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D0D4D" w14:textId="77777777" w:rsidR="00956CB6" w:rsidRDefault="005F3FB7" w:rsidP="008907BE">
      <w:pPr>
        <w:tabs>
          <w:tab w:val="center" w:pos="0"/>
        </w:tabs>
        <w:spacing w:after="300" w:line="240" w:lineRule="auto"/>
        <w:contextualSpacing/>
        <w:jc w:val="center"/>
        <w:rPr>
          <w:rFonts w:ascii="Times New Roman" w:eastAsia="Times New Roman" w:hAnsi="Times New Roman"/>
          <w:b/>
          <w:color w:val="000000" w:themeColor="text1"/>
          <w:spacing w:val="5"/>
          <w:kern w:val="28"/>
          <w:sz w:val="24"/>
          <w:szCs w:val="24"/>
          <w:lang w:eastAsia="fr-FR"/>
        </w:rPr>
      </w:pPr>
      <w:r w:rsidRPr="00260790">
        <w:rPr>
          <w:rFonts w:ascii="Times New Roman" w:eastAsiaTheme="minorEastAsia" w:hAnsi="Times New Roman"/>
          <w:b/>
          <w:noProof/>
          <w:color w:val="000000" w:themeColor="text1"/>
          <w:sz w:val="24"/>
          <w:szCs w:val="24"/>
          <w:lang w:val="en-US"/>
        </w:rPr>
        <mc:AlternateContent>
          <mc:Choice Requires="wps">
            <w:drawing>
              <wp:anchor distT="0" distB="0" distL="114300" distR="114300" simplePos="0" relativeHeight="251609088" behindDoc="0" locked="0" layoutInCell="1" allowOverlap="1" wp14:anchorId="0A77999E" wp14:editId="04CA0BF1">
                <wp:simplePos x="0" y="0"/>
                <wp:positionH relativeFrom="margin">
                  <wp:posOffset>-1008380</wp:posOffset>
                </wp:positionH>
                <wp:positionV relativeFrom="paragraph">
                  <wp:posOffset>-849630</wp:posOffset>
                </wp:positionV>
                <wp:extent cx="7685652" cy="609600"/>
                <wp:effectExtent l="76200" t="76200" r="86995" b="95250"/>
                <wp:wrapNone/>
                <wp:docPr id="507" name="Rectangle 507"/>
                <wp:cNvGraphicFramePr/>
                <a:graphic xmlns:a="http://schemas.openxmlformats.org/drawingml/2006/main">
                  <a:graphicData uri="http://schemas.microsoft.com/office/word/2010/wordprocessingShape">
                    <wps:wsp>
                      <wps:cNvSpPr/>
                      <wps:spPr>
                        <a:xfrm>
                          <a:off x="0" y="0"/>
                          <a:ext cx="7685652" cy="609600"/>
                        </a:xfrm>
                        <a:prstGeom prst="rect">
                          <a:avLst/>
                        </a:prstGeom>
                        <a:solidFill>
                          <a:srgbClr val="0070C0"/>
                        </a:solidFill>
                        <a:ln w="12700" cap="flat" cmpd="sng" algn="ctr">
                          <a:solidFill>
                            <a:sysClr val="window" lastClr="FFFFFF"/>
                          </a:solidFill>
                          <a:prstDash val="solid"/>
                          <a:miter lim="800000"/>
                        </a:ln>
                        <a:effectLst>
                          <a:glow rad="63500">
                            <a:schemeClr val="accent5">
                              <a:satMod val="175000"/>
                              <a:alpha val="40000"/>
                            </a:schemeClr>
                          </a:glo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5F4B5B" id="Rectangle 507" o:spid="_x0000_s1026" style="position:absolute;margin-left:-79.4pt;margin-top:-66.9pt;width:605.15pt;height:48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" fillcolor="#0070c0" strokecolor="window" strokeweight="1pt">
                <w10:wrap anchorx="margin"/>
              </v:rect>
            </w:pict>
          </mc:Fallback>
        </mc:AlternateContent>
      </w:r>
      <w:r w:rsidRPr="00260790">
        <w:rPr>
          <w:rFonts w:ascii="Times New Roman" w:eastAsia="Times New Roman" w:hAnsi="Times New Roman"/>
          <w:b/>
          <w:color w:val="000000" w:themeColor="text1"/>
          <w:spacing w:val="5"/>
          <w:kern w:val="28"/>
          <w:sz w:val="24"/>
          <w:szCs w:val="24"/>
          <w:lang w:eastAsia="fr-FR"/>
        </w:rPr>
        <w:t>RÉPUBLIQUE DU SÉNÉGAL</w:t>
      </w:r>
    </w:p>
    <w:p w14:paraId="745806BA" w14:textId="469C04DF" w:rsidR="005F3FB7" w:rsidRPr="00956CB6" w:rsidRDefault="00956CB6" w:rsidP="00956CB6">
      <w:pPr>
        <w:tabs>
          <w:tab w:val="center" w:pos="0"/>
        </w:tabs>
        <w:spacing w:after="300" w:line="240" w:lineRule="auto"/>
        <w:contextualSpacing/>
        <w:jc w:val="center"/>
        <w:rPr>
          <w:rFonts w:ascii="Times New Roman" w:hAnsi="Times New Roman"/>
          <w:bCs/>
          <w:color w:val="000000" w:themeColor="text1"/>
          <w:sz w:val="18"/>
          <w:szCs w:val="18"/>
        </w:rPr>
      </w:pPr>
      <w:r w:rsidRPr="00956CB6">
        <w:rPr>
          <w:rFonts w:ascii="Times New Roman" w:hAnsi="Times New Roman"/>
          <w:bCs/>
          <w:color w:val="000000" w:themeColor="text1"/>
          <w:sz w:val="18"/>
          <w:szCs w:val="18"/>
        </w:rPr>
        <w:t xml:space="preserve"> </w:t>
      </w:r>
      <w:r w:rsidRPr="00260790">
        <w:rPr>
          <w:rFonts w:ascii="Times New Roman" w:hAnsi="Times New Roman"/>
          <w:bCs/>
          <w:color w:val="000000" w:themeColor="text1"/>
          <w:sz w:val="18"/>
          <w:szCs w:val="18"/>
        </w:rPr>
        <w:t>Un Peuple - Un But - Une Foi</w:t>
      </w:r>
    </w:p>
    <w:p w14:paraId="0CE77032" w14:textId="5676DB44" w:rsidR="00BD1A2F" w:rsidRPr="00260790" w:rsidRDefault="00BD1A2F" w:rsidP="00E20250">
      <w:pPr>
        <w:spacing w:after="300" w:line="240" w:lineRule="auto"/>
        <w:contextualSpacing/>
        <w:jc w:val="center"/>
        <w:rPr>
          <w:rFonts w:ascii="Times New Roman" w:eastAsia="Times New Roman" w:hAnsi="Times New Roman"/>
          <w:b/>
          <w:color w:val="000000" w:themeColor="text1"/>
          <w:spacing w:val="5"/>
          <w:kern w:val="28"/>
          <w:sz w:val="24"/>
          <w:szCs w:val="24"/>
          <w:lang w:eastAsia="fr-FR"/>
        </w:rPr>
      </w:pPr>
      <w:r w:rsidRPr="00260790">
        <w:rPr>
          <w:rFonts w:ascii="Times New Roman" w:hAnsi="Times New Roman"/>
          <w:noProof/>
          <w:color w:val="000000" w:themeColor="text1"/>
          <w:sz w:val="24"/>
          <w:szCs w:val="24"/>
          <w:lang w:val="en-US"/>
        </w:rPr>
        <w:drawing>
          <wp:inline distT="0" distB="0" distL="0" distR="0" wp14:anchorId="28C6B604" wp14:editId="6A418A06">
            <wp:extent cx="733425" cy="40957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733425" cy="409575"/>
                    </a:xfrm>
                    <a:prstGeom prst="rect">
                      <a:avLst/>
                    </a:prstGeom>
                    <a:noFill/>
                    <a:ln>
                      <a:noFill/>
                    </a:ln>
                  </pic:spPr>
                </pic:pic>
              </a:graphicData>
            </a:graphic>
          </wp:inline>
        </w:drawing>
      </w:r>
    </w:p>
    <w:p w14:paraId="5E0EDD65" w14:textId="77777777" w:rsidR="005F3FB7" w:rsidRPr="00260790" w:rsidRDefault="005F3FB7" w:rsidP="00E20250">
      <w:pPr>
        <w:spacing w:after="300" w:line="240" w:lineRule="auto"/>
        <w:contextualSpacing/>
        <w:jc w:val="center"/>
        <w:rPr>
          <w:rFonts w:ascii="Times New Roman" w:eastAsia="Times New Roman" w:hAnsi="Times New Roman"/>
          <w:b/>
          <w:color w:val="000000" w:themeColor="text1"/>
          <w:spacing w:val="5"/>
          <w:kern w:val="28"/>
          <w:sz w:val="24"/>
          <w:szCs w:val="24"/>
          <w:lang w:eastAsia="fr-FR"/>
        </w:rPr>
      </w:pPr>
    </w:p>
    <w:tbl>
      <w:tblPr>
        <w:tblW w:w="9606" w:type="dxa"/>
        <w:tblLook w:val="04A0" w:firstRow="1" w:lastRow="0" w:firstColumn="1" w:lastColumn="0" w:noHBand="0" w:noVBand="1"/>
      </w:tblPr>
      <w:tblGrid>
        <w:gridCol w:w="4606"/>
        <w:gridCol w:w="5000"/>
      </w:tblGrid>
      <w:tr w:rsidR="005F3FB7" w:rsidRPr="00260790" w14:paraId="2F72A925" w14:textId="77777777" w:rsidTr="005F3FB7">
        <w:trPr>
          <w:trHeight w:val="1963"/>
        </w:trPr>
        <w:tc>
          <w:tcPr>
            <w:tcW w:w="4606" w:type="dxa"/>
          </w:tcPr>
          <w:p w14:paraId="7B5061A1" w14:textId="41CBC77A" w:rsidR="005F3FB7" w:rsidRPr="00956CB6" w:rsidRDefault="005F3FB7" w:rsidP="00E20250">
            <w:pPr>
              <w:spacing w:after="0" w:line="240" w:lineRule="auto"/>
              <w:contextualSpacing/>
              <w:jc w:val="center"/>
              <w:rPr>
                <w:rFonts w:ascii="Times New Roman" w:eastAsia="Times New Roman" w:hAnsi="Times New Roman"/>
                <w:b/>
                <w:color w:val="000000" w:themeColor="text1"/>
                <w:spacing w:val="5"/>
                <w:kern w:val="28"/>
                <w:sz w:val="20"/>
                <w:szCs w:val="20"/>
                <w:lang w:eastAsia="fr-FR"/>
              </w:rPr>
            </w:pPr>
            <w:r w:rsidRPr="00956CB6">
              <w:rPr>
                <w:rFonts w:ascii="Times New Roman" w:eastAsia="Times New Roman" w:hAnsi="Times New Roman"/>
                <w:b/>
                <w:color w:val="000000" w:themeColor="text1"/>
                <w:spacing w:val="5"/>
                <w:kern w:val="28"/>
                <w:sz w:val="20"/>
                <w:szCs w:val="20"/>
                <w:lang w:eastAsia="fr-FR"/>
              </w:rPr>
              <w:t>MINISTÈRE DE L’ENVIRONNEMENT</w:t>
            </w:r>
            <w:r w:rsidR="00D70CA7" w:rsidRPr="00956CB6">
              <w:rPr>
                <w:rFonts w:ascii="Times New Roman" w:eastAsia="Times New Roman" w:hAnsi="Times New Roman"/>
                <w:b/>
                <w:color w:val="000000" w:themeColor="text1"/>
                <w:spacing w:val="5"/>
                <w:kern w:val="28"/>
                <w:sz w:val="20"/>
                <w:szCs w:val="20"/>
                <w:lang w:eastAsia="fr-FR"/>
              </w:rPr>
              <w:t xml:space="preserve"> </w:t>
            </w:r>
            <w:r w:rsidRPr="00956CB6">
              <w:rPr>
                <w:rFonts w:ascii="Times New Roman" w:eastAsia="Times New Roman" w:hAnsi="Times New Roman"/>
                <w:b/>
                <w:color w:val="000000" w:themeColor="text1"/>
                <w:spacing w:val="5"/>
                <w:kern w:val="28"/>
                <w:sz w:val="20"/>
                <w:szCs w:val="20"/>
                <w:lang w:eastAsia="fr-FR"/>
              </w:rPr>
              <w:t>ET DE LA TRANSITION ÉCOLOGIQUE</w:t>
            </w:r>
          </w:p>
          <w:p w14:paraId="55BE4A95" w14:textId="77777777" w:rsidR="005F3FB7" w:rsidRPr="00956CB6" w:rsidRDefault="005F3FB7" w:rsidP="00E20250">
            <w:pPr>
              <w:spacing w:after="0" w:line="240" w:lineRule="auto"/>
              <w:contextualSpacing/>
              <w:jc w:val="center"/>
              <w:rPr>
                <w:rFonts w:ascii="Times New Roman" w:eastAsia="Times New Roman" w:hAnsi="Times New Roman"/>
                <w:b/>
                <w:color w:val="000000" w:themeColor="text1"/>
                <w:spacing w:val="5"/>
                <w:kern w:val="28"/>
                <w:sz w:val="20"/>
                <w:szCs w:val="20"/>
                <w:lang w:eastAsia="fr-FR"/>
              </w:rPr>
            </w:pPr>
            <w:r w:rsidRPr="00956CB6">
              <w:rPr>
                <w:rFonts w:ascii="Times New Roman" w:eastAsia="Times New Roman" w:hAnsi="Times New Roman"/>
                <w:b/>
                <w:color w:val="000000" w:themeColor="text1"/>
                <w:spacing w:val="5"/>
                <w:kern w:val="28"/>
                <w:sz w:val="20"/>
                <w:szCs w:val="20"/>
                <w:lang w:eastAsia="fr-FR"/>
              </w:rPr>
              <w:t>------------------</w:t>
            </w:r>
          </w:p>
          <w:p w14:paraId="004021F4" w14:textId="2B9F04B0" w:rsidR="005F3FB7" w:rsidRPr="00956CB6" w:rsidRDefault="005F3FB7" w:rsidP="00E20250">
            <w:pPr>
              <w:spacing w:after="0" w:line="240" w:lineRule="auto"/>
              <w:contextualSpacing/>
              <w:jc w:val="center"/>
              <w:rPr>
                <w:rFonts w:ascii="Times New Roman" w:eastAsia="Times New Roman" w:hAnsi="Times New Roman"/>
                <w:b/>
                <w:color w:val="000000" w:themeColor="text1"/>
                <w:spacing w:val="5"/>
                <w:kern w:val="28"/>
                <w:sz w:val="20"/>
                <w:szCs w:val="20"/>
                <w:lang w:eastAsia="fr-FR"/>
              </w:rPr>
            </w:pPr>
            <w:r w:rsidRPr="00956CB6">
              <w:rPr>
                <w:rFonts w:ascii="Times New Roman" w:eastAsia="Times New Roman" w:hAnsi="Times New Roman"/>
                <w:b/>
                <w:color w:val="000000" w:themeColor="text1"/>
                <w:spacing w:val="5"/>
                <w:kern w:val="28"/>
                <w:sz w:val="20"/>
                <w:szCs w:val="20"/>
                <w:lang w:eastAsia="fr-FR"/>
              </w:rPr>
              <w:t>DIRECTION DE L</w:t>
            </w:r>
            <w:r w:rsidR="00D70CA7" w:rsidRPr="00956CB6">
              <w:rPr>
                <w:rFonts w:ascii="Times New Roman" w:eastAsia="Times New Roman" w:hAnsi="Times New Roman"/>
                <w:b/>
                <w:color w:val="000000" w:themeColor="text1"/>
                <w:spacing w:val="5"/>
                <w:kern w:val="28"/>
                <w:sz w:val="20"/>
                <w:szCs w:val="20"/>
                <w:lang w:eastAsia="fr-FR"/>
              </w:rPr>
              <w:t>A R</w:t>
            </w:r>
            <w:r w:rsidR="00974320" w:rsidRPr="00956CB6">
              <w:rPr>
                <w:rFonts w:ascii="Times New Roman" w:eastAsia="Times New Roman" w:hAnsi="Times New Roman"/>
                <w:b/>
                <w:color w:val="000000" w:themeColor="text1"/>
                <w:spacing w:val="5"/>
                <w:kern w:val="28"/>
                <w:sz w:val="20"/>
                <w:szCs w:val="20"/>
                <w:lang w:eastAsia="fr-FR"/>
              </w:rPr>
              <w:t>È</w:t>
            </w:r>
            <w:r w:rsidR="00D70CA7" w:rsidRPr="00956CB6">
              <w:rPr>
                <w:rFonts w:ascii="Times New Roman" w:eastAsia="Times New Roman" w:hAnsi="Times New Roman"/>
                <w:b/>
                <w:color w:val="000000" w:themeColor="text1"/>
                <w:spacing w:val="5"/>
                <w:kern w:val="28"/>
                <w:sz w:val="20"/>
                <w:szCs w:val="20"/>
                <w:lang w:eastAsia="fr-FR"/>
              </w:rPr>
              <w:t xml:space="preserve">GLEMENTATION </w:t>
            </w:r>
            <w:r w:rsidRPr="00956CB6">
              <w:rPr>
                <w:rFonts w:ascii="Times New Roman" w:eastAsia="Times New Roman" w:hAnsi="Times New Roman"/>
                <w:b/>
                <w:color w:val="000000" w:themeColor="text1"/>
                <w:spacing w:val="5"/>
                <w:kern w:val="28"/>
                <w:sz w:val="20"/>
                <w:szCs w:val="20"/>
                <w:lang w:eastAsia="fr-FR"/>
              </w:rPr>
              <w:t>ENVIRONNEMENT</w:t>
            </w:r>
            <w:r w:rsidR="00D70CA7" w:rsidRPr="00956CB6">
              <w:rPr>
                <w:rFonts w:ascii="Times New Roman" w:eastAsia="Times New Roman" w:hAnsi="Times New Roman"/>
                <w:b/>
                <w:color w:val="000000" w:themeColor="text1"/>
                <w:spacing w:val="5"/>
                <w:kern w:val="28"/>
                <w:sz w:val="20"/>
                <w:szCs w:val="20"/>
                <w:lang w:eastAsia="fr-FR"/>
              </w:rPr>
              <w:t>ALE</w:t>
            </w:r>
            <w:r w:rsidRPr="00956CB6">
              <w:rPr>
                <w:rFonts w:ascii="Times New Roman" w:eastAsia="Times New Roman" w:hAnsi="Times New Roman"/>
                <w:b/>
                <w:color w:val="000000" w:themeColor="text1"/>
                <w:spacing w:val="5"/>
                <w:kern w:val="28"/>
                <w:sz w:val="20"/>
                <w:szCs w:val="20"/>
                <w:lang w:eastAsia="fr-FR"/>
              </w:rPr>
              <w:t xml:space="preserve"> ET D</w:t>
            </w:r>
            <w:r w:rsidR="00D70CA7" w:rsidRPr="00956CB6">
              <w:rPr>
                <w:rFonts w:ascii="Times New Roman" w:eastAsia="Times New Roman" w:hAnsi="Times New Roman"/>
                <w:b/>
                <w:color w:val="000000" w:themeColor="text1"/>
                <w:spacing w:val="5"/>
                <w:kern w:val="28"/>
                <w:sz w:val="20"/>
                <w:szCs w:val="20"/>
                <w:lang w:eastAsia="fr-FR"/>
              </w:rPr>
              <w:t>U CONTR</w:t>
            </w:r>
            <w:r w:rsidR="00974320" w:rsidRPr="00956CB6">
              <w:rPr>
                <w:rFonts w:ascii="Times New Roman" w:eastAsia="Times New Roman" w:hAnsi="Times New Roman"/>
                <w:b/>
                <w:color w:val="000000" w:themeColor="text1"/>
                <w:spacing w:val="5"/>
                <w:kern w:val="28"/>
                <w:sz w:val="20"/>
                <w:szCs w:val="20"/>
                <w:lang w:eastAsia="fr-FR"/>
              </w:rPr>
              <w:t>Ô</w:t>
            </w:r>
            <w:r w:rsidR="00D70CA7" w:rsidRPr="00956CB6">
              <w:rPr>
                <w:rFonts w:ascii="Times New Roman" w:eastAsia="Times New Roman" w:hAnsi="Times New Roman"/>
                <w:b/>
                <w:color w:val="000000" w:themeColor="text1"/>
                <w:spacing w:val="5"/>
                <w:kern w:val="28"/>
                <w:sz w:val="20"/>
                <w:szCs w:val="20"/>
                <w:lang w:eastAsia="fr-FR"/>
              </w:rPr>
              <w:t>LE</w:t>
            </w:r>
          </w:p>
          <w:p w14:paraId="6CC2FE9B" w14:textId="6F825A1C" w:rsidR="00D70CA7" w:rsidRPr="00956CB6" w:rsidRDefault="00D70CA7" w:rsidP="00E20250">
            <w:pPr>
              <w:spacing w:after="0" w:line="240" w:lineRule="auto"/>
              <w:contextualSpacing/>
              <w:jc w:val="center"/>
              <w:rPr>
                <w:rFonts w:ascii="Times New Roman" w:eastAsia="Times New Roman" w:hAnsi="Times New Roman"/>
                <w:b/>
                <w:color w:val="000000" w:themeColor="text1"/>
                <w:spacing w:val="5"/>
                <w:kern w:val="28"/>
                <w:sz w:val="20"/>
                <w:szCs w:val="20"/>
                <w:lang w:eastAsia="fr-FR"/>
              </w:rPr>
            </w:pPr>
            <w:r w:rsidRPr="00956CB6">
              <w:rPr>
                <w:rFonts w:ascii="Times New Roman" w:eastAsia="Times New Roman" w:hAnsi="Times New Roman"/>
                <w:b/>
                <w:color w:val="000000" w:themeColor="text1"/>
                <w:spacing w:val="5"/>
                <w:kern w:val="28"/>
                <w:sz w:val="20"/>
                <w:szCs w:val="20"/>
                <w:lang w:eastAsia="fr-FR"/>
              </w:rPr>
              <w:t>(DIREC)</w:t>
            </w:r>
          </w:p>
          <w:p w14:paraId="37634FBA" w14:textId="0C0D60FF" w:rsidR="005F3FB7" w:rsidRPr="00956CB6" w:rsidRDefault="006B1C8E" w:rsidP="00E20250">
            <w:pPr>
              <w:spacing w:after="0" w:line="240" w:lineRule="auto"/>
              <w:contextualSpacing/>
              <w:jc w:val="center"/>
              <w:rPr>
                <w:rFonts w:ascii="Times New Roman" w:eastAsia="Times New Roman" w:hAnsi="Times New Roman"/>
                <w:b/>
                <w:color w:val="000000" w:themeColor="text1"/>
                <w:spacing w:val="5"/>
                <w:kern w:val="28"/>
                <w:sz w:val="20"/>
                <w:szCs w:val="20"/>
                <w:lang w:eastAsia="fr-FR"/>
              </w:rPr>
            </w:pPr>
            <w:r w:rsidRPr="00EC677B">
              <w:rPr>
                <w:b/>
                <w:noProof/>
              </w:rPr>
              <w:drawing>
                <wp:inline distT="0" distB="0" distL="0" distR="0" wp14:anchorId="784EBEB8" wp14:editId="7FF79FDC">
                  <wp:extent cx="968721" cy="728939"/>
                  <wp:effectExtent l="0" t="0" r="0" b="0"/>
                  <wp:docPr id="3608" name="Image 3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86038" cy="741970"/>
                          </a:xfrm>
                          <a:prstGeom prst="rect">
                            <a:avLst/>
                          </a:prstGeom>
                        </pic:spPr>
                      </pic:pic>
                    </a:graphicData>
                  </a:graphic>
                </wp:inline>
              </w:drawing>
            </w:r>
          </w:p>
        </w:tc>
        <w:tc>
          <w:tcPr>
            <w:tcW w:w="5000" w:type="dxa"/>
          </w:tcPr>
          <w:p w14:paraId="77F6745A" w14:textId="6E66232A" w:rsidR="005F3FB7" w:rsidRPr="00956CB6" w:rsidRDefault="005F3FB7" w:rsidP="00E20250">
            <w:pPr>
              <w:spacing w:after="0" w:line="240" w:lineRule="auto"/>
              <w:contextualSpacing/>
              <w:jc w:val="center"/>
              <w:rPr>
                <w:rFonts w:ascii="Times New Roman" w:eastAsia="Times New Roman" w:hAnsi="Times New Roman"/>
                <w:b/>
                <w:color w:val="000000" w:themeColor="text1"/>
                <w:spacing w:val="5"/>
                <w:kern w:val="28"/>
                <w:sz w:val="20"/>
                <w:szCs w:val="20"/>
                <w:lang w:eastAsia="fr-FR"/>
              </w:rPr>
            </w:pPr>
            <w:r w:rsidRPr="00956CB6">
              <w:rPr>
                <w:rFonts w:ascii="Times New Roman" w:eastAsia="Times New Roman" w:hAnsi="Times New Roman"/>
                <w:b/>
                <w:color w:val="000000" w:themeColor="text1"/>
                <w:spacing w:val="5"/>
                <w:kern w:val="28"/>
                <w:sz w:val="20"/>
                <w:szCs w:val="20"/>
                <w:lang w:eastAsia="fr-FR"/>
              </w:rPr>
              <w:t xml:space="preserve">MINISTÈRE </w:t>
            </w:r>
            <w:r w:rsidR="009E3071" w:rsidRPr="00956CB6">
              <w:rPr>
                <w:rFonts w:ascii="Times New Roman" w:eastAsia="Times New Roman" w:hAnsi="Times New Roman"/>
                <w:b/>
                <w:color w:val="000000" w:themeColor="text1"/>
                <w:spacing w:val="5"/>
                <w:kern w:val="28"/>
                <w:sz w:val="20"/>
                <w:szCs w:val="20"/>
                <w:lang w:eastAsia="fr-FR"/>
              </w:rPr>
              <w:t>DE L’U</w:t>
            </w:r>
            <w:r w:rsidR="00974320" w:rsidRPr="00956CB6">
              <w:rPr>
                <w:rFonts w:ascii="Times New Roman" w:eastAsia="Times New Roman" w:hAnsi="Times New Roman"/>
                <w:b/>
                <w:color w:val="000000" w:themeColor="text1"/>
                <w:spacing w:val="5"/>
                <w:kern w:val="28"/>
                <w:sz w:val="20"/>
                <w:szCs w:val="20"/>
                <w:lang w:eastAsia="fr-FR"/>
              </w:rPr>
              <w:t>R</w:t>
            </w:r>
            <w:r w:rsidR="009E3071" w:rsidRPr="00956CB6">
              <w:rPr>
                <w:rFonts w:ascii="Times New Roman" w:eastAsia="Times New Roman" w:hAnsi="Times New Roman"/>
                <w:b/>
                <w:color w:val="000000" w:themeColor="text1"/>
                <w:spacing w:val="5"/>
                <w:kern w:val="28"/>
                <w:sz w:val="20"/>
                <w:szCs w:val="20"/>
                <w:lang w:eastAsia="fr-FR"/>
              </w:rPr>
              <w:t xml:space="preserve">BANISME, </w:t>
            </w:r>
            <w:r w:rsidRPr="00956CB6">
              <w:rPr>
                <w:rFonts w:ascii="Times New Roman" w:eastAsia="Times New Roman" w:hAnsi="Times New Roman"/>
                <w:b/>
                <w:color w:val="000000" w:themeColor="text1"/>
                <w:spacing w:val="5"/>
                <w:kern w:val="28"/>
                <w:sz w:val="20"/>
                <w:szCs w:val="20"/>
                <w:lang w:eastAsia="fr-FR"/>
              </w:rPr>
              <w:t>DES COLLECTIVITÉS TERRITORIALES,</w:t>
            </w:r>
          </w:p>
          <w:p w14:paraId="44DA8A7E" w14:textId="0E839487" w:rsidR="005F3FB7" w:rsidRPr="00956CB6" w:rsidRDefault="005F3FB7" w:rsidP="00E20250">
            <w:pPr>
              <w:spacing w:after="0" w:line="240" w:lineRule="auto"/>
              <w:contextualSpacing/>
              <w:jc w:val="center"/>
              <w:rPr>
                <w:rFonts w:ascii="Times New Roman" w:eastAsia="Times New Roman" w:hAnsi="Times New Roman"/>
                <w:b/>
                <w:color w:val="000000" w:themeColor="text1"/>
                <w:spacing w:val="5"/>
                <w:kern w:val="28"/>
                <w:sz w:val="20"/>
                <w:szCs w:val="20"/>
                <w:lang w:eastAsia="fr-FR"/>
              </w:rPr>
            </w:pPr>
            <w:r w:rsidRPr="00956CB6">
              <w:rPr>
                <w:rFonts w:ascii="Times New Roman" w:eastAsia="Times New Roman" w:hAnsi="Times New Roman"/>
                <w:b/>
                <w:color w:val="000000" w:themeColor="text1"/>
                <w:spacing w:val="5"/>
                <w:kern w:val="28"/>
                <w:sz w:val="20"/>
                <w:szCs w:val="20"/>
                <w:lang w:eastAsia="fr-FR"/>
              </w:rPr>
              <w:t>ET DE L'AMÉNAGEMENT DES TERRITOIRES</w:t>
            </w:r>
          </w:p>
          <w:p w14:paraId="0BA30228" w14:textId="68E5C88C" w:rsidR="005F3FB7" w:rsidRPr="00956CB6" w:rsidRDefault="005F3FB7" w:rsidP="00E20250">
            <w:pPr>
              <w:spacing w:after="0" w:line="240" w:lineRule="auto"/>
              <w:contextualSpacing/>
              <w:jc w:val="center"/>
              <w:rPr>
                <w:rFonts w:ascii="Times New Roman" w:eastAsia="Times New Roman" w:hAnsi="Times New Roman"/>
                <w:b/>
                <w:color w:val="000000" w:themeColor="text1"/>
                <w:spacing w:val="5"/>
                <w:kern w:val="28"/>
                <w:sz w:val="20"/>
                <w:szCs w:val="20"/>
                <w:lang w:eastAsia="fr-FR"/>
              </w:rPr>
            </w:pPr>
            <w:r w:rsidRPr="00956CB6">
              <w:rPr>
                <w:rFonts w:ascii="Times New Roman" w:eastAsia="Times New Roman" w:hAnsi="Times New Roman"/>
                <w:b/>
                <w:color w:val="000000" w:themeColor="text1"/>
                <w:spacing w:val="5"/>
                <w:kern w:val="28"/>
                <w:sz w:val="20"/>
                <w:szCs w:val="20"/>
                <w:lang w:eastAsia="fr-FR"/>
              </w:rPr>
              <w:t>------------------</w:t>
            </w:r>
          </w:p>
          <w:p w14:paraId="07966378" w14:textId="77777777" w:rsidR="005F3FB7" w:rsidRPr="00956CB6" w:rsidRDefault="005F3FB7" w:rsidP="00E20250">
            <w:pPr>
              <w:spacing w:after="0" w:line="240" w:lineRule="auto"/>
              <w:contextualSpacing/>
              <w:jc w:val="center"/>
              <w:rPr>
                <w:rFonts w:ascii="Times New Roman" w:eastAsia="Times New Roman" w:hAnsi="Times New Roman"/>
                <w:b/>
                <w:color w:val="000000" w:themeColor="text1"/>
                <w:spacing w:val="5"/>
                <w:kern w:val="28"/>
                <w:sz w:val="20"/>
                <w:szCs w:val="20"/>
                <w:lang w:eastAsia="fr-FR"/>
              </w:rPr>
            </w:pPr>
            <w:r w:rsidRPr="00956CB6">
              <w:rPr>
                <w:rFonts w:ascii="Times New Roman" w:eastAsia="Times New Roman" w:hAnsi="Times New Roman"/>
                <w:b/>
                <w:noProof/>
                <w:color w:val="000000" w:themeColor="text1"/>
                <w:spacing w:val="5"/>
                <w:kern w:val="28"/>
                <w:sz w:val="20"/>
                <w:szCs w:val="20"/>
                <w:lang w:val="en-US"/>
              </w:rPr>
              <w:drawing>
                <wp:inline distT="0" distB="0" distL="0" distR="0" wp14:anchorId="1F87FDAA" wp14:editId="2744498F">
                  <wp:extent cx="1210549" cy="717631"/>
                  <wp:effectExtent l="0" t="0" r="0" b="0"/>
                  <wp:docPr id="86" name="Picture 86" descr="Description : C:\Users\fofbachir\Desktop\COM\ACTIVITES COM\LOGOS ADM\LOGO-AD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Description : C:\Users\fofbachir\Desktop\COM\ACTIVITES COM\LOGOS ADM\LOGO-ADM.jp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1216157" cy="720956"/>
                          </a:xfrm>
                          <a:prstGeom prst="rect">
                            <a:avLst/>
                          </a:prstGeom>
                          <a:noFill/>
                          <a:ln>
                            <a:noFill/>
                          </a:ln>
                        </pic:spPr>
                      </pic:pic>
                    </a:graphicData>
                  </a:graphic>
                </wp:inline>
              </w:drawing>
            </w:r>
          </w:p>
        </w:tc>
      </w:tr>
    </w:tbl>
    <w:p w14:paraId="04514382" w14:textId="77777777" w:rsidR="00260790" w:rsidRPr="00260790" w:rsidRDefault="00260790" w:rsidP="00E20250">
      <w:pPr>
        <w:spacing w:after="0" w:line="240" w:lineRule="auto"/>
        <w:ind w:right="130"/>
        <w:jc w:val="center"/>
        <w:rPr>
          <w:rFonts w:ascii="Times New Roman" w:hAnsi="Times New Roman"/>
          <w:b/>
          <w:color w:val="000000" w:themeColor="text1"/>
          <w:sz w:val="24"/>
          <w:szCs w:val="24"/>
        </w:rPr>
      </w:pPr>
    </w:p>
    <w:p w14:paraId="0C6C6B3C" w14:textId="77777777" w:rsidR="00260790" w:rsidRPr="00260790" w:rsidRDefault="00260790" w:rsidP="00E20250">
      <w:pPr>
        <w:spacing w:after="0" w:line="240" w:lineRule="auto"/>
        <w:ind w:right="130"/>
        <w:jc w:val="center"/>
        <w:rPr>
          <w:rFonts w:ascii="Times New Roman" w:hAnsi="Times New Roman"/>
          <w:b/>
          <w:color w:val="000000" w:themeColor="text1"/>
          <w:sz w:val="24"/>
          <w:szCs w:val="24"/>
        </w:rPr>
      </w:pPr>
    </w:p>
    <w:p w14:paraId="15376245" w14:textId="4AD6DA2B" w:rsidR="005F3FB7" w:rsidRDefault="005F3FB7" w:rsidP="000C13F3">
      <w:pPr>
        <w:spacing w:after="0" w:line="240" w:lineRule="auto"/>
        <w:ind w:right="130"/>
        <w:jc w:val="center"/>
        <w:rPr>
          <w:rFonts w:ascii="Times New Roman" w:hAnsi="Times New Roman"/>
          <w:b/>
          <w:color w:val="000000" w:themeColor="text1"/>
          <w:sz w:val="24"/>
          <w:szCs w:val="24"/>
        </w:rPr>
      </w:pPr>
      <w:r w:rsidRPr="00260790">
        <w:rPr>
          <w:rFonts w:ascii="Times New Roman" w:hAnsi="Times New Roman"/>
          <w:b/>
          <w:color w:val="000000" w:themeColor="text1"/>
          <w:sz w:val="24"/>
          <w:szCs w:val="24"/>
        </w:rPr>
        <w:t>DEUXIÈME PHASE DU PROJET DE GESTION DES EAUX PLUVIALES ET D’ADAPTATION AU CHANGEMENT CLIMATIQUE</w:t>
      </w:r>
      <w:r w:rsidR="000C13F3">
        <w:rPr>
          <w:rFonts w:ascii="Times New Roman" w:hAnsi="Times New Roman"/>
          <w:b/>
          <w:color w:val="000000" w:themeColor="text1"/>
          <w:sz w:val="24"/>
          <w:szCs w:val="24"/>
        </w:rPr>
        <w:t xml:space="preserve"> </w:t>
      </w:r>
      <w:r w:rsidRPr="00260790">
        <w:rPr>
          <w:rFonts w:ascii="Times New Roman" w:hAnsi="Times New Roman"/>
          <w:b/>
          <w:color w:val="000000" w:themeColor="text1"/>
          <w:sz w:val="24"/>
          <w:szCs w:val="24"/>
        </w:rPr>
        <w:t>(PROGEP II)</w:t>
      </w:r>
    </w:p>
    <w:p w14:paraId="2F7C9271" w14:textId="77777777" w:rsidR="000C13F3" w:rsidRPr="00260790" w:rsidRDefault="000C13F3" w:rsidP="000C13F3">
      <w:pPr>
        <w:spacing w:after="0" w:line="240" w:lineRule="auto"/>
        <w:ind w:right="130"/>
        <w:jc w:val="center"/>
        <w:rPr>
          <w:rFonts w:ascii="Times New Roman" w:hAnsi="Times New Roman"/>
          <w:b/>
          <w:color w:val="000000" w:themeColor="text1"/>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478"/>
      </w:tblGrid>
      <w:tr w:rsidR="00BD1A2F" w:rsidRPr="00260790" w14:paraId="57A46A51" w14:textId="77777777" w:rsidTr="00BD1A2F">
        <w:trPr>
          <w:trHeight w:val="2758"/>
        </w:trPr>
        <w:tc>
          <w:tcPr>
            <w:tcW w:w="4505" w:type="dxa"/>
          </w:tcPr>
          <w:p w14:paraId="1BB229FC" w14:textId="009C19A6" w:rsidR="00D731CB" w:rsidRPr="00260790" w:rsidRDefault="00D731CB" w:rsidP="001F5C70">
            <w:pPr>
              <w:spacing w:line="240" w:lineRule="auto"/>
              <w:ind w:right="130"/>
              <w:rPr>
                <w:rFonts w:ascii="Times New Roman" w:hAnsi="Times New Roman"/>
                <w:b/>
                <w:color w:val="000000" w:themeColor="text1"/>
                <w:sz w:val="24"/>
                <w:szCs w:val="24"/>
                <w:lang w:val="fr-FR"/>
              </w:rPr>
            </w:pPr>
            <w:r w:rsidRPr="00260790">
              <w:rPr>
                <w:rFonts w:ascii="Times New Roman" w:hAnsi="Times New Roman"/>
                <w:b/>
                <w:noProof/>
                <w:color w:val="000000" w:themeColor="text1"/>
                <w:sz w:val="24"/>
                <w:szCs w:val="24"/>
              </w:rPr>
              <w:drawing>
                <wp:inline distT="0" distB="0" distL="0" distR="0" wp14:anchorId="7F90A063" wp14:editId="1D1BC9E7">
                  <wp:extent cx="2583180" cy="1694180"/>
                  <wp:effectExtent l="0" t="0" r="7620" b="1270"/>
                  <wp:docPr id="809722096"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722096" name="Image 809722096"/>
                          <pic:cNvPicPr/>
                        </pic:nvPicPr>
                        <pic:blipFill>
                          <a:blip r:embed="rId11" cstate="email">
                            <a:extLst>
                              <a:ext uri="{28A0092B-C50C-407E-A947-70E740481C1C}">
                                <a14:useLocalDpi xmlns:a14="http://schemas.microsoft.com/office/drawing/2010/main"/>
                              </a:ext>
                            </a:extLst>
                          </a:blip>
                          <a:stretch>
                            <a:fillRect/>
                          </a:stretch>
                        </pic:blipFill>
                        <pic:spPr>
                          <a:xfrm>
                            <a:off x="0" y="0"/>
                            <a:ext cx="2594282" cy="1701461"/>
                          </a:xfrm>
                          <a:prstGeom prst="rect">
                            <a:avLst/>
                          </a:prstGeom>
                        </pic:spPr>
                      </pic:pic>
                    </a:graphicData>
                  </a:graphic>
                </wp:inline>
              </w:drawing>
            </w:r>
          </w:p>
        </w:tc>
        <w:tc>
          <w:tcPr>
            <w:tcW w:w="4478" w:type="dxa"/>
          </w:tcPr>
          <w:p w14:paraId="1D015847" w14:textId="3774FBBD" w:rsidR="00D731CB" w:rsidRPr="00260790" w:rsidRDefault="00D731CB" w:rsidP="001F5C70">
            <w:pPr>
              <w:spacing w:line="240" w:lineRule="auto"/>
              <w:ind w:right="130"/>
              <w:rPr>
                <w:rFonts w:ascii="Times New Roman" w:hAnsi="Times New Roman"/>
                <w:b/>
                <w:color w:val="000000" w:themeColor="text1"/>
                <w:sz w:val="24"/>
                <w:szCs w:val="24"/>
                <w:lang w:val="fr-FR"/>
              </w:rPr>
            </w:pPr>
            <w:r w:rsidRPr="00260790">
              <w:rPr>
                <w:rFonts w:ascii="Times New Roman" w:hAnsi="Times New Roman"/>
                <w:b/>
                <w:noProof/>
                <w:color w:val="000000" w:themeColor="text1"/>
                <w:sz w:val="24"/>
                <w:szCs w:val="24"/>
              </w:rPr>
              <w:drawing>
                <wp:inline distT="0" distB="0" distL="0" distR="0" wp14:anchorId="1DEA5FB3" wp14:editId="6A67857B">
                  <wp:extent cx="2575290" cy="1685925"/>
                  <wp:effectExtent l="0" t="0" r="0" b="0"/>
                  <wp:docPr id="601942378"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942378" name="Image 601942378"/>
                          <pic:cNvPicPr/>
                        </pic:nvPicPr>
                        <pic:blipFill>
                          <a:blip r:embed="rId12" cstate="email">
                            <a:extLst>
                              <a:ext uri="{28A0092B-C50C-407E-A947-70E740481C1C}">
                                <a14:useLocalDpi xmlns:a14="http://schemas.microsoft.com/office/drawing/2010/main"/>
                              </a:ext>
                            </a:extLst>
                          </a:blip>
                          <a:stretch>
                            <a:fillRect/>
                          </a:stretch>
                        </pic:blipFill>
                        <pic:spPr>
                          <a:xfrm>
                            <a:off x="0" y="0"/>
                            <a:ext cx="2605238" cy="1705531"/>
                          </a:xfrm>
                          <a:prstGeom prst="rect">
                            <a:avLst/>
                          </a:prstGeom>
                        </pic:spPr>
                      </pic:pic>
                    </a:graphicData>
                  </a:graphic>
                </wp:inline>
              </w:drawing>
            </w:r>
          </w:p>
        </w:tc>
      </w:tr>
    </w:tbl>
    <w:p w14:paraId="101A0CBC" w14:textId="413C895F" w:rsidR="005F3FB7" w:rsidRPr="00260790" w:rsidRDefault="002931AD" w:rsidP="00E20250">
      <w:pPr>
        <w:spacing w:after="0" w:line="240" w:lineRule="auto"/>
        <w:ind w:right="130"/>
        <w:rPr>
          <w:rFonts w:ascii="Times New Roman" w:eastAsia="Times New Roman" w:hAnsi="Times New Roman"/>
          <w:b/>
          <w:bCs/>
          <w:color w:val="000000" w:themeColor="text1"/>
          <w:sz w:val="24"/>
          <w:szCs w:val="24"/>
          <w:lang w:eastAsia="fr-FR"/>
        </w:rPr>
      </w:pPr>
      <w:r w:rsidRPr="00260790">
        <w:rPr>
          <w:rFonts w:ascii="Times New Roman" w:hAnsi="Times New Roman"/>
          <w:noProof/>
          <w:color w:val="000000" w:themeColor="text1"/>
          <w:sz w:val="24"/>
          <w:szCs w:val="24"/>
          <w:lang w:val="en-US"/>
        </w:rPr>
        <mc:AlternateContent>
          <mc:Choice Requires="wps">
            <w:drawing>
              <wp:anchor distT="0" distB="0" distL="114300" distR="114300" simplePos="0" relativeHeight="251607040" behindDoc="0" locked="0" layoutInCell="1" allowOverlap="1" wp14:anchorId="6EBD3455" wp14:editId="5A02AAE9">
                <wp:simplePos x="0" y="0"/>
                <wp:positionH relativeFrom="column">
                  <wp:posOffset>-90062</wp:posOffset>
                </wp:positionH>
                <wp:positionV relativeFrom="paragraph">
                  <wp:posOffset>82049</wp:posOffset>
                </wp:positionV>
                <wp:extent cx="6045200" cy="1436721"/>
                <wp:effectExtent l="12700" t="12700" r="12700" b="11430"/>
                <wp:wrapNone/>
                <wp:docPr id="1"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436721"/>
                        </a:xfrm>
                        <a:prstGeom prst="roundRect">
                          <a:avLst/>
                        </a:prstGeom>
                        <a:solidFill>
                          <a:schemeClr val="accent1">
                            <a:lumMod val="20000"/>
                            <a:lumOff val="80000"/>
                          </a:schemeClr>
                        </a:solidFill>
                        <a:ln w="19050">
                          <a:solidFill>
                            <a:schemeClr val="accent5">
                              <a:lumMod val="50000"/>
                            </a:schemeClr>
                          </a:solidFill>
                        </a:ln>
                      </wps:spPr>
                      <wps:style>
                        <a:lnRef idx="2">
                          <a:schemeClr val="accent1"/>
                        </a:lnRef>
                        <a:fillRef idx="1">
                          <a:schemeClr val="lt1"/>
                        </a:fillRef>
                        <a:effectRef idx="0">
                          <a:schemeClr val="accent1"/>
                        </a:effectRef>
                        <a:fontRef idx="minor">
                          <a:schemeClr val="dk1"/>
                        </a:fontRef>
                      </wps:style>
                      <wps:txbx>
                        <w:txbxContent>
                          <w:p w14:paraId="5E0C514D" w14:textId="36E85351" w:rsidR="00041856" w:rsidRPr="00260790" w:rsidRDefault="00041856" w:rsidP="005F3FB7">
                            <w:pPr>
                              <w:pStyle w:val="Sansinterligne"/>
                              <w:jc w:val="center"/>
                              <w:rPr>
                                <w:rFonts w:ascii="Times New Roman" w:hAnsi="Times New Roman"/>
                                <w:b/>
                                <w:color w:val="262626" w:themeColor="text1" w:themeTint="D9"/>
                                <w:sz w:val="28"/>
                                <w:szCs w:val="28"/>
                                <w:lang w:val="fr-FR"/>
                              </w:rPr>
                            </w:pPr>
                            <w:r w:rsidRPr="00260790">
                              <w:rPr>
                                <w:rFonts w:ascii="Times New Roman" w:hAnsi="Times New Roman"/>
                                <w:b/>
                                <w:color w:val="262626" w:themeColor="text1" w:themeTint="D9"/>
                                <w:sz w:val="28"/>
                                <w:szCs w:val="28"/>
                                <w:lang w:val="fr-FR"/>
                              </w:rPr>
                              <w:t>ÉTUDE D’IMPACT ENVIRONNEMENTAL ET SOCIAL (EIES) DES TRAVAUX DE DRAINAGE, DE BASSINS ET DE VOIRIES DANS LE BASSIN VERSANT DE MBAO (RESTANT BV MBAO NORD ET SUD, MARIGOT ET EXUTOIRE)</w:t>
                            </w:r>
                          </w:p>
                          <w:p w14:paraId="616D65FC" w14:textId="08A83DD4" w:rsidR="00041856" w:rsidRPr="00260790" w:rsidRDefault="00041856" w:rsidP="005F3FB7">
                            <w:pPr>
                              <w:pStyle w:val="Sansinterligne"/>
                              <w:jc w:val="center"/>
                              <w:rPr>
                                <w:rFonts w:ascii="Times New Roman" w:hAnsi="Times New Roman"/>
                                <w:b/>
                                <w:color w:val="262626" w:themeColor="text1" w:themeTint="D9"/>
                                <w:sz w:val="28"/>
                                <w:szCs w:val="28"/>
                                <w:lang w:val="fr-FR"/>
                              </w:rPr>
                            </w:pPr>
                            <w:r w:rsidRPr="00260790">
                              <w:rPr>
                                <w:rFonts w:ascii="Times New Roman" w:hAnsi="Times New Roman"/>
                                <w:b/>
                                <w:color w:val="262626" w:themeColor="text1" w:themeTint="D9"/>
                                <w:sz w:val="28"/>
                                <w:szCs w:val="28"/>
                                <w:lang w:val="fr-FR"/>
                              </w:rPr>
                              <w:t>(</w:t>
                            </w:r>
                            <w:r w:rsidRPr="00260790">
                              <w:rPr>
                                <w:rFonts w:ascii="Times New Roman" w:hAnsi="Times New Roman"/>
                                <w:b/>
                                <w:i/>
                                <w:color w:val="262626" w:themeColor="text1" w:themeTint="D9"/>
                                <w:sz w:val="28"/>
                                <w:szCs w:val="28"/>
                                <w:lang w:val="fr-FR"/>
                              </w:rPr>
                              <w:t xml:space="preserve">Communes de Mbao, Rufisque Ouest, </w:t>
                            </w:r>
                            <w:proofErr w:type="spellStart"/>
                            <w:r w:rsidRPr="00260790">
                              <w:rPr>
                                <w:rFonts w:ascii="Times New Roman" w:hAnsi="Times New Roman"/>
                                <w:b/>
                                <w:i/>
                                <w:color w:val="262626" w:themeColor="text1" w:themeTint="D9"/>
                                <w:sz w:val="28"/>
                                <w:szCs w:val="28"/>
                                <w:lang w:val="fr-FR"/>
                              </w:rPr>
                              <w:t>Jaxaay</w:t>
                            </w:r>
                            <w:proofErr w:type="spellEnd"/>
                            <w:r w:rsidRPr="00260790">
                              <w:rPr>
                                <w:rFonts w:ascii="Times New Roman" w:hAnsi="Times New Roman"/>
                                <w:b/>
                                <w:i/>
                                <w:color w:val="262626" w:themeColor="text1" w:themeTint="D9"/>
                                <w:sz w:val="28"/>
                                <w:szCs w:val="28"/>
                                <w:lang w:val="fr-FR"/>
                              </w:rPr>
                              <w:t>-Parcelles et Keur Massar Sud</w:t>
                            </w:r>
                            <w:r w:rsidRPr="00260790">
                              <w:rPr>
                                <w:rFonts w:ascii="Times New Roman" w:hAnsi="Times New Roman"/>
                                <w:b/>
                                <w:color w:val="262626" w:themeColor="text1" w:themeTint="D9"/>
                                <w:sz w:val="28"/>
                                <w:szCs w:val="28"/>
                                <w:lang w:val="fr-FR"/>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EBD3455" id="Rectangle: Rounded Corners 1" o:spid="_x0000_s1026" style="position:absolute;margin-left:-7.1pt;margin-top:6.45pt;width:476pt;height:113.1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" fillcolor="#deeaf6 [660]" strokecolor="#1f3763 [1608]" strokeweight="1.5pt">
                <v:stroke joinstyle="miter"/>
                <v:path arrowok="t"/>
                <v:textbox>
                  <w:txbxContent>
                    <w:p w14:paraId="5E0C514D" w14:textId="36E85351" w:rsidR="00041856" w:rsidRPr="00260790" w:rsidRDefault="00041856" w:rsidP="005F3FB7">
                      <w:pPr>
                        <w:pStyle w:val="Sansinterligne"/>
                        <w:jc w:val="center"/>
                        <w:rPr>
                          <w:rFonts w:ascii="Times New Roman" w:hAnsi="Times New Roman"/>
                          <w:b/>
                          <w:color w:val="262626" w:themeColor="text1" w:themeTint="D9"/>
                          <w:sz w:val="28"/>
                          <w:szCs w:val="28"/>
                          <w:lang w:val="fr-FR"/>
                        </w:rPr>
                      </w:pPr>
                      <w:r w:rsidRPr="00260790">
                        <w:rPr>
                          <w:rFonts w:ascii="Times New Roman" w:hAnsi="Times New Roman"/>
                          <w:b/>
                          <w:color w:val="262626" w:themeColor="text1" w:themeTint="D9"/>
                          <w:sz w:val="28"/>
                          <w:szCs w:val="28"/>
                          <w:lang w:val="fr-FR"/>
                        </w:rPr>
                        <w:t>ÉTUDE D’IMPACT ENVIRONNEMENTAL ET SOCIAL (EIES) DES TRAVAUX DE DRAINAGE, DE BASSINS ET DE VOIRIES DANS LE BASSIN VERSANT DE MBAO (RESTANT BV MBAO NORD ET SUD, MARIGOT ET EXUTOIRE)</w:t>
                      </w:r>
                    </w:p>
                    <w:p w14:paraId="616D65FC" w14:textId="08A83DD4" w:rsidR="00041856" w:rsidRPr="00260790" w:rsidRDefault="00041856" w:rsidP="005F3FB7">
                      <w:pPr>
                        <w:pStyle w:val="Sansinterligne"/>
                        <w:jc w:val="center"/>
                        <w:rPr>
                          <w:rFonts w:ascii="Times New Roman" w:hAnsi="Times New Roman"/>
                          <w:b/>
                          <w:color w:val="262626" w:themeColor="text1" w:themeTint="D9"/>
                          <w:sz w:val="28"/>
                          <w:szCs w:val="28"/>
                          <w:lang w:val="fr-FR"/>
                        </w:rPr>
                      </w:pPr>
                      <w:r w:rsidRPr="00260790">
                        <w:rPr>
                          <w:rFonts w:ascii="Times New Roman" w:hAnsi="Times New Roman"/>
                          <w:b/>
                          <w:color w:val="262626" w:themeColor="text1" w:themeTint="D9"/>
                          <w:sz w:val="28"/>
                          <w:szCs w:val="28"/>
                          <w:lang w:val="fr-FR"/>
                        </w:rPr>
                        <w:t>(</w:t>
                      </w:r>
                      <w:r w:rsidRPr="00260790">
                        <w:rPr>
                          <w:rFonts w:ascii="Times New Roman" w:hAnsi="Times New Roman"/>
                          <w:b/>
                          <w:i/>
                          <w:color w:val="262626" w:themeColor="text1" w:themeTint="D9"/>
                          <w:sz w:val="28"/>
                          <w:szCs w:val="28"/>
                          <w:lang w:val="fr-FR"/>
                        </w:rPr>
                        <w:t xml:space="preserve">Communes de Mbao, Rufisque Ouest, </w:t>
                      </w:r>
                      <w:proofErr w:type="spellStart"/>
                      <w:r w:rsidRPr="00260790">
                        <w:rPr>
                          <w:rFonts w:ascii="Times New Roman" w:hAnsi="Times New Roman"/>
                          <w:b/>
                          <w:i/>
                          <w:color w:val="262626" w:themeColor="text1" w:themeTint="D9"/>
                          <w:sz w:val="28"/>
                          <w:szCs w:val="28"/>
                          <w:lang w:val="fr-FR"/>
                        </w:rPr>
                        <w:t>Jaxaay</w:t>
                      </w:r>
                      <w:proofErr w:type="spellEnd"/>
                      <w:r w:rsidRPr="00260790">
                        <w:rPr>
                          <w:rFonts w:ascii="Times New Roman" w:hAnsi="Times New Roman"/>
                          <w:b/>
                          <w:i/>
                          <w:color w:val="262626" w:themeColor="text1" w:themeTint="D9"/>
                          <w:sz w:val="28"/>
                          <w:szCs w:val="28"/>
                          <w:lang w:val="fr-FR"/>
                        </w:rPr>
                        <w:t>-Parcelles et Keur Massar Sud</w:t>
                      </w:r>
                      <w:r w:rsidRPr="00260790">
                        <w:rPr>
                          <w:rFonts w:ascii="Times New Roman" w:hAnsi="Times New Roman"/>
                          <w:b/>
                          <w:color w:val="262626" w:themeColor="text1" w:themeTint="D9"/>
                          <w:sz w:val="28"/>
                          <w:szCs w:val="28"/>
                          <w:lang w:val="fr-FR"/>
                        </w:rPr>
                        <w:t>)</w:t>
                      </w:r>
                    </w:p>
                  </w:txbxContent>
                </v:textbox>
              </v:roundrect>
            </w:pict>
          </mc:Fallback>
        </mc:AlternateContent>
      </w:r>
    </w:p>
    <w:p w14:paraId="53663676" w14:textId="77777777" w:rsidR="00BD1A2F" w:rsidRPr="00260790" w:rsidRDefault="00BD1A2F" w:rsidP="00E20250">
      <w:pPr>
        <w:spacing w:after="0" w:line="240" w:lineRule="auto"/>
        <w:ind w:right="130"/>
        <w:rPr>
          <w:rFonts w:ascii="Times New Roman" w:eastAsia="Times New Roman" w:hAnsi="Times New Roman"/>
          <w:b/>
          <w:bCs/>
          <w:color w:val="000000" w:themeColor="text1"/>
          <w:sz w:val="24"/>
          <w:szCs w:val="24"/>
          <w:lang w:eastAsia="fr-FR"/>
        </w:rPr>
      </w:pPr>
    </w:p>
    <w:p w14:paraId="52673374" w14:textId="77777777" w:rsidR="005F3FB7" w:rsidRPr="00260790" w:rsidRDefault="005F3FB7" w:rsidP="00E20250">
      <w:pPr>
        <w:spacing w:after="0" w:line="240" w:lineRule="auto"/>
        <w:jc w:val="center"/>
        <w:rPr>
          <w:rFonts w:ascii="Times New Roman" w:eastAsia="Times New Roman" w:hAnsi="Times New Roman"/>
          <w:b/>
          <w:bCs/>
          <w:color w:val="000000" w:themeColor="text1"/>
          <w:sz w:val="24"/>
          <w:szCs w:val="24"/>
          <w:lang w:eastAsia="fr-FR"/>
        </w:rPr>
      </w:pPr>
    </w:p>
    <w:p w14:paraId="5C2DDAF5" w14:textId="77777777" w:rsidR="005F3FB7" w:rsidRPr="00260790" w:rsidRDefault="005F3FB7" w:rsidP="00E20250">
      <w:pPr>
        <w:spacing w:after="0" w:line="240" w:lineRule="auto"/>
        <w:jc w:val="center"/>
        <w:rPr>
          <w:rFonts w:ascii="Times New Roman" w:eastAsia="Times New Roman" w:hAnsi="Times New Roman"/>
          <w:b/>
          <w:bCs/>
          <w:color w:val="000000" w:themeColor="text1"/>
          <w:sz w:val="24"/>
          <w:szCs w:val="24"/>
          <w:lang w:eastAsia="fr-FR"/>
        </w:rPr>
      </w:pPr>
    </w:p>
    <w:p w14:paraId="6635BF78" w14:textId="77777777" w:rsidR="005F3FB7" w:rsidRPr="00260790" w:rsidRDefault="005F3FB7" w:rsidP="00E20250">
      <w:pPr>
        <w:spacing w:after="0" w:line="240" w:lineRule="auto"/>
        <w:jc w:val="center"/>
        <w:rPr>
          <w:rFonts w:ascii="Times New Roman" w:eastAsia="Times New Roman" w:hAnsi="Times New Roman"/>
          <w:b/>
          <w:bCs/>
          <w:color w:val="000000" w:themeColor="text1"/>
          <w:sz w:val="24"/>
          <w:szCs w:val="24"/>
          <w:lang w:eastAsia="fr-FR"/>
        </w:rPr>
      </w:pPr>
    </w:p>
    <w:p w14:paraId="36FF4FF6" w14:textId="77777777" w:rsidR="005F3FB7" w:rsidRPr="00260790" w:rsidRDefault="005F3FB7" w:rsidP="00E20250">
      <w:pPr>
        <w:spacing w:after="0" w:line="240" w:lineRule="auto"/>
        <w:jc w:val="center"/>
        <w:rPr>
          <w:rFonts w:ascii="Times New Roman" w:eastAsia="Times New Roman" w:hAnsi="Times New Roman"/>
          <w:b/>
          <w:bCs/>
          <w:color w:val="000000" w:themeColor="text1"/>
          <w:sz w:val="24"/>
          <w:szCs w:val="24"/>
          <w:lang w:eastAsia="fr-FR"/>
        </w:rPr>
      </w:pPr>
    </w:p>
    <w:p w14:paraId="7BAB6362" w14:textId="77777777" w:rsidR="005F3FB7" w:rsidRPr="00260790" w:rsidRDefault="005F3FB7" w:rsidP="00E20250">
      <w:pPr>
        <w:spacing w:after="0" w:line="240" w:lineRule="auto"/>
        <w:jc w:val="center"/>
        <w:rPr>
          <w:rFonts w:ascii="Times New Roman" w:eastAsia="Times New Roman" w:hAnsi="Times New Roman"/>
          <w:b/>
          <w:bCs/>
          <w:color w:val="000000" w:themeColor="text1"/>
          <w:sz w:val="24"/>
          <w:szCs w:val="24"/>
          <w:lang w:eastAsia="fr-FR"/>
        </w:rPr>
      </w:pPr>
    </w:p>
    <w:p w14:paraId="7910B0B1" w14:textId="77777777" w:rsidR="005F3FB7" w:rsidRPr="00260790" w:rsidRDefault="005F3FB7" w:rsidP="00E20250">
      <w:pPr>
        <w:spacing w:after="0" w:line="240" w:lineRule="auto"/>
        <w:jc w:val="center"/>
        <w:rPr>
          <w:rFonts w:ascii="Times New Roman" w:eastAsia="Times New Roman" w:hAnsi="Times New Roman"/>
          <w:b/>
          <w:bCs/>
          <w:color w:val="000000" w:themeColor="text1"/>
          <w:sz w:val="24"/>
          <w:szCs w:val="24"/>
          <w:lang w:eastAsia="fr-FR"/>
        </w:rPr>
      </w:pPr>
    </w:p>
    <w:p w14:paraId="05111422" w14:textId="77777777" w:rsidR="005F3FB7" w:rsidRPr="00260790" w:rsidRDefault="005F3FB7" w:rsidP="00E20250">
      <w:pPr>
        <w:spacing w:after="0" w:line="240" w:lineRule="auto"/>
        <w:rPr>
          <w:rFonts w:ascii="Times New Roman" w:eastAsia="Times New Roman" w:hAnsi="Times New Roman"/>
          <w:b/>
          <w:bCs/>
          <w:color w:val="000000" w:themeColor="text1"/>
          <w:sz w:val="24"/>
          <w:szCs w:val="24"/>
          <w:lang w:eastAsia="fr-FR"/>
        </w:rPr>
      </w:pPr>
    </w:p>
    <w:p w14:paraId="174B25AE" w14:textId="6224F6BC" w:rsidR="005F3FB7" w:rsidRPr="00260790" w:rsidRDefault="005F3FB7" w:rsidP="00E20250">
      <w:pPr>
        <w:spacing w:after="0" w:line="240" w:lineRule="auto"/>
        <w:jc w:val="center"/>
        <w:rPr>
          <w:rFonts w:ascii="Times New Roman" w:eastAsia="Times New Roman" w:hAnsi="Times New Roman"/>
          <w:b/>
          <w:bCs/>
          <w:color w:val="000000" w:themeColor="text1"/>
          <w:sz w:val="24"/>
          <w:szCs w:val="24"/>
          <w:lang w:eastAsia="fr-FR"/>
        </w:rPr>
      </w:pPr>
      <w:r w:rsidRPr="00260790">
        <w:rPr>
          <w:rFonts w:ascii="Times New Roman" w:eastAsia="Times New Roman" w:hAnsi="Times New Roman"/>
          <w:b/>
          <w:bCs/>
          <w:color w:val="000000" w:themeColor="text1"/>
          <w:sz w:val="24"/>
          <w:szCs w:val="24"/>
          <w:lang w:eastAsia="fr-FR"/>
        </w:rPr>
        <w:t xml:space="preserve">Rapport </w:t>
      </w:r>
      <w:r w:rsidR="002931AD" w:rsidRPr="00260790">
        <w:rPr>
          <w:rFonts w:ascii="Times New Roman" w:eastAsia="Times New Roman" w:hAnsi="Times New Roman"/>
          <w:b/>
          <w:bCs/>
          <w:color w:val="000000" w:themeColor="text1"/>
          <w:sz w:val="24"/>
          <w:szCs w:val="24"/>
          <w:lang w:eastAsia="fr-FR"/>
        </w:rPr>
        <w:t>provisoire</w:t>
      </w:r>
      <w:r w:rsidRPr="00260790">
        <w:rPr>
          <w:rFonts w:ascii="Times New Roman" w:eastAsia="Times New Roman" w:hAnsi="Times New Roman"/>
          <w:b/>
          <w:bCs/>
          <w:color w:val="000000" w:themeColor="text1"/>
          <w:sz w:val="24"/>
          <w:szCs w:val="24"/>
          <w:lang w:eastAsia="fr-FR"/>
        </w:rPr>
        <w:t xml:space="preserve"> </w:t>
      </w:r>
    </w:p>
    <w:p w14:paraId="1CA2808B" w14:textId="50458654" w:rsidR="00101B08" w:rsidRPr="00260790" w:rsidRDefault="00101B08" w:rsidP="00E20250">
      <w:pPr>
        <w:spacing w:after="0" w:line="240" w:lineRule="auto"/>
        <w:jc w:val="right"/>
        <w:rPr>
          <w:rFonts w:ascii="Times New Roman" w:eastAsia="Times New Roman" w:hAnsi="Times New Roman"/>
          <w:b/>
          <w:bCs/>
          <w:color w:val="000000" w:themeColor="text1"/>
          <w:sz w:val="24"/>
          <w:szCs w:val="24"/>
          <w:lang w:eastAsia="fr-FR"/>
        </w:rPr>
      </w:pPr>
    </w:p>
    <w:p w14:paraId="19FB3B7B" w14:textId="77777777" w:rsidR="00BD1A2F" w:rsidRPr="00260790" w:rsidRDefault="00BD1A2F" w:rsidP="00E20250">
      <w:pPr>
        <w:spacing w:after="0" w:line="240" w:lineRule="auto"/>
        <w:jc w:val="right"/>
        <w:rPr>
          <w:rFonts w:ascii="Times New Roman" w:eastAsia="Times New Roman" w:hAnsi="Times New Roman"/>
          <w:b/>
          <w:bCs/>
          <w:color w:val="000000" w:themeColor="text1"/>
          <w:sz w:val="24"/>
          <w:szCs w:val="24"/>
          <w:lang w:eastAsia="fr-FR"/>
        </w:rPr>
      </w:pPr>
    </w:p>
    <w:p w14:paraId="2852ED72" w14:textId="77777777" w:rsidR="003771B2" w:rsidRPr="00260790" w:rsidRDefault="003771B2" w:rsidP="00E20250">
      <w:pPr>
        <w:spacing w:after="0" w:line="240" w:lineRule="auto"/>
        <w:jc w:val="right"/>
        <w:rPr>
          <w:rFonts w:ascii="Times New Roman" w:eastAsia="Times New Roman" w:hAnsi="Times New Roman"/>
          <w:b/>
          <w:bCs/>
          <w:color w:val="000000" w:themeColor="text1"/>
          <w:sz w:val="24"/>
          <w:szCs w:val="24"/>
          <w:lang w:eastAsia="fr-FR"/>
        </w:rPr>
      </w:pPr>
    </w:p>
    <w:bookmarkStart w:id="0" w:name="_Hlk106652078"/>
    <w:bookmarkEnd w:id="0"/>
    <w:p w14:paraId="212A1516" w14:textId="318AFDE1" w:rsidR="00101B08" w:rsidRPr="00260790" w:rsidRDefault="00704297" w:rsidP="00E20250">
      <w:pPr>
        <w:tabs>
          <w:tab w:val="center" w:pos="4536"/>
          <w:tab w:val="right" w:pos="9072"/>
        </w:tabs>
        <w:spacing w:after="0" w:line="240" w:lineRule="auto"/>
        <w:jc w:val="center"/>
        <w:rPr>
          <w:rFonts w:ascii="Times New Roman" w:hAnsi="Times New Roman"/>
          <w:color w:val="000000" w:themeColor="text1"/>
          <w:sz w:val="24"/>
          <w:szCs w:val="24"/>
        </w:rPr>
      </w:pPr>
      <w:r w:rsidRPr="00260790">
        <w:rPr>
          <w:rFonts w:ascii="Times New Roman" w:hAnsi="Times New Roman"/>
          <w:noProof/>
          <w:color w:val="000000" w:themeColor="text1"/>
          <w:sz w:val="24"/>
          <w:szCs w:val="24"/>
          <w:lang w:val="en-US"/>
        </w:rPr>
        <mc:AlternateContent>
          <mc:Choice Requires="wps">
            <w:drawing>
              <wp:anchor distT="0" distB="0" distL="114300" distR="114300" simplePos="0" relativeHeight="251613184" behindDoc="0" locked="0" layoutInCell="1" allowOverlap="1" wp14:anchorId="601A1B11" wp14:editId="14A42134">
                <wp:simplePos x="0" y="0"/>
                <wp:positionH relativeFrom="margin">
                  <wp:posOffset>-942340</wp:posOffset>
                </wp:positionH>
                <wp:positionV relativeFrom="paragraph">
                  <wp:posOffset>1445895</wp:posOffset>
                </wp:positionV>
                <wp:extent cx="7620635" cy="40640"/>
                <wp:effectExtent l="19050" t="19050" r="37465" b="35560"/>
                <wp:wrapNone/>
                <wp:docPr id="451" name="Straight Connector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620635" cy="40640"/>
                        </a:xfrm>
                        <a:prstGeom prst="line">
                          <a:avLst/>
                        </a:prstGeom>
                        <a:ln w="38100">
                          <a:solidFill>
                            <a:srgbClr val="92D050"/>
                          </a:solidFill>
                          <a:headEnd/>
                          <a:tailEnd/>
                        </a:ln>
                      </wps:spPr>
                      <wps:style>
                        <a:lnRef idx="3">
                          <a:schemeClr val="accent4"/>
                        </a:lnRef>
                        <a:fillRef idx="0">
                          <a:schemeClr val="accent4"/>
                        </a:fillRef>
                        <a:effectRef idx="2">
                          <a:schemeClr val="accent4"/>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64D45E7" id="Straight Connector 451" o:spid="_x0000_s1026" style="position:absolute;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4.2pt,113.85pt" to="525.85pt,1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" strokecolor="#92d050" strokeweight="3pt">
                <v:stroke joinstyle="miter"/>
                <o:lock v:ext="edit" shapetype="f"/>
                <w10:wrap anchorx="margin"/>
              </v:line>
            </w:pict>
          </mc:Fallback>
        </mc:AlternateContent>
      </w:r>
      <w:r w:rsidRPr="00260790">
        <w:rPr>
          <w:rFonts w:ascii="Times New Roman" w:hAnsi="Times New Roman"/>
          <w:noProof/>
          <w:color w:val="000000" w:themeColor="text1"/>
          <w:sz w:val="24"/>
          <w:szCs w:val="24"/>
          <w:lang w:val="en-US"/>
        </w:rPr>
        <mc:AlternateContent>
          <mc:Choice Requires="wps">
            <w:drawing>
              <wp:anchor distT="0" distB="0" distL="114300" distR="114300" simplePos="0" relativeHeight="251611136" behindDoc="0" locked="0" layoutInCell="1" allowOverlap="1" wp14:anchorId="43514657" wp14:editId="0E51B378">
                <wp:simplePos x="0" y="0"/>
                <wp:positionH relativeFrom="margin">
                  <wp:posOffset>-1283970</wp:posOffset>
                </wp:positionH>
                <wp:positionV relativeFrom="paragraph">
                  <wp:posOffset>1339215</wp:posOffset>
                </wp:positionV>
                <wp:extent cx="8091805" cy="0"/>
                <wp:effectExtent l="0" t="19050" r="23495" b="1905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91805" cy="0"/>
                        </a:xfrm>
                        <a:prstGeom prst="line">
                          <a:avLst/>
                        </a:prstGeom>
                        <a:ln w="38100">
                          <a:solidFill>
                            <a:srgbClr val="92D050"/>
                          </a:solidFill>
                          <a:headEnd/>
                          <a:tailEnd/>
                        </a:ln>
                      </wps:spPr>
                      <wps:style>
                        <a:lnRef idx="3">
                          <a:schemeClr val="accent4"/>
                        </a:lnRef>
                        <a:fillRef idx="0">
                          <a:schemeClr val="accent4"/>
                        </a:fillRef>
                        <a:effectRef idx="2">
                          <a:schemeClr val="accent4"/>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15A6F73" id="Straight Connector 60" o:spid="_x0000_s1026" style="position:absolute;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1.1pt,105.45pt" to="536.05pt,10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" strokecolor="#92d050" strokeweight="3pt">
                <v:stroke joinstyle="miter"/>
                <o:lock v:ext="edit" shapetype="f"/>
                <w10:wrap anchorx="margin"/>
              </v:line>
            </w:pict>
          </mc:Fallback>
        </mc:AlternateConten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2875"/>
        <w:gridCol w:w="2498"/>
      </w:tblGrid>
      <w:tr w:rsidR="00BD1A2F" w:rsidRPr="00260790" w14:paraId="786D398E" w14:textId="77777777" w:rsidTr="00D46820">
        <w:tc>
          <w:tcPr>
            <w:tcW w:w="3681" w:type="dxa"/>
            <w:vAlign w:val="center"/>
          </w:tcPr>
          <w:p w14:paraId="6677B67F" w14:textId="77777777" w:rsidR="00101B08" w:rsidRPr="00260790" w:rsidRDefault="00101B08" w:rsidP="00E20250">
            <w:pPr>
              <w:tabs>
                <w:tab w:val="center" w:pos="4536"/>
                <w:tab w:val="right" w:pos="9072"/>
              </w:tabs>
              <w:spacing w:line="240" w:lineRule="auto"/>
              <w:jc w:val="center"/>
              <w:rPr>
                <w:rFonts w:ascii="Times New Roman" w:hAnsi="Times New Roman"/>
                <w:color w:val="000000" w:themeColor="text1"/>
                <w:sz w:val="24"/>
                <w:szCs w:val="24"/>
                <w:lang w:val="fr-FR"/>
              </w:rPr>
            </w:pPr>
            <w:r w:rsidRPr="00260790">
              <w:rPr>
                <w:rFonts w:ascii="Times New Roman" w:hAnsi="Times New Roman"/>
                <w:noProof/>
                <w:color w:val="000000" w:themeColor="text1"/>
                <w:sz w:val="24"/>
                <w:szCs w:val="24"/>
              </w:rPr>
              <w:drawing>
                <wp:inline distT="0" distB="0" distL="0" distR="0" wp14:anchorId="3812C13F" wp14:editId="7487D2EC">
                  <wp:extent cx="2190750" cy="527050"/>
                  <wp:effectExtent l="0" t="0" r="0" b="6350"/>
                  <wp:docPr id="1621968472" name="Picture 1621968472" descr="Une image contenant texte, logo&#10;&#10;Description générée automatiquement"/>
                  <wp:cNvGraphicFramePr/>
                  <a:graphic xmlns:a="http://schemas.openxmlformats.org/drawingml/2006/main">
                    <a:graphicData uri="http://schemas.openxmlformats.org/drawingml/2006/picture">
                      <pic:pic xmlns:pic="http://schemas.openxmlformats.org/drawingml/2006/picture">
                        <pic:nvPicPr>
                          <pic:cNvPr id="75" name="Picture 75" descr="Une image contenant texte, logo&#10;&#10;Description générée automatiquement"/>
                          <pic:cNvPicPr/>
                        </pic:nvPicPr>
                        <pic:blipFill>
                          <a:blip r:embed="rId13" cstate="email">
                            <a:extLst>
                              <a:ext uri="{28A0092B-C50C-407E-A947-70E740481C1C}">
                                <a14:useLocalDpi xmlns:a14="http://schemas.microsoft.com/office/drawing/2010/main"/>
                              </a:ext>
                            </a:extLst>
                          </a:blip>
                          <a:stretch>
                            <a:fillRect/>
                          </a:stretch>
                        </pic:blipFill>
                        <pic:spPr>
                          <a:xfrm>
                            <a:off x="0" y="0"/>
                            <a:ext cx="2286082" cy="549985"/>
                          </a:xfrm>
                          <a:prstGeom prst="rect">
                            <a:avLst/>
                          </a:prstGeom>
                        </pic:spPr>
                      </pic:pic>
                    </a:graphicData>
                  </a:graphic>
                </wp:inline>
              </w:drawing>
            </w:r>
          </w:p>
        </w:tc>
        <w:tc>
          <w:tcPr>
            <w:tcW w:w="2875" w:type="dxa"/>
            <w:vAlign w:val="center"/>
          </w:tcPr>
          <w:p w14:paraId="19A1073F" w14:textId="56B6AEFE" w:rsidR="00101B08" w:rsidRPr="00260790" w:rsidRDefault="00BD1A2F" w:rsidP="00E20250">
            <w:pPr>
              <w:tabs>
                <w:tab w:val="center" w:pos="4536"/>
                <w:tab w:val="right" w:pos="9072"/>
              </w:tabs>
              <w:spacing w:line="240" w:lineRule="auto"/>
              <w:jc w:val="center"/>
              <w:rPr>
                <w:rFonts w:ascii="Times New Roman" w:hAnsi="Times New Roman"/>
                <w:color w:val="000000" w:themeColor="text1"/>
                <w:sz w:val="24"/>
                <w:szCs w:val="24"/>
                <w:lang w:val="fr-FR"/>
              </w:rPr>
            </w:pPr>
            <w:r w:rsidRPr="00260790">
              <w:rPr>
                <w:rFonts w:ascii="Times New Roman" w:hAnsi="Times New Roman"/>
                <w:noProof/>
                <w:color w:val="000000" w:themeColor="text1"/>
                <w:sz w:val="24"/>
                <w:szCs w:val="24"/>
              </w:rPr>
              <mc:AlternateContent>
                <mc:Choice Requires="wps">
                  <w:drawing>
                    <wp:anchor distT="0" distB="0" distL="114300" distR="114300" simplePos="0" relativeHeight="251709440" behindDoc="0" locked="0" layoutInCell="1" allowOverlap="1" wp14:anchorId="1145EF28" wp14:editId="47AFF853">
                      <wp:simplePos x="0" y="0"/>
                      <wp:positionH relativeFrom="margin">
                        <wp:posOffset>-2370455</wp:posOffset>
                      </wp:positionH>
                      <wp:positionV relativeFrom="paragraph">
                        <wp:posOffset>-198120</wp:posOffset>
                      </wp:positionV>
                      <wp:extent cx="5821680" cy="17780"/>
                      <wp:effectExtent l="38100" t="38100" r="58420" b="83820"/>
                      <wp:wrapNone/>
                      <wp:docPr id="1758256310" name="Straight Connector 1758256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21680" cy="17780"/>
                              </a:xfrm>
                              <a:prstGeom prst="line">
                                <a:avLst/>
                              </a:prstGeom>
                              <a:noFill/>
                              <a:ln w="38100" algn="ctr">
                                <a:solidFill>
                                  <a:srgbClr val="C0504D"/>
                                </a:solidFill>
                                <a:round/>
                                <a:headEnd/>
                                <a:tailEnd/>
                              </a:ln>
                              <a:effectLst>
                                <a:outerShdw blurRad="400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24676" id="Straight Connector 1758256310"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6.65pt,-15.6pt" to="271.7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" strokecolor="#c0504d" strokeweight="3pt">
                      <v:shadow on="t" color="black" opacity="22936f" origin=",.5" offset="0,.63889mm"/>
                      <o:lock v:ext="edit" shapetype="f"/>
                      <w10:wrap anchorx="margin"/>
                    </v:line>
                  </w:pict>
                </mc:Fallback>
              </mc:AlternateContent>
            </w:r>
          </w:p>
        </w:tc>
        <w:tc>
          <w:tcPr>
            <w:tcW w:w="2498" w:type="dxa"/>
            <w:vAlign w:val="center"/>
          </w:tcPr>
          <w:p w14:paraId="519FBEF2" w14:textId="77777777" w:rsidR="00101B08" w:rsidRPr="00260790" w:rsidRDefault="00101B08" w:rsidP="0097258B">
            <w:pPr>
              <w:tabs>
                <w:tab w:val="center" w:pos="4536"/>
                <w:tab w:val="right" w:pos="9072"/>
              </w:tabs>
              <w:spacing w:line="240" w:lineRule="auto"/>
              <w:jc w:val="right"/>
              <w:rPr>
                <w:rFonts w:ascii="Times New Roman" w:hAnsi="Times New Roman"/>
                <w:color w:val="000000" w:themeColor="text1"/>
                <w:sz w:val="24"/>
                <w:szCs w:val="24"/>
                <w:lang w:val="fr-FR"/>
              </w:rPr>
            </w:pPr>
            <w:r w:rsidRPr="00260790">
              <w:rPr>
                <w:rFonts w:ascii="Times New Roman" w:eastAsia="Times New Roman" w:hAnsi="Times New Roman"/>
                <w:noProof/>
                <w:color w:val="000000" w:themeColor="text1"/>
                <w:sz w:val="24"/>
                <w:szCs w:val="24"/>
              </w:rPr>
              <w:drawing>
                <wp:inline distT="0" distB="0" distL="0" distR="0" wp14:anchorId="1E6028A9" wp14:editId="0D755C6D">
                  <wp:extent cx="1072151" cy="399901"/>
                  <wp:effectExtent l="0" t="0" r="0" b="0"/>
                  <wp:docPr id="40565113" name="Picture 40565113" descr="C:\Users\Lenovo\Downloads\Outlook-wpm5xp2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4" descr="C:\Users\Lenovo\Downloads\Outlook-wpm5xp2g.png"/>
                          <pic:cNvPicPr>
                            <a:picLocks/>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1126908" cy="420325"/>
                          </a:xfrm>
                          <a:prstGeom prst="rect">
                            <a:avLst/>
                          </a:prstGeom>
                          <a:noFill/>
                          <a:ln>
                            <a:noFill/>
                          </a:ln>
                        </pic:spPr>
                      </pic:pic>
                    </a:graphicData>
                  </a:graphic>
                </wp:inline>
              </w:drawing>
            </w:r>
          </w:p>
        </w:tc>
      </w:tr>
    </w:tbl>
    <w:p w14:paraId="13A4B5F8" w14:textId="3C3A80DF" w:rsidR="00CF0163" w:rsidRDefault="007B7AE8" w:rsidP="00E20250">
      <w:pPr>
        <w:pStyle w:val="Style1"/>
        <w:pBdr>
          <w:bottom w:val="none" w:sz="0" w:space="0" w:color="auto"/>
        </w:pBdr>
        <w:spacing w:after="100" w:afterAutospacing="1" w:line="240" w:lineRule="auto"/>
        <w:outlineLvl w:val="0"/>
        <w:rPr>
          <w:caps w:val="0"/>
          <w:color w:val="000000" w:themeColor="text1"/>
          <w:szCs w:val="24"/>
        </w:rPr>
      </w:pPr>
      <w:r w:rsidRPr="00260790">
        <w:rPr>
          <w:rFonts w:eastAsiaTheme="minorEastAsia"/>
          <w:b w:val="0"/>
          <w:noProof/>
          <w:color w:val="000000" w:themeColor="text1"/>
          <w:szCs w:val="24"/>
          <w:lang w:val="en-US"/>
        </w:rPr>
        <mc:AlternateContent>
          <mc:Choice Requires="wps">
            <w:drawing>
              <wp:anchor distT="0" distB="0" distL="114300" distR="114300" simplePos="0" relativeHeight="251600896" behindDoc="0" locked="0" layoutInCell="1" allowOverlap="1" wp14:anchorId="314A2CE5" wp14:editId="68C37B66">
                <wp:simplePos x="0" y="0"/>
                <wp:positionH relativeFrom="margin">
                  <wp:posOffset>-914037</wp:posOffset>
                </wp:positionH>
                <wp:positionV relativeFrom="paragraph">
                  <wp:posOffset>541292</wp:posOffset>
                </wp:positionV>
                <wp:extent cx="7571105" cy="919843"/>
                <wp:effectExtent l="63500" t="63500" r="74295" b="71120"/>
                <wp:wrapNone/>
                <wp:docPr id="4" name="Rectangle 4"/>
                <wp:cNvGraphicFramePr/>
                <a:graphic xmlns:a="http://schemas.openxmlformats.org/drawingml/2006/main">
                  <a:graphicData uri="http://schemas.microsoft.com/office/word/2010/wordprocessingShape">
                    <wps:wsp>
                      <wps:cNvSpPr/>
                      <wps:spPr>
                        <a:xfrm>
                          <a:off x="0" y="0"/>
                          <a:ext cx="7571105" cy="919843"/>
                        </a:xfrm>
                        <a:prstGeom prst="rect">
                          <a:avLst/>
                        </a:prstGeom>
                        <a:solidFill>
                          <a:srgbClr val="0070C0"/>
                        </a:solidFill>
                        <a:ln w="12700" cap="flat" cmpd="sng" algn="ctr">
                          <a:solidFill>
                            <a:schemeClr val="accent5"/>
                          </a:solidFill>
                          <a:prstDash val="solid"/>
                          <a:miter lim="800000"/>
                        </a:ln>
                        <a:effectLst>
                          <a:glow rad="63500">
                            <a:schemeClr val="accent5">
                              <a:satMod val="175000"/>
                              <a:alpha val="40000"/>
                            </a:schemeClr>
                          </a:glow>
                        </a:effectLst>
                      </wps:spPr>
                      <wps:txbx>
                        <w:txbxContent>
                          <w:p w14:paraId="1D47BD61" w14:textId="091F34FA" w:rsidR="00041856" w:rsidRPr="000676A1" w:rsidRDefault="00902E42" w:rsidP="005F3FB7">
                            <w:pPr>
                              <w:ind w:left="708" w:right="1422"/>
                              <w:jc w:val="right"/>
                              <w:rPr>
                                <w:color w:val="FFFFFF" w:themeColor="background1"/>
                                <w:sz w:val="24"/>
                                <w:szCs w:val="24"/>
                              </w:rPr>
                            </w:pPr>
                            <w:r>
                              <w:rPr>
                                <w:rFonts w:ascii="Times New Roman" w:eastAsia="Times New Roman" w:hAnsi="Times New Roman"/>
                                <w:b/>
                                <w:bCs/>
                                <w:color w:val="FFFFFF" w:themeColor="background1"/>
                                <w:sz w:val="24"/>
                                <w:szCs w:val="28"/>
                                <w:lang w:eastAsia="fr-FR"/>
                              </w:rPr>
                              <w:t>Janvier</w:t>
                            </w:r>
                            <w:r w:rsidRPr="000676A1">
                              <w:rPr>
                                <w:rFonts w:ascii="Times New Roman" w:eastAsia="Times New Roman" w:hAnsi="Times New Roman"/>
                                <w:b/>
                                <w:bCs/>
                                <w:color w:val="FFFFFF" w:themeColor="background1"/>
                                <w:sz w:val="24"/>
                                <w:szCs w:val="28"/>
                                <w:lang w:eastAsia="fr-FR"/>
                              </w:rPr>
                              <w:t xml:space="preserve"> </w:t>
                            </w:r>
                            <w:r w:rsidR="00041856" w:rsidRPr="000676A1">
                              <w:rPr>
                                <w:rFonts w:ascii="Times New Roman" w:eastAsia="Times New Roman" w:hAnsi="Times New Roman"/>
                                <w:b/>
                                <w:bCs/>
                                <w:color w:val="FFFFFF" w:themeColor="background1"/>
                                <w:sz w:val="24"/>
                                <w:szCs w:val="28"/>
                                <w:lang w:eastAsia="fr-FR"/>
                              </w:rPr>
                              <w:t>202</w:t>
                            </w:r>
                            <w:r>
                              <w:rPr>
                                <w:rFonts w:ascii="Times New Roman" w:eastAsia="Times New Roman" w:hAnsi="Times New Roman"/>
                                <w:b/>
                                <w:bCs/>
                                <w:color w:val="FFFFFF" w:themeColor="background1"/>
                                <w:sz w:val="24"/>
                                <w:szCs w:val="28"/>
                                <w:lang w:eastAsia="fr-FR"/>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4A2CE5" id="Rectangle 4" o:spid="_x0000_s1027" style="position:absolute;margin-left:-71.95pt;margin-top:42.6pt;width:596.15pt;height:72.45pt;z-index:25160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" fillcolor="#0070c0" strokecolor="#4472c4 [3208]" strokeweight="1pt">
                <v:textbox>
                  <w:txbxContent>
                    <w:p w14:paraId="1D47BD61" w14:textId="091F34FA" w:rsidR="00041856" w:rsidRPr="000676A1" w:rsidRDefault="00902E42" w:rsidP="005F3FB7">
                      <w:pPr>
                        <w:ind w:left="708" w:right="1422"/>
                        <w:jc w:val="right"/>
                        <w:rPr>
                          <w:color w:val="FFFFFF" w:themeColor="background1"/>
                          <w:sz w:val="24"/>
                          <w:szCs w:val="24"/>
                        </w:rPr>
                      </w:pPr>
                      <w:r>
                        <w:rPr>
                          <w:rFonts w:ascii="Times New Roman" w:eastAsia="Times New Roman" w:hAnsi="Times New Roman"/>
                          <w:b/>
                          <w:bCs/>
                          <w:color w:val="FFFFFF" w:themeColor="background1"/>
                          <w:sz w:val="24"/>
                          <w:szCs w:val="28"/>
                          <w:lang w:eastAsia="fr-FR"/>
                        </w:rPr>
                        <w:t>Janvier</w:t>
                      </w:r>
                      <w:r w:rsidRPr="000676A1">
                        <w:rPr>
                          <w:rFonts w:ascii="Times New Roman" w:eastAsia="Times New Roman" w:hAnsi="Times New Roman"/>
                          <w:b/>
                          <w:bCs/>
                          <w:color w:val="FFFFFF" w:themeColor="background1"/>
                          <w:sz w:val="24"/>
                          <w:szCs w:val="28"/>
                          <w:lang w:eastAsia="fr-FR"/>
                        </w:rPr>
                        <w:t xml:space="preserve"> </w:t>
                      </w:r>
                      <w:r w:rsidR="00041856" w:rsidRPr="000676A1">
                        <w:rPr>
                          <w:rFonts w:ascii="Times New Roman" w:eastAsia="Times New Roman" w:hAnsi="Times New Roman"/>
                          <w:b/>
                          <w:bCs/>
                          <w:color w:val="FFFFFF" w:themeColor="background1"/>
                          <w:sz w:val="24"/>
                          <w:szCs w:val="28"/>
                          <w:lang w:eastAsia="fr-FR"/>
                        </w:rPr>
                        <w:t>202</w:t>
                      </w:r>
                      <w:r>
                        <w:rPr>
                          <w:rFonts w:ascii="Times New Roman" w:eastAsia="Times New Roman" w:hAnsi="Times New Roman"/>
                          <w:b/>
                          <w:bCs/>
                          <w:color w:val="FFFFFF" w:themeColor="background1"/>
                          <w:sz w:val="24"/>
                          <w:szCs w:val="28"/>
                          <w:lang w:eastAsia="fr-FR"/>
                        </w:rPr>
                        <w:t>6</w:t>
                      </w:r>
                    </w:p>
                  </w:txbxContent>
                </v:textbox>
                <w10:wrap anchorx="margin"/>
              </v:rect>
            </w:pict>
          </mc:Fallback>
        </mc:AlternateContent>
      </w:r>
    </w:p>
    <w:p w14:paraId="6F3DA14F" w14:textId="77777777" w:rsidR="007B7AE8" w:rsidRDefault="007B7AE8" w:rsidP="00CF0163">
      <w:pPr>
        <w:pStyle w:val="Style1"/>
        <w:pBdr>
          <w:bottom w:val="none" w:sz="0" w:space="0" w:color="auto"/>
        </w:pBdr>
        <w:spacing w:after="100" w:afterAutospacing="1" w:line="240" w:lineRule="auto"/>
        <w:jc w:val="center"/>
        <w:outlineLvl w:val="0"/>
        <w:rPr>
          <w:caps w:val="0"/>
          <w:color w:val="000000" w:themeColor="text1"/>
          <w:szCs w:val="24"/>
        </w:rPr>
      </w:pPr>
      <w:bookmarkStart w:id="1" w:name="_Toc212725070"/>
    </w:p>
    <w:p w14:paraId="5A361951" w14:textId="08B3A7EB" w:rsidR="005F3FB7" w:rsidRPr="00260790" w:rsidRDefault="00B763AB" w:rsidP="00CF0163">
      <w:pPr>
        <w:pStyle w:val="Style1"/>
        <w:pBdr>
          <w:bottom w:val="none" w:sz="0" w:space="0" w:color="auto"/>
        </w:pBdr>
        <w:spacing w:after="100" w:afterAutospacing="1" w:line="240" w:lineRule="auto"/>
        <w:jc w:val="center"/>
        <w:outlineLvl w:val="0"/>
        <w:rPr>
          <w:color w:val="000000" w:themeColor="text1"/>
          <w:szCs w:val="24"/>
        </w:rPr>
      </w:pPr>
      <w:r w:rsidRPr="00260790">
        <w:rPr>
          <w:caps w:val="0"/>
          <w:color w:val="000000" w:themeColor="text1"/>
          <w:szCs w:val="24"/>
        </w:rPr>
        <w:lastRenderedPageBreak/>
        <w:t>SOMMAIRE</w:t>
      </w:r>
      <w:bookmarkEnd w:id="1"/>
    </w:p>
    <w:p w14:paraId="26B03920" w14:textId="75B61971" w:rsidR="008A50C4" w:rsidRPr="007B7AE8" w:rsidRDefault="004536C4" w:rsidP="008907BE">
      <w:pPr>
        <w:pStyle w:val="TM1"/>
        <w:rPr>
          <w:rFonts w:eastAsiaTheme="minorEastAsia"/>
          <w:kern w:val="2"/>
          <w:lang w:val="fr-SN" w:eastAsia="fr-FR"/>
          <w14:ligatures w14:val="standardContextual"/>
        </w:rPr>
      </w:pPr>
      <w:r w:rsidRPr="007B7AE8">
        <w:rPr>
          <w:noProof w:val="0"/>
          <w:color w:val="000000" w:themeColor="text1"/>
        </w:rPr>
        <w:fldChar w:fldCharType="begin"/>
      </w:r>
      <w:r w:rsidRPr="007B7AE8">
        <w:rPr>
          <w:noProof w:val="0"/>
          <w:color w:val="000000" w:themeColor="text1"/>
        </w:rPr>
        <w:instrText xml:space="preserve"> TOC \o "1-5" \h \z \u </w:instrText>
      </w:r>
      <w:r w:rsidRPr="007B7AE8">
        <w:rPr>
          <w:noProof w:val="0"/>
          <w:color w:val="000000" w:themeColor="text1"/>
        </w:rPr>
        <w:fldChar w:fldCharType="separate"/>
      </w:r>
      <w:hyperlink w:anchor="_Toc212725070" w:history="1">
        <w:r w:rsidR="008A50C4" w:rsidRPr="007B7AE8">
          <w:rPr>
            <w:rStyle w:val="Lienhypertexte"/>
            <w:sz w:val="22"/>
            <w:szCs w:val="22"/>
          </w:rPr>
          <w:t>SOMMAIRE</w:t>
        </w:r>
        <w:r w:rsidR="008A50C4" w:rsidRPr="007B7AE8">
          <w:rPr>
            <w:webHidden/>
          </w:rPr>
          <w:tab/>
        </w:r>
        <w:r w:rsidR="008A50C4" w:rsidRPr="007B7AE8">
          <w:rPr>
            <w:webHidden/>
          </w:rPr>
          <w:fldChar w:fldCharType="begin"/>
        </w:r>
        <w:r w:rsidR="008A50C4" w:rsidRPr="007B7AE8">
          <w:rPr>
            <w:webHidden/>
          </w:rPr>
          <w:instrText xml:space="preserve"> PAGEREF _Toc212725070 \h </w:instrText>
        </w:r>
        <w:r w:rsidR="008A50C4" w:rsidRPr="007B7AE8">
          <w:rPr>
            <w:webHidden/>
          </w:rPr>
        </w:r>
        <w:r w:rsidR="008A50C4" w:rsidRPr="007B7AE8">
          <w:rPr>
            <w:webHidden/>
          </w:rPr>
          <w:fldChar w:fldCharType="separate"/>
        </w:r>
        <w:r w:rsidR="00805E85" w:rsidRPr="007B7AE8">
          <w:rPr>
            <w:webHidden/>
          </w:rPr>
          <w:t>2</w:t>
        </w:r>
        <w:r w:rsidR="008A50C4" w:rsidRPr="007B7AE8">
          <w:rPr>
            <w:webHidden/>
          </w:rPr>
          <w:fldChar w:fldCharType="end"/>
        </w:r>
      </w:hyperlink>
    </w:p>
    <w:p w14:paraId="518C542B" w14:textId="66A3289B" w:rsidR="008A50C4" w:rsidRPr="007B7AE8" w:rsidRDefault="008A50C4" w:rsidP="008907BE">
      <w:pPr>
        <w:pStyle w:val="TM1"/>
        <w:rPr>
          <w:rFonts w:eastAsiaTheme="minorEastAsia"/>
          <w:kern w:val="2"/>
          <w:lang w:val="fr-SN" w:eastAsia="fr-FR"/>
          <w14:ligatures w14:val="standardContextual"/>
        </w:rPr>
      </w:pPr>
      <w:hyperlink w:anchor="_Toc212725071" w:history="1">
        <w:r w:rsidRPr="007B7AE8">
          <w:rPr>
            <w:rStyle w:val="Lienhypertexte"/>
            <w:sz w:val="22"/>
            <w:szCs w:val="22"/>
          </w:rPr>
          <w:t>SIGLES ET ACRONYMES</w:t>
        </w:r>
        <w:r w:rsidRPr="007B7AE8">
          <w:rPr>
            <w:webHidden/>
          </w:rPr>
          <w:tab/>
        </w:r>
        <w:r w:rsidRPr="007B7AE8">
          <w:rPr>
            <w:webHidden/>
          </w:rPr>
          <w:fldChar w:fldCharType="begin"/>
        </w:r>
        <w:r w:rsidRPr="007B7AE8">
          <w:rPr>
            <w:webHidden/>
          </w:rPr>
          <w:instrText xml:space="preserve"> PAGEREF _Toc212725071 \h </w:instrText>
        </w:r>
        <w:r w:rsidRPr="007B7AE8">
          <w:rPr>
            <w:webHidden/>
          </w:rPr>
        </w:r>
        <w:r w:rsidRPr="007B7AE8">
          <w:rPr>
            <w:webHidden/>
          </w:rPr>
          <w:fldChar w:fldCharType="separate"/>
        </w:r>
        <w:r w:rsidR="00805E85" w:rsidRPr="007B7AE8">
          <w:rPr>
            <w:webHidden/>
          </w:rPr>
          <w:t>11</w:t>
        </w:r>
        <w:r w:rsidRPr="007B7AE8">
          <w:rPr>
            <w:webHidden/>
          </w:rPr>
          <w:fldChar w:fldCharType="end"/>
        </w:r>
      </w:hyperlink>
    </w:p>
    <w:p w14:paraId="0F85E3C5" w14:textId="3566485D" w:rsidR="008A50C4" w:rsidRPr="007B7AE8" w:rsidRDefault="008A50C4" w:rsidP="008907BE">
      <w:pPr>
        <w:pStyle w:val="TM1"/>
        <w:rPr>
          <w:rFonts w:eastAsiaTheme="minorEastAsia"/>
          <w:kern w:val="2"/>
          <w:lang w:val="fr-SN" w:eastAsia="fr-FR"/>
          <w14:ligatures w14:val="standardContextual"/>
        </w:rPr>
      </w:pPr>
      <w:hyperlink w:anchor="_Toc212725072" w:history="1">
        <w:r w:rsidRPr="007B7AE8">
          <w:rPr>
            <w:rStyle w:val="Lienhypertexte"/>
            <w:sz w:val="22"/>
            <w:szCs w:val="22"/>
          </w:rPr>
          <w:t>RÉsumÉ EXÉCUTIF</w:t>
        </w:r>
        <w:r w:rsidRPr="007B7AE8">
          <w:rPr>
            <w:webHidden/>
          </w:rPr>
          <w:tab/>
        </w:r>
        <w:r w:rsidRPr="007B7AE8">
          <w:rPr>
            <w:webHidden/>
          </w:rPr>
          <w:fldChar w:fldCharType="begin"/>
        </w:r>
        <w:r w:rsidRPr="007B7AE8">
          <w:rPr>
            <w:webHidden/>
          </w:rPr>
          <w:instrText xml:space="preserve"> PAGEREF _Toc212725072 \h </w:instrText>
        </w:r>
        <w:r w:rsidRPr="007B7AE8">
          <w:rPr>
            <w:webHidden/>
          </w:rPr>
        </w:r>
        <w:r w:rsidRPr="007B7AE8">
          <w:rPr>
            <w:webHidden/>
          </w:rPr>
          <w:fldChar w:fldCharType="separate"/>
        </w:r>
        <w:r w:rsidR="00805E85" w:rsidRPr="007B7AE8">
          <w:rPr>
            <w:webHidden/>
          </w:rPr>
          <w:t>14</w:t>
        </w:r>
        <w:r w:rsidRPr="007B7AE8">
          <w:rPr>
            <w:webHidden/>
          </w:rPr>
          <w:fldChar w:fldCharType="end"/>
        </w:r>
      </w:hyperlink>
    </w:p>
    <w:p w14:paraId="1E7FB07E" w14:textId="16A2337F" w:rsidR="008A50C4" w:rsidRPr="007B7AE8" w:rsidRDefault="008A50C4" w:rsidP="008907BE">
      <w:pPr>
        <w:pStyle w:val="TM2"/>
        <w:tabs>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073" w:history="1">
        <w:r w:rsidRPr="007B7AE8">
          <w:rPr>
            <w:rStyle w:val="Lienhypertexte"/>
            <w:rFonts w:ascii="Times New Roman" w:hAnsi="Times New Roman" w:cs="Times New Roman"/>
            <w:noProof/>
            <w:sz w:val="22"/>
            <w:szCs w:val="22"/>
          </w:rPr>
          <w:t>EXECUTIVE SUMMARY</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_Toc212725073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17</w:t>
        </w:r>
        <w:r w:rsidRPr="007B7AE8">
          <w:rPr>
            <w:rFonts w:ascii="Times New Roman" w:hAnsi="Times New Roman" w:cs="Times New Roman"/>
            <w:noProof/>
            <w:webHidden/>
            <w:sz w:val="22"/>
            <w:szCs w:val="22"/>
          </w:rPr>
          <w:fldChar w:fldCharType="end"/>
        </w:r>
      </w:hyperlink>
    </w:p>
    <w:p w14:paraId="23A2A6E5" w14:textId="40C9CC0A" w:rsidR="008A50C4" w:rsidRPr="007B7AE8" w:rsidRDefault="008A50C4" w:rsidP="008907BE">
      <w:pPr>
        <w:pStyle w:val="TM1"/>
        <w:rPr>
          <w:rFonts w:eastAsiaTheme="minorEastAsia"/>
          <w:kern w:val="2"/>
          <w:lang w:val="fr-SN" w:eastAsia="fr-FR"/>
          <w14:ligatures w14:val="standardContextual"/>
        </w:rPr>
      </w:pPr>
      <w:hyperlink w:anchor="_Toc212725074" w:history="1">
        <w:r w:rsidRPr="007B7AE8">
          <w:rPr>
            <w:rStyle w:val="Lienhypertexte"/>
            <w:sz w:val="22"/>
            <w:szCs w:val="22"/>
          </w:rPr>
          <w:t>1.</w:t>
        </w:r>
        <w:r w:rsidRPr="007B7AE8">
          <w:rPr>
            <w:rFonts w:eastAsiaTheme="minorEastAsia"/>
            <w:kern w:val="2"/>
            <w:lang w:val="fr-SN" w:eastAsia="fr-FR"/>
            <w14:ligatures w14:val="standardContextual"/>
          </w:rPr>
          <w:tab/>
        </w:r>
        <w:r w:rsidRPr="007B7AE8">
          <w:rPr>
            <w:rStyle w:val="Lienhypertexte"/>
            <w:sz w:val="22"/>
            <w:szCs w:val="22"/>
          </w:rPr>
          <w:t>INTRODUCTION</w:t>
        </w:r>
        <w:r w:rsidRPr="007B7AE8">
          <w:rPr>
            <w:webHidden/>
          </w:rPr>
          <w:tab/>
        </w:r>
        <w:r w:rsidRPr="007B7AE8">
          <w:rPr>
            <w:webHidden/>
          </w:rPr>
          <w:fldChar w:fldCharType="begin"/>
        </w:r>
        <w:r w:rsidRPr="007B7AE8">
          <w:rPr>
            <w:webHidden/>
          </w:rPr>
          <w:instrText xml:space="preserve"> PAGEREF _Toc212725074 \h </w:instrText>
        </w:r>
        <w:r w:rsidRPr="007B7AE8">
          <w:rPr>
            <w:webHidden/>
          </w:rPr>
        </w:r>
        <w:r w:rsidRPr="007B7AE8">
          <w:rPr>
            <w:webHidden/>
          </w:rPr>
          <w:fldChar w:fldCharType="separate"/>
        </w:r>
        <w:r w:rsidR="00805E85" w:rsidRPr="007B7AE8">
          <w:rPr>
            <w:webHidden/>
          </w:rPr>
          <w:t>20</w:t>
        </w:r>
        <w:r w:rsidRPr="007B7AE8">
          <w:rPr>
            <w:webHidden/>
          </w:rPr>
          <w:fldChar w:fldCharType="end"/>
        </w:r>
      </w:hyperlink>
    </w:p>
    <w:p w14:paraId="31E95FDB" w14:textId="1DD7DD4C"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075" w:history="1">
        <w:r w:rsidRPr="007B7AE8">
          <w:rPr>
            <w:rStyle w:val="Lienhypertexte"/>
            <w:rFonts w:ascii="Times New Roman" w:hAnsi="Times New Roman" w:cs="Times New Roman"/>
            <w:b/>
            <w:bCs/>
            <w:noProof/>
            <w:sz w:val="22"/>
            <w:szCs w:val="22"/>
          </w:rPr>
          <w:t>1.1.</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Contexte et justification du projet</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_Toc212725075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20</w:t>
        </w:r>
        <w:r w:rsidRPr="007B7AE8">
          <w:rPr>
            <w:rFonts w:ascii="Times New Roman" w:hAnsi="Times New Roman" w:cs="Times New Roman"/>
            <w:noProof/>
            <w:webHidden/>
            <w:sz w:val="22"/>
            <w:szCs w:val="22"/>
          </w:rPr>
          <w:fldChar w:fldCharType="end"/>
        </w:r>
      </w:hyperlink>
    </w:p>
    <w:p w14:paraId="610F2508" w14:textId="36F11161"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076" w:history="1">
        <w:r w:rsidRPr="007B7AE8">
          <w:rPr>
            <w:rStyle w:val="Lienhypertexte"/>
            <w:rFonts w:ascii="Times New Roman" w:hAnsi="Times New Roman" w:cs="Times New Roman"/>
            <w:b/>
            <w:bCs/>
            <w:noProof/>
            <w:sz w:val="22"/>
            <w:szCs w:val="22"/>
          </w:rPr>
          <w:t>1.2.</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Rappel des Réalisations du PROGEP I et du PROGEP II</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_Toc212725076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21</w:t>
        </w:r>
        <w:r w:rsidRPr="007B7AE8">
          <w:rPr>
            <w:rFonts w:ascii="Times New Roman" w:hAnsi="Times New Roman" w:cs="Times New Roman"/>
            <w:noProof/>
            <w:webHidden/>
            <w:sz w:val="22"/>
            <w:szCs w:val="22"/>
          </w:rPr>
          <w:fldChar w:fldCharType="end"/>
        </w:r>
      </w:hyperlink>
    </w:p>
    <w:p w14:paraId="1D0C80E5" w14:textId="4F4BEF2A"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077" w:history="1">
        <w:r w:rsidRPr="007B7AE8">
          <w:rPr>
            <w:rStyle w:val="Lienhypertexte"/>
            <w:rFonts w:ascii="Times New Roman" w:hAnsi="Times New Roman" w:cs="Times New Roman"/>
            <w:b/>
            <w:bCs/>
            <w:noProof/>
            <w:sz w:val="22"/>
            <w:szCs w:val="22"/>
          </w:rPr>
          <w:t>1.3.</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Objectif de l’Étude</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_Toc212725077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21</w:t>
        </w:r>
        <w:r w:rsidRPr="007B7AE8">
          <w:rPr>
            <w:rFonts w:ascii="Times New Roman" w:hAnsi="Times New Roman" w:cs="Times New Roman"/>
            <w:noProof/>
            <w:webHidden/>
            <w:sz w:val="22"/>
            <w:szCs w:val="22"/>
          </w:rPr>
          <w:fldChar w:fldCharType="end"/>
        </w:r>
      </w:hyperlink>
    </w:p>
    <w:p w14:paraId="03B994A2" w14:textId="6A7535AF"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078" w:history="1">
        <w:r w:rsidRPr="007B7AE8">
          <w:rPr>
            <w:rStyle w:val="Lienhypertexte"/>
            <w:rFonts w:ascii="Times New Roman" w:hAnsi="Times New Roman" w:cs="Times New Roman"/>
            <w:b/>
            <w:bCs/>
            <w:noProof/>
            <w:sz w:val="22"/>
            <w:szCs w:val="22"/>
          </w:rPr>
          <w:t>1.4.</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Méthodologie</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_Toc212725078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22</w:t>
        </w:r>
        <w:r w:rsidRPr="007B7AE8">
          <w:rPr>
            <w:rFonts w:ascii="Times New Roman" w:hAnsi="Times New Roman" w:cs="Times New Roman"/>
            <w:noProof/>
            <w:webHidden/>
            <w:sz w:val="22"/>
            <w:szCs w:val="22"/>
          </w:rPr>
          <w:fldChar w:fldCharType="end"/>
        </w:r>
      </w:hyperlink>
    </w:p>
    <w:p w14:paraId="0187AA40" w14:textId="727B47CF" w:rsidR="008A50C4" w:rsidRPr="007B7AE8" w:rsidRDefault="008A50C4" w:rsidP="008907BE">
      <w:pPr>
        <w:pStyle w:val="TM1"/>
        <w:rPr>
          <w:rFonts w:eastAsiaTheme="minorEastAsia"/>
          <w:kern w:val="2"/>
          <w:lang w:val="fr-SN" w:eastAsia="fr-FR"/>
          <w14:ligatures w14:val="standardContextual"/>
        </w:rPr>
      </w:pPr>
      <w:hyperlink w:anchor="_Toc212725079" w:history="1">
        <w:r w:rsidRPr="007B7AE8">
          <w:rPr>
            <w:rStyle w:val="Lienhypertexte"/>
            <w:sz w:val="22"/>
            <w:szCs w:val="22"/>
          </w:rPr>
          <w:t>2.</w:t>
        </w:r>
        <w:r w:rsidRPr="007B7AE8">
          <w:rPr>
            <w:rFonts w:eastAsiaTheme="minorEastAsia"/>
            <w:kern w:val="2"/>
            <w:lang w:val="fr-SN" w:eastAsia="fr-FR"/>
            <w14:ligatures w14:val="standardContextual"/>
          </w:rPr>
          <w:tab/>
        </w:r>
        <w:r w:rsidRPr="007B7AE8">
          <w:rPr>
            <w:rStyle w:val="Lienhypertexte"/>
            <w:sz w:val="22"/>
            <w:szCs w:val="22"/>
          </w:rPr>
          <w:t>DESCRIPTION DU PROJET</w:t>
        </w:r>
        <w:r w:rsidRPr="007B7AE8">
          <w:rPr>
            <w:webHidden/>
          </w:rPr>
          <w:tab/>
        </w:r>
        <w:r w:rsidRPr="007B7AE8">
          <w:rPr>
            <w:webHidden/>
          </w:rPr>
          <w:fldChar w:fldCharType="begin"/>
        </w:r>
        <w:r w:rsidRPr="007B7AE8">
          <w:rPr>
            <w:webHidden/>
          </w:rPr>
          <w:instrText xml:space="preserve"> PAGEREF _Toc212725079 \h </w:instrText>
        </w:r>
        <w:r w:rsidRPr="007B7AE8">
          <w:rPr>
            <w:webHidden/>
          </w:rPr>
        </w:r>
        <w:r w:rsidRPr="007B7AE8">
          <w:rPr>
            <w:webHidden/>
          </w:rPr>
          <w:fldChar w:fldCharType="separate"/>
        </w:r>
        <w:r w:rsidR="00805E85" w:rsidRPr="007B7AE8">
          <w:rPr>
            <w:webHidden/>
          </w:rPr>
          <w:t>25</w:t>
        </w:r>
        <w:r w:rsidRPr="007B7AE8">
          <w:rPr>
            <w:webHidden/>
          </w:rPr>
          <w:fldChar w:fldCharType="end"/>
        </w:r>
      </w:hyperlink>
    </w:p>
    <w:p w14:paraId="4C9B10D9" w14:textId="60F9DD94"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080" w:history="1">
        <w:r w:rsidRPr="007B7AE8">
          <w:rPr>
            <w:rStyle w:val="Lienhypertexte"/>
            <w:rFonts w:ascii="Times New Roman" w:hAnsi="Times New Roman" w:cs="Times New Roman"/>
            <w:b/>
            <w:bCs/>
            <w:noProof/>
            <w:sz w:val="22"/>
            <w:szCs w:val="22"/>
          </w:rPr>
          <w:t>2.1.</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Zone d’intervention et bénéficiaires des travaux</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_Toc212725080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25</w:t>
        </w:r>
        <w:r w:rsidRPr="007B7AE8">
          <w:rPr>
            <w:rFonts w:ascii="Times New Roman" w:hAnsi="Times New Roman" w:cs="Times New Roman"/>
            <w:noProof/>
            <w:webHidden/>
            <w:sz w:val="22"/>
            <w:szCs w:val="22"/>
          </w:rPr>
          <w:fldChar w:fldCharType="end"/>
        </w:r>
      </w:hyperlink>
    </w:p>
    <w:p w14:paraId="73E22621" w14:textId="2C07FBE9"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081" w:history="1">
        <w:r w:rsidRPr="007B7AE8">
          <w:rPr>
            <w:rStyle w:val="Lienhypertexte"/>
            <w:rFonts w:ascii="Times New Roman" w:hAnsi="Times New Roman" w:cs="Times New Roman"/>
            <w:b/>
            <w:bCs/>
            <w:noProof/>
            <w:sz w:val="22"/>
            <w:szCs w:val="22"/>
          </w:rPr>
          <w:t>2.2.</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Activités de pré construction et de construction</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_Toc212725081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28</w:t>
        </w:r>
        <w:r w:rsidRPr="007B7AE8">
          <w:rPr>
            <w:rFonts w:ascii="Times New Roman" w:hAnsi="Times New Roman" w:cs="Times New Roman"/>
            <w:noProof/>
            <w:webHidden/>
            <w:sz w:val="22"/>
            <w:szCs w:val="22"/>
          </w:rPr>
          <w:fldChar w:fldCharType="end"/>
        </w:r>
      </w:hyperlink>
    </w:p>
    <w:p w14:paraId="45DDA85D" w14:textId="4A6498EA"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082" w:history="1">
        <w:r w:rsidRPr="007B7AE8">
          <w:rPr>
            <w:rStyle w:val="Lienhypertexte"/>
            <w:rFonts w:ascii="Times New Roman" w:hAnsi="Times New Roman" w:cs="Times New Roman"/>
            <w:b/>
            <w:bCs/>
            <w:noProof/>
            <w:sz w:val="22"/>
            <w:szCs w:val="22"/>
          </w:rPr>
          <w:t>2.3.</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Description des ouvrages à mettre en place</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_Toc212725082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28</w:t>
        </w:r>
        <w:r w:rsidRPr="007B7AE8">
          <w:rPr>
            <w:rFonts w:ascii="Times New Roman" w:hAnsi="Times New Roman" w:cs="Times New Roman"/>
            <w:noProof/>
            <w:webHidden/>
            <w:sz w:val="22"/>
            <w:szCs w:val="22"/>
          </w:rPr>
          <w:fldChar w:fldCharType="end"/>
        </w:r>
      </w:hyperlink>
    </w:p>
    <w:p w14:paraId="6390D2AC" w14:textId="2CC1394D"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083" w:history="1">
        <w:r w:rsidRPr="007B7AE8">
          <w:rPr>
            <w:rStyle w:val="Lienhypertexte"/>
            <w:rFonts w:ascii="Times New Roman" w:hAnsi="Times New Roman" w:cs="Times New Roman"/>
            <w:b/>
            <w:bCs/>
            <w:noProof/>
            <w:sz w:val="22"/>
            <w:szCs w:val="22"/>
          </w:rPr>
          <w:t>2.4.</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Allotissement des travaux</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_Toc212725083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28</w:t>
        </w:r>
        <w:r w:rsidRPr="007B7AE8">
          <w:rPr>
            <w:rFonts w:ascii="Times New Roman" w:hAnsi="Times New Roman" w:cs="Times New Roman"/>
            <w:noProof/>
            <w:webHidden/>
            <w:sz w:val="22"/>
            <w:szCs w:val="22"/>
          </w:rPr>
          <w:fldChar w:fldCharType="end"/>
        </w:r>
      </w:hyperlink>
    </w:p>
    <w:p w14:paraId="45EEF6FC" w14:textId="5F74240C"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084" w:history="1">
        <w:r w:rsidRPr="007B7AE8">
          <w:rPr>
            <w:rStyle w:val="Lienhypertexte"/>
            <w:rFonts w:ascii="Times New Roman" w:hAnsi="Times New Roman" w:cs="Times New Roman"/>
            <w:noProof/>
            <w:sz w:val="22"/>
            <w:szCs w:val="22"/>
            <w:lang w:bidi="en-US"/>
          </w:rPr>
          <w:t>2.4.1.</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Collecteurs principaux</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_Toc212725084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30</w:t>
        </w:r>
        <w:r w:rsidRPr="007B7AE8">
          <w:rPr>
            <w:rFonts w:ascii="Times New Roman" w:hAnsi="Times New Roman" w:cs="Times New Roman"/>
            <w:noProof/>
            <w:webHidden/>
            <w:sz w:val="22"/>
            <w:szCs w:val="22"/>
          </w:rPr>
          <w:fldChar w:fldCharType="end"/>
        </w:r>
      </w:hyperlink>
    </w:p>
    <w:p w14:paraId="7B860DF7" w14:textId="2DD6CE43"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085" w:history="1">
        <w:r w:rsidRPr="007B7AE8">
          <w:rPr>
            <w:rStyle w:val="Lienhypertexte"/>
            <w:rFonts w:ascii="Times New Roman" w:hAnsi="Times New Roman" w:cs="Times New Roman"/>
            <w:noProof/>
            <w:sz w:val="22"/>
            <w:szCs w:val="22"/>
            <w:lang w:bidi="en-US"/>
          </w:rPr>
          <w:t>2.4.2.</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Collecteurs secondaires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_Toc212725085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30</w:t>
        </w:r>
        <w:r w:rsidRPr="007B7AE8">
          <w:rPr>
            <w:rFonts w:ascii="Times New Roman" w:hAnsi="Times New Roman" w:cs="Times New Roman"/>
            <w:noProof/>
            <w:webHidden/>
            <w:sz w:val="22"/>
            <w:szCs w:val="22"/>
          </w:rPr>
          <w:fldChar w:fldCharType="end"/>
        </w:r>
      </w:hyperlink>
    </w:p>
    <w:p w14:paraId="60D2B690" w14:textId="1D311170"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086" w:history="1">
        <w:r w:rsidRPr="007B7AE8">
          <w:rPr>
            <w:rStyle w:val="Lienhypertexte"/>
            <w:rFonts w:ascii="Times New Roman" w:hAnsi="Times New Roman" w:cs="Times New Roman"/>
            <w:noProof/>
            <w:sz w:val="22"/>
            <w:szCs w:val="22"/>
            <w:lang w:bidi="en-US"/>
          </w:rPr>
          <w:t>2.4.3.</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Bassins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_Toc212725086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30</w:t>
        </w:r>
        <w:r w:rsidRPr="007B7AE8">
          <w:rPr>
            <w:rFonts w:ascii="Times New Roman" w:hAnsi="Times New Roman" w:cs="Times New Roman"/>
            <w:noProof/>
            <w:webHidden/>
            <w:sz w:val="22"/>
            <w:szCs w:val="22"/>
          </w:rPr>
          <w:fldChar w:fldCharType="end"/>
        </w:r>
      </w:hyperlink>
    </w:p>
    <w:p w14:paraId="0EB2997E" w14:textId="2C2FE04E"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087" w:history="1">
        <w:r w:rsidRPr="007B7AE8">
          <w:rPr>
            <w:rStyle w:val="Lienhypertexte"/>
            <w:rFonts w:ascii="Times New Roman" w:hAnsi="Times New Roman" w:cs="Times New Roman"/>
            <w:noProof/>
            <w:sz w:val="22"/>
            <w:szCs w:val="22"/>
            <w:lang w:bidi="en-US"/>
          </w:rPr>
          <w:t>2.4.4.</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Aménagement du marigot et de ses berges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_Toc212725087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30</w:t>
        </w:r>
        <w:r w:rsidRPr="007B7AE8">
          <w:rPr>
            <w:rFonts w:ascii="Times New Roman" w:hAnsi="Times New Roman" w:cs="Times New Roman"/>
            <w:noProof/>
            <w:webHidden/>
            <w:sz w:val="22"/>
            <w:szCs w:val="22"/>
          </w:rPr>
          <w:fldChar w:fldCharType="end"/>
        </w:r>
      </w:hyperlink>
    </w:p>
    <w:p w14:paraId="74B72ED1" w14:textId="41C6CE24" w:rsidR="008A50C4" w:rsidRPr="007B7AE8" w:rsidRDefault="008A50C4" w:rsidP="008907BE">
      <w:pPr>
        <w:pStyle w:val="TM1"/>
        <w:rPr>
          <w:rFonts w:eastAsiaTheme="minorEastAsia"/>
          <w:kern w:val="2"/>
          <w:lang w:val="fr-SN" w:eastAsia="fr-FR"/>
          <w14:ligatures w14:val="standardContextual"/>
        </w:rPr>
      </w:pPr>
      <w:hyperlink w:anchor="_Toc212725088" w:history="1">
        <w:r w:rsidRPr="007B7AE8">
          <w:rPr>
            <w:rStyle w:val="Lienhypertexte"/>
            <w:sz w:val="22"/>
            <w:szCs w:val="22"/>
          </w:rPr>
          <w:t>3.</w:t>
        </w:r>
        <w:r w:rsidRPr="007B7AE8">
          <w:rPr>
            <w:rFonts w:eastAsiaTheme="minorEastAsia"/>
            <w:kern w:val="2"/>
            <w:lang w:val="fr-SN" w:eastAsia="fr-FR"/>
            <w14:ligatures w14:val="standardContextual"/>
          </w:rPr>
          <w:tab/>
        </w:r>
        <w:r w:rsidRPr="007B7AE8">
          <w:rPr>
            <w:rStyle w:val="Lienhypertexte"/>
            <w:sz w:val="22"/>
            <w:szCs w:val="22"/>
          </w:rPr>
          <w:t>CADRE POLITIQUE, JURIDIQUE ET INSTITUTIONNEL</w:t>
        </w:r>
        <w:r w:rsidRPr="007B7AE8">
          <w:rPr>
            <w:webHidden/>
          </w:rPr>
          <w:tab/>
        </w:r>
        <w:r w:rsidRPr="007B7AE8">
          <w:rPr>
            <w:webHidden/>
          </w:rPr>
          <w:fldChar w:fldCharType="begin"/>
        </w:r>
        <w:r w:rsidRPr="007B7AE8">
          <w:rPr>
            <w:webHidden/>
          </w:rPr>
          <w:instrText xml:space="preserve"> PAGEREF _Toc212725088 \h </w:instrText>
        </w:r>
        <w:r w:rsidRPr="007B7AE8">
          <w:rPr>
            <w:webHidden/>
          </w:rPr>
        </w:r>
        <w:r w:rsidRPr="007B7AE8">
          <w:rPr>
            <w:webHidden/>
          </w:rPr>
          <w:fldChar w:fldCharType="separate"/>
        </w:r>
        <w:r w:rsidR="00805E85" w:rsidRPr="007B7AE8">
          <w:rPr>
            <w:webHidden/>
          </w:rPr>
          <w:t>33</w:t>
        </w:r>
        <w:r w:rsidRPr="007B7AE8">
          <w:rPr>
            <w:webHidden/>
          </w:rPr>
          <w:fldChar w:fldCharType="end"/>
        </w:r>
      </w:hyperlink>
    </w:p>
    <w:p w14:paraId="328C0309" w14:textId="41D95C90"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089" w:history="1">
        <w:r w:rsidRPr="007B7AE8">
          <w:rPr>
            <w:rStyle w:val="Lienhypertexte"/>
            <w:rFonts w:ascii="Times New Roman" w:hAnsi="Times New Roman" w:cs="Times New Roman"/>
            <w:b/>
            <w:bCs/>
            <w:noProof/>
            <w:sz w:val="22"/>
            <w:szCs w:val="22"/>
          </w:rPr>
          <w:t>3.1.</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Cadre politique applicable au projet</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_Toc212725089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33</w:t>
        </w:r>
        <w:r w:rsidRPr="007B7AE8">
          <w:rPr>
            <w:rFonts w:ascii="Times New Roman" w:hAnsi="Times New Roman" w:cs="Times New Roman"/>
            <w:noProof/>
            <w:webHidden/>
            <w:sz w:val="22"/>
            <w:szCs w:val="22"/>
          </w:rPr>
          <w:fldChar w:fldCharType="end"/>
        </w:r>
      </w:hyperlink>
    </w:p>
    <w:p w14:paraId="405D3488" w14:textId="62CBBADC"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090" w:history="1">
        <w:r w:rsidRPr="007B7AE8">
          <w:rPr>
            <w:rStyle w:val="Lienhypertexte"/>
            <w:rFonts w:ascii="Times New Roman" w:hAnsi="Times New Roman" w:cs="Times New Roman"/>
            <w:noProof/>
            <w:sz w:val="22"/>
            <w:szCs w:val="22"/>
            <w:lang w:bidi="en-US"/>
          </w:rPr>
          <w:t>3.1.1.</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Politique économique et sociale</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_Toc212725090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33</w:t>
        </w:r>
        <w:r w:rsidRPr="007B7AE8">
          <w:rPr>
            <w:rFonts w:ascii="Times New Roman" w:hAnsi="Times New Roman" w:cs="Times New Roman"/>
            <w:noProof/>
            <w:webHidden/>
            <w:sz w:val="22"/>
            <w:szCs w:val="22"/>
          </w:rPr>
          <w:fldChar w:fldCharType="end"/>
        </w:r>
      </w:hyperlink>
    </w:p>
    <w:p w14:paraId="52B50B17" w14:textId="0A7A863A"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091" w:history="1">
        <w:r w:rsidRPr="007B7AE8">
          <w:rPr>
            <w:rStyle w:val="Lienhypertexte"/>
            <w:rFonts w:ascii="Times New Roman" w:hAnsi="Times New Roman" w:cs="Times New Roman"/>
            <w:noProof/>
            <w:sz w:val="22"/>
            <w:szCs w:val="22"/>
            <w:lang w:bidi="en-US"/>
          </w:rPr>
          <w:t>3.1.2.</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Politique sectorielle de l’eau et de l’assainissement</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_Toc212725091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34</w:t>
        </w:r>
        <w:r w:rsidRPr="007B7AE8">
          <w:rPr>
            <w:rFonts w:ascii="Times New Roman" w:hAnsi="Times New Roman" w:cs="Times New Roman"/>
            <w:noProof/>
            <w:webHidden/>
            <w:sz w:val="22"/>
            <w:szCs w:val="22"/>
          </w:rPr>
          <w:fldChar w:fldCharType="end"/>
        </w:r>
      </w:hyperlink>
    </w:p>
    <w:p w14:paraId="0677485A" w14:textId="49BAA131"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092" w:history="1">
        <w:r w:rsidRPr="007B7AE8">
          <w:rPr>
            <w:rStyle w:val="Lienhypertexte"/>
            <w:rFonts w:ascii="Times New Roman" w:hAnsi="Times New Roman" w:cs="Times New Roman"/>
            <w:noProof/>
            <w:sz w:val="22"/>
            <w:szCs w:val="22"/>
            <w:lang w:bidi="en-US"/>
          </w:rPr>
          <w:t>3.1.3.</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Politique sectorielle de l’environnement</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_Toc212725092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35</w:t>
        </w:r>
        <w:r w:rsidRPr="007B7AE8">
          <w:rPr>
            <w:rFonts w:ascii="Times New Roman" w:hAnsi="Times New Roman" w:cs="Times New Roman"/>
            <w:noProof/>
            <w:webHidden/>
            <w:sz w:val="22"/>
            <w:szCs w:val="22"/>
          </w:rPr>
          <w:fldChar w:fldCharType="end"/>
        </w:r>
      </w:hyperlink>
    </w:p>
    <w:p w14:paraId="291F53C1" w14:textId="3DAAA9CB"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093" w:history="1">
        <w:r w:rsidRPr="007B7AE8">
          <w:rPr>
            <w:rStyle w:val="Lienhypertexte"/>
            <w:rFonts w:ascii="Times New Roman" w:hAnsi="Times New Roman" w:cs="Times New Roman"/>
            <w:b/>
            <w:bCs/>
            <w:noProof/>
            <w:sz w:val="22"/>
            <w:szCs w:val="22"/>
          </w:rPr>
          <w:t>3.2.</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Cadre juridique applicable au projet</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_Toc212725093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36</w:t>
        </w:r>
        <w:r w:rsidRPr="007B7AE8">
          <w:rPr>
            <w:rFonts w:ascii="Times New Roman" w:hAnsi="Times New Roman" w:cs="Times New Roman"/>
            <w:noProof/>
            <w:webHidden/>
            <w:sz w:val="22"/>
            <w:szCs w:val="22"/>
          </w:rPr>
          <w:fldChar w:fldCharType="end"/>
        </w:r>
      </w:hyperlink>
    </w:p>
    <w:p w14:paraId="31DCC94A" w14:textId="63E9102D"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094" w:history="1">
        <w:r w:rsidRPr="007B7AE8">
          <w:rPr>
            <w:rStyle w:val="Lienhypertexte"/>
            <w:rFonts w:ascii="Times New Roman" w:hAnsi="Times New Roman" w:cs="Times New Roman"/>
            <w:noProof/>
            <w:sz w:val="22"/>
            <w:szCs w:val="22"/>
            <w:lang w:bidi="en-US"/>
          </w:rPr>
          <w:t>3.2.1.</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Cadre législatif et réglementaire national</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_Toc212725094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36</w:t>
        </w:r>
        <w:r w:rsidRPr="007B7AE8">
          <w:rPr>
            <w:rFonts w:ascii="Times New Roman" w:hAnsi="Times New Roman" w:cs="Times New Roman"/>
            <w:noProof/>
            <w:webHidden/>
            <w:sz w:val="22"/>
            <w:szCs w:val="22"/>
          </w:rPr>
          <w:fldChar w:fldCharType="end"/>
        </w:r>
      </w:hyperlink>
    </w:p>
    <w:p w14:paraId="7E22DBDE" w14:textId="4DF15B34"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095" w:history="1">
        <w:r w:rsidRPr="007B7AE8">
          <w:rPr>
            <w:rStyle w:val="Lienhypertexte"/>
            <w:rFonts w:ascii="Times New Roman" w:hAnsi="Times New Roman" w:cs="Times New Roman"/>
            <w:noProof/>
            <w:sz w:val="22"/>
            <w:szCs w:val="22"/>
            <w:lang w:bidi="en-US"/>
          </w:rPr>
          <w:t>3.2.2.</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Dispositions réglementaires de lutte contre les pollutions et nuisances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_Toc212725095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39</w:t>
        </w:r>
        <w:r w:rsidRPr="007B7AE8">
          <w:rPr>
            <w:rFonts w:ascii="Times New Roman" w:hAnsi="Times New Roman" w:cs="Times New Roman"/>
            <w:noProof/>
            <w:webHidden/>
            <w:sz w:val="22"/>
            <w:szCs w:val="22"/>
          </w:rPr>
          <w:fldChar w:fldCharType="end"/>
        </w:r>
      </w:hyperlink>
    </w:p>
    <w:p w14:paraId="1A59D880" w14:textId="48682D59"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096" w:history="1">
        <w:r w:rsidRPr="007B7AE8">
          <w:rPr>
            <w:rStyle w:val="Lienhypertexte"/>
            <w:rFonts w:ascii="Times New Roman" w:hAnsi="Times New Roman" w:cs="Times New Roman"/>
            <w:noProof/>
            <w:sz w:val="22"/>
            <w:szCs w:val="22"/>
            <w:lang w:bidi="en-US"/>
          </w:rPr>
          <w:t>3.2.3.</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Dispositions légales réglementant les conditions des travailleurs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_Toc212725096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46</w:t>
        </w:r>
        <w:r w:rsidRPr="007B7AE8">
          <w:rPr>
            <w:rFonts w:ascii="Times New Roman" w:hAnsi="Times New Roman" w:cs="Times New Roman"/>
            <w:noProof/>
            <w:webHidden/>
            <w:sz w:val="22"/>
            <w:szCs w:val="22"/>
          </w:rPr>
          <w:fldChar w:fldCharType="end"/>
        </w:r>
      </w:hyperlink>
    </w:p>
    <w:p w14:paraId="03D35BEE" w14:textId="2E141F23"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097" w:history="1">
        <w:r w:rsidRPr="007B7AE8">
          <w:rPr>
            <w:rStyle w:val="Lienhypertexte"/>
            <w:rFonts w:ascii="Times New Roman" w:hAnsi="Times New Roman" w:cs="Times New Roman"/>
            <w:noProof/>
            <w:sz w:val="22"/>
            <w:szCs w:val="22"/>
            <w:lang w:bidi="en-US"/>
          </w:rPr>
          <w:t>3.2.4.</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Cadre juridique international</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_Toc212725097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49</w:t>
        </w:r>
        <w:r w:rsidRPr="007B7AE8">
          <w:rPr>
            <w:rFonts w:ascii="Times New Roman" w:hAnsi="Times New Roman" w:cs="Times New Roman"/>
            <w:noProof/>
            <w:webHidden/>
            <w:sz w:val="22"/>
            <w:szCs w:val="22"/>
          </w:rPr>
          <w:fldChar w:fldCharType="end"/>
        </w:r>
      </w:hyperlink>
    </w:p>
    <w:p w14:paraId="5E7A5A21" w14:textId="4A83E1CB"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098" w:history="1">
        <w:r w:rsidRPr="007B7AE8">
          <w:rPr>
            <w:rStyle w:val="Lienhypertexte"/>
            <w:rFonts w:ascii="Times New Roman" w:hAnsi="Times New Roman" w:cs="Times New Roman"/>
            <w:noProof/>
            <w:sz w:val="22"/>
            <w:szCs w:val="22"/>
            <w:lang w:bidi="en-US"/>
          </w:rPr>
          <w:t>3.2.5.</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Cadre Environnemental et Social (CES) de la Banque mondiale</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_Toc212725098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51</w:t>
        </w:r>
        <w:r w:rsidRPr="007B7AE8">
          <w:rPr>
            <w:rFonts w:ascii="Times New Roman" w:hAnsi="Times New Roman" w:cs="Times New Roman"/>
            <w:noProof/>
            <w:webHidden/>
            <w:sz w:val="22"/>
            <w:szCs w:val="22"/>
          </w:rPr>
          <w:fldChar w:fldCharType="end"/>
        </w:r>
      </w:hyperlink>
    </w:p>
    <w:p w14:paraId="16E08553" w14:textId="218E9F84"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099" w:history="1">
        <w:r w:rsidRPr="007B7AE8">
          <w:rPr>
            <w:rStyle w:val="Lienhypertexte"/>
            <w:rFonts w:ascii="Times New Roman" w:hAnsi="Times New Roman" w:cs="Times New Roman"/>
            <w:noProof/>
            <w:sz w:val="22"/>
            <w:szCs w:val="22"/>
            <w:lang w:bidi="en-US"/>
          </w:rPr>
          <w:t>3.2.6.</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Directives environnementales, sanitaires et sécuritaires (EHS) du Groupe de la Banque mondiale</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_Toc212725099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59</w:t>
        </w:r>
        <w:r w:rsidRPr="007B7AE8">
          <w:rPr>
            <w:rFonts w:ascii="Times New Roman" w:hAnsi="Times New Roman" w:cs="Times New Roman"/>
            <w:noProof/>
            <w:webHidden/>
            <w:sz w:val="22"/>
            <w:szCs w:val="22"/>
          </w:rPr>
          <w:fldChar w:fldCharType="end"/>
        </w:r>
      </w:hyperlink>
    </w:p>
    <w:p w14:paraId="3E6772C1" w14:textId="0DC910CA"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00" w:history="1">
        <w:r w:rsidRPr="007B7AE8">
          <w:rPr>
            <w:rStyle w:val="Lienhypertexte"/>
            <w:rFonts w:ascii="Times New Roman" w:hAnsi="Times New Roman" w:cs="Times New Roman"/>
            <w:i/>
            <w:iCs/>
            <w:noProof/>
            <w:sz w:val="22"/>
            <w:szCs w:val="22"/>
            <w:lang w:bidi="en-US"/>
          </w:rPr>
          <w:t>3.2.7.</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Lignes directrices relatives à l’assainissement et à la santé (Organisation mondiale de la Santé 2019</w:t>
        </w:r>
        <w:r w:rsidRPr="007B7AE8">
          <w:rPr>
            <w:rStyle w:val="Lienhypertexte"/>
            <w:rFonts w:ascii="Times New Roman" w:hAnsi="Times New Roman" w:cs="Times New Roman"/>
            <w:i/>
            <w:iCs/>
            <w:noProof/>
            <w:sz w:val="22"/>
            <w:szCs w:val="22"/>
            <w:lang w:bidi="en-US"/>
          </w:rPr>
          <w:t>)</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_Toc212725100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59</w:t>
        </w:r>
        <w:r w:rsidRPr="007B7AE8">
          <w:rPr>
            <w:rFonts w:ascii="Times New Roman" w:hAnsi="Times New Roman" w:cs="Times New Roman"/>
            <w:noProof/>
            <w:webHidden/>
            <w:sz w:val="22"/>
            <w:szCs w:val="22"/>
          </w:rPr>
          <w:fldChar w:fldCharType="end"/>
        </w:r>
      </w:hyperlink>
    </w:p>
    <w:p w14:paraId="21AA3965" w14:textId="11DF4836"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101" w:history="1">
        <w:r w:rsidRPr="007B7AE8">
          <w:rPr>
            <w:rStyle w:val="Lienhypertexte"/>
            <w:rFonts w:ascii="Times New Roman" w:hAnsi="Times New Roman" w:cs="Times New Roman"/>
            <w:b/>
            <w:bCs/>
            <w:noProof/>
            <w:sz w:val="22"/>
            <w:szCs w:val="22"/>
          </w:rPr>
          <w:t>3.3.</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Cadre institutionnel de gestion environnementale et sociale</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_Toc212725101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60</w:t>
        </w:r>
        <w:r w:rsidRPr="007B7AE8">
          <w:rPr>
            <w:rFonts w:ascii="Times New Roman" w:hAnsi="Times New Roman" w:cs="Times New Roman"/>
            <w:noProof/>
            <w:webHidden/>
            <w:sz w:val="22"/>
            <w:szCs w:val="22"/>
          </w:rPr>
          <w:fldChar w:fldCharType="end"/>
        </w:r>
      </w:hyperlink>
    </w:p>
    <w:p w14:paraId="1A68A505" w14:textId="23BE48C9" w:rsidR="008A50C4" w:rsidRPr="007B7AE8" w:rsidRDefault="008A50C4" w:rsidP="008907BE">
      <w:pPr>
        <w:pStyle w:val="TM1"/>
        <w:rPr>
          <w:rFonts w:eastAsiaTheme="minorEastAsia"/>
          <w:kern w:val="2"/>
          <w:lang w:val="fr-SN" w:eastAsia="fr-FR"/>
          <w14:ligatures w14:val="standardContextual"/>
        </w:rPr>
      </w:pPr>
      <w:hyperlink w:anchor="_Toc212725102" w:history="1">
        <w:r w:rsidRPr="007B7AE8">
          <w:rPr>
            <w:rStyle w:val="Lienhypertexte"/>
            <w:sz w:val="22"/>
            <w:szCs w:val="22"/>
          </w:rPr>
          <w:t>4.</w:t>
        </w:r>
        <w:r w:rsidRPr="007B7AE8">
          <w:rPr>
            <w:rFonts w:eastAsiaTheme="minorEastAsia"/>
            <w:kern w:val="2"/>
            <w:lang w:val="fr-SN" w:eastAsia="fr-FR"/>
            <w14:ligatures w14:val="standardContextual"/>
          </w:rPr>
          <w:tab/>
        </w:r>
        <w:r w:rsidRPr="007B7AE8">
          <w:rPr>
            <w:rStyle w:val="Lienhypertexte"/>
            <w:sz w:val="22"/>
            <w:szCs w:val="22"/>
          </w:rPr>
          <w:t>CONDITIONS ENVIRONNEMENTALES ET SOCIALES DE BASE</w:t>
        </w:r>
        <w:r w:rsidRPr="007B7AE8">
          <w:rPr>
            <w:webHidden/>
          </w:rPr>
          <w:tab/>
        </w:r>
        <w:r w:rsidRPr="007B7AE8">
          <w:rPr>
            <w:webHidden/>
          </w:rPr>
          <w:fldChar w:fldCharType="begin"/>
        </w:r>
        <w:r w:rsidRPr="007B7AE8">
          <w:rPr>
            <w:webHidden/>
          </w:rPr>
          <w:instrText xml:space="preserve"> PAGEREF _Toc212725102 \h </w:instrText>
        </w:r>
        <w:r w:rsidRPr="007B7AE8">
          <w:rPr>
            <w:webHidden/>
          </w:rPr>
        </w:r>
        <w:r w:rsidRPr="007B7AE8">
          <w:rPr>
            <w:webHidden/>
          </w:rPr>
          <w:fldChar w:fldCharType="separate"/>
        </w:r>
        <w:r w:rsidR="00805E85" w:rsidRPr="007B7AE8">
          <w:rPr>
            <w:webHidden/>
          </w:rPr>
          <w:t>64</w:t>
        </w:r>
        <w:r w:rsidRPr="007B7AE8">
          <w:rPr>
            <w:webHidden/>
          </w:rPr>
          <w:fldChar w:fldCharType="end"/>
        </w:r>
      </w:hyperlink>
    </w:p>
    <w:p w14:paraId="3B8F75AD" w14:textId="19E41ABD"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103" w:history="1">
        <w:r w:rsidRPr="007B7AE8">
          <w:rPr>
            <w:rStyle w:val="Lienhypertexte"/>
            <w:rFonts w:ascii="Times New Roman" w:hAnsi="Times New Roman" w:cs="Times New Roman"/>
            <w:b/>
            <w:bCs/>
            <w:noProof/>
            <w:sz w:val="22"/>
            <w:szCs w:val="22"/>
          </w:rPr>
          <w:t>4.1.</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Délimitation de la zone d’influence du projet</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_Toc212725103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64</w:t>
        </w:r>
        <w:r w:rsidRPr="007B7AE8">
          <w:rPr>
            <w:rFonts w:ascii="Times New Roman" w:hAnsi="Times New Roman" w:cs="Times New Roman"/>
            <w:noProof/>
            <w:webHidden/>
            <w:sz w:val="22"/>
            <w:szCs w:val="22"/>
          </w:rPr>
          <w:fldChar w:fldCharType="end"/>
        </w:r>
      </w:hyperlink>
    </w:p>
    <w:p w14:paraId="09A244EB" w14:textId="35CDB2D9"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104" w:history="1">
        <w:r w:rsidRPr="007B7AE8">
          <w:rPr>
            <w:rStyle w:val="Lienhypertexte"/>
            <w:rFonts w:ascii="Times New Roman" w:hAnsi="Times New Roman" w:cs="Times New Roman"/>
            <w:b/>
            <w:bCs/>
            <w:noProof/>
            <w:sz w:val="22"/>
            <w:szCs w:val="22"/>
          </w:rPr>
          <w:t>4.2.</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Caractérisation de la zone d’Influence Directe (emprises des bassins, des collecteurs, station de pompage et du marigot de Mbao)</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_Toc212725104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64</w:t>
        </w:r>
        <w:r w:rsidRPr="007B7AE8">
          <w:rPr>
            <w:rFonts w:ascii="Times New Roman" w:hAnsi="Times New Roman" w:cs="Times New Roman"/>
            <w:noProof/>
            <w:webHidden/>
            <w:sz w:val="22"/>
            <w:szCs w:val="22"/>
          </w:rPr>
          <w:fldChar w:fldCharType="end"/>
        </w:r>
      </w:hyperlink>
    </w:p>
    <w:p w14:paraId="313AA165" w14:textId="1CB7A03B"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105" w:history="1">
        <w:r w:rsidRPr="007B7AE8">
          <w:rPr>
            <w:rStyle w:val="Lienhypertexte"/>
            <w:rFonts w:ascii="Times New Roman" w:hAnsi="Times New Roman" w:cs="Times New Roman"/>
            <w:b/>
            <w:bCs/>
            <w:noProof/>
            <w:sz w:val="22"/>
            <w:szCs w:val="22"/>
          </w:rPr>
          <w:t>4.3.</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Caractérisation des emprises des bassins et des collecteurs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_Toc212725105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64</w:t>
        </w:r>
        <w:r w:rsidRPr="007B7AE8">
          <w:rPr>
            <w:rFonts w:ascii="Times New Roman" w:hAnsi="Times New Roman" w:cs="Times New Roman"/>
            <w:noProof/>
            <w:webHidden/>
            <w:sz w:val="22"/>
            <w:szCs w:val="22"/>
          </w:rPr>
          <w:fldChar w:fldCharType="end"/>
        </w:r>
      </w:hyperlink>
    </w:p>
    <w:p w14:paraId="314E781C" w14:textId="5827B8F1" w:rsidR="008A50C4" w:rsidRPr="007B7AE8" w:rsidRDefault="008A50C4" w:rsidP="008907BE">
      <w:pPr>
        <w:pStyle w:val="TM3"/>
        <w:tabs>
          <w:tab w:val="left" w:pos="1320"/>
          <w:tab w:val="right" w:leader="dot" w:pos="9060"/>
        </w:tabs>
        <w:jc w:val="both"/>
        <w:rPr>
          <w:rFonts w:ascii="Times New Roman" w:eastAsiaTheme="minorEastAsia" w:hAnsi="Times New Roman" w:cs="Times New Roman"/>
          <w:i w:val="0"/>
          <w:iCs w:val="0"/>
          <w:noProof/>
          <w:kern w:val="2"/>
          <w:sz w:val="22"/>
          <w:szCs w:val="22"/>
          <w:lang w:val="fr-SN" w:eastAsia="fr-FR"/>
          <w14:ligatures w14:val="standardContextual"/>
        </w:rPr>
      </w:pPr>
      <w:hyperlink w:anchor="_Toc212725106" w:history="1">
        <w:r w:rsidRPr="007B7AE8">
          <w:rPr>
            <w:rStyle w:val="Lienhypertexte"/>
            <w:rFonts w:ascii="Times New Roman" w:hAnsi="Times New Roman" w:cs="Times New Roman"/>
            <w:noProof/>
            <w:sz w:val="22"/>
            <w:szCs w:val="22"/>
          </w:rPr>
          <w:t>4.</w:t>
        </w:r>
        <w:r w:rsidR="008907BE">
          <w:rPr>
            <w:rStyle w:val="Lienhypertexte"/>
            <w:rFonts w:ascii="Times New Roman" w:hAnsi="Times New Roman" w:cs="Times New Roman"/>
            <w:noProof/>
            <w:sz w:val="22"/>
            <w:szCs w:val="22"/>
          </w:rPr>
          <w:t>3</w:t>
        </w:r>
        <w:r w:rsidRPr="007B7AE8">
          <w:rPr>
            <w:rStyle w:val="Lienhypertexte"/>
            <w:rFonts w:ascii="Times New Roman" w:hAnsi="Times New Roman" w:cs="Times New Roman"/>
            <w:noProof/>
            <w:sz w:val="22"/>
            <w:szCs w:val="22"/>
          </w:rPr>
          <w:t>.1.</w:t>
        </w:r>
        <w:r w:rsidRPr="007B7AE8">
          <w:rPr>
            <w:rFonts w:ascii="Times New Roman" w:eastAsiaTheme="minorEastAsia" w:hAnsi="Times New Roman" w:cs="Times New Roman"/>
            <w:i w:val="0"/>
            <w:iCs w:val="0"/>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rPr>
          <w:t>Caractérisation du Marigot de MBAO</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_Toc212725106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93</w:t>
        </w:r>
        <w:r w:rsidRPr="007B7AE8">
          <w:rPr>
            <w:rFonts w:ascii="Times New Roman" w:hAnsi="Times New Roman" w:cs="Times New Roman"/>
            <w:noProof/>
            <w:webHidden/>
            <w:sz w:val="22"/>
            <w:szCs w:val="22"/>
          </w:rPr>
          <w:fldChar w:fldCharType="end"/>
        </w:r>
      </w:hyperlink>
    </w:p>
    <w:p w14:paraId="2A628A89" w14:textId="15707B72"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107" w:history="1">
        <w:r w:rsidRPr="007B7AE8">
          <w:rPr>
            <w:rStyle w:val="Lienhypertexte"/>
            <w:rFonts w:ascii="Times New Roman" w:hAnsi="Times New Roman" w:cs="Times New Roman"/>
            <w:b/>
            <w:bCs/>
            <w:noProof/>
            <w:sz w:val="22"/>
            <w:szCs w:val="22"/>
          </w:rPr>
          <w:t>4.4.</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Caractérisation de la Zone d’Influence Indirecte</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_Toc212725107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94</w:t>
        </w:r>
        <w:r w:rsidRPr="007B7AE8">
          <w:rPr>
            <w:rFonts w:ascii="Times New Roman" w:hAnsi="Times New Roman" w:cs="Times New Roman"/>
            <w:noProof/>
            <w:webHidden/>
            <w:sz w:val="22"/>
            <w:szCs w:val="22"/>
          </w:rPr>
          <w:fldChar w:fldCharType="end"/>
        </w:r>
      </w:hyperlink>
    </w:p>
    <w:p w14:paraId="216984BC" w14:textId="063D7297"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08" w:history="1">
        <w:r w:rsidRPr="007B7AE8">
          <w:rPr>
            <w:rStyle w:val="Lienhypertexte"/>
            <w:rFonts w:ascii="Times New Roman" w:hAnsi="Times New Roman" w:cs="Times New Roman"/>
            <w:noProof/>
            <w:sz w:val="22"/>
            <w:szCs w:val="22"/>
            <w:lang w:bidi="en-US"/>
          </w:rPr>
          <w:t>4.4.1.</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Environnement physique de la zone d’influence indirecte</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_Toc212725108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94</w:t>
        </w:r>
        <w:r w:rsidRPr="007B7AE8">
          <w:rPr>
            <w:rFonts w:ascii="Times New Roman" w:hAnsi="Times New Roman" w:cs="Times New Roman"/>
            <w:noProof/>
            <w:webHidden/>
            <w:sz w:val="22"/>
            <w:szCs w:val="22"/>
          </w:rPr>
          <w:fldChar w:fldCharType="end"/>
        </w:r>
      </w:hyperlink>
    </w:p>
    <w:p w14:paraId="6815E767" w14:textId="06459AC3"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09" w:history="1">
        <w:r w:rsidRPr="007B7AE8">
          <w:rPr>
            <w:rStyle w:val="Lienhypertexte"/>
            <w:rFonts w:ascii="Times New Roman" w:hAnsi="Times New Roman" w:cs="Times New Roman"/>
            <w:noProof/>
            <w:sz w:val="22"/>
            <w:szCs w:val="22"/>
            <w:lang w:bidi="en-US"/>
          </w:rPr>
          <w:t>4.4.2.</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Environnement biologique de la zone d’influence indirecte</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_Toc212725109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105</w:t>
        </w:r>
        <w:r w:rsidRPr="007B7AE8">
          <w:rPr>
            <w:rFonts w:ascii="Times New Roman" w:hAnsi="Times New Roman" w:cs="Times New Roman"/>
            <w:noProof/>
            <w:webHidden/>
            <w:sz w:val="22"/>
            <w:szCs w:val="22"/>
          </w:rPr>
          <w:fldChar w:fldCharType="end"/>
        </w:r>
      </w:hyperlink>
    </w:p>
    <w:p w14:paraId="2B5B42B8" w14:textId="68885186"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10" w:history="1">
        <w:r w:rsidRPr="007B7AE8">
          <w:rPr>
            <w:rStyle w:val="Lienhypertexte"/>
            <w:rFonts w:ascii="Times New Roman" w:hAnsi="Times New Roman" w:cs="Times New Roman"/>
            <w:noProof/>
            <w:sz w:val="22"/>
            <w:szCs w:val="22"/>
            <w:lang w:bidi="en-US"/>
          </w:rPr>
          <w:t>4.4.3.</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Environnement humain de la zone d’influence indirecte</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_Toc212725110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107</w:t>
        </w:r>
        <w:r w:rsidRPr="007B7AE8">
          <w:rPr>
            <w:rFonts w:ascii="Times New Roman" w:hAnsi="Times New Roman" w:cs="Times New Roman"/>
            <w:noProof/>
            <w:webHidden/>
            <w:sz w:val="22"/>
            <w:szCs w:val="22"/>
          </w:rPr>
          <w:fldChar w:fldCharType="end"/>
        </w:r>
      </w:hyperlink>
    </w:p>
    <w:p w14:paraId="671B60B0" w14:textId="05390A31"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11" w:history="1">
        <w:r w:rsidRPr="007B7AE8">
          <w:rPr>
            <w:rStyle w:val="Lienhypertexte"/>
            <w:rFonts w:ascii="Times New Roman" w:hAnsi="Times New Roman" w:cs="Times New Roman"/>
            <w:noProof/>
            <w:sz w:val="22"/>
            <w:szCs w:val="22"/>
            <w:lang w:bidi="en-US"/>
          </w:rPr>
          <w:t>4.4.4.</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Enjeux environnementaux et sociaux</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_Toc212725111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114</w:t>
        </w:r>
        <w:r w:rsidRPr="007B7AE8">
          <w:rPr>
            <w:rFonts w:ascii="Times New Roman" w:hAnsi="Times New Roman" w:cs="Times New Roman"/>
            <w:noProof/>
            <w:webHidden/>
            <w:sz w:val="22"/>
            <w:szCs w:val="22"/>
          </w:rPr>
          <w:fldChar w:fldCharType="end"/>
        </w:r>
      </w:hyperlink>
    </w:p>
    <w:p w14:paraId="20592398" w14:textId="16409913"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12" w:history="1">
        <w:r w:rsidRPr="007B7AE8">
          <w:rPr>
            <w:rStyle w:val="Lienhypertexte"/>
            <w:rFonts w:ascii="Times New Roman" w:hAnsi="Times New Roman" w:cs="Times New Roman"/>
            <w:noProof/>
            <w:sz w:val="22"/>
            <w:szCs w:val="22"/>
            <w:lang w:bidi="en-US"/>
          </w:rPr>
          <w:t>4.4.5.</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Établissements recevant du public dans un rayon de 500m des ouvrages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_Toc212725112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114</w:t>
        </w:r>
        <w:r w:rsidRPr="007B7AE8">
          <w:rPr>
            <w:rFonts w:ascii="Times New Roman" w:hAnsi="Times New Roman" w:cs="Times New Roman"/>
            <w:noProof/>
            <w:webHidden/>
            <w:sz w:val="22"/>
            <w:szCs w:val="22"/>
          </w:rPr>
          <w:fldChar w:fldCharType="end"/>
        </w:r>
      </w:hyperlink>
    </w:p>
    <w:p w14:paraId="16B74807" w14:textId="0E0B655D"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13" w:history="1">
        <w:r w:rsidRPr="007B7AE8">
          <w:rPr>
            <w:rStyle w:val="Lienhypertexte"/>
            <w:rFonts w:ascii="Times New Roman" w:hAnsi="Times New Roman" w:cs="Times New Roman"/>
            <w:noProof/>
            <w:sz w:val="22"/>
            <w:szCs w:val="22"/>
            <w:lang w:bidi="en-US"/>
          </w:rPr>
          <w:t>4.4.6.</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Enjeux environnementaux et sociaux majeurs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_Toc212725113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114</w:t>
        </w:r>
        <w:r w:rsidRPr="007B7AE8">
          <w:rPr>
            <w:rFonts w:ascii="Times New Roman" w:hAnsi="Times New Roman" w:cs="Times New Roman"/>
            <w:noProof/>
            <w:webHidden/>
            <w:sz w:val="22"/>
            <w:szCs w:val="22"/>
          </w:rPr>
          <w:fldChar w:fldCharType="end"/>
        </w:r>
      </w:hyperlink>
    </w:p>
    <w:p w14:paraId="1052E4CD" w14:textId="34651568" w:rsidR="008A50C4" w:rsidRPr="007B7AE8" w:rsidRDefault="008A50C4" w:rsidP="008907BE">
      <w:pPr>
        <w:pStyle w:val="TM1"/>
        <w:rPr>
          <w:rFonts w:eastAsiaTheme="minorEastAsia"/>
          <w:kern w:val="2"/>
          <w:lang w:val="fr-SN" w:eastAsia="fr-FR"/>
          <w14:ligatures w14:val="standardContextual"/>
        </w:rPr>
      </w:pPr>
      <w:hyperlink w:anchor="_Toc212725114" w:history="1">
        <w:r w:rsidRPr="007B7AE8">
          <w:rPr>
            <w:rStyle w:val="Lienhypertexte"/>
            <w:sz w:val="22"/>
            <w:szCs w:val="22"/>
          </w:rPr>
          <w:t>5.</w:t>
        </w:r>
        <w:r w:rsidRPr="007B7AE8">
          <w:rPr>
            <w:rFonts w:eastAsiaTheme="minorEastAsia"/>
            <w:kern w:val="2"/>
            <w:lang w:val="fr-SN" w:eastAsia="fr-FR"/>
            <w14:ligatures w14:val="standardContextual"/>
          </w:rPr>
          <w:tab/>
        </w:r>
        <w:r w:rsidRPr="007B7AE8">
          <w:rPr>
            <w:rStyle w:val="Lienhypertexte"/>
            <w:sz w:val="22"/>
            <w:szCs w:val="22"/>
          </w:rPr>
          <w:t>CONSULTATIONS DU PUBLIC</w:t>
        </w:r>
        <w:r w:rsidRPr="007B7AE8">
          <w:rPr>
            <w:webHidden/>
          </w:rPr>
          <w:tab/>
        </w:r>
        <w:r w:rsidRPr="007B7AE8">
          <w:rPr>
            <w:webHidden/>
          </w:rPr>
          <w:fldChar w:fldCharType="begin"/>
        </w:r>
        <w:r w:rsidRPr="007B7AE8">
          <w:rPr>
            <w:webHidden/>
          </w:rPr>
          <w:instrText xml:space="preserve"> PAGEREF _Toc212725114 \h </w:instrText>
        </w:r>
        <w:r w:rsidRPr="007B7AE8">
          <w:rPr>
            <w:webHidden/>
          </w:rPr>
        </w:r>
        <w:r w:rsidRPr="007B7AE8">
          <w:rPr>
            <w:webHidden/>
          </w:rPr>
          <w:fldChar w:fldCharType="separate"/>
        </w:r>
        <w:r w:rsidR="00805E85" w:rsidRPr="007B7AE8">
          <w:rPr>
            <w:webHidden/>
          </w:rPr>
          <w:t>118</w:t>
        </w:r>
        <w:r w:rsidRPr="007B7AE8">
          <w:rPr>
            <w:webHidden/>
          </w:rPr>
          <w:fldChar w:fldCharType="end"/>
        </w:r>
      </w:hyperlink>
    </w:p>
    <w:p w14:paraId="57203F0C" w14:textId="1CD9E98A"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115" w:history="1">
        <w:r w:rsidRPr="007B7AE8">
          <w:rPr>
            <w:rStyle w:val="Lienhypertexte"/>
            <w:rFonts w:ascii="Times New Roman" w:hAnsi="Times New Roman" w:cs="Times New Roman"/>
            <w:b/>
            <w:bCs/>
            <w:noProof/>
            <w:sz w:val="22"/>
            <w:szCs w:val="22"/>
          </w:rPr>
          <w:t>5.1.</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Principes de la consultation du Public</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_Toc212725115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118</w:t>
        </w:r>
        <w:r w:rsidRPr="007B7AE8">
          <w:rPr>
            <w:rFonts w:ascii="Times New Roman" w:hAnsi="Times New Roman" w:cs="Times New Roman"/>
            <w:noProof/>
            <w:webHidden/>
            <w:sz w:val="22"/>
            <w:szCs w:val="22"/>
          </w:rPr>
          <w:fldChar w:fldCharType="end"/>
        </w:r>
      </w:hyperlink>
    </w:p>
    <w:p w14:paraId="0B1FA081" w14:textId="4A62995C"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116" w:history="1">
        <w:r w:rsidRPr="007B7AE8">
          <w:rPr>
            <w:rStyle w:val="Lienhypertexte"/>
            <w:rFonts w:ascii="Times New Roman" w:hAnsi="Times New Roman" w:cs="Times New Roman"/>
            <w:b/>
            <w:bCs/>
            <w:noProof/>
            <w:sz w:val="22"/>
            <w:szCs w:val="22"/>
          </w:rPr>
          <w:t>5.2.</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Méthodologie</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_Toc212725116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118</w:t>
        </w:r>
        <w:r w:rsidRPr="007B7AE8">
          <w:rPr>
            <w:rFonts w:ascii="Times New Roman" w:hAnsi="Times New Roman" w:cs="Times New Roman"/>
            <w:noProof/>
            <w:webHidden/>
            <w:sz w:val="22"/>
            <w:szCs w:val="22"/>
          </w:rPr>
          <w:fldChar w:fldCharType="end"/>
        </w:r>
      </w:hyperlink>
    </w:p>
    <w:p w14:paraId="575D32FA" w14:textId="42692799"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117" w:history="1">
        <w:r w:rsidRPr="007B7AE8">
          <w:rPr>
            <w:rStyle w:val="Lienhypertexte"/>
            <w:rFonts w:ascii="Times New Roman" w:hAnsi="Times New Roman" w:cs="Times New Roman"/>
            <w:b/>
            <w:bCs/>
            <w:noProof/>
            <w:sz w:val="22"/>
            <w:szCs w:val="22"/>
          </w:rPr>
          <w:t>5.3.</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Points discutés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_Toc212725117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118</w:t>
        </w:r>
        <w:r w:rsidRPr="007B7AE8">
          <w:rPr>
            <w:rFonts w:ascii="Times New Roman" w:hAnsi="Times New Roman" w:cs="Times New Roman"/>
            <w:noProof/>
            <w:webHidden/>
            <w:sz w:val="22"/>
            <w:szCs w:val="22"/>
          </w:rPr>
          <w:fldChar w:fldCharType="end"/>
        </w:r>
      </w:hyperlink>
    </w:p>
    <w:p w14:paraId="2D7990EA" w14:textId="2423C060"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118" w:history="1">
        <w:r w:rsidRPr="007B7AE8">
          <w:rPr>
            <w:rStyle w:val="Lienhypertexte"/>
            <w:rFonts w:ascii="Times New Roman" w:hAnsi="Times New Roman" w:cs="Times New Roman"/>
            <w:b/>
            <w:bCs/>
            <w:noProof/>
            <w:sz w:val="22"/>
            <w:szCs w:val="22"/>
          </w:rPr>
          <w:t>5.4.</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Étendue des consultations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_Toc212725118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118</w:t>
        </w:r>
        <w:r w:rsidRPr="007B7AE8">
          <w:rPr>
            <w:rFonts w:ascii="Times New Roman" w:hAnsi="Times New Roman" w:cs="Times New Roman"/>
            <w:noProof/>
            <w:webHidden/>
            <w:sz w:val="22"/>
            <w:szCs w:val="22"/>
          </w:rPr>
          <w:fldChar w:fldCharType="end"/>
        </w:r>
      </w:hyperlink>
    </w:p>
    <w:p w14:paraId="2BB930A8" w14:textId="02BE560E"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119" w:history="1">
        <w:r w:rsidRPr="007B7AE8">
          <w:rPr>
            <w:rStyle w:val="Lienhypertexte"/>
            <w:rFonts w:ascii="Times New Roman" w:hAnsi="Times New Roman" w:cs="Times New Roman"/>
            <w:b/>
            <w:bCs/>
            <w:noProof/>
            <w:sz w:val="22"/>
            <w:szCs w:val="22"/>
          </w:rPr>
          <w:t>5.5.</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Résultats des consultations avec les parties prenantes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_Toc212725119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120</w:t>
        </w:r>
        <w:r w:rsidRPr="007B7AE8">
          <w:rPr>
            <w:rFonts w:ascii="Times New Roman" w:hAnsi="Times New Roman" w:cs="Times New Roman"/>
            <w:noProof/>
            <w:webHidden/>
            <w:sz w:val="22"/>
            <w:szCs w:val="22"/>
          </w:rPr>
          <w:fldChar w:fldCharType="end"/>
        </w:r>
      </w:hyperlink>
    </w:p>
    <w:p w14:paraId="7A8C7A17" w14:textId="77FC5085"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20" w:history="1">
        <w:r w:rsidRPr="007B7AE8">
          <w:rPr>
            <w:rStyle w:val="Lienhypertexte"/>
            <w:rFonts w:ascii="Times New Roman" w:hAnsi="Times New Roman" w:cs="Times New Roman"/>
            <w:noProof/>
            <w:sz w:val="22"/>
            <w:szCs w:val="22"/>
            <w:lang w:bidi="en-US"/>
          </w:rPr>
          <w:t>5.5.1.</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Rencontre avec les autorités administratives (Préfectures et sous-préfectures)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_Toc212725120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120</w:t>
        </w:r>
        <w:r w:rsidRPr="007B7AE8">
          <w:rPr>
            <w:rFonts w:ascii="Times New Roman" w:hAnsi="Times New Roman" w:cs="Times New Roman"/>
            <w:noProof/>
            <w:webHidden/>
            <w:sz w:val="22"/>
            <w:szCs w:val="22"/>
          </w:rPr>
          <w:fldChar w:fldCharType="end"/>
        </w:r>
      </w:hyperlink>
    </w:p>
    <w:p w14:paraId="7A34B51F" w14:textId="03BBBB55"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21" w:history="1">
        <w:r w:rsidRPr="007B7AE8">
          <w:rPr>
            <w:rStyle w:val="Lienhypertexte"/>
            <w:rFonts w:ascii="Times New Roman" w:hAnsi="Times New Roman" w:cs="Times New Roman"/>
            <w:noProof/>
            <w:sz w:val="22"/>
            <w:szCs w:val="22"/>
            <w:lang w:bidi="en-US"/>
          </w:rPr>
          <w:t>5.5.2.</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Rencontre avec les collectivités territoriales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_Toc212725121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120</w:t>
        </w:r>
        <w:r w:rsidRPr="007B7AE8">
          <w:rPr>
            <w:rFonts w:ascii="Times New Roman" w:hAnsi="Times New Roman" w:cs="Times New Roman"/>
            <w:noProof/>
            <w:webHidden/>
            <w:sz w:val="22"/>
            <w:szCs w:val="22"/>
          </w:rPr>
          <w:fldChar w:fldCharType="end"/>
        </w:r>
      </w:hyperlink>
    </w:p>
    <w:p w14:paraId="53154E56" w14:textId="44C66ABE"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22" w:history="1">
        <w:r w:rsidRPr="007B7AE8">
          <w:rPr>
            <w:rStyle w:val="Lienhypertexte"/>
            <w:rFonts w:ascii="Times New Roman" w:hAnsi="Times New Roman" w:cs="Times New Roman"/>
            <w:noProof/>
            <w:sz w:val="22"/>
            <w:szCs w:val="22"/>
            <w:lang w:bidi="en-US"/>
          </w:rPr>
          <w:t>5.5.3.</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Rencontre avec les services techniques déconcentrés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_Toc212725122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121</w:t>
        </w:r>
        <w:r w:rsidRPr="007B7AE8">
          <w:rPr>
            <w:rFonts w:ascii="Times New Roman" w:hAnsi="Times New Roman" w:cs="Times New Roman"/>
            <w:noProof/>
            <w:webHidden/>
            <w:sz w:val="22"/>
            <w:szCs w:val="22"/>
          </w:rPr>
          <w:fldChar w:fldCharType="end"/>
        </w:r>
      </w:hyperlink>
    </w:p>
    <w:p w14:paraId="736B1E9E" w14:textId="2C232293"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23" w:history="1">
        <w:r w:rsidRPr="007B7AE8">
          <w:rPr>
            <w:rStyle w:val="Lienhypertexte"/>
            <w:rFonts w:ascii="Times New Roman" w:hAnsi="Times New Roman" w:cs="Times New Roman"/>
            <w:noProof/>
            <w:sz w:val="22"/>
            <w:szCs w:val="22"/>
            <w:lang w:bidi="en-US"/>
          </w:rPr>
          <w:t>5.5.4.</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Consultation des populations affectées par le Projet</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_Toc212725123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125</w:t>
        </w:r>
        <w:r w:rsidRPr="007B7AE8">
          <w:rPr>
            <w:rFonts w:ascii="Times New Roman" w:hAnsi="Times New Roman" w:cs="Times New Roman"/>
            <w:noProof/>
            <w:webHidden/>
            <w:sz w:val="22"/>
            <w:szCs w:val="22"/>
          </w:rPr>
          <w:fldChar w:fldCharType="end"/>
        </w:r>
      </w:hyperlink>
    </w:p>
    <w:p w14:paraId="6F828A62" w14:textId="14D2A502"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24" w:history="1">
        <w:r w:rsidRPr="007B7AE8">
          <w:rPr>
            <w:rStyle w:val="Lienhypertexte"/>
            <w:rFonts w:ascii="Times New Roman" w:hAnsi="Times New Roman" w:cs="Times New Roman"/>
            <w:noProof/>
            <w:sz w:val="22"/>
            <w:szCs w:val="22"/>
            <w:lang w:bidi="en-US"/>
          </w:rPr>
          <w:t>5.5.5.</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Rencontre avec les acteurs socioprofessionnels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_Toc212725124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126</w:t>
        </w:r>
        <w:r w:rsidRPr="007B7AE8">
          <w:rPr>
            <w:rFonts w:ascii="Times New Roman" w:hAnsi="Times New Roman" w:cs="Times New Roman"/>
            <w:noProof/>
            <w:webHidden/>
            <w:sz w:val="22"/>
            <w:szCs w:val="22"/>
          </w:rPr>
          <w:fldChar w:fldCharType="end"/>
        </w:r>
      </w:hyperlink>
    </w:p>
    <w:p w14:paraId="7E03BC85" w14:textId="550AC92C" w:rsidR="008A50C4" w:rsidRPr="007B7AE8" w:rsidRDefault="008A50C4" w:rsidP="008907BE">
      <w:pPr>
        <w:pStyle w:val="TM1"/>
        <w:rPr>
          <w:rFonts w:eastAsiaTheme="minorEastAsia"/>
          <w:kern w:val="2"/>
          <w:lang w:val="fr-SN" w:eastAsia="fr-FR"/>
          <w14:ligatures w14:val="standardContextual"/>
        </w:rPr>
      </w:pPr>
      <w:hyperlink w:anchor="_Toc212725125" w:history="1">
        <w:r w:rsidRPr="007B7AE8">
          <w:rPr>
            <w:rStyle w:val="Lienhypertexte"/>
            <w:sz w:val="22"/>
            <w:szCs w:val="22"/>
          </w:rPr>
          <w:t>6.</w:t>
        </w:r>
        <w:r w:rsidRPr="007B7AE8">
          <w:rPr>
            <w:rFonts w:eastAsiaTheme="minorEastAsia"/>
            <w:kern w:val="2"/>
            <w:lang w:val="fr-SN" w:eastAsia="fr-FR"/>
            <w14:ligatures w14:val="standardContextual"/>
          </w:rPr>
          <w:tab/>
        </w:r>
        <w:r w:rsidRPr="007B7AE8">
          <w:rPr>
            <w:rStyle w:val="Lienhypertexte"/>
            <w:sz w:val="22"/>
            <w:szCs w:val="22"/>
          </w:rPr>
          <w:t>ANALYSE DES VARIANTES</w:t>
        </w:r>
        <w:r w:rsidRPr="007B7AE8">
          <w:rPr>
            <w:webHidden/>
          </w:rPr>
          <w:tab/>
        </w:r>
        <w:r w:rsidRPr="007B7AE8">
          <w:rPr>
            <w:webHidden/>
          </w:rPr>
          <w:fldChar w:fldCharType="begin"/>
        </w:r>
        <w:r w:rsidRPr="007B7AE8">
          <w:rPr>
            <w:webHidden/>
          </w:rPr>
          <w:instrText xml:space="preserve"> PAGEREF _Toc212725125 \h </w:instrText>
        </w:r>
        <w:r w:rsidRPr="007B7AE8">
          <w:rPr>
            <w:webHidden/>
          </w:rPr>
        </w:r>
        <w:r w:rsidRPr="007B7AE8">
          <w:rPr>
            <w:webHidden/>
          </w:rPr>
          <w:fldChar w:fldCharType="separate"/>
        </w:r>
        <w:r w:rsidR="00805E85" w:rsidRPr="007B7AE8">
          <w:rPr>
            <w:webHidden/>
          </w:rPr>
          <w:t>128</w:t>
        </w:r>
        <w:r w:rsidRPr="007B7AE8">
          <w:rPr>
            <w:webHidden/>
          </w:rPr>
          <w:fldChar w:fldCharType="end"/>
        </w:r>
      </w:hyperlink>
    </w:p>
    <w:p w14:paraId="7064424F" w14:textId="0AB66219"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126" w:history="1">
        <w:r w:rsidRPr="007B7AE8">
          <w:rPr>
            <w:rStyle w:val="Lienhypertexte"/>
            <w:rFonts w:ascii="Times New Roman" w:hAnsi="Times New Roman" w:cs="Times New Roman"/>
            <w:b/>
            <w:bCs/>
            <w:noProof/>
            <w:sz w:val="22"/>
            <w:szCs w:val="22"/>
          </w:rPr>
          <w:t>6.1.</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Analyse des situations « sans projet » et « avec projet »</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_Toc212725126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128</w:t>
        </w:r>
        <w:r w:rsidRPr="007B7AE8">
          <w:rPr>
            <w:rFonts w:ascii="Times New Roman" w:hAnsi="Times New Roman" w:cs="Times New Roman"/>
            <w:noProof/>
            <w:webHidden/>
            <w:sz w:val="22"/>
            <w:szCs w:val="22"/>
          </w:rPr>
          <w:fldChar w:fldCharType="end"/>
        </w:r>
      </w:hyperlink>
    </w:p>
    <w:p w14:paraId="5150C49D" w14:textId="10048B12"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127" w:history="1">
        <w:r w:rsidRPr="007B7AE8">
          <w:rPr>
            <w:rStyle w:val="Lienhypertexte"/>
            <w:rFonts w:ascii="Times New Roman" w:hAnsi="Times New Roman" w:cs="Times New Roman"/>
            <w:b/>
            <w:bCs/>
            <w:noProof/>
            <w:sz w:val="22"/>
            <w:szCs w:val="22"/>
          </w:rPr>
          <w:t>6.2.</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Analyse descriptive des variantes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_Toc212725127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129</w:t>
        </w:r>
        <w:r w:rsidRPr="007B7AE8">
          <w:rPr>
            <w:rFonts w:ascii="Times New Roman" w:hAnsi="Times New Roman" w:cs="Times New Roman"/>
            <w:noProof/>
            <w:webHidden/>
            <w:sz w:val="22"/>
            <w:szCs w:val="22"/>
          </w:rPr>
          <w:fldChar w:fldCharType="end"/>
        </w:r>
      </w:hyperlink>
    </w:p>
    <w:p w14:paraId="229394E0" w14:textId="5D584C59" w:rsidR="008A50C4" w:rsidRPr="007B7AE8" w:rsidRDefault="008A50C4" w:rsidP="008907BE">
      <w:pPr>
        <w:pStyle w:val="TM1"/>
        <w:rPr>
          <w:rFonts w:eastAsiaTheme="minorEastAsia"/>
          <w:kern w:val="2"/>
          <w:lang w:val="fr-SN" w:eastAsia="fr-FR"/>
          <w14:ligatures w14:val="standardContextual"/>
        </w:rPr>
      </w:pPr>
      <w:hyperlink w:anchor="_Toc212725128" w:history="1">
        <w:r w:rsidRPr="007B7AE8">
          <w:rPr>
            <w:rStyle w:val="Lienhypertexte"/>
            <w:sz w:val="22"/>
            <w:szCs w:val="22"/>
          </w:rPr>
          <w:t>7.</w:t>
        </w:r>
        <w:r w:rsidRPr="007B7AE8">
          <w:rPr>
            <w:rFonts w:eastAsiaTheme="minorEastAsia"/>
            <w:kern w:val="2"/>
            <w:lang w:val="fr-SN" w:eastAsia="fr-FR"/>
            <w14:ligatures w14:val="standardContextual"/>
          </w:rPr>
          <w:tab/>
        </w:r>
        <w:r w:rsidRPr="007B7AE8">
          <w:rPr>
            <w:rStyle w:val="Lienhypertexte"/>
            <w:sz w:val="22"/>
            <w:szCs w:val="22"/>
          </w:rPr>
          <w:t>ANALYSE ET ÉVALUATION DES RISQUES ET IMPACTS POTENTIELS</w:t>
        </w:r>
        <w:r w:rsidRPr="007B7AE8">
          <w:rPr>
            <w:webHidden/>
          </w:rPr>
          <w:tab/>
        </w:r>
        <w:r w:rsidRPr="007B7AE8">
          <w:rPr>
            <w:webHidden/>
          </w:rPr>
          <w:fldChar w:fldCharType="begin"/>
        </w:r>
        <w:r w:rsidRPr="007B7AE8">
          <w:rPr>
            <w:webHidden/>
          </w:rPr>
          <w:instrText xml:space="preserve"> PAGEREF _Toc212725128 \h </w:instrText>
        </w:r>
        <w:r w:rsidRPr="007B7AE8">
          <w:rPr>
            <w:webHidden/>
          </w:rPr>
        </w:r>
        <w:r w:rsidRPr="007B7AE8">
          <w:rPr>
            <w:webHidden/>
          </w:rPr>
          <w:fldChar w:fldCharType="separate"/>
        </w:r>
        <w:r w:rsidR="00805E85" w:rsidRPr="007B7AE8">
          <w:rPr>
            <w:webHidden/>
          </w:rPr>
          <w:t>134</w:t>
        </w:r>
        <w:r w:rsidRPr="007B7AE8">
          <w:rPr>
            <w:webHidden/>
          </w:rPr>
          <w:fldChar w:fldCharType="end"/>
        </w:r>
      </w:hyperlink>
    </w:p>
    <w:p w14:paraId="12C3270D" w14:textId="047A0D6B"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129" w:history="1">
        <w:r w:rsidRPr="007B7AE8">
          <w:rPr>
            <w:rStyle w:val="Lienhypertexte"/>
            <w:rFonts w:ascii="Times New Roman" w:hAnsi="Times New Roman" w:cs="Times New Roman"/>
            <w:b/>
            <w:bCs/>
            <w:noProof/>
            <w:sz w:val="22"/>
            <w:szCs w:val="22"/>
          </w:rPr>
          <w:t>7.1.</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Démarche méthodologique</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_Toc212725129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134</w:t>
        </w:r>
        <w:r w:rsidRPr="007B7AE8">
          <w:rPr>
            <w:rFonts w:ascii="Times New Roman" w:hAnsi="Times New Roman" w:cs="Times New Roman"/>
            <w:noProof/>
            <w:webHidden/>
            <w:sz w:val="22"/>
            <w:szCs w:val="22"/>
          </w:rPr>
          <w:fldChar w:fldCharType="end"/>
        </w:r>
      </w:hyperlink>
    </w:p>
    <w:p w14:paraId="63BDD0BF" w14:textId="0D5DCC4C"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130" w:history="1">
        <w:r w:rsidRPr="007B7AE8">
          <w:rPr>
            <w:rStyle w:val="Lienhypertexte"/>
            <w:rFonts w:ascii="Times New Roman" w:hAnsi="Times New Roman" w:cs="Times New Roman"/>
            <w:b/>
            <w:bCs/>
            <w:noProof/>
            <w:sz w:val="22"/>
            <w:szCs w:val="22"/>
          </w:rPr>
          <w:t>7.2.</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Impacts et risques environnementaux et sociaux du projet</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_Toc212725130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140</w:t>
        </w:r>
        <w:r w:rsidRPr="007B7AE8">
          <w:rPr>
            <w:rFonts w:ascii="Times New Roman" w:hAnsi="Times New Roman" w:cs="Times New Roman"/>
            <w:noProof/>
            <w:webHidden/>
            <w:sz w:val="22"/>
            <w:szCs w:val="22"/>
          </w:rPr>
          <w:fldChar w:fldCharType="end"/>
        </w:r>
      </w:hyperlink>
    </w:p>
    <w:p w14:paraId="03FE23FB" w14:textId="794A9B59"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31" w:history="1">
        <w:r w:rsidRPr="007B7AE8">
          <w:rPr>
            <w:rStyle w:val="Lienhypertexte"/>
            <w:rFonts w:ascii="Times New Roman" w:hAnsi="Times New Roman" w:cs="Times New Roman"/>
            <w:noProof/>
            <w:sz w:val="22"/>
            <w:szCs w:val="22"/>
            <w:lang w:bidi="en-US"/>
          </w:rPr>
          <w:t>7.2.1.</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Impacts positifs du projet</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_Toc212725131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140</w:t>
        </w:r>
        <w:r w:rsidRPr="007B7AE8">
          <w:rPr>
            <w:rFonts w:ascii="Times New Roman" w:hAnsi="Times New Roman" w:cs="Times New Roman"/>
            <w:noProof/>
            <w:webHidden/>
            <w:sz w:val="22"/>
            <w:szCs w:val="22"/>
          </w:rPr>
          <w:fldChar w:fldCharType="end"/>
        </w:r>
      </w:hyperlink>
    </w:p>
    <w:p w14:paraId="47B6F993" w14:textId="52EEF9B4"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32" w:history="1">
        <w:r w:rsidRPr="007B7AE8">
          <w:rPr>
            <w:rStyle w:val="Lienhypertexte"/>
            <w:rFonts w:ascii="Times New Roman" w:hAnsi="Times New Roman" w:cs="Times New Roman"/>
            <w:i/>
            <w:iCs/>
            <w:noProof/>
            <w:sz w:val="22"/>
            <w:szCs w:val="22"/>
            <w:lang w:bidi="en-US"/>
          </w:rPr>
          <w:t>7.2.1.1.</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i/>
            <w:iCs/>
            <w:noProof/>
            <w:sz w:val="22"/>
            <w:szCs w:val="22"/>
            <w:lang w:bidi="en-US"/>
          </w:rPr>
          <w:t>En phase préparation et construction</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_Toc212725132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140</w:t>
        </w:r>
        <w:r w:rsidRPr="007B7AE8">
          <w:rPr>
            <w:rFonts w:ascii="Times New Roman" w:hAnsi="Times New Roman" w:cs="Times New Roman"/>
            <w:noProof/>
            <w:webHidden/>
            <w:sz w:val="22"/>
            <w:szCs w:val="22"/>
          </w:rPr>
          <w:fldChar w:fldCharType="end"/>
        </w:r>
      </w:hyperlink>
    </w:p>
    <w:p w14:paraId="51914861" w14:textId="3583A387"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33" w:history="1">
        <w:r w:rsidRPr="007B7AE8">
          <w:rPr>
            <w:rStyle w:val="Lienhypertexte"/>
            <w:rFonts w:ascii="Times New Roman" w:hAnsi="Times New Roman" w:cs="Times New Roman"/>
            <w:i/>
            <w:iCs/>
            <w:noProof/>
            <w:sz w:val="22"/>
            <w:szCs w:val="22"/>
            <w:lang w:bidi="en-US"/>
          </w:rPr>
          <w:t>7.2.1.2.</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i/>
            <w:iCs/>
            <w:noProof/>
            <w:sz w:val="22"/>
            <w:szCs w:val="22"/>
            <w:lang w:bidi="en-US"/>
          </w:rPr>
          <w:t>En phase exploitation</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_Toc212725133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141</w:t>
        </w:r>
        <w:r w:rsidRPr="007B7AE8">
          <w:rPr>
            <w:rFonts w:ascii="Times New Roman" w:hAnsi="Times New Roman" w:cs="Times New Roman"/>
            <w:noProof/>
            <w:webHidden/>
            <w:sz w:val="22"/>
            <w:szCs w:val="22"/>
          </w:rPr>
          <w:fldChar w:fldCharType="end"/>
        </w:r>
      </w:hyperlink>
    </w:p>
    <w:p w14:paraId="4D92921F" w14:textId="2E30A20B"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34" w:history="1">
        <w:r w:rsidRPr="007B7AE8">
          <w:rPr>
            <w:rStyle w:val="Lienhypertexte"/>
            <w:rFonts w:ascii="Times New Roman" w:hAnsi="Times New Roman" w:cs="Times New Roman"/>
            <w:i/>
            <w:iCs/>
            <w:noProof/>
            <w:sz w:val="22"/>
            <w:szCs w:val="22"/>
            <w:lang w:bidi="en-US"/>
          </w:rPr>
          <w:t>7.2.1.3.</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i/>
            <w:iCs/>
            <w:noProof/>
            <w:sz w:val="22"/>
            <w:szCs w:val="22"/>
            <w:lang w:bidi="en-US"/>
          </w:rPr>
          <w:t>Synthèse des impacts positifs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_Toc212725134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145</w:t>
        </w:r>
        <w:r w:rsidRPr="007B7AE8">
          <w:rPr>
            <w:rFonts w:ascii="Times New Roman" w:hAnsi="Times New Roman" w:cs="Times New Roman"/>
            <w:noProof/>
            <w:webHidden/>
            <w:sz w:val="22"/>
            <w:szCs w:val="22"/>
          </w:rPr>
          <w:fldChar w:fldCharType="end"/>
        </w:r>
      </w:hyperlink>
    </w:p>
    <w:p w14:paraId="0AFC83C9" w14:textId="200B98CE"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35" w:history="1">
        <w:r w:rsidRPr="007B7AE8">
          <w:rPr>
            <w:rStyle w:val="Lienhypertexte"/>
            <w:rFonts w:ascii="Times New Roman" w:hAnsi="Times New Roman" w:cs="Times New Roman"/>
            <w:noProof/>
            <w:sz w:val="22"/>
            <w:szCs w:val="22"/>
            <w:lang w:bidi="en-US"/>
          </w:rPr>
          <w:t>7.2.2.</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Impacts négatifs et risques environnementaux et sociaux</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_Toc212725135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146</w:t>
        </w:r>
        <w:r w:rsidRPr="007B7AE8">
          <w:rPr>
            <w:rFonts w:ascii="Times New Roman" w:hAnsi="Times New Roman" w:cs="Times New Roman"/>
            <w:noProof/>
            <w:webHidden/>
            <w:sz w:val="22"/>
            <w:szCs w:val="22"/>
          </w:rPr>
          <w:fldChar w:fldCharType="end"/>
        </w:r>
      </w:hyperlink>
    </w:p>
    <w:p w14:paraId="1458654D" w14:textId="13B43C2D"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36" w:history="1">
        <w:r w:rsidRPr="007B7AE8">
          <w:rPr>
            <w:rStyle w:val="Lienhypertexte"/>
            <w:rFonts w:ascii="Times New Roman" w:hAnsi="Times New Roman" w:cs="Times New Roman"/>
            <w:i/>
            <w:iCs/>
            <w:noProof/>
            <w:sz w:val="22"/>
            <w:szCs w:val="22"/>
            <w:lang w:bidi="en-US"/>
          </w:rPr>
          <w:t>7.2.2.1.</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i/>
            <w:iCs/>
            <w:noProof/>
            <w:sz w:val="22"/>
            <w:szCs w:val="22"/>
            <w:lang w:bidi="en-US"/>
          </w:rPr>
          <w:t>En phase travaux</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_Toc212725136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146</w:t>
        </w:r>
        <w:r w:rsidRPr="007B7AE8">
          <w:rPr>
            <w:rFonts w:ascii="Times New Roman" w:hAnsi="Times New Roman" w:cs="Times New Roman"/>
            <w:noProof/>
            <w:webHidden/>
            <w:sz w:val="22"/>
            <w:szCs w:val="22"/>
          </w:rPr>
          <w:fldChar w:fldCharType="end"/>
        </w:r>
      </w:hyperlink>
    </w:p>
    <w:p w14:paraId="1E33060E" w14:textId="204D5F47"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37" w:history="1">
        <w:r w:rsidRPr="007B7AE8">
          <w:rPr>
            <w:rStyle w:val="Lienhypertexte"/>
            <w:rFonts w:ascii="Times New Roman" w:hAnsi="Times New Roman" w:cs="Times New Roman"/>
            <w:i/>
            <w:iCs/>
            <w:noProof/>
            <w:sz w:val="22"/>
            <w:szCs w:val="22"/>
            <w:lang w:bidi="en-US"/>
          </w:rPr>
          <w:t>7.2.7.</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i/>
            <w:iCs/>
            <w:noProof/>
            <w:sz w:val="22"/>
            <w:szCs w:val="22"/>
            <w:lang w:bidi="en-US"/>
          </w:rPr>
          <w:t>Impacts négatifs et risques associés aux aménagements urbains (voirie, éclairage public par lampadaires photovoltaïques)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_Toc212725137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169</w:t>
        </w:r>
        <w:r w:rsidRPr="007B7AE8">
          <w:rPr>
            <w:rFonts w:ascii="Times New Roman" w:hAnsi="Times New Roman" w:cs="Times New Roman"/>
            <w:noProof/>
            <w:webHidden/>
            <w:sz w:val="22"/>
            <w:szCs w:val="22"/>
          </w:rPr>
          <w:fldChar w:fldCharType="end"/>
        </w:r>
      </w:hyperlink>
    </w:p>
    <w:p w14:paraId="267BFAB7" w14:textId="45F6DF65"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38" w:history="1">
        <w:r w:rsidRPr="007B7AE8">
          <w:rPr>
            <w:rStyle w:val="Lienhypertexte"/>
            <w:rFonts w:ascii="Times New Roman" w:hAnsi="Times New Roman" w:cs="Times New Roman"/>
            <w:i/>
            <w:iCs/>
            <w:noProof/>
            <w:sz w:val="22"/>
            <w:szCs w:val="22"/>
            <w:lang w:bidi="en-US"/>
          </w:rPr>
          <w:t>7.2.7.1.</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i/>
            <w:iCs/>
            <w:noProof/>
            <w:sz w:val="22"/>
            <w:szCs w:val="22"/>
            <w:lang w:bidi="en-US"/>
          </w:rPr>
          <w:t>Repli de chantier</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_Toc212725138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171</w:t>
        </w:r>
        <w:r w:rsidRPr="007B7AE8">
          <w:rPr>
            <w:rFonts w:ascii="Times New Roman" w:hAnsi="Times New Roman" w:cs="Times New Roman"/>
            <w:noProof/>
            <w:webHidden/>
            <w:sz w:val="22"/>
            <w:szCs w:val="22"/>
          </w:rPr>
          <w:fldChar w:fldCharType="end"/>
        </w:r>
      </w:hyperlink>
    </w:p>
    <w:p w14:paraId="7D4DF7B9" w14:textId="2D571FA6"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39" w:history="1">
        <w:r w:rsidRPr="007B7AE8">
          <w:rPr>
            <w:rStyle w:val="Lienhypertexte"/>
            <w:rFonts w:ascii="Times New Roman" w:hAnsi="Times New Roman" w:cs="Times New Roman"/>
            <w:i/>
            <w:iCs/>
            <w:noProof/>
            <w:sz w:val="22"/>
            <w:szCs w:val="22"/>
            <w:lang w:bidi="en-US"/>
          </w:rPr>
          <w:t>7.2.7.2.</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i/>
            <w:iCs/>
            <w:noProof/>
            <w:sz w:val="22"/>
            <w:szCs w:val="22"/>
            <w:lang w:bidi="en-US"/>
          </w:rPr>
          <w:t>En phase exploitation</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_Toc212725139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174</w:t>
        </w:r>
        <w:r w:rsidRPr="007B7AE8">
          <w:rPr>
            <w:rFonts w:ascii="Times New Roman" w:hAnsi="Times New Roman" w:cs="Times New Roman"/>
            <w:noProof/>
            <w:webHidden/>
            <w:sz w:val="22"/>
            <w:szCs w:val="22"/>
          </w:rPr>
          <w:fldChar w:fldCharType="end"/>
        </w:r>
      </w:hyperlink>
    </w:p>
    <w:p w14:paraId="33256BB8" w14:textId="1D514A41"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40" w:history="1">
        <w:r w:rsidRPr="007B7AE8">
          <w:rPr>
            <w:rStyle w:val="Lienhypertexte"/>
            <w:rFonts w:ascii="Times New Roman" w:hAnsi="Times New Roman" w:cs="Times New Roman"/>
            <w:i/>
            <w:iCs/>
            <w:noProof/>
            <w:sz w:val="22"/>
            <w:szCs w:val="22"/>
            <w:lang w:bidi="en-US"/>
          </w:rPr>
          <w:t>7.2.10.</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i/>
            <w:iCs/>
            <w:noProof/>
            <w:sz w:val="22"/>
            <w:szCs w:val="22"/>
            <w:lang w:bidi="en-US"/>
          </w:rPr>
          <w:t>Vulnérabilité du projet aux changements climatiques et des risques associés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_Toc212725140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183</w:t>
        </w:r>
        <w:r w:rsidRPr="007B7AE8">
          <w:rPr>
            <w:rFonts w:ascii="Times New Roman" w:hAnsi="Times New Roman" w:cs="Times New Roman"/>
            <w:noProof/>
            <w:webHidden/>
            <w:sz w:val="22"/>
            <w:szCs w:val="22"/>
          </w:rPr>
          <w:fldChar w:fldCharType="end"/>
        </w:r>
      </w:hyperlink>
    </w:p>
    <w:p w14:paraId="3DA240E5" w14:textId="07E525D7"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41" w:history="1">
        <w:r w:rsidRPr="007B7AE8">
          <w:rPr>
            <w:rStyle w:val="Lienhypertexte"/>
            <w:rFonts w:ascii="Times New Roman" w:hAnsi="Times New Roman" w:cs="Times New Roman"/>
            <w:i/>
            <w:iCs/>
            <w:noProof/>
            <w:sz w:val="22"/>
            <w:szCs w:val="22"/>
            <w:lang w:bidi="en-US"/>
          </w:rPr>
          <w:t>7.2.11.</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i/>
            <w:iCs/>
            <w:noProof/>
            <w:sz w:val="22"/>
            <w:szCs w:val="22"/>
            <w:lang w:bidi="en-US"/>
          </w:rPr>
          <w:t>Impacts cumulatifs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_Toc212725141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184</w:t>
        </w:r>
        <w:r w:rsidRPr="007B7AE8">
          <w:rPr>
            <w:rFonts w:ascii="Times New Roman" w:hAnsi="Times New Roman" w:cs="Times New Roman"/>
            <w:noProof/>
            <w:webHidden/>
            <w:sz w:val="22"/>
            <w:szCs w:val="22"/>
          </w:rPr>
          <w:fldChar w:fldCharType="end"/>
        </w:r>
      </w:hyperlink>
    </w:p>
    <w:p w14:paraId="14A05CDF" w14:textId="217D1BB0" w:rsidR="008A50C4" w:rsidRPr="007B7AE8" w:rsidRDefault="008A50C4" w:rsidP="008907BE">
      <w:pPr>
        <w:pStyle w:val="TM1"/>
        <w:rPr>
          <w:rFonts w:eastAsiaTheme="minorEastAsia"/>
          <w:kern w:val="2"/>
          <w:lang w:val="fr-SN" w:eastAsia="fr-FR"/>
          <w14:ligatures w14:val="standardContextual"/>
        </w:rPr>
      </w:pPr>
      <w:hyperlink w:anchor="_Toc212725142" w:history="1">
        <w:r w:rsidRPr="007B7AE8">
          <w:rPr>
            <w:rStyle w:val="Lienhypertexte"/>
            <w:sz w:val="22"/>
            <w:szCs w:val="22"/>
          </w:rPr>
          <w:t>8.</w:t>
        </w:r>
        <w:r w:rsidRPr="007B7AE8">
          <w:rPr>
            <w:rFonts w:eastAsiaTheme="minorEastAsia"/>
            <w:kern w:val="2"/>
            <w:lang w:val="fr-SN" w:eastAsia="fr-FR"/>
            <w14:ligatures w14:val="standardContextual"/>
          </w:rPr>
          <w:tab/>
        </w:r>
        <w:r w:rsidRPr="007B7AE8">
          <w:rPr>
            <w:rStyle w:val="Lienhypertexte"/>
            <w:sz w:val="22"/>
            <w:szCs w:val="22"/>
          </w:rPr>
          <w:t>ÉTUDE DE DANGER ET ANALYSE DES RISQUES TECHNOLOGIQUES ET PROFESSIONNELS</w:t>
        </w:r>
        <w:r w:rsidRPr="007B7AE8">
          <w:rPr>
            <w:webHidden/>
          </w:rPr>
          <w:tab/>
        </w:r>
        <w:r w:rsidRPr="007B7AE8">
          <w:rPr>
            <w:webHidden/>
          </w:rPr>
          <w:fldChar w:fldCharType="begin"/>
        </w:r>
        <w:r w:rsidRPr="007B7AE8">
          <w:rPr>
            <w:webHidden/>
          </w:rPr>
          <w:instrText xml:space="preserve"> PAGEREF _Toc212725142 \h </w:instrText>
        </w:r>
        <w:r w:rsidRPr="007B7AE8">
          <w:rPr>
            <w:webHidden/>
          </w:rPr>
        </w:r>
        <w:r w:rsidRPr="007B7AE8">
          <w:rPr>
            <w:webHidden/>
          </w:rPr>
          <w:fldChar w:fldCharType="separate"/>
        </w:r>
        <w:r w:rsidR="00805E85" w:rsidRPr="007B7AE8">
          <w:rPr>
            <w:webHidden/>
          </w:rPr>
          <w:t>188</w:t>
        </w:r>
        <w:r w:rsidRPr="007B7AE8">
          <w:rPr>
            <w:webHidden/>
          </w:rPr>
          <w:fldChar w:fldCharType="end"/>
        </w:r>
      </w:hyperlink>
    </w:p>
    <w:p w14:paraId="67179C05" w14:textId="15DBE50F"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143" w:history="1">
        <w:r w:rsidRPr="007B7AE8">
          <w:rPr>
            <w:rStyle w:val="Lienhypertexte"/>
            <w:rFonts w:ascii="Times New Roman" w:hAnsi="Times New Roman" w:cs="Times New Roman"/>
            <w:b/>
            <w:bCs/>
            <w:noProof/>
            <w:sz w:val="22"/>
            <w:szCs w:val="22"/>
          </w:rPr>
          <w:t>8.1.</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Analyse des risques d’accident technologiques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_Toc212725143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188</w:t>
        </w:r>
        <w:r w:rsidRPr="007B7AE8">
          <w:rPr>
            <w:rFonts w:ascii="Times New Roman" w:hAnsi="Times New Roman" w:cs="Times New Roman"/>
            <w:noProof/>
            <w:webHidden/>
            <w:sz w:val="22"/>
            <w:szCs w:val="22"/>
          </w:rPr>
          <w:fldChar w:fldCharType="end"/>
        </w:r>
      </w:hyperlink>
    </w:p>
    <w:p w14:paraId="0FC950D3" w14:textId="03451827"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44" w:history="1">
        <w:r w:rsidRPr="007B7AE8">
          <w:rPr>
            <w:rStyle w:val="Lienhypertexte"/>
            <w:rFonts w:ascii="Times New Roman" w:hAnsi="Times New Roman" w:cs="Times New Roman"/>
            <w:noProof/>
            <w:sz w:val="22"/>
            <w:szCs w:val="22"/>
            <w:lang w:bidi="en-US"/>
          </w:rPr>
          <w:t>8.1.1.</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Description et caractérisation de l’environnement</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_Toc212725144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188</w:t>
        </w:r>
        <w:r w:rsidRPr="007B7AE8">
          <w:rPr>
            <w:rFonts w:ascii="Times New Roman" w:hAnsi="Times New Roman" w:cs="Times New Roman"/>
            <w:noProof/>
            <w:webHidden/>
            <w:sz w:val="22"/>
            <w:szCs w:val="22"/>
          </w:rPr>
          <w:fldChar w:fldCharType="end"/>
        </w:r>
      </w:hyperlink>
    </w:p>
    <w:p w14:paraId="392E5C6F" w14:textId="30058564"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45" w:history="1">
        <w:r w:rsidRPr="007B7AE8">
          <w:rPr>
            <w:rStyle w:val="Lienhypertexte"/>
            <w:rFonts w:ascii="Times New Roman" w:hAnsi="Times New Roman" w:cs="Times New Roman"/>
            <w:noProof/>
            <w:sz w:val="22"/>
            <w:szCs w:val="22"/>
            <w:lang w:bidi="en-US"/>
          </w:rPr>
          <w:t>8.1.2.</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Analyse préliminaire des risques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_Toc212725145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188</w:t>
        </w:r>
        <w:r w:rsidRPr="007B7AE8">
          <w:rPr>
            <w:rFonts w:ascii="Times New Roman" w:hAnsi="Times New Roman" w:cs="Times New Roman"/>
            <w:noProof/>
            <w:webHidden/>
            <w:sz w:val="22"/>
            <w:szCs w:val="22"/>
          </w:rPr>
          <w:fldChar w:fldCharType="end"/>
        </w:r>
      </w:hyperlink>
    </w:p>
    <w:p w14:paraId="429CE77D" w14:textId="14835FF9"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46" w:history="1">
        <w:r w:rsidRPr="007B7AE8">
          <w:rPr>
            <w:rStyle w:val="Lienhypertexte"/>
            <w:rFonts w:ascii="Times New Roman" w:hAnsi="Times New Roman" w:cs="Times New Roman"/>
            <w:noProof/>
            <w:sz w:val="22"/>
            <w:szCs w:val="22"/>
            <w:lang w:bidi="en-US"/>
          </w:rPr>
          <w:t>8.1.3.</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Sources de dangers internes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_Toc212725146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188</w:t>
        </w:r>
        <w:r w:rsidRPr="007B7AE8">
          <w:rPr>
            <w:rFonts w:ascii="Times New Roman" w:hAnsi="Times New Roman" w:cs="Times New Roman"/>
            <w:noProof/>
            <w:webHidden/>
            <w:sz w:val="22"/>
            <w:szCs w:val="22"/>
          </w:rPr>
          <w:fldChar w:fldCharType="end"/>
        </w:r>
      </w:hyperlink>
    </w:p>
    <w:p w14:paraId="18698619" w14:textId="64A5B302"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47" w:history="1">
        <w:r w:rsidRPr="007B7AE8">
          <w:rPr>
            <w:rStyle w:val="Lienhypertexte"/>
            <w:rFonts w:ascii="Times New Roman" w:hAnsi="Times New Roman" w:cs="Times New Roman"/>
            <w:i/>
            <w:iCs/>
            <w:noProof/>
            <w:sz w:val="22"/>
            <w:szCs w:val="22"/>
            <w:lang w:bidi="en-US"/>
          </w:rPr>
          <w:t>8.1.3.1.</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i/>
            <w:iCs/>
            <w:noProof/>
            <w:sz w:val="22"/>
            <w:szCs w:val="22"/>
            <w:lang w:bidi="en-US"/>
          </w:rPr>
          <w:t>Dangers liés aux produits utilisés lors de la phase construction</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_Toc212725147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189</w:t>
        </w:r>
        <w:r w:rsidRPr="007B7AE8">
          <w:rPr>
            <w:rFonts w:ascii="Times New Roman" w:hAnsi="Times New Roman" w:cs="Times New Roman"/>
            <w:noProof/>
            <w:webHidden/>
            <w:sz w:val="22"/>
            <w:szCs w:val="22"/>
          </w:rPr>
          <w:fldChar w:fldCharType="end"/>
        </w:r>
      </w:hyperlink>
    </w:p>
    <w:p w14:paraId="234A1ED6" w14:textId="4DA80480"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48" w:history="1">
        <w:r w:rsidRPr="007B7AE8">
          <w:rPr>
            <w:rStyle w:val="Lienhypertexte"/>
            <w:rFonts w:ascii="Times New Roman" w:hAnsi="Times New Roman" w:cs="Times New Roman"/>
            <w:i/>
            <w:iCs/>
            <w:noProof/>
            <w:sz w:val="22"/>
            <w:szCs w:val="22"/>
            <w:lang w:bidi="en-US"/>
          </w:rPr>
          <w:t>8.1.3.2.</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i/>
            <w:iCs/>
            <w:noProof/>
            <w:sz w:val="22"/>
            <w:szCs w:val="22"/>
            <w:lang w:bidi="en-US"/>
          </w:rPr>
          <w:t>Dangers liés aux équipements/procédés en phase chantier</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_Toc212725148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201</w:t>
        </w:r>
        <w:r w:rsidRPr="007B7AE8">
          <w:rPr>
            <w:rFonts w:ascii="Times New Roman" w:hAnsi="Times New Roman" w:cs="Times New Roman"/>
            <w:noProof/>
            <w:webHidden/>
            <w:sz w:val="22"/>
            <w:szCs w:val="22"/>
          </w:rPr>
          <w:fldChar w:fldCharType="end"/>
        </w:r>
      </w:hyperlink>
    </w:p>
    <w:p w14:paraId="6D8DC298" w14:textId="3516FAF0"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49" w:history="1">
        <w:r w:rsidRPr="007B7AE8">
          <w:rPr>
            <w:rStyle w:val="Lienhypertexte"/>
            <w:rFonts w:ascii="Times New Roman" w:hAnsi="Times New Roman" w:cs="Times New Roman"/>
            <w:i/>
            <w:iCs/>
            <w:noProof/>
            <w:sz w:val="22"/>
            <w:szCs w:val="22"/>
            <w:lang w:bidi="en-US"/>
          </w:rPr>
          <w:t>8.1.3.3.</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i/>
            <w:iCs/>
            <w:noProof/>
            <w:sz w:val="22"/>
            <w:szCs w:val="22"/>
            <w:lang w:bidi="en-US"/>
          </w:rPr>
          <w:t>Dangers liés aux installations et à leur exploitation</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_Toc212725149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203</w:t>
        </w:r>
        <w:r w:rsidRPr="007B7AE8">
          <w:rPr>
            <w:rFonts w:ascii="Times New Roman" w:hAnsi="Times New Roman" w:cs="Times New Roman"/>
            <w:noProof/>
            <w:webHidden/>
            <w:sz w:val="22"/>
            <w:szCs w:val="22"/>
          </w:rPr>
          <w:fldChar w:fldCharType="end"/>
        </w:r>
      </w:hyperlink>
    </w:p>
    <w:p w14:paraId="726F2CAA" w14:textId="627E027A"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50" w:history="1">
        <w:r w:rsidRPr="007B7AE8">
          <w:rPr>
            <w:rStyle w:val="Lienhypertexte"/>
            <w:rFonts w:ascii="Times New Roman" w:hAnsi="Times New Roman" w:cs="Times New Roman"/>
            <w:noProof/>
            <w:sz w:val="22"/>
            <w:szCs w:val="22"/>
            <w:lang w:bidi="en-US"/>
          </w:rPr>
          <w:t>8.1.4.</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Sources de dangers externes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_Toc212725150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205</w:t>
        </w:r>
        <w:r w:rsidRPr="007B7AE8">
          <w:rPr>
            <w:rFonts w:ascii="Times New Roman" w:hAnsi="Times New Roman" w:cs="Times New Roman"/>
            <w:noProof/>
            <w:webHidden/>
            <w:sz w:val="22"/>
            <w:szCs w:val="22"/>
          </w:rPr>
          <w:fldChar w:fldCharType="end"/>
        </w:r>
      </w:hyperlink>
    </w:p>
    <w:p w14:paraId="2E1161BB" w14:textId="72363BC4"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51" w:history="1">
        <w:r w:rsidRPr="007B7AE8">
          <w:rPr>
            <w:rStyle w:val="Lienhypertexte"/>
            <w:rFonts w:ascii="Times New Roman" w:hAnsi="Times New Roman" w:cs="Times New Roman"/>
            <w:noProof/>
            <w:sz w:val="22"/>
            <w:szCs w:val="22"/>
            <w:lang w:bidi="en-US"/>
          </w:rPr>
          <w:t>8.1.5.</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Étude de l’accidentologie</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_Toc212725151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205</w:t>
        </w:r>
        <w:r w:rsidRPr="007B7AE8">
          <w:rPr>
            <w:rFonts w:ascii="Times New Roman" w:hAnsi="Times New Roman" w:cs="Times New Roman"/>
            <w:noProof/>
            <w:webHidden/>
            <w:sz w:val="22"/>
            <w:szCs w:val="22"/>
          </w:rPr>
          <w:fldChar w:fldCharType="end"/>
        </w:r>
      </w:hyperlink>
    </w:p>
    <w:p w14:paraId="6BDF1308" w14:textId="7D5F8D4D"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52" w:history="1">
        <w:r w:rsidRPr="007B7AE8">
          <w:rPr>
            <w:rStyle w:val="Lienhypertexte"/>
            <w:rFonts w:ascii="Times New Roman" w:hAnsi="Times New Roman" w:cs="Times New Roman"/>
            <w:noProof/>
            <w:sz w:val="22"/>
            <w:szCs w:val="22"/>
            <w:lang w:bidi="en-US"/>
          </w:rPr>
          <w:t>8.1.6.</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Analyse des risques d’accidents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_Toc212725152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207</w:t>
        </w:r>
        <w:r w:rsidRPr="007B7AE8">
          <w:rPr>
            <w:rFonts w:ascii="Times New Roman" w:hAnsi="Times New Roman" w:cs="Times New Roman"/>
            <w:noProof/>
            <w:webHidden/>
            <w:sz w:val="22"/>
            <w:szCs w:val="22"/>
          </w:rPr>
          <w:fldChar w:fldCharType="end"/>
        </w:r>
      </w:hyperlink>
    </w:p>
    <w:p w14:paraId="67E9FA69" w14:textId="472DB4C9"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153" w:history="1">
        <w:r w:rsidRPr="007B7AE8">
          <w:rPr>
            <w:rStyle w:val="Lienhypertexte"/>
            <w:rFonts w:ascii="Times New Roman" w:hAnsi="Times New Roman" w:cs="Times New Roman"/>
            <w:b/>
            <w:bCs/>
            <w:noProof/>
            <w:sz w:val="22"/>
            <w:szCs w:val="22"/>
          </w:rPr>
          <w:t>8.2.</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Analyse des risques professionnels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_Toc212725153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216</w:t>
        </w:r>
        <w:r w:rsidRPr="007B7AE8">
          <w:rPr>
            <w:rFonts w:ascii="Times New Roman" w:hAnsi="Times New Roman" w:cs="Times New Roman"/>
            <w:noProof/>
            <w:webHidden/>
            <w:sz w:val="22"/>
            <w:szCs w:val="22"/>
          </w:rPr>
          <w:fldChar w:fldCharType="end"/>
        </w:r>
      </w:hyperlink>
    </w:p>
    <w:p w14:paraId="16388C8D" w14:textId="46776012" w:rsidR="008A50C4" w:rsidRPr="007B7AE8" w:rsidRDefault="008A50C4" w:rsidP="008907BE">
      <w:pPr>
        <w:pStyle w:val="TM1"/>
        <w:rPr>
          <w:rFonts w:eastAsiaTheme="minorEastAsia"/>
          <w:kern w:val="2"/>
          <w:lang w:val="fr-SN" w:eastAsia="fr-FR"/>
          <w14:ligatures w14:val="standardContextual"/>
        </w:rPr>
      </w:pPr>
      <w:hyperlink w:anchor="_Toc212725154" w:history="1">
        <w:r w:rsidRPr="007B7AE8">
          <w:rPr>
            <w:rStyle w:val="Lienhypertexte"/>
            <w:sz w:val="22"/>
            <w:szCs w:val="22"/>
          </w:rPr>
          <w:t>9.</w:t>
        </w:r>
        <w:r w:rsidRPr="007B7AE8">
          <w:rPr>
            <w:rFonts w:eastAsiaTheme="minorEastAsia"/>
            <w:kern w:val="2"/>
            <w:lang w:val="fr-SN" w:eastAsia="fr-FR"/>
            <w14:ligatures w14:val="standardContextual"/>
          </w:rPr>
          <w:tab/>
        </w:r>
        <w:r w:rsidRPr="007B7AE8">
          <w:rPr>
            <w:rStyle w:val="Lienhypertexte"/>
            <w:sz w:val="22"/>
            <w:szCs w:val="22"/>
          </w:rPr>
          <w:t>MOBILISATION DES PARTIES PRENANTES</w:t>
        </w:r>
        <w:r w:rsidRPr="007B7AE8">
          <w:rPr>
            <w:webHidden/>
          </w:rPr>
          <w:tab/>
        </w:r>
        <w:r w:rsidRPr="007B7AE8">
          <w:rPr>
            <w:webHidden/>
          </w:rPr>
          <w:fldChar w:fldCharType="begin"/>
        </w:r>
        <w:r w:rsidRPr="007B7AE8">
          <w:rPr>
            <w:webHidden/>
          </w:rPr>
          <w:instrText xml:space="preserve"> PAGEREF _Toc212725154 \h </w:instrText>
        </w:r>
        <w:r w:rsidRPr="007B7AE8">
          <w:rPr>
            <w:webHidden/>
          </w:rPr>
        </w:r>
        <w:r w:rsidRPr="007B7AE8">
          <w:rPr>
            <w:webHidden/>
          </w:rPr>
          <w:fldChar w:fldCharType="separate"/>
        </w:r>
        <w:r w:rsidR="00805E85" w:rsidRPr="007B7AE8">
          <w:rPr>
            <w:webHidden/>
          </w:rPr>
          <w:t>220</w:t>
        </w:r>
        <w:r w:rsidRPr="007B7AE8">
          <w:rPr>
            <w:webHidden/>
          </w:rPr>
          <w:fldChar w:fldCharType="end"/>
        </w:r>
      </w:hyperlink>
    </w:p>
    <w:p w14:paraId="1274C11C" w14:textId="525A8B79"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155" w:history="1">
        <w:r w:rsidRPr="007B7AE8">
          <w:rPr>
            <w:rStyle w:val="Lienhypertexte"/>
            <w:rFonts w:ascii="Times New Roman" w:hAnsi="Times New Roman" w:cs="Times New Roman"/>
            <w:b/>
            <w:bCs/>
            <w:noProof/>
            <w:sz w:val="22"/>
            <w:szCs w:val="22"/>
          </w:rPr>
          <w:t>9.1.</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Information et consultation des parties prenantes dans la préparation de l’EIES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_Toc212725155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220</w:t>
        </w:r>
        <w:r w:rsidRPr="007B7AE8">
          <w:rPr>
            <w:rFonts w:ascii="Times New Roman" w:hAnsi="Times New Roman" w:cs="Times New Roman"/>
            <w:noProof/>
            <w:webHidden/>
            <w:sz w:val="22"/>
            <w:szCs w:val="22"/>
          </w:rPr>
          <w:fldChar w:fldCharType="end"/>
        </w:r>
      </w:hyperlink>
    </w:p>
    <w:p w14:paraId="24211861" w14:textId="45CC3120"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156" w:history="1">
        <w:r w:rsidRPr="007B7AE8">
          <w:rPr>
            <w:rStyle w:val="Lienhypertexte"/>
            <w:rFonts w:ascii="Times New Roman" w:hAnsi="Times New Roman" w:cs="Times New Roman"/>
            <w:b/>
            <w:bCs/>
            <w:noProof/>
            <w:sz w:val="22"/>
            <w:szCs w:val="22"/>
          </w:rPr>
          <w:t>9.2.</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Identification et analyse des parties prenantes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_Toc212725156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220</w:t>
        </w:r>
        <w:r w:rsidRPr="007B7AE8">
          <w:rPr>
            <w:rFonts w:ascii="Times New Roman" w:hAnsi="Times New Roman" w:cs="Times New Roman"/>
            <w:noProof/>
            <w:webHidden/>
            <w:sz w:val="22"/>
            <w:szCs w:val="22"/>
          </w:rPr>
          <w:fldChar w:fldCharType="end"/>
        </w:r>
      </w:hyperlink>
    </w:p>
    <w:p w14:paraId="24B10679" w14:textId="2C3748E3"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57" w:history="1">
        <w:r w:rsidRPr="007B7AE8">
          <w:rPr>
            <w:rStyle w:val="Lienhypertexte"/>
            <w:rFonts w:ascii="Times New Roman" w:hAnsi="Times New Roman" w:cs="Times New Roman"/>
            <w:noProof/>
            <w:sz w:val="22"/>
            <w:szCs w:val="22"/>
            <w:lang w:bidi="en-US"/>
          </w:rPr>
          <w:t>9.2.1.</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Objectifs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_Toc212725157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220</w:t>
        </w:r>
        <w:r w:rsidRPr="007B7AE8">
          <w:rPr>
            <w:rFonts w:ascii="Times New Roman" w:hAnsi="Times New Roman" w:cs="Times New Roman"/>
            <w:noProof/>
            <w:webHidden/>
            <w:sz w:val="22"/>
            <w:szCs w:val="22"/>
          </w:rPr>
          <w:fldChar w:fldCharType="end"/>
        </w:r>
      </w:hyperlink>
    </w:p>
    <w:p w14:paraId="36522381" w14:textId="2BC5DC7F"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58" w:history="1">
        <w:r w:rsidRPr="007B7AE8">
          <w:rPr>
            <w:rStyle w:val="Lienhypertexte"/>
            <w:rFonts w:ascii="Times New Roman" w:hAnsi="Times New Roman" w:cs="Times New Roman"/>
            <w:noProof/>
            <w:sz w:val="22"/>
            <w:szCs w:val="22"/>
            <w:lang w:bidi="en-US"/>
          </w:rPr>
          <w:t>9.2.2.</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Catégories de parties prenantes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_Toc212725158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220</w:t>
        </w:r>
        <w:r w:rsidRPr="007B7AE8">
          <w:rPr>
            <w:rFonts w:ascii="Times New Roman" w:hAnsi="Times New Roman" w:cs="Times New Roman"/>
            <w:noProof/>
            <w:webHidden/>
            <w:sz w:val="22"/>
            <w:szCs w:val="22"/>
          </w:rPr>
          <w:fldChar w:fldCharType="end"/>
        </w:r>
      </w:hyperlink>
    </w:p>
    <w:p w14:paraId="0828D3A6" w14:textId="469C855F"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59" w:history="1">
        <w:r w:rsidRPr="007B7AE8">
          <w:rPr>
            <w:rStyle w:val="Lienhypertexte"/>
            <w:rFonts w:ascii="Times New Roman" w:hAnsi="Times New Roman" w:cs="Times New Roman"/>
            <w:noProof/>
            <w:sz w:val="22"/>
            <w:szCs w:val="22"/>
            <w:lang w:bidi="en-US"/>
          </w:rPr>
          <w:t>9.2.3.</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Identification des parties prenantes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_Toc212725159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221</w:t>
        </w:r>
        <w:r w:rsidRPr="007B7AE8">
          <w:rPr>
            <w:rFonts w:ascii="Times New Roman" w:hAnsi="Times New Roman" w:cs="Times New Roman"/>
            <w:noProof/>
            <w:webHidden/>
            <w:sz w:val="22"/>
            <w:szCs w:val="22"/>
          </w:rPr>
          <w:fldChar w:fldCharType="end"/>
        </w:r>
      </w:hyperlink>
    </w:p>
    <w:p w14:paraId="214C3B3B" w14:textId="34812B67"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60" w:history="1">
        <w:r w:rsidRPr="007B7AE8">
          <w:rPr>
            <w:rStyle w:val="Lienhypertexte"/>
            <w:rFonts w:ascii="Times New Roman" w:hAnsi="Times New Roman" w:cs="Times New Roman"/>
            <w:i/>
            <w:iCs/>
            <w:noProof/>
            <w:sz w:val="22"/>
            <w:szCs w:val="22"/>
            <w:lang w:bidi="en-US"/>
          </w:rPr>
          <w:t>9.2.3.1.</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i/>
            <w:iCs/>
            <w:noProof/>
            <w:sz w:val="22"/>
            <w:szCs w:val="22"/>
            <w:lang w:bidi="en-US"/>
          </w:rPr>
          <w:t>Parties prenantes intéressées par le projet</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_Toc212725160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221</w:t>
        </w:r>
        <w:r w:rsidRPr="007B7AE8">
          <w:rPr>
            <w:rFonts w:ascii="Times New Roman" w:hAnsi="Times New Roman" w:cs="Times New Roman"/>
            <w:noProof/>
            <w:webHidden/>
            <w:sz w:val="22"/>
            <w:szCs w:val="22"/>
          </w:rPr>
          <w:fldChar w:fldCharType="end"/>
        </w:r>
      </w:hyperlink>
    </w:p>
    <w:p w14:paraId="04891B8E" w14:textId="4ED66642"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61" w:history="1">
        <w:r w:rsidRPr="007B7AE8">
          <w:rPr>
            <w:rStyle w:val="Lienhypertexte"/>
            <w:rFonts w:ascii="Times New Roman" w:hAnsi="Times New Roman" w:cs="Times New Roman"/>
            <w:i/>
            <w:iCs/>
            <w:noProof/>
            <w:sz w:val="22"/>
            <w:szCs w:val="22"/>
            <w:lang w:bidi="en-US"/>
          </w:rPr>
          <w:t>9.2.3.2.</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i/>
            <w:iCs/>
            <w:noProof/>
            <w:sz w:val="22"/>
            <w:szCs w:val="22"/>
            <w:lang w:bidi="en-US"/>
          </w:rPr>
          <w:t>Parties prenantes susceptibles d’être affectées par le projet</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_Toc212725161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221</w:t>
        </w:r>
        <w:r w:rsidRPr="007B7AE8">
          <w:rPr>
            <w:rFonts w:ascii="Times New Roman" w:hAnsi="Times New Roman" w:cs="Times New Roman"/>
            <w:noProof/>
            <w:webHidden/>
            <w:sz w:val="22"/>
            <w:szCs w:val="22"/>
          </w:rPr>
          <w:fldChar w:fldCharType="end"/>
        </w:r>
      </w:hyperlink>
    </w:p>
    <w:p w14:paraId="1AF2D740" w14:textId="1A82F539"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62" w:history="1">
        <w:r w:rsidRPr="007B7AE8">
          <w:rPr>
            <w:rStyle w:val="Lienhypertexte"/>
            <w:rFonts w:ascii="Times New Roman" w:hAnsi="Times New Roman" w:cs="Times New Roman"/>
            <w:i/>
            <w:iCs/>
            <w:noProof/>
            <w:sz w:val="22"/>
            <w:szCs w:val="22"/>
            <w:lang w:bidi="en-US"/>
          </w:rPr>
          <w:t>9.2.3.3.</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i/>
            <w:iCs/>
            <w:noProof/>
            <w:sz w:val="22"/>
            <w:szCs w:val="22"/>
            <w:lang w:bidi="en-US"/>
          </w:rPr>
          <w:t>Groupes vulnérables affectés par le projet</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_Toc212725162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223</w:t>
        </w:r>
        <w:r w:rsidRPr="007B7AE8">
          <w:rPr>
            <w:rFonts w:ascii="Times New Roman" w:hAnsi="Times New Roman" w:cs="Times New Roman"/>
            <w:noProof/>
            <w:webHidden/>
            <w:sz w:val="22"/>
            <w:szCs w:val="22"/>
          </w:rPr>
          <w:fldChar w:fldCharType="end"/>
        </w:r>
      </w:hyperlink>
    </w:p>
    <w:p w14:paraId="713882B8" w14:textId="6653617B"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163" w:history="1">
        <w:r w:rsidRPr="007B7AE8">
          <w:rPr>
            <w:rStyle w:val="Lienhypertexte"/>
            <w:rFonts w:ascii="Times New Roman" w:hAnsi="Times New Roman" w:cs="Times New Roman"/>
            <w:b/>
            <w:bCs/>
            <w:noProof/>
            <w:sz w:val="22"/>
            <w:szCs w:val="22"/>
          </w:rPr>
          <w:t>9.3.</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Analyse des parties prenantes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_Toc212725163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223</w:t>
        </w:r>
        <w:r w:rsidRPr="007B7AE8">
          <w:rPr>
            <w:rFonts w:ascii="Times New Roman" w:hAnsi="Times New Roman" w:cs="Times New Roman"/>
            <w:noProof/>
            <w:webHidden/>
            <w:sz w:val="22"/>
            <w:szCs w:val="22"/>
          </w:rPr>
          <w:fldChar w:fldCharType="end"/>
        </w:r>
      </w:hyperlink>
    </w:p>
    <w:p w14:paraId="1FFBD032" w14:textId="64277EF7"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164" w:history="1">
        <w:r w:rsidRPr="007B7AE8">
          <w:rPr>
            <w:rStyle w:val="Lienhypertexte"/>
            <w:rFonts w:ascii="Times New Roman" w:hAnsi="Times New Roman" w:cs="Times New Roman"/>
            <w:noProof/>
            <w:sz w:val="22"/>
            <w:szCs w:val="22"/>
          </w:rPr>
          <w:t>9.1</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rPr>
          <w:t>Programme de mobilisation des parties prenantes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_Toc212725164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225</w:t>
        </w:r>
        <w:r w:rsidRPr="007B7AE8">
          <w:rPr>
            <w:rFonts w:ascii="Times New Roman" w:hAnsi="Times New Roman" w:cs="Times New Roman"/>
            <w:noProof/>
            <w:webHidden/>
            <w:sz w:val="22"/>
            <w:szCs w:val="22"/>
          </w:rPr>
          <w:fldChar w:fldCharType="end"/>
        </w:r>
      </w:hyperlink>
    </w:p>
    <w:p w14:paraId="1A6ED1AD" w14:textId="30F61FA0"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65" w:history="1">
        <w:r w:rsidRPr="007B7AE8">
          <w:rPr>
            <w:rStyle w:val="Lienhypertexte"/>
            <w:rFonts w:ascii="Times New Roman" w:hAnsi="Times New Roman" w:cs="Times New Roman"/>
            <w:noProof/>
            <w:sz w:val="22"/>
            <w:szCs w:val="22"/>
            <w:lang w:bidi="en-US"/>
          </w:rPr>
          <w:t>9.3.1.</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Méthode d’engagement des parties prenantes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_Toc212725165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225</w:t>
        </w:r>
        <w:r w:rsidRPr="007B7AE8">
          <w:rPr>
            <w:rFonts w:ascii="Times New Roman" w:hAnsi="Times New Roman" w:cs="Times New Roman"/>
            <w:noProof/>
            <w:webHidden/>
            <w:sz w:val="22"/>
            <w:szCs w:val="22"/>
          </w:rPr>
          <w:fldChar w:fldCharType="end"/>
        </w:r>
      </w:hyperlink>
    </w:p>
    <w:p w14:paraId="286EA693" w14:textId="33C6ED45"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66" w:history="1">
        <w:r w:rsidRPr="007B7AE8">
          <w:rPr>
            <w:rStyle w:val="Lienhypertexte"/>
            <w:rFonts w:ascii="Times New Roman" w:hAnsi="Times New Roman" w:cs="Times New Roman"/>
            <w:noProof/>
            <w:sz w:val="22"/>
            <w:szCs w:val="22"/>
            <w:lang w:bidi="en-US"/>
          </w:rPr>
          <w:t>9.3.2.</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Stratégie de communication</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_Toc212725166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226</w:t>
        </w:r>
        <w:r w:rsidRPr="007B7AE8">
          <w:rPr>
            <w:rFonts w:ascii="Times New Roman" w:hAnsi="Times New Roman" w:cs="Times New Roman"/>
            <w:noProof/>
            <w:webHidden/>
            <w:sz w:val="22"/>
            <w:szCs w:val="22"/>
          </w:rPr>
          <w:fldChar w:fldCharType="end"/>
        </w:r>
      </w:hyperlink>
    </w:p>
    <w:p w14:paraId="37F92F3E" w14:textId="37DCFDDF"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67" w:history="1">
        <w:r w:rsidRPr="007B7AE8">
          <w:rPr>
            <w:rStyle w:val="Lienhypertexte"/>
            <w:rFonts w:ascii="Times New Roman" w:hAnsi="Times New Roman" w:cs="Times New Roman"/>
            <w:noProof/>
            <w:sz w:val="22"/>
            <w:szCs w:val="22"/>
            <w:lang w:bidi="en-US"/>
          </w:rPr>
          <w:t>9.3.3.</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Stratégie de diffusion de l’information</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_Toc212725167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226</w:t>
        </w:r>
        <w:r w:rsidRPr="007B7AE8">
          <w:rPr>
            <w:rFonts w:ascii="Times New Roman" w:hAnsi="Times New Roman" w:cs="Times New Roman"/>
            <w:noProof/>
            <w:webHidden/>
            <w:sz w:val="22"/>
            <w:szCs w:val="22"/>
          </w:rPr>
          <w:fldChar w:fldCharType="end"/>
        </w:r>
      </w:hyperlink>
    </w:p>
    <w:p w14:paraId="6D962F31" w14:textId="1F545663"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68" w:history="1">
        <w:r w:rsidRPr="007B7AE8">
          <w:rPr>
            <w:rStyle w:val="Lienhypertexte"/>
            <w:rFonts w:ascii="Times New Roman" w:hAnsi="Times New Roman" w:cs="Times New Roman"/>
            <w:noProof/>
            <w:sz w:val="22"/>
            <w:szCs w:val="22"/>
            <w:lang w:bidi="en-US"/>
          </w:rPr>
          <w:t>9.3.4.</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Liste des informations à divulguer dans le cadre du projet</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_Toc212725168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233</w:t>
        </w:r>
        <w:r w:rsidRPr="007B7AE8">
          <w:rPr>
            <w:rFonts w:ascii="Times New Roman" w:hAnsi="Times New Roman" w:cs="Times New Roman"/>
            <w:noProof/>
            <w:webHidden/>
            <w:sz w:val="22"/>
            <w:szCs w:val="22"/>
          </w:rPr>
          <w:fldChar w:fldCharType="end"/>
        </w:r>
      </w:hyperlink>
    </w:p>
    <w:p w14:paraId="359D6A8E" w14:textId="1391300D"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69" w:history="1">
        <w:r w:rsidRPr="007B7AE8">
          <w:rPr>
            <w:rStyle w:val="Lienhypertexte"/>
            <w:rFonts w:ascii="Times New Roman" w:hAnsi="Times New Roman" w:cs="Times New Roman"/>
            <w:noProof/>
            <w:sz w:val="22"/>
            <w:szCs w:val="22"/>
            <w:lang w:bidi="en-US"/>
          </w:rPr>
          <w:t>9.3.5.</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Responsabilités de mise en œuvre du PMPP</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_Toc212725169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234</w:t>
        </w:r>
        <w:r w:rsidRPr="007B7AE8">
          <w:rPr>
            <w:rFonts w:ascii="Times New Roman" w:hAnsi="Times New Roman" w:cs="Times New Roman"/>
            <w:noProof/>
            <w:webHidden/>
            <w:sz w:val="22"/>
            <w:szCs w:val="22"/>
          </w:rPr>
          <w:fldChar w:fldCharType="end"/>
        </w:r>
      </w:hyperlink>
    </w:p>
    <w:p w14:paraId="730D97E2" w14:textId="79797FB3" w:rsidR="008A50C4" w:rsidRPr="007B7AE8" w:rsidRDefault="008A50C4" w:rsidP="008907BE">
      <w:pPr>
        <w:pStyle w:val="TM1"/>
        <w:rPr>
          <w:rFonts w:eastAsiaTheme="minorEastAsia"/>
          <w:kern w:val="2"/>
          <w:lang w:val="fr-SN" w:eastAsia="fr-FR"/>
          <w14:ligatures w14:val="standardContextual"/>
        </w:rPr>
      </w:pPr>
      <w:hyperlink w:anchor="_Toc212725170" w:history="1">
        <w:r w:rsidRPr="007B7AE8">
          <w:rPr>
            <w:rStyle w:val="Lienhypertexte"/>
            <w:sz w:val="22"/>
            <w:szCs w:val="22"/>
          </w:rPr>
          <w:t>10.</w:t>
        </w:r>
        <w:r w:rsidRPr="007B7AE8">
          <w:rPr>
            <w:rFonts w:eastAsiaTheme="minorEastAsia"/>
            <w:kern w:val="2"/>
            <w:lang w:val="fr-SN" w:eastAsia="fr-FR"/>
            <w14:ligatures w14:val="standardContextual"/>
          </w:rPr>
          <w:tab/>
        </w:r>
        <w:r w:rsidRPr="007B7AE8">
          <w:rPr>
            <w:rStyle w:val="Lienhypertexte"/>
            <w:sz w:val="22"/>
            <w:szCs w:val="22"/>
          </w:rPr>
          <w:t>PLAN DE GESTION ENVIRONNEMENTALE ET SOCIALE (PGES)</w:t>
        </w:r>
        <w:r w:rsidRPr="007B7AE8">
          <w:rPr>
            <w:webHidden/>
          </w:rPr>
          <w:tab/>
        </w:r>
        <w:r w:rsidRPr="007B7AE8">
          <w:rPr>
            <w:webHidden/>
          </w:rPr>
          <w:fldChar w:fldCharType="begin"/>
        </w:r>
        <w:r w:rsidRPr="007B7AE8">
          <w:rPr>
            <w:webHidden/>
          </w:rPr>
          <w:instrText xml:space="preserve"> PAGEREF _Toc212725170 \h </w:instrText>
        </w:r>
        <w:r w:rsidRPr="007B7AE8">
          <w:rPr>
            <w:webHidden/>
          </w:rPr>
        </w:r>
        <w:r w:rsidRPr="007B7AE8">
          <w:rPr>
            <w:webHidden/>
          </w:rPr>
          <w:fldChar w:fldCharType="separate"/>
        </w:r>
        <w:r w:rsidR="00805E85" w:rsidRPr="007B7AE8">
          <w:rPr>
            <w:webHidden/>
          </w:rPr>
          <w:t>235</w:t>
        </w:r>
        <w:r w:rsidRPr="007B7AE8">
          <w:rPr>
            <w:webHidden/>
          </w:rPr>
          <w:fldChar w:fldCharType="end"/>
        </w:r>
      </w:hyperlink>
    </w:p>
    <w:p w14:paraId="6B88B22F" w14:textId="326970D3"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171" w:history="1">
        <w:r w:rsidRPr="007B7AE8">
          <w:rPr>
            <w:rStyle w:val="Lienhypertexte"/>
            <w:rFonts w:ascii="Times New Roman" w:hAnsi="Times New Roman" w:cs="Times New Roman"/>
            <w:b/>
            <w:bCs/>
            <w:noProof/>
            <w:sz w:val="22"/>
            <w:szCs w:val="22"/>
          </w:rPr>
          <w:t>10.1.</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Arrangements institutionnels de mise en œuvre du PGES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_Toc212725171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235</w:t>
        </w:r>
        <w:r w:rsidRPr="007B7AE8">
          <w:rPr>
            <w:rFonts w:ascii="Times New Roman" w:hAnsi="Times New Roman" w:cs="Times New Roman"/>
            <w:noProof/>
            <w:webHidden/>
            <w:sz w:val="22"/>
            <w:szCs w:val="22"/>
          </w:rPr>
          <w:fldChar w:fldCharType="end"/>
        </w:r>
      </w:hyperlink>
    </w:p>
    <w:p w14:paraId="7628A34A" w14:textId="0F2EAB5B"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172" w:history="1">
        <w:r w:rsidRPr="007B7AE8">
          <w:rPr>
            <w:rStyle w:val="Lienhypertexte"/>
            <w:rFonts w:ascii="Times New Roman" w:hAnsi="Times New Roman" w:cs="Times New Roman"/>
            <w:b/>
            <w:bCs/>
            <w:noProof/>
            <w:sz w:val="22"/>
            <w:szCs w:val="22"/>
          </w:rPr>
          <w:t>10.2.</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Plan d’atténuation</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_Toc212725172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237</w:t>
        </w:r>
        <w:r w:rsidRPr="007B7AE8">
          <w:rPr>
            <w:rFonts w:ascii="Times New Roman" w:hAnsi="Times New Roman" w:cs="Times New Roman"/>
            <w:noProof/>
            <w:webHidden/>
            <w:sz w:val="22"/>
            <w:szCs w:val="22"/>
          </w:rPr>
          <w:fldChar w:fldCharType="end"/>
        </w:r>
      </w:hyperlink>
    </w:p>
    <w:p w14:paraId="100D5595" w14:textId="5281ED1F"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73" w:history="1">
        <w:r w:rsidRPr="007B7AE8">
          <w:rPr>
            <w:rStyle w:val="Lienhypertexte"/>
            <w:rFonts w:ascii="Times New Roman" w:hAnsi="Times New Roman" w:cs="Times New Roman"/>
            <w:noProof/>
            <w:sz w:val="22"/>
            <w:szCs w:val="22"/>
            <w:lang w:bidi="en-US"/>
          </w:rPr>
          <w:t>10.2.1.</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Mesures normatives et réglementaires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_Toc212725173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237</w:t>
        </w:r>
        <w:r w:rsidRPr="007B7AE8">
          <w:rPr>
            <w:rFonts w:ascii="Times New Roman" w:hAnsi="Times New Roman" w:cs="Times New Roman"/>
            <w:noProof/>
            <w:webHidden/>
            <w:sz w:val="22"/>
            <w:szCs w:val="22"/>
          </w:rPr>
          <w:fldChar w:fldCharType="end"/>
        </w:r>
      </w:hyperlink>
    </w:p>
    <w:p w14:paraId="6A98E6CE" w14:textId="0FD1D42A"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74" w:history="1">
        <w:r w:rsidRPr="007B7AE8">
          <w:rPr>
            <w:rStyle w:val="Lienhypertexte"/>
            <w:rFonts w:ascii="Times New Roman" w:hAnsi="Times New Roman" w:cs="Times New Roman"/>
            <w:noProof/>
            <w:sz w:val="22"/>
            <w:szCs w:val="22"/>
            <w:lang w:bidi="en-US"/>
          </w:rPr>
          <w:t>10.2.2.</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Conformité avec la réglementation environnementale</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_Toc212725174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237</w:t>
        </w:r>
        <w:r w:rsidRPr="007B7AE8">
          <w:rPr>
            <w:rFonts w:ascii="Times New Roman" w:hAnsi="Times New Roman" w:cs="Times New Roman"/>
            <w:noProof/>
            <w:webHidden/>
            <w:sz w:val="22"/>
            <w:szCs w:val="22"/>
          </w:rPr>
          <w:fldChar w:fldCharType="end"/>
        </w:r>
      </w:hyperlink>
    </w:p>
    <w:p w14:paraId="06DB5717" w14:textId="450C4C33"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75" w:history="1">
        <w:r w:rsidRPr="007B7AE8">
          <w:rPr>
            <w:rStyle w:val="Lienhypertexte"/>
            <w:rFonts w:ascii="Times New Roman" w:hAnsi="Times New Roman" w:cs="Times New Roman"/>
            <w:noProof/>
            <w:sz w:val="22"/>
            <w:szCs w:val="22"/>
            <w:lang w:bidi="en-US"/>
          </w:rPr>
          <w:t>10.2.3.</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Conformité avec la règlementation forestière</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_Toc212725175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237</w:t>
        </w:r>
        <w:r w:rsidRPr="007B7AE8">
          <w:rPr>
            <w:rFonts w:ascii="Times New Roman" w:hAnsi="Times New Roman" w:cs="Times New Roman"/>
            <w:noProof/>
            <w:webHidden/>
            <w:sz w:val="22"/>
            <w:szCs w:val="22"/>
          </w:rPr>
          <w:fldChar w:fldCharType="end"/>
        </w:r>
      </w:hyperlink>
    </w:p>
    <w:p w14:paraId="27A8B033" w14:textId="7C408B97"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76" w:history="1">
        <w:r w:rsidRPr="007B7AE8">
          <w:rPr>
            <w:rStyle w:val="Lienhypertexte"/>
            <w:rFonts w:ascii="Times New Roman" w:hAnsi="Times New Roman" w:cs="Times New Roman"/>
            <w:noProof/>
            <w:sz w:val="22"/>
            <w:szCs w:val="22"/>
            <w:lang w:bidi="en-US"/>
          </w:rPr>
          <w:t>10.2.4.</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Conformité avec la législation du travail et de l'hygiène</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_Toc212725176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237</w:t>
        </w:r>
        <w:r w:rsidRPr="007B7AE8">
          <w:rPr>
            <w:rFonts w:ascii="Times New Roman" w:hAnsi="Times New Roman" w:cs="Times New Roman"/>
            <w:noProof/>
            <w:webHidden/>
            <w:sz w:val="22"/>
            <w:szCs w:val="22"/>
          </w:rPr>
          <w:fldChar w:fldCharType="end"/>
        </w:r>
      </w:hyperlink>
    </w:p>
    <w:p w14:paraId="0D7C59C4" w14:textId="2C2FA5D1"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77" w:history="1">
        <w:r w:rsidRPr="007B7AE8">
          <w:rPr>
            <w:rStyle w:val="Lienhypertexte"/>
            <w:rFonts w:ascii="Times New Roman" w:hAnsi="Times New Roman" w:cs="Times New Roman"/>
            <w:noProof/>
            <w:sz w:val="22"/>
            <w:szCs w:val="22"/>
            <w:lang w:bidi="en-US"/>
          </w:rPr>
          <w:t>10.2.5.</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Procédures à suivre en cas de découverte de vestiges archéologiques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_Toc212725177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237</w:t>
        </w:r>
        <w:r w:rsidRPr="007B7AE8">
          <w:rPr>
            <w:rFonts w:ascii="Times New Roman" w:hAnsi="Times New Roman" w:cs="Times New Roman"/>
            <w:noProof/>
            <w:webHidden/>
            <w:sz w:val="22"/>
            <w:szCs w:val="22"/>
          </w:rPr>
          <w:fldChar w:fldCharType="end"/>
        </w:r>
      </w:hyperlink>
    </w:p>
    <w:p w14:paraId="768C6162" w14:textId="00308FA2"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78" w:history="1">
        <w:r w:rsidRPr="007B7AE8">
          <w:rPr>
            <w:rStyle w:val="Lienhypertexte"/>
            <w:rFonts w:ascii="Times New Roman" w:hAnsi="Times New Roman" w:cs="Times New Roman"/>
            <w:noProof/>
            <w:sz w:val="22"/>
            <w:szCs w:val="22"/>
            <w:lang w:bidi="en-US"/>
          </w:rPr>
          <w:t>10.2.6.</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Obligations de respect du cahier des charges environnementales et sociales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_Toc212725178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237</w:t>
        </w:r>
        <w:r w:rsidRPr="007B7AE8">
          <w:rPr>
            <w:rFonts w:ascii="Times New Roman" w:hAnsi="Times New Roman" w:cs="Times New Roman"/>
            <w:noProof/>
            <w:webHidden/>
            <w:sz w:val="22"/>
            <w:szCs w:val="22"/>
          </w:rPr>
          <w:fldChar w:fldCharType="end"/>
        </w:r>
      </w:hyperlink>
    </w:p>
    <w:p w14:paraId="0280DAC0" w14:textId="22D67E08"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79" w:history="1">
        <w:r w:rsidRPr="007B7AE8">
          <w:rPr>
            <w:rStyle w:val="Lienhypertexte"/>
            <w:rFonts w:ascii="Times New Roman" w:hAnsi="Times New Roman" w:cs="Times New Roman"/>
            <w:noProof/>
            <w:sz w:val="22"/>
            <w:szCs w:val="22"/>
            <w:lang w:bidi="en-US"/>
          </w:rPr>
          <w:t>10.2.7.</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Clauses environnementales et sociales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_Toc212725179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237</w:t>
        </w:r>
        <w:r w:rsidRPr="007B7AE8">
          <w:rPr>
            <w:rFonts w:ascii="Times New Roman" w:hAnsi="Times New Roman" w:cs="Times New Roman"/>
            <w:noProof/>
            <w:webHidden/>
            <w:sz w:val="22"/>
            <w:szCs w:val="22"/>
          </w:rPr>
          <w:fldChar w:fldCharType="end"/>
        </w:r>
      </w:hyperlink>
    </w:p>
    <w:p w14:paraId="2454ABAD" w14:textId="388F8832"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80" w:history="1">
        <w:r w:rsidRPr="007B7AE8">
          <w:rPr>
            <w:rStyle w:val="Lienhypertexte"/>
            <w:rFonts w:ascii="Times New Roman" w:hAnsi="Times New Roman" w:cs="Times New Roman"/>
            <w:noProof/>
            <w:sz w:val="22"/>
            <w:szCs w:val="22"/>
            <w:lang w:bidi="en-US"/>
          </w:rPr>
          <w:t>10.2.8.</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Mesures environnementales et sociales déjà prévues dans le cadre du projet</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_Toc212725180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237</w:t>
        </w:r>
        <w:r w:rsidRPr="007B7AE8">
          <w:rPr>
            <w:rFonts w:ascii="Times New Roman" w:hAnsi="Times New Roman" w:cs="Times New Roman"/>
            <w:noProof/>
            <w:webHidden/>
            <w:sz w:val="22"/>
            <w:szCs w:val="22"/>
          </w:rPr>
          <w:fldChar w:fldCharType="end"/>
        </w:r>
      </w:hyperlink>
    </w:p>
    <w:p w14:paraId="5F4AE0F8" w14:textId="4B9B3A91"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81" w:history="1">
        <w:r w:rsidRPr="007B7AE8">
          <w:rPr>
            <w:rStyle w:val="Lienhypertexte"/>
            <w:rFonts w:ascii="Times New Roman" w:hAnsi="Times New Roman" w:cs="Times New Roman"/>
            <w:noProof/>
            <w:sz w:val="22"/>
            <w:szCs w:val="22"/>
            <w:lang w:bidi="en-US"/>
          </w:rPr>
          <w:t>10.2.9.</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Plan de gestion des déchets (PGD)</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_Toc212725181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238</w:t>
        </w:r>
        <w:r w:rsidRPr="007B7AE8">
          <w:rPr>
            <w:rFonts w:ascii="Times New Roman" w:hAnsi="Times New Roman" w:cs="Times New Roman"/>
            <w:noProof/>
            <w:webHidden/>
            <w:sz w:val="22"/>
            <w:szCs w:val="22"/>
          </w:rPr>
          <w:fldChar w:fldCharType="end"/>
        </w:r>
      </w:hyperlink>
    </w:p>
    <w:p w14:paraId="56A561C2" w14:textId="5377FD5A"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82" w:history="1">
        <w:r w:rsidRPr="007B7AE8">
          <w:rPr>
            <w:rStyle w:val="Lienhypertexte"/>
            <w:rFonts w:ascii="Times New Roman" w:hAnsi="Times New Roman" w:cs="Times New Roman"/>
            <w:noProof/>
            <w:sz w:val="22"/>
            <w:szCs w:val="22"/>
            <w:lang w:bidi="en-US"/>
          </w:rPr>
          <w:t>10.2.10.</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Mesures de gestion des installations de la base de chantier</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_Toc212725182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239</w:t>
        </w:r>
        <w:r w:rsidRPr="007B7AE8">
          <w:rPr>
            <w:rFonts w:ascii="Times New Roman" w:hAnsi="Times New Roman" w:cs="Times New Roman"/>
            <w:noProof/>
            <w:webHidden/>
            <w:sz w:val="22"/>
            <w:szCs w:val="22"/>
          </w:rPr>
          <w:fldChar w:fldCharType="end"/>
        </w:r>
      </w:hyperlink>
    </w:p>
    <w:p w14:paraId="21A43D40" w14:textId="3EA8FA1D"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83" w:history="1">
        <w:r w:rsidRPr="007B7AE8">
          <w:rPr>
            <w:rStyle w:val="Lienhypertexte"/>
            <w:rFonts w:ascii="Times New Roman" w:hAnsi="Times New Roman" w:cs="Times New Roman"/>
            <w:noProof/>
            <w:sz w:val="22"/>
            <w:szCs w:val="22"/>
            <w:lang w:bidi="en-US"/>
          </w:rPr>
          <w:t>10.2.11.</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Plan Hygiène santé et sécurité</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_Toc212725183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242</w:t>
        </w:r>
        <w:r w:rsidRPr="007B7AE8">
          <w:rPr>
            <w:rFonts w:ascii="Times New Roman" w:hAnsi="Times New Roman" w:cs="Times New Roman"/>
            <w:noProof/>
            <w:webHidden/>
            <w:sz w:val="22"/>
            <w:szCs w:val="22"/>
          </w:rPr>
          <w:fldChar w:fldCharType="end"/>
        </w:r>
      </w:hyperlink>
    </w:p>
    <w:p w14:paraId="34CE77B3" w14:textId="775524EC"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84" w:history="1">
        <w:r w:rsidRPr="007B7AE8">
          <w:rPr>
            <w:rStyle w:val="Lienhypertexte"/>
            <w:rFonts w:ascii="Times New Roman" w:hAnsi="Times New Roman" w:cs="Times New Roman"/>
            <w:noProof/>
            <w:sz w:val="22"/>
            <w:szCs w:val="22"/>
            <w:lang w:bidi="en-US"/>
          </w:rPr>
          <w:t>10.2.12.</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Programme de gestion des ouvrages d’assainissement</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_Toc212725184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243</w:t>
        </w:r>
        <w:r w:rsidRPr="007B7AE8">
          <w:rPr>
            <w:rFonts w:ascii="Times New Roman" w:hAnsi="Times New Roman" w:cs="Times New Roman"/>
            <w:noProof/>
            <w:webHidden/>
            <w:sz w:val="22"/>
            <w:szCs w:val="22"/>
          </w:rPr>
          <w:fldChar w:fldCharType="end"/>
        </w:r>
      </w:hyperlink>
    </w:p>
    <w:p w14:paraId="6FD2D163" w14:textId="12E1173B"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85" w:history="1">
        <w:r w:rsidRPr="007B7AE8">
          <w:rPr>
            <w:rStyle w:val="Lienhypertexte"/>
            <w:rFonts w:ascii="Times New Roman" w:hAnsi="Times New Roman" w:cs="Times New Roman"/>
            <w:noProof/>
            <w:sz w:val="22"/>
            <w:szCs w:val="22"/>
            <w:lang w:bidi="en-US"/>
          </w:rPr>
          <w:t>10.2.13.</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Mesures de prévention et de sécurisation des ouvrages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_Toc212725185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244</w:t>
        </w:r>
        <w:r w:rsidRPr="007B7AE8">
          <w:rPr>
            <w:rFonts w:ascii="Times New Roman" w:hAnsi="Times New Roman" w:cs="Times New Roman"/>
            <w:noProof/>
            <w:webHidden/>
            <w:sz w:val="22"/>
            <w:szCs w:val="22"/>
          </w:rPr>
          <w:fldChar w:fldCharType="end"/>
        </w:r>
      </w:hyperlink>
    </w:p>
    <w:p w14:paraId="05B7A81F" w14:textId="4F9C3D26"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86" w:history="1">
        <w:r w:rsidRPr="007B7AE8">
          <w:rPr>
            <w:rStyle w:val="Lienhypertexte"/>
            <w:rFonts w:ascii="Times New Roman" w:hAnsi="Times New Roman" w:cs="Times New Roman"/>
            <w:noProof/>
            <w:sz w:val="22"/>
            <w:szCs w:val="22"/>
            <w:lang w:bidi="en-US"/>
          </w:rPr>
          <w:t>10.2.14.</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Mesures d’information et de sensibilisation</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_Toc212725186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244</w:t>
        </w:r>
        <w:r w:rsidRPr="007B7AE8">
          <w:rPr>
            <w:rFonts w:ascii="Times New Roman" w:hAnsi="Times New Roman" w:cs="Times New Roman"/>
            <w:noProof/>
            <w:webHidden/>
            <w:sz w:val="22"/>
            <w:szCs w:val="22"/>
          </w:rPr>
          <w:fldChar w:fldCharType="end"/>
        </w:r>
      </w:hyperlink>
    </w:p>
    <w:p w14:paraId="71B968FA" w14:textId="1271EA80"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87" w:history="1">
        <w:r w:rsidRPr="007B7AE8">
          <w:rPr>
            <w:rStyle w:val="Lienhypertexte"/>
            <w:rFonts w:ascii="Times New Roman" w:hAnsi="Times New Roman" w:cs="Times New Roman"/>
            <w:noProof/>
            <w:sz w:val="22"/>
            <w:szCs w:val="22"/>
            <w:lang w:bidi="en-US"/>
          </w:rPr>
          <w:t>10.2.15.</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Mesures de lutte contre les VBG/EAS/HS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_Toc212725187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245</w:t>
        </w:r>
        <w:r w:rsidRPr="007B7AE8">
          <w:rPr>
            <w:rFonts w:ascii="Times New Roman" w:hAnsi="Times New Roman" w:cs="Times New Roman"/>
            <w:noProof/>
            <w:webHidden/>
            <w:sz w:val="22"/>
            <w:szCs w:val="22"/>
          </w:rPr>
          <w:fldChar w:fldCharType="end"/>
        </w:r>
      </w:hyperlink>
    </w:p>
    <w:p w14:paraId="70FD361A" w14:textId="5D489504"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88" w:history="1">
        <w:r w:rsidRPr="007B7AE8">
          <w:rPr>
            <w:rStyle w:val="Lienhypertexte"/>
            <w:rFonts w:ascii="Times New Roman" w:hAnsi="Times New Roman" w:cs="Times New Roman"/>
            <w:noProof/>
            <w:sz w:val="22"/>
            <w:szCs w:val="22"/>
            <w:lang w:bidi="en-US"/>
          </w:rPr>
          <w:t>10.2.16.</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Mesures de renforcement des capacités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_Toc212725188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268</w:t>
        </w:r>
        <w:r w:rsidRPr="007B7AE8">
          <w:rPr>
            <w:rFonts w:ascii="Times New Roman" w:hAnsi="Times New Roman" w:cs="Times New Roman"/>
            <w:noProof/>
            <w:webHidden/>
            <w:sz w:val="22"/>
            <w:szCs w:val="22"/>
          </w:rPr>
          <w:fldChar w:fldCharType="end"/>
        </w:r>
      </w:hyperlink>
    </w:p>
    <w:p w14:paraId="3D118A3E" w14:textId="6EB15FE8"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89" w:history="1">
        <w:r w:rsidRPr="007B7AE8">
          <w:rPr>
            <w:rStyle w:val="Lienhypertexte"/>
            <w:rFonts w:ascii="Times New Roman" w:hAnsi="Times New Roman" w:cs="Times New Roman"/>
            <w:noProof/>
            <w:sz w:val="22"/>
            <w:szCs w:val="22"/>
            <w:lang w:bidi="en-US"/>
          </w:rPr>
          <w:t>10.2.17.</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Mécanisme de Gestion des Plaintes et règlement des griefs</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_Toc212725189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269</w:t>
        </w:r>
        <w:r w:rsidRPr="007B7AE8">
          <w:rPr>
            <w:rFonts w:ascii="Times New Roman" w:hAnsi="Times New Roman" w:cs="Times New Roman"/>
            <w:noProof/>
            <w:webHidden/>
            <w:sz w:val="22"/>
            <w:szCs w:val="22"/>
          </w:rPr>
          <w:fldChar w:fldCharType="end"/>
        </w:r>
      </w:hyperlink>
    </w:p>
    <w:p w14:paraId="64F13DAB" w14:textId="4B5AC6DF" w:rsidR="008A50C4" w:rsidRPr="007B7AE8" w:rsidRDefault="008A50C4" w:rsidP="008907BE">
      <w:pPr>
        <w:pStyle w:val="TM2"/>
        <w:tabs>
          <w:tab w:val="left" w:pos="880"/>
          <w:tab w:val="right" w:leader="dot" w:pos="9060"/>
        </w:tabs>
        <w:jc w:val="both"/>
        <w:rPr>
          <w:rFonts w:ascii="Times New Roman" w:eastAsiaTheme="minorEastAsia" w:hAnsi="Times New Roman" w:cs="Times New Roman"/>
          <w:smallCaps w:val="0"/>
          <w:noProof/>
          <w:kern w:val="2"/>
          <w:sz w:val="22"/>
          <w:szCs w:val="22"/>
          <w:lang w:val="fr-SN" w:eastAsia="fr-FR"/>
          <w14:ligatures w14:val="standardContextual"/>
        </w:rPr>
      </w:pPr>
      <w:hyperlink w:anchor="_Toc212725190" w:history="1">
        <w:r w:rsidRPr="007B7AE8">
          <w:rPr>
            <w:rStyle w:val="Lienhypertexte"/>
            <w:rFonts w:ascii="Times New Roman" w:hAnsi="Times New Roman" w:cs="Times New Roman"/>
            <w:b/>
            <w:bCs/>
            <w:noProof/>
            <w:sz w:val="22"/>
            <w:szCs w:val="22"/>
          </w:rPr>
          <w:t>10.3.</w:t>
        </w:r>
        <w:r w:rsidRPr="007B7AE8">
          <w:rPr>
            <w:rFonts w:ascii="Times New Roman" w:eastAsiaTheme="minorEastAsia" w:hAnsi="Times New Roman" w:cs="Times New Roman"/>
            <w:smallCaps w:val="0"/>
            <w:noProof/>
            <w:kern w:val="2"/>
            <w:sz w:val="22"/>
            <w:szCs w:val="22"/>
            <w:lang w:val="fr-SN" w:eastAsia="fr-FR"/>
            <w14:ligatures w14:val="standardContextual"/>
          </w:rPr>
          <w:tab/>
        </w:r>
        <w:r w:rsidRPr="007B7AE8">
          <w:rPr>
            <w:rStyle w:val="Lienhypertexte"/>
            <w:rFonts w:ascii="Times New Roman" w:hAnsi="Times New Roman" w:cs="Times New Roman"/>
            <w:b/>
            <w:bCs/>
            <w:noProof/>
            <w:sz w:val="22"/>
            <w:szCs w:val="22"/>
          </w:rPr>
          <w:t>Plan de suivi et de surveillance environnementale et sociale</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_Toc212725190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270</w:t>
        </w:r>
        <w:r w:rsidRPr="007B7AE8">
          <w:rPr>
            <w:rFonts w:ascii="Times New Roman" w:hAnsi="Times New Roman" w:cs="Times New Roman"/>
            <w:noProof/>
            <w:webHidden/>
            <w:sz w:val="22"/>
            <w:szCs w:val="22"/>
          </w:rPr>
          <w:fldChar w:fldCharType="end"/>
        </w:r>
      </w:hyperlink>
    </w:p>
    <w:p w14:paraId="15D7BE76" w14:textId="4253BDAF"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91" w:history="1">
        <w:r w:rsidRPr="007B7AE8">
          <w:rPr>
            <w:rStyle w:val="Lienhypertexte"/>
            <w:rFonts w:ascii="Times New Roman" w:hAnsi="Times New Roman" w:cs="Times New Roman"/>
            <w:noProof/>
            <w:sz w:val="22"/>
            <w:szCs w:val="22"/>
            <w:lang w:bidi="en-US"/>
          </w:rPr>
          <w:t>10.3.1.</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Suivi de proximité ou supervision</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_Toc212725191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270</w:t>
        </w:r>
        <w:r w:rsidRPr="007B7AE8">
          <w:rPr>
            <w:rFonts w:ascii="Times New Roman" w:hAnsi="Times New Roman" w:cs="Times New Roman"/>
            <w:noProof/>
            <w:webHidden/>
            <w:sz w:val="22"/>
            <w:szCs w:val="22"/>
          </w:rPr>
          <w:fldChar w:fldCharType="end"/>
        </w:r>
      </w:hyperlink>
    </w:p>
    <w:p w14:paraId="10B27994" w14:textId="307FA820"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92" w:history="1">
        <w:r w:rsidRPr="007B7AE8">
          <w:rPr>
            <w:rStyle w:val="Lienhypertexte"/>
            <w:rFonts w:ascii="Times New Roman" w:hAnsi="Times New Roman" w:cs="Times New Roman"/>
            <w:noProof/>
            <w:sz w:val="22"/>
            <w:szCs w:val="22"/>
            <w:lang w:bidi="en-US"/>
          </w:rPr>
          <w:t>10.3.2.</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Surveillance environnementale et sociale</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_Toc212725192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270</w:t>
        </w:r>
        <w:r w:rsidRPr="007B7AE8">
          <w:rPr>
            <w:rFonts w:ascii="Times New Roman" w:hAnsi="Times New Roman" w:cs="Times New Roman"/>
            <w:noProof/>
            <w:webHidden/>
            <w:sz w:val="22"/>
            <w:szCs w:val="22"/>
          </w:rPr>
          <w:fldChar w:fldCharType="end"/>
        </w:r>
      </w:hyperlink>
    </w:p>
    <w:p w14:paraId="29EEEBE6" w14:textId="3A53FF63"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93" w:history="1">
        <w:r w:rsidRPr="007B7AE8">
          <w:rPr>
            <w:rStyle w:val="Lienhypertexte"/>
            <w:rFonts w:ascii="Times New Roman" w:hAnsi="Times New Roman" w:cs="Times New Roman"/>
            <w:noProof/>
            <w:sz w:val="22"/>
            <w:szCs w:val="22"/>
            <w:lang w:bidi="en-US"/>
          </w:rPr>
          <w:t>10.3.3.</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Suivi environnemental et social</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_Toc212725193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270</w:t>
        </w:r>
        <w:r w:rsidRPr="007B7AE8">
          <w:rPr>
            <w:rFonts w:ascii="Times New Roman" w:hAnsi="Times New Roman" w:cs="Times New Roman"/>
            <w:noProof/>
            <w:webHidden/>
            <w:sz w:val="22"/>
            <w:szCs w:val="22"/>
          </w:rPr>
          <w:fldChar w:fldCharType="end"/>
        </w:r>
      </w:hyperlink>
    </w:p>
    <w:p w14:paraId="4DDC94D2" w14:textId="1DE0D7BD"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94" w:history="1">
        <w:r w:rsidRPr="007B7AE8">
          <w:rPr>
            <w:rStyle w:val="Lienhypertexte"/>
            <w:rFonts w:ascii="Times New Roman" w:hAnsi="Times New Roman" w:cs="Times New Roman"/>
            <w:noProof/>
            <w:sz w:val="22"/>
            <w:szCs w:val="22"/>
            <w:lang w:bidi="en-US"/>
          </w:rPr>
          <w:t>10.3.4.</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Audit de conformité environnementale et sociale</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_Toc212725194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270</w:t>
        </w:r>
        <w:r w:rsidRPr="007B7AE8">
          <w:rPr>
            <w:rFonts w:ascii="Times New Roman" w:hAnsi="Times New Roman" w:cs="Times New Roman"/>
            <w:noProof/>
            <w:webHidden/>
            <w:sz w:val="22"/>
            <w:szCs w:val="22"/>
          </w:rPr>
          <w:fldChar w:fldCharType="end"/>
        </w:r>
      </w:hyperlink>
    </w:p>
    <w:p w14:paraId="224613F5" w14:textId="6EA7FBCC"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95" w:history="1">
        <w:r w:rsidRPr="007B7AE8">
          <w:rPr>
            <w:rStyle w:val="Lienhypertexte"/>
            <w:rFonts w:ascii="Times New Roman" w:hAnsi="Times New Roman" w:cs="Times New Roman"/>
            <w:noProof/>
            <w:sz w:val="22"/>
            <w:szCs w:val="22"/>
            <w:lang w:bidi="en-US"/>
          </w:rPr>
          <w:t>10.3.5.</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Dispositif de rapportage</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_Toc212725195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271</w:t>
        </w:r>
        <w:r w:rsidRPr="007B7AE8">
          <w:rPr>
            <w:rFonts w:ascii="Times New Roman" w:hAnsi="Times New Roman" w:cs="Times New Roman"/>
            <w:noProof/>
            <w:webHidden/>
            <w:sz w:val="22"/>
            <w:szCs w:val="22"/>
          </w:rPr>
          <w:fldChar w:fldCharType="end"/>
        </w:r>
      </w:hyperlink>
    </w:p>
    <w:p w14:paraId="75786568" w14:textId="1939D4F0" w:rsidR="008A50C4" w:rsidRPr="007B7AE8" w:rsidRDefault="008A50C4" w:rsidP="008907BE">
      <w:pPr>
        <w:pStyle w:val="TM4"/>
        <w:tabs>
          <w:tab w:val="left" w:pos="1540"/>
          <w:tab w:val="right" w:leader="dot" w:pos="9060"/>
        </w:tabs>
        <w:jc w:val="both"/>
        <w:rPr>
          <w:rFonts w:ascii="Times New Roman" w:eastAsiaTheme="minorEastAsia" w:hAnsi="Times New Roman" w:cs="Times New Roman"/>
          <w:noProof/>
          <w:kern w:val="2"/>
          <w:sz w:val="22"/>
          <w:szCs w:val="22"/>
          <w:lang w:val="fr-SN" w:eastAsia="fr-FR"/>
          <w14:ligatures w14:val="standardContextual"/>
        </w:rPr>
      </w:pPr>
      <w:hyperlink w:anchor="_Toc212725196" w:history="1">
        <w:r w:rsidRPr="007B7AE8">
          <w:rPr>
            <w:rStyle w:val="Lienhypertexte"/>
            <w:rFonts w:ascii="Times New Roman" w:hAnsi="Times New Roman" w:cs="Times New Roman"/>
            <w:noProof/>
            <w:sz w:val="22"/>
            <w:szCs w:val="22"/>
            <w:lang w:bidi="en-US"/>
          </w:rPr>
          <w:t>10.3.6.</w:t>
        </w:r>
        <w:r w:rsidRPr="007B7AE8">
          <w:rPr>
            <w:rFonts w:ascii="Times New Roman" w:eastAsiaTheme="minorEastAsia" w:hAnsi="Times New Roman" w:cs="Times New Roman"/>
            <w:noProof/>
            <w:kern w:val="2"/>
            <w:sz w:val="22"/>
            <w:szCs w:val="22"/>
            <w:lang w:val="fr-SN" w:eastAsia="fr-FR"/>
            <w14:ligatures w14:val="standardContextual"/>
          </w:rPr>
          <w:tab/>
        </w:r>
        <w:r w:rsidRPr="007B7AE8">
          <w:rPr>
            <w:rStyle w:val="Lienhypertexte"/>
            <w:rFonts w:ascii="Times New Roman" w:hAnsi="Times New Roman" w:cs="Times New Roman"/>
            <w:noProof/>
            <w:sz w:val="22"/>
            <w:szCs w:val="22"/>
            <w:lang w:bidi="en-US"/>
          </w:rPr>
          <w:t>Canevas de suivi environnemental et social</w:t>
        </w:r>
        <w:r w:rsidRPr="007B7AE8">
          <w:rPr>
            <w:rFonts w:ascii="Times New Roman" w:hAnsi="Times New Roman" w:cs="Times New Roman"/>
            <w:noProof/>
            <w:webHidden/>
            <w:sz w:val="22"/>
            <w:szCs w:val="22"/>
          </w:rPr>
          <w:tab/>
        </w:r>
        <w:r w:rsidRPr="007B7AE8">
          <w:rPr>
            <w:rFonts w:ascii="Times New Roman" w:hAnsi="Times New Roman" w:cs="Times New Roman"/>
            <w:noProof/>
            <w:webHidden/>
            <w:sz w:val="22"/>
            <w:szCs w:val="22"/>
          </w:rPr>
          <w:fldChar w:fldCharType="begin"/>
        </w:r>
        <w:r w:rsidRPr="007B7AE8">
          <w:rPr>
            <w:rFonts w:ascii="Times New Roman" w:hAnsi="Times New Roman" w:cs="Times New Roman"/>
            <w:noProof/>
            <w:webHidden/>
            <w:sz w:val="22"/>
            <w:szCs w:val="22"/>
          </w:rPr>
          <w:instrText xml:space="preserve"> PAGEREF _Toc212725196 \h </w:instrText>
        </w:r>
        <w:r w:rsidRPr="007B7AE8">
          <w:rPr>
            <w:rFonts w:ascii="Times New Roman" w:hAnsi="Times New Roman" w:cs="Times New Roman"/>
            <w:noProof/>
            <w:webHidden/>
            <w:sz w:val="22"/>
            <w:szCs w:val="22"/>
          </w:rPr>
        </w:r>
        <w:r w:rsidRPr="007B7AE8">
          <w:rPr>
            <w:rFonts w:ascii="Times New Roman" w:hAnsi="Times New Roman" w:cs="Times New Roman"/>
            <w:noProof/>
            <w:webHidden/>
            <w:sz w:val="22"/>
            <w:szCs w:val="22"/>
          </w:rPr>
          <w:fldChar w:fldCharType="separate"/>
        </w:r>
        <w:r w:rsidR="00805E85" w:rsidRPr="007B7AE8">
          <w:rPr>
            <w:rFonts w:ascii="Times New Roman" w:hAnsi="Times New Roman" w:cs="Times New Roman"/>
            <w:noProof/>
            <w:webHidden/>
            <w:sz w:val="22"/>
            <w:szCs w:val="22"/>
          </w:rPr>
          <w:t>272</w:t>
        </w:r>
        <w:r w:rsidRPr="007B7AE8">
          <w:rPr>
            <w:rFonts w:ascii="Times New Roman" w:hAnsi="Times New Roman" w:cs="Times New Roman"/>
            <w:noProof/>
            <w:webHidden/>
            <w:sz w:val="22"/>
            <w:szCs w:val="22"/>
          </w:rPr>
          <w:fldChar w:fldCharType="end"/>
        </w:r>
      </w:hyperlink>
    </w:p>
    <w:p w14:paraId="26D74AF5" w14:textId="62E14B92" w:rsidR="008A50C4" w:rsidRPr="007B7AE8" w:rsidRDefault="008A50C4" w:rsidP="008907BE">
      <w:pPr>
        <w:pStyle w:val="TM1"/>
        <w:spacing w:before="0" w:after="0" w:line="257" w:lineRule="auto"/>
        <w:rPr>
          <w:rFonts w:eastAsiaTheme="minorEastAsia"/>
          <w:kern w:val="2"/>
          <w:lang w:val="fr-SN" w:eastAsia="fr-FR"/>
          <w14:ligatures w14:val="standardContextual"/>
        </w:rPr>
      </w:pPr>
      <w:hyperlink w:anchor="_Toc212725197" w:history="1">
        <w:r w:rsidRPr="007B7AE8">
          <w:rPr>
            <w:rStyle w:val="Lienhypertexte"/>
            <w:sz w:val="22"/>
            <w:szCs w:val="22"/>
          </w:rPr>
          <w:t>11.</w:t>
        </w:r>
        <w:r w:rsidRPr="007B7AE8">
          <w:rPr>
            <w:rFonts w:eastAsiaTheme="minorEastAsia"/>
            <w:kern w:val="2"/>
            <w:lang w:val="fr-SN" w:eastAsia="fr-FR"/>
            <w14:ligatures w14:val="standardContextual"/>
          </w:rPr>
          <w:tab/>
        </w:r>
        <w:r w:rsidRPr="007B7AE8">
          <w:rPr>
            <w:rStyle w:val="Lienhypertexte"/>
            <w:sz w:val="22"/>
            <w:szCs w:val="22"/>
          </w:rPr>
          <w:t>Coûts du Plan de Gestion Environnementale et Sociale</w:t>
        </w:r>
        <w:r w:rsidRPr="007B7AE8">
          <w:rPr>
            <w:webHidden/>
          </w:rPr>
          <w:tab/>
        </w:r>
        <w:r w:rsidRPr="007B7AE8">
          <w:rPr>
            <w:webHidden/>
          </w:rPr>
          <w:fldChar w:fldCharType="begin"/>
        </w:r>
        <w:r w:rsidRPr="007B7AE8">
          <w:rPr>
            <w:webHidden/>
          </w:rPr>
          <w:instrText xml:space="preserve"> PAGEREF _Toc212725197 \h </w:instrText>
        </w:r>
        <w:r w:rsidRPr="007B7AE8">
          <w:rPr>
            <w:webHidden/>
          </w:rPr>
        </w:r>
        <w:r w:rsidRPr="007B7AE8">
          <w:rPr>
            <w:webHidden/>
          </w:rPr>
          <w:fldChar w:fldCharType="separate"/>
        </w:r>
        <w:r w:rsidR="00805E85" w:rsidRPr="007B7AE8">
          <w:rPr>
            <w:webHidden/>
          </w:rPr>
          <w:t>275</w:t>
        </w:r>
        <w:r w:rsidRPr="007B7AE8">
          <w:rPr>
            <w:webHidden/>
          </w:rPr>
          <w:fldChar w:fldCharType="end"/>
        </w:r>
      </w:hyperlink>
    </w:p>
    <w:p w14:paraId="2C635C5E" w14:textId="0F766731" w:rsidR="008A50C4" w:rsidRPr="007B7AE8" w:rsidRDefault="008A50C4" w:rsidP="008907BE">
      <w:pPr>
        <w:pStyle w:val="TM1"/>
        <w:rPr>
          <w:rFonts w:eastAsiaTheme="minorEastAsia"/>
          <w:kern w:val="2"/>
          <w:lang w:val="fr-SN" w:eastAsia="fr-FR"/>
          <w14:ligatures w14:val="standardContextual"/>
        </w:rPr>
      </w:pPr>
      <w:hyperlink w:anchor="_Toc212725198" w:history="1">
        <w:r w:rsidRPr="007B7AE8">
          <w:rPr>
            <w:rStyle w:val="Lienhypertexte"/>
            <w:sz w:val="22"/>
            <w:szCs w:val="22"/>
          </w:rPr>
          <w:t>12.</w:t>
        </w:r>
        <w:r w:rsidRPr="007B7AE8">
          <w:rPr>
            <w:rFonts w:eastAsiaTheme="minorEastAsia"/>
            <w:kern w:val="2"/>
            <w:lang w:val="fr-SN" w:eastAsia="fr-FR"/>
            <w14:ligatures w14:val="standardContextual"/>
          </w:rPr>
          <w:tab/>
        </w:r>
        <w:r w:rsidRPr="007B7AE8">
          <w:rPr>
            <w:rStyle w:val="Lienhypertexte"/>
            <w:sz w:val="22"/>
            <w:szCs w:val="22"/>
          </w:rPr>
          <w:t>CONCLUSION</w:t>
        </w:r>
        <w:r w:rsidRPr="007B7AE8">
          <w:rPr>
            <w:webHidden/>
          </w:rPr>
          <w:tab/>
        </w:r>
        <w:r w:rsidRPr="007B7AE8">
          <w:rPr>
            <w:webHidden/>
          </w:rPr>
          <w:fldChar w:fldCharType="begin"/>
        </w:r>
        <w:r w:rsidRPr="007B7AE8">
          <w:rPr>
            <w:webHidden/>
          </w:rPr>
          <w:instrText xml:space="preserve"> PAGEREF _Toc212725198 \h </w:instrText>
        </w:r>
        <w:r w:rsidRPr="007B7AE8">
          <w:rPr>
            <w:webHidden/>
          </w:rPr>
        </w:r>
        <w:r w:rsidRPr="007B7AE8">
          <w:rPr>
            <w:webHidden/>
          </w:rPr>
          <w:fldChar w:fldCharType="separate"/>
        </w:r>
        <w:r w:rsidR="00805E85" w:rsidRPr="007B7AE8">
          <w:rPr>
            <w:webHidden/>
          </w:rPr>
          <w:t>277</w:t>
        </w:r>
        <w:r w:rsidRPr="007B7AE8">
          <w:rPr>
            <w:webHidden/>
          </w:rPr>
          <w:fldChar w:fldCharType="end"/>
        </w:r>
      </w:hyperlink>
    </w:p>
    <w:p w14:paraId="7ADB40EF" w14:textId="52B58B72" w:rsidR="008A50C4" w:rsidRPr="007B7AE8" w:rsidRDefault="008A50C4" w:rsidP="008907BE">
      <w:pPr>
        <w:pStyle w:val="TM1"/>
        <w:rPr>
          <w:rFonts w:eastAsiaTheme="minorEastAsia"/>
          <w:kern w:val="2"/>
          <w:lang w:val="fr-SN" w:eastAsia="fr-FR"/>
          <w14:ligatures w14:val="standardContextual"/>
        </w:rPr>
      </w:pPr>
      <w:hyperlink w:anchor="_Toc212725199" w:history="1">
        <w:r w:rsidRPr="007B7AE8">
          <w:rPr>
            <w:rStyle w:val="Lienhypertexte"/>
            <w:sz w:val="22"/>
            <w:szCs w:val="22"/>
          </w:rPr>
          <w:t>ANNEXES</w:t>
        </w:r>
        <w:r w:rsidRPr="007B7AE8">
          <w:rPr>
            <w:webHidden/>
          </w:rPr>
          <w:tab/>
        </w:r>
        <w:r w:rsidRPr="007B7AE8">
          <w:rPr>
            <w:webHidden/>
          </w:rPr>
          <w:fldChar w:fldCharType="begin"/>
        </w:r>
        <w:r w:rsidRPr="007B7AE8">
          <w:rPr>
            <w:webHidden/>
          </w:rPr>
          <w:instrText xml:space="preserve"> PAGEREF _Toc212725199 \h </w:instrText>
        </w:r>
        <w:r w:rsidRPr="007B7AE8">
          <w:rPr>
            <w:webHidden/>
          </w:rPr>
        </w:r>
        <w:r w:rsidRPr="007B7AE8">
          <w:rPr>
            <w:webHidden/>
          </w:rPr>
          <w:fldChar w:fldCharType="separate"/>
        </w:r>
        <w:r w:rsidR="00805E85" w:rsidRPr="007B7AE8">
          <w:rPr>
            <w:webHidden/>
          </w:rPr>
          <w:t>278</w:t>
        </w:r>
        <w:r w:rsidRPr="007B7AE8">
          <w:rPr>
            <w:webHidden/>
          </w:rPr>
          <w:fldChar w:fldCharType="end"/>
        </w:r>
      </w:hyperlink>
    </w:p>
    <w:p w14:paraId="4DA34C17" w14:textId="1A78CCF0" w:rsidR="00CE04D7" w:rsidRPr="007B7AE8" w:rsidRDefault="004536C4" w:rsidP="008907BE">
      <w:pPr>
        <w:pStyle w:val="Tabledesillustrations"/>
        <w:tabs>
          <w:tab w:val="right" w:pos="9060"/>
        </w:tabs>
        <w:spacing w:after="0" w:line="240" w:lineRule="auto"/>
        <w:jc w:val="both"/>
        <w:rPr>
          <w:rFonts w:ascii="Times New Roman" w:hAnsi="Times New Roman"/>
          <w:bCs/>
          <w:noProof/>
        </w:rPr>
      </w:pPr>
      <w:r w:rsidRPr="007B7AE8">
        <w:rPr>
          <w:rFonts w:ascii="Times New Roman" w:hAnsi="Times New Roman"/>
          <w:color w:val="000000" w:themeColor="text1"/>
        </w:rPr>
        <w:fldChar w:fldCharType="end"/>
      </w:r>
      <w:r w:rsidR="00E26512" w:rsidRPr="007B7AE8">
        <w:rPr>
          <w:rFonts w:ascii="Times New Roman" w:hAnsi="Times New Roman"/>
          <w:bCs/>
          <w:color w:val="000000" w:themeColor="text1"/>
        </w:rPr>
        <w:fldChar w:fldCharType="begin"/>
      </w:r>
      <w:r w:rsidR="00E26512" w:rsidRPr="007B7AE8">
        <w:rPr>
          <w:rFonts w:ascii="Times New Roman" w:hAnsi="Times New Roman"/>
          <w:bCs/>
          <w:color w:val="000000" w:themeColor="text1"/>
        </w:rPr>
        <w:instrText xml:space="preserve"> TOC \h \z \c "Annexe" </w:instrText>
      </w:r>
      <w:r w:rsidR="00E26512" w:rsidRPr="007B7AE8">
        <w:rPr>
          <w:rFonts w:ascii="Times New Roman" w:hAnsi="Times New Roman"/>
          <w:bCs/>
          <w:color w:val="000000" w:themeColor="text1"/>
        </w:rPr>
        <w:fldChar w:fldCharType="separate"/>
      </w:r>
      <w:hyperlink w:anchor="_Toc199431871" w:history="1">
        <w:r w:rsidR="00260790" w:rsidRPr="007B7AE8">
          <w:rPr>
            <w:rStyle w:val="Lienhypertexte"/>
            <w:rFonts w:ascii="Times New Roman" w:hAnsi="Times New Roman"/>
            <w:bCs/>
            <w:iCs/>
            <w:noProof/>
          </w:rPr>
          <w:t>Annexe 1 : Termes de références de l’étude</w:t>
        </w:r>
        <w:r w:rsidR="00260790" w:rsidRPr="007B7AE8">
          <w:rPr>
            <w:rFonts w:ascii="Times New Roman" w:hAnsi="Times New Roman"/>
            <w:bCs/>
            <w:noProof/>
            <w:webHidden/>
          </w:rPr>
          <w:tab/>
        </w:r>
        <w:r w:rsidR="00CE04D7" w:rsidRPr="007B7AE8">
          <w:rPr>
            <w:rFonts w:ascii="Times New Roman" w:hAnsi="Times New Roman"/>
            <w:bCs/>
            <w:noProof/>
            <w:webHidden/>
          </w:rPr>
          <w:fldChar w:fldCharType="begin"/>
        </w:r>
        <w:r w:rsidR="00CE04D7" w:rsidRPr="007B7AE8">
          <w:rPr>
            <w:rFonts w:ascii="Times New Roman" w:hAnsi="Times New Roman"/>
            <w:bCs/>
            <w:noProof/>
            <w:webHidden/>
          </w:rPr>
          <w:instrText xml:space="preserve"> PAGEREF _Toc199431871 \h </w:instrText>
        </w:r>
        <w:r w:rsidR="00CE04D7" w:rsidRPr="007B7AE8">
          <w:rPr>
            <w:rFonts w:ascii="Times New Roman" w:hAnsi="Times New Roman"/>
            <w:bCs/>
            <w:noProof/>
            <w:webHidden/>
          </w:rPr>
        </w:r>
        <w:r w:rsidR="00CE04D7" w:rsidRPr="007B7AE8">
          <w:rPr>
            <w:rFonts w:ascii="Times New Roman" w:hAnsi="Times New Roman"/>
            <w:bCs/>
            <w:noProof/>
            <w:webHidden/>
          </w:rPr>
          <w:fldChar w:fldCharType="separate"/>
        </w:r>
        <w:r w:rsidR="00805E85" w:rsidRPr="007B7AE8">
          <w:rPr>
            <w:rFonts w:ascii="Times New Roman" w:hAnsi="Times New Roman"/>
            <w:bCs/>
            <w:noProof/>
            <w:webHidden/>
          </w:rPr>
          <w:t>279</w:t>
        </w:r>
        <w:r w:rsidR="00CE04D7" w:rsidRPr="007B7AE8">
          <w:rPr>
            <w:rFonts w:ascii="Times New Roman" w:hAnsi="Times New Roman"/>
            <w:bCs/>
            <w:noProof/>
            <w:webHidden/>
          </w:rPr>
          <w:fldChar w:fldCharType="end"/>
        </w:r>
      </w:hyperlink>
    </w:p>
    <w:p w14:paraId="0CAAE1C1" w14:textId="2077C2D2" w:rsidR="00CE04D7" w:rsidRPr="007B7AE8" w:rsidRDefault="00260790" w:rsidP="008907BE">
      <w:pPr>
        <w:pStyle w:val="Tabledesillustrations"/>
        <w:tabs>
          <w:tab w:val="right" w:pos="9060"/>
        </w:tabs>
        <w:spacing w:after="0" w:line="240" w:lineRule="auto"/>
        <w:jc w:val="both"/>
        <w:rPr>
          <w:rFonts w:ascii="Times New Roman" w:eastAsiaTheme="minorEastAsia" w:hAnsi="Times New Roman"/>
          <w:bCs/>
          <w:noProof/>
          <w:kern w:val="2"/>
          <w:lang w:val="fr-SN" w:eastAsia="fr-FR"/>
          <w14:ligatures w14:val="standardContextual"/>
        </w:rPr>
      </w:pPr>
      <w:hyperlink w:anchor="_Toc199431872" w:history="1">
        <w:r w:rsidRPr="007B7AE8">
          <w:rPr>
            <w:rStyle w:val="Lienhypertexte"/>
            <w:rFonts w:ascii="Times New Roman" w:hAnsi="Times New Roman"/>
            <w:bCs/>
            <w:noProof/>
          </w:rPr>
          <w:t>Annexe 2 : Compte rendu des consultations des parties prenantes</w:t>
        </w:r>
        <w:r w:rsidRPr="007B7AE8">
          <w:rPr>
            <w:rFonts w:ascii="Times New Roman" w:hAnsi="Times New Roman"/>
            <w:bCs/>
            <w:noProof/>
            <w:webHidden/>
          </w:rPr>
          <w:tab/>
        </w:r>
        <w:r w:rsidR="00CE04D7" w:rsidRPr="007B7AE8">
          <w:rPr>
            <w:rFonts w:ascii="Times New Roman" w:hAnsi="Times New Roman"/>
            <w:bCs/>
            <w:noProof/>
            <w:webHidden/>
          </w:rPr>
          <w:fldChar w:fldCharType="begin"/>
        </w:r>
        <w:r w:rsidR="00CE04D7" w:rsidRPr="007B7AE8">
          <w:rPr>
            <w:rFonts w:ascii="Times New Roman" w:hAnsi="Times New Roman"/>
            <w:bCs/>
            <w:noProof/>
            <w:webHidden/>
          </w:rPr>
          <w:instrText xml:space="preserve"> PAGEREF _Toc199431872 \h </w:instrText>
        </w:r>
        <w:r w:rsidR="00CE04D7" w:rsidRPr="007B7AE8">
          <w:rPr>
            <w:rFonts w:ascii="Times New Roman" w:hAnsi="Times New Roman"/>
            <w:bCs/>
            <w:noProof/>
            <w:webHidden/>
          </w:rPr>
        </w:r>
        <w:r w:rsidR="00CE04D7" w:rsidRPr="007B7AE8">
          <w:rPr>
            <w:rFonts w:ascii="Times New Roman" w:hAnsi="Times New Roman"/>
            <w:bCs/>
            <w:noProof/>
            <w:webHidden/>
          </w:rPr>
          <w:fldChar w:fldCharType="separate"/>
        </w:r>
        <w:r w:rsidR="00805E85" w:rsidRPr="007B7AE8">
          <w:rPr>
            <w:rFonts w:ascii="Times New Roman" w:hAnsi="Times New Roman"/>
            <w:bCs/>
            <w:noProof/>
            <w:webHidden/>
          </w:rPr>
          <w:t>296</w:t>
        </w:r>
        <w:r w:rsidR="00CE04D7" w:rsidRPr="007B7AE8">
          <w:rPr>
            <w:rFonts w:ascii="Times New Roman" w:hAnsi="Times New Roman"/>
            <w:bCs/>
            <w:noProof/>
            <w:webHidden/>
          </w:rPr>
          <w:fldChar w:fldCharType="end"/>
        </w:r>
      </w:hyperlink>
    </w:p>
    <w:p w14:paraId="12A362F6" w14:textId="514DE30C" w:rsidR="00CE04D7" w:rsidRPr="007B7AE8" w:rsidRDefault="00CE04D7" w:rsidP="008907BE">
      <w:pPr>
        <w:pStyle w:val="Tabledesillustrations"/>
        <w:tabs>
          <w:tab w:val="right" w:pos="9060"/>
        </w:tabs>
        <w:spacing w:after="0" w:line="240" w:lineRule="auto"/>
        <w:jc w:val="both"/>
        <w:rPr>
          <w:rFonts w:ascii="Times New Roman" w:eastAsiaTheme="minorEastAsia" w:hAnsi="Times New Roman"/>
          <w:bCs/>
          <w:noProof/>
          <w:kern w:val="2"/>
          <w:lang w:val="fr-SN" w:eastAsia="fr-FR"/>
          <w14:ligatures w14:val="standardContextual"/>
        </w:rPr>
      </w:pPr>
      <w:hyperlink w:anchor="_Toc199431873" w:history="1">
        <w:r w:rsidRPr="007B7AE8">
          <w:rPr>
            <w:rStyle w:val="Lienhypertexte"/>
            <w:rFonts w:ascii="Times New Roman" w:hAnsi="Times New Roman"/>
            <w:bCs/>
            <w:noProof/>
          </w:rPr>
          <w:t>Annexe 3 : Bibliographie</w:t>
        </w:r>
        <w:r w:rsidRPr="007B7AE8">
          <w:rPr>
            <w:rFonts w:ascii="Times New Roman" w:hAnsi="Times New Roman"/>
            <w:bCs/>
            <w:noProof/>
            <w:webHidden/>
          </w:rPr>
          <w:tab/>
        </w:r>
        <w:r w:rsidRPr="007B7AE8">
          <w:rPr>
            <w:rFonts w:ascii="Times New Roman" w:hAnsi="Times New Roman"/>
            <w:bCs/>
            <w:noProof/>
            <w:webHidden/>
          </w:rPr>
          <w:fldChar w:fldCharType="begin"/>
        </w:r>
        <w:r w:rsidRPr="007B7AE8">
          <w:rPr>
            <w:rFonts w:ascii="Times New Roman" w:hAnsi="Times New Roman"/>
            <w:bCs/>
            <w:noProof/>
            <w:webHidden/>
          </w:rPr>
          <w:instrText xml:space="preserve"> PAGEREF _Toc199431873 \h </w:instrText>
        </w:r>
        <w:r w:rsidRPr="007B7AE8">
          <w:rPr>
            <w:rFonts w:ascii="Times New Roman" w:hAnsi="Times New Roman"/>
            <w:bCs/>
            <w:noProof/>
            <w:webHidden/>
          </w:rPr>
        </w:r>
        <w:r w:rsidRPr="007B7AE8">
          <w:rPr>
            <w:rFonts w:ascii="Times New Roman" w:hAnsi="Times New Roman"/>
            <w:bCs/>
            <w:noProof/>
            <w:webHidden/>
          </w:rPr>
          <w:fldChar w:fldCharType="separate"/>
        </w:r>
        <w:r w:rsidR="00805E85" w:rsidRPr="007B7AE8">
          <w:rPr>
            <w:rFonts w:ascii="Times New Roman" w:hAnsi="Times New Roman"/>
            <w:bCs/>
            <w:noProof/>
            <w:webHidden/>
          </w:rPr>
          <w:t>310</w:t>
        </w:r>
        <w:r w:rsidRPr="007B7AE8">
          <w:rPr>
            <w:rFonts w:ascii="Times New Roman" w:hAnsi="Times New Roman"/>
            <w:bCs/>
            <w:noProof/>
            <w:webHidden/>
          </w:rPr>
          <w:fldChar w:fldCharType="end"/>
        </w:r>
      </w:hyperlink>
    </w:p>
    <w:p w14:paraId="21183389" w14:textId="4B9AD630" w:rsidR="00CE04D7" w:rsidRPr="007B7AE8" w:rsidRDefault="00CE04D7" w:rsidP="008907BE">
      <w:pPr>
        <w:pStyle w:val="Tabledesillustrations"/>
        <w:tabs>
          <w:tab w:val="right" w:pos="9060"/>
        </w:tabs>
        <w:spacing w:after="0" w:line="240" w:lineRule="auto"/>
        <w:jc w:val="both"/>
        <w:rPr>
          <w:rFonts w:ascii="Times New Roman" w:eastAsiaTheme="minorEastAsia" w:hAnsi="Times New Roman"/>
          <w:bCs/>
          <w:noProof/>
          <w:kern w:val="2"/>
          <w:lang w:val="fr-SN" w:eastAsia="fr-FR"/>
          <w14:ligatures w14:val="standardContextual"/>
        </w:rPr>
      </w:pPr>
      <w:hyperlink w:anchor="_Toc199431874" w:history="1">
        <w:r w:rsidRPr="007B7AE8">
          <w:rPr>
            <w:rStyle w:val="Lienhypertexte"/>
            <w:rFonts w:ascii="Times New Roman" w:hAnsi="Times New Roman"/>
            <w:bCs/>
            <w:noProof/>
          </w:rPr>
          <w:t>Annexe 4 : Clauses environnementales et sociales à insérer dans les dossiers d’appel d’offres</w:t>
        </w:r>
        <w:r w:rsidRPr="007B7AE8">
          <w:rPr>
            <w:rFonts w:ascii="Times New Roman" w:hAnsi="Times New Roman"/>
            <w:bCs/>
            <w:noProof/>
            <w:webHidden/>
          </w:rPr>
          <w:tab/>
        </w:r>
        <w:r w:rsidRPr="007B7AE8">
          <w:rPr>
            <w:rFonts w:ascii="Times New Roman" w:hAnsi="Times New Roman"/>
            <w:bCs/>
            <w:noProof/>
            <w:webHidden/>
          </w:rPr>
          <w:fldChar w:fldCharType="begin"/>
        </w:r>
        <w:r w:rsidRPr="007B7AE8">
          <w:rPr>
            <w:rFonts w:ascii="Times New Roman" w:hAnsi="Times New Roman"/>
            <w:bCs/>
            <w:noProof/>
            <w:webHidden/>
          </w:rPr>
          <w:instrText xml:space="preserve"> PAGEREF _Toc199431874 \h </w:instrText>
        </w:r>
        <w:r w:rsidRPr="007B7AE8">
          <w:rPr>
            <w:rFonts w:ascii="Times New Roman" w:hAnsi="Times New Roman"/>
            <w:bCs/>
            <w:noProof/>
            <w:webHidden/>
          </w:rPr>
        </w:r>
        <w:r w:rsidRPr="007B7AE8">
          <w:rPr>
            <w:rFonts w:ascii="Times New Roman" w:hAnsi="Times New Roman"/>
            <w:bCs/>
            <w:noProof/>
            <w:webHidden/>
          </w:rPr>
          <w:fldChar w:fldCharType="separate"/>
        </w:r>
        <w:r w:rsidR="00805E85" w:rsidRPr="007B7AE8">
          <w:rPr>
            <w:rFonts w:ascii="Times New Roman" w:hAnsi="Times New Roman"/>
            <w:bCs/>
            <w:noProof/>
            <w:webHidden/>
          </w:rPr>
          <w:t>311</w:t>
        </w:r>
        <w:r w:rsidRPr="007B7AE8">
          <w:rPr>
            <w:rFonts w:ascii="Times New Roman" w:hAnsi="Times New Roman"/>
            <w:bCs/>
            <w:noProof/>
            <w:webHidden/>
          </w:rPr>
          <w:fldChar w:fldCharType="end"/>
        </w:r>
      </w:hyperlink>
    </w:p>
    <w:p w14:paraId="0B4C206E" w14:textId="4A2F1AAB" w:rsidR="00C470F7" w:rsidRPr="007B7AE8" w:rsidRDefault="00E26512" w:rsidP="008907BE">
      <w:pPr>
        <w:pStyle w:val="Tabledesillustrations"/>
        <w:tabs>
          <w:tab w:val="right" w:pos="9054"/>
        </w:tabs>
        <w:spacing w:after="0" w:line="240" w:lineRule="auto"/>
        <w:jc w:val="both"/>
        <w:rPr>
          <w:rFonts w:ascii="Times New Roman" w:hAnsi="Times New Roman"/>
          <w:bCs/>
          <w:color w:val="000000" w:themeColor="text1"/>
        </w:rPr>
      </w:pPr>
      <w:r w:rsidRPr="007B7AE8">
        <w:rPr>
          <w:rFonts w:ascii="Times New Roman" w:hAnsi="Times New Roman"/>
          <w:bCs/>
          <w:color w:val="000000" w:themeColor="text1"/>
        </w:rPr>
        <w:fldChar w:fldCharType="end"/>
      </w:r>
    </w:p>
    <w:p w14:paraId="6449051B" w14:textId="77777777" w:rsidR="007B7AE8" w:rsidRDefault="007B7AE8" w:rsidP="007B7AE8">
      <w:pPr>
        <w:pStyle w:val="Style1"/>
        <w:pBdr>
          <w:bottom w:val="single" w:sz="12" w:space="1" w:color="0070C0"/>
        </w:pBdr>
        <w:spacing w:before="0" w:after="0" w:line="240" w:lineRule="auto"/>
        <w:jc w:val="both"/>
        <w:rPr>
          <w:color w:val="000000" w:themeColor="text1"/>
          <w:sz w:val="22"/>
        </w:rPr>
      </w:pPr>
    </w:p>
    <w:p w14:paraId="05B0422D" w14:textId="286FCE45" w:rsidR="005F3FB7" w:rsidRPr="007B7AE8" w:rsidRDefault="005F3FB7" w:rsidP="007B7AE8">
      <w:pPr>
        <w:pStyle w:val="Style1"/>
        <w:pBdr>
          <w:bottom w:val="single" w:sz="12" w:space="1" w:color="0070C0"/>
        </w:pBdr>
        <w:spacing w:before="0" w:after="0" w:line="240" w:lineRule="auto"/>
        <w:jc w:val="both"/>
        <w:rPr>
          <w:color w:val="000000" w:themeColor="text1"/>
          <w:sz w:val="22"/>
        </w:rPr>
      </w:pPr>
      <w:r w:rsidRPr="007B7AE8">
        <w:rPr>
          <w:color w:val="000000" w:themeColor="text1"/>
          <w:sz w:val="22"/>
        </w:rPr>
        <w:t>TABLEAUX</w:t>
      </w:r>
    </w:p>
    <w:p w14:paraId="71DEB8B2" w14:textId="77777777" w:rsidR="00CB2FF9" w:rsidRPr="007B7AE8" w:rsidRDefault="00CB2FF9" w:rsidP="007B7AE8">
      <w:pPr>
        <w:pStyle w:val="Tabledesillustrations"/>
        <w:tabs>
          <w:tab w:val="right" w:leader="dot" w:pos="9060"/>
        </w:tabs>
        <w:spacing w:after="0" w:line="240" w:lineRule="auto"/>
        <w:jc w:val="both"/>
        <w:rPr>
          <w:rFonts w:ascii="Times New Roman" w:hAnsi="Times New Roman"/>
          <w:iCs/>
          <w:color w:val="000000" w:themeColor="text1"/>
        </w:rPr>
      </w:pPr>
    </w:p>
    <w:p w14:paraId="6A9189D2" w14:textId="3F529455" w:rsidR="00A717AA" w:rsidRPr="007B7AE8" w:rsidRDefault="005F3FB7"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r w:rsidRPr="007B7AE8">
        <w:rPr>
          <w:rFonts w:ascii="Times New Roman" w:hAnsi="Times New Roman"/>
          <w:iCs/>
          <w:color w:val="000000" w:themeColor="text1"/>
        </w:rPr>
        <w:fldChar w:fldCharType="begin"/>
      </w:r>
      <w:r w:rsidRPr="007B7AE8">
        <w:rPr>
          <w:rFonts w:ascii="Times New Roman" w:hAnsi="Times New Roman"/>
          <w:iCs/>
          <w:color w:val="000000" w:themeColor="text1"/>
        </w:rPr>
        <w:instrText xml:space="preserve"> TOC \h \z \c "Tableau" </w:instrText>
      </w:r>
      <w:r w:rsidRPr="007B7AE8">
        <w:rPr>
          <w:rFonts w:ascii="Times New Roman" w:hAnsi="Times New Roman"/>
          <w:iCs/>
          <w:color w:val="000000" w:themeColor="text1"/>
        </w:rPr>
        <w:fldChar w:fldCharType="separate"/>
      </w:r>
      <w:hyperlink w:anchor="_Toc207781842" w:history="1">
        <w:r w:rsidR="00A717AA" w:rsidRPr="007B7AE8">
          <w:rPr>
            <w:rStyle w:val="Lienhypertexte"/>
            <w:rFonts w:ascii="Times New Roman" w:hAnsi="Times New Roman"/>
            <w:noProof/>
          </w:rPr>
          <w:t>Tableau 1 : Entités administratives concernées par les travaux du projet</w:t>
        </w:r>
        <w:r w:rsidR="00A717AA" w:rsidRPr="007B7AE8">
          <w:rPr>
            <w:rFonts w:ascii="Times New Roman" w:hAnsi="Times New Roman"/>
            <w:noProof/>
            <w:webHidden/>
          </w:rPr>
          <w:tab/>
        </w:r>
        <w:r w:rsidR="00A717AA" w:rsidRPr="007B7AE8">
          <w:rPr>
            <w:rFonts w:ascii="Times New Roman" w:hAnsi="Times New Roman"/>
            <w:noProof/>
            <w:webHidden/>
          </w:rPr>
          <w:fldChar w:fldCharType="begin"/>
        </w:r>
        <w:r w:rsidR="00A717AA" w:rsidRPr="007B7AE8">
          <w:rPr>
            <w:rFonts w:ascii="Times New Roman" w:hAnsi="Times New Roman"/>
            <w:noProof/>
            <w:webHidden/>
          </w:rPr>
          <w:instrText xml:space="preserve"> PAGEREF _Toc207781842 \h </w:instrText>
        </w:r>
        <w:r w:rsidR="00A717AA" w:rsidRPr="007B7AE8">
          <w:rPr>
            <w:rFonts w:ascii="Times New Roman" w:hAnsi="Times New Roman"/>
            <w:noProof/>
            <w:webHidden/>
          </w:rPr>
        </w:r>
        <w:r w:rsidR="00A717AA" w:rsidRPr="007B7AE8">
          <w:rPr>
            <w:rFonts w:ascii="Times New Roman" w:hAnsi="Times New Roman"/>
            <w:noProof/>
            <w:webHidden/>
          </w:rPr>
          <w:fldChar w:fldCharType="separate"/>
        </w:r>
        <w:r w:rsidR="00805E85" w:rsidRPr="007B7AE8">
          <w:rPr>
            <w:rFonts w:ascii="Times New Roman" w:hAnsi="Times New Roman"/>
            <w:noProof/>
            <w:webHidden/>
          </w:rPr>
          <w:t>27</w:t>
        </w:r>
        <w:r w:rsidR="00A717AA" w:rsidRPr="007B7AE8">
          <w:rPr>
            <w:rFonts w:ascii="Times New Roman" w:hAnsi="Times New Roman"/>
            <w:noProof/>
            <w:webHidden/>
          </w:rPr>
          <w:fldChar w:fldCharType="end"/>
        </w:r>
      </w:hyperlink>
    </w:p>
    <w:p w14:paraId="6C612091" w14:textId="57C9F96F"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43" w:history="1">
        <w:r w:rsidRPr="007B7AE8">
          <w:rPr>
            <w:rStyle w:val="Lienhypertexte"/>
            <w:rFonts w:ascii="Times New Roman" w:hAnsi="Times New Roman"/>
            <w:noProof/>
          </w:rPr>
          <w:t>Tableau 2 : Dispositions juridiques de lutte contre les pollutions et nuisances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_Toc207781843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40</w:t>
        </w:r>
        <w:r w:rsidRPr="007B7AE8">
          <w:rPr>
            <w:rFonts w:ascii="Times New Roman" w:hAnsi="Times New Roman"/>
            <w:noProof/>
            <w:webHidden/>
          </w:rPr>
          <w:fldChar w:fldCharType="end"/>
        </w:r>
      </w:hyperlink>
    </w:p>
    <w:p w14:paraId="652B4E5D" w14:textId="268F2A73" w:rsidR="00A717AA" w:rsidRPr="007B7AE8" w:rsidRDefault="00A717AA" w:rsidP="007B7AE8">
      <w:pPr>
        <w:pStyle w:val="Tabledesillustrations"/>
        <w:tabs>
          <w:tab w:val="right" w:leader="dot" w:pos="9060"/>
        </w:tabs>
        <w:spacing w:after="0" w:line="257" w:lineRule="auto"/>
        <w:jc w:val="both"/>
        <w:rPr>
          <w:rFonts w:ascii="Times New Roman" w:eastAsiaTheme="minorEastAsia" w:hAnsi="Times New Roman"/>
          <w:noProof/>
          <w:kern w:val="2"/>
          <w:lang w:val="fr-SN" w:eastAsia="fr-FR"/>
          <w14:ligatures w14:val="standardContextual"/>
        </w:rPr>
      </w:pPr>
      <w:hyperlink w:anchor="_Toc207781844" w:history="1">
        <w:r w:rsidRPr="007B7AE8">
          <w:rPr>
            <w:rStyle w:val="Lienhypertexte"/>
            <w:rFonts w:ascii="Times New Roman" w:hAnsi="Times New Roman"/>
            <w:noProof/>
          </w:rPr>
          <w:t>Tableau 3 : Dispositions du Code de l’Environnement applicables au Projet</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_Toc207781844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41</w:t>
        </w:r>
        <w:r w:rsidRPr="007B7AE8">
          <w:rPr>
            <w:rFonts w:ascii="Times New Roman" w:hAnsi="Times New Roman"/>
            <w:noProof/>
            <w:webHidden/>
          </w:rPr>
          <w:fldChar w:fldCharType="end"/>
        </w:r>
      </w:hyperlink>
    </w:p>
    <w:p w14:paraId="496A3102" w14:textId="3741809C"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45" w:history="1">
        <w:r w:rsidRPr="007B7AE8">
          <w:rPr>
            <w:rStyle w:val="Lienhypertexte"/>
            <w:rFonts w:ascii="Times New Roman" w:hAnsi="Times New Roman"/>
            <w:noProof/>
          </w:rPr>
          <w:t>Tableau 4 : Normes de rejet pollution atmosphérique</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_Toc207781845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45</w:t>
        </w:r>
        <w:r w:rsidRPr="007B7AE8">
          <w:rPr>
            <w:rFonts w:ascii="Times New Roman" w:hAnsi="Times New Roman"/>
            <w:noProof/>
            <w:webHidden/>
          </w:rPr>
          <w:fldChar w:fldCharType="end"/>
        </w:r>
      </w:hyperlink>
    </w:p>
    <w:p w14:paraId="09E6F0CC" w14:textId="15D30544"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46" w:history="1">
        <w:r w:rsidRPr="007B7AE8">
          <w:rPr>
            <w:rStyle w:val="Lienhypertexte"/>
            <w:rFonts w:ascii="Times New Roman" w:hAnsi="Times New Roman"/>
            <w:noProof/>
          </w:rPr>
          <w:t>Tableau 5 : Valeurs limites de rejet des eaux usées dans le milieu naturel</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_Toc207781846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46</w:t>
        </w:r>
        <w:r w:rsidRPr="007B7AE8">
          <w:rPr>
            <w:rFonts w:ascii="Times New Roman" w:hAnsi="Times New Roman"/>
            <w:noProof/>
            <w:webHidden/>
          </w:rPr>
          <w:fldChar w:fldCharType="end"/>
        </w:r>
      </w:hyperlink>
    </w:p>
    <w:p w14:paraId="7BB07821" w14:textId="008B382A"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47" w:history="1">
        <w:r w:rsidRPr="007B7AE8">
          <w:rPr>
            <w:rStyle w:val="Lienhypertexte"/>
            <w:rFonts w:ascii="Times New Roman" w:hAnsi="Times New Roman"/>
            <w:noProof/>
          </w:rPr>
          <w:t>Tableau 6 : Valeurs limites de qualité des eaux usées avant raccordement à une station d'épuration collective</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_Toc207781847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46</w:t>
        </w:r>
        <w:r w:rsidRPr="007B7AE8">
          <w:rPr>
            <w:rFonts w:ascii="Times New Roman" w:hAnsi="Times New Roman"/>
            <w:noProof/>
            <w:webHidden/>
          </w:rPr>
          <w:fldChar w:fldCharType="end"/>
        </w:r>
      </w:hyperlink>
    </w:p>
    <w:p w14:paraId="3BFD88C4" w14:textId="3E4DD449"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48" w:history="1">
        <w:r w:rsidRPr="007B7AE8">
          <w:rPr>
            <w:rStyle w:val="Lienhypertexte"/>
            <w:rFonts w:ascii="Times New Roman" w:hAnsi="Times New Roman"/>
            <w:noProof/>
          </w:rPr>
          <w:t>Tableau 7 : Dispositions du Code du travail relatives à l’Hygiène et à la Sécurité</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_Toc207781848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47</w:t>
        </w:r>
        <w:r w:rsidRPr="007B7AE8">
          <w:rPr>
            <w:rFonts w:ascii="Times New Roman" w:hAnsi="Times New Roman"/>
            <w:noProof/>
            <w:webHidden/>
          </w:rPr>
          <w:fldChar w:fldCharType="end"/>
        </w:r>
      </w:hyperlink>
    </w:p>
    <w:p w14:paraId="0874ADEF" w14:textId="0463933D"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49" w:history="1">
        <w:r w:rsidRPr="007B7AE8">
          <w:rPr>
            <w:rStyle w:val="Lienhypertexte"/>
            <w:rFonts w:ascii="Times New Roman" w:hAnsi="Times New Roman"/>
            <w:noProof/>
          </w:rPr>
          <w:t>Tableau 8: Instruments juridiques internationaux applicables au Projet</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_Toc207781849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49</w:t>
        </w:r>
        <w:r w:rsidRPr="007B7AE8">
          <w:rPr>
            <w:rFonts w:ascii="Times New Roman" w:hAnsi="Times New Roman"/>
            <w:noProof/>
            <w:webHidden/>
          </w:rPr>
          <w:fldChar w:fldCharType="end"/>
        </w:r>
      </w:hyperlink>
    </w:p>
    <w:p w14:paraId="7F415E6C" w14:textId="54B36DDE"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50" w:history="1">
        <w:r w:rsidRPr="007B7AE8">
          <w:rPr>
            <w:rStyle w:val="Lienhypertexte"/>
            <w:rFonts w:ascii="Times New Roman" w:hAnsi="Times New Roman"/>
            <w:noProof/>
          </w:rPr>
          <w:t>Tableau 9: Normes Environnementales et Sociales de la Banque mondiale pertinentes au projet</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_Toc207781850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52</w:t>
        </w:r>
        <w:r w:rsidRPr="007B7AE8">
          <w:rPr>
            <w:rFonts w:ascii="Times New Roman" w:hAnsi="Times New Roman"/>
            <w:noProof/>
            <w:webHidden/>
          </w:rPr>
          <w:fldChar w:fldCharType="end"/>
        </w:r>
      </w:hyperlink>
    </w:p>
    <w:p w14:paraId="09D042B5" w14:textId="1DEA90E1"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51" w:history="1">
        <w:r w:rsidRPr="007B7AE8">
          <w:rPr>
            <w:rStyle w:val="Lienhypertexte"/>
            <w:rFonts w:ascii="Times New Roman" w:hAnsi="Times New Roman"/>
            <w:bCs/>
            <w:noProof/>
          </w:rPr>
          <w:t xml:space="preserve">Tableau </w:t>
        </w:r>
        <w:r w:rsidRPr="007B7AE8">
          <w:rPr>
            <w:rStyle w:val="Lienhypertexte"/>
            <w:rFonts w:ascii="Times New Roman" w:hAnsi="Times New Roman"/>
            <w:noProof/>
            <w:spacing w:val="5"/>
          </w:rPr>
          <w:t>10</w:t>
        </w:r>
        <w:r w:rsidRPr="007B7AE8">
          <w:rPr>
            <w:rStyle w:val="Lienhypertexte"/>
            <w:rFonts w:ascii="Times New Roman" w:hAnsi="Times New Roman"/>
            <w:bCs/>
            <w:noProof/>
            <w:spacing w:val="5"/>
          </w:rPr>
          <w:t>:</w:t>
        </w:r>
        <w:r w:rsidRPr="007B7AE8">
          <w:rPr>
            <w:rStyle w:val="Lienhypertexte"/>
            <w:rFonts w:ascii="Times New Roman" w:hAnsi="Times New Roman"/>
            <w:noProof/>
            <w:spacing w:val="5"/>
          </w:rPr>
          <w:t xml:space="preserve"> Comparaison entre les exigences des normes environnementales et sociales applicables au projet et les dispositions nationales pertinentes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_Toc207781851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55</w:t>
        </w:r>
        <w:r w:rsidRPr="007B7AE8">
          <w:rPr>
            <w:rFonts w:ascii="Times New Roman" w:hAnsi="Times New Roman"/>
            <w:noProof/>
            <w:webHidden/>
          </w:rPr>
          <w:fldChar w:fldCharType="end"/>
        </w:r>
      </w:hyperlink>
    </w:p>
    <w:p w14:paraId="159BDBC5" w14:textId="79FE4241"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52" w:history="1">
        <w:r w:rsidRPr="007B7AE8">
          <w:rPr>
            <w:rStyle w:val="Lienhypertexte"/>
            <w:rFonts w:ascii="Times New Roman" w:hAnsi="Times New Roman"/>
            <w:noProof/>
          </w:rPr>
          <w:t>Tableau 11 : caractérisation des emprises des sites des bassins retenus (15 bassins)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_Toc207781852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65</w:t>
        </w:r>
        <w:r w:rsidRPr="007B7AE8">
          <w:rPr>
            <w:rFonts w:ascii="Times New Roman" w:hAnsi="Times New Roman"/>
            <w:noProof/>
            <w:webHidden/>
          </w:rPr>
          <w:fldChar w:fldCharType="end"/>
        </w:r>
      </w:hyperlink>
    </w:p>
    <w:p w14:paraId="174AC905" w14:textId="0DC4D687"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53" w:history="1">
        <w:r w:rsidRPr="007B7AE8">
          <w:rPr>
            <w:rStyle w:val="Lienhypertexte"/>
            <w:rFonts w:ascii="Times New Roman" w:hAnsi="Times New Roman"/>
            <w:iCs/>
            <w:noProof/>
          </w:rPr>
          <w:t>Tableau 12 : Caractérisation des emprises des tracés des collecteurs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_Toc207781853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78</w:t>
        </w:r>
        <w:r w:rsidRPr="007B7AE8">
          <w:rPr>
            <w:rFonts w:ascii="Times New Roman" w:hAnsi="Times New Roman"/>
            <w:noProof/>
            <w:webHidden/>
          </w:rPr>
          <w:fldChar w:fldCharType="end"/>
        </w:r>
      </w:hyperlink>
    </w:p>
    <w:p w14:paraId="2B0E7DFD" w14:textId="2429252C"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54" w:history="1">
        <w:r w:rsidRPr="007B7AE8">
          <w:rPr>
            <w:rStyle w:val="Lienhypertexte"/>
            <w:rFonts w:ascii="Times New Roman" w:hAnsi="Times New Roman"/>
            <w:noProof/>
          </w:rPr>
          <w:t>Tableau 13 : liste des établissements recevant du public dans un rayon de 500 m autour des bassins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_Toc207781854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114</w:t>
        </w:r>
        <w:r w:rsidRPr="007B7AE8">
          <w:rPr>
            <w:rFonts w:ascii="Times New Roman" w:hAnsi="Times New Roman"/>
            <w:noProof/>
            <w:webHidden/>
          </w:rPr>
          <w:fldChar w:fldCharType="end"/>
        </w:r>
      </w:hyperlink>
    </w:p>
    <w:p w14:paraId="66041D16" w14:textId="316B43CD"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55" w:history="1">
        <w:r w:rsidRPr="007B7AE8">
          <w:rPr>
            <w:rStyle w:val="Lienhypertexte"/>
            <w:rFonts w:ascii="Times New Roman" w:hAnsi="Times New Roman"/>
            <w:noProof/>
          </w:rPr>
          <w:t>Tableau 14 : analyse des enjeux environnementaux</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_Toc207781855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115</w:t>
        </w:r>
        <w:r w:rsidRPr="007B7AE8">
          <w:rPr>
            <w:rFonts w:ascii="Times New Roman" w:hAnsi="Times New Roman"/>
            <w:noProof/>
            <w:webHidden/>
          </w:rPr>
          <w:fldChar w:fldCharType="end"/>
        </w:r>
      </w:hyperlink>
    </w:p>
    <w:p w14:paraId="46DCCE73" w14:textId="6D24C9C6"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56" w:history="1">
        <w:r w:rsidRPr="007B7AE8">
          <w:rPr>
            <w:rStyle w:val="Lienhypertexte"/>
            <w:rFonts w:ascii="Times New Roman" w:hAnsi="Times New Roman"/>
            <w:noProof/>
          </w:rPr>
          <w:t>Tableau 15 : analyse des enjeux sociaux</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_Toc207781856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116</w:t>
        </w:r>
        <w:r w:rsidRPr="007B7AE8">
          <w:rPr>
            <w:rFonts w:ascii="Times New Roman" w:hAnsi="Times New Roman"/>
            <w:noProof/>
            <w:webHidden/>
          </w:rPr>
          <w:fldChar w:fldCharType="end"/>
        </w:r>
      </w:hyperlink>
    </w:p>
    <w:p w14:paraId="1FE8FC7A" w14:textId="1EC349B9"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57" w:history="1">
        <w:r w:rsidRPr="007B7AE8">
          <w:rPr>
            <w:rStyle w:val="Lienhypertexte"/>
            <w:rFonts w:ascii="Times New Roman" w:hAnsi="Times New Roman"/>
            <w:noProof/>
          </w:rPr>
          <w:t>Tableau 16 : Structures et acteurs consultés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_Toc207781857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119</w:t>
        </w:r>
        <w:r w:rsidRPr="007B7AE8">
          <w:rPr>
            <w:rFonts w:ascii="Times New Roman" w:hAnsi="Times New Roman"/>
            <w:noProof/>
            <w:webHidden/>
          </w:rPr>
          <w:fldChar w:fldCharType="end"/>
        </w:r>
      </w:hyperlink>
    </w:p>
    <w:p w14:paraId="482AA0F9" w14:textId="47C38DF5"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58" w:history="1">
        <w:r w:rsidRPr="007B7AE8">
          <w:rPr>
            <w:rStyle w:val="Lienhypertexte"/>
            <w:rFonts w:ascii="Times New Roman" w:hAnsi="Times New Roman"/>
            <w:noProof/>
          </w:rPr>
          <w:t>Tableau 17: Analyse comparative des contraintes socio-environnementales et technico-économiques des variantes 1 et 2 du réseau de collecteurs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_Toc207781858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132</w:t>
        </w:r>
        <w:r w:rsidRPr="007B7AE8">
          <w:rPr>
            <w:rFonts w:ascii="Times New Roman" w:hAnsi="Times New Roman"/>
            <w:noProof/>
            <w:webHidden/>
          </w:rPr>
          <w:fldChar w:fldCharType="end"/>
        </w:r>
      </w:hyperlink>
    </w:p>
    <w:p w14:paraId="266E4354" w14:textId="41651E53"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59" w:history="1">
        <w:r w:rsidRPr="007B7AE8">
          <w:rPr>
            <w:rStyle w:val="Lienhypertexte"/>
            <w:rFonts w:ascii="Times New Roman" w:hAnsi="Times New Roman"/>
            <w:noProof/>
          </w:rPr>
          <w:t>Tableau 18 : sources d’impacts/facteurs de risques du projet</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_Toc207781859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135</w:t>
        </w:r>
        <w:r w:rsidRPr="007B7AE8">
          <w:rPr>
            <w:rFonts w:ascii="Times New Roman" w:hAnsi="Times New Roman"/>
            <w:noProof/>
            <w:webHidden/>
          </w:rPr>
          <w:fldChar w:fldCharType="end"/>
        </w:r>
      </w:hyperlink>
    </w:p>
    <w:p w14:paraId="6F19C34E" w14:textId="138CAE6D"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60" w:history="1">
        <w:r w:rsidRPr="007B7AE8">
          <w:rPr>
            <w:rStyle w:val="Lienhypertexte"/>
            <w:rFonts w:ascii="Times New Roman" w:hAnsi="Times New Roman"/>
            <w:noProof/>
          </w:rPr>
          <w:t>Tableau 19 : les récepteurs d’impacts du projet</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_Toc207781860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135</w:t>
        </w:r>
        <w:r w:rsidRPr="007B7AE8">
          <w:rPr>
            <w:rFonts w:ascii="Times New Roman" w:hAnsi="Times New Roman"/>
            <w:noProof/>
            <w:webHidden/>
          </w:rPr>
          <w:fldChar w:fldCharType="end"/>
        </w:r>
      </w:hyperlink>
    </w:p>
    <w:p w14:paraId="4A6686B7" w14:textId="4CB9E39E"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61" w:history="1">
        <w:r w:rsidRPr="007B7AE8">
          <w:rPr>
            <w:rStyle w:val="Lienhypertexte"/>
            <w:rFonts w:ascii="Times New Roman" w:hAnsi="Times New Roman"/>
            <w:bCs/>
            <w:noProof/>
          </w:rPr>
          <w:t>Tableau 20 : synthèses des principales sources d’impacts et des récepteurs d’impacts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_Toc207781861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136</w:t>
        </w:r>
        <w:r w:rsidRPr="007B7AE8">
          <w:rPr>
            <w:rFonts w:ascii="Times New Roman" w:hAnsi="Times New Roman"/>
            <w:noProof/>
            <w:webHidden/>
          </w:rPr>
          <w:fldChar w:fldCharType="end"/>
        </w:r>
      </w:hyperlink>
    </w:p>
    <w:p w14:paraId="5A4AEC3A" w14:textId="394E6E96"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62" w:history="1">
        <w:r w:rsidRPr="007B7AE8">
          <w:rPr>
            <w:rStyle w:val="Lienhypertexte"/>
            <w:rFonts w:ascii="Times New Roman" w:hAnsi="Times New Roman"/>
            <w:noProof/>
          </w:rPr>
          <w:t>Tableau 21 : Grille d’évaluation de l’importance des impacts de Martin FECTEAU</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_Toc207781862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138</w:t>
        </w:r>
        <w:r w:rsidRPr="007B7AE8">
          <w:rPr>
            <w:rFonts w:ascii="Times New Roman" w:hAnsi="Times New Roman"/>
            <w:noProof/>
            <w:webHidden/>
          </w:rPr>
          <w:fldChar w:fldCharType="end"/>
        </w:r>
      </w:hyperlink>
    </w:p>
    <w:p w14:paraId="07554D6F" w14:textId="2AB06D64"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63" w:history="1">
        <w:r w:rsidRPr="007B7AE8">
          <w:rPr>
            <w:rStyle w:val="Lienhypertexte"/>
            <w:rFonts w:ascii="Times New Roman" w:hAnsi="Times New Roman"/>
            <w:noProof/>
          </w:rPr>
          <w:t>Tableau 22 : Outil d’évaluation d’impact</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_Toc207781863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139</w:t>
        </w:r>
        <w:r w:rsidRPr="007B7AE8">
          <w:rPr>
            <w:rFonts w:ascii="Times New Roman" w:hAnsi="Times New Roman"/>
            <w:noProof/>
            <w:webHidden/>
          </w:rPr>
          <w:fldChar w:fldCharType="end"/>
        </w:r>
      </w:hyperlink>
    </w:p>
    <w:p w14:paraId="6E883F10" w14:textId="2D9F3A0B"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64" w:history="1">
        <w:r w:rsidRPr="007B7AE8">
          <w:rPr>
            <w:rStyle w:val="Lienhypertexte"/>
            <w:rFonts w:ascii="Times New Roman" w:hAnsi="Times New Roman"/>
            <w:noProof/>
          </w:rPr>
          <w:t>Tableau 23: Grille d’estimation des niveaux de probabilité et de gravité</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_Toc207781864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139</w:t>
        </w:r>
        <w:r w:rsidRPr="007B7AE8">
          <w:rPr>
            <w:rFonts w:ascii="Times New Roman" w:hAnsi="Times New Roman"/>
            <w:noProof/>
            <w:webHidden/>
          </w:rPr>
          <w:fldChar w:fldCharType="end"/>
        </w:r>
      </w:hyperlink>
    </w:p>
    <w:p w14:paraId="7BE83B4D" w14:textId="3CB9E98F"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65" w:history="1">
        <w:r w:rsidRPr="007B7AE8">
          <w:rPr>
            <w:rStyle w:val="Lienhypertexte"/>
            <w:rFonts w:ascii="Times New Roman" w:hAnsi="Times New Roman"/>
            <w:noProof/>
          </w:rPr>
          <w:t>Tableau 24 : Matrice de criticité</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_Toc207781865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139</w:t>
        </w:r>
        <w:r w:rsidRPr="007B7AE8">
          <w:rPr>
            <w:rFonts w:ascii="Times New Roman" w:hAnsi="Times New Roman"/>
            <w:noProof/>
            <w:webHidden/>
          </w:rPr>
          <w:fldChar w:fldCharType="end"/>
        </w:r>
      </w:hyperlink>
    </w:p>
    <w:p w14:paraId="1737E7CB" w14:textId="54D7DF87"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66" w:history="1">
        <w:r w:rsidRPr="007B7AE8">
          <w:rPr>
            <w:rStyle w:val="Lienhypertexte"/>
            <w:rFonts w:ascii="Times New Roman" w:hAnsi="Times New Roman"/>
            <w:noProof/>
          </w:rPr>
          <w:t>Tableau 25 : signification des couleurs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_Toc207781866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140</w:t>
        </w:r>
        <w:r w:rsidRPr="007B7AE8">
          <w:rPr>
            <w:rFonts w:ascii="Times New Roman" w:hAnsi="Times New Roman"/>
            <w:noProof/>
            <w:webHidden/>
          </w:rPr>
          <w:fldChar w:fldCharType="end"/>
        </w:r>
      </w:hyperlink>
    </w:p>
    <w:p w14:paraId="56C42319" w14:textId="3BF5FA2A"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67" w:history="1">
        <w:r w:rsidRPr="007B7AE8">
          <w:rPr>
            <w:rStyle w:val="Lienhypertexte"/>
            <w:rFonts w:ascii="Times New Roman" w:hAnsi="Times New Roman"/>
            <w:noProof/>
          </w:rPr>
          <w:t>Tableau 26 :  Outil d’évaluation des risques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_Toc207781867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140</w:t>
        </w:r>
        <w:r w:rsidRPr="007B7AE8">
          <w:rPr>
            <w:rFonts w:ascii="Times New Roman" w:hAnsi="Times New Roman"/>
            <w:noProof/>
            <w:webHidden/>
          </w:rPr>
          <w:fldChar w:fldCharType="end"/>
        </w:r>
      </w:hyperlink>
    </w:p>
    <w:p w14:paraId="3D835371" w14:textId="7AE8DAC1"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68" w:history="1">
        <w:r w:rsidRPr="007B7AE8">
          <w:rPr>
            <w:rStyle w:val="Lienhypertexte"/>
            <w:rFonts w:ascii="Times New Roman" w:hAnsi="Times New Roman"/>
            <w:noProof/>
          </w:rPr>
          <w:t>Tableau 27 :</w:t>
        </w:r>
        <w:r w:rsidRPr="007B7AE8">
          <w:rPr>
            <w:rStyle w:val="Lienhypertexte"/>
            <w:rFonts w:ascii="Times New Roman" w:hAnsi="Times New Roman"/>
            <w:noProof/>
            <w:spacing w:val="51"/>
          </w:rPr>
          <w:t xml:space="preserve"> </w:t>
        </w:r>
        <w:r w:rsidRPr="007B7AE8">
          <w:rPr>
            <w:rStyle w:val="Lienhypertexte"/>
            <w:rFonts w:ascii="Times New Roman" w:hAnsi="Times New Roman"/>
            <w:noProof/>
          </w:rPr>
          <w:t>résumé</w:t>
        </w:r>
        <w:r w:rsidRPr="007B7AE8">
          <w:rPr>
            <w:rStyle w:val="Lienhypertexte"/>
            <w:rFonts w:ascii="Times New Roman" w:hAnsi="Times New Roman"/>
            <w:noProof/>
            <w:spacing w:val="60"/>
          </w:rPr>
          <w:t xml:space="preserve"> </w:t>
        </w:r>
        <w:r w:rsidRPr="007B7AE8">
          <w:rPr>
            <w:rStyle w:val="Lienhypertexte"/>
            <w:rFonts w:ascii="Times New Roman" w:hAnsi="Times New Roman"/>
            <w:noProof/>
          </w:rPr>
          <w:t>de</w:t>
        </w:r>
        <w:r w:rsidRPr="007B7AE8">
          <w:rPr>
            <w:rStyle w:val="Lienhypertexte"/>
            <w:rFonts w:ascii="Times New Roman" w:hAnsi="Times New Roman"/>
            <w:noProof/>
            <w:spacing w:val="52"/>
          </w:rPr>
          <w:t xml:space="preserve"> </w:t>
        </w:r>
        <w:r w:rsidRPr="007B7AE8">
          <w:rPr>
            <w:rStyle w:val="Lienhypertexte"/>
            <w:rFonts w:ascii="Times New Roman" w:hAnsi="Times New Roman"/>
            <w:noProof/>
          </w:rPr>
          <w:t>l’évaluation</w:t>
        </w:r>
        <w:r w:rsidRPr="007B7AE8">
          <w:rPr>
            <w:rStyle w:val="Lienhypertexte"/>
            <w:rFonts w:ascii="Times New Roman" w:hAnsi="Times New Roman"/>
            <w:noProof/>
            <w:spacing w:val="58"/>
          </w:rPr>
          <w:t xml:space="preserve"> </w:t>
        </w:r>
        <w:r w:rsidRPr="007B7AE8">
          <w:rPr>
            <w:rStyle w:val="Lienhypertexte"/>
            <w:rFonts w:ascii="Times New Roman" w:hAnsi="Times New Roman"/>
            <w:noProof/>
          </w:rPr>
          <w:t>de</w:t>
        </w:r>
        <w:r w:rsidRPr="007B7AE8">
          <w:rPr>
            <w:rStyle w:val="Lienhypertexte"/>
            <w:rFonts w:ascii="Times New Roman" w:hAnsi="Times New Roman"/>
            <w:noProof/>
            <w:spacing w:val="60"/>
          </w:rPr>
          <w:t xml:space="preserve"> </w:t>
        </w:r>
        <w:r w:rsidRPr="007B7AE8">
          <w:rPr>
            <w:rStyle w:val="Lienhypertexte"/>
            <w:rFonts w:ascii="Times New Roman" w:hAnsi="Times New Roman"/>
            <w:noProof/>
          </w:rPr>
          <w:t>la</w:t>
        </w:r>
        <w:r w:rsidRPr="007B7AE8">
          <w:rPr>
            <w:rStyle w:val="Lienhypertexte"/>
            <w:rFonts w:ascii="Times New Roman" w:hAnsi="Times New Roman"/>
            <w:noProof/>
            <w:spacing w:val="45"/>
          </w:rPr>
          <w:t xml:space="preserve"> </w:t>
        </w:r>
        <w:r w:rsidRPr="007B7AE8">
          <w:rPr>
            <w:rStyle w:val="Lienhypertexte"/>
            <w:rFonts w:ascii="Times New Roman" w:hAnsi="Times New Roman"/>
            <w:noProof/>
          </w:rPr>
          <w:t>pollution</w:t>
        </w:r>
        <w:r w:rsidRPr="007B7AE8">
          <w:rPr>
            <w:rStyle w:val="Lienhypertexte"/>
            <w:rFonts w:ascii="Times New Roman" w:hAnsi="Times New Roman"/>
            <w:noProof/>
            <w:spacing w:val="65"/>
          </w:rPr>
          <w:t xml:space="preserve"> </w:t>
        </w:r>
        <w:r w:rsidRPr="007B7AE8">
          <w:rPr>
            <w:rStyle w:val="Lienhypertexte"/>
            <w:rFonts w:ascii="Times New Roman" w:hAnsi="Times New Roman"/>
            <w:noProof/>
          </w:rPr>
          <w:t>atmosphérique</w:t>
        </w:r>
        <w:r w:rsidRPr="007B7AE8">
          <w:rPr>
            <w:rStyle w:val="Lienhypertexte"/>
            <w:rFonts w:ascii="Times New Roman" w:hAnsi="Times New Roman"/>
            <w:noProof/>
            <w:spacing w:val="67"/>
          </w:rPr>
          <w:t xml:space="preserve"> </w:t>
        </w:r>
        <w:r w:rsidRPr="007B7AE8">
          <w:rPr>
            <w:rStyle w:val="Lienhypertexte"/>
            <w:rFonts w:ascii="Times New Roman" w:hAnsi="Times New Roman"/>
            <w:noProof/>
          </w:rPr>
          <w:t>et</w:t>
        </w:r>
        <w:r w:rsidRPr="007B7AE8">
          <w:rPr>
            <w:rStyle w:val="Lienhypertexte"/>
            <w:rFonts w:ascii="Times New Roman" w:hAnsi="Times New Roman"/>
            <w:noProof/>
            <w:spacing w:val="55"/>
          </w:rPr>
          <w:t xml:space="preserve"> </w:t>
        </w:r>
        <w:r w:rsidRPr="007B7AE8">
          <w:rPr>
            <w:rStyle w:val="Lienhypertexte"/>
            <w:rFonts w:ascii="Times New Roman" w:hAnsi="Times New Roman"/>
            <w:noProof/>
          </w:rPr>
          <w:t>des</w:t>
        </w:r>
        <w:r w:rsidRPr="007B7AE8">
          <w:rPr>
            <w:rStyle w:val="Lienhypertexte"/>
            <w:rFonts w:ascii="Times New Roman" w:hAnsi="Times New Roman"/>
            <w:noProof/>
            <w:spacing w:val="60"/>
          </w:rPr>
          <w:t xml:space="preserve"> </w:t>
        </w:r>
        <w:r w:rsidRPr="007B7AE8">
          <w:rPr>
            <w:rStyle w:val="Lienhypertexte"/>
            <w:rFonts w:ascii="Times New Roman" w:hAnsi="Times New Roman"/>
            <w:noProof/>
          </w:rPr>
          <w:t>émissions</w:t>
        </w:r>
        <w:r w:rsidRPr="007B7AE8">
          <w:rPr>
            <w:rStyle w:val="Lienhypertexte"/>
            <w:rFonts w:ascii="Times New Roman" w:hAnsi="Times New Roman"/>
            <w:noProof/>
            <w:spacing w:val="60"/>
          </w:rPr>
          <w:t xml:space="preserve"> </w:t>
        </w:r>
        <w:r w:rsidRPr="007B7AE8">
          <w:rPr>
            <w:rStyle w:val="Lienhypertexte"/>
            <w:rFonts w:ascii="Times New Roman" w:hAnsi="Times New Roman"/>
            <w:noProof/>
            <w:spacing w:val="-5"/>
          </w:rPr>
          <w:t xml:space="preserve">de </w:t>
        </w:r>
        <w:r w:rsidRPr="007B7AE8">
          <w:rPr>
            <w:rStyle w:val="Lienhypertexte"/>
            <w:rFonts w:ascii="Times New Roman" w:hAnsi="Times New Roman"/>
            <w:noProof/>
          </w:rPr>
          <w:t>GES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_Toc207781868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146</w:t>
        </w:r>
        <w:r w:rsidRPr="007B7AE8">
          <w:rPr>
            <w:rFonts w:ascii="Times New Roman" w:hAnsi="Times New Roman"/>
            <w:noProof/>
            <w:webHidden/>
          </w:rPr>
          <w:fldChar w:fldCharType="end"/>
        </w:r>
      </w:hyperlink>
    </w:p>
    <w:p w14:paraId="7224FC53" w14:textId="3EF63FA5"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69" w:history="1">
        <w:r w:rsidRPr="007B7AE8">
          <w:rPr>
            <w:rStyle w:val="Lienhypertexte"/>
            <w:rFonts w:ascii="Times New Roman" w:hAnsi="Times New Roman"/>
            <w:bCs/>
            <w:noProof/>
          </w:rPr>
          <w:t>Tableau 28 : résumé de l’analyse de la Modification de l’ambiance sonore</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_Toc207781869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147</w:t>
        </w:r>
        <w:r w:rsidRPr="007B7AE8">
          <w:rPr>
            <w:rFonts w:ascii="Times New Roman" w:hAnsi="Times New Roman"/>
            <w:noProof/>
            <w:webHidden/>
          </w:rPr>
          <w:fldChar w:fldCharType="end"/>
        </w:r>
      </w:hyperlink>
    </w:p>
    <w:p w14:paraId="0FF0FA09" w14:textId="45672BE5"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70" w:history="1">
        <w:r w:rsidRPr="007B7AE8">
          <w:rPr>
            <w:rStyle w:val="Lienhypertexte"/>
            <w:rFonts w:ascii="Times New Roman" w:hAnsi="Times New Roman"/>
            <w:noProof/>
          </w:rPr>
          <w:t>Tableau 29 :</w:t>
        </w:r>
        <w:r w:rsidRPr="007B7AE8">
          <w:rPr>
            <w:rStyle w:val="Lienhypertexte"/>
            <w:rFonts w:ascii="Times New Roman" w:hAnsi="Times New Roman"/>
            <w:bCs/>
            <w:noProof/>
          </w:rPr>
          <w:t xml:space="preserve"> </w:t>
        </w:r>
        <w:r w:rsidRPr="007B7AE8">
          <w:rPr>
            <w:rStyle w:val="Lienhypertexte"/>
            <w:rFonts w:ascii="Times New Roman" w:hAnsi="Times New Roman"/>
            <w:noProof/>
          </w:rPr>
          <w:t>résumé de l’analyse de la modification du paysage</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_Toc207781870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147</w:t>
        </w:r>
        <w:r w:rsidRPr="007B7AE8">
          <w:rPr>
            <w:rFonts w:ascii="Times New Roman" w:hAnsi="Times New Roman"/>
            <w:noProof/>
            <w:webHidden/>
          </w:rPr>
          <w:fldChar w:fldCharType="end"/>
        </w:r>
      </w:hyperlink>
    </w:p>
    <w:p w14:paraId="2AB4E4BE" w14:textId="369DA5BF"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71" w:history="1">
        <w:r w:rsidRPr="007B7AE8">
          <w:rPr>
            <w:rStyle w:val="Lienhypertexte"/>
            <w:rFonts w:ascii="Times New Roman" w:hAnsi="Times New Roman"/>
            <w:noProof/>
          </w:rPr>
          <w:t>Tableau 30 :</w:t>
        </w:r>
        <w:r w:rsidRPr="007B7AE8">
          <w:rPr>
            <w:rStyle w:val="Lienhypertexte"/>
            <w:rFonts w:ascii="Times New Roman" w:hAnsi="Times New Roman"/>
            <w:noProof/>
            <w:spacing w:val="44"/>
          </w:rPr>
          <w:t xml:space="preserve"> </w:t>
        </w:r>
        <w:r w:rsidRPr="007B7AE8">
          <w:rPr>
            <w:rStyle w:val="Lienhypertexte"/>
            <w:rFonts w:ascii="Times New Roman" w:hAnsi="Times New Roman"/>
            <w:noProof/>
          </w:rPr>
          <w:t>résumé</w:t>
        </w:r>
        <w:r w:rsidRPr="007B7AE8">
          <w:rPr>
            <w:rStyle w:val="Lienhypertexte"/>
            <w:rFonts w:ascii="Times New Roman" w:hAnsi="Times New Roman"/>
            <w:noProof/>
            <w:spacing w:val="53"/>
          </w:rPr>
          <w:t xml:space="preserve"> </w:t>
        </w:r>
        <w:r w:rsidRPr="007B7AE8">
          <w:rPr>
            <w:rStyle w:val="Lienhypertexte"/>
            <w:rFonts w:ascii="Times New Roman" w:hAnsi="Times New Roman"/>
            <w:noProof/>
          </w:rPr>
          <w:t>de</w:t>
        </w:r>
        <w:r w:rsidRPr="007B7AE8">
          <w:rPr>
            <w:rStyle w:val="Lienhypertexte"/>
            <w:rFonts w:ascii="Times New Roman" w:hAnsi="Times New Roman"/>
            <w:noProof/>
            <w:spacing w:val="50"/>
          </w:rPr>
          <w:t xml:space="preserve"> </w:t>
        </w:r>
        <w:r w:rsidRPr="007B7AE8">
          <w:rPr>
            <w:rStyle w:val="Lienhypertexte"/>
            <w:rFonts w:ascii="Times New Roman" w:hAnsi="Times New Roman"/>
            <w:noProof/>
          </w:rPr>
          <w:t>l’évaluation</w:t>
        </w:r>
        <w:r w:rsidRPr="007B7AE8">
          <w:rPr>
            <w:rStyle w:val="Lienhypertexte"/>
            <w:rFonts w:ascii="Times New Roman" w:hAnsi="Times New Roman"/>
            <w:noProof/>
            <w:spacing w:val="54"/>
          </w:rPr>
          <w:t xml:space="preserve"> </w:t>
        </w:r>
        <w:r w:rsidRPr="007B7AE8">
          <w:rPr>
            <w:rStyle w:val="Lienhypertexte"/>
            <w:rFonts w:ascii="Times New Roman" w:hAnsi="Times New Roman"/>
            <w:noProof/>
          </w:rPr>
          <w:t>du</w:t>
        </w:r>
        <w:r w:rsidRPr="007B7AE8">
          <w:rPr>
            <w:rStyle w:val="Lienhypertexte"/>
            <w:rFonts w:ascii="Times New Roman" w:hAnsi="Times New Roman"/>
            <w:noProof/>
            <w:spacing w:val="52"/>
          </w:rPr>
          <w:t xml:space="preserve"> </w:t>
        </w:r>
        <w:r w:rsidRPr="007B7AE8">
          <w:rPr>
            <w:rStyle w:val="Lienhypertexte"/>
            <w:rFonts w:ascii="Times New Roman" w:hAnsi="Times New Roman"/>
            <w:noProof/>
          </w:rPr>
          <w:t>risque</w:t>
        </w:r>
        <w:r w:rsidRPr="007B7AE8">
          <w:rPr>
            <w:rStyle w:val="Lienhypertexte"/>
            <w:rFonts w:ascii="Times New Roman" w:hAnsi="Times New Roman"/>
            <w:noProof/>
            <w:spacing w:val="53"/>
          </w:rPr>
          <w:t xml:space="preserve"> </w:t>
        </w:r>
        <w:r w:rsidRPr="007B7AE8">
          <w:rPr>
            <w:rStyle w:val="Lienhypertexte"/>
            <w:rFonts w:ascii="Times New Roman" w:hAnsi="Times New Roman"/>
            <w:noProof/>
          </w:rPr>
          <w:t>de</w:t>
        </w:r>
        <w:r w:rsidRPr="007B7AE8">
          <w:rPr>
            <w:rStyle w:val="Lienhypertexte"/>
            <w:rFonts w:ascii="Times New Roman" w:hAnsi="Times New Roman"/>
            <w:noProof/>
            <w:spacing w:val="53"/>
          </w:rPr>
          <w:t xml:space="preserve"> </w:t>
        </w:r>
        <w:r w:rsidRPr="007B7AE8">
          <w:rPr>
            <w:rStyle w:val="Lienhypertexte"/>
            <w:rFonts w:ascii="Times New Roman" w:hAnsi="Times New Roman"/>
            <w:noProof/>
          </w:rPr>
          <w:t>pollution</w:t>
        </w:r>
        <w:r w:rsidRPr="007B7AE8">
          <w:rPr>
            <w:rStyle w:val="Lienhypertexte"/>
            <w:rFonts w:ascii="Times New Roman" w:hAnsi="Times New Roman"/>
            <w:noProof/>
            <w:spacing w:val="52"/>
          </w:rPr>
          <w:t xml:space="preserve"> </w:t>
        </w:r>
        <w:r w:rsidRPr="007B7AE8">
          <w:rPr>
            <w:rStyle w:val="Lienhypertexte"/>
            <w:rFonts w:ascii="Times New Roman" w:hAnsi="Times New Roman"/>
            <w:noProof/>
          </w:rPr>
          <w:t>des</w:t>
        </w:r>
        <w:r w:rsidRPr="007B7AE8">
          <w:rPr>
            <w:rStyle w:val="Lienhypertexte"/>
            <w:rFonts w:ascii="Times New Roman" w:hAnsi="Times New Roman"/>
            <w:noProof/>
            <w:spacing w:val="53"/>
          </w:rPr>
          <w:t xml:space="preserve"> </w:t>
        </w:r>
        <w:r w:rsidRPr="007B7AE8">
          <w:rPr>
            <w:rStyle w:val="Lienhypertexte"/>
            <w:rFonts w:ascii="Times New Roman" w:hAnsi="Times New Roman"/>
            <w:noProof/>
            <w:spacing w:val="-4"/>
          </w:rPr>
          <w:t>sols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_Toc207781871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148</w:t>
        </w:r>
        <w:r w:rsidRPr="007B7AE8">
          <w:rPr>
            <w:rFonts w:ascii="Times New Roman" w:hAnsi="Times New Roman"/>
            <w:noProof/>
            <w:webHidden/>
          </w:rPr>
          <w:fldChar w:fldCharType="end"/>
        </w:r>
      </w:hyperlink>
    </w:p>
    <w:p w14:paraId="78B80CB6" w14:textId="7FFEECE3"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72" w:history="1">
        <w:r w:rsidRPr="007B7AE8">
          <w:rPr>
            <w:rStyle w:val="Lienhypertexte"/>
            <w:rFonts w:ascii="Times New Roman" w:hAnsi="Times New Roman"/>
            <w:noProof/>
          </w:rPr>
          <w:t>Tableau 31 :</w:t>
        </w:r>
        <w:r w:rsidRPr="007B7AE8">
          <w:rPr>
            <w:rStyle w:val="Lienhypertexte"/>
            <w:rFonts w:ascii="Times New Roman" w:hAnsi="Times New Roman"/>
            <w:noProof/>
            <w:spacing w:val="40"/>
          </w:rPr>
          <w:t xml:space="preserve"> </w:t>
        </w:r>
        <w:r w:rsidRPr="007B7AE8">
          <w:rPr>
            <w:rStyle w:val="Lienhypertexte"/>
            <w:rFonts w:ascii="Times New Roman" w:hAnsi="Times New Roman"/>
            <w:noProof/>
          </w:rPr>
          <w:t>résumé de l’évaluation du risque de frustrations et de conflits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_Toc207781872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149</w:t>
        </w:r>
        <w:r w:rsidRPr="007B7AE8">
          <w:rPr>
            <w:rFonts w:ascii="Times New Roman" w:hAnsi="Times New Roman"/>
            <w:noProof/>
            <w:webHidden/>
          </w:rPr>
          <w:fldChar w:fldCharType="end"/>
        </w:r>
      </w:hyperlink>
    </w:p>
    <w:p w14:paraId="47CC8B17" w14:textId="3BCEE1F6"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73" w:history="1">
        <w:r w:rsidRPr="007B7AE8">
          <w:rPr>
            <w:rStyle w:val="Lienhypertexte"/>
            <w:rFonts w:ascii="Times New Roman" w:hAnsi="Times New Roman"/>
            <w:bCs/>
            <w:iCs/>
            <w:noProof/>
          </w:rPr>
          <w:t>Tableau 32 :</w:t>
        </w:r>
        <w:r w:rsidRPr="007B7AE8">
          <w:rPr>
            <w:rStyle w:val="Lienhypertexte"/>
            <w:rFonts w:ascii="Times New Roman" w:hAnsi="Times New Roman"/>
            <w:bCs/>
            <w:iCs/>
            <w:noProof/>
            <w:spacing w:val="48"/>
          </w:rPr>
          <w:t xml:space="preserve"> </w:t>
        </w:r>
        <w:r w:rsidRPr="007B7AE8">
          <w:rPr>
            <w:rStyle w:val="Lienhypertexte"/>
            <w:rFonts w:ascii="Times New Roman" w:hAnsi="Times New Roman"/>
            <w:bCs/>
            <w:iCs/>
            <w:noProof/>
          </w:rPr>
          <w:t>résumé</w:t>
        </w:r>
        <w:r w:rsidRPr="007B7AE8">
          <w:rPr>
            <w:rStyle w:val="Lienhypertexte"/>
            <w:rFonts w:ascii="Times New Roman" w:hAnsi="Times New Roman"/>
            <w:bCs/>
            <w:iCs/>
            <w:noProof/>
            <w:spacing w:val="57"/>
          </w:rPr>
          <w:t xml:space="preserve"> </w:t>
        </w:r>
        <w:r w:rsidRPr="007B7AE8">
          <w:rPr>
            <w:rStyle w:val="Lienhypertexte"/>
            <w:rFonts w:ascii="Times New Roman" w:hAnsi="Times New Roman"/>
            <w:bCs/>
            <w:iCs/>
            <w:noProof/>
          </w:rPr>
          <w:t>de</w:t>
        </w:r>
        <w:r w:rsidRPr="007B7AE8">
          <w:rPr>
            <w:rStyle w:val="Lienhypertexte"/>
            <w:rFonts w:ascii="Times New Roman" w:hAnsi="Times New Roman"/>
            <w:bCs/>
            <w:iCs/>
            <w:noProof/>
            <w:spacing w:val="48"/>
          </w:rPr>
          <w:t xml:space="preserve"> </w:t>
        </w:r>
        <w:r w:rsidRPr="007B7AE8">
          <w:rPr>
            <w:rStyle w:val="Lienhypertexte"/>
            <w:rFonts w:ascii="Times New Roman" w:hAnsi="Times New Roman"/>
            <w:bCs/>
            <w:iCs/>
            <w:noProof/>
          </w:rPr>
          <w:t>l’évaluation</w:t>
        </w:r>
        <w:r w:rsidRPr="007B7AE8">
          <w:rPr>
            <w:rStyle w:val="Lienhypertexte"/>
            <w:rFonts w:ascii="Times New Roman" w:hAnsi="Times New Roman"/>
            <w:bCs/>
            <w:iCs/>
            <w:noProof/>
            <w:spacing w:val="56"/>
          </w:rPr>
          <w:t xml:space="preserve"> </w:t>
        </w:r>
        <w:r w:rsidRPr="007B7AE8">
          <w:rPr>
            <w:rStyle w:val="Lienhypertexte"/>
            <w:rFonts w:ascii="Times New Roman" w:hAnsi="Times New Roman"/>
            <w:bCs/>
            <w:iCs/>
            <w:noProof/>
          </w:rPr>
          <w:t>du</w:t>
        </w:r>
        <w:r w:rsidRPr="007B7AE8">
          <w:rPr>
            <w:rStyle w:val="Lienhypertexte"/>
            <w:rFonts w:ascii="Times New Roman" w:hAnsi="Times New Roman"/>
            <w:bCs/>
            <w:iCs/>
            <w:noProof/>
            <w:spacing w:val="55"/>
          </w:rPr>
          <w:t xml:space="preserve"> </w:t>
        </w:r>
        <w:r w:rsidRPr="007B7AE8">
          <w:rPr>
            <w:rStyle w:val="Lienhypertexte"/>
            <w:rFonts w:ascii="Times New Roman" w:hAnsi="Times New Roman"/>
            <w:bCs/>
            <w:iCs/>
            <w:noProof/>
          </w:rPr>
          <w:t>risque</w:t>
        </w:r>
        <w:r w:rsidRPr="007B7AE8">
          <w:rPr>
            <w:rStyle w:val="Lienhypertexte"/>
            <w:rFonts w:ascii="Times New Roman" w:hAnsi="Times New Roman"/>
            <w:bCs/>
            <w:iCs/>
            <w:noProof/>
            <w:spacing w:val="63"/>
          </w:rPr>
          <w:t xml:space="preserve"> d’</w:t>
        </w:r>
        <w:r w:rsidRPr="007B7AE8">
          <w:rPr>
            <w:rStyle w:val="Lienhypertexte"/>
            <w:rFonts w:ascii="Times New Roman" w:hAnsi="Times New Roman"/>
            <w:bCs/>
            <w:iCs/>
            <w:noProof/>
          </w:rPr>
          <w:t>accident</w:t>
        </w:r>
        <w:r w:rsidRPr="007B7AE8">
          <w:rPr>
            <w:rStyle w:val="Lienhypertexte"/>
            <w:rFonts w:ascii="Times New Roman" w:hAnsi="Times New Roman"/>
            <w:bCs/>
            <w:iCs/>
            <w:noProof/>
            <w:spacing w:val="60"/>
          </w:rPr>
          <w:t xml:space="preserve"> </w:t>
        </w:r>
        <w:r w:rsidRPr="007B7AE8">
          <w:rPr>
            <w:rStyle w:val="Lienhypertexte"/>
            <w:rFonts w:ascii="Times New Roman" w:hAnsi="Times New Roman"/>
            <w:bCs/>
            <w:iCs/>
            <w:noProof/>
          </w:rPr>
          <w:t>de la circulation associé au matériel roulant</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_Toc207781873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149</w:t>
        </w:r>
        <w:r w:rsidRPr="007B7AE8">
          <w:rPr>
            <w:rFonts w:ascii="Times New Roman" w:hAnsi="Times New Roman"/>
            <w:noProof/>
            <w:webHidden/>
          </w:rPr>
          <w:fldChar w:fldCharType="end"/>
        </w:r>
      </w:hyperlink>
    </w:p>
    <w:p w14:paraId="0D00DDA1" w14:textId="6A814D76"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74" w:history="1">
        <w:r w:rsidRPr="007B7AE8">
          <w:rPr>
            <w:rStyle w:val="Lienhypertexte"/>
            <w:rFonts w:ascii="Times New Roman" w:hAnsi="Times New Roman"/>
            <w:noProof/>
          </w:rPr>
          <w:t>Tableau 33 :</w:t>
        </w:r>
        <w:r w:rsidRPr="007B7AE8">
          <w:rPr>
            <w:rStyle w:val="Lienhypertexte"/>
            <w:rFonts w:ascii="Times New Roman" w:hAnsi="Times New Roman"/>
            <w:noProof/>
            <w:spacing w:val="44"/>
          </w:rPr>
          <w:t xml:space="preserve"> </w:t>
        </w:r>
        <w:r w:rsidRPr="007B7AE8">
          <w:rPr>
            <w:rStyle w:val="Lienhypertexte"/>
            <w:rFonts w:ascii="Times New Roman" w:hAnsi="Times New Roman"/>
            <w:noProof/>
          </w:rPr>
          <w:t>résumé</w:t>
        </w:r>
        <w:r w:rsidRPr="007B7AE8">
          <w:rPr>
            <w:rStyle w:val="Lienhypertexte"/>
            <w:rFonts w:ascii="Times New Roman" w:hAnsi="Times New Roman"/>
            <w:noProof/>
            <w:spacing w:val="54"/>
          </w:rPr>
          <w:t xml:space="preserve"> </w:t>
        </w:r>
        <w:r w:rsidRPr="007B7AE8">
          <w:rPr>
            <w:rStyle w:val="Lienhypertexte"/>
            <w:rFonts w:ascii="Times New Roman" w:hAnsi="Times New Roman"/>
            <w:noProof/>
          </w:rPr>
          <w:t>de</w:t>
        </w:r>
        <w:r w:rsidRPr="007B7AE8">
          <w:rPr>
            <w:rStyle w:val="Lienhypertexte"/>
            <w:rFonts w:ascii="Times New Roman" w:hAnsi="Times New Roman"/>
            <w:noProof/>
            <w:spacing w:val="45"/>
          </w:rPr>
          <w:t xml:space="preserve"> </w:t>
        </w:r>
        <w:r w:rsidRPr="007B7AE8">
          <w:rPr>
            <w:rStyle w:val="Lienhypertexte"/>
            <w:rFonts w:ascii="Times New Roman" w:hAnsi="Times New Roman"/>
            <w:noProof/>
          </w:rPr>
          <w:t>l’évaluation</w:t>
        </w:r>
        <w:r w:rsidRPr="007B7AE8">
          <w:rPr>
            <w:rStyle w:val="Lienhypertexte"/>
            <w:rFonts w:ascii="Times New Roman" w:hAnsi="Times New Roman"/>
            <w:noProof/>
            <w:spacing w:val="52"/>
          </w:rPr>
          <w:t xml:space="preserve"> </w:t>
        </w:r>
        <w:r w:rsidRPr="007B7AE8">
          <w:rPr>
            <w:rStyle w:val="Lienhypertexte"/>
            <w:rFonts w:ascii="Times New Roman" w:hAnsi="Times New Roman"/>
            <w:noProof/>
          </w:rPr>
          <w:t>du</w:t>
        </w:r>
        <w:r w:rsidRPr="007B7AE8">
          <w:rPr>
            <w:rStyle w:val="Lienhypertexte"/>
            <w:rFonts w:ascii="Times New Roman" w:hAnsi="Times New Roman"/>
            <w:noProof/>
            <w:spacing w:val="52"/>
          </w:rPr>
          <w:t xml:space="preserve"> </w:t>
        </w:r>
        <w:r w:rsidRPr="007B7AE8">
          <w:rPr>
            <w:rStyle w:val="Lienhypertexte"/>
            <w:rFonts w:ascii="Times New Roman" w:hAnsi="Times New Roman"/>
            <w:noProof/>
          </w:rPr>
          <w:t>risque</w:t>
        </w:r>
        <w:r w:rsidRPr="007B7AE8">
          <w:rPr>
            <w:rStyle w:val="Lienhypertexte"/>
            <w:rFonts w:ascii="Times New Roman" w:hAnsi="Times New Roman"/>
            <w:noProof/>
            <w:spacing w:val="60"/>
          </w:rPr>
          <w:t xml:space="preserve"> </w:t>
        </w:r>
        <w:r w:rsidRPr="007B7AE8">
          <w:rPr>
            <w:rStyle w:val="Lienhypertexte"/>
            <w:rFonts w:ascii="Times New Roman" w:hAnsi="Times New Roman"/>
            <w:noProof/>
            <w:spacing w:val="-4"/>
          </w:rPr>
          <w:t>d’IRA</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_Toc207781874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150</w:t>
        </w:r>
        <w:r w:rsidRPr="007B7AE8">
          <w:rPr>
            <w:rFonts w:ascii="Times New Roman" w:hAnsi="Times New Roman"/>
            <w:noProof/>
            <w:webHidden/>
          </w:rPr>
          <w:fldChar w:fldCharType="end"/>
        </w:r>
      </w:hyperlink>
    </w:p>
    <w:p w14:paraId="75432F05" w14:textId="0B8D8C37"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75" w:history="1">
        <w:r w:rsidRPr="007B7AE8">
          <w:rPr>
            <w:rStyle w:val="Lienhypertexte"/>
            <w:rFonts w:ascii="Times New Roman" w:hAnsi="Times New Roman"/>
            <w:bCs/>
            <w:iCs/>
            <w:noProof/>
          </w:rPr>
          <w:t>Tableau 34 : répercussion de l’exposition aux bruits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_Toc207781875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151</w:t>
        </w:r>
        <w:r w:rsidRPr="007B7AE8">
          <w:rPr>
            <w:rFonts w:ascii="Times New Roman" w:hAnsi="Times New Roman"/>
            <w:noProof/>
            <w:webHidden/>
          </w:rPr>
          <w:fldChar w:fldCharType="end"/>
        </w:r>
      </w:hyperlink>
    </w:p>
    <w:p w14:paraId="2D6FC23C" w14:textId="13ED93F4"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76" w:history="1">
        <w:r w:rsidRPr="007B7AE8">
          <w:rPr>
            <w:rStyle w:val="Lienhypertexte"/>
            <w:rFonts w:ascii="Times New Roman" w:hAnsi="Times New Roman"/>
            <w:bCs/>
            <w:iCs/>
            <w:noProof/>
          </w:rPr>
          <w:t>Tableau 35 :</w:t>
        </w:r>
        <w:r w:rsidRPr="007B7AE8">
          <w:rPr>
            <w:rStyle w:val="Lienhypertexte"/>
            <w:rFonts w:ascii="Times New Roman" w:hAnsi="Times New Roman"/>
            <w:bCs/>
            <w:iCs/>
            <w:noProof/>
            <w:spacing w:val="49"/>
          </w:rPr>
          <w:t xml:space="preserve"> </w:t>
        </w:r>
        <w:r w:rsidRPr="007B7AE8">
          <w:rPr>
            <w:rStyle w:val="Lienhypertexte"/>
            <w:rFonts w:ascii="Times New Roman" w:hAnsi="Times New Roman"/>
            <w:bCs/>
            <w:iCs/>
            <w:noProof/>
          </w:rPr>
          <w:t>résumé</w:t>
        </w:r>
        <w:r w:rsidRPr="007B7AE8">
          <w:rPr>
            <w:rStyle w:val="Lienhypertexte"/>
            <w:rFonts w:ascii="Times New Roman" w:hAnsi="Times New Roman"/>
            <w:bCs/>
            <w:iCs/>
            <w:noProof/>
            <w:spacing w:val="59"/>
          </w:rPr>
          <w:t xml:space="preserve"> </w:t>
        </w:r>
        <w:r w:rsidRPr="007B7AE8">
          <w:rPr>
            <w:rStyle w:val="Lienhypertexte"/>
            <w:rFonts w:ascii="Times New Roman" w:hAnsi="Times New Roman"/>
            <w:bCs/>
            <w:iCs/>
            <w:noProof/>
          </w:rPr>
          <w:t>de</w:t>
        </w:r>
        <w:r w:rsidRPr="007B7AE8">
          <w:rPr>
            <w:rStyle w:val="Lienhypertexte"/>
            <w:rFonts w:ascii="Times New Roman" w:hAnsi="Times New Roman"/>
            <w:bCs/>
            <w:iCs/>
            <w:noProof/>
            <w:spacing w:val="56"/>
          </w:rPr>
          <w:t xml:space="preserve"> </w:t>
        </w:r>
        <w:r w:rsidRPr="007B7AE8">
          <w:rPr>
            <w:rStyle w:val="Lienhypertexte"/>
            <w:rFonts w:ascii="Times New Roman" w:hAnsi="Times New Roman"/>
            <w:bCs/>
            <w:iCs/>
            <w:noProof/>
          </w:rPr>
          <w:t>l’évaluation</w:t>
        </w:r>
        <w:r w:rsidRPr="007B7AE8">
          <w:rPr>
            <w:rStyle w:val="Lienhypertexte"/>
            <w:rFonts w:ascii="Times New Roman" w:hAnsi="Times New Roman"/>
            <w:bCs/>
            <w:iCs/>
            <w:noProof/>
            <w:spacing w:val="57"/>
          </w:rPr>
          <w:t xml:space="preserve"> </w:t>
        </w:r>
        <w:r w:rsidRPr="007B7AE8">
          <w:rPr>
            <w:rStyle w:val="Lienhypertexte"/>
            <w:rFonts w:ascii="Times New Roman" w:hAnsi="Times New Roman"/>
            <w:bCs/>
            <w:iCs/>
            <w:noProof/>
          </w:rPr>
          <w:t>de</w:t>
        </w:r>
        <w:r w:rsidRPr="007B7AE8">
          <w:rPr>
            <w:rStyle w:val="Lienhypertexte"/>
            <w:rFonts w:ascii="Times New Roman" w:hAnsi="Times New Roman"/>
            <w:bCs/>
            <w:iCs/>
            <w:noProof/>
            <w:spacing w:val="59"/>
          </w:rPr>
          <w:t xml:space="preserve"> </w:t>
        </w:r>
        <w:r w:rsidRPr="007B7AE8">
          <w:rPr>
            <w:rStyle w:val="Lienhypertexte"/>
            <w:rFonts w:ascii="Times New Roman" w:hAnsi="Times New Roman"/>
            <w:bCs/>
            <w:iCs/>
            <w:noProof/>
          </w:rPr>
          <w:t>la</w:t>
        </w:r>
        <w:r w:rsidRPr="007B7AE8">
          <w:rPr>
            <w:rStyle w:val="Lienhypertexte"/>
            <w:rFonts w:ascii="Times New Roman" w:hAnsi="Times New Roman"/>
            <w:bCs/>
            <w:iCs/>
            <w:noProof/>
            <w:spacing w:val="49"/>
          </w:rPr>
          <w:t xml:space="preserve"> </w:t>
        </w:r>
        <w:r w:rsidRPr="007B7AE8">
          <w:rPr>
            <w:rStyle w:val="Lienhypertexte"/>
            <w:rFonts w:ascii="Times New Roman" w:hAnsi="Times New Roman"/>
            <w:bCs/>
            <w:iCs/>
            <w:noProof/>
          </w:rPr>
          <w:t>modification</w:t>
        </w:r>
        <w:r w:rsidRPr="007B7AE8">
          <w:rPr>
            <w:rStyle w:val="Lienhypertexte"/>
            <w:rFonts w:ascii="Times New Roman" w:hAnsi="Times New Roman"/>
            <w:bCs/>
            <w:iCs/>
            <w:noProof/>
            <w:spacing w:val="57"/>
          </w:rPr>
          <w:t xml:space="preserve"> </w:t>
        </w:r>
        <w:r w:rsidRPr="007B7AE8">
          <w:rPr>
            <w:rStyle w:val="Lienhypertexte"/>
            <w:rFonts w:ascii="Times New Roman" w:hAnsi="Times New Roman"/>
            <w:bCs/>
            <w:iCs/>
            <w:noProof/>
          </w:rPr>
          <w:t>de</w:t>
        </w:r>
        <w:r w:rsidRPr="007B7AE8">
          <w:rPr>
            <w:rStyle w:val="Lienhypertexte"/>
            <w:rFonts w:ascii="Times New Roman" w:hAnsi="Times New Roman"/>
            <w:bCs/>
            <w:iCs/>
            <w:noProof/>
            <w:spacing w:val="59"/>
          </w:rPr>
          <w:t xml:space="preserve"> </w:t>
        </w:r>
        <w:r w:rsidRPr="007B7AE8">
          <w:rPr>
            <w:rStyle w:val="Lienhypertexte"/>
            <w:rFonts w:ascii="Times New Roman" w:hAnsi="Times New Roman"/>
            <w:bCs/>
            <w:iCs/>
            <w:noProof/>
          </w:rPr>
          <w:t>l’ambiance</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_Toc207781876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152</w:t>
        </w:r>
        <w:r w:rsidRPr="007B7AE8">
          <w:rPr>
            <w:rFonts w:ascii="Times New Roman" w:hAnsi="Times New Roman"/>
            <w:noProof/>
            <w:webHidden/>
          </w:rPr>
          <w:fldChar w:fldCharType="end"/>
        </w:r>
      </w:hyperlink>
    </w:p>
    <w:p w14:paraId="337B5589" w14:textId="07C1C5AC"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77" w:history="1">
        <w:r w:rsidRPr="007B7AE8">
          <w:rPr>
            <w:rStyle w:val="Lienhypertexte"/>
            <w:rFonts w:ascii="Times New Roman" w:hAnsi="Times New Roman"/>
            <w:noProof/>
          </w:rPr>
          <w:t>Tableau 36 : résumé de l’analyse des pertes définitives d’accès à des aires de sport</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_Toc207781877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152</w:t>
        </w:r>
        <w:r w:rsidRPr="007B7AE8">
          <w:rPr>
            <w:rFonts w:ascii="Times New Roman" w:hAnsi="Times New Roman"/>
            <w:noProof/>
            <w:webHidden/>
          </w:rPr>
          <w:fldChar w:fldCharType="end"/>
        </w:r>
      </w:hyperlink>
    </w:p>
    <w:p w14:paraId="1D8D252A" w14:textId="4FC484E2"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78" w:history="1">
        <w:r w:rsidRPr="007B7AE8">
          <w:rPr>
            <w:rStyle w:val="Lienhypertexte"/>
            <w:rFonts w:ascii="Times New Roman" w:hAnsi="Times New Roman"/>
            <w:noProof/>
          </w:rPr>
          <w:t>Tableau 37 : résumé de l’analyse du risque de découvertes fortuites de vestiges culturels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_Toc207781878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153</w:t>
        </w:r>
        <w:r w:rsidRPr="007B7AE8">
          <w:rPr>
            <w:rFonts w:ascii="Times New Roman" w:hAnsi="Times New Roman"/>
            <w:noProof/>
            <w:webHidden/>
          </w:rPr>
          <w:fldChar w:fldCharType="end"/>
        </w:r>
      </w:hyperlink>
    </w:p>
    <w:p w14:paraId="4AD77F2B" w14:textId="1C721578"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79" w:history="1">
        <w:r w:rsidRPr="007B7AE8">
          <w:rPr>
            <w:rStyle w:val="Lienhypertexte"/>
            <w:rFonts w:ascii="Times New Roman" w:hAnsi="Times New Roman"/>
            <w:noProof/>
          </w:rPr>
          <w:t>Tableau 38 :</w:t>
        </w:r>
        <w:r w:rsidRPr="007B7AE8">
          <w:rPr>
            <w:rStyle w:val="Lienhypertexte"/>
            <w:rFonts w:ascii="Times New Roman" w:hAnsi="Times New Roman"/>
            <w:noProof/>
            <w:spacing w:val="44"/>
          </w:rPr>
          <w:t xml:space="preserve"> </w:t>
        </w:r>
        <w:r w:rsidRPr="007B7AE8">
          <w:rPr>
            <w:rStyle w:val="Lienhypertexte"/>
            <w:rFonts w:ascii="Times New Roman" w:hAnsi="Times New Roman"/>
            <w:noProof/>
          </w:rPr>
          <w:t>résumé</w:t>
        </w:r>
        <w:r w:rsidRPr="007B7AE8">
          <w:rPr>
            <w:rStyle w:val="Lienhypertexte"/>
            <w:rFonts w:ascii="Times New Roman" w:hAnsi="Times New Roman"/>
            <w:noProof/>
            <w:spacing w:val="51"/>
          </w:rPr>
          <w:t xml:space="preserve"> </w:t>
        </w:r>
        <w:r w:rsidRPr="007B7AE8">
          <w:rPr>
            <w:rStyle w:val="Lienhypertexte"/>
            <w:rFonts w:ascii="Times New Roman" w:hAnsi="Times New Roman"/>
            <w:noProof/>
          </w:rPr>
          <w:t>de</w:t>
        </w:r>
        <w:r w:rsidRPr="007B7AE8">
          <w:rPr>
            <w:rStyle w:val="Lienhypertexte"/>
            <w:rFonts w:ascii="Times New Roman" w:hAnsi="Times New Roman"/>
            <w:noProof/>
            <w:spacing w:val="51"/>
          </w:rPr>
          <w:t xml:space="preserve"> </w:t>
        </w:r>
        <w:r w:rsidRPr="007B7AE8">
          <w:rPr>
            <w:rStyle w:val="Lienhypertexte"/>
            <w:rFonts w:ascii="Times New Roman" w:hAnsi="Times New Roman"/>
            <w:noProof/>
          </w:rPr>
          <w:t>l’évaluation</w:t>
        </w:r>
        <w:r w:rsidRPr="007B7AE8">
          <w:rPr>
            <w:rStyle w:val="Lienhypertexte"/>
            <w:rFonts w:ascii="Times New Roman" w:hAnsi="Times New Roman"/>
            <w:noProof/>
            <w:spacing w:val="53"/>
          </w:rPr>
          <w:t xml:space="preserve"> </w:t>
        </w:r>
        <w:r w:rsidRPr="007B7AE8">
          <w:rPr>
            <w:rStyle w:val="Lienhypertexte"/>
            <w:rFonts w:ascii="Times New Roman" w:hAnsi="Times New Roman"/>
            <w:noProof/>
          </w:rPr>
          <w:t>du</w:t>
        </w:r>
        <w:r w:rsidRPr="007B7AE8">
          <w:rPr>
            <w:rStyle w:val="Lienhypertexte"/>
            <w:rFonts w:ascii="Times New Roman" w:hAnsi="Times New Roman"/>
            <w:noProof/>
            <w:spacing w:val="54"/>
          </w:rPr>
          <w:t xml:space="preserve"> </w:t>
        </w:r>
        <w:r w:rsidRPr="007B7AE8">
          <w:rPr>
            <w:rStyle w:val="Lienhypertexte"/>
            <w:rFonts w:ascii="Times New Roman" w:hAnsi="Times New Roman"/>
            <w:noProof/>
          </w:rPr>
          <w:t>risque d’</w:t>
        </w:r>
        <w:r w:rsidRPr="007B7AE8">
          <w:rPr>
            <w:rStyle w:val="Lienhypertexte"/>
            <w:rFonts w:ascii="Times New Roman" w:hAnsi="Times New Roman"/>
            <w:noProof/>
            <w:spacing w:val="-5"/>
          </w:rPr>
          <w:t>EAS/HS-VCE</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_Toc207781879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153</w:t>
        </w:r>
        <w:r w:rsidRPr="007B7AE8">
          <w:rPr>
            <w:rFonts w:ascii="Times New Roman" w:hAnsi="Times New Roman"/>
            <w:noProof/>
            <w:webHidden/>
          </w:rPr>
          <w:fldChar w:fldCharType="end"/>
        </w:r>
      </w:hyperlink>
    </w:p>
    <w:p w14:paraId="48367654" w14:textId="3D4853F4"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80" w:history="1">
        <w:r w:rsidRPr="007B7AE8">
          <w:rPr>
            <w:rStyle w:val="Lienhypertexte"/>
            <w:rFonts w:ascii="Times New Roman" w:hAnsi="Times New Roman"/>
            <w:noProof/>
          </w:rPr>
          <w:t>Tableau 39 : résumé de l’évaluation du risque d’IST/VIH-SIDA</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_Toc207781880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154</w:t>
        </w:r>
        <w:r w:rsidRPr="007B7AE8">
          <w:rPr>
            <w:rFonts w:ascii="Times New Roman" w:hAnsi="Times New Roman"/>
            <w:noProof/>
            <w:webHidden/>
          </w:rPr>
          <w:fldChar w:fldCharType="end"/>
        </w:r>
      </w:hyperlink>
    </w:p>
    <w:p w14:paraId="6C6648F5" w14:textId="40917C5C"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81" w:history="1">
        <w:r w:rsidRPr="007B7AE8">
          <w:rPr>
            <w:rStyle w:val="Lienhypertexte"/>
            <w:rFonts w:ascii="Times New Roman" w:hAnsi="Times New Roman"/>
            <w:noProof/>
          </w:rPr>
          <w:t>Tableau 40 : résumé de l’évaluation du risque de maladies liées à l’hygiène et la salubrité</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_Toc207781881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155</w:t>
        </w:r>
        <w:r w:rsidRPr="007B7AE8">
          <w:rPr>
            <w:rFonts w:ascii="Times New Roman" w:hAnsi="Times New Roman"/>
            <w:noProof/>
            <w:webHidden/>
          </w:rPr>
          <w:fldChar w:fldCharType="end"/>
        </w:r>
      </w:hyperlink>
    </w:p>
    <w:p w14:paraId="2B09D40B" w14:textId="0391D37C"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82" w:history="1">
        <w:r w:rsidRPr="007B7AE8">
          <w:rPr>
            <w:rStyle w:val="Lienhypertexte"/>
            <w:rFonts w:ascii="Times New Roman" w:hAnsi="Times New Roman"/>
            <w:noProof/>
          </w:rPr>
          <w:t>Tableau 41 : Résumé de l’évaluation du risque d’incendie/explosion</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_Toc207781882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156</w:t>
        </w:r>
        <w:r w:rsidRPr="007B7AE8">
          <w:rPr>
            <w:rFonts w:ascii="Times New Roman" w:hAnsi="Times New Roman"/>
            <w:noProof/>
            <w:webHidden/>
          </w:rPr>
          <w:fldChar w:fldCharType="end"/>
        </w:r>
      </w:hyperlink>
    </w:p>
    <w:p w14:paraId="33187932" w14:textId="7F11A6BA"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83" w:history="1">
        <w:r w:rsidRPr="007B7AE8">
          <w:rPr>
            <w:rStyle w:val="Lienhypertexte"/>
            <w:rFonts w:ascii="Times New Roman" w:hAnsi="Times New Roman"/>
            <w:noProof/>
          </w:rPr>
          <w:t>Tableau 42 : résumé de l’évaluation du risque de chute de plain-pied</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_Toc207781883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156</w:t>
        </w:r>
        <w:r w:rsidRPr="007B7AE8">
          <w:rPr>
            <w:rFonts w:ascii="Times New Roman" w:hAnsi="Times New Roman"/>
            <w:noProof/>
            <w:webHidden/>
          </w:rPr>
          <w:fldChar w:fldCharType="end"/>
        </w:r>
      </w:hyperlink>
    </w:p>
    <w:p w14:paraId="4CEE4CC7" w14:textId="2DC3B67E"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84" w:history="1">
        <w:r w:rsidRPr="007B7AE8">
          <w:rPr>
            <w:rStyle w:val="Lienhypertexte"/>
            <w:rFonts w:ascii="Times New Roman" w:hAnsi="Times New Roman"/>
            <w:noProof/>
          </w:rPr>
          <w:t>Tableau 43 : Résumé de l’évaluation du risque de blessures et maladies professionnelles liées à la manutention manuelle de charge</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_Toc207781884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157</w:t>
        </w:r>
        <w:r w:rsidRPr="007B7AE8">
          <w:rPr>
            <w:rFonts w:ascii="Times New Roman" w:hAnsi="Times New Roman"/>
            <w:noProof/>
            <w:webHidden/>
          </w:rPr>
          <w:fldChar w:fldCharType="end"/>
        </w:r>
      </w:hyperlink>
    </w:p>
    <w:p w14:paraId="6D04516C" w14:textId="5F22287A"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85" w:history="1">
        <w:r w:rsidRPr="007B7AE8">
          <w:rPr>
            <w:rStyle w:val="Lienhypertexte"/>
            <w:rFonts w:ascii="Times New Roman" w:hAnsi="Times New Roman"/>
            <w:noProof/>
          </w:rPr>
          <w:t>Tableau 44 : résumé du risque d’effondrement et de chutes d’objets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_Toc207781885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158</w:t>
        </w:r>
        <w:r w:rsidRPr="007B7AE8">
          <w:rPr>
            <w:rFonts w:ascii="Times New Roman" w:hAnsi="Times New Roman"/>
            <w:noProof/>
            <w:webHidden/>
          </w:rPr>
          <w:fldChar w:fldCharType="end"/>
        </w:r>
      </w:hyperlink>
    </w:p>
    <w:p w14:paraId="59B481FC" w14:textId="571249B1"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86" w:history="1">
        <w:r w:rsidRPr="007B7AE8">
          <w:rPr>
            <w:rStyle w:val="Lienhypertexte"/>
            <w:rFonts w:ascii="Times New Roman" w:hAnsi="Times New Roman"/>
            <w:noProof/>
          </w:rPr>
          <w:t>Tableau 45 : résumé de l’évaluation du risque d’acte de vandalisme</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_Toc207781886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159</w:t>
        </w:r>
        <w:r w:rsidRPr="007B7AE8">
          <w:rPr>
            <w:rFonts w:ascii="Times New Roman" w:hAnsi="Times New Roman"/>
            <w:noProof/>
            <w:webHidden/>
          </w:rPr>
          <w:fldChar w:fldCharType="end"/>
        </w:r>
      </w:hyperlink>
    </w:p>
    <w:p w14:paraId="7CEB9402" w14:textId="28869DB9"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87" w:history="1">
        <w:r w:rsidRPr="007B7AE8">
          <w:rPr>
            <w:rStyle w:val="Lienhypertexte"/>
            <w:rFonts w:ascii="Times New Roman" w:hAnsi="Times New Roman"/>
            <w:noProof/>
          </w:rPr>
          <w:t>Tableau 46 : Espèces végétales susceptibles d’être affectées par le projet.</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_Toc207781887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159</w:t>
        </w:r>
        <w:r w:rsidRPr="007B7AE8">
          <w:rPr>
            <w:rFonts w:ascii="Times New Roman" w:hAnsi="Times New Roman"/>
            <w:noProof/>
            <w:webHidden/>
          </w:rPr>
          <w:fldChar w:fldCharType="end"/>
        </w:r>
      </w:hyperlink>
    </w:p>
    <w:p w14:paraId="749A0D68" w14:textId="4FEB8713"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88" w:history="1">
        <w:r w:rsidRPr="007B7AE8">
          <w:rPr>
            <w:rStyle w:val="Lienhypertexte"/>
            <w:rFonts w:ascii="Times New Roman" w:hAnsi="Times New Roman"/>
            <w:noProof/>
          </w:rPr>
          <w:t>Tableau 47 : résumé de l’évaluation de la destruction de la végétation</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_Toc207781888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160</w:t>
        </w:r>
        <w:r w:rsidRPr="007B7AE8">
          <w:rPr>
            <w:rFonts w:ascii="Times New Roman" w:hAnsi="Times New Roman"/>
            <w:noProof/>
            <w:webHidden/>
          </w:rPr>
          <w:fldChar w:fldCharType="end"/>
        </w:r>
      </w:hyperlink>
    </w:p>
    <w:p w14:paraId="55013236" w14:textId="1E1AC822"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89" w:history="1">
        <w:r w:rsidRPr="007B7AE8">
          <w:rPr>
            <w:rStyle w:val="Lienhypertexte"/>
            <w:rFonts w:ascii="Times New Roman" w:hAnsi="Times New Roman"/>
            <w:noProof/>
          </w:rPr>
          <w:t>Tableau 48 : résumé de l’évaluation du dérangement de la faune</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_Toc207781889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160</w:t>
        </w:r>
        <w:r w:rsidRPr="007B7AE8">
          <w:rPr>
            <w:rFonts w:ascii="Times New Roman" w:hAnsi="Times New Roman"/>
            <w:noProof/>
            <w:webHidden/>
          </w:rPr>
          <w:fldChar w:fldCharType="end"/>
        </w:r>
      </w:hyperlink>
    </w:p>
    <w:p w14:paraId="29F01CF5" w14:textId="353AE046"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90" w:history="1">
        <w:r w:rsidRPr="007B7AE8">
          <w:rPr>
            <w:rStyle w:val="Lienhypertexte"/>
            <w:rFonts w:ascii="Times New Roman" w:hAnsi="Times New Roman"/>
            <w:noProof/>
          </w:rPr>
          <w:t>Tableau 49 : occupations actuelles des emprises des bassins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_Toc207781890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161</w:t>
        </w:r>
        <w:r w:rsidRPr="007B7AE8">
          <w:rPr>
            <w:rFonts w:ascii="Times New Roman" w:hAnsi="Times New Roman"/>
            <w:noProof/>
            <w:webHidden/>
          </w:rPr>
          <w:fldChar w:fldCharType="end"/>
        </w:r>
      </w:hyperlink>
    </w:p>
    <w:p w14:paraId="7B93A696" w14:textId="4CDEDAAF"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91" w:history="1">
        <w:r w:rsidRPr="007B7AE8">
          <w:rPr>
            <w:rStyle w:val="Lienhypertexte"/>
            <w:rFonts w:ascii="Times New Roman" w:hAnsi="Times New Roman"/>
            <w:noProof/>
          </w:rPr>
          <w:t>Tableau 50 : résumé de l’évaluation des Pertes/restriction d’accès temporaires ou définitives à des biens privés et des moyens d’existence des populations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_Toc207781891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161</w:t>
        </w:r>
        <w:r w:rsidRPr="007B7AE8">
          <w:rPr>
            <w:rFonts w:ascii="Times New Roman" w:hAnsi="Times New Roman"/>
            <w:noProof/>
            <w:webHidden/>
          </w:rPr>
          <w:fldChar w:fldCharType="end"/>
        </w:r>
      </w:hyperlink>
    </w:p>
    <w:p w14:paraId="6A6AC28C" w14:textId="4FBDA624"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92" w:history="1">
        <w:r w:rsidRPr="007B7AE8">
          <w:rPr>
            <w:rStyle w:val="Lienhypertexte"/>
            <w:rFonts w:ascii="Times New Roman" w:hAnsi="Times New Roman"/>
            <w:noProof/>
          </w:rPr>
          <w:t>Tableau 51 : résumé du risque de destruction des réseaux des concessionnaires et d’altération de la qualité de leurs services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_Toc207781892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162</w:t>
        </w:r>
        <w:r w:rsidRPr="007B7AE8">
          <w:rPr>
            <w:rFonts w:ascii="Times New Roman" w:hAnsi="Times New Roman"/>
            <w:noProof/>
            <w:webHidden/>
          </w:rPr>
          <w:fldChar w:fldCharType="end"/>
        </w:r>
      </w:hyperlink>
    </w:p>
    <w:p w14:paraId="1CB67105" w14:textId="20AA9756"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93" w:history="1">
        <w:r w:rsidRPr="007B7AE8">
          <w:rPr>
            <w:rStyle w:val="Lienhypertexte"/>
            <w:rFonts w:ascii="Times New Roman" w:hAnsi="Times New Roman"/>
            <w:bCs/>
            <w:iCs/>
            <w:noProof/>
          </w:rPr>
          <w:t>Tableau 52 :</w:t>
        </w:r>
        <w:r w:rsidRPr="007B7AE8">
          <w:rPr>
            <w:rStyle w:val="Lienhypertexte"/>
            <w:rFonts w:ascii="Times New Roman" w:hAnsi="Times New Roman"/>
            <w:bCs/>
            <w:iCs/>
            <w:noProof/>
            <w:spacing w:val="38"/>
          </w:rPr>
          <w:t xml:space="preserve"> </w:t>
        </w:r>
        <w:r w:rsidRPr="007B7AE8">
          <w:rPr>
            <w:rStyle w:val="Lienhypertexte"/>
            <w:rFonts w:ascii="Times New Roman" w:hAnsi="Times New Roman"/>
            <w:bCs/>
            <w:iCs/>
            <w:noProof/>
          </w:rPr>
          <w:t>résumé</w:t>
        </w:r>
        <w:r w:rsidRPr="007B7AE8">
          <w:rPr>
            <w:rStyle w:val="Lienhypertexte"/>
            <w:rFonts w:ascii="Times New Roman" w:hAnsi="Times New Roman"/>
            <w:bCs/>
            <w:iCs/>
            <w:noProof/>
            <w:spacing w:val="46"/>
          </w:rPr>
          <w:t xml:space="preserve"> </w:t>
        </w:r>
        <w:r w:rsidRPr="007B7AE8">
          <w:rPr>
            <w:rStyle w:val="Lienhypertexte"/>
            <w:rFonts w:ascii="Times New Roman" w:hAnsi="Times New Roman"/>
            <w:bCs/>
            <w:iCs/>
            <w:noProof/>
          </w:rPr>
          <w:t>du</w:t>
        </w:r>
        <w:r w:rsidRPr="007B7AE8">
          <w:rPr>
            <w:rStyle w:val="Lienhypertexte"/>
            <w:rFonts w:ascii="Times New Roman" w:hAnsi="Times New Roman"/>
            <w:bCs/>
            <w:iCs/>
            <w:noProof/>
            <w:spacing w:val="46"/>
          </w:rPr>
          <w:t xml:space="preserve"> </w:t>
        </w:r>
        <w:r w:rsidRPr="007B7AE8">
          <w:rPr>
            <w:rStyle w:val="Lienhypertexte"/>
            <w:rFonts w:ascii="Times New Roman" w:hAnsi="Times New Roman"/>
            <w:bCs/>
            <w:iCs/>
            <w:noProof/>
          </w:rPr>
          <w:t>risque</w:t>
        </w:r>
        <w:r w:rsidRPr="007B7AE8">
          <w:rPr>
            <w:rStyle w:val="Lienhypertexte"/>
            <w:rFonts w:ascii="Times New Roman" w:hAnsi="Times New Roman"/>
            <w:bCs/>
            <w:iCs/>
            <w:noProof/>
            <w:spacing w:val="49"/>
          </w:rPr>
          <w:t xml:space="preserve"> </w:t>
        </w:r>
        <w:r w:rsidRPr="007B7AE8">
          <w:rPr>
            <w:rStyle w:val="Lienhypertexte"/>
            <w:rFonts w:ascii="Times New Roman" w:hAnsi="Times New Roman"/>
            <w:bCs/>
            <w:iCs/>
            <w:noProof/>
          </w:rPr>
          <w:t>de</w:t>
        </w:r>
        <w:r w:rsidRPr="007B7AE8">
          <w:rPr>
            <w:rStyle w:val="Lienhypertexte"/>
            <w:rFonts w:ascii="Times New Roman" w:hAnsi="Times New Roman"/>
            <w:bCs/>
            <w:iCs/>
            <w:noProof/>
            <w:spacing w:val="51"/>
          </w:rPr>
          <w:t xml:space="preserve"> </w:t>
        </w:r>
        <w:r w:rsidRPr="007B7AE8">
          <w:rPr>
            <w:rStyle w:val="Lienhypertexte"/>
            <w:rFonts w:ascii="Times New Roman" w:hAnsi="Times New Roman"/>
            <w:bCs/>
            <w:iCs/>
            <w:noProof/>
          </w:rPr>
          <w:t>pollution</w:t>
        </w:r>
        <w:r w:rsidRPr="007B7AE8">
          <w:rPr>
            <w:rStyle w:val="Lienhypertexte"/>
            <w:rFonts w:ascii="Times New Roman" w:hAnsi="Times New Roman"/>
            <w:bCs/>
            <w:iCs/>
            <w:noProof/>
            <w:spacing w:val="46"/>
          </w:rPr>
          <w:t xml:space="preserve"> </w:t>
        </w:r>
        <w:r w:rsidRPr="007B7AE8">
          <w:rPr>
            <w:rStyle w:val="Lienhypertexte"/>
            <w:rFonts w:ascii="Times New Roman" w:hAnsi="Times New Roman"/>
            <w:bCs/>
            <w:iCs/>
            <w:noProof/>
          </w:rPr>
          <w:t>des</w:t>
        </w:r>
        <w:r w:rsidRPr="007B7AE8">
          <w:rPr>
            <w:rStyle w:val="Lienhypertexte"/>
            <w:rFonts w:ascii="Times New Roman" w:hAnsi="Times New Roman"/>
            <w:bCs/>
            <w:iCs/>
            <w:noProof/>
            <w:spacing w:val="48"/>
          </w:rPr>
          <w:t xml:space="preserve"> </w:t>
        </w:r>
        <w:r w:rsidRPr="007B7AE8">
          <w:rPr>
            <w:rStyle w:val="Lienhypertexte"/>
            <w:rFonts w:ascii="Times New Roman" w:hAnsi="Times New Roman"/>
            <w:bCs/>
            <w:iCs/>
            <w:noProof/>
            <w:spacing w:val="-4"/>
          </w:rPr>
          <w:t>eaux de surface</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_Toc207781893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163</w:t>
        </w:r>
        <w:r w:rsidRPr="007B7AE8">
          <w:rPr>
            <w:rFonts w:ascii="Times New Roman" w:hAnsi="Times New Roman"/>
            <w:noProof/>
            <w:webHidden/>
          </w:rPr>
          <w:fldChar w:fldCharType="end"/>
        </w:r>
      </w:hyperlink>
    </w:p>
    <w:p w14:paraId="1E1A7F78" w14:textId="0398C9B0"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94" w:history="1">
        <w:r w:rsidRPr="007B7AE8">
          <w:rPr>
            <w:rStyle w:val="Lienhypertexte"/>
            <w:rFonts w:ascii="Times New Roman" w:hAnsi="Times New Roman"/>
            <w:iCs/>
            <w:noProof/>
          </w:rPr>
          <w:t>Tableau 53 : résumé du risque de pollution des eaux souterraines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_Toc207781894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164</w:t>
        </w:r>
        <w:r w:rsidRPr="007B7AE8">
          <w:rPr>
            <w:rFonts w:ascii="Times New Roman" w:hAnsi="Times New Roman"/>
            <w:noProof/>
            <w:webHidden/>
          </w:rPr>
          <w:fldChar w:fldCharType="end"/>
        </w:r>
      </w:hyperlink>
    </w:p>
    <w:p w14:paraId="7998F056" w14:textId="5AEBB2A5"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95" w:history="1">
        <w:r w:rsidRPr="007B7AE8">
          <w:rPr>
            <w:rStyle w:val="Lienhypertexte"/>
            <w:rFonts w:ascii="Times New Roman" w:hAnsi="Times New Roman"/>
            <w:noProof/>
          </w:rPr>
          <w:t>Tableau 54 : Emprises des bassins prévus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_Toc207781895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164</w:t>
        </w:r>
        <w:r w:rsidRPr="007B7AE8">
          <w:rPr>
            <w:rFonts w:ascii="Times New Roman" w:hAnsi="Times New Roman"/>
            <w:noProof/>
            <w:webHidden/>
          </w:rPr>
          <w:fldChar w:fldCharType="end"/>
        </w:r>
      </w:hyperlink>
    </w:p>
    <w:p w14:paraId="7B4919F6" w14:textId="412CDB88"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96" w:history="1">
        <w:r w:rsidRPr="007B7AE8">
          <w:rPr>
            <w:rStyle w:val="Lienhypertexte"/>
            <w:rFonts w:ascii="Times New Roman" w:hAnsi="Times New Roman"/>
            <w:noProof/>
          </w:rPr>
          <w:t>Tableau 55 : résumé de l’analyse des changements d’affectation des emprises des bassins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_Toc207781896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165</w:t>
        </w:r>
        <w:r w:rsidRPr="007B7AE8">
          <w:rPr>
            <w:rFonts w:ascii="Times New Roman" w:hAnsi="Times New Roman"/>
            <w:noProof/>
            <w:webHidden/>
          </w:rPr>
          <w:fldChar w:fldCharType="end"/>
        </w:r>
      </w:hyperlink>
    </w:p>
    <w:p w14:paraId="3E75E2D6" w14:textId="151955D1"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97" w:history="1">
        <w:r w:rsidRPr="007B7AE8">
          <w:rPr>
            <w:rStyle w:val="Lienhypertexte"/>
            <w:rFonts w:ascii="Times New Roman" w:hAnsi="Times New Roman"/>
            <w:noProof/>
          </w:rPr>
          <w:t>Tableau 56 : résumé de l’analyse de la destruction des ouvrages d’irrigation</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_Toc207781897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165</w:t>
        </w:r>
        <w:r w:rsidRPr="007B7AE8">
          <w:rPr>
            <w:rFonts w:ascii="Times New Roman" w:hAnsi="Times New Roman"/>
            <w:noProof/>
            <w:webHidden/>
          </w:rPr>
          <w:fldChar w:fldCharType="end"/>
        </w:r>
      </w:hyperlink>
    </w:p>
    <w:p w14:paraId="4B8BF7F2" w14:textId="36C11DF2"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98" w:history="1">
        <w:r w:rsidRPr="007B7AE8">
          <w:rPr>
            <w:rStyle w:val="Lienhypertexte"/>
            <w:rFonts w:ascii="Times New Roman" w:hAnsi="Times New Roman"/>
            <w:noProof/>
          </w:rPr>
          <w:t>Tableau 57 : résumé de l’analyse de la perte d’accès à des terres à vocation résidentielle (lotissement) et destruction du bâti</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_Toc207781898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166</w:t>
        </w:r>
        <w:r w:rsidRPr="007B7AE8">
          <w:rPr>
            <w:rFonts w:ascii="Times New Roman" w:hAnsi="Times New Roman"/>
            <w:noProof/>
            <w:webHidden/>
          </w:rPr>
          <w:fldChar w:fldCharType="end"/>
        </w:r>
      </w:hyperlink>
    </w:p>
    <w:p w14:paraId="53B3CE56" w14:textId="7A4F40A9"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899" w:history="1">
        <w:r w:rsidRPr="007B7AE8">
          <w:rPr>
            <w:rStyle w:val="Lienhypertexte"/>
            <w:rFonts w:ascii="Times New Roman" w:hAnsi="Times New Roman"/>
            <w:noProof/>
          </w:rPr>
          <w:t>Tableau 58 : résumé de l’analyse de la perte d’accès définitive à une infrastructure scolaire</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_Toc207781899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166</w:t>
        </w:r>
        <w:r w:rsidRPr="007B7AE8">
          <w:rPr>
            <w:rFonts w:ascii="Times New Roman" w:hAnsi="Times New Roman"/>
            <w:noProof/>
            <w:webHidden/>
          </w:rPr>
          <w:fldChar w:fldCharType="end"/>
        </w:r>
      </w:hyperlink>
    </w:p>
    <w:p w14:paraId="33FFA7C3" w14:textId="716B36E1"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00" w:history="1">
        <w:r w:rsidRPr="007B7AE8">
          <w:rPr>
            <w:rStyle w:val="Lienhypertexte"/>
            <w:rFonts w:ascii="Times New Roman" w:hAnsi="Times New Roman"/>
            <w:noProof/>
          </w:rPr>
          <w:t>Tableau 59 : Risque d’interception et de pollution de la nappe des sables du Quaternaire</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_Toc207781900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167</w:t>
        </w:r>
        <w:r w:rsidRPr="007B7AE8">
          <w:rPr>
            <w:rFonts w:ascii="Times New Roman" w:hAnsi="Times New Roman"/>
            <w:noProof/>
            <w:webHidden/>
          </w:rPr>
          <w:fldChar w:fldCharType="end"/>
        </w:r>
      </w:hyperlink>
    </w:p>
    <w:p w14:paraId="71D3BA9B" w14:textId="67E8F586"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01" w:history="1">
        <w:r w:rsidRPr="007B7AE8">
          <w:rPr>
            <w:rStyle w:val="Lienhypertexte"/>
            <w:rFonts w:ascii="Times New Roman" w:hAnsi="Times New Roman"/>
            <w:noProof/>
          </w:rPr>
          <w:t>Tableau 60 : résumé de l’analyse de la perturbation des déplacements des personnes et des biens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_Toc207781901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167</w:t>
        </w:r>
        <w:r w:rsidRPr="007B7AE8">
          <w:rPr>
            <w:rFonts w:ascii="Times New Roman" w:hAnsi="Times New Roman"/>
            <w:noProof/>
            <w:webHidden/>
          </w:rPr>
          <w:fldChar w:fldCharType="end"/>
        </w:r>
      </w:hyperlink>
    </w:p>
    <w:p w14:paraId="62AAB32F" w14:textId="397658FF"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02" w:history="1">
        <w:r w:rsidRPr="007B7AE8">
          <w:rPr>
            <w:rStyle w:val="Lienhypertexte"/>
            <w:rFonts w:ascii="Times New Roman" w:hAnsi="Times New Roman"/>
            <w:noProof/>
          </w:rPr>
          <w:t>Tableau 61 : résumé de l’analyse des entraves d’accès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_Toc207781902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168</w:t>
        </w:r>
        <w:r w:rsidRPr="007B7AE8">
          <w:rPr>
            <w:rFonts w:ascii="Times New Roman" w:hAnsi="Times New Roman"/>
            <w:noProof/>
            <w:webHidden/>
          </w:rPr>
          <w:fldChar w:fldCharType="end"/>
        </w:r>
      </w:hyperlink>
    </w:p>
    <w:p w14:paraId="49A8FB0C" w14:textId="3279A9D3"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03" w:history="1">
        <w:r w:rsidRPr="007B7AE8">
          <w:rPr>
            <w:rStyle w:val="Lienhypertexte"/>
            <w:rFonts w:ascii="Times New Roman" w:hAnsi="Times New Roman"/>
            <w:noProof/>
          </w:rPr>
          <w:t>Tableau 62 :</w:t>
        </w:r>
        <w:r w:rsidRPr="007B7AE8">
          <w:rPr>
            <w:rStyle w:val="Lienhypertexte"/>
            <w:rFonts w:ascii="Times New Roman" w:hAnsi="Times New Roman"/>
            <w:bCs/>
            <w:noProof/>
          </w:rPr>
          <w:t xml:space="preserve"> </w:t>
        </w:r>
        <w:r w:rsidRPr="007B7AE8">
          <w:rPr>
            <w:rStyle w:val="Lienhypertexte"/>
            <w:rFonts w:ascii="Times New Roman" w:hAnsi="Times New Roman"/>
            <w:noProof/>
          </w:rPr>
          <w:t>résumé de l’analyse des destructions de rampes d’accès à des habitations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_Toc207781903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168</w:t>
        </w:r>
        <w:r w:rsidRPr="007B7AE8">
          <w:rPr>
            <w:rFonts w:ascii="Times New Roman" w:hAnsi="Times New Roman"/>
            <w:noProof/>
            <w:webHidden/>
          </w:rPr>
          <w:fldChar w:fldCharType="end"/>
        </w:r>
      </w:hyperlink>
    </w:p>
    <w:p w14:paraId="72B3E78E" w14:textId="1ECF3789"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04" w:history="1">
        <w:r w:rsidRPr="007B7AE8">
          <w:rPr>
            <w:rStyle w:val="Lienhypertexte"/>
            <w:rFonts w:ascii="Times New Roman" w:hAnsi="Times New Roman"/>
            <w:noProof/>
          </w:rPr>
          <w:t>Tableau 63 :</w:t>
        </w:r>
        <w:r w:rsidRPr="007B7AE8">
          <w:rPr>
            <w:rStyle w:val="Lienhypertexte"/>
            <w:rFonts w:ascii="Times New Roman" w:hAnsi="Times New Roman"/>
            <w:bCs/>
            <w:noProof/>
          </w:rPr>
          <w:t xml:space="preserve"> </w:t>
        </w:r>
        <w:r w:rsidRPr="007B7AE8">
          <w:rPr>
            <w:rStyle w:val="Lienhypertexte"/>
            <w:rFonts w:ascii="Times New Roman" w:hAnsi="Times New Roman"/>
            <w:noProof/>
          </w:rPr>
          <w:t>résumé de l’analyse de la destruction d’un ouvrage d’assainissement autonome (fosse septique)</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_Toc207781904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169</w:t>
        </w:r>
        <w:r w:rsidRPr="007B7AE8">
          <w:rPr>
            <w:rFonts w:ascii="Times New Roman" w:hAnsi="Times New Roman"/>
            <w:noProof/>
            <w:webHidden/>
          </w:rPr>
          <w:fldChar w:fldCharType="end"/>
        </w:r>
      </w:hyperlink>
    </w:p>
    <w:p w14:paraId="7AC71783" w14:textId="19ADF245"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05" w:history="1">
        <w:r w:rsidRPr="007B7AE8">
          <w:rPr>
            <w:rStyle w:val="Lienhypertexte"/>
            <w:rFonts w:ascii="Times New Roman" w:hAnsi="Times New Roman"/>
            <w:noProof/>
          </w:rPr>
          <w:t>Tableau 64 : résumé de l’analyse du risque d’accidents liés aux tranchées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_Toc207781905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169</w:t>
        </w:r>
        <w:r w:rsidRPr="007B7AE8">
          <w:rPr>
            <w:rFonts w:ascii="Times New Roman" w:hAnsi="Times New Roman"/>
            <w:noProof/>
            <w:webHidden/>
          </w:rPr>
          <w:fldChar w:fldCharType="end"/>
        </w:r>
      </w:hyperlink>
    </w:p>
    <w:p w14:paraId="42DDF034" w14:textId="043FF752"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06" w:history="1">
        <w:r w:rsidRPr="007B7AE8">
          <w:rPr>
            <w:rStyle w:val="Lienhypertexte"/>
            <w:rFonts w:ascii="Times New Roman" w:hAnsi="Times New Roman"/>
            <w:noProof/>
          </w:rPr>
          <w:t>Tableau 65 : résumé de l’analyse du risque d’érosion des sols et de recul du trait de côte associé aux emprunts de sable</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_Toc207781906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170</w:t>
        </w:r>
        <w:r w:rsidRPr="007B7AE8">
          <w:rPr>
            <w:rFonts w:ascii="Times New Roman" w:hAnsi="Times New Roman"/>
            <w:noProof/>
            <w:webHidden/>
          </w:rPr>
          <w:fldChar w:fldCharType="end"/>
        </w:r>
      </w:hyperlink>
    </w:p>
    <w:p w14:paraId="5754DF38" w14:textId="7EA678E4"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07" w:history="1">
        <w:r w:rsidRPr="007B7AE8">
          <w:rPr>
            <w:rStyle w:val="Lienhypertexte"/>
            <w:rFonts w:ascii="Times New Roman" w:hAnsi="Times New Roman"/>
            <w:noProof/>
          </w:rPr>
          <w:t>Tableau 66 : résumé de l'analyse du risque de perte de terres arables associé à l’approvisionnement en sable</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_Toc207781907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170</w:t>
        </w:r>
        <w:r w:rsidRPr="007B7AE8">
          <w:rPr>
            <w:rFonts w:ascii="Times New Roman" w:hAnsi="Times New Roman"/>
            <w:noProof/>
            <w:webHidden/>
          </w:rPr>
          <w:fldChar w:fldCharType="end"/>
        </w:r>
      </w:hyperlink>
    </w:p>
    <w:p w14:paraId="6E04497F" w14:textId="5CD30526"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08" w:history="1">
        <w:r w:rsidRPr="007B7AE8">
          <w:rPr>
            <w:rStyle w:val="Lienhypertexte"/>
            <w:rFonts w:ascii="Times New Roman" w:hAnsi="Times New Roman"/>
            <w:noProof/>
          </w:rPr>
          <w:t>Tableau 67 : résumé de l’analyse risque de chute de hauteur</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_Toc207781908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171</w:t>
        </w:r>
        <w:r w:rsidRPr="007B7AE8">
          <w:rPr>
            <w:rFonts w:ascii="Times New Roman" w:hAnsi="Times New Roman"/>
            <w:noProof/>
            <w:webHidden/>
          </w:rPr>
          <w:fldChar w:fldCharType="end"/>
        </w:r>
      </w:hyperlink>
    </w:p>
    <w:p w14:paraId="35848B64" w14:textId="1BA437EE"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09" w:history="1">
        <w:r w:rsidRPr="007B7AE8">
          <w:rPr>
            <w:rStyle w:val="Lienhypertexte"/>
            <w:rFonts w:ascii="Times New Roman" w:hAnsi="Times New Roman"/>
            <w:noProof/>
          </w:rPr>
          <w:t>Tableau 68 : résumé de l’analyse du risque de refis/négligence de réhabilitation ou de réhabilitation partielle du site de la base de chantier</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_Toc207781909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171</w:t>
        </w:r>
        <w:r w:rsidRPr="007B7AE8">
          <w:rPr>
            <w:rFonts w:ascii="Times New Roman" w:hAnsi="Times New Roman"/>
            <w:noProof/>
            <w:webHidden/>
          </w:rPr>
          <w:fldChar w:fldCharType="end"/>
        </w:r>
      </w:hyperlink>
    </w:p>
    <w:p w14:paraId="38E457B7" w14:textId="26F4B481"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10" w:history="1">
        <w:r w:rsidRPr="007B7AE8">
          <w:rPr>
            <w:rStyle w:val="Lienhypertexte"/>
            <w:rFonts w:ascii="Times New Roman" w:hAnsi="Times New Roman"/>
            <w:noProof/>
          </w:rPr>
          <w:t>Tableau 69 : résumé de l’analyse du risque de défiguration du paysage et d’altération du cadre de vie par des ruines d’installations fixes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_Toc207781910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172</w:t>
        </w:r>
        <w:r w:rsidRPr="007B7AE8">
          <w:rPr>
            <w:rFonts w:ascii="Times New Roman" w:hAnsi="Times New Roman"/>
            <w:noProof/>
            <w:webHidden/>
          </w:rPr>
          <w:fldChar w:fldCharType="end"/>
        </w:r>
      </w:hyperlink>
    </w:p>
    <w:p w14:paraId="2B05DFE6" w14:textId="42C3EDD6"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11" w:history="1">
        <w:r w:rsidRPr="007B7AE8">
          <w:rPr>
            <w:rStyle w:val="Lienhypertexte"/>
            <w:rFonts w:ascii="Times New Roman" w:hAnsi="Times New Roman"/>
            <w:noProof/>
          </w:rPr>
          <w:t>Tableau 70 : résumé de l’analyse du risque d’entrave/retard du retour à la nature des sites des bases de chantier</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_Toc207781911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173</w:t>
        </w:r>
        <w:r w:rsidRPr="007B7AE8">
          <w:rPr>
            <w:rFonts w:ascii="Times New Roman" w:hAnsi="Times New Roman"/>
            <w:noProof/>
            <w:webHidden/>
          </w:rPr>
          <w:fldChar w:fldCharType="end"/>
        </w:r>
      </w:hyperlink>
    </w:p>
    <w:p w14:paraId="1B6B3AEC" w14:textId="0AFC301B"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12" w:history="1">
        <w:r w:rsidRPr="007B7AE8">
          <w:rPr>
            <w:rStyle w:val="Lienhypertexte"/>
            <w:rFonts w:ascii="Times New Roman" w:hAnsi="Times New Roman"/>
            <w:noProof/>
          </w:rPr>
          <w:t>Tableau 71 : résumé de l’analyse du risque sécuritaire associé à l’abandon sur site de bâtiments et ruines de bâtiments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_Toc207781912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173</w:t>
        </w:r>
        <w:r w:rsidRPr="007B7AE8">
          <w:rPr>
            <w:rFonts w:ascii="Times New Roman" w:hAnsi="Times New Roman"/>
            <w:noProof/>
            <w:webHidden/>
          </w:rPr>
          <w:fldChar w:fldCharType="end"/>
        </w:r>
      </w:hyperlink>
    </w:p>
    <w:p w14:paraId="7BC02455" w14:textId="0B971998"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13" w:history="1">
        <w:r w:rsidRPr="007B7AE8">
          <w:rPr>
            <w:rStyle w:val="Lienhypertexte"/>
            <w:rFonts w:ascii="Times New Roman" w:hAnsi="Times New Roman"/>
            <w:noProof/>
          </w:rPr>
          <w:t>Tableau 72 : résumé de l’analyse du risque de prolifération de plantes aquatiques dans les bassins, les collecteurs à ciel ouvert et l’exutoire</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_Toc207781913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174</w:t>
        </w:r>
        <w:r w:rsidRPr="007B7AE8">
          <w:rPr>
            <w:rFonts w:ascii="Times New Roman" w:hAnsi="Times New Roman"/>
            <w:noProof/>
            <w:webHidden/>
          </w:rPr>
          <w:fldChar w:fldCharType="end"/>
        </w:r>
      </w:hyperlink>
    </w:p>
    <w:p w14:paraId="153EBE5A" w14:textId="072D8923"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14" w:history="1">
        <w:r w:rsidRPr="007B7AE8">
          <w:rPr>
            <w:rStyle w:val="Lienhypertexte"/>
            <w:rFonts w:ascii="Times New Roman" w:hAnsi="Times New Roman"/>
            <w:noProof/>
          </w:rPr>
          <w:t>Tableau 73 : résumé de l’analyse de risque de prolifération d’animaux nuisibles dans les bassins, les collecteurs à ciel ouvert et l’exutoire</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_Toc207781914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174</w:t>
        </w:r>
        <w:r w:rsidRPr="007B7AE8">
          <w:rPr>
            <w:rFonts w:ascii="Times New Roman" w:hAnsi="Times New Roman"/>
            <w:noProof/>
            <w:webHidden/>
          </w:rPr>
          <w:fldChar w:fldCharType="end"/>
        </w:r>
      </w:hyperlink>
    </w:p>
    <w:p w14:paraId="231944B6" w14:textId="110074C5"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15" w:history="1">
        <w:r w:rsidRPr="007B7AE8">
          <w:rPr>
            <w:rStyle w:val="Lienhypertexte"/>
            <w:rFonts w:ascii="Times New Roman" w:hAnsi="Times New Roman"/>
            <w:noProof/>
          </w:rPr>
          <w:t>Tableau 74 : résumé de l’analyse du risque d’altération du cadre de vie et de défiguration du paysage par des déchets d’entretien des ouvrages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_Toc207781915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175</w:t>
        </w:r>
        <w:r w:rsidRPr="007B7AE8">
          <w:rPr>
            <w:rFonts w:ascii="Times New Roman" w:hAnsi="Times New Roman"/>
            <w:noProof/>
            <w:webHidden/>
          </w:rPr>
          <w:fldChar w:fldCharType="end"/>
        </w:r>
      </w:hyperlink>
    </w:p>
    <w:p w14:paraId="1B6DAE92" w14:textId="7BDC9E01"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16" w:history="1">
        <w:r w:rsidRPr="007B7AE8">
          <w:rPr>
            <w:rStyle w:val="Lienhypertexte"/>
            <w:rFonts w:ascii="Times New Roman" w:hAnsi="Times New Roman"/>
            <w:noProof/>
          </w:rPr>
          <w:t>Tableau 75 : résumé de l’analyse du risque de délabrement précoce des ouvrages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_Toc207781916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176</w:t>
        </w:r>
        <w:r w:rsidRPr="007B7AE8">
          <w:rPr>
            <w:rFonts w:ascii="Times New Roman" w:hAnsi="Times New Roman"/>
            <w:noProof/>
            <w:webHidden/>
          </w:rPr>
          <w:fldChar w:fldCharType="end"/>
        </w:r>
      </w:hyperlink>
    </w:p>
    <w:p w14:paraId="59CED035" w14:textId="66909B3B"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17" w:history="1">
        <w:r w:rsidRPr="007B7AE8">
          <w:rPr>
            <w:rStyle w:val="Lienhypertexte"/>
            <w:rFonts w:ascii="Times New Roman" w:hAnsi="Times New Roman"/>
            <w:noProof/>
          </w:rPr>
          <w:t>Tableau 76 : résumé de l’analyse du risque d’inondation du cadre de vie suite des bris de bassins et/ou collecteurs ou de débordements de ceux-ci du fait de leur sous-dimensionnement</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_Toc207781917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176</w:t>
        </w:r>
        <w:r w:rsidRPr="007B7AE8">
          <w:rPr>
            <w:rFonts w:ascii="Times New Roman" w:hAnsi="Times New Roman"/>
            <w:noProof/>
            <w:webHidden/>
          </w:rPr>
          <w:fldChar w:fldCharType="end"/>
        </w:r>
      </w:hyperlink>
    </w:p>
    <w:p w14:paraId="6E1671CB" w14:textId="1A70A102"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18" w:history="1">
        <w:r w:rsidRPr="007B7AE8">
          <w:rPr>
            <w:rStyle w:val="Lienhypertexte"/>
            <w:rFonts w:ascii="Times New Roman" w:hAnsi="Times New Roman"/>
            <w:noProof/>
          </w:rPr>
          <w:t>Tableau 77 : risque de branchements clandestins d’ouvrage d’assainissement individuel sur les collecteurs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_Toc207781918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177</w:t>
        </w:r>
        <w:r w:rsidRPr="007B7AE8">
          <w:rPr>
            <w:rFonts w:ascii="Times New Roman" w:hAnsi="Times New Roman"/>
            <w:noProof/>
            <w:webHidden/>
          </w:rPr>
          <w:fldChar w:fldCharType="end"/>
        </w:r>
      </w:hyperlink>
    </w:p>
    <w:p w14:paraId="6E187234" w14:textId="66B41311"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19" w:history="1">
        <w:r w:rsidRPr="007B7AE8">
          <w:rPr>
            <w:rStyle w:val="Lienhypertexte"/>
            <w:rFonts w:ascii="Times New Roman" w:hAnsi="Times New Roman"/>
            <w:noProof/>
          </w:rPr>
          <w:t>Tableau 78 : résumé de l’analyse du risque d’obstruction des collecteurs à ciel ouvert par des déchets solides et/ou la végétation</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_Toc207781919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177</w:t>
        </w:r>
        <w:r w:rsidRPr="007B7AE8">
          <w:rPr>
            <w:rFonts w:ascii="Times New Roman" w:hAnsi="Times New Roman"/>
            <w:noProof/>
            <w:webHidden/>
          </w:rPr>
          <w:fldChar w:fldCharType="end"/>
        </w:r>
      </w:hyperlink>
    </w:p>
    <w:p w14:paraId="3AE21FAA" w14:textId="7ED0FA7B"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20" w:history="1">
        <w:r w:rsidRPr="007B7AE8">
          <w:rPr>
            <w:rStyle w:val="Lienhypertexte"/>
            <w:rFonts w:ascii="Times New Roman" w:hAnsi="Times New Roman"/>
            <w:noProof/>
          </w:rPr>
          <w:t>Tableau 79 : résumé de l’analyse du risque de pollution et/ou d’aggravation de la pollution des eaux de surface (bassins et de l’exutoire)</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_Toc207781920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178</w:t>
        </w:r>
        <w:r w:rsidRPr="007B7AE8">
          <w:rPr>
            <w:rFonts w:ascii="Times New Roman" w:hAnsi="Times New Roman"/>
            <w:noProof/>
            <w:webHidden/>
          </w:rPr>
          <w:fldChar w:fldCharType="end"/>
        </w:r>
      </w:hyperlink>
    </w:p>
    <w:p w14:paraId="0FE59075" w14:textId="7D1EBE0A"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21" w:history="1">
        <w:r w:rsidRPr="007B7AE8">
          <w:rPr>
            <w:rStyle w:val="Lienhypertexte"/>
            <w:rFonts w:ascii="Times New Roman" w:hAnsi="Times New Roman"/>
            <w:noProof/>
          </w:rPr>
          <w:t>Tableau 80 : résumé de l’analyse du risque du risque de pollution des nappes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_Toc207781921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179</w:t>
        </w:r>
        <w:r w:rsidRPr="007B7AE8">
          <w:rPr>
            <w:rFonts w:ascii="Times New Roman" w:hAnsi="Times New Roman"/>
            <w:noProof/>
            <w:webHidden/>
          </w:rPr>
          <w:fldChar w:fldCharType="end"/>
        </w:r>
      </w:hyperlink>
    </w:p>
    <w:p w14:paraId="74E387DB" w14:textId="492CC379"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22" w:history="1">
        <w:r w:rsidRPr="007B7AE8">
          <w:rPr>
            <w:rStyle w:val="Lienhypertexte"/>
            <w:rFonts w:ascii="Times New Roman" w:hAnsi="Times New Roman"/>
            <w:noProof/>
          </w:rPr>
          <w:t>Tableau 81 : résumé de l’analyse du risque d’occupation anarchique des terres récupérées par les populations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_Toc207781922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179</w:t>
        </w:r>
        <w:r w:rsidRPr="007B7AE8">
          <w:rPr>
            <w:rFonts w:ascii="Times New Roman" w:hAnsi="Times New Roman"/>
            <w:noProof/>
            <w:webHidden/>
          </w:rPr>
          <w:fldChar w:fldCharType="end"/>
        </w:r>
      </w:hyperlink>
    </w:p>
    <w:p w14:paraId="57DFD4F8" w14:textId="0B4F1359"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23" w:history="1">
        <w:r w:rsidRPr="007B7AE8">
          <w:rPr>
            <w:rStyle w:val="Lienhypertexte"/>
            <w:rFonts w:ascii="Times New Roman" w:hAnsi="Times New Roman"/>
            <w:noProof/>
          </w:rPr>
          <w:t>Tableau 82 : résumé de l’analyse du risque de noyade</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_Toc207781923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180</w:t>
        </w:r>
        <w:r w:rsidRPr="007B7AE8">
          <w:rPr>
            <w:rFonts w:ascii="Times New Roman" w:hAnsi="Times New Roman"/>
            <w:noProof/>
            <w:webHidden/>
          </w:rPr>
          <w:fldChar w:fldCharType="end"/>
        </w:r>
      </w:hyperlink>
    </w:p>
    <w:p w14:paraId="40FA0409" w14:textId="3DD240DE"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24" w:history="1">
        <w:r w:rsidRPr="007B7AE8">
          <w:rPr>
            <w:rStyle w:val="Lienhypertexte"/>
            <w:rFonts w:ascii="Times New Roman" w:hAnsi="Times New Roman"/>
            <w:noProof/>
          </w:rPr>
          <w:t>Tableau 83 : résumé de l’analyse du risque de pollution des eaux suite à des fuites et/ou déversements de polluant dans la station de pompage.</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_Toc207781924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180</w:t>
        </w:r>
        <w:r w:rsidRPr="007B7AE8">
          <w:rPr>
            <w:rFonts w:ascii="Times New Roman" w:hAnsi="Times New Roman"/>
            <w:noProof/>
            <w:webHidden/>
          </w:rPr>
          <w:fldChar w:fldCharType="end"/>
        </w:r>
      </w:hyperlink>
    </w:p>
    <w:p w14:paraId="5279B438" w14:textId="54418EC2"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25" w:history="1">
        <w:r w:rsidRPr="007B7AE8">
          <w:rPr>
            <w:rStyle w:val="Lienhypertexte"/>
            <w:rFonts w:ascii="Times New Roman" w:hAnsi="Times New Roman"/>
            <w:noProof/>
          </w:rPr>
          <w:t>Tableau 84 : résumé de l’analyse du risque de pannes intempestives de la pompe</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_Toc207781925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181</w:t>
        </w:r>
        <w:r w:rsidRPr="007B7AE8">
          <w:rPr>
            <w:rFonts w:ascii="Times New Roman" w:hAnsi="Times New Roman"/>
            <w:noProof/>
            <w:webHidden/>
          </w:rPr>
          <w:fldChar w:fldCharType="end"/>
        </w:r>
      </w:hyperlink>
    </w:p>
    <w:p w14:paraId="2203B837" w14:textId="3187B0A7"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26" w:history="1">
        <w:r w:rsidRPr="007B7AE8">
          <w:rPr>
            <w:rStyle w:val="Lienhypertexte"/>
            <w:rFonts w:ascii="Times New Roman" w:hAnsi="Times New Roman"/>
            <w:noProof/>
          </w:rPr>
          <w:t>Tableau 85: Synthèse des impacts environnementaux et sociaux</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_Toc207781926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181</w:t>
        </w:r>
        <w:r w:rsidRPr="007B7AE8">
          <w:rPr>
            <w:rFonts w:ascii="Times New Roman" w:hAnsi="Times New Roman"/>
            <w:noProof/>
            <w:webHidden/>
          </w:rPr>
          <w:fldChar w:fldCharType="end"/>
        </w:r>
      </w:hyperlink>
    </w:p>
    <w:p w14:paraId="03BED0BA" w14:textId="73744CBF"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27" w:history="1">
        <w:r w:rsidRPr="007B7AE8">
          <w:rPr>
            <w:rStyle w:val="Lienhypertexte"/>
            <w:rFonts w:ascii="Times New Roman" w:hAnsi="Times New Roman"/>
            <w:noProof/>
          </w:rPr>
          <w:t>Tableau 86 : Synthèse des risques environnementaux et sociaux</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_Toc207781927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182</w:t>
        </w:r>
        <w:r w:rsidRPr="007B7AE8">
          <w:rPr>
            <w:rFonts w:ascii="Times New Roman" w:hAnsi="Times New Roman"/>
            <w:noProof/>
            <w:webHidden/>
          </w:rPr>
          <w:fldChar w:fldCharType="end"/>
        </w:r>
      </w:hyperlink>
    </w:p>
    <w:p w14:paraId="4A5A32A1" w14:textId="5BC0F330"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28" w:history="1">
        <w:r w:rsidRPr="007B7AE8">
          <w:rPr>
            <w:rStyle w:val="Lienhypertexte"/>
            <w:rFonts w:ascii="Times New Roman" w:hAnsi="Times New Roman"/>
            <w:noProof/>
          </w:rPr>
          <w:t>Tableau 87 : Résumé de l’évaluation du risque d’augmentation du volume d’eau à drainer et de débordement des ouvrages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_Toc207781928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184</w:t>
        </w:r>
        <w:r w:rsidRPr="007B7AE8">
          <w:rPr>
            <w:rFonts w:ascii="Times New Roman" w:hAnsi="Times New Roman"/>
            <w:noProof/>
            <w:webHidden/>
          </w:rPr>
          <w:fldChar w:fldCharType="end"/>
        </w:r>
      </w:hyperlink>
    </w:p>
    <w:p w14:paraId="01553A23" w14:textId="3A622BDD"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29" w:history="1">
        <w:r w:rsidRPr="007B7AE8">
          <w:rPr>
            <w:rStyle w:val="Lienhypertexte"/>
            <w:rFonts w:ascii="Times New Roman" w:hAnsi="Times New Roman"/>
            <w:iCs/>
            <w:noProof/>
          </w:rPr>
          <w:t>Tableau 88 : Bilan de l’analyse des impacts cumulatifs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_Toc207781929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186</w:t>
        </w:r>
        <w:r w:rsidRPr="007B7AE8">
          <w:rPr>
            <w:rFonts w:ascii="Times New Roman" w:hAnsi="Times New Roman"/>
            <w:noProof/>
            <w:webHidden/>
          </w:rPr>
          <w:fldChar w:fldCharType="end"/>
        </w:r>
      </w:hyperlink>
    </w:p>
    <w:p w14:paraId="3DA3F68E" w14:textId="34224FE4"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30" w:history="1">
        <w:r w:rsidRPr="007B7AE8">
          <w:rPr>
            <w:rStyle w:val="Lienhypertexte"/>
            <w:rFonts w:ascii="Times New Roman" w:hAnsi="Times New Roman"/>
            <w:noProof/>
          </w:rPr>
          <w:t>Tableau 89 : Les caractéristiques physico-chimiques du gasoil</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_Toc207781930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189</w:t>
        </w:r>
        <w:r w:rsidRPr="007B7AE8">
          <w:rPr>
            <w:rFonts w:ascii="Times New Roman" w:hAnsi="Times New Roman"/>
            <w:noProof/>
            <w:webHidden/>
          </w:rPr>
          <w:fldChar w:fldCharType="end"/>
        </w:r>
      </w:hyperlink>
    </w:p>
    <w:p w14:paraId="56367503" w14:textId="2A1E8C68"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31" w:history="1">
        <w:r w:rsidRPr="007B7AE8">
          <w:rPr>
            <w:rStyle w:val="Lienhypertexte"/>
            <w:rFonts w:ascii="Times New Roman" w:hAnsi="Times New Roman"/>
            <w:noProof/>
          </w:rPr>
          <w:t>Tableau 90: Risque incendie / explosion lié à l'huile de lubrification</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_Toc207781931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190</w:t>
        </w:r>
        <w:r w:rsidRPr="007B7AE8">
          <w:rPr>
            <w:rFonts w:ascii="Times New Roman" w:hAnsi="Times New Roman"/>
            <w:noProof/>
            <w:webHidden/>
          </w:rPr>
          <w:fldChar w:fldCharType="end"/>
        </w:r>
      </w:hyperlink>
    </w:p>
    <w:p w14:paraId="0233C7B7" w14:textId="3E5F5A8C"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32" w:history="1">
        <w:r w:rsidRPr="007B7AE8">
          <w:rPr>
            <w:rStyle w:val="Lienhypertexte"/>
            <w:rFonts w:ascii="Times New Roman" w:hAnsi="Times New Roman"/>
            <w:noProof/>
          </w:rPr>
          <w:t>Tableau 91: Toxicité aiguë de l'huile de lubrification</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_Toc207781932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191</w:t>
        </w:r>
        <w:r w:rsidRPr="007B7AE8">
          <w:rPr>
            <w:rFonts w:ascii="Times New Roman" w:hAnsi="Times New Roman"/>
            <w:noProof/>
            <w:webHidden/>
          </w:rPr>
          <w:fldChar w:fldCharType="end"/>
        </w:r>
      </w:hyperlink>
    </w:p>
    <w:p w14:paraId="17815FDF" w14:textId="024A3AE8"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33" w:history="1">
        <w:r w:rsidRPr="007B7AE8">
          <w:rPr>
            <w:rStyle w:val="Lienhypertexte"/>
            <w:rFonts w:ascii="Times New Roman" w:hAnsi="Times New Roman"/>
            <w:noProof/>
          </w:rPr>
          <w:t>Tableau 92 : écotoxicité de l'huile de lubrification</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_Toc207781933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191</w:t>
        </w:r>
        <w:r w:rsidRPr="007B7AE8">
          <w:rPr>
            <w:rFonts w:ascii="Times New Roman" w:hAnsi="Times New Roman"/>
            <w:noProof/>
            <w:webHidden/>
          </w:rPr>
          <w:fldChar w:fldCharType="end"/>
        </w:r>
      </w:hyperlink>
    </w:p>
    <w:p w14:paraId="59479DD1" w14:textId="67735A68"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34" w:history="1">
        <w:r w:rsidRPr="007B7AE8">
          <w:rPr>
            <w:rStyle w:val="Lienhypertexte"/>
            <w:rFonts w:ascii="Times New Roman" w:hAnsi="Times New Roman"/>
            <w:noProof/>
          </w:rPr>
          <w:t>Tableau 93 : propriétés physico-chimiques de l’huile usagée</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_Toc207781934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192</w:t>
        </w:r>
        <w:r w:rsidRPr="007B7AE8">
          <w:rPr>
            <w:rFonts w:ascii="Times New Roman" w:hAnsi="Times New Roman"/>
            <w:noProof/>
            <w:webHidden/>
          </w:rPr>
          <w:fldChar w:fldCharType="end"/>
        </w:r>
      </w:hyperlink>
    </w:p>
    <w:p w14:paraId="2B7E476C" w14:textId="37EACBEF"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35" w:history="1">
        <w:r w:rsidRPr="007B7AE8">
          <w:rPr>
            <w:rStyle w:val="Lienhypertexte"/>
            <w:rFonts w:ascii="Times New Roman" w:hAnsi="Times New Roman"/>
            <w:noProof/>
          </w:rPr>
          <w:t>Tableau 94: Les caractéristiques physico-chimiques de la peinture</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_Toc207781935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194</w:t>
        </w:r>
        <w:r w:rsidRPr="007B7AE8">
          <w:rPr>
            <w:rFonts w:ascii="Times New Roman" w:hAnsi="Times New Roman"/>
            <w:noProof/>
            <w:webHidden/>
          </w:rPr>
          <w:fldChar w:fldCharType="end"/>
        </w:r>
      </w:hyperlink>
    </w:p>
    <w:p w14:paraId="2686D4AD" w14:textId="653D9EFC"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36" w:history="1">
        <w:r w:rsidRPr="007B7AE8">
          <w:rPr>
            <w:rStyle w:val="Lienhypertexte"/>
            <w:rFonts w:ascii="Times New Roman" w:hAnsi="Times New Roman"/>
            <w:noProof/>
          </w:rPr>
          <w:t>Tableau 95: Les caractéristiques physico-chimiques de l’oxygène</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_Toc207781936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195</w:t>
        </w:r>
        <w:r w:rsidRPr="007B7AE8">
          <w:rPr>
            <w:rFonts w:ascii="Times New Roman" w:hAnsi="Times New Roman"/>
            <w:noProof/>
            <w:webHidden/>
          </w:rPr>
          <w:fldChar w:fldCharType="end"/>
        </w:r>
      </w:hyperlink>
    </w:p>
    <w:p w14:paraId="1D99AD8B" w14:textId="609F52EC"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37" w:history="1">
        <w:r w:rsidRPr="007B7AE8">
          <w:rPr>
            <w:rStyle w:val="Lienhypertexte"/>
            <w:rFonts w:ascii="Times New Roman" w:hAnsi="Times New Roman"/>
            <w:noProof/>
          </w:rPr>
          <w:t>Tableau 96 : Les caractéristiques physico-chimiques de l’acétylène</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_Toc207781937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196</w:t>
        </w:r>
        <w:r w:rsidRPr="007B7AE8">
          <w:rPr>
            <w:rFonts w:ascii="Times New Roman" w:hAnsi="Times New Roman"/>
            <w:noProof/>
            <w:webHidden/>
          </w:rPr>
          <w:fldChar w:fldCharType="end"/>
        </w:r>
      </w:hyperlink>
    </w:p>
    <w:p w14:paraId="2BA365EB" w14:textId="525A8911"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38" w:history="1">
        <w:r w:rsidRPr="007B7AE8">
          <w:rPr>
            <w:rStyle w:val="Lienhypertexte"/>
            <w:rFonts w:ascii="Times New Roman" w:hAnsi="Times New Roman"/>
            <w:noProof/>
          </w:rPr>
          <w:t>Tableau 97: Synthèse des dangers liés aux produits et moyens de protection du personnel</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_Toc207781938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198</w:t>
        </w:r>
        <w:r w:rsidRPr="007B7AE8">
          <w:rPr>
            <w:rFonts w:ascii="Times New Roman" w:hAnsi="Times New Roman"/>
            <w:noProof/>
            <w:webHidden/>
          </w:rPr>
          <w:fldChar w:fldCharType="end"/>
        </w:r>
      </w:hyperlink>
    </w:p>
    <w:p w14:paraId="3689B998" w14:textId="737F2208"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39" w:history="1">
        <w:r w:rsidRPr="007B7AE8">
          <w:rPr>
            <w:rStyle w:val="Lienhypertexte"/>
            <w:rFonts w:ascii="Times New Roman" w:hAnsi="Times New Roman"/>
            <w:noProof/>
          </w:rPr>
          <w:t>Tableau 98 : Synthèse de l’accidentologie des installations similaires présentes sur les sites du projet</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_Toc207781939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205</w:t>
        </w:r>
        <w:r w:rsidRPr="007B7AE8">
          <w:rPr>
            <w:rFonts w:ascii="Times New Roman" w:hAnsi="Times New Roman"/>
            <w:noProof/>
            <w:webHidden/>
          </w:rPr>
          <w:fldChar w:fldCharType="end"/>
        </w:r>
      </w:hyperlink>
    </w:p>
    <w:p w14:paraId="5CA1D229" w14:textId="71EB519C"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40" w:history="1">
        <w:r w:rsidRPr="007B7AE8">
          <w:rPr>
            <w:rStyle w:val="Lienhypertexte"/>
            <w:rFonts w:ascii="Times New Roman" w:hAnsi="Times New Roman"/>
            <w:noProof/>
          </w:rPr>
          <w:t>Tableau 99: Niveaux des facteurs (P, G) d’élaboration d’une matrice des risques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_Toc207781940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208</w:t>
        </w:r>
        <w:r w:rsidRPr="007B7AE8">
          <w:rPr>
            <w:rFonts w:ascii="Times New Roman" w:hAnsi="Times New Roman"/>
            <w:noProof/>
            <w:webHidden/>
          </w:rPr>
          <w:fldChar w:fldCharType="end"/>
        </w:r>
      </w:hyperlink>
    </w:p>
    <w:p w14:paraId="470855D9" w14:textId="7586068A"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41" w:history="1">
        <w:r w:rsidRPr="007B7AE8">
          <w:rPr>
            <w:rStyle w:val="Lienhypertexte"/>
            <w:rFonts w:ascii="Times New Roman" w:hAnsi="Times New Roman"/>
            <w:noProof/>
          </w:rPr>
          <w:t>Tableau 100 : Matrice des niveaux de risque</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_Toc207781941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209</w:t>
        </w:r>
        <w:r w:rsidRPr="007B7AE8">
          <w:rPr>
            <w:rFonts w:ascii="Times New Roman" w:hAnsi="Times New Roman"/>
            <w:noProof/>
            <w:webHidden/>
          </w:rPr>
          <w:fldChar w:fldCharType="end"/>
        </w:r>
      </w:hyperlink>
    </w:p>
    <w:p w14:paraId="25D22F57" w14:textId="2568C84E"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42" w:history="1">
        <w:r w:rsidRPr="007B7AE8">
          <w:rPr>
            <w:rStyle w:val="Lienhypertexte"/>
            <w:rFonts w:ascii="Times New Roman" w:hAnsi="Times New Roman"/>
            <w:noProof/>
          </w:rPr>
          <w:t xml:space="preserve">Tableau 101 : </w:t>
        </w:r>
        <w:r w:rsidRPr="007B7AE8">
          <w:rPr>
            <w:rStyle w:val="Lienhypertexte"/>
            <w:rFonts w:ascii="Times New Roman" w:hAnsi="Times New Roman"/>
            <w:bCs/>
            <w:noProof/>
          </w:rPr>
          <w:t>Synthèse</w:t>
        </w:r>
        <w:r w:rsidRPr="007B7AE8">
          <w:rPr>
            <w:rStyle w:val="Lienhypertexte"/>
            <w:rFonts w:ascii="Times New Roman" w:hAnsi="Times New Roman"/>
            <w:bCs/>
            <w:noProof/>
            <w:lang w:eastAsia="fr-FR"/>
          </w:rPr>
          <w:t xml:space="preserve"> de l’Analyse et présentation des niveaux de risque finaux</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_Toc207781942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210</w:t>
        </w:r>
        <w:r w:rsidRPr="007B7AE8">
          <w:rPr>
            <w:rFonts w:ascii="Times New Roman" w:hAnsi="Times New Roman"/>
            <w:noProof/>
            <w:webHidden/>
          </w:rPr>
          <w:fldChar w:fldCharType="end"/>
        </w:r>
      </w:hyperlink>
    </w:p>
    <w:p w14:paraId="0B6ED75A" w14:textId="0966E588"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43" w:history="1">
        <w:r w:rsidRPr="007B7AE8">
          <w:rPr>
            <w:rStyle w:val="Lienhypertexte"/>
            <w:rFonts w:ascii="Times New Roman" w:hAnsi="Times New Roman"/>
            <w:noProof/>
          </w:rPr>
          <w:t xml:space="preserve">Tableau 102 : </w:t>
        </w:r>
        <w:r w:rsidRPr="007B7AE8">
          <w:rPr>
            <w:rStyle w:val="Lienhypertexte"/>
            <w:rFonts w:ascii="Times New Roman" w:hAnsi="Times New Roman"/>
            <w:bCs/>
            <w:noProof/>
          </w:rPr>
          <w:t>Mesures d’hygiène</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_Toc207781943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215</w:t>
        </w:r>
        <w:r w:rsidRPr="007B7AE8">
          <w:rPr>
            <w:rFonts w:ascii="Times New Roman" w:hAnsi="Times New Roman"/>
            <w:noProof/>
            <w:webHidden/>
          </w:rPr>
          <w:fldChar w:fldCharType="end"/>
        </w:r>
      </w:hyperlink>
    </w:p>
    <w:p w14:paraId="36485AC2" w14:textId="162D7C70"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44" w:history="1">
        <w:r w:rsidRPr="007B7AE8">
          <w:rPr>
            <w:rStyle w:val="Lienhypertexte"/>
            <w:rFonts w:ascii="Times New Roman" w:hAnsi="Times New Roman"/>
            <w:noProof/>
          </w:rPr>
          <w:t>Tableau 103 :</w:t>
        </w:r>
        <w:r w:rsidRPr="007B7AE8">
          <w:rPr>
            <w:rStyle w:val="Lienhypertexte"/>
            <w:rFonts w:ascii="Times New Roman" w:hAnsi="Times New Roman"/>
            <w:bCs/>
            <w:noProof/>
          </w:rPr>
          <w:t xml:space="preserve"> Mesures de sécurité</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_Toc207781944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215</w:t>
        </w:r>
        <w:r w:rsidRPr="007B7AE8">
          <w:rPr>
            <w:rFonts w:ascii="Times New Roman" w:hAnsi="Times New Roman"/>
            <w:noProof/>
            <w:webHidden/>
          </w:rPr>
          <w:fldChar w:fldCharType="end"/>
        </w:r>
      </w:hyperlink>
    </w:p>
    <w:p w14:paraId="10CE8DC2" w14:textId="565131FE"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45" w:history="1">
        <w:r w:rsidRPr="007B7AE8">
          <w:rPr>
            <w:rStyle w:val="Lienhypertexte"/>
            <w:rFonts w:ascii="Times New Roman" w:hAnsi="Times New Roman"/>
            <w:noProof/>
          </w:rPr>
          <w:t>Tableau 104 : Formations pour le personnel</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_Toc207781945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215</w:t>
        </w:r>
        <w:r w:rsidRPr="007B7AE8">
          <w:rPr>
            <w:rFonts w:ascii="Times New Roman" w:hAnsi="Times New Roman"/>
            <w:noProof/>
            <w:webHidden/>
          </w:rPr>
          <w:fldChar w:fldCharType="end"/>
        </w:r>
      </w:hyperlink>
    </w:p>
    <w:p w14:paraId="5F2117AD" w14:textId="504A0FF1"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46" w:history="1">
        <w:r w:rsidRPr="007B7AE8">
          <w:rPr>
            <w:rStyle w:val="Lienhypertexte"/>
            <w:rFonts w:ascii="Times New Roman" w:eastAsia="Times New Roman" w:hAnsi="Times New Roman"/>
            <w:iCs/>
            <w:noProof/>
          </w:rPr>
          <w:t>Tableau 105: Niveaux des facteurs (P, G) de la grille d’évaluation des risques professionnels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_Toc207781946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216</w:t>
        </w:r>
        <w:r w:rsidRPr="007B7AE8">
          <w:rPr>
            <w:rFonts w:ascii="Times New Roman" w:hAnsi="Times New Roman"/>
            <w:noProof/>
            <w:webHidden/>
          </w:rPr>
          <w:fldChar w:fldCharType="end"/>
        </w:r>
      </w:hyperlink>
    </w:p>
    <w:p w14:paraId="13963DA3" w14:textId="283B7657"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47" w:history="1">
        <w:r w:rsidRPr="007B7AE8">
          <w:rPr>
            <w:rStyle w:val="Lienhypertexte"/>
            <w:rFonts w:ascii="Times New Roman" w:eastAsia="Times New Roman" w:hAnsi="Times New Roman"/>
            <w:bCs/>
            <w:noProof/>
          </w:rPr>
          <w:t xml:space="preserve">Tableau </w:t>
        </w:r>
        <w:r w:rsidRPr="007B7AE8">
          <w:rPr>
            <w:rStyle w:val="Lienhypertexte"/>
            <w:rFonts w:ascii="Times New Roman" w:eastAsia="Times New Roman" w:hAnsi="Times New Roman"/>
            <w:iCs/>
            <w:noProof/>
          </w:rPr>
          <w:t>106</w:t>
        </w:r>
        <w:r w:rsidRPr="007B7AE8">
          <w:rPr>
            <w:rStyle w:val="Lienhypertexte"/>
            <w:rFonts w:ascii="Times New Roman" w:eastAsia="Times New Roman" w:hAnsi="Times New Roman"/>
            <w:bCs/>
            <w:noProof/>
          </w:rPr>
          <w:t>: Grille d’évaluation des risques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_Toc207781947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216</w:t>
        </w:r>
        <w:r w:rsidRPr="007B7AE8">
          <w:rPr>
            <w:rFonts w:ascii="Times New Roman" w:hAnsi="Times New Roman"/>
            <w:noProof/>
            <w:webHidden/>
          </w:rPr>
          <w:fldChar w:fldCharType="end"/>
        </w:r>
      </w:hyperlink>
    </w:p>
    <w:p w14:paraId="05C75E60" w14:textId="4DB8159E"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48" w:history="1">
        <w:r w:rsidRPr="007B7AE8">
          <w:rPr>
            <w:rStyle w:val="Lienhypertexte"/>
            <w:rFonts w:ascii="Times New Roman" w:eastAsia="Times New Roman" w:hAnsi="Times New Roman"/>
            <w:bCs/>
            <w:noProof/>
          </w:rPr>
          <w:t>Tableau 107: Évaluation des risques professionnels à la phase construction et d’exploitation</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_Toc207781948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217</w:t>
        </w:r>
        <w:r w:rsidRPr="007B7AE8">
          <w:rPr>
            <w:rFonts w:ascii="Times New Roman" w:hAnsi="Times New Roman"/>
            <w:noProof/>
            <w:webHidden/>
          </w:rPr>
          <w:fldChar w:fldCharType="end"/>
        </w:r>
      </w:hyperlink>
    </w:p>
    <w:p w14:paraId="4C7C3947" w14:textId="7C2F152A"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49" w:history="1">
        <w:r w:rsidRPr="007B7AE8">
          <w:rPr>
            <w:rStyle w:val="Lienhypertexte"/>
            <w:rFonts w:ascii="Times New Roman" w:hAnsi="Times New Roman"/>
            <w:noProof/>
          </w:rPr>
          <w:t>Tableau 108</w:t>
        </w:r>
        <w:r w:rsidRPr="007B7AE8">
          <w:rPr>
            <w:rStyle w:val="Lienhypertexte"/>
            <w:rFonts w:ascii="Times New Roman" w:hAnsi="Times New Roman"/>
            <w:bCs/>
            <w:noProof/>
          </w:rPr>
          <w:t xml:space="preserve"> :</w:t>
        </w:r>
        <w:r w:rsidRPr="007B7AE8">
          <w:rPr>
            <w:rStyle w:val="Lienhypertexte"/>
            <w:rFonts w:ascii="Times New Roman" w:hAnsi="Times New Roman"/>
            <w:noProof/>
          </w:rPr>
          <w:t xml:space="preserve"> Catégories des parties prenantes intéressées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_Toc207781949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221</w:t>
        </w:r>
        <w:r w:rsidRPr="007B7AE8">
          <w:rPr>
            <w:rFonts w:ascii="Times New Roman" w:hAnsi="Times New Roman"/>
            <w:noProof/>
            <w:webHidden/>
          </w:rPr>
          <w:fldChar w:fldCharType="end"/>
        </w:r>
      </w:hyperlink>
    </w:p>
    <w:p w14:paraId="54AE3FAB" w14:textId="3B87AA61"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50" w:history="1">
        <w:r w:rsidRPr="007B7AE8">
          <w:rPr>
            <w:rStyle w:val="Lienhypertexte"/>
            <w:rFonts w:ascii="Times New Roman" w:hAnsi="Times New Roman"/>
            <w:iCs/>
            <w:noProof/>
          </w:rPr>
          <w:t>Tableau 109 : Liste des parties prenantes affectées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_Toc207781950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222</w:t>
        </w:r>
        <w:r w:rsidRPr="007B7AE8">
          <w:rPr>
            <w:rFonts w:ascii="Times New Roman" w:hAnsi="Times New Roman"/>
            <w:noProof/>
            <w:webHidden/>
          </w:rPr>
          <w:fldChar w:fldCharType="end"/>
        </w:r>
      </w:hyperlink>
    </w:p>
    <w:p w14:paraId="3BCD6C05" w14:textId="3DC18436"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51" w:history="1">
        <w:r w:rsidRPr="007B7AE8">
          <w:rPr>
            <w:rStyle w:val="Lienhypertexte"/>
            <w:rFonts w:ascii="Times New Roman" w:hAnsi="Times New Roman"/>
            <w:noProof/>
          </w:rPr>
          <w:t>Tableau 110 : Critère d’évaluation du niveau d’influence des parties prenantes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_Toc207781951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224</w:t>
        </w:r>
        <w:r w:rsidRPr="007B7AE8">
          <w:rPr>
            <w:rFonts w:ascii="Times New Roman" w:hAnsi="Times New Roman"/>
            <w:noProof/>
            <w:webHidden/>
          </w:rPr>
          <w:fldChar w:fldCharType="end"/>
        </w:r>
      </w:hyperlink>
    </w:p>
    <w:p w14:paraId="52B5E10B" w14:textId="61C28F42"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52" w:history="1">
        <w:r w:rsidRPr="007B7AE8">
          <w:rPr>
            <w:rStyle w:val="Lienhypertexte"/>
            <w:rFonts w:ascii="Times New Roman" w:hAnsi="Times New Roman"/>
            <w:noProof/>
          </w:rPr>
          <w:t>Tableau 111 : Critère d’évaluation du niveau d’engagement</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_Toc207781952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225</w:t>
        </w:r>
        <w:r w:rsidRPr="007B7AE8">
          <w:rPr>
            <w:rFonts w:ascii="Times New Roman" w:hAnsi="Times New Roman"/>
            <w:noProof/>
            <w:webHidden/>
          </w:rPr>
          <w:fldChar w:fldCharType="end"/>
        </w:r>
      </w:hyperlink>
    </w:p>
    <w:p w14:paraId="26874C0C" w14:textId="6895B650"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53" w:history="1">
        <w:r w:rsidRPr="007B7AE8">
          <w:rPr>
            <w:rStyle w:val="Lienhypertexte"/>
            <w:rFonts w:ascii="Times New Roman" w:hAnsi="Times New Roman"/>
            <w:iCs/>
            <w:noProof/>
          </w:rPr>
          <w:t>Tableau 112 : Stratégie de communication et diffusion de l’information</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_Toc207781953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227</w:t>
        </w:r>
        <w:r w:rsidRPr="007B7AE8">
          <w:rPr>
            <w:rFonts w:ascii="Times New Roman" w:hAnsi="Times New Roman"/>
            <w:noProof/>
            <w:webHidden/>
          </w:rPr>
          <w:fldChar w:fldCharType="end"/>
        </w:r>
      </w:hyperlink>
    </w:p>
    <w:p w14:paraId="2F7D352A" w14:textId="134D434C"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54" w:history="1">
        <w:r w:rsidRPr="007B7AE8">
          <w:rPr>
            <w:rStyle w:val="Lienhypertexte"/>
            <w:rFonts w:ascii="Times New Roman" w:hAnsi="Times New Roman"/>
            <w:noProof/>
          </w:rPr>
          <w:t>Tableau 113 : Fonction de gestion et de responsabilités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_Toc207781954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234</w:t>
        </w:r>
        <w:r w:rsidRPr="007B7AE8">
          <w:rPr>
            <w:rFonts w:ascii="Times New Roman" w:hAnsi="Times New Roman"/>
            <w:noProof/>
            <w:webHidden/>
          </w:rPr>
          <w:fldChar w:fldCharType="end"/>
        </w:r>
      </w:hyperlink>
    </w:p>
    <w:p w14:paraId="716D46B3" w14:textId="37F5F5A9"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55" w:history="1">
        <w:r w:rsidRPr="007B7AE8">
          <w:rPr>
            <w:rStyle w:val="Lienhypertexte"/>
            <w:rFonts w:ascii="Times New Roman" w:eastAsia="Times New Roman" w:hAnsi="Times New Roman"/>
            <w:iCs/>
            <w:noProof/>
            <w:lang w:eastAsia="fr-FR"/>
          </w:rPr>
          <w:t>Tableau 114 : Rôles et responsabilités dans la mise en œuvre du PGES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_Toc207781955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235</w:t>
        </w:r>
        <w:r w:rsidRPr="007B7AE8">
          <w:rPr>
            <w:rFonts w:ascii="Times New Roman" w:hAnsi="Times New Roman"/>
            <w:noProof/>
            <w:webHidden/>
          </w:rPr>
          <w:fldChar w:fldCharType="end"/>
        </w:r>
      </w:hyperlink>
    </w:p>
    <w:p w14:paraId="083E34F2" w14:textId="74024112"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56" w:history="1">
        <w:r w:rsidRPr="007B7AE8">
          <w:rPr>
            <w:rStyle w:val="Lienhypertexte"/>
            <w:rFonts w:ascii="Times New Roman" w:eastAsia="Times New Roman" w:hAnsi="Times New Roman"/>
            <w:noProof/>
            <w:lang w:eastAsia="fr-FR"/>
          </w:rPr>
          <w:t>Tableau 115 : Stratégie de gestion des déchets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_Toc207781956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239</w:t>
        </w:r>
        <w:r w:rsidRPr="007B7AE8">
          <w:rPr>
            <w:rFonts w:ascii="Times New Roman" w:hAnsi="Times New Roman"/>
            <w:noProof/>
            <w:webHidden/>
          </w:rPr>
          <w:fldChar w:fldCharType="end"/>
        </w:r>
      </w:hyperlink>
    </w:p>
    <w:p w14:paraId="5581DB64" w14:textId="7F39A9BD"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57" w:history="1">
        <w:r w:rsidRPr="007B7AE8">
          <w:rPr>
            <w:rStyle w:val="Lienhypertexte"/>
            <w:rFonts w:ascii="Times New Roman" w:eastAsia="Times New Roman" w:hAnsi="Times New Roman"/>
            <w:noProof/>
            <w:lang w:eastAsia="fr-FR"/>
          </w:rPr>
          <w:t>Tableau 116: Mesures de gestion des installations et des équipements de la base -vie/chantier</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_Toc207781957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239</w:t>
        </w:r>
        <w:r w:rsidRPr="007B7AE8">
          <w:rPr>
            <w:rFonts w:ascii="Times New Roman" w:hAnsi="Times New Roman"/>
            <w:noProof/>
            <w:webHidden/>
          </w:rPr>
          <w:fldChar w:fldCharType="end"/>
        </w:r>
      </w:hyperlink>
    </w:p>
    <w:p w14:paraId="71CA5CFF" w14:textId="26A41F43"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58" w:history="1">
        <w:r w:rsidRPr="007B7AE8">
          <w:rPr>
            <w:rStyle w:val="Lienhypertexte"/>
            <w:rFonts w:ascii="Times New Roman" w:eastAsia="Times New Roman" w:hAnsi="Times New Roman"/>
            <w:noProof/>
            <w:lang w:eastAsia="fr-FR"/>
          </w:rPr>
          <w:t>Tableau 117: Programme d’information et de sensibilisation</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_Toc207781958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245</w:t>
        </w:r>
        <w:r w:rsidRPr="007B7AE8">
          <w:rPr>
            <w:rFonts w:ascii="Times New Roman" w:hAnsi="Times New Roman"/>
            <w:noProof/>
            <w:webHidden/>
          </w:rPr>
          <w:fldChar w:fldCharType="end"/>
        </w:r>
      </w:hyperlink>
    </w:p>
    <w:p w14:paraId="7B5EA263" w14:textId="7A244B14"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59" w:history="1">
        <w:r w:rsidRPr="007B7AE8">
          <w:rPr>
            <w:rStyle w:val="Lienhypertexte"/>
            <w:rFonts w:ascii="Times New Roman" w:eastAsia="Times New Roman" w:hAnsi="Times New Roman"/>
            <w:iCs/>
            <w:noProof/>
            <w:lang w:eastAsia="fr-FR"/>
          </w:rPr>
          <w:t>Tableau 118 : Matrice du PGES en phase préparatoire/Travaux</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_Toc207781959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247</w:t>
        </w:r>
        <w:r w:rsidRPr="007B7AE8">
          <w:rPr>
            <w:rFonts w:ascii="Times New Roman" w:hAnsi="Times New Roman"/>
            <w:noProof/>
            <w:webHidden/>
          </w:rPr>
          <w:fldChar w:fldCharType="end"/>
        </w:r>
      </w:hyperlink>
    </w:p>
    <w:p w14:paraId="7888A4A0" w14:textId="76E87BD4"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60" w:history="1">
        <w:r w:rsidRPr="007B7AE8">
          <w:rPr>
            <w:rStyle w:val="Lienhypertexte"/>
            <w:rFonts w:ascii="Times New Roman" w:eastAsia="Times New Roman" w:hAnsi="Times New Roman"/>
            <w:noProof/>
            <w:lang w:eastAsia="fr-FR"/>
          </w:rPr>
          <w:t>Tableau  119 : Matrice du PGES en phase d’exploitation</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_Toc207781960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265</w:t>
        </w:r>
        <w:r w:rsidRPr="007B7AE8">
          <w:rPr>
            <w:rFonts w:ascii="Times New Roman" w:hAnsi="Times New Roman"/>
            <w:noProof/>
            <w:webHidden/>
          </w:rPr>
          <w:fldChar w:fldCharType="end"/>
        </w:r>
      </w:hyperlink>
    </w:p>
    <w:p w14:paraId="2D208749" w14:textId="61001BC5"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61" w:history="1">
        <w:r w:rsidRPr="007B7AE8">
          <w:rPr>
            <w:rStyle w:val="Lienhypertexte"/>
            <w:rFonts w:ascii="Times New Roman" w:hAnsi="Times New Roman"/>
            <w:noProof/>
          </w:rPr>
          <w:t>Tableau 120 : Mesures d'information/sensibilisation et renforcement des capacités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_Toc207781961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268</w:t>
        </w:r>
        <w:r w:rsidRPr="007B7AE8">
          <w:rPr>
            <w:rFonts w:ascii="Times New Roman" w:hAnsi="Times New Roman"/>
            <w:noProof/>
            <w:webHidden/>
          </w:rPr>
          <w:fldChar w:fldCharType="end"/>
        </w:r>
      </w:hyperlink>
    </w:p>
    <w:p w14:paraId="53F2CA6B" w14:textId="25C47BC6"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62" w:history="1">
        <w:r w:rsidRPr="007B7AE8">
          <w:rPr>
            <w:rStyle w:val="Lienhypertexte"/>
            <w:rFonts w:ascii="Times New Roman" w:eastAsia="Times New Roman" w:hAnsi="Times New Roman"/>
            <w:iCs/>
            <w:noProof/>
            <w:lang w:eastAsia="fr-FR"/>
          </w:rPr>
          <w:t>Tableau 121 : Canevas de suivi environnemental et social</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_Toc207781962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273</w:t>
        </w:r>
        <w:r w:rsidRPr="007B7AE8">
          <w:rPr>
            <w:rFonts w:ascii="Times New Roman" w:hAnsi="Times New Roman"/>
            <w:noProof/>
            <w:webHidden/>
          </w:rPr>
          <w:fldChar w:fldCharType="end"/>
        </w:r>
      </w:hyperlink>
    </w:p>
    <w:p w14:paraId="244C4EFA" w14:textId="42157644" w:rsidR="00A717AA" w:rsidRPr="007B7AE8" w:rsidRDefault="00A717AA" w:rsidP="007B7AE8">
      <w:pPr>
        <w:pStyle w:val="Tabledesillustrations"/>
        <w:tabs>
          <w:tab w:val="right" w:leader="dot" w:pos="9060"/>
        </w:tabs>
        <w:spacing w:after="0"/>
        <w:jc w:val="both"/>
        <w:rPr>
          <w:rFonts w:ascii="Times New Roman" w:eastAsiaTheme="minorEastAsia" w:hAnsi="Times New Roman"/>
          <w:noProof/>
          <w:kern w:val="2"/>
          <w:lang w:val="fr-SN" w:eastAsia="fr-FR"/>
          <w14:ligatures w14:val="standardContextual"/>
        </w:rPr>
      </w:pPr>
      <w:hyperlink w:anchor="_Toc207781963" w:history="1">
        <w:r w:rsidRPr="007B7AE8">
          <w:rPr>
            <w:rStyle w:val="Lienhypertexte"/>
            <w:rFonts w:ascii="Times New Roman" w:eastAsia="Times New Roman" w:hAnsi="Times New Roman"/>
            <w:noProof/>
            <w:lang w:eastAsia="fr-FR"/>
          </w:rPr>
          <w:t xml:space="preserve">Tableau </w:t>
        </w:r>
        <w:r w:rsidRPr="007B7AE8">
          <w:rPr>
            <w:rStyle w:val="Lienhypertexte"/>
            <w:rFonts w:ascii="Times New Roman" w:eastAsia="Times New Roman" w:hAnsi="Times New Roman"/>
            <w:iCs/>
            <w:noProof/>
            <w:lang w:eastAsia="fr-FR"/>
          </w:rPr>
          <w:t xml:space="preserve"> 122 :</w:t>
        </w:r>
        <w:r w:rsidRPr="007B7AE8">
          <w:rPr>
            <w:rStyle w:val="Lienhypertexte"/>
            <w:rFonts w:ascii="Times New Roman" w:eastAsia="Times New Roman" w:hAnsi="Times New Roman"/>
            <w:noProof/>
            <w:lang w:eastAsia="fr-FR"/>
          </w:rPr>
          <w:t xml:space="preserve"> </w:t>
        </w:r>
        <w:r w:rsidRPr="007B7AE8">
          <w:rPr>
            <w:rStyle w:val="Lienhypertexte"/>
            <w:rFonts w:ascii="Times New Roman" w:eastAsia="Times New Roman" w:hAnsi="Times New Roman"/>
            <w:bCs/>
            <w:noProof/>
            <w:lang w:eastAsia="fr-FR"/>
          </w:rPr>
          <w:t>Synthèse des couts du PGES</w:t>
        </w:r>
        <w:r w:rsidRPr="007B7AE8">
          <w:rPr>
            <w:rFonts w:ascii="Times New Roman" w:hAnsi="Times New Roman"/>
            <w:noProof/>
            <w:webHidden/>
          </w:rPr>
          <w:tab/>
        </w:r>
        <w:r w:rsidRPr="007B7AE8">
          <w:rPr>
            <w:rFonts w:ascii="Times New Roman" w:hAnsi="Times New Roman"/>
            <w:noProof/>
            <w:webHidden/>
          </w:rPr>
          <w:fldChar w:fldCharType="begin"/>
        </w:r>
        <w:r w:rsidRPr="007B7AE8">
          <w:rPr>
            <w:rFonts w:ascii="Times New Roman" w:hAnsi="Times New Roman"/>
            <w:noProof/>
            <w:webHidden/>
          </w:rPr>
          <w:instrText xml:space="preserve"> PAGEREF _Toc207781963 \h </w:instrText>
        </w:r>
        <w:r w:rsidRPr="007B7AE8">
          <w:rPr>
            <w:rFonts w:ascii="Times New Roman" w:hAnsi="Times New Roman"/>
            <w:noProof/>
            <w:webHidden/>
          </w:rPr>
        </w:r>
        <w:r w:rsidRPr="007B7AE8">
          <w:rPr>
            <w:rFonts w:ascii="Times New Roman" w:hAnsi="Times New Roman"/>
            <w:noProof/>
            <w:webHidden/>
          </w:rPr>
          <w:fldChar w:fldCharType="separate"/>
        </w:r>
        <w:r w:rsidR="00805E85" w:rsidRPr="007B7AE8">
          <w:rPr>
            <w:rFonts w:ascii="Times New Roman" w:hAnsi="Times New Roman"/>
            <w:noProof/>
            <w:webHidden/>
          </w:rPr>
          <w:t>276</w:t>
        </w:r>
        <w:r w:rsidRPr="007B7AE8">
          <w:rPr>
            <w:rFonts w:ascii="Times New Roman" w:hAnsi="Times New Roman"/>
            <w:noProof/>
            <w:webHidden/>
          </w:rPr>
          <w:fldChar w:fldCharType="end"/>
        </w:r>
      </w:hyperlink>
    </w:p>
    <w:p w14:paraId="0346CB7E" w14:textId="0E4DA966" w:rsidR="005F3FB7" w:rsidRPr="007B7AE8" w:rsidRDefault="005F3FB7" w:rsidP="007B7AE8">
      <w:pPr>
        <w:pStyle w:val="Style1"/>
        <w:pBdr>
          <w:bottom w:val="none" w:sz="0" w:space="0" w:color="auto"/>
        </w:pBdr>
        <w:spacing w:before="0" w:after="0" w:line="240" w:lineRule="auto"/>
        <w:jc w:val="both"/>
        <w:rPr>
          <w:b w:val="0"/>
          <w:color w:val="000000" w:themeColor="text1"/>
          <w:sz w:val="22"/>
        </w:rPr>
      </w:pPr>
      <w:r w:rsidRPr="007B7AE8">
        <w:rPr>
          <w:b w:val="0"/>
          <w:iCs/>
          <w:color w:val="000000" w:themeColor="text1"/>
          <w:sz w:val="22"/>
        </w:rPr>
        <w:lastRenderedPageBreak/>
        <w:fldChar w:fldCharType="end"/>
      </w:r>
    </w:p>
    <w:p w14:paraId="4DF95A3E" w14:textId="60370E0D" w:rsidR="005F3FB7" w:rsidRPr="008A3B6D" w:rsidRDefault="005F3FB7" w:rsidP="0097258B">
      <w:pPr>
        <w:pStyle w:val="Style1"/>
        <w:pBdr>
          <w:bottom w:val="single" w:sz="12" w:space="1" w:color="0070C0"/>
        </w:pBdr>
        <w:spacing w:before="0" w:after="0" w:line="240" w:lineRule="auto"/>
        <w:jc w:val="both"/>
        <w:rPr>
          <w:color w:val="000000" w:themeColor="text1"/>
          <w:szCs w:val="24"/>
        </w:rPr>
      </w:pPr>
      <w:r w:rsidRPr="008A3B6D">
        <w:rPr>
          <w:color w:val="000000" w:themeColor="text1"/>
          <w:szCs w:val="24"/>
        </w:rPr>
        <w:t>PHOTOS</w:t>
      </w:r>
    </w:p>
    <w:p w14:paraId="6932B19F" w14:textId="4CABC4F3" w:rsidR="008A50C4" w:rsidRPr="000C0E75" w:rsidRDefault="005F3FB7"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r w:rsidRPr="000C0E75">
        <w:rPr>
          <w:rFonts w:ascii="Times New Roman" w:hAnsi="Times New Roman"/>
          <w:color w:val="000000" w:themeColor="text1"/>
          <w:sz w:val="20"/>
          <w:szCs w:val="20"/>
        </w:rPr>
        <w:fldChar w:fldCharType="begin"/>
      </w:r>
      <w:r w:rsidRPr="000C0E75">
        <w:rPr>
          <w:rFonts w:ascii="Times New Roman" w:hAnsi="Times New Roman"/>
          <w:color w:val="000000" w:themeColor="text1"/>
          <w:sz w:val="20"/>
          <w:szCs w:val="20"/>
        </w:rPr>
        <w:instrText xml:space="preserve"> TOC \h \z \c "Photo" </w:instrText>
      </w:r>
      <w:r w:rsidRPr="000C0E75">
        <w:rPr>
          <w:rFonts w:ascii="Times New Roman" w:hAnsi="Times New Roman"/>
          <w:color w:val="000000" w:themeColor="text1"/>
          <w:sz w:val="20"/>
          <w:szCs w:val="20"/>
        </w:rPr>
        <w:fldChar w:fldCharType="separate"/>
      </w:r>
      <w:hyperlink w:anchor="_Toc212725200" w:history="1">
        <w:r w:rsidR="008A50C4" w:rsidRPr="000C0E75">
          <w:rPr>
            <w:rStyle w:val="Lienhypertexte"/>
            <w:rFonts w:ascii="Times New Roman" w:hAnsi="Times New Roman"/>
            <w:noProof/>
            <w:lang w:val="fr-SN"/>
          </w:rPr>
          <w:t>Photo 1</w:t>
        </w:r>
        <w:r w:rsidR="008A50C4" w:rsidRPr="000C0E75">
          <w:rPr>
            <w:rStyle w:val="Lienhypertexte"/>
            <w:rFonts w:ascii="Times New Roman" w:hAnsi="Times New Roman"/>
            <w:noProof/>
          </w:rPr>
          <w:t>: </w:t>
        </w:r>
        <w:r w:rsidR="00374D30">
          <w:rPr>
            <w:rStyle w:val="Lienhypertexte"/>
            <w:rFonts w:ascii="Times New Roman" w:hAnsi="Times New Roman"/>
            <w:noProof/>
          </w:rPr>
          <w:t>M</w:t>
        </w:r>
        <w:r w:rsidR="008A50C4" w:rsidRPr="000C0E75">
          <w:rPr>
            <w:rStyle w:val="Lienhypertexte"/>
            <w:rFonts w:ascii="Times New Roman" w:hAnsi="Times New Roman"/>
            <w:noProof/>
          </w:rPr>
          <w:t>ur de clôture sur le site du BR_NC 10</w:t>
        </w:r>
        <w:r w:rsidR="008A50C4" w:rsidRPr="000C0E75">
          <w:rPr>
            <w:rFonts w:ascii="Times New Roman" w:hAnsi="Times New Roman"/>
            <w:noProof/>
            <w:webHidden/>
          </w:rPr>
          <w:tab/>
        </w:r>
        <w:r w:rsidR="008A50C4" w:rsidRPr="000C0E75">
          <w:rPr>
            <w:rFonts w:ascii="Times New Roman" w:hAnsi="Times New Roman"/>
            <w:noProof/>
            <w:webHidden/>
          </w:rPr>
          <w:fldChar w:fldCharType="begin"/>
        </w:r>
        <w:r w:rsidR="008A50C4" w:rsidRPr="000C0E75">
          <w:rPr>
            <w:rFonts w:ascii="Times New Roman" w:hAnsi="Times New Roman"/>
            <w:noProof/>
            <w:webHidden/>
          </w:rPr>
          <w:instrText xml:space="preserve"> PAGEREF _Toc212725200 \h </w:instrText>
        </w:r>
        <w:r w:rsidR="008A50C4" w:rsidRPr="000C0E75">
          <w:rPr>
            <w:rFonts w:ascii="Times New Roman" w:hAnsi="Times New Roman"/>
            <w:noProof/>
            <w:webHidden/>
          </w:rPr>
        </w:r>
        <w:r w:rsidR="008A50C4" w:rsidRPr="000C0E75">
          <w:rPr>
            <w:rFonts w:ascii="Times New Roman" w:hAnsi="Times New Roman"/>
            <w:noProof/>
            <w:webHidden/>
          </w:rPr>
          <w:fldChar w:fldCharType="separate"/>
        </w:r>
        <w:r w:rsidR="00805E85" w:rsidRPr="000C0E75">
          <w:rPr>
            <w:rFonts w:ascii="Times New Roman" w:hAnsi="Times New Roman"/>
            <w:noProof/>
            <w:webHidden/>
          </w:rPr>
          <w:t>65</w:t>
        </w:r>
        <w:r w:rsidR="008A50C4" w:rsidRPr="000C0E75">
          <w:rPr>
            <w:rFonts w:ascii="Times New Roman" w:hAnsi="Times New Roman"/>
            <w:noProof/>
            <w:webHidden/>
          </w:rPr>
          <w:fldChar w:fldCharType="end"/>
        </w:r>
      </w:hyperlink>
    </w:p>
    <w:p w14:paraId="58D515CC" w14:textId="103CA6F9"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01" w:history="1">
        <w:r w:rsidRPr="000C0E75">
          <w:rPr>
            <w:rStyle w:val="Lienhypertexte"/>
            <w:rFonts w:ascii="Times New Roman" w:hAnsi="Times New Roman"/>
            <w:noProof/>
            <w:lang w:val="fr-SN"/>
          </w:rPr>
          <w:t>Photo 2</w:t>
        </w:r>
        <w:r w:rsidRPr="000C0E75">
          <w:rPr>
            <w:rStyle w:val="Lienhypertexte"/>
            <w:rFonts w:ascii="Times New Roman" w:hAnsi="Times New Roman"/>
            <w:noProof/>
          </w:rPr>
          <w:t xml:space="preserve"> : </w:t>
        </w:r>
        <w:r w:rsidR="00374D30">
          <w:rPr>
            <w:rStyle w:val="Lienhypertexte"/>
            <w:rFonts w:ascii="Times New Roman" w:hAnsi="Times New Roman"/>
            <w:noProof/>
          </w:rPr>
          <w:t>B</w:t>
        </w:r>
        <w:r w:rsidRPr="000C0E75">
          <w:rPr>
            <w:rStyle w:val="Lienhypertexte"/>
            <w:rFonts w:ascii="Times New Roman" w:hAnsi="Times New Roman"/>
            <w:noProof/>
          </w:rPr>
          <w:t>âtiment en construction sur le site du BR_NC 10</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_Toc212725201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65</w:t>
        </w:r>
        <w:r w:rsidRPr="000C0E75">
          <w:rPr>
            <w:rFonts w:ascii="Times New Roman" w:hAnsi="Times New Roman"/>
            <w:noProof/>
            <w:webHidden/>
          </w:rPr>
          <w:fldChar w:fldCharType="end"/>
        </w:r>
      </w:hyperlink>
    </w:p>
    <w:p w14:paraId="01B228AD" w14:textId="7DE9E8E1"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02" w:history="1">
        <w:r w:rsidRPr="000C0E75">
          <w:rPr>
            <w:rStyle w:val="Lienhypertexte"/>
            <w:rFonts w:ascii="Times New Roman" w:hAnsi="Times New Roman"/>
            <w:noProof/>
          </w:rPr>
          <w:t xml:space="preserve">Photo 3: </w:t>
        </w:r>
        <w:r w:rsidR="00374D30">
          <w:rPr>
            <w:rStyle w:val="Lienhypertexte"/>
            <w:rFonts w:ascii="Times New Roman" w:hAnsi="Times New Roman"/>
            <w:noProof/>
          </w:rPr>
          <w:t>E</w:t>
        </w:r>
        <w:r w:rsidRPr="000C0E75">
          <w:rPr>
            <w:rStyle w:val="Lienhypertexte"/>
            <w:rFonts w:ascii="Times New Roman" w:hAnsi="Times New Roman"/>
            <w:noProof/>
          </w:rPr>
          <w:t>spèces végétales sur le site du BR_NC 10</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_Toc212725202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66</w:t>
        </w:r>
        <w:r w:rsidRPr="000C0E75">
          <w:rPr>
            <w:rFonts w:ascii="Times New Roman" w:hAnsi="Times New Roman"/>
            <w:noProof/>
            <w:webHidden/>
          </w:rPr>
          <w:fldChar w:fldCharType="end"/>
        </w:r>
      </w:hyperlink>
    </w:p>
    <w:p w14:paraId="2ACF281A" w14:textId="74101DC7"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03" w:history="1">
        <w:r w:rsidRPr="000C0E75">
          <w:rPr>
            <w:rStyle w:val="Lienhypertexte"/>
            <w:rFonts w:ascii="Times New Roman" w:eastAsia="Times New Roman" w:hAnsi="Times New Roman"/>
            <w:noProof/>
            <w:lang w:eastAsia="fr-FR"/>
          </w:rPr>
          <w:t>Photo 4 :</w:t>
        </w:r>
        <w:r w:rsidRPr="000C0E75">
          <w:rPr>
            <w:rStyle w:val="Lienhypertexte"/>
            <w:rFonts w:ascii="Times New Roman" w:hAnsi="Times New Roman"/>
            <w:noProof/>
          </w:rPr>
          <w:t xml:space="preserve"> </w:t>
        </w:r>
        <w:r w:rsidR="00374D30">
          <w:rPr>
            <w:rStyle w:val="Lienhypertexte"/>
            <w:rFonts w:ascii="Times New Roman" w:hAnsi="Times New Roman"/>
            <w:noProof/>
          </w:rPr>
          <w:t>F</w:t>
        </w:r>
        <w:r w:rsidRPr="000C0E75">
          <w:rPr>
            <w:rStyle w:val="Lienhypertexte"/>
            <w:rFonts w:ascii="Times New Roman" w:hAnsi="Times New Roman"/>
            <w:noProof/>
          </w:rPr>
          <w:t>ondation dans la zone du BRNC09A</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_Toc212725203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66</w:t>
        </w:r>
        <w:r w:rsidRPr="000C0E75">
          <w:rPr>
            <w:rFonts w:ascii="Times New Roman" w:hAnsi="Times New Roman"/>
            <w:noProof/>
            <w:webHidden/>
          </w:rPr>
          <w:fldChar w:fldCharType="end"/>
        </w:r>
      </w:hyperlink>
    </w:p>
    <w:p w14:paraId="68422A36" w14:textId="05A84BEC"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04" w:history="1">
        <w:r w:rsidRPr="000C0E75">
          <w:rPr>
            <w:rStyle w:val="Lienhypertexte"/>
            <w:rFonts w:ascii="Times New Roman" w:eastAsia="Times New Roman" w:hAnsi="Times New Roman"/>
            <w:noProof/>
            <w:lang w:eastAsia="fr-FR"/>
          </w:rPr>
          <w:t>Photo 5</w:t>
        </w:r>
        <w:r w:rsidR="00374D30">
          <w:rPr>
            <w:rStyle w:val="Lienhypertexte"/>
            <w:rFonts w:ascii="Times New Roman" w:eastAsia="Times New Roman" w:hAnsi="Times New Roman"/>
            <w:noProof/>
            <w:lang w:eastAsia="fr-FR"/>
          </w:rPr>
          <w:t> : D</w:t>
        </w:r>
        <w:r w:rsidRPr="000C0E75">
          <w:rPr>
            <w:rStyle w:val="Lienhypertexte"/>
            <w:rFonts w:ascii="Times New Roman" w:eastAsia="Times New Roman" w:hAnsi="Times New Roman"/>
            <w:noProof/>
            <w:lang w:eastAsia="fr-FR"/>
          </w:rPr>
          <w:t>épôt d’ordures sur le site du BRNC09A</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_Toc212725204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67</w:t>
        </w:r>
        <w:r w:rsidRPr="000C0E75">
          <w:rPr>
            <w:rFonts w:ascii="Times New Roman" w:hAnsi="Times New Roman"/>
            <w:noProof/>
            <w:webHidden/>
          </w:rPr>
          <w:fldChar w:fldCharType="end"/>
        </w:r>
      </w:hyperlink>
    </w:p>
    <w:p w14:paraId="4D5A565F" w14:textId="46316D65"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05" w:history="1">
        <w:r w:rsidRPr="000C0E75">
          <w:rPr>
            <w:rStyle w:val="Lienhypertexte"/>
            <w:rFonts w:ascii="Times New Roman" w:eastAsia="Times New Roman" w:hAnsi="Times New Roman"/>
            <w:noProof/>
            <w:lang w:eastAsia="fr-FR"/>
          </w:rPr>
          <w:t xml:space="preserve">Photo 6 : </w:t>
        </w:r>
        <w:r w:rsidR="00374D30">
          <w:rPr>
            <w:rStyle w:val="Lienhypertexte"/>
            <w:rFonts w:ascii="Times New Roman" w:eastAsia="Times New Roman" w:hAnsi="Times New Roman"/>
            <w:noProof/>
            <w:lang w:eastAsia="fr-FR"/>
          </w:rPr>
          <w:t>H</w:t>
        </w:r>
        <w:r w:rsidRPr="000C0E75">
          <w:rPr>
            <w:rStyle w:val="Lienhypertexte"/>
            <w:rFonts w:ascii="Times New Roman" w:eastAsia="Times New Roman" w:hAnsi="Times New Roman"/>
            <w:noProof/>
            <w:lang w:eastAsia="fr-FR"/>
          </w:rPr>
          <w:t>abitations et place d’affaire à la limite du site du BRNC09A</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_Toc212725205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67</w:t>
        </w:r>
        <w:r w:rsidRPr="000C0E75">
          <w:rPr>
            <w:rFonts w:ascii="Times New Roman" w:hAnsi="Times New Roman"/>
            <w:noProof/>
            <w:webHidden/>
          </w:rPr>
          <w:fldChar w:fldCharType="end"/>
        </w:r>
      </w:hyperlink>
    </w:p>
    <w:p w14:paraId="1DB064EA" w14:textId="35785641"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06" w:history="1">
        <w:r w:rsidRPr="000C0E75">
          <w:rPr>
            <w:rStyle w:val="Lienhypertexte"/>
            <w:rFonts w:ascii="Times New Roman" w:hAnsi="Times New Roman"/>
            <w:noProof/>
          </w:rPr>
          <w:t xml:space="preserve">Photo 7: </w:t>
        </w:r>
        <w:r w:rsidR="00374D30">
          <w:rPr>
            <w:rStyle w:val="Lienhypertexte"/>
            <w:rFonts w:ascii="Times New Roman" w:hAnsi="Times New Roman"/>
            <w:noProof/>
          </w:rPr>
          <w:t>Z</w:t>
        </w:r>
        <w:r w:rsidRPr="000C0E75">
          <w:rPr>
            <w:rStyle w:val="Lienhypertexte"/>
            <w:rFonts w:ascii="Times New Roman" w:hAnsi="Times New Roman"/>
            <w:noProof/>
          </w:rPr>
          <w:t>one de lotissement et piste en terre sur le site du BR_NC 03d</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_Toc212725206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67</w:t>
        </w:r>
        <w:r w:rsidRPr="000C0E75">
          <w:rPr>
            <w:rFonts w:ascii="Times New Roman" w:hAnsi="Times New Roman"/>
            <w:noProof/>
            <w:webHidden/>
          </w:rPr>
          <w:fldChar w:fldCharType="end"/>
        </w:r>
      </w:hyperlink>
    </w:p>
    <w:p w14:paraId="131C15CA" w14:textId="33468525"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07" w:history="1">
        <w:r w:rsidRPr="000C0E75">
          <w:rPr>
            <w:rStyle w:val="Lienhypertexte"/>
            <w:rFonts w:ascii="Times New Roman" w:hAnsi="Times New Roman"/>
            <w:noProof/>
          </w:rPr>
          <w:t xml:space="preserve">Photo 8: </w:t>
        </w:r>
        <w:r w:rsidR="00374D30">
          <w:rPr>
            <w:rStyle w:val="Lienhypertexte"/>
            <w:rFonts w:ascii="Times New Roman" w:hAnsi="Times New Roman"/>
            <w:noProof/>
          </w:rPr>
          <w:t>Z</w:t>
        </w:r>
        <w:r w:rsidRPr="000C0E75">
          <w:rPr>
            <w:rStyle w:val="Lienhypertexte"/>
            <w:rFonts w:ascii="Times New Roman" w:hAnsi="Times New Roman"/>
            <w:noProof/>
          </w:rPr>
          <w:t>one de pâturage sur le site du BR_NC 03d</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_Toc212725207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68</w:t>
        </w:r>
        <w:r w:rsidRPr="000C0E75">
          <w:rPr>
            <w:rFonts w:ascii="Times New Roman" w:hAnsi="Times New Roman"/>
            <w:noProof/>
            <w:webHidden/>
          </w:rPr>
          <w:fldChar w:fldCharType="end"/>
        </w:r>
      </w:hyperlink>
    </w:p>
    <w:p w14:paraId="377CA360" w14:textId="5B0602CC"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08" w:history="1">
        <w:r w:rsidRPr="000C0E75">
          <w:rPr>
            <w:rStyle w:val="Lienhypertexte"/>
            <w:rFonts w:ascii="Times New Roman" w:eastAsia="Times New Roman" w:hAnsi="Times New Roman"/>
            <w:noProof/>
            <w:lang w:eastAsia="fr-FR"/>
          </w:rPr>
          <w:t>Photo 9 : Bassin d’irrigation dans le site du BRND11</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_Toc212725208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68</w:t>
        </w:r>
        <w:r w:rsidRPr="000C0E75">
          <w:rPr>
            <w:rFonts w:ascii="Times New Roman" w:hAnsi="Times New Roman"/>
            <w:noProof/>
            <w:webHidden/>
          </w:rPr>
          <w:fldChar w:fldCharType="end"/>
        </w:r>
      </w:hyperlink>
    </w:p>
    <w:p w14:paraId="43946E2B" w14:textId="5170B865"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09" w:history="1">
        <w:r w:rsidRPr="000C0E75">
          <w:rPr>
            <w:rStyle w:val="Lienhypertexte"/>
            <w:rFonts w:ascii="Times New Roman" w:eastAsia="Times New Roman" w:hAnsi="Times New Roman"/>
            <w:noProof/>
            <w:lang w:eastAsia="fr-FR"/>
          </w:rPr>
          <w:t>Photo 10 : Plantation de papayer et de moringa dans le site du BR_ND 11</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_Toc212725209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69</w:t>
        </w:r>
        <w:r w:rsidRPr="000C0E75">
          <w:rPr>
            <w:rFonts w:ascii="Times New Roman" w:hAnsi="Times New Roman"/>
            <w:noProof/>
            <w:webHidden/>
          </w:rPr>
          <w:fldChar w:fldCharType="end"/>
        </w:r>
      </w:hyperlink>
    </w:p>
    <w:p w14:paraId="30534EB9" w14:textId="00C0F8A9"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10" w:history="1">
        <w:r w:rsidRPr="000C0E75">
          <w:rPr>
            <w:rStyle w:val="Lienhypertexte"/>
            <w:rFonts w:ascii="Times New Roman" w:hAnsi="Times New Roman"/>
            <w:noProof/>
          </w:rPr>
          <w:t xml:space="preserve">Photo 11: </w:t>
        </w:r>
        <w:r w:rsidR="00374D30">
          <w:rPr>
            <w:rStyle w:val="Lienhypertexte"/>
            <w:rFonts w:ascii="Times New Roman" w:hAnsi="Times New Roman"/>
            <w:noProof/>
          </w:rPr>
          <w:t>U</w:t>
        </w:r>
        <w:r w:rsidRPr="000C0E75">
          <w:rPr>
            <w:rStyle w:val="Lienhypertexte"/>
            <w:rFonts w:ascii="Times New Roman" w:hAnsi="Times New Roman"/>
            <w:noProof/>
          </w:rPr>
          <w:t>n poste électrique à proximité du BR_ND 20</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_Toc212725210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69</w:t>
        </w:r>
        <w:r w:rsidRPr="000C0E75">
          <w:rPr>
            <w:rFonts w:ascii="Times New Roman" w:hAnsi="Times New Roman"/>
            <w:noProof/>
            <w:webHidden/>
          </w:rPr>
          <w:fldChar w:fldCharType="end"/>
        </w:r>
      </w:hyperlink>
    </w:p>
    <w:p w14:paraId="06FFE6A7" w14:textId="79248768"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11" w:history="1">
        <w:r w:rsidRPr="000C0E75">
          <w:rPr>
            <w:rStyle w:val="Lienhypertexte"/>
            <w:rFonts w:ascii="Times New Roman" w:hAnsi="Times New Roman"/>
            <w:noProof/>
          </w:rPr>
          <w:t xml:space="preserve">Photo 12: </w:t>
        </w:r>
        <w:r w:rsidR="00374D30">
          <w:rPr>
            <w:rStyle w:val="Lienhypertexte"/>
            <w:rFonts w:ascii="Times New Roman" w:hAnsi="Times New Roman"/>
            <w:noProof/>
          </w:rPr>
          <w:t>V</w:t>
        </w:r>
        <w:r w:rsidRPr="000C0E75">
          <w:rPr>
            <w:rStyle w:val="Lienhypertexte"/>
            <w:rFonts w:ascii="Times New Roman" w:hAnsi="Times New Roman"/>
            <w:noProof/>
          </w:rPr>
          <w:t>ue du site du bassin BR_ND 20</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_Toc212725211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69</w:t>
        </w:r>
        <w:r w:rsidRPr="000C0E75">
          <w:rPr>
            <w:rFonts w:ascii="Times New Roman" w:hAnsi="Times New Roman"/>
            <w:noProof/>
            <w:webHidden/>
          </w:rPr>
          <w:fldChar w:fldCharType="end"/>
        </w:r>
      </w:hyperlink>
    </w:p>
    <w:p w14:paraId="2240472C" w14:textId="26D7FF56"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12" w:history="1">
        <w:r w:rsidRPr="000C0E75">
          <w:rPr>
            <w:rStyle w:val="Lienhypertexte"/>
            <w:rFonts w:ascii="Times New Roman" w:hAnsi="Times New Roman"/>
            <w:noProof/>
          </w:rPr>
          <w:t xml:space="preserve">Photo 13 : </w:t>
        </w:r>
        <w:r w:rsidR="00374D30">
          <w:rPr>
            <w:rStyle w:val="Lienhypertexte"/>
            <w:rFonts w:ascii="Times New Roman" w:hAnsi="Times New Roman"/>
            <w:noProof/>
          </w:rPr>
          <w:t>D</w:t>
        </w:r>
        <w:r w:rsidRPr="000C0E75">
          <w:rPr>
            <w:rStyle w:val="Lienhypertexte"/>
            <w:rFonts w:ascii="Times New Roman" w:hAnsi="Times New Roman"/>
            <w:noProof/>
          </w:rPr>
          <w:t>épôt de ferraille sur le site du bassin éventuel</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_Toc212725212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70</w:t>
        </w:r>
        <w:r w:rsidRPr="000C0E75">
          <w:rPr>
            <w:rFonts w:ascii="Times New Roman" w:hAnsi="Times New Roman"/>
            <w:noProof/>
            <w:webHidden/>
          </w:rPr>
          <w:fldChar w:fldCharType="end"/>
        </w:r>
      </w:hyperlink>
    </w:p>
    <w:p w14:paraId="16F726CC" w14:textId="25BEF88D"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13" w:history="1">
        <w:r w:rsidRPr="000C0E75">
          <w:rPr>
            <w:rStyle w:val="Lienhypertexte"/>
            <w:rFonts w:ascii="Times New Roman" w:hAnsi="Times New Roman"/>
            <w:noProof/>
          </w:rPr>
          <w:t xml:space="preserve">Photo 14 : </w:t>
        </w:r>
        <w:r w:rsidR="00374D30">
          <w:rPr>
            <w:rStyle w:val="Lienhypertexte"/>
            <w:rFonts w:ascii="Times New Roman" w:hAnsi="Times New Roman"/>
            <w:noProof/>
          </w:rPr>
          <w:t>M</w:t>
        </w:r>
        <w:r w:rsidRPr="000C0E75">
          <w:rPr>
            <w:rStyle w:val="Lienhypertexte"/>
            <w:rFonts w:ascii="Times New Roman" w:hAnsi="Times New Roman"/>
            <w:noProof/>
          </w:rPr>
          <w:t>oto pompage sur le site du bassin BR_ND 41</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_Toc212725213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70</w:t>
        </w:r>
        <w:r w:rsidRPr="000C0E75">
          <w:rPr>
            <w:rFonts w:ascii="Times New Roman" w:hAnsi="Times New Roman"/>
            <w:noProof/>
            <w:webHidden/>
          </w:rPr>
          <w:fldChar w:fldCharType="end"/>
        </w:r>
      </w:hyperlink>
    </w:p>
    <w:p w14:paraId="22982259" w14:textId="44BF1E95"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14" w:history="1">
        <w:r w:rsidRPr="000C0E75">
          <w:rPr>
            <w:rStyle w:val="Lienhypertexte"/>
            <w:rFonts w:ascii="Times New Roman" w:hAnsi="Times New Roman"/>
            <w:noProof/>
          </w:rPr>
          <w:t xml:space="preserve">Photo 15 : </w:t>
        </w:r>
        <w:r w:rsidR="00374D30">
          <w:rPr>
            <w:rStyle w:val="Lienhypertexte"/>
            <w:rFonts w:ascii="Times New Roman" w:hAnsi="Times New Roman"/>
            <w:noProof/>
          </w:rPr>
          <w:t>R</w:t>
        </w:r>
        <w:r w:rsidRPr="000C0E75">
          <w:rPr>
            <w:rStyle w:val="Lienhypertexte"/>
            <w:rFonts w:ascii="Times New Roman" w:hAnsi="Times New Roman"/>
            <w:noProof/>
          </w:rPr>
          <w:t>oute à la limite du site du BRND-41</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_Toc212725214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70</w:t>
        </w:r>
        <w:r w:rsidRPr="000C0E75">
          <w:rPr>
            <w:rFonts w:ascii="Times New Roman" w:hAnsi="Times New Roman"/>
            <w:noProof/>
            <w:webHidden/>
          </w:rPr>
          <w:fldChar w:fldCharType="end"/>
        </w:r>
      </w:hyperlink>
    </w:p>
    <w:p w14:paraId="416A79B0" w14:textId="7593089F"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15" w:history="1">
        <w:r w:rsidRPr="000C0E75">
          <w:rPr>
            <w:rStyle w:val="Lienhypertexte"/>
            <w:rFonts w:ascii="Times New Roman" w:hAnsi="Times New Roman"/>
            <w:noProof/>
          </w:rPr>
          <w:t xml:space="preserve">Photo 16 : </w:t>
        </w:r>
        <w:r w:rsidR="00374D30">
          <w:rPr>
            <w:rStyle w:val="Lienhypertexte"/>
            <w:rFonts w:ascii="Times New Roman" w:hAnsi="Times New Roman"/>
            <w:noProof/>
          </w:rPr>
          <w:t>V</w:t>
        </w:r>
        <w:r w:rsidRPr="000C0E75">
          <w:rPr>
            <w:rStyle w:val="Lienhypertexte"/>
            <w:rFonts w:ascii="Times New Roman" w:hAnsi="Times New Roman"/>
            <w:noProof/>
          </w:rPr>
          <w:t>ue du site du bassin éventuel commissariat</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_Toc212725215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71</w:t>
        </w:r>
        <w:r w:rsidRPr="000C0E75">
          <w:rPr>
            <w:rFonts w:ascii="Times New Roman" w:hAnsi="Times New Roman"/>
            <w:noProof/>
            <w:webHidden/>
          </w:rPr>
          <w:fldChar w:fldCharType="end"/>
        </w:r>
      </w:hyperlink>
    </w:p>
    <w:p w14:paraId="2CCB281C" w14:textId="7A64021E"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16" w:history="1">
        <w:r w:rsidRPr="000C0E75">
          <w:rPr>
            <w:rStyle w:val="Lienhypertexte"/>
            <w:rFonts w:ascii="Times New Roman" w:hAnsi="Times New Roman"/>
            <w:noProof/>
          </w:rPr>
          <w:t xml:space="preserve">Photo 17 : </w:t>
        </w:r>
        <w:r w:rsidR="00374D30">
          <w:rPr>
            <w:rStyle w:val="Lienhypertexte"/>
            <w:rFonts w:ascii="Times New Roman" w:hAnsi="Times New Roman"/>
            <w:noProof/>
          </w:rPr>
          <w:t>D</w:t>
        </w:r>
        <w:r w:rsidRPr="000C0E75">
          <w:rPr>
            <w:rStyle w:val="Lienhypertexte"/>
            <w:rFonts w:ascii="Times New Roman" w:hAnsi="Times New Roman"/>
            <w:noProof/>
          </w:rPr>
          <w:t>épôts de parpaings sur le site du bassin éventuel commissariat</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_Toc212725216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71</w:t>
        </w:r>
        <w:r w:rsidRPr="000C0E75">
          <w:rPr>
            <w:rFonts w:ascii="Times New Roman" w:hAnsi="Times New Roman"/>
            <w:noProof/>
            <w:webHidden/>
          </w:rPr>
          <w:fldChar w:fldCharType="end"/>
        </w:r>
      </w:hyperlink>
    </w:p>
    <w:p w14:paraId="08CE857A" w14:textId="401110D6"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17" w:history="1">
        <w:r w:rsidRPr="000C0E75">
          <w:rPr>
            <w:rStyle w:val="Lienhypertexte"/>
            <w:rFonts w:ascii="Times New Roman" w:hAnsi="Times New Roman"/>
            <w:noProof/>
          </w:rPr>
          <w:t xml:space="preserve">Photo 18  : </w:t>
        </w:r>
        <w:r w:rsidR="00374D30">
          <w:rPr>
            <w:rStyle w:val="Lienhypertexte"/>
            <w:rFonts w:ascii="Times New Roman" w:hAnsi="Times New Roman"/>
            <w:noProof/>
          </w:rPr>
          <w:t>V</w:t>
        </w:r>
        <w:r w:rsidRPr="000C0E75">
          <w:rPr>
            <w:rStyle w:val="Lienhypertexte"/>
            <w:rFonts w:ascii="Times New Roman" w:hAnsi="Times New Roman"/>
            <w:noProof/>
          </w:rPr>
          <w:t>ue du site du bassin BR-NA 09</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_Toc212725217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72</w:t>
        </w:r>
        <w:r w:rsidRPr="000C0E75">
          <w:rPr>
            <w:rFonts w:ascii="Times New Roman" w:hAnsi="Times New Roman"/>
            <w:noProof/>
            <w:webHidden/>
          </w:rPr>
          <w:fldChar w:fldCharType="end"/>
        </w:r>
      </w:hyperlink>
    </w:p>
    <w:p w14:paraId="75E361D9" w14:textId="1575E34B"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18" w:history="1">
        <w:r w:rsidRPr="000C0E75">
          <w:rPr>
            <w:rStyle w:val="Lienhypertexte"/>
            <w:rFonts w:ascii="Times New Roman" w:hAnsi="Times New Roman"/>
            <w:noProof/>
          </w:rPr>
          <w:t xml:space="preserve">Photo 19 : </w:t>
        </w:r>
        <w:r w:rsidR="00374D30">
          <w:rPr>
            <w:rStyle w:val="Lienhypertexte"/>
            <w:rFonts w:ascii="Times New Roman" w:hAnsi="Times New Roman"/>
            <w:noProof/>
          </w:rPr>
          <w:t>V</w:t>
        </w:r>
        <w:r w:rsidRPr="000C0E75">
          <w:rPr>
            <w:rStyle w:val="Lienhypertexte"/>
            <w:rFonts w:ascii="Times New Roman" w:hAnsi="Times New Roman"/>
            <w:noProof/>
          </w:rPr>
          <w:t>ue du site du bassin R</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_Toc212725218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72</w:t>
        </w:r>
        <w:r w:rsidRPr="000C0E75">
          <w:rPr>
            <w:rFonts w:ascii="Times New Roman" w:hAnsi="Times New Roman"/>
            <w:noProof/>
            <w:webHidden/>
          </w:rPr>
          <w:fldChar w:fldCharType="end"/>
        </w:r>
      </w:hyperlink>
    </w:p>
    <w:p w14:paraId="2F2DBB71" w14:textId="7720C3B3"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19" w:history="1">
        <w:r w:rsidRPr="000C0E75">
          <w:rPr>
            <w:rStyle w:val="Lienhypertexte"/>
            <w:rFonts w:ascii="Times New Roman" w:hAnsi="Times New Roman"/>
            <w:noProof/>
          </w:rPr>
          <w:t xml:space="preserve">Photo 20 : </w:t>
        </w:r>
        <w:r w:rsidR="00374D30">
          <w:rPr>
            <w:rStyle w:val="Lienhypertexte"/>
            <w:rFonts w:ascii="Times New Roman" w:hAnsi="Times New Roman"/>
            <w:noProof/>
          </w:rPr>
          <w:t>V</w:t>
        </w:r>
        <w:r w:rsidRPr="000C0E75">
          <w:rPr>
            <w:rStyle w:val="Lienhypertexte"/>
            <w:rFonts w:ascii="Times New Roman" w:hAnsi="Times New Roman"/>
            <w:noProof/>
          </w:rPr>
          <w:t>ue du site du bassin B1</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_Toc212725219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73</w:t>
        </w:r>
        <w:r w:rsidRPr="000C0E75">
          <w:rPr>
            <w:rFonts w:ascii="Times New Roman" w:hAnsi="Times New Roman"/>
            <w:noProof/>
            <w:webHidden/>
          </w:rPr>
          <w:fldChar w:fldCharType="end"/>
        </w:r>
      </w:hyperlink>
    </w:p>
    <w:p w14:paraId="087CB067" w14:textId="50A7AB6C"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20" w:history="1">
        <w:r w:rsidRPr="000C0E75">
          <w:rPr>
            <w:rStyle w:val="Lienhypertexte"/>
            <w:rFonts w:ascii="Times New Roman" w:hAnsi="Times New Roman"/>
            <w:noProof/>
          </w:rPr>
          <w:t xml:space="preserve">Photo 21 : </w:t>
        </w:r>
        <w:r w:rsidR="00374D30">
          <w:rPr>
            <w:rStyle w:val="Lienhypertexte"/>
            <w:rFonts w:ascii="Times New Roman" w:hAnsi="Times New Roman"/>
            <w:noProof/>
          </w:rPr>
          <w:t>B</w:t>
        </w:r>
        <w:r w:rsidRPr="000C0E75">
          <w:rPr>
            <w:rStyle w:val="Lienhypertexte"/>
            <w:rFonts w:ascii="Times New Roman" w:hAnsi="Times New Roman"/>
            <w:noProof/>
          </w:rPr>
          <w:t>atiments en construction sur le site du bassin B1</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_Toc212725220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73</w:t>
        </w:r>
        <w:r w:rsidRPr="000C0E75">
          <w:rPr>
            <w:rFonts w:ascii="Times New Roman" w:hAnsi="Times New Roman"/>
            <w:noProof/>
            <w:webHidden/>
          </w:rPr>
          <w:fldChar w:fldCharType="end"/>
        </w:r>
      </w:hyperlink>
    </w:p>
    <w:p w14:paraId="3288046F" w14:textId="00421553"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21" w:history="1">
        <w:r w:rsidRPr="000C0E75">
          <w:rPr>
            <w:rStyle w:val="Lienhypertexte"/>
            <w:rFonts w:ascii="Times New Roman" w:hAnsi="Times New Roman"/>
            <w:noProof/>
          </w:rPr>
          <w:t>Photo 22: Aire de jeu sur le site du bassin BRNA16G</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_Toc212725221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73</w:t>
        </w:r>
        <w:r w:rsidRPr="000C0E75">
          <w:rPr>
            <w:rFonts w:ascii="Times New Roman" w:hAnsi="Times New Roman"/>
            <w:noProof/>
            <w:webHidden/>
          </w:rPr>
          <w:fldChar w:fldCharType="end"/>
        </w:r>
      </w:hyperlink>
    </w:p>
    <w:p w14:paraId="271EE5D3" w14:textId="5529B2DF"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22" w:history="1">
        <w:r w:rsidRPr="000C0E75">
          <w:rPr>
            <w:rStyle w:val="Lienhypertexte"/>
            <w:rFonts w:ascii="Times New Roman" w:hAnsi="Times New Roman"/>
            <w:noProof/>
          </w:rPr>
          <w:t xml:space="preserve">Photo 23: </w:t>
        </w:r>
        <w:r w:rsidR="00374D30">
          <w:rPr>
            <w:rStyle w:val="Lienhypertexte"/>
            <w:rFonts w:ascii="Times New Roman" w:hAnsi="Times New Roman"/>
            <w:noProof/>
          </w:rPr>
          <w:t>V</w:t>
        </w:r>
        <w:r w:rsidRPr="000C0E75">
          <w:rPr>
            <w:rStyle w:val="Lienhypertexte"/>
            <w:rFonts w:ascii="Times New Roman" w:hAnsi="Times New Roman"/>
            <w:noProof/>
          </w:rPr>
          <w:t>erger d’anacarde dans le site du BRNA16G</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_Toc212725222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74</w:t>
        </w:r>
        <w:r w:rsidRPr="000C0E75">
          <w:rPr>
            <w:rFonts w:ascii="Times New Roman" w:hAnsi="Times New Roman"/>
            <w:noProof/>
            <w:webHidden/>
          </w:rPr>
          <w:fldChar w:fldCharType="end"/>
        </w:r>
      </w:hyperlink>
    </w:p>
    <w:p w14:paraId="67639EC6" w14:textId="18400A17"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23" w:history="1">
        <w:r w:rsidRPr="000C0E75">
          <w:rPr>
            <w:rStyle w:val="Lienhypertexte"/>
            <w:rFonts w:ascii="Times New Roman" w:hAnsi="Times New Roman"/>
            <w:noProof/>
          </w:rPr>
          <w:t>Photo 24: Bâtiment R+2 (école privée) sur le site du bassin K4-4</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_Toc212725223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74</w:t>
        </w:r>
        <w:r w:rsidRPr="000C0E75">
          <w:rPr>
            <w:rFonts w:ascii="Times New Roman" w:hAnsi="Times New Roman"/>
            <w:noProof/>
            <w:webHidden/>
          </w:rPr>
          <w:fldChar w:fldCharType="end"/>
        </w:r>
      </w:hyperlink>
    </w:p>
    <w:p w14:paraId="73CF0AF0" w14:textId="20DB1DE5"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24" w:history="1">
        <w:r w:rsidRPr="000C0E75">
          <w:rPr>
            <w:rStyle w:val="Lienhypertexte"/>
            <w:rFonts w:ascii="Times New Roman" w:hAnsi="Times New Roman"/>
            <w:noProof/>
          </w:rPr>
          <w:t>Photo 25: Rue, maisons et lignes BT dans le site du bassin K4-4</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_Toc212725224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75</w:t>
        </w:r>
        <w:r w:rsidRPr="000C0E75">
          <w:rPr>
            <w:rFonts w:ascii="Times New Roman" w:hAnsi="Times New Roman"/>
            <w:noProof/>
            <w:webHidden/>
          </w:rPr>
          <w:fldChar w:fldCharType="end"/>
        </w:r>
      </w:hyperlink>
    </w:p>
    <w:p w14:paraId="68E38070" w14:textId="160E39FC"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25" w:history="1">
        <w:r w:rsidRPr="000C0E75">
          <w:rPr>
            <w:rStyle w:val="Lienhypertexte"/>
            <w:rFonts w:ascii="Times New Roman" w:hAnsi="Times New Roman"/>
            <w:noProof/>
          </w:rPr>
          <w:t xml:space="preserve">Photo 26 : </w:t>
        </w:r>
        <w:r w:rsidR="00374D30">
          <w:rPr>
            <w:rStyle w:val="Lienhypertexte"/>
            <w:rFonts w:ascii="Times New Roman" w:hAnsi="Times New Roman"/>
            <w:noProof/>
          </w:rPr>
          <w:t>R</w:t>
        </w:r>
        <w:r w:rsidRPr="000C0E75">
          <w:rPr>
            <w:rStyle w:val="Lienhypertexte"/>
            <w:rFonts w:ascii="Times New Roman" w:hAnsi="Times New Roman"/>
            <w:noProof/>
          </w:rPr>
          <w:t>éseau ONAS sur le site du bassin K4-4</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_Toc212725225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75</w:t>
        </w:r>
        <w:r w:rsidRPr="000C0E75">
          <w:rPr>
            <w:rFonts w:ascii="Times New Roman" w:hAnsi="Times New Roman"/>
            <w:noProof/>
            <w:webHidden/>
          </w:rPr>
          <w:fldChar w:fldCharType="end"/>
        </w:r>
      </w:hyperlink>
    </w:p>
    <w:p w14:paraId="7AC32E10" w14:textId="28064520"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26" w:history="1">
        <w:r w:rsidRPr="000C0E75">
          <w:rPr>
            <w:rStyle w:val="Lienhypertexte"/>
            <w:rFonts w:ascii="Times New Roman" w:hAnsi="Times New Roman"/>
            <w:noProof/>
          </w:rPr>
          <w:t xml:space="preserve">Photo 27: </w:t>
        </w:r>
        <w:r w:rsidR="00374D30">
          <w:rPr>
            <w:rStyle w:val="Lienhypertexte"/>
            <w:rFonts w:ascii="Times New Roman" w:hAnsi="Times New Roman"/>
            <w:noProof/>
          </w:rPr>
          <w:t>P</w:t>
        </w:r>
        <w:r w:rsidRPr="000C0E75">
          <w:rPr>
            <w:rStyle w:val="Lienhypertexte"/>
            <w:rFonts w:ascii="Times New Roman" w:hAnsi="Times New Roman"/>
            <w:noProof/>
          </w:rPr>
          <w:t>laces d’affaires sur le site du bassin E2- TER</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_Toc212725226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75</w:t>
        </w:r>
        <w:r w:rsidRPr="000C0E75">
          <w:rPr>
            <w:rFonts w:ascii="Times New Roman" w:hAnsi="Times New Roman"/>
            <w:noProof/>
            <w:webHidden/>
          </w:rPr>
          <w:fldChar w:fldCharType="end"/>
        </w:r>
      </w:hyperlink>
    </w:p>
    <w:p w14:paraId="2CCB12CD" w14:textId="62BEAA8D"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27" w:history="1">
        <w:r w:rsidRPr="000C0E75">
          <w:rPr>
            <w:rStyle w:val="Lienhypertexte"/>
            <w:rFonts w:ascii="Times New Roman" w:hAnsi="Times New Roman"/>
            <w:noProof/>
          </w:rPr>
          <w:t xml:space="preserve">Photo 28: </w:t>
        </w:r>
        <w:r w:rsidR="00374D30">
          <w:rPr>
            <w:rStyle w:val="Lienhypertexte"/>
            <w:rFonts w:ascii="Times New Roman" w:hAnsi="Times New Roman"/>
            <w:noProof/>
          </w:rPr>
          <w:t>T</w:t>
        </w:r>
        <w:r w:rsidRPr="000C0E75">
          <w:rPr>
            <w:rStyle w:val="Lienhypertexte"/>
            <w:rFonts w:ascii="Times New Roman" w:hAnsi="Times New Roman"/>
            <w:noProof/>
          </w:rPr>
          <w:t>apis herbacé colonisant le site du bassin E2-TER</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_Toc212725227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76</w:t>
        </w:r>
        <w:r w:rsidRPr="000C0E75">
          <w:rPr>
            <w:rFonts w:ascii="Times New Roman" w:hAnsi="Times New Roman"/>
            <w:noProof/>
            <w:webHidden/>
          </w:rPr>
          <w:fldChar w:fldCharType="end"/>
        </w:r>
      </w:hyperlink>
    </w:p>
    <w:p w14:paraId="059D0709" w14:textId="6B5ACC59"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28" w:history="1">
        <w:r w:rsidRPr="000C0E75">
          <w:rPr>
            <w:rStyle w:val="Lienhypertexte"/>
            <w:rFonts w:ascii="Times New Roman" w:hAnsi="Times New Roman"/>
            <w:noProof/>
          </w:rPr>
          <w:t xml:space="preserve">Photo 29 : </w:t>
        </w:r>
        <w:r w:rsidR="00374D30">
          <w:rPr>
            <w:rStyle w:val="Lienhypertexte"/>
            <w:rFonts w:ascii="Times New Roman" w:hAnsi="Times New Roman"/>
            <w:noProof/>
          </w:rPr>
          <w:t>D</w:t>
        </w:r>
        <w:r w:rsidRPr="000C0E75">
          <w:rPr>
            <w:rStyle w:val="Lienhypertexte"/>
            <w:rFonts w:ascii="Times New Roman" w:hAnsi="Times New Roman"/>
            <w:noProof/>
          </w:rPr>
          <w:t>eux maisons en construction sur le site du bassin E2-TER</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_Toc212725228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76</w:t>
        </w:r>
        <w:r w:rsidRPr="000C0E75">
          <w:rPr>
            <w:rFonts w:ascii="Times New Roman" w:hAnsi="Times New Roman"/>
            <w:noProof/>
            <w:webHidden/>
          </w:rPr>
          <w:fldChar w:fldCharType="end"/>
        </w:r>
      </w:hyperlink>
    </w:p>
    <w:p w14:paraId="74239F76" w14:textId="0461AB76"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29" w:history="1">
        <w:r w:rsidRPr="000C0E75">
          <w:rPr>
            <w:rStyle w:val="Lienhypertexte"/>
            <w:rFonts w:ascii="Times New Roman" w:hAnsi="Times New Roman"/>
            <w:noProof/>
          </w:rPr>
          <w:t>Photo 30 : Bâtiment en construction sur le site du bassin P1</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_Toc212725229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76</w:t>
        </w:r>
        <w:r w:rsidRPr="000C0E75">
          <w:rPr>
            <w:rFonts w:ascii="Times New Roman" w:hAnsi="Times New Roman"/>
            <w:noProof/>
            <w:webHidden/>
          </w:rPr>
          <w:fldChar w:fldCharType="end"/>
        </w:r>
      </w:hyperlink>
    </w:p>
    <w:p w14:paraId="15A95EBE" w14:textId="3E3FBADA"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30" w:history="1">
        <w:r w:rsidRPr="000C0E75">
          <w:rPr>
            <w:rStyle w:val="Lienhypertexte"/>
            <w:rFonts w:ascii="Times New Roman" w:hAnsi="Times New Roman"/>
            <w:noProof/>
          </w:rPr>
          <w:t xml:space="preserve">Photo 31 : </w:t>
        </w:r>
        <w:r w:rsidR="00374D30">
          <w:rPr>
            <w:rStyle w:val="Lienhypertexte"/>
            <w:rFonts w:ascii="Times New Roman" w:hAnsi="Times New Roman"/>
            <w:noProof/>
          </w:rPr>
          <w:t>V</w:t>
        </w:r>
        <w:r w:rsidRPr="000C0E75">
          <w:rPr>
            <w:rStyle w:val="Lienhypertexte"/>
            <w:rFonts w:ascii="Times New Roman" w:hAnsi="Times New Roman"/>
            <w:noProof/>
          </w:rPr>
          <w:t>ue du site du bassin P1</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_Toc212725230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77</w:t>
        </w:r>
        <w:r w:rsidRPr="000C0E75">
          <w:rPr>
            <w:rFonts w:ascii="Times New Roman" w:hAnsi="Times New Roman"/>
            <w:noProof/>
            <w:webHidden/>
          </w:rPr>
          <w:fldChar w:fldCharType="end"/>
        </w:r>
      </w:hyperlink>
    </w:p>
    <w:p w14:paraId="1DA44FA8" w14:textId="2336BB95"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31" w:history="1">
        <w:r w:rsidRPr="000C0E75">
          <w:rPr>
            <w:rStyle w:val="Lienhypertexte"/>
            <w:rFonts w:ascii="Times New Roman" w:hAnsi="Times New Roman"/>
            <w:noProof/>
          </w:rPr>
          <w:t xml:space="preserve">Photo 32 : </w:t>
        </w:r>
        <w:r w:rsidR="00374D30">
          <w:rPr>
            <w:rStyle w:val="Lienhypertexte"/>
            <w:rFonts w:ascii="Times New Roman" w:hAnsi="Times New Roman"/>
            <w:noProof/>
          </w:rPr>
          <w:t>A</w:t>
        </w:r>
        <w:r w:rsidRPr="000C0E75">
          <w:rPr>
            <w:rStyle w:val="Lienhypertexte"/>
            <w:rFonts w:ascii="Times New Roman" w:hAnsi="Times New Roman"/>
            <w:noProof/>
          </w:rPr>
          <w:t>ires de jeu sur le site du bassin P1</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_Toc212725231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77</w:t>
        </w:r>
        <w:r w:rsidRPr="000C0E75">
          <w:rPr>
            <w:rFonts w:ascii="Times New Roman" w:hAnsi="Times New Roman"/>
            <w:noProof/>
            <w:webHidden/>
          </w:rPr>
          <w:fldChar w:fldCharType="end"/>
        </w:r>
      </w:hyperlink>
    </w:p>
    <w:p w14:paraId="43908F16" w14:textId="59486529"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32" w:history="1">
        <w:r w:rsidRPr="000C0E75">
          <w:rPr>
            <w:rStyle w:val="Lienhypertexte"/>
            <w:rFonts w:ascii="Times New Roman" w:hAnsi="Times New Roman"/>
            <w:noProof/>
          </w:rPr>
          <w:t>Photo 33: Vue du tracé du collecteur</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_Toc212725232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78</w:t>
        </w:r>
        <w:r w:rsidRPr="000C0E75">
          <w:rPr>
            <w:rFonts w:ascii="Times New Roman" w:hAnsi="Times New Roman"/>
            <w:noProof/>
            <w:webHidden/>
          </w:rPr>
          <w:fldChar w:fldCharType="end"/>
        </w:r>
      </w:hyperlink>
    </w:p>
    <w:p w14:paraId="1BCE1B88" w14:textId="2C64B75D"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33" w:history="1">
        <w:r w:rsidRPr="000C0E75">
          <w:rPr>
            <w:rStyle w:val="Lienhypertexte"/>
            <w:rFonts w:ascii="Times New Roman" w:hAnsi="Times New Roman"/>
            <w:noProof/>
          </w:rPr>
          <w:t>Photo 34</w:t>
        </w:r>
        <w:r w:rsidRPr="000C0E75">
          <w:rPr>
            <w:rStyle w:val="Lienhypertexte"/>
            <w:rFonts w:ascii="Times New Roman" w:eastAsia="Times New Roman" w:hAnsi="Times New Roman"/>
            <w:noProof/>
            <w:lang w:eastAsia="fr-FR"/>
          </w:rPr>
          <w:t xml:space="preserve"> </w:t>
        </w:r>
        <w:r w:rsidRPr="000C0E75">
          <w:rPr>
            <w:rStyle w:val="Lienhypertexte"/>
            <w:rFonts w:ascii="Times New Roman" w:hAnsi="Times New Roman"/>
            <w:noProof/>
          </w:rPr>
          <w:t xml:space="preserve">: </w:t>
        </w:r>
        <w:r w:rsidRPr="000C0E75">
          <w:rPr>
            <w:rStyle w:val="Lienhypertexte"/>
            <w:rFonts w:ascii="Times New Roman" w:hAnsi="Times New Roman"/>
            <w:noProof/>
            <w:lang w:eastAsia="fr-FR"/>
          </w:rPr>
          <w:t>Rampe d’accès de boutique dans l’emprise</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_Toc212725233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78</w:t>
        </w:r>
        <w:r w:rsidRPr="000C0E75">
          <w:rPr>
            <w:rFonts w:ascii="Times New Roman" w:hAnsi="Times New Roman"/>
            <w:noProof/>
            <w:webHidden/>
          </w:rPr>
          <w:fldChar w:fldCharType="end"/>
        </w:r>
      </w:hyperlink>
    </w:p>
    <w:p w14:paraId="4D02F065" w14:textId="1EF205DB"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34" w:history="1">
        <w:r w:rsidRPr="000C0E75">
          <w:rPr>
            <w:rStyle w:val="Lienhypertexte"/>
            <w:rFonts w:ascii="Times New Roman" w:hAnsi="Times New Roman"/>
            <w:noProof/>
          </w:rPr>
          <w:t>Photo 35:</w:t>
        </w:r>
        <w:r w:rsidR="00374D30">
          <w:rPr>
            <w:rStyle w:val="Lienhypertexte"/>
            <w:rFonts w:ascii="Times New Roman" w:hAnsi="Times New Roman"/>
            <w:noProof/>
          </w:rPr>
          <w:t xml:space="preserve"> </w:t>
        </w:r>
        <w:r w:rsidRPr="000C0E75">
          <w:rPr>
            <w:rStyle w:val="Lienhypertexte"/>
            <w:rFonts w:ascii="Times New Roman" w:hAnsi="Times New Roman"/>
            <w:noProof/>
          </w:rPr>
          <w:t>Vue de l’emprise du collecteur</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_Toc212725234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78</w:t>
        </w:r>
        <w:r w:rsidRPr="000C0E75">
          <w:rPr>
            <w:rFonts w:ascii="Times New Roman" w:hAnsi="Times New Roman"/>
            <w:noProof/>
            <w:webHidden/>
          </w:rPr>
          <w:fldChar w:fldCharType="end"/>
        </w:r>
      </w:hyperlink>
    </w:p>
    <w:p w14:paraId="04CD312E" w14:textId="45D76A6A"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35" w:history="1">
        <w:r w:rsidRPr="000C0E75">
          <w:rPr>
            <w:rStyle w:val="Lienhypertexte"/>
            <w:rFonts w:ascii="Times New Roman" w:hAnsi="Times New Roman"/>
            <w:noProof/>
          </w:rPr>
          <w:t>Photo 36:</w:t>
        </w:r>
        <w:r w:rsidR="00374D30">
          <w:rPr>
            <w:rStyle w:val="Lienhypertexte"/>
            <w:rFonts w:ascii="Times New Roman" w:hAnsi="Times New Roman"/>
            <w:noProof/>
          </w:rPr>
          <w:t xml:space="preserve"> </w:t>
        </w:r>
        <w:r w:rsidRPr="000C0E75">
          <w:rPr>
            <w:rStyle w:val="Lienhypertexte"/>
            <w:rFonts w:ascii="Times New Roman" w:hAnsi="Times New Roman"/>
            <w:noProof/>
          </w:rPr>
          <w:t>Traversée d’un terrain clôturé</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_Toc212725235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79</w:t>
        </w:r>
        <w:r w:rsidRPr="000C0E75">
          <w:rPr>
            <w:rFonts w:ascii="Times New Roman" w:hAnsi="Times New Roman"/>
            <w:noProof/>
            <w:webHidden/>
          </w:rPr>
          <w:fldChar w:fldCharType="end"/>
        </w:r>
      </w:hyperlink>
    </w:p>
    <w:p w14:paraId="4EE4670F" w14:textId="741A45C3"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36" w:history="1">
        <w:r w:rsidRPr="000C0E75">
          <w:rPr>
            <w:rStyle w:val="Lienhypertexte"/>
            <w:rFonts w:ascii="Times New Roman" w:hAnsi="Times New Roman"/>
            <w:noProof/>
          </w:rPr>
          <w:t>Photo 37:</w:t>
        </w:r>
        <w:r w:rsidR="00374D30">
          <w:rPr>
            <w:rStyle w:val="Lienhypertexte"/>
            <w:rFonts w:ascii="Times New Roman" w:hAnsi="Times New Roman"/>
            <w:noProof/>
          </w:rPr>
          <w:t xml:space="preserve"> </w:t>
        </w:r>
        <w:r w:rsidRPr="000C0E75">
          <w:rPr>
            <w:rStyle w:val="Lienhypertexte"/>
            <w:rFonts w:ascii="Times New Roman" w:hAnsi="Times New Roman"/>
            <w:noProof/>
          </w:rPr>
          <w:t>Rampe d’accès d’une maison dans l’emprise</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_Toc212725236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79</w:t>
        </w:r>
        <w:r w:rsidRPr="000C0E75">
          <w:rPr>
            <w:rFonts w:ascii="Times New Roman" w:hAnsi="Times New Roman"/>
            <w:noProof/>
            <w:webHidden/>
          </w:rPr>
          <w:fldChar w:fldCharType="end"/>
        </w:r>
      </w:hyperlink>
    </w:p>
    <w:p w14:paraId="2B5290E1" w14:textId="2EF34134"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37" w:history="1">
        <w:r w:rsidRPr="000C0E75">
          <w:rPr>
            <w:rStyle w:val="Lienhypertexte"/>
            <w:rFonts w:ascii="Times New Roman" w:hAnsi="Times New Roman"/>
            <w:noProof/>
          </w:rPr>
          <w:t>Photo 38:</w:t>
        </w:r>
        <w:r w:rsidR="00374D30">
          <w:rPr>
            <w:rStyle w:val="Lienhypertexte"/>
            <w:rFonts w:ascii="Times New Roman" w:hAnsi="Times New Roman"/>
            <w:noProof/>
          </w:rPr>
          <w:t xml:space="preserve"> </w:t>
        </w:r>
        <w:r w:rsidRPr="000C0E75">
          <w:rPr>
            <w:rStyle w:val="Lienhypertexte"/>
            <w:rFonts w:ascii="Times New Roman" w:hAnsi="Times New Roman"/>
            <w:noProof/>
          </w:rPr>
          <w:t>Place d’affaires (étal de légume) dans l’emprise du collecteur</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_Toc212725237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79</w:t>
        </w:r>
        <w:r w:rsidRPr="000C0E75">
          <w:rPr>
            <w:rFonts w:ascii="Times New Roman" w:hAnsi="Times New Roman"/>
            <w:noProof/>
            <w:webHidden/>
          </w:rPr>
          <w:fldChar w:fldCharType="end"/>
        </w:r>
      </w:hyperlink>
    </w:p>
    <w:p w14:paraId="198CC6D5" w14:textId="45192901"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38" w:history="1">
        <w:r w:rsidRPr="000C0E75">
          <w:rPr>
            <w:rStyle w:val="Lienhypertexte"/>
            <w:rFonts w:ascii="Times New Roman" w:hAnsi="Times New Roman"/>
            <w:noProof/>
          </w:rPr>
          <w:t>Photo 39:</w:t>
        </w:r>
        <w:r w:rsidR="00374D30">
          <w:rPr>
            <w:rStyle w:val="Lienhypertexte"/>
            <w:rFonts w:ascii="Times New Roman" w:hAnsi="Times New Roman"/>
            <w:noProof/>
          </w:rPr>
          <w:t xml:space="preserve"> </w:t>
        </w:r>
        <w:r w:rsidRPr="000C0E75">
          <w:rPr>
            <w:rStyle w:val="Lienhypertexte"/>
            <w:rFonts w:ascii="Times New Roman" w:hAnsi="Times New Roman"/>
            <w:noProof/>
          </w:rPr>
          <w:t>Vue de l’emprise du collecteur</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_Toc212725238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80</w:t>
        </w:r>
        <w:r w:rsidRPr="000C0E75">
          <w:rPr>
            <w:rFonts w:ascii="Times New Roman" w:hAnsi="Times New Roman"/>
            <w:noProof/>
            <w:webHidden/>
          </w:rPr>
          <w:fldChar w:fldCharType="end"/>
        </w:r>
      </w:hyperlink>
    </w:p>
    <w:p w14:paraId="48B48A9B" w14:textId="1BC7396B"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39" w:history="1">
        <w:r w:rsidRPr="000C0E75">
          <w:rPr>
            <w:rStyle w:val="Lienhypertexte"/>
            <w:rFonts w:ascii="Times New Roman" w:hAnsi="Times New Roman"/>
            <w:noProof/>
          </w:rPr>
          <w:t>Photo 40:</w:t>
        </w:r>
        <w:r w:rsidR="00374D30">
          <w:rPr>
            <w:rStyle w:val="Lienhypertexte"/>
            <w:rFonts w:ascii="Times New Roman" w:hAnsi="Times New Roman"/>
            <w:noProof/>
          </w:rPr>
          <w:t xml:space="preserve"> D</w:t>
        </w:r>
        <w:r w:rsidRPr="000C0E75">
          <w:rPr>
            <w:rStyle w:val="Lienhypertexte"/>
            <w:rFonts w:ascii="Times New Roman" w:hAnsi="Times New Roman"/>
            <w:noProof/>
          </w:rPr>
          <w:t>épôt de parpaings à la limite de l’emprise</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_Toc212725239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80</w:t>
        </w:r>
        <w:r w:rsidRPr="000C0E75">
          <w:rPr>
            <w:rFonts w:ascii="Times New Roman" w:hAnsi="Times New Roman"/>
            <w:noProof/>
            <w:webHidden/>
          </w:rPr>
          <w:fldChar w:fldCharType="end"/>
        </w:r>
      </w:hyperlink>
    </w:p>
    <w:p w14:paraId="5136431C" w14:textId="44F27578"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40" w:history="1">
        <w:r w:rsidRPr="000C0E75">
          <w:rPr>
            <w:rStyle w:val="Lienhypertexte"/>
            <w:rFonts w:ascii="Times New Roman" w:hAnsi="Times New Roman"/>
            <w:noProof/>
          </w:rPr>
          <w:t>Photo 41:</w:t>
        </w:r>
        <w:r w:rsidR="00374D30">
          <w:rPr>
            <w:rStyle w:val="Lienhypertexte"/>
            <w:rFonts w:ascii="Times New Roman" w:hAnsi="Times New Roman"/>
            <w:noProof/>
          </w:rPr>
          <w:t xml:space="preserve"> </w:t>
        </w:r>
        <w:r w:rsidRPr="000C0E75">
          <w:rPr>
            <w:rStyle w:val="Lienhypertexte"/>
            <w:rFonts w:ascii="Times New Roman" w:hAnsi="Times New Roman"/>
            <w:noProof/>
          </w:rPr>
          <w:t>Gargotte à proximité de l’emprise</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_Toc212725240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80</w:t>
        </w:r>
        <w:r w:rsidRPr="000C0E75">
          <w:rPr>
            <w:rFonts w:ascii="Times New Roman" w:hAnsi="Times New Roman"/>
            <w:noProof/>
            <w:webHidden/>
          </w:rPr>
          <w:fldChar w:fldCharType="end"/>
        </w:r>
      </w:hyperlink>
    </w:p>
    <w:p w14:paraId="29B96B1B" w14:textId="24914DE5"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41" w:history="1">
        <w:r w:rsidRPr="000C0E75">
          <w:rPr>
            <w:rStyle w:val="Lienhypertexte"/>
            <w:rFonts w:ascii="Times New Roman" w:hAnsi="Times New Roman"/>
            <w:noProof/>
          </w:rPr>
          <w:t>Photo 42:</w:t>
        </w:r>
        <w:r w:rsidR="00374D30">
          <w:rPr>
            <w:rStyle w:val="Lienhypertexte"/>
            <w:rFonts w:ascii="Times New Roman" w:hAnsi="Times New Roman"/>
            <w:noProof/>
          </w:rPr>
          <w:t xml:space="preserve"> </w:t>
        </w:r>
        <w:r w:rsidRPr="000C0E75">
          <w:rPr>
            <w:rStyle w:val="Lienhypertexte"/>
            <w:rFonts w:ascii="Times New Roman" w:hAnsi="Times New Roman"/>
            <w:noProof/>
          </w:rPr>
          <w:t>Traversée d’un marché et places d’affaires</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_Toc212725241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81</w:t>
        </w:r>
        <w:r w:rsidRPr="000C0E75">
          <w:rPr>
            <w:rFonts w:ascii="Times New Roman" w:hAnsi="Times New Roman"/>
            <w:noProof/>
            <w:webHidden/>
          </w:rPr>
          <w:fldChar w:fldCharType="end"/>
        </w:r>
      </w:hyperlink>
    </w:p>
    <w:p w14:paraId="494EADCB" w14:textId="756600BC"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42" w:history="1">
        <w:r w:rsidRPr="000C0E75">
          <w:rPr>
            <w:rStyle w:val="Lienhypertexte"/>
            <w:rFonts w:ascii="Times New Roman" w:hAnsi="Times New Roman"/>
            <w:noProof/>
          </w:rPr>
          <w:t>Photo 43:</w:t>
        </w:r>
        <w:r w:rsidR="00374D30">
          <w:rPr>
            <w:rStyle w:val="Lienhypertexte"/>
            <w:rFonts w:ascii="Times New Roman" w:hAnsi="Times New Roman"/>
            <w:noProof/>
          </w:rPr>
          <w:t xml:space="preserve"> </w:t>
        </w:r>
        <w:r w:rsidRPr="000C0E75">
          <w:rPr>
            <w:rStyle w:val="Lienhypertexte"/>
            <w:rFonts w:ascii="Times New Roman" w:hAnsi="Times New Roman"/>
            <w:noProof/>
          </w:rPr>
          <w:t>Vue de l’emprise du tracé</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_Toc212725242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81</w:t>
        </w:r>
        <w:r w:rsidRPr="000C0E75">
          <w:rPr>
            <w:rFonts w:ascii="Times New Roman" w:hAnsi="Times New Roman"/>
            <w:noProof/>
            <w:webHidden/>
          </w:rPr>
          <w:fldChar w:fldCharType="end"/>
        </w:r>
      </w:hyperlink>
    </w:p>
    <w:p w14:paraId="6A6E2D6B" w14:textId="6537357D"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43" w:history="1">
        <w:r w:rsidRPr="000C0E75">
          <w:rPr>
            <w:rStyle w:val="Lienhypertexte"/>
            <w:rFonts w:ascii="Times New Roman" w:hAnsi="Times New Roman"/>
            <w:noProof/>
          </w:rPr>
          <w:t>Photo 44 :</w:t>
        </w:r>
        <w:r w:rsidR="00374D30">
          <w:rPr>
            <w:rStyle w:val="Lienhypertexte"/>
            <w:rFonts w:ascii="Times New Roman" w:hAnsi="Times New Roman"/>
            <w:noProof/>
          </w:rPr>
          <w:t xml:space="preserve"> </w:t>
        </w:r>
        <w:r w:rsidRPr="000C0E75">
          <w:rPr>
            <w:rStyle w:val="Lienhypertexte"/>
            <w:rFonts w:ascii="Times New Roman" w:hAnsi="Times New Roman"/>
            <w:noProof/>
          </w:rPr>
          <w:t>Rampe d’une boutique dans l’emprise</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_Toc212725243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81</w:t>
        </w:r>
        <w:r w:rsidRPr="000C0E75">
          <w:rPr>
            <w:rFonts w:ascii="Times New Roman" w:hAnsi="Times New Roman"/>
            <w:noProof/>
            <w:webHidden/>
          </w:rPr>
          <w:fldChar w:fldCharType="end"/>
        </w:r>
      </w:hyperlink>
    </w:p>
    <w:p w14:paraId="1FD1588F" w14:textId="120BECBB"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44" w:history="1">
        <w:r w:rsidRPr="000C0E75">
          <w:rPr>
            <w:rStyle w:val="Lienhypertexte"/>
            <w:rFonts w:ascii="Times New Roman" w:hAnsi="Times New Roman"/>
            <w:noProof/>
          </w:rPr>
          <w:t>Photo 45:</w:t>
        </w:r>
        <w:r w:rsidR="00374D30">
          <w:rPr>
            <w:rStyle w:val="Lienhypertexte"/>
            <w:rFonts w:ascii="Times New Roman" w:hAnsi="Times New Roman"/>
            <w:noProof/>
          </w:rPr>
          <w:t xml:space="preserve"> </w:t>
        </w:r>
        <w:r w:rsidRPr="000C0E75">
          <w:rPr>
            <w:rStyle w:val="Lienhypertexte"/>
            <w:rFonts w:ascii="Times New Roman" w:hAnsi="Times New Roman"/>
            <w:noProof/>
          </w:rPr>
          <w:t>Traversée de la route goudronnée de Jaxaay</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_Toc212725244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82</w:t>
        </w:r>
        <w:r w:rsidRPr="000C0E75">
          <w:rPr>
            <w:rFonts w:ascii="Times New Roman" w:hAnsi="Times New Roman"/>
            <w:noProof/>
            <w:webHidden/>
          </w:rPr>
          <w:fldChar w:fldCharType="end"/>
        </w:r>
      </w:hyperlink>
    </w:p>
    <w:p w14:paraId="3D3F3500" w14:textId="2A8450B4"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45" w:history="1">
        <w:r w:rsidRPr="000C0E75">
          <w:rPr>
            <w:rStyle w:val="Lienhypertexte"/>
            <w:rFonts w:ascii="Times New Roman" w:hAnsi="Times New Roman"/>
            <w:noProof/>
          </w:rPr>
          <w:t>Photo 46:</w:t>
        </w:r>
        <w:r w:rsidR="00374D30">
          <w:rPr>
            <w:rStyle w:val="Lienhypertexte"/>
            <w:rFonts w:ascii="Times New Roman" w:hAnsi="Times New Roman"/>
            <w:noProof/>
          </w:rPr>
          <w:t xml:space="preserve"> </w:t>
        </w:r>
        <w:r w:rsidRPr="000C0E75">
          <w:rPr>
            <w:rStyle w:val="Lienhypertexte"/>
            <w:rFonts w:ascii="Times New Roman" w:hAnsi="Times New Roman"/>
            <w:noProof/>
          </w:rPr>
          <w:t>Canal à ciel ouvert dans l’emprise du collecteur</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_Toc212725245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82</w:t>
        </w:r>
        <w:r w:rsidRPr="000C0E75">
          <w:rPr>
            <w:rFonts w:ascii="Times New Roman" w:hAnsi="Times New Roman"/>
            <w:noProof/>
            <w:webHidden/>
          </w:rPr>
          <w:fldChar w:fldCharType="end"/>
        </w:r>
      </w:hyperlink>
    </w:p>
    <w:p w14:paraId="3CE10CAE" w14:textId="621736D8"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46" w:history="1">
        <w:r w:rsidRPr="000C0E75">
          <w:rPr>
            <w:rStyle w:val="Lienhypertexte"/>
            <w:rFonts w:ascii="Times New Roman" w:hAnsi="Times New Roman"/>
            <w:noProof/>
          </w:rPr>
          <w:t>Photo 47:</w:t>
        </w:r>
        <w:r w:rsidR="00374D30">
          <w:rPr>
            <w:rStyle w:val="Lienhypertexte"/>
            <w:rFonts w:ascii="Times New Roman" w:hAnsi="Times New Roman"/>
            <w:noProof/>
          </w:rPr>
          <w:t xml:space="preserve"> </w:t>
        </w:r>
        <w:r w:rsidRPr="000C0E75">
          <w:rPr>
            <w:rStyle w:val="Lienhypertexte"/>
            <w:rFonts w:ascii="Times New Roman" w:hAnsi="Times New Roman"/>
            <w:noProof/>
          </w:rPr>
          <w:t>Vue de l’emprise du collecteur</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_Toc212725246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82</w:t>
        </w:r>
        <w:r w:rsidRPr="000C0E75">
          <w:rPr>
            <w:rFonts w:ascii="Times New Roman" w:hAnsi="Times New Roman"/>
            <w:noProof/>
            <w:webHidden/>
          </w:rPr>
          <w:fldChar w:fldCharType="end"/>
        </w:r>
      </w:hyperlink>
    </w:p>
    <w:p w14:paraId="20B03439" w14:textId="2F9FE166"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47" w:history="1">
        <w:r w:rsidRPr="000C0E75">
          <w:rPr>
            <w:rStyle w:val="Lienhypertexte"/>
            <w:rFonts w:ascii="Times New Roman" w:hAnsi="Times New Roman"/>
            <w:noProof/>
          </w:rPr>
          <w:t>Photo 48:</w:t>
        </w:r>
        <w:r w:rsidR="00374D30">
          <w:rPr>
            <w:rStyle w:val="Lienhypertexte"/>
            <w:rFonts w:ascii="Times New Roman" w:hAnsi="Times New Roman"/>
            <w:noProof/>
          </w:rPr>
          <w:t xml:space="preserve"> </w:t>
        </w:r>
        <w:r w:rsidRPr="000C0E75">
          <w:rPr>
            <w:rStyle w:val="Lienhypertexte"/>
            <w:rFonts w:ascii="Times New Roman" w:hAnsi="Times New Roman"/>
            <w:noProof/>
          </w:rPr>
          <w:t>Commissariat de police de Jaxaay à la limite de l’emprise du collecteur</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_Toc212725247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83</w:t>
        </w:r>
        <w:r w:rsidRPr="000C0E75">
          <w:rPr>
            <w:rFonts w:ascii="Times New Roman" w:hAnsi="Times New Roman"/>
            <w:noProof/>
            <w:webHidden/>
          </w:rPr>
          <w:fldChar w:fldCharType="end"/>
        </w:r>
      </w:hyperlink>
    </w:p>
    <w:p w14:paraId="22D02D59" w14:textId="2396D33C"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48" w:history="1">
        <w:r w:rsidRPr="000C0E75">
          <w:rPr>
            <w:rStyle w:val="Lienhypertexte"/>
            <w:rFonts w:ascii="Times New Roman" w:hAnsi="Times New Roman"/>
            <w:noProof/>
          </w:rPr>
          <w:t>Photo 49:</w:t>
        </w:r>
        <w:r w:rsidR="00374D30">
          <w:rPr>
            <w:rStyle w:val="Lienhypertexte"/>
            <w:rFonts w:ascii="Times New Roman" w:hAnsi="Times New Roman"/>
            <w:noProof/>
          </w:rPr>
          <w:t xml:space="preserve"> </w:t>
        </w:r>
        <w:r w:rsidRPr="000C0E75">
          <w:rPr>
            <w:rStyle w:val="Lienhypertexte"/>
            <w:rFonts w:ascii="Times New Roman" w:hAnsi="Times New Roman"/>
            <w:noProof/>
          </w:rPr>
          <w:t>Vue de l’emprise du segment 1</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_Toc212725248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83</w:t>
        </w:r>
        <w:r w:rsidRPr="000C0E75">
          <w:rPr>
            <w:rFonts w:ascii="Times New Roman" w:hAnsi="Times New Roman"/>
            <w:noProof/>
            <w:webHidden/>
          </w:rPr>
          <w:fldChar w:fldCharType="end"/>
        </w:r>
      </w:hyperlink>
    </w:p>
    <w:p w14:paraId="2768837A" w14:textId="6C325BB8"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49" w:history="1">
        <w:r w:rsidRPr="000C0E75">
          <w:rPr>
            <w:rStyle w:val="Lienhypertexte"/>
            <w:rFonts w:ascii="Times New Roman" w:hAnsi="Times New Roman"/>
            <w:noProof/>
          </w:rPr>
          <w:t>Photo 50:</w:t>
        </w:r>
        <w:r w:rsidR="00374D30">
          <w:rPr>
            <w:rStyle w:val="Lienhypertexte"/>
            <w:rFonts w:ascii="Times New Roman" w:hAnsi="Times New Roman"/>
            <w:noProof/>
          </w:rPr>
          <w:t xml:space="preserve"> </w:t>
        </w:r>
        <w:r w:rsidRPr="000C0E75">
          <w:rPr>
            <w:rStyle w:val="Lienhypertexte"/>
            <w:rFonts w:ascii="Times New Roman" w:hAnsi="Times New Roman"/>
            <w:noProof/>
          </w:rPr>
          <w:t>1 pied de Terminalia mentali et 1pied Hura</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_Toc212725249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83</w:t>
        </w:r>
        <w:r w:rsidRPr="000C0E75">
          <w:rPr>
            <w:rFonts w:ascii="Times New Roman" w:hAnsi="Times New Roman"/>
            <w:noProof/>
            <w:webHidden/>
          </w:rPr>
          <w:fldChar w:fldCharType="end"/>
        </w:r>
      </w:hyperlink>
    </w:p>
    <w:p w14:paraId="6F88B87B" w14:textId="62F58127"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50" w:history="1">
        <w:r w:rsidRPr="000C0E75">
          <w:rPr>
            <w:rStyle w:val="Lienhypertexte"/>
            <w:rFonts w:ascii="Times New Roman" w:hAnsi="Times New Roman"/>
            <w:noProof/>
          </w:rPr>
          <w:t>Photo 51:</w:t>
        </w:r>
        <w:r w:rsidR="00374D30">
          <w:rPr>
            <w:rStyle w:val="Lienhypertexte"/>
            <w:rFonts w:ascii="Times New Roman" w:hAnsi="Times New Roman"/>
            <w:noProof/>
          </w:rPr>
          <w:t xml:space="preserve"> </w:t>
        </w:r>
        <w:r w:rsidRPr="000C0E75">
          <w:rPr>
            <w:rStyle w:val="Lienhypertexte"/>
            <w:rFonts w:ascii="Times New Roman" w:hAnsi="Times New Roman"/>
            <w:noProof/>
          </w:rPr>
          <w:t>Vue de l’emprise du collecteur</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_Toc212725250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84</w:t>
        </w:r>
        <w:r w:rsidRPr="000C0E75">
          <w:rPr>
            <w:rFonts w:ascii="Times New Roman" w:hAnsi="Times New Roman"/>
            <w:noProof/>
            <w:webHidden/>
          </w:rPr>
          <w:fldChar w:fldCharType="end"/>
        </w:r>
      </w:hyperlink>
    </w:p>
    <w:p w14:paraId="6B1A4CBA" w14:textId="7F6890CD"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51" w:history="1">
        <w:r w:rsidRPr="000C0E75">
          <w:rPr>
            <w:rStyle w:val="Lienhypertexte"/>
            <w:rFonts w:ascii="Times New Roman" w:hAnsi="Times New Roman"/>
            <w:noProof/>
          </w:rPr>
          <w:t>Photo 52:</w:t>
        </w:r>
        <w:r w:rsidR="00374D30">
          <w:rPr>
            <w:rStyle w:val="Lienhypertexte"/>
            <w:rFonts w:ascii="Times New Roman" w:hAnsi="Times New Roman"/>
            <w:noProof/>
          </w:rPr>
          <w:t xml:space="preserve"> </w:t>
        </w:r>
        <w:r w:rsidRPr="000C0E75">
          <w:rPr>
            <w:rStyle w:val="Lienhypertexte"/>
            <w:rFonts w:ascii="Times New Roman" w:hAnsi="Times New Roman"/>
            <w:noProof/>
          </w:rPr>
          <w:t>Traversée atelier mécanique</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_Toc212725251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84</w:t>
        </w:r>
        <w:r w:rsidRPr="000C0E75">
          <w:rPr>
            <w:rFonts w:ascii="Times New Roman" w:hAnsi="Times New Roman"/>
            <w:noProof/>
            <w:webHidden/>
          </w:rPr>
          <w:fldChar w:fldCharType="end"/>
        </w:r>
      </w:hyperlink>
    </w:p>
    <w:p w14:paraId="6AFE7A1F" w14:textId="69880E4B"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52" w:history="1">
        <w:r w:rsidRPr="000C0E75">
          <w:rPr>
            <w:rStyle w:val="Lienhypertexte"/>
            <w:rFonts w:ascii="Times New Roman" w:hAnsi="Times New Roman"/>
            <w:noProof/>
          </w:rPr>
          <w:t>Photo 53:</w:t>
        </w:r>
        <w:r w:rsidR="00374D30">
          <w:rPr>
            <w:rStyle w:val="Lienhypertexte"/>
            <w:rFonts w:ascii="Times New Roman" w:hAnsi="Times New Roman"/>
            <w:noProof/>
          </w:rPr>
          <w:t xml:space="preserve"> </w:t>
        </w:r>
        <w:r w:rsidRPr="000C0E75">
          <w:rPr>
            <w:rStyle w:val="Lienhypertexte"/>
            <w:rFonts w:ascii="Times New Roman" w:hAnsi="Times New Roman"/>
            <w:noProof/>
          </w:rPr>
          <w:t>Réseau AEP dans l’emprise du collecteur</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_Toc212725252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84</w:t>
        </w:r>
        <w:r w:rsidRPr="000C0E75">
          <w:rPr>
            <w:rFonts w:ascii="Times New Roman" w:hAnsi="Times New Roman"/>
            <w:noProof/>
            <w:webHidden/>
          </w:rPr>
          <w:fldChar w:fldCharType="end"/>
        </w:r>
      </w:hyperlink>
    </w:p>
    <w:p w14:paraId="3F9FEF86" w14:textId="23993CD2"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53" w:history="1">
        <w:r w:rsidRPr="000C0E75">
          <w:rPr>
            <w:rStyle w:val="Lienhypertexte"/>
            <w:rFonts w:ascii="Times New Roman" w:hAnsi="Times New Roman"/>
            <w:noProof/>
          </w:rPr>
          <w:t>Photo 54:</w:t>
        </w:r>
        <w:r w:rsidR="00374D30">
          <w:rPr>
            <w:rStyle w:val="Lienhypertexte"/>
            <w:rFonts w:ascii="Times New Roman" w:hAnsi="Times New Roman"/>
            <w:noProof/>
          </w:rPr>
          <w:t xml:space="preserve"> </w:t>
        </w:r>
        <w:r w:rsidRPr="000C0E75">
          <w:rPr>
            <w:rStyle w:val="Lienhypertexte"/>
            <w:rFonts w:ascii="Times New Roman" w:hAnsi="Times New Roman"/>
            <w:noProof/>
          </w:rPr>
          <w:t>Tuyau AEP gros diamètre dans l’emprise</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_Toc212725253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85</w:t>
        </w:r>
        <w:r w:rsidRPr="000C0E75">
          <w:rPr>
            <w:rFonts w:ascii="Times New Roman" w:hAnsi="Times New Roman"/>
            <w:noProof/>
            <w:webHidden/>
          </w:rPr>
          <w:fldChar w:fldCharType="end"/>
        </w:r>
      </w:hyperlink>
    </w:p>
    <w:p w14:paraId="75B4AFAF" w14:textId="48BF1B81"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54" w:history="1">
        <w:r w:rsidRPr="000C0E75">
          <w:rPr>
            <w:rStyle w:val="Lienhypertexte"/>
            <w:rFonts w:ascii="Times New Roman" w:hAnsi="Times New Roman"/>
            <w:noProof/>
          </w:rPr>
          <w:t>Photo 55:</w:t>
        </w:r>
        <w:r w:rsidR="00374D30">
          <w:rPr>
            <w:rStyle w:val="Lienhypertexte"/>
            <w:rFonts w:ascii="Times New Roman" w:hAnsi="Times New Roman"/>
            <w:noProof/>
          </w:rPr>
          <w:t xml:space="preserve"> </w:t>
        </w:r>
        <w:r w:rsidRPr="000C0E75">
          <w:rPr>
            <w:rStyle w:val="Lienhypertexte"/>
            <w:rFonts w:ascii="Times New Roman" w:hAnsi="Times New Roman"/>
            <w:noProof/>
          </w:rPr>
          <w:t>Traversée d’un domaine privé</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_Toc212725254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85</w:t>
        </w:r>
        <w:r w:rsidRPr="000C0E75">
          <w:rPr>
            <w:rFonts w:ascii="Times New Roman" w:hAnsi="Times New Roman"/>
            <w:noProof/>
            <w:webHidden/>
          </w:rPr>
          <w:fldChar w:fldCharType="end"/>
        </w:r>
      </w:hyperlink>
    </w:p>
    <w:p w14:paraId="2FC4BBC5" w14:textId="668F0E2F"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55" w:history="1">
        <w:r w:rsidRPr="000C0E75">
          <w:rPr>
            <w:rStyle w:val="Lienhypertexte"/>
            <w:rFonts w:ascii="Times New Roman" w:hAnsi="Times New Roman"/>
            <w:noProof/>
          </w:rPr>
          <w:t>Photo 56:</w:t>
        </w:r>
        <w:r w:rsidR="00374D30">
          <w:rPr>
            <w:rStyle w:val="Lienhypertexte"/>
            <w:rFonts w:ascii="Times New Roman" w:hAnsi="Times New Roman"/>
            <w:noProof/>
          </w:rPr>
          <w:t xml:space="preserve"> </w:t>
        </w:r>
        <w:r w:rsidRPr="000C0E75">
          <w:rPr>
            <w:rStyle w:val="Lienhypertexte"/>
            <w:rFonts w:ascii="Times New Roman" w:hAnsi="Times New Roman"/>
            <w:noProof/>
          </w:rPr>
          <w:t>Vue de l’emprise du collecteur</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_Toc212725255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85</w:t>
        </w:r>
        <w:r w:rsidRPr="000C0E75">
          <w:rPr>
            <w:rFonts w:ascii="Times New Roman" w:hAnsi="Times New Roman"/>
            <w:noProof/>
            <w:webHidden/>
          </w:rPr>
          <w:fldChar w:fldCharType="end"/>
        </w:r>
      </w:hyperlink>
    </w:p>
    <w:p w14:paraId="29643D53" w14:textId="1920179D"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56" w:history="1">
        <w:r w:rsidRPr="000C0E75">
          <w:rPr>
            <w:rStyle w:val="Lienhypertexte"/>
            <w:rFonts w:ascii="Times New Roman" w:hAnsi="Times New Roman"/>
            <w:noProof/>
          </w:rPr>
          <w:t>Photo 57:</w:t>
        </w:r>
        <w:r w:rsidR="00374D30">
          <w:rPr>
            <w:rStyle w:val="Lienhypertexte"/>
            <w:rFonts w:ascii="Times New Roman" w:hAnsi="Times New Roman"/>
            <w:noProof/>
          </w:rPr>
          <w:t xml:space="preserve"> </w:t>
        </w:r>
        <w:r w:rsidRPr="000C0E75">
          <w:rPr>
            <w:rStyle w:val="Lienhypertexte"/>
            <w:rFonts w:ascii="Times New Roman" w:hAnsi="Times New Roman"/>
            <w:noProof/>
          </w:rPr>
          <w:t>Rue goudronnée longée par le collecteur</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_Toc212725256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86</w:t>
        </w:r>
        <w:r w:rsidRPr="000C0E75">
          <w:rPr>
            <w:rFonts w:ascii="Times New Roman" w:hAnsi="Times New Roman"/>
            <w:noProof/>
            <w:webHidden/>
          </w:rPr>
          <w:fldChar w:fldCharType="end"/>
        </w:r>
      </w:hyperlink>
    </w:p>
    <w:p w14:paraId="05915AF1" w14:textId="7F36A325"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57" w:history="1">
        <w:r w:rsidRPr="000C0E75">
          <w:rPr>
            <w:rStyle w:val="Lienhypertexte"/>
            <w:rFonts w:ascii="Times New Roman" w:hAnsi="Times New Roman"/>
            <w:noProof/>
          </w:rPr>
          <w:t>Photo 58:</w:t>
        </w:r>
        <w:r w:rsidR="00374D30">
          <w:rPr>
            <w:rStyle w:val="Lienhypertexte"/>
            <w:rFonts w:ascii="Times New Roman" w:hAnsi="Times New Roman"/>
            <w:noProof/>
          </w:rPr>
          <w:t xml:space="preserve"> </w:t>
        </w:r>
        <w:r w:rsidRPr="000C0E75">
          <w:rPr>
            <w:rStyle w:val="Lienhypertexte"/>
            <w:rFonts w:ascii="Times New Roman" w:hAnsi="Times New Roman"/>
            <w:noProof/>
          </w:rPr>
          <w:t>Vue de l’emprise du collecteur</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_Toc212725257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86</w:t>
        </w:r>
        <w:r w:rsidRPr="000C0E75">
          <w:rPr>
            <w:rFonts w:ascii="Times New Roman" w:hAnsi="Times New Roman"/>
            <w:noProof/>
            <w:webHidden/>
          </w:rPr>
          <w:fldChar w:fldCharType="end"/>
        </w:r>
      </w:hyperlink>
    </w:p>
    <w:p w14:paraId="345A9576" w14:textId="6E1DBCB9"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58" w:history="1">
        <w:r w:rsidRPr="000C0E75">
          <w:rPr>
            <w:rStyle w:val="Lienhypertexte"/>
            <w:rFonts w:ascii="Times New Roman" w:hAnsi="Times New Roman"/>
            <w:noProof/>
          </w:rPr>
          <w:t>Photo 59:</w:t>
        </w:r>
        <w:r w:rsidR="00374D30">
          <w:rPr>
            <w:rStyle w:val="Lienhypertexte"/>
            <w:rFonts w:ascii="Times New Roman" w:hAnsi="Times New Roman"/>
            <w:noProof/>
          </w:rPr>
          <w:t xml:space="preserve"> </w:t>
        </w:r>
        <w:r w:rsidRPr="000C0E75">
          <w:rPr>
            <w:rStyle w:val="Lienhypertexte"/>
            <w:rFonts w:ascii="Times New Roman" w:hAnsi="Times New Roman"/>
            <w:noProof/>
          </w:rPr>
          <w:t>Habitations de part et d’autre du collecteur</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_Toc212725258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86</w:t>
        </w:r>
        <w:r w:rsidRPr="000C0E75">
          <w:rPr>
            <w:rFonts w:ascii="Times New Roman" w:hAnsi="Times New Roman"/>
            <w:noProof/>
            <w:webHidden/>
          </w:rPr>
          <w:fldChar w:fldCharType="end"/>
        </w:r>
      </w:hyperlink>
    </w:p>
    <w:p w14:paraId="12249567" w14:textId="05DDEFD5"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59" w:history="1">
        <w:r w:rsidRPr="000C0E75">
          <w:rPr>
            <w:rStyle w:val="Lienhypertexte"/>
            <w:rFonts w:ascii="Times New Roman" w:hAnsi="Times New Roman"/>
            <w:noProof/>
          </w:rPr>
          <w:t>Photo 60:</w:t>
        </w:r>
        <w:r w:rsidR="00374D30">
          <w:rPr>
            <w:rStyle w:val="Lienhypertexte"/>
            <w:rFonts w:ascii="Times New Roman" w:hAnsi="Times New Roman"/>
            <w:noProof/>
          </w:rPr>
          <w:t xml:space="preserve"> </w:t>
        </w:r>
        <w:r w:rsidRPr="000C0E75">
          <w:rPr>
            <w:rStyle w:val="Lienhypertexte"/>
            <w:rFonts w:ascii="Times New Roman" w:hAnsi="Times New Roman"/>
            <w:noProof/>
          </w:rPr>
          <w:t>Canal à ciel ouvert dans l’emprise du collecteur</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_Toc212725259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87</w:t>
        </w:r>
        <w:r w:rsidRPr="000C0E75">
          <w:rPr>
            <w:rFonts w:ascii="Times New Roman" w:hAnsi="Times New Roman"/>
            <w:noProof/>
            <w:webHidden/>
          </w:rPr>
          <w:fldChar w:fldCharType="end"/>
        </w:r>
      </w:hyperlink>
    </w:p>
    <w:p w14:paraId="2084597A" w14:textId="2E468423"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60" w:history="1">
        <w:r w:rsidRPr="000C0E75">
          <w:rPr>
            <w:rStyle w:val="Lienhypertexte"/>
            <w:rFonts w:ascii="Times New Roman" w:hAnsi="Times New Roman"/>
            <w:noProof/>
          </w:rPr>
          <w:t>Photo 61:</w:t>
        </w:r>
        <w:r w:rsidR="00374D30">
          <w:rPr>
            <w:rStyle w:val="Lienhypertexte"/>
            <w:rFonts w:ascii="Times New Roman" w:hAnsi="Times New Roman"/>
            <w:noProof/>
          </w:rPr>
          <w:t xml:space="preserve"> </w:t>
        </w:r>
        <w:r w:rsidRPr="000C0E75">
          <w:rPr>
            <w:rStyle w:val="Lienhypertexte"/>
            <w:rFonts w:ascii="Times New Roman" w:hAnsi="Times New Roman"/>
            <w:noProof/>
          </w:rPr>
          <w:t>Vue de l’emprise du collecteur</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_Toc212725260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87</w:t>
        </w:r>
        <w:r w:rsidRPr="000C0E75">
          <w:rPr>
            <w:rFonts w:ascii="Times New Roman" w:hAnsi="Times New Roman"/>
            <w:noProof/>
            <w:webHidden/>
          </w:rPr>
          <w:fldChar w:fldCharType="end"/>
        </w:r>
      </w:hyperlink>
    </w:p>
    <w:p w14:paraId="1069549F" w14:textId="01B48E26"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61" w:history="1">
        <w:r w:rsidRPr="000C0E75">
          <w:rPr>
            <w:rStyle w:val="Lienhypertexte"/>
            <w:rFonts w:ascii="Times New Roman" w:hAnsi="Times New Roman"/>
            <w:noProof/>
          </w:rPr>
          <w:t>Photo 62:</w:t>
        </w:r>
        <w:r w:rsidR="00374D30">
          <w:rPr>
            <w:rStyle w:val="Lienhypertexte"/>
            <w:rFonts w:ascii="Times New Roman" w:hAnsi="Times New Roman"/>
            <w:noProof/>
          </w:rPr>
          <w:t xml:space="preserve">  </w:t>
        </w:r>
        <w:r w:rsidRPr="000C0E75">
          <w:rPr>
            <w:rStyle w:val="Lienhypertexte"/>
            <w:rFonts w:ascii="Times New Roman" w:hAnsi="Times New Roman"/>
            <w:noProof/>
          </w:rPr>
          <w:t>Zone de stagnation d’eau dans l’emprise</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_Toc212725261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87</w:t>
        </w:r>
        <w:r w:rsidRPr="000C0E75">
          <w:rPr>
            <w:rFonts w:ascii="Times New Roman" w:hAnsi="Times New Roman"/>
            <w:noProof/>
            <w:webHidden/>
          </w:rPr>
          <w:fldChar w:fldCharType="end"/>
        </w:r>
      </w:hyperlink>
    </w:p>
    <w:p w14:paraId="33E00D30" w14:textId="06BDFE5B"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62" w:history="1">
        <w:r w:rsidRPr="000C0E75">
          <w:rPr>
            <w:rStyle w:val="Lienhypertexte"/>
            <w:rFonts w:ascii="Times New Roman" w:hAnsi="Times New Roman"/>
            <w:noProof/>
          </w:rPr>
          <w:t>Photo 63 : Vue de l’emprise vers le marigot de Mbao</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_Toc212725262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88</w:t>
        </w:r>
        <w:r w:rsidRPr="000C0E75">
          <w:rPr>
            <w:rFonts w:ascii="Times New Roman" w:hAnsi="Times New Roman"/>
            <w:noProof/>
            <w:webHidden/>
          </w:rPr>
          <w:fldChar w:fldCharType="end"/>
        </w:r>
      </w:hyperlink>
    </w:p>
    <w:p w14:paraId="3566B178" w14:textId="06C5F083"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63" w:history="1">
        <w:r w:rsidRPr="000C0E75">
          <w:rPr>
            <w:rStyle w:val="Lienhypertexte"/>
            <w:rFonts w:ascii="Times New Roman" w:hAnsi="Times New Roman"/>
            <w:noProof/>
          </w:rPr>
          <w:t>Photo 64 : Traversée d’une route pavée</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_Toc212725263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88</w:t>
        </w:r>
        <w:r w:rsidRPr="000C0E75">
          <w:rPr>
            <w:rFonts w:ascii="Times New Roman" w:hAnsi="Times New Roman"/>
            <w:noProof/>
            <w:webHidden/>
          </w:rPr>
          <w:fldChar w:fldCharType="end"/>
        </w:r>
      </w:hyperlink>
    </w:p>
    <w:p w14:paraId="3FB329ED" w14:textId="43456E88"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64" w:history="1">
        <w:r w:rsidRPr="000C0E75">
          <w:rPr>
            <w:rStyle w:val="Lienhypertexte"/>
            <w:rFonts w:ascii="Times New Roman" w:hAnsi="Times New Roman"/>
            <w:noProof/>
          </w:rPr>
          <w:t>Photo 65 : Étal vente de petit déjeuner dans l’emprise</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_Toc212725264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88</w:t>
        </w:r>
        <w:r w:rsidRPr="000C0E75">
          <w:rPr>
            <w:rFonts w:ascii="Times New Roman" w:hAnsi="Times New Roman"/>
            <w:noProof/>
            <w:webHidden/>
          </w:rPr>
          <w:fldChar w:fldCharType="end"/>
        </w:r>
      </w:hyperlink>
    </w:p>
    <w:p w14:paraId="575C4110" w14:textId="0C6A3B21"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65" w:history="1">
        <w:r w:rsidRPr="000C0E75">
          <w:rPr>
            <w:rStyle w:val="Lienhypertexte"/>
            <w:rFonts w:ascii="Times New Roman" w:hAnsi="Times New Roman"/>
            <w:noProof/>
          </w:rPr>
          <w:t>Photo 66 : Boulangerie à la limite de l’emprise</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_Toc212725265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89</w:t>
        </w:r>
        <w:r w:rsidRPr="000C0E75">
          <w:rPr>
            <w:rFonts w:ascii="Times New Roman" w:hAnsi="Times New Roman"/>
            <w:noProof/>
            <w:webHidden/>
          </w:rPr>
          <w:fldChar w:fldCharType="end"/>
        </w:r>
      </w:hyperlink>
    </w:p>
    <w:p w14:paraId="0938E619" w14:textId="4113E9DE"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66" w:history="1">
        <w:r w:rsidRPr="000C0E75">
          <w:rPr>
            <w:rStyle w:val="Lienhypertexte"/>
            <w:rFonts w:ascii="Times New Roman" w:hAnsi="Times New Roman"/>
            <w:noProof/>
          </w:rPr>
          <w:t>Photo 67 : Regard ONAS dans l’emprise et une mosquée à la limite de l’emprise</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_Toc212725266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89</w:t>
        </w:r>
        <w:r w:rsidRPr="000C0E75">
          <w:rPr>
            <w:rFonts w:ascii="Times New Roman" w:hAnsi="Times New Roman"/>
            <w:noProof/>
            <w:webHidden/>
          </w:rPr>
          <w:fldChar w:fldCharType="end"/>
        </w:r>
      </w:hyperlink>
    </w:p>
    <w:p w14:paraId="66DFF40B" w14:textId="76B91B8B"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67" w:history="1">
        <w:r w:rsidRPr="000C0E75">
          <w:rPr>
            <w:rStyle w:val="Lienhypertexte"/>
            <w:rFonts w:ascii="Times New Roman" w:hAnsi="Times New Roman"/>
            <w:noProof/>
          </w:rPr>
          <w:t>Photo 68 : Vue de l’emprise du collecteur</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_Toc212725267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89</w:t>
        </w:r>
        <w:r w:rsidRPr="000C0E75">
          <w:rPr>
            <w:rFonts w:ascii="Times New Roman" w:hAnsi="Times New Roman"/>
            <w:noProof/>
            <w:webHidden/>
          </w:rPr>
          <w:fldChar w:fldCharType="end"/>
        </w:r>
      </w:hyperlink>
    </w:p>
    <w:p w14:paraId="38A23538" w14:textId="41D3A587"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68" w:history="1">
        <w:r w:rsidRPr="000C0E75">
          <w:rPr>
            <w:rStyle w:val="Lienhypertexte"/>
            <w:rFonts w:ascii="Times New Roman" w:hAnsi="Times New Roman"/>
            <w:noProof/>
          </w:rPr>
          <w:t>Photo 69 : Traversée d’une route goudronnée</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_Toc212725268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90</w:t>
        </w:r>
        <w:r w:rsidRPr="000C0E75">
          <w:rPr>
            <w:rFonts w:ascii="Times New Roman" w:hAnsi="Times New Roman"/>
            <w:noProof/>
            <w:webHidden/>
          </w:rPr>
          <w:fldChar w:fldCharType="end"/>
        </w:r>
      </w:hyperlink>
    </w:p>
    <w:p w14:paraId="41E07C69" w14:textId="094D6573"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69" w:history="1">
        <w:r w:rsidRPr="000C0E75">
          <w:rPr>
            <w:rStyle w:val="Lienhypertexte"/>
            <w:rFonts w:ascii="Times New Roman" w:hAnsi="Times New Roman"/>
            <w:noProof/>
          </w:rPr>
          <w:t>Photo 70 : Traversée d’une aire de jeu</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_Toc212725269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90</w:t>
        </w:r>
        <w:r w:rsidRPr="000C0E75">
          <w:rPr>
            <w:rFonts w:ascii="Times New Roman" w:hAnsi="Times New Roman"/>
            <w:noProof/>
            <w:webHidden/>
          </w:rPr>
          <w:fldChar w:fldCharType="end"/>
        </w:r>
      </w:hyperlink>
    </w:p>
    <w:p w14:paraId="5C11A488" w14:textId="3123721A"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70" w:history="1">
        <w:r w:rsidRPr="000C0E75">
          <w:rPr>
            <w:rStyle w:val="Lienhypertexte"/>
            <w:rFonts w:ascii="Times New Roman" w:hAnsi="Times New Roman"/>
            <w:noProof/>
          </w:rPr>
          <w:t>Photo 71 : Point de raccordement (Marigot de Mbao)</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_Toc212725270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90</w:t>
        </w:r>
        <w:r w:rsidRPr="000C0E75">
          <w:rPr>
            <w:rFonts w:ascii="Times New Roman" w:hAnsi="Times New Roman"/>
            <w:noProof/>
            <w:webHidden/>
          </w:rPr>
          <w:fldChar w:fldCharType="end"/>
        </w:r>
      </w:hyperlink>
    </w:p>
    <w:p w14:paraId="2BE1CDD3" w14:textId="3B321F6F"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71" w:history="1">
        <w:r w:rsidRPr="000C0E75">
          <w:rPr>
            <w:rStyle w:val="Lienhypertexte"/>
            <w:rFonts w:ascii="Times New Roman" w:hAnsi="Times New Roman"/>
            <w:noProof/>
          </w:rPr>
          <w:t>Photo 72 : Vue du marigot de Mbao vers la mer</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_Toc212725271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91</w:t>
        </w:r>
        <w:r w:rsidRPr="000C0E75">
          <w:rPr>
            <w:rFonts w:ascii="Times New Roman" w:hAnsi="Times New Roman"/>
            <w:noProof/>
            <w:webHidden/>
          </w:rPr>
          <w:fldChar w:fldCharType="end"/>
        </w:r>
      </w:hyperlink>
    </w:p>
    <w:p w14:paraId="10A1D805" w14:textId="6B36589A"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72" w:history="1">
        <w:r w:rsidRPr="000C0E75">
          <w:rPr>
            <w:rStyle w:val="Lienhypertexte"/>
            <w:rFonts w:ascii="Times New Roman" w:hAnsi="Times New Roman"/>
            <w:noProof/>
          </w:rPr>
          <w:t>Photo 73 : Dépotoir d’ordures sauvages et eaux usées</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_Toc212725272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91</w:t>
        </w:r>
        <w:r w:rsidRPr="000C0E75">
          <w:rPr>
            <w:rFonts w:ascii="Times New Roman" w:hAnsi="Times New Roman"/>
            <w:noProof/>
            <w:webHidden/>
          </w:rPr>
          <w:fldChar w:fldCharType="end"/>
        </w:r>
      </w:hyperlink>
    </w:p>
    <w:p w14:paraId="2BE8EC6B" w14:textId="1002780D"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73" w:history="1">
        <w:r w:rsidRPr="000C0E75">
          <w:rPr>
            <w:rStyle w:val="Lienhypertexte"/>
            <w:rFonts w:ascii="Times New Roman" w:hAnsi="Times New Roman"/>
            <w:noProof/>
          </w:rPr>
          <w:t>Photo 74 : Fosse septique déversant dans le marigot</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_Toc212725273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91</w:t>
        </w:r>
        <w:r w:rsidRPr="000C0E75">
          <w:rPr>
            <w:rFonts w:ascii="Times New Roman" w:hAnsi="Times New Roman"/>
            <w:noProof/>
            <w:webHidden/>
          </w:rPr>
          <w:fldChar w:fldCharType="end"/>
        </w:r>
      </w:hyperlink>
    </w:p>
    <w:p w14:paraId="21C28BFB" w14:textId="0A47E88C"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74" w:history="1">
        <w:r w:rsidRPr="000C0E75">
          <w:rPr>
            <w:rStyle w:val="Lienhypertexte"/>
            <w:rFonts w:ascii="Times New Roman" w:hAnsi="Times New Roman"/>
            <w:noProof/>
          </w:rPr>
          <w:t>Photo 75 : Vue de l’embouchure du marigot de Mbao</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_Toc212725274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92</w:t>
        </w:r>
        <w:r w:rsidRPr="000C0E75">
          <w:rPr>
            <w:rFonts w:ascii="Times New Roman" w:hAnsi="Times New Roman"/>
            <w:noProof/>
            <w:webHidden/>
          </w:rPr>
          <w:fldChar w:fldCharType="end"/>
        </w:r>
      </w:hyperlink>
    </w:p>
    <w:p w14:paraId="3F80DE1F" w14:textId="34F2E96B" w:rsidR="008A50C4" w:rsidRPr="000C0E75" w:rsidRDefault="008A50C4" w:rsidP="000C0E75">
      <w:pPr>
        <w:pStyle w:val="Tabledesillustrations"/>
        <w:tabs>
          <w:tab w:val="right" w:leader="dot" w:pos="9060"/>
        </w:tabs>
        <w:spacing w:after="0" w:line="240" w:lineRule="auto"/>
        <w:rPr>
          <w:rFonts w:ascii="Times New Roman" w:eastAsiaTheme="minorEastAsia" w:hAnsi="Times New Roman"/>
          <w:noProof/>
          <w:kern w:val="2"/>
          <w:sz w:val="24"/>
          <w:szCs w:val="24"/>
          <w:lang w:val="fr-SN" w:eastAsia="fr-FR"/>
          <w14:ligatures w14:val="standardContextual"/>
        </w:rPr>
      </w:pPr>
      <w:hyperlink w:anchor="_Toc212725275" w:history="1">
        <w:r w:rsidRPr="000C0E75">
          <w:rPr>
            <w:rStyle w:val="Lienhypertexte"/>
            <w:rFonts w:ascii="Times New Roman" w:hAnsi="Times New Roman"/>
            <w:noProof/>
          </w:rPr>
          <w:t>Photo 76 : vue des formes d’occupations des emprises du marigot de Mbao</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_Toc212725275 \h </w:instrText>
        </w:r>
        <w:r w:rsidRPr="000C0E75">
          <w:rPr>
            <w:rFonts w:ascii="Times New Roman" w:hAnsi="Times New Roman"/>
            <w:noProof/>
            <w:webHidden/>
          </w:rPr>
        </w:r>
        <w:r w:rsidRPr="000C0E75">
          <w:rPr>
            <w:rFonts w:ascii="Times New Roman" w:hAnsi="Times New Roman"/>
            <w:noProof/>
            <w:webHidden/>
          </w:rPr>
          <w:fldChar w:fldCharType="separate"/>
        </w:r>
        <w:r w:rsidR="00805E85" w:rsidRPr="000C0E75">
          <w:rPr>
            <w:rFonts w:ascii="Times New Roman" w:hAnsi="Times New Roman"/>
            <w:noProof/>
            <w:webHidden/>
          </w:rPr>
          <w:t>93</w:t>
        </w:r>
        <w:r w:rsidRPr="000C0E75">
          <w:rPr>
            <w:rFonts w:ascii="Times New Roman" w:hAnsi="Times New Roman"/>
            <w:noProof/>
            <w:webHidden/>
          </w:rPr>
          <w:fldChar w:fldCharType="end"/>
        </w:r>
      </w:hyperlink>
    </w:p>
    <w:p w14:paraId="406712BA" w14:textId="60F5B592" w:rsidR="00805E85" w:rsidRDefault="005F3FB7" w:rsidP="0097258B">
      <w:pPr>
        <w:pStyle w:val="Style1"/>
        <w:pBdr>
          <w:bottom w:val="single" w:sz="12" w:space="1" w:color="0070C0"/>
        </w:pBdr>
        <w:spacing w:before="0" w:after="0" w:line="240" w:lineRule="auto"/>
        <w:jc w:val="both"/>
        <w:rPr>
          <w:b w:val="0"/>
          <w:color w:val="000000" w:themeColor="text1"/>
          <w:sz w:val="20"/>
          <w:szCs w:val="20"/>
        </w:rPr>
      </w:pPr>
      <w:r w:rsidRPr="000C0E75">
        <w:rPr>
          <w:b w:val="0"/>
          <w:color w:val="000000" w:themeColor="text1"/>
          <w:sz w:val="20"/>
          <w:szCs w:val="20"/>
        </w:rPr>
        <w:fldChar w:fldCharType="end"/>
      </w:r>
    </w:p>
    <w:p w14:paraId="184D8A95" w14:textId="77777777" w:rsidR="00805E85" w:rsidRPr="008A3B6D" w:rsidRDefault="00805E85" w:rsidP="0097258B">
      <w:pPr>
        <w:pStyle w:val="Style1"/>
        <w:pBdr>
          <w:bottom w:val="single" w:sz="12" w:space="1" w:color="0070C0"/>
        </w:pBdr>
        <w:spacing w:before="0" w:after="0" w:line="240" w:lineRule="auto"/>
        <w:jc w:val="both"/>
        <w:rPr>
          <w:b w:val="0"/>
          <w:color w:val="000000" w:themeColor="text1"/>
          <w:sz w:val="20"/>
          <w:szCs w:val="20"/>
        </w:rPr>
      </w:pPr>
    </w:p>
    <w:p w14:paraId="239C69B3" w14:textId="6D585775" w:rsidR="005F3FB7" w:rsidRPr="008A3B6D" w:rsidRDefault="005F3FB7" w:rsidP="0097258B">
      <w:pPr>
        <w:pStyle w:val="Style1"/>
        <w:pBdr>
          <w:bottom w:val="single" w:sz="12" w:space="1" w:color="0070C0"/>
        </w:pBdr>
        <w:spacing w:before="0" w:after="0" w:line="240" w:lineRule="auto"/>
        <w:jc w:val="both"/>
        <w:rPr>
          <w:b w:val="0"/>
          <w:color w:val="000000" w:themeColor="text1"/>
          <w:szCs w:val="24"/>
        </w:rPr>
      </w:pPr>
      <w:r w:rsidRPr="008A3B6D">
        <w:rPr>
          <w:color w:val="000000" w:themeColor="text1"/>
          <w:szCs w:val="24"/>
        </w:rPr>
        <w:t>FIGURES</w:t>
      </w:r>
    </w:p>
    <w:p w14:paraId="1970D723" w14:textId="77777777" w:rsidR="008A50C4" w:rsidRDefault="008A50C4">
      <w:pPr>
        <w:spacing w:after="0" w:line="240" w:lineRule="auto"/>
        <w:jc w:val="both"/>
        <w:rPr>
          <w:rFonts w:ascii="Times New Roman" w:hAnsi="Times New Roman"/>
          <w:color w:val="000000" w:themeColor="text1"/>
          <w:sz w:val="20"/>
          <w:szCs w:val="20"/>
        </w:rPr>
      </w:pPr>
    </w:p>
    <w:bookmarkStart w:id="2" w:name="_Toc212725071"/>
    <w:p w14:paraId="60E73359" w14:textId="57198195" w:rsidR="000C0E75" w:rsidRPr="000C0E75" w:rsidRDefault="008A50C4" w:rsidP="000C0E75">
      <w:pPr>
        <w:pStyle w:val="Tabledesillustrations"/>
        <w:tabs>
          <w:tab w:val="right" w:leader="dot" w:pos="9060"/>
        </w:tabs>
        <w:spacing w:after="0" w:line="240" w:lineRule="auto"/>
        <w:jc w:val="both"/>
        <w:rPr>
          <w:rFonts w:ascii="Times New Roman" w:eastAsiaTheme="minorEastAsia" w:hAnsi="Times New Roman"/>
          <w:noProof/>
          <w:kern w:val="2"/>
          <w:lang w:val="fr-SN" w:eastAsia="fr-FR"/>
          <w14:ligatures w14:val="standardContextual"/>
        </w:rPr>
      </w:pPr>
      <w:r w:rsidRPr="000C0E75">
        <w:rPr>
          <w:rFonts w:ascii="Times New Roman" w:hAnsi="Times New Roman"/>
          <w:color w:val="000000" w:themeColor="text1"/>
        </w:rPr>
        <w:fldChar w:fldCharType="begin"/>
      </w:r>
      <w:r w:rsidRPr="000C0E75">
        <w:rPr>
          <w:rFonts w:ascii="Times New Roman" w:hAnsi="Times New Roman"/>
          <w:color w:val="000000" w:themeColor="text1"/>
        </w:rPr>
        <w:instrText xml:space="preserve"> TOC \h \z \c "Figure" </w:instrText>
      </w:r>
      <w:r w:rsidRPr="000C0E75">
        <w:rPr>
          <w:rFonts w:ascii="Times New Roman" w:hAnsi="Times New Roman"/>
          <w:color w:val="000000" w:themeColor="text1"/>
        </w:rPr>
        <w:fldChar w:fldCharType="separate"/>
      </w:r>
      <w:hyperlink w:anchor="_Toc228877393" w:history="1">
        <w:r w:rsidR="000C0E75" w:rsidRPr="000C0E75">
          <w:rPr>
            <w:rStyle w:val="Lienhypertexte"/>
            <w:rFonts w:ascii="Times New Roman" w:hAnsi="Times New Roman"/>
            <w:noProof/>
          </w:rPr>
          <w:t>Figure 2 : Localisation de la zone du projet</w:t>
        </w:r>
        <w:r w:rsidR="000C0E75" w:rsidRPr="000C0E75">
          <w:rPr>
            <w:rFonts w:ascii="Times New Roman" w:hAnsi="Times New Roman"/>
            <w:noProof/>
            <w:webHidden/>
          </w:rPr>
          <w:tab/>
        </w:r>
        <w:r w:rsidR="000C0E75" w:rsidRPr="000C0E75">
          <w:rPr>
            <w:rFonts w:ascii="Times New Roman" w:hAnsi="Times New Roman"/>
            <w:noProof/>
            <w:webHidden/>
          </w:rPr>
          <w:fldChar w:fldCharType="begin"/>
        </w:r>
        <w:r w:rsidR="000C0E75" w:rsidRPr="000C0E75">
          <w:rPr>
            <w:rFonts w:ascii="Times New Roman" w:hAnsi="Times New Roman"/>
            <w:noProof/>
            <w:webHidden/>
          </w:rPr>
          <w:instrText xml:space="preserve"> PAGEREF _Toc228877393 \h </w:instrText>
        </w:r>
        <w:r w:rsidR="000C0E75" w:rsidRPr="000C0E75">
          <w:rPr>
            <w:rFonts w:ascii="Times New Roman" w:hAnsi="Times New Roman"/>
            <w:noProof/>
            <w:webHidden/>
          </w:rPr>
        </w:r>
        <w:r w:rsidR="000C0E75" w:rsidRPr="000C0E75">
          <w:rPr>
            <w:rFonts w:ascii="Times New Roman" w:hAnsi="Times New Roman"/>
            <w:noProof/>
            <w:webHidden/>
          </w:rPr>
          <w:fldChar w:fldCharType="separate"/>
        </w:r>
        <w:r w:rsidR="000C0E75" w:rsidRPr="000C0E75">
          <w:rPr>
            <w:rFonts w:ascii="Times New Roman" w:hAnsi="Times New Roman"/>
            <w:noProof/>
            <w:webHidden/>
          </w:rPr>
          <w:t>30</w:t>
        </w:r>
        <w:r w:rsidR="000C0E75" w:rsidRPr="000C0E75">
          <w:rPr>
            <w:rFonts w:ascii="Times New Roman" w:hAnsi="Times New Roman"/>
            <w:noProof/>
            <w:webHidden/>
          </w:rPr>
          <w:fldChar w:fldCharType="end"/>
        </w:r>
      </w:hyperlink>
    </w:p>
    <w:p w14:paraId="20A9CC9A" w14:textId="293D777D" w:rsidR="000C0E75" w:rsidRPr="000C0E75" w:rsidRDefault="000C0E75" w:rsidP="000C0E75">
      <w:pPr>
        <w:pStyle w:val="Tabledesillustrations"/>
        <w:tabs>
          <w:tab w:val="right" w:leader="dot" w:pos="9060"/>
        </w:tabs>
        <w:spacing w:after="0" w:line="240" w:lineRule="auto"/>
        <w:jc w:val="both"/>
        <w:rPr>
          <w:rFonts w:ascii="Times New Roman" w:eastAsiaTheme="minorEastAsia" w:hAnsi="Times New Roman"/>
          <w:noProof/>
          <w:kern w:val="2"/>
          <w:lang w:val="fr-SN" w:eastAsia="fr-FR"/>
          <w14:ligatures w14:val="standardContextual"/>
        </w:rPr>
      </w:pPr>
      <w:hyperlink w:anchor="_Toc228877394" w:history="1">
        <w:r w:rsidRPr="000C0E75">
          <w:rPr>
            <w:rStyle w:val="Lienhypertexte"/>
            <w:rFonts w:ascii="Times New Roman" w:hAnsi="Times New Roman"/>
            <w:noProof/>
          </w:rPr>
          <w:t>Figure 3: Emprises de l'aménagement des berges du marigot - tronçon le plus large, avec nécessité de terrassements en eau</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_Toc228877394 \h </w:instrText>
        </w:r>
        <w:r w:rsidRPr="000C0E75">
          <w:rPr>
            <w:rFonts w:ascii="Times New Roman" w:hAnsi="Times New Roman"/>
            <w:noProof/>
            <w:webHidden/>
          </w:rPr>
        </w:r>
        <w:r w:rsidRPr="000C0E75">
          <w:rPr>
            <w:rFonts w:ascii="Times New Roman" w:hAnsi="Times New Roman"/>
            <w:noProof/>
            <w:webHidden/>
          </w:rPr>
          <w:fldChar w:fldCharType="separate"/>
        </w:r>
        <w:r w:rsidRPr="000C0E75">
          <w:rPr>
            <w:rFonts w:ascii="Times New Roman" w:hAnsi="Times New Roman"/>
            <w:noProof/>
            <w:webHidden/>
          </w:rPr>
          <w:t>35</w:t>
        </w:r>
        <w:r w:rsidRPr="000C0E75">
          <w:rPr>
            <w:rFonts w:ascii="Times New Roman" w:hAnsi="Times New Roman"/>
            <w:noProof/>
            <w:webHidden/>
          </w:rPr>
          <w:fldChar w:fldCharType="end"/>
        </w:r>
      </w:hyperlink>
    </w:p>
    <w:p w14:paraId="2D1AFFAC" w14:textId="2C24EE77" w:rsidR="000C0E75" w:rsidRPr="000C0E75" w:rsidRDefault="000C0E75" w:rsidP="000C0E75">
      <w:pPr>
        <w:pStyle w:val="Tabledesillustrations"/>
        <w:tabs>
          <w:tab w:val="right" w:leader="dot" w:pos="9060"/>
        </w:tabs>
        <w:spacing w:after="0" w:line="240" w:lineRule="auto"/>
        <w:jc w:val="both"/>
        <w:rPr>
          <w:rFonts w:ascii="Times New Roman" w:eastAsiaTheme="minorEastAsia" w:hAnsi="Times New Roman"/>
          <w:noProof/>
          <w:kern w:val="2"/>
          <w:lang w:val="fr-SN" w:eastAsia="fr-FR"/>
          <w14:ligatures w14:val="standardContextual"/>
        </w:rPr>
      </w:pPr>
      <w:hyperlink w:anchor="_Toc228877395" w:history="1">
        <w:r w:rsidRPr="000C0E75">
          <w:rPr>
            <w:rStyle w:val="Lienhypertexte"/>
            <w:rFonts w:ascii="Times New Roman" w:hAnsi="Times New Roman"/>
            <w:noProof/>
          </w:rPr>
          <w:t>Figure 4: Vue de l'ouvrage de rejet en mer</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_Toc228877395 \h </w:instrText>
        </w:r>
        <w:r w:rsidRPr="000C0E75">
          <w:rPr>
            <w:rFonts w:ascii="Times New Roman" w:hAnsi="Times New Roman"/>
            <w:noProof/>
            <w:webHidden/>
          </w:rPr>
        </w:r>
        <w:r w:rsidRPr="000C0E75">
          <w:rPr>
            <w:rFonts w:ascii="Times New Roman" w:hAnsi="Times New Roman"/>
            <w:noProof/>
            <w:webHidden/>
          </w:rPr>
          <w:fldChar w:fldCharType="separate"/>
        </w:r>
        <w:r w:rsidRPr="000C0E75">
          <w:rPr>
            <w:rFonts w:ascii="Times New Roman" w:hAnsi="Times New Roman"/>
            <w:noProof/>
            <w:webHidden/>
          </w:rPr>
          <w:t>37</w:t>
        </w:r>
        <w:r w:rsidRPr="000C0E75">
          <w:rPr>
            <w:rFonts w:ascii="Times New Roman" w:hAnsi="Times New Roman"/>
            <w:noProof/>
            <w:webHidden/>
          </w:rPr>
          <w:fldChar w:fldCharType="end"/>
        </w:r>
      </w:hyperlink>
    </w:p>
    <w:p w14:paraId="7FCF2726" w14:textId="7ECA98E7" w:rsidR="000C0E75" w:rsidRPr="000C0E75" w:rsidRDefault="000C0E75" w:rsidP="000C0E75">
      <w:pPr>
        <w:pStyle w:val="Tabledesillustrations"/>
        <w:tabs>
          <w:tab w:val="right" w:leader="dot" w:pos="9060"/>
        </w:tabs>
        <w:spacing w:after="0" w:line="240" w:lineRule="auto"/>
        <w:jc w:val="both"/>
        <w:rPr>
          <w:rFonts w:ascii="Times New Roman" w:eastAsiaTheme="minorEastAsia" w:hAnsi="Times New Roman"/>
          <w:noProof/>
          <w:kern w:val="2"/>
          <w:lang w:val="fr-SN" w:eastAsia="fr-FR"/>
          <w14:ligatures w14:val="standardContextual"/>
        </w:rPr>
      </w:pPr>
      <w:hyperlink w:anchor="_Toc228877396" w:history="1">
        <w:r w:rsidRPr="000C0E75">
          <w:rPr>
            <w:rStyle w:val="Lienhypertexte"/>
            <w:rFonts w:ascii="Times New Roman" w:hAnsi="Times New Roman"/>
            <w:bCs/>
            <w:noProof/>
            <w:lang w:eastAsia="fr-FR"/>
          </w:rPr>
          <w:t>figure 5: carte de la géologie de la zone d’influence indirecte</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_Toc228877396 \h </w:instrText>
        </w:r>
        <w:r w:rsidRPr="000C0E75">
          <w:rPr>
            <w:rFonts w:ascii="Times New Roman" w:hAnsi="Times New Roman"/>
            <w:noProof/>
            <w:webHidden/>
          </w:rPr>
        </w:r>
        <w:r w:rsidRPr="000C0E75">
          <w:rPr>
            <w:rFonts w:ascii="Times New Roman" w:hAnsi="Times New Roman"/>
            <w:noProof/>
            <w:webHidden/>
          </w:rPr>
          <w:fldChar w:fldCharType="separate"/>
        </w:r>
        <w:r w:rsidRPr="000C0E75">
          <w:rPr>
            <w:rFonts w:ascii="Times New Roman" w:hAnsi="Times New Roman"/>
            <w:noProof/>
            <w:webHidden/>
          </w:rPr>
          <w:t>98</w:t>
        </w:r>
        <w:r w:rsidRPr="000C0E75">
          <w:rPr>
            <w:rFonts w:ascii="Times New Roman" w:hAnsi="Times New Roman"/>
            <w:noProof/>
            <w:webHidden/>
          </w:rPr>
          <w:fldChar w:fldCharType="end"/>
        </w:r>
      </w:hyperlink>
    </w:p>
    <w:p w14:paraId="491DC973" w14:textId="12048D11" w:rsidR="000C0E75" w:rsidRPr="000C0E75" w:rsidRDefault="000C0E75" w:rsidP="000C0E75">
      <w:pPr>
        <w:pStyle w:val="Tabledesillustrations"/>
        <w:tabs>
          <w:tab w:val="right" w:leader="dot" w:pos="9060"/>
        </w:tabs>
        <w:spacing w:after="0" w:line="240" w:lineRule="auto"/>
        <w:jc w:val="both"/>
        <w:rPr>
          <w:rFonts w:ascii="Times New Roman" w:eastAsiaTheme="minorEastAsia" w:hAnsi="Times New Roman"/>
          <w:noProof/>
          <w:kern w:val="2"/>
          <w:lang w:val="fr-SN" w:eastAsia="fr-FR"/>
          <w14:ligatures w14:val="standardContextual"/>
        </w:rPr>
      </w:pPr>
      <w:hyperlink w:anchor="_Toc228877397" w:history="1">
        <w:r w:rsidRPr="000C0E75">
          <w:rPr>
            <w:rStyle w:val="Lienhypertexte"/>
            <w:rFonts w:ascii="Times New Roman" w:hAnsi="Times New Roman"/>
            <w:bCs/>
            <w:noProof/>
            <w:lang w:eastAsia="fr-FR"/>
          </w:rPr>
          <w:t>Figure 6: Le relief de la zone d’influence indirecte</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_Toc228877397 \h </w:instrText>
        </w:r>
        <w:r w:rsidRPr="000C0E75">
          <w:rPr>
            <w:rFonts w:ascii="Times New Roman" w:hAnsi="Times New Roman"/>
            <w:noProof/>
            <w:webHidden/>
          </w:rPr>
        </w:r>
        <w:r w:rsidRPr="000C0E75">
          <w:rPr>
            <w:rFonts w:ascii="Times New Roman" w:hAnsi="Times New Roman"/>
            <w:noProof/>
            <w:webHidden/>
          </w:rPr>
          <w:fldChar w:fldCharType="separate"/>
        </w:r>
        <w:r w:rsidRPr="000C0E75">
          <w:rPr>
            <w:rFonts w:ascii="Times New Roman" w:hAnsi="Times New Roman"/>
            <w:noProof/>
            <w:webHidden/>
          </w:rPr>
          <w:t>99</w:t>
        </w:r>
        <w:r w:rsidRPr="000C0E75">
          <w:rPr>
            <w:rFonts w:ascii="Times New Roman" w:hAnsi="Times New Roman"/>
            <w:noProof/>
            <w:webHidden/>
          </w:rPr>
          <w:fldChar w:fldCharType="end"/>
        </w:r>
      </w:hyperlink>
    </w:p>
    <w:p w14:paraId="16C62928" w14:textId="6892C661" w:rsidR="000C0E75" w:rsidRPr="000C0E75" w:rsidRDefault="000C0E75" w:rsidP="000C0E75">
      <w:pPr>
        <w:pStyle w:val="Tabledesillustrations"/>
        <w:tabs>
          <w:tab w:val="right" w:leader="dot" w:pos="9060"/>
        </w:tabs>
        <w:spacing w:after="0" w:line="240" w:lineRule="auto"/>
        <w:jc w:val="both"/>
        <w:rPr>
          <w:rFonts w:ascii="Times New Roman" w:eastAsiaTheme="minorEastAsia" w:hAnsi="Times New Roman"/>
          <w:noProof/>
          <w:kern w:val="2"/>
          <w:lang w:val="fr-SN" w:eastAsia="fr-FR"/>
          <w14:ligatures w14:val="standardContextual"/>
        </w:rPr>
      </w:pPr>
      <w:hyperlink w:anchor="_Toc228877398" w:history="1">
        <w:r w:rsidRPr="000C0E75">
          <w:rPr>
            <w:rStyle w:val="Lienhypertexte"/>
            <w:rFonts w:ascii="Times New Roman" w:hAnsi="Times New Roman"/>
            <w:bCs/>
            <w:noProof/>
            <w:lang w:eastAsia="fr-FR"/>
          </w:rPr>
          <w:t>Figure 7: carte pédologie de la zone d’influence indirecte</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_Toc228877398 \h </w:instrText>
        </w:r>
        <w:r w:rsidRPr="000C0E75">
          <w:rPr>
            <w:rFonts w:ascii="Times New Roman" w:hAnsi="Times New Roman"/>
            <w:noProof/>
            <w:webHidden/>
          </w:rPr>
        </w:r>
        <w:r w:rsidRPr="000C0E75">
          <w:rPr>
            <w:rFonts w:ascii="Times New Roman" w:hAnsi="Times New Roman"/>
            <w:noProof/>
            <w:webHidden/>
          </w:rPr>
          <w:fldChar w:fldCharType="separate"/>
        </w:r>
        <w:r w:rsidRPr="000C0E75">
          <w:rPr>
            <w:rFonts w:ascii="Times New Roman" w:hAnsi="Times New Roman"/>
            <w:noProof/>
            <w:webHidden/>
          </w:rPr>
          <w:t>100</w:t>
        </w:r>
        <w:r w:rsidRPr="000C0E75">
          <w:rPr>
            <w:rFonts w:ascii="Times New Roman" w:hAnsi="Times New Roman"/>
            <w:noProof/>
            <w:webHidden/>
          </w:rPr>
          <w:fldChar w:fldCharType="end"/>
        </w:r>
      </w:hyperlink>
    </w:p>
    <w:p w14:paraId="4B2597FB" w14:textId="3A3F2E7A" w:rsidR="000C0E75" w:rsidRPr="000C0E75" w:rsidRDefault="000C0E75" w:rsidP="000C0E75">
      <w:pPr>
        <w:pStyle w:val="Tabledesillustrations"/>
        <w:tabs>
          <w:tab w:val="right" w:leader="dot" w:pos="9060"/>
        </w:tabs>
        <w:spacing w:after="0" w:line="240" w:lineRule="auto"/>
        <w:jc w:val="both"/>
        <w:rPr>
          <w:rFonts w:ascii="Times New Roman" w:eastAsiaTheme="minorEastAsia" w:hAnsi="Times New Roman"/>
          <w:noProof/>
          <w:kern w:val="2"/>
          <w:lang w:val="fr-SN" w:eastAsia="fr-FR"/>
          <w14:ligatures w14:val="standardContextual"/>
        </w:rPr>
      </w:pPr>
      <w:hyperlink w:anchor="_Toc228877399" w:history="1">
        <w:r w:rsidRPr="000C0E75">
          <w:rPr>
            <w:rStyle w:val="Lienhypertexte"/>
            <w:rFonts w:ascii="Times New Roman" w:hAnsi="Times New Roman"/>
            <w:bCs/>
            <w:noProof/>
            <w:lang w:eastAsia="fr-FR"/>
          </w:rPr>
          <w:t>Figure 8 : type aquifère de la zone d’influence indirecte</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_Toc228877399 \h </w:instrText>
        </w:r>
        <w:r w:rsidRPr="000C0E75">
          <w:rPr>
            <w:rFonts w:ascii="Times New Roman" w:hAnsi="Times New Roman"/>
            <w:noProof/>
            <w:webHidden/>
          </w:rPr>
        </w:r>
        <w:r w:rsidRPr="000C0E75">
          <w:rPr>
            <w:rFonts w:ascii="Times New Roman" w:hAnsi="Times New Roman"/>
            <w:noProof/>
            <w:webHidden/>
          </w:rPr>
          <w:fldChar w:fldCharType="separate"/>
        </w:r>
        <w:r w:rsidRPr="000C0E75">
          <w:rPr>
            <w:rFonts w:ascii="Times New Roman" w:hAnsi="Times New Roman"/>
            <w:noProof/>
            <w:webHidden/>
          </w:rPr>
          <w:t>101</w:t>
        </w:r>
        <w:r w:rsidRPr="000C0E75">
          <w:rPr>
            <w:rFonts w:ascii="Times New Roman" w:hAnsi="Times New Roman"/>
            <w:noProof/>
            <w:webHidden/>
          </w:rPr>
          <w:fldChar w:fldCharType="end"/>
        </w:r>
      </w:hyperlink>
    </w:p>
    <w:p w14:paraId="7C4457B7" w14:textId="447E6B68" w:rsidR="000C0E75" w:rsidRPr="000C0E75" w:rsidRDefault="000C0E75" w:rsidP="000C0E75">
      <w:pPr>
        <w:pStyle w:val="Tabledesillustrations"/>
        <w:tabs>
          <w:tab w:val="right" w:leader="dot" w:pos="9060"/>
        </w:tabs>
        <w:spacing w:after="0" w:line="240" w:lineRule="auto"/>
        <w:jc w:val="both"/>
        <w:rPr>
          <w:rFonts w:ascii="Times New Roman" w:eastAsiaTheme="minorEastAsia" w:hAnsi="Times New Roman"/>
          <w:noProof/>
          <w:kern w:val="2"/>
          <w:lang w:val="fr-SN" w:eastAsia="fr-FR"/>
          <w14:ligatures w14:val="standardContextual"/>
        </w:rPr>
      </w:pPr>
      <w:hyperlink w:anchor="_Toc228877400" w:history="1">
        <w:r w:rsidRPr="000C0E75">
          <w:rPr>
            <w:rStyle w:val="Lienhypertexte"/>
            <w:rFonts w:ascii="Times New Roman" w:hAnsi="Times New Roman"/>
            <w:bCs/>
            <w:noProof/>
            <w:lang w:eastAsia="fr-FR"/>
          </w:rPr>
          <w:t>Figure 9 : les eaux de surface de la zone d’influence indirecte</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_Toc228877400 \h </w:instrText>
        </w:r>
        <w:r w:rsidRPr="000C0E75">
          <w:rPr>
            <w:rFonts w:ascii="Times New Roman" w:hAnsi="Times New Roman"/>
            <w:noProof/>
            <w:webHidden/>
          </w:rPr>
        </w:r>
        <w:r w:rsidRPr="000C0E75">
          <w:rPr>
            <w:rFonts w:ascii="Times New Roman" w:hAnsi="Times New Roman"/>
            <w:noProof/>
            <w:webHidden/>
          </w:rPr>
          <w:fldChar w:fldCharType="separate"/>
        </w:r>
        <w:r w:rsidRPr="000C0E75">
          <w:rPr>
            <w:rFonts w:ascii="Times New Roman" w:hAnsi="Times New Roman"/>
            <w:noProof/>
            <w:webHidden/>
          </w:rPr>
          <w:t>102</w:t>
        </w:r>
        <w:r w:rsidRPr="000C0E75">
          <w:rPr>
            <w:rFonts w:ascii="Times New Roman" w:hAnsi="Times New Roman"/>
            <w:noProof/>
            <w:webHidden/>
          </w:rPr>
          <w:fldChar w:fldCharType="end"/>
        </w:r>
      </w:hyperlink>
    </w:p>
    <w:p w14:paraId="64E5F805" w14:textId="1DE09F30" w:rsidR="000C0E75" w:rsidRPr="000C0E75" w:rsidRDefault="000C0E75" w:rsidP="000C0E75">
      <w:pPr>
        <w:pStyle w:val="Tabledesillustrations"/>
        <w:tabs>
          <w:tab w:val="right" w:leader="dot" w:pos="9060"/>
        </w:tabs>
        <w:spacing w:after="0" w:line="240" w:lineRule="auto"/>
        <w:jc w:val="both"/>
        <w:rPr>
          <w:rFonts w:ascii="Times New Roman" w:eastAsiaTheme="minorEastAsia" w:hAnsi="Times New Roman"/>
          <w:noProof/>
          <w:kern w:val="2"/>
          <w:lang w:val="fr-SN" w:eastAsia="fr-FR"/>
          <w14:ligatures w14:val="standardContextual"/>
        </w:rPr>
      </w:pPr>
      <w:hyperlink w:anchor="_Toc228877401" w:history="1">
        <w:r w:rsidRPr="000C0E75">
          <w:rPr>
            <w:rStyle w:val="Lienhypertexte"/>
            <w:rFonts w:ascii="Times New Roman" w:hAnsi="Times New Roman"/>
            <w:bCs/>
            <w:noProof/>
            <w:lang w:eastAsia="fr-FR"/>
          </w:rPr>
          <w:t>Figure 10: Rose des vents au sol de 1991 à 2020 à station de Dakar Yoff.</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_Toc228877401 \h </w:instrText>
        </w:r>
        <w:r w:rsidRPr="000C0E75">
          <w:rPr>
            <w:rFonts w:ascii="Times New Roman" w:hAnsi="Times New Roman"/>
            <w:noProof/>
            <w:webHidden/>
          </w:rPr>
        </w:r>
        <w:r w:rsidRPr="000C0E75">
          <w:rPr>
            <w:rFonts w:ascii="Times New Roman" w:hAnsi="Times New Roman"/>
            <w:noProof/>
            <w:webHidden/>
          </w:rPr>
          <w:fldChar w:fldCharType="separate"/>
        </w:r>
        <w:r w:rsidRPr="000C0E75">
          <w:rPr>
            <w:rFonts w:ascii="Times New Roman" w:hAnsi="Times New Roman"/>
            <w:noProof/>
            <w:webHidden/>
          </w:rPr>
          <w:t>103</w:t>
        </w:r>
        <w:r w:rsidRPr="000C0E75">
          <w:rPr>
            <w:rFonts w:ascii="Times New Roman" w:hAnsi="Times New Roman"/>
            <w:noProof/>
            <w:webHidden/>
          </w:rPr>
          <w:fldChar w:fldCharType="end"/>
        </w:r>
      </w:hyperlink>
    </w:p>
    <w:p w14:paraId="6568D146" w14:textId="5199E6D3" w:rsidR="000C0E75" w:rsidRPr="000C0E75" w:rsidRDefault="000C0E75" w:rsidP="000C0E75">
      <w:pPr>
        <w:pStyle w:val="Tabledesillustrations"/>
        <w:tabs>
          <w:tab w:val="right" w:leader="dot" w:pos="9060"/>
        </w:tabs>
        <w:spacing w:after="0" w:line="240" w:lineRule="auto"/>
        <w:jc w:val="both"/>
        <w:rPr>
          <w:rFonts w:ascii="Times New Roman" w:eastAsiaTheme="minorEastAsia" w:hAnsi="Times New Roman"/>
          <w:noProof/>
          <w:kern w:val="2"/>
          <w:lang w:val="fr-SN" w:eastAsia="fr-FR"/>
          <w14:ligatures w14:val="standardContextual"/>
        </w:rPr>
      </w:pPr>
      <w:hyperlink w:anchor="_Toc228877402" w:history="1">
        <w:r w:rsidRPr="000C0E75">
          <w:rPr>
            <w:rStyle w:val="Lienhypertexte"/>
            <w:rFonts w:ascii="Times New Roman" w:hAnsi="Times New Roman"/>
            <w:bCs/>
            <w:noProof/>
            <w:lang w:eastAsia="fr-FR"/>
          </w:rPr>
          <w:t>Figure 11: Courbes intermensuelles à la vitesse des vents au sol de 1991 à 2020 à station de Dakar Yoff</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_Toc228877402 \h </w:instrText>
        </w:r>
        <w:r w:rsidRPr="000C0E75">
          <w:rPr>
            <w:rFonts w:ascii="Times New Roman" w:hAnsi="Times New Roman"/>
            <w:noProof/>
            <w:webHidden/>
          </w:rPr>
        </w:r>
        <w:r w:rsidRPr="000C0E75">
          <w:rPr>
            <w:rFonts w:ascii="Times New Roman" w:hAnsi="Times New Roman"/>
            <w:noProof/>
            <w:webHidden/>
          </w:rPr>
          <w:fldChar w:fldCharType="separate"/>
        </w:r>
        <w:r w:rsidRPr="000C0E75">
          <w:rPr>
            <w:rFonts w:ascii="Times New Roman" w:hAnsi="Times New Roman"/>
            <w:noProof/>
            <w:webHidden/>
          </w:rPr>
          <w:t>104</w:t>
        </w:r>
        <w:r w:rsidRPr="000C0E75">
          <w:rPr>
            <w:rFonts w:ascii="Times New Roman" w:hAnsi="Times New Roman"/>
            <w:noProof/>
            <w:webHidden/>
          </w:rPr>
          <w:fldChar w:fldCharType="end"/>
        </w:r>
      </w:hyperlink>
    </w:p>
    <w:p w14:paraId="01315522" w14:textId="606CEDEA" w:rsidR="000C0E75" w:rsidRPr="000C0E75" w:rsidRDefault="000C0E75" w:rsidP="000C0E75">
      <w:pPr>
        <w:pStyle w:val="Tabledesillustrations"/>
        <w:tabs>
          <w:tab w:val="right" w:leader="dot" w:pos="9060"/>
        </w:tabs>
        <w:spacing w:after="0" w:line="240" w:lineRule="auto"/>
        <w:jc w:val="both"/>
        <w:rPr>
          <w:rFonts w:ascii="Times New Roman" w:eastAsiaTheme="minorEastAsia" w:hAnsi="Times New Roman"/>
          <w:noProof/>
          <w:kern w:val="2"/>
          <w:lang w:val="fr-SN" w:eastAsia="fr-FR"/>
          <w14:ligatures w14:val="standardContextual"/>
        </w:rPr>
      </w:pPr>
      <w:hyperlink w:anchor="_Toc228877403" w:history="1">
        <w:r w:rsidRPr="000C0E75">
          <w:rPr>
            <w:rStyle w:val="Lienhypertexte"/>
            <w:rFonts w:ascii="Times New Roman" w:hAnsi="Times New Roman"/>
            <w:bCs/>
            <w:noProof/>
            <w:lang w:eastAsia="fr-FR"/>
          </w:rPr>
          <w:t>Figure 12: Évolution des températures moyennes mensuelles à la station de Dakar de 1990 à 2020 (Source : ANACIM, 2020)</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_Toc228877403 \h </w:instrText>
        </w:r>
        <w:r w:rsidRPr="000C0E75">
          <w:rPr>
            <w:rFonts w:ascii="Times New Roman" w:hAnsi="Times New Roman"/>
            <w:noProof/>
            <w:webHidden/>
          </w:rPr>
        </w:r>
        <w:r w:rsidRPr="000C0E75">
          <w:rPr>
            <w:rFonts w:ascii="Times New Roman" w:hAnsi="Times New Roman"/>
            <w:noProof/>
            <w:webHidden/>
          </w:rPr>
          <w:fldChar w:fldCharType="separate"/>
        </w:r>
        <w:r w:rsidRPr="000C0E75">
          <w:rPr>
            <w:rFonts w:ascii="Times New Roman" w:hAnsi="Times New Roman"/>
            <w:noProof/>
            <w:webHidden/>
          </w:rPr>
          <w:t>105</w:t>
        </w:r>
        <w:r w:rsidRPr="000C0E75">
          <w:rPr>
            <w:rFonts w:ascii="Times New Roman" w:hAnsi="Times New Roman"/>
            <w:noProof/>
            <w:webHidden/>
          </w:rPr>
          <w:fldChar w:fldCharType="end"/>
        </w:r>
      </w:hyperlink>
    </w:p>
    <w:p w14:paraId="5C9B9FA3" w14:textId="103A1AAF" w:rsidR="000C0E75" w:rsidRPr="000C0E75" w:rsidRDefault="000C0E75" w:rsidP="000C0E75">
      <w:pPr>
        <w:pStyle w:val="Tabledesillustrations"/>
        <w:tabs>
          <w:tab w:val="right" w:leader="dot" w:pos="9060"/>
        </w:tabs>
        <w:spacing w:after="0" w:line="240" w:lineRule="auto"/>
        <w:jc w:val="both"/>
        <w:rPr>
          <w:rFonts w:ascii="Times New Roman" w:eastAsiaTheme="minorEastAsia" w:hAnsi="Times New Roman"/>
          <w:noProof/>
          <w:kern w:val="2"/>
          <w:lang w:val="fr-SN" w:eastAsia="fr-FR"/>
          <w14:ligatures w14:val="standardContextual"/>
        </w:rPr>
      </w:pPr>
      <w:hyperlink w:anchor="_Toc228877404" w:history="1">
        <w:r w:rsidRPr="000C0E75">
          <w:rPr>
            <w:rStyle w:val="Lienhypertexte"/>
            <w:rFonts w:ascii="Times New Roman" w:hAnsi="Times New Roman"/>
            <w:bCs/>
            <w:noProof/>
            <w:lang w:eastAsia="fr-FR"/>
          </w:rPr>
          <w:t>Figure 13: Moyenne mensuelle de la pluviométrie aux stations de Dakar de 1991 à 2020 (ANACIM, 2020)</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_Toc228877404 \h </w:instrText>
        </w:r>
        <w:r w:rsidRPr="000C0E75">
          <w:rPr>
            <w:rFonts w:ascii="Times New Roman" w:hAnsi="Times New Roman"/>
            <w:noProof/>
            <w:webHidden/>
          </w:rPr>
        </w:r>
        <w:r w:rsidRPr="000C0E75">
          <w:rPr>
            <w:rFonts w:ascii="Times New Roman" w:hAnsi="Times New Roman"/>
            <w:noProof/>
            <w:webHidden/>
          </w:rPr>
          <w:fldChar w:fldCharType="separate"/>
        </w:r>
        <w:r w:rsidRPr="000C0E75">
          <w:rPr>
            <w:rFonts w:ascii="Times New Roman" w:hAnsi="Times New Roman"/>
            <w:noProof/>
            <w:webHidden/>
          </w:rPr>
          <w:t>106</w:t>
        </w:r>
        <w:r w:rsidRPr="000C0E75">
          <w:rPr>
            <w:rFonts w:ascii="Times New Roman" w:hAnsi="Times New Roman"/>
            <w:noProof/>
            <w:webHidden/>
          </w:rPr>
          <w:fldChar w:fldCharType="end"/>
        </w:r>
      </w:hyperlink>
    </w:p>
    <w:p w14:paraId="59482973" w14:textId="46E0F687" w:rsidR="000C0E75" w:rsidRPr="000C0E75" w:rsidRDefault="000C0E75" w:rsidP="000C0E75">
      <w:pPr>
        <w:pStyle w:val="Tabledesillustrations"/>
        <w:tabs>
          <w:tab w:val="right" w:leader="dot" w:pos="9060"/>
        </w:tabs>
        <w:spacing w:after="0" w:line="240" w:lineRule="auto"/>
        <w:jc w:val="both"/>
        <w:rPr>
          <w:rFonts w:ascii="Times New Roman" w:eastAsiaTheme="minorEastAsia" w:hAnsi="Times New Roman"/>
          <w:noProof/>
          <w:kern w:val="2"/>
          <w:lang w:val="fr-SN" w:eastAsia="fr-FR"/>
          <w14:ligatures w14:val="standardContextual"/>
        </w:rPr>
      </w:pPr>
      <w:hyperlink w:anchor="_Toc228877405" w:history="1">
        <w:r w:rsidRPr="000C0E75">
          <w:rPr>
            <w:rStyle w:val="Lienhypertexte"/>
            <w:rFonts w:ascii="Times New Roman" w:hAnsi="Times New Roman"/>
            <w:bCs/>
            <w:noProof/>
            <w:lang w:eastAsia="fr-FR"/>
          </w:rPr>
          <w:t>Figure 14 : Cumul annuel de la pluviométrie à la station de Dakar Yoff de 1991 à 2020 Source : ANACIM, 2020</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_Toc228877405 \h </w:instrText>
        </w:r>
        <w:r w:rsidRPr="000C0E75">
          <w:rPr>
            <w:rFonts w:ascii="Times New Roman" w:hAnsi="Times New Roman"/>
            <w:noProof/>
            <w:webHidden/>
          </w:rPr>
        </w:r>
        <w:r w:rsidRPr="000C0E75">
          <w:rPr>
            <w:rFonts w:ascii="Times New Roman" w:hAnsi="Times New Roman"/>
            <w:noProof/>
            <w:webHidden/>
          </w:rPr>
          <w:fldChar w:fldCharType="separate"/>
        </w:r>
        <w:r w:rsidRPr="000C0E75">
          <w:rPr>
            <w:rFonts w:ascii="Times New Roman" w:hAnsi="Times New Roman"/>
            <w:noProof/>
            <w:webHidden/>
          </w:rPr>
          <w:t>106</w:t>
        </w:r>
        <w:r w:rsidRPr="000C0E75">
          <w:rPr>
            <w:rFonts w:ascii="Times New Roman" w:hAnsi="Times New Roman"/>
            <w:noProof/>
            <w:webHidden/>
          </w:rPr>
          <w:fldChar w:fldCharType="end"/>
        </w:r>
      </w:hyperlink>
    </w:p>
    <w:p w14:paraId="406B0209" w14:textId="22DD9722" w:rsidR="000C0E75" w:rsidRPr="000C0E75" w:rsidRDefault="000C0E75" w:rsidP="000C0E75">
      <w:pPr>
        <w:pStyle w:val="Tabledesillustrations"/>
        <w:tabs>
          <w:tab w:val="right" w:leader="dot" w:pos="9060"/>
        </w:tabs>
        <w:spacing w:after="0" w:line="240" w:lineRule="auto"/>
        <w:jc w:val="both"/>
        <w:rPr>
          <w:rFonts w:ascii="Times New Roman" w:eastAsiaTheme="minorEastAsia" w:hAnsi="Times New Roman"/>
          <w:noProof/>
          <w:kern w:val="2"/>
          <w:lang w:val="fr-SN" w:eastAsia="fr-FR"/>
          <w14:ligatures w14:val="standardContextual"/>
        </w:rPr>
      </w:pPr>
      <w:hyperlink w:anchor="_Toc228877406" w:history="1">
        <w:r w:rsidRPr="000C0E75">
          <w:rPr>
            <w:rStyle w:val="Lienhypertexte"/>
            <w:rFonts w:ascii="Times New Roman" w:hAnsi="Times New Roman"/>
            <w:bCs/>
            <w:noProof/>
            <w:lang w:eastAsia="fr-FR"/>
          </w:rPr>
          <w:t>Figure 15: Évolution des moyennes mensuelles de l’humidité relative à la station de Dakar (Source : ANACIM, 2022)</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_Toc228877406 \h </w:instrText>
        </w:r>
        <w:r w:rsidRPr="000C0E75">
          <w:rPr>
            <w:rFonts w:ascii="Times New Roman" w:hAnsi="Times New Roman"/>
            <w:noProof/>
            <w:webHidden/>
          </w:rPr>
        </w:r>
        <w:r w:rsidRPr="000C0E75">
          <w:rPr>
            <w:rFonts w:ascii="Times New Roman" w:hAnsi="Times New Roman"/>
            <w:noProof/>
            <w:webHidden/>
          </w:rPr>
          <w:fldChar w:fldCharType="separate"/>
        </w:r>
        <w:r w:rsidRPr="000C0E75">
          <w:rPr>
            <w:rFonts w:ascii="Times New Roman" w:hAnsi="Times New Roman"/>
            <w:noProof/>
            <w:webHidden/>
          </w:rPr>
          <w:t>107</w:t>
        </w:r>
        <w:r w:rsidRPr="000C0E75">
          <w:rPr>
            <w:rFonts w:ascii="Times New Roman" w:hAnsi="Times New Roman"/>
            <w:noProof/>
            <w:webHidden/>
          </w:rPr>
          <w:fldChar w:fldCharType="end"/>
        </w:r>
      </w:hyperlink>
    </w:p>
    <w:p w14:paraId="6439E444" w14:textId="3860EBFD" w:rsidR="000C0E75" w:rsidRPr="000C0E75" w:rsidRDefault="000C0E75" w:rsidP="000C0E75">
      <w:pPr>
        <w:pStyle w:val="Tabledesillustrations"/>
        <w:tabs>
          <w:tab w:val="right" w:leader="dot" w:pos="9060"/>
        </w:tabs>
        <w:spacing w:after="0" w:line="240" w:lineRule="auto"/>
        <w:jc w:val="both"/>
        <w:rPr>
          <w:rFonts w:ascii="Times New Roman" w:eastAsiaTheme="minorEastAsia" w:hAnsi="Times New Roman"/>
          <w:noProof/>
          <w:kern w:val="2"/>
          <w:lang w:val="fr-SN" w:eastAsia="fr-FR"/>
          <w14:ligatures w14:val="standardContextual"/>
        </w:rPr>
      </w:pPr>
      <w:hyperlink w:anchor="_Toc228877407" w:history="1">
        <w:r w:rsidRPr="000C0E75">
          <w:rPr>
            <w:rStyle w:val="Lienhypertexte"/>
            <w:rFonts w:ascii="Times New Roman" w:hAnsi="Times New Roman"/>
            <w:noProof/>
          </w:rPr>
          <w:t>Figure 16: Localisation des variantes 1 et 2 du réseau de collecteurs</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_Toc228877407 \h </w:instrText>
        </w:r>
        <w:r w:rsidRPr="000C0E75">
          <w:rPr>
            <w:rFonts w:ascii="Times New Roman" w:hAnsi="Times New Roman"/>
            <w:noProof/>
            <w:webHidden/>
          </w:rPr>
        </w:r>
        <w:r w:rsidRPr="000C0E75">
          <w:rPr>
            <w:rFonts w:ascii="Times New Roman" w:hAnsi="Times New Roman"/>
            <w:noProof/>
            <w:webHidden/>
          </w:rPr>
          <w:fldChar w:fldCharType="separate"/>
        </w:r>
        <w:r w:rsidRPr="000C0E75">
          <w:rPr>
            <w:rFonts w:ascii="Times New Roman" w:hAnsi="Times New Roman"/>
            <w:noProof/>
            <w:webHidden/>
          </w:rPr>
          <w:t>134</w:t>
        </w:r>
        <w:r w:rsidRPr="000C0E75">
          <w:rPr>
            <w:rFonts w:ascii="Times New Roman" w:hAnsi="Times New Roman"/>
            <w:noProof/>
            <w:webHidden/>
          </w:rPr>
          <w:fldChar w:fldCharType="end"/>
        </w:r>
      </w:hyperlink>
    </w:p>
    <w:p w14:paraId="1BF6EC1B" w14:textId="2918F479" w:rsidR="000C0E75" w:rsidRPr="000C0E75" w:rsidRDefault="000C0E75" w:rsidP="000C0E75">
      <w:pPr>
        <w:pStyle w:val="Tabledesillustrations"/>
        <w:tabs>
          <w:tab w:val="right" w:leader="dot" w:pos="9060"/>
        </w:tabs>
        <w:spacing w:after="0" w:line="240" w:lineRule="auto"/>
        <w:jc w:val="both"/>
        <w:rPr>
          <w:rFonts w:ascii="Times New Roman" w:eastAsiaTheme="minorEastAsia" w:hAnsi="Times New Roman"/>
          <w:noProof/>
          <w:kern w:val="2"/>
          <w:lang w:val="fr-SN" w:eastAsia="fr-FR"/>
          <w14:ligatures w14:val="standardContextual"/>
        </w:rPr>
      </w:pPr>
      <w:hyperlink w:anchor="_Toc228877408" w:history="1">
        <w:r w:rsidRPr="000C0E75">
          <w:rPr>
            <w:rStyle w:val="Lienhypertexte"/>
            <w:rFonts w:ascii="Times New Roman" w:hAnsi="Times New Roman"/>
            <w:noProof/>
          </w:rPr>
          <w:t>Figure 17 : Composition moyenne d’une huile usagée</w:t>
        </w:r>
        <w:r w:rsidRPr="000C0E75">
          <w:rPr>
            <w:rFonts w:ascii="Times New Roman" w:hAnsi="Times New Roman"/>
            <w:noProof/>
            <w:webHidden/>
          </w:rPr>
          <w:tab/>
        </w:r>
        <w:r w:rsidRPr="000C0E75">
          <w:rPr>
            <w:rFonts w:ascii="Times New Roman" w:hAnsi="Times New Roman"/>
            <w:noProof/>
            <w:webHidden/>
          </w:rPr>
          <w:fldChar w:fldCharType="begin"/>
        </w:r>
        <w:r w:rsidRPr="000C0E75">
          <w:rPr>
            <w:rFonts w:ascii="Times New Roman" w:hAnsi="Times New Roman"/>
            <w:noProof/>
            <w:webHidden/>
          </w:rPr>
          <w:instrText xml:space="preserve"> PAGEREF _Toc228877408 \h </w:instrText>
        </w:r>
        <w:r w:rsidRPr="000C0E75">
          <w:rPr>
            <w:rFonts w:ascii="Times New Roman" w:hAnsi="Times New Roman"/>
            <w:noProof/>
            <w:webHidden/>
          </w:rPr>
        </w:r>
        <w:r w:rsidRPr="000C0E75">
          <w:rPr>
            <w:rFonts w:ascii="Times New Roman" w:hAnsi="Times New Roman"/>
            <w:noProof/>
            <w:webHidden/>
          </w:rPr>
          <w:fldChar w:fldCharType="separate"/>
        </w:r>
        <w:r w:rsidRPr="000C0E75">
          <w:rPr>
            <w:rFonts w:ascii="Times New Roman" w:hAnsi="Times New Roman"/>
            <w:noProof/>
            <w:webHidden/>
          </w:rPr>
          <w:t>193</w:t>
        </w:r>
        <w:r w:rsidRPr="000C0E75">
          <w:rPr>
            <w:rFonts w:ascii="Times New Roman" w:hAnsi="Times New Roman"/>
            <w:noProof/>
            <w:webHidden/>
          </w:rPr>
          <w:fldChar w:fldCharType="end"/>
        </w:r>
      </w:hyperlink>
    </w:p>
    <w:p w14:paraId="56EBF0C6" w14:textId="6ACC94C2" w:rsidR="008A50C4" w:rsidRPr="000C0E75" w:rsidRDefault="008A50C4" w:rsidP="000C0E75">
      <w:pPr>
        <w:spacing w:after="0" w:line="240" w:lineRule="auto"/>
        <w:jc w:val="both"/>
        <w:rPr>
          <w:rFonts w:ascii="Times New Roman" w:hAnsi="Times New Roman"/>
          <w:b/>
          <w:caps/>
          <w:color w:val="000000" w:themeColor="text1"/>
        </w:rPr>
      </w:pPr>
      <w:r w:rsidRPr="000C0E75">
        <w:rPr>
          <w:rFonts w:ascii="Times New Roman" w:hAnsi="Times New Roman"/>
          <w:color w:val="000000" w:themeColor="text1"/>
        </w:rPr>
        <w:fldChar w:fldCharType="end"/>
      </w:r>
      <w:r w:rsidRPr="000C0E75">
        <w:rPr>
          <w:rFonts w:ascii="Times New Roman" w:hAnsi="Times New Roman"/>
          <w:color w:val="000000" w:themeColor="text1"/>
        </w:rPr>
        <w:br w:type="page"/>
      </w:r>
    </w:p>
    <w:p w14:paraId="651AEB7C" w14:textId="299F14C1" w:rsidR="005F3FB7" w:rsidRPr="00260790" w:rsidRDefault="005F3FB7" w:rsidP="009519AE">
      <w:pPr>
        <w:pStyle w:val="Style1"/>
        <w:pBdr>
          <w:bottom w:val="none" w:sz="0" w:space="0" w:color="auto"/>
        </w:pBdr>
        <w:spacing w:after="100" w:afterAutospacing="1" w:line="240" w:lineRule="auto"/>
        <w:jc w:val="center"/>
        <w:outlineLvl w:val="0"/>
        <w:rPr>
          <w:color w:val="000000" w:themeColor="text1"/>
          <w:szCs w:val="24"/>
        </w:rPr>
      </w:pPr>
      <w:r w:rsidRPr="00260790">
        <w:rPr>
          <w:color w:val="000000" w:themeColor="text1"/>
          <w:szCs w:val="24"/>
        </w:rPr>
        <w:lastRenderedPageBreak/>
        <w:t>SIGLES ET ACRONYMES</w:t>
      </w:r>
      <w:bookmarkEnd w:id="2"/>
    </w:p>
    <w:p w14:paraId="54C8DB99"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ADIE</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Agence de l'Informatique de l'État</w:t>
      </w:r>
    </w:p>
    <w:p w14:paraId="389D5779"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ADM</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 xml:space="preserve">Agence de Développement municipal </w:t>
      </w:r>
    </w:p>
    <w:p w14:paraId="07317D19"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AGETIP</w:t>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Agence d'Exécution Travaux d'Intérêt Public</w:t>
      </w:r>
    </w:p>
    <w:p w14:paraId="1098EE25"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AGEROUTE</w:t>
      </w:r>
      <w:r w:rsidRPr="00260790">
        <w:rPr>
          <w:rFonts w:ascii="Times New Roman" w:eastAsia="Times New Roman" w:hAnsi="Times New Roman"/>
          <w:color w:val="000000" w:themeColor="text1"/>
        </w:rPr>
        <w:tab/>
        <w:t xml:space="preserve">: </w:t>
      </w:r>
      <w:r w:rsidRPr="00260790">
        <w:rPr>
          <w:rFonts w:ascii="Times New Roman" w:eastAsia="Times New Roman" w:hAnsi="Times New Roman"/>
          <w:color w:val="000000" w:themeColor="text1"/>
        </w:rPr>
        <w:tab/>
      </w:r>
      <w:r w:rsidR="001C3478" w:rsidRPr="00260790">
        <w:rPr>
          <w:rFonts w:ascii="Times New Roman" w:eastAsia="Times New Roman" w:hAnsi="Times New Roman"/>
          <w:color w:val="000000" w:themeColor="text1"/>
        </w:rPr>
        <w:t xml:space="preserve">Agence des </w:t>
      </w:r>
      <w:r w:rsidRPr="00260790">
        <w:rPr>
          <w:rFonts w:ascii="Times New Roman" w:eastAsia="Times New Roman" w:hAnsi="Times New Roman"/>
          <w:color w:val="000000" w:themeColor="text1"/>
        </w:rPr>
        <w:t>Travaux et de Gestion des Routes</w:t>
      </w:r>
    </w:p>
    <w:p w14:paraId="55F4AE8C"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AMO</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Assistance à la Maitrise d’Ouvrage</w:t>
      </w:r>
    </w:p>
    <w:p w14:paraId="26D9180A"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MS Mincho" w:hAnsi="Times New Roman"/>
          <w:color w:val="000000" w:themeColor="text1"/>
          <w:lang w:eastAsia="fr-FR"/>
        </w:rPr>
        <w:t>ANA</w:t>
      </w:r>
      <w:r w:rsidRPr="00260790">
        <w:rPr>
          <w:rFonts w:ascii="Times New Roman" w:eastAsia="MS Mincho" w:hAnsi="Times New Roman"/>
          <w:color w:val="000000" w:themeColor="text1"/>
          <w:lang w:eastAsia="fr-FR"/>
        </w:rPr>
        <w:tab/>
      </w:r>
      <w:r w:rsidRPr="00260790">
        <w:rPr>
          <w:rFonts w:ascii="Times New Roman" w:eastAsia="MS Mincho" w:hAnsi="Times New Roman"/>
          <w:color w:val="000000" w:themeColor="text1"/>
          <w:lang w:eastAsia="fr-FR"/>
        </w:rPr>
        <w:tab/>
        <w:t>:</w:t>
      </w:r>
      <w:r w:rsidRPr="00260790">
        <w:rPr>
          <w:rFonts w:ascii="Times New Roman" w:eastAsia="MS Mincho" w:hAnsi="Times New Roman"/>
          <w:color w:val="000000" w:themeColor="text1"/>
          <w:lang w:eastAsia="fr-FR"/>
        </w:rPr>
        <w:tab/>
        <w:t>Agence Nationale de l’Aquaculture</w:t>
      </w:r>
    </w:p>
    <w:p w14:paraId="3AA6BAF5" w14:textId="6F385ED6"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ANACIM</w:t>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Agence Nationale de l’Aviation Civile et de la Météorologie</w:t>
      </w:r>
    </w:p>
    <w:p w14:paraId="295F0D44"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ANAT</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 xml:space="preserve">Agence Nationale pour l'Aménagement du Territoire </w:t>
      </w:r>
    </w:p>
    <w:p w14:paraId="3E8CAF63"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ANSD</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Agence Nationale de la Statistique et de la Démographie</w:t>
      </w:r>
    </w:p>
    <w:p w14:paraId="36313FF5" w14:textId="77777777" w:rsidR="005F3FB7" w:rsidRPr="00260790" w:rsidRDefault="005F3FB7" w:rsidP="00E20250">
      <w:pPr>
        <w:spacing w:after="0" w:line="240" w:lineRule="auto"/>
        <w:ind w:left="1416" w:hanging="1410"/>
        <w:rPr>
          <w:rFonts w:ascii="Times New Roman" w:eastAsia="Times New Roman" w:hAnsi="Times New Roman"/>
          <w:color w:val="000000" w:themeColor="text1"/>
        </w:rPr>
      </w:pPr>
      <w:r w:rsidRPr="00260790">
        <w:rPr>
          <w:rFonts w:ascii="Times New Roman" w:eastAsia="Times New Roman" w:hAnsi="Times New Roman"/>
          <w:color w:val="000000" w:themeColor="text1"/>
        </w:rPr>
        <w:t>APIX</w:t>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Agence nationale de Promotion de l’Investissement et des Grands Travaux</w:t>
      </w:r>
    </w:p>
    <w:p w14:paraId="1A6F6F6D" w14:textId="77777777" w:rsidR="005F3FB7" w:rsidRPr="00260790" w:rsidRDefault="005F3FB7" w:rsidP="00E20250">
      <w:pPr>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ARD</w:t>
      </w:r>
      <w:r w:rsidRPr="00260790">
        <w:rPr>
          <w:rFonts w:ascii="Times New Roman" w:eastAsia="Times New Roman" w:hAnsi="Times New Roman"/>
          <w:bCs/>
          <w:color w:val="000000" w:themeColor="text1"/>
        </w:rPr>
        <w:tab/>
      </w:r>
      <w:r w:rsidRPr="00260790">
        <w:rPr>
          <w:rFonts w:ascii="Times New Roman" w:eastAsia="Times New Roman" w:hAnsi="Times New Roman"/>
          <w:bCs/>
          <w:color w:val="000000" w:themeColor="text1"/>
        </w:rPr>
        <w:tab/>
        <w:t>:</w:t>
      </w:r>
      <w:r w:rsidRPr="00260790">
        <w:rPr>
          <w:rFonts w:ascii="Times New Roman" w:eastAsia="Times New Roman" w:hAnsi="Times New Roman"/>
          <w:bCs/>
          <w:color w:val="000000" w:themeColor="text1"/>
        </w:rPr>
        <w:tab/>
        <w:t>Agence Régionale de Développement</w:t>
      </w:r>
    </w:p>
    <w:p w14:paraId="40125EC5"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hAnsi="Times New Roman"/>
          <w:color w:val="000000" w:themeColor="text1"/>
        </w:rPr>
        <w:t>BNSP</w:t>
      </w:r>
      <w:r w:rsidRPr="00260790">
        <w:rPr>
          <w:rFonts w:ascii="Times New Roman" w:hAnsi="Times New Roman"/>
          <w:color w:val="000000" w:themeColor="text1"/>
        </w:rPr>
        <w:tab/>
      </w:r>
      <w:r w:rsidRPr="00260790">
        <w:rPr>
          <w:rFonts w:ascii="Times New Roman" w:hAnsi="Times New Roman"/>
          <w:color w:val="000000" w:themeColor="text1"/>
        </w:rPr>
        <w:tab/>
        <w:t>:</w:t>
      </w:r>
      <w:r w:rsidRPr="00260790">
        <w:rPr>
          <w:rFonts w:ascii="Times New Roman" w:hAnsi="Times New Roman"/>
          <w:color w:val="000000" w:themeColor="text1"/>
        </w:rPr>
        <w:tab/>
        <w:t>Brigade Nationale des Sapeurs-Pompiers</w:t>
      </w:r>
    </w:p>
    <w:p w14:paraId="1BCA91EC"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CADAK</w:t>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Communauté des Agglomérations de Dakar</w:t>
      </w:r>
    </w:p>
    <w:p w14:paraId="454CC2DB"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BV </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Bassin Versant</w:t>
      </w:r>
    </w:p>
    <w:p w14:paraId="2CDC2746" w14:textId="3DC75CED"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CCC </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r>
      <w:r w:rsidR="001C3478" w:rsidRPr="00260790">
        <w:rPr>
          <w:rFonts w:ascii="Times New Roman" w:eastAsia="Times New Roman" w:hAnsi="Times New Roman"/>
          <w:color w:val="000000" w:themeColor="text1"/>
        </w:rPr>
        <w:t xml:space="preserve">Communication </w:t>
      </w:r>
      <w:r w:rsidRPr="00260790">
        <w:rPr>
          <w:rFonts w:ascii="Times New Roman" w:eastAsia="Times New Roman" w:hAnsi="Times New Roman"/>
          <w:color w:val="000000" w:themeColor="text1"/>
        </w:rPr>
        <w:t xml:space="preserve">pour le </w:t>
      </w:r>
      <w:r w:rsidR="001C3478" w:rsidRPr="00260790">
        <w:rPr>
          <w:rFonts w:ascii="Times New Roman" w:eastAsia="Times New Roman" w:hAnsi="Times New Roman"/>
          <w:color w:val="000000" w:themeColor="text1"/>
        </w:rPr>
        <w:t xml:space="preserve">Changement </w:t>
      </w:r>
      <w:r w:rsidRPr="00260790">
        <w:rPr>
          <w:rFonts w:ascii="Times New Roman" w:eastAsia="Times New Roman" w:hAnsi="Times New Roman"/>
          <w:color w:val="000000" w:themeColor="text1"/>
        </w:rPr>
        <w:t xml:space="preserve">de </w:t>
      </w:r>
      <w:r w:rsidR="001C3478" w:rsidRPr="00260790">
        <w:rPr>
          <w:rFonts w:ascii="Times New Roman" w:eastAsia="Times New Roman" w:hAnsi="Times New Roman"/>
          <w:color w:val="000000" w:themeColor="text1"/>
        </w:rPr>
        <w:t xml:space="preserve">Comportement </w:t>
      </w:r>
    </w:p>
    <w:p w14:paraId="14DB687F" w14:textId="1F40DD73"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hAnsi="Times New Roman"/>
          <w:color w:val="000000" w:themeColor="text1"/>
        </w:rPr>
        <w:t>CDREI</w:t>
      </w:r>
      <w:r w:rsidRPr="00260790">
        <w:rPr>
          <w:rFonts w:ascii="Times New Roman" w:hAnsi="Times New Roman"/>
          <w:color w:val="000000" w:themeColor="text1"/>
        </w:rPr>
        <w:tab/>
        <w:t>:</w:t>
      </w:r>
      <w:r w:rsidRPr="00260790">
        <w:rPr>
          <w:rFonts w:ascii="Times New Roman" w:hAnsi="Times New Roman"/>
          <w:color w:val="000000" w:themeColor="text1"/>
        </w:rPr>
        <w:tab/>
      </w:r>
      <w:r w:rsidR="003B49F1">
        <w:rPr>
          <w:rFonts w:ascii="Times New Roman" w:hAnsi="Times New Roman"/>
          <w:color w:val="000000" w:themeColor="text1"/>
        </w:rPr>
        <w:t xml:space="preserve">:             </w:t>
      </w:r>
      <w:r w:rsidRPr="00260790">
        <w:rPr>
          <w:rFonts w:ascii="Times New Roman" w:hAnsi="Times New Roman"/>
          <w:color w:val="000000" w:themeColor="text1"/>
        </w:rPr>
        <w:t xml:space="preserve">Commission </w:t>
      </w:r>
      <w:r w:rsidR="001C3478" w:rsidRPr="00260790">
        <w:rPr>
          <w:rFonts w:ascii="Times New Roman" w:hAnsi="Times New Roman"/>
          <w:color w:val="000000" w:themeColor="text1"/>
        </w:rPr>
        <w:t xml:space="preserve">Départementale </w:t>
      </w:r>
      <w:r w:rsidRPr="00260790">
        <w:rPr>
          <w:rFonts w:ascii="Times New Roman" w:hAnsi="Times New Roman"/>
          <w:color w:val="000000" w:themeColor="text1"/>
        </w:rPr>
        <w:t>de Recensement et d’Évaluation des Impenses</w:t>
      </w:r>
    </w:p>
    <w:p w14:paraId="40448F3A" w14:textId="77777777"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CGES </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Cadre de Gestion Environnementale et Sociale</w:t>
      </w:r>
    </w:p>
    <w:p w14:paraId="21377BAA"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CNLI </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 xml:space="preserve">Comité National de Lutte contre les Inondations </w:t>
      </w:r>
    </w:p>
    <w:p w14:paraId="688FE932" w14:textId="7C5A60FF"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hAnsi="Times New Roman"/>
          <w:color w:val="000000" w:themeColor="text1"/>
        </w:rPr>
        <w:t>COLIGEP</w:t>
      </w:r>
      <w:r w:rsidRPr="00260790">
        <w:rPr>
          <w:rFonts w:ascii="Times New Roman" w:hAnsi="Times New Roman"/>
          <w:color w:val="000000" w:themeColor="text1"/>
        </w:rPr>
        <w:tab/>
        <w:t>:</w:t>
      </w:r>
      <w:r w:rsidRPr="00260790">
        <w:rPr>
          <w:rFonts w:ascii="Times New Roman" w:hAnsi="Times New Roman"/>
          <w:color w:val="000000" w:themeColor="text1"/>
        </w:rPr>
        <w:tab/>
        <w:t xml:space="preserve">Comité </w:t>
      </w:r>
      <w:r w:rsidR="001C3478" w:rsidRPr="00260790">
        <w:rPr>
          <w:rFonts w:ascii="Times New Roman" w:hAnsi="Times New Roman"/>
          <w:color w:val="000000" w:themeColor="text1"/>
        </w:rPr>
        <w:t xml:space="preserve">Local </w:t>
      </w:r>
      <w:r w:rsidRPr="00260790">
        <w:rPr>
          <w:rFonts w:ascii="Times New Roman" w:hAnsi="Times New Roman"/>
          <w:color w:val="000000" w:themeColor="text1"/>
        </w:rPr>
        <w:t>d’Initiative et de Gestion des Eaux Pluviales</w:t>
      </w:r>
    </w:p>
    <w:p w14:paraId="73F20518"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CRSE </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 xml:space="preserve">Comité Régional de Suivi Environnemental </w:t>
      </w:r>
    </w:p>
    <w:p w14:paraId="26BA5312" w14:textId="77777777"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CSE</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Centre de Suivi Écologique</w:t>
      </w:r>
    </w:p>
    <w:p w14:paraId="55119C00" w14:textId="77777777"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DA</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 xml:space="preserve">Direction de l’Assainissement </w:t>
      </w:r>
    </w:p>
    <w:p w14:paraId="1F9A8A43" w14:textId="77777777"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DAT</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Direction de l’Aménagement du Territoire</w:t>
      </w:r>
    </w:p>
    <w:p w14:paraId="06B6F327" w14:textId="77777777"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DCL</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Direction des Collectivités territoriales</w:t>
      </w:r>
    </w:p>
    <w:p w14:paraId="339AC53C" w14:textId="77777777"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DEEC</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Direction de l’Environnement et des Établissements Classés</w:t>
      </w:r>
    </w:p>
    <w:p w14:paraId="538D4CC3" w14:textId="77777777"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DEFCCS</w:t>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Direction des Eaux et Forêts Chasse et Conservation des Sols</w:t>
      </w:r>
    </w:p>
    <w:p w14:paraId="6EC6B6FE" w14:textId="77777777"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DGPRE</w:t>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Direction de la Gestion et de la Planification des Ressources en Eau</w:t>
      </w:r>
    </w:p>
    <w:p w14:paraId="58672C87" w14:textId="7CDC2BAE"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DGPU</w:t>
      </w:r>
      <w:r w:rsidRPr="00260790">
        <w:rPr>
          <w:rFonts w:ascii="Times New Roman" w:hAnsi="Times New Roman"/>
          <w:color w:val="000000" w:themeColor="text1"/>
        </w:rPr>
        <w:tab/>
      </w:r>
      <w:r w:rsidRPr="00260790">
        <w:rPr>
          <w:rFonts w:ascii="Times New Roman" w:hAnsi="Times New Roman"/>
          <w:color w:val="000000" w:themeColor="text1"/>
        </w:rPr>
        <w:tab/>
        <w:t>:</w:t>
      </w:r>
      <w:r w:rsidRPr="00260790">
        <w:rPr>
          <w:rFonts w:ascii="Times New Roman" w:hAnsi="Times New Roman"/>
          <w:color w:val="000000" w:themeColor="text1"/>
        </w:rPr>
        <w:tab/>
      </w:r>
      <w:r w:rsidR="001C3478" w:rsidRPr="00260790">
        <w:rPr>
          <w:rFonts w:ascii="Times New Roman" w:hAnsi="Times New Roman"/>
          <w:color w:val="000000" w:themeColor="text1"/>
        </w:rPr>
        <w:t xml:space="preserve">Délégation Générale à la Promotion des </w:t>
      </w:r>
      <w:r w:rsidRPr="00260790">
        <w:rPr>
          <w:rFonts w:ascii="Times New Roman" w:eastAsia="Times New Roman" w:hAnsi="Times New Roman"/>
          <w:color w:val="000000" w:themeColor="text1"/>
        </w:rPr>
        <w:t>Pôle</w:t>
      </w:r>
      <w:r w:rsidR="001C3478" w:rsidRPr="00260790">
        <w:rPr>
          <w:rFonts w:ascii="Times New Roman" w:eastAsia="Times New Roman" w:hAnsi="Times New Roman"/>
          <w:color w:val="000000" w:themeColor="text1"/>
        </w:rPr>
        <w:t>s</w:t>
      </w:r>
      <w:r w:rsidRPr="00260790">
        <w:rPr>
          <w:rFonts w:ascii="Times New Roman" w:eastAsia="Times New Roman" w:hAnsi="Times New Roman"/>
          <w:color w:val="000000" w:themeColor="text1"/>
        </w:rPr>
        <w:t xml:space="preserve"> Urbain</w:t>
      </w:r>
      <w:r w:rsidR="001C3478" w:rsidRPr="00260790">
        <w:rPr>
          <w:rFonts w:ascii="Times New Roman" w:eastAsia="Times New Roman" w:hAnsi="Times New Roman"/>
          <w:color w:val="000000" w:themeColor="text1"/>
        </w:rPr>
        <w:t>s</w:t>
      </w:r>
      <w:r w:rsidRPr="00260790">
        <w:rPr>
          <w:rFonts w:ascii="Times New Roman" w:eastAsia="Times New Roman" w:hAnsi="Times New Roman"/>
          <w:color w:val="000000" w:themeColor="text1"/>
        </w:rPr>
        <w:t xml:space="preserve"> de Diamniadio et du </w:t>
      </w:r>
      <w:r w:rsidR="0055580C" w:rsidRPr="00260790">
        <w:rPr>
          <w:rFonts w:ascii="Times New Roman" w:eastAsia="Times New Roman" w:hAnsi="Times New Roman"/>
          <w:color w:val="000000" w:themeColor="text1"/>
        </w:rPr>
        <w:t>l</w:t>
      </w:r>
      <w:r w:rsidRPr="00260790">
        <w:rPr>
          <w:rFonts w:ascii="Times New Roman" w:eastAsia="Times New Roman" w:hAnsi="Times New Roman"/>
          <w:color w:val="000000" w:themeColor="text1"/>
        </w:rPr>
        <w:t>ac Rose</w:t>
      </w:r>
    </w:p>
    <w:p w14:paraId="0924136F"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DGUA</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Direction Générale de l’Urbanisme et de l’Architecture</w:t>
      </w:r>
    </w:p>
    <w:p w14:paraId="480A3B60"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DNH</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Direction Nationale de l’Hygiène</w:t>
      </w:r>
    </w:p>
    <w:p w14:paraId="4B94B89A"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DPC</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Direction de la Protection Civile</w:t>
      </w:r>
    </w:p>
    <w:p w14:paraId="237AC6E9" w14:textId="77777777"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DPGI</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Direction de la Prévention et de la Gestion des Inondations</w:t>
      </w:r>
    </w:p>
    <w:p w14:paraId="382D9FC1" w14:textId="77777777"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DPN </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 xml:space="preserve">Direction des Parcs Nationaux </w:t>
      </w:r>
    </w:p>
    <w:p w14:paraId="4956710D" w14:textId="77777777" w:rsidR="005F3FB7" w:rsidRPr="00260790" w:rsidRDefault="005F3FB7" w:rsidP="00E20250">
      <w:pPr>
        <w:spacing w:after="0" w:line="240" w:lineRule="auto"/>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DREEC</w:t>
      </w:r>
      <w:r w:rsidRPr="00260790">
        <w:rPr>
          <w:rFonts w:ascii="Times New Roman" w:eastAsia="Times New Roman" w:hAnsi="Times New Roman"/>
          <w:bCs/>
          <w:color w:val="000000" w:themeColor="text1"/>
        </w:rPr>
        <w:tab/>
        <w:t>:</w:t>
      </w:r>
      <w:r w:rsidRPr="00260790">
        <w:rPr>
          <w:rFonts w:ascii="Times New Roman" w:eastAsia="Times New Roman" w:hAnsi="Times New Roman"/>
          <w:bCs/>
          <w:color w:val="000000" w:themeColor="text1"/>
        </w:rPr>
        <w:tab/>
        <w:t>Direction Régionale de l’Environnement et des Établissements Classés</w:t>
      </w:r>
    </w:p>
    <w:p w14:paraId="143BD392" w14:textId="77777777"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DSCOS</w:t>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Direction de la Surveillance et du Contrôle de l’Occupation des Sols</w:t>
      </w:r>
    </w:p>
    <w:p w14:paraId="56304554" w14:textId="7FC43FED" w:rsidR="005F3FB7" w:rsidRPr="00260790" w:rsidRDefault="005D3627" w:rsidP="00E20250">
      <w:pPr>
        <w:spacing w:after="0" w:line="240" w:lineRule="auto"/>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E</w:t>
      </w:r>
      <w:r w:rsidR="00AB4AB5" w:rsidRPr="00260790">
        <w:rPr>
          <w:rFonts w:ascii="Times New Roman" w:eastAsia="Times New Roman" w:hAnsi="Times New Roman"/>
          <w:bCs/>
          <w:color w:val="000000" w:themeColor="text1"/>
        </w:rPr>
        <w:t>A</w:t>
      </w:r>
      <w:r w:rsidR="005F3FB7" w:rsidRPr="00260790">
        <w:rPr>
          <w:rFonts w:ascii="Times New Roman" w:eastAsia="Times New Roman" w:hAnsi="Times New Roman"/>
          <w:bCs/>
          <w:color w:val="000000" w:themeColor="text1"/>
        </w:rPr>
        <w:t xml:space="preserve">S               </w:t>
      </w:r>
      <w:proofErr w:type="gramStart"/>
      <w:r w:rsidR="003B49F1">
        <w:rPr>
          <w:rFonts w:ascii="Times New Roman" w:eastAsia="Times New Roman" w:hAnsi="Times New Roman"/>
          <w:bCs/>
          <w:color w:val="000000" w:themeColor="text1"/>
        </w:rPr>
        <w:t xml:space="preserve">  </w:t>
      </w:r>
      <w:r w:rsidR="005F3FB7" w:rsidRPr="00260790">
        <w:rPr>
          <w:rFonts w:ascii="Times New Roman" w:eastAsia="Times New Roman" w:hAnsi="Times New Roman"/>
          <w:bCs/>
          <w:color w:val="000000" w:themeColor="text1"/>
        </w:rPr>
        <w:t xml:space="preserve"> :</w:t>
      </w:r>
      <w:proofErr w:type="gramEnd"/>
      <w:r w:rsidR="005F3FB7" w:rsidRPr="00260790">
        <w:rPr>
          <w:rFonts w:ascii="Times New Roman" w:eastAsia="Times New Roman" w:hAnsi="Times New Roman"/>
          <w:bCs/>
          <w:color w:val="000000" w:themeColor="text1"/>
        </w:rPr>
        <w:t xml:space="preserve"> </w:t>
      </w:r>
      <w:r w:rsidR="005F3FB7" w:rsidRPr="00260790">
        <w:rPr>
          <w:rFonts w:ascii="Times New Roman" w:eastAsia="Times New Roman" w:hAnsi="Times New Roman"/>
          <w:bCs/>
          <w:color w:val="000000" w:themeColor="text1"/>
        </w:rPr>
        <w:tab/>
        <w:t xml:space="preserve">Exploitation </w:t>
      </w:r>
      <w:r w:rsidR="00AB4AB5" w:rsidRPr="00260790">
        <w:rPr>
          <w:rFonts w:ascii="Times New Roman" w:eastAsia="Times New Roman" w:hAnsi="Times New Roman"/>
          <w:bCs/>
          <w:color w:val="000000" w:themeColor="text1"/>
        </w:rPr>
        <w:t>et</w:t>
      </w:r>
      <w:r w:rsidR="005F3FB7" w:rsidRPr="00260790">
        <w:rPr>
          <w:rFonts w:ascii="Times New Roman" w:eastAsia="Times New Roman" w:hAnsi="Times New Roman"/>
          <w:bCs/>
          <w:color w:val="000000" w:themeColor="text1"/>
        </w:rPr>
        <w:t xml:space="preserve"> </w:t>
      </w:r>
      <w:r w:rsidR="00AB4AB5" w:rsidRPr="00260790">
        <w:rPr>
          <w:rFonts w:ascii="Times New Roman" w:eastAsia="Times New Roman" w:hAnsi="Times New Roman"/>
          <w:bCs/>
          <w:color w:val="000000" w:themeColor="text1"/>
        </w:rPr>
        <w:t xml:space="preserve">Abus </w:t>
      </w:r>
      <w:r w:rsidR="005F3FB7" w:rsidRPr="00260790">
        <w:rPr>
          <w:rFonts w:ascii="Times New Roman" w:eastAsia="Times New Roman" w:hAnsi="Times New Roman"/>
          <w:bCs/>
          <w:color w:val="000000" w:themeColor="text1"/>
        </w:rPr>
        <w:t xml:space="preserve">Sexuels </w:t>
      </w:r>
    </w:p>
    <w:p w14:paraId="14E097B0" w14:textId="77777777" w:rsidR="005F3FB7" w:rsidRPr="00260790" w:rsidRDefault="005F3FB7" w:rsidP="00E20250">
      <w:pPr>
        <w:spacing w:after="0" w:line="240" w:lineRule="auto"/>
        <w:rPr>
          <w:rFonts w:ascii="Times New Roman" w:eastAsia="Times New Roman" w:hAnsi="Times New Roman"/>
          <w:bCs/>
          <w:color w:val="000000" w:themeColor="text1"/>
        </w:rPr>
      </w:pPr>
      <w:r w:rsidRPr="00260790">
        <w:rPr>
          <w:rFonts w:ascii="Times New Roman" w:hAnsi="Times New Roman"/>
          <w:bCs/>
          <w:color w:val="000000" w:themeColor="text1"/>
        </w:rPr>
        <w:t>ECUP</w:t>
      </w:r>
      <w:r w:rsidRPr="00260790">
        <w:rPr>
          <w:rFonts w:ascii="Times New Roman" w:hAnsi="Times New Roman"/>
          <w:bCs/>
          <w:color w:val="000000" w:themeColor="text1"/>
        </w:rPr>
        <w:tab/>
      </w:r>
      <w:r w:rsidRPr="00260790">
        <w:rPr>
          <w:rFonts w:ascii="Times New Roman" w:hAnsi="Times New Roman"/>
          <w:bCs/>
          <w:color w:val="000000" w:themeColor="text1"/>
        </w:rPr>
        <w:tab/>
        <w:t>:</w:t>
      </w:r>
      <w:r w:rsidRPr="00260790">
        <w:rPr>
          <w:rFonts w:ascii="Times New Roman" w:hAnsi="Times New Roman"/>
          <w:bCs/>
          <w:color w:val="000000" w:themeColor="text1"/>
        </w:rPr>
        <w:tab/>
        <w:t>Expropriation pour cause d'utilité publique</w:t>
      </w:r>
    </w:p>
    <w:p w14:paraId="0727EB32"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EIES</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Étude d’Impact Environnemental et Social</w:t>
      </w:r>
    </w:p>
    <w:p w14:paraId="21768FBE" w14:textId="77777777"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ENDA</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Environnement, Développement, Action (ONG)</w:t>
      </w:r>
    </w:p>
    <w:p w14:paraId="5C7536CD" w14:textId="77777777"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FA</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Fonds additionnel</w:t>
      </w:r>
    </w:p>
    <w:p w14:paraId="17C43AF4" w14:textId="399EE3EE"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GES</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 xml:space="preserve">Groupe </w:t>
      </w:r>
      <w:r w:rsidR="00452C04" w:rsidRPr="00260790">
        <w:rPr>
          <w:rFonts w:ascii="Times New Roman" w:eastAsia="Times New Roman" w:hAnsi="Times New Roman"/>
          <w:color w:val="000000" w:themeColor="text1"/>
        </w:rPr>
        <w:t xml:space="preserve">Électrogène </w:t>
      </w:r>
      <w:r w:rsidRPr="00260790">
        <w:rPr>
          <w:rFonts w:ascii="Times New Roman" w:eastAsia="Times New Roman" w:hAnsi="Times New Roman"/>
          <w:color w:val="000000" w:themeColor="text1"/>
        </w:rPr>
        <w:t xml:space="preserve">de </w:t>
      </w:r>
      <w:r w:rsidR="00452C04" w:rsidRPr="00260790">
        <w:rPr>
          <w:rFonts w:ascii="Times New Roman" w:eastAsia="Times New Roman" w:hAnsi="Times New Roman"/>
          <w:color w:val="000000" w:themeColor="text1"/>
        </w:rPr>
        <w:t>Secours</w:t>
      </w:r>
    </w:p>
    <w:p w14:paraId="5E166C5E" w14:textId="77777777"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GIE</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 xml:space="preserve">Groupement d’Intérêt </w:t>
      </w:r>
      <w:proofErr w:type="spellStart"/>
      <w:r w:rsidRPr="00260790">
        <w:rPr>
          <w:rFonts w:ascii="Times New Roman" w:eastAsia="Times New Roman" w:hAnsi="Times New Roman"/>
          <w:color w:val="000000" w:themeColor="text1"/>
        </w:rPr>
        <w:t>Economique</w:t>
      </w:r>
      <w:proofErr w:type="spellEnd"/>
    </w:p>
    <w:p w14:paraId="1D48482A"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GNSP </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 xml:space="preserve">Groupement National des Sapeurs-Pompiers </w:t>
      </w:r>
    </w:p>
    <w:p w14:paraId="790529F4" w14:textId="77777777"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GRC</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Gestion des Risques et Catastrophes</w:t>
      </w:r>
    </w:p>
    <w:p w14:paraId="56276668" w14:textId="3EDB8E9B"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HS                 </w:t>
      </w:r>
      <w:proofErr w:type="gramStart"/>
      <w:r w:rsidRPr="00260790">
        <w:rPr>
          <w:rFonts w:ascii="Times New Roman" w:eastAsia="Times New Roman" w:hAnsi="Times New Roman"/>
          <w:color w:val="000000" w:themeColor="text1"/>
        </w:rPr>
        <w:t xml:space="preserve"> </w:t>
      </w:r>
      <w:r w:rsidR="00C84A07" w:rsidRPr="00260790">
        <w:rPr>
          <w:rFonts w:ascii="Times New Roman" w:eastAsia="Times New Roman" w:hAnsi="Times New Roman"/>
          <w:color w:val="000000" w:themeColor="text1"/>
        </w:rPr>
        <w:t xml:space="preserve"> </w:t>
      </w:r>
      <w:r w:rsidR="009519AE">
        <w:rPr>
          <w:rFonts w:ascii="Times New Roman" w:eastAsia="Times New Roman" w:hAnsi="Times New Roman"/>
          <w:color w:val="000000" w:themeColor="text1"/>
        </w:rPr>
        <w:t xml:space="preserve"> </w:t>
      </w:r>
      <w:r w:rsidRPr="00260790">
        <w:rPr>
          <w:rFonts w:ascii="Times New Roman" w:eastAsia="Times New Roman" w:hAnsi="Times New Roman"/>
          <w:color w:val="000000" w:themeColor="text1"/>
        </w:rPr>
        <w:t>:</w:t>
      </w:r>
      <w:proofErr w:type="gramEnd"/>
      <w:r w:rsidRPr="00260790">
        <w:rPr>
          <w:rFonts w:ascii="Times New Roman" w:eastAsia="Times New Roman" w:hAnsi="Times New Roman"/>
          <w:color w:val="000000" w:themeColor="text1"/>
        </w:rPr>
        <w:t xml:space="preserve"> </w:t>
      </w:r>
      <w:r w:rsidRPr="00260790">
        <w:rPr>
          <w:rFonts w:ascii="Times New Roman" w:eastAsia="Times New Roman" w:hAnsi="Times New Roman"/>
          <w:color w:val="000000" w:themeColor="text1"/>
        </w:rPr>
        <w:tab/>
        <w:t>Harcèlement Sexuel</w:t>
      </w:r>
    </w:p>
    <w:p w14:paraId="40908BDB" w14:textId="77777777"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ICPE</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Installations Classées pour la Protection de l'Environnement</w:t>
      </w:r>
    </w:p>
    <w:p w14:paraId="045235DE" w14:textId="77777777"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IEC</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Information, Éducation, Communication</w:t>
      </w:r>
    </w:p>
    <w:p w14:paraId="60E928F0" w14:textId="77777777"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IREF</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Inspection régionale des Eaux et Forêts</w:t>
      </w:r>
    </w:p>
    <w:p w14:paraId="6BD46E3B" w14:textId="1776ACD9"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IST</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 xml:space="preserve">Infection </w:t>
      </w:r>
      <w:r w:rsidR="00452C04" w:rsidRPr="00260790">
        <w:rPr>
          <w:rFonts w:ascii="Times New Roman" w:eastAsia="Times New Roman" w:hAnsi="Times New Roman"/>
          <w:color w:val="000000" w:themeColor="text1"/>
        </w:rPr>
        <w:t>Sexuellement Transmissible</w:t>
      </w:r>
    </w:p>
    <w:p w14:paraId="4F95AE9D"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MO </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Maître d’</w:t>
      </w:r>
      <w:r w:rsidR="00452C04" w:rsidRPr="00260790">
        <w:rPr>
          <w:rFonts w:ascii="Times New Roman" w:eastAsia="Times New Roman" w:hAnsi="Times New Roman"/>
          <w:color w:val="000000" w:themeColor="text1"/>
        </w:rPr>
        <w:t>Œ</w:t>
      </w:r>
      <w:r w:rsidRPr="00260790">
        <w:rPr>
          <w:rFonts w:ascii="Times New Roman" w:eastAsia="Times New Roman" w:hAnsi="Times New Roman"/>
          <w:color w:val="000000" w:themeColor="text1"/>
        </w:rPr>
        <w:t>uvre</w:t>
      </w:r>
    </w:p>
    <w:p w14:paraId="3C58AD81" w14:textId="77777777"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OCB</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Organisation Communautaire de Base</w:t>
      </w:r>
    </w:p>
    <w:p w14:paraId="3104F9FE" w14:textId="77777777" w:rsidR="005F3FB7" w:rsidRPr="00260790" w:rsidRDefault="005F3FB7" w:rsidP="00E20250">
      <w:pPr>
        <w:spacing w:after="0" w:line="240" w:lineRule="auto"/>
        <w:jc w:val="both"/>
        <w:rPr>
          <w:rFonts w:ascii="Times New Roman" w:eastAsia="Times New Roman" w:hAnsi="Times New Roman"/>
          <w:b/>
          <w:i/>
          <w:color w:val="000000" w:themeColor="text1"/>
        </w:rPr>
      </w:pPr>
      <w:r w:rsidRPr="00260790">
        <w:rPr>
          <w:rFonts w:ascii="Times New Roman" w:eastAsia="Times New Roman" w:hAnsi="Times New Roman"/>
          <w:color w:val="000000" w:themeColor="text1"/>
          <w:lang w:eastAsia="fr-FR"/>
        </w:rPr>
        <w:t>OMS</w:t>
      </w:r>
      <w:r w:rsidRPr="00260790">
        <w:rPr>
          <w:rFonts w:ascii="Times New Roman" w:eastAsia="Times New Roman" w:hAnsi="Times New Roman"/>
          <w:color w:val="000000" w:themeColor="text1"/>
          <w:lang w:eastAsia="fr-FR"/>
        </w:rPr>
        <w:tab/>
      </w:r>
      <w:r w:rsidRPr="00260790">
        <w:rPr>
          <w:rFonts w:ascii="Times New Roman" w:eastAsia="Times New Roman" w:hAnsi="Times New Roman"/>
          <w:color w:val="000000" w:themeColor="text1"/>
          <w:lang w:eastAsia="fr-FR"/>
        </w:rPr>
        <w:tab/>
        <w:t>:</w:t>
      </w:r>
      <w:r w:rsidRPr="00260790">
        <w:rPr>
          <w:rFonts w:ascii="Times New Roman" w:eastAsia="Times New Roman" w:hAnsi="Times New Roman"/>
          <w:color w:val="000000" w:themeColor="text1"/>
          <w:lang w:eastAsia="fr-FR"/>
        </w:rPr>
        <w:tab/>
        <w:t>Organisation Mondiale pour la Santé</w:t>
      </w:r>
    </w:p>
    <w:p w14:paraId="26F74DBB" w14:textId="77777777"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lastRenderedPageBreak/>
        <w:t>ONG</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Organisation Non Gouvernementale</w:t>
      </w:r>
    </w:p>
    <w:p w14:paraId="786DCB35" w14:textId="77777777"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ONAS</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Office National de l'Assainissement du Sénégal</w:t>
      </w:r>
    </w:p>
    <w:p w14:paraId="2719AD03" w14:textId="77777777"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ORSEC</w:t>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Organisation des Secours</w:t>
      </w:r>
    </w:p>
    <w:p w14:paraId="1F0F1034" w14:textId="77777777" w:rsidR="005F3FB7" w:rsidRPr="00260790" w:rsidRDefault="005F3FB7" w:rsidP="00E20250">
      <w:pPr>
        <w:spacing w:after="0" w:line="240" w:lineRule="auto"/>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PAFS</w:t>
      </w:r>
      <w:r w:rsidRPr="00260790">
        <w:rPr>
          <w:rFonts w:ascii="Times New Roman" w:eastAsia="Times New Roman" w:hAnsi="Times New Roman"/>
          <w:bCs/>
          <w:color w:val="000000" w:themeColor="text1"/>
        </w:rPr>
        <w:tab/>
      </w:r>
      <w:r w:rsidRPr="00260790">
        <w:rPr>
          <w:rFonts w:ascii="Times New Roman" w:eastAsia="Times New Roman" w:hAnsi="Times New Roman"/>
          <w:bCs/>
          <w:color w:val="000000" w:themeColor="text1"/>
        </w:rPr>
        <w:tab/>
        <w:t>:</w:t>
      </w:r>
      <w:r w:rsidRPr="00260790">
        <w:rPr>
          <w:rFonts w:ascii="Times New Roman" w:eastAsia="Times New Roman" w:hAnsi="Times New Roman"/>
          <w:bCs/>
          <w:color w:val="000000" w:themeColor="text1"/>
        </w:rPr>
        <w:tab/>
        <w:t>Plan d’Action Forestier du Sénégal</w:t>
      </w:r>
    </w:p>
    <w:p w14:paraId="1FED52A4" w14:textId="1371B003"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PANA </w:t>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r>
      <w:r w:rsidR="003B49F1">
        <w:rPr>
          <w:rFonts w:ascii="Times New Roman" w:eastAsia="Times New Roman" w:hAnsi="Times New Roman"/>
          <w:color w:val="000000" w:themeColor="text1"/>
        </w:rPr>
        <w:t xml:space="preserve">:            </w:t>
      </w:r>
      <w:r w:rsidRPr="00260790">
        <w:rPr>
          <w:rFonts w:ascii="Times New Roman" w:eastAsia="Times New Roman" w:hAnsi="Times New Roman"/>
          <w:color w:val="000000" w:themeColor="text1"/>
        </w:rPr>
        <w:t>Plan National d’Adaptation aux Changements Climatiques de Dakar</w:t>
      </w:r>
    </w:p>
    <w:p w14:paraId="6E881672" w14:textId="77777777" w:rsidR="005F3FB7" w:rsidRPr="00260790" w:rsidRDefault="005F3FB7" w:rsidP="00E20250">
      <w:pPr>
        <w:spacing w:after="0" w:line="240" w:lineRule="auto"/>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PAN/</w:t>
      </w:r>
      <w:proofErr w:type="gramStart"/>
      <w:r w:rsidRPr="00260790">
        <w:rPr>
          <w:rFonts w:ascii="Times New Roman" w:eastAsia="Times New Roman" w:hAnsi="Times New Roman"/>
          <w:bCs/>
          <w:color w:val="000000" w:themeColor="text1"/>
        </w:rPr>
        <w:t xml:space="preserve">LCD  </w:t>
      </w:r>
      <w:r w:rsidRPr="00260790">
        <w:rPr>
          <w:rFonts w:ascii="Times New Roman" w:eastAsia="Times New Roman" w:hAnsi="Times New Roman"/>
          <w:bCs/>
          <w:color w:val="000000" w:themeColor="text1"/>
        </w:rPr>
        <w:tab/>
      </w:r>
      <w:proofErr w:type="gramEnd"/>
      <w:r w:rsidRPr="00260790">
        <w:rPr>
          <w:rFonts w:ascii="Times New Roman" w:eastAsia="Times New Roman" w:hAnsi="Times New Roman"/>
          <w:bCs/>
          <w:color w:val="000000" w:themeColor="text1"/>
        </w:rPr>
        <w:t xml:space="preserve">:            Programme d’Action National de Lutte Contre la Désertification </w:t>
      </w:r>
    </w:p>
    <w:p w14:paraId="75D20E72" w14:textId="3ED1AD31" w:rsidR="005F3FB7" w:rsidRPr="00260790" w:rsidRDefault="005F3FB7" w:rsidP="00E20250">
      <w:pPr>
        <w:spacing w:after="0" w:line="240" w:lineRule="auto"/>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PAP</w:t>
      </w:r>
      <w:r w:rsidRPr="00260790">
        <w:rPr>
          <w:rFonts w:ascii="Times New Roman" w:eastAsia="Times New Roman" w:hAnsi="Times New Roman"/>
          <w:bCs/>
          <w:color w:val="000000" w:themeColor="text1"/>
        </w:rPr>
        <w:tab/>
      </w:r>
      <w:r w:rsidRPr="00260790">
        <w:rPr>
          <w:rFonts w:ascii="Times New Roman" w:eastAsia="Times New Roman" w:hAnsi="Times New Roman"/>
          <w:bCs/>
          <w:color w:val="000000" w:themeColor="text1"/>
        </w:rPr>
        <w:tab/>
        <w:t xml:space="preserve">: </w:t>
      </w:r>
      <w:r w:rsidRPr="00260790">
        <w:rPr>
          <w:rFonts w:ascii="Times New Roman" w:eastAsia="Times New Roman" w:hAnsi="Times New Roman"/>
          <w:bCs/>
          <w:color w:val="000000" w:themeColor="text1"/>
        </w:rPr>
        <w:tab/>
        <w:t xml:space="preserve">Personne </w:t>
      </w:r>
      <w:r w:rsidR="00DB7F82" w:rsidRPr="00260790">
        <w:rPr>
          <w:rFonts w:ascii="Times New Roman" w:eastAsia="Times New Roman" w:hAnsi="Times New Roman"/>
          <w:bCs/>
          <w:color w:val="000000" w:themeColor="text1"/>
        </w:rPr>
        <w:t xml:space="preserve">Affectée </w:t>
      </w:r>
      <w:r w:rsidRPr="00260790">
        <w:rPr>
          <w:rFonts w:ascii="Times New Roman" w:eastAsia="Times New Roman" w:hAnsi="Times New Roman"/>
          <w:bCs/>
          <w:color w:val="000000" w:themeColor="text1"/>
        </w:rPr>
        <w:t>par le Projet</w:t>
      </w:r>
    </w:p>
    <w:p w14:paraId="16810F25"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PAR</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Plan d’Actions de Réinstallation</w:t>
      </w:r>
    </w:p>
    <w:p w14:paraId="702ECF49" w14:textId="77777777"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PDD </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Plan Directeur de Drainage de la région de Dakar</w:t>
      </w:r>
    </w:p>
    <w:p w14:paraId="4ED32359" w14:textId="77777777"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PDU</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 xml:space="preserve">Plans Directeurs d’Urbanisme </w:t>
      </w:r>
    </w:p>
    <w:p w14:paraId="14FFE2AE" w14:textId="77777777"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PFES</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Point Focal Environnement et Social</w:t>
      </w:r>
    </w:p>
    <w:p w14:paraId="37A7DC6B" w14:textId="2069264A"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PFNL</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 xml:space="preserve">Produits forestiers </w:t>
      </w:r>
      <w:r w:rsidR="00DB7F82" w:rsidRPr="00260790">
        <w:rPr>
          <w:rFonts w:ascii="Times New Roman" w:eastAsia="Times New Roman" w:hAnsi="Times New Roman"/>
          <w:color w:val="000000" w:themeColor="text1"/>
        </w:rPr>
        <w:t>Non Ligneux</w:t>
      </w:r>
    </w:p>
    <w:p w14:paraId="3DBFB8FB" w14:textId="77777777"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PGES</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Plan de Gestion Environnementale et Sociale</w:t>
      </w:r>
    </w:p>
    <w:p w14:paraId="7F28534A" w14:textId="2AEB96C3"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PGESE</w:t>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r>
      <w:r w:rsidR="003B49F1">
        <w:rPr>
          <w:rFonts w:ascii="Times New Roman" w:eastAsia="Times New Roman" w:hAnsi="Times New Roman"/>
          <w:color w:val="000000" w:themeColor="text1"/>
        </w:rPr>
        <w:t xml:space="preserve">:            </w:t>
      </w:r>
      <w:r w:rsidRPr="00260790">
        <w:rPr>
          <w:rFonts w:ascii="Times New Roman" w:eastAsia="Times New Roman" w:hAnsi="Times New Roman"/>
          <w:color w:val="000000" w:themeColor="text1"/>
        </w:rPr>
        <w:t xml:space="preserve">Plan de Gestion Environnementale et Sociale Entreprise </w:t>
      </w:r>
    </w:p>
    <w:p w14:paraId="4910437B" w14:textId="18976C9B"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PGRI              </w:t>
      </w:r>
      <w:proofErr w:type="gramStart"/>
      <w:r w:rsidR="003B49F1">
        <w:rPr>
          <w:rFonts w:ascii="Times New Roman" w:eastAsia="Times New Roman" w:hAnsi="Times New Roman"/>
          <w:color w:val="000000" w:themeColor="text1"/>
        </w:rPr>
        <w:t xml:space="preserve">   </w:t>
      </w:r>
      <w:r w:rsidR="00C84A07" w:rsidRPr="00260790">
        <w:rPr>
          <w:rFonts w:ascii="Times New Roman" w:eastAsia="Times New Roman" w:hAnsi="Times New Roman"/>
          <w:color w:val="000000" w:themeColor="text1"/>
        </w:rPr>
        <w:t>:</w:t>
      </w:r>
      <w:proofErr w:type="gramEnd"/>
      <w:r w:rsidRPr="00260790">
        <w:rPr>
          <w:rFonts w:ascii="Times New Roman" w:eastAsia="Times New Roman" w:hAnsi="Times New Roman"/>
          <w:color w:val="000000" w:themeColor="text1"/>
        </w:rPr>
        <w:t xml:space="preserve">           Plan de Gestion des Risques des Inondations</w:t>
      </w:r>
    </w:p>
    <w:p w14:paraId="0FF99A6E" w14:textId="2525855D"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PMPP</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 xml:space="preserve">Plan de </w:t>
      </w:r>
      <w:r w:rsidR="00DB7F82" w:rsidRPr="00260790">
        <w:rPr>
          <w:rFonts w:ascii="Times New Roman" w:eastAsia="Times New Roman" w:hAnsi="Times New Roman"/>
          <w:color w:val="000000" w:themeColor="text1"/>
        </w:rPr>
        <w:t xml:space="preserve">Mobilisation </w:t>
      </w:r>
      <w:r w:rsidRPr="00260790">
        <w:rPr>
          <w:rFonts w:ascii="Times New Roman" w:eastAsia="Times New Roman" w:hAnsi="Times New Roman"/>
          <w:color w:val="000000" w:themeColor="text1"/>
        </w:rPr>
        <w:t xml:space="preserve">des </w:t>
      </w:r>
      <w:r w:rsidR="00DB7F82" w:rsidRPr="00260790">
        <w:rPr>
          <w:rFonts w:ascii="Times New Roman" w:eastAsia="Times New Roman" w:hAnsi="Times New Roman"/>
          <w:color w:val="000000" w:themeColor="text1"/>
        </w:rPr>
        <w:t>Parties Prenantes</w:t>
      </w:r>
    </w:p>
    <w:p w14:paraId="75A63225" w14:textId="77777777"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PNAE</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Plan National d’Action pour l'Environnement</w:t>
      </w:r>
    </w:p>
    <w:p w14:paraId="03DE9A86" w14:textId="23F2B64A"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PNADT </w:t>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 xml:space="preserve">Plan </w:t>
      </w:r>
      <w:r w:rsidR="00DB7F82" w:rsidRPr="00260790">
        <w:rPr>
          <w:rFonts w:ascii="Times New Roman" w:eastAsia="Times New Roman" w:hAnsi="Times New Roman"/>
          <w:color w:val="000000" w:themeColor="text1"/>
        </w:rPr>
        <w:t xml:space="preserve">National d’Aménagement </w:t>
      </w:r>
      <w:r w:rsidRPr="00260790">
        <w:rPr>
          <w:rFonts w:ascii="Times New Roman" w:eastAsia="Times New Roman" w:hAnsi="Times New Roman"/>
          <w:color w:val="000000" w:themeColor="text1"/>
        </w:rPr>
        <w:t xml:space="preserve">et de Développement du </w:t>
      </w:r>
      <w:r w:rsidR="00DB7F82" w:rsidRPr="00260790">
        <w:rPr>
          <w:rFonts w:ascii="Times New Roman" w:eastAsia="Times New Roman" w:hAnsi="Times New Roman"/>
          <w:color w:val="000000" w:themeColor="text1"/>
        </w:rPr>
        <w:t>Territoire </w:t>
      </w:r>
    </w:p>
    <w:p w14:paraId="0DDABB82" w14:textId="77777777" w:rsidR="005F3FB7" w:rsidRPr="00260790" w:rsidRDefault="005F3FB7"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PNDL </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 xml:space="preserve">: </w:t>
      </w:r>
      <w:r w:rsidRPr="00260790">
        <w:rPr>
          <w:rFonts w:ascii="Times New Roman" w:eastAsia="Times New Roman" w:hAnsi="Times New Roman"/>
          <w:color w:val="000000" w:themeColor="text1"/>
        </w:rPr>
        <w:tab/>
        <w:t>Programme National de Développement Local</w:t>
      </w:r>
    </w:p>
    <w:p w14:paraId="1B581FE1" w14:textId="234ED1D3" w:rsidR="005F3FB7" w:rsidRPr="00260790" w:rsidRDefault="005F3FB7" w:rsidP="00E20250">
      <w:pPr>
        <w:spacing w:after="0" w:line="240" w:lineRule="auto"/>
        <w:ind w:left="2127" w:hanging="2127"/>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PROGEP       </w:t>
      </w:r>
      <w:proofErr w:type="gramStart"/>
      <w:r w:rsidRPr="00260790">
        <w:rPr>
          <w:rFonts w:ascii="Times New Roman" w:eastAsia="Times New Roman" w:hAnsi="Times New Roman"/>
          <w:color w:val="000000" w:themeColor="text1"/>
        </w:rPr>
        <w:t xml:space="preserve"> </w:t>
      </w:r>
      <w:r w:rsidR="003B49F1">
        <w:rPr>
          <w:rFonts w:ascii="Times New Roman" w:eastAsia="Times New Roman" w:hAnsi="Times New Roman"/>
          <w:color w:val="000000" w:themeColor="text1"/>
        </w:rPr>
        <w:t xml:space="preserve">  </w:t>
      </w:r>
      <w:r w:rsidRPr="00260790">
        <w:rPr>
          <w:rFonts w:ascii="Times New Roman" w:eastAsia="Times New Roman" w:hAnsi="Times New Roman"/>
          <w:color w:val="000000" w:themeColor="text1"/>
        </w:rPr>
        <w:t>:</w:t>
      </w:r>
      <w:proofErr w:type="gramEnd"/>
      <w:r w:rsidRPr="00260790">
        <w:rPr>
          <w:rFonts w:ascii="Times New Roman" w:eastAsia="Times New Roman" w:hAnsi="Times New Roman"/>
          <w:color w:val="000000" w:themeColor="text1"/>
        </w:rPr>
        <w:t xml:space="preserve">         </w:t>
      </w:r>
      <w:r w:rsidR="003B49F1">
        <w:rPr>
          <w:rFonts w:ascii="Times New Roman" w:eastAsia="Times New Roman" w:hAnsi="Times New Roman"/>
          <w:color w:val="000000" w:themeColor="text1"/>
        </w:rPr>
        <w:t xml:space="preserve">   </w:t>
      </w:r>
      <w:r w:rsidRPr="00260790">
        <w:rPr>
          <w:rFonts w:ascii="Times New Roman" w:eastAsia="Times New Roman" w:hAnsi="Times New Roman"/>
          <w:color w:val="000000" w:themeColor="text1"/>
        </w:rPr>
        <w:t xml:space="preserve">Projet de Gestion des Eaux </w:t>
      </w:r>
      <w:r w:rsidR="00DB7F82" w:rsidRPr="00260790">
        <w:rPr>
          <w:rFonts w:ascii="Times New Roman" w:eastAsia="Times New Roman" w:hAnsi="Times New Roman"/>
          <w:color w:val="000000" w:themeColor="text1"/>
        </w:rPr>
        <w:t xml:space="preserve">Pluviales </w:t>
      </w:r>
      <w:r w:rsidRPr="00260790">
        <w:rPr>
          <w:rFonts w:ascii="Times New Roman" w:eastAsia="Times New Roman" w:hAnsi="Times New Roman"/>
          <w:color w:val="000000" w:themeColor="text1"/>
        </w:rPr>
        <w:t xml:space="preserve">et d’adaptation au changement climatique </w:t>
      </w:r>
    </w:p>
    <w:p w14:paraId="1ECBB050" w14:textId="3A328D8B" w:rsidR="005F3FB7" w:rsidRPr="00260790" w:rsidRDefault="005F3FB7" w:rsidP="00E20250">
      <w:pPr>
        <w:spacing w:after="0" w:line="240" w:lineRule="auto"/>
        <w:ind w:left="2127" w:hanging="2127"/>
        <w:rPr>
          <w:rFonts w:ascii="Times New Roman" w:eastAsia="Times New Roman" w:hAnsi="Times New Roman"/>
          <w:color w:val="000000" w:themeColor="text1"/>
        </w:rPr>
      </w:pPr>
      <w:proofErr w:type="gramStart"/>
      <w:r w:rsidRPr="00260790">
        <w:rPr>
          <w:rFonts w:ascii="Times New Roman" w:eastAsia="Times New Roman" w:hAnsi="Times New Roman"/>
          <w:color w:val="000000" w:themeColor="text1"/>
        </w:rPr>
        <w:t>PROMOGED  :</w:t>
      </w:r>
      <w:proofErr w:type="gramEnd"/>
      <w:r w:rsidRPr="00260790">
        <w:rPr>
          <w:rFonts w:ascii="Times New Roman" w:eastAsia="Times New Roman" w:hAnsi="Times New Roman"/>
          <w:color w:val="000000" w:themeColor="text1"/>
        </w:rPr>
        <w:tab/>
        <w:t xml:space="preserve">Projet de </w:t>
      </w:r>
      <w:r w:rsidR="00DB7F82" w:rsidRPr="00260790">
        <w:rPr>
          <w:rFonts w:ascii="Times New Roman" w:eastAsia="Times New Roman" w:hAnsi="Times New Roman"/>
          <w:color w:val="000000" w:themeColor="text1"/>
        </w:rPr>
        <w:t xml:space="preserve">Promotion </w:t>
      </w:r>
      <w:r w:rsidRPr="00260790">
        <w:rPr>
          <w:rFonts w:ascii="Times New Roman" w:eastAsia="Times New Roman" w:hAnsi="Times New Roman"/>
          <w:color w:val="000000" w:themeColor="text1"/>
        </w:rPr>
        <w:t xml:space="preserve">de la </w:t>
      </w:r>
      <w:r w:rsidR="00DB7F82" w:rsidRPr="00260790">
        <w:rPr>
          <w:rFonts w:ascii="Times New Roman" w:eastAsia="Times New Roman" w:hAnsi="Times New Roman"/>
          <w:color w:val="000000" w:themeColor="text1"/>
        </w:rPr>
        <w:t xml:space="preserve">Gestion </w:t>
      </w:r>
      <w:r w:rsidRPr="00260790">
        <w:rPr>
          <w:rFonts w:ascii="Times New Roman" w:eastAsia="Times New Roman" w:hAnsi="Times New Roman"/>
          <w:color w:val="000000" w:themeColor="text1"/>
        </w:rPr>
        <w:t xml:space="preserve">intégrée et de </w:t>
      </w:r>
      <w:r w:rsidR="00DB7F82" w:rsidRPr="00260790">
        <w:rPr>
          <w:rFonts w:ascii="Times New Roman" w:eastAsia="Times New Roman" w:hAnsi="Times New Roman"/>
          <w:color w:val="000000" w:themeColor="text1"/>
        </w:rPr>
        <w:t>l'</w:t>
      </w:r>
      <w:r w:rsidR="00BA6943" w:rsidRPr="00260790">
        <w:rPr>
          <w:rFonts w:ascii="Times New Roman" w:eastAsia="Times New Roman" w:hAnsi="Times New Roman"/>
          <w:color w:val="000000" w:themeColor="text1"/>
        </w:rPr>
        <w:t>É</w:t>
      </w:r>
      <w:r w:rsidR="00DB7F82" w:rsidRPr="00260790">
        <w:rPr>
          <w:rFonts w:ascii="Times New Roman" w:eastAsia="Times New Roman" w:hAnsi="Times New Roman"/>
          <w:color w:val="000000" w:themeColor="text1"/>
        </w:rPr>
        <w:t xml:space="preserve">conomie </w:t>
      </w:r>
      <w:r w:rsidRPr="00260790">
        <w:rPr>
          <w:rFonts w:ascii="Times New Roman" w:eastAsia="Times New Roman" w:hAnsi="Times New Roman"/>
          <w:color w:val="000000" w:themeColor="text1"/>
        </w:rPr>
        <w:t xml:space="preserve">des </w:t>
      </w:r>
      <w:r w:rsidR="00DB7F82" w:rsidRPr="00260790">
        <w:rPr>
          <w:rFonts w:ascii="Times New Roman" w:eastAsia="Times New Roman" w:hAnsi="Times New Roman"/>
          <w:color w:val="000000" w:themeColor="text1"/>
        </w:rPr>
        <w:t xml:space="preserve">Déchets </w:t>
      </w:r>
      <w:r w:rsidRPr="00260790">
        <w:rPr>
          <w:rFonts w:ascii="Times New Roman" w:eastAsia="Times New Roman" w:hAnsi="Times New Roman"/>
          <w:color w:val="000000" w:themeColor="text1"/>
        </w:rPr>
        <w:t>solides</w:t>
      </w:r>
    </w:p>
    <w:p w14:paraId="0737C209"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RRC</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Réduction des Risques de Catastrophes</w:t>
      </w:r>
    </w:p>
    <w:p w14:paraId="011B8600"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PTAC</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Poids Total Autorisé en Charge</w:t>
      </w:r>
    </w:p>
    <w:p w14:paraId="17F0605B" w14:textId="343E09B8" w:rsidR="005F3FB7" w:rsidRPr="00260790" w:rsidRDefault="005F3FB7" w:rsidP="00E20250">
      <w:pPr>
        <w:spacing w:after="0" w:line="240" w:lineRule="auto"/>
        <w:jc w:val="both"/>
        <w:rPr>
          <w:rFonts w:ascii="Times New Roman" w:eastAsia="Times New Roman" w:hAnsi="Times New Roman"/>
          <w:color w:val="000000" w:themeColor="text1"/>
        </w:rPr>
      </w:pPr>
      <w:proofErr w:type="spellStart"/>
      <w:r w:rsidRPr="00260790">
        <w:rPr>
          <w:rFonts w:ascii="Times New Roman" w:eastAsia="Times New Roman" w:hAnsi="Times New Roman"/>
          <w:color w:val="000000" w:themeColor="text1"/>
        </w:rPr>
        <w:t>Sen’Eau</w:t>
      </w:r>
      <w:proofErr w:type="spellEnd"/>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r>
      <w:r w:rsidR="00F06D23" w:rsidRPr="00260790">
        <w:rPr>
          <w:rFonts w:ascii="Times New Roman" w:eastAsia="Times New Roman" w:hAnsi="Times New Roman"/>
          <w:color w:val="000000" w:themeColor="text1"/>
        </w:rPr>
        <w:t xml:space="preserve">Sénégalaise des </w:t>
      </w:r>
      <w:r w:rsidRPr="00260790">
        <w:rPr>
          <w:rFonts w:ascii="Times New Roman" w:eastAsia="Times New Roman" w:hAnsi="Times New Roman"/>
          <w:color w:val="000000" w:themeColor="text1"/>
        </w:rPr>
        <w:t>Eaux</w:t>
      </w:r>
    </w:p>
    <w:p w14:paraId="7BAD38EE"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SENELEC</w:t>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Société Nationale d'Électricité du Sénégal</w:t>
      </w:r>
    </w:p>
    <w:p w14:paraId="3F6DFECE"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hAnsi="Times New Roman"/>
          <w:color w:val="000000" w:themeColor="text1"/>
        </w:rPr>
        <w:t>SNHLM</w:t>
      </w:r>
      <w:r w:rsidRPr="00260790">
        <w:rPr>
          <w:rFonts w:ascii="Times New Roman" w:hAnsi="Times New Roman"/>
          <w:color w:val="000000" w:themeColor="text1"/>
        </w:rPr>
        <w:tab/>
        <w:t>:</w:t>
      </w:r>
      <w:r w:rsidRPr="00260790">
        <w:rPr>
          <w:rFonts w:ascii="Times New Roman" w:hAnsi="Times New Roman"/>
          <w:color w:val="000000" w:themeColor="text1"/>
        </w:rPr>
        <w:tab/>
      </w:r>
      <w:r w:rsidRPr="00260790">
        <w:rPr>
          <w:rFonts w:ascii="Times New Roman" w:eastAsia="Times New Roman" w:hAnsi="Times New Roman"/>
          <w:color w:val="000000" w:themeColor="text1"/>
        </w:rPr>
        <w:t>Société Nationale des Habitations à Loyer Modéré</w:t>
      </w:r>
    </w:p>
    <w:p w14:paraId="79D4FC20" w14:textId="7EF9721C"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SIDA</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 xml:space="preserve">Syndrome </w:t>
      </w:r>
      <w:r w:rsidR="00DB7F82" w:rsidRPr="00260790">
        <w:rPr>
          <w:rFonts w:ascii="Times New Roman" w:eastAsia="Times New Roman" w:hAnsi="Times New Roman"/>
          <w:color w:val="000000" w:themeColor="text1"/>
        </w:rPr>
        <w:t>d’Immunodéficience Acquise</w:t>
      </w:r>
    </w:p>
    <w:p w14:paraId="7AD948EA"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SNMO</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Stratégie Nationale d’Adaptation aux Changements Climatiques</w:t>
      </w:r>
    </w:p>
    <w:p w14:paraId="7CCF2B6C" w14:textId="63C2C38A"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SDDC</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 xml:space="preserve">Service </w:t>
      </w:r>
      <w:r w:rsidR="00DB7F82" w:rsidRPr="00260790">
        <w:rPr>
          <w:rFonts w:ascii="Times New Roman" w:eastAsia="Times New Roman" w:hAnsi="Times New Roman"/>
          <w:color w:val="000000" w:themeColor="text1"/>
        </w:rPr>
        <w:t xml:space="preserve">Départemental </w:t>
      </w:r>
      <w:r w:rsidRPr="00260790">
        <w:rPr>
          <w:rFonts w:ascii="Times New Roman" w:eastAsia="Times New Roman" w:hAnsi="Times New Roman"/>
          <w:color w:val="000000" w:themeColor="text1"/>
        </w:rPr>
        <w:t xml:space="preserve">du Développement </w:t>
      </w:r>
      <w:r w:rsidR="00DB7F82" w:rsidRPr="00260790">
        <w:rPr>
          <w:rFonts w:ascii="Times New Roman" w:eastAsia="Times New Roman" w:hAnsi="Times New Roman"/>
          <w:color w:val="000000" w:themeColor="text1"/>
        </w:rPr>
        <w:t>Communautaire</w:t>
      </w:r>
    </w:p>
    <w:p w14:paraId="32C1B629" w14:textId="41D465A4"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SRAT</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 xml:space="preserve">Schéma </w:t>
      </w:r>
      <w:r w:rsidR="00DB7F82" w:rsidRPr="00260790">
        <w:rPr>
          <w:rFonts w:ascii="Times New Roman" w:eastAsia="Times New Roman" w:hAnsi="Times New Roman"/>
          <w:color w:val="000000" w:themeColor="text1"/>
        </w:rPr>
        <w:t xml:space="preserve">Régional </w:t>
      </w:r>
      <w:r w:rsidRPr="00260790">
        <w:rPr>
          <w:rFonts w:ascii="Times New Roman" w:eastAsia="Times New Roman" w:hAnsi="Times New Roman"/>
          <w:color w:val="000000" w:themeColor="text1"/>
        </w:rPr>
        <w:t>d’Aménagement du Territoire</w:t>
      </w:r>
    </w:p>
    <w:p w14:paraId="4C761A56"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TDR</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Termes de Référence</w:t>
      </w:r>
    </w:p>
    <w:p w14:paraId="69DD2E1B"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TER</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Train Express Régional</w:t>
      </w:r>
    </w:p>
    <w:p w14:paraId="653EABFB" w14:textId="60DD11D6"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UCP</w:t>
      </w:r>
      <w:r w:rsidRPr="00260790">
        <w:rPr>
          <w:rFonts w:ascii="Times New Roman" w:eastAsia="Times New Roman" w:hAnsi="Times New Roman"/>
          <w:color w:val="000000" w:themeColor="text1"/>
        </w:rPr>
        <w:tab/>
        <w:t xml:space="preserve">          </w:t>
      </w:r>
      <w:proofErr w:type="gramStart"/>
      <w:r w:rsidRPr="00260790">
        <w:rPr>
          <w:rFonts w:ascii="Times New Roman" w:eastAsia="Times New Roman" w:hAnsi="Times New Roman"/>
          <w:color w:val="000000" w:themeColor="text1"/>
        </w:rPr>
        <w:t xml:space="preserve">  </w:t>
      </w:r>
      <w:r w:rsidR="003B49F1">
        <w:rPr>
          <w:rFonts w:ascii="Times New Roman" w:eastAsia="Times New Roman" w:hAnsi="Times New Roman"/>
          <w:color w:val="000000" w:themeColor="text1"/>
        </w:rPr>
        <w:t xml:space="preserve"> </w:t>
      </w:r>
      <w:r w:rsidRPr="00260790">
        <w:rPr>
          <w:rFonts w:ascii="Times New Roman" w:eastAsia="Times New Roman" w:hAnsi="Times New Roman"/>
          <w:color w:val="000000" w:themeColor="text1"/>
        </w:rPr>
        <w:t>:</w:t>
      </w:r>
      <w:proofErr w:type="gramEnd"/>
      <w:r w:rsidRPr="00260790">
        <w:rPr>
          <w:rFonts w:ascii="Times New Roman" w:eastAsia="Times New Roman" w:hAnsi="Times New Roman"/>
          <w:color w:val="000000" w:themeColor="text1"/>
        </w:rPr>
        <w:tab/>
        <w:t>Unité de Coordination du Projet</w:t>
      </w:r>
    </w:p>
    <w:p w14:paraId="3058A4C9"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UCG</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Unité de Coordination de la Gestion des déchets solides</w:t>
      </w:r>
    </w:p>
    <w:p w14:paraId="53B67C60" w14:textId="0C4C1C9F"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VBG</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 xml:space="preserve">Violences </w:t>
      </w:r>
      <w:r w:rsidR="00DB7F82" w:rsidRPr="00260790">
        <w:rPr>
          <w:rFonts w:ascii="Times New Roman" w:eastAsia="Times New Roman" w:hAnsi="Times New Roman"/>
          <w:color w:val="000000" w:themeColor="text1"/>
        </w:rPr>
        <w:t xml:space="preserve">Basées </w:t>
      </w:r>
      <w:r w:rsidRPr="00260790">
        <w:rPr>
          <w:rFonts w:ascii="Times New Roman" w:eastAsia="Times New Roman" w:hAnsi="Times New Roman"/>
          <w:color w:val="000000" w:themeColor="text1"/>
        </w:rPr>
        <w:t>sur le Genre</w:t>
      </w:r>
    </w:p>
    <w:p w14:paraId="1ACE420C" w14:textId="77777777"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VDN</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Voie de Dégagement Nord</w:t>
      </w:r>
    </w:p>
    <w:p w14:paraId="75C891A9" w14:textId="22488083" w:rsidR="005F3FB7" w:rsidRPr="00260790" w:rsidRDefault="005F3FB7" w:rsidP="00E20250">
      <w:pPr>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VIH</w:t>
      </w:r>
      <w:r w:rsidRPr="00260790">
        <w:rPr>
          <w:rFonts w:ascii="Times New Roman" w:eastAsia="Times New Roman" w:hAnsi="Times New Roman"/>
          <w:color w:val="000000" w:themeColor="text1"/>
        </w:rPr>
        <w:tab/>
      </w:r>
      <w:r w:rsidRPr="00260790">
        <w:rPr>
          <w:rFonts w:ascii="Times New Roman" w:eastAsia="Times New Roman" w:hAnsi="Times New Roman"/>
          <w:color w:val="000000" w:themeColor="text1"/>
        </w:rPr>
        <w:tab/>
        <w:t>:</w:t>
      </w:r>
      <w:r w:rsidRPr="00260790">
        <w:rPr>
          <w:rFonts w:ascii="Times New Roman" w:eastAsia="Times New Roman" w:hAnsi="Times New Roman"/>
          <w:color w:val="000000" w:themeColor="text1"/>
        </w:rPr>
        <w:tab/>
        <w:t xml:space="preserve">Virus </w:t>
      </w:r>
      <w:r w:rsidR="00DB7F82" w:rsidRPr="00260790">
        <w:rPr>
          <w:rFonts w:ascii="Times New Roman" w:eastAsia="Times New Roman" w:hAnsi="Times New Roman"/>
          <w:color w:val="000000" w:themeColor="text1"/>
        </w:rPr>
        <w:t>d’</w:t>
      </w:r>
      <w:proofErr w:type="spellStart"/>
      <w:r w:rsidR="00DB7F82" w:rsidRPr="00260790">
        <w:rPr>
          <w:rFonts w:ascii="Times New Roman" w:eastAsia="Times New Roman" w:hAnsi="Times New Roman"/>
          <w:color w:val="000000" w:themeColor="text1"/>
        </w:rPr>
        <w:t>Immuno</w:t>
      </w:r>
      <w:proofErr w:type="spellEnd"/>
      <w:r w:rsidRPr="00260790">
        <w:rPr>
          <w:rFonts w:ascii="Times New Roman" w:eastAsia="Times New Roman" w:hAnsi="Times New Roman"/>
          <w:color w:val="000000" w:themeColor="text1"/>
        </w:rPr>
        <w:t>-</w:t>
      </w:r>
      <w:r w:rsidR="00DB7F82" w:rsidRPr="00260790">
        <w:rPr>
          <w:rFonts w:ascii="Times New Roman" w:eastAsia="Times New Roman" w:hAnsi="Times New Roman"/>
          <w:color w:val="000000" w:themeColor="text1"/>
        </w:rPr>
        <w:t>Humaine</w:t>
      </w:r>
    </w:p>
    <w:p w14:paraId="17C5246B" w14:textId="77777777" w:rsidR="003847E9" w:rsidRPr="00260790" w:rsidRDefault="003847E9" w:rsidP="00E20250">
      <w:pPr>
        <w:spacing w:line="240" w:lineRule="auto"/>
        <w:rPr>
          <w:rFonts w:ascii="Times New Roman" w:hAnsi="Times New Roman"/>
          <w:b/>
          <w:caps/>
          <w:color w:val="000000" w:themeColor="text1"/>
          <w:sz w:val="24"/>
          <w:szCs w:val="24"/>
        </w:rPr>
      </w:pPr>
      <w:r w:rsidRPr="00260790">
        <w:rPr>
          <w:rFonts w:ascii="Times New Roman" w:hAnsi="Times New Roman"/>
          <w:color w:val="000000" w:themeColor="text1"/>
          <w:szCs w:val="24"/>
        </w:rPr>
        <w:br w:type="page"/>
      </w:r>
    </w:p>
    <w:p w14:paraId="6FAEC79A" w14:textId="6AC92D1D" w:rsidR="00C220D3" w:rsidRPr="00277EF3" w:rsidRDefault="00C220D3" w:rsidP="0097258B">
      <w:pPr>
        <w:pStyle w:val="Titre1"/>
        <w:numPr>
          <w:ilvl w:val="0"/>
          <w:numId w:val="0"/>
        </w:numPr>
        <w:spacing w:before="0"/>
        <w:rPr>
          <w:rFonts w:ascii="Times New Roman" w:hAnsi="Times New Roman"/>
          <w:sz w:val="22"/>
          <w:szCs w:val="22"/>
        </w:rPr>
      </w:pPr>
      <w:bookmarkStart w:id="3" w:name="_Toc212725072"/>
      <w:r w:rsidRPr="00277EF3">
        <w:rPr>
          <w:rFonts w:ascii="Times New Roman" w:hAnsi="Times New Roman"/>
          <w:sz w:val="22"/>
          <w:szCs w:val="22"/>
        </w:rPr>
        <w:lastRenderedPageBreak/>
        <w:t>R</w:t>
      </w:r>
      <w:r w:rsidR="0062612E">
        <w:rPr>
          <w:rFonts w:ascii="Times New Roman" w:hAnsi="Times New Roman"/>
          <w:sz w:val="22"/>
          <w:szCs w:val="22"/>
        </w:rPr>
        <w:t>É</w:t>
      </w:r>
      <w:r w:rsidRPr="00277EF3">
        <w:rPr>
          <w:rFonts w:ascii="Times New Roman" w:hAnsi="Times New Roman"/>
          <w:sz w:val="22"/>
          <w:szCs w:val="22"/>
        </w:rPr>
        <w:t>sum</w:t>
      </w:r>
      <w:r w:rsidR="0062612E">
        <w:rPr>
          <w:rFonts w:ascii="Times New Roman" w:hAnsi="Times New Roman"/>
          <w:sz w:val="22"/>
          <w:szCs w:val="22"/>
        </w:rPr>
        <w:t>É</w:t>
      </w:r>
      <w:r w:rsidRPr="00277EF3">
        <w:rPr>
          <w:rFonts w:ascii="Times New Roman" w:hAnsi="Times New Roman"/>
          <w:sz w:val="22"/>
          <w:szCs w:val="22"/>
        </w:rPr>
        <w:t xml:space="preserve"> </w:t>
      </w:r>
      <w:r w:rsidR="0062612E">
        <w:rPr>
          <w:rFonts w:ascii="Times New Roman" w:hAnsi="Times New Roman"/>
          <w:sz w:val="22"/>
          <w:szCs w:val="22"/>
        </w:rPr>
        <w:t>EXÉCUTIF</w:t>
      </w:r>
      <w:bookmarkEnd w:id="3"/>
    </w:p>
    <w:p w14:paraId="1F2C4227" w14:textId="77777777" w:rsidR="00C220D3" w:rsidRPr="008A50C4" w:rsidRDefault="00C220D3" w:rsidP="008A50C4">
      <w:pPr>
        <w:rPr>
          <w:rFonts w:ascii="Times New Roman" w:hAnsi="Times New Roman"/>
          <w:b/>
          <w:bCs/>
        </w:rPr>
      </w:pPr>
      <w:r w:rsidRPr="008A50C4">
        <w:rPr>
          <w:rFonts w:ascii="Times New Roman" w:hAnsi="Times New Roman"/>
          <w:b/>
          <w:bCs/>
        </w:rPr>
        <w:t>Contexte et Objectifs</w:t>
      </w:r>
    </w:p>
    <w:p w14:paraId="7FF29886" w14:textId="77777777" w:rsidR="00C220D3" w:rsidRDefault="00C220D3" w:rsidP="00C220D3">
      <w:pPr>
        <w:spacing w:line="240" w:lineRule="auto"/>
        <w:jc w:val="both"/>
        <w:rPr>
          <w:rFonts w:ascii="Times New Roman" w:hAnsi="Times New Roman"/>
        </w:rPr>
      </w:pPr>
      <w:r w:rsidRPr="00277EF3">
        <w:rPr>
          <w:rFonts w:ascii="Times New Roman" w:hAnsi="Times New Roman"/>
        </w:rPr>
        <w:t>Le PROGEP II est un projet financé par l’État du Sénégal, la Banque mondiale et le Fonds Nordique de Développement, visant à réduire les risques d’inondation dans l’agglomération de Dakar et à renforcer la résilience climatique dans plusieurs villes du Sénégal. Il s’étend sur 5 ans avec un budget de 155 millions USD (83 milliards FCFA).</w:t>
      </w:r>
    </w:p>
    <w:p w14:paraId="6A5D7F25" w14:textId="7080B299" w:rsidR="00AD379A" w:rsidRPr="008A50C4" w:rsidRDefault="00AD379A" w:rsidP="008A50C4">
      <w:pPr>
        <w:rPr>
          <w:rFonts w:ascii="Times New Roman" w:hAnsi="Times New Roman"/>
          <w:b/>
          <w:bCs/>
        </w:rPr>
      </w:pPr>
      <w:r w:rsidRPr="008A50C4">
        <w:rPr>
          <w:rFonts w:ascii="Times New Roman" w:hAnsi="Times New Roman"/>
          <w:b/>
          <w:bCs/>
        </w:rPr>
        <w:t>Objectif de l’Étude d’Impact Environnemental et Social</w:t>
      </w:r>
    </w:p>
    <w:p w14:paraId="53B9AE94" w14:textId="1FE39B17" w:rsidR="00AD379A" w:rsidRPr="00277EF3" w:rsidRDefault="00AD379A" w:rsidP="00AD379A">
      <w:pPr>
        <w:spacing w:line="240" w:lineRule="auto"/>
        <w:jc w:val="both"/>
        <w:rPr>
          <w:rFonts w:ascii="Times New Roman" w:hAnsi="Times New Roman"/>
        </w:rPr>
      </w:pPr>
      <w:r w:rsidRPr="00260790">
        <w:rPr>
          <w:rFonts w:ascii="Times New Roman" w:hAnsi="Times New Roman"/>
          <w:color w:val="000000" w:themeColor="text1"/>
        </w:rPr>
        <w:t>L’Étude d’Impact Environnemental et Social (EIES) des travaux envisagés vise à identifier et à évaluer, en rapport avec les caractéristiques de la zone ciblée, les impacts environnementaux et sociaux potentiels des travaux prévus, et de proposer des actions et mécanismes pouvant permettre d’éviter, de réduire et de compenser les impacts négatifs et bonifier les impacts positifs, afin de s’assurer que les aménagements à réaliser soient rationnels, acceptables et durables tant du point de vue environnemental que social.</w:t>
      </w:r>
    </w:p>
    <w:p w14:paraId="18D23C07" w14:textId="273F105F" w:rsidR="00C220D3" w:rsidRPr="008A50C4" w:rsidRDefault="00C220D3" w:rsidP="008A50C4">
      <w:pPr>
        <w:rPr>
          <w:rFonts w:ascii="Times New Roman" w:hAnsi="Times New Roman"/>
          <w:b/>
          <w:bCs/>
        </w:rPr>
      </w:pPr>
      <w:r w:rsidRPr="008A50C4">
        <w:rPr>
          <w:rFonts w:ascii="Times New Roman" w:hAnsi="Times New Roman"/>
          <w:b/>
          <w:bCs/>
        </w:rPr>
        <w:t>Zone d’intervention</w:t>
      </w:r>
    </w:p>
    <w:p w14:paraId="545588DF" w14:textId="77777777" w:rsidR="00C220D3" w:rsidRPr="00277EF3" w:rsidRDefault="00C220D3" w:rsidP="00C220D3">
      <w:pPr>
        <w:spacing w:line="240" w:lineRule="auto"/>
        <w:jc w:val="both"/>
        <w:rPr>
          <w:rFonts w:ascii="Times New Roman" w:hAnsi="Times New Roman"/>
        </w:rPr>
      </w:pPr>
      <w:r w:rsidRPr="00277EF3">
        <w:rPr>
          <w:rFonts w:ascii="Times New Roman" w:hAnsi="Times New Roman"/>
        </w:rPr>
        <w:t xml:space="preserve">Le projet couvre le bassin versant du marigot de Mbao (zones nord, sud et centrale), incluant les communes de Keur Massar Sud, </w:t>
      </w:r>
      <w:proofErr w:type="spellStart"/>
      <w:r w:rsidRPr="00277EF3">
        <w:rPr>
          <w:rFonts w:ascii="Times New Roman" w:hAnsi="Times New Roman"/>
        </w:rPr>
        <w:t>Jaxaay</w:t>
      </w:r>
      <w:proofErr w:type="spellEnd"/>
      <w:r w:rsidRPr="00277EF3">
        <w:rPr>
          <w:rFonts w:ascii="Times New Roman" w:hAnsi="Times New Roman"/>
        </w:rPr>
        <w:t>, Rufisque Ouest et Mbao.</w:t>
      </w:r>
    </w:p>
    <w:p w14:paraId="7070B2EB" w14:textId="77777777" w:rsidR="00C220D3" w:rsidRPr="008A50C4" w:rsidRDefault="00C220D3" w:rsidP="008A50C4">
      <w:pPr>
        <w:rPr>
          <w:rFonts w:ascii="Times New Roman" w:hAnsi="Times New Roman"/>
          <w:b/>
          <w:bCs/>
        </w:rPr>
      </w:pPr>
      <w:r w:rsidRPr="008A50C4">
        <w:rPr>
          <w:rFonts w:ascii="Times New Roman" w:hAnsi="Times New Roman"/>
          <w:b/>
          <w:bCs/>
        </w:rPr>
        <w:t>Composantes du Projet</w:t>
      </w:r>
    </w:p>
    <w:p w14:paraId="2E8CCE65" w14:textId="77777777" w:rsidR="00C220D3" w:rsidRPr="00277EF3" w:rsidRDefault="00C220D3" w:rsidP="0097258B">
      <w:pPr>
        <w:spacing w:line="240" w:lineRule="auto"/>
        <w:rPr>
          <w:rFonts w:ascii="Times New Roman" w:hAnsi="Times New Roman"/>
        </w:rPr>
      </w:pPr>
      <w:r w:rsidRPr="00277EF3">
        <w:rPr>
          <w:rFonts w:ascii="Times New Roman" w:hAnsi="Times New Roman"/>
        </w:rPr>
        <w:t>1. Planification urbaine intégrée</w:t>
      </w:r>
      <w:r w:rsidRPr="00277EF3">
        <w:rPr>
          <w:rFonts w:ascii="Times New Roman" w:hAnsi="Times New Roman"/>
        </w:rPr>
        <w:br/>
        <w:t>2. Investissements en drainage et gestion environnementale/sociale</w:t>
      </w:r>
      <w:r w:rsidRPr="00277EF3">
        <w:rPr>
          <w:rFonts w:ascii="Times New Roman" w:hAnsi="Times New Roman"/>
        </w:rPr>
        <w:br/>
        <w:t>3. Réponse d’urgence (CERC)</w:t>
      </w:r>
      <w:r w:rsidRPr="00277EF3">
        <w:rPr>
          <w:rFonts w:ascii="Times New Roman" w:hAnsi="Times New Roman"/>
        </w:rPr>
        <w:br/>
        <w:t>4. Gestion du projet</w:t>
      </w:r>
    </w:p>
    <w:p w14:paraId="6AD6B741" w14:textId="77777777" w:rsidR="00C220D3" w:rsidRPr="008A50C4" w:rsidRDefault="00C220D3" w:rsidP="008A50C4">
      <w:pPr>
        <w:rPr>
          <w:rFonts w:ascii="Times New Roman" w:hAnsi="Times New Roman"/>
          <w:b/>
          <w:bCs/>
        </w:rPr>
      </w:pPr>
      <w:r w:rsidRPr="008A50C4">
        <w:rPr>
          <w:rFonts w:ascii="Times New Roman" w:hAnsi="Times New Roman"/>
          <w:b/>
          <w:bCs/>
        </w:rPr>
        <w:t>Principaux Travaux Prévus</w:t>
      </w:r>
    </w:p>
    <w:p w14:paraId="4A412C27" w14:textId="77777777" w:rsidR="00C220D3" w:rsidRPr="00277EF3" w:rsidRDefault="00C220D3" w:rsidP="00C220D3">
      <w:pPr>
        <w:spacing w:line="240" w:lineRule="auto"/>
        <w:jc w:val="both"/>
        <w:rPr>
          <w:rFonts w:ascii="Times New Roman" w:hAnsi="Times New Roman"/>
        </w:rPr>
      </w:pPr>
      <w:r w:rsidRPr="00277EF3">
        <w:rPr>
          <w:rFonts w:ascii="Times New Roman" w:hAnsi="Times New Roman"/>
        </w:rPr>
        <w:t>Zone 1 (Nord-Amont) : 7 bassins (72 150 m³), 6 020 ml de collecteurs, 10 400 ml de voirie</w:t>
      </w:r>
      <w:r w:rsidRPr="00277EF3">
        <w:rPr>
          <w:rFonts w:ascii="Times New Roman" w:hAnsi="Times New Roman"/>
        </w:rPr>
        <w:br/>
        <w:t>Zone 2 (Sud-Aval) : 5 bassins (77 700 m³), 4 970 ml de collecteurs, 9 500 ml de voirie</w:t>
      </w:r>
      <w:r w:rsidRPr="00277EF3">
        <w:rPr>
          <w:rFonts w:ascii="Times New Roman" w:hAnsi="Times New Roman"/>
        </w:rPr>
        <w:br/>
        <w:t>Zone 3 (Marigot de Mbao) : reprofilage, station de pompage (1 300 m³/h)</w:t>
      </w:r>
    </w:p>
    <w:p w14:paraId="6043FBB1" w14:textId="77777777" w:rsidR="00136E95" w:rsidRPr="008A50C4" w:rsidRDefault="00136E95" w:rsidP="008A50C4">
      <w:pPr>
        <w:rPr>
          <w:rFonts w:ascii="Times New Roman" w:hAnsi="Times New Roman"/>
          <w:b/>
          <w:bCs/>
        </w:rPr>
      </w:pPr>
      <w:r w:rsidRPr="008A50C4">
        <w:rPr>
          <w:rFonts w:ascii="Times New Roman" w:hAnsi="Times New Roman"/>
          <w:b/>
          <w:bCs/>
        </w:rPr>
        <w:t>Cadre politique, juridique et institutionnel</w:t>
      </w:r>
    </w:p>
    <w:p w14:paraId="2B1B9AAE" w14:textId="77777777" w:rsidR="00136E95" w:rsidRPr="00260790" w:rsidRDefault="00136E95" w:rsidP="00136E95">
      <w:pPr>
        <w:spacing w:line="240" w:lineRule="auto"/>
        <w:jc w:val="both"/>
        <w:rPr>
          <w:rFonts w:ascii="Times New Roman" w:hAnsi="Times New Roman"/>
          <w:color w:val="000000" w:themeColor="text1"/>
        </w:rPr>
      </w:pPr>
      <w:r>
        <w:rPr>
          <w:rFonts w:ascii="Times New Roman" w:hAnsi="Times New Roman"/>
          <w:color w:val="000000" w:themeColor="text1"/>
        </w:rPr>
        <w:t>L</w:t>
      </w:r>
      <w:r w:rsidRPr="00260790">
        <w:rPr>
          <w:rFonts w:ascii="Times New Roman" w:hAnsi="Times New Roman"/>
          <w:color w:val="000000" w:themeColor="text1"/>
        </w:rPr>
        <w:t xml:space="preserve">e cadre juridique national est marqué </w:t>
      </w:r>
      <w:r>
        <w:rPr>
          <w:rFonts w:ascii="Times New Roman" w:hAnsi="Times New Roman"/>
          <w:color w:val="000000" w:themeColor="text1"/>
        </w:rPr>
        <w:t xml:space="preserve">d’une part </w:t>
      </w:r>
      <w:r w:rsidRPr="00260790">
        <w:rPr>
          <w:rFonts w:ascii="Times New Roman" w:hAnsi="Times New Roman"/>
          <w:color w:val="000000" w:themeColor="text1"/>
        </w:rPr>
        <w:t>par la Constitution</w:t>
      </w:r>
      <w:r>
        <w:rPr>
          <w:rFonts w:ascii="Times New Roman" w:hAnsi="Times New Roman"/>
          <w:color w:val="000000" w:themeColor="text1"/>
        </w:rPr>
        <w:t xml:space="preserve"> du Sénégal,</w:t>
      </w:r>
      <w:r w:rsidRPr="00260790">
        <w:rPr>
          <w:rFonts w:ascii="Times New Roman" w:hAnsi="Times New Roman"/>
          <w:color w:val="000000" w:themeColor="text1"/>
        </w:rPr>
        <w:t xml:space="preserve"> </w:t>
      </w:r>
      <w:r>
        <w:rPr>
          <w:rFonts w:ascii="Times New Roman" w:hAnsi="Times New Roman"/>
          <w:color w:val="000000" w:themeColor="text1"/>
        </w:rPr>
        <w:t xml:space="preserve">le </w:t>
      </w:r>
      <w:r w:rsidRPr="00260790">
        <w:rPr>
          <w:rFonts w:ascii="Times New Roman" w:hAnsi="Times New Roman"/>
          <w:color w:val="000000" w:themeColor="text1"/>
        </w:rPr>
        <w:t>Code de l’environnement</w:t>
      </w:r>
      <w:r>
        <w:rPr>
          <w:rFonts w:ascii="Times New Roman" w:hAnsi="Times New Roman"/>
          <w:color w:val="000000" w:themeColor="text1"/>
        </w:rPr>
        <w:t xml:space="preserve"> et </w:t>
      </w:r>
      <w:r w:rsidRPr="00260790">
        <w:rPr>
          <w:rFonts w:ascii="Times New Roman" w:hAnsi="Times New Roman"/>
          <w:color w:val="000000" w:themeColor="text1"/>
        </w:rPr>
        <w:t xml:space="preserve">plusieurs autres textes environnementaux concernant la gestion du cadre de vie, les pollutions et les nuisances, les ressources naturelles (faune, flore, eau), le cadre institutionnel de la gestion de l'environnement et des ressources naturelles, la tenure foncière, etc.  </w:t>
      </w:r>
    </w:p>
    <w:p w14:paraId="5D09D5D5" w14:textId="77777777" w:rsidR="00136E95" w:rsidRPr="0097258B" w:rsidRDefault="00136E95" w:rsidP="0097258B">
      <w:pPr>
        <w:spacing w:line="240" w:lineRule="auto"/>
        <w:jc w:val="both"/>
        <w:rPr>
          <w:rFonts w:ascii="Times New Roman" w:hAnsi="Times New Roman"/>
          <w:color w:val="000000" w:themeColor="text1"/>
        </w:rPr>
      </w:pPr>
      <w:r w:rsidRPr="0097258B">
        <w:rPr>
          <w:rFonts w:ascii="Times New Roman" w:hAnsi="Times New Roman"/>
          <w:color w:val="000000" w:themeColor="text1"/>
        </w:rPr>
        <w:t>D’autre part, du fait des impacts environnementaux et sociaux pouvant résulter de la mise en œuvre de ses activités du projet, huit (8) sur les dix (10) normes environnementales et sociales (NES) de la Banque sont pertinentes et applicables au projet.</w:t>
      </w:r>
    </w:p>
    <w:p w14:paraId="7A3C7F20" w14:textId="5D5D374D" w:rsidR="00CF269F" w:rsidRDefault="00136E95" w:rsidP="00136E95">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Sur le plan institutionnel, plusieurs acteurs sont </w:t>
      </w:r>
      <w:r>
        <w:rPr>
          <w:rFonts w:ascii="Times New Roman" w:hAnsi="Times New Roman"/>
          <w:color w:val="000000" w:themeColor="text1"/>
        </w:rPr>
        <w:t>impliqués dans la mise en œuvre du</w:t>
      </w:r>
      <w:r w:rsidRPr="00260790">
        <w:rPr>
          <w:rFonts w:ascii="Times New Roman" w:hAnsi="Times New Roman"/>
          <w:color w:val="000000" w:themeColor="text1"/>
        </w:rPr>
        <w:t xml:space="preserve"> projet</w:t>
      </w:r>
      <w:r>
        <w:rPr>
          <w:rFonts w:ascii="Times New Roman" w:hAnsi="Times New Roman"/>
          <w:color w:val="000000" w:themeColor="text1"/>
        </w:rPr>
        <w:t>, notamment</w:t>
      </w:r>
      <w:r w:rsidRPr="00260790">
        <w:rPr>
          <w:rFonts w:ascii="Times New Roman" w:hAnsi="Times New Roman"/>
          <w:color w:val="000000" w:themeColor="text1"/>
        </w:rPr>
        <w:t xml:space="preserve"> : ADM, DIREC, CRS</w:t>
      </w:r>
      <w:r>
        <w:rPr>
          <w:rFonts w:ascii="Times New Roman" w:hAnsi="Times New Roman"/>
          <w:color w:val="000000" w:themeColor="text1"/>
        </w:rPr>
        <w:t>E de Dakar, CDREI de Keur Massar, Pikine et Rufisque,</w:t>
      </w:r>
      <w:r w:rsidRPr="00260790">
        <w:rPr>
          <w:rFonts w:ascii="Times New Roman" w:hAnsi="Times New Roman"/>
          <w:color w:val="000000" w:themeColor="text1"/>
        </w:rPr>
        <w:t xml:space="preserve"> DA, DEFCCS, ONAS, AGEROUTE, DSCOS, DNH, ANACIM, DPC, </w:t>
      </w:r>
      <w:r w:rsidRPr="0097258B">
        <w:rPr>
          <w:rFonts w:ascii="Times New Roman" w:hAnsi="Times New Roman"/>
          <w:color w:val="000000" w:themeColor="text1"/>
        </w:rPr>
        <w:t>ANAT</w:t>
      </w:r>
      <w:r w:rsidRPr="00260790">
        <w:rPr>
          <w:rFonts w:ascii="Times New Roman" w:hAnsi="Times New Roman"/>
          <w:color w:val="000000" w:themeColor="text1"/>
        </w:rPr>
        <w:t xml:space="preserve">, DGPRE, DGUA, DPGI, BNSP, SNHLM, Communes de Mbao, Rufisque Ouest, </w:t>
      </w:r>
      <w:proofErr w:type="spellStart"/>
      <w:r w:rsidRPr="00260790">
        <w:rPr>
          <w:rFonts w:ascii="Times New Roman" w:hAnsi="Times New Roman"/>
          <w:color w:val="000000" w:themeColor="text1"/>
        </w:rPr>
        <w:t>Jaxaay</w:t>
      </w:r>
      <w:proofErr w:type="spellEnd"/>
      <w:r w:rsidRPr="00260790">
        <w:rPr>
          <w:rFonts w:ascii="Times New Roman" w:hAnsi="Times New Roman"/>
          <w:color w:val="000000" w:themeColor="text1"/>
        </w:rPr>
        <w:t>-Parcelles et Keur Massar Sud.</w:t>
      </w:r>
    </w:p>
    <w:p w14:paraId="39458A3A" w14:textId="664ABC93" w:rsidR="000402CF" w:rsidRPr="008A50C4" w:rsidRDefault="000402CF" w:rsidP="008A50C4">
      <w:pPr>
        <w:rPr>
          <w:rFonts w:ascii="Times New Roman" w:hAnsi="Times New Roman"/>
          <w:b/>
          <w:bCs/>
        </w:rPr>
      </w:pPr>
      <w:r w:rsidRPr="008A50C4">
        <w:rPr>
          <w:rFonts w:ascii="Times New Roman" w:hAnsi="Times New Roman"/>
          <w:b/>
          <w:bCs/>
        </w:rPr>
        <w:t>Consultation du public</w:t>
      </w:r>
    </w:p>
    <w:p w14:paraId="3BD49947" w14:textId="77777777" w:rsidR="000402CF" w:rsidRPr="00260790" w:rsidRDefault="000402CF" w:rsidP="0097258B">
      <w:pPr>
        <w:spacing w:line="240" w:lineRule="auto"/>
        <w:jc w:val="both"/>
        <w:rPr>
          <w:rFonts w:ascii="Times New Roman" w:hAnsi="Times New Roman"/>
          <w:color w:val="000000" w:themeColor="text1"/>
        </w:rPr>
      </w:pPr>
      <w:r w:rsidRPr="00260790">
        <w:rPr>
          <w:rFonts w:ascii="Times New Roman" w:hAnsi="Times New Roman"/>
          <w:color w:val="000000" w:themeColor="text1"/>
        </w:rPr>
        <w:t>L’objectif de</w:t>
      </w:r>
      <w:r>
        <w:rPr>
          <w:rFonts w:ascii="Times New Roman" w:hAnsi="Times New Roman"/>
          <w:color w:val="000000" w:themeColor="text1"/>
        </w:rPr>
        <w:t xml:space="preserve"> la</w:t>
      </w:r>
      <w:r w:rsidRPr="00260790">
        <w:rPr>
          <w:rFonts w:ascii="Times New Roman" w:hAnsi="Times New Roman"/>
          <w:color w:val="000000" w:themeColor="text1"/>
        </w:rPr>
        <w:t xml:space="preserve"> consultation</w:t>
      </w:r>
      <w:r>
        <w:rPr>
          <w:rFonts w:ascii="Times New Roman" w:hAnsi="Times New Roman"/>
          <w:color w:val="000000" w:themeColor="text1"/>
        </w:rPr>
        <w:t xml:space="preserve"> du</w:t>
      </w:r>
      <w:r w:rsidRPr="00260790">
        <w:rPr>
          <w:rFonts w:ascii="Times New Roman" w:hAnsi="Times New Roman"/>
          <w:color w:val="000000" w:themeColor="text1"/>
        </w:rPr>
        <w:t xml:space="preserve"> publi</w:t>
      </w:r>
      <w:r>
        <w:rPr>
          <w:rFonts w:ascii="Times New Roman" w:hAnsi="Times New Roman"/>
          <w:color w:val="000000" w:themeColor="text1"/>
        </w:rPr>
        <w:t>c</w:t>
      </w:r>
      <w:r w:rsidRPr="00260790">
        <w:rPr>
          <w:rFonts w:ascii="Times New Roman" w:hAnsi="Times New Roman"/>
          <w:color w:val="000000" w:themeColor="text1"/>
        </w:rPr>
        <w:t xml:space="preserve"> est d’assurer la participation des populations </w:t>
      </w:r>
      <w:r>
        <w:rPr>
          <w:rFonts w:ascii="Times New Roman" w:hAnsi="Times New Roman"/>
          <w:color w:val="000000" w:themeColor="text1"/>
        </w:rPr>
        <w:t xml:space="preserve">et des autres parties prenantes </w:t>
      </w:r>
      <w:r w:rsidRPr="00260790">
        <w:rPr>
          <w:rFonts w:ascii="Times New Roman" w:hAnsi="Times New Roman"/>
          <w:color w:val="000000" w:themeColor="text1"/>
        </w:rPr>
        <w:t>au processus de planification des acti</w:t>
      </w:r>
      <w:r>
        <w:rPr>
          <w:rFonts w:ascii="Times New Roman" w:hAnsi="Times New Roman"/>
          <w:color w:val="000000" w:themeColor="text1"/>
        </w:rPr>
        <w:t>vité</w:t>
      </w:r>
      <w:r w:rsidRPr="00260790">
        <w:rPr>
          <w:rFonts w:ascii="Times New Roman" w:hAnsi="Times New Roman"/>
          <w:color w:val="000000" w:themeColor="text1"/>
        </w:rPr>
        <w:t>s du projet. Il s’agit notamment : (i) d’informer les parties prenantes sur le projet et ses activités ; (ii) de permettre aux parties prenantes de s’exprimer, d’émettre leur avis sur le projet ; (iii) d’identifier et de recueillir les préoccupations (besoins, attentes, craintes, etc.) des parties prenantes vis-à-vis du projet ainsi que leurs recommandations et suggestions.</w:t>
      </w:r>
    </w:p>
    <w:p w14:paraId="29913722" w14:textId="67FDC5BE" w:rsidR="000402CF" w:rsidRDefault="000402CF" w:rsidP="0097258B">
      <w:pPr>
        <w:spacing w:line="240" w:lineRule="auto"/>
        <w:jc w:val="both"/>
        <w:rPr>
          <w:rFonts w:ascii="Times New Roman" w:hAnsi="Times New Roman"/>
          <w:color w:val="000000" w:themeColor="text1"/>
        </w:rPr>
      </w:pPr>
      <w:r w:rsidRPr="00260790">
        <w:rPr>
          <w:rFonts w:ascii="Times New Roman" w:hAnsi="Times New Roman"/>
          <w:color w:val="000000" w:themeColor="text1"/>
        </w:rPr>
        <w:lastRenderedPageBreak/>
        <w:t xml:space="preserve">Les consultations </w:t>
      </w:r>
      <w:r>
        <w:rPr>
          <w:rFonts w:ascii="Times New Roman" w:hAnsi="Times New Roman"/>
          <w:color w:val="000000" w:themeColor="text1"/>
        </w:rPr>
        <w:t xml:space="preserve">se </w:t>
      </w:r>
      <w:r w:rsidRPr="00260790">
        <w:rPr>
          <w:rFonts w:ascii="Times New Roman" w:hAnsi="Times New Roman"/>
          <w:color w:val="000000" w:themeColor="text1"/>
        </w:rPr>
        <w:t xml:space="preserve">sont déroulées </w:t>
      </w:r>
      <w:r w:rsidR="005A2448">
        <w:rPr>
          <w:rFonts w:ascii="Times New Roman" w:hAnsi="Times New Roman"/>
          <w:color w:val="000000" w:themeColor="text1"/>
        </w:rPr>
        <w:t>entre le</w:t>
      </w:r>
      <w:r w:rsidR="005A2448" w:rsidRPr="00260790">
        <w:rPr>
          <w:rFonts w:ascii="Times New Roman" w:hAnsi="Times New Roman"/>
          <w:color w:val="000000" w:themeColor="text1"/>
        </w:rPr>
        <w:t xml:space="preserve"> </w:t>
      </w:r>
      <w:r w:rsidRPr="00260790">
        <w:rPr>
          <w:rFonts w:ascii="Times New Roman" w:hAnsi="Times New Roman"/>
          <w:color w:val="000000" w:themeColor="text1"/>
        </w:rPr>
        <w:t xml:space="preserve">30 </w:t>
      </w:r>
      <w:r w:rsidR="005A2448">
        <w:rPr>
          <w:rFonts w:ascii="Times New Roman" w:hAnsi="Times New Roman"/>
          <w:color w:val="000000" w:themeColor="text1"/>
        </w:rPr>
        <w:t>septembre</w:t>
      </w:r>
      <w:r w:rsidR="005A2448" w:rsidRPr="00260790">
        <w:rPr>
          <w:rFonts w:ascii="Times New Roman" w:hAnsi="Times New Roman"/>
          <w:color w:val="000000" w:themeColor="text1"/>
        </w:rPr>
        <w:t xml:space="preserve"> </w:t>
      </w:r>
      <w:r w:rsidR="005A2448">
        <w:rPr>
          <w:rFonts w:ascii="Times New Roman" w:hAnsi="Times New Roman"/>
          <w:color w:val="000000" w:themeColor="text1"/>
        </w:rPr>
        <w:t>20</w:t>
      </w:r>
      <w:r w:rsidRPr="00260790">
        <w:rPr>
          <w:rFonts w:ascii="Times New Roman" w:hAnsi="Times New Roman"/>
          <w:color w:val="000000" w:themeColor="text1"/>
        </w:rPr>
        <w:t xml:space="preserve">24 </w:t>
      </w:r>
      <w:r w:rsidR="005A2448">
        <w:rPr>
          <w:rFonts w:ascii="Times New Roman" w:hAnsi="Times New Roman"/>
          <w:color w:val="000000" w:themeColor="text1"/>
        </w:rPr>
        <w:t>et le</w:t>
      </w:r>
      <w:r w:rsidR="005A2448" w:rsidRPr="00260790">
        <w:rPr>
          <w:rFonts w:ascii="Times New Roman" w:hAnsi="Times New Roman"/>
          <w:color w:val="000000" w:themeColor="text1"/>
        </w:rPr>
        <w:t xml:space="preserve"> </w:t>
      </w:r>
      <w:r w:rsidR="005A2448">
        <w:rPr>
          <w:rFonts w:ascii="Times New Roman" w:hAnsi="Times New Roman"/>
          <w:color w:val="000000" w:themeColor="text1"/>
        </w:rPr>
        <w:t>22</w:t>
      </w:r>
      <w:r w:rsidRPr="00260790">
        <w:rPr>
          <w:rFonts w:ascii="Times New Roman" w:hAnsi="Times New Roman"/>
          <w:color w:val="000000" w:themeColor="text1"/>
        </w:rPr>
        <w:t xml:space="preserve"> </w:t>
      </w:r>
      <w:r w:rsidR="005A2448">
        <w:rPr>
          <w:rFonts w:ascii="Times New Roman" w:hAnsi="Times New Roman"/>
          <w:color w:val="000000" w:themeColor="text1"/>
        </w:rPr>
        <w:t>mai</w:t>
      </w:r>
      <w:r w:rsidR="005A2448" w:rsidRPr="00260790">
        <w:rPr>
          <w:rFonts w:ascii="Times New Roman" w:hAnsi="Times New Roman"/>
          <w:color w:val="000000" w:themeColor="text1"/>
        </w:rPr>
        <w:t xml:space="preserve"> </w:t>
      </w:r>
      <w:r w:rsidRPr="00260790">
        <w:rPr>
          <w:rFonts w:ascii="Times New Roman" w:hAnsi="Times New Roman"/>
          <w:color w:val="000000" w:themeColor="text1"/>
        </w:rPr>
        <w:t>2025</w:t>
      </w:r>
      <w:r>
        <w:rPr>
          <w:rFonts w:ascii="Times New Roman" w:hAnsi="Times New Roman"/>
          <w:color w:val="000000" w:themeColor="text1"/>
        </w:rPr>
        <w:t>, et ont concerné les Populations des quartiers impactés, les collectivités territoriales (Communes)</w:t>
      </w:r>
      <w:r w:rsidRPr="00260790">
        <w:rPr>
          <w:rFonts w:ascii="Times New Roman" w:hAnsi="Times New Roman"/>
          <w:color w:val="000000" w:themeColor="text1"/>
        </w:rPr>
        <w:t xml:space="preserve">, </w:t>
      </w:r>
      <w:r>
        <w:rPr>
          <w:rFonts w:ascii="Times New Roman" w:hAnsi="Times New Roman"/>
          <w:color w:val="000000" w:themeColor="text1"/>
        </w:rPr>
        <w:t xml:space="preserve">les autorités administratives, </w:t>
      </w:r>
      <w:r w:rsidRPr="00260790">
        <w:rPr>
          <w:rFonts w:ascii="Times New Roman" w:hAnsi="Times New Roman"/>
          <w:color w:val="000000" w:themeColor="text1"/>
        </w:rPr>
        <w:t xml:space="preserve">les services techniques </w:t>
      </w:r>
      <w:r>
        <w:rPr>
          <w:rFonts w:ascii="Times New Roman" w:hAnsi="Times New Roman"/>
          <w:color w:val="000000" w:themeColor="text1"/>
        </w:rPr>
        <w:t xml:space="preserve">compétents, les concessionnaires de réseaux divers, </w:t>
      </w:r>
      <w:r w:rsidRPr="00260790">
        <w:rPr>
          <w:rFonts w:ascii="Times New Roman" w:hAnsi="Times New Roman"/>
          <w:color w:val="000000" w:themeColor="text1"/>
        </w:rPr>
        <w:t xml:space="preserve">les </w:t>
      </w:r>
      <w:r>
        <w:rPr>
          <w:rFonts w:ascii="Times New Roman" w:hAnsi="Times New Roman"/>
          <w:color w:val="000000" w:themeColor="text1"/>
        </w:rPr>
        <w:t>organisations socioprofessionnelles (</w:t>
      </w:r>
      <w:r w:rsidRPr="00260790">
        <w:rPr>
          <w:rFonts w:ascii="Times New Roman" w:hAnsi="Times New Roman"/>
          <w:color w:val="000000" w:themeColor="text1"/>
        </w:rPr>
        <w:t xml:space="preserve">maraichers de la forêt classée de Mbao, </w:t>
      </w:r>
      <w:r>
        <w:rPr>
          <w:rFonts w:ascii="Times New Roman" w:hAnsi="Times New Roman"/>
          <w:color w:val="000000" w:themeColor="text1"/>
        </w:rPr>
        <w:t xml:space="preserve">pêcheurs de Mbao, femmes transformatrices des produits de pêche à Mbao, </w:t>
      </w:r>
      <w:r w:rsidRPr="00260790">
        <w:rPr>
          <w:rFonts w:ascii="Times New Roman" w:hAnsi="Times New Roman"/>
          <w:color w:val="000000" w:themeColor="text1"/>
        </w:rPr>
        <w:t>etc.).</w:t>
      </w:r>
    </w:p>
    <w:p w14:paraId="33E479B5" w14:textId="51173663" w:rsidR="00EE432D" w:rsidRPr="001108C4" w:rsidRDefault="005A2448" w:rsidP="00316991">
      <w:pPr>
        <w:spacing w:line="240" w:lineRule="auto"/>
        <w:jc w:val="both"/>
        <w:rPr>
          <w:rFonts w:ascii="Times New Roman" w:hAnsi="Times New Roman"/>
          <w:b/>
          <w:bCs/>
          <w:color w:val="000000" w:themeColor="text1"/>
        </w:rPr>
      </w:pPr>
      <w:r w:rsidRPr="001108C4">
        <w:rPr>
          <w:rFonts w:ascii="Times New Roman" w:hAnsi="Times New Roman"/>
          <w:b/>
          <w:bCs/>
          <w:color w:val="000000" w:themeColor="text1"/>
        </w:rPr>
        <w:t>Analyse des variantes</w:t>
      </w:r>
    </w:p>
    <w:p w14:paraId="49584441" w14:textId="6B5CE8CF" w:rsidR="00EE432D" w:rsidRPr="005E40DB" w:rsidRDefault="00EE432D" w:rsidP="00EE432D">
      <w:pPr>
        <w:jc w:val="both"/>
        <w:rPr>
          <w:rFonts w:ascii="Times New Roman" w:hAnsi="Times New Roman"/>
          <w:b/>
          <w:bCs/>
        </w:rPr>
      </w:pPr>
      <w:r w:rsidRPr="005E40DB">
        <w:rPr>
          <w:rFonts w:ascii="Times New Roman" w:eastAsia="Times New Roman" w:hAnsi="Times New Roman"/>
          <w:noProof/>
          <w:lang w:val="fr-SN"/>
        </w:rPr>
        <w:t xml:space="preserve">L'analyse des variantes se résume par une comparaison entre la situation "sans projet" et la situation "avec projet", ainsi que les différentes options au sein de la situation "avec projet". Ces options se concentrent principalement sur le choix du site pour la plateforme départementale et la sélection des filières prioritaires. Cette analyse vise à évaluer les avantages et les inconvénients en fonction des contraintes environnementales et socio-économiques, tout en prenant en considération la conception et la technologie qui seront mises en œuvre </w:t>
      </w:r>
      <w:r>
        <w:rPr>
          <w:rFonts w:ascii="Times New Roman" w:eastAsia="Times New Roman" w:hAnsi="Times New Roman"/>
          <w:noProof/>
          <w:lang w:val="fr-SN"/>
        </w:rPr>
        <w:t>du projet.</w:t>
      </w:r>
    </w:p>
    <w:p w14:paraId="57FF78AD" w14:textId="5F1DEF44" w:rsidR="00316991" w:rsidRPr="00260790" w:rsidRDefault="00316991" w:rsidP="00316991">
      <w:pPr>
        <w:spacing w:line="240" w:lineRule="auto"/>
        <w:jc w:val="both"/>
        <w:rPr>
          <w:rFonts w:ascii="Times New Roman" w:hAnsi="Times New Roman"/>
          <w:color w:val="000000" w:themeColor="text1"/>
        </w:rPr>
      </w:pPr>
      <w:r w:rsidRPr="00260790">
        <w:rPr>
          <w:rFonts w:ascii="Times New Roman" w:hAnsi="Times New Roman"/>
          <w:color w:val="000000" w:themeColor="text1"/>
        </w:rPr>
        <w:t>L’option « Avec Projet » est vivement recommandée. Malgré les impacts négatifs enregistrés, elle présente des atouts majeurs pour le développement environnemental, social et économique dans la zone du projet. Les impacts négatifs enregistrés seront pris en compte</w:t>
      </w:r>
      <w:r w:rsidRPr="00260790">
        <w:rPr>
          <w:rFonts w:ascii="Times New Roman" w:hAnsi="Times New Roman"/>
          <w:color w:val="000000" w:themeColor="text1"/>
          <w:lang w:bidi="en-US"/>
        </w:rPr>
        <w:t xml:space="preserve"> </w:t>
      </w:r>
      <w:r w:rsidRPr="00260790">
        <w:rPr>
          <w:rFonts w:ascii="Times New Roman" w:hAnsi="Times New Roman"/>
          <w:color w:val="000000" w:themeColor="text1"/>
        </w:rPr>
        <w:t xml:space="preserve">dans le Plan de Gestion Environnementale et Sociale (PGES). </w:t>
      </w:r>
    </w:p>
    <w:p w14:paraId="7EC57011" w14:textId="77777777" w:rsidR="00316991" w:rsidRPr="00260790" w:rsidRDefault="00316991" w:rsidP="001108C4">
      <w:pPr>
        <w:spacing w:line="240" w:lineRule="auto"/>
        <w:jc w:val="both"/>
        <w:rPr>
          <w:rFonts w:ascii="Times New Roman" w:hAnsi="Times New Roman"/>
          <w:b/>
          <w:bCs/>
        </w:rPr>
      </w:pPr>
      <w:r w:rsidRPr="00260790">
        <w:rPr>
          <w:rFonts w:ascii="Times New Roman" w:hAnsi="Times New Roman"/>
          <w:b/>
          <w:bCs/>
        </w:rPr>
        <w:t>Analyse descriptive des variantes</w:t>
      </w:r>
    </w:p>
    <w:p w14:paraId="7769399A" w14:textId="77777777" w:rsidR="00316991" w:rsidRPr="00260790" w:rsidRDefault="00316991" w:rsidP="00316991">
      <w:pPr>
        <w:spacing w:line="240" w:lineRule="auto"/>
        <w:rPr>
          <w:rFonts w:ascii="Times New Roman" w:hAnsi="Times New Roman"/>
          <w:color w:val="000000" w:themeColor="text1"/>
        </w:rPr>
      </w:pPr>
      <w:r w:rsidRPr="00260790">
        <w:rPr>
          <w:rFonts w:ascii="Times New Roman" w:hAnsi="Times New Roman"/>
          <w:color w:val="000000" w:themeColor="text1"/>
        </w:rPr>
        <w:t>Le projet présente des variantes techniques et des variantes du tracé du réseau de collecteurs.</w:t>
      </w:r>
    </w:p>
    <w:p w14:paraId="1AD3CBD9" w14:textId="77777777" w:rsidR="00316991" w:rsidRPr="00260790" w:rsidRDefault="00316991" w:rsidP="001108C4">
      <w:pPr>
        <w:spacing w:line="240" w:lineRule="auto"/>
        <w:jc w:val="both"/>
        <w:rPr>
          <w:rFonts w:ascii="Times New Roman" w:hAnsi="Times New Roman"/>
          <w:b/>
          <w:bCs/>
          <w:color w:val="000000" w:themeColor="text1"/>
        </w:rPr>
      </w:pPr>
      <w:r w:rsidRPr="00260790">
        <w:rPr>
          <w:rFonts w:ascii="Times New Roman" w:hAnsi="Times New Roman"/>
          <w:b/>
          <w:bCs/>
          <w:color w:val="000000" w:themeColor="text1"/>
        </w:rPr>
        <w:t>Variantes techniques</w:t>
      </w:r>
    </w:p>
    <w:p w14:paraId="052E7F3C" w14:textId="77777777" w:rsidR="00316991" w:rsidRDefault="00316991" w:rsidP="00316991">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Afin de mettre en œuvre un système d’assainissement pluvial plus adéquat au cadre de vie de la population des </w:t>
      </w:r>
      <w:r>
        <w:rPr>
          <w:rFonts w:ascii="Times New Roman" w:hAnsi="Times New Roman"/>
          <w:color w:val="000000" w:themeColor="text1"/>
        </w:rPr>
        <w:t>C</w:t>
      </w:r>
      <w:r w:rsidRPr="00260790">
        <w:rPr>
          <w:rFonts w:ascii="Times New Roman" w:hAnsi="Times New Roman"/>
          <w:color w:val="000000" w:themeColor="text1"/>
        </w:rPr>
        <w:t xml:space="preserve">ommunes de Keur Massar Sud, </w:t>
      </w:r>
      <w:proofErr w:type="spellStart"/>
      <w:r w:rsidRPr="00260790">
        <w:rPr>
          <w:rFonts w:ascii="Times New Roman" w:hAnsi="Times New Roman"/>
          <w:color w:val="000000" w:themeColor="text1"/>
        </w:rPr>
        <w:t>Jaxaay</w:t>
      </w:r>
      <w:proofErr w:type="spellEnd"/>
      <w:r w:rsidRPr="00260790">
        <w:rPr>
          <w:rFonts w:ascii="Times New Roman" w:hAnsi="Times New Roman"/>
          <w:color w:val="000000" w:themeColor="text1"/>
        </w:rPr>
        <w:t>, Mbao et Rufisque Ouest, le projet présente deux variantes techniques de collecte des eaux pluviales. Il s’agit de la mise en place d’un réseau de drainage gravitaire ou un drainage avec stations de pompage.</w:t>
      </w:r>
    </w:p>
    <w:p w14:paraId="48C98A88" w14:textId="736F0562" w:rsidR="00316991" w:rsidRPr="001108C4" w:rsidRDefault="00316991" w:rsidP="001108C4">
      <w:pPr>
        <w:spacing w:line="240" w:lineRule="auto"/>
        <w:jc w:val="both"/>
        <w:rPr>
          <w:rFonts w:ascii="Times New Roman" w:hAnsi="Times New Roman"/>
          <w:color w:val="000000" w:themeColor="text1"/>
        </w:rPr>
      </w:pPr>
      <w:r w:rsidRPr="00260790">
        <w:rPr>
          <w:rFonts w:ascii="Times New Roman" w:hAnsi="Times New Roman"/>
          <w:b/>
          <w:bCs/>
          <w:color w:val="000000" w:themeColor="text1"/>
        </w:rPr>
        <w:t>Système de drainage gravitaire</w:t>
      </w:r>
    </w:p>
    <w:p w14:paraId="4D7EEBBC" w14:textId="62D09D4E" w:rsidR="00316991" w:rsidRPr="00260790" w:rsidRDefault="00316991" w:rsidP="001108C4">
      <w:pPr>
        <w:spacing w:line="240" w:lineRule="auto"/>
        <w:jc w:val="both"/>
        <w:rPr>
          <w:rFonts w:ascii="Times New Roman" w:hAnsi="Times New Roman"/>
          <w:color w:val="000000" w:themeColor="text1"/>
        </w:rPr>
      </w:pPr>
      <w:r w:rsidRPr="00260790">
        <w:rPr>
          <w:rFonts w:ascii="Times New Roman" w:hAnsi="Times New Roman"/>
          <w:color w:val="000000" w:themeColor="text1"/>
        </w:rPr>
        <w:t>Les collecteurs sont établis à travers un réseau de drainage gravitaire. Par définition, un réseau est dit gravitaire lorsque les effluents circulent de haut en bas grâce à la pente de la canalisation et sous l'effet de la gravité pour assurer l’évacuation de l’ensemble des eaux pluviales et leur rejet dans les exutoires naturels. Les collecteurs, ainsi établis, procureront des avantages et des inconvénients aussi bien pour l’environnement, le social et l’économie.</w:t>
      </w:r>
    </w:p>
    <w:p w14:paraId="192676AC" w14:textId="77777777" w:rsidR="00316991" w:rsidRPr="00260790" w:rsidRDefault="00316991" w:rsidP="00316991">
      <w:pPr>
        <w:numPr>
          <w:ilvl w:val="3"/>
          <w:numId w:val="0"/>
        </w:numPr>
        <w:spacing w:line="240" w:lineRule="auto"/>
        <w:ind w:left="720" w:hanging="720"/>
        <w:rPr>
          <w:rFonts w:ascii="Times New Roman" w:hAnsi="Times New Roman"/>
          <w:b/>
          <w:bCs/>
          <w:color w:val="000000" w:themeColor="text1"/>
        </w:rPr>
      </w:pPr>
      <w:r w:rsidRPr="00260790">
        <w:rPr>
          <w:rFonts w:ascii="Times New Roman" w:hAnsi="Times New Roman"/>
          <w:b/>
          <w:bCs/>
          <w:color w:val="000000" w:themeColor="text1"/>
        </w:rPr>
        <w:t>Système de drainage avec des stations de pompage</w:t>
      </w:r>
    </w:p>
    <w:p w14:paraId="73A3631F" w14:textId="77777777" w:rsidR="00316991" w:rsidRPr="00260790" w:rsidRDefault="00316991" w:rsidP="00316991">
      <w:pPr>
        <w:spacing w:line="240" w:lineRule="auto"/>
        <w:jc w:val="both"/>
        <w:rPr>
          <w:rFonts w:ascii="Times New Roman" w:hAnsi="Times New Roman"/>
          <w:bCs/>
          <w:color w:val="000000" w:themeColor="text1"/>
        </w:rPr>
      </w:pPr>
      <w:r w:rsidRPr="00260790">
        <w:rPr>
          <w:rFonts w:ascii="Times New Roman" w:hAnsi="Times New Roman"/>
          <w:bCs/>
          <w:color w:val="000000" w:themeColor="text1"/>
        </w:rPr>
        <w:t xml:space="preserve">Afin de favoriser un drainage rapide et efficient des eaux pluviales, chaque bassin de rétention doit être doté d’une station de pompage. Ces stations de pompage auront des effets positifs et des effets négatifs. </w:t>
      </w:r>
    </w:p>
    <w:p w14:paraId="38877751" w14:textId="77777777" w:rsidR="00316991" w:rsidRPr="00260790" w:rsidRDefault="00316991" w:rsidP="00316991">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L’option du réseau de drainage avec des stations de pompage s’avère très coûteuse en termes d’investissements et d’exploitation et de fonctionnement, et occasionne des nuisances liées à la complexité de l’entretien et de la maintenance des ouvrages, ce qui pose un problème de leur durabilité et de leur renouvellement. En revanche, le système gravitaire (aménagement de bassins avec réseaux de canalisation) offre plus d’avantages comparatifs sur le plan des coûts d’investissement et d’exploitation. </w:t>
      </w:r>
    </w:p>
    <w:p w14:paraId="3FF9247C" w14:textId="77777777" w:rsidR="00316991" w:rsidRPr="00260790" w:rsidRDefault="00316991" w:rsidP="00316991">
      <w:pPr>
        <w:spacing w:line="240" w:lineRule="auto"/>
        <w:jc w:val="both"/>
        <w:rPr>
          <w:rFonts w:ascii="Times New Roman" w:hAnsi="Times New Roman"/>
          <w:color w:val="000000" w:themeColor="text1"/>
        </w:rPr>
      </w:pPr>
      <w:r w:rsidRPr="00260790">
        <w:rPr>
          <w:rFonts w:ascii="Times New Roman" w:hAnsi="Times New Roman"/>
          <w:color w:val="000000" w:themeColor="text1"/>
        </w:rPr>
        <w:t>Ainsi, la mise en œuvre du projet avec un système de drainage gravitaire constitue l’option à privilégier, car il permettra d’assurer l’acceptabilité sociale du projet grâce au volet aménagements urbains (voiries, PIC, etc.) qui l’accompagne.</w:t>
      </w:r>
    </w:p>
    <w:p w14:paraId="53F97C84" w14:textId="77777777" w:rsidR="00316991" w:rsidRDefault="00316991" w:rsidP="00316991">
      <w:pPr>
        <w:spacing w:line="240" w:lineRule="auto"/>
        <w:jc w:val="both"/>
        <w:rPr>
          <w:rFonts w:ascii="Times New Roman" w:hAnsi="Times New Roman"/>
          <w:color w:val="000000" w:themeColor="text1"/>
        </w:rPr>
      </w:pPr>
      <w:r w:rsidRPr="00260790">
        <w:rPr>
          <w:rFonts w:ascii="Times New Roman" w:hAnsi="Times New Roman"/>
          <w:color w:val="000000" w:themeColor="text1"/>
        </w:rPr>
        <w:t>Par rapport aux impacts négatifs de cette alternative, des mesures appropriées sont proposées pour les atténuer et bonifier les impacts positifs du projet.</w:t>
      </w:r>
    </w:p>
    <w:p w14:paraId="16D8280E" w14:textId="77777777" w:rsidR="00353499" w:rsidRDefault="00353499" w:rsidP="00316991">
      <w:pPr>
        <w:spacing w:line="240" w:lineRule="auto"/>
        <w:jc w:val="both"/>
        <w:rPr>
          <w:rFonts w:ascii="Times New Roman" w:hAnsi="Times New Roman"/>
          <w:color w:val="000000" w:themeColor="text1"/>
        </w:rPr>
      </w:pPr>
    </w:p>
    <w:p w14:paraId="7FA522FF" w14:textId="77777777" w:rsidR="00353499" w:rsidRPr="00260790" w:rsidRDefault="00353499" w:rsidP="00316991">
      <w:pPr>
        <w:spacing w:line="240" w:lineRule="auto"/>
        <w:jc w:val="both"/>
        <w:rPr>
          <w:rFonts w:ascii="Times New Roman" w:hAnsi="Times New Roman"/>
          <w:color w:val="000000" w:themeColor="text1"/>
        </w:rPr>
      </w:pPr>
    </w:p>
    <w:p w14:paraId="252ABB22" w14:textId="77777777" w:rsidR="00316991" w:rsidRPr="00260790" w:rsidRDefault="00316991" w:rsidP="001108C4">
      <w:pPr>
        <w:numPr>
          <w:ilvl w:val="3"/>
          <w:numId w:val="0"/>
        </w:numPr>
        <w:spacing w:line="240" w:lineRule="auto"/>
        <w:rPr>
          <w:rFonts w:ascii="Times New Roman" w:hAnsi="Times New Roman"/>
          <w:b/>
          <w:bCs/>
          <w:color w:val="000000" w:themeColor="text1"/>
        </w:rPr>
      </w:pPr>
      <w:r w:rsidRPr="00260790">
        <w:rPr>
          <w:rFonts w:ascii="Times New Roman" w:hAnsi="Times New Roman"/>
          <w:b/>
          <w:bCs/>
          <w:color w:val="000000" w:themeColor="text1"/>
        </w:rPr>
        <w:lastRenderedPageBreak/>
        <w:t>Les variantes du réseau de collecteurs</w:t>
      </w:r>
    </w:p>
    <w:p w14:paraId="551080CC" w14:textId="2E58002E" w:rsidR="00316991" w:rsidRPr="001108C4" w:rsidRDefault="00316991" w:rsidP="001108C4">
      <w:pPr>
        <w:spacing w:line="240" w:lineRule="auto"/>
        <w:jc w:val="both"/>
        <w:rPr>
          <w:rFonts w:ascii="Times New Roman" w:hAnsi="Times New Roman"/>
          <w:color w:val="000000" w:themeColor="text1"/>
        </w:rPr>
      </w:pPr>
      <w:r w:rsidRPr="00260790">
        <w:rPr>
          <w:rFonts w:ascii="Times New Roman" w:hAnsi="Times New Roman"/>
          <w:color w:val="000000" w:themeColor="text1"/>
        </w:rPr>
        <w:t>Pour favoriser un drainage efficient, deux variantes du réseau de collecteurs sont proposées. Ces variantes sont présentées sur la carte ci-dessous.</w:t>
      </w:r>
    </w:p>
    <w:p w14:paraId="0619C0C1" w14:textId="21D57142" w:rsidR="00316991" w:rsidRPr="00260790" w:rsidRDefault="00316991" w:rsidP="001108C4">
      <w:pPr>
        <w:spacing w:line="240" w:lineRule="auto"/>
        <w:jc w:val="both"/>
        <w:rPr>
          <w:rFonts w:ascii="Times New Roman" w:hAnsi="Times New Roman"/>
          <w:color w:val="000000" w:themeColor="text1"/>
        </w:rPr>
      </w:pPr>
      <w:r w:rsidRPr="00260790">
        <w:rPr>
          <w:rFonts w:ascii="Times New Roman" w:hAnsi="Times New Roman"/>
          <w:color w:val="000000" w:themeColor="text1"/>
        </w:rPr>
        <w:t>Dans l’optique de la mise en œuvre du projet, nous avons jugé nécessaire d’analyser ces deux variantes afin de déterminer le choix le plus approprié. Pour ce faire, une comparaison des contraintes selon des critères socio-environnementaux et technico-économiques est présentée dans le tableau ci-dessous.</w:t>
      </w:r>
    </w:p>
    <w:p w14:paraId="25045148" w14:textId="77777777" w:rsidR="00316991" w:rsidRPr="00260790" w:rsidRDefault="00316991" w:rsidP="00316991">
      <w:pPr>
        <w:spacing w:line="240" w:lineRule="auto"/>
        <w:rPr>
          <w:rFonts w:ascii="Times New Roman" w:hAnsi="Times New Roman"/>
          <w:color w:val="000000" w:themeColor="text1"/>
        </w:rPr>
      </w:pPr>
      <w:r w:rsidRPr="00260790">
        <w:rPr>
          <w:rFonts w:ascii="Times New Roman" w:hAnsi="Times New Roman"/>
          <w:color w:val="000000" w:themeColor="text1"/>
        </w:rPr>
        <w:t>L’analyse comparée des deux variantes montre :</w:t>
      </w:r>
    </w:p>
    <w:p w14:paraId="31AEEE3B" w14:textId="77777777" w:rsidR="00316991" w:rsidRPr="00260790" w:rsidRDefault="00316991" w:rsidP="00316991">
      <w:pPr>
        <w:numPr>
          <w:ilvl w:val="0"/>
          <w:numId w:val="138"/>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 </w:t>
      </w:r>
      <w:r w:rsidRPr="00260790">
        <w:rPr>
          <w:rFonts w:ascii="Times New Roman" w:hAnsi="Times New Roman"/>
          <w:b/>
          <w:bCs/>
          <w:color w:val="000000" w:themeColor="text1"/>
        </w:rPr>
        <w:t>variante</w:t>
      </w:r>
      <w:r w:rsidRPr="00260790">
        <w:rPr>
          <w:rFonts w:ascii="Times New Roman" w:hAnsi="Times New Roman"/>
          <w:color w:val="000000" w:themeColor="text1"/>
        </w:rPr>
        <w:t xml:space="preserve"> </w:t>
      </w:r>
      <w:r w:rsidRPr="00260790">
        <w:rPr>
          <w:rFonts w:ascii="Times New Roman" w:hAnsi="Times New Roman"/>
          <w:b/>
          <w:bCs/>
          <w:color w:val="000000" w:themeColor="text1"/>
        </w:rPr>
        <w:t xml:space="preserve">1 </w:t>
      </w:r>
      <w:r w:rsidRPr="00260790">
        <w:rPr>
          <w:rFonts w:ascii="Times New Roman" w:hAnsi="Times New Roman"/>
          <w:color w:val="000000" w:themeColor="text1"/>
        </w:rPr>
        <w:t>(596,17 m de long) présente des coûts de construction moindre par rapport à la variante 2. Mais les risques d’accidents et de pertes d’arbres y sont plus élevés.</w:t>
      </w:r>
    </w:p>
    <w:p w14:paraId="1EF61451" w14:textId="77777777" w:rsidR="00316991" w:rsidRPr="00260790" w:rsidRDefault="00316991" w:rsidP="00316991">
      <w:pPr>
        <w:numPr>
          <w:ilvl w:val="0"/>
          <w:numId w:val="138"/>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 </w:t>
      </w:r>
      <w:r w:rsidRPr="00260790">
        <w:rPr>
          <w:rFonts w:ascii="Times New Roman" w:hAnsi="Times New Roman"/>
          <w:b/>
          <w:bCs/>
          <w:color w:val="000000" w:themeColor="text1"/>
        </w:rPr>
        <w:t xml:space="preserve">variante 2 </w:t>
      </w:r>
      <w:r w:rsidRPr="00260790">
        <w:rPr>
          <w:rFonts w:ascii="Times New Roman" w:hAnsi="Times New Roman"/>
          <w:color w:val="000000" w:themeColor="text1"/>
        </w:rPr>
        <w:t xml:space="preserve">(1767,55 m de long), présente moins </w:t>
      </w:r>
      <w:r>
        <w:rPr>
          <w:rFonts w:ascii="Times New Roman" w:hAnsi="Times New Roman"/>
          <w:color w:val="000000" w:themeColor="text1"/>
        </w:rPr>
        <w:t xml:space="preserve">d’impacts socio-économiques sur les biens et actifs des populations et sur les équipements sociaux communautaires, moins </w:t>
      </w:r>
      <w:r w:rsidRPr="00260790">
        <w:rPr>
          <w:rFonts w:ascii="Times New Roman" w:hAnsi="Times New Roman"/>
          <w:color w:val="000000" w:themeColor="text1"/>
        </w:rPr>
        <w:t xml:space="preserve">de risques d’accident dans l’emprise, de difficultés techniques de mise en œuvre, de risque de dégradation de l’ouvrage et offre plus de facilité d’entretien. </w:t>
      </w:r>
    </w:p>
    <w:p w14:paraId="148274F8" w14:textId="653F713C" w:rsidR="00316991" w:rsidRPr="0097258B" w:rsidRDefault="00316991" w:rsidP="0097258B">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deux variantes présentent, toutes, des avantages et inconvénients sur les plans socio-environnementaux et technico-économiques. Cependant, la </w:t>
      </w:r>
      <w:r w:rsidRPr="00260790">
        <w:rPr>
          <w:rFonts w:ascii="Times New Roman" w:hAnsi="Times New Roman"/>
          <w:b/>
          <w:bCs/>
          <w:color w:val="000000" w:themeColor="text1"/>
        </w:rPr>
        <w:t>variante 2</w:t>
      </w:r>
      <w:r w:rsidRPr="00260790">
        <w:rPr>
          <w:rFonts w:ascii="Times New Roman" w:hAnsi="Times New Roman"/>
          <w:color w:val="000000" w:themeColor="text1"/>
        </w:rPr>
        <w:t xml:space="preserve"> est vivement recommandée.</w:t>
      </w:r>
    </w:p>
    <w:p w14:paraId="4147B174" w14:textId="1D6D03EE" w:rsidR="00C220D3" w:rsidRPr="008A50C4" w:rsidRDefault="002E3E00" w:rsidP="008A50C4">
      <w:pPr>
        <w:rPr>
          <w:rFonts w:ascii="Times New Roman" w:hAnsi="Times New Roman"/>
          <w:b/>
          <w:bCs/>
        </w:rPr>
      </w:pPr>
      <w:r w:rsidRPr="008A50C4">
        <w:rPr>
          <w:rFonts w:ascii="Times New Roman" w:hAnsi="Times New Roman"/>
          <w:b/>
          <w:bCs/>
        </w:rPr>
        <w:t>Impacts et r</w:t>
      </w:r>
      <w:r w:rsidR="00C220D3" w:rsidRPr="008A50C4">
        <w:rPr>
          <w:rFonts w:ascii="Times New Roman" w:hAnsi="Times New Roman"/>
          <w:b/>
          <w:bCs/>
        </w:rPr>
        <w:t xml:space="preserve">isques </w:t>
      </w:r>
      <w:r w:rsidR="00A010EF" w:rsidRPr="008A50C4">
        <w:rPr>
          <w:rFonts w:ascii="Times New Roman" w:hAnsi="Times New Roman"/>
          <w:b/>
          <w:bCs/>
        </w:rPr>
        <w:t>e</w:t>
      </w:r>
      <w:r w:rsidR="00C220D3" w:rsidRPr="008A50C4">
        <w:rPr>
          <w:rFonts w:ascii="Times New Roman" w:hAnsi="Times New Roman"/>
          <w:b/>
          <w:bCs/>
        </w:rPr>
        <w:t xml:space="preserve">nvironnementaux et </w:t>
      </w:r>
      <w:r w:rsidR="00A010EF" w:rsidRPr="008A50C4">
        <w:rPr>
          <w:rFonts w:ascii="Times New Roman" w:hAnsi="Times New Roman"/>
          <w:b/>
          <w:bCs/>
        </w:rPr>
        <w:t>s</w:t>
      </w:r>
      <w:r w:rsidR="00C220D3" w:rsidRPr="008A50C4">
        <w:rPr>
          <w:rFonts w:ascii="Times New Roman" w:hAnsi="Times New Roman"/>
          <w:b/>
          <w:bCs/>
        </w:rPr>
        <w:t>ociaux</w:t>
      </w:r>
      <w:r w:rsidR="00A4683B" w:rsidRPr="008A50C4">
        <w:rPr>
          <w:rFonts w:ascii="Times New Roman" w:hAnsi="Times New Roman"/>
          <w:b/>
          <w:bCs/>
        </w:rPr>
        <w:t xml:space="preserve"> majeurs</w:t>
      </w:r>
    </w:p>
    <w:p w14:paraId="766F8E72" w14:textId="4737467D" w:rsidR="00C220D3" w:rsidRPr="008A50C4" w:rsidRDefault="009854CD" w:rsidP="008A50C4">
      <w:pPr>
        <w:rPr>
          <w:rFonts w:ascii="Times New Roman" w:hAnsi="Times New Roman"/>
          <w:b/>
          <w:bCs/>
          <w:i/>
          <w:iCs/>
        </w:rPr>
      </w:pPr>
      <w:r w:rsidRPr="008A50C4">
        <w:rPr>
          <w:rFonts w:ascii="Times New Roman" w:hAnsi="Times New Roman"/>
          <w:b/>
          <w:bCs/>
          <w:i/>
          <w:iCs/>
        </w:rPr>
        <w:t>Impacts et risques e</w:t>
      </w:r>
      <w:r w:rsidR="00C220D3" w:rsidRPr="008A50C4">
        <w:rPr>
          <w:rFonts w:ascii="Times New Roman" w:hAnsi="Times New Roman"/>
          <w:b/>
          <w:bCs/>
          <w:i/>
          <w:iCs/>
        </w:rPr>
        <w:t>nvironnementaux</w:t>
      </w:r>
    </w:p>
    <w:p w14:paraId="3647FAA1" w14:textId="77777777" w:rsidR="00696E19" w:rsidRDefault="00C220D3" w:rsidP="00696E19">
      <w:pPr>
        <w:numPr>
          <w:ilvl w:val="0"/>
          <w:numId w:val="13"/>
        </w:numPr>
        <w:autoSpaceDE w:val="0"/>
        <w:autoSpaceDN w:val="0"/>
        <w:adjustRightInd w:val="0"/>
        <w:spacing w:after="0" w:line="240" w:lineRule="auto"/>
        <w:ind w:left="189" w:hanging="171"/>
        <w:rPr>
          <w:rFonts w:ascii="Times New Roman" w:hAnsi="Times New Roman"/>
        </w:rPr>
      </w:pPr>
      <w:r w:rsidRPr="00277EF3">
        <w:rPr>
          <w:rFonts w:ascii="Times New Roman" w:hAnsi="Times New Roman"/>
        </w:rPr>
        <w:t xml:space="preserve">Pollution du marigot de Mbao par les eaux usées, </w:t>
      </w:r>
      <w:r w:rsidR="00C838D5">
        <w:rPr>
          <w:rFonts w:ascii="Times New Roman" w:hAnsi="Times New Roman"/>
        </w:rPr>
        <w:t>produits d’entretien</w:t>
      </w:r>
      <w:r w:rsidRPr="00277EF3">
        <w:rPr>
          <w:rFonts w:ascii="Times New Roman" w:hAnsi="Times New Roman"/>
        </w:rPr>
        <w:t xml:space="preserve"> et branchements clandestins</w:t>
      </w:r>
      <w:r w:rsidR="00696E19">
        <w:rPr>
          <w:rFonts w:ascii="Times New Roman" w:hAnsi="Times New Roman"/>
        </w:rPr>
        <w:t> ;</w:t>
      </w:r>
    </w:p>
    <w:p w14:paraId="26966FEA" w14:textId="77777777" w:rsidR="00696E19" w:rsidRDefault="00C220D3" w:rsidP="00696E19">
      <w:pPr>
        <w:numPr>
          <w:ilvl w:val="0"/>
          <w:numId w:val="13"/>
        </w:numPr>
        <w:autoSpaceDE w:val="0"/>
        <w:autoSpaceDN w:val="0"/>
        <w:adjustRightInd w:val="0"/>
        <w:spacing w:after="0" w:line="240" w:lineRule="auto"/>
        <w:ind w:left="189" w:hanging="171"/>
        <w:rPr>
          <w:rFonts w:ascii="Times New Roman" w:hAnsi="Times New Roman"/>
        </w:rPr>
      </w:pPr>
      <w:r w:rsidRPr="00277EF3">
        <w:rPr>
          <w:rFonts w:ascii="Times New Roman" w:hAnsi="Times New Roman"/>
        </w:rPr>
        <w:t>Dégradation de la qualité de l’eau dans les bassins et l’exutoire</w:t>
      </w:r>
      <w:r w:rsidR="00696E19">
        <w:rPr>
          <w:rFonts w:ascii="Times New Roman" w:hAnsi="Times New Roman"/>
        </w:rPr>
        <w:t> ;</w:t>
      </w:r>
    </w:p>
    <w:p w14:paraId="353D2C94" w14:textId="77777777" w:rsidR="00696E19" w:rsidRDefault="00C220D3" w:rsidP="00696E19">
      <w:pPr>
        <w:numPr>
          <w:ilvl w:val="0"/>
          <w:numId w:val="13"/>
        </w:numPr>
        <w:autoSpaceDE w:val="0"/>
        <w:autoSpaceDN w:val="0"/>
        <w:adjustRightInd w:val="0"/>
        <w:spacing w:after="0" w:line="240" w:lineRule="auto"/>
        <w:ind w:left="189" w:hanging="171"/>
        <w:rPr>
          <w:rFonts w:ascii="Times New Roman" w:hAnsi="Times New Roman"/>
        </w:rPr>
      </w:pPr>
      <w:r w:rsidRPr="00277EF3">
        <w:rPr>
          <w:rFonts w:ascii="Times New Roman" w:hAnsi="Times New Roman"/>
        </w:rPr>
        <w:t>Perte de biodiversité (faune, flore, habitats)</w:t>
      </w:r>
      <w:r w:rsidR="00696E19">
        <w:rPr>
          <w:rFonts w:ascii="Times New Roman" w:hAnsi="Times New Roman"/>
        </w:rPr>
        <w:t> ;</w:t>
      </w:r>
    </w:p>
    <w:p w14:paraId="74747C23" w14:textId="77777777" w:rsidR="003D7AAF" w:rsidRDefault="00C220D3" w:rsidP="00696E19">
      <w:pPr>
        <w:numPr>
          <w:ilvl w:val="0"/>
          <w:numId w:val="13"/>
        </w:numPr>
        <w:autoSpaceDE w:val="0"/>
        <w:autoSpaceDN w:val="0"/>
        <w:adjustRightInd w:val="0"/>
        <w:spacing w:after="0" w:line="240" w:lineRule="auto"/>
        <w:ind w:left="189" w:hanging="171"/>
        <w:rPr>
          <w:rFonts w:ascii="Times New Roman" w:hAnsi="Times New Roman"/>
        </w:rPr>
      </w:pPr>
      <w:r w:rsidRPr="00277EF3">
        <w:rPr>
          <w:rFonts w:ascii="Times New Roman" w:hAnsi="Times New Roman"/>
        </w:rPr>
        <w:t>Prolifération de typha dans les bassins favorisant insectes et reptiles</w:t>
      </w:r>
      <w:r w:rsidR="00696E19">
        <w:rPr>
          <w:rFonts w:ascii="Times New Roman" w:hAnsi="Times New Roman"/>
        </w:rPr>
        <w:t> ;</w:t>
      </w:r>
    </w:p>
    <w:p w14:paraId="0F40785E" w14:textId="093E3893" w:rsidR="00A61CFE" w:rsidRDefault="00C220D3" w:rsidP="00696E19">
      <w:pPr>
        <w:numPr>
          <w:ilvl w:val="0"/>
          <w:numId w:val="13"/>
        </w:numPr>
        <w:autoSpaceDE w:val="0"/>
        <w:autoSpaceDN w:val="0"/>
        <w:adjustRightInd w:val="0"/>
        <w:spacing w:after="0" w:line="240" w:lineRule="auto"/>
        <w:ind w:left="189" w:hanging="171"/>
        <w:rPr>
          <w:rFonts w:ascii="Times New Roman" w:hAnsi="Times New Roman"/>
        </w:rPr>
      </w:pPr>
      <w:r w:rsidRPr="00277EF3">
        <w:rPr>
          <w:rFonts w:ascii="Times New Roman" w:hAnsi="Times New Roman"/>
        </w:rPr>
        <w:t>Pollution des nappes phréatiques et des sols</w:t>
      </w:r>
      <w:r w:rsidR="003D7AAF">
        <w:rPr>
          <w:rFonts w:ascii="Times New Roman" w:hAnsi="Times New Roman"/>
        </w:rPr>
        <w:t> ;</w:t>
      </w:r>
    </w:p>
    <w:p w14:paraId="79ACE636" w14:textId="707CED4F" w:rsidR="00EA3953" w:rsidRDefault="00EA3953" w:rsidP="00696E19">
      <w:pPr>
        <w:numPr>
          <w:ilvl w:val="0"/>
          <w:numId w:val="13"/>
        </w:numPr>
        <w:autoSpaceDE w:val="0"/>
        <w:autoSpaceDN w:val="0"/>
        <w:adjustRightInd w:val="0"/>
        <w:spacing w:after="0" w:line="240" w:lineRule="auto"/>
        <w:ind w:left="189" w:hanging="171"/>
        <w:rPr>
          <w:rFonts w:ascii="Times New Roman" w:hAnsi="Times New Roman"/>
        </w:rPr>
      </w:pPr>
      <w:r w:rsidRPr="00277EF3">
        <w:rPr>
          <w:rFonts w:ascii="Times New Roman" w:hAnsi="Times New Roman"/>
        </w:rPr>
        <w:t>Pollution atmosphérique et sonore</w:t>
      </w:r>
      <w:r w:rsidR="003D7AAF">
        <w:rPr>
          <w:rFonts w:ascii="Times New Roman" w:hAnsi="Times New Roman"/>
        </w:rPr>
        <w:t> ;</w:t>
      </w:r>
    </w:p>
    <w:p w14:paraId="25A944CA" w14:textId="77777777" w:rsidR="003D7AAF" w:rsidRDefault="00A61CFE" w:rsidP="00696E19">
      <w:pPr>
        <w:numPr>
          <w:ilvl w:val="0"/>
          <w:numId w:val="13"/>
        </w:numPr>
        <w:autoSpaceDE w:val="0"/>
        <w:autoSpaceDN w:val="0"/>
        <w:adjustRightInd w:val="0"/>
        <w:spacing w:after="0" w:line="240" w:lineRule="auto"/>
        <w:ind w:left="189" w:hanging="171"/>
        <w:rPr>
          <w:rFonts w:ascii="Times New Roman" w:hAnsi="Times New Roman"/>
        </w:rPr>
      </w:pPr>
      <w:r w:rsidRPr="0097258B">
        <w:rPr>
          <w:rFonts w:ascii="Times New Roman" w:hAnsi="Times New Roman"/>
        </w:rPr>
        <w:t>Pollution</w:t>
      </w:r>
      <w:r w:rsidR="001D3822" w:rsidRPr="0097258B">
        <w:rPr>
          <w:rFonts w:ascii="Times New Roman" w:hAnsi="Times New Roman"/>
        </w:rPr>
        <w:t>s</w:t>
      </w:r>
      <w:r w:rsidRPr="0097258B">
        <w:rPr>
          <w:rFonts w:ascii="Times New Roman" w:hAnsi="Times New Roman"/>
        </w:rPr>
        <w:t xml:space="preserve"> </w:t>
      </w:r>
      <w:r w:rsidR="001D3822" w:rsidRPr="0097258B">
        <w:rPr>
          <w:rFonts w:ascii="Times New Roman" w:hAnsi="Times New Roman"/>
        </w:rPr>
        <w:t xml:space="preserve">et nuisances </w:t>
      </w:r>
      <w:r w:rsidRPr="0097258B">
        <w:rPr>
          <w:rFonts w:ascii="Times New Roman" w:hAnsi="Times New Roman"/>
        </w:rPr>
        <w:t>du milieu par les déchets de chantier</w:t>
      </w:r>
      <w:r w:rsidR="003D7AAF">
        <w:rPr>
          <w:rFonts w:ascii="Times New Roman" w:hAnsi="Times New Roman"/>
        </w:rPr>
        <w:t> ;</w:t>
      </w:r>
    </w:p>
    <w:p w14:paraId="30B8AD6A" w14:textId="24137493" w:rsidR="00C220D3" w:rsidRPr="00277EF3" w:rsidRDefault="00C220D3" w:rsidP="0097258B">
      <w:pPr>
        <w:numPr>
          <w:ilvl w:val="0"/>
          <w:numId w:val="13"/>
        </w:numPr>
        <w:autoSpaceDE w:val="0"/>
        <w:autoSpaceDN w:val="0"/>
        <w:adjustRightInd w:val="0"/>
        <w:spacing w:line="240" w:lineRule="auto"/>
        <w:ind w:left="189" w:hanging="171"/>
        <w:rPr>
          <w:rFonts w:ascii="Times New Roman" w:hAnsi="Times New Roman"/>
        </w:rPr>
      </w:pPr>
      <w:r w:rsidRPr="00277EF3">
        <w:rPr>
          <w:rFonts w:ascii="Times New Roman" w:hAnsi="Times New Roman"/>
        </w:rPr>
        <w:t>Risques d’inondation en cas de sous-dimensionnement des ouvrages</w:t>
      </w:r>
      <w:r w:rsidR="004F33C9">
        <w:rPr>
          <w:rFonts w:ascii="Times New Roman" w:hAnsi="Times New Roman"/>
        </w:rPr>
        <w:t>.</w:t>
      </w:r>
    </w:p>
    <w:p w14:paraId="37E19B0B" w14:textId="07E4EA74" w:rsidR="00C220D3" w:rsidRPr="008A50C4" w:rsidRDefault="009854CD" w:rsidP="008A50C4">
      <w:pPr>
        <w:rPr>
          <w:rFonts w:ascii="Times New Roman" w:hAnsi="Times New Roman"/>
          <w:b/>
          <w:bCs/>
          <w:i/>
          <w:iCs/>
        </w:rPr>
      </w:pPr>
      <w:r w:rsidRPr="008A50C4">
        <w:rPr>
          <w:rFonts w:ascii="Times New Roman" w:hAnsi="Times New Roman"/>
          <w:b/>
          <w:bCs/>
          <w:i/>
          <w:iCs/>
        </w:rPr>
        <w:t>Impacts et risques s</w:t>
      </w:r>
      <w:r w:rsidR="00C220D3" w:rsidRPr="008A50C4">
        <w:rPr>
          <w:rFonts w:ascii="Times New Roman" w:hAnsi="Times New Roman"/>
          <w:b/>
          <w:bCs/>
          <w:i/>
          <w:iCs/>
        </w:rPr>
        <w:t>ociaux</w:t>
      </w:r>
    </w:p>
    <w:p w14:paraId="49C0AE4B" w14:textId="3D3FC41B" w:rsidR="00DE585B" w:rsidRDefault="00C220D3" w:rsidP="009C5E87">
      <w:pPr>
        <w:numPr>
          <w:ilvl w:val="0"/>
          <w:numId w:val="13"/>
        </w:numPr>
        <w:autoSpaceDE w:val="0"/>
        <w:autoSpaceDN w:val="0"/>
        <w:adjustRightInd w:val="0"/>
        <w:spacing w:after="0" w:line="240" w:lineRule="auto"/>
        <w:ind w:left="189" w:hanging="171"/>
        <w:rPr>
          <w:rFonts w:ascii="Times New Roman" w:hAnsi="Times New Roman"/>
        </w:rPr>
      </w:pPr>
      <w:r w:rsidRPr="00277EF3">
        <w:rPr>
          <w:rFonts w:ascii="Times New Roman" w:hAnsi="Times New Roman"/>
        </w:rPr>
        <w:t xml:space="preserve">Déplacement </w:t>
      </w:r>
      <w:r w:rsidR="007628AF">
        <w:rPr>
          <w:rFonts w:ascii="Times New Roman" w:hAnsi="Times New Roman"/>
        </w:rPr>
        <w:t xml:space="preserve">physique </w:t>
      </w:r>
      <w:r w:rsidRPr="00277EF3">
        <w:rPr>
          <w:rFonts w:ascii="Times New Roman" w:hAnsi="Times New Roman"/>
        </w:rPr>
        <w:t>de populations</w:t>
      </w:r>
      <w:r w:rsidR="00F87874">
        <w:rPr>
          <w:rFonts w:ascii="Times New Roman" w:hAnsi="Times New Roman"/>
        </w:rPr>
        <w:t xml:space="preserve"> (perte de </w:t>
      </w:r>
      <w:r w:rsidR="00116426">
        <w:rPr>
          <w:rFonts w:ascii="Times New Roman" w:hAnsi="Times New Roman"/>
        </w:rPr>
        <w:t>concessions</w:t>
      </w:r>
      <w:r w:rsidR="005C6734">
        <w:rPr>
          <w:rFonts w:ascii="Times New Roman" w:hAnsi="Times New Roman"/>
        </w:rPr>
        <w:t>, excroissances,</w:t>
      </w:r>
      <w:r w:rsidRPr="00277EF3">
        <w:rPr>
          <w:rFonts w:ascii="Times New Roman" w:hAnsi="Times New Roman"/>
        </w:rPr>
        <w:t xml:space="preserve"> </w:t>
      </w:r>
      <w:r w:rsidR="00DE585B">
        <w:rPr>
          <w:rFonts w:ascii="Times New Roman" w:hAnsi="Times New Roman"/>
        </w:rPr>
        <w:t>et</w:t>
      </w:r>
      <w:r w:rsidRPr="00277EF3">
        <w:rPr>
          <w:rFonts w:ascii="Times New Roman" w:hAnsi="Times New Roman"/>
        </w:rPr>
        <w:t xml:space="preserve"> </w:t>
      </w:r>
      <w:r w:rsidR="005C6734">
        <w:rPr>
          <w:rFonts w:ascii="Times New Roman" w:hAnsi="Times New Roman"/>
        </w:rPr>
        <w:t>c.</w:t>
      </w:r>
      <w:r w:rsidR="00DE585B">
        <w:rPr>
          <w:rFonts w:ascii="Times New Roman" w:hAnsi="Times New Roman"/>
        </w:rPr>
        <w:t>) ;</w:t>
      </w:r>
    </w:p>
    <w:p w14:paraId="1329DCCF" w14:textId="77777777" w:rsidR="0062612E" w:rsidRDefault="007628AF" w:rsidP="009C5E87">
      <w:pPr>
        <w:numPr>
          <w:ilvl w:val="0"/>
          <w:numId w:val="13"/>
        </w:numPr>
        <w:autoSpaceDE w:val="0"/>
        <w:autoSpaceDN w:val="0"/>
        <w:adjustRightInd w:val="0"/>
        <w:spacing w:after="0" w:line="240" w:lineRule="auto"/>
        <w:ind w:left="189" w:hanging="171"/>
        <w:rPr>
          <w:rFonts w:ascii="Times New Roman" w:hAnsi="Times New Roman"/>
        </w:rPr>
      </w:pPr>
      <w:r>
        <w:rPr>
          <w:rFonts w:ascii="Times New Roman" w:hAnsi="Times New Roman"/>
        </w:rPr>
        <w:t>Perte d’activités économiques</w:t>
      </w:r>
      <w:r w:rsidR="00C220D3" w:rsidRPr="00277EF3">
        <w:rPr>
          <w:rFonts w:ascii="Times New Roman" w:hAnsi="Times New Roman"/>
        </w:rPr>
        <w:t xml:space="preserve"> et de revenus</w:t>
      </w:r>
      <w:r w:rsidR="00A47BB9">
        <w:rPr>
          <w:rFonts w:ascii="Times New Roman" w:hAnsi="Times New Roman"/>
        </w:rPr>
        <w:t xml:space="preserve"> (</w:t>
      </w:r>
      <w:r w:rsidR="00A47BB9" w:rsidRPr="0048506A">
        <w:rPr>
          <w:rFonts w:ascii="Times New Roman" w:hAnsi="Times New Roman"/>
          <w:color w:val="000000" w:themeColor="text1"/>
        </w:rPr>
        <w:t>place</w:t>
      </w:r>
      <w:r w:rsidR="00A47BB9">
        <w:rPr>
          <w:rFonts w:ascii="Times New Roman" w:hAnsi="Times New Roman"/>
          <w:color w:val="000000" w:themeColor="text1"/>
        </w:rPr>
        <w:t>s</w:t>
      </w:r>
      <w:r w:rsidR="00A47BB9" w:rsidRPr="0048506A">
        <w:rPr>
          <w:rFonts w:ascii="Times New Roman" w:hAnsi="Times New Roman"/>
          <w:color w:val="000000" w:themeColor="text1"/>
        </w:rPr>
        <w:t xml:space="preserve"> d'affaire</w:t>
      </w:r>
      <w:r w:rsidR="00A47BB9">
        <w:rPr>
          <w:rFonts w:ascii="Times New Roman" w:hAnsi="Times New Roman"/>
          <w:color w:val="000000" w:themeColor="text1"/>
        </w:rPr>
        <w:t>s</w:t>
      </w:r>
      <w:r w:rsidR="00116426">
        <w:rPr>
          <w:rFonts w:ascii="Times New Roman" w:hAnsi="Times New Roman"/>
        </w:rPr>
        <w:t>)</w:t>
      </w:r>
      <w:r w:rsidR="0062612E">
        <w:rPr>
          <w:rFonts w:ascii="Times New Roman" w:hAnsi="Times New Roman"/>
        </w:rPr>
        <w:t> ;</w:t>
      </w:r>
    </w:p>
    <w:p w14:paraId="1175615F" w14:textId="337B1037" w:rsidR="00E12C81" w:rsidRDefault="0062612E" w:rsidP="009C5E87">
      <w:pPr>
        <w:numPr>
          <w:ilvl w:val="0"/>
          <w:numId w:val="13"/>
        </w:numPr>
        <w:autoSpaceDE w:val="0"/>
        <w:autoSpaceDN w:val="0"/>
        <w:adjustRightInd w:val="0"/>
        <w:spacing w:after="0" w:line="240" w:lineRule="auto"/>
        <w:ind w:left="189" w:hanging="171"/>
        <w:rPr>
          <w:rFonts w:ascii="Times New Roman" w:hAnsi="Times New Roman"/>
        </w:rPr>
      </w:pPr>
      <w:r>
        <w:rPr>
          <w:rFonts w:ascii="Times New Roman" w:hAnsi="Times New Roman"/>
        </w:rPr>
        <w:t>Perte d’équipement collectif ;</w:t>
      </w:r>
    </w:p>
    <w:p w14:paraId="7B24E19C" w14:textId="77777777" w:rsidR="00E12C81" w:rsidRDefault="00C220D3" w:rsidP="009C5E87">
      <w:pPr>
        <w:numPr>
          <w:ilvl w:val="0"/>
          <w:numId w:val="13"/>
        </w:numPr>
        <w:autoSpaceDE w:val="0"/>
        <w:autoSpaceDN w:val="0"/>
        <w:adjustRightInd w:val="0"/>
        <w:spacing w:after="0" w:line="240" w:lineRule="auto"/>
        <w:ind w:left="189" w:hanging="171"/>
        <w:rPr>
          <w:rFonts w:ascii="Times New Roman" w:hAnsi="Times New Roman"/>
        </w:rPr>
      </w:pPr>
      <w:r w:rsidRPr="00277EF3">
        <w:rPr>
          <w:rFonts w:ascii="Times New Roman" w:hAnsi="Times New Roman"/>
        </w:rPr>
        <w:t>Conflits sociaux liés à la main-d’œuvre locale et à la réinstallation</w:t>
      </w:r>
      <w:r w:rsidR="00E12C81">
        <w:rPr>
          <w:rFonts w:ascii="Times New Roman" w:hAnsi="Times New Roman"/>
        </w:rPr>
        <w:t> ;</w:t>
      </w:r>
    </w:p>
    <w:p w14:paraId="4CAF3197" w14:textId="77777777" w:rsidR="00E12C81" w:rsidRDefault="00C220D3" w:rsidP="009C5E87">
      <w:pPr>
        <w:numPr>
          <w:ilvl w:val="0"/>
          <w:numId w:val="13"/>
        </w:numPr>
        <w:autoSpaceDE w:val="0"/>
        <w:autoSpaceDN w:val="0"/>
        <w:adjustRightInd w:val="0"/>
        <w:spacing w:after="0" w:line="240" w:lineRule="auto"/>
        <w:ind w:left="189" w:hanging="171"/>
        <w:rPr>
          <w:rFonts w:ascii="Times New Roman" w:hAnsi="Times New Roman"/>
        </w:rPr>
      </w:pPr>
      <w:r w:rsidRPr="00277EF3">
        <w:rPr>
          <w:rFonts w:ascii="Times New Roman" w:hAnsi="Times New Roman"/>
        </w:rPr>
        <w:t>Risques sanitaires : IST/VIH, maladies diarrhéiques, respiratoires</w:t>
      </w:r>
      <w:r w:rsidR="00E12C81">
        <w:rPr>
          <w:rFonts w:ascii="Times New Roman" w:hAnsi="Times New Roman"/>
        </w:rPr>
        <w:t> ;</w:t>
      </w:r>
    </w:p>
    <w:p w14:paraId="6E09734E" w14:textId="1A090B07" w:rsidR="001717BE" w:rsidRDefault="00C220D3" w:rsidP="009C5E87">
      <w:pPr>
        <w:numPr>
          <w:ilvl w:val="0"/>
          <w:numId w:val="13"/>
        </w:numPr>
        <w:autoSpaceDE w:val="0"/>
        <w:autoSpaceDN w:val="0"/>
        <w:adjustRightInd w:val="0"/>
        <w:spacing w:after="0" w:line="240" w:lineRule="auto"/>
        <w:ind w:left="189" w:hanging="171"/>
        <w:rPr>
          <w:rFonts w:ascii="Times New Roman" w:hAnsi="Times New Roman"/>
        </w:rPr>
      </w:pPr>
      <w:r w:rsidRPr="00277EF3">
        <w:rPr>
          <w:rFonts w:ascii="Times New Roman" w:hAnsi="Times New Roman"/>
        </w:rPr>
        <w:t>Risques d’accidents : chutes, circulation</w:t>
      </w:r>
      <w:r w:rsidR="001717BE">
        <w:rPr>
          <w:rFonts w:ascii="Times New Roman" w:hAnsi="Times New Roman"/>
        </w:rPr>
        <w:t xml:space="preserve"> du matériel roulant</w:t>
      </w:r>
      <w:r w:rsidR="00E70382">
        <w:rPr>
          <w:rFonts w:ascii="Times New Roman" w:hAnsi="Times New Roman"/>
        </w:rPr>
        <w:t> ;</w:t>
      </w:r>
    </w:p>
    <w:p w14:paraId="2EDD2805" w14:textId="77777777" w:rsidR="00E70382" w:rsidRDefault="001717BE" w:rsidP="009C5E87">
      <w:pPr>
        <w:numPr>
          <w:ilvl w:val="0"/>
          <w:numId w:val="13"/>
        </w:numPr>
        <w:autoSpaceDE w:val="0"/>
        <w:autoSpaceDN w:val="0"/>
        <w:adjustRightInd w:val="0"/>
        <w:spacing w:after="0" w:line="240" w:lineRule="auto"/>
        <w:ind w:left="189" w:hanging="171"/>
        <w:rPr>
          <w:rFonts w:ascii="Times New Roman" w:hAnsi="Times New Roman"/>
        </w:rPr>
      </w:pPr>
      <w:r w:rsidRPr="00277EF3">
        <w:rPr>
          <w:rFonts w:ascii="Times New Roman" w:hAnsi="Times New Roman"/>
        </w:rPr>
        <w:t>Risque</w:t>
      </w:r>
      <w:r>
        <w:rPr>
          <w:rFonts w:ascii="Times New Roman" w:hAnsi="Times New Roman"/>
        </w:rPr>
        <w:t xml:space="preserve"> de </w:t>
      </w:r>
      <w:r w:rsidRPr="00277EF3">
        <w:rPr>
          <w:rFonts w:ascii="Times New Roman" w:hAnsi="Times New Roman"/>
        </w:rPr>
        <w:t>noyades</w:t>
      </w:r>
      <w:r w:rsidR="00E70382">
        <w:rPr>
          <w:rFonts w:ascii="Times New Roman" w:hAnsi="Times New Roman"/>
        </w:rPr>
        <w:t> ;</w:t>
      </w:r>
    </w:p>
    <w:p w14:paraId="6505BF2C" w14:textId="6379D089" w:rsidR="00C220D3" w:rsidRDefault="00C220D3" w:rsidP="009C5E87">
      <w:pPr>
        <w:numPr>
          <w:ilvl w:val="0"/>
          <w:numId w:val="13"/>
        </w:numPr>
        <w:autoSpaceDE w:val="0"/>
        <w:autoSpaceDN w:val="0"/>
        <w:adjustRightInd w:val="0"/>
        <w:spacing w:after="0" w:line="240" w:lineRule="auto"/>
        <w:ind w:left="189" w:hanging="171"/>
        <w:rPr>
          <w:rFonts w:ascii="Times New Roman" w:hAnsi="Times New Roman"/>
        </w:rPr>
      </w:pPr>
      <w:r w:rsidRPr="00277EF3">
        <w:rPr>
          <w:rFonts w:ascii="Times New Roman" w:hAnsi="Times New Roman"/>
        </w:rPr>
        <w:t>Non-respect des droits des travailleurs et des engagements contractuels</w:t>
      </w:r>
      <w:r w:rsidR="00E70382">
        <w:rPr>
          <w:rFonts w:ascii="Times New Roman" w:hAnsi="Times New Roman"/>
        </w:rPr>
        <w:t>.</w:t>
      </w:r>
    </w:p>
    <w:p w14:paraId="2D1543A1" w14:textId="77777777" w:rsidR="00F84FC6" w:rsidRDefault="00F84FC6" w:rsidP="00353499">
      <w:pPr>
        <w:autoSpaceDE w:val="0"/>
        <w:autoSpaceDN w:val="0"/>
        <w:adjustRightInd w:val="0"/>
        <w:spacing w:after="0" w:line="240" w:lineRule="auto"/>
        <w:rPr>
          <w:rFonts w:ascii="Times New Roman" w:hAnsi="Times New Roman"/>
        </w:rPr>
      </w:pPr>
    </w:p>
    <w:p w14:paraId="2BB9B2FB" w14:textId="790293EE" w:rsidR="008F0E98" w:rsidRDefault="008F0E98" w:rsidP="00353499">
      <w:pPr>
        <w:autoSpaceDE w:val="0"/>
        <w:autoSpaceDN w:val="0"/>
        <w:adjustRightInd w:val="0"/>
        <w:spacing w:after="0" w:line="240" w:lineRule="auto"/>
        <w:ind w:left="18"/>
        <w:rPr>
          <w:rFonts w:ascii="Times New Roman" w:hAnsi="Times New Roman"/>
          <w:b/>
          <w:bCs/>
          <w:i/>
          <w:iCs/>
        </w:rPr>
      </w:pPr>
      <w:r w:rsidRPr="001108C4">
        <w:rPr>
          <w:rFonts w:ascii="Times New Roman" w:hAnsi="Times New Roman"/>
          <w:b/>
          <w:bCs/>
          <w:i/>
          <w:iCs/>
        </w:rPr>
        <w:t>Impacts cumulatifs</w:t>
      </w:r>
    </w:p>
    <w:p w14:paraId="492F9470" w14:textId="77777777" w:rsidR="00353499" w:rsidRPr="00353499" w:rsidRDefault="00353499" w:rsidP="00353499">
      <w:pPr>
        <w:autoSpaceDE w:val="0"/>
        <w:autoSpaceDN w:val="0"/>
        <w:adjustRightInd w:val="0"/>
        <w:spacing w:after="0" w:line="240" w:lineRule="auto"/>
        <w:ind w:left="18"/>
        <w:rPr>
          <w:rFonts w:ascii="Times New Roman" w:hAnsi="Times New Roman"/>
          <w:b/>
          <w:bCs/>
          <w:i/>
          <w:iCs/>
        </w:rPr>
      </w:pPr>
    </w:p>
    <w:p w14:paraId="3A278630" w14:textId="34974EE0" w:rsidR="008F0E98" w:rsidRPr="00260790" w:rsidRDefault="008F0E98" w:rsidP="008F0E98">
      <w:pPr>
        <w:spacing w:line="240" w:lineRule="auto"/>
        <w:jc w:val="both"/>
        <w:rPr>
          <w:rFonts w:ascii="Times New Roman" w:hAnsi="Times New Roman"/>
          <w:color w:val="000000" w:themeColor="text1"/>
        </w:rPr>
      </w:pPr>
      <w:r w:rsidRPr="00260790">
        <w:rPr>
          <w:rFonts w:ascii="Times New Roman" w:hAnsi="Times New Roman"/>
          <w:color w:val="000000" w:themeColor="text1"/>
        </w:rPr>
        <w:t>Le critère qui a présidé au ciblage des projets à prendre en compte dans le cadre de l’analyse est le potentiel de chevauchement spatio-temporel de leurs effets. Les projets retenus sont :</w:t>
      </w:r>
    </w:p>
    <w:p w14:paraId="1953AAE5" w14:textId="77777777" w:rsidR="008F0E98" w:rsidRPr="00260790" w:rsidRDefault="008F0E98" w:rsidP="008F0E98">
      <w:pPr>
        <w:pStyle w:val="Paragraphedeliste"/>
        <w:numPr>
          <w:ilvl w:val="0"/>
          <w:numId w:val="339"/>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L’Autoroute à péage ;</w:t>
      </w:r>
    </w:p>
    <w:p w14:paraId="39CFC34C" w14:textId="77777777" w:rsidR="008F0E98" w:rsidRPr="00260790" w:rsidRDefault="008F0E98" w:rsidP="008F0E98">
      <w:pPr>
        <w:pStyle w:val="Paragraphedeliste"/>
        <w:numPr>
          <w:ilvl w:val="0"/>
          <w:numId w:val="339"/>
        </w:numPr>
        <w:spacing w:after="0" w:line="240" w:lineRule="auto"/>
        <w:jc w:val="both"/>
        <w:rPr>
          <w:rStyle w:val="hgkelc"/>
          <w:rFonts w:ascii="Times New Roman" w:hAnsi="Times New Roman"/>
          <w:color w:val="000000" w:themeColor="text1"/>
        </w:rPr>
      </w:pPr>
      <w:r w:rsidRPr="00260790">
        <w:rPr>
          <w:rStyle w:val="markedcontent"/>
          <w:rFonts w:ascii="Times New Roman" w:hAnsi="Times New Roman"/>
          <w:color w:val="000000" w:themeColor="text1"/>
        </w:rPr>
        <w:t>Le</w:t>
      </w:r>
      <w:r w:rsidRPr="00260790">
        <w:rPr>
          <w:rStyle w:val="hgkelc"/>
          <w:rFonts w:ascii="Times New Roman" w:hAnsi="Times New Roman"/>
          <w:color w:val="000000" w:themeColor="text1"/>
        </w:rPr>
        <w:t xml:space="preserve"> TER ;</w:t>
      </w:r>
    </w:p>
    <w:p w14:paraId="7284059C" w14:textId="77777777" w:rsidR="008F0E98" w:rsidRPr="001A020A" w:rsidRDefault="008F0E98" w:rsidP="008F0E98">
      <w:pPr>
        <w:pStyle w:val="Paragraphedeliste"/>
        <w:numPr>
          <w:ilvl w:val="0"/>
          <w:numId w:val="339"/>
        </w:numPr>
        <w:spacing w:after="0" w:line="240" w:lineRule="auto"/>
        <w:jc w:val="both"/>
        <w:rPr>
          <w:rStyle w:val="hgkelc"/>
          <w:rFonts w:ascii="Times New Roman" w:hAnsi="Times New Roman"/>
        </w:rPr>
      </w:pPr>
      <w:r w:rsidRPr="001A020A">
        <w:rPr>
          <w:rStyle w:val="hgkelc"/>
          <w:rFonts w:ascii="Times New Roman" w:hAnsi="Times New Roman"/>
        </w:rPr>
        <w:t>Le PROMOGED</w:t>
      </w:r>
      <w:r>
        <w:rPr>
          <w:rStyle w:val="hgkelc"/>
          <w:rFonts w:ascii="Times New Roman" w:hAnsi="Times New Roman"/>
        </w:rPr>
        <w:t xml:space="preserve"> (Décharge de </w:t>
      </w:r>
      <w:proofErr w:type="spellStart"/>
      <w:r>
        <w:rPr>
          <w:rStyle w:val="hgkelc"/>
          <w:rFonts w:ascii="Times New Roman" w:hAnsi="Times New Roman"/>
        </w:rPr>
        <w:t>Mbeubeuss</w:t>
      </w:r>
      <w:proofErr w:type="spellEnd"/>
      <w:r>
        <w:rPr>
          <w:rStyle w:val="hgkelc"/>
          <w:rFonts w:ascii="Times New Roman" w:hAnsi="Times New Roman"/>
        </w:rPr>
        <w:t>)</w:t>
      </w:r>
      <w:r w:rsidRPr="001A020A">
        <w:rPr>
          <w:rStyle w:val="hgkelc"/>
          <w:rFonts w:ascii="Times New Roman" w:hAnsi="Times New Roman"/>
        </w:rPr>
        <w:t> ;</w:t>
      </w:r>
    </w:p>
    <w:p w14:paraId="4DD82B0E" w14:textId="77777777" w:rsidR="008F0E98" w:rsidRPr="00260790" w:rsidRDefault="008F0E98" w:rsidP="008F0E98">
      <w:pPr>
        <w:pStyle w:val="Paragraphedeliste"/>
        <w:numPr>
          <w:ilvl w:val="0"/>
          <w:numId w:val="339"/>
        </w:numPr>
        <w:spacing w:after="0" w:line="240" w:lineRule="auto"/>
        <w:jc w:val="both"/>
        <w:rPr>
          <w:rFonts w:ascii="Times New Roman" w:hAnsi="Times New Roman"/>
          <w:b/>
          <w:color w:val="000000" w:themeColor="text1"/>
        </w:rPr>
      </w:pPr>
      <w:r w:rsidRPr="00260790">
        <w:rPr>
          <w:rStyle w:val="hgkelc"/>
          <w:rFonts w:ascii="Times New Roman" w:hAnsi="Times New Roman"/>
          <w:color w:val="000000" w:themeColor="text1"/>
        </w:rPr>
        <w:t>Le PROGEP.</w:t>
      </w:r>
    </w:p>
    <w:p w14:paraId="78F89BD0" w14:textId="77777777" w:rsidR="008F0E98" w:rsidRPr="00260790" w:rsidRDefault="008F0E98" w:rsidP="008F0E98">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Ces projets ont ou auront en communs des effets sur : </w:t>
      </w:r>
    </w:p>
    <w:p w14:paraId="747E71B2" w14:textId="77777777" w:rsidR="008F0E98" w:rsidRPr="00260790" w:rsidRDefault="008F0E98" w:rsidP="008F0E98">
      <w:pPr>
        <w:pStyle w:val="Paragraphedeliste"/>
        <w:numPr>
          <w:ilvl w:val="0"/>
          <w:numId w:val="338"/>
        </w:numPr>
        <w:spacing w:line="240" w:lineRule="auto"/>
        <w:jc w:val="both"/>
        <w:rPr>
          <w:rFonts w:ascii="Times New Roman" w:hAnsi="Times New Roman"/>
          <w:color w:val="000000" w:themeColor="text1"/>
        </w:rPr>
      </w:pPr>
      <w:r w:rsidRPr="00260790">
        <w:rPr>
          <w:rFonts w:ascii="Times New Roman" w:hAnsi="Times New Roman"/>
          <w:color w:val="000000" w:themeColor="text1"/>
        </w:rPr>
        <w:t>Les changements d’affectation des terres ;</w:t>
      </w:r>
    </w:p>
    <w:p w14:paraId="31DCB2AD" w14:textId="77777777" w:rsidR="008F0E98" w:rsidRPr="00260790" w:rsidRDefault="008F0E98" w:rsidP="008F0E98">
      <w:pPr>
        <w:pStyle w:val="Paragraphedeliste"/>
        <w:numPr>
          <w:ilvl w:val="0"/>
          <w:numId w:val="338"/>
        </w:numPr>
        <w:spacing w:line="240" w:lineRule="auto"/>
        <w:jc w:val="both"/>
        <w:rPr>
          <w:rFonts w:ascii="Times New Roman" w:hAnsi="Times New Roman"/>
          <w:color w:val="000000" w:themeColor="text1"/>
        </w:rPr>
      </w:pPr>
      <w:r w:rsidRPr="00260790">
        <w:rPr>
          <w:rFonts w:ascii="Times New Roman" w:hAnsi="Times New Roman"/>
          <w:color w:val="000000" w:themeColor="text1"/>
        </w:rPr>
        <w:lastRenderedPageBreak/>
        <w:t>Les déplacements des personnes et des biens ;</w:t>
      </w:r>
    </w:p>
    <w:p w14:paraId="7ABF57CF" w14:textId="77777777" w:rsidR="008F0E98" w:rsidRPr="00260790" w:rsidRDefault="008F0E98" w:rsidP="008F0E98">
      <w:pPr>
        <w:pStyle w:val="Paragraphedeliste"/>
        <w:numPr>
          <w:ilvl w:val="0"/>
          <w:numId w:val="338"/>
        </w:numPr>
        <w:spacing w:line="240" w:lineRule="auto"/>
        <w:jc w:val="both"/>
        <w:rPr>
          <w:rFonts w:ascii="Times New Roman" w:hAnsi="Times New Roman"/>
          <w:color w:val="000000" w:themeColor="text1"/>
        </w:rPr>
      </w:pPr>
      <w:r w:rsidRPr="00260790">
        <w:rPr>
          <w:rFonts w:ascii="Times New Roman" w:hAnsi="Times New Roman"/>
          <w:color w:val="000000" w:themeColor="text1"/>
        </w:rPr>
        <w:t>Les moyens d’existence ou de subsistance des populations (déplacements économiques : pertes de biens/actifs et d’AGR…) ;</w:t>
      </w:r>
    </w:p>
    <w:p w14:paraId="19988C8C" w14:textId="77777777" w:rsidR="008F0E98" w:rsidRPr="00260790" w:rsidRDefault="008F0E98" w:rsidP="008F0E98">
      <w:pPr>
        <w:pStyle w:val="Paragraphedeliste"/>
        <w:numPr>
          <w:ilvl w:val="0"/>
          <w:numId w:val="338"/>
        </w:numPr>
        <w:spacing w:line="240" w:lineRule="auto"/>
        <w:jc w:val="both"/>
        <w:rPr>
          <w:rFonts w:ascii="Times New Roman" w:hAnsi="Times New Roman"/>
          <w:color w:val="000000" w:themeColor="text1"/>
        </w:rPr>
      </w:pPr>
      <w:r w:rsidRPr="00260790">
        <w:rPr>
          <w:rFonts w:ascii="Times New Roman" w:hAnsi="Times New Roman"/>
          <w:color w:val="000000" w:themeColor="text1"/>
        </w:rPr>
        <w:t>Des déplacements physiques (déplacement de populations) ;</w:t>
      </w:r>
    </w:p>
    <w:p w14:paraId="0C54A384" w14:textId="77777777" w:rsidR="008F0E98" w:rsidRPr="00260790" w:rsidRDefault="008F0E98" w:rsidP="008F0E98">
      <w:pPr>
        <w:pStyle w:val="Paragraphedeliste"/>
        <w:numPr>
          <w:ilvl w:val="0"/>
          <w:numId w:val="338"/>
        </w:numPr>
        <w:spacing w:line="240" w:lineRule="auto"/>
        <w:jc w:val="both"/>
        <w:rPr>
          <w:rFonts w:ascii="Times New Roman" w:hAnsi="Times New Roman"/>
          <w:color w:val="000000" w:themeColor="text1"/>
        </w:rPr>
      </w:pPr>
      <w:r w:rsidRPr="00260790">
        <w:rPr>
          <w:rFonts w:ascii="Times New Roman" w:hAnsi="Times New Roman"/>
          <w:color w:val="000000" w:themeColor="text1"/>
        </w:rPr>
        <w:t>Les aires classées ;</w:t>
      </w:r>
    </w:p>
    <w:p w14:paraId="2611AB76" w14:textId="77777777" w:rsidR="008F0E98" w:rsidRPr="00260790" w:rsidRDefault="008F0E98" w:rsidP="008F0E98">
      <w:pPr>
        <w:pStyle w:val="Paragraphedeliste"/>
        <w:numPr>
          <w:ilvl w:val="0"/>
          <w:numId w:val="338"/>
        </w:numPr>
        <w:spacing w:line="240" w:lineRule="auto"/>
        <w:jc w:val="both"/>
        <w:rPr>
          <w:rFonts w:ascii="Times New Roman" w:hAnsi="Times New Roman"/>
          <w:color w:val="000000" w:themeColor="text1"/>
        </w:rPr>
      </w:pPr>
      <w:r w:rsidRPr="00260790">
        <w:rPr>
          <w:rFonts w:ascii="Times New Roman" w:hAnsi="Times New Roman"/>
          <w:color w:val="000000" w:themeColor="text1"/>
        </w:rPr>
        <w:t>La faune et la flore ;</w:t>
      </w:r>
    </w:p>
    <w:p w14:paraId="0EEBA3AA" w14:textId="77777777" w:rsidR="008F0E98" w:rsidRPr="00260790" w:rsidRDefault="008F0E98" w:rsidP="008F0E98">
      <w:pPr>
        <w:pStyle w:val="Paragraphedeliste"/>
        <w:numPr>
          <w:ilvl w:val="0"/>
          <w:numId w:val="338"/>
        </w:numPr>
        <w:spacing w:line="240" w:lineRule="auto"/>
        <w:jc w:val="both"/>
        <w:rPr>
          <w:rFonts w:ascii="Times New Roman" w:hAnsi="Times New Roman"/>
          <w:color w:val="000000" w:themeColor="text1"/>
        </w:rPr>
      </w:pPr>
      <w:r w:rsidRPr="00260790">
        <w:rPr>
          <w:rFonts w:ascii="Times New Roman" w:hAnsi="Times New Roman"/>
          <w:color w:val="000000" w:themeColor="text1"/>
        </w:rPr>
        <w:t>La qualité de l’air et le climat ;</w:t>
      </w:r>
    </w:p>
    <w:p w14:paraId="00F2636A" w14:textId="77777777" w:rsidR="008F0E98" w:rsidRPr="00260790" w:rsidRDefault="008F0E98" w:rsidP="008F0E98">
      <w:pPr>
        <w:pStyle w:val="Paragraphedeliste"/>
        <w:numPr>
          <w:ilvl w:val="0"/>
          <w:numId w:val="338"/>
        </w:numPr>
        <w:spacing w:line="240" w:lineRule="auto"/>
        <w:jc w:val="both"/>
        <w:rPr>
          <w:rFonts w:ascii="Times New Roman" w:hAnsi="Times New Roman"/>
          <w:color w:val="000000" w:themeColor="text1"/>
        </w:rPr>
      </w:pPr>
      <w:r w:rsidRPr="00260790">
        <w:rPr>
          <w:rFonts w:ascii="Times New Roman" w:hAnsi="Times New Roman"/>
          <w:color w:val="000000" w:themeColor="text1"/>
        </w:rPr>
        <w:t>La santé et la sécurité des travailleurs et des riverains</w:t>
      </w:r>
    </w:p>
    <w:p w14:paraId="6DDC84E4" w14:textId="77777777" w:rsidR="008F0E98" w:rsidRDefault="008F0E98" w:rsidP="008F0E98">
      <w:pPr>
        <w:spacing w:line="240" w:lineRule="auto"/>
        <w:jc w:val="both"/>
        <w:rPr>
          <w:rFonts w:ascii="Times New Roman" w:hAnsi="Times New Roman"/>
          <w:color w:val="000000" w:themeColor="text1"/>
        </w:rPr>
      </w:pPr>
      <w:r w:rsidRPr="00260790">
        <w:rPr>
          <w:rFonts w:ascii="Times New Roman" w:hAnsi="Times New Roman"/>
          <w:color w:val="000000" w:themeColor="text1"/>
        </w:rPr>
        <w:t>Une sommation de leurs effets est donc plus que probable et se traduira par de dépassement de seuil ou de capacité de résilience de la population et/du milieu.</w:t>
      </w:r>
    </w:p>
    <w:p w14:paraId="23B1CC71" w14:textId="3469E952" w:rsidR="008F0E98" w:rsidRPr="002109AA" w:rsidRDefault="008F0E98" w:rsidP="002109AA">
      <w:pPr>
        <w:spacing w:line="240" w:lineRule="auto"/>
        <w:jc w:val="both"/>
        <w:rPr>
          <w:rFonts w:ascii="Times New Roman" w:hAnsi="Times New Roman"/>
          <w:color w:val="000000" w:themeColor="text1"/>
        </w:rPr>
      </w:pPr>
      <w:r w:rsidRPr="008F0E98">
        <w:rPr>
          <w:rFonts w:ascii="Times New Roman" w:hAnsi="Times New Roman"/>
          <w:color w:val="000000" w:themeColor="text1"/>
        </w:rPr>
        <w:t>Les impacts cumulatifs du projet résultent de la combinaison des aménagements routiers avec d’autres activités existantes dans la zone, entraînant à la fois des pressions accrues sur les ressources naturelles, notamment la forêt classée de Mbao, et des effets socio-économiques sur les populations riveraines. Cette accumulation d’impacts se traduit par une réduction progressive des superficies forestières, une fragmentation des habitats, une dégradation de la qualité de l’air ainsi que des perturbations des activités économiques, du trafic et des conditions de vie des ménages. Toutefois, la mise en œuvre rigoureuse des mesures d’atténuation, telles que le reboisement, la restauration des milieux affectés, l’indemnisation des personnes touchées et le suivi environnemental et social, permet de limiter ces effets cumulés à un niveau acceptable</w:t>
      </w:r>
      <w:r w:rsidR="002100C9">
        <w:rPr>
          <w:rFonts w:ascii="Times New Roman" w:hAnsi="Times New Roman"/>
          <w:color w:val="000000" w:themeColor="text1"/>
        </w:rPr>
        <w:t>.</w:t>
      </w:r>
    </w:p>
    <w:p w14:paraId="2883F472" w14:textId="1DF047DF" w:rsidR="00C220D3" w:rsidRPr="008A50C4" w:rsidRDefault="00C220D3" w:rsidP="008A50C4">
      <w:pPr>
        <w:rPr>
          <w:rFonts w:ascii="Times New Roman" w:hAnsi="Times New Roman"/>
          <w:b/>
          <w:bCs/>
        </w:rPr>
      </w:pPr>
      <w:r w:rsidRPr="008A50C4">
        <w:rPr>
          <w:rFonts w:ascii="Times New Roman" w:hAnsi="Times New Roman"/>
          <w:b/>
          <w:bCs/>
        </w:rPr>
        <w:t xml:space="preserve">Mesures de </w:t>
      </w:r>
      <w:r w:rsidR="00A9205C" w:rsidRPr="008A50C4">
        <w:rPr>
          <w:rFonts w:ascii="Times New Roman" w:hAnsi="Times New Roman"/>
          <w:b/>
          <w:bCs/>
        </w:rPr>
        <w:t>g</w:t>
      </w:r>
      <w:r w:rsidRPr="008A50C4">
        <w:rPr>
          <w:rFonts w:ascii="Times New Roman" w:hAnsi="Times New Roman"/>
          <w:b/>
          <w:bCs/>
        </w:rPr>
        <w:t xml:space="preserve">estion et </w:t>
      </w:r>
      <w:r w:rsidR="00A9205C" w:rsidRPr="008A50C4">
        <w:rPr>
          <w:rFonts w:ascii="Times New Roman" w:hAnsi="Times New Roman"/>
          <w:b/>
          <w:bCs/>
        </w:rPr>
        <w:t>d’a</w:t>
      </w:r>
      <w:r w:rsidRPr="008A50C4">
        <w:rPr>
          <w:rFonts w:ascii="Times New Roman" w:hAnsi="Times New Roman"/>
          <w:b/>
          <w:bCs/>
        </w:rPr>
        <w:t>tténuation (PGES)</w:t>
      </w:r>
    </w:p>
    <w:p w14:paraId="77772134" w14:textId="77777777" w:rsidR="00BA756B" w:rsidRPr="008A50C4" w:rsidRDefault="00BA756B" w:rsidP="008A50C4">
      <w:pPr>
        <w:rPr>
          <w:rFonts w:ascii="Times New Roman" w:hAnsi="Times New Roman"/>
          <w:b/>
          <w:bCs/>
          <w:i/>
          <w:iCs/>
        </w:rPr>
      </w:pPr>
      <w:r w:rsidRPr="008A50C4">
        <w:rPr>
          <w:rFonts w:ascii="Times New Roman" w:hAnsi="Times New Roman"/>
          <w:b/>
          <w:bCs/>
          <w:i/>
          <w:iCs/>
        </w:rPr>
        <w:t xml:space="preserve">Phase libération des emprises  </w:t>
      </w:r>
    </w:p>
    <w:p w14:paraId="3041CE63" w14:textId="77777777" w:rsidR="00BA756B" w:rsidRPr="0097258B" w:rsidRDefault="00BA756B" w:rsidP="00BA756B">
      <w:pPr>
        <w:numPr>
          <w:ilvl w:val="0"/>
          <w:numId w:val="13"/>
        </w:numPr>
        <w:autoSpaceDE w:val="0"/>
        <w:autoSpaceDN w:val="0"/>
        <w:adjustRightInd w:val="0"/>
        <w:spacing w:after="0" w:line="240" w:lineRule="auto"/>
        <w:ind w:left="189" w:hanging="171"/>
        <w:jc w:val="both"/>
        <w:rPr>
          <w:rFonts w:ascii="Times New Roman" w:hAnsi="Times New Roman"/>
        </w:rPr>
      </w:pPr>
      <w:r w:rsidRPr="0097258B">
        <w:rPr>
          <w:rFonts w:ascii="Times New Roman" w:hAnsi="Times New Roman"/>
        </w:rPr>
        <w:t xml:space="preserve">Informer et sensibiliser les populations sur le projet ; </w:t>
      </w:r>
    </w:p>
    <w:p w14:paraId="6797879A" w14:textId="51C584F9" w:rsidR="00BA756B" w:rsidRPr="0097258B" w:rsidRDefault="006B7C70" w:rsidP="00BA756B">
      <w:pPr>
        <w:pStyle w:val="Paragraphedeliste"/>
        <w:numPr>
          <w:ilvl w:val="0"/>
          <w:numId w:val="13"/>
        </w:numPr>
        <w:autoSpaceDE w:val="0"/>
        <w:autoSpaceDN w:val="0"/>
        <w:adjustRightInd w:val="0"/>
        <w:spacing w:after="0" w:line="240" w:lineRule="auto"/>
        <w:ind w:left="189" w:hanging="171"/>
        <w:jc w:val="both"/>
        <w:rPr>
          <w:rFonts w:ascii="Times New Roman" w:hAnsi="Times New Roman"/>
        </w:rPr>
      </w:pPr>
      <w:r>
        <w:rPr>
          <w:rFonts w:ascii="Times New Roman" w:hAnsi="Times New Roman"/>
        </w:rPr>
        <w:t>Prépar</w:t>
      </w:r>
      <w:r w:rsidR="00BA756B" w:rsidRPr="0097258B">
        <w:rPr>
          <w:rFonts w:ascii="Times New Roman" w:hAnsi="Times New Roman"/>
        </w:rPr>
        <w:t xml:space="preserve">er </w:t>
      </w:r>
      <w:r>
        <w:rPr>
          <w:rFonts w:ascii="Times New Roman" w:hAnsi="Times New Roman"/>
        </w:rPr>
        <w:t xml:space="preserve">et mettre en œuvre </w:t>
      </w:r>
      <w:r w:rsidR="00BA756B" w:rsidRPr="0097258B">
        <w:rPr>
          <w:rFonts w:ascii="Times New Roman" w:hAnsi="Times New Roman"/>
        </w:rPr>
        <w:t>un Plan d’Actions de Réinstallation (PAR) ;</w:t>
      </w:r>
    </w:p>
    <w:p w14:paraId="3B39FE68" w14:textId="77777777" w:rsidR="00BA756B" w:rsidRPr="0097258B" w:rsidRDefault="00BA756B" w:rsidP="00BA756B">
      <w:pPr>
        <w:numPr>
          <w:ilvl w:val="0"/>
          <w:numId w:val="13"/>
        </w:numPr>
        <w:autoSpaceDE w:val="0"/>
        <w:autoSpaceDN w:val="0"/>
        <w:adjustRightInd w:val="0"/>
        <w:spacing w:after="0" w:line="240" w:lineRule="auto"/>
        <w:ind w:left="189" w:hanging="171"/>
        <w:jc w:val="both"/>
        <w:rPr>
          <w:rFonts w:ascii="Times New Roman" w:hAnsi="Times New Roman"/>
        </w:rPr>
      </w:pPr>
      <w:r w:rsidRPr="0097258B">
        <w:rPr>
          <w:rFonts w:ascii="Times New Roman" w:hAnsi="Times New Roman"/>
        </w:rPr>
        <w:t>Dédommager de façon juste et équitable les populations affectées par le projet avant le début des travaux ;</w:t>
      </w:r>
    </w:p>
    <w:p w14:paraId="3AE19EFE" w14:textId="77777777" w:rsidR="00BA756B" w:rsidRDefault="00BA756B" w:rsidP="00BA756B">
      <w:pPr>
        <w:numPr>
          <w:ilvl w:val="0"/>
          <w:numId w:val="13"/>
        </w:numPr>
        <w:autoSpaceDE w:val="0"/>
        <w:autoSpaceDN w:val="0"/>
        <w:adjustRightInd w:val="0"/>
        <w:spacing w:after="0" w:line="240" w:lineRule="auto"/>
        <w:ind w:left="189" w:hanging="171"/>
        <w:jc w:val="both"/>
        <w:rPr>
          <w:rFonts w:ascii="Times New Roman" w:hAnsi="Times New Roman"/>
        </w:rPr>
      </w:pPr>
      <w:r w:rsidRPr="0097258B">
        <w:rPr>
          <w:rFonts w:ascii="Times New Roman" w:hAnsi="Times New Roman"/>
        </w:rPr>
        <w:t>Mettre en place un programme de restauration des moyens de subsistance des populations affectées par le projet en accordant une attention particulière aux personnes et groupes vulnérables (femmes vendeuses de légumes, etc.) ;</w:t>
      </w:r>
    </w:p>
    <w:p w14:paraId="03F85F79" w14:textId="44075C67" w:rsidR="003A16A1" w:rsidRPr="0097258B" w:rsidRDefault="003A16A1" w:rsidP="00BA756B">
      <w:pPr>
        <w:numPr>
          <w:ilvl w:val="0"/>
          <w:numId w:val="13"/>
        </w:numPr>
        <w:autoSpaceDE w:val="0"/>
        <w:autoSpaceDN w:val="0"/>
        <w:adjustRightInd w:val="0"/>
        <w:spacing w:after="0" w:line="240" w:lineRule="auto"/>
        <w:ind w:left="189" w:hanging="171"/>
        <w:jc w:val="both"/>
        <w:rPr>
          <w:rFonts w:ascii="Times New Roman" w:hAnsi="Times New Roman"/>
        </w:rPr>
      </w:pPr>
      <w:r w:rsidRPr="0097258B">
        <w:rPr>
          <w:rFonts w:ascii="Times New Roman" w:hAnsi="Times New Roman"/>
        </w:rPr>
        <w:t>Impliquer et collaborer étroitement et constamment avec les concessionnaires avant le début du démarrage des travaux ;</w:t>
      </w:r>
    </w:p>
    <w:p w14:paraId="7C9D4D7D" w14:textId="77777777" w:rsidR="00BA756B" w:rsidRPr="0097258B" w:rsidRDefault="00BA756B" w:rsidP="00BA756B">
      <w:pPr>
        <w:numPr>
          <w:ilvl w:val="0"/>
          <w:numId w:val="13"/>
        </w:numPr>
        <w:autoSpaceDE w:val="0"/>
        <w:autoSpaceDN w:val="0"/>
        <w:adjustRightInd w:val="0"/>
        <w:spacing w:after="0" w:line="240" w:lineRule="auto"/>
        <w:ind w:left="189" w:hanging="171"/>
        <w:jc w:val="both"/>
        <w:rPr>
          <w:rFonts w:ascii="Times New Roman" w:hAnsi="Times New Roman"/>
        </w:rPr>
      </w:pPr>
      <w:r w:rsidRPr="0097258B">
        <w:rPr>
          <w:rFonts w:ascii="Times New Roman" w:hAnsi="Times New Roman"/>
        </w:rPr>
        <w:t>Mettre en place au niveau local un MGP opérationnel sensible à l’EAS/HS.</w:t>
      </w:r>
    </w:p>
    <w:p w14:paraId="2F298990" w14:textId="77777777" w:rsidR="00BA756B" w:rsidRDefault="00BA756B" w:rsidP="0097258B">
      <w:pPr>
        <w:pStyle w:val="Titre30"/>
        <w:numPr>
          <w:ilvl w:val="0"/>
          <w:numId w:val="0"/>
        </w:numPr>
        <w:spacing w:before="0" w:after="0"/>
        <w:jc w:val="both"/>
        <w:rPr>
          <w:i/>
          <w:iCs/>
          <w:color w:val="auto"/>
          <w:szCs w:val="22"/>
        </w:rPr>
      </w:pPr>
    </w:p>
    <w:p w14:paraId="69457DBF" w14:textId="705D2136" w:rsidR="00C220D3" w:rsidRPr="008A50C4" w:rsidRDefault="00C220D3" w:rsidP="001108C4">
      <w:pPr>
        <w:spacing w:line="259" w:lineRule="auto"/>
        <w:rPr>
          <w:rFonts w:ascii="Times New Roman" w:hAnsi="Times New Roman"/>
          <w:b/>
          <w:bCs/>
          <w:i/>
          <w:iCs/>
        </w:rPr>
      </w:pPr>
      <w:r w:rsidRPr="008A50C4">
        <w:rPr>
          <w:rFonts w:ascii="Times New Roman" w:hAnsi="Times New Roman"/>
          <w:b/>
          <w:bCs/>
          <w:i/>
          <w:iCs/>
        </w:rPr>
        <w:t>En phase de travaux</w:t>
      </w:r>
    </w:p>
    <w:p w14:paraId="1797A5FF" w14:textId="77777777" w:rsidR="005A00FB" w:rsidRPr="0097258B" w:rsidRDefault="005A00FB" w:rsidP="005A00FB">
      <w:pPr>
        <w:numPr>
          <w:ilvl w:val="0"/>
          <w:numId w:val="13"/>
        </w:numPr>
        <w:autoSpaceDE w:val="0"/>
        <w:autoSpaceDN w:val="0"/>
        <w:adjustRightInd w:val="0"/>
        <w:spacing w:after="0" w:line="240" w:lineRule="auto"/>
        <w:ind w:left="189" w:hanging="171"/>
        <w:rPr>
          <w:rFonts w:ascii="Times New Roman" w:hAnsi="Times New Roman"/>
        </w:rPr>
      </w:pPr>
      <w:r w:rsidRPr="0097258B">
        <w:rPr>
          <w:rFonts w:ascii="Times New Roman" w:hAnsi="Times New Roman"/>
        </w:rPr>
        <w:t>Respecter les emprises du tracé ;</w:t>
      </w:r>
    </w:p>
    <w:p w14:paraId="2FC7F7D0" w14:textId="77777777" w:rsidR="005A00FB" w:rsidRPr="0097258B" w:rsidRDefault="005A00FB" w:rsidP="0097258B">
      <w:pPr>
        <w:numPr>
          <w:ilvl w:val="0"/>
          <w:numId w:val="13"/>
        </w:numPr>
        <w:autoSpaceDE w:val="0"/>
        <w:autoSpaceDN w:val="0"/>
        <w:adjustRightInd w:val="0"/>
        <w:spacing w:after="0" w:line="240" w:lineRule="auto"/>
        <w:ind w:left="189" w:hanging="171"/>
        <w:rPr>
          <w:rFonts w:ascii="Times New Roman" w:hAnsi="Times New Roman"/>
        </w:rPr>
      </w:pPr>
      <w:r w:rsidRPr="0097258B">
        <w:rPr>
          <w:rFonts w:ascii="Times New Roman" w:hAnsi="Times New Roman"/>
        </w:rPr>
        <w:t>Respecter les délais d’exécution des travaux ;</w:t>
      </w:r>
    </w:p>
    <w:p w14:paraId="257AA7AD" w14:textId="77777777" w:rsidR="005A00FB" w:rsidRPr="0097258B" w:rsidRDefault="005A00FB" w:rsidP="005A00FB">
      <w:pPr>
        <w:numPr>
          <w:ilvl w:val="0"/>
          <w:numId w:val="13"/>
        </w:numPr>
        <w:autoSpaceDE w:val="0"/>
        <w:autoSpaceDN w:val="0"/>
        <w:adjustRightInd w:val="0"/>
        <w:spacing w:after="0" w:line="240" w:lineRule="auto"/>
        <w:ind w:left="189" w:hanging="171"/>
        <w:rPr>
          <w:rFonts w:ascii="Times New Roman" w:hAnsi="Times New Roman"/>
        </w:rPr>
      </w:pPr>
      <w:r w:rsidRPr="0097258B">
        <w:rPr>
          <w:rFonts w:ascii="Times New Roman" w:hAnsi="Times New Roman"/>
        </w:rPr>
        <w:t>Utiliser les déblais pour combler les nids de poule sur les routes ;</w:t>
      </w:r>
    </w:p>
    <w:p w14:paraId="6D7F6BC4" w14:textId="77777777" w:rsidR="005A00FB" w:rsidRPr="0097258B" w:rsidRDefault="005A00FB" w:rsidP="005A00FB">
      <w:pPr>
        <w:numPr>
          <w:ilvl w:val="0"/>
          <w:numId w:val="13"/>
        </w:numPr>
        <w:autoSpaceDE w:val="0"/>
        <w:autoSpaceDN w:val="0"/>
        <w:adjustRightInd w:val="0"/>
        <w:spacing w:after="0" w:line="240" w:lineRule="auto"/>
        <w:ind w:left="189" w:hanging="171"/>
        <w:rPr>
          <w:rFonts w:ascii="Times New Roman" w:hAnsi="Times New Roman"/>
        </w:rPr>
      </w:pPr>
      <w:r w:rsidRPr="0097258B">
        <w:rPr>
          <w:rFonts w:ascii="Times New Roman" w:hAnsi="Times New Roman"/>
        </w:rPr>
        <w:t>Remblayer les tranchées en suivant la disposition des couches de sols ;</w:t>
      </w:r>
    </w:p>
    <w:p w14:paraId="7828D55A" w14:textId="010A610D" w:rsidR="00BE6BFE" w:rsidRPr="0097258B" w:rsidRDefault="005A00FB" w:rsidP="0097258B">
      <w:pPr>
        <w:numPr>
          <w:ilvl w:val="0"/>
          <w:numId w:val="13"/>
        </w:numPr>
        <w:autoSpaceDE w:val="0"/>
        <w:autoSpaceDN w:val="0"/>
        <w:adjustRightInd w:val="0"/>
        <w:spacing w:after="0" w:line="240" w:lineRule="auto"/>
        <w:ind w:left="189" w:hanging="171"/>
        <w:rPr>
          <w:rFonts w:ascii="Times New Roman" w:hAnsi="Times New Roman"/>
        </w:rPr>
      </w:pPr>
      <w:r w:rsidRPr="0097258B">
        <w:rPr>
          <w:rFonts w:ascii="Times New Roman" w:hAnsi="Times New Roman"/>
        </w:rPr>
        <w:t>Mettre en place un système approprié de gestion des déchets liquides (fuites incontrôlées d’huiles et d’hydrocarbures) et déchets solides générés durant les travaux</w:t>
      </w:r>
      <w:r w:rsidR="00144A4A" w:rsidRPr="0097258B">
        <w:rPr>
          <w:rFonts w:ascii="Times New Roman" w:hAnsi="Times New Roman"/>
        </w:rPr>
        <w:t> ;</w:t>
      </w:r>
    </w:p>
    <w:p w14:paraId="2FE37CEB" w14:textId="712590ED" w:rsidR="00B40EA0" w:rsidRPr="0097258B" w:rsidRDefault="00BE6BFE" w:rsidP="0097258B">
      <w:pPr>
        <w:numPr>
          <w:ilvl w:val="0"/>
          <w:numId w:val="13"/>
        </w:numPr>
        <w:autoSpaceDE w:val="0"/>
        <w:autoSpaceDN w:val="0"/>
        <w:adjustRightInd w:val="0"/>
        <w:spacing w:after="0" w:line="240" w:lineRule="auto"/>
        <w:ind w:left="189" w:hanging="171"/>
        <w:rPr>
          <w:rFonts w:ascii="Times New Roman" w:hAnsi="Times New Roman"/>
        </w:rPr>
      </w:pPr>
      <w:r w:rsidRPr="0097258B">
        <w:rPr>
          <w:rFonts w:ascii="Times New Roman" w:hAnsi="Times New Roman"/>
        </w:rPr>
        <w:t>Mettre en place un plan de gestion des déchets d’amiantes</w:t>
      </w:r>
      <w:r w:rsidR="006900AF" w:rsidRPr="0097258B">
        <w:rPr>
          <w:rFonts w:ascii="Times New Roman" w:hAnsi="Times New Roman"/>
        </w:rPr>
        <w:t> ;</w:t>
      </w:r>
    </w:p>
    <w:p w14:paraId="0C31FA83" w14:textId="3FF94604" w:rsidR="00355086" w:rsidRPr="0097258B" w:rsidRDefault="00B40EA0" w:rsidP="0097258B">
      <w:pPr>
        <w:numPr>
          <w:ilvl w:val="0"/>
          <w:numId w:val="13"/>
        </w:numPr>
        <w:autoSpaceDE w:val="0"/>
        <w:autoSpaceDN w:val="0"/>
        <w:adjustRightInd w:val="0"/>
        <w:spacing w:after="0" w:line="240" w:lineRule="auto"/>
        <w:ind w:left="189" w:hanging="171"/>
        <w:rPr>
          <w:rFonts w:ascii="Times New Roman" w:hAnsi="Times New Roman"/>
        </w:rPr>
      </w:pPr>
      <w:r w:rsidRPr="0097258B">
        <w:rPr>
          <w:rFonts w:ascii="Times New Roman" w:hAnsi="Times New Roman"/>
        </w:rPr>
        <w:t>Utiliser des toilettes mobiles et étanches</w:t>
      </w:r>
      <w:r w:rsidR="00C220D3" w:rsidRPr="00C7225F">
        <w:rPr>
          <w:rFonts w:ascii="Times New Roman" w:hAnsi="Times New Roman"/>
        </w:rPr>
        <w:br/>
      </w:r>
      <w:r w:rsidR="00144A4A" w:rsidRPr="00C7225F">
        <w:rPr>
          <w:rFonts w:ascii="Times New Roman" w:hAnsi="Times New Roman"/>
        </w:rPr>
        <w:t>Assurer la s</w:t>
      </w:r>
      <w:r w:rsidR="00C220D3" w:rsidRPr="00C7225F">
        <w:rPr>
          <w:rFonts w:ascii="Times New Roman" w:hAnsi="Times New Roman"/>
        </w:rPr>
        <w:t>écurité des travailleurs et des riverains</w:t>
      </w:r>
      <w:r w:rsidR="00144A4A" w:rsidRPr="00C7225F">
        <w:rPr>
          <w:rFonts w:ascii="Times New Roman" w:hAnsi="Times New Roman"/>
        </w:rPr>
        <w:t xml:space="preserve"> (signalisation et équipements de protection</w:t>
      </w:r>
      <w:r w:rsidR="00477D62" w:rsidRPr="0097258B">
        <w:rPr>
          <w:rFonts w:ascii="Times New Roman" w:hAnsi="Times New Roman"/>
        </w:rPr>
        <w:t xml:space="preserve"> individuels et collectifs, échafaudage, etc.</w:t>
      </w:r>
      <w:r w:rsidR="00144A4A" w:rsidRPr="00C7225F">
        <w:rPr>
          <w:rFonts w:ascii="Times New Roman" w:hAnsi="Times New Roman"/>
        </w:rPr>
        <w:t>) ;</w:t>
      </w:r>
      <w:r w:rsidR="00355086" w:rsidRPr="0097258B">
        <w:rPr>
          <w:rFonts w:ascii="Times New Roman" w:hAnsi="Times New Roman"/>
        </w:rPr>
        <w:t xml:space="preserve"> </w:t>
      </w:r>
    </w:p>
    <w:p w14:paraId="405654BF" w14:textId="2DDCA3AB" w:rsidR="00775A84" w:rsidRPr="0097258B" w:rsidRDefault="00355086" w:rsidP="0097258B">
      <w:pPr>
        <w:numPr>
          <w:ilvl w:val="0"/>
          <w:numId w:val="13"/>
        </w:numPr>
        <w:autoSpaceDE w:val="0"/>
        <w:autoSpaceDN w:val="0"/>
        <w:adjustRightInd w:val="0"/>
        <w:spacing w:after="0" w:line="240" w:lineRule="auto"/>
        <w:ind w:left="189" w:hanging="171"/>
        <w:rPr>
          <w:rFonts w:ascii="Times New Roman" w:hAnsi="Times New Roman"/>
        </w:rPr>
      </w:pPr>
      <w:r w:rsidRPr="0097258B">
        <w:rPr>
          <w:rFonts w:ascii="Times New Roman" w:hAnsi="Times New Roman"/>
        </w:rPr>
        <w:t>Limiter la vitesse de circulation à 25 km/h sur les voies d’accès ;</w:t>
      </w:r>
    </w:p>
    <w:p w14:paraId="659B1410" w14:textId="0E68ACFB" w:rsidR="00FA4622" w:rsidRPr="0097258B" w:rsidRDefault="00A100A3" w:rsidP="0097258B">
      <w:pPr>
        <w:numPr>
          <w:ilvl w:val="0"/>
          <w:numId w:val="13"/>
        </w:numPr>
        <w:autoSpaceDE w:val="0"/>
        <w:autoSpaceDN w:val="0"/>
        <w:adjustRightInd w:val="0"/>
        <w:spacing w:after="0" w:line="240" w:lineRule="auto"/>
        <w:ind w:left="189" w:hanging="171"/>
        <w:rPr>
          <w:rFonts w:ascii="Times New Roman" w:hAnsi="Times New Roman"/>
        </w:rPr>
      </w:pPr>
      <w:r w:rsidRPr="0097258B">
        <w:rPr>
          <w:rFonts w:ascii="Times New Roman" w:hAnsi="Times New Roman"/>
        </w:rPr>
        <w:t>Opérer à</w:t>
      </w:r>
      <w:r w:rsidR="00FA4622" w:rsidRPr="0097258B">
        <w:rPr>
          <w:rFonts w:ascii="Times New Roman" w:hAnsi="Times New Roman"/>
        </w:rPr>
        <w:t xml:space="preserve"> des sondages nécessaires pour repérer les réseaux souterrains</w:t>
      </w:r>
      <w:r w:rsidRPr="0097258B">
        <w:rPr>
          <w:rFonts w:ascii="Times New Roman" w:hAnsi="Times New Roman"/>
        </w:rPr>
        <w:t xml:space="preserve"> des concessionnaires et réaliser les travaux de dévoiement de réseau dans les meilleurs délais ;</w:t>
      </w:r>
    </w:p>
    <w:p w14:paraId="7B725430" w14:textId="04177FCD" w:rsidR="00AA2BEA" w:rsidRPr="00C7225F" w:rsidRDefault="00035394" w:rsidP="0097258B">
      <w:pPr>
        <w:numPr>
          <w:ilvl w:val="0"/>
          <w:numId w:val="13"/>
        </w:numPr>
        <w:autoSpaceDE w:val="0"/>
        <w:autoSpaceDN w:val="0"/>
        <w:adjustRightInd w:val="0"/>
        <w:spacing w:after="0" w:line="240" w:lineRule="auto"/>
        <w:ind w:left="189" w:hanging="171"/>
        <w:rPr>
          <w:rFonts w:ascii="Times New Roman" w:hAnsi="Times New Roman"/>
        </w:rPr>
      </w:pPr>
      <w:r w:rsidRPr="0097258B">
        <w:rPr>
          <w:rFonts w:ascii="Times New Roman" w:hAnsi="Times New Roman"/>
        </w:rPr>
        <w:t>En cas de découverte fortuite de vestiges, arrêter les travaux, circonscrire et protéger la zone et avertir immédiatement les services compétents pour conduite à tenir ;</w:t>
      </w:r>
      <w:r w:rsidR="00C220D3" w:rsidRPr="00C7225F">
        <w:rPr>
          <w:rFonts w:ascii="Times New Roman" w:hAnsi="Times New Roman"/>
        </w:rPr>
        <w:br/>
      </w:r>
      <w:r w:rsidR="00144A4A" w:rsidRPr="00277EF3">
        <w:rPr>
          <w:rFonts w:ascii="Times New Roman" w:hAnsi="Times New Roman"/>
        </w:rPr>
        <w:lastRenderedPageBreak/>
        <w:t xml:space="preserve">Sensibilisation et information des populations </w:t>
      </w:r>
      <w:r w:rsidR="00144A4A">
        <w:rPr>
          <w:rFonts w:ascii="Times New Roman" w:hAnsi="Times New Roman"/>
        </w:rPr>
        <w:t>(p</w:t>
      </w:r>
      <w:r w:rsidR="00C220D3" w:rsidRPr="00277EF3">
        <w:rPr>
          <w:rFonts w:ascii="Times New Roman" w:hAnsi="Times New Roman"/>
        </w:rPr>
        <w:t>révention des EAS/HS</w:t>
      </w:r>
      <w:r w:rsidR="00144A4A">
        <w:rPr>
          <w:rFonts w:ascii="Times New Roman" w:hAnsi="Times New Roman"/>
        </w:rPr>
        <w:t>,</w:t>
      </w:r>
      <w:r w:rsidR="00C220D3" w:rsidRPr="00277EF3">
        <w:rPr>
          <w:rFonts w:ascii="Times New Roman" w:hAnsi="Times New Roman"/>
        </w:rPr>
        <w:t xml:space="preserve"> exploitation et harcèlement sexuel</w:t>
      </w:r>
      <w:r w:rsidR="00452745">
        <w:rPr>
          <w:rFonts w:ascii="Times New Roman" w:hAnsi="Times New Roman"/>
        </w:rPr>
        <w:t>, etc.</w:t>
      </w:r>
      <w:r w:rsidR="00C220D3" w:rsidRPr="00277EF3">
        <w:rPr>
          <w:rFonts w:ascii="Times New Roman" w:hAnsi="Times New Roman"/>
        </w:rPr>
        <w:t>)</w:t>
      </w:r>
      <w:r w:rsidR="00452745">
        <w:rPr>
          <w:rFonts w:ascii="Times New Roman" w:hAnsi="Times New Roman"/>
        </w:rPr>
        <w:t> ;</w:t>
      </w:r>
    </w:p>
    <w:p w14:paraId="29F5FB67" w14:textId="6AA77B1C" w:rsidR="00C220D3" w:rsidRPr="0097258B" w:rsidRDefault="00835EF8" w:rsidP="0097258B">
      <w:pPr>
        <w:numPr>
          <w:ilvl w:val="0"/>
          <w:numId w:val="13"/>
        </w:numPr>
        <w:autoSpaceDE w:val="0"/>
        <w:autoSpaceDN w:val="0"/>
        <w:adjustRightInd w:val="0"/>
        <w:spacing w:after="0" w:line="240" w:lineRule="auto"/>
        <w:ind w:left="189" w:hanging="171"/>
        <w:rPr>
          <w:rFonts w:ascii="Times New Roman" w:hAnsi="Times New Roman"/>
        </w:rPr>
      </w:pPr>
      <w:r w:rsidRPr="0097258B">
        <w:rPr>
          <w:rFonts w:ascii="Times New Roman" w:hAnsi="Times New Roman"/>
        </w:rPr>
        <w:t>Faire un reboisement compensatoire sur le site</w:t>
      </w:r>
      <w:r w:rsidR="00C220D3" w:rsidRPr="00277EF3">
        <w:rPr>
          <w:rFonts w:ascii="Times New Roman" w:hAnsi="Times New Roman"/>
        </w:rPr>
        <w:br/>
      </w:r>
      <w:r w:rsidR="0086390D" w:rsidRPr="0097258B">
        <w:rPr>
          <w:rFonts w:ascii="Times New Roman" w:hAnsi="Times New Roman"/>
        </w:rPr>
        <w:t>Procéder à un aménagement paysager autour du site (PIC) ;</w:t>
      </w:r>
    </w:p>
    <w:p w14:paraId="25271E29" w14:textId="77777777" w:rsidR="00932493" w:rsidRPr="0097258B" w:rsidRDefault="00932493" w:rsidP="00932493">
      <w:pPr>
        <w:numPr>
          <w:ilvl w:val="0"/>
          <w:numId w:val="13"/>
        </w:numPr>
        <w:autoSpaceDE w:val="0"/>
        <w:autoSpaceDN w:val="0"/>
        <w:adjustRightInd w:val="0"/>
        <w:spacing w:after="0" w:line="240" w:lineRule="auto"/>
        <w:ind w:left="189" w:hanging="171"/>
        <w:rPr>
          <w:rFonts w:ascii="Times New Roman" w:hAnsi="Times New Roman"/>
        </w:rPr>
      </w:pPr>
      <w:r w:rsidRPr="0097258B">
        <w:rPr>
          <w:rFonts w:ascii="Times New Roman" w:hAnsi="Times New Roman"/>
        </w:rPr>
        <w:t>Préparer un code de bonne conduite à faire signer et respecter par tous les conducteurs de véhicules du chantier ;</w:t>
      </w:r>
    </w:p>
    <w:p w14:paraId="74ACD2FD" w14:textId="61F1F536" w:rsidR="00932493" w:rsidRPr="0097258B" w:rsidRDefault="00932493" w:rsidP="0097258B">
      <w:pPr>
        <w:numPr>
          <w:ilvl w:val="0"/>
          <w:numId w:val="13"/>
        </w:numPr>
        <w:autoSpaceDE w:val="0"/>
        <w:autoSpaceDN w:val="0"/>
        <w:adjustRightInd w:val="0"/>
        <w:spacing w:after="0" w:line="240" w:lineRule="auto"/>
        <w:ind w:left="189" w:hanging="171"/>
        <w:rPr>
          <w:rFonts w:ascii="Times New Roman" w:hAnsi="Times New Roman"/>
        </w:rPr>
      </w:pPr>
      <w:r w:rsidRPr="0097258B">
        <w:rPr>
          <w:rFonts w:ascii="Times New Roman" w:hAnsi="Times New Roman"/>
        </w:rPr>
        <w:t>Recruter en priorité la main-d’œuvre locale pour les emplois non qualifiés en tenant compte du genre ;</w:t>
      </w:r>
    </w:p>
    <w:p w14:paraId="5C52F854" w14:textId="5E3B9D90" w:rsidR="00E57793" w:rsidRPr="0097258B" w:rsidRDefault="00E57793" w:rsidP="0097258B">
      <w:pPr>
        <w:numPr>
          <w:ilvl w:val="0"/>
          <w:numId w:val="13"/>
        </w:numPr>
        <w:autoSpaceDE w:val="0"/>
        <w:autoSpaceDN w:val="0"/>
        <w:adjustRightInd w:val="0"/>
        <w:spacing w:after="0" w:line="240" w:lineRule="auto"/>
        <w:ind w:left="189" w:hanging="171"/>
        <w:rPr>
          <w:rFonts w:ascii="Times New Roman" w:hAnsi="Times New Roman"/>
        </w:rPr>
      </w:pPr>
      <w:r w:rsidRPr="0097258B">
        <w:rPr>
          <w:rFonts w:ascii="Times New Roman" w:hAnsi="Times New Roman"/>
        </w:rPr>
        <w:t>Appui au développement des services sociaux de base (clôture</w:t>
      </w:r>
      <w:r w:rsidR="0078790A" w:rsidRPr="0097258B">
        <w:rPr>
          <w:rFonts w:ascii="Times New Roman" w:hAnsi="Times New Roman"/>
        </w:rPr>
        <w:t xml:space="preserve">, </w:t>
      </w:r>
      <w:r w:rsidRPr="0097258B">
        <w:rPr>
          <w:rFonts w:ascii="Times New Roman" w:hAnsi="Times New Roman"/>
        </w:rPr>
        <w:t xml:space="preserve">latrines et adduction d’eau dans les écoles, appui </w:t>
      </w:r>
      <w:r w:rsidR="0078790A" w:rsidRPr="0097258B">
        <w:rPr>
          <w:rFonts w:ascii="Times New Roman" w:hAnsi="Times New Roman"/>
        </w:rPr>
        <w:t>au</w:t>
      </w:r>
      <w:r w:rsidR="001F0241">
        <w:rPr>
          <w:rFonts w:ascii="Times New Roman" w:hAnsi="Times New Roman"/>
        </w:rPr>
        <w:t>x</w:t>
      </w:r>
      <w:r w:rsidRPr="0097258B">
        <w:rPr>
          <w:rFonts w:ascii="Times New Roman" w:hAnsi="Times New Roman"/>
        </w:rPr>
        <w:t xml:space="preserve"> structures de santé</w:t>
      </w:r>
      <w:r w:rsidR="00BA103C" w:rsidRPr="0097258B">
        <w:rPr>
          <w:rFonts w:ascii="Times New Roman" w:hAnsi="Times New Roman"/>
        </w:rPr>
        <w:t>, etc.</w:t>
      </w:r>
      <w:r w:rsidRPr="0097258B">
        <w:rPr>
          <w:rFonts w:ascii="Times New Roman" w:hAnsi="Times New Roman"/>
        </w:rPr>
        <w:t>)</w:t>
      </w:r>
      <w:r w:rsidR="00C7225F" w:rsidRPr="0097258B">
        <w:rPr>
          <w:rFonts w:ascii="Times New Roman" w:hAnsi="Times New Roman"/>
        </w:rPr>
        <w:t>.</w:t>
      </w:r>
    </w:p>
    <w:p w14:paraId="4A3508D8" w14:textId="77777777" w:rsidR="0086390D" w:rsidRPr="00277EF3" w:rsidRDefault="0086390D" w:rsidP="0097258B">
      <w:pPr>
        <w:spacing w:after="0" w:line="240" w:lineRule="auto"/>
        <w:rPr>
          <w:rFonts w:ascii="Times New Roman" w:hAnsi="Times New Roman"/>
        </w:rPr>
      </w:pPr>
    </w:p>
    <w:p w14:paraId="5CBA714A" w14:textId="77777777" w:rsidR="00C220D3" w:rsidRPr="008A50C4" w:rsidRDefault="00C220D3" w:rsidP="008A50C4">
      <w:pPr>
        <w:rPr>
          <w:rFonts w:ascii="Times New Roman" w:hAnsi="Times New Roman"/>
          <w:b/>
          <w:bCs/>
          <w:i/>
          <w:iCs/>
        </w:rPr>
      </w:pPr>
      <w:r w:rsidRPr="008A50C4">
        <w:rPr>
          <w:rFonts w:ascii="Times New Roman" w:hAnsi="Times New Roman"/>
          <w:b/>
          <w:bCs/>
          <w:i/>
          <w:iCs/>
        </w:rPr>
        <w:t>En phase d’exploitation</w:t>
      </w:r>
    </w:p>
    <w:p w14:paraId="30FFF5F1" w14:textId="499A5835" w:rsidR="001C660D" w:rsidRDefault="00C03576" w:rsidP="005F42E4">
      <w:pPr>
        <w:numPr>
          <w:ilvl w:val="0"/>
          <w:numId w:val="13"/>
        </w:numPr>
        <w:autoSpaceDE w:val="0"/>
        <w:autoSpaceDN w:val="0"/>
        <w:adjustRightInd w:val="0"/>
        <w:spacing w:after="0" w:line="240" w:lineRule="auto"/>
        <w:ind w:left="189" w:hanging="171"/>
        <w:rPr>
          <w:rFonts w:ascii="Times New Roman" w:hAnsi="Times New Roman"/>
        </w:rPr>
      </w:pPr>
      <w:r>
        <w:rPr>
          <w:rFonts w:ascii="Times New Roman" w:hAnsi="Times New Roman"/>
        </w:rPr>
        <w:t>S</w:t>
      </w:r>
      <w:r w:rsidR="00834256">
        <w:rPr>
          <w:rFonts w:ascii="Times New Roman" w:hAnsi="Times New Roman"/>
        </w:rPr>
        <w:t>é</w:t>
      </w:r>
      <w:r>
        <w:rPr>
          <w:rFonts w:ascii="Times New Roman" w:hAnsi="Times New Roman"/>
        </w:rPr>
        <w:t>curis</w:t>
      </w:r>
      <w:r w:rsidR="001F0241">
        <w:rPr>
          <w:rFonts w:ascii="Times New Roman" w:hAnsi="Times New Roman"/>
        </w:rPr>
        <w:t>a</w:t>
      </w:r>
      <w:r>
        <w:rPr>
          <w:rFonts w:ascii="Times New Roman" w:hAnsi="Times New Roman"/>
        </w:rPr>
        <w:t xml:space="preserve">tion </w:t>
      </w:r>
      <w:r w:rsidR="00834256">
        <w:rPr>
          <w:rFonts w:ascii="Times New Roman" w:hAnsi="Times New Roman"/>
        </w:rPr>
        <w:t>(grilles de protection des bassin) et e</w:t>
      </w:r>
      <w:r w:rsidR="00C220D3" w:rsidRPr="001C660D">
        <w:rPr>
          <w:rFonts w:ascii="Times New Roman" w:hAnsi="Times New Roman"/>
        </w:rPr>
        <w:t>ntretien régulier des ouvrages</w:t>
      </w:r>
      <w:r w:rsidR="001C660D">
        <w:rPr>
          <w:rFonts w:ascii="Times New Roman" w:hAnsi="Times New Roman"/>
        </w:rPr>
        <w:t> ;</w:t>
      </w:r>
    </w:p>
    <w:p w14:paraId="33897A0A" w14:textId="2EDB3797" w:rsidR="001C660D" w:rsidRPr="0097258B" w:rsidRDefault="001C660D" w:rsidP="0097258B">
      <w:pPr>
        <w:numPr>
          <w:ilvl w:val="0"/>
          <w:numId w:val="13"/>
        </w:numPr>
        <w:autoSpaceDE w:val="0"/>
        <w:autoSpaceDN w:val="0"/>
        <w:adjustRightInd w:val="0"/>
        <w:spacing w:after="0" w:line="240" w:lineRule="auto"/>
        <w:ind w:left="189" w:hanging="171"/>
        <w:rPr>
          <w:rFonts w:ascii="Times New Roman" w:hAnsi="Times New Roman"/>
        </w:rPr>
      </w:pPr>
      <w:r w:rsidRPr="0097258B">
        <w:rPr>
          <w:rFonts w:ascii="Times New Roman" w:hAnsi="Times New Roman"/>
        </w:rPr>
        <w:t>Lutter contre le déversement de déchets solides et liquides dans les bassins et les canaux de drainage (contrôle, surveillance et sensibilisation, curage des bassins, etc.) en engageant le COLIGEP ;</w:t>
      </w:r>
    </w:p>
    <w:p w14:paraId="1281F073" w14:textId="099118A8" w:rsidR="001C660D" w:rsidRDefault="00C220D3" w:rsidP="001C660D">
      <w:pPr>
        <w:numPr>
          <w:ilvl w:val="0"/>
          <w:numId w:val="13"/>
        </w:numPr>
        <w:autoSpaceDE w:val="0"/>
        <w:autoSpaceDN w:val="0"/>
        <w:adjustRightInd w:val="0"/>
        <w:spacing w:after="0" w:line="240" w:lineRule="auto"/>
        <w:ind w:left="189" w:hanging="171"/>
        <w:rPr>
          <w:rFonts w:ascii="Times New Roman" w:hAnsi="Times New Roman"/>
        </w:rPr>
      </w:pPr>
      <w:r w:rsidRPr="00277EF3">
        <w:rPr>
          <w:rFonts w:ascii="Times New Roman" w:hAnsi="Times New Roman"/>
        </w:rPr>
        <w:t xml:space="preserve">Surveillance </w:t>
      </w:r>
      <w:r w:rsidR="004623DF">
        <w:rPr>
          <w:rFonts w:ascii="Times New Roman" w:hAnsi="Times New Roman"/>
        </w:rPr>
        <w:t xml:space="preserve">régulière </w:t>
      </w:r>
      <w:r w:rsidRPr="00277EF3">
        <w:rPr>
          <w:rFonts w:ascii="Times New Roman" w:hAnsi="Times New Roman"/>
        </w:rPr>
        <w:t>de la qualité des eaux</w:t>
      </w:r>
      <w:r w:rsidR="001C660D">
        <w:rPr>
          <w:rFonts w:ascii="Times New Roman" w:hAnsi="Times New Roman"/>
        </w:rPr>
        <w:t> ;</w:t>
      </w:r>
    </w:p>
    <w:p w14:paraId="0AA1BA82" w14:textId="77777777" w:rsidR="00581F82" w:rsidRDefault="00C220D3" w:rsidP="001C660D">
      <w:pPr>
        <w:numPr>
          <w:ilvl w:val="0"/>
          <w:numId w:val="13"/>
        </w:numPr>
        <w:autoSpaceDE w:val="0"/>
        <w:autoSpaceDN w:val="0"/>
        <w:adjustRightInd w:val="0"/>
        <w:spacing w:after="0" w:line="240" w:lineRule="auto"/>
        <w:ind w:left="189" w:hanging="171"/>
        <w:rPr>
          <w:rFonts w:ascii="Times New Roman" w:hAnsi="Times New Roman"/>
        </w:rPr>
      </w:pPr>
      <w:r w:rsidRPr="00277EF3">
        <w:rPr>
          <w:rFonts w:ascii="Times New Roman" w:hAnsi="Times New Roman"/>
        </w:rPr>
        <w:t>Contrôle de l’occupation des sols</w:t>
      </w:r>
      <w:r w:rsidR="00581F82">
        <w:rPr>
          <w:rFonts w:ascii="Times New Roman" w:hAnsi="Times New Roman"/>
        </w:rPr>
        <w:t> ;</w:t>
      </w:r>
    </w:p>
    <w:p w14:paraId="3A32D6DC" w14:textId="77777777" w:rsidR="0068409B" w:rsidRPr="0097258B" w:rsidRDefault="00C220D3" w:rsidP="001C660D">
      <w:pPr>
        <w:numPr>
          <w:ilvl w:val="0"/>
          <w:numId w:val="13"/>
        </w:numPr>
        <w:autoSpaceDE w:val="0"/>
        <w:autoSpaceDN w:val="0"/>
        <w:adjustRightInd w:val="0"/>
        <w:spacing w:after="0" w:line="240" w:lineRule="auto"/>
        <w:ind w:left="189" w:hanging="171"/>
        <w:rPr>
          <w:rFonts w:ascii="Times New Roman" w:hAnsi="Times New Roman"/>
        </w:rPr>
      </w:pPr>
      <w:r w:rsidRPr="00277EF3">
        <w:rPr>
          <w:rFonts w:ascii="Times New Roman" w:hAnsi="Times New Roman"/>
        </w:rPr>
        <w:t xml:space="preserve">Prévention des débordements </w:t>
      </w:r>
      <w:r w:rsidR="00132FEE">
        <w:rPr>
          <w:rFonts w:ascii="Times New Roman" w:hAnsi="Times New Roman"/>
        </w:rPr>
        <w:t>des bassins (</w:t>
      </w:r>
      <w:r w:rsidR="00132FEE" w:rsidRPr="0097258B">
        <w:rPr>
          <w:rFonts w:ascii="Times New Roman" w:hAnsi="Times New Roman"/>
        </w:rPr>
        <w:t>dispositif de pompage)</w:t>
      </w:r>
      <w:r w:rsidR="0068409B" w:rsidRPr="0097258B">
        <w:rPr>
          <w:rFonts w:ascii="Times New Roman" w:hAnsi="Times New Roman"/>
        </w:rPr>
        <w:t> ;</w:t>
      </w:r>
    </w:p>
    <w:p w14:paraId="56F7C2F4" w14:textId="77777777" w:rsidR="00834256" w:rsidRDefault="00C03576" w:rsidP="00834256">
      <w:pPr>
        <w:numPr>
          <w:ilvl w:val="0"/>
          <w:numId w:val="13"/>
        </w:numPr>
        <w:autoSpaceDE w:val="0"/>
        <w:autoSpaceDN w:val="0"/>
        <w:adjustRightInd w:val="0"/>
        <w:spacing w:after="0" w:line="240" w:lineRule="auto"/>
        <w:ind w:left="189" w:hanging="171"/>
        <w:rPr>
          <w:rFonts w:ascii="Times New Roman" w:hAnsi="Times New Roman"/>
        </w:rPr>
      </w:pPr>
      <w:r>
        <w:rPr>
          <w:rFonts w:ascii="Times New Roman" w:hAnsi="Times New Roman"/>
        </w:rPr>
        <w:t>S</w:t>
      </w:r>
      <w:r w:rsidRPr="0097258B">
        <w:rPr>
          <w:rFonts w:ascii="Times New Roman" w:hAnsi="Times New Roman"/>
        </w:rPr>
        <w:t xml:space="preserve">ensibiliser les populations sur les risques </w:t>
      </w:r>
      <w:r w:rsidR="00C220D3" w:rsidRPr="00277EF3">
        <w:rPr>
          <w:rFonts w:ascii="Times New Roman" w:hAnsi="Times New Roman"/>
        </w:rPr>
        <w:t>de noyade</w:t>
      </w:r>
      <w:r w:rsidR="00834256">
        <w:rPr>
          <w:rFonts w:ascii="Times New Roman" w:hAnsi="Times New Roman"/>
        </w:rPr>
        <w:t>.</w:t>
      </w:r>
    </w:p>
    <w:p w14:paraId="07FC4900" w14:textId="77777777" w:rsidR="00834256" w:rsidRDefault="00834256" w:rsidP="00834256">
      <w:pPr>
        <w:autoSpaceDE w:val="0"/>
        <w:autoSpaceDN w:val="0"/>
        <w:adjustRightInd w:val="0"/>
        <w:spacing w:after="0" w:line="240" w:lineRule="auto"/>
        <w:ind w:left="18"/>
      </w:pPr>
    </w:p>
    <w:p w14:paraId="6EA696F8" w14:textId="65ABB99A" w:rsidR="00C220D3" w:rsidRPr="008A50C4" w:rsidRDefault="00C220D3" w:rsidP="008A50C4">
      <w:pPr>
        <w:rPr>
          <w:rFonts w:ascii="Times New Roman" w:hAnsi="Times New Roman"/>
          <w:b/>
          <w:bCs/>
        </w:rPr>
      </w:pPr>
      <w:r w:rsidRPr="008A50C4">
        <w:rPr>
          <w:rFonts w:ascii="Times New Roman" w:hAnsi="Times New Roman"/>
          <w:b/>
          <w:bCs/>
        </w:rPr>
        <w:t>Budget du PGES</w:t>
      </w:r>
    </w:p>
    <w:p w14:paraId="07FA9ABD" w14:textId="7EE70FF1" w:rsidR="00C220D3" w:rsidRPr="00277EF3" w:rsidRDefault="003655ED" w:rsidP="00B02A3F">
      <w:pPr>
        <w:spacing w:line="240" w:lineRule="auto"/>
        <w:jc w:val="both"/>
        <w:rPr>
          <w:rFonts w:ascii="Times New Roman" w:hAnsi="Times New Roman"/>
        </w:rPr>
      </w:pPr>
      <w:r>
        <w:rPr>
          <w:rFonts w:ascii="Times New Roman" w:hAnsi="Times New Roman"/>
        </w:rPr>
        <w:t>Le b</w:t>
      </w:r>
      <w:r w:rsidR="00834256">
        <w:rPr>
          <w:rFonts w:ascii="Times New Roman" w:hAnsi="Times New Roman"/>
        </w:rPr>
        <w:t xml:space="preserve">udget total du PGES </w:t>
      </w:r>
      <w:r w:rsidR="00C220D3" w:rsidRPr="00277EF3">
        <w:rPr>
          <w:rFonts w:ascii="Times New Roman" w:hAnsi="Times New Roman"/>
        </w:rPr>
        <w:t xml:space="preserve">estimé </w:t>
      </w:r>
      <w:r w:rsidR="00834256">
        <w:rPr>
          <w:rFonts w:ascii="Times New Roman" w:hAnsi="Times New Roman"/>
        </w:rPr>
        <w:t>à</w:t>
      </w:r>
      <w:r w:rsidR="00C220D3" w:rsidRPr="00277EF3">
        <w:rPr>
          <w:rFonts w:ascii="Times New Roman" w:hAnsi="Times New Roman"/>
        </w:rPr>
        <w:t xml:space="preserve"> </w:t>
      </w:r>
      <w:r w:rsidR="00C220D3" w:rsidRPr="0097258B">
        <w:rPr>
          <w:rFonts w:ascii="Times New Roman" w:hAnsi="Times New Roman"/>
          <w:b/>
          <w:bCs/>
        </w:rPr>
        <w:t>2</w:t>
      </w:r>
      <w:r w:rsidR="007C2AA5">
        <w:rPr>
          <w:rFonts w:ascii="Times New Roman" w:hAnsi="Times New Roman"/>
          <w:b/>
          <w:bCs/>
        </w:rPr>
        <w:t>16</w:t>
      </w:r>
      <w:r w:rsidR="00C220D3" w:rsidRPr="0097258B">
        <w:rPr>
          <w:rFonts w:ascii="Times New Roman" w:hAnsi="Times New Roman"/>
          <w:b/>
          <w:bCs/>
        </w:rPr>
        <w:t xml:space="preserve"> 500 000 F</w:t>
      </w:r>
      <w:r w:rsidR="004A5531">
        <w:rPr>
          <w:rFonts w:ascii="Times New Roman" w:hAnsi="Times New Roman"/>
          <w:b/>
          <w:bCs/>
        </w:rPr>
        <w:t xml:space="preserve"> </w:t>
      </w:r>
      <w:r w:rsidR="00C220D3" w:rsidRPr="0097258B">
        <w:rPr>
          <w:rFonts w:ascii="Times New Roman" w:hAnsi="Times New Roman"/>
          <w:b/>
          <w:bCs/>
        </w:rPr>
        <w:t>CFA</w:t>
      </w:r>
      <w:r>
        <w:rPr>
          <w:rFonts w:ascii="Times New Roman" w:hAnsi="Times New Roman"/>
        </w:rPr>
        <w:t xml:space="preserve">, </w:t>
      </w:r>
      <w:r w:rsidR="00F364DB">
        <w:rPr>
          <w:rFonts w:ascii="Times New Roman" w:hAnsi="Times New Roman"/>
        </w:rPr>
        <w:t xml:space="preserve">couvre </w:t>
      </w:r>
      <w:r w:rsidR="009340F0">
        <w:rPr>
          <w:rFonts w:ascii="Times New Roman" w:hAnsi="Times New Roman"/>
        </w:rPr>
        <w:t xml:space="preserve">les mesures de </w:t>
      </w:r>
      <w:r w:rsidR="00C220D3" w:rsidRPr="00277EF3">
        <w:rPr>
          <w:rFonts w:ascii="Times New Roman" w:hAnsi="Times New Roman"/>
        </w:rPr>
        <w:t xml:space="preserve">reboisement, </w:t>
      </w:r>
      <w:r>
        <w:rPr>
          <w:rFonts w:ascii="Times New Roman" w:hAnsi="Times New Roman"/>
        </w:rPr>
        <w:t>l</w:t>
      </w:r>
      <w:r w:rsidR="009340F0">
        <w:rPr>
          <w:rFonts w:ascii="Times New Roman" w:hAnsi="Times New Roman"/>
        </w:rPr>
        <w:t xml:space="preserve">e </w:t>
      </w:r>
      <w:r w:rsidR="00834256">
        <w:rPr>
          <w:rFonts w:ascii="Times New Roman" w:hAnsi="Times New Roman"/>
        </w:rPr>
        <w:t xml:space="preserve">fonctionnement du mécanisme de </w:t>
      </w:r>
      <w:r w:rsidR="00C220D3" w:rsidRPr="00277EF3">
        <w:rPr>
          <w:rFonts w:ascii="Times New Roman" w:hAnsi="Times New Roman"/>
        </w:rPr>
        <w:t xml:space="preserve">gestion des plaintes, </w:t>
      </w:r>
      <w:r w:rsidR="009340F0">
        <w:rPr>
          <w:rFonts w:ascii="Times New Roman" w:hAnsi="Times New Roman"/>
        </w:rPr>
        <w:t xml:space="preserve">le </w:t>
      </w:r>
      <w:r w:rsidR="00C220D3" w:rsidRPr="00277EF3">
        <w:rPr>
          <w:rFonts w:ascii="Times New Roman" w:hAnsi="Times New Roman"/>
        </w:rPr>
        <w:t xml:space="preserve">renforcement des capacités, </w:t>
      </w:r>
      <w:r w:rsidR="009340F0">
        <w:rPr>
          <w:rFonts w:ascii="Times New Roman" w:hAnsi="Times New Roman"/>
        </w:rPr>
        <w:t xml:space="preserve">le </w:t>
      </w:r>
      <w:r w:rsidR="00C220D3" w:rsidRPr="00277EF3">
        <w:rPr>
          <w:rFonts w:ascii="Times New Roman" w:hAnsi="Times New Roman"/>
        </w:rPr>
        <w:t>suivi environnemental et social</w:t>
      </w:r>
      <w:r w:rsidR="00072998">
        <w:rPr>
          <w:rFonts w:ascii="Times New Roman" w:hAnsi="Times New Roman"/>
        </w:rPr>
        <w:t>,</w:t>
      </w:r>
      <w:r w:rsidR="00B02A3F">
        <w:rPr>
          <w:rFonts w:ascii="Times New Roman" w:hAnsi="Times New Roman"/>
        </w:rPr>
        <w:t xml:space="preserve"> et </w:t>
      </w:r>
      <w:r w:rsidR="009340F0">
        <w:rPr>
          <w:rFonts w:ascii="Times New Roman" w:hAnsi="Times New Roman"/>
        </w:rPr>
        <w:t>l’</w:t>
      </w:r>
      <w:r w:rsidR="00B02A3F">
        <w:rPr>
          <w:rFonts w:ascii="Times New Roman" w:hAnsi="Times New Roman"/>
        </w:rPr>
        <w:t>évaluation</w:t>
      </w:r>
      <w:r w:rsidR="00834256">
        <w:rPr>
          <w:rFonts w:ascii="Times New Roman" w:hAnsi="Times New Roman"/>
        </w:rPr>
        <w:t>.</w:t>
      </w:r>
    </w:p>
    <w:p w14:paraId="1BE78EC2" w14:textId="77777777" w:rsidR="005A6CA0" w:rsidRDefault="005A6CA0">
      <w:pPr>
        <w:spacing w:line="259" w:lineRule="auto"/>
        <w:rPr>
          <w:rFonts w:ascii="Times New Roman" w:hAnsi="Times New Roman"/>
          <w:b/>
          <w:color w:val="000000" w:themeColor="text1"/>
          <w:sz w:val="24"/>
          <w:szCs w:val="24"/>
        </w:rPr>
      </w:pPr>
      <w:r>
        <w:rPr>
          <w:caps/>
          <w:color w:val="000000" w:themeColor="text1"/>
          <w:szCs w:val="24"/>
        </w:rPr>
        <w:br w:type="page"/>
      </w:r>
    </w:p>
    <w:p w14:paraId="4033764E" w14:textId="77777777" w:rsidR="005A6CA0" w:rsidRPr="00301AF6" w:rsidRDefault="005A6CA0" w:rsidP="001F7B71">
      <w:pPr>
        <w:pStyle w:val="Titre2"/>
        <w:pBdr>
          <w:bottom w:val="none" w:sz="0" w:space="0" w:color="auto"/>
        </w:pBdr>
        <w:spacing w:before="0"/>
        <w:jc w:val="both"/>
        <w:rPr>
          <w:color w:val="auto"/>
          <w:sz w:val="22"/>
          <w:szCs w:val="22"/>
          <w:lang w:val="en-US"/>
        </w:rPr>
      </w:pPr>
      <w:bookmarkStart w:id="4" w:name="_Toc212725073"/>
      <w:r w:rsidRPr="00301AF6">
        <w:rPr>
          <w:color w:val="auto"/>
          <w:sz w:val="22"/>
          <w:szCs w:val="22"/>
          <w:lang w:val="en-US"/>
        </w:rPr>
        <w:lastRenderedPageBreak/>
        <w:t>EXECUTIVE SUMMARY</w:t>
      </w:r>
      <w:bookmarkEnd w:id="4"/>
      <w:r w:rsidRPr="00301AF6">
        <w:rPr>
          <w:color w:val="auto"/>
          <w:sz w:val="22"/>
          <w:szCs w:val="22"/>
          <w:lang w:val="en-US"/>
        </w:rPr>
        <w:t xml:space="preserve"> </w:t>
      </w:r>
    </w:p>
    <w:p w14:paraId="68330242" w14:textId="77777777" w:rsidR="00902E42" w:rsidRPr="001108C4" w:rsidRDefault="00902E42" w:rsidP="00902E42">
      <w:pPr>
        <w:rPr>
          <w:rFonts w:ascii="Times New Roman" w:hAnsi="Times New Roman"/>
          <w:b/>
          <w:bCs/>
          <w:lang w:val="en-US"/>
        </w:rPr>
      </w:pPr>
      <w:r w:rsidRPr="001108C4">
        <w:rPr>
          <w:rFonts w:ascii="Times New Roman" w:hAnsi="Times New Roman"/>
          <w:b/>
          <w:bCs/>
          <w:lang w:val="en-US"/>
        </w:rPr>
        <w:t>Context and Objectives</w:t>
      </w:r>
    </w:p>
    <w:p w14:paraId="07EA88C1" w14:textId="77777777" w:rsidR="00902E42" w:rsidRPr="001108C4" w:rsidRDefault="00902E42" w:rsidP="00902E42">
      <w:pPr>
        <w:jc w:val="both"/>
        <w:rPr>
          <w:rFonts w:ascii="Times New Roman" w:hAnsi="Times New Roman"/>
          <w:lang w:val="en-US"/>
        </w:rPr>
      </w:pPr>
      <w:r w:rsidRPr="001108C4">
        <w:rPr>
          <w:rFonts w:ascii="Times New Roman" w:hAnsi="Times New Roman"/>
          <w:lang w:val="en-US"/>
        </w:rPr>
        <w:t>PROGEP II is a project funded by the State of Senegal, the World Bank, and the Nordic Development Fund, aiming to reduce flood risks in the Dakar metropolitan area and strengthen climate resilience in several cities across Senegal. It spans five years with a budget of USD 155 million (83 billion CFA francs).</w:t>
      </w:r>
    </w:p>
    <w:p w14:paraId="4B8D0CD5" w14:textId="77777777" w:rsidR="00902E42" w:rsidRPr="001108C4" w:rsidRDefault="00902E42" w:rsidP="00902E42">
      <w:pPr>
        <w:rPr>
          <w:rFonts w:ascii="Times New Roman" w:hAnsi="Times New Roman"/>
          <w:b/>
          <w:bCs/>
          <w:lang w:val="en-US"/>
        </w:rPr>
      </w:pPr>
      <w:r w:rsidRPr="001108C4">
        <w:rPr>
          <w:rFonts w:ascii="Times New Roman" w:hAnsi="Times New Roman"/>
          <w:b/>
          <w:bCs/>
          <w:lang w:val="en-US"/>
        </w:rPr>
        <w:t>Objective of the Environmental and Social Impact Assessment</w:t>
      </w:r>
    </w:p>
    <w:p w14:paraId="7D323479" w14:textId="77777777" w:rsidR="00902E42" w:rsidRPr="001108C4" w:rsidRDefault="00902E42" w:rsidP="00902E42">
      <w:pPr>
        <w:jc w:val="both"/>
        <w:rPr>
          <w:rFonts w:ascii="Times New Roman" w:hAnsi="Times New Roman"/>
          <w:lang w:val="en-US"/>
        </w:rPr>
      </w:pPr>
      <w:r w:rsidRPr="001108C4">
        <w:rPr>
          <w:rFonts w:ascii="Times New Roman" w:hAnsi="Times New Roman"/>
          <w:color w:val="000000" w:themeColor="text1"/>
          <w:lang w:val="en-US"/>
        </w:rPr>
        <w:t>The Environmental and Social Impact Assessment (ESIA) of the planned works aims to identify and evaluate, in relation to the characteristics of the targeted area, the potential environmental and social impacts of the planned works, and to propose actions and mechanisms that can avoid, reduce and compensate for negative impacts and enhance positive impacts, in order to ensure that the developments to be carried out are rational, acceptable and sustainable from both an environmental and social point of view.</w:t>
      </w:r>
    </w:p>
    <w:p w14:paraId="0A13F1C8" w14:textId="77777777" w:rsidR="00902E42" w:rsidRPr="001108C4" w:rsidRDefault="00902E42" w:rsidP="00902E42">
      <w:pPr>
        <w:rPr>
          <w:rFonts w:ascii="Times New Roman" w:hAnsi="Times New Roman"/>
          <w:b/>
          <w:bCs/>
          <w:lang w:val="en-US"/>
        </w:rPr>
      </w:pPr>
      <w:r w:rsidRPr="001108C4">
        <w:rPr>
          <w:rFonts w:ascii="Times New Roman" w:hAnsi="Times New Roman"/>
          <w:b/>
          <w:bCs/>
          <w:lang w:val="en-US"/>
        </w:rPr>
        <w:t>Area of intervention</w:t>
      </w:r>
    </w:p>
    <w:p w14:paraId="3A2F47D2" w14:textId="77777777" w:rsidR="00902E42" w:rsidRPr="001108C4" w:rsidRDefault="00902E42" w:rsidP="00902E42">
      <w:pPr>
        <w:jc w:val="both"/>
        <w:rPr>
          <w:rFonts w:ascii="Times New Roman" w:hAnsi="Times New Roman"/>
          <w:lang w:val="en-US"/>
        </w:rPr>
      </w:pPr>
      <w:r w:rsidRPr="001108C4">
        <w:rPr>
          <w:rFonts w:ascii="Times New Roman" w:hAnsi="Times New Roman"/>
          <w:lang w:val="en-US"/>
        </w:rPr>
        <w:t xml:space="preserve">The project covers the Mbao stream catchment area (north, south and central zones), including the municipalities of Keur Massar Sud, </w:t>
      </w:r>
      <w:proofErr w:type="spellStart"/>
      <w:r w:rsidRPr="001108C4">
        <w:rPr>
          <w:rFonts w:ascii="Times New Roman" w:hAnsi="Times New Roman"/>
          <w:lang w:val="en-US"/>
        </w:rPr>
        <w:t>Jaxaay</w:t>
      </w:r>
      <w:proofErr w:type="spellEnd"/>
      <w:r w:rsidRPr="001108C4">
        <w:rPr>
          <w:rFonts w:ascii="Times New Roman" w:hAnsi="Times New Roman"/>
          <w:lang w:val="en-US"/>
        </w:rPr>
        <w:t xml:space="preserve">, </w:t>
      </w:r>
      <w:proofErr w:type="spellStart"/>
      <w:r w:rsidRPr="001108C4">
        <w:rPr>
          <w:rFonts w:ascii="Times New Roman" w:hAnsi="Times New Roman"/>
          <w:lang w:val="en-US"/>
        </w:rPr>
        <w:t>Rufisque</w:t>
      </w:r>
      <w:proofErr w:type="spellEnd"/>
      <w:r w:rsidRPr="001108C4">
        <w:rPr>
          <w:rFonts w:ascii="Times New Roman" w:hAnsi="Times New Roman"/>
          <w:lang w:val="en-US"/>
        </w:rPr>
        <w:t xml:space="preserve"> Ouest and Mbao.</w:t>
      </w:r>
    </w:p>
    <w:p w14:paraId="42E305AD" w14:textId="77777777" w:rsidR="00902E42" w:rsidRPr="001108C4" w:rsidRDefault="00902E42" w:rsidP="00902E42">
      <w:pPr>
        <w:rPr>
          <w:rFonts w:ascii="Times New Roman" w:hAnsi="Times New Roman"/>
          <w:b/>
          <w:bCs/>
          <w:lang w:val="en-US"/>
        </w:rPr>
      </w:pPr>
      <w:r w:rsidRPr="001108C4">
        <w:rPr>
          <w:rFonts w:ascii="Times New Roman" w:hAnsi="Times New Roman"/>
          <w:b/>
          <w:bCs/>
          <w:lang w:val="en-US"/>
        </w:rPr>
        <w:t>Project Components</w:t>
      </w:r>
    </w:p>
    <w:p w14:paraId="1A5D9524" w14:textId="77777777" w:rsidR="00902E42" w:rsidRPr="001108C4" w:rsidRDefault="00902E42" w:rsidP="00902E42">
      <w:pPr>
        <w:rPr>
          <w:rFonts w:ascii="Times New Roman" w:hAnsi="Times New Roman"/>
          <w:lang w:val="en-US"/>
        </w:rPr>
      </w:pPr>
      <w:r w:rsidRPr="001108C4">
        <w:rPr>
          <w:rFonts w:ascii="Times New Roman" w:hAnsi="Times New Roman"/>
          <w:lang w:val="en-US"/>
        </w:rPr>
        <w:t xml:space="preserve">1. Integrated urban planning </w:t>
      </w:r>
      <w:r w:rsidRPr="001108C4">
        <w:rPr>
          <w:rFonts w:ascii="Times New Roman" w:hAnsi="Times New Roman"/>
          <w:lang w:val="en-US"/>
        </w:rPr>
        <w:br/>
        <w:t>2. Investments in drainage and environmental/social management 3. Emergency response (CERC) 4. Project management</w:t>
      </w:r>
    </w:p>
    <w:p w14:paraId="132F5102" w14:textId="77777777" w:rsidR="00902E42" w:rsidRPr="001108C4" w:rsidRDefault="00902E42" w:rsidP="00902E42">
      <w:pPr>
        <w:rPr>
          <w:rFonts w:ascii="Times New Roman" w:hAnsi="Times New Roman"/>
          <w:b/>
          <w:bCs/>
          <w:lang w:val="en-US"/>
        </w:rPr>
      </w:pPr>
      <w:r w:rsidRPr="001108C4">
        <w:rPr>
          <w:rFonts w:ascii="Times New Roman" w:hAnsi="Times New Roman"/>
          <w:b/>
          <w:bCs/>
          <w:lang w:val="en-US"/>
        </w:rPr>
        <w:t>Main Planned Works</w:t>
      </w:r>
    </w:p>
    <w:p w14:paraId="194385C8" w14:textId="77777777" w:rsidR="00902E42" w:rsidRPr="001108C4" w:rsidRDefault="00902E42" w:rsidP="00902E42">
      <w:pPr>
        <w:jc w:val="both"/>
        <w:rPr>
          <w:rFonts w:ascii="Times New Roman" w:hAnsi="Times New Roman"/>
          <w:lang w:val="en-US"/>
        </w:rPr>
      </w:pPr>
      <w:r w:rsidRPr="001108C4">
        <w:rPr>
          <w:rFonts w:ascii="Times New Roman" w:hAnsi="Times New Roman"/>
          <w:lang w:val="en-US"/>
        </w:rPr>
        <w:t xml:space="preserve">Zone 1 (North-Upstream): 7 basins (72,150 m³), 6,020 ml of collectors, 10,400 ml of roads. </w:t>
      </w:r>
      <w:r w:rsidRPr="001108C4">
        <w:rPr>
          <w:rFonts w:ascii="Times New Roman" w:hAnsi="Times New Roman"/>
          <w:lang w:val="en-US"/>
        </w:rPr>
        <w:br/>
        <w:t>Zone 2 (South-Downstream): 5 basins (77,700 m³), 4,970 ml of collectors, 9,500 ml of roads. Zone 3 (Mbao Marigot): reprofiling, pumping station (1,300 m³/h).</w:t>
      </w:r>
    </w:p>
    <w:p w14:paraId="4E700B25" w14:textId="77777777" w:rsidR="00902E42" w:rsidRPr="001108C4" w:rsidRDefault="00902E42" w:rsidP="00902E42">
      <w:pPr>
        <w:rPr>
          <w:rFonts w:ascii="Times New Roman" w:hAnsi="Times New Roman"/>
          <w:b/>
          <w:bCs/>
          <w:lang w:val="en-US"/>
        </w:rPr>
      </w:pPr>
      <w:r w:rsidRPr="001108C4">
        <w:rPr>
          <w:rFonts w:ascii="Times New Roman" w:hAnsi="Times New Roman"/>
          <w:b/>
          <w:bCs/>
          <w:lang w:val="en-US"/>
        </w:rPr>
        <w:t>Political, legal and institutional framework</w:t>
      </w:r>
    </w:p>
    <w:p w14:paraId="3B685AD7" w14:textId="77777777" w:rsidR="00902E42" w:rsidRPr="001108C4" w:rsidRDefault="00902E42" w:rsidP="00902E42">
      <w:pPr>
        <w:jc w:val="both"/>
        <w:rPr>
          <w:rFonts w:ascii="Times New Roman" w:hAnsi="Times New Roman"/>
          <w:color w:val="000000" w:themeColor="text1"/>
          <w:lang w:val="en-US"/>
        </w:rPr>
      </w:pPr>
      <w:r w:rsidRPr="001108C4">
        <w:rPr>
          <w:rFonts w:ascii="Times New Roman" w:hAnsi="Times New Roman"/>
          <w:color w:val="000000" w:themeColor="text1"/>
          <w:lang w:val="en-US"/>
        </w:rPr>
        <w:t>The national legal framework is marked on the one hand by the Constitution of Senegal, the Environmental Code and several other environmental texts concerning the management of the living environment, pollution and nuisances, natural resources (fauna, flora, water), the institutional framework for the management of the environment and natural resources, land tenure, etc.</w:t>
      </w:r>
    </w:p>
    <w:p w14:paraId="2D71C020" w14:textId="77777777" w:rsidR="00902E42" w:rsidRPr="001108C4" w:rsidRDefault="00902E42" w:rsidP="00902E42">
      <w:pPr>
        <w:jc w:val="both"/>
        <w:rPr>
          <w:rFonts w:ascii="Times New Roman" w:hAnsi="Times New Roman"/>
          <w:color w:val="000000" w:themeColor="text1"/>
          <w:lang w:val="en-US"/>
        </w:rPr>
      </w:pPr>
      <w:r w:rsidRPr="001108C4">
        <w:rPr>
          <w:rFonts w:ascii="Times New Roman" w:hAnsi="Times New Roman"/>
          <w:color w:val="000000" w:themeColor="text1"/>
          <w:lang w:val="en-US"/>
        </w:rPr>
        <w:t>On the other hand, due to the environmental and social impacts that may result from the implementation of its project activities, eight (8) out of the Bank's ten (10) environmental and social standards (NES) are relevant and applicable to the project.</w:t>
      </w:r>
    </w:p>
    <w:p w14:paraId="7FE4532E" w14:textId="77777777" w:rsidR="00902E42" w:rsidRPr="001108C4" w:rsidRDefault="00902E42" w:rsidP="00902E42">
      <w:pPr>
        <w:jc w:val="both"/>
        <w:rPr>
          <w:rFonts w:ascii="Times New Roman" w:hAnsi="Times New Roman"/>
          <w:color w:val="000000" w:themeColor="text1"/>
          <w:lang w:val="en-US"/>
        </w:rPr>
      </w:pPr>
      <w:r w:rsidRPr="001108C4">
        <w:rPr>
          <w:rFonts w:ascii="Times New Roman" w:hAnsi="Times New Roman"/>
          <w:color w:val="000000" w:themeColor="text1"/>
          <w:lang w:val="en-US"/>
        </w:rPr>
        <w:t xml:space="preserve">Institutionally, several actors are involved in the implementation of the project, including: ADM, DIREC, CRSE of Dakar, CDREI of Keur Massar, </w:t>
      </w:r>
      <w:proofErr w:type="spellStart"/>
      <w:r w:rsidRPr="001108C4">
        <w:rPr>
          <w:rFonts w:ascii="Times New Roman" w:hAnsi="Times New Roman"/>
          <w:color w:val="000000" w:themeColor="text1"/>
          <w:lang w:val="en-US"/>
        </w:rPr>
        <w:t>Pikine</w:t>
      </w:r>
      <w:proofErr w:type="spellEnd"/>
      <w:r w:rsidRPr="001108C4">
        <w:rPr>
          <w:rFonts w:ascii="Times New Roman" w:hAnsi="Times New Roman"/>
          <w:color w:val="000000" w:themeColor="text1"/>
          <w:lang w:val="en-US"/>
        </w:rPr>
        <w:t xml:space="preserve"> and </w:t>
      </w:r>
      <w:proofErr w:type="spellStart"/>
      <w:r w:rsidRPr="001108C4">
        <w:rPr>
          <w:rFonts w:ascii="Times New Roman" w:hAnsi="Times New Roman"/>
          <w:color w:val="000000" w:themeColor="text1"/>
          <w:lang w:val="en-US"/>
        </w:rPr>
        <w:t>Rufisque</w:t>
      </w:r>
      <w:proofErr w:type="spellEnd"/>
      <w:r w:rsidRPr="001108C4">
        <w:rPr>
          <w:rFonts w:ascii="Times New Roman" w:hAnsi="Times New Roman"/>
          <w:color w:val="000000" w:themeColor="text1"/>
          <w:lang w:val="en-US"/>
        </w:rPr>
        <w:t xml:space="preserve">, DA, DEFCCS, ONAS, AGEROUTE, DSCOS, DNH, ANACIM, DPC, ANAT, DGPRE, DGUA, DPGI, BNSP, SNHLM, Communes of Mbao, </w:t>
      </w:r>
      <w:proofErr w:type="spellStart"/>
      <w:r w:rsidRPr="001108C4">
        <w:rPr>
          <w:rFonts w:ascii="Times New Roman" w:hAnsi="Times New Roman"/>
          <w:color w:val="000000" w:themeColor="text1"/>
          <w:lang w:val="en-US"/>
        </w:rPr>
        <w:t>Rufisque</w:t>
      </w:r>
      <w:proofErr w:type="spellEnd"/>
      <w:r w:rsidRPr="001108C4">
        <w:rPr>
          <w:rFonts w:ascii="Times New Roman" w:hAnsi="Times New Roman"/>
          <w:color w:val="000000" w:themeColor="text1"/>
          <w:lang w:val="en-US"/>
        </w:rPr>
        <w:t xml:space="preserve"> Ouest, </w:t>
      </w:r>
      <w:proofErr w:type="spellStart"/>
      <w:r w:rsidRPr="001108C4">
        <w:rPr>
          <w:rFonts w:ascii="Times New Roman" w:hAnsi="Times New Roman"/>
          <w:color w:val="000000" w:themeColor="text1"/>
          <w:lang w:val="en-US"/>
        </w:rPr>
        <w:t>Jaxaay-Parcelles</w:t>
      </w:r>
      <w:proofErr w:type="spellEnd"/>
      <w:r w:rsidRPr="001108C4">
        <w:rPr>
          <w:rFonts w:ascii="Times New Roman" w:hAnsi="Times New Roman"/>
          <w:color w:val="000000" w:themeColor="text1"/>
          <w:lang w:val="en-US"/>
        </w:rPr>
        <w:t xml:space="preserve"> and Keur Massar Sud.</w:t>
      </w:r>
    </w:p>
    <w:p w14:paraId="4ABD2523" w14:textId="77777777" w:rsidR="00902E42" w:rsidRPr="001108C4" w:rsidRDefault="00902E42" w:rsidP="00902E42">
      <w:pPr>
        <w:rPr>
          <w:rFonts w:ascii="Times New Roman" w:hAnsi="Times New Roman"/>
          <w:b/>
          <w:bCs/>
          <w:lang w:val="en-US"/>
        </w:rPr>
      </w:pPr>
      <w:r w:rsidRPr="001108C4">
        <w:rPr>
          <w:rFonts w:ascii="Times New Roman" w:hAnsi="Times New Roman"/>
          <w:b/>
          <w:bCs/>
          <w:lang w:val="en-US"/>
        </w:rPr>
        <w:t>Public consultation</w:t>
      </w:r>
    </w:p>
    <w:p w14:paraId="55467D44" w14:textId="77777777" w:rsidR="00902E42" w:rsidRPr="001108C4" w:rsidRDefault="00902E42" w:rsidP="00902E42">
      <w:pPr>
        <w:jc w:val="both"/>
        <w:rPr>
          <w:rFonts w:ascii="Times New Roman" w:hAnsi="Times New Roman"/>
          <w:color w:val="000000" w:themeColor="text1"/>
          <w:lang w:val="en-US"/>
        </w:rPr>
      </w:pPr>
      <w:r w:rsidRPr="001108C4">
        <w:rPr>
          <w:rFonts w:ascii="Times New Roman" w:hAnsi="Times New Roman"/>
          <w:color w:val="000000" w:themeColor="text1"/>
          <w:lang w:val="en-US"/>
        </w:rPr>
        <w:t>The objective of the public consultation is to ensure the participation of the local population and other stakeholders in the project's activity planning process. This includes: (</w:t>
      </w:r>
      <w:proofErr w:type="spellStart"/>
      <w:r w:rsidRPr="001108C4">
        <w:rPr>
          <w:rFonts w:ascii="Times New Roman" w:hAnsi="Times New Roman"/>
          <w:color w:val="000000" w:themeColor="text1"/>
          <w:lang w:val="en-US"/>
        </w:rPr>
        <w:t>i</w:t>
      </w:r>
      <w:proofErr w:type="spellEnd"/>
      <w:r w:rsidRPr="001108C4">
        <w:rPr>
          <w:rFonts w:ascii="Times New Roman" w:hAnsi="Times New Roman"/>
          <w:color w:val="000000" w:themeColor="text1"/>
          <w:lang w:val="en-US"/>
        </w:rPr>
        <w:t>) informing stakeholders about the project and its activities; (ii) allowing stakeholders to express their views and opinions on the project; and (iii) identifying and gathering stakeholders' concerns (needs, expectations, fears, etc.) regarding the project, as well as their recommendations and suggestions.</w:t>
      </w:r>
    </w:p>
    <w:p w14:paraId="0C407378" w14:textId="77777777" w:rsidR="00902E42" w:rsidRPr="001108C4" w:rsidRDefault="00902E42" w:rsidP="00902E42">
      <w:pPr>
        <w:jc w:val="both"/>
        <w:rPr>
          <w:rFonts w:ascii="Times New Roman" w:hAnsi="Times New Roman"/>
          <w:color w:val="000000" w:themeColor="text1"/>
          <w:lang w:val="en-US"/>
        </w:rPr>
      </w:pPr>
      <w:r w:rsidRPr="001108C4">
        <w:rPr>
          <w:rFonts w:ascii="Times New Roman" w:hAnsi="Times New Roman"/>
          <w:color w:val="000000" w:themeColor="text1"/>
          <w:lang w:val="en-US"/>
        </w:rPr>
        <w:lastRenderedPageBreak/>
        <w:t>The consultations took place between September 30, 2024 and May 22, 2025, and involved the populations of the impacted neighborhoods, local authorities (municipalities), administrative authorities, relevant technical services, concessionaires of various networks, socio-professional organizations (market gardeners of the classified forest of Mbao, fishermen of Mbao, women processors of fish products in Mbao, etc.).</w:t>
      </w:r>
    </w:p>
    <w:p w14:paraId="1F9A8D4D" w14:textId="77777777" w:rsidR="00902E42" w:rsidRPr="001108C4" w:rsidRDefault="00902E42" w:rsidP="00902E42">
      <w:pPr>
        <w:jc w:val="both"/>
        <w:rPr>
          <w:rFonts w:ascii="Times New Roman" w:hAnsi="Times New Roman"/>
          <w:b/>
          <w:bCs/>
          <w:color w:val="000000" w:themeColor="text1"/>
          <w:lang w:val="en-US"/>
        </w:rPr>
      </w:pPr>
      <w:r w:rsidRPr="001108C4">
        <w:rPr>
          <w:rFonts w:ascii="Times New Roman" w:hAnsi="Times New Roman"/>
          <w:b/>
          <w:bCs/>
          <w:color w:val="000000" w:themeColor="text1"/>
          <w:lang w:val="en-US"/>
        </w:rPr>
        <w:t>Analysis of variants</w:t>
      </w:r>
    </w:p>
    <w:p w14:paraId="072B7A20" w14:textId="77777777" w:rsidR="00902E42" w:rsidRPr="001108C4" w:rsidRDefault="00902E42" w:rsidP="00902E42">
      <w:pPr>
        <w:jc w:val="both"/>
        <w:rPr>
          <w:rFonts w:ascii="Times New Roman" w:hAnsi="Times New Roman"/>
          <w:b/>
          <w:bCs/>
          <w:lang w:val="en-US"/>
        </w:rPr>
      </w:pPr>
      <w:r w:rsidRPr="001108C4">
        <w:rPr>
          <w:rFonts w:ascii="Times New Roman" w:eastAsia="Times New Roman" w:hAnsi="Times New Roman"/>
          <w:noProof/>
          <w:lang w:val="en-US"/>
        </w:rPr>
        <w:t>The analysis of the options involves comparing the scenario "without a project" with the scenario "with a project," as well as the different options within the scenario "with a project." These options focus primarily on the choice of site for the departmental platform and the selection of priority sectors. This analysis aims to assess the advantages and disadvantages based on environmental and socio-economic constraints, while also considering the design and technology that will be implemented in the project.</w:t>
      </w:r>
    </w:p>
    <w:p w14:paraId="29F8C51D" w14:textId="77777777" w:rsidR="00902E42" w:rsidRPr="001108C4" w:rsidRDefault="00902E42" w:rsidP="00902E42">
      <w:pPr>
        <w:jc w:val="both"/>
        <w:rPr>
          <w:rFonts w:ascii="Times New Roman" w:hAnsi="Times New Roman"/>
          <w:color w:val="000000" w:themeColor="text1"/>
          <w:lang w:val="en-US"/>
        </w:rPr>
      </w:pPr>
      <w:r w:rsidRPr="001108C4">
        <w:rPr>
          <w:rFonts w:ascii="Times New Roman" w:hAnsi="Times New Roman"/>
          <w:color w:val="000000" w:themeColor="text1"/>
          <w:lang w:val="en-US"/>
        </w:rPr>
        <w:t xml:space="preserve">The "With Project" option is strongly recommended. Despite the recorded negative impacts, it offers major advantages for environmental, social, and economic development in the project area. The recorded negative impacts will be </w:t>
      </w:r>
      <w:proofErr w:type="gramStart"/>
      <w:r w:rsidRPr="001108C4">
        <w:rPr>
          <w:rFonts w:ascii="Times New Roman" w:hAnsi="Times New Roman"/>
          <w:color w:val="000000" w:themeColor="text1"/>
          <w:lang w:val="en-US"/>
        </w:rPr>
        <w:t>taken into account</w:t>
      </w:r>
      <w:proofErr w:type="gramEnd"/>
      <w:r w:rsidRPr="001108C4">
        <w:rPr>
          <w:rFonts w:ascii="Times New Roman" w:hAnsi="Times New Roman"/>
          <w:color w:val="000000" w:themeColor="text1"/>
          <w:lang w:val="en-US"/>
        </w:rPr>
        <w:t>.</w:t>
      </w:r>
      <w:r w:rsidRPr="001108C4">
        <w:rPr>
          <w:rFonts w:ascii="Times New Roman" w:hAnsi="Times New Roman"/>
          <w:color w:val="000000" w:themeColor="text1"/>
          <w:lang w:val="en-US" w:bidi="en-US"/>
        </w:rPr>
        <w:t xml:space="preserve"> </w:t>
      </w:r>
      <w:r w:rsidRPr="001108C4">
        <w:rPr>
          <w:rFonts w:ascii="Times New Roman" w:hAnsi="Times New Roman"/>
          <w:color w:val="000000" w:themeColor="text1"/>
          <w:lang w:val="en-US"/>
        </w:rPr>
        <w:t>in the Environmental and Social Management Plan (ESMP).</w:t>
      </w:r>
    </w:p>
    <w:p w14:paraId="47AEB8CF" w14:textId="77777777" w:rsidR="00902E42" w:rsidRPr="001108C4" w:rsidRDefault="00902E42" w:rsidP="00902E42">
      <w:pPr>
        <w:jc w:val="both"/>
        <w:rPr>
          <w:rFonts w:ascii="Times New Roman" w:hAnsi="Times New Roman"/>
          <w:b/>
          <w:bCs/>
          <w:lang w:val="en-US"/>
        </w:rPr>
      </w:pPr>
      <w:r w:rsidRPr="001108C4">
        <w:rPr>
          <w:rFonts w:ascii="Times New Roman" w:hAnsi="Times New Roman"/>
          <w:b/>
          <w:bCs/>
          <w:lang w:val="en-US"/>
        </w:rPr>
        <w:t>Descriptive analysis of the variants</w:t>
      </w:r>
    </w:p>
    <w:p w14:paraId="14F4BDC9" w14:textId="77777777" w:rsidR="00902E42" w:rsidRPr="001108C4" w:rsidRDefault="00902E42" w:rsidP="00902E42">
      <w:pPr>
        <w:rPr>
          <w:rFonts w:ascii="Times New Roman" w:hAnsi="Times New Roman"/>
          <w:color w:val="000000" w:themeColor="text1"/>
          <w:lang w:val="en-US"/>
        </w:rPr>
      </w:pPr>
      <w:r w:rsidRPr="001108C4">
        <w:rPr>
          <w:rFonts w:ascii="Times New Roman" w:hAnsi="Times New Roman"/>
          <w:color w:val="000000" w:themeColor="text1"/>
          <w:lang w:val="en-US"/>
        </w:rPr>
        <w:t>The project presents technical variants and variants of the collector network layout.</w:t>
      </w:r>
    </w:p>
    <w:p w14:paraId="0C2180AB" w14:textId="77777777" w:rsidR="00902E42" w:rsidRPr="001108C4" w:rsidRDefault="00902E42" w:rsidP="00902E42">
      <w:pPr>
        <w:jc w:val="both"/>
        <w:rPr>
          <w:rFonts w:ascii="Times New Roman" w:hAnsi="Times New Roman"/>
          <w:b/>
          <w:bCs/>
          <w:color w:val="000000" w:themeColor="text1"/>
          <w:lang w:val="en-US"/>
        </w:rPr>
      </w:pPr>
      <w:r w:rsidRPr="001108C4">
        <w:rPr>
          <w:rFonts w:ascii="Times New Roman" w:hAnsi="Times New Roman"/>
          <w:b/>
          <w:bCs/>
          <w:color w:val="000000" w:themeColor="text1"/>
          <w:lang w:val="en-US"/>
        </w:rPr>
        <w:t>Technical variants</w:t>
      </w:r>
    </w:p>
    <w:p w14:paraId="7C51DFE2" w14:textId="77777777" w:rsidR="00902E42" w:rsidRPr="001108C4" w:rsidRDefault="00902E42" w:rsidP="00902E42">
      <w:pPr>
        <w:jc w:val="both"/>
        <w:rPr>
          <w:rFonts w:ascii="Times New Roman" w:hAnsi="Times New Roman"/>
          <w:color w:val="000000" w:themeColor="text1"/>
          <w:lang w:val="en-US"/>
        </w:rPr>
      </w:pPr>
      <w:proofErr w:type="gramStart"/>
      <w:r w:rsidRPr="001108C4">
        <w:rPr>
          <w:rFonts w:ascii="Times New Roman" w:hAnsi="Times New Roman"/>
          <w:color w:val="000000" w:themeColor="text1"/>
          <w:lang w:val="en-US"/>
        </w:rPr>
        <w:t>In order to</w:t>
      </w:r>
      <w:proofErr w:type="gramEnd"/>
      <w:r w:rsidRPr="001108C4">
        <w:rPr>
          <w:rFonts w:ascii="Times New Roman" w:hAnsi="Times New Roman"/>
          <w:color w:val="000000" w:themeColor="text1"/>
          <w:lang w:val="en-US"/>
        </w:rPr>
        <w:t xml:space="preserve"> implement a stormwater drainage system better suited to the living conditions of the population in the municipalities of Keur Massar Sud, </w:t>
      </w:r>
      <w:proofErr w:type="spellStart"/>
      <w:r w:rsidRPr="001108C4">
        <w:rPr>
          <w:rFonts w:ascii="Times New Roman" w:hAnsi="Times New Roman"/>
          <w:color w:val="000000" w:themeColor="text1"/>
          <w:lang w:val="en-US"/>
        </w:rPr>
        <w:t>Jaxaay</w:t>
      </w:r>
      <w:proofErr w:type="spellEnd"/>
      <w:r w:rsidRPr="001108C4">
        <w:rPr>
          <w:rFonts w:ascii="Times New Roman" w:hAnsi="Times New Roman"/>
          <w:color w:val="000000" w:themeColor="text1"/>
          <w:lang w:val="en-US"/>
        </w:rPr>
        <w:t xml:space="preserve">, Mbao, and </w:t>
      </w:r>
      <w:proofErr w:type="spellStart"/>
      <w:r w:rsidRPr="001108C4">
        <w:rPr>
          <w:rFonts w:ascii="Times New Roman" w:hAnsi="Times New Roman"/>
          <w:color w:val="000000" w:themeColor="text1"/>
          <w:lang w:val="en-US"/>
        </w:rPr>
        <w:t>Rufisque</w:t>
      </w:r>
      <w:proofErr w:type="spellEnd"/>
      <w:r w:rsidRPr="001108C4">
        <w:rPr>
          <w:rFonts w:ascii="Times New Roman" w:hAnsi="Times New Roman"/>
          <w:color w:val="000000" w:themeColor="text1"/>
          <w:lang w:val="en-US"/>
        </w:rPr>
        <w:t xml:space="preserve"> Ouest, the project presents two technical options for stormwater collection: the installation of a gravity drainage network or a drainage system with pumping stations.</w:t>
      </w:r>
    </w:p>
    <w:p w14:paraId="6C06D10B" w14:textId="77777777" w:rsidR="00902E42" w:rsidRPr="001108C4" w:rsidRDefault="00902E42" w:rsidP="00902E42">
      <w:pPr>
        <w:jc w:val="both"/>
        <w:rPr>
          <w:rFonts w:ascii="Times New Roman" w:hAnsi="Times New Roman"/>
          <w:color w:val="000000" w:themeColor="text1"/>
          <w:lang w:val="en-US"/>
        </w:rPr>
      </w:pPr>
      <w:r w:rsidRPr="001108C4">
        <w:rPr>
          <w:rFonts w:ascii="Times New Roman" w:hAnsi="Times New Roman"/>
          <w:b/>
          <w:bCs/>
          <w:color w:val="000000" w:themeColor="text1"/>
          <w:lang w:val="en-US"/>
        </w:rPr>
        <w:t>Gravity drainage system</w:t>
      </w:r>
    </w:p>
    <w:p w14:paraId="5C8E7B38" w14:textId="77777777" w:rsidR="00902E42" w:rsidRPr="001108C4" w:rsidRDefault="00902E42" w:rsidP="00902E42">
      <w:pPr>
        <w:jc w:val="both"/>
        <w:rPr>
          <w:rFonts w:ascii="Times New Roman" w:hAnsi="Times New Roman"/>
          <w:color w:val="000000" w:themeColor="text1"/>
          <w:lang w:val="en-US"/>
        </w:rPr>
      </w:pPr>
      <w:r w:rsidRPr="001108C4">
        <w:rPr>
          <w:rFonts w:ascii="Times New Roman" w:hAnsi="Times New Roman"/>
          <w:color w:val="000000" w:themeColor="text1"/>
          <w:lang w:val="en-US"/>
        </w:rPr>
        <w:t>The collectors are established through a gravity drainage network. By definition, a network is considered gravity-fed when wastewater flows from top to bottom due to the slope of the pipe and the effect of gravity, ensuring the evacuation of all rainwater and its discharge into natural outlets. These collectors will provide both advantages and disadvantages for the environment, society, and the economy.</w:t>
      </w:r>
    </w:p>
    <w:p w14:paraId="611A06A8" w14:textId="77777777" w:rsidR="00902E42" w:rsidRPr="001108C4" w:rsidRDefault="00902E42" w:rsidP="00902E42">
      <w:pPr>
        <w:numPr>
          <w:ilvl w:val="3"/>
          <w:numId w:val="0"/>
        </w:numPr>
        <w:ind w:left="720" w:hanging="720"/>
        <w:rPr>
          <w:rFonts w:ascii="Times New Roman" w:hAnsi="Times New Roman"/>
          <w:b/>
          <w:bCs/>
          <w:color w:val="000000" w:themeColor="text1"/>
          <w:lang w:val="en-US"/>
        </w:rPr>
      </w:pPr>
      <w:r w:rsidRPr="001108C4">
        <w:rPr>
          <w:rFonts w:ascii="Times New Roman" w:hAnsi="Times New Roman"/>
          <w:b/>
          <w:bCs/>
          <w:color w:val="000000" w:themeColor="text1"/>
          <w:lang w:val="en-US"/>
        </w:rPr>
        <w:t>Drainage system with pumping stations</w:t>
      </w:r>
    </w:p>
    <w:p w14:paraId="0DE11C9B" w14:textId="1AFD891E" w:rsidR="00902E42" w:rsidRPr="000C0E75" w:rsidRDefault="00902E42" w:rsidP="000C0E75">
      <w:pPr>
        <w:jc w:val="both"/>
        <w:rPr>
          <w:rFonts w:ascii="Times New Roman" w:hAnsi="Times New Roman"/>
          <w:bCs/>
          <w:color w:val="000000" w:themeColor="text1"/>
          <w:lang w:val="en-US"/>
        </w:rPr>
      </w:pPr>
      <w:r w:rsidRPr="001108C4">
        <w:rPr>
          <w:rFonts w:ascii="Times New Roman" w:hAnsi="Times New Roman"/>
          <w:bCs/>
          <w:color w:val="000000" w:themeColor="text1"/>
          <w:lang w:val="en-US"/>
        </w:rPr>
        <w:t>To promote rapid and efficient drainage of rainwater, each retention basin must be equipped with a pumping station. These pumping stations will have both positive and negative effects.</w:t>
      </w:r>
    </w:p>
    <w:p w14:paraId="10131A76" w14:textId="77777777" w:rsidR="00902E42" w:rsidRPr="001108C4" w:rsidRDefault="00902E42" w:rsidP="00902E42">
      <w:pPr>
        <w:jc w:val="both"/>
        <w:rPr>
          <w:rFonts w:ascii="Times New Roman" w:hAnsi="Times New Roman"/>
          <w:color w:val="000000" w:themeColor="text1"/>
          <w:lang w:val="en-US"/>
        </w:rPr>
      </w:pPr>
      <w:r w:rsidRPr="001108C4">
        <w:rPr>
          <w:rFonts w:ascii="Times New Roman" w:hAnsi="Times New Roman"/>
          <w:color w:val="000000" w:themeColor="text1"/>
          <w:lang w:val="en-US"/>
        </w:rPr>
        <w:t>The option of a drainage network with pumping stations proves very costly in terms of investment, operation, and maintenance, and causes problems related to the complexity of upkeep and maintenance, raising concerns about the durability and renewal of the infrastructure. In contrast, a gravity-fed system (constructing basins with pipe networks) offers more comparative advantages in terms of investment and operating costs.</w:t>
      </w:r>
    </w:p>
    <w:p w14:paraId="47EAE487" w14:textId="77777777" w:rsidR="00902E42" w:rsidRPr="001108C4" w:rsidRDefault="00902E42" w:rsidP="00902E42">
      <w:pPr>
        <w:jc w:val="both"/>
        <w:rPr>
          <w:rFonts w:ascii="Times New Roman" w:hAnsi="Times New Roman"/>
          <w:color w:val="000000" w:themeColor="text1"/>
          <w:lang w:val="en-US"/>
        </w:rPr>
      </w:pPr>
      <w:r w:rsidRPr="001108C4">
        <w:rPr>
          <w:rFonts w:ascii="Times New Roman" w:hAnsi="Times New Roman"/>
          <w:color w:val="000000" w:themeColor="text1"/>
          <w:lang w:val="en-US"/>
        </w:rPr>
        <w:t>Thus, implementing the project with a gravity drainage system is the preferred option, as it will ensure the social acceptability of the project through the accompanying urban development component (roads, PIC, etc.).</w:t>
      </w:r>
    </w:p>
    <w:p w14:paraId="194DE9B5" w14:textId="77777777" w:rsidR="00902E42" w:rsidRPr="001108C4" w:rsidRDefault="00902E42" w:rsidP="00902E42">
      <w:pPr>
        <w:jc w:val="both"/>
        <w:rPr>
          <w:rFonts w:ascii="Times New Roman" w:hAnsi="Times New Roman"/>
          <w:color w:val="000000" w:themeColor="text1"/>
          <w:lang w:val="en-US"/>
        </w:rPr>
      </w:pPr>
      <w:r w:rsidRPr="001108C4">
        <w:rPr>
          <w:rFonts w:ascii="Times New Roman" w:hAnsi="Times New Roman"/>
          <w:color w:val="000000" w:themeColor="text1"/>
          <w:lang w:val="en-US"/>
        </w:rPr>
        <w:t>In relation to the negative impacts of this alternative, appropriate measures are proposed to mitigate them and enhance the positive impacts of the project.</w:t>
      </w:r>
    </w:p>
    <w:p w14:paraId="5D0B9659" w14:textId="77777777" w:rsidR="00902E42" w:rsidRPr="001108C4" w:rsidRDefault="00902E42" w:rsidP="00902E42">
      <w:pPr>
        <w:numPr>
          <w:ilvl w:val="3"/>
          <w:numId w:val="0"/>
        </w:numPr>
        <w:rPr>
          <w:rFonts w:ascii="Times New Roman" w:hAnsi="Times New Roman"/>
          <w:b/>
          <w:bCs/>
          <w:color w:val="000000" w:themeColor="text1"/>
          <w:lang w:val="en-US"/>
        </w:rPr>
      </w:pPr>
      <w:r w:rsidRPr="001108C4">
        <w:rPr>
          <w:rFonts w:ascii="Times New Roman" w:hAnsi="Times New Roman"/>
          <w:b/>
          <w:bCs/>
          <w:color w:val="000000" w:themeColor="text1"/>
          <w:lang w:val="en-US"/>
        </w:rPr>
        <w:t>Variations of the collector network</w:t>
      </w:r>
    </w:p>
    <w:p w14:paraId="2093CD1E" w14:textId="77777777" w:rsidR="00902E42" w:rsidRPr="001108C4" w:rsidRDefault="00902E42" w:rsidP="00902E42">
      <w:pPr>
        <w:jc w:val="both"/>
        <w:rPr>
          <w:rFonts w:ascii="Times New Roman" w:hAnsi="Times New Roman"/>
          <w:color w:val="000000" w:themeColor="text1"/>
          <w:lang w:val="en-US"/>
        </w:rPr>
      </w:pPr>
      <w:r w:rsidRPr="001108C4">
        <w:rPr>
          <w:rFonts w:ascii="Times New Roman" w:hAnsi="Times New Roman"/>
          <w:color w:val="000000" w:themeColor="text1"/>
          <w:lang w:val="en-US"/>
        </w:rPr>
        <w:t>To promote efficient drainage, two variants of the collector network are proposed. These variants are shown on the map below.</w:t>
      </w:r>
    </w:p>
    <w:p w14:paraId="6130CA3E" w14:textId="77777777" w:rsidR="00902E42" w:rsidRPr="001108C4" w:rsidRDefault="00902E42" w:rsidP="00902E42">
      <w:pPr>
        <w:jc w:val="both"/>
        <w:rPr>
          <w:rFonts w:ascii="Times New Roman" w:hAnsi="Times New Roman"/>
          <w:color w:val="000000" w:themeColor="text1"/>
          <w:lang w:val="en-US"/>
        </w:rPr>
      </w:pPr>
      <w:r w:rsidRPr="001108C4">
        <w:rPr>
          <w:rFonts w:ascii="Times New Roman" w:hAnsi="Times New Roman"/>
          <w:color w:val="000000" w:themeColor="text1"/>
          <w:lang w:val="en-US"/>
        </w:rPr>
        <w:lastRenderedPageBreak/>
        <w:t xml:space="preserve">With a view to implementing the project, we deemed it necessary to analyze these two options </w:t>
      </w:r>
      <w:proofErr w:type="gramStart"/>
      <w:r w:rsidRPr="001108C4">
        <w:rPr>
          <w:rFonts w:ascii="Times New Roman" w:hAnsi="Times New Roman"/>
          <w:color w:val="000000" w:themeColor="text1"/>
          <w:lang w:val="en-US"/>
        </w:rPr>
        <w:t>in order to</w:t>
      </w:r>
      <w:proofErr w:type="gramEnd"/>
      <w:r w:rsidRPr="001108C4">
        <w:rPr>
          <w:rFonts w:ascii="Times New Roman" w:hAnsi="Times New Roman"/>
          <w:color w:val="000000" w:themeColor="text1"/>
          <w:lang w:val="en-US"/>
        </w:rPr>
        <w:t xml:space="preserve"> determine the most appropriate choice. To this end, a comparison of the constraints according to socio-environmental and techno-economic criteria is presented in the table below.</w:t>
      </w:r>
    </w:p>
    <w:p w14:paraId="27CB9E44" w14:textId="77777777" w:rsidR="00902E42" w:rsidRPr="001108C4" w:rsidRDefault="00902E42" w:rsidP="00902E42">
      <w:pPr>
        <w:rPr>
          <w:rFonts w:ascii="Times New Roman" w:hAnsi="Times New Roman"/>
          <w:color w:val="000000" w:themeColor="text1"/>
          <w:lang w:val="en-US"/>
        </w:rPr>
      </w:pPr>
      <w:r w:rsidRPr="001108C4">
        <w:rPr>
          <w:rFonts w:ascii="Times New Roman" w:hAnsi="Times New Roman"/>
          <w:color w:val="000000" w:themeColor="text1"/>
          <w:lang w:val="en-US"/>
        </w:rPr>
        <w:t>A comparative analysis of the two variants shows:</w:t>
      </w:r>
    </w:p>
    <w:p w14:paraId="49836634" w14:textId="77777777" w:rsidR="00902E42" w:rsidRPr="001108C4" w:rsidRDefault="00902E42" w:rsidP="00902E42">
      <w:pPr>
        <w:numPr>
          <w:ilvl w:val="0"/>
          <w:numId w:val="138"/>
        </w:numPr>
        <w:spacing w:line="240" w:lineRule="auto"/>
        <w:jc w:val="both"/>
        <w:rPr>
          <w:rFonts w:ascii="Times New Roman" w:hAnsi="Times New Roman"/>
          <w:color w:val="000000" w:themeColor="text1"/>
          <w:lang w:val="en-US"/>
        </w:rPr>
      </w:pPr>
      <w:r w:rsidRPr="001108C4">
        <w:rPr>
          <w:rFonts w:ascii="Times New Roman" w:hAnsi="Times New Roman"/>
          <w:color w:val="000000" w:themeColor="text1"/>
          <w:lang w:val="en-US"/>
        </w:rPr>
        <w:t xml:space="preserve">The </w:t>
      </w:r>
      <w:r w:rsidRPr="001108C4">
        <w:rPr>
          <w:rFonts w:ascii="Times New Roman" w:hAnsi="Times New Roman"/>
          <w:b/>
          <w:bCs/>
          <w:color w:val="000000" w:themeColor="text1"/>
          <w:lang w:val="en-US"/>
        </w:rPr>
        <w:t>variant</w:t>
      </w:r>
      <w:r w:rsidRPr="001108C4">
        <w:rPr>
          <w:rFonts w:ascii="Times New Roman" w:hAnsi="Times New Roman"/>
          <w:color w:val="000000" w:themeColor="text1"/>
          <w:lang w:val="en-US"/>
        </w:rPr>
        <w:t xml:space="preserve"> </w:t>
      </w:r>
      <w:r w:rsidRPr="001108C4">
        <w:rPr>
          <w:rFonts w:ascii="Times New Roman" w:hAnsi="Times New Roman"/>
          <w:b/>
          <w:bCs/>
          <w:color w:val="000000" w:themeColor="text1"/>
          <w:lang w:val="en-US"/>
        </w:rPr>
        <w:t xml:space="preserve">Option 1 </w:t>
      </w:r>
      <w:r w:rsidRPr="001108C4">
        <w:rPr>
          <w:rFonts w:ascii="Times New Roman" w:hAnsi="Times New Roman"/>
          <w:color w:val="000000" w:themeColor="text1"/>
          <w:lang w:val="en-US"/>
        </w:rPr>
        <w:t>(596.17 m long) has lower construction costs compared to option 2. However, the risks of accidents and tree loss are higher.</w:t>
      </w:r>
    </w:p>
    <w:p w14:paraId="50F4A804" w14:textId="77777777" w:rsidR="00902E42" w:rsidRPr="001108C4" w:rsidRDefault="00902E42" w:rsidP="00902E42">
      <w:pPr>
        <w:numPr>
          <w:ilvl w:val="0"/>
          <w:numId w:val="138"/>
        </w:numPr>
        <w:spacing w:line="240" w:lineRule="auto"/>
        <w:jc w:val="both"/>
        <w:rPr>
          <w:rFonts w:ascii="Times New Roman" w:hAnsi="Times New Roman"/>
          <w:color w:val="000000" w:themeColor="text1"/>
          <w:lang w:val="en-US"/>
        </w:rPr>
      </w:pPr>
      <w:r w:rsidRPr="001108C4">
        <w:rPr>
          <w:rFonts w:ascii="Times New Roman" w:hAnsi="Times New Roman"/>
          <w:color w:val="000000" w:themeColor="text1"/>
          <w:lang w:val="en-US"/>
        </w:rPr>
        <w:t xml:space="preserve">Variant </w:t>
      </w:r>
      <w:r w:rsidRPr="001108C4">
        <w:rPr>
          <w:rFonts w:ascii="Times New Roman" w:hAnsi="Times New Roman"/>
          <w:b/>
          <w:bCs/>
          <w:color w:val="000000" w:themeColor="text1"/>
          <w:lang w:val="en-US"/>
        </w:rPr>
        <w:t xml:space="preserve">2 </w:t>
      </w:r>
      <w:r w:rsidRPr="001108C4">
        <w:rPr>
          <w:rFonts w:ascii="Times New Roman" w:hAnsi="Times New Roman"/>
          <w:color w:val="000000" w:themeColor="text1"/>
          <w:lang w:val="en-US"/>
        </w:rPr>
        <w:t>(1767.55 m long) presents less socio-economic impact on the property and assets of the population and on community social facilities, less risk of accident in the right-of-way, fewer technical difficulties in implementation, less risk of degradation of the structure and offers greater ease of maintenance.</w:t>
      </w:r>
    </w:p>
    <w:p w14:paraId="54DE7419" w14:textId="77777777" w:rsidR="00902E42" w:rsidRPr="001108C4" w:rsidRDefault="00902E42" w:rsidP="00902E42">
      <w:pPr>
        <w:jc w:val="both"/>
        <w:rPr>
          <w:rFonts w:ascii="Times New Roman" w:hAnsi="Times New Roman"/>
          <w:color w:val="000000" w:themeColor="text1"/>
          <w:lang w:val="en-US"/>
        </w:rPr>
      </w:pPr>
      <w:r w:rsidRPr="001108C4">
        <w:rPr>
          <w:rFonts w:ascii="Times New Roman" w:hAnsi="Times New Roman"/>
          <w:color w:val="000000" w:themeColor="text1"/>
          <w:lang w:val="en-US"/>
        </w:rPr>
        <w:t xml:space="preserve">Both options have advantages and disadvantages from a socio-environmental and techno-economic perspective. However, </w:t>
      </w:r>
      <w:r w:rsidRPr="001108C4">
        <w:rPr>
          <w:rFonts w:ascii="Times New Roman" w:hAnsi="Times New Roman"/>
          <w:b/>
          <w:bCs/>
          <w:color w:val="000000" w:themeColor="text1"/>
          <w:lang w:val="en-US"/>
        </w:rPr>
        <w:t xml:space="preserve">option 2 </w:t>
      </w:r>
      <w:r w:rsidRPr="001108C4">
        <w:rPr>
          <w:rFonts w:ascii="Times New Roman" w:hAnsi="Times New Roman"/>
          <w:color w:val="000000" w:themeColor="text1"/>
          <w:lang w:val="en-US"/>
        </w:rPr>
        <w:t>is strongly recommended.</w:t>
      </w:r>
    </w:p>
    <w:p w14:paraId="7518CA55" w14:textId="77777777" w:rsidR="00902E42" w:rsidRPr="001108C4" w:rsidRDefault="00902E42" w:rsidP="00902E42">
      <w:pPr>
        <w:jc w:val="both"/>
        <w:rPr>
          <w:rFonts w:ascii="Times New Roman" w:hAnsi="Times New Roman"/>
          <w:color w:val="000000" w:themeColor="text1"/>
          <w:lang w:val="en-US"/>
        </w:rPr>
      </w:pPr>
    </w:p>
    <w:p w14:paraId="53170442" w14:textId="77777777" w:rsidR="00902E42" w:rsidRPr="001108C4" w:rsidRDefault="00902E42" w:rsidP="00902E42">
      <w:pPr>
        <w:rPr>
          <w:rFonts w:ascii="Times New Roman" w:hAnsi="Times New Roman"/>
          <w:b/>
          <w:bCs/>
          <w:lang w:val="en-US"/>
        </w:rPr>
      </w:pPr>
      <w:r w:rsidRPr="001108C4">
        <w:rPr>
          <w:rFonts w:ascii="Times New Roman" w:hAnsi="Times New Roman"/>
          <w:b/>
          <w:bCs/>
          <w:lang w:val="en-US"/>
        </w:rPr>
        <w:t>Major environmental and social impacts and risks</w:t>
      </w:r>
    </w:p>
    <w:p w14:paraId="350B28AD" w14:textId="77777777" w:rsidR="00902E42" w:rsidRPr="008A50C4" w:rsidRDefault="00902E42" w:rsidP="00902E42">
      <w:pPr>
        <w:rPr>
          <w:rFonts w:ascii="Times New Roman" w:hAnsi="Times New Roman"/>
          <w:b/>
          <w:bCs/>
          <w:i/>
          <w:iCs/>
        </w:rPr>
      </w:pPr>
      <w:proofErr w:type="spellStart"/>
      <w:r w:rsidRPr="008A50C4">
        <w:rPr>
          <w:rFonts w:ascii="Times New Roman" w:hAnsi="Times New Roman"/>
          <w:b/>
          <w:bCs/>
          <w:i/>
          <w:iCs/>
        </w:rPr>
        <w:t>Environmental</w:t>
      </w:r>
      <w:proofErr w:type="spellEnd"/>
      <w:r w:rsidRPr="008A50C4">
        <w:rPr>
          <w:rFonts w:ascii="Times New Roman" w:hAnsi="Times New Roman"/>
          <w:b/>
          <w:bCs/>
          <w:i/>
          <w:iCs/>
        </w:rPr>
        <w:t xml:space="preserve"> impacts and </w:t>
      </w:r>
      <w:proofErr w:type="spellStart"/>
      <w:r w:rsidRPr="008A50C4">
        <w:rPr>
          <w:rFonts w:ascii="Times New Roman" w:hAnsi="Times New Roman"/>
          <w:b/>
          <w:bCs/>
          <w:i/>
          <w:iCs/>
        </w:rPr>
        <w:t>risks</w:t>
      </w:r>
      <w:proofErr w:type="spellEnd"/>
    </w:p>
    <w:p w14:paraId="08244061" w14:textId="77777777" w:rsidR="00902E42" w:rsidRPr="001108C4"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Pollution of the Mbao stream by wastewater, cleaning products and illegal connections;</w:t>
      </w:r>
    </w:p>
    <w:p w14:paraId="71C6804F" w14:textId="77777777" w:rsidR="00902E42" w:rsidRPr="001108C4"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Degradation of water quality in the basins and the outlet;</w:t>
      </w:r>
    </w:p>
    <w:p w14:paraId="673543F1" w14:textId="77777777" w:rsidR="00902E42" w:rsidRPr="001108C4"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Loss of biodiversity (fauna, flora, habitats);</w:t>
      </w:r>
    </w:p>
    <w:p w14:paraId="017C6E77" w14:textId="77777777" w:rsidR="00902E42" w:rsidRPr="001108C4"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 xml:space="preserve">Proliferation of </w:t>
      </w:r>
      <w:proofErr w:type="spellStart"/>
      <w:r w:rsidRPr="001108C4">
        <w:rPr>
          <w:rFonts w:ascii="Times New Roman" w:hAnsi="Times New Roman"/>
          <w:lang w:val="en-US"/>
        </w:rPr>
        <w:t>typha</w:t>
      </w:r>
      <w:proofErr w:type="spellEnd"/>
      <w:r w:rsidRPr="001108C4">
        <w:rPr>
          <w:rFonts w:ascii="Times New Roman" w:hAnsi="Times New Roman"/>
          <w:lang w:val="en-US"/>
        </w:rPr>
        <w:t xml:space="preserve"> in ponds favoring insects and reptiles;</w:t>
      </w:r>
    </w:p>
    <w:p w14:paraId="1DA66CA7" w14:textId="77777777" w:rsidR="00902E42" w:rsidRPr="001108C4"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Pollution of groundwater and soil;</w:t>
      </w:r>
    </w:p>
    <w:p w14:paraId="14A2F699" w14:textId="77777777" w:rsidR="00902E42" w:rsidRDefault="00902E42" w:rsidP="00902E42">
      <w:pPr>
        <w:numPr>
          <w:ilvl w:val="0"/>
          <w:numId w:val="13"/>
        </w:numPr>
        <w:autoSpaceDE w:val="0"/>
        <w:autoSpaceDN w:val="0"/>
        <w:adjustRightInd w:val="0"/>
        <w:spacing w:after="0" w:line="240" w:lineRule="auto"/>
        <w:ind w:left="189" w:hanging="171"/>
        <w:rPr>
          <w:rFonts w:ascii="Times New Roman" w:hAnsi="Times New Roman"/>
        </w:rPr>
      </w:pPr>
      <w:r w:rsidRPr="00277EF3">
        <w:rPr>
          <w:rFonts w:ascii="Times New Roman" w:hAnsi="Times New Roman"/>
        </w:rPr>
        <w:t xml:space="preserve">Air and noise </w:t>
      </w:r>
      <w:proofErr w:type="gramStart"/>
      <w:r w:rsidRPr="00277EF3">
        <w:rPr>
          <w:rFonts w:ascii="Times New Roman" w:hAnsi="Times New Roman"/>
        </w:rPr>
        <w:t>pollution;</w:t>
      </w:r>
      <w:proofErr w:type="gramEnd"/>
    </w:p>
    <w:p w14:paraId="4ADB05D7" w14:textId="77777777" w:rsidR="00902E42" w:rsidRDefault="00902E42" w:rsidP="00902E42">
      <w:pPr>
        <w:numPr>
          <w:ilvl w:val="0"/>
          <w:numId w:val="13"/>
        </w:numPr>
        <w:autoSpaceDE w:val="0"/>
        <w:autoSpaceDN w:val="0"/>
        <w:adjustRightInd w:val="0"/>
        <w:spacing w:after="0" w:line="240" w:lineRule="auto"/>
        <w:ind w:left="189" w:hanging="171"/>
        <w:rPr>
          <w:rFonts w:ascii="Times New Roman" w:hAnsi="Times New Roman"/>
        </w:rPr>
      </w:pPr>
      <w:r w:rsidRPr="0097258B">
        <w:rPr>
          <w:rFonts w:ascii="Times New Roman" w:hAnsi="Times New Roman"/>
        </w:rPr>
        <w:t xml:space="preserve">Pollution and </w:t>
      </w:r>
      <w:proofErr w:type="spellStart"/>
      <w:r w:rsidRPr="0097258B">
        <w:rPr>
          <w:rFonts w:ascii="Times New Roman" w:hAnsi="Times New Roman"/>
        </w:rPr>
        <w:t>environmental</w:t>
      </w:r>
      <w:proofErr w:type="spellEnd"/>
      <w:r w:rsidRPr="0097258B">
        <w:rPr>
          <w:rFonts w:ascii="Times New Roman" w:hAnsi="Times New Roman"/>
        </w:rPr>
        <w:t xml:space="preserve"> nuisance </w:t>
      </w:r>
      <w:proofErr w:type="spellStart"/>
      <w:r w:rsidRPr="0097258B">
        <w:rPr>
          <w:rFonts w:ascii="Times New Roman" w:hAnsi="Times New Roman"/>
        </w:rPr>
        <w:t>caused</w:t>
      </w:r>
      <w:proofErr w:type="spellEnd"/>
      <w:r w:rsidRPr="0097258B">
        <w:rPr>
          <w:rFonts w:ascii="Times New Roman" w:hAnsi="Times New Roman"/>
        </w:rPr>
        <w:t xml:space="preserve"> by construction </w:t>
      </w:r>
      <w:proofErr w:type="spellStart"/>
      <w:proofErr w:type="gramStart"/>
      <w:r w:rsidRPr="0097258B">
        <w:rPr>
          <w:rFonts w:ascii="Times New Roman" w:hAnsi="Times New Roman"/>
        </w:rPr>
        <w:t>waste</w:t>
      </w:r>
      <w:proofErr w:type="spellEnd"/>
      <w:r w:rsidRPr="0097258B">
        <w:rPr>
          <w:rFonts w:ascii="Times New Roman" w:hAnsi="Times New Roman"/>
        </w:rPr>
        <w:t>;</w:t>
      </w:r>
      <w:proofErr w:type="gramEnd"/>
    </w:p>
    <w:p w14:paraId="4F7BD86B" w14:textId="77777777" w:rsidR="00902E42" w:rsidRPr="001108C4" w:rsidRDefault="00902E42" w:rsidP="00902E42">
      <w:pPr>
        <w:numPr>
          <w:ilvl w:val="0"/>
          <w:numId w:val="13"/>
        </w:numPr>
        <w:autoSpaceDE w:val="0"/>
        <w:autoSpaceDN w:val="0"/>
        <w:adjustRightInd w:val="0"/>
        <w:spacing w:line="240" w:lineRule="auto"/>
        <w:ind w:left="189" w:hanging="171"/>
        <w:rPr>
          <w:rFonts w:ascii="Times New Roman" w:hAnsi="Times New Roman"/>
          <w:lang w:val="en-US"/>
        </w:rPr>
      </w:pPr>
      <w:r w:rsidRPr="001108C4">
        <w:rPr>
          <w:rFonts w:ascii="Times New Roman" w:hAnsi="Times New Roman"/>
          <w:lang w:val="en-US"/>
        </w:rPr>
        <w:t>Risk of flooding in case of undersized structures.</w:t>
      </w:r>
    </w:p>
    <w:p w14:paraId="5D2A51CB" w14:textId="77777777" w:rsidR="00902E42" w:rsidRPr="008A50C4" w:rsidRDefault="00902E42" w:rsidP="00902E42">
      <w:pPr>
        <w:rPr>
          <w:rFonts w:ascii="Times New Roman" w:hAnsi="Times New Roman"/>
          <w:b/>
          <w:bCs/>
          <w:i/>
          <w:iCs/>
        </w:rPr>
      </w:pPr>
      <w:r w:rsidRPr="008A50C4">
        <w:rPr>
          <w:rFonts w:ascii="Times New Roman" w:hAnsi="Times New Roman"/>
          <w:b/>
          <w:bCs/>
          <w:i/>
          <w:iCs/>
        </w:rPr>
        <w:t xml:space="preserve">Social impacts and </w:t>
      </w:r>
      <w:proofErr w:type="spellStart"/>
      <w:r w:rsidRPr="008A50C4">
        <w:rPr>
          <w:rFonts w:ascii="Times New Roman" w:hAnsi="Times New Roman"/>
          <w:b/>
          <w:bCs/>
          <w:i/>
          <w:iCs/>
        </w:rPr>
        <w:t>risks</w:t>
      </w:r>
      <w:proofErr w:type="spellEnd"/>
    </w:p>
    <w:p w14:paraId="3B90B92E" w14:textId="77777777" w:rsidR="00902E42" w:rsidRPr="001108C4"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Physical displacement of populations (loss of concessions, outgrowths, etc.);</w:t>
      </w:r>
    </w:p>
    <w:p w14:paraId="3A1CEAC9" w14:textId="77777777" w:rsidR="00902E42" w:rsidRPr="001108C4"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 xml:space="preserve">Loss of economic activity and income </w:t>
      </w:r>
      <w:proofErr w:type="gramStart"/>
      <w:r w:rsidRPr="001108C4">
        <w:rPr>
          <w:rFonts w:ascii="Times New Roman" w:hAnsi="Times New Roman"/>
          <w:lang w:val="en-US"/>
        </w:rPr>
        <w:t xml:space="preserve">( </w:t>
      </w:r>
      <w:r w:rsidRPr="001108C4">
        <w:rPr>
          <w:rFonts w:ascii="Times New Roman" w:hAnsi="Times New Roman"/>
          <w:color w:val="000000" w:themeColor="text1"/>
          <w:lang w:val="en-US"/>
        </w:rPr>
        <w:t>businesses</w:t>
      </w:r>
      <w:proofErr w:type="gramEnd"/>
      <w:r w:rsidRPr="001108C4">
        <w:rPr>
          <w:rFonts w:ascii="Times New Roman" w:hAnsi="Times New Roman"/>
          <w:color w:val="000000" w:themeColor="text1"/>
          <w:lang w:val="en-US"/>
        </w:rPr>
        <w:t xml:space="preserve"> </w:t>
      </w:r>
      <w:r w:rsidRPr="001108C4">
        <w:rPr>
          <w:rFonts w:ascii="Times New Roman" w:hAnsi="Times New Roman"/>
          <w:lang w:val="en-US"/>
        </w:rPr>
        <w:t>);</w:t>
      </w:r>
    </w:p>
    <w:p w14:paraId="0267E908" w14:textId="77777777" w:rsidR="00902E42" w:rsidRDefault="00902E42" w:rsidP="00902E42">
      <w:pPr>
        <w:numPr>
          <w:ilvl w:val="0"/>
          <w:numId w:val="13"/>
        </w:numPr>
        <w:autoSpaceDE w:val="0"/>
        <w:autoSpaceDN w:val="0"/>
        <w:adjustRightInd w:val="0"/>
        <w:spacing w:after="0" w:line="240" w:lineRule="auto"/>
        <w:ind w:left="189" w:hanging="171"/>
        <w:rPr>
          <w:rFonts w:ascii="Times New Roman" w:hAnsi="Times New Roman"/>
        </w:rPr>
      </w:pPr>
      <w:r>
        <w:rPr>
          <w:rFonts w:ascii="Times New Roman" w:hAnsi="Times New Roman"/>
        </w:rPr>
        <w:t xml:space="preserve">Loss of collective </w:t>
      </w:r>
      <w:proofErr w:type="spellStart"/>
      <w:proofErr w:type="gramStart"/>
      <w:r>
        <w:rPr>
          <w:rFonts w:ascii="Times New Roman" w:hAnsi="Times New Roman"/>
        </w:rPr>
        <w:t>equipment</w:t>
      </w:r>
      <w:proofErr w:type="spellEnd"/>
      <w:r>
        <w:rPr>
          <w:rFonts w:ascii="Times New Roman" w:hAnsi="Times New Roman"/>
        </w:rPr>
        <w:t>;</w:t>
      </w:r>
      <w:proofErr w:type="gramEnd"/>
    </w:p>
    <w:p w14:paraId="67637A5F" w14:textId="77777777" w:rsidR="00902E42" w:rsidRPr="001108C4"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Social conflicts related to local labor and resettlement;</w:t>
      </w:r>
    </w:p>
    <w:p w14:paraId="6E5A7DA1" w14:textId="77777777" w:rsidR="00902E42" w:rsidRPr="001108C4"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Health risks: STIs/HIV, diarrheal diseases, respiratory diseases;</w:t>
      </w:r>
    </w:p>
    <w:p w14:paraId="209288A5" w14:textId="77777777" w:rsidR="00902E42" w:rsidRPr="001108C4"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Accident risks: falls, rolling stock movement;</w:t>
      </w:r>
    </w:p>
    <w:p w14:paraId="3090DEDC" w14:textId="77777777" w:rsidR="00902E42" w:rsidRDefault="00902E42" w:rsidP="00902E42">
      <w:pPr>
        <w:numPr>
          <w:ilvl w:val="0"/>
          <w:numId w:val="13"/>
        </w:numPr>
        <w:autoSpaceDE w:val="0"/>
        <w:autoSpaceDN w:val="0"/>
        <w:adjustRightInd w:val="0"/>
        <w:spacing w:after="0" w:line="240" w:lineRule="auto"/>
        <w:ind w:left="189" w:hanging="171"/>
        <w:rPr>
          <w:rFonts w:ascii="Times New Roman" w:hAnsi="Times New Roman"/>
        </w:rPr>
      </w:pPr>
      <w:r w:rsidRPr="00277EF3">
        <w:rPr>
          <w:rFonts w:ascii="Times New Roman" w:hAnsi="Times New Roman"/>
        </w:rPr>
        <w:t xml:space="preserve">Risk of </w:t>
      </w:r>
      <w:proofErr w:type="spellStart"/>
      <w:proofErr w:type="gramStart"/>
      <w:r w:rsidRPr="00277EF3">
        <w:rPr>
          <w:rFonts w:ascii="Times New Roman" w:hAnsi="Times New Roman"/>
        </w:rPr>
        <w:t>drowning</w:t>
      </w:r>
      <w:proofErr w:type="spellEnd"/>
      <w:r w:rsidRPr="00277EF3">
        <w:rPr>
          <w:rFonts w:ascii="Times New Roman" w:hAnsi="Times New Roman"/>
        </w:rPr>
        <w:t>;</w:t>
      </w:r>
      <w:proofErr w:type="gramEnd"/>
    </w:p>
    <w:p w14:paraId="7D993B1B" w14:textId="0445B9C3" w:rsidR="00902E42" w:rsidRDefault="00902E42" w:rsidP="00353499">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Failure to respect workers' rights and contractual commitments.</w:t>
      </w:r>
    </w:p>
    <w:p w14:paraId="10721249" w14:textId="77777777" w:rsidR="00353499" w:rsidRPr="00353499" w:rsidRDefault="00353499" w:rsidP="00353499">
      <w:pPr>
        <w:autoSpaceDE w:val="0"/>
        <w:autoSpaceDN w:val="0"/>
        <w:adjustRightInd w:val="0"/>
        <w:spacing w:after="0" w:line="240" w:lineRule="auto"/>
        <w:ind w:left="189"/>
        <w:rPr>
          <w:rFonts w:ascii="Times New Roman" w:hAnsi="Times New Roman"/>
          <w:lang w:val="en-US"/>
        </w:rPr>
      </w:pPr>
    </w:p>
    <w:p w14:paraId="3A7A98B3" w14:textId="5BD02A90" w:rsidR="00902E42" w:rsidRPr="00353499" w:rsidRDefault="00902E42" w:rsidP="00353499">
      <w:pPr>
        <w:autoSpaceDE w:val="0"/>
        <w:autoSpaceDN w:val="0"/>
        <w:adjustRightInd w:val="0"/>
        <w:ind w:left="18"/>
        <w:rPr>
          <w:rFonts w:ascii="Times New Roman" w:hAnsi="Times New Roman"/>
          <w:b/>
          <w:bCs/>
          <w:i/>
          <w:iCs/>
          <w:lang w:val="en-US"/>
        </w:rPr>
      </w:pPr>
      <w:r w:rsidRPr="001108C4">
        <w:rPr>
          <w:rFonts w:ascii="Times New Roman" w:hAnsi="Times New Roman"/>
          <w:b/>
          <w:bCs/>
          <w:i/>
          <w:iCs/>
          <w:lang w:val="en-US"/>
        </w:rPr>
        <w:t>Cumulative impacts</w:t>
      </w:r>
    </w:p>
    <w:p w14:paraId="0C40CB18" w14:textId="77777777" w:rsidR="00902E42" w:rsidRPr="00353499" w:rsidRDefault="00902E42" w:rsidP="00902E42">
      <w:pPr>
        <w:jc w:val="both"/>
        <w:rPr>
          <w:rFonts w:ascii="Times New Roman" w:hAnsi="Times New Roman"/>
          <w:color w:val="000000" w:themeColor="text1"/>
          <w:lang w:val="en-US"/>
        </w:rPr>
      </w:pPr>
      <w:r w:rsidRPr="001108C4">
        <w:rPr>
          <w:rFonts w:ascii="Times New Roman" w:hAnsi="Times New Roman"/>
          <w:color w:val="000000" w:themeColor="text1"/>
          <w:lang w:val="en-US"/>
        </w:rPr>
        <w:t xml:space="preserve">The criterion used to select the projects to be included in the analysis was the potential for </w:t>
      </w:r>
      <w:proofErr w:type="spellStart"/>
      <w:r w:rsidRPr="001108C4">
        <w:rPr>
          <w:rFonts w:ascii="Times New Roman" w:hAnsi="Times New Roman"/>
          <w:color w:val="000000" w:themeColor="text1"/>
          <w:lang w:val="en-US"/>
        </w:rPr>
        <w:t>spatio</w:t>
      </w:r>
      <w:proofErr w:type="spellEnd"/>
      <w:r w:rsidRPr="001108C4">
        <w:rPr>
          <w:rFonts w:ascii="Times New Roman" w:hAnsi="Times New Roman"/>
          <w:color w:val="000000" w:themeColor="text1"/>
          <w:lang w:val="en-US"/>
        </w:rPr>
        <w:t xml:space="preserve">-temporal overlap of their effects. </w:t>
      </w:r>
      <w:r w:rsidRPr="00353499">
        <w:rPr>
          <w:rFonts w:ascii="Times New Roman" w:hAnsi="Times New Roman"/>
          <w:color w:val="000000" w:themeColor="text1"/>
          <w:lang w:val="en-US"/>
        </w:rPr>
        <w:t>The selected projects are:</w:t>
      </w:r>
    </w:p>
    <w:p w14:paraId="2CBC16CF" w14:textId="77777777" w:rsidR="00902E42" w:rsidRPr="00260790" w:rsidRDefault="00902E42" w:rsidP="00902E42">
      <w:pPr>
        <w:pStyle w:val="Paragraphedeliste"/>
        <w:numPr>
          <w:ilvl w:val="0"/>
          <w:numId w:val="339"/>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The </w:t>
      </w:r>
      <w:proofErr w:type="spellStart"/>
      <w:r w:rsidRPr="00260790">
        <w:rPr>
          <w:rFonts w:ascii="Times New Roman" w:hAnsi="Times New Roman"/>
          <w:color w:val="000000" w:themeColor="text1"/>
        </w:rPr>
        <w:t>toll</w:t>
      </w:r>
      <w:proofErr w:type="spellEnd"/>
      <w:r w:rsidRPr="00260790">
        <w:rPr>
          <w:rFonts w:ascii="Times New Roman" w:hAnsi="Times New Roman"/>
          <w:color w:val="000000" w:themeColor="text1"/>
        </w:rPr>
        <w:t xml:space="preserve"> </w:t>
      </w:r>
      <w:proofErr w:type="gramStart"/>
      <w:r w:rsidRPr="00260790">
        <w:rPr>
          <w:rFonts w:ascii="Times New Roman" w:hAnsi="Times New Roman"/>
          <w:color w:val="000000" w:themeColor="text1"/>
        </w:rPr>
        <w:t>highway;</w:t>
      </w:r>
      <w:proofErr w:type="gramEnd"/>
    </w:p>
    <w:p w14:paraId="46C3DACA" w14:textId="77777777" w:rsidR="00902E42" w:rsidRPr="00260790" w:rsidRDefault="00902E42" w:rsidP="00902E42">
      <w:pPr>
        <w:pStyle w:val="Paragraphedeliste"/>
        <w:numPr>
          <w:ilvl w:val="0"/>
          <w:numId w:val="339"/>
        </w:numPr>
        <w:spacing w:after="0" w:line="240" w:lineRule="auto"/>
        <w:jc w:val="both"/>
        <w:rPr>
          <w:rStyle w:val="hgkelc"/>
          <w:rFonts w:ascii="Times New Roman" w:hAnsi="Times New Roman"/>
          <w:color w:val="000000" w:themeColor="text1"/>
        </w:rPr>
      </w:pPr>
      <w:r w:rsidRPr="00260790">
        <w:rPr>
          <w:rStyle w:val="markedcontent"/>
          <w:rFonts w:ascii="Times New Roman" w:hAnsi="Times New Roman"/>
          <w:color w:val="000000" w:themeColor="text1"/>
        </w:rPr>
        <w:t xml:space="preserve">The </w:t>
      </w:r>
      <w:proofErr w:type="gramStart"/>
      <w:r w:rsidRPr="00260790">
        <w:rPr>
          <w:rStyle w:val="hgkelc"/>
          <w:rFonts w:ascii="Times New Roman" w:hAnsi="Times New Roman"/>
          <w:color w:val="000000" w:themeColor="text1"/>
        </w:rPr>
        <w:t>TER;</w:t>
      </w:r>
      <w:proofErr w:type="gramEnd"/>
    </w:p>
    <w:p w14:paraId="62AD5E2F" w14:textId="77777777" w:rsidR="00902E42" w:rsidRPr="001108C4" w:rsidRDefault="00902E42" w:rsidP="00902E42">
      <w:pPr>
        <w:pStyle w:val="Paragraphedeliste"/>
        <w:numPr>
          <w:ilvl w:val="0"/>
          <w:numId w:val="339"/>
        </w:numPr>
        <w:spacing w:after="0" w:line="240" w:lineRule="auto"/>
        <w:jc w:val="both"/>
        <w:rPr>
          <w:rStyle w:val="hgkelc"/>
          <w:rFonts w:ascii="Times New Roman" w:hAnsi="Times New Roman"/>
          <w:lang w:val="en-US"/>
        </w:rPr>
      </w:pPr>
      <w:r w:rsidRPr="001108C4">
        <w:rPr>
          <w:rStyle w:val="hgkelc"/>
          <w:rFonts w:ascii="Times New Roman" w:hAnsi="Times New Roman"/>
          <w:lang w:val="en-US"/>
        </w:rPr>
        <w:t xml:space="preserve">The PROMOGED (Discharge of </w:t>
      </w:r>
      <w:proofErr w:type="spellStart"/>
      <w:r w:rsidRPr="001108C4">
        <w:rPr>
          <w:rStyle w:val="hgkelc"/>
          <w:rFonts w:ascii="Times New Roman" w:hAnsi="Times New Roman"/>
          <w:lang w:val="en-US"/>
        </w:rPr>
        <w:t>Mbeubeuss</w:t>
      </w:r>
      <w:proofErr w:type="spellEnd"/>
      <w:r w:rsidRPr="001108C4">
        <w:rPr>
          <w:rStyle w:val="hgkelc"/>
          <w:rFonts w:ascii="Times New Roman" w:hAnsi="Times New Roman"/>
          <w:lang w:val="en-US"/>
        </w:rPr>
        <w:t>);</w:t>
      </w:r>
    </w:p>
    <w:p w14:paraId="30031302" w14:textId="77777777" w:rsidR="00902E42" w:rsidRPr="00260790" w:rsidRDefault="00902E42" w:rsidP="00902E42">
      <w:pPr>
        <w:pStyle w:val="Paragraphedeliste"/>
        <w:numPr>
          <w:ilvl w:val="0"/>
          <w:numId w:val="339"/>
        </w:numPr>
        <w:spacing w:after="0" w:line="240" w:lineRule="auto"/>
        <w:jc w:val="both"/>
        <w:rPr>
          <w:rFonts w:ascii="Times New Roman" w:hAnsi="Times New Roman"/>
          <w:b/>
          <w:color w:val="000000" w:themeColor="text1"/>
        </w:rPr>
      </w:pPr>
      <w:r w:rsidRPr="00260790">
        <w:rPr>
          <w:rStyle w:val="hgkelc"/>
          <w:rFonts w:ascii="Times New Roman" w:hAnsi="Times New Roman"/>
          <w:color w:val="000000" w:themeColor="text1"/>
        </w:rPr>
        <w:t>The PROGEP.</w:t>
      </w:r>
    </w:p>
    <w:p w14:paraId="00FCF6B7" w14:textId="77777777" w:rsidR="00902E42" w:rsidRPr="001108C4" w:rsidRDefault="00902E42" w:rsidP="00902E42">
      <w:pPr>
        <w:jc w:val="both"/>
        <w:rPr>
          <w:rFonts w:ascii="Times New Roman" w:hAnsi="Times New Roman"/>
          <w:color w:val="000000" w:themeColor="text1"/>
          <w:lang w:val="en-US"/>
        </w:rPr>
      </w:pPr>
      <w:r w:rsidRPr="001108C4">
        <w:rPr>
          <w:rFonts w:ascii="Times New Roman" w:hAnsi="Times New Roman"/>
          <w:color w:val="000000" w:themeColor="text1"/>
          <w:lang w:val="en-US"/>
        </w:rPr>
        <w:t>These projects have, or will have, common effects on:</w:t>
      </w:r>
    </w:p>
    <w:p w14:paraId="03918CCC" w14:textId="77777777" w:rsidR="00902E42" w:rsidRPr="00260790" w:rsidRDefault="00902E42" w:rsidP="00902E42">
      <w:pPr>
        <w:pStyle w:val="Paragraphedeliste"/>
        <w:numPr>
          <w:ilvl w:val="0"/>
          <w:numId w:val="338"/>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Changes in land </w:t>
      </w:r>
      <w:proofErr w:type="gramStart"/>
      <w:r w:rsidRPr="00260790">
        <w:rPr>
          <w:rFonts w:ascii="Times New Roman" w:hAnsi="Times New Roman"/>
          <w:color w:val="000000" w:themeColor="text1"/>
        </w:rPr>
        <w:t>use;</w:t>
      </w:r>
      <w:proofErr w:type="gramEnd"/>
    </w:p>
    <w:p w14:paraId="01D31813" w14:textId="77777777" w:rsidR="00902E42" w:rsidRPr="001108C4" w:rsidRDefault="00902E42" w:rsidP="00902E42">
      <w:pPr>
        <w:pStyle w:val="Paragraphedeliste"/>
        <w:numPr>
          <w:ilvl w:val="0"/>
          <w:numId w:val="338"/>
        </w:numPr>
        <w:spacing w:line="240" w:lineRule="auto"/>
        <w:jc w:val="both"/>
        <w:rPr>
          <w:rFonts w:ascii="Times New Roman" w:hAnsi="Times New Roman"/>
          <w:color w:val="000000" w:themeColor="text1"/>
          <w:lang w:val="en-US"/>
        </w:rPr>
      </w:pPr>
      <w:r w:rsidRPr="001108C4">
        <w:rPr>
          <w:rFonts w:ascii="Times New Roman" w:hAnsi="Times New Roman"/>
          <w:color w:val="000000" w:themeColor="text1"/>
          <w:lang w:val="en-US"/>
        </w:rPr>
        <w:t>The movement of people and goods;</w:t>
      </w:r>
    </w:p>
    <w:p w14:paraId="1A4F4516" w14:textId="77777777" w:rsidR="00902E42" w:rsidRPr="001108C4" w:rsidRDefault="00902E42" w:rsidP="00902E42">
      <w:pPr>
        <w:pStyle w:val="Paragraphedeliste"/>
        <w:numPr>
          <w:ilvl w:val="0"/>
          <w:numId w:val="338"/>
        </w:numPr>
        <w:spacing w:line="240" w:lineRule="auto"/>
        <w:jc w:val="both"/>
        <w:rPr>
          <w:rFonts w:ascii="Times New Roman" w:hAnsi="Times New Roman"/>
          <w:color w:val="000000" w:themeColor="text1"/>
          <w:lang w:val="en-US"/>
        </w:rPr>
      </w:pPr>
      <w:r w:rsidRPr="001108C4">
        <w:rPr>
          <w:rFonts w:ascii="Times New Roman" w:hAnsi="Times New Roman"/>
          <w:color w:val="000000" w:themeColor="text1"/>
          <w:lang w:val="en-US"/>
        </w:rPr>
        <w:lastRenderedPageBreak/>
        <w:t>The means of existence or subsistence of populations (economic displacements: loss of goods/assets and income-generating activities…);</w:t>
      </w:r>
    </w:p>
    <w:p w14:paraId="6E1A2FB1" w14:textId="77777777" w:rsidR="00902E42" w:rsidRPr="00260790" w:rsidRDefault="00902E42" w:rsidP="00902E42">
      <w:pPr>
        <w:pStyle w:val="Paragraphedeliste"/>
        <w:numPr>
          <w:ilvl w:val="0"/>
          <w:numId w:val="338"/>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Physical </w:t>
      </w:r>
      <w:proofErr w:type="spellStart"/>
      <w:r w:rsidRPr="00260790">
        <w:rPr>
          <w:rFonts w:ascii="Times New Roman" w:hAnsi="Times New Roman"/>
          <w:color w:val="000000" w:themeColor="text1"/>
        </w:rPr>
        <w:t>displacements</w:t>
      </w:r>
      <w:proofErr w:type="spellEnd"/>
      <w:r w:rsidRPr="00260790">
        <w:rPr>
          <w:rFonts w:ascii="Times New Roman" w:hAnsi="Times New Roman"/>
          <w:color w:val="000000" w:themeColor="text1"/>
        </w:rPr>
        <w:t xml:space="preserve"> (population </w:t>
      </w:r>
      <w:proofErr w:type="spellStart"/>
      <w:r w:rsidRPr="00260790">
        <w:rPr>
          <w:rFonts w:ascii="Times New Roman" w:hAnsi="Times New Roman"/>
          <w:color w:val="000000" w:themeColor="text1"/>
        </w:rPr>
        <w:t>displacements</w:t>
      </w:r>
      <w:proofErr w:type="spellEnd"/>
      <w:proofErr w:type="gramStart"/>
      <w:r w:rsidRPr="00260790">
        <w:rPr>
          <w:rFonts w:ascii="Times New Roman" w:hAnsi="Times New Roman"/>
          <w:color w:val="000000" w:themeColor="text1"/>
        </w:rPr>
        <w:t>);</w:t>
      </w:r>
      <w:proofErr w:type="gramEnd"/>
    </w:p>
    <w:p w14:paraId="7DA4785D" w14:textId="77777777" w:rsidR="00902E42" w:rsidRPr="00260790" w:rsidRDefault="00902E42" w:rsidP="00902E42">
      <w:pPr>
        <w:pStyle w:val="Paragraphedeliste"/>
        <w:numPr>
          <w:ilvl w:val="0"/>
          <w:numId w:val="338"/>
        </w:numPr>
        <w:spacing w:line="240" w:lineRule="auto"/>
        <w:jc w:val="both"/>
        <w:rPr>
          <w:rFonts w:ascii="Times New Roman" w:hAnsi="Times New Roman"/>
          <w:color w:val="000000" w:themeColor="text1"/>
        </w:rPr>
      </w:pPr>
      <w:proofErr w:type="spellStart"/>
      <w:r w:rsidRPr="00260790">
        <w:rPr>
          <w:rFonts w:ascii="Times New Roman" w:hAnsi="Times New Roman"/>
          <w:color w:val="000000" w:themeColor="text1"/>
        </w:rPr>
        <w:t>Classified</w:t>
      </w:r>
      <w:proofErr w:type="spellEnd"/>
      <w:r w:rsidRPr="00260790">
        <w:rPr>
          <w:rFonts w:ascii="Times New Roman" w:hAnsi="Times New Roman"/>
          <w:color w:val="000000" w:themeColor="text1"/>
        </w:rPr>
        <w:t xml:space="preserve"> </w:t>
      </w:r>
      <w:proofErr w:type="gramStart"/>
      <w:r w:rsidRPr="00260790">
        <w:rPr>
          <w:rFonts w:ascii="Times New Roman" w:hAnsi="Times New Roman"/>
          <w:color w:val="000000" w:themeColor="text1"/>
        </w:rPr>
        <w:t>areas;</w:t>
      </w:r>
      <w:proofErr w:type="gramEnd"/>
    </w:p>
    <w:p w14:paraId="29AA7CC0" w14:textId="77777777" w:rsidR="00902E42" w:rsidRPr="00260790" w:rsidRDefault="00902E42" w:rsidP="00902E42">
      <w:pPr>
        <w:pStyle w:val="Paragraphedeliste"/>
        <w:numPr>
          <w:ilvl w:val="0"/>
          <w:numId w:val="338"/>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The </w:t>
      </w:r>
      <w:proofErr w:type="spellStart"/>
      <w:r w:rsidRPr="00260790">
        <w:rPr>
          <w:rFonts w:ascii="Times New Roman" w:hAnsi="Times New Roman"/>
          <w:color w:val="000000" w:themeColor="text1"/>
        </w:rPr>
        <w:t>fauna</w:t>
      </w:r>
      <w:proofErr w:type="spellEnd"/>
      <w:r w:rsidRPr="00260790">
        <w:rPr>
          <w:rFonts w:ascii="Times New Roman" w:hAnsi="Times New Roman"/>
          <w:color w:val="000000" w:themeColor="text1"/>
        </w:rPr>
        <w:t xml:space="preserve"> and </w:t>
      </w:r>
      <w:proofErr w:type="gramStart"/>
      <w:r w:rsidRPr="00260790">
        <w:rPr>
          <w:rFonts w:ascii="Times New Roman" w:hAnsi="Times New Roman"/>
          <w:color w:val="000000" w:themeColor="text1"/>
        </w:rPr>
        <w:t>flora;</w:t>
      </w:r>
      <w:proofErr w:type="gramEnd"/>
    </w:p>
    <w:p w14:paraId="0C809A0F" w14:textId="77777777" w:rsidR="00902E42" w:rsidRPr="00260790" w:rsidRDefault="00902E42" w:rsidP="00902E42">
      <w:pPr>
        <w:pStyle w:val="Paragraphedeliste"/>
        <w:numPr>
          <w:ilvl w:val="0"/>
          <w:numId w:val="338"/>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Air </w:t>
      </w:r>
      <w:proofErr w:type="spellStart"/>
      <w:r w:rsidRPr="00260790">
        <w:rPr>
          <w:rFonts w:ascii="Times New Roman" w:hAnsi="Times New Roman"/>
          <w:color w:val="000000" w:themeColor="text1"/>
        </w:rPr>
        <w:t>quality</w:t>
      </w:r>
      <w:proofErr w:type="spellEnd"/>
      <w:r w:rsidRPr="00260790">
        <w:rPr>
          <w:rFonts w:ascii="Times New Roman" w:hAnsi="Times New Roman"/>
          <w:color w:val="000000" w:themeColor="text1"/>
        </w:rPr>
        <w:t xml:space="preserve"> and </w:t>
      </w:r>
      <w:proofErr w:type="spellStart"/>
      <w:proofErr w:type="gramStart"/>
      <w:r w:rsidRPr="00260790">
        <w:rPr>
          <w:rFonts w:ascii="Times New Roman" w:hAnsi="Times New Roman"/>
          <w:color w:val="000000" w:themeColor="text1"/>
        </w:rPr>
        <w:t>climate</w:t>
      </w:r>
      <w:proofErr w:type="spellEnd"/>
      <w:r w:rsidRPr="00260790">
        <w:rPr>
          <w:rFonts w:ascii="Times New Roman" w:hAnsi="Times New Roman"/>
          <w:color w:val="000000" w:themeColor="text1"/>
        </w:rPr>
        <w:t>;</w:t>
      </w:r>
      <w:proofErr w:type="gramEnd"/>
    </w:p>
    <w:p w14:paraId="3CA2EFCA" w14:textId="77777777" w:rsidR="00902E42" w:rsidRPr="001108C4" w:rsidRDefault="00902E42" w:rsidP="00902E42">
      <w:pPr>
        <w:pStyle w:val="Paragraphedeliste"/>
        <w:numPr>
          <w:ilvl w:val="0"/>
          <w:numId w:val="338"/>
        </w:numPr>
        <w:spacing w:line="240" w:lineRule="auto"/>
        <w:jc w:val="both"/>
        <w:rPr>
          <w:rFonts w:ascii="Times New Roman" w:hAnsi="Times New Roman"/>
          <w:color w:val="000000" w:themeColor="text1"/>
          <w:lang w:val="en-US"/>
        </w:rPr>
      </w:pPr>
      <w:r w:rsidRPr="001108C4">
        <w:rPr>
          <w:rFonts w:ascii="Times New Roman" w:hAnsi="Times New Roman"/>
          <w:color w:val="000000" w:themeColor="text1"/>
          <w:lang w:val="en-US"/>
        </w:rPr>
        <w:t xml:space="preserve">The health and safety of workers and </w:t>
      </w:r>
      <w:proofErr w:type="gramStart"/>
      <w:r w:rsidRPr="001108C4">
        <w:rPr>
          <w:rFonts w:ascii="Times New Roman" w:hAnsi="Times New Roman"/>
          <w:color w:val="000000" w:themeColor="text1"/>
          <w:lang w:val="en-US"/>
        </w:rPr>
        <w:t>local residents</w:t>
      </w:r>
      <w:proofErr w:type="gramEnd"/>
    </w:p>
    <w:p w14:paraId="51D5F704" w14:textId="77777777" w:rsidR="00902E42" w:rsidRPr="001108C4" w:rsidRDefault="00902E42" w:rsidP="00902E42">
      <w:pPr>
        <w:jc w:val="both"/>
        <w:rPr>
          <w:rFonts w:ascii="Times New Roman" w:hAnsi="Times New Roman"/>
          <w:color w:val="000000" w:themeColor="text1"/>
          <w:lang w:val="en-US"/>
        </w:rPr>
      </w:pPr>
      <w:r w:rsidRPr="001108C4">
        <w:rPr>
          <w:rFonts w:ascii="Times New Roman" w:hAnsi="Times New Roman"/>
          <w:color w:val="000000" w:themeColor="text1"/>
          <w:lang w:val="en-US"/>
        </w:rPr>
        <w:t>A summation of their effects is therefore more than likely and will result in exceeding the threshold or resilience capacity of the population and/or environment.</w:t>
      </w:r>
    </w:p>
    <w:p w14:paraId="71C549A1" w14:textId="3F236AE9" w:rsidR="00902E42" w:rsidRPr="000C0E75" w:rsidRDefault="00902E42" w:rsidP="000C0E75">
      <w:pPr>
        <w:jc w:val="both"/>
        <w:rPr>
          <w:rFonts w:ascii="Times New Roman" w:hAnsi="Times New Roman"/>
          <w:color w:val="000000" w:themeColor="text1"/>
          <w:lang w:val="en-US"/>
        </w:rPr>
      </w:pPr>
      <w:r w:rsidRPr="001108C4">
        <w:rPr>
          <w:rFonts w:ascii="Times New Roman" w:hAnsi="Times New Roman"/>
          <w:color w:val="000000" w:themeColor="text1"/>
          <w:lang w:val="en-US"/>
        </w:rPr>
        <w:t>The cumulative impacts of the project result from the combination of road construction with other existing activities in the area, leading to both increased pressure on natural resources, particularly the Mbao classified forest, and socio-economic effects on local communities. This accumulation of impacts translates into a progressive reduction of forest areas, habitat fragmentation, air quality degradation, and disruptions to economic activities, traffic, and household living conditions. However, the rigorous implementation of mitigation measures, such as reforestation, restoration of affected areas, compensation for affected communities, and environmental and social monitoring, helps to limit these cumulative effects to an acceptable level.</w:t>
      </w:r>
    </w:p>
    <w:p w14:paraId="38A68BB1" w14:textId="77777777" w:rsidR="00902E42" w:rsidRPr="001108C4" w:rsidRDefault="00902E42" w:rsidP="00902E42">
      <w:pPr>
        <w:rPr>
          <w:rFonts w:ascii="Times New Roman" w:hAnsi="Times New Roman"/>
          <w:b/>
          <w:bCs/>
          <w:lang w:val="en-US"/>
        </w:rPr>
      </w:pPr>
      <w:r w:rsidRPr="001108C4">
        <w:rPr>
          <w:rFonts w:ascii="Times New Roman" w:hAnsi="Times New Roman"/>
          <w:b/>
          <w:bCs/>
          <w:lang w:val="en-US"/>
        </w:rPr>
        <w:t>Environmental and management measures (ESMPs)</w:t>
      </w:r>
    </w:p>
    <w:p w14:paraId="6849D5D9" w14:textId="77777777" w:rsidR="00902E42" w:rsidRPr="001108C4" w:rsidRDefault="00902E42" w:rsidP="00902E42">
      <w:pPr>
        <w:rPr>
          <w:rFonts w:ascii="Times New Roman" w:hAnsi="Times New Roman"/>
          <w:b/>
          <w:bCs/>
          <w:i/>
          <w:iCs/>
          <w:lang w:val="en-US"/>
        </w:rPr>
      </w:pPr>
      <w:r w:rsidRPr="001108C4">
        <w:rPr>
          <w:rFonts w:ascii="Times New Roman" w:hAnsi="Times New Roman"/>
          <w:b/>
          <w:bCs/>
          <w:i/>
          <w:iCs/>
          <w:lang w:val="en-US"/>
        </w:rPr>
        <w:t>Phase of clearing the land</w:t>
      </w:r>
    </w:p>
    <w:p w14:paraId="739DC9C9" w14:textId="77777777" w:rsidR="00902E42" w:rsidRPr="001108C4" w:rsidRDefault="00902E42" w:rsidP="00902E42">
      <w:pPr>
        <w:numPr>
          <w:ilvl w:val="0"/>
          <w:numId w:val="13"/>
        </w:numPr>
        <w:autoSpaceDE w:val="0"/>
        <w:autoSpaceDN w:val="0"/>
        <w:adjustRightInd w:val="0"/>
        <w:spacing w:after="0" w:line="240" w:lineRule="auto"/>
        <w:ind w:left="189" w:hanging="171"/>
        <w:jc w:val="both"/>
        <w:rPr>
          <w:rFonts w:ascii="Times New Roman" w:hAnsi="Times New Roman"/>
          <w:lang w:val="en-US"/>
        </w:rPr>
      </w:pPr>
      <w:r w:rsidRPr="001108C4">
        <w:rPr>
          <w:rFonts w:ascii="Times New Roman" w:hAnsi="Times New Roman"/>
          <w:lang w:val="en-US"/>
        </w:rPr>
        <w:t>Inform and raise awareness among the population about the project;</w:t>
      </w:r>
    </w:p>
    <w:p w14:paraId="075309B3" w14:textId="77777777" w:rsidR="00902E42" w:rsidRPr="001108C4" w:rsidRDefault="00902E42" w:rsidP="00902E42">
      <w:pPr>
        <w:pStyle w:val="Paragraphedeliste"/>
        <w:numPr>
          <w:ilvl w:val="0"/>
          <w:numId w:val="13"/>
        </w:numPr>
        <w:autoSpaceDE w:val="0"/>
        <w:autoSpaceDN w:val="0"/>
        <w:adjustRightInd w:val="0"/>
        <w:spacing w:after="0" w:line="240" w:lineRule="auto"/>
        <w:ind w:left="189" w:hanging="171"/>
        <w:jc w:val="both"/>
        <w:rPr>
          <w:rFonts w:ascii="Times New Roman" w:hAnsi="Times New Roman"/>
          <w:lang w:val="en-US"/>
        </w:rPr>
      </w:pPr>
      <w:r w:rsidRPr="001108C4">
        <w:rPr>
          <w:rFonts w:ascii="Times New Roman" w:hAnsi="Times New Roman"/>
          <w:lang w:val="en-US"/>
        </w:rPr>
        <w:t>Prepare and implement a Resettlement Action Plan (RAP);</w:t>
      </w:r>
    </w:p>
    <w:p w14:paraId="17A7DE3D" w14:textId="77777777" w:rsidR="00902E42" w:rsidRPr="001108C4" w:rsidRDefault="00902E42" w:rsidP="00902E42">
      <w:pPr>
        <w:numPr>
          <w:ilvl w:val="0"/>
          <w:numId w:val="13"/>
        </w:numPr>
        <w:autoSpaceDE w:val="0"/>
        <w:autoSpaceDN w:val="0"/>
        <w:adjustRightInd w:val="0"/>
        <w:spacing w:after="0" w:line="240" w:lineRule="auto"/>
        <w:ind w:left="189" w:hanging="171"/>
        <w:jc w:val="both"/>
        <w:rPr>
          <w:rFonts w:ascii="Times New Roman" w:hAnsi="Times New Roman"/>
          <w:lang w:val="en-US"/>
        </w:rPr>
      </w:pPr>
      <w:r w:rsidRPr="001108C4">
        <w:rPr>
          <w:rFonts w:ascii="Times New Roman" w:hAnsi="Times New Roman"/>
          <w:lang w:val="en-US"/>
        </w:rPr>
        <w:t>To fairly and equitably compensate the populations affected by the project before the start of the works;</w:t>
      </w:r>
    </w:p>
    <w:p w14:paraId="1E058535" w14:textId="77777777" w:rsidR="00902E42" w:rsidRPr="001108C4" w:rsidRDefault="00902E42" w:rsidP="00902E42">
      <w:pPr>
        <w:numPr>
          <w:ilvl w:val="0"/>
          <w:numId w:val="13"/>
        </w:numPr>
        <w:autoSpaceDE w:val="0"/>
        <w:autoSpaceDN w:val="0"/>
        <w:adjustRightInd w:val="0"/>
        <w:spacing w:after="0" w:line="240" w:lineRule="auto"/>
        <w:ind w:left="189" w:hanging="171"/>
        <w:jc w:val="both"/>
        <w:rPr>
          <w:rFonts w:ascii="Times New Roman" w:hAnsi="Times New Roman"/>
          <w:lang w:val="en-US"/>
        </w:rPr>
      </w:pPr>
      <w:r w:rsidRPr="001108C4">
        <w:rPr>
          <w:rFonts w:ascii="Times New Roman" w:hAnsi="Times New Roman"/>
          <w:lang w:val="en-US"/>
        </w:rPr>
        <w:t>Implement a program to restore the livelihoods of populations affected by the project, paying particular attention to vulnerable people and groups (women selling vegetables, etc.);</w:t>
      </w:r>
    </w:p>
    <w:p w14:paraId="54D3FAD3" w14:textId="77777777" w:rsidR="00902E42" w:rsidRPr="001108C4" w:rsidRDefault="00902E42" w:rsidP="00902E42">
      <w:pPr>
        <w:numPr>
          <w:ilvl w:val="0"/>
          <w:numId w:val="13"/>
        </w:numPr>
        <w:autoSpaceDE w:val="0"/>
        <w:autoSpaceDN w:val="0"/>
        <w:adjustRightInd w:val="0"/>
        <w:spacing w:after="0" w:line="240" w:lineRule="auto"/>
        <w:ind w:left="189" w:hanging="171"/>
        <w:jc w:val="both"/>
        <w:rPr>
          <w:rFonts w:ascii="Times New Roman" w:hAnsi="Times New Roman"/>
          <w:lang w:val="en-US"/>
        </w:rPr>
      </w:pPr>
      <w:r w:rsidRPr="001108C4">
        <w:rPr>
          <w:rFonts w:ascii="Times New Roman" w:hAnsi="Times New Roman"/>
          <w:lang w:val="en-US"/>
        </w:rPr>
        <w:t>Involve and collaborate closely and constantly with the concessionaires before the start of the work;</w:t>
      </w:r>
    </w:p>
    <w:p w14:paraId="634A4FCF" w14:textId="77777777" w:rsidR="00902E42" w:rsidRPr="001108C4" w:rsidRDefault="00902E42" w:rsidP="00902E42">
      <w:pPr>
        <w:numPr>
          <w:ilvl w:val="0"/>
          <w:numId w:val="13"/>
        </w:numPr>
        <w:autoSpaceDE w:val="0"/>
        <w:autoSpaceDN w:val="0"/>
        <w:adjustRightInd w:val="0"/>
        <w:spacing w:after="0" w:line="240" w:lineRule="auto"/>
        <w:ind w:left="189" w:hanging="171"/>
        <w:jc w:val="both"/>
        <w:rPr>
          <w:rFonts w:ascii="Times New Roman" w:hAnsi="Times New Roman"/>
          <w:lang w:val="en-US"/>
        </w:rPr>
      </w:pPr>
      <w:r w:rsidRPr="001108C4">
        <w:rPr>
          <w:rFonts w:ascii="Times New Roman" w:hAnsi="Times New Roman"/>
          <w:lang w:val="en-US"/>
        </w:rPr>
        <w:t>Establish at the local level an operational EAS/HS-sensitive MGP.</w:t>
      </w:r>
    </w:p>
    <w:p w14:paraId="34E4AC44" w14:textId="77777777" w:rsidR="00902E42" w:rsidRPr="001108C4" w:rsidRDefault="00902E42" w:rsidP="00902E42">
      <w:pPr>
        <w:pStyle w:val="Titre30"/>
        <w:spacing w:before="0" w:after="0"/>
        <w:jc w:val="both"/>
        <w:rPr>
          <w:i/>
          <w:iCs/>
          <w:color w:val="auto"/>
          <w:szCs w:val="22"/>
          <w:lang w:val="en-US"/>
        </w:rPr>
      </w:pPr>
    </w:p>
    <w:p w14:paraId="43B16E0A" w14:textId="77777777" w:rsidR="00902E42" w:rsidRPr="008A50C4" w:rsidRDefault="00902E42" w:rsidP="00902E42">
      <w:pPr>
        <w:spacing w:line="259" w:lineRule="auto"/>
        <w:rPr>
          <w:rFonts w:ascii="Times New Roman" w:hAnsi="Times New Roman"/>
          <w:b/>
          <w:bCs/>
          <w:i/>
          <w:iCs/>
        </w:rPr>
      </w:pPr>
      <w:r w:rsidRPr="008A50C4">
        <w:rPr>
          <w:rFonts w:ascii="Times New Roman" w:hAnsi="Times New Roman"/>
          <w:b/>
          <w:bCs/>
          <w:i/>
          <w:iCs/>
        </w:rPr>
        <w:t>Under construction</w:t>
      </w:r>
    </w:p>
    <w:p w14:paraId="08D75E76" w14:textId="77777777" w:rsidR="00902E42" w:rsidRPr="001108C4"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Respect the boundaries of the route;</w:t>
      </w:r>
    </w:p>
    <w:p w14:paraId="494F8CC3" w14:textId="77777777" w:rsidR="00902E42" w:rsidRPr="001108C4"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Respect the deadlines for completing the work;</w:t>
      </w:r>
    </w:p>
    <w:p w14:paraId="0BD80204" w14:textId="77777777" w:rsidR="00902E42" w:rsidRPr="001108C4"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Use the excavated material to fill potholes on the roads;</w:t>
      </w:r>
    </w:p>
    <w:p w14:paraId="78D1F983" w14:textId="77777777" w:rsidR="00902E42" w:rsidRPr="001108C4"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Backfill the trenches following the arrangement of the soil layers;</w:t>
      </w:r>
    </w:p>
    <w:p w14:paraId="2A5E2149" w14:textId="77777777" w:rsidR="00902E42" w:rsidRPr="001108C4"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Establish an appropriate system for managing liquid waste (uncontrolled oil and hydrocarbon leaks) and solid waste generated during the work;</w:t>
      </w:r>
    </w:p>
    <w:p w14:paraId="782FA962" w14:textId="77777777" w:rsidR="00902E42" w:rsidRPr="001108C4"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Implement a plan for managing asbestos waste;</w:t>
      </w:r>
    </w:p>
    <w:p w14:paraId="578219D3" w14:textId="77777777" w:rsidR="00902E42" w:rsidRPr="001108C4"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 xml:space="preserve">Use mobile and watertight toilets. Ensure the safety of workers and </w:t>
      </w:r>
      <w:proofErr w:type="gramStart"/>
      <w:r w:rsidRPr="001108C4">
        <w:rPr>
          <w:rFonts w:ascii="Times New Roman" w:hAnsi="Times New Roman"/>
          <w:lang w:val="en-US"/>
        </w:rPr>
        <w:t>local residents</w:t>
      </w:r>
      <w:proofErr w:type="gramEnd"/>
      <w:r w:rsidRPr="001108C4">
        <w:rPr>
          <w:rFonts w:ascii="Times New Roman" w:hAnsi="Times New Roman"/>
          <w:lang w:val="en-US"/>
        </w:rPr>
        <w:t xml:space="preserve"> (signage and </w:t>
      </w:r>
      <w:r w:rsidRPr="001108C4">
        <w:rPr>
          <w:rFonts w:ascii="Times New Roman" w:hAnsi="Times New Roman"/>
          <w:lang w:val="en-US"/>
        </w:rPr>
        <w:br/>
        <w:t xml:space="preserve">personal and collective protective </w:t>
      </w:r>
      <w:proofErr w:type="gramStart"/>
      <w:r w:rsidRPr="001108C4">
        <w:rPr>
          <w:rFonts w:ascii="Times New Roman" w:hAnsi="Times New Roman"/>
          <w:lang w:val="en-US"/>
        </w:rPr>
        <w:t>equipment ,</w:t>
      </w:r>
      <w:proofErr w:type="gramEnd"/>
      <w:r w:rsidRPr="001108C4">
        <w:rPr>
          <w:rFonts w:ascii="Times New Roman" w:hAnsi="Times New Roman"/>
          <w:lang w:val="en-US"/>
        </w:rPr>
        <w:t xml:space="preserve"> scaffolding, etc.);</w:t>
      </w:r>
    </w:p>
    <w:p w14:paraId="35258BFE" w14:textId="77777777" w:rsidR="00902E42" w:rsidRPr="001108C4"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Limit the speed of traffic to 25 km/h on access roads;</w:t>
      </w:r>
    </w:p>
    <w:p w14:paraId="7C786F07" w14:textId="77777777" w:rsidR="00902E42" w:rsidRPr="001108C4"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Carry out the necessary surveys to locate the underground networks of the concession holders and perform the network rerouting work as soon as possible;</w:t>
      </w:r>
    </w:p>
    <w:p w14:paraId="334864FE" w14:textId="77777777" w:rsidR="00902E42" w:rsidRPr="001108C4"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 xml:space="preserve">In the event of the accidental discovery of remains, stop work, cordon off and protect the area and immediately notify the relevant services for further action; </w:t>
      </w:r>
      <w:r w:rsidRPr="001108C4">
        <w:rPr>
          <w:rFonts w:ascii="Times New Roman" w:hAnsi="Times New Roman"/>
          <w:lang w:val="en-US"/>
        </w:rPr>
        <w:br/>
        <w:t>Raising awareness and informing the population (prevention of EAS/HS, sexual exploitation and harassment, etc.);</w:t>
      </w:r>
    </w:p>
    <w:p w14:paraId="7B572B14" w14:textId="77777777" w:rsidR="00902E42" w:rsidRPr="001108C4"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 xml:space="preserve">Carry out compensatory reforestation on the site </w:t>
      </w:r>
      <w:r w:rsidRPr="001108C4">
        <w:rPr>
          <w:rFonts w:ascii="Times New Roman" w:hAnsi="Times New Roman"/>
          <w:lang w:val="en-US"/>
        </w:rPr>
        <w:br/>
        <w:t>; Carry out landscaping around the site (PIC);</w:t>
      </w:r>
    </w:p>
    <w:p w14:paraId="5A1C910E" w14:textId="77777777" w:rsidR="00902E42" w:rsidRPr="001108C4"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Prepare a code of conduct to be signed and respected by all vehicle drivers on the construction site;</w:t>
      </w:r>
    </w:p>
    <w:p w14:paraId="14F5AA6B" w14:textId="77777777" w:rsidR="00902E42" w:rsidRPr="001108C4"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Prioritize the recruitment of local workers for unskilled jobs, taking gender into account;</w:t>
      </w:r>
    </w:p>
    <w:p w14:paraId="6315FFA6" w14:textId="2979985B" w:rsidR="00902E42"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lastRenderedPageBreak/>
        <w:t>Support for the development of basic social services (fencing, latrines and water supply in schools, support for health facilities, etc.).</w:t>
      </w:r>
    </w:p>
    <w:p w14:paraId="1FE6AD3B" w14:textId="77777777" w:rsidR="000C0E75" w:rsidRPr="000C0E75" w:rsidRDefault="000C0E75" w:rsidP="000C0E75">
      <w:pPr>
        <w:autoSpaceDE w:val="0"/>
        <w:autoSpaceDN w:val="0"/>
        <w:adjustRightInd w:val="0"/>
        <w:spacing w:after="0" w:line="240" w:lineRule="auto"/>
        <w:ind w:left="189"/>
        <w:rPr>
          <w:rFonts w:ascii="Times New Roman" w:hAnsi="Times New Roman"/>
          <w:lang w:val="en-US"/>
        </w:rPr>
      </w:pPr>
    </w:p>
    <w:p w14:paraId="5DFD5F9D" w14:textId="77777777" w:rsidR="00902E42" w:rsidRPr="008A50C4" w:rsidRDefault="00902E42" w:rsidP="00902E42">
      <w:pPr>
        <w:rPr>
          <w:rFonts w:ascii="Times New Roman" w:hAnsi="Times New Roman"/>
          <w:b/>
          <w:bCs/>
          <w:i/>
          <w:iCs/>
        </w:rPr>
      </w:pPr>
      <w:r w:rsidRPr="008A50C4">
        <w:rPr>
          <w:rFonts w:ascii="Times New Roman" w:hAnsi="Times New Roman"/>
          <w:b/>
          <w:bCs/>
          <w:i/>
          <w:iCs/>
        </w:rPr>
        <w:t xml:space="preserve">In the </w:t>
      </w:r>
      <w:proofErr w:type="spellStart"/>
      <w:r w:rsidRPr="008A50C4">
        <w:rPr>
          <w:rFonts w:ascii="Times New Roman" w:hAnsi="Times New Roman"/>
          <w:b/>
          <w:bCs/>
          <w:i/>
          <w:iCs/>
        </w:rPr>
        <w:t>operational</w:t>
      </w:r>
      <w:proofErr w:type="spellEnd"/>
      <w:r w:rsidRPr="008A50C4">
        <w:rPr>
          <w:rFonts w:ascii="Times New Roman" w:hAnsi="Times New Roman"/>
          <w:b/>
          <w:bCs/>
          <w:i/>
          <w:iCs/>
        </w:rPr>
        <w:t xml:space="preserve"> phase</w:t>
      </w:r>
    </w:p>
    <w:p w14:paraId="5C4A01D8" w14:textId="77777777" w:rsidR="00902E42" w:rsidRPr="001108C4"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Securing (protective grids for the basins) and regular maintenance of the structures;</w:t>
      </w:r>
    </w:p>
    <w:p w14:paraId="1E35A652" w14:textId="77777777" w:rsidR="00902E42" w:rsidRPr="001108C4"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Combating the dumping of solid and liquid waste into basins and drainage canals (control, monitoring and awareness, dredging of basins, etc.) by engaging COLIGEP;</w:t>
      </w:r>
    </w:p>
    <w:p w14:paraId="0B3A4C05" w14:textId="77777777" w:rsidR="00902E42" w:rsidRPr="001108C4"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Regular monitoring of water quality;</w:t>
      </w:r>
    </w:p>
    <w:p w14:paraId="56830015" w14:textId="77777777" w:rsidR="00902E42" w:rsidRDefault="00902E42" w:rsidP="00902E42">
      <w:pPr>
        <w:numPr>
          <w:ilvl w:val="0"/>
          <w:numId w:val="13"/>
        </w:numPr>
        <w:autoSpaceDE w:val="0"/>
        <w:autoSpaceDN w:val="0"/>
        <w:adjustRightInd w:val="0"/>
        <w:spacing w:after="0" w:line="240" w:lineRule="auto"/>
        <w:ind w:left="189" w:hanging="171"/>
        <w:rPr>
          <w:rFonts w:ascii="Times New Roman" w:hAnsi="Times New Roman"/>
        </w:rPr>
      </w:pPr>
      <w:r w:rsidRPr="00277EF3">
        <w:rPr>
          <w:rFonts w:ascii="Times New Roman" w:hAnsi="Times New Roman"/>
        </w:rPr>
        <w:t xml:space="preserve">Land use </w:t>
      </w:r>
      <w:proofErr w:type="gramStart"/>
      <w:r w:rsidRPr="00277EF3">
        <w:rPr>
          <w:rFonts w:ascii="Times New Roman" w:hAnsi="Times New Roman"/>
        </w:rPr>
        <w:t>control;</w:t>
      </w:r>
      <w:proofErr w:type="gramEnd"/>
    </w:p>
    <w:p w14:paraId="7AA6FC2B" w14:textId="77777777" w:rsidR="00902E42" w:rsidRPr="001108C4"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Prevention of basin overflows (pumping device);</w:t>
      </w:r>
    </w:p>
    <w:p w14:paraId="7324F5F4" w14:textId="77777777" w:rsidR="00902E42" w:rsidRDefault="00902E42" w:rsidP="00902E42">
      <w:pPr>
        <w:numPr>
          <w:ilvl w:val="0"/>
          <w:numId w:val="13"/>
        </w:numPr>
        <w:autoSpaceDE w:val="0"/>
        <w:autoSpaceDN w:val="0"/>
        <w:adjustRightInd w:val="0"/>
        <w:spacing w:after="0" w:line="240" w:lineRule="auto"/>
        <w:ind w:left="189" w:hanging="171"/>
        <w:rPr>
          <w:rFonts w:ascii="Times New Roman" w:hAnsi="Times New Roman"/>
          <w:lang w:val="en-US"/>
        </w:rPr>
      </w:pPr>
      <w:r w:rsidRPr="001108C4">
        <w:rPr>
          <w:rFonts w:ascii="Times New Roman" w:hAnsi="Times New Roman"/>
          <w:lang w:val="en-US"/>
        </w:rPr>
        <w:t>Raising awareness among the population about the risks of drowning.</w:t>
      </w:r>
    </w:p>
    <w:p w14:paraId="25DBD76F" w14:textId="77777777" w:rsidR="000C0E75" w:rsidRPr="001108C4" w:rsidRDefault="000C0E75" w:rsidP="000C0E75">
      <w:pPr>
        <w:autoSpaceDE w:val="0"/>
        <w:autoSpaceDN w:val="0"/>
        <w:adjustRightInd w:val="0"/>
        <w:spacing w:after="0" w:line="240" w:lineRule="auto"/>
        <w:ind w:left="189"/>
        <w:rPr>
          <w:rFonts w:ascii="Times New Roman" w:hAnsi="Times New Roman"/>
          <w:lang w:val="en-US"/>
        </w:rPr>
      </w:pPr>
    </w:p>
    <w:p w14:paraId="51D5EFD6" w14:textId="77777777" w:rsidR="00902E42" w:rsidRPr="001108C4" w:rsidRDefault="00902E42" w:rsidP="00902E42">
      <w:pPr>
        <w:rPr>
          <w:rFonts w:ascii="Times New Roman" w:hAnsi="Times New Roman"/>
          <w:b/>
          <w:bCs/>
          <w:lang w:val="en-US"/>
        </w:rPr>
      </w:pPr>
      <w:r w:rsidRPr="001108C4">
        <w:rPr>
          <w:rFonts w:ascii="Times New Roman" w:hAnsi="Times New Roman"/>
          <w:b/>
          <w:bCs/>
          <w:lang w:val="en-US"/>
        </w:rPr>
        <w:t>PGES Budget</w:t>
      </w:r>
    </w:p>
    <w:p w14:paraId="175ED729" w14:textId="6FF166B1" w:rsidR="00902E42" w:rsidRPr="001108C4" w:rsidRDefault="00902E42" w:rsidP="00902E42">
      <w:pPr>
        <w:jc w:val="both"/>
        <w:rPr>
          <w:rFonts w:ascii="Times New Roman" w:hAnsi="Times New Roman"/>
          <w:lang w:val="en-US"/>
        </w:rPr>
      </w:pPr>
      <w:r w:rsidRPr="001108C4">
        <w:rPr>
          <w:rFonts w:ascii="Times New Roman" w:hAnsi="Times New Roman"/>
          <w:lang w:val="en-US"/>
        </w:rPr>
        <w:t xml:space="preserve">The total budget for the PGES, estimated at </w:t>
      </w:r>
      <w:r w:rsidRPr="001108C4">
        <w:rPr>
          <w:rFonts w:ascii="Times New Roman" w:hAnsi="Times New Roman"/>
          <w:b/>
          <w:bCs/>
          <w:lang w:val="en-US"/>
        </w:rPr>
        <w:t xml:space="preserve">216,500,000 </w:t>
      </w:r>
      <w:r w:rsidR="000C0E75">
        <w:rPr>
          <w:rFonts w:ascii="Times New Roman" w:hAnsi="Times New Roman"/>
          <w:b/>
          <w:bCs/>
          <w:lang w:val="en-US"/>
        </w:rPr>
        <w:t>F</w:t>
      </w:r>
      <w:r w:rsidRPr="001108C4">
        <w:rPr>
          <w:rFonts w:ascii="Times New Roman" w:hAnsi="Times New Roman"/>
          <w:b/>
          <w:bCs/>
          <w:lang w:val="en-US"/>
        </w:rPr>
        <w:t>CFA</w:t>
      </w:r>
      <w:r w:rsidR="000C0E75" w:rsidRPr="001108C4">
        <w:rPr>
          <w:rFonts w:ascii="Times New Roman" w:hAnsi="Times New Roman"/>
          <w:b/>
          <w:bCs/>
          <w:lang w:val="en-US"/>
        </w:rPr>
        <w:t>,</w:t>
      </w:r>
      <w:r w:rsidRPr="001108C4">
        <w:rPr>
          <w:rFonts w:ascii="Times New Roman" w:hAnsi="Times New Roman"/>
          <w:lang w:val="en-US"/>
        </w:rPr>
        <w:t xml:space="preserve"> covers reforestation measures, the operation of the complaints management mechanism, capacity building, environmental and social monitoring, and evaluation.</w:t>
      </w:r>
    </w:p>
    <w:p w14:paraId="2C710162" w14:textId="77777777" w:rsidR="00902E42" w:rsidRPr="001108C4" w:rsidRDefault="00902E42" w:rsidP="00902E42">
      <w:pPr>
        <w:rPr>
          <w:lang w:val="en-US"/>
        </w:rPr>
      </w:pPr>
    </w:p>
    <w:p w14:paraId="39B52FC9" w14:textId="77777777" w:rsidR="00902E42" w:rsidRDefault="00902E42" w:rsidP="008A50C4">
      <w:pPr>
        <w:rPr>
          <w:rFonts w:ascii="Times New Roman" w:hAnsi="Times New Roman"/>
          <w:b/>
          <w:bCs/>
          <w:lang w:val="en-US"/>
        </w:rPr>
      </w:pPr>
    </w:p>
    <w:p w14:paraId="66242A4F" w14:textId="77777777" w:rsidR="001F7B71" w:rsidRPr="00301AF6" w:rsidRDefault="001F7B71">
      <w:pPr>
        <w:spacing w:line="259" w:lineRule="auto"/>
        <w:rPr>
          <w:rFonts w:ascii="Times New Roman" w:eastAsia="Times New Roman" w:hAnsi="Times New Roman"/>
          <w:b/>
          <w:bCs/>
          <w:caps/>
          <w:kern w:val="32"/>
          <w:sz w:val="24"/>
          <w:szCs w:val="24"/>
          <w:lang w:val="en-US" w:eastAsia="fr-FR"/>
        </w:rPr>
      </w:pPr>
      <w:r w:rsidRPr="00301AF6">
        <w:rPr>
          <w:rFonts w:ascii="Times New Roman" w:hAnsi="Times New Roman"/>
          <w:lang w:val="en-US"/>
        </w:rPr>
        <w:br w:type="page"/>
      </w:r>
    </w:p>
    <w:p w14:paraId="40239994" w14:textId="6DB57A5D" w:rsidR="005F3FB7" w:rsidRPr="00260790" w:rsidRDefault="005F3FB7" w:rsidP="00E20250">
      <w:pPr>
        <w:pStyle w:val="Titre1"/>
        <w:rPr>
          <w:rFonts w:ascii="Times New Roman" w:hAnsi="Times New Roman"/>
        </w:rPr>
      </w:pPr>
      <w:bookmarkStart w:id="5" w:name="_Toc212725074"/>
      <w:r w:rsidRPr="00260790">
        <w:rPr>
          <w:rFonts w:ascii="Times New Roman" w:hAnsi="Times New Roman"/>
        </w:rPr>
        <w:lastRenderedPageBreak/>
        <w:t>INTRODUCTION</w:t>
      </w:r>
      <w:bookmarkEnd w:id="5"/>
    </w:p>
    <w:p w14:paraId="30C79CD5" w14:textId="21EC4AFB" w:rsidR="005F3FB7" w:rsidRPr="00260790" w:rsidRDefault="00FD6614" w:rsidP="001748C6">
      <w:pPr>
        <w:pStyle w:val="Normaltableau0"/>
        <w:numPr>
          <w:ilvl w:val="1"/>
          <w:numId w:val="139"/>
        </w:numPr>
        <w:outlineLvl w:val="1"/>
        <w:rPr>
          <w:rFonts w:ascii="Times New Roman" w:hAnsi="Times New Roman"/>
          <w:b/>
          <w:bCs/>
          <w:sz w:val="22"/>
          <w:szCs w:val="22"/>
        </w:rPr>
      </w:pPr>
      <w:bookmarkStart w:id="6" w:name="_Toc29856700"/>
      <w:bookmarkStart w:id="7" w:name="_Toc68109595"/>
      <w:bookmarkStart w:id="8" w:name="_Toc212725075"/>
      <w:r w:rsidRPr="00260790">
        <w:rPr>
          <w:rFonts w:ascii="Times New Roman" w:hAnsi="Times New Roman"/>
          <w:b/>
          <w:bCs/>
          <w:sz w:val="22"/>
          <w:szCs w:val="22"/>
        </w:rPr>
        <w:t>Contexte et justification du projet</w:t>
      </w:r>
      <w:bookmarkEnd w:id="6"/>
      <w:bookmarkEnd w:id="7"/>
      <w:bookmarkEnd w:id="8"/>
    </w:p>
    <w:p w14:paraId="74D85797" w14:textId="65D611C7" w:rsidR="005F3FB7" w:rsidRPr="00260790" w:rsidRDefault="005F3FB7" w:rsidP="00E20250">
      <w:pPr>
        <w:spacing w:line="240" w:lineRule="auto"/>
        <w:jc w:val="both"/>
        <w:rPr>
          <w:rFonts w:ascii="Times New Roman" w:hAnsi="Times New Roman"/>
          <w:color w:val="000000" w:themeColor="text1"/>
        </w:rPr>
      </w:pPr>
      <w:bookmarkStart w:id="9" w:name="_Hlk115955367"/>
      <w:r w:rsidRPr="00260790">
        <w:rPr>
          <w:rFonts w:ascii="Times New Roman" w:hAnsi="Times New Roman"/>
          <w:color w:val="000000" w:themeColor="text1"/>
        </w:rPr>
        <w:t>Face à l’ampleur et la récurrence des inondations accentuées par un déficit en infrastructures de drainage, le Gouvernement de la République du Sénégal, avec l’appui de la Banque mondiale (BM), du Fonds pour l’Environnement mondial (FEM) et du Fonds nordique de Développement (FND), avait mis en œuvre dans la période allant de décembre 2012 à mai 2020, un projet de développement urbain dénommé « Projet de Gestion des Eaux Pluviales et d’adaptation au changement climatique (PROGEP) ». D’un coût de 121,3 millions de dollars US, soit environ 65 milliards de FCFA, le PROGEP dont le périmètre d’intervention concernait, au-delà de Pikine et de Guédiawaye, l’agglomération de Saint-Louis et le Pôle urbain de Diamniadio, a été conçu comme étant une composante du Plan Décennal de Gestion des Inondations (PDGI / 2012-2022).</w:t>
      </w:r>
    </w:p>
    <w:p w14:paraId="2AA52F3F" w14:textId="77777777" w:rsidR="005F3FB7"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Ainsi, s’appuyant sur le Plan Directeur de Drainage (PDD) de la région périurbaine de Dakar, d’importants ouvrages hydrauliques ont été réalisés dans les départements de Pikine, de Guédiawaye et de Keur Massar en trois phases.</w:t>
      </w:r>
    </w:p>
    <w:p w14:paraId="1E12533D" w14:textId="77777777" w:rsidR="005F3FB7"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Toutefois, il convient de signaler que, du fait de l’insuffisance des ressources financières disponibles et de l’ampleur des besoins, l’ensemble des ouvrages hydrauliques ciblés dans le PDD de Dakar n’a pas été réalisé. </w:t>
      </w:r>
    </w:p>
    <w:p w14:paraId="40100C59" w14:textId="44A10254" w:rsidR="005F3FB7" w:rsidRPr="00260790" w:rsidRDefault="00DC59AA"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Par ailleurs, les </w:t>
      </w:r>
      <w:r w:rsidR="005F3FB7" w:rsidRPr="00260790">
        <w:rPr>
          <w:rFonts w:ascii="Times New Roman" w:hAnsi="Times New Roman"/>
          <w:color w:val="000000" w:themeColor="text1"/>
        </w:rPr>
        <w:t xml:space="preserve">pluies diluviennes </w:t>
      </w:r>
      <w:r w:rsidR="00581AF4" w:rsidRPr="00260790">
        <w:rPr>
          <w:rFonts w:ascii="Times New Roman" w:hAnsi="Times New Roman"/>
          <w:color w:val="000000" w:themeColor="text1"/>
        </w:rPr>
        <w:t>enregistrées</w:t>
      </w:r>
      <w:r w:rsidRPr="00260790">
        <w:rPr>
          <w:rFonts w:ascii="Times New Roman" w:hAnsi="Times New Roman"/>
          <w:color w:val="000000" w:themeColor="text1"/>
        </w:rPr>
        <w:t xml:space="preserve"> en septembre 2020</w:t>
      </w:r>
      <w:r w:rsidR="00820D4D" w:rsidRPr="00260790">
        <w:rPr>
          <w:rFonts w:ascii="Times New Roman" w:hAnsi="Times New Roman"/>
          <w:color w:val="000000" w:themeColor="text1"/>
        </w:rPr>
        <w:t xml:space="preserve"> </w:t>
      </w:r>
      <w:r w:rsidR="005F3FB7" w:rsidRPr="00260790">
        <w:rPr>
          <w:rFonts w:ascii="Times New Roman" w:hAnsi="Times New Roman"/>
          <w:color w:val="000000" w:themeColor="text1"/>
        </w:rPr>
        <w:t xml:space="preserve">ont provoqué de graves inondations dans plusieurs localités sénégalaises, avec comme </w:t>
      </w:r>
      <w:r w:rsidR="001A721C">
        <w:rPr>
          <w:rFonts w:ascii="Times New Roman" w:hAnsi="Times New Roman"/>
          <w:color w:val="000000" w:themeColor="text1"/>
        </w:rPr>
        <w:t>épicentre</w:t>
      </w:r>
      <w:r w:rsidR="001A721C" w:rsidRPr="00260790">
        <w:rPr>
          <w:rFonts w:ascii="Times New Roman" w:hAnsi="Times New Roman"/>
          <w:color w:val="000000" w:themeColor="text1"/>
        </w:rPr>
        <w:t xml:space="preserve"> </w:t>
      </w:r>
      <w:r w:rsidRPr="00260790">
        <w:rPr>
          <w:rFonts w:ascii="Times New Roman" w:hAnsi="Times New Roman"/>
          <w:color w:val="000000" w:themeColor="text1"/>
        </w:rPr>
        <w:t>la zone</w:t>
      </w:r>
      <w:r w:rsidR="005F3FB7" w:rsidRPr="00260790">
        <w:rPr>
          <w:rFonts w:ascii="Times New Roman" w:hAnsi="Times New Roman"/>
          <w:color w:val="000000" w:themeColor="text1"/>
        </w:rPr>
        <w:t xml:space="preserve"> de Keur Massar-</w:t>
      </w:r>
      <w:proofErr w:type="spellStart"/>
      <w:r w:rsidR="005F3FB7" w:rsidRPr="00260790">
        <w:rPr>
          <w:rFonts w:ascii="Times New Roman" w:hAnsi="Times New Roman"/>
          <w:color w:val="000000" w:themeColor="text1"/>
        </w:rPr>
        <w:t>Jaxaay</w:t>
      </w:r>
      <w:proofErr w:type="spellEnd"/>
      <w:r w:rsidRPr="00260790">
        <w:rPr>
          <w:rFonts w:ascii="Times New Roman" w:hAnsi="Times New Roman"/>
          <w:color w:val="000000" w:themeColor="text1"/>
        </w:rPr>
        <w:t>,</w:t>
      </w:r>
      <w:r w:rsidR="005F3FB7" w:rsidRPr="00260790">
        <w:rPr>
          <w:rFonts w:ascii="Times New Roman" w:hAnsi="Times New Roman"/>
          <w:color w:val="000000" w:themeColor="text1"/>
        </w:rPr>
        <w:t xml:space="preserve"> emmenant ainsi l’État à déclencher le Plan national d'Organisation des Secours (ORSEC).</w:t>
      </w:r>
    </w:p>
    <w:p w14:paraId="0514FC32" w14:textId="5771AC71" w:rsidR="005F3FB7" w:rsidRPr="00260790" w:rsidRDefault="000049AD" w:rsidP="00E20250">
      <w:pPr>
        <w:spacing w:line="240" w:lineRule="auto"/>
        <w:contextualSpacing/>
        <w:jc w:val="both"/>
        <w:rPr>
          <w:rFonts w:ascii="Times New Roman" w:hAnsi="Times New Roman"/>
          <w:iCs/>
          <w:color w:val="000000" w:themeColor="text1"/>
        </w:rPr>
      </w:pPr>
      <w:r w:rsidRPr="00260790">
        <w:rPr>
          <w:rFonts w:ascii="Times New Roman" w:hAnsi="Times New Roman"/>
          <w:color w:val="000000" w:themeColor="text1"/>
        </w:rPr>
        <w:t>Afin de trouver une réponse durable aux inondations, l’État du Séné</w:t>
      </w:r>
      <w:r w:rsidR="002204F0" w:rsidRPr="00260790">
        <w:rPr>
          <w:rFonts w:ascii="Times New Roman" w:hAnsi="Times New Roman"/>
          <w:color w:val="000000" w:themeColor="text1"/>
        </w:rPr>
        <w:t>gal en relation avec la Banque m</w:t>
      </w:r>
      <w:r w:rsidRPr="00260790">
        <w:rPr>
          <w:rFonts w:ascii="Times New Roman" w:hAnsi="Times New Roman"/>
          <w:color w:val="000000" w:themeColor="text1"/>
        </w:rPr>
        <w:t>ondiale et le Fonds Nordique de Développement (FND) a décidé de la mise en œuvre de la deuxième phase du Projet de Gestion des Eaux Pluviales et d’adaptation au ch</w:t>
      </w:r>
      <w:r w:rsidR="002204F0" w:rsidRPr="00260790">
        <w:rPr>
          <w:rFonts w:ascii="Times New Roman" w:hAnsi="Times New Roman"/>
          <w:color w:val="000000" w:themeColor="text1"/>
        </w:rPr>
        <w:t>angement climatique (PROGEP II)</w:t>
      </w:r>
      <w:r w:rsidR="00EE2E72" w:rsidRPr="00260790">
        <w:rPr>
          <w:rFonts w:ascii="Times New Roman" w:hAnsi="Times New Roman"/>
          <w:color w:val="000000" w:themeColor="text1"/>
        </w:rPr>
        <w:t xml:space="preserve"> </w:t>
      </w:r>
      <w:r w:rsidRPr="00260790">
        <w:rPr>
          <w:rFonts w:ascii="Times New Roman" w:hAnsi="Times New Roman"/>
          <w:color w:val="000000" w:themeColor="text1"/>
        </w:rPr>
        <w:t>». Ce projet, d’un coût global de 155 mill</w:t>
      </w:r>
      <w:r w:rsidR="002204F0" w:rsidRPr="00260790">
        <w:rPr>
          <w:rFonts w:ascii="Times New Roman" w:hAnsi="Times New Roman"/>
          <w:color w:val="000000" w:themeColor="text1"/>
        </w:rPr>
        <w:t xml:space="preserve">ions de </w:t>
      </w:r>
      <w:r w:rsidR="00EE2E72" w:rsidRPr="00260790">
        <w:rPr>
          <w:rFonts w:ascii="Times New Roman" w:hAnsi="Times New Roman"/>
          <w:color w:val="000000" w:themeColor="text1"/>
        </w:rPr>
        <w:t xml:space="preserve">Dollars US </w:t>
      </w:r>
      <w:r w:rsidR="002204F0" w:rsidRPr="00260790">
        <w:rPr>
          <w:rFonts w:ascii="Times New Roman" w:hAnsi="Times New Roman"/>
          <w:color w:val="000000" w:themeColor="text1"/>
        </w:rPr>
        <w:t>(83 milliards de FCFA)</w:t>
      </w:r>
      <w:r w:rsidRPr="00260790">
        <w:rPr>
          <w:rFonts w:ascii="Times New Roman" w:hAnsi="Times New Roman"/>
          <w:color w:val="000000" w:themeColor="text1"/>
        </w:rPr>
        <w:t>, pour une durée de cinq (5) ans, vise à réduire les risques d’inondation par l’amélioration du système de drainage des eaux pluviales dans les quartiers périphériques de l’agglomération de Dakar.</w:t>
      </w:r>
    </w:p>
    <w:p w14:paraId="111BB4CD" w14:textId="1221A943" w:rsidR="005F3FB7" w:rsidRPr="00260790" w:rsidRDefault="005F3FB7" w:rsidP="00E20250">
      <w:pPr>
        <w:pStyle w:val="Corpsdetexte2"/>
        <w:spacing w:line="240" w:lineRule="auto"/>
        <w:rPr>
          <w:color w:val="000000" w:themeColor="text1"/>
        </w:rPr>
      </w:pPr>
      <w:r w:rsidRPr="00260790">
        <w:rPr>
          <w:color w:val="000000" w:themeColor="text1"/>
        </w:rPr>
        <w:t xml:space="preserve">L'objectif de Développement du </w:t>
      </w:r>
      <w:r w:rsidR="000049AD" w:rsidRPr="00260790">
        <w:rPr>
          <w:iCs/>
          <w:color w:val="000000" w:themeColor="text1"/>
        </w:rPr>
        <w:t>PROGEP II</w:t>
      </w:r>
      <w:r w:rsidR="000049AD" w:rsidRPr="00260790" w:rsidDel="000049AD">
        <w:rPr>
          <w:color w:val="000000" w:themeColor="text1"/>
        </w:rPr>
        <w:t xml:space="preserve"> </w:t>
      </w:r>
      <w:r w:rsidRPr="00260790">
        <w:rPr>
          <w:color w:val="000000" w:themeColor="text1"/>
        </w:rPr>
        <w:t>est de « Réduire les risques d'inondation dans les zones périurbaines de Dakar et améliorer la capacité de planification et de mise en œuvre de pratiques de gestion de ville durable, notamment la résilience aux changements climatiques, dans des zones urbaines sélectionnées ».</w:t>
      </w:r>
    </w:p>
    <w:p w14:paraId="1C85B78B" w14:textId="77777777" w:rsidR="005F3FB7"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w:t>
      </w:r>
      <w:r w:rsidRPr="00260790">
        <w:rPr>
          <w:rFonts w:ascii="Times New Roman" w:hAnsi="Times New Roman"/>
          <w:iCs/>
          <w:color w:val="000000" w:themeColor="text1"/>
        </w:rPr>
        <w:t>PROGEP II</w:t>
      </w:r>
      <w:r w:rsidRPr="00260790">
        <w:rPr>
          <w:rFonts w:ascii="Times New Roman" w:hAnsi="Times New Roman"/>
          <w:color w:val="000000" w:themeColor="text1"/>
        </w:rPr>
        <w:t xml:space="preserve"> </w:t>
      </w:r>
      <w:r w:rsidRPr="00260790">
        <w:rPr>
          <w:rFonts w:ascii="Times New Roman" w:hAnsi="Times New Roman"/>
          <w:bCs/>
          <w:color w:val="000000" w:themeColor="text1"/>
        </w:rPr>
        <w:t xml:space="preserve">comporte quatre </w:t>
      </w:r>
      <w:r w:rsidRPr="00260790">
        <w:rPr>
          <w:rFonts w:ascii="Times New Roman" w:hAnsi="Times New Roman"/>
          <w:color w:val="000000" w:themeColor="text1"/>
        </w:rPr>
        <w:t>(4) composantes et ses sous-composantes :</w:t>
      </w:r>
    </w:p>
    <w:p w14:paraId="50DF17F3" w14:textId="00C930EE" w:rsidR="005F3FB7" w:rsidRPr="00260790" w:rsidRDefault="005F3FB7" w:rsidP="001748C6">
      <w:pPr>
        <w:pStyle w:val="Paragraphedeliste"/>
        <w:numPr>
          <w:ilvl w:val="0"/>
          <w:numId w:val="104"/>
        </w:numPr>
        <w:spacing w:line="240" w:lineRule="auto"/>
        <w:ind w:hanging="357"/>
        <w:contextualSpacing w:val="0"/>
        <w:jc w:val="both"/>
        <w:rPr>
          <w:rFonts w:ascii="Times New Roman" w:hAnsi="Times New Roman"/>
          <w:b/>
          <w:bCs/>
          <w:iCs/>
          <w:color w:val="000000" w:themeColor="text1"/>
        </w:rPr>
      </w:pPr>
      <w:r w:rsidRPr="00260790">
        <w:rPr>
          <w:rFonts w:ascii="Times New Roman" w:hAnsi="Times New Roman"/>
          <w:b/>
          <w:bCs/>
          <w:iCs/>
          <w:color w:val="000000" w:themeColor="text1"/>
        </w:rPr>
        <w:t xml:space="preserve">Composante 1 : Planification et gestion urbaines intégrées prenant en compte les risques climatiques et la durabilité </w:t>
      </w:r>
    </w:p>
    <w:p w14:paraId="19A6B7EC" w14:textId="77777777" w:rsidR="005F3FB7" w:rsidRPr="00260790" w:rsidRDefault="005F3FB7" w:rsidP="001748C6">
      <w:pPr>
        <w:pStyle w:val="Paragraphedeliste"/>
        <w:numPr>
          <w:ilvl w:val="0"/>
          <w:numId w:val="105"/>
        </w:numPr>
        <w:spacing w:after="0" w:line="240" w:lineRule="auto"/>
        <w:ind w:hanging="357"/>
        <w:contextualSpacing w:val="0"/>
        <w:jc w:val="both"/>
        <w:rPr>
          <w:rFonts w:ascii="Times New Roman" w:hAnsi="Times New Roman"/>
          <w:color w:val="000000" w:themeColor="text1"/>
        </w:rPr>
      </w:pPr>
      <w:r w:rsidRPr="00260790">
        <w:rPr>
          <w:rFonts w:ascii="Times New Roman" w:hAnsi="Times New Roman"/>
          <w:color w:val="000000" w:themeColor="text1"/>
        </w:rPr>
        <w:t>Sous-composante 1.1 : Planification et gestion urbaines intégrées</w:t>
      </w:r>
    </w:p>
    <w:p w14:paraId="2BEA88C4" w14:textId="77777777" w:rsidR="005F3FB7" w:rsidRPr="00260790" w:rsidRDefault="005F3FB7" w:rsidP="001748C6">
      <w:pPr>
        <w:pStyle w:val="Paragraphedeliste"/>
        <w:numPr>
          <w:ilvl w:val="0"/>
          <w:numId w:val="105"/>
        </w:numPr>
        <w:spacing w:after="0" w:line="240" w:lineRule="auto"/>
        <w:ind w:hanging="357"/>
        <w:contextualSpacing w:val="0"/>
        <w:jc w:val="both"/>
        <w:rPr>
          <w:rFonts w:ascii="Times New Roman" w:hAnsi="Times New Roman"/>
          <w:color w:val="000000" w:themeColor="text1"/>
        </w:rPr>
      </w:pPr>
      <w:r w:rsidRPr="00260790">
        <w:rPr>
          <w:rFonts w:ascii="Times New Roman" w:hAnsi="Times New Roman"/>
          <w:color w:val="000000" w:themeColor="text1"/>
        </w:rPr>
        <w:t>Sous-composante 1.2 : Réforme de la législation urbaine et du cadre réglementaire</w:t>
      </w:r>
    </w:p>
    <w:p w14:paraId="5F8D8B3D" w14:textId="15769E02" w:rsidR="005F3FB7" w:rsidRPr="00260790" w:rsidRDefault="005F3FB7" w:rsidP="001748C6">
      <w:pPr>
        <w:pStyle w:val="Paragraphedeliste"/>
        <w:numPr>
          <w:ilvl w:val="0"/>
          <w:numId w:val="105"/>
        </w:numPr>
        <w:spacing w:after="0" w:line="240" w:lineRule="auto"/>
        <w:ind w:hanging="357"/>
        <w:contextualSpacing w:val="0"/>
        <w:jc w:val="both"/>
        <w:rPr>
          <w:rFonts w:ascii="Times New Roman" w:hAnsi="Times New Roman"/>
          <w:color w:val="000000" w:themeColor="text1"/>
        </w:rPr>
      </w:pPr>
      <w:r w:rsidRPr="00260790">
        <w:rPr>
          <w:rFonts w:ascii="Times New Roman" w:hAnsi="Times New Roman"/>
          <w:color w:val="000000" w:themeColor="text1"/>
        </w:rPr>
        <w:t>Sous-composante 1.3 : Promotion des bonnes pratiques pour la gestion urbaine intégrée, y compris la résilience et la durabilité</w:t>
      </w:r>
    </w:p>
    <w:p w14:paraId="54237A4D" w14:textId="77777777" w:rsidR="005F3FB7" w:rsidRPr="00260790" w:rsidRDefault="005F3FB7" w:rsidP="001748C6">
      <w:pPr>
        <w:pStyle w:val="Paragraphedeliste"/>
        <w:numPr>
          <w:ilvl w:val="0"/>
          <w:numId w:val="104"/>
        </w:numPr>
        <w:spacing w:line="240" w:lineRule="auto"/>
        <w:ind w:hanging="357"/>
        <w:contextualSpacing w:val="0"/>
        <w:jc w:val="both"/>
        <w:rPr>
          <w:rFonts w:ascii="Times New Roman" w:hAnsi="Times New Roman"/>
          <w:b/>
          <w:bCs/>
          <w:iCs/>
          <w:color w:val="000000" w:themeColor="text1"/>
        </w:rPr>
      </w:pPr>
      <w:r w:rsidRPr="00260790">
        <w:rPr>
          <w:rFonts w:ascii="Times New Roman" w:hAnsi="Times New Roman"/>
          <w:b/>
          <w:bCs/>
          <w:iCs/>
          <w:color w:val="000000" w:themeColor="text1"/>
        </w:rPr>
        <w:t>Composante 2 : Investissement et gestion du drainage, engagement communautaire, gestion environnementale et sociale</w:t>
      </w:r>
    </w:p>
    <w:p w14:paraId="7017BF53" w14:textId="77777777" w:rsidR="005F3FB7" w:rsidRPr="00260790" w:rsidRDefault="005F3FB7" w:rsidP="001748C6">
      <w:pPr>
        <w:pStyle w:val="Paragraphedeliste"/>
        <w:numPr>
          <w:ilvl w:val="0"/>
          <w:numId w:val="105"/>
        </w:numPr>
        <w:spacing w:after="0" w:line="240" w:lineRule="auto"/>
        <w:ind w:hanging="357"/>
        <w:contextualSpacing w:val="0"/>
        <w:jc w:val="both"/>
        <w:rPr>
          <w:rFonts w:ascii="Times New Roman" w:hAnsi="Times New Roman"/>
          <w:color w:val="000000" w:themeColor="text1"/>
        </w:rPr>
      </w:pPr>
      <w:r w:rsidRPr="00260790">
        <w:rPr>
          <w:rFonts w:ascii="Times New Roman" w:hAnsi="Times New Roman"/>
          <w:color w:val="000000" w:themeColor="text1"/>
        </w:rPr>
        <w:t xml:space="preserve">Sous-composante 2.1 : Construction et gestion des infrastructures de drainage </w:t>
      </w:r>
    </w:p>
    <w:p w14:paraId="5A13CDCF" w14:textId="77777777" w:rsidR="005F3FB7" w:rsidRPr="00260790" w:rsidRDefault="005F3FB7" w:rsidP="001748C6">
      <w:pPr>
        <w:pStyle w:val="Paragraphedeliste"/>
        <w:numPr>
          <w:ilvl w:val="0"/>
          <w:numId w:val="105"/>
        </w:numPr>
        <w:spacing w:after="0" w:line="240" w:lineRule="auto"/>
        <w:ind w:hanging="357"/>
        <w:contextualSpacing w:val="0"/>
        <w:jc w:val="both"/>
        <w:rPr>
          <w:rFonts w:ascii="Times New Roman" w:hAnsi="Times New Roman"/>
          <w:color w:val="000000" w:themeColor="text1"/>
        </w:rPr>
      </w:pPr>
      <w:r w:rsidRPr="00260790">
        <w:rPr>
          <w:rFonts w:ascii="Times New Roman" w:hAnsi="Times New Roman"/>
          <w:color w:val="000000" w:themeColor="text1"/>
        </w:rPr>
        <w:t>Sous-composante 2.2 : Exploitation et entretien des infrastructures de drainage</w:t>
      </w:r>
    </w:p>
    <w:p w14:paraId="44CB6560" w14:textId="77777777" w:rsidR="005F3FB7" w:rsidRPr="00260790" w:rsidRDefault="005F3FB7" w:rsidP="001748C6">
      <w:pPr>
        <w:pStyle w:val="Paragraphedeliste"/>
        <w:numPr>
          <w:ilvl w:val="0"/>
          <w:numId w:val="105"/>
        </w:numPr>
        <w:spacing w:after="0" w:line="240" w:lineRule="auto"/>
        <w:ind w:hanging="357"/>
        <w:contextualSpacing w:val="0"/>
        <w:jc w:val="both"/>
        <w:rPr>
          <w:rFonts w:ascii="Times New Roman" w:hAnsi="Times New Roman"/>
          <w:color w:val="000000" w:themeColor="text1"/>
        </w:rPr>
      </w:pPr>
      <w:r w:rsidRPr="00260790">
        <w:rPr>
          <w:rFonts w:ascii="Times New Roman" w:hAnsi="Times New Roman"/>
          <w:color w:val="000000" w:themeColor="text1"/>
        </w:rPr>
        <w:t xml:space="preserve">Sous-composante 2.3 : Projets et engagement communautaires </w:t>
      </w:r>
    </w:p>
    <w:p w14:paraId="49FCF249" w14:textId="77777777" w:rsidR="005F3FB7" w:rsidRPr="00260790" w:rsidRDefault="005F3FB7" w:rsidP="001748C6">
      <w:pPr>
        <w:pStyle w:val="Paragraphedeliste"/>
        <w:numPr>
          <w:ilvl w:val="0"/>
          <w:numId w:val="105"/>
        </w:numPr>
        <w:spacing w:line="240" w:lineRule="auto"/>
        <w:ind w:hanging="357"/>
        <w:contextualSpacing w:val="0"/>
        <w:jc w:val="both"/>
        <w:rPr>
          <w:rFonts w:ascii="Times New Roman" w:hAnsi="Times New Roman"/>
          <w:color w:val="000000" w:themeColor="text1"/>
        </w:rPr>
      </w:pPr>
      <w:r w:rsidRPr="00260790">
        <w:rPr>
          <w:rFonts w:ascii="Times New Roman" w:hAnsi="Times New Roman"/>
          <w:color w:val="000000" w:themeColor="text1"/>
        </w:rPr>
        <w:t xml:space="preserve">Sous-composante 2.4 : Gestion Environnementale et Sociale. </w:t>
      </w:r>
    </w:p>
    <w:p w14:paraId="19B2DA75" w14:textId="77777777" w:rsidR="00D45E79" w:rsidRPr="00260790" w:rsidRDefault="00D45E79" w:rsidP="00E20250">
      <w:pPr>
        <w:spacing w:line="240" w:lineRule="auto"/>
        <w:rPr>
          <w:rFonts w:ascii="Times New Roman" w:hAnsi="Times New Roman"/>
          <w:b/>
          <w:bCs/>
          <w:iCs/>
          <w:color w:val="000000" w:themeColor="text1"/>
        </w:rPr>
      </w:pPr>
      <w:r w:rsidRPr="00260790">
        <w:rPr>
          <w:rFonts w:ascii="Times New Roman" w:hAnsi="Times New Roman"/>
          <w:b/>
          <w:bCs/>
          <w:iCs/>
          <w:color w:val="000000" w:themeColor="text1"/>
        </w:rPr>
        <w:br w:type="page"/>
      </w:r>
    </w:p>
    <w:p w14:paraId="07E7AF44" w14:textId="19FCFE42" w:rsidR="005F3FB7" w:rsidRPr="00260790" w:rsidRDefault="005F3FB7" w:rsidP="001748C6">
      <w:pPr>
        <w:pStyle w:val="Paragraphedeliste"/>
        <w:numPr>
          <w:ilvl w:val="0"/>
          <w:numId w:val="104"/>
        </w:numPr>
        <w:spacing w:line="240" w:lineRule="auto"/>
        <w:ind w:hanging="357"/>
        <w:contextualSpacing w:val="0"/>
        <w:jc w:val="both"/>
        <w:rPr>
          <w:rFonts w:ascii="Times New Roman" w:hAnsi="Times New Roman"/>
          <w:b/>
          <w:bCs/>
          <w:iCs/>
          <w:color w:val="000000" w:themeColor="text1"/>
        </w:rPr>
      </w:pPr>
      <w:r w:rsidRPr="00260790">
        <w:rPr>
          <w:rFonts w:ascii="Times New Roman" w:hAnsi="Times New Roman"/>
          <w:b/>
          <w:bCs/>
          <w:iCs/>
          <w:color w:val="000000" w:themeColor="text1"/>
        </w:rPr>
        <w:lastRenderedPageBreak/>
        <w:t xml:space="preserve">Composante 3 : Réponse d’urgence (CERC) </w:t>
      </w:r>
    </w:p>
    <w:p w14:paraId="5E3B87E3" w14:textId="77777777" w:rsidR="005F3FB7" w:rsidRPr="00260790" w:rsidRDefault="005F3FB7" w:rsidP="001748C6">
      <w:pPr>
        <w:pStyle w:val="Paragraphedeliste"/>
        <w:numPr>
          <w:ilvl w:val="0"/>
          <w:numId w:val="104"/>
        </w:numPr>
        <w:spacing w:line="240" w:lineRule="auto"/>
        <w:ind w:hanging="357"/>
        <w:contextualSpacing w:val="0"/>
        <w:jc w:val="both"/>
        <w:rPr>
          <w:rFonts w:ascii="Times New Roman" w:hAnsi="Times New Roman"/>
          <w:b/>
          <w:bCs/>
          <w:iCs/>
          <w:color w:val="000000" w:themeColor="text1"/>
        </w:rPr>
      </w:pPr>
      <w:r w:rsidRPr="00260790">
        <w:rPr>
          <w:rFonts w:ascii="Times New Roman" w:hAnsi="Times New Roman"/>
          <w:b/>
          <w:bCs/>
          <w:iCs/>
          <w:color w:val="000000" w:themeColor="text1"/>
        </w:rPr>
        <w:t>Composante 4 : Gestion du Projet</w:t>
      </w:r>
    </w:p>
    <w:p w14:paraId="6AC27D06" w14:textId="50334CC0" w:rsidR="005F3FB7" w:rsidRPr="00260790" w:rsidRDefault="000049AD" w:rsidP="00E20250">
      <w:pPr>
        <w:pStyle w:val="Corpsdetexte2"/>
        <w:spacing w:line="240" w:lineRule="auto"/>
        <w:rPr>
          <w:color w:val="000000" w:themeColor="text1"/>
        </w:rPr>
      </w:pPr>
      <w:r w:rsidRPr="00260790">
        <w:rPr>
          <w:color w:val="000000" w:themeColor="text1"/>
        </w:rPr>
        <w:t>Une partie des travaux de la Composante 2, « </w:t>
      </w:r>
      <w:r w:rsidRPr="00260790">
        <w:rPr>
          <w:b/>
          <w:bCs/>
          <w:iCs/>
          <w:color w:val="000000" w:themeColor="text1"/>
        </w:rPr>
        <w:t>Investissement et gestion du drainage, engagement communautaire, gestion environnementale et sociale</w:t>
      </w:r>
      <w:r w:rsidR="007057A0" w:rsidRPr="00260790">
        <w:rPr>
          <w:b/>
          <w:bCs/>
          <w:iCs/>
          <w:color w:val="000000" w:themeColor="text1"/>
        </w:rPr>
        <w:t> »</w:t>
      </w:r>
      <w:r w:rsidRPr="00260790">
        <w:rPr>
          <w:color w:val="000000" w:themeColor="text1"/>
        </w:rPr>
        <w:t xml:space="preserve"> concerne le bassin versant de Mbao. Dans ce cadre, les travaux du secteur central (ouest) du bassin versant de Mbao ont été amorcés par l’État du Sénégal à travers le financement du BCI (2021) </w:t>
      </w:r>
      <w:r w:rsidR="007057A0" w:rsidRPr="00260790">
        <w:rPr>
          <w:color w:val="000000" w:themeColor="text1"/>
        </w:rPr>
        <w:t>avec l’appui de</w:t>
      </w:r>
      <w:r w:rsidRPr="00260790">
        <w:rPr>
          <w:color w:val="000000" w:themeColor="text1"/>
        </w:rPr>
        <w:t xml:space="preserve"> la </w:t>
      </w:r>
      <w:r w:rsidR="007057A0" w:rsidRPr="00260790">
        <w:rPr>
          <w:color w:val="000000" w:themeColor="text1"/>
        </w:rPr>
        <w:t>B</w:t>
      </w:r>
      <w:r w:rsidRPr="00260790">
        <w:rPr>
          <w:color w:val="000000" w:themeColor="text1"/>
        </w:rPr>
        <w:t>anque mondiale</w:t>
      </w:r>
      <w:r w:rsidR="007057A0" w:rsidRPr="00260790">
        <w:rPr>
          <w:color w:val="000000" w:themeColor="text1"/>
        </w:rPr>
        <w:t>,</w:t>
      </w:r>
      <w:r w:rsidRPr="00260790">
        <w:rPr>
          <w:color w:val="000000" w:themeColor="text1"/>
        </w:rPr>
        <w:t xml:space="preserve"> à travers les travaux de MBS 3.2 et 3.4 (2022). Ceux du secteur amont (nord) et aval (sud) du bassin versant sont réalisés </w:t>
      </w:r>
      <w:r w:rsidR="007057A0" w:rsidRPr="00260790">
        <w:rPr>
          <w:color w:val="000000" w:themeColor="text1"/>
        </w:rPr>
        <w:t xml:space="preserve">sur financement de la Banque mondiale </w:t>
      </w:r>
      <w:r w:rsidRPr="00260790">
        <w:rPr>
          <w:color w:val="000000" w:themeColor="text1"/>
        </w:rPr>
        <w:t>à l’issu</w:t>
      </w:r>
      <w:r w:rsidR="000015A1">
        <w:rPr>
          <w:color w:val="000000" w:themeColor="text1"/>
        </w:rPr>
        <w:t>e des études techniques</w:t>
      </w:r>
      <w:r w:rsidRPr="00260790">
        <w:rPr>
          <w:color w:val="000000" w:themeColor="text1"/>
        </w:rPr>
        <w:t>. Ces travaux concernent deux secteurs : le secteur amont du bassin versant de Mbao (Zone Nord) et le secteur aval du BV de Mbao (Zone Sud) avec le Marigot de M</w:t>
      </w:r>
      <w:r w:rsidR="00861B32" w:rsidRPr="00260790">
        <w:rPr>
          <w:color w:val="000000" w:themeColor="text1"/>
        </w:rPr>
        <w:t>bao</w:t>
      </w:r>
      <w:r w:rsidRPr="00260790">
        <w:rPr>
          <w:color w:val="000000" w:themeColor="text1"/>
        </w:rPr>
        <w:t xml:space="preserve"> et son exutoire.</w:t>
      </w:r>
      <w:bookmarkEnd w:id="9"/>
      <w:r w:rsidR="005F3FB7" w:rsidRPr="00260790">
        <w:rPr>
          <w:color w:val="000000" w:themeColor="text1"/>
        </w:rPr>
        <w:t xml:space="preserve"> </w:t>
      </w:r>
    </w:p>
    <w:p w14:paraId="42435274" w14:textId="79BEAF14" w:rsidR="005F3FB7" w:rsidRPr="00260790" w:rsidRDefault="005F3FB7" w:rsidP="001748C6">
      <w:pPr>
        <w:pStyle w:val="Normaltableau0"/>
        <w:numPr>
          <w:ilvl w:val="1"/>
          <w:numId w:val="139"/>
        </w:numPr>
        <w:outlineLvl w:val="1"/>
        <w:rPr>
          <w:rFonts w:ascii="Times New Roman" w:hAnsi="Times New Roman"/>
          <w:b/>
          <w:bCs/>
          <w:sz w:val="22"/>
          <w:szCs w:val="22"/>
        </w:rPr>
      </w:pPr>
      <w:bookmarkStart w:id="10" w:name="_Toc212725076"/>
      <w:r w:rsidRPr="00260790">
        <w:rPr>
          <w:rFonts w:ascii="Times New Roman" w:hAnsi="Times New Roman"/>
          <w:b/>
          <w:bCs/>
          <w:sz w:val="22"/>
          <w:szCs w:val="22"/>
        </w:rPr>
        <w:t xml:space="preserve">Rappel des </w:t>
      </w:r>
      <w:r w:rsidR="0048621B" w:rsidRPr="00260790">
        <w:rPr>
          <w:rFonts w:ascii="Times New Roman" w:hAnsi="Times New Roman"/>
          <w:b/>
          <w:bCs/>
          <w:sz w:val="22"/>
          <w:szCs w:val="22"/>
        </w:rPr>
        <w:t xml:space="preserve">Réalisations </w:t>
      </w:r>
      <w:r w:rsidRPr="00260790">
        <w:rPr>
          <w:rFonts w:ascii="Times New Roman" w:hAnsi="Times New Roman"/>
          <w:b/>
          <w:bCs/>
          <w:sz w:val="22"/>
          <w:szCs w:val="22"/>
        </w:rPr>
        <w:t xml:space="preserve">du PROGEP I et </w:t>
      </w:r>
      <w:r w:rsidR="0048621B" w:rsidRPr="00260790">
        <w:rPr>
          <w:rFonts w:ascii="Times New Roman" w:hAnsi="Times New Roman"/>
          <w:b/>
          <w:bCs/>
          <w:sz w:val="22"/>
          <w:szCs w:val="22"/>
        </w:rPr>
        <w:t>du PROGEP II</w:t>
      </w:r>
      <w:bookmarkEnd w:id="10"/>
    </w:p>
    <w:p w14:paraId="2BBF0EF9" w14:textId="77777777" w:rsidR="005F3FB7"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 première phase du PROGEP a permis de doter la partie aval du BV de </w:t>
      </w:r>
      <w:proofErr w:type="spellStart"/>
      <w:r w:rsidRPr="00260790">
        <w:rPr>
          <w:rFonts w:ascii="Times New Roman" w:hAnsi="Times New Roman"/>
          <w:color w:val="000000" w:themeColor="text1"/>
        </w:rPr>
        <w:t>Mbeubeuss</w:t>
      </w:r>
      <w:proofErr w:type="spellEnd"/>
      <w:r w:rsidRPr="00260790">
        <w:rPr>
          <w:rFonts w:ascii="Times New Roman" w:hAnsi="Times New Roman"/>
          <w:color w:val="000000" w:themeColor="text1"/>
        </w:rPr>
        <w:t xml:space="preserve"> d’ouvrages structurants de drainage. Les interventions ciblées dans la Phase 1 du PROGEP II viseront à étendre ces réalisations à l’amont dudit bassin versant, notamment les sous-bassins-versants MBS3.2, MBS3.3 et MBS3.4, tous situés à Keur Massar et pour lesquels les DAO sont disponibles. Cette zone concentre beaucoup de quartiers impactés par les inondations.</w:t>
      </w:r>
    </w:p>
    <w:p w14:paraId="12F521E6" w14:textId="77777777" w:rsidR="005F3FB7"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travaux d’urgence dans l’amont du bassin versant de </w:t>
      </w:r>
      <w:proofErr w:type="spellStart"/>
      <w:r w:rsidRPr="00260790">
        <w:rPr>
          <w:rFonts w:ascii="Times New Roman" w:hAnsi="Times New Roman"/>
          <w:color w:val="000000" w:themeColor="text1"/>
        </w:rPr>
        <w:t>Mbeubeuss</w:t>
      </w:r>
      <w:proofErr w:type="spellEnd"/>
      <w:r w:rsidRPr="00260790">
        <w:rPr>
          <w:rFonts w:ascii="Times New Roman" w:hAnsi="Times New Roman"/>
          <w:color w:val="000000" w:themeColor="text1"/>
        </w:rPr>
        <w:t xml:space="preserve"> répondent aux besoins immédiats à la suite des inondations survenues à Keur Massar en 2020. Les infrastructures réalisées et en cours de finalisation dans cette phase permettront de drainer les eaux les quartiers de Darou Missette, </w:t>
      </w:r>
      <w:proofErr w:type="spellStart"/>
      <w:r w:rsidRPr="00260790">
        <w:rPr>
          <w:rFonts w:ascii="Times New Roman" w:hAnsi="Times New Roman"/>
          <w:color w:val="000000" w:themeColor="text1"/>
        </w:rPr>
        <w:t>Daraye</w:t>
      </w:r>
      <w:proofErr w:type="spellEnd"/>
      <w:r w:rsidRPr="00260790">
        <w:rPr>
          <w:rFonts w:ascii="Times New Roman" w:hAnsi="Times New Roman"/>
          <w:color w:val="000000" w:themeColor="text1"/>
        </w:rPr>
        <w:t xml:space="preserve"> Camille, Double Less, Unités 6, 7, 10, 11, 12, 13, 14, 15, 16, 17 des Parcelles Assainies de Malika, la Cité MTOA, </w:t>
      </w:r>
      <w:proofErr w:type="spellStart"/>
      <w:r w:rsidRPr="00260790">
        <w:rPr>
          <w:rFonts w:ascii="Times New Roman" w:hAnsi="Times New Roman"/>
          <w:color w:val="000000" w:themeColor="text1"/>
        </w:rPr>
        <w:t>Médinatou</w:t>
      </w:r>
      <w:proofErr w:type="spellEnd"/>
      <w:r w:rsidRPr="00260790">
        <w:rPr>
          <w:rFonts w:ascii="Times New Roman" w:hAnsi="Times New Roman"/>
          <w:color w:val="000000" w:themeColor="text1"/>
        </w:rPr>
        <w:t xml:space="preserve"> Salam 1 et 2, Montagne, Darou Salam Montagne, Hamdallaye, Sante Yalla </w:t>
      </w:r>
      <w:proofErr w:type="spellStart"/>
      <w:r w:rsidRPr="00260790">
        <w:rPr>
          <w:rFonts w:ascii="Times New Roman" w:hAnsi="Times New Roman"/>
          <w:color w:val="000000" w:themeColor="text1"/>
        </w:rPr>
        <w:t>Boune</w:t>
      </w:r>
      <w:proofErr w:type="spellEnd"/>
      <w:r w:rsidRPr="00260790">
        <w:rPr>
          <w:rFonts w:ascii="Times New Roman" w:hAnsi="Times New Roman"/>
          <w:color w:val="000000" w:themeColor="text1"/>
        </w:rPr>
        <w:t>. Des travaux confortatifs de cette phase dans cette même zone permettront de renforcer le dispositif de drainage, notamment les ouvrages primaires déjà réalisés dans le cadre de la première phase du PROGEP.</w:t>
      </w:r>
    </w:p>
    <w:p w14:paraId="723EBAFA" w14:textId="2125EA2D" w:rsidR="007057A0" w:rsidRPr="00260790" w:rsidRDefault="007057A0"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Par ailleurs, dans le cadre de l’intervention du PROGEP </w:t>
      </w:r>
      <w:r w:rsidR="00581AF4" w:rsidRPr="00260790">
        <w:rPr>
          <w:rFonts w:ascii="Times New Roman" w:hAnsi="Times New Roman"/>
          <w:color w:val="000000" w:themeColor="text1"/>
        </w:rPr>
        <w:t>II sur</w:t>
      </w:r>
      <w:r w:rsidRPr="00260790">
        <w:rPr>
          <w:rFonts w:ascii="Times New Roman" w:hAnsi="Times New Roman"/>
          <w:color w:val="000000" w:themeColor="text1"/>
        </w:rPr>
        <w:t xml:space="preserve"> le bassin versant de </w:t>
      </w:r>
      <w:proofErr w:type="spellStart"/>
      <w:r w:rsidRPr="00260790">
        <w:rPr>
          <w:rFonts w:ascii="Times New Roman" w:hAnsi="Times New Roman"/>
          <w:color w:val="000000" w:themeColor="text1"/>
        </w:rPr>
        <w:t>Mbeubeuss</w:t>
      </w:r>
      <w:proofErr w:type="spellEnd"/>
      <w:r w:rsidRPr="00260790">
        <w:rPr>
          <w:rFonts w:ascii="Times New Roman" w:hAnsi="Times New Roman"/>
          <w:color w:val="000000" w:themeColor="text1"/>
        </w:rPr>
        <w:t>, dans la zone nord de Keur Massar, trois (3) branches de canalisation principale et des canalisations secondaires pour une longueur totale d’environ 11.70 km, dix (10) bassins de rétention pour une capacité de stockage de 165 200 m</w:t>
      </w:r>
      <w:r w:rsidRPr="00260790">
        <w:rPr>
          <w:rFonts w:ascii="Times New Roman" w:hAnsi="Times New Roman"/>
          <w:color w:val="000000" w:themeColor="text1"/>
          <w:vertAlign w:val="superscript"/>
        </w:rPr>
        <w:t>3</w:t>
      </w:r>
      <w:r w:rsidRPr="00260790">
        <w:rPr>
          <w:rFonts w:ascii="Times New Roman" w:hAnsi="Times New Roman"/>
          <w:color w:val="000000" w:themeColor="text1"/>
        </w:rPr>
        <w:t> et le pavage de voiries pour une longueur totale de 11.70 km sont en cours de réalisation</w:t>
      </w:r>
      <w:r w:rsidR="0048621B" w:rsidRPr="00260790">
        <w:rPr>
          <w:rFonts w:ascii="Times New Roman" w:hAnsi="Times New Roman"/>
          <w:color w:val="000000" w:themeColor="text1"/>
        </w:rPr>
        <w:t>.</w:t>
      </w:r>
    </w:p>
    <w:p w14:paraId="3BEDB722" w14:textId="105A76EE" w:rsidR="00F06A62" w:rsidRPr="00260790" w:rsidRDefault="00F06A62" w:rsidP="00E20250">
      <w:pPr>
        <w:spacing w:after="240" w:line="240" w:lineRule="auto"/>
        <w:jc w:val="both"/>
        <w:rPr>
          <w:rFonts w:ascii="Times New Roman" w:hAnsi="Times New Roman"/>
          <w:color w:val="000000" w:themeColor="text1"/>
        </w:rPr>
      </w:pPr>
      <w:r w:rsidRPr="00260790">
        <w:rPr>
          <w:rFonts w:ascii="Times New Roman" w:hAnsi="Times New Roman"/>
          <w:color w:val="000000" w:themeColor="text1"/>
        </w:rPr>
        <w:t xml:space="preserve">Concernant le bassin versant de Mbao, les travaux amorcés dans le cadre du BCI, portent essentiellement sur le collecteur U3-U9. </w:t>
      </w:r>
    </w:p>
    <w:p w14:paraId="61222F26" w14:textId="46958030" w:rsidR="005F3FB7" w:rsidRPr="00260790" w:rsidRDefault="005F3FB7" w:rsidP="001748C6">
      <w:pPr>
        <w:pStyle w:val="Normaltableau0"/>
        <w:numPr>
          <w:ilvl w:val="1"/>
          <w:numId w:val="139"/>
        </w:numPr>
        <w:outlineLvl w:val="1"/>
        <w:rPr>
          <w:rFonts w:ascii="Times New Roman" w:hAnsi="Times New Roman"/>
          <w:b/>
          <w:bCs/>
          <w:sz w:val="22"/>
          <w:szCs w:val="22"/>
        </w:rPr>
      </w:pPr>
      <w:bookmarkStart w:id="11" w:name="_Toc212725077"/>
      <w:r w:rsidRPr="00260790">
        <w:rPr>
          <w:rFonts w:ascii="Times New Roman" w:hAnsi="Times New Roman"/>
          <w:b/>
          <w:bCs/>
          <w:sz w:val="22"/>
          <w:szCs w:val="22"/>
        </w:rPr>
        <w:t>Objectif de l’Étude</w:t>
      </w:r>
      <w:bookmarkEnd w:id="11"/>
      <w:r w:rsidRPr="00260790">
        <w:rPr>
          <w:rFonts w:ascii="Times New Roman" w:hAnsi="Times New Roman"/>
          <w:b/>
          <w:bCs/>
          <w:sz w:val="22"/>
          <w:szCs w:val="22"/>
        </w:rPr>
        <w:t xml:space="preserve"> </w:t>
      </w:r>
    </w:p>
    <w:p w14:paraId="7777A04A" w14:textId="35209812" w:rsidR="005F3FB7" w:rsidRPr="00260790" w:rsidRDefault="005F3FB7" w:rsidP="00E20250">
      <w:pPr>
        <w:spacing w:after="240" w:line="240" w:lineRule="auto"/>
        <w:jc w:val="both"/>
        <w:rPr>
          <w:rFonts w:ascii="Times New Roman" w:hAnsi="Times New Roman"/>
          <w:color w:val="000000" w:themeColor="text1"/>
        </w:rPr>
      </w:pPr>
      <w:r w:rsidRPr="00260790">
        <w:rPr>
          <w:rFonts w:ascii="Times New Roman" w:hAnsi="Times New Roman"/>
          <w:color w:val="000000" w:themeColor="text1"/>
        </w:rPr>
        <w:t xml:space="preserve">L’objectif général de l’étude est d’identifier et d’évaluer les impacts environnementaux et sociaux des activités du projet </w:t>
      </w:r>
      <w:r w:rsidR="007E2F77" w:rsidRPr="00260790">
        <w:rPr>
          <w:rFonts w:ascii="Times New Roman" w:hAnsi="Times New Roman"/>
          <w:color w:val="000000" w:themeColor="text1"/>
        </w:rPr>
        <w:t>en l’occurrence le déplacement des réseaux des concessionnaires ; le dégagement des emprises et la préparation de terrain ; l’aménagement des déviations ; le terrassement et le dallage en béton armé pour les collecteurs de drainage, y compris l’évacuation des déblais ; le terrassement, la pose de pavés autobloquants et la réalisation de chemins pour les voiries. ; la signalisation et sécurité du chantier ; l’aménagement des bassins d’écrêtement</w:t>
      </w:r>
      <w:r w:rsidR="00A717AA">
        <w:rPr>
          <w:rFonts w:ascii="Times New Roman" w:hAnsi="Times New Roman"/>
          <w:color w:val="000000" w:themeColor="text1"/>
        </w:rPr>
        <w:t xml:space="preserve"> et la réalisation d’une</w:t>
      </w:r>
      <w:r w:rsidR="00A717AA" w:rsidRPr="00A717AA">
        <w:rPr>
          <w:rFonts w:ascii="Times New Roman" w:hAnsi="Times New Roman"/>
          <w:color w:val="000000" w:themeColor="text1"/>
        </w:rPr>
        <w:t xml:space="preserve"> station de pompage </w:t>
      </w:r>
      <w:r w:rsidR="00A717AA">
        <w:rPr>
          <w:rFonts w:ascii="Times New Roman" w:hAnsi="Times New Roman"/>
          <w:color w:val="000000" w:themeColor="text1"/>
        </w:rPr>
        <w:t xml:space="preserve">d’une capacité de </w:t>
      </w:r>
      <w:r w:rsidR="00A717AA" w:rsidRPr="00A717AA">
        <w:rPr>
          <w:rFonts w:ascii="Times New Roman" w:hAnsi="Times New Roman"/>
          <w:color w:val="000000" w:themeColor="text1"/>
        </w:rPr>
        <w:t>1300m3/h</w:t>
      </w:r>
      <w:r w:rsidR="007E2F77" w:rsidRPr="00260790">
        <w:rPr>
          <w:rFonts w:ascii="Times New Roman" w:hAnsi="Times New Roman"/>
          <w:color w:val="000000" w:themeColor="text1"/>
        </w:rPr>
        <w:t xml:space="preserve">. </w:t>
      </w:r>
      <w:r w:rsidR="0005621C" w:rsidRPr="00260790">
        <w:rPr>
          <w:rFonts w:ascii="Times New Roman" w:hAnsi="Times New Roman"/>
          <w:bCs/>
          <w:iCs/>
          <w:color w:val="000000" w:themeColor="text1"/>
        </w:rPr>
        <w:t>Durant</w:t>
      </w:r>
      <w:r w:rsidRPr="00260790">
        <w:rPr>
          <w:rFonts w:ascii="Times New Roman" w:hAnsi="Times New Roman"/>
          <w:bCs/>
          <w:iCs/>
          <w:color w:val="000000" w:themeColor="text1"/>
        </w:rPr>
        <w:t xml:space="preserve"> les différentes phases (préparation, construction, exploitation)</w:t>
      </w:r>
      <w:r w:rsidRPr="00260790">
        <w:rPr>
          <w:rFonts w:ascii="Times New Roman" w:hAnsi="Times New Roman"/>
          <w:color w:val="000000" w:themeColor="text1"/>
        </w:rPr>
        <w:t xml:space="preserve">, </w:t>
      </w:r>
      <w:r w:rsidR="0048621B" w:rsidRPr="00260790">
        <w:rPr>
          <w:rFonts w:ascii="Times New Roman" w:hAnsi="Times New Roman"/>
          <w:color w:val="000000" w:themeColor="text1"/>
        </w:rPr>
        <w:t xml:space="preserve">et </w:t>
      </w:r>
      <w:r w:rsidRPr="00260790">
        <w:rPr>
          <w:rFonts w:ascii="Times New Roman" w:hAnsi="Times New Roman"/>
          <w:color w:val="000000" w:themeColor="text1"/>
        </w:rPr>
        <w:t xml:space="preserve">de proposer un plan de gestion environnementale et sociale (PGES) contenant des mesures adéquates de bonification des impacts positifs et de mitigation des impacts négatifs, ainsi que les mesures opérationnelles nécessaires et optimales pour assurer la gestion de ces impacts. </w:t>
      </w:r>
    </w:p>
    <w:p w14:paraId="434D2EC5" w14:textId="77777777" w:rsidR="005F3FB7" w:rsidRPr="00260790" w:rsidRDefault="005F3FB7" w:rsidP="00E20250">
      <w:pPr>
        <w:spacing w:before="120" w:after="0" w:line="240" w:lineRule="auto"/>
        <w:ind w:right="-143"/>
        <w:jc w:val="both"/>
        <w:rPr>
          <w:rFonts w:ascii="Times New Roman" w:hAnsi="Times New Roman"/>
          <w:bCs/>
          <w:iCs/>
          <w:color w:val="000000" w:themeColor="text1"/>
        </w:rPr>
      </w:pPr>
      <w:r w:rsidRPr="00260790">
        <w:rPr>
          <w:rFonts w:ascii="Times New Roman" w:hAnsi="Times New Roman"/>
          <w:bCs/>
          <w:iCs/>
          <w:color w:val="000000" w:themeColor="text1"/>
        </w:rPr>
        <w:t xml:space="preserve">Sur le plan spécifique, il s’agira principalement de : </w:t>
      </w:r>
    </w:p>
    <w:p w14:paraId="03080706" w14:textId="77777777" w:rsidR="005F3FB7" w:rsidRPr="00260790" w:rsidRDefault="005F3FB7" w:rsidP="001748C6">
      <w:pPr>
        <w:numPr>
          <w:ilvl w:val="0"/>
          <w:numId w:val="111"/>
        </w:numPr>
        <w:spacing w:before="80" w:after="0" w:line="240" w:lineRule="auto"/>
        <w:jc w:val="both"/>
        <w:rPr>
          <w:rFonts w:ascii="Times New Roman" w:hAnsi="Times New Roman"/>
          <w:bCs/>
          <w:iCs/>
          <w:color w:val="000000" w:themeColor="text1"/>
        </w:rPr>
      </w:pPr>
      <w:proofErr w:type="gramStart"/>
      <w:r w:rsidRPr="00260790">
        <w:rPr>
          <w:rFonts w:ascii="Times New Roman" w:hAnsi="Times New Roman"/>
          <w:bCs/>
          <w:iCs/>
          <w:color w:val="000000" w:themeColor="text1"/>
        </w:rPr>
        <w:t>définir</w:t>
      </w:r>
      <w:proofErr w:type="gramEnd"/>
      <w:r w:rsidRPr="00260790">
        <w:rPr>
          <w:rFonts w:ascii="Times New Roman" w:hAnsi="Times New Roman"/>
          <w:bCs/>
          <w:iCs/>
          <w:color w:val="000000" w:themeColor="text1"/>
        </w:rPr>
        <w:t xml:space="preserve"> et justifier la zone d'influence des travaux et activités du projet ;</w:t>
      </w:r>
    </w:p>
    <w:p w14:paraId="66022148" w14:textId="77777777" w:rsidR="005F3FB7" w:rsidRPr="00260790" w:rsidRDefault="005F3FB7" w:rsidP="001748C6">
      <w:pPr>
        <w:numPr>
          <w:ilvl w:val="0"/>
          <w:numId w:val="111"/>
        </w:numPr>
        <w:spacing w:before="80" w:after="0" w:line="240" w:lineRule="auto"/>
        <w:jc w:val="both"/>
        <w:rPr>
          <w:rFonts w:ascii="Times New Roman" w:hAnsi="Times New Roman"/>
          <w:bCs/>
          <w:iCs/>
          <w:color w:val="000000" w:themeColor="text1"/>
        </w:rPr>
      </w:pPr>
      <w:proofErr w:type="gramStart"/>
      <w:r w:rsidRPr="00260790">
        <w:rPr>
          <w:rFonts w:ascii="Times New Roman" w:hAnsi="Times New Roman"/>
          <w:bCs/>
          <w:iCs/>
          <w:color w:val="000000" w:themeColor="text1"/>
        </w:rPr>
        <w:t>présenter</w:t>
      </w:r>
      <w:proofErr w:type="gramEnd"/>
      <w:r w:rsidRPr="00260790">
        <w:rPr>
          <w:rFonts w:ascii="Times New Roman" w:hAnsi="Times New Roman"/>
          <w:bCs/>
          <w:iCs/>
          <w:color w:val="000000" w:themeColor="text1"/>
        </w:rPr>
        <w:t>, à l’aide d’une cartographie appropriée, la délimitation exacte de la zone d’étude du projet en matérialisant les différents ouvrages à réaliser (sites et tracés des bassins, collecteurs primaires et secondaires, etc.) ;</w:t>
      </w:r>
    </w:p>
    <w:p w14:paraId="7AC3B886" w14:textId="77777777" w:rsidR="005F3FB7" w:rsidRPr="00260790" w:rsidRDefault="005F3FB7" w:rsidP="001748C6">
      <w:pPr>
        <w:numPr>
          <w:ilvl w:val="0"/>
          <w:numId w:val="111"/>
        </w:numPr>
        <w:spacing w:before="80" w:after="0" w:line="240" w:lineRule="auto"/>
        <w:jc w:val="both"/>
        <w:rPr>
          <w:rFonts w:ascii="Times New Roman" w:hAnsi="Times New Roman"/>
          <w:bCs/>
          <w:iCs/>
          <w:color w:val="000000" w:themeColor="text1"/>
        </w:rPr>
      </w:pPr>
      <w:proofErr w:type="gramStart"/>
      <w:r w:rsidRPr="00260790">
        <w:rPr>
          <w:rFonts w:ascii="Times New Roman" w:hAnsi="Times New Roman"/>
          <w:bCs/>
          <w:iCs/>
          <w:color w:val="000000" w:themeColor="text1"/>
        </w:rPr>
        <w:t>faire</w:t>
      </w:r>
      <w:proofErr w:type="gramEnd"/>
      <w:r w:rsidRPr="00260790">
        <w:rPr>
          <w:rFonts w:ascii="Times New Roman" w:hAnsi="Times New Roman"/>
          <w:bCs/>
          <w:iCs/>
          <w:color w:val="000000" w:themeColor="text1"/>
        </w:rPr>
        <w:t xml:space="preserve"> le diagnostic de la situation initiale dans la zone d’étude sur le plan environnemental et social ;</w:t>
      </w:r>
    </w:p>
    <w:p w14:paraId="418AD6B4" w14:textId="77777777" w:rsidR="005F3FB7" w:rsidRPr="00260790" w:rsidRDefault="005F3FB7" w:rsidP="001748C6">
      <w:pPr>
        <w:numPr>
          <w:ilvl w:val="0"/>
          <w:numId w:val="111"/>
        </w:numPr>
        <w:spacing w:before="80" w:after="0" w:line="240" w:lineRule="auto"/>
        <w:jc w:val="both"/>
        <w:rPr>
          <w:rFonts w:ascii="Times New Roman" w:hAnsi="Times New Roman"/>
          <w:bCs/>
          <w:iCs/>
          <w:color w:val="000000" w:themeColor="text1"/>
        </w:rPr>
      </w:pPr>
      <w:proofErr w:type="gramStart"/>
      <w:r w:rsidRPr="00260790">
        <w:rPr>
          <w:rFonts w:ascii="Times New Roman" w:hAnsi="Times New Roman"/>
          <w:bCs/>
          <w:iCs/>
          <w:color w:val="000000" w:themeColor="text1"/>
        </w:rPr>
        <w:lastRenderedPageBreak/>
        <w:t>analyser</w:t>
      </w:r>
      <w:proofErr w:type="gramEnd"/>
      <w:r w:rsidRPr="00260790">
        <w:rPr>
          <w:rFonts w:ascii="Times New Roman" w:hAnsi="Times New Roman"/>
          <w:bCs/>
          <w:iCs/>
          <w:color w:val="000000" w:themeColor="text1"/>
        </w:rPr>
        <w:t xml:space="preserve"> les variantes au projet d’aménagement de base et les étudier en termes d’avantages et inconvénients, par rapport à l’environnement et au contexte socio-économique ;</w:t>
      </w:r>
    </w:p>
    <w:p w14:paraId="065B9222" w14:textId="428EED6C" w:rsidR="005F3FB7" w:rsidRPr="00260790" w:rsidRDefault="005F3FB7" w:rsidP="001748C6">
      <w:pPr>
        <w:numPr>
          <w:ilvl w:val="0"/>
          <w:numId w:val="111"/>
        </w:numPr>
        <w:spacing w:before="80" w:after="0" w:line="240" w:lineRule="auto"/>
        <w:jc w:val="both"/>
        <w:rPr>
          <w:rFonts w:ascii="Times New Roman" w:hAnsi="Times New Roman"/>
          <w:bCs/>
          <w:iCs/>
          <w:color w:val="000000" w:themeColor="text1"/>
        </w:rPr>
      </w:pPr>
      <w:proofErr w:type="gramStart"/>
      <w:r w:rsidRPr="00260790">
        <w:rPr>
          <w:rFonts w:ascii="Times New Roman" w:hAnsi="Times New Roman"/>
          <w:bCs/>
          <w:iCs/>
          <w:color w:val="000000" w:themeColor="text1"/>
        </w:rPr>
        <w:t>mener</w:t>
      </w:r>
      <w:proofErr w:type="gramEnd"/>
      <w:r w:rsidRPr="00260790">
        <w:rPr>
          <w:rFonts w:ascii="Times New Roman" w:hAnsi="Times New Roman"/>
          <w:bCs/>
          <w:iCs/>
          <w:color w:val="000000" w:themeColor="text1"/>
        </w:rPr>
        <w:t xml:space="preserve"> une analyse détaillée de la sensibilité environnementale et sociale autour des différentes composantes du projet, en accordant une attention particulière sur les zones sensibles, le potentiel de biodiversité impacté, les services écosystémiques (valeur, fonction et utilité des espèces impactées, etc.). À cet effet, les variantes (tracé, site, conception, système) retenues ont été documentées relativement aux critères de faisabilité techniques, environnementales et sociales ;</w:t>
      </w:r>
    </w:p>
    <w:p w14:paraId="0201D48F" w14:textId="77777777" w:rsidR="005F3FB7" w:rsidRPr="00260790" w:rsidRDefault="005F3FB7" w:rsidP="001748C6">
      <w:pPr>
        <w:numPr>
          <w:ilvl w:val="0"/>
          <w:numId w:val="111"/>
        </w:numPr>
        <w:spacing w:before="80" w:after="0" w:line="240" w:lineRule="auto"/>
        <w:jc w:val="both"/>
        <w:rPr>
          <w:rFonts w:ascii="Times New Roman" w:hAnsi="Times New Roman"/>
          <w:bCs/>
          <w:iCs/>
          <w:color w:val="000000" w:themeColor="text1"/>
        </w:rPr>
      </w:pPr>
      <w:proofErr w:type="gramStart"/>
      <w:r w:rsidRPr="00260790">
        <w:rPr>
          <w:rFonts w:ascii="Times New Roman" w:hAnsi="Times New Roman"/>
          <w:bCs/>
          <w:iCs/>
          <w:color w:val="000000" w:themeColor="text1"/>
        </w:rPr>
        <w:t>fournir</w:t>
      </w:r>
      <w:proofErr w:type="gramEnd"/>
      <w:r w:rsidRPr="00260790">
        <w:rPr>
          <w:rFonts w:ascii="Times New Roman" w:hAnsi="Times New Roman"/>
          <w:bCs/>
          <w:iCs/>
          <w:color w:val="000000" w:themeColor="text1"/>
        </w:rPr>
        <w:t xml:space="preserve"> des informations précises sur le dimensionnement des infrastructures (bassins et collecteurs) et des mesures prévues pour sécuriser les infrastructures en cas de pluies exceptionnelles (pluie décennale pouvant atteindre 120 mm) ;</w:t>
      </w:r>
    </w:p>
    <w:p w14:paraId="1B4419E3" w14:textId="065DA6D5" w:rsidR="005F3FB7" w:rsidRPr="00260790" w:rsidRDefault="005F3FB7" w:rsidP="001748C6">
      <w:pPr>
        <w:numPr>
          <w:ilvl w:val="0"/>
          <w:numId w:val="111"/>
        </w:numPr>
        <w:spacing w:before="80" w:after="0" w:line="240" w:lineRule="auto"/>
        <w:jc w:val="both"/>
        <w:rPr>
          <w:rFonts w:ascii="Times New Roman" w:hAnsi="Times New Roman"/>
          <w:bCs/>
          <w:iCs/>
          <w:color w:val="000000" w:themeColor="text1"/>
        </w:rPr>
      </w:pPr>
      <w:proofErr w:type="gramStart"/>
      <w:r w:rsidRPr="00260790">
        <w:rPr>
          <w:rFonts w:ascii="Times New Roman" w:hAnsi="Times New Roman"/>
          <w:bCs/>
          <w:iCs/>
          <w:color w:val="000000" w:themeColor="text1"/>
        </w:rPr>
        <w:t>identifier</w:t>
      </w:r>
      <w:proofErr w:type="gramEnd"/>
      <w:r w:rsidRPr="00260790">
        <w:rPr>
          <w:rFonts w:ascii="Times New Roman" w:hAnsi="Times New Roman"/>
          <w:bCs/>
          <w:iCs/>
          <w:color w:val="000000" w:themeColor="text1"/>
        </w:rPr>
        <w:t xml:space="preserve">, évaluer et analyser les </w:t>
      </w:r>
      <w:r w:rsidR="00D45E79" w:rsidRPr="00260790">
        <w:rPr>
          <w:rFonts w:ascii="Times New Roman" w:hAnsi="Times New Roman"/>
          <w:bCs/>
          <w:iCs/>
          <w:color w:val="000000" w:themeColor="text1"/>
        </w:rPr>
        <w:t>impacts environnementaux</w:t>
      </w:r>
      <w:r w:rsidRPr="00260790">
        <w:rPr>
          <w:rFonts w:ascii="Times New Roman" w:hAnsi="Times New Roman"/>
          <w:bCs/>
          <w:iCs/>
          <w:color w:val="000000" w:themeColor="text1"/>
        </w:rPr>
        <w:t xml:space="preserve"> et sociaux potentiels du projet (phases de préparation, de construction et d’exploitation) et recommander des mesures concrètes en vue d’accroître les bénéfices du projet ou de réduire, à un niveau acceptable, les risques et impacts environnementaux et sociaux négatifs ;</w:t>
      </w:r>
    </w:p>
    <w:p w14:paraId="1EA1EC31" w14:textId="77777777" w:rsidR="005F3FB7" w:rsidRPr="00260790" w:rsidRDefault="005F3FB7" w:rsidP="001748C6">
      <w:pPr>
        <w:numPr>
          <w:ilvl w:val="0"/>
          <w:numId w:val="111"/>
        </w:numPr>
        <w:spacing w:before="80" w:after="0" w:line="240" w:lineRule="auto"/>
        <w:jc w:val="both"/>
        <w:rPr>
          <w:rFonts w:ascii="Times New Roman" w:hAnsi="Times New Roman"/>
          <w:bCs/>
          <w:iCs/>
          <w:color w:val="000000" w:themeColor="text1"/>
        </w:rPr>
      </w:pPr>
      <w:proofErr w:type="gramStart"/>
      <w:r w:rsidRPr="00260790">
        <w:rPr>
          <w:rFonts w:ascii="Times New Roman" w:hAnsi="Times New Roman"/>
          <w:bCs/>
          <w:iCs/>
          <w:color w:val="000000" w:themeColor="text1"/>
        </w:rPr>
        <w:t>évaluer</w:t>
      </w:r>
      <w:proofErr w:type="gramEnd"/>
      <w:r w:rsidRPr="00260790">
        <w:rPr>
          <w:rFonts w:ascii="Times New Roman" w:hAnsi="Times New Roman"/>
          <w:bCs/>
          <w:iCs/>
          <w:color w:val="000000" w:themeColor="text1"/>
        </w:rPr>
        <w:t xml:space="preserve"> les risques et les effets potentiels du projet, et déterminer de manière intégrée tous les risques environnementaux et sociaux et les impacts directs, indirects et cumulatifs du projet ;</w:t>
      </w:r>
    </w:p>
    <w:p w14:paraId="44EECC4C" w14:textId="77777777" w:rsidR="005F3FB7" w:rsidRPr="00260790" w:rsidRDefault="005F3FB7" w:rsidP="001748C6">
      <w:pPr>
        <w:numPr>
          <w:ilvl w:val="0"/>
          <w:numId w:val="111"/>
        </w:numPr>
        <w:spacing w:before="80" w:after="0" w:line="240" w:lineRule="auto"/>
        <w:jc w:val="both"/>
        <w:rPr>
          <w:rFonts w:ascii="Times New Roman" w:hAnsi="Times New Roman"/>
          <w:bCs/>
          <w:iCs/>
          <w:color w:val="000000" w:themeColor="text1"/>
        </w:rPr>
      </w:pPr>
      <w:proofErr w:type="gramStart"/>
      <w:r w:rsidRPr="00260790">
        <w:rPr>
          <w:rFonts w:ascii="Times New Roman" w:hAnsi="Times New Roman"/>
          <w:bCs/>
          <w:iCs/>
          <w:color w:val="000000" w:themeColor="text1"/>
        </w:rPr>
        <w:t>s’assurer</w:t>
      </w:r>
      <w:proofErr w:type="gramEnd"/>
      <w:r w:rsidRPr="00260790">
        <w:rPr>
          <w:rFonts w:ascii="Times New Roman" w:hAnsi="Times New Roman"/>
          <w:bCs/>
          <w:iCs/>
          <w:color w:val="000000" w:themeColor="text1"/>
        </w:rPr>
        <w:t xml:space="preserve"> que toutes les activités du projet sont compatibles avec les niveaux de sensibilités environnementales et sociales de la zone des travaux et conformes aux exigences réglementaires applicables ;</w:t>
      </w:r>
    </w:p>
    <w:p w14:paraId="182057CD" w14:textId="77777777" w:rsidR="005F3FB7" w:rsidRPr="00260790" w:rsidRDefault="005F3FB7" w:rsidP="001748C6">
      <w:pPr>
        <w:numPr>
          <w:ilvl w:val="0"/>
          <w:numId w:val="111"/>
        </w:numPr>
        <w:spacing w:before="80" w:after="0" w:line="240" w:lineRule="auto"/>
        <w:jc w:val="both"/>
        <w:rPr>
          <w:rFonts w:ascii="Times New Roman" w:hAnsi="Times New Roman"/>
          <w:bCs/>
          <w:iCs/>
          <w:color w:val="000000" w:themeColor="text1"/>
        </w:rPr>
      </w:pPr>
      <w:proofErr w:type="gramStart"/>
      <w:r w:rsidRPr="00260790">
        <w:rPr>
          <w:rFonts w:ascii="Times New Roman" w:hAnsi="Times New Roman"/>
          <w:bCs/>
          <w:iCs/>
          <w:color w:val="000000" w:themeColor="text1"/>
        </w:rPr>
        <w:t>évaluer</w:t>
      </w:r>
      <w:proofErr w:type="gramEnd"/>
      <w:r w:rsidRPr="00260790">
        <w:rPr>
          <w:rFonts w:ascii="Times New Roman" w:hAnsi="Times New Roman"/>
          <w:bCs/>
          <w:iCs/>
          <w:color w:val="000000" w:themeColor="text1"/>
        </w:rPr>
        <w:t xml:space="preserve"> le niveau de pollution et d’insalubrité de la zone des travaux et proposer un plan approprié de gestion des déchets, incluant la méthodologie et procédure à utiliser ; </w:t>
      </w:r>
    </w:p>
    <w:p w14:paraId="2BD5254C" w14:textId="42D88F32" w:rsidR="005F3FB7" w:rsidRPr="00260790" w:rsidRDefault="005F3FB7" w:rsidP="001748C6">
      <w:pPr>
        <w:numPr>
          <w:ilvl w:val="0"/>
          <w:numId w:val="111"/>
        </w:numPr>
        <w:spacing w:before="80" w:after="0" w:line="240" w:lineRule="auto"/>
        <w:jc w:val="both"/>
        <w:rPr>
          <w:rFonts w:ascii="Times New Roman" w:hAnsi="Times New Roman"/>
          <w:bCs/>
          <w:iCs/>
          <w:color w:val="000000" w:themeColor="text1"/>
        </w:rPr>
      </w:pPr>
      <w:proofErr w:type="gramStart"/>
      <w:r w:rsidRPr="00260790">
        <w:rPr>
          <w:rFonts w:ascii="Times New Roman" w:hAnsi="Times New Roman"/>
          <w:bCs/>
          <w:iCs/>
          <w:color w:val="000000" w:themeColor="text1"/>
        </w:rPr>
        <w:t>identifier</w:t>
      </w:r>
      <w:proofErr w:type="gramEnd"/>
      <w:r w:rsidRPr="00260790">
        <w:rPr>
          <w:rFonts w:ascii="Times New Roman" w:hAnsi="Times New Roman"/>
          <w:bCs/>
          <w:iCs/>
          <w:color w:val="000000" w:themeColor="text1"/>
        </w:rPr>
        <w:t xml:space="preserve"> et évaluer les risques sanitaires et sécuritaires associés au projet (phases de préparation, de construction et d’exploitation) et proposer des mesures pour leur gestion</w:t>
      </w:r>
      <w:r w:rsidR="002109AA">
        <w:rPr>
          <w:rFonts w:ascii="Times New Roman" w:hAnsi="Times New Roman"/>
          <w:bCs/>
          <w:iCs/>
          <w:color w:val="000000" w:themeColor="text1"/>
        </w:rPr>
        <w:t xml:space="preserve"> </w:t>
      </w:r>
      <w:r w:rsidRPr="00260790">
        <w:rPr>
          <w:rFonts w:ascii="Times New Roman" w:hAnsi="Times New Roman"/>
          <w:bCs/>
          <w:iCs/>
          <w:color w:val="000000" w:themeColor="text1"/>
        </w:rPr>
        <w:t>;</w:t>
      </w:r>
    </w:p>
    <w:p w14:paraId="2B049593" w14:textId="5D15013F" w:rsidR="005F3FB7" w:rsidRPr="00260790" w:rsidRDefault="005F3FB7" w:rsidP="001748C6">
      <w:pPr>
        <w:numPr>
          <w:ilvl w:val="0"/>
          <w:numId w:val="111"/>
        </w:numPr>
        <w:spacing w:before="80" w:after="0" w:line="240" w:lineRule="auto"/>
        <w:jc w:val="both"/>
        <w:rPr>
          <w:rFonts w:ascii="Times New Roman" w:hAnsi="Times New Roman"/>
          <w:bCs/>
          <w:iCs/>
          <w:color w:val="000000" w:themeColor="text1"/>
        </w:rPr>
      </w:pPr>
      <w:proofErr w:type="gramStart"/>
      <w:r w:rsidRPr="00260790">
        <w:rPr>
          <w:rFonts w:ascii="Times New Roman" w:hAnsi="Times New Roman"/>
          <w:bCs/>
          <w:iCs/>
          <w:color w:val="000000" w:themeColor="text1"/>
        </w:rPr>
        <w:t>identifier</w:t>
      </w:r>
      <w:proofErr w:type="gramEnd"/>
      <w:r w:rsidRPr="00260790">
        <w:rPr>
          <w:rFonts w:ascii="Times New Roman" w:hAnsi="Times New Roman"/>
          <w:bCs/>
          <w:iCs/>
          <w:color w:val="000000" w:themeColor="text1"/>
        </w:rPr>
        <w:t xml:space="preserve"> et évaluer les risques </w:t>
      </w:r>
      <w:r w:rsidR="001E7CDA" w:rsidRPr="00260790">
        <w:rPr>
          <w:rFonts w:ascii="Times New Roman" w:hAnsi="Times New Roman"/>
          <w:bCs/>
          <w:iCs/>
          <w:color w:val="000000" w:themeColor="text1"/>
        </w:rPr>
        <w:t>d’</w:t>
      </w:r>
      <w:r w:rsidR="00A80DF3" w:rsidRPr="00260790">
        <w:rPr>
          <w:rFonts w:ascii="Times New Roman" w:hAnsi="Times New Roman"/>
          <w:bCs/>
          <w:iCs/>
          <w:color w:val="000000" w:themeColor="text1"/>
        </w:rPr>
        <w:t>E</w:t>
      </w:r>
      <w:r w:rsidR="001E7CDA" w:rsidRPr="00260790">
        <w:rPr>
          <w:rFonts w:ascii="Times New Roman" w:hAnsi="Times New Roman"/>
          <w:bCs/>
          <w:iCs/>
          <w:color w:val="000000" w:themeColor="text1"/>
        </w:rPr>
        <w:t>A</w:t>
      </w:r>
      <w:r w:rsidR="00A80DF3" w:rsidRPr="00260790">
        <w:rPr>
          <w:rFonts w:ascii="Times New Roman" w:hAnsi="Times New Roman"/>
          <w:bCs/>
          <w:iCs/>
          <w:color w:val="000000" w:themeColor="text1"/>
        </w:rPr>
        <w:t xml:space="preserve">S/HS dans la zone </w:t>
      </w:r>
      <w:r w:rsidRPr="00260790">
        <w:rPr>
          <w:rFonts w:ascii="Times New Roman" w:hAnsi="Times New Roman"/>
          <w:bCs/>
          <w:iCs/>
          <w:color w:val="000000" w:themeColor="text1"/>
        </w:rPr>
        <w:t>et préparer des codes de bonnes conduites à intégrer dans les dossiers d’appel d’offres des entreprises en vue de pré</w:t>
      </w:r>
      <w:r w:rsidR="001E7CDA" w:rsidRPr="00260790">
        <w:rPr>
          <w:rFonts w:ascii="Times New Roman" w:hAnsi="Times New Roman"/>
          <w:bCs/>
          <w:iCs/>
          <w:color w:val="000000" w:themeColor="text1"/>
        </w:rPr>
        <w:t>venir et réduire les risques d’</w:t>
      </w:r>
      <w:r w:rsidRPr="00260790">
        <w:rPr>
          <w:rFonts w:ascii="Times New Roman" w:hAnsi="Times New Roman"/>
          <w:bCs/>
          <w:iCs/>
          <w:color w:val="000000" w:themeColor="text1"/>
        </w:rPr>
        <w:t xml:space="preserve">exploitation </w:t>
      </w:r>
      <w:r w:rsidR="001E7CDA" w:rsidRPr="00260790">
        <w:rPr>
          <w:rFonts w:ascii="Times New Roman" w:hAnsi="Times New Roman"/>
          <w:bCs/>
          <w:iCs/>
          <w:color w:val="000000" w:themeColor="text1"/>
        </w:rPr>
        <w:t xml:space="preserve">et d’abus </w:t>
      </w:r>
      <w:r w:rsidRPr="00260790">
        <w:rPr>
          <w:rFonts w:ascii="Times New Roman" w:hAnsi="Times New Roman"/>
          <w:bCs/>
          <w:iCs/>
          <w:color w:val="000000" w:themeColor="text1"/>
        </w:rPr>
        <w:t>sexuel</w:t>
      </w:r>
      <w:r w:rsidR="001E7CDA" w:rsidRPr="00260790">
        <w:rPr>
          <w:rFonts w:ascii="Times New Roman" w:hAnsi="Times New Roman"/>
          <w:bCs/>
          <w:iCs/>
          <w:color w:val="000000" w:themeColor="text1"/>
        </w:rPr>
        <w:t xml:space="preserve"> (</w:t>
      </w:r>
      <w:r w:rsidRPr="00260790">
        <w:rPr>
          <w:rFonts w:ascii="Times New Roman" w:hAnsi="Times New Roman"/>
          <w:bCs/>
          <w:iCs/>
          <w:color w:val="000000" w:themeColor="text1"/>
        </w:rPr>
        <w:t>E</w:t>
      </w:r>
      <w:r w:rsidR="001E7CDA" w:rsidRPr="00260790">
        <w:rPr>
          <w:rFonts w:ascii="Times New Roman" w:hAnsi="Times New Roman"/>
          <w:bCs/>
          <w:iCs/>
          <w:color w:val="000000" w:themeColor="text1"/>
        </w:rPr>
        <w:t>A</w:t>
      </w:r>
      <w:r w:rsidRPr="00260790">
        <w:rPr>
          <w:rFonts w:ascii="Times New Roman" w:hAnsi="Times New Roman"/>
          <w:bCs/>
          <w:iCs/>
          <w:color w:val="000000" w:themeColor="text1"/>
        </w:rPr>
        <w:t>S) et de harcèlement sexuel (HS) ;</w:t>
      </w:r>
    </w:p>
    <w:p w14:paraId="69EAEE62" w14:textId="77777777" w:rsidR="005F3FB7" w:rsidRPr="00260790" w:rsidRDefault="005F3FB7" w:rsidP="001748C6">
      <w:pPr>
        <w:numPr>
          <w:ilvl w:val="0"/>
          <w:numId w:val="111"/>
        </w:numPr>
        <w:spacing w:before="80" w:after="0" w:line="240" w:lineRule="auto"/>
        <w:jc w:val="both"/>
        <w:rPr>
          <w:rFonts w:ascii="Times New Roman" w:hAnsi="Times New Roman"/>
          <w:bCs/>
          <w:iCs/>
          <w:color w:val="000000" w:themeColor="text1"/>
        </w:rPr>
      </w:pPr>
      <w:proofErr w:type="gramStart"/>
      <w:r w:rsidRPr="00260790">
        <w:rPr>
          <w:rFonts w:ascii="Times New Roman" w:hAnsi="Times New Roman"/>
          <w:bCs/>
          <w:iCs/>
          <w:color w:val="000000" w:themeColor="text1"/>
        </w:rPr>
        <w:t>prendre</w:t>
      </w:r>
      <w:proofErr w:type="gramEnd"/>
      <w:r w:rsidRPr="00260790">
        <w:rPr>
          <w:rFonts w:ascii="Times New Roman" w:hAnsi="Times New Roman"/>
          <w:bCs/>
          <w:iCs/>
          <w:color w:val="000000" w:themeColor="text1"/>
        </w:rPr>
        <w:t xml:space="preserve"> en compte le volet « exploitation et entretien des infrastructures » dans l’étude en précisant les responsabilités et les capacités des acteurs impliqués ;</w:t>
      </w:r>
    </w:p>
    <w:p w14:paraId="74C81877" w14:textId="77777777" w:rsidR="005F3FB7" w:rsidRPr="00260790" w:rsidRDefault="005F3FB7" w:rsidP="001748C6">
      <w:pPr>
        <w:numPr>
          <w:ilvl w:val="0"/>
          <w:numId w:val="111"/>
        </w:numPr>
        <w:spacing w:before="80" w:after="240" w:line="240" w:lineRule="auto"/>
        <w:jc w:val="both"/>
        <w:rPr>
          <w:rFonts w:ascii="Times New Roman" w:hAnsi="Times New Roman"/>
          <w:bCs/>
          <w:iCs/>
          <w:color w:val="000000" w:themeColor="text1"/>
        </w:rPr>
      </w:pPr>
      <w:proofErr w:type="gramStart"/>
      <w:r w:rsidRPr="00260790">
        <w:rPr>
          <w:rFonts w:ascii="Times New Roman" w:hAnsi="Times New Roman"/>
          <w:bCs/>
          <w:iCs/>
          <w:color w:val="000000" w:themeColor="text1"/>
        </w:rPr>
        <w:t>présenter</w:t>
      </w:r>
      <w:proofErr w:type="gramEnd"/>
      <w:r w:rsidRPr="00260790">
        <w:rPr>
          <w:rFonts w:ascii="Times New Roman" w:hAnsi="Times New Roman"/>
          <w:bCs/>
          <w:iCs/>
          <w:color w:val="000000" w:themeColor="text1"/>
        </w:rPr>
        <w:t>, dans le PGES, des mesures opérationnelles, réalisables et à coûts efficients, afin de circonscrire les risques et impacts pendant les différentes phases (préparation, construction, exploitation). Chaque a été décrite en détail en précisant les responsabilités pour sa mise en œuvre, et en définissant des indicateurs réalistes et mesurables permettant de vérifier son effectivité et son efficacité.</w:t>
      </w:r>
    </w:p>
    <w:p w14:paraId="3B5F7887" w14:textId="77777777" w:rsidR="005F3FB7" w:rsidRPr="00260790" w:rsidRDefault="005F3FB7" w:rsidP="001748C6">
      <w:pPr>
        <w:pStyle w:val="Normaltableau0"/>
        <w:numPr>
          <w:ilvl w:val="1"/>
          <w:numId w:val="139"/>
        </w:numPr>
        <w:outlineLvl w:val="1"/>
        <w:rPr>
          <w:rFonts w:ascii="Times New Roman" w:hAnsi="Times New Roman"/>
          <w:b/>
          <w:bCs/>
          <w:sz w:val="22"/>
          <w:szCs w:val="22"/>
        </w:rPr>
      </w:pPr>
      <w:bookmarkStart w:id="12" w:name="_Toc212725078"/>
      <w:r w:rsidRPr="00260790">
        <w:rPr>
          <w:rFonts w:ascii="Times New Roman" w:hAnsi="Times New Roman"/>
          <w:b/>
          <w:bCs/>
          <w:sz w:val="22"/>
          <w:szCs w:val="22"/>
        </w:rPr>
        <w:t>Méthodologie</w:t>
      </w:r>
      <w:bookmarkEnd w:id="12"/>
    </w:p>
    <w:p w14:paraId="589FB114" w14:textId="61B4DCAE" w:rsidR="005F3FB7" w:rsidRPr="00260790" w:rsidRDefault="005F3FB7" w:rsidP="00E20250">
      <w:pPr>
        <w:pStyle w:val="Corpsdetexte2"/>
        <w:spacing w:line="240" w:lineRule="auto"/>
        <w:rPr>
          <w:color w:val="000000" w:themeColor="text1"/>
        </w:rPr>
      </w:pPr>
      <w:r w:rsidRPr="00260790">
        <w:rPr>
          <w:color w:val="000000" w:themeColor="text1"/>
        </w:rPr>
        <w:t>Le processus de réalisation de l’étude a été conduit en conformité avec les exigences nationales en matière d’évaluation environnementale et les Normes Environnementales et Sociales (NES) du Cadre de Gestion Environnementale et Sociale de la Banque mondiale. Elle a également pris en compte les orientations et recommandations des documents de sauvegarde du PROGEP II, notamment la cadre de gestion environnementale et sociale (CGES), le cadre de politique de réinstallation (CPR) et le plan de mobilisation des parties prenantes (PMPP) déjà réalisés</w:t>
      </w:r>
      <w:r w:rsidR="009721EA" w:rsidRPr="00260790">
        <w:rPr>
          <w:color w:val="000000" w:themeColor="text1"/>
        </w:rPr>
        <w:t xml:space="preserve"> et le Plan d’Engagement Environnemental et Social (PEES)</w:t>
      </w:r>
      <w:r w:rsidRPr="00260790">
        <w:rPr>
          <w:color w:val="000000" w:themeColor="text1"/>
        </w:rPr>
        <w:t>.</w:t>
      </w:r>
    </w:p>
    <w:p w14:paraId="01592489" w14:textId="77777777" w:rsidR="005F3FB7" w:rsidRPr="00260790" w:rsidRDefault="005F3FB7" w:rsidP="00E20250">
      <w:pPr>
        <w:pStyle w:val="Corpsdetexte2"/>
        <w:spacing w:line="240" w:lineRule="auto"/>
        <w:rPr>
          <w:color w:val="000000" w:themeColor="text1"/>
        </w:rPr>
      </w:pPr>
      <w:r w:rsidRPr="00260790">
        <w:rPr>
          <w:color w:val="000000" w:themeColor="text1"/>
        </w:rPr>
        <w:t>Le rapport de l’EIES intègre un Plan de Gestion Environnementale et Sociale (PGES), présentant des activités détaillées et budgétisées, y compris la communication, le renforcement des capacités et le suivi-évaluation, et incluant les dispositions institutionnelles, financières et techniques à prendre en compte durant les différentes phases (préparation, construction, exploitation) du projet.</w:t>
      </w:r>
    </w:p>
    <w:p w14:paraId="3F1FB90A" w14:textId="77777777" w:rsidR="006B2607" w:rsidRPr="00260790" w:rsidRDefault="006B2607">
      <w:pPr>
        <w:spacing w:line="259" w:lineRule="auto"/>
        <w:rPr>
          <w:rFonts w:ascii="Times New Roman" w:hAnsi="Times New Roman"/>
          <w:color w:val="000000" w:themeColor="text1"/>
        </w:rPr>
      </w:pPr>
      <w:r w:rsidRPr="00260790">
        <w:rPr>
          <w:rFonts w:ascii="Times New Roman" w:hAnsi="Times New Roman"/>
          <w:color w:val="000000" w:themeColor="text1"/>
        </w:rPr>
        <w:br w:type="page"/>
      </w:r>
    </w:p>
    <w:p w14:paraId="53DB4E32" w14:textId="2E6DA355" w:rsidR="005F3FB7" w:rsidRPr="00260790" w:rsidRDefault="005F3FB7" w:rsidP="00E20250">
      <w:pPr>
        <w:pStyle w:val="Corpsdetexte2"/>
        <w:spacing w:line="240" w:lineRule="auto"/>
        <w:rPr>
          <w:color w:val="000000" w:themeColor="text1"/>
        </w:rPr>
      </w:pPr>
      <w:r w:rsidRPr="00260790">
        <w:rPr>
          <w:color w:val="000000" w:themeColor="text1"/>
        </w:rPr>
        <w:lastRenderedPageBreak/>
        <w:t xml:space="preserve">Cette présente étude, ciblant la même zone d’influence sur le plan </w:t>
      </w:r>
      <w:r w:rsidR="00D45E79" w:rsidRPr="00260790">
        <w:rPr>
          <w:color w:val="000000" w:themeColor="text1"/>
        </w:rPr>
        <w:t>éco géographique</w:t>
      </w:r>
      <w:r w:rsidR="0060032A" w:rsidRPr="00260790">
        <w:rPr>
          <w:color w:val="000000" w:themeColor="text1"/>
        </w:rPr>
        <w:t>,</w:t>
      </w:r>
      <w:r w:rsidRPr="00260790">
        <w:rPr>
          <w:color w:val="000000" w:themeColor="text1"/>
        </w:rPr>
        <w:t xml:space="preserve"> démo</w:t>
      </w:r>
      <w:r w:rsidR="0060032A" w:rsidRPr="00260790">
        <w:rPr>
          <w:color w:val="000000" w:themeColor="text1"/>
        </w:rPr>
        <w:t>graphique et</w:t>
      </w:r>
      <w:r w:rsidRPr="00260790">
        <w:rPr>
          <w:color w:val="000000" w:themeColor="text1"/>
        </w:rPr>
        <w:t xml:space="preserve"> socioéconomique, avec des sous-projets qui ont présentement quasiment les mêmes caractéristiques techniques, a capitalisé les inputs et les leçons apprises de</w:t>
      </w:r>
      <w:r w:rsidR="00496167" w:rsidRPr="00260790">
        <w:rPr>
          <w:color w:val="000000" w:themeColor="text1"/>
        </w:rPr>
        <w:t>s</w:t>
      </w:r>
      <w:r w:rsidRPr="00260790">
        <w:rPr>
          <w:color w:val="000000" w:themeColor="text1"/>
        </w:rPr>
        <w:t xml:space="preserve"> étude</w:t>
      </w:r>
      <w:r w:rsidR="00496167" w:rsidRPr="00260790">
        <w:rPr>
          <w:color w:val="000000" w:themeColor="text1"/>
        </w:rPr>
        <w:t>s</w:t>
      </w:r>
      <w:r w:rsidRPr="00260790">
        <w:rPr>
          <w:color w:val="000000" w:themeColor="text1"/>
        </w:rPr>
        <w:t xml:space="preserve"> précédente</w:t>
      </w:r>
      <w:r w:rsidR="00496167" w:rsidRPr="00260790">
        <w:rPr>
          <w:color w:val="000000" w:themeColor="text1"/>
        </w:rPr>
        <w:t>s</w:t>
      </w:r>
      <w:r w:rsidRPr="00260790">
        <w:rPr>
          <w:color w:val="000000" w:themeColor="text1"/>
        </w:rPr>
        <w:t xml:space="preserve"> relative</w:t>
      </w:r>
      <w:r w:rsidR="006B11FA" w:rsidRPr="00260790">
        <w:rPr>
          <w:color w:val="000000" w:themeColor="text1"/>
        </w:rPr>
        <w:t>s</w:t>
      </w:r>
      <w:r w:rsidRPr="00260790">
        <w:rPr>
          <w:color w:val="000000" w:themeColor="text1"/>
        </w:rPr>
        <w:t xml:space="preserve"> aux </w:t>
      </w:r>
      <w:r w:rsidRPr="00260790">
        <w:rPr>
          <w:rFonts w:eastAsia="Times New Roman"/>
          <w:color w:val="000000" w:themeColor="text1"/>
        </w:rPr>
        <w:t>travaux d’urgence</w:t>
      </w:r>
      <w:r w:rsidR="00680177" w:rsidRPr="00260790">
        <w:rPr>
          <w:rFonts w:eastAsia="Times New Roman"/>
          <w:color w:val="000000" w:themeColor="text1"/>
        </w:rPr>
        <w:t xml:space="preserve"> du BCI</w:t>
      </w:r>
      <w:r w:rsidR="00932650" w:rsidRPr="00260790">
        <w:rPr>
          <w:rFonts w:eastAsia="Times New Roman"/>
          <w:color w:val="000000" w:themeColor="text1"/>
        </w:rPr>
        <w:t xml:space="preserve"> dans le bassin versant de Mbao,</w:t>
      </w:r>
      <w:r w:rsidRPr="00260790">
        <w:rPr>
          <w:rFonts w:eastAsia="Times New Roman"/>
          <w:color w:val="000000" w:themeColor="text1"/>
        </w:rPr>
        <w:t xml:space="preserve"> du bassin de </w:t>
      </w:r>
      <w:proofErr w:type="spellStart"/>
      <w:r w:rsidRPr="00260790">
        <w:rPr>
          <w:rFonts w:eastAsia="Times New Roman"/>
          <w:color w:val="000000" w:themeColor="text1"/>
        </w:rPr>
        <w:t>Mbeubeuss</w:t>
      </w:r>
      <w:proofErr w:type="spellEnd"/>
      <w:r w:rsidR="00932650" w:rsidRPr="00260790">
        <w:rPr>
          <w:rFonts w:eastAsia="Times New Roman"/>
          <w:color w:val="000000" w:themeColor="text1"/>
        </w:rPr>
        <w:t>,</w:t>
      </w:r>
      <w:r w:rsidRPr="00260790">
        <w:rPr>
          <w:rFonts w:eastAsia="Times New Roman"/>
          <w:color w:val="000000" w:themeColor="text1"/>
        </w:rPr>
        <w:t xml:space="preserve"> des travaux confortatifs</w:t>
      </w:r>
      <w:r w:rsidR="00496167" w:rsidRPr="00260790">
        <w:rPr>
          <w:rFonts w:eastAsia="Times New Roman"/>
          <w:color w:val="000000" w:themeColor="text1"/>
        </w:rPr>
        <w:t xml:space="preserve"> et des travaux sur la partie </w:t>
      </w:r>
      <w:r w:rsidR="00DA320E" w:rsidRPr="00260790">
        <w:rPr>
          <w:rFonts w:eastAsia="Times New Roman"/>
          <w:color w:val="000000" w:themeColor="text1"/>
        </w:rPr>
        <w:t>N</w:t>
      </w:r>
      <w:r w:rsidR="00496167" w:rsidRPr="00260790">
        <w:rPr>
          <w:rFonts w:eastAsia="Times New Roman"/>
          <w:color w:val="000000" w:themeColor="text1"/>
        </w:rPr>
        <w:t xml:space="preserve">ord </w:t>
      </w:r>
      <w:r w:rsidR="009217F0" w:rsidRPr="00260790">
        <w:rPr>
          <w:rFonts w:eastAsia="Times New Roman"/>
          <w:color w:val="000000" w:themeColor="text1"/>
        </w:rPr>
        <w:t xml:space="preserve">du bassin de </w:t>
      </w:r>
      <w:proofErr w:type="spellStart"/>
      <w:r w:rsidR="009217F0" w:rsidRPr="00260790">
        <w:rPr>
          <w:rFonts w:eastAsia="Times New Roman"/>
          <w:color w:val="000000" w:themeColor="text1"/>
        </w:rPr>
        <w:t>Mbeubeuss</w:t>
      </w:r>
      <w:proofErr w:type="spellEnd"/>
      <w:r w:rsidRPr="00260790">
        <w:rPr>
          <w:rFonts w:eastAsia="Times New Roman"/>
          <w:color w:val="000000" w:themeColor="text1"/>
        </w:rPr>
        <w:t>.</w:t>
      </w:r>
    </w:p>
    <w:p w14:paraId="1F53B75F" w14:textId="77777777" w:rsidR="005F3FB7" w:rsidRPr="00260790" w:rsidRDefault="005F3FB7" w:rsidP="00E20250">
      <w:pPr>
        <w:pStyle w:val="Corpsdetexte2"/>
        <w:spacing w:line="240" w:lineRule="auto"/>
        <w:rPr>
          <w:color w:val="000000" w:themeColor="text1"/>
        </w:rPr>
      </w:pPr>
      <w:r w:rsidRPr="00260790">
        <w:rPr>
          <w:color w:val="000000" w:themeColor="text1"/>
        </w:rPr>
        <w:t xml:space="preserve">La méthodologie utilisée lors de l’élaboration de la présente étude est basée sur une approche systémique, inclusive et participative, sous-tendue par une large concertation avec l’ensemble des parties prenantes du projet. </w:t>
      </w:r>
    </w:p>
    <w:p w14:paraId="69AE8955" w14:textId="77777777" w:rsidR="005F3FB7" w:rsidRPr="00260790" w:rsidRDefault="005F3FB7" w:rsidP="00E20250">
      <w:pPr>
        <w:pStyle w:val="Corpsdetexte2"/>
        <w:spacing w:line="240" w:lineRule="auto"/>
        <w:rPr>
          <w:color w:val="000000" w:themeColor="text1"/>
        </w:rPr>
      </w:pPr>
      <w:r w:rsidRPr="00260790">
        <w:rPr>
          <w:color w:val="000000" w:themeColor="text1"/>
        </w:rPr>
        <w:t xml:space="preserve">Cette méthodologie est articulée autour des principaux axes d’intervention suivants : </w:t>
      </w:r>
    </w:p>
    <w:p w14:paraId="67D76934" w14:textId="3678D4C3" w:rsidR="005F3FB7" w:rsidRPr="00260790" w:rsidRDefault="005F3FB7" w:rsidP="001748C6">
      <w:pPr>
        <w:pStyle w:val="Corpsdetexte2"/>
        <w:numPr>
          <w:ilvl w:val="0"/>
          <w:numId w:val="1"/>
        </w:numPr>
        <w:spacing w:after="0" w:line="240" w:lineRule="auto"/>
        <w:ind w:hanging="435"/>
        <w:rPr>
          <w:color w:val="000000" w:themeColor="text1"/>
        </w:rPr>
      </w:pPr>
      <w:proofErr w:type="gramStart"/>
      <w:r w:rsidRPr="00260790">
        <w:rPr>
          <w:b/>
          <w:bCs/>
          <w:i/>
          <w:iCs/>
          <w:color w:val="000000" w:themeColor="text1"/>
        </w:rPr>
        <w:t>une</w:t>
      </w:r>
      <w:proofErr w:type="gramEnd"/>
      <w:r w:rsidRPr="00260790">
        <w:rPr>
          <w:b/>
          <w:bCs/>
          <w:i/>
          <w:iCs/>
          <w:color w:val="000000" w:themeColor="text1"/>
        </w:rPr>
        <w:t xml:space="preserve"> revue documentaire</w:t>
      </w:r>
      <w:r w:rsidRPr="00260790">
        <w:rPr>
          <w:color w:val="000000" w:themeColor="text1"/>
        </w:rPr>
        <w:t xml:space="preserve"> : </w:t>
      </w:r>
      <w:r w:rsidR="00680C47" w:rsidRPr="0097258B">
        <w:rPr>
          <w:color w:val="000000" w:themeColor="text1"/>
        </w:rPr>
        <w:t>une première étude d’impact environnemental et social (EIES) a été réalisée en amont du bassin versant de Mbao. Dans la continuité de cette démarche, la présente étude a permis de collecter et d’analyser les documents disponibles relatifs au projet, notamment le CGES, le CPR, le Plan de Gestion de la Main-d’œuvre, les études techniques et les dossiers d’appel d’offres (DAO), ainsi que d’autres documents stratégiques ou de planification pertinents aux niveaux national et local. Ces données ont servi à établir un état des lieux de la zone d’intervention, à identifier les principaux enjeux environnementaux et sociaux liés au projet, et à évaluer les impacts négatifs potentiels en vue de proposer des mesures de mitigation appropriées. Les enseignements tirés et les résultats des études antérieures, notamment celles menées lors de la première phase du PROGEP, ont été pleinement intégrés dans l’élaboration de cette étude</w:t>
      </w:r>
      <w:r w:rsidRPr="00680C47">
        <w:rPr>
          <w:color w:val="000000" w:themeColor="text1"/>
        </w:rPr>
        <w:t> </w:t>
      </w:r>
      <w:r w:rsidRPr="00260790">
        <w:rPr>
          <w:color w:val="000000" w:themeColor="text1"/>
        </w:rPr>
        <w:t>;</w:t>
      </w:r>
    </w:p>
    <w:p w14:paraId="4DEBDC3D" w14:textId="21AAFE44" w:rsidR="005F3FB7" w:rsidRPr="00260790" w:rsidRDefault="005F3FB7" w:rsidP="001748C6">
      <w:pPr>
        <w:pStyle w:val="Corpsdetexte2"/>
        <w:numPr>
          <w:ilvl w:val="0"/>
          <w:numId w:val="1"/>
        </w:numPr>
        <w:spacing w:after="0" w:line="240" w:lineRule="auto"/>
        <w:ind w:hanging="435"/>
        <w:rPr>
          <w:color w:val="000000" w:themeColor="text1"/>
        </w:rPr>
      </w:pPr>
      <w:proofErr w:type="gramStart"/>
      <w:r w:rsidRPr="00260790">
        <w:rPr>
          <w:b/>
          <w:bCs/>
          <w:i/>
          <w:iCs/>
          <w:color w:val="000000" w:themeColor="text1"/>
        </w:rPr>
        <w:t>des</w:t>
      </w:r>
      <w:proofErr w:type="gramEnd"/>
      <w:r w:rsidRPr="00260790">
        <w:rPr>
          <w:b/>
          <w:bCs/>
          <w:i/>
          <w:iCs/>
          <w:color w:val="000000" w:themeColor="text1"/>
        </w:rPr>
        <w:t xml:space="preserve"> visites de terrain</w:t>
      </w:r>
      <w:r w:rsidRPr="00260790">
        <w:rPr>
          <w:color w:val="000000" w:themeColor="text1"/>
        </w:rPr>
        <w:t xml:space="preserve"> : les visites de terrain ont été effectuées dans la zone d’influence du projet, particulièrement dans les sites des travaux prévus. L’objectif de ces visites est de collecter des données biophysique et socio-économique nécessaires à la caractérisation </w:t>
      </w:r>
      <w:r w:rsidR="00F23B94" w:rsidRPr="00260790">
        <w:rPr>
          <w:color w:val="000000" w:themeColor="text1"/>
        </w:rPr>
        <w:t>du milieu</w:t>
      </w:r>
      <w:r w:rsidRPr="00260790">
        <w:rPr>
          <w:color w:val="000000" w:themeColor="text1"/>
        </w:rPr>
        <w:t xml:space="preserve"> (état de référence), la cartographie de l’occupation du sol sur les emprises des travaux et les zones sensibles, l’identification des impacts potentiels et des enjeux environnementaux et sociaux ;</w:t>
      </w:r>
    </w:p>
    <w:p w14:paraId="6C6CDCA9" w14:textId="77777777" w:rsidR="005F3FB7" w:rsidRPr="00260790" w:rsidRDefault="005F3FB7" w:rsidP="001748C6">
      <w:pPr>
        <w:pStyle w:val="Corpsdetexte2"/>
        <w:numPr>
          <w:ilvl w:val="0"/>
          <w:numId w:val="1"/>
        </w:numPr>
        <w:spacing w:after="0" w:line="240" w:lineRule="auto"/>
        <w:ind w:hanging="435"/>
        <w:rPr>
          <w:color w:val="000000" w:themeColor="text1"/>
        </w:rPr>
      </w:pPr>
      <w:proofErr w:type="gramStart"/>
      <w:r w:rsidRPr="00260790">
        <w:rPr>
          <w:b/>
          <w:bCs/>
          <w:i/>
          <w:iCs/>
          <w:color w:val="000000" w:themeColor="text1"/>
        </w:rPr>
        <w:t>des</w:t>
      </w:r>
      <w:proofErr w:type="gramEnd"/>
      <w:r w:rsidRPr="00260790">
        <w:rPr>
          <w:b/>
          <w:bCs/>
          <w:i/>
          <w:iCs/>
          <w:color w:val="000000" w:themeColor="text1"/>
        </w:rPr>
        <w:t xml:space="preserve"> consultations publiques</w:t>
      </w:r>
      <w:r w:rsidRPr="00260790">
        <w:rPr>
          <w:color w:val="000000" w:themeColor="text1"/>
        </w:rPr>
        <w:t xml:space="preserve"> : il s’agit de rencontres d’échanges, de discussion et de collectes d’informations pertinentes sur le projet auprès des parties prenantes concernées (structures centrales, décentralisées et déconcentrées impliquées ou interpellées dans la mise en œuvre du projet, populations potentiellement affectées par le projet, acteurs non étatiques, consultation spécifique des femmes avec les </w:t>
      </w:r>
      <w:proofErr w:type="spellStart"/>
      <w:r w:rsidRPr="00260790">
        <w:rPr>
          <w:color w:val="000000" w:themeColor="text1"/>
        </w:rPr>
        <w:t>Bajenu</w:t>
      </w:r>
      <w:proofErr w:type="spellEnd"/>
      <w:r w:rsidRPr="00260790">
        <w:rPr>
          <w:color w:val="000000" w:themeColor="text1"/>
        </w:rPr>
        <w:t xml:space="preserve"> Gox, etc.). Des supports de communication appropriés (cartes, plans, projections vidéo, etc.) relatifs aux activités du projet ont été utilisés pour informer l’ensemble de ces acteurs sur l’étude à réaliser. La consultation a permis de collecter des données pertinentes sur la zone d’influence, mais surtout de recueillir les avis, points de vue, préoccupations, craintes, suggestions et recommandations des parties prenantes sur toute la durée de vie du projet (phases de préparation, de construction et de mise en service). Les listes de présence et photos illustratives des rencontres avec les parties prenantes sont jointes en annexes ;</w:t>
      </w:r>
    </w:p>
    <w:p w14:paraId="275A2AB2" w14:textId="77777777" w:rsidR="005F3FB7" w:rsidRPr="00260790" w:rsidRDefault="005F3FB7" w:rsidP="001748C6">
      <w:pPr>
        <w:pStyle w:val="Corpsdetexte2"/>
        <w:numPr>
          <w:ilvl w:val="0"/>
          <w:numId w:val="1"/>
        </w:numPr>
        <w:spacing w:after="0" w:line="240" w:lineRule="auto"/>
        <w:ind w:hanging="435"/>
        <w:rPr>
          <w:color w:val="000000" w:themeColor="text1"/>
        </w:rPr>
      </w:pPr>
      <w:proofErr w:type="gramStart"/>
      <w:r w:rsidRPr="00260790">
        <w:rPr>
          <w:b/>
          <w:bCs/>
          <w:i/>
          <w:iCs/>
          <w:color w:val="000000" w:themeColor="text1"/>
        </w:rPr>
        <w:t>une</w:t>
      </w:r>
      <w:proofErr w:type="gramEnd"/>
      <w:r w:rsidRPr="00260790">
        <w:rPr>
          <w:b/>
          <w:bCs/>
          <w:i/>
          <w:iCs/>
          <w:color w:val="000000" w:themeColor="text1"/>
        </w:rPr>
        <w:t xml:space="preserve"> analyse des données</w:t>
      </w:r>
      <w:r w:rsidRPr="00260790">
        <w:rPr>
          <w:color w:val="000000" w:themeColor="text1"/>
        </w:rPr>
        <w:t> : collectées à travers la description du milieu, l’analyse des enjeux, la synthèse des consultations, l’identification des impacts et la proposition de mesures d’atténuation et l’élaboration du PGES ;</w:t>
      </w:r>
    </w:p>
    <w:p w14:paraId="4924A656" w14:textId="77777777" w:rsidR="005F3FB7" w:rsidRPr="00260790" w:rsidRDefault="005F3FB7" w:rsidP="001748C6">
      <w:pPr>
        <w:pStyle w:val="Corpsdetexte2"/>
        <w:numPr>
          <w:ilvl w:val="0"/>
          <w:numId w:val="1"/>
        </w:numPr>
        <w:spacing w:line="240" w:lineRule="auto"/>
        <w:ind w:hanging="435"/>
        <w:rPr>
          <w:color w:val="000000" w:themeColor="text1"/>
        </w:rPr>
      </w:pPr>
      <w:proofErr w:type="gramStart"/>
      <w:r w:rsidRPr="00260790">
        <w:rPr>
          <w:b/>
          <w:bCs/>
          <w:i/>
          <w:iCs/>
          <w:color w:val="000000" w:themeColor="text1"/>
        </w:rPr>
        <w:t>des</w:t>
      </w:r>
      <w:proofErr w:type="gramEnd"/>
      <w:r w:rsidRPr="00260790">
        <w:rPr>
          <w:b/>
          <w:bCs/>
          <w:i/>
          <w:iCs/>
          <w:color w:val="000000" w:themeColor="text1"/>
        </w:rPr>
        <w:t xml:space="preserve"> séances de restitution / </w:t>
      </w:r>
      <w:proofErr w:type="gramStart"/>
      <w:r w:rsidRPr="00260790">
        <w:rPr>
          <w:b/>
          <w:bCs/>
          <w:i/>
          <w:iCs/>
          <w:color w:val="000000" w:themeColor="text1"/>
        </w:rPr>
        <w:t>validation</w:t>
      </w:r>
      <w:r w:rsidRPr="00260790">
        <w:rPr>
          <w:color w:val="000000" w:themeColor="text1"/>
        </w:rPr>
        <w:t>:</w:t>
      </w:r>
      <w:proofErr w:type="gramEnd"/>
      <w:r w:rsidRPr="00260790">
        <w:rPr>
          <w:color w:val="000000" w:themeColor="text1"/>
        </w:rPr>
        <w:t xml:space="preserve"> pour informer, partager et confirmer ou infirmer les résultats de l’étude.</w:t>
      </w:r>
    </w:p>
    <w:p w14:paraId="1E0E0983" w14:textId="4220F65E" w:rsidR="005F3FB7" w:rsidRDefault="005F3FB7" w:rsidP="00E20250">
      <w:pPr>
        <w:pStyle w:val="Corpsdetexte2"/>
        <w:spacing w:line="240" w:lineRule="auto"/>
        <w:rPr>
          <w:color w:val="000000" w:themeColor="text1"/>
        </w:rPr>
      </w:pPr>
      <w:r w:rsidRPr="00260790">
        <w:rPr>
          <w:color w:val="000000" w:themeColor="text1"/>
        </w:rPr>
        <w:t>Cette démarche participative adoptée lors du processus d’élaboration de l’EIES a conduit à : (i) la délimitation des zones d'influence et d’impact du projet, avec une analyse dynamique de leurs caractéristiques biophysiques et socio-économiques ; (ii) l’analyse du cadre réglementaire et institutionnel applicable au projet ; (iii) l’identification des principaux enjeux environnementaux et sociaux en relation avec les activités prévues ; (iv) l’identification et l’analyse de l’implication des parties prenantes au processus et de la prise en compte de leurs points de vue ; (v) la présentation et l’analyse des variantes ; (vi) l’identification, l’analyse et l’évaluation des impacts et effets susceptibles d'être engendrés par les activités prévues, et les  risques liés à leur mise en œuvre ; (vii) l’élaboration d’un Plan de Gestion et de Suivi Environnemental et Social et des couts qui y sont associés.</w:t>
      </w:r>
    </w:p>
    <w:p w14:paraId="4D3D4648" w14:textId="77777777" w:rsidR="00957B1B" w:rsidRDefault="00957B1B" w:rsidP="00E20250">
      <w:pPr>
        <w:pStyle w:val="Corpsdetexte2"/>
        <w:spacing w:line="240" w:lineRule="auto"/>
        <w:rPr>
          <w:color w:val="000000" w:themeColor="text1"/>
        </w:rPr>
      </w:pPr>
    </w:p>
    <w:p w14:paraId="0F4406A4" w14:textId="77777777" w:rsidR="00957B1B" w:rsidRPr="00260790" w:rsidRDefault="00957B1B" w:rsidP="00E20250">
      <w:pPr>
        <w:pStyle w:val="Corpsdetexte2"/>
        <w:spacing w:line="240" w:lineRule="auto"/>
        <w:rPr>
          <w:color w:val="000000" w:themeColor="text1"/>
        </w:rPr>
      </w:pPr>
    </w:p>
    <w:p w14:paraId="1B8F9905" w14:textId="7F6164A7" w:rsidR="005F3FB7" w:rsidRPr="00260790" w:rsidRDefault="005F3FB7" w:rsidP="00E20250">
      <w:pPr>
        <w:pStyle w:val="Corpsdetexte2"/>
        <w:spacing w:line="240" w:lineRule="auto"/>
        <w:rPr>
          <w:color w:val="000000" w:themeColor="text1"/>
        </w:rPr>
      </w:pPr>
      <w:r w:rsidRPr="00260790">
        <w:rPr>
          <w:color w:val="000000" w:themeColor="text1"/>
        </w:rPr>
        <w:lastRenderedPageBreak/>
        <w:t>La structuration du rapport d’EIES est présentée comme suit :</w:t>
      </w:r>
    </w:p>
    <w:p w14:paraId="6EEE11A8" w14:textId="77777777" w:rsidR="005F3FB7" w:rsidRPr="00260790" w:rsidRDefault="005F3FB7" w:rsidP="001748C6">
      <w:pPr>
        <w:pStyle w:val="Corpsdetexte2"/>
        <w:numPr>
          <w:ilvl w:val="0"/>
          <w:numId w:val="2"/>
        </w:numPr>
        <w:spacing w:after="0" w:line="240" w:lineRule="auto"/>
        <w:ind w:left="714" w:hanging="357"/>
        <w:rPr>
          <w:color w:val="000000" w:themeColor="text1"/>
        </w:rPr>
      </w:pPr>
      <w:r w:rsidRPr="00260790">
        <w:rPr>
          <w:color w:val="000000" w:themeColor="text1"/>
        </w:rPr>
        <w:t>Sommaire</w:t>
      </w:r>
    </w:p>
    <w:p w14:paraId="3E2846C1" w14:textId="77777777" w:rsidR="005F3FB7" w:rsidRPr="00260790" w:rsidRDefault="005F3FB7" w:rsidP="001748C6">
      <w:pPr>
        <w:pStyle w:val="Corpsdetexte2"/>
        <w:numPr>
          <w:ilvl w:val="0"/>
          <w:numId w:val="2"/>
        </w:numPr>
        <w:spacing w:after="0" w:line="240" w:lineRule="auto"/>
        <w:ind w:left="714" w:hanging="357"/>
        <w:rPr>
          <w:color w:val="000000" w:themeColor="text1"/>
        </w:rPr>
      </w:pPr>
      <w:r w:rsidRPr="00260790">
        <w:rPr>
          <w:color w:val="000000" w:themeColor="text1"/>
        </w:rPr>
        <w:t>Acronymes</w:t>
      </w:r>
    </w:p>
    <w:p w14:paraId="6D650647" w14:textId="77777777" w:rsidR="005F3FB7" w:rsidRPr="00260790" w:rsidRDefault="005F3FB7" w:rsidP="001748C6">
      <w:pPr>
        <w:pStyle w:val="Corpsdetexte2"/>
        <w:numPr>
          <w:ilvl w:val="0"/>
          <w:numId w:val="2"/>
        </w:numPr>
        <w:spacing w:after="0" w:line="240" w:lineRule="auto"/>
        <w:ind w:left="714" w:hanging="357"/>
        <w:rPr>
          <w:color w:val="000000" w:themeColor="text1"/>
        </w:rPr>
      </w:pPr>
      <w:r w:rsidRPr="00260790">
        <w:rPr>
          <w:color w:val="000000" w:themeColor="text1"/>
        </w:rPr>
        <w:t>Résumé exécutif en français</w:t>
      </w:r>
    </w:p>
    <w:p w14:paraId="57AED3F1" w14:textId="77777777" w:rsidR="005F3FB7" w:rsidRDefault="005F3FB7" w:rsidP="001748C6">
      <w:pPr>
        <w:pStyle w:val="Corpsdetexte2"/>
        <w:numPr>
          <w:ilvl w:val="0"/>
          <w:numId w:val="2"/>
        </w:numPr>
        <w:spacing w:after="0" w:line="240" w:lineRule="auto"/>
        <w:ind w:left="714" w:hanging="357"/>
        <w:rPr>
          <w:color w:val="000000" w:themeColor="text1"/>
        </w:rPr>
      </w:pPr>
      <w:r w:rsidRPr="00260790">
        <w:rPr>
          <w:color w:val="000000" w:themeColor="text1"/>
        </w:rPr>
        <w:t>Résumé exécutif en anglais</w:t>
      </w:r>
    </w:p>
    <w:p w14:paraId="71A5ED5B" w14:textId="77777777" w:rsidR="00EA3D21" w:rsidRPr="00260790" w:rsidRDefault="00EA3D21" w:rsidP="00EA3D21">
      <w:pPr>
        <w:pStyle w:val="Corpsdetexte2"/>
        <w:numPr>
          <w:ilvl w:val="0"/>
          <w:numId w:val="2"/>
        </w:numPr>
        <w:spacing w:after="0" w:line="240" w:lineRule="auto"/>
        <w:ind w:left="714" w:hanging="357"/>
        <w:rPr>
          <w:color w:val="000000" w:themeColor="text1"/>
        </w:rPr>
      </w:pPr>
      <w:r w:rsidRPr="00260790">
        <w:rPr>
          <w:color w:val="000000" w:themeColor="text1"/>
        </w:rPr>
        <w:t>Introduction</w:t>
      </w:r>
    </w:p>
    <w:p w14:paraId="6905B205" w14:textId="5853B0BD" w:rsidR="005F3FB7" w:rsidRDefault="00F91D65" w:rsidP="001748C6">
      <w:pPr>
        <w:pStyle w:val="Corpsdetexte2"/>
        <w:numPr>
          <w:ilvl w:val="0"/>
          <w:numId w:val="2"/>
        </w:numPr>
        <w:spacing w:after="0" w:line="240" w:lineRule="auto"/>
        <w:ind w:left="714" w:hanging="357"/>
        <w:rPr>
          <w:color w:val="000000" w:themeColor="text1"/>
        </w:rPr>
      </w:pPr>
      <w:r>
        <w:rPr>
          <w:color w:val="000000" w:themeColor="text1"/>
        </w:rPr>
        <w:t>Description du projet</w:t>
      </w:r>
    </w:p>
    <w:p w14:paraId="27DE6CA3" w14:textId="4B5656C1" w:rsidR="00F91D65" w:rsidRDefault="00F91D65" w:rsidP="001748C6">
      <w:pPr>
        <w:pStyle w:val="Corpsdetexte2"/>
        <w:numPr>
          <w:ilvl w:val="0"/>
          <w:numId w:val="2"/>
        </w:numPr>
        <w:spacing w:after="0" w:line="240" w:lineRule="auto"/>
        <w:ind w:left="714" w:hanging="357"/>
        <w:rPr>
          <w:color w:val="000000" w:themeColor="text1"/>
        </w:rPr>
      </w:pPr>
      <w:r>
        <w:rPr>
          <w:color w:val="000000" w:themeColor="text1"/>
        </w:rPr>
        <w:t xml:space="preserve">Cadre politique, juridique et institutionnel </w:t>
      </w:r>
    </w:p>
    <w:p w14:paraId="2275326B" w14:textId="726DC57F" w:rsidR="00F91D65" w:rsidRPr="00260790" w:rsidRDefault="00F91D65" w:rsidP="001748C6">
      <w:pPr>
        <w:pStyle w:val="Corpsdetexte2"/>
        <w:numPr>
          <w:ilvl w:val="0"/>
          <w:numId w:val="2"/>
        </w:numPr>
        <w:spacing w:after="0" w:line="240" w:lineRule="auto"/>
        <w:ind w:left="714" w:hanging="357"/>
        <w:rPr>
          <w:color w:val="000000" w:themeColor="text1"/>
        </w:rPr>
      </w:pPr>
      <w:r>
        <w:rPr>
          <w:color w:val="000000" w:themeColor="text1"/>
        </w:rPr>
        <w:t>Conditions environn</w:t>
      </w:r>
      <w:r w:rsidR="00D151C7">
        <w:rPr>
          <w:color w:val="000000" w:themeColor="text1"/>
        </w:rPr>
        <w:t>ementales et sociales de base</w:t>
      </w:r>
    </w:p>
    <w:p w14:paraId="1A8B521F" w14:textId="1DB01515" w:rsidR="005F3FB7" w:rsidRPr="00260790" w:rsidRDefault="005F3FB7" w:rsidP="001748C6">
      <w:pPr>
        <w:pStyle w:val="Corpsdetexte2"/>
        <w:numPr>
          <w:ilvl w:val="0"/>
          <w:numId w:val="2"/>
        </w:numPr>
        <w:spacing w:after="0" w:line="240" w:lineRule="auto"/>
        <w:ind w:left="714" w:hanging="357"/>
        <w:rPr>
          <w:color w:val="000000" w:themeColor="text1"/>
        </w:rPr>
      </w:pPr>
      <w:r w:rsidRPr="00260790">
        <w:rPr>
          <w:color w:val="000000" w:themeColor="text1"/>
        </w:rPr>
        <w:t xml:space="preserve">Consultation </w:t>
      </w:r>
      <w:r w:rsidR="00D151C7">
        <w:rPr>
          <w:color w:val="000000" w:themeColor="text1"/>
        </w:rPr>
        <w:t xml:space="preserve">du </w:t>
      </w:r>
      <w:r w:rsidRPr="00260790">
        <w:rPr>
          <w:color w:val="000000" w:themeColor="text1"/>
        </w:rPr>
        <w:t>publi</w:t>
      </w:r>
      <w:r w:rsidR="00D151C7">
        <w:rPr>
          <w:color w:val="000000" w:themeColor="text1"/>
        </w:rPr>
        <w:t>c</w:t>
      </w:r>
    </w:p>
    <w:p w14:paraId="6DDA1CBE" w14:textId="77777777" w:rsidR="005F3FB7" w:rsidRPr="00260790" w:rsidRDefault="005F3FB7" w:rsidP="001748C6">
      <w:pPr>
        <w:pStyle w:val="Corpsdetexte2"/>
        <w:numPr>
          <w:ilvl w:val="0"/>
          <w:numId w:val="2"/>
        </w:numPr>
        <w:spacing w:after="0" w:line="240" w:lineRule="auto"/>
        <w:ind w:left="714" w:hanging="357"/>
        <w:rPr>
          <w:color w:val="000000" w:themeColor="text1"/>
        </w:rPr>
      </w:pPr>
      <w:r w:rsidRPr="00260790">
        <w:rPr>
          <w:color w:val="000000" w:themeColor="text1"/>
        </w:rPr>
        <w:t>Analyse des variantes et description du projet retenu</w:t>
      </w:r>
    </w:p>
    <w:p w14:paraId="638D88AD" w14:textId="072598FB" w:rsidR="005F3FB7" w:rsidRPr="00260790" w:rsidRDefault="00D151C7" w:rsidP="001748C6">
      <w:pPr>
        <w:pStyle w:val="Corpsdetexte2"/>
        <w:numPr>
          <w:ilvl w:val="0"/>
          <w:numId w:val="2"/>
        </w:numPr>
        <w:spacing w:after="0" w:line="240" w:lineRule="auto"/>
        <w:ind w:left="714" w:hanging="357"/>
        <w:rPr>
          <w:color w:val="000000" w:themeColor="text1"/>
        </w:rPr>
      </w:pPr>
      <w:proofErr w:type="gramStart"/>
      <w:r>
        <w:rPr>
          <w:color w:val="000000" w:themeColor="text1"/>
        </w:rPr>
        <w:t>étude</w:t>
      </w:r>
      <w:proofErr w:type="gramEnd"/>
      <w:r>
        <w:rPr>
          <w:color w:val="000000" w:themeColor="text1"/>
        </w:rPr>
        <w:t xml:space="preserve"> de danger et analyse des risques technologiques et professionnels</w:t>
      </w:r>
    </w:p>
    <w:p w14:paraId="02E6EB10" w14:textId="0DC877C5" w:rsidR="00D151C7" w:rsidRPr="00D151C7" w:rsidRDefault="00D151C7" w:rsidP="00D151C7">
      <w:pPr>
        <w:pStyle w:val="Corpsdetexte2"/>
        <w:numPr>
          <w:ilvl w:val="0"/>
          <w:numId w:val="2"/>
        </w:numPr>
        <w:spacing w:after="0" w:line="240" w:lineRule="auto"/>
        <w:ind w:left="714" w:hanging="357"/>
        <w:rPr>
          <w:color w:val="000000" w:themeColor="text1"/>
        </w:rPr>
      </w:pPr>
      <w:r>
        <w:rPr>
          <w:color w:val="000000" w:themeColor="text1"/>
        </w:rPr>
        <w:t>Mobilisation des parties prenantes</w:t>
      </w:r>
    </w:p>
    <w:p w14:paraId="41EAA1DE" w14:textId="77777777" w:rsidR="005F3FB7" w:rsidRDefault="005F3FB7" w:rsidP="00D151C7">
      <w:pPr>
        <w:pStyle w:val="Corpsdetexte2"/>
        <w:numPr>
          <w:ilvl w:val="0"/>
          <w:numId w:val="2"/>
        </w:numPr>
        <w:spacing w:after="0" w:line="240" w:lineRule="auto"/>
        <w:ind w:left="714" w:hanging="357"/>
        <w:rPr>
          <w:color w:val="000000" w:themeColor="text1"/>
        </w:rPr>
      </w:pPr>
      <w:r w:rsidRPr="00260790">
        <w:rPr>
          <w:color w:val="000000" w:themeColor="text1"/>
        </w:rPr>
        <w:t>Plan de Gestion Environnementale et Sociale</w:t>
      </w:r>
    </w:p>
    <w:p w14:paraId="66075E89" w14:textId="5DC75014" w:rsidR="00D151C7" w:rsidRPr="00260790" w:rsidRDefault="00D151C7" w:rsidP="0097258B">
      <w:pPr>
        <w:pStyle w:val="Corpsdetexte2"/>
        <w:numPr>
          <w:ilvl w:val="0"/>
          <w:numId w:val="2"/>
        </w:numPr>
        <w:spacing w:after="0" w:line="240" w:lineRule="auto"/>
        <w:ind w:left="714" w:hanging="357"/>
        <w:rPr>
          <w:color w:val="000000" w:themeColor="text1"/>
        </w:rPr>
      </w:pPr>
      <w:r>
        <w:rPr>
          <w:color w:val="000000" w:themeColor="text1"/>
        </w:rPr>
        <w:t>Coûts du PGES</w:t>
      </w:r>
    </w:p>
    <w:p w14:paraId="1494A921" w14:textId="048926F4" w:rsidR="005F3FB7" w:rsidRPr="00260790" w:rsidRDefault="005F3FB7" w:rsidP="001748C6">
      <w:pPr>
        <w:pStyle w:val="Corpsdetexte2"/>
        <w:numPr>
          <w:ilvl w:val="0"/>
          <w:numId w:val="2"/>
        </w:numPr>
        <w:spacing w:after="0" w:line="240" w:lineRule="auto"/>
        <w:ind w:left="714" w:hanging="357"/>
        <w:rPr>
          <w:color w:val="000000" w:themeColor="text1"/>
        </w:rPr>
      </w:pPr>
      <w:r w:rsidRPr="00260790">
        <w:rPr>
          <w:color w:val="000000" w:themeColor="text1"/>
        </w:rPr>
        <w:t>Conclusion</w:t>
      </w:r>
    </w:p>
    <w:p w14:paraId="26291F12" w14:textId="77777777" w:rsidR="005F3FB7" w:rsidRPr="00260790" w:rsidRDefault="005F3FB7" w:rsidP="001748C6">
      <w:pPr>
        <w:pStyle w:val="Corpsdetexte2"/>
        <w:numPr>
          <w:ilvl w:val="0"/>
          <w:numId w:val="2"/>
        </w:numPr>
        <w:spacing w:after="0" w:line="240" w:lineRule="auto"/>
        <w:ind w:left="714" w:hanging="357"/>
        <w:rPr>
          <w:color w:val="000000" w:themeColor="text1"/>
        </w:rPr>
      </w:pPr>
      <w:r w:rsidRPr="00260790">
        <w:rPr>
          <w:color w:val="000000" w:themeColor="text1"/>
        </w:rPr>
        <w:t>Annexes</w:t>
      </w:r>
    </w:p>
    <w:p w14:paraId="1299C557" w14:textId="77777777" w:rsidR="005F3FB7" w:rsidRPr="00260790" w:rsidRDefault="005F3FB7" w:rsidP="001748C6">
      <w:pPr>
        <w:pStyle w:val="Corpsdetexte2"/>
        <w:numPr>
          <w:ilvl w:val="0"/>
          <w:numId w:val="110"/>
        </w:numPr>
        <w:spacing w:after="0" w:line="240" w:lineRule="auto"/>
        <w:rPr>
          <w:color w:val="000000" w:themeColor="text1"/>
        </w:rPr>
      </w:pPr>
      <w:r w:rsidRPr="00260790">
        <w:rPr>
          <w:color w:val="000000" w:themeColor="text1"/>
        </w:rPr>
        <w:t>TDR de l’étude</w:t>
      </w:r>
    </w:p>
    <w:p w14:paraId="64368FAF" w14:textId="77777777" w:rsidR="005F3FB7" w:rsidRPr="00260790" w:rsidRDefault="005F3FB7" w:rsidP="001748C6">
      <w:pPr>
        <w:pStyle w:val="Corpsdetexte2"/>
        <w:numPr>
          <w:ilvl w:val="0"/>
          <w:numId w:val="110"/>
        </w:numPr>
        <w:spacing w:after="0" w:line="240" w:lineRule="auto"/>
        <w:rPr>
          <w:color w:val="000000" w:themeColor="text1"/>
        </w:rPr>
      </w:pPr>
      <w:r w:rsidRPr="00260790">
        <w:rPr>
          <w:color w:val="000000" w:themeColor="text1"/>
        </w:rPr>
        <w:t>Bibliographie et références</w:t>
      </w:r>
    </w:p>
    <w:p w14:paraId="1C331554" w14:textId="77777777" w:rsidR="005F3FB7" w:rsidRPr="00260790" w:rsidRDefault="005F3FB7" w:rsidP="001748C6">
      <w:pPr>
        <w:pStyle w:val="Corpsdetexte2"/>
        <w:numPr>
          <w:ilvl w:val="0"/>
          <w:numId w:val="110"/>
        </w:numPr>
        <w:spacing w:after="0" w:line="240" w:lineRule="auto"/>
        <w:rPr>
          <w:color w:val="000000" w:themeColor="text1"/>
        </w:rPr>
      </w:pPr>
      <w:r w:rsidRPr="00260790">
        <w:rPr>
          <w:color w:val="000000" w:themeColor="text1"/>
        </w:rPr>
        <w:t xml:space="preserve">Résumé du plan de mobilisation des parties prenantes </w:t>
      </w:r>
    </w:p>
    <w:p w14:paraId="6EC5E871" w14:textId="77777777" w:rsidR="005F3FB7" w:rsidRPr="00260790" w:rsidRDefault="005F3FB7" w:rsidP="001748C6">
      <w:pPr>
        <w:pStyle w:val="Corpsdetexte2"/>
        <w:numPr>
          <w:ilvl w:val="0"/>
          <w:numId w:val="110"/>
        </w:numPr>
        <w:spacing w:after="0" w:line="240" w:lineRule="auto"/>
        <w:rPr>
          <w:color w:val="000000" w:themeColor="text1"/>
        </w:rPr>
      </w:pPr>
      <w:r w:rsidRPr="00260790">
        <w:rPr>
          <w:color w:val="000000" w:themeColor="text1"/>
        </w:rPr>
        <w:t>Liste des personnes consultées (nom, prénoms, structures, localités, etc.)</w:t>
      </w:r>
    </w:p>
    <w:p w14:paraId="39732858" w14:textId="77777777" w:rsidR="005F3FB7" w:rsidRPr="00260790" w:rsidRDefault="005F3FB7" w:rsidP="001748C6">
      <w:pPr>
        <w:pStyle w:val="Corpsdetexte2"/>
        <w:numPr>
          <w:ilvl w:val="0"/>
          <w:numId w:val="110"/>
        </w:numPr>
        <w:spacing w:after="0" w:line="240" w:lineRule="auto"/>
        <w:rPr>
          <w:color w:val="000000" w:themeColor="text1"/>
        </w:rPr>
      </w:pPr>
      <w:r w:rsidRPr="00260790">
        <w:rPr>
          <w:color w:val="000000" w:themeColor="text1"/>
        </w:rPr>
        <w:t>PV des rencontres de consultation formelle du public</w:t>
      </w:r>
    </w:p>
    <w:p w14:paraId="11DF8406" w14:textId="77777777" w:rsidR="005F3FB7" w:rsidRPr="00260790" w:rsidRDefault="005F3FB7" w:rsidP="001748C6">
      <w:pPr>
        <w:pStyle w:val="Corpsdetexte2"/>
        <w:numPr>
          <w:ilvl w:val="0"/>
          <w:numId w:val="110"/>
        </w:numPr>
        <w:spacing w:after="0" w:line="240" w:lineRule="auto"/>
        <w:rPr>
          <w:color w:val="000000" w:themeColor="text1"/>
        </w:rPr>
      </w:pPr>
      <w:r w:rsidRPr="00260790">
        <w:rPr>
          <w:color w:val="000000" w:themeColor="text1"/>
        </w:rPr>
        <w:t>Clauses environnementales et sociales à insérer dans le contrat des entreprises</w:t>
      </w:r>
    </w:p>
    <w:p w14:paraId="46D89BAB" w14:textId="77777777" w:rsidR="005F3FB7" w:rsidRPr="00260790" w:rsidRDefault="005F3FB7" w:rsidP="001748C6">
      <w:pPr>
        <w:pStyle w:val="Corpsdetexte2"/>
        <w:numPr>
          <w:ilvl w:val="0"/>
          <w:numId w:val="110"/>
        </w:numPr>
        <w:spacing w:after="0" w:line="240" w:lineRule="auto"/>
        <w:rPr>
          <w:color w:val="000000" w:themeColor="text1"/>
        </w:rPr>
      </w:pPr>
      <w:r w:rsidRPr="00260790">
        <w:rPr>
          <w:color w:val="000000" w:themeColor="text1"/>
        </w:rPr>
        <w:t>Etc.</w:t>
      </w:r>
    </w:p>
    <w:p w14:paraId="7ED8BF84" w14:textId="77777777" w:rsidR="005F3FB7" w:rsidRPr="00260790" w:rsidRDefault="005F3FB7" w:rsidP="00E20250">
      <w:pPr>
        <w:spacing w:after="0" w:line="240" w:lineRule="auto"/>
        <w:rPr>
          <w:rFonts w:ascii="Times New Roman" w:eastAsia="Times New Roman" w:hAnsi="Times New Roman"/>
          <w:b/>
          <w:bCs/>
          <w:caps/>
          <w:color w:val="000000" w:themeColor="text1"/>
          <w:kern w:val="32"/>
          <w:lang w:eastAsia="fr-FR"/>
        </w:rPr>
      </w:pPr>
      <w:bookmarkStart w:id="13" w:name="_Toc29856704"/>
      <w:bookmarkStart w:id="14" w:name="_Toc68109601"/>
      <w:r w:rsidRPr="00260790">
        <w:rPr>
          <w:rFonts w:ascii="Times New Roman" w:hAnsi="Times New Roman"/>
          <w:color w:val="000000" w:themeColor="text1"/>
        </w:rPr>
        <w:br w:type="page"/>
      </w:r>
    </w:p>
    <w:p w14:paraId="5C382755" w14:textId="1818AEA3" w:rsidR="005F3FB7" w:rsidRPr="00260790" w:rsidRDefault="005F3FB7" w:rsidP="00E20250">
      <w:pPr>
        <w:pStyle w:val="Titre1"/>
        <w:rPr>
          <w:rFonts w:ascii="Times New Roman" w:hAnsi="Times New Roman"/>
        </w:rPr>
      </w:pPr>
      <w:bookmarkStart w:id="15" w:name="_Toc212725079"/>
      <w:r w:rsidRPr="00260790">
        <w:rPr>
          <w:rFonts w:ascii="Times New Roman" w:hAnsi="Times New Roman"/>
        </w:rPr>
        <w:lastRenderedPageBreak/>
        <w:t>DESCRIPTION DU PROJET</w:t>
      </w:r>
      <w:bookmarkEnd w:id="13"/>
      <w:bookmarkEnd w:id="14"/>
      <w:bookmarkEnd w:id="15"/>
    </w:p>
    <w:p w14:paraId="5496C65C" w14:textId="34982038" w:rsidR="00794AD0" w:rsidRPr="00260790" w:rsidRDefault="00794AD0" w:rsidP="00E20250">
      <w:pPr>
        <w:spacing w:line="240" w:lineRule="auto"/>
        <w:jc w:val="both"/>
        <w:rPr>
          <w:rFonts w:ascii="Times New Roman" w:hAnsi="Times New Roman"/>
          <w:color w:val="000000" w:themeColor="text1"/>
        </w:rPr>
      </w:pPr>
      <w:bookmarkStart w:id="16" w:name="_Toc69083205"/>
      <w:bookmarkStart w:id="17" w:name="_Toc69115519"/>
      <w:bookmarkStart w:id="18" w:name="_Toc77141072"/>
      <w:bookmarkStart w:id="19" w:name="_Toc77141984"/>
      <w:bookmarkStart w:id="20" w:name="_Toc77142383"/>
      <w:bookmarkStart w:id="21" w:name="_Toc77142647"/>
      <w:bookmarkStart w:id="22" w:name="_Toc77142910"/>
      <w:bookmarkStart w:id="23" w:name="_Toc77143247"/>
      <w:bookmarkStart w:id="24" w:name="_Toc93469547"/>
      <w:bookmarkStart w:id="25" w:name="_Toc93623187"/>
      <w:bookmarkStart w:id="26" w:name="_Toc93643567"/>
      <w:bookmarkStart w:id="27" w:name="_Toc93643835"/>
      <w:bookmarkStart w:id="28" w:name="_Toc93644103"/>
      <w:bookmarkStart w:id="29" w:name="_Toc93648755"/>
      <w:bookmarkStart w:id="30" w:name="_Toc94134401"/>
      <w:bookmarkStart w:id="31" w:name="_Toc94175665"/>
      <w:bookmarkStart w:id="32" w:name="_Toc104797246"/>
      <w:bookmarkStart w:id="33" w:name="_Toc105103556"/>
      <w:bookmarkStart w:id="34" w:name="_Toc105105761"/>
      <w:bookmarkStart w:id="35" w:name="_Toc106287091"/>
      <w:bookmarkStart w:id="36" w:name="_Toc106288377"/>
      <w:bookmarkStart w:id="37" w:name="_Toc106289069"/>
      <w:bookmarkStart w:id="38" w:name="_Toc106290073"/>
      <w:bookmarkStart w:id="39" w:name="_Toc106650967"/>
      <w:bookmarkStart w:id="40" w:name="_Toc106651408"/>
      <w:bookmarkStart w:id="41" w:name="_Toc106652339"/>
      <w:bookmarkStart w:id="42" w:name="_Toc106652636"/>
      <w:bookmarkStart w:id="43" w:name="_Toc125627447"/>
      <w:bookmarkStart w:id="44" w:name="_Toc126804380"/>
      <w:bookmarkStart w:id="45" w:name="_Toc127208905"/>
      <w:bookmarkStart w:id="46" w:name="_Toc127273451"/>
      <w:bookmarkStart w:id="47" w:name="_Toc131591684"/>
      <w:bookmarkStart w:id="48" w:name="_Toc131591944"/>
      <w:bookmarkStart w:id="49" w:name="_Toc149831142"/>
      <w:bookmarkStart w:id="50" w:name="_Toc149913755"/>
      <w:bookmarkStart w:id="51" w:name="_Toc151368031"/>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260790">
        <w:rPr>
          <w:rFonts w:ascii="Times New Roman" w:hAnsi="Times New Roman"/>
          <w:color w:val="000000" w:themeColor="text1"/>
        </w:rPr>
        <w:t>Les travaux objets de la présente étude s'inscrivent dans la suite de ceux de la partie Nord, dans le cadre d’un vaste programme destiné à soulager les populations des zones concernées des inondations récurrentes dont elles sont victimes. L</w:t>
      </w:r>
      <w:r w:rsidR="00D45E79" w:rsidRPr="00260790">
        <w:rPr>
          <w:rFonts w:ascii="Times New Roman" w:hAnsi="Times New Roman"/>
          <w:color w:val="000000" w:themeColor="text1"/>
        </w:rPr>
        <w:t>a présente étude porte sur le</w:t>
      </w:r>
      <w:r w:rsidRPr="00260790">
        <w:rPr>
          <w:rFonts w:ascii="Times New Roman" w:hAnsi="Times New Roman"/>
          <w:color w:val="000000" w:themeColor="text1"/>
        </w:rPr>
        <w:t xml:space="preserve"> bassin versant de Mbao</w:t>
      </w:r>
      <w:r w:rsidR="008E7D67">
        <w:rPr>
          <w:rFonts w:ascii="Times New Roman" w:hAnsi="Times New Roman"/>
          <w:color w:val="000000" w:themeColor="text1"/>
        </w:rPr>
        <w:t xml:space="preserve"> (</w:t>
      </w:r>
      <w:r w:rsidR="000A7F38">
        <w:rPr>
          <w:rFonts w:ascii="Times New Roman" w:hAnsi="Times New Roman"/>
          <w:color w:val="000000" w:themeColor="text1"/>
        </w:rPr>
        <w:t>restant BV Mbao Nord et Sud, Marigot et Exutoire)</w:t>
      </w:r>
      <w:r w:rsidRPr="00260790">
        <w:rPr>
          <w:rFonts w:ascii="Times New Roman" w:hAnsi="Times New Roman"/>
          <w:color w:val="000000" w:themeColor="text1"/>
        </w:rPr>
        <w:t>. Il s’agit de mettre en place un réseau d’évacuation des eaux pluviales, constitué de canalisations primaires et secondaires en béton, de bassins aménagés et interconnectés, ainsi que d'un exutoire aménagé (marigot de Mbao)</w:t>
      </w:r>
      <w:r w:rsidR="009F7FCD">
        <w:rPr>
          <w:rFonts w:ascii="Times New Roman" w:hAnsi="Times New Roman"/>
          <w:color w:val="000000" w:themeColor="text1"/>
        </w:rPr>
        <w:t xml:space="preserve"> accompagnée d’une</w:t>
      </w:r>
      <w:r w:rsidR="009F7FCD" w:rsidRPr="00A717AA">
        <w:rPr>
          <w:rFonts w:ascii="Times New Roman" w:hAnsi="Times New Roman"/>
          <w:color w:val="000000" w:themeColor="text1"/>
        </w:rPr>
        <w:t xml:space="preserve"> station de pompage </w:t>
      </w:r>
      <w:r w:rsidR="009F7FCD">
        <w:rPr>
          <w:rFonts w:ascii="Times New Roman" w:hAnsi="Times New Roman"/>
          <w:color w:val="000000" w:themeColor="text1"/>
        </w:rPr>
        <w:t xml:space="preserve">d’une capacité de </w:t>
      </w:r>
      <w:r w:rsidR="009F7FCD" w:rsidRPr="00A717AA">
        <w:rPr>
          <w:rFonts w:ascii="Times New Roman" w:hAnsi="Times New Roman"/>
          <w:color w:val="000000" w:themeColor="text1"/>
        </w:rPr>
        <w:t>1300m3/h</w:t>
      </w:r>
      <w:r w:rsidRPr="00260790">
        <w:rPr>
          <w:rFonts w:ascii="Times New Roman" w:hAnsi="Times New Roman"/>
          <w:color w:val="000000" w:themeColor="text1"/>
        </w:rPr>
        <w:t>. Ces travaux prévus dans la</w:t>
      </w:r>
      <w:r w:rsidR="00326E43" w:rsidRPr="00260790">
        <w:rPr>
          <w:rFonts w:ascii="Times New Roman" w:hAnsi="Times New Roman"/>
          <w:color w:val="000000" w:themeColor="text1"/>
        </w:rPr>
        <w:t xml:space="preserve"> partie </w:t>
      </w:r>
      <w:r w:rsidR="0044527E" w:rsidRPr="00260790">
        <w:rPr>
          <w:rFonts w:ascii="Times New Roman" w:hAnsi="Times New Roman"/>
          <w:color w:val="000000" w:themeColor="text1"/>
        </w:rPr>
        <w:t>nord (aval unité 3</w:t>
      </w:r>
      <w:r w:rsidR="002747C4" w:rsidRPr="00260790">
        <w:rPr>
          <w:rFonts w:ascii="Times New Roman" w:hAnsi="Times New Roman"/>
          <w:color w:val="000000" w:themeColor="text1"/>
        </w:rPr>
        <w:t>, commune de</w:t>
      </w:r>
      <w:r w:rsidR="00EB5EF6" w:rsidRPr="00260790">
        <w:rPr>
          <w:rFonts w:ascii="Times New Roman" w:hAnsi="Times New Roman"/>
          <w:color w:val="000000" w:themeColor="text1"/>
        </w:rPr>
        <w:t xml:space="preserve"> Keur Massar Sud</w:t>
      </w:r>
      <w:r w:rsidR="0044527E" w:rsidRPr="00260790">
        <w:rPr>
          <w:rFonts w:ascii="Times New Roman" w:hAnsi="Times New Roman"/>
          <w:color w:val="000000" w:themeColor="text1"/>
        </w:rPr>
        <w:t>) et la</w:t>
      </w:r>
      <w:r w:rsidRPr="00260790">
        <w:rPr>
          <w:rFonts w:ascii="Times New Roman" w:hAnsi="Times New Roman"/>
          <w:color w:val="000000" w:themeColor="text1"/>
        </w:rPr>
        <w:t xml:space="preserve"> partie sud (secteur aval du bassin versant de Mbao</w:t>
      </w:r>
      <w:r w:rsidR="00EB5EF6" w:rsidRPr="00260790">
        <w:rPr>
          <w:rFonts w:ascii="Times New Roman" w:hAnsi="Times New Roman"/>
          <w:color w:val="000000" w:themeColor="text1"/>
        </w:rPr>
        <w:t>, y compris</w:t>
      </w:r>
      <w:r w:rsidRPr="00260790">
        <w:rPr>
          <w:rFonts w:ascii="Times New Roman" w:hAnsi="Times New Roman"/>
          <w:color w:val="000000" w:themeColor="text1"/>
        </w:rPr>
        <w:t xml:space="preserve"> le Marigot de Mbao et son exutoire) concerneront essentiellement les Communes de Mbao, de Rufisque Ouest, de </w:t>
      </w:r>
      <w:proofErr w:type="spellStart"/>
      <w:r w:rsidRPr="00260790">
        <w:rPr>
          <w:rFonts w:ascii="Times New Roman" w:hAnsi="Times New Roman"/>
          <w:color w:val="000000" w:themeColor="text1"/>
        </w:rPr>
        <w:t>Jaxaay</w:t>
      </w:r>
      <w:proofErr w:type="spellEnd"/>
      <w:r w:rsidRPr="00260790">
        <w:rPr>
          <w:rFonts w:ascii="Times New Roman" w:hAnsi="Times New Roman"/>
          <w:color w:val="000000" w:themeColor="text1"/>
        </w:rPr>
        <w:t>-Parcelles-</w:t>
      </w:r>
      <w:proofErr w:type="spellStart"/>
      <w:r w:rsidRPr="00260790">
        <w:rPr>
          <w:rFonts w:ascii="Times New Roman" w:hAnsi="Times New Roman"/>
          <w:color w:val="000000" w:themeColor="text1"/>
        </w:rPr>
        <w:t>Niakoulrap</w:t>
      </w:r>
      <w:proofErr w:type="spellEnd"/>
      <w:r w:rsidRPr="00260790">
        <w:rPr>
          <w:rFonts w:ascii="Times New Roman" w:hAnsi="Times New Roman"/>
          <w:color w:val="000000" w:themeColor="text1"/>
        </w:rPr>
        <w:t xml:space="preserve"> et de Keur Massar Sud. </w:t>
      </w:r>
    </w:p>
    <w:p w14:paraId="374488CB" w14:textId="77777777" w:rsidR="00794AD0" w:rsidRPr="00260790" w:rsidRDefault="00794AD0"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Les objectifs spécifiques de ces aménagements prévus sont de :</w:t>
      </w:r>
    </w:p>
    <w:p w14:paraId="5B40B7A0" w14:textId="5593038A" w:rsidR="00794AD0" w:rsidRPr="00260790" w:rsidRDefault="00EB5EF6" w:rsidP="001748C6">
      <w:pPr>
        <w:pStyle w:val="Paragraphedeliste"/>
        <w:numPr>
          <w:ilvl w:val="0"/>
          <w:numId w:val="141"/>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a</w:t>
      </w:r>
      <w:r w:rsidR="00794AD0" w:rsidRPr="00260790">
        <w:rPr>
          <w:rFonts w:ascii="Times New Roman" w:hAnsi="Times New Roman"/>
          <w:color w:val="000000" w:themeColor="text1"/>
        </w:rPr>
        <w:t>ssurer</w:t>
      </w:r>
      <w:proofErr w:type="gramEnd"/>
      <w:r w:rsidR="00794AD0" w:rsidRPr="00260790">
        <w:rPr>
          <w:rFonts w:ascii="Times New Roman" w:hAnsi="Times New Roman"/>
          <w:color w:val="000000" w:themeColor="text1"/>
        </w:rPr>
        <w:t>, à terme, un niveau de protection contre les inondations jusqu’à une période de retour fixée à T=10 ans pour le système hydraulique primaire, et ce conformément aux objectifs du PDD ;</w:t>
      </w:r>
    </w:p>
    <w:p w14:paraId="5CD153D5" w14:textId="03FB9D2D" w:rsidR="00794AD0" w:rsidRPr="00260790" w:rsidRDefault="00EB5EF6" w:rsidP="001748C6">
      <w:pPr>
        <w:pStyle w:val="Paragraphedeliste"/>
        <w:numPr>
          <w:ilvl w:val="0"/>
          <w:numId w:val="141"/>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m</w:t>
      </w:r>
      <w:r w:rsidR="00794AD0" w:rsidRPr="00260790">
        <w:rPr>
          <w:rFonts w:ascii="Times New Roman" w:hAnsi="Times New Roman"/>
          <w:color w:val="000000" w:themeColor="text1"/>
        </w:rPr>
        <w:t>aintenir</w:t>
      </w:r>
      <w:proofErr w:type="gramEnd"/>
      <w:r w:rsidR="00794AD0" w:rsidRPr="00260790">
        <w:rPr>
          <w:rFonts w:ascii="Times New Roman" w:hAnsi="Times New Roman"/>
          <w:color w:val="000000" w:themeColor="text1"/>
        </w:rPr>
        <w:t xml:space="preserve"> un niveau de nappe suffisamment bas pour limiter les inondations ;</w:t>
      </w:r>
    </w:p>
    <w:p w14:paraId="658A02FF" w14:textId="66C98B3B" w:rsidR="00794AD0" w:rsidRPr="00260790" w:rsidRDefault="00EB5EF6" w:rsidP="001748C6">
      <w:pPr>
        <w:pStyle w:val="Paragraphedeliste"/>
        <w:numPr>
          <w:ilvl w:val="0"/>
          <w:numId w:val="141"/>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a</w:t>
      </w:r>
      <w:r w:rsidR="00794AD0" w:rsidRPr="00260790">
        <w:rPr>
          <w:rFonts w:ascii="Times New Roman" w:hAnsi="Times New Roman"/>
          <w:color w:val="000000" w:themeColor="text1"/>
        </w:rPr>
        <w:t>ssurer</w:t>
      </w:r>
      <w:proofErr w:type="gramEnd"/>
      <w:r w:rsidR="00794AD0" w:rsidRPr="00260790">
        <w:rPr>
          <w:rFonts w:ascii="Times New Roman" w:hAnsi="Times New Roman"/>
          <w:color w:val="000000" w:themeColor="text1"/>
        </w:rPr>
        <w:t xml:space="preserve"> un bon fonctionnement hydraulique de ces ouvrages en saisons humide et sèche.</w:t>
      </w:r>
    </w:p>
    <w:p w14:paraId="7AA1CAB3" w14:textId="4163AE74" w:rsidR="00794AD0" w:rsidRPr="00260790" w:rsidRDefault="00794AD0" w:rsidP="001748C6">
      <w:pPr>
        <w:pStyle w:val="Normaltableau0"/>
        <w:numPr>
          <w:ilvl w:val="1"/>
          <w:numId w:val="139"/>
        </w:numPr>
        <w:outlineLvl w:val="1"/>
        <w:rPr>
          <w:rFonts w:ascii="Times New Roman" w:hAnsi="Times New Roman"/>
          <w:b/>
          <w:bCs/>
          <w:sz w:val="22"/>
          <w:szCs w:val="22"/>
        </w:rPr>
      </w:pPr>
      <w:bookmarkStart w:id="52" w:name="_Toc212725080"/>
      <w:r w:rsidRPr="00260790">
        <w:rPr>
          <w:rFonts w:ascii="Times New Roman" w:hAnsi="Times New Roman"/>
          <w:b/>
          <w:bCs/>
          <w:sz w:val="22"/>
          <w:szCs w:val="22"/>
        </w:rPr>
        <w:t>Zone d’intervention et bénéficiaires des travaux</w:t>
      </w:r>
      <w:bookmarkEnd w:id="52"/>
      <w:r w:rsidRPr="00260790">
        <w:rPr>
          <w:rFonts w:ascii="Times New Roman" w:hAnsi="Times New Roman"/>
          <w:b/>
          <w:bCs/>
          <w:sz w:val="22"/>
          <w:szCs w:val="22"/>
        </w:rPr>
        <w:t xml:space="preserve"> </w:t>
      </w:r>
    </w:p>
    <w:p w14:paraId="2BEA1B9B" w14:textId="77777777" w:rsidR="00794AD0" w:rsidRPr="00260790" w:rsidRDefault="00794AD0"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projet concerne une partie avale (Sud) du bassin versant de Mbao, tel que décrit dans le cadre du Plan Directeur de Drainage (PDD) des eaux pluviales de la région périurbaine de Dakar. Les ouvrages prévus seront réalisés dans les Communes de </w:t>
      </w:r>
      <w:proofErr w:type="spellStart"/>
      <w:r w:rsidRPr="00260790">
        <w:rPr>
          <w:rFonts w:ascii="Times New Roman" w:hAnsi="Times New Roman"/>
          <w:color w:val="000000" w:themeColor="text1"/>
        </w:rPr>
        <w:t>Jaxaay</w:t>
      </w:r>
      <w:proofErr w:type="spellEnd"/>
      <w:r w:rsidRPr="00260790">
        <w:rPr>
          <w:rFonts w:ascii="Times New Roman" w:hAnsi="Times New Roman"/>
          <w:color w:val="000000" w:themeColor="text1"/>
        </w:rPr>
        <w:t>-Parcelles-</w:t>
      </w:r>
      <w:proofErr w:type="spellStart"/>
      <w:r w:rsidRPr="00260790">
        <w:rPr>
          <w:rFonts w:ascii="Times New Roman" w:hAnsi="Times New Roman"/>
          <w:color w:val="000000" w:themeColor="text1"/>
        </w:rPr>
        <w:t>Niakoulrap</w:t>
      </w:r>
      <w:proofErr w:type="spellEnd"/>
      <w:r w:rsidRPr="00260790">
        <w:rPr>
          <w:rFonts w:ascii="Times New Roman" w:hAnsi="Times New Roman"/>
          <w:color w:val="000000" w:themeColor="text1"/>
        </w:rPr>
        <w:t xml:space="preserve">, de Rufisque Ouest (département de Rufisque), de Keur Massar Sud (Département de Keur Massar) et de Mbao (Département de Pikine). Les travaux concernent les quartiers cités dans le tableau ci-dessous. </w:t>
      </w:r>
    </w:p>
    <w:p w14:paraId="370B5CE3" w14:textId="081F366F" w:rsidR="00CE5F7A" w:rsidRPr="00260790" w:rsidRDefault="00CE5F7A" w:rsidP="00E20250">
      <w:pPr>
        <w:spacing w:line="240" w:lineRule="auto"/>
        <w:jc w:val="both"/>
        <w:rPr>
          <w:rFonts w:ascii="Times New Roman" w:hAnsi="Times New Roman"/>
          <w:color w:val="000000" w:themeColor="text1"/>
        </w:rPr>
        <w:sectPr w:rsidR="00CE5F7A" w:rsidRPr="00260790" w:rsidSect="00E20250">
          <w:footerReference w:type="default" r:id="rId15"/>
          <w:pgSz w:w="11906" w:h="16838"/>
          <w:pgMar w:top="1418" w:right="1418" w:bottom="1418" w:left="1418" w:header="709" w:footer="454" w:gutter="0"/>
          <w:cols w:space="708"/>
          <w:docGrid w:linePitch="360"/>
        </w:sectPr>
      </w:pPr>
      <w:r w:rsidRPr="00260790">
        <w:rPr>
          <w:rFonts w:ascii="Times New Roman" w:hAnsi="Times New Roman"/>
          <w:color w:val="000000" w:themeColor="text1"/>
        </w:rPr>
        <w:t>La carte ci-dessous montre la zone d’intervention du projet.</w:t>
      </w:r>
    </w:p>
    <w:p w14:paraId="49F747E8" w14:textId="77777777" w:rsidR="00CE5F7A" w:rsidRPr="00260790" w:rsidRDefault="00CE5F7A" w:rsidP="00E20250">
      <w:pPr>
        <w:pStyle w:val="Lgende"/>
        <w:keepNext/>
        <w:spacing w:after="0" w:line="240" w:lineRule="auto"/>
        <w:jc w:val="center"/>
      </w:pPr>
      <w:bookmarkStart w:id="53" w:name="OLE_LINK1"/>
      <w:r w:rsidRPr="00260790">
        <w:rPr>
          <w:noProof/>
          <w:lang w:val="en-US" w:eastAsia="en-US"/>
        </w:rPr>
        <w:lastRenderedPageBreak/>
        <w:drawing>
          <wp:inline distT="0" distB="0" distL="0" distR="0" wp14:anchorId="283E3D9E" wp14:editId="19DA4B4C">
            <wp:extent cx="8102380" cy="5401388"/>
            <wp:effectExtent l="0" t="0" r="635" b="0"/>
            <wp:docPr id="1999939146" name="Image 1" descr="Une image contenant texte, carte, diagramme, atla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939146" name="Image 1" descr="Une image contenant texte, carte, diagramme, atlas&#10;&#10;Le contenu généré par l’IA peut être incorrect."/>
                    <pic:cNvPicPr/>
                  </pic:nvPicPr>
                  <pic:blipFill>
                    <a:blip r:embed="rId16" cstate="email">
                      <a:extLst>
                        <a:ext uri="{28A0092B-C50C-407E-A947-70E740481C1C}">
                          <a14:useLocalDpi xmlns:a14="http://schemas.microsoft.com/office/drawing/2010/main"/>
                        </a:ext>
                      </a:extLst>
                    </a:blip>
                    <a:stretch>
                      <a:fillRect/>
                    </a:stretch>
                  </pic:blipFill>
                  <pic:spPr>
                    <a:xfrm>
                      <a:off x="0" y="0"/>
                      <a:ext cx="8141584" cy="5427523"/>
                    </a:xfrm>
                    <a:prstGeom prst="rect">
                      <a:avLst/>
                    </a:prstGeom>
                  </pic:spPr>
                </pic:pic>
              </a:graphicData>
            </a:graphic>
          </wp:inline>
        </w:drawing>
      </w:r>
    </w:p>
    <w:p w14:paraId="2E8E6826" w14:textId="455CE62F" w:rsidR="00CE5F7A" w:rsidRPr="00260790" w:rsidRDefault="00CE5F7A" w:rsidP="00E20250">
      <w:pPr>
        <w:pStyle w:val="Lgende"/>
        <w:spacing w:after="0" w:line="240" w:lineRule="auto"/>
        <w:jc w:val="center"/>
        <w:rPr>
          <w:iCs w:val="0"/>
          <w:color w:val="000000" w:themeColor="text1"/>
          <w:sz w:val="22"/>
          <w:szCs w:val="22"/>
        </w:rPr>
        <w:sectPr w:rsidR="00CE5F7A" w:rsidRPr="00260790" w:rsidSect="006B2607">
          <w:pgSz w:w="16817" w:h="11901" w:orient="landscape"/>
          <w:pgMar w:top="1418" w:right="1418" w:bottom="1418" w:left="1418" w:header="709" w:footer="454" w:gutter="0"/>
          <w:cols w:space="708"/>
          <w:docGrid w:linePitch="360"/>
        </w:sectPr>
      </w:pPr>
      <w:bookmarkStart w:id="54" w:name="_Toc207781964"/>
      <w:bookmarkStart w:id="55" w:name="_Toc228877393"/>
      <w:r w:rsidRPr="00260790">
        <w:rPr>
          <w:iCs w:val="0"/>
          <w:color w:val="000000" w:themeColor="text1"/>
          <w:sz w:val="22"/>
          <w:szCs w:val="22"/>
        </w:rPr>
        <w:t xml:space="preserve">Figure </w:t>
      </w:r>
      <w:r w:rsidRPr="00260790">
        <w:rPr>
          <w:iCs w:val="0"/>
          <w:color w:val="000000" w:themeColor="text1"/>
          <w:sz w:val="22"/>
          <w:szCs w:val="22"/>
        </w:rPr>
        <w:fldChar w:fldCharType="begin"/>
      </w:r>
      <w:r w:rsidRPr="00260790">
        <w:rPr>
          <w:iCs w:val="0"/>
          <w:color w:val="000000" w:themeColor="text1"/>
          <w:sz w:val="22"/>
          <w:szCs w:val="22"/>
        </w:rPr>
        <w:instrText xml:space="preserve"> SEQ Figure \* ARABIC </w:instrText>
      </w:r>
      <w:r w:rsidRPr="00260790">
        <w:rPr>
          <w:iCs w:val="0"/>
          <w:color w:val="000000" w:themeColor="text1"/>
          <w:sz w:val="22"/>
          <w:szCs w:val="22"/>
        </w:rPr>
        <w:fldChar w:fldCharType="separate"/>
      </w:r>
      <w:r w:rsidR="008A50C4">
        <w:rPr>
          <w:iCs w:val="0"/>
          <w:noProof/>
          <w:color w:val="000000" w:themeColor="text1"/>
          <w:sz w:val="22"/>
          <w:szCs w:val="22"/>
        </w:rPr>
        <w:t>2</w:t>
      </w:r>
      <w:r w:rsidRPr="00260790">
        <w:rPr>
          <w:iCs w:val="0"/>
          <w:color w:val="000000" w:themeColor="text1"/>
          <w:sz w:val="22"/>
          <w:szCs w:val="22"/>
        </w:rPr>
        <w:fldChar w:fldCharType="end"/>
      </w:r>
      <w:r w:rsidRPr="00260790">
        <w:rPr>
          <w:iCs w:val="0"/>
          <w:color w:val="000000" w:themeColor="text1"/>
          <w:sz w:val="22"/>
          <w:szCs w:val="22"/>
        </w:rPr>
        <w:t> : Localisation de la zone du projet</w:t>
      </w:r>
      <w:bookmarkEnd w:id="54"/>
      <w:bookmarkEnd w:id="55"/>
    </w:p>
    <w:p w14:paraId="4F31D669" w14:textId="1297831F" w:rsidR="00794AD0" w:rsidRPr="00260790" w:rsidRDefault="00794AD0" w:rsidP="00E20250">
      <w:pPr>
        <w:pStyle w:val="Lgende"/>
        <w:keepNext/>
        <w:spacing w:line="240" w:lineRule="auto"/>
        <w:rPr>
          <w:color w:val="000000" w:themeColor="text1"/>
          <w:sz w:val="22"/>
          <w:szCs w:val="22"/>
        </w:rPr>
      </w:pPr>
      <w:bookmarkStart w:id="56" w:name="_Toc207781842"/>
      <w:bookmarkEnd w:id="53"/>
      <w:r w:rsidRPr="00260790">
        <w:rPr>
          <w:color w:val="000000" w:themeColor="text1"/>
          <w:sz w:val="22"/>
          <w:szCs w:val="22"/>
        </w:rPr>
        <w:lastRenderedPageBreak/>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1</w:t>
      </w:r>
      <w:r w:rsidRPr="00260790">
        <w:rPr>
          <w:color w:val="000000" w:themeColor="text1"/>
          <w:sz w:val="22"/>
          <w:szCs w:val="22"/>
        </w:rPr>
        <w:fldChar w:fldCharType="end"/>
      </w:r>
      <w:r w:rsidRPr="00260790">
        <w:rPr>
          <w:color w:val="000000" w:themeColor="text1"/>
          <w:sz w:val="22"/>
          <w:szCs w:val="22"/>
        </w:rPr>
        <w:t xml:space="preserve"> : </w:t>
      </w:r>
      <w:r w:rsidR="00A86859" w:rsidRPr="00260790">
        <w:rPr>
          <w:color w:val="000000" w:themeColor="text1"/>
          <w:sz w:val="22"/>
          <w:szCs w:val="22"/>
        </w:rPr>
        <w:t>Entités</w:t>
      </w:r>
      <w:r w:rsidRPr="00260790">
        <w:rPr>
          <w:color w:val="000000" w:themeColor="text1"/>
          <w:sz w:val="22"/>
          <w:szCs w:val="22"/>
        </w:rPr>
        <w:t xml:space="preserve"> administratives concernées par les travaux du </w:t>
      </w:r>
      <w:r w:rsidR="00CE5F7A" w:rsidRPr="00260790">
        <w:rPr>
          <w:color w:val="000000" w:themeColor="text1"/>
          <w:sz w:val="22"/>
          <w:szCs w:val="22"/>
        </w:rPr>
        <w:t>projet</w:t>
      </w:r>
      <w:bookmarkEnd w:id="56"/>
    </w:p>
    <w:tbl>
      <w:tblPr>
        <w:tblW w:w="5130" w:type="pct"/>
        <w:tblLayout w:type="fixed"/>
        <w:tblLook w:val="04A0" w:firstRow="1" w:lastRow="0" w:firstColumn="1" w:lastColumn="0" w:noHBand="0" w:noVBand="1"/>
      </w:tblPr>
      <w:tblGrid>
        <w:gridCol w:w="1271"/>
        <w:gridCol w:w="2126"/>
        <w:gridCol w:w="1796"/>
        <w:gridCol w:w="4103"/>
      </w:tblGrid>
      <w:tr w:rsidR="00BD1A2F" w:rsidRPr="00260790" w14:paraId="4746B917" w14:textId="77777777" w:rsidTr="00A86859">
        <w:trPr>
          <w:trHeight w:val="255"/>
          <w:tblHeader/>
        </w:trPr>
        <w:tc>
          <w:tcPr>
            <w:tcW w:w="683" w:type="pct"/>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45FB5076" w14:textId="341F14F4" w:rsidR="00794AD0" w:rsidRPr="00260790" w:rsidRDefault="00794AD0" w:rsidP="00E20250">
            <w:pPr>
              <w:spacing w:after="0" w:line="240" w:lineRule="auto"/>
              <w:jc w:val="center"/>
              <w:rPr>
                <w:rFonts w:ascii="Times New Roman" w:eastAsia="Times New Roman" w:hAnsi="Times New Roman"/>
                <w:b/>
                <w:bCs/>
                <w:color w:val="000000" w:themeColor="text1"/>
              </w:rPr>
            </w:pPr>
            <w:r w:rsidRPr="00260790">
              <w:rPr>
                <w:rFonts w:ascii="Times New Roman" w:eastAsia="Times New Roman" w:hAnsi="Times New Roman"/>
                <w:b/>
                <w:bCs/>
                <w:color w:val="000000" w:themeColor="text1"/>
              </w:rPr>
              <w:t>R</w:t>
            </w:r>
            <w:r w:rsidR="00A63058" w:rsidRPr="00260790">
              <w:rPr>
                <w:rFonts w:ascii="Times New Roman" w:eastAsia="Times New Roman" w:hAnsi="Times New Roman"/>
                <w:b/>
                <w:bCs/>
                <w:color w:val="000000" w:themeColor="text1"/>
              </w:rPr>
              <w:t>É</w:t>
            </w:r>
            <w:r w:rsidRPr="00260790">
              <w:rPr>
                <w:rFonts w:ascii="Times New Roman" w:eastAsia="Times New Roman" w:hAnsi="Times New Roman"/>
                <w:b/>
                <w:bCs/>
                <w:color w:val="000000" w:themeColor="text1"/>
              </w:rPr>
              <w:t>GION</w:t>
            </w:r>
          </w:p>
        </w:tc>
        <w:tc>
          <w:tcPr>
            <w:tcW w:w="1143" w:type="pct"/>
            <w:tcBorders>
              <w:top w:val="single" w:sz="4" w:space="0" w:color="auto"/>
              <w:left w:val="nil"/>
              <w:bottom w:val="single" w:sz="4" w:space="0" w:color="auto"/>
              <w:right w:val="single" w:sz="4" w:space="0" w:color="auto"/>
            </w:tcBorders>
            <w:shd w:val="clear" w:color="000000" w:fill="C0C0C0"/>
            <w:noWrap/>
            <w:vAlign w:val="bottom"/>
            <w:hideMark/>
          </w:tcPr>
          <w:p w14:paraId="554AA24C" w14:textId="625D5998" w:rsidR="00794AD0" w:rsidRPr="00260790" w:rsidRDefault="00794AD0" w:rsidP="00E20250">
            <w:pPr>
              <w:spacing w:after="0" w:line="240" w:lineRule="auto"/>
              <w:jc w:val="center"/>
              <w:rPr>
                <w:rFonts w:ascii="Times New Roman" w:eastAsia="Times New Roman" w:hAnsi="Times New Roman"/>
                <w:b/>
                <w:bCs/>
                <w:color w:val="000000" w:themeColor="text1"/>
              </w:rPr>
            </w:pPr>
            <w:r w:rsidRPr="00260790">
              <w:rPr>
                <w:rFonts w:ascii="Times New Roman" w:eastAsia="Times New Roman" w:hAnsi="Times New Roman"/>
                <w:b/>
                <w:bCs/>
                <w:color w:val="000000" w:themeColor="text1"/>
              </w:rPr>
              <w:t>D</w:t>
            </w:r>
            <w:r w:rsidR="00B818FC" w:rsidRPr="00260790">
              <w:rPr>
                <w:rFonts w:ascii="Times New Roman" w:eastAsia="Times New Roman" w:hAnsi="Times New Roman"/>
                <w:b/>
                <w:bCs/>
                <w:color w:val="000000" w:themeColor="text1"/>
              </w:rPr>
              <w:t>É</w:t>
            </w:r>
            <w:r w:rsidRPr="00260790">
              <w:rPr>
                <w:rFonts w:ascii="Times New Roman" w:eastAsia="Times New Roman" w:hAnsi="Times New Roman"/>
                <w:b/>
                <w:bCs/>
                <w:color w:val="000000" w:themeColor="text1"/>
              </w:rPr>
              <w:t>PARTEMENT</w:t>
            </w:r>
          </w:p>
        </w:tc>
        <w:tc>
          <w:tcPr>
            <w:tcW w:w="966" w:type="pct"/>
            <w:tcBorders>
              <w:top w:val="single" w:sz="4" w:space="0" w:color="auto"/>
              <w:left w:val="nil"/>
              <w:bottom w:val="single" w:sz="4" w:space="0" w:color="auto"/>
              <w:right w:val="single" w:sz="4" w:space="0" w:color="auto"/>
            </w:tcBorders>
            <w:shd w:val="clear" w:color="000000" w:fill="C0C0C0"/>
            <w:noWrap/>
            <w:vAlign w:val="bottom"/>
            <w:hideMark/>
          </w:tcPr>
          <w:p w14:paraId="2B4118E0" w14:textId="32431621" w:rsidR="00794AD0" w:rsidRPr="00260790" w:rsidRDefault="00794AD0" w:rsidP="00E20250">
            <w:pPr>
              <w:spacing w:after="0" w:line="240" w:lineRule="auto"/>
              <w:jc w:val="center"/>
              <w:rPr>
                <w:rFonts w:ascii="Times New Roman" w:eastAsia="Times New Roman" w:hAnsi="Times New Roman"/>
                <w:b/>
                <w:bCs/>
                <w:color w:val="000000" w:themeColor="text1"/>
              </w:rPr>
            </w:pPr>
            <w:r w:rsidRPr="00260790">
              <w:rPr>
                <w:rFonts w:ascii="Times New Roman" w:eastAsia="Times New Roman" w:hAnsi="Times New Roman"/>
                <w:b/>
                <w:bCs/>
                <w:color w:val="000000" w:themeColor="text1"/>
              </w:rPr>
              <w:t>COMMUN</w:t>
            </w:r>
            <w:r w:rsidR="00B818FC" w:rsidRPr="00260790">
              <w:rPr>
                <w:rFonts w:ascii="Times New Roman" w:eastAsia="Times New Roman" w:hAnsi="Times New Roman"/>
                <w:b/>
                <w:bCs/>
                <w:color w:val="000000" w:themeColor="text1"/>
              </w:rPr>
              <w:t>E</w:t>
            </w:r>
          </w:p>
        </w:tc>
        <w:tc>
          <w:tcPr>
            <w:tcW w:w="2207" w:type="pct"/>
            <w:tcBorders>
              <w:top w:val="single" w:sz="4" w:space="0" w:color="auto"/>
              <w:left w:val="nil"/>
              <w:bottom w:val="single" w:sz="4" w:space="0" w:color="auto"/>
              <w:right w:val="single" w:sz="4" w:space="0" w:color="auto"/>
            </w:tcBorders>
            <w:shd w:val="clear" w:color="000000" w:fill="C0C0C0"/>
            <w:noWrap/>
            <w:vAlign w:val="bottom"/>
            <w:hideMark/>
          </w:tcPr>
          <w:p w14:paraId="7B6405FD" w14:textId="77777777" w:rsidR="00794AD0" w:rsidRPr="00260790" w:rsidRDefault="00794AD0" w:rsidP="00E20250">
            <w:pPr>
              <w:spacing w:after="0" w:line="240" w:lineRule="auto"/>
              <w:jc w:val="center"/>
              <w:rPr>
                <w:rFonts w:ascii="Times New Roman" w:eastAsia="Times New Roman" w:hAnsi="Times New Roman"/>
                <w:b/>
                <w:bCs/>
                <w:color w:val="000000" w:themeColor="text1"/>
              </w:rPr>
            </w:pPr>
            <w:r w:rsidRPr="00260790">
              <w:rPr>
                <w:rFonts w:ascii="Times New Roman" w:eastAsia="Times New Roman" w:hAnsi="Times New Roman"/>
                <w:b/>
                <w:bCs/>
                <w:color w:val="000000" w:themeColor="text1"/>
              </w:rPr>
              <w:t>QUARTIERS</w:t>
            </w:r>
          </w:p>
        </w:tc>
      </w:tr>
      <w:tr w:rsidR="00BD1A2F" w:rsidRPr="00260790" w14:paraId="0FBA402A" w14:textId="77777777" w:rsidTr="00A86859">
        <w:trPr>
          <w:trHeight w:val="255"/>
        </w:trPr>
        <w:tc>
          <w:tcPr>
            <w:tcW w:w="683" w:type="pct"/>
            <w:vMerge w:val="restart"/>
            <w:tcBorders>
              <w:top w:val="nil"/>
              <w:left w:val="single" w:sz="4" w:space="0" w:color="auto"/>
              <w:bottom w:val="single" w:sz="4" w:space="0" w:color="auto"/>
              <w:right w:val="single" w:sz="4" w:space="0" w:color="auto"/>
            </w:tcBorders>
            <w:noWrap/>
            <w:vAlign w:val="center"/>
            <w:hideMark/>
          </w:tcPr>
          <w:p w14:paraId="7F377CB2"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DAKAR</w:t>
            </w:r>
          </w:p>
        </w:tc>
        <w:tc>
          <w:tcPr>
            <w:tcW w:w="1143" w:type="pct"/>
            <w:vMerge w:val="restart"/>
            <w:tcBorders>
              <w:top w:val="nil"/>
              <w:left w:val="single" w:sz="4" w:space="0" w:color="auto"/>
              <w:bottom w:val="single" w:sz="4" w:space="0" w:color="auto"/>
              <w:right w:val="single" w:sz="4" w:space="0" w:color="auto"/>
            </w:tcBorders>
            <w:noWrap/>
            <w:vAlign w:val="center"/>
            <w:hideMark/>
          </w:tcPr>
          <w:p w14:paraId="0EB7B499"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RUFISQUE</w:t>
            </w:r>
          </w:p>
        </w:tc>
        <w:tc>
          <w:tcPr>
            <w:tcW w:w="966" w:type="pct"/>
            <w:vMerge w:val="restart"/>
            <w:tcBorders>
              <w:top w:val="nil"/>
              <w:left w:val="single" w:sz="4" w:space="0" w:color="auto"/>
              <w:bottom w:val="single" w:sz="4" w:space="0" w:color="auto"/>
              <w:right w:val="single" w:sz="4" w:space="0" w:color="auto"/>
            </w:tcBorders>
            <w:noWrap/>
            <w:vAlign w:val="center"/>
            <w:hideMark/>
          </w:tcPr>
          <w:p w14:paraId="389815D8"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DIAXAY PARCELLE NIAKOULRAP</w:t>
            </w:r>
          </w:p>
        </w:tc>
        <w:tc>
          <w:tcPr>
            <w:tcW w:w="2207" w:type="pct"/>
            <w:tcBorders>
              <w:top w:val="nil"/>
              <w:left w:val="nil"/>
              <w:bottom w:val="single" w:sz="4" w:space="0" w:color="auto"/>
              <w:right w:val="single" w:sz="4" w:space="0" w:color="auto"/>
            </w:tcBorders>
            <w:noWrap/>
            <w:vAlign w:val="bottom"/>
            <w:hideMark/>
          </w:tcPr>
          <w:p w14:paraId="3D8AC527"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NIAKOULRAB EXTENSION</w:t>
            </w:r>
          </w:p>
        </w:tc>
      </w:tr>
      <w:tr w:rsidR="00BD1A2F" w:rsidRPr="00260790" w14:paraId="7275F173"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773C3A4F"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5C95EB99"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7E7C3301"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7DBDB92D" w14:textId="52B4B7C5"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PARCELLES ASSAINIES UNIT</w:t>
            </w:r>
            <w:r w:rsidR="00B818FC" w:rsidRPr="00260790">
              <w:rPr>
                <w:rFonts w:ascii="Times New Roman" w:eastAsia="Times New Roman" w:hAnsi="Times New Roman"/>
                <w:color w:val="000000" w:themeColor="text1"/>
              </w:rPr>
              <w:t>É</w:t>
            </w:r>
            <w:r w:rsidRPr="00260790">
              <w:rPr>
                <w:rFonts w:ascii="Times New Roman" w:eastAsia="Times New Roman" w:hAnsi="Times New Roman"/>
                <w:color w:val="000000" w:themeColor="text1"/>
              </w:rPr>
              <w:t xml:space="preserve"> 22</w:t>
            </w:r>
          </w:p>
        </w:tc>
      </w:tr>
      <w:tr w:rsidR="00BD1A2F" w:rsidRPr="00260790" w14:paraId="68FDD0BB"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31BCBD97"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30C22A97"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23E8A971"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2FB90B93" w14:textId="79FADADA"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PARCELLE ASSAINIE UNIT</w:t>
            </w:r>
            <w:r w:rsidR="00B818FC" w:rsidRPr="00260790">
              <w:rPr>
                <w:rFonts w:ascii="Times New Roman" w:eastAsia="Times New Roman" w:hAnsi="Times New Roman"/>
                <w:color w:val="000000" w:themeColor="text1"/>
              </w:rPr>
              <w:t>É</w:t>
            </w:r>
            <w:r w:rsidRPr="00260790">
              <w:rPr>
                <w:rFonts w:ascii="Times New Roman" w:eastAsia="Times New Roman" w:hAnsi="Times New Roman"/>
                <w:color w:val="000000" w:themeColor="text1"/>
              </w:rPr>
              <w:t xml:space="preserve"> 11A</w:t>
            </w:r>
          </w:p>
        </w:tc>
      </w:tr>
      <w:tr w:rsidR="00BD1A2F" w:rsidRPr="00260790" w14:paraId="7B12D08C"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6C3D76F7"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0D09C431"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4AB832FD"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1788EDAD" w14:textId="27AAD8AE"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PARCELLES ASSAINIES UNIT</w:t>
            </w:r>
            <w:r w:rsidR="00B818FC" w:rsidRPr="00260790">
              <w:rPr>
                <w:rFonts w:ascii="Times New Roman" w:eastAsia="Times New Roman" w:hAnsi="Times New Roman"/>
                <w:color w:val="000000" w:themeColor="text1"/>
              </w:rPr>
              <w:t>É</w:t>
            </w:r>
            <w:r w:rsidRPr="00260790">
              <w:rPr>
                <w:rFonts w:ascii="Times New Roman" w:eastAsia="Times New Roman" w:hAnsi="Times New Roman"/>
                <w:color w:val="000000" w:themeColor="text1"/>
              </w:rPr>
              <w:t xml:space="preserve"> 21</w:t>
            </w:r>
          </w:p>
        </w:tc>
      </w:tr>
      <w:tr w:rsidR="00BD1A2F" w:rsidRPr="00260790" w14:paraId="43097FD8"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1BD78EBC"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378B9026"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0025D115"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45D2CCD9" w14:textId="60474BDF"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PARCELLES ASSAINIES UNIT</w:t>
            </w:r>
            <w:r w:rsidR="00B818FC" w:rsidRPr="00260790">
              <w:rPr>
                <w:rFonts w:ascii="Times New Roman" w:eastAsia="Times New Roman" w:hAnsi="Times New Roman"/>
                <w:color w:val="000000" w:themeColor="text1"/>
              </w:rPr>
              <w:t>É</w:t>
            </w:r>
            <w:r w:rsidRPr="00260790">
              <w:rPr>
                <w:rFonts w:ascii="Times New Roman" w:eastAsia="Times New Roman" w:hAnsi="Times New Roman"/>
                <w:color w:val="000000" w:themeColor="text1"/>
              </w:rPr>
              <w:t xml:space="preserve"> 16</w:t>
            </w:r>
          </w:p>
        </w:tc>
      </w:tr>
      <w:tr w:rsidR="00BD1A2F" w:rsidRPr="00260790" w14:paraId="6C5265A1"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5E7A4F9E"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154D4B8C"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515809F5"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3982DC83" w14:textId="2A36A0DA"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PARCELLES ASSAINIES UNIT</w:t>
            </w:r>
            <w:r w:rsidR="00B818FC" w:rsidRPr="00260790">
              <w:rPr>
                <w:rFonts w:ascii="Times New Roman" w:eastAsia="Times New Roman" w:hAnsi="Times New Roman"/>
                <w:color w:val="000000" w:themeColor="text1"/>
              </w:rPr>
              <w:t>É</w:t>
            </w:r>
            <w:r w:rsidRPr="00260790">
              <w:rPr>
                <w:rFonts w:ascii="Times New Roman" w:eastAsia="Times New Roman" w:hAnsi="Times New Roman"/>
                <w:color w:val="000000" w:themeColor="text1"/>
              </w:rPr>
              <w:t xml:space="preserve"> 14</w:t>
            </w:r>
          </w:p>
        </w:tc>
      </w:tr>
      <w:tr w:rsidR="00BD1A2F" w:rsidRPr="00260790" w14:paraId="2160D892"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3011BBBD"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335C0B04"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6D1F6B9F"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6970A46D" w14:textId="0CC581D2"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PARCELLE ASSAINIE UNIT</w:t>
            </w:r>
            <w:r w:rsidR="00B818FC" w:rsidRPr="00260790">
              <w:rPr>
                <w:rFonts w:ascii="Times New Roman" w:eastAsia="Times New Roman" w:hAnsi="Times New Roman"/>
                <w:color w:val="000000" w:themeColor="text1"/>
              </w:rPr>
              <w:t>É</w:t>
            </w:r>
            <w:r w:rsidRPr="00260790">
              <w:rPr>
                <w:rFonts w:ascii="Times New Roman" w:eastAsia="Times New Roman" w:hAnsi="Times New Roman"/>
                <w:color w:val="000000" w:themeColor="text1"/>
              </w:rPr>
              <w:t xml:space="preserve"> 9</w:t>
            </w:r>
          </w:p>
        </w:tc>
      </w:tr>
      <w:tr w:rsidR="00BD1A2F" w:rsidRPr="00260790" w14:paraId="5A42970C"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1B610CE4"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753854FA"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0D20E5F9"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42232B58" w14:textId="101218BA"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PARCELLE ASSAINIE UNIT</w:t>
            </w:r>
            <w:r w:rsidR="00B818FC" w:rsidRPr="00260790">
              <w:rPr>
                <w:rFonts w:ascii="Times New Roman" w:eastAsia="Times New Roman" w:hAnsi="Times New Roman"/>
                <w:color w:val="000000" w:themeColor="text1"/>
              </w:rPr>
              <w:t>É</w:t>
            </w:r>
            <w:r w:rsidRPr="00260790">
              <w:rPr>
                <w:rFonts w:ascii="Times New Roman" w:eastAsia="Times New Roman" w:hAnsi="Times New Roman"/>
                <w:color w:val="000000" w:themeColor="text1"/>
              </w:rPr>
              <w:t xml:space="preserve"> 10</w:t>
            </w:r>
          </w:p>
        </w:tc>
      </w:tr>
      <w:tr w:rsidR="00BD1A2F" w:rsidRPr="00260790" w14:paraId="26104FF7"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47A99D85"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510CE250"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7652FF96"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6924063D" w14:textId="63483D79"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PARCELLES ASSAINIES UNIT</w:t>
            </w:r>
            <w:r w:rsidR="00B818FC" w:rsidRPr="00260790">
              <w:rPr>
                <w:rFonts w:ascii="Times New Roman" w:eastAsia="Times New Roman" w:hAnsi="Times New Roman"/>
                <w:color w:val="000000" w:themeColor="text1"/>
              </w:rPr>
              <w:t>É</w:t>
            </w:r>
            <w:r w:rsidRPr="00260790">
              <w:rPr>
                <w:rFonts w:ascii="Times New Roman" w:eastAsia="Times New Roman" w:hAnsi="Times New Roman"/>
                <w:color w:val="000000" w:themeColor="text1"/>
              </w:rPr>
              <w:t xml:space="preserve"> 26 - PARCELLES ASSAINIES UNIT</w:t>
            </w:r>
            <w:r w:rsidR="00B818FC" w:rsidRPr="00260790">
              <w:rPr>
                <w:rFonts w:ascii="Times New Roman" w:eastAsia="Times New Roman" w:hAnsi="Times New Roman"/>
                <w:color w:val="000000" w:themeColor="text1"/>
              </w:rPr>
              <w:t>É</w:t>
            </w:r>
            <w:r w:rsidRPr="00260790">
              <w:rPr>
                <w:rFonts w:ascii="Times New Roman" w:eastAsia="Times New Roman" w:hAnsi="Times New Roman"/>
                <w:color w:val="000000" w:themeColor="text1"/>
              </w:rPr>
              <w:t xml:space="preserve"> 27</w:t>
            </w:r>
          </w:p>
        </w:tc>
      </w:tr>
      <w:tr w:rsidR="00BD1A2F" w:rsidRPr="00260790" w14:paraId="22622419"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5AD88F98"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4109A464"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29F478EE"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22D00BD1" w14:textId="5EE7844F"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PARCELLES ASSAINIES UNIT</w:t>
            </w:r>
            <w:r w:rsidR="00B818FC" w:rsidRPr="00260790">
              <w:rPr>
                <w:rFonts w:ascii="Times New Roman" w:eastAsia="Times New Roman" w:hAnsi="Times New Roman"/>
                <w:color w:val="000000" w:themeColor="text1"/>
              </w:rPr>
              <w:t>É</w:t>
            </w:r>
            <w:r w:rsidRPr="00260790">
              <w:rPr>
                <w:rFonts w:ascii="Times New Roman" w:eastAsia="Times New Roman" w:hAnsi="Times New Roman"/>
                <w:color w:val="000000" w:themeColor="text1"/>
              </w:rPr>
              <w:t xml:space="preserve"> 24 - PARCELLES ASSAINIES UNIT</w:t>
            </w:r>
            <w:r w:rsidR="00B818FC" w:rsidRPr="00260790">
              <w:rPr>
                <w:rFonts w:ascii="Times New Roman" w:eastAsia="Times New Roman" w:hAnsi="Times New Roman"/>
                <w:color w:val="000000" w:themeColor="text1"/>
              </w:rPr>
              <w:t>É</w:t>
            </w:r>
            <w:r w:rsidRPr="00260790">
              <w:rPr>
                <w:rFonts w:ascii="Times New Roman" w:eastAsia="Times New Roman" w:hAnsi="Times New Roman"/>
                <w:color w:val="000000" w:themeColor="text1"/>
              </w:rPr>
              <w:t xml:space="preserve"> 25</w:t>
            </w:r>
          </w:p>
        </w:tc>
      </w:tr>
      <w:tr w:rsidR="00BD1A2F" w:rsidRPr="00260790" w14:paraId="735039EE"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2A0F9E63"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343C047F"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7D854F61"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7E4334DF" w14:textId="72CBAD8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PARCELLES ASSAINIES UNIT</w:t>
            </w:r>
            <w:r w:rsidR="00B818FC" w:rsidRPr="00260790">
              <w:rPr>
                <w:rFonts w:ascii="Times New Roman" w:eastAsia="Times New Roman" w:hAnsi="Times New Roman"/>
                <w:color w:val="000000" w:themeColor="text1"/>
              </w:rPr>
              <w:t>É</w:t>
            </w:r>
            <w:r w:rsidRPr="00260790">
              <w:rPr>
                <w:rFonts w:ascii="Times New Roman" w:eastAsia="Times New Roman" w:hAnsi="Times New Roman"/>
                <w:color w:val="000000" w:themeColor="text1"/>
              </w:rPr>
              <w:t xml:space="preserve"> 15</w:t>
            </w:r>
          </w:p>
        </w:tc>
      </w:tr>
      <w:tr w:rsidR="00BD1A2F" w:rsidRPr="00260790" w14:paraId="1FBEA8AE"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67CB6774"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014CC10F"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78970FD9"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5647E8E6" w14:textId="0ACD044A"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PARCELLES ASSAINIES UNIT</w:t>
            </w:r>
            <w:r w:rsidR="00B818FC" w:rsidRPr="00260790">
              <w:rPr>
                <w:rFonts w:ascii="Times New Roman" w:eastAsia="Times New Roman" w:hAnsi="Times New Roman"/>
                <w:color w:val="000000" w:themeColor="text1"/>
              </w:rPr>
              <w:t>É</w:t>
            </w:r>
            <w:r w:rsidRPr="00260790">
              <w:rPr>
                <w:rFonts w:ascii="Times New Roman" w:eastAsia="Times New Roman" w:hAnsi="Times New Roman"/>
                <w:color w:val="000000" w:themeColor="text1"/>
              </w:rPr>
              <w:t xml:space="preserve"> 12B</w:t>
            </w:r>
          </w:p>
        </w:tc>
      </w:tr>
      <w:tr w:rsidR="00BD1A2F" w:rsidRPr="00260790" w14:paraId="40DFDE50"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7059EEFA"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4531EFDF"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27CC0C04"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59F5AC4D"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LEBOUGUI 2000</w:t>
            </w:r>
          </w:p>
        </w:tc>
      </w:tr>
      <w:tr w:rsidR="00BD1A2F" w:rsidRPr="00260790" w14:paraId="1C5DAE84"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676082D2"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7C87915F"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77E0D69B"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0795E422"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NIACOUL RAB</w:t>
            </w:r>
          </w:p>
        </w:tc>
      </w:tr>
      <w:tr w:rsidR="00BD1A2F" w:rsidRPr="00260790" w14:paraId="45CBD5EF" w14:textId="77777777" w:rsidTr="00A86859">
        <w:trPr>
          <w:trHeight w:val="376"/>
        </w:trPr>
        <w:tc>
          <w:tcPr>
            <w:tcW w:w="683" w:type="pct"/>
            <w:vMerge/>
            <w:tcBorders>
              <w:top w:val="nil"/>
              <w:left w:val="single" w:sz="4" w:space="0" w:color="auto"/>
              <w:bottom w:val="single" w:sz="4" w:space="0" w:color="auto"/>
              <w:right w:val="single" w:sz="4" w:space="0" w:color="auto"/>
            </w:tcBorders>
            <w:vAlign w:val="center"/>
            <w:hideMark/>
          </w:tcPr>
          <w:p w14:paraId="50FCC057"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0B6BA0E7"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3B08627C"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4BB6FB19" w14:textId="4E36DAA0"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PARCELLES ASSAINIES UNIT</w:t>
            </w:r>
            <w:r w:rsidR="00B818FC" w:rsidRPr="00260790">
              <w:rPr>
                <w:rFonts w:ascii="Times New Roman" w:eastAsia="Times New Roman" w:hAnsi="Times New Roman"/>
                <w:color w:val="000000" w:themeColor="text1"/>
              </w:rPr>
              <w:t>É</w:t>
            </w:r>
            <w:r w:rsidRPr="00260790">
              <w:rPr>
                <w:rFonts w:ascii="Times New Roman" w:eastAsia="Times New Roman" w:hAnsi="Times New Roman"/>
                <w:color w:val="000000" w:themeColor="text1"/>
              </w:rPr>
              <w:t xml:space="preserve"> 13 - PARCELLES ASSAINIES UNIT</w:t>
            </w:r>
            <w:r w:rsidR="00B818FC" w:rsidRPr="00260790">
              <w:rPr>
                <w:rFonts w:ascii="Times New Roman" w:eastAsia="Times New Roman" w:hAnsi="Times New Roman"/>
                <w:color w:val="000000" w:themeColor="text1"/>
              </w:rPr>
              <w:t>É</w:t>
            </w:r>
            <w:r w:rsidRPr="00260790">
              <w:rPr>
                <w:rFonts w:ascii="Times New Roman" w:eastAsia="Times New Roman" w:hAnsi="Times New Roman"/>
                <w:color w:val="000000" w:themeColor="text1"/>
              </w:rPr>
              <w:t xml:space="preserve"> 12A</w:t>
            </w:r>
          </w:p>
        </w:tc>
      </w:tr>
      <w:tr w:rsidR="00BD1A2F" w:rsidRPr="00260790" w14:paraId="52F039FE"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37DB0239"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67F11AB9"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val="restart"/>
            <w:tcBorders>
              <w:top w:val="nil"/>
              <w:left w:val="single" w:sz="4" w:space="0" w:color="auto"/>
              <w:bottom w:val="single" w:sz="4" w:space="0" w:color="auto"/>
              <w:right w:val="single" w:sz="4" w:space="0" w:color="auto"/>
            </w:tcBorders>
            <w:noWrap/>
            <w:vAlign w:val="center"/>
            <w:hideMark/>
          </w:tcPr>
          <w:p w14:paraId="279B1921"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RUFISQUE OUEST</w:t>
            </w:r>
          </w:p>
        </w:tc>
        <w:tc>
          <w:tcPr>
            <w:tcW w:w="2207" w:type="pct"/>
            <w:tcBorders>
              <w:top w:val="nil"/>
              <w:left w:val="nil"/>
              <w:bottom w:val="single" w:sz="4" w:space="0" w:color="auto"/>
              <w:right w:val="single" w:sz="4" w:space="0" w:color="auto"/>
            </w:tcBorders>
            <w:noWrap/>
            <w:vAlign w:val="bottom"/>
            <w:hideMark/>
          </w:tcPr>
          <w:p w14:paraId="041FCC60"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CITE COLGATE</w:t>
            </w:r>
          </w:p>
        </w:tc>
      </w:tr>
      <w:tr w:rsidR="00BD1A2F" w:rsidRPr="00260790" w14:paraId="769F52C7"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64EDAB2D"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0CCCB864"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24CA7C0B"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07056FD1" w14:textId="296E1DA5"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M</w:t>
            </w:r>
            <w:r w:rsidR="004D11DF" w:rsidRPr="00260790">
              <w:rPr>
                <w:rFonts w:ascii="Times New Roman" w:eastAsia="Times New Roman" w:hAnsi="Times New Roman"/>
                <w:color w:val="000000" w:themeColor="text1"/>
              </w:rPr>
              <w:t>É</w:t>
            </w:r>
            <w:r w:rsidRPr="00260790">
              <w:rPr>
                <w:rFonts w:ascii="Times New Roman" w:eastAsia="Times New Roman" w:hAnsi="Times New Roman"/>
                <w:color w:val="000000" w:themeColor="text1"/>
              </w:rPr>
              <w:t>DINA ZAC</w:t>
            </w:r>
            <w:r w:rsidR="00EC7C13" w:rsidRPr="00260790">
              <w:rPr>
                <w:rFonts w:ascii="Times New Roman" w:eastAsia="Times New Roman" w:hAnsi="Times New Roman"/>
                <w:color w:val="000000" w:themeColor="text1"/>
              </w:rPr>
              <w:t xml:space="preserve"> / CITE SAPEURS POMPIERS</w:t>
            </w:r>
          </w:p>
        </w:tc>
      </w:tr>
      <w:tr w:rsidR="00BD1A2F" w:rsidRPr="00260790" w14:paraId="7F62246B"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3245E617"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3E98D087"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0784B286"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08C16C3D"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CITE KHALIFA ABABACAR SY</w:t>
            </w:r>
          </w:p>
        </w:tc>
      </w:tr>
      <w:tr w:rsidR="00BD1A2F" w:rsidRPr="00260790" w14:paraId="5BB76C3F"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731C08EA"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158EF684"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2893E305"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4C791214"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CITE BEL-AIR</w:t>
            </w:r>
          </w:p>
        </w:tc>
      </w:tr>
      <w:tr w:rsidR="00BD1A2F" w:rsidRPr="00260790" w14:paraId="2B006BAA"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26C084B4"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42AFC2BC"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6BCE7BDD"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6B72B7C2" w14:textId="6ED0F5FF"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CITE SHS</w:t>
            </w:r>
            <w:r w:rsidR="00EC7C13" w:rsidRPr="00260790">
              <w:rPr>
                <w:rFonts w:ascii="Times New Roman" w:eastAsia="Times New Roman" w:hAnsi="Times New Roman"/>
                <w:color w:val="000000" w:themeColor="text1"/>
              </w:rPr>
              <w:t xml:space="preserve"> / ADE</w:t>
            </w:r>
          </w:p>
        </w:tc>
      </w:tr>
      <w:tr w:rsidR="00BD1A2F" w:rsidRPr="00260790" w14:paraId="307516F0"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4A2F18AC"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val="restart"/>
            <w:tcBorders>
              <w:top w:val="nil"/>
              <w:left w:val="single" w:sz="4" w:space="0" w:color="auto"/>
              <w:bottom w:val="single" w:sz="4" w:space="0" w:color="auto"/>
              <w:right w:val="single" w:sz="4" w:space="0" w:color="auto"/>
            </w:tcBorders>
            <w:noWrap/>
            <w:vAlign w:val="center"/>
            <w:hideMark/>
          </w:tcPr>
          <w:p w14:paraId="0BD25601"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KEUR MASSAR</w:t>
            </w:r>
          </w:p>
        </w:tc>
        <w:tc>
          <w:tcPr>
            <w:tcW w:w="966" w:type="pct"/>
            <w:vMerge w:val="restart"/>
            <w:tcBorders>
              <w:top w:val="nil"/>
              <w:left w:val="single" w:sz="4" w:space="0" w:color="auto"/>
              <w:bottom w:val="single" w:sz="4" w:space="0" w:color="auto"/>
              <w:right w:val="single" w:sz="4" w:space="0" w:color="auto"/>
            </w:tcBorders>
            <w:noWrap/>
            <w:vAlign w:val="center"/>
            <w:hideMark/>
          </w:tcPr>
          <w:p w14:paraId="1F3A1DD6"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KEUR MASSAR</w:t>
            </w:r>
          </w:p>
        </w:tc>
        <w:tc>
          <w:tcPr>
            <w:tcW w:w="2207" w:type="pct"/>
            <w:tcBorders>
              <w:top w:val="nil"/>
              <w:left w:val="nil"/>
              <w:bottom w:val="single" w:sz="4" w:space="0" w:color="auto"/>
              <w:right w:val="single" w:sz="4" w:space="0" w:color="auto"/>
            </w:tcBorders>
            <w:noWrap/>
            <w:vAlign w:val="bottom"/>
            <w:hideMark/>
          </w:tcPr>
          <w:p w14:paraId="13975A6F"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BAYE NIASS</w:t>
            </w:r>
          </w:p>
        </w:tc>
      </w:tr>
      <w:tr w:rsidR="00BD1A2F" w:rsidRPr="00260790" w14:paraId="267584E5"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16FDBB06"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1EFC93BF"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5ABCD390"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190D189A"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HAMDALLAHI 3</w:t>
            </w:r>
          </w:p>
        </w:tc>
      </w:tr>
      <w:tr w:rsidR="00BD1A2F" w:rsidRPr="00260790" w14:paraId="6E475028"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0577FA78"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66D086B0"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68CBF782"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73E333CE"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UCAD 1 ET UCAD 2</w:t>
            </w:r>
          </w:p>
        </w:tc>
      </w:tr>
      <w:tr w:rsidR="00BD1A2F" w:rsidRPr="00260790" w14:paraId="3E799B28"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40DB0525"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2D612499"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02C5D85A"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7B09B535"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UCAD 4</w:t>
            </w:r>
          </w:p>
        </w:tc>
      </w:tr>
      <w:tr w:rsidR="00BD1A2F" w:rsidRPr="00260790" w14:paraId="18E1ED12"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5A422379"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3657BFE9"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5F6A1726"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0406EDEA"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DAROU SALAM 1</w:t>
            </w:r>
          </w:p>
        </w:tc>
      </w:tr>
      <w:tr w:rsidR="00BD1A2F" w:rsidRPr="00260790" w14:paraId="1E7B6D58"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2E5094D2"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val="restart"/>
            <w:tcBorders>
              <w:top w:val="nil"/>
              <w:left w:val="single" w:sz="4" w:space="0" w:color="auto"/>
              <w:bottom w:val="single" w:sz="4" w:space="0" w:color="auto"/>
              <w:right w:val="single" w:sz="4" w:space="0" w:color="auto"/>
            </w:tcBorders>
            <w:noWrap/>
            <w:vAlign w:val="center"/>
            <w:hideMark/>
          </w:tcPr>
          <w:p w14:paraId="646A087D"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PIKINE</w:t>
            </w:r>
          </w:p>
        </w:tc>
        <w:tc>
          <w:tcPr>
            <w:tcW w:w="966" w:type="pct"/>
            <w:vMerge w:val="restart"/>
            <w:tcBorders>
              <w:top w:val="nil"/>
              <w:left w:val="single" w:sz="4" w:space="0" w:color="auto"/>
              <w:bottom w:val="single" w:sz="4" w:space="0" w:color="auto"/>
              <w:right w:val="single" w:sz="4" w:space="0" w:color="auto"/>
            </w:tcBorders>
            <w:noWrap/>
            <w:vAlign w:val="center"/>
            <w:hideMark/>
          </w:tcPr>
          <w:p w14:paraId="52D49932"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MBAO</w:t>
            </w:r>
          </w:p>
        </w:tc>
        <w:tc>
          <w:tcPr>
            <w:tcW w:w="2207" w:type="pct"/>
            <w:tcBorders>
              <w:top w:val="nil"/>
              <w:left w:val="nil"/>
              <w:bottom w:val="single" w:sz="4" w:space="0" w:color="auto"/>
              <w:right w:val="single" w:sz="4" w:space="0" w:color="auto"/>
            </w:tcBorders>
            <w:noWrap/>
            <w:vAlign w:val="bottom"/>
            <w:hideMark/>
          </w:tcPr>
          <w:p w14:paraId="410601AF"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CITE DABAKH MALICK</w:t>
            </w:r>
          </w:p>
        </w:tc>
      </w:tr>
      <w:tr w:rsidR="00BD1A2F" w:rsidRPr="00260790" w14:paraId="78040F4A"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001E897C"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2E8D1C96"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768E655B"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4FD34B7E" w14:textId="0073FD8A"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CITE FLAMBOYANT - CITE </w:t>
            </w:r>
            <w:r w:rsidR="004D11DF" w:rsidRPr="00260790">
              <w:rPr>
                <w:rFonts w:ascii="Times New Roman" w:eastAsia="Times New Roman" w:hAnsi="Times New Roman"/>
                <w:color w:val="000000" w:themeColor="text1"/>
              </w:rPr>
              <w:t>É</w:t>
            </w:r>
            <w:r w:rsidRPr="00260790">
              <w:rPr>
                <w:rFonts w:ascii="Times New Roman" w:eastAsia="Times New Roman" w:hAnsi="Times New Roman"/>
                <w:color w:val="000000" w:themeColor="text1"/>
              </w:rPr>
              <w:t>LEVAGE</w:t>
            </w:r>
          </w:p>
        </w:tc>
      </w:tr>
      <w:tr w:rsidR="00BD1A2F" w:rsidRPr="00260790" w14:paraId="2DAAC6AE"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4ECB8703"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7107651D"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43BF005F"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117E19A7"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CITE POSTE</w:t>
            </w:r>
          </w:p>
        </w:tc>
      </w:tr>
      <w:tr w:rsidR="00BD1A2F" w:rsidRPr="00260790" w14:paraId="4F9F5DD5"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0B94BEBB"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6465C447"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2F27C869"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24403E36"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SEYDOU NOUROU TALL</w:t>
            </w:r>
          </w:p>
        </w:tc>
      </w:tr>
      <w:tr w:rsidR="00BD1A2F" w:rsidRPr="00260790" w14:paraId="5DA01652"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2FDF8168"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2C744222"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0319D38B"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10D53006"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TOUBA TAIF</w:t>
            </w:r>
          </w:p>
        </w:tc>
      </w:tr>
      <w:tr w:rsidR="00BD1A2F" w:rsidRPr="00260790" w14:paraId="0830B716"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618524D9"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4BE38999"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73229A94"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11912477"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DIAMAGUENE MBAO GADE</w:t>
            </w:r>
          </w:p>
        </w:tc>
      </w:tr>
      <w:tr w:rsidR="00BD1A2F" w:rsidRPr="00260790" w14:paraId="2A13F3A4"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4FEC6FE7"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3C8DD180"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27AAFA83"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6559335A"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CITE ALMAMY - CITE SONES - CITE BALICO - CITE PORT</w:t>
            </w:r>
          </w:p>
        </w:tc>
      </w:tr>
      <w:tr w:rsidR="00BD1A2F" w:rsidRPr="00260790" w14:paraId="3265C263"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5A769C4A"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1356A830"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7E7F0317"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69A67866" w14:textId="7CD24C41"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CITE MANTOR DIOUF - CITE SOUTOUREU - CITE FEMMES IMMIGR</w:t>
            </w:r>
            <w:r w:rsidR="004D11DF" w:rsidRPr="00260790">
              <w:rPr>
                <w:rFonts w:ascii="Times New Roman" w:eastAsia="Times New Roman" w:hAnsi="Times New Roman"/>
                <w:color w:val="000000" w:themeColor="text1"/>
              </w:rPr>
              <w:t>É</w:t>
            </w:r>
            <w:r w:rsidRPr="00260790">
              <w:rPr>
                <w:rFonts w:ascii="Times New Roman" w:eastAsia="Times New Roman" w:hAnsi="Times New Roman"/>
                <w:color w:val="000000" w:themeColor="text1"/>
              </w:rPr>
              <w:t>ES - CITE SHELL - CITE GABONAISE - NOUVELLE CITE</w:t>
            </w:r>
          </w:p>
        </w:tc>
      </w:tr>
      <w:tr w:rsidR="00BD1A2F" w:rsidRPr="00260790" w14:paraId="2F62574A"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04DF27EF"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000BB8BF"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5CBB1E59"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1188278F"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BOUGOUMA SECK</w:t>
            </w:r>
          </w:p>
        </w:tc>
      </w:tr>
      <w:tr w:rsidR="00BD1A2F" w:rsidRPr="002109AA" w14:paraId="0C7EA75A"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6ABB9084"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38A4019A"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06DE4F22"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198E8B31" w14:textId="77777777" w:rsidR="00794AD0" w:rsidRPr="00260790" w:rsidRDefault="00794AD0" w:rsidP="00E20250">
            <w:pPr>
              <w:spacing w:after="0" w:line="240" w:lineRule="auto"/>
              <w:rPr>
                <w:rFonts w:ascii="Times New Roman" w:eastAsia="Times New Roman" w:hAnsi="Times New Roman"/>
                <w:color w:val="000000" w:themeColor="text1"/>
                <w:lang w:val="en-GB"/>
              </w:rPr>
            </w:pPr>
            <w:r w:rsidRPr="00260790">
              <w:rPr>
                <w:rFonts w:ascii="Times New Roman" w:eastAsia="Times New Roman" w:hAnsi="Times New Roman"/>
                <w:color w:val="000000" w:themeColor="text1"/>
                <w:lang w:val="en-GB"/>
              </w:rPr>
              <w:t>CITE SYDIELY ZAC MBAO - CITE SATAR - CITE HOLDING - BAOBAB - RUE 10 ZAC MBAO</w:t>
            </w:r>
          </w:p>
        </w:tc>
      </w:tr>
      <w:tr w:rsidR="00BD1A2F" w:rsidRPr="00260790" w14:paraId="0893EE54"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71E6E549" w14:textId="77777777" w:rsidR="00794AD0" w:rsidRPr="00260790" w:rsidRDefault="00794AD0" w:rsidP="00E20250">
            <w:pPr>
              <w:spacing w:after="0" w:line="240" w:lineRule="auto"/>
              <w:rPr>
                <w:rFonts w:ascii="Times New Roman" w:eastAsia="Times New Roman" w:hAnsi="Times New Roman"/>
                <w:color w:val="000000" w:themeColor="text1"/>
                <w:lang w:val="en-GB"/>
              </w:rPr>
            </w:pPr>
          </w:p>
        </w:tc>
        <w:tc>
          <w:tcPr>
            <w:tcW w:w="1143" w:type="pct"/>
            <w:vMerge/>
            <w:tcBorders>
              <w:top w:val="nil"/>
              <w:left w:val="single" w:sz="4" w:space="0" w:color="auto"/>
              <w:bottom w:val="single" w:sz="4" w:space="0" w:color="auto"/>
              <w:right w:val="single" w:sz="4" w:space="0" w:color="auto"/>
            </w:tcBorders>
            <w:vAlign w:val="center"/>
            <w:hideMark/>
          </w:tcPr>
          <w:p w14:paraId="41F70733" w14:textId="77777777" w:rsidR="00794AD0" w:rsidRPr="00260790" w:rsidRDefault="00794AD0" w:rsidP="00E20250">
            <w:pPr>
              <w:spacing w:after="0" w:line="240" w:lineRule="auto"/>
              <w:rPr>
                <w:rFonts w:ascii="Times New Roman" w:eastAsia="Times New Roman" w:hAnsi="Times New Roman"/>
                <w:color w:val="000000" w:themeColor="text1"/>
                <w:lang w:val="en-GB"/>
              </w:rPr>
            </w:pPr>
          </w:p>
        </w:tc>
        <w:tc>
          <w:tcPr>
            <w:tcW w:w="966" w:type="pct"/>
            <w:vMerge/>
            <w:tcBorders>
              <w:top w:val="nil"/>
              <w:left w:val="single" w:sz="4" w:space="0" w:color="auto"/>
              <w:bottom w:val="single" w:sz="4" w:space="0" w:color="auto"/>
              <w:right w:val="single" w:sz="4" w:space="0" w:color="auto"/>
            </w:tcBorders>
            <w:vAlign w:val="center"/>
            <w:hideMark/>
          </w:tcPr>
          <w:p w14:paraId="3CDBF5BC" w14:textId="77777777" w:rsidR="00794AD0" w:rsidRPr="00260790" w:rsidRDefault="00794AD0" w:rsidP="00E20250">
            <w:pPr>
              <w:spacing w:after="0" w:line="240" w:lineRule="auto"/>
              <w:rPr>
                <w:rFonts w:ascii="Times New Roman" w:eastAsia="Times New Roman" w:hAnsi="Times New Roman"/>
                <w:color w:val="000000" w:themeColor="text1"/>
                <w:lang w:val="en-GB"/>
              </w:rPr>
            </w:pPr>
          </w:p>
        </w:tc>
        <w:tc>
          <w:tcPr>
            <w:tcW w:w="2207" w:type="pct"/>
            <w:tcBorders>
              <w:top w:val="nil"/>
              <w:left w:val="nil"/>
              <w:bottom w:val="single" w:sz="4" w:space="0" w:color="auto"/>
              <w:right w:val="single" w:sz="4" w:space="0" w:color="auto"/>
            </w:tcBorders>
            <w:noWrap/>
            <w:vAlign w:val="bottom"/>
            <w:hideMark/>
          </w:tcPr>
          <w:p w14:paraId="5D6F0EB4"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CITE ADJA MAREME DIOP</w:t>
            </w:r>
          </w:p>
        </w:tc>
      </w:tr>
      <w:tr w:rsidR="00BD1A2F" w:rsidRPr="00260790" w14:paraId="29D5FA57"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2E2AC550"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39E05BC4"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6F2D2F8A"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3385A9F5"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CITE PROMOCAP</w:t>
            </w:r>
          </w:p>
        </w:tc>
      </w:tr>
      <w:tr w:rsidR="00BD1A2F" w:rsidRPr="00260790" w14:paraId="21C2DC5D"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10F1A962"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21FBDCE9"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565694FC"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529E662E" w14:textId="77777777"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BENOU SANT YALLA</w:t>
            </w:r>
          </w:p>
        </w:tc>
      </w:tr>
      <w:tr w:rsidR="00794AD0" w:rsidRPr="00260790" w14:paraId="2E0CE4AC" w14:textId="77777777" w:rsidTr="00A86859">
        <w:trPr>
          <w:trHeight w:val="255"/>
        </w:trPr>
        <w:tc>
          <w:tcPr>
            <w:tcW w:w="683" w:type="pct"/>
            <w:vMerge/>
            <w:tcBorders>
              <w:top w:val="nil"/>
              <w:left w:val="single" w:sz="4" w:space="0" w:color="auto"/>
              <w:bottom w:val="single" w:sz="4" w:space="0" w:color="auto"/>
              <w:right w:val="single" w:sz="4" w:space="0" w:color="auto"/>
            </w:tcBorders>
            <w:vAlign w:val="center"/>
            <w:hideMark/>
          </w:tcPr>
          <w:p w14:paraId="4B8C939B"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1143" w:type="pct"/>
            <w:vMerge/>
            <w:tcBorders>
              <w:top w:val="nil"/>
              <w:left w:val="single" w:sz="4" w:space="0" w:color="auto"/>
              <w:bottom w:val="single" w:sz="4" w:space="0" w:color="auto"/>
              <w:right w:val="single" w:sz="4" w:space="0" w:color="auto"/>
            </w:tcBorders>
            <w:vAlign w:val="center"/>
            <w:hideMark/>
          </w:tcPr>
          <w:p w14:paraId="6B078782"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966" w:type="pct"/>
            <w:vMerge/>
            <w:tcBorders>
              <w:top w:val="nil"/>
              <w:left w:val="single" w:sz="4" w:space="0" w:color="auto"/>
              <w:bottom w:val="single" w:sz="4" w:space="0" w:color="auto"/>
              <w:right w:val="single" w:sz="4" w:space="0" w:color="auto"/>
            </w:tcBorders>
            <w:vAlign w:val="center"/>
            <w:hideMark/>
          </w:tcPr>
          <w:p w14:paraId="1AE67D24" w14:textId="77777777" w:rsidR="00794AD0" w:rsidRPr="00260790" w:rsidRDefault="00794AD0" w:rsidP="00E20250">
            <w:pPr>
              <w:spacing w:after="0" w:line="240" w:lineRule="auto"/>
              <w:rPr>
                <w:rFonts w:ascii="Times New Roman" w:eastAsia="Times New Roman" w:hAnsi="Times New Roman"/>
                <w:color w:val="000000" w:themeColor="text1"/>
              </w:rPr>
            </w:pPr>
          </w:p>
        </w:tc>
        <w:tc>
          <w:tcPr>
            <w:tcW w:w="2207" w:type="pct"/>
            <w:tcBorders>
              <w:top w:val="nil"/>
              <w:left w:val="nil"/>
              <w:bottom w:val="single" w:sz="4" w:space="0" w:color="auto"/>
              <w:right w:val="single" w:sz="4" w:space="0" w:color="auto"/>
            </w:tcBorders>
            <w:noWrap/>
            <w:vAlign w:val="bottom"/>
            <w:hideMark/>
          </w:tcPr>
          <w:p w14:paraId="175B8BBF" w14:textId="4877727E" w:rsidR="00794AD0" w:rsidRPr="00260790" w:rsidRDefault="00794AD0" w:rsidP="00E20250">
            <w:pPr>
              <w:spacing w:after="0" w:line="240" w:lineRule="auto"/>
              <w:rPr>
                <w:rFonts w:ascii="Times New Roman" w:eastAsia="Times New Roman" w:hAnsi="Times New Roman"/>
                <w:color w:val="000000" w:themeColor="text1"/>
              </w:rPr>
            </w:pPr>
            <w:r w:rsidRPr="00260790">
              <w:rPr>
                <w:rFonts w:ascii="Times New Roman" w:eastAsia="Times New Roman" w:hAnsi="Times New Roman"/>
                <w:color w:val="000000" w:themeColor="text1"/>
              </w:rPr>
              <w:t>FOR</w:t>
            </w:r>
            <w:r w:rsidR="004D11DF" w:rsidRPr="00260790">
              <w:rPr>
                <w:rFonts w:ascii="Times New Roman" w:eastAsia="Times New Roman" w:hAnsi="Times New Roman"/>
                <w:color w:val="000000" w:themeColor="text1"/>
              </w:rPr>
              <w:t>Ê</w:t>
            </w:r>
            <w:r w:rsidRPr="00260790">
              <w:rPr>
                <w:rFonts w:ascii="Times New Roman" w:eastAsia="Times New Roman" w:hAnsi="Times New Roman"/>
                <w:color w:val="000000" w:themeColor="text1"/>
              </w:rPr>
              <w:t>T CLASS</w:t>
            </w:r>
            <w:r w:rsidR="004D11DF" w:rsidRPr="00260790">
              <w:rPr>
                <w:rFonts w:ascii="Times New Roman" w:eastAsia="Times New Roman" w:hAnsi="Times New Roman"/>
                <w:color w:val="000000" w:themeColor="text1"/>
              </w:rPr>
              <w:t>É</w:t>
            </w:r>
            <w:r w:rsidRPr="00260790">
              <w:rPr>
                <w:rFonts w:ascii="Times New Roman" w:eastAsia="Times New Roman" w:hAnsi="Times New Roman"/>
                <w:color w:val="000000" w:themeColor="text1"/>
              </w:rPr>
              <w:t>E DE MBAO</w:t>
            </w:r>
          </w:p>
        </w:tc>
      </w:tr>
    </w:tbl>
    <w:p w14:paraId="11C2BB4E" w14:textId="77777777" w:rsidR="00B57667" w:rsidRPr="00260790" w:rsidRDefault="00B57667" w:rsidP="00E20250">
      <w:pPr>
        <w:spacing w:line="240" w:lineRule="auto"/>
        <w:jc w:val="both"/>
        <w:rPr>
          <w:rFonts w:ascii="Times New Roman" w:hAnsi="Times New Roman"/>
          <w:color w:val="000000" w:themeColor="text1"/>
        </w:rPr>
      </w:pPr>
    </w:p>
    <w:p w14:paraId="04EB7371" w14:textId="76986BC3" w:rsidR="00794AD0" w:rsidRPr="00260790" w:rsidRDefault="00794AD0" w:rsidP="001748C6">
      <w:pPr>
        <w:pStyle w:val="Normaltableau0"/>
        <w:numPr>
          <w:ilvl w:val="1"/>
          <w:numId w:val="139"/>
        </w:numPr>
        <w:outlineLvl w:val="1"/>
        <w:rPr>
          <w:rFonts w:ascii="Times New Roman" w:hAnsi="Times New Roman"/>
          <w:b/>
          <w:bCs/>
          <w:sz w:val="22"/>
          <w:szCs w:val="22"/>
        </w:rPr>
      </w:pPr>
      <w:bookmarkStart w:id="57" w:name="_Toc212725081"/>
      <w:r w:rsidRPr="00260790">
        <w:rPr>
          <w:rFonts w:ascii="Times New Roman" w:hAnsi="Times New Roman"/>
          <w:b/>
          <w:bCs/>
          <w:sz w:val="22"/>
          <w:szCs w:val="22"/>
        </w:rPr>
        <w:lastRenderedPageBreak/>
        <w:t xml:space="preserve">Activités de </w:t>
      </w:r>
      <w:r w:rsidR="00A86859" w:rsidRPr="00260790">
        <w:rPr>
          <w:rFonts w:ascii="Times New Roman" w:hAnsi="Times New Roman"/>
          <w:b/>
          <w:bCs/>
          <w:sz w:val="22"/>
          <w:szCs w:val="22"/>
        </w:rPr>
        <w:t>pré construction</w:t>
      </w:r>
      <w:r w:rsidRPr="00260790">
        <w:rPr>
          <w:rFonts w:ascii="Times New Roman" w:hAnsi="Times New Roman"/>
          <w:b/>
          <w:bCs/>
          <w:sz w:val="22"/>
          <w:szCs w:val="22"/>
        </w:rPr>
        <w:t xml:space="preserve"> et de construction</w:t>
      </w:r>
      <w:bookmarkEnd w:id="57"/>
    </w:p>
    <w:p w14:paraId="57B85F09" w14:textId="49623F6C" w:rsidR="00794AD0" w:rsidRPr="00260790" w:rsidRDefault="00794AD0"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activités de </w:t>
      </w:r>
      <w:r w:rsidR="00A86859" w:rsidRPr="00260790">
        <w:rPr>
          <w:rFonts w:ascii="Times New Roman" w:hAnsi="Times New Roman"/>
          <w:color w:val="000000" w:themeColor="text1"/>
        </w:rPr>
        <w:t>pré construction</w:t>
      </w:r>
      <w:r w:rsidRPr="00260790">
        <w:rPr>
          <w:rFonts w:ascii="Times New Roman" w:hAnsi="Times New Roman"/>
          <w:color w:val="000000" w:themeColor="text1"/>
        </w:rPr>
        <w:t xml:space="preserve"> et de construction recouvrent :</w:t>
      </w:r>
    </w:p>
    <w:p w14:paraId="5722C3D2" w14:textId="77777777" w:rsidR="00794AD0" w:rsidRPr="00260790" w:rsidRDefault="00794AD0" w:rsidP="001748C6">
      <w:pPr>
        <w:pStyle w:val="Paragraphedeliste"/>
        <w:numPr>
          <w:ilvl w:val="0"/>
          <w:numId w:val="142"/>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l’installation</w:t>
      </w:r>
      <w:proofErr w:type="gramEnd"/>
      <w:r w:rsidRPr="00260790">
        <w:rPr>
          <w:rFonts w:ascii="Times New Roman" w:hAnsi="Times New Roman"/>
          <w:color w:val="000000" w:themeColor="text1"/>
        </w:rPr>
        <w:t xml:space="preserve"> du chantier, la remise en état des lieux et le repliement du matériel ;</w:t>
      </w:r>
    </w:p>
    <w:p w14:paraId="6BBF2A2D" w14:textId="77777777" w:rsidR="00794AD0" w:rsidRPr="00260790" w:rsidRDefault="00794AD0" w:rsidP="001748C6">
      <w:pPr>
        <w:pStyle w:val="Paragraphedeliste"/>
        <w:numPr>
          <w:ilvl w:val="0"/>
          <w:numId w:val="142"/>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la</w:t>
      </w:r>
      <w:proofErr w:type="gramEnd"/>
      <w:r w:rsidRPr="00260790">
        <w:rPr>
          <w:rFonts w:ascii="Times New Roman" w:hAnsi="Times New Roman"/>
          <w:color w:val="000000" w:themeColor="text1"/>
        </w:rPr>
        <w:t xml:space="preserve"> réalisation de collecteurs primaires de drainage de types dalots rectangulaires bétonnés d’un linéaire total de 4.6 km environ ;</w:t>
      </w:r>
    </w:p>
    <w:p w14:paraId="1FC1E6DA" w14:textId="77777777" w:rsidR="00794AD0" w:rsidRPr="00260790" w:rsidRDefault="00794AD0" w:rsidP="001748C6">
      <w:pPr>
        <w:pStyle w:val="Paragraphedeliste"/>
        <w:numPr>
          <w:ilvl w:val="0"/>
          <w:numId w:val="142"/>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la</w:t>
      </w:r>
      <w:proofErr w:type="gramEnd"/>
      <w:r w:rsidRPr="00260790">
        <w:rPr>
          <w:rFonts w:ascii="Times New Roman" w:hAnsi="Times New Roman"/>
          <w:color w:val="000000" w:themeColor="text1"/>
        </w:rPr>
        <w:t xml:space="preserve"> réalisation de réseaux secondaires spécifiques de drainage, de types buse ou PVC circulaires, d’un linéaire total de 1.6 km environ ;</w:t>
      </w:r>
    </w:p>
    <w:p w14:paraId="6CC1FF40" w14:textId="07AC9AA5" w:rsidR="00794AD0" w:rsidRPr="00260790" w:rsidRDefault="00794AD0" w:rsidP="001748C6">
      <w:pPr>
        <w:pStyle w:val="Paragraphedeliste"/>
        <w:numPr>
          <w:ilvl w:val="0"/>
          <w:numId w:val="142"/>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l'aménagement</w:t>
      </w:r>
      <w:proofErr w:type="gramEnd"/>
      <w:r w:rsidRPr="00260790">
        <w:rPr>
          <w:rFonts w:ascii="Times New Roman" w:hAnsi="Times New Roman"/>
          <w:color w:val="000000" w:themeColor="text1"/>
        </w:rPr>
        <w:t xml:space="preserve"> de 1</w:t>
      </w:r>
      <w:r w:rsidR="00B6303A" w:rsidRPr="00260790">
        <w:rPr>
          <w:rFonts w:ascii="Times New Roman" w:hAnsi="Times New Roman"/>
          <w:color w:val="000000" w:themeColor="text1"/>
        </w:rPr>
        <w:t>5</w:t>
      </w:r>
      <w:r w:rsidRPr="00260790">
        <w:rPr>
          <w:rFonts w:ascii="Times New Roman" w:hAnsi="Times New Roman"/>
          <w:color w:val="000000" w:themeColor="text1"/>
        </w:rPr>
        <w:t xml:space="preserve"> bassins d'écrêtement et d'infiltration d’une capacité totale de 215725 m3, y compris revêtements en perrés maçonnées sur les talus au droit des rampes d’accès, enrochements de protection en entrée et sortie des ouvrages, réglage des bassins, travaux de plantation, etc. ;</w:t>
      </w:r>
    </w:p>
    <w:p w14:paraId="696A3415" w14:textId="2F23E1E7" w:rsidR="00794AD0" w:rsidRPr="00260790" w:rsidRDefault="00794AD0" w:rsidP="001748C6">
      <w:pPr>
        <w:pStyle w:val="Paragraphedeliste"/>
        <w:numPr>
          <w:ilvl w:val="0"/>
          <w:numId w:val="142"/>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l’aménagement</w:t>
      </w:r>
      <w:proofErr w:type="gramEnd"/>
      <w:r w:rsidRPr="00260790">
        <w:rPr>
          <w:rFonts w:ascii="Times New Roman" w:hAnsi="Times New Roman"/>
          <w:color w:val="000000" w:themeColor="text1"/>
        </w:rPr>
        <w:t xml:space="preserve"> de chemin de ronde piétonnier en pavés autour des 1</w:t>
      </w:r>
      <w:r w:rsidR="00B6303A" w:rsidRPr="00260790">
        <w:rPr>
          <w:rFonts w:ascii="Times New Roman" w:hAnsi="Times New Roman"/>
          <w:color w:val="000000" w:themeColor="text1"/>
        </w:rPr>
        <w:t>5</w:t>
      </w:r>
      <w:r w:rsidRPr="00260790">
        <w:rPr>
          <w:rFonts w:ascii="Times New Roman" w:hAnsi="Times New Roman"/>
          <w:color w:val="000000" w:themeColor="text1"/>
        </w:rPr>
        <w:t xml:space="preserve"> bassins</w:t>
      </w:r>
      <w:r w:rsidR="00B91D59">
        <w:rPr>
          <w:rFonts w:ascii="Times New Roman" w:hAnsi="Times New Roman"/>
          <w:color w:val="000000" w:themeColor="text1"/>
        </w:rPr>
        <w:t xml:space="preserve"> </w:t>
      </w:r>
      <w:r w:rsidRPr="00260790">
        <w:rPr>
          <w:rFonts w:ascii="Times New Roman" w:hAnsi="Times New Roman"/>
          <w:color w:val="000000" w:themeColor="text1"/>
        </w:rPr>
        <w:t>;</w:t>
      </w:r>
    </w:p>
    <w:p w14:paraId="2A5CF0F5" w14:textId="77777777" w:rsidR="00794AD0" w:rsidRPr="00260790" w:rsidRDefault="00794AD0" w:rsidP="001748C6">
      <w:pPr>
        <w:pStyle w:val="Paragraphedeliste"/>
        <w:numPr>
          <w:ilvl w:val="0"/>
          <w:numId w:val="142"/>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l’aménagement</w:t>
      </w:r>
      <w:proofErr w:type="gramEnd"/>
      <w:r w:rsidRPr="00260790">
        <w:rPr>
          <w:rFonts w:ascii="Times New Roman" w:hAnsi="Times New Roman"/>
          <w:color w:val="000000" w:themeColor="text1"/>
        </w:rPr>
        <w:t xml:space="preserve"> urbain autour des bassins : zones piétonnières, éclairage public photovoltaïque, etc. ;</w:t>
      </w:r>
    </w:p>
    <w:p w14:paraId="4A94ACFD" w14:textId="762CF2CE" w:rsidR="00794AD0" w:rsidRPr="00260790" w:rsidRDefault="00794AD0" w:rsidP="001748C6">
      <w:pPr>
        <w:pStyle w:val="Paragraphedeliste"/>
        <w:numPr>
          <w:ilvl w:val="0"/>
          <w:numId w:val="142"/>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la</w:t>
      </w:r>
      <w:proofErr w:type="gramEnd"/>
      <w:r w:rsidRPr="00260790">
        <w:rPr>
          <w:rFonts w:ascii="Times New Roman" w:hAnsi="Times New Roman"/>
          <w:color w:val="000000" w:themeColor="text1"/>
        </w:rPr>
        <w:t xml:space="preserve"> déviation des réseaux des concessionnaires lorsqu’ils sont en conflit avec le </w:t>
      </w:r>
      <w:r w:rsidR="007A0798" w:rsidRPr="00260790">
        <w:rPr>
          <w:rFonts w:ascii="Times New Roman" w:hAnsi="Times New Roman"/>
          <w:color w:val="000000" w:themeColor="text1"/>
        </w:rPr>
        <w:t>réseau de</w:t>
      </w:r>
      <w:r w:rsidRPr="00260790">
        <w:rPr>
          <w:rFonts w:ascii="Times New Roman" w:hAnsi="Times New Roman"/>
          <w:color w:val="000000" w:themeColor="text1"/>
        </w:rPr>
        <w:t xml:space="preserve"> drainage projeté, y compris travaux de reconnaissance selon les normes … ;</w:t>
      </w:r>
    </w:p>
    <w:p w14:paraId="44BD3269" w14:textId="77777777" w:rsidR="00794AD0" w:rsidRPr="00260790" w:rsidRDefault="00794AD0" w:rsidP="001748C6">
      <w:pPr>
        <w:pStyle w:val="Paragraphedeliste"/>
        <w:numPr>
          <w:ilvl w:val="0"/>
          <w:numId w:val="142"/>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la</w:t>
      </w:r>
      <w:proofErr w:type="gramEnd"/>
      <w:r w:rsidRPr="00260790">
        <w:rPr>
          <w:rFonts w:ascii="Times New Roman" w:hAnsi="Times New Roman"/>
          <w:color w:val="000000" w:themeColor="text1"/>
        </w:rPr>
        <w:t xml:space="preserve"> destruction de certains bâtis désaffectés ;</w:t>
      </w:r>
    </w:p>
    <w:p w14:paraId="2943D172" w14:textId="7FA6A514" w:rsidR="00794AD0" w:rsidRPr="00260790" w:rsidRDefault="00794AD0" w:rsidP="001748C6">
      <w:pPr>
        <w:pStyle w:val="Paragraphedeliste"/>
        <w:numPr>
          <w:ilvl w:val="0"/>
          <w:numId w:val="142"/>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la</w:t>
      </w:r>
      <w:proofErr w:type="gramEnd"/>
      <w:r w:rsidRPr="00260790">
        <w:rPr>
          <w:rFonts w:ascii="Times New Roman" w:hAnsi="Times New Roman"/>
          <w:color w:val="000000" w:themeColor="text1"/>
        </w:rPr>
        <w:t xml:space="preserve"> construction de voiries en pavées en accompagnement du projet hydraulique de drainage sur un linéaire total de 1</w:t>
      </w:r>
      <w:r w:rsidR="009F7FCD">
        <w:rPr>
          <w:rFonts w:ascii="Times New Roman" w:hAnsi="Times New Roman"/>
          <w:color w:val="000000" w:themeColor="text1"/>
        </w:rPr>
        <w:t>9</w:t>
      </w:r>
      <w:r w:rsidRPr="00260790">
        <w:rPr>
          <w:rFonts w:ascii="Times New Roman" w:hAnsi="Times New Roman"/>
          <w:color w:val="000000" w:themeColor="text1"/>
        </w:rPr>
        <w:t>.9 km.</w:t>
      </w:r>
    </w:p>
    <w:p w14:paraId="29C6BA16" w14:textId="48817D2A" w:rsidR="00794AD0" w:rsidRPr="00260790" w:rsidRDefault="00794AD0" w:rsidP="001748C6">
      <w:pPr>
        <w:pStyle w:val="Paragraphedeliste"/>
        <w:numPr>
          <w:ilvl w:val="0"/>
          <w:numId w:val="142"/>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l'aménagement</w:t>
      </w:r>
      <w:proofErr w:type="gramEnd"/>
      <w:r w:rsidRPr="00260790">
        <w:rPr>
          <w:rFonts w:ascii="Times New Roman" w:hAnsi="Times New Roman"/>
          <w:color w:val="000000" w:themeColor="text1"/>
        </w:rPr>
        <w:t xml:space="preserve"> de l'exutoire (marigot de Mbao), comprenant l'aménagement des berges, un ouvrage de rejet et une station de pompage</w:t>
      </w:r>
      <w:r w:rsidR="00C76494">
        <w:rPr>
          <w:rFonts w:ascii="Times New Roman" w:hAnsi="Times New Roman"/>
          <w:color w:val="000000" w:themeColor="text1"/>
        </w:rPr>
        <w:t xml:space="preserve"> d’une capacité de </w:t>
      </w:r>
      <w:r w:rsidR="007D12ED">
        <w:rPr>
          <w:rFonts w:ascii="Times New Roman" w:hAnsi="Times New Roman"/>
          <w:color w:val="000000" w:themeColor="text1"/>
        </w:rPr>
        <w:t>1300m</w:t>
      </w:r>
      <w:r w:rsidR="007D12ED" w:rsidRPr="0097258B">
        <w:rPr>
          <w:rFonts w:ascii="Times New Roman" w:hAnsi="Times New Roman"/>
          <w:color w:val="000000" w:themeColor="text1"/>
          <w:vertAlign w:val="superscript"/>
        </w:rPr>
        <w:t>3</w:t>
      </w:r>
      <w:r w:rsidR="007D12ED">
        <w:rPr>
          <w:rFonts w:ascii="Times New Roman" w:hAnsi="Times New Roman"/>
          <w:color w:val="000000" w:themeColor="text1"/>
        </w:rPr>
        <w:t>/h</w:t>
      </w:r>
      <w:r w:rsidRPr="00260790">
        <w:rPr>
          <w:rFonts w:ascii="Times New Roman" w:hAnsi="Times New Roman"/>
          <w:color w:val="000000" w:themeColor="text1"/>
        </w:rPr>
        <w:t>.</w:t>
      </w:r>
    </w:p>
    <w:p w14:paraId="47DDB642" w14:textId="77777777" w:rsidR="00794AD0" w:rsidRPr="00260790" w:rsidRDefault="00794AD0" w:rsidP="001748C6">
      <w:pPr>
        <w:pStyle w:val="Normaltableau0"/>
        <w:numPr>
          <w:ilvl w:val="1"/>
          <w:numId w:val="139"/>
        </w:numPr>
        <w:outlineLvl w:val="1"/>
        <w:rPr>
          <w:rFonts w:ascii="Times New Roman" w:hAnsi="Times New Roman"/>
          <w:b/>
          <w:bCs/>
          <w:sz w:val="22"/>
          <w:szCs w:val="22"/>
        </w:rPr>
      </w:pPr>
      <w:bookmarkStart w:id="58" w:name="_Toc212725082"/>
      <w:r w:rsidRPr="00260790">
        <w:rPr>
          <w:rFonts w:ascii="Times New Roman" w:hAnsi="Times New Roman"/>
          <w:b/>
          <w:bCs/>
          <w:sz w:val="22"/>
          <w:szCs w:val="22"/>
        </w:rPr>
        <w:t>Description des ouvrages à mettre en place</w:t>
      </w:r>
      <w:bookmarkEnd w:id="58"/>
      <w:r w:rsidRPr="00260790">
        <w:rPr>
          <w:rFonts w:ascii="Times New Roman" w:hAnsi="Times New Roman"/>
          <w:b/>
          <w:bCs/>
          <w:sz w:val="22"/>
          <w:szCs w:val="22"/>
        </w:rPr>
        <w:t xml:space="preserve"> </w:t>
      </w:r>
    </w:p>
    <w:p w14:paraId="46E6A8AB" w14:textId="55541931" w:rsidR="00AD5211" w:rsidRPr="00260790" w:rsidRDefault="00AD5211" w:rsidP="001748C6">
      <w:pPr>
        <w:pStyle w:val="Normaltableau0"/>
        <w:numPr>
          <w:ilvl w:val="1"/>
          <w:numId w:val="139"/>
        </w:numPr>
        <w:outlineLvl w:val="1"/>
        <w:rPr>
          <w:rFonts w:ascii="Times New Roman" w:hAnsi="Times New Roman"/>
          <w:b/>
          <w:bCs/>
          <w:sz w:val="22"/>
          <w:szCs w:val="22"/>
        </w:rPr>
      </w:pPr>
      <w:bookmarkStart w:id="59" w:name="_Toc212725083"/>
      <w:r w:rsidRPr="00260790">
        <w:rPr>
          <w:rFonts w:ascii="Times New Roman" w:hAnsi="Times New Roman"/>
          <w:b/>
          <w:bCs/>
          <w:sz w:val="22"/>
          <w:szCs w:val="22"/>
        </w:rPr>
        <w:t>Allotissement des travaux</w:t>
      </w:r>
      <w:bookmarkEnd w:id="59"/>
    </w:p>
    <w:p w14:paraId="1FA5DAC5" w14:textId="2085C516" w:rsidR="00794AD0" w:rsidRPr="00260790" w:rsidRDefault="00794AD0"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travaux ciblés sont constitués de trois </w:t>
      </w:r>
      <w:r w:rsidR="00463A96" w:rsidRPr="00260790">
        <w:rPr>
          <w:rFonts w:ascii="Times New Roman" w:hAnsi="Times New Roman"/>
          <w:color w:val="000000" w:themeColor="text1"/>
        </w:rPr>
        <w:t xml:space="preserve">zones </w:t>
      </w:r>
      <w:r w:rsidR="00A604E6" w:rsidRPr="00260790">
        <w:rPr>
          <w:rFonts w:ascii="Times New Roman" w:hAnsi="Times New Roman"/>
          <w:color w:val="000000" w:themeColor="text1"/>
        </w:rPr>
        <w:t>et résumé dans les tableaux suivants</w:t>
      </w:r>
      <w:r w:rsidR="00447C1D" w:rsidRPr="00260790">
        <w:rPr>
          <w:rFonts w:ascii="Times New Roman" w:hAnsi="Times New Roman"/>
          <w:color w:val="000000" w:themeColor="text1"/>
        </w:rPr>
        <w:t xml:space="preserve"> :</w:t>
      </w:r>
    </w:p>
    <w:p w14:paraId="64C93079" w14:textId="77777777" w:rsidR="008815EA" w:rsidRPr="00260790" w:rsidRDefault="008815EA" w:rsidP="00E20250">
      <w:pPr>
        <w:spacing w:line="240" w:lineRule="auto"/>
        <w:rPr>
          <w:rFonts w:ascii="Times New Roman" w:hAnsi="Times New Roman"/>
        </w:rPr>
      </w:pPr>
      <w:r w:rsidRPr="00260790">
        <w:rPr>
          <w:rFonts w:ascii="Times New Roman" w:hAnsi="Times New Roman"/>
          <w:b/>
          <w:bCs/>
          <w:i/>
          <w:iCs/>
        </w:rPr>
        <w:t>Zone 1</w:t>
      </w:r>
      <w:r w:rsidRPr="00260790">
        <w:rPr>
          <w:rFonts w:ascii="Times New Roman" w:hAnsi="Times New Roman"/>
        </w:rPr>
        <w:t xml:space="preserve"> : Travaux de réalisation d'ouvrages de drainage, de bassins et de voiries dans le bassin versant de Mbao (restant partie nord).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4541B" w:rsidRPr="00260790" w14:paraId="02697A91" w14:textId="77777777" w:rsidTr="0064541B">
        <w:tc>
          <w:tcPr>
            <w:tcW w:w="4531" w:type="dxa"/>
            <w:shd w:val="clear" w:color="auto" w:fill="FFFF00"/>
            <w:vAlign w:val="center"/>
          </w:tcPr>
          <w:p w14:paraId="778DEA56" w14:textId="344ACBF4" w:rsidR="0064541B" w:rsidRPr="00260790" w:rsidRDefault="0064541B" w:rsidP="00E20250">
            <w:pPr>
              <w:spacing w:line="240" w:lineRule="auto"/>
              <w:jc w:val="center"/>
              <w:rPr>
                <w:rFonts w:ascii="Times New Roman" w:hAnsi="Times New Roman"/>
                <w:b/>
                <w:bCs/>
              </w:rPr>
            </w:pPr>
            <w:r w:rsidRPr="00260790">
              <w:rPr>
                <w:rFonts w:ascii="Times New Roman" w:hAnsi="Times New Roman"/>
                <w:b/>
                <w:bCs/>
                <w:sz w:val="22"/>
                <w:szCs w:val="22"/>
              </w:rPr>
              <w:t>Canalisation</w:t>
            </w:r>
            <w:r w:rsidRPr="00260790">
              <w:rPr>
                <w:rFonts w:ascii="Times New Roman" w:hAnsi="Times New Roman"/>
                <w:b/>
                <w:bCs/>
              </w:rPr>
              <w:t>s</w:t>
            </w:r>
          </w:p>
        </w:tc>
        <w:tc>
          <w:tcPr>
            <w:tcW w:w="4531" w:type="dxa"/>
            <w:shd w:val="clear" w:color="auto" w:fill="FFFF00"/>
            <w:vAlign w:val="center"/>
          </w:tcPr>
          <w:p w14:paraId="1A63D184" w14:textId="0C7BB0FE" w:rsidR="0064541B" w:rsidRPr="00260790" w:rsidRDefault="0064541B" w:rsidP="00E20250">
            <w:pPr>
              <w:spacing w:line="240" w:lineRule="auto"/>
              <w:jc w:val="center"/>
              <w:rPr>
                <w:rFonts w:ascii="Times New Roman" w:hAnsi="Times New Roman"/>
                <w:b/>
                <w:bCs/>
              </w:rPr>
            </w:pPr>
            <w:r w:rsidRPr="00260790">
              <w:rPr>
                <w:rFonts w:ascii="Times New Roman" w:hAnsi="Times New Roman"/>
                <w:b/>
                <w:bCs/>
                <w:sz w:val="22"/>
                <w:szCs w:val="22"/>
              </w:rPr>
              <w:t>Bassins</w:t>
            </w:r>
          </w:p>
        </w:tc>
      </w:tr>
      <w:tr w:rsidR="0064541B" w:rsidRPr="00260790" w14:paraId="7C47156F" w14:textId="77777777" w:rsidTr="0064541B">
        <w:trPr>
          <w:trHeight w:val="3590"/>
        </w:trPr>
        <w:tc>
          <w:tcPr>
            <w:tcW w:w="4531" w:type="dxa"/>
            <w:vAlign w:val="center"/>
          </w:tcPr>
          <w:tbl>
            <w:tblPr>
              <w:tblW w:w="3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gridCol w:w="992"/>
              <w:gridCol w:w="992"/>
            </w:tblGrid>
            <w:tr w:rsidR="0064541B" w:rsidRPr="00260790" w14:paraId="366EDA52" w14:textId="77777777" w:rsidTr="0064541B">
              <w:trPr>
                <w:trHeight w:val="300"/>
                <w:jc w:val="center"/>
              </w:trPr>
              <w:tc>
                <w:tcPr>
                  <w:tcW w:w="1555" w:type="dxa"/>
                  <w:shd w:val="clear" w:color="auto" w:fill="C5E0B3" w:themeFill="accent6" w:themeFillTint="66"/>
                  <w:noWrap/>
                  <w:vAlign w:val="bottom"/>
                  <w:hideMark/>
                </w:tcPr>
                <w:p w14:paraId="1AF1160B" w14:textId="77777777" w:rsidR="0064541B" w:rsidRPr="00260790" w:rsidRDefault="0064541B"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Canal</w:t>
                  </w:r>
                </w:p>
              </w:tc>
              <w:tc>
                <w:tcPr>
                  <w:tcW w:w="992" w:type="dxa"/>
                  <w:shd w:val="clear" w:color="auto" w:fill="C5E0B3" w:themeFill="accent6" w:themeFillTint="66"/>
                  <w:noWrap/>
                  <w:vAlign w:val="bottom"/>
                  <w:hideMark/>
                </w:tcPr>
                <w:p w14:paraId="2DE760C4" w14:textId="77777777" w:rsidR="0064541B" w:rsidRPr="00260790" w:rsidRDefault="0064541B"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Unité</w:t>
                  </w:r>
                </w:p>
              </w:tc>
              <w:tc>
                <w:tcPr>
                  <w:tcW w:w="992" w:type="dxa"/>
                  <w:shd w:val="clear" w:color="auto" w:fill="C5E0B3" w:themeFill="accent6" w:themeFillTint="66"/>
                  <w:noWrap/>
                  <w:vAlign w:val="bottom"/>
                  <w:hideMark/>
                </w:tcPr>
                <w:p w14:paraId="2077FE98" w14:textId="77777777" w:rsidR="0064541B" w:rsidRPr="00260790" w:rsidRDefault="0064541B"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Linéaire</w:t>
                  </w:r>
                </w:p>
              </w:tc>
            </w:tr>
            <w:tr w:rsidR="0064541B" w:rsidRPr="00260790" w14:paraId="1A66F638" w14:textId="77777777" w:rsidTr="0064541B">
              <w:trPr>
                <w:trHeight w:val="300"/>
                <w:jc w:val="center"/>
              </w:trPr>
              <w:tc>
                <w:tcPr>
                  <w:tcW w:w="1555" w:type="dxa"/>
                  <w:noWrap/>
                  <w:vAlign w:val="bottom"/>
                  <w:hideMark/>
                </w:tcPr>
                <w:p w14:paraId="55BA521B" w14:textId="77777777" w:rsidR="0064541B" w:rsidRPr="00260790" w:rsidRDefault="0064541B"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Axe1-2x1,5</w:t>
                  </w:r>
                </w:p>
              </w:tc>
              <w:tc>
                <w:tcPr>
                  <w:tcW w:w="992" w:type="dxa"/>
                  <w:noWrap/>
                  <w:vAlign w:val="bottom"/>
                  <w:hideMark/>
                </w:tcPr>
                <w:p w14:paraId="67ECB93C" w14:textId="77777777" w:rsidR="0064541B" w:rsidRPr="00260790" w:rsidRDefault="0064541B" w:rsidP="00E20250">
                  <w:pPr>
                    <w:spacing w:after="0" w:line="240" w:lineRule="auto"/>
                    <w:jc w:val="center"/>
                    <w:rPr>
                      <w:rFonts w:ascii="Times New Roman" w:hAnsi="Times New Roman"/>
                      <w:color w:val="000000"/>
                      <w:lang w:eastAsia="fr-FR"/>
                    </w:rPr>
                  </w:pPr>
                  <w:proofErr w:type="gramStart"/>
                  <w:r w:rsidRPr="00260790">
                    <w:rPr>
                      <w:rFonts w:ascii="Times New Roman" w:hAnsi="Times New Roman"/>
                      <w:color w:val="000000"/>
                      <w:lang w:eastAsia="fr-FR"/>
                    </w:rPr>
                    <w:t>ml</w:t>
                  </w:r>
                  <w:proofErr w:type="gramEnd"/>
                </w:p>
              </w:tc>
              <w:tc>
                <w:tcPr>
                  <w:tcW w:w="992" w:type="dxa"/>
                  <w:noWrap/>
                  <w:vAlign w:val="bottom"/>
                  <w:hideMark/>
                </w:tcPr>
                <w:p w14:paraId="7F8B346B" w14:textId="77777777" w:rsidR="0064541B" w:rsidRPr="00260790" w:rsidRDefault="0064541B"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785</w:t>
                  </w:r>
                </w:p>
              </w:tc>
            </w:tr>
            <w:tr w:rsidR="0064541B" w:rsidRPr="00260790" w14:paraId="3791736E" w14:textId="77777777" w:rsidTr="0064541B">
              <w:trPr>
                <w:trHeight w:val="300"/>
                <w:jc w:val="center"/>
              </w:trPr>
              <w:tc>
                <w:tcPr>
                  <w:tcW w:w="1555" w:type="dxa"/>
                  <w:noWrap/>
                  <w:vAlign w:val="bottom"/>
                  <w:hideMark/>
                </w:tcPr>
                <w:p w14:paraId="7B0073DE" w14:textId="77777777" w:rsidR="0064541B" w:rsidRPr="00260790" w:rsidRDefault="0064541B"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Axe2-2x1,5</w:t>
                  </w:r>
                </w:p>
              </w:tc>
              <w:tc>
                <w:tcPr>
                  <w:tcW w:w="992" w:type="dxa"/>
                  <w:noWrap/>
                  <w:vAlign w:val="bottom"/>
                  <w:hideMark/>
                </w:tcPr>
                <w:p w14:paraId="5B6A0E52" w14:textId="77777777" w:rsidR="0064541B" w:rsidRPr="00260790" w:rsidRDefault="0064541B" w:rsidP="00E20250">
                  <w:pPr>
                    <w:spacing w:after="0" w:line="240" w:lineRule="auto"/>
                    <w:jc w:val="center"/>
                    <w:rPr>
                      <w:rFonts w:ascii="Times New Roman" w:hAnsi="Times New Roman"/>
                      <w:color w:val="000000"/>
                      <w:lang w:eastAsia="fr-FR"/>
                    </w:rPr>
                  </w:pPr>
                  <w:proofErr w:type="gramStart"/>
                  <w:r w:rsidRPr="00260790">
                    <w:rPr>
                      <w:rFonts w:ascii="Times New Roman" w:hAnsi="Times New Roman"/>
                      <w:color w:val="000000"/>
                      <w:lang w:eastAsia="fr-FR"/>
                    </w:rPr>
                    <w:t>ml</w:t>
                  </w:r>
                  <w:proofErr w:type="gramEnd"/>
                </w:p>
              </w:tc>
              <w:tc>
                <w:tcPr>
                  <w:tcW w:w="992" w:type="dxa"/>
                  <w:noWrap/>
                  <w:vAlign w:val="bottom"/>
                  <w:hideMark/>
                </w:tcPr>
                <w:p w14:paraId="0EB4579A" w14:textId="77777777" w:rsidR="0064541B" w:rsidRPr="00260790" w:rsidRDefault="0064541B"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870</w:t>
                  </w:r>
                </w:p>
              </w:tc>
            </w:tr>
            <w:tr w:rsidR="0064541B" w:rsidRPr="00260790" w14:paraId="00BE15A3" w14:textId="77777777" w:rsidTr="0064541B">
              <w:trPr>
                <w:trHeight w:val="300"/>
                <w:jc w:val="center"/>
              </w:trPr>
              <w:tc>
                <w:tcPr>
                  <w:tcW w:w="1555" w:type="dxa"/>
                  <w:noWrap/>
                  <w:vAlign w:val="bottom"/>
                  <w:hideMark/>
                </w:tcPr>
                <w:p w14:paraId="62061D8C" w14:textId="77777777" w:rsidR="0064541B" w:rsidRPr="00260790" w:rsidRDefault="0064541B"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Axe3 -3x1,5</w:t>
                  </w:r>
                </w:p>
              </w:tc>
              <w:tc>
                <w:tcPr>
                  <w:tcW w:w="992" w:type="dxa"/>
                  <w:noWrap/>
                  <w:vAlign w:val="bottom"/>
                  <w:hideMark/>
                </w:tcPr>
                <w:p w14:paraId="1FA874DB" w14:textId="77777777" w:rsidR="0064541B" w:rsidRPr="00260790" w:rsidRDefault="0064541B" w:rsidP="00E20250">
                  <w:pPr>
                    <w:spacing w:after="0" w:line="240" w:lineRule="auto"/>
                    <w:jc w:val="center"/>
                    <w:rPr>
                      <w:rFonts w:ascii="Times New Roman" w:hAnsi="Times New Roman"/>
                      <w:color w:val="000000"/>
                      <w:lang w:eastAsia="fr-FR"/>
                    </w:rPr>
                  </w:pPr>
                  <w:proofErr w:type="gramStart"/>
                  <w:r w:rsidRPr="00260790">
                    <w:rPr>
                      <w:rFonts w:ascii="Times New Roman" w:hAnsi="Times New Roman"/>
                      <w:color w:val="000000"/>
                      <w:lang w:eastAsia="fr-FR"/>
                    </w:rPr>
                    <w:t>ml</w:t>
                  </w:r>
                  <w:proofErr w:type="gramEnd"/>
                </w:p>
              </w:tc>
              <w:tc>
                <w:tcPr>
                  <w:tcW w:w="992" w:type="dxa"/>
                  <w:noWrap/>
                  <w:vAlign w:val="bottom"/>
                  <w:hideMark/>
                </w:tcPr>
                <w:p w14:paraId="1C97A5BD" w14:textId="77777777" w:rsidR="0064541B" w:rsidRPr="00260790" w:rsidRDefault="0064541B"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350</w:t>
                  </w:r>
                </w:p>
              </w:tc>
            </w:tr>
            <w:tr w:rsidR="0064541B" w:rsidRPr="00260790" w14:paraId="7329CA99" w14:textId="77777777" w:rsidTr="0064541B">
              <w:trPr>
                <w:trHeight w:val="300"/>
                <w:jc w:val="center"/>
              </w:trPr>
              <w:tc>
                <w:tcPr>
                  <w:tcW w:w="1555" w:type="dxa"/>
                  <w:noWrap/>
                  <w:vAlign w:val="bottom"/>
                  <w:hideMark/>
                </w:tcPr>
                <w:p w14:paraId="1750B6C1" w14:textId="77777777" w:rsidR="0064541B" w:rsidRPr="00260790" w:rsidRDefault="0064541B"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Axe4-2x1,5</w:t>
                  </w:r>
                </w:p>
              </w:tc>
              <w:tc>
                <w:tcPr>
                  <w:tcW w:w="992" w:type="dxa"/>
                  <w:noWrap/>
                  <w:vAlign w:val="bottom"/>
                  <w:hideMark/>
                </w:tcPr>
                <w:p w14:paraId="0E7FC7DC" w14:textId="77777777" w:rsidR="0064541B" w:rsidRPr="00260790" w:rsidRDefault="0064541B" w:rsidP="00E20250">
                  <w:pPr>
                    <w:spacing w:after="0" w:line="240" w:lineRule="auto"/>
                    <w:jc w:val="center"/>
                    <w:rPr>
                      <w:rFonts w:ascii="Times New Roman" w:hAnsi="Times New Roman"/>
                      <w:color w:val="000000"/>
                      <w:lang w:eastAsia="fr-FR"/>
                    </w:rPr>
                  </w:pPr>
                  <w:proofErr w:type="gramStart"/>
                  <w:r w:rsidRPr="00260790">
                    <w:rPr>
                      <w:rFonts w:ascii="Times New Roman" w:hAnsi="Times New Roman"/>
                      <w:color w:val="000000"/>
                      <w:lang w:eastAsia="fr-FR"/>
                    </w:rPr>
                    <w:t>ml</w:t>
                  </w:r>
                  <w:proofErr w:type="gramEnd"/>
                </w:p>
              </w:tc>
              <w:tc>
                <w:tcPr>
                  <w:tcW w:w="992" w:type="dxa"/>
                  <w:noWrap/>
                  <w:vAlign w:val="bottom"/>
                  <w:hideMark/>
                </w:tcPr>
                <w:p w14:paraId="5722F54F" w14:textId="77777777" w:rsidR="0064541B" w:rsidRPr="00260790" w:rsidRDefault="0064541B"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400</w:t>
                  </w:r>
                </w:p>
              </w:tc>
            </w:tr>
            <w:tr w:rsidR="0064541B" w:rsidRPr="00260790" w14:paraId="2B22C149" w14:textId="77777777" w:rsidTr="0064541B">
              <w:trPr>
                <w:trHeight w:val="300"/>
                <w:jc w:val="center"/>
              </w:trPr>
              <w:tc>
                <w:tcPr>
                  <w:tcW w:w="1555" w:type="dxa"/>
                  <w:noWrap/>
                  <w:vAlign w:val="bottom"/>
                  <w:hideMark/>
                </w:tcPr>
                <w:p w14:paraId="254E5196" w14:textId="77777777" w:rsidR="0064541B" w:rsidRPr="00260790" w:rsidRDefault="0064541B"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Axe5 -3x1,5</w:t>
                  </w:r>
                </w:p>
              </w:tc>
              <w:tc>
                <w:tcPr>
                  <w:tcW w:w="992" w:type="dxa"/>
                  <w:noWrap/>
                  <w:vAlign w:val="bottom"/>
                  <w:hideMark/>
                </w:tcPr>
                <w:p w14:paraId="489CA0AA" w14:textId="77777777" w:rsidR="0064541B" w:rsidRPr="00260790" w:rsidRDefault="0064541B" w:rsidP="00E20250">
                  <w:pPr>
                    <w:spacing w:after="0" w:line="240" w:lineRule="auto"/>
                    <w:jc w:val="center"/>
                    <w:rPr>
                      <w:rFonts w:ascii="Times New Roman" w:hAnsi="Times New Roman"/>
                      <w:color w:val="000000"/>
                      <w:lang w:eastAsia="fr-FR"/>
                    </w:rPr>
                  </w:pPr>
                  <w:proofErr w:type="gramStart"/>
                  <w:r w:rsidRPr="00260790">
                    <w:rPr>
                      <w:rFonts w:ascii="Times New Roman" w:hAnsi="Times New Roman"/>
                      <w:color w:val="000000"/>
                      <w:lang w:eastAsia="fr-FR"/>
                    </w:rPr>
                    <w:t>ml</w:t>
                  </w:r>
                  <w:proofErr w:type="gramEnd"/>
                </w:p>
              </w:tc>
              <w:tc>
                <w:tcPr>
                  <w:tcW w:w="992" w:type="dxa"/>
                  <w:noWrap/>
                  <w:vAlign w:val="bottom"/>
                  <w:hideMark/>
                </w:tcPr>
                <w:p w14:paraId="3BCC63F0" w14:textId="77777777" w:rsidR="0064541B" w:rsidRPr="00260790" w:rsidRDefault="0064541B"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720</w:t>
                  </w:r>
                </w:p>
              </w:tc>
            </w:tr>
            <w:tr w:rsidR="0064541B" w:rsidRPr="00260790" w14:paraId="2E0B9626" w14:textId="77777777" w:rsidTr="0064541B">
              <w:trPr>
                <w:trHeight w:val="300"/>
                <w:jc w:val="center"/>
              </w:trPr>
              <w:tc>
                <w:tcPr>
                  <w:tcW w:w="1555" w:type="dxa"/>
                  <w:noWrap/>
                  <w:vAlign w:val="bottom"/>
                  <w:hideMark/>
                </w:tcPr>
                <w:p w14:paraId="6F5DD1DA" w14:textId="77777777" w:rsidR="0064541B" w:rsidRPr="00260790" w:rsidRDefault="0064541B"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Axe6 -3x1,5</w:t>
                  </w:r>
                </w:p>
              </w:tc>
              <w:tc>
                <w:tcPr>
                  <w:tcW w:w="992" w:type="dxa"/>
                  <w:noWrap/>
                  <w:vAlign w:val="bottom"/>
                  <w:hideMark/>
                </w:tcPr>
                <w:p w14:paraId="7D488B35" w14:textId="77777777" w:rsidR="0064541B" w:rsidRPr="00260790" w:rsidRDefault="0064541B" w:rsidP="00E20250">
                  <w:pPr>
                    <w:spacing w:after="0" w:line="240" w:lineRule="auto"/>
                    <w:jc w:val="center"/>
                    <w:rPr>
                      <w:rFonts w:ascii="Times New Roman" w:hAnsi="Times New Roman"/>
                      <w:color w:val="000000"/>
                      <w:lang w:eastAsia="fr-FR"/>
                    </w:rPr>
                  </w:pPr>
                  <w:proofErr w:type="gramStart"/>
                  <w:r w:rsidRPr="00260790">
                    <w:rPr>
                      <w:rFonts w:ascii="Times New Roman" w:hAnsi="Times New Roman"/>
                      <w:color w:val="000000"/>
                      <w:lang w:eastAsia="fr-FR"/>
                    </w:rPr>
                    <w:t>ml</w:t>
                  </w:r>
                  <w:proofErr w:type="gramEnd"/>
                </w:p>
              </w:tc>
              <w:tc>
                <w:tcPr>
                  <w:tcW w:w="992" w:type="dxa"/>
                  <w:noWrap/>
                  <w:vAlign w:val="bottom"/>
                  <w:hideMark/>
                </w:tcPr>
                <w:p w14:paraId="63116990" w14:textId="77777777" w:rsidR="0064541B" w:rsidRPr="00260790" w:rsidRDefault="0064541B"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480</w:t>
                  </w:r>
                </w:p>
              </w:tc>
            </w:tr>
            <w:tr w:rsidR="0064541B" w:rsidRPr="00260790" w14:paraId="097DC94D" w14:textId="77777777" w:rsidTr="0064541B">
              <w:trPr>
                <w:trHeight w:val="300"/>
                <w:jc w:val="center"/>
              </w:trPr>
              <w:tc>
                <w:tcPr>
                  <w:tcW w:w="1555" w:type="dxa"/>
                  <w:noWrap/>
                  <w:vAlign w:val="bottom"/>
                  <w:hideMark/>
                </w:tcPr>
                <w:p w14:paraId="0D8C0BAC" w14:textId="77777777" w:rsidR="0064541B" w:rsidRPr="00260790" w:rsidRDefault="0064541B"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Axe7 -3x1,5</w:t>
                  </w:r>
                </w:p>
              </w:tc>
              <w:tc>
                <w:tcPr>
                  <w:tcW w:w="992" w:type="dxa"/>
                  <w:noWrap/>
                  <w:vAlign w:val="bottom"/>
                  <w:hideMark/>
                </w:tcPr>
                <w:p w14:paraId="50A86D1F" w14:textId="77777777" w:rsidR="0064541B" w:rsidRPr="00260790" w:rsidRDefault="0064541B" w:rsidP="00E20250">
                  <w:pPr>
                    <w:spacing w:after="0" w:line="240" w:lineRule="auto"/>
                    <w:jc w:val="center"/>
                    <w:rPr>
                      <w:rFonts w:ascii="Times New Roman" w:hAnsi="Times New Roman"/>
                      <w:color w:val="000000"/>
                      <w:lang w:eastAsia="fr-FR"/>
                    </w:rPr>
                  </w:pPr>
                  <w:proofErr w:type="gramStart"/>
                  <w:r w:rsidRPr="00260790">
                    <w:rPr>
                      <w:rFonts w:ascii="Times New Roman" w:hAnsi="Times New Roman"/>
                      <w:color w:val="000000"/>
                      <w:lang w:eastAsia="fr-FR"/>
                    </w:rPr>
                    <w:t>ml</w:t>
                  </w:r>
                  <w:proofErr w:type="gramEnd"/>
                </w:p>
              </w:tc>
              <w:tc>
                <w:tcPr>
                  <w:tcW w:w="992" w:type="dxa"/>
                  <w:noWrap/>
                  <w:vAlign w:val="bottom"/>
                  <w:hideMark/>
                </w:tcPr>
                <w:p w14:paraId="686F1B78" w14:textId="77777777" w:rsidR="0064541B" w:rsidRPr="00260790" w:rsidRDefault="0064541B"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650</w:t>
                  </w:r>
                </w:p>
              </w:tc>
            </w:tr>
            <w:tr w:rsidR="0064541B" w:rsidRPr="00260790" w14:paraId="578E1FDD" w14:textId="77777777" w:rsidTr="0064541B">
              <w:trPr>
                <w:trHeight w:val="300"/>
                <w:jc w:val="center"/>
              </w:trPr>
              <w:tc>
                <w:tcPr>
                  <w:tcW w:w="1555" w:type="dxa"/>
                  <w:noWrap/>
                  <w:vAlign w:val="bottom"/>
                  <w:hideMark/>
                </w:tcPr>
                <w:p w14:paraId="39A0485E" w14:textId="77777777" w:rsidR="0064541B" w:rsidRPr="00260790" w:rsidRDefault="0064541B"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Axe8 -3x1,5</w:t>
                  </w:r>
                </w:p>
              </w:tc>
              <w:tc>
                <w:tcPr>
                  <w:tcW w:w="992" w:type="dxa"/>
                  <w:noWrap/>
                  <w:vAlign w:val="bottom"/>
                  <w:hideMark/>
                </w:tcPr>
                <w:p w14:paraId="55051D3B" w14:textId="77777777" w:rsidR="0064541B" w:rsidRPr="00260790" w:rsidRDefault="0064541B" w:rsidP="00E20250">
                  <w:pPr>
                    <w:spacing w:after="0" w:line="240" w:lineRule="auto"/>
                    <w:jc w:val="center"/>
                    <w:rPr>
                      <w:rFonts w:ascii="Times New Roman" w:hAnsi="Times New Roman"/>
                      <w:color w:val="000000"/>
                      <w:lang w:eastAsia="fr-FR"/>
                    </w:rPr>
                  </w:pPr>
                  <w:proofErr w:type="gramStart"/>
                  <w:r w:rsidRPr="00260790">
                    <w:rPr>
                      <w:rFonts w:ascii="Times New Roman" w:hAnsi="Times New Roman"/>
                      <w:color w:val="000000"/>
                      <w:lang w:eastAsia="fr-FR"/>
                    </w:rPr>
                    <w:t>ml</w:t>
                  </w:r>
                  <w:proofErr w:type="gramEnd"/>
                </w:p>
              </w:tc>
              <w:tc>
                <w:tcPr>
                  <w:tcW w:w="992" w:type="dxa"/>
                  <w:noWrap/>
                  <w:vAlign w:val="bottom"/>
                  <w:hideMark/>
                </w:tcPr>
                <w:p w14:paraId="403F4D88" w14:textId="77777777" w:rsidR="0064541B" w:rsidRPr="00260790" w:rsidRDefault="0064541B"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415</w:t>
                  </w:r>
                </w:p>
              </w:tc>
            </w:tr>
            <w:tr w:rsidR="0064541B" w:rsidRPr="00260790" w14:paraId="56ED91C4" w14:textId="77777777" w:rsidTr="0064541B">
              <w:trPr>
                <w:trHeight w:val="290"/>
                <w:jc w:val="center"/>
              </w:trPr>
              <w:tc>
                <w:tcPr>
                  <w:tcW w:w="1555" w:type="dxa"/>
                  <w:noWrap/>
                  <w:vAlign w:val="bottom"/>
                  <w:hideMark/>
                </w:tcPr>
                <w:p w14:paraId="026949BD" w14:textId="77777777" w:rsidR="0064541B" w:rsidRPr="00260790" w:rsidRDefault="0064541B"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Axe9 -3x1,5</w:t>
                  </w:r>
                </w:p>
              </w:tc>
              <w:tc>
                <w:tcPr>
                  <w:tcW w:w="992" w:type="dxa"/>
                  <w:noWrap/>
                  <w:vAlign w:val="bottom"/>
                  <w:hideMark/>
                </w:tcPr>
                <w:p w14:paraId="1C3E9315" w14:textId="77777777" w:rsidR="0064541B" w:rsidRPr="00260790" w:rsidRDefault="0064541B" w:rsidP="00E20250">
                  <w:pPr>
                    <w:spacing w:after="0" w:line="240" w:lineRule="auto"/>
                    <w:jc w:val="center"/>
                    <w:rPr>
                      <w:rFonts w:ascii="Times New Roman" w:hAnsi="Times New Roman"/>
                      <w:color w:val="000000"/>
                      <w:lang w:eastAsia="fr-FR"/>
                    </w:rPr>
                  </w:pPr>
                  <w:proofErr w:type="gramStart"/>
                  <w:r w:rsidRPr="00260790">
                    <w:rPr>
                      <w:rFonts w:ascii="Times New Roman" w:hAnsi="Times New Roman"/>
                      <w:color w:val="000000"/>
                      <w:lang w:eastAsia="fr-FR"/>
                    </w:rPr>
                    <w:t>ml</w:t>
                  </w:r>
                  <w:proofErr w:type="gramEnd"/>
                </w:p>
              </w:tc>
              <w:tc>
                <w:tcPr>
                  <w:tcW w:w="992" w:type="dxa"/>
                  <w:noWrap/>
                  <w:vAlign w:val="bottom"/>
                  <w:hideMark/>
                </w:tcPr>
                <w:p w14:paraId="279D41AF" w14:textId="77777777" w:rsidR="0064541B" w:rsidRPr="00260790" w:rsidRDefault="0064541B"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1 350</w:t>
                  </w:r>
                </w:p>
              </w:tc>
            </w:tr>
            <w:tr w:rsidR="0064541B" w:rsidRPr="00260790" w14:paraId="55A3E551" w14:textId="77777777" w:rsidTr="0064541B">
              <w:trPr>
                <w:trHeight w:val="300"/>
                <w:jc w:val="center"/>
              </w:trPr>
              <w:tc>
                <w:tcPr>
                  <w:tcW w:w="1555" w:type="dxa"/>
                  <w:shd w:val="clear" w:color="auto" w:fill="C5E0B3" w:themeFill="accent6" w:themeFillTint="66"/>
                  <w:noWrap/>
                  <w:vAlign w:val="bottom"/>
                  <w:hideMark/>
                </w:tcPr>
                <w:p w14:paraId="72FDF912" w14:textId="77777777" w:rsidR="0064541B" w:rsidRPr="00260790" w:rsidRDefault="0064541B"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TOTAL Canal</w:t>
                  </w:r>
                </w:p>
              </w:tc>
              <w:tc>
                <w:tcPr>
                  <w:tcW w:w="992" w:type="dxa"/>
                  <w:shd w:val="clear" w:color="auto" w:fill="C5E0B3" w:themeFill="accent6" w:themeFillTint="66"/>
                  <w:noWrap/>
                  <w:vAlign w:val="bottom"/>
                  <w:hideMark/>
                </w:tcPr>
                <w:p w14:paraId="144924D2" w14:textId="77777777" w:rsidR="0064541B" w:rsidRPr="00260790" w:rsidRDefault="0064541B" w:rsidP="00E20250">
                  <w:pPr>
                    <w:spacing w:after="0" w:line="240" w:lineRule="auto"/>
                    <w:jc w:val="center"/>
                    <w:rPr>
                      <w:rFonts w:ascii="Times New Roman" w:hAnsi="Times New Roman"/>
                      <w:color w:val="000000"/>
                      <w:lang w:eastAsia="fr-FR"/>
                    </w:rPr>
                  </w:pPr>
                  <w:proofErr w:type="gramStart"/>
                  <w:r w:rsidRPr="00260790">
                    <w:rPr>
                      <w:rFonts w:ascii="Times New Roman" w:hAnsi="Times New Roman"/>
                      <w:color w:val="000000"/>
                      <w:lang w:eastAsia="fr-FR"/>
                    </w:rPr>
                    <w:t>ml</w:t>
                  </w:r>
                  <w:proofErr w:type="gramEnd"/>
                </w:p>
              </w:tc>
              <w:tc>
                <w:tcPr>
                  <w:tcW w:w="992" w:type="dxa"/>
                  <w:shd w:val="clear" w:color="auto" w:fill="C5E0B3" w:themeFill="accent6" w:themeFillTint="66"/>
                  <w:noWrap/>
                  <w:vAlign w:val="bottom"/>
                  <w:hideMark/>
                </w:tcPr>
                <w:p w14:paraId="55165ABD" w14:textId="77777777" w:rsidR="0064541B" w:rsidRPr="00260790" w:rsidRDefault="0064541B"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6 020</w:t>
                  </w:r>
                </w:p>
              </w:tc>
            </w:tr>
          </w:tbl>
          <w:p w14:paraId="6643A33A" w14:textId="77777777" w:rsidR="0064541B" w:rsidRPr="00260790" w:rsidRDefault="0064541B" w:rsidP="00E20250">
            <w:pPr>
              <w:spacing w:line="240" w:lineRule="auto"/>
              <w:jc w:val="center"/>
              <w:rPr>
                <w:rFonts w:ascii="Times New Roman" w:hAnsi="Times New Roman"/>
                <w:b/>
                <w:bCs/>
              </w:rPr>
            </w:pPr>
          </w:p>
        </w:tc>
        <w:tc>
          <w:tcPr>
            <w:tcW w:w="4531" w:type="dxa"/>
            <w:vAlign w:val="center"/>
          </w:tcPr>
          <w:tbl>
            <w:tblPr>
              <w:tblW w:w="4106" w:type="dxa"/>
              <w:jc w:val="center"/>
              <w:tblCellMar>
                <w:left w:w="70" w:type="dxa"/>
                <w:right w:w="70" w:type="dxa"/>
              </w:tblCellMar>
              <w:tblLook w:val="04A0" w:firstRow="1" w:lastRow="0" w:firstColumn="1" w:lastColumn="0" w:noHBand="0" w:noVBand="1"/>
            </w:tblPr>
            <w:tblGrid>
              <w:gridCol w:w="1129"/>
              <w:gridCol w:w="1560"/>
              <w:gridCol w:w="1417"/>
            </w:tblGrid>
            <w:tr w:rsidR="0064541B" w:rsidRPr="00260790" w14:paraId="6732A849" w14:textId="77777777" w:rsidTr="0064541B">
              <w:trPr>
                <w:trHeight w:val="300"/>
                <w:jc w:val="center"/>
              </w:trPr>
              <w:tc>
                <w:tcPr>
                  <w:tcW w:w="1129"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3CCF2FC7" w14:textId="77777777" w:rsidR="0064541B" w:rsidRPr="00260790" w:rsidRDefault="0064541B" w:rsidP="00E20250">
                  <w:pPr>
                    <w:spacing w:after="0" w:line="240" w:lineRule="auto"/>
                    <w:jc w:val="center"/>
                    <w:rPr>
                      <w:rFonts w:ascii="Times New Roman" w:hAnsi="Times New Roman"/>
                      <w:lang w:eastAsia="fr-FR"/>
                    </w:rPr>
                  </w:pPr>
                  <w:r w:rsidRPr="00260790">
                    <w:rPr>
                      <w:rFonts w:ascii="Times New Roman" w:hAnsi="Times New Roman"/>
                      <w:lang w:eastAsia="fr-FR"/>
                    </w:rPr>
                    <w:t>Bassin</w:t>
                  </w:r>
                </w:p>
              </w:tc>
              <w:tc>
                <w:tcPr>
                  <w:tcW w:w="156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368BC95" w14:textId="77777777" w:rsidR="0064541B" w:rsidRPr="00260790" w:rsidRDefault="0064541B" w:rsidP="00E20250">
                  <w:pPr>
                    <w:spacing w:after="0" w:line="240" w:lineRule="auto"/>
                    <w:jc w:val="center"/>
                    <w:rPr>
                      <w:rFonts w:ascii="Times New Roman" w:hAnsi="Times New Roman"/>
                      <w:lang w:eastAsia="fr-FR"/>
                    </w:rPr>
                  </w:pPr>
                  <w:r w:rsidRPr="00260790">
                    <w:rPr>
                      <w:rFonts w:ascii="Times New Roman" w:hAnsi="Times New Roman"/>
                      <w:lang w:eastAsia="fr-FR"/>
                    </w:rPr>
                    <w:t>Surface m2</w:t>
                  </w:r>
                </w:p>
              </w:tc>
              <w:tc>
                <w:tcPr>
                  <w:tcW w:w="1417"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1417916C" w14:textId="77777777" w:rsidR="0064541B" w:rsidRPr="00260790" w:rsidRDefault="0064541B" w:rsidP="00E20250">
                  <w:pPr>
                    <w:spacing w:after="0" w:line="240" w:lineRule="auto"/>
                    <w:jc w:val="center"/>
                    <w:rPr>
                      <w:rFonts w:ascii="Times New Roman" w:hAnsi="Times New Roman"/>
                      <w:lang w:eastAsia="fr-FR"/>
                    </w:rPr>
                  </w:pPr>
                  <w:r w:rsidRPr="00260790">
                    <w:rPr>
                      <w:rFonts w:ascii="Times New Roman" w:hAnsi="Times New Roman"/>
                      <w:lang w:eastAsia="fr-FR"/>
                    </w:rPr>
                    <w:t>Volume m3</w:t>
                  </w:r>
                </w:p>
              </w:tc>
            </w:tr>
            <w:tr w:rsidR="0064541B" w:rsidRPr="00260790" w14:paraId="1841CD51" w14:textId="77777777" w:rsidTr="0064541B">
              <w:trPr>
                <w:trHeight w:val="300"/>
                <w:jc w:val="center"/>
              </w:trPr>
              <w:tc>
                <w:tcPr>
                  <w:tcW w:w="1129" w:type="dxa"/>
                  <w:tcBorders>
                    <w:top w:val="nil"/>
                    <w:left w:val="single" w:sz="4" w:space="0" w:color="auto"/>
                    <w:bottom w:val="single" w:sz="4" w:space="0" w:color="auto"/>
                    <w:right w:val="single" w:sz="4" w:space="0" w:color="auto"/>
                  </w:tcBorders>
                  <w:noWrap/>
                  <w:vAlign w:val="bottom"/>
                  <w:hideMark/>
                </w:tcPr>
                <w:p w14:paraId="1D6EE05F" w14:textId="77777777" w:rsidR="0064541B" w:rsidRPr="00260790" w:rsidRDefault="0064541B" w:rsidP="00E20250">
                  <w:pPr>
                    <w:spacing w:after="0" w:line="240" w:lineRule="auto"/>
                    <w:jc w:val="center"/>
                    <w:rPr>
                      <w:rFonts w:ascii="Times New Roman" w:hAnsi="Times New Roman"/>
                      <w:lang w:eastAsia="fr-FR"/>
                    </w:rPr>
                  </w:pPr>
                  <w:r w:rsidRPr="00260790">
                    <w:rPr>
                      <w:rFonts w:ascii="Times New Roman" w:hAnsi="Times New Roman"/>
                      <w:lang w:eastAsia="fr-FR"/>
                    </w:rPr>
                    <w:t>B1</w:t>
                  </w:r>
                </w:p>
              </w:tc>
              <w:tc>
                <w:tcPr>
                  <w:tcW w:w="1560" w:type="dxa"/>
                  <w:tcBorders>
                    <w:top w:val="nil"/>
                    <w:left w:val="nil"/>
                    <w:bottom w:val="single" w:sz="4" w:space="0" w:color="auto"/>
                    <w:right w:val="single" w:sz="4" w:space="0" w:color="auto"/>
                  </w:tcBorders>
                  <w:noWrap/>
                  <w:vAlign w:val="bottom"/>
                  <w:hideMark/>
                </w:tcPr>
                <w:p w14:paraId="41A26CE9" w14:textId="74BED13A" w:rsidR="0064541B" w:rsidRPr="00260790" w:rsidRDefault="0064541B" w:rsidP="00E20250">
                  <w:pPr>
                    <w:spacing w:after="0" w:line="240" w:lineRule="auto"/>
                    <w:jc w:val="center"/>
                    <w:rPr>
                      <w:rFonts w:ascii="Times New Roman" w:hAnsi="Times New Roman"/>
                      <w:lang w:eastAsia="fr-FR"/>
                    </w:rPr>
                  </w:pPr>
                  <w:r w:rsidRPr="00260790">
                    <w:rPr>
                      <w:rFonts w:ascii="Times New Roman" w:hAnsi="Times New Roman"/>
                      <w:lang w:eastAsia="fr-FR"/>
                    </w:rPr>
                    <w:t>8 100</w:t>
                  </w:r>
                </w:p>
              </w:tc>
              <w:tc>
                <w:tcPr>
                  <w:tcW w:w="1417" w:type="dxa"/>
                  <w:tcBorders>
                    <w:top w:val="nil"/>
                    <w:left w:val="nil"/>
                    <w:bottom w:val="single" w:sz="4" w:space="0" w:color="auto"/>
                    <w:right w:val="single" w:sz="4" w:space="0" w:color="auto"/>
                  </w:tcBorders>
                  <w:noWrap/>
                  <w:vAlign w:val="bottom"/>
                  <w:hideMark/>
                </w:tcPr>
                <w:p w14:paraId="0F38FCAA" w14:textId="238BC158" w:rsidR="0064541B" w:rsidRPr="00260790" w:rsidRDefault="0064541B" w:rsidP="00E20250">
                  <w:pPr>
                    <w:spacing w:after="0" w:line="240" w:lineRule="auto"/>
                    <w:jc w:val="center"/>
                    <w:rPr>
                      <w:rFonts w:ascii="Times New Roman" w:hAnsi="Times New Roman"/>
                      <w:lang w:eastAsia="fr-FR"/>
                    </w:rPr>
                  </w:pPr>
                  <w:r w:rsidRPr="00260790">
                    <w:rPr>
                      <w:rFonts w:ascii="Times New Roman" w:hAnsi="Times New Roman"/>
                      <w:lang w:eastAsia="fr-FR"/>
                    </w:rPr>
                    <w:t>12 150</w:t>
                  </w:r>
                </w:p>
              </w:tc>
            </w:tr>
            <w:tr w:rsidR="0064541B" w:rsidRPr="00260790" w14:paraId="35652393" w14:textId="77777777" w:rsidTr="0064541B">
              <w:trPr>
                <w:trHeight w:val="300"/>
                <w:jc w:val="center"/>
              </w:trPr>
              <w:tc>
                <w:tcPr>
                  <w:tcW w:w="1129" w:type="dxa"/>
                  <w:tcBorders>
                    <w:top w:val="nil"/>
                    <w:left w:val="single" w:sz="4" w:space="0" w:color="auto"/>
                    <w:bottom w:val="single" w:sz="4" w:space="0" w:color="auto"/>
                    <w:right w:val="single" w:sz="4" w:space="0" w:color="auto"/>
                  </w:tcBorders>
                  <w:noWrap/>
                  <w:vAlign w:val="bottom"/>
                  <w:hideMark/>
                </w:tcPr>
                <w:p w14:paraId="2F6E61D0" w14:textId="77777777" w:rsidR="0064541B" w:rsidRPr="00260790" w:rsidRDefault="0064541B" w:rsidP="00E20250">
                  <w:pPr>
                    <w:spacing w:after="0" w:line="240" w:lineRule="auto"/>
                    <w:jc w:val="center"/>
                    <w:rPr>
                      <w:rFonts w:ascii="Times New Roman" w:hAnsi="Times New Roman"/>
                      <w:lang w:eastAsia="fr-FR"/>
                    </w:rPr>
                  </w:pPr>
                  <w:r w:rsidRPr="00260790">
                    <w:rPr>
                      <w:rFonts w:ascii="Times New Roman" w:hAnsi="Times New Roman"/>
                      <w:lang w:eastAsia="fr-FR"/>
                    </w:rPr>
                    <w:t>B2</w:t>
                  </w:r>
                </w:p>
              </w:tc>
              <w:tc>
                <w:tcPr>
                  <w:tcW w:w="1560" w:type="dxa"/>
                  <w:tcBorders>
                    <w:top w:val="nil"/>
                    <w:left w:val="nil"/>
                    <w:bottom w:val="single" w:sz="4" w:space="0" w:color="auto"/>
                    <w:right w:val="single" w:sz="4" w:space="0" w:color="auto"/>
                  </w:tcBorders>
                  <w:noWrap/>
                  <w:vAlign w:val="bottom"/>
                  <w:hideMark/>
                </w:tcPr>
                <w:p w14:paraId="38AB23AF" w14:textId="65F80754" w:rsidR="0064541B" w:rsidRPr="00260790" w:rsidRDefault="0064541B" w:rsidP="00E20250">
                  <w:pPr>
                    <w:spacing w:after="0" w:line="240" w:lineRule="auto"/>
                    <w:jc w:val="center"/>
                    <w:rPr>
                      <w:rFonts w:ascii="Times New Roman" w:hAnsi="Times New Roman"/>
                      <w:lang w:eastAsia="fr-FR"/>
                    </w:rPr>
                  </w:pPr>
                  <w:r w:rsidRPr="00260790">
                    <w:rPr>
                      <w:rFonts w:ascii="Times New Roman" w:hAnsi="Times New Roman"/>
                      <w:lang w:eastAsia="fr-FR"/>
                    </w:rPr>
                    <w:t>6 200</w:t>
                  </w:r>
                </w:p>
              </w:tc>
              <w:tc>
                <w:tcPr>
                  <w:tcW w:w="1417" w:type="dxa"/>
                  <w:tcBorders>
                    <w:top w:val="nil"/>
                    <w:left w:val="nil"/>
                    <w:bottom w:val="single" w:sz="4" w:space="0" w:color="auto"/>
                    <w:right w:val="single" w:sz="4" w:space="0" w:color="auto"/>
                  </w:tcBorders>
                  <w:noWrap/>
                  <w:vAlign w:val="bottom"/>
                  <w:hideMark/>
                </w:tcPr>
                <w:p w14:paraId="1884B01E" w14:textId="200BC1CB" w:rsidR="0064541B" w:rsidRPr="00260790" w:rsidRDefault="0064541B" w:rsidP="00E20250">
                  <w:pPr>
                    <w:spacing w:after="0" w:line="240" w:lineRule="auto"/>
                    <w:jc w:val="center"/>
                    <w:rPr>
                      <w:rFonts w:ascii="Times New Roman" w:hAnsi="Times New Roman"/>
                      <w:lang w:eastAsia="fr-FR"/>
                    </w:rPr>
                  </w:pPr>
                  <w:r w:rsidRPr="00260790">
                    <w:rPr>
                      <w:rFonts w:ascii="Times New Roman" w:hAnsi="Times New Roman"/>
                      <w:lang w:eastAsia="fr-FR"/>
                    </w:rPr>
                    <w:t>9 300</w:t>
                  </w:r>
                </w:p>
              </w:tc>
            </w:tr>
            <w:tr w:rsidR="0064541B" w:rsidRPr="00260790" w14:paraId="4EC774FA" w14:textId="77777777" w:rsidTr="0064541B">
              <w:trPr>
                <w:trHeight w:val="300"/>
                <w:jc w:val="center"/>
              </w:trPr>
              <w:tc>
                <w:tcPr>
                  <w:tcW w:w="1129" w:type="dxa"/>
                  <w:tcBorders>
                    <w:top w:val="nil"/>
                    <w:left w:val="single" w:sz="4" w:space="0" w:color="auto"/>
                    <w:bottom w:val="single" w:sz="4" w:space="0" w:color="auto"/>
                    <w:right w:val="single" w:sz="4" w:space="0" w:color="auto"/>
                  </w:tcBorders>
                  <w:noWrap/>
                  <w:vAlign w:val="bottom"/>
                  <w:hideMark/>
                </w:tcPr>
                <w:p w14:paraId="04128C7B" w14:textId="77777777" w:rsidR="0064541B" w:rsidRPr="00260790" w:rsidRDefault="0064541B" w:rsidP="00E20250">
                  <w:pPr>
                    <w:spacing w:after="0" w:line="240" w:lineRule="auto"/>
                    <w:jc w:val="center"/>
                    <w:rPr>
                      <w:rFonts w:ascii="Times New Roman" w:hAnsi="Times New Roman"/>
                      <w:lang w:eastAsia="fr-FR"/>
                    </w:rPr>
                  </w:pPr>
                  <w:r w:rsidRPr="00260790">
                    <w:rPr>
                      <w:rFonts w:ascii="Times New Roman" w:hAnsi="Times New Roman"/>
                      <w:lang w:eastAsia="fr-FR"/>
                    </w:rPr>
                    <w:t>B3</w:t>
                  </w:r>
                </w:p>
              </w:tc>
              <w:tc>
                <w:tcPr>
                  <w:tcW w:w="1560" w:type="dxa"/>
                  <w:tcBorders>
                    <w:top w:val="nil"/>
                    <w:left w:val="nil"/>
                    <w:bottom w:val="single" w:sz="4" w:space="0" w:color="auto"/>
                    <w:right w:val="single" w:sz="4" w:space="0" w:color="auto"/>
                  </w:tcBorders>
                  <w:noWrap/>
                  <w:vAlign w:val="bottom"/>
                  <w:hideMark/>
                </w:tcPr>
                <w:p w14:paraId="56A40880" w14:textId="383ECF4A" w:rsidR="0064541B" w:rsidRPr="00260790" w:rsidRDefault="0064541B" w:rsidP="00E20250">
                  <w:pPr>
                    <w:spacing w:after="0" w:line="240" w:lineRule="auto"/>
                    <w:jc w:val="center"/>
                    <w:rPr>
                      <w:rFonts w:ascii="Times New Roman" w:hAnsi="Times New Roman"/>
                      <w:lang w:eastAsia="fr-FR"/>
                    </w:rPr>
                  </w:pPr>
                  <w:r w:rsidRPr="00260790">
                    <w:rPr>
                      <w:rFonts w:ascii="Times New Roman" w:hAnsi="Times New Roman"/>
                      <w:lang w:eastAsia="fr-FR"/>
                    </w:rPr>
                    <w:t>8 000</w:t>
                  </w:r>
                </w:p>
              </w:tc>
              <w:tc>
                <w:tcPr>
                  <w:tcW w:w="1417" w:type="dxa"/>
                  <w:tcBorders>
                    <w:top w:val="nil"/>
                    <w:left w:val="nil"/>
                    <w:bottom w:val="single" w:sz="4" w:space="0" w:color="auto"/>
                    <w:right w:val="single" w:sz="4" w:space="0" w:color="auto"/>
                  </w:tcBorders>
                  <w:noWrap/>
                  <w:vAlign w:val="bottom"/>
                  <w:hideMark/>
                </w:tcPr>
                <w:p w14:paraId="6DE6EAB8" w14:textId="7A78B80C" w:rsidR="0064541B" w:rsidRPr="00260790" w:rsidRDefault="0064541B" w:rsidP="00E20250">
                  <w:pPr>
                    <w:spacing w:after="0" w:line="240" w:lineRule="auto"/>
                    <w:jc w:val="center"/>
                    <w:rPr>
                      <w:rFonts w:ascii="Times New Roman" w:hAnsi="Times New Roman"/>
                      <w:lang w:eastAsia="fr-FR"/>
                    </w:rPr>
                  </w:pPr>
                  <w:r w:rsidRPr="00260790">
                    <w:rPr>
                      <w:rFonts w:ascii="Times New Roman" w:hAnsi="Times New Roman"/>
                      <w:lang w:eastAsia="fr-FR"/>
                    </w:rPr>
                    <w:t>12 000</w:t>
                  </w:r>
                </w:p>
              </w:tc>
            </w:tr>
            <w:tr w:rsidR="0064541B" w:rsidRPr="00260790" w14:paraId="74210FC4" w14:textId="77777777" w:rsidTr="0064541B">
              <w:trPr>
                <w:trHeight w:val="300"/>
                <w:jc w:val="center"/>
              </w:trPr>
              <w:tc>
                <w:tcPr>
                  <w:tcW w:w="1129" w:type="dxa"/>
                  <w:tcBorders>
                    <w:top w:val="nil"/>
                    <w:left w:val="single" w:sz="4" w:space="0" w:color="auto"/>
                    <w:bottom w:val="single" w:sz="4" w:space="0" w:color="auto"/>
                    <w:right w:val="single" w:sz="4" w:space="0" w:color="auto"/>
                  </w:tcBorders>
                  <w:noWrap/>
                  <w:vAlign w:val="bottom"/>
                  <w:hideMark/>
                </w:tcPr>
                <w:p w14:paraId="54DF7675" w14:textId="77777777" w:rsidR="0064541B" w:rsidRPr="00260790" w:rsidRDefault="0064541B" w:rsidP="00E20250">
                  <w:pPr>
                    <w:spacing w:after="0" w:line="240" w:lineRule="auto"/>
                    <w:jc w:val="center"/>
                    <w:rPr>
                      <w:rFonts w:ascii="Times New Roman" w:hAnsi="Times New Roman"/>
                      <w:lang w:eastAsia="fr-FR"/>
                    </w:rPr>
                  </w:pPr>
                  <w:r w:rsidRPr="00260790">
                    <w:rPr>
                      <w:rFonts w:ascii="Times New Roman" w:hAnsi="Times New Roman"/>
                      <w:lang w:eastAsia="fr-FR"/>
                    </w:rPr>
                    <w:t>B4</w:t>
                  </w:r>
                </w:p>
              </w:tc>
              <w:tc>
                <w:tcPr>
                  <w:tcW w:w="1560" w:type="dxa"/>
                  <w:tcBorders>
                    <w:top w:val="nil"/>
                    <w:left w:val="nil"/>
                    <w:bottom w:val="single" w:sz="4" w:space="0" w:color="auto"/>
                    <w:right w:val="single" w:sz="4" w:space="0" w:color="auto"/>
                  </w:tcBorders>
                  <w:noWrap/>
                  <w:vAlign w:val="bottom"/>
                  <w:hideMark/>
                </w:tcPr>
                <w:p w14:paraId="1BD045F7" w14:textId="316845B3" w:rsidR="0064541B" w:rsidRPr="00260790" w:rsidRDefault="0064541B" w:rsidP="00E20250">
                  <w:pPr>
                    <w:spacing w:after="0" w:line="240" w:lineRule="auto"/>
                    <w:jc w:val="center"/>
                    <w:rPr>
                      <w:rFonts w:ascii="Times New Roman" w:hAnsi="Times New Roman"/>
                      <w:lang w:eastAsia="fr-FR"/>
                    </w:rPr>
                  </w:pPr>
                  <w:r w:rsidRPr="00260790">
                    <w:rPr>
                      <w:rFonts w:ascii="Times New Roman" w:hAnsi="Times New Roman"/>
                      <w:lang w:eastAsia="fr-FR"/>
                    </w:rPr>
                    <w:t>3 000</w:t>
                  </w:r>
                </w:p>
              </w:tc>
              <w:tc>
                <w:tcPr>
                  <w:tcW w:w="1417" w:type="dxa"/>
                  <w:tcBorders>
                    <w:top w:val="nil"/>
                    <w:left w:val="nil"/>
                    <w:bottom w:val="single" w:sz="4" w:space="0" w:color="auto"/>
                    <w:right w:val="single" w:sz="4" w:space="0" w:color="auto"/>
                  </w:tcBorders>
                  <w:noWrap/>
                  <w:vAlign w:val="bottom"/>
                  <w:hideMark/>
                </w:tcPr>
                <w:p w14:paraId="2018D7F2" w14:textId="1C002A0F" w:rsidR="0064541B" w:rsidRPr="00260790" w:rsidRDefault="0064541B" w:rsidP="00E20250">
                  <w:pPr>
                    <w:spacing w:after="0" w:line="240" w:lineRule="auto"/>
                    <w:jc w:val="center"/>
                    <w:rPr>
                      <w:rFonts w:ascii="Times New Roman" w:hAnsi="Times New Roman"/>
                      <w:lang w:eastAsia="fr-FR"/>
                    </w:rPr>
                  </w:pPr>
                  <w:r w:rsidRPr="00260790">
                    <w:rPr>
                      <w:rFonts w:ascii="Times New Roman" w:hAnsi="Times New Roman"/>
                      <w:lang w:eastAsia="fr-FR"/>
                    </w:rPr>
                    <w:t>4 500</w:t>
                  </w:r>
                </w:p>
              </w:tc>
            </w:tr>
            <w:tr w:rsidR="0064541B" w:rsidRPr="00260790" w14:paraId="22838651" w14:textId="77777777" w:rsidTr="0064541B">
              <w:trPr>
                <w:trHeight w:val="300"/>
                <w:jc w:val="center"/>
              </w:trPr>
              <w:tc>
                <w:tcPr>
                  <w:tcW w:w="1129" w:type="dxa"/>
                  <w:tcBorders>
                    <w:top w:val="nil"/>
                    <w:left w:val="single" w:sz="4" w:space="0" w:color="auto"/>
                    <w:bottom w:val="single" w:sz="4" w:space="0" w:color="auto"/>
                    <w:right w:val="single" w:sz="4" w:space="0" w:color="auto"/>
                  </w:tcBorders>
                  <w:noWrap/>
                  <w:vAlign w:val="bottom"/>
                  <w:hideMark/>
                </w:tcPr>
                <w:p w14:paraId="3366BC87" w14:textId="77777777" w:rsidR="0064541B" w:rsidRPr="00260790" w:rsidRDefault="0064541B" w:rsidP="00E20250">
                  <w:pPr>
                    <w:spacing w:after="0" w:line="240" w:lineRule="auto"/>
                    <w:jc w:val="center"/>
                    <w:rPr>
                      <w:rFonts w:ascii="Times New Roman" w:hAnsi="Times New Roman"/>
                      <w:lang w:eastAsia="fr-FR"/>
                    </w:rPr>
                  </w:pPr>
                  <w:r w:rsidRPr="00260790">
                    <w:rPr>
                      <w:rFonts w:ascii="Times New Roman" w:hAnsi="Times New Roman"/>
                      <w:lang w:eastAsia="fr-FR"/>
                    </w:rPr>
                    <w:t>B5</w:t>
                  </w:r>
                </w:p>
              </w:tc>
              <w:tc>
                <w:tcPr>
                  <w:tcW w:w="1560" w:type="dxa"/>
                  <w:tcBorders>
                    <w:top w:val="nil"/>
                    <w:left w:val="nil"/>
                    <w:bottom w:val="single" w:sz="4" w:space="0" w:color="auto"/>
                    <w:right w:val="single" w:sz="4" w:space="0" w:color="auto"/>
                  </w:tcBorders>
                  <w:noWrap/>
                  <w:vAlign w:val="bottom"/>
                  <w:hideMark/>
                </w:tcPr>
                <w:p w14:paraId="075B574C" w14:textId="1820601C" w:rsidR="0064541B" w:rsidRPr="00260790" w:rsidRDefault="0064541B" w:rsidP="00E20250">
                  <w:pPr>
                    <w:spacing w:after="0" w:line="240" w:lineRule="auto"/>
                    <w:jc w:val="center"/>
                    <w:rPr>
                      <w:rFonts w:ascii="Times New Roman" w:hAnsi="Times New Roman"/>
                      <w:lang w:eastAsia="fr-FR"/>
                    </w:rPr>
                  </w:pPr>
                  <w:r w:rsidRPr="00260790">
                    <w:rPr>
                      <w:rFonts w:ascii="Times New Roman" w:hAnsi="Times New Roman"/>
                      <w:lang w:eastAsia="fr-FR"/>
                    </w:rPr>
                    <w:t>3 100</w:t>
                  </w:r>
                </w:p>
              </w:tc>
              <w:tc>
                <w:tcPr>
                  <w:tcW w:w="1417" w:type="dxa"/>
                  <w:tcBorders>
                    <w:top w:val="nil"/>
                    <w:left w:val="nil"/>
                    <w:bottom w:val="single" w:sz="4" w:space="0" w:color="auto"/>
                    <w:right w:val="single" w:sz="4" w:space="0" w:color="auto"/>
                  </w:tcBorders>
                  <w:noWrap/>
                  <w:vAlign w:val="bottom"/>
                  <w:hideMark/>
                </w:tcPr>
                <w:p w14:paraId="5630A053" w14:textId="6C05124B" w:rsidR="0064541B" w:rsidRPr="00260790" w:rsidRDefault="0064541B" w:rsidP="00E20250">
                  <w:pPr>
                    <w:spacing w:after="0" w:line="240" w:lineRule="auto"/>
                    <w:jc w:val="center"/>
                    <w:rPr>
                      <w:rFonts w:ascii="Times New Roman" w:hAnsi="Times New Roman"/>
                      <w:lang w:eastAsia="fr-FR"/>
                    </w:rPr>
                  </w:pPr>
                  <w:r w:rsidRPr="00260790">
                    <w:rPr>
                      <w:rFonts w:ascii="Times New Roman" w:hAnsi="Times New Roman"/>
                      <w:lang w:eastAsia="fr-FR"/>
                    </w:rPr>
                    <w:t>4 650</w:t>
                  </w:r>
                </w:p>
              </w:tc>
            </w:tr>
            <w:tr w:rsidR="0064541B" w:rsidRPr="00260790" w14:paraId="05810A8D" w14:textId="77777777" w:rsidTr="0064541B">
              <w:trPr>
                <w:trHeight w:val="300"/>
                <w:jc w:val="center"/>
              </w:trPr>
              <w:tc>
                <w:tcPr>
                  <w:tcW w:w="1129" w:type="dxa"/>
                  <w:tcBorders>
                    <w:top w:val="nil"/>
                    <w:left w:val="single" w:sz="4" w:space="0" w:color="auto"/>
                    <w:bottom w:val="single" w:sz="4" w:space="0" w:color="auto"/>
                    <w:right w:val="single" w:sz="4" w:space="0" w:color="auto"/>
                  </w:tcBorders>
                  <w:noWrap/>
                  <w:vAlign w:val="bottom"/>
                  <w:hideMark/>
                </w:tcPr>
                <w:p w14:paraId="2AC49610" w14:textId="77777777" w:rsidR="0064541B" w:rsidRPr="00260790" w:rsidRDefault="0064541B" w:rsidP="00E20250">
                  <w:pPr>
                    <w:spacing w:after="0" w:line="240" w:lineRule="auto"/>
                    <w:jc w:val="center"/>
                    <w:rPr>
                      <w:rFonts w:ascii="Times New Roman" w:hAnsi="Times New Roman"/>
                      <w:lang w:eastAsia="fr-FR"/>
                    </w:rPr>
                  </w:pPr>
                  <w:r w:rsidRPr="00260790">
                    <w:rPr>
                      <w:rFonts w:ascii="Times New Roman" w:hAnsi="Times New Roman"/>
                      <w:lang w:eastAsia="fr-FR"/>
                    </w:rPr>
                    <w:t>B6</w:t>
                  </w:r>
                </w:p>
              </w:tc>
              <w:tc>
                <w:tcPr>
                  <w:tcW w:w="1560" w:type="dxa"/>
                  <w:tcBorders>
                    <w:top w:val="nil"/>
                    <w:left w:val="nil"/>
                    <w:bottom w:val="single" w:sz="4" w:space="0" w:color="auto"/>
                    <w:right w:val="single" w:sz="4" w:space="0" w:color="auto"/>
                  </w:tcBorders>
                  <w:noWrap/>
                  <w:vAlign w:val="bottom"/>
                  <w:hideMark/>
                </w:tcPr>
                <w:p w14:paraId="52BDA5F9" w14:textId="03403201" w:rsidR="0064541B" w:rsidRPr="00260790" w:rsidRDefault="0064541B" w:rsidP="00E20250">
                  <w:pPr>
                    <w:spacing w:after="0" w:line="240" w:lineRule="auto"/>
                    <w:jc w:val="center"/>
                    <w:rPr>
                      <w:rFonts w:ascii="Times New Roman" w:hAnsi="Times New Roman"/>
                      <w:lang w:eastAsia="fr-FR"/>
                    </w:rPr>
                  </w:pPr>
                  <w:r w:rsidRPr="00260790">
                    <w:rPr>
                      <w:rFonts w:ascii="Times New Roman" w:hAnsi="Times New Roman"/>
                      <w:lang w:eastAsia="fr-FR"/>
                    </w:rPr>
                    <w:t>10 200</w:t>
                  </w:r>
                </w:p>
              </w:tc>
              <w:tc>
                <w:tcPr>
                  <w:tcW w:w="1417" w:type="dxa"/>
                  <w:tcBorders>
                    <w:top w:val="nil"/>
                    <w:left w:val="nil"/>
                    <w:bottom w:val="single" w:sz="4" w:space="0" w:color="auto"/>
                    <w:right w:val="single" w:sz="4" w:space="0" w:color="auto"/>
                  </w:tcBorders>
                  <w:noWrap/>
                  <w:vAlign w:val="bottom"/>
                  <w:hideMark/>
                </w:tcPr>
                <w:p w14:paraId="50952A35" w14:textId="162B8E9F" w:rsidR="0064541B" w:rsidRPr="00260790" w:rsidRDefault="0064541B" w:rsidP="00E20250">
                  <w:pPr>
                    <w:spacing w:after="0" w:line="240" w:lineRule="auto"/>
                    <w:jc w:val="center"/>
                    <w:rPr>
                      <w:rFonts w:ascii="Times New Roman" w:hAnsi="Times New Roman"/>
                      <w:lang w:eastAsia="fr-FR"/>
                    </w:rPr>
                  </w:pPr>
                  <w:r w:rsidRPr="00260790">
                    <w:rPr>
                      <w:rFonts w:ascii="Times New Roman" w:hAnsi="Times New Roman"/>
                      <w:lang w:eastAsia="fr-FR"/>
                    </w:rPr>
                    <w:t>15 300</w:t>
                  </w:r>
                </w:p>
              </w:tc>
            </w:tr>
            <w:tr w:rsidR="0064541B" w:rsidRPr="00260790" w14:paraId="18980CC0" w14:textId="77777777" w:rsidTr="0064541B">
              <w:trPr>
                <w:trHeight w:val="300"/>
                <w:jc w:val="center"/>
              </w:trPr>
              <w:tc>
                <w:tcPr>
                  <w:tcW w:w="1129"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14:paraId="427E67CA" w14:textId="77777777" w:rsidR="0064541B" w:rsidRPr="00260790" w:rsidRDefault="0064541B" w:rsidP="00E20250">
                  <w:pPr>
                    <w:spacing w:after="0" w:line="240" w:lineRule="auto"/>
                    <w:jc w:val="center"/>
                    <w:rPr>
                      <w:rFonts w:ascii="Times New Roman" w:hAnsi="Times New Roman"/>
                      <w:lang w:eastAsia="fr-FR"/>
                    </w:rPr>
                  </w:pPr>
                  <w:r w:rsidRPr="00260790">
                    <w:rPr>
                      <w:rFonts w:ascii="Times New Roman" w:hAnsi="Times New Roman"/>
                      <w:lang w:eastAsia="fr-FR"/>
                    </w:rPr>
                    <w:t>B7</w:t>
                  </w:r>
                </w:p>
              </w:tc>
              <w:tc>
                <w:tcPr>
                  <w:tcW w:w="1560" w:type="dxa"/>
                  <w:tcBorders>
                    <w:top w:val="nil"/>
                    <w:left w:val="nil"/>
                    <w:bottom w:val="single" w:sz="4" w:space="0" w:color="auto"/>
                    <w:right w:val="single" w:sz="4" w:space="0" w:color="auto"/>
                  </w:tcBorders>
                  <w:shd w:val="clear" w:color="auto" w:fill="BDD6EE" w:themeFill="accent1" w:themeFillTint="66"/>
                  <w:noWrap/>
                  <w:vAlign w:val="bottom"/>
                  <w:hideMark/>
                </w:tcPr>
                <w:p w14:paraId="06607C70" w14:textId="65E63966" w:rsidR="0064541B" w:rsidRPr="00260790" w:rsidRDefault="0064541B" w:rsidP="00E20250">
                  <w:pPr>
                    <w:spacing w:after="0" w:line="240" w:lineRule="auto"/>
                    <w:jc w:val="center"/>
                    <w:rPr>
                      <w:rFonts w:ascii="Times New Roman" w:hAnsi="Times New Roman"/>
                      <w:lang w:eastAsia="fr-FR"/>
                    </w:rPr>
                  </w:pPr>
                  <w:r w:rsidRPr="00260790">
                    <w:rPr>
                      <w:rFonts w:ascii="Times New Roman" w:hAnsi="Times New Roman"/>
                      <w:lang w:eastAsia="fr-FR"/>
                    </w:rPr>
                    <w:t>9 500</w:t>
                  </w:r>
                </w:p>
              </w:tc>
              <w:tc>
                <w:tcPr>
                  <w:tcW w:w="1417" w:type="dxa"/>
                  <w:tcBorders>
                    <w:top w:val="nil"/>
                    <w:left w:val="nil"/>
                    <w:bottom w:val="single" w:sz="4" w:space="0" w:color="auto"/>
                    <w:right w:val="single" w:sz="4" w:space="0" w:color="auto"/>
                  </w:tcBorders>
                  <w:shd w:val="clear" w:color="auto" w:fill="BDD6EE" w:themeFill="accent1" w:themeFillTint="66"/>
                  <w:noWrap/>
                  <w:vAlign w:val="bottom"/>
                  <w:hideMark/>
                </w:tcPr>
                <w:p w14:paraId="3E92962D" w14:textId="25089E4F" w:rsidR="0064541B" w:rsidRPr="00260790" w:rsidRDefault="0064541B" w:rsidP="00E20250">
                  <w:pPr>
                    <w:spacing w:after="0" w:line="240" w:lineRule="auto"/>
                    <w:jc w:val="center"/>
                    <w:rPr>
                      <w:rFonts w:ascii="Times New Roman" w:hAnsi="Times New Roman"/>
                      <w:lang w:eastAsia="fr-FR"/>
                    </w:rPr>
                  </w:pPr>
                  <w:r w:rsidRPr="00260790">
                    <w:rPr>
                      <w:rFonts w:ascii="Times New Roman" w:hAnsi="Times New Roman"/>
                      <w:lang w:eastAsia="fr-FR"/>
                    </w:rPr>
                    <w:t>14 250</w:t>
                  </w:r>
                </w:p>
              </w:tc>
            </w:tr>
          </w:tbl>
          <w:p w14:paraId="4BD9C428" w14:textId="77777777" w:rsidR="0064541B" w:rsidRPr="00260790" w:rsidRDefault="0064541B" w:rsidP="00E20250">
            <w:pPr>
              <w:spacing w:line="240" w:lineRule="auto"/>
              <w:jc w:val="center"/>
              <w:rPr>
                <w:rFonts w:ascii="Times New Roman" w:hAnsi="Times New Roman"/>
                <w:b/>
                <w:bCs/>
              </w:rPr>
            </w:pPr>
          </w:p>
        </w:tc>
      </w:tr>
    </w:tbl>
    <w:p w14:paraId="7708665C" w14:textId="77777777" w:rsidR="00872BB3" w:rsidRPr="00260790" w:rsidRDefault="00872BB3" w:rsidP="00E20250">
      <w:pPr>
        <w:spacing w:line="240" w:lineRule="auto"/>
        <w:rPr>
          <w:rFonts w:ascii="Times New Roman" w:hAnsi="Times New Roman"/>
          <w:b/>
          <w:bCs/>
        </w:rPr>
      </w:pPr>
    </w:p>
    <w:p w14:paraId="2C7176C7" w14:textId="77777777" w:rsidR="00872BB3" w:rsidRPr="00260790" w:rsidRDefault="00872BB3" w:rsidP="00E20250">
      <w:pPr>
        <w:spacing w:line="240" w:lineRule="auto"/>
        <w:rPr>
          <w:rFonts w:ascii="Times New Roman" w:hAnsi="Times New Roman"/>
          <w:b/>
          <w:bCs/>
        </w:rPr>
      </w:pPr>
      <w:r w:rsidRPr="00260790">
        <w:rPr>
          <w:rFonts w:ascii="Times New Roman" w:hAnsi="Times New Roman"/>
          <w:b/>
          <w:bCs/>
        </w:rPr>
        <w:br w:type="page"/>
      </w:r>
    </w:p>
    <w:p w14:paraId="0E92486D" w14:textId="184BBBD4" w:rsidR="008815EA" w:rsidRPr="00260790" w:rsidRDefault="008815EA" w:rsidP="00E20250">
      <w:pPr>
        <w:spacing w:line="240" w:lineRule="auto"/>
        <w:rPr>
          <w:rFonts w:ascii="Times New Roman" w:hAnsi="Times New Roman"/>
        </w:rPr>
      </w:pPr>
      <w:r w:rsidRPr="00260790">
        <w:rPr>
          <w:rFonts w:ascii="Times New Roman" w:hAnsi="Times New Roman"/>
          <w:b/>
          <w:bCs/>
          <w:i/>
          <w:iCs/>
        </w:rPr>
        <w:lastRenderedPageBreak/>
        <w:t>Zone 2</w:t>
      </w:r>
      <w:r w:rsidRPr="00260790">
        <w:rPr>
          <w:rFonts w:ascii="Times New Roman" w:hAnsi="Times New Roman"/>
        </w:rPr>
        <w:t xml:space="preserve"> : Travaux de réalisation d'ouvrages de drainage, de bassins et de voiries dans le bassin versant de Mbao (BV Mbao Sud-Aval autoroute,)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47"/>
      </w:tblGrid>
      <w:tr w:rsidR="00872BB3" w:rsidRPr="00260790" w14:paraId="6DCE3CD2" w14:textId="77777777" w:rsidTr="00872BB3">
        <w:tc>
          <w:tcPr>
            <w:tcW w:w="4815" w:type="dxa"/>
            <w:shd w:val="clear" w:color="auto" w:fill="FFFF00"/>
            <w:vAlign w:val="center"/>
          </w:tcPr>
          <w:p w14:paraId="1A8344A2" w14:textId="7486428A" w:rsidR="00872BB3" w:rsidRPr="00260790" w:rsidRDefault="00872BB3" w:rsidP="00E20250">
            <w:pPr>
              <w:spacing w:line="240" w:lineRule="auto"/>
              <w:jc w:val="center"/>
              <w:rPr>
                <w:rFonts w:ascii="Times New Roman" w:hAnsi="Times New Roman"/>
                <w:b/>
                <w:bCs/>
              </w:rPr>
            </w:pPr>
            <w:r w:rsidRPr="00260790">
              <w:rPr>
                <w:rFonts w:ascii="Times New Roman" w:hAnsi="Times New Roman"/>
                <w:b/>
                <w:bCs/>
                <w:sz w:val="22"/>
                <w:szCs w:val="22"/>
              </w:rPr>
              <w:t>Canalisation</w:t>
            </w:r>
            <w:r w:rsidRPr="00260790">
              <w:rPr>
                <w:rFonts w:ascii="Times New Roman" w:hAnsi="Times New Roman"/>
                <w:b/>
                <w:bCs/>
              </w:rPr>
              <w:t>s</w:t>
            </w:r>
          </w:p>
        </w:tc>
        <w:tc>
          <w:tcPr>
            <w:tcW w:w="4247" w:type="dxa"/>
            <w:shd w:val="clear" w:color="auto" w:fill="FFFF00"/>
            <w:vAlign w:val="center"/>
          </w:tcPr>
          <w:p w14:paraId="38ECC1A9" w14:textId="5DB38E69" w:rsidR="00872BB3" w:rsidRPr="00260790" w:rsidRDefault="00872BB3" w:rsidP="00E20250">
            <w:pPr>
              <w:spacing w:line="240" w:lineRule="auto"/>
              <w:jc w:val="center"/>
              <w:rPr>
                <w:rFonts w:ascii="Times New Roman" w:hAnsi="Times New Roman"/>
                <w:b/>
                <w:bCs/>
              </w:rPr>
            </w:pPr>
            <w:r w:rsidRPr="00260790">
              <w:rPr>
                <w:rFonts w:ascii="Times New Roman" w:hAnsi="Times New Roman"/>
                <w:b/>
                <w:bCs/>
                <w:sz w:val="22"/>
                <w:szCs w:val="22"/>
              </w:rPr>
              <w:t>Bassins</w:t>
            </w:r>
          </w:p>
        </w:tc>
      </w:tr>
      <w:tr w:rsidR="00872BB3" w:rsidRPr="00260790" w14:paraId="2EB47465" w14:textId="77777777" w:rsidTr="00872BB3">
        <w:trPr>
          <w:trHeight w:val="2565"/>
        </w:trPr>
        <w:tc>
          <w:tcPr>
            <w:tcW w:w="4815" w:type="dxa"/>
            <w:vAlign w:val="center"/>
          </w:tcPr>
          <w:tbl>
            <w:tblPr>
              <w:tblW w:w="4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850"/>
              <w:gridCol w:w="873"/>
            </w:tblGrid>
            <w:tr w:rsidR="00872BB3" w:rsidRPr="00260790" w14:paraId="4A5EFB1A" w14:textId="77777777" w:rsidTr="00872BB3">
              <w:trPr>
                <w:trHeight w:val="300"/>
              </w:trPr>
              <w:tc>
                <w:tcPr>
                  <w:tcW w:w="2689" w:type="dxa"/>
                  <w:shd w:val="clear" w:color="auto" w:fill="C5E0B3" w:themeFill="accent6" w:themeFillTint="66"/>
                  <w:noWrap/>
                  <w:vAlign w:val="bottom"/>
                  <w:hideMark/>
                </w:tcPr>
                <w:p w14:paraId="73C0CC68" w14:textId="77777777" w:rsidR="00872BB3" w:rsidRPr="00260790" w:rsidRDefault="00872BB3"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Canal</w:t>
                  </w:r>
                </w:p>
              </w:tc>
              <w:tc>
                <w:tcPr>
                  <w:tcW w:w="850" w:type="dxa"/>
                  <w:shd w:val="clear" w:color="auto" w:fill="C5E0B3" w:themeFill="accent6" w:themeFillTint="66"/>
                  <w:noWrap/>
                  <w:vAlign w:val="bottom"/>
                  <w:hideMark/>
                </w:tcPr>
                <w:p w14:paraId="466EAF96" w14:textId="77777777" w:rsidR="00872BB3" w:rsidRPr="00260790" w:rsidRDefault="00872BB3"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Unité</w:t>
                  </w:r>
                </w:p>
              </w:tc>
              <w:tc>
                <w:tcPr>
                  <w:tcW w:w="873" w:type="dxa"/>
                  <w:shd w:val="clear" w:color="auto" w:fill="C5E0B3" w:themeFill="accent6" w:themeFillTint="66"/>
                  <w:noWrap/>
                  <w:vAlign w:val="bottom"/>
                  <w:hideMark/>
                </w:tcPr>
                <w:p w14:paraId="1F52E66F" w14:textId="77777777" w:rsidR="00872BB3" w:rsidRPr="00260790" w:rsidRDefault="00872BB3"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Linéaire</w:t>
                  </w:r>
                </w:p>
              </w:tc>
            </w:tr>
            <w:tr w:rsidR="00872BB3" w:rsidRPr="00260790" w14:paraId="2AF967D2" w14:textId="77777777" w:rsidTr="00872BB3">
              <w:trPr>
                <w:trHeight w:val="300"/>
              </w:trPr>
              <w:tc>
                <w:tcPr>
                  <w:tcW w:w="2689" w:type="dxa"/>
                  <w:noWrap/>
                  <w:vAlign w:val="bottom"/>
                  <w:hideMark/>
                </w:tcPr>
                <w:p w14:paraId="38D3F8ED" w14:textId="77777777" w:rsidR="00872BB3" w:rsidRPr="00260790" w:rsidRDefault="00872BB3"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Axe1-2x1,5</w:t>
                  </w:r>
                </w:p>
              </w:tc>
              <w:tc>
                <w:tcPr>
                  <w:tcW w:w="850" w:type="dxa"/>
                  <w:noWrap/>
                  <w:vAlign w:val="bottom"/>
                  <w:hideMark/>
                </w:tcPr>
                <w:p w14:paraId="370165D4" w14:textId="77777777" w:rsidR="00872BB3" w:rsidRPr="00260790" w:rsidRDefault="00872BB3" w:rsidP="00E20250">
                  <w:pPr>
                    <w:spacing w:after="0" w:line="240" w:lineRule="auto"/>
                    <w:jc w:val="center"/>
                    <w:rPr>
                      <w:rFonts w:ascii="Times New Roman" w:hAnsi="Times New Roman"/>
                      <w:color w:val="000000"/>
                      <w:lang w:eastAsia="fr-FR"/>
                    </w:rPr>
                  </w:pPr>
                  <w:proofErr w:type="gramStart"/>
                  <w:r w:rsidRPr="00260790">
                    <w:rPr>
                      <w:rFonts w:ascii="Times New Roman" w:hAnsi="Times New Roman"/>
                      <w:color w:val="000000"/>
                      <w:lang w:eastAsia="fr-FR"/>
                    </w:rPr>
                    <w:t>ml</w:t>
                  </w:r>
                  <w:proofErr w:type="gramEnd"/>
                </w:p>
              </w:tc>
              <w:tc>
                <w:tcPr>
                  <w:tcW w:w="873" w:type="dxa"/>
                  <w:noWrap/>
                  <w:vAlign w:val="bottom"/>
                  <w:hideMark/>
                </w:tcPr>
                <w:p w14:paraId="4BAC45AA" w14:textId="77777777" w:rsidR="00872BB3" w:rsidRPr="00260790" w:rsidRDefault="00872BB3" w:rsidP="00E20250">
                  <w:pPr>
                    <w:spacing w:after="0" w:line="240" w:lineRule="auto"/>
                    <w:ind w:right="-93"/>
                    <w:jc w:val="center"/>
                    <w:rPr>
                      <w:rFonts w:ascii="Times New Roman" w:hAnsi="Times New Roman"/>
                      <w:color w:val="000000"/>
                      <w:lang w:eastAsia="fr-FR"/>
                    </w:rPr>
                  </w:pPr>
                  <w:r w:rsidRPr="00260790">
                    <w:rPr>
                      <w:rFonts w:ascii="Times New Roman" w:hAnsi="Times New Roman"/>
                      <w:color w:val="000000"/>
                      <w:lang w:eastAsia="fr-FR"/>
                    </w:rPr>
                    <w:t>450</w:t>
                  </w:r>
                </w:p>
              </w:tc>
            </w:tr>
            <w:tr w:rsidR="00872BB3" w:rsidRPr="00260790" w14:paraId="620D2B79" w14:textId="77777777" w:rsidTr="00872BB3">
              <w:trPr>
                <w:trHeight w:val="300"/>
              </w:trPr>
              <w:tc>
                <w:tcPr>
                  <w:tcW w:w="2689" w:type="dxa"/>
                  <w:noWrap/>
                  <w:vAlign w:val="bottom"/>
                  <w:hideMark/>
                </w:tcPr>
                <w:p w14:paraId="3D10ADB2" w14:textId="77777777" w:rsidR="00872BB3" w:rsidRPr="00260790" w:rsidRDefault="00872BB3"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Axe2-2x1,5</w:t>
                  </w:r>
                </w:p>
              </w:tc>
              <w:tc>
                <w:tcPr>
                  <w:tcW w:w="850" w:type="dxa"/>
                  <w:noWrap/>
                  <w:vAlign w:val="bottom"/>
                  <w:hideMark/>
                </w:tcPr>
                <w:p w14:paraId="43E4474D" w14:textId="77777777" w:rsidR="00872BB3" w:rsidRPr="00260790" w:rsidRDefault="00872BB3" w:rsidP="00E20250">
                  <w:pPr>
                    <w:spacing w:after="0" w:line="240" w:lineRule="auto"/>
                    <w:jc w:val="center"/>
                    <w:rPr>
                      <w:rFonts w:ascii="Times New Roman" w:hAnsi="Times New Roman"/>
                      <w:color w:val="000000"/>
                      <w:lang w:eastAsia="fr-FR"/>
                    </w:rPr>
                  </w:pPr>
                  <w:proofErr w:type="gramStart"/>
                  <w:r w:rsidRPr="00260790">
                    <w:rPr>
                      <w:rFonts w:ascii="Times New Roman" w:hAnsi="Times New Roman"/>
                      <w:color w:val="000000"/>
                      <w:lang w:eastAsia="fr-FR"/>
                    </w:rPr>
                    <w:t>ml</w:t>
                  </w:r>
                  <w:proofErr w:type="gramEnd"/>
                </w:p>
              </w:tc>
              <w:tc>
                <w:tcPr>
                  <w:tcW w:w="873" w:type="dxa"/>
                  <w:noWrap/>
                  <w:vAlign w:val="bottom"/>
                  <w:hideMark/>
                </w:tcPr>
                <w:p w14:paraId="2790334F" w14:textId="77777777" w:rsidR="00872BB3" w:rsidRPr="00260790" w:rsidRDefault="00872BB3" w:rsidP="00E20250">
                  <w:pPr>
                    <w:spacing w:after="0" w:line="240" w:lineRule="auto"/>
                    <w:ind w:right="-93"/>
                    <w:jc w:val="center"/>
                    <w:rPr>
                      <w:rFonts w:ascii="Times New Roman" w:hAnsi="Times New Roman"/>
                      <w:color w:val="000000"/>
                      <w:lang w:eastAsia="fr-FR"/>
                    </w:rPr>
                  </w:pPr>
                  <w:r w:rsidRPr="00260790">
                    <w:rPr>
                      <w:rFonts w:ascii="Times New Roman" w:hAnsi="Times New Roman"/>
                      <w:color w:val="000000"/>
                      <w:lang w:eastAsia="fr-FR"/>
                    </w:rPr>
                    <w:t>1 050</w:t>
                  </w:r>
                </w:p>
              </w:tc>
            </w:tr>
            <w:tr w:rsidR="00872BB3" w:rsidRPr="00260790" w14:paraId="798FB9F3" w14:textId="77777777" w:rsidTr="00872BB3">
              <w:trPr>
                <w:trHeight w:val="300"/>
              </w:trPr>
              <w:tc>
                <w:tcPr>
                  <w:tcW w:w="2689" w:type="dxa"/>
                  <w:noWrap/>
                  <w:vAlign w:val="bottom"/>
                  <w:hideMark/>
                </w:tcPr>
                <w:p w14:paraId="2E49AFA1" w14:textId="77777777" w:rsidR="00872BB3" w:rsidRPr="00260790" w:rsidRDefault="00872BB3"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Axe3 -2x1,5</w:t>
                  </w:r>
                </w:p>
              </w:tc>
              <w:tc>
                <w:tcPr>
                  <w:tcW w:w="850" w:type="dxa"/>
                  <w:noWrap/>
                  <w:vAlign w:val="bottom"/>
                  <w:hideMark/>
                </w:tcPr>
                <w:p w14:paraId="5BE371D4" w14:textId="77777777" w:rsidR="00872BB3" w:rsidRPr="00260790" w:rsidRDefault="00872BB3" w:rsidP="00E20250">
                  <w:pPr>
                    <w:spacing w:after="0" w:line="240" w:lineRule="auto"/>
                    <w:jc w:val="center"/>
                    <w:rPr>
                      <w:rFonts w:ascii="Times New Roman" w:hAnsi="Times New Roman"/>
                      <w:color w:val="000000"/>
                      <w:lang w:eastAsia="fr-FR"/>
                    </w:rPr>
                  </w:pPr>
                  <w:proofErr w:type="gramStart"/>
                  <w:r w:rsidRPr="00260790">
                    <w:rPr>
                      <w:rFonts w:ascii="Times New Roman" w:hAnsi="Times New Roman"/>
                      <w:color w:val="000000"/>
                      <w:lang w:eastAsia="fr-FR"/>
                    </w:rPr>
                    <w:t>ml</w:t>
                  </w:r>
                  <w:proofErr w:type="gramEnd"/>
                </w:p>
              </w:tc>
              <w:tc>
                <w:tcPr>
                  <w:tcW w:w="873" w:type="dxa"/>
                  <w:noWrap/>
                  <w:vAlign w:val="bottom"/>
                  <w:hideMark/>
                </w:tcPr>
                <w:p w14:paraId="3F92B0A7" w14:textId="77777777" w:rsidR="00872BB3" w:rsidRPr="00260790" w:rsidRDefault="00872BB3" w:rsidP="00E20250">
                  <w:pPr>
                    <w:spacing w:after="0" w:line="240" w:lineRule="auto"/>
                    <w:ind w:right="-93"/>
                    <w:jc w:val="center"/>
                    <w:rPr>
                      <w:rFonts w:ascii="Times New Roman" w:hAnsi="Times New Roman"/>
                      <w:color w:val="000000"/>
                      <w:lang w:eastAsia="fr-FR"/>
                    </w:rPr>
                  </w:pPr>
                  <w:r w:rsidRPr="00260790">
                    <w:rPr>
                      <w:rFonts w:ascii="Times New Roman" w:hAnsi="Times New Roman"/>
                      <w:color w:val="000000"/>
                      <w:lang w:eastAsia="fr-FR"/>
                    </w:rPr>
                    <w:t>950</w:t>
                  </w:r>
                </w:p>
              </w:tc>
            </w:tr>
            <w:tr w:rsidR="00872BB3" w:rsidRPr="00260790" w14:paraId="600B06A7" w14:textId="77777777" w:rsidTr="00872BB3">
              <w:trPr>
                <w:trHeight w:val="300"/>
              </w:trPr>
              <w:tc>
                <w:tcPr>
                  <w:tcW w:w="2689" w:type="dxa"/>
                  <w:noWrap/>
                  <w:vAlign w:val="bottom"/>
                  <w:hideMark/>
                </w:tcPr>
                <w:p w14:paraId="19DDA3D4" w14:textId="77777777" w:rsidR="00872BB3" w:rsidRPr="00260790" w:rsidRDefault="00872BB3"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Axe4-3x1,5 (élargissement)</w:t>
                  </w:r>
                </w:p>
              </w:tc>
              <w:tc>
                <w:tcPr>
                  <w:tcW w:w="850" w:type="dxa"/>
                  <w:noWrap/>
                  <w:vAlign w:val="bottom"/>
                  <w:hideMark/>
                </w:tcPr>
                <w:p w14:paraId="66E2BBED" w14:textId="77777777" w:rsidR="00872BB3" w:rsidRPr="00260790" w:rsidRDefault="00872BB3" w:rsidP="00E20250">
                  <w:pPr>
                    <w:spacing w:after="0" w:line="240" w:lineRule="auto"/>
                    <w:jc w:val="center"/>
                    <w:rPr>
                      <w:rFonts w:ascii="Times New Roman" w:hAnsi="Times New Roman"/>
                      <w:color w:val="000000"/>
                      <w:lang w:eastAsia="fr-FR"/>
                    </w:rPr>
                  </w:pPr>
                  <w:proofErr w:type="gramStart"/>
                  <w:r w:rsidRPr="00260790">
                    <w:rPr>
                      <w:rFonts w:ascii="Times New Roman" w:hAnsi="Times New Roman"/>
                      <w:color w:val="000000"/>
                      <w:lang w:eastAsia="fr-FR"/>
                    </w:rPr>
                    <w:t>ml</w:t>
                  </w:r>
                  <w:proofErr w:type="gramEnd"/>
                </w:p>
              </w:tc>
              <w:tc>
                <w:tcPr>
                  <w:tcW w:w="873" w:type="dxa"/>
                  <w:noWrap/>
                  <w:vAlign w:val="bottom"/>
                  <w:hideMark/>
                </w:tcPr>
                <w:p w14:paraId="235070FB" w14:textId="77777777" w:rsidR="00872BB3" w:rsidRPr="00260790" w:rsidRDefault="00872BB3" w:rsidP="00E20250">
                  <w:pPr>
                    <w:spacing w:after="0" w:line="240" w:lineRule="auto"/>
                    <w:ind w:right="-93"/>
                    <w:jc w:val="center"/>
                    <w:rPr>
                      <w:rFonts w:ascii="Times New Roman" w:hAnsi="Times New Roman"/>
                      <w:color w:val="000000"/>
                      <w:lang w:eastAsia="fr-FR"/>
                    </w:rPr>
                  </w:pPr>
                  <w:r w:rsidRPr="00260790">
                    <w:rPr>
                      <w:rFonts w:ascii="Times New Roman" w:hAnsi="Times New Roman"/>
                      <w:color w:val="000000"/>
                      <w:lang w:eastAsia="fr-FR"/>
                    </w:rPr>
                    <w:t>1200</w:t>
                  </w:r>
                </w:p>
              </w:tc>
            </w:tr>
            <w:tr w:rsidR="00872BB3" w:rsidRPr="00260790" w14:paraId="4A772531" w14:textId="77777777" w:rsidTr="00872BB3">
              <w:trPr>
                <w:trHeight w:val="300"/>
              </w:trPr>
              <w:tc>
                <w:tcPr>
                  <w:tcW w:w="2689" w:type="dxa"/>
                  <w:noWrap/>
                  <w:vAlign w:val="bottom"/>
                  <w:hideMark/>
                </w:tcPr>
                <w:p w14:paraId="220B1AB9" w14:textId="77777777" w:rsidR="00872BB3" w:rsidRPr="00260790" w:rsidRDefault="00872BB3"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Axe5 -1x1,5</w:t>
                  </w:r>
                </w:p>
              </w:tc>
              <w:tc>
                <w:tcPr>
                  <w:tcW w:w="850" w:type="dxa"/>
                  <w:noWrap/>
                  <w:vAlign w:val="bottom"/>
                  <w:hideMark/>
                </w:tcPr>
                <w:p w14:paraId="1F0CEDD2" w14:textId="77777777" w:rsidR="00872BB3" w:rsidRPr="00260790" w:rsidRDefault="00872BB3" w:rsidP="00E20250">
                  <w:pPr>
                    <w:spacing w:after="0" w:line="240" w:lineRule="auto"/>
                    <w:jc w:val="center"/>
                    <w:rPr>
                      <w:rFonts w:ascii="Times New Roman" w:hAnsi="Times New Roman"/>
                      <w:color w:val="000000"/>
                      <w:lang w:eastAsia="fr-FR"/>
                    </w:rPr>
                  </w:pPr>
                  <w:proofErr w:type="gramStart"/>
                  <w:r w:rsidRPr="00260790">
                    <w:rPr>
                      <w:rFonts w:ascii="Times New Roman" w:hAnsi="Times New Roman"/>
                      <w:color w:val="000000"/>
                      <w:lang w:eastAsia="fr-FR"/>
                    </w:rPr>
                    <w:t>ml</w:t>
                  </w:r>
                  <w:proofErr w:type="gramEnd"/>
                </w:p>
              </w:tc>
              <w:tc>
                <w:tcPr>
                  <w:tcW w:w="873" w:type="dxa"/>
                  <w:noWrap/>
                  <w:vAlign w:val="bottom"/>
                  <w:hideMark/>
                </w:tcPr>
                <w:p w14:paraId="4E0C571F" w14:textId="77777777" w:rsidR="00872BB3" w:rsidRPr="00260790" w:rsidRDefault="00872BB3" w:rsidP="00E20250">
                  <w:pPr>
                    <w:spacing w:after="0" w:line="240" w:lineRule="auto"/>
                    <w:ind w:right="-93"/>
                    <w:jc w:val="center"/>
                    <w:rPr>
                      <w:rFonts w:ascii="Times New Roman" w:hAnsi="Times New Roman"/>
                      <w:color w:val="000000"/>
                      <w:lang w:eastAsia="fr-FR"/>
                    </w:rPr>
                  </w:pPr>
                  <w:r w:rsidRPr="00260790">
                    <w:rPr>
                      <w:rFonts w:ascii="Times New Roman" w:hAnsi="Times New Roman"/>
                      <w:color w:val="000000"/>
                      <w:lang w:eastAsia="fr-FR"/>
                    </w:rPr>
                    <w:t>820</w:t>
                  </w:r>
                </w:p>
              </w:tc>
            </w:tr>
            <w:tr w:rsidR="00872BB3" w:rsidRPr="00260790" w14:paraId="6C4D9689" w14:textId="77777777" w:rsidTr="00872BB3">
              <w:trPr>
                <w:trHeight w:val="290"/>
              </w:trPr>
              <w:tc>
                <w:tcPr>
                  <w:tcW w:w="2689" w:type="dxa"/>
                  <w:noWrap/>
                  <w:vAlign w:val="bottom"/>
                  <w:hideMark/>
                </w:tcPr>
                <w:p w14:paraId="57DA95FA" w14:textId="77777777" w:rsidR="00872BB3" w:rsidRPr="00260790" w:rsidRDefault="00872BB3"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Axe6 -1x1,5</w:t>
                  </w:r>
                </w:p>
              </w:tc>
              <w:tc>
                <w:tcPr>
                  <w:tcW w:w="850" w:type="dxa"/>
                  <w:noWrap/>
                  <w:vAlign w:val="bottom"/>
                  <w:hideMark/>
                </w:tcPr>
                <w:p w14:paraId="77B8751A" w14:textId="77777777" w:rsidR="00872BB3" w:rsidRPr="00260790" w:rsidRDefault="00872BB3" w:rsidP="00E20250">
                  <w:pPr>
                    <w:spacing w:after="0" w:line="240" w:lineRule="auto"/>
                    <w:jc w:val="center"/>
                    <w:rPr>
                      <w:rFonts w:ascii="Times New Roman" w:hAnsi="Times New Roman"/>
                      <w:color w:val="000000"/>
                      <w:lang w:eastAsia="fr-FR"/>
                    </w:rPr>
                  </w:pPr>
                  <w:proofErr w:type="gramStart"/>
                  <w:r w:rsidRPr="00260790">
                    <w:rPr>
                      <w:rFonts w:ascii="Times New Roman" w:hAnsi="Times New Roman"/>
                      <w:color w:val="000000"/>
                      <w:lang w:eastAsia="fr-FR"/>
                    </w:rPr>
                    <w:t>ml</w:t>
                  </w:r>
                  <w:proofErr w:type="gramEnd"/>
                </w:p>
              </w:tc>
              <w:tc>
                <w:tcPr>
                  <w:tcW w:w="873" w:type="dxa"/>
                  <w:noWrap/>
                  <w:vAlign w:val="bottom"/>
                  <w:hideMark/>
                </w:tcPr>
                <w:p w14:paraId="7A716C1D" w14:textId="77777777" w:rsidR="00872BB3" w:rsidRPr="00260790" w:rsidRDefault="00872BB3" w:rsidP="00E20250">
                  <w:pPr>
                    <w:spacing w:after="0" w:line="240" w:lineRule="auto"/>
                    <w:ind w:right="-93"/>
                    <w:jc w:val="center"/>
                    <w:rPr>
                      <w:rFonts w:ascii="Times New Roman" w:hAnsi="Times New Roman"/>
                      <w:color w:val="000000"/>
                      <w:lang w:eastAsia="fr-FR"/>
                    </w:rPr>
                  </w:pPr>
                  <w:r w:rsidRPr="00260790">
                    <w:rPr>
                      <w:rFonts w:ascii="Times New Roman" w:hAnsi="Times New Roman"/>
                      <w:color w:val="000000"/>
                      <w:lang w:eastAsia="fr-FR"/>
                    </w:rPr>
                    <w:t>500</w:t>
                  </w:r>
                </w:p>
              </w:tc>
            </w:tr>
            <w:tr w:rsidR="00872BB3" w:rsidRPr="00260790" w14:paraId="014C92D3" w14:textId="77777777" w:rsidTr="00872BB3">
              <w:trPr>
                <w:trHeight w:val="300"/>
              </w:trPr>
              <w:tc>
                <w:tcPr>
                  <w:tcW w:w="2689" w:type="dxa"/>
                  <w:shd w:val="clear" w:color="auto" w:fill="C5E0B3" w:themeFill="accent6" w:themeFillTint="66"/>
                  <w:noWrap/>
                  <w:vAlign w:val="bottom"/>
                  <w:hideMark/>
                </w:tcPr>
                <w:p w14:paraId="7794E54D" w14:textId="77777777" w:rsidR="00872BB3" w:rsidRPr="00260790" w:rsidRDefault="00872BB3" w:rsidP="00E20250">
                  <w:pPr>
                    <w:spacing w:after="0" w:line="240" w:lineRule="auto"/>
                    <w:jc w:val="center"/>
                    <w:rPr>
                      <w:rFonts w:ascii="Times New Roman" w:hAnsi="Times New Roman"/>
                      <w:color w:val="000000"/>
                      <w:lang w:eastAsia="fr-FR"/>
                    </w:rPr>
                  </w:pPr>
                  <w:r w:rsidRPr="00260790">
                    <w:rPr>
                      <w:rFonts w:ascii="Times New Roman" w:hAnsi="Times New Roman"/>
                      <w:color w:val="000000"/>
                      <w:lang w:eastAsia="fr-FR"/>
                    </w:rPr>
                    <w:t>TOTAL Canal</w:t>
                  </w:r>
                </w:p>
              </w:tc>
              <w:tc>
                <w:tcPr>
                  <w:tcW w:w="850" w:type="dxa"/>
                  <w:shd w:val="clear" w:color="auto" w:fill="C5E0B3" w:themeFill="accent6" w:themeFillTint="66"/>
                  <w:noWrap/>
                  <w:vAlign w:val="bottom"/>
                  <w:hideMark/>
                </w:tcPr>
                <w:p w14:paraId="262DAB97" w14:textId="77777777" w:rsidR="00872BB3" w:rsidRPr="00260790" w:rsidRDefault="00872BB3" w:rsidP="00E20250">
                  <w:pPr>
                    <w:spacing w:after="0" w:line="240" w:lineRule="auto"/>
                    <w:jc w:val="center"/>
                    <w:rPr>
                      <w:rFonts w:ascii="Times New Roman" w:hAnsi="Times New Roman"/>
                      <w:color w:val="000000"/>
                      <w:lang w:eastAsia="fr-FR"/>
                    </w:rPr>
                  </w:pPr>
                  <w:proofErr w:type="gramStart"/>
                  <w:r w:rsidRPr="00260790">
                    <w:rPr>
                      <w:rFonts w:ascii="Times New Roman" w:hAnsi="Times New Roman"/>
                      <w:color w:val="000000"/>
                      <w:lang w:eastAsia="fr-FR"/>
                    </w:rPr>
                    <w:t>ml</w:t>
                  </w:r>
                  <w:proofErr w:type="gramEnd"/>
                </w:p>
              </w:tc>
              <w:tc>
                <w:tcPr>
                  <w:tcW w:w="873" w:type="dxa"/>
                  <w:shd w:val="clear" w:color="auto" w:fill="C5E0B3" w:themeFill="accent6" w:themeFillTint="66"/>
                  <w:noWrap/>
                  <w:vAlign w:val="bottom"/>
                  <w:hideMark/>
                </w:tcPr>
                <w:p w14:paraId="411C99FF" w14:textId="77777777" w:rsidR="00872BB3" w:rsidRPr="00260790" w:rsidRDefault="00872BB3" w:rsidP="00E20250">
                  <w:pPr>
                    <w:spacing w:after="0" w:line="240" w:lineRule="auto"/>
                    <w:ind w:right="-93"/>
                    <w:jc w:val="center"/>
                    <w:rPr>
                      <w:rFonts w:ascii="Times New Roman" w:hAnsi="Times New Roman"/>
                      <w:color w:val="000000"/>
                      <w:lang w:eastAsia="fr-FR"/>
                    </w:rPr>
                  </w:pPr>
                  <w:r w:rsidRPr="00260790">
                    <w:rPr>
                      <w:rFonts w:ascii="Times New Roman" w:hAnsi="Times New Roman"/>
                      <w:color w:val="000000"/>
                      <w:lang w:eastAsia="fr-FR"/>
                    </w:rPr>
                    <w:t>4 970</w:t>
                  </w:r>
                </w:p>
              </w:tc>
            </w:tr>
          </w:tbl>
          <w:p w14:paraId="40C48EAF" w14:textId="77777777" w:rsidR="00872BB3" w:rsidRPr="00260790" w:rsidRDefault="00872BB3" w:rsidP="00E20250">
            <w:pPr>
              <w:spacing w:line="240" w:lineRule="auto"/>
              <w:jc w:val="center"/>
              <w:rPr>
                <w:rFonts w:ascii="Times New Roman" w:hAnsi="Times New Roman"/>
                <w:b/>
                <w:bCs/>
              </w:rPr>
            </w:pPr>
          </w:p>
        </w:tc>
        <w:tc>
          <w:tcPr>
            <w:tcW w:w="4247" w:type="dxa"/>
            <w:vAlign w:val="center"/>
          </w:tcPr>
          <w:tbl>
            <w:tblPr>
              <w:tblW w:w="3823" w:type="dxa"/>
              <w:tblCellMar>
                <w:left w:w="70" w:type="dxa"/>
                <w:right w:w="70" w:type="dxa"/>
              </w:tblCellMar>
              <w:tblLook w:val="04A0" w:firstRow="1" w:lastRow="0" w:firstColumn="1" w:lastColumn="0" w:noHBand="0" w:noVBand="1"/>
            </w:tblPr>
            <w:tblGrid>
              <w:gridCol w:w="846"/>
              <w:gridCol w:w="1417"/>
              <w:gridCol w:w="1560"/>
            </w:tblGrid>
            <w:tr w:rsidR="00872BB3" w:rsidRPr="00260790" w14:paraId="48F24248" w14:textId="77777777" w:rsidTr="003A0E4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5315EFCD" w14:textId="77777777" w:rsidR="00872BB3" w:rsidRPr="00260790" w:rsidRDefault="00872BB3" w:rsidP="00E20250">
                  <w:pPr>
                    <w:spacing w:after="0" w:line="240" w:lineRule="auto"/>
                    <w:jc w:val="center"/>
                    <w:rPr>
                      <w:rFonts w:ascii="Times New Roman" w:hAnsi="Times New Roman"/>
                      <w:lang w:eastAsia="fr-FR"/>
                    </w:rPr>
                  </w:pPr>
                  <w:r w:rsidRPr="00260790">
                    <w:rPr>
                      <w:rFonts w:ascii="Times New Roman" w:hAnsi="Times New Roman"/>
                      <w:lang w:eastAsia="fr-FR"/>
                    </w:rPr>
                    <w:t>Bassin</w:t>
                  </w:r>
                </w:p>
              </w:tc>
              <w:tc>
                <w:tcPr>
                  <w:tcW w:w="1417"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B9D66F7" w14:textId="77777777" w:rsidR="00872BB3" w:rsidRPr="00260790" w:rsidRDefault="00872BB3" w:rsidP="00E20250">
                  <w:pPr>
                    <w:spacing w:after="0" w:line="240" w:lineRule="auto"/>
                    <w:jc w:val="center"/>
                    <w:rPr>
                      <w:rFonts w:ascii="Times New Roman" w:hAnsi="Times New Roman"/>
                      <w:lang w:eastAsia="fr-FR"/>
                    </w:rPr>
                  </w:pPr>
                  <w:r w:rsidRPr="00260790">
                    <w:rPr>
                      <w:rFonts w:ascii="Times New Roman" w:hAnsi="Times New Roman"/>
                      <w:lang w:eastAsia="fr-FR"/>
                    </w:rPr>
                    <w:t>Surface m2</w:t>
                  </w:r>
                </w:p>
              </w:tc>
              <w:tc>
                <w:tcPr>
                  <w:tcW w:w="156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083BCE4" w14:textId="77777777" w:rsidR="00872BB3" w:rsidRPr="00260790" w:rsidRDefault="00872BB3" w:rsidP="00E20250">
                  <w:pPr>
                    <w:spacing w:after="0" w:line="240" w:lineRule="auto"/>
                    <w:jc w:val="center"/>
                    <w:rPr>
                      <w:rFonts w:ascii="Times New Roman" w:hAnsi="Times New Roman"/>
                      <w:lang w:eastAsia="fr-FR"/>
                    </w:rPr>
                  </w:pPr>
                  <w:r w:rsidRPr="00260790">
                    <w:rPr>
                      <w:rFonts w:ascii="Times New Roman" w:hAnsi="Times New Roman"/>
                      <w:lang w:eastAsia="fr-FR"/>
                    </w:rPr>
                    <w:t>Volume m3</w:t>
                  </w:r>
                </w:p>
              </w:tc>
            </w:tr>
            <w:tr w:rsidR="00872BB3" w:rsidRPr="00260790" w14:paraId="26DB7075" w14:textId="77777777" w:rsidTr="003A0E4A">
              <w:trPr>
                <w:trHeight w:val="300"/>
              </w:trPr>
              <w:tc>
                <w:tcPr>
                  <w:tcW w:w="846" w:type="dxa"/>
                  <w:tcBorders>
                    <w:top w:val="nil"/>
                    <w:left w:val="single" w:sz="4" w:space="0" w:color="auto"/>
                    <w:bottom w:val="single" w:sz="4" w:space="0" w:color="auto"/>
                    <w:right w:val="single" w:sz="4" w:space="0" w:color="auto"/>
                  </w:tcBorders>
                  <w:noWrap/>
                  <w:vAlign w:val="bottom"/>
                  <w:hideMark/>
                </w:tcPr>
                <w:p w14:paraId="10E59AA0" w14:textId="77777777" w:rsidR="00872BB3" w:rsidRPr="00260790" w:rsidRDefault="00872BB3" w:rsidP="00E20250">
                  <w:pPr>
                    <w:spacing w:after="0" w:line="240" w:lineRule="auto"/>
                    <w:jc w:val="center"/>
                    <w:rPr>
                      <w:rFonts w:ascii="Times New Roman" w:hAnsi="Times New Roman"/>
                      <w:lang w:eastAsia="fr-FR"/>
                    </w:rPr>
                  </w:pPr>
                  <w:r w:rsidRPr="00260790">
                    <w:rPr>
                      <w:rFonts w:ascii="Times New Roman" w:hAnsi="Times New Roman"/>
                      <w:lang w:eastAsia="fr-FR"/>
                    </w:rPr>
                    <w:t>B1</w:t>
                  </w:r>
                </w:p>
              </w:tc>
              <w:tc>
                <w:tcPr>
                  <w:tcW w:w="1417" w:type="dxa"/>
                  <w:tcBorders>
                    <w:top w:val="nil"/>
                    <w:left w:val="nil"/>
                    <w:bottom w:val="single" w:sz="4" w:space="0" w:color="auto"/>
                    <w:right w:val="single" w:sz="4" w:space="0" w:color="auto"/>
                  </w:tcBorders>
                  <w:noWrap/>
                  <w:vAlign w:val="bottom"/>
                  <w:hideMark/>
                </w:tcPr>
                <w:p w14:paraId="5369B721" w14:textId="6D3F8971" w:rsidR="00872BB3" w:rsidRPr="00260790" w:rsidRDefault="00872BB3" w:rsidP="00E20250">
                  <w:pPr>
                    <w:spacing w:after="0" w:line="240" w:lineRule="auto"/>
                    <w:jc w:val="center"/>
                    <w:rPr>
                      <w:rFonts w:ascii="Times New Roman" w:hAnsi="Times New Roman"/>
                      <w:lang w:eastAsia="fr-FR"/>
                    </w:rPr>
                  </w:pPr>
                  <w:r w:rsidRPr="00260790">
                    <w:rPr>
                      <w:rFonts w:ascii="Times New Roman" w:hAnsi="Times New Roman"/>
                      <w:lang w:eastAsia="fr-FR"/>
                    </w:rPr>
                    <w:t>1 520</w:t>
                  </w:r>
                </w:p>
              </w:tc>
              <w:tc>
                <w:tcPr>
                  <w:tcW w:w="1560" w:type="dxa"/>
                  <w:tcBorders>
                    <w:top w:val="nil"/>
                    <w:left w:val="nil"/>
                    <w:bottom w:val="single" w:sz="4" w:space="0" w:color="auto"/>
                    <w:right w:val="single" w:sz="4" w:space="0" w:color="auto"/>
                  </w:tcBorders>
                  <w:noWrap/>
                  <w:vAlign w:val="bottom"/>
                  <w:hideMark/>
                </w:tcPr>
                <w:p w14:paraId="19A34003" w14:textId="47E607EC" w:rsidR="00872BB3" w:rsidRPr="00260790" w:rsidRDefault="00872BB3" w:rsidP="00E20250">
                  <w:pPr>
                    <w:spacing w:after="0" w:line="240" w:lineRule="auto"/>
                    <w:jc w:val="center"/>
                    <w:rPr>
                      <w:rFonts w:ascii="Times New Roman" w:hAnsi="Times New Roman"/>
                      <w:lang w:eastAsia="fr-FR"/>
                    </w:rPr>
                  </w:pPr>
                  <w:r w:rsidRPr="00260790">
                    <w:rPr>
                      <w:rFonts w:ascii="Times New Roman" w:hAnsi="Times New Roman"/>
                      <w:lang w:eastAsia="fr-FR"/>
                    </w:rPr>
                    <w:t>2 280</w:t>
                  </w:r>
                </w:p>
              </w:tc>
            </w:tr>
            <w:tr w:rsidR="00872BB3" w:rsidRPr="00260790" w14:paraId="3D466EC9" w14:textId="77777777" w:rsidTr="003A0E4A">
              <w:trPr>
                <w:trHeight w:val="300"/>
              </w:trPr>
              <w:tc>
                <w:tcPr>
                  <w:tcW w:w="846" w:type="dxa"/>
                  <w:tcBorders>
                    <w:top w:val="nil"/>
                    <w:left w:val="single" w:sz="4" w:space="0" w:color="auto"/>
                    <w:bottom w:val="single" w:sz="4" w:space="0" w:color="auto"/>
                    <w:right w:val="single" w:sz="4" w:space="0" w:color="auto"/>
                  </w:tcBorders>
                  <w:noWrap/>
                  <w:vAlign w:val="bottom"/>
                  <w:hideMark/>
                </w:tcPr>
                <w:p w14:paraId="4B760947" w14:textId="77777777" w:rsidR="00872BB3" w:rsidRPr="00260790" w:rsidRDefault="00872BB3" w:rsidP="00E20250">
                  <w:pPr>
                    <w:spacing w:after="0" w:line="240" w:lineRule="auto"/>
                    <w:jc w:val="center"/>
                    <w:rPr>
                      <w:rFonts w:ascii="Times New Roman" w:hAnsi="Times New Roman"/>
                      <w:lang w:eastAsia="fr-FR"/>
                    </w:rPr>
                  </w:pPr>
                  <w:r w:rsidRPr="00260790">
                    <w:rPr>
                      <w:rFonts w:ascii="Times New Roman" w:hAnsi="Times New Roman"/>
                      <w:lang w:eastAsia="fr-FR"/>
                    </w:rPr>
                    <w:t>B2</w:t>
                  </w:r>
                </w:p>
              </w:tc>
              <w:tc>
                <w:tcPr>
                  <w:tcW w:w="1417" w:type="dxa"/>
                  <w:tcBorders>
                    <w:top w:val="nil"/>
                    <w:left w:val="nil"/>
                    <w:bottom w:val="single" w:sz="4" w:space="0" w:color="auto"/>
                    <w:right w:val="single" w:sz="4" w:space="0" w:color="auto"/>
                  </w:tcBorders>
                  <w:noWrap/>
                  <w:vAlign w:val="bottom"/>
                  <w:hideMark/>
                </w:tcPr>
                <w:p w14:paraId="0A4EBB4B" w14:textId="21EB0659" w:rsidR="00872BB3" w:rsidRPr="00260790" w:rsidRDefault="00872BB3" w:rsidP="00E20250">
                  <w:pPr>
                    <w:spacing w:after="0" w:line="240" w:lineRule="auto"/>
                    <w:jc w:val="center"/>
                    <w:rPr>
                      <w:rFonts w:ascii="Times New Roman" w:hAnsi="Times New Roman"/>
                      <w:lang w:eastAsia="fr-FR"/>
                    </w:rPr>
                  </w:pPr>
                  <w:r w:rsidRPr="00260790">
                    <w:rPr>
                      <w:rFonts w:ascii="Times New Roman" w:hAnsi="Times New Roman"/>
                      <w:lang w:eastAsia="fr-FR"/>
                    </w:rPr>
                    <w:t>4 000</w:t>
                  </w:r>
                </w:p>
              </w:tc>
              <w:tc>
                <w:tcPr>
                  <w:tcW w:w="1560" w:type="dxa"/>
                  <w:tcBorders>
                    <w:top w:val="nil"/>
                    <w:left w:val="nil"/>
                    <w:bottom w:val="single" w:sz="4" w:space="0" w:color="auto"/>
                    <w:right w:val="single" w:sz="4" w:space="0" w:color="auto"/>
                  </w:tcBorders>
                  <w:noWrap/>
                  <w:vAlign w:val="bottom"/>
                  <w:hideMark/>
                </w:tcPr>
                <w:p w14:paraId="0973DF33" w14:textId="6FE43242" w:rsidR="00872BB3" w:rsidRPr="00260790" w:rsidRDefault="00872BB3" w:rsidP="00E20250">
                  <w:pPr>
                    <w:spacing w:after="0" w:line="240" w:lineRule="auto"/>
                    <w:jc w:val="center"/>
                    <w:rPr>
                      <w:rFonts w:ascii="Times New Roman" w:hAnsi="Times New Roman"/>
                      <w:lang w:eastAsia="fr-FR"/>
                    </w:rPr>
                  </w:pPr>
                  <w:r w:rsidRPr="00260790">
                    <w:rPr>
                      <w:rFonts w:ascii="Times New Roman" w:hAnsi="Times New Roman"/>
                      <w:lang w:eastAsia="fr-FR"/>
                    </w:rPr>
                    <w:t>6 000</w:t>
                  </w:r>
                </w:p>
              </w:tc>
            </w:tr>
            <w:tr w:rsidR="00872BB3" w:rsidRPr="00260790" w14:paraId="43E01AEE" w14:textId="77777777" w:rsidTr="003A0E4A">
              <w:trPr>
                <w:trHeight w:val="300"/>
              </w:trPr>
              <w:tc>
                <w:tcPr>
                  <w:tcW w:w="846" w:type="dxa"/>
                  <w:tcBorders>
                    <w:top w:val="nil"/>
                    <w:left w:val="single" w:sz="4" w:space="0" w:color="auto"/>
                    <w:bottom w:val="single" w:sz="4" w:space="0" w:color="auto"/>
                    <w:right w:val="single" w:sz="4" w:space="0" w:color="auto"/>
                  </w:tcBorders>
                  <w:noWrap/>
                  <w:vAlign w:val="bottom"/>
                  <w:hideMark/>
                </w:tcPr>
                <w:p w14:paraId="5214E4E4" w14:textId="77777777" w:rsidR="00872BB3" w:rsidRPr="00260790" w:rsidRDefault="00872BB3" w:rsidP="00E20250">
                  <w:pPr>
                    <w:spacing w:after="0" w:line="240" w:lineRule="auto"/>
                    <w:jc w:val="center"/>
                    <w:rPr>
                      <w:rFonts w:ascii="Times New Roman" w:hAnsi="Times New Roman"/>
                      <w:lang w:eastAsia="fr-FR"/>
                    </w:rPr>
                  </w:pPr>
                  <w:r w:rsidRPr="00260790">
                    <w:rPr>
                      <w:rFonts w:ascii="Times New Roman" w:hAnsi="Times New Roman"/>
                      <w:lang w:eastAsia="fr-FR"/>
                    </w:rPr>
                    <w:t>B3</w:t>
                  </w:r>
                </w:p>
              </w:tc>
              <w:tc>
                <w:tcPr>
                  <w:tcW w:w="1417" w:type="dxa"/>
                  <w:tcBorders>
                    <w:top w:val="nil"/>
                    <w:left w:val="nil"/>
                    <w:bottom w:val="single" w:sz="4" w:space="0" w:color="auto"/>
                    <w:right w:val="single" w:sz="4" w:space="0" w:color="auto"/>
                  </w:tcBorders>
                  <w:noWrap/>
                  <w:vAlign w:val="bottom"/>
                  <w:hideMark/>
                </w:tcPr>
                <w:p w14:paraId="069DF0CC" w14:textId="755B1A08" w:rsidR="00872BB3" w:rsidRPr="00260790" w:rsidRDefault="00872BB3" w:rsidP="00E20250">
                  <w:pPr>
                    <w:spacing w:after="0" w:line="240" w:lineRule="auto"/>
                    <w:jc w:val="center"/>
                    <w:rPr>
                      <w:rFonts w:ascii="Times New Roman" w:hAnsi="Times New Roman"/>
                      <w:lang w:eastAsia="fr-FR"/>
                    </w:rPr>
                  </w:pPr>
                  <w:r w:rsidRPr="00260790">
                    <w:rPr>
                      <w:rFonts w:ascii="Times New Roman" w:hAnsi="Times New Roman"/>
                      <w:lang w:eastAsia="fr-FR"/>
                    </w:rPr>
                    <w:t>30 700</w:t>
                  </w:r>
                </w:p>
              </w:tc>
              <w:tc>
                <w:tcPr>
                  <w:tcW w:w="1560" w:type="dxa"/>
                  <w:tcBorders>
                    <w:top w:val="nil"/>
                    <w:left w:val="nil"/>
                    <w:bottom w:val="single" w:sz="4" w:space="0" w:color="auto"/>
                    <w:right w:val="single" w:sz="4" w:space="0" w:color="auto"/>
                  </w:tcBorders>
                  <w:noWrap/>
                  <w:vAlign w:val="bottom"/>
                  <w:hideMark/>
                </w:tcPr>
                <w:p w14:paraId="742B8026" w14:textId="56FDDAEC" w:rsidR="00872BB3" w:rsidRPr="00260790" w:rsidRDefault="00872BB3" w:rsidP="00E20250">
                  <w:pPr>
                    <w:spacing w:after="0" w:line="240" w:lineRule="auto"/>
                    <w:jc w:val="center"/>
                    <w:rPr>
                      <w:rFonts w:ascii="Times New Roman" w:hAnsi="Times New Roman"/>
                      <w:lang w:eastAsia="fr-FR"/>
                    </w:rPr>
                  </w:pPr>
                  <w:r w:rsidRPr="00260790">
                    <w:rPr>
                      <w:rFonts w:ascii="Times New Roman" w:hAnsi="Times New Roman"/>
                      <w:lang w:eastAsia="fr-FR"/>
                    </w:rPr>
                    <w:t>46 050</w:t>
                  </w:r>
                </w:p>
              </w:tc>
            </w:tr>
            <w:tr w:rsidR="00872BB3" w:rsidRPr="00260790" w14:paraId="398522E2" w14:textId="77777777" w:rsidTr="003A0E4A">
              <w:trPr>
                <w:trHeight w:val="300"/>
              </w:trPr>
              <w:tc>
                <w:tcPr>
                  <w:tcW w:w="846" w:type="dxa"/>
                  <w:tcBorders>
                    <w:top w:val="nil"/>
                    <w:left w:val="single" w:sz="4" w:space="0" w:color="auto"/>
                    <w:bottom w:val="single" w:sz="4" w:space="0" w:color="auto"/>
                    <w:right w:val="single" w:sz="4" w:space="0" w:color="auto"/>
                  </w:tcBorders>
                  <w:noWrap/>
                  <w:vAlign w:val="bottom"/>
                  <w:hideMark/>
                </w:tcPr>
                <w:p w14:paraId="0775F04F" w14:textId="77777777" w:rsidR="00872BB3" w:rsidRPr="00260790" w:rsidRDefault="00872BB3" w:rsidP="00E20250">
                  <w:pPr>
                    <w:spacing w:after="0" w:line="240" w:lineRule="auto"/>
                    <w:jc w:val="center"/>
                    <w:rPr>
                      <w:rFonts w:ascii="Times New Roman" w:hAnsi="Times New Roman"/>
                      <w:lang w:eastAsia="fr-FR"/>
                    </w:rPr>
                  </w:pPr>
                  <w:r w:rsidRPr="00260790">
                    <w:rPr>
                      <w:rFonts w:ascii="Times New Roman" w:hAnsi="Times New Roman"/>
                      <w:lang w:eastAsia="fr-FR"/>
                    </w:rPr>
                    <w:t>B4</w:t>
                  </w:r>
                </w:p>
              </w:tc>
              <w:tc>
                <w:tcPr>
                  <w:tcW w:w="1417" w:type="dxa"/>
                  <w:tcBorders>
                    <w:top w:val="nil"/>
                    <w:left w:val="nil"/>
                    <w:bottom w:val="single" w:sz="4" w:space="0" w:color="auto"/>
                    <w:right w:val="single" w:sz="4" w:space="0" w:color="auto"/>
                  </w:tcBorders>
                  <w:noWrap/>
                  <w:vAlign w:val="bottom"/>
                  <w:hideMark/>
                </w:tcPr>
                <w:p w14:paraId="5290C3FD" w14:textId="01499B9F" w:rsidR="00872BB3" w:rsidRPr="00260790" w:rsidRDefault="00872BB3" w:rsidP="00E20250">
                  <w:pPr>
                    <w:spacing w:after="0" w:line="240" w:lineRule="auto"/>
                    <w:jc w:val="center"/>
                    <w:rPr>
                      <w:rFonts w:ascii="Times New Roman" w:hAnsi="Times New Roman"/>
                      <w:lang w:eastAsia="fr-FR"/>
                    </w:rPr>
                  </w:pPr>
                  <w:r w:rsidRPr="00260790">
                    <w:rPr>
                      <w:rFonts w:ascii="Times New Roman" w:hAnsi="Times New Roman"/>
                      <w:lang w:eastAsia="fr-FR"/>
                    </w:rPr>
                    <w:t>10 200</w:t>
                  </w:r>
                </w:p>
              </w:tc>
              <w:tc>
                <w:tcPr>
                  <w:tcW w:w="1560" w:type="dxa"/>
                  <w:tcBorders>
                    <w:top w:val="nil"/>
                    <w:left w:val="nil"/>
                    <w:bottom w:val="single" w:sz="4" w:space="0" w:color="auto"/>
                    <w:right w:val="single" w:sz="4" w:space="0" w:color="auto"/>
                  </w:tcBorders>
                  <w:noWrap/>
                  <w:vAlign w:val="bottom"/>
                  <w:hideMark/>
                </w:tcPr>
                <w:p w14:paraId="16BBB115" w14:textId="62511753" w:rsidR="00872BB3" w:rsidRPr="00260790" w:rsidRDefault="00872BB3" w:rsidP="00E20250">
                  <w:pPr>
                    <w:spacing w:after="0" w:line="240" w:lineRule="auto"/>
                    <w:jc w:val="center"/>
                    <w:rPr>
                      <w:rFonts w:ascii="Times New Roman" w:hAnsi="Times New Roman"/>
                      <w:lang w:eastAsia="fr-FR"/>
                    </w:rPr>
                  </w:pPr>
                  <w:r w:rsidRPr="00260790">
                    <w:rPr>
                      <w:rFonts w:ascii="Times New Roman" w:hAnsi="Times New Roman"/>
                      <w:lang w:eastAsia="fr-FR"/>
                    </w:rPr>
                    <w:t>15 300</w:t>
                  </w:r>
                </w:p>
              </w:tc>
            </w:tr>
            <w:tr w:rsidR="00872BB3" w:rsidRPr="00260790" w14:paraId="64391ADF" w14:textId="77777777" w:rsidTr="003A0E4A">
              <w:trPr>
                <w:trHeight w:val="300"/>
              </w:trPr>
              <w:tc>
                <w:tcPr>
                  <w:tcW w:w="846"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14:paraId="4398110B" w14:textId="77777777" w:rsidR="00872BB3" w:rsidRPr="00260790" w:rsidRDefault="00872BB3" w:rsidP="00E20250">
                  <w:pPr>
                    <w:spacing w:after="0" w:line="240" w:lineRule="auto"/>
                    <w:jc w:val="center"/>
                    <w:rPr>
                      <w:rFonts w:ascii="Times New Roman" w:hAnsi="Times New Roman"/>
                      <w:lang w:eastAsia="fr-FR"/>
                    </w:rPr>
                  </w:pPr>
                  <w:r w:rsidRPr="00260790">
                    <w:rPr>
                      <w:rFonts w:ascii="Times New Roman" w:hAnsi="Times New Roman"/>
                      <w:lang w:eastAsia="fr-FR"/>
                    </w:rPr>
                    <w:t>B5</w:t>
                  </w:r>
                </w:p>
              </w:tc>
              <w:tc>
                <w:tcPr>
                  <w:tcW w:w="1417" w:type="dxa"/>
                  <w:tcBorders>
                    <w:top w:val="nil"/>
                    <w:left w:val="nil"/>
                    <w:bottom w:val="single" w:sz="4" w:space="0" w:color="auto"/>
                    <w:right w:val="single" w:sz="4" w:space="0" w:color="auto"/>
                  </w:tcBorders>
                  <w:shd w:val="clear" w:color="auto" w:fill="BDD6EE" w:themeFill="accent1" w:themeFillTint="66"/>
                  <w:noWrap/>
                  <w:vAlign w:val="bottom"/>
                  <w:hideMark/>
                </w:tcPr>
                <w:p w14:paraId="3BD29DC6" w14:textId="6DF26987" w:rsidR="00872BB3" w:rsidRPr="00260790" w:rsidRDefault="00872BB3" w:rsidP="00E20250">
                  <w:pPr>
                    <w:spacing w:after="0" w:line="240" w:lineRule="auto"/>
                    <w:jc w:val="center"/>
                    <w:rPr>
                      <w:rFonts w:ascii="Times New Roman" w:hAnsi="Times New Roman"/>
                      <w:lang w:eastAsia="fr-FR"/>
                    </w:rPr>
                  </w:pPr>
                  <w:r w:rsidRPr="00260790">
                    <w:rPr>
                      <w:rFonts w:ascii="Times New Roman" w:hAnsi="Times New Roman"/>
                      <w:lang w:eastAsia="fr-FR"/>
                    </w:rPr>
                    <w:t>5 380</w:t>
                  </w:r>
                </w:p>
              </w:tc>
              <w:tc>
                <w:tcPr>
                  <w:tcW w:w="1560" w:type="dxa"/>
                  <w:tcBorders>
                    <w:top w:val="nil"/>
                    <w:left w:val="nil"/>
                    <w:bottom w:val="single" w:sz="4" w:space="0" w:color="auto"/>
                    <w:right w:val="single" w:sz="4" w:space="0" w:color="auto"/>
                  </w:tcBorders>
                  <w:shd w:val="clear" w:color="auto" w:fill="BDD6EE" w:themeFill="accent1" w:themeFillTint="66"/>
                  <w:noWrap/>
                  <w:vAlign w:val="bottom"/>
                  <w:hideMark/>
                </w:tcPr>
                <w:p w14:paraId="19FB9969" w14:textId="04E6F81B" w:rsidR="00872BB3" w:rsidRPr="00260790" w:rsidRDefault="00872BB3" w:rsidP="00E20250">
                  <w:pPr>
                    <w:spacing w:after="0" w:line="240" w:lineRule="auto"/>
                    <w:jc w:val="center"/>
                    <w:rPr>
                      <w:rFonts w:ascii="Times New Roman" w:hAnsi="Times New Roman"/>
                      <w:lang w:eastAsia="fr-FR"/>
                    </w:rPr>
                  </w:pPr>
                  <w:r w:rsidRPr="00260790">
                    <w:rPr>
                      <w:rFonts w:ascii="Times New Roman" w:hAnsi="Times New Roman"/>
                      <w:lang w:eastAsia="fr-FR"/>
                    </w:rPr>
                    <w:t>8 070</w:t>
                  </w:r>
                </w:p>
              </w:tc>
            </w:tr>
          </w:tbl>
          <w:p w14:paraId="4FA2AC2F" w14:textId="77777777" w:rsidR="00872BB3" w:rsidRPr="00260790" w:rsidRDefault="00872BB3" w:rsidP="00E20250">
            <w:pPr>
              <w:spacing w:line="240" w:lineRule="auto"/>
              <w:jc w:val="center"/>
              <w:rPr>
                <w:rFonts w:ascii="Times New Roman" w:hAnsi="Times New Roman"/>
                <w:b/>
                <w:bCs/>
              </w:rPr>
            </w:pPr>
          </w:p>
        </w:tc>
      </w:tr>
    </w:tbl>
    <w:p w14:paraId="1CF1398B" w14:textId="462CF819" w:rsidR="008815EA" w:rsidRPr="00260790" w:rsidRDefault="008815EA" w:rsidP="00E20250">
      <w:pPr>
        <w:spacing w:after="0" w:line="240" w:lineRule="auto"/>
        <w:rPr>
          <w:rFonts w:ascii="Times New Roman" w:hAnsi="Times New Roman"/>
          <w:b/>
          <w:bCs/>
        </w:rPr>
      </w:pPr>
    </w:p>
    <w:p w14:paraId="7E036B0B" w14:textId="4AF6FD00" w:rsidR="008815EA" w:rsidRPr="00260790" w:rsidRDefault="008815EA" w:rsidP="00E20250">
      <w:pPr>
        <w:spacing w:line="240" w:lineRule="auto"/>
        <w:rPr>
          <w:rFonts w:ascii="Times New Roman" w:hAnsi="Times New Roman"/>
        </w:rPr>
      </w:pPr>
      <w:r w:rsidRPr="00260790">
        <w:rPr>
          <w:rFonts w:ascii="Times New Roman" w:hAnsi="Times New Roman"/>
          <w:b/>
          <w:bCs/>
          <w:i/>
          <w:iCs/>
        </w:rPr>
        <w:t>Zone 3</w:t>
      </w:r>
      <w:r w:rsidRPr="00260790">
        <w:rPr>
          <w:rFonts w:ascii="Times New Roman" w:hAnsi="Times New Roman"/>
          <w:i/>
          <w:iCs/>
        </w:rPr>
        <w:t> </w:t>
      </w:r>
      <w:r w:rsidRPr="00260790">
        <w:rPr>
          <w:rFonts w:ascii="Times New Roman" w:hAnsi="Times New Roman"/>
        </w:rPr>
        <w:t>: Travaux de reprofilage et d'aménagement de Marigot de Mbao et de réalisation de l'exutoire du</w:t>
      </w:r>
      <w:r w:rsidR="0029155A" w:rsidRPr="00260790">
        <w:rPr>
          <w:rFonts w:ascii="Times New Roman" w:hAnsi="Times New Roman"/>
        </w:rPr>
        <w:t xml:space="preserve"> </w:t>
      </w:r>
      <w:r w:rsidRPr="00260790">
        <w:rPr>
          <w:rFonts w:ascii="Times New Roman" w:hAnsi="Times New Roman"/>
        </w:rPr>
        <w:t xml:space="preserve">BV de Mbao </w:t>
      </w:r>
    </w:p>
    <w:p w14:paraId="642E874B" w14:textId="3A50C8E3" w:rsidR="008815EA" w:rsidRPr="00260790" w:rsidRDefault="008815EA" w:rsidP="001748C6">
      <w:pPr>
        <w:pStyle w:val="Paragraphedeliste"/>
        <w:numPr>
          <w:ilvl w:val="0"/>
          <w:numId w:val="370"/>
        </w:numPr>
        <w:spacing w:line="240" w:lineRule="auto"/>
        <w:rPr>
          <w:rFonts w:ascii="Times New Roman" w:hAnsi="Times New Roman"/>
          <w:i/>
          <w:iCs/>
        </w:rPr>
      </w:pPr>
      <w:r w:rsidRPr="00260790">
        <w:rPr>
          <w:rFonts w:ascii="Times New Roman" w:hAnsi="Times New Roman"/>
          <w:i/>
          <w:iCs/>
        </w:rPr>
        <w:t xml:space="preserve">Reprofilage et aménagement </w:t>
      </w:r>
      <w:r w:rsidR="00C12D79" w:rsidRPr="00260790">
        <w:rPr>
          <w:rFonts w:ascii="Times New Roman" w:hAnsi="Times New Roman"/>
          <w:i/>
          <w:iCs/>
        </w:rPr>
        <w:t xml:space="preserve">du marigot </w:t>
      </w:r>
      <w:r w:rsidRPr="00260790">
        <w:rPr>
          <w:rFonts w:ascii="Times New Roman" w:hAnsi="Times New Roman"/>
          <w:i/>
          <w:iCs/>
        </w:rPr>
        <w:t xml:space="preserve">sur 2,2 km </w:t>
      </w:r>
    </w:p>
    <w:tbl>
      <w:tblPr>
        <w:tblStyle w:val="Grilledutableau"/>
        <w:tblW w:w="91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36"/>
        <w:gridCol w:w="7163"/>
      </w:tblGrid>
      <w:tr w:rsidR="0029155A" w:rsidRPr="00260790" w14:paraId="33B8E1F8" w14:textId="77777777" w:rsidTr="00872BB3">
        <w:trPr>
          <w:tblHeader/>
        </w:trPr>
        <w:tc>
          <w:tcPr>
            <w:tcW w:w="2036" w:type="dxa"/>
            <w:shd w:val="clear" w:color="auto" w:fill="D9D9D9" w:themeFill="background1" w:themeFillShade="D9"/>
            <w:vAlign w:val="center"/>
          </w:tcPr>
          <w:p w14:paraId="680943A7" w14:textId="125E64C0" w:rsidR="0029155A" w:rsidRPr="00260790" w:rsidRDefault="0029155A" w:rsidP="00E20250">
            <w:pPr>
              <w:spacing w:before="40" w:after="40" w:line="240" w:lineRule="auto"/>
              <w:jc w:val="center"/>
              <w:rPr>
                <w:rFonts w:ascii="Times New Roman" w:hAnsi="Times New Roman"/>
                <w:b/>
                <w:bCs/>
                <w:sz w:val="22"/>
                <w:szCs w:val="22"/>
              </w:rPr>
            </w:pPr>
            <w:proofErr w:type="spellStart"/>
            <w:r w:rsidRPr="00260790">
              <w:rPr>
                <w:rFonts w:ascii="Times New Roman" w:hAnsi="Times New Roman"/>
                <w:b/>
                <w:bCs/>
                <w:sz w:val="22"/>
                <w:szCs w:val="22"/>
              </w:rPr>
              <w:t>Composante</w:t>
            </w:r>
            <w:r w:rsidR="007A0798">
              <w:rPr>
                <w:rFonts w:ascii="Times New Roman" w:hAnsi="Times New Roman"/>
                <w:b/>
                <w:bCs/>
                <w:sz w:val="22"/>
                <w:szCs w:val="22"/>
              </w:rPr>
              <w:t>s</w:t>
            </w:r>
            <w:proofErr w:type="spellEnd"/>
          </w:p>
        </w:tc>
        <w:tc>
          <w:tcPr>
            <w:tcW w:w="7163" w:type="dxa"/>
            <w:shd w:val="clear" w:color="auto" w:fill="D9D9D9" w:themeFill="background1" w:themeFillShade="D9"/>
            <w:vAlign w:val="center"/>
          </w:tcPr>
          <w:p w14:paraId="46753DBA" w14:textId="77777777" w:rsidR="0029155A" w:rsidRPr="00260790" w:rsidRDefault="0029155A" w:rsidP="00E20250">
            <w:pPr>
              <w:spacing w:before="40" w:after="40" w:line="240" w:lineRule="auto"/>
              <w:jc w:val="center"/>
              <w:rPr>
                <w:rFonts w:ascii="Times New Roman" w:hAnsi="Times New Roman"/>
                <w:b/>
                <w:bCs/>
                <w:sz w:val="22"/>
                <w:szCs w:val="22"/>
              </w:rPr>
            </w:pPr>
            <w:r w:rsidRPr="00260790">
              <w:rPr>
                <w:rFonts w:ascii="Times New Roman" w:hAnsi="Times New Roman"/>
                <w:b/>
                <w:bCs/>
                <w:sz w:val="22"/>
                <w:szCs w:val="22"/>
              </w:rPr>
              <w:t>Désignation</w:t>
            </w:r>
          </w:p>
        </w:tc>
      </w:tr>
      <w:tr w:rsidR="0029155A" w:rsidRPr="00260790" w14:paraId="14E8DE68" w14:textId="77777777" w:rsidTr="00872BB3">
        <w:tc>
          <w:tcPr>
            <w:tcW w:w="2036" w:type="dxa"/>
            <w:vMerge w:val="restart"/>
            <w:vAlign w:val="center"/>
          </w:tcPr>
          <w:p w14:paraId="56C1C175" w14:textId="77777777" w:rsidR="0029155A" w:rsidRPr="00260790" w:rsidRDefault="0029155A" w:rsidP="00E20250">
            <w:pPr>
              <w:spacing w:before="40" w:after="40" w:line="240" w:lineRule="auto"/>
              <w:rPr>
                <w:rFonts w:ascii="Times New Roman" w:hAnsi="Times New Roman"/>
                <w:b/>
                <w:bCs/>
                <w:sz w:val="22"/>
                <w:szCs w:val="22"/>
                <w:lang w:val="fr-SN"/>
              </w:rPr>
            </w:pPr>
            <w:r w:rsidRPr="00260790">
              <w:rPr>
                <w:rFonts w:ascii="Times New Roman" w:hAnsi="Times New Roman"/>
                <w:b/>
                <w:bCs/>
                <w:sz w:val="22"/>
                <w:szCs w:val="22"/>
                <w:lang w:val="fr-SN"/>
              </w:rPr>
              <w:t>Reprofilage de l’Axe 1 du Marigot de Mbao</w:t>
            </w:r>
          </w:p>
        </w:tc>
        <w:tc>
          <w:tcPr>
            <w:tcW w:w="7163" w:type="dxa"/>
            <w:vAlign w:val="center"/>
          </w:tcPr>
          <w:p w14:paraId="62278197" w14:textId="77777777" w:rsidR="0029155A" w:rsidRPr="00260790" w:rsidRDefault="0029155A" w:rsidP="00E20250">
            <w:pPr>
              <w:spacing w:before="40" w:after="40" w:line="240" w:lineRule="auto"/>
              <w:rPr>
                <w:rFonts w:ascii="Times New Roman" w:hAnsi="Times New Roman"/>
                <w:sz w:val="22"/>
                <w:szCs w:val="22"/>
                <w:lang w:val="fr-SN"/>
              </w:rPr>
            </w:pPr>
            <w:r w:rsidRPr="00260790">
              <w:rPr>
                <w:rFonts w:ascii="Times New Roman" w:hAnsi="Times New Roman"/>
                <w:sz w:val="22"/>
                <w:szCs w:val="22"/>
                <w:lang w:val="fr-SN"/>
              </w:rPr>
              <w:t>Excavation de sous-sols de plus de 2 m de profondeur.</w:t>
            </w:r>
          </w:p>
        </w:tc>
      </w:tr>
      <w:tr w:rsidR="0029155A" w:rsidRPr="00260790" w14:paraId="44CF08B4" w14:textId="77777777" w:rsidTr="00872BB3">
        <w:tc>
          <w:tcPr>
            <w:tcW w:w="2036" w:type="dxa"/>
            <w:vMerge/>
            <w:vAlign w:val="center"/>
          </w:tcPr>
          <w:p w14:paraId="44A8EA9D" w14:textId="77777777" w:rsidR="0029155A" w:rsidRPr="00260790" w:rsidRDefault="0029155A" w:rsidP="00E20250">
            <w:pPr>
              <w:spacing w:before="40" w:after="40" w:line="240" w:lineRule="auto"/>
              <w:rPr>
                <w:rFonts w:ascii="Times New Roman" w:hAnsi="Times New Roman"/>
                <w:sz w:val="22"/>
                <w:szCs w:val="22"/>
                <w:lang w:val="fr-SN"/>
              </w:rPr>
            </w:pPr>
          </w:p>
        </w:tc>
        <w:tc>
          <w:tcPr>
            <w:tcW w:w="7163" w:type="dxa"/>
            <w:vAlign w:val="center"/>
          </w:tcPr>
          <w:p w14:paraId="1F3D50AB" w14:textId="77777777" w:rsidR="0029155A" w:rsidRPr="00260790" w:rsidRDefault="0029155A" w:rsidP="00E20250">
            <w:pPr>
              <w:spacing w:before="40" w:after="40" w:line="240" w:lineRule="auto"/>
              <w:rPr>
                <w:rFonts w:ascii="Times New Roman" w:hAnsi="Times New Roman"/>
                <w:sz w:val="22"/>
                <w:szCs w:val="22"/>
                <w:lang w:val="fr-SN"/>
              </w:rPr>
            </w:pPr>
            <w:r w:rsidRPr="00260790">
              <w:rPr>
                <w:rFonts w:ascii="Times New Roman" w:hAnsi="Times New Roman"/>
                <w:sz w:val="22"/>
                <w:szCs w:val="22"/>
                <w:lang w:val="fr-SN"/>
              </w:rPr>
              <w:t>Remblais par extension en couches d'épaisseur ne dépassant pas 30 cm de matériau de l'excavation elle-même.</w:t>
            </w:r>
          </w:p>
        </w:tc>
      </w:tr>
      <w:tr w:rsidR="0029155A" w:rsidRPr="00260790" w14:paraId="3EC4D26D" w14:textId="77777777" w:rsidTr="00872BB3">
        <w:tc>
          <w:tcPr>
            <w:tcW w:w="2036" w:type="dxa"/>
            <w:vMerge/>
            <w:vAlign w:val="center"/>
          </w:tcPr>
          <w:p w14:paraId="558DB8E8" w14:textId="77777777" w:rsidR="0029155A" w:rsidRPr="00260790" w:rsidRDefault="0029155A" w:rsidP="00E20250">
            <w:pPr>
              <w:spacing w:before="40" w:after="40" w:line="240" w:lineRule="auto"/>
              <w:rPr>
                <w:rFonts w:ascii="Times New Roman" w:hAnsi="Times New Roman"/>
                <w:sz w:val="22"/>
                <w:szCs w:val="22"/>
                <w:lang w:val="fr-SN"/>
              </w:rPr>
            </w:pPr>
          </w:p>
        </w:tc>
        <w:tc>
          <w:tcPr>
            <w:tcW w:w="7163" w:type="dxa"/>
            <w:vAlign w:val="center"/>
          </w:tcPr>
          <w:p w14:paraId="38FB7C1E" w14:textId="77777777" w:rsidR="0029155A" w:rsidRPr="00260790" w:rsidRDefault="0029155A" w:rsidP="00E20250">
            <w:pPr>
              <w:spacing w:before="40" w:after="40" w:line="240" w:lineRule="auto"/>
              <w:rPr>
                <w:rFonts w:ascii="Times New Roman" w:hAnsi="Times New Roman"/>
                <w:sz w:val="22"/>
                <w:szCs w:val="22"/>
                <w:lang w:val="fr-SN"/>
              </w:rPr>
            </w:pPr>
            <w:r w:rsidRPr="00260790">
              <w:rPr>
                <w:rFonts w:ascii="Times New Roman" w:hAnsi="Times New Roman"/>
                <w:sz w:val="22"/>
                <w:szCs w:val="22"/>
                <w:lang w:val="fr-SN"/>
              </w:rPr>
              <w:t>Pavage en béton, en extérieur, réalisé sur une chaussée avec trafic de catégorie C4 (zones piétonnes, rues résidentielles) et catégorie de la plateforme E1.</w:t>
            </w:r>
          </w:p>
        </w:tc>
      </w:tr>
      <w:tr w:rsidR="0029155A" w:rsidRPr="00260790" w14:paraId="5EA905BF" w14:textId="77777777" w:rsidTr="00872BB3">
        <w:tc>
          <w:tcPr>
            <w:tcW w:w="2036" w:type="dxa"/>
            <w:vMerge/>
            <w:vAlign w:val="center"/>
          </w:tcPr>
          <w:p w14:paraId="1FC98487" w14:textId="77777777" w:rsidR="0029155A" w:rsidRPr="00260790" w:rsidRDefault="0029155A" w:rsidP="00E20250">
            <w:pPr>
              <w:spacing w:before="40" w:after="40" w:line="240" w:lineRule="auto"/>
              <w:rPr>
                <w:rFonts w:ascii="Times New Roman" w:hAnsi="Times New Roman"/>
                <w:sz w:val="22"/>
                <w:szCs w:val="22"/>
                <w:lang w:val="fr-SN"/>
              </w:rPr>
            </w:pPr>
          </w:p>
        </w:tc>
        <w:tc>
          <w:tcPr>
            <w:tcW w:w="7163" w:type="dxa"/>
            <w:vAlign w:val="center"/>
          </w:tcPr>
          <w:p w14:paraId="10EDFC39" w14:textId="77777777" w:rsidR="0029155A" w:rsidRPr="00260790" w:rsidRDefault="0029155A" w:rsidP="00E20250">
            <w:pPr>
              <w:spacing w:before="40" w:after="40" w:line="240" w:lineRule="auto"/>
              <w:rPr>
                <w:rFonts w:ascii="Times New Roman" w:hAnsi="Times New Roman"/>
                <w:sz w:val="22"/>
                <w:szCs w:val="22"/>
                <w:lang w:val="fr-SN"/>
              </w:rPr>
            </w:pPr>
            <w:r w:rsidRPr="00260790">
              <w:rPr>
                <w:rFonts w:ascii="Times New Roman" w:hAnsi="Times New Roman"/>
                <w:sz w:val="22"/>
                <w:szCs w:val="22"/>
                <w:lang w:val="fr-SN"/>
              </w:rPr>
              <w:t>Fourniture et pose de bordures de type P1 ou similaire.</w:t>
            </w:r>
          </w:p>
        </w:tc>
      </w:tr>
      <w:tr w:rsidR="0029155A" w:rsidRPr="00260790" w14:paraId="4A7B56B9" w14:textId="77777777" w:rsidTr="00872BB3">
        <w:tc>
          <w:tcPr>
            <w:tcW w:w="2036" w:type="dxa"/>
            <w:vMerge w:val="restart"/>
            <w:vAlign w:val="center"/>
          </w:tcPr>
          <w:p w14:paraId="154E4FD9" w14:textId="77777777" w:rsidR="0029155A" w:rsidRPr="00260790" w:rsidRDefault="0029155A" w:rsidP="00E20250">
            <w:pPr>
              <w:spacing w:before="40" w:after="40" w:line="240" w:lineRule="auto"/>
              <w:rPr>
                <w:rFonts w:ascii="Times New Roman" w:hAnsi="Times New Roman"/>
                <w:sz w:val="22"/>
                <w:szCs w:val="22"/>
                <w:lang w:val="fr-SN"/>
              </w:rPr>
            </w:pPr>
            <w:r w:rsidRPr="00260790">
              <w:rPr>
                <w:rFonts w:ascii="Times New Roman" w:hAnsi="Times New Roman"/>
                <w:b/>
                <w:bCs/>
                <w:sz w:val="22"/>
                <w:szCs w:val="22"/>
                <w:lang w:val="fr-SN"/>
              </w:rPr>
              <w:t>Reprofilage de l’Axe 2 du Marigot de Mbao</w:t>
            </w:r>
          </w:p>
        </w:tc>
        <w:tc>
          <w:tcPr>
            <w:tcW w:w="7163" w:type="dxa"/>
            <w:vAlign w:val="center"/>
          </w:tcPr>
          <w:p w14:paraId="7859FB0A" w14:textId="77777777" w:rsidR="0029155A" w:rsidRPr="00260790" w:rsidRDefault="0029155A" w:rsidP="00E20250">
            <w:pPr>
              <w:spacing w:before="40" w:after="40" w:line="240" w:lineRule="auto"/>
              <w:rPr>
                <w:rFonts w:ascii="Times New Roman" w:hAnsi="Times New Roman"/>
                <w:sz w:val="22"/>
                <w:szCs w:val="22"/>
                <w:lang w:val="fr-SN"/>
              </w:rPr>
            </w:pPr>
            <w:r w:rsidRPr="00260790">
              <w:rPr>
                <w:rFonts w:ascii="Times New Roman" w:hAnsi="Times New Roman"/>
                <w:sz w:val="22"/>
                <w:szCs w:val="22"/>
                <w:lang w:val="fr-SN"/>
              </w:rPr>
              <w:t>Excavation de sous-sols de plus de 2 m de profondeur.</w:t>
            </w:r>
          </w:p>
        </w:tc>
      </w:tr>
      <w:tr w:rsidR="0029155A" w:rsidRPr="00260790" w14:paraId="58CDEAA7" w14:textId="77777777" w:rsidTr="00872BB3">
        <w:tc>
          <w:tcPr>
            <w:tcW w:w="2036" w:type="dxa"/>
            <w:vMerge/>
            <w:vAlign w:val="center"/>
          </w:tcPr>
          <w:p w14:paraId="78BADEAE" w14:textId="77777777" w:rsidR="0029155A" w:rsidRPr="00260790" w:rsidRDefault="0029155A" w:rsidP="00E20250">
            <w:pPr>
              <w:spacing w:before="40" w:after="40" w:line="240" w:lineRule="auto"/>
              <w:rPr>
                <w:rFonts w:ascii="Times New Roman" w:hAnsi="Times New Roman"/>
                <w:sz w:val="22"/>
                <w:szCs w:val="22"/>
                <w:lang w:val="fr-SN"/>
              </w:rPr>
            </w:pPr>
          </w:p>
        </w:tc>
        <w:tc>
          <w:tcPr>
            <w:tcW w:w="7163" w:type="dxa"/>
            <w:vAlign w:val="center"/>
          </w:tcPr>
          <w:p w14:paraId="33FDB37F" w14:textId="77777777" w:rsidR="0029155A" w:rsidRPr="00260790" w:rsidRDefault="0029155A" w:rsidP="00E20250">
            <w:pPr>
              <w:spacing w:before="40" w:after="40" w:line="240" w:lineRule="auto"/>
              <w:rPr>
                <w:rFonts w:ascii="Times New Roman" w:hAnsi="Times New Roman"/>
                <w:sz w:val="22"/>
                <w:szCs w:val="22"/>
                <w:lang w:val="fr-SN"/>
              </w:rPr>
            </w:pPr>
            <w:r w:rsidRPr="00260790">
              <w:rPr>
                <w:rFonts w:ascii="Times New Roman" w:hAnsi="Times New Roman"/>
                <w:sz w:val="22"/>
                <w:szCs w:val="22"/>
                <w:lang w:val="fr-SN"/>
              </w:rPr>
              <w:t>Remblais par extension en couches d'épaisseur ne dépassant pas 30 cm de matériau de l'excavation elle-même.</w:t>
            </w:r>
          </w:p>
        </w:tc>
      </w:tr>
      <w:tr w:rsidR="0029155A" w:rsidRPr="00260790" w14:paraId="6A862FD2" w14:textId="77777777" w:rsidTr="00872BB3">
        <w:tc>
          <w:tcPr>
            <w:tcW w:w="2036" w:type="dxa"/>
            <w:vMerge w:val="restart"/>
            <w:vAlign w:val="center"/>
          </w:tcPr>
          <w:p w14:paraId="6EAFDE15" w14:textId="77777777" w:rsidR="0029155A" w:rsidRPr="00260790" w:rsidRDefault="0029155A" w:rsidP="00E20250">
            <w:pPr>
              <w:spacing w:before="40" w:after="40" w:line="240" w:lineRule="auto"/>
              <w:rPr>
                <w:rFonts w:ascii="Times New Roman" w:hAnsi="Times New Roman"/>
                <w:b/>
                <w:bCs/>
                <w:sz w:val="22"/>
                <w:szCs w:val="22"/>
                <w:lang w:val="fr-SN"/>
              </w:rPr>
            </w:pPr>
            <w:r w:rsidRPr="00260790">
              <w:rPr>
                <w:rFonts w:ascii="Times New Roman" w:hAnsi="Times New Roman"/>
                <w:b/>
                <w:bCs/>
                <w:sz w:val="22"/>
                <w:szCs w:val="22"/>
                <w:lang w:val="fr-SN"/>
              </w:rPr>
              <w:t>Réalisation des espaces de détente</w:t>
            </w:r>
          </w:p>
        </w:tc>
        <w:tc>
          <w:tcPr>
            <w:tcW w:w="7163" w:type="dxa"/>
            <w:vAlign w:val="center"/>
          </w:tcPr>
          <w:p w14:paraId="6BE7CE87" w14:textId="77777777" w:rsidR="0029155A" w:rsidRPr="00260790" w:rsidRDefault="0029155A" w:rsidP="00E20250">
            <w:pPr>
              <w:spacing w:before="40" w:after="40" w:line="240" w:lineRule="auto"/>
              <w:rPr>
                <w:rFonts w:ascii="Times New Roman" w:hAnsi="Times New Roman"/>
                <w:sz w:val="22"/>
                <w:szCs w:val="22"/>
                <w:lang w:val="fr-SN"/>
              </w:rPr>
            </w:pPr>
            <w:r w:rsidRPr="00260790">
              <w:rPr>
                <w:rFonts w:ascii="Times New Roman" w:hAnsi="Times New Roman"/>
                <w:sz w:val="22"/>
                <w:szCs w:val="22"/>
                <w:lang w:val="fr-SN"/>
              </w:rPr>
              <w:t>Déblaiement pour nivellement en terrain meuble, pour donner au terrain la cote prévue pour la plateforme.</w:t>
            </w:r>
          </w:p>
        </w:tc>
      </w:tr>
      <w:tr w:rsidR="0029155A" w:rsidRPr="00260790" w14:paraId="3A0F6B2E" w14:textId="77777777" w:rsidTr="00872BB3">
        <w:tc>
          <w:tcPr>
            <w:tcW w:w="2036" w:type="dxa"/>
            <w:vMerge/>
            <w:vAlign w:val="center"/>
          </w:tcPr>
          <w:p w14:paraId="38E56DF8" w14:textId="77777777" w:rsidR="0029155A" w:rsidRPr="00260790" w:rsidRDefault="0029155A" w:rsidP="00E20250">
            <w:pPr>
              <w:spacing w:before="40" w:after="40" w:line="240" w:lineRule="auto"/>
              <w:rPr>
                <w:rFonts w:ascii="Times New Roman" w:hAnsi="Times New Roman"/>
                <w:b/>
                <w:bCs/>
                <w:sz w:val="22"/>
                <w:szCs w:val="22"/>
                <w:lang w:val="fr-SN"/>
              </w:rPr>
            </w:pPr>
          </w:p>
        </w:tc>
        <w:tc>
          <w:tcPr>
            <w:tcW w:w="7163" w:type="dxa"/>
            <w:vAlign w:val="center"/>
          </w:tcPr>
          <w:p w14:paraId="54B8A566" w14:textId="77777777" w:rsidR="0029155A" w:rsidRPr="00260790" w:rsidRDefault="0029155A" w:rsidP="00E20250">
            <w:pPr>
              <w:spacing w:before="40" w:after="40" w:line="240" w:lineRule="auto"/>
              <w:rPr>
                <w:rFonts w:ascii="Times New Roman" w:hAnsi="Times New Roman"/>
                <w:sz w:val="22"/>
                <w:szCs w:val="22"/>
                <w:lang w:val="fr-SN"/>
              </w:rPr>
            </w:pPr>
            <w:r w:rsidRPr="00260790">
              <w:rPr>
                <w:rFonts w:ascii="Times New Roman" w:hAnsi="Times New Roman"/>
                <w:sz w:val="22"/>
                <w:szCs w:val="22"/>
                <w:lang w:val="fr-SN"/>
              </w:rPr>
              <w:t>Dallage avec revêtement de sol en béton d’épaisseur 15 cm.</w:t>
            </w:r>
          </w:p>
        </w:tc>
      </w:tr>
      <w:tr w:rsidR="0029155A" w:rsidRPr="00260790" w14:paraId="29EDF7C8" w14:textId="77777777" w:rsidTr="00872BB3">
        <w:tc>
          <w:tcPr>
            <w:tcW w:w="2036" w:type="dxa"/>
            <w:vMerge/>
            <w:vAlign w:val="center"/>
          </w:tcPr>
          <w:p w14:paraId="7C8FA783" w14:textId="77777777" w:rsidR="0029155A" w:rsidRPr="00260790" w:rsidRDefault="0029155A" w:rsidP="00E20250">
            <w:pPr>
              <w:spacing w:before="40" w:after="40" w:line="240" w:lineRule="auto"/>
              <w:rPr>
                <w:rFonts w:ascii="Times New Roman" w:hAnsi="Times New Roman"/>
                <w:b/>
                <w:bCs/>
                <w:sz w:val="22"/>
                <w:szCs w:val="22"/>
                <w:lang w:val="fr-SN"/>
              </w:rPr>
            </w:pPr>
          </w:p>
        </w:tc>
        <w:tc>
          <w:tcPr>
            <w:tcW w:w="7163" w:type="dxa"/>
            <w:vAlign w:val="center"/>
          </w:tcPr>
          <w:p w14:paraId="2E1A4AB2" w14:textId="77777777" w:rsidR="0029155A" w:rsidRPr="00260790" w:rsidRDefault="0029155A" w:rsidP="00E20250">
            <w:pPr>
              <w:spacing w:before="40" w:after="40" w:line="240" w:lineRule="auto"/>
              <w:rPr>
                <w:rFonts w:ascii="Times New Roman" w:hAnsi="Times New Roman"/>
                <w:sz w:val="22"/>
                <w:szCs w:val="22"/>
                <w:lang w:val="fr-SN"/>
              </w:rPr>
            </w:pPr>
            <w:r w:rsidRPr="00260790">
              <w:rPr>
                <w:rFonts w:ascii="Times New Roman" w:hAnsi="Times New Roman"/>
                <w:sz w:val="22"/>
                <w:szCs w:val="22"/>
                <w:lang w:val="fr-SN"/>
              </w:rPr>
              <w:t>Réalisation de la signalisation au sol pour aire de jeu et accessoires en menuiserie métallique (camps pour football, panier basket-ball, etc.)</w:t>
            </w:r>
          </w:p>
        </w:tc>
      </w:tr>
      <w:tr w:rsidR="0029155A" w:rsidRPr="00260790" w14:paraId="05D9E2AE" w14:textId="77777777" w:rsidTr="00872BB3">
        <w:tc>
          <w:tcPr>
            <w:tcW w:w="2036" w:type="dxa"/>
            <w:vMerge/>
            <w:vAlign w:val="center"/>
          </w:tcPr>
          <w:p w14:paraId="29476F4D" w14:textId="77777777" w:rsidR="0029155A" w:rsidRPr="00260790" w:rsidRDefault="0029155A" w:rsidP="00E20250">
            <w:pPr>
              <w:spacing w:before="40" w:after="40" w:line="240" w:lineRule="auto"/>
              <w:rPr>
                <w:rFonts w:ascii="Times New Roman" w:hAnsi="Times New Roman"/>
                <w:b/>
                <w:bCs/>
                <w:sz w:val="22"/>
                <w:szCs w:val="22"/>
                <w:lang w:val="fr-SN"/>
              </w:rPr>
            </w:pPr>
          </w:p>
        </w:tc>
        <w:tc>
          <w:tcPr>
            <w:tcW w:w="7163" w:type="dxa"/>
            <w:vAlign w:val="center"/>
          </w:tcPr>
          <w:p w14:paraId="3485A6EE" w14:textId="77777777" w:rsidR="0029155A" w:rsidRPr="00260790" w:rsidRDefault="0029155A" w:rsidP="00E20250">
            <w:pPr>
              <w:spacing w:before="40" w:after="40" w:line="240" w:lineRule="auto"/>
              <w:rPr>
                <w:rFonts w:ascii="Times New Roman" w:hAnsi="Times New Roman"/>
                <w:sz w:val="22"/>
                <w:szCs w:val="22"/>
              </w:rPr>
            </w:pPr>
            <w:r w:rsidRPr="00260790">
              <w:rPr>
                <w:rFonts w:ascii="Times New Roman" w:hAnsi="Times New Roman"/>
                <w:sz w:val="22"/>
                <w:szCs w:val="22"/>
              </w:rPr>
              <w:t>Réalisation des cantines</w:t>
            </w:r>
          </w:p>
        </w:tc>
      </w:tr>
      <w:tr w:rsidR="0029155A" w:rsidRPr="00260790" w14:paraId="59C3F019" w14:textId="77777777" w:rsidTr="00872BB3">
        <w:tc>
          <w:tcPr>
            <w:tcW w:w="2036" w:type="dxa"/>
            <w:vMerge w:val="restart"/>
            <w:vAlign w:val="center"/>
          </w:tcPr>
          <w:p w14:paraId="12D9E449" w14:textId="77777777" w:rsidR="0029155A" w:rsidRPr="00260790" w:rsidRDefault="0029155A" w:rsidP="00E20250">
            <w:pPr>
              <w:spacing w:before="40" w:after="40" w:line="240" w:lineRule="auto"/>
              <w:rPr>
                <w:rFonts w:ascii="Times New Roman" w:hAnsi="Times New Roman"/>
                <w:b/>
                <w:bCs/>
                <w:sz w:val="22"/>
                <w:szCs w:val="22"/>
                <w:lang w:val="fr-SN"/>
              </w:rPr>
            </w:pPr>
            <w:r w:rsidRPr="00260790">
              <w:rPr>
                <w:rFonts w:ascii="Times New Roman" w:hAnsi="Times New Roman"/>
                <w:b/>
                <w:bCs/>
                <w:sz w:val="22"/>
                <w:szCs w:val="22"/>
                <w:lang w:val="fr-SN"/>
              </w:rPr>
              <w:t>Réalisation des amorces et de la buse au niveau du pont</w:t>
            </w:r>
          </w:p>
        </w:tc>
        <w:tc>
          <w:tcPr>
            <w:tcW w:w="7163" w:type="dxa"/>
            <w:vAlign w:val="center"/>
          </w:tcPr>
          <w:p w14:paraId="4C178B67" w14:textId="77777777" w:rsidR="0029155A" w:rsidRPr="00260790" w:rsidRDefault="0029155A" w:rsidP="00E20250">
            <w:pPr>
              <w:spacing w:before="40" w:after="40" w:line="240" w:lineRule="auto"/>
              <w:rPr>
                <w:rFonts w:ascii="Times New Roman" w:hAnsi="Times New Roman"/>
                <w:sz w:val="22"/>
                <w:szCs w:val="22"/>
                <w:lang w:val="fr-SN"/>
              </w:rPr>
            </w:pPr>
            <w:r w:rsidRPr="00260790">
              <w:rPr>
                <w:rFonts w:ascii="Times New Roman" w:hAnsi="Times New Roman"/>
                <w:sz w:val="22"/>
                <w:szCs w:val="22"/>
                <w:lang w:val="fr-SN"/>
              </w:rPr>
              <w:t>Fourniture et pose de canalisations circulaires en PEHD CR-SN8 DN 800 mm</w:t>
            </w:r>
          </w:p>
        </w:tc>
      </w:tr>
      <w:tr w:rsidR="0029155A" w:rsidRPr="00260790" w14:paraId="5B50B8CD" w14:textId="77777777" w:rsidTr="00872BB3">
        <w:tc>
          <w:tcPr>
            <w:tcW w:w="2036" w:type="dxa"/>
            <w:vMerge/>
            <w:vAlign w:val="center"/>
          </w:tcPr>
          <w:p w14:paraId="4CDEC387" w14:textId="77777777" w:rsidR="0029155A" w:rsidRPr="00260790" w:rsidRDefault="0029155A" w:rsidP="00E20250">
            <w:pPr>
              <w:spacing w:before="40" w:after="40" w:line="240" w:lineRule="auto"/>
              <w:rPr>
                <w:rFonts w:ascii="Times New Roman" w:hAnsi="Times New Roman"/>
                <w:sz w:val="22"/>
                <w:szCs w:val="22"/>
                <w:lang w:val="fr-SN"/>
              </w:rPr>
            </w:pPr>
          </w:p>
        </w:tc>
        <w:tc>
          <w:tcPr>
            <w:tcW w:w="7163" w:type="dxa"/>
            <w:vAlign w:val="center"/>
          </w:tcPr>
          <w:p w14:paraId="18FFE0B8" w14:textId="77777777" w:rsidR="0029155A" w:rsidRPr="00260790" w:rsidRDefault="0029155A" w:rsidP="00E20250">
            <w:pPr>
              <w:spacing w:before="40" w:after="40" w:line="240" w:lineRule="auto"/>
              <w:rPr>
                <w:rFonts w:ascii="Times New Roman" w:hAnsi="Times New Roman"/>
                <w:sz w:val="22"/>
                <w:szCs w:val="22"/>
                <w:lang w:val="fr-SN"/>
              </w:rPr>
            </w:pPr>
            <w:r w:rsidRPr="00260790">
              <w:rPr>
                <w:rFonts w:ascii="Times New Roman" w:hAnsi="Times New Roman"/>
                <w:sz w:val="22"/>
                <w:szCs w:val="22"/>
                <w:lang w:val="fr-SN"/>
              </w:rPr>
              <w:t>Fourniture et pose de canalisations circulaires en béton armé DN 1 000 mm (3x)</w:t>
            </w:r>
          </w:p>
        </w:tc>
      </w:tr>
      <w:tr w:rsidR="0029155A" w:rsidRPr="00260790" w14:paraId="47850DAE" w14:textId="77777777" w:rsidTr="00872BB3">
        <w:tc>
          <w:tcPr>
            <w:tcW w:w="2036" w:type="dxa"/>
            <w:vMerge/>
            <w:vAlign w:val="center"/>
          </w:tcPr>
          <w:p w14:paraId="42CE763A" w14:textId="77777777" w:rsidR="0029155A" w:rsidRPr="00260790" w:rsidRDefault="0029155A" w:rsidP="00E20250">
            <w:pPr>
              <w:spacing w:before="40" w:after="40" w:line="240" w:lineRule="auto"/>
              <w:rPr>
                <w:rFonts w:ascii="Times New Roman" w:hAnsi="Times New Roman"/>
                <w:sz w:val="22"/>
                <w:szCs w:val="22"/>
                <w:lang w:val="fr-SN"/>
              </w:rPr>
            </w:pPr>
          </w:p>
        </w:tc>
        <w:tc>
          <w:tcPr>
            <w:tcW w:w="7163" w:type="dxa"/>
            <w:vAlign w:val="center"/>
          </w:tcPr>
          <w:p w14:paraId="059A5C2D" w14:textId="77777777" w:rsidR="0029155A" w:rsidRPr="00260790" w:rsidRDefault="0029155A" w:rsidP="00E20250">
            <w:pPr>
              <w:spacing w:before="40" w:after="40" w:line="240" w:lineRule="auto"/>
              <w:rPr>
                <w:rFonts w:ascii="Times New Roman" w:hAnsi="Times New Roman"/>
                <w:sz w:val="22"/>
                <w:szCs w:val="22"/>
                <w:lang w:val="fr-SN"/>
              </w:rPr>
            </w:pPr>
            <w:r w:rsidRPr="00260790">
              <w:rPr>
                <w:rFonts w:ascii="Times New Roman" w:hAnsi="Times New Roman"/>
                <w:sz w:val="22"/>
                <w:szCs w:val="22"/>
                <w:lang w:val="fr-SN"/>
              </w:rPr>
              <w:t>Réalisation de caniveaux trapézoïdaux de section 4000 x 2000 x 1000 mm de part et d’autre des buses en béton</w:t>
            </w:r>
          </w:p>
        </w:tc>
      </w:tr>
      <w:tr w:rsidR="0029155A" w:rsidRPr="00260790" w14:paraId="3EFBBD54" w14:textId="77777777" w:rsidTr="00872BB3">
        <w:tc>
          <w:tcPr>
            <w:tcW w:w="2036" w:type="dxa"/>
            <w:vMerge/>
            <w:vAlign w:val="center"/>
          </w:tcPr>
          <w:p w14:paraId="566AAF31" w14:textId="77777777" w:rsidR="0029155A" w:rsidRPr="00260790" w:rsidRDefault="0029155A" w:rsidP="00E20250">
            <w:pPr>
              <w:spacing w:before="40" w:after="40" w:line="240" w:lineRule="auto"/>
              <w:rPr>
                <w:rFonts w:ascii="Times New Roman" w:hAnsi="Times New Roman"/>
                <w:sz w:val="22"/>
                <w:szCs w:val="22"/>
                <w:lang w:val="fr-SN"/>
              </w:rPr>
            </w:pPr>
          </w:p>
        </w:tc>
        <w:tc>
          <w:tcPr>
            <w:tcW w:w="7163" w:type="dxa"/>
            <w:vAlign w:val="center"/>
          </w:tcPr>
          <w:p w14:paraId="55CFC29E" w14:textId="77777777" w:rsidR="0029155A" w:rsidRPr="00260790" w:rsidRDefault="0029155A" w:rsidP="00E20250">
            <w:pPr>
              <w:spacing w:before="40" w:after="40" w:line="240" w:lineRule="auto"/>
              <w:rPr>
                <w:rFonts w:ascii="Times New Roman" w:hAnsi="Times New Roman"/>
                <w:sz w:val="22"/>
                <w:szCs w:val="22"/>
                <w:lang w:val="fr-SN"/>
              </w:rPr>
            </w:pPr>
            <w:r w:rsidRPr="00260790">
              <w:rPr>
                <w:rFonts w:ascii="Times New Roman" w:hAnsi="Times New Roman"/>
                <w:sz w:val="22"/>
                <w:szCs w:val="22"/>
                <w:lang w:val="fr-SN"/>
              </w:rPr>
              <w:t>Réalisation de caniveaux trapézoïdaux de section 1500 x 500 x 500 mm au départ des amorces</w:t>
            </w:r>
          </w:p>
        </w:tc>
      </w:tr>
      <w:tr w:rsidR="0029155A" w:rsidRPr="00260790" w14:paraId="5AD79306" w14:textId="77777777" w:rsidTr="00872BB3">
        <w:tc>
          <w:tcPr>
            <w:tcW w:w="2036" w:type="dxa"/>
            <w:vMerge/>
            <w:vAlign w:val="center"/>
          </w:tcPr>
          <w:p w14:paraId="5A9B1DA0" w14:textId="77777777" w:rsidR="0029155A" w:rsidRPr="00260790" w:rsidRDefault="0029155A" w:rsidP="00E20250">
            <w:pPr>
              <w:spacing w:before="40" w:after="40" w:line="240" w:lineRule="auto"/>
              <w:rPr>
                <w:rFonts w:ascii="Times New Roman" w:hAnsi="Times New Roman"/>
                <w:sz w:val="22"/>
                <w:szCs w:val="22"/>
                <w:lang w:val="fr-SN"/>
              </w:rPr>
            </w:pPr>
          </w:p>
        </w:tc>
        <w:tc>
          <w:tcPr>
            <w:tcW w:w="7163" w:type="dxa"/>
            <w:vAlign w:val="center"/>
          </w:tcPr>
          <w:p w14:paraId="0BCC625D" w14:textId="77777777" w:rsidR="0029155A" w:rsidRPr="00260790" w:rsidRDefault="0029155A" w:rsidP="00E20250">
            <w:pPr>
              <w:spacing w:before="40" w:after="40" w:line="240" w:lineRule="auto"/>
              <w:rPr>
                <w:rFonts w:ascii="Times New Roman" w:hAnsi="Times New Roman"/>
                <w:sz w:val="22"/>
                <w:szCs w:val="22"/>
                <w:lang w:val="fr-SN"/>
              </w:rPr>
            </w:pPr>
            <w:r w:rsidRPr="00260790">
              <w:rPr>
                <w:rFonts w:ascii="Times New Roman" w:hAnsi="Times New Roman"/>
                <w:sz w:val="22"/>
                <w:szCs w:val="22"/>
                <w:lang w:val="fr-SN"/>
              </w:rPr>
              <w:t>Fouilles en tranché pour la réalisation des canalisations</w:t>
            </w:r>
          </w:p>
        </w:tc>
      </w:tr>
      <w:tr w:rsidR="0029155A" w:rsidRPr="00260790" w14:paraId="5D014535" w14:textId="77777777" w:rsidTr="00872BB3">
        <w:tc>
          <w:tcPr>
            <w:tcW w:w="2036" w:type="dxa"/>
            <w:vMerge/>
            <w:vAlign w:val="center"/>
          </w:tcPr>
          <w:p w14:paraId="1B3027EC" w14:textId="77777777" w:rsidR="0029155A" w:rsidRPr="00260790" w:rsidRDefault="0029155A" w:rsidP="00E20250">
            <w:pPr>
              <w:spacing w:before="40" w:after="40" w:line="240" w:lineRule="auto"/>
              <w:rPr>
                <w:rFonts w:ascii="Times New Roman" w:hAnsi="Times New Roman"/>
                <w:sz w:val="22"/>
                <w:szCs w:val="22"/>
                <w:lang w:val="fr-SN"/>
              </w:rPr>
            </w:pPr>
          </w:p>
        </w:tc>
        <w:tc>
          <w:tcPr>
            <w:tcW w:w="7163" w:type="dxa"/>
            <w:vAlign w:val="center"/>
          </w:tcPr>
          <w:p w14:paraId="21783AF0" w14:textId="77777777" w:rsidR="0029155A" w:rsidRPr="00260790" w:rsidRDefault="0029155A" w:rsidP="00E20250">
            <w:pPr>
              <w:spacing w:before="40" w:after="40" w:line="240" w:lineRule="auto"/>
              <w:rPr>
                <w:rFonts w:ascii="Times New Roman" w:hAnsi="Times New Roman"/>
                <w:sz w:val="22"/>
                <w:szCs w:val="22"/>
                <w:lang w:val="fr-SN"/>
              </w:rPr>
            </w:pPr>
            <w:r w:rsidRPr="00260790">
              <w:rPr>
                <w:rFonts w:ascii="Times New Roman" w:hAnsi="Times New Roman"/>
                <w:sz w:val="22"/>
                <w:szCs w:val="22"/>
                <w:lang w:val="fr-SN"/>
              </w:rPr>
              <w:t>Fourniture et pose de têtes d’aqueduc (TA) en béton armé TA 800 mm</w:t>
            </w:r>
          </w:p>
        </w:tc>
      </w:tr>
      <w:tr w:rsidR="0029155A" w:rsidRPr="00260790" w14:paraId="4810EFD2" w14:textId="77777777" w:rsidTr="00872BB3">
        <w:tc>
          <w:tcPr>
            <w:tcW w:w="2036" w:type="dxa"/>
            <w:vMerge/>
            <w:vAlign w:val="center"/>
          </w:tcPr>
          <w:p w14:paraId="14C8E384" w14:textId="77777777" w:rsidR="0029155A" w:rsidRPr="00260790" w:rsidRDefault="0029155A" w:rsidP="00E20250">
            <w:pPr>
              <w:spacing w:before="40" w:after="40" w:line="240" w:lineRule="auto"/>
              <w:rPr>
                <w:rFonts w:ascii="Times New Roman" w:hAnsi="Times New Roman"/>
                <w:sz w:val="22"/>
                <w:szCs w:val="22"/>
                <w:lang w:val="fr-SN"/>
              </w:rPr>
            </w:pPr>
          </w:p>
        </w:tc>
        <w:tc>
          <w:tcPr>
            <w:tcW w:w="7163" w:type="dxa"/>
            <w:vAlign w:val="center"/>
          </w:tcPr>
          <w:p w14:paraId="79CCE996" w14:textId="77777777" w:rsidR="0029155A" w:rsidRPr="00260790" w:rsidRDefault="0029155A" w:rsidP="00E20250">
            <w:pPr>
              <w:spacing w:before="40" w:after="40" w:line="240" w:lineRule="auto"/>
              <w:rPr>
                <w:rFonts w:ascii="Times New Roman" w:hAnsi="Times New Roman"/>
                <w:sz w:val="22"/>
                <w:szCs w:val="22"/>
                <w:lang w:val="fr-SN"/>
              </w:rPr>
            </w:pPr>
            <w:r w:rsidRPr="00260790">
              <w:rPr>
                <w:rFonts w:ascii="Times New Roman" w:hAnsi="Times New Roman"/>
                <w:sz w:val="22"/>
                <w:szCs w:val="22"/>
                <w:lang w:val="fr-SN"/>
              </w:rPr>
              <w:t>Fourniture et pose de têtes d’aqueduc (TA) en béton armé TA 1000 mm</w:t>
            </w:r>
          </w:p>
        </w:tc>
      </w:tr>
    </w:tbl>
    <w:p w14:paraId="2D901B47" w14:textId="77777777" w:rsidR="007A0798" w:rsidRDefault="007A0798" w:rsidP="007A0798">
      <w:pPr>
        <w:spacing w:before="240" w:line="240" w:lineRule="auto"/>
        <w:rPr>
          <w:rFonts w:ascii="Times New Roman" w:hAnsi="Times New Roman"/>
          <w:i/>
          <w:iCs/>
        </w:rPr>
      </w:pPr>
    </w:p>
    <w:p w14:paraId="0152C8BD" w14:textId="05B9AE06" w:rsidR="004A6185" w:rsidRPr="00B91D59" w:rsidRDefault="00872BB3" w:rsidP="00E20250">
      <w:pPr>
        <w:pStyle w:val="Paragraphedeliste"/>
        <w:numPr>
          <w:ilvl w:val="0"/>
          <w:numId w:val="370"/>
        </w:numPr>
        <w:spacing w:before="240" w:line="240" w:lineRule="auto"/>
        <w:rPr>
          <w:rFonts w:ascii="Times New Roman" w:hAnsi="Times New Roman"/>
          <w:i/>
          <w:iCs/>
        </w:rPr>
      </w:pPr>
      <w:r w:rsidRPr="00260790">
        <w:rPr>
          <w:rFonts w:ascii="Times New Roman" w:hAnsi="Times New Roman"/>
          <w:i/>
          <w:iCs/>
        </w:rPr>
        <w:lastRenderedPageBreak/>
        <w:t>Réalisation</w:t>
      </w:r>
      <w:r w:rsidR="0029155A" w:rsidRPr="00260790">
        <w:rPr>
          <w:rFonts w:ascii="Times New Roman" w:hAnsi="Times New Roman"/>
          <w:i/>
          <w:iCs/>
        </w:rPr>
        <w:t xml:space="preserve"> de l'exutoire du BV de Mbao</w:t>
      </w:r>
    </w:p>
    <w:p w14:paraId="66BDDD96" w14:textId="2BA7C665" w:rsidR="00794AD0" w:rsidRPr="00260790" w:rsidRDefault="0052155D" w:rsidP="003B6588">
      <w:pPr>
        <w:pStyle w:val="CHAPITRE1"/>
        <w:rPr>
          <w:rFonts w:cs="Times New Roman"/>
        </w:rPr>
      </w:pPr>
      <w:bookmarkStart w:id="60" w:name="_Toc212725084"/>
      <w:r>
        <w:rPr>
          <w:rFonts w:cs="Times New Roman"/>
        </w:rPr>
        <w:t>C</w:t>
      </w:r>
      <w:r w:rsidR="00794AD0" w:rsidRPr="00260790">
        <w:rPr>
          <w:rFonts w:cs="Times New Roman"/>
        </w:rPr>
        <w:t>ollecteurs principaux</w:t>
      </w:r>
      <w:bookmarkEnd w:id="60"/>
    </w:p>
    <w:p w14:paraId="097B063F" w14:textId="32296144" w:rsidR="00794AD0" w:rsidRPr="00260790" w:rsidRDefault="00794AD0" w:rsidP="0097258B">
      <w:pPr>
        <w:spacing w:line="240" w:lineRule="auto"/>
        <w:jc w:val="both"/>
      </w:pPr>
      <w:r w:rsidRPr="00260790">
        <w:rPr>
          <w:rFonts w:ascii="Times New Roman" w:hAnsi="Times New Roman"/>
          <w:color w:val="000000" w:themeColor="text1"/>
        </w:rPr>
        <w:t>Le réseau de collecteurs principaux dans le secteur sud du bassin versant de Mbao a une longueur totale de 10.</w:t>
      </w:r>
      <w:r w:rsidR="00F14F96">
        <w:rPr>
          <w:rFonts w:ascii="Times New Roman" w:hAnsi="Times New Roman"/>
          <w:color w:val="000000" w:themeColor="text1"/>
        </w:rPr>
        <w:t>990</w:t>
      </w:r>
      <w:r w:rsidR="00F14F96" w:rsidRPr="00260790">
        <w:rPr>
          <w:rFonts w:ascii="Times New Roman" w:hAnsi="Times New Roman"/>
          <w:color w:val="000000" w:themeColor="text1"/>
        </w:rPr>
        <w:t xml:space="preserve"> </w:t>
      </w:r>
      <w:r w:rsidRPr="00260790">
        <w:rPr>
          <w:rFonts w:ascii="Times New Roman" w:hAnsi="Times New Roman"/>
          <w:color w:val="000000" w:themeColor="text1"/>
        </w:rPr>
        <w:t>ml (données reçues pour la caractérisation du réseau). Il est composé de différents axes pour un débit de 3.4 m3/s, de cadre en béton.</w:t>
      </w:r>
    </w:p>
    <w:p w14:paraId="663F396A" w14:textId="78853FE5" w:rsidR="00794AD0" w:rsidRPr="00260790" w:rsidRDefault="0052155D" w:rsidP="003B6588">
      <w:pPr>
        <w:pStyle w:val="CHAPITRE1"/>
        <w:rPr>
          <w:rFonts w:cs="Times New Roman"/>
        </w:rPr>
      </w:pPr>
      <w:bookmarkStart w:id="61" w:name="_Toc212725085"/>
      <w:r>
        <w:rPr>
          <w:rFonts w:cs="Times New Roman"/>
        </w:rPr>
        <w:t>C</w:t>
      </w:r>
      <w:r w:rsidR="00794AD0" w:rsidRPr="00260790">
        <w:rPr>
          <w:rFonts w:cs="Times New Roman"/>
        </w:rPr>
        <w:t>ollecteurs secondaires</w:t>
      </w:r>
      <w:bookmarkEnd w:id="61"/>
    </w:p>
    <w:p w14:paraId="228A7D56" w14:textId="613B5A0E" w:rsidR="00794AD0" w:rsidRPr="00260790" w:rsidRDefault="00794AD0" w:rsidP="00E20250">
      <w:pPr>
        <w:autoSpaceDE w:val="0"/>
        <w:autoSpaceDN w:val="0"/>
        <w:adjustRightInd w:val="0"/>
        <w:spacing w:after="0" w:line="240" w:lineRule="auto"/>
        <w:jc w:val="both"/>
        <w:rPr>
          <w:rFonts w:ascii="Times New Roman" w:hAnsi="Times New Roman"/>
          <w:bCs/>
          <w:color w:val="000000" w:themeColor="text1"/>
        </w:rPr>
      </w:pPr>
      <w:r w:rsidRPr="00260790">
        <w:rPr>
          <w:rFonts w:ascii="Times New Roman" w:hAnsi="Times New Roman"/>
          <w:bCs/>
          <w:color w:val="000000" w:themeColor="text1"/>
        </w:rPr>
        <w:t xml:space="preserve">Lors de la visite du </w:t>
      </w:r>
      <w:r w:rsidR="00A52CE1" w:rsidRPr="00260790">
        <w:rPr>
          <w:rFonts w:ascii="Times New Roman" w:hAnsi="Times New Roman"/>
          <w:bCs/>
          <w:color w:val="000000" w:themeColor="text1"/>
        </w:rPr>
        <w:t>9</w:t>
      </w:r>
      <w:r w:rsidRPr="00260790">
        <w:rPr>
          <w:rFonts w:ascii="Times New Roman" w:hAnsi="Times New Roman"/>
          <w:bCs/>
          <w:color w:val="000000" w:themeColor="text1"/>
        </w:rPr>
        <w:t xml:space="preserve"> septembre 2024, le Client a précisé que les tracés définitifs des collecteurs secondaires seront déterminés en phase de travaux.</w:t>
      </w:r>
    </w:p>
    <w:p w14:paraId="35F72050" w14:textId="77777777" w:rsidR="00794AD0" w:rsidRPr="00260790" w:rsidRDefault="00794AD0" w:rsidP="00E20250">
      <w:pPr>
        <w:autoSpaceDE w:val="0"/>
        <w:autoSpaceDN w:val="0"/>
        <w:adjustRightInd w:val="0"/>
        <w:spacing w:after="0" w:line="240" w:lineRule="auto"/>
        <w:jc w:val="both"/>
        <w:rPr>
          <w:rFonts w:ascii="Times New Roman" w:hAnsi="Times New Roman"/>
          <w:bCs/>
          <w:color w:val="000000" w:themeColor="text1"/>
        </w:rPr>
      </w:pPr>
      <w:r w:rsidRPr="00260790">
        <w:rPr>
          <w:rFonts w:ascii="Times New Roman" w:hAnsi="Times New Roman"/>
          <w:bCs/>
          <w:color w:val="000000" w:themeColor="text1"/>
        </w:rPr>
        <w:t>Les collecteurs sont construits avec les dispositifs et équipements suivants :</w:t>
      </w:r>
    </w:p>
    <w:p w14:paraId="649F6F42" w14:textId="3CFAA5F9" w:rsidR="00794AD0" w:rsidRPr="00260790" w:rsidRDefault="00740E9A" w:rsidP="001748C6">
      <w:pPr>
        <w:numPr>
          <w:ilvl w:val="0"/>
          <w:numId w:val="143"/>
        </w:numPr>
        <w:autoSpaceDE w:val="0"/>
        <w:autoSpaceDN w:val="0"/>
        <w:adjustRightInd w:val="0"/>
        <w:spacing w:after="0" w:line="240" w:lineRule="auto"/>
        <w:jc w:val="both"/>
        <w:rPr>
          <w:rFonts w:ascii="Times New Roman" w:hAnsi="Times New Roman"/>
          <w:bCs/>
          <w:color w:val="000000" w:themeColor="text1"/>
        </w:rPr>
      </w:pPr>
      <w:proofErr w:type="gramStart"/>
      <w:r w:rsidRPr="00260790">
        <w:rPr>
          <w:rFonts w:ascii="Times New Roman" w:hAnsi="Times New Roman"/>
          <w:bCs/>
          <w:color w:val="000000" w:themeColor="text1"/>
        </w:rPr>
        <w:t>d</w:t>
      </w:r>
      <w:r w:rsidR="00794AD0" w:rsidRPr="00260790">
        <w:rPr>
          <w:rFonts w:ascii="Times New Roman" w:hAnsi="Times New Roman"/>
          <w:bCs/>
          <w:color w:val="000000" w:themeColor="text1"/>
        </w:rPr>
        <w:t>es</w:t>
      </w:r>
      <w:proofErr w:type="gramEnd"/>
      <w:r w:rsidR="00794AD0" w:rsidRPr="00260790">
        <w:rPr>
          <w:rFonts w:ascii="Times New Roman" w:hAnsi="Times New Roman"/>
          <w:bCs/>
          <w:color w:val="000000" w:themeColor="text1"/>
        </w:rPr>
        <w:t xml:space="preserve"> barbacanes pour assurer une fonction de drainage avec mise en œuvre de massifs drainants qui sont situés de part et d’autre du génie civil des cadres en béton armé</w:t>
      </w:r>
      <w:r w:rsidRPr="00260790">
        <w:rPr>
          <w:rFonts w:ascii="Times New Roman" w:hAnsi="Times New Roman"/>
          <w:bCs/>
          <w:color w:val="000000" w:themeColor="text1"/>
        </w:rPr>
        <w:t> ;</w:t>
      </w:r>
    </w:p>
    <w:p w14:paraId="537C1AC8" w14:textId="658E3D2F" w:rsidR="00794AD0" w:rsidRPr="00260790" w:rsidRDefault="00794AD0" w:rsidP="001748C6">
      <w:pPr>
        <w:numPr>
          <w:ilvl w:val="0"/>
          <w:numId w:val="143"/>
        </w:numPr>
        <w:autoSpaceDE w:val="0"/>
        <w:autoSpaceDN w:val="0"/>
        <w:adjustRightInd w:val="0"/>
        <w:spacing w:after="0" w:line="240" w:lineRule="auto"/>
        <w:jc w:val="both"/>
        <w:rPr>
          <w:rFonts w:ascii="Times New Roman" w:hAnsi="Times New Roman"/>
          <w:bCs/>
          <w:color w:val="000000" w:themeColor="text1"/>
        </w:rPr>
      </w:pPr>
      <w:proofErr w:type="gramStart"/>
      <w:r w:rsidRPr="00260790">
        <w:rPr>
          <w:rFonts w:ascii="Times New Roman" w:hAnsi="Times New Roman"/>
          <w:bCs/>
          <w:color w:val="000000" w:themeColor="text1"/>
        </w:rPr>
        <w:t>des</w:t>
      </w:r>
      <w:proofErr w:type="gramEnd"/>
      <w:r w:rsidRPr="00260790">
        <w:rPr>
          <w:rFonts w:ascii="Times New Roman" w:hAnsi="Times New Roman"/>
          <w:bCs/>
          <w:color w:val="000000" w:themeColor="text1"/>
        </w:rPr>
        <w:t xml:space="preserve"> regards de visite pour tout changement de direction du </w:t>
      </w:r>
      <w:r w:rsidR="007A0798" w:rsidRPr="00260790">
        <w:rPr>
          <w:rFonts w:ascii="Times New Roman" w:hAnsi="Times New Roman"/>
          <w:bCs/>
          <w:color w:val="000000" w:themeColor="text1"/>
        </w:rPr>
        <w:t>collecteur, et</w:t>
      </w:r>
      <w:r w:rsidRPr="00260790">
        <w:rPr>
          <w:rFonts w:ascii="Times New Roman" w:hAnsi="Times New Roman"/>
          <w:bCs/>
          <w:color w:val="000000" w:themeColor="text1"/>
        </w:rPr>
        <w:t xml:space="preserve"> tous les 30 mètres en moyenne et au maximum chaque 50 m sur les tronçons rectilignes</w:t>
      </w:r>
      <w:r w:rsidR="00740E9A" w:rsidRPr="00260790">
        <w:rPr>
          <w:rFonts w:ascii="Times New Roman" w:hAnsi="Times New Roman"/>
          <w:bCs/>
          <w:color w:val="000000" w:themeColor="text1"/>
        </w:rPr>
        <w:t> ;</w:t>
      </w:r>
    </w:p>
    <w:p w14:paraId="5B1C4265" w14:textId="6A291F0D" w:rsidR="00794AD0" w:rsidRDefault="00794AD0" w:rsidP="001748C6">
      <w:pPr>
        <w:numPr>
          <w:ilvl w:val="0"/>
          <w:numId w:val="143"/>
        </w:numPr>
        <w:autoSpaceDE w:val="0"/>
        <w:autoSpaceDN w:val="0"/>
        <w:adjustRightInd w:val="0"/>
        <w:spacing w:after="0" w:line="240" w:lineRule="auto"/>
        <w:jc w:val="both"/>
        <w:rPr>
          <w:rFonts w:ascii="Times New Roman" w:hAnsi="Times New Roman"/>
          <w:color w:val="000000" w:themeColor="text1"/>
          <w:lang w:eastAsia="fr-FR"/>
        </w:rPr>
      </w:pPr>
      <w:proofErr w:type="gramStart"/>
      <w:r w:rsidRPr="00260790">
        <w:rPr>
          <w:rFonts w:ascii="Times New Roman" w:hAnsi="Times New Roman"/>
          <w:bCs/>
          <w:color w:val="000000" w:themeColor="text1"/>
        </w:rPr>
        <w:t>des</w:t>
      </w:r>
      <w:proofErr w:type="gramEnd"/>
      <w:r w:rsidRPr="00260790">
        <w:rPr>
          <w:rFonts w:ascii="Times New Roman" w:hAnsi="Times New Roman"/>
          <w:bCs/>
          <w:color w:val="000000" w:themeColor="text1"/>
        </w:rPr>
        <w:t xml:space="preserve"> regards à grilles de forme rectangulaire, avec aménagement périphérique en cas d’absence de voirie, afin de limiter l’ensablement</w:t>
      </w:r>
      <w:r w:rsidRPr="00260790">
        <w:rPr>
          <w:rFonts w:ascii="Times New Roman" w:hAnsi="Times New Roman"/>
          <w:color w:val="000000" w:themeColor="text1"/>
          <w:lang w:eastAsia="fr-FR"/>
        </w:rPr>
        <w:t>.</w:t>
      </w:r>
    </w:p>
    <w:p w14:paraId="46993361" w14:textId="77777777" w:rsidR="00F75903" w:rsidRPr="00260790" w:rsidRDefault="00F75903" w:rsidP="0097258B">
      <w:pPr>
        <w:autoSpaceDE w:val="0"/>
        <w:autoSpaceDN w:val="0"/>
        <w:adjustRightInd w:val="0"/>
        <w:spacing w:after="0" w:line="240" w:lineRule="auto"/>
        <w:ind w:left="720"/>
        <w:jc w:val="both"/>
        <w:rPr>
          <w:rFonts w:ascii="Times New Roman" w:hAnsi="Times New Roman"/>
          <w:color w:val="000000" w:themeColor="text1"/>
          <w:lang w:eastAsia="fr-FR"/>
        </w:rPr>
      </w:pPr>
    </w:p>
    <w:p w14:paraId="43A582A6" w14:textId="123DAE86" w:rsidR="00794AD0" w:rsidRPr="00260790" w:rsidRDefault="0052155D" w:rsidP="003B6588">
      <w:pPr>
        <w:pStyle w:val="CHAPITRE1"/>
        <w:rPr>
          <w:rFonts w:cs="Times New Roman"/>
        </w:rPr>
      </w:pPr>
      <w:bookmarkStart w:id="62" w:name="_Toc212725086"/>
      <w:r>
        <w:rPr>
          <w:rFonts w:cs="Times New Roman"/>
        </w:rPr>
        <w:t>B</w:t>
      </w:r>
      <w:r w:rsidR="00794AD0" w:rsidRPr="00260790">
        <w:rPr>
          <w:rFonts w:cs="Times New Roman"/>
        </w:rPr>
        <w:t>assins</w:t>
      </w:r>
      <w:bookmarkEnd w:id="62"/>
    </w:p>
    <w:p w14:paraId="3F920467" w14:textId="13B54764" w:rsidR="00794AD0" w:rsidRPr="00260790" w:rsidRDefault="00794AD0"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Un ensemble de </w:t>
      </w:r>
      <w:r w:rsidRPr="00260790">
        <w:rPr>
          <w:rFonts w:ascii="Times New Roman" w:hAnsi="Times New Roman"/>
          <w:b/>
          <w:bCs/>
          <w:color w:val="000000" w:themeColor="text1"/>
        </w:rPr>
        <w:t>1</w:t>
      </w:r>
      <w:r w:rsidR="000552B7">
        <w:rPr>
          <w:rFonts w:ascii="Times New Roman" w:hAnsi="Times New Roman"/>
          <w:b/>
          <w:bCs/>
          <w:color w:val="000000" w:themeColor="text1"/>
        </w:rPr>
        <w:t>2</w:t>
      </w:r>
      <w:r w:rsidRPr="00260790">
        <w:rPr>
          <w:rFonts w:ascii="Times New Roman" w:hAnsi="Times New Roman"/>
          <w:b/>
          <w:bCs/>
          <w:color w:val="000000" w:themeColor="text1"/>
        </w:rPr>
        <w:t xml:space="preserve"> bassins</w:t>
      </w:r>
      <w:r w:rsidRPr="00260790">
        <w:rPr>
          <w:rFonts w:ascii="Times New Roman" w:hAnsi="Times New Roman"/>
          <w:color w:val="000000" w:themeColor="text1"/>
        </w:rPr>
        <w:t xml:space="preserve"> est à construire. Ils sont de forme et de taille différentes. Les bassins de rétention sont de deux types selon qu’ils soient destinés à être asséchés ou non. </w:t>
      </w:r>
    </w:p>
    <w:p w14:paraId="05701F70" w14:textId="77777777" w:rsidR="00794AD0" w:rsidRPr="00260790" w:rsidRDefault="00794AD0"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L’aménagement des bassins comprend :</w:t>
      </w:r>
    </w:p>
    <w:p w14:paraId="3972D066" w14:textId="77777777" w:rsidR="00794AD0" w:rsidRPr="00260790" w:rsidRDefault="00794AD0" w:rsidP="001748C6">
      <w:pPr>
        <w:numPr>
          <w:ilvl w:val="0"/>
          <w:numId w:val="143"/>
        </w:numPr>
        <w:autoSpaceDE w:val="0"/>
        <w:autoSpaceDN w:val="0"/>
        <w:adjustRightInd w:val="0"/>
        <w:spacing w:after="0" w:line="240" w:lineRule="auto"/>
        <w:jc w:val="both"/>
        <w:rPr>
          <w:rFonts w:ascii="Times New Roman" w:hAnsi="Times New Roman"/>
          <w:b/>
          <w:bCs/>
          <w:color w:val="000000" w:themeColor="text1"/>
        </w:rPr>
      </w:pPr>
      <w:r w:rsidRPr="00260790">
        <w:rPr>
          <w:rFonts w:ascii="Times New Roman" w:hAnsi="Times New Roman"/>
          <w:color w:val="000000" w:themeColor="text1"/>
          <w:lang w:eastAsia="fr-FR"/>
        </w:rPr>
        <w:t xml:space="preserve">Un chemin de contournement ; </w:t>
      </w:r>
    </w:p>
    <w:p w14:paraId="04B1A230" w14:textId="77777777" w:rsidR="00794AD0" w:rsidRPr="00260790" w:rsidRDefault="00794AD0" w:rsidP="001748C6">
      <w:pPr>
        <w:numPr>
          <w:ilvl w:val="0"/>
          <w:numId w:val="143"/>
        </w:numPr>
        <w:autoSpaceDE w:val="0"/>
        <w:autoSpaceDN w:val="0"/>
        <w:adjustRightInd w:val="0"/>
        <w:spacing w:after="0" w:line="240" w:lineRule="auto"/>
        <w:jc w:val="both"/>
        <w:rPr>
          <w:rFonts w:ascii="Times New Roman" w:hAnsi="Times New Roman"/>
          <w:b/>
          <w:bCs/>
          <w:color w:val="000000" w:themeColor="text1"/>
        </w:rPr>
      </w:pPr>
      <w:r w:rsidRPr="00260790">
        <w:rPr>
          <w:rFonts w:ascii="Times New Roman" w:hAnsi="Times New Roman"/>
          <w:color w:val="000000" w:themeColor="text1"/>
        </w:rPr>
        <w:t>Un nivellement de fond profilé par des pentes transversales et longitudinales pour faciliter les écoulements des eaux et conservé à l’état naturel amélioré par un bon compactage ;</w:t>
      </w:r>
    </w:p>
    <w:p w14:paraId="2DA7C9B4" w14:textId="0CA93236" w:rsidR="00794AD0" w:rsidRPr="00260790" w:rsidRDefault="00794AD0" w:rsidP="001748C6">
      <w:pPr>
        <w:numPr>
          <w:ilvl w:val="0"/>
          <w:numId w:val="143"/>
        </w:numPr>
        <w:autoSpaceDE w:val="0"/>
        <w:autoSpaceDN w:val="0"/>
        <w:adjustRightInd w:val="0"/>
        <w:spacing w:after="0" w:line="240" w:lineRule="auto"/>
        <w:jc w:val="both"/>
        <w:rPr>
          <w:rFonts w:ascii="Times New Roman" w:hAnsi="Times New Roman"/>
          <w:b/>
          <w:bCs/>
          <w:color w:val="000000" w:themeColor="text1"/>
        </w:rPr>
      </w:pPr>
      <w:r w:rsidRPr="00260790">
        <w:rPr>
          <w:rFonts w:ascii="Times New Roman" w:hAnsi="Times New Roman"/>
          <w:color w:val="000000" w:themeColor="text1"/>
          <w:lang w:eastAsia="fr-FR"/>
        </w:rPr>
        <w:t xml:space="preserve">Des rampes d’accès au bassin (2 par bassin) </w:t>
      </w:r>
      <w:r w:rsidRPr="00260790">
        <w:rPr>
          <w:rFonts w:ascii="Times New Roman" w:hAnsi="Times New Roman"/>
          <w:color w:val="000000" w:themeColor="text1"/>
        </w:rPr>
        <w:t xml:space="preserve">en béton armé avec ciment spécial CMIII et seront d’une largeur d’au moins 5.00 m avec une porte d’accès pouvant être fermé </w:t>
      </w:r>
      <w:r w:rsidRPr="00260790">
        <w:rPr>
          <w:rFonts w:ascii="Times New Roman" w:hAnsi="Times New Roman"/>
          <w:color w:val="000000" w:themeColor="text1"/>
          <w:lang w:eastAsia="fr-FR"/>
        </w:rPr>
        <w:t xml:space="preserve">; </w:t>
      </w:r>
    </w:p>
    <w:p w14:paraId="18F1D60F" w14:textId="77777777" w:rsidR="00794AD0" w:rsidRPr="00260790" w:rsidRDefault="00794AD0" w:rsidP="001748C6">
      <w:pPr>
        <w:numPr>
          <w:ilvl w:val="0"/>
          <w:numId w:val="143"/>
        </w:numPr>
        <w:autoSpaceDE w:val="0"/>
        <w:autoSpaceDN w:val="0"/>
        <w:adjustRightInd w:val="0"/>
        <w:spacing w:after="0" w:line="240" w:lineRule="auto"/>
        <w:jc w:val="both"/>
        <w:rPr>
          <w:rFonts w:ascii="Times New Roman" w:hAnsi="Times New Roman"/>
          <w:b/>
          <w:bCs/>
          <w:color w:val="000000" w:themeColor="text1"/>
        </w:rPr>
      </w:pPr>
      <w:r w:rsidRPr="00260790">
        <w:rPr>
          <w:rFonts w:ascii="Times New Roman" w:hAnsi="Times New Roman"/>
          <w:color w:val="000000" w:themeColor="text1"/>
          <w:lang w:eastAsia="fr-FR"/>
        </w:rPr>
        <w:t>Des murets en dur ou en grillage pour la protection des riverains comportant trois portes, dont une grande porte au niveau de la rampe d’accès pour le passage des véhicules d’entretien</w:t>
      </w:r>
    </w:p>
    <w:p w14:paraId="10ADC4DC" w14:textId="77777777" w:rsidR="00794AD0" w:rsidRPr="00260790" w:rsidRDefault="00794AD0" w:rsidP="001748C6">
      <w:pPr>
        <w:numPr>
          <w:ilvl w:val="0"/>
          <w:numId w:val="143"/>
        </w:numPr>
        <w:autoSpaceDE w:val="0"/>
        <w:autoSpaceDN w:val="0"/>
        <w:adjustRightInd w:val="0"/>
        <w:spacing w:after="0" w:line="240" w:lineRule="auto"/>
        <w:jc w:val="both"/>
        <w:rPr>
          <w:rFonts w:ascii="Times New Roman" w:hAnsi="Times New Roman"/>
          <w:b/>
          <w:bCs/>
          <w:color w:val="000000" w:themeColor="text1"/>
        </w:rPr>
      </w:pPr>
      <w:r w:rsidRPr="00260790">
        <w:rPr>
          <w:rFonts w:ascii="Times New Roman" w:hAnsi="Times New Roman"/>
          <w:color w:val="000000" w:themeColor="text1"/>
          <w:lang w:eastAsia="fr-FR"/>
        </w:rPr>
        <w:t>Des barrières cadenassées ;</w:t>
      </w:r>
      <w:r w:rsidRPr="00260790">
        <w:rPr>
          <w:rFonts w:ascii="Times New Roman" w:hAnsi="Times New Roman"/>
          <w:color w:val="000000" w:themeColor="text1"/>
        </w:rPr>
        <w:t xml:space="preserve"> </w:t>
      </w:r>
    </w:p>
    <w:p w14:paraId="7565E35E" w14:textId="77777777" w:rsidR="00794AD0" w:rsidRPr="00260790" w:rsidRDefault="00794AD0" w:rsidP="001748C6">
      <w:pPr>
        <w:numPr>
          <w:ilvl w:val="0"/>
          <w:numId w:val="143"/>
        </w:numPr>
        <w:autoSpaceDE w:val="0"/>
        <w:autoSpaceDN w:val="0"/>
        <w:adjustRightInd w:val="0"/>
        <w:spacing w:after="0" w:line="240" w:lineRule="auto"/>
        <w:jc w:val="both"/>
        <w:rPr>
          <w:rFonts w:ascii="Times New Roman" w:hAnsi="Times New Roman"/>
          <w:b/>
          <w:bCs/>
          <w:color w:val="000000" w:themeColor="text1"/>
        </w:rPr>
      </w:pPr>
      <w:r w:rsidRPr="00260790">
        <w:rPr>
          <w:rFonts w:ascii="Times New Roman" w:hAnsi="Times New Roman"/>
          <w:color w:val="000000" w:themeColor="text1"/>
          <w:lang w:eastAsia="fr-FR"/>
        </w:rPr>
        <w:t>Des parois constituées de murs en parpaing ;</w:t>
      </w:r>
    </w:p>
    <w:p w14:paraId="60D076DF" w14:textId="77777777" w:rsidR="00794AD0" w:rsidRPr="00260790" w:rsidRDefault="00794AD0" w:rsidP="001748C6">
      <w:pPr>
        <w:numPr>
          <w:ilvl w:val="0"/>
          <w:numId w:val="143"/>
        </w:numPr>
        <w:autoSpaceDE w:val="0"/>
        <w:autoSpaceDN w:val="0"/>
        <w:adjustRightInd w:val="0"/>
        <w:spacing w:after="0" w:line="240" w:lineRule="auto"/>
        <w:jc w:val="both"/>
        <w:rPr>
          <w:rFonts w:ascii="Times New Roman" w:hAnsi="Times New Roman"/>
          <w:b/>
          <w:bCs/>
          <w:color w:val="000000" w:themeColor="text1"/>
        </w:rPr>
      </w:pPr>
      <w:r w:rsidRPr="00260790">
        <w:rPr>
          <w:rFonts w:ascii="Times New Roman" w:hAnsi="Times New Roman"/>
          <w:color w:val="000000" w:themeColor="text1"/>
          <w:lang w:eastAsia="fr-FR"/>
        </w:rPr>
        <w:t xml:space="preserve">Des enrochements de protection ; </w:t>
      </w:r>
    </w:p>
    <w:p w14:paraId="386D2E3E" w14:textId="77777777" w:rsidR="00794AD0" w:rsidRPr="00260790" w:rsidRDefault="00794AD0" w:rsidP="001748C6">
      <w:pPr>
        <w:pStyle w:val="Paragraphedeliste"/>
        <w:numPr>
          <w:ilvl w:val="0"/>
          <w:numId w:val="143"/>
        </w:numPr>
        <w:spacing w:line="240" w:lineRule="auto"/>
        <w:jc w:val="both"/>
        <w:rPr>
          <w:rFonts w:ascii="Times New Roman" w:hAnsi="Times New Roman"/>
          <w:color w:val="000000" w:themeColor="text1"/>
        </w:rPr>
      </w:pPr>
      <w:r w:rsidRPr="00260790">
        <w:rPr>
          <w:rFonts w:ascii="Times New Roman" w:hAnsi="Times New Roman"/>
          <w:color w:val="000000" w:themeColor="text1"/>
        </w:rPr>
        <w:t>Des grilles de protection des départs des collecteurs de fuite pour diminuer les risques de bouchage ;</w:t>
      </w:r>
    </w:p>
    <w:p w14:paraId="4F93C336" w14:textId="77777777" w:rsidR="00794AD0" w:rsidRPr="00260790" w:rsidRDefault="00794AD0" w:rsidP="001748C6">
      <w:pPr>
        <w:pStyle w:val="Paragraphedeliste"/>
        <w:numPr>
          <w:ilvl w:val="0"/>
          <w:numId w:val="341"/>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Des vannes pour contrôler les niveaux et les débits ; </w:t>
      </w:r>
    </w:p>
    <w:p w14:paraId="72B4BB6A" w14:textId="77777777" w:rsidR="00794AD0" w:rsidRPr="00260790" w:rsidRDefault="00794AD0" w:rsidP="001748C6">
      <w:pPr>
        <w:pStyle w:val="Paragraphedeliste"/>
        <w:numPr>
          <w:ilvl w:val="0"/>
          <w:numId w:val="341"/>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Des panneaux de signalisation spécifiques aux alentours des bassins ;</w:t>
      </w:r>
    </w:p>
    <w:p w14:paraId="1A86D8AE" w14:textId="104882DB" w:rsidR="00794AD0" w:rsidRPr="00260790" w:rsidRDefault="00794AD0" w:rsidP="001748C6">
      <w:pPr>
        <w:numPr>
          <w:ilvl w:val="0"/>
          <w:numId w:val="143"/>
        </w:numPr>
        <w:autoSpaceDE w:val="0"/>
        <w:autoSpaceDN w:val="0"/>
        <w:adjustRightInd w:val="0"/>
        <w:spacing w:after="0"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Un dispositif d’éclairage public</w:t>
      </w:r>
      <w:r w:rsidR="00680C47">
        <w:rPr>
          <w:rFonts w:ascii="Times New Roman" w:hAnsi="Times New Roman"/>
          <w:color w:val="000000" w:themeColor="text1"/>
          <w:lang w:eastAsia="fr-FR"/>
        </w:rPr>
        <w:t xml:space="preserve"> </w:t>
      </w:r>
      <w:r w:rsidR="00BC0A71">
        <w:rPr>
          <w:rFonts w:ascii="Times New Roman" w:hAnsi="Times New Roman"/>
          <w:color w:val="000000" w:themeColor="text1"/>
          <w:lang w:eastAsia="fr-FR"/>
        </w:rPr>
        <w:t xml:space="preserve">comprenant le </w:t>
      </w:r>
      <w:r w:rsidR="00BC0A71" w:rsidRPr="00BC0A71">
        <w:rPr>
          <w:rFonts w:ascii="Times New Roman" w:hAnsi="Times New Roman"/>
          <w:color w:val="000000" w:themeColor="text1"/>
          <w:lang w:eastAsia="fr-FR"/>
        </w:rPr>
        <w:t>montage de lampadaires photovoltaïques</w:t>
      </w:r>
      <w:r w:rsidRPr="00260790">
        <w:rPr>
          <w:rFonts w:ascii="Times New Roman" w:hAnsi="Times New Roman"/>
          <w:color w:val="000000" w:themeColor="text1"/>
          <w:lang w:eastAsia="fr-FR"/>
        </w:rPr>
        <w:t> ;</w:t>
      </w:r>
    </w:p>
    <w:p w14:paraId="423358C3" w14:textId="77777777" w:rsidR="00794AD0" w:rsidRPr="00260790" w:rsidRDefault="00794AD0" w:rsidP="001748C6">
      <w:pPr>
        <w:numPr>
          <w:ilvl w:val="0"/>
          <w:numId w:val="143"/>
        </w:numPr>
        <w:autoSpaceDE w:val="0"/>
        <w:autoSpaceDN w:val="0"/>
        <w:adjustRightInd w:val="0"/>
        <w:spacing w:line="240" w:lineRule="auto"/>
        <w:jc w:val="both"/>
        <w:rPr>
          <w:rFonts w:ascii="Times New Roman" w:hAnsi="Times New Roman"/>
          <w:b/>
          <w:bCs/>
          <w:color w:val="000000" w:themeColor="text1"/>
        </w:rPr>
      </w:pPr>
      <w:r w:rsidRPr="00260790">
        <w:rPr>
          <w:rFonts w:ascii="Times New Roman" w:hAnsi="Times New Roman"/>
          <w:color w:val="000000" w:themeColor="text1"/>
          <w:lang w:eastAsia="fr-FR"/>
        </w:rPr>
        <w:t>Un local de surveillance, etc.</w:t>
      </w:r>
    </w:p>
    <w:p w14:paraId="10F3FB9B" w14:textId="01AEC3F7" w:rsidR="00794AD0" w:rsidRPr="00260790" w:rsidRDefault="00794AD0" w:rsidP="003B6588">
      <w:pPr>
        <w:pStyle w:val="CHAPITRE1"/>
        <w:rPr>
          <w:rFonts w:cs="Times New Roman"/>
        </w:rPr>
      </w:pPr>
      <w:bookmarkStart w:id="63" w:name="_Toc212725087"/>
      <w:r w:rsidRPr="00260790">
        <w:rPr>
          <w:rFonts w:cs="Times New Roman"/>
        </w:rPr>
        <w:t>Aménagement du marigot et de ses berges</w:t>
      </w:r>
      <w:bookmarkEnd w:id="63"/>
    </w:p>
    <w:p w14:paraId="7B0810CB" w14:textId="77777777" w:rsidR="00794AD0" w:rsidRPr="00260790" w:rsidRDefault="00794AD0" w:rsidP="00E20250">
      <w:pPr>
        <w:spacing w:line="240" w:lineRule="auto"/>
        <w:rPr>
          <w:rFonts w:ascii="Times New Roman" w:hAnsi="Times New Roman"/>
          <w:color w:val="000000" w:themeColor="text1"/>
        </w:rPr>
      </w:pPr>
      <w:r w:rsidRPr="00260790">
        <w:rPr>
          <w:rFonts w:ascii="Times New Roman" w:hAnsi="Times New Roman"/>
          <w:color w:val="000000" w:themeColor="text1"/>
        </w:rPr>
        <w:t xml:space="preserve">Les terrassements constituent la part la plus importante de ce volet. </w:t>
      </w:r>
    </w:p>
    <w:p w14:paraId="7F793161" w14:textId="55F37F89" w:rsidR="00794AD0" w:rsidRPr="00260790" w:rsidRDefault="00794AD0" w:rsidP="00E20250">
      <w:pPr>
        <w:spacing w:line="240" w:lineRule="auto"/>
        <w:rPr>
          <w:rFonts w:ascii="Times New Roman" w:hAnsi="Times New Roman"/>
          <w:color w:val="000000" w:themeColor="text1"/>
        </w:rPr>
      </w:pPr>
      <w:r w:rsidRPr="00260790">
        <w:rPr>
          <w:rFonts w:ascii="Times New Roman" w:hAnsi="Times New Roman"/>
          <w:color w:val="000000" w:themeColor="text1"/>
        </w:rPr>
        <w:t>Par le terme terrassement</w:t>
      </w:r>
      <w:r w:rsidR="0085738E" w:rsidRPr="00260790">
        <w:rPr>
          <w:rFonts w:ascii="Times New Roman" w:hAnsi="Times New Roman"/>
          <w:color w:val="000000" w:themeColor="text1"/>
        </w:rPr>
        <w:t>,</w:t>
      </w:r>
      <w:r w:rsidRPr="00260790">
        <w:rPr>
          <w:rFonts w:ascii="Times New Roman" w:hAnsi="Times New Roman"/>
          <w:color w:val="000000" w:themeColor="text1"/>
        </w:rPr>
        <w:t xml:space="preserve"> il est entendu les opérations suivantes :</w:t>
      </w:r>
    </w:p>
    <w:p w14:paraId="67685D55" w14:textId="2E6550B1" w:rsidR="00794AD0" w:rsidRPr="00260790" w:rsidRDefault="00BA3AD9" w:rsidP="001748C6">
      <w:pPr>
        <w:numPr>
          <w:ilvl w:val="0"/>
          <w:numId w:val="143"/>
        </w:numPr>
        <w:autoSpaceDE w:val="0"/>
        <w:autoSpaceDN w:val="0"/>
        <w:adjustRightInd w:val="0"/>
        <w:spacing w:after="0" w:line="240" w:lineRule="auto"/>
        <w:jc w:val="both"/>
        <w:rPr>
          <w:rFonts w:ascii="Times New Roman" w:hAnsi="Times New Roman"/>
          <w:color w:val="000000" w:themeColor="text1"/>
          <w:lang w:eastAsia="fr-FR"/>
        </w:rPr>
      </w:pPr>
      <w:proofErr w:type="gramStart"/>
      <w:r w:rsidRPr="00260790">
        <w:rPr>
          <w:rFonts w:ascii="Times New Roman" w:hAnsi="Times New Roman"/>
          <w:color w:val="000000" w:themeColor="text1"/>
          <w:lang w:eastAsia="fr-FR"/>
        </w:rPr>
        <w:t>l</w:t>
      </w:r>
      <w:r w:rsidR="00794AD0" w:rsidRPr="00260790">
        <w:rPr>
          <w:rFonts w:ascii="Times New Roman" w:hAnsi="Times New Roman"/>
          <w:color w:val="000000" w:themeColor="text1"/>
          <w:lang w:eastAsia="fr-FR"/>
        </w:rPr>
        <w:t>e</w:t>
      </w:r>
      <w:proofErr w:type="gramEnd"/>
      <w:r w:rsidR="00794AD0" w:rsidRPr="00260790">
        <w:rPr>
          <w:rFonts w:ascii="Times New Roman" w:hAnsi="Times New Roman"/>
          <w:color w:val="000000" w:themeColor="text1"/>
          <w:lang w:eastAsia="fr-FR"/>
        </w:rPr>
        <w:t xml:space="preserve"> débroussaillage, dessouchage et purge des emprises de travaux</w:t>
      </w:r>
      <w:r w:rsidRPr="00260790">
        <w:rPr>
          <w:rFonts w:ascii="Times New Roman" w:hAnsi="Times New Roman"/>
          <w:color w:val="000000" w:themeColor="text1"/>
          <w:lang w:eastAsia="fr-FR"/>
        </w:rPr>
        <w:t> ;</w:t>
      </w:r>
    </w:p>
    <w:p w14:paraId="29D172E7" w14:textId="7FD5742F" w:rsidR="00794AD0" w:rsidRPr="00260790" w:rsidRDefault="00BA3AD9" w:rsidP="001748C6">
      <w:pPr>
        <w:numPr>
          <w:ilvl w:val="0"/>
          <w:numId w:val="143"/>
        </w:numPr>
        <w:autoSpaceDE w:val="0"/>
        <w:autoSpaceDN w:val="0"/>
        <w:adjustRightInd w:val="0"/>
        <w:spacing w:after="0" w:line="240" w:lineRule="auto"/>
        <w:jc w:val="both"/>
        <w:rPr>
          <w:rFonts w:ascii="Times New Roman" w:hAnsi="Times New Roman"/>
          <w:color w:val="000000" w:themeColor="text1"/>
          <w:lang w:eastAsia="fr-FR"/>
        </w:rPr>
      </w:pPr>
      <w:proofErr w:type="gramStart"/>
      <w:r w:rsidRPr="00260790">
        <w:rPr>
          <w:rFonts w:ascii="Times New Roman" w:hAnsi="Times New Roman"/>
          <w:color w:val="000000" w:themeColor="text1"/>
          <w:lang w:eastAsia="fr-FR"/>
        </w:rPr>
        <w:t>l</w:t>
      </w:r>
      <w:r w:rsidR="00794AD0" w:rsidRPr="00260790">
        <w:rPr>
          <w:rFonts w:ascii="Times New Roman" w:hAnsi="Times New Roman"/>
          <w:color w:val="000000" w:themeColor="text1"/>
          <w:lang w:eastAsia="fr-FR"/>
        </w:rPr>
        <w:t>e</w:t>
      </w:r>
      <w:proofErr w:type="gramEnd"/>
      <w:r w:rsidR="00794AD0" w:rsidRPr="00260790">
        <w:rPr>
          <w:rFonts w:ascii="Times New Roman" w:hAnsi="Times New Roman"/>
          <w:color w:val="000000" w:themeColor="text1"/>
          <w:lang w:eastAsia="fr-FR"/>
        </w:rPr>
        <w:t xml:space="preserve"> décapage du terrain d'emprise des risbermes et des digues éventuelles ;</w:t>
      </w:r>
    </w:p>
    <w:p w14:paraId="6331C668" w14:textId="3AD71FC4" w:rsidR="00794AD0" w:rsidRPr="00260790" w:rsidRDefault="00BA3AD9" w:rsidP="001748C6">
      <w:pPr>
        <w:numPr>
          <w:ilvl w:val="0"/>
          <w:numId w:val="143"/>
        </w:numPr>
        <w:autoSpaceDE w:val="0"/>
        <w:autoSpaceDN w:val="0"/>
        <w:adjustRightInd w:val="0"/>
        <w:spacing w:after="0" w:line="240" w:lineRule="auto"/>
        <w:jc w:val="both"/>
        <w:rPr>
          <w:rFonts w:ascii="Times New Roman" w:hAnsi="Times New Roman"/>
          <w:color w:val="000000" w:themeColor="text1"/>
          <w:lang w:eastAsia="fr-FR"/>
        </w:rPr>
      </w:pPr>
      <w:proofErr w:type="gramStart"/>
      <w:r w:rsidRPr="00260790">
        <w:rPr>
          <w:rFonts w:ascii="Times New Roman" w:hAnsi="Times New Roman"/>
          <w:color w:val="000000" w:themeColor="text1"/>
          <w:lang w:eastAsia="fr-FR"/>
        </w:rPr>
        <w:t>l</w:t>
      </w:r>
      <w:r w:rsidR="00794AD0" w:rsidRPr="00260790">
        <w:rPr>
          <w:rFonts w:ascii="Times New Roman" w:hAnsi="Times New Roman"/>
          <w:color w:val="000000" w:themeColor="text1"/>
          <w:lang w:eastAsia="fr-FR"/>
        </w:rPr>
        <w:t>e</w:t>
      </w:r>
      <w:proofErr w:type="gramEnd"/>
      <w:r w:rsidR="00794AD0" w:rsidRPr="00260790">
        <w:rPr>
          <w:rFonts w:ascii="Times New Roman" w:hAnsi="Times New Roman"/>
          <w:color w:val="000000" w:themeColor="text1"/>
          <w:lang w:eastAsia="fr-FR"/>
        </w:rPr>
        <w:t xml:space="preserve"> faucardage mécanique dans la voie d'eau ;</w:t>
      </w:r>
    </w:p>
    <w:p w14:paraId="0795705B" w14:textId="3A20C604" w:rsidR="00794AD0" w:rsidRPr="00260790" w:rsidRDefault="00BA3AD9" w:rsidP="001748C6">
      <w:pPr>
        <w:numPr>
          <w:ilvl w:val="0"/>
          <w:numId w:val="143"/>
        </w:numPr>
        <w:autoSpaceDE w:val="0"/>
        <w:autoSpaceDN w:val="0"/>
        <w:adjustRightInd w:val="0"/>
        <w:spacing w:after="0" w:line="240" w:lineRule="auto"/>
        <w:jc w:val="both"/>
        <w:rPr>
          <w:rFonts w:ascii="Times New Roman" w:hAnsi="Times New Roman"/>
          <w:color w:val="000000" w:themeColor="text1"/>
          <w:lang w:eastAsia="fr-FR"/>
        </w:rPr>
      </w:pPr>
      <w:proofErr w:type="gramStart"/>
      <w:r w:rsidRPr="00260790">
        <w:rPr>
          <w:rFonts w:ascii="Times New Roman" w:hAnsi="Times New Roman"/>
          <w:color w:val="000000" w:themeColor="text1"/>
          <w:lang w:eastAsia="fr-FR"/>
        </w:rPr>
        <w:t>l</w:t>
      </w:r>
      <w:r w:rsidR="00794AD0" w:rsidRPr="00260790">
        <w:rPr>
          <w:rFonts w:ascii="Times New Roman" w:hAnsi="Times New Roman"/>
          <w:color w:val="000000" w:themeColor="text1"/>
          <w:lang w:eastAsia="fr-FR"/>
        </w:rPr>
        <w:t>e</w:t>
      </w:r>
      <w:proofErr w:type="gramEnd"/>
      <w:r w:rsidR="00794AD0" w:rsidRPr="00260790">
        <w:rPr>
          <w:rFonts w:ascii="Times New Roman" w:hAnsi="Times New Roman"/>
          <w:color w:val="000000" w:themeColor="text1"/>
          <w:lang w:eastAsia="fr-FR"/>
        </w:rPr>
        <w:t xml:space="preserve"> curage et le reprofilage du marigot au gabarit hydraulique retenu, ainsi que la mise en dépôt des déblais au niveau des zones de stockage</w:t>
      </w:r>
      <w:r w:rsidRPr="00260790">
        <w:rPr>
          <w:rFonts w:ascii="Times New Roman" w:hAnsi="Times New Roman"/>
          <w:color w:val="000000" w:themeColor="text1"/>
          <w:lang w:eastAsia="fr-FR"/>
        </w:rPr>
        <w:t> ;</w:t>
      </w:r>
    </w:p>
    <w:p w14:paraId="0B040E1B" w14:textId="16595349" w:rsidR="00794AD0" w:rsidRPr="00260790" w:rsidRDefault="00BA3AD9" w:rsidP="001748C6">
      <w:pPr>
        <w:numPr>
          <w:ilvl w:val="0"/>
          <w:numId w:val="143"/>
        </w:numPr>
        <w:autoSpaceDE w:val="0"/>
        <w:autoSpaceDN w:val="0"/>
        <w:adjustRightInd w:val="0"/>
        <w:spacing w:after="0" w:line="240" w:lineRule="auto"/>
        <w:jc w:val="both"/>
        <w:rPr>
          <w:rFonts w:ascii="Times New Roman" w:hAnsi="Times New Roman"/>
          <w:color w:val="000000" w:themeColor="text1"/>
          <w:lang w:eastAsia="fr-FR"/>
        </w:rPr>
      </w:pPr>
      <w:proofErr w:type="gramStart"/>
      <w:r w:rsidRPr="00260790">
        <w:rPr>
          <w:rFonts w:ascii="Times New Roman" w:hAnsi="Times New Roman"/>
          <w:color w:val="000000" w:themeColor="text1"/>
          <w:lang w:eastAsia="fr-FR"/>
        </w:rPr>
        <w:t>l</w:t>
      </w:r>
      <w:r w:rsidR="00794AD0" w:rsidRPr="00260790">
        <w:rPr>
          <w:rFonts w:ascii="Times New Roman" w:hAnsi="Times New Roman"/>
          <w:color w:val="000000" w:themeColor="text1"/>
          <w:lang w:eastAsia="fr-FR"/>
        </w:rPr>
        <w:t>’enlèvement</w:t>
      </w:r>
      <w:proofErr w:type="gramEnd"/>
      <w:r w:rsidR="00794AD0" w:rsidRPr="00260790">
        <w:rPr>
          <w:rFonts w:ascii="Times New Roman" w:hAnsi="Times New Roman"/>
          <w:color w:val="000000" w:themeColor="text1"/>
          <w:lang w:eastAsia="fr-FR"/>
        </w:rPr>
        <w:t xml:space="preserve"> des déblais mis en dépôt et secs, ainsi que leur transport en zone de dépôt définitif</w:t>
      </w:r>
      <w:r w:rsidRPr="00260790">
        <w:rPr>
          <w:rFonts w:ascii="Times New Roman" w:hAnsi="Times New Roman"/>
          <w:color w:val="000000" w:themeColor="text1"/>
          <w:lang w:eastAsia="fr-FR"/>
        </w:rPr>
        <w:t> ;</w:t>
      </w:r>
    </w:p>
    <w:p w14:paraId="359DDA61" w14:textId="7BDCC419" w:rsidR="00794AD0" w:rsidRPr="00260790" w:rsidRDefault="00BA3AD9" w:rsidP="001748C6">
      <w:pPr>
        <w:numPr>
          <w:ilvl w:val="0"/>
          <w:numId w:val="143"/>
        </w:numPr>
        <w:autoSpaceDE w:val="0"/>
        <w:autoSpaceDN w:val="0"/>
        <w:adjustRightInd w:val="0"/>
        <w:spacing w:after="0" w:line="240" w:lineRule="auto"/>
        <w:jc w:val="both"/>
        <w:rPr>
          <w:rFonts w:ascii="Times New Roman" w:hAnsi="Times New Roman"/>
          <w:color w:val="000000" w:themeColor="text1"/>
          <w:lang w:eastAsia="fr-FR"/>
        </w:rPr>
      </w:pPr>
      <w:proofErr w:type="gramStart"/>
      <w:r w:rsidRPr="00260790">
        <w:rPr>
          <w:rFonts w:ascii="Times New Roman" w:hAnsi="Times New Roman"/>
          <w:color w:val="000000" w:themeColor="text1"/>
          <w:lang w:eastAsia="fr-FR"/>
        </w:rPr>
        <w:lastRenderedPageBreak/>
        <w:t>l</w:t>
      </w:r>
      <w:r w:rsidR="00794AD0" w:rsidRPr="00260790">
        <w:rPr>
          <w:rFonts w:ascii="Times New Roman" w:hAnsi="Times New Roman"/>
          <w:color w:val="000000" w:themeColor="text1"/>
          <w:lang w:eastAsia="fr-FR"/>
        </w:rPr>
        <w:t>a</w:t>
      </w:r>
      <w:proofErr w:type="gramEnd"/>
      <w:r w:rsidR="00794AD0" w:rsidRPr="00260790">
        <w:rPr>
          <w:rFonts w:ascii="Times New Roman" w:hAnsi="Times New Roman"/>
          <w:color w:val="000000" w:themeColor="text1"/>
          <w:lang w:eastAsia="fr-FR"/>
        </w:rPr>
        <w:t xml:space="preserve"> réalisation en remblai des plateformes et digues de protection contre les débordements le long du marigot</w:t>
      </w:r>
      <w:r w:rsidRPr="00260790">
        <w:rPr>
          <w:rFonts w:ascii="Times New Roman" w:hAnsi="Times New Roman"/>
          <w:color w:val="000000" w:themeColor="text1"/>
          <w:lang w:eastAsia="fr-FR"/>
        </w:rPr>
        <w:t> ;</w:t>
      </w:r>
    </w:p>
    <w:p w14:paraId="03CF9A67" w14:textId="5F5BF634" w:rsidR="00794AD0" w:rsidRPr="00260790" w:rsidRDefault="00BA3AD9" w:rsidP="001748C6">
      <w:pPr>
        <w:numPr>
          <w:ilvl w:val="0"/>
          <w:numId w:val="143"/>
        </w:numPr>
        <w:autoSpaceDE w:val="0"/>
        <w:autoSpaceDN w:val="0"/>
        <w:adjustRightInd w:val="0"/>
        <w:spacing w:after="0" w:line="240" w:lineRule="auto"/>
        <w:jc w:val="both"/>
        <w:rPr>
          <w:rFonts w:ascii="Times New Roman" w:hAnsi="Times New Roman"/>
          <w:color w:val="000000" w:themeColor="text1"/>
        </w:rPr>
      </w:pPr>
      <w:proofErr w:type="gramStart"/>
      <w:r w:rsidRPr="00260790">
        <w:rPr>
          <w:rFonts w:ascii="Times New Roman" w:hAnsi="Times New Roman"/>
          <w:color w:val="000000" w:themeColor="text1"/>
          <w:lang w:eastAsia="fr-FR"/>
        </w:rPr>
        <w:t>l</w:t>
      </w:r>
      <w:r w:rsidR="00794AD0" w:rsidRPr="00260790">
        <w:rPr>
          <w:rFonts w:ascii="Times New Roman" w:hAnsi="Times New Roman"/>
          <w:color w:val="000000" w:themeColor="text1"/>
          <w:lang w:eastAsia="fr-FR"/>
        </w:rPr>
        <w:t>a</w:t>
      </w:r>
      <w:proofErr w:type="gramEnd"/>
      <w:r w:rsidR="00794AD0" w:rsidRPr="00260790">
        <w:rPr>
          <w:rFonts w:ascii="Times New Roman" w:hAnsi="Times New Roman"/>
          <w:color w:val="000000" w:themeColor="text1"/>
          <w:lang w:eastAsia="fr-FR"/>
        </w:rPr>
        <w:t xml:space="preserve"> réalisation en remblai des routes et pistes de circulation dédiées, y compris leur revêtement le cas échéant.</w:t>
      </w:r>
    </w:p>
    <w:p w14:paraId="4E6308C1" w14:textId="77777777" w:rsidR="00794AD0" w:rsidRPr="00260790" w:rsidRDefault="00794AD0" w:rsidP="00E20250">
      <w:pPr>
        <w:keepNext/>
        <w:spacing w:after="0" w:line="240" w:lineRule="auto"/>
        <w:jc w:val="center"/>
        <w:rPr>
          <w:rFonts w:ascii="Times New Roman" w:hAnsi="Times New Roman"/>
          <w:color w:val="000000" w:themeColor="text1"/>
          <w:sz w:val="24"/>
          <w:szCs w:val="24"/>
        </w:rPr>
      </w:pPr>
      <w:r w:rsidRPr="00260790">
        <w:rPr>
          <w:rFonts w:ascii="Times New Roman" w:hAnsi="Times New Roman"/>
          <w:noProof/>
          <w:color w:val="000000" w:themeColor="text1"/>
          <w:sz w:val="24"/>
          <w:szCs w:val="24"/>
          <w:lang w:val="en-US"/>
        </w:rPr>
        <w:drawing>
          <wp:inline distT="0" distB="0" distL="0" distR="0" wp14:anchorId="44DD0A14" wp14:editId="45F9C3D3">
            <wp:extent cx="3923204" cy="4153710"/>
            <wp:effectExtent l="0" t="0" r="1270" b="0"/>
            <wp:docPr id="144777115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71159" name=""/>
                    <pic:cNvPicPr/>
                  </pic:nvPicPr>
                  <pic:blipFill>
                    <a:blip r:embed="rId17" cstate="email">
                      <a:extLst>
                        <a:ext uri="{28A0092B-C50C-407E-A947-70E740481C1C}">
                          <a14:useLocalDpi xmlns:a14="http://schemas.microsoft.com/office/drawing/2010/main"/>
                        </a:ext>
                      </a:extLst>
                    </a:blip>
                    <a:stretch>
                      <a:fillRect/>
                    </a:stretch>
                  </pic:blipFill>
                  <pic:spPr>
                    <a:xfrm>
                      <a:off x="0" y="0"/>
                      <a:ext cx="4035745" cy="4272863"/>
                    </a:xfrm>
                    <a:prstGeom prst="rect">
                      <a:avLst/>
                    </a:prstGeom>
                  </pic:spPr>
                </pic:pic>
              </a:graphicData>
            </a:graphic>
          </wp:inline>
        </w:drawing>
      </w:r>
    </w:p>
    <w:p w14:paraId="4853BBD0" w14:textId="2005E817" w:rsidR="00794AD0" w:rsidRPr="00260790" w:rsidRDefault="00794AD0" w:rsidP="00E20250">
      <w:pPr>
        <w:pStyle w:val="Lgende"/>
        <w:spacing w:line="240" w:lineRule="auto"/>
        <w:rPr>
          <w:color w:val="000000" w:themeColor="text1"/>
          <w:sz w:val="22"/>
          <w:szCs w:val="22"/>
        </w:rPr>
      </w:pPr>
      <w:bookmarkStart w:id="64" w:name="_Toc207781965"/>
      <w:bookmarkStart w:id="65" w:name="_Toc228877394"/>
      <w:r w:rsidRPr="00260790">
        <w:rPr>
          <w:color w:val="000000" w:themeColor="text1"/>
          <w:sz w:val="22"/>
          <w:szCs w:val="22"/>
        </w:rPr>
        <w:t xml:space="preserve">Figure </w:t>
      </w:r>
      <w:r w:rsidRPr="00260790">
        <w:rPr>
          <w:color w:val="000000" w:themeColor="text1"/>
          <w:sz w:val="22"/>
          <w:szCs w:val="22"/>
        </w:rPr>
        <w:fldChar w:fldCharType="begin"/>
      </w:r>
      <w:r w:rsidRPr="00260790">
        <w:rPr>
          <w:color w:val="000000" w:themeColor="text1"/>
          <w:sz w:val="22"/>
          <w:szCs w:val="22"/>
        </w:rPr>
        <w:instrText xml:space="preserve"> SEQ Figure \* ARABIC </w:instrText>
      </w:r>
      <w:r w:rsidRPr="00260790">
        <w:rPr>
          <w:color w:val="000000" w:themeColor="text1"/>
          <w:sz w:val="22"/>
          <w:szCs w:val="22"/>
        </w:rPr>
        <w:fldChar w:fldCharType="separate"/>
      </w:r>
      <w:r w:rsidR="008A50C4">
        <w:rPr>
          <w:noProof/>
          <w:color w:val="000000" w:themeColor="text1"/>
          <w:sz w:val="22"/>
          <w:szCs w:val="22"/>
        </w:rPr>
        <w:t>3</w:t>
      </w:r>
      <w:r w:rsidRPr="00260790">
        <w:rPr>
          <w:color w:val="000000" w:themeColor="text1"/>
          <w:sz w:val="22"/>
          <w:szCs w:val="22"/>
        </w:rPr>
        <w:fldChar w:fldCharType="end"/>
      </w:r>
      <w:r w:rsidRPr="00260790">
        <w:rPr>
          <w:color w:val="000000" w:themeColor="text1"/>
          <w:sz w:val="22"/>
          <w:szCs w:val="22"/>
        </w:rPr>
        <w:t xml:space="preserve">: </w:t>
      </w:r>
      <w:r w:rsidR="00F72056" w:rsidRPr="00260790">
        <w:rPr>
          <w:color w:val="000000" w:themeColor="text1"/>
          <w:sz w:val="22"/>
          <w:szCs w:val="22"/>
        </w:rPr>
        <w:t>E</w:t>
      </w:r>
      <w:r w:rsidRPr="00260790">
        <w:rPr>
          <w:color w:val="000000" w:themeColor="text1"/>
          <w:sz w:val="22"/>
          <w:szCs w:val="22"/>
        </w:rPr>
        <w:t>mprises de l'aménagement des berges du marigot - tronçon le plus large, avec nécessité de terrassements en eau</w:t>
      </w:r>
      <w:bookmarkEnd w:id="64"/>
      <w:bookmarkEnd w:id="65"/>
    </w:p>
    <w:p w14:paraId="4F590363" w14:textId="77777777" w:rsidR="00794AD0" w:rsidRPr="00260790" w:rsidRDefault="00794AD0" w:rsidP="001748C6">
      <w:pPr>
        <w:pStyle w:val="Paragraphedeliste"/>
        <w:numPr>
          <w:ilvl w:val="2"/>
          <w:numId w:val="372"/>
        </w:numPr>
        <w:spacing w:line="240" w:lineRule="auto"/>
        <w:jc w:val="both"/>
        <w:rPr>
          <w:rFonts w:ascii="Times New Roman" w:hAnsi="Times New Roman"/>
          <w:b/>
          <w:color w:val="000000" w:themeColor="text1"/>
          <w:sz w:val="24"/>
          <w:szCs w:val="24"/>
        </w:rPr>
      </w:pPr>
      <w:r w:rsidRPr="00260790">
        <w:rPr>
          <w:rFonts w:ascii="Times New Roman" w:hAnsi="Times New Roman"/>
          <w:b/>
          <w:color w:val="000000" w:themeColor="text1"/>
          <w:sz w:val="24"/>
          <w:szCs w:val="24"/>
        </w:rPr>
        <w:t>Construction de la station de pompage et du chenal de rejet</w:t>
      </w:r>
    </w:p>
    <w:p w14:paraId="24E3CB3A" w14:textId="77777777" w:rsidR="00794AD0" w:rsidRPr="00260790" w:rsidRDefault="00794AD0" w:rsidP="00E20250">
      <w:pPr>
        <w:spacing w:line="240" w:lineRule="auto"/>
        <w:jc w:val="both"/>
        <w:rPr>
          <w:rFonts w:ascii="Times New Roman" w:hAnsi="Times New Roman"/>
          <w:color w:val="000000" w:themeColor="text1"/>
          <w:sz w:val="24"/>
          <w:szCs w:val="24"/>
        </w:rPr>
      </w:pPr>
      <w:r w:rsidRPr="00260790">
        <w:rPr>
          <w:rFonts w:ascii="Times New Roman" w:hAnsi="Times New Roman"/>
          <w:color w:val="000000" w:themeColor="text1"/>
          <w:sz w:val="24"/>
          <w:szCs w:val="24"/>
        </w:rPr>
        <w:t>Il s'agit d'une station de 1300 m</w:t>
      </w:r>
      <w:r w:rsidRPr="00260790">
        <w:rPr>
          <w:rFonts w:ascii="Times New Roman" w:hAnsi="Times New Roman"/>
          <w:color w:val="000000" w:themeColor="text1"/>
          <w:sz w:val="24"/>
          <w:szCs w:val="24"/>
          <w:vertAlign w:val="superscript"/>
        </w:rPr>
        <w:t>3</w:t>
      </w:r>
      <w:r w:rsidRPr="00260790">
        <w:rPr>
          <w:rFonts w:ascii="Times New Roman" w:hAnsi="Times New Roman"/>
          <w:color w:val="000000" w:themeColor="text1"/>
          <w:sz w:val="24"/>
          <w:szCs w:val="24"/>
        </w:rPr>
        <w:t>/h de débit qui, couplée à des vannes permettant de déconnecter le marigot de la mer, permettra de réaliser un entretien hydraulique forcé (en sus du curage naturel et de l'entretien mécanique). Quant au chenal de rejet, la partie en béton armé mesure 50 ml et est large de 12 m.</w:t>
      </w:r>
    </w:p>
    <w:p w14:paraId="51F836E0" w14:textId="66012425" w:rsidR="00794AD0" w:rsidRPr="00260790" w:rsidRDefault="00346B79" w:rsidP="00E20250">
      <w:pPr>
        <w:spacing w:line="240" w:lineRule="auto"/>
        <w:jc w:val="both"/>
        <w:rPr>
          <w:rFonts w:ascii="Times New Roman" w:hAnsi="Times New Roman"/>
          <w:color w:val="000000" w:themeColor="text1"/>
          <w:sz w:val="24"/>
          <w:szCs w:val="24"/>
        </w:rPr>
      </w:pPr>
      <w:r w:rsidRPr="00260790">
        <w:rPr>
          <w:rFonts w:ascii="Times New Roman" w:hAnsi="Times New Roman"/>
          <w:color w:val="000000" w:themeColor="text1"/>
          <w:sz w:val="24"/>
          <w:szCs w:val="24"/>
        </w:rPr>
        <w:t>Ces</w:t>
      </w:r>
      <w:r w:rsidR="00794AD0" w:rsidRPr="00260790">
        <w:rPr>
          <w:rFonts w:ascii="Times New Roman" w:hAnsi="Times New Roman"/>
          <w:color w:val="000000" w:themeColor="text1"/>
          <w:sz w:val="24"/>
          <w:szCs w:val="24"/>
        </w:rPr>
        <w:t xml:space="preserve"> travaux comprennent</w:t>
      </w:r>
      <w:r w:rsidRPr="00260790">
        <w:rPr>
          <w:rFonts w:ascii="Times New Roman" w:hAnsi="Times New Roman"/>
          <w:color w:val="000000" w:themeColor="text1"/>
          <w:sz w:val="24"/>
          <w:szCs w:val="24"/>
        </w:rPr>
        <w:t xml:space="preserve"> </w:t>
      </w:r>
      <w:r w:rsidR="00794AD0" w:rsidRPr="00260790">
        <w:rPr>
          <w:rFonts w:ascii="Times New Roman" w:hAnsi="Times New Roman"/>
          <w:color w:val="000000" w:themeColor="text1"/>
          <w:sz w:val="24"/>
          <w:szCs w:val="24"/>
        </w:rPr>
        <w:t>:</w:t>
      </w:r>
    </w:p>
    <w:p w14:paraId="3A5E222A" w14:textId="2BE1BBA0" w:rsidR="00794AD0" w:rsidRPr="00260790" w:rsidRDefault="00794AD0" w:rsidP="001748C6">
      <w:pPr>
        <w:numPr>
          <w:ilvl w:val="0"/>
          <w:numId w:val="343"/>
        </w:numPr>
        <w:spacing w:line="240" w:lineRule="auto"/>
        <w:contextualSpacing/>
        <w:jc w:val="both"/>
        <w:rPr>
          <w:rFonts w:ascii="Times New Roman" w:hAnsi="Times New Roman"/>
          <w:color w:val="000000" w:themeColor="text1"/>
          <w:sz w:val="24"/>
          <w:szCs w:val="24"/>
        </w:rPr>
      </w:pPr>
      <w:proofErr w:type="gramStart"/>
      <w:r w:rsidRPr="00260790">
        <w:rPr>
          <w:rFonts w:ascii="Times New Roman" w:hAnsi="Times New Roman"/>
          <w:color w:val="000000" w:themeColor="text1"/>
          <w:sz w:val="24"/>
          <w:szCs w:val="24"/>
        </w:rPr>
        <w:t>les</w:t>
      </w:r>
      <w:proofErr w:type="gramEnd"/>
      <w:r w:rsidRPr="00260790">
        <w:rPr>
          <w:rFonts w:ascii="Times New Roman" w:hAnsi="Times New Roman"/>
          <w:color w:val="000000" w:themeColor="text1"/>
          <w:sz w:val="24"/>
          <w:szCs w:val="24"/>
        </w:rPr>
        <w:t xml:space="preserve"> fouilles pour fondation des ouvrages, y compris les mesures de blindage et de rabattement de la nappe le cas échéant</w:t>
      </w:r>
      <w:r w:rsidR="00346B79" w:rsidRPr="00260790">
        <w:rPr>
          <w:rFonts w:ascii="Times New Roman" w:hAnsi="Times New Roman"/>
          <w:color w:val="000000" w:themeColor="text1"/>
          <w:sz w:val="24"/>
          <w:szCs w:val="24"/>
        </w:rPr>
        <w:t> ;</w:t>
      </w:r>
    </w:p>
    <w:p w14:paraId="48518996" w14:textId="3856A7F5" w:rsidR="00794AD0" w:rsidRPr="00260790" w:rsidRDefault="00794AD0" w:rsidP="001748C6">
      <w:pPr>
        <w:numPr>
          <w:ilvl w:val="0"/>
          <w:numId w:val="343"/>
        </w:numPr>
        <w:spacing w:line="240" w:lineRule="auto"/>
        <w:contextualSpacing/>
        <w:jc w:val="both"/>
        <w:rPr>
          <w:rFonts w:ascii="Times New Roman" w:hAnsi="Times New Roman"/>
          <w:color w:val="000000" w:themeColor="text1"/>
          <w:sz w:val="24"/>
          <w:szCs w:val="24"/>
        </w:rPr>
      </w:pPr>
      <w:proofErr w:type="gramStart"/>
      <w:r w:rsidRPr="00260790">
        <w:rPr>
          <w:rFonts w:ascii="Times New Roman" w:hAnsi="Times New Roman"/>
          <w:color w:val="000000" w:themeColor="text1"/>
          <w:sz w:val="24"/>
          <w:szCs w:val="24"/>
        </w:rPr>
        <w:t>le</w:t>
      </w:r>
      <w:proofErr w:type="gramEnd"/>
      <w:r w:rsidRPr="00260790">
        <w:rPr>
          <w:rFonts w:ascii="Times New Roman" w:hAnsi="Times New Roman"/>
          <w:color w:val="000000" w:themeColor="text1"/>
          <w:sz w:val="24"/>
          <w:szCs w:val="24"/>
        </w:rPr>
        <w:t xml:space="preserve"> ferraillage et le coffrage des fondations</w:t>
      </w:r>
      <w:r w:rsidR="00346B79" w:rsidRPr="00260790">
        <w:rPr>
          <w:rFonts w:ascii="Times New Roman" w:hAnsi="Times New Roman"/>
          <w:color w:val="000000" w:themeColor="text1"/>
          <w:sz w:val="24"/>
          <w:szCs w:val="24"/>
        </w:rPr>
        <w:t> ;</w:t>
      </w:r>
    </w:p>
    <w:p w14:paraId="7B1821A5" w14:textId="7333EC2E" w:rsidR="00794AD0" w:rsidRPr="00260790" w:rsidRDefault="00794AD0" w:rsidP="001748C6">
      <w:pPr>
        <w:numPr>
          <w:ilvl w:val="0"/>
          <w:numId w:val="343"/>
        </w:numPr>
        <w:spacing w:line="240" w:lineRule="auto"/>
        <w:contextualSpacing/>
        <w:jc w:val="both"/>
        <w:rPr>
          <w:rFonts w:ascii="Times New Roman" w:hAnsi="Times New Roman"/>
          <w:color w:val="000000" w:themeColor="text1"/>
          <w:sz w:val="24"/>
          <w:szCs w:val="24"/>
        </w:rPr>
      </w:pPr>
      <w:proofErr w:type="gramStart"/>
      <w:r w:rsidRPr="00260790">
        <w:rPr>
          <w:rFonts w:ascii="Times New Roman" w:hAnsi="Times New Roman"/>
          <w:color w:val="000000" w:themeColor="text1"/>
          <w:sz w:val="24"/>
          <w:szCs w:val="24"/>
        </w:rPr>
        <w:t>le</w:t>
      </w:r>
      <w:proofErr w:type="gramEnd"/>
      <w:r w:rsidRPr="00260790">
        <w:rPr>
          <w:rFonts w:ascii="Times New Roman" w:hAnsi="Times New Roman"/>
          <w:color w:val="000000" w:themeColor="text1"/>
          <w:sz w:val="24"/>
          <w:szCs w:val="24"/>
        </w:rPr>
        <w:t xml:space="preserve"> coulage du béton des fondations</w:t>
      </w:r>
      <w:r w:rsidR="00346B79" w:rsidRPr="00260790">
        <w:rPr>
          <w:rFonts w:ascii="Times New Roman" w:hAnsi="Times New Roman"/>
          <w:color w:val="000000" w:themeColor="text1"/>
          <w:sz w:val="24"/>
          <w:szCs w:val="24"/>
        </w:rPr>
        <w:t> ;</w:t>
      </w:r>
    </w:p>
    <w:p w14:paraId="67CFB532" w14:textId="6888BA14" w:rsidR="00794AD0" w:rsidRPr="00260790" w:rsidRDefault="00794AD0" w:rsidP="001748C6">
      <w:pPr>
        <w:numPr>
          <w:ilvl w:val="0"/>
          <w:numId w:val="343"/>
        </w:numPr>
        <w:spacing w:line="240" w:lineRule="auto"/>
        <w:contextualSpacing/>
        <w:jc w:val="both"/>
        <w:rPr>
          <w:rFonts w:ascii="Times New Roman" w:hAnsi="Times New Roman"/>
          <w:color w:val="000000" w:themeColor="text1"/>
          <w:sz w:val="24"/>
          <w:szCs w:val="24"/>
        </w:rPr>
      </w:pPr>
      <w:proofErr w:type="gramStart"/>
      <w:r w:rsidRPr="00260790">
        <w:rPr>
          <w:rFonts w:ascii="Times New Roman" w:hAnsi="Times New Roman"/>
          <w:color w:val="000000" w:themeColor="text1"/>
          <w:sz w:val="24"/>
          <w:szCs w:val="24"/>
        </w:rPr>
        <w:t>le</w:t>
      </w:r>
      <w:proofErr w:type="gramEnd"/>
      <w:r w:rsidRPr="00260790">
        <w:rPr>
          <w:rFonts w:ascii="Times New Roman" w:hAnsi="Times New Roman"/>
          <w:color w:val="000000" w:themeColor="text1"/>
          <w:sz w:val="24"/>
          <w:szCs w:val="24"/>
        </w:rPr>
        <w:t xml:space="preserve"> coffrage et le ferraillage des élévations</w:t>
      </w:r>
      <w:r w:rsidR="00346B79" w:rsidRPr="00260790">
        <w:rPr>
          <w:rFonts w:ascii="Times New Roman" w:hAnsi="Times New Roman"/>
          <w:color w:val="000000" w:themeColor="text1"/>
          <w:sz w:val="24"/>
          <w:szCs w:val="24"/>
        </w:rPr>
        <w:t> ;</w:t>
      </w:r>
    </w:p>
    <w:p w14:paraId="26671B8D" w14:textId="3B3710E4" w:rsidR="00794AD0" w:rsidRPr="00260790" w:rsidRDefault="00794AD0" w:rsidP="001748C6">
      <w:pPr>
        <w:numPr>
          <w:ilvl w:val="0"/>
          <w:numId w:val="343"/>
        </w:numPr>
        <w:spacing w:line="240" w:lineRule="auto"/>
        <w:contextualSpacing/>
        <w:jc w:val="both"/>
        <w:rPr>
          <w:rFonts w:ascii="Times New Roman" w:hAnsi="Times New Roman"/>
          <w:color w:val="000000" w:themeColor="text1"/>
          <w:sz w:val="24"/>
          <w:szCs w:val="24"/>
        </w:rPr>
      </w:pPr>
      <w:proofErr w:type="gramStart"/>
      <w:r w:rsidRPr="00260790">
        <w:rPr>
          <w:rFonts w:ascii="Times New Roman" w:hAnsi="Times New Roman"/>
          <w:color w:val="000000" w:themeColor="text1"/>
          <w:sz w:val="24"/>
          <w:szCs w:val="24"/>
        </w:rPr>
        <w:t>le</w:t>
      </w:r>
      <w:proofErr w:type="gramEnd"/>
      <w:r w:rsidRPr="00260790">
        <w:rPr>
          <w:rFonts w:ascii="Times New Roman" w:hAnsi="Times New Roman"/>
          <w:color w:val="000000" w:themeColor="text1"/>
          <w:sz w:val="24"/>
          <w:szCs w:val="24"/>
        </w:rPr>
        <w:t xml:space="preserve"> coulage des autres parties d'ouvrage à bétonner</w:t>
      </w:r>
      <w:r w:rsidR="00346B79" w:rsidRPr="00260790">
        <w:rPr>
          <w:rFonts w:ascii="Times New Roman" w:hAnsi="Times New Roman"/>
          <w:color w:val="000000" w:themeColor="text1"/>
          <w:sz w:val="24"/>
          <w:szCs w:val="24"/>
        </w:rPr>
        <w:t> ;</w:t>
      </w:r>
    </w:p>
    <w:p w14:paraId="5C98C8A3" w14:textId="0C0BFD7A" w:rsidR="00794AD0" w:rsidRPr="00260790" w:rsidRDefault="00794AD0" w:rsidP="001748C6">
      <w:pPr>
        <w:numPr>
          <w:ilvl w:val="0"/>
          <w:numId w:val="343"/>
        </w:numPr>
        <w:spacing w:line="240" w:lineRule="auto"/>
        <w:contextualSpacing/>
        <w:jc w:val="both"/>
        <w:rPr>
          <w:rFonts w:ascii="Times New Roman" w:hAnsi="Times New Roman"/>
          <w:color w:val="000000" w:themeColor="text1"/>
          <w:sz w:val="24"/>
          <w:szCs w:val="24"/>
        </w:rPr>
      </w:pPr>
      <w:proofErr w:type="gramStart"/>
      <w:r w:rsidRPr="00260790">
        <w:rPr>
          <w:rFonts w:ascii="Times New Roman" w:hAnsi="Times New Roman"/>
          <w:color w:val="000000" w:themeColor="text1"/>
          <w:sz w:val="24"/>
          <w:szCs w:val="24"/>
        </w:rPr>
        <w:t>le</w:t>
      </w:r>
      <w:proofErr w:type="gramEnd"/>
      <w:r w:rsidRPr="00260790">
        <w:rPr>
          <w:rFonts w:ascii="Times New Roman" w:hAnsi="Times New Roman"/>
          <w:color w:val="000000" w:themeColor="text1"/>
          <w:sz w:val="24"/>
          <w:szCs w:val="24"/>
        </w:rPr>
        <w:t xml:space="preserve"> remblai technique</w:t>
      </w:r>
      <w:r w:rsidR="00346B79" w:rsidRPr="00260790">
        <w:rPr>
          <w:rFonts w:ascii="Times New Roman" w:hAnsi="Times New Roman"/>
          <w:color w:val="000000" w:themeColor="text1"/>
          <w:sz w:val="24"/>
          <w:szCs w:val="24"/>
        </w:rPr>
        <w:t> ;</w:t>
      </w:r>
    </w:p>
    <w:p w14:paraId="6C55FBF0" w14:textId="08D2572C" w:rsidR="00794AD0" w:rsidRPr="00260790" w:rsidRDefault="00794AD0" w:rsidP="001748C6">
      <w:pPr>
        <w:numPr>
          <w:ilvl w:val="0"/>
          <w:numId w:val="343"/>
        </w:numPr>
        <w:spacing w:line="240" w:lineRule="auto"/>
        <w:contextualSpacing/>
        <w:jc w:val="both"/>
        <w:rPr>
          <w:rFonts w:ascii="Times New Roman" w:hAnsi="Times New Roman"/>
          <w:color w:val="000000" w:themeColor="text1"/>
          <w:sz w:val="24"/>
          <w:szCs w:val="24"/>
        </w:rPr>
      </w:pPr>
      <w:proofErr w:type="gramStart"/>
      <w:r w:rsidRPr="00260790">
        <w:rPr>
          <w:rFonts w:ascii="Times New Roman" w:hAnsi="Times New Roman"/>
          <w:color w:val="000000" w:themeColor="text1"/>
          <w:sz w:val="24"/>
          <w:szCs w:val="24"/>
        </w:rPr>
        <w:t>le</w:t>
      </w:r>
      <w:proofErr w:type="gramEnd"/>
      <w:r w:rsidRPr="00260790">
        <w:rPr>
          <w:rFonts w:ascii="Times New Roman" w:hAnsi="Times New Roman"/>
          <w:color w:val="000000" w:themeColor="text1"/>
          <w:sz w:val="24"/>
          <w:szCs w:val="24"/>
        </w:rPr>
        <w:t xml:space="preserve"> montage des équipement</w:t>
      </w:r>
      <w:r w:rsidR="00367037" w:rsidRPr="00260790">
        <w:rPr>
          <w:rFonts w:ascii="Times New Roman" w:hAnsi="Times New Roman"/>
          <w:color w:val="000000" w:themeColor="text1"/>
          <w:sz w:val="24"/>
          <w:szCs w:val="24"/>
        </w:rPr>
        <w:t>s</w:t>
      </w:r>
      <w:r w:rsidRPr="00260790">
        <w:rPr>
          <w:rFonts w:ascii="Times New Roman" w:hAnsi="Times New Roman"/>
          <w:color w:val="000000" w:themeColor="text1"/>
          <w:sz w:val="24"/>
          <w:szCs w:val="24"/>
        </w:rPr>
        <w:t xml:space="preserve"> de pompage</w:t>
      </w:r>
      <w:r w:rsidR="00346B79" w:rsidRPr="00260790">
        <w:rPr>
          <w:rFonts w:ascii="Times New Roman" w:hAnsi="Times New Roman"/>
          <w:color w:val="000000" w:themeColor="text1"/>
          <w:sz w:val="24"/>
          <w:szCs w:val="24"/>
        </w:rPr>
        <w:t> ;</w:t>
      </w:r>
    </w:p>
    <w:p w14:paraId="39AF2784" w14:textId="5232C8B9" w:rsidR="00794AD0" w:rsidRPr="00260790" w:rsidRDefault="00794AD0" w:rsidP="001748C6">
      <w:pPr>
        <w:numPr>
          <w:ilvl w:val="0"/>
          <w:numId w:val="343"/>
        </w:numPr>
        <w:spacing w:line="240" w:lineRule="auto"/>
        <w:contextualSpacing/>
        <w:jc w:val="both"/>
        <w:rPr>
          <w:rFonts w:ascii="Times New Roman" w:hAnsi="Times New Roman"/>
          <w:color w:val="000000" w:themeColor="text1"/>
          <w:sz w:val="24"/>
          <w:szCs w:val="24"/>
        </w:rPr>
      </w:pPr>
      <w:proofErr w:type="gramStart"/>
      <w:r w:rsidRPr="00260790">
        <w:rPr>
          <w:rFonts w:ascii="Times New Roman" w:hAnsi="Times New Roman"/>
          <w:color w:val="000000" w:themeColor="text1"/>
          <w:sz w:val="24"/>
          <w:szCs w:val="24"/>
        </w:rPr>
        <w:t>le</w:t>
      </w:r>
      <w:proofErr w:type="gramEnd"/>
      <w:r w:rsidRPr="00260790">
        <w:rPr>
          <w:rFonts w:ascii="Times New Roman" w:hAnsi="Times New Roman"/>
          <w:color w:val="000000" w:themeColor="text1"/>
          <w:sz w:val="24"/>
          <w:szCs w:val="24"/>
        </w:rPr>
        <w:t xml:space="preserve"> montage des équipements hydromécaniques (vannes notamment)</w:t>
      </w:r>
      <w:r w:rsidR="00367037" w:rsidRPr="00260790">
        <w:rPr>
          <w:rFonts w:ascii="Times New Roman" w:hAnsi="Times New Roman"/>
          <w:color w:val="000000" w:themeColor="text1"/>
          <w:sz w:val="24"/>
          <w:szCs w:val="24"/>
        </w:rPr>
        <w:t>.</w:t>
      </w:r>
    </w:p>
    <w:p w14:paraId="0F8BBA37" w14:textId="77777777" w:rsidR="00794AD0" w:rsidRPr="00260790" w:rsidRDefault="00794AD0" w:rsidP="001748C6">
      <w:pPr>
        <w:pStyle w:val="Paragraphedeliste"/>
        <w:numPr>
          <w:ilvl w:val="2"/>
          <w:numId w:val="372"/>
        </w:numPr>
        <w:spacing w:line="240" w:lineRule="auto"/>
        <w:jc w:val="both"/>
        <w:rPr>
          <w:rFonts w:ascii="Times New Roman" w:hAnsi="Times New Roman"/>
          <w:b/>
          <w:bCs/>
          <w:color w:val="000000" w:themeColor="text1"/>
          <w:sz w:val="24"/>
          <w:szCs w:val="24"/>
        </w:rPr>
      </w:pPr>
      <w:r w:rsidRPr="00260790">
        <w:rPr>
          <w:rFonts w:ascii="Times New Roman" w:hAnsi="Times New Roman"/>
          <w:b/>
          <w:bCs/>
          <w:color w:val="000000" w:themeColor="text1"/>
          <w:sz w:val="24"/>
          <w:szCs w:val="24"/>
        </w:rPr>
        <w:t>Vue de l'ouvrage de rejet en mer</w:t>
      </w:r>
    </w:p>
    <w:p w14:paraId="7E73797D" w14:textId="77777777" w:rsidR="00794AD0" w:rsidRPr="00260790" w:rsidRDefault="00794AD0" w:rsidP="001748C6">
      <w:pPr>
        <w:numPr>
          <w:ilvl w:val="0"/>
          <w:numId w:val="343"/>
        </w:numPr>
        <w:spacing w:line="240" w:lineRule="auto"/>
        <w:contextualSpacing/>
        <w:jc w:val="both"/>
        <w:rPr>
          <w:rFonts w:ascii="Times New Roman" w:hAnsi="Times New Roman"/>
          <w:color w:val="000000" w:themeColor="text1"/>
          <w:sz w:val="24"/>
          <w:szCs w:val="24"/>
        </w:rPr>
      </w:pPr>
      <w:proofErr w:type="gramStart"/>
      <w:r w:rsidRPr="00260790">
        <w:rPr>
          <w:rFonts w:ascii="Times New Roman" w:hAnsi="Times New Roman"/>
          <w:color w:val="000000" w:themeColor="text1"/>
          <w:sz w:val="24"/>
          <w:szCs w:val="24"/>
        </w:rPr>
        <w:t>la</w:t>
      </w:r>
      <w:proofErr w:type="gramEnd"/>
      <w:r w:rsidRPr="00260790">
        <w:rPr>
          <w:rFonts w:ascii="Times New Roman" w:hAnsi="Times New Roman"/>
          <w:color w:val="000000" w:themeColor="text1"/>
          <w:sz w:val="24"/>
          <w:szCs w:val="24"/>
        </w:rPr>
        <w:t xml:space="preserve"> station de pompage</w:t>
      </w:r>
    </w:p>
    <w:p w14:paraId="2F08A261" w14:textId="77777777" w:rsidR="00794AD0" w:rsidRPr="00260790" w:rsidRDefault="00794AD0" w:rsidP="001748C6">
      <w:pPr>
        <w:numPr>
          <w:ilvl w:val="0"/>
          <w:numId w:val="343"/>
        </w:numPr>
        <w:spacing w:line="240" w:lineRule="auto"/>
        <w:contextualSpacing/>
        <w:jc w:val="both"/>
        <w:rPr>
          <w:rFonts w:ascii="Times New Roman" w:hAnsi="Times New Roman"/>
          <w:color w:val="000000" w:themeColor="text1"/>
          <w:sz w:val="24"/>
          <w:szCs w:val="24"/>
        </w:rPr>
      </w:pPr>
      <w:proofErr w:type="gramStart"/>
      <w:r w:rsidRPr="00260790">
        <w:rPr>
          <w:rFonts w:ascii="Times New Roman" w:hAnsi="Times New Roman"/>
          <w:color w:val="000000" w:themeColor="text1"/>
          <w:sz w:val="24"/>
          <w:szCs w:val="24"/>
        </w:rPr>
        <w:lastRenderedPageBreak/>
        <w:t>le</w:t>
      </w:r>
      <w:proofErr w:type="gramEnd"/>
      <w:r w:rsidRPr="00260790">
        <w:rPr>
          <w:rFonts w:ascii="Times New Roman" w:hAnsi="Times New Roman"/>
          <w:color w:val="000000" w:themeColor="text1"/>
          <w:sz w:val="24"/>
          <w:szCs w:val="24"/>
        </w:rPr>
        <w:t xml:space="preserve"> chenal avec ses deux tronçons</w:t>
      </w:r>
    </w:p>
    <w:p w14:paraId="09E620FA" w14:textId="3DBD6AFC" w:rsidR="00F72056" w:rsidRPr="00260790" w:rsidRDefault="00794AD0" w:rsidP="0097258B">
      <w:pPr>
        <w:numPr>
          <w:ilvl w:val="0"/>
          <w:numId w:val="343"/>
        </w:numPr>
        <w:spacing w:line="240" w:lineRule="auto"/>
        <w:contextualSpacing/>
        <w:jc w:val="both"/>
        <w:rPr>
          <w:rFonts w:ascii="Times New Roman" w:hAnsi="Times New Roman"/>
          <w:color w:val="000000" w:themeColor="text1"/>
          <w:sz w:val="24"/>
          <w:szCs w:val="24"/>
        </w:rPr>
        <w:sectPr w:rsidR="00F72056" w:rsidRPr="00260790" w:rsidSect="00E20250">
          <w:footerReference w:type="even" r:id="rId18"/>
          <w:footerReference w:type="default" r:id="rId19"/>
          <w:footerReference w:type="first" r:id="rId20"/>
          <w:pgSz w:w="11906" w:h="16838"/>
          <w:pgMar w:top="1418" w:right="1418" w:bottom="1418" w:left="1418" w:header="709" w:footer="454" w:gutter="0"/>
          <w:cols w:space="708"/>
          <w:docGrid w:linePitch="360"/>
        </w:sectPr>
      </w:pPr>
      <w:proofErr w:type="gramStart"/>
      <w:r w:rsidRPr="00260790">
        <w:rPr>
          <w:rFonts w:ascii="Times New Roman" w:hAnsi="Times New Roman"/>
          <w:color w:val="000000" w:themeColor="text1"/>
          <w:sz w:val="24"/>
          <w:szCs w:val="24"/>
        </w:rPr>
        <w:t>le</w:t>
      </w:r>
      <w:proofErr w:type="gramEnd"/>
      <w:r w:rsidRPr="00260790">
        <w:rPr>
          <w:rFonts w:ascii="Times New Roman" w:hAnsi="Times New Roman"/>
          <w:color w:val="000000" w:themeColor="text1"/>
          <w:sz w:val="24"/>
          <w:szCs w:val="24"/>
        </w:rPr>
        <w:t xml:space="preserve"> pont sur la plage.</w:t>
      </w:r>
    </w:p>
    <w:p w14:paraId="745D3A07" w14:textId="77777777" w:rsidR="00794AD0" w:rsidRPr="00260790" w:rsidRDefault="00794AD0" w:rsidP="00E20250">
      <w:pPr>
        <w:spacing w:after="0" w:line="240" w:lineRule="auto"/>
        <w:jc w:val="both"/>
        <w:rPr>
          <w:rFonts w:ascii="Times New Roman" w:hAnsi="Times New Roman"/>
          <w:color w:val="000000" w:themeColor="text1"/>
          <w:sz w:val="24"/>
          <w:szCs w:val="24"/>
        </w:rPr>
      </w:pPr>
      <w:r w:rsidRPr="00260790">
        <w:rPr>
          <w:rFonts w:ascii="Times New Roman" w:hAnsi="Times New Roman"/>
          <w:noProof/>
          <w:color w:val="000000" w:themeColor="text1"/>
          <w:sz w:val="24"/>
          <w:szCs w:val="24"/>
          <w:lang w:val="en-US"/>
        </w:rPr>
        <w:lastRenderedPageBreak/>
        <w:drawing>
          <wp:inline distT="0" distB="0" distL="0" distR="0" wp14:anchorId="03DD56A1" wp14:editId="54604CF6">
            <wp:extent cx="8913413" cy="5249599"/>
            <wp:effectExtent l="0" t="0" r="2540" b="0"/>
            <wp:docPr id="163891297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12975" name=""/>
                    <pic:cNvPicPr/>
                  </pic:nvPicPr>
                  <pic:blipFill>
                    <a:blip r:embed="rId21" cstate="email">
                      <a:extLst>
                        <a:ext uri="{28A0092B-C50C-407E-A947-70E740481C1C}">
                          <a14:useLocalDpi xmlns:a14="http://schemas.microsoft.com/office/drawing/2010/main"/>
                        </a:ext>
                      </a:extLst>
                    </a:blip>
                    <a:stretch>
                      <a:fillRect/>
                    </a:stretch>
                  </pic:blipFill>
                  <pic:spPr>
                    <a:xfrm>
                      <a:off x="0" y="0"/>
                      <a:ext cx="8973336" cy="5284891"/>
                    </a:xfrm>
                    <a:prstGeom prst="rect">
                      <a:avLst/>
                    </a:prstGeom>
                  </pic:spPr>
                </pic:pic>
              </a:graphicData>
            </a:graphic>
          </wp:inline>
        </w:drawing>
      </w:r>
    </w:p>
    <w:p w14:paraId="39786E2F" w14:textId="3092F899" w:rsidR="00F72056" w:rsidRPr="00260790" w:rsidRDefault="00F72056" w:rsidP="00E20250">
      <w:pPr>
        <w:pStyle w:val="Lgende"/>
        <w:spacing w:after="0" w:line="240" w:lineRule="auto"/>
        <w:rPr>
          <w:color w:val="000000" w:themeColor="text1"/>
          <w:sz w:val="22"/>
          <w:szCs w:val="22"/>
        </w:rPr>
      </w:pPr>
      <w:bookmarkStart w:id="66" w:name="_Toc207781966"/>
      <w:bookmarkStart w:id="67" w:name="_Toc228877395"/>
      <w:r w:rsidRPr="00260790">
        <w:rPr>
          <w:color w:val="000000" w:themeColor="text1"/>
          <w:sz w:val="22"/>
          <w:szCs w:val="22"/>
        </w:rPr>
        <w:t xml:space="preserve">Figure </w:t>
      </w:r>
      <w:r w:rsidRPr="00260790">
        <w:rPr>
          <w:color w:val="000000" w:themeColor="text1"/>
          <w:sz w:val="22"/>
          <w:szCs w:val="22"/>
        </w:rPr>
        <w:fldChar w:fldCharType="begin"/>
      </w:r>
      <w:r w:rsidRPr="00260790">
        <w:rPr>
          <w:color w:val="000000" w:themeColor="text1"/>
          <w:sz w:val="22"/>
          <w:szCs w:val="22"/>
        </w:rPr>
        <w:instrText xml:space="preserve"> SEQ Figure \* ARABIC </w:instrText>
      </w:r>
      <w:r w:rsidRPr="00260790">
        <w:rPr>
          <w:color w:val="000000" w:themeColor="text1"/>
          <w:sz w:val="22"/>
          <w:szCs w:val="22"/>
        </w:rPr>
        <w:fldChar w:fldCharType="separate"/>
      </w:r>
      <w:r w:rsidR="008A50C4">
        <w:rPr>
          <w:noProof/>
          <w:color w:val="000000" w:themeColor="text1"/>
          <w:sz w:val="22"/>
          <w:szCs w:val="22"/>
        </w:rPr>
        <w:t>4</w:t>
      </w:r>
      <w:r w:rsidRPr="00260790">
        <w:rPr>
          <w:color w:val="000000" w:themeColor="text1"/>
          <w:sz w:val="22"/>
          <w:szCs w:val="22"/>
        </w:rPr>
        <w:fldChar w:fldCharType="end"/>
      </w:r>
      <w:r w:rsidRPr="00260790">
        <w:rPr>
          <w:color w:val="000000" w:themeColor="text1"/>
          <w:sz w:val="22"/>
          <w:szCs w:val="22"/>
        </w:rPr>
        <w:t>: Vue de l'ouvrage de rejet en mer</w:t>
      </w:r>
      <w:bookmarkEnd w:id="66"/>
      <w:bookmarkEnd w:id="67"/>
    </w:p>
    <w:p w14:paraId="5C8BCBDE" w14:textId="61357C6C" w:rsidR="00F72056" w:rsidRPr="00260790" w:rsidRDefault="00F72056" w:rsidP="00E20250">
      <w:pPr>
        <w:pStyle w:val="Lgende"/>
        <w:spacing w:after="0" w:line="240" w:lineRule="auto"/>
        <w:rPr>
          <w:color w:val="000000" w:themeColor="text1"/>
          <w:sz w:val="22"/>
          <w:szCs w:val="22"/>
        </w:rPr>
        <w:sectPr w:rsidR="00F72056" w:rsidRPr="00260790" w:rsidSect="006B2607">
          <w:pgSz w:w="16817" w:h="11901" w:orient="landscape"/>
          <w:pgMar w:top="1418" w:right="1418" w:bottom="1418" w:left="1418" w:header="709" w:footer="454" w:gutter="0"/>
          <w:cols w:space="708"/>
          <w:docGrid w:linePitch="360"/>
        </w:sectPr>
      </w:pPr>
      <w:r w:rsidRPr="00260790">
        <w:rPr>
          <w:color w:val="000000" w:themeColor="text1"/>
          <w:sz w:val="22"/>
          <w:szCs w:val="22"/>
        </w:rPr>
        <w:t>(</w:t>
      </w:r>
      <w:r w:rsidR="00DB0460" w:rsidRPr="00260790">
        <w:rPr>
          <w:color w:val="000000" w:themeColor="text1"/>
          <w:sz w:val="22"/>
          <w:szCs w:val="22"/>
        </w:rPr>
        <w:t>Source :</w:t>
      </w:r>
      <w:r w:rsidR="00794AD0" w:rsidRPr="00260790">
        <w:rPr>
          <w:color w:val="000000" w:themeColor="text1"/>
          <w:sz w:val="22"/>
          <w:szCs w:val="22"/>
        </w:rPr>
        <w:t xml:space="preserve"> APS du rejet en mer</w:t>
      </w:r>
      <w:r w:rsidR="00F3691F" w:rsidRPr="00260790">
        <w:rPr>
          <w:color w:val="000000" w:themeColor="text1"/>
          <w:sz w:val="22"/>
          <w:szCs w:val="22"/>
        </w:rPr>
        <w:t> ;</w:t>
      </w:r>
      <w:r w:rsidR="00794AD0" w:rsidRPr="00260790">
        <w:rPr>
          <w:color w:val="000000" w:themeColor="text1"/>
          <w:sz w:val="22"/>
          <w:szCs w:val="22"/>
        </w:rPr>
        <w:t xml:space="preserve"> Synthèse des études réalisées et présentation de la solution retenue - cabinet Merlin</w:t>
      </w:r>
      <w:r w:rsidRPr="00260790">
        <w:rPr>
          <w:color w:val="000000" w:themeColor="text1"/>
          <w:sz w:val="22"/>
          <w:szCs w:val="22"/>
        </w:rPr>
        <w:t>)</w:t>
      </w:r>
    </w:p>
    <w:p w14:paraId="2C021BF7" w14:textId="77777777" w:rsidR="005F3FB7" w:rsidRPr="00260790" w:rsidRDefault="005F3FB7" w:rsidP="00E20250">
      <w:pPr>
        <w:pStyle w:val="Titre1"/>
        <w:rPr>
          <w:rFonts w:ascii="Times New Roman" w:hAnsi="Times New Roman"/>
        </w:rPr>
      </w:pPr>
      <w:bookmarkStart w:id="68" w:name="_Toc68109602"/>
      <w:bookmarkStart w:id="69" w:name="_Toc29856705"/>
      <w:bookmarkStart w:id="70" w:name="_Toc212725088"/>
      <w:r w:rsidRPr="00260790">
        <w:rPr>
          <w:rFonts w:ascii="Times New Roman" w:hAnsi="Times New Roman"/>
        </w:rPr>
        <w:lastRenderedPageBreak/>
        <w:t>CADRE POLITIQUE, JURIDIQUE ET INSTITUTIONNEL</w:t>
      </w:r>
      <w:bookmarkEnd w:id="68"/>
      <w:bookmarkEnd w:id="69"/>
      <w:bookmarkEnd w:id="70"/>
    </w:p>
    <w:p w14:paraId="1FFDF8BE" w14:textId="77777777" w:rsidR="005F3FB7" w:rsidRPr="00260790" w:rsidRDefault="005F3FB7" w:rsidP="001748C6">
      <w:pPr>
        <w:pStyle w:val="Normaltableau0"/>
        <w:numPr>
          <w:ilvl w:val="1"/>
          <w:numId w:val="139"/>
        </w:numPr>
        <w:outlineLvl w:val="1"/>
        <w:rPr>
          <w:rFonts w:ascii="Times New Roman" w:hAnsi="Times New Roman"/>
          <w:b/>
          <w:bCs/>
          <w:sz w:val="22"/>
          <w:szCs w:val="22"/>
        </w:rPr>
      </w:pPr>
      <w:bookmarkStart w:id="71" w:name="_Toc68643495"/>
      <w:bookmarkStart w:id="72" w:name="_Toc68767624"/>
      <w:bookmarkStart w:id="73" w:name="_Toc68767784"/>
      <w:bookmarkStart w:id="74" w:name="_Toc68767990"/>
      <w:bookmarkStart w:id="75" w:name="_Toc68806248"/>
      <w:bookmarkStart w:id="76" w:name="_Toc68812026"/>
      <w:bookmarkStart w:id="77" w:name="_Toc68847672"/>
      <w:bookmarkStart w:id="78" w:name="_Toc68847994"/>
      <w:bookmarkStart w:id="79" w:name="_Toc68848655"/>
      <w:bookmarkStart w:id="80" w:name="_Toc68848917"/>
      <w:bookmarkStart w:id="81" w:name="_Toc68849338"/>
      <w:bookmarkStart w:id="82" w:name="_Toc68861232"/>
      <w:bookmarkStart w:id="83" w:name="_Toc68861495"/>
      <w:bookmarkStart w:id="84" w:name="_Toc68948262"/>
      <w:bookmarkStart w:id="85" w:name="_Toc68948675"/>
      <w:bookmarkStart w:id="86" w:name="_Toc68948940"/>
      <w:bookmarkStart w:id="87" w:name="_Toc68949198"/>
      <w:bookmarkStart w:id="88" w:name="_Toc68949623"/>
      <w:bookmarkStart w:id="89" w:name="_Toc68956857"/>
      <w:bookmarkStart w:id="90" w:name="_Toc68957113"/>
      <w:bookmarkStart w:id="91" w:name="_Toc68957369"/>
      <w:bookmarkStart w:id="92" w:name="_Toc68957626"/>
      <w:bookmarkStart w:id="93" w:name="_Toc68957882"/>
      <w:bookmarkStart w:id="94" w:name="_Toc68958138"/>
      <w:bookmarkStart w:id="95" w:name="_Toc68958393"/>
      <w:bookmarkStart w:id="96" w:name="_Toc68958647"/>
      <w:bookmarkStart w:id="97" w:name="_Toc68958903"/>
      <w:bookmarkStart w:id="98" w:name="_Toc69081415"/>
      <w:bookmarkStart w:id="99" w:name="_Toc69083210"/>
      <w:bookmarkStart w:id="100" w:name="_Toc69115523"/>
      <w:bookmarkStart w:id="101" w:name="_Toc77141076"/>
      <w:bookmarkStart w:id="102" w:name="_Toc77141988"/>
      <w:bookmarkStart w:id="103" w:name="_Toc77142387"/>
      <w:bookmarkStart w:id="104" w:name="_Toc77142651"/>
      <w:bookmarkStart w:id="105" w:name="_Toc77142914"/>
      <w:bookmarkStart w:id="106" w:name="_Toc77143251"/>
      <w:bookmarkStart w:id="107" w:name="_Toc93469561"/>
      <w:bookmarkStart w:id="108" w:name="_Toc93623201"/>
      <w:bookmarkStart w:id="109" w:name="_Toc93643577"/>
      <w:bookmarkStart w:id="110" w:name="_Toc93643845"/>
      <w:bookmarkStart w:id="111" w:name="_Toc93644113"/>
      <w:bookmarkStart w:id="112" w:name="_Toc93648765"/>
      <w:bookmarkStart w:id="113" w:name="_Toc94134411"/>
      <w:bookmarkStart w:id="114" w:name="_Toc94175675"/>
      <w:bookmarkStart w:id="115" w:name="_Toc104797265"/>
      <w:bookmarkStart w:id="116" w:name="_Toc105103572"/>
      <w:bookmarkStart w:id="117" w:name="_Toc105105777"/>
      <w:bookmarkStart w:id="118" w:name="_Toc106287107"/>
      <w:bookmarkStart w:id="119" w:name="_Toc106288393"/>
      <w:bookmarkStart w:id="120" w:name="_Toc106289085"/>
      <w:bookmarkStart w:id="121" w:name="_Toc106290089"/>
      <w:bookmarkStart w:id="122" w:name="_Toc106650983"/>
      <w:bookmarkStart w:id="123" w:name="_Toc106651424"/>
      <w:bookmarkStart w:id="124" w:name="_Toc106652355"/>
      <w:bookmarkStart w:id="125" w:name="_Toc106652652"/>
      <w:bookmarkStart w:id="126" w:name="_Toc125627463"/>
      <w:bookmarkStart w:id="127" w:name="_Toc126804389"/>
      <w:bookmarkStart w:id="128" w:name="_Toc127208914"/>
      <w:bookmarkStart w:id="129" w:name="_Toc127273460"/>
      <w:bookmarkStart w:id="130" w:name="_Toc131591694"/>
      <w:bookmarkStart w:id="131" w:name="_Toc131591954"/>
      <w:bookmarkStart w:id="132" w:name="_Toc149831152"/>
      <w:bookmarkStart w:id="133" w:name="_Toc149913764"/>
      <w:bookmarkStart w:id="134" w:name="_Toc151368037"/>
      <w:bookmarkStart w:id="135" w:name="_Toc283886575"/>
      <w:bookmarkStart w:id="136" w:name="_Toc292538352"/>
      <w:bookmarkStart w:id="137" w:name="_Toc29856706"/>
      <w:bookmarkStart w:id="138" w:name="_Toc40839029"/>
      <w:bookmarkStart w:id="139" w:name="_Toc212725089"/>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260790">
        <w:rPr>
          <w:rFonts w:ascii="Times New Roman" w:hAnsi="Times New Roman"/>
          <w:b/>
          <w:bCs/>
          <w:sz w:val="22"/>
          <w:szCs w:val="22"/>
        </w:rPr>
        <w:t xml:space="preserve">Cadre politique </w:t>
      </w:r>
      <w:bookmarkEnd w:id="135"/>
      <w:r w:rsidRPr="00260790">
        <w:rPr>
          <w:rFonts w:ascii="Times New Roman" w:hAnsi="Times New Roman"/>
          <w:b/>
          <w:bCs/>
          <w:sz w:val="22"/>
          <w:szCs w:val="22"/>
        </w:rPr>
        <w:t>applicable au projet</w:t>
      </w:r>
      <w:bookmarkEnd w:id="136"/>
      <w:bookmarkEnd w:id="137"/>
      <w:bookmarkEnd w:id="138"/>
      <w:bookmarkEnd w:id="139"/>
    </w:p>
    <w:p w14:paraId="7D1871A1" w14:textId="7D042D18" w:rsidR="00D536BB" w:rsidRPr="007A0798" w:rsidRDefault="005F3FB7" w:rsidP="007A0798">
      <w:pPr>
        <w:pStyle w:val="CHAPITRE1"/>
        <w:rPr>
          <w:rFonts w:cs="Times New Roman"/>
        </w:rPr>
      </w:pPr>
      <w:bookmarkStart w:id="140" w:name="_Toc212725090"/>
      <w:r w:rsidRPr="00260790">
        <w:rPr>
          <w:rFonts w:cs="Times New Roman"/>
        </w:rPr>
        <w:t>Politique économique et sociale</w:t>
      </w:r>
      <w:bookmarkEnd w:id="140"/>
    </w:p>
    <w:p w14:paraId="4149D88E" w14:textId="2442FFF0" w:rsidR="005F3FB7" w:rsidRPr="00260790" w:rsidRDefault="00D536BB" w:rsidP="00E20250">
      <w:pPr>
        <w:spacing w:after="0" w:line="240" w:lineRule="auto"/>
        <w:ind w:right="-3"/>
        <w:jc w:val="both"/>
        <w:rPr>
          <w:rFonts w:ascii="Times New Roman" w:eastAsia="Times New Roman" w:hAnsi="Times New Roman"/>
          <w:color w:val="000000" w:themeColor="text1"/>
          <w:lang w:eastAsia="fr-FR"/>
        </w:rPr>
      </w:pPr>
      <w:r w:rsidRPr="00D536BB">
        <w:rPr>
          <w:rFonts w:ascii="Times New Roman" w:eastAsia="Times New Roman" w:hAnsi="Times New Roman"/>
          <w:color w:val="000000" w:themeColor="text1"/>
          <w:lang w:eastAsia="fr-FR"/>
        </w:rPr>
        <w:t>Divers documents de politique, tant au niveau national que local</w:t>
      </w:r>
      <w:r w:rsidR="00F75903">
        <w:rPr>
          <w:rFonts w:ascii="Times New Roman" w:eastAsia="Times New Roman" w:hAnsi="Times New Roman"/>
          <w:color w:val="000000" w:themeColor="text1"/>
          <w:lang w:eastAsia="fr-FR"/>
        </w:rPr>
        <w:t xml:space="preserve"> (</w:t>
      </w:r>
      <w:r w:rsidRPr="00D536BB">
        <w:rPr>
          <w:rFonts w:ascii="Times New Roman" w:eastAsia="Times New Roman" w:hAnsi="Times New Roman"/>
          <w:color w:val="000000" w:themeColor="text1"/>
          <w:lang w:eastAsia="fr-FR"/>
        </w:rPr>
        <w:t>plans, stratégies ou programmes</w:t>
      </w:r>
      <w:r w:rsidR="00F75903">
        <w:rPr>
          <w:rFonts w:ascii="Times New Roman" w:eastAsia="Times New Roman" w:hAnsi="Times New Roman"/>
          <w:color w:val="000000" w:themeColor="text1"/>
          <w:lang w:eastAsia="fr-FR"/>
        </w:rPr>
        <w:t xml:space="preserve"> etc.)</w:t>
      </w:r>
      <w:r w:rsidRPr="00D536BB">
        <w:rPr>
          <w:rFonts w:ascii="Times New Roman" w:eastAsia="Times New Roman" w:hAnsi="Times New Roman"/>
          <w:color w:val="000000" w:themeColor="text1"/>
          <w:lang w:eastAsia="fr-FR"/>
        </w:rPr>
        <w:t xml:space="preserve"> ont été élaborés dans plusieurs domaines en lien avec les objectifs du projet, sa mise en œuvre, ainsi que ses impacts potentiels sur les composantes environnementales et sociales de sa zone d’influence</w:t>
      </w:r>
      <w:r w:rsidR="005F3FB7" w:rsidRPr="00260790">
        <w:rPr>
          <w:rFonts w:ascii="Times New Roman" w:eastAsia="Times New Roman" w:hAnsi="Times New Roman"/>
          <w:color w:val="000000" w:themeColor="text1"/>
          <w:lang w:eastAsia="fr-FR"/>
        </w:rPr>
        <w:t>. Ces documents concernent principalement :</w:t>
      </w:r>
    </w:p>
    <w:p w14:paraId="4905850B" w14:textId="77777777" w:rsidR="005F3FB7" w:rsidRPr="00260790" w:rsidRDefault="005F3FB7" w:rsidP="00E20250">
      <w:pPr>
        <w:spacing w:after="0" w:line="240" w:lineRule="auto"/>
        <w:rPr>
          <w:rFonts w:ascii="Times New Roman" w:eastAsia="Times New Roman" w:hAnsi="Times New Roman"/>
          <w:color w:val="000000" w:themeColor="text1"/>
          <w:lang w:eastAsia="fr-FR"/>
        </w:rPr>
      </w:pPr>
    </w:p>
    <w:p w14:paraId="23ECA45D" w14:textId="1DAC5F74" w:rsidR="00A5232B" w:rsidRPr="00260790" w:rsidRDefault="00A5232B" w:rsidP="00E20250">
      <w:pPr>
        <w:spacing w:after="0" w:line="240" w:lineRule="auto"/>
        <w:jc w:val="both"/>
        <w:rPr>
          <w:rFonts w:ascii="Times New Roman" w:eastAsiaTheme="minorHAnsi" w:hAnsi="Times New Roman"/>
          <w:color w:val="000000" w:themeColor="text1"/>
        </w:rPr>
      </w:pPr>
      <w:r w:rsidRPr="00260790">
        <w:rPr>
          <w:rFonts w:ascii="Times New Roman" w:hAnsi="Times New Roman"/>
          <w:b/>
          <w:i/>
          <w:color w:val="000000" w:themeColor="text1"/>
        </w:rPr>
        <w:t xml:space="preserve">La vision Sénégal 2050 : </w:t>
      </w:r>
      <w:r w:rsidRPr="00260790">
        <w:rPr>
          <w:rFonts w:ascii="Times New Roman" w:eastAsiaTheme="minorHAnsi" w:hAnsi="Times New Roman"/>
          <w:color w:val="000000" w:themeColor="text1"/>
        </w:rPr>
        <w:t>Les risques d’inondations font partie des aléas les plus fréquents et les plus dévastateurs au Sénégal. Ils s’expliquent par une insuffisante maitrise de l’urbanisation se traduisant par l’occupation anarchique de l’espace (à des fins d’habitat, industriels, commerciaux…) et des modes de construction qui réduisent l’infiltration naturelle des eaux de pluie. À cela, s’ajoute un déficit d’assainissement, en particulier celui des eaux pluviales, et la méconnaissance ou l’insouciance face aux enjeux environnementaux. La maitrise de l’accompagnement de l’urbanisation dans les villes côtières en contexte de changement climatique représente un enjeu de politique économique majeur. Le Sénégal pourrait perdre jusqu’à 8% de son PIB d’ici 2030 en raison des effets des changements climatiques. Également, les événements extrêmes liés à l’eau et à la pollution coûtent au Sénégal plus de 10 % du PIB chaque année. Les coûts des inondations</w:t>
      </w:r>
      <w:r w:rsidR="006C6102" w:rsidRPr="00260790">
        <w:rPr>
          <w:rFonts w:ascii="Times New Roman" w:eastAsiaTheme="minorHAnsi" w:hAnsi="Times New Roman"/>
          <w:color w:val="000000" w:themeColor="text1"/>
        </w:rPr>
        <w:t>,</w:t>
      </w:r>
      <w:r w:rsidRPr="00260790">
        <w:rPr>
          <w:rFonts w:ascii="Times New Roman" w:eastAsiaTheme="minorHAnsi" w:hAnsi="Times New Roman"/>
          <w:color w:val="000000" w:themeColor="text1"/>
        </w:rPr>
        <w:t xml:space="preserve"> associés aux dommages, aux infrastructures, à l’habitat et aux décès prématurés, ont été estimés à 6,3% du PIB.</w:t>
      </w:r>
    </w:p>
    <w:p w14:paraId="6CE70A0D" w14:textId="77777777" w:rsidR="00A5232B" w:rsidRPr="00260790" w:rsidRDefault="00A5232B" w:rsidP="00E20250">
      <w:pPr>
        <w:spacing w:after="0" w:line="240" w:lineRule="auto"/>
        <w:jc w:val="both"/>
        <w:rPr>
          <w:rFonts w:ascii="Times New Roman" w:eastAsiaTheme="minorHAnsi" w:hAnsi="Times New Roman"/>
          <w:color w:val="000000" w:themeColor="text1"/>
        </w:rPr>
      </w:pPr>
    </w:p>
    <w:p w14:paraId="32E82BA7"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bCs/>
          <w:i/>
          <w:iCs/>
          <w:color w:val="000000" w:themeColor="text1"/>
          <w:lang w:eastAsia="fr-FR"/>
        </w:rPr>
        <w:t>Le Plan national d’Aménagement et de Développement territorial (PNADT)</w:t>
      </w:r>
      <w:r w:rsidRPr="00260790">
        <w:rPr>
          <w:rFonts w:ascii="Times New Roman" w:eastAsia="Times New Roman" w:hAnsi="Times New Roman"/>
          <w:color w:val="000000" w:themeColor="text1"/>
          <w:lang w:eastAsia="fr-FR"/>
        </w:rPr>
        <w:t> : Les documents qui régissent la politique d’aménagement du territoire sont : (i) le Plan national d’Aménagement et de Développement territorial (PNADT) approuvé par le Président de la République le 24 janvier 2020. Réceptacle spatial du PSE, le PNADT constitue le référentiel de base pour un aménagement harmonieux et durable du territoire national en visant à relever, entre autres défis, la libération des zones à risques face aux inondations ; (ii) le Schéma départemental d’aménagement et de développement territorial (SDADT) ; (iii) le Schéma communal d’aménagement et de développement territorial (SCADT) ; (iv) le Schéma de cohérence territorial (SCOT) ; (v) le Schéma directeur d’Aménagement et de Développement territorial du triangle Dakar-Thiès-Mbour (avec son plan d’action pluriannuel) ; et (vi) le Schéma directeur d’aménagement et de développement territorial des zones spécifiques (SDAT-ZS). À tous les niveaux, ces schémas d’aménagement et de développement des territoires intègrent les volets « lutte contre les inondations » et « valorisation des écosystèmes » qui demeurent au centre des préoccupations majeures du projet.</w:t>
      </w:r>
    </w:p>
    <w:p w14:paraId="0FDF7731" w14:textId="77777777" w:rsidR="005F3FB7" w:rsidRPr="00260790" w:rsidRDefault="005F3FB7" w:rsidP="00E20250">
      <w:pPr>
        <w:spacing w:after="0" w:line="240" w:lineRule="auto"/>
        <w:ind w:right="20"/>
        <w:jc w:val="both"/>
        <w:rPr>
          <w:rFonts w:ascii="Times New Roman" w:eastAsia="Times New Roman" w:hAnsi="Times New Roman"/>
          <w:i/>
          <w:color w:val="000000" w:themeColor="text1"/>
          <w:lang w:eastAsia="fr-FR"/>
        </w:rPr>
      </w:pPr>
    </w:p>
    <w:p w14:paraId="0AEC5E42" w14:textId="77777777" w:rsidR="005F3FB7" w:rsidRPr="00260790" w:rsidRDefault="005F3FB7" w:rsidP="00E20250">
      <w:pPr>
        <w:tabs>
          <w:tab w:val="left" w:pos="724"/>
        </w:tabs>
        <w:spacing w:after="0" w:line="240" w:lineRule="auto"/>
        <w:ind w:left="4" w:right="20"/>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Le Programme National de Prévention et Réduction des Risques Majeurs et de Gestion des Catastrophes Naturelles</w:t>
      </w:r>
      <w:r w:rsidRPr="00260790">
        <w:rPr>
          <w:rFonts w:ascii="Times New Roman" w:eastAsia="Times New Roman" w:hAnsi="Times New Roman"/>
          <w:b/>
          <w:color w:val="000000" w:themeColor="text1"/>
          <w:lang w:eastAsia="fr-FR"/>
        </w:rPr>
        <w:t xml:space="preserve"> </w:t>
      </w:r>
      <w:r w:rsidRPr="00260790">
        <w:rPr>
          <w:rFonts w:ascii="Times New Roman" w:eastAsia="Times New Roman" w:hAnsi="Times New Roman"/>
          <w:b/>
          <w:bCs/>
          <w:i/>
          <w:iCs/>
          <w:color w:val="000000" w:themeColor="text1"/>
          <w:lang w:eastAsia="fr-FR"/>
        </w:rPr>
        <w:t xml:space="preserve">(2012-2022) </w:t>
      </w:r>
      <w:r w:rsidRPr="00260790">
        <w:rPr>
          <w:rFonts w:ascii="Times New Roman" w:eastAsia="Times New Roman" w:hAnsi="Times New Roman"/>
          <w:color w:val="000000" w:themeColor="text1"/>
          <w:lang w:eastAsia="fr-FR"/>
        </w:rPr>
        <w:t>: piloté par la Direction de la Protection Civile (DPC), ambitionne de palier durablement les phénomènes récurrents d’inondations dans certaines zones du pays. Le projet contribue à l’atteinte des objectifs de ce programme à travers sa composante « prévention et la réduction des risques de catastrophes ».</w:t>
      </w:r>
    </w:p>
    <w:p w14:paraId="28E8BA15" w14:textId="77777777" w:rsidR="005F3FB7" w:rsidRPr="00260790" w:rsidRDefault="005F3FB7" w:rsidP="00E20250">
      <w:pPr>
        <w:tabs>
          <w:tab w:val="left" w:pos="724"/>
        </w:tabs>
        <w:spacing w:after="0" w:line="240" w:lineRule="auto"/>
        <w:ind w:left="4" w:right="20"/>
        <w:jc w:val="both"/>
        <w:rPr>
          <w:rFonts w:ascii="Times New Roman" w:eastAsia="Times New Roman" w:hAnsi="Times New Roman"/>
          <w:color w:val="000000" w:themeColor="text1"/>
          <w:lang w:eastAsia="fr-FR"/>
        </w:rPr>
      </w:pPr>
    </w:p>
    <w:p w14:paraId="562E79F1" w14:textId="77777777" w:rsidR="00BE39CA" w:rsidRPr="00260790" w:rsidRDefault="005F3FB7" w:rsidP="00E20250">
      <w:pPr>
        <w:spacing w:after="0" w:line="240" w:lineRule="auto"/>
        <w:ind w:right="20"/>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Le Plan Directeur d’Urbanisme de Dakar et ses Environs - Horizon 2035</w:t>
      </w:r>
      <w:r w:rsidRPr="00260790">
        <w:rPr>
          <w:rFonts w:ascii="Times New Roman" w:eastAsia="Times New Roman" w:hAnsi="Times New Roman"/>
          <w:color w:val="000000" w:themeColor="text1"/>
          <w:lang w:eastAsia="fr-FR"/>
        </w:rPr>
        <w:t xml:space="preserve"> : Il couvre, entre autres domaines, le réseau d’assainissement, la gestion des risques et catastrophes en milieu urbain, y compris les inondations, avec comme objectifs spécifiques « la prévention des dommages liés aux inondations par des mesures non structurelles et structurelles ». </w:t>
      </w:r>
    </w:p>
    <w:p w14:paraId="033782A3" w14:textId="64F64128" w:rsidR="005F3FB7" w:rsidRPr="00260790" w:rsidRDefault="005F3FB7" w:rsidP="00E20250">
      <w:pPr>
        <w:spacing w:after="0" w:line="240" w:lineRule="auto"/>
        <w:ind w:right="2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Ce plan propose à la fois des mesures de prévention des inondations et de restructuration urbaine pour une meilleure occupation du sol, ce qui constitue des conditions de durabilité des résultats visés par le projet. Sur le plan de la gestion environnementale, ce plan préconise, comme mesures d’atténuation : i) - conserver les bassins versants dans des conditions naturelles, de sorte à assurer la recharge des eaux de surface et souterraines ; ii) - aménager des espaces naturels à l’intérieur des pôles pour préserver la biodiversité. Le projet contribue à l’atteinte de ses objectifs. </w:t>
      </w:r>
    </w:p>
    <w:p w14:paraId="0EED2A41" w14:textId="77777777" w:rsidR="006C6102" w:rsidRPr="00260790" w:rsidRDefault="006C6102" w:rsidP="00E20250">
      <w:pPr>
        <w:tabs>
          <w:tab w:val="left" w:pos="712"/>
        </w:tabs>
        <w:spacing w:after="0" w:line="240" w:lineRule="auto"/>
        <w:ind w:left="4" w:right="20"/>
        <w:jc w:val="both"/>
        <w:rPr>
          <w:rFonts w:ascii="Times New Roman" w:eastAsia="Times New Roman" w:hAnsi="Times New Roman"/>
          <w:b/>
          <w:i/>
          <w:color w:val="000000" w:themeColor="text1"/>
          <w:lang w:eastAsia="fr-FR"/>
        </w:rPr>
      </w:pPr>
    </w:p>
    <w:p w14:paraId="78ED75BE" w14:textId="5E4EC51F" w:rsidR="005F3FB7" w:rsidRPr="00260790" w:rsidRDefault="005F3FB7" w:rsidP="00E20250">
      <w:pPr>
        <w:tabs>
          <w:tab w:val="left" w:pos="712"/>
        </w:tabs>
        <w:spacing w:after="0" w:line="240" w:lineRule="auto"/>
        <w:ind w:left="4" w:right="20"/>
        <w:jc w:val="both"/>
        <w:rPr>
          <w:rFonts w:ascii="Times New Roman" w:eastAsia="Symbol" w:hAnsi="Times New Roman"/>
          <w:color w:val="000000" w:themeColor="text1"/>
          <w:lang w:eastAsia="fr-FR"/>
        </w:rPr>
      </w:pPr>
      <w:r w:rsidRPr="00260790">
        <w:rPr>
          <w:rFonts w:ascii="Times New Roman" w:eastAsia="Times New Roman" w:hAnsi="Times New Roman"/>
          <w:b/>
          <w:i/>
          <w:color w:val="000000" w:themeColor="text1"/>
          <w:lang w:eastAsia="fr-FR"/>
        </w:rPr>
        <w:lastRenderedPageBreak/>
        <w:t>Le Programme National de Gestion des Déchets (PNGD)</w:t>
      </w:r>
      <w:r w:rsidRPr="00260790">
        <w:rPr>
          <w:rFonts w:ascii="Times New Roman" w:eastAsia="Times New Roman" w:hAnsi="Times New Roman"/>
          <w:b/>
          <w:color w:val="000000" w:themeColor="text1"/>
          <w:lang w:eastAsia="fr-FR"/>
        </w:rPr>
        <w:t> </w:t>
      </w:r>
      <w:r w:rsidRPr="00260790">
        <w:rPr>
          <w:rFonts w:ascii="Times New Roman" w:eastAsia="Times New Roman" w:hAnsi="Times New Roman"/>
          <w:color w:val="000000" w:themeColor="text1"/>
          <w:lang w:eastAsia="fr-FR"/>
        </w:rPr>
        <w:t>:</w:t>
      </w:r>
      <w:r w:rsidRPr="00260790">
        <w:rPr>
          <w:rFonts w:ascii="Times New Roman" w:eastAsia="Times New Roman" w:hAnsi="Times New Roman"/>
          <w:b/>
          <w:color w:val="000000" w:themeColor="text1"/>
          <w:lang w:eastAsia="fr-FR"/>
        </w:rPr>
        <w:t xml:space="preserve"> </w:t>
      </w:r>
      <w:r w:rsidRPr="00260790">
        <w:rPr>
          <w:rFonts w:ascii="Times New Roman" w:eastAsia="Times New Roman" w:hAnsi="Times New Roman"/>
          <w:color w:val="000000" w:themeColor="text1"/>
          <w:lang w:eastAsia="fr-FR"/>
        </w:rPr>
        <w:t>qui est défini comme un</w:t>
      </w:r>
      <w:r w:rsidRPr="00260790">
        <w:rPr>
          <w:rFonts w:ascii="Times New Roman" w:eastAsia="Times New Roman" w:hAnsi="Times New Roman"/>
          <w:b/>
          <w:color w:val="000000" w:themeColor="text1"/>
          <w:lang w:eastAsia="fr-FR"/>
        </w:rPr>
        <w:t xml:space="preserve"> </w:t>
      </w:r>
      <w:r w:rsidRPr="00260790">
        <w:rPr>
          <w:rFonts w:ascii="Times New Roman" w:eastAsia="Times New Roman" w:hAnsi="Times New Roman"/>
          <w:color w:val="000000" w:themeColor="text1"/>
          <w:lang w:eastAsia="fr-FR"/>
        </w:rPr>
        <w:t>dispositif fédérateur des interventions nécessaires pour une gestion intégrée et durable des déchets solides. L’objectif général est d’accompagner les collectivités territoriales dans l’amélioration de leur cadre de vie. Le Projet est concerné par la problématique de gestion des déchets qui, du reste, constitue une préoccupation majeure des communes couvertes par le projet. En effet, les sites des bassins sont souvent utilisés par les populations comme dépotoirs d’ordures. Ces pratiques constituent un risque d’obstruction des canaux à réaliser, ce qui pourrait ralentir l’écoulement des eaux et rendre plus complexe l’entretien et de maintenance des ouvrages.</w:t>
      </w:r>
    </w:p>
    <w:p w14:paraId="48CAE1CA" w14:textId="77777777" w:rsidR="005F3FB7" w:rsidRPr="00260790" w:rsidRDefault="005F3FB7" w:rsidP="00E20250">
      <w:pPr>
        <w:tabs>
          <w:tab w:val="left" w:pos="712"/>
        </w:tabs>
        <w:spacing w:after="0" w:line="240" w:lineRule="auto"/>
        <w:ind w:left="4" w:right="20"/>
        <w:jc w:val="both"/>
        <w:rPr>
          <w:rFonts w:ascii="Times New Roman" w:eastAsia="Times New Roman" w:hAnsi="Times New Roman"/>
          <w:b/>
          <w:i/>
          <w:color w:val="000000" w:themeColor="text1"/>
          <w:lang w:eastAsia="fr-FR"/>
        </w:rPr>
      </w:pPr>
    </w:p>
    <w:p w14:paraId="2A44E2F8" w14:textId="77777777" w:rsidR="005F3FB7" w:rsidRPr="00260790" w:rsidRDefault="005F3FB7" w:rsidP="00E20250">
      <w:pPr>
        <w:tabs>
          <w:tab w:val="left" w:pos="724"/>
        </w:tabs>
        <w:spacing w:after="0" w:line="240" w:lineRule="auto"/>
        <w:ind w:left="4"/>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Le Plan National d’Action pour la Gestion des Déchets Dangereux au Sénégal</w:t>
      </w:r>
      <w:r w:rsidRPr="00260790">
        <w:rPr>
          <w:rFonts w:ascii="Times New Roman" w:eastAsia="Times New Roman" w:hAnsi="Times New Roman"/>
          <w:color w:val="000000" w:themeColor="text1"/>
          <w:lang w:eastAsia="fr-FR"/>
        </w:rPr>
        <w:t xml:space="preserve"> : élaboré en 1999, ce plan vise à : (i) fournir un ensemble d’informations sur les pratiques de gestion des déchets, le cadre législatif, juridique, institutionnel et les sources de génération ; (ii) définir un ensemble de directives qui puissent permettre de corriger les lacunes constatées ; (iii) proposer des actions pilotes à mener pour répondre aux préoccupations. Dans la mise en œuvre des activités du projet, les directives de ce Plan National d’Action pour la Gestion des Déchets Dangereux devront être suivies, notamment en phase de travaux et d’exploitation (entretien et maintenance des bassins et des canalisations).</w:t>
      </w:r>
    </w:p>
    <w:p w14:paraId="2FC3FCBE" w14:textId="77777777" w:rsidR="005F3FB7" w:rsidRPr="00260790" w:rsidRDefault="005F3FB7" w:rsidP="00E20250">
      <w:pPr>
        <w:tabs>
          <w:tab w:val="num" w:pos="0"/>
        </w:tabs>
        <w:spacing w:after="0" w:line="240" w:lineRule="auto"/>
        <w:ind w:right="20"/>
        <w:jc w:val="both"/>
        <w:rPr>
          <w:rFonts w:ascii="Times New Roman" w:eastAsia="Times New Roman" w:hAnsi="Times New Roman"/>
          <w:color w:val="000000" w:themeColor="text1"/>
          <w:lang w:eastAsia="fr-FR"/>
        </w:rPr>
      </w:pPr>
    </w:p>
    <w:p w14:paraId="0CC3C4CA" w14:textId="77777777" w:rsidR="005F3FB7" w:rsidRPr="00260790" w:rsidRDefault="005F3FB7" w:rsidP="00E20250">
      <w:pPr>
        <w:tabs>
          <w:tab w:val="left" w:pos="724"/>
        </w:tabs>
        <w:spacing w:after="0" w:line="240" w:lineRule="auto"/>
        <w:ind w:left="4"/>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La Stratégie Nationale pour l’Égalité et l’équité du Genre (SNEEG)</w:t>
      </w:r>
      <w:r w:rsidRPr="00260790">
        <w:rPr>
          <w:rFonts w:ascii="Times New Roman" w:eastAsia="Times New Roman" w:hAnsi="Times New Roman"/>
          <w:color w:val="000000" w:themeColor="text1"/>
          <w:lang w:eastAsia="fr-FR"/>
        </w:rPr>
        <w:t xml:space="preserve"> : Elle vise à faire du Sénégal un pays émergent, sans discrimination, où les hommes et les femmes auront les mêmes chances de participer à son développement et de jouir des bénéfices de sa croissance. La prise en compte de personnes et groupes vulnérables dans l’exécution des activités du projet entre en droite ligne dans la stratégie Genre du Sénégal qui accorde une importance capitale à l’amélioration des conditions socio-économiques des catégories de population pauvre et défavorisée.</w:t>
      </w:r>
    </w:p>
    <w:p w14:paraId="4D6142F6"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p>
    <w:p w14:paraId="2752BF72" w14:textId="77777777" w:rsidR="005F3FB7" w:rsidRPr="00260790" w:rsidRDefault="005F3FB7" w:rsidP="00E20250">
      <w:pPr>
        <w:spacing w:after="0" w:line="240" w:lineRule="auto"/>
        <w:ind w:right="20"/>
        <w:jc w:val="both"/>
        <w:rPr>
          <w:rFonts w:ascii="Times New Roman" w:hAnsi="Times New Roman"/>
          <w:color w:val="000000" w:themeColor="text1"/>
        </w:rPr>
      </w:pPr>
      <w:r w:rsidRPr="00260790">
        <w:rPr>
          <w:rFonts w:ascii="Times New Roman" w:eastAsia="Times New Roman" w:hAnsi="Times New Roman"/>
          <w:b/>
          <w:i/>
          <w:color w:val="000000" w:themeColor="text1"/>
          <w:lang w:eastAsia="fr-FR"/>
        </w:rPr>
        <w:t>La Stratégie Nationale de Protection de l’Enfant (SNPE)</w:t>
      </w:r>
      <w:r w:rsidRPr="00260790">
        <w:rPr>
          <w:rFonts w:ascii="Times New Roman" w:eastAsia="Times New Roman" w:hAnsi="Times New Roman"/>
          <w:bCs/>
          <w:i/>
          <w:color w:val="000000" w:themeColor="text1"/>
          <w:lang w:eastAsia="fr-FR"/>
        </w:rPr>
        <w:t xml:space="preserve"> : </w:t>
      </w:r>
      <w:r w:rsidRPr="00260790">
        <w:rPr>
          <w:rFonts w:ascii="Times New Roman" w:eastAsia="Times New Roman" w:hAnsi="Times New Roman"/>
          <w:color w:val="000000" w:themeColor="text1"/>
          <w:shd w:val="clear" w:color="auto" w:fill="FFFFFF"/>
          <w:lang w:eastAsia="fr-FR"/>
        </w:rPr>
        <w:t xml:space="preserve">La Stratégie Nationale de Protection de l'Enfant crée, grâce à une démarche participative, un cadre de référence national pour la protection de l'enfant au Sénégal, afin de mieux coordonner l'orientation stratégique et les priorités des acteurs publics et privés et de mettre en œuvre des programmes pertinents à </w:t>
      </w:r>
      <w:r w:rsidRPr="00260790">
        <w:rPr>
          <w:rFonts w:ascii="Times New Roman" w:hAnsi="Times New Roman"/>
          <w:color w:val="000000" w:themeColor="text1"/>
        </w:rPr>
        <w:t>l’échelon national. Les enfants auxquels cette Stratégie nationale fait référence sont les enfants vulnérables à toutes sortes de maltraitance, négligence, exploitation et violence. Le projet, intervenant dans des quartiers précaires, densément peuplés avec proportion de population très jeune et marqués par une incidence de pauvreté élevée, se devra de respecter la SNPE, notamment dans le cadre des travaux prévus.</w:t>
      </w:r>
    </w:p>
    <w:p w14:paraId="2C87375B" w14:textId="77777777" w:rsidR="005F3FB7" w:rsidRPr="00260790" w:rsidRDefault="005F3FB7" w:rsidP="00E20250">
      <w:pPr>
        <w:spacing w:after="0" w:line="240" w:lineRule="auto"/>
        <w:ind w:right="20"/>
        <w:jc w:val="both"/>
        <w:rPr>
          <w:rFonts w:ascii="Times New Roman" w:hAnsi="Times New Roman"/>
          <w:color w:val="000000" w:themeColor="text1"/>
        </w:rPr>
      </w:pPr>
    </w:p>
    <w:p w14:paraId="5A6367B6" w14:textId="52065B83" w:rsidR="005F3FB7" w:rsidRDefault="005F3FB7" w:rsidP="00E20250">
      <w:pPr>
        <w:tabs>
          <w:tab w:val="left" w:pos="724"/>
        </w:tabs>
        <w:spacing w:after="0" w:line="240" w:lineRule="auto"/>
        <w:ind w:left="4"/>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Le Plan départemental de développement (PDD) et le Plan de développement communal (PD</w:t>
      </w:r>
      <w:r w:rsidR="00AD2996" w:rsidRPr="00260790">
        <w:rPr>
          <w:rFonts w:ascii="Times New Roman" w:eastAsia="Times New Roman" w:hAnsi="Times New Roman"/>
          <w:b/>
          <w:i/>
          <w:color w:val="000000" w:themeColor="text1"/>
          <w:lang w:eastAsia="fr-FR"/>
        </w:rPr>
        <w:t>C</w:t>
      </w:r>
      <w:r w:rsidRPr="00260790">
        <w:rPr>
          <w:rFonts w:ascii="Times New Roman" w:eastAsia="Times New Roman" w:hAnsi="Times New Roman"/>
          <w:b/>
          <w:i/>
          <w:color w:val="000000" w:themeColor="text1"/>
          <w:lang w:eastAsia="fr-FR"/>
        </w:rPr>
        <w:t>)</w:t>
      </w:r>
      <w:r w:rsidRPr="00260790">
        <w:rPr>
          <w:rFonts w:ascii="Times New Roman" w:eastAsia="Times New Roman" w:hAnsi="Times New Roman"/>
          <w:color w:val="000000" w:themeColor="text1"/>
          <w:lang w:eastAsia="fr-FR"/>
        </w:rPr>
        <w:t> : Ces outils de planification locale ont pour objectif d’impulser le développement local à travers l’amélioration des conditions de vie des populations (services sociaux de base entre autres). Le projet, qui</w:t>
      </w:r>
      <w:r w:rsidRPr="00260790">
        <w:rPr>
          <w:rFonts w:ascii="Times New Roman" w:hAnsi="Times New Roman"/>
          <w:color w:val="000000" w:themeColor="text1"/>
        </w:rPr>
        <w:t xml:space="preserve"> </w:t>
      </w:r>
      <w:r w:rsidRPr="00260790">
        <w:rPr>
          <w:rFonts w:ascii="Times New Roman" w:eastAsia="Times New Roman" w:hAnsi="Times New Roman"/>
          <w:color w:val="000000" w:themeColor="text1"/>
          <w:lang w:eastAsia="fr-FR"/>
        </w:rPr>
        <w:t xml:space="preserve">contribuera à réduire les risques d'inondation dans la zone, l’accès aux infrastructures de base et l’amélioration du cadre de vie, constitue une opportunité pour les la viabilisation et le développement socio-économique de ces collectivités territoriales. </w:t>
      </w:r>
    </w:p>
    <w:p w14:paraId="58F1946E" w14:textId="77777777" w:rsidR="00F75903" w:rsidRPr="00260790" w:rsidRDefault="00F75903" w:rsidP="00E20250">
      <w:pPr>
        <w:tabs>
          <w:tab w:val="left" w:pos="724"/>
        </w:tabs>
        <w:spacing w:after="0" w:line="240" w:lineRule="auto"/>
        <w:ind w:left="4"/>
        <w:jc w:val="both"/>
        <w:rPr>
          <w:rFonts w:ascii="Times New Roman" w:eastAsia="Times New Roman" w:hAnsi="Times New Roman"/>
          <w:color w:val="000000" w:themeColor="text1"/>
          <w:lang w:eastAsia="fr-FR"/>
        </w:rPr>
      </w:pPr>
    </w:p>
    <w:p w14:paraId="328EA029" w14:textId="77777777" w:rsidR="005F3FB7" w:rsidRPr="00260790" w:rsidRDefault="005F3FB7" w:rsidP="003B6588">
      <w:pPr>
        <w:pStyle w:val="CHAPITRE1"/>
        <w:rPr>
          <w:rFonts w:cs="Times New Roman"/>
        </w:rPr>
      </w:pPr>
      <w:bookmarkStart w:id="141" w:name="_Toc212725091"/>
      <w:r w:rsidRPr="00260790">
        <w:rPr>
          <w:rFonts w:cs="Times New Roman"/>
        </w:rPr>
        <w:t>Politique sectorielle de l’eau et de l’assainissement</w:t>
      </w:r>
      <w:bookmarkEnd w:id="141"/>
    </w:p>
    <w:p w14:paraId="24A32614" w14:textId="4C09A98E" w:rsidR="005F3FB7" w:rsidRPr="00260790" w:rsidRDefault="005F3FB7" w:rsidP="00E20250">
      <w:pPr>
        <w:spacing w:line="240" w:lineRule="auto"/>
        <w:ind w:right="20"/>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La Lettre de Politique Sectorielle de Développement (LPSD) pour le secteur de l’Eau et l’Assainissement</w:t>
      </w:r>
      <w:r w:rsidRPr="00260790">
        <w:rPr>
          <w:rFonts w:ascii="Times New Roman" w:eastAsia="Times New Roman" w:hAnsi="Times New Roman"/>
          <w:bCs/>
          <w:iCs/>
          <w:color w:val="000000" w:themeColor="text1"/>
          <w:lang w:eastAsia="fr-FR"/>
        </w:rPr>
        <w:t xml:space="preserve"> : </w:t>
      </w:r>
      <w:r w:rsidRPr="00260790">
        <w:rPr>
          <w:rFonts w:ascii="Times New Roman" w:eastAsia="Times New Roman" w:hAnsi="Times New Roman"/>
          <w:color w:val="000000" w:themeColor="text1"/>
          <w:lang w:eastAsia="fr-FR"/>
        </w:rPr>
        <w:t xml:space="preserve">Elle vise à contribuer à l’atteinte des objectifs de développement durable à l’horizon 2030, à savoir l’accès universel à l’eau potable et à l’assainissement. Parmi les quatre orientations stratégiques (OS) définies par la LPSD, figure « l’amélioration durable de l’environnement et du cadre de vie à travers le développement de l’accès à des services d’assainissement en cherchant à promouvoir l’approche </w:t>
      </w:r>
      <w:r w:rsidR="006634D7" w:rsidRPr="00260790">
        <w:rPr>
          <w:rFonts w:ascii="Times New Roman" w:eastAsia="Times New Roman" w:hAnsi="Times New Roman"/>
          <w:color w:val="000000" w:themeColor="text1"/>
          <w:lang w:eastAsia="fr-FR"/>
        </w:rPr>
        <w:t xml:space="preserve">en </w:t>
      </w:r>
      <w:r w:rsidRPr="00260790">
        <w:rPr>
          <w:rFonts w:ascii="Times New Roman" w:eastAsia="Times New Roman" w:hAnsi="Times New Roman"/>
          <w:color w:val="000000" w:themeColor="text1"/>
          <w:lang w:eastAsia="fr-FR"/>
        </w:rPr>
        <w:t>chaîne de valeurs et en impliquant tous les acteurs y compris le secteur privé » (OS4). L’objectif spécifique de l’OS4 est « d’améliorer, d’ici 2025, l’accès durable et sécurisé à l’assainissement à travers la mise en place des investissements et des services nécessaires pour assurer une gestion adéquate des eaux usées, des excrétas et des eaux pluviales. Il s’agit de renforcer et consolider les infrastructures de gestion des eaux usées et des eaux pluviales, de renouveler et étendre les réseaux et de valoriser les eaux traitées et autres sous-produits en respectant les normes environnementales en vigueur au Sénégal ». L’intervention du projet va en droite ligne des objectifs de la LPSD.</w:t>
      </w:r>
    </w:p>
    <w:p w14:paraId="21F8974C" w14:textId="77777777" w:rsidR="005F3FB7" w:rsidRPr="00260790" w:rsidRDefault="005F3FB7" w:rsidP="00E20250">
      <w:pPr>
        <w:spacing w:line="240" w:lineRule="auto"/>
        <w:ind w:right="20"/>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lastRenderedPageBreak/>
        <w:t>Le Plan Directeur de Drainage (PDD) des eaux pluviales de la région périurbaine de Dakar</w:t>
      </w:r>
      <w:r w:rsidRPr="00260790">
        <w:rPr>
          <w:rFonts w:ascii="Times New Roman" w:eastAsia="Times New Roman" w:hAnsi="Times New Roman"/>
          <w:color w:val="000000" w:themeColor="text1"/>
          <w:lang w:eastAsia="fr-FR"/>
        </w:rPr>
        <w:t xml:space="preserve"> : Il a pour objectif de lutter contre les inondations de la zone périphérique de Dakar à travers une planification et la réalisation d’ouvrages structurants. Le PDD de Dakar a connu un début de mise en œuvre à travers le PROGEP I dont il est une des composantes. La réalisation du projet participe ainsi à la mise en œuvre du PDD </w:t>
      </w:r>
      <w:r w:rsidRPr="00260790">
        <w:rPr>
          <w:rFonts w:ascii="Times New Roman" w:eastAsia="Times New Roman" w:hAnsi="Times New Roman"/>
          <w:bCs/>
          <w:iCs/>
          <w:color w:val="000000" w:themeColor="text1"/>
          <w:lang w:eastAsia="fr-FR"/>
        </w:rPr>
        <w:t>des eaux pluviales de la région périurbaine de Dakar</w:t>
      </w:r>
      <w:r w:rsidRPr="00260790">
        <w:rPr>
          <w:rFonts w:ascii="Times New Roman" w:eastAsia="Times New Roman" w:hAnsi="Times New Roman"/>
          <w:color w:val="000000" w:themeColor="text1"/>
          <w:lang w:eastAsia="fr-FR"/>
        </w:rPr>
        <w:t>.</w:t>
      </w:r>
    </w:p>
    <w:p w14:paraId="658A6924" w14:textId="77777777" w:rsidR="005F3FB7" w:rsidRPr="00260790" w:rsidRDefault="005F3FB7" w:rsidP="00E20250">
      <w:pPr>
        <w:spacing w:line="240" w:lineRule="auto"/>
        <w:ind w:right="20"/>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Le Plan Directeur d’Assainissement (PDA)</w:t>
      </w:r>
      <w:r w:rsidRPr="00260790">
        <w:rPr>
          <w:rFonts w:ascii="Times New Roman" w:eastAsia="Times New Roman" w:hAnsi="Times New Roman"/>
          <w:color w:val="000000" w:themeColor="text1"/>
          <w:lang w:eastAsia="fr-FR"/>
        </w:rPr>
        <w:t> </w:t>
      </w:r>
      <w:r w:rsidRPr="00260790">
        <w:rPr>
          <w:rFonts w:ascii="Times New Roman" w:eastAsia="Times New Roman" w:hAnsi="Times New Roman"/>
          <w:b/>
          <w:bCs/>
          <w:i/>
          <w:iCs/>
          <w:color w:val="000000" w:themeColor="text1"/>
          <w:lang w:eastAsia="fr-FR"/>
        </w:rPr>
        <w:t>de la Région de Dakar</w:t>
      </w:r>
      <w:r w:rsidRPr="00260790">
        <w:rPr>
          <w:rFonts w:ascii="Times New Roman" w:eastAsia="Times New Roman" w:hAnsi="Times New Roman"/>
          <w:color w:val="000000" w:themeColor="text1"/>
          <w:lang w:eastAsia="fr-FR"/>
        </w:rPr>
        <w:t xml:space="preserve"> : le PDA a été élaboré par l’Office National de l’Assainissement (ONAS) pour l’horizon 2025 et vise l'amélioration du cadre de vie des populations en milieu urbain. Le projet s’intègre parfaitement dans les objectifs du PDA. </w:t>
      </w:r>
    </w:p>
    <w:p w14:paraId="69DF15E1" w14:textId="3E5909B3" w:rsidR="005F3FB7" w:rsidRDefault="005F3FB7" w:rsidP="00E20250">
      <w:pPr>
        <w:spacing w:after="0" w:line="240" w:lineRule="auto"/>
        <w:ind w:right="20"/>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 xml:space="preserve">Programme d'Assainissement et gestion des eaux pluviales (PAGEP) </w:t>
      </w:r>
      <w:r w:rsidRPr="00260790">
        <w:rPr>
          <w:rFonts w:ascii="Times New Roman" w:eastAsia="Times New Roman" w:hAnsi="Times New Roman"/>
          <w:bCs/>
          <w:iCs/>
          <w:color w:val="000000" w:themeColor="text1"/>
          <w:lang w:eastAsia="fr-FR"/>
        </w:rPr>
        <w:t xml:space="preserve">: </w:t>
      </w:r>
      <w:r w:rsidRPr="00260790">
        <w:rPr>
          <w:rFonts w:ascii="Times New Roman" w:eastAsia="Times New Roman" w:hAnsi="Times New Roman"/>
          <w:color w:val="000000" w:themeColor="text1"/>
          <w:lang w:eastAsia="fr-FR"/>
        </w:rPr>
        <w:t>L’objectif stratégique du programme, en droite ligne avec les ODD, est d’améliorer, d’ici 2025, l’accès durable et sécurisé à l’assainissement à travers la mise en place des investissements et des services nécessaires pour assurer une gestion adéquate et durable des eaux usées, des excrétas et des eaux pluviales.</w:t>
      </w:r>
    </w:p>
    <w:p w14:paraId="78D5E3DA" w14:textId="77777777" w:rsidR="00F75903" w:rsidRPr="00260790" w:rsidRDefault="00F75903" w:rsidP="00E20250">
      <w:pPr>
        <w:spacing w:after="0" w:line="240" w:lineRule="auto"/>
        <w:ind w:right="20"/>
        <w:jc w:val="both"/>
        <w:rPr>
          <w:rFonts w:ascii="Times New Roman" w:eastAsia="Times New Roman" w:hAnsi="Times New Roman"/>
          <w:bCs/>
          <w:iCs/>
          <w:color w:val="000000" w:themeColor="text1"/>
          <w:lang w:eastAsia="fr-FR"/>
        </w:rPr>
      </w:pPr>
    </w:p>
    <w:p w14:paraId="2E5757BE" w14:textId="77777777" w:rsidR="005F3FB7" w:rsidRPr="00260790" w:rsidRDefault="005F3FB7" w:rsidP="003B6588">
      <w:pPr>
        <w:pStyle w:val="CHAPITRE1"/>
        <w:rPr>
          <w:rFonts w:cs="Times New Roman"/>
        </w:rPr>
      </w:pPr>
      <w:bookmarkStart w:id="142" w:name="_Toc212725092"/>
      <w:r w:rsidRPr="00260790">
        <w:rPr>
          <w:rFonts w:cs="Times New Roman"/>
        </w:rPr>
        <w:t>Politique sectorielle de l’environnement</w:t>
      </w:r>
      <w:bookmarkEnd w:id="142"/>
    </w:p>
    <w:p w14:paraId="67CDE94A" w14:textId="5FE56650" w:rsidR="005F3FB7" w:rsidRPr="00260790" w:rsidRDefault="005F3FB7" w:rsidP="00E20250">
      <w:pPr>
        <w:tabs>
          <w:tab w:val="left" w:pos="720"/>
        </w:tabs>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La Lettre de Politique du secteur de l’Environnement et du Développement durable (</w:t>
      </w:r>
      <w:r w:rsidRPr="00260790">
        <w:rPr>
          <w:rFonts w:ascii="Times New Roman" w:eastAsia="Times New Roman" w:hAnsi="Times New Roman"/>
          <w:b/>
          <w:bCs/>
          <w:i/>
          <w:iCs/>
          <w:color w:val="000000" w:themeColor="text1"/>
          <w:lang w:eastAsia="fr-FR"/>
        </w:rPr>
        <w:t>LPSEDD</w:t>
      </w:r>
      <w:r w:rsidRPr="00260790">
        <w:rPr>
          <w:rFonts w:ascii="Times New Roman" w:eastAsia="Times New Roman" w:hAnsi="Times New Roman"/>
          <w:b/>
          <w:i/>
          <w:color w:val="000000" w:themeColor="text1"/>
          <w:lang w:eastAsia="fr-FR"/>
        </w:rPr>
        <w:t>) - 2016-2020 :</w:t>
      </w:r>
      <w:r w:rsidRPr="00260790">
        <w:rPr>
          <w:rFonts w:ascii="Times New Roman" w:eastAsia="Times New Roman" w:hAnsi="Times New Roman"/>
          <w:color w:val="000000" w:themeColor="text1"/>
          <w:lang w:eastAsia="fr-FR"/>
        </w:rPr>
        <w:t xml:space="preserve"> Elle est mise en œuvre par le </w:t>
      </w:r>
      <w:proofErr w:type="gramStart"/>
      <w:r w:rsidRPr="00260790">
        <w:rPr>
          <w:rFonts w:ascii="Times New Roman" w:eastAsia="Times New Roman" w:hAnsi="Times New Roman"/>
          <w:color w:val="000000" w:themeColor="text1"/>
          <w:lang w:eastAsia="fr-FR"/>
        </w:rPr>
        <w:t>Ministère de l’Environnement</w:t>
      </w:r>
      <w:proofErr w:type="gramEnd"/>
      <w:r w:rsidRPr="00260790">
        <w:rPr>
          <w:rFonts w:ascii="Times New Roman" w:eastAsia="Times New Roman" w:hAnsi="Times New Roman"/>
          <w:color w:val="000000" w:themeColor="text1"/>
          <w:lang w:eastAsia="fr-FR"/>
        </w:rPr>
        <w:t xml:space="preserve"> et </w:t>
      </w:r>
      <w:r w:rsidR="007001EB" w:rsidRPr="00260790">
        <w:rPr>
          <w:rFonts w:ascii="Times New Roman" w:eastAsia="Times New Roman" w:hAnsi="Times New Roman"/>
          <w:color w:val="000000" w:themeColor="text1"/>
          <w:lang w:eastAsia="fr-FR"/>
        </w:rPr>
        <w:t xml:space="preserve">de </w:t>
      </w:r>
      <w:r w:rsidRPr="00260790">
        <w:rPr>
          <w:rFonts w:ascii="Times New Roman" w:eastAsia="Times New Roman" w:hAnsi="Times New Roman"/>
          <w:color w:val="000000" w:themeColor="text1"/>
          <w:lang w:eastAsia="fr-FR"/>
        </w:rPr>
        <w:t>la Transition écologique. L’objectif global de la politique environnementale est de créer une dynamique nationale pour l’amélioration de la gestion de l’environnement et des ressources naturelles, l’intégration des principes du développement durable dans les politiques et le renforcement de la résilience des populations aux changements climatiques.</w:t>
      </w:r>
      <w:r w:rsidRPr="00260790">
        <w:rPr>
          <w:rFonts w:ascii="Times New Roman" w:hAnsi="Times New Roman"/>
          <w:color w:val="000000" w:themeColor="text1"/>
        </w:rPr>
        <w:t xml:space="preserve"> </w:t>
      </w:r>
      <w:r w:rsidRPr="00260790">
        <w:rPr>
          <w:rFonts w:ascii="Times New Roman" w:eastAsia="Times New Roman" w:hAnsi="Times New Roman"/>
          <w:color w:val="000000" w:themeColor="text1"/>
          <w:lang w:eastAsia="fr-FR"/>
        </w:rPr>
        <w:t>Elle définit la politique environnementale du pays qui s'inscrit en droite ligne dans la quête de développement économique et social durable, compatibles avec une gestion/exploitation écologiquement rationnelle des ressources naturelles et de l'environnement.  Le projet est en cohérence avec les objectifs de cette lettre de politique et contribue à sa mise en œuvre.</w:t>
      </w:r>
    </w:p>
    <w:p w14:paraId="613C3D10" w14:textId="77777777" w:rsidR="005F3FB7" w:rsidRPr="00260790" w:rsidRDefault="005F3FB7" w:rsidP="00E20250">
      <w:pPr>
        <w:tabs>
          <w:tab w:val="left" w:pos="720"/>
        </w:tabs>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 xml:space="preserve">La Stratégie Nationale de Développement Durable (SNDD) </w:t>
      </w:r>
      <w:r w:rsidRPr="00260790">
        <w:rPr>
          <w:rFonts w:ascii="Times New Roman" w:eastAsia="Times New Roman" w:hAnsi="Times New Roman"/>
          <w:color w:val="000000" w:themeColor="text1"/>
          <w:lang w:eastAsia="fr-FR"/>
        </w:rPr>
        <w:t xml:space="preserve">: Elle a pour objectif de mettre en cohérence, d’une part, les politiques, les stratégies et les programmes, et d’autre part, de favoriser une meilleure synergie entre les diverses actions. Cette stratégie se décline en six axes majeurs, parmi lesquels, la promotion d’un développement équilibré et harmonieux et le renforcement des mesures et actions pouvant contribuer à l’atteinte des Objectifs de Développement Durable (ODD). Le Projet est en phase la </w:t>
      </w:r>
      <w:r w:rsidRPr="00260790">
        <w:rPr>
          <w:rFonts w:ascii="Times New Roman" w:eastAsia="Times New Roman" w:hAnsi="Times New Roman"/>
          <w:bCs/>
          <w:iCs/>
          <w:color w:val="000000" w:themeColor="text1"/>
          <w:lang w:eastAsia="fr-FR"/>
        </w:rPr>
        <w:t>SNDD</w:t>
      </w:r>
      <w:r w:rsidRPr="00260790">
        <w:rPr>
          <w:rFonts w:ascii="Times New Roman" w:eastAsia="Times New Roman" w:hAnsi="Times New Roman"/>
          <w:color w:val="000000" w:themeColor="text1"/>
          <w:lang w:eastAsia="fr-FR"/>
        </w:rPr>
        <w:t xml:space="preserve"> et favorise un développement durable dans sa zone d’intervention.</w:t>
      </w:r>
    </w:p>
    <w:p w14:paraId="07F4199E" w14:textId="6738A2FF" w:rsidR="005F3FB7" w:rsidRPr="00260790" w:rsidRDefault="005F3FB7" w:rsidP="00E20250">
      <w:pPr>
        <w:tabs>
          <w:tab w:val="left" w:pos="720"/>
        </w:tabs>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 xml:space="preserve">Le Plan National d’Action pour l’Environnement </w:t>
      </w:r>
      <w:r w:rsidRPr="00260790">
        <w:rPr>
          <w:rFonts w:ascii="Times New Roman" w:eastAsia="Times New Roman" w:hAnsi="Times New Roman"/>
          <w:b/>
          <w:bCs/>
          <w:color w:val="000000" w:themeColor="text1"/>
          <w:lang w:eastAsia="fr-FR"/>
        </w:rPr>
        <w:t>(PNAE)</w:t>
      </w:r>
      <w:r w:rsidRPr="00260790">
        <w:rPr>
          <w:rFonts w:ascii="Times New Roman" w:eastAsia="Times New Roman" w:hAnsi="Times New Roman"/>
          <w:color w:val="000000" w:themeColor="text1"/>
          <w:lang w:eastAsia="fr-FR"/>
        </w:rPr>
        <w:t> : Il identifie les priorités environnementales et définit les bases de systèmes efficaces de planification et de gestion des ressources naturelles et de l’environnement. Le PNAE s’articule autour de sept axes : (i) lutte contre la pauvreté (ii) politique de population et gestion de l’environnement (iii) femmes, jeunes et environnement (iv) santé et environnement (v) information, éducation et communication relati</w:t>
      </w:r>
      <w:r w:rsidR="003A1AEE" w:rsidRPr="00260790">
        <w:rPr>
          <w:rFonts w:ascii="Times New Roman" w:eastAsia="Times New Roman" w:hAnsi="Times New Roman"/>
          <w:color w:val="000000" w:themeColor="text1"/>
          <w:lang w:eastAsia="fr-FR"/>
        </w:rPr>
        <w:t>f</w:t>
      </w:r>
      <w:r w:rsidRPr="00260790">
        <w:rPr>
          <w:rFonts w:ascii="Times New Roman" w:eastAsia="Times New Roman" w:hAnsi="Times New Roman"/>
          <w:color w:val="000000" w:themeColor="text1"/>
          <w:lang w:eastAsia="fr-FR"/>
        </w:rPr>
        <w:t>s à l’environnement (vi) gestion décentralisée de l’environnement et financement des initiatives locales, et (vii) environnement et coopération sous régionale et régionale. Le projet s’inscrit en droite ligne dans la mise en œuvre du PNAE à travers ses axes (i), (ii) et (iv).</w:t>
      </w:r>
    </w:p>
    <w:p w14:paraId="7C120967" w14:textId="77777777" w:rsidR="005F3FB7" w:rsidRPr="00260790" w:rsidRDefault="005F3FB7" w:rsidP="00E20250">
      <w:pPr>
        <w:tabs>
          <w:tab w:val="left" w:pos="720"/>
        </w:tabs>
        <w:spacing w:line="240" w:lineRule="auto"/>
        <w:jc w:val="both"/>
        <w:rPr>
          <w:rFonts w:ascii="Times New Roman" w:eastAsia="Symbol" w:hAnsi="Times New Roman"/>
          <w:color w:val="000000" w:themeColor="text1"/>
          <w:lang w:eastAsia="fr-FR"/>
        </w:rPr>
      </w:pPr>
      <w:r w:rsidRPr="00260790">
        <w:rPr>
          <w:rFonts w:ascii="Times New Roman" w:eastAsia="Times New Roman" w:hAnsi="Times New Roman"/>
          <w:b/>
          <w:i/>
          <w:color w:val="000000" w:themeColor="text1"/>
          <w:lang w:eastAsia="fr-FR"/>
        </w:rPr>
        <w:t>Le Programme d’Action Nationale de Lutte contre la Désertification (PAN/LCD)</w:t>
      </w:r>
      <w:r w:rsidRPr="00260790">
        <w:rPr>
          <w:rFonts w:ascii="Times New Roman" w:eastAsia="Times New Roman" w:hAnsi="Times New Roman"/>
          <w:color w:val="000000" w:themeColor="text1"/>
          <w:lang w:eastAsia="fr-FR"/>
        </w:rPr>
        <w:t xml:space="preserve"> : adopté en 1998, le il constitue une composante du PNAE. Il se veut un instrument de mise en œuvre de la Convention des Nations Unies sur la Lutte Contre la Désertification (CCD) adoptée à Paris le 17 juin 1994 à la suite de la Conférence sur l'Environnement et le Développement de Rio de Janeiro en 1992. La mise en œuvre du projet devra tenir compte du PAN/LCD.</w:t>
      </w:r>
    </w:p>
    <w:p w14:paraId="1DF212D3" w14:textId="77777777" w:rsidR="005F3FB7" w:rsidRPr="00260790" w:rsidRDefault="005F3FB7" w:rsidP="00E20250">
      <w:pPr>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La Stratégie et le Plan d’Action pour la Conservation de la Biodiversité</w:t>
      </w:r>
      <w:r w:rsidRPr="00260790">
        <w:rPr>
          <w:rFonts w:ascii="Times New Roman" w:eastAsia="Times New Roman" w:hAnsi="Times New Roman"/>
          <w:color w:val="000000" w:themeColor="text1"/>
          <w:lang w:eastAsia="fr-FR"/>
        </w:rPr>
        <w:t xml:space="preserve"> : Dans le cadre de la mise en œuvre de la convention internationale sur la conservation de la biodiversité, le Sénégal a élaboré une Stratégie et un Plan d’Action pour la Conversation de la Biodiversité adoptés en 1998, qui ont pour objectif commun de rétablir les équilibres indispensables devant assurer un développement durable pour le pays. </w:t>
      </w:r>
    </w:p>
    <w:p w14:paraId="6AC8D874" w14:textId="52193472" w:rsidR="005F3FB7" w:rsidRPr="00260790" w:rsidRDefault="005F3FB7" w:rsidP="00E20250">
      <w:pPr>
        <w:spacing w:line="240" w:lineRule="auto"/>
        <w:jc w:val="both"/>
        <w:rPr>
          <w:rFonts w:ascii="Times New Roman" w:eastAsia="Times New Roman" w:hAnsi="Times New Roman"/>
          <w:bCs/>
          <w:color w:val="000000" w:themeColor="text1"/>
          <w:lang w:eastAsia="fr-FR"/>
        </w:rPr>
      </w:pPr>
      <w:r w:rsidRPr="00260790">
        <w:rPr>
          <w:rFonts w:ascii="Times New Roman" w:eastAsia="Times New Roman" w:hAnsi="Times New Roman"/>
          <w:color w:val="000000" w:themeColor="text1"/>
          <w:lang w:eastAsia="fr-FR"/>
        </w:rPr>
        <w:t xml:space="preserve">Dans sa mise en œuvre, le projet devra tenir compte de « la conservation de la biodiversité », qui est un des objectifs stratégiques du </w:t>
      </w:r>
      <w:r w:rsidRPr="00260790">
        <w:rPr>
          <w:rFonts w:ascii="Times New Roman" w:eastAsia="Times New Roman" w:hAnsi="Times New Roman"/>
          <w:bCs/>
          <w:iCs/>
          <w:color w:val="000000" w:themeColor="text1"/>
          <w:lang w:eastAsia="fr-FR"/>
        </w:rPr>
        <w:t>Plan d’Action pour la Conservation de la Biodiversité</w:t>
      </w:r>
      <w:r w:rsidRPr="00260790">
        <w:rPr>
          <w:rFonts w:ascii="Times New Roman" w:eastAsia="Times New Roman" w:hAnsi="Times New Roman"/>
          <w:color w:val="000000" w:themeColor="text1"/>
          <w:lang w:eastAsia="fr-FR"/>
        </w:rPr>
        <w:t>.</w:t>
      </w:r>
      <w:r w:rsidRPr="00260790">
        <w:rPr>
          <w:rFonts w:ascii="Times New Roman" w:eastAsia="Times New Roman" w:hAnsi="Times New Roman"/>
          <w:bCs/>
          <w:color w:val="000000" w:themeColor="text1"/>
          <w:lang w:eastAsia="fr-FR"/>
        </w:rPr>
        <w:t xml:space="preserve"> </w:t>
      </w:r>
    </w:p>
    <w:p w14:paraId="3E327B38" w14:textId="2BFDD727" w:rsidR="005F3FB7" w:rsidRPr="00260790" w:rsidRDefault="005F3FB7" w:rsidP="00E20250">
      <w:pPr>
        <w:tabs>
          <w:tab w:val="left" w:pos="720"/>
        </w:tabs>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lastRenderedPageBreak/>
        <w:t>La Stratégie Nationale d’Adaptation aux Changements Climatiques</w:t>
      </w:r>
      <w:r w:rsidRPr="00260790">
        <w:rPr>
          <w:rFonts w:ascii="Times New Roman" w:eastAsia="Times New Roman" w:hAnsi="Times New Roman"/>
          <w:color w:val="000000" w:themeColor="text1"/>
          <w:lang w:eastAsia="fr-FR"/>
        </w:rPr>
        <w:t xml:space="preserve"> </w:t>
      </w:r>
      <w:r w:rsidRPr="00260790">
        <w:rPr>
          <w:rFonts w:ascii="Times New Roman" w:eastAsia="Times New Roman" w:hAnsi="Times New Roman"/>
          <w:b/>
          <w:bCs/>
          <w:i/>
          <w:iCs/>
          <w:color w:val="000000" w:themeColor="text1"/>
          <w:lang w:eastAsia="fr-FR"/>
        </w:rPr>
        <w:t>(SNMO)</w:t>
      </w:r>
      <w:r w:rsidRPr="00260790">
        <w:rPr>
          <w:rFonts w:ascii="Times New Roman" w:eastAsia="Times New Roman" w:hAnsi="Times New Roman"/>
          <w:color w:val="000000" w:themeColor="text1"/>
          <w:lang w:eastAsia="fr-FR"/>
        </w:rPr>
        <w:t xml:space="preserve"> : Elle s’inscrit dans le programme d’activités développé par le Sénégal depuis la conférence de Rio de 1992 et vise à renforcer la résilience et les capacités d’adaptation des populations au changement climatique. En intervenant dans des zones sujettes à des inondations, le projet s’inscrit parfaitement dans les orientations et les objectifs par la SNMO. </w:t>
      </w:r>
    </w:p>
    <w:p w14:paraId="74FE7D72" w14:textId="77777777" w:rsidR="005F3FB7" w:rsidRPr="00260790" w:rsidRDefault="005F3FB7" w:rsidP="00E20250">
      <w:pPr>
        <w:tabs>
          <w:tab w:val="left" w:pos="720"/>
        </w:tabs>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bCs/>
          <w:i/>
          <w:iCs/>
          <w:color w:val="000000" w:themeColor="text1"/>
          <w:lang w:eastAsia="fr-FR"/>
        </w:rPr>
        <w:t>La Contribution Déterminée au niveau National (CDN)</w:t>
      </w:r>
      <w:r w:rsidRPr="00260790">
        <w:rPr>
          <w:rFonts w:ascii="Times New Roman" w:eastAsia="Times New Roman" w:hAnsi="Times New Roman"/>
          <w:i/>
          <w:iCs/>
          <w:color w:val="000000" w:themeColor="text1"/>
          <w:lang w:eastAsia="fr-FR"/>
        </w:rPr>
        <w:t> </w:t>
      </w:r>
      <w:r w:rsidRPr="00260790">
        <w:rPr>
          <w:rFonts w:ascii="Times New Roman" w:eastAsia="Times New Roman" w:hAnsi="Times New Roman"/>
          <w:color w:val="000000" w:themeColor="text1"/>
          <w:lang w:eastAsia="fr-FR"/>
        </w:rPr>
        <w:t>: Document intersectoriel du Sénégal à portée nationale, la CDN a pour objectif principal de reprendre les acquis de la Contribution Prévue Déterminée au niveau National (CPDN) concernant les engagements de réduction des émissions de Gaz à effet de serre et les mettre à jour, dans le respect de l'engagement du pays dans le cadre de l'accord de Paris, en répondant à des impératifs de réactualisation des données utilisées lors de l'élaboration de la CPDN, et par des mesures d’adaptation prioritaires. La CDN s'inscrit dans le cadre des plans de développement ainsi que dans les programmes sectoriels de gestion durable de ressources naturelles et environnementales du Sénégal. Le projet s’inscrit parfaitement dans les objectifs visés par la CDN.</w:t>
      </w:r>
    </w:p>
    <w:p w14:paraId="6D18676B" w14:textId="77777777" w:rsidR="005F3FB7" w:rsidRPr="00260790" w:rsidRDefault="005F3FB7" w:rsidP="00E20250">
      <w:pPr>
        <w:tabs>
          <w:tab w:val="left" w:pos="712"/>
        </w:tabs>
        <w:spacing w:line="240" w:lineRule="auto"/>
        <w:ind w:left="4"/>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La Politique forestière du Sénégal (2005-2025)</w:t>
      </w:r>
      <w:r w:rsidRPr="00260790">
        <w:rPr>
          <w:rFonts w:ascii="Times New Roman" w:eastAsia="Times New Roman" w:hAnsi="Times New Roman"/>
          <w:color w:val="000000" w:themeColor="text1"/>
          <w:lang w:eastAsia="fr-FR"/>
        </w:rPr>
        <w:t> : L’objectif de la politique forestière du Sénégal est de contribuer, de façon sensible, à la réduction de la pauvreté grâce à la conservation et à la gestion durable du potentiel forestier à travers, notamment, la mise en œuvre cohérente de la politique de décentralisation et de coopération dans le cadre des conventions locales, internationales et du partenariat sous régional. La Politique forestière du Sénégal fait suite au Plan d’Action Forestier du Sénégal (PAFS) qui constitue le prolongement du Plan directeur de développement forestier de 1982. Le projet se conformera à la politique forestière, notamment à travers la préservation des ressources naturelles.</w:t>
      </w:r>
    </w:p>
    <w:p w14:paraId="35F20870" w14:textId="33E61596" w:rsidR="00F75903" w:rsidRPr="00F75903" w:rsidRDefault="005F3FB7" w:rsidP="00F75903">
      <w:pPr>
        <w:pStyle w:val="Normaltableau0"/>
        <w:numPr>
          <w:ilvl w:val="1"/>
          <w:numId w:val="139"/>
        </w:numPr>
        <w:outlineLvl w:val="1"/>
        <w:rPr>
          <w:rFonts w:ascii="Times New Roman" w:hAnsi="Times New Roman"/>
          <w:b/>
          <w:bCs/>
          <w:sz w:val="22"/>
          <w:szCs w:val="22"/>
        </w:rPr>
      </w:pPr>
      <w:bookmarkStart w:id="143" w:name="_Toc212725093"/>
      <w:r w:rsidRPr="00260790">
        <w:rPr>
          <w:rFonts w:ascii="Times New Roman" w:hAnsi="Times New Roman"/>
          <w:b/>
          <w:bCs/>
          <w:sz w:val="22"/>
          <w:szCs w:val="22"/>
        </w:rPr>
        <w:t>Cadre juridique applicable au projet</w:t>
      </w:r>
      <w:bookmarkEnd w:id="143"/>
    </w:p>
    <w:p w14:paraId="446BA52C" w14:textId="77777777" w:rsidR="005F3FB7" w:rsidRPr="00260790" w:rsidRDefault="005F3FB7" w:rsidP="003B6588">
      <w:pPr>
        <w:pStyle w:val="CHAPITRE1"/>
        <w:rPr>
          <w:rFonts w:cs="Times New Roman"/>
        </w:rPr>
      </w:pPr>
      <w:bookmarkStart w:id="144" w:name="_Toc68643499"/>
      <w:bookmarkStart w:id="145" w:name="_Toc68767628"/>
      <w:bookmarkStart w:id="146" w:name="_Toc68767788"/>
      <w:bookmarkStart w:id="147" w:name="_Toc68767994"/>
      <w:bookmarkStart w:id="148" w:name="_Toc68806255"/>
      <w:bookmarkStart w:id="149" w:name="_Toc68812033"/>
      <w:bookmarkStart w:id="150" w:name="_Toc68847679"/>
      <w:bookmarkStart w:id="151" w:name="_Toc68848001"/>
      <w:bookmarkStart w:id="152" w:name="_Toc68848662"/>
      <w:bookmarkStart w:id="153" w:name="_Toc68848924"/>
      <w:bookmarkStart w:id="154" w:name="_Toc68849345"/>
      <w:bookmarkStart w:id="155" w:name="_Toc68861239"/>
      <w:bookmarkStart w:id="156" w:name="_Toc68861502"/>
      <w:bookmarkStart w:id="157" w:name="_Toc68948269"/>
      <w:bookmarkStart w:id="158" w:name="_Toc68948682"/>
      <w:bookmarkStart w:id="159" w:name="_Toc68948947"/>
      <w:bookmarkStart w:id="160" w:name="_Toc68949205"/>
      <w:bookmarkStart w:id="161" w:name="_Toc68949630"/>
      <w:bookmarkStart w:id="162" w:name="_Toc68956864"/>
      <w:bookmarkStart w:id="163" w:name="_Toc68957120"/>
      <w:bookmarkStart w:id="164" w:name="_Toc68957376"/>
      <w:bookmarkStart w:id="165" w:name="_Toc68957633"/>
      <w:bookmarkStart w:id="166" w:name="_Toc68957889"/>
      <w:bookmarkStart w:id="167" w:name="_Toc68958145"/>
      <w:bookmarkStart w:id="168" w:name="_Toc68958400"/>
      <w:bookmarkStart w:id="169" w:name="_Toc68958654"/>
      <w:bookmarkStart w:id="170" w:name="_Toc68958910"/>
      <w:bookmarkStart w:id="171" w:name="_Toc69081421"/>
      <w:bookmarkStart w:id="172" w:name="_Toc69083215"/>
      <w:bookmarkStart w:id="173" w:name="_Toc69115528"/>
      <w:bookmarkStart w:id="174" w:name="_Toc62207918"/>
      <w:bookmarkStart w:id="175" w:name="_Toc62208006"/>
      <w:bookmarkStart w:id="176" w:name="_Toc474379965"/>
      <w:bookmarkStart w:id="177" w:name="_Toc212725094"/>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sidRPr="00260790">
        <w:rPr>
          <w:rFonts w:cs="Times New Roman"/>
        </w:rPr>
        <w:t>Cadre législatif et réglementaire national</w:t>
      </w:r>
      <w:bookmarkEnd w:id="174"/>
      <w:bookmarkEnd w:id="175"/>
      <w:bookmarkEnd w:id="176"/>
      <w:bookmarkEnd w:id="177"/>
    </w:p>
    <w:p w14:paraId="4B302FFC" w14:textId="77777777" w:rsidR="002931AD" w:rsidRPr="00260790" w:rsidRDefault="005F3FB7" w:rsidP="00E20250">
      <w:pPr>
        <w:spacing w:line="240" w:lineRule="auto"/>
        <w:ind w:right="-6"/>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En plus de la </w:t>
      </w:r>
      <w:r w:rsidRPr="00260790">
        <w:rPr>
          <w:rFonts w:ascii="Times New Roman" w:eastAsia="Times New Roman" w:hAnsi="Times New Roman"/>
          <w:b/>
          <w:i/>
          <w:color w:val="000000" w:themeColor="text1"/>
          <w:lang w:eastAsia="fr-FR"/>
        </w:rPr>
        <w:t xml:space="preserve">Constitution </w:t>
      </w:r>
      <w:r w:rsidRPr="00260790">
        <w:rPr>
          <w:rFonts w:ascii="Times New Roman" w:eastAsia="Times New Roman" w:hAnsi="Times New Roman"/>
          <w:bCs/>
          <w:iCs/>
          <w:color w:val="000000" w:themeColor="text1"/>
          <w:lang w:eastAsia="fr-FR"/>
        </w:rPr>
        <w:t>(adoptée le 22 janvier 2001</w:t>
      </w:r>
      <w:r w:rsidRPr="00260790">
        <w:rPr>
          <w:rFonts w:ascii="Times New Roman" w:eastAsia="Times New Roman" w:hAnsi="Times New Roman"/>
          <w:b/>
          <w:i/>
          <w:color w:val="000000" w:themeColor="text1"/>
          <w:lang w:eastAsia="fr-FR"/>
        </w:rPr>
        <w:t xml:space="preserve"> </w:t>
      </w:r>
      <w:r w:rsidRPr="00260790">
        <w:rPr>
          <w:rFonts w:ascii="Times New Roman" w:hAnsi="Times New Roman"/>
          <w:color w:val="000000" w:themeColor="text1"/>
        </w:rPr>
        <w:t>et révisée par la loi N°2016-10 du 5 avril 2016)</w:t>
      </w:r>
      <w:r w:rsidRPr="00260790">
        <w:rPr>
          <w:rFonts w:ascii="Times New Roman" w:eastAsia="Times New Roman" w:hAnsi="Times New Roman"/>
          <w:color w:val="000000" w:themeColor="text1"/>
          <w:lang w:eastAsia="fr-FR"/>
        </w:rPr>
        <w:t xml:space="preserve">  qui consacre en son article 8 (le droit de tout individu à un environnement sain) est pertinente pour le projet, d’une part du point de vue de ses objectifs, et d’autre part eu égard aux impacts négatifs et risques que sa mise en œuvre va occasionner ; par ailleurs, les articles 25-2 et 25-3, et de la circulaire</w:t>
      </w:r>
      <w:r w:rsidR="00330876" w:rsidRPr="00260790">
        <w:rPr>
          <w:rFonts w:ascii="Times New Roman" w:eastAsia="Times New Roman" w:hAnsi="Times New Roman"/>
          <w:color w:val="000000" w:themeColor="text1"/>
          <w:lang w:eastAsia="fr-FR"/>
        </w:rPr>
        <w:t xml:space="preserve"> </w:t>
      </w:r>
      <w:proofErr w:type="spellStart"/>
      <w:r w:rsidRPr="00260790">
        <w:rPr>
          <w:rFonts w:ascii="Times New Roman" w:eastAsia="Times New Roman" w:hAnsi="Times New Roman"/>
          <w:color w:val="000000" w:themeColor="text1"/>
          <w:lang w:eastAsia="fr-FR"/>
        </w:rPr>
        <w:t>primatoriale</w:t>
      </w:r>
      <w:proofErr w:type="spellEnd"/>
      <w:r w:rsidRPr="00260790">
        <w:rPr>
          <w:rFonts w:ascii="Times New Roman" w:eastAsia="Times New Roman" w:hAnsi="Times New Roman"/>
          <w:color w:val="000000" w:themeColor="text1"/>
          <w:lang w:eastAsia="fr-FR"/>
        </w:rPr>
        <w:t xml:space="preserve"> n°001 PM/SP en date du 22 mai 2007 rappelant aux différentes structures la nécessité de respecter les dispositions du Code de l’environnement), le cadre juridique national est marqué par l’existence de plusieurs textes qui disposent, en rapport avec les activités prévues et les caractéristiques de la zone d’influence, sur les aspects environnementaux et sociaux, la gestion des ressources naturelles (faune, flore, eau), le foncier, le cadre de vie, la santé et la sécurité, aux AES/HS, etc. </w:t>
      </w:r>
    </w:p>
    <w:p w14:paraId="70AC5290" w14:textId="0AB1344D" w:rsidR="005F3FB7" w:rsidRPr="00260790" w:rsidRDefault="005F3FB7" w:rsidP="00E20250">
      <w:pPr>
        <w:spacing w:line="240" w:lineRule="auto"/>
        <w:ind w:right="-6"/>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Il s’agit notamment de :</w:t>
      </w:r>
    </w:p>
    <w:p w14:paraId="54A3BCC7" w14:textId="6FFE02F3" w:rsidR="005F3FB7" w:rsidRPr="00260790" w:rsidRDefault="005F3FB7" w:rsidP="006B2607">
      <w:pPr>
        <w:tabs>
          <w:tab w:val="num" w:pos="0"/>
        </w:tabs>
        <w:spacing w:after="0" w:line="240" w:lineRule="auto"/>
        <w:ind w:right="20"/>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La loi n°20</w:t>
      </w:r>
      <w:r w:rsidR="00510B6D" w:rsidRPr="00260790">
        <w:rPr>
          <w:rFonts w:ascii="Times New Roman" w:eastAsia="Times New Roman" w:hAnsi="Times New Roman"/>
          <w:b/>
          <w:i/>
          <w:color w:val="000000" w:themeColor="text1"/>
          <w:lang w:eastAsia="fr-FR"/>
        </w:rPr>
        <w:t>23</w:t>
      </w:r>
      <w:r w:rsidRPr="00260790">
        <w:rPr>
          <w:rFonts w:ascii="Times New Roman" w:eastAsia="Times New Roman" w:hAnsi="Times New Roman"/>
          <w:b/>
          <w:i/>
          <w:color w:val="000000" w:themeColor="text1"/>
          <w:lang w:eastAsia="fr-FR"/>
        </w:rPr>
        <w:t>-1</w:t>
      </w:r>
      <w:r w:rsidR="00510B6D" w:rsidRPr="00260790">
        <w:rPr>
          <w:rFonts w:ascii="Times New Roman" w:eastAsia="Times New Roman" w:hAnsi="Times New Roman"/>
          <w:b/>
          <w:i/>
          <w:color w:val="000000" w:themeColor="text1"/>
          <w:lang w:eastAsia="fr-FR"/>
        </w:rPr>
        <w:t>5</w:t>
      </w:r>
      <w:r w:rsidRPr="00260790">
        <w:rPr>
          <w:rFonts w:ascii="Times New Roman" w:eastAsia="Times New Roman" w:hAnsi="Times New Roman"/>
          <w:b/>
          <w:i/>
          <w:color w:val="000000" w:themeColor="text1"/>
          <w:lang w:eastAsia="fr-FR"/>
        </w:rPr>
        <w:t xml:space="preserve">, du </w:t>
      </w:r>
      <w:r w:rsidR="00510B6D" w:rsidRPr="00260790">
        <w:rPr>
          <w:rFonts w:ascii="Times New Roman" w:eastAsia="Times New Roman" w:hAnsi="Times New Roman"/>
          <w:b/>
          <w:i/>
          <w:color w:val="000000" w:themeColor="text1"/>
          <w:lang w:eastAsia="fr-FR"/>
        </w:rPr>
        <w:t xml:space="preserve">2 août </w:t>
      </w:r>
      <w:r w:rsidRPr="00260790">
        <w:rPr>
          <w:rFonts w:ascii="Times New Roman" w:eastAsia="Times New Roman" w:hAnsi="Times New Roman"/>
          <w:b/>
          <w:i/>
          <w:color w:val="000000" w:themeColor="text1"/>
          <w:lang w:eastAsia="fr-FR"/>
        </w:rPr>
        <w:t>20</w:t>
      </w:r>
      <w:r w:rsidR="00510B6D" w:rsidRPr="00260790">
        <w:rPr>
          <w:rFonts w:ascii="Times New Roman" w:eastAsia="Times New Roman" w:hAnsi="Times New Roman"/>
          <w:b/>
          <w:i/>
          <w:color w:val="000000" w:themeColor="text1"/>
          <w:lang w:eastAsia="fr-FR"/>
        </w:rPr>
        <w:t>23</w:t>
      </w:r>
      <w:r w:rsidRPr="00260790">
        <w:rPr>
          <w:rFonts w:ascii="Times New Roman" w:eastAsia="Times New Roman" w:hAnsi="Times New Roman"/>
          <w:b/>
          <w:i/>
          <w:color w:val="000000" w:themeColor="text1"/>
          <w:lang w:eastAsia="fr-FR"/>
        </w:rPr>
        <w:t>, portant Code de l’environnement</w:t>
      </w:r>
      <w:r w:rsidR="00D536BB">
        <w:rPr>
          <w:rFonts w:ascii="Times New Roman" w:eastAsia="Times New Roman" w:hAnsi="Times New Roman"/>
          <w:b/>
          <w:i/>
          <w:color w:val="000000" w:themeColor="text1"/>
          <w:lang w:eastAsia="fr-FR"/>
        </w:rPr>
        <w:t xml:space="preserve"> et </w:t>
      </w:r>
      <w:r w:rsidR="00D536BB" w:rsidRPr="00D536BB">
        <w:rPr>
          <w:rFonts w:ascii="Times New Roman" w:eastAsia="Times New Roman" w:hAnsi="Times New Roman"/>
          <w:b/>
          <w:i/>
          <w:color w:val="000000" w:themeColor="text1"/>
          <w:lang w:eastAsia="fr-FR"/>
        </w:rPr>
        <w:t xml:space="preserve">le Décret n° 2025-227 du 31 janvier 2025 portant application de certaines dispositions du </w:t>
      </w:r>
      <w:r w:rsidR="00F75903">
        <w:rPr>
          <w:rFonts w:ascii="Times New Roman" w:eastAsia="Times New Roman" w:hAnsi="Times New Roman"/>
          <w:b/>
          <w:i/>
          <w:color w:val="000000" w:themeColor="text1"/>
          <w:lang w:eastAsia="fr-FR"/>
        </w:rPr>
        <w:t>C</w:t>
      </w:r>
      <w:r w:rsidR="00D536BB" w:rsidRPr="00D536BB">
        <w:rPr>
          <w:rFonts w:ascii="Times New Roman" w:eastAsia="Times New Roman" w:hAnsi="Times New Roman"/>
          <w:b/>
          <w:i/>
          <w:color w:val="000000" w:themeColor="text1"/>
          <w:lang w:eastAsia="fr-FR"/>
        </w:rPr>
        <w:t>ode de l’Environnement de 2023</w:t>
      </w:r>
      <w:r w:rsidRPr="00260790">
        <w:rPr>
          <w:rFonts w:ascii="Times New Roman" w:eastAsia="Times New Roman" w:hAnsi="Times New Roman"/>
          <w:color w:val="000000" w:themeColor="text1"/>
          <w:lang w:eastAsia="fr-FR"/>
        </w:rPr>
        <w:t xml:space="preserve">. Le projet se devra de respecter le </w:t>
      </w:r>
      <w:r w:rsidR="00F75903">
        <w:rPr>
          <w:rFonts w:ascii="Times New Roman" w:eastAsia="Times New Roman" w:hAnsi="Times New Roman"/>
          <w:color w:val="000000" w:themeColor="text1"/>
          <w:lang w:eastAsia="fr-FR"/>
        </w:rPr>
        <w:t>C</w:t>
      </w:r>
      <w:r w:rsidRPr="00260790">
        <w:rPr>
          <w:rFonts w:ascii="Times New Roman" w:eastAsia="Times New Roman" w:hAnsi="Times New Roman"/>
          <w:color w:val="000000" w:themeColor="text1"/>
          <w:lang w:eastAsia="fr-FR"/>
        </w:rPr>
        <w:t>ode de l’environnement.</w:t>
      </w:r>
      <w:r w:rsidR="001D3990" w:rsidRPr="00260790">
        <w:rPr>
          <w:rFonts w:ascii="Times New Roman" w:eastAsia="Times New Roman" w:hAnsi="Times New Roman"/>
          <w:color w:val="000000" w:themeColor="text1"/>
          <w:lang w:eastAsia="fr-FR"/>
        </w:rPr>
        <w:t xml:space="preserve"> </w:t>
      </w:r>
      <w:r w:rsidRPr="00260790">
        <w:rPr>
          <w:rFonts w:ascii="Times New Roman" w:eastAsia="Times New Roman" w:hAnsi="Times New Roman"/>
          <w:color w:val="000000" w:themeColor="text1"/>
          <w:lang w:eastAsia="fr-FR"/>
        </w:rPr>
        <w:t>Concernant les évaluations environnementales et sociales, le dispositif du Code de l’Environnement est complété par cinq arrêtés :</w:t>
      </w:r>
    </w:p>
    <w:p w14:paraId="6A9D14B3" w14:textId="77777777" w:rsidR="005F3FB7" w:rsidRPr="00260790" w:rsidRDefault="005F3FB7" w:rsidP="001748C6">
      <w:pPr>
        <w:numPr>
          <w:ilvl w:val="0"/>
          <w:numId w:val="6"/>
        </w:numPr>
        <w:tabs>
          <w:tab w:val="num" w:pos="0"/>
        </w:tabs>
        <w:spacing w:after="0" w:line="240" w:lineRule="auto"/>
        <w:ind w:right="20"/>
        <w:jc w:val="both"/>
        <w:rPr>
          <w:rFonts w:ascii="Times New Roman" w:eastAsia="Symbol" w:hAnsi="Times New Roman"/>
          <w:color w:val="000000" w:themeColor="text1"/>
          <w:lang w:eastAsia="fr-FR"/>
        </w:rPr>
      </w:pPr>
      <w:proofErr w:type="gramStart"/>
      <w:r w:rsidRPr="00260790">
        <w:rPr>
          <w:rFonts w:ascii="Times New Roman" w:eastAsia="Times New Roman" w:hAnsi="Times New Roman"/>
          <w:color w:val="000000" w:themeColor="text1"/>
          <w:lang w:eastAsia="fr-FR"/>
        </w:rPr>
        <w:t>arrêté</w:t>
      </w:r>
      <w:proofErr w:type="gramEnd"/>
      <w:r w:rsidRPr="00260790">
        <w:rPr>
          <w:rFonts w:ascii="Times New Roman" w:eastAsia="Times New Roman" w:hAnsi="Times New Roman"/>
          <w:color w:val="000000" w:themeColor="text1"/>
          <w:lang w:eastAsia="fr-FR"/>
        </w:rPr>
        <w:t xml:space="preserve"> n°009471 du 28 novembre 2001 portant contenu de termes de référence des EIES ;</w:t>
      </w:r>
    </w:p>
    <w:p w14:paraId="7A87E925" w14:textId="77777777" w:rsidR="005F3FB7" w:rsidRPr="00260790" w:rsidRDefault="005F3FB7" w:rsidP="001748C6">
      <w:pPr>
        <w:numPr>
          <w:ilvl w:val="0"/>
          <w:numId w:val="6"/>
        </w:numPr>
        <w:tabs>
          <w:tab w:val="num" w:pos="0"/>
        </w:tabs>
        <w:spacing w:after="0" w:line="240" w:lineRule="auto"/>
        <w:ind w:right="20"/>
        <w:jc w:val="both"/>
        <w:rPr>
          <w:rFonts w:ascii="Times New Roman" w:eastAsia="Symbol" w:hAnsi="Times New Roman"/>
          <w:color w:val="000000" w:themeColor="text1"/>
          <w:lang w:eastAsia="fr-FR"/>
        </w:rPr>
      </w:pPr>
      <w:proofErr w:type="gramStart"/>
      <w:r w:rsidRPr="00260790">
        <w:rPr>
          <w:rFonts w:ascii="Times New Roman" w:eastAsia="Times New Roman" w:hAnsi="Times New Roman"/>
          <w:color w:val="000000" w:themeColor="text1"/>
          <w:lang w:eastAsia="fr-FR"/>
        </w:rPr>
        <w:t>arrêté</w:t>
      </w:r>
      <w:proofErr w:type="gramEnd"/>
      <w:r w:rsidRPr="00260790">
        <w:rPr>
          <w:rFonts w:ascii="Times New Roman" w:eastAsia="Times New Roman" w:hAnsi="Times New Roman"/>
          <w:color w:val="000000" w:themeColor="text1"/>
          <w:lang w:eastAsia="fr-FR"/>
        </w:rPr>
        <w:t xml:space="preserve"> n°009470 du 28 novembre 2001 portant sur les conditions de délivrance de l’Agrément pour l’exercice d’activités relatives aux études d’impact environnemental ;</w:t>
      </w:r>
    </w:p>
    <w:p w14:paraId="15448FFF" w14:textId="77777777" w:rsidR="005F3FB7" w:rsidRPr="00260790" w:rsidRDefault="005F3FB7" w:rsidP="001748C6">
      <w:pPr>
        <w:numPr>
          <w:ilvl w:val="0"/>
          <w:numId w:val="6"/>
        </w:numPr>
        <w:tabs>
          <w:tab w:val="num" w:pos="0"/>
        </w:tabs>
        <w:spacing w:after="0" w:line="240" w:lineRule="auto"/>
        <w:jc w:val="both"/>
        <w:rPr>
          <w:rFonts w:ascii="Times New Roman" w:eastAsia="Symbol" w:hAnsi="Times New Roman"/>
          <w:color w:val="000000" w:themeColor="text1"/>
          <w:lang w:eastAsia="fr-FR"/>
        </w:rPr>
      </w:pPr>
      <w:proofErr w:type="gramStart"/>
      <w:r w:rsidRPr="00260790">
        <w:rPr>
          <w:rFonts w:ascii="Times New Roman" w:eastAsia="Times New Roman" w:hAnsi="Times New Roman"/>
          <w:color w:val="000000" w:themeColor="text1"/>
          <w:lang w:eastAsia="fr-FR"/>
        </w:rPr>
        <w:t>arrêté</w:t>
      </w:r>
      <w:proofErr w:type="gramEnd"/>
      <w:r w:rsidRPr="00260790">
        <w:rPr>
          <w:rFonts w:ascii="Times New Roman" w:eastAsia="Times New Roman" w:hAnsi="Times New Roman"/>
          <w:color w:val="000000" w:themeColor="text1"/>
          <w:lang w:eastAsia="fr-FR"/>
        </w:rPr>
        <w:t xml:space="preserve"> n°009472 du 28/11/2001 portant contenu du rapport de l’EIES ;</w:t>
      </w:r>
    </w:p>
    <w:p w14:paraId="0254F338" w14:textId="5FAC50A1" w:rsidR="005F3FB7" w:rsidRPr="00260790" w:rsidRDefault="00701B60" w:rsidP="001748C6">
      <w:pPr>
        <w:numPr>
          <w:ilvl w:val="0"/>
          <w:numId w:val="6"/>
        </w:numPr>
        <w:tabs>
          <w:tab w:val="num" w:pos="0"/>
        </w:tabs>
        <w:spacing w:after="0" w:line="240" w:lineRule="auto"/>
        <w:ind w:right="20"/>
        <w:jc w:val="both"/>
        <w:rPr>
          <w:rFonts w:ascii="Times New Roman" w:eastAsia="Times New Roman" w:hAnsi="Times New Roman"/>
          <w:color w:val="000000" w:themeColor="text1"/>
          <w:lang w:eastAsia="fr-FR"/>
        </w:rPr>
      </w:pPr>
      <w:bookmarkStart w:id="178" w:name="page30"/>
      <w:bookmarkEnd w:id="178"/>
      <w:proofErr w:type="gramStart"/>
      <w:r w:rsidRPr="00260790">
        <w:rPr>
          <w:rFonts w:ascii="Times New Roman" w:eastAsia="Times New Roman" w:hAnsi="Times New Roman"/>
          <w:color w:val="000000" w:themeColor="text1"/>
          <w:lang w:eastAsia="fr-FR"/>
        </w:rPr>
        <w:t>a</w:t>
      </w:r>
      <w:r w:rsidR="005F3FB7" w:rsidRPr="00260790">
        <w:rPr>
          <w:rFonts w:ascii="Times New Roman" w:eastAsia="Times New Roman" w:hAnsi="Times New Roman"/>
          <w:color w:val="000000" w:themeColor="text1"/>
          <w:lang w:eastAsia="fr-FR"/>
        </w:rPr>
        <w:t>rrêté</w:t>
      </w:r>
      <w:proofErr w:type="gramEnd"/>
      <w:r w:rsidR="005F3FB7" w:rsidRPr="00260790">
        <w:rPr>
          <w:rFonts w:ascii="Times New Roman" w:eastAsia="Times New Roman" w:hAnsi="Times New Roman"/>
          <w:color w:val="000000" w:themeColor="text1"/>
          <w:lang w:eastAsia="fr-FR"/>
        </w:rPr>
        <w:t xml:space="preserve"> n°009468, du 28/11/2001, portant réglementation de la participation du public à l’étude d’impact environnemental ;</w:t>
      </w:r>
    </w:p>
    <w:p w14:paraId="10036D0F" w14:textId="77777777" w:rsidR="005F3FB7" w:rsidRPr="00260790" w:rsidRDefault="005F3FB7" w:rsidP="001748C6">
      <w:pPr>
        <w:numPr>
          <w:ilvl w:val="0"/>
          <w:numId w:val="6"/>
        </w:numPr>
        <w:tabs>
          <w:tab w:val="num" w:pos="0"/>
        </w:tabs>
        <w:spacing w:line="240" w:lineRule="auto"/>
        <w:ind w:right="20"/>
        <w:jc w:val="both"/>
        <w:rPr>
          <w:rFonts w:ascii="Times New Roman" w:eastAsia="Times New Roman" w:hAnsi="Times New Roman"/>
          <w:color w:val="000000" w:themeColor="text1"/>
          <w:lang w:eastAsia="fr-FR"/>
        </w:rPr>
      </w:pPr>
      <w:proofErr w:type="gramStart"/>
      <w:r w:rsidRPr="00260790">
        <w:rPr>
          <w:rFonts w:ascii="Times New Roman" w:eastAsia="Times New Roman" w:hAnsi="Times New Roman"/>
          <w:color w:val="000000" w:themeColor="text1"/>
          <w:lang w:eastAsia="fr-FR"/>
        </w:rPr>
        <w:t>arrêté</w:t>
      </w:r>
      <w:proofErr w:type="gramEnd"/>
      <w:r w:rsidRPr="00260790">
        <w:rPr>
          <w:rFonts w:ascii="Times New Roman" w:eastAsia="Times New Roman" w:hAnsi="Times New Roman"/>
          <w:color w:val="000000" w:themeColor="text1"/>
          <w:lang w:eastAsia="fr-FR"/>
        </w:rPr>
        <w:t xml:space="preserve"> n°009469 du 28/11/2001 portant organisation/fonctionnement du comité technique.</w:t>
      </w:r>
    </w:p>
    <w:p w14:paraId="2B51CA6E" w14:textId="5536906E" w:rsidR="005F3FB7" w:rsidRPr="00260790" w:rsidRDefault="005F3FB7" w:rsidP="00E20250">
      <w:pPr>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La</w:t>
      </w:r>
      <w:r w:rsidRPr="00260790">
        <w:rPr>
          <w:rFonts w:ascii="Times New Roman" w:eastAsia="Times New Roman" w:hAnsi="Times New Roman"/>
          <w:i/>
          <w:color w:val="000000" w:themeColor="text1"/>
          <w:lang w:eastAsia="fr-FR"/>
        </w:rPr>
        <w:t xml:space="preserve"> </w:t>
      </w:r>
      <w:r w:rsidRPr="00260790">
        <w:rPr>
          <w:rFonts w:ascii="Times New Roman" w:eastAsia="Times New Roman" w:hAnsi="Times New Roman"/>
          <w:b/>
          <w:bCs/>
          <w:i/>
          <w:color w:val="000000" w:themeColor="text1"/>
          <w:lang w:eastAsia="fr-FR"/>
        </w:rPr>
        <w:t>Loi d’orientation pour l’Aménagement et le développement durable des territoires (LOADT)</w:t>
      </w:r>
      <w:r w:rsidR="001D3990" w:rsidRPr="00260790">
        <w:rPr>
          <w:rFonts w:ascii="Times New Roman" w:eastAsia="Times New Roman" w:hAnsi="Times New Roman"/>
          <w:color w:val="000000" w:themeColor="text1"/>
          <w:lang w:eastAsia="fr-FR"/>
        </w:rPr>
        <w:t xml:space="preserve"> </w:t>
      </w:r>
      <w:r w:rsidR="001D3990" w:rsidRPr="00260790">
        <w:rPr>
          <w:rFonts w:ascii="Times New Roman" w:eastAsia="Times New Roman" w:hAnsi="Times New Roman"/>
          <w:b/>
          <w:bCs/>
          <w:i/>
          <w:color w:val="000000" w:themeColor="text1"/>
          <w:lang w:eastAsia="fr-FR"/>
        </w:rPr>
        <w:t>du 12 janvier 2021</w:t>
      </w:r>
      <w:r w:rsidRPr="00260790">
        <w:rPr>
          <w:rFonts w:ascii="Times New Roman" w:eastAsia="Times New Roman" w:hAnsi="Times New Roman"/>
          <w:b/>
          <w:bCs/>
          <w:i/>
          <w:color w:val="000000" w:themeColor="text1"/>
          <w:lang w:eastAsia="fr-FR"/>
        </w:rPr>
        <w:t> :</w:t>
      </w:r>
      <w:r w:rsidRPr="00260790">
        <w:rPr>
          <w:rFonts w:ascii="Times New Roman" w:eastAsia="Times New Roman" w:hAnsi="Times New Roman"/>
          <w:color w:val="000000" w:themeColor="text1"/>
          <w:lang w:eastAsia="fr-FR"/>
        </w:rPr>
        <w:t xml:space="preserve"> fixe les principes, les orientations, les outils, organes et instruments de l’aménagement et du développement durable des territoires du Sénégal. La LOADT, qui encourt à l’unité et à la solidarité nationale, a pour objectif général un développement harmonieux du territoire national en tenant compte des vocations et potentialités des territoires et encourt l’unité et à la solidarité </w:t>
      </w:r>
      <w:proofErr w:type="spellStart"/>
      <w:proofErr w:type="gramStart"/>
      <w:r w:rsidRPr="00260790">
        <w:rPr>
          <w:rFonts w:ascii="Times New Roman" w:eastAsia="Times New Roman" w:hAnsi="Times New Roman"/>
          <w:color w:val="000000" w:themeColor="text1"/>
          <w:lang w:eastAsia="fr-FR"/>
        </w:rPr>
        <w:t>nationale.En</w:t>
      </w:r>
      <w:proofErr w:type="spellEnd"/>
      <w:proofErr w:type="gramEnd"/>
      <w:r w:rsidRPr="00260790">
        <w:rPr>
          <w:rFonts w:ascii="Times New Roman" w:eastAsia="Times New Roman" w:hAnsi="Times New Roman"/>
          <w:color w:val="000000" w:themeColor="text1"/>
          <w:lang w:eastAsia="fr-FR"/>
        </w:rPr>
        <w:t xml:space="preserve"> rapport avec le projet, ces différents documents visent à contribuer à la mise en cohérence des programmes et projets au niveau des territoires et la promotion de la gestion durable de l’environnement </w:t>
      </w:r>
      <w:r w:rsidRPr="00260790">
        <w:rPr>
          <w:rFonts w:ascii="Times New Roman" w:eastAsia="Times New Roman" w:hAnsi="Times New Roman"/>
          <w:color w:val="000000" w:themeColor="text1"/>
          <w:lang w:eastAsia="fr-FR"/>
        </w:rPr>
        <w:lastRenderedPageBreak/>
        <w:t>et des ressources naturelles. Ils constituent des orientations et des propositions pertinentes et cohérentes pour les choix de mesures de bonification du projet.</w:t>
      </w:r>
    </w:p>
    <w:p w14:paraId="672D6EC9" w14:textId="77777777" w:rsidR="005F3FB7" w:rsidRPr="00260790" w:rsidRDefault="005F3FB7" w:rsidP="00E20250">
      <w:pPr>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visa de localisation, un des instruments de mise en œuvre du Plan National d’Aménagement et de Développement Territorial (PNDAT), adopté en conseil des ministres au titre des textes législatifs et réglementaires le 20 avril 2022, est délivré par le Directeur Général de l’Agence Nationale de l’Aménagement du Territoire (ANAT). L’obtention du visa de localisation est exigée avant la délivrance de tout titre ou autorisation administrative concourant à la réalisation d’un projet, notamment le titre de propriété, l’autorisation de construire, l’autorisation de démolir, le quitus environnemental, l’autorisation de lotir, le permis d’exploitation minière, l’autorisation de défricher et l’autorisation d’occuper le domaine public de l’État. Son objectif est de contrôler et de veiller à une répartition harmonieuse et équilibrée des localisations (équipements, entreprises, projets, etc.) à travers le territoire national.</w:t>
      </w:r>
    </w:p>
    <w:p w14:paraId="7CCE194F" w14:textId="77777777" w:rsidR="005F3FB7" w:rsidRPr="00260790" w:rsidRDefault="005F3FB7" w:rsidP="00E20250">
      <w:pPr>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 xml:space="preserve">La Politique de décentralisation (Loi n°2013-10 du 28 décembre 2013 portant Code général des Collectivités locales - Acte III de la décentralisation). </w:t>
      </w:r>
      <w:r w:rsidRPr="00260790">
        <w:rPr>
          <w:rFonts w:ascii="Times New Roman" w:eastAsia="Times New Roman" w:hAnsi="Times New Roman"/>
          <w:color w:val="000000" w:themeColor="text1"/>
          <w:lang w:eastAsia="fr-FR"/>
        </w:rPr>
        <w:t xml:space="preserve">Ce nouveau Code des Collectivités territoriales abroge et remplace les lois n° 96-06 portant Code des Collectivités territoriales, n°96-07 portant transfert de compétences aux régions, aux communes et aux communautés rurales et n° 96-09 du 22 mars 1996 fixant l’organisation de la commune d’arrondissement et ses rapports avec la ville. </w:t>
      </w:r>
      <w:r w:rsidRPr="00260790">
        <w:rPr>
          <w:rFonts w:ascii="Times New Roman" w:eastAsia="Times New Roman" w:hAnsi="Times New Roman"/>
          <w:bCs/>
          <w:iCs/>
          <w:color w:val="000000" w:themeColor="text1"/>
          <w:lang w:eastAsia="fr-FR"/>
        </w:rPr>
        <w:t>L</w:t>
      </w:r>
      <w:r w:rsidRPr="00260790">
        <w:rPr>
          <w:rFonts w:ascii="Times New Roman" w:eastAsia="Times New Roman" w:hAnsi="Times New Roman"/>
          <w:color w:val="000000" w:themeColor="text1"/>
          <w:lang w:eastAsia="fr-FR"/>
        </w:rPr>
        <w:t xml:space="preserve">’objectif général visé par cette réforme est d’organiser le Sénégal en territoires viables, compétitifs et porteurs de développement durable.  </w:t>
      </w:r>
    </w:p>
    <w:p w14:paraId="715981FD" w14:textId="77777777" w:rsidR="005F3FB7" w:rsidRPr="00260790" w:rsidRDefault="005F3FB7" w:rsidP="00E20250">
      <w:pPr>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L'Acte 3 de la décentralisation, qui a aussi pour mission de réaliser la communalisation intégrale des autres collectivités territoriales du pays, a permis entre autres d’ériger les départements en collectivités territoriales, l’érection des communautés rurales et des communes d’arrondissement en communes ; etc. En intervenant dans des collectivités territoriales, renforce le développement local et stimule la mobilisation des parties prenantes communautaires dans le processus de gestion durable des inondations.</w:t>
      </w:r>
    </w:p>
    <w:p w14:paraId="5BC16CDF" w14:textId="77777777" w:rsidR="005F3FB7" w:rsidRPr="00260790" w:rsidRDefault="005F3FB7" w:rsidP="00E20250">
      <w:pPr>
        <w:tabs>
          <w:tab w:val="num" w:pos="0"/>
          <w:tab w:val="left" w:pos="364"/>
        </w:tabs>
        <w:spacing w:line="240" w:lineRule="auto"/>
        <w:jc w:val="both"/>
        <w:rPr>
          <w:rFonts w:ascii="Times New Roman" w:eastAsia="Symbol" w:hAnsi="Times New Roman"/>
          <w:color w:val="000000" w:themeColor="text1"/>
          <w:lang w:eastAsia="fr-FR"/>
        </w:rPr>
      </w:pPr>
      <w:r w:rsidRPr="00260790">
        <w:rPr>
          <w:rFonts w:ascii="Times New Roman" w:eastAsia="Times New Roman" w:hAnsi="Times New Roman"/>
          <w:b/>
          <w:i/>
          <w:color w:val="000000" w:themeColor="text1"/>
          <w:lang w:eastAsia="fr-FR"/>
        </w:rPr>
        <w:t>La Loi n°2009-24, du 8 juillet 2009, portant Code de l’Assainissement</w:t>
      </w:r>
      <w:r w:rsidRPr="00260790">
        <w:rPr>
          <w:rFonts w:ascii="Times New Roman" w:eastAsia="Times New Roman" w:hAnsi="Times New Roman"/>
          <w:b/>
          <w:color w:val="000000" w:themeColor="text1"/>
          <w:lang w:eastAsia="fr-FR"/>
        </w:rPr>
        <w:t xml:space="preserve"> </w:t>
      </w:r>
      <w:r w:rsidRPr="00260790">
        <w:rPr>
          <w:rFonts w:ascii="Times New Roman" w:eastAsia="Times New Roman" w:hAnsi="Times New Roman"/>
          <w:color w:val="000000" w:themeColor="text1"/>
          <w:lang w:eastAsia="fr-FR"/>
        </w:rPr>
        <w:t>définit</w:t>
      </w:r>
      <w:r w:rsidRPr="00260790">
        <w:rPr>
          <w:rFonts w:ascii="Times New Roman" w:eastAsia="Times New Roman" w:hAnsi="Times New Roman"/>
          <w:b/>
          <w:color w:val="000000" w:themeColor="text1"/>
          <w:lang w:eastAsia="fr-FR"/>
        </w:rPr>
        <w:t xml:space="preserve"> </w:t>
      </w:r>
      <w:r w:rsidRPr="00260790">
        <w:rPr>
          <w:rFonts w:ascii="Times New Roman" w:eastAsia="Times New Roman" w:hAnsi="Times New Roman"/>
          <w:color w:val="000000" w:themeColor="text1"/>
          <w:lang w:eastAsia="fr-FR"/>
        </w:rPr>
        <w:t>un code unique et harmonisé de l’assainissement, qui permettra l’accès de tous à la règle de droit en matière d’assainissement au Sénégal. Les collectivités territoriales, particulièrement les communes, sont responsables, de concert avec l’État, du financement des investissements et de l’exploitation des ouvrages de collecte et d’évacuation des eaux pluviales, notamment les canaux à ciel ouvert. À cet effet, les communes signent des conventions avec le délégataire auquel elles confient cette exploitation. Le projet tiendra également compte du décret 2011-245 du 17 février 2011, portant application du Code de l’assainissement.</w:t>
      </w:r>
    </w:p>
    <w:p w14:paraId="4865720F" w14:textId="77777777" w:rsidR="005F3FB7" w:rsidRPr="00260790" w:rsidRDefault="005F3FB7" w:rsidP="00E20250">
      <w:pPr>
        <w:tabs>
          <w:tab w:val="num" w:pos="0"/>
          <w:tab w:val="left" w:pos="364"/>
        </w:tabs>
        <w:spacing w:line="240" w:lineRule="auto"/>
        <w:ind w:right="20"/>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La Loi n°83-71, du 5 juillet 1983, portant Code de l’Hygiène</w:t>
      </w:r>
      <w:r w:rsidRPr="00260790">
        <w:rPr>
          <w:rFonts w:ascii="Times New Roman" w:eastAsia="Times New Roman" w:hAnsi="Times New Roman"/>
          <w:b/>
          <w:color w:val="000000" w:themeColor="text1"/>
          <w:lang w:eastAsia="fr-FR"/>
        </w:rPr>
        <w:t> </w:t>
      </w:r>
      <w:r w:rsidRPr="00260790">
        <w:rPr>
          <w:rFonts w:ascii="Times New Roman" w:eastAsia="Times New Roman" w:hAnsi="Times New Roman"/>
          <w:color w:val="000000" w:themeColor="text1"/>
          <w:lang w:eastAsia="fr-FR"/>
        </w:rPr>
        <w:t>réglemente l’hygiène individuelle, publique ou collective et l’assainissement du milieu. Cette loi définit, entre autres, les règles d’hygiène applicables aux habitations, aux installations industrielles, aux voies publiques et au conditionnement des déchets. Le projet tiendra compte de cette loi dans le cadre de l’entretien et de la maintenance des ouvrages, mais aussi dans le domaine de la sensibilisation des populations quant au respect de l’hygiène publique.</w:t>
      </w:r>
    </w:p>
    <w:p w14:paraId="7A95C2F8" w14:textId="77777777" w:rsidR="005F3FB7" w:rsidRPr="00260790" w:rsidRDefault="005F3FB7" w:rsidP="00E20250">
      <w:pPr>
        <w:tabs>
          <w:tab w:val="num" w:pos="0"/>
          <w:tab w:val="left" w:pos="364"/>
        </w:tabs>
        <w:spacing w:line="240" w:lineRule="auto"/>
        <w:ind w:right="20"/>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La Loi n°2018-25 du 12 novembre 2018</w:t>
      </w:r>
      <w:r w:rsidRPr="00260790">
        <w:rPr>
          <w:rFonts w:ascii="Times New Roman" w:eastAsia="Times New Roman" w:hAnsi="Times New Roman"/>
          <w:i/>
          <w:color w:val="000000" w:themeColor="text1"/>
          <w:lang w:eastAsia="fr-FR"/>
        </w:rPr>
        <w:t xml:space="preserve"> </w:t>
      </w:r>
      <w:r w:rsidRPr="00260790">
        <w:rPr>
          <w:rFonts w:ascii="Times New Roman" w:eastAsia="Times New Roman" w:hAnsi="Times New Roman"/>
          <w:b/>
          <w:i/>
          <w:color w:val="000000" w:themeColor="text1"/>
          <w:lang w:eastAsia="fr-FR"/>
        </w:rPr>
        <w:t>portant Code forestier</w:t>
      </w:r>
      <w:r w:rsidRPr="00260790">
        <w:rPr>
          <w:rFonts w:ascii="Times New Roman" w:eastAsia="Times New Roman" w:hAnsi="Times New Roman"/>
          <w:b/>
          <w:color w:val="000000" w:themeColor="text1"/>
          <w:lang w:eastAsia="fr-FR"/>
        </w:rPr>
        <w:t xml:space="preserve"> </w:t>
      </w:r>
      <w:r w:rsidRPr="00260790">
        <w:rPr>
          <w:rFonts w:ascii="Times New Roman" w:eastAsia="Times New Roman" w:hAnsi="Times New Roman"/>
          <w:b/>
          <w:bCs/>
          <w:i/>
          <w:iCs/>
          <w:color w:val="000000" w:themeColor="text1"/>
          <w:lang w:eastAsia="fr-FR"/>
        </w:rPr>
        <w:t>et son décret d’application n°2019-110 du 16 janvier 2019.</w:t>
      </w:r>
      <w:r w:rsidRPr="00260790">
        <w:rPr>
          <w:rFonts w:ascii="Times New Roman" w:eastAsia="Times New Roman" w:hAnsi="Times New Roman"/>
          <w:b/>
          <w:color w:val="000000" w:themeColor="text1"/>
          <w:lang w:eastAsia="fr-FR"/>
        </w:rPr>
        <w:t xml:space="preserve"> </w:t>
      </w:r>
      <w:r w:rsidRPr="00260790">
        <w:rPr>
          <w:rFonts w:ascii="Times New Roman" w:eastAsia="Times New Roman" w:hAnsi="Times New Roman"/>
          <w:color w:val="000000" w:themeColor="text1"/>
          <w:lang w:eastAsia="fr-FR"/>
        </w:rPr>
        <w:t>Cette</w:t>
      </w:r>
      <w:r w:rsidRPr="00260790">
        <w:rPr>
          <w:rFonts w:ascii="Times New Roman" w:eastAsia="Times New Roman" w:hAnsi="Times New Roman"/>
          <w:b/>
          <w:color w:val="000000" w:themeColor="text1"/>
          <w:lang w:eastAsia="fr-FR"/>
        </w:rPr>
        <w:t xml:space="preserve"> </w:t>
      </w:r>
      <w:r w:rsidRPr="00260790">
        <w:rPr>
          <w:rFonts w:ascii="Times New Roman" w:eastAsia="Times New Roman" w:hAnsi="Times New Roman"/>
          <w:color w:val="000000" w:themeColor="text1"/>
          <w:lang w:eastAsia="fr-FR"/>
        </w:rPr>
        <w:t xml:space="preserve">loi abroge toutes dispositions de la loi nº93-06 du 4 février 1993 portant code forestier, et fixe les règles générales de la gestion des forêts, des arbres hors forêt et des terres à vocation forestière du Domaine national. </w:t>
      </w:r>
    </w:p>
    <w:p w14:paraId="7DCCB8CD" w14:textId="6B2C400C" w:rsidR="005F3FB7" w:rsidRPr="00260790" w:rsidRDefault="005F3FB7" w:rsidP="00E20250">
      <w:pPr>
        <w:tabs>
          <w:tab w:val="num" w:pos="0"/>
          <w:tab w:val="left" w:pos="364"/>
        </w:tabs>
        <w:spacing w:line="240" w:lineRule="auto"/>
        <w:ind w:right="2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Code forestier reconnaît le droit de propriété aux personnes sur leurs formations forestières. Le Code dispose également que toute activité à l’intérieur des formations forestières doit être soumise à autorisation. Le projet tiendra également compte de cette loi, relativement à l’abattage d’arbres pendant la phase des travaux.</w:t>
      </w:r>
    </w:p>
    <w:p w14:paraId="31DA7A6C" w14:textId="1BA20047" w:rsidR="005F3FB7" w:rsidRPr="00260790" w:rsidRDefault="005F3FB7" w:rsidP="00E20250">
      <w:pPr>
        <w:tabs>
          <w:tab w:val="num" w:pos="0"/>
          <w:tab w:val="left" w:pos="364"/>
        </w:tabs>
        <w:spacing w:line="240" w:lineRule="auto"/>
        <w:ind w:right="20"/>
        <w:jc w:val="both"/>
        <w:rPr>
          <w:rFonts w:ascii="Times New Roman" w:eastAsia="Times New Roman" w:hAnsi="Times New Roman"/>
          <w:bCs/>
          <w:iCs/>
          <w:color w:val="000000" w:themeColor="text1"/>
          <w:lang w:eastAsia="fr-FR"/>
        </w:rPr>
      </w:pPr>
      <w:r w:rsidRPr="00260790">
        <w:rPr>
          <w:rFonts w:ascii="Times New Roman" w:eastAsia="Times New Roman" w:hAnsi="Times New Roman"/>
          <w:b/>
          <w:i/>
          <w:color w:val="000000" w:themeColor="text1"/>
          <w:lang w:eastAsia="fr-FR"/>
        </w:rPr>
        <w:t xml:space="preserve">La Loi n°86-04 du 24 janvier 1986 portant </w:t>
      </w:r>
      <w:r w:rsidR="00F75903">
        <w:rPr>
          <w:rFonts w:ascii="Times New Roman" w:eastAsia="Times New Roman" w:hAnsi="Times New Roman"/>
          <w:b/>
          <w:i/>
          <w:color w:val="000000" w:themeColor="text1"/>
          <w:lang w:eastAsia="fr-FR"/>
        </w:rPr>
        <w:t>C</w:t>
      </w:r>
      <w:r w:rsidRPr="00260790">
        <w:rPr>
          <w:rFonts w:ascii="Times New Roman" w:eastAsia="Times New Roman" w:hAnsi="Times New Roman"/>
          <w:b/>
          <w:i/>
          <w:color w:val="000000" w:themeColor="text1"/>
          <w:lang w:eastAsia="fr-FR"/>
        </w:rPr>
        <w:t>ode de la chasse et de la protection de la faune et son</w:t>
      </w:r>
      <w:r w:rsidRPr="00260790">
        <w:rPr>
          <w:rFonts w:ascii="Times New Roman" w:hAnsi="Times New Roman"/>
          <w:bCs/>
          <w:color w:val="000000" w:themeColor="text1"/>
          <w:kern w:val="28"/>
        </w:rPr>
        <w:t xml:space="preserve"> </w:t>
      </w:r>
      <w:r w:rsidRPr="00260790">
        <w:rPr>
          <w:rFonts w:ascii="Times New Roman" w:eastAsia="Times New Roman" w:hAnsi="Times New Roman"/>
          <w:b/>
          <w:i/>
          <w:color w:val="000000" w:themeColor="text1"/>
          <w:lang w:eastAsia="fr-FR"/>
        </w:rPr>
        <w:t>Décret d’application n°86-844 du 14 juillet 19</w:t>
      </w:r>
      <w:r w:rsidR="007A535D" w:rsidRPr="00260790">
        <w:rPr>
          <w:rFonts w:ascii="Times New Roman" w:eastAsia="Times New Roman" w:hAnsi="Times New Roman"/>
          <w:b/>
          <w:i/>
          <w:color w:val="000000" w:themeColor="text1"/>
          <w:lang w:eastAsia="fr-FR"/>
        </w:rPr>
        <w:t>8</w:t>
      </w:r>
      <w:r w:rsidRPr="00260790">
        <w:rPr>
          <w:rFonts w:ascii="Times New Roman" w:eastAsia="Times New Roman" w:hAnsi="Times New Roman"/>
          <w:b/>
          <w:i/>
          <w:color w:val="000000" w:themeColor="text1"/>
          <w:lang w:eastAsia="fr-FR"/>
        </w:rPr>
        <w:t>8</w:t>
      </w:r>
      <w:r w:rsidRPr="00260790">
        <w:rPr>
          <w:rFonts w:ascii="Times New Roman" w:eastAsia="Times New Roman" w:hAnsi="Times New Roman"/>
          <w:bCs/>
          <w:iCs/>
          <w:color w:val="000000" w:themeColor="text1"/>
          <w:lang w:eastAsia="fr-FR"/>
        </w:rPr>
        <w:t> : q</w:t>
      </w:r>
      <w:r w:rsidRPr="00260790">
        <w:rPr>
          <w:rFonts w:ascii="Times New Roman" w:eastAsia="Times New Roman" w:hAnsi="Times New Roman"/>
          <w:color w:val="000000" w:themeColor="text1"/>
          <w:lang w:eastAsia="fr-FR"/>
        </w:rPr>
        <w:t xml:space="preserve">ui réglementent à la chasse et à la protection de la faune, notamment </w:t>
      </w:r>
      <w:r w:rsidRPr="00260790">
        <w:rPr>
          <w:rFonts w:ascii="Times New Roman" w:hAnsi="Times New Roman"/>
          <w:color w:val="000000" w:themeColor="text1"/>
          <w:shd w:val="clear" w:color="auto" w:fill="FFFFFF"/>
        </w:rPr>
        <w:t xml:space="preserve">la </w:t>
      </w:r>
      <w:r w:rsidRPr="00260790">
        <w:rPr>
          <w:rFonts w:ascii="Times New Roman" w:eastAsia="Times New Roman" w:hAnsi="Times New Roman"/>
          <w:color w:val="000000" w:themeColor="text1"/>
          <w:lang w:eastAsia="fr-FR"/>
        </w:rPr>
        <w:t>protection de certaines espèces.</w:t>
      </w:r>
    </w:p>
    <w:p w14:paraId="39A7C3EC" w14:textId="02D20DB2" w:rsidR="005F3FB7" w:rsidRPr="00260790" w:rsidRDefault="005F3FB7" w:rsidP="00E20250">
      <w:pPr>
        <w:tabs>
          <w:tab w:val="num" w:pos="0"/>
          <w:tab w:val="left" w:pos="364"/>
        </w:tabs>
        <w:spacing w:line="240" w:lineRule="auto"/>
        <w:ind w:right="20"/>
        <w:jc w:val="both"/>
        <w:rPr>
          <w:rFonts w:ascii="Times New Roman" w:eastAsia="Times New Roman" w:hAnsi="Times New Roman"/>
          <w:color w:val="000000" w:themeColor="text1"/>
          <w:lang w:eastAsia="fr-FR"/>
        </w:rPr>
      </w:pPr>
      <w:r w:rsidRPr="00260790">
        <w:rPr>
          <w:rFonts w:ascii="Times New Roman" w:hAnsi="Times New Roman"/>
          <w:b/>
          <w:i/>
          <w:iCs/>
          <w:color w:val="000000" w:themeColor="text1"/>
          <w:kern w:val="28"/>
        </w:rPr>
        <w:lastRenderedPageBreak/>
        <w:t>La Loi n°2016 -32 du 08 novembre 2016 portant Code minier et son Décret d’application n°2017-459 du 20 mars 2017</w:t>
      </w:r>
      <w:r w:rsidR="00442D58" w:rsidRPr="00260790">
        <w:rPr>
          <w:rFonts w:ascii="Times New Roman" w:hAnsi="Times New Roman"/>
          <w:bCs/>
          <w:color w:val="000000" w:themeColor="text1"/>
          <w:kern w:val="28"/>
        </w:rPr>
        <w:t> : réglementent toutes les activités minières au niveau national. Ce texte réglemente la prospection, la recherche et l’exploitation des mines et carrières. Le Code minier stipule que l’octroi des permis de recherche et d’exploitation est assujetti à une étude d’impact sur l’environnement. Le projet est concerné par ce code car les travaux vont nécessiter l’ouverture et l’exploitation de carrières et de sites d’emprunt (sable, latérite, etc.).</w:t>
      </w:r>
    </w:p>
    <w:p w14:paraId="3E18CAC0" w14:textId="77777777" w:rsidR="005F3FB7" w:rsidRPr="00260790" w:rsidRDefault="005F3FB7" w:rsidP="00E20250">
      <w:pPr>
        <w:tabs>
          <w:tab w:val="num" w:pos="0"/>
          <w:tab w:val="left" w:pos="364"/>
        </w:tabs>
        <w:spacing w:line="240" w:lineRule="auto"/>
        <w:ind w:right="20"/>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La Loi n°81-13 du 4 mars 1981 portant Code de l’eau</w:t>
      </w:r>
      <w:r w:rsidRPr="00260790">
        <w:rPr>
          <w:rFonts w:ascii="Times New Roman" w:eastAsia="Times New Roman" w:hAnsi="Times New Roman"/>
          <w:color w:val="000000" w:themeColor="text1"/>
          <w:lang w:eastAsia="fr-FR"/>
        </w:rPr>
        <w:t xml:space="preserve"> prévoit les différentes dispositions prévues permettant de lutter contre la pollution des eaux tout en conciliant les exigences liées notamment à l’alimentation en eau potable et à la santé publique, à l’agriculture, à la vie biologique du milieu récepteur et de la faune piscicole, à la protection des sites et à la conservation des eaux. Le projet tiendra compte de cette loi.</w:t>
      </w:r>
    </w:p>
    <w:p w14:paraId="2CAA6221" w14:textId="77777777" w:rsidR="00AF60C9" w:rsidRPr="00260790" w:rsidRDefault="00AF60C9" w:rsidP="00E20250">
      <w:pPr>
        <w:tabs>
          <w:tab w:val="num" w:pos="0"/>
          <w:tab w:val="left" w:pos="364"/>
        </w:tabs>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La Loi n°2023-20 du 29 décembre 2023 portant Code de l’urbanisme</w:t>
      </w:r>
      <w:r w:rsidRPr="00260790">
        <w:rPr>
          <w:rFonts w:ascii="Times New Roman" w:eastAsia="Times New Roman" w:hAnsi="Times New Roman"/>
          <w:color w:val="000000" w:themeColor="text1"/>
          <w:lang w:eastAsia="fr-FR"/>
        </w:rPr>
        <w:t xml:space="preserve">, complétée par le décret n°2009-1450 du 30 décembre 2009, fixe les règles relatives aux normes de construction et réglemente les plans d’urbanisme en trois (3) catégories : le schéma d’urbanisme, le plan directeur d’urbanisme et le plan d’urbanisme de détail. </w:t>
      </w:r>
    </w:p>
    <w:p w14:paraId="20A9236C" w14:textId="77777777" w:rsidR="005F3FB7" w:rsidRPr="00260790" w:rsidRDefault="005F3FB7" w:rsidP="00E20250">
      <w:pPr>
        <w:tabs>
          <w:tab w:val="num" w:pos="0"/>
        </w:tabs>
        <w:spacing w:line="240" w:lineRule="auto"/>
        <w:ind w:right="20"/>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La Loi n°71-12 du 25 septembre 1971 fixant le régime des monuments historiques et des fouilles et découvertes et du décret n°73-746 du 8 août 1973</w:t>
      </w:r>
      <w:r w:rsidRPr="00260790">
        <w:rPr>
          <w:rFonts w:ascii="Times New Roman" w:eastAsia="Times New Roman" w:hAnsi="Times New Roman"/>
          <w:color w:val="000000" w:themeColor="text1"/>
          <w:lang w:eastAsia="fr-FR"/>
        </w:rPr>
        <w:t xml:space="preserve"> portant application de la</w:t>
      </w:r>
      <w:r w:rsidRPr="00260790">
        <w:rPr>
          <w:rFonts w:ascii="Times New Roman" w:eastAsia="Times New Roman" w:hAnsi="Times New Roman"/>
          <w:b/>
          <w:color w:val="000000" w:themeColor="text1"/>
          <w:lang w:eastAsia="fr-FR"/>
        </w:rPr>
        <w:t xml:space="preserve"> </w:t>
      </w:r>
      <w:r w:rsidRPr="00260790">
        <w:rPr>
          <w:rFonts w:ascii="Times New Roman" w:eastAsia="Times New Roman" w:hAnsi="Times New Roman"/>
          <w:color w:val="000000" w:themeColor="text1"/>
          <w:lang w:eastAsia="fr-FR"/>
        </w:rPr>
        <w:t>loi n°71-12 détermine la politique de préservation des sites. Le projet tiendra compte de cette loi notamment lors des fouilles et de l’ouverture des tranchées en phase de travaux.</w:t>
      </w:r>
    </w:p>
    <w:p w14:paraId="13C098D0" w14:textId="4F641F35" w:rsidR="005F3FB7" w:rsidRPr="00260790" w:rsidRDefault="00AF60C9" w:rsidP="00E20250">
      <w:pPr>
        <w:tabs>
          <w:tab w:val="num" w:pos="0"/>
        </w:tabs>
        <w:spacing w:line="240" w:lineRule="auto"/>
        <w:rPr>
          <w:rFonts w:ascii="Times New Roman" w:eastAsia="Symbol" w:hAnsi="Times New Roman"/>
          <w:color w:val="000000" w:themeColor="text1"/>
          <w:lang w:eastAsia="fr-FR"/>
        </w:rPr>
      </w:pPr>
      <w:r w:rsidRPr="00260790">
        <w:rPr>
          <w:rFonts w:ascii="Times New Roman" w:eastAsia="Symbol" w:hAnsi="Times New Roman"/>
          <w:b/>
          <w:bCs/>
          <w:i/>
          <w:iCs/>
          <w:color w:val="000000" w:themeColor="text1"/>
          <w:lang w:eastAsia="fr-FR"/>
        </w:rPr>
        <w:t>Loi N°64-46 du 17 juin 1964 relative au domaine national</w:t>
      </w:r>
      <w:r w:rsidRPr="00260790">
        <w:rPr>
          <w:rFonts w:ascii="Times New Roman" w:eastAsia="Symbol" w:hAnsi="Times New Roman"/>
          <w:color w:val="000000" w:themeColor="text1"/>
          <w:lang w:eastAsia="fr-FR"/>
        </w:rPr>
        <w:t>, qui régit le statut juridique des terres du domaine national ainsi que leur mode d’exploitation, par exemple l’article 2 stipule que l’État détient les terres du domaine national en vue d’assurer leur utilisation et leur mise en valeur rationnelles, conformément aux plans de développement et aux programmes d’aménagement.</w:t>
      </w:r>
    </w:p>
    <w:p w14:paraId="092D7DB5" w14:textId="77777777" w:rsidR="000C2B69" w:rsidRDefault="005F3FB7" w:rsidP="00E20250">
      <w:pPr>
        <w:tabs>
          <w:tab w:val="num" w:pos="0"/>
          <w:tab w:val="left" w:pos="364"/>
        </w:tabs>
        <w:spacing w:line="240" w:lineRule="auto"/>
        <w:jc w:val="both"/>
        <w:rPr>
          <w:rFonts w:ascii="Times New Roman" w:hAnsi="Times New Roman"/>
          <w:color w:val="000000" w:themeColor="text1"/>
        </w:rPr>
      </w:pPr>
      <w:r w:rsidRPr="00260790">
        <w:rPr>
          <w:rFonts w:ascii="Times New Roman" w:eastAsia="Times New Roman" w:hAnsi="Times New Roman"/>
          <w:b/>
          <w:i/>
          <w:color w:val="000000" w:themeColor="text1"/>
          <w:lang w:eastAsia="fr-FR"/>
        </w:rPr>
        <w:t xml:space="preserve">La Loi 76-66 du 2 juillet 1976 portant Code du domaine de l’État, </w:t>
      </w:r>
      <w:r w:rsidRPr="00260790">
        <w:rPr>
          <w:rFonts w:ascii="Times New Roman" w:eastAsia="Times New Roman" w:hAnsi="Times New Roman"/>
          <w:color w:val="000000" w:themeColor="text1"/>
          <w:lang w:eastAsia="fr-FR"/>
        </w:rPr>
        <w:t>qui régit le statut juridique des ressources en eau, affirme le droit de propriété de l'État sur les ressources en eau. En particulier, il énonce le contenu du Domaine public naturel (</w:t>
      </w:r>
      <w:r w:rsidRPr="00260790">
        <w:rPr>
          <w:rFonts w:ascii="Times New Roman" w:eastAsia="Times New Roman" w:hAnsi="Times New Roman"/>
          <w:b/>
          <w:i/>
          <w:color w:val="000000" w:themeColor="text1"/>
          <w:lang w:eastAsia="fr-FR"/>
        </w:rPr>
        <w:t>article 5</w:t>
      </w:r>
      <w:r w:rsidRPr="00260790">
        <w:rPr>
          <w:rFonts w:ascii="Times New Roman" w:eastAsia="Times New Roman" w:hAnsi="Times New Roman"/>
          <w:color w:val="000000" w:themeColor="text1"/>
          <w:lang w:eastAsia="fr-FR"/>
        </w:rPr>
        <w:t>) et du Domaine public artificiel de l’État. Le domaine public naturel de l'État concerne les eaux de surface et les nappes aquifères souterraines, quelle que soit leur provenance, leur nature ou leur profondeur ; et le Domaine public artificiel de l'État intéresse les forages et puits, les conduites d'eau et les égouts, ainsi que les dépendances de ces ouvrages; les servitudes d'utilité publique qui comprennent, notamment les servitudes de passage, d'implantation, d'appui et de circulation, nécessitées par l'établissement, l'entretien et l'exploitation des installations et ouvrages visés ci-dessus. Le projet tiendra compte de cette loi eu égard à l’acquisition de terre</w:t>
      </w:r>
      <w:r w:rsidR="001A7B9A" w:rsidRPr="00260790">
        <w:rPr>
          <w:rFonts w:ascii="Times New Roman" w:eastAsia="Times New Roman" w:hAnsi="Times New Roman"/>
          <w:color w:val="000000" w:themeColor="text1"/>
          <w:lang w:eastAsia="fr-FR"/>
        </w:rPr>
        <w:t>s</w:t>
      </w:r>
      <w:r w:rsidRPr="00260790">
        <w:rPr>
          <w:rFonts w:ascii="Times New Roman" w:eastAsia="Times New Roman" w:hAnsi="Times New Roman"/>
          <w:color w:val="000000" w:themeColor="text1"/>
          <w:lang w:eastAsia="fr-FR"/>
        </w:rPr>
        <w:t xml:space="preserve"> pour satisfaire les besoins pour les ouvrages à réaliser.</w:t>
      </w:r>
      <w:r w:rsidRPr="00260790">
        <w:rPr>
          <w:rFonts w:ascii="Times New Roman" w:hAnsi="Times New Roman"/>
          <w:color w:val="000000" w:themeColor="text1"/>
        </w:rPr>
        <w:t xml:space="preserve"> </w:t>
      </w:r>
    </w:p>
    <w:p w14:paraId="124CE115" w14:textId="13178A9E" w:rsidR="00291A74" w:rsidRDefault="005F3FB7" w:rsidP="00E20250">
      <w:pPr>
        <w:tabs>
          <w:tab w:val="num" w:pos="0"/>
          <w:tab w:val="left" w:pos="364"/>
        </w:tabs>
        <w:spacing w:line="240" w:lineRule="auto"/>
        <w:jc w:val="both"/>
        <w:rPr>
          <w:rFonts w:ascii="Times New Roman" w:eastAsia="Times New Roman" w:hAnsi="Times New Roman"/>
          <w:b/>
          <w:i/>
          <w:color w:val="000000" w:themeColor="text1"/>
          <w:lang w:eastAsia="fr-FR"/>
        </w:rPr>
      </w:pPr>
      <w:r w:rsidRPr="001108C4">
        <w:rPr>
          <w:rFonts w:ascii="Times New Roman" w:eastAsia="Times New Roman" w:hAnsi="Times New Roman"/>
          <w:b/>
          <w:bCs/>
          <w:color w:val="000000" w:themeColor="text1"/>
          <w:lang w:eastAsia="fr-FR"/>
        </w:rPr>
        <w:t>Le Décret n°98-555 du 25 juin 1998</w:t>
      </w:r>
      <w:r w:rsidRPr="00260790">
        <w:rPr>
          <w:rFonts w:ascii="Times New Roman" w:eastAsia="Times New Roman" w:hAnsi="Times New Roman"/>
          <w:color w:val="000000" w:themeColor="text1"/>
          <w:lang w:eastAsia="fr-FR"/>
        </w:rPr>
        <w:t xml:space="preserve"> relatif aux autorisations d’installation ou d’utilisation d’ouvrages de déversement, d’écoulement ou de rejet dans un milieu récepteur naturel, notamment la mer, les cours d’eau, les lacs, les étangs. Le projet se doit de respecter cette disposition, car le </w:t>
      </w:r>
      <w:r w:rsidR="00BF2DFE" w:rsidRPr="00260790">
        <w:rPr>
          <w:rFonts w:ascii="Times New Roman" w:eastAsia="Times New Roman" w:hAnsi="Times New Roman"/>
          <w:color w:val="000000" w:themeColor="text1"/>
          <w:lang w:eastAsia="fr-FR"/>
        </w:rPr>
        <w:t>marigot de Mbao</w:t>
      </w:r>
      <w:r w:rsidRPr="00260790">
        <w:rPr>
          <w:rFonts w:ascii="Times New Roman" w:eastAsia="Times New Roman" w:hAnsi="Times New Roman"/>
          <w:color w:val="000000" w:themeColor="text1"/>
          <w:lang w:eastAsia="fr-FR"/>
        </w:rPr>
        <w:t xml:space="preserve"> constitue l’exutoire pour le rejet</w:t>
      </w:r>
      <w:r w:rsidR="00173129" w:rsidRPr="00260790">
        <w:rPr>
          <w:rFonts w:ascii="Times New Roman" w:eastAsia="Times New Roman" w:hAnsi="Times New Roman"/>
          <w:color w:val="000000" w:themeColor="text1"/>
          <w:lang w:eastAsia="fr-FR"/>
        </w:rPr>
        <w:t xml:space="preserve"> du</w:t>
      </w:r>
      <w:r w:rsidRPr="00260790">
        <w:rPr>
          <w:rFonts w:ascii="Times New Roman" w:eastAsia="Times New Roman" w:hAnsi="Times New Roman"/>
          <w:color w:val="000000" w:themeColor="text1"/>
          <w:lang w:eastAsia="fr-FR"/>
        </w:rPr>
        <w:t xml:space="preserve"> drainage</w:t>
      </w:r>
      <w:r w:rsidR="00173129" w:rsidRPr="00260790">
        <w:rPr>
          <w:rFonts w:ascii="Times New Roman" w:eastAsia="Times New Roman" w:hAnsi="Times New Roman"/>
          <w:color w:val="000000" w:themeColor="text1"/>
          <w:lang w:eastAsia="fr-FR"/>
        </w:rPr>
        <w:t xml:space="preserve"> des eaux pluviales</w:t>
      </w:r>
      <w:r w:rsidRPr="00260790">
        <w:rPr>
          <w:rFonts w:ascii="Times New Roman" w:eastAsia="Times New Roman" w:hAnsi="Times New Roman"/>
          <w:color w:val="000000" w:themeColor="text1"/>
          <w:lang w:eastAsia="fr-FR"/>
        </w:rPr>
        <w:t>.</w:t>
      </w:r>
    </w:p>
    <w:p w14:paraId="109FEDDC" w14:textId="1985E48E" w:rsidR="005F3FB7" w:rsidRPr="00260790" w:rsidRDefault="005F3FB7" w:rsidP="00E20250">
      <w:pPr>
        <w:tabs>
          <w:tab w:val="num" w:pos="0"/>
          <w:tab w:val="left" w:pos="364"/>
        </w:tabs>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La Loi nº76-67 du 2 juillet 1976, relative à l’expropriation,</w:t>
      </w:r>
      <w:r w:rsidRPr="00260790">
        <w:rPr>
          <w:rFonts w:ascii="Times New Roman" w:eastAsia="Times New Roman" w:hAnsi="Times New Roman"/>
          <w:color w:val="000000" w:themeColor="text1"/>
          <w:lang w:eastAsia="fr-FR"/>
        </w:rPr>
        <w:t xml:space="preserve"> fixe les procédures d’expropriation pour cause d’utilité publique. D’autres textes relatifs au foncier sont aussi concernés : (i) la Loi n°76-66 du 2 juillet 1976 portant Code du Domaine de l’État ; (ii) le décret n</w:t>
      </w:r>
      <w:r w:rsidRPr="00260790">
        <w:rPr>
          <w:rFonts w:ascii="Times New Roman" w:eastAsia="Times New Roman" w:hAnsi="Times New Roman"/>
          <w:color w:val="000000" w:themeColor="text1"/>
          <w:vertAlign w:val="superscript"/>
          <w:lang w:eastAsia="fr-FR"/>
        </w:rPr>
        <w:t>o</w:t>
      </w:r>
      <w:r w:rsidRPr="00260790">
        <w:rPr>
          <w:rFonts w:ascii="Times New Roman" w:eastAsia="Times New Roman" w:hAnsi="Times New Roman"/>
          <w:color w:val="000000" w:themeColor="text1"/>
          <w:lang w:eastAsia="fr-FR"/>
        </w:rPr>
        <w:t>2010-439 du 6 avril 2010 abrogeant et remplaçant le décret n</w:t>
      </w:r>
      <w:r w:rsidRPr="00260790">
        <w:rPr>
          <w:rFonts w:ascii="Times New Roman" w:eastAsia="Times New Roman" w:hAnsi="Times New Roman"/>
          <w:color w:val="000000" w:themeColor="text1"/>
          <w:vertAlign w:val="superscript"/>
          <w:lang w:eastAsia="fr-FR"/>
        </w:rPr>
        <w:t>o</w:t>
      </w:r>
      <w:r w:rsidRPr="00260790">
        <w:rPr>
          <w:rFonts w:ascii="Times New Roman" w:eastAsia="Times New Roman" w:hAnsi="Times New Roman"/>
          <w:color w:val="000000" w:themeColor="text1"/>
          <w:lang w:eastAsia="fr-FR"/>
        </w:rPr>
        <w:t>88-74 du 18 janvier 1988 fixant le barème du prix des terrains nus et des terrains bâtis, applicables en matière de loyer ; (iv) la loi n°64-46 du 17 juin 1964 sur le domaine national et ses différents textes d’application ; (v); (vi) la loi n° 2011-07 du 30 mars 2011 portant régime de la Propriété foncière (vii)</w:t>
      </w:r>
      <w:r w:rsidR="000C2B69">
        <w:rPr>
          <w:rFonts w:ascii="Times New Roman" w:eastAsia="Times New Roman" w:hAnsi="Times New Roman"/>
          <w:color w:val="000000" w:themeColor="text1"/>
          <w:lang w:eastAsia="fr-FR"/>
        </w:rPr>
        <w:t>.</w:t>
      </w:r>
      <w:r w:rsidRPr="00260790">
        <w:rPr>
          <w:rFonts w:ascii="Times New Roman" w:eastAsia="Times New Roman" w:hAnsi="Times New Roman"/>
          <w:color w:val="000000" w:themeColor="text1"/>
          <w:lang w:eastAsia="fr-FR"/>
        </w:rPr>
        <w:t xml:space="preserve"> Le projet tiendra compte de cette loi eu égard à l’acquisition de terre pour satisfaire les besoins pour les ouvrages à réaliser.</w:t>
      </w:r>
    </w:p>
    <w:p w14:paraId="351AE92B" w14:textId="403D81A0" w:rsidR="005F3FB7" w:rsidRPr="00260790" w:rsidRDefault="005F3FB7" w:rsidP="00E20250">
      <w:pPr>
        <w:tabs>
          <w:tab w:val="num" w:pos="0"/>
          <w:tab w:val="left" w:pos="364"/>
        </w:tabs>
        <w:spacing w:line="240" w:lineRule="auto"/>
        <w:jc w:val="both"/>
        <w:rPr>
          <w:rFonts w:ascii="Times New Roman" w:eastAsia="Symbol" w:hAnsi="Times New Roman"/>
          <w:color w:val="000000" w:themeColor="text1"/>
          <w:lang w:eastAsia="fr-FR"/>
        </w:rPr>
      </w:pPr>
      <w:r w:rsidRPr="00260790">
        <w:rPr>
          <w:rFonts w:ascii="Times New Roman" w:eastAsia="Symbol" w:hAnsi="Times New Roman"/>
          <w:b/>
          <w:bCs/>
          <w:i/>
          <w:iCs/>
          <w:color w:val="000000" w:themeColor="text1"/>
          <w:lang w:eastAsia="fr-FR"/>
        </w:rPr>
        <w:t>Le Décret n°99-172 du 4 mars 1999 abrogeant et remplaçant le décret n 93-1288 du 17 novembre 1993,</w:t>
      </w:r>
      <w:r w:rsidRPr="00260790">
        <w:rPr>
          <w:rFonts w:ascii="Times New Roman" w:eastAsia="Symbol" w:hAnsi="Times New Roman"/>
          <w:color w:val="000000" w:themeColor="text1"/>
          <w:lang w:eastAsia="fr-FR"/>
        </w:rPr>
        <w:t xml:space="preserve"> adoptant le </w:t>
      </w:r>
      <w:r w:rsidRPr="00260790">
        <w:rPr>
          <w:rFonts w:ascii="Times New Roman" w:eastAsia="Symbol" w:hAnsi="Times New Roman"/>
          <w:b/>
          <w:bCs/>
          <w:color w:val="000000" w:themeColor="text1"/>
          <w:lang w:eastAsia="fr-FR"/>
        </w:rPr>
        <w:t>Plan National d’Organisation des Secours</w:t>
      </w:r>
      <w:r w:rsidRPr="00260790">
        <w:rPr>
          <w:rFonts w:ascii="Times New Roman" w:eastAsia="Symbol" w:hAnsi="Times New Roman"/>
          <w:color w:val="000000" w:themeColor="text1"/>
          <w:lang w:eastAsia="fr-FR"/>
        </w:rPr>
        <w:t xml:space="preserve"> </w:t>
      </w:r>
      <w:r w:rsidRPr="00260790">
        <w:rPr>
          <w:rFonts w:ascii="Times New Roman" w:eastAsia="Symbol" w:hAnsi="Times New Roman"/>
          <w:b/>
          <w:bCs/>
          <w:i/>
          <w:iCs/>
          <w:color w:val="000000" w:themeColor="text1"/>
          <w:lang w:eastAsia="fr-FR"/>
        </w:rPr>
        <w:t>(ORSEC)</w:t>
      </w:r>
      <w:r w:rsidRPr="00260790">
        <w:rPr>
          <w:rFonts w:ascii="Times New Roman" w:eastAsia="Symbol" w:hAnsi="Times New Roman"/>
          <w:color w:val="000000" w:themeColor="text1"/>
          <w:lang w:eastAsia="fr-FR"/>
        </w:rPr>
        <w:t xml:space="preserve">, définit les conditions d’élaboration de ce plan structuré en trois variantes : le Plan National ORSEC, le Plan Régional ORSEC et le Plan Départemental ORSEC. Ce décret n°99-172 définit les différentes institutions de l’État qui </w:t>
      </w:r>
      <w:r w:rsidRPr="00260790">
        <w:rPr>
          <w:rFonts w:ascii="Times New Roman" w:eastAsia="Symbol" w:hAnsi="Times New Roman"/>
          <w:color w:val="000000" w:themeColor="text1"/>
          <w:lang w:eastAsia="fr-FR"/>
        </w:rPr>
        <w:lastRenderedPageBreak/>
        <w:t xml:space="preserve">interviennent, le mécanisme de coordination, ainsi que l’organisation générale pour le déclenchement de ce plan. </w:t>
      </w:r>
    </w:p>
    <w:p w14:paraId="31C83A50" w14:textId="12A2B0BE" w:rsidR="005F3FB7" w:rsidRPr="00260790" w:rsidRDefault="005F3FB7" w:rsidP="00E20250">
      <w:pPr>
        <w:tabs>
          <w:tab w:val="num" w:pos="0"/>
        </w:tabs>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D’autres textes, relati</w:t>
      </w:r>
      <w:r w:rsidR="00FA08CC" w:rsidRPr="00260790">
        <w:rPr>
          <w:rFonts w:ascii="Times New Roman" w:eastAsia="Times New Roman" w:hAnsi="Times New Roman"/>
          <w:color w:val="000000" w:themeColor="text1"/>
          <w:lang w:eastAsia="fr-FR"/>
        </w:rPr>
        <w:t>f</w:t>
      </w:r>
      <w:r w:rsidRPr="00260790">
        <w:rPr>
          <w:rFonts w:ascii="Times New Roman" w:eastAsia="Times New Roman" w:hAnsi="Times New Roman"/>
          <w:color w:val="000000" w:themeColor="text1"/>
          <w:lang w:eastAsia="fr-FR"/>
        </w:rPr>
        <w:t>s à la santé et à la sécurité, sont également applicables au projet, à savoir :</w:t>
      </w:r>
    </w:p>
    <w:p w14:paraId="5031EC69" w14:textId="77777777" w:rsidR="005F3FB7" w:rsidRPr="007A0798" w:rsidRDefault="005F3FB7" w:rsidP="007A0798">
      <w:pPr>
        <w:numPr>
          <w:ilvl w:val="0"/>
          <w:numId w:val="8"/>
        </w:numPr>
        <w:tabs>
          <w:tab w:val="num" w:pos="0"/>
        </w:tabs>
        <w:spacing w:after="0" w:line="240" w:lineRule="auto"/>
        <w:jc w:val="both"/>
        <w:rPr>
          <w:rFonts w:ascii="Times New Roman" w:eastAsia="Symbol" w:hAnsi="Times New Roman"/>
          <w:b/>
          <w:bCs/>
          <w:color w:val="000000" w:themeColor="text1"/>
          <w:lang w:eastAsia="fr-FR"/>
        </w:rPr>
      </w:pPr>
      <w:proofErr w:type="gramStart"/>
      <w:r w:rsidRPr="007A0798">
        <w:rPr>
          <w:rFonts w:ascii="Times New Roman" w:eastAsia="Times New Roman" w:hAnsi="Times New Roman"/>
          <w:b/>
          <w:bCs/>
          <w:color w:val="000000" w:themeColor="text1"/>
          <w:lang w:eastAsia="fr-FR"/>
        </w:rPr>
        <w:t>la</w:t>
      </w:r>
      <w:proofErr w:type="gramEnd"/>
      <w:r w:rsidRPr="007A0798">
        <w:rPr>
          <w:rFonts w:ascii="Times New Roman" w:eastAsia="Times New Roman" w:hAnsi="Times New Roman"/>
          <w:b/>
          <w:bCs/>
          <w:color w:val="000000" w:themeColor="text1"/>
          <w:lang w:eastAsia="fr-FR"/>
        </w:rPr>
        <w:t xml:space="preserve"> </w:t>
      </w:r>
      <w:r w:rsidRPr="007A0798">
        <w:rPr>
          <w:rFonts w:ascii="Times New Roman" w:eastAsia="Times New Roman" w:hAnsi="Times New Roman"/>
          <w:b/>
          <w:bCs/>
          <w:i/>
          <w:iCs/>
          <w:color w:val="000000" w:themeColor="text1"/>
          <w:lang w:eastAsia="fr-FR"/>
        </w:rPr>
        <w:t>Loi n°73-37 du 31 juillet 1973</w:t>
      </w:r>
      <w:r w:rsidRPr="007A0798">
        <w:rPr>
          <w:rFonts w:ascii="Times New Roman" w:eastAsia="Times New Roman" w:hAnsi="Times New Roman"/>
          <w:b/>
          <w:bCs/>
          <w:color w:val="000000" w:themeColor="text1"/>
          <w:lang w:eastAsia="fr-FR"/>
        </w:rPr>
        <w:t xml:space="preserve"> modifiée portant Code de la sécurité sociale ;</w:t>
      </w:r>
    </w:p>
    <w:p w14:paraId="1AC1CF78" w14:textId="4D7E7FEF" w:rsidR="005F3FB7" w:rsidRPr="007A0798" w:rsidRDefault="005F3FB7" w:rsidP="007A0798">
      <w:pPr>
        <w:numPr>
          <w:ilvl w:val="0"/>
          <w:numId w:val="8"/>
        </w:numPr>
        <w:tabs>
          <w:tab w:val="num" w:pos="0"/>
        </w:tabs>
        <w:spacing w:after="0" w:line="240" w:lineRule="auto"/>
        <w:jc w:val="both"/>
        <w:rPr>
          <w:rFonts w:ascii="Times New Roman" w:eastAsia="Symbol" w:hAnsi="Times New Roman"/>
          <w:b/>
          <w:bCs/>
          <w:color w:val="000000" w:themeColor="text1"/>
          <w:lang w:eastAsia="fr-FR"/>
        </w:rPr>
      </w:pPr>
      <w:proofErr w:type="gramStart"/>
      <w:r w:rsidRPr="007A0798">
        <w:rPr>
          <w:rFonts w:ascii="Times New Roman" w:eastAsia="Times New Roman" w:hAnsi="Times New Roman"/>
          <w:b/>
          <w:bCs/>
          <w:color w:val="000000" w:themeColor="text1"/>
          <w:lang w:eastAsia="fr-FR"/>
        </w:rPr>
        <w:t>la</w:t>
      </w:r>
      <w:proofErr w:type="gramEnd"/>
      <w:r w:rsidRPr="007A0798">
        <w:rPr>
          <w:rFonts w:ascii="Times New Roman" w:eastAsia="Times New Roman" w:hAnsi="Times New Roman"/>
          <w:b/>
          <w:bCs/>
          <w:color w:val="000000" w:themeColor="text1"/>
          <w:lang w:eastAsia="fr-FR"/>
        </w:rPr>
        <w:t xml:space="preserve"> </w:t>
      </w:r>
      <w:r w:rsidRPr="007A0798">
        <w:rPr>
          <w:rFonts w:ascii="Times New Roman" w:eastAsia="Times New Roman" w:hAnsi="Times New Roman"/>
          <w:b/>
          <w:bCs/>
          <w:i/>
          <w:iCs/>
          <w:color w:val="000000" w:themeColor="text1"/>
          <w:lang w:eastAsia="fr-FR"/>
        </w:rPr>
        <w:t>Loi n°2010-03 du 9 avril 2010 relative au VIH SIDA</w:t>
      </w:r>
      <w:r w:rsidRPr="007A0798">
        <w:rPr>
          <w:rFonts w:ascii="Times New Roman" w:eastAsia="Times New Roman" w:hAnsi="Times New Roman"/>
          <w:b/>
          <w:bCs/>
          <w:color w:val="000000" w:themeColor="text1"/>
          <w:lang w:eastAsia="fr-FR"/>
        </w:rPr>
        <w:t xml:space="preserve"> ;</w:t>
      </w:r>
    </w:p>
    <w:p w14:paraId="1840F1E2" w14:textId="77777777" w:rsidR="005F3FB7" w:rsidRPr="007A0798" w:rsidRDefault="005F3FB7" w:rsidP="007A0798">
      <w:pPr>
        <w:numPr>
          <w:ilvl w:val="0"/>
          <w:numId w:val="8"/>
        </w:numPr>
        <w:tabs>
          <w:tab w:val="num" w:pos="0"/>
        </w:tabs>
        <w:spacing w:after="0" w:line="240" w:lineRule="auto"/>
        <w:ind w:right="20"/>
        <w:jc w:val="both"/>
        <w:rPr>
          <w:rFonts w:ascii="Times New Roman" w:eastAsia="Symbol" w:hAnsi="Times New Roman"/>
          <w:b/>
          <w:bCs/>
          <w:color w:val="000000" w:themeColor="text1"/>
          <w:lang w:eastAsia="fr-FR"/>
        </w:rPr>
      </w:pPr>
      <w:proofErr w:type="gramStart"/>
      <w:r w:rsidRPr="007A0798">
        <w:rPr>
          <w:rFonts w:ascii="Times New Roman" w:eastAsia="Times New Roman" w:hAnsi="Times New Roman"/>
          <w:b/>
          <w:bCs/>
          <w:i/>
          <w:iCs/>
          <w:color w:val="000000" w:themeColor="text1"/>
          <w:lang w:eastAsia="fr-FR"/>
        </w:rPr>
        <w:t>l’Arrêté</w:t>
      </w:r>
      <w:proofErr w:type="gramEnd"/>
      <w:r w:rsidRPr="007A0798">
        <w:rPr>
          <w:rFonts w:ascii="Times New Roman" w:eastAsia="Times New Roman" w:hAnsi="Times New Roman"/>
          <w:b/>
          <w:bCs/>
          <w:i/>
          <w:iCs/>
          <w:color w:val="000000" w:themeColor="text1"/>
          <w:lang w:eastAsia="fr-FR"/>
        </w:rPr>
        <w:t xml:space="preserve"> 14951 du 23/09/2014 qui porte sur l’information, l’éducation et la formation en matière de VIH/SIDA dans les lieux de travail </w:t>
      </w:r>
      <w:r w:rsidRPr="007A0798">
        <w:rPr>
          <w:rFonts w:ascii="Times New Roman" w:eastAsia="Times New Roman" w:hAnsi="Times New Roman"/>
          <w:b/>
          <w:bCs/>
          <w:color w:val="000000" w:themeColor="text1"/>
          <w:lang w:eastAsia="fr-FR"/>
        </w:rPr>
        <w:t>;</w:t>
      </w:r>
    </w:p>
    <w:p w14:paraId="0E8C22ED" w14:textId="77777777" w:rsidR="005F3FB7" w:rsidRPr="007A0798" w:rsidRDefault="005F3FB7" w:rsidP="007A0798">
      <w:pPr>
        <w:numPr>
          <w:ilvl w:val="0"/>
          <w:numId w:val="8"/>
        </w:numPr>
        <w:tabs>
          <w:tab w:val="num" w:pos="0"/>
        </w:tabs>
        <w:spacing w:line="240" w:lineRule="auto"/>
        <w:ind w:right="20"/>
        <w:jc w:val="both"/>
        <w:rPr>
          <w:rFonts w:ascii="Times New Roman" w:eastAsia="Symbol" w:hAnsi="Times New Roman"/>
          <w:b/>
          <w:bCs/>
          <w:color w:val="000000" w:themeColor="text1"/>
          <w:lang w:eastAsia="fr-FR"/>
        </w:rPr>
      </w:pPr>
      <w:proofErr w:type="gramStart"/>
      <w:r w:rsidRPr="007A0798">
        <w:rPr>
          <w:rFonts w:ascii="Times New Roman" w:eastAsia="Times New Roman" w:hAnsi="Times New Roman"/>
          <w:b/>
          <w:bCs/>
          <w:color w:val="000000" w:themeColor="text1"/>
          <w:lang w:eastAsia="fr-FR"/>
        </w:rPr>
        <w:t>la</w:t>
      </w:r>
      <w:proofErr w:type="gramEnd"/>
      <w:r w:rsidRPr="007A0798">
        <w:rPr>
          <w:rFonts w:ascii="Times New Roman" w:eastAsia="Times New Roman" w:hAnsi="Times New Roman"/>
          <w:b/>
          <w:bCs/>
          <w:color w:val="000000" w:themeColor="text1"/>
          <w:lang w:eastAsia="fr-FR"/>
        </w:rPr>
        <w:t xml:space="preserve"> </w:t>
      </w:r>
      <w:r w:rsidRPr="007A0798">
        <w:rPr>
          <w:rFonts w:ascii="Times New Roman" w:eastAsia="Times New Roman" w:hAnsi="Times New Roman"/>
          <w:b/>
          <w:bCs/>
          <w:i/>
          <w:iCs/>
          <w:color w:val="000000" w:themeColor="text1"/>
          <w:lang w:eastAsia="fr-FR"/>
        </w:rPr>
        <w:t>Loi n°2002-30 du 24 décembre 2002 portant Code de la route complétée par le Décret d’application n° 2004-13.</w:t>
      </w:r>
    </w:p>
    <w:p w14:paraId="01B8B05D" w14:textId="77777777" w:rsidR="00291A74" w:rsidRPr="00260790" w:rsidRDefault="00291A74" w:rsidP="00E20250">
      <w:pPr>
        <w:tabs>
          <w:tab w:val="num" w:pos="0"/>
        </w:tabs>
        <w:spacing w:after="0" w:line="240" w:lineRule="auto"/>
        <w:ind w:right="20"/>
        <w:jc w:val="both"/>
        <w:rPr>
          <w:rFonts w:ascii="Times New Roman" w:eastAsia="Times New Roman" w:hAnsi="Times New Roman"/>
          <w:color w:val="000000" w:themeColor="text1"/>
          <w:lang w:eastAsia="fr-FR"/>
        </w:rPr>
      </w:pPr>
    </w:p>
    <w:p w14:paraId="5DF79CED" w14:textId="4EE4A7FE" w:rsidR="005F3FB7" w:rsidRPr="00260790" w:rsidRDefault="005F3FB7" w:rsidP="0097258B">
      <w:pPr>
        <w:pStyle w:val="CHAPITRE1"/>
      </w:pPr>
      <w:bookmarkStart w:id="179" w:name="_Toc68806257"/>
      <w:bookmarkStart w:id="180" w:name="_Toc68812035"/>
      <w:bookmarkStart w:id="181" w:name="_Toc68847681"/>
      <w:bookmarkStart w:id="182" w:name="_Toc68848003"/>
      <w:bookmarkStart w:id="183" w:name="_Toc68848664"/>
      <w:bookmarkStart w:id="184" w:name="_Toc68848926"/>
      <w:bookmarkStart w:id="185" w:name="_Toc68849347"/>
      <w:bookmarkStart w:id="186" w:name="_Toc68861241"/>
      <w:bookmarkStart w:id="187" w:name="_Toc68861504"/>
      <w:bookmarkStart w:id="188" w:name="_Toc68948271"/>
      <w:bookmarkStart w:id="189" w:name="_Toc68948684"/>
      <w:bookmarkStart w:id="190" w:name="_Toc68948949"/>
      <w:bookmarkStart w:id="191" w:name="_Toc68949207"/>
      <w:bookmarkStart w:id="192" w:name="_Toc68949632"/>
      <w:bookmarkStart w:id="193" w:name="_Toc68956866"/>
      <w:bookmarkStart w:id="194" w:name="_Toc68957122"/>
      <w:bookmarkStart w:id="195" w:name="_Toc68957378"/>
      <w:bookmarkStart w:id="196" w:name="_Toc68957635"/>
      <w:bookmarkStart w:id="197" w:name="_Toc68957891"/>
      <w:bookmarkStart w:id="198" w:name="_Toc68958147"/>
      <w:bookmarkStart w:id="199" w:name="_Toc68958401"/>
      <w:bookmarkStart w:id="200" w:name="_Toc68958656"/>
      <w:bookmarkStart w:id="201" w:name="_Toc68958912"/>
      <w:bookmarkStart w:id="202" w:name="_Toc69081423"/>
      <w:bookmarkStart w:id="203" w:name="_Toc69083217"/>
      <w:bookmarkStart w:id="204" w:name="_Toc69115530"/>
      <w:bookmarkStart w:id="205" w:name="_Toc68806258"/>
      <w:bookmarkStart w:id="206" w:name="_Toc68812036"/>
      <w:bookmarkStart w:id="207" w:name="_Toc68847682"/>
      <w:bookmarkStart w:id="208" w:name="_Toc68848004"/>
      <w:bookmarkStart w:id="209" w:name="_Toc68848665"/>
      <w:bookmarkStart w:id="210" w:name="_Toc68848927"/>
      <w:bookmarkStart w:id="211" w:name="_Toc68849348"/>
      <w:bookmarkStart w:id="212" w:name="_Toc68861242"/>
      <w:bookmarkStart w:id="213" w:name="_Toc68861505"/>
      <w:bookmarkStart w:id="214" w:name="_Toc68948272"/>
      <w:bookmarkStart w:id="215" w:name="_Toc68948685"/>
      <w:bookmarkStart w:id="216" w:name="_Toc68948950"/>
      <w:bookmarkStart w:id="217" w:name="_Toc68949208"/>
      <w:bookmarkStart w:id="218" w:name="_Toc68949633"/>
      <w:bookmarkStart w:id="219" w:name="_Toc68956867"/>
      <w:bookmarkStart w:id="220" w:name="_Toc68957123"/>
      <w:bookmarkStart w:id="221" w:name="_Toc68957379"/>
      <w:bookmarkStart w:id="222" w:name="_Toc68957636"/>
      <w:bookmarkStart w:id="223" w:name="_Toc68957892"/>
      <w:bookmarkStart w:id="224" w:name="_Toc68958148"/>
      <w:bookmarkStart w:id="225" w:name="_Toc68958402"/>
      <w:bookmarkStart w:id="226" w:name="_Toc68958657"/>
      <w:bookmarkStart w:id="227" w:name="_Toc68958913"/>
      <w:bookmarkStart w:id="228" w:name="_Toc69081424"/>
      <w:bookmarkStart w:id="229" w:name="_Toc69083218"/>
      <w:bookmarkStart w:id="230" w:name="_Toc69115531"/>
      <w:bookmarkStart w:id="231" w:name="_Toc68806259"/>
      <w:bookmarkStart w:id="232" w:name="_Toc68812037"/>
      <w:bookmarkStart w:id="233" w:name="_Toc68958658"/>
      <w:bookmarkStart w:id="234" w:name="_Toc69115532"/>
      <w:bookmarkStart w:id="235" w:name="_Toc474379966"/>
      <w:bookmarkStart w:id="236" w:name="_Toc212725095"/>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260790">
        <w:t>Dispositions réglementaires de lutte contre les pollutions et nuisances</w:t>
      </w:r>
      <w:bookmarkEnd w:id="235"/>
      <w:bookmarkEnd w:id="236"/>
    </w:p>
    <w:p w14:paraId="36B1F2FA" w14:textId="691A7D76" w:rsidR="005F3FB7" w:rsidRPr="00260790" w:rsidDel="00D922E9" w:rsidRDefault="005F3FB7" w:rsidP="0097258B">
      <w:pPr>
        <w:autoSpaceDE w:val="0"/>
        <w:autoSpaceDN w:val="0"/>
        <w:adjustRightInd w:val="0"/>
        <w:spacing w:after="0" w:line="240" w:lineRule="auto"/>
        <w:jc w:val="both"/>
        <w:rPr>
          <w:rFonts w:ascii="Times New Roman" w:eastAsia="Times New Roman" w:hAnsi="Times New Roman"/>
          <w:i/>
          <w:color w:val="000000" w:themeColor="text1"/>
          <w:spacing w:val="5"/>
          <w:lang w:eastAsia="fr-FR"/>
        </w:rPr>
      </w:pPr>
      <w:r w:rsidRPr="00260790" w:rsidDel="00D922E9">
        <w:rPr>
          <w:rFonts w:ascii="Times New Roman" w:eastAsia="Times New Roman" w:hAnsi="Times New Roman"/>
          <w:color w:val="000000" w:themeColor="text1"/>
          <w:lang w:eastAsia="fr-FR"/>
        </w:rPr>
        <w:t xml:space="preserve">Les différentes formes de pollution et nuisances sont encadrées par des textes réglementaires dont les plus pertinents sont présentés dans le tableau suivant. </w:t>
      </w:r>
    </w:p>
    <w:p w14:paraId="63C33FFA" w14:textId="233F94C8" w:rsidR="005F3FB7" w:rsidRPr="00260790" w:rsidDel="00D922E9" w:rsidRDefault="005F3FB7" w:rsidP="00E20250">
      <w:pPr>
        <w:pStyle w:val="Lgende"/>
        <w:keepNext/>
        <w:spacing w:line="240" w:lineRule="auto"/>
        <w:rPr>
          <w:color w:val="000000" w:themeColor="text1"/>
          <w:sz w:val="22"/>
          <w:szCs w:val="22"/>
        </w:rPr>
      </w:pPr>
      <w:bookmarkStart w:id="237" w:name="_Toc207781843"/>
      <w:r w:rsidRPr="00260790" w:rsidDel="00D922E9">
        <w:rPr>
          <w:color w:val="000000" w:themeColor="text1"/>
          <w:sz w:val="22"/>
          <w:szCs w:val="22"/>
        </w:rPr>
        <w:t xml:space="preserve">Tableau </w:t>
      </w:r>
      <w:r w:rsidRPr="00260790" w:rsidDel="00D922E9">
        <w:rPr>
          <w:color w:val="000000" w:themeColor="text1"/>
          <w:sz w:val="22"/>
          <w:szCs w:val="22"/>
        </w:rPr>
        <w:fldChar w:fldCharType="begin"/>
      </w:r>
      <w:r w:rsidRPr="00260790" w:rsidDel="00D922E9">
        <w:rPr>
          <w:color w:val="000000" w:themeColor="text1"/>
          <w:sz w:val="22"/>
          <w:szCs w:val="22"/>
        </w:rPr>
        <w:instrText xml:space="preserve"> SEQ Tableau \* ARABIC </w:instrText>
      </w:r>
      <w:r w:rsidRPr="00260790" w:rsidDel="00D922E9">
        <w:rPr>
          <w:color w:val="000000" w:themeColor="text1"/>
          <w:sz w:val="22"/>
          <w:szCs w:val="22"/>
        </w:rPr>
        <w:fldChar w:fldCharType="separate"/>
      </w:r>
      <w:r w:rsidR="003C783E">
        <w:rPr>
          <w:noProof/>
          <w:color w:val="000000" w:themeColor="text1"/>
          <w:sz w:val="22"/>
          <w:szCs w:val="22"/>
        </w:rPr>
        <w:t>2</w:t>
      </w:r>
      <w:r w:rsidRPr="00260790" w:rsidDel="00D922E9">
        <w:rPr>
          <w:color w:val="000000" w:themeColor="text1"/>
          <w:sz w:val="22"/>
          <w:szCs w:val="22"/>
        </w:rPr>
        <w:fldChar w:fldCharType="end"/>
      </w:r>
      <w:r w:rsidRPr="00260790" w:rsidDel="00D922E9">
        <w:rPr>
          <w:color w:val="000000" w:themeColor="text1"/>
          <w:sz w:val="22"/>
          <w:szCs w:val="22"/>
        </w:rPr>
        <w:t xml:space="preserve"> : Dispositions juridiques de lutte contre les pollutions et nuisances</w:t>
      </w:r>
      <w:bookmarkEnd w:id="237"/>
    </w:p>
    <w:tbl>
      <w:tblPr>
        <w:tblW w:w="50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3552"/>
        <w:gridCol w:w="2832"/>
      </w:tblGrid>
      <w:tr w:rsidR="00BD1A2F" w:rsidRPr="00260790" w:rsidDel="00D922E9" w14:paraId="778CECF1" w14:textId="77777777" w:rsidTr="001D3990">
        <w:trPr>
          <w:trHeight w:val="262"/>
          <w:tblHeader/>
        </w:trPr>
        <w:tc>
          <w:tcPr>
            <w:tcW w:w="1535" w:type="pct"/>
            <w:shd w:val="clear" w:color="auto" w:fill="DEEAF6" w:themeFill="accent1" w:themeFillTint="33"/>
            <w:vAlign w:val="center"/>
          </w:tcPr>
          <w:p w14:paraId="547A4DE2" w14:textId="77777777" w:rsidR="005F3FB7" w:rsidRPr="00260790" w:rsidDel="00D922E9" w:rsidRDefault="005F3FB7" w:rsidP="00E20250">
            <w:pPr>
              <w:spacing w:after="0" w:line="240" w:lineRule="auto"/>
              <w:rPr>
                <w:rFonts w:ascii="Times New Roman" w:eastAsia="Times New Roman" w:hAnsi="Times New Roman"/>
                <w:b/>
                <w:color w:val="000000" w:themeColor="text1"/>
                <w:lang w:eastAsia="fr-FR"/>
              </w:rPr>
            </w:pPr>
            <w:r w:rsidRPr="00260790" w:rsidDel="00D922E9">
              <w:rPr>
                <w:rFonts w:ascii="Times New Roman" w:eastAsia="Times New Roman" w:hAnsi="Times New Roman"/>
                <w:b/>
                <w:bCs/>
                <w:color w:val="000000" w:themeColor="text1"/>
                <w:lang w:eastAsia="fr-FR"/>
              </w:rPr>
              <w:t>Texte de référence</w:t>
            </w:r>
          </w:p>
        </w:tc>
        <w:tc>
          <w:tcPr>
            <w:tcW w:w="1928" w:type="pct"/>
            <w:shd w:val="clear" w:color="auto" w:fill="DEEAF6" w:themeFill="accent1" w:themeFillTint="33"/>
            <w:vAlign w:val="center"/>
          </w:tcPr>
          <w:p w14:paraId="730ABECD" w14:textId="77777777" w:rsidR="005F3FB7" w:rsidRPr="00260790" w:rsidDel="00D922E9" w:rsidRDefault="005F3FB7" w:rsidP="00E20250">
            <w:pPr>
              <w:spacing w:after="0" w:line="240" w:lineRule="auto"/>
              <w:rPr>
                <w:rFonts w:ascii="Times New Roman" w:eastAsia="Times New Roman" w:hAnsi="Times New Roman"/>
                <w:b/>
                <w:color w:val="000000" w:themeColor="text1"/>
                <w:lang w:eastAsia="fr-FR"/>
              </w:rPr>
            </w:pPr>
            <w:r w:rsidRPr="00260790" w:rsidDel="00D922E9">
              <w:rPr>
                <w:rFonts w:ascii="Times New Roman" w:eastAsia="Times New Roman" w:hAnsi="Times New Roman"/>
                <w:b/>
                <w:bCs/>
                <w:color w:val="000000" w:themeColor="text1"/>
                <w:lang w:eastAsia="fr-FR"/>
              </w:rPr>
              <w:t>Domaine réglementé</w:t>
            </w:r>
          </w:p>
        </w:tc>
        <w:tc>
          <w:tcPr>
            <w:tcW w:w="1538" w:type="pct"/>
            <w:shd w:val="clear" w:color="auto" w:fill="DEEAF6" w:themeFill="accent1" w:themeFillTint="33"/>
            <w:vAlign w:val="center"/>
          </w:tcPr>
          <w:p w14:paraId="7E46A74B" w14:textId="77777777" w:rsidR="005F3FB7" w:rsidRPr="00260790" w:rsidDel="00D922E9" w:rsidRDefault="005F3FB7" w:rsidP="00E20250">
            <w:pPr>
              <w:spacing w:after="0" w:line="240" w:lineRule="auto"/>
              <w:rPr>
                <w:rFonts w:ascii="Times New Roman" w:eastAsia="Times New Roman" w:hAnsi="Times New Roman"/>
                <w:b/>
                <w:color w:val="000000" w:themeColor="text1"/>
                <w:lang w:eastAsia="fr-FR"/>
              </w:rPr>
            </w:pPr>
            <w:r w:rsidRPr="00260790" w:rsidDel="00D922E9">
              <w:rPr>
                <w:rFonts w:ascii="Times New Roman" w:eastAsia="Times New Roman" w:hAnsi="Times New Roman"/>
                <w:b/>
                <w:bCs/>
                <w:color w:val="000000" w:themeColor="text1"/>
                <w:lang w:eastAsia="fr-FR"/>
              </w:rPr>
              <w:t>Pertinence pour le projet</w:t>
            </w:r>
          </w:p>
        </w:tc>
      </w:tr>
      <w:tr w:rsidR="00BD1A2F" w:rsidRPr="00260790" w:rsidDel="00D922E9" w14:paraId="7B0C6DAF" w14:textId="77777777" w:rsidTr="001D3990">
        <w:trPr>
          <w:trHeight w:val="51"/>
          <w:tblHeader/>
        </w:trPr>
        <w:tc>
          <w:tcPr>
            <w:tcW w:w="1535" w:type="pct"/>
            <w:vAlign w:val="center"/>
          </w:tcPr>
          <w:p w14:paraId="746ACDC3" w14:textId="77777777" w:rsidR="005F3FB7" w:rsidRPr="00260790" w:rsidDel="00D922E9" w:rsidRDefault="005F3FB7" w:rsidP="00E20250">
            <w:pPr>
              <w:spacing w:after="0" w:line="240" w:lineRule="auto"/>
              <w:jc w:val="both"/>
              <w:rPr>
                <w:rFonts w:ascii="Times New Roman" w:eastAsia="Times New Roman" w:hAnsi="Times New Roman"/>
                <w:b/>
                <w:color w:val="000000" w:themeColor="text1"/>
                <w:shd w:val="clear" w:color="auto" w:fill="FFFFFF"/>
                <w:lang w:eastAsia="fr-FR"/>
              </w:rPr>
            </w:pPr>
            <w:r w:rsidRPr="00260790" w:rsidDel="00D922E9">
              <w:rPr>
                <w:rFonts w:ascii="Times New Roman" w:eastAsia="Times New Roman" w:hAnsi="Times New Roman"/>
                <w:b/>
                <w:bCs/>
                <w:color w:val="000000" w:themeColor="text1"/>
                <w:shd w:val="clear" w:color="auto" w:fill="FFFFFF"/>
                <w:lang w:eastAsia="fr-FR"/>
              </w:rPr>
              <w:t>Décret n°2010-1281 du 16 septembre 2010 réglementant les conditions d’exploitation du plomb issu des batteries usagées et des autres sources et de l’utilisation du mercure et de ses composés</w:t>
            </w:r>
          </w:p>
        </w:tc>
        <w:tc>
          <w:tcPr>
            <w:tcW w:w="1928" w:type="pct"/>
            <w:vAlign w:val="center"/>
          </w:tcPr>
          <w:p w14:paraId="4064A78D" w14:textId="77777777" w:rsidR="005F3FB7" w:rsidRPr="00260790" w:rsidDel="00D922E9" w:rsidRDefault="005F3FB7" w:rsidP="00E20250">
            <w:pPr>
              <w:spacing w:after="0" w:line="240" w:lineRule="auto"/>
              <w:jc w:val="both"/>
              <w:rPr>
                <w:rFonts w:ascii="Times New Roman" w:eastAsia="Times New Roman" w:hAnsi="Times New Roman"/>
                <w:color w:val="000000" w:themeColor="text1"/>
                <w:shd w:val="clear" w:color="auto" w:fill="FFFFFF"/>
                <w:lang w:eastAsia="fr-FR"/>
              </w:rPr>
            </w:pPr>
            <w:r w:rsidRPr="00260790" w:rsidDel="00D922E9">
              <w:rPr>
                <w:rFonts w:ascii="Times New Roman" w:eastAsia="Times New Roman" w:hAnsi="Times New Roman"/>
                <w:color w:val="000000" w:themeColor="text1"/>
                <w:shd w:val="clear" w:color="auto" w:fill="FFFFFF"/>
                <w:lang w:eastAsia="fr-FR"/>
              </w:rPr>
              <w:t>Il est interdit à toute personne physique ou morale, d’importer, de collecter, de transporter, de recycler, de stocker, de manipuler, de traiter ou d’éliminer le plomb issu des batteries usagées et d’autres sources, ainsi que le mercure et ses composés, sans l’autorisation du Ministre chargé de l’Environnement.</w:t>
            </w:r>
          </w:p>
        </w:tc>
        <w:tc>
          <w:tcPr>
            <w:tcW w:w="1538" w:type="pct"/>
            <w:vAlign w:val="center"/>
          </w:tcPr>
          <w:p w14:paraId="707CB3D9" w14:textId="0FBD807F" w:rsidR="005F3FB7" w:rsidRPr="00260790" w:rsidDel="00D922E9" w:rsidRDefault="005F3FB7" w:rsidP="00E20250">
            <w:pPr>
              <w:spacing w:after="0" w:line="240" w:lineRule="auto"/>
              <w:jc w:val="both"/>
              <w:rPr>
                <w:rFonts w:ascii="Times New Roman" w:eastAsia="Times New Roman" w:hAnsi="Times New Roman"/>
                <w:color w:val="000000" w:themeColor="text1"/>
                <w:shd w:val="clear" w:color="auto" w:fill="FFFFFF"/>
                <w:lang w:eastAsia="fr-FR"/>
              </w:rPr>
            </w:pPr>
            <w:r w:rsidRPr="00260790" w:rsidDel="00D922E9">
              <w:rPr>
                <w:rFonts w:ascii="Times New Roman" w:eastAsia="Times New Roman" w:hAnsi="Times New Roman"/>
                <w:color w:val="000000" w:themeColor="text1"/>
                <w:shd w:val="clear" w:color="auto" w:fill="FFFFFF"/>
                <w:lang w:eastAsia="fr-FR"/>
              </w:rPr>
              <w:t xml:space="preserve">Le projet est concerné par </w:t>
            </w:r>
            <w:r w:rsidR="00AF60C9" w:rsidRPr="00260790">
              <w:rPr>
                <w:rFonts w:ascii="Times New Roman" w:eastAsia="Times New Roman" w:hAnsi="Times New Roman"/>
                <w:color w:val="000000" w:themeColor="text1"/>
                <w:shd w:val="clear" w:color="auto" w:fill="FFFFFF"/>
                <w:lang w:eastAsia="fr-FR"/>
              </w:rPr>
              <w:t>c</w:t>
            </w:r>
            <w:r w:rsidRPr="00260790" w:rsidDel="00D922E9">
              <w:rPr>
                <w:rFonts w:ascii="Times New Roman" w:eastAsia="Times New Roman" w:hAnsi="Times New Roman"/>
                <w:color w:val="000000" w:themeColor="text1"/>
                <w:shd w:val="clear" w:color="auto" w:fill="FFFFFF"/>
                <w:lang w:eastAsia="fr-FR"/>
              </w:rPr>
              <w:t>e décret. Certains machines et équipements seront dotés de batteries. Les batteries usagées doivent faire l’objet d’une gestion écologiquement rationnelle.</w:t>
            </w:r>
          </w:p>
        </w:tc>
      </w:tr>
      <w:tr w:rsidR="00BD1A2F" w:rsidRPr="00260790" w:rsidDel="00D922E9" w14:paraId="77F492E5" w14:textId="77777777" w:rsidTr="001D3990">
        <w:trPr>
          <w:trHeight w:val="1427"/>
          <w:tblHeader/>
        </w:trPr>
        <w:tc>
          <w:tcPr>
            <w:tcW w:w="1535" w:type="pct"/>
            <w:vAlign w:val="center"/>
          </w:tcPr>
          <w:p w14:paraId="26D8DB78" w14:textId="77777777" w:rsidR="005F3FB7" w:rsidRPr="00260790" w:rsidDel="00D922E9" w:rsidRDefault="005F3FB7" w:rsidP="00E20250">
            <w:pPr>
              <w:spacing w:after="0" w:line="240" w:lineRule="auto"/>
              <w:jc w:val="both"/>
              <w:rPr>
                <w:rFonts w:ascii="Times New Roman" w:eastAsia="Times New Roman" w:hAnsi="Times New Roman"/>
                <w:b/>
                <w:color w:val="000000" w:themeColor="text1"/>
                <w:shd w:val="clear" w:color="auto" w:fill="FFFFFF"/>
                <w:lang w:eastAsia="fr-FR"/>
              </w:rPr>
            </w:pPr>
            <w:r w:rsidRPr="00260790" w:rsidDel="00D922E9">
              <w:rPr>
                <w:rFonts w:ascii="Times New Roman" w:eastAsia="Times New Roman" w:hAnsi="Times New Roman"/>
                <w:b/>
                <w:bCs/>
                <w:color w:val="000000" w:themeColor="text1"/>
                <w:lang w:eastAsia="fr-FR"/>
              </w:rPr>
              <w:t>Norme NS 05-061 sur les rejets d’eaux usées</w:t>
            </w:r>
          </w:p>
        </w:tc>
        <w:tc>
          <w:tcPr>
            <w:tcW w:w="1928" w:type="pct"/>
            <w:vAlign w:val="center"/>
          </w:tcPr>
          <w:p w14:paraId="68685F09" w14:textId="77777777" w:rsidR="005F3FB7" w:rsidRPr="00260790" w:rsidDel="00D922E9" w:rsidRDefault="005F3FB7" w:rsidP="00E20250">
            <w:pPr>
              <w:spacing w:after="0" w:line="240" w:lineRule="auto"/>
              <w:jc w:val="both"/>
              <w:rPr>
                <w:rFonts w:ascii="Times New Roman" w:eastAsia="Times New Roman" w:hAnsi="Times New Roman"/>
                <w:color w:val="000000" w:themeColor="text1"/>
                <w:shd w:val="clear" w:color="auto" w:fill="FFFFFF"/>
                <w:lang w:eastAsia="fr-FR"/>
              </w:rPr>
            </w:pPr>
            <w:r w:rsidRPr="00260790" w:rsidDel="00D922E9">
              <w:rPr>
                <w:rFonts w:ascii="Times New Roman" w:eastAsia="Times New Roman" w:hAnsi="Times New Roman"/>
                <w:color w:val="000000" w:themeColor="text1"/>
                <w:lang w:eastAsia="fr-FR"/>
              </w:rPr>
              <w:t xml:space="preserve">C’est un document fixant les valeurs limites de rejets dans les milieux récepteurs et dans le réseau de l’ONAS. Elles prennent en considération les capacités d’autoépuration du milieu et visent à préserver leurs valeurs d’usage. </w:t>
            </w:r>
          </w:p>
        </w:tc>
        <w:tc>
          <w:tcPr>
            <w:tcW w:w="1538" w:type="pct"/>
            <w:vAlign w:val="center"/>
          </w:tcPr>
          <w:p w14:paraId="0712D150" w14:textId="77777777" w:rsidR="005F3FB7" w:rsidRPr="00260790" w:rsidDel="00D922E9" w:rsidRDefault="005F3FB7" w:rsidP="00E20250">
            <w:pPr>
              <w:spacing w:after="0" w:line="240" w:lineRule="auto"/>
              <w:jc w:val="both"/>
              <w:rPr>
                <w:rFonts w:ascii="Times New Roman" w:eastAsia="Times New Roman" w:hAnsi="Times New Roman"/>
                <w:color w:val="000000" w:themeColor="text1"/>
                <w:shd w:val="clear" w:color="auto" w:fill="FFFFFF"/>
                <w:lang w:eastAsia="fr-FR"/>
              </w:rPr>
            </w:pPr>
            <w:r w:rsidRPr="00260790" w:rsidDel="00D922E9">
              <w:rPr>
                <w:rFonts w:ascii="Times New Roman" w:eastAsia="Times New Roman" w:hAnsi="Times New Roman"/>
                <w:color w:val="000000" w:themeColor="text1"/>
                <w:lang w:eastAsia="fr-FR"/>
              </w:rPr>
              <w:t>Cette disposition est applicable au projet notamment en phase d’exploitation des ouvrages au cours desquels le piratage du réseau pour les eaux usées domestiques est observé.</w:t>
            </w:r>
          </w:p>
        </w:tc>
      </w:tr>
      <w:tr w:rsidR="00BD1A2F" w:rsidRPr="00260790" w:rsidDel="00D922E9" w14:paraId="3376DBD6" w14:textId="77777777" w:rsidTr="001D3990">
        <w:trPr>
          <w:trHeight w:val="1391"/>
          <w:tblHeader/>
        </w:trPr>
        <w:tc>
          <w:tcPr>
            <w:tcW w:w="1535" w:type="pct"/>
            <w:vAlign w:val="center"/>
          </w:tcPr>
          <w:p w14:paraId="7CB45B2A" w14:textId="77777777" w:rsidR="005F3FB7" w:rsidRPr="00260790" w:rsidDel="00D922E9" w:rsidRDefault="005F3FB7" w:rsidP="00E20250">
            <w:pPr>
              <w:spacing w:after="0" w:line="240" w:lineRule="auto"/>
              <w:jc w:val="both"/>
              <w:rPr>
                <w:rFonts w:ascii="Times New Roman" w:eastAsia="Times New Roman" w:hAnsi="Times New Roman"/>
                <w:b/>
                <w:iCs/>
                <w:color w:val="000000" w:themeColor="text1"/>
                <w:lang w:eastAsia="fr-FR"/>
              </w:rPr>
            </w:pPr>
            <w:r w:rsidRPr="00260790" w:rsidDel="00D922E9">
              <w:rPr>
                <w:rFonts w:ascii="Times New Roman" w:eastAsia="Times New Roman" w:hAnsi="Times New Roman"/>
                <w:b/>
                <w:bCs/>
                <w:color w:val="000000" w:themeColor="text1"/>
                <w:shd w:val="clear" w:color="auto" w:fill="FFFFFF"/>
                <w:lang w:eastAsia="fr-FR"/>
              </w:rPr>
              <w:t>Arrêté interministériel n°7358 en date du 5 novembre 2003 fixant les conditions d’application de la norme NS 05 - 062 sur la pollution atmosphérique</w:t>
            </w:r>
          </w:p>
        </w:tc>
        <w:tc>
          <w:tcPr>
            <w:tcW w:w="1928" w:type="pct"/>
            <w:vAlign w:val="center"/>
          </w:tcPr>
          <w:p w14:paraId="2E1A63C1" w14:textId="77777777" w:rsidR="005F3FB7" w:rsidRPr="00260790" w:rsidDel="00D922E9" w:rsidRDefault="005F3FB7" w:rsidP="00E20250">
            <w:pPr>
              <w:spacing w:after="0" w:line="240" w:lineRule="auto"/>
              <w:jc w:val="both"/>
              <w:rPr>
                <w:rFonts w:ascii="Times New Roman" w:eastAsia="Times New Roman" w:hAnsi="Times New Roman"/>
                <w:color w:val="000000" w:themeColor="text1"/>
                <w:shd w:val="clear" w:color="auto" w:fill="FFFFFF"/>
                <w:lang w:eastAsia="fr-FR"/>
              </w:rPr>
            </w:pPr>
            <w:r w:rsidRPr="00260790" w:rsidDel="00D922E9">
              <w:rPr>
                <w:rFonts w:ascii="Times New Roman" w:eastAsia="Times New Roman" w:hAnsi="Times New Roman"/>
                <w:color w:val="000000" w:themeColor="text1"/>
                <w:shd w:val="clear" w:color="auto" w:fill="FFFFFF"/>
                <w:lang w:eastAsia="fr-FR"/>
              </w:rPr>
              <w:t xml:space="preserve">Il a pour objet d’appliquer la norme NS 05-062 réglementant les conditions de rejets de polluants atmosphériques dans l’air ambiant. La norme </w:t>
            </w:r>
            <w:r w:rsidRPr="00260790" w:rsidDel="00D922E9">
              <w:rPr>
                <w:rFonts w:ascii="Times New Roman" w:eastAsia="Times New Roman" w:hAnsi="Times New Roman"/>
                <w:color w:val="000000" w:themeColor="text1"/>
                <w:lang w:eastAsia="fr-FR"/>
              </w:rPr>
              <w:t>s’applique aux installations stationnaires existantes et nouvelles ainsi qu’aux véhicules susceptibles d’engendrer des effluents gazeux.</w:t>
            </w:r>
          </w:p>
        </w:tc>
        <w:tc>
          <w:tcPr>
            <w:tcW w:w="1538" w:type="pct"/>
            <w:vAlign w:val="center"/>
          </w:tcPr>
          <w:p w14:paraId="4571A294" w14:textId="77777777" w:rsidR="005F3FB7" w:rsidRPr="00260790" w:rsidDel="00D922E9" w:rsidRDefault="005F3FB7" w:rsidP="00E20250">
            <w:pPr>
              <w:spacing w:after="0" w:line="240" w:lineRule="auto"/>
              <w:jc w:val="both"/>
              <w:rPr>
                <w:rFonts w:ascii="Times New Roman" w:eastAsia="Times New Roman" w:hAnsi="Times New Roman"/>
                <w:color w:val="000000" w:themeColor="text1"/>
                <w:shd w:val="clear" w:color="auto" w:fill="FFFFFF"/>
                <w:lang w:eastAsia="fr-FR"/>
              </w:rPr>
            </w:pPr>
            <w:r w:rsidRPr="00260790" w:rsidDel="00D922E9">
              <w:rPr>
                <w:rFonts w:ascii="Times New Roman" w:eastAsia="Times New Roman" w:hAnsi="Times New Roman"/>
                <w:color w:val="000000" w:themeColor="text1"/>
                <w:shd w:val="clear" w:color="auto" w:fill="FFFFFF"/>
                <w:lang w:eastAsia="fr-FR"/>
              </w:rPr>
              <w:t>Le projet est concerné par ces dispositions dans la mesure où les travaux pourraient dégrader la qualité de l’air (particules fines, gaz) en phase de travaux.</w:t>
            </w:r>
          </w:p>
        </w:tc>
      </w:tr>
      <w:tr w:rsidR="00BD1A2F" w:rsidRPr="00260790" w:rsidDel="00D922E9" w14:paraId="03A713D5" w14:textId="77777777" w:rsidTr="001D3990">
        <w:trPr>
          <w:trHeight w:val="828"/>
          <w:tblHeader/>
        </w:trPr>
        <w:tc>
          <w:tcPr>
            <w:tcW w:w="1535" w:type="pct"/>
            <w:vAlign w:val="center"/>
          </w:tcPr>
          <w:p w14:paraId="71DC72F0" w14:textId="77777777" w:rsidR="005F3FB7" w:rsidRPr="00260790" w:rsidDel="00D922E9" w:rsidRDefault="005F3FB7" w:rsidP="00E20250">
            <w:pPr>
              <w:spacing w:after="0" w:line="240" w:lineRule="auto"/>
              <w:jc w:val="both"/>
              <w:rPr>
                <w:rFonts w:ascii="Times New Roman" w:eastAsia="Times New Roman" w:hAnsi="Times New Roman"/>
                <w:b/>
                <w:iCs/>
                <w:color w:val="000000" w:themeColor="text1"/>
                <w:lang w:eastAsia="fr-FR"/>
              </w:rPr>
            </w:pPr>
            <w:r w:rsidRPr="00260790" w:rsidDel="00D922E9">
              <w:rPr>
                <w:rFonts w:ascii="Times New Roman" w:eastAsia="Times New Roman" w:hAnsi="Times New Roman"/>
                <w:b/>
                <w:bCs/>
                <w:iCs/>
                <w:color w:val="000000" w:themeColor="text1"/>
                <w:lang w:eastAsia="fr-FR"/>
              </w:rPr>
              <w:t xml:space="preserve">Arrêté interministériel n°09311 du 5 octobre 2007 portant gestion des huiles usagées </w:t>
            </w:r>
          </w:p>
        </w:tc>
        <w:tc>
          <w:tcPr>
            <w:tcW w:w="1928" w:type="pct"/>
            <w:vAlign w:val="center"/>
          </w:tcPr>
          <w:p w14:paraId="313244FE" w14:textId="77777777" w:rsidR="005F3FB7" w:rsidRPr="00260790" w:rsidDel="00D922E9" w:rsidRDefault="005F3FB7" w:rsidP="00E20250">
            <w:pPr>
              <w:spacing w:after="0" w:line="240" w:lineRule="auto"/>
              <w:jc w:val="both"/>
              <w:rPr>
                <w:rFonts w:ascii="Times New Roman" w:eastAsia="Times New Roman" w:hAnsi="Times New Roman"/>
                <w:color w:val="000000" w:themeColor="text1"/>
                <w:lang w:eastAsia="fr-FR"/>
              </w:rPr>
            </w:pPr>
            <w:r w:rsidRPr="00260790" w:rsidDel="00D922E9">
              <w:rPr>
                <w:rFonts w:ascii="Times New Roman" w:eastAsia="Times New Roman" w:hAnsi="Times New Roman"/>
                <w:color w:val="000000" w:themeColor="text1"/>
                <w:lang w:eastAsia="fr-FR"/>
              </w:rPr>
              <w:t xml:space="preserve">L’arrêté interministériel fixe les conditions de gestion des huiles usagées. </w:t>
            </w:r>
          </w:p>
        </w:tc>
        <w:tc>
          <w:tcPr>
            <w:tcW w:w="1538" w:type="pct"/>
            <w:vAlign w:val="center"/>
          </w:tcPr>
          <w:p w14:paraId="708D9C03" w14:textId="77777777" w:rsidR="005F3FB7" w:rsidRPr="00260790" w:rsidDel="00D922E9" w:rsidRDefault="005F3FB7" w:rsidP="00E20250">
            <w:pPr>
              <w:spacing w:after="0" w:line="240" w:lineRule="auto"/>
              <w:jc w:val="both"/>
              <w:rPr>
                <w:rFonts w:ascii="Times New Roman" w:eastAsia="Times New Roman" w:hAnsi="Times New Roman"/>
                <w:color w:val="000000" w:themeColor="text1"/>
                <w:lang w:eastAsia="fr-FR"/>
              </w:rPr>
            </w:pPr>
            <w:r w:rsidRPr="00260790" w:rsidDel="00D922E9">
              <w:rPr>
                <w:rFonts w:ascii="Times New Roman" w:eastAsia="Times New Roman" w:hAnsi="Times New Roman"/>
                <w:color w:val="000000" w:themeColor="text1"/>
                <w:lang w:eastAsia="fr-FR"/>
              </w:rPr>
              <w:t xml:space="preserve">Le projet est concerné </w:t>
            </w:r>
            <w:r w:rsidRPr="00260790" w:rsidDel="00D922E9">
              <w:rPr>
                <w:rFonts w:ascii="Times New Roman" w:eastAsia="Times New Roman" w:hAnsi="Times New Roman"/>
                <w:color w:val="000000" w:themeColor="text1"/>
                <w:shd w:val="clear" w:color="auto" w:fill="FFFFFF"/>
                <w:lang w:eastAsia="fr-FR"/>
              </w:rPr>
              <w:t>par ces dispositions dans la mesure où certains machines et équipements pourraient produire des huiles usagées.</w:t>
            </w:r>
          </w:p>
        </w:tc>
      </w:tr>
    </w:tbl>
    <w:p w14:paraId="3BB085DB" w14:textId="23D1FF43" w:rsidR="005F3FB7" w:rsidRPr="00260790" w:rsidRDefault="005F3FB7" w:rsidP="00E20250">
      <w:pPr>
        <w:tabs>
          <w:tab w:val="num" w:pos="0"/>
        </w:tabs>
        <w:spacing w:before="240" w:after="0" w:line="240" w:lineRule="auto"/>
        <w:ind w:right="2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 tableau suivant présente les dispositions du </w:t>
      </w:r>
      <w:r w:rsidR="00FA5599" w:rsidRPr="00260790">
        <w:rPr>
          <w:rFonts w:ascii="Times New Roman" w:eastAsia="Times New Roman" w:hAnsi="Times New Roman"/>
          <w:color w:val="000000" w:themeColor="text1"/>
          <w:lang w:eastAsia="fr-FR"/>
        </w:rPr>
        <w:t>C</w:t>
      </w:r>
      <w:r w:rsidRPr="00260790">
        <w:rPr>
          <w:rFonts w:ascii="Times New Roman" w:eastAsia="Times New Roman" w:hAnsi="Times New Roman"/>
          <w:color w:val="000000" w:themeColor="text1"/>
          <w:lang w:eastAsia="fr-FR"/>
        </w:rPr>
        <w:t>ode de l’Environnement pertinentes, applicables au Projet, relatives notamment à la protection de l’environnement, à la gestion des déchets, au plan d’urgence, à la pollution de l’air et aux odeurs incommodantes, à la pollution sonore, etc.</w:t>
      </w:r>
    </w:p>
    <w:p w14:paraId="7E0BF43A" w14:textId="77777777" w:rsidR="005F3FB7" w:rsidRPr="00260790" w:rsidRDefault="005F3FB7" w:rsidP="00E20250">
      <w:pPr>
        <w:tabs>
          <w:tab w:val="num" w:pos="0"/>
        </w:tabs>
        <w:spacing w:after="0" w:line="240" w:lineRule="auto"/>
        <w:ind w:right="20"/>
        <w:jc w:val="both"/>
        <w:rPr>
          <w:rFonts w:ascii="Times New Roman" w:eastAsia="Times New Roman" w:hAnsi="Times New Roman"/>
          <w:color w:val="000000" w:themeColor="text1"/>
          <w:lang w:eastAsia="fr-FR"/>
        </w:rPr>
      </w:pPr>
    </w:p>
    <w:p w14:paraId="23B1BA2B" w14:textId="77777777" w:rsidR="001D3990" w:rsidRPr="00260790" w:rsidRDefault="001D3990" w:rsidP="00E20250">
      <w:pPr>
        <w:spacing w:line="240" w:lineRule="auto"/>
        <w:rPr>
          <w:rFonts w:ascii="Times New Roman" w:eastAsia="Times New Roman" w:hAnsi="Times New Roman"/>
          <w:color w:val="000000" w:themeColor="text1"/>
          <w:sz w:val="24"/>
          <w:szCs w:val="24"/>
          <w:lang w:eastAsia="fr-FR"/>
        </w:rPr>
      </w:pPr>
      <w:r w:rsidRPr="00260790">
        <w:rPr>
          <w:rFonts w:ascii="Times New Roman" w:hAnsi="Times New Roman"/>
          <w:i/>
          <w:iCs/>
          <w:color w:val="000000" w:themeColor="text1"/>
          <w:sz w:val="24"/>
          <w:szCs w:val="24"/>
        </w:rPr>
        <w:br w:type="page"/>
      </w:r>
    </w:p>
    <w:p w14:paraId="00B3F0F5" w14:textId="254F5CC4" w:rsidR="005F3FB7" w:rsidRPr="00260790" w:rsidRDefault="005F3FB7" w:rsidP="00E20250">
      <w:pPr>
        <w:pStyle w:val="Lgende"/>
        <w:keepNext/>
        <w:spacing w:line="240" w:lineRule="auto"/>
        <w:rPr>
          <w:color w:val="000000" w:themeColor="text1"/>
          <w:sz w:val="22"/>
          <w:szCs w:val="22"/>
        </w:rPr>
      </w:pPr>
      <w:bookmarkStart w:id="238" w:name="_Toc207781844"/>
      <w:r w:rsidRPr="00260790">
        <w:rPr>
          <w:color w:val="000000" w:themeColor="text1"/>
          <w:sz w:val="22"/>
          <w:szCs w:val="22"/>
        </w:rPr>
        <w:lastRenderedPageBreak/>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3</w:t>
      </w:r>
      <w:r w:rsidRPr="00260790">
        <w:rPr>
          <w:color w:val="000000" w:themeColor="text1"/>
          <w:sz w:val="22"/>
          <w:szCs w:val="22"/>
        </w:rPr>
        <w:fldChar w:fldCharType="end"/>
      </w:r>
      <w:r w:rsidRPr="00260790">
        <w:rPr>
          <w:color w:val="000000" w:themeColor="text1"/>
          <w:sz w:val="22"/>
          <w:szCs w:val="22"/>
        </w:rPr>
        <w:t xml:space="preserve"> : Dispositions du </w:t>
      </w:r>
      <w:r w:rsidR="00FA5599" w:rsidRPr="00260790">
        <w:rPr>
          <w:color w:val="000000" w:themeColor="text1"/>
          <w:sz w:val="22"/>
          <w:szCs w:val="22"/>
        </w:rPr>
        <w:t>C</w:t>
      </w:r>
      <w:r w:rsidRPr="00260790">
        <w:rPr>
          <w:color w:val="000000" w:themeColor="text1"/>
          <w:sz w:val="22"/>
          <w:szCs w:val="22"/>
        </w:rPr>
        <w:t>ode de l’Environnement applicables au Projet</w:t>
      </w:r>
      <w:bookmarkEnd w:id="238"/>
    </w:p>
    <w:tbl>
      <w:tblPr>
        <w:tblW w:w="54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263"/>
        <w:gridCol w:w="1416"/>
        <w:gridCol w:w="3920"/>
        <w:gridCol w:w="2249"/>
      </w:tblGrid>
      <w:tr w:rsidR="00BD1A2F" w:rsidRPr="00260790" w14:paraId="5EC00C57" w14:textId="77777777" w:rsidTr="0016786A">
        <w:trPr>
          <w:trHeight w:val="334"/>
          <w:tblHeader/>
        </w:trPr>
        <w:tc>
          <w:tcPr>
            <w:tcW w:w="1149" w:type="pct"/>
            <w:shd w:val="clear" w:color="auto" w:fill="E2EFD9" w:themeFill="accent6" w:themeFillTint="33"/>
            <w:vAlign w:val="center"/>
            <w:hideMark/>
          </w:tcPr>
          <w:p w14:paraId="122F935D" w14:textId="77777777" w:rsidR="005F3FB7" w:rsidRPr="00260790" w:rsidRDefault="005F3FB7" w:rsidP="00E20250">
            <w:pPr>
              <w:spacing w:after="0" w:line="240" w:lineRule="auto"/>
              <w:jc w:val="center"/>
              <w:rPr>
                <w:rFonts w:ascii="Times New Roman" w:eastAsia="Times New Roman" w:hAnsi="Times New Roman"/>
                <w:b/>
                <w:iCs/>
                <w:color w:val="000000" w:themeColor="text1"/>
              </w:rPr>
            </w:pPr>
            <w:r w:rsidRPr="00260790">
              <w:rPr>
                <w:rFonts w:ascii="Times New Roman" w:eastAsia="Times New Roman" w:hAnsi="Times New Roman"/>
                <w:b/>
                <w:iCs/>
                <w:color w:val="000000" w:themeColor="text1"/>
              </w:rPr>
              <w:t>Thème</w:t>
            </w:r>
          </w:p>
        </w:tc>
        <w:tc>
          <w:tcPr>
            <w:tcW w:w="719" w:type="pct"/>
            <w:shd w:val="clear" w:color="auto" w:fill="E2EFD9" w:themeFill="accent6" w:themeFillTint="33"/>
            <w:vAlign w:val="center"/>
            <w:hideMark/>
          </w:tcPr>
          <w:p w14:paraId="46351EA4" w14:textId="77777777" w:rsidR="005F3FB7" w:rsidRPr="00260790" w:rsidRDefault="005F3FB7" w:rsidP="00E20250">
            <w:pPr>
              <w:spacing w:after="0" w:line="240" w:lineRule="auto"/>
              <w:jc w:val="center"/>
              <w:rPr>
                <w:rFonts w:ascii="Times New Roman" w:eastAsia="Times New Roman" w:hAnsi="Times New Roman"/>
                <w:b/>
                <w:iCs/>
                <w:color w:val="000000" w:themeColor="text1"/>
              </w:rPr>
            </w:pPr>
            <w:r w:rsidRPr="00260790">
              <w:rPr>
                <w:rFonts w:ascii="Times New Roman" w:eastAsia="Times New Roman" w:hAnsi="Times New Roman"/>
                <w:b/>
                <w:iCs/>
                <w:color w:val="000000" w:themeColor="text1"/>
              </w:rPr>
              <w:t>Références</w:t>
            </w:r>
          </w:p>
        </w:tc>
        <w:tc>
          <w:tcPr>
            <w:tcW w:w="1990" w:type="pct"/>
            <w:shd w:val="clear" w:color="auto" w:fill="E2EFD9" w:themeFill="accent6" w:themeFillTint="33"/>
            <w:vAlign w:val="center"/>
            <w:hideMark/>
          </w:tcPr>
          <w:p w14:paraId="7EE56655" w14:textId="77777777" w:rsidR="005F3FB7" w:rsidRPr="00260790" w:rsidRDefault="005F3FB7" w:rsidP="00E20250">
            <w:pPr>
              <w:spacing w:after="0" w:line="240" w:lineRule="auto"/>
              <w:jc w:val="center"/>
              <w:rPr>
                <w:rFonts w:ascii="Times New Roman" w:eastAsia="Times New Roman" w:hAnsi="Times New Roman"/>
                <w:b/>
                <w:iCs/>
                <w:color w:val="000000" w:themeColor="text1"/>
              </w:rPr>
            </w:pPr>
            <w:r w:rsidRPr="00260790">
              <w:rPr>
                <w:rFonts w:ascii="Times New Roman" w:eastAsia="Times New Roman" w:hAnsi="Times New Roman"/>
                <w:b/>
                <w:iCs/>
                <w:color w:val="000000" w:themeColor="text1"/>
              </w:rPr>
              <w:t>Domaine réglementé</w:t>
            </w:r>
          </w:p>
        </w:tc>
        <w:tc>
          <w:tcPr>
            <w:tcW w:w="1142" w:type="pct"/>
            <w:shd w:val="clear" w:color="auto" w:fill="E2EFD9" w:themeFill="accent6" w:themeFillTint="33"/>
            <w:vAlign w:val="center"/>
            <w:hideMark/>
          </w:tcPr>
          <w:p w14:paraId="4193D0DA" w14:textId="77777777" w:rsidR="005F3FB7" w:rsidRPr="00260790" w:rsidRDefault="005F3FB7" w:rsidP="00E20250">
            <w:pPr>
              <w:spacing w:after="0" w:line="240" w:lineRule="auto"/>
              <w:jc w:val="center"/>
              <w:rPr>
                <w:rFonts w:ascii="Times New Roman" w:eastAsia="Times New Roman" w:hAnsi="Times New Roman"/>
                <w:b/>
                <w:iCs/>
                <w:color w:val="000000" w:themeColor="text1"/>
              </w:rPr>
            </w:pPr>
            <w:r w:rsidRPr="00260790">
              <w:rPr>
                <w:rFonts w:ascii="Times New Roman" w:eastAsia="Times New Roman" w:hAnsi="Times New Roman"/>
                <w:b/>
                <w:iCs/>
                <w:color w:val="000000" w:themeColor="text1"/>
              </w:rPr>
              <w:t>Pertinence pour le Projet</w:t>
            </w:r>
          </w:p>
        </w:tc>
      </w:tr>
      <w:tr w:rsidR="00BD1A2F" w:rsidRPr="00260790" w14:paraId="58955323" w14:textId="77777777" w:rsidTr="0016786A">
        <w:trPr>
          <w:trHeight w:val="930"/>
        </w:trPr>
        <w:tc>
          <w:tcPr>
            <w:tcW w:w="1149" w:type="pct"/>
            <w:vMerge w:val="restart"/>
            <w:shd w:val="clear" w:color="auto" w:fill="FFFFFF"/>
            <w:vAlign w:val="center"/>
          </w:tcPr>
          <w:p w14:paraId="08A65AF2" w14:textId="61868C3A" w:rsidR="00B57857" w:rsidRPr="00260790" w:rsidRDefault="00B57857" w:rsidP="00E20250">
            <w:pPr>
              <w:autoSpaceDE w:val="0"/>
              <w:autoSpaceDN w:val="0"/>
              <w:adjustRightInd w:val="0"/>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TITRE III</w:t>
            </w:r>
          </w:p>
          <w:p w14:paraId="70FBBA9F" w14:textId="066325CB" w:rsidR="00B57857" w:rsidRPr="00260790" w:rsidRDefault="00B57857" w:rsidP="00E20250">
            <w:pPr>
              <w:autoSpaceDE w:val="0"/>
              <w:autoSpaceDN w:val="0"/>
              <w:adjustRightInd w:val="0"/>
              <w:spacing w:after="0" w:line="240" w:lineRule="auto"/>
              <w:jc w:val="both"/>
              <w:rPr>
                <w:rFonts w:ascii="Times New Roman" w:eastAsia="Times New Roman" w:hAnsi="Times New Roman"/>
                <w:b/>
                <w:bCs/>
                <w:color w:val="000000" w:themeColor="text1"/>
              </w:rPr>
            </w:pPr>
            <w:r w:rsidRPr="00260790">
              <w:rPr>
                <w:rFonts w:ascii="Times New Roman" w:eastAsia="Times New Roman" w:hAnsi="Times New Roman"/>
                <w:color w:val="000000" w:themeColor="text1"/>
              </w:rPr>
              <w:t>DES ÉVALUATIONS ENVIRONNEMENTALES</w:t>
            </w:r>
          </w:p>
        </w:tc>
        <w:tc>
          <w:tcPr>
            <w:tcW w:w="719" w:type="pct"/>
            <w:shd w:val="clear" w:color="auto" w:fill="FFFFFF"/>
            <w:vAlign w:val="center"/>
          </w:tcPr>
          <w:p w14:paraId="04335542" w14:textId="77777777" w:rsidR="00B57857" w:rsidRPr="00260790" w:rsidRDefault="00B57857" w:rsidP="00E20250">
            <w:pPr>
              <w:autoSpaceDE w:val="0"/>
              <w:autoSpaceDN w:val="0"/>
              <w:adjustRightInd w:val="0"/>
              <w:spacing w:after="0" w:line="240" w:lineRule="auto"/>
              <w:jc w:val="both"/>
              <w:rPr>
                <w:rFonts w:ascii="Times New Roman" w:eastAsia="Times New Roman" w:hAnsi="Times New Roman"/>
                <w:color w:val="000000" w:themeColor="text1"/>
              </w:rPr>
            </w:pPr>
          </w:p>
          <w:p w14:paraId="405A833E" w14:textId="03CEC42B" w:rsidR="00B57857" w:rsidRPr="00260790" w:rsidRDefault="00B57857" w:rsidP="00E20250">
            <w:pPr>
              <w:autoSpaceDE w:val="0"/>
              <w:autoSpaceDN w:val="0"/>
              <w:adjustRightInd w:val="0"/>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ARTICLE 20</w:t>
            </w:r>
          </w:p>
        </w:tc>
        <w:tc>
          <w:tcPr>
            <w:tcW w:w="1990" w:type="pct"/>
            <w:shd w:val="clear" w:color="auto" w:fill="FFFFFF"/>
            <w:vAlign w:val="center"/>
          </w:tcPr>
          <w:p w14:paraId="6B69B930" w14:textId="0CA6A3E4" w:rsidR="00B57857" w:rsidRPr="00260790" w:rsidRDefault="00B57857" w:rsidP="00E20250">
            <w:pPr>
              <w:autoSpaceDE w:val="0"/>
              <w:autoSpaceDN w:val="0"/>
              <w:adjustRightInd w:val="0"/>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L'évaluation environnementale est un préalable à tout processus de conception, de développement et de mise en œuvre</w:t>
            </w:r>
            <w:r w:rsidR="00FA5599" w:rsidRPr="00260790">
              <w:rPr>
                <w:rFonts w:ascii="Times New Roman" w:eastAsia="Times New Roman" w:hAnsi="Times New Roman"/>
                <w:color w:val="000000" w:themeColor="text1"/>
              </w:rPr>
              <w:t xml:space="preserve"> </w:t>
            </w:r>
            <w:r w:rsidRPr="00260790">
              <w:rPr>
                <w:rFonts w:ascii="Times New Roman" w:eastAsia="Times New Roman" w:hAnsi="Times New Roman"/>
                <w:color w:val="000000" w:themeColor="text1"/>
              </w:rPr>
              <w:t>des programmes et projets de développement susceptibles de porter atteinte à l'Environnement.</w:t>
            </w:r>
          </w:p>
        </w:tc>
        <w:tc>
          <w:tcPr>
            <w:tcW w:w="1142" w:type="pct"/>
            <w:vMerge w:val="restart"/>
            <w:shd w:val="clear" w:color="auto" w:fill="FFFFFF"/>
            <w:vAlign w:val="center"/>
          </w:tcPr>
          <w:p w14:paraId="51F25435" w14:textId="77777777" w:rsidR="00B57857" w:rsidRPr="00260790" w:rsidRDefault="00B57857" w:rsidP="00E20250">
            <w:pPr>
              <w:shd w:val="clear" w:color="auto" w:fill="FFFFFF"/>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color w:val="000000" w:themeColor="text1"/>
                <w:lang w:eastAsia="fr-FR"/>
              </w:rPr>
              <w:t xml:space="preserve">Le projet est classé dans la première catégorie et nécessite préalablement à sa réalisation, la conduite d’une étude d’impact environnemental eu égard aux impacts et risques pouvant découler de sa mise en œuvre  </w:t>
            </w:r>
          </w:p>
        </w:tc>
      </w:tr>
      <w:tr w:rsidR="00BD1A2F" w:rsidRPr="00260790" w14:paraId="4F7CEF93" w14:textId="77777777" w:rsidTr="0016786A">
        <w:trPr>
          <w:trHeight w:val="930"/>
        </w:trPr>
        <w:tc>
          <w:tcPr>
            <w:tcW w:w="1149" w:type="pct"/>
            <w:vMerge/>
            <w:shd w:val="clear" w:color="auto" w:fill="FFFFFF"/>
            <w:vAlign w:val="center"/>
          </w:tcPr>
          <w:p w14:paraId="5678CD83" w14:textId="77777777" w:rsidR="00B57857" w:rsidRPr="00260790" w:rsidRDefault="00B57857" w:rsidP="00E20250">
            <w:pPr>
              <w:autoSpaceDE w:val="0"/>
              <w:autoSpaceDN w:val="0"/>
              <w:adjustRightInd w:val="0"/>
              <w:spacing w:after="0" w:line="240" w:lineRule="auto"/>
              <w:jc w:val="both"/>
              <w:rPr>
                <w:rFonts w:ascii="Times New Roman" w:eastAsia="Times New Roman" w:hAnsi="Times New Roman"/>
                <w:color w:val="000000" w:themeColor="text1"/>
              </w:rPr>
            </w:pPr>
          </w:p>
        </w:tc>
        <w:tc>
          <w:tcPr>
            <w:tcW w:w="719" w:type="pct"/>
            <w:shd w:val="clear" w:color="auto" w:fill="FFFFFF"/>
            <w:vAlign w:val="center"/>
          </w:tcPr>
          <w:p w14:paraId="7370EDC2" w14:textId="3768AD58" w:rsidR="00B57857" w:rsidRPr="00260790" w:rsidRDefault="00B57857" w:rsidP="00E20250">
            <w:pPr>
              <w:autoSpaceDE w:val="0"/>
              <w:autoSpaceDN w:val="0"/>
              <w:adjustRightInd w:val="0"/>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ARTICLE 21</w:t>
            </w:r>
          </w:p>
        </w:tc>
        <w:tc>
          <w:tcPr>
            <w:tcW w:w="1990" w:type="pct"/>
            <w:shd w:val="clear" w:color="auto" w:fill="FFFFFF"/>
            <w:vAlign w:val="center"/>
          </w:tcPr>
          <w:p w14:paraId="344707CA" w14:textId="167D612B" w:rsidR="00B57857" w:rsidRPr="00260790" w:rsidRDefault="00B57857" w:rsidP="00E20250">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Selon leur impact potentiel, leur nature, leur ampleur et leur localisation, les projets sont classés en deux catégories.</w:t>
            </w:r>
          </w:p>
          <w:p w14:paraId="34FC9F4F" w14:textId="26864B44" w:rsidR="00B57857" w:rsidRPr="00260790" w:rsidRDefault="00B57857" w:rsidP="00E20250">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La catégorie 1 comprend les projets soumis à une étude d'impact environnemental avec risque environnemental majeur, quand le milieu peut être atteint dans son ensemble au point où sa qualité est considérée comme altérée de façon profonde.</w:t>
            </w:r>
          </w:p>
          <w:p w14:paraId="674131BA" w14:textId="77777777" w:rsidR="00B57857" w:rsidRPr="00260790" w:rsidRDefault="00B57857" w:rsidP="00E20250">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La catégorie 2 concerne les projets faisant l'objet d'une analyse environnementale initiale avec risque environnemental modéré, quand le milieu peut être atteint</w:t>
            </w:r>
            <w:r w:rsidR="000B5811" w:rsidRPr="00260790">
              <w:rPr>
                <w:rFonts w:ascii="Times New Roman" w:eastAsia="Times New Roman" w:hAnsi="Times New Roman"/>
                <w:bCs/>
                <w:color w:val="000000" w:themeColor="text1"/>
              </w:rPr>
              <w:t xml:space="preserve"> </w:t>
            </w:r>
            <w:r w:rsidRPr="00260790">
              <w:rPr>
                <w:rFonts w:ascii="Times New Roman" w:eastAsia="Times New Roman" w:hAnsi="Times New Roman"/>
                <w:bCs/>
                <w:color w:val="000000" w:themeColor="text1"/>
              </w:rPr>
              <w:t>sensiblement.</w:t>
            </w:r>
          </w:p>
          <w:p w14:paraId="4E5E1D24" w14:textId="65306CE4" w:rsidR="000B5811" w:rsidRPr="00260790" w:rsidRDefault="000B5811" w:rsidP="00E20250">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Le projet est de catégorie 1.</w:t>
            </w:r>
          </w:p>
        </w:tc>
        <w:tc>
          <w:tcPr>
            <w:tcW w:w="1142" w:type="pct"/>
            <w:vMerge/>
            <w:shd w:val="clear" w:color="auto" w:fill="FFFFFF"/>
            <w:vAlign w:val="center"/>
          </w:tcPr>
          <w:p w14:paraId="0B90DD0D" w14:textId="77777777" w:rsidR="00B57857" w:rsidRPr="00260790" w:rsidRDefault="00B57857" w:rsidP="00E20250">
            <w:pPr>
              <w:shd w:val="clear" w:color="auto" w:fill="FFFFFF"/>
              <w:spacing w:after="0" w:line="240" w:lineRule="auto"/>
              <w:jc w:val="both"/>
              <w:rPr>
                <w:rFonts w:ascii="Times New Roman" w:eastAsia="Times New Roman" w:hAnsi="Times New Roman"/>
                <w:color w:val="000000" w:themeColor="text1"/>
                <w:lang w:eastAsia="fr-FR"/>
              </w:rPr>
            </w:pPr>
          </w:p>
        </w:tc>
      </w:tr>
      <w:tr w:rsidR="00BD1A2F" w:rsidRPr="00260790" w14:paraId="13D45511" w14:textId="77777777" w:rsidTr="0016786A">
        <w:trPr>
          <w:trHeight w:val="391"/>
        </w:trPr>
        <w:tc>
          <w:tcPr>
            <w:tcW w:w="1149" w:type="pct"/>
            <w:vMerge/>
            <w:shd w:val="clear" w:color="auto" w:fill="FFFFFF"/>
            <w:vAlign w:val="center"/>
          </w:tcPr>
          <w:p w14:paraId="73A35667" w14:textId="77777777" w:rsidR="00B57857" w:rsidRPr="00260790" w:rsidRDefault="00B57857" w:rsidP="00E20250">
            <w:pPr>
              <w:autoSpaceDE w:val="0"/>
              <w:autoSpaceDN w:val="0"/>
              <w:adjustRightInd w:val="0"/>
              <w:spacing w:after="0" w:line="240" w:lineRule="auto"/>
              <w:jc w:val="both"/>
              <w:rPr>
                <w:rFonts w:ascii="Times New Roman" w:eastAsia="Times New Roman" w:hAnsi="Times New Roman"/>
                <w:b/>
                <w:bCs/>
                <w:color w:val="000000" w:themeColor="text1"/>
              </w:rPr>
            </w:pPr>
          </w:p>
        </w:tc>
        <w:tc>
          <w:tcPr>
            <w:tcW w:w="719" w:type="pct"/>
            <w:shd w:val="clear" w:color="auto" w:fill="FFFFFF"/>
            <w:vAlign w:val="center"/>
          </w:tcPr>
          <w:p w14:paraId="5C36B4D0" w14:textId="7D6EA288" w:rsidR="00B57857" w:rsidRPr="00260790" w:rsidRDefault="00B57857" w:rsidP="00E20250">
            <w:pPr>
              <w:autoSpaceDE w:val="0"/>
              <w:autoSpaceDN w:val="0"/>
              <w:adjustRightInd w:val="0"/>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ARTICLE</w:t>
            </w:r>
            <w:r w:rsidR="00DB0746">
              <w:rPr>
                <w:rFonts w:ascii="Times New Roman" w:eastAsia="Times New Roman" w:hAnsi="Times New Roman"/>
                <w:color w:val="000000" w:themeColor="text1"/>
              </w:rPr>
              <w:t>S</w:t>
            </w:r>
            <w:r w:rsidRPr="00260790">
              <w:rPr>
                <w:rFonts w:ascii="Times New Roman" w:eastAsia="Times New Roman" w:hAnsi="Times New Roman"/>
                <w:color w:val="000000" w:themeColor="text1"/>
              </w:rPr>
              <w:t xml:space="preserve"> </w:t>
            </w:r>
            <w:r w:rsidR="00DB0746">
              <w:rPr>
                <w:rFonts w:ascii="Times New Roman" w:eastAsia="Times New Roman" w:hAnsi="Times New Roman"/>
                <w:color w:val="000000" w:themeColor="text1"/>
              </w:rPr>
              <w:t>33-37</w:t>
            </w:r>
          </w:p>
        </w:tc>
        <w:tc>
          <w:tcPr>
            <w:tcW w:w="1990" w:type="pct"/>
            <w:shd w:val="clear" w:color="auto" w:fill="FFFFFF"/>
            <w:vAlign w:val="center"/>
          </w:tcPr>
          <w:p w14:paraId="39C37218" w14:textId="77777777" w:rsidR="00B57857" w:rsidRPr="00260790" w:rsidRDefault="00B57857" w:rsidP="00E20250">
            <w:pPr>
              <w:autoSpaceDE w:val="0"/>
              <w:autoSpaceDN w:val="0"/>
              <w:adjustRightInd w:val="0"/>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L’étude d’impact sur l’environnement EIE évalue les effets escomptés sur la santé des populations, sur l’environnement naturel et sur la propriété ; elle peut également couvrir les effets sur le plan social, notamment en ce qui concerne les besoins spécifiques des hommes et des femmes, et des groupes particuliers, la réinstallation des personnes déplacées et les conséquences pour les populations locales.</w:t>
            </w:r>
          </w:p>
        </w:tc>
        <w:tc>
          <w:tcPr>
            <w:tcW w:w="1142" w:type="pct"/>
            <w:vMerge/>
            <w:shd w:val="clear" w:color="auto" w:fill="FFFFFF"/>
            <w:vAlign w:val="center"/>
          </w:tcPr>
          <w:p w14:paraId="19FCD717" w14:textId="77777777" w:rsidR="00B57857" w:rsidRPr="00260790" w:rsidRDefault="00B57857" w:rsidP="00E20250">
            <w:pPr>
              <w:autoSpaceDE w:val="0"/>
              <w:autoSpaceDN w:val="0"/>
              <w:adjustRightInd w:val="0"/>
              <w:spacing w:after="0" w:line="240" w:lineRule="auto"/>
              <w:jc w:val="both"/>
              <w:rPr>
                <w:rFonts w:ascii="Times New Roman" w:eastAsia="Times New Roman" w:hAnsi="Times New Roman"/>
                <w:bCs/>
                <w:color w:val="000000" w:themeColor="text1"/>
              </w:rPr>
            </w:pPr>
          </w:p>
        </w:tc>
      </w:tr>
      <w:tr w:rsidR="00BD1A2F" w:rsidRPr="00260790" w14:paraId="14D09EBD" w14:textId="77777777" w:rsidTr="0016786A">
        <w:trPr>
          <w:trHeight w:val="517"/>
        </w:trPr>
        <w:tc>
          <w:tcPr>
            <w:tcW w:w="1149" w:type="pct"/>
            <w:vMerge/>
            <w:shd w:val="clear" w:color="auto" w:fill="FFFFFF"/>
            <w:vAlign w:val="center"/>
          </w:tcPr>
          <w:p w14:paraId="53D01A22" w14:textId="77777777" w:rsidR="00B57857" w:rsidRPr="00260790" w:rsidRDefault="00B57857" w:rsidP="00E20250">
            <w:pPr>
              <w:autoSpaceDE w:val="0"/>
              <w:autoSpaceDN w:val="0"/>
              <w:adjustRightInd w:val="0"/>
              <w:spacing w:after="0" w:line="240" w:lineRule="auto"/>
              <w:jc w:val="both"/>
              <w:rPr>
                <w:rFonts w:ascii="Times New Roman" w:eastAsia="Times New Roman" w:hAnsi="Times New Roman"/>
                <w:b/>
                <w:bCs/>
                <w:color w:val="000000" w:themeColor="text1"/>
              </w:rPr>
            </w:pPr>
          </w:p>
        </w:tc>
        <w:tc>
          <w:tcPr>
            <w:tcW w:w="719" w:type="pct"/>
            <w:shd w:val="clear" w:color="auto" w:fill="FFFFFF"/>
            <w:vAlign w:val="center"/>
          </w:tcPr>
          <w:p w14:paraId="71876397" w14:textId="185E32D5" w:rsidR="00B57857" w:rsidRPr="00260790" w:rsidRDefault="00B57857" w:rsidP="00E20250">
            <w:pPr>
              <w:autoSpaceDE w:val="0"/>
              <w:autoSpaceDN w:val="0"/>
              <w:adjustRightInd w:val="0"/>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ARTICLE </w:t>
            </w:r>
            <w:r w:rsidR="00DB0746">
              <w:rPr>
                <w:rFonts w:ascii="Times New Roman" w:eastAsia="Times New Roman" w:hAnsi="Times New Roman"/>
                <w:color w:val="000000" w:themeColor="text1"/>
              </w:rPr>
              <w:t>35</w:t>
            </w:r>
          </w:p>
          <w:p w14:paraId="72047E81" w14:textId="77777777" w:rsidR="00B57857" w:rsidRPr="00260790" w:rsidRDefault="00B57857" w:rsidP="00E20250">
            <w:pPr>
              <w:autoSpaceDE w:val="0"/>
              <w:autoSpaceDN w:val="0"/>
              <w:adjustRightInd w:val="0"/>
              <w:spacing w:after="0" w:line="240" w:lineRule="auto"/>
              <w:jc w:val="both"/>
              <w:rPr>
                <w:rFonts w:ascii="Times New Roman" w:eastAsia="Times New Roman" w:hAnsi="Times New Roman"/>
                <w:color w:val="000000" w:themeColor="text1"/>
              </w:rPr>
            </w:pPr>
            <w:r w:rsidRPr="00260790">
              <w:rPr>
                <w:rFonts w:ascii="Times New Roman" w:hAnsi="Times New Roman"/>
                <w:color w:val="000000" w:themeColor="text1"/>
                <w:lang w:eastAsia="fr-FR"/>
              </w:rPr>
              <w:t>Champ d’application</w:t>
            </w:r>
          </w:p>
        </w:tc>
        <w:tc>
          <w:tcPr>
            <w:tcW w:w="1990" w:type="pct"/>
            <w:shd w:val="clear" w:color="auto" w:fill="FFFFFF"/>
            <w:vAlign w:val="center"/>
          </w:tcPr>
          <w:p w14:paraId="3176155F" w14:textId="77777777" w:rsidR="00B57857" w:rsidRPr="00260790" w:rsidRDefault="00B57857" w:rsidP="00E20250">
            <w:pPr>
              <w:autoSpaceDE w:val="0"/>
              <w:autoSpaceDN w:val="0"/>
              <w:adjustRightInd w:val="0"/>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Selon l’impact potentiel, la nature, l’ampleur et la localisation du projet, les types de projets sont classés dans l’une des catégories suivantes :</w:t>
            </w:r>
          </w:p>
          <w:p w14:paraId="1A1EB6C1" w14:textId="77777777" w:rsidR="00B57857" w:rsidRPr="00260790" w:rsidRDefault="00B57857" w:rsidP="00E20250">
            <w:pPr>
              <w:autoSpaceDE w:val="0"/>
              <w:autoSpaceDN w:val="0"/>
              <w:adjustRightInd w:val="0"/>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 catégorie 1 : les projets sont susceptibles d’avoir des impacts significatifs sur l’environnement ; une étude de l’évaluation des impacts sur l’environnement permettra d’intégrer les considérations environnementales dans l’analyse économique et financière du projet ; cette catégorie exige une évaluation environnementale approfondie ; </w:t>
            </w:r>
          </w:p>
          <w:p w14:paraId="2755CA67" w14:textId="7281C2EA" w:rsidR="00B57857" w:rsidRPr="00260790" w:rsidRDefault="00B57857" w:rsidP="00E20250">
            <w:pPr>
              <w:autoSpaceDE w:val="0"/>
              <w:autoSpaceDN w:val="0"/>
              <w:adjustRightInd w:val="0"/>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 catégorie 2 : les projets ont des impacts limités sur l’environnement ou les impacts peuvent être atténués en appliquant des mesures ou des changements dans leur </w:t>
            </w:r>
            <w:r w:rsidRPr="00260790">
              <w:rPr>
                <w:rFonts w:ascii="Times New Roman" w:eastAsia="Times New Roman" w:hAnsi="Times New Roman"/>
                <w:color w:val="000000" w:themeColor="text1"/>
              </w:rPr>
              <w:lastRenderedPageBreak/>
              <w:t>conception ; cette catégorie fait l’objet d’une analyse environnementale initiale</w:t>
            </w:r>
          </w:p>
        </w:tc>
        <w:tc>
          <w:tcPr>
            <w:tcW w:w="1142" w:type="pct"/>
            <w:vMerge/>
            <w:shd w:val="clear" w:color="auto" w:fill="FFFFFF"/>
            <w:vAlign w:val="center"/>
          </w:tcPr>
          <w:p w14:paraId="2142A56A" w14:textId="77777777" w:rsidR="00B57857" w:rsidRPr="00260790" w:rsidRDefault="00B57857" w:rsidP="00E20250">
            <w:pPr>
              <w:autoSpaceDE w:val="0"/>
              <w:autoSpaceDN w:val="0"/>
              <w:adjustRightInd w:val="0"/>
              <w:spacing w:after="0" w:line="240" w:lineRule="auto"/>
              <w:jc w:val="both"/>
              <w:rPr>
                <w:rFonts w:ascii="Times New Roman" w:eastAsia="Times New Roman" w:hAnsi="Times New Roman"/>
                <w:bCs/>
                <w:color w:val="000000" w:themeColor="text1"/>
              </w:rPr>
            </w:pPr>
          </w:p>
        </w:tc>
      </w:tr>
      <w:tr w:rsidR="004E27BA" w:rsidRPr="00291A74" w14:paraId="77A1D012" w14:textId="77777777" w:rsidTr="0016786A">
        <w:trPr>
          <w:trHeight w:val="517"/>
        </w:trPr>
        <w:tc>
          <w:tcPr>
            <w:tcW w:w="1149" w:type="pct"/>
            <w:shd w:val="clear" w:color="auto" w:fill="FFFFFF"/>
            <w:vAlign w:val="center"/>
          </w:tcPr>
          <w:p w14:paraId="5BDFE80A" w14:textId="77777777" w:rsidR="004E27BA" w:rsidRPr="0097258B" w:rsidRDefault="004E27BA" w:rsidP="004E27BA">
            <w:pPr>
              <w:autoSpaceDE w:val="0"/>
              <w:autoSpaceDN w:val="0"/>
              <w:adjustRightInd w:val="0"/>
              <w:spacing w:after="0" w:line="240" w:lineRule="auto"/>
              <w:jc w:val="both"/>
              <w:rPr>
                <w:rFonts w:ascii="Times New Roman" w:eastAsia="Times New Roman" w:hAnsi="Times New Roman"/>
                <w:bCs/>
                <w:i/>
                <w:iCs/>
                <w:color w:val="000000" w:themeColor="text1"/>
                <w:lang w:val="fr-SN"/>
              </w:rPr>
            </w:pPr>
            <w:r w:rsidRPr="0097258B">
              <w:rPr>
                <w:rFonts w:ascii="Times New Roman" w:eastAsia="Times New Roman" w:hAnsi="Times New Roman"/>
                <w:bCs/>
                <w:color w:val="000000" w:themeColor="text1"/>
                <w:lang w:val="fr-SN"/>
              </w:rPr>
              <w:t xml:space="preserve">TITRE Il :  </w:t>
            </w:r>
            <w:r w:rsidRPr="0097258B">
              <w:rPr>
                <w:rFonts w:ascii="Times New Roman" w:eastAsia="Times New Roman" w:hAnsi="Times New Roman"/>
                <w:bCs/>
                <w:i/>
                <w:iCs/>
                <w:color w:val="000000" w:themeColor="text1"/>
                <w:lang w:val="fr-SN"/>
              </w:rPr>
              <w:t>DES INSTRUMENTS</w:t>
            </w:r>
          </w:p>
          <w:p w14:paraId="12DD2C76" w14:textId="37D5A24C" w:rsidR="004E27BA" w:rsidRPr="00291A74" w:rsidRDefault="004E27BA" w:rsidP="004E27BA">
            <w:pPr>
              <w:autoSpaceDE w:val="0"/>
              <w:autoSpaceDN w:val="0"/>
              <w:adjustRightInd w:val="0"/>
              <w:spacing w:after="0" w:line="240" w:lineRule="auto"/>
              <w:jc w:val="both"/>
              <w:rPr>
                <w:rFonts w:ascii="Times New Roman" w:eastAsia="Times New Roman" w:hAnsi="Times New Roman"/>
                <w:b/>
                <w:bCs/>
                <w:color w:val="000000" w:themeColor="text1"/>
              </w:rPr>
            </w:pPr>
            <w:r w:rsidRPr="0097258B">
              <w:rPr>
                <w:rFonts w:ascii="Times New Roman" w:eastAsia="Times New Roman" w:hAnsi="Times New Roman"/>
                <w:bCs/>
                <w:i/>
                <w:iCs/>
                <w:color w:val="000000" w:themeColor="text1"/>
                <w:lang w:val="fr-SN"/>
              </w:rPr>
              <w:t>DE PROTECTION DE L'ENVIRONNEMENT</w:t>
            </w:r>
          </w:p>
        </w:tc>
        <w:tc>
          <w:tcPr>
            <w:tcW w:w="719" w:type="pct"/>
            <w:shd w:val="clear" w:color="auto" w:fill="FFFFFF"/>
            <w:vAlign w:val="center"/>
          </w:tcPr>
          <w:p w14:paraId="19C00F35" w14:textId="77777777" w:rsidR="004E27BA" w:rsidRPr="0097258B" w:rsidRDefault="004E27BA" w:rsidP="004E27BA">
            <w:pPr>
              <w:autoSpaceDE w:val="0"/>
              <w:autoSpaceDN w:val="0"/>
              <w:adjustRightInd w:val="0"/>
              <w:spacing w:after="0" w:line="240" w:lineRule="auto"/>
              <w:jc w:val="both"/>
              <w:rPr>
                <w:rFonts w:ascii="Times New Roman" w:eastAsia="Times New Roman" w:hAnsi="Times New Roman"/>
                <w:color w:val="000000" w:themeColor="text1"/>
              </w:rPr>
            </w:pPr>
            <w:r w:rsidRPr="0097258B">
              <w:rPr>
                <w:rFonts w:ascii="Times New Roman" w:eastAsia="Times New Roman" w:hAnsi="Times New Roman"/>
                <w:color w:val="000000" w:themeColor="text1"/>
              </w:rPr>
              <w:t xml:space="preserve">ARTICLE 14 </w:t>
            </w:r>
          </w:p>
          <w:p w14:paraId="49FF5D25" w14:textId="77777777" w:rsidR="004E27BA" w:rsidRPr="00291A74" w:rsidRDefault="004E27BA" w:rsidP="004E27BA">
            <w:pPr>
              <w:autoSpaceDE w:val="0"/>
              <w:autoSpaceDN w:val="0"/>
              <w:adjustRightInd w:val="0"/>
              <w:spacing w:after="0" w:line="240" w:lineRule="auto"/>
              <w:jc w:val="both"/>
              <w:rPr>
                <w:rFonts w:ascii="Times New Roman" w:eastAsia="Times New Roman" w:hAnsi="Times New Roman"/>
                <w:color w:val="000000" w:themeColor="text1"/>
              </w:rPr>
            </w:pPr>
          </w:p>
        </w:tc>
        <w:tc>
          <w:tcPr>
            <w:tcW w:w="1990" w:type="pct"/>
            <w:shd w:val="clear" w:color="auto" w:fill="FFFFFF"/>
            <w:vAlign w:val="center"/>
          </w:tcPr>
          <w:p w14:paraId="3A825D32" w14:textId="0E233964" w:rsidR="004E27BA" w:rsidRPr="0097258B" w:rsidRDefault="004E27BA" w:rsidP="004E27BA">
            <w:pPr>
              <w:autoSpaceDE w:val="0"/>
              <w:autoSpaceDN w:val="0"/>
              <w:adjustRightInd w:val="0"/>
              <w:spacing w:after="0" w:line="240" w:lineRule="auto"/>
              <w:jc w:val="both"/>
              <w:rPr>
                <w:rFonts w:ascii="Times New Roman" w:eastAsia="Times New Roman" w:hAnsi="Times New Roman"/>
                <w:color w:val="000000" w:themeColor="text1"/>
                <w:lang w:val="fr-SN"/>
              </w:rPr>
            </w:pPr>
            <w:r w:rsidRPr="0097258B">
              <w:rPr>
                <w:rFonts w:ascii="Times New Roman" w:eastAsia="Times New Roman" w:hAnsi="Times New Roman"/>
                <w:color w:val="000000" w:themeColor="text1"/>
              </w:rPr>
              <w:t xml:space="preserve">Le comité technique est une unité </w:t>
            </w:r>
            <w:proofErr w:type="gramStart"/>
            <w:r w:rsidRPr="0097258B">
              <w:rPr>
                <w:rFonts w:ascii="Times New Roman" w:eastAsia="Times New Roman" w:hAnsi="Times New Roman"/>
                <w:color w:val="000000" w:themeColor="text1"/>
              </w:rPr>
              <w:t>d’administration  validation</w:t>
            </w:r>
            <w:proofErr w:type="gramEnd"/>
            <w:r w:rsidRPr="0097258B">
              <w:rPr>
                <w:rFonts w:ascii="Times New Roman" w:eastAsia="Times New Roman" w:hAnsi="Times New Roman"/>
                <w:color w:val="000000" w:themeColor="text1"/>
              </w:rPr>
              <w:t xml:space="preserve"> et suivi de l’étude d’impact sur l’environnement. Il appuie le ministère de l’Environnement. Sa</w:t>
            </w:r>
            <w:r w:rsidRPr="0097258B">
              <w:rPr>
                <w:rFonts w:ascii="Times New Roman" w:eastAsia="Times New Roman" w:hAnsi="Times New Roman"/>
                <w:color w:val="000000" w:themeColor="text1"/>
                <w:lang w:val="fr-SN"/>
              </w:rPr>
              <w:t xml:space="preserve"> composition, ses missions et son fonctionnement sont fixés</w:t>
            </w:r>
            <w:r w:rsidR="00291A74">
              <w:rPr>
                <w:rFonts w:ascii="Times New Roman" w:eastAsia="Times New Roman" w:hAnsi="Times New Roman"/>
                <w:color w:val="000000" w:themeColor="text1"/>
                <w:lang w:val="fr-SN"/>
              </w:rPr>
              <w:t xml:space="preserve"> </w:t>
            </w:r>
            <w:r w:rsidRPr="0097258B">
              <w:rPr>
                <w:rFonts w:ascii="Times New Roman" w:eastAsia="Times New Roman" w:hAnsi="Times New Roman"/>
                <w:color w:val="000000" w:themeColor="text1"/>
                <w:lang w:val="fr-SN"/>
              </w:rPr>
              <w:t>par arrêté du Ministre chargé de l'Environnement.</w:t>
            </w:r>
          </w:p>
          <w:p w14:paraId="64A529B5" w14:textId="77777777" w:rsidR="004E27BA" w:rsidRPr="00291A74" w:rsidRDefault="004E27BA" w:rsidP="004E27BA">
            <w:pPr>
              <w:autoSpaceDE w:val="0"/>
              <w:autoSpaceDN w:val="0"/>
              <w:adjustRightInd w:val="0"/>
              <w:spacing w:after="0" w:line="240" w:lineRule="auto"/>
              <w:jc w:val="both"/>
              <w:rPr>
                <w:rFonts w:ascii="Times New Roman" w:eastAsia="Times New Roman" w:hAnsi="Times New Roman"/>
                <w:color w:val="000000" w:themeColor="text1"/>
              </w:rPr>
            </w:pPr>
          </w:p>
        </w:tc>
        <w:tc>
          <w:tcPr>
            <w:tcW w:w="1142" w:type="pct"/>
            <w:shd w:val="clear" w:color="auto" w:fill="FFFFFF"/>
            <w:vAlign w:val="center"/>
          </w:tcPr>
          <w:p w14:paraId="2F3DF9B8" w14:textId="77777777" w:rsidR="004E27BA" w:rsidRPr="00291A74"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p>
        </w:tc>
      </w:tr>
      <w:tr w:rsidR="004E27BA" w:rsidRPr="00260790" w14:paraId="72F4C36F" w14:textId="77777777" w:rsidTr="0016786A">
        <w:trPr>
          <w:trHeight w:val="816"/>
        </w:trPr>
        <w:tc>
          <w:tcPr>
            <w:tcW w:w="1149" w:type="pct"/>
            <w:vMerge w:val="restart"/>
            <w:shd w:val="clear" w:color="auto" w:fill="FFFFFF"/>
            <w:vAlign w:val="center"/>
          </w:tcPr>
          <w:p w14:paraId="7DE00C03" w14:textId="46FF966A"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TITRE IV : DE LA PREVENTION ET DE LA LUTTE CONTRE LES</w:t>
            </w:r>
          </w:p>
          <w:p w14:paraId="60EFFBE5" w14:textId="77777777"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POLLUTIONS, RISQUES ET NUISANCES</w:t>
            </w:r>
          </w:p>
          <w:p w14:paraId="5049534E" w14:textId="77777777"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p>
          <w:p w14:paraId="2B7284FD" w14:textId="77777777" w:rsidR="004E27BA" w:rsidRPr="00260790" w:rsidRDefault="004E27BA" w:rsidP="004E27BA">
            <w:pPr>
              <w:autoSpaceDE w:val="0"/>
              <w:autoSpaceDN w:val="0"/>
              <w:adjustRightInd w:val="0"/>
              <w:spacing w:after="0" w:line="240" w:lineRule="auto"/>
              <w:jc w:val="both"/>
              <w:rPr>
                <w:rFonts w:ascii="Times New Roman" w:eastAsia="Times New Roman" w:hAnsi="Times New Roman"/>
                <w:b/>
                <w:bCs/>
                <w:color w:val="000000" w:themeColor="text1"/>
              </w:rPr>
            </w:pPr>
            <w:r w:rsidRPr="00260790">
              <w:rPr>
                <w:rFonts w:ascii="Times New Roman" w:eastAsia="Times New Roman" w:hAnsi="Times New Roman"/>
                <w:color w:val="000000" w:themeColor="text1"/>
              </w:rPr>
              <w:t xml:space="preserve">Chapitre I : </w:t>
            </w:r>
            <w:r w:rsidRPr="00260790">
              <w:rPr>
                <w:rFonts w:ascii="Times New Roman" w:eastAsia="Times New Roman" w:hAnsi="Times New Roman"/>
                <w:bCs/>
                <w:color w:val="000000" w:themeColor="text1"/>
              </w:rPr>
              <w:t>Installations classées pour la protection de l’environnement</w:t>
            </w:r>
          </w:p>
          <w:p w14:paraId="384230B7" w14:textId="77777777"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p>
        </w:tc>
        <w:tc>
          <w:tcPr>
            <w:tcW w:w="719" w:type="pct"/>
            <w:shd w:val="clear" w:color="auto" w:fill="FFFFFF"/>
            <w:vAlign w:val="center"/>
            <w:hideMark/>
          </w:tcPr>
          <w:p w14:paraId="5E53A948" w14:textId="1DED97AA" w:rsidR="004E27BA" w:rsidRPr="00260790" w:rsidRDefault="004E27BA" w:rsidP="004E27BA">
            <w:pPr>
              <w:autoSpaceDE w:val="0"/>
              <w:autoSpaceDN w:val="0"/>
              <w:adjustRightInd w:val="0"/>
              <w:spacing w:after="0" w:line="240" w:lineRule="auto"/>
              <w:jc w:val="both"/>
              <w:rPr>
                <w:rFonts w:ascii="Times New Roman" w:eastAsia="Times New Roman" w:hAnsi="Times New Roman"/>
                <w:color w:val="000000" w:themeColor="text1"/>
              </w:rPr>
            </w:pPr>
          </w:p>
          <w:p w14:paraId="4A920FF7" w14:textId="3543C4FA" w:rsidR="004E27BA" w:rsidRPr="00260790" w:rsidRDefault="004E27BA" w:rsidP="004E27BA">
            <w:pPr>
              <w:autoSpaceDE w:val="0"/>
              <w:autoSpaceDN w:val="0"/>
              <w:adjustRightInd w:val="0"/>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Article 44</w:t>
            </w:r>
          </w:p>
        </w:tc>
        <w:tc>
          <w:tcPr>
            <w:tcW w:w="1990" w:type="pct"/>
            <w:shd w:val="clear" w:color="auto" w:fill="FFFFFF"/>
            <w:vAlign w:val="center"/>
            <w:hideMark/>
          </w:tcPr>
          <w:p w14:paraId="2D362649" w14:textId="68C5E5D1"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color w:val="000000" w:themeColor="text1"/>
              </w:rPr>
              <w:t xml:space="preserve">Sont soumis aux dispositions de la présente loi, </w:t>
            </w:r>
            <w:r w:rsidRPr="00260790">
              <w:rPr>
                <w:rFonts w:ascii="Times New Roman" w:eastAsia="Times New Roman" w:hAnsi="Times New Roman"/>
                <w:bCs/>
                <w:color w:val="000000" w:themeColor="text1"/>
              </w:rPr>
              <w:t>usines, ateliers, dépôts, chantiers, mines et carrières, aux équipements sous pression de vapeur et</w:t>
            </w:r>
          </w:p>
          <w:p w14:paraId="11677BBD" w14:textId="77777777"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proofErr w:type="gramStart"/>
            <w:r w:rsidRPr="00260790">
              <w:rPr>
                <w:rFonts w:ascii="Times New Roman" w:eastAsia="Times New Roman" w:hAnsi="Times New Roman"/>
                <w:bCs/>
                <w:color w:val="000000" w:themeColor="text1"/>
              </w:rPr>
              <w:t>de</w:t>
            </w:r>
            <w:proofErr w:type="gramEnd"/>
            <w:r w:rsidRPr="00260790">
              <w:rPr>
                <w:rFonts w:ascii="Times New Roman" w:eastAsia="Times New Roman" w:hAnsi="Times New Roman"/>
                <w:bCs/>
                <w:color w:val="000000" w:themeColor="text1"/>
              </w:rPr>
              <w:t xml:space="preserve"> gaz et d'une manière générale, aux installations industrielles, pétrolières et</w:t>
            </w:r>
          </w:p>
          <w:p w14:paraId="607B4448" w14:textId="081111C5"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proofErr w:type="gramStart"/>
            <w:r w:rsidRPr="00260790">
              <w:rPr>
                <w:rFonts w:ascii="Times New Roman" w:eastAsia="Times New Roman" w:hAnsi="Times New Roman"/>
                <w:bCs/>
                <w:color w:val="000000" w:themeColor="text1"/>
              </w:rPr>
              <w:t>gazières</w:t>
            </w:r>
            <w:proofErr w:type="gramEnd"/>
            <w:r w:rsidRPr="00260790">
              <w:rPr>
                <w:rFonts w:ascii="Times New Roman" w:eastAsia="Times New Roman" w:hAnsi="Times New Roman"/>
                <w:bCs/>
                <w:color w:val="000000" w:themeColor="text1"/>
              </w:rPr>
              <w:t xml:space="preserve"> artisanales ou commerciales exploitées ou détenues par toute personne physique ou morale et à toutes autres activités qui présentent des dangers pour la santé et l'Environnement.</w:t>
            </w:r>
          </w:p>
        </w:tc>
        <w:tc>
          <w:tcPr>
            <w:tcW w:w="1142" w:type="pct"/>
            <w:shd w:val="clear" w:color="auto" w:fill="FFFFFF"/>
            <w:vAlign w:val="center"/>
            <w:hideMark/>
          </w:tcPr>
          <w:p w14:paraId="73F757EB" w14:textId="0E09B207"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 xml:space="preserve">Le Projet prévoit la réalisation d’ouvrages et le financement de Projets d’Investissements Communautaires (PIC) autour des bassins à réaliser. Leur mise en œuvre et leur exploitation </w:t>
            </w:r>
            <w:r w:rsidRPr="00260790">
              <w:rPr>
                <w:rFonts w:ascii="Times New Roman" w:eastAsia="Times New Roman" w:hAnsi="Times New Roman"/>
                <w:color w:val="000000" w:themeColor="text1"/>
              </w:rPr>
              <w:t>ne doivent pas présenter des dangers pour la santé, la sécurité, la salubrité publique dans les zones d’intervention du Projet</w:t>
            </w:r>
            <w:r w:rsidRPr="00260790">
              <w:rPr>
                <w:rFonts w:ascii="Times New Roman" w:eastAsia="Times New Roman" w:hAnsi="Times New Roman"/>
                <w:bCs/>
                <w:color w:val="000000" w:themeColor="text1"/>
              </w:rPr>
              <w:t>.</w:t>
            </w:r>
          </w:p>
        </w:tc>
      </w:tr>
      <w:tr w:rsidR="004E27BA" w:rsidRPr="00260790" w14:paraId="68851308" w14:textId="77777777" w:rsidTr="0016786A">
        <w:trPr>
          <w:trHeight w:val="444"/>
        </w:trPr>
        <w:tc>
          <w:tcPr>
            <w:tcW w:w="1149" w:type="pct"/>
            <w:vMerge/>
            <w:shd w:val="clear" w:color="auto" w:fill="FFFFFF"/>
            <w:vAlign w:val="center"/>
            <w:hideMark/>
          </w:tcPr>
          <w:p w14:paraId="32FA7D46" w14:textId="77777777" w:rsidR="004E27BA" w:rsidRPr="00260790" w:rsidRDefault="004E27BA" w:rsidP="004E27BA">
            <w:pPr>
              <w:spacing w:after="0" w:line="240" w:lineRule="auto"/>
              <w:rPr>
                <w:rFonts w:ascii="Times New Roman" w:eastAsia="Times New Roman" w:hAnsi="Times New Roman"/>
                <w:b/>
                <w:bCs/>
                <w:color w:val="000000" w:themeColor="text1"/>
              </w:rPr>
            </w:pPr>
          </w:p>
        </w:tc>
        <w:tc>
          <w:tcPr>
            <w:tcW w:w="719" w:type="pct"/>
            <w:shd w:val="clear" w:color="auto" w:fill="FFFFFF"/>
            <w:vAlign w:val="center"/>
          </w:tcPr>
          <w:p w14:paraId="4EA4BB53" w14:textId="78DEBBC4" w:rsidR="004E27BA" w:rsidRPr="00260790" w:rsidRDefault="004E27BA" w:rsidP="004E27BA">
            <w:pPr>
              <w:autoSpaceDE w:val="0"/>
              <w:autoSpaceDN w:val="0"/>
              <w:adjustRightInd w:val="0"/>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Article 46</w:t>
            </w:r>
          </w:p>
        </w:tc>
        <w:tc>
          <w:tcPr>
            <w:tcW w:w="1990" w:type="pct"/>
            <w:shd w:val="clear" w:color="auto" w:fill="FFFFFF"/>
            <w:vAlign w:val="center"/>
          </w:tcPr>
          <w:p w14:paraId="2A4D5260" w14:textId="77777777"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En fonction de leurs impacts sur l'Environnement et du danger que peut</w:t>
            </w:r>
          </w:p>
          <w:p w14:paraId="329D6122" w14:textId="335ED647" w:rsidR="004E27BA" w:rsidRPr="00260790" w:rsidRDefault="004E27BA" w:rsidP="004E27BA">
            <w:pPr>
              <w:autoSpaceDE w:val="0"/>
              <w:autoSpaceDN w:val="0"/>
              <w:adjustRightInd w:val="0"/>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bCs/>
                <w:color w:val="000000" w:themeColor="text1"/>
              </w:rPr>
              <w:t>Présenter leur exploitation, les installations classées pour la protection de l'Environnement sont soumises au régime de l'autorisation pour les installations de la première classe ou au régime de la déclaration pour les installations de la deuxième classe.</w:t>
            </w:r>
          </w:p>
        </w:tc>
        <w:tc>
          <w:tcPr>
            <w:tcW w:w="1142" w:type="pct"/>
            <w:shd w:val="clear" w:color="auto" w:fill="FFFFFF"/>
            <w:vAlign w:val="center"/>
          </w:tcPr>
          <w:p w14:paraId="5AA434A9" w14:textId="77777777"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 xml:space="preserve">Le projet ouvrira une base de chantier pouvant accueillir des ICPE et donc devra se conformer aux dispositions réglementaires sur les ICPE. </w:t>
            </w:r>
          </w:p>
        </w:tc>
      </w:tr>
      <w:tr w:rsidR="004E27BA" w:rsidRPr="00260790" w14:paraId="4AAA6A41" w14:textId="77777777" w:rsidTr="0016786A">
        <w:trPr>
          <w:trHeight w:val="444"/>
        </w:trPr>
        <w:tc>
          <w:tcPr>
            <w:tcW w:w="1149" w:type="pct"/>
            <w:vMerge/>
            <w:shd w:val="clear" w:color="auto" w:fill="FFFFFF"/>
            <w:vAlign w:val="center"/>
          </w:tcPr>
          <w:p w14:paraId="4F059F72" w14:textId="77777777" w:rsidR="004E27BA" w:rsidRPr="00260790" w:rsidRDefault="004E27BA" w:rsidP="004E27BA">
            <w:pPr>
              <w:spacing w:after="0" w:line="240" w:lineRule="auto"/>
              <w:rPr>
                <w:rFonts w:ascii="Times New Roman" w:eastAsia="Times New Roman" w:hAnsi="Times New Roman"/>
                <w:b/>
                <w:bCs/>
                <w:color w:val="000000" w:themeColor="text1"/>
              </w:rPr>
            </w:pPr>
          </w:p>
        </w:tc>
        <w:tc>
          <w:tcPr>
            <w:tcW w:w="719" w:type="pct"/>
            <w:shd w:val="clear" w:color="auto" w:fill="FFFFFF"/>
            <w:vAlign w:val="center"/>
          </w:tcPr>
          <w:p w14:paraId="25C2A60B" w14:textId="3C5B627F" w:rsidR="004E27BA" w:rsidRPr="00260790" w:rsidRDefault="004E27BA" w:rsidP="004E27BA">
            <w:pPr>
              <w:autoSpaceDE w:val="0"/>
              <w:autoSpaceDN w:val="0"/>
              <w:adjustRightInd w:val="0"/>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Article 47</w:t>
            </w:r>
          </w:p>
        </w:tc>
        <w:tc>
          <w:tcPr>
            <w:tcW w:w="1990" w:type="pct"/>
            <w:shd w:val="clear" w:color="auto" w:fill="FFFFFF"/>
            <w:vAlign w:val="center"/>
          </w:tcPr>
          <w:p w14:paraId="3768C55E" w14:textId="73D7BDBE"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Le première classe comprend les installations qui présentent des impacts sur l'Environnement et de graves dangers pour les intérêts visés à l'article 44 de la présente loi. L'exploitation de ces installations ne peut être autorisée qu'à condition que des mesures spécifiées, par arrêté du Ministre chargé de l'Environnement, soient prises pour prévenir ces dangers ou inconvénients.</w:t>
            </w:r>
          </w:p>
        </w:tc>
        <w:tc>
          <w:tcPr>
            <w:tcW w:w="1142" w:type="pct"/>
            <w:shd w:val="clear" w:color="auto" w:fill="FFFFFF"/>
            <w:vAlign w:val="center"/>
          </w:tcPr>
          <w:p w14:paraId="49688B07" w14:textId="078A9F17"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Vu les effets du projet sur l’environnement, il est de première classe.</w:t>
            </w:r>
          </w:p>
        </w:tc>
      </w:tr>
      <w:tr w:rsidR="004E27BA" w:rsidRPr="00260790" w14:paraId="047599BE" w14:textId="77777777" w:rsidTr="0016786A">
        <w:trPr>
          <w:trHeight w:val="444"/>
        </w:trPr>
        <w:tc>
          <w:tcPr>
            <w:tcW w:w="1149" w:type="pct"/>
            <w:vMerge/>
            <w:shd w:val="clear" w:color="auto" w:fill="FFFFFF"/>
            <w:vAlign w:val="center"/>
          </w:tcPr>
          <w:p w14:paraId="5E7C5B36" w14:textId="77777777" w:rsidR="004E27BA" w:rsidRPr="00260790" w:rsidRDefault="004E27BA" w:rsidP="004E27BA">
            <w:pPr>
              <w:spacing w:after="0" w:line="240" w:lineRule="auto"/>
              <w:rPr>
                <w:rFonts w:ascii="Times New Roman" w:eastAsia="Times New Roman" w:hAnsi="Times New Roman"/>
                <w:b/>
                <w:bCs/>
                <w:color w:val="000000" w:themeColor="text1"/>
              </w:rPr>
            </w:pPr>
          </w:p>
        </w:tc>
        <w:tc>
          <w:tcPr>
            <w:tcW w:w="719" w:type="pct"/>
            <w:shd w:val="clear" w:color="auto" w:fill="FFFFFF"/>
            <w:vAlign w:val="center"/>
          </w:tcPr>
          <w:p w14:paraId="63C401E1" w14:textId="4487B7EE" w:rsidR="004E27BA" w:rsidRPr="00260790" w:rsidRDefault="004E27BA" w:rsidP="004E27BA">
            <w:pPr>
              <w:autoSpaceDE w:val="0"/>
              <w:autoSpaceDN w:val="0"/>
              <w:adjustRightInd w:val="0"/>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Article 48</w:t>
            </w:r>
          </w:p>
        </w:tc>
        <w:tc>
          <w:tcPr>
            <w:tcW w:w="1990" w:type="pct"/>
            <w:shd w:val="clear" w:color="auto" w:fill="FFFFFF"/>
            <w:vAlign w:val="center"/>
          </w:tcPr>
          <w:p w14:paraId="47B41082" w14:textId="513B85DB"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Les installations rangées dans la première classe font l'objet, avant leur construction, d'un certificat de conformité environnementale délivré par arrêté du Ministre chargé de l'Environnement, dans les conditions fixées par décret.</w:t>
            </w:r>
          </w:p>
          <w:p w14:paraId="7188F7B7" w14:textId="31C59490"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lastRenderedPageBreak/>
              <w:t>L'attestation de conformité environnementale est un préalable à toute demande de certificat de conformité environnementale.</w:t>
            </w:r>
          </w:p>
        </w:tc>
        <w:tc>
          <w:tcPr>
            <w:tcW w:w="1142" w:type="pct"/>
            <w:shd w:val="clear" w:color="auto" w:fill="FFFFFF"/>
            <w:vAlign w:val="center"/>
          </w:tcPr>
          <w:p w14:paraId="2E9425A9" w14:textId="58DA235E"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lastRenderedPageBreak/>
              <w:t xml:space="preserve">Le certificat de conformité environnementale est un préalable au démarrage du projet.  </w:t>
            </w:r>
          </w:p>
        </w:tc>
      </w:tr>
      <w:tr w:rsidR="004E27BA" w:rsidRPr="00260790" w14:paraId="15935650" w14:textId="77777777" w:rsidTr="0016786A">
        <w:trPr>
          <w:trHeight w:val="404"/>
        </w:trPr>
        <w:tc>
          <w:tcPr>
            <w:tcW w:w="1149" w:type="pct"/>
            <w:vMerge w:val="restart"/>
            <w:shd w:val="clear" w:color="auto" w:fill="FFFFFF"/>
            <w:vAlign w:val="center"/>
            <w:hideMark/>
          </w:tcPr>
          <w:p w14:paraId="5437F95D" w14:textId="5BADC7DD"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TITRE IV/ chapitre III :</w:t>
            </w:r>
            <w:r w:rsidRPr="00260790">
              <w:rPr>
                <w:rFonts w:ascii="Times New Roman" w:eastAsiaTheme="minorHAnsi" w:hAnsi="Times New Roman"/>
                <w:bCs/>
                <w:color w:val="000000" w:themeColor="text1"/>
              </w:rPr>
              <w:t xml:space="preserve"> </w:t>
            </w:r>
            <w:r w:rsidRPr="00260790">
              <w:rPr>
                <w:rFonts w:ascii="Times New Roman" w:eastAsia="Times New Roman" w:hAnsi="Times New Roman"/>
                <w:bCs/>
                <w:color w:val="000000" w:themeColor="text1"/>
              </w:rPr>
              <w:t>de la prévention et de la gestion des déchets</w:t>
            </w:r>
          </w:p>
        </w:tc>
        <w:tc>
          <w:tcPr>
            <w:tcW w:w="719" w:type="pct"/>
            <w:shd w:val="clear" w:color="auto" w:fill="FFFFFF"/>
            <w:vAlign w:val="center"/>
            <w:hideMark/>
          </w:tcPr>
          <w:p w14:paraId="02664E5D" w14:textId="4173D032" w:rsidR="004E27BA" w:rsidRPr="00260790" w:rsidRDefault="004E27BA" w:rsidP="004E27BA">
            <w:pPr>
              <w:autoSpaceDE w:val="0"/>
              <w:autoSpaceDN w:val="0"/>
              <w:adjustRightInd w:val="0"/>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bCs/>
                <w:color w:val="000000" w:themeColor="text1"/>
              </w:rPr>
              <w:t xml:space="preserve"> </w:t>
            </w:r>
            <w:r w:rsidRPr="00260790">
              <w:rPr>
                <w:rFonts w:ascii="Times New Roman" w:eastAsia="Times New Roman" w:hAnsi="Times New Roman"/>
                <w:color w:val="000000" w:themeColor="text1"/>
              </w:rPr>
              <w:t xml:space="preserve"> Article 67</w:t>
            </w:r>
          </w:p>
        </w:tc>
        <w:tc>
          <w:tcPr>
            <w:tcW w:w="1990" w:type="pct"/>
            <w:shd w:val="clear" w:color="auto" w:fill="FFFFFF"/>
            <w:vAlign w:val="center"/>
            <w:hideMark/>
          </w:tcPr>
          <w:p w14:paraId="29D8F6A4" w14:textId="24FF726A" w:rsidR="004E27BA" w:rsidRPr="00260790" w:rsidRDefault="004E27BA" w:rsidP="004E27BA">
            <w:pPr>
              <w:autoSpaceDE w:val="0"/>
              <w:autoSpaceDN w:val="0"/>
              <w:adjustRightInd w:val="0"/>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bCs/>
                <w:color w:val="000000" w:themeColor="text1"/>
              </w:rPr>
              <w:t>Les producteurs veillent à réduire et prévenir la production de déchets en adoptant des techniques de production propre et en agissant sur la conception et la fabrication des produits.</w:t>
            </w:r>
          </w:p>
        </w:tc>
        <w:tc>
          <w:tcPr>
            <w:tcW w:w="1142" w:type="pct"/>
            <w:vMerge w:val="restart"/>
            <w:shd w:val="clear" w:color="auto" w:fill="FFFFFF"/>
            <w:vAlign w:val="center"/>
            <w:hideMark/>
          </w:tcPr>
          <w:p w14:paraId="037AB58B" w14:textId="77777777"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Le Projet devra assurer la collecte et l’évacuation des déchets issus du chantier en phase de travaux.</w:t>
            </w:r>
          </w:p>
        </w:tc>
      </w:tr>
      <w:tr w:rsidR="004E27BA" w:rsidRPr="00260790" w14:paraId="45FCD325" w14:textId="77777777" w:rsidTr="0016786A">
        <w:trPr>
          <w:trHeight w:val="404"/>
        </w:trPr>
        <w:tc>
          <w:tcPr>
            <w:tcW w:w="1149" w:type="pct"/>
            <w:vMerge/>
            <w:shd w:val="clear" w:color="auto" w:fill="FFFFFF"/>
            <w:vAlign w:val="center"/>
          </w:tcPr>
          <w:p w14:paraId="58D7EAC1" w14:textId="77777777"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p>
        </w:tc>
        <w:tc>
          <w:tcPr>
            <w:tcW w:w="719" w:type="pct"/>
            <w:shd w:val="clear" w:color="auto" w:fill="FFFFFF"/>
            <w:vAlign w:val="center"/>
          </w:tcPr>
          <w:p w14:paraId="6E55D3B7" w14:textId="0CD99A91" w:rsidR="004E27BA" w:rsidRPr="00260790" w:rsidDel="0092689F" w:rsidRDefault="004E27BA" w:rsidP="004E27BA">
            <w:pPr>
              <w:autoSpaceDE w:val="0"/>
              <w:autoSpaceDN w:val="0"/>
              <w:adjustRightInd w:val="0"/>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Article 70</w:t>
            </w:r>
          </w:p>
        </w:tc>
        <w:tc>
          <w:tcPr>
            <w:tcW w:w="1990" w:type="pct"/>
            <w:shd w:val="clear" w:color="auto" w:fill="FFFFFF"/>
            <w:vAlign w:val="center"/>
          </w:tcPr>
          <w:p w14:paraId="6DA7F901" w14:textId="7DB6778A"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Toute personne dont l'activité produit des déchets ou qui détient des déchets en assure elle-même la gestion, en respectant l'ordre de priorité de traitement.</w:t>
            </w:r>
          </w:p>
        </w:tc>
        <w:tc>
          <w:tcPr>
            <w:tcW w:w="1142" w:type="pct"/>
            <w:vMerge/>
            <w:shd w:val="clear" w:color="auto" w:fill="FFFFFF"/>
            <w:vAlign w:val="center"/>
          </w:tcPr>
          <w:p w14:paraId="6008A05C" w14:textId="77777777"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p>
        </w:tc>
      </w:tr>
      <w:tr w:rsidR="004E27BA" w:rsidRPr="00260790" w14:paraId="76FB5645" w14:textId="77777777" w:rsidTr="0016786A">
        <w:trPr>
          <w:trHeight w:val="404"/>
        </w:trPr>
        <w:tc>
          <w:tcPr>
            <w:tcW w:w="1149" w:type="pct"/>
            <w:vMerge/>
            <w:shd w:val="clear" w:color="auto" w:fill="FFFFFF"/>
            <w:vAlign w:val="center"/>
          </w:tcPr>
          <w:p w14:paraId="0F3D1799" w14:textId="77777777"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p>
        </w:tc>
        <w:tc>
          <w:tcPr>
            <w:tcW w:w="719" w:type="pct"/>
            <w:shd w:val="clear" w:color="auto" w:fill="FFFFFF"/>
            <w:vAlign w:val="center"/>
          </w:tcPr>
          <w:p w14:paraId="35BF044D" w14:textId="27AD1CAE" w:rsidR="004E27BA" w:rsidRPr="00260790" w:rsidDel="0092689F" w:rsidRDefault="004E27BA" w:rsidP="004E27BA">
            <w:pPr>
              <w:autoSpaceDE w:val="0"/>
              <w:autoSpaceDN w:val="0"/>
              <w:adjustRightInd w:val="0"/>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Article 71</w:t>
            </w:r>
          </w:p>
        </w:tc>
        <w:tc>
          <w:tcPr>
            <w:tcW w:w="1990" w:type="pct"/>
            <w:shd w:val="clear" w:color="auto" w:fill="FFFFFF"/>
            <w:vAlign w:val="center"/>
          </w:tcPr>
          <w:p w14:paraId="7C14CEE4" w14:textId="16A45F13"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L'élimination ou tout autre traitement des déchets est soumis à l'autorisation préalable du Ministre chargé de l'Environnement.</w:t>
            </w:r>
          </w:p>
        </w:tc>
        <w:tc>
          <w:tcPr>
            <w:tcW w:w="1142" w:type="pct"/>
            <w:vMerge/>
            <w:shd w:val="clear" w:color="auto" w:fill="FFFFFF"/>
            <w:vAlign w:val="center"/>
          </w:tcPr>
          <w:p w14:paraId="455207A0" w14:textId="77777777"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p>
        </w:tc>
      </w:tr>
      <w:tr w:rsidR="004E27BA" w:rsidRPr="00260790" w14:paraId="3A217C0C" w14:textId="77777777" w:rsidTr="0016786A">
        <w:trPr>
          <w:trHeight w:val="404"/>
        </w:trPr>
        <w:tc>
          <w:tcPr>
            <w:tcW w:w="1149" w:type="pct"/>
            <w:vMerge/>
            <w:shd w:val="clear" w:color="auto" w:fill="FFFFFF"/>
            <w:vAlign w:val="center"/>
          </w:tcPr>
          <w:p w14:paraId="5C5D3FA9" w14:textId="77777777"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p>
        </w:tc>
        <w:tc>
          <w:tcPr>
            <w:tcW w:w="719" w:type="pct"/>
            <w:shd w:val="clear" w:color="auto" w:fill="FFFFFF"/>
            <w:vAlign w:val="center"/>
          </w:tcPr>
          <w:p w14:paraId="00602E22" w14:textId="3A675495" w:rsidR="004E27BA" w:rsidRPr="00260790" w:rsidRDefault="004E27BA" w:rsidP="004E27BA">
            <w:pPr>
              <w:autoSpaceDE w:val="0"/>
              <w:autoSpaceDN w:val="0"/>
              <w:adjustRightInd w:val="0"/>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Article 77</w:t>
            </w:r>
          </w:p>
        </w:tc>
        <w:tc>
          <w:tcPr>
            <w:tcW w:w="1990" w:type="pct"/>
            <w:shd w:val="clear" w:color="auto" w:fill="FFFFFF"/>
            <w:vAlign w:val="center"/>
          </w:tcPr>
          <w:p w14:paraId="04D68BDF" w14:textId="622DA371"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Les producteurs ou détenteurs de déchets dangereux en assurent eux-mêmes le traitement ou par le biais d'organismes agréés.</w:t>
            </w:r>
          </w:p>
        </w:tc>
        <w:tc>
          <w:tcPr>
            <w:tcW w:w="1142" w:type="pct"/>
            <w:vMerge/>
            <w:shd w:val="clear" w:color="auto" w:fill="FFFFFF"/>
            <w:vAlign w:val="center"/>
          </w:tcPr>
          <w:p w14:paraId="35C0A25C" w14:textId="77777777"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p>
        </w:tc>
      </w:tr>
      <w:tr w:rsidR="004E27BA" w:rsidRPr="00260790" w14:paraId="576C3A46" w14:textId="77777777" w:rsidTr="0016786A">
        <w:trPr>
          <w:trHeight w:val="249"/>
        </w:trPr>
        <w:tc>
          <w:tcPr>
            <w:tcW w:w="1149" w:type="pct"/>
            <w:vMerge w:val="restart"/>
            <w:shd w:val="clear" w:color="auto" w:fill="FFFFFF"/>
            <w:vAlign w:val="center"/>
            <w:hideMark/>
          </w:tcPr>
          <w:p w14:paraId="38D9C7B5" w14:textId="559541E7" w:rsidR="004E27BA" w:rsidRPr="00260790" w:rsidRDefault="004E27BA" w:rsidP="004E27BA">
            <w:pPr>
              <w:autoSpaceDE w:val="0"/>
              <w:autoSpaceDN w:val="0"/>
              <w:adjustRightInd w:val="0"/>
              <w:spacing w:after="0" w:line="240" w:lineRule="auto"/>
              <w:jc w:val="both"/>
              <w:rPr>
                <w:rFonts w:ascii="Times New Roman" w:eastAsia="Times New Roman" w:hAnsi="Times New Roman"/>
                <w:b/>
                <w:bCs/>
                <w:color w:val="000000" w:themeColor="text1"/>
              </w:rPr>
            </w:pPr>
            <w:r w:rsidRPr="00260790">
              <w:rPr>
                <w:rFonts w:ascii="Times New Roman" w:eastAsia="Times New Roman" w:hAnsi="Times New Roman"/>
                <w:bCs/>
                <w:color w:val="000000" w:themeColor="text1"/>
              </w:rPr>
              <w:t>TITRE IV/ chapitre VIII : des nuisances sonores</w:t>
            </w:r>
          </w:p>
        </w:tc>
        <w:tc>
          <w:tcPr>
            <w:tcW w:w="719" w:type="pct"/>
            <w:shd w:val="clear" w:color="auto" w:fill="FFFFFF"/>
            <w:vAlign w:val="center"/>
            <w:hideMark/>
          </w:tcPr>
          <w:p w14:paraId="15CF4771" w14:textId="1631CD41"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Article 142</w:t>
            </w:r>
          </w:p>
        </w:tc>
        <w:tc>
          <w:tcPr>
            <w:tcW w:w="1990" w:type="pct"/>
            <w:shd w:val="clear" w:color="auto" w:fill="FFFFFF"/>
            <w:vAlign w:val="center"/>
            <w:hideMark/>
          </w:tcPr>
          <w:p w14:paraId="6719EC8B" w14:textId="20064E41"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Les nuisances sonores susceptibles de porter atteinte à la santé humaine et à l'Environnement de l'homme ou de constituer une gêne pour le voisinage sont régies par le présent Code.</w:t>
            </w:r>
          </w:p>
          <w:p w14:paraId="4BF487FA" w14:textId="4AB8DE55"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Les nuisances sonores, les valeurs limites, les systèmes de mesures et les moyens de contrôle des émissions sonores sont fixés par décret.</w:t>
            </w:r>
          </w:p>
        </w:tc>
        <w:tc>
          <w:tcPr>
            <w:tcW w:w="1142" w:type="pct"/>
            <w:vMerge w:val="restart"/>
            <w:shd w:val="clear" w:color="auto" w:fill="FFFFFF"/>
            <w:vAlign w:val="center"/>
            <w:hideMark/>
          </w:tcPr>
          <w:p w14:paraId="7F11580F" w14:textId="77777777"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 xml:space="preserve">Les nuisances sonores en phase de travaux de construction des ouvrages, susceptibles de nuire à la santé humaine ou de constituer une gêne excessive pour le voisinage, doivent être analysées et des mesures d’atténuation proposées. </w:t>
            </w:r>
          </w:p>
        </w:tc>
      </w:tr>
      <w:tr w:rsidR="004E27BA" w:rsidRPr="00260790" w14:paraId="4FB5C6DB" w14:textId="77777777" w:rsidTr="0016786A">
        <w:trPr>
          <w:trHeight w:val="1539"/>
        </w:trPr>
        <w:tc>
          <w:tcPr>
            <w:tcW w:w="1149" w:type="pct"/>
            <w:vMerge/>
            <w:shd w:val="clear" w:color="auto" w:fill="FFFFFF"/>
            <w:vAlign w:val="center"/>
            <w:hideMark/>
          </w:tcPr>
          <w:p w14:paraId="6E046EF6" w14:textId="77777777" w:rsidR="004E27BA" w:rsidRPr="00260790" w:rsidRDefault="004E27BA" w:rsidP="004E27BA">
            <w:pPr>
              <w:spacing w:after="0" w:line="240" w:lineRule="auto"/>
              <w:rPr>
                <w:rFonts w:ascii="Times New Roman" w:eastAsia="Times New Roman" w:hAnsi="Times New Roman"/>
                <w:b/>
                <w:bCs/>
                <w:color w:val="000000" w:themeColor="text1"/>
              </w:rPr>
            </w:pPr>
          </w:p>
        </w:tc>
        <w:tc>
          <w:tcPr>
            <w:tcW w:w="719" w:type="pct"/>
            <w:shd w:val="clear" w:color="auto" w:fill="FFFFFF"/>
            <w:vAlign w:val="center"/>
            <w:hideMark/>
          </w:tcPr>
          <w:p w14:paraId="3B21C3E9" w14:textId="0BC68DDC"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Article 143</w:t>
            </w:r>
          </w:p>
        </w:tc>
        <w:tc>
          <w:tcPr>
            <w:tcW w:w="1990" w:type="pct"/>
            <w:shd w:val="clear" w:color="auto" w:fill="FFFFFF"/>
            <w:vAlign w:val="center"/>
            <w:hideMark/>
          </w:tcPr>
          <w:p w14:paraId="196594E4" w14:textId="4B382189"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Dans le cas de l'atteinte à la tranquillité du voisinage, l'autorité compétente peut prendre d'office des mesures conservatoires ou des sanctions prévues par les dispositions légales et réglementaires en vigueur.</w:t>
            </w:r>
          </w:p>
        </w:tc>
        <w:tc>
          <w:tcPr>
            <w:tcW w:w="1142" w:type="pct"/>
            <w:vMerge/>
            <w:shd w:val="clear" w:color="auto" w:fill="FFFFFF"/>
            <w:vAlign w:val="center"/>
            <w:hideMark/>
          </w:tcPr>
          <w:p w14:paraId="690DC119" w14:textId="77777777" w:rsidR="004E27BA" w:rsidRPr="00260790" w:rsidRDefault="004E27BA" w:rsidP="004E27BA">
            <w:pPr>
              <w:spacing w:after="0" w:line="240" w:lineRule="auto"/>
              <w:rPr>
                <w:rFonts w:ascii="Times New Roman" w:eastAsia="Times New Roman" w:hAnsi="Times New Roman"/>
                <w:bCs/>
                <w:color w:val="000000" w:themeColor="text1"/>
              </w:rPr>
            </w:pPr>
          </w:p>
        </w:tc>
      </w:tr>
      <w:tr w:rsidR="004E27BA" w:rsidRPr="00260790" w14:paraId="062AA6B5" w14:textId="77777777" w:rsidTr="0016786A">
        <w:trPr>
          <w:trHeight w:val="1539"/>
        </w:trPr>
        <w:tc>
          <w:tcPr>
            <w:tcW w:w="1149" w:type="pct"/>
            <w:vMerge w:val="restart"/>
            <w:shd w:val="clear" w:color="auto" w:fill="FFFFFF"/>
            <w:vAlign w:val="center"/>
          </w:tcPr>
          <w:p w14:paraId="53B7A11C" w14:textId="77777777" w:rsidR="004E27BA" w:rsidRPr="00260790" w:rsidRDefault="004E27BA" w:rsidP="00B91D59">
            <w:pPr>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TITRE V.- DE LA PROTECTION ET DE LA MISE EN VALEUR DES MILIEUX</w:t>
            </w:r>
          </w:p>
          <w:p w14:paraId="2F485B9A" w14:textId="76D50500" w:rsidR="004E27BA" w:rsidRPr="00260790" w:rsidRDefault="004E27BA" w:rsidP="00B91D59">
            <w:pPr>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RÉCEPTEURS</w:t>
            </w:r>
          </w:p>
          <w:p w14:paraId="0CF42807" w14:textId="77777777" w:rsidR="004E27BA" w:rsidRPr="00260790" w:rsidRDefault="004E27BA" w:rsidP="00B91D59">
            <w:pPr>
              <w:spacing w:after="0" w:line="240" w:lineRule="auto"/>
              <w:jc w:val="both"/>
              <w:rPr>
                <w:rFonts w:ascii="Times New Roman" w:eastAsia="Times New Roman" w:hAnsi="Times New Roman"/>
                <w:bCs/>
                <w:color w:val="000000" w:themeColor="text1"/>
              </w:rPr>
            </w:pPr>
          </w:p>
          <w:p w14:paraId="424184A0" w14:textId="1DD56933" w:rsidR="004E27BA" w:rsidRPr="00260790" w:rsidRDefault="004E27BA" w:rsidP="00B91D59">
            <w:pPr>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Chapitre II.- De la lutte contre la pollution de l'air</w:t>
            </w:r>
          </w:p>
        </w:tc>
        <w:tc>
          <w:tcPr>
            <w:tcW w:w="719" w:type="pct"/>
            <w:shd w:val="clear" w:color="auto" w:fill="FFFFFF"/>
            <w:vAlign w:val="center"/>
          </w:tcPr>
          <w:p w14:paraId="6689B47B" w14:textId="4035E947"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Article 164</w:t>
            </w:r>
          </w:p>
        </w:tc>
        <w:tc>
          <w:tcPr>
            <w:tcW w:w="1990" w:type="pct"/>
            <w:shd w:val="clear" w:color="auto" w:fill="FFFFFF"/>
            <w:vAlign w:val="center"/>
          </w:tcPr>
          <w:p w14:paraId="4BDDC207" w14:textId="0BE41F4A"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Sont soumises aux dispositions du présent chapitre la pollution de l'air et les odeurs qui incommodent les populations, compromettent la santé ou la sécurité publique.</w:t>
            </w:r>
          </w:p>
        </w:tc>
        <w:tc>
          <w:tcPr>
            <w:tcW w:w="1142" w:type="pct"/>
            <w:vMerge w:val="restart"/>
            <w:shd w:val="clear" w:color="auto" w:fill="FFFFFF"/>
            <w:vAlign w:val="center"/>
          </w:tcPr>
          <w:p w14:paraId="15695D3D" w14:textId="42561981" w:rsidR="004E27BA" w:rsidRPr="00260790" w:rsidRDefault="004E27BA" w:rsidP="004E27BA">
            <w:pPr>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En cas de mauvais choix des exutoires, de mauvais entretiens/maintenances des bassins et des canaux, la pollution de l’air ou les odeurs incommodantes peuvent compromettre l’hygiène et la santé dans le voisinage.</w:t>
            </w:r>
          </w:p>
        </w:tc>
      </w:tr>
      <w:tr w:rsidR="004E27BA" w:rsidRPr="00260790" w14:paraId="22805EB8" w14:textId="77777777" w:rsidTr="0016786A">
        <w:trPr>
          <w:trHeight w:val="249"/>
        </w:trPr>
        <w:tc>
          <w:tcPr>
            <w:tcW w:w="1149" w:type="pct"/>
            <w:vMerge/>
            <w:shd w:val="clear" w:color="auto" w:fill="FFFFFF"/>
            <w:vAlign w:val="center"/>
          </w:tcPr>
          <w:p w14:paraId="23267098" w14:textId="77777777" w:rsidR="004E27BA" w:rsidRPr="00260790" w:rsidRDefault="004E27BA" w:rsidP="004E27BA">
            <w:pPr>
              <w:spacing w:after="0" w:line="240" w:lineRule="auto"/>
              <w:rPr>
                <w:rFonts w:ascii="Times New Roman" w:eastAsia="Times New Roman" w:hAnsi="Times New Roman"/>
                <w:bCs/>
                <w:color w:val="000000" w:themeColor="text1"/>
              </w:rPr>
            </w:pPr>
          </w:p>
        </w:tc>
        <w:tc>
          <w:tcPr>
            <w:tcW w:w="719" w:type="pct"/>
            <w:shd w:val="clear" w:color="auto" w:fill="FFFFFF"/>
            <w:vAlign w:val="center"/>
          </w:tcPr>
          <w:p w14:paraId="14BA417A" w14:textId="502068C4"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Article 167</w:t>
            </w:r>
          </w:p>
        </w:tc>
        <w:tc>
          <w:tcPr>
            <w:tcW w:w="1990" w:type="pct"/>
            <w:shd w:val="clear" w:color="auto" w:fill="FFFFFF"/>
            <w:vAlign w:val="center"/>
          </w:tcPr>
          <w:p w14:paraId="78542B5A" w14:textId="4688BD99"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t>Afin d'éviter la pollution atmosphérique, les immeubles, établissements agricoles, industriels, commerciaux ou artisanaux, véhicules ou autres objets mobiliers possédés, exploités ou détenus par toute personne, sont construits, exploités ou utilisés de manière à satisfaire aux normes techniques en vigueur ou prises en application de la présente loi.</w:t>
            </w:r>
          </w:p>
          <w:p w14:paraId="486E9905" w14:textId="161258F2" w:rsidR="004E27BA" w:rsidRPr="00260790" w:rsidRDefault="004E27BA" w:rsidP="004E27BA">
            <w:pPr>
              <w:autoSpaceDE w:val="0"/>
              <w:autoSpaceDN w:val="0"/>
              <w:adjustRightInd w:val="0"/>
              <w:spacing w:after="0" w:line="240" w:lineRule="auto"/>
              <w:jc w:val="both"/>
              <w:rPr>
                <w:rFonts w:ascii="Times New Roman" w:eastAsia="Times New Roman" w:hAnsi="Times New Roman"/>
                <w:bCs/>
                <w:color w:val="000000" w:themeColor="text1"/>
              </w:rPr>
            </w:pPr>
            <w:r w:rsidRPr="00260790">
              <w:rPr>
                <w:rFonts w:ascii="Times New Roman" w:eastAsia="Times New Roman" w:hAnsi="Times New Roman"/>
                <w:bCs/>
                <w:color w:val="000000" w:themeColor="text1"/>
              </w:rPr>
              <w:lastRenderedPageBreak/>
              <w:t>Ils sont tous soumis à une obligation générale de prévention et de réduction de leurs impacts négatifs sur l'atmosphère pouvant avoir des effets nocifs pour la santé humaine et l'Environnement.</w:t>
            </w:r>
          </w:p>
        </w:tc>
        <w:tc>
          <w:tcPr>
            <w:tcW w:w="1142" w:type="pct"/>
            <w:vMerge/>
            <w:shd w:val="clear" w:color="auto" w:fill="FFFFFF"/>
            <w:vAlign w:val="center"/>
          </w:tcPr>
          <w:p w14:paraId="55F13B64" w14:textId="77777777" w:rsidR="004E27BA" w:rsidRPr="00260790" w:rsidRDefault="004E27BA" w:rsidP="004E27BA">
            <w:pPr>
              <w:spacing w:after="0" w:line="240" w:lineRule="auto"/>
              <w:rPr>
                <w:rFonts w:ascii="Times New Roman" w:eastAsia="Times New Roman" w:hAnsi="Times New Roman"/>
                <w:bCs/>
                <w:color w:val="000000" w:themeColor="text1"/>
              </w:rPr>
            </w:pPr>
          </w:p>
        </w:tc>
      </w:tr>
    </w:tbl>
    <w:p w14:paraId="0B9A932F" w14:textId="77777777" w:rsidR="005F3FB7" w:rsidRPr="00260790" w:rsidRDefault="005F3FB7" w:rsidP="00E20250">
      <w:pPr>
        <w:tabs>
          <w:tab w:val="num" w:pos="0"/>
        </w:tabs>
        <w:spacing w:after="0" w:line="240" w:lineRule="auto"/>
        <w:rPr>
          <w:rFonts w:ascii="Times New Roman" w:eastAsia="Times New Roman" w:hAnsi="Times New Roman"/>
          <w:color w:val="000000" w:themeColor="text1"/>
          <w:lang w:eastAsia="fr-FR"/>
        </w:rPr>
      </w:pPr>
    </w:p>
    <w:p w14:paraId="440D1A76" w14:textId="77777777" w:rsidR="005F3FB7" w:rsidRPr="00260790" w:rsidRDefault="005F3FB7"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Dans le même registre, les différentes formes de pollution et nuisances sont encadrées par des textes réglementaires et normatifs dont les plus pertinents sont présentés dans le tableau ci-après. </w:t>
      </w:r>
    </w:p>
    <w:p w14:paraId="45BCF709" w14:textId="77777777" w:rsidR="005F3FB7" w:rsidRPr="00260790" w:rsidRDefault="005F3FB7" w:rsidP="00E20250">
      <w:pPr>
        <w:tabs>
          <w:tab w:val="num" w:pos="0"/>
        </w:tabs>
        <w:spacing w:after="0" w:line="240" w:lineRule="auto"/>
        <w:ind w:right="20"/>
        <w:jc w:val="both"/>
        <w:rPr>
          <w:rFonts w:ascii="Times New Roman" w:eastAsia="Times New Roman" w:hAnsi="Times New Roman"/>
          <w:color w:val="000000" w:themeColor="text1"/>
          <w:lang w:eastAsia="fr-FR"/>
        </w:rPr>
      </w:pPr>
    </w:p>
    <w:p w14:paraId="7D5DE9C2" w14:textId="0093BFFB" w:rsidR="005F3FB7" w:rsidRPr="00260790" w:rsidRDefault="005F3FB7" w:rsidP="00E20250">
      <w:pPr>
        <w:tabs>
          <w:tab w:val="num" w:pos="0"/>
        </w:tabs>
        <w:spacing w:after="0" w:line="240" w:lineRule="auto"/>
        <w:ind w:right="2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Les </w:t>
      </w:r>
      <w:r w:rsidRPr="00260790">
        <w:rPr>
          <w:rFonts w:ascii="Times New Roman" w:eastAsia="Times New Roman" w:hAnsi="Times New Roman"/>
          <w:color w:val="000000" w:themeColor="text1"/>
          <w:u w:val="single"/>
          <w:lang w:eastAsia="fr-FR"/>
        </w:rPr>
        <w:t>Normes</w:t>
      </w:r>
      <w:r w:rsidRPr="00260790">
        <w:rPr>
          <w:rFonts w:ascii="Times New Roman" w:eastAsia="Times New Roman" w:hAnsi="Times New Roman"/>
          <w:color w:val="000000" w:themeColor="text1"/>
          <w:lang w:eastAsia="fr-FR"/>
        </w:rPr>
        <w:t xml:space="preserve"> susceptibles d’interpeller le projet sont notamment celles relatives aux rejets dans l’eau, principalement la </w:t>
      </w:r>
      <w:r w:rsidRPr="00260790">
        <w:rPr>
          <w:rFonts w:ascii="Times New Roman" w:eastAsia="Times New Roman" w:hAnsi="Times New Roman"/>
          <w:color w:val="000000" w:themeColor="text1"/>
          <w:u w:val="single"/>
          <w:lang w:eastAsia="fr-FR"/>
        </w:rPr>
        <w:t>Norme NS 05 061</w:t>
      </w:r>
      <w:r w:rsidRPr="00260790">
        <w:rPr>
          <w:rFonts w:ascii="Times New Roman" w:eastAsia="Times New Roman" w:hAnsi="Times New Roman"/>
          <w:color w:val="000000" w:themeColor="text1"/>
          <w:lang w:eastAsia="fr-FR"/>
        </w:rPr>
        <w:t xml:space="preserve"> (Eaux usées : normes de rejet datant de juillet 2001) qui spécifie des valeurs limites de rejet des eaux résiduelles et de lixiviation au point de rejet final dans les égouts ou dans le milieu et la norme NS 05-062 relative aux rejets atmosphériques. Il n'existe pas à proprement parler de normes spécifiques réglementant les émissions sonores, mais le Code de l'Environnement </w:t>
      </w:r>
      <w:r w:rsidR="006941BC" w:rsidRPr="00260790">
        <w:rPr>
          <w:rFonts w:ascii="Times New Roman" w:eastAsia="Times New Roman" w:hAnsi="Times New Roman"/>
          <w:color w:val="000000" w:themeColor="text1"/>
          <w:lang w:eastAsia="fr-FR"/>
        </w:rPr>
        <w:t xml:space="preserve">précise </w:t>
      </w:r>
      <w:r w:rsidRPr="00260790">
        <w:rPr>
          <w:rFonts w:ascii="Times New Roman" w:eastAsia="Times New Roman" w:hAnsi="Times New Roman"/>
          <w:color w:val="000000" w:themeColor="text1"/>
          <w:lang w:eastAsia="fr-FR"/>
        </w:rPr>
        <w:t xml:space="preserve">les seuils maxima de bruit à ne pas dépasser sans exposer l’organisme humain à des conséquences dangereuses. </w:t>
      </w:r>
    </w:p>
    <w:p w14:paraId="16DDC159" w14:textId="77777777" w:rsidR="005F3FB7" w:rsidRPr="00260790" w:rsidRDefault="005F3FB7" w:rsidP="00E20250">
      <w:pPr>
        <w:tabs>
          <w:tab w:val="num" w:pos="0"/>
        </w:tabs>
        <w:spacing w:after="0" w:line="240" w:lineRule="auto"/>
        <w:rPr>
          <w:rFonts w:ascii="Times New Roman" w:eastAsia="Times New Roman" w:hAnsi="Times New Roman"/>
          <w:b/>
          <w:color w:val="000000" w:themeColor="text1"/>
          <w:spacing w:val="5"/>
          <w:lang w:eastAsia="fr-FR"/>
        </w:rPr>
      </w:pPr>
    </w:p>
    <w:p w14:paraId="740ACC6D" w14:textId="356916F2" w:rsidR="005F3FB7" w:rsidRPr="00260790" w:rsidRDefault="005F3FB7" w:rsidP="0097258B">
      <w:pPr>
        <w:tabs>
          <w:tab w:val="num" w:pos="0"/>
        </w:tabs>
        <w:spacing w:after="0" w:line="240" w:lineRule="auto"/>
        <w:jc w:val="both"/>
        <w:rPr>
          <w:rFonts w:ascii="Times New Roman" w:eastAsia="Times New Roman" w:hAnsi="Times New Roman"/>
          <w:i/>
          <w:color w:val="000000" w:themeColor="text1"/>
          <w:spacing w:val="5"/>
          <w:lang w:eastAsia="fr-FR"/>
        </w:rPr>
      </w:pPr>
      <w:r w:rsidRPr="00260790">
        <w:rPr>
          <w:rFonts w:ascii="Times New Roman" w:eastAsia="Times New Roman" w:hAnsi="Times New Roman"/>
          <w:color w:val="000000" w:themeColor="text1"/>
        </w:rPr>
        <w:t>L’arrêté interministériel d’autorisation n° 7358 en date du 5 novembre 2003 fixant les conditions d’application de la norme NS 05 - 062 sur la pollution atmosphérique fixe, lorsque l’installation est susceptible d’en émettre, une valeur limite de rejet.</w:t>
      </w:r>
      <w:r w:rsidRPr="00260790">
        <w:rPr>
          <w:rFonts w:ascii="Times New Roman" w:eastAsia="Times New Roman" w:hAnsi="Times New Roman"/>
          <w:i/>
          <w:color w:val="000000" w:themeColor="text1"/>
          <w:spacing w:val="5"/>
          <w:lang w:eastAsia="fr-FR"/>
        </w:rPr>
        <w:br w:type="page"/>
      </w:r>
    </w:p>
    <w:p w14:paraId="5D515FE4" w14:textId="6DBCE889" w:rsidR="005F3FB7" w:rsidRPr="00260790" w:rsidRDefault="005F3FB7" w:rsidP="00E20250">
      <w:pPr>
        <w:pStyle w:val="Lgende"/>
        <w:keepNext/>
        <w:spacing w:line="240" w:lineRule="auto"/>
        <w:rPr>
          <w:color w:val="000000" w:themeColor="text1"/>
          <w:sz w:val="22"/>
          <w:szCs w:val="22"/>
        </w:rPr>
      </w:pPr>
      <w:bookmarkStart w:id="239" w:name="_Toc207781845"/>
      <w:r w:rsidRPr="00260790">
        <w:rPr>
          <w:color w:val="000000" w:themeColor="text1"/>
          <w:sz w:val="22"/>
          <w:szCs w:val="22"/>
        </w:rPr>
        <w:lastRenderedPageBreak/>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4</w:t>
      </w:r>
      <w:r w:rsidRPr="00260790">
        <w:rPr>
          <w:color w:val="000000" w:themeColor="text1"/>
          <w:sz w:val="22"/>
          <w:szCs w:val="22"/>
        </w:rPr>
        <w:fldChar w:fldCharType="end"/>
      </w:r>
      <w:r w:rsidRPr="00260790">
        <w:rPr>
          <w:color w:val="000000" w:themeColor="text1"/>
          <w:sz w:val="22"/>
          <w:szCs w:val="22"/>
        </w:rPr>
        <w:t xml:space="preserve"> : Normes de rejet pollution atmosphérique</w:t>
      </w:r>
      <w:bookmarkEnd w:id="239"/>
    </w:p>
    <w:tbl>
      <w:tblPr>
        <w:tblW w:w="5388" w:type="pct"/>
        <w:tblCellMar>
          <w:left w:w="0" w:type="dxa"/>
          <w:right w:w="0" w:type="dxa"/>
        </w:tblCellMar>
        <w:tblLook w:val="04A0" w:firstRow="1" w:lastRow="0" w:firstColumn="1" w:lastColumn="0" w:noHBand="0" w:noVBand="1"/>
      </w:tblPr>
      <w:tblGrid>
        <w:gridCol w:w="5098"/>
        <w:gridCol w:w="1351"/>
        <w:gridCol w:w="3314"/>
      </w:tblGrid>
      <w:tr w:rsidR="00BD1A2F" w:rsidRPr="00260790" w14:paraId="3C92A0DF" w14:textId="77777777" w:rsidTr="005F3FB7">
        <w:trPr>
          <w:trHeight w:val="276"/>
        </w:trPr>
        <w:tc>
          <w:tcPr>
            <w:tcW w:w="2611" w:type="pct"/>
            <w:tcBorders>
              <w:top w:val="single" w:sz="4" w:space="0" w:color="000000"/>
              <w:left w:val="single" w:sz="4" w:space="0" w:color="000000"/>
              <w:bottom w:val="single" w:sz="4" w:space="0" w:color="000000"/>
              <w:right w:val="single" w:sz="4" w:space="0" w:color="000000"/>
            </w:tcBorders>
          </w:tcPr>
          <w:p w14:paraId="15D8960E"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Verdana" w:hAnsi="Times New Roman"/>
                <w:b/>
                <w:color w:val="000000" w:themeColor="text1"/>
              </w:rPr>
              <w:t xml:space="preserve">Substances </w:t>
            </w:r>
          </w:p>
        </w:tc>
        <w:tc>
          <w:tcPr>
            <w:tcW w:w="692" w:type="pct"/>
            <w:tcBorders>
              <w:top w:val="single" w:sz="4" w:space="0" w:color="000000"/>
              <w:left w:val="single" w:sz="4" w:space="0" w:color="000000"/>
              <w:bottom w:val="single" w:sz="4" w:space="0" w:color="000000"/>
              <w:right w:val="single" w:sz="4" w:space="0" w:color="000000"/>
            </w:tcBorders>
          </w:tcPr>
          <w:p w14:paraId="310163F7"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Verdana" w:hAnsi="Times New Roman"/>
                <w:b/>
                <w:color w:val="000000" w:themeColor="text1"/>
              </w:rPr>
              <w:t xml:space="preserve">Débit   </w:t>
            </w:r>
          </w:p>
        </w:tc>
        <w:tc>
          <w:tcPr>
            <w:tcW w:w="1697" w:type="pct"/>
            <w:tcBorders>
              <w:top w:val="single" w:sz="4" w:space="0" w:color="000000"/>
              <w:left w:val="single" w:sz="4" w:space="0" w:color="000000"/>
              <w:bottom w:val="single" w:sz="4" w:space="0" w:color="000000"/>
              <w:right w:val="single" w:sz="4" w:space="0" w:color="000000"/>
            </w:tcBorders>
          </w:tcPr>
          <w:p w14:paraId="1D64BC25"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Verdana" w:hAnsi="Times New Roman"/>
                <w:b/>
                <w:color w:val="000000" w:themeColor="text1"/>
              </w:rPr>
              <w:t xml:space="preserve">Valeurs limites de rejet </w:t>
            </w:r>
          </w:p>
        </w:tc>
      </w:tr>
      <w:tr w:rsidR="00BD1A2F" w:rsidRPr="00260790" w14:paraId="584072B7" w14:textId="77777777" w:rsidTr="005F3FB7">
        <w:trPr>
          <w:trHeight w:val="405"/>
        </w:trPr>
        <w:tc>
          <w:tcPr>
            <w:tcW w:w="2611" w:type="pct"/>
            <w:tcBorders>
              <w:top w:val="single" w:sz="4" w:space="0" w:color="000000"/>
              <w:left w:val="single" w:sz="4" w:space="0" w:color="000000"/>
              <w:bottom w:val="single" w:sz="4" w:space="0" w:color="000000"/>
              <w:right w:val="single" w:sz="4" w:space="0" w:color="000000"/>
            </w:tcBorders>
          </w:tcPr>
          <w:p w14:paraId="60326526"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Poussières totales </w:t>
            </w:r>
          </w:p>
          <w:p w14:paraId="085F505B"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Verdana" w:hAnsi="Times New Roman"/>
                <w:b/>
                <w:color w:val="000000" w:themeColor="text1"/>
              </w:rPr>
              <w:t xml:space="preserve"> </w:t>
            </w:r>
          </w:p>
          <w:p w14:paraId="4B9A559A"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 </w:t>
            </w:r>
          </w:p>
        </w:tc>
        <w:tc>
          <w:tcPr>
            <w:tcW w:w="692" w:type="pct"/>
            <w:tcBorders>
              <w:top w:val="single" w:sz="4" w:space="0" w:color="000000"/>
              <w:left w:val="single" w:sz="4" w:space="0" w:color="000000"/>
              <w:bottom w:val="single" w:sz="4" w:space="0" w:color="000000"/>
              <w:right w:val="single" w:sz="4" w:space="0" w:color="000000"/>
            </w:tcBorders>
          </w:tcPr>
          <w:p w14:paraId="7AD2C4AA"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D &lt;= 1 kg/h </w:t>
            </w:r>
          </w:p>
          <w:p w14:paraId="02CFB828"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 </w:t>
            </w:r>
          </w:p>
          <w:p w14:paraId="75D87686"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D&gt; 1 kg/h </w:t>
            </w:r>
          </w:p>
        </w:tc>
        <w:tc>
          <w:tcPr>
            <w:tcW w:w="1697" w:type="pct"/>
            <w:tcBorders>
              <w:top w:val="single" w:sz="4" w:space="0" w:color="000000"/>
              <w:left w:val="single" w:sz="4" w:space="0" w:color="000000"/>
              <w:bottom w:val="single" w:sz="4" w:space="0" w:color="000000"/>
              <w:right w:val="single" w:sz="4" w:space="0" w:color="000000"/>
            </w:tcBorders>
          </w:tcPr>
          <w:p w14:paraId="0C47E207"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100 mg/m3 </w:t>
            </w:r>
          </w:p>
          <w:p w14:paraId="3CB6EDF3"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 </w:t>
            </w:r>
          </w:p>
          <w:p w14:paraId="50D36116"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50 mg/m3 </w:t>
            </w:r>
          </w:p>
        </w:tc>
      </w:tr>
      <w:tr w:rsidR="00BD1A2F" w:rsidRPr="00260790" w14:paraId="0966FCC0" w14:textId="77777777" w:rsidTr="005F3FB7">
        <w:trPr>
          <w:trHeight w:val="797"/>
        </w:trPr>
        <w:tc>
          <w:tcPr>
            <w:tcW w:w="5000" w:type="pct"/>
            <w:gridSpan w:val="3"/>
            <w:tcBorders>
              <w:top w:val="single" w:sz="4" w:space="0" w:color="000000"/>
              <w:left w:val="single" w:sz="4" w:space="0" w:color="000000"/>
              <w:bottom w:val="single" w:sz="4" w:space="0" w:color="000000"/>
              <w:right w:val="single" w:sz="4" w:space="0" w:color="000000"/>
            </w:tcBorders>
            <w:vAlign w:val="bottom"/>
          </w:tcPr>
          <w:p w14:paraId="3B7DBBA2"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Monoxyde de Carbone </w:t>
            </w:r>
          </w:p>
          <w:p w14:paraId="619417EE"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L’arrêté d’autorisation fixe le cas échéant une valeur limite de rejet pour le monoxyde de carbone </w:t>
            </w:r>
          </w:p>
        </w:tc>
      </w:tr>
      <w:tr w:rsidR="00BD1A2F" w:rsidRPr="00260790" w14:paraId="15E7F186" w14:textId="77777777" w:rsidTr="005F3FB7">
        <w:trPr>
          <w:trHeight w:val="646"/>
        </w:trPr>
        <w:tc>
          <w:tcPr>
            <w:tcW w:w="2611" w:type="pct"/>
            <w:tcBorders>
              <w:top w:val="single" w:sz="4" w:space="0" w:color="000000"/>
              <w:left w:val="single" w:sz="4" w:space="0" w:color="000000"/>
              <w:bottom w:val="single" w:sz="4" w:space="0" w:color="000000"/>
              <w:right w:val="single" w:sz="4" w:space="0" w:color="000000"/>
            </w:tcBorders>
          </w:tcPr>
          <w:p w14:paraId="4EFB0BD2" w14:textId="77777777" w:rsidR="005F3FB7" w:rsidRPr="00260790" w:rsidRDefault="005F3FB7" w:rsidP="00E20250">
            <w:pPr>
              <w:spacing w:after="0" w:line="240" w:lineRule="auto"/>
              <w:ind w:left="72"/>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Amiante </w:t>
            </w:r>
          </w:p>
        </w:tc>
        <w:tc>
          <w:tcPr>
            <w:tcW w:w="692" w:type="pct"/>
            <w:tcBorders>
              <w:top w:val="single" w:sz="4" w:space="0" w:color="000000"/>
              <w:left w:val="single" w:sz="4" w:space="0" w:color="000000"/>
              <w:bottom w:val="single" w:sz="4" w:space="0" w:color="000000"/>
              <w:right w:val="single" w:sz="4" w:space="0" w:color="000000"/>
            </w:tcBorders>
          </w:tcPr>
          <w:p w14:paraId="1001485D"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D &gt; 100 kg/an </w:t>
            </w:r>
          </w:p>
        </w:tc>
        <w:tc>
          <w:tcPr>
            <w:tcW w:w="1697" w:type="pct"/>
            <w:tcBorders>
              <w:top w:val="single" w:sz="4" w:space="0" w:color="000000"/>
              <w:left w:val="single" w:sz="4" w:space="0" w:color="000000"/>
              <w:bottom w:val="single" w:sz="4" w:space="0" w:color="000000"/>
              <w:right w:val="single" w:sz="4" w:space="0" w:color="000000"/>
            </w:tcBorders>
          </w:tcPr>
          <w:p w14:paraId="1C41DFCB"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0,1 mg/m</w:t>
            </w:r>
            <w:r w:rsidRPr="00260790">
              <w:rPr>
                <w:rFonts w:ascii="Times New Roman" w:eastAsia="Times New Roman" w:hAnsi="Times New Roman"/>
                <w:color w:val="000000" w:themeColor="text1"/>
                <w:vertAlign w:val="superscript"/>
              </w:rPr>
              <w:t>3</w:t>
            </w:r>
            <w:r w:rsidRPr="00260790">
              <w:rPr>
                <w:rFonts w:ascii="Times New Roman" w:eastAsia="Times New Roman" w:hAnsi="Times New Roman"/>
                <w:color w:val="000000" w:themeColor="text1"/>
              </w:rPr>
              <w:t xml:space="preserve"> pour l’amiante </w:t>
            </w:r>
          </w:p>
          <w:p w14:paraId="26333794" w14:textId="77777777" w:rsidR="005F3FB7" w:rsidRPr="00260790" w:rsidRDefault="005F3FB7" w:rsidP="00E20250">
            <w:pPr>
              <w:spacing w:after="0" w:line="240" w:lineRule="auto"/>
              <w:ind w:left="24" w:hanging="10"/>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0,5 </w:t>
            </w:r>
            <w:r w:rsidRPr="00260790">
              <w:rPr>
                <w:rFonts w:ascii="Times New Roman" w:eastAsia="Times New Roman" w:hAnsi="Times New Roman"/>
                <w:color w:val="000000" w:themeColor="text1"/>
              </w:rPr>
              <w:tab/>
              <w:t xml:space="preserve">mg/m3 </w:t>
            </w:r>
            <w:r w:rsidRPr="00260790">
              <w:rPr>
                <w:rFonts w:ascii="Times New Roman" w:eastAsia="Times New Roman" w:hAnsi="Times New Roman"/>
                <w:color w:val="000000" w:themeColor="text1"/>
              </w:rPr>
              <w:tab/>
              <w:t xml:space="preserve">pour </w:t>
            </w:r>
            <w:r w:rsidRPr="00260790">
              <w:rPr>
                <w:rFonts w:ascii="Times New Roman" w:eastAsia="Times New Roman" w:hAnsi="Times New Roman"/>
                <w:color w:val="000000" w:themeColor="text1"/>
              </w:rPr>
              <w:tab/>
              <w:t xml:space="preserve">les poussières totales </w:t>
            </w:r>
          </w:p>
        </w:tc>
      </w:tr>
      <w:tr w:rsidR="00BD1A2F" w:rsidRPr="00260790" w14:paraId="1D6DDBFC" w14:textId="77777777" w:rsidTr="005F3FB7">
        <w:trPr>
          <w:trHeight w:val="254"/>
        </w:trPr>
        <w:tc>
          <w:tcPr>
            <w:tcW w:w="2611" w:type="pct"/>
            <w:tcBorders>
              <w:top w:val="single" w:sz="4" w:space="0" w:color="000000"/>
              <w:left w:val="single" w:sz="4" w:space="0" w:color="000000"/>
              <w:bottom w:val="single" w:sz="4" w:space="0" w:color="000000"/>
              <w:right w:val="single" w:sz="4" w:space="0" w:color="000000"/>
            </w:tcBorders>
          </w:tcPr>
          <w:p w14:paraId="7E296377" w14:textId="77777777" w:rsidR="005F3FB7" w:rsidRPr="00260790" w:rsidRDefault="005F3FB7" w:rsidP="00E20250">
            <w:pPr>
              <w:spacing w:after="0" w:line="240" w:lineRule="auto"/>
              <w:ind w:left="72"/>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Oxydes de soufre (exprimés en dioxyde de soufre) </w:t>
            </w:r>
          </w:p>
        </w:tc>
        <w:tc>
          <w:tcPr>
            <w:tcW w:w="692" w:type="pct"/>
            <w:tcBorders>
              <w:top w:val="single" w:sz="4" w:space="0" w:color="000000"/>
              <w:left w:val="single" w:sz="4" w:space="0" w:color="000000"/>
              <w:bottom w:val="single" w:sz="4" w:space="0" w:color="000000"/>
              <w:right w:val="single" w:sz="4" w:space="0" w:color="000000"/>
            </w:tcBorders>
          </w:tcPr>
          <w:p w14:paraId="14D9B881"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D &gt; 25 kg/h </w:t>
            </w:r>
          </w:p>
        </w:tc>
        <w:tc>
          <w:tcPr>
            <w:tcW w:w="1697" w:type="pct"/>
            <w:tcBorders>
              <w:top w:val="single" w:sz="4" w:space="0" w:color="000000"/>
              <w:left w:val="single" w:sz="4" w:space="0" w:color="000000"/>
              <w:bottom w:val="single" w:sz="4" w:space="0" w:color="000000"/>
              <w:right w:val="single" w:sz="4" w:space="0" w:color="000000"/>
            </w:tcBorders>
          </w:tcPr>
          <w:p w14:paraId="7F87F278"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 500 mg/m</w:t>
            </w:r>
            <w:r w:rsidRPr="00260790">
              <w:rPr>
                <w:rFonts w:ascii="Times New Roman" w:eastAsia="Times New Roman" w:hAnsi="Times New Roman"/>
                <w:color w:val="000000" w:themeColor="text1"/>
                <w:vertAlign w:val="superscript"/>
              </w:rPr>
              <w:t>3</w:t>
            </w:r>
            <w:r w:rsidRPr="00260790">
              <w:rPr>
                <w:rFonts w:ascii="Times New Roman" w:eastAsia="Times New Roman" w:hAnsi="Times New Roman"/>
                <w:color w:val="000000" w:themeColor="text1"/>
              </w:rPr>
              <w:t xml:space="preserve"> </w:t>
            </w:r>
          </w:p>
        </w:tc>
      </w:tr>
      <w:tr w:rsidR="00BD1A2F" w:rsidRPr="00260790" w14:paraId="412F461F" w14:textId="77777777" w:rsidTr="005F3FB7">
        <w:trPr>
          <w:trHeight w:val="475"/>
        </w:trPr>
        <w:tc>
          <w:tcPr>
            <w:tcW w:w="2611" w:type="pct"/>
            <w:tcBorders>
              <w:top w:val="single" w:sz="4" w:space="0" w:color="000000"/>
              <w:left w:val="single" w:sz="4" w:space="0" w:color="000000"/>
              <w:bottom w:val="single" w:sz="4" w:space="0" w:color="000000"/>
              <w:right w:val="single" w:sz="4" w:space="0" w:color="000000"/>
            </w:tcBorders>
          </w:tcPr>
          <w:p w14:paraId="1A9D05BA" w14:textId="77777777" w:rsidR="005F3FB7" w:rsidRPr="00260790" w:rsidRDefault="005F3FB7" w:rsidP="00E20250">
            <w:pPr>
              <w:spacing w:after="0" w:line="240" w:lineRule="auto"/>
              <w:ind w:left="72"/>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Oxydes d’Azote hormis le protoxyde d’azote, exprimés en dioxyde d’azote </w:t>
            </w:r>
          </w:p>
        </w:tc>
        <w:tc>
          <w:tcPr>
            <w:tcW w:w="692" w:type="pct"/>
            <w:tcBorders>
              <w:top w:val="single" w:sz="4" w:space="0" w:color="000000"/>
              <w:left w:val="single" w:sz="4" w:space="0" w:color="000000"/>
              <w:bottom w:val="single" w:sz="4" w:space="0" w:color="000000"/>
              <w:right w:val="single" w:sz="4" w:space="0" w:color="000000"/>
            </w:tcBorders>
          </w:tcPr>
          <w:p w14:paraId="14F1665F"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D &gt; 25 kg/h </w:t>
            </w:r>
          </w:p>
          <w:p w14:paraId="0BF10E07"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 </w:t>
            </w:r>
          </w:p>
        </w:tc>
        <w:tc>
          <w:tcPr>
            <w:tcW w:w="1697" w:type="pct"/>
            <w:tcBorders>
              <w:top w:val="single" w:sz="4" w:space="0" w:color="000000"/>
              <w:left w:val="single" w:sz="4" w:space="0" w:color="000000"/>
              <w:bottom w:val="single" w:sz="4" w:space="0" w:color="000000"/>
              <w:right w:val="single" w:sz="4" w:space="0" w:color="000000"/>
            </w:tcBorders>
          </w:tcPr>
          <w:p w14:paraId="39B3C8E8"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500 mg/m</w:t>
            </w:r>
            <w:r w:rsidRPr="00260790">
              <w:rPr>
                <w:rFonts w:ascii="Times New Roman" w:eastAsia="Times New Roman" w:hAnsi="Times New Roman"/>
                <w:color w:val="000000" w:themeColor="text1"/>
                <w:vertAlign w:val="superscript"/>
              </w:rPr>
              <w:t>3</w:t>
            </w:r>
            <w:r w:rsidRPr="00260790">
              <w:rPr>
                <w:rFonts w:ascii="Times New Roman" w:eastAsia="Times New Roman" w:hAnsi="Times New Roman"/>
                <w:color w:val="000000" w:themeColor="text1"/>
              </w:rPr>
              <w:t xml:space="preserve"> </w:t>
            </w:r>
          </w:p>
        </w:tc>
      </w:tr>
      <w:tr w:rsidR="00BD1A2F" w:rsidRPr="00260790" w14:paraId="18830702" w14:textId="77777777" w:rsidTr="005F3FB7">
        <w:trPr>
          <w:trHeight w:val="552"/>
        </w:trPr>
        <w:tc>
          <w:tcPr>
            <w:tcW w:w="2611" w:type="pct"/>
            <w:tcBorders>
              <w:top w:val="single" w:sz="4" w:space="0" w:color="000000"/>
              <w:left w:val="single" w:sz="4" w:space="0" w:color="000000"/>
              <w:bottom w:val="single" w:sz="4" w:space="0" w:color="000000"/>
              <w:right w:val="single" w:sz="4" w:space="0" w:color="000000"/>
            </w:tcBorders>
          </w:tcPr>
          <w:p w14:paraId="4DA1E4EF" w14:textId="77777777" w:rsidR="005F3FB7" w:rsidRPr="00260790" w:rsidRDefault="005F3FB7" w:rsidP="00E20250">
            <w:pPr>
              <w:spacing w:after="0" w:line="240" w:lineRule="auto"/>
              <w:ind w:left="72"/>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Chlorure d’Hydrogène et autres composés inorganiques gazeux du chlore (exprimés en </w:t>
            </w:r>
            <w:proofErr w:type="spellStart"/>
            <w:r w:rsidRPr="00260790">
              <w:rPr>
                <w:rFonts w:ascii="Times New Roman" w:eastAsia="Times New Roman" w:hAnsi="Times New Roman"/>
                <w:color w:val="000000" w:themeColor="text1"/>
              </w:rPr>
              <w:t>HCl</w:t>
            </w:r>
            <w:proofErr w:type="spellEnd"/>
            <w:r w:rsidRPr="00260790">
              <w:rPr>
                <w:rFonts w:ascii="Times New Roman" w:eastAsia="Times New Roman" w:hAnsi="Times New Roman"/>
                <w:color w:val="000000" w:themeColor="text1"/>
              </w:rPr>
              <w:t>)</w:t>
            </w:r>
          </w:p>
        </w:tc>
        <w:tc>
          <w:tcPr>
            <w:tcW w:w="692" w:type="pct"/>
            <w:tcBorders>
              <w:top w:val="single" w:sz="4" w:space="0" w:color="000000"/>
              <w:left w:val="single" w:sz="4" w:space="0" w:color="000000"/>
              <w:bottom w:val="single" w:sz="4" w:space="0" w:color="000000"/>
              <w:right w:val="single" w:sz="4" w:space="0" w:color="000000"/>
            </w:tcBorders>
            <w:vAlign w:val="bottom"/>
          </w:tcPr>
          <w:p w14:paraId="56D87E36"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D &gt; 1 kg/h </w:t>
            </w:r>
          </w:p>
        </w:tc>
        <w:tc>
          <w:tcPr>
            <w:tcW w:w="1697" w:type="pct"/>
            <w:tcBorders>
              <w:top w:val="single" w:sz="4" w:space="0" w:color="000000"/>
              <w:left w:val="single" w:sz="4" w:space="0" w:color="000000"/>
              <w:bottom w:val="single" w:sz="4" w:space="0" w:color="000000"/>
              <w:right w:val="single" w:sz="4" w:space="0" w:color="000000"/>
            </w:tcBorders>
          </w:tcPr>
          <w:p w14:paraId="4A6ED235"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50 mg/m</w:t>
            </w:r>
            <w:r w:rsidRPr="00260790">
              <w:rPr>
                <w:rFonts w:ascii="Times New Roman" w:eastAsia="Times New Roman" w:hAnsi="Times New Roman"/>
                <w:color w:val="000000" w:themeColor="text1"/>
                <w:vertAlign w:val="superscript"/>
              </w:rPr>
              <w:t>3</w:t>
            </w:r>
            <w:r w:rsidRPr="00260790">
              <w:rPr>
                <w:rFonts w:ascii="Times New Roman" w:eastAsia="Times New Roman" w:hAnsi="Times New Roman"/>
                <w:color w:val="000000" w:themeColor="text1"/>
              </w:rPr>
              <w:t xml:space="preserve"> </w:t>
            </w:r>
          </w:p>
        </w:tc>
      </w:tr>
      <w:tr w:rsidR="00BD1A2F" w:rsidRPr="00260790" w14:paraId="71B9E5CA" w14:textId="77777777" w:rsidTr="005F3FB7">
        <w:trPr>
          <w:trHeight w:val="378"/>
        </w:trPr>
        <w:tc>
          <w:tcPr>
            <w:tcW w:w="2611" w:type="pct"/>
            <w:tcBorders>
              <w:top w:val="single" w:sz="4" w:space="0" w:color="000000"/>
              <w:left w:val="single" w:sz="4" w:space="0" w:color="000000"/>
              <w:bottom w:val="single" w:sz="4" w:space="0" w:color="000000"/>
              <w:right w:val="single" w:sz="4" w:space="0" w:color="000000"/>
            </w:tcBorders>
          </w:tcPr>
          <w:p w14:paraId="75B0A3B3" w14:textId="77777777" w:rsidR="005F3FB7" w:rsidRPr="00260790" w:rsidRDefault="005F3FB7" w:rsidP="00E20250">
            <w:pPr>
              <w:spacing w:after="0" w:line="240" w:lineRule="auto"/>
              <w:ind w:left="72"/>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Ammoniac et composés de l’ammonium exprimés en ammoniac </w:t>
            </w:r>
          </w:p>
        </w:tc>
        <w:tc>
          <w:tcPr>
            <w:tcW w:w="692" w:type="pct"/>
            <w:tcBorders>
              <w:top w:val="single" w:sz="4" w:space="0" w:color="000000"/>
              <w:left w:val="single" w:sz="4" w:space="0" w:color="000000"/>
              <w:bottom w:val="single" w:sz="4" w:space="0" w:color="000000"/>
              <w:right w:val="single" w:sz="4" w:space="0" w:color="000000"/>
            </w:tcBorders>
          </w:tcPr>
          <w:p w14:paraId="14851147"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D &gt; 100 g/h </w:t>
            </w:r>
          </w:p>
        </w:tc>
        <w:tc>
          <w:tcPr>
            <w:tcW w:w="1697" w:type="pct"/>
            <w:tcBorders>
              <w:top w:val="single" w:sz="4" w:space="0" w:color="000000"/>
              <w:left w:val="single" w:sz="4" w:space="0" w:color="000000"/>
              <w:bottom w:val="single" w:sz="4" w:space="0" w:color="000000"/>
              <w:right w:val="single" w:sz="4" w:space="0" w:color="000000"/>
            </w:tcBorders>
          </w:tcPr>
          <w:p w14:paraId="4FF47F06"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20 mg/m</w:t>
            </w:r>
            <w:r w:rsidRPr="00260790">
              <w:rPr>
                <w:rFonts w:ascii="Times New Roman" w:eastAsia="Times New Roman" w:hAnsi="Times New Roman"/>
                <w:color w:val="000000" w:themeColor="text1"/>
                <w:vertAlign w:val="superscript"/>
              </w:rPr>
              <w:t>3</w:t>
            </w:r>
            <w:r w:rsidRPr="00260790">
              <w:rPr>
                <w:rFonts w:ascii="Times New Roman" w:eastAsia="Times New Roman" w:hAnsi="Times New Roman"/>
                <w:color w:val="000000" w:themeColor="text1"/>
              </w:rPr>
              <w:t xml:space="preserve"> </w:t>
            </w:r>
          </w:p>
        </w:tc>
      </w:tr>
      <w:tr w:rsidR="00BD1A2F" w:rsidRPr="00260790" w14:paraId="02133354" w14:textId="77777777" w:rsidTr="005F3FB7">
        <w:trPr>
          <w:trHeight w:val="1462"/>
        </w:trPr>
        <w:tc>
          <w:tcPr>
            <w:tcW w:w="2611" w:type="pct"/>
            <w:tcBorders>
              <w:top w:val="single" w:sz="4" w:space="0" w:color="000000"/>
              <w:left w:val="single" w:sz="4" w:space="0" w:color="000000"/>
              <w:bottom w:val="single" w:sz="4" w:space="0" w:color="000000"/>
              <w:right w:val="single" w:sz="4" w:space="0" w:color="000000"/>
            </w:tcBorders>
          </w:tcPr>
          <w:p w14:paraId="03B163B5" w14:textId="77777777" w:rsidR="005F3FB7" w:rsidRPr="00260790" w:rsidRDefault="005F3FB7" w:rsidP="00E20250">
            <w:pPr>
              <w:spacing w:after="0" w:line="240" w:lineRule="auto"/>
              <w:ind w:left="72" w:right="143"/>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Fluor, fluorures et composés fluorés (gaz, vésicules et particules) </w:t>
            </w:r>
          </w:p>
        </w:tc>
        <w:tc>
          <w:tcPr>
            <w:tcW w:w="692" w:type="pct"/>
            <w:tcBorders>
              <w:top w:val="single" w:sz="4" w:space="0" w:color="000000"/>
              <w:left w:val="single" w:sz="4" w:space="0" w:color="000000"/>
              <w:bottom w:val="single" w:sz="4" w:space="0" w:color="000000"/>
              <w:right w:val="single" w:sz="4" w:space="0" w:color="000000"/>
            </w:tcBorders>
          </w:tcPr>
          <w:p w14:paraId="474ACAD4" w14:textId="77777777" w:rsidR="005F3FB7" w:rsidRPr="00260790" w:rsidRDefault="005F3FB7" w:rsidP="00E20250">
            <w:pPr>
              <w:spacing w:after="0" w:line="240" w:lineRule="auto"/>
              <w:ind w:left="-317"/>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D &gt; 500 g/h </w:t>
            </w:r>
          </w:p>
        </w:tc>
        <w:tc>
          <w:tcPr>
            <w:tcW w:w="1697" w:type="pct"/>
            <w:tcBorders>
              <w:top w:val="single" w:sz="4" w:space="0" w:color="000000"/>
              <w:left w:val="single" w:sz="4" w:space="0" w:color="000000"/>
              <w:bottom w:val="single" w:sz="4" w:space="0" w:color="000000"/>
              <w:right w:val="single" w:sz="4" w:space="0" w:color="000000"/>
            </w:tcBorders>
          </w:tcPr>
          <w:p w14:paraId="1B540A13" w14:textId="77777777" w:rsidR="005F3FB7" w:rsidRPr="00260790" w:rsidRDefault="005F3FB7" w:rsidP="00E20250">
            <w:pPr>
              <w:spacing w:after="0" w:line="240" w:lineRule="auto"/>
              <w:ind w:left="72" w:right="68"/>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10 mg/m</w:t>
            </w:r>
            <w:r w:rsidRPr="00260790">
              <w:rPr>
                <w:rFonts w:ascii="Times New Roman" w:eastAsia="Times New Roman" w:hAnsi="Times New Roman"/>
                <w:color w:val="000000" w:themeColor="text1"/>
                <w:vertAlign w:val="superscript"/>
              </w:rPr>
              <w:t xml:space="preserve">3 </w:t>
            </w:r>
            <w:r w:rsidRPr="00260790">
              <w:rPr>
                <w:rFonts w:ascii="Times New Roman" w:eastAsia="Times New Roman" w:hAnsi="Times New Roman"/>
                <w:color w:val="000000" w:themeColor="text1"/>
              </w:rPr>
              <w:t>pour les gaz 10 mg/m</w:t>
            </w:r>
            <w:r w:rsidRPr="00260790">
              <w:rPr>
                <w:rFonts w:ascii="Times New Roman" w:eastAsia="Times New Roman" w:hAnsi="Times New Roman"/>
                <w:color w:val="000000" w:themeColor="text1"/>
                <w:vertAlign w:val="superscript"/>
              </w:rPr>
              <w:t>3</w:t>
            </w:r>
            <w:r w:rsidRPr="00260790">
              <w:rPr>
                <w:rFonts w:ascii="Times New Roman" w:eastAsia="Times New Roman" w:hAnsi="Times New Roman"/>
                <w:color w:val="000000" w:themeColor="text1"/>
              </w:rPr>
              <w:t xml:space="preserve"> pour les vésicules et particules ces valeurs sont portées à 15 mg/m3 pour les unités de fabrication de l’acide phosphorique, de phosphore et d’engrais  </w:t>
            </w:r>
          </w:p>
        </w:tc>
      </w:tr>
      <w:tr w:rsidR="00BD1A2F" w:rsidRPr="00260790" w14:paraId="5730318A" w14:textId="77777777" w:rsidTr="005F3FB7">
        <w:trPr>
          <w:trHeight w:val="392"/>
        </w:trPr>
        <w:tc>
          <w:tcPr>
            <w:tcW w:w="2611" w:type="pct"/>
            <w:tcBorders>
              <w:top w:val="single" w:sz="4" w:space="0" w:color="000000"/>
              <w:left w:val="single" w:sz="4" w:space="0" w:color="000000"/>
              <w:bottom w:val="single" w:sz="4" w:space="0" w:color="000000"/>
              <w:right w:val="single" w:sz="4" w:space="0" w:color="000000"/>
            </w:tcBorders>
          </w:tcPr>
          <w:p w14:paraId="35A4C860" w14:textId="77777777" w:rsidR="005F3FB7" w:rsidRPr="00260790" w:rsidRDefault="005F3FB7" w:rsidP="00E20250">
            <w:pPr>
              <w:spacing w:after="0" w:line="240" w:lineRule="auto"/>
              <w:ind w:left="72" w:right="66"/>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Rejet total en composés organiques à l’exclusion du méthane et des Hydrocarbures aromatiques polycycliques (HAP) </w:t>
            </w:r>
          </w:p>
        </w:tc>
        <w:tc>
          <w:tcPr>
            <w:tcW w:w="692" w:type="pct"/>
            <w:tcBorders>
              <w:top w:val="single" w:sz="4" w:space="0" w:color="000000"/>
              <w:left w:val="single" w:sz="4" w:space="0" w:color="000000"/>
              <w:bottom w:val="single" w:sz="4" w:space="0" w:color="000000"/>
              <w:right w:val="single" w:sz="4" w:space="0" w:color="000000"/>
            </w:tcBorders>
          </w:tcPr>
          <w:p w14:paraId="0DA7E0D3"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D &gt; 2 kg/h </w:t>
            </w:r>
          </w:p>
        </w:tc>
        <w:tc>
          <w:tcPr>
            <w:tcW w:w="1697" w:type="pct"/>
            <w:tcBorders>
              <w:top w:val="single" w:sz="4" w:space="0" w:color="000000"/>
              <w:left w:val="single" w:sz="4" w:space="0" w:color="000000"/>
              <w:bottom w:val="single" w:sz="4" w:space="0" w:color="000000"/>
              <w:right w:val="single" w:sz="4" w:space="0" w:color="000000"/>
            </w:tcBorders>
          </w:tcPr>
          <w:p w14:paraId="7C68AFE0"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150 mg/m</w:t>
            </w:r>
            <w:r w:rsidRPr="00260790">
              <w:rPr>
                <w:rFonts w:ascii="Times New Roman" w:eastAsia="Times New Roman" w:hAnsi="Times New Roman"/>
                <w:color w:val="000000" w:themeColor="text1"/>
                <w:vertAlign w:val="superscript"/>
              </w:rPr>
              <w:t>3</w:t>
            </w:r>
            <w:r w:rsidRPr="00260790">
              <w:rPr>
                <w:rFonts w:ascii="Times New Roman" w:eastAsia="Times New Roman" w:hAnsi="Times New Roman"/>
                <w:color w:val="000000" w:themeColor="text1"/>
              </w:rPr>
              <w:t xml:space="preserve"> </w:t>
            </w:r>
          </w:p>
        </w:tc>
      </w:tr>
      <w:tr w:rsidR="00BD1A2F" w:rsidRPr="00260790" w14:paraId="6491021A" w14:textId="77777777" w:rsidTr="005F3FB7">
        <w:trPr>
          <w:trHeight w:val="158"/>
        </w:trPr>
        <w:tc>
          <w:tcPr>
            <w:tcW w:w="2611" w:type="pct"/>
            <w:tcBorders>
              <w:top w:val="single" w:sz="4" w:space="0" w:color="000000"/>
              <w:left w:val="single" w:sz="4" w:space="0" w:color="000000"/>
              <w:bottom w:val="single" w:sz="4" w:space="0" w:color="000000"/>
              <w:right w:val="single" w:sz="4" w:space="0" w:color="000000"/>
            </w:tcBorders>
          </w:tcPr>
          <w:p w14:paraId="6EE95D10" w14:textId="77777777" w:rsidR="005F3FB7" w:rsidRPr="00260790" w:rsidRDefault="005F3FB7" w:rsidP="00E20250">
            <w:pPr>
              <w:spacing w:after="0" w:line="240" w:lineRule="auto"/>
              <w:ind w:left="72"/>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Hydrocarbures aromatiques polycycliques (HAP) </w:t>
            </w:r>
          </w:p>
        </w:tc>
        <w:tc>
          <w:tcPr>
            <w:tcW w:w="692" w:type="pct"/>
            <w:tcBorders>
              <w:top w:val="single" w:sz="4" w:space="0" w:color="000000"/>
              <w:left w:val="single" w:sz="4" w:space="0" w:color="000000"/>
              <w:bottom w:val="single" w:sz="4" w:space="0" w:color="000000"/>
              <w:right w:val="single" w:sz="4" w:space="0" w:color="000000"/>
            </w:tcBorders>
          </w:tcPr>
          <w:p w14:paraId="09A4182A"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D &gt; 2 kg/h </w:t>
            </w:r>
          </w:p>
        </w:tc>
        <w:tc>
          <w:tcPr>
            <w:tcW w:w="1697" w:type="pct"/>
            <w:tcBorders>
              <w:top w:val="single" w:sz="4" w:space="0" w:color="000000"/>
              <w:left w:val="single" w:sz="4" w:space="0" w:color="000000"/>
              <w:bottom w:val="single" w:sz="4" w:space="0" w:color="000000"/>
              <w:right w:val="single" w:sz="4" w:space="0" w:color="000000"/>
            </w:tcBorders>
          </w:tcPr>
          <w:p w14:paraId="773FC5B7" w14:textId="77777777" w:rsidR="005F3FB7" w:rsidRPr="00260790" w:rsidRDefault="005F3FB7" w:rsidP="00E20250">
            <w:pPr>
              <w:spacing w:after="0" w:line="240" w:lineRule="auto"/>
              <w:ind w:left="-301"/>
              <w:rPr>
                <w:rFonts w:ascii="Times New Roman" w:eastAsia="Times New Roman" w:hAnsi="Times New Roman"/>
                <w:color w:val="000000" w:themeColor="text1"/>
              </w:rPr>
            </w:pPr>
          </w:p>
        </w:tc>
      </w:tr>
      <w:tr w:rsidR="00BD1A2F" w:rsidRPr="00260790" w14:paraId="13CF16D3" w14:textId="77777777" w:rsidTr="005F3FB7">
        <w:trPr>
          <w:trHeight w:val="497"/>
        </w:trPr>
        <w:tc>
          <w:tcPr>
            <w:tcW w:w="2611" w:type="pct"/>
            <w:tcBorders>
              <w:top w:val="single" w:sz="4" w:space="0" w:color="000000"/>
              <w:left w:val="single" w:sz="4" w:space="0" w:color="000000"/>
              <w:bottom w:val="single" w:sz="4" w:space="0" w:color="000000"/>
              <w:right w:val="single" w:sz="4" w:space="0" w:color="000000"/>
            </w:tcBorders>
          </w:tcPr>
          <w:p w14:paraId="2A0A8CC4" w14:textId="77777777" w:rsidR="005F3FB7" w:rsidRPr="00260790" w:rsidRDefault="005F3FB7" w:rsidP="00E20250">
            <w:pPr>
              <w:spacing w:after="0" w:line="240" w:lineRule="auto"/>
              <w:ind w:left="72"/>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Rejets de Cadmium, Mercure, et Thallium, et de leurs composés (exprimés en Cd + Hg + Ti) </w:t>
            </w:r>
          </w:p>
        </w:tc>
        <w:tc>
          <w:tcPr>
            <w:tcW w:w="692" w:type="pct"/>
            <w:tcBorders>
              <w:top w:val="single" w:sz="4" w:space="0" w:color="000000"/>
              <w:left w:val="single" w:sz="4" w:space="0" w:color="000000"/>
              <w:bottom w:val="single" w:sz="4" w:space="0" w:color="000000"/>
              <w:right w:val="single" w:sz="4" w:space="0" w:color="000000"/>
            </w:tcBorders>
          </w:tcPr>
          <w:p w14:paraId="71C71590"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D &gt; 1g/h </w:t>
            </w:r>
          </w:p>
        </w:tc>
        <w:tc>
          <w:tcPr>
            <w:tcW w:w="1697" w:type="pct"/>
            <w:tcBorders>
              <w:top w:val="single" w:sz="4" w:space="0" w:color="000000"/>
              <w:left w:val="single" w:sz="4" w:space="0" w:color="000000"/>
              <w:bottom w:val="single" w:sz="4" w:space="0" w:color="000000"/>
              <w:right w:val="single" w:sz="4" w:space="0" w:color="000000"/>
            </w:tcBorders>
          </w:tcPr>
          <w:p w14:paraId="7D9337C2"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0,2 mg/m</w:t>
            </w:r>
            <w:r w:rsidRPr="00260790">
              <w:rPr>
                <w:rFonts w:ascii="Times New Roman" w:eastAsia="Times New Roman" w:hAnsi="Times New Roman"/>
                <w:color w:val="000000" w:themeColor="text1"/>
                <w:vertAlign w:val="superscript"/>
              </w:rPr>
              <w:t>3</w:t>
            </w:r>
            <w:r w:rsidRPr="00260790">
              <w:rPr>
                <w:rFonts w:ascii="Times New Roman" w:eastAsia="Times New Roman" w:hAnsi="Times New Roman"/>
                <w:color w:val="000000" w:themeColor="text1"/>
              </w:rPr>
              <w:t xml:space="preserve"> </w:t>
            </w:r>
          </w:p>
        </w:tc>
      </w:tr>
      <w:tr w:rsidR="00BD1A2F" w:rsidRPr="00260790" w14:paraId="23926EFA" w14:textId="77777777" w:rsidTr="005F3FB7">
        <w:trPr>
          <w:trHeight w:val="497"/>
        </w:trPr>
        <w:tc>
          <w:tcPr>
            <w:tcW w:w="2611" w:type="pct"/>
            <w:tcBorders>
              <w:top w:val="single" w:sz="4" w:space="0" w:color="000000"/>
              <w:left w:val="single" w:sz="4" w:space="0" w:color="000000"/>
              <w:bottom w:val="single" w:sz="4" w:space="0" w:color="000000"/>
              <w:right w:val="single" w:sz="4" w:space="0" w:color="000000"/>
            </w:tcBorders>
          </w:tcPr>
          <w:p w14:paraId="0AAB4E2F" w14:textId="77777777" w:rsidR="005F3FB7" w:rsidRPr="00260790" w:rsidRDefault="005F3FB7" w:rsidP="00E20250">
            <w:pPr>
              <w:spacing w:after="0" w:line="240" w:lineRule="auto"/>
              <w:ind w:left="72"/>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Rejets d’arsenic, Sélénium et tellure, et de leurs composés (exprimés en As + Se + Te)  </w:t>
            </w:r>
          </w:p>
        </w:tc>
        <w:tc>
          <w:tcPr>
            <w:tcW w:w="692" w:type="pct"/>
            <w:tcBorders>
              <w:top w:val="single" w:sz="4" w:space="0" w:color="000000"/>
              <w:left w:val="single" w:sz="4" w:space="0" w:color="000000"/>
              <w:bottom w:val="single" w:sz="4" w:space="0" w:color="000000"/>
              <w:right w:val="single" w:sz="4" w:space="0" w:color="000000"/>
            </w:tcBorders>
          </w:tcPr>
          <w:p w14:paraId="68E31705"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D &gt; 5 g/h </w:t>
            </w:r>
          </w:p>
        </w:tc>
        <w:tc>
          <w:tcPr>
            <w:tcW w:w="1697" w:type="pct"/>
            <w:tcBorders>
              <w:top w:val="single" w:sz="4" w:space="0" w:color="000000"/>
              <w:left w:val="single" w:sz="4" w:space="0" w:color="000000"/>
              <w:bottom w:val="single" w:sz="4" w:space="0" w:color="000000"/>
              <w:right w:val="single" w:sz="4" w:space="0" w:color="000000"/>
            </w:tcBorders>
          </w:tcPr>
          <w:p w14:paraId="6AF712A0"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1 mg/m</w:t>
            </w:r>
            <w:r w:rsidRPr="00260790">
              <w:rPr>
                <w:rFonts w:ascii="Times New Roman" w:eastAsia="Times New Roman" w:hAnsi="Times New Roman"/>
                <w:color w:val="000000" w:themeColor="text1"/>
                <w:vertAlign w:val="superscript"/>
              </w:rPr>
              <w:t>3</w:t>
            </w:r>
            <w:r w:rsidRPr="00260790">
              <w:rPr>
                <w:rFonts w:ascii="Times New Roman" w:eastAsia="Times New Roman" w:hAnsi="Times New Roman"/>
                <w:color w:val="000000" w:themeColor="text1"/>
              </w:rPr>
              <w:t xml:space="preserve"> </w:t>
            </w:r>
          </w:p>
        </w:tc>
      </w:tr>
      <w:tr w:rsidR="00BD1A2F" w:rsidRPr="00260790" w14:paraId="5838FF84" w14:textId="77777777" w:rsidTr="005F3FB7">
        <w:trPr>
          <w:trHeight w:val="982"/>
        </w:trPr>
        <w:tc>
          <w:tcPr>
            <w:tcW w:w="2611" w:type="pct"/>
            <w:tcBorders>
              <w:top w:val="single" w:sz="4" w:space="0" w:color="000000"/>
              <w:left w:val="single" w:sz="4" w:space="0" w:color="000000"/>
              <w:bottom w:val="single" w:sz="4" w:space="0" w:color="000000"/>
              <w:right w:val="single" w:sz="4" w:space="0" w:color="000000"/>
            </w:tcBorders>
          </w:tcPr>
          <w:p w14:paraId="43B82132" w14:textId="77777777" w:rsidR="005F3FB7" w:rsidRPr="00260790" w:rsidRDefault="005F3FB7" w:rsidP="00E20250">
            <w:pPr>
              <w:spacing w:after="0" w:line="240" w:lineRule="auto"/>
              <w:ind w:left="72" w:right="70"/>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Rejets d’antimoine, de chrome, cobalt, cuivre, étain manganèse, nickel, plomb, vanadium, zinc, et de leurs composés (exprimés en Sb + Cr + Co + Cu + Sn + Mn + Ni + Pb + V + Zn)  </w:t>
            </w:r>
          </w:p>
        </w:tc>
        <w:tc>
          <w:tcPr>
            <w:tcW w:w="692" w:type="pct"/>
            <w:tcBorders>
              <w:top w:val="single" w:sz="4" w:space="0" w:color="000000"/>
              <w:left w:val="single" w:sz="4" w:space="0" w:color="000000"/>
              <w:bottom w:val="single" w:sz="4" w:space="0" w:color="000000"/>
              <w:right w:val="single" w:sz="4" w:space="0" w:color="000000"/>
            </w:tcBorders>
          </w:tcPr>
          <w:p w14:paraId="09DE53BC"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D &gt; 25 g/h </w:t>
            </w:r>
          </w:p>
        </w:tc>
        <w:tc>
          <w:tcPr>
            <w:tcW w:w="1697" w:type="pct"/>
            <w:tcBorders>
              <w:top w:val="single" w:sz="4" w:space="0" w:color="000000"/>
              <w:left w:val="single" w:sz="4" w:space="0" w:color="000000"/>
              <w:bottom w:val="single" w:sz="4" w:space="0" w:color="000000"/>
              <w:right w:val="single" w:sz="4" w:space="0" w:color="000000"/>
            </w:tcBorders>
          </w:tcPr>
          <w:p w14:paraId="313EFB3C"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5 mg/m</w:t>
            </w:r>
            <w:r w:rsidRPr="00260790">
              <w:rPr>
                <w:rFonts w:ascii="Times New Roman" w:eastAsia="Times New Roman" w:hAnsi="Times New Roman"/>
                <w:color w:val="000000" w:themeColor="text1"/>
                <w:vertAlign w:val="superscript"/>
              </w:rPr>
              <w:t>3</w:t>
            </w:r>
            <w:r w:rsidRPr="00260790">
              <w:rPr>
                <w:rFonts w:ascii="Times New Roman" w:eastAsia="Times New Roman" w:hAnsi="Times New Roman"/>
                <w:color w:val="000000" w:themeColor="text1"/>
              </w:rPr>
              <w:t xml:space="preserve"> </w:t>
            </w:r>
          </w:p>
        </w:tc>
      </w:tr>
      <w:tr w:rsidR="00BD1A2F" w:rsidRPr="00260790" w14:paraId="10BE62CC" w14:textId="77777777" w:rsidTr="005F3FB7">
        <w:trPr>
          <w:trHeight w:val="252"/>
        </w:trPr>
        <w:tc>
          <w:tcPr>
            <w:tcW w:w="2611" w:type="pct"/>
            <w:tcBorders>
              <w:top w:val="single" w:sz="4" w:space="0" w:color="000000"/>
              <w:left w:val="single" w:sz="4" w:space="0" w:color="000000"/>
              <w:bottom w:val="single" w:sz="4" w:space="0" w:color="000000"/>
              <w:right w:val="single" w:sz="4" w:space="0" w:color="000000"/>
            </w:tcBorders>
          </w:tcPr>
          <w:p w14:paraId="1DAF592D" w14:textId="77777777" w:rsidR="005F3FB7" w:rsidRPr="00260790" w:rsidRDefault="005F3FB7" w:rsidP="00E20250">
            <w:pPr>
              <w:spacing w:after="0" w:line="240" w:lineRule="auto"/>
              <w:ind w:left="72"/>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Phosphine, phosgène  </w:t>
            </w:r>
          </w:p>
        </w:tc>
        <w:tc>
          <w:tcPr>
            <w:tcW w:w="692" w:type="pct"/>
            <w:tcBorders>
              <w:top w:val="single" w:sz="4" w:space="0" w:color="000000"/>
              <w:left w:val="single" w:sz="4" w:space="0" w:color="000000"/>
              <w:bottom w:val="single" w:sz="4" w:space="0" w:color="000000"/>
              <w:right w:val="single" w:sz="4" w:space="0" w:color="000000"/>
            </w:tcBorders>
          </w:tcPr>
          <w:p w14:paraId="6AFCCE3D"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D &gt; 10 g/h </w:t>
            </w:r>
          </w:p>
        </w:tc>
        <w:tc>
          <w:tcPr>
            <w:tcW w:w="1697" w:type="pct"/>
            <w:tcBorders>
              <w:top w:val="single" w:sz="4" w:space="0" w:color="000000"/>
              <w:left w:val="single" w:sz="4" w:space="0" w:color="000000"/>
              <w:bottom w:val="single" w:sz="4" w:space="0" w:color="000000"/>
              <w:right w:val="single" w:sz="4" w:space="0" w:color="000000"/>
            </w:tcBorders>
          </w:tcPr>
          <w:p w14:paraId="7F80F184"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1 mg/m</w:t>
            </w:r>
            <w:r w:rsidRPr="00260790">
              <w:rPr>
                <w:rFonts w:ascii="Times New Roman" w:eastAsia="Times New Roman" w:hAnsi="Times New Roman"/>
                <w:color w:val="000000" w:themeColor="text1"/>
                <w:vertAlign w:val="superscript"/>
              </w:rPr>
              <w:t>3</w:t>
            </w:r>
            <w:r w:rsidRPr="00260790">
              <w:rPr>
                <w:rFonts w:ascii="Times New Roman" w:eastAsia="Times New Roman" w:hAnsi="Times New Roman"/>
                <w:color w:val="000000" w:themeColor="text1"/>
              </w:rPr>
              <w:t xml:space="preserve"> </w:t>
            </w:r>
          </w:p>
        </w:tc>
      </w:tr>
      <w:tr w:rsidR="00BD1A2F" w:rsidRPr="00260790" w14:paraId="12A059B8" w14:textId="77777777" w:rsidTr="005F3FB7">
        <w:trPr>
          <w:trHeight w:val="254"/>
        </w:trPr>
        <w:tc>
          <w:tcPr>
            <w:tcW w:w="2611" w:type="pct"/>
            <w:tcBorders>
              <w:top w:val="single" w:sz="4" w:space="0" w:color="000000"/>
              <w:left w:val="single" w:sz="4" w:space="0" w:color="000000"/>
              <w:bottom w:val="single" w:sz="4" w:space="0" w:color="000000"/>
              <w:right w:val="single" w:sz="4" w:space="0" w:color="000000"/>
            </w:tcBorders>
          </w:tcPr>
          <w:p w14:paraId="72E0D9BD"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Ammoniac (pour les unités fertilisantes) </w:t>
            </w:r>
          </w:p>
        </w:tc>
        <w:tc>
          <w:tcPr>
            <w:tcW w:w="692" w:type="pct"/>
            <w:tcBorders>
              <w:top w:val="single" w:sz="4" w:space="0" w:color="000000"/>
              <w:left w:val="single" w:sz="4" w:space="0" w:color="000000"/>
              <w:bottom w:val="single" w:sz="4" w:space="0" w:color="000000"/>
              <w:right w:val="single" w:sz="4" w:space="0" w:color="000000"/>
            </w:tcBorders>
          </w:tcPr>
          <w:p w14:paraId="370E1941"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D &gt; 100 g/h </w:t>
            </w:r>
          </w:p>
        </w:tc>
        <w:tc>
          <w:tcPr>
            <w:tcW w:w="1697" w:type="pct"/>
            <w:tcBorders>
              <w:top w:val="single" w:sz="4" w:space="0" w:color="000000"/>
              <w:left w:val="single" w:sz="4" w:space="0" w:color="000000"/>
              <w:bottom w:val="single" w:sz="4" w:space="0" w:color="000000"/>
              <w:right w:val="single" w:sz="4" w:space="0" w:color="000000"/>
            </w:tcBorders>
          </w:tcPr>
          <w:p w14:paraId="32EB942D" w14:textId="77777777" w:rsidR="005F3FB7" w:rsidRPr="00260790" w:rsidRDefault="005F3FB7" w:rsidP="00E20250">
            <w:pPr>
              <w:spacing w:after="0" w:line="240" w:lineRule="auto"/>
              <w:ind w:left="72"/>
              <w:rPr>
                <w:rFonts w:ascii="Times New Roman" w:eastAsia="Times New Roman" w:hAnsi="Times New Roman"/>
                <w:color w:val="000000" w:themeColor="text1"/>
              </w:rPr>
            </w:pPr>
            <w:r w:rsidRPr="00260790">
              <w:rPr>
                <w:rFonts w:ascii="Times New Roman" w:eastAsia="Times New Roman" w:hAnsi="Times New Roman"/>
                <w:color w:val="000000" w:themeColor="text1"/>
              </w:rPr>
              <w:t>50 mg/m</w:t>
            </w:r>
            <w:r w:rsidRPr="00260790">
              <w:rPr>
                <w:rFonts w:ascii="Times New Roman" w:eastAsia="Times New Roman" w:hAnsi="Times New Roman"/>
                <w:color w:val="000000" w:themeColor="text1"/>
                <w:vertAlign w:val="superscript"/>
              </w:rPr>
              <w:t>3</w:t>
            </w:r>
            <w:r w:rsidRPr="00260790">
              <w:rPr>
                <w:rFonts w:ascii="Times New Roman" w:eastAsia="Times New Roman" w:hAnsi="Times New Roman"/>
                <w:color w:val="000000" w:themeColor="text1"/>
              </w:rPr>
              <w:t xml:space="preserve"> </w:t>
            </w:r>
          </w:p>
        </w:tc>
      </w:tr>
    </w:tbl>
    <w:p w14:paraId="2C9E9361" w14:textId="652DCF8D" w:rsidR="005F3FB7" w:rsidRPr="00260790" w:rsidRDefault="005F3FB7" w:rsidP="00E20250">
      <w:pPr>
        <w:tabs>
          <w:tab w:val="num" w:pos="0"/>
        </w:tabs>
        <w:spacing w:after="0" w:line="240" w:lineRule="auto"/>
        <w:rPr>
          <w:rFonts w:ascii="Times New Roman" w:eastAsia="Times New Roman" w:hAnsi="Times New Roman"/>
          <w:b/>
          <w:color w:val="000000" w:themeColor="text1"/>
          <w:sz w:val="24"/>
          <w:szCs w:val="24"/>
          <w:lang w:eastAsia="fr-FR"/>
        </w:rPr>
      </w:pPr>
      <w:r w:rsidRPr="00260790">
        <w:rPr>
          <w:rFonts w:ascii="Times New Roman" w:eastAsia="Times New Roman" w:hAnsi="Times New Roman"/>
          <w:color w:val="000000" w:themeColor="text1"/>
          <w:sz w:val="24"/>
          <w:szCs w:val="24"/>
        </w:rPr>
        <w:t xml:space="preserve">Source : NS 05-062, </w:t>
      </w:r>
      <w:r w:rsidR="001E5CE4" w:rsidRPr="00260790">
        <w:rPr>
          <w:rFonts w:ascii="Times New Roman" w:eastAsia="Times New Roman" w:hAnsi="Times New Roman"/>
          <w:color w:val="000000" w:themeColor="text1"/>
          <w:sz w:val="24"/>
          <w:szCs w:val="24"/>
        </w:rPr>
        <w:t>o</w:t>
      </w:r>
      <w:r w:rsidRPr="00260790">
        <w:rPr>
          <w:rFonts w:ascii="Times New Roman" w:eastAsia="Times New Roman" w:hAnsi="Times New Roman"/>
          <w:color w:val="000000" w:themeColor="text1"/>
          <w:sz w:val="24"/>
          <w:szCs w:val="24"/>
        </w:rPr>
        <w:t>ctobre 2018</w:t>
      </w:r>
    </w:p>
    <w:p w14:paraId="5A88B82B" w14:textId="77777777" w:rsidR="005F3FB7" w:rsidRPr="00260790" w:rsidRDefault="005F3FB7" w:rsidP="00E20250">
      <w:pPr>
        <w:tabs>
          <w:tab w:val="num" w:pos="0"/>
        </w:tabs>
        <w:spacing w:after="0" w:line="240" w:lineRule="auto"/>
        <w:rPr>
          <w:rFonts w:ascii="Times New Roman" w:eastAsia="Times New Roman" w:hAnsi="Times New Roman"/>
          <w:color w:val="000000" w:themeColor="text1"/>
          <w:sz w:val="24"/>
          <w:szCs w:val="24"/>
          <w:lang w:eastAsia="fr-FR"/>
        </w:rPr>
      </w:pPr>
    </w:p>
    <w:p w14:paraId="4A0E31D9" w14:textId="77777777" w:rsidR="005F3FB7" w:rsidRPr="00260790" w:rsidRDefault="005F3FB7" w:rsidP="00E20250">
      <w:pPr>
        <w:spacing w:after="0" w:line="240" w:lineRule="auto"/>
        <w:rPr>
          <w:rFonts w:ascii="Times New Roman" w:eastAsia="Times New Roman" w:hAnsi="Times New Roman"/>
          <w:color w:val="000000" w:themeColor="text1"/>
          <w:sz w:val="24"/>
          <w:szCs w:val="24"/>
          <w:lang w:eastAsia="fr-FR"/>
        </w:rPr>
      </w:pPr>
    </w:p>
    <w:p w14:paraId="1D9B1EB6" w14:textId="77777777" w:rsidR="005F3FB7" w:rsidRPr="00260790" w:rsidRDefault="005F3FB7" w:rsidP="00E20250">
      <w:pPr>
        <w:spacing w:after="0" w:line="240" w:lineRule="auto"/>
        <w:rPr>
          <w:rFonts w:ascii="Times New Roman" w:eastAsia="Times New Roman" w:hAnsi="Times New Roman"/>
          <w:i/>
          <w:color w:val="000000" w:themeColor="text1"/>
          <w:spacing w:val="5"/>
          <w:sz w:val="24"/>
          <w:szCs w:val="24"/>
          <w:lang w:eastAsia="fr-FR"/>
        </w:rPr>
      </w:pPr>
      <w:r w:rsidRPr="00260790">
        <w:rPr>
          <w:rFonts w:ascii="Times New Roman" w:eastAsia="Times New Roman" w:hAnsi="Times New Roman"/>
          <w:i/>
          <w:color w:val="000000" w:themeColor="text1"/>
          <w:spacing w:val="5"/>
          <w:sz w:val="24"/>
          <w:szCs w:val="24"/>
          <w:lang w:eastAsia="fr-FR"/>
        </w:rPr>
        <w:br w:type="page"/>
      </w:r>
    </w:p>
    <w:p w14:paraId="62F5ED87" w14:textId="554D8D05" w:rsidR="005F3FB7" w:rsidRPr="00260790" w:rsidRDefault="005F3FB7" w:rsidP="00E20250">
      <w:pPr>
        <w:pStyle w:val="Lgende"/>
        <w:keepNext/>
        <w:spacing w:line="240" w:lineRule="auto"/>
        <w:rPr>
          <w:color w:val="000000" w:themeColor="text1"/>
          <w:sz w:val="22"/>
          <w:szCs w:val="22"/>
        </w:rPr>
      </w:pPr>
      <w:bookmarkStart w:id="240" w:name="_Toc207781846"/>
      <w:r w:rsidRPr="00260790">
        <w:rPr>
          <w:color w:val="000000" w:themeColor="text1"/>
          <w:sz w:val="22"/>
          <w:szCs w:val="22"/>
        </w:rPr>
        <w:lastRenderedPageBreak/>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5</w:t>
      </w:r>
      <w:r w:rsidRPr="00260790">
        <w:rPr>
          <w:color w:val="000000" w:themeColor="text1"/>
          <w:sz w:val="22"/>
          <w:szCs w:val="22"/>
        </w:rPr>
        <w:fldChar w:fldCharType="end"/>
      </w:r>
      <w:r w:rsidRPr="00260790">
        <w:rPr>
          <w:color w:val="000000" w:themeColor="text1"/>
          <w:sz w:val="22"/>
          <w:szCs w:val="22"/>
        </w:rPr>
        <w:t xml:space="preserve"> : Valeurs limites de rejet des eaux usées dans le milieu naturel</w:t>
      </w:r>
      <w:bookmarkEnd w:id="240"/>
    </w:p>
    <w:tbl>
      <w:tblPr>
        <w:tblStyle w:val="Grilledutableau"/>
        <w:tblW w:w="0" w:type="auto"/>
        <w:tblLook w:val="04A0" w:firstRow="1" w:lastRow="0" w:firstColumn="1" w:lastColumn="0" w:noHBand="0" w:noVBand="1"/>
      </w:tblPr>
      <w:tblGrid>
        <w:gridCol w:w="4530"/>
        <w:gridCol w:w="4530"/>
      </w:tblGrid>
      <w:tr w:rsidR="00BD1A2F" w:rsidRPr="00260790" w14:paraId="2D487A26" w14:textId="77777777" w:rsidTr="0016786A">
        <w:tc>
          <w:tcPr>
            <w:tcW w:w="4531" w:type="dxa"/>
            <w:vAlign w:val="center"/>
          </w:tcPr>
          <w:p w14:paraId="61B22185" w14:textId="2EDB3797" w:rsidR="002931AD" w:rsidRPr="00260790" w:rsidRDefault="002931AD" w:rsidP="00E20250">
            <w:pPr>
              <w:spacing w:line="240" w:lineRule="auto"/>
              <w:rPr>
                <w:rFonts w:ascii="Times New Roman" w:hAnsi="Times New Roman"/>
                <w:color w:val="000000" w:themeColor="text1"/>
                <w:sz w:val="22"/>
                <w:szCs w:val="22"/>
                <w:lang w:val="fr-FR" w:eastAsia="fr-FR"/>
              </w:rPr>
            </w:pPr>
            <w:r w:rsidRPr="00260790">
              <w:rPr>
                <w:rFonts w:ascii="Times New Roman" w:eastAsia="Times New Roman" w:hAnsi="Times New Roman"/>
                <w:b/>
                <w:color w:val="000000" w:themeColor="text1"/>
                <w:sz w:val="22"/>
                <w:szCs w:val="22"/>
                <w:lang w:val="fr-FR" w:eastAsia="fr-FR"/>
              </w:rPr>
              <w:t>Paramètre</w:t>
            </w:r>
          </w:p>
        </w:tc>
        <w:tc>
          <w:tcPr>
            <w:tcW w:w="4531" w:type="dxa"/>
            <w:vAlign w:val="center"/>
          </w:tcPr>
          <w:p w14:paraId="09BCDBCA" w14:textId="3D2BEEB2" w:rsidR="002931AD" w:rsidRPr="00260790" w:rsidRDefault="002931AD" w:rsidP="00E20250">
            <w:pPr>
              <w:spacing w:line="240" w:lineRule="auto"/>
              <w:rPr>
                <w:rFonts w:ascii="Times New Roman" w:hAnsi="Times New Roman"/>
                <w:color w:val="000000" w:themeColor="text1"/>
                <w:sz w:val="22"/>
                <w:szCs w:val="22"/>
                <w:lang w:val="fr-FR" w:eastAsia="fr-FR"/>
              </w:rPr>
            </w:pPr>
            <w:r w:rsidRPr="00260790">
              <w:rPr>
                <w:rFonts w:ascii="Times New Roman" w:eastAsia="Times New Roman" w:hAnsi="Times New Roman"/>
                <w:b/>
                <w:color w:val="000000" w:themeColor="text1"/>
                <w:sz w:val="22"/>
                <w:szCs w:val="22"/>
                <w:lang w:val="fr-FR" w:eastAsia="fr-FR"/>
              </w:rPr>
              <w:t>Valeur limite</w:t>
            </w:r>
          </w:p>
        </w:tc>
      </w:tr>
      <w:tr w:rsidR="00BD1A2F" w:rsidRPr="00260790" w14:paraId="51826DCA" w14:textId="77777777" w:rsidTr="0016786A">
        <w:tc>
          <w:tcPr>
            <w:tcW w:w="4531" w:type="dxa"/>
            <w:vAlign w:val="center"/>
          </w:tcPr>
          <w:p w14:paraId="5082CC42" w14:textId="4FE240C4" w:rsidR="002931AD" w:rsidRPr="00260790" w:rsidRDefault="002931AD" w:rsidP="00E20250">
            <w:pPr>
              <w:spacing w:line="240" w:lineRule="auto"/>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 xml:space="preserve">Matières en suspension totale </w:t>
            </w:r>
          </w:p>
        </w:tc>
        <w:tc>
          <w:tcPr>
            <w:tcW w:w="4531" w:type="dxa"/>
            <w:vAlign w:val="center"/>
          </w:tcPr>
          <w:p w14:paraId="44E2F29E" w14:textId="100B41A2" w:rsidR="002931AD" w:rsidRPr="00260790" w:rsidRDefault="002931AD" w:rsidP="00E20250">
            <w:pPr>
              <w:spacing w:line="240" w:lineRule="auto"/>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50 mg/l</w:t>
            </w:r>
          </w:p>
        </w:tc>
      </w:tr>
      <w:tr w:rsidR="00BD1A2F" w:rsidRPr="00260790" w14:paraId="6FC1B076" w14:textId="77777777" w:rsidTr="0016786A">
        <w:tc>
          <w:tcPr>
            <w:tcW w:w="4531" w:type="dxa"/>
            <w:vAlign w:val="center"/>
          </w:tcPr>
          <w:p w14:paraId="13BAC8C9" w14:textId="6247EFB4" w:rsidR="002931AD" w:rsidRPr="00260790" w:rsidRDefault="002931AD" w:rsidP="00E20250">
            <w:pPr>
              <w:spacing w:line="240" w:lineRule="auto"/>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DBO5</w:t>
            </w:r>
          </w:p>
        </w:tc>
        <w:tc>
          <w:tcPr>
            <w:tcW w:w="4531" w:type="dxa"/>
            <w:vAlign w:val="center"/>
          </w:tcPr>
          <w:p w14:paraId="7FB577CB" w14:textId="4CB441E4" w:rsidR="002931AD" w:rsidRPr="00260790" w:rsidRDefault="002931AD" w:rsidP="00E20250">
            <w:pPr>
              <w:spacing w:line="240" w:lineRule="auto"/>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80 mg/l si le flux journalier maximal autorisé n'excède pas 30 kg/j, 40 mg/l au-delà</w:t>
            </w:r>
          </w:p>
        </w:tc>
      </w:tr>
      <w:tr w:rsidR="00BD1A2F" w:rsidRPr="00260790" w14:paraId="5D558571" w14:textId="77777777" w:rsidTr="0016786A">
        <w:tc>
          <w:tcPr>
            <w:tcW w:w="4531" w:type="dxa"/>
            <w:vAlign w:val="center"/>
          </w:tcPr>
          <w:p w14:paraId="44A9977A" w14:textId="1662286E" w:rsidR="002931AD" w:rsidRPr="00260790" w:rsidRDefault="002931AD" w:rsidP="00E20250">
            <w:pPr>
              <w:spacing w:line="240" w:lineRule="auto"/>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DCO</w:t>
            </w:r>
          </w:p>
        </w:tc>
        <w:tc>
          <w:tcPr>
            <w:tcW w:w="4531" w:type="dxa"/>
            <w:vAlign w:val="center"/>
          </w:tcPr>
          <w:p w14:paraId="39250C4C" w14:textId="4EA0185B" w:rsidR="002931AD" w:rsidRPr="00260790" w:rsidRDefault="002931AD" w:rsidP="00E20250">
            <w:pPr>
              <w:spacing w:line="240" w:lineRule="auto"/>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200 mg/l si le flux journalier maximal autorisé n'excède pas 100 kg/j</w:t>
            </w:r>
          </w:p>
        </w:tc>
      </w:tr>
      <w:tr w:rsidR="00BD1A2F" w:rsidRPr="00260790" w14:paraId="1ECDB074" w14:textId="77777777" w:rsidTr="0016786A">
        <w:tc>
          <w:tcPr>
            <w:tcW w:w="4531" w:type="dxa"/>
            <w:vAlign w:val="center"/>
          </w:tcPr>
          <w:p w14:paraId="75EC6CB4" w14:textId="158A3318" w:rsidR="002931AD" w:rsidRPr="00260790" w:rsidRDefault="002931AD" w:rsidP="00E20250">
            <w:pPr>
              <w:spacing w:line="240" w:lineRule="auto"/>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Azote total</w:t>
            </w:r>
          </w:p>
        </w:tc>
        <w:tc>
          <w:tcPr>
            <w:tcW w:w="4531" w:type="dxa"/>
            <w:vAlign w:val="center"/>
          </w:tcPr>
          <w:p w14:paraId="0A133B11" w14:textId="607C514D" w:rsidR="002931AD" w:rsidRPr="00260790" w:rsidRDefault="002931AD" w:rsidP="00E20250">
            <w:pPr>
              <w:spacing w:line="240" w:lineRule="auto"/>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30 mg/l en concentration moyenne mensuelle lorsque le flux journalier maximal est égal ou supérieur à 50 kg/jour</w:t>
            </w:r>
          </w:p>
        </w:tc>
      </w:tr>
      <w:tr w:rsidR="00BD1A2F" w:rsidRPr="00260790" w14:paraId="6120E810" w14:textId="77777777" w:rsidTr="0016786A">
        <w:tc>
          <w:tcPr>
            <w:tcW w:w="4531" w:type="dxa"/>
            <w:vAlign w:val="center"/>
          </w:tcPr>
          <w:p w14:paraId="7077A49D" w14:textId="515C05BB" w:rsidR="002931AD" w:rsidRPr="00260790" w:rsidRDefault="002931AD" w:rsidP="00E20250">
            <w:pPr>
              <w:spacing w:line="240" w:lineRule="auto"/>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Phosphore total</w:t>
            </w:r>
          </w:p>
        </w:tc>
        <w:tc>
          <w:tcPr>
            <w:tcW w:w="4531" w:type="dxa"/>
            <w:vAlign w:val="center"/>
          </w:tcPr>
          <w:p w14:paraId="38F3195D" w14:textId="637AE79A" w:rsidR="002931AD" w:rsidRPr="00260790" w:rsidRDefault="002931AD" w:rsidP="00E20250">
            <w:pPr>
              <w:spacing w:line="240" w:lineRule="auto"/>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10 mg/l en concentration moyenne mensuelle lorsque le flux journalier maximal autorisé est égal ou supérieur à 15 kg/jour</w:t>
            </w:r>
          </w:p>
        </w:tc>
      </w:tr>
      <w:tr w:rsidR="00BD1A2F" w:rsidRPr="00260790" w14:paraId="7F5C7D56" w14:textId="77777777" w:rsidTr="0016786A">
        <w:tc>
          <w:tcPr>
            <w:tcW w:w="4531" w:type="dxa"/>
            <w:vAlign w:val="center"/>
          </w:tcPr>
          <w:p w14:paraId="072E0E47" w14:textId="0CDE1046" w:rsidR="002931AD" w:rsidRPr="00260790" w:rsidRDefault="002931AD" w:rsidP="00E20250">
            <w:pPr>
              <w:spacing w:line="240" w:lineRule="auto"/>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Indice phénols</w:t>
            </w:r>
          </w:p>
        </w:tc>
        <w:tc>
          <w:tcPr>
            <w:tcW w:w="4531" w:type="dxa"/>
            <w:vAlign w:val="center"/>
          </w:tcPr>
          <w:p w14:paraId="0CE66FD2" w14:textId="3ECFCF05" w:rsidR="002931AD" w:rsidRPr="00260790" w:rsidRDefault="002931AD" w:rsidP="00E20250">
            <w:pPr>
              <w:spacing w:line="240" w:lineRule="auto"/>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0,5 mg/l si le rejet dépasse 5 g/j</w:t>
            </w:r>
          </w:p>
        </w:tc>
      </w:tr>
      <w:tr w:rsidR="00BD1A2F" w:rsidRPr="00260790" w14:paraId="5947CD89" w14:textId="77777777" w:rsidTr="0016786A">
        <w:tc>
          <w:tcPr>
            <w:tcW w:w="4531" w:type="dxa"/>
            <w:vAlign w:val="center"/>
          </w:tcPr>
          <w:p w14:paraId="0B68C97A" w14:textId="20F3FC26" w:rsidR="002931AD" w:rsidRPr="00260790" w:rsidRDefault="002931AD" w:rsidP="00E20250">
            <w:pPr>
              <w:spacing w:line="240" w:lineRule="auto"/>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Phénols</w:t>
            </w:r>
          </w:p>
        </w:tc>
        <w:tc>
          <w:tcPr>
            <w:tcW w:w="4531" w:type="dxa"/>
            <w:vAlign w:val="center"/>
          </w:tcPr>
          <w:p w14:paraId="4E060DAF" w14:textId="586ACAFB" w:rsidR="002931AD" w:rsidRPr="00260790" w:rsidRDefault="002931AD" w:rsidP="00E20250">
            <w:pPr>
              <w:spacing w:line="240" w:lineRule="auto"/>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0,5 mg/l si le rejet dépasse 5g/j</w:t>
            </w:r>
          </w:p>
        </w:tc>
      </w:tr>
      <w:tr w:rsidR="00BD1A2F" w:rsidRPr="00260790" w14:paraId="56FED69B" w14:textId="77777777" w:rsidTr="0016786A">
        <w:tc>
          <w:tcPr>
            <w:tcW w:w="4531" w:type="dxa"/>
            <w:vAlign w:val="center"/>
          </w:tcPr>
          <w:p w14:paraId="511DBCB6" w14:textId="6E228CD8" w:rsidR="002931AD" w:rsidRPr="00260790" w:rsidRDefault="002931AD" w:rsidP="00E20250">
            <w:pPr>
              <w:spacing w:line="240" w:lineRule="auto"/>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Chrome hexavalent</w:t>
            </w:r>
          </w:p>
        </w:tc>
        <w:tc>
          <w:tcPr>
            <w:tcW w:w="4531" w:type="dxa"/>
            <w:vAlign w:val="center"/>
          </w:tcPr>
          <w:p w14:paraId="7CDD75D8" w14:textId="1F52C120" w:rsidR="002931AD" w:rsidRPr="00260790" w:rsidRDefault="002931AD" w:rsidP="00E20250">
            <w:pPr>
              <w:spacing w:line="240" w:lineRule="auto"/>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0,2 mg/l si le rejet dépasse 5 g/j</w:t>
            </w:r>
          </w:p>
        </w:tc>
      </w:tr>
      <w:tr w:rsidR="00BD1A2F" w:rsidRPr="00260790" w14:paraId="0CF0D3A1" w14:textId="77777777" w:rsidTr="0016786A">
        <w:tc>
          <w:tcPr>
            <w:tcW w:w="4531" w:type="dxa"/>
            <w:vAlign w:val="center"/>
          </w:tcPr>
          <w:p w14:paraId="00CF5CAC" w14:textId="3E8227CA" w:rsidR="002931AD" w:rsidRPr="00260790" w:rsidRDefault="002931AD" w:rsidP="00E20250">
            <w:pPr>
              <w:spacing w:line="240" w:lineRule="auto"/>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Cyanures</w:t>
            </w:r>
          </w:p>
        </w:tc>
        <w:tc>
          <w:tcPr>
            <w:tcW w:w="4531" w:type="dxa"/>
            <w:vAlign w:val="center"/>
          </w:tcPr>
          <w:p w14:paraId="2E22ED28" w14:textId="44C7BABF" w:rsidR="002931AD" w:rsidRPr="00260790" w:rsidRDefault="002931AD" w:rsidP="00E20250">
            <w:pPr>
              <w:spacing w:line="240" w:lineRule="auto"/>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0,2 mg/l si le rejet dépasse 3 g/j</w:t>
            </w:r>
          </w:p>
        </w:tc>
      </w:tr>
      <w:tr w:rsidR="00BD1A2F" w:rsidRPr="00260790" w14:paraId="2A1BFF2D" w14:textId="77777777" w:rsidTr="0016786A">
        <w:tc>
          <w:tcPr>
            <w:tcW w:w="4531" w:type="dxa"/>
            <w:vAlign w:val="center"/>
          </w:tcPr>
          <w:p w14:paraId="3AA1482D" w14:textId="034B0676" w:rsidR="002931AD" w:rsidRPr="00260790" w:rsidRDefault="002931AD" w:rsidP="00E20250">
            <w:pPr>
              <w:spacing w:line="240" w:lineRule="auto"/>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Arsenic et composés (en As)</w:t>
            </w:r>
          </w:p>
        </w:tc>
        <w:tc>
          <w:tcPr>
            <w:tcW w:w="4531" w:type="dxa"/>
            <w:vAlign w:val="center"/>
          </w:tcPr>
          <w:p w14:paraId="585AAFED" w14:textId="4321FDDA" w:rsidR="002931AD" w:rsidRPr="00260790" w:rsidRDefault="002931AD" w:rsidP="00E20250">
            <w:pPr>
              <w:spacing w:line="240" w:lineRule="auto"/>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0,3 mg/l si le rejet dépasse 3 g/j</w:t>
            </w:r>
          </w:p>
        </w:tc>
      </w:tr>
      <w:tr w:rsidR="00BD1A2F" w:rsidRPr="00260790" w14:paraId="4D2FEB6A" w14:textId="77777777" w:rsidTr="0016786A">
        <w:tc>
          <w:tcPr>
            <w:tcW w:w="4531" w:type="dxa"/>
            <w:vAlign w:val="center"/>
          </w:tcPr>
          <w:p w14:paraId="4567F6D0" w14:textId="433BFAE8" w:rsidR="002931AD" w:rsidRPr="00260790" w:rsidRDefault="002931AD" w:rsidP="00E20250">
            <w:pPr>
              <w:spacing w:line="240" w:lineRule="auto"/>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Chrome total (en Cr3)</w:t>
            </w:r>
          </w:p>
        </w:tc>
        <w:tc>
          <w:tcPr>
            <w:tcW w:w="4531" w:type="dxa"/>
            <w:vAlign w:val="center"/>
          </w:tcPr>
          <w:p w14:paraId="40746ABF" w14:textId="41A8847C" w:rsidR="002931AD" w:rsidRPr="00260790" w:rsidRDefault="002931AD" w:rsidP="00E20250">
            <w:pPr>
              <w:spacing w:line="240" w:lineRule="auto"/>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1,0 mg/l si le rejet dépasse 10 g/j</w:t>
            </w:r>
          </w:p>
        </w:tc>
      </w:tr>
      <w:tr w:rsidR="002931AD" w:rsidRPr="00260790" w14:paraId="5E68FC70" w14:textId="77777777" w:rsidTr="0016786A">
        <w:tc>
          <w:tcPr>
            <w:tcW w:w="4531" w:type="dxa"/>
            <w:vAlign w:val="center"/>
          </w:tcPr>
          <w:p w14:paraId="654A58F3" w14:textId="6F157F54" w:rsidR="002931AD" w:rsidRPr="00260790" w:rsidRDefault="002931AD" w:rsidP="00E20250">
            <w:pPr>
              <w:spacing w:line="240" w:lineRule="auto"/>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Hydrocarbures totaux</w:t>
            </w:r>
          </w:p>
        </w:tc>
        <w:tc>
          <w:tcPr>
            <w:tcW w:w="4531" w:type="dxa"/>
            <w:vAlign w:val="center"/>
          </w:tcPr>
          <w:p w14:paraId="70433C30" w14:textId="78EF6D4C" w:rsidR="002931AD" w:rsidRPr="00260790" w:rsidRDefault="002931AD" w:rsidP="00E20250">
            <w:pPr>
              <w:spacing w:line="240" w:lineRule="auto"/>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15 mg/l si le rejet dépasse 150 g/j</w:t>
            </w:r>
          </w:p>
        </w:tc>
      </w:tr>
    </w:tbl>
    <w:p w14:paraId="3445420C" w14:textId="77777777" w:rsidR="005F3FB7" w:rsidRPr="00260790" w:rsidRDefault="005F3FB7" w:rsidP="00E20250">
      <w:pPr>
        <w:tabs>
          <w:tab w:val="num" w:pos="0"/>
        </w:tabs>
        <w:spacing w:after="0" w:line="240" w:lineRule="auto"/>
        <w:jc w:val="both"/>
        <w:rPr>
          <w:rFonts w:ascii="Times New Roman" w:eastAsia="Times New Roman" w:hAnsi="Times New Roman"/>
          <w:color w:val="000000" w:themeColor="text1"/>
          <w:lang w:eastAsia="fr-FR"/>
        </w:rPr>
      </w:pPr>
      <w:r w:rsidRPr="00260790">
        <w:rPr>
          <w:rFonts w:ascii="Times New Roman" w:hAnsi="Times New Roman"/>
          <w:noProof/>
          <w:color w:val="000000" w:themeColor="text1"/>
          <w:lang w:val="en-US"/>
        </w:rPr>
        <mc:AlternateContent>
          <mc:Choice Requires="wps">
            <w:drawing>
              <wp:anchor distT="0" distB="0" distL="114300" distR="114300" simplePos="0" relativeHeight="251602944" behindDoc="1" locked="0" layoutInCell="1" allowOverlap="1" wp14:anchorId="46AC1C98" wp14:editId="53D1C317">
                <wp:simplePos x="0" y="0"/>
                <wp:positionH relativeFrom="column">
                  <wp:posOffset>5765800</wp:posOffset>
                </wp:positionH>
                <wp:positionV relativeFrom="paragraph">
                  <wp:posOffset>-2998470</wp:posOffset>
                </wp:positionV>
                <wp:extent cx="12065" cy="12700"/>
                <wp:effectExtent l="0" t="0" r="6985" b="6350"/>
                <wp:wrapNone/>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4228E" id="Rectangle 102" o:spid="_x0000_s1026" style="position:absolute;margin-left:454pt;margin-top:-236.1pt;width:.95pt;height: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" fillcolor="black" strokecolor="white"/>
            </w:pict>
          </mc:Fallback>
        </mc:AlternateContent>
      </w:r>
      <w:r w:rsidRPr="00260790">
        <w:rPr>
          <w:rFonts w:ascii="Times New Roman" w:hAnsi="Times New Roman"/>
          <w:noProof/>
          <w:color w:val="000000" w:themeColor="text1"/>
          <w:lang w:val="en-US"/>
        </w:rPr>
        <mc:AlternateContent>
          <mc:Choice Requires="wps">
            <w:drawing>
              <wp:anchor distT="0" distB="0" distL="114300" distR="114300" simplePos="0" relativeHeight="251604992" behindDoc="1" locked="0" layoutInCell="1" allowOverlap="1" wp14:anchorId="31363B53" wp14:editId="088E9D32">
                <wp:simplePos x="0" y="0"/>
                <wp:positionH relativeFrom="column">
                  <wp:posOffset>5732145</wp:posOffset>
                </wp:positionH>
                <wp:positionV relativeFrom="paragraph">
                  <wp:posOffset>-306070</wp:posOffset>
                </wp:positionV>
                <wp:extent cx="12700" cy="12065"/>
                <wp:effectExtent l="0" t="0" r="6350" b="6985"/>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A292F" id="Rectangle 103" o:spid="_x0000_s1026" style="position:absolute;margin-left:451.35pt;margin-top:-24.1pt;width:1pt;height:.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" fillcolor="black" strokecolor="white"/>
            </w:pict>
          </mc:Fallback>
        </mc:AlternateContent>
      </w:r>
    </w:p>
    <w:p w14:paraId="0A2C9211" w14:textId="77777777" w:rsidR="005F3FB7" w:rsidRPr="00260790" w:rsidRDefault="005F3FB7" w:rsidP="00E20250">
      <w:pPr>
        <w:pStyle w:val="En-tte"/>
        <w:tabs>
          <w:tab w:val="clear" w:pos="4536"/>
          <w:tab w:val="clear" w:pos="9072"/>
          <w:tab w:val="num" w:pos="0"/>
        </w:tabs>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Source : Norme Sénégalaise NS 05-061</w:t>
      </w:r>
    </w:p>
    <w:p w14:paraId="6AEC4262" w14:textId="77777777" w:rsidR="005F3FB7" w:rsidRPr="00260790" w:rsidRDefault="005F3FB7" w:rsidP="00E20250">
      <w:pPr>
        <w:pStyle w:val="En-tte"/>
        <w:tabs>
          <w:tab w:val="clear" w:pos="4536"/>
          <w:tab w:val="clear" w:pos="9072"/>
          <w:tab w:val="num" w:pos="0"/>
        </w:tabs>
        <w:spacing w:after="0" w:line="240" w:lineRule="auto"/>
        <w:rPr>
          <w:rFonts w:ascii="Times New Roman" w:eastAsia="Times New Roman" w:hAnsi="Times New Roman"/>
          <w:color w:val="000000" w:themeColor="text1"/>
          <w:lang w:eastAsia="fr-FR"/>
        </w:rPr>
      </w:pPr>
    </w:p>
    <w:p w14:paraId="04BB89E3" w14:textId="65CA0F2F" w:rsidR="005F3FB7" w:rsidRPr="00260790" w:rsidRDefault="005F3FB7" w:rsidP="00E20250">
      <w:pPr>
        <w:pStyle w:val="Lgende"/>
        <w:keepNext/>
        <w:spacing w:line="240" w:lineRule="auto"/>
        <w:rPr>
          <w:color w:val="000000" w:themeColor="text1"/>
          <w:sz w:val="22"/>
          <w:szCs w:val="22"/>
        </w:rPr>
      </w:pPr>
      <w:bookmarkStart w:id="241" w:name="_Toc207781847"/>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6</w:t>
      </w:r>
      <w:r w:rsidRPr="00260790">
        <w:rPr>
          <w:color w:val="000000" w:themeColor="text1"/>
          <w:sz w:val="22"/>
          <w:szCs w:val="22"/>
        </w:rPr>
        <w:fldChar w:fldCharType="end"/>
      </w:r>
      <w:r w:rsidRPr="00260790">
        <w:rPr>
          <w:color w:val="000000" w:themeColor="text1"/>
          <w:sz w:val="22"/>
          <w:szCs w:val="22"/>
        </w:rPr>
        <w:t xml:space="preserve"> : Valeurs limites de qualité des eaux usées avant raccordement à une station d'épuration collective</w:t>
      </w:r>
      <w:bookmarkEnd w:id="241"/>
    </w:p>
    <w:tbl>
      <w:tblPr>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80"/>
        <w:gridCol w:w="4520"/>
      </w:tblGrid>
      <w:tr w:rsidR="00BD1A2F" w:rsidRPr="00260790" w14:paraId="18937023" w14:textId="77777777" w:rsidTr="002931AD">
        <w:trPr>
          <w:trHeight w:val="267"/>
        </w:trPr>
        <w:tc>
          <w:tcPr>
            <w:tcW w:w="4480" w:type="dxa"/>
            <w:vAlign w:val="bottom"/>
          </w:tcPr>
          <w:p w14:paraId="29A58CAD" w14:textId="77777777" w:rsidR="005F3FB7" w:rsidRPr="00260790" w:rsidRDefault="005F3FB7" w:rsidP="00E20250">
            <w:pPr>
              <w:tabs>
                <w:tab w:val="num" w:pos="527"/>
              </w:tabs>
              <w:spacing w:after="0" w:line="240" w:lineRule="auto"/>
              <w:ind w:left="527"/>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Paramètre</w:t>
            </w:r>
          </w:p>
        </w:tc>
        <w:tc>
          <w:tcPr>
            <w:tcW w:w="4520" w:type="dxa"/>
            <w:vAlign w:val="bottom"/>
          </w:tcPr>
          <w:p w14:paraId="4F12A010" w14:textId="77777777" w:rsidR="005F3FB7" w:rsidRPr="00260790" w:rsidRDefault="005F3FB7" w:rsidP="00E20250">
            <w:pPr>
              <w:spacing w:after="0" w:line="240" w:lineRule="auto"/>
              <w:ind w:left="583"/>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Valeur limite</w:t>
            </w:r>
          </w:p>
        </w:tc>
      </w:tr>
      <w:tr w:rsidR="00BD1A2F" w:rsidRPr="00260790" w14:paraId="74027E8B" w14:textId="77777777" w:rsidTr="002931AD">
        <w:trPr>
          <w:trHeight w:val="245"/>
        </w:trPr>
        <w:tc>
          <w:tcPr>
            <w:tcW w:w="4480" w:type="dxa"/>
            <w:vAlign w:val="bottom"/>
          </w:tcPr>
          <w:p w14:paraId="6B41BEE3" w14:textId="77777777" w:rsidR="005F3FB7" w:rsidRPr="00260790" w:rsidRDefault="005F3FB7" w:rsidP="00E20250">
            <w:pPr>
              <w:tabs>
                <w:tab w:val="num" w:pos="527"/>
              </w:tabs>
              <w:spacing w:after="0" w:line="240" w:lineRule="auto"/>
              <w:ind w:left="527"/>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Matières en suspension totales</w:t>
            </w:r>
          </w:p>
        </w:tc>
        <w:tc>
          <w:tcPr>
            <w:tcW w:w="4520" w:type="dxa"/>
            <w:vAlign w:val="bottom"/>
          </w:tcPr>
          <w:p w14:paraId="5444F1F1" w14:textId="77777777" w:rsidR="005F3FB7" w:rsidRPr="00260790" w:rsidRDefault="005F3FB7" w:rsidP="00E20250">
            <w:pPr>
              <w:spacing w:after="0" w:line="240" w:lineRule="auto"/>
              <w:ind w:left="583"/>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600 mg/l</w:t>
            </w:r>
          </w:p>
        </w:tc>
      </w:tr>
      <w:tr w:rsidR="00BD1A2F" w:rsidRPr="00260790" w14:paraId="5ED381BC" w14:textId="77777777" w:rsidTr="002931AD">
        <w:trPr>
          <w:trHeight w:val="246"/>
        </w:trPr>
        <w:tc>
          <w:tcPr>
            <w:tcW w:w="4480" w:type="dxa"/>
            <w:vAlign w:val="bottom"/>
          </w:tcPr>
          <w:p w14:paraId="1EBD8C17" w14:textId="77777777" w:rsidR="005F3FB7" w:rsidRPr="00260790" w:rsidRDefault="005F3FB7" w:rsidP="00E20250">
            <w:pPr>
              <w:tabs>
                <w:tab w:val="num" w:pos="527"/>
              </w:tabs>
              <w:spacing w:after="0" w:line="240" w:lineRule="auto"/>
              <w:ind w:left="527"/>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DBO5</w:t>
            </w:r>
          </w:p>
        </w:tc>
        <w:tc>
          <w:tcPr>
            <w:tcW w:w="4520" w:type="dxa"/>
            <w:vAlign w:val="bottom"/>
          </w:tcPr>
          <w:p w14:paraId="68B40FEA" w14:textId="77777777" w:rsidR="005F3FB7" w:rsidRPr="00260790" w:rsidRDefault="005F3FB7" w:rsidP="00E20250">
            <w:pPr>
              <w:spacing w:after="0" w:line="240" w:lineRule="auto"/>
              <w:ind w:left="583"/>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800 mg/l</w:t>
            </w:r>
          </w:p>
        </w:tc>
      </w:tr>
      <w:tr w:rsidR="00BD1A2F" w:rsidRPr="00260790" w14:paraId="0344A9F8" w14:textId="77777777" w:rsidTr="002931AD">
        <w:trPr>
          <w:trHeight w:val="254"/>
        </w:trPr>
        <w:tc>
          <w:tcPr>
            <w:tcW w:w="4480" w:type="dxa"/>
            <w:vAlign w:val="bottom"/>
          </w:tcPr>
          <w:p w14:paraId="7325018E" w14:textId="77777777" w:rsidR="005F3FB7" w:rsidRPr="00260790" w:rsidRDefault="005F3FB7" w:rsidP="00E20250">
            <w:pPr>
              <w:tabs>
                <w:tab w:val="num" w:pos="527"/>
              </w:tabs>
              <w:spacing w:after="0" w:line="240" w:lineRule="auto"/>
              <w:ind w:left="527"/>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DCO</w:t>
            </w:r>
          </w:p>
        </w:tc>
        <w:tc>
          <w:tcPr>
            <w:tcW w:w="4520" w:type="dxa"/>
            <w:vAlign w:val="bottom"/>
          </w:tcPr>
          <w:p w14:paraId="6DB992E1" w14:textId="77777777" w:rsidR="005F3FB7" w:rsidRPr="00260790" w:rsidRDefault="005F3FB7" w:rsidP="00E20250">
            <w:pPr>
              <w:spacing w:after="0" w:line="240" w:lineRule="auto"/>
              <w:ind w:left="583"/>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2000 mg/l</w:t>
            </w:r>
          </w:p>
        </w:tc>
      </w:tr>
      <w:tr w:rsidR="00BD1A2F" w:rsidRPr="00260790" w14:paraId="128E8D65" w14:textId="77777777" w:rsidTr="002931AD">
        <w:trPr>
          <w:trHeight w:val="251"/>
        </w:trPr>
        <w:tc>
          <w:tcPr>
            <w:tcW w:w="4480" w:type="dxa"/>
            <w:vAlign w:val="bottom"/>
          </w:tcPr>
          <w:p w14:paraId="7C3935AE" w14:textId="77777777" w:rsidR="005F3FB7" w:rsidRPr="00260790" w:rsidRDefault="005F3FB7" w:rsidP="00E20250">
            <w:pPr>
              <w:tabs>
                <w:tab w:val="num" w:pos="527"/>
              </w:tabs>
              <w:spacing w:after="0" w:line="240" w:lineRule="auto"/>
              <w:ind w:left="527"/>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Azote total</w:t>
            </w:r>
          </w:p>
        </w:tc>
        <w:tc>
          <w:tcPr>
            <w:tcW w:w="4520" w:type="dxa"/>
            <w:vAlign w:val="bottom"/>
          </w:tcPr>
          <w:p w14:paraId="39CD42F5" w14:textId="77777777" w:rsidR="005F3FB7" w:rsidRPr="00260790" w:rsidRDefault="005F3FB7" w:rsidP="00E20250">
            <w:pPr>
              <w:spacing w:after="0" w:line="240" w:lineRule="auto"/>
              <w:ind w:left="583"/>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150 mg/l</w:t>
            </w:r>
          </w:p>
        </w:tc>
      </w:tr>
      <w:tr w:rsidR="00BD1A2F" w:rsidRPr="00260790" w14:paraId="0F9958B8" w14:textId="77777777" w:rsidTr="002931AD">
        <w:trPr>
          <w:trHeight w:val="248"/>
        </w:trPr>
        <w:tc>
          <w:tcPr>
            <w:tcW w:w="4480" w:type="dxa"/>
            <w:vAlign w:val="bottom"/>
          </w:tcPr>
          <w:p w14:paraId="01D30DBF" w14:textId="77777777" w:rsidR="005F3FB7" w:rsidRPr="00260790" w:rsidRDefault="005F3FB7" w:rsidP="00E20250">
            <w:pPr>
              <w:tabs>
                <w:tab w:val="num" w:pos="527"/>
              </w:tabs>
              <w:spacing w:after="0" w:line="240" w:lineRule="auto"/>
              <w:ind w:left="527"/>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Phosphore total</w:t>
            </w:r>
          </w:p>
        </w:tc>
        <w:tc>
          <w:tcPr>
            <w:tcW w:w="4520" w:type="dxa"/>
            <w:vAlign w:val="bottom"/>
          </w:tcPr>
          <w:p w14:paraId="18C318C1" w14:textId="77777777" w:rsidR="005F3FB7" w:rsidRPr="00260790" w:rsidRDefault="005F3FB7" w:rsidP="00E20250">
            <w:pPr>
              <w:spacing w:after="0" w:line="240" w:lineRule="auto"/>
              <w:ind w:left="583"/>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50 mg/l</w:t>
            </w:r>
          </w:p>
        </w:tc>
      </w:tr>
      <w:tr w:rsidR="00BD1A2F" w:rsidRPr="00260790" w14:paraId="25F89907" w14:textId="77777777" w:rsidTr="002931AD">
        <w:trPr>
          <w:trHeight w:val="248"/>
        </w:trPr>
        <w:tc>
          <w:tcPr>
            <w:tcW w:w="4480" w:type="dxa"/>
            <w:vAlign w:val="bottom"/>
          </w:tcPr>
          <w:p w14:paraId="08ED4298" w14:textId="77777777" w:rsidR="005F3FB7" w:rsidRPr="00260790" w:rsidRDefault="005F3FB7" w:rsidP="00E20250">
            <w:pPr>
              <w:tabs>
                <w:tab w:val="num" w:pos="527"/>
              </w:tabs>
              <w:spacing w:after="0" w:line="240" w:lineRule="auto"/>
              <w:ind w:left="527"/>
              <w:rPr>
                <w:rFonts w:ascii="Times New Roman" w:eastAsia="Times New Roman" w:hAnsi="Times New Roman"/>
                <w:color w:val="000000" w:themeColor="text1"/>
                <w:lang w:eastAsia="fr-FR"/>
              </w:rPr>
            </w:pPr>
            <w:proofErr w:type="gramStart"/>
            <w:r w:rsidRPr="00260790">
              <w:rPr>
                <w:rFonts w:ascii="Times New Roman" w:eastAsia="Times New Roman" w:hAnsi="Times New Roman"/>
                <w:color w:val="000000" w:themeColor="text1"/>
                <w:lang w:eastAsia="fr-FR"/>
              </w:rPr>
              <w:t>pH</w:t>
            </w:r>
            <w:proofErr w:type="gramEnd"/>
          </w:p>
        </w:tc>
        <w:tc>
          <w:tcPr>
            <w:tcW w:w="4520" w:type="dxa"/>
            <w:vAlign w:val="bottom"/>
          </w:tcPr>
          <w:p w14:paraId="11207A18" w14:textId="77777777" w:rsidR="005F3FB7" w:rsidRPr="00260790" w:rsidRDefault="005F3FB7" w:rsidP="00E20250">
            <w:pPr>
              <w:spacing w:after="0" w:line="240" w:lineRule="auto"/>
              <w:ind w:left="583"/>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6 - 9</w:t>
            </w:r>
          </w:p>
        </w:tc>
      </w:tr>
      <w:tr w:rsidR="00BD1A2F" w:rsidRPr="00260790" w14:paraId="2743C496" w14:textId="77777777" w:rsidTr="002931AD">
        <w:trPr>
          <w:trHeight w:val="252"/>
        </w:trPr>
        <w:tc>
          <w:tcPr>
            <w:tcW w:w="4480" w:type="dxa"/>
            <w:vAlign w:val="bottom"/>
          </w:tcPr>
          <w:p w14:paraId="4D135EC2" w14:textId="77777777" w:rsidR="005F3FB7" w:rsidRPr="00260790" w:rsidRDefault="005F3FB7" w:rsidP="00E20250">
            <w:pPr>
              <w:tabs>
                <w:tab w:val="num" w:pos="527"/>
              </w:tabs>
              <w:spacing w:after="0" w:line="240" w:lineRule="auto"/>
              <w:ind w:left="527"/>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Température</w:t>
            </w:r>
          </w:p>
        </w:tc>
        <w:tc>
          <w:tcPr>
            <w:tcW w:w="4520" w:type="dxa"/>
            <w:vAlign w:val="bottom"/>
          </w:tcPr>
          <w:p w14:paraId="7B2721AC" w14:textId="77777777" w:rsidR="005F3FB7" w:rsidRPr="00260790" w:rsidRDefault="005F3FB7" w:rsidP="00E20250">
            <w:pPr>
              <w:spacing w:after="0" w:line="240" w:lineRule="auto"/>
              <w:ind w:left="583"/>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30 °C</w:t>
            </w:r>
          </w:p>
        </w:tc>
      </w:tr>
    </w:tbl>
    <w:p w14:paraId="6DD98721" w14:textId="48954D91" w:rsidR="005F3FB7" w:rsidRDefault="005F3FB7" w:rsidP="00E20250">
      <w:pPr>
        <w:tabs>
          <w:tab w:val="num" w:pos="0"/>
        </w:tabs>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u w:val="single"/>
          <w:lang w:eastAsia="fr-FR"/>
        </w:rPr>
        <w:t>Source</w:t>
      </w:r>
      <w:r w:rsidRPr="00260790">
        <w:rPr>
          <w:rFonts w:ascii="Times New Roman" w:eastAsia="Times New Roman" w:hAnsi="Times New Roman"/>
          <w:color w:val="000000" w:themeColor="text1"/>
          <w:lang w:eastAsia="fr-FR"/>
        </w:rPr>
        <w:t xml:space="preserve"> : Norme Sénégalaise NS 05-061</w:t>
      </w:r>
    </w:p>
    <w:p w14:paraId="22CD9B4E" w14:textId="77777777" w:rsidR="00291A74" w:rsidRPr="00260790" w:rsidRDefault="00291A74" w:rsidP="00E20250">
      <w:pPr>
        <w:tabs>
          <w:tab w:val="num" w:pos="0"/>
        </w:tabs>
        <w:spacing w:after="0" w:line="240" w:lineRule="auto"/>
        <w:rPr>
          <w:rFonts w:ascii="Times New Roman" w:eastAsia="Times New Roman" w:hAnsi="Times New Roman"/>
          <w:color w:val="000000" w:themeColor="text1"/>
          <w:lang w:eastAsia="fr-FR"/>
        </w:rPr>
      </w:pPr>
    </w:p>
    <w:p w14:paraId="4D21F89F" w14:textId="2014D947" w:rsidR="005F3FB7" w:rsidRPr="00260790" w:rsidRDefault="005F3FB7" w:rsidP="0097258B">
      <w:pPr>
        <w:pStyle w:val="CHAPITRE1"/>
      </w:pPr>
      <w:bookmarkStart w:id="242" w:name="page31"/>
      <w:bookmarkStart w:id="243" w:name="_Toc474379967"/>
      <w:bookmarkStart w:id="244" w:name="_Toc212725096"/>
      <w:bookmarkEnd w:id="242"/>
      <w:r w:rsidRPr="00260790">
        <w:t>Dispositions légales réglementant les conditions de</w:t>
      </w:r>
      <w:r w:rsidR="00EB25BC" w:rsidRPr="00260790">
        <w:t>s</w:t>
      </w:r>
      <w:r w:rsidRPr="00260790">
        <w:t xml:space="preserve"> travailleurs</w:t>
      </w:r>
      <w:bookmarkEnd w:id="243"/>
      <w:bookmarkEnd w:id="244"/>
    </w:p>
    <w:p w14:paraId="2B4BBA83" w14:textId="77777777" w:rsidR="005F3FB7" w:rsidRPr="00260790" w:rsidRDefault="005F3FB7" w:rsidP="006B2607">
      <w:pPr>
        <w:tabs>
          <w:tab w:val="num" w:pos="0"/>
          <w:tab w:val="left" w:pos="364"/>
        </w:tabs>
        <w:spacing w:after="0" w:line="240" w:lineRule="auto"/>
        <w:ind w:right="20"/>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La Loi n°97-17 du 1</w:t>
      </w:r>
      <w:r w:rsidRPr="00260790">
        <w:rPr>
          <w:rFonts w:ascii="Times New Roman" w:eastAsia="Times New Roman" w:hAnsi="Times New Roman"/>
          <w:b/>
          <w:i/>
          <w:color w:val="000000" w:themeColor="text1"/>
          <w:vertAlign w:val="superscript"/>
          <w:lang w:eastAsia="fr-FR"/>
        </w:rPr>
        <w:t>er</w:t>
      </w:r>
      <w:r w:rsidRPr="00260790">
        <w:rPr>
          <w:rFonts w:ascii="Times New Roman" w:eastAsia="Times New Roman" w:hAnsi="Times New Roman"/>
          <w:b/>
          <w:i/>
          <w:color w:val="000000" w:themeColor="text1"/>
          <w:lang w:eastAsia="fr-FR"/>
        </w:rPr>
        <w:t xml:space="preserve"> décembre 1997 portant Code du Travail</w:t>
      </w:r>
      <w:r w:rsidRPr="00260790">
        <w:rPr>
          <w:rFonts w:ascii="Times New Roman" w:eastAsia="Times New Roman" w:hAnsi="Times New Roman"/>
          <w:b/>
          <w:color w:val="000000" w:themeColor="text1"/>
          <w:lang w:eastAsia="fr-FR"/>
        </w:rPr>
        <w:t xml:space="preserve"> </w:t>
      </w:r>
      <w:r w:rsidRPr="00260790">
        <w:rPr>
          <w:rFonts w:ascii="Times New Roman" w:eastAsia="Times New Roman" w:hAnsi="Times New Roman"/>
          <w:color w:val="000000" w:themeColor="text1"/>
          <w:lang w:eastAsia="fr-FR"/>
        </w:rPr>
        <w:t>fixe les conditions de travail, notamment en ce qui concerne la durée du</w:t>
      </w:r>
      <w:r w:rsidRPr="00260790">
        <w:rPr>
          <w:rFonts w:ascii="Times New Roman" w:eastAsia="Times New Roman" w:hAnsi="Times New Roman"/>
          <w:b/>
          <w:color w:val="000000" w:themeColor="text1"/>
          <w:lang w:eastAsia="fr-FR"/>
        </w:rPr>
        <w:t xml:space="preserve"> </w:t>
      </w:r>
      <w:r w:rsidRPr="00260790">
        <w:rPr>
          <w:rFonts w:ascii="Times New Roman" w:eastAsia="Times New Roman" w:hAnsi="Times New Roman"/>
          <w:color w:val="000000" w:themeColor="text1"/>
          <w:lang w:eastAsia="fr-FR"/>
        </w:rPr>
        <w:t>travail qui est 40 heures par semaine, le travail de nuit, le contrat des femmes et des enfants et le repos hebdomadaire qui est obligatoire. Le texte traite également de l’Hygiène et de la Sécurité dans les lieux de travail et indique les mesures que toute activité doit prendre pour assurer le respect</w:t>
      </w:r>
      <w:r w:rsidRPr="00260790">
        <w:rPr>
          <w:rFonts w:ascii="Times New Roman" w:hAnsi="Times New Roman"/>
          <w:color w:val="000000" w:themeColor="text1"/>
        </w:rPr>
        <w:t xml:space="preserve"> </w:t>
      </w:r>
      <w:r w:rsidRPr="00260790">
        <w:rPr>
          <w:rFonts w:ascii="Times New Roman" w:eastAsia="Times New Roman" w:hAnsi="Times New Roman"/>
          <w:color w:val="000000" w:themeColor="text1"/>
          <w:lang w:eastAsia="fr-FR"/>
        </w:rPr>
        <w:t>au travail décent, l’hygiène et la sécurité garantes d’un environnement sain et de conditions de travail sécurisées. Le projet tiendra compte de cette loi, de même que des nouveaux décrets et arrêtés qui sont venus s’ajouter au dispositif mis en place, notamment :</w:t>
      </w:r>
    </w:p>
    <w:p w14:paraId="74662CF8" w14:textId="77777777" w:rsidR="005F3FB7" w:rsidRPr="00260790" w:rsidRDefault="005F3FB7" w:rsidP="001748C6">
      <w:pPr>
        <w:numPr>
          <w:ilvl w:val="0"/>
          <w:numId w:val="7"/>
        </w:numPr>
        <w:tabs>
          <w:tab w:val="num" w:pos="0"/>
        </w:tabs>
        <w:spacing w:after="0" w:line="240" w:lineRule="auto"/>
        <w:ind w:right="20"/>
        <w:jc w:val="both"/>
        <w:rPr>
          <w:rFonts w:ascii="Times New Roman" w:eastAsia="Symbol" w:hAnsi="Times New Roman"/>
          <w:color w:val="000000" w:themeColor="text1"/>
          <w:lang w:eastAsia="fr-FR"/>
        </w:rPr>
      </w:pPr>
      <w:proofErr w:type="gramStart"/>
      <w:r w:rsidRPr="00260790">
        <w:rPr>
          <w:rFonts w:ascii="Times New Roman" w:eastAsia="Times New Roman" w:hAnsi="Times New Roman"/>
          <w:color w:val="000000" w:themeColor="text1"/>
          <w:lang w:eastAsia="fr-FR"/>
        </w:rPr>
        <w:t>le</w:t>
      </w:r>
      <w:proofErr w:type="gramEnd"/>
      <w:r w:rsidRPr="00260790">
        <w:rPr>
          <w:rFonts w:ascii="Times New Roman" w:eastAsia="Times New Roman" w:hAnsi="Times New Roman"/>
          <w:color w:val="000000" w:themeColor="text1"/>
          <w:lang w:eastAsia="fr-FR"/>
        </w:rPr>
        <w:t xml:space="preserve"> décret n°2006-1249 du 15 novembre 2006 fixant les prescriptions minimales de</w:t>
      </w:r>
      <w:r w:rsidRPr="00260790">
        <w:rPr>
          <w:rFonts w:ascii="Times New Roman" w:eastAsia="Courier New" w:hAnsi="Times New Roman"/>
          <w:color w:val="000000" w:themeColor="text1"/>
          <w:lang w:eastAsia="fr-FR"/>
        </w:rPr>
        <w:t xml:space="preserve"> </w:t>
      </w:r>
      <w:r w:rsidRPr="00260790">
        <w:rPr>
          <w:rFonts w:ascii="Times New Roman" w:eastAsia="Times New Roman" w:hAnsi="Times New Roman"/>
          <w:color w:val="000000" w:themeColor="text1"/>
          <w:lang w:eastAsia="fr-FR"/>
        </w:rPr>
        <w:t>sécurité et de santé pour les chantiers temporaires ou mobiles (par l’élaboration d’un avis préalable et le communiquer à l’Inspection du travail du ressort) ;</w:t>
      </w:r>
    </w:p>
    <w:p w14:paraId="0ED8099A" w14:textId="77777777" w:rsidR="005F3FB7" w:rsidRPr="00260790" w:rsidRDefault="005F3FB7" w:rsidP="001748C6">
      <w:pPr>
        <w:numPr>
          <w:ilvl w:val="0"/>
          <w:numId w:val="7"/>
        </w:numPr>
        <w:tabs>
          <w:tab w:val="num" w:pos="0"/>
        </w:tabs>
        <w:spacing w:after="0" w:line="240" w:lineRule="auto"/>
        <w:jc w:val="both"/>
        <w:rPr>
          <w:rFonts w:ascii="Times New Roman" w:eastAsia="Symbol" w:hAnsi="Times New Roman"/>
          <w:color w:val="000000" w:themeColor="text1"/>
          <w:lang w:eastAsia="fr-FR"/>
        </w:rPr>
      </w:pPr>
      <w:proofErr w:type="gramStart"/>
      <w:r w:rsidRPr="00260790">
        <w:rPr>
          <w:rFonts w:ascii="Times New Roman" w:eastAsia="Times New Roman" w:hAnsi="Times New Roman"/>
          <w:color w:val="000000" w:themeColor="text1"/>
          <w:lang w:eastAsia="fr-FR"/>
        </w:rPr>
        <w:t>le</w:t>
      </w:r>
      <w:proofErr w:type="gramEnd"/>
      <w:r w:rsidRPr="00260790">
        <w:rPr>
          <w:rFonts w:ascii="Times New Roman" w:eastAsia="Times New Roman" w:hAnsi="Times New Roman"/>
          <w:color w:val="000000" w:themeColor="text1"/>
          <w:lang w:eastAsia="fr-FR"/>
        </w:rPr>
        <w:t xml:space="preserve"> décret n°2006-1251 du 15 novembre 2006 relatif aux équipements de travail ;</w:t>
      </w:r>
    </w:p>
    <w:p w14:paraId="10F514D1" w14:textId="77777777" w:rsidR="005F3FB7" w:rsidRPr="00260790" w:rsidRDefault="005F3FB7" w:rsidP="001748C6">
      <w:pPr>
        <w:numPr>
          <w:ilvl w:val="0"/>
          <w:numId w:val="7"/>
        </w:numPr>
        <w:tabs>
          <w:tab w:val="num" w:pos="0"/>
        </w:tabs>
        <w:spacing w:after="0" w:line="240" w:lineRule="auto"/>
        <w:ind w:right="20"/>
        <w:jc w:val="both"/>
        <w:rPr>
          <w:rFonts w:ascii="Times New Roman" w:eastAsia="Times New Roman" w:hAnsi="Times New Roman"/>
          <w:color w:val="000000" w:themeColor="text1"/>
          <w:lang w:eastAsia="fr-FR"/>
        </w:rPr>
      </w:pPr>
      <w:proofErr w:type="gramStart"/>
      <w:r w:rsidRPr="00260790">
        <w:rPr>
          <w:rFonts w:ascii="Times New Roman" w:eastAsia="Times New Roman" w:hAnsi="Times New Roman"/>
          <w:color w:val="000000" w:themeColor="text1"/>
          <w:lang w:eastAsia="fr-FR"/>
        </w:rPr>
        <w:t>le</w:t>
      </w:r>
      <w:proofErr w:type="gramEnd"/>
      <w:r w:rsidRPr="00260790">
        <w:rPr>
          <w:rFonts w:ascii="Times New Roman" w:eastAsia="Times New Roman" w:hAnsi="Times New Roman"/>
          <w:color w:val="000000" w:themeColor="text1"/>
          <w:lang w:eastAsia="fr-FR"/>
        </w:rPr>
        <w:t xml:space="preserve"> décret n°2006-1252 du 15 novembre 2006 fixant les prescriptions minimales de</w:t>
      </w:r>
      <w:r w:rsidRPr="00260790">
        <w:rPr>
          <w:rFonts w:ascii="Times New Roman" w:eastAsia="Courier New" w:hAnsi="Times New Roman"/>
          <w:color w:val="000000" w:themeColor="text1"/>
          <w:lang w:eastAsia="fr-FR"/>
        </w:rPr>
        <w:t xml:space="preserve"> </w:t>
      </w:r>
      <w:r w:rsidRPr="00260790">
        <w:rPr>
          <w:rFonts w:ascii="Times New Roman" w:eastAsia="Times New Roman" w:hAnsi="Times New Roman"/>
          <w:color w:val="000000" w:themeColor="text1"/>
          <w:lang w:eastAsia="fr-FR"/>
        </w:rPr>
        <w:t>prévention de certains facteurs physiques d’ambiance ;</w:t>
      </w:r>
    </w:p>
    <w:p w14:paraId="252C4E6C" w14:textId="77777777" w:rsidR="005F3FB7" w:rsidRPr="00260790" w:rsidRDefault="005F3FB7" w:rsidP="001748C6">
      <w:pPr>
        <w:numPr>
          <w:ilvl w:val="0"/>
          <w:numId w:val="7"/>
        </w:numPr>
        <w:tabs>
          <w:tab w:val="num" w:pos="0"/>
        </w:tabs>
        <w:spacing w:after="0" w:line="240" w:lineRule="auto"/>
        <w:ind w:right="20"/>
        <w:jc w:val="both"/>
        <w:rPr>
          <w:rFonts w:ascii="Times New Roman" w:eastAsia="Times New Roman" w:hAnsi="Times New Roman"/>
          <w:color w:val="000000" w:themeColor="text1"/>
          <w:lang w:eastAsia="fr-FR"/>
        </w:rPr>
      </w:pPr>
      <w:proofErr w:type="gramStart"/>
      <w:r w:rsidRPr="00260790">
        <w:rPr>
          <w:rFonts w:ascii="Times New Roman" w:eastAsia="Times New Roman" w:hAnsi="Times New Roman"/>
          <w:color w:val="000000" w:themeColor="text1"/>
          <w:lang w:eastAsia="fr-FR"/>
        </w:rPr>
        <w:t>le</w:t>
      </w:r>
      <w:proofErr w:type="gramEnd"/>
      <w:r w:rsidRPr="00260790">
        <w:rPr>
          <w:rFonts w:ascii="Times New Roman" w:eastAsia="Times New Roman" w:hAnsi="Times New Roman"/>
          <w:color w:val="000000" w:themeColor="text1"/>
          <w:lang w:eastAsia="fr-FR"/>
        </w:rPr>
        <w:t xml:space="preserve"> décret n°2006-1254 du 15 novembre 2006 relatif à la manutention manuelle des </w:t>
      </w:r>
      <w:proofErr w:type="gramStart"/>
      <w:r w:rsidRPr="00260790">
        <w:rPr>
          <w:rFonts w:ascii="Times New Roman" w:eastAsia="Times New Roman" w:hAnsi="Times New Roman"/>
          <w:color w:val="000000" w:themeColor="text1"/>
          <w:lang w:eastAsia="fr-FR"/>
        </w:rPr>
        <w:t>charges;</w:t>
      </w:r>
      <w:proofErr w:type="gramEnd"/>
    </w:p>
    <w:p w14:paraId="2FC95D6D" w14:textId="77777777" w:rsidR="005F3FB7" w:rsidRPr="00260790" w:rsidRDefault="005F3FB7" w:rsidP="001748C6">
      <w:pPr>
        <w:numPr>
          <w:ilvl w:val="0"/>
          <w:numId w:val="7"/>
        </w:numPr>
        <w:tabs>
          <w:tab w:val="num" w:pos="0"/>
        </w:tabs>
        <w:spacing w:after="0" w:line="240" w:lineRule="auto"/>
        <w:ind w:right="20"/>
        <w:jc w:val="both"/>
        <w:rPr>
          <w:rFonts w:ascii="Times New Roman" w:eastAsia="Times New Roman" w:hAnsi="Times New Roman"/>
          <w:color w:val="000000" w:themeColor="text1"/>
          <w:lang w:eastAsia="fr-FR"/>
        </w:rPr>
      </w:pPr>
      <w:proofErr w:type="gramStart"/>
      <w:r w:rsidRPr="00260790">
        <w:rPr>
          <w:rFonts w:ascii="Times New Roman" w:eastAsia="Times New Roman" w:hAnsi="Times New Roman"/>
          <w:color w:val="000000" w:themeColor="text1"/>
          <w:lang w:eastAsia="fr-FR"/>
        </w:rPr>
        <w:t>le</w:t>
      </w:r>
      <w:proofErr w:type="gramEnd"/>
      <w:r w:rsidRPr="00260790">
        <w:rPr>
          <w:rFonts w:ascii="Times New Roman" w:eastAsia="Times New Roman" w:hAnsi="Times New Roman"/>
          <w:color w:val="000000" w:themeColor="text1"/>
          <w:lang w:eastAsia="fr-FR"/>
        </w:rPr>
        <w:t xml:space="preserve"> décret n°2006-1256 du 15 novembre 2006 fixant les obligations des employeurs en matière de sécurité au travail ;</w:t>
      </w:r>
    </w:p>
    <w:p w14:paraId="5B11F06B" w14:textId="77777777" w:rsidR="005F3FB7" w:rsidRPr="00260790" w:rsidRDefault="005F3FB7" w:rsidP="001748C6">
      <w:pPr>
        <w:numPr>
          <w:ilvl w:val="0"/>
          <w:numId w:val="7"/>
        </w:numPr>
        <w:tabs>
          <w:tab w:val="num" w:pos="0"/>
        </w:tabs>
        <w:spacing w:after="0" w:line="240" w:lineRule="auto"/>
        <w:ind w:right="20"/>
        <w:jc w:val="both"/>
        <w:rPr>
          <w:rFonts w:ascii="Times New Roman" w:eastAsia="Times New Roman" w:hAnsi="Times New Roman"/>
          <w:color w:val="000000" w:themeColor="text1"/>
          <w:lang w:eastAsia="fr-FR"/>
        </w:rPr>
      </w:pPr>
      <w:proofErr w:type="gramStart"/>
      <w:r w:rsidRPr="00260790">
        <w:rPr>
          <w:rFonts w:ascii="Times New Roman" w:eastAsia="Times New Roman" w:hAnsi="Times New Roman"/>
          <w:color w:val="000000" w:themeColor="text1"/>
          <w:lang w:eastAsia="fr-FR"/>
        </w:rPr>
        <w:lastRenderedPageBreak/>
        <w:t>le</w:t>
      </w:r>
      <w:proofErr w:type="gramEnd"/>
      <w:r w:rsidRPr="00260790">
        <w:rPr>
          <w:rFonts w:ascii="Times New Roman" w:eastAsia="Times New Roman" w:hAnsi="Times New Roman"/>
          <w:color w:val="000000" w:themeColor="text1"/>
          <w:lang w:eastAsia="fr-FR"/>
        </w:rPr>
        <w:t xml:space="preserve"> décret n°2006-1261 du 15 novembre 2006 fixant les mesures générales d’hygiène et de sécurité dans les établissements de toute nature est aussi applicable ;</w:t>
      </w:r>
    </w:p>
    <w:p w14:paraId="5A412032" w14:textId="77777777" w:rsidR="005F3FB7" w:rsidRPr="00260790" w:rsidRDefault="005F3FB7" w:rsidP="001748C6">
      <w:pPr>
        <w:numPr>
          <w:ilvl w:val="0"/>
          <w:numId w:val="7"/>
        </w:numPr>
        <w:tabs>
          <w:tab w:val="num" w:pos="0"/>
        </w:tabs>
        <w:spacing w:line="240" w:lineRule="auto"/>
        <w:ind w:right="20"/>
        <w:jc w:val="both"/>
        <w:rPr>
          <w:rFonts w:ascii="Times New Roman" w:eastAsia="Times New Roman" w:hAnsi="Times New Roman"/>
          <w:color w:val="000000" w:themeColor="text1"/>
          <w:lang w:eastAsia="fr-FR"/>
        </w:rPr>
      </w:pPr>
      <w:proofErr w:type="gramStart"/>
      <w:r w:rsidRPr="00260790">
        <w:rPr>
          <w:rFonts w:ascii="Times New Roman" w:eastAsia="Times New Roman" w:hAnsi="Times New Roman"/>
          <w:color w:val="000000" w:themeColor="text1"/>
          <w:lang w:eastAsia="fr-FR"/>
        </w:rPr>
        <w:t>l’arrêté</w:t>
      </w:r>
      <w:proofErr w:type="gramEnd"/>
      <w:r w:rsidRPr="00260790">
        <w:rPr>
          <w:rFonts w:ascii="Times New Roman" w:eastAsia="Times New Roman" w:hAnsi="Times New Roman"/>
          <w:color w:val="000000" w:themeColor="text1"/>
          <w:lang w:eastAsia="fr-FR"/>
        </w:rPr>
        <w:t xml:space="preserve"> ministériel n°3748 MFPTEOP_DTSS en date du 6 juin 2003 sur l’interdiction du travail des enfants de moins de 15 ans révolus.</w:t>
      </w:r>
    </w:p>
    <w:p w14:paraId="4B091017" w14:textId="77777777" w:rsidR="005F3FB7" w:rsidRPr="00260790" w:rsidRDefault="005F3FB7" w:rsidP="00E20250">
      <w:pPr>
        <w:autoSpaceDE w:val="0"/>
        <w:autoSpaceDN w:val="0"/>
        <w:adjustRightInd w:val="0"/>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Code du travail, avec le décret n°2006-1249 du 15 novembre 2006, oblige les employeurs à respecter certaines dispositions relatives aux droits, à la santé et à la sécurité des travailleurs. Les articles 167 à 187 traitent de tout ce qui a trait aux conditions d’hygiène et de sécurité au travail. Il traite essentiellement les dispositions à prendre dans le cadre de l’entreprise par l’employeur pour assurer aux employés un cadre de travail sain, sure, et salubre.</w:t>
      </w:r>
    </w:p>
    <w:p w14:paraId="68D33DB3" w14:textId="77777777" w:rsidR="005F3FB7" w:rsidRPr="00260790" w:rsidRDefault="005F3FB7" w:rsidP="00E20250">
      <w:pPr>
        <w:autoSpaceDE w:val="0"/>
        <w:autoSpaceDN w:val="0"/>
        <w:adjustRightInd w:val="0"/>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Il fixe également les prescriptions minimales de sécurité et de santé pour les chantiers temporaires ou mobiles. Les dispositions du Code du travail, applicables au présent projet, sont présentées dans le tableau suivant.</w:t>
      </w:r>
    </w:p>
    <w:p w14:paraId="2686D7D3" w14:textId="5AF29ABA" w:rsidR="005F3FB7" w:rsidRPr="00260790" w:rsidRDefault="005F3FB7" w:rsidP="00E20250">
      <w:pPr>
        <w:pStyle w:val="Lgende"/>
        <w:keepNext/>
        <w:spacing w:line="240" w:lineRule="auto"/>
        <w:rPr>
          <w:iCs w:val="0"/>
          <w:color w:val="000000" w:themeColor="text1"/>
          <w:sz w:val="22"/>
          <w:szCs w:val="22"/>
        </w:rPr>
      </w:pPr>
      <w:bookmarkStart w:id="245" w:name="_Toc207781848"/>
      <w:r w:rsidRPr="00260790">
        <w:rPr>
          <w:iCs w:val="0"/>
          <w:color w:val="000000" w:themeColor="text1"/>
          <w:sz w:val="22"/>
          <w:szCs w:val="22"/>
        </w:rPr>
        <w:t xml:space="preserve">Tableau </w:t>
      </w:r>
      <w:r w:rsidRPr="00260790">
        <w:rPr>
          <w:iCs w:val="0"/>
          <w:color w:val="000000" w:themeColor="text1"/>
          <w:sz w:val="22"/>
          <w:szCs w:val="22"/>
        </w:rPr>
        <w:fldChar w:fldCharType="begin"/>
      </w:r>
      <w:r w:rsidRPr="00260790">
        <w:rPr>
          <w:iCs w:val="0"/>
          <w:color w:val="000000" w:themeColor="text1"/>
          <w:sz w:val="22"/>
          <w:szCs w:val="22"/>
        </w:rPr>
        <w:instrText xml:space="preserve"> SEQ Tableau \* ARABIC </w:instrText>
      </w:r>
      <w:r w:rsidRPr="00260790">
        <w:rPr>
          <w:iCs w:val="0"/>
          <w:color w:val="000000" w:themeColor="text1"/>
          <w:sz w:val="22"/>
          <w:szCs w:val="22"/>
        </w:rPr>
        <w:fldChar w:fldCharType="separate"/>
      </w:r>
      <w:r w:rsidR="003C783E">
        <w:rPr>
          <w:iCs w:val="0"/>
          <w:noProof/>
          <w:color w:val="000000" w:themeColor="text1"/>
          <w:sz w:val="22"/>
          <w:szCs w:val="22"/>
        </w:rPr>
        <w:t>7</w:t>
      </w:r>
      <w:r w:rsidRPr="00260790">
        <w:rPr>
          <w:iCs w:val="0"/>
          <w:color w:val="000000" w:themeColor="text1"/>
          <w:sz w:val="22"/>
          <w:szCs w:val="22"/>
        </w:rPr>
        <w:fldChar w:fldCharType="end"/>
      </w:r>
      <w:r w:rsidRPr="00260790">
        <w:rPr>
          <w:iCs w:val="0"/>
          <w:color w:val="000000" w:themeColor="text1"/>
          <w:sz w:val="22"/>
          <w:szCs w:val="22"/>
        </w:rPr>
        <w:t xml:space="preserve"> : Dispositions du Code du travail relatives à l’Hygiène et à la Sécurité</w:t>
      </w:r>
      <w:bookmarkEnd w:id="245"/>
      <w:r w:rsidRPr="00260790">
        <w:rPr>
          <w:iCs w:val="0"/>
          <w:color w:val="000000" w:themeColor="text1"/>
          <w:sz w:val="22"/>
          <w:szCs w:val="22"/>
        </w:rPr>
        <w:t xml:space="preserve"> </w:t>
      </w:r>
    </w:p>
    <w:tbl>
      <w:tblPr>
        <w:tblW w:w="53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8"/>
        <w:gridCol w:w="5865"/>
        <w:gridCol w:w="2316"/>
      </w:tblGrid>
      <w:tr w:rsidR="00BD1A2F" w:rsidRPr="00260790" w14:paraId="6C414E97" w14:textId="77777777" w:rsidTr="0016786A">
        <w:trPr>
          <w:trHeight w:val="262"/>
          <w:tblHeader/>
        </w:trPr>
        <w:tc>
          <w:tcPr>
            <w:tcW w:w="804" w:type="pct"/>
            <w:shd w:val="clear" w:color="auto" w:fill="E2EFD9" w:themeFill="accent6" w:themeFillTint="33"/>
            <w:vAlign w:val="center"/>
          </w:tcPr>
          <w:p w14:paraId="1E12767F" w14:textId="77777777" w:rsidR="005F3FB7" w:rsidRPr="00260790" w:rsidRDefault="005F3FB7" w:rsidP="00E20250">
            <w:pPr>
              <w:spacing w:after="0" w:line="240" w:lineRule="auto"/>
              <w:jc w:val="center"/>
              <w:rPr>
                <w:rFonts w:ascii="Times New Roman" w:eastAsia="Times New Roman" w:hAnsi="Times New Roman"/>
                <w:b/>
                <w:color w:val="000000" w:themeColor="text1"/>
                <w:lang w:eastAsia="fr-FR"/>
              </w:rPr>
            </w:pPr>
            <w:r w:rsidRPr="00260790">
              <w:rPr>
                <w:rFonts w:ascii="Times New Roman" w:eastAsia="Times New Roman" w:hAnsi="Times New Roman"/>
                <w:b/>
                <w:bCs/>
                <w:color w:val="000000" w:themeColor="text1"/>
                <w:lang w:eastAsia="fr-FR"/>
              </w:rPr>
              <w:t>Références</w:t>
            </w:r>
          </w:p>
        </w:tc>
        <w:tc>
          <w:tcPr>
            <w:tcW w:w="3008" w:type="pct"/>
            <w:shd w:val="clear" w:color="auto" w:fill="E2EFD9" w:themeFill="accent6" w:themeFillTint="33"/>
            <w:vAlign w:val="center"/>
          </w:tcPr>
          <w:p w14:paraId="4558AC7F" w14:textId="77777777" w:rsidR="005F3FB7" w:rsidRPr="00260790" w:rsidRDefault="005F3FB7" w:rsidP="00E20250">
            <w:pPr>
              <w:spacing w:after="0" w:line="240" w:lineRule="auto"/>
              <w:jc w:val="center"/>
              <w:rPr>
                <w:rFonts w:ascii="Times New Roman" w:eastAsia="Times New Roman" w:hAnsi="Times New Roman"/>
                <w:b/>
                <w:color w:val="000000" w:themeColor="text1"/>
                <w:lang w:eastAsia="fr-FR"/>
              </w:rPr>
            </w:pPr>
            <w:r w:rsidRPr="00260790">
              <w:rPr>
                <w:rFonts w:ascii="Times New Roman" w:eastAsia="Times New Roman" w:hAnsi="Times New Roman"/>
                <w:b/>
                <w:bCs/>
                <w:color w:val="000000" w:themeColor="text1"/>
                <w:lang w:eastAsia="fr-FR"/>
              </w:rPr>
              <w:t>Domaine réglementé</w:t>
            </w:r>
          </w:p>
        </w:tc>
        <w:tc>
          <w:tcPr>
            <w:tcW w:w="1188" w:type="pct"/>
            <w:shd w:val="clear" w:color="auto" w:fill="E2EFD9" w:themeFill="accent6" w:themeFillTint="33"/>
            <w:vAlign w:val="center"/>
          </w:tcPr>
          <w:p w14:paraId="75DE4D1D" w14:textId="77777777" w:rsidR="005F3FB7" w:rsidRPr="00260790" w:rsidRDefault="005F3FB7" w:rsidP="00E20250">
            <w:pPr>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bCs/>
                <w:color w:val="000000" w:themeColor="text1"/>
                <w:lang w:eastAsia="fr-FR"/>
              </w:rPr>
              <w:t>Pertinence pour le Projet</w:t>
            </w:r>
          </w:p>
        </w:tc>
      </w:tr>
      <w:tr w:rsidR="00BD1A2F" w:rsidRPr="00260790" w14:paraId="72DA7997" w14:textId="77777777" w:rsidTr="0016786A">
        <w:trPr>
          <w:trHeight w:val="1398"/>
        </w:trPr>
        <w:tc>
          <w:tcPr>
            <w:tcW w:w="804" w:type="pct"/>
            <w:shd w:val="clear" w:color="auto" w:fill="FFFFFF"/>
            <w:vAlign w:val="center"/>
          </w:tcPr>
          <w:p w14:paraId="2070D6D7"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Article L 172</w:t>
            </w:r>
          </w:p>
        </w:tc>
        <w:tc>
          <w:tcPr>
            <w:tcW w:w="3008" w:type="pct"/>
            <w:shd w:val="clear" w:color="auto" w:fill="FFFFFF"/>
            <w:vAlign w:val="center"/>
          </w:tcPr>
          <w:p w14:paraId="23EEC3CF" w14:textId="77777777" w:rsidR="005F3FB7" w:rsidRPr="00260790" w:rsidRDefault="005F3FB7" w:rsidP="00E20250">
            <w:pPr>
              <w:pStyle w:val="ps"/>
              <w:keepLines w:val="0"/>
              <w:spacing w:before="0"/>
              <w:rPr>
                <w:rFonts w:ascii="Times New Roman" w:hAnsi="Times New Roman"/>
                <w:color w:val="000000" w:themeColor="text1"/>
                <w:sz w:val="22"/>
                <w:szCs w:val="22"/>
                <w:lang w:val="fr-FR" w:eastAsia="fr-FR"/>
              </w:rPr>
            </w:pPr>
            <w:r w:rsidRPr="00260790">
              <w:rPr>
                <w:rFonts w:ascii="Times New Roman" w:hAnsi="Times New Roman"/>
                <w:color w:val="000000" w:themeColor="text1"/>
                <w:sz w:val="22"/>
                <w:szCs w:val="22"/>
                <w:lang w:val="fr-FR" w:eastAsia="fr-FR"/>
              </w:rPr>
              <w:t>Lorsque les mesures prises ne sont pas suffisantes pour garantir la sécurité ou la santé des travailleurs, les mesures de protection individuelle contre les risques professionnels doivent être mises en œuvre. Lorsque ces mesures de protection individuelle requièrent l’utilisation, par le travailleur, d’un équipement approprié, ce dernier est fourni et entretenu par l’employeur. Dans ce cas aucun travailleur ne doit être admis à son poste de travail sans son équipement de protection individuelle.</w:t>
            </w:r>
          </w:p>
        </w:tc>
        <w:tc>
          <w:tcPr>
            <w:tcW w:w="1188" w:type="pct"/>
            <w:shd w:val="clear" w:color="auto" w:fill="FFFFFF"/>
            <w:vAlign w:val="center"/>
          </w:tcPr>
          <w:p w14:paraId="19DA9D8A" w14:textId="76D80D95" w:rsidR="005F3FB7" w:rsidRPr="00260790" w:rsidRDefault="005F3FB7" w:rsidP="00E20250">
            <w:pPr>
              <w:spacing w:after="0" w:line="240" w:lineRule="auto"/>
              <w:jc w:val="both"/>
              <w:rPr>
                <w:rFonts w:ascii="Times New Roman" w:eastAsia="Times New Roman" w:hAnsi="Times New Roman"/>
                <w:color w:val="000000" w:themeColor="text1"/>
                <w:highlight w:val="yellow"/>
                <w:lang w:eastAsia="fr-FR"/>
              </w:rPr>
            </w:pPr>
            <w:r w:rsidRPr="00260790">
              <w:rPr>
                <w:rFonts w:ascii="Times New Roman" w:eastAsia="Times New Roman" w:hAnsi="Times New Roman"/>
                <w:bCs/>
                <w:color w:val="000000" w:themeColor="text1"/>
                <w:lang w:eastAsia="fr-FR"/>
              </w:rPr>
              <w:t>Cette disposition législative trouve toute sa pertinence en ce qu’elle définit le cadre sur lequel s’appuie le respect des mesures de protection individuelle des employés, notamment le port d’EPI</w:t>
            </w:r>
            <w:r w:rsidR="0067162D" w:rsidRPr="00260790">
              <w:rPr>
                <w:rFonts w:ascii="Times New Roman" w:eastAsia="Times New Roman" w:hAnsi="Times New Roman"/>
                <w:bCs/>
                <w:color w:val="000000" w:themeColor="text1"/>
                <w:lang w:eastAsia="fr-FR"/>
              </w:rPr>
              <w:t>.</w:t>
            </w:r>
          </w:p>
        </w:tc>
      </w:tr>
      <w:tr w:rsidR="00BD1A2F" w:rsidRPr="00260790" w14:paraId="44078B10" w14:textId="77777777" w:rsidTr="0016786A">
        <w:trPr>
          <w:trHeight w:val="1673"/>
        </w:trPr>
        <w:tc>
          <w:tcPr>
            <w:tcW w:w="804" w:type="pct"/>
            <w:shd w:val="clear" w:color="auto" w:fill="FFFFFF"/>
            <w:vAlign w:val="center"/>
          </w:tcPr>
          <w:p w14:paraId="42779A7B"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Article L 176</w:t>
            </w:r>
          </w:p>
        </w:tc>
        <w:tc>
          <w:tcPr>
            <w:tcW w:w="3008" w:type="pct"/>
            <w:shd w:val="clear" w:color="auto" w:fill="FFFFFF"/>
            <w:vAlign w:val="center"/>
          </w:tcPr>
          <w:p w14:paraId="016E27A5"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L’état de santé des travailleurs doit être soumis à une surveillance régulière dans les conditions et suivant les modalités fixées par l’autorité administrative. Cette surveillance comporte un examen médical préalable à l’embauche et des examens périodiques. </w:t>
            </w:r>
          </w:p>
          <w:p w14:paraId="79F398F0"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La surveillance prévue au premier alinéa du présent article ne doit entrainer aucune dépense pour le travailleur intéressé. </w:t>
            </w:r>
          </w:p>
          <w:p w14:paraId="113F31A4"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Lorsque le maintien d’un travailleur à un poste est déconseillé pour des raisons médicales, tous les moyens doivent être mis en œuvre pour l’affecter à un autre emploi compatible avec son état de santé.</w:t>
            </w:r>
          </w:p>
        </w:tc>
        <w:tc>
          <w:tcPr>
            <w:tcW w:w="1188" w:type="pct"/>
            <w:shd w:val="clear" w:color="auto" w:fill="FFFFFF"/>
            <w:vAlign w:val="center"/>
          </w:tcPr>
          <w:p w14:paraId="406028BC"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Cs/>
                <w:color w:val="000000" w:themeColor="text1"/>
                <w:lang w:eastAsia="fr-FR"/>
              </w:rPr>
              <w:t>Cette disposition législative trouve toute sa pertinence en ce qu’elle définit le cadre sur lequel s’appuie le suivi sanitaire du personnel à l’aide de visites médicales régulières</w:t>
            </w:r>
          </w:p>
        </w:tc>
      </w:tr>
      <w:tr w:rsidR="00BD1A2F" w:rsidRPr="00260790" w14:paraId="4B25883E" w14:textId="77777777" w:rsidTr="0016786A">
        <w:trPr>
          <w:trHeight w:val="1617"/>
        </w:trPr>
        <w:tc>
          <w:tcPr>
            <w:tcW w:w="804" w:type="pct"/>
            <w:shd w:val="clear" w:color="auto" w:fill="FFFFFF"/>
            <w:vAlign w:val="center"/>
          </w:tcPr>
          <w:p w14:paraId="706ECBB0"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Article L 177</w:t>
            </w:r>
          </w:p>
        </w:tc>
        <w:tc>
          <w:tcPr>
            <w:tcW w:w="3008" w:type="pct"/>
            <w:shd w:val="clear" w:color="auto" w:fill="FFFFFF"/>
            <w:vAlign w:val="center"/>
          </w:tcPr>
          <w:p w14:paraId="658907D6"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Tous les travailleurs doivent être informés de manière complète des risques professionnels existant sur les lieux de travail et recevoir des instructions adéquates quant aux moyens disponibles, aux conduites à tenir pour prévenir ces risques et se protéger contre eux. </w:t>
            </w:r>
          </w:p>
          <w:p w14:paraId="54FE81F8"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Ces informations et instructions doivent être portées à la connaissance des travailleurs dans des conditions et sous une forme qui permettent à chacun d’entre eux d’en avoir une bonne formation générale minimale en matière d’hygiène et de sécurité</w:t>
            </w:r>
          </w:p>
        </w:tc>
        <w:tc>
          <w:tcPr>
            <w:tcW w:w="1188" w:type="pct"/>
            <w:shd w:val="clear" w:color="auto" w:fill="FFFFFF"/>
            <w:vAlign w:val="center"/>
          </w:tcPr>
          <w:p w14:paraId="42CCF025"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Cs/>
                <w:color w:val="000000" w:themeColor="text1"/>
                <w:lang w:eastAsia="fr-FR"/>
              </w:rPr>
              <w:t>Le projet va générer des emplois. La formation du personnel durant tout le cycle de vie du projet doit particulièrement s’appuyer à cette disposition législative.</w:t>
            </w:r>
          </w:p>
        </w:tc>
      </w:tr>
      <w:tr w:rsidR="00BD1A2F" w:rsidRPr="00260790" w14:paraId="007CF8D6" w14:textId="77777777" w:rsidTr="0016786A">
        <w:trPr>
          <w:trHeight w:val="404"/>
        </w:trPr>
        <w:tc>
          <w:tcPr>
            <w:tcW w:w="804" w:type="pct"/>
            <w:shd w:val="clear" w:color="auto" w:fill="FFFFFF"/>
            <w:vAlign w:val="center"/>
          </w:tcPr>
          <w:p w14:paraId="79E89354"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Article L 178</w:t>
            </w:r>
          </w:p>
        </w:tc>
        <w:tc>
          <w:tcPr>
            <w:tcW w:w="3008" w:type="pct"/>
            <w:shd w:val="clear" w:color="auto" w:fill="FFFFFF"/>
            <w:vAlign w:val="center"/>
          </w:tcPr>
          <w:p w14:paraId="6A68F16D"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L’employeur présente annuellement au comité d’hygiène et de sécurité ainsi qu’au service de sécurité de travail, ainsi qu’aux représentants des travailleurs, un rapport sur l’hygiène et la sécurité dans l’entreprise, en particulier sur les dispositions adoptées au cours de la période écoulée. En outre, il les tient informés en cours d’année de toute mesure nouvelle prise dans ce domaine. </w:t>
            </w:r>
          </w:p>
          <w:p w14:paraId="5702E2CD"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lastRenderedPageBreak/>
              <w:t>Les travailleurs ou leurs représentants peuvent consulter les organisations représentatives auxquelles ils appartiennent sur les mesures en question, sous réserve des secrets industriels ou commerciaux tels qu’ils ont définis par l’employeur.</w:t>
            </w:r>
          </w:p>
        </w:tc>
        <w:tc>
          <w:tcPr>
            <w:tcW w:w="1188" w:type="pct"/>
            <w:shd w:val="clear" w:color="auto" w:fill="FFFFFF"/>
            <w:vAlign w:val="center"/>
          </w:tcPr>
          <w:p w14:paraId="24C3A425"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Cs/>
                <w:color w:val="000000" w:themeColor="text1"/>
                <w:lang w:eastAsia="fr-FR"/>
              </w:rPr>
              <w:lastRenderedPageBreak/>
              <w:t xml:space="preserve">Le projet va générer des emplois et se devra d’être conforme à cette disposition </w:t>
            </w:r>
          </w:p>
        </w:tc>
      </w:tr>
      <w:tr w:rsidR="00BD1A2F" w:rsidRPr="00260790" w14:paraId="04BF547F" w14:textId="77777777" w:rsidTr="0016786A">
        <w:trPr>
          <w:trHeight w:val="1547"/>
        </w:trPr>
        <w:tc>
          <w:tcPr>
            <w:tcW w:w="804" w:type="pct"/>
            <w:shd w:val="clear" w:color="auto" w:fill="FFFFFF"/>
            <w:vAlign w:val="center"/>
          </w:tcPr>
          <w:p w14:paraId="5562D19A"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Article L 179</w:t>
            </w:r>
          </w:p>
        </w:tc>
        <w:tc>
          <w:tcPr>
            <w:tcW w:w="3008" w:type="pct"/>
            <w:shd w:val="clear" w:color="auto" w:fill="FFFFFF"/>
            <w:vAlign w:val="center"/>
          </w:tcPr>
          <w:p w14:paraId="4B0FF310"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L’employeur est tenu de contrôler régulièrement le respect des normes réglementaires de sécurité et d’hygiène, et de faire procéder périodiquement aux mesures, analyses et évaluations des conditions d’ambiances et, le cas échéant, entreprendre des mesures de protection collective ou individuelle afin de prévenir les atteintes à la sécurité et à la santé des travailleurs. </w:t>
            </w:r>
          </w:p>
          <w:p w14:paraId="3DEC8441"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Il doit en outre recueillir les données relatives à la sécurité et à la santé des travailleurs et au milieu de travail jugés indispensables par l’autorité compétente.</w:t>
            </w:r>
          </w:p>
        </w:tc>
        <w:tc>
          <w:tcPr>
            <w:tcW w:w="1188" w:type="pct"/>
            <w:vMerge w:val="restart"/>
            <w:shd w:val="clear" w:color="auto" w:fill="FFFFFF"/>
            <w:vAlign w:val="center"/>
          </w:tcPr>
          <w:p w14:paraId="359A8A7B"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Cs/>
                <w:color w:val="000000" w:themeColor="text1"/>
                <w:lang w:eastAsia="fr-FR"/>
              </w:rPr>
              <w:t>Ces dispositions fixent les conditions de sécurité, d’hygiène et de santé auxquelles l’employeur devra s’acquitter au profit des employés. Le projet va utiliser des travailleurs pendant la phase de travaux et se devra de respecter cette disposition réglementaire.</w:t>
            </w:r>
          </w:p>
        </w:tc>
      </w:tr>
      <w:tr w:rsidR="00BD1A2F" w:rsidRPr="00260790" w14:paraId="0B7ED99D" w14:textId="77777777" w:rsidTr="0016786A">
        <w:trPr>
          <w:trHeight w:val="51"/>
        </w:trPr>
        <w:tc>
          <w:tcPr>
            <w:tcW w:w="804" w:type="pct"/>
            <w:shd w:val="clear" w:color="auto" w:fill="FFFFFF"/>
            <w:vAlign w:val="center"/>
          </w:tcPr>
          <w:p w14:paraId="3B194E60"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Article L 182</w:t>
            </w:r>
          </w:p>
        </w:tc>
        <w:tc>
          <w:tcPr>
            <w:tcW w:w="3008" w:type="pct"/>
            <w:shd w:val="clear" w:color="auto" w:fill="FFFFFF"/>
            <w:vAlign w:val="center"/>
          </w:tcPr>
          <w:p w14:paraId="54E0823B"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mesures d’hygiène et de sécurité du travail ainsi que les actions de formation ou d’information sont à la charge exclusive de l’employeur.</w:t>
            </w:r>
          </w:p>
        </w:tc>
        <w:tc>
          <w:tcPr>
            <w:tcW w:w="1188" w:type="pct"/>
            <w:vMerge/>
            <w:shd w:val="clear" w:color="auto" w:fill="FFFFFF"/>
            <w:vAlign w:val="center"/>
          </w:tcPr>
          <w:p w14:paraId="43F0E49B"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p>
        </w:tc>
      </w:tr>
      <w:tr w:rsidR="00BD1A2F" w:rsidRPr="00260790" w14:paraId="42B487D9" w14:textId="77777777" w:rsidTr="0016786A">
        <w:trPr>
          <w:trHeight w:val="91"/>
        </w:trPr>
        <w:tc>
          <w:tcPr>
            <w:tcW w:w="804" w:type="pct"/>
            <w:shd w:val="clear" w:color="auto" w:fill="FFFFFF"/>
            <w:vAlign w:val="center"/>
          </w:tcPr>
          <w:p w14:paraId="1C6F2491"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Article L 185 </w:t>
            </w:r>
          </w:p>
        </w:tc>
        <w:tc>
          <w:tcPr>
            <w:tcW w:w="3008" w:type="pct"/>
            <w:shd w:val="clear" w:color="auto" w:fill="FFFFFF"/>
            <w:vAlign w:val="center"/>
          </w:tcPr>
          <w:p w14:paraId="6EDAA1EB"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Les employeurs sont tenus d’organiser un service de sécurité de travail et un comité d’hygiène et de sécurité. </w:t>
            </w:r>
          </w:p>
          <w:p w14:paraId="5482AD01"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 service de sécurité assiste et conseille l’employeur et le cas échéant les travailleurs ou leurs représentants, dans l’élaboration et la mise en œuvre d’un programme d’hygiène et de sécurité du travail. </w:t>
            </w:r>
          </w:p>
          <w:p w14:paraId="3433EA49"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Ce service peut être à une seule entreprise ou commun à plusieurs ou encore être assuré par un organisme extérieur. Des délégués des travailleurs à la sécurité et un comité paritaire d’hygiène et de sécurité coopèrent à l’élaboration de ce programme. </w:t>
            </w:r>
          </w:p>
          <w:p w14:paraId="46AFD413"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L’organisation, les missions, le fonctionnement et les moyens d’action des services de sécurité du travail, ainsi que les modalités de désignation et d’intervention des délégués à la sécurité et des comités paritaires d’hygiène et de sécurité sont fixés par décret. </w:t>
            </w:r>
          </w:p>
        </w:tc>
        <w:tc>
          <w:tcPr>
            <w:tcW w:w="1188" w:type="pct"/>
            <w:vMerge/>
            <w:shd w:val="clear" w:color="auto" w:fill="FFFFFF"/>
            <w:vAlign w:val="center"/>
          </w:tcPr>
          <w:p w14:paraId="6267C9C5"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p>
        </w:tc>
      </w:tr>
      <w:tr w:rsidR="00BD1A2F" w:rsidRPr="00260790" w14:paraId="1A024035" w14:textId="77777777" w:rsidTr="0016786A">
        <w:trPr>
          <w:trHeight w:val="31"/>
        </w:trPr>
        <w:tc>
          <w:tcPr>
            <w:tcW w:w="804" w:type="pct"/>
            <w:shd w:val="clear" w:color="auto" w:fill="FFFFFF"/>
            <w:vAlign w:val="center"/>
          </w:tcPr>
          <w:p w14:paraId="22CC5E49"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Cs/>
                <w:color w:val="000000" w:themeColor="text1"/>
                <w:lang w:eastAsia="fr-FR"/>
              </w:rPr>
              <w:t xml:space="preserve">Article L 186 </w:t>
            </w:r>
          </w:p>
        </w:tc>
        <w:tc>
          <w:tcPr>
            <w:tcW w:w="3008" w:type="pct"/>
            <w:shd w:val="clear" w:color="auto" w:fill="FFFFFF"/>
            <w:vAlign w:val="center"/>
          </w:tcPr>
          <w:p w14:paraId="1549D0D1"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Cs/>
                <w:color w:val="000000" w:themeColor="text1"/>
                <w:lang w:eastAsia="fr-FR"/>
              </w:rPr>
              <w:t xml:space="preserve">Les employeurs sont tenus d’organiser un service de médecine du travail dans l’entreprise à l’intention de tous les travailleurs. Le service de médecine du travail est un service organisé sur les lieux de travail ou à proximité de ceux-ci, destiné : </w:t>
            </w:r>
          </w:p>
          <w:p w14:paraId="4BDCA18A"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Cs/>
                <w:color w:val="000000" w:themeColor="text1"/>
                <w:lang w:eastAsia="fr-FR"/>
              </w:rPr>
              <w:t xml:space="preserve">- à assurer la protection des travailleurs contre toute atteinte à la santé pouvant résulter de leur travail ou des conditions dans lesquelles celui-ci s’effectue. </w:t>
            </w:r>
          </w:p>
          <w:p w14:paraId="6A2E0D23"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Cs/>
                <w:color w:val="000000" w:themeColor="text1"/>
                <w:lang w:eastAsia="fr-FR"/>
              </w:rPr>
              <w:t xml:space="preserve">- à contribuer à l’adaptation des postes, des techniques et des rythmes de travail à la physiologie humaine. </w:t>
            </w:r>
          </w:p>
          <w:p w14:paraId="03BAE809"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Cs/>
                <w:color w:val="000000" w:themeColor="text1"/>
                <w:lang w:eastAsia="fr-FR"/>
              </w:rPr>
              <w:t xml:space="preserve">- à contribuer à l’établissement et au maintien du plus haut degré possible de bien-être physique et mental de travailleurs. </w:t>
            </w:r>
          </w:p>
          <w:p w14:paraId="34645F76"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Cs/>
                <w:color w:val="000000" w:themeColor="text1"/>
                <w:lang w:eastAsia="fr-FR"/>
              </w:rPr>
              <w:t>- à contribuer à l’éducation sanitaire des travailleurs pour un comportement conforme aux normes et aux consignes d’hygiène du travail.</w:t>
            </w:r>
          </w:p>
        </w:tc>
        <w:tc>
          <w:tcPr>
            <w:tcW w:w="1188" w:type="pct"/>
            <w:vMerge/>
            <w:shd w:val="clear" w:color="auto" w:fill="FFFFFF"/>
            <w:vAlign w:val="center"/>
          </w:tcPr>
          <w:p w14:paraId="09AF0292"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p>
        </w:tc>
      </w:tr>
    </w:tbl>
    <w:p w14:paraId="6365E853" w14:textId="77777777" w:rsidR="005F3FB7" w:rsidRPr="00260790" w:rsidRDefault="005F3FB7" w:rsidP="00E20250">
      <w:pPr>
        <w:spacing w:line="240" w:lineRule="auto"/>
        <w:rPr>
          <w:rFonts w:ascii="Times New Roman" w:hAnsi="Times New Roman"/>
          <w:b/>
          <w:color w:val="000000" w:themeColor="text1"/>
          <w:sz w:val="24"/>
          <w:szCs w:val="24"/>
          <w:u w:val="single"/>
        </w:rPr>
      </w:pPr>
      <w:bookmarkStart w:id="246" w:name="page32"/>
      <w:bookmarkStart w:id="247" w:name="_Toc62207912"/>
      <w:bookmarkStart w:id="248" w:name="_Toc62208004"/>
      <w:bookmarkStart w:id="249" w:name="_Toc474379959"/>
      <w:bookmarkEnd w:id="246"/>
    </w:p>
    <w:p w14:paraId="578EA566" w14:textId="77777777" w:rsidR="005F3FB7" w:rsidRPr="00260790" w:rsidRDefault="005F3FB7" w:rsidP="00E20250">
      <w:pPr>
        <w:spacing w:after="0" w:line="240" w:lineRule="auto"/>
        <w:rPr>
          <w:rFonts w:ascii="Times New Roman" w:eastAsia="Times New Roman" w:hAnsi="Times New Roman"/>
          <w:bCs/>
          <w:color w:val="000000" w:themeColor="text1"/>
          <w:sz w:val="24"/>
          <w:szCs w:val="24"/>
          <w:u w:val="single"/>
          <w:lang w:eastAsia="fr-FR"/>
        </w:rPr>
      </w:pPr>
      <w:r w:rsidRPr="00260790">
        <w:rPr>
          <w:rFonts w:ascii="Times New Roman" w:hAnsi="Times New Roman"/>
          <w:b/>
          <w:color w:val="000000" w:themeColor="text1"/>
          <w:sz w:val="24"/>
          <w:szCs w:val="24"/>
          <w:u w:val="single"/>
        </w:rPr>
        <w:br w:type="page"/>
      </w:r>
    </w:p>
    <w:p w14:paraId="166C0D74" w14:textId="77777777" w:rsidR="005F3FB7" w:rsidRPr="00260790" w:rsidRDefault="005F3FB7" w:rsidP="003B6588">
      <w:pPr>
        <w:pStyle w:val="CHAPITRE1"/>
        <w:rPr>
          <w:rFonts w:cs="Times New Roman"/>
        </w:rPr>
      </w:pPr>
      <w:bookmarkStart w:id="250" w:name="_Toc212725097"/>
      <w:r w:rsidRPr="00260790">
        <w:rPr>
          <w:rFonts w:cs="Times New Roman"/>
        </w:rPr>
        <w:lastRenderedPageBreak/>
        <w:t>Cadre juridique international</w:t>
      </w:r>
      <w:bookmarkEnd w:id="247"/>
      <w:bookmarkEnd w:id="248"/>
      <w:bookmarkEnd w:id="249"/>
      <w:bookmarkEnd w:id="250"/>
    </w:p>
    <w:p w14:paraId="4A4CD4FC" w14:textId="77777777" w:rsidR="005F3FB7" w:rsidRPr="00260790" w:rsidRDefault="005F3FB7" w:rsidP="00E20250">
      <w:pPr>
        <w:spacing w:line="240" w:lineRule="auto"/>
        <w:ind w:right="20"/>
        <w:jc w:val="both"/>
        <w:rPr>
          <w:rFonts w:ascii="Times New Roman" w:eastAsia="Times New Roman" w:hAnsi="Times New Roman"/>
          <w:color w:val="000000" w:themeColor="text1"/>
          <w:lang w:eastAsia="fr-FR"/>
        </w:rPr>
      </w:pPr>
      <w:bookmarkStart w:id="251" w:name="_Toc62207920"/>
      <w:bookmarkStart w:id="252" w:name="_Toc62208008"/>
      <w:bookmarkStart w:id="253" w:name="_Toc474379970"/>
      <w:r w:rsidRPr="00260790">
        <w:rPr>
          <w:rFonts w:ascii="Times New Roman" w:eastAsia="Times New Roman" w:hAnsi="Times New Roman"/>
          <w:color w:val="000000" w:themeColor="text1"/>
          <w:lang w:eastAsia="fr-FR"/>
        </w:rPr>
        <w:t xml:space="preserve">Dans le domaine de la gestion de l’environnement et des ressources naturelles, le Sénégal est signataire de la quasi-totalité des conventions environnementales internationales et s’est engagé auprès des organisations régionales et internationales dans la mise en œuvre des stratégies de développement durable. </w:t>
      </w:r>
    </w:p>
    <w:p w14:paraId="3BF095A3" w14:textId="77777777" w:rsidR="005F3FB7" w:rsidRPr="00260790" w:rsidRDefault="005F3FB7" w:rsidP="00E20250">
      <w:pPr>
        <w:spacing w:line="240" w:lineRule="auto"/>
        <w:ind w:right="2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conventions qui interpellent le projet sont présentées dans le tableau suivant.</w:t>
      </w:r>
    </w:p>
    <w:p w14:paraId="56521D85" w14:textId="33B8AE9C" w:rsidR="005F3FB7" w:rsidRPr="00260790" w:rsidRDefault="005F3FB7" w:rsidP="00E20250">
      <w:pPr>
        <w:pStyle w:val="Lgende"/>
        <w:keepNext/>
        <w:spacing w:line="240" w:lineRule="auto"/>
        <w:rPr>
          <w:color w:val="000000" w:themeColor="text1"/>
          <w:sz w:val="22"/>
          <w:szCs w:val="22"/>
        </w:rPr>
      </w:pPr>
      <w:bookmarkStart w:id="254" w:name="_Toc207781849"/>
      <w:bookmarkStart w:id="255" w:name="_Toc60198845"/>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8</w:t>
      </w:r>
      <w:r w:rsidRPr="00260790">
        <w:rPr>
          <w:color w:val="000000" w:themeColor="text1"/>
          <w:sz w:val="22"/>
          <w:szCs w:val="22"/>
        </w:rPr>
        <w:fldChar w:fldCharType="end"/>
      </w:r>
      <w:r w:rsidRPr="00260790">
        <w:rPr>
          <w:color w:val="000000" w:themeColor="text1"/>
          <w:sz w:val="22"/>
          <w:szCs w:val="22"/>
        </w:rPr>
        <w:t>: Instruments juridiques internationaux applicables au Projet</w:t>
      </w:r>
      <w:bookmarkEnd w:id="254"/>
      <w:r w:rsidRPr="00260790">
        <w:rPr>
          <w:color w:val="000000" w:themeColor="text1"/>
          <w:sz w:val="22"/>
          <w:szCs w:val="22"/>
        </w:rPr>
        <w:t xml:space="preserve"> </w:t>
      </w:r>
      <w:bookmarkEnd w:id="255"/>
    </w:p>
    <w:tbl>
      <w:tblPr>
        <w:tblW w:w="5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3822"/>
        <w:gridCol w:w="3969"/>
        <w:gridCol w:w="1717"/>
      </w:tblGrid>
      <w:tr w:rsidR="00BD1A2F" w:rsidRPr="00260790" w14:paraId="7A950A0F" w14:textId="77777777" w:rsidTr="005F3FB7">
        <w:trPr>
          <w:trHeight w:val="344"/>
          <w:tblHeader/>
        </w:trPr>
        <w:tc>
          <w:tcPr>
            <w:tcW w:w="2010" w:type="pct"/>
            <w:shd w:val="clear" w:color="auto" w:fill="E2EFD9" w:themeFill="accent6" w:themeFillTint="33"/>
            <w:vAlign w:val="center"/>
          </w:tcPr>
          <w:p w14:paraId="2743488A" w14:textId="77777777" w:rsidR="005F3FB7" w:rsidRPr="00260790" w:rsidRDefault="005F3FB7" w:rsidP="00E20250">
            <w:pPr>
              <w:spacing w:after="0" w:line="240" w:lineRule="auto"/>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Titre</w:t>
            </w:r>
          </w:p>
        </w:tc>
        <w:tc>
          <w:tcPr>
            <w:tcW w:w="2087" w:type="pct"/>
            <w:shd w:val="clear" w:color="auto" w:fill="E2EFD9" w:themeFill="accent6" w:themeFillTint="33"/>
            <w:vAlign w:val="center"/>
          </w:tcPr>
          <w:p w14:paraId="5B42AC13" w14:textId="77777777" w:rsidR="005F3FB7" w:rsidRPr="00260790" w:rsidRDefault="005F3FB7" w:rsidP="00E20250">
            <w:pPr>
              <w:spacing w:after="0" w:line="240" w:lineRule="auto"/>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Pertinence par rapport au projet</w:t>
            </w:r>
          </w:p>
        </w:tc>
        <w:tc>
          <w:tcPr>
            <w:tcW w:w="903" w:type="pct"/>
            <w:shd w:val="clear" w:color="auto" w:fill="E2EFD9" w:themeFill="accent6" w:themeFillTint="33"/>
            <w:vAlign w:val="center"/>
          </w:tcPr>
          <w:p w14:paraId="27D03BDB" w14:textId="77777777" w:rsidR="005F3FB7" w:rsidRPr="00260790" w:rsidRDefault="005F3FB7" w:rsidP="00E20250">
            <w:pPr>
              <w:spacing w:after="0" w:line="240" w:lineRule="auto"/>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Date de ratification par le Sénégal</w:t>
            </w:r>
          </w:p>
        </w:tc>
      </w:tr>
      <w:tr w:rsidR="00BD1A2F" w:rsidRPr="00260790" w14:paraId="1C767FAF" w14:textId="77777777" w:rsidTr="005F3FB7">
        <w:trPr>
          <w:trHeight w:val="467"/>
        </w:trPr>
        <w:tc>
          <w:tcPr>
            <w:tcW w:w="2010" w:type="pct"/>
            <w:vAlign w:val="center"/>
          </w:tcPr>
          <w:p w14:paraId="42AFE8EB" w14:textId="77777777" w:rsidR="005F3FB7" w:rsidRPr="00260790" w:rsidRDefault="005F3FB7" w:rsidP="00E20250">
            <w:pPr>
              <w:pStyle w:val="ps"/>
              <w:keepLines w:val="0"/>
              <w:spacing w:before="0"/>
              <w:rPr>
                <w:rFonts w:ascii="Times New Roman" w:hAnsi="Times New Roman"/>
                <w:color w:val="000000" w:themeColor="text1"/>
                <w:sz w:val="22"/>
                <w:szCs w:val="22"/>
                <w:lang w:val="fr-FR" w:eastAsia="fr-FR"/>
              </w:rPr>
            </w:pPr>
            <w:r w:rsidRPr="00260790">
              <w:rPr>
                <w:rFonts w:ascii="Times New Roman" w:hAnsi="Times New Roman"/>
                <w:color w:val="000000" w:themeColor="text1"/>
                <w:sz w:val="22"/>
                <w:szCs w:val="22"/>
                <w:lang w:val="fr-FR" w:eastAsia="fr-FR"/>
              </w:rPr>
              <w:t>Convention-cadre des Nations Unies sur les Changements Climatiques (CNUCC) signée en juin 1992</w:t>
            </w:r>
          </w:p>
        </w:tc>
        <w:tc>
          <w:tcPr>
            <w:tcW w:w="2087" w:type="pct"/>
            <w:vAlign w:val="center"/>
          </w:tcPr>
          <w:p w14:paraId="718768CB"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activités du projet vont augmenter la capacité de résilience des populations face aux effets du changement climatique.</w:t>
            </w:r>
          </w:p>
        </w:tc>
        <w:tc>
          <w:tcPr>
            <w:tcW w:w="903" w:type="pct"/>
            <w:vAlign w:val="center"/>
          </w:tcPr>
          <w:p w14:paraId="72CC2363"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Ratifiée le 14 juin 1994</w:t>
            </w:r>
          </w:p>
        </w:tc>
      </w:tr>
      <w:tr w:rsidR="00BD1A2F" w:rsidRPr="00260790" w14:paraId="2CFEBD97" w14:textId="77777777" w:rsidTr="005F3FB7">
        <w:trPr>
          <w:trHeight w:val="467"/>
        </w:trPr>
        <w:tc>
          <w:tcPr>
            <w:tcW w:w="2010" w:type="pct"/>
            <w:vAlign w:val="center"/>
          </w:tcPr>
          <w:p w14:paraId="090D13A6"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Convention sur la Diversité Biologique signée en juin 1992 </w:t>
            </w:r>
          </w:p>
        </w:tc>
        <w:tc>
          <w:tcPr>
            <w:tcW w:w="2087" w:type="pct"/>
            <w:vAlign w:val="center"/>
          </w:tcPr>
          <w:p w14:paraId="55B78E30"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L’abattage d’arbres situés sur les emprises lors des travaux est susceptible de porter atteinte à la préservation de la diversité biologique</w:t>
            </w:r>
          </w:p>
        </w:tc>
        <w:tc>
          <w:tcPr>
            <w:tcW w:w="903" w:type="pct"/>
            <w:vAlign w:val="center"/>
          </w:tcPr>
          <w:p w14:paraId="7DD69AD4"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Ratifiée le 14 juin 1994</w:t>
            </w:r>
          </w:p>
        </w:tc>
      </w:tr>
      <w:tr w:rsidR="00BD1A2F" w:rsidRPr="00260790" w14:paraId="36238B76" w14:textId="77777777" w:rsidTr="005F3FB7">
        <w:trPr>
          <w:trHeight w:val="467"/>
        </w:trPr>
        <w:tc>
          <w:tcPr>
            <w:tcW w:w="2010" w:type="pct"/>
            <w:vAlign w:val="center"/>
          </w:tcPr>
          <w:p w14:paraId="5DBCEAE5"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Cadre d'action de Hyōgo pour 2005-2015 : Pour des nations et des collectivités résilientes face aux catastrophes</w:t>
            </w:r>
          </w:p>
        </w:tc>
        <w:tc>
          <w:tcPr>
            <w:tcW w:w="2087" w:type="pct"/>
            <w:vAlign w:val="center"/>
          </w:tcPr>
          <w:p w14:paraId="338C39D8"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activités du projet vont augmenter la capacité de résilience des populations face aux inondations</w:t>
            </w:r>
          </w:p>
        </w:tc>
        <w:tc>
          <w:tcPr>
            <w:tcW w:w="903" w:type="pct"/>
            <w:vAlign w:val="center"/>
          </w:tcPr>
          <w:p w14:paraId="2593E777" w14:textId="29804C7C"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Adoptée le 22 janvier 2005</w:t>
            </w:r>
          </w:p>
        </w:tc>
      </w:tr>
      <w:tr w:rsidR="00BD1A2F" w:rsidRPr="00260790" w14:paraId="45D0B8C9" w14:textId="77777777" w:rsidTr="005F3FB7">
        <w:trPr>
          <w:trHeight w:val="467"/>
        </w:trPr>
        <w:tc>
          <w:tcPr>
            <w:tcW w:w="2010" w:type="pct"/>
            <w:vAlign w:val="center"/>
          </w:tcPr>
          <w:p w14:paraId="0CA9EF6F"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Convention africaine sur la protection des ressources naturelles adoptée à Alger le 15 mars 1968</w:t>
            </w:r>
            <w:r w:rsidRPr="00260790">
              <w:rPr>
                <w:rFonts w:ascii="Times New Roman" w:eastAsia="Times New Roman" w:hAnsi="Times New Roman"/>
                <w:b/>
                <w:color w:val="000000" w:themeColor="text1"/>
                <w:lang w:eastAsia="fr-FR"/>
              </w:rPr>
              <w:t>,</w:t>
            </w:r>
            <w:r w:rsidRPr="00260790">
              <w:rPr>
                <w:rFonts w:ascii="Times New Roman" w:eastAsia="Times New Roman" w:hAnsi="Times New Roman"/>
                <w:color w:val="000000" w:themeColor="text1"/>
                <w:lang w:eastAsia="fr-FR"/>
              </w:rPr>
              <w:t xml:space="preserve"> </w:t>
            </w:r>
            <w:r w:rsidRPr="00260790">
              <w:rPr>
                <w:rFonts w:ascii="Times New Roman" w:eastAsia="Times New Roman" w:hAnsi="Times New Roman"/>
                <w:b/>
                <w:color w:val="000000" w:themeColor="text1"/>
                <w:lang w:eastAsia="fr-FR"/>
              </w:rPr>
              <w:t>r</w:t>
            </w:r>
            <w:r w:rsidRPr="00260790">
              <w:rPr>
                <w:rFonts w:ascii="Times New Roman" w:eastAsia="Times New Roman" w:hAnsi="Times New Roman"/>
                <w:color w:val="000000" w:themeColor="text1"/>
                <w:lang w:eastAsia="fr-FR"/>
              </w:rPr>
              <w:t>évisée à Maputo en 2003</w:t>
            </w:r>
          </w:p>
        </w:tc>
        <w:tc>
          <w:tcPr>
            <w:tcW w:w="2087" w:type="pct"/>
            <w:vAlign w:val="center"/>
          </w:tcPr>
          <w:p w14:paraId="6E532653"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activités peuvent être une source de dégradation des ressources naturelles, notamment la coupe d’arbres situés sur les emprises pendant la phase des travaux.</w:t>
            </w:r>
          </w:p>
          <w:p w14:paraId="06F2366B"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 projet mettra en œuvre des actions de reboisement pour compenser ces impacts. </w:t>
            </w:r>
          </w:p>
        </w:tc>
        <w:tc>
          <w:tcPr>
            <w:tcW w:w="903" w:type="pct"/>
            <w:vAlign w:val="center"/>
          </w:tcPr>
          <w:p w14:paraId="151E4884" w14:textId="3A02F8FB"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Ratifiée en 1971</w:t>
            </w:r>
          </w:p>
        </w:tc>
      </w:tr>
      <w:tr w:rsidR="00BD1A2F" w:rsidRPr="00260790" w14:paraId="67408168" w14:textId="77777777" w:rsidTr="005F3FB7">
        <w:trPr>
          <w:trHeight w:val="467"/>
        </w:trPr>
        <w:tc>
          <w:tcPr>
            <w:tcW w:w="2010" w:type="pct"/>
            <w:vAlign w:val="center"/>
          </w:tcPr>
          <w:p w14:paraId="734DBFC6"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Convention concernant la protection du patrimoine mondial, culturel et naturel adoptée à Paris le 16 novembre 1972</w:t>
            </w:r>
          </w:p>
        </w:tc>
        <w:tc>
          <w:tcPr>
            <w:tcW w:w="2087" w:type="pct"/>
            <w:vAlign w:val="center"/>
          </w:tcPr>
          <w:p w14:paraId="08C2F715"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 projet ne traverse pas de patrimoine culturel spécifique. Toutefois, en cas de découverte fortuite de vestiges, la procédure nationale doit être suivie. </w:t>
            </w:r>
          </w:p>
        </w:tc>
        <w:tc>
          <w:tcPr>
            <w:tcW w:w="903" w:type="pct"/>
            <w:vAlign w:val="center"/>
          </w:tcPr>
          <w:p w14:paraId="3A8DA6B0"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13 février 1976</w:t>
            </w:r>
          </w:p>
        </w:tc>
      </w:tr>
      <w:tr w:rsidR="00BD1A2F" w:rsidRPr="00260790" w14:paraId="339CB6CD" w14:textId="77777777" w:rsidTr="005F3FB7">
        <w:trPr>
          <w:trHeight w:val="239"/>
        </w:trPr>
        <w:tc>
          <w:tcPr>
            <w:tcW w:w="2010" w:type="pct"/>
            <w:vAlign w:val="center"/>
          </w:tcPr>
          <w:p w14:paraId="30B159F5"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Charte africaine des droits de l’Homme et des peuples signée à Nairobi au Kenya le 21 juin 1981</w:t>
            </w:r>
          </w:p>
        </w:tc>
        <w:tc>
          <w:tcPr>
            <w:tcW w:w="2087" w:type="pct"/>
            <w:vAlign w:val="center"/>
          </w:tcPr>
          <w:p w14:paraId="1ED4EA6A"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 projet, potentiellement générateur d’emplois en phase de travaux, respectera le droit des populations à vivre dans un environnement sain et préconisera des mesures visant à interdire toutes formes d’exploitation et d’avilissement de l’homme, notamment l’esclavage, la traite des personnes, la torture physique ou morale, et les peines ou les traitements cruels, inhumains ou dégradants </w:t>
            </w:r>
          </w:p>
        </w:tc>
        <w:tc>
          <w:tcPr>
            <w:tcW w:w="903" w:type="pct"/>
            <w:vAlign w:val="center"/>
          </w:tcPr>
          <w:p w14:paraId="6931B940" w14:textId="1F16770C"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Ratifiée le 13 août 1982</w:t>
            </w:r>
          </w:p>
        </w:tc>
      </w:tr>
      <w:tr w:rsidR="00BD1A2F" w:rsidRPr="00260790" w14:paraId="0686C3D7" w14:textId="77777777" w:rsidTr="005F3FB7">
        <w:trPr>
          <w:trHeight w:val="239"/>
        </w:trPr>
        <w:tc>
          <w:tcPr>
            <w:tcW w:w="2010" w:type="pct"/>
            <w:vAlign w:val="center"/>
          </w:tcPr>
          <w:p w14:paraId="1E1D9531"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Convention de Rotterdam sur la procédure de consentement préalable en connaissance de cause applicable à certains produits chimiques et pesticides dangereux qui font l’objet de commerce international.</w:t>
            </w:r>
          </w:p>
        </w:tc>
        <w:tc>
          <w:tcPr>
            <w:tcW w:w="2087" w:type="pct"/>
            <w:vAlign w:val="center"/>
          </w:tcPr>
          <w:p w14:paraId="6FF12D8C"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Avec la mise en œuvre du projet, l’utilisation de produits chimiques pour l’entretien et la maintenance des ouvrages en phase d’exploitation tiendra compte de cette convention </w:t>
            </w:r>
          </w:p>
        </w:tc>
        <w:tc>
          <w:tcPr>
            <w:tcW w:w="903" w:type="pct"/>
            <w:vAlign w:val="center"/>
          </w:tcPr>
          <w:p w14:paraId="126D4F45"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hAnsi="Times New Roman"/>
                <w:color w:val="000000" w:themeColor="text1"/>
                <w:shd w:val="clear" w:color="auto" w:fill="FFFFFF"/>
              </w:rPr>
              <w:t>Ratifiée le 20 juill. 2001</w:t>
            </w:r>
          </w:p>
        </w:tc>
      </w:tr>
      <w:tr w:rsidR="00BD1A2F" w:rsidRPr="00260790" w14:paraId="5641850B" w14:textId="77777777" w:rsidTr="005F3FB7">
        <w:trPr>
          <w:trHeight w:val="239"/>
        </w:trPr>
        <w:tc>
          <w:tcPr>
            <w:tcW w:w="2010" w:type="pct"/>
            <w:vAlign w:val="center"/>
          </w:tcPr>
          <w:p w14:paraId="7B13C44D"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Convention de Stockholm sur la protection de la santé humaine et de l’environnement contre les Polluants Organiques Persistants (</w:t>
            </w:r>
            <w:proofErr w:type="spellStart"/>
            <w:r w:rsidRPr="00260790">
              <w:rPr>
                <w:rFonts w:ascii="Times New Roman" w:eastAsia="Times New Roman" w:hAnsi="Times New Roman"/>
                <w:color w:val="000000" w:themeColor="text1"/>
                <w:lang w:eastAsia="fr-FR"/>
              </w:rPr>
              <w:t>POPs</w:t>
            </w:r>
            <w:proofErr w:type="spellEnd"/>
            <w:r w:rsidRPr="00260790">
              <w:rPr>
                <w:rFonts w:ascii="Times New Roman" w:eastAsia="Times New Roman" w:hAnsi="Times New Roman"/>
                <w:color w:val="000000" w:themeColor="text1"/>
                <w:lang w:eastAsia="fr-FR"/>
              </w:rPr>
              <w:t>)</w:t>
            </w:r>
          </w:p>
        </w:tc>
        <w:tc>
          <w:tcPr>
            <w:tcW w:w="2087" w:type="pct"/>
            <w:vAlign w:val="center"/>
          </w:tcPr>
          <w:p w14:paraId="405EBCD4"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déchets organiques issus des travaux (démolition, excavation, fouilles, etc.) doivent faire l’objet d’un traitement spécifique</w:t>
            </w:r>
          </w:p>
        </w:tc>
        <w:tc>
          <w:tcPr>
            <w:tcW w:w="903" w:type="pct"/>
            <w:vAlign w:val="center"/>
          </w:tcPr>
          <w:p w14:paraId="0D7ED86D"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Ratifiée le 28 mai 2003</w:t>
            </w:r>
          </w:p>
        </w:tc>
      </w:tr>
      <w:tr w:rsidR="00BD1A2F" w:rsidRPr="00260790" w14:paraId="39E9EAD8" w14:textId="77777777" w:rsidTr="005F3FB7">
        <w:trPr>
          <w:trHeight w:val="239"/>
        </w:trPr>
        <w:tc>
          <w:tcPr>
            <w:tcW w:w="2010" w:type="pct"/>
            <w:vAlign w:val="center"/>
          </w:tcPr>
          <w:p w14:paraId="2A99E0B9"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lastRenderedPageBreak/>
              <w:t>Convention de l’Organisation Internationale du Travail (OIT) N°148 sur le milieu de travail (pollution de l'air, bruit et vibrations)</w:t>
            </w:r>
          </w:p>
        </w:tc>
        <w:tc>
          <w:tcPr>
            <w:tcW w:w="2087" w:type="pct"/>
            <w:vAlign w:val="center"/>
          </w:tcPr>
          <w:p w14:paraId="6C4ED7FF" w14:textId="7FBB3042"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 projet se conformera à cette convention en respectant les dispositions du </w:t>
            </w:r>
            <w:r w:rsidR="00E06E98" w:rsidRPr="00260790">
              <w:rPr>
                <w:rFonts w:ascii="Times New Roman" w:eastAsia="Times New Roman" w:hAnsi="Times New Roman"/>
                <w:color w:val="000000" w:themeColor="text1"/>
                <w:lang w:eastAsia="fr-FR"/>
              </w:rPr>
              <w:t>C</w:t>
            </w:r>
            <w:r w:rsidRPr="00260790">
              <w:rPr>
                <w:rFonts w:ascii="Times New Roman" w:eastAsia="Times New Roman" w:hAnsi="Times New Roman"/>
                <w:color w:val="000000" w:themeColor="text1"/>
                <w:lang w:eastAsia="fr-FR"/>
              </w:rPr>
              <w:t xml:space="preserve">ode du travail et la NES 2 </w:t>
            </w:r>
          </w:p>
        </w:tc>
        <w:tc>
          <w:tcPr>
            <w:tcW w:w="903" w:type="pct"/>
            <w:vAlign w:val="center"/>
          </w:tcPr>
          <w:p w14:paraId="27C133B8"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Pas encore ratifiée pour le Sénégal</w:t>
            </w:r>
          </w:p>
        </w:tc>
      </w:tr>
      <w:tr w:rsidR="00BD1A2F" w:rsidRPr="00260790" w14:paraId="7ABBFACB" w14:textId="77777777" w:rsidTr="005F3FB7">
        <w:trPr>
          <w:trHeight w:val="239"/>
        </w:trPr>
        <w:tc>
          <w:tcPr>
            <w:tcW w:w="2010" w:type="pct"/>
            <w:vAlign w:val="center"/>
          </w:tcPr>
          <w:p w14:paraId="5DE32181"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Convention de l’Organisation Internationale du Travail (OIT) n°155, relative à la sécurité et la santé au travail</w:t>
            </w:r>
          </w:p>
        </w:tc>
        <w:tc>
          <w:tcPr>
            <w:tcW w:w="2087" w:type="pct"/>
            <w:vAlign w:val="center"/>
          </w:tcPr>
          <w:p w14:paraId="6D89452D"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Cs/>
                <w:color w:val="000000" w:themeColor="text1"/>
                <w:lang w:eastAsia="fr-FR"/>
              </w:rPr>
              <w:t xml:space="preserve">Le projet veillera à l’application des dispositions législatives </w:t>
            </w:r>
            <w:r w:rsidRPr="00260790">
              <w:rPr>
                <w:rFonts w:ascii="Times New Roman" w:eastAsia="Times New Roman" w:hAnsi="Times New Roman"/>
                <w:color w:val="000000" w:themeColor="text1"/>
                <w:lang w:eastAsia="fr-FR"/>
              </w:rPr>
              <w:t>relatives à la sécurité et la santé au travail</w:t>
            </w:r>
            <w:r w:rsidRPr="00260790">
              <w:rPr>
                <w:rFonts w:ascii="Times New Roman" w:eastAsia="Times New Roman" w:hAnsi="Times New Roman"/>
                <w:bCs/>
                <w:color w:val="000000" w:themeColor="text1"/>
                <w:lang w:eastAsia="fr-FR"/>
              </w:rPr>
              <w:t xml:space="preserve"> et promouvoir des échanges entre les différents acteurs du milieu du travail.</w:t>
            </w:r>
          </w:p>
        </w:tc>
        <w:tc>
          <w:tcPr>
            <w:tcW w:w="903" w:type="pct"/>
            <w:vAlign w:val="center"/>
          </w:tcPr>
          <w:p w14:paraId="462FBE17" w14:textId="77777777" w:rsidR="005F3FB7" w:rsidRPr="00260790" w:rsidRDefault="005F3FB7" w:rsidP="00E20250">
            <w:pPr>
              <w:spacing w:after="0" w:line="240" w:lineRule="auto"/>
              <w:jc w:val="both"/>
              <w:rPr>
                <w:rFonts w:ascii="Times New Roman" w:eastAsia="Times New Roman" w:hAnsi="Times New Roman"/>
                <w:bCs/>
                <w:color w:val="000000" w:themeColor="text1"/>
                <w:lang w:eastAsia="fr-FR"/>
              </w:rPr>
            </w:pPr>
          </w:p>
          <w:p w14:paraId="309C642E" w14:textId="7F1CD507" w:rsidR="005F3FB7" w:rsidRPr="00260790" w:rsidRDefault="005F3FB7" w:rsidP="00E20250">
            <w:pPr>
              <w:spacing w:after="0" w:line="240" w:lineRule="auto"/>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1</w:t>
            </w:r>
            <w:r w:rsidR="005A74A9" w:rsidRPr="00260790">
              <w:rPr>
                <w:rFonts w:ascii="Times New Roman" w:eastAsia="Times New Roman" w:hAnsi="Times New Roman"/>
                <w:bCs/>
                <w:color w:val="000000" w:themeColor="text1"/>
                <w:lang w:eastAsia="fr-FR"/>
              </w:rPr>
              <w:t>er</w:t>
            </w:r>
            <w:r w:rsidRPr="00260790">
              <w:rPr>
                <w:rFonts w:ascii="Times New Roman" w:eastAsia="Times New Roman" w:hAnsi="Times New Roman"/>
                <w:bCs/>
                <w:color w:val="000000" w:themeColor="text1"/>
                <w:lang w:eastAsia="fr-FR"/>
              </w:rPr>
              <w:t xml:space="preserve"> mars 2021</w:t>
            </w:r>
          </w:p>
        </w:tc>
      </w:tr>
      <w:tr w:rsidR="00BD1A2F" w:rsidRPr="00260790" w14:paraId="609A2479" w14:textId="77777777" w:rsidTr="005F3FB7">
        <w:trPr>
          <w:trHeight w:val="239"/>
        </w:trPr>
        <w:tc>
          <w:tcPr>
            <w:tcW w:w="2010" w:type="pct"/>
            <w:vAlign w:val="center"/>
          </w:tcPr>
          <w:p w14:paraId="189145E5"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Convention de l’Organisation Internationale du Travail (OIT) n°161 </w:t>
            </w:r>
            <w:proofErr w:type="gramStart"/>
            <w:r w:rsidRPr="00260790">
              <w:rPr>
                <w:rFonts w:ascii="Times New Roman" w:eastAsia="Times New Roman" w:hAnsi="Times New Roman"/>
                <w:color w:val="000000" w:themeColor="text1"/>
                <w:lang w:eastAsia="fr-FR"/>
              </w:rPr>
              <w:t>relative</w:t>
            </w:r>
            <w:proofErr w:type="gramEnd"/>
            <w:r w:rsidRPr="00260790">
              <w:rPr>
                <w:rFonts w:ascii="Times New Roman" w:eastAsia="Times New Roman" w:hAnsi="Times New Roman"/>
                <w:color w:val="000000" w:themeColor="text1"/>
                <w:lang w:eastAsia="fr-FR"/>
              </w:rPr>
              <w:t xml:space="preserve"> aux services de santé au travail</w:t>
            </w:r>
          </w:p>
        </w:tc>
        <w:tc>
          <w:tcPr>
            <w:tcW w:w="2087" w:type="pct"/>
            <w:vAlign w:val="center"/>
          </w:tcPr>
          <w:p w14:paraId="18331751"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entreprises de travaux devront instituer des services de santé au travail pour tous les travailleurs, y compris ceux du secteur public par des dispositions adéquates et appropriées aux risques spécifiques</w:t>
            </w:r>
          </w:p>
        </w:tc>
        <w:tc>
          <w:tcPr>
            <w:tcW w:w="903" w:type="pct"/>
            <w:vAlign w:val="center"/>
          </w:tcPr>
          <w:p w14:paraId="7B124FF2"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01.03.2021 </w:t>
            </w:r>
          </w:p>
          <w:p w14:paraId="0891E8BC" w14:textId="3BE1D43D"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La convention </w:t>
            </w:r>
            <w:r w:rsidR="001429F5" w:rsidRPr="00260790">
              <w:rPr>
                <w:rFonts w:ascii="Times New Roman" w:eastAsia="Times New Roman" w:hAnsi="Times New Roman"/>
                <w:color w:val="000000" w:themeColor="text1"/>
                <w:lang w:eastAsia="fr-FR"/>
              </w:rPr>
              <w:t xml:space="preserve">est </w:t>
            </w:r>
            <w:r w:rsidRPr="00260790">
              <w:rPr>
                <w:rFonts w:ascii="Times New Roman" w:eastAsia="Times New Roman" w:hAnsi="Times New Roman"/>
                <w:color w:val="000000" w:themeColor="text1"/>
                <w:lang w:eastAsia="fr-FR"/>
              </w:rPr>
              <w:t>entr</w:t>
            </w:r>
            <w:r w:rsidR="001429F5" w:rsidRPr="00260790">
              <w:rPr>
                <w:rFonts w:ascii="Times New Roman" w:eastAsia="Times New Roman" w:hAnsi="Times New Roman"/>
                <w:color w:val="000000" w:themeColor="text1"/>
                <w:lang w:eastAsia="fr-FR"/>
              </w:rPr>
              <w:t>ée</w:t>
            </w:r>
            <w:r w:rsidRPr="00260790">
              <w:rPr>
                <w:rFonts w:ascii="Times New Roman" w:eastAsia="Times New Roman" w:hAnsi="Times New Roman"/>
                <w:color w:val="000000" w:themeColor="text1"/>
                <w:lang w:eastAsia="fr-FR"/>
              </w:rPr>
              <w:t xml:space="preserve"> en vigueur pour Sénégal le 01.03. 2022</w:t>
            </w:r>
          </w:p>
        </w:tc>
      </w:tr>
      <w:tr w:rsidR="00BD1A2F" w:rsidRPr="00260790" w14:paraId="4C4A6D1C" w14:textId="77777777" w:rsidTr="005F3FB7">
        <w:trPr>
          <w:trHeight w:val="239"/>
        </w:trPr>
        <w:tc>
          <w:tcPr>
            <w:tcW w:w="2010" w:type="pct"/>
            <w:vAlign w:val="center"/>
          </w:tcPr>
          <w:p w14:paraId="14762E4B" w14:textId="77777777" w:rsidR="005F3FB7" w:rsidRPr="00260790" w:rsidRDefault="005F3FB7" w:rsidP="00E20250">
            <w:pPr>
              <w:spacing w:after="0" w:line="240" w:lineRule="auto"/>
              <w:ind w:right="2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 protocole facultatif à la Convention relative aux Droits de l’enfant, concernant la vente d’enfants, la prostitution des enfants et la pornographie mettant en scène des enfants, adoptée en 1989. (25 mai 2000, ratifié le 31 octobre 2003) et dont l’article premier engage les États partis à interdire cette vente d’enfants, la prostitution des enfants et la pornographie mettant en scène des enfants. </w:t>
            </w:r>
          </w:p>
        </w:tc>
        <w:tc>
          <w:tcPr>
            <w:tcW w:w="2087" w:type="pct"/>
            <w:vMerge w:val="restart"/>
            <w:vAlign w:val="center"/>
          </w:tcPr>
          <w:p w14:paraId="14DAC226" w14:textId="77777777" w:rsidR="005F3FB7" w:rsidRPr="00260790" w:rsidRDefault="005F3FB7" w:rsidP="00E20250">
            <w:pPr>
              <w:tabs>
                <w:tab w:val="num" w:pos="0"/>
              </w:tabs>
              <w:spacing w:after="0" w:line="240" w:lineRule="auto"/>
              <w:ind w:right="2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projet prendra des mesures pour prévenir la traite des personnes, en particulier les femmes et les enfants.</w:t>
            </w:r>
          </w:p>
        </w:tc>
        <w:tc>
          <w:tcPr>
            <w:tcW w:w="903" w:type="pct"/>
            <w:vAlign w:val="center"/>
          </w:tcPr>
          <w:p w14:paraId="2756E98C" w14:textId="4B375B86" w:rsidR="005F3FB7" w:rsidRPr="00260790" w:rsidRDefault="005F3FB7" w:rsidP="00E20250">
            <w:pPr>
              <w:tabs>
                <w:tab w:val="num" w:pos="0"/>
              </w:tabs>
              <w:spacing w:after="0" w:line="240" w:lineRule="auto"/>
              <w:ind w:right="2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31 </w:t>
            </w:r>
            <w:r w:rsidR="00615864" w:rsidRPr="00260790">
              <w:rPr>
                <w:rFonts w:ascii="Times New Roman" w:eastAsia="Times New Roman" w:hAnsi="Times New Roman"/>
                <w:color w:val="000000" w:themeColor="text1"/>
                <w:lang w:eastAsia="fr-FR"/>
              </w:rPr>
              <w:t>octobre</w:t>
            </w:r>
            <w:r w:rsidRPr="00260790">
              <w:rPr>
                <w:rFonts w:ascii="Times New Roman" w:eastAsia="Times New Roman" w:hAnsi="Times New Roman"/>
                <w:color w:val="000000" w:themeColor="text1"/>
                <w:lang w:eastAsia="fr-FR"/>
              </w:rPr>
              <w:t xml:space="preserve"> 2003</w:t>
            </w:r>
          </w:p>
        </w:tc>
      </w:tr>
      <w:tr w:rsidR="00BD1A2F" w:rsidRPr="00260790" w14:paraId="5E6B58D7" w14:textId="77777777" w:rsidTr="005F3FB7">
        <w:trPr>
          <w:trHeight w:val="239"/>
        </w:trPr>
        <w:tc>
          <w:tcPr>
            <w:tcW w:w="2010" w:type="pct"/>
            <w:vAlign w:val="center"/>
          </w:tcPr>
          <w:p w14:paraId="5E48AF6D"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La Charte Africaine des Droits et du Bien- être de l’Enfant, adoptée à Addis-Abeba en juillet 1990 </w:t>
            </w:r>
          </w:p>
        </w:tc>
        <w:tc>
          <w:tcPr>
            <w:tcW w:w="2087" w:type="pct"/>
            <w:vMerge/>
            <w:vAlign w:val="center"/>
          </w:tcPr>
          <w:p w14:paraId="257EC3CA"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p>
        </w:tc>
        <w:tc>
          <w:tcPr>
            <w:tcW w:w="903" w:type="pct"/>
            <w:vAlign w:val="center"/>
          </w:tcPr>
          <w:p w14:paraId="0B29D209" w14:textId="6197E992"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Ratifiée le 29 septembre 1996</w:t>
            </w:r>
          </w:p>
        </w:tc>
      </w:tr>
      <w:tr w:rsidR="00BD1A2F" w:rsidRPr="00260790" w14:paraId="3ED487F7" w14:textId="77777777" w:rsidTr="005F3FB7">
        <w:trPr>
          <w:trHeight w:val="239"/>
        </w:trPr>
        <w:tc>
          <w:tcPr>
            <w:tcW w:w="2010" w:type="pct"/>
            <w:vAlign w:val="center"/>
          </w:tcPr>
          <w:p w14:paraId="573C2B70"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Protocole portant création d’une Cour Africaine qui est un organe de promotion et de protection des Droits de l’Homme et des Peuples</w:t>
            </w:r>
          </w:p>
        </w:tc>
        <w:tc>
          <w:tcPr>
            <w:tcW w:w="2087" w:type="pct"/>
            <w:vMerge/>
            <w:vAlign w:val="center"/>
          </w:tcPr>
          <w:p w14:paraId="3A5B40C7"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p>
        </w:tc>
        <w:tc>
          <w:tcPr>
            <w:tcW w:w="903" w:type="pct"/>
            <w:vMerge w:val="restart"/>
            <w:vAlign w:val="center"/>
          </w:tcPr>
          <w:p w14:paraId="59D0EB02"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Adopté le 10 juin 1998, entré en vigueur le 25 janvier 2004</w:t>
            </w:r>
          </w:p>
        </w:tc>
      </w:tr>
      <w:tr w:rsidR="00BD1A2F" w:rsidRPr="00260790" w14:paraId="54507CC1" w14:textId="77777777" w:rsidTr="005F3FB7">
        <w:trPr>
          <w:trHeight w:val="118"/>
        </w:trPr>
        <w:tc>
          <w:tcPr>
            <w:tcW w:w="2010" w:type="pct"/>
            <w:vAlign w:val="center"/>
          </w:tcPr>
          <w:p w14:paraId="7A70D935"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Déclaration Solennelle sur l’Égalité entre les Hommes et les Femmes en Afrique, de l’Union Africaine du 8 juillet 2004.</w:t>
            </w:r>
          </w:p>
        </w:tc>
        <w:tc>
          <w:tcPr>
            <w:tcW w:w="2087" w:type="pct"/>
            <w:vMerge/>
            <w:vAlign w:val="center"/>
          </w:tcPr>
          <w:p w14:paraId="5649B539"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p>
        </w:tc>
        <w:tc>
          <w:tcPr>
            <w:tcW w:w="903" w:type="pct"/>
            <w:vMerge/>
            <w:vAlign w:val="center"/>
          </w:tcPr>
          <w:p w14:paraId="64BA25FE"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p>
        </w:tc>
      </w:tr>
      <w:tr w:rsidR="00BD1A2F" w:rsidRPr="00260790" w14:paraId="14D1190E" w14:textId="77777777" w:rsidTr="005F3FB7">
        <w:trPr>
          <w:trHeight w:val="118"/>
        </w:trPr>
        <w:tc>
          <w:tcPr>
            <w:tcW w:w="2010" w:type="pct"/>
            <w:vAlign w:val="center"/>
          </w:tcPr>
          <w:p w14:paraId="2ECEDF24" w14:textId="77777777" w:rsidR="005F3FB7" w:rsidRPr="00260790" w:rsidRDefault="005F3FB7" w:rsidP="00E20250">
            <w:pPr>
              <w:spacing w:after="0" w:line="240" w:lineRule="auto"/>
              <w:jc w:val="both"/>
              <w:rPr>
                <w:rFonts w:ascii="Times New Roman" w:hAnsi="Times New Roman"/>
                <w:color w:val="000000" w:themeColor="text1"/>
                <w:lang w:eastAsia="fr-FR"/>
              </w:rPr>
            </w:pPr>
            <w:r w:rsidRPr="00260790">
              <w:rPr>
                <w:rFonts w:ascii="Times New Roman" w:eastAsia="MS Mincho" w:hAnsi="Times New Roman"/>
                <w:color w:val="000000" w:themeColor="text1"/>
                <w:lang w:eastAsia="fr-CA"/>
              </w:rPr>
              <w:t xml:space="preserve">Convention sur l’Élimination de toutes les formes de Discriminations à l’égard de la Femme (CEDEF) </w:t>
            </w:r>
          </w:p>
        </w:tc>
        <w:tc>
          <w:tcPr>
            <w:tcW w:w="2087" w:type="pct"/>
            <w:vMerge w:val="restart"/>
            <w:vAlign w:val="center"/>
          </w:tcPr>
          <w:p w14:paraId="5153388D"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projet va générer des emplois qualifiés et non qualifiés surtout pendant la phase des travaux. À cet effet, il veillera au respect des droits des femmes et à la lutte contre l’AES/HS lors des recrutements et dans le code de bonne conduite des entreprises de travaux.</w:t>
            </w:r>
          </w:p>
        </w:tc>
        <w:tc>
          <w:tcPr>
            <w:tcW w:w="903" w:type="pct"/>
            <w:vAlign w:val="center"/>
          </w:tcPr>
          <w:p w14:paraId="00AD5636" w14:textId="1BE875D6"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hAnsi="Times New Roman"/>
                <w:color w:val="000000" w:themeColor="text1"/>
                <w:shd w:val="clear" w:color="auto" w:fill="FFFFFF"/>
                <w:lang w:eastAsia="fr-FR"/>
              </w:rPr>
              <w:t>Ratifiée en 1985</w:t>
            </w:r>
          </w:p>
        </w:tc>
      </w:tr>
      <w:tr w:rsidR="005F3FB7" w:rsidRPr="00260790" w14:paraId="4BB1131B" w14:textId="77777777" w:rsidTr="005F3FB7">
        <w:trPr>
          <w:trHeight w:val="118"/>
        </w:trPr>
        <w:tc>
          <w:tcPr>
            <w:tcW w:w="2010" w:type="pct"/>
            <w:vAlign w:val="center"/>
          </w:tcPr>
          <w:p w14:paraId="34BAF3D9" w14:textId="2ACEC82E" w:rsidR="005F3FB7" w:rsidRPr="00260790" w:rsidRDefault="005F3FB7" w:rsidP="00E20250">
            <w:pPr>
              <w:spacing w:after="0" w:line="240" w:lineRule="auto"/>
              <w:jc w:val="both"/>
              <w:rPr>
                <w:rFonts w:ascii="Times New Roman" w:eastAsia="MS Mincho" w:hAnsi="Times New Roman"/>
                <w:color w:val="000000" w:themeColor="text1"/>
                <w:lang w:eastAsia="fr-CA"/>
              </w:rPr>
            </w:pPr>
            <w:r w:rsidRPr="00260790">
              <w:rPr>
                <w:rFonts w:ascii="Times New Roman" w:hAnsi="Times New Roman"/>
                <w:color w:val="000000" w:themeColor="text1"/>
                <w:shd w:val="clear" w:color="auto" w:fill="FFFFFF"/>
                <w:lang w:eastAsia="fr-FR"/>
              </w:rPr>
              <w:t xml:space="preserve">Protocole relatif à la Charte Africaine des Droits de l'Homme et des Peuples relatif aux Droits de la Femme en Afrique (Protocole de Maputo) </w:t>
            </w:r>
          </w:p>
        </w:tc>
        <w:tc>
          <w:tcPr>
            <w:tcW w:w="2087" w:type="pct"/>
            <w:vMerge/>
            <w:vAlign w:val="center"/>
          </w:tcPr>
          <w:p w14:paraId="03298EEF"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p>
        </w:tc>
        <w:tc>
          <w:tcPr>
            <w:tcW w:w="903" w:type="pct"/>
            <w:vAlign w:val="center"/>
          </w:tcPr>
          <w:p w14:paraId="6C5D2067" w14:textId="3FFD4685"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hAnsi="Times New Roman"/>
                <w:color w:val="000000" w:themeColor="text1"/>
                <w:shd w:val="clear" w:color="auto" w:fill="FFFFFF"/>
                <w:lang w:eastAsia="fr-FR"/>
              </w:rPr>
              <w:t>Ratifiée en 2004</w:t>
            </w:r>
          </w:p>
        </w:tc>
      </w:tr>
    </w:tbl>
    <w:p w14:paraId="6336D989" w14:textId="77777777" w:rsidR="005F3FB7" w:rsidRPr="00260790" w:rsidRDefault="005F3FB7" w:rsidP="00E20250">
      <w:pPr>
        <w:spacing w:line="240" w:lineRule="auto"/>
        <w:rPr>
          <w:rFonts w:ascii="Times New Roman" w:hAnsi="Times New Roman"/>
          <w:b/>
          <w:i/>
          <w:iCs/>
          <w:color w:val="000000" w:themeColor="text1"/>
        </w:rPr>
      </w:pPr>
      <w:bookmarkStart w:id="256" w:name="_Toc474379960"/>
      <w:bookmarkStart w:id="257" w:name="_Toc62207913"/>
      <w:bookmarkStart w:id="258" w:name="_Toc62208005"/>
    </w:p>
    <w:p w14:paraId="4A4437BB" w14:textId="7595C4CA" w:rsidR="005F3FB7" w:rsidRPr="00260790" w:rsidRDefault="005F3FB7" w:rsidP="00E20250">
      <w:pPr>
        <w:spacing w:after="0" w:line="240" w:lineRule="auto"/>
        <w:rPr>
          <w:rFonts w:ascii="Times New Roman" w:eastAsia="Times New Roman" w:hAnsi="Times New Roman"/>
          <w:bCs/>
          <w:i/>
          <w:iCs/>
          <w:color w:val="000000" w:themeColor="text1"/>
          <w:lang w:eastAsia="fr-FR"/>
        </w:rPr>
      </w:pPr>
      <w:r w:rsidRPr="00260790">
        <w:rPr>
          <w:rFonts w:ascii="Times New Roman" w:hAnsi="Times New Roman"/>
          <w:b/>
          <w:i/>
          <w:iCs/>
          <w:color w:val="000000" w:themeColor="text1"/>
        </w:rPr>
        <w:br w:type="page"/>
      </w:r>
    </w:p>
    <w:p w14:paraId="361AEE68" w14:textId="698E59F2" w:rsidR="005F3FB7" w:rsidRPr="00260790" w:rsidRDefault="005F3FB7" w:rsidP="0097258B">
      <w:pPr>
        <w:pStyle w:val="CHAPITRE1"/>
      </w:pPr>
      <w:bookmarkStart w:id="259" w:name="_Toc212725098"/>
      <w:r w:rsidRPr="00260790">
        <w:lastRenderedPageBreak/>
        <w:t>Cadre Environnemental et Social (CES) de la Banque mondiale</w:t>
      </w:r>
      <w:bookmarkEnd w:id="256"/>
      <w:bookmarkEnd w:id="259"/>
    </w:p>
    <w:p w14:paraId="4238CDB8" w14:textId="436B5FCF" w:rsidR="005F3FB7" w:rsidRPr="00260790" w:rsidRDefault="005F3FB7" w:rsidP="00E20250">
      <w:pPr>
        <w:autoSpaceDE w:val="0"/>
        <w:autoSpaceDN w:val="0"/>
        <w:adjustRightInd w:val="0"/>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 Cadre environnemental et social (CES) décrit l’engagement de la Banque à promouvoir le développement durable à travers une politique et un ensemble de normes environnementales et sociales conçues pour appuyer les projets des pays emprunteurs dans le but </w:t>
      </w:r>
      <w:r w:rsidR="008E2B72" w:rsidRPr="00260790">
        <w:rPr>
          <w:rFonts w:ascii="Times New Roman" w:eastAsia="Times New Roman" w:hAnsi="Times New Roman"/>
          <w:color w:val="000000" w:themeColor="text1"/>
          <w:lang w:eastAsia="fr-FR"/>
        </w:rPr>
        <w:t>d’avoir un monde sans pauvret</w:t>
      </w:r>
      <w:r w:rsidR="003011F6" w:rsidRPr="00260790">
        <w:rPr>
          <w:rFonts w:ascii="Times New Roman" w:eastAsia="Times New Roman" w:hAnsi="Times New Roman"/>
          <w:color w:val="000000" w:themeColor="text1"/>
          <w:lang w:eastAsia="fr-FR"/>
        </w:rPr>
        <w:t>é sur une planète vivable</w:t>
      </w:r>
      <w:r w:rsidRPr="00260790">
        <w:rPr>
          <w:rFonts w:ascii="Times New Roman" w:eastAsia="Times New Roman" w:hAnsi="Times New Roman"/>
          <w:color w:val="000000" w:themeColor="text1"/>
          <w:lang w:eastAsia="fr-FR"/>
        </w:rPr>
        <w:t>. Le projet et classé à risque « Élevé », susceptible d'avoir des impacts significatifs sur l'environnement.</w:t>
      </w:r>
    </w:p>
    <w:p w14:paraId="58EA4697" w14:textId="77777777" w:rsidR="005F3FB7" w:rsidRPr="00260790" w:rsidRDefault="005F3FB7" w:rsidP="00E20250">
      <w:pPr>
        <w:autoSpaceDE w:val="0"/>
        <w:autoSpaceDN w:val="0"/>
        <w:adjustRightInd w:val="0"/>
        <w:spacing w:line="240" w:lineRule="auto"/>
        <w:jc w:val="both"/>
        <w:rPr>
          <w:rFonts w:ascii="Times New Roman" w:hAnsi="Times New Roman"/>
          <w:color w:val="000000" w:themeColor="text1"/>
        </w:rPr>
      </w:pPr>
      <w:r w:rsidRPr="00260790">
        <w:rPr>
          <w:rFonts w:ascii="Times New Roman" w:eastAsia="Times New Roman" w:hAnsi="Times New Roman"/>
          <w:color w:val="000000" w:themeColor="text1"/>
          <w:lang w:eastAsia="fr-FR"/>
        </w:rPr>
        <w:t>Les dix normes environnementales et sociales (NES) du Cadre Environnemental et Social (CES), en vigueur depuis octobre 2018, définissent les exigences applicables aux emprunteurs en matière d’identification et d’évaluation des risques et impacts environnementaux et sociaux, associés aux projets soutenus financièrement par la Banque.</w:t>
      </w:r>
      <w:r w:rsidRPr="00260790">
        <w:rPr>
          <w:rFonts w:ascii="Times New Roman" w:hAnsi="Times New Roman"/>
          <w:color w:val="000000" w:themeColor="text1"/>
        </w:rPr>
        <w:t xml:space="preserve"> Elles sont les suivantes :</w:t>
      </w:r>
    </w:p>
    <w:p w14:paraId="2EA2FF06" w14:textId="77777777" w:rsidR="005F3FB7" w:rsidRPr="00260790" w:rsidRDefault="005F3FB7" w:rsidP="001748C6">
      <w:pPr>
        <w:numPr>
          <w:ilvl w:val="0"/>
          <w:numId w:val="12"/>
        </w:numPr>
        <w:spacing w:after="0" w:line="240" w:lineRule="auto"/>
        <w:contextualSpacing/>
        <w:jc w:val="both"/>
        <w:rPr>
          <w:rFonts w:ascii="Times New Roman" w:hAnsi="Times New Roman"/>
          <w:color w:val="000000" w:themeColor="text1"/>
        </w:rPr>
      </w:pPr>
      <w:r w:rsidRPr="00260790">
        <w:rPr>
          <w:rFonts w:ascii="Times New Roman" w:hAnsi="Times New Roman"/>
          <w:color w:val="000000" w:themeColor="text1"/>
        </w:rPr>
        <w:t>NES 1 : Évaluation et gestion des risques et effets environnementaux et sociaux ;</w:t>
      </w:r>
    </w:p>
    <w:p w14:paraId="3E1E5FCC" w14:textId="77777777" w:rsidR="005F3FB7" w:rsidRPr="00260790" w:rsidRDefault="005F3FB7" w:rsidP="001748C6">
      <w:pPr>
        <w:numPr>
          <w:ilvl w:val="0"/>
          <w:numId w:val="12"/>
        </w:numPr>
        <w:spacing w:after="0" w:line="240" w:lineRule="auto"/>
        <w:contextualSpacing/>
        <w:jc w:val="both"/>
        <w:rPr>
          <w:rFonts w:ascii="Times New Roman" w:hAnsi="Times New Roman"/>
          <w:color w:val="000000" w:themeColor="text1"/>
        </w:rPr>
      </w:pPr>
      <w:r w:rsidRPr="00260790">
        <w:rPr>
          <w:rFonts w:ascii="Times New Roman" w:hAnsi="Times New Roman"/>
          <w:color w:val="000000" w:themeColor="text1"/>
        </w:rPr>
        <w:t>NES 2 : Emploi et conditions de travail ;</w:t>
      </w:r>
    </w:p>
    <w:p w14:paraId="2E4DEE0D" w14:textId="77777777" w:rsidR="005F3FB7" w:rsidRPr="00260790" w:rsidRDefault="005F3FB7" w:rsidP="001748C6">
      <w:pPr>
        <w:numPr>
          <w:ilvl w:val="0"/>
          <w:numId w:val="12"/>
        </w:numPr>
        <w:spacing w:after="0" w:line="240" w:lineRule="auto"/>
        <w:contextualSpacing/>
        <w:jc w:val="both"/>
        <w:rPr>
          <w:rFonts w:ascii="Times New Roman" w:hAnsi="Times New Roman"/>
          <w:color w:val="000000" w:themeColor="text1"/>
        </w:rPr>
      </w:pPr>
      <w:r w:rsidRPr="00260790">
        <w:rPr>
          <w:rFonts w:ascii="Times New Roman" w:hAnsi="Times New Roman"/>
          <w:color w:val="000000" w:themeColor="text1"/>
        </w:rPr>
        <w:t>NES 3 : Utilisation rationnelle des ressources et prévention et gestion de la pollution ;</w:t>
      </w:r>
    </w:p>
    <w:p w14:paraId="7EB2337F" w14:textId="77777777" w:rsidR="005F3FB7" w:rsidRPr="00260790" w:rsidRDefault="005F3FB7" w:rsidP="001748C6">
      <w:pPr>
        <w:numPr>
          <w:ilvl w:val="0"/>
          <w:numId w:val="12"/>
        </w:numPr>
        <w:spacing w:after="0" w:line="240" w:lineRule="auto"/>
        <w:contextualSpacing/>
        <w:jc w:val="both"/>
        <w:rPr>
          <w:rFonts w:ascii="Times New Roman" w:hAnsi="Times New Roman"/>
          <w:color w:val="000000" w:themeColor="text1"/>
        </w:rPr>
      </w:pPr>
      <w:r w:rsidRPr="00260790">
        <w:rPr>
          <w:rFonts w:ascii="Times New Roman" w:hAnsi="Times New Roman"/>
          <w:color w:val="000000" w:themeColor="text1"/>
        </w:rPr>
        <w:t>NES 4 : Santé et sécurité des populations ;</w:t>
      </w:r>
    </w:p>
    <w:p w14:paraId="156E99FB" w14:textId="77777777" w:rsidR="005F3FB7" w:rsidRPr="00260790" w:rsidRDefault="005F3FB7" w:rsidP="001748C6">
      <w:pPr>
        <w:numPr>
          <w:ilvl w:val="0"/>
          <w:numId w:val="12"/>
        </w:numPr>
        <w:spacing w:after="0" w:line="240" w:lineRule="auto"/>
        <w:contextualSpacing/>
        <w:jc w:val="both"/>
        <w:rPr>
          <w:rFonts w:ascii="Times New Roman" w:hAnsi="Times New Roman"/>
          <w:color w:val="000000" w:themeColor="text1"/>
        </w:rPr>
      </w:pPr>
      <w:r w:rsidRPr="00260790">
        <w:rPr>
          <w:rFonts w:ascii="Times New Roman" w:hAnsi="Times New Roman"/>
          <w:color w:val="000000" w:themeColor="text1"/>
        </w:rPr>
        <w:t>NES 5 : Acquisition de terres, restrictions à l’utilisation de terres et réinstallation involontaire</w:t>
      </w:r>
    </w:p>
    <w:p w14:paraId="4F15FBFD" w14:textId="77777777" w:rsidR="005F3FB7" w:rsidRPr="00260790" w:rsidRDefault="005F3FB7" w:rsidP="001748C6">
      <w:pPr>
        <w:numPr>
          <w:ilvl w:val="0"/>
          <w:numId w:val="12"/>
        </w:numPr>
        <w:spacing w:after="0" w:line="240" w:lineRule="auto"/>
        <w:contextualSpacing/>
        <w:jc w:val="both"/>
        <w:rPr>
          <w:rFonts w:ascii="Times New Roman" w:hAnsi="Times New Roman"/>
          <w:color w:val="000000" w:themeColor="text1"/>
        </w:rPr>
      </w:pPr>
      <w:r w:rsidRPr="00260790">
        <w:rPr>
          <w:rFonts w:ascii="Times New Roman" w:hAnsi="Times New Roman"/>
          <w:color w:val="000000" w:themeColor="text1"/>
        </w:rPr>
        <w:t>NES 6 : Préservation de la biodiversité et gestion durable des ressources naturelles biologiques ;</w:t>
      </w:r>
    </w:p>
    <w:p w14:paraId="1970EF88" w14:textId="25BEEDC9" w:rsidR="005F3FB7" w:rsidRPr="00260790" w:rsidRDefault="005F3FB7" w:rsidP="001748C6">
      <w:pPr>
        <w:numPr>
          <w:ilvl w:val="0"/>
          <w:numId w:val="12"/>
        </w:numPr>
        <w:spacing w:after="0" w:line="240" w:lineRule="auto"/>
        <w:contextualSpacing/>
        <w:jc w:val="both"/>
        <w:rPr>
          <w:rFonts w:ascii="Times New Roman" w:hAnsi="Times New Roman"/>
          <w:color w:val="000000" w:themeColor="text1"/>
        </w:rPr>
      </w:pPr>
      <w:r w:rsidRPr="00260790">
        <w:rPr>
          <w:rFonts w:ascii="Times New Roman" w:hAnsi="Times New Roman"/>
          <w:color w:val="000000" w:themeColor="text1"/>
        </w:rPr>
        <w:t>NES 7 : Peuples autochtones/Communautés locales traditionnelles d’Afrique subsaharienne historiquement défavorisés ;</w:t>
      </w:r>
    </w:p>
    <w:p w14:paraId="1CA1E6FC" w14:textId="77777777" w:rsidR="005F3FB7" w:rsidRPr="00260790" w:rsidRDefault="005F3FB7" w:rsidP="001748C6">
      <w:pPr>
        <w:numPr>
          <w:ilvl w:val="0"/>
          <w:numId w:val="12"/>
        </w:numPr>
        <w:spacing w:after="0" w:line="240" w:lineRule="auto"/>
        <w:contextualSpacing/>
        <w:jc w:val="both"/>
        <w:rPr>
          <w:rFonts w:ascii="Times New Roman" w:hAnsi="Times New Roman"/>
          <w:color w:val="000000" w:themeColor="text1"/>
        </w:rPr>
      </w:pPr>
      <w:r w:rsidRPr="00260790">
        <w:rPr>
          <w:rFonts w:ascii="Times New Roman" w:hAnsi="Times New Roman"/>
          <w:color w:val="000000" w:themeColor="text1"/>
        </w:rPr>
        <w:t>NES 8 : Patrimoine culturel ;</w:t>
      </w:r>
    </w:p>
    <w:p w14:paraId="0A271C54" w14:textId="77777777" w:rsidR="005F3FB7" w:rsidRPr="00260790" w:rsidRDefault="005F3FB7" w:rsidP="001748C6">
      <w:pPr>
        <w:numPr>
          <w:ilvl w:val="0"/>
          <w:numId w:val="12"/>
        </w:numPr>
        <w:spacing w:after="0" w:line="240" w:lineRule="auto"/>
        <w:contextualSpacing/>
        <w:jc w:val="both"/>
        <w:rPr>
          <w:rFonts w:ascii="Times New Roman" w:hAnsi="Times New Roman"/>
          <w:color w:val="000000" w:themeColor="text1"/>
        </w:rPr>
      </w:pPr>
      <w:r w:rsidRPr="00260790">
        <w:rPr>
          <w:rFonts w:ascii="Times New Roman" w:hAnsi="Times New Roman"/>
          <w:color w:val="000000" w:themeColor="text1"/>
        </w:rPr>
        <w:t>NES 9 : Intermédiaires financiers ; et</w:t>
      </w:r>
    </w:p>
    <w:p w14:paraId="197680A2" w14:textId="77777777" w:rsidR="005F3FB7" w:rsidRPr="00260790" w:rsidRDefault="005F3FB7" w:rsidP="001748C6">
      <w:pPr>
        <w:numPr>
          <w:ilvl w:val="0"/>
          <w:numId w:val="12"/>
        </w:numPr>
        <w:spacing w:line="240" w:lineRule="auto"/>
        <w:contextualSpacing/>
        <w:jc w:val="both"/>
        <w:rPr>
          <w:rFonts w:ascii="Times New Roman" w:hAnsi="Times New Roman"/>
          <w:color w:val="000000" w:themeColor="text1"/>
        </w:rPr>
      </w:pPr>
      <w:r w:rsidRPr="00260790">
        <w:rPr>
          <w:rFonts w:ascii="Times New Roman" w:hAnsi="Times New Roman"/>
          <w:color w:val="000000" w:themeColor="text1"/>
        </w:rPr>
        <w:t>NES 10 : Mobilisation des parties prenantes et information.</w:t>
      </w:r>
    </w:p>
    <w:p w14:paraId="728473C6" w14:textId="651B3108" w:rsidR="005F3FB7" w:rsidRPr="00260790" w:rsidRDefault="005F3FB7" w:rsidP="00E20250">
      <w:pPr>
        <w:spacing w:before="240" w:line="240" w:lineRule="auto"/>
        <w:ind w:right="2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Sur ces dix Normes Environnementales et Sociales, seules deux ne sont pas pertinentes pour le projet. Il s’agit notamment de la NES 7, non applicable, car les « Populations autochtones » ne sont pas présente</w:t>
      </w:r>
      <w:r w:rsidR="001407E5" w:rsidRPr="00260790">
        <w:rPr>
          <w:rFonts w:ascii="Times New Roman" w:eastAsia="Times New Roman" w:hAnsi="Times New Roman"/>
          <w:color w:val="000000" w:themeColor="text1"/>
          <w:lang w:eastAsia="fr-FR"/>
        </w:rPr>
        <w:t>s</w:t>
      </w:r>
      <w:r w:rsidRPr="00260790">
        <w:rPr>
          <w:rFonts w:ascii="Times New Roman" w:eastAsia="Times New Roman" w:hAnsi="Times New Roman"/>
          <w:color w:val="000000" w:themeColor="text1"/>
          <w:lang w:eastAsia="fr-FR"/>
        </w:rPr>
        <w:t xml:space="preserve"> au Sénégal, et de la NES 9, « Intermédiaires financiers », non applicable du fait que le mode de financement ne fait pas recours à des intermédiaires financiers.</w:t>
      </w:r>
    </w:p>
    <w:p w14:paraId="4F7E2B68" w14:textId="77777777" w:rsidR="005F3FB7" w:rsidRPr="00260790" w:rsidRDefault="005F3FB7" w:rsidP="00E20250">
      <w:pPr>
        <w:spacing w:after="0"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 xml:space="preserve">Cependant, pour la NES 5, « Acquisition de terres, restrictions à l’utilisation de terres et réinstallation involontaire » </w:t>
      </w:r>
      <w:r w:rsidRPr="00260790">
        <w:rPr>
          <w:rFonts w:ascii="Times New Roman" w:hAnsi="Times New Roman"/>
          <w:color w:val="000000" w:themeColor="text1"/>
          <w:u w:val="single"/>
          <w:lang w:eastAsia="fr-FR"/>
        </w:rPr>
        <w:t xml:space="preserve">un Plan d’Actions de Réinstallation (PAR) est préparé parallèlement à cette étude. </w:t>
      </w:r>
      <w:r w:rsidRPr="00260790">
        <w:rPr>
          <w:rFonts w:ascii="Times New Roman" w:hAnsi="Times New Roman"/>
          <w:color w:val="000000" w:themeColor="text1"/>
          <w:lang w:eastAsia="fr-FR"/>
        </w:rPr>
        <w:t xml:space="preserve"> </w:t>
      </w:r>
    </w:p>
    <w:p w14:paraId="36541FA1" w14:textId="77777777" w:rsidR="005F3FB7" w:rsidRPr="00260790" w:rsidRDefault="005F3FB7" w:rsidP="00E20250">
      <w:pPr>
        <w:spacing w:after="0" w:line="240" w:lineRule="auto"/>
        <w:jc w:val="both"/>
        <w:rPr>
          <w:rFonts w:ascii="Times New Roman" w:hAnsi="Times New Roman"/>
          <w:color w:val="000000" w:themeColor="text1"/>
          <w:lang w:eastAsia="fr-FR"/>
        </w:rPr>
      </w:pPr>
    </w:p>
    <w:p w14:paraId="544E3E13" w14:textId="77777777" w:rsidR="005F3FB7" w:rsidRPr="00260790" w:rsidRDefault="005F3FB7" w:rsidP="00E20250">
      <w:pPr>
        <w:spacing w:before="240" w:after="0" w:line="240" w:lineRule="auto"/>
        <w:ind w:right="20"/>
        <w:jc w:val="both"/>
        <w:rPr>
          <w:rFonts w:ascii="Times New Roman" w:eastAsia="Times New Roman" w:hAnsi="Times New Roman"/>
          <w:color w:val="000000" w:themeColor="text1"/>
          <w:lang w:eastAsia="fr-FR"/>
        </w:rPr>
      </w:pPr>
    </w:p>
    <w:p w14:paraId="58B04FE5" w14:textId="77777777" w:rsidR="005F3FB7" w:rsidRPr="00260790" w:rsidRDefault="005F3FB7" w:rsidP="00E20250">
      <w:pPr>
        <w:spacing w:before="240" w:after="0" w:line="240" w:lineRule="auto"/>
        <w:ind w:right="20"/>
        <w:jc w:val="both"/>
        <w:rPr>
          <w:rFonts w:ascii="Times New Roman" w:eastAsia="Times New Roman" w:hAnsi="Times New Roman"/>
          <w:color w:val="000000" w:themeColor="text1"/>
          <w:lang w:eastAsia="fr-FR"/>
        </w:rPr>
        <w:sectPr w:rsidR="005F3FB7" w:rsidRPr="00260790" w:rsidSect="00E20250">
          <w:pgSz w:w="11906" w:h="16838"/>
          <w:pgMar w:top="1418" w:right="1418" w:bottom="1418" w:left="1418" w:header="709" w:footer="454" w:gutter="0"/>
          <w:cols w:space="708"/>
          <w:docGrid w:linePitch="360"/>
        </w:sectPr>
      </w:pPr>
    </w:p>
    <w:p w14:paraId="7EF5DABB" w14:textId="4132A679" w:rsidR="005F3FB7" w:rsidRPr="00260790" w:rsidRDefault="005F3FB7" w:rsidP="00E20250">
      <w:pPr>
        <w:pStyle w:val="Lgende"/>
        <w:keepNext/>
        <w:spacing w:line="240" w:lineRule="auto"/>
        <w:rPr>
          <w:color w:val="000000" w:themeColor="text1"/>
          <w:sz w:val="22"/>
          <w:szCs w:val="22"/>
        </w:rPr>
      </w:pPr>
      <w:bookmarkStart w:id="260" w:name="_Toc207781850"/>
      <w:r w:rsidRPr="00260790">
        <w:rPr>
          <w:color w:val="000000" w:themeColor="text1"/>
          <w:sz w:val="22"/>
          <w:szCs w:val="22"/>
        </w:rPr>
        <w:lastRenderedPageBreak/>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9</w:t>
      </w:r>
      <w:r w:rsidRPr="00260790">
        <w:rPr>
          <w:color w:val="000000" w:themeColor="text1"/>
          <w:sz w:val="22"/>
          <w:szCs w:val="22"/>
        </w:rPr>
        <w:fldChar w:fldCharType="end"/>
      </w:r>
      <w:r w:rsidRPr="00260790">
        <w:rPr>
          <w:color w:val="000000" w:themeColor="text1"/>
          <w:sz w:val="22"/>
          <w:szCs w:val="22"/>
        </w:rPr>
        <w:t>: Normes Environnementale</w:t>
      </w:r>
      <w:r w:rsidR="00D53DE8" w:rsidRPr="00260790">
        <w:rPr>
          <w:color w:val="000000" w:themeColor="text1"/>
          <w:sz w:val="22"/>
          <w:szCs w:val="22"/>
        </w:rPr>
        <w:t>s</w:t>
      </w:r>
      <w:r w:rsidRPr="00260790">
        <w:rPr>
          <w:color w:val="000000" w:themeColor="text1"/>
          <w:sz w:val="22"/>
          <w:szCs w:val="22"/>
        </w:rPr>
        <w:t xml:space="preserve"> et Sociales de la Banque mondiale pertinentes au projet</w:t>
      </w:r>
      <w:bookmarkEnd w:id="260"/>
    </w:p>
    <w:tbl>
      <w:tblPr>
        <w:tblW w:w="52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2"/>
        <w:gridCol w:w="7104"/>
        <w:gridCol w:w="5153"/>
      </w:tblGrid>
      <w:tr w:rsidR="00BD1A2F" w:rsidRPr="00260790" w14:paraId="714B9AC6" w14:textId="77777777" w:rsidTr="00B91DF9">
        <w:trPr>
          <w:trHeight w:val="474"/>
          <w:tblHeader/>
        </w:trPr>
        <w:tc>
          <w:tcPr>
            <w:tcW w:w="828" w:type="pct"/>
            <w:shd w:val="clear" w:color="auto" w:fill="E2EFD9" w:themeFill="accent6" w:themeFillTint="33"/>
            <w:vAlign w:val="center"/>
          </w:tcPr>
          <w:p w14:paraId="38D53045" w14:textId="77777777" w:rsidR="005F3FB7" w:rsidRPr="00260790" w:rsidRDefault="005F3FB7" w:rsidP="00E20250">
            <w:pPr>
              <w:spacing w:after="0" w:line="240" w:lineRule="auto"/>
              <w:rPr>
                <w:rFonts w:ascii="Times New Roman" w:eastAsia="Times New Roman" w:hAnsi="Times New Roman"/>
                <w:b/>
                <w:color w:val="000000" w:themeColor="text1"/>
                <w:lang w:eastAsia="fr-FR"/>
              </w:rPr>
            </w:pPr>
            <w:bookmarkStart w:id="261" w:name="_Hlk68218564"/>
            <w:r w:rsidRPr="00260790">
              <w:rPr>
                <w:rFonts w:ascii="Times New Roman" w:eastAsia="Times New Roman" w:hAnsi="Times New Roman"/>
                <w:b/>
                <w:color w:val="000000" w:themeColor="text1"/>
                <w:lang w:eastAsia="fr-FR"/>
              </w:rPr>
              <w:t>Intitulé de la Norme</w:t>
            </w:r>
          </w:p>
        </w:tc>
        <w:tc>
          <w:tcPr>
            <w:tcW w:w="2418" w:type="pct"/>
            <w:shd w:val="clear" w:color="auto" w:fill="E2EFD9" w:themeFill="accent6" w:themeFillTint="33"/>
            <w:vAlign w:val="center"/>
          </w:tcPr>
          <w:p w14:paraId="65A9961D" w14:textId="77777777" w:rsidR="005F3FB7" w:rsidRPr="00260790" w:rsidRDefault="005F3FB7" w:rsidP="00E20250">
            <w:pPr>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Aspects environnementaux et/ou sociaux couverts</w:t>
            </w:r>
          </w:p>
        </w:tc>
        <w:tc>
          <w:tcPr>
            <w:tcW w:w="1754" w:type="pct"/>
            <w:shd w:val="clear" w:color="auto" w:fill="E2EFD9" w:themeFill="accent6" w:themeFillTint="33"/>
            <w:vAlign w:val="center"/>
          </w:tcPr>
          <w:p w14:paraId="35F0C894" w14:textId="77777777" w:rsidR="005F3FB7" w:rsidRPr="00260790" w:rsidRDefault="005F3FB7" w:rsidP="00E20250">
            <w:pPr>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 xml:space="preserve">Pertinence pour le Projet </w:t>
            </w:r>
          </w:p>
        </w:tc>
      </w:tr>
      <w:tr w:rsidR="00BD1A2F" w:rsidRPr="00260790" w14:paraId="28FF089B" w14:textId="77777777" w:rsidTr="00B91DF9">
        <w:trPr>
          <w:trHeight w:val="1267"/>
        </w:trPr>
        <w:tc>
          <w:tcPr>
            <w:tcW w:w="828" w:type="pct"/>
            <w:vAlign w:val="center"/>
          </w:tcPr>
          <w:p w14:paraId="7C7D82EE" w14:textId="77777777" w:rsidR="005F3FB7" w:rsidRPr="00260790" w:rsidRDefault="005F3FB7" w:rsidP="00E20250">
            <w:pPr>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NES 1, Évaluation et gestion des risques et effets environnementaux et sociaux</w:t>
            </w:r>
          </w:p>
        </w:tc>
        <w:tc>
          <w:tcPr>
            <w:tcW w:w="2418" w:type="pct"/>
            <w:vAlign w:val="center"/>
          </w:tcPr>
          <w:p w14:paraId="7614DEF7"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NES 1 énonce les responsabilités de l'Emprunteur pour évaluer, gérer et surveiller les risques et les impacts environnementaux et sociaux associés à chaque étape d'un projet financé par la Banque par le biais du Financement des projets d'investissement (FPI), afin d'atteindre des résultats environnementaux et sociaux compatibles avec les Normes Environnementales et Sociales (NES).</w:t>
            </w:r>
          </w:p>
        </w:tc>
        <w:tc>
          <w:tcPr>
            <w:tcW w:w="1754" w:type="pct"/>
            <w:vAlign w:val="center"/>
          </w:tcPr>
          <w:p w14:paraId="19BAA956" w14:textId="28B50426"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 </w:t>
            </w:r>
            <w:r w:rsidRPr="00260790">
              <w:rPr>
                <w:rFonts w:ascii="Times New Roman" w:eastAsia="Times New Roman" w:hAnsi="Times New Roman"/>
                <w:color w:val="000000" w:themeColor="text1"/>
                <w:spacing w:val="4"/>
                <w:lang w:eastAsia="fr-FR"/>
              </w:rPr>
              <w:t xml:space="preserve">Projet, </w:t>
            </w:r>
            <w:r w:rsidRPr="00260790">
              <w:rPr>
                <w:rFonts w:ascii="Times New Roman" w:eastAsia="Times New Roman" w:hAnsi="Times New Roman"/>
                <w:color w:val="000000" w:themeColor="text1"/>
                <w:lang w:eastAsia="fr-FR"/>
              </w:rPr>
              <w:t xml:space="preserve">à travers ses composantes, pourrait générer des risques et impacts environnementaux et sociaux qu’il faudra gérer durant tout le cycle du projet. Dès lors, la NES 1 s’applique au projet. Ainsi, en conformité avec les exigences de cette norme, le gouvernement sénégalais en tant qu’Emprunteur devra réaliser une évaluation environnementale et sociale du </w:t>
            </w:r>
            <w:r w:rsidRPr="00260790">
              <w:rPr>
                <w:rFonts w:ascii="Times New Roman" w:eastAsia="Times New Roman" w:hAnsi="Times New Roman"/>
                <w:color w:val="000000" w:themeColor="text1"/>
                <w:spacing w:val="4"/>
                <w:lang w:eastAsia="fr-FR"/>
              </w:rPr>
              <w:t>Projet</w:t>
            </w:r>
            <w:r w:rsidRPr="00260790">
              <w:rPr>
                <w:rFonts w:ascii="Times New Roman" w:eastAsia="Times New Roman" w:hAnsi="Times New Roman"/>
                <w:color w:val="000000" w:themeColor="text1"/>
                <w:lang w:eastAsia="fr-FR"/>
              </w:rPr>
              <w:t>. La réalisation de l’EIES entre dans ce cadre. Les entrepreneurs doivent préparer et mettre en œuvre un plan de gestion environnementale et sociale Entreprise (PGES- E).</w:t>
            </w:r>
          </w:p>
        </w:tc>
      </w:tr>
      <w:tr w:rsidR="00BD1A2F" w:rsidRPr="00260790" w14:paraId="2910CA46" w14:textId="77777777" w:rsidTr="00B91DF9">
        <w:tc>
          <w:tcPr>
            <w:tcW w:w="828" w:type="pct"/>
            <w:vAlign w:val="center"/>
          </w:tcPr>
          <w:p w14:paraId="5AF9FD45" w14:textId="77777777" w:rsidR="005F3FB7" w:rsidRPr="00260790" w:rsidRDefault="005F3FB7" w:rsidP="00E20250">
            <w:pPr>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NES 2, Emploi et conditions de travail</w:t>
            </w:r>
          </w:p>
        </w:tc>
        <w:tc>
          <w:tcPr>
            <w:tcW w:w="2418" w:type="pct"/>
            <w:vAlign w:val="center"/>
          </w:tcPr>
          <w:p w14:paraId="43762D89"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La NES 2 reconnaît l'importance de la création d'emplois et de la génération de revenus dans la poursuite de la réduction de la pauvreté et de la croissance économique inclusive. Les Emprunteurs peuvent promouvoir des relations constructives entre les travailleurs d'un projet et </w:t>
            </w:r>
            <w:proofErr w:type="gramStart"/>
            <w:r w:rsidRPr="00260790">
              <w:rPr>
                <w:rFonts w:ascii="Times New Roman" w:eastAsia="Times New Roman" w:hAnsi="Times New Roman"/>
                <w:color w:val="000000" w:themeColor="text1"/>
                <w:lang w:eastAsia="fr-FR"/>
              </w:rPr>
              <w:t>la</w:t>
            </w:r>
            <w:proofErr w:type="gramEnd"/>
            <w:r w:rsidRPr="00260790">
              <w:rPr>
                <w:rFonts w:ascii="Times New Roman" w:eastAsia="Times New Roman" w:hAnsi="Times New Roman"/>
                <w:color w:val="000000" w:themeColor="text1"/>
                <w:lang w:eastAsia="fr-FR"/>
              </w:rPr>
              <w:t xml:space="preserve"> coordination/gestionnaire, et renforcer les bénéfices du développement d'un projet en traitant les travailleurs de manière équitable et en garantissant des conditions de travail sûres et saines.</w:t>
            </w:r>
          </w:p>
        </w:tc>
        <w:tc>
          <w:tcPr>
            <w:tcW w:w="1754" w:type="pct"/>
            <w:vAlign w:val="center"/>
          </w:tcPr>
          <w:p w14:paraId="27BDC912"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L’exécution de certaines activités ou travaux du </w:t>
            </w:r>
            <w:r w:rsidRPr="00260790">
              <w:rPr>
                <w:rFonts w:ascii="Times New Roman" w:eastAsia="Times New Roman" w:hAnsi="Times New Roman"/>
                <w:color w:val="000000" w:themeColor="text1"/>
                <w:spacing w:val="4"/>
                <w:lang w:eastAsia="fr-FR"/>
              </w:rPr>
              <w:t>Projet</w:t>
            </w:r>
            <w:r w:rsidRPr="00260790">
              <w:rPr>
                <w:rFonts w:ascii="Times New Roman" w:eastAsia="Times New Roman" w:hAnsi="Times New Roman"/>
                <w:color w:val="000000" w:themeColor="text1"/>
                <w:lang w:eastAsia="fr-FR"/>
              </w:rPr>
              <w:t> occasionnera la création d’emplois et les exigences en matière de traitement des travailleurs et de conditions de travail telles que définies dans la présente NES devront être respectées. Le Plan de Gestion de la Main-d’œuvre (PGMO) est élaboré par le Projet et validé par le Bailleur. Il est mis en jour dans le cadre du financement additionnel.</w:t>
            </w:r>
          </w:p>
          <w:p w14:paraId="36D78B62" w14:textId="77777777" w:rsidR="005F3FB7" w:rsidRPr="00260790" w:rsidRDefault="005F3FB7" w:rsidP="00E20250">
            <w:pPr>
              <w:widowControl w:val="0"/>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Plan Santé Sécurité au travail est intégré dans le dossier d’appel d’offres, les termes de référence et les contrats des entreprises et des entités de supervision. Il est préparé et transmis par les entreprises avant le démarrage des travaux.</w:t>
            </w:r>
          </w:p>
          <w:p w14:paraId="060B1243"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 projet va se conformer aux exigences de la NES en mettant en œuvre les mesures contenues dans l’EIES et le PGES, en faisant respecter les dispositions de la NES aux entreprises. </w:t>
            </w:r>
          </w:p>
          <w:p w14:paraId="71C837C7"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De plus, l’analyse des conditions de travail sera effectuée pour assurer la santé et la sécurité des travailleurs pendant tout le cycle du projet. </w:t>
            </w:r>
          </w:p>
        </w:tc>
      </w:tr>
      <w:tr w:rsidR="00BD1A2F" w:rsidRPr="00260790" w14:paraId="2415FF84" w14:textId="77777777" w:rsidTr="00B91DF9">
        <w:tc>
          <w:tcPr>
            <w:tcW w:w="828" w:type="pct"/>
            <w:vAlign w:val="center"/>
          </w:tcPr>
          <w:p w14:paraId="042CB860" w14:textId="77777777" w:rsidR="005F3FB7" w:rsidRPr="00260790" w:rsidRDefault="005F3FB7" w:rsidP="00E20250">
            <w:pPr>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lastRenderedPageBreak/>
              <w:t>NES 3, Utilisation rationnelle des ressources et prévention et gestion de la pollution</w:t>
            </w:r>
          </w:p>
        </w:tc>
        <w:tc>
          <w:tcPr>
            <w:tcW w:w="2418" w:type="pct"/>
            <w:vAlign w:val="center"/>
          </w:tcPr>
          <w:p w14:paraId="42A9DF4A"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NES 3 reconnaît que l’activité économique et l’urbanisation génèrent souvent une augmentation des niveaux de pollution de l'air, de l'eau et du sol, et consomment des ressources limitées d'une manière qui peut menacer les populations, les services des écosystèmes et l'environnement aux niveaux local, régional et mondial. La NES décrit les exigences nécessaires pour traiter l'utilisation rationnelle des ressources, la prévention et la gestion de la pollution tout au long du cycle de vie d'un projet.</w:t>
            </w:r>
          </w:p>
        </w:tc>
        <w:tc>
          <w:tcPr>
            <w:tcW w:w="1754" w:type="pct"/>
            <w:vAlign w:val="center"/>
          </w:tcPr>
          <w:p w14:paraId="09E7FE5E" w14:textId="436CEE43"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Les phases de travaux en particulier induiront des risques de pollution de l’environnement et des ressources, par rapport auxquelles s’impose le respect des exigences de la NES 3 pour traiter l’utilisation rationnelle de ces ressources, ainsi que la prévention et la gestion de la pollution, notamment la gestion des déchets et produits dangereux, le traitement des eaux usées au niveau des bassins, des canalisations, etc. </w:t>
            </w:r>
          </w:p>
        </w:tc>
      </w:tr>
      <w:tr w:rsidR="00BD1A2F" w:rsidRPr="00260790" w14:paraId="29914FBB" w14:textId="77777777" w:rsidTr="00B91DF9">
        <w:tc>
          <w:tcPr>
            <w:tcW w:w="828" w:type="pct"/>
            <w:vAlign w:val="center"/>
          </w:tcPr>
          <w:p w14:paraId="7AF83A99" w14:textId="77777777" w:rsidR="005F3FB7" w:rsidRPr="00260790" w:rsidRDefault="005F3FB7" w:rsidP="00E20250">
            <w:pPr>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NES 4, Santé et sécurité des populations</w:t>
            </w:r>
          </w:p>
        </w:tc>
        <w:tc>
          <w:tcPr>
            <w:tcW w:w="2418" w:type="pct"/>
            <w:vAlign w:val="center"/>
          </w:tcPr>
          <w:p w14:paraId="1FED0302"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NES 4 traite des risques et des impacts sur la sécurité, la sûreté et la santé des communautés affectées par le projet, ainsi que de la responsabilité respective des Emprunteurs de réduire ou atténuer ces risques et ces impacts, en portant une attention particulière aux groupes qui, en raison de leur situation particulière, peuvent être vulnérables.</w:t>
            </w:r>
          </w:p>
        </w:tc>
        <w:tc>
          <w:tcPr>
            <w:tcW w:w="1754" w:type="pct"/>
            <w:vAlign w:val="center"/>
          </w:tcPr>
          <w:p w14:paraId="62992E47"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populations vivant dans la zone du projet risquent d’être impactées du point de vue sécuritaire et sanitaire, lors de la mise en œuvre. Ainsi, les exigences de la présente NES en matière de réduction ou d’atténuation de ces risques et impacts devront être respectées. Des clauses spécifiques seront annexées dans les contrats des prestataires de services de façon qu’aucune activité du projet n’occasionne des risques sanitaires pour les populations locales.</w:t>
            </w:r>
          </w:p>
        </w:tc>
      </w:tr>
      <w:tr w:rsidR="00BD1A2F" w:rsidRPr="00260790" w14:paraId="26811F55" w14:textId="77777777" w:rsidTr="00B91DF9">
        <w:trPr>
          <w:trHeight w:val="77"/>
        </w:trPr>
        <w:tc>
          <w:tcPr>
            <w:tcW w:w="828" w:type="pct"/>
            <w:vAlign w:val="center"/>
          </w:tcPr>
          <w:p w14:paraId="46AC8F07" w14:textId="77777777" w:rsidR="005F3FB7" w:rsidRPr="00260790" w:rsidRDefault="005F3FB7" w:rsidP="00E20250">
            <w:pPr>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NES 5, Acquisition des terres, restrictions à l'utilisation des terres et réinstallation involontaire</w:t>
            </w:r>
          </w:p>
        </w:tc>
        <w:tc>
          <w:tcPr>
            <w:tcW w:w="2418" w:type="pct"/>
            <w:vAlign w:val="center"/>
          </w:tcPr>
          <w:p w14:paraId="64F7CE11"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NES 5 a pour principe de base que la réinstallation involontaire doit être évitée. Lorsque la réinstallation involontaire est inévitable, elle doit être limitée, et des mesures appropriées pour minimiser les impacts négatifs sur les personnes déplacées (et les communautés hôtes qui accueillent les personnes déplacées) doivent être soigneusement planifiées et mises en œuvre.</w:t>
            </w:r>
          </w:p>
        </w:tc>
        <w:tc>
          <w:tcPr>
            <w:tcW w:w="1754" w:type="pct"/>
            <w:vAlign w:val="center"/>
          </w:tcPr>
          <w:p w14:paraId="11A949CE"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Cette NES est pertinente au projet, qui est susceptible d’engendrer des pertes d’actifs ou de sources de revenus. C’est dans ce cadre qu’un PAR est en cours de préparation.</w:t>
            </w:r>
          </w:p>
        </w:tc>
      </w:tr>
      <w:tr w:rsidR="00BD1A2F" w:rsidRPr="00260790" w14:paraId="3B1E20ED" w14:textId="77777777" w:rsidTr="006B2607">
        <w:trPr>
          <w:trHeight w:val="318"/>
        </w:trPr>
        <w:tc>
          <w:tcPr>
            <w:tcW w:w="828" w:type="pct"/>
            <w:tcBorders>
              <w:bottom w:val="single" w:sz="4" w:space="0" w:color="auto"/>
            </w:tcBorders>
            <w:vAlign w:val="center"/>
          </w:tcPr>
          <w:p w14:paraId="429BBBE6" w14:textId="77777777" w:rsidR="005F3FB7" w:rsidRPr="00260790" w:rsidRDefault="005F3FB7" w:rsidP="00E20250">
            <w:pPr>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NES 6, Préservation de la biodiversité et gestion durable des ressources naturelles biologiques</w:t>
            </w:r>
          </w:p>
        </w:tc>
        <w:tc>
          <w:tcPr>
            <w:tcW w:w="2418" w:type="pct"/>
            <w:tcBorders>
              <w:bottom w:val="single" w:sz="4" w:space="0" w:color="auto"/>
            </w:tcBorders>
            <w:vAlign w:val="center"/>
          </w:tcPr>
          <w:p w14:paraId="6B842CFC" w14:textId="44FD4C9E"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NES 6 reconnaît que la protection et la conservation de la biodiversité, et la gestion durable des ressources naturelles vivantes revêtent une importance capitale pour le développement durable. Elle reconnaît également l'importance de la conservation des fonctions écologiques clés des habitats, notamment les forêts, et la biodiversité qu'ils abritent. La NES 6 se penche également sur la gestion durable de la production primaire et de l'exploitation des ressources naturelles, et reconnaît la nécessité d'examiner les moyens de subsistance des parties affectées par le projet, y compris les Peuples autochtones, dont l'accès ou l'utilisation de la biodiversité ou des ressources naturelles vivantes peuvent être affectés par un projet.</w:t>
            </w:r>
          </w:p>
        </w:tc>
        <w:tc>
          <w:tcPr>
            <w:tcW w:w="1754" w:type="pct"/>
            <w:tcBorders>
              <w:bottom w:val="single" w:sz="4" w:space="0" w:color="auto"/>
            </w:tcBorders>
            <w:vAlign w:val="center"/>
          </w:tcPr>
          <w:p w14:paraId="48BEB5DC" w14:textId="33867A45"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Cette NES est pertinente à cause de la présence dans la zone d’influence du projet d’espèce forestière. Les impacts sur la biodiversité ont été évalués et des mesures de gestion des risques et effets pour la biodiversité sont proposées.</w:t>
            </w:r>
          </w:p>
          <w:p w14:paraId="57538B91"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p>
        </w:tc>
      </w:tr>
      <w:tr w:rsidR="00BD1A2F" w:rsidRPr="00260790" w14:paraId="32B2F084" w14:textId="77777777" w:rsidTr="00B91DF9">
        <w:tc>
          <w:tcPr>
            <w:tcW w:w="828" w:type="pct"/>
            <w:tcBorders>
              <w:top w:val="nil"/>
            </w:tcBorders>
            <w:vAlign w:val="center"/>
          </w:tcPr>
          <w:p w14:paraId="0DE2097B" w14:textId="44711FCA" w:rsidR="005F3FB7" w:rsidRPr="00260790" w:rsidRDefault="005F3FB7" w:rsidP="00E20250">
            <w:pPr>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lastRenderedPageBreak/>
              <w:t>NES 7, Peuples autochtones / Communautés locales traditionnelles d’Afrique subsaharienne historiquement défavorisés</w:t>
            </w:r>
          </w:p>
        </w:tc>
        <w:tc>
          <w:tcPr>
            <w:tcW w:w="2418" w:type="pct"/>
            <w:tcBorders>
              <w:top w:val="nil"/>
            </w:tcBorders>
            <w:vAlign w:val="center"/>
          </w:tcPr>
          <w:p w14:paraId="33925DF2" w14:textId="5F7B2A76"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NES 7 veille à ce que le processus de développement favorise le plein respect des droits humains, de la dignité, des aspirations, de l'identité, de la culture et des moyens de subsistance fondés sur des ressources naturelles des Peuples autochtones / Communautés locales traditionnelles d’Afrique subsaharienne historiquement défavorisés. La NES 7 a également pour objectif d'éviter les impacts négatifs des projets sur les Peuples autochtones / Communautés locales traditionnelles d’Afrique subsaharienne historiquement défavorisés ou, si cela n’est pas possible, réduire, atténuer et/ou compenser ces impacts.</w:t>
            </w:r>
          </w:p>
        </w:tc>
        <w:tc>
          <w:tcPr>
            <w:tcW w:w="1754" w:type="pct"/>
            <w:tcBorders>
              <w:top w:val="nil"/>
            </w:tcBorders>
            <w:vAlign w:val="center"/>
          </w:tcPr>
          <w:p w14:paraId="112AD17A" w14:textId="1318EB8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Aucun groupe ou communauté ou peuple répondant aux critères énoncés aux paragraphes 8 et 9 de la NES 7 n’est présent au Sénégal, particulièrement dans la zone d’intervention du Projet. De ce fait, cette NES n’est pas pertinente au projet.</w:t>
            </w:r>
          </w:p>
        </w:tc>
      </w:tr>
      <w:tr w:rsidR="00BD1A2F" w:rsidRPr="00260790" w14:paraId="4A451840" w14:textId="77777777" w:rsidTr="00B91DF9">
        <w:tc>
          <w:tcPr>
            <w:tcW w:w="828" w:type="pct"/>
            <w:vAlign w:val="center"/>
          </w:tcPr>
          <w:p w14:paraId="15C1BE77" w14:textId="77777777" w:rsidR="005F3FB7" w:rsidRPr="00260790" w:rsidRDefault="005F3FB7" w:rsidP="00E20250">
            <w:pPr>
              <w:spacing w:after="0" w:line="240" w:lineRule="auto"/>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NES 8, Patrimoine culturel</w:t>
            </w:r>
          </w:p>
        </w:tc>
        <w:tc>
          <w:tcPr>
            <w:tcW w:w="2418" w:type="pct"/>
            <w:vAlign w:val="center"/>
          </w:tcPr>
          <w:p w14:paraId="44B48BC9" w14:textId="3E105AC8"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NES 8 reconnaît que le patrimoine culturel offre une continuité des formes matérielles et immatérielles entre le passé, le présent et le futur. La NES 8 fixe les mesures conçues pour protéger le patrimoine culturel tout au long de la durée de vie d'un projet.</w:t>
            </w:r>
          </w:p>
        </w:tc>
        <w:tc>
          <w:tcPr>
            <w:tcW w:w="1754" w:type="pct"/>
            <w:vAlign w:val="center"/>
          </w:tcPr>
          <w:p w14:paraId="5D636C78"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travaux vont nécessiter des excavations avec des possibilités de ramener en surface des ressources culturelles, physiques, archéologiques, préhistoriques, etc. Une procédure, en cas de découverte fortuite de vestiges culturels, sera enclenchée conformément à la législation nationale.</w:t>
            </w:r>
          </w:p>
        </w:tc>
      </w:tr>
      <w:tr w:rsidR="00BD1A2F" w:rsidRPr="00260790" w14:paraId="3547C1E6" w14:textId="77777777" w:rsidTr="00B91DF9">
        <w:tc>
          <w:tcPr>
            <w:tcW w:w="828" w:type="pct"/>
            <w:tcBorders>
              <w:bottom w:val="single" w:sz="4" w:space="0" w:color="auto"/>
            </w:tcBorders>
            <w:vAlign w:val="center"/>
          </w:tcPr>
          <w:p w14:paraId="57C0353A" w14:textId="77777777" w:rsidR="005F3FB7" w:rsidRPr="00260790" w:rsidRDefault="005F3FB7" w:rsidP="00E20250">
            <w:pPr>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NES 9, Intermédiaires financiers (IF)</w:t>
            </w:r>
          </w:p>
        </w:tc>
        <w:tc>
          <w:tcPr>
            <w:tcW w:w="2418" w:type="pct"/>
            <w:tcBorders>
              <w:bottom w:val="single" w:sz="4" w:space="0" w:color="auto"/>
            </w:tcBorders>
            <w:vAlign w:val="center"/>
          </w:tcPr>
          <w:p w14:paraId="03C6D415"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NES 9 reconnaît que la solidité des marchés intérieurs, financiers et de capitaux et l'accès au financement sont des facteurs importants pour le développement économique, la croissance et la réduction de la pauvreté. Les IF sont tenus de surveiller et de gérer les risques et les impacts environnementaux et sociaux de leurs portefeuilles et les sous-projets de l'IF, et de surveiller le risque du portefeuille en fonction de la nature du financement convoyé/géré. La manière dont l'IF gèrera son portefeuille pourra prendre différentes formes, en fonction d'un certain nombre de considérations, y compris les capacités de l'IF et la nature et la portée du financement par l'IF.</w:t>
            </w:r>
          </w:p>
        </w:tc>
        <w:tc>
          <w:tcPr>
            <w:tcW w:w="1754" w:type="pct"/>
            <w:tcBorders>
              <w:bottom w:val="single" w:sz="4" w:space="0" w:color="auto"/>
            </w:tcBorders>
            <w:vAlign w:val="center"/>
          </w:tcPr>
          <w:p w14:paraId="7DC2CD37"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 </w:t>
            </w:r>
            <w:r w:rsidRPr="00260790">
              <w:rPr>
                <w:rFonts w:ascii="Times New Roman" w:eastAsia="Times New Roman" w:hAnsi="Times New Roman"/>
                <w:color w:val="000000" w:themeColor="text1"/>
                <w:spacing w:val="4"/>
                <w:lang w:eastAsia="fr-FR"/>
              </w:rPr>
              <w:t>Projet</w:t>
            </w:r>
            <w:r w:rsidRPr="00260790">
              <w:rPr>
                <w:rFonts w:ascii="Times New Roman" w:eastAsia="Times New Roman" w:hAnsi="Times New Roman"/>
                <w:color w:val="000000" w:themeColor="text1"/>
                <w:lang w:eastAsia="fr-FR"/>
              </w:rPr>
              <w:t xml:space="preserve"> ne prévoit pas le recours à des Intermédiaires financiers (IF) pour financer ses activités. De ce fait, cette NES n’est pas pertinente au projet.</w:t>
            </w:r>
          </w:p>
        </w:tc>
      </w:tr>
      <w:tr w:rsidR="00BD1A2F" w:rsidRPr="00260790" w14:paraId="1A65B33E" w14:textId="77777777" w:rsidTr="00B91DF9">
        <w:tc>
          <w:tcPr>
            <w:tcW w:w="828" w:type="pct"/>
            <w:tcBorders>
              <w:top w:val="nil"/>
            </w:tcBorders>
            <w:vAlign w:val="center"/>
          </w:tcPr>
          <w:p w14:paraId="1CE66568" w14:textId="77777777" w:rsidR="005F3FB7" w:rsidRPr="00260790" w:rsidRDefault="005F3FB7" w:rsidP="00E20250">
            <w:pPr>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NES 10, Mobilisation des parties prenantes et information</w:t>
            </w:r>
          </w:p>
        </w:tc>
        <w:tc>
          <w:tcPr>
            <w:tcW w:w="2418" w:type="pct"/>
            <w:tcBorders>
              <w:top w:val="nil"/>
            </w:tcBorders>
            <w:vAlign w:val="center"/>
          </w:tcPr>
          <w:p w14:paraId="4DCCF9E2"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NES 10 reconnaît l'importance de la consultation ouverte et transparente entre l'Emprunteur et les parties prenantes d'un projet, comme un élément essentiel de bonne pratique internationale. La consultation efficace des parties prenantes peut améliorer la durabilité environnementale et sociale des projets, améliorer l'acceptation des projets, et contribuer de manière significative à la conception et la mise en œuvre réussie des projets.</w:t>
            </w:r>
          </w:p>
        </w:tc>
        <w:tc>
          <w:tcPr>
            <w:tcW w:w="1754" w:type="pct"/>
            <w:tcBorders>
              <w:top w:val="nil"/>
            </w:tcBorders>
            <w:vAlign w:val="center"/>
          </w:tcPr>
          <w:p w14:paraId="4B9B284B" w14:textId="426E0C0D"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De fait, la NES 10 est pertinente au </w:t>
            </w:r>
            <w:r w:rsidRPr="00260790">
              <w:rPr>
                <w:rFonts w:ascii="Times New Roman" w:eastAsia="Times New Roman" w:hAnsi="Times New Roman"/>
                <w:color w:val="000000" w:themeColor="text1"/>
                <w:spacing w:val="4"/>
                <w:lang w:eastAsia="fr-FR"/>
              </w:rPr>
              <w:t>Projet</w:t>
            </w:r>
            <w:r w:rsidRPr="00260790">
              <w:rPr>
                <w:rFonts w:ascii="Times New Roman" w:eastAsia="Times New Roman" w:hAnsi="Times New Roman"/>
                <w:color w:val="000000" w:themeColor="text1"/>
                <w:lang w:eastAsia="fr-FR"/>
              </w:rPr>
              <w:t xml:space="preserve"> vu que tous les projets financés par la Banque mondiale sont assujettis à cette NES. Il est prévu dans l’EIES l’élaboration d’un Plan de mobilisation des parties prenantes (PMPP), ainsi qu’un mécanisme de ges</w:t>
            </w:r>
            <w:r w:rsidR="008256D6" w:rsidRPr="00260790">
              <w:rPr>
                <w:rFonts w:ascii="Times New Roman" w:eastAsia="Times New Roman" w:hAnsi="Times New Roman"/>
                <w:color w:val="000000" w:themeColor="text1"/>
                <w:lang w:eastAsia="fr-FR"/>
              </w:rPr>
              <w:t xml:space="preserve">tion des plaintes sensible aux </w:t>
            </w:r>
            <w:r w:rsidRPr="00260790">
              <w:rPr>
                <w:rFonts w:ascii="Times New Roman" w:eastAsia="Times New Roman" w:hAnsi="Times New Roman"/>
                <w:color w:val="000000" w:themeColor="text1"/>
                <w:lang w:eastAsia="fr-FR"/>
              </w:rPr>
              <w:t>E</w:t>
            </w:r>
            <w:r w:rsidR="008256D6" w:rsidRPr="00260790">
              <w:rPr>
                <w:rFonts w:ascii="Times New Roman" w:eastAsia="Times New Roman" w:hAnsi="Times New Roman"/>
                <w:color w:val="000000" w:themeColor="text1"/>
                <w:lang w:eastAsia="fr-FR"/>
              </w:rPr>
              <w:t>A</w:t>
            </w:r>
            <w:r w:rsidRPr="00260790">
              <w:rPr>
                <w:rFonts w:ascii="Times New Roman" w:eastAsia="Times New Roman" w:hAnsi="Times New Roman"/>
                <w:color w:val="000000" w:themeColor="text1"/>
                <w:lang w:eastAsia="fr-FR"/>
              </w:rPr>
              <w:t>S/HS.</w:t>
            </w:r>
          </w:p>
        </w:tc>
      </w:tr>
      <w:tr w:rsidR="00BD1A2F" w:rsidRPr="00260790" w14:paraId="050F57EC" w14:textId="77777777" w:rsidTr="00B91DF9">
        <w:tc>
          <w:tcPr>
            <w:tcW w:w="828" w:type="pct"/>
            <w:vAlign w:val="center"/>
          </w:tcPr>
          <w:p w14:paraId="4A9A1DE0" w14:textId="77777777" w:rsidR="005F3FB7" w:rsidRPr="00260790" w:rsidRDefault="005F3FB7" w:rsidP="00E20250">
            <w:pPr>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color w:val="000000" w:themeColor="text1"/>
                <w:lang w:eastAsia="fr-FR"/>
              </w:rPr>
              <w:t>OP 7.50 Projets sur les voies navigables internationales</w:t>
            </w:r>
          </w:p>
        </w:tc>
        <w:tc>
          <w:tcPr>
            <w:tcW w:w="2418" w:type="pct"/>
            <w:vAlign w:val="center"/>
          </w:tcPr>
          <w:p w14:paraId="1578F7BD"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Les Projets relatifs à des voies d’eau internationales peuvent affecter les relations entre la Banque et ses emprunteurs et entre des États. La Banque attache donc la plus grande importance à la conclusion par les riverains </w:t>
            </w:r>
            <w:r w:rsidRPr="00260790">
              <w:rPr>
                <w:rFonts w:ascii="Times New Roman" w:eastAsia="Times New Roman" w:hAnsi="Times New Roman"/>
                <w:color w:val="000000" w:themeColor="text1"/>
                <w:lang w:eastAsia="fr-FR"/>
              </w:rPr>
              <w:lastRenderedPageBreak/>
              <w:t>d’accords ou d’arrangements appropriés concernant la totalité ou une partie d’une voie d’eau donnée.</w:t>
            </w:r>
          </w:p>
        </w:tc>
        <w:tc>
          <w:tcPr>
            <w:tcW w:w="1754" w:type="pct"/>
            <w:vAlign w:val="center"/>
          </w:tcPr>
          <w:p w14:paraId="5CC4CD93"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lastRenderedPageBreak/>
              <w:t>Le</w:t>
            </w:r>
            <w:r w:rsidRPr="00260790">
              <w:rPr>
                <w:rFonts w:ascii="Times New Roman" w:eastAsia="Times New Roman" w:hAnsi="Times New Roman"/>
                <w:bCs/>
                <w:color w:val="000000" w:themeColor="text1"/>
                <w:lang w:eastAsia="fr-FR"/>
              </w:rPr>
              <w:t xml:space="preserve"> Projet n’affectera pas le fonctionnement hydrologique des cours d’eau internationaux, d</w:t>
            </w:r>
            <w:r w:rsidRPr="00260790">
              <w:rPr>
                <w:rFonts w:ascii="Times New Roman" w:eastAsia="Times New Roman" w:hAnsi="Times New Roman"/>
                <w:color w:val="000000" w:themeColor="text1"/>
                <w:lang w:eastAsia="fr-FR"/>
              </w:rPr>
              <w:t>onc cette OP ne s’applique pas au projet.</w:t>
            </w:r>
          </w:p>
        </w:tc>
      </w:tr>
      <w:tr w:rsidR="005F3FB7" w:rsidRPr="00260790" w14:paraId="5871D8E0" w14:textId="77777777" w:rsidTr="00B91DF9">
        <w:tc>
          <w:tcPr>
            <w:tcW w:w="828" w:type="pct"/>
            <w:vAlign w:val="center"/>
          </w:tcPr>
          <w:p w14:paraId="38ACB235" w14:textId="77777777" w:rsidR="005F3FB7" w:rsidRPr="00260790" w:rsidRDefault="005F3FB7" w:rsidP="00E20250">
            <w:pPr>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color w:val="000000" w:themeColor="text1"/>
                <w:lang w:eastAsia="fr-FR"/>
              </w:rPr>
              <w:t>OP 7.60 Projets sur les territoires contestés</w:t>
            </w:r>
          </w:p>
        </w:tc>
        <w:tc>
          <w:tcPr>
            <w:tcW w:w="2418" w:type="pct"/>
            <w:vAlign w:val="center"/>
          </w:tcPr>
          <w:p w14:paraId="543D5AF1"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Banque peut appuyer un projet dans une zone en litige si les gouvernements concernés conviennent que, dans l’attente du règlement du contentieux, le projet envisagé dans le pays A doit suivre son cours sous réserve de la contestation du pays B.</w:t>
            </w:r>
          </w:p>
        </w:tc>
        <w:tc>
          <w:tcPr>
            <w:tcW w:w="1754" w:type="pct"/>
            <w:vAlign w:val="center"/>
          </w:tcPr>
          <w:p w14:paraId="50D6B886" w14:textId="77777777" w:rsidR="005F3FB7" w:rsidRPr="00260790" w:rsidRDefault="005F3FB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projet ne s’implante pas dans une zone en litige. Donc cette OP ne s’applique pas au projet.</w:t>
            </w:r>
          </w:p>
        </w:tc>
      </w:tr>
      <w:bookmarkEnd w:id="261"/>
    </w:tbl>
    <w:p w14:paraId="2299EE4E" w14:textId="77777777" w:rsidR="005F3FB7" w:rsidRPr="00260790" w:rsidRDefault="005F3FB7" w:rsidP="00E20250">
      <w:pPr>
        <w:pStyle w:val="Lgende"/>
        <w:keepNext/>
        <w:spacing w:after="0" w:line="240" w:lineRule="auto"/>
        <w:rPr>
          <w:bCs/>
          <w:i w:val="0"/>
          <w:color w:val="000000" w:themeColor="text1"/>
          <w:sz w:val="24"/>
          <w:szCs w:val="24"/>
        </w:rPr>
      </w:pPr>
    </w:p>
    <w:p w14:paraId="49BE7236" w14:textId="1B5C5E60" w:rsidR="005F3FB7" w:rsidRPr="00260790" w:rsidRDefault="005F3FB7" w:rsidP="00E20250">
      <w:pPr>
        <w:pStyle w:val="Lgende"/>
        <w:keepNext/>
        <w:spacing w:line="240" w:lineRule="auto"/>
        <w:rPr>
          <w:iCs w:val="0"/>
          <w:color w:val="000000" w:themeColor="text1"/>
          <w:spacing w:val="5"/>
          <w:sz w:val="22"/>
          <w:szCs w:val="22"/>
        </w:rPr>
      </w:pPr>
      <w:bookmarkStart w:id="262" w:name="_Toc207781851"/>
      <w:r w:rsidRPr="00260790">
        <w:rPr>
          <w:bCs/>
          <w:iCs w:val="0"/>
          <w:color w:val="000000" w:themeColor="text1"/>
          <w:sz w:val="22"/>
          <w:szCs w:val="22"/>
        </w:rPr>
        <w:t xml:space="preserve">Tableau </w:t>
      </w:r>
      <w:r w:rsidRPr="00260790">
        <w:rPr>
          <w:iCs w:val="0"/>
          <w:color w:val="000000" w:themeColor="text1"/>
          <w:spacing w:val="5"/>
          <w:sz w:val="22"/>
          <w:szCs w:val="22"/>
        </w:rPr>
        <w:fldChar w:fldCharType="begin"/>
      </w:r>
      <w:r w:rsidRPr="00260790">
        <w:rPr>
          <w:iCs w:val="0"/>
          <w:color w:val="000000" w:themeColor="text1"/>
          <w:spacing w:val="5"/>
          <w:sz w:val="22"/>
          <w:szCs w:val="22"/>
        </w:rPr>
        <w:instrText xml:space="preserve"> SEQ Tableau \* ARABIC </w:instrText>
      </w:r>
      <w:r w:rsidRPr="00260790">
        <w:rPr>
          <w:iCs w:val="0"/>
          <w:color w:val="000000" w:themeColor="text1"/>
          <w:spacing w:val="5"/>
          <w:sz w:val="22"/>
          <w:szCs w:val="22"/>
        </w:rPr>
        <w:fldChar w:fldCharType="separate"/>
      </w:r>
      <w:r w:rsidR="003C783E">
        <w:rPr>
          <w:iCs w:val="0"/>
          <w:noProof/>
          <w:color w:val="000000" w:themeColor="text1"/>
          <w:spacing w:val="5"/>
          <w:sz w:val="22"/>
          <w:szCs w:val="22"/>
        </w:rPr>
        <w:t>10</w:t>
      </w:r>
      <w:r w:rsidRPr="00260790">
        <w:rPr>
          <w:iCs w:val="0"/>
          <w:color w:val="000000" w:themeColor="text1"/>
          <w:spacing w:val="5"/>
          <w:sz w:val="22"/>
          <w:szCs w:val="22"/>
        </w:rPr>
        <w:fldChar w:fldCharType="end"/>
      </w:r>
      <w:r w:rsidRPr="00260790">
        <w:rPr>
          <w:bCs/>
          <w:iCs w:val="0"/>
          <w:color w:val="000000" w:themeColor="text1"/>
          <w:spacing w:val="5"/>
          <w:sz w:val="22"/>
          <w:szCs w:val="22"/>
        </w:rPr>
        <w:t>:</w:t>
      </w:r>
      <w:r w:rsidRPr="00260790">
        <w:rPr>
          <w:iCs w:val="0"/>
          <w:color w:val="000000" w:themeColor="text1"/>
          <w:spacing w:val="5"/>
          <w:sz w:val="22"/>
          <w:szCs w:val="22"/>
        </w:rPr>
        <w:t xml:space="preserve"> Comparaison entre les exigences des normes environnementales et sociales applicables au projet et les dispositions nationales pertinentes</w:t>
      </w:r>
      <w:bookmarkEnd w:id="262"/>
    </w:p>
    <w:tbl>
      <w:tblPr>
        <w:tblStyle w:val="Grilledutableau"/>
        <w:tblW w:w="14700" w:type="dxa"/>
        <w:tblLook w:val="04A0" w:firstRow="1" w:lastRow="0" w:firstColumn="1" w:lastColumn="0" w:noHBand="0" w:noVBand="1"/>
      </w:tblPr>
      <w:tblGrid>
        <w:gridCol w:w="2122"/>
        <w:gridCol w:w="5244"/>
        <w:gridCol w:w="4678"/>
        <w:gridCol w:w="2656"/>
      </w:tblGrid>
      <w:tr w:rsidR="00BD1A2F" w:rsidRPr="00260790" w14:paraId="1F7AFC43" w14:textId="77777777" w:rsidTr="00CD1EB5">
        <w:trPr>
          <w:tblHeader/>
        </w:trPr>
        <w:tc>
          <w:tcPr>
            <w:tcW w:w="2122" w:type="dxa"/>
            <w:shd w:val="clear" w:color="auto" w:fill="E2EFD9" w:themeFill="accent6" w:themeFillTint="33"/>
            <w:vAlign w:val="center"/>
          </w:tcPr>
          <w:p w14:paraId="2A306127" w14:textId="77777777" w:rsidR="005F3FB7" w:rsidRPr="00260790" w:rsidRDefault="005F3FB7" w:rsidP="00E20250">
            <w:pPr>
              <w:pStyle w:val="Sansinterligne"/>
              <w:rPr>
                <w:rFonts w:ascii="Times New Roman" w:hAnsi="Times New Roman"/>
                <w:b/>
                <w:bCs/>
                <w:color w:val="000000" w:themeColor="text1"/>
                <w:sz w:val="22"/>
                <w:szCs w:val="22"/>
                <w:lang w:val="fr-FR" w:eastAsia="fr-FR"/>
              </w:rPr>
            </w:pPr>
            <w:r w:rsidRPr="00260790">
              <w:rPr>
                <w:rFonts w:ascii="Times New Roman" w:hAnsi="Times New Roman"/>
                <w:b/>
                <w:bCs/>
                <w:color w:val="000000" w:themeColor="text1"/>
                <w:sz w:val="22"/>
                <w:szCs w:val="22"/>
                <w:lang w:val="fr-FR"/>
              </w:rPr>
              <w:t xml:space="preserve">NES de la Banque mondiale  </w:t>
            </w:r>
          </w:p>
        </w:tc>
        <w:tc>
          <w:tcPr>
            <w:tcW w:w="5244" w:type="dxa"/>
            <w:shd w:val="clear" w:color="auto" w:fill="E2EFD9" w:themeFill="accent6" w:themeFillTint="33"/>
            <w:vAlign w:val="center"/>
          </w:tcPr>
          <w:p w14:paraId="1D0BDF59" w14:textId="77777777" w:rsidR="005F3FB7" w:rsidRPr="00260790" w:rsidRDefault="005F3FB7" w:rsidP="00E20250">
            <w:pPr>
              <w:pStyle w:val="Sansinterligne"/>
              <w:rPr>
                <w:rFonts w:ascii="Times New Roman" w:hAnsi="Times New Roman"/>
                <w:b/>
                <w:bCs/>
                <w:color w:val="000000" w:themeColor="text1"/>
                <w:sz w:val="22"/>
                <w:szCs w:val="22"/>
                <w:lang w:val="fr-FR" w:eastAsia="fr-FR"/>
              </w:rPr>
            </w:pPr>
            <w:r w:rsidRPr="00260790">
              <w:rPr>
                <w:rFonts w:ascii="Times New Roman" w:hAnsi="Times New Roman"/>
                <w:b/>
                <w:bCs/>
                <w:color w:val="000000" w:themeColor="text1"/>
                <w:sz w:val="22"/>
                <w:szCs w:val="22"/>
                <w:lang w:val="fr-FR"/>
              </w:rPr>
              <w:t xml:space="preserve">Exigences des NES de la Banque mondiale </w:t>
            </w:r>
          </w:p>
        </w:tc>
        <w:tc>
          <w:tcPr>
            <w:tcW w:w="4678" w:type="dxa"/>
            <w:shd w:val="clear" w:color="auto" w:fill="E2EFD9" w:themeFill="accent6" w:themeFillTint="33"/>
            <w:vAlign w:val="center"/>
          </w:tcPr>
          <w:p w14:paraId="6B842C6D" w14:textId="77777777" w:rsidR="005F3FB7" w:rsidRPr="00260790" w:rsidRDefault="005F3FB7" w:rsidP="00E20250">
            <w:pPr>
              <w:pStyle w:val="Sansinterligne"/>
              <w:rPr>
                <w:rFonts w:ascii="Times New Roman" w:hAnsi="Times New Roman"/>
                <w:b/>
                <w:bCs/>
                <w:color w:val="000000" w:themeColor="text1"/>
                <w:sz w:val="22"/>
                <w:szCs w:val="22"/>
                <w:lang w:val="fr-FR" w:eastAsia="fr-FR"/>
              </w:rPr>
            </w:pPr>
            <w:r w:rsidRPr="00260790">
              <w:rPr>
                <w:rFonts w:ascii="Times New Roman" w:hAnsi="Times New Roman"/>
                <w:b/>
                <w:bCs/>
                <w:color w:val="000000" w:themeColor="text1"/>
                <w:sz w:val="22"/>
                <w:szCs w:val="22"/>
                <w:lang w:val="fr-FR"/>
              </w:rPr>
              <w:t xml:space="preserve">Dispositions nationales pertinentes </w:t>
            </w:r>
          </w:p>
        </w:tc>
        <w:tc>
          <w:tcPr>
            <w:tcW w:w="2656" w:type="dxa"/>
            <w:shd w:val="clear" w:color="auto" w:fill="E2EFD9" w:themeFill="accent6" w:themeFillTint="33"/>
            <w:vAlign w:val="center"/>
          </w:tcPr>
          <w:p w14:paraId="48A93C4C" w14:textId="77777777" w:rsidR="005F3FB7" w:rsidRPr="00260790" w:rsidRDefault="005F3FB7" w:rsidP="00E20250">
            <w:pPr>
              <w:pStyle w:val="Sansinterligne"/>
              <w:rPr>
                <w:rFonts w:ascii="Times New Roman" w:hAnsi="Times New Roman"/>
                <w:b/>
                <w:bCs/>
                <w:color w:val="000000" w:themeColor="text1"/>
                <w:sz w:val="22"/>
                <w:szCs w:val="22"/>
                <w:lang w:val="fr-FR" w:eastAsia="fr-FR"/>
              </w:rPr>
            </w:pPr>
            <w:r w:rsidRPr="00260790">
              <w:rPr>
                <w:rFonts w:ascii="Times New Roman" w:hAnsi="Times New Roman"/>
                <w:b/>
                <w:bCs/>
                <w:color w:val="000000" w:themeColor="text1"/>
                <w:sz w:val="22"/>
                <w:szCs w:val="22"/>
                <w:lang w:val="fr-FR"/>
              </w:rPr>
              <w:t>Provisions ad hoc pour compléter les dispositions nationales et satisfaire les exigences</w:t>
            </w:r>
          </w:p>
        </w:tc>
      </w:tr>
      <w:tr w:rsidR="00BD1A2F" w:rsidRPr="00260790" w14:paraId="622B9235" w14:textId="77777777" w:rsidTr="00CD1EB5">
        <w:tc>
          <w:tcPr>
            <w:tcW w:w="2122" w:type="dxa"/>
            <w:vAlign w:val="center"/>
          </w:tcPr>
          <w:p w14:paraId="4C2C6936" w14:textId="77777777" w:rsidR="005F3FB7" w:rsidRPr="00260790" w:rsidRDefault="005F3FB7" w:rsidP="00E20250">
            <w:pPr>
              <w:pStyle w:val="Sansinterligne"/>
              <w:rPr>
                <w:rFonts w:ascii="Times New Roman" w:hAnsi="Times New Roman"/>
                <w:color w:val="000000" w:themeColor="text1"/>
                <w:sz w:val="22"/>
                <w:szCs w:val="22"/>
                <w:lang w:val="fr-FR" w:eastAsia="fr-FR"/>
              </w:rPr>
            </w:pPr>
            <w:r w:rsidRPr="00260790">
              <w:rPr>
                <w:rFonts w:ascii="Times New Roman" w:eastAsia="Times New Roman" w:hAnsi="Times New Roman"/>
                <w:b/>
                <w:bCs/>
                <w:color w:val="000000" w:themeColor="text1"/>
                <w:sz w:val="22"/>
                <w:szCs w:val="22"/>
                <w:lang w:val="fr-FR" w:eastAsia="fr-FR"/>
              </w:rPr>
              <w:t>NES 1, Évaluation et gestion des risques et effets environnementaux et sociaux</w:t>
            </w:r>
          </w:p>
        </w:tc>
        <w:tc>
          <w:tcPr>
            <w:tcW w:w="5244" w:type="dxa"/>
            <w:vAlign w:val="center"/>
          </w:tcPr>
          <w:p w14:paraId="5ECD1269" w14:textId="77777777" w:rsidR="005F3FB7" w:rsidRPr="00260790" w:rsidRDefault="005F3FB7" w:rsidP="00E20250">
            <w:pPr>
              <w:spacing w:line="240" w:lineRule="auto"/>
              <w:jc w:val="both"/>
              <w:rPr>
                <w:rFonts w:ascii="Times New Roman" w:eastAsia="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La NES 1 énonce les responsabilités de l'Emprunteur pour évaluer, gérer et surveiller les risques et les impacts environnementaux et sociaux associés à chaque étape d'un projet financé par la Banque par le biais du Financement des projets d'investissement (FPI), afin d'atteindre des résultats environnementaux et sociaux compatibles avec les Normes Environnementales et Sociales (NES).</w:t>
            </w:r>
          </w:p>
          <w:p w14:paraId="75E039A3" w14:textId="77777777" w:rsidR="005F3FB7" w:rsidRPr="00260790" w:rsidRDefault="005F3FB7" w:rsidP="00E20250">
            <w:pPr>
              <w:tabs>
                <w:tab w:val="center" w:pos="2093"/>
                <w:tab w:val="right" w:pos="3398"/>
              </w:tabs>
              <w:spacing w:line="240" w:lineRule="auto"/>
              <w:jc w:val="both"/>
              <w:rPr>
                <w:rFonts w:ascii="Times New Roman" w:eastAsia="Times New Roman" w:hAnsi="Times New Roman"/>
                <w:color w:val="000000" w:themeColor="text1"/>
                <w:sz w:val="22"/>
                <w:szCs w:val="22"/>
                <w:lang w:val="fr-FR" w:eastAsia="fr-FR"/>
              </w:rPr>
            </w:pPr>
            <w:r w:rsidRPr="00260790">
              <w:rPr>
                <w:rFonts w:ascii="Times New Roman" w:eastAsia="Times New Roman" w:hAnsi="Times New Roman"/>
                <w:b/>
                <w:i/>
                <w:color w:val="000000" w:themeColor="text1"/>
                <w:sz w:val="22"/>
                <w:szCs w:val="22"/>
                <w:lang w:val="fr-FR" w:eastAsia="fr-FR"/>
              </w:rPr>
              <w:t xml:space="preserve">Évaluation environnementale et Sociale </w:t>
            </w:r>
          </w:p>
          <w:p w14:paraId="36102903" w14:textId="77777777" w:rsidR="005F3FB7" w:rsidRPr="00260790" w:rsidRDefault="005F3FB7" w:rsidP="00E20250">
            <w:pPr>
              <w:spacing w:line="240" w:lineRule="auto"/>
              <w:jc w:val="both"/>
              <w:rPr>
                <w:rFonts w:ascii="Times New Roman" w:eastAsia="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Déterminer, évaluer et gérer les risques et effets environnementaux et sociaux du projet d’une manière compatible avec les NES.</w:t>
            </w:r>
          </w:p>
          <w:p w14:paraId="5EF4D822" w14:textId="77777777" w:rsidR="005F3FB7" w:rsidRPr="00260790" w:rsidRDefault="005F3FB7" w:rsidP="00E20250">
            <w:pPr>
              <w:spacing w:after="45" w:line="240" w:lineRule="auto"/>
              <w:ind w:left="108"/>
              <w:jc w:val="both"/>
              <w:rPr>
                <w:rFonts w:ascii="Times New Roman" w:eastAsia="Times New Roman" w:hAnsi="Times New Roman"/>
                <w:color w:val="000000" w:themeColor="text1"/>
                <w:sz w:val="22"/>
                <w:szCs w:val="22"/>
                <w:lang w:val="fr-FR" w:eastAsia="fr-FR"/>
              </w:rPr>
            </w:pPr>
            <w:r w:rsidRPr="00260790">
              <w:rPr>
                <w:rFonts w:ascii="Times New Roman" w:eastAsia="Times New Roman" w:hAnsi="Times New Roman"/>
                <w:b/>
                <w:i/>
                <w:color w:val="000000" w:themeColor="text1"/>
                <w:sz w:val="22"/>
                <w:szCs w:val="22"/>
                <w:lang w:val="fr-FR" w:eastAsia="fr-FR"/>
              </w:rPr>
              <w:t>Examen environnemental préalable</w:t>
            </w:r>
            <w:r w:rsidRPr="00260790">
              <w:rPr>
                <w:rFonts w:ascii="Times New Roman" w:eastAsia="Times New Roman" w:hAnsi="Times New Roman"/>
                <w:color w:val="000000" w:themeColor="text1"/>
                <w:sz w:val="22"/>
                <w:szCs w:val="22"/>
                <w:lang w:val="fr-FR" w:eastAsia="fr-FR"/>
              </w:rPr>
              <w:t xml:space="preserve">  </w:t>
            </w:r>
          </w:p>
          <w:p w14:paraId="72147B6C" w14:textId="77777777" w:rsidR="005F3FB7" w:rsidRPr="00260790" w:rsidRDefault="005F3FB7" w:rsidP="00E20250">
            <w:pPr>
              <w:spacing w:after="45" w:line="240" w:lineRule="auto"/>
              <w:ind w:left="108"/>
              <w:jc w:val="both"/>
              <w:rPr>
                <w:rFonts w:ascii="Times New Roman" w:eastAsia="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 xml:space="preserve">La NES classifie les projets comme suit : </w:t>
            </w:r>
          </w:p>
          <w:p w14:paraId="16CFCDBB" w14:textId="77777777" w:rsidR="005F3FB7" w:rsidRPr="00260790" w:rsidRDefault="005F3FB7" w:rsidP="001748C6">
            <w:pPr>
              <w:numPr>
                <w:ilvl w:val="0"/>
                <w:numId w:val="5"/>
              </w:numPr>
              <w:spacing w:after="37" w:line="240" w:lineRule="auto"/>
              <w:jc w:val="both"/>
              <w:rPr>
                <w:rFonts w:ascii="Times New Roman" w:eastAsia="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Catégories « risques élevés »</w:t>
            </w:r>
          </w:p>
          <w:p w14:paraId="3D143D33" w14:textId="77777777" w:rsidR="005F3FB7" w:rsidRPr="00260790" w:rsidRDefault="005F3FB7" w:rsidP="001748C6">
            <w:pPr>
              <w:numPr>
                <w:ilvl w:val="0"/>
                <w:numId w:val="5"/>
              </w:numPr>
              <w:spacing w:after="37" w:line="240" w:lineRule="auto"/>
              <w:jc w:val="both"/>
              <w:rPr>
                <w:rFonts w:ascii="Times New Roman" w:eastAsia="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 xml:space="preserve">Catégorie « risques substantiels » </w:t>
            </w:r>
          </w:p>
          <w:p w14:paraId="4C7CA531" w14:textId="77777777" w:rsidR="005F3FB7" w:rsidRPr="00260790" w:rsidRDefault="005F3FB7" w:rsidP="001748C6">
            <w:pPr>
              <w:numPr>
                <w:ilvl w:val="0"/>
                <w:numId w:val="5"/>
              </w:numPr>
              <w:spacing w:after="37" w:line="240" w:lineRule="auto"/>
              <w:jc w:val="both"/>
              <w:rPr>
                <w:rFonts w:ascii="Times New Roman" w:eastAsia="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 xml:space="preserve">Catégorie « risques modérés » </w:t>
            </w:r>
          </w:p>
          <w:p w14:paraId="64DA3692" w14:textId="77777777" w:rsidR="005F3FB7" w:rsidRPr="00260790" w:rsidRDefault="005F3FB7" w:rsidP="001748C6">
            <w:pPr>
              <w:numPr>
                <w:ilvl w:val="0"/>
                <w:numId w:val="5"/>
              </w:numPr>
              <w:spacing w:after="37" w:line="240" w:lineRule="auto"/>
              <w:jc w:val="both"/>
              <w:rPr>
                <w:rFonts w:ascii="Times New Roman" w:eastAsia="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 xml:space="preserve">Catégorie « risques faibles »  </w:t>
            </w:r>
          </w:p>
          <w:p w14:paraId="226C5CDA" w14:textId="77777777" w:rsidR="005F3FB7" w:rsidRPr="00260790" w:rsidRDefault="005F3FB7" w:rsidP="00E20250">
            <w:pPr>
              <w:spacing w:line="240" w:lineRule="auto"/>
              <w:jc w:val="both"/>
              <w:rPr>
                <w:rFonts w:ascii="Times New Roman" w:hAnsi="Times New Roman"/>
                <w:b/>
                <w:color w:val="000000" w:themeColor="text1"/>
                <w:sz w:val="22"/>
                <w:szCs w:val="22"/>
                <w:lang w:val="fr-FR"/>
              </w:rPr>
            </w:pPr>
          </w:p>
          <w:p w14:paraId="3232DA8F" w14:textId="77777777" w:rsidR="005F3FB7" w:rsidRPr="00260790" w:rsidRDefault="005F3FB7" w:rsidP="00E20250">
            <w:pPr>
              <w:spacing w:line="240" w:lineRule="auto"/>
              <w:jc w:val="both"/>
              <w:rPr>
                <w:rFonts w:ascii="Times New Roman" w:eastAsia="Times New Roman" w:hAnsi="Times New Roman"/>
                <w:color w:val="000000" w:themeColor="text1"/>
                <w:sz w:val="22"/>
                <w:szCs w:val="22"/>
                <w:lang w:val="fr-FR" w:eastAsia="fr-FR"/>
              </w:rPr>
            </w:pPr>
            <w:r w:rsidRPr="00260790">
              <w:rPr>
                <w:rFonts w:ascii="Times New Roman" w:eastAsia="Times New Roman" w:hAnsi="Times New Roman"/>
                <w:b/>
                <w:i/>
                <w:color w:val="000000" w:themeColor="text1"/>
                <w:sz w:val="22"/>
                <w:szCs w:val="22"/>
                <w:lang w:val="fr-FR" w:eastAsia="fr-FR"/>
              </w:rPr>
              <w:lastRenderedPageBreak/>
              <w:t xml:space="preserve">Participation et diffusion d’information </w:t>
            </w:r>
          </w:p>
          <w:p w14:paraId="63F75EBD" w14:textId="77777777" w:rsidR="005F3FB7" w:rsidRPr="00260790" w:rsidRDefault="005F3FB7" w:rsidP="00E20250">
            <w:pPr>
              <w:pStyle w:val="Sansinterligne"/>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La NES exige une large consultation de l’ensemble des parties prenantes et des populations concernées et insiste sur l’élaboration entre autres d’un plan de mobilisation des parties prenantes et d’un mécanisme de gestion des plaintes crédibles pour la résolution des problèmes des personnes affectées par les impacts environnementaux et sociaux du projet. Elle exige également une large diffusion de l’EIES.</w:t>
            </w:r>
          </w:p>
        </w:tc>
        <w:tc>
          <w:tcPr>
            <w:tcW w:w="4678" w:type="dxa"/>
            <w:vAlign w:val="center"/>
          </w:tcPr>
          <w:p w14:paraId="23FA5ABE" w14:textId="7EEBE2F8" w:rsidR="005F3FB7" w:rsidRPr="00260790" w:rsidRDefault="005F3FB7" w:rsidP="00E20250">
            <w:pPr>
              <w:spacing w:line="240" w:lineRule="auto"/>
              <w:jc w:val="both"/>
              <w:rPr>
                <w:rFonts w:ascii="Times New Roman" w:hAnsi="Times New Roman"/>
                <w:bCs/>
                <w:color w:val="000000" w:themeColor="text1"/>
                <w:sz w:val="22"/>
                <w:szCs w:val="22"/>
                <w:lang w:val="fr-FR"/>
              </w:rPr>
            </w:pPr>
            <w:r w:rsidRPr="00260790">
              <w:rPr>
                <w:rFonts w:ascii="Times New Roman" w:hAnsi="Times New Roman"/>
                <w:bCs/>
                <w:color w:val="000000" w:themeColor="text1"/>
                <w:sz w:val="22"/>
                <w:szCs w:val="22"/>
                <w:lang w:val="fr-FR"/>
              </w:rPr>
              <w:lastRenderedPageBreak/>
              <w:t>La loi n° 20</w:t>
            </w:r>
            <w:r w:rsidR="003204D0" w:rsidRPr="00260790">
              <w:rPr>
                <w:rFonts w:ascii="Times New Roman" w:hAnsi="Times New Roman"/>
                <w:bCs/>
                <w:color w:val="000000" w:themeColor="text1"/>
                <w:sz w:val="22"/>
                <w:szCs w:val="22"/>
                <w:lang w:val="fr-FR"/>
              </w:rPr>
              <w:t>23</w:t>
            </w:r>
            <w:r w:rsidRPr="00260790">
              <w:rPr>
                <w:rFonts w:ascii="Times New Roman" w:hAnsi="Times New Roman"/>
                <w:bCs/>
                <w:color w:val="000000" w:themeColor="text1"/>
                <w:sz w:val="22"/>
                <w:szCs w:val="22"/>
                <w:lang w:val="fr-FR"/>
              </w:rPr>
              <w:t>-</w:t>
            </w:r>
            <w:r w:rsidR="003204D0" w:rsidRPr="00260790">
              <w:rPr>
                <w:rFonts w:ascii="Times New Roman" w:hAnsi="Times New Roman"/>
                <w:bCs/>
                <w:color w:val="000000" w:themeColor="text1"/>
                <w:sz w:val="22"/>
                <w:szCs w:val="22"/>
                <w:lang w:val="fr-FR"/>
              </w:rPr>
              <w:t>15</w:t>
            </w:r>
            <w:r w:rsidRPr="00260790">
              <w:rPr>
                <w:rFonts w:ascii="Times New Roman" w:hAnsi="Times New Roman"/>
                <w:bCs/>
                <w:color w:val="000000" w:themeColor="text1"/>
                <w:sz w:val="22"/>
                <w:szCs w:val="22"/>
                <w:lang w:val="fr-FR"/>
              </w:rPr>
              <w:t xml:space="preserve"> du </w:t>
            </w:r>
            <w:r w:rsidR="003204D0" w:rsidRPr="00260790">
              <w:rPr>
                <w:rFonts w:ascii="Times New Roman" w:hAnsi="Times New Roman"/>
                <w:bCs/>
                <w:color w:val="000000" w:themeColor="text1"/>
                <w:sz w:val="22"/>
                <w:szCs w:val="22"/>
                <w:lang w:val="fr-FR"/>
              </w:rPr>
              <w:t>02</w:t>
            </w:r>
            <w:r w:rsidRPr="00260790">
              <w:rPr>
                <w:rFonts w:ascii="Times New Roman" w:hAnsi="Times New Roman"/>
                <w:bCs/>
                <w:color w:val="000000" w:themeColor="text1"/>
                <w:sz w:val="22"/>
                <w:szCs w:val="22"/>
                <w:lang w:val="fr-FR"/>
              </w:rPr>
              <w:t xml:space="preserve"> </w:t>
            </w:r>
            <w:r w:rsidR="003204D0" w:rsidRPr="00260790">
              <w:rPr>
                <w:rFonts w:ascii="Times New Roman" w:hAnsi="Times New Roman"/>
                <w:bCs/>
                <w:color w:val="000000" w:themeColor="text1"/>
                <w:sz w:val="22"/>
                <w:szCs w:val="22"/>
                <w:lang w:val="fr-FR"/>
              </w:rPr>
              <w:t>août</w:t>
            </w:r>
            <w:r w:rsidRPr="00260790">
              <w:rPr>
                <w:rFonts w:ascii="Times New Roman" w:hAnsi="Times New Roman"/>
                <w:bCs/>
                <w:color w:val="000000" w:themeColor="text1"/>
                <w:sz w:val="22"/>
                <w:szCs w:val="22"/>
                <w:lang w:val="fr-FR"/>
              </w:rPr>
              <w:t xml:space="preserve"> 20</w:t>
            </w:r>
            <w:r w:rsidR="003204D0" w:rsidRPr="00260790">
              <w:rPr>
                <w:rFonts w:ascii="Times New Roman" w:hAnsi="Times New Roman"/>
                <w:bCs/>
                <w:color w:val="000000" w:themeColor="text1"/>
                <w:sz w:val="22"/>
                <w:szCs w:val="22"/>
                <w:lang w:val="fr-FR"/>
              </w:rPr>
              <w:t>23</w:t>
            </w:r>
            <w:r w:rsidRPr="00260790">
              <w:rPr>
                <w:rFonts w:ascii="Times New Roman" w:hAnsi="Times New Roman"/>
                <w:bCs/>
                <w:color w:val="000000" w:themeColor="text1"/>
                <w:sz w:val="22"/>
                <w:szCs w:val="22"/>
                <w:lang w:val="fr-FR"/>
              </w:rPr>
              <w:t xml:space="preserve"> portant Code de l’environnement prévoit que les promoteurs de projets susceptibles d’avoir des impacts significatifs sur l’environnement devront préparer une étude de l’évaluation des impacts sur l’environnement.</w:t>
            </w:r>
          </w:p>
          <w:p w14:paraId="5677FBF2" w14:textId="77777777" w:rsidR="005F3FB7" w:rsidRPr="00260790" w:rsidRDefault="005F3FB7" w:rsidP="00E20250">
            <w:pPr>
              <w:spacing w:line="240" w:lineRule="auto"/>
              <w:jc w:val="both"/>
              <w:rPr>
                <w:rFonts w:ascii="Times New Roman" w:eastAsia="Times New Roman" w:hAnsi="Times New Roman"/>
                <w:color w:val="000000" w:themeColor="text1"/>
                <w:sz w:val="22"/>
                <w:szCs w:val="22"/>
                <w:lang w:val="fr-FR" w:eastAsia="fr-FR"/>
              </w:rPr>
            </w:pPr>
          </w:p>
          <w:p w14:paraId="2FA11537" w14:textId="77777777" w:rsidR="005F3FB7" w:rsidRPr="00260790" w:rsidRDefault="005F3FB7" w:rsidP="00E20250">
            <w:pPr>
              <w:spacing w:line="240" w:lineRule="auto"/>
              <w:ind w:right="28"/>
              <w:jc w:val="both"/>
              <w:rPr>
                <w:rFonts w:ascii="Times New Roman" w:eastAsia="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Conformité partielle avec la NES.</w:t>
            </w:r>
          </w:p>
          <w:p w14:paraId="51B7A7BC" w14:textId="5928EE87" w:rsidR="005F3FB7" w:rsidRPr="00260790" w:rsidRDefault="003204D0" w:rsidP="00E20250">
            <w:pPr>
              <w:spacing w:line="240" w:lineRule="auto"/>
              <w:jc w:val="both"/>
              <w:rPr>
                <w:rFonts w:ascii="Times New Roman" w:eastAsia="Times New Roman" w:hAnsi="Times New Roman"/>
                <w:color w:val="000000" w:themeColor="text1"/>
                <w:sz w:val="22"/>
                <w:szCs w:val="22"/>
                <w:lang w:val="fr-FR" w:eastAsia="fr-FR"/>
              </w:rPr>
            </w:pPr>
            <w:r w:rsidRPr="00260790">
              <w:rPr>
                <w:rFonts w:ascii="Times New Roman" w:hAnsi="Times New Roman"/>
                <w:bCs/>
                <w:color w:val="000000" w:themeColor="text1"/>
                <w:sz w:val="22"/>
                <w:szCs w:val="22"/>
                <w:lang w:val="fr-FR"/>
              </w:rPr>
              <w:t xml:space="preserve">La loi n° 2023-15 du 02 août 2023 </w:t>
            </w:r>
            <w:r w:rsidR="005F3FB7" w:rsidRPr="00260790">
              <w:rPr>
                <w:rFonts w:ascii="Times New Roman" w:eastAsia="Times New Roman" w:hAnsi="Times New Roman"/>
                <w:color w:val="000000" w:themeColor="text1"/>
                <w:sz w:val="22"/>
                <w:szCs w:val="22"/>
                <w:lang w:val="fr-FR" w:eastAsia="fr-FR"/>
              </w:rPr>
              <w:t xml:space="preserve">spécifie deux catégories de projets : (i) Catégorie 1, concerne les projets susceptibles d’avoir des impacts significatifs sur l’environnement, qui sont soumis à une EIE, et (ii) Catégorie 2, concerne les projets dont les impacts sur l’environnement sont limités ou peuvent être atténués en appliquant des mesures ou des changements dans leur conception. Ces projets font l’objet d’une analyse environnementale (AE)  </w:t>
            </w:r>
          </w:p>
          <w:p w14:paraId="0DAABF73" w14:textId="77777777" w:rsidR="005F3FB7" w:rsidRPr="00260790" w:rsidRDefault="005F3FB7" w:rsidP="00E20250">
            <w:pPr>
              <w:spacing w:line="240" w:lineRule="auto"/>
              <w:jc w:val="both"/>
              <w:rPr>
                <w:rFonts w:ascii="Times New Roman" w:eastAsia="Times New Roman" w:hAnsi="Times New Roman"/>
                <w:color w:val="000000" w:themeColor="text1"/>
                <w:sz w:val="22"/>
                <w:szCs w:val="22"/>
                <w:lang w:val="fr-FR" w:eastAsia="fr-FR"/>
              </w:rPr>
            </w:pPr>
          </w:p>
          <w:p w14:paraId="34467979" w14:textId="4FBCC27A" w:rsidR="005F3FB7" w:rsidRPr="00260790" w:rsidRDefault="005F3FB7" w:rsidP="00E20250">
            <w:pPr>
              <w:spacing w:line="240" w:lineRule="auto"/>
              <w:jc w:val="both"/>
              <w:rPr>
                <w:rFonts w:ascii="Times New Roman" w:hAnsi="Times New Roman"/>
                <w:color w:val="000000" w:themeColor="text1"/>
                <w:sz w:val="22"/>
                <w:szCs w:val="22"/>
                <w:lang w:val="fr-FR"/>
              </w:rPr>
            </w:pPr>
            <w:r w:rsidRPr="00260790">
              <w:rPr>
                <w:rFonts w:ascii="Times New Roman" w:eastAsia="Times New Roman" w:hAnsi="Times New Roman"/>
                <w:color w:val="000000" w:themeColor="text1"/>
                <w:sz w:val="22"/>
                <w:szCs w:val="22"/>
                <w:lang w:val="fr-FR" w:eastAsia="fr-FR"/>
              </w:rPr>
              <w:lastRenderedPageBreak/>
              <w:t>Conformité de la NES et l’Arrêté n°009468 du 28/11/2001, portant réglementation de la participation du public).</w:t>
            </w:r>
            <w:r w:rsidR="008344F0" w:rsidRPr="00260790">
              <w:rPr>
                <w:rFonts w:ascii="Times New Roman" w:eastAsia="Times New Roman" w:hAnsi="Times New Roman"/>
                <w:color w:val="000000" w:themeColor="text1"/>
                <w:sz w:val="22"/>
                <w:szCs w:val="22"/>
                <w:lang w:val="fr-FR" w:eastAsia="fr-FR"/>
              </w:rPr>
              <w:t xml:space="preserve"> </w:t>
            </w:r>
            <w:r w:rsidRPr="00260790">
              <w:rPr>
                <w:rFonts w:ascii="Times New Roman" w:eastAsia="Times New Roman" w:hAnsi="Times New Roman"/>
                <w:color w:val="000000" w:themeColor="text1"/>
                <w:sz w:val="22"/>
                <w:szCs w:val="22"/>
                <w:lang w:val="fr-FR" w:eastAsia="fr-FR"/>
              </w:rPr>
              <w:t>Cependant l’implication des parties prenantes est plus formalisée.</w:t>
            </w:r>
          </w:p>
          <w:p w14:paraId="0EAEE004" w14:textId="77777777" w:rsidR="005F3FB7" w:rsidRPr="00260790" w:rsidRDefault="005F3FB7" w:rsidP="00E20250">
            <w:pPr>
              <w:pStyle w:val="Sansinterligne"/>
              <w:rPr>
                <w:rFonts w:ascii="Times New Roman" w:hAnsi="Times New Roman"/>
                <w:color w:val="000000" w:themeColor="text1"/>
                <w:sz w:val="22"/>
                <w:szCs w:val="22"/>
                <w:lang w:val="fr-FR" w:eastAsia="fr-FR"/>
              </w:rPr>
            </w:pPr>
          </w:p>
        </w:tc>
        <w:tc>
          <w:tcPr>
            <w:tcW w:w="2656" w:type="dxa"/>
            <w:vAlign w:val="center"/>
          </w:tcPr>
          <w:p w14:paraId="65D4B0C0" w14:textId="2B252DAB" w:rsidR="005F3FB7" w:rsidRPr="0097258B" w:rsidRDefault="005F3FB7" w:rsidP="00E20250">
            <w:pPr>
              <w:spacing w:line="240" w:lineRule="auto"/>
              <w:jc w:val="both"/>
              <w:rPr>
                <w:rFonts w:ascii="Times New Roman" w:hAnsi="Times New Roman"/>
                <w:bCs/>
                <w:color w:val="000000" w:themeColor="text1"/>
                <w:sz w:val="22"/>
                <w:szCs w:val="22"/>
                <w:lang w:val="fr-FR"/>
              </w:rPr>
            </w:pPr>
            <w:r w:rsidRPr="00260790">
              <w:rPr>
                <w:rFonts w:ascii="Times New Roman" w:eastAsia="Times New Roman" w:hAnsi="Times New Roman"/>
                <w:color w:val="000000" w:themeColor="text1"/>
                <w:sz w:val="22"/>
                <w:szCs w:val="22"/>
                <w:lang w:val="fr-FR" w:eastAsia="fr-FR"/>
              </w:rPr>
              <w:lastRenderedPageBreak/>
              <w:t xml:space="preserve">Conformité avec </w:t>
            </w:r>
            <w:r w:rsidR="003204D0" w:rsidRPr="00260790">
              <w:rPr>
                <w:rFonts w:ascii="Times New Roman" w:hAnsi="Times New Roman"/>
                <w:bCs/>
                <w:color w:val="000000" w:themeColor="text1"/>
                <w:sz w:val="22"/>
                <w:szCs w:val="22"/>
                <w:lang w:val="fr-FR"/>
              </w:rPr>
              <w:t xml:space="preserve">la loi n° 2023-15 du 02 août 2023 </w:t>
            </w:r>
            <w:r w:rsidRPr="00260790">
              <w:rPr>
                <w:rFonts w:ascii="Times New Roman" w:eastAsia="Times New Roman" w:hAnsi="Times New Roman"/>
                <w:bCs/>
                <w:iCs/>
                <w:color w:val="000000" w:themeColor="text1"/>
                <w:sz w:val="22"/>
                <w:szCs w:val="22"/>
                <w:lang w:val="fr-FR" w:eastAsia="fr-FR"/>
              </w:rPr>
              <w:t xml:space="preserve">portant Code de </w:t>
            </w:r>
            <w:r w:rsidRPr="00301AF6">
              <w:rPr>
                <w:rFonts w:ascii="Times New Roman" w:hAnsi="Times New Roman"/>
                <w:bCs/>
                <w:color w:val="000000" w:themeColor="text1"/>
                <w:lang w:val="fr-FR"/>
              </w:rPr>
              <w:t xml:space="preserve">l’environnement et </w:t>
            </w:r>
            <w:proofErr w:type="spellStart"/>
            <w:r w:rsidR="00291A74" w:rsidRPr="00301AF6">
              <w:rPr>
                <w:rFonts w:ascii="Times New Roman" w:hAnsi="Times New Roman"/>
                <w:bCs/>
                <w:color w:val="000000" w:themeColor="text1"/>
                <w:lang w:val="fr-FR"/>
              </w:rPr>
              <w:t>et</w:t>
            </w:r>
            <w:proofErr w:type="spellEnd"/>
            <w:r w:rsidR="00291A74" w:rsidRPr="00301AF6">
              <w:rPr>
                <w:rFonts w:ascii="Times New Roman" w:hAnsi="Times New Roman"/>
                <w:bCs/>
                <w:color w:val="000000" w:themeColor="text1"/>
                <w:lang w:val="fr-FR"/>
              </w:rPr>
              <w:t xml:space="preserve"> le Décret n° 2025-227 du 31 janvier 2025 portant application de certaines dispositions du Code de l’Environnement de 2023.</w:t>
            </w:r>
            <w:r w:rsidRPr="00301AF6">
              <w:rPr>
                <w:rFonts w:ascii="Times New Roman" w:hAnsi="Times New Roman"/>
                <w:bCs/>
                <w:color w:val="000000" w:themeColor="text1"/>
                <w:lang w:val="fr-FR"/>
              </w:rPr>
              <w:t>, et l’Arrêté n°009472 du 28/11/2001 portant contenu du rapport de l’EIES</w:t>
            </w:r>
          </w:p>
          <w:p w14:paraId="2B8D918A" w14:textId="77777777" w:rsidR="005F3FB7" w:rsidRPr="00260790" w:rsidRDefault="005F3FB7" w:rsidP="00E20250">
            <w:pPr>
              <w:spacing w:line="240" w:lineRule="auto"/>
              <w:jc w:val="both"/>
              <w:rPr>
                <w:rFonts w:ascii="Times New Roman" w:hAnsi="Times New Roman"/>
                <w:bCs/>
                <w:color w:val="000000" w:themeColor="text1"/>
                <w:sz w:val="22"/>
                <w:szCs w:val="22"/>
                <w:lang w:val="fr-FR"/>
              </w:rPr>
            </w:pPr>
          </w:p>
          <w:p w14:paraId="7115222A" w14:textId="77777777" w:rsidR="005F3FB7" w:rsidRPr="00260790" w:rsidRDefault="005F3FB7" w:rsidP="00E20250">
            <w:pPr>
              <w:spacing w:line="240" w:lineRule="auto"/>
              <w:jc w:val="both"/>
              <w:rPr>
                <w:rFonts w:ascii="Times New Roman" w:hAnsi="Times New Roman"/>
                <w:bCs/>
                <w:color w:val="000000" w:themeColor="text1"/>
                <w:sz w:val="22"/>
                <w:szCs w:val="22"/>
                <w:lang w:val="fr-FR"/>
              </w:rPr>
            </w:pPr>
          </w:p>
          <w:p w14:paraId="52CC8697" w14:textId="77777777" w:rsidR="005F3FB7" w:rsidRPr="00260790" w:rsidRDefault="005F3FB7" w:rsidP="00E20250">
            <w:pPr>
              <w:spacing w:line="240" w:lineRule="auto"/>
              <w:jc w:val="both"/>
              <w:rPr>
                <w:rFonts w:ascii="Times New Roman" w:hAnsi="Times New Roman"/>
                <w:bCs/>
                <w:color w:val="000000" w:themeColor="text1"/>
                <w:sz w:val="22"/>
                <w:szCs w:val="22"/>
                <w:lang w:val="fr-FR"/>
              </w:rPr>
            </w:pPr>
          </w:p>
          <w:p w14:paraId="0B5426E6" w14:textId="77777777" w:rsidR="005F3FB7" w:rsidRPr="00260790" w:rsidRDefault="005F3FB7" w:rsidP="00E20250">
            <w:pPr>
              <w:spacing w:line="240" w:lineRule="auto"/>
              <w:jc w:val="both"/>
              <w:rPr>
                <w:rFonts w:ascii="Times New Roman" w:hAnsi="Times New Roman"/>
                <w:bCs/>
                <w:color w:val="000000" w:themeColor="text1"/>
                <w:sz w:val="22"/>
                <w:szCs w:val="22"/>
                <w:lang w:val="fr-FR"/>
              </w:rPr>
            </w:pPr>
          </w:p>
          <w:p w14:paraId="36650971" w14:textId="77777777" w:rsidR="005F3FB7" w:rsidRPr="00260790" w:rsidRDefault="005F3FB7" w:rsidP="00E20250">
            <w:pPr>
              <w:spacing w:line="240" w:lineRule="auto"/>
              <w:jc w:val="both"/>
              <w:rPr>
                <w:rFonts w:ascii="Times New Roman" w:hAnsi="Times New Roman"/>
                <w:bCs/>
                <w:color w:val="000000" w:themeColor="text1"/>
                <w:sz w:val="22"/>
                <w:szCs w:val="22"/>
                <w:lang w:val="fr-FR"/>
              </w:rPr>
            </w:pPr>
          </w:p>
          <w:p w14:paraId="5D27FD41" w14:textId="77777777" w:rsidR="005F3FB7" w:rsidRPr="00260790" w:rsidRDefault="005F3FB7" w:rsidP="00E20250">
            <w:pPr>
              <w:pStyle w:val="Sansinterligne"/>
              <w:jc w:val="both"/>
              <w:rPr>
                <w:rFonts w:ascii="Times New Roman" w:hAnsi="Times New Roman"/>
                <w:color w:val="000000" w:themeColor="text1"/>
                <w:sz w:val="22"/>
                <w:szCs w:val="22"/>
                <w:lang w:val="fr-FR" w:eastAsia="fr-FR"/>
              </w:rPr>
            </w:pPr>
            <w:r w:rsidRPr="00260790">
              <w:rPr>
                <w:rFonts w:ascii="Times New Roman" w:hAnsi="Times New Roman"/>
                <w:bCs/>
                <w:color w:val="000000" w:themeColor="text1"/>
                <w:sz w:val="22"/>
                <w:szCs w:val="22"/>
                <w:lang w:val="fr-FR"/>
              </w:rPr>
              <w:t xml:space="preserve">Adopter les dispositions du CES de la Banque mondiale en vue d’identifier les </w:t>
            </w:r>
            <w:r w:rsidRPr="00260790">
              <w:rPr>
                <w:rFonts w:ascii="Times New Roman" w:hAnsi="Times New Roman"/>
                <w:bCs/>
                <w:color w:val="000000" w:themeColor="text1"/>
                <w:sz w:val="22"/>
                <w:szCs w:val="22"/>
                <w:lang w:val="fr-FR"/>
              </w:rPr>
              <w:lastRenderedPageBreak/>
              <w:t>risques et impacts liés aux activités du Projet</w:t>
            </w:r>
          </w:p>
        </w:tc>
      </w:tr>
      <w:tr w:rsidR="00BD1A2F" w:rsidRPr="00260790" w14:paraId="7B7B0138" w14:textId="77777777" w:rsidTr="00CD1EB5">
        <w:tc>
          <w:tcPr>
            <w:tcW w:w="2122" w:type="dxa"/>
            <w:vAlign w:val="center"/>
          </w:tcPr>
          <w:p w14:paraId="3C94F52A" w14:textId="77777777" w:rsidR="005F3FB7" w:rsidRPr="00260790" w:rsidRDefault="005F3FB7" w:rsidP="00E20250">
            <w:pPr>
              <w:pStyle w:val="Sansinterligne"/>
              <w:jc w:val="both"/>
              <w:rPr>
                <w:rFonts w:ascii="Times New Roman" w:hAnsi="Times New Roman"/>
                <w:color w:val="000000" w:themeColor="text1"/>
                <w:sz w:val="22"/>
                <w:szCs w:val="22"/>
                <w:lang w:val="fr-FR" w:eastAsia="fr-FR"/>
              </w:rPr>
            </w:pPr>
            <w:r w:rsidRPr="00260790">
              <w:rPr>
                <w:rFonts w:ascii="Times New Roman" w:eastAsia="Times New Roman" w:hAnsi="Times New Roman"/>
                <w:b/>
                <w:bCs/>
                <w:color w:val="000000" w:themeColor="text1"/>
                <w:sz w:val="22"/>
                <w:szCs w:val="22"/>
                <w:lang w:val="fr-FR" w:eastAsia="fr-FR"/>
              </w:rPr>
              <w:lastRenderedPageBreak/>
              <w:t>NES 2, Emploi et conditions de travail</w:t>
            </w:r>
          </w:p>
        </w:tc>
        <w:tc>
          <w:tcPr>
            <w:tcW w:w="5244" w:type="dxa"/>
            <w:vAlign w:val="center"/>
          </w:tcPr>
          <w:p w14:paraId="398E140A" w14:textId="77777777" w:rsidR="005F3FB7" w:rsidRPr="00260790" w:rsidRDefault="005F3FB7" w:rsidP="00E20250">
            <w:pPr>
              <w:pStyle w:val="Sansinterligne"/>
              <w:jc w:val="both"/>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 xml:space="preserve">La NES 2 reconnaît l'importance de la création d'emplois et de la génération de revenus dans la poursuite de la réduction de la pauvreté et de la croissance économique inclusive. Les Emprunteurs peuvent promouvoir des relations constructives entre les travailleurs d'un projet et </w:t>
            </w:r>
            <w:proofErr w:type="gramStart"/>
            <w:r w:rsidRPr="00260790">
              <w:rPr>
                <w:rFonts w:ascii="Times New Roman" w:eastAsia="Times New Roman" w:hAnsi="Times New Roman"/>
                <w:color w:val="000000" w:themeColor="text1"/>
                <w:sz w:val="22"/>
                <w:szCs w:val="22"/>
                <w:lang w:val="fr-FR" w:eastAsia="fr-FR"/>
              </w:rPr>
              <w:t>la</w:t>
            </w:r>
            <w:proofErr w:type="gramEnd"/>
            <w:r w:rsidRPr="00260790">
              <w:rPr>
                <w:rFonts w:ascii="Times New Roman" w:eastAsia="Times New Roman" w:hAnsi="Times New Roman"/>
                <w:color w:val="000000" w:themeColor="text1"/>
                <w:sz w:val="22"/>
                <w:szCs w:val="22"/>
                <w:lang w:val="fr-FR" w:eastAsia="fr-FR"/>
              </w:rPr>
              <w:t xml:space="preserve"> coordination/gestionnaire, et renforcer les bénéfices du développement d'un projet en traitant les travailleurs de manière équitable et en garantissant des conditions de travail sûres et saines.</w:t>
            </w:r>
          </w:p>
        </w:tc>
        <w:tc>
          <w:tcPr>
            <w:tcW w:w="4678" w:type="dxa"/>
            <w:vAlign w:val="center"/>
          </w:tcPr>
          <w:p w14:paraId="1AA39DED" w14:textId="77777777" w:rsidR="005F3FB7" w:rsidRPr="00260790" w:rsidRDefault="005F3FB7" w:rsidP="00E20250">
            <w:pPr>
              <w:pStyle w:val="Sansinterligne"/>
              <w:jc w:val="both"/>
              <w:rPr>
                <w:rFonts w:ascii="Times New Roman" w:hAnsi="Times New Roman"/>
                <w:color w:val="000000" w:themeColor="text1"/>
                <w:sz w:val="22"/>
                <w:szCs w:val="22"/>
                <w:lang w:val="fr-FR" w:eastAsia="fr-FR"/>
              </w:rPr>
            </w:pPr>
            <w:r w:rsidRPr="00260790">
              <w:rPr>
                <w:rFonts w:ascii="Times New Roman" w:hAnsi="Times New Roman"/>
                <w:bCs/>
                <w:color w:val="000000" w:themeColor="text1"/>
                <w:sz w:val="22"/>
                <w:szCs w:val="22"/>
                <w:lang w:val="fr-FR"/>
              </w:rPr>
              <w:t>Le décret 2006-1256 du 15 novembre 2006 fixant les obligations des employeurs en matière de sécurité au travail détermine les mesures à mettre en œuvre par les employeurs et les travailleurs pour promouvoir l’amélioration de la sécurité et de la santé au travail.</w:t>
            </w:r>
          </w:p>
        </w:tc>
        <w:tc>
          <w:tcPr>
            <w:tcW w:w="2656" w:type="dxa"/>
            <w:vAlign w:val="center"/>
          </w:tcPr>
          <w:p w14:paraId="11EE3BDB" w14:textId="77777777" w:rsidR="005F3FB7" w:rsidRPr="00260790" w:rsidRDefault="005F3FB7" w:rsidP="00E20250">
            <w:pPr>
              <w:pStyle w:val="Sansinterligne"/>
              <w:jc w:val="both"/>
              <w:rPr>
                <w:rFonts w:ascii="Times New Roman" w:hAnsi="Times New Roman"/>
                <w:color w:val="000000" w:themeColor="text1"/>
                <w:sz w:val="22"/>
                <w:szCs w:val="22"/>
                <w:lang w:val="fr-FR" w:eastAsia="fr-FR"/>
              </w:rPr>
            </w:pPr>
            <w:r w:rsidRPr="00260790">
              <w:rPr>
                <w:rFonts w:ascii="Times New Roman" w:hAnsi="Times New Roman"/>
                <w:bCs/>
                <w:color w:val="000000" w:themeColor="text1"/>
                <w:sz w:val="22"/>
                <w:szCs w:val="22"/>
                <w:lang w:val="fr-FR"/>
              </w:rPr>
              <w:t>Respecter les dispositions de la réglementation du travail au Sénégal, y compris par le PGMO du Projet</w:t>
            </w:r>
          </w:p>
        </w:tc>
      </w:tr>
      <w:tr w:rsidR="00BD1A2F" w:rsidRPr="00260790" w14:paraId="6D6B1D46" w14:textId="77777777" w:rsidTr="00CD1EB5">
        <w:tc>
          <w:tcPr>
            <w:tcW w:w="2122" w:type="dxa"/>
            <w:vAlign w:val="center"/>
          </w:tcPr>
          <w:p w14:paraId="38EAB82E" w14:textId="77777777" w:rsidR="005F3FB7" w:rsidRPr="00260790" w:rsidRDefault="005F3FB7" w:rsidP="00E20250">
            <w:pPr>
              <w:pStyle w:val="Sansinterligne"/>
              <w:jc w:val="both"/>
              <w:rPr>
                <w:rFonts w:ascii="Times New Roman" w:hAnsi="Times New Roman"/>
                <w:color w:val="000000" w:themeColor="text1"/>
                <w:sz w:val="22"/>
                <w:szCs w:val="22"/>
                <w:lang w:val="fr-FR" w:eastAsia="fr-FR"/>
              </w:rPr>
            </w:pPr>
            <w:r w:rsidRPr="00260790">
              <w:rPr>
                <w:rFonts w:ascii="Times New Roman" w:eastAsia="Times New Roman" w:hAnsi="Times New Roman"/>
                <w:b/>
                <w:bCs/>
                <w:color w:val="000000" w:themeColor="text1"/>
                <w:sz w:val="22"/>
                <w:szCs w:val="22"/>
                <w:lang w:val="fr-FR" w:eastAsia="fr-FR"/>
              </w:rPr>
              <w:t>NES 3, Utilisation rationnelle des ressources et prévention et gestion de la pollution</w:t>
            </w:r>
          </w:p>
        </w:tc>
        <w:tc>
          <w:tcPr>
            <w:tcW w:w="5244" w:type="dxa"/>
            <w:vAlign w:val="center"/>
          </w:tcPr>
          <w:p w14:paraId="1FA899D9" w14:textId="77777777" w:rsidR="005F3FB7" w:rsidRPr="00260790" w:rsidRDefault="005F3FB7" w:rsidP="00E20250">
            <w:pPr>
              <w:pStyle w:val="Sansinterligne"/>
              <w:jc w:val="both"/>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La NES 3 reconnaît que l’activité économique et l’urbanisation génèrent souvent une augmentation des niveaux de pollution de l'air, de l'eau et du sol, et consomment des ressources limitées d'une manière qui peut menacer les populations, les services des écosystèmes et l'environnement aux niveaux local, régional et mondial. La NES décrit les exigences nécessaires pour traiter l'utilisation rationnelle des ressources, la prévention et la gestion de la pollution tout au long du cycle de vie d'un projet.</w:t>
            </w:r>
          </w:p>
        </w:tc>
        <w:tc>
          <w:tcPr>
            <w:tcW w:w="4678" w:type="dxa"/>
            <w:vAlign w:val="center"/>
          </w:tcPr>
          <w:p w14:paraId="2222EB35" w14:textId="77777777" w:rsidR="005F3FB7" w:rsidRPr="00260790" w:rsidRDefault="005F3FB7" w:rsidP="00E20250">
            <w:pPr>
              <w:pStyle w:val="Sansinterligne"/>
              <w:jc w:val="both"/>
              <w:rPr>
                <w:rFonts w:ascii="Times New Roman" w:hAnsi="Times New Roman"/>
                <w:color w:val="000000" w:themeColor="text1"/>
                <w:sz w:val="22"/>
                <w:szCs w:val="22"/>
                <w:lang w:val="fr-FR" w:eastAsia="fr-FR"/>
              </w:rPr>
            </w:pPr>
            <w:r w:rsidRPr="00260790">
              <w:rPr>
                <w:rFonts w:ascii="Times New Roman" w:hAnsi="Times New Roman"/>
                <w:bCs/>
                <w:color w:val="000000" w:themeColor="text1"/>
                <w:sz w:val="22"/>
                <w:szCs w:val="22"/>
                <w:lang w:val="fr-FR"/>
              </w:rPr>
              <w:t>La réglementation nationale (NS 05-061) fixe des seuils de qualité pour les eaux de rejets dans le milieu naturel</w:t>
            </w:r>
          </w:p>
        </w:tc>
        <w:tc>
          <w:tcPr>
            <w:tcW w:w="2656" w:type="dxa"/>
            <w:vAlign w:val="center"/>
          </w:tcPr>
          <w:p w14:paraId="30A60DC5" w14:textId="77777777" w:rsidR="005F3FB7" w:rsidRPr="00260790" w:rsidRDefault="005F3FB7" w:rsidP="00E20250">
            <w:pPr>
              <w:pStyle w:val="Sansinterligne"/>
              <w:jc w:val="both"/>
              <w:rPr>
                <w:rFonts w:ascii="Times New Roman" w:hAnsi="Times New Roman"/>
                <w:color w:val="000000" w:themeColor="text1"/>
                <w:sz w:val="22"/>
                <w:szCs w:val="22"/>
                <w:lang w:val="fr-FR" w:eastAsia="fr-FR"/>
              </w:rPr>
            </w:pPr>
            <w:r w:rsidRPr="00260790">
              <w:rPr>
                <w:rFonts w:ascii="Times New Roman" w:hAnsi="Times New Roman"/>
                <w:bCs/>
                <w:color w:val="000000" w:themeColor="text1"/>
                <w:sz w:val="22"/>
                <w:szCs w:val="22"/>
                <w:lang w:val="fr-FR"/>
              </w:rPr>
              <w:t>Adopter les seuils édictés dans les directives EHS de la Banque mondiale car étant plus contraignants</w:t>
            </w:r>
          </w:p>
        </w:tc>
      </w:tr>
      <w:tr w:rsidR="00BD1A2F" w:rsidRPr="00260790" w14:paraId="33613A7C" w14:textId="77777777" w:rsidTr="00CD1EB5">
        <w:tc>
          <w:tcPr>
            <w:tcW w:w="2122" w:type="dxa"/>
            <w:vAlign w:val="center"/>
          </w:tcPr>
          <w:p w14:paraId="414EF70C" w14:textId="77777777" w:rsidR="005F3FB7" w:rsidRPr="00260790" w:rsidRDefault="005F3FB7" w:rsidP="00E20250">
            <w:pPr>
              <w:pStyle w:val="Sansinterligne"/>
              <w:jc w:val="both"/>
              <w:rPr>
                <w:rFonts w:ascii="Times New Roman" w:hAnsi="Times New Roman"/>
                <w:color w:val="000000" w:themeColor="text1"/>
                <w:sz w:val="22"/>
                <w:szCs w:val="22"/>
                <w:lang w:val="fr-FR" w:eastAsia="fr-FR"/>
              </w:rPr>
            </w:pPr>
            <w:r w:rsidRPr="00260790">
              <w:rPr>
                <w:rFonts w:ascii="Times New Roman" w:eastAsia="Times New Roman" w:hAnsi="Times New Roman"/>
                <w:b/>
                <w:bCs/>
                <w:color w:val="000000" w:themeColor="text1"/>
                <w:sz w:val="22"/>
                <w:szCs w:val="22"/>
                <w:lang w:val="fr-FR" w:eastAsia="fr-FR"/>
              </w:rPr>
              <w:t>NES 4, Santé et sécurité des populations</w:t>
            </w:r>
          </w:p>
        </w:tc>
        <w:tc>
          <w:tcPr>
            <w:tcW w:w="5244" w:type="dxa"/>
            <w:vAlign w:val="center"/>
          </w:tcPr>
          <w:p w14:paraId="0D686180" w14:textId="77777777" w:rsidR="005F3FB7" w:rsidRPr="00260790" w:rsidRDefault="005F3FB7" w:rsidP="00E20250">
            <w:pPr>
              <w:pStyle w:val="Sansinterligne"/>
              <w:jc w:val="both"/>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 xml:space="preserve">La NES 4 traite des risques et des impacts sur la sécurité, la sûreté et la santé des communautés affectées par le projet, ainsi que de la responsabilité respective des </w:t>
            </w:r>
            <w:r w:rsidRPr="00260790">
              <w:rPr>
                <w:rFonts w:ascii="Times New Roman" w:eastAsia="Times New Roman" w:hAnsi="Times New Roman"/>
                <w:color w:val="000000" w:themeColor="text1"/>
                <w:sz w:val="22"/>
                <w:szCs w:val="22"/>
                <w:lang w:val="fr-FR" w:eastAsia="fr-FR"/>
              </w:rPr>
              <w:lastRenderedPageBreak/>
              <w:t>Emprunteurs de réduire ou atténuer ces risques et ces impacts, en portant une attention particulière aux groupes qui, en raison de leur situation particulière, peuvent être vulnérables.</w:t>
            </w:r>
          </w:p>
        </w:tc>
        <w:tc>
          <w:tcPr>
            <w:tcW w:w="4678" w:type="dxa"/>
            <w:vAlign w:val="center"/>
          </w:tcPr>
          <w:p w14:paraId="787132AE" w14:textId="77777777" w:rsidR="005F3FB7" w:rsidRPr="00260790" w:rsidRDefault="005F3FB7" w:rsidP="00E20250">
            <w:pPr>
              <w:pStyle w:val="Sansinterligne"/>
              <w:jc w:val="both"/>
              <w:rPr>
                <w:rFonts w:ascii="Times New Roman" w:hAnsi="Times New Roman"/>
                <w:color w:val="000000" w:themeColor="text1"/>
                <w:sz w:val="22"/>
                <w:szCs w:val="22"/>
                <w:lang w:val="fr-FR" w:eastAsia="fr-FR"/>
              </w:rPr>
            </w:pPr>
            <w:r w:rsidRPr="00260790">
              <w:rPr>
                <w:rFonts w:ascii="Times New Roman" w:hAnsi="Times New Roman"/>
                <w:bCs/>
                <w:color w:val="000000" w:themeColor="text1"/>
                <w:sz w:val="22"/>
                <w:szCs w:val="22"/>
                <w:lang w:val="fr-FR"/>
              </w:rPr>
              <w:lastRenderedPageBreak/>
              <w:t xml:space="preserve">Le code de l’environnement établit les seuils maxima de bruit à ne pas dépasser sans exposer l’organisme humain à des conséquences </w:t>
            </w:r>
            <w:r w:rsidRPr="00260790">
              <w:rPr>
                <w:rFonts w:ascii="Times New Roman" w:hAnsi="Times New Roman"/>
                <w:bCs/>
                <w:color w:val="000000" w:themeColor="text1"/>
                <w:sz w:val="22"/>
                <w:szCs w:val="22"/>
                <w:lang w:val="fr-FR"/>
              </w:rPr>
              <w:lastRenderedPageBreak/>
              <w:t>dangereuses à cinquante-cinq (55) à soixante (60) décibels le jour et quarante (40) décibels la nuit.</w:t>
            </w:r>
          </w:p>
        </w:tc>
        <w:tc>
          <w:tcPr>
            <w:tcW w:w="2656" w:type="dxa"/>
            <w:vAlign w:val="center"/>
          </w:tcPr>
          <w:p w14:paraId="29B22C7B" w14:textId="77777777" w:rsidR="005F3FB7" w:rsidRPr="00260790" w:rsidRDefault="005F3FB7" w:rsidP="00E20250">
            <w:pPr>
              <w:pStyle w:val="Sansinterligne"/>
              <w:jc w:val="both"/>
              <w:rPr>
                <w:rFonts w:ascii="Times New Roman" w:hAnsi="Times New Roman"/>
                <w:color w:val="000000" w:themeColor="text1"/>
                <w:sz w:val="22"/>
                <w:szCs w:val="22"/>
                <w:lang w:val="fr-FR" w:eastAsia="fr-FR"/>
              </w:rPr>
            </w:pPr>
            <w:r w:rsidRPr="00260790">
              <w:rPr>
                <w:rFonts w:ascii="Times New Roman" w:hAnsi="Times New Roman"/>
                <w:bCs/>
                <w:color w:val="000000" w:themeColor="text1"/>
                <w:sz w:val="22"/>
                <w:szCs w:val="22"/>
                <w:lang w:val="fr-FR"/>
              </w:rPr>
              <w:lastRenderedPageBreak/>
              <w:t xml:space="preserve">Adopter les seuils édictés dans les directives EHS de </w:t>
            </w:r>
            <w:r w:rsidRPr="00260790">
              <w:rPr>
                <w:rFonts w:ascii="Times New Roman" w:hAnsi="Times New Roman"/>
                <w:bCs/>
                <w:color w:val="000000" w:themeColor="text1"/>
                <w:sz w:val="22"/>
                <w:szCs w:val="22"/>
                <w:lang w:val="fr-FR"/>
              </w:rPr>
              <w:lastRenderedPageBreak/>
              <w:t>la Banque mondiale car étant plus contraignants</w:t>
            </w:r>
          </w:p>
        </w:tc>
      </w:tr>
      <w:tr w:rsidR="00BD1A2F" w:rsidRPr="00260790" w14:paraId="424C9F23" w14:textId="77777777" w:rsidTr="00CD1EB5">
        <w:tc>
          <w:tcPr>
            <w:tcW w:w="2122" w:type="dxa"/>
            <w:vAlign w:val="center"/>
          </w:tcPr>
          <w:p w14:paraId="340D6BAF" w14:textId="77777777" w:rsidR="005F3FB7" w:rsidRPr="00260790" w:rsidRDefault="005F3FB7" w:rsidP="00E20250">
            <w:pPr>
              <w:pStyle w:val="Sansinterligne"/>
              <w:jc w:val="both"/>
              <w:rPr>
                <w:rFonts w:ascii="Times New Roman" w:hAnsi="Times New Roman"/>
                <w:color w:val="000000" w:themeColor="text1"/>
                <w:sz w:val="22"/>
                <w:szCs w:val="22"/>
                <w:lang w:val="fr-FR" w:eastAsia="fr-FR"/>
              </w:rPr>
            </w:pPr>
            <w:r w:rsidRPr="00260790">
              <w:rPr>
                <w:rFonts w:ascii="Times New Roman" w:eastAsia="Times New Roman" w:hAnsi="Times New Roman"/>
                <w:b/>
                <w:bCs/>
                <w:color w:val="000000" w:themeColor="text1"/>
                <w:sz w:val="22"/>
                <w:szCs w:val="22"/>
                <w:lang w:val="fr-FR" w:eastAsia="fr-FR"/>
              </w:rPr>
              <w:lastRenderedPageBreak/>
              <w:t>NES 5, Acquisition des terres, restrictions à l'utilisation des terres et réinstallation involontaire</w:t>
            </w:r>
          </w:p>
        </w:tc>
        <w:tc>
          <w:tcPr>
            <w:tcW w:w="5244" w:type="dxa"/>
            <w:vAlign w:val="center"/>
          </w:tcPr>
          <w:p w14:paraId="01E8DABD" w14:textId="77777777" w:rsidR="005F3FB7" w:rsidRPr="00260790" w:rsidRDefault="005F3FB7" w:rsidP="00E20250">
            <w:pPr>
              <w:pStyle w:val="Sansinterligne"/>
              <w:jc w:val="both"/>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La NES 5 a pour principe de base que la réinstallation involontaire doit être évitée. Lorsque la réinstallation involontaire est inévitable, elle doit être limitée, et des mesures appropriées pour minimiser les impacts négatifs sur les personnes déplacées (et les communautés hôtes qui accueillent les personnes déplacées) doivent être soigneusement planifiées et mises en œuvre.</w:t>
            </w:r>
            <w:r w:rsidRPr="00260790">
              <w:rPr>
                <w:rFonts w:ascii="Times New Roman" w:hAnsi="Times New Roman"/>
                <w:color w:val="000000" w:themeColor="text1"/>
                <w:sz w:val="22"/>
                <w:szCs w:val="22"/>
                <w:lang w:val="fr-FR"/>
              </w:rPr>
              <w:t xml:space="preserve"> </w:t>
            </w:r>
            <w:r w:rsidRPr="00260790">
              <w:rPr>
                <w:rFonts w:ascii="Times New Roman" w:eastAsia="Times New Roman" w:hAnsi="Times New Roman"/>
                <w:color w:val="000000" w:themeColor="text1"/>
                <w:sz w:val="22"/>
                <w:szCs w:val="22"/>
                <w:lang w:val="fr-FR" w:eastAsia="fr-FR"/>
              </w:rPr>
              <w:t>L’État et son décret d’application n° 81 – 557 du 21 mai 1981 précisent que tout détenteur d’une autorisation d’occuper d’une terre du domaine de l’État peut être déplacé sans indemnisation (articles 13 et 37).</w:t>
            </w:r>
          </w:p>
        </w:tc>
        <w:tc>
          <w:tcPr>
            <w:tcW w:w="4678" w:type="dxa"/>
            <w:vAlign w:val="center"/>
          </w:tcPr>
          <w:p w14:paraId="5D1C470C" w14:textId="47C6D1F2" w:rsidR="005F3FB7" w:rsidRPr="00260790" w:rsidRDefault="005F3FB7" w:rsidP="00E20250">
            <w:pPr>
              <w:spacing w:line="240" w:lineRule="auto"/>
              <w:jc w:val="both"/>
              <w:rPr>
                <w:rFonts w:ascii="Times New Roman" w:hAnsi="Times New Roman"/>
                <w:bCs/>
                <w:color w:val="000000" w:themeColor="text1"/>
                <w:sz w:val="22"/>
                <w:szCs w:val="22"/>
                <w:lang w:val="fr-FR"/>
              </w:rPr>
            </w:pPr>
            <w:r w:rsidRPr="00260790">
              <w:rPr>
                <w:rFonts w:ascii="Times New Roman" w:hAnsi="Times New Roman"/>
                <w:bCs/>
                <w:color w:val="000000" w:themeColor="text1"/>
                <w:sz w:val="22"/>
                <w:szCs w:val="22"/>
                <w:lang w:val="fr-FR"/>
              </w:rPr>
              <w:t>La loi n° 76 – 67 du 2 juillet 1976 relative à l’expropriation pour cause d'utilité publique (ECUP) précise que les personnes qui peuvent être déplacées sont celles qui sont propriétaires d’immeubles et/ou de droits réels immobiliers, quel que soit le statut ou la protection dont bénéficie le bien ;</w:t>
            </w:r>
          </w:p>
          <w:p w14:paraId="20DE6EA8" w14:textId="77777777" w:rsidR="005F3FB7" w:rsidRPr="00260790" w:rsidRDefault="005F3FB7" w:rsidP="00E20250">
            <w:pPr>
              <w:pStyle w:val="Sansinterligne"/>
              <w:jc w:val="both"/>
              <w:rPr>
                <w:rFonts w:ascii="Times New Roman" w:hAnsi="Times New Roman"/>
                <w:bCs/>
                <w:color w:val="000000" w:themeColor="text1"/>
                <w:sz w:val="22"/>
                <w:szCs w:val="22"/>
                <w:lang w:val="fr-FR"/>
              </w:rPr>
            </w:pPr>
            <w:r w:rsidRPr="00260790">
              <w:rPr>
                <w:rFonts w:ascii="Times New Roman" w:hAnsi="Times New Roman"/>
                <w:bCs/>
                <w:color w:val="000000" w:themeColor="text1"/>
                <w:sz w:val="22"/>
                <w:szCs w:val="22"/>
                <w:lang w:val="fr-FR"/>
              </w:rPr>
              <w:t>La loi n°64 – 46 du 17 juin 1964, relative au domaine national (Article 15), et son décret d’application n°64 – 573 du 30 juillet 1964 (Article 20) précisent que les détenteurs d’un droit formel ou non sur les terres du domaine national situées en zone de terroirs peuvent être déplacés pour des motifs d’intérêt général.</w:t>
            </w:r>
          </w:p>
          <w:p w14:paraId="1047DE9A" w14:textId="77777777" w:rsidR="005F3FB7" w:rsidRPr="00260790" w:rsidRDefault="005F3FB7" w:rsidP="00E20250">
            <w:pPr>
              <w:pStyle w:val="Sansinterligne"/>
              <w:jc w:val="both"/>
              <w:rPr>
                <w:rFonts w:ascii="Times New Roman" w:hAnsi="Times New Roman"/>
                <w:color w:val="000000" w:themeColor="text1"/>
                <w:sz w:val="22"/>
                <w:szCs w:val="22"/>
                <w:lang w:val="fr-FR" w:eastAsia="fr-FR"/>
              </w:rPr>
            </w:pPr>
            <w:r w:rsidRPr="00260790">
              <w:rPr>
                <w:rFonts w:ascii="Times New Roman" w:hAnsi="Times New Roman"/>
                <w:bCs/>
                <w:color w:val="000000" w:themeColor="text1"/>
                <w:sz w:val="22"/>
                <w:szCs w:val="22"/>
                <w:lang w:val="fr-FR"/>
              </w:rPr>
              <w:t>La LOI N° 76-66 DU 2 JUILLET 1976 portant Code du domaine de l’État, en son Article 45. « La reprise partielle ou totale, pour cause d’utilité publique, d’un terrain faisant l’objet d’un bail ordinaire avant l’expiration de celui-ci a lieu dans les formes déterminées en matière d’expropriation moyennant une indemnité établie en tenant compte exclusivement de la valeur des constructions et aménagements existants réalisés conformément aux dispositions du contrat passé avec l’État et du Code de l’Urbanisme ».</w:t>
            </w:r>
          </w:p>
        </w:tc>
        <w:tc>
          <w:tcPr>
            <w:tcW w:w="2656" w:type="dxa"/>
            <w:vAlign w:val="center"/>
          </w:tcPr>
          <w:p w14:paraId="30337CEF" w14:textId="77777777" w:rsidR="005F3FB7" w:rsidRPr="00260790" w:rsidRDefault="005F3FB7" w:rsidP="00E20250">
            <w:pPr>
              <w:pStyle w:val="Sansinterligne"/>
              <w:jc w:val="both"/>
              <w:rPr>
                <w:rFonts w:ascii="Times New Roman" w:hAnsi="Times New Roman"/>
                <w:color w:val="000000" w:themeColor="text1"/>
                <w:sz w:val="22"/>
                <w:szCs w:val="22"/>
                <w:lang w:val="fr-FR" w:eastAsia="fr-FR"/>
              </w:rPr>
            </w:pPr>
            <w:r w:rsidRPr="00260790">
              <w:rPr>
                <w:rFonts w:ascii="Times New Roman" w:hAnsi="Times New Roman"/>
                <w:bCs/>
                <w:color w:val="000000" w:themeColor="text1"/>
                <w:sz w:val="22"/>
                <w:szCs w:val="22"/>
                <w:lang w:val="fr-FR"/>
              </w:rPr>
              <w:t>Adopter les dispositions de la NES 5 qui sont plus englobantes et plus avantageuses pour les personnes impactées par le projet</w:t>
            </w:r>
          </w:p>
        </w:tc>
      </w:tr>
      <w:tr w:rsidR="00BD1A2F" w:rsidRPr="00260790" w14:paraId="745F857E" w14:textId="77777777" w:rsidTr="00CD1EB5">
        <w:tc>
          <w:tcPr>
            <w:tcW w:w="2122" w:type="dxa"/>
            <w:vAlign w:val="center"/>
          </w:tcPr>
          <w:p w14:paraId="1081D20B" w14:textId="77777777" w:rsidR="005F3FB7" w:rsidRPr="00260790" w:rsidRDefault="005F3FB7" w:rsidP="00E20250">
            <w:pPr>
              <w:pStyle w:val="Sansinterligne"/>
              <w:jc w:val="both"/>
              <w:rPr>
                <w:rFonts w:ascii="Times New Roman" w:hAnsi="Times New Roman"/>
                <w:color w:val="000000" w:themeColor="text1"/>
                <w:sz w:val="22"/>
                <w:szCs w:val="22"/>
                <w:lang w:val="fr-FR" w:eastAsia="fr-FR"/>
              </w:rPr>
            </w:pPr>
            <w:r w:rsidRPr="00260790">
              <w:rPr>
                <w:rFonts w:ascii="Times New Roman" w:eastAsia="Times New Roman" w:hAnsi="Times New Roman"/>
                <w:b/>
                <w:bCs/>
                <w:color w:val="000000" w:themeColor="text1"/>
                <w:sz w:val="22"/>
                <w:szCs w:val="22"/>
                <w:lang w:val="fr-FR" w:eastAsia="fr-FR"/>
              </w:rPr>
              <w:t xml:space="preserve">NES 6, Préservation de la biodiversité et </w:t>
            </w:r>
            <w:r w:rsidRPr="00260790">
              <w:rPr>
                <w:rFonts w:ascii="Times New Roman" w:eastAsia="Times New Roman" w:hAnsi="Times New Roman"/>
                <w:b/>
                <w:bCs/>
                <w:color w:val="000000" w:themeColor="text1"/>
                <w:sz w:val="22"/>
                <w:szCs w:val="22"/>
                <w:lang w:val="fr-FR" w:eastAsia="fr-FR"/>
              </w:rPr>
              <w:lastRenderedPageBreak/>
              <w:t>gestion durable des ressources naturelles biologiques</w:t>
            </w:r>
          </w:p>
        </w:tc>
        <w:tc>
          <w:tcPr>
            <w:tcW w:w="5244" w:type="dxa"/>
            <w:vAlign w:val="center"/>
          </w:tcPr>
          <w:p w14:paraId="5F6398AE" w14:textId="31711B17" w:rsidR="005F3FB7" w:rsidRPr="00260790" w:rsidRDefault="005F3FB7" w:rsidP="00E20250">
            <w:pPr>
              <w:pStyle w:val="Sansinterligne"/>
              <w:jc w:val="both"/>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lastRenderedPageBreak/>
              <w:t xml:space="preserve">La NES 6 reconnaît que la protection et la conservation de la biodiversité, et la gestion durable des ressources </w:t>
            </w:r>
            <w:r w:rsidRPr="00260790">
              <w:rPr>
                <w:rFonts w:ascii="Times New Roman" w:eastAsia="Times New Roman" w:hAnsi="Times New Roman"/>
                <w:color w:val="000000" w:themeColor="text1"/>
                <w:sz w:val="22"/>
                <w:szCs w:val="22"/>
                <w:lang w:val="fr-FR" w:eastAsia="fr-FR"/>
              </w:rPr>
              <w:lastRenderedPageBreak/>
              <w:t>naturelles vivantes revêtent une importance capitale pour le développement durable. Elle reconnaît également l'importance de la conservation des fonctions écologiques clés des habitats, notamment les forêts, et la biodiversité qu'ils abritent. La NES 6 se penche également sur la gestion durable de la production primaire et de l'exploitation des ressources naturelles, et reconnaît la nécessité d'examiner les moyens de subsistance des parties affectées par le projet, y compris les Peuples autochtones, dont l'accès ou l'utilisation de la biodiversité ou des ressources naturelles vivantes peuvent être affectés par un projet.</w:t>
            </w:r>
          </w:p>
        </w:tc>
        <w:tc>
          <w:tcPr>
            <w:tcW w:w="4678" w:type="dxa"/>
            <w:vAlign w:val="center"/>
          </w:tcPr>
          <w:p w14:paraId="0AE53D41" w14:textId="60D2B065" w:rsidR="005F3FB7" w:rsidRPr="00260790" w:rsidRDefault="005F3FB7" w:rsidP="00E20250">
            <w:pPr>
              <w:spacing w:line="240" w:lineRule="auto"/>
              <w:jc w:val="both"/>
              <w:rPr>
                <w:rFonts w:ascii="Times New Roman" w:hAnsi="Times New Roman"/>
                <w:color w:val="000000" w:themeColor="text1"/>
                <w:sz w:val="22"/>
                <w:szCs w:val="22"/>
                <w:lang w:val="fr-FR" w:eastAsia="fr-FR"/>
              </w:rPr>
            </w:pPr>
            <w:r w:rsidRPr="00260790">
              <w:rPr>
                <w:rFonts w:ascii="Times New Roman" w:hAnsi="Times New Roman"/>
                <w:bCs/>
                <w:color w:val="000000" w:themeColor="text1"/>
                <w:sz w:val="22"/>
                <w:szCs w:val="22"/>
                <w:lang w:val="fr-FR"/>
              </w:rPr>
              <w:lastRenderedPageBreak/>
              <w:t xml:space="preserve">Le principe de précaution sur lequel se base la politique trouve son fondement dans l’article </w:t>
            </w:r>
            <w:r w:rsidR="00C74A5F" w:rsidRPr="00260790">
              <w:rPr>
                <w:rFonts w:ascii="Times New Roman" w:hAnsi="Times New Roman"/>
                <w:bCs/>
                <w:color w:val="000000" w:themeColor="text1"/>
                <w:sz w:val="22"/>
                <w:szCs w:val="22"/>
                <w:lang w:val="fr-FR"/>
              </w:rPr>
              <w:t>11</w:t>
            </w:r>
            <w:r w:rsidRPr="00260790">
              <w:rPr>
                <w:rFonts w:ascii="Times New Roman" w:hAnsi="Times New Roman"/>
                <w:bCs/>
                <w:color w:val="000000" w:themeColor="text1"/>
                <w:sz w:val="22"/>
                <w:szCs w:val="22"/>
                <w:lang w:val="fr-FR"/>
              </w:rPr>
              <w:t xml:space="preserve"> du </w:t>
            </w:r>
            <w:r w:rsidRPr="00260790">
              <w:rPr>
                <w:rFonts w:ascii="Times New Roman" w:hAnsi="Times New Roman"/>
                <w:bCs/>
                <w:color w:val="000000" w:themeColor="text1"/>
                <w:sz w:val="22"/>
                <w:szCs w:val="22"/>
                <w:lang w:val="fr-FR"/>
              </w:rPr>
              <w:lastRenderedPageBreak/>
              <w:t>Code de l’environnement de 20</w:t>
            </w:r>
            <w:r w:rsidR="003204D0" w:rsidRPr="00260790">
              <w:rPr>
                <w:rFonts w:ascii="Times New Roman" w:hAnsi="Times New Roman"/>
                <w:bCs/>
                <w:color w:val="000000" w:themeColor="text1"/>
                <w:sz w:val="22"/>
                <w:szCs w:val="22"/>
                <w:lang w:val="fr-FR"/>
              </w:rPr>
              <w:t>23</w:t>
            </w:r>
            <w:r w:rsidRPr="00260790">
              <w:rPr>
                <w:rFonts w:ascii="Times New Roman" w:hAnsi="Times New Roman"/>
                <w:bCs/>
                <w:color w:val="000000" w:themeColor="text1"/>
                <w:sz w:val="22"/>
                <w:szCs w:val="22"/>
                <w:lang w:val="fr-FR"/>
              </w:rPr>
              <w:t xml:space="preserve"> qui rend impérative</w:t>
            </w:r>
            <w:r w:rsidR="00566D4C" w:rsidRPr="00260790">
              <w:rPr>
                <w:rFonts w:ascii="Times New Roman" w:hAnsi="Times New Roman"/>
                <w:bCs/>
                <w:color w:val="000000" w:themeColor="text1"/>
                <w:sz w:val="22"/>
                <w:szCs w:val="22"/>
                <w:lang w:val="fr-FR"/>
              </w:rPr>
              <w:t>s</w:t>
            </w:r>
            <w:r w:rsidRPr="00260790">
              <w:rPr>
                <w:rFonts w:ascii="Times New Roman" w:hAnsi="Times New Roman"/>
                <w:bCs/>
                <w:color w:val="000000" w:themeColor="text1"/>
                <w:sz w:val="22"/>
                <w:szCs w:val="22"/>
                <w:lang w:val="fr-FR"/>
              </w:rPr>
              <w:t xml:space="preserve"> la protection et la mise en valeur de l’environnement. Aussi, ledit article exige à tout projet ou toute installation ayant des impacts sur l’environnement le respect de la procédure d’évaluation environnementale. Par ailleurs, la loi n°2018-25 du 12 novembre 2018 portant Code forestier et son décret d’application n°2019-110 du 16 janvier 2019 règlementent l’abattage d’arbre, en particulier les espèces par</w:t>
            </w:r>
            <w:r w:rsidR="00566D4C" w:rsidRPr="00260790">
              <w:rPr>
                <w:rFonts w:ascii="Times New Roman" w:hAnsi="Times New Roman"/>
                <w:bCs/>
                <w:color w:val="000000" w:themeColor="text1"/>
                <w:sz w:val="22"/>
                <w:szCs w:val="22"/>
                <w:lang w:val="fr-FR"/>
              </w:rPr>
              <w:t>ti</w:t>
            </w:r>
            <w:r w:rsidRPr="00260790">
              <w:rPr>
                <w:rFonts w:ascii="Times New Roman" w:hAnsi="Times New Roman"/>
                <w:bCs/>
                <w:color w:val="000000" w:themeColor="text1"/>
                <w:sz w:val="22"/>
                <w:szCs w:val="22"/>
                <w:lang w:val="fr-FR"/>
              </w:rPr>
              <w:t>ellement ou intégralement protégées.</w:t>
            </w:r>
          </w:p>
        </w:tc>
        <w:tc>
          <w:tcPr>
            <w:tcW w:w="2656" w:type="dxa"/>
            <w:vAlign w:val="center"/>
          </w:tcPr>
          <w:p w14:paraId="176BABA0" w14:textId="77777777" w:rsidR="005F3FB7" w:rsidRPr="00260790" w:rsidRDefault="005F3FB7" w:rsidP="00E20250">
            <w:pPr>
              <w:spacing w:line="240" w:lineRule="auto"/>
              <w:jc w:val="both"/>
              <w:rPr>
                <w:rFonts w:ascii="Times New Roman" w:hAnsi="Times New Roman"/>
                <w:bCs/>
                <w:color w:val="000000" w:themeColor="text1"/>
                <w:sz w:val="22"/>
                <w:szCs w:val="22"/>
                <w:lang w:val="fr-FR"/>
              </w:rPr>
            </w:pPr>
            <w:r w:rsidRPr="00260790">
              <w:rPr>
                <w:rFonts w:ascii="Times New Roman" w:hAnsi="Times New Roman"/>
                <w:bCs/>
                <w:color w:val="000000" w:themeColor="text1"/>
                <w:sz w:val="22"/>
                <w:szCs w:val="22"/>
                <w:lang w:val="fr-FR"/>
              </w:rPr>
              <w:lastRenderedPageBreak/>
              <w:t xml:space="preserve">Convergence est notée en matière d’adoption du </w:t>
            </w:r>
            <w:r w:rsidRPr="00260790">
              <w:rPr>
                <w:rFonts w:ascii="Times New Roman" w:hAnsi="Times New Roman"/>
                <w:bCs/>
                <w:color w:val="000000" w:themeColor="text1"/>
                <w:sz w:val="22"/>
                <w:szCs w:val="22"/>
                <w:lang w:val="fr-FR"/>
              </w:rPr>
              <w:lastRenderedPageBreak/>
              <w:t xml:space="preserve">principe de précaution et de sauvegarde des habitats naturels. </w:t>
            </w:r>
          </w:p>
          <w:p w14:paraId="18A3D7C5" w14:textId="77777777" w:rsidR="005F3FB7" w:rsidRPr="00260790" w:rsidRDefault="005F3FB7" w:rsidP="00E20250">
            <w:pPr>
              <w:spacing w:line="240" w:lineRule="auto"/>
              <w:jc w:val="both"/>
              <w:rPr>
                <w:rFonts w:ascii="Times New Roman" w:hAnsi="Times New Roman"/>
                <w:bCs/>
                <w:color w:val="000000" w:themeColor="text1"/>
                <w:sz w:val="22"/>
                <w:szCs w:val="22"/>
                <w:lang w:val="fr-FR"/>
              </w:rPr>
            </w:pPr>
          </w:p>
          <w:p w14:paraId="60994E59" w14:textId="77777777" w:rsidR="005F3FB7" w:rsidRPr="00260790" w:rsidRDefault="005F3FB7" w:rsidP="00E20250">
            <w:pPr>
              <w:pStyle w:val="Sansinterligne"/>
              <w:jc w:val="both"/>
              <w:rPr>
                <w:rFonts w:ascii="Times New Roman" w:hAnsi="Times New Roman"/>
                <w:color w:val="000000" w:themeColor="text1"/>
                <w:sz w:val="22"/>
                <w:szCs w:val="22"/>
                <w:lang w:val="fr-FR" w:eastAsia="fr-FR"/>
              </w:rPr>
            </w:pPr>
            <w:r w:rsidRPr="00260790">
              <w:rPr>
                <w:rFonts w:ascii="Times New Roman" w:hAnsi="Times New Roman"/>
                <w:bCs/>
                <w:color w:val="000000" w:themeColor="text1"/>
                <w:sz w:val="22"/>
                <w:szCs w:val="22"/>
                <w:lang w:val="fr-FR"/>
              </w:rPr>
              <w:t>Adopter les dispositions du CES de la Banque mondiale</w:t>
            </w:r>
          </w:p>
        </w:tc>
      </w:tr>
      <w:tr w:rsidR="00BD1A2F" w:rsidRPr="00260790" w14:paraId="15EF71C9" w14:textId="77777777" w:rsidTr="00CD1EB5">
        <w:tc>
          <w:tcPr>
            <w:tcW w:w="2122" w:type="dxa"/>
            <w:vAlign w:val="center"/>
          </w:tcPr>
          <w:p w14:paraId="0F9138D3" w14:textId="77777777" w:rsidR="005F3FB7" w:rsidRPr="00260790" w:rsidRDefault="005F3FB7" w:rsidP="00E20250">
            <w:pPr>
              <w:pStyle w:val="Sansinterligne"/>
              <w:jc w:val="both"/>
              <w:rPr>
                <w:rFonts w:ascii="Times New Roman" w:hAnsi="Times New Roman"/>
                <w:color w:val="000000" w:themeColor="text1"/>
                <w:sz w:val="22"/>
                <w:szCs w:val="22"/>
                <w:lang w:val="fr-FR" w:eastAsia="fr-FR"/>
              </w:rPr>
            </w:pPr>
            <w:r w:rsidRPr="00260790">
              <w:rPr>
                <w:rFonts w:ascii="Times New Roman" w:eastAsia="Times New Roman" w:hAnsi="Times New Roman"/>
                <w:b/>
                <w:bCs/>
                <w:color w:val="000000" w:themeColor="text1"/>
                <w:sz w:val="22"/>
                <w:szCs w:val="22"/>
                <w:lang w:val="fr-FR" w:eastAsia="fr-FR"/>
              </w:rPr>
              <w:lastRenderedPageBreak/>
              <w:t>NES 8, Patrimoine culturel</w:t>
            </w:r>
          </w:p>
        </w:tc>
        <w:tc>
          <w:tcPr>
            <w:tcW w:w="5244" w:type="dxa"/>
            <w:vAlign w:val="center"/>
          </w:tcPr>
          <w:p w14:paraId="513DA87B" w14:textId="4F7BA793" w:rsidR="005F3FB7" w:rsidRPr="00260790" w:rsidRDefault="005F3FB7" w:rsidP="00E20250">
            <w:pPr>
              <w:pStyle w:val="Sansinterligne"/>
              <w:jc w:val="both"/>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La NES 8 reconnaît que le patrimoine culturel offre une continuité des formes matérielles et immatérielles entre le passé, le présent et le futur. La NES 8 fixe les mesures conçues pour protéger le patrimoine culturel tout au long de la durée de vie d'un projet.</w:t>
            </w:r>
          </w:p>
        </w:tc>
        <w:tc>
          <w:tcPr>
            <w:tcW w:w="4678" w:type="dxa"/>
            <w:vAlign w:val="center"/>
          </w:tcPr>
          <w:p w14:paraId="45754881" w14:textId="77777777" w:rsidR="005F3FB7" w:rsidRPr="00260790" w:rsidRDefault="005F3FB7" w:rsidP="00E20250">
            <w:pPr>
              <w:pStyle w:val="Sansinterligne"/>
              <w:jc w:val="both"/>
              <w:rPr>
                <w:rFonts w:ascii="Times New Roman" w:hAnsi="Times New Roman"/>
                <w:color w:val="000000" w:themeColor="text1"/>
                <w:sz w:val="22"/>
                <w:szCs w:val="22"/>
                <w:lang w:val="fr-FR" w:eastAsia="fr-FR"/>
              </w:rPr>
            </w:pPr>
          </w:p>
        </w:tc>
        <w:tc>
          <w:tcPr>
            <w:tcW w:w="2656" w:type="dxa"/>
            <w:vAlign w:val="center"/>
          </w:tcPr>
          <w:p w14:paraId="3F6B6431" w14:textId="77777777" w:rsidR="005F3FB7" w:rsidRPr="00260790" w:rsidRDefault="005F3FB7" w:rsidP="00E20250">
            <w:pPr>
              <w:pStyle w:val="Sansinterligne"/>
              <w:rPr>
                <w:rFonts w:ascii="Times New Roman" w:hAnsi="Times New Roman"/>
                <w:color w:val="000000" w:themeColor="text1"/>
                <w:sz w:val="22"/>
                <w:szCs w:val="22"/>
                <w:lang w:val="fr-FR" w:eastAsia="fr-FR"/>
              </w:rPr>
            </w:pPr>
            <w:r w:rsidRPr="00260790">
              <w:rPr>
                <w:rFonts w:ascii="Times New Roman" w:hAnsi="Times New Roman"/>
                <w:bCs/>
                <w:color w:val="000000" w:themeColor="text1"/>
                <w:sz w:val="22"/>
                <w:szCs w:val="22"/>
                <w:lang w:val="fr-FR"/>
              </w:rPr>
              <w:t>Adopter les dispositions du CES de la Banque mondiale</w:t>
            </w:r>
          </w:p>
        </w:tc>
      </w:tr>
      <w:tr w:rsidR="005F3FB7" w:rsidRPr="00260790" w14:paraId="19DBDBA1" w14:textId="77777777" w:rsidTr="00CD1EB5">
        <w:tc>
          <w:tcPr>
            <w:tcW w:w="2122" w:type="dxa"/>
            <w:vAlign w:val="center"/>
          </w:tcPr>
          <w:p w14:paraId="1DECF886" w14:textId="77777777" w:rsidR="005F3FB7" w:rsidRPr="00260790" w:rsidRDefault="005F3FB7" w:rsidP="00E20250">
            <w:pPr>
              <w:pStyle w:val="Sansinterligne"/>
              <w:jc w:val="both"/>
              <w:rPr>
                <w:rFonts w:ascii="Times New Roman" w:hAnsi="Times New Roman"/>
                <w:color w:val="000000" w:themeColor="text1"/>
                <w:sz w:val="22"/>
                <w:szCs w:val="22"/>
                <w:lang w:val="fr-FR" w:eastAsia="fr-FR"/>
              </w:rPr>
            </w:pPr>
            <w:r w:rsidRPr="00260790">
              <w:rPr>
                <w:rFonts w:ascii="Times New Roman" w:eastAsia="Times New Roman" w:hAnsi="Times New Roman"/>
                <w:b/>
                <w:bCs/>
                <w:color w:val="000000" w:themeColor="text1"/>
                <w:sz w:val="22"/>
                <w:szCs w:val="22"/>
                <w:lang w:val="fr-FR" w:eastAsia="fr-FR"/>
              </w:rPr>
              <w:t>NES 10, Mobilisation des parties prenantes et information</w:t>
            </w:r>
          </w:p>
        </w:tc>
        <w:tc>
          <w:tcPr>
            <w:tcW w:w="5244" w:type="dxa"/>
            <w:vAlign w:val="center"/>
          </w:tcPr>
          <w:p w14:paraId="2706F19E" w14:textId="77777777" w:rsidR="005F3FB7" w:rsidRPr="00260790" w:rsidRDefault="005F3FB7" w:rsidP="00E20250">
            <w:pPr>
              <w:pStyle w:val="Sansinterligne"/>
              <w:jc w:val="both"/>
              <w:rPr>
                <w:rFonts w:ascii="Times New Roman" w:hAnsi="Times New Roman"/>
                <w:color w:val="000000" w:themeColor="text1"/>
                <w:sz w:val="22"/>
                <w:szCs w:val="22"/>
                <w:lang w:val="fr-FR" w:eastAsia="fr-FR"/>
              </w:rPr>
            </w:pPr>
            <w:r w:rsidRPr="00260790">
              <w:rPr>
                <w:rFonts w:ascii="Times New Roman" w:eastAsia="Times New Roman" w:hAnsi="Times New Roman"/>
                <w:color w:val="000000" w:themeColor="text1"/>
                <w:sz w:val="22"/>
                <w:szCs w:val="22"/>
                <w:lang w:val="fr-FR" w:eastAsia="fr-FR"/>
              </w:rPr>
              <w:t>La NES 10 reconnaît l'importance de la consultation ouverte et transparente entre l'Emprunteur et les parties prenantes d'un projet, comme un élément essentiel de bonne pratique internationale. La consultation efficace des parties prenantes peut améliorer la durabilité environnementale et sociale des projets, améliorer l'acceptation des projets, et contribuer de manière significative à la conception et la mise en œuvre réussie des projets.</w:t>
            </w:r>
          </w:p>
        </w:tc>
        <w:tc>
          <w:tcPr>
            <w:tcW w:w="4678" w:type="dxa"/>
            <w:vAlign w:val="center"/>
          </w:tcPr>
          <w:p w14:paraId="506FF212" w14:textId="55D88592" w:rsidR="005F3FB7" w:rsidRPr="00260790" w:rsidRDefault="005F3FB7" w:rsidP="00E20250">
            <w:pPr>
              <w:pStyle w:val="Sansinterligne"/>
              <w:jc w:val="both"/>
              <w:rPr>
                <w:rFonts w:ascii="Times New Roman" w:hAnsi="Times New Roman"/>
                <w:color w:val="000000" w:themeColor="text1"/>
                <w:sz w:val="22"/>
                <w:szCs w:val="22"/>
                <w:lang w:val="fr-FR" w:eastAsia="fr-FR"/>
              </w:rPr>
            </w:pPr>
            <w:r w:rsidRPr="00260790">
              <w:rPr>
                <w:rFonts w:ascii="Times New Roman" w:hAnsi="Times New Roman"/>
                <w:bCs/>
                <w:color w:val="000000" w:themeColor="text1"/>
                <w:sz w:val="22"/>
                <w:szCs w:val="22"/>
                <w:lang w:val="fr-FR"/>
              </w:rPr>
              <w:t>L’arrêté n°009468 d</w:t>
            </w:r>
            <w:r w:rsidR="00566D4C" w:rsidRPr="00260790">
              <w:rPr>
                <w:rFonts w:ascii="Times New Roman" w:hAnsi="Times New Roman"/>
                <w:bCs/>
                <w:color w:val="000000" w:themeColor="text1"/>
                <w:sz w:val="22"/>
                <w:szCs w:val="22"/>
                <w:lang w:val="fr-FR"/>
              </w:rPr>
              <w:t>u</w:t>
            </w:r>
            <w:r w:rsidRPr="00260790">
              <w:rPr>
                <w:rFonts w:ascii="Times New Roman" w:hAnsi="Times New Roman"/>
                <w:bCs/>
                <w:color w:val="000000" w:themeColor="text1"/>
                <w:sz w:val="22"/>
                <w:szCs w:val="22"/>
                <w:lang w:val="fr-FR"/>
              </w:rPr>
              <w:t xml:space="preserve"> 28 novembre 2001, portant réglementation de la participation du public à l’étude d’impact environnemental fixe la procédure de consultation publique. Elle intervient à toutes les étapes de l’EIE. Elle comprend une audience publique qui consiste à présenter la synthèse du rapport de l’EIE et de recueillir de la part des acteurs locaux leurs avis, observations et amendements.</w:t>
            </w:r>
          </w:p>
        </w:tc>
        <w:tc>
          <w:tcPr>
            <w:tcW w:w="2656" w:type="dxa"/>
            <w:vAlign w:val="center"/>
          </w:tcPr>
          <w:p w14:paraId="71A674CD" w14:textId="77777777" w:rsidR="005F3FB7" w:rsidRPr="00260790" w:rsidRDefault="005F3FB7" w:rsidP="00E20250">
            <w:pPr>
              <w:pStyle w:val="Sansinterligne"/>
              <w:jc w:val="both"/>
              <w:rPr>
                <w:rFonts w:ascii="Times New Roman" w:hAnsi="Times New Roman"/>
                <w:color w:val="000000" w:themeColor="text1"/>
                <w:sz w:val="22"/>
                <w:szCs w:val="22"/>
                <w:lang w:val="fr-FR" w:eastAsia="fr-FR"/>
              </w:rPr>
            </w:pPr>
            <w:r w:rsidRPr="00260790">
              <w:rPr>
                <w:rFonts w:ascii="Times New Roman" w:hAnsi="Times New Roman"/>
                <w:bCs/>
                <w:color w:val="000000" w:themeColor="text1"/>
                <w:sz w:val="22"/>
                <w:szCs w:val="22"/>
                <w:lang w:val="fr-FR"/>
              </w:rPr>
              <w:t>Adopter les dispositions de la NES 10 en matière de mobilisation et d’engagement des parties prenantes</w:t>
            </w:r>
          </w:p>
        </w:tc>
      </w:tr>
    </w:tbl>
    <w:p w14:paraId="739C9F1B" w14:textId="6E8923B4" w:rsidR="005F3FB7" w:rsidRPr="00260790" w:rsidRDefault="005F3FB7" w:rsidP="00CD1EB5">
      <w:pPr>
        <w:spacing w:before="240" w:after="0" w:line="240" w:lineRule="auto"/>
        <w:rPr>
          <w:rFonts w:ascii="Times New Roman" w:hAnsi="Times New Roman"/>
          <w:color w:val="000000" w:themeColor="text1"/>
          <w:lang w:eastAsia="fr-FR"/>
        </w:rPr>
      </w:pPr>
      <w:r w:rsidRPr="00260790">
        <w:rPr>
          <w:rFonts w:ascii="Times New Roman" w:hAnsi="Times New Roman"/>
          <w:color w:val="000000" w:themeColor="text1"/>
        </w:rPr>
        <w:t>Dans le cadre du projet, là où il y</w:t>
      </w:r>
      <w:r w:rsidR="00566D4C" w:rsidRPr="00260790">
        <w:rPr>
          <w:rFonts w:ascii="Times New Roman" w:hAnsi="Times New Roman"/>
          <w:color w:val="000000" w:themeColor="text1"/>
        </w:rPr>
        <w:t xml:space="preserve"> </w:t>
      </w:r>
      <w:r w:rsidRPr="00260790">
        <w:rPr>
          <w:rFonts w:ascii="Times New Roman" w:hAnsi="Times New Roman"/>
          <w:color w:val="000000" w:themeColor="text1"/>
        </w:rPr>
        <w:t>aura divergence, c’est la politique de la Banque qui présente le standard le plus élevé dans le domaine des sauvegardes qui sera appliquée.</w:t>
      </w:r>
    </w:p>
    <w:p w14:paraId="5A90BA08" w14:textId="77777777" w:rsidR="005F3FB7" w:rsidRPr="00260790" w:rsidRDefault="005F3FB7" w:rsidP="00E20250">
      <w:pPr>
        <w:shd w:val="clear" w:color="auto" w:fill="FFFFFF"/>
        <w:spacing w:after="200" w:line="240" w:lineRule="auto"/>
        <w:jc w:val="both"/>
        <w:rPr>
          <w:rFonts w:ascii="Times New Roman" w:eastAsia="Times New Roman" w:hAnsi="Times New Roman"/>
          <w:color w:val="000000" w:themeColor="text1"/>
          <w:spacing w:val="5"/>
          <w:lang w:eastAsia="fr-FR"/>
        </w:rPr>
        <w:sectPr w:rsidR="005F3FB7" w:rsidRPr="00260790" w:rsidSect="00CD1EB5">
          <w:pgSz w:w="16817" w:h="11901" w:orient="landscape"/>
          <w:pgMar w:top="1418" w:right="1418" w:bottom="1418" w:left="1418" w:header="709" w:footer="454" w:gutter="0"/>
          <w:cols w:space="708"/>
          <w:docGrid w:linePitch="360"/>
        </w:sectPr>
      </w:pPr>
    </w:p>
    <w:p w14:paraId="7D3D9C0B" w14:textId="62B6DA8C" w:rsidR="005F3FB7" w:rsidRPr="00260790" w:rsidRDefault="005F3FB7" w:rsidP="0097258B">
      <w:pPr>
        <w:pStyle w:val="CHAPITRE1"/>
      </w:pPr>
      <w:bookmarkStart w:id="263" w:name="_Toc212725099"/>
      <w:bookmarkStart w:id="264" w:name="_Toc62207916"/>
      <w:bookmarkStart w:id="265" w:name="_Toc474379963"/>
      <w:r w:rsidRPr="00260790">
        <w:lastRenderedPageBreak/>
        <w:t>Directives environnementales, sanitaires et sécuritaires (EHS) du Groupe de la Banque mondiale</w:t>
      </w:r>
      <w:bookmarkEnd w:id="263"/>
      <w:r w:rsidRPr="00260790">
        <w:t xml:space="preserve"> </w:t>
      </w:r>
      <w:bookmarkEnd w:id="264"/>
      <w:bookmarkEnd w:id="265"/>
    </w:p>
    <w:p w14:paraId="3F985BB7" w14:textId="77777777" w:rsidR="005F3FB7" w:rsidRPr="00260790" w:rsidRDefault="005F3FB7" w:rsidP="00E20250">
      <w:pPr>
        <w:tabs>
          <w:tab w:val="num" w:pos="0"/>
        </w:tabs>
        <w:autoSpaceDE w:val="0"/>
        <w:autoSpaceDN w:val="0"/>
        <w:adjustRightInd w:val="0"/>
        <w:spacing w:after="20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La mise en œuvre du projet présente des risques sur l’hygiène, la santé et la sécurité, liés à la nature et à l’envergure des travaux (réalisation d’ouvrages d’assainissement, de drainage, de voiries, etc.). </w:t>
      </w:r>
    </w:p>
    <w:p w14:paraId="01121825" w14:textId="4A2D72FC" w:rsidR="000F50A4" w:rsidRPr="00260790" w:rsidRDefault="005F3FB7" w:rsidP="00E20250">
      <w:pPr>
        <w:pStyle w:val="p1"/>
        <w:widowControl/>
        <w:tabs>
          <w:tab w:val="clear" w:pos="720"/>
          <w:tab w:val="num" w:pos="0"/>
        </w:tabs>
        <w:autoSpaceDE w:val="0"/>
        <w:autoSpaceDN w:val="0"/>
        <w:adjustRightInd w:val="0"/>
        <w:spacing w:after="200" w:line="240" w:lineRule="auto"/>
        <w:rPr>
          <w:color w:val="000000" w:themeColor="text1"/>
          <w:sz w:val="22"/>
          <w:szCs w:val="22"/>
        </w:rPr>
      </w:pPr>
      <w:r w:rsidRPr="00260790">
        <w:rPr>
          <w:snapToGrid/>
          <w:color w:val="000000" w:themeColor="text1"/>
          <w:sz w:val="22"/>
          <w:szCs w:val="22"/>
        </w:rPr>
        <w:t>En plus donc des NES applicables au Projet, les Directives environnementales, sanitaires et sécuritaires (Environnement, Hygiène et Sécurité au travail, santé et sécurité des communautés, construction et déclassement) de la Banque mondiale seront également prises en compte dans l'ensemble des activités du projet</w:t>
      </w:r>
      <w:r w:rsidR="000F50A4" w:rsidRPr="00260790">
        <w:rPr>
          <w:rStyle w:val="Appelnotedebasdep"/>
          <w:snapToGrid/>
          <w:color w:val="000000" w:themeColor="text1"/>
          <w:sz w:val="22"/>
          <w:szCs w:val="22"/>
        </w:rPr>
        <w:footnoteReference w:id="2"/>
      </w:r>
      <w:r w:rsidRPr="00260790">
        <w:rPr>
          <w:snapToGrid/>
          <w:color w:val="000000" w:themeColor="text1"/>
          <w:sz w:val="22"/>
          <w:szCs w:val="22"/>
        </w:rPr>
        <w:t>.</w:t>
      </w:r>
      <w:r w:rsidR="00F72A30" w:rsidRPr="00260790">
        <w:rPr>
          <w:snapToGrid/>
          <w:color w:val="000000" w:themeColor="text1"/>
          <w:sz w:val="22"/>
          <w:szCs w:val="22"/>
        </w:rPr>
        <w:t xml:space="preserve"> </w:t>
      </w:r>
    </w:p>
    <w:p w14:paraId="37D04C21" w14:textId="0DC5F6E0" w:rsidR="005F3FB7" w:rsidRPr="00260790" w:rsidRDefault="005F3FB7" w:rsidP="00E20250">
      <w:pPr>
        <w:tabs>
          <w:tab w:val="num" w:pos="0"/>
        </w:tabs>
        <w:spacing w:after="20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Ces Directives environnementales, sanitaires et sécuritaires (Directives EHS) sont des documents de références techniques qui présentent des exemples de bonnes pratiques internationales, de portée générale ou concernant une branche d’activité particulière. Lorsqu’un ou plusieurs États membres participent à un projet du Groupe de la Banque mondiale, les Directives EHS doivent être suivies conformément aux politiques et normes de ces pays. Ces Directives EHS générales sont à utiliser avec les Directives EHS pour les différentes branches d’activité qui présentent les questions d’ordre environnemental, sanitaire et sécuritaire propres au domaine considéré. Les projets complexes peuvent exiger l’application de plusieurs directives couvrant </w:t>
      </w:r>
      <w:r w:rsidR="00A02CEA" w:rsidRPr="00260790">
        <w:rPr>
          <w:rFonts w:ascii="Times New Roman" w:eastAsia="Times New Roman" w:hAnsi="Times New Roman"/>
          <w:color w:val="000000" w:themeColor="text1"/>
          <w:lang w:eastAsia="fr-FR"/>
        </w:rPr>
        <w:t>des</w:t>
      </w:r>
      <w:r w:rsidRPr="00260790">
        <w:rPr>
          <w:rFonts w:ascii="Times New Roman" w:eastAsia="Times New Roman" w:hAnsi="Times New Roman"/>
          <w:color w:val="000000" w:themeColor="text1"/>
          <w:lang w:eastAsia="fr-FR"/>
        </w:rPr>
        <w:t xml:space="preserve"> branches d’activité différentes. </w:t>
      </w:r>
    </w:p>
    <w:p w14:paraId="4D05679A" w14:textId="77777777" w:rsidR="005F3FB7" w:rsidRPr="00260790" w:rsidRDefault="005F3FB7" w:rsidP="00E20250">
      <w:pPr>
        <w:tabs>
          <w:tab w:val="num" w:pos="0"/>
        </w:tabs>
        <w:spacing w:after="20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Les Directives EHS indiquent les mesures et les niveaux de performances qui sont généralement considérés comme réalisables dans de nouvelles installations avec les technologies existantes à un coût raisonnable. L’application des Directives EHS dans des installations existantes peut nécessiter la définition d’objectifs spécifiques et l’établissement d'un calendrier adapté pour atteindre ces objectifs. Si les seuils et normes stipulés dans les réglementations du pays d’accueil diffèrent de ceux indiqués dans les Directives EHS, les plus rigoureuses seront retenues pour les projets menés dans ce pays. Si des niveaux moins contraignants que ceux des Directives EHS peuvent être retenus pour des raisons particulières dans le contexte du projet, une justification détaillée pour chacune de ces alternatives doit être présentée dans le cadre de l’évaluation environnementale du site considéré. Cette justification devra montrer que les niveaux de performance proposés permettent de protéger la santé de la population humaine et l'environnement. Le projet s’appuiera sur les grandes orientations de ces directives en lien avec les problématiques environnementales et sociales dont il aurait à traiter. </w:t>
      </w:r>
    </w:p>
    <w:p w14:paraId="63646213" w14:textId="001A7DE3" w:rsidR="005F3FB7" w:rsidRPr="00260790" w:rsidRDefault="005F3FB7" w:rsidP="0097258B">
      <w:pPr>
        <w:pStyle w:val="CHAPITRE1"/>
        <w:rPr>
          <w:rFonts w:cs="Times New Roman"/>
          <w:i/>
          <w:iCs/>
        </w:rPr>
      </w:pPr>
      <w:bookmarkStart w:id="266" w:name="_Toc212725100"/>
      <w:r w:rsidRPr="0097258B">
        <w:t>Lignes directrices relatives à l’assainissement et à la santé (Organisation mondiale de la Santé 2019</w:t>
      </w:r>
      <w:r w:rsidRPr="00260790">
        <w:rPr>
          <w:rFonts w:cs="Times New Roman"/>
          <w:i/>
          <w:iCs/>
        </w:rPr>
        <w:t>)</w:t>
      </w:r>
      <w:bookmarkEnd w:id="266"/>
    </w:p>
    <w:p w14:paraId="0A3CF223" w14:textId="7287237F" w:rsidR="005F3FB7" w:rsidRPr="00260790" w:rsidRDefault="005F3FB7" w:rsidP="00E20250">
      <w:pPr>
        <w:tabs>
          <w:tab w:val="num" w:pos="0"/>
        </w:tabs>
        <w:spacing w:after="20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lignes directrices de l’OMS relatives à l’eau et à l’assainissement s’appuient sur le cadre de Stockholm et ses principes fondamentaux d’évaluation et de gestion des risques (</w:t>
      </w:r>
      <w:proofErr w:type="spellStart"/>
      <w:r w:rsidRPr="00260790">
        <w:rPr>
          <w:rFonts w:ascii="Times New Roman" w:eastAsia="Times New Roman" w:hAnsi="Times New Roman"/>
          <w:color w:val="000000" w:themeColor="text1"/>
          <w:lang w:eastAsia="fr-FR"/>
        </w:rPr>
        <w:t>Fewtrell</w:t>
      </w:r>
      <w:proofErr w:type="spellEnd"/>
      <w:r w:rsidRPr="00260790">
        <w:rPr>
          <w:rFonts w:ascii="Times New Roman" w:eastAsia="Times New Roman" w:hAnsi="Times New Roman"/>
          <w:color w:val="000000" w:themeColor="text1"/>
          <w:lang w:eastAsia="fr-FR"/>
        </w:rPr>
        <w:t xml:space="preserve"> &amp; Bartram, 2001). Elles énoncent que des systèmes et des services d’assainissement sûrs sont essentiels à la santé, de la prévention des infections à l’amélioration et au maintien du bien-être mental et social</w:t>
      </w:r>
      <w:r w:rsidR="0022067B" w:rsidRPr="00260790">
        <w:rPr>
          <w:rFonts w:ascii="Times New Roman" w:eastAsia="Times New Roman" w:hAnsi="Times New Roman"/>
          <w:color w:val="000000" w:themeColor="text1"/>
          <w:lang w:eastAsia="fr-FR"/>
        </w:rPr>
        <w:t>.</w:t>
      </w:r>
      <w:r w:rsidRPr="00260790">
        <w:rPr>
          <w:rFonts w:ascii="Times New Roman" w:eastAsia="Times New Roman" w:hAnsi="Times New Roman"/>
          <w:color w:val="000000" w:themeColor="text1"/>
          <w:lang w:eastAsia="fr-FR"/>
        </w:rPr>
        <w:t xml:space="preserve"> Ces principes reposent sur l’identification, la priorisation et la gestion systématiques des risques pour la santé dans l’ensemble du système. Les lignes directrices couvrent également le bien-être et les dimensions psychosociales de la santé (comme l’intimité, la sécurité et la dignité) nécessaires pour encourager et soutenir l’utilisation des services d’assainissement. Elles portent sur les approches progressives destinées à favoriser : (i) la couverture universelle en matière d’assainissement et l’accès à l’assainissement ; (ii) l’amélioration de la qualité des services d’assainissement et l’accès à des niveaux plus élevés de services d’assainissement ; et (iii) la pérennité en termes de fonctionnement des services d’assainissement, ainsi que la viabilité environnementale et sociale. Le projet se conformera à ces directives en lien avec les problématiques environnementales et sociales dans la zone d’étude.</w:t>
      </w:r>
    </w:p>
    <w:p w14:paraId="0BB926E9" w14:textId="77777777" w:rsidR="00CD1EB5" w:rsidRPr="00260790" w:rsidRDefault="00CD1EB5">
      <w:pPr>
        <w:spacing w:line="259" w:lineRule="auto"/>
        <w:rPr>
          <w:rFonts w:ascii="Times New Roman" w:eastAsia="Times New Roman" w:hAnsi="Times New Roman"/>
          <w:b/>
          <w:bCs/>
          <w:lang w:eastAsia="fr-FR"/>
          <w14:ligatures w14:val="standardContextual"/>
        </w:rPr>
      </w:pPr>
      <w:bookmarkStart w:id="267" w:name="_Toc62207921"/>
      <w:bookmarkStart w:id="268" w:name="_Toc62208009"/>
      <w:bookmarkStart w:id="269" w:name="_Toc474379971"/>
      <w:bookmarkEnd w:id="251"/>
      <w:bookmarkEnd w:id="252"/>
      <w:bookmarkEnd w:id="253"/>
      <w:bookmarkEnd w:id="257"/>
      <w:bookmarkEnd w:id="258"/>
      <w:r w:rsidRPr="00260790">
        <w:rPr>
          <w:rFonts w:ascii="Times New Roman" w:hAnsi="Times New Roman"/>
          <w:b/>
          <w:bCs/>
        </w:rPr>
        <w:br w:type="page"/>
      </w:r>
    </w:p>
    <w:p w14:paraId="3081FB8D" w14:textId="4B22A8F9" w:rsidR="005F3FB7" w:rsidRPr="00260790" w:rsidRDefault="005F3FB7" w:rsidP="001748C6">
      <w:pPr>
        <w:pStyle w:val="Normaltableau0"/>
        <w:numPr>
          <w:ilvl w:val="1"/>
          <w:numId w:val="139"/>
        </w:numPr>
        <w:outlineLvl w:val="1"/>
        <w:rPr>
          <w:rFonts w:ascii="Times New Roman" w:hAnsi="Times New Roman"/>
          <w:b/>
          <w:bCs/>
          <w:sz w:val="22"/>
          <w:szCs w:val="22"/>
        </w:rPr>
      </w:pPr>
      <w:bookmarkStart w:id="270" w:name="_Toc212725101"/>
      <w:r w:rsidRPr="00260790">
        <w:rPr>
          <w:rFonts w:ascii="Times New Roman" w:hAnsi="Times New Roman"/>
          <w:b/>
          <w:bCs/>
          <w:sz w:val="22"/>
          <w:szCs w:val="22"/>
        </w:rPr>
        <w:lastRenderedPageBreak/>
        <w:t>Cadre institutionnel</w:t>
      </w:r>
      <w:bookmarkEnd w:id="267"/>
      <w:bookmarkEnd w:id="268"/>
      <w:r w:rsidRPr="00260790">
        <w:rPr>
          <w:rFonts w:ascii="Times New Roman" w:hAnsi="Times New Roman"/>
          <w:b/>
          <w:bCs/>
          <w:sz w:val="22"/>
          <w:szCs w:val="22"/>
        </w:rPr>
        <w:t xml:space="preserve"> de gestion environnementale et sociale</w:t>
      </w:r>
      <w:bookmarkEnd w:id="269"/>
      <w:bookmarkEnd w:id="270"/>
    </w:p>
    <w:p w14:paraId="059C2B7D" w14:textId="298A2231" w:rsidR="005F3FB7" w:rsidRPr="00260790" w:rsidRDefault="005F3FB7" w:rsidP="00E20250">
      <w:pPr>
        <w:tabs>
          <w:tab w:val="num" w:pos="0"/>
        </w:tabs>
        <w:spacing w:line="240" w:lineRule="auto"/>
        <w:jc w:val="both"/>
        <w:rPr>
          <w:rFonts w:ascii="Times New Roman" w:hAnsi="Times New Roman"/>
          <w:color w:val="000000" w:themeColor="text1"/>
        </w:rPr>
      </w:pPr>
      <w:bookmarkStart w:id="271" w:name="page34"/>
      <w:bookmarkEnd w:id="271"/>
      <w:r w:rsidRPr="00260790">
        <w:rPr>
          <w:rFonts w:ascii="Times New Roman" w:hAnsi="Times New Roman"/>
          <w:color w:val="000000" w:themeColor="text1"/>
          <w:lang w:eastAsia="fr-FR"/>
        </w:rPr>
        <w:t>La procédure d’élaboration des études d’impact environnemental et social, et la mise en œuvre du PGES qui en découle impliquent plusieurs acteurs institutionnels nationaux et locaux dont les niveaux d’intervention seront divers, à toutes les phases d’exécution des activités des travaux</w:t>
      </w:r>
      <w:r w:rsidRPr="00260790">
        <w:rPr>
          <w:rFonts w:ascii="Times New Roman" w:hAnsi="Times New Roman"/>
          <w:color w:val="000000" w:themeColor="text1"/>
        </w:rPr>
        <w:t xml:space="preserve">. </w:t>
      </w:r>
    </w:p>
    <w:p w14:paraId="69A93F5B" w14:textId="77777777" w:rsidR="005F3FB7" w:rsidRPr="00260790" w:rsidRDefault="005F3FB7" w:rsidP="00E20250">
      <w:pPr>
        <w:tabs>
          <w:tab w:val="num" w:pos="0"/>
        </w:tabs>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L'analyse institutionnelle vise à identifier certaines structures en place et à évaluer leur capacité à gérer de façon adéquate les aspects environnementaux et sociaux et, au besoin, à identifier les renforcements de capacité requis dans la mise en œuvre du PGES de l’EIES du projet.</w:t>
      </w:r>
    </w:p>
    <w:p w14:paraId="51AF11C5" w14:textId="6F16691F" w:rsidR="005F3FB7" w:rsidRPr="00260790" w:rsidRDefault="005F3FB7" w:rsidP="00E20250">
      <w:pPr>
        <w:tabs>
          <w:tab w:val="num" w:pos="0"/>
        </w:tabs>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 xml:space="preserve">Le </w:t>
      </w:r>
      <w:proofErr w:type="gramStart"/>
      <w:r w:rsidRPr="00260790">
        <w:rPr>
          <w:rFonts w:ascii="Times New Roman" w:eastAsia="Times New Roman" w:hAnsi="Times New Roman"/>
          <w:b/>
          <w:i/>
          <w:color w:val="000000" w:themeColor="text1"/>
          <w:lang w:eastAsia="fr-FR"/>
        </w:rPr>
        <w:t>Ministère de l’Environnement</w:t>
      </w:r>
      <w:proofErr w:type="gramEnd"/>
      <w:r w:rsidR="00B05535" w:rsidRPr="00260790">
        <w:rPr>
          <w:rFonts w:ascii="Times New Roman" w:eastAsia="Times New Roman" w:hAnsi="Times New Roman"/>
          <w:b/>
          <w:i/>
          <w:color w:val="000000" w:themeColor="text1"/>
          <w:lang w:eastAsia="fr-FR"/>
        </w:rPr>
        <w:t xml:space="preserve"> </w:t>
      </w:r>
      <w:r w:rsidRPr="00260790">
        <w:rPr>
          <w:rFonts w:ascii="Times New Roman" w:eastAsia="Times New Roman" w:hAnsi="Times New Roman"/>
          <w:b/>
          <w:i/>
          <w:color w:val="000000" w:themeColor="text1"/>
          <w:lang w:eastAsia="fr-FR"/>
        </w:rPr>
        <w:t>et de la Transition Écologique</w:t>
      </w:r>
      <w:r w:rsidRPr="00260790">
        <w:rPr>
          <w:rFonts w:ascii="Times New Roman" w:eastAsia="Times New Roman" w:hAnsi="Times New Roman"/>
          <w:color w:val="000000" w:themeColor="text1"/>
          <w:lang w:eastAsia="fr-FR"/>
        </w:rPr>
        <w:t xml:space="preserve"> : Au niveau national, la gestion environnementale relève du </w:t>
      </w:r>
      <w:proofErr w:type="gramStart"/>
      <w:r w:rsidRPr="00260790">
        <w:rPr>
          <w:rFonts w:ascii="Times New Roman" w:eastAsia="Times New Roman" w:hAnsi="Times New Roman"/>
          <w:color w:val="000000" w:themeColor="text1"/>
          <w:lang w:eastAsia="fr-FR"/>
        </w:rPr>
        <w:t>Ministère de l’Environnement</w:t>
      </w:r>
      <w:proofErr w:type="gramEnd"/>
      <w:r w:rsidRPr="00260790">
        <w:rPr>
          <w:rFonts w:ascii="Times New Roman" w:eastAsia="Times New Roman" w:hAnsi="Times New Roman"/>
          <w:color w:val="000000" w:themeColor="text1"/>
          <w:lang w:eastAsia="fr-FR"/>
        </w:rPr>
        <w:t xml:space="preserve"> et de la Transition Écologique (METE) qui a pour mission l’élaboration et l’application de la politique environnementale. </w:t>
      </w:r>
    </w:p>
    <w:p w14:paraId="44499D0A" w14:textId="77777777" w:rsidR="005F3FB7" w:rsidRPr="00260790" w:rsidRDefault="005F3FB7" w:rsidP="00E20250">
      <w:pPr>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Dans le cadre du présent projet, il lui revient la prérogative de veiller à la prise en compte des préoccupations environnementales et de délivrer le certificat de conformité environnementale relatif au projet.</w:t>
      </w:r>
    </w:p>
    <w:p w14:paraId="2AE46642" w14:textId="77777777" w:rsidR="005F3FB7" w:rsidRPr="00260790" w:rsidRDefault="005F3FB7" w:rsidP="00E20250">
      <w:pPr>
        <w:pStyle w:val="Corpsdetexte2"/>
        <w:spacing w:after="0" w:line="240" w:lineRule="auto"/>
        <w:rPr>
          <w:rFonts w:eastAsia="Times New Roman"/>
          <w:color w:val="000000" w:themeColor="text1"/>
          <w:lang w:eastAsia="fr-FR"/>
        </w:rPr>
      </w:pPr>
      <w:r w:rsidRPr="00260790">
        <w:rPr>
          <w:rFonts w:eastAsia="Times New Roman"/>
          <w:color w:val="000000" w:themeColor="text1"/>
          <w:lang w:eastAsia="fr-FR"/>
        </w:rPr>
        <w:t xml:space="preserve">La gestion environnementale et sociale interpelle plusieurs catégories d’acteurs et est assurée à trois niveaux : </w:t>
      </w:r>
    </w:p>
    <w:p w14:paraId="1733C6A6" w14:textId="09B1B706" w:rsidR="005F3FB7" w:rsidRPr="00260790" w:rsidRDefault="005F3FB7" w:rsidP="001748C6">
      <w:pPr>
        <w:numPr>
          <w:ilvl w:val="0"/>
          <w:numId w:val="10"/>
        </w:numPr>
        <w:spacing w:after="0" w:line="240" w:lineRule="auto"/>
        <w:jc w:val="both"/>
        <w:rPr>
          <w:rFonts w:ascii="Times New Roman" w:eastAsia="Times New Roman" w:hAnsi="Times New Roman"/>
          <w:color w:val="000000" w:themeColor="text1"/>
          <w:lang w:eastAsia="fr-FR"/>
        </w:rPr>
      </w:pPr>
      <w:proofErr w:type="gramStart"/>
      <w:r w:rsidRPr="00260790">
        <w:rPr>
          <w:rFonts w:ascii="Times New Roman" w:eastAsia="Times New Roman" w:hAnsi="Times New Roman"/>
          <w:color w:val="000000" w:themeColor="text1"/>
          <w:lang w:eastAsia="fr-FR"/>
        </w:rPr>
        <w:t>le</w:t>
      </w:r>
      <w:proofErr w:type="gramEnd"/>
      <w:r w:rsidRPr="00260790">
        <w:rPr>
          <w:rFonts w:ascii="Times New Roman" w:eastAsia="Times New Roman" w:hAnsi="Times New Roman"/>
          <w:color w:val="000000" w:themeColor="text1"/>
          <w:lang w:eastAsia="fr-FR"/>
        </w:rPr>
        <w:t xml:space="preserve"> niveau national, à travers la D</w:t>
      </w:r>
      <w:r w:rsidR="00B05535" w:rsidRPr="00260790">
        <w:rPr>
          <w:rFonts w:ascii="Times New Roman" w:eastAsia="Times New Roman" w:hAnsi="Times New Roman"/>
          <w:color w:val="000000" w:themeColor="text1"/>
          <w:lang w:eastAsia="fr-FR"/>
        </w:rPr>
        <w:t>IR</w:t>
      </w:r>
      <w:r w:rsidRPr="00260790">
        <w:rPr>
          <w:rFonts w:ascii="Times New Roman" w:eastAsia="Times New Roman" w:hAnsi="Times New Roman"/>
          <w:color w:val="000000" w:themeColor="text1"/>
          <w:lang w:eastAsia="fr-FR"/>
        </w:rPr>
        <w:t>EC et le Comité Technique National pour l’Environnement (CTNE)</w:t>
      </w:r>
      <w:r w:rsidR="007A0798">
        <w:rPr>
          <w:rFonts w:ascii="Times New Roman" w:eastAsia="Times New Roman" w:hAnsi="Times New Roman"/>
          <w:color w:val="000000" w:themeColor="text1"/>
          <w:lang w:eastAsia="fr-FR"/>
        </w:rPr>
        <w:t xml:space="preserve"> </w:t>
      </w:r>
      <w:r w:rsidRPr="00260790">
        <w:rPr>
          <w:rFonts w:ascii="Times New Roman" w:eastAsia="Times New Roman" w:hAnsi="Times New Roman"/>
          <w:color w:val="000000" w:themeColor="text1"/>
          <w:lang w:eastAsia="fr-FR"/>
        </w:rPr>
        <w:t xml:space="preserve">; </w:t>
      </w:r>
    </w:p>
    <w:p w14:paraId="38588B86" w14:textId="77777777" w:rsidR="005F3FB7" w:rsidRPr="00260790" w:rsidRDefault="005F3FB7" w:rsidP="001748C6">
      <w:pPr>
        <w:numPr>
          <w:ilvl w:val="0"/>
          <w:numId w:val="10"/>
        </w:numPr>
        <w:spacing w:after="0" w:line="240" w:lineRule="auto"/>
        <w:jc w:val="both"/>
        <w:rPr>
          <w:rFonts w:ascii="Times New Roman" w:eastAsia="Times New Roman" w:hAnsi="Times New Roman"/>
          <w:color w:val="000000" w:themeColor="text1"/>
          <w:lang w:eastAsia="fr-FR"/>
        </w:rPr>
      </w:pPr>
      <w:proofErr w:type="gramStart"/>
      <w:r w:rsidRPr="00260790">
        <w:rPr>
          <w:rFonts w:ascii="Times New Roman" w:eastAsia="Times New Roman" w:hAnsi="Times New Roman"/>
          <w:color w:val="000000" w:themeColor="text1"/>
          <w:lang w:eastAsia="fr-FR"/>
        </w:rPr>
        <w:t>l’ADM</w:t>
      </w:r>
      <w:proofErr w:type="gramEnd"/>
      <w:r w:rsidRPr="00260790">
        <w:rPr>
          <w:rFonts w:ascii="Times New Roman" w:eastAsia="Times New Roman" w:hAnsi="Times New Roman"/>
          <w:color w:val="000000" w:themeColor="text1"/>
          <w:lang w:eastAsia="fr-FR"/>
        </w:rPr>
        <w:t xml:space="preserve"> à travers sa Cellule de gestion environnementale et sociale ;</w:t>
      </w:r>
    </w:p>
    <w:p w14:paraId="37ED5684" w14:textId="77777777" w:rsidR="005F3FB7" w:rsidRPr="00260790" w:rsidRDefault="005F3FB7" w:rsidP="001748C6">
      <w:pPr>
        <w:numPr>
          <w:ilvl w:val="0"/>
          <w:numId w:val="10"/>
        </w:numPr>
        <w:spacing w:after="0" w:line="240" w:lineRule="auto"/>
        <w:jc w:val="both"/>
        <w:rPr>
          <w:rFonts w:ascii="Times New Roman" w:eastAsia="Times New Roman" w:hAnsi="Times New Roman"/>
          <w:color w:val="000000" w:themeColor="text1"/>
          <w:lang w:eastAsia="fr-FR"/>
        </w:rPr>
      </w:pPr>
      <w:proofErr w:type="gramStart"/>
      <w:r w:rsidRPr="00260790">
        <w:rPr>
          <w:rFonts w:ascii="Times New Roman" w:eastAsia="Times New Roman" w:hAnsi="Times New Roman"/>
          <w:color w:val="000000" w:themeColor="text1"/>
          <w:lang w:eastAsia="fr-FR"/>
        </w:rPr>
        <w:t>le</w:t>
      </w:r>
      <w:proofErr w:type="gramEnd"/>
      <w:r w:rsidRPr="00260790">
        <w:rPr>
          <w:rFonts w:ascii="Times New Roman" w:eastAsia="Times New Roman" w:hAnsi="Times New Roman"/>
          <w:color w:val="000000" w:themeColor="text1"/>
          <w:lang w:eastAsia="fr-FR"/>
        </w:rPr>
        <w:t xml:space="preserve"> niveau régional, à travers l’ARD, la DREEC, l’IREF, et le Comité Régional de Suivi environnemental (CRSE) ; </w:t>
      </w:r>
    </w:p>
    <w:p w14:paraId="271CE0B1" w14:textId="77777777" w:rsidR="005F3FB7" w:rsidRPr="00260790" w:rsidRDefault="005F3FB7" w:rsidP="001748C6">
      <w:pPr>
        <w:numPr>
          <w:ilvl w:val="0"/>
          <w:numId w:val="10"/>
        </w:numPr>
        <w:spacing w:after="240" w:line="240" w:lineRule="auto"/>
        <w:jc w:val="both"/>
        <w:rPr>
          <w:rFonts w:ascii="Times New Roman" w:eastAsia="Times New Roman" w:hAnsi="Times New Roman"/>
          <w:color w:val="000000" w:themeColor="text1"/>
          <w:lang w:eastAsia="fr-FR"/>
        </w:rPr>
      </w:pPr>
      <w:proofErr w:type="gramStart"/>
      <w:r w:rsidRPr="00260790">
        <w:rPr>
          <w:rFonts w:ascii="Times New Roman" w:eastAsia="Times New Roman" w:hAnsi="Times New Roman"/>
          <w:color w:val="000000" w:themeColor="text1"/>
          <w:lang w:eastAsia="fr-FR"/>
        </w:rPr>
        <w:t>le</w:t>
      </w:r>
      <w:proofErr w:type="gramEnd"/>
      <w:r w:rsidRPr="00260790">
        <w:rPr>
          <w:rFonts w:ascii="Times New Roman" w:eastAsia="Times New Roman" w:hAnsi="Times New Roman"/>
          <w:color w:val="000000" w:themeColor="text1"/>
          <w:lang w:eastAsia="fr-FR"/>
        </w:rPr>
        <w:t xml:space="preserve"> niveau des collectivités territoriales (ville, commune, conseil départemental).</w:t>
      </w:r>
    </w:p>
    <w:p w14:paraId="19E4BEDE" w14:textId="6E2C7C0E" w:rsidR="005F3FB7" w:rsidRPr="00260790" w:rsidRDefault="005F3FB7" w:rsidP="00E20250">
      <w:pPr>
        <w:tabs>
          <w:tab w:val="num" w:pos="0"/>
        </w:tabs>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La</w:t>
      </w:r>
      <w:r w:rsidR="00B05535" w:rsidRPr="00260790">
        <w:rPr>
          <w:rFonts w:ascii="Times New Roman" w:hAnsi="Times New Roman"/>
          <w:color w:val="000000" w:themeColor="text1"/>
        </w:rPr>
        <w:t xml:space="preserve"> </w:t>
      </w:r>
      <w:r w:rsidR="00B05535" w:rsidRPr="00260790">
        <w:rPr>
          <w:rFonts w:ascii="Times New Roman" w:eastAsia="Times New Roman" w:hAnsi="Times New Roman"/>
          <w:b/>
          <w:i/>
          <w:color w:val="000000" w:themeColor="text1"/>
          <w:lang w:eastAsia="fr-FR"/>
        </w:rPr>
        <w:t>Direction de la Réglementation Environnementale et du Contrôle (DIREC</w:t>
      </w:r>
      <w:r w:rsidRPr="00260790">
        <w:rPr>
          <w:rFonts w:ascii="Times New Roman" w:eastAsia="Times New Roman" w:hAnsi="Times New Roman"/>
          <w:b/>
          <w:i/>
          <w:color w:val="000000" w:themeColor="text1"/>
          <w:lang w:eastAsia="fr-FR"/>
        </w:rPr>
        <w:t>)</w:t>
      </w:r>
      <w:r w:rsidRPr="00260790">
        <w:rPr>
          <w:rFonts w:ascii="Times New Roman" w:eastAsia="Times New Roman" w:hAnsi="Times New Roman"/>
          <w:color w:val="000000" w:themeColor="text1"/>
          <w:lang w:eastAsia="fr-FR"/>
        </w:rPr>
        <w:t> : a pour mission de veiller à l’application des dispositions relatives aux EIE. Elle prépare, pour le Ministre chargé de l’Environnement, les avis et décisions relatifs aux EIES. La D</w:t>
      </w:r>
      <w:r w:rsidR="00B05535" w:rsidRPr="00260790">
        <w:rPr>
          <w:rFonts w:ascii="Times New Roman" w:eastAsia="Times New Roman" w:hAnsi="Times New Roman"/>
          <w:color w:val="000000" w:themeColor="text1"/>
          <w:lang w:eastAsia="fr-FR"/>
        </w:rPr>
        <w:t>IR</w:t>
      </w:r>
      <w:r w:rsidRPr="00260790">
        <w:rPr>
          <w:rFonts w:ascii="Times New Roman" w:eastAsia="Times New Roman" w:hAnsi="Times New Roman"/>
          <w:color w:val="000000" w:themeColor="text1"/>
          <w:lang w:eastAsia="fr-FR"/>
        </w:rPr>
        <w:t>EC dispose aussi de services déconcentrés au niveau régional pour assurer un suivi de proximité des questions environnementales, notamment les Divisions Régionales de l’Environnement et des Établissements Classées (DREEC). Dans le cadre de ce projet, la D</w:t>
      </w:r>
      <w:r w:rsidR="00B05535" w:rsidRPr="00260790">
        <w:rPr>
          <w:rFonts w:ascii="Times New Roman" w:eastAsia="Times New Roman" w:hAnsi="Times New Roman"/>
          <w:color w:val="000000" w:themeColor="text1"/>
          <w:lang w:eastAsia="fr-FR"/>
        </w:rPr>
        <w:t>IR</w:t>
      </w:r>
      <w:r w:rsidRPr="00260790">
        <w:rPr>
          <w:rFonts w:ascii="Times New Roman" w:eastAsia="Times New Roman" w:hAnsi="Times New Roman"/>
          <w:color w:val="000000" w:themeColor="text1"/>
          <w:lang w:eastAsia="fr-FR"/>
        </w:rPr>
        <w:t>EC assurera le secrétariat du Comité technique lors de la validation du rapport de l’EIES et de l’audience publique. Elle sera aussi chargée du suivi de la mise en œuvre des mesures du PGES au sein du Comité de suivi.</w:t>
      </w:r>
    </w:p>
    <w:p w14:paraId="4878F4FF" w14:textId="5B9EF92C" w:rsidR="005F3FB7" w:rsidRPr="00260790" w:rsidRDefault="005F3FB7" w:rsidP="00E20250">
      <w:pPr>
        <w:tabs>
          <w:tab w:val="num" w:pos="0"/>
        </w:tabs>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La Direction de l’Assainissement (DA)</w:t>
      </w:r>
      <w:r w:rsidRPr="00260790">
        <w:rPr>
          <w:rFonts w:ascii="Times New Roman" w:eastAsia="Times New Roman" w:hAnsi="Times New Roman"/>
          <w:color w:val="000000" w:themeColor="text1"/>
          <w:lang w:eastAsia="fr-FR"/>
        </w:rPr>
        <w:t> : sous la tutelle du ministère de l’</w:t>
      </w:r>
      <w:r w:rsidR="00B05535" w:rsidRPr="00260790">
        <w:rPr>
          <w:rFonts w:ascii="Times New Roman" w:eastAsia="Times New Roman" w:hAnsi="Times New Roman"/>
          <w:color w:val="000000" w:themeColor="text1"/>
          <w:lang w:eastAsia="fr-FR"/>
        </w:rPr>
        <w:t>hydraulique</w:t>
      </w:r>
      <w:r w:rsidRPr="00260790">
        <w:rPr>
          <w:rFonts w:ascii="Times New Roman" w:eastAsia="Times New Roman" w:hAnsi="Times New Roman"/>
          <w:color w:val="000000" w:themeColor="text1"/>
          <w:lang w:eastAsia="fr-FR"/>
        </w:rPr>
        <w:t xml:space="preserve"> et de l’Assainissement, qui est responsable de la politique de l’assainissement et, en synergie avec le Ministre chargé de la restructuration et de de la requalification des banlieues, participe à la réalisation de réseaux de drainage des eaux de pluie et de la réalisation des aménagements y afférents. Elle présidera la réunion du Comité technique lors de la validation du rapport de l’EIES et de l’audience publique.</w:t>
      </w:r>
    </w:p>
    <w:p w14:paraId="3781310D" w14:textId="77777777" w:rsidR="000F50A4" w:rsidRPr="00260790" w:rsidRDefault="005F3FB7" w:rsidP="00E20250">
      <w:pPr>
        <w:tabs>
          <w:tab w:val="num" w:pos="0"/>
        </w:tabs>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bCs/>
          <w:i/>
          <w:iCs/>
          <w:color w:val="000000" w:themeColor="text1"/>
          <w:lang w:eastAsia="fr-FR"/>
        </w:rPr>
        <w:t>La Direction de la Gestion et de la Planification des Ressources en Eau (DGPRE)</w:t>
      </w:r>
      <w:r w:rsidRPr="00260790">
        <w:rPr>
          <w:rFonts w:ascii="Times New Roman" w:eastAsia="Times New Roman" w:hAnsi="Times New Roman"/>
          <w:color w:val="000000" w:themeColor="text1"/>
          <w:lang w:eastAsia="fr-FR"/>
        </w:rPr>
        <w:t xml:space="preserve"> : est chargée, entre autres missions, i) - d’étudier les demandes d’autorisation de construction et d’utilisation d’ouvrages de captage et de rejet d’eaux ; ii) - d’assurer le suivi de l’application des textes législatifs et réglementaires, notamment les dispositions du Code de l’eau relatives à la police de l’eau. </w:t>
      </w:r>
    </w:p>
    <w:p w14:paraId="53355AD1" w14:textId="438A9BA0" w:rsidR="005F3FB7" w:rsidRPr="00260790" w:rsidRDefault="005F3FB7" w:rsidP="00E20250">
      <w:pPr>
        <w:tabs>
          <w:tab w:val="num" w:pos="0"/>
        </w:tabs>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Dans le cadre de la mise en œuvre du projet, ADM devra se rapprocher de la DGPRE autorisation conformément au Décret n°98-555 du 25 juin 1998 qui stipule que la réalisation d’ouvrages de captage d’eau souterraine ou de surface et l’installation ou l’utilisation d’ouvrages de déversement, d’écoulement ou de rejet dans un milieu récepteur naturel, notamment la mer, les cours d’eau, les lacs, les étangs, sont soumises à une autorisation du Ministre chargé de l’hydraulique.</w:t>
      </w:r>
    </w:p>
    <w:p w14:paraId="659A4922" w14:textId="334E8C64" w:rsidR="005F3FB7" w:rsidRPr="00260790" w:rsidRDefault="005F3FB7" w:rsidP="00E20250">
      <w:pPr>
        <w:tabs>
          <w:tab w:val="num" w:pos="0"/>
        </w:tabs>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 xml:space="preserve">L’Agence de Développement </w:t>
      </w:r>
      <w:r w:rsidR="00B47E51">
        <w:rPr>
          <w:rFonts w:ascii="Times New Roman" w:eastAsia="Times New Roman" w:hAnsi="Times New Roman"/>
          <w:b/>
          <w:i/>
          <w:color w:val="000000" w:themeColor="text1"/>
          <w:lang w:eastAsia="fr-FR"/>
        </w:rPr>
        <w:t>m</w:t>
      </w:r>
      <w:r w:rsidR="006F211A" w:rsidRPr="00260790">
        <w:rPr>
          <w:rFonts w:ascii="Times New Roman" w:eastAsia="Times New Roman" w:hAnsi="Times New Roman"/>
          <w:b/>
          <w:i/>
          <w:color w:val="000000" w:themeColor="text1"/>
          <w:lang w:eastAsia="fr-FR"/>
        </w:rPr>
        <w:t xml:space="preserve">unicipal </w:t>
      </w:r>
      <w:r w:rsidRPr="00260790">
        <w:rPr>
          <w:rFonts w:ascii="Times New Roman" w:eastAsia="Times New Roman" w:hAnsi="Times New Roman"/>
          <w:b/>
          <w:i/>
          <w:color w:val="000000" w:themeColor="text1"/>
          <w:lang w:eastAsia="fr-FR"/>
        </w:rPr>
        <w:t>(ADM)</w:t>
      </w:r>
      <w:r w:rsidRPr="00260790">
        <w:rPr>
          <w:rFonts w:ascii="Times New Roman" w:eastAsia="Times New Roman" w:hAnsi="Times New Roman"/>
          <w:color w:val="000000" w:themeColor="text1"/>
          <w:lang w:eastAsia="fr-FR"/>
        </w:rPr>
        <w:t xml:space="preserve"> assure la coordination et l’exécution du projet, et dépend du </w:t>
      </w:r>
      <w:proofErr w:type="gramStart"/>
      <w:r w:rsidRPr="00260790">
        <w:rPr>
          <w:rFonts w:ascii="Times New Roman" w:eastAsia="Times New Roman" w:hAnsi="Times New Roman"/>
          <w:color w:val="000000" w:themeColor="text1"/>
          <w:lang w:eastAsia="fr-FR"/>
        </w:rPr>
        <w:t xml:space="preserve">Ministère </w:t>
      </w:r>
      <w:r w:rsidR="00DB348A" w:rsidRPr="00260790">
        <w:rPr>
          <w:rFonts w:ascii="Times New Roman" w:eastAsia="Times New Roman" w:hAnsi="Times New Roman"/>
          <w:color w:val="000000" w:themeColor="text1"/>
          <w:lang w:eastAsia="fr-FR"/>
        </w:rPr>
        <w:t>de l’Urbanisme</w:t>
      </w:r>
      <w:proofErr w:type="gramEnd"/>
      <w:r w:rsidR="00DB348A" w:rsidRPr="00260790">
        <w:rPr>
          <w:rFonts w:ascii="Times New Roman" w:eastAsia="Times New Roman" w:hAnsi="Times New Roman"/>
          <w:color w:val="000000" w:themeColor="text1"/>
          <w:lang w:eastAsia="fr-FR"/>
        </w:rPr>
        <w:t xml:space="preserve">, </w:t>
      </w:r>
      <w:r w:rsidRPr="00260790">
        <w:rPr>
          <w:rFonts w:ascii="Times New Roman" w:eastAsia="Times New Roman" w:hAnsi="Times New Roman"/>
          <w:color w:val="000000" w:themeColor="text1"/>
          <w:lang w:eastAsia="fr-FR"/>
        </w:rPr>
        <w:t>des Collectivités Territoriales et de l'Aménagement des Territoires</w:t>
      </w:r>
      <w:r w:rsidR="00DB348A" w:rsidRPr="00260790">
        <w:rPr>
          <w:rFonts w:ascii="Times New Roman" w:eastAsia="Times New Roman" w:hAnsi="Times New Roman"/>
          <w:color w:val="000000" w:themeColor="text1"/>
          <w:lang w:eastAsia="fr-FR"/>
        </w:rPr>
        <w:t xml:space="preserve"> (MUCTAT</w:t>
      </w:r>
      <w:r w:rsidR="007D17C2" w:rsidRPr="00260790">
        <w:rPr>
          <w:rFonts w:ascii="Times New Roman" w:eastAsia="Times New Roman" w:hAnsi="Times New Roman"/>
          <w:color w:val="000000" w:themeColor="text1"/>
          <w:lang w:eastAsia="fr-FR"/>
        </w:rPr>
        <w:t>)</w:t>
      </w:r>
      <w:r w:rsidRPr="00260790">
        <w:rPr>
          <w:rFonts w:ascii="Times New Roman" w:eastAsia="Times New Roman" w:hAnsi="Times New Roman"/>
          <w:color w:val="000000" w:themeColor="text1"/>
          <w:lang w:eastAsia="fr-FR"/>
        </w:rPr>
        <w:t xml:space="preserve">. </w:t>
      </w:r>
      <w:r w:rsidRPr="00260790">
        <w:rPr>
          <w:rFonts w:ascii="Times New Roman" w:hAnsi="Times New Roman"/>
          <w:color w:val="000000" w:themeColor="text1"/>
        </w:rPr>
        <w:t xml:space="preserve">L’ADM dispose d’une Cellule d’évaluation environnementale et sociale et d’une équipe d’experts environnementaux et sociaux. </w:t>
      </w:r>
      <w:r w:rsidRPr="00260790">
        <w:rPr>
          <w:rFonts w:ascii="Times New Roman" w:eastAsia="Times New Roman" w:hAnsi="Times New Roman"/>
          <w:color w:val="000000" w:themeColor="text1"/>
          <w:lang w:eastAsia="fr-FR"/>
        </w:rPr>
        <w:t xml:space="preserve">Elle a une grande expérience dans la mise en œuvre de projets </w:t>
      </w:r>
      <w:r w:rsidRPr="00260790">
        <w:rPr>
          <w:rFonts w:ascii="Times New Roman" w:eastAsia="Times New Roman" w:hAnsi="Times New Roman"/>
          <w:color w:val="000000" w:themeColor="text1"/>
          <w:lang w:eastAsia="fr-FR"/>
        </w:rPr>
        <w:lastRenderedPageBreak/>
        <w:t xml:space="preserve">financés de la Banque mondiale, ainsi que des procédures de sauvegardes et de la réglementation environnementale et sociale. </w:t>
      </w:r>
    </w:p>
    <w:p w14:paraId="6AF490AA" w14:textId="77777777" w:rsidR="005F3FB7" w:rsidRPr="00260790" w:rsidRDefault="005F3FB7" w:rsidP="00E20250">
      <w:pPr>
        <w:tabs>
          <w:tab w:val="num" w:pos="0"/>
        </w:tabs>
        <w:spacing w:line="240" w:lineRule="auto"/>
        <w:jc w:val="both"/>
        <w:rPr>
          <w:rFonts w:ascii="Times New Roman" w:eastAsia="Times New Roman" w:hAnsi="Times New Roman"/>
          <w:bCs/>
          <w:iCs/>
          <w:color w:val="000000" w:themeColor="text1"/>
          <w:lang w:eastAsia="fr-FR"/>
        </w:rPr>
      </w:pPr>
      <w:r w:rsidRPr="00260790">
        <w:rPr>
          <w:rFonts w:ascii="Times New Roman" w:eastAsia="Times New Roman" w:hAnsi="Times New Roman"/>
          <w:b/>
          <w:i/>
          <w:color w:val="000000" w:themeColor="text1"/>
          <w:lang w:eastAsia="fr-FR"/>
        </w:rPr>
        <w:t>Direction de la Surveillance et du Contrôle de l’Occupation des Sols (DSCOS)</w:t>
      </w:r>
      <w:r w:rsidRPr="00260790">
        <w:rPr>
          <w:rFonts w:ascii="Times New Roman" w:eastAsia="Times New Roman" w:hAnsi="Times New Roman"/>
          <w:bCs/>
          <w:iCs/>
          <w:color w:val="000000" w:themeColor="text1"/>
          <w:lang w:eastAsia="fr-FR"/>
        </w:rPr>
        <w:t> : placée sous la tutelle du ministère des Forces Armées, a pour mission générale, la prévention et la lutte contre les occupations, les constructions et les lotissements irréguliers ainsi que la gestion du contentieux y afférent, conformément aux lois et règlements en vigueur. Elle est chargée, entre autres de :</w:t>
      </w:r>
      <w:r w:rsidRPr="00260790">
        <w:rPr>
          <w:rFonts w:ascii="Times New Roman" w:hAnsi="Times New Roman"/>
          <w:color w:val="000000" w:themeColor="text1"/>
        </w:rPr>
        <w:t xml:space="preserve"> </w:t>
      </w:r>
      <w:r w:rsidRPr="00260790">
        <w:rPr>
          <w:rFonts w:ascii="Times New Roman" w:eastAsia="Times New Roman" w:hAnsi="Times New Roman"/>
          <w:bCs/>
          <w:iCs/>
          <w:color w:val="000000" w:themeColor="text1"/>
          <w:lang w:eastAsia="fr-FR"/>
        </w:rPr>
        <w:t>i) - la surveillance du contrôle de l’occupation du domaine nationale, des domaines de l’État (domaine public et privé), et de celui des particuliers ; ii) - l’assistance aux collectivités territoriales et aux autres personnes physiques et morales dans la lutte contre les occupations et constructions irrégulières ; iii) - le contrôle du respect des lois et règlements en matière d’urbanisme et d’occupation des sols ; iv) - la vérification des titres et documents afférents à l’occupation du sol, notamment les dispositions relatives au respect des principes de sécurité, à la conformité des autorisations et des certificats et l’exécution des obligations prévues par le code de l’urbanisme, etc. Dans la cadre de la mise en œuvre du projet, la DSCOS jouera un rôle dans la libération des emprises, la surveillance et l’occupation irrégulière des espaces libérés.</w:t>
      </w:r>
    </w:p>
    <w:p w14:paraId="23D8F253" w14:textId="77777777" w:rsidR="005F3FB7" w:rsidRPr="00260790" w:rsidRDefault="005F3FB7" w:rsidP="00E20250">
      <w:pPr>
        <w:tabs>
          <w:tab w:val="num" w:pos="0"/>
        </w:tabs>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La Direction Générale du Travail et de la Sécurité sociale</w:t>
      </w:r>
      <w:r w:rsidRPr="00260790">
        <w:rPr>
          <w:rFonts w:ascii="Times New Roman" w:eastAsia="Times New Roman" w:hAnsi="Times New Roman"/>
          <w:color w:val="000000" w:themeColor="text1"/>
          <w:lang w:eastAsia="fr-FR"/>
        </w:rPr>
        <w:t xml:space="preserve"> : Elle a pour mission, entre autres, de veiller sur la protection particulière des travailleurs employés par des entreprises de travail temporaire et les obligations auxquelles sont assujetties ces entreprises dans l’intérêt du travailleur, dans les chantiers temporaires ou mobiles où s’effectuent des travaux du bâtiment ou de génie civil qui constituent les lieux de travail sur lesquels on enregistre le plus grand nombre d’accidents du travail. </w:t>
      </w:r>
    </w:p>
    <w:p w14:paraId="54D51C3D" w14:textId="77777777" w:rsidR="005F3FB7" w:rsidRPr="00260790" w:rsidRDefault="005F3FB7" w:rsidP="00E20250">
      <w:pPr>
        <w:tabs>
          <w:tab w:val="num" w:pos="0"/>
        </w:tabs>
        <w:spacing w:line="240" w:lineRule="auto"/>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 xml:space="preserve">Dans le cadre du projet, cette direction intervient à travers </w:t>
      </w:r>
      <w:r w:rsidRPr="00260790">
        <w:rPr>
          <w:rFonts w:ascii="Times New Roman" w:eastAsia="Times New Roman" w:hAnsi="Times New Roman"/>
          <w:bCs/>
          <w:i/>
          <w:color w:val="000000" w:themeColor="text1"/>
          <w:lang w:eastAsia="fr-FR"/>
        </w:rPr>
        <w:t>les Inspections Régionales du Travail et de la sécurité sociale</w:t>
      </w:r>
      <w:r w:rsidRPr="00260790">
        <w:rPr>
          <w:rFonts w:ascii="Times New Roman" w:eastAsia="Times New Roman" w:hAnsi="Times New Roman"/>
          <w:bCs/>
          <w:color w:val="000000" w:themeColor="text1"/>
          <w:lang w:eastAsia="fr-FR"/>
        </w:rPr>
        <w:t>, dans la vérification de conformité du travail dans les chantiers (horaire de travail, salaire de base, âge, etc.).</w:t>
      </w:r>
    </w:p>
    <w:p w14:paraId="0BEDC5F8" w14:textId="0339F88B" w:rsidR="005F3FB7" w:rsidRPr="00260790" w:rsidRDefault="005F3FB7" w:rsidP="00E20250">
      <w:pPr>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 xml:space="preserve">Le Comité </w:t>
      </w:r>
      <w:r w:rsidR="00656FE3" w:rsidRPr="00260790">
        <w:rPr>
          <w:rFonts w:ascii="Times New Roman" w:eastAsia="Times New Roman" w:hAnsi="Times New Roman"/>
          <w:b/>
          <w:i/>
          <w:color w:val="000000" w:themeColor="text1"/>
          <w:lang w:eastAsia="fr-FR"/>
        </w:rPr>
        <w:t>T</w:t>
      </w:r>
      <w:r w:rsidRPr="00260790">
        <w:rPr>
          <w:rFonts w:ascii="Times New Roman" w:eastAsia="Times New Roman" w:hAnsi="Times New Roman"/>
          <w:b/>
          <w:i/>
          <w:color w:val="000000" w:themeColor="text1"/>
          <w:lang w:eastAsia="fr-FR"/>
        </w:rPr>
        <w:t xml:space="preserve">echnique </w:t>
      </w:r>
      <w:r w:rsidR="00656FE3" w:rsidRPr="00260790">
        <w:rPr>
          <w:rFonts w:ascii="Times New Roman" w:eastAsia="Times New Roman" w:hAnsi="Times New Roman"/>
          <w:b/>
          <w:i/>
          <w:color w:val="000000" w:themeColor="text1"/>
          <w:lang w:eastAsia="fr-FR"/>
        </w:rPr>
        <w:t>n</w:t>
      </w:r>
      <w:r w:rsidRPr="00260790">
        <w:rPr>
          <w:rFonts w:ascii="Times New Roman" w:eastAsia="Times New Roman" w:hAnsi="Times New Roman"/>
          <w:b/>
          <w:i/>
          <w:color w:val="000000" w:themeColor="text1"/>
          <w:lang w:eastAsia="fr-FR"/>
        </w:rPr>
        <w:t>ational (CT)</w:t>
      </w:r>
      <w:r w:rsidRPr="00260790">
        <w:rPr>
          <w:rFonts w:ascii="Times New Roman" w:eastAsia="Times New Roman" w:hAnsi="Times New Roman"/>
          <w:color w:val="000000" w:themeColor="text1"/>
          <w:lang w:eastAsia="fr-FR"/>
        </w:rPr>
        <w:t xml:space="preserve"> est institué par arrêté ministériel n°009469 du 28 novembre 2001 et appuie le ME</w:t>
      </w:r>
      <w:r w:rsidR="00B05535" w:rsidRPr="00260790">
        <w:rPr>
          <w:rFonts w:ascii="Times New Roman" w:eastAsia="Times New Roman" w:hAnsi="Times New Roman"/>
          <w:color w:val="000000" w:themeColor="text1"/>
          <w:lang w:eastAsia="fr-FR"/>
        </w:rPr>
        <w:t>TE</w:t>
      </w:r>
      <w:r w:rsidRPr="00260790">
        <w:rPr>
          <w:rFonts w:ascii="Times New Roman" w:eastAsia="Times New Roman" w:hAnsi="Times New Roman"/>
          <w:color w:val="000000" w:themeColor="text1"/>
          <w:lang w:eastAsia="fr-FR"/>
        </w:rPr>
        <w:t xml:space="preserve"> dans la validation des rapports d’étude d’impact. Le CT comprend des représentants des ministères sectoriels, des Collectivités territoriales des Organisations socioprofessionnelles. Son secrétariat est assuré par la D</w:t>
      </w:r>
      <w:r w:rsidR="00B05535" w:rsidRPr="00260790">
        <w:rPr>
          <w:rFonts w:ascii="Times New Roman" w:eastAsia="Times New Roman" w:hAnsi="Times New Roman"/>
          <w:color w:val="000000" w:themeColor="text1"/>
          <w:lang w:eastAsia="fr-FR"/>
        </w:rPr>
        <w:t>IR</w:t>
      </w:r>
      <w:r w:rsidRPr="00260790">
        <w:rPr>
          <w:rFonts w:ascii="Times New Roman" w:eastAsia="Times New Roman" w:hAnsi="Times New Roman"/>
          <w:color w:val="000000" w:themeColor="text1"/>
          <w:lang w:eastAsia="fr-FR"/>
        </w:rPr>
        <w:t xml:space="preserve">EC (validation des Rapports d’EIES, participation aux audiences, etc.). </w:t>
      </w:r>
    </w:p>
    <w:p w14:paraId="3BD05F49" w14:textId="39449761" w:rsidR="005F3FB7" w:rsidRPr="00260790" w:rsidRDefault="005F3FB7" w:rsidP="00E20250">
      <w:pPr>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La Direction de la Protection Civile (DPC)</w:t>
      </w:r>
      <w:r w:rsidRPr="00260790">
        <w:rPr>
          <w:rFonts w:ascii="Times New Roman" w:eastAsia="Times New Roman" w:hAnsi="Times New Roman"/>
          <w:color w:val="000000" w:themeColor="text1"/>
          <w:lang w:eastAsia="fr-FR"/>
        </w:rPr>
        <w:t> : La DPC assure la coordination et la gestion des actions en matière de risques et catastrophes ainsi que le suivi de la prévention et de la gestion des risques et catastrophes. La DPC dispose d’une expertise avérée en matière de sécurité, de gestion des risques et des catastrophes.</w:t>
      </w:r>
    </w:p>
    <w:p w14:paraId="26EEC5D0" w14:textId="1B847DDF" w:rsidR="005F3FB7" w:rsidRPr="00260790" w:rsidRDefault="005F3FB7" w:rsidP="00E20250">
      <w:pPr>
        <w:tabs>
          <w:tab w:val="num" w:pos="0"/>
        </w:tabs>
        <w:spacing w:line="240" w:lineRule="auto"/>
        <w:jc w:val="both"/>
        <w:rPr>
          <w:rFonts w:ascii="Times New Roman" w:eastAsia="Times New Roman" w:hAnsi="Times New Roman"/>
          <w:bCs/>
          <w:color w:val="000000" w:themeColor="text1"/>
          <w:lang w:eastAsia="fr-FR"/>
        </w:rPr>
      </w:pPr>
      <w:r w:rsidRPr="00260790">
        <w:rPr>
          <w:rFonts w:ascii="Times New Roman" w:eastAsia="Times New Roman" w:hAnsi="Times New Roman"/>
          <w:b/>
          <w:i/>
          <w:color w:val="000000" w:themeColor="text1"/>
          <w:lang w:eastAsia="fr-FR"/>
        </w:rPr>
        <w:t>La Direction Nationale de l’Hygiène</w:t>
      </w:r>
      <w:r w:rsidR="00656FE3" w:rsidRPr="00260790">
        <w:rPr>
          <w:rFonts w:ascii="Times New Roman" w:eastAsia="Times New Roman" w:hAnsi="Times New Roman"/>
          <w:b/>
          <w:i/>
          <w:color w:val="000000" w:themeColor="text1"/>
          <w:lang w:eastAsia="fr-FR"/>
        </w:rPr>
        <w:t xml:space="preserve"> (DNH)</w:t>
      </w:r>
      <w:r w:rsidRPr="00260790">
        <w:rPr>
          <w:rFonts w:ascii="Times New Roman" w:eastAsia="Times New Roman" w:hAnsi="Times New Roman"/>
          <w:color w:val="000000" w:themeColor="text1"/>
          <w:lang w:eastAsia="fr-FR"/>
        </w:rPr>
        <w:t xml:space="preserve"> : Cette direction est responsable du suivi de la mise en œuvre de la politique d’hygiène et de salubrité. Elle dispose de services déconcentrés et d’agents assermentés pour le contrôle de l’effectivité de l’application des dispositions du code de l’hygiène. </w:t>
      </w:r>
      <w:r w:rsidRPr="00260790">
        <w:rPr>
          <w:rFonts w:ascii="Times New Roman" w:eastAsia="Times New Roman" w:hAnsi="Times New Roman"/>
          <w:bCs/>
          <w:color w:val="000000" w:themeColor="text1"/>
          <w:lang w:eastAsia="fr-FR"/>
        </w:rPr>
        <w:t>Elle jouera un rôle de contrôle des nuisances sanitaires au niveau des communes.</w:t>
      </w:r>
    </w:p>
    <w:p w14:paraId="550FB29E" w14:textId="1F5EA053" w:rsidR="005F3FB7" w:rsidRPr="00260790" w:rsidRDefault="005F3FB7" w:rsidP="00E20250">
      <w:pPr>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La Direction Générale de l’Urbanisme et de l’Architecture</w:t>
      </w:r>
      <w:r w:rsidR="00656FE3" w:rsidRPr="00260790">
        <w:rPr>
          <w:rFonts w:ascii="Times New Roman" w:eastAsia="Times New Roman" w:hAnsi="Times New Roman"/>
          <w:b/>
          <w:i/>
          <w:color w:val="000000" w:themeColor="text1"/>
          <w:lang w:eastAsia="fr-FR"/>
        </w:rPr>
        <w:t xml:space="preserve"> (DGUA)</w:t>
      </w:r>
      <w:r w:rsidRPr="00260790">
        <w:rPr>
          <w:rFonts w:ascii="Times New Roman" w:eastAsia="Times New Roman" w:hAnsi="Times New Roman"/>
          <w:color w:val="000000" w:themeColor="text1"/>
          <w:lang w:eastAsia="fr-FR"/>
        </w:rPr>
        <w:t> : Elle a pour mission ; entre autres: l'élaboration et le suivi de l'application des lois et règlements en matière d'urbanisme et d'architecture; l'élaboration et la mise en place d'outils de gestion urbaine ; la mise en œuvre et le suivi de la politique de restructuration et de régularisation foncière</w:t>
      </w:r>
      <w:r w:rsidR="00656FE3" w:rsidRPr="00260790">
        <w:rPr>
          <w:rFonts w:ascii="Times New Roman" w:eastAsia="Times New Roman" w:hAnsi="Times New Roman"/>
          <w:color w:val="000000" w:themeColor="text1"/>
          <w:lang w:eastAsia="fr-FR"/>
        </w:rPr>
        <w:t xml:space="preserve"> </w:t>
      </w:r>
      <w:r w:rsidRPr="00260790">
        <w:rPr>
          <w:rFonts w:ascii="Times New Roman" w:eastAsia="Times New Roman" w:hAnsi="Times New Roman"/>
          <w:color w:val="000000" w:themeColor="text1"/>
          <w:lang w:eastAsia="fr-FR"/>
        </w:rPr>
        <w:t>; l'appui à l'harmonisation des programmes de développement urbain initiés par les collectivités territoriales; l'assistance aux collectivités territoriales dans l'élaboration de leurs documents de planification urbaine et de programmation de la gestion du développement urbain ; le suivi, la coordination, et, au besoin, la gestion des programmes d'aménagement, etc.</w:t>
      </w:r>
    </w:p>
    <w:p w14:paraId="6F231786" w14:textId="64D94EF3" w:rsidR="005F3FB7" w:rsidRPr="00260790" w:rsidRDefault="005F3FB7" w:rsidP="00E20250">
      <w:pPr>
        <w:tabs>
          <w:tab w:val="num" w:pos="0"/>
        </w:tabs>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La Direction de la Pêche Maritime</w:t>
      </w:r>
      <w:r w:rsidR="00D07E3F" w:rsidRPr="00260790">
        <w:rPr>
          <w:rFonts w:ascii="Times New Roman" w:eastAsia="Times New Roman" w:hAnsi="Times New Roman"/>
          <w:b/>
          <w:i/>
          <w:color w:val="000000" w:themeColor="text1"/>
          <w:lang w:eastAsia="fr-FR"/>
        </w:rPr>
        <w:t xml:space="preserve"> (DPM)</w:t>
      </w:r>
      <w:r w:rsidRPr="00260790">
        <w:rPr>
          <w:rFonts w:ascii="Times New Roman" w:eastAsia="Times New Roman" w:hAnsi="Times New Roman"/>
          <w:b/>
          <w:i/>
          <w:color w:val="000000" w:themeColor="text1"/>
          <w:lang w:eastAsia="fr-FR"/>
        </w:rPr>
        <w:t> </w:t>
      </w:r>
      <w:r w:rsidRPr="00260790">
        <w:rPr>
          <w:rFonts w:ascii="Times New Roman" w:eastAsia="Times New Roman" w:hAnsi="Times New Roman"/>
          <w:color w:val="000000" w:themeColor="text1"/>
          <w:lang w:eastAsia="fr-FR"/>
        </w:rPr>
        <w:t>:</w:t>
      </w:r>
      <w:r w:rsidRPr="00260790">
        <w:rPr>
          <w:rFonts w:ascii="Times New Roman" w:eastAsia="Times New Roman" w:hAnsi="Times New Roman"/>
          <w:b/>
          <w:i/>
          <w:color w:val="000000" w:themeColor="text1"/>
          <w:lang w:eastAsia="fr-FR"/>
        </w:rPr>
        <w:t xml:space="preserve"> </w:t>
      </w:r>
      <w:r w:rsidRPr="00260790">
        <w:rPr>
          <w:rFonts w:ascii="Times New Roman" w:eastAsia="Times New Roman" w:hAnsi="Times New Roman"/>
          <w:color w:val="000000" w:themeColor="text1"/>
          <w:lang w:eastAsia="fr-FR"/>
        </w:rPr>
        <w:t>Cette Direction a pour mission d’assurer la mise en œuvre de la politique de l’État en matière de pêche maritime artisanale et industrielle. À ce titre, elle est chargée notamment de : l’élaboration et de la mise en œuvre des plans d’aménagement des pêcheries maritimes, en relation avec les structures publiques et les organisations professionnelles privées concernées ; assurer la gestion des pêcheries maritimes exploitées conformément aux plans d’aménagement ; promouvoir la coopération en matière de pêche,  etc.</w:t>
      </w:r>
      <w:r w:rsidR="00185803" w:rsidRPr="00260790">
        <w:rPr>
          <w:rFonts w:ascii="Times New Roman" w:eastAsia="Times New Roman" w:hAnsi="Times New Roman"/>
          <w:color w:val="000000" w:themeColor="text1"/>
          <w:lang w:eastAsia="fr-FR"/>
        </w:rPr>
        <w:t>,</w:t>
      </w:r>
      <w:r w:rsidRPr="00260790">
        <w:rPr>
          <w:rFonts w:ascii="Times New Roman" w:eastAsia="Times New Roman" w:hAnsi="Times New Roman"/>
          <w:color w:val="000000" w:themeColor="text1"/>
          <w:lang w:eastAsia="fr-FR"/>
        </w:rPr>
        <w:t xml:space="preserve"> avec le </w:t>
      </w:r>
      <w:r w:rsidR="00192FF7" w:rsidRPr="00260790">
        <w:rPr>
          <w:rFonts w:ascii="Times New Roman" w:eastAsia="Times New Roman" w:hAnsi="Times New Roman"/>
          <w:color w:val="000000" w:themeColor="text1"/>
          <w:lang w:eastAsia="fr-FR"/>
        </w:rPr>
        <w:t>marigot de Mbao</w:t>
      </w:r>
      <w:r w:rsidRPr="00260790">
        <w:rPr>
          <w:rFonts w:ascii="Times New Roman" w:eastAsia="Times New Roman" w:hAnsi="Times New Roman"/>
          <w:color w:val="000000" w:themeColor="text1"/>
          <w:lang w:eastAsia="fr-FR"/>
        </w:rPr>
        <w:t xml:space="preserve"> comme exutoire et le rejet en mer, le projet veillera au suivi de du niveau de pollution en collaboration avec cette institution.</w:t>
      </w:r>
    </w:p>
    <w:p w14:paraId="55F0ABDD" w14:textId="370AB823" w:rsidR="005F3FB7" w:rsidRPr="00260790" w:rsidRDefault="005F3FB7" w:rsidP="00E20250">
      <w:pPr>
        <w:tabs>
          <w:tab w:val="num" w:pos="0"/>
        </w:tabs>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lastRenderedPageBreak/>
        <w:t xml:space="preserve">L’Office National de l’Assainissement du Sénégal (ONAS) : </w:t>
      </w:r>
      <w:r w:rsidRPr="00260790">
        <w:rPr>
          <w:rFonts w:ascii="Times New Roman" w:eastAsia="Times New Roman" w:hAnsi="Times New Roman"/>
          <w:color w:val="000000" w:themeColor="text1"/>
          <w:lang w:eastAsia="fr-FR"/>
        </w:rPr>
        <w:t>L’ONAS assure en zone urbaine et périurbaine la collecte, le traitement, la valorisation et l’évacuation des eaux usées et dans une certaine mesure la gestion des eaux pluviales pour le compte des collectivités territoriales. Elle est chargée de la planification et de la programmation des investissements, la maîtrise d’ouvrage et la maîtrise d’œuvre, la conception et l’exploitation et le contrôle des études et des travaux ; l’exploitation et la maintenance des installations d’assainissement ; le développement de l’assainissement autonome et ; la valorisation des sous-produits des stations d’épuration. Cette direction jouera un rôle important dans l’entretien et la maintenance des ouvrages et l’accompagnement dans la formation et la sensibilisation des populations en phase d’exploitation.</w:t>
      </w:r>
    </w:p>
    <w:p w14:paraId="5B219FB5" w14:textId="77777777" w:rsidR="00A464EC" w:rsidRPr="00260790" w:rsidRDefault="005F3FB7" w:rsidP="00E20250">
      <w:pPr>
        <w:tabs>
          <w:tab w:val="num" w:pos="0"/>
        </w:tabs>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Le Comité Régional de Suivi Environnemental et social (CRSE</w:t>
      </w:r>
      <w:r w:rsidRPr="00260790">
        <w:rPr>
          <w:rFonts w:ascii="Times New Roman" w:eastAsia="Times New Roman" w:hAnsi="Times New Roman"/>
          <w:color w:val="000000" w:themeColor="text1"/>
          <w:lang w:eastAsia="fr-FR"/>
        </w:rPr>
        <w:t xml:space="preserve">) : Mise en place par arrêté du Gouverneur, le CRSE a pour mission d’appuyer l’évaluation environnementale et sociale des projets de développement local ; de faire la revue des études éventuelles ; de suivre l’application des mesures d’atténuation/d’accompagnement ; de suivre la mise en œuvre des éventuels plans de gestion et de suivi des projets ; de contribuer au renforcement des capacités des acteurs locaux. </w:t>
      </w:r>
    </w:p>
    <w:p w14:paraId="0BEC4B3D" w14:textId="65C49A7C" w:rsidR="005F3FB7" w:rsidRPr="00260790" w:rsidRDefault="005F3FB7" w:rsidP="00E20250">
      <w:pPr>
        <w:tabs>
          <w:tab w:val="num" w:pos="0"/>
        </w:tabs>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Il est constitué des principaux services techniques impliqués dans la gestion environnementale et sociale des projets</w:t>
      </w:r>
      <w:r w:rsidR="00716761">
        <w:rPr>
          <w:rFonts w:ascii="Times New Roman" w:eastAsia="Times New Roman" w:hAnsi="Times New Roman"/>
          <w:color w:val="000000" w:themeColor="text1"/>
          <w:lang w:eastAsia="fr-FR"/>
        </w:rPr>
        <w:t xml:space="preserve"> comme ARD</w:t>
      </w:r>
      <w:r w:rsidRPr="00260790">
        <w:rPr>
          <w:rFonts w:ascii="Times New Roman" w:eastAsia="Times New Roman" w:hAnsi="Times New Roman"/>
          <w:color w:val="000000" w:themeColor="text1"/>
          <w:lang w:eastAsia="fr-FR"/>
        </w:rPr>
        <w:t xml:space="preserve"> et peut s’adjoindre toute compétence jugée utile pour sa mission. Le CRSE ne dispose pas de moyens opérationnels pour mener leurs missions de suivi régional. Dans le cadre de ce projet, le CRSE devra être renforcé (formation, appui logistique et moyens de suivi) pour leur permettre de mieux suivre les mesures environnementale</w:t>
      </w:r>
      <w:r w:rsidR="00185803" w:rsidRPr="00260790">
        <w:rPr>
          <w:rFonts w:ascii="Times New Roman" w:eastAsia="Times New Roman" w:hAnsi="Times New Roman"/>
          <w:color w:val="000000" w:themeColor="text1"/>
          <w:lang w:eastAsia="fr-FR"/>
        </w:rPr>
        <w:t>s</w:t>
      </w:r>
      <w:r w:rsidRPr="00260790">
        <w:rPr>
          <w:rFonts w:ascii="Times New Roman" w:eastAsia="Times New Roman" w:hAnsi="Times New Roman"/>
          <w:color w:val="000000" w:themeColor="text1"/>
          <w:lang w:eastAsia="fr-FR"/>
        </w:rPr>
        <w:t xml:space="preserve"> et sociales du PGES.</w:t>
      </w:r>
    </w:p>
    <w:p w14:paraId="65AB5A42" w14:textId="2C592858" w:rsidR="005F3FB7" w:rsidRPr="00260790" w:rsidRDefault="005F3FB7" w:rsidP="00E20250">
      <w:pPr>
        <w:tabs>
          <w:tab w:val="num" w:pos="0"/>
        </w:tabs>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 xml:space="preserve">Les Communes de </w:t>
      </w:r>
      <w:r w:rsidR="00B05535" w:rsidRPr="00260790">
        <w:rPr>
          <w:rFonts w:ascii="Times New Roman" w:eastAsia="Times New Roman" w:hAnsi="Times New Roman"/>
          <w:b/>
          <w:i/>
          <w:color w:val="000000" w:themeColor="text1"/>
          <w:lang w:eastAsia="fr-FR"/>
        </w:rPr>
        <w:t xml:space="preserve">Mbao, Rufisque Ouest, </w:t>
      </w:r>
      <w:proofErr w:type="spellStart"/>
      <w:r w:rsidR="00B05535" w:rsidRPr="00260790">
        <w:rPr>
          <w:rFonts w:ascii="Times New Roman" w:eastAsia="Times New Roman" w:hAnsi="Times New Roman"/>
          <w:b/>
          <w:i/>
          <w:color w:val="000000" w:themeColor="text1"/>
          <w:lang w:eastAsia="fr-FR"/>
        </w:rPr>
        <w:t>Jaxaay</w:t>
      </w:r>
      <w:proofErr w:type="spellEnd"/>
      <w:r w:rsidR="00B05535" w:rsidRPr="00260790">
        <w:rPr>
          <w:rFonts w:ascii="Times New Roman" w:eastAsia="Times New Roman" w:hAnsi="Times New Roman"/>
          <w:b/>
          <w:i/>
          <w:color w:val="000000" w:themeColor="text1"/>
          <w:lang w:eastAsia="fr-FR"/>
        </w:rPr>
        <w:t>-Parcelles et Keur Massar Sud</w:t>
      </w:r>
      <w:r w:rsidR="00A8571F" w:rsidRPr="00260790">
        <w:rPr>
          <w:rFonts w:ascii="Times New Roman" w:eastAsia="Times New Roman" w:hAnsi="Times New Roman"/>
          <w:b/>
          <w:i/>
          <w:color w:val="000000" w:themeColor="text1"/>
          <w:lang w:eastAsia="fr-FR"/>
        </w:rPr>
        <w:t xml:space="preserve"> </w:t>
      </w:r>
      <w:r w:rsidRPr="00260790">
        <w:rPr>
          <w:rFonts w:ascii="Times New Roman" w:eastAsia="Times New Roman" w:hAnsi="Times New Roman"/>
          <w:color w:val="000000" w:themeColor="text1"/>
          <w:lang w:eastAsia="fr-FR"/>
        </w:rPr>
        <w:t>: Les collectivités territoriales veillent à la protection et à la gestion des ressources naturelles et de l’environnement sur son territoire. Elles mettent en place une Commission Environnement et Gestion des Ressources Naturelles chargée de la prise en charge de l’environnement dans la préparation, la mise en œuvre et le suivi des projets de</w:t>
      </w:r>
      <w:bookmarkStart w:id="272" w:name="page36"/>
      <w:bookmarkEnd w:id="272"/>
      <w:r w:rsidRPr="00260790">
        <w:rPr>
          <w:rFonts w:ascii="Times New Roman" w:eastAsia="Times New Roman" w:hAnsi="Times New Roman"/>
          <w:color w:val="000000" w:themeColor="text1"/>
          <w:lang w:eastAsia="fr-FR"/>
        </w:rPr>
        <w:t xml:space="preserve"> développement local, mais aussi de la sensibilisation et la mobilisation des populations sur les questions environnementales et sociales. Ces communes participeront à la l’information et à la sensibilisation des populations pendant la préparation et la mise en œuvre, et au suivi du projet. Elles assureront également la première instance du mécanisme de gestion des plaintes (MGP) mis en place dans le cadre du projet.</w:t>
      </w:r>
    </w:p>
    <w:p w14:paraId="4DD19297" w14:textId="77777777" w:rsidR="005F3FB7" w:rsidRPr="00260790" w:rsidRDefault="005F3FB7" w:rsidP="00E20250">
      <w:pPr>
        <w:tabs>
          <w:tab w:val="num" w:pos="0"/>
        </w:tabs>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 xml:space="preserve">Les Acteurs Non Gouvernementaux (ANG) : </w:t>
      </w:r>
      <w:r w:rsidRPr="00260790">
        <w:rPr>
          <w:rFonts w:ascii="Times New Roman" w:eastAsia="Times New Roman" w:hAnsi="Times New Roman"/>
          <w:color w:val="000000" w:themeColor="text1"/>
          <w:lang w:eastAsia="fr-FR"/>
        </w:rPr>
        <w:t>La mise en œuvre du projet se fera avec les organisations communautaires de base et la société civile présentes dans les différentes communes concernées. Ces acteurs de proximité constituent des facilitateurs qui peuvent jouer un rôle important dans les activités de sensibilisation (information, éducation et communication pour un changement de comportement).</w:t>
      </w:r>
    </w:p>
    <w:p w14:paraId="7BF177A7" w14:textId="77777777" w:rsidR="005F3FB7" w:rsidRPr="00260790" w:rsidRDefault="005F3FB7" w:rsidP="00E20250">
      <w:pPr>
        <w:spacing w:after="0" w:line="240" w:lineRule="auto"/>
        <w:ind w:right="-283"/>
        <w:jc w:val="both"/>
        <w:rPr>
          <w:rFonts w:ascii="Times New Roman" w:eastAsia="Times New Roman" w:hAnsi="Times New Roman"/>
          <w:b/>
          <w:color w:val="000000" w:themeColor="text1"/>
          <w:lang w:eastAsia="fr-FR"/>
        </w:rPr>
      </w:pPr>
    </w:p>
    <w:p w14:paraId="798848D6" w14:textId="77777777" w:rsidR="005F3FB7" w:rsidRPr="00260790" w:rsidRDefault="005F3FB7" w:rsidP="00E20250">
      <w:pPr>
        <w:pStyle w:val="Titre1"/>
        <w:rPr>
          <w:rFonts w:ascii="Times New Roman" w:hAnsi="Times New Roman"/>
        </w:rPr>
      </w:pPr>
      <w:r w:rsidRPr="00260790">
        <w:rPr>
          <w:rFonts w:ascii="Times New Roman" w:hAnsi="Times New Roman"/>
          <w:color w:val="000000" w:themeColor="text1"/>
          <w:sz w:val="22"/>
          <w:szCs w:val="22"/>
        </w:rPr>
        <w:br w:type="page"/>
      </w:r>
      <w:bookmarkStart w:id="273" w:name="_Toc212725102"/>
      <w:bookmarkStart w:id="274" w:name="_TOC_250003"/>
      <w:bookmarkStart w:id="275" w:name="_Toc66567781"/>
      <w:r w:rsidRPr="00260790">
        <w:rPr>
          <w:rFonts w:ascii="Times New Roman" w:hAnsi="Times New Roman"/>
        </w:rPr>
        <w:lastRenderedPageBreak/>
        <w:t>CONDITIONS ENVIRONNEMENTALES ET SOCIALES DE BASE</w:t>
      </w:r>
      <w:bookmarkEnd w:id="273"/>
    </w:p>
    <w:p w14:paraId="6A675FDE" w14:textId="79A9643B" w:rsidR="005F3FB7" w:rsidRPr="00260790"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La description de l’état initial de la zone du projet a pour objectif de fournir une connaissance adéquate des composantes des écosystèmes présentes dans la zone et qui risquent d’être </w:t>
      </w:r>
      <w:r w:rsidR="00254BA1" w:rsidRPr="00260790">
        <w:rPr>
          <w:rFonts w:ascii="Times New Roman" w:hAnsi="Times New Roman"/>
          <w:color w:val="000000" w:themeColor="text1"/>
        </w:rPr>
        <w:t>impactés</w:t>
      </w:r>
      <w:r w:rsidRPr="00260790">
        <w:rPr>
          <w:rFonts w:ascii="Times New Roman" w:hAnsi="Times New Roman"/>
          <w:color w:val="000000" w:themeColor="text1"/>
        </w:rPr>
        <w:t xml:space="preserve"> par le</w:t>
      </w:r>
      <w:r w:rsidR="00254BA1" w:rsidRPr="00260790">
        <w:rPr>
          <w:rFonts w:ascii="Times New Roman" w:hAnsi="Times New Roman"/>
          <w:color w:val="000000" w:themeColor="text1"/>
        </w:rPr>
        <w:t>s activités du</w:t>
      </w:r>
      <w:r w:rsidRPr="00260790">
        <w:rPr>
          <w:rFonts w:ascii="Times New Roman" w:hAnsi="Times New Roman"/>
          <w:color w:val="000000" w:themeColor="text1"/>
        </w:rPr>
        <w:t xml:space="preserve"> projet. Cette description se fonde sur les données documentaires, les relevés de terrain et les mesures in situ. La zone d’étude est l’aire géographique potentiellement soumise aux effets temporaires et permanents, directs et indirects des activités du projet, incluant les activités connexes. La description de l’état initial de l’environnement du projet tient compte des aspects suivants :</w:t>
      </w:r>
    </w:p>
    <w:p w14:paraId="1AD5BFC3" w14:textId="77777777" w:rsidR="005F3FB7" w:rsidRPr="00260790" w:rsidRDefault="005F3FB7" w:rsidP="001748C6">
      <w:pPr>
        <w:pStyle w:val="Grillemoyenne1-Accent22"/>
        <w:numPr>
          <w:ilvl w:val="0"/>
          <w:numId w:val="47"/>
        </w:numPr>
        <w:spacing w:after="160"/>
        <w:jc w:val="both"/>
        <w:rPr>
          <w:color w:val="000000" w:themeColor="text1"/>
          <w:sz w:val="22"/>
          <w:szCs w:val="22"/>
        </w:rPr>
      </w:pPr>
      <w:proofErr w:type="gramStart"/>
      <w:r w:rsidRPr="00260790">
        <w:rPr>
          <w:color w:val="000000" w:themeColor="text1"/>
          <w:sz w:val="22"/>
          <w:szCs w:val="22"/>
        </w:rPr>
        <w:t>l’environnement</w:t>
      </w:r>
      <w:proofErr w:type="gramEnd"/>
      <w:r w:rsidRPr="00260790">
        <w:rPr>
          <w:color w:val="000000" w:themeColor="text1"/>
          <w:sz w:val="22"/>
          <w:szCs w:val="22"/>
        </w:rPr>
        <w:t xml:space="preserve"> physique (sol, air et eau) ; </w:t>
      </w:r>
    </w:p>
    <w:p w14:paraId="152A55D6" w14:textId="5035B8BD" w:rsidR="005F3FB7" w:rsidRPr="00260790" w:rsidRDefault="005F3FB7" w:rsidP="001748C6">
      <w:pPr>
        <w:pStyle w:val="Grillemoyenne1-Accent22"/>
        <w:numPr>
          <w:ilvl w:val="0"/>
          <w:numId w:val="47"/>
        </w:numPr>
        <w:spacing w:after="160"/>
        <w:jc w:val="both"/>
        <w:rPr>
          <w:color w:val="000000" w:themeColor="text1"/>
          <w:sz w:val="22"/>
          <w:szCs w:val="22"/>
        </w:rPr>
      </w:pPr>
      <w:proofErr w:type="gramStart"/>
      <w:r w:rsidRPr="00260790">
        <w:rPr>
          <w:color w:val="000000" w:themeColor="text1"/>
          <w:sz w:val="22"/>
          <w:szCs w:val="22"/>
        </w:rPr>
        <w:t>l’environnement</w:t>
      </w:r>
      <w:proofErr w:type="gramEnd"/>
      <w:r w:rsidRPr="00260790">
        <w:rPr>
          <w:color w:val="000000" w:themeColor="text1"/>
          <w:sz w:val="22"/>
          <w:szCs w:val="22"/>
        </w:rPr>
        <w:t xml:space="preserve"> biologique (flore</w:t>
      </w:r>
      <w:r w:rsidR="00254BA1" w:rsidRPr="00260790">
        <w:rPr>
          <w:color w:val="000000" w:themeColor="text1"/>
          <w:sz w:val="22"/>
          <w:szCs w:val="22"/>
        </w:rPr>
        <w:t xml:space="preserve">, </w:t>
      </w:r>
      <w:r w:rsidRPr="00260790">
        <w:rPr>
          <w:color w:val="000000" w:themeColor="text1"/>
          <w:sz w:val="22"/>
          <w:szCs w:val="22"/>
        </w:rPr>
        <w:t>faune</w:t>
      </w:r>
      <w:r w:rsidR="00254BA1" w:rsidRPr="00260790">
        <w:rPr>
          <w:color w:val="000000" w:themeColor="text1"/>
          <w:sz w:val="22"/>
          <w:szCs w:val="22"/>
        </w:rPr>
        <w:t xml:space="preserve"> et son habitat</w:t>
      </w:r>
      <w:r w:rsidRPr="00260790">
        <w:rPr>
          <w:color w:val="000000" w:themeColor="text1"/>
          <w:sz w:val="22"/>
          <w:szCs w:val="22"/>
        </w:rPr>
        <w:t xml:space="preserve">) ; </w:t>
      </w:r>
    </w:p>
    <w:p w14:paraId="6CF89CF5" w14:textId="28FB818B" w:rsidR="005F3FB7" w:rsidRPr="00260790" w:rsidRDefault="005F3FB7" w:rsidP="001748C6">
      <w:pPr>
        <w:pStyle w:val="Grillemoyenne1-Accent22"/>
        <w:numPr>
          <w:ilvl w:val="0"/>
          <w:numId w:val="47"/>
        </w:numPr>
        <w:spacing w:after="160"/>
        <w:jc w:val="both"/>
        <w:rPr>
          <w:color w:val="000000" w:themeColor="text1"/>
          <w:sz w:val="22"/>
          <w:szCs w:val="22"/>
        </w:rPr>
      </w:pPr>
      <w:proofErr w:type="gramStart"/>
      <w:r w:rsidRPr="00260790">
        <w:rPr>
          <w:color w:val="000000" w:themeColor="text1"/>
          <w:sz w:val="22"/>
          <w:szCs w:val="22"/>
        </w:rPr>
        <w:t>l’environnement</w:t>
      </w:r>
      <w:proofErr w:type="gramEnd"/>
      <w:r w:rsidRPr="00260790">
        <w:rPr>
          <w:color w:val="000000" w:themeColor="text1"/>
          <w:sz w:val="22"/>
          <w:szCs w:val="22"/>
        </w:rPr>
        <w:t xml:space="preserve"> </w:t>
      </w:r>
      <w:r w:rsidR="00254BA1" w:rsidRPr="00260790">
        <w:rPr>
          <w:color w:val="000000" w:themeColor="text1"/>
          <w:sz w:val="22"/>
          <w:szCs w:val="22"/>
        </w:rPr>
        <w:t xml:space="preserve">humain, </w:t>
      </w:r>
      <w:r w:rsidRPr="00260790">
        <w:rPr>
          <w:color w:val="000000" w:themeColor="text1"/>
          <w:sz w:val="22"/>
          <w:szCs w:val="22"/>
        </w:rPr>
        <w:t>socio-économique (</w:t>
      </w:r>
      <w:r w:rsidR="00254BA1" w:rsidRPr="00260790">
        <w:rPr>
          <w:color w:val="000000" w:themeColor="text1"/>
          <w:sz w:val="22"/>
          <w:szCs w:val="22"/>
        </w:rPr>
        <w:t>habitat et cadre de vie,</w:t>
      </w:r>
      <w:r w:rsidRPr="00260790">
        <w:rPr>
          <w:color w:val="000000" w:themeColor="text1"/>
          <w:sz w:val="22"/>
          <w:szCs w:val="22"/>
        </w:rPr>
        <w:t xml:space="preserve"> infrastructures</w:t>
      </w:r>
      <w:r w:rsidR="00254BA1" w:rsidRPr="00260790">
        <w:rPr>
          <w:color w:val="000000" w:themeColor="text1"/>
          <w:sz w:val="22"/>
          <w:szCs w:val="22"/>
        </w:rPr>
        <w:t xml:space="preserve"> et services</w:t>
      </w:r>
      <w:r w:rsidRPr="00260790">
        <w:rPr>
          <w:color w:val="000000" w:themeColor="text1"/>
          <w:sz w:val="22"/>
          <w:szCs w:val="22"/>
        </w:rPr>
        <w:t xml:space="preserve">, activités socioéconomiques, </w:t>
      </w:r>
      <w:r w:rsidR="00254BA1" w:rsidRPr="00260790">
        <w:rPr>
          <w:color w:val="000000" w:themeColor="text1"/>
          <w:sz w:val="22"/>
          <w:szCs w:val="22"/>
        </w:rPr>
        <w:t>patrimoine culturel et cultuel</w:t>
      </w:r>
      <w:r w:rsidRPr="00260790">
        <w:rPr>
          <w:color w:val="000000" w:themeColor="text1"/>
          <w:sz w:val="22"/>
          <w:szCs w:val="22"/>
        </w:rPr>
        <w:t>, etc.).</w:t>
      </w:r>
      <w:bookmarkStart w:id="276" w:name="_Toc131591709"/>
      <w:bookmarkStart w:id="277" w:name="_Toc131591969"/>
      <w:bookmarkStart w:id="278" w:name="_Toc68847695"/>
      <w:bookmarkStart w:id="279" w:name="_Toc68848017"/>
      <w:bookmarkStart w:id="280" w:name="_Toc68848678"/>
      <w:bookmarkStart w:id="281" w:name="_Toc68848940"/>
      <w:bookmarkStart w:id="282" w:name="_Toc68849361"/>
      <w:bookmarkStart w:id="283" w:name="_Toc68861255"/>
      <w:bookmarkStart w:id="284" w:name="_Toc68861518"/>
      <w:bookmarkStart w:id="285" w:name="_Toc68948285"/>
      <w:bookmarkStart w:id="286" w:name="_Toc68948698"/>
      <w:bookmarkStart w:id="287" w:name="_Toc68948963"/>
      <w:bookmarkStart w:id="288" w:name="_Toc68949221"/>
      <w:bookmarkStart w:id="289" w:name="_Toc68949646"/>
      <w:bookmarkStart w:id="290" w:name="_Toc68956880"/>
      <w:bookmarkStart w:id="291" w:name="_Toc68957136"/>
      <w:bookmarkStart w:id="292" w:name="_Toc68957392"/>
      <w:bookmarkStart w:id="293" w:name="_Toc68957649"/>
      <w:bookmarkStart w:id="294" w:name="_Toc68957905"/>
      <w:bookmarkStart w:id="295" w:name="_Toc68958160"/>
      <w:bookmarkStart w:id="296" w:name="_Toc68958414"/>
      <w:bookmarkStart w:id="297" w:name="_Toc68958670"/>
      <w:bookmarkStart w:id="298" w:name="_Toc68958926"/>
      <w:bookmarkStart w:id="299" w:name="_Toc69081437"/>
      <w:bookmarkStart w:id="300" w:name="_Toc69083231"/>
      <w:bookmarkStart w:id="301" w:name="_Toc69115543"/>
      <w:bookmarkStart w:id="302" w:name="_Toc77141092"/>
      <w:bookmarkStart w:id="303" w:name="_Toc77142004"/>
      <w:bookmarkStart w:id="304" w:name="_Toc77142403"/>
      <w:bookmarkStart w:id="305" w:name="_Toc77142667"/>
      <w:bookmarkStart w:id="306" w:name="_Toc77142930"/>
      <w:bookmarkStart w:id="307" w:name="_Toc77143267"/>
      <w:bookmarkStart w:id="308" w:name="_Toc93469577"/>
      <w:bookmarkStart w:id="309" w:name="_Toc93623217"/>
      <w:bookmarkStart w:id="310" w:name="_Toc93643593"/>
      <w:bookmarkStart w:id="311" w:name="_Toc93643861"/>
      <w:bookmarkStart w:id="312" w:name="_Toc93644129"/>
      <w:bookmarkStart w:id="313" w:name="_Toc93648781"/>
      <w:bookmarkStart w:id="314" w:name="_Toc94134427"/>
      <w:bookmarkStart w:id="315" w:name="_Toc94175691"/>
      <w:bookmarkStart w:id="316" w:name="_Toc104797315"/>
      <w:bookmarkStart w:id="317" w:name="_Toc105103587"/>
      <w:bookmarkStart w:id="318" w:name="_Toc105105792"/>
      <w:bookmarkStart w:id="319" w:name="_Toc106287122"/>
      <w:bookmarkStart w:id="320" w:name="_Toc106288408"/>
      <w:bookmarkStart w:id="321" w:name="_Toc106289100"/>
      <w:bookmarkStart w:id="322" w:name="_Toc106290104"/>
      <w:bookmarkStart w:id="323" w:name="_Toc106650998"/>
      <w:bookmarkStart w:id="324" w:name="_Toc106651439"/>
      <w:bookmarkStart w:id="325" w:name="_Toc106652370"/>
      <w:bookmarkStart w:id="326" w:name="_Toc106652667"/>
      <w:bookmarkStart w:id="327" w:name="_Toc125627478"/>
      <w:bookmarkStart w:id="328" w:name="_Toc126804403"/>
      <w:bookmarkStart w:id="329" w:name="_Toc127208928"/>
      <w:bookmarkStart w:id="330" w:name="_Toc127273474"/>
      <w:bookmarkStart w:id="331" w:name="_Toc131591710"/>
      <w:bookmarkStart w:id="332" w:name="_Toc131591970"/>
      <w:bookmarkStart w:id="333" w:name="_Toc149831167"/>
      <w:bookmarkStart w:id="334" w:name="_Toc149913779"/>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14:paraId="18AA51D3" w14:textId="2507B907" w:rsidR="005F3FB7" w:rsidRPr="00260790" w:rsidRDefault="00B763AB" w:rsidP="001748C6">
      <w:pPr>
        <w:pStyle w:val="Normaltableau0"/>
        <w:numPr>
          <w:ilvl w:val="1"/>
          <w:numId w:val="139"/>
        </w:numPr>
        <w:outlineLvl w:val="1"/>
        <w:rPr>
          <w:rFonts w:ascii="Times New Roman" w:hAnsi="Times New Roman"/>
          <w:b/>
          <w:bCs/>
          <w:sz w:val="22"/>
          <w:szCs w:val="22"/>
        </w:rPr>
      </w:pPr>
      <w:bookmarkStart w:id="335" w:name="_Toc212725103"/>
      <w:r w:rsidRPr="00260790">
        <w:rPr>
          <w:rFonts w:ascii="Times New Roman" w:hAnsi="Times New Roman"/>
          <w:b/>
          <w:bCs/>
          <w:sz w:val="22"/>
          <w:szCs w:val="22"/>
        </w:rPr>
        <w:t>Délimitation de la zone d’influence du projet</w:t>
      </w:r>
      <w:bookmarkEnd w:id="335"/>
    </w:p>
    <w:p w14:paraId="4DB0B50B" w14:textId="77777777" w:rsidR="004B4568"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La zone d’influence du projet englobe les sites d’implantation des différents</w:t>
      </w:r>
      <w:r w:rsidR="00C420DE" w:rsidRPr="00260790">
        <w:rPr>
          <w:rFonts w:ascii="Times New Roman" w:hAnsi="Times New Roman"/>
          <w:color w:val="000000" w:themeColor="text1"/>
        </w:rPr>
        <w:t xml:space="preserve"> </w:t>
      </w:r>
      <w:r w:rsidRPr="00260790">
        <w:rPr>
          <w:rFonts w:ascii="Times New Roman" w:hAnsi="Times New Roman"/>
          <w:color w:val="000000" w:themeColor="text1"/>
        </w:rPr>
        <w:t>bassins</w:t>
      </w:r>
      <w:r w:rsidR="00254BA1" w:rsidRPr="00260790">
        <w:rPr>
          <w:rFonts w:ascii="Times New Roman" w:hAnsi="Times New Roman"/>
          <w:color w:val="000000" w:themeColor="text1"/>
        </w:rPr>
        <w:t>, les zones traversées par les collecteurs et le marigot de Mbao</w:t>
      </w:r>
      <w:r w:rsidRPr="00260790">
        <w:rPr>
          <w:rFonts w:ascii="Times New Roman" w:hAnsi="Times New Roman"/>
          <w:color w:val="000000" w:themeColor="text1"/>
        </w:rPr>
        <w:t xml:space="preserve">. Au-delà de ces sites, la zone d’influence du projet s’étend à l’aire géographique susceptible d’être soumise à l’influence des impacts directs et indirects, sur le milieu </w:t>
      </w:r>
      <w:r w:rsidR="00254BA1" w:rsidRPr="00260790">
        <w:rPr>
          <w:rFonts w:ascii="Times New Roman" w:hAnsi="Times New Roman"/>
          <w:color w:val="000000" w:themeColor="text1"/>
        </w:rPr>
        <w:t>bio</w:t>
      </w:r>
      <w:r w:rsidRPr="00260790">
        <w:rPr>
          <w:rFonts w:ascii="Times New Roman" w:hAnsi="Times New Roman"/>
          <w:color w:val="000000" w:themeColor="text1"/>
        </w:rPr>
        <w:t>physique</w:t>
      </w:r>
      <w:r w:rsidR="00254BA1" w:rsidRPr="00260790">
        <w:rPr>
          <w:rFonts w:ascii="Times New Roman" w:hAnsi="Times New Roman"/>
          <w:color w:val="000000" w:themeColor="text1"/>
        </w:rPr>
        <w:t xml:space="preserve"> </w:t>
      </w:r>
      <w:r w:rsidRPr="00260790">
        <w:rPr>
          <w:rFonts w:ascii="Times New Roman" w:hAnsi="Times New Roman"/>
          <w:color w:val="000000" w:themeColor="text1"/>
        </w:rPr>
        <w:t>et humain. Elle est ainsi subdivisée en deux (</w:t>
      </w:r>
    </w:p>
    <w:p w14:paraId="5911D801" w14:textId="5C0BD9D5" w:rsidR="005F3FB7"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2) parties : </w:t>
      </w:r>
    </w:p>
    <w:p w14:paraId="1C987BBA" w14:textId="1132E22B" w:rsidR="005F3FB7" w:rsidRPr="00260790" w:rsidRDefault="005F3FB7" w:rsidP="001748C6">
      <w:pPr>
        <w:pStyle w:val="Grillemoyenne1-Accent22"/>
        <w:numPr>
          <w:ilvl w:val="0"/>
          <w:numId w:val="48"/>
        </w:numPr>
        <w:jc w:val="both"/>
        <w:rPr>
          <w:color w:val="000000" w:themeColor="text1"/>
          <w:sz w:val="22"/>
          <w:szCs w:val="22"/>
        </w:rPr>
      </w:pPr>
      <w:proofErr w:type="gramStart"/>
      <w:r w:rsidRPr="00260790">
        <w:rPr>
          <w:color w:val="000000" w:themeColor="text1"/>
          <w:sz w:val="22"/>
          <w:szCs w:val="22"/>
        </w:rPr>
        <w:t>une</w:t>
      </w:r>
      <w:proofErr w:type="gramEnd"/>
      <w:r w:rsidRPr="00260790">
        <w:rPr>
          <w:color w:val="000000" w:themeColor="text1"/>
          <w:sz w:val="22"/>
          <w:szCs w:val="22"/>
        </w:rPr>
        <w:t xml:space="preserve"> Zone d’Influence Directe (ZID)</w:t>
      </w:r>
    </w:p>
    <w:p w14:paraId="30D839A7" w14:textId="1E981A7F" w:rsidR="00E54AE4"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La zone d’influence directe est la zone devant abriter les travaux de préparation, de construction et d’exploitation des ouvrages. Elle correspond à l’emprise des travaux dans laquelle le projet est techniquement réalisable. La ZID englobe d’une part les tracés d’implantation des différents réseaux de drainage des eaux pluviales et de la voirie, les sites d’implantation des bassins</w:t>
      </w:r>
      <w:r w:rsidR="00254BA1" w:rsidRPr="00260790">
        <w:rPr>
          <w:rFonts w:ascii="Times New Roman" w:hAnsi="Times New Roman"/>
          <w:color w:val="000000" w:themeColor="text1"/>
        </w:rPr>
        <w:t>, l’emprise du marigot de Mbao</w:t>
      </w:r>
      <w:r w:rsidRPr="00260790">
        <w:rPr>
          <w:rFonts w:ascii="Times New Roman" w:hAnsi="Times New Roman"/>
          <w:color w:val="000000" w:themeColor="text1"/>
        </w:rPr>
        <w:t xml:space="preserve"> et d’autre part les sites des bases de chantier des entreprises</w:t>
      </w:r>
      <w:r w:rsidR="00E54AE4" w:rsidRPr="00260790">
        <w:rPr>
          <w:rFonts w:ascii="Times New Roman" w:hAnsi="Times New Roman"/>
          <w:color w:val="000000" w:themeColor="text1"/>
        </w:rPr>
        <w:t>.</w:t>
      </w:r>
    </w:p>
    <w:p w14:paraId="6FE6B75E" w14:textId="681B4816" w:rsidR="00E54AE4" w:rsidRPr="00260790" w:rsidRDefault="00E54AE4" w:rsidP="001748C6">
      <w:pPr>
        <w:pStyle w:val="Grillemoyenne1-Accent22"/>
        <w:numPr>
          <w:ilvl w:val="0"/>
          <w:numId w:val="48"/>
        </w:numPr>
        <w:jc w:val="both"/>
        <w:rPr>
          <w:color w:val="000000" w:themeColor="text1"/>
          <w:sz w:val="22"/>
          <w:szCs w:val="22"/>
        </w:rPr>
      </w:pPr>
      <w:proofErr w:type="gramStart"/>
      <w:r w:rsidRPr="00260790">
        <w:rPr>
          <w:color w:val="000000" w:themeColor="text1"/>
          <w:sz w:val="22"/>
          <w:szCs w:val="22"/>
        </w:rPr>
        <w:t>une</w:t>
      </w:r>
      <w:proofErr w:type="gramEnd"/>
      <w:r w:rsidRPr="00260790">
        <w:rPr>
          <w:color w:val="000000" w:themeColor="text1"/>
          <w:sz w:val="22"/>
          <w:szCs w:val="22"/>
        </w:rPr>
        <w:t xml:space="preserve"> Zone d’Influence Indirecte (ZII)</w:t>
      </w:r>
    </w:p>
    <w:p w14:paraId="4F29C3CC" w14:textId="7A807C00" w:rsidR="005F3FB7"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La zone d’influence indirecte couvre toutes les zones qui subissent les effets</w:t>
      </w:r>
      <w:r w:rsidR="007E074B" w:rsidRPr="00260790">
        <w:rPr>
          <w:rFonts w:ascii="Times New Roman" w:hAnsi="Times New Roman"/>
          <w:color w:val="000000" w:themeColor="text1"/>
        </w:rPr>
        <w:t xml:space="preserve"> indirects</w:t>
      </w:r>
      <w:r w:rsidRPr="00260790">
        <w:rPr>
          <w:rFonts w:ascii="Times New Roman" w:hAnsi="Times New Roman"/>
          <w:color w:val="000000" w:themeColor="text1"/>
        </w:rPr>
        <w:t xml:space="preserve"> du projet, au-delà des sites d’installation des différents réseaux et des bassins. La délimitation de cette zone permet de tenir compte des ensembles écologiques d’intérêt, potentiellement présents à proximité des sites.</w:t>
      </w:r>
    </w:p>
    <w:p w14:paraId="7414ABCF" w14:textId="3E13677D" w:rsidR="005F3FB7" w:rsidRPr="00260790" w:rsidRDefault="007E074B" w:rsidP="001748C6">
      <w:pPr>
        <w:pStyle w:val="Normaltableau0"/>
        <w:numPr>
          <w:ilvl w:val="1"/>
          <w:numId w:val="139"/>
        </w:numPr>
        <w:outlineLvl w:val="1"/>
        <w:rPr>
          <w:rFonts w:ascii="Times New Roman" w:hAnsi="Times New Roman"/>
          <w:b/>
          <w:bCs/>
          <w:sz w:val="22"/>
          <w:szCs w:val="22"/>
        </w:rPr>
      </w:pPr>
      <w:bookmarkStart w:id="336" w:name="_Toc212725104"/>
      <w:r w:rsidRPr="00260790">
        <w:rPr>
          <w:rFonts w:ascii="Times New Roman" w:hAnsi="Times New Roman"/>
          <w:b/>
          <w:bCs/>
          <w:sz w:val="22"/>
          <w:szCs w:val="22"/>
        </w:rPr>
        <w:t>Caractérisation de la zone d’Influence Directe (emprises des bassins, des collecteurs</w:t>
      </w:r>
      <w:r w:rsidR="00EB5D3D">
        <w:rPr>
          <w:rFonts w:ascii="Times New Roman" w:hAnsi="Times New Roman"/>
          <w:b/>
          <w:bCs/>
          <w:sz w:val="22"/>
          <w:szCs w:val="22"/>
        </w:rPr>
        <w:t>, statio</w:t>
      </w:r>
      <w:r w:rsidR="00705715">
        <w:rPr>
          <w:rFonts w:ascii="Times New Roman" w:hAnsi="Times New Roman"/>
          <w:b/>
          <w:bCs/>
          <w:sz w:val="22"/>
          <w:szCs w:val="22"/>
        </w:rPr>
        <w:t>n de pompage</w:t>
      </w:r>
      <w:r w:rsidRPr="00260790">
        <w:rPr>
          <w:rFonts w:ascii="Times New Roman" w:hAnsi="Times New Roman"/>
          <w:b/>
          <w:bCs/>
          <w:sz w:val="22"/>
          <w:szCs w:val="22"/>
        </w:rPr>
        <w:t xml:space="preserve"> et du marigot de Mbao)</w:t>
      </w:r>
      <w:bookmarkEnd w:id="336"/>
    </w:p>
    <w:p w14:paraId="76A24116" w14:textId="09B64BF3" w:rsidR="00E54AE4" w:rsidRPr="00260790" w:rsidRDefault="00E54AE4"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Essentiellement située dans la banlieue de Dakar (Communes de </w:t>
      </w:r>
      <w:proofErr w:type="spellStart"/>
      <w:r w:rsidRPr="00260790">
        <w:rPr>
          <w:rFonts w:ascii="Times New Roman" w:hAnsi="Times New Roman"/>
          <w:color w:val="000000" w:themeColor="text1"/>
        </w:rPr>
        <w:t>Jaxaay</w:t>
      </w:r>
      <w:proofErr w:type="spellEnd"/>
      <w:r w:rsidRPr="00260790">
        <w:rPr>
          <w:rFonts w:ascii="Times New Roman" w:hAnsi="Times New Roman"/>
          <w:color w:val="000000" w:themeColor="text1"/>
        </w:rPr>
        <w:t>-Parcelles-</w:t>
      </w:r>
      <w:proofErr w:type="spellStart"/>
      <w:r w:rsidRPr="00260790">
        <w:rPr>
          <w:rFonts w:ascii="Times New Roman" w:hAnsi="Times New Roman"/>
          <w:color w:val="000000" w:themeColor="text1"/>
        </w:rPr>
        <w:t>Niakoulrap</w:t>
      </w:r>
      <w:proofErr w:type="spellEnd"/>
      <w:r w:rsidRPr="00260790">
        <w:rPr>
          <w:rFonts w:ascii="Times New Roman" w:hAnsi="Times New Roman"/>
          <w:color w:val="000000" w:themeColor="text1"/>
        </w:rPr>
        <w:t>, de Rufisque Ouest, de Keur Massar Sud et de Mbao), la zone d’influence directe du projet a connu une forte urbanisation et a connu d’importantes réalisations d’infrastructures urbaines. Les formes d’occupation identifiées dans cette zone d’influence directe sont les suivants :</w:t>
      </w:r>
    </w:p>
    <w:p w14:paraId="49A7EF90" w14:textId="77777777" w:rsidR="00E54AE4" w:rsidRPr="00260790" w:rsidRDefault="00E54AE4" w:rsidP="001748C6">
      <w:pPr>
        <w:pStyle w:val="Paragraphedeliste"/>
        <w:numPr>
          <w:ilvl w:val="0"/>
          <w:numId w:val="117"/>
        </w:numPr>
        <w:spacing w:line="240" w:lineRule="auto"/>
        <w:jc w:val="both"/>
        <w:rPr>
          <w:rFonts w:ascii="Times New Roman" w:hAnsi="Times New Roman"/>
          <w:color w:val="000000" w:themeColor="text1"/>
        </w:rPr>
      </w:pPr>
      <w:r w:rsidRPr="00260790">
        <w:rPr>
          <w:rFonts w:ascii="Times New Roman" w:hAnsi="Times New Roman"/>
          <w:color w:val="000000" w:themeColor="text1"/>
        </w:rPr>
        <w:t>Habitations ;</w:t>
      </w:r>
    </w:p>
    <w:p w14:paraId="4A9E49D8" w14:textId="77777777" w:rsidR="00E54AE4" w:rsidRPr="00260790" w:rsidRDefault="00E54AE4" w:rsidP="001748C6">
      <w:pPr>
        <w:pStyle w:val="Paragraphedeliste"/>
        <w:numPr>
          <w:ilvl w:val="0"/>
          <w:numId w:val="117"/>
        </w:numPr>
        <w:spacing w:line="240" w:lineRule="auto"/>
        <w:jc w:val="both"/>
        <w:rPr>
          <w:rFonts w:ascii="Times New Roman" w:hAnsi="Times New Roman"/>
          <w:color w:val="000000" w:themeColor="text1"/>
        </w:rPr>
      </w:pPr>
      <w:r w:rsidRPr="00260790">
        <w:rPr>
          <w:rFonts w:ascii="Times New Roman" w:hAnsi="Times New Roman"/>
          <w:color w:val="000000" w:themeColor="text1"/>
        </w:rPr>
        <w:t>Maisons abandonnées en ruine du fait des inondations ;</w:t>
      </w:r>
    </w:p>
    <w:p w14:paraId="3583B7D7" w14:textId="77777777" w:rsidR="00E54AE4" w:rsidRPr="00260790" w:rsidRDefault="00E54AE4" w:rsidP="001748C6">
      <w:pPr>
        <w:pStyle w:val="Paragraphedeliste"/>
        <w:numPr>
          <w:ilvl w:val="0"/>
          <w:numId w:val="117"/>
        </w:numPr>
        <w:spacing w:line="240" w:lineRule="auto"/>
        <w:jc w:val="both"/>
        <w:rPr>
          <w:rFonts w:ascii="Times New Roman" w:hAnsi="Times New Roman"/>
          <w:color w:val="000000" w:themeColor="text1"/>
        </w:rPr>
      </w:pPr>
      <w:r w:rsidRPr="00260790">
        <w:rPr>
          <w:rFonts w:ascii="Times New Roman" w:hAnsi="Times New Roman"/>
          <w:color w:val="000000" w:themeColor="text1"/>
        </w:rPr>
        <w:t>Lotissements dans les sites de bassins inondés ;</w:t>
      </w:r>
    </w:p>
    <w:p w14:paraId="19307AD1" w14:textId="77777777" w:rsidR="00E54AE4" w:rsidRPr="00260790" w:rsidRDefault="00E54AE4" w:rsidP="001748C6">
      <w:pPr>
        <w:pStyle w:val="Paragraphedeliste"/>
        <w:numPr>
          <w:ilvl w:val="0"/>
          <w:numId w:val="117"/>
        </w:numPr>
        <w:spacing w:line="240" w:lineRule="auto"/>
        <w:jc w:val="both"/>
        <w:rPr>
          <w:rFonts w:ascii="Times New Roman" w:hAnsi="Times New Roman"/>
          <w:color w:val="000000" w:themeColor="text1"/>
        </w:rPr>
      </w:pPr>
      <w:r w:rsidRPr="00260790">
        <w:rPr>
          <w:rFonts w:ascii="Times New Roman" w:hAnsi="Times New Roman"/>
          <w:color w:val="000000" w:themeColor="text1"/>
        </w:rPr>
        <w:t>Voiries urbaines non bitumées ;</w:t>
      </w:r>
    </w:p>
    <w:p w14:paraId="73E450E1" w14:textId="77777777" w:rsidR="00E54AE4" w:rsidRPr="00260790" w:rsidRDefault="00E54AE4" w:rsidP="001748C6">
      <w:pPr>
        <w:pStyle w:val="Paragraphedeliste"/>
        <w:numPr>
          <w:ilvl w:val="0"/>
          <w:numId w:val="117"/>
        </w:numPr>
        <w:spacing w:line="240" w:lineRule="auto"/>
        <w:jc w:val="both"/>
        <w:rPr>
          <w:rFonts w:ascii="Times New Roman" w:hAnsi="Times New Roman"/>
          <w:color w:val="000000" w:themeColor="text1"/>
        </w:rPr>
      </w:pPr>
      <w:r w:rsidRPr="00260790">
        <w:rPr>
          <w:rFonts w:ascii="Times New Roman" w:hAnsi="Times New Roman"/>
          <w:color w:val="000000" w:themeColor="text1"/>
        </w:rPr>
        <w:t>Activités économiques (commerces et places d’affaires) le long des emprises des voies à l’intérieur des quartiers traversés par les canalisations ;</w:t>
      </w:r>
    </w:p>
    <w:p w14:paraId="18FFC758" w14:textId="77777777" w:rsidR="00E54AE4" w:rsidRPr="00260790" w:rsidRDefault="00E54AE4" w:rsidP="001748C6">
      <w:pPr>
        <w:pStyle w:val="Paragraphedeliste"/>
        <w:numPr>
          <w:ilvl w:val="0"/>
          <w:numId w:val="117"/>
        </w:numPr>
        <w:spacing w:line="240" w:lineRule="auto"/>
        <w:jc w:val="both"/>
        <w:rPr>
          <w:rFonts w:ascii="Times New Roman" w:hAnsi="Times New Roman"/>
          <w:color w:val="000000" w:themeColor="text1"/>
        </w:rPr>
      </w:pPr>
      <w:r w:rsidRPr="00260790">
        <w:rPr>
          <w:rFonts w:ascii="Times New Roman" w:hAnsi="Times New Roman"/>
          <w:color w:val="000000" w:themeColor="text1"/>
        </w:rPr>
        <w:t>Une école privée ;</w:t>
      </w:r>
    </w:p>
    <w:p w14:paraId="278F3B55" w14:textId="77777777" w:rsidR="00E54AE4" w:rsidRPr="00260790" w:rsidRDefault="00E54AE4" w:rsidP="001748C6">
      <w:pPr>
        <w:pStyle w:val="Paragraphedeliste"/>
        <w:numPr>
          <w:ilvl w:val="0"/>
          <w:numId w:val="117"/>
        </w:numPr>
        <w:spacing w:line="240" w:lineRule="auto"/>
        <w:jc w:val="both"/>
        <w:rPr>
          <w:rFonts w:ascii="Times New Roman" w:hAnsi="Times New Roman"/>
          <w:color w:val="000000" w:themeColor="text1"/>
        </w:rPr>
      </w:pPr>
      <w:r w:rsidRPr="00260790">
        <w:rPr>
          <w:rFonts w:ascii="Times New Roman" w:hAnsi="Times New Roman"/>
          <w:color w:val="000000" w:themeColor="text1"/>
        </w:rPr>
        <w:t>Dépotoirs d’ordures ménagères dans les sites des Bassins ;</w:t>
      </w:r>
    </w:p>
    <w:p w14:paraId="3CE406D8" w14:textId="77777777" w:rsidR="00E54AE4" w:rsidRPr="00260790" w:rsidRDefault="00E54AE4" w:rsidP="001748C6">
      <w:pPr>
        <w:pStyle w:val="Paragraphedeliste"/>
        <w:numPr>
          <w:ilvl w:val="0"/>
          <w:numId w:val="117"/>
        </w:numPr>
        <w:spacing w:line="240" w:lineRule="auto"/>
        <w:jc w:val="both"/>
        <w:rPr>
          <w:rFonts w:ascii="Times New Roman" w:hAnsi="Times New Roman"/>
          <w:color w:val="000000" w:themeColor="text1"/>
        </w:rPr>
      </w:pPr>
      <w:r w:rsidRPr="00260790">
        <w:rPr>
          <w:rFonts w:ascii="Times New Roman" w:hAnsi="Times New Roman"/>
          <w:color w:val="000000" w:themeColor="text1"/>
        </w:rPr>
        <w:t>Végétation, notamment la présence de typha, de tamarix, etc. ;</w:t>
      </w:r>
    </w:p>
    <w:p w14:paraId="12E75394" w14:textId="77777777" w:rsidR="00E54AE4" w:rsidRPr="00260790" w:rsidRDefault="00E54AE4" w:rsidP="001748C6">
      <w:pPr>
        <w:pStyle w:val="Paragraphedeliste"/>
        <w:numPr>
          <w:ilvl w:val="0"/>
          <w:numId w:val="117"/>
        </w:numPr>
        <w:spacing w:line="240" w:lineRule="auto"/>
        <w:jc w:val="both"/>
        <w:rPr>
          <w:rFonts w:ascii="Times New Roman" w:hAnsi="Times New Roman"/>
          <w:color w:val="000000" w:themeColor="text1"/>
        </w:rPr>
      </w:pPr>
      <w:r w:rsidRPr="00260790">
        <w:rPr>
          <w:rFonts w:ascii="Times New Roman" w:hAnsi="Times New Roman"/>
          <w:color w:val="000000" w:themeColor="text1"/>
        </w:rPr>
        <w:t>Faune composée principalement d’avifaune ;</w:t>
      </w:r>
    </w:p>
    <w:p w14:paraId="1271F992" w14:textId="77777777" w:rsidR="00A66415" w:rsidRPr="00260790" w:rsidRDefault="00E54AE4" w:rsidP="001748C6">
      <w:pPr>
        <w:pStyle w:val="Paragraphedeliste"/>
        <w:numPr>
          <w:ilvl w:val="0"/>
          <w:numId w:val="117"/>
        </w:numPr>
        <w:spacing w:line="240" w:lineRule="auto"/>
        <w:jc w:val="both"/>
        <w:rPr>
          <w:rFonts w:ascii="Times New Roman" w:hAnsi="Times New Roman"/>
          <w:color w:val="000000" w:themeColor="text1"/>
        </w:rPr>
      </w:pPr>
      <w:r w:rsidRPr="00260790">
        <w:rPr>
          <w:rFonts w:ascii="Times New Roman" w:hAnsi="Times New Roman"/>
          <w:color w:val="000000" w:themeColor="text1"/>
        </w:rPr>
        <w:t>Eaux usées dans le marigot de Mbao et certains réseaux de drainage ;</w:t>
      </w:r>
    </w:p>
    <w:p w14:paraId="4526A55A" w14:textId="4E61A133" w:rsidR="00E54AE4" w:rsidRPr="00260790" w:rsidRDefault="00E54AE4" w:rsidP="001748C6">
      <w:pPr>
        <w:pStyle w:val="Paragraphedeliste"/>
        <w:numPr>
          <w:ilvl w:val="0"/>
          <w:numId w:val="117"/>
        </w:numPr>
        <w:spacing w:line="240" w:lineRule="auto"/>
        <w:jc w:val="both"/>
        <w:rPr>
          <w:rFonts w:ascii="Times New Roman" w:hAnsi="Times New Roman"/>
          <w:color w:val="000000" w:themeColor="text1"/>
        </w:rPr>
      </w:pPr>
      <w:r w:rsidRPr="00260790">
        <w:rPr>
          <w:rFonts w:ascii="Times New Roman" w:hAnsi="Times New Roman"/>
        </w:rPr>
        <w:t>Réseaux de concessionnaires dans les quartiers concernés.</w:t>
      </w:r>
    </w:p>
    <w:p w14:paraId="0563DE79" w14:textId="7E311DCF" w:rsidR="00E54AE4" w:rsidRPr="00260790" w:rsidRDefault="00E54AE4" w:rsidP="001748C6">
      <w:pPr>
        <w:pStyle w:val="Normaltableau0"/>
        <w:numPr>
          <w:ilvl w:val="1"/>
          <w:numId w:val="139"/>
        </w:numPr>
        <w:outlineLvl w:val="1"/>
        <w:rPr>
          <w:rFonts w:ascii="Times New Roman" w:hAnsi="Times New Roman"/>
          <w:b/>
          <w:bCs/>
          <w:sz w:val="22"/>
          <w:szCs w:val="22"/>
        </w:rPr>
      </w:pPr>
      <w:bookmarkStart w:id="337" w:name="_Toc212725105"/>
      <w:r w:rsidRPr="00260790">
        <w:rPr>
          <w:rFonts w:ascii="Times New Roman" w:hAnsi="Times New Roman"/>
          <w:b/>
          <w:bCs/>
          <w:sz w:val="22"/>
          <w:szCs w:val="22"/>
        </w:rPr>
        <w:t>Caractérisation des emprises des bassins et des collecteurs</w:t>
      </w:r>
      <w:bookmarkEnd w:id="337"/>
    </w:p>
    <w:p w14:paraId="6145C05E" w14:textId="63B72DC6" w:rsidR="007E074B" w:rsidRPr="00260790" w:rsidRDefault="007E074B" w:rsidP="00E20250">
      <w:pPr>
        <w:spacing w:after="0" w:line="240" w:lineRule="auto"/>
        <w:rPr>
          <w:rFonts w:ascii="Times New Roman" w:hAnsi="Times New Roman"/>
          <w:color w:val="000000" w:themeColor="text1"/>
          <w:lang w:eastAsia="fr-FR"/>
        </w:rPr>
        <w:sectPr w:rsidR="007E074B" w:rsidRPr="00260790" w:rsidSect="00E20250">
          <w:pgSz w:w="11906" w:h="16838"/>
          <w:pgMar w:top="1418" w:right="1418" w:bottom="1418" w:left="1418" w:header="709" w:footer="454" w:gutter="0"/>
          <w:cols w:space="708"/>
          <w:docGrid w:linePitch="360"/>
        </w:sectPr>
      </w:pPr>
      <w:r w:rsidRPr="00260790">
        <w:rPr>
          <w:rFonts w:ascii="Times New Roman" w:hAnsi="Times New Roman"/>
          <w:color w:val="000000" w:themeColor="text1"/>
        </w:rPr>
        <w:t>Les tableaux ci-après dressent la caractérisation de l’occupation du sol dans les emprises du projet (bassins, collecteurs et marigot de Mbao).</w:t>
      </w:r>
    </w:p>
    <w:p w14:paraId="4CA6ECC6" w14:textId="676CA2F4" w:rsidR="005F3FB7" w:rsidRPr="00260790" w:rsidRDefault="005F3FB7" w:rsidP="00E20250">
      <w:pPr>
        <w:pStyle w:val="Lgende"/>
        <w:keepNext/>
        <w:spacing w:line="240" w:lineRule="auto"/>
        <w:rPr>
          <w:color w:val="000000" w:themeColor="text1"/>
          <w:sz w:val="22"/>
          <w:szCs w:val="22"/>
        </w:rPr>
      </w:pPr>
      <w:bookmarkStart w:id="338" w:name="_Toc207781852"/>
      <w:r w:rsidRPr="00260790">
        <w:rPr>
          <w:color w:val="000000" w:themeColor="text1"/>
          <w:sz w:val="22"/>
          <w:szCs w:val="22"/>
        </w:rPr>
        <w:lastRenderedPageBreak/>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11</w:t>
      </w:r>
      <w:r w:rsidRPr="00260790">
        <w:rPr>
          <w:color w:val="000000" w:themeColor="text1"/>
          <w:sz w:val="22"/>
          <w:szCs w:val="22"/>
        </w:rPr>
        <w:fldChar w:fldCharType="end"/>
      </w:r>
      <w:r w:rsidRPr="00260790">
        <w:rPr>
          <w:color w:val="000000" w:themeColor="text1"/>
          <w:sz w:val="22"/>
          <w:szCs w:val="22"/>
        </w:rPr>
        <w:t xml:space="preserve"> : </w:t>
      </w:r>
      <w:r w:rsidR="00073991">
        <w:rPr>
          <w:color w:val="000000" w:themeColor="text1"/>
          <w:sz w:val="22"/>
          <w:szCs w:val="22"/>
        </w:rPr>
        <w:t>C</w:t>
      </w:r>
      <w:r w:rsidRPr="00260790">
        <w:rPr>
          <w:color w:val="000000" w:themeColor="text1"/>
          <w:sz w:val="22"/>
          <w:szCs w:val="22"/>
        </w:rPr>
        <w:t>aractérisation des emprises d</w:t>
      </w:r>
      <w:r w:rsidR="00B3058D" w:rsidRPr="00260790">
        <w:rPr>
          <w:color w:val="000000" w:themeColor="text1"/>
          <w:sz w:val="22"/>
          <w:szCs w:val="22"/>
        </w:rPr>
        <w:t>es sites des bassins retenus (15 bassins)</w:t>
      </w:r>
      <w:bookmarkEnd w:id="338"/>
    </w:p>
    <w:tbl>
      <w:tblPr>
        <w:tblStyle w:val="Grilledutableau"/>
        <w:tblW w:w="5216" w:type="pct"/>
        <w:tblLook w:val="04A0" w:firstRow="1" w:lastRow="0" w:firstColumn="1" w:lastColumn="0" w:noHBand="0" w:noVBand="1"/>
      </w:tblPr>
      <w:tblGrid>
        <w:gridCol w:w="1519"/>
        <w:gridCol w:w="1519"/>
        <w:gridCol w:w="4588"/>
        <w:gridCol w:w="4559"/>
        <w:gridCol w:w="2390"/>
      </w:tblGrid>
      <w:tr w:rsidR="00CD1EB5" w:rsidRPr="00260790" w14:paraId="214BCFD0" w14:textId="77777777" w:rsidTr="00CD1EB5">
        <w:trPr>
          <w:tblHeader/>
        </w:trPr>
        <w:tc>
          <w:tcPr>
            <w:tcW w:w="521" w:type="pct"/>
            <w:shd w:val="clear" w:color="auto" w:fill="F7CAAC" w:themeFill="accent2" w:themeFillTint="66"/>
            <w:vAlign w:val="center"/>
          </w:tcPr>
          <w:p w14:paraId="009A0A71" w14:textId="77777777" w:rsidR="00CD1EB5" w:rsidRPr="00260790" w:rsidRDefault="00CD1EB5" w:rsidP="003A0E4A">
            <w:pPr>
              <w:spacing w:line="240" w:lineRule="auto"/>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Communes</w:t>
            </w:r>
          </w:p>
        </w:tc>
        <w:tc>
          <w:tcPr>
            <w:tcW w:w="521" w:type="pct"/>
            <w:shd w:val="clear" w:color="auto" w:fill="F7CAAC" w:themeFill="accent2" w:themeFillTint="66"/>
            <w:vAlign w:val="center"/>
          </w:tcPr>
          <w:p w14:paraId="308F51DD" w14:textId="77777777" w:rsidR="00CD1EB5" w:rsidRPr="00260790" w:rsidRDefault="00CD1EB5" w:rsidP="003A0E4A">
            <w:pPr>
              <w:spacing w:line="240" w:lineRule="auto"/>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Sites Bassins</w:t>
            </w:r>
          </w:p>
        </w:tc>
        <w:tc>
          <w:tcPr>
            <w:tcW w:w="1574" w:type="pct"/>
            <w:shd w:val="clear" w:color="auto" w:fill="F7CAAC" w:themeFill="accent2" w:themeFillTint="66"/>
            <w:vAlign w:val="center"/>
          </w:tcPr>
          <w:p w14:paraId="054469B3" w14:textId="77777777" w:rsidR="00CD1EB5" w:rsidRPr="00260790" w:rsidRDefault="00CD1EB5" w:rsidP="003A0E4A">
            <w:pPr>
              <w:spacing w:line="240" w:lineRule="auto"/>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Descriptions</w:t>
            </w:r>
          </w:p>
        </w:tc>
        <w:tc>
          <w:tcPr>
            <w:tcW w:w="1564" w:type="pct"/>
            <w:shd w:val="clear" w:color="auto" w:fill="F7CAAC" w:themeFill="accent2" w:themeFillTint="66"/>
            <w:vAlign w:val="center"/>
          </w:tcPr>
          <w:p w14:paraId="2C97B1E9" w14:textId="77777777" w:rsidR="00CD1EB5" w:rsidRPr="00260790" w:rsidRDefault="00CD1EB5" w:rsidP="003A0E4A">
            <w:pPr>
              <w:spacing w:line="240" w:lineRule="auto"/>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 xml:space="preserve">Illustrations </w:t>
            </w:r>
          </w:p>
        </w:tc>
        <w:tc>
          <w:tcPr>
            <w:tcW w:w="821" w:type="pct"/>
            <w:shd w:val="clear" w:color="auto" w:fill="F7CAAC" w:themeFill="accent2" w:themeFillTint="66"/>
            <w:vAlign w:val="center"/>
          </w:tcPr>
          <w:p w14:paraId="52910A7A" w14:textId="77777777" w:rsidR="00CD1EB5" w:rsidRPr="00260790" w:rsidRDefault="00CD1EB5" w:rsidP="003A0E4A">
            <w:pPr>
              <w:spacing w:line="240" w:lineRule="auto"/>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Enjeux</w:t>
            </w:r>
          </w:p>
        </w:tc>
      </w:tr>
      <w:tr w:rsidR="00CD1EB5" w:rsidRPr="00260790" w14:paraId="51EB21BB" w14:textId="77777777" w:rsidTr="00CD1EB5">
        <w:trPr>
          <w:trHeight w:val="1450"/>
        </w:trPr>
        <w:tc>
          <w:tcPr>
            <w:tcW w:w="521" w:type="pct"/>
            <w:vMerge w:val="restart"/>
            <w:shd w:val="clear" w:color="auto" w:fill="BDD6EE" w:themeFill="accent1" w:themeFillTint="66"/>
            <w:vAlign w:val="center"/>
          </w:tcPr>
          <w:p w14:paraId="7470267E" w14:textId="77777777" w:rsidR="00CD1EB5" w:rsidRPr="00260790" w:rsidRDefault="00CD1EB5" w:rsidP="003A0E4A">
            <w:pPr>
              <w:spacing w:line="240" w:lineRule="auto"/>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Keur Massar Sud</w:t>
            </w:r>
          </w:p>
        </w:tc>
        <w:tc>
          <w:tcPr>
            <w:tcW w:w="521" w:type="pct"/>
            <w:vAlign w:val="center"/>
          </w:tcPr>
          <w:p w14:paraId="0D819801" w14:textId="77777777" w:rsidR="00CD1EB5" w:rsidRPr="00260790" w:rsidRDefault="00CD1EB5" w:rsidP="003A0E4A">
            <w:pPr>
              <w:spacing w:line="240" w:lineRule="auto"/>
              <w:jc w:val="both"/>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BR_NC 10</w:t>
            </w:r>
          </w:p>
        </w:tc>
        <w:tc>
          <w:tcPr>
            <w:tcW w:w="1574" w:type="pct"/>
            <w:vAlign w:val="center"/>
          </w:tcPr>
          <w:p w14:paraId="3FB104F4" w14:textId="4DB4678C" w:rsidR="00CD1EB5" w:rsidRPr="00260790" w:rsidRDefault="00CD1EB5" w:rsidP="003A0E4A">
            <w:pPr>
              <w:spacing w:line="240" w:lineRule="auto"/>
              <w:ind w:left="50" w:hanging="50"/>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D’une superficie </w:t>
            </w:r>
            <w:proofErr w:type="gramStart"/>
            <w:r w:rsidRPr="00260790">
              <w:rPr>
                <w:rFonts w:ascii="Times New Roman" w:hAnsi="Times New Roman"/>
                <w:color w:val="000000" w:themeColor="text1"/>
                <w:sz w:val="22"/>
                <w:szCs w:val="22"/>
                <w:lang w:val="fr-FR"/>
              </w:rPr>
              <w:t>de  0,561</w:t>
            </w:r>
            <w:proofErr w:type="gramEnd"/>
            <w:r w:rsidRPr="00260790">
              <w:rPr>
                <w:rFonts w:ascii="Times New Roman" w:hAnsi="Times New Roman"/>
                <w:color w:val="000000" w:themeColor="text1"/>
                <w:sz w:val="22"/>
                <w:szCs w:val="22"/>
                <w:lang w:val="fr-FR"/>
              </w:rPr>
              <w:t xml:space="preserve"> ha, le site du bassin est situé dans le quartier Baye Niass. Il est entouré par des habitations. </w:t>
            </w:r>
          </w:p>
          <w:p w14:paraId="0517CD06" w14:textId="77777777" w:rsidR="00CD1EB5" w:rsidRPr="00260790" w:rsidRDefault="00CD1EB5" w:rsidP="003A0E4A">
            <w:pPr>
              <w:spacing w:line="240" w:lineRule="auto"/>
              <w:ind w:left="50" w:hanging="50"/>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La nature des sols du site est de type brun rouge subaride et peu évolué hydromorphe. </w:t>
            </w:r>
          </w:p>
          <w:p w14:paraId="7D21247C" w14:textId="77777777" w:rsidR="00CD1EB5" w:rsidRPr="00260790" w:rsidRDefault="00CD1EB5" w:rsidP="003A0E4A">
            <w:pPr>
              <w:spacing w:line="240" w:lineRule="auto"/>
              <w:ind w:left="50" w:hanging="50"/>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Le site du bassin est occupé par 02 terrains clôturés, séparés par une ruelle et un espace non clôturé avec un bâtiment en construction.</w:t>
            </w:r>
          </w:p>
          <w:p w14:paraId="7B81A9EC" w14:textId="77777777" w:rsidR="00CD1EB5" w:rsidRPr="00260790" w:rsidRDefault="00CD1EB5" w:rsidP="003A0E4A">
            <w:pPr>
              <w:spacing w:line="240" w:lineRule="auto"/>
              <w:ind w:left="50" w:hanging="50"/>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La végétation du site est principalement composée de 17 corossoliers, 01 </w:t>
            </w:r>
            <w:r w:rsidRPr="00260790">
              <w:rPr>
                <w:rFonts w:ascii="Times New Roman" w:hAnsi="Times New Roman"/>
                <w:i/>
                <w:iCs/>
                <w:color w:val="000000" w:themeColor="text1"/>
                <w:sz w:val="22"/>
                <w:szCs w:val="22"/>
                <w:lang w:val="fr-SN"/>
              </w:rPr>
              <w:t xml:space="preserve">Ziziphus </w:t>
            </w:r>
            <w:proofErr w:type="spellStart"/>
            <w:r w:rsidRPr="00260790">
              <w:rPr>
                <w:rFonts w:ascii="Times New Roman" w:hAnsi="Times New Roman"/>
                <w:i/>
                <w:iCs/>
                <w:color w:val="000000" w:themeColor="text1"/>
                <w:sz w:val="22"/>
                <w:szCs w:val="22"/>
                <w:lang w:val="fr-SN"/>
              </w:rPr>
              <w:t>mauritiana</w:t>
            </w:r>
            <w:proofErr w:type="spellEnd"/>
            <w:r w:rsidRPr="00260790">
              <w:rPr>
                <w:rFonts w:ascii="Times New Roman" w:hAnsi="Times New Roman"/>
                <w:color w:val="000000" w:themeColor="text1"/>
                <w:sz w:val="22"/>
                <w:szCs w:val="22"/>
                <w:lang w:val="fr-FR"/>
              </w:rPr>
              <w:t xml:space="preserve">, 06 Citronniers, 07 cocotiers, 02 dattiers, 01 eucalyptus, 02 moringa, 03 ricins, 02 goyaves et une association de </w:t>
            </w:r>
            <w:r w:rsidRPr="00260790">
              <w:rPr>
                <w:rFonts w:ascii="Times New Roman" w:hAnsi="Times New Roman"/>
                <w:i/>
                <w:color w:val="000000" w:themeColor="text1"/>
                <w:sz w:val="22"/>
                <w:szCs w:val="22"/>
                <w:lang w:val="fr-FR"/>
              </w:rPr>
              <w:t>tamarix</w:t>
            </w:r>
            <w:r w:rsidRPr="00260790">
              <w:rPr>
                <w:rFonts w:ascii="Times New Roman" w:hAnsi="Times New Roman"/>
                <w:color w:val="000000" w:themeColor="text1"/>
                <w:sz w:val="22"/>
                <w:szCs w:val="22"/>
                <w:lang w:val="fr-FR"/>
              </w:rPr>
              <w:t xml:space="preserve"> </w:t>
            </w:r>
            <w:r w:rsidRPr="00260790">
              <w:rPr>
                <w:rFonts w:ascii="Times New Roman" w:hAnsi="Times New Roman"/>
                <w:i/>
                <w:color w:val="000000" w:themeColor="text1"/>
                <w:sz w:val="22"/>
                <w:szCs w:val="22"/>
                <w:lang w:val="fr-FR"/>
              </w:rPr>
              <w:t xml:space="preserve">senegalensis et de </w:t>
            </w:r>
            <w:r w:rsidRPr="00260790">
              <w:rPr>
                <w:rFonts w:ascii="Times New Roman" w:hAnsi="Times New Roman"/>
                <w:color w:val="000000" w:themeColor="text1"/>
                <w:sz w:val="22"/>
                <w:szCs w:val="22"/>
                <w:lang w:val="fr-FR"/>
              </w:rPr>
              <w:t>typha.</w:t>
            </w:r>
          </w:p>
          <w:p w14:paraId="3860ACC2" w14:textId="77777777" w:rsidR="00CD1EB5" w:rsidRPr="00260790" w:rsidRDefault="00CD1EB5" w:rsidP="003A0E4A">
            <w:pPr>
              <w:spacing w:line="240" w:lineRule="auto"/>
              <w:ind w:left="50" w:hanging="50"/>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L’avifaune identifiée en vol est constituée du milan à bec jaune, corbeau pie, vanneau éperonné, tourterelle maillée, bulbul des jardins et moineau domestique. Les insectes sont représentés par des individus de libellule rouge et de papillons du jour.</w:t>
            </w:r>
          </w:p>
          <w:p w14:paraId="6FD06936" w14:textId="77777777" w:rsidR="00CD1EB5" w:rsidRPr="00260790" w:rsidRDefault="00CD1EB5" w:rsidP="003A0E4A">
            <w:pPr>
              <w:spacing w:line="240" w:lineRule="auto"/>
              <w:ind w:left="50" w:hanging="50"/>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Une fondation est identifiée dans l’un des terrains. Un bâtiment servant de magasin et 03 puits d’une profondeur de 2 m environ sont enregistrés dans le deuxième terrain.</w:t>
            </w:r>
          </w:p>
        </w:tc>
        <w:tc>
          <w:tcPr>
            <w:tcW w:w="1564" w:type="pct"/>
            <w:vAlign w:val="center"/>
          </w:tcPr>
          <w:p w14:paraId="29613B8C"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noProof/>
                <w:color w:val="000000" w:themeColor="text1"/>
              </w:rPr>
              <w:drawing>
                <wp:inline distT="0" distB="0" distL="0" distR="0" wp14:anchorId="7D76E75E" wp14:editId="386CB194">
                  <wp:extent cx="2503170" cy="1671403"/>
                  <wp:effectExtent l="0" t="0" r="0" b="5080"/>
                  <wp:docPr id="1689694283" name="Image 1" descr="Une image contenant plein air, herbe, ciel, plan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694283" name="Image 1" descr="Une image contenant plein air, herbe, ciel, plante&#10;&#10;Le contenu généré par l’IA peut être incorrect."/>
                          <pic:cNvPicPr/>
                        </pic:nvPicPr>
                        <pic:blipFill>
                          <a:blip r:embed="rId22" cstate="email">
                            <a:extLst>
                              <a:ext uri="{28A0092B-C50C-407E-A947-70E740481C1C}">
                                <a14:useLocalDpi xmlns:a14="http://schemas.microsoft.com/office/drawing/2010/main"/>
                              </a:ext>
                            </a:extLst>
                          </a:blip>
                          <a:stretch>
                            <a:fillRect/>
                          </a:stretch>
                        </pic:blipFill>
                        <pic:spPr>
                          <a:xfrm>
                            <a:off x="0" y="0"/>
                            <a:ext cx="2507714" cy="1674437"/>
                          </a:xfrm>
                          <a:prstGeom prst="rect">
                            <a:avLst/>
                          </a:prstGeom>
                        </pic:spPr>
                      </pic:pic>
                    </a:graphicData>
                  </a:graphic>
                </wp:inline>
              </w:drawing>
            </w:r>
          </w:p>
          <w:p w14:paraId="1236382A" w14:textId="77777777" w:rsidR="00CD1EB5" w:rsidRPr="00260790" w:rsidRDefault="00CD1EB5" w:rsidP="003A0E4A">
            <w:pPr>
              <w:pStyle w:val="Lgende"/>
              <w:spacing w:line="240" w:lineRule="auto"/>
              <w:jc w:val="both"/>
              <w:rPr>
                <w:color w:val="000000" w:themeColor="text1"/>
                <w:sz w:val="22"/>
                <w:szCs w:val="22"/>
                <w:lang w:val="fr-FR"/>
              </w:rPr>
            </w:pPr>
            <w:bookmarkStart w:id="339" w:name="_Toc212725200"/>
            <w:r w:rsidRPr="00260790">
              <w:rPr>
                <w:color w:val="000000" w:themeColor="text1"/>
                <w:sz w:val="22"/>
                <w:szCs w:val="22"/>
                <w:lang w:val="fr-SN"/>
              </w:rPr>
              <w:t xml:space="preserve">Photo </w:t>
            </w:r>
            <w:r w:rsidRPr="00260790">
              <w:rPr>
                <w:color w:val="000000" w:themeColor="text1"/>
                <w:sz w:val="22"/>
                <w:szCs w:val="22"/>
              </w:rPr>
              <w:fldChar w:fldCharType="begin"/>
            </w:r>
            <w:r w:rsidRPr="00260790">
              <w:rPr>
                <w:color w:val="000000" w:themeColor="text1"/>
                <w:sz w:val="22"/>
                <w:szCs w:val="22"/>
                <w:lang w:val="fr-SN"/>
              </w:rPr>
              <w:instrText xml:space="preserve"> SEQ Photo \* ARABIC </w:instrText>
            </w:r>
            <w:r w:rsidRPr="00260790">
              <w:rPr>
                <w:color w:val="000000" w:themeColor="text1"/>
                <w:sz w:val="22"/>
                <w:szCs w:val="22"/>
              </w:rPr>
              <w:fldChar w:fldCharType="separate"/>
            </w:r>
            <w:r w:rsidRPr="00260790">
              <w:rPr>
                <w:noProof/>
                <w:color w:val="000000" w:themeColor="text1"/>
                <w:sz w:val="22"/>
                <w:szCs w:val="22"/>
                <w:lang w:val="fr-SN"/>
              </w:rPr>
              <w:t>1</w:t>
            </w:r>
            <w:r w:rsidRPr="00260790">
              <w:rPr>
                <w:color w:val="000000" w:themeColor="text1"/>
                <w:sz w:val="22"/>
                <w:szCs w:val="22"/>
              </w:rPr>
              <w:fldChar w:fldCharType="end"/>
            </w:r>
            <w:r w:rsidRPr="00260790">
              <w:rPr>
                <w:color w:val="000000" w:themeColor="text1"/>
                <w:sz w:val="22"/>
                <w:szCs w:val="22"/>
                <w:lang w:val="fr-FR"/>
              </w:rPr>
              <w:t>: mur de clôture sur le site du BR_NC 10</w:t>
            </w:r>
            <w:bookmarkEnd w:id="339"/>
          </w:p>
          <w:p w14:paraId="45154F9E" w14:textId="77777777" w:rsidR="00CD1EB5" w:rsidRPr="00260790" w:rsidRDefault="00CD1EB5" w:rsidP="003A0E4A">
            <w:pPr>
              <w:spacing w:line="240" w:lineRule="auto"/>
              <w:rPr>
                <w:rFonts w:ascii="Times New Roman" w:hAnsi="Times New Roman"/>
                <w:color w:val="000000" w:themeColor="text1"/>
                <w:sz w:val="22"/>
                <w:szCs w:val="22"/>
                <w:lang w:val="fr-FR" w:eastAsia="fr-FR"/>
              </w:rPr>
            </w:pPr>
            <w:r w:rsidRPr="00260790">
              <w:rPr>
                <w:rFonts w:ascii="Times New Roman" w:hAnsi="Times New Roman"/>
                <w:noProof/>
                <w:color w:val="000000" w:themeColor="text1"/>
              </w:rPr>
              <w:drawing>
                <wp:inline distT="0" distB="0" distL="0" distR="0" wp14:anchorId="1DFEC127" wp14:editId="7D2CBD72">
                  <wp:extent cx="2502673" cy="1101777"/>
                  <wp:effectExtent l="0" t="0" r="0" b="3175"/>
                  <wp:docPr id="1113145634" name="Image 2" descr="Une image contenant plein air, ciel, herbe, mais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145634" name="Image 2" descr="Une image contenant plein air, ciel, herbe, maison&#10;&#10;Le contenu généré par l’IA peut être incorrect."/>
                          <pic:cNvPicPr/>
                        </pic:nvPicPr>
                        <pic:blipFill>
                          <a:blip r:embed="rId23" cstate="email">
                            <a:extLst>
                              <a:ext uri="{28A0092B-C50C-407E-A947-70E740481C1C}">
                                <a14:useLocalDpi xmlns:a14="http://schemas.microsoft.com/office/drawing/2010/main"/>
                              </a:ext>
                            </a:extLst>
                          </a:blip>
                          <a:stretch>
                            <a:fillRect/>
                          </a:stretch>
                        </pic:blipFill>
                        <pic:spPr>
                          <a:xfrm flipV="1">
                            <a:off x="0" y="0"/>
                            <a:ext cx="2509904" cy="1104961"/>
                          </a:xfrm>
                          <a:prstGeom prst="rect">
                            <a:avLst/>
                          </a:prstGeom>
                        </pic:spPr>
                      </pic:pic>
                    </a:graphicData>
                  </a:graphic>
                </wp:inline>
              </w:drawing>
            </w:r>
          </w:p>
          <w:p w14:paraId="5D9C2841" w14:textId="77777777" w:rsidR="00CD1EB5" w:rsidRPr="00260790" w:rsidRDefault="00CD1EB5" w:rsidP="003A0E4A">
            <w:pPr>
              <w:pStyle w:val="Lgende"/>
              <w:spacing w:line="240" w:lineRule="auto"/>
              <w:jc w:val="both"/>
              <w:rPr>
                <w:color w:val="000000" w:themeColor="text1"/>
                <w:sz w:val="22"/>
                <w:szCs w:val="22"/>
                <w:lang w:val="fr-FR"/>
              </w:rPr>
            </w:pPr>
            <w:bookmarkStart w:id="340" w:name="_Toc212725201"/>
            <w:r w:rsidRPr="00260790">
              <w:rPr>
                <w:color w:val="000000" w:themeColor="text1"/>
                <w:sz w:val="22"/>
                <w:szCs w:val="22"/>
                <w:lang w:val="fr-SN"/>
              </w:rPr>
              <w:t xml:space="preserve">Photo </w:t>
            </w:r>
            <w:r w:rsidRPr="00260790">
              <w:rPr>
                <w:color w:val="000000" w:themeColor="text1"/>
                <w:sz w:val="22"/>
                <w:szCs w:val="22"/>
              </w:rPr>
              <w:fldChar w:fldCharType="begin"/>
            </w:r>
            <w:r w:rsidRPr="00260790">
              <w:rPr>
                <w:color w:val="000000" w:themeColor="text1"/>
                <w:sz w:val="22"/>
                <w:szCs w:val="22"/>
                <w:lang w:val="fr-SN"/>
              </w:rPr>
              <w:instrText xml:space="preserve"> SEQ Photo \* ARABIC </w:instrText>
            </w:r>
            <w:r w:rsidRPr="00260790">
              <w:rPr>
                <w:color w:val="000000" w:themeColor="text1"/>
                <w:sz w:val="22"/>
                <w:szCs w:val="22"/>
              </w:rPr>
              <w:fldChar w:fldCharType="separate"/>
            </w:r>
            <w:r w:rsidRPr="00260790">
              <w:rPr>
                <w:noProof/>
                <w:color w:val="000000" w:themeColor="text1"/>
                <w:sz w:val="22"/>
                <w:szCs w:val="22"/>
                <w:lang w:val="fr-SN"/>
              </w:rPr>
              <w:t>2</w:t>
            </w:r>
            <w:r w:rsidRPr="00260790">
              <w:rPr>
                <w:color w:val="000000" w:themeColor="text1"/>
                <w:sz w:val="22"/>
                <w:szCs w:val="22"/>
              </w:rPr>
              <w:fldChar w:fldCharType="end"/>
            </w:r>
            <w:r w:rsidRPr="00260790">
              <w:rPr>
                <w:color w:val="000000" w:themeColor="text1"/>
                <w:sz w:val="22"/>
                <w:szCs w:val="22"/>
                <w:lang w:val="fr-FR"/>
              </w:rPr>
              <w:t> : bâtiment en construction sur le site du BR_NC 10</w:t>
            </w:r>
            <w:bookmarkEnd w:id="340"/>
          </w:p>
          <w:p w14:paraId="4AC126DF" w14:textId="77777777" w:rsidR="00CD1EB5" w:rsidRPr="00260790" w:rsidRDefault="00CD1EB5" w:rsidP="003A0E4A">
            <w:pPr>
              <w:keepNext/>
              <w:spacing w:line="240" w:lineRule="auto"/>
              <w:rPr>
                <w:rFonts w:ascii="Times New Roman" w:hAnsi="Times New Roman"/>
                <w:sz w:val="22"/>
                <w:szCs w:val="22"/>
              </w:rPr>
            </w:pPr>
            <w:r w:rsidRPr="00260790">
              <w:rPr>
                <w:rFonts w:ascii="Times New Roman" w:hAnsi="Times New Roman"/>
                <w:noProof/>
                <w:color w:val="000000" w:themeColor="text1"/>
              </w:rPr>
              <w:lastRenderedPageBreak/>
              <w:drawing>
                <wp:inline distT="0" distB="0" distL="0" distR="0" wp14:anchorId="54E95260" wp14:editId="2078AF41">
                  <wp:extent cx="2743200" cy="1746250"/>
                  <wp:effectExtent l="0" t="0" r="0" b="6350"/>
                  <wp:docPr id="952268526" name="Image 3" descr="Une image contenant plein air, ciel, sol, palmie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268526" name="Image 3" descr="Une image contenant plein air, ciel, sol, palmier&#10;&#10;Le contenu généré par l’IA peut être incorrect."/>
                          <pic:cNvPicPr/>
                        </pic:nvPicPr>
                        <pic:blipFill>
                          <a:blip r:embed="rId24" cstate="email">
                            <a:extLst>
                              <a:ext uri="{28A0092B-C50C-407E-A947-70E740481C1C}">
                                <a14:useLocalDpi xmlns:a14="http://schemas.microsoft.com/office/drawing/2010/main"/>
                              </a:ext>
                            </a:extLst>
                          </a:blip>
                          <a:stretch>
                            <a:fillRect/>
                          </a:stretch>
                        </pic:blipFill>
                        <pic:spPr>
                          <a:xfrm>
                            <a:off x="0" y="0"/>
                            <a:ext cx="2749325" cy="1750149"/>
                          </a:xfrm>
                          <a:prstGeom prst="rect">
                            <a:avLst/>
                          </a:prstGeom>
                        </pic:spPr>
                      </pic:pic>
                    </a:graphicData>
                  </a:graphic>
                </wp:inline>
              </w:drawing>
            </w:r>
          </w:p>
          <w:p w14:paraId="6EFD0A02" w14:textId="77777777" w:rsidR="00CD1EB5" w:rsidRPr="00260790" w:rsidRDefault="00CD1EB5" w:rsidP="003A0E4A">
            <w:pPr>
              <w:spacing w:line="240" w:lineRule="auto"/>
              <w:rPr>
                <w:rFonts w:ascii="Times New Roman" w:hAnsi="Times New Roman"/>
                <w:i/>
                <w:iCs/>
                <w:color w:val="000000" w:themeColor="text1"/>
                <w:sz w:val="22"/>
                <w:szCs w:val="22"/>
                <w:lang w:val="fr-FR" w:eastAsia="fr-FR"/>
              </w:rPr>
            </w:pPr>
            <w:bookmarkStart w:id="341" w:name="_Toc212725202"/>
            <w:r w:rsidRPr="00260790">
              <w:rPr>
                <w:rFonts w:ascii="Times New Roman" w:hAnsi="Times New Roman"/>
                <w:sz w:val="22"/>
                <w:szCs w:val="22"/>
                <w:lang w:val="fr-FR"/>
              </w:rPr>
              <w:t xml:space="preserve">Photo </w:t>
            </w:r>
            <w:r w:rsidRPr="00260790">
              <w:rPr>
                <w:rFonts w:ascii="Times New Roman" w:eastAsia="Times New Roman" w:hAnsi="Times New Roman"/>
                <w:i/>
                <w:iCs/>
                <w:color w:val="44546A"/>
                <w:lang w:eastAsia="fr-FR"/>
              </w:rPr>
              <w:fldChar w:fldCharType="begin"/>
            </w:r>
            <w:r w:rsidRPr="00260790">
              <w:rPr>
                <w:rFonts w:ascii="Times New Roman" w:hAnsi="Times New Roman"/>
                <w:sz w:val="22"/>
                <w:szCs w:val="22"/>
                <w:lang w:val="fr-FR"/>
              </w:rPr>
              <w:instrText xml:space="preserve"> SEQ Photo \* ARABIC </w:instrText>
            </w:r>
            <w:r w:rsidRPr="00260790">
              <w:rPr>
                <w:rFonts w:ascii="Times New Roman" w:eastAsia="Times New Roman" w:hAnsi="Times New Roman"/>
                <w:i/>
                <w:iCs/>
                <w:color w:val="44546A"/>
                <w:lang w:eastAsia="fr-FR"/>
              </w:rPr>
              <w:fldChar w:fldCharType="separate"/>
            </w:r>
            <w:r w:rsidRPr="00260790">
              <w:rPr>
                <w:rFonts w:ascii="Times New Roman" w:hAnsi="Times New Roman"/>
                <w:noProof/>
                <w:sz w:val="22"/>
                <w:szCs w:val="22"/>
                <w:lang w:val="fr-FR"/>
              </w:rPr>
              <w:t>3</w:t>
            </w:r>
            <w:r w:rsidRPr="00260790">
              <w:rPr>
                <w:rFonts w:ascii="Times New Roman" w:eastAsia="Times New Roman" w:hAnsi="Times New Roman"/>
                <w:i/>
                <w:iCs/>
                <w:color w:val="44546A"/>
                <w:lang w:eastAsia="fr-FR"/>
              </w:rPr>
              <w:fldChar w:fldCharType="end"/>
            </w:r>
            <w:r w:rsidRPr="00260790">
              <w:rPr>
                <w:rFonts w:ascii="Times New Roman" w:hAnsi="Times New Roman"/>
                <w:i/>
                <w:iCs/>
                <w:color w:val="000000" w:themeColor="text1"/>
                <w:sz w:val="22"/>
                <w:szCs w:val="22"/>
                <w:lang w:val="fr-FR"/>
              </w:rPr>
              <w:t>: espèces végétales sur le site du BR_NC 10</w:t>
            </w:r>
            <w:bookmarkEnd w:id="341"/>
          </w:p>
        </w:tc>
        <w:tc>
          <w:tcPr>
            <w:tcW w:w="821" w:type="pct"/>
            <w:vAlign w:val="center"/>
          </w:tcPr>
          <w:p w14:paraId="7C75D620" w14:textId="77777777" w:rsidR="00CD1EB5" w:rsidRPr="00260790" w:rsidRDefault="00CD1EB5" w:rsidP="001748C6">
            <w:pPr>
              <w:pStyle w:val="Paragraphedeliste"/>
              <w:numPr>
                <w:ilvl w:val="0"/>
                <w:numId w:val="120"/>
              </w:num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Préservation des biens et des activités socio-économiques ; ;</w:t>
            </w:r>
          </w:p>
          <w:p w14:paraId="4FA47CF0" w14:textId="77777777" w:rsidR="00CD1EB5" w:rsidRPr="00260790" w:rsidRDefault="00CD1EB5" w:rsidP="001748C6">
            <w:pPr>
              <w:pStyle w:val="Paragraphedeliste"/>
              <w:numPr>
                <w:ilvl w:val="0"/>
                <w:numId w:val="120"/>
              </w:num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Maintien de la mobilité des personnes et des biens </w:t>
            </w:r>
          </w:p>
          <w:p w14:paraId="7459F201" w14:textId="77777777" w:rsidR="00CD1EB5" w:rsidRPr="00260790" w:rsidRDefault="00CD1EB5" w:rsidP="001748C6">
            <w:pPr>
              <w:pStyle w:val="Paragraphedeliste"/>
              <w:numPr>
                <w:ilvl w:val="0"/>
                <w:numId w:val="120"/>
              </w:num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eaux pluviales ;</w:t>
            </w:r>
          </w:p>
          <w:p w14:paraId="39A60301" w14:textId="77777777" w:rsidR="00CD1EB5" w:rsidRPr="00260790" w:rsidRDefault="00CD1EB5" w:rsidP="001748C6">
            <w:pPr>
              <w:pStyle w:val="Paragraphedeliste"/>
              <w:numPr>
                <w:ilvl w:val="0"/>
                <w:numId w:val="120"/>
              </w:num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Amélioration de la santé de la population ;</w:t>
            </w:r>
          </w:p>
          <w:p w14:paraId="30CE13C2" w14:textId="77777777" w:rsidR="00CD1EB5" w:rsidRPr="00260790" w:rsidRDefault="00CD1EB5" w:rsidP="001748C6">
            <w:pPr>
              <w:pStyle w:val="Paragraphedeliste"/>
              <w:numPr>
                <w:ilvl w:val="0"/>
                <w:numId w:val="120"/>
              </w:num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espèces floristiques ;</w:t>
            </w:r>
          </w:p>
          <w:p w14:paraId="6CD8BD82" w14:textId="77777777" w:rsidR="00CD1EB5" w:rsidRPr="00260790" w:rsidRDefault="00CD1EB5" w:rsidP="001748C6">
            <w:pPr>
              <w:pStyle w:val="Paragraphedeliste"/>
              <w:numPr>
                <w:ilvl w:val="0"/>
                <w:numId w:val="120"/>
              </w:num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 la tranquillité des riverains</w:t>
            </w:r>
          </w:p>
        </w:tc>
      </w:tr>
      <w:tr w:rsidR="00CD1EB5" w:rsidRPr="00260790" w14:paraId="2448E390" w14:textId="77777777" w:rsidTr="00CD1EB5">
        <w:trPr>
          <w:trHeight w:val="1450"/>
        </w:trPr>
        <w:tc>
          <w:tcPr>
            <w:tcW w:w="521" w:type="pct"/>
            <w:vMerge/>
            <w:shd w:val="clear" w:color="auto" w:fill="BDD6EE" w:themeFill="accent1" w:themeFillTint="66"/>
            <w:vAlign w:val="center"/>
          </w:tcPr>
          <w:p w14:paraId="4479E65D" w14:textId="77777777" w:rsidR="00CD1EB5" w:rsidRPr="00260790" w:rsidRDefault="00CD1EB5" w:rsidP="003A0E4A">
            <w:pPr>
              <w:spacing w:line="240" w:lineRule="auto"/>
              <w:rPr>
                <w:rFonts w:ascii="Times New Roman" w:hAnsi="Times New Roman"/>
                <w:b/>
                <w:color w:val="000000" w:themeColor="text1"/>
                <w:sz w:val="22"/>
                <w:szCs w:val="22"/>
                <w:lang w:val="fr-FR"/>
              </w:rPr>
            </w:pPr>
          </w:p>
        </w:tc>
        <w:tc>
          <w:tcPr>
            <w:tcW w:w="521" w:type="pct"/>
            <w:vAlign w:val="center"/>
          </w:tcPr>
          <w:p w14:paraId="1387590D" w14:textId="77777777" w:rsidR="00CD1EB5" w:rsidRPr="00260790" w:rsidRDefault="00CD1EB5" w:rsidP="003A0E4A">
            <w:pPr>
              <w:spacing w:line="240" w:lineRule="auto"/>
              <w:jc w:val="both"/>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BR_NC 09a</w:t>
            </w:r>
          </w:p>
        </w:tc>
        <w:tc>
          <w:tcPr>
            <w:tcW w:w="1574" w:type="pct"/>
            <w:vAlign w:val="center"/>
          </w:tcPr>
          <w:p w14:paraId="4A700457" w14:textId="1CF537D5"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Ce bassin, d’une superficie de 0,497 ha, est localisé dans le quartier </w:t>
            </w:r>
            <w:proofErr w:type="spellStart"/>
            <w:r w:rsidRPr="00260790">
              <w:rPr>
                <w:rFonts w:ascii="Times New Roman" w:hAnsi="Times New Roman"/>
                <w:color w:val="000000" w:themeColor="text1"/>
                <w:sz w:val="22"/>
                <w:szCs w:val="22"/>
                <w:lang w:val="fr-FR"/>
              </w:rPr>
              <w:t>Hamdalla</w:t>
            </w:r>
            <w:r w:rsidR="00073991">
              <w:rPr>
                <w:rFonts w:ascii="Times New Roman" w:hAnsi="Times New Roman"/>
                <w:color w:val="000000" w:themeColor="text1"/>
                <w:sz w:val="22"/>
                <w:szCs w:val="22"/>
                <w:lang w:val="fr-FR"/>
              </w:rPr>
              <w:t>y</w:t>
            </w:r>
            <w:r w:rsidRPr="00260790">
              <w:rPr>
                <w:rFonts w:ascii="Times New Roman" w:hAnsi="Times New Roman"/>
                <w:color w:val="000000" w:themeColor="text1"/>
                <w:sz w:val="22"/>
                <w:szCs w:val="22"/>
                <w:lang w:val="fr-FR"/>
              </w:rPr>
              <w:t>i</w:t>
            </w:r>
            <w:proofErr w:type="spellEnd"/>
            <w:r w:rsidRPr="00260790">
              <w:rPr>
                <w:rFonts w:ascii="Times New Roman" w:hAnsi="Times New Roman"/>
                <w:color w:val="000000" w:themeColor="text1"/>
                <w:sz w:val="22"/>
                <w:szCs w:val="22"/>
                <w:lang w:val="fr-FR"/>
              </w:rPr>
              <w:t xml:space="preserve"> 3. </w:t>
            </w:r>
          </w:p>
          <w:p w14:paraId="4663556C"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La nature des sols du site est de type brun rouge subaride et peu évolué hydromorphe.</w:t>
            </w:r>
          </w:p>
          <w:p w14:paraId="6BD0E593"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Il est localisé dans une zone inondable dans laquelle sont identifiés un tapis herbacé, des individus de </w:t>
            </w:r>
            <w:r w:rsidRPr="00260790">
              <w:rPr>
                <w:rFonts w:ascii="Times New Roman" w:hAnsi="Times New Roman"/>
                <w:i/>
                <w:color w:val="000000" w:themeColor="text1"/>
                <w:sz w:val="22"/>
                <w:szCs w:val="22"/>
                <w:lang w:val="fr-FR"/>
              </w:rPr>
              <w:t>Typha</w:t>
            </w:r>
            <w:r w:rsidRPr="00260790">
              <w:rPr>
                <w:rFonts w:ascii="Times New Roman" w:hAnsi="Times New Roman"/>
                <w:color w:val="000000" w:themeColor="text1"/>
                <w:sz w:val="22"/>
                <w:szCs w:val="22"/>
                <w:lang w:val="fr-FR"/>
              </w:rPr>
              <w:t xml:space="preserve">, </w:t>
            </w:r>
            <w:r w:rsidRPr="00260790">
              <w:rPr>
                <w:rFonts w:ascii="Times New Roman" w:hAnsi="Times New Roman"/>
                <w:i/>
                <w:iCs/>
                <w:color w:val="000000" w:themeColor="text1"/>
                <w:sz w:val="22"/>
                <w:szCs w:val="22"/>
                <w:lang w:val="fr-FR"/>
              </w:rPr>
              <w:t>Tamarix</w:t>
            </w:r>
            <w:r w:rsidRPr="00260790">
              <w:rPr>
                <w:rFonts w:ascii="Times New Roman" w:hAnsi="Times New Roman"/>
                <w:i/>
                <w:color w:val="000000" w:themeColor="text1"/>
                <w:sz w:val="22"/>
                <w:szCs w:val="22"/>
                <w:lang w:val="fr-FR"/>
              </w:rPr>
              <w:t xml:space="preserve"> senegalensis</w:t>
            </w:r>
            <w:r w:rsidRPr="00260790">
              <w:rPr>
                <w:rFonts w:ascii="Times New Roman" w:hAnsi="Times New Roman"/>
                <w:color w:val="000000" w:themeColor="text1"/>
                <w:sz w:val="22"/>
                <w:szCs w:val="22"/>
                <w:lang w:val="fr-FR"/>
              </w:rPr>
              <w:t xml:space="preserve"> et de </w:t>
            </w:r>
            <w:proofErr w:type="spellStart"/>
            <w:r w:rsidRPr="00260790">
              <w:rPr>
                <w:rFonts w:ascii="Times New Roman" w:hAnsi="Times New Roman"/>
                <w:i/>
                <w:iCs/>
                <w:color w:val="000000" w:themeColor="text1"/>
                <w:sz w:val="22"/>
                <w:szCs w:val="22"/>
                <w:lang w:val="fr-FR"/>
              </w:rPr>
              <w:t>Ricinus</w:t>
            </w:r>
            <w:proofErr w:type="spellEnd"/>
            <w:r w:rsidRPr="00260790">
              <w:rPr>
                <w:rFonts w:ascii="Times New Roman" w:hAnsi="Times New Roman"/>
                <w:i/>
                <w:iCs/>
                <w:color w:val="000000" w:themeColor="text1"/>
                <w:sz w:val="22"/>
                <w:szCs w:val="22"/>
                <w:lang w:val="fr-FR"/>
              </w:rPr>
              <w:t xml:space="preserve"> </w:t>
            </w:r>
            <w:proofErr w:type="spellStart"/>
            <w:r w:rsidRPr="00260790">
              <w:rPr>
                <w:rFonts w:ascii="Times New Roman" w:hAnsi="Times New Roman"/>
                <w:i/>
                <w:iCs/>
                <w:color w:val="000000" w:themeColor="text1"/>
                <w:sz w:val="22"/>
                <w:szCs w:val="22"/>
                <w:lang w:val="fr-FR"/>
              </w:rPr>
              <w:t>communis</w:t>
            </w:r>
            <w:proofErr w:type="spellEnd"/>
            <w:r w:rsidRPr="00260790">
              <w:rPr>
                <w:rFonts w:ascii="Times New Roman" w:hAnsi="Times New Roman"/>
                <w:color w:val="000000" w:themeColor="text1"/>
                <w:sz w:val="22"/>
                <w:szCs w:val="22"/>
                <w:lang w:val="fr-FR"/>
              </w:rPr>
              <w:t>…, des lotissements et des fondations dans le site. C’est également un lieu servant de dépotoirs pour les ordures ménagères. La faune est caractérisée par la présence d’oiseaux</w:t>
            </w:r>
            <w:r w:rsidRPr="00260790">
              <w:rPr>
                <w:rFonts w:ascii="Times New Roman" w:hAnsi="Times New Roman"/>
                <w:i/>
                <w:color w:val="000000" w:themeColor="text1"/>
                <w:sz w:val="22"/>
                <w:szCs w:val="22"/>
                <w:lang w:val="fr-FR"/>
              </w:rPr>
              <w:t xml:space="preserve"> </w:t>
            </w:r>
            <w:r w:rsidRPr="00260790">
              <w:rPr>
                <w:rFonts w:ascii="Times New Roman" w:hAnsi="Times New Roman"/>
                <w:iCs/>
                <w:color w:val="000000" w:themeColor="text1"/>
                <w:sz w:val="22"/>
                <w:szCs w:val="22"/>
                <w:lang w:val="fr-FR"/>
              </w:rPr>
              <w:t>(</w:t>
            </w:r>
            <w:r w:rsidRPr="00260790">
              <w:rPr>
                <w:rFonts w:ascii="Times New Roman" w:hAnsi="Times New Roman"/>
                <w:color w:val="000000" w:themeColor="text1"/>
                <w:sz w:val="22"/>
                <w:szCs w:val="22"/>
                <w:lang w:val="fr-FR"/>
              </w:rPr>
              <w:t>tourterelle maillée, milan à bec jaune), d’insectes (papillons, libellules). Des habitations, une place d’affaire, et un puits traditionnel sont identifiés aux alentours du site. L’école Pas à Pas (école préscolaire) est notée à environ 20 m du bassin.</w:t>
            </w:r>
            <w:r w:rsidRPr="00260790">
              <w:rPr>
                <w:rFonts w:ascii="Times New Roman" w:hAnsi="Times New Roman"/>
                <w:i/>
                <w:color w:val="000000" w:themeColor="text1"/>
                <w:sz w:val="22"/>
                <w:szCs w:val="22"/>
                <w:lang w:val="fr-FR"/>
              </w:rPr>
              <w:t xml:space="preserve"> </w:t>
            </w:r>
            <w:r w:rsidRPr="00260790">
              <w:rPr>
                <w:rFonts w:ascii="Times New Roman" w:hAnsi="Times New Roman"/>
                <w:color w:val="000000" w:themeColor="text1"/>
                <w:sz w:val="22"/>
                <w:szCs w:val="22"/>
                <w:lang w:val="fr-FR"/>
              </w:rPr>
              <w:t>Le bétail pâture dans la zone bien qu’elle ne soit pas une zone de pâturage.</w:t>
            </w:r>
          </w:p>
          <w:p w14:paraId="48043455"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p>
        </w:tc>
        <w:tc>
          <w:tcPr>
            <w:tcW w:w="1564" w:type="pct"/>
            <w:vAlign w:val="center"/>
          </w:tcPr>
          <w:p w14:paraId="64588B5A" w14:textId="77777777" w:rsidR="00CD1EB5" w:rsidRPr="00260790" w:rsidRDefault="00CD1EB5" w:rsidP="003A0E4A">
            <w:pPr>
              <w:keepNext/>
              <w:spacing w:line="240" w:lineRule="auto"/>
              <w:jc w:val="both"/>
              <w:rPr>
                <w:rFonts w:ascii="Times New Roman" w:hAnsi="Times New Roman"/>
                <w:color w:val="000000" w:themeColor="text1"/>
                <w:sz w:val="22"/>
                <w:szCs w:val="22"/>
                <w:lang w:val="fr-FR"/>
              </w:rPr>
            </w:pPr>
            <w:r w:rsidRPr="00260790">
              <w:rPr>
                <w:rFonts w:ascii="Times New Roman" w:hAnsi="Times New Roman"/>
                <w:noProof/>
                <w:color w:val="000000" w:themeColor="text1"/>
              </w:rPr>
              <w:drawing>
                <wp:inline distT="0" distB="0" distL="0" distR="0" wp14:anchorId="1BE0F2F0" wp14:editId="319D6C3E">
                  <wp:extent cx="2503170" cy="1877695"/>
                  <wp:effectExtent l="0" t="0" r="0" b="8255"/>
                  <wp:docPr id="134200730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779023" name="Image 1367779023"/>
                          <pic:cNvPicPr/>
                        </pic:nvPicPr>
                        <pic:blipFill>
                          <a:blip r:embed="rId25" cstate="email">
                            <a:extLst>
                              <a:ext uri="{28A0092B-C50C-407E-A947-70E740481C1C}">
                                <a14:useLocalDpi xmlns:a14="http://schemas.microsoft.com/office/drawing/2010/main"/>
                              </a:ext>
                            </a:extLst>
                          </a:blip>
                          <a:stretch>
                            <a:fillRect/>
                          </a:stretch>
                        </pic:blipFill>
                        <pic:spPr>
                          <a:xfrm>
                            <a:off x="0" y="0"/>
                            <a:ext cx="2503170" cy="1877695"/>
                          </a:xfrm>
                          <a:prstGeom prst="rect">
                            <a:avLst/>
                          </a:prstGeom>
                        </pic:spPr>
                      </pic:pic>
                    </a:graphicData>
                  </a:graphic>
                </wp:inline>
              </w:drawing>
            </w:r>
          </w:p>
          <w:p w14:paraId="33E6D9CE" w14:textId="77777777" w:rsidR="00CD1EB5" w:rsidRPr="00260790" w:rsidRDefault="00CD1EB5" w:rsidP="003A0E4A">
            <w:pPr>
              <w:spacing w:line="240" w:lineRule="auto"/>
              <w:jc w:val="both"/>
              <w:rPr>
                <w:rFonts w:ascii="Times New Roman" w:eastAsia="Times New Roman" w:hAnsi="Times New Roman"/>
                <w:i/>
                <w:iCs/>
                <w:color w:val="000000" w:themeColor="text1"/>
                <w:sz w:val="22"/>
                <w:szCs w:val="22"/>
                <w:lang w:val="fr-FR" w:eastAsia="fr-FR"/>
              </w:rPr>
            </w:pPr>
            <w:bookmarkStart w:id="342" w:name="_Toc212725203"/>
            <w:r w:rsidRPr="00260790">
              <w:rPr>
                <w:rFonts w:ascii="Times New Roman" w:eastAsia="Times New Roman" w:hAnsi="Times New Roman"/>
                <w:i/>
                <w:iCs/>
                <w:color w:val="000000" w:themeColor="text1"/>
                <w:sz w:val="22"/>
                <w:szCs w:val="22"/>
                <w:lang w:val="fr-FR" w:eastAsia="fr-FR"/>
              </w:rPr>
              <w:t xml:space="preserve">Photo </w:t>
            </w:r>
            <w:r w:rsidRPr="00260790">
              <w:rPr>
                <w:rFonts w:ascii="Times New Roman" w:eastAsia="Times New Roman" w:hAnsi="Times New Roman"/>
                <w:i/>
                <w:iCs/>
                <w:color w:val="000000" w:themeColor="text1"/>
                <w:lang w:eastAsia="fr-FR"/>
              </w:rPr>
              <w:fldChar w:fldCharType="begin"/>
            </w:r>
            <w:r w:rsidRPr="00260790">
              <w:rPr>
                <w:rFonts w:ascii="Times New Roman" w:eastAsia="Times New Roman" w:hAnsi="Times New Roman"/>
                <w:i/>
                <w:iCs/>
                <w:color w:val="000000" w:themeColor="text1"/>
                <w:sz w:val="22"/>
                <w:szCs w:val="22"/>
                <w:lang w:val="fr-FR" w:eastAsia="fr-FR"/>
              </w:rPr>
              <w:instrText xml:space="preserve"> SEQ Photo \* ARABIC </w:instrText>
            </w:r>
            <w:r w:rsidRPr="00260790">
              <w:rPr>
                <w:rFonts w:ascii="Times New Roman" w:eastAsia="Times New Roman" w:hAnsi="Times New Roman"/>
                <w:i/>
                <w:iCs/>
                <w:color w:val="000000" w:themeColor="text1"/>
                <w:lang w:eastAsia="fr-FR"/>
              </w:rPr>
              <w:fldChar w:fldCharType="separate"/>
            </w:r>
            <w:r w:rsidRPr="00260790">
              <w:rPr>
                <w:rFonts w:ascii="Times New Roman" w:eastAsia="Times New Roman" w:hAnsi="Times New Roman"/>
                <w:i/>
                <w:iCs/>
                <w:noProof/>
                <w:color w:val="000000" w:themeColor="text1"/>
                <w:sz w:val="22"/>
                <w:szCs w:val="22"/>
                <w:lang w:val="fr-FR" w:eastAsia="fr-FR"/>
              </w:rPr>
              <w:t>4</w:t>
            </w:r>
            <w:r w:rsidRPr="00260790">
              <w:rPr>
                <w:rFonts w:ascii="Times New Roman" w:eastAsia="Times New Roman" w:hAnsi="Times New Roman"/>
                <w:i/>
                <w:iCs/>
                <w:color w:val="000000" w:themeColor="text1"/>
                <w:lang w:eastAsia="fr-FR"/>
              </w:rPr>
              <w:fldChar w:fldCharType="end"/>
            </w:r>
            <w:r w:rsidRPr="00260790">
              <w:rPr>
                <w:rFonts w:ascii="Times New Roman" w:eastAsia="Times New Roman" w:hAnsi="Times New Roman"/>
                <w:i/>
                <w:iCs/>
                <w:color w:val="000000" w:themeColor="text1"/>
                <w:sz w:val="22"/>
                <w:szCs w:val="22"/>
                <w:lang w:val="fr-FR" w:eastAsia="fr-FR"/>
              </w:rPr>
              <w:t> :</w:t>
            </w:r>
            <w:r w:rsidRPr="00260790">
              <w:rPr>
                <w:rFonts w:ascii="Times New Roman" w:hAnsi="Times New Roman"/>
                <w:i/>
                <w:color w:val="000000" w:themeColor="text1"/>
                <w:sz w:val="22"/>
                <w:szCs w:val="22"/>
                <w:lang w:val="fr-FR"/>
              </w:rPr>
              <w:t xml:space="preserve"> fondation dans la zone du BRNC09A</w:t>
            </w:r>
            <w:bookmarkEnd w:id="342"/>
            <w:r w:rsidRPr="00260790" w:rsidDel="00D27030">
              <w:rPr>
                <w:rFonts w:ascii="Times New Roman" w:hAnsi="Times New Roman"/>
                <w:i/>
                <w:color w:val="000000" w:themeColor="text1"/>
                <w:sz w:val="22"/>
                <w:szCs w:val="22"/>
                <w:lang w:val="fr-FR"/>
              </w:rPr>
              <w:t xml:space="preserve"> </w:t>
            </w:r>
          </w:p>
          <w:p w14:paraId="3A3E9312"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p>
          <w:p w14:paraId="0D9CEE36"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p>
          <w:p w14:paraId="586B4AD5" w14:textId="77777777" w:rsidR="00CD1EB5" w:rsidRPr="00260790" w:rsidRDefault="00CD1EB5" w:rsidP="003A0E4A">
            <w:pPr>
              <w:keepNext/>
              <w:spacing w:line="240" w:lineRule="auto"/>
              <w:jc w:val="both"/>
              <w:rPr>
                <w:rFonts w:ascii="Times New Roman" w:hAnsi="Times New Roman"/>
                <w:color w:val="000000" w:themeColor="text1"/>
                <w:sz w:val="22"/>
                <w:szCs w:val="22"/>
                <w:lang w:val="fr-FR"/>
              </w:rPr>
            </w:pPr>
            <w:r w:rsidRPr="00260790">
              <w:rPr>
                <w:rFonts w:ascii="Times New Roman" w:hAnsi="Times New Roman"/>
                <w:noProof/>
                <w:color w:val="000000" w:themeColor="text1"/>
              </w:rPr>
              <w:lastRenderedPageBreak/>
              <w:drawing>
                <wp:inline distT="0" distB="0" distL="0" distR="0" wp14:anchorId="39946CB7" wp14:editId="3335CA44">
                  <wp:extent cx="2735580" cy="1454046"/>
                  <wp:effectExtent l="0" t="0" r="0" b="0"/>
                  <wp:docPr id="134200730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466922" name="Image 1095466922"/>
                          <pic:cNvPicPr/>
                        </pic:nvPicPr>
                        <pic:blipFill>
                          <a:blip r:embed="rId26" cstate="email">
                            <a:extLst>
                              <a:ext uri="{28A0092B-C50C-407E-A947-70E740481C1C}">
                                <a14:useLocalDpi xmlns:a14="http://schemas.microsoft.com/office/drawing/2010/main"/>
                              </a:ext>
                            </a:extLst>
                          </a:blip>
                          <a:stretch>
                            <a:fillRect/>
                          </a:stretch>
                        </pic:blipFill>
                        <pic:spPr>
                          <a:xfrm>
                            <a:off x="0" y="0"/>
                            <a:ext cx="2754224" cy="1463956"/>
                          </a:xfrm>
                          <a:prstGeom prst="rect">
                            <a:avLst/>
                          </a:prstGeom>
                        </pic:spPr>
                      </pic:pic>
                    </a:graphicData>
                  </a:graphic>
                </wp:inline>
              </w:drawing>
            </w:r>
          </w:p>
          <w:p w14:paraId="2722B694" w14:textId="77777777" w:rsidR="00CD1EB5" w:rsidRPr="00260790" w:rsidRDefault="00CD1EB5" w:rsidP="003A0E4A">
            <w:pPr>
              <w:spacing w:line="240" w:lineRule="auto"/>
              <w:jc w:val="both"/>
              <w:rPr>
                <w:rFonts w:ascii="Times New Roman" w:eastAsia="Times New Roman" w:hAnsi="Times New Roman"/>
                <w:i/>
                <w:iCs/>
                <w:color w:val="000000" w:themeColor="text1"/>
                <w:sz w:val="22"/>
                <w:szCs w:val="22"/>
                <w:lang w:val="fr-FR" w:eastAsia="fr-FR"/>
              </w:rPr>
            </w:pPr>
            <w:bookmarkStart w:id="343" w:name="_Toc212725204"/>
            <w:r w:rsidRPr="00260790">
              <w:rPr>
                <w:rFonts w:ascii="Times New Roman" w:eastAsia="Times New Roman" w:hAnsi="Times New Roman"/>
                <w:i/>
                <w:iCs/>
                <w:color w:val="000000" w:themeColor="text1"/>
                <w:sz w:val="22"/>
                <w:szCs w:val="22"/>
                <w:lang w:val="fr-FR" w:eastAsia="fr-FR"/>
              </w:rPr>
              <w:t xml:space="preserve">Photo </w:t>
            </w:r>
            <w:r w:rsidRPr="00260790">
              <w:rPr>
                <w:rFonts w:ascii="Times New Roman" w:eastAsia="Times New Roman" w:hAnsi="Times New Roman"/>
                <w:color w:val="000000" w:themeColor="text1"/>
                <w:lang w:eastAsia="fr-FR"/>
              </w:rPr>
              <w:fldChar w:fldCharType="begin"/>
            </w:r>
            <w:r w:rsidRPr="00260790">
              <w:rPr>
                <w:rFonts w:ascii="Times New Roman" w:eastAsia="Times New Roman" w:hAnsi="Times New Roman"/>
                <w:i/>
                <w:iCs/>
                <w:color w:val="000000" w:themeColor="text1"/>
                <w:sz w:val="22"/>
                <w:szCs w:val="22"/>
                <w:lang w:val="fr-FR" w:eastAsia="fr-FR"/>
              </w:rPr>
              <w:instrText xml:space="preserve"> SEQ Photo \* ARABIC </w:instrText>
            </w:r>
            <w:r w:rsidRPr="00260790">
              <w:rPr>
                <w:rFonts w:ascii="Times New Roman" w:eastAsia="Times New Roman" w:hAnsi="Times New Roman"/>
                <w:color w:val="000000" w:themeColor="text1"/>
                <w:lang w:eastAsia="fr-FR"/>
              </w:rPr>
              <w:fldChar w:fldCharType="separate"/>
            </w:r>
            <w:r w:rsidRPr="00260790">
              <w:rPr>
                <w:rFonts w:ascii="Times New Roman" w:eastAsia="Times New Roman" w:hAnsi="Times New Roman"/>
                <w:i/>
                <w:iCs/>
                <w:noProof/>
                <w:color w:val="000000" w:themeColor="text1"/>
                <w:sz w:val="22"/>
                <w:szCs w:val="22"/>
                <w:lang w:val="fr-FR" w:eastAsia="fr-FR"/>
              </w:rPr>
              <w:t>5</w:t>
            </w:r>
            <w:r w:rsidRPr="00260790">
              <w:rPr>
                <w:rFonts w:ascii="Times New Roman" w:eastAsia="Times New Roman" w:hAnsi="Times New Roman"/>
                <w:color w:val="000000" w:themeColor="text1"/>
                <w:lang w:eastAsia="fr-FR"/>
              </w:rPr>
              <w:fldChar w:fldCharType="end"/>
            </w:r>
            <w:r w:rsidRPr="00260790">
              <w:rPr>
                <w:rFonts w:ascii="Times New Roman" w:eastAsia="Times New Roman" w:hAnsi="Times New Roman"/>
                <w:i/>
                <w:iCs/>
                <w:color w:val="000000" w:themeColor="text1"/>
                <w:sz w:val="22"/>
                <w:szCs w:val="22"/>
                <w:lang w:val="fr-FR" w:eastAsia="fr-FR"/>
              </w:rPr>
              <w:t xml:space="preserve"> dépôt d’ordures sur le site du BRNC09A</w:t>
            </w:r>
            <w:bookmarkEnd w:id="343"/>
          </w:p>
          <w:p w14:paraId="79C32680" w14:textId="77777777" w:rsidR="00CD1EB5" w:rsidRPr="00260790" w:rsidRDefault="00CD1EB5" w:rsidP="003A0E4A">
            <w:pPr>
              <w:keepNext/>
              <w:spacing w:line="240" w:lineRule="auto"/>
              <w:jc w:val="both"/>
              <w:rPr>
                <w:rFonts w:ascii="Times New Roman" w:hAnsi="Times New Roman"/>
                <w:color w:val="000000" w:themeColor="text1"/>
                <w:sz w:val="22"/>
                <w:szCs w:val="22"/>
                <w:lang w:val="fr-FR"/>
              </w:rPr>
            </w:pPr>
            <w:r w:rsidRPr="00260790">
              <w:rPr>
                <w:rFonts w:ascii="Times New Roman" w:hAnsi="Times New Roman"/>
                <w:i/>
                <w:noProof/>
                <w:color w:val="000000" w:themeColor="text1"/>
              </w:rPr>
              <w:drawing>
                <wp:inline distT="0" distB="0" distL="0" distR="0" wp14:anchorId="4ED9872E" wp14:editId="09BD0357">
                  <wp:extent cx="2734945" cy="1401581"/>
                  <wp:effectExtent l="0" t="0" r="0" b="0"/>
                  <wp:docPr id="1342007307"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746307" name="Image 1318746307"/>
                          <pic:cNvPicPr/>
                        </pic:nvPicPr>
                        <pic:blipFill>
                          <a:blip r:embed="rId27" cstate="email">
                            <a:extLst>
                              <a:ext uri="{28A0092B-C50C-407E-A947-70E740481C1C}">
                                <a14:useLocalDpi xmlns:a14="http://schemas.microsoft.com/office/drawing/2010/main"/>
                              </a:ext>
                            </a:extLst>
                          </a:blip>
                          <a:stretch>
                            <a:fillRect/>
                          </a:stretch>
                        </pic:blipFill>
                        <pic:spPr>
                          <a:xfrm>
                            <a:off x="0" y="0"/>
                            <a:ext cx="2749119" cy="1408845"/>
                          </a:xfrm>
                          <a:prstGeom prst="rect">
                            <a:avLst/>
                          </a:prstGeom>
                        </pic:spPr>
                      </pic:pic>
                    </a:graphicData>
                  </a:graphic>
                </wp:inline>
              </w:drawing>
            </w:r>
          </w:p>
          <w:p w14:paraId="4EA8FB6E" w14:textId="77777777" w:rsidR="00CD1EB5" w:rsidRPr="00260790" w:rsidRDefault="00CD1EB5" w:rsidP="003A0E4A">
            <w:pPr>
              <w:spacing w:line="240" w:lineRule="auto"/>
              <w:jc w:val="both"/>
              <w:rPr>
                <w:rFonts w:ascii="Times New Roman" w:eastAsia="Times New Roman" w:hAnsi="Times New Roman"/>
                <w:i/>
                <w:iCs/>
                <w:color w:val="000000" w:themeColor="text1"/>
                <w:sz w:val="22"/>
                <w:szCs w:val="22"/>
                <w:lang w:val="fr-FR" w:eastAsia="fr-FR"/>
              </w:rPr>
            </w:pPr>
            <w:bookmarkStart w:id="344" w:name="_Toc212725205"/>
            <w:r w:rsidRPr="00260790">
              <w:rPr>
                <w:rFonts w:ascii="Times New Roman" w:eastAsia="Times New Roman" w:hAnsi="Times New Roman"/>
                <w:i/>
                <w:iCs/>
                <w:color w:val="000000" w:themeColor="text1"/>
                <w:sz w:val="22"/>
                <w:szCs w:val="22"/>
                <w:lang w:val="fr-FR" w:eastAsia="fr-FR"/>
              </w:rPr>
              <w:t xml:space="preserve">Photo </w:t>
            </w:r>
            <w:r w:rsidRPr="00260790">
              <w:rPr>
                <w:rFonts w:ascii="Times New Roman" w:eastAsia="Times New Roman" w:hAnsi="Times New Roman"/>
                <w:color w:val="000000" w:themeColor="text1"/>
                <w:lang w:eastAsia="fr-FR"/>
              </w:rPr>
              <w:fldChar w:fldCharType="begin"/>
            </w:r>
            <w:r w:rsidRPr="00260790">
              <w:rPr>
                <w:rFonts w:ascii="Times New Roman" w:eastAsia="Times New Roman" w:hAnsi="Times New Roman"/>
                <w:i/>
                <w:iCs/>
                <w:color w:val="000000" w:themeColor="text1"/>
                <w:sz w:val="22"/>
                <w:szCs w:val="22"/>
                <w:lang w:val="fr-FR" w:eastAsia="fr-FR"/>
              </w:rPr>
              <w:instrText xml:space="preserve"> SEQ Photo \* ARABIC </w:instrText>
            </w:r>
            <w:r w:rsidRPr="00260790">
              <w:rPr>
                <w:rFonts w:ascii="Times New Roman" w:eastAsia="Times New Roman" w:hAnsi="Times New Roman"/>
                <w:color w:val="000000" w:themeColor="text1"/>
                <w:lang w:eastAsia="fr-FR"/>
              </w:rPr>
              <w:fldChar w:fldCharType="separate"/>
            </w:r>
            <w:r w:rsidRPr="00260790">
              <w:rPr>
                <w:rFonts w:ascii="Times New Roman" w:eastAsia="Times New Roman" w:hAnsi="Times New Roman"/>
                <w:i/>
                <w:iCs/>
                <w:noProof/>
                <w:color w:val="000000" w:themeColor="text1"/>
                <w:sz w:val="22"/>
                <w:szCs w:val="22"/>
                <w:lang w:val="fr-FR" w:eastAsia="fr-FR"/>
              </w:rPr>
              <w:t>6</w:t>
            </w:r>
            <w:r w:rsidRPr="00260790">
              <w:rPr>
                <w:rFonts w:ascii="Times New Roman" w:eastAsia="Times New Roman" w:hAnsi="Times New Roman"/>
                <w:color w:val="000000" w:themeColor="text1"/>
                <w:lang w:eastAsia="fr-FR"/>
              </w:rPr>
              <w:fldChar w:fldCharType="end"/>
            </w:r>
            <w:r w:rsidRPr="00260790">
              <w:rPr>
                <w:rFonts w:ascii="Times New Roman" w:eastAsia="Times New Roman" w:hAnsi="Times New Roman"/>
                <w:i/>
                <w:iCs/>
                <w:color w:val="000000" w:themeColor="text1"/>
                <w:sz w:val="22"/>
                <w:szCs w:val="22"/>
                <w:lang w:val="fr-FR" w:eastAsia="fr-FR"/>
              </w:rPr>
              <w:t xml:space="preserve"> : habitations </w:t>
            </w:r>
            <w:r w:rsidRPr="00260790">
              <w:rPr>
                <w:rFonts w:ascii="Times New Roman" w:eastAsia="Times New Roman" w:hAnsi="Times New Roman"/>
                <w:iCs/>
                <w:color w:val="000000" w:themeColor="text1"/>
                <w:sz w:val="22"/>
                <w:szCs w:val="22"/>
                <w:lang w:val="fr-FR" w:eastAsia="fr-FR"/>
              </w:rPr>
              <w:t xml:space="preserve">et place d’affaire </w:t>
            </w:r>
            <w:r w:rsidRPr="00260790">
              <w:rPr>
                <w:rFonts w:ascii="Times New Roman" w:eastAsia="Times New Roman" w:hAnsi="Times New Roman"/>
                <w:i/>
                <w:iCs/>
                <w:color w:val="000000" w:themeColor="text1"/>
                <w:sz w:val="22"/>
                <w:szCs w:val="22"/>
                <w:lang w:val="fr-FR" w:eastAsia="fr-FR"/>
              </w:rPr>
              <w:t xml:space="preserve">à la limite </w:t>
            </w:r>
            <w:r w:rsidRPr="00260790">
              <w:rPr>
                <w:rFonts w:ascii="Times New Roman" w:eastAsia="Times New Roman" w:hAnsi="Times New Roman"/>
                <w:iCs/>
                <w:color w:val="000000" w:themeColor="text1"/>
                <w:sz w:val="22"/>
                <w:szCs w:val="22"/>
                <w:lang w:val="fr-FR" w:eastAsia="fr-FR"/>
              </w:rPr>
              <w:t>du</w:t>
            </w:r>
            <w:r w:rsidRPr="00260790">
              <w:rPr>
                <w:rFonts w:ascii="Times New Roman" w:eastAsia="Times New Roman" w:hAnsi="Times New Roman"/>
                <w:i/>
                <w:iCs/>
                <w:color w:val="000000" w:themeColor="text1"/>
                <w:sz w:val="22"/>
                <w:szCs w:val="22"/>
                <w:lang w:val="fr-FR" w:eastAsia="fr-FR"/>
              </w:rPr>
              <w:t xml:space="preserve"> site du BRNC09A</w:t>
            </w:r>
            <w:bookmarkEnd w:id="344"/>
          </w:p>
        </w:tc>
        <w:tc>
          <w:tcPr>
            <w:tcW w:w="821" w:type="pct"/>
            <w:vAlign w:val="center"/>
          </w:tcPr>
          <w:p w14:paraId="43C27943"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Préservation des habitations ;</w:t>
            </w:r>
          </w:p>
          <w:p w14:paraId="16B2D210"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Maintien de la mobilité des personnes et des biens ;</w:t>
            </w:r>
          </w:p>
          <w:p w14:paraId="653177AB"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eaux pluviales ;</w:t>
            </w:r>
          </w:p>
          <w:p w14:paraId="35C8BC61"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déchets ;</w:t>
            </w:r>
          </w:p>
          <w:p w14:paraId="70EFA63C"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 la santé de la population ;</w:t>
            </w:r>
          </w:p>
          <w:p w14:paraId="34C93333"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espèces floristiques ;</w:t>
            </w:r>
          </w:p>
          <w:p w14:paraId="25BDF87B"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biens et des activités socio-économiques ;</w:t>
            </w:r>
          </w:p>
          <w:p w14:paraId="03F24F11"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Maintien de la mobilité du cheptel</w:t>
            </w:r>
          </w:p>
          <w:p w14:paraId="01D0047D"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p>
        </w:tc>
      </w:tr>
      <w:tr w:rsidR="00CD1EB5" w:rsidRPr="00260790" w14:paraId="3AE71730" w14:textId="77777777" w:rsidTr="00CD1EB5">
        <w:trPr>
          <w:trHeight w:val="1450"/>
        </w:trPr>
        <w:tc>
          <w:tcPr>
            <w:tcW w:w="521" w:type="pct"/>
            <w:vMerge w:val="restart"/>
            <w:shd w:val="clear" w:color="auto" w:fill="E2EFD9" w:themeFill="accent6" w:themeFillTint="33"/>
            <w:vAlign w:val="center"/>
          </w:tcPr>
          <w:p w14:paraId="1B4ECEFA" w14:textId="77777777" w:rsidR="00CD1EB5" w:rsidRPr="00260790" w:rsidRDefault="00CD1EB5" w:rsidP="003A0E4A">
            <w:pPr>
              <w:spacing w:line="240" w:lineRule="auto"/>
              <w:rPr>
                <w:rFonts w:ascii="Times New Roman" w:hAnsi="Times New Roman"/>
                <w:b/>
                <w:color w:val="000000" w:themeColor="text1"/>
                <w:sz w:val="22"/>
                <w:szCs w:val="22"/>
                <w:lang w:val="fr-FR"/>
              </w:rPr>
            </w:pPr>
            <w:proofErr w:type="spellStart"/>
            <w:r w:rsidRPr="00260790">
              <w:rPr>
                <w:rFonts w:ascii="Times New Roman" w:hAnsi="Times New Roman"/>
                <w:b/>
                <w:color w:val="000000" w:themeColor="text1"/>
                <w:sz w:val="22"/>
                <w:szCs w:val="22"/>
                <w:lang w:val="fr-FR"/>
              </w:rPr>
              <w:lastRenderedPageBreak/>
              <w:t>Jaxaay</w:t>
            </w:r>
            <w:proofErr w:type="spellEnd"/>
            <w:r w:rsidRPr="00260790">
              <w:rPr>
                <w:rFonts w:ascii="Times New Roman" w:hAnsi="Times New Roman"/>
                <w:b/>
                <w:color w:val="000000" w:themeColor="text1"/>
                <w:sz w:val="22"/>
                <w:szCs w:val="22"/>
                <w:lang w:val="fr-FR"/>
              </w:rPr>
              <w:t xml:space="preserve"> parcelle </w:t>
            </w:r>
            <w:proofErr w:type="spellStart"/>
            <w:r w:rsidRPr="00260790">
              <w:rPr>
                <w:rFonts w:ascii="Times New Roman" w:hAnsi="Times New Roman"/>
                <w:b/>
                <w:color w:val="000000" w:themeColor="text1"/>
                <w:sz w:val="22"/>
                <w:szCs w:val="22"/>
                <w:lang w:val="fr-FR"/>
              </w:rPr>
              <w:t>Niakoul</w:t>
            </w:r>
            <w:proofErr w:type="spellEnd"/>
            <w:r w:rsidRPr="00260790">
              <w:rPr>
                <w:rFonts w:ascii="Times New Roman" w:hAnsi="Times New Roman"/>
                <w:b/>
                <w:color w:val="000000" w:themeColor="text1"/>
                <w:sz w:val="22"/>
                <w:szCs w:val="22"/>
                <w:lang w:val="fr-FR"/>
              </w:rPr>
              <w:t xml:space="preserve"> Rap</w:t>
            </w:r>
          </w:p>
        </w:tc>
        <w:tc>
          <w:tcPr>
            <w:tcW w:w="521" w:type="pct"/>
            <w:vAlign w:val="center"/>
          </w:tcPr>
          <w:p w14:paraId="39671820" w14:textId="77777777" w:rsidR="00CD1EB5" w:rsidRPr="00260790" w:rsidRDefault="00CD1EB5" w:rsidP="003A0E4A">
            <w:pPr>
              <w:spacing w:line="240" w:lineRule="auto"/>
              <w:jc w:val="both"/>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BR_NC 03d</w:t>
            </w:r>
          </w:p>
        </w:tc>
        <w:tc>
          <w:tcPr>
            <w:tcW w:w="1574" w:type="pct"/>
            <w:vAlign w:val="center"/>
          </w:tcPr>
          <w:p w14:paraId="43154C28"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Ce bassin est partagé entre les quartiers </w:t>
            </w:r>
            <w:proofErr w:type="spellStart"/>
            <w:r w:rsidRPr="00260790">
              <w:rPr>
                <w:rFonts w:ascii="Times New Roman" w:hAnsi="Times New Roman"/>
                <w:color w:val="000000" w:themeColor="text1"/>
                <w:sz w:val="22"/>
                <w:szCs w:val="22"/>
                <w:lang w:val="fr-FR"/>
              </w:rPr>
              <w:t>Niakoul</w:t>
            </w:r>
            <w:proofErr w:type="spellEnd"/>
            <w:r w:rsidRPr="00260790">
              <w:rPr>
                <w:rFonts w:ascii="Times New Roman" w:hAnsi="Times New Roman"/>
                <w:color w:val="000000" w:themeColor="text1"/>
                <w:sz w:val="22"/>
                <w:szCs w:val="22"/>
                <w:lang w:val="fr-FR"/>
              </w:rPr>
              <w:t xml:space="preserve"> Rap extension et Parcelles Assainies unité 26 et 27. Mais les ¾ du bassin sont situés dans le quartier </w:t>
            </w:r>
            <w:proofErr w:type="spellStart"/>
            <w:r w:rsidRPr="00260790">
              <w:rPr>
                <w:rFonts w:ascii="Times New Roman" w:hAnsi="Times New Roman"/>
                <w:color w:val="000000" w:themeColor="text1"/>
                <w:sz w:val="22"/>
                <w:szCs w:val="22"/>
                <w:lang w:val="fr-FR"/>
              </w:rPr>
              <w:t>Niakoul</w:t>
            </w:r>
            <w:proofErr w:type="spellEnd"/>
            <w:r w:rsidRPr="00260790">
              <w:rPr>
                <w:rFonts w:ascii="Times New Roman" w:hAnsi="Times New Roman"/>
                <w:color w:val="000000" w:themeColor="text1"/>
                <w:sz w:val="22"/>
                <w:szCs w:val="22"/>
                <w:lang w:val="fr-FR"/>
              </w:rPr>
              <w:t xml:space="preserve"> Rap extension. Ce bassin couvre une superficie de 1,866 ha. </w:t>
            </w:r>
          </w:p>
          <w:p w14:paraId="23176DC7" w14:textId="066BB548"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La nature des sols du site est de type brun rouge subaride et peu évolué hydromorphe</w:t>
            </w:r>
            <w:r w:rsidR="008C1FE5">
              <w:rPr>
                <w:rFonts w:ascii="Times New Roman" w:hAnsi="Times New Roman"/>
                <w:color w:val="000000" w:themeColor="text1"/>
                <w:sz w:val="22"/>
                <w:szCs w:val="22"/>
                <w:lang w:val="fr-FR"/>
              </w:rPr>
              <w:t>.</w:t>
            </w:r>
            <w:r w:rsidRPr="00260790">
              <w:rPr>
                <w:rFonts w:ascii="Times New Roman" w:hAnsi="Times New Roman"/>
                <w:color w:val="000000" w:themeColor="text1"/>
                <w:sz w:val="22"/>
                <w:szCs w:val="22"/>
                <w:lang w:val="fr-FR"/>
              </w:rPr>
              <w:t xml:space="preserve"> Ce bassin est occupé par une aire de jeu, un lotissement, des lignes B</w:t>
            </w:r>
            <w:r w:rsidR="008C1FE5">
              <w:rPr>
                <w:rFonts w:ascii="Times New Roman" w:hAnsi="Times New Roman"/>
                <w:color w:val="000000" w:themeColor="text1"/>
                <w:sz w:val="22"/>
                <w:szCs w:val="22"/>
                <w:lang w:val="fr-FR"/>
              </w:rPr>
              <w:t>T</w:t>
            </w:r>
            <w:r w:rsidRPr="00260790">
              <w:rPr>
                <w:rFonts w:ascii="Times New Roman" w:hAnsi="Times New Roman"/>
                <w:color w:val="000000" w:themeColor="text1"/>
                <w:sz w:val="22"/>
                <w:szCs w:val="22"/>
                <w:lang w:val="fr-FR"/>
              </w:rPr>
              <w:t>, une piste en terre, un enclos non clôturé, une zone de pâturage et un périmètre agricole clôturé en bois et grillage.</w:t>
            </w:r>
          </w:p>
          <w:p w14:paraId="54DB3D90"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Ce bassin est occupé par une végétation composée de Typha, </w:t>
            </w:r>
            <w:proofErr w:type="spellStart"/>
            <w:r w:rsidRPr="00260790">
              <w:rPr>
                <w:rFonts w:ascii="Times New Roman" w:hAnsi="Times New Roman"/>
                <w:i/>
                <w:color w:val="000000" w:themeColor="text1"/>
                <w:sz w:val="22"/>
                <w:szCs w:val="22"/>
                <w:lang w:val="fr-FR"/>
              </w:rPr>
              <w:t>Calotropis</w:t>
            </w:r>
            <w:proofErr w:type="spellEnd"/>
            <w:r w:rsidRPr="00260790">
              <w:rPr>
                <w:rFonts w:ascii="Times New Roman" w:hAnsi="Times New Roman"/>
                <w:i/>
                <w:color w:val="000000" w:themeColor="text1"/>
                <w:sz w:val="22"/>
                <w:szCs w:val="22"/>
                <w:lang w:val="fr-FR"/>
              </w:rPr>
              <w:t xml:space="preserve"> </w:t>
            </w:r>
            <w:proofErr w:type="spellStart"/>
            <w:r w:rsidRPr="00260790">
              <w:rPr>
                <w:rFonts w:ascii="Times New Roman" w:hAnsi="Times New Roman"/>
                <w:i/>
                <w:color w:val="000000" w:themeColor="text1"/>
                <w:sz w:val="22"/>
                <w:szCs w:val="22"/>
                <w:lang w:val="fr-FR"/>
              </w:rPr>
              <w:t>procera</w:t>
            </w:r>
            <w:proofErr w:type="spellEnd"/>
            <w:r w:rsidRPr="00260790">
              <w:rPr>
                <w:rFonts w:ascii="Times New Roman" w:hAnsi="Times New Roman"/>
                <w:color w:val="000000" w:themeColor="text1"/>
                <w:sz w:val="22"/>
                <w:szCs w:val="22"/>
                <w:lang w:val="fr-FR"/>
              </w:rPr>
              <w:t xml:space="preserve"> et de </w:t>
            </w:r>
            <w:r w:rsidRPr="00260790">
              <w:rPr>
                <w:rFonts w:ascii="Times New Roman" w:hAnsi="Times New Roman"/>
                <w:i/>
                <w:color w:val="000000" w:themeColor="text1"/>
                <w:sz w:val="22"/>
                <w:szCs w:val="22"/>
                <w:lang w:val="fr-FR"/>
              </w:rPr>
              <w:t xml:space="preserve">Tamarix </w:t>
            </w:r>
            <w:r w:rsidRPr="00260790">
              <w:rPr>
                <w:rFonts w:ascii="Times New Roman" w:hAnsi="Times New Roman"/>
                <w:i/>
                <w:color w:val="000000" w:themeColor="text1"/>
                <w:sz w:val="22"/>
                <w:szCs w:val="22"/>
                <w:lang w:val="fr-FR"/>
              </w:rPr>
              <w:lastRenderedPageBreak/>
              <w:t>senegalensis</w:t>
            </w:r>
            <w:r w:rsidRPr="00260790">
              <w:rPr>
                <w:rFonts w:ascii="Times New Roman" w:hAnsi="Times New Roman"/>
                <w:color w:val="000000" w:themeColor="text1"/>
                <w:sz w:val="22"/>
                <w:szCs w:val="22"/>
                <w:lang w:val="fr-FR"/>
              </w:rPr>
              <w:t>. La faune est constituée de héron garde-bœuf, milan à bec jaune et de corbeau pie.</w:t>
            </w:r>
          </w:p>
          <w:p w14:paraId="79D5A815" w14:textId="77777777" w:rsidR="00CD1EB5" w:rsidRPr="00260790" w:rsidRDefault="00CD1EB5" w:rsidP="003A0E4A">
            <w:pPr>
              <w:spacing w:line="240" w:lineRule="auto"/>
              <w:ind w:left="50" w:hanging="50"/>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Le site est limité par une piste où passe le collecteur BR_NC 10 vers BR_NC 03d et des habitations de part et d’autre, une école franco-arabe Darou Tafsir à quelques mètres, une école (Institution d’enseignement moderne MADIBA) à proximité du réseau.</w:t>
            </w:r>
          </w:p>
        </w:tc>
        <w:tc>
          <w:tcPr>
            <w:tcW w:w="1564" w:type="pct"/>
            <w:vAlign w:val="center"/>
          </w:tcPr>
          <w:p w14:paraId="149E279D" w14:textId="77777777" w:rsidR="00CD1EB5" w:rsidRPr="00260790" w:rsidRDefault="00CD1EB5" w:rsidP="003A0E4A">
            <w:pPr>
              <w:keepNext/>
              <w:spacing w:line="240" w:lineRule="auto"/>
              <w:jc w:val="both"/>
              <w:rPr>
                <w:rFonts w:ascii="Times New Roman" w:hAnsi="Times New Roman"/>
                <w:sz w:val="22"/>
                <w:szCs w:val="22"/>
              </w:rPr>
            </w:pPr>
            <w:r w:rsidRPr="00260790">
              <w:rPr>
                <w:rFonts w:ascii="Times New Roman" w:hAnsi="Times New Roman"/>
                <w:noProof/>
                <w:color w:val="000000" w:themeColor="text1"/>
              </w:rPr>
              <w:lastRenderedPageBreak/>
              <w:drawing>
                <wp:inline distT="0" distB="0" distL="0" distR="0" wp14:anchorId="1845EB6D" wp14:editId="226EA502">
                  <wp:extent cx="2735580" cy="1363980"/>
                  <wp:effectExtent l="0" t="0" r="0" b="0"/>
                  <wp:docPr id="1342007303" name="Image 6" descr="Une image contenant plein air, ciel, sol, ar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07303" name="Image 6" descr="Une image contenant plein air, ciel, sol, arbre&#10;&#10;Le contenu généré par l’IA peut être incorrect."/>
                          <pic:cNvPicPr/>
                        </pic:nvPicPr>
                        <pic:blipFill>
                          <a:blip r:embed="rId28" cstate="email">
                            <a:extLst>
                              <a:ext uri="{28A0092B-C50C-407E-A947-70E740481C1C}">
                                <a14:useLocalDpi xmlns:a14="http://schemas.microsoft.com/office/drawing/2010/main"/>
                              </a:ext>
                            </a:extLst>
                          </a:blip>
                          <a:stretch>
                            <a:fillRect/>
                          </a:stretch>
                        </pic:blipFill>
                        <pic:spPr>
                          <a:xfrm>
                            <a:off x="0" y="0"/>
                            <a:ext cx="2754842" cy="1373584"/>
                          </a:xfrm>
                          <a:prstGeom prst="rect">
                            <a:avLst/>
                          </a:prstGeom>
                        </pic:spPr>
                      </pic:pic>
                    </a:graphicData>
                  </a:graphic>
                </wp:inline>
              </w:drawing>
            </w:r>
          </w:p>
          <w:p w14:paraId="126280CA" w14:textId="77777777" w:rsidR="00CD1EB5" w:rsidRPr="00260790" w:rsidRDefault="00CD1EB5" w:rsidP="003A0E4A">
            <w:pPr>
              <w:pStyle w:val="Lgende"/>
              <w:spacing w:line="240" w:lineRule="auto"/>
              <w:jc w:val="both"/>
              <w:rPr>
                <w:i w:val="0"/>
                <w:color w:val="000000" w:themeColor="text1"/>
                <w:sz w:val="22"/>
                <w:szCs w:val="22"/>
                <w:lang w:val="fr-FR"/>
              </w:rPr>
            </w:pPr>
            <w:bookmarkStart w:id="345" w:name="_Toc212725206"/>
            <w:r w:rsidRPr="00260790">
              <w:rPr>
                <w:color w:val="auto"/>
                <w:sz w:val="22"/>
                <w:szCs w:val="22"/>
                <w:lang w:val="fr-FR"/>
              </w:rPr>
              <w:t xml:space="preserve">Photo </w:t>
            </w:r>
            <w:r w:rsidRPr="00260790">
              <w:rPr>
                <w:color w:val="auto"/>
                <w:sz w:val="22"/>
                <w:szCs w:val="22"/>
              </w:rPr>
              <w:fldChar w:fldCharType="begin"/>
            </w:r>
            <w:r w:rsidRPr="00260790">
              <w:rPr>
                <w:color w:val="auto"/>
                <w:sz w:val="22"/>
                <w:szCs w:val="22"/>
                <w:lang w:val="fr-FR"/>
              </w:rPr>
              <w:instrText xml:space="preserve"> SEQ Photo \* ARABIC </w:instrText>
            </w:r>
            <w:r w:rsidRPr="00260790">
              <w:rPr>
                <w:color w:val="auto"/>
                <w:sz w:val="22"/>
                <w:szCs w:val="22"/>
              </w:rPr>
              <w:fldChar w:fldCharType="separate"/>
            </w:r>
            <w:r w:rsidRPr="00260790">
              <w:rPr>
                <w:noProof/>
                <w:color w:val="auto"/>
                <w:sz w:val="22"/>
                <w:szCs w:val="22"/>
                <w:lang w:val="fr-FR"/>
              </w:rPr>
              <w:t>7</w:t>
            </w:r>
            <w:r w:rsidRPr="00260790">
              <w:rPr>
                <w:color w:val="auto"/>
                <w:sz w:val="22"/>
                <w:szCs w:val="22"/>
              </w:rPr>
              <w:fldChar w:fldCharType="end"/>
            </w:r>
            <w:r w:rsidRPr="00260790">
              <w:rPr>
                <w:color w:val="auto"/>
                <w:sz w:val="22"/>
                <w:szCs w:val="22"/>
                <w:lang w:val="fr-FR"/>
              </w:rPr>
              <w:t xml:space="preserve">: </w:t>
            </w:r>
            <w:r w:rsidRPr="00260790">
              <w:rPr>
                <w:color w:val="000000" w:themeColor="text1"/>
                <w:sz w:val="22"/>
                <w:szCs w:val="22"/>
                <w:lang w:val="fr-FR"/>
              </w:rPr>
              <w:t>zone de lotissement et piste en terre sur le site du BR_NC 03d</w:t>
            </w:r>
            <w:bookmarkEnd w:id="345"/>
          </w:p>
          <w:p w14:paraId="67F3752F" w14:textId="77777777" w:rsidR="00CD1EB5" w:rsidRPr="00260790" w:rsidRDefault="00CD1EB5" w:rsidP="003A0E4A">
            <w:pPr>
              <w:keepNext/>
              <w:spacing w:line="240" w:lineRule="auto"/>
              <w:jc w:val="both"/>
              <w:rPr>
                <w:rFonts w:ascii="Times New Roman" w:hAnsi="Times New Roman"/>
                <w:sz w:val="22"/>
                <w:szCs w:val="22"/>
              </w:rPr>
            </w:pPr>
            <w:r w:rsidRPr="00260790">
              <w:rPr>
                <w:rFonts w:ascii="Times New Roman" w:hAnsi="Times New Roman"/>
                <w:noProof/>
                <w:color w:val="000000" w:themeColor="text1"/>
              </w:rPr>
              <w:lastRenderedPageBreak/>
              <w:drawing>
                <wp:inline distT="0" distB="0" distL="0" distR="0" wp14:anchorId="478A04BC" wp14:editId="616608DB">
                  <wp:extent cx="2743200" cy="1648918"/>
                  <wp:effectExtent l="0" t="0" r="0" b="2540"/>
                  <wp:docPr id="1342007304" name="Image 5" descr="Une image contenant plein air, ciel, herbe, so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07304" name="Image 5" descr="Une image contenant plein air, ciel, herbe, sol&#10;&#10;Le contenu généré par l’IA peut être incorrect."/>
                          <pic:cNvPicPr/>
                        </pic:nvPicPr>
                        <pic:blipFill>
                          <a:blip r:embed="rId29" cstate="email">
                            <a:extLst>
                              <a:ext uri="{28A0092B-C50C-407E-A947-70E740481C1C}">
                                <a14:useLocalDpi xmlns:a14="http://schemas.microsoft.com/office/drawing/2010/main"/>
                              </a:ext>
                            </a:extLst>
                          </a:blip>
                          <a:stretch>
                            <a:fillRect/>
                          </a:stretch>
                        </pic:blipFill>
                        <pic:spPr>
                          <a:xfrm>
                            <a:off x="0" y="0"/>
                            <a:ext cx="2751253" cy="1653758"/>
                          </a:xfrm>
                          <a:prstGeom prst="rect">
                            <a:avLst/>
                          </a:prstGeom>
                        </pic:spPr>
                      </pic:pic>
                    </a:graphicData>
                  </a:graphic>
                </wp:inline>
              </w:drawing>
            </w:r>
          </w:p>
          <w:p w14:paraId="01E387EF" w14:textId="77777777" w:rsidR="00CD1EB5" w:rsidRPr="00260790" w:rsidRDefault="00CD1EB5" w:rsidP="003A0E4A">
            <w:pPr>
              <w:spacing w:line="240" w:lineRule="auto"/>
              <w:jc w:val="both"/>
              <w:rPr>
                <w:rFonts w:ascii="Times New Roman" w:hAnsi="Times New Roman"/>
                <w:i/>
                <w:iCs/>
                <w:color w:val="000000" w:themeColor="text1"/>
                <w:sz w:val="22"/>
                <w:szCs w:val="22"/>
                <w:lang w:val="fr-FR"/>
              </w:rPr>
            </w:pPr>
            <w:bookmarkStart w:id="346" w:name="_Toc212725207"/>
            <w:r w:rsidRPr="00260790">
              <w:rPr>
                <w:rFonts w:ascii="Times New Roman" w:hAnsi="Times New Roman"/>
                <w:i/>
                <w:iCs/>
                <w:sz w:val="22"/>
                <w:szCs w:val="22"/>
                <w:lang w:val="fr-FR"/>
              </w:rPr>
              <w:t xml:space="preserve">Photo </w:t>
            </w:r>
            <w:r w:rsidRPr="00260790">
              <w:rPr>
                <w:rFonts w:ascii="Times New Roman" w:eastAsia="Times New Roman" w:hAnsi="Times New Roman"/>
                <w:i/>
                <w:iCs/>
                <w:color w:val="44546A"/>
                <w:lang w:eastAsia="fr-FR"/>
              </w:rPr>
              <w:fldChar w:fldCharType="begin"/>
            </w:r>
            <w:r w:rsidRPr="00260790">
              <w:rPr>
                <w:rFonts w:ascii="Times New Roman" w:hAnsi="Times New Roman"/>
                <w:i/>
                <w:iCs/>
                <w:sz w:val="22"/>
                <w:szCs w:val="22"/>
                <w:lang w:val="fr-FR"/>
              </w:rPr>
              <w:instrText xml:space="preserve"> SEQ Photo \* ARABIC </w:instrText>
            </w:r>
            <w:r w:rsidRPr="00260790">
              <w:rPr>
                <w:rFonts w:ascii="Times New Roman" w:eastAsia="Times New Roman" w:hAnsi="Times New Roman"/>
                <w:i/>
                <w:iCs/>
                <w:color w:val="44546A"/>
                <w:lang w:eastAsia="fr-FR"/>
              </w:rPr>
              <w:fldChar w:fldCharType="separate"/>
            </w:r>
            <w:r w:rsidRPr="00260790">
              <w:rPr>
                <w:rFonts w:ascii="Times New Roman" w:hAnsi="Times New Roman"/>
                <w:i/>
                <w:iCs/>
                <w:noProof/>
                <w:sz w:val="22"/>
                <w:szCs w:val="22"/>
                <w:lang w:val="fr-FR"/>
              </w:rPr>
              <w:t>8</w:t>
            </w:r>
            <w:r w:rsidRPr="00260790">
              <w:rPr>
                <w:rFonts w:ascii="Times New Roman" w:eastAsia="Times New Roman" w:hAnsi="Times New Roman"/>
                <w:i/>
                <w:iCs/>
                <w:color w:val="44546A"/>
                <w:lang w:eastAsia="fr-FR"/>
              </w:rPr>
              <w:fldChar w:fldCharType="end"/>
            </w:r>
            <w:r w:rsidRPr="00260790">
              <w:rPr>
                <w:rFonts w:ascii="Times New Roman" w:hAnsi="Times New Roman"/>
                <w:i/>
                <w:iCs/>
                <w:color w:val="000000" w:themeColor="text1"/>
                <w:sz w:val="22"/>
                <w:szCs w:val="22"/>
                <w:lang w:val="fr-FR"/>
              </w:rPr>
              <w:t>: zone de pâturage sur le site du BR_NC 03d</w:t>
            </w:r>
            <w:bookmarkEnd w:id="346"/>
          </w:p>
        </w:tc>
        <w:tc>
          <w:tcPr>
            <w:tcW w:w="821" w:type="pct"/>
            <w:vAlign w:val="center"/>
          </w:tcPr>
          <w:p w14:paraId="10E298F8" w14:textId="77777777" w:rsidR="00CD1EB5" w:rsidRPr="00260790" w:rsidRDefault="00CD1EB5" w:rsidP="001748C6">
            <w:pPr>
              <w:numPr>
                <w:ilvl w:val="0"/>
                <w:numId w:val="122"/>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Gestion de la question foncière ;</w:t>
            </w:r>
          </w:p>
          <w:p w14:paraId="60131DF6" w14:textId="77777777" w:rsidR="00CD1EB5" w:rsidRPr="00260790" w:rsidRDefault="00CD1EB5" w:rsidP="001748C6">
            <w:pPr>
              <w:numPr>
                <w:ilvl w:val="0"/>
                <w:numId w:val="122"/>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Maintien de la mobilité des personnes et des biens ;</w:t>
            </w:r>
          </w:p>
          <w:p w14:paraId="58715C3A" w14:textId="77777777" w:rsidR="00CD1EB5" w:rsidRPr="00260790" w:rsidRDefault="00CD1EB5" w:rsidP="001748C6">
            <w:pPr>
              <w:numPr>
                <w:ilvl w:val="0"/>
                <w:numId w:val="122"/>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espèces fauniques et floristiques ;</w:t>
            </w:r>
          </w:p>
          <w:p w14:paraId="0FEC1290" w14:textId="77777777" w:rsidR="00CD1EB5" w:rsidRPr="00260790" w:rsidRDefault="00CD1EB5" w:rsidP="001748C6">
            <w:pPr>
              <w:numPr>
                <w:ilvl w:val="0"/>
                <w:numId w:val="122"/>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biens et des activités socio-économiques ;</w:t>
            </w:r>
          </w:p>
          <w:p w14:paraId="6E90CA98" w14:textId="77777777" w:rsidR="00CD1EB5" w:rsidRPr="00260790" w:rsidRDefault="00CD1EB5" w:rsidP="001748C6">
            <w:pPr>
              <w:numPr>
                <w:ilvl w:val="0"/>
                <w:numId w:val="122"/>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Maintien de la mobilité du cheptel ;</w:t>
            </w:r>
          </w:p>
          <w:p w14:paraId="43B91078" w14:textId="77777777" w:rsidR="00CD1EB5" w:rsidRPr="00260790" w:rsidRDefault="00CD1EB5" w:rsidP="001748C6">
            <w:pPr>
              <w:numPr>
                <w:ilvl w:val="0"/>
                <w:numId w:val="122"/>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 la tranquillité des riverains</w:t>
            </w:r>
          </w:p>
          <w:p w14:paraId="2DB9B0F9" w14:textId="77777777" w:rsidR="00CD1EB5" w:rsidRPr="00260790" w:rsidRDefault="00CD1EB5" w:rsidP="001748C6">
            <w:pPr>
              <w:numPr>
                <w:ilvl w:val="0"/>
                <w:numId w:val="120"/>
              </w:num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eaux pluviales ;</w:t>
            </w:r>
          </w:p>
          <w:p w14:paraId="47C71114" w14:textId="77777777" w:rsidR="00CD1EB5" w:rsidRPr="00260790" w:rsidRDefault="00CD1EB5" w:rsidP="001748C6">
            <w:pPr>
              <w:numPr>
                <w:ilvl w:val="0"/>
                <w:numId w:val="120"/>
              </w:num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réseaux des concessionnaires (SENELEC) et Maintien de la continuité de leur service </w:t>
            </w:r>
          </w:p>
        </w:tc>
      </w:tr>
      <w:tr w:rsidR="00CD1EB5" w:rsidRPr="00260790" w14:paraId="7D931F50" w14:textId="77777777" w:rsidTr="00CD1EB5">
        <w:trPr>
          <w:trHeight w:val="1450"/>
        </w:trPr>
        <w:tc>
          <w:tcPr>
            <w:tcW w:w="521" w:type="pct"/>
            <w:vMerge/>
            <w:shd w:val="clear" w:color="auto" w:fill="E2EFD9" w:themeFill="accent6" w:themeFillTint="33"/>
            <w:vAlign w:val="center"/>
          </w:tcPr>
          <w:p w14:paraId="4E716DFE" w14:textId="77777777" w:rsidR="00CD1EB5" w:rsidRPr="00260790" w:rsidRDefault="00CD1EB5" w:rsidP="003A0E4A">
            <w:pPr>
              <w:spacing w:line="240" w:lineRule="auto"/>
              <w:rPr>
                <w:rFonts w:ascii="Times New Roman" w:hAnsi="Times New Roman"/>
                <w:b/>
                <w:color w:val="000000" w:themeColor="text1"/>
                <w:sz w:val="22"/>
                <w:szCs w:val="22"/>
                <w:lang w:val="fr-FR"/>
              </w:rPr>
            </w:pPr>
          </w:p>
        </w:tc>
        <w:tc>
          <w:tcPr>
            <w:tcW w:w="521" w:type="pct"/>
            <w:vAlign w:val="center"/>
          </w:tcPr>
          <w:p w14:paraId="70959624" w14:textId="77777777" w:rsidR="00CD1EB5" w:rsidRPr="00260790" w:rsidRDefault="00CD1EB5" w:rsidP="003A0E4A">
            <w:pPr>
              <w:spacing w:line="240" w:lineRule="auto"/>
              <w:jc w:val="both"/>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BR_ND 11</w:t>
            </w:r>
          </w:p>
        </w:tc>
        <w:tc>
          <w:tcPr>
            <w:tcW w:w="1574" w:type="pct"/>
            <w:vAlign w:val="center"/>
          </w:tcPr>
          <w:p w14:paraId="35ADE05C"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D’une superficie de 1,180 ha, ce bassin est localisé dans le quartier </w:t>
            </w:r>
            <w:proofErr w:type="spellStart"/>
            <w:r w:rsidRPr="00260790">
              <w:rPr>
                <w:rFonts w:ascii="Times New Roman" w:hAnsi="Times New Roman"/>
                <w:color w:val="000000" w:themeColor="text1"/>
                <w:sz w:val="22"/>
                <w:szCs w:val="22"/>
                <w:lang w:val="fr-FR"/>
              </w:rPr>
              <w:t>Niakoul</w:t>
            </w:r>
            <w:proofErr w:type="spellEnd"/>
            <w:r w:rsidRPr="00260790">
              <w:rPr>
                <w:rFonts w:ascii="Times New Roman" w:hAnsi="Times New Roman"/>
                <w:color w:val="000000" w:themeColor="text1"/>
                <w:sz w:val="22"/>
                <w:szCs w:val="22"/>
                <w:lang w:val="fr-FR"/>
              </w:rPr>
              <w:t xml:space="preserve"> Rap.</w:t>
            </w:r>
          </w:p>
          <w:p w14:paraId="6A84F7DF"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La nature des sols du site est de type brun rouge subaride et peu évolué hydromorphe.</w:t>
            </w:r>
          </w:p>
          <w:p w14:paraId="0A2606AC"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La végétation du bassin est composée d’une association de </w:t>
            </w:r>
            <w:proofErr w:type="spellStart"/>
            <w:r w:rsidRPr="00260790">
              <w:rPr>
                <w:rFonts w:ascii="Times New Roman" w:hAnsi="Times New Roman"/>
                <w:i/>
                <w:iCs/>
                <w:color w:val="000000" w:themeColor="text1"/>
                <w:sz w:val="22"/>
                <w:szCs w:val="22"/>
                <w:lang w:val="fr-FR"/>
              </w:rPr>
              <w:t>Ricinus</w:t>
            </w:r>
            <w:proofErr w:type="spellEnd"/>
            <w:r w:rsidRPr="00260790">
              <w:rPr>
                <w:rFonts w:ascii="Times New Roman" w:hAnsi="Times New Roman"/>
                <w:i/>
                <w:iCs/>
                <w:color w:val="000000" w:themeColor="text1"/>
                <w:sz w:val="22"/>
                <w:szCs w:val="22"/>
                <w:lang w:val="fr-FR"/>
              </w:rPr>
              <w:t xml:space="preserve"> </w:t>
            </w:r>
            <w:proofErr w:type="spellStart"/>
            <w:r w:rsidRPr="00260790">
              <w:rPr>
                <w:rFonts w:ascii="Times New Roman" w:hAnsi="Times New Roman"/>
                <w:i/>
                <w:iCs/>
                <w:color w:val="000000" w:themeColor="text1"/>
                <w:sz w:val="22"/>
                <w:szCs w:val="22"/>
                <w:lang w:val="fr-FR"/>
              </w:rPr>
              <w:t>communis</w:t>
            </w:r>
            <w:proofErr w:type="spellEnd"/>
            <w:r w:rsidRPr="00260790">
              <w:rPr>
                <w:rFonts w:ascii="Times New Roman" w:hAnsi="Times New Roman"/>
                <w:color w:val="000000" w:themeColor="text1"/>
                <w:sz w:val="22"/>
                <w:szCs w:val="22"/>
                <w:lang w:val="fr-FR"/>
              </w:rPr>
              <w:t xml:space="preserve">, </w:t>
            </w:r>
            <w:r w:rsidRPr="00260790">
              <w:rPr>
                <w:rFonts w:ascii="Times New Roman" w:hAnsi="Times New Roman"/>
                <w:i/>
                <w:iCs/>
                <w:color w:val="000000" w:themeColor="text1"/>
                <w:sz w:val="22"/>
                <w:szCs w:val="22"/>
                <w:lang w:val="fr-FR"/>
              </w:rPr>
              <w:t xml:space="preserve">Typha </w:t>
            </w:r>
            <w:proofErr w:type="spellStart"/>
            <w:r w:rsidRPr="00260790">
              <w:rPr>
                <w:rFonts w:ascii="Times New Roman" w:hAnsi="Times New Roman"/>
                <w:i/>
                <w:iCs/>
                <w:color w:val="000000" w:themeColor="text1"/>
                <w:sz w:val="22"/>
                <w:szCs w:val="22"/>
                <w:lang w:val="fr-FR"/>
              </w:rPr>
              <w:t>sp</w:t>
            </w:r>
            <w:proofErr w:type="spellEnd"/>
            <w:r w:rsidRPr="00260790">
              <w:rPr>
                <w:rFonts w:ascii="Times New Roman" w:hAnsi="Times New Roman"/>
                <w:color w:val="000000" w:themeColor="text1"/>
                <w:sz w:val="22"/>
                <w:szCs w:val="22"/>
                <w:lang w:val="fr-FR"/>
              </w:rPr>
              <w:t>, des plantations (pépinières) de papayer et de moringa, 01 pied de baobab, 02 pieds de manguiers et 01 pied d’Eucalyptus. Un bassin d’irrigation est noté dans ce site.</w:t>
            </w:r>
          </w:p>
          <w:p w14:paraId="6FDAB419"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p>
        </w:tc>
        <w:tc>
          <w:tcPr>
            <w:tcW w:w="1564" w:type="pct"/>
            <w:vAlign w:val="center"/>
          </w:tcPr>
          <w:p w14:paraId="343C0517" w14:textId="77777777" w:rsidR="00CD1EB5" w:rsidRPr="00260790" w:rsidRDefault="00CD1EB5" w:rsidP="003A0E4A">
            <w:pPr>
              <w:keepNext/>
              <w:spacing w:line="240" w:lineRule="auto"/>
              <w:jc w:val="both"/>
              <w:rPr>
                <w:rFonts w:ascii="Times New Roman" w:hAnsi="Times New Roman"/>
                <w:color w:val="000000" w:themeColor="text1"/>
                <w:sz w:val="22"/>
                <w:szCs w:val="22"/>
                <w:lang w:val="fr-FR"/>
              </w:rPr>
            </w:pPr>
            <w:r w:rsidRPr="00260790">
              <w:rPr>
                <w:rFonts w:ascii="Times New Roman" w:hAnsi="Times New Roman"/>
                <w:noProof/>
                <w:color w:val="000000" w:themeColor="text1"/>
              </w:rPr>
              <w:drawing>
                <wp:inline distT="0" distB="0" distL="0" distR="0" wp14:anchorId="1F05A1AB" wp14:editId="2FD033F5">
                  <wp:extent cx="2743200" cy="1565910"/>
                  <wp:effectExtent l="0" t="0" r="0" b="0"/>
                  <wp:docPr id="1342007308"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266005" name="Image 1413266005"/>
                          <pic:cNvPicPr/>
                        </pic:nvPicPr>
                        <pic:blipFill>
                          <a:blip r:embed="rId30" cstate="email">
                            <a:extLst>
                              <a:ext uri="{28A0092B-C50C-407E-A947-70E740481C1C}">
                                <a14:useLocalDpi xmlns:a14="http://schemas.microsoft.com/office/drawing/2010/main"/>
                              </a:ext>
                            </a:extLst>
                          </a:blip>
                          <a:stretch>
                            <a:fillRect/>
                          </a:stretch>
                        </pic:blipFill>
                        <pic:spPr>
                          <a:xfrm>
                            <a:off x="0" y="0"/>
                            <a:ext cx="2750689" cy="1570185"/>
                          </a:xfrm>
                          <a:prstGeom prst="rect">
                            <a:avLst/>
                          </a:prstGeom>
                        </pic:spPr>
                      </pic:pic>
                    </a:graphicData>
                  </a:graphic>
                </wp:inline>
              </w:drawing>
            </w:r>
          </w:p>
          <w:p w14:paraId="7D9C0D4E" w14:textId="77777777" w:rsidR="00CD1EB5" w:rsidRPr="00260790" w:rsidRDefault="00CD1EB5" w:rsidP="003A0E4A">
            <w:pPr>
              <w:spacing w:line="240" w:lineRule="auto"/>
              <w:jc w:val="both"/>
              <w:rPr>
                <w:rFonts w:ascii="Times New Roman" w:eastAsia="Times New Roman" w:hAnsi="Times New Roman"/>
                <w:i/>
                <w:iCs/>
                <w:color w:val="000000" w:themeColor="text1"/>
                <w:sz w:val="22"/>
                <w:szCs w:val="22"/>
                <w:lang w:val="fr-FR" w:eastAsia="fr-FR"/>
              </w:rPr>
            </w:pPr>
            <w:bookmarkStart w:id="347" w:name="_Toc212725208"/>
            <w:r w:rsidRPr="00260790">
              <w:rPr>
                <w:rFonts w:ascii="Times New Roman" w:eastAsia="Times New Roman" w:hAnsi="Times New Roman"/>
                <w:i/>
                <w:iCs/>
                <w:color w:val="000000" w:themeColor="text1"/>
                <w:sz w:val="22"/>
                <w:szCs w:val="22"/>
                <w:lang w:val="fr-FR" w:eastAsia="fr-FR"/>
              </w:rPr>
              <w:t xml:space="preserve">Photo </w:t>
            </w:r>
            <w:r w:rsidRPr="00260790">
              <w:rPr>
                <w:rFonts w:ascii="Times New Roman" w:eastAsia="Times New Roman" w:hAnsi="Times New Roman"/>
                <w:color w:val="000000" w:themeColor="text1"/>
                <w:lang w:eastAsia="fr-FR"/>
              </w:rPr>
              <w:fldChar w:fldCharType="begin"/>
            </w:r>
            <w:r w:rsidRPr="00260790">
              <w:rPr>
                <w:rFonts w:ascii="Times New Roman" w:eastAsia="Times New Roman" w:hAnsi="Times New Roman"/>
                <w:i/>
                <w:iCs/>
                <w:color w:val="000000" w:themeColor="text1"/>
                <w:sz w:val="22"/>
                <w:szCs w:val="22"/>
                <w:lang w:val="fr-FR" w:eastAsia="fr-FR"/>
              </w:rPr>
              <w:instrText xml:space="preserve"> SEQ Photo \* ARABIC </w:instrText>
            </w:r>
            <w:r w:rsidRPr="00260790">
              <w:rPr>
                <w:rFonts w:ascii="Times New Roman" w:eastAsia="Times New Roman" w:hAnsi="Times New Roman"/>
                <w:color w:val="000000" w:themeColor="text1"/>
                <w:lang w:eastAsia="fr-FR"/>
              </w:rPr>
              <w:fldChar w:fldCharType="separate"/>
            </w:r>
            <w:r w:rsidRPr="00260790">
              <w:rPr>
                <w:rFonts w:ascii="Times New Roman" w:eastAsia="Times New Roman" w:hAnsi="Times New Roman"/>
                <w:i/>
                <w:iCs/>
                <w:noProof/>
                <w:color w:val="000000" w:themeColor="text1"/>
                <w:sz w:val="22"/>
                <w:szCs w:val="22"/>
                <w:lang w:val="fr-FR" w:eastAsia="fr-FR"/>
              </w:rPr>
              <w:t>9</w:t>
            </w:r>
            <w:r w:rsidRPr="00260790">
              <w:rPr>
                <w:rFonts w:ascii="Times New Roman" w:eastAsia="Times New Roman" w:hAnsi="Times New Roman"/>
                <w:color w:val="000000" w:themeColor="text1"/>
                <w:lang w:eastAsia="fr-FR"/>
              </w:rPr>
              <w:fldChar w:fldCharType="end"/>
            </w:r>
            <w:r w:rsidRPr="00260790">
              <w:rPr>
                <w:rFonts w:ascii="Times New Roman" w:eastAsia="Times New Roman" w:hAnsi="Times New Roman"/>
                <w:i/>
                <w:iCs/>
                <w:color w:val="000000" w:themeColor="text1"/>
                <w:sz w:val="22"/>
                <w:szCs w:val="22"/>
                <w:lang w:val="fr-FR" w:eastAsia="fr-FR"/>
              </w:rPr>
              <w:t> : Bassin d’irrigation dans le site du BRND11</w:t>
            </w:r>
            <w:bookmarkEnd w:id="347"/>
          </w:p>
          <w:p w14:paraId="66B77440" w14:textId="77777777" w:rsidR="00CD1EB5" w:rsidRPr="00260790" w:rsidRDefault="00CD1EB5" w:rsidP="003A0E4A">
            <w:pPr>
              <w:keepNext/>
              <w:spacing w:line="240" w:lineRule="auto"/>
              <w:jc w:val="both"/>
              <w:rPr>
                <w:rFonts w:ascii="Times New Roman" w:hAnsi="Times New Roman"/>
                <w:color w:val="000000" w:themeColor="text1"/>
                <w:sz w:val="22"/>
                <w:szCs w:val="22"/>
                <w:lang w:val="fr-FR"/>
              </w:rPr>
            </w:pPr>
            <w:r w:rsidRPr="00260790">
              <w:rPr>
                <w:rFonts w:ascii="Times New Roman" w:hAnsi="Times New Roman"/>
                <w:noProof/>
                <w:color w:val="000000" w:themeColor="text1"/>
              </w:rPr>
              <w:lastRenderedPageBreak/>
              <w:drawing>
                <wp:inline distT="0" distB="0" distL="0" distR="0" wp14:anchorId="4F533995" wp14:editId="72367FC2">
                  <wp:extent cx="2698229" cy="1318895"/>
                  <wp:effectExtent l="0" t="0" r="0" b="1905"/>
                  <wp:docPr id="1342007309" name="Image 11" descr="Une image contenant plein air, sol, plante, ter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07309" name="Image 11" descr="Une image contenant plein air, sol, plante, terre&#10;&#10;Le contenu généré par l’IA peut être incorrect."/>
                          <pic:cNvPicPr/>
                        </pic:nvPicPr>
                        <pic:blipFill>
                          <a:blip r:embed="rId31" cstate="email">
                            <a:extLst>
                              <a:ext uri="{28A0092B-C50C-407E-A947-70E740481C1C}">
                                <a14:useLocalDpi xmlns:a14="http://schemas.microsoft.com/office/drawing/2010/main"/>
                              </a:ext>
                            </a:extLst>
                          </a:blip>
                          <a:stretch>
                            <a:fillRect/>
                          </a:stretch>
                        </pic:blipFill>
                        <pic:spPr>
                          <a:xfrm>
                            <a:off x="0" y="0"/>
                            <a:ext cx="2715194" cy="1327187"/>
                          </a:xfrm>
                          <a:prstGeom prst="rect">
                            <a:avLst/>
                          </a:prstGeom>
                        </pic:spPr>
                      </pic:pic>
                    </a:graphicData>
                  </a:graphic>
                </wp:inline>
              </w:drawing>
            </w:r>
          </w:p>
          <w:p w14:paraId="26F3B250" w14:textId="77777777" w:rsidR="00CD1EB5" w:rsidRPr="00260790" w:rsidRDefault="00CD1EB5" w:rsidP="003A0E4A">
            <w:pPr>
              <w:spacing w:line="240" w:lineRule="auto"/>
              <w:jc w:val="both"/>
              <w:rPr>
                <w:rFonts w:ascii="Times New Roman" w:eastAsia="Times New Roman" w:hAnsi="Times New Roman"/>
                <w:i/>
                <w:iCs/>
                <w:color w:val="000000" w:themeColor="text1"/>
                <w:sz w:val="22"/>
                <w:szCs w:val="22"/>
                <w:lang w:val="fr-FR" w:eastAsia="fr-FR"/>
              </w:rPr>
            </w:pPr>
            <w:bookmarkStart w:id="348" w:name="_Toc212725209"/>
            <w:r w:rsidRPr="00260790">
              <w:rPr>
                <w:rFonts w:ascii="Times New Roman" w:eastAsia="Times New Roman" w:hAnsi="Times New Roman"/>
                <w:i/>
                <w:iCs/>
                <w:color w:val="000000" w:themeColor="text1"/>
                <w:sz w:val="22"/>
                <w:szCs w:val="22"/>
                <w:lang w:val="fr-FR" w:eastAsia="fr-FR"/>
              </w:rPr>
              <w:t xml:space="preserve">Photo </w:t>
            </w:r>
            <w:r w:rsidRPr="00260790">
              <w:rPr>
                <w:rFonts w:ascii="Times New Roman" w:eastAsia="Times New Roman" w:hAnsi="Times New Roman"/>
                <w:i/>
                <w:iCs/>
                <w:color w:val="000000" w:themeColor="text1"/>
                <w:lang w:eastAsia="fr-FR"/>
              </w:rPr>
              <w:fldChar w:fldCharType="begin"/>
            </w:r>
            <w:r w:rsidRPr="00260790">
              <w:rPr>
                <w:rFonts w:ascii="Times New Roman" w:eastAsia="Times New Roman" w:hAnsi="Times New Roman"/>
                <w:i/>
                <w:iCs/>
                <w:color w:val="000000" w:themeColor="text1"/>
                <w:sz w:val="22"/>
                <w:szCs w:val="22"/>
                <w:lang w:val="fr-FR" w:eastAsia="fr-FR"/>
              </w:rPr>
              <w:instrText xml:space="preserve"> SEQ Photo \* ARABIC </w:instrText>
            </w:r>
            <w:r w:rsidRPr="00260790">
              <w:rPr>
                <w:rFonts w:ascii="Times New Roman" w:eastAsia="Times New Roman" w:hAnsi="Times New Roman"/>
                <w:i/>
                <w:iCs/>
                <w:color w:val="000000" w:themeColor="text1"/>
                <w:lang w:eastAsia="fr-FR"/>
              </w:rPr>
              <w:fldChar w:fldCharType="separate"/>
            </w:r>
            <w:r w:rsidRPr="00260790">
              <w:rPr>
                <w:rFonts w:ascii="Times New Roman" w:eastAsia="Times New Roman" w:hAnsi="Times New Roman"/>
                <w:i/>
                <w:iCs/>
                <w:noProof/>
                <w:color w:val="000000" w:themeColor="text1"/>
                <w:sz w:val="22"/>
                <w:szCs w:val="22"/>
                <w:lang w:val="fr-FR" w:eastAsia="fr-FR"/>
              </w:rPr>
              <w:t>10</w:t>
            </w:r>
            <w:r w:rsidRPr="00260790">
              <w:rPr>
                <w:rFonts w:ascii="Times New Roman" w:eastAsia="Times New Roman" w:hAnsi="Times New Roman"/>
                <w:i/>
                <w:iCs/>
                <w:color w:val="000000" w:themeColor="text1"/>
                <w:lang w:eastAsia="fr-FR"/>
              </w:rPr>
              <w:fldChar w:fldCharType="end"/>
            </w:r>
            <w:r w:rsidRPr="00260790">
              <w:rPr>
                <w:rFonts w:ascii="Times New Roman" w:eastAsia="Times New Roman" w:hAnsi="Times New Roman"/>
                <w:i/>
                <w:iCs/>
                <w:color w:val="000000" w:themeColor="text1"/>
                <w:sz w:val="22"/>
                <w:szCs w:val="22"/>
                <w:lang w:val="fr-FR" w:eastAsia="fr-FR"/>
              </w:rPr>
              <w:t> : Plantation de papayer et de moringa dans le site du BR_ND 11</w:t>
            </w:r>
            <w:bookmarkEnd w:id="348"/>
          </w:p>
        </w:tc>
        <w:tc>
          <w:tcPr>
            <w:tcW w:w="821" w:type="pct"/>
            <w:vAlign w:val="center"/>
          </w:tcPr>
          <w:p w14:paraId="6E0C7296"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Maintien de la mobilité des personnes et des biens ;</w:t>
            </w:r>
          </w:p>
          <w:p w14:paraId="6E94E84A"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eaux pluviales ;</w:t>
            </w:r>
          </w:p>
          <w:p w14:paraId="61A04C34"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 la santé de la population ;</w:t>
            </w:r>
          </w:p>
          <w:p w14:paraId="5D984154"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espèces floristiques ;</w:t>
            </w:r>
          </w:p>
          <w:p w14:paraId="350F1692"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eaux pluviales ;</w:t>
            </w:r>
          </w:p>
          <w:p w14:paraId="1EE1BDD3"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 la tranquillité des riverains ;</w:t>
            </w:r>
          </w:p>
          <w:p w14:paraId="553C18E0"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biens et des activités socio-économiques </w:t>
            </w:r>
          </w:p>
        </w:tc>
      </w:tr>
      <w:tr w:rsidR="00CD1EB5" w:rsidRPr="00260790" w14:paraId="488EB351" w14:textId="77777777" w:rsidTr="00CD1EB5">
        <w:trPr>
          <w:trHeight w:val="1450"/>
        </w:trPr>
        <w:tc>
          <w:tcPr>
            <w:tcW w:w="521" w:type="pct"/>
            <w:vMerge/>
            <w:shd w:val="clear" w:color="auto" w:fill="E2EFD9" w:themeFill="accent6" w:themeFillTint="33"/>
            <w:vAlign w:val="center"/>
          </w:tcPr>
          <w:p w14:paraId="10254D61" w14:textId="77777777" w:rsidR="00CD1EB5" w:rsidRPr="00260790" w:rsidRDefault="00CD1EB5" w:rsidP="003A0E4A">
            <w:pPr>
              <w:spacing w:line="240" w:lineRule="auto"/>
              <w:rPr>
                <w:rFonts w:ascii="Times New Roman" w:hAnsi="Times New Roman"/>
                <w:b/>
                <w:color w:val="000000" w:themeColor="text1"/>
                <w:sz w:val="22"/>
                <w:szCs w:val="22"/>
                <w:lang w:val="fr-FR"/>
              </w:rPr>
            </w:pPr>
          </w:p>
        </w:tc>
        <w:tc>
          <w:tcPr>
            <w:tcW w:w="521" w:type="pct"/>
            <w:vAlign w:val="center"/>
          </w:tcPr>
          <w:p w14:paraId="02164BBF" w14:textId="77777777" w:rsidR="00CD1EB5" w:rsidRPr="00260790" w:rsidRDefault="00CD1EB5" w:rsidP="003A0E4A">
            <w:pPr>
              <w:spacing w:line="240" w:lineRule="auto"/>
              <w:jc w:val="both"/>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BR_ND 20</w:t>
            </w:r>
          </w:p>
        </w:tc>
        <w:tc>
          <w:tcPr>
            <w:tcW w:w="1574" w:type="pct"/>
            <w:vAlign w:val="center"/>
          </w:tcPr>
          <w:p w14:paraId="2C649922"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Ce bassin, d’une superficie de 0,912 ha, est localisé dans le quartier des Parcelles Assainies U15. Il est noté dans les emprises du bassin une aire de jeu, un espace nu colonisé par un tapis herbacé et de ricin. </w:t>
            </w:r>
          </w:p>
          <w:p w14:paraId="2A53706B"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Des places d’affaires dont 2 kiosques non fonctionnels, un poste électrique et une unité de gestion des déchets, mais également des habitations sont identifiés aux alentours du bassin.</w:t>
            </w:r>
          </w:p>
        </w:tc>
        <w:tc>
          <w:tcPr>
            <w:tcW w:w="1564" w:type="pct"/>
            <w:vAlign w:val="center"/>
          </w:tcPr>
          <w:p w14:paraId="5E0C72CA"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noProof/>
                <w:color w:val="000000" w:themeColor="text1"/>
              </w:rPr>
              <w:drawing>
                <wp:inline distT="0" distB="0" distL="0" distR="0" wp14:anchorId="726CDABC" wp14:editId="079B7725">
                  <wp:extent cx="2697141" cy="1416570"/>
                  <wp:effectExtent l="0" t="0" r="0" b="6350"/>
                  <wp:docPr id="1342007310" name="Image 1" descr="Une image contenant plein air, ciel, habits, perso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07310" name="Image 1" descr="Une image contenant plein air, ciel, habits, personne&#10;&#10;Le contenu généré par l’IA peut être incorrect."/>
                          <pic:cNvPicPr/>
                        </pic:nvPicPr>
                        <pic:blipFill>
                          <a:blip r:embed="rId32" cstate="email">
                            <a:extLst>
                              <a:ext uri="{28A0092B-C50C-407E-A947-70E740481C1C}">
                                <a14:useLocalDpi xmlns:a14="http://schemas.microsoft.com/office/drawing/2010/main"/>
                              </a:ext>
                            </a:extLst>
                          </a:blip>
                          <a:stretch>
                            <a:fillRect/>
                          </a:stretch>
                        </pic:blipFill>
                        <pic:spPr>
                          <a:xfrm>
                            <a:off x="0" y="0"/>
                            <a:ext cx="2705333" cy="1420873"/>
                          </a:xfrm>
                          <a:prstGeom prst="rect">
                            <a:avLst/>
                          </a:prstGeom>
                        </pic:spPr>
                      </pic:pic>
                    </a:graphicData>
                  </a:graphic>
                </wp:inline>
              </w:drawing>
            </w:r>
          </w:p>
          <w:p w14:paraId="1E9C98E2"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bookmarkStart w:id="349" w:name="_Toc212725210"/>
            <w:r w:rsidRPr="00260790">
              <w:rPr>
                <w:rFonts w:ascii="Times New Roman" w:hAnsi="Times New Roman"/>
                <w:i/>
                <w:color w:val="000000" w:themeColor="text1"/>
                <w:sz w:val="22"/>
                <w:szCs w:val="22"/>
                <w:lang w:val="fr-FR"/>
              </w:rPr>
              <w:t xml:space="preserve">Photo </w:t>
            </w:r>
            <w:r w:rsidRPr="00260790">
              <w:rPr>
                <w:rFonts w:ascii="Times New Roman" w:hAnsi="Times New Roman"/>
                <w:i/>
                <w:color w:val="000000" w:themeColor="text1"/>
              </w:rPr>
              <w:fldChar w:fldCharType="begin"/>
            </w:r>
            <w:r w:rsidRPr="00260790">
              <w:rPr>
                <w:rFonts w:ascii="Times New Roman" w:hAnsi="Times New Roman"/>
                <w:i/>
                <w:color w:val="000000" w:themeColor="text1"/>
                <w:sz w:val="22"/>
                <w:szCs w:val="22"/>
                <w:lang w:val="fr-FR"/>
              </w:rPr>
              <w:instrText xml:space="preserve"> SEQ Photo \* ARABIC </w:instrText>
            </w:r>
            <w:r w:rsidRPr="00260790">
              <w:rPr>
                <w:rFonts w:ascii="Times New Roman" w:hAnsi="Times New Roman"/>
                <w:i/>
                <w:color w:val="000000" w:themeColor="text1"/>
              </w:rPr>
              <w:fldChar w:fldCharType="separate"/>
            </w:r>
            <w:r w:rsidRPr="00260790">
              <w:rPr>
                <w:rFonts w:ascii="Times New Roman" w:hAnsi="Times New Roman"/>
                <w:i/>
                <w:noProof/>
                <w:color w:val="000000" w:themeColor="text1"/>
                <w:sz w:val="22"/>
                <w:szCs w:val="22"/>
                <w:lang w:val="fr-FR"/>
              </w:rPr>
              <w:t>11</w:t>
            </w:r>
            <w:r w:rsidRPr="00260790">
              <w:rPr>
                <w:rFonts w:ascii="Times New Roman" w:hAnsi="Times New Roman"/>
                <w:i/>
                <w:color w:val="000000" w:themeColor="text1"/>
              </w:rPr>
              <w:fldChar w:fldCharType="end"/>
            </w:r>
            <w:r w:rsidRPr="00260790">
              <w:rPr>
                <w:rFonts w:ascii="Times New Roman" w:hAnsi="Times New Roman"/>
                <w:color w:val="000000" w:themeColor="text1"/>
                <w:sz w:val="22"/>
                <w:szCs w:val="22"/>
                <w:lang w:val="fr-FR"/>
              </w:rPr>
              <w:t xml:space="preserve">: </w:t>
            </w:r>
            <w:r w:rsidRPr="00260790">
              <w:rPr>
                <w:rFonts w:ascii="Times New Roman" w:hAnsi="Times New Roman"/>
                <w:i/>
                <w:color w:val="000000" w:themeColor="text1"/>
                <w:sz w:val="22"/>
                <w:szCs w:val="22"/>
                <w:lang w:val="fr-FR"/>
              </w:rPr>
              <w:t>un poste électrique à proximité du BR_ND 20</w:t>
            </w:r>
            <w:bookmarkEnd w:id="349"/>
          </w:p>
          <w:p w14:paraId="78A1E659"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noProof/>
                <w:color w:val="000000" w:themeColor="text1"/>
              </w:rPr>
              <w:drawing>
                <wp:inline distT="0" distB="0" distL="0" distR="0" wp14:anchorId="6D5CE4D2" wp14:editId="69980241">
                  <wp:extent cx="2698115" cy="1484026"/>
                  <wp:effectExtent l="0" t="0" r="0" b="1905"/>
                  <wp:docPr id="134200731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361021" name="Image 690361021"/>
                          <pic:cNvPicPr/>
                        </pic:nvPicPr>
                        <pic:blipFill>
                          <a:blip r:embed="rId33" cstate="email">
                            <a:extLst>
                              <a:ext uri="{28A0092B-C50C-407E-A947-70E740481C1C}">
                                <a14:useLocalDpi xmlns:a14="http://schemas.microsoft.com/office/drawing/2010/main"/>
                              </a:ext>
                            </a:extLst>
                          </a:blip>
                          <a:stretch>
                            <a:fillRect/>
                          </a:stretch>
                        </pic:blipFill>
                        <pic:spPr>
                          <a:xfrm>
                            <a:off x="0" y="0"/>
                            <a:ext cx="2704575" cy="1487579"/>
                          </a:xfrm>
                          <a:prstGeom prst="rect">
                            <a:avLst/>
                          </a:prstGeom>
                        </pic:spPr>
                      </pic:pic>
                    </a:graphicData>
                  </a:graphic>
                </wp:inline>
              </w:drawing>
            </w:r>
          </w:p>
          <w:p w14:paraId="760ED2C6"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bookmarkStart w:id="350" w:name="_Toc212725211"/>
            <w:r w:rsidRPr="00260790">
              <w:rPr>
                <w:rFonts w:ascii="Times New Roman" w:hAnsi="Times New Roman"/>
                <w:i/>
                <w:color w:val="000000" w:themeColor="text1"/>
                <w:sz w:val="22"/>
                <w:szCs w:val="22"/>
                <w:lang w:val="fr-FR"/>
              </w:rPr>
              <w:t xml:space="preserve">Photo </w:t>
            </w:r>
            <w:r w:rsidRPr="00260790">
              <w:rPr>
                <w:rFonts w:ascii="Times New Roman" w:hAnsi="Times New Roman"/>
                <w:i/>
                <w:color w:val="000000" w:themeColor="text1"/>
              </w:rPr>
              <w:fldChar w:fldCharType="begin"/>
            </w:r>
            <w:r w:rsidRPr="00260790">
              <w:rPr>
                <w:rFonts w:ascii="Times New Roman" w:hAnsi="Times New Roman"/>
                <w:i/>
                <w:color w:val="000000" w:themeColor="text1"/>
                <w:sz w:val="22"/>
                <w:szCs w:val="22"/>
                <w:lang w:val="fr-FR"/>
              </w:rPr>
              <w:instrText xml:space="preserve"> SEQ Photo \* ARABIC </w:instrText>
            </w:r>
            <w:r w:rsidRPr="00260790">
              <w:rPr>
                <w:rFonts w:ascii="Times New Roman" w:hAnsi="Times New Roman"/>
                <w:i/>
                <w:color w:val="000000" w:themeColor="text1"/>
              </w:rPr>
              <w:fldChar w:fldCharType="separate"/>
            </w:r>
            <w:r w:rsidRPr="00260790">
              <w:rPr>
                <w:rFonts w:ascii="Times New Roman" w:hAnsi="Times New Roman"/>
                <w:i/>
                <w:noProof/>
                <w:color w:val="000000" w:themeColor="text1"/>
                <w:sz w:val="22"/>
                <w:szCs w:val="22"/>
                <w:lang w:val="fr-FR"/>
              </w:rPr>
              <w:t>12</w:t>
            </w:r>
            <w:r w:rsidRPr="00260790">
              <w:rPr>
                <w:rFonts w:ascii="Times New Roman" w:hAnsi="Times New Roman"/>
                <w:i/>
                <w:color w:val="000000" w:themeColor="text1"/>
              </w:rPr>
              <w:fldChar w:fldCharType="end"/>
            </w:r>
            <w:r w:rsidRPr="00260790">
              <w:rPr>
                <w:rFonts w:ascii="Times New Roman" w:hAnsi="Times New Roman"/>
                <w:color w:val="000000" w:themeColor="text1"/>
                <w:sz w:val="22"/>
                <w:szCs w:val="22"/>
                <w:lang w:val="fr-FR"/>
              </w:rPr>
              <w:t>: vue du site du bassin BR_ND 20</w:t>
            </w:r>
            <w:bookmarkEnd w:id="350"/>
          </w:p>
        </w:tc>
        <w:tc>
          <w:tcPr>
            <w:tcW w:w="821" w:type="pct"/>
            <w:vAlign w:val="center"/>
          </w:tcPr>
          <w:p w14:paraId="31B8EC18"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eaux pluviales ;</w:t>
            </w:r>
          </w:p>
          <w:p w14:paraId="1E46196E"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 la tranquillité des riverains ;</w:t>
            </w:r>
          </w:p>
          <w:p w14:paraId="024A5A18"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Maintien de la mobilité des personnes et des biens ;</w:t>
            </w:r>
          </w:p>
          <w:p w14:paraId="796F08FB"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biens et des activités socio-économiques ;</w:t>
            </w:r>
          </w:p>
          <w:p w14:paraId="33B88337"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réseaux des concessionnaires (SENELEC) et maintien de la continuité de leur service </w:t>
            </w:r>
          </w:p>
        </w:tc>
      </w:tr>
      <w:tr w:rsidR="00CD1EB5" w:rsidRPr="00260790" w14:paraId="212D5CE5" w14:textId="77777777" w:rsidTr="00CD1EB5">
        <w:trPr>
          <w:trHeight w:val="1450"/>
        </w:trPr>
        <w:tc>
          <w:tcPr>
            <w:tcW w:w="521" w:type="pct"/>
            <w:vMerge/>
            <w:shd w:val="clear" w:color="auto" w:fill="E2EFD9" w:themeFill="accent6" w:themeFillTint="33"/>
            <w:vAlign w:val="center"/>
          </w:tcPr>
          <w:p w14:paraId="2581F834" w14:textId="77777777" w:rsidR="00CD1EB5" w:rsidRPr="00260790" w:rsidRDefault="00CD1EB5" w:rsidP="003A0E4A">
            <w:pPr>
              <w:spacing w:line="240" w:lineRule="auto"/>
              <w:rPr>
                <w:rFonts w:ascii="Times New Roman" w:hAnsi="Times New Roman"/>
                <w:b/>
                <w:color w:val="000000" w:themeColor="text1"/>
                <w:sz w:val="22"/>
                <w:szCs w:val="22"/>
                <w:lang w:val="fr-FR"/>
              </w:rPr>
            </w:pPr>
          </w:p>
        </w:tc>
        <w:tc>
          <w:tcPr>
            <w:tcW w:w="521" w:type="pct"/>
            <w:vAlign w:val="center"/>
          </w:tcPr>
          <w:p w14:paraId="061BAB33" w14:textId="77777777" w:rsidR="00CD1EB5" w:rsidRPr="00260790" w:rsidRDefault="00CD1EB5" w:rsidP="003A0E4A">
            <w:pPr>
              <w:spacing w:line="240" w:lineRule="auto"/>
              <w:jc w:val="both"/>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Bassin éventuel</w:t>
            </w:r>
          </w:p>
        </w:tc>
        <w:tc>
          <w:tcPr>
            <w:tcW w:w="1574" w:type="pct"/>
            <w:vAlign w:val="center"/>
          </w:tcPr>
          <w:p w14:paraId="6E8381DD"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Ce bassin est localisé dans le quartier Parcelles Assainies U 10. Il couvre une superficie de 0,414 ha. Il est longé par des rues et entouré par des habitations. La nature des sols du site est de type brun rouge subaride et peu évolué hydromorphe. L’emprise du bassin est occupée par un dépôt de parpaings et de ferraille. Des individus de tamarix sont identifiés dans le site du bassin. </w:t>
            </w:r>
          </w:p>
        </w:tc>
        <w:tc>
          <w:tcPr>
            <w:tcW w:w="1564" w:type="pct"/>
            <w:vAlign w:val="center"/>
          </w:tcPr>
          <w:p w14:paraId="461A0048" w14:textId="77777777" w:rsidR="00CD1EB5" w:rsidRPr="00260790" w:rsidRDefault="00CD1EB5" w:rsidP="003A0E4A">
            <w:pPr>
              <w:keepNext/>
              <w:spacing w:line="240" w:lineRule="auto"/>
              <w:rPr>
                <w:rFonts w:ascii="Times New Roman" w:hAnsi="Times New Roman"/>
                <w:sz w:val="22"/>
                <w:szCs w:val="22"/>
              </w:rPr>
            </w:pPr>
            <w:r w:rsidRPr="00260790">
              <w:rPr>
                <w:rFonts w:ascii="Times New Roman" w:hAnsi="Times New Roman"/>
                <w:noProof/>
                <w:color w:val="000000" w:themeColor="text1"/>
              </w:rPr>
              <w:drawing>
                <wp:inline distT="0" distB="0" distL="0" distR="0" wp14:anchorId="1F2CD40C" wp14:editId="407F2AC1">
                  <wp:extent cx="2711964" cy="1461541"/>
                  <wp:effectExtent l="0" t="0" r="0" b="0"/>
                  <wp:docPr id="46" name="Image 26" descr="Une image contenant plein air, ciel, sol, sab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26" descr="Une image contenant plein air, ciel, sol, sable&#10;&#10;Le contenu généré par l’IA peut être incorrect."/>
                          <pic:cNvPicPr/>
                        </pic:nvPicPr>
                        <pic:blipFill>
                          <a:blip r:embed="rId34" cstate="email">
                            <a:extLst>
                              <a:ext uri="{28A0092B-C50C-407E-A947-70E740481C1C}">
                                <a14:useLocalDpi xmlns:a14="http://schemas.microsoft.com/office/drawing/2010/main"/>
                              </a:ext>
                            </a:extLst>
                          </a:blip>
                          <a:stretch>
                            <a:fillRect/>
                          </a:stretch>
                        </pic:blipFill>
                        <pic:spPr>
                          <a:xfrm>
                            <a:off x="0" y="0"/>
                            <a:ext cx="2737390" cy="1475244"/>
                          </a:xfrm>
                          <a:prstGeom prst="rect">
                            <a:avLst/>
                          </a:prstGeom>
                        </pic:spPr>
                      </pic:pic>
                    </a:graphicData>
                  </a:graphic>
                </wp:inline>
              </w:drawing>
            </w:r>
          </w:p>
          <w:p w14:paraId="6E89B3E1" w14:textId="77777777" w:rsidR="00CD1EB5" w:rsidRPr="00260790" w:rsidRDefault="00CD1EB5" w:rsidP="003A0E4A">
            <w:pPr>
              <w:pStyle w:val="Lgende"/>
              <w:spacing w:line="240" w:lineRule="auto"/>
              <w:rPr>
                <w:color w:val="000000" w:themeColor="text1"/>
                <w:sz w:val="22"/>
                <w:szCs w:val="22"/>
                <w:lang w:val="fr-FR"/>
              </w:rPr>
            </w:pPr>
            <w:bookmarkStart w:id="351" w:name="_Toc212725212"/>
            <w:r w:rsidRPr="00260790">
              <w:rPr>
                <w:color w:val="auto"/>
                <w:sz w:val="22"/>
                <w:szCs w:val="22"/>
                <w:lang w:val="fr-FR"/>
              </w:rPr>
              <w:t xml:space="preserve">Photo </w:t>
            </w:r>
            <w:r w:rsidRPr="00260790">
              <w:rPr>
                <w:color w:val="auto"/>
                <w:sz w:val="22"/>
                <w:szCs w:val="22"/>
              </w:rPr>
              <w:fldChar w:fldCharType="begin"/>
            </w:r>
            <w:r w:rsidRPr="00260790">
              <w:rPr>
                <w:color w:val="auto"/>
                <w:sz w:val="22"/>
                <w:szCs w:val="22"/>
                <w:lang w:val="fr-FR"/>
              </w:rPr>
              <w:instrText xml:space="preserve"> SEQ Photo \* ARABIC </w:instrText>
            </w:r>
            <w:r w:rsidRPr="00260790">
              <w:rPr>
                <w:color w:val="auto"/>
                <w:sz w:val="22"/>
                <w:szCs w:val="22"/>
              </w:rPr>
              <w:fldChar w:fldCharType="separate"/>
            </w:r>
            <w:r w:rsidRPr="00260790">
              <w:rPr>
                <w:noProof/>
                <w:color w:val="auto"/>
                <w:sz w:val="22"/>
                <w:szCs w:val="22"/>
                <w:lang w:val="fr-FR"/>
              </w:rPr>
              <w:t>13</w:t>
            </w:r>
            <w:r w:rsidRPr="00260790">
              <w:rPr>
                <w:color w:val="auto"/>
                <w:sz w:val="22"/>
                <w:szCs w:val="22"/>
              </w:rPr>
              <w:fldChar w:fldCharType="end"/>
            </w:r>
            <w:r w:rsidRPr="00260790">
              <w:rPr>
                <w:color w:val="auto"/>
                <w:sz w:val="22"/>
                <w:szCs w:val="22"/>
                <w:lang w:val="fr-FR"/>
              </w:rPr>
              <w:t xml:space="preserve"> : </w:t>
            </w:r>
            <w:r w:rsidRPr="00260790">
              <w:rPr>
                <w:noProof/>
                <w:color w:val="000000" w:themeColor="text1"/>
                <w:sz w:val="22"/>
                <w:szCs w:val="22"/>
                <w:lang w:val="fr-FR"/>
              </w:rPr>
              <w:t xml:space="preserve">dépôt de </w:t>
            </w:r>
            <w:r w:rsidRPr="00260790">
              <w:rPr>
                <w:color w:val="000000" w:themeColor="text1"/>
                <w:sz w:val="22"/>
                <w:szCs w:val="22"/>
                <w:lang w:val="fr-FR"/>
              </w:rPr>
              <w:t>ferraille sur le site du bassin éventuel</w:t>
            </w:r>
            <w:bookmarkEnd w:id="351"/>
          </w:p>
        </w:tc>
        <w:tc>
          <w:tcPr>
            <w:tcW w:w="821" w:type="pct"/>
            <w:vAlign w:val="center"/>
          </w:tcPr>
          <w:p w14:paraId="33C6A3E4"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 la mobilité des personnes et des biens ;</w:t>
            </w:r>
          </w:p>
          <w:p w14:paraId="668A43E8"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Maintien de l’accès aux habitations ;</w:t>
            </w:r>
          </w:p>
          <w:p w14:paraId="615C1291"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eaux pluviales ;</w:t>
            </w:r>
          </w:p>
          <w:p w14:paraId="2441251C"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 la tranquillité des riverains ;</w:t>
            </w:r>
          </w:p>
          <w:p w14:paraId="7239743E"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biens et des activités socio-économiques </w:t>
            </w:r>
          </w:p>
        </w:tc>
      </w:tr>
      <w:tr w:rsidR="00CD1EB5" w:rsidRPr="00260790" w14:paraId="053D6336" w14:textId="77777777" w:rsidTr="00CD1EB5">
        <w:trPr>
          <w:trHeight w:val="1450"/>
        </w:trPr>
        <w:tc>
          <w:tcPr>
            <w:tcW w:w="521" w:type="pct"/>
            <w:vMerge/>
            <w:shd w:val="clear" w:color="auto" w:fill="E2EFD9" w:themeFill="accent6" w:themeFillTint="33"/>
            <w:vAlign w:val="center"/>
          </w:tcPr>
          <w:p w14:paraId="64518618" w14:textId="77777777" w:rsidR="00CD1EB5" w:rsidRPr="00260790" w:rsidRDefault="00CD1EB5" w:rsidP="003A0E4A">
            <w:pPr>
              <w:spacing w:line="240" w:lineRule="auto"/>
              <w:rPr>
                <w:rFonts w:ascii="Times New Roman" w:hAnsi="Times New Roman"/>
                <w:b/>
                <w:color w:val="000000" w:themeColor="text1"/>
                <w:sz w:val="22"/>
                <w:szCs w:val="22"/>
                <w:lang w:val="fr-FR"/>
              </w:rPr>
            </w:pPr>
          </w:p>
        </w:tc>
        <w:tc>
          <w:tcPr>
            <w:tcW w:w="521" w:type="pct"/>
            <w:vAlign w:val="center"/>
          </w:tcPr>
          <w:p w14:paraId="26923CCF" w14:textId="77777777" w:rsidR="00CD1EB5" w:rsidRPr="00260790" w:rsidRDefault="00CD1EB5" w:rsidP="003A0E4A">
            <w:pPr>
              <w:spacing w:line="240" w:lineRule="auto"/>
              <w:jc w:val="both"/>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BR_ND 41</w:t>
            </w:r>
          </w:p>
        </w:tc>
        <w:tc>
          <w:tcPr>
            <w:tcW w:w="1574" w:type="pct"/>
            <w:vAlign w:val="center"/>
          </w:tcPr>
          <w:p w14:paraId="53338EDD"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Avec une superficie de 0,3 ha, ce bassin est localisé dans le quartier </w:t>
            </w:r>
            <w:proofErr w:type="spellStart"/>
            <w:r w:rsidRPr="00260790">
              <w:rPr>
                <w:rFonts w:ascii="Times New Roman" w:hAnsi="Times New Roman"/>
                <w:color w:val="000000" w:themeColor="text1"/>
                <w:sz w:val="22"/>
                <w:szCs w:val="22"/>
                <w:lang w:val="fr-FR"/>
              </w:rPr>
              <w:t>Lébou</w:t>
            </w:r>
            <w:proofErr w:type="spellEnd"/>
            <w:r w:rsidRPr="00260790">
              <w:rPr>
                <w:rFonts w:ascii="Times New Roman" w:hAnsi="Times New Roman"/>
                <w:color w:val="000000" w:themeColor="text1"/>
                <w:sz w:val="22"/>
                <w:szCs w:val="22"/>
                <w:lang w:val="fr-FR"/>
              </w:rPr>
              <w:t xml:space="preserve"> gui 2000.</w:t>
            </w:r>
          </w:p>
          <w:p w14:paraId="7BFCA0EE"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Les sols du site sont de type hydromorphe sur colluvion calcaire. Il est peuplé de typha et de tamarix.</w:t>
            </w:r>
          </w:p>
          <w:p w14:paraId="25B6B2D7"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Ce bassin est caractérisé par la présence des habitations et des ruelles aux alentours. Une moto pompage est notée dans le site du bassin.</w:t>
            </w:r>
          </w:p>
          <w:p w14:paraId="6CF796A1" w14:textId="77777777" w:rsidR="00CD1EB5" w:rsidRPr="00260790" w:rsidRDefault="00CD1EB5" w:rsidP="003A0E4A">
            <w:pPr>
              <w:spacing w:line="240" w:lineRule="auto"/>
              <w:ind w:left="50" w:hanging="50"/>
              <w:jc w:val="both"/>
              <w:rPr>
                <w:rFonts w:ascii="Times New Roman" w:hAnsi="Times New Roman"/>
                <w:color w:val="000000" w:themeColor="text1"/>
                <w:sz w:val="22"/>
                <w:szCs w:val="22"/>
                <w:lang w:val="fr-FR"/>
              </w:rPr>
            </w:pPr>
          </w:p>
        </w:tc>
        <w:tc>
          <w:tcPr>
            <w:tcW w:w="1564" w:type="pct"/>
            <w:vAlign w:val="center"/>
          </w:tcPr>
          <w:p w14:paraId="715A84FD" w14:textId="77777777" w:rsidR="00CD1EB5" w:rsidRPr="00260790" w:rsidRDefault="00CD1EB5" w:rsidP="003A0E4A">
            <w:pPr>
              <w:keepNext/>
              <w:spacing w:line="240" w:lineRule="auto"/>
              <w:jc w:val="both"/>
              <w:rPr>
                <w:rFonts w:ascii="Times New Roman" w:hAnsi="Times New Roman"/>
                <w:noProof/>
                <w:color w:val="000000" w:themeColor="text1"/>
                <w:lang w:eastAsia="fr-FR"/>
              </w:rPr>
            </w:pPr>
            <w:r w:rsidRPr="00260790">
              <w:rPr>
                <w:rFonts w:ascii="Times New Roman" w:hAnsi="Times New Roman"/>
                <w:noProof/>
                <w:color w:val="000000" w:themeColor="text1"/>
              </w:rPr>
              <w:drawing>
                <wp:inline distT="0" distB="0" distL="0" distR="0" wp14:anchorId="573D80AD" wp14:editId="0A5380C1">
                  <wp:extent cx="2711843" cy="1521502"/>
                  <wp:effectExtent l="0" t="0" r="6350" b="2540"/>
                  <wp:docPr id="1342007312" name="Image 4" descr="Une image contenant plein air, habits, ciel, eau&#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07312" name="Image 4" descr="Une image contenant plein air, habits, ciel, eau&#10;&#10;Le contenu généré par l’IA peut être incorrect."/>
                          <pic:cNvPicPr/>
                        </pic:nvPicPr>
                        <pic:blipFill>
                          <a:blip r:embed="rId35" cstate="email">
                            <a:extLst>
                              <a:ext uri="{28A0092B-C50C-407E-A947-70E740481C1C}">
                                <a14:useLocalDpi xmlns:a14="http://schemas.microsoft.com/office/drawing/2010/main"/>
                              </a:ext>
                            </a:extLst>
                          </a:blip>
                          <a:stretch>
                            <a:fillRect/>
                          </a:stretch>
                        </pic:blipFill>
                        <pic:spPr>
                          <a:xfrm>
                            <a:off x="0" y="0"/>
                            <a:ext cx="2722454" cy="1527455"/>
                          </a:xfrm>
                          <a:prstGeom prst="rect">
                            <a:avLst/>
                          </a:prstGeom>
                        </pic:spPr>
                      </pic:pic>
                    </a:graphicData>
                  </a:graphic>
                </wp:inline>
              </w:drawing>
            </w:r>
          </w:p>
          <w:p w14:paraId="38ACCA55" w14:textId="77777777" w:rsidR="00CD1EB5" w:rsidRPr="00260790" w:rsidRDefault="00CD1EB5" w:rsidP="003A0E4A">
            <w:pPr>
              <w:pStyle w:val="Lgende"/>
              <w:spacing w:line="240" w:lineRule="auto"/>
              <w:jc w:val="both"/>
              <w:rPr>
                <w:rFonts w:eastAsia="Calibri"/>
                <w:i w:val="0"/>
                <w:iCs w:val="0"/>
                <w:noProof/>
                <w:color w:val="000000" w:themeColor="text1"/>
                <w:sz w:val="20"/>
                <w:szCs w:val="20"/>
                <w:lang w:val="fr-FR"/>
              </w:rPr>
            </w:pPr>
            <w:bookmarkStart w:id="352" w:name="_Toc212725213"/>
            <w:r w:rsidRPr="00260790">
              <w:rPr>
                <w:rFonts w:eastAsia="Calibri"/>
                <w:i w:val="0"/>
                <w:iCs w:val="0"/>
                <w:noProof/>
                <w:color w:val="000000" w:themeColor="text1"/>
                <w:sz w:val="20"/>
                <w:szCs w:val="20"/>
                <w:lang w:val="fr-FR"/>
              </w:rPr>
              <w:t xml:space="preserve">Photo </w:t>
            </w:r>
            <w:r w:rsidRPr="00260790">
              <w:rPr>
                <w:rFonts w:eastAsia="Calibri"/>
                <w:i w:val="0"/>
                <w:iCs w:val="0"/>
                <w:noProof/>
                <w:color w:val="000000" w:themeColor="text1"/>
                <w:sz w:val="20"/>
                <w:szCs w:val="20"/>
              </w:rPr>
              <w:fldChar w:fldCharType="begin"/>
            </w:r>
            <w:r w:rsidRPr="00260790">
              <w:rPr>
                <w:rFonts w:eastAsia="Calibri"/>
                <w:i w:val="0"/>
                <w:iCs w:val="0"/>
                <w:noProof/>
                <w:color w:val="000000" w:themeColor="text1"/>
                <w:sz w:val="20"/>
                <w:szCs w:val="20"/>
                <w:lang w:val="fr-FR"/>
              </w:rPr>
              <w:instrText xml:space="preserve"> SEQ Photo \* ARABIC </w:instrText>
            </w:r>
            <w:r w:rsidRPr="00260790">
              <w:rPr>
                <w:rFonts w:eastAsia="Calibri"/>
                <w:i w:val="0"/>
                <w:iCs w:val="0"/>
                <w:noProof/>
                <w:color w:val="000000" w:themeColor="text1"/>
                <w:sz w:val="20"/>
                <w:szCs w:val="20"/>
              </w:rPr>
              <w:fldChar w:fldCharType="separate"/>
            </w:r>
            <w:r w:rsidRPr="00260790">
              <w:rPr>
                <w:rFonts w:eastAsia="Calibri"/>
                <w:i w:val="0"/>
                <w:iCs w:val="0"/>
                <w:noProof/>
                <w:color w:val="000000" w:themeColor="text1"/>
                <w:sz w:val="20"/>
                <w:szCs w:val="20"/>
                <w:lang w:val="fr-FR"/>
              </w:rPr>
              <w:t>14</w:t>
            </w:r>
            <w:r w:rsidRPr="00260790">
              <w:rPr>
                <w:rFonts w:eastAsia="Calibri"/>
                <w:i w:val="0"/>
                <w:iCs w:val="0"/>
                <w:noProof/>
                <w:color w:val="000000" w:themeColor="text1"/>
                <w:sz w:val="20"/>
                <w:szCs w:val="20"/>
              </w:rPr>
              <w:fldChar w:fldCharType="end"/>
            </w:r>
            <w:r w:rsidRPr="00260790">
              <w:rPr>
                <w:rFonts w:eastAsia="Calibri"/>
                <w:i w:val="0"/>
                <w:iCs w:val="0"/>
                <w:noProof/>
                <w:color w:val="000000" w:themeColor="text1"/>
                <w:sz w:val="20"/>
                <w:szCs w:val="20"/>
                <w:lang w:val="fr-FR"/>
              </w:rPr>
              <w:t xml:space="preserve"> : moto pompage sur le site du bassin BR_ND 41</w:t>
            </w:r>
            <w:bookmarkEnd w:id="352"/>
          </w:p>
          <w:p w14:paraId="57DAF26C" w14:textId="77777777" w:rsidR="00CD1EB5" w:rsidRPr="00260790" w:rsidRDefault="00CD1EB5" w:rsidP="003A0E4A">
            <w:pPr>
              <w:keepNext/>
              <w:spacing w:line="240" w:lineRule="auto"/>
              <w:jc w:val="both"/>
              <w:rPr>
                <w:rFonts w:ascii="Times New Roman" w:hAnsi="Times New Roman"/>
                <w:noProof/>
                <w:color w:val="000000" w:themeColor="text1"/>
                <w:lang w:eastAsia="fr-FR"/>
              </w:rPr>
            </w:pPr>
            <w:r w:rsidRPr="00260790">
              <w:rPr>
                <w:rFonts w:ascii="Times New Roman" w:hAnsi="Times New Roman"/>
                <w:noProof/>
                <w:color w:val="000000" w:themeColor="text1"/>
              </w:rPr>
              <w:drawing>
                <wp:inline distT="0" distB="0" distL="0" distR="0" wp14:anchorId="23EE5722" wp14:editId="2AC2B2D6">
                  <wp:extent cx="2711450" cy="1333500"/>
                  <wp:effectExtent l="0" t="0" r="6350" b="0"/>
                  <wp:docPr id="1342007313" name="Image 5" descr="Une image contenant plein air, ciel, Véhicule terrestre, véhicu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07313" name="Image 5" descr="Une image contenant plein air, ciel, Véhicule terrestre, véhicule&#10;&#10;Le contenu généré par l’IA peut être incorrect."/>
                          <pic:cNvPicPr/>
                        </pic:nvPicPr>
                        <pic:blipFill>
                          <a:blip r:embed="rId36" cstate="email">
                            <a:extLst>
                              <a:ext uri="{28A0092B-C50C-407E-A947-70E740481C1C}">
                                <a14:useLocalDpi xmlns:a14="http://schemas.microsoft.com/office/drawing/2010/main"/>
                              </a:ext>
                            </a:extLst>
                          </a:blip>
                          <a:stretch>
                            <a:fillRect/>
                          </a:stretch>
                        </pic:blipFill>
                        <pic:spPr>
                          <a:xfrm>
                            <a:off x="0" y="0"/>
                            <a:ext cx="2721473" cy="1338429"/>
                          </a:xfrm>
                          <a:prstGeom prst="rect">
                            <a:avLst/>
                          </a:prstGeom>
                        </pic:spPr>
                      </pic:pic>
                    </a:graphicData>
                  </a:graphic>
                </wp:inline>
              </w:drawing>
            </w:r>
          </w:p>
          <w:p w14:paraId="05930762" w14:textId="77777777" w:rsidR="00CD1EB5" w:rsidRPr="00260790" w:rsidRDefault="00CD1EB5" w:rsidP="003A0E4A">
            <w:pPr>
              <w:pStyle w:val="Lgende"/>
              <w:spacing w:line="240" w:lineRule="auto"/>
              <w:jc w:val="both"/>
              <w:rPr>
                <w:rFonts w:eastAsia="Calibri"/>
                <w:i w:val="0"/>
                <w:iCs w:val="0"/>
                <w:noProof/>
                <w:color w:val="000000" w:themeColor="text1"/>
                <w:sz w:val="20"/>
                <w:szCs w:val="20"/>
                <w:lang w:val="fr-FR"/>
              </w:rPr>
            </w:pPr>
            <w:bookmarkStart w:id="353" w:name="_Toc212725214"/>
            <w:r w:rsidRPr="00260790">
              <w:rPr>
                <w:rFonts w:eastAsia="Calibri"/>
                <w:i w:val="0"/>
                <w:iCs w:val="0"/>
                <w:noProof/>
                <w:color w:val="000000" w:themeColor="text1"/>
                <w:sz w:val="20"/>
                <w:szCs w:val="20"/>
                <w:lang w:val="fr-FR"/>
              </w:rPr>
              <w:t xml:space="preserve">Photo </w:t>
            </w:r>
            <w:r w:rsidRPr="00260790">
              <w:rPr>
                <w:rFonts w:eastAsia="Calibri"/>
                <w:i w:val="0"/>
                <w:iCs w:val="0"/>
                <w:noProof/>
                <w:color w:val="000000" w:themeColor="text1"/>
                <w:sz w:val="20"/>
                <w:szCs w:val="20"/>
              </w:rPr>
              <w:fldChar w:fldCharType="begin"/>
            </w:r>
            <w:r w:rsidRPr="00260790">
              <w:rPr>
                <w:rFonts w:eastAsia="Calibri"/>
                <w:i w:val="0"/>
                <w:iCs w:val="0"/>
                <w:noProof/>
                <w:color w:val="000000" w:themeColor="text1"/>
                <w:sz w:val="20"/>
                <w:szCs w:val="20"/>
                <w:lang w:val="fr-FR"/>
              </w:rPr>
              <w:instrText xml:space="preserve"> SEQ Photo \* ARABIC </w:instrText>
            </w:r>
            <w:r w:rsidRPr="00260790">
              <w:rPr>
                <w:rFonts w:eastAsia="Calibri"/>
                <w:i w:val="0"/>
                <w:iCs w:val="0"/>
                <w:noProof/>
                <w:color w:val="000000" w:themeColor="text1"/>
                <w:sz w:val="20"/>
                <w:szCs w:val="20"/>
              </w:rPr>
              <w:fldChar w:fldCharType="separate"/>
            </w:r>
            <w:r w:rsidRPr="00260790">
              <w:rPr>
                <w:rFonts w:eastAsia="Calibri"/>
                <w:i w:val="0"/>
                <w:iCs w:val="0"/>
                <w:noProof/>
                <w:color w:val="000000" w:themeColor="text1"/>
                <w:sz w:val="20"/>
                <w:szCs w:val="20"/>
                <w:lang w:val="fr-FR"/>
              </w:rPr>
              <w:t>15</w:t>
            </w:r>
            <w:r w:rsidRPr="00260790">
              <w:rPr>
                <w:rFonts w:eastAsia="Calibri"/>
                <w:i w:val="0"/>
                <w:iCs w:val="0"/>
                <w:noProof/>
                <w:color w:val="000000" w:themeColor="text1"/>
                <w:sz w:val="20"/>
                <w:szCs w:val="20"/>
              </w:rPr>
              <w:fldChar w:fldCharType="end"/>
            </w:r>
            <w:r w:rsidRPr="00260790">
              <w:rPr>
                <w:rFonts w:eastAsia="Calibri"/>
                <w:i w:val="0"/>
                <w:iCs w:val="0"/>
                <w:noProof/>
                <w:color w:val="000000" w:themeColor="text1"/>
                <w:sz w:val="20"/>
                <w:szCs w:val="20"/>
                <w:lang w:val="fr-FR"/>
              </w:rPr>
              <w:t xml:space="preserve"> : route à la limite du site du BRND-41</w:t>
            </w:r>
            <w:bookmarkEnd w:id="353"/>
          </w:p>
        </w:tc>
        <w:tc>
          <w:tcPr>
            <w:tcW w:w="821" w:type="pct"/>
            <w:vAlign w:val="center"/>
          </w:tcPr>
          <w:p w14:paraId="748EEE86" w14:textId="77777777" w:rsidR="00CD1EB5" w:rsidRPr="00260790" w:rsidRDefault="00CD1EB5" w:rsidP="001748C6">
            <w:pPr>
              <w:numPr>
                <w:ilvl w:val="0"/>
                <w:numId w:val="121"/>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 la mobilité des personnes et des biens ;</w:t>
            </w:r>
          </w:p>
          <w:p w14:paraId="2A61862A" w14:textId="77777777" w:rsidR="00CD1EB5" w:rsidRPr="00260790" w:rsidRDefault="00CD1EB5" w:rsidP="001748C6">
            <w:pPr>
              <w:numPr>
                <w:ilvl w:val="0"/>
                <w:numId w:val="121"/>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accès aux habitations ;</w:t>
            </w:r>
          </w:p>
          <w:p w14:paraId="7A64B9EB" w14:textId="77777777" w:rsidR="00CD1EB5" w:rsidRPr="00260790" w:rsidRDefault="00CD1EB5" w:rsidP="001748C6">
            <w:pPr>
              <w:numPr>
                <w:ilvl w:val="0"/>
                <w:numId w:val="121"/>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eaux pluviales ;</w:t>
            </w:r>
          </w:p>
        </w:tc>
      </w:tr>
      <w:tr w:rsidR="00CD1EB5" w:rsidRPr="00260790" w14:paraId="685FA43A" w14:textId="77777777" w:rsidTr="00CD1EB5">
        <w:trPr>
          <w:trHeight w:val="1450"/>
        </w:trPr>
        <w:tc>
          <w:tcPr>
            <w:tcW w:w="521" w:type="pct"/>
            <w:vMerge/>
            <w:shd w:val="clear" w:color="auto" w:fill="E2EFD9" w:themeFill="accent6" w:themeFillTint="33"/>
            <w:vAlign w:val="center"/>
          </w:tcPr>
          <w:p w14:paraId="1F13C53E" w14:textId="77777777" w:rsidR="00CD1EB5" w:rsidRPr="00260790" w:rsidRDefault="00CD1EB5" w:rsidP="003A0E4A">
            <w:pPr>
              <w:spacing w:line="240" w:lineRule="auto"/>
              <w:rPr>
                <w:rFonts w:ascii="Times New Roman" w:hAnsi="Times New Roman"/>
                <w:b/>
                <w:color w:val="000000" w:themeColor="text1"/>
                <w:sz w:val="22"/>
                <w:szCs w:val="22"/>
                <w:lang w:val="fr-FR"/>
              </w:rPr>
            </w:pPr>
          </w:p>
        </w:tc>
        <w:tc>
          <w:tcPr>
            <w:tcW w:w="521" w:type="pct"/>
            <w:vAlign w:val="center"/>
          </w:tcPr>
          <w:p w14:paraId="54829EF5" w14:textId="77777777" w:rsidR="00CD1EB5" w:rsidRPr="00260790" w:rsidRDefault="00CD1EB5" w:rsidP="003A0E4A">
            <w:pPr>
              <w:spacing w:line="240" w:lineRule="auto"/>
              <w:jc w:val="both"/>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Bassin éventuel commissariat</w:t>
            </w:r>
          </w:p>
        </w:tc>
        <w:tc>
          <w:tcPr>
            <w:tcW w:w="1574" w:type="pct"/>
            <w:vAlign w:val="center"/>
          </w:tcPr>
          <w:p w14:paraId="32190920"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Ce bassin couvre une superficie de 0,644 ha. Il est à cheval entre les quartiers des Parcelles Assainies, U 13, 12A, 12B, 11A et 10. Il est limité par des rues et des habitations aux alentours. Le commissariat de la police se situe au sud du bassin.</w:t>
            </w:r>
          </w:p>
          <w:p w14:paraId="057FEE97"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La nature des sols du site est de type brun rouge subaride et peu évolué hydromorphe.</w:t>
            </w:r>
          </w:p>
          <w:p w14:paraId="17F0C1CB"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La végétation du bassin est essentiellement constituée par un tapis herbacé. Des lignes à BT non fonctionnelles, des parpaings et parkings automobiles sont notés dans les emprises du site.</w:t>
            </w:r>
          </w:p>
          <w:p w14:paraId="0A473F4C"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p>
        </w:tc>
        <w:tc>
          <w:tcPr>
            <w:tcW w:w="1564" w:type="pct"/>
            <w:vAlign w:val="center"/>
          </w:tcPr>
          <w:p w14:paraId="6A540313" w14:textId="77777777" w:rsidR="00CD1EB5" w:rsidRPr="00260790" w:rsidRDefault="00CD1EB5" w:rsidP="003A0E4A">
            <w:pPr>
              <w:keepNext/>
              <w:spacing w:line="240" w:lineRule="auto"/>
              <w:jc w:val="both"/>
              <w:rPr>
                <w:rFonts w:ascii="Times New Roman" w:hAnsi="Times New Roman"/>
                <w:noProof/>
                <w:color w:val="000000" w:themeColor="text1"/>
                <w:lang w:eastAsia="fr-FR"/>
              </w:rPr>
            </w:pPr>
            <w:r w:rsidRPr="00260790">
              <w:rPr>
                <w:rFonts w:ascii="Times New Roman" w:hAnsi="Times New Roman"/>
                <w:noProof/>
                <w:color w:val="000000" w:themeColor="text1"/>
              </w:rPr>
              <w:drawing>
                <wp:inline distT="0" distB="0" distL="0" distR="0" wp14:anchorId="2C3F0C60" wp14:editId="33CBC148">
                  <wp:extent cx="2720714" cy="1671320"/>
                  <wp:effectExtent l="0" t="0" r="0" b="5080"/>
                  <wp:docPr id="1342007324"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230129" name="Image 1324230129"/>
                          <pic:cNvPicPr/>
                        </pic:nvPicPr>
                        <pic:blipFill>
                          <a:blip r:embed="rId37" cstate="email">
                            <a:extLst>
                              <a:ext uri="{28A0092B-C50C-407E-A947-70E740481C1C}">
                                <a14:useLocalDpi xmlns:a14="http://schemas.microsoft.com/office/drawing/2010/main"/>
                              </a:ext>
                            </a:extLst>
                          </a:blip>
                          <a:stretch>
                            <a:fillRect/>
                          </a:stretch>
                        </pic:blipFill>
                        <pic:spPr>
                          <a:xfrm>
                            <a:off x="0" y="0"/>
                            <a:ext cx="2727063" cy="1675220"/>
                          </a:xfrm>
                          <a:prstGeom prst="rect">
                            <a:avLst/>
                          </a:prstGeom>
                        </pic:spPr>
                      </pic:pic>
                    </a:graphicData>
                  </a:graphic>
                </wp:inline>
              </w:drawing>
            </w:r>
          </w:p>
          <w:p w14:paraId="519FE34E" w14:textId="77777777" w:rsidR="00425189" w:rsidRPr="00260790" w:rsidRDefault="00CD1EB5" w:rsidP="00425189">
            <w:pPr>
              <w:pStyle w:val="Lgende"/>
              <w:spacing w:line="240" w:lineRule="auto"/>
              <w:jc w:val="both"/>
              <w:rPr>
                <w:rFonts w:eastAsia="Calibri"/>
                <w:i w:val="0"/>
                <w:iCs w:val="0"/>
                <w:noProof/>
                <w:color w:val="000000" w:themeColor="text1"/>
                <w:sz w:val="20"/>
                <w:szCs w:val="20"/>
                <w:lang w:val="fr-FR"/>
              </w:rPr>
            </w:pPr>
            <w:bookmarkStart w:id="354" w:name="_Toc212725215"/>
            <w:r w:rsidRPr="00260790">
              <w:rPr>
                <w:rFonts w:eastAsia="Calibri"/>
                <w:i w:val="0"/>
                <w:iCs w:val="0"/>
                <w:noProof/>
                <w:color w:val="000000" w:themeColor="text1"/>
                <w:sz w:val="20"/>
                <w:szCs w:val="20"/>
                <w:lang w:val="fr-FR"/>
              </w:rPr>
              <w:t xml:space="preserve">Photo </w:t>
            </w:r>
            <w:r w:rsidRPr="00260790">
              <w:rPr>
                <w:rFonts w:eastAsia="Calibri"/>
                <w:i w:val="0"/>
                <w:iCs w:val="0"/>
                <w:noProof/>
                <w:color w:val="000000" w:themeColor="text1"/>
                <w:sz w:val="20"/>
                <w:szCs w:val="20"/>
              </w:rPr>
              <w:fldChar w:fldCharType="begin"/>
            </w:r>
            <w:r w:rsidRPr="00260790">
              <w:rPr>
                <w:rFonts w:eastAsia="Calibri"/>
                <w:i w:val="0"/>
                <w:iCs w:val="0"/>
                <w:noProof/>
                <w:color w:val="000000" w:themeColor="text1"/>
                <w:sz w:val="20"/>
                <w:szCs w:val="20"/>
                <w:lang w:val="fr-FR"/>
              </w:rPr>
              <w:instrText xml:space="preserve"> SEQ Photo \* ARABIC </w:instrText>
            </w:r>
            <w:r w:rsidRPr="00260790">
              <w:rPr>
                <w:rFonts w:eastAsia="Calibri"/>
                <w:i w:val="0"/>
                <w:iCs w:val="0"/>
                <w:noProof/>
                <w:color w:val="000000" w:themeColor="text1"/>
                <w:sz w:val="20"/>
                <w:szCs w:val="20"/>
              </w:rPr>
              <w:fldChar w:fldCharType="separate"/>
            </w:r>
            <w:r w:rsidRPr="00260790">
              <w:rPr>
                <w:rFonts w:eastAsia="Calibri"/>
                <w:i w:val="0"/>
                <w:iCs w:val="0"/>
                <w:noProof/>
                <w:color w:val="000000" w:themeColor="text1"/>
                <w:sz w:val="20"/>
                <w:szCs w:val="20"/>
                <w:lang w:val="fr-FR"/>
              </w:rPr>
              <w:t>16</w:t>
            </w:r>
            <w:r w:rsidRPr="00260790">
              <w:rPr>
                <w:rFonts w:eastAsia="Calibri"/>
                <w:i w:val="0"/>
                <w:iCs w:val="0"/>
                <w:noProof/>
                <w:color w:val="000000" w:themeColor="text1"/>
                <w:sz w:val="20"/>
                <w:szCs w:val="20"/>
              </w:rPr>
              <w:fldChar w:fldCharType="end"/>
            </w:r>
            <w:r w:rsidRPr="00260790">
              <w:rPr>
                <w:rFonts w:eastAsia="Calibri"/>
                <w:i w:val="0"/>
                <w:iCs w:val="0"/>
                <w:noProof/>
                <w:color w:val="000000" w:themeColor="text1"/>
                <w:sz w:val="20"/>
                <w:szCs w:val="20"/>
                <w:lang w:val="fr-FR"/>
              </w:rPr>
              <w:t xml:space="preserve"> : vue du site du bassin éventuel commissariat</w:t>
            </w:r>
            <w:bookmarkEnd w:id="354"/>
          </w:p>
          <w:p w14:paraId="30C94D76" w14:textId="596D4FEB" w:rsidR="00425189" w:rsidRPr="00260790" w:rsidRDefault="00CD1EB5" w:rsidP="00425189">
            <w:pPr>
              <w:pStyle w:val="Lgende"/>
              <w:spacing w:line="240" w:lineRule="auto"/>
              <w:jc w:val="both"/>
              <w:rPr>
                <w:rFonts w:eastAsia="Calibri"/>
                <w:i w:val="0"/>
                <w:iCs w:val="0"/>
                <w:noProof/>
                <w:color w:val="000000" w:themeColor="text1"/>
                <w:sz w:val="20"/>
                <w:szCs w:val="20"/>
              </w:rPr>
            </w:pPr>
            <w:r w:rsidRPr="00260790">
              <w:rPr>
                <w:rFonts w:eastAsia="Calibri"/>
                <w:i w:val="0"/>
                <w:iCs w:val="0"/>
                <w:noProof/>
                <w:color w:val="000000" w:themeColor="text1"/>
                <w:sz w:val="20"/>
                <w:szCs w:val="20"/>
                <w:lang w:eastAsia="en-US"/>
              </w:rPr>
              <w:drawing>
                <wp:inline distT="0" distB="0" distL="0" distR="0" wp14:anchorId="3B20C3DD" wp14:editId="0CB5C178">
                  <wp:extent cx="2720340" cy="1573967"/>
                  <wp:effectExtent l="0" t="0" r="0" b="1270"/>
                  <wp:docPr id="1342007325"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693790" name="Image 264693790"/>
                          <pic:cNvPicPr/>
                        </pic:nvPicPr>
                        <pic:blipFill>
                          <a:blip r:embed="rId38" cstate="email">
                            <a:extLst>
                              <a:ext uri="{28A0092B-C50C-407E-A947-70E740481C1C}">
                                <a14:useLocalDpi xmlns:a14="http://schemas.microsoft.com/office/drawing/2010/main"/>
                              </a:ext>
                            </a:extLst>
                          </a:blip>
                          <a:stretch>
                            <a:fillRect/>
                          </a:stretch>
                        </pic:blipFill>
                        <pic:spPr>
                          <a:xfrm>
                            <a:off x="0" y="0"/>
                            <a:ext cx="2736254" cy="1583175"/>
                          </a:xfrm>
                          <a:prstGeom prst="rect">
                            <a:avLst/>
                          </a:prstGeom>
                        </pic:spPr>
                      </pic:pic>
                    </a:graphicData>
                  </a:graphic>
                </wp:inline>
              </w:drawing>
            </w:r>
          </w:p>
          <w:p w14:paraId="06D1C908" w14:textId="77777777" w:rsidR="00CD1EB5" w:rsidRPr="00260790" w:rsidRDefault="00CD1EB5" w:rsidP="003A0E4A">
            <w:pPr>
              <w:pStyle w:val="Lgende"/>
              <w:spacing w:line="240" w:lineRule="auto"/>
              <w:jc w:val="both"/>
              <w:rPr>
                <w:rFonts w:eastAsia="Calibri"/>
                <w:i w:val="0"/>
                <w:iCs w:val="0"/>
                <w:noProof/>
                <w:color w:val="000000" w:themeColor="text1"/>
                <w:sz w:val="20"/>
                <w:szCs w:val="20"/>
                <w:lang w:val="fr-FR"/>
              </w:rPr>
            </w:pPr>
            <w:bookmarkStart w:id="355" w:name="_Toc212725216"/>
            <w:r w:rsidRPr="00260790">
              <w:rPr>
                <w:rFonts w:eastAsia="Calibri"/>
                <w:i w:val="0"/>
                <w:iCs w:val="0"/>
                <w:noProof/>
                <w:color w:val="000000" w:themeColor="text1"/>
                <w:sz w:val="20"/>
                <w:szCs w:val="20"/>
                <w:lang w:val="fr-FR"/>
              </w:rPr>
              <w:t xml:space="preserve">Photo </w:t>
            </w:r>
            <w:r w:rsidRPr="00260790">
              <w:rPr>
                <w:rFonts w:eastAsia="Calibri"/>
                <w:i w:val="0"/>
                <w:iCs w:val="0"/>
                <w:noProof/>
                <w:color w:val="000000" w:themeColor="text1"/>
                <w:sz w:val="20"/>
                <w:szCs w:val="20"/>
              </w:rPr>
              <w:fldChar w:fldCharType="begin"/>
            </w:r>
            <w:r w:rsidRPr="00260790">
              <w:rPr>
                <w:rFonts w:eastAsia="Calibri"/>
                <w:i w:val="0"/>
                <w:iCs w:val="0"/>
                <w:noProof/>
                <w:color w:val="000000" w:themeColor="text1"/>
                <w:sz w:val="20"/>
                <w:szCs w:val="20"/>
                <w:lang w:val="fr-FR"/>
              </w:rPr>
              <w:instrText xml:space="preserve"> SEQ Photo \* ARABIC </w:instrText>
            </w:r>
            <w:r w:rsidRPr="00260790">
              <w:rPr>
                <w:rFonts w:eastAsia="Calibri"/>
                <w:i w:val="0"/>
                <w:iCs w:val="0"/>
                <w:noProof/>
                <w:color w:val="000000" w:themeColor="text1"/>
                <w:sz w:val="20"/>
                <w:szCs w:val="20"/>
              </w:rPr>
              <w:fldChar w:fldCharType="separate"/>
            </w:r>
            <w:r w:rsidRPr="00260790">
              <w:rPr>
                <w:rFonts w:eastAsia="Calibri"/>
                <w:i w:val="0"/>
                <w:iCs w:val="0"/>
                <w:noProof/>
                <w:color w:val="000000" w:themeColor="text1"/>
                <w:sz w:val="20"/>
                <w:szCs w:val="20"/>
                <w:lang w:val="fr-FR"/>
              </w:rPr>
              <w:t>17</w:t>
            </w:r>
            <w:r w:rsidRPr="00260790">
              <w:rPr>
                <w:rFonts w:eastAsia="Calibri"/>
                <w:i w:val="0"/>
                <w:iCs w:val="0"/>
                <w:noProof/>
                <w:color w:val="000000" w:themeColor="text1"/>
                <w:sz w:val="20"/>
                <w:szCs w:val="20"/>
              </w:rPr>
              <w:fldChar w:fldCharType="end"/>
            </w:r>
            <w:r w:rsidRPr="00260790">
              <w:rPr>
                <w:rFonts w:eastAsia="Calibri"/>
                <w:i w:val="0"/>
                <w:iCs w:val="0"/>
                <w:noProof/>
                <w:color w:val="000000" w:themeColor="text1"/>
                <w:sz w:val="20"/>
                <w:szCs w:val="20"/>
                <w:lang w:val="fr-FR"/>
              </w:rPr>
              <w:t> : dépôts de parpaings sur le site du bassin éventuel commissariat</w:t>
            </w:r>
            <w:bookmarkEnd w:id="355"/>
          </w:p>
        </w:tc>
        <w:tc>
          <w:tcPr>
            <w:tcW w:w="821" w:type="pct"/>
            <w:vAlign w:val="center"/>
          </w:tcPr>
          <w:p w14:paraId="3919E65D"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 la mobilité des personnes et des biens ;</w:t>
            </w:r>
          </w:p>
          <w:p w14:paraId="31A748F0"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Maintien de l’accès aux habitations ;</w:t>
            </w:r>
          </w:p>
          <w:p w14:paraId="79A60024"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eaux pluviales ;</w:t>
            </w:r>
          </w:p>
          <w:p w14:paraId="706066ED"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réseaux des concessionnaires (SENELEC) et Maintien de la continuité de leur service ;</w:t>
            </w:r>
          </w:p>
          <w:p w14:paraId="3D598A0F"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 la tranquillité des riverains ;</w:t>
            </w:r>
          </w:p>
          <w:p w14:paraId="2F1233F2"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biens et des activités socio-économiques </w:t>
            </w:r>
          </w:p>
        </w:tc>
      </w:tr>
      <w:tr w:rsidR="00CD1EB5" w:rsidRPr="00260790" w14:paraId="3A50086C" w14:textId="77777777" w:rsidTr="00CD1EB5">
        <w:trPr>
          <w:trHeight w:val="1450"/>
        </w:trPr>
        <w:tc>
          <w:tcPr>
            <w:tcW w:w="521" w:type="pct"/>
            <w:vMerge w:val="restart"/>
            <w:shd w:val="clear" w:color="auto" w:fill="FFF2CC" w:themeFill="accent4" w:themeFillTint="33"/>
            <w:vAlign w:val="center"/>
          </w:tcPr>
          <w:p w14:paraId="382C32B1" w14:textId="77777777" w:rsidR="00CD1EB5" w:rsidRPr="00260790" w:rsidRDefault="00CD1EB5" w:rsidP="003A0E4A">
            <w:pPr>
              <w:spacing w:line="240" w:lineRule="auto"/>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lastRenderedPageBreak/>
              <w:t>Rufisque Ouest</w:t>
            </w:r>
          </w:p>
        </w:tc>
        <w:tc>
          <w:tcPr>
            <w:tcW w:w="521" w:type="pct"/>
            <w:vAlign w:val="center"/>
          </w:tcPr>
          <w:p w14:paraId="12A1802D" w14:textId="77777777" w:rsidR="00CD1EB5" w:rsidRPr="00260790" w:rsidRDefault="00CD1EB5" w:rsidP="003A0E4A">
            <w:pPr>
              <w:spacing w:line="240" w:lineRule="auto"/>
              <w:jc w:val="both"/>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BR_NA 09</w:t>
            </w:r>
          </w:p>
        </w:tc>
        <w:tc>
          <w:tcPr>
            <w:tcW w:w="1574" w:type="pct"/>
            <w:vAlign w:val="center"/>
          </w:tcPr>
          <w:p w14:paraId="58BF09F3"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Ce bassin est localisé dans le quartier Cité Bel-Air. Il couvre une superficie de 5,381 ha.</w:t>
            </w:r>
          </w:p>
          <w:p w14:paraId="33ED93AF"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Le site est occupé par un terrain clôturé inaccessible et un plan d’eau. La nature des sols du site est de type brun rouge subaride et peu évolué hydromorphe. La végétation du site est composée de </w:t>
            </w:r>
            <w:r w:rsidRPr="00260790">
              <w:rPr>
                <w:rFonts w:ascii="Times New Roman" w:hAnsi="Times New Roman"/>
                <w:i/>
                <w:color w:val="000000" w:themeColor="text1"/>
                <w:sz w:val="22"/>
                <w:szCs w:val="22"/>
                <w:lang w:val="fr-FR"/>
              </w:rPr>
              <w:t>dattiers</w:t>
            </w:r>
            <w:r w:rsidRPr="00260790">
              <w:rPr>
                <w:rFonts w:ascii="Times New Roman" w:hAnsi="Times New Roman"/>
                <w:color w:val="000000" w:themeColor="text1"/>
                <w:sz w:val="22"/>
                <w:szCs w:val="22"/>
                <w:lang w:val="fr-FR"/>
              </w:rPr>
              <w:t xml:space="preserve">, </w:t>
            </w:r>
            <w:r w:rsidRPr="00260790">
              <w:rPr>
                <w:rFonts w:ascii="Times New Roman" w:hAnsi="Times New Roman"/>
                <w:i/>
                <w:color w:val="000000" w:themeColor="text1"/>
                <w:sz w:val="22"/>
                <w:szCs w:val="22"/>
                <w:lang w:val="fr-FR"/>
              </w:rPr>
              <w:t xml:space="preserve">Faidherbia </w:t>
            </w:r>
            <w:proofErr w:type="spellStart"/>
            <w:r w:rsidRPr="00260790">
              <w:rPr>
                <w:rFonts w:ascii="Times New Roman" w:hAnsi="Times New Roman"/>
                <w:i/>
                <w:color w:val="000000" w:themeColor="text1"/>
                <w:sz w:val="22"/>
                <w:szCs w:val="22"/>
                <w:lang w:val="fr-FR"/>
              </w:rPr>
              <w:t>albida</w:t>
            </w:r>
            <w:proofErr w:type="spellEnd"/>
            <w:r w:rsidRPr="00260790">
              <w:rPr>
                <w:rFonts w:ascii="Times New Roman" w:hAnsi="Times New Roman"/>
                <w:i/>
                <w:color w:val="000000" w:themeColor="text1"/>
                <w:sz w:val="22"/>
                <w:szCs w:val="22"/>
                <w:lang w:val="fr-FR"/>
              </w:rPr>
              <w:t>, ricin</w:t>
            </w:r>
            <w:r w:rsidRPr="00260790">
              <w:rPr>
                <w:rFonts w:ascii="Times New Roman" w:hAnsi="Times New Roman"/>
                <w:color w:val="000000" w:themeColor="text1"/>
                <w:sz w:val="22"/>
                <w:szCs w:val="22"/>
                <w:lang w:val="fr-FR"/>
              </w:rPr>
              <w:t xml:space="preserve"> et des acacias.</w:t>
            </w:r>
          </w:p>
          <w:p w14:paraId="3C476356" w14:textId="77777777" w:rsidR="00CD1EB5" w:rsidRPr="00260790" w:rsidRDefault="00CD1EB5" w:rsidP="003A0E4A">
            <w:pPr>
              <w:spacing w:line="240" w:lineRule="auto"/>
              <w:ind w:left="50" w:hanging="50"/>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Le bassin est bordé au nord et à l’ouest par des habitations. </w:t>
            </w:r>
          </w:p>
        </w:tc>
        <w:tc>
          <w:tcPr>
            <w:tcW w:w="1564" w:type="pct"/>
            <w:vAlign w:val="center"/>
          </w:tcPr>
          <w:p w14:paraId="19BAAE04" w14:textId="77777777" w:rsidR="00CD1EB5" w:rsidRPr="00260790" w:rsidRDefault="00CD1EB5" w:rsidP="003A0E4A">
            <w:pPr>
              <w:keepNext/>
              <w:spacing w:line="240" w:lineRule="auto"/>
              <w:jc w:val="both"/>
              <w:rPr>
                <w:rFonts w:ascii="Times New Roman" w:hAnsi="Times New Roman"/>
                <w:sz w:val="22"/>
                <w:szCs w:val="22"/>
              </w:rPr>
            </w:pPr>
            <w:r w:rsidRPr="00260790">
              <w:rPr>
                <w:rFonts w:ascii="Times New Roman" w:hAnsi="Times New Roman"/>
                <w:noProof/>
                <w:color w:val="000000" w:themeColor="text1"/>
              </w:rPr>
              <w:drawing>
                <wp:inline distT="0" distB="0" distL="0" distR="0" wp14:anchorId="63ACF9AE" wp14:editId="752AF995">
                  <wp:extent cx="2712720" cy="1813810"/>
                  <wp:effectExtent l="0" t="0" r="5080" b="2540"/>
                  <wp:docPr id="1342007323"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97564" name="Image 112597564"/>
                          <pic:cNvPicPr/>
                        </pic:nvPicPr>
                        <pic:blipFill>
                          <a:blip r:embed="rId39" cstate="email">
                            <a:extLst>
                              <a:ext uri="{28A0092B-C50C-407E-A947-70E740481C1C}">
                                <a14:useLocalDpi xmlns:a14="http://schemas.microsoft.com/office/drawing/2010/main"/>
                              </a:ext>
                            </a:extLst>
                          </a:blip>
                          <a:stretch>
                            <a:fillRect/>
                          </a:stretch>
                        </pic:blipFill>
                        <pic:spPr>
                          <a:xfrm>
                            <a:off x="0" y="0"/>
                            <a:ext cx="2792756" cy="1867324"/>
                          </a:xfrm>
                          <a:prstGeom prst="rect">
                            <a:avLst/>
                          </a:prstGeom>
                        </pic:spPr>
                      </pic:pic>
                    </a:graphicData>
                  </a:graphic>
                </wp:inline>
              </w:drawing>
            </w:r>
          </w:p>
          <w:p w14:paraId="29B285C7" w14:textId="77777777" w:rsidR="00CD1EB5" w:rsidRPr="00260790" w:rsidRDefault="00CD1EB5" w:rsidP="003A0E4A">
            <w:pPr>
              <w:pStyle w:val="Lgende"/>
              <w:spacing w:line="240" w:lineRule="auto"/>
              <w:jc w:val="both"/>
              <w:rPr>
                <w:color w:val="000000" w:themeColor="text1"/>
                <w:sz w:val="22"/>
                <w:szCs w:val="22"/>
                <w:lang w:val="fr-FR"/>
              </w:rPr>
            </w:pPr>
            <w:bookmarkStart w:id="356" w:name="_Toc212725217"/>
            <w:r w:rsidRPr="00260790">
              <w:rPr>
                <w:sz w:val="22"/>
                <w:szCs w:val="22"/>
                <w:lang w:val="fr-FR"/>
              </w:rPr>
              <w:t>P</w:t>
            </w:r>
            <w:r w:rsidRPr="00260790">
              <w:rPr>
                <w:color w:val="auto"/>
                <w:sz w:val="22"/>
                <w:szCs w:val="22"/>
                <w:lang w:val="fr-FR"/>
              </w:rPr>
              <w:t xml:space="preserve">hoto </w:t>
            </w:r>
            <w:r w:rsidRPr="00260790">
              <w:rPr>
                <w:color w:val="auto"/>
                <w:sz w:val="22"/>
                <w:szCs w:val="22"/>
              </w:rPr>
              <w:fldChar w:fldCharType="begin"/>
            </w:r>
            <w:r w:rsidRPr="00260790">
              <w:rPr>
                <w:color w:val="auto"/>
                <w:sz w:val="22"/>
                <w:szCs w:val="22"/>
                <w:lang w:val="fr-FR"/>
              </w:rPr>
              <w:instrText xml:space="preserve"> SEQ Photo \* ARABIC </w:instrText>
            </w:r>
            <w:r w:rsidRPr="00260790">
              <w:rPr>
                <w:color w:val="auto"/>
                <w:sz w:val="22"/>
                <w:szCs w:val="22"/>
              </w:rPr>
              <w:fldChar w:fldCharType="separate"/>
            </w:r>
            <w:r w:rsidRPr="00260790">
              <w:rPr>
                <w:noProof/>
                <w:color w:val="auto"/>
                <w:sz w:val="22"/>
                <w:szCs w:val="22"/>
                <w:lang w:val="fr-FR"/>
              </w:rPr>
              <w:t>18</w:t>
            </w:r>
            <w:r w:rsidRPr="00260790">
              <w:rPr>
                <w:color w:val="auto"/>
                <w:sz w:val="22"/>
                <w:szCs w:val="22"/>
              </w:rPr>
              <w:fldChar w:fldCharType="end"/>
            </w:r>
            <w:r w:rsidRPr="00260790">
              <w:rPr>
                <w:color w:val="auto"/>
                <w:sz w:val="22"/>
                <w:szCs w:val="22"/>
                <w:lang w:val="fr-FR"/>
              </w:rPr>
              <w:t xml:space="preserve">  : </w:t>
            </w:r>
            <w:r w:rsidRPr="00260790">
              <w:rPr>
                <w:color w:val="000000" w:themeColor="text1"/>
                <w:sz w:val="22"/>
                <w:szCs w:val="22"/>
                <w:lang w:val="fr-FR"/>
              </w:rPr>
              <w:t>vue du site du bassin BR-NA 09</w:t>
            </w:r>
            <w:bookmarkEnd w:id="356"/>
          </w:p>
        </w:tc>
        <w:tc>
          <w:tcPr>
            <w:tcW w:w="821" w:type="pct"/>
            <w:vAlign w:val="center"/>
          </w:tcPr>
          <w:p w14:paraId="40C2F138"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espèces floristiques ;</w:t>
            </w:r>
          </w:p>
          <w:p w14:paraId="11ACC797"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eaux pluviales ;</w:t>
            </w:r>
          </w:p>
          <w:p w14:paraId="2C71A1F5"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 la mobilité des personnes et des biens ;</w:t>
            </w:r>
          </w:p>
          <w:p w14:paraId="1E5EED07"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accès aux habitations ;</w:t>
            </w:r>
          </w:p>
          <w:p w14:paraId="3AB7E1C9"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 la tranquillité des riverains ;</w:t>
            </w:r>
          </w:p>
          <w:p w14:paraId="3B5DB75C"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biens et des activités socio-économiques</w:t>
            </w:r>
          </w:p>
          <w:p w14:paraId="15500803"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p>
        </w:tc>
      </w:tr>
      <w:tr w:rsidR="00CD1EB5" w:rsidRPr="00260790" w14:paraId="0512154C" w14:textId="77777777" w:rsidTr="00CD1EB5">
        <w:trPr>
          <w:trHeight w:val="1450"/>
        </w:trPr>
        <w:tc>
          <w:tcPr>
            <w:tcW w:w="521" w:type="pct"/>
            <w:vMerge/>
            <w:shd w:val="clear" w:color="auto" w:fill="FFF2CC" w:themeFill="accent4" w:themeFillTint="33"/>
            <w:vAlign w:val="center"/>
          </w:tcPr>
          <w:p w14:paraId="2B5FECF4" w14:textId="77777777" w:rsidR="00CD1EB5" w:rsidRPr="00260790" w:rsidRDefault="00CD1EB5" w:rsidP="003A0E4A">
            <w:pPr>
              <w:spacing w:line="240" w:lineRule="auto"/>
              <w:rPr>
                <w:rFonts w:ascii="Times New Roman" w:hAnsi="Times New Roman"/>
                <w:b/>
                <w:color w:val="000000" w:themeColor="text1"/>
                <w:sz w:val="22"/>
                <w:szCs w:val="22"/>
                <w:lang w:val="fr-FR"/>
              </w:rPr>
            </w:pPr>
          </w:p>
        </w:tc>
        <w:tc>
          <w:tcPr>
            <w:tcW w:w="521" w:type="pct"/>
            <w:vAlign w:val="center"/>
          </w:tcPr>
          <w:p w14:paraId="1A121EB1" w14:textId="77777777" w:rsidR="00CD1EB5" w:rsidRPr="00260790" w:rsidRDefault="00CD1EB5" w:rsidP="003A0E4A">
            <w:pPr>
              <w:spacing w:line="240" w:lineRule="auto"/>
              <w:jc w:val="both"/>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R</w:t>
            </w:r>
          </w:p>
        </w:tc>
        <w:tc>
          <w:tcPr>
            <w:tcW w:w="1574" w:type="pct"/>
            <w:vAlign w:val="center"/>
          </w:tcPr>
          <w:p w14:paraId="44301BCE" w14:textId="77777777" w:rsidR="00CD1EB5" w:rsidRPr="00260790" w:rsidRDefault="00CD1EB5" w:rsidP="003A0E4A">
            <w:pPr>
              <w:spacing w:line="240" w:lineRule="auto"/>
              <w:ind w:left="50" w:hanging="50"/>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Ce bassin est situé dans le quartier Cité Colgate. Il couvre une superficie de 0,152 ha. Les sols du site sont de type hydromorphe sur colluvion calcaire. L’emprise du bassin est occupée par un terrain de football. Le site est limité par des habitations. </w:t>
            </w:r>
          </w:p>
        </w:tc>
        <w:tc>
          <w:tcPr>
            <w:tcW w:w="1564" w:type="pct"/>
            <w:vAlign w:val="center"/>
          </w:tcPr>
          <w:p w14:paraId="04A78DD3" w14:textId="77777777" w:rsidR="00CD1EB5" w:rsidRPr="00260790" w:rsidRDefault="00CD1EB5" w:rsidP="003A0E4A">
            <w:pPr>
              <w:keepNext/>
              <w:spacing w:line="240" w:lineRule="auto"/>
              <w:rPr>
                <w:rFonts w:ascii="Times New Roman" w:hAnsi="Times New Roman"/>
                <w:sz w:val="22"/>
                <w:szCs w:val="22"/>
              </w:rPr>
            </w:pPr>
            <w:r w:rsidRPr="00260790">
              <w:rPr>
                <w:rFonts w:ascii="Times New Roman" w:hAnsi="Times New Roman"/>
                <w:noProof/>
                <w:color w:val="000000" w:themeColor="text1"/>
              </w:rPr>
              <w:drawing>
                <wp:inline distT="0" distB="0" distL="0" distR="0" wp14:anchorId="7F1C0656" wp14:editId="20C30887">
                  <wp:extent cx="2712720" cy="1566473"/>
                  <wp:effectExtent l="0" t="0" r="5080" b="0"/>
                  <wp:docPr id="49"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982888" name="Image 851982888"/>
                          <pic:cNvPicPr/>
                        </pic:nvPicPr>
                        <pic:blipFill>
                          <a:blip r:embed="rId40" cstate="email">
                            <a:extLst>
                              <a:ext uri="{28A0092B-C50C-407E-A947-70E740481C1C}">
                                <a14:useLocalDpi xmlns:a14="http://schemas.microsoft.com/office/drawing/2010/main"/>
                              </a:ext>
                            </a:extLst>
                          </a:blip>
                          <a:stretch>
                            <a:fillRect/>
                          </a:stretch>
                        </pic:blipFill>
                        <pic:spPr>
                          <a:xfrm>
                            <a:off x="0" y="0"/>
                            <a:ext cx="2751043" cy="1588603"/>
                          </a:xfrm>
                          <a:prstGeom prst="rect">
                            <a:avLst/>
                          </a:prstGeom>
                        </pic:spPr>
                      </pic:pic>
                    </a:graphicData>
                  </a:graphic>
                </wp:inline>
              </w:drawing>
            </w:r>
          </w:p>
          <w:p w14:paraId="2AF87EEB" w14:textId="77777777" w:rsidR="00CD1EB5" w:rsidRPr="00260790" w:rsidRDefault="00CD1EB5" w:rsidP="003A0E4A">
            <w:pPr>
              <w:pStyle w:val="Lgende"/>
              <w:spacing w:line="240" w:lineRule="auto"/>
              <w:rPr>
                <w:color w:val="000000" w:themeColor="text1"/>
                <w:sz w:val="22"/>
                <w:szCs w:val="22"/>
                <w:lang w:val="fr-FR"/>
              </w:rPr>
            </w:pPr>
            <w:bookmarkStart w:id="357" w:name="_Toc212725218"/>
            <w:r w:rsidRPr="00260790">
              <w:rPr>
                <w:color w:val="auto"/>
                <w:sz w:val="22"/>
                <w:szCs w:val="22"/>
                <w:lang w:val="fr-FR"/>
              </w:rPr>
              <w:t xml:space="preserve">Photo </w:t>
            </w:r>
            <w:r w:rsidRPr="00260790">
              <w:rPr>
                <w:color w:val="auto"/>
                <w:sz w:val="22"/>
                <w:szCs w:val="22"/>
              </w:rPr>
              <w:fldChar w:fldCharType="begin"/>
            </w:r>
            <w:r w:rsidRPr="00260790">
              <w:rPr>
                <w:color w:val="auto"/>
                <w:sz w:val="22"/>
                <w:szCs w:val="22"/>
                <w:lang w:val="fr-FR"/>
              </w:rPr>
              <w:instrText xml:space="preserve"> SEQ Photo \* ARABIC </w:instrText>
            </w:r>
            <w:r w:rsidRPr="00260790">
              <w:rPr>
                <w:color w:val="auto"/>
                <w:sz w:val="22"/>
                <w:szCs w:val="22"/>
              </w:rPr>
              <w:fldChar w:fldCharType="separate"/>
            </w:r>
            <w:r w:rsidRPr="00260790">
              <w:rPr>
                <w:noProof/>
                <w:color w:val="auto"/>
                <w:sz w:val="22"/>
                <w:szCs w:val="22"/>
                <w:lang w:val="fr-FR"/>
              </w:rPr>
              <w:t>19</w:t>
            </w:r>
            <w:r w:rsidRPr="00260790">
              <w:rPr>
                <w:color w:val="auto"/>
                <w:sz w:val="22"/>
                <w:szCs w:val="22"/>
              </w:rPr>
              <w:fldChar w:fldCharType="end"/>
            </w:r>
            <w:r w:rsidRPr="00260790">
              <w:rPr>
                <w:color w:val="auto"/>
                <w:sz w:val="22"/>
                <w:szCs w:val="22"/>
                <w:lang w:val="fr-FR"/>
              </w:rPr>
              <w:t xml:space="preserve"> </w:t>
            </w:r>
            <w:r w:rsidRPr="00260790">
              <w:rPr>
                <w:noProof/>
                <w:color w:val="auto"/>
                <w:sz w:val="22"/>
                <w:szCs w:val="22"/>
                <w:lang w:val="fr-FR"/>
              </w:rPr>
              <w:t xml:space="preserve">: </w:t>
            </w:r>
            <w:r w:rsidRPr="00260790">
              <w:rPr>
                <w:noProof/>
                <w:color w:val="000000" w:themeColor="text1"/>
                <w:sz w:val="22"/>
                <w:szCs w:val="22"/>
                <w:lang w:val="fr-FR"/>
              </w:rPr>
              <w:t>vue du site du bassin R</w:t>
            </w:r>
            <w:bookmarkEnd w:id="357"/>
          </w:p>
        </w:tc>
        <w:tc>
          <w:tcPr>
            <w:tcW w:w="821" w:type="pct"/>
            <w:vAlign w:val="center"/>
          </w:tcPr>
          <w:p w14:paraId="1A29B7BE"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 la mobilité des personnes et des biens ;</w:t>
            </w:r>
          </w:p>
          <w:p w14:paraId="4D7ABA9B"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Maintien de l’accès aux habitations ;</w:t>
            </w:r>
          </w:p>
          <w:p w14:paraId="7855AA31"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 la tranquillité des riverains ;</w:t>
            </w:r>
          </w:p>
          <w:p w14:paraId="096F0A7F"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biens et des activités socio-économiques ;</w:t>
            </w:r>
          </w:p>
          <w:p w14:paraId="03F264CF"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aires de jeu et d’activités sportives </w:t>
            </w:r>
          </w:p>
        </w:tc>
      </w:tr>
      <w:tr w:rsidR="00CD1EB5" w:rsidRPr="00260790" w14:paraId="0D3AC93F" w14:textId="77777777" w:rsidTr="00CD1EB5">
        <w:trPr>
          <w:trHeight w:val="1450"/>
        </w:trPr>
        <w:tc>
          <w:tcPr>
            <w:tcW w:w="521" w:type="pct"/>
            <w:vMerge/>
            <w:shd w:val="clear" w:color="auto" w:fill="FFF2CC" w:themeFill="accent4" w:themeFillTint="33"/>
            <w:vAlign w:val="center"/>
          </w:tcPr>
          <w:p w14:paraId="21C7ABA6" w14:textId="77777777" w:rsidR="00CD1EB5" w:rsidRPr="00260790" w:rsidRDefault="00CD1EB5" w:rsidP="003A0E4A">
            <w:pPr>
              <w:spacing w:line="240" w:lineRule="auto"/>
              <w:rPr>
                <w:rFonts w:ascii="Times New Roman" w:hAnsi="Times New Roman"/>
                <w:b/>
                <w:color w:val="000000" w:themeColor="text1"/>
                <w:sz w:val="22"/>
                <w:szCs w:val="22"/>
                <w:lang w:val="fr-FR"/>
              </w:rPr>
            </w:pPr>
          </w:p>
        </w:tc>
        <w:tc>
          <w:tcPr>
            <w:tcW w:w="521" w:type="pct"/>
            <w:vAlign w:val="center"/>
          </w:tcPr>
          <w:p w14:paraId="0410CB23" w14:textId="77777777" w:rsidR="00CD1EB5" w:rsidRPr="00260790" w:rsidRDefault="00CD1EB5" w:rsidP="003A0E4A">
            <w:pPr>
              <w:spacing w:line="240" w:lineRule="auto"/>
              <w:jc w:val="both"/>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B1</w:t>
            </w:r>
          </w:p>
        </w:tc>
        <w:tc>
          <w:tcPr>
            <w:tcW w:w="1574" w:type="pct"/>
            <w:vAlign w:val="center"/>
          </w:tcPr>
          <w:p w14:paraId="134DAA4D" w14:textId="77777777" w:rsidR="00CD1EB5" w:rsidRPr="00260790" w:rsidRDefault="00CD1EB5" w:rsidP="003A0E4A">
            <w:pPr>
              <w:spacing w:line="240" w:lineRule="auto"/>
              <w:ind w:left="50" w:hanging="50"/>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Ce bassin, d’une superficie de 0,399 ha, est partagé entre 3 quartiers dont Cité Khalifa Ababacar SY, Médina Zac et Cité Sapeurs-Pompiers. Les sols du site sont de type hydromorphe sur colluvion calcaire. Le site est occupé par un tapis herbacé, des individus de ricins, typha et tamarix, des bâtiments en construction, des fondations, des terrains nus, un mur de clôture et des rues.</w:t>
            </w:r>
          </w:p>
        </w:tc>
        <w:tc>
          <w:tcPr>
            <w:tcW w:w="1564" w:type="pct"/>
            <w:vAlign w:val="center"/>
          </w:tcPr>
          <w:p w14:paraId="258B025F" w14:textId="77777777" w:rsidR="00CD1EB5" w:rsidRPr="00260790" w:rsidRDefault="00CD1EB5" w:rsidP="003A0E4A">
            <w:pPr>
              <w:keepNext/>
              <w:spacing w:line="240" w:lineRule="auto"/>
              <w:rPr>
                <w:rFonts w:ascii="Times New Roman" w:hAnsi="Times New Roman"/>
                <w:sz w:val="22"/>
                <w:szCs w:val="22"/>
              </w:rPr>
            </w:pPr>
            <w:r w:rsidRPr="00260790">
              <w:rPr>
                <w:rFonts w:ascii="Times New Roman" w:hAnsi="Times New Roman"/>
                <w:noProof/>
                <w:color w:val="000000" w:themeColor="text1"/>
              </w:rPr>
              <w:drawing>
                <wp:inline distT="0" distB="0" distL="0" distR="0" wp14:anchorId="42B193A5" wp14:editId="43FECB1E">
                  <wp:extent cx="2757805" cy="1296649"/>
                  <wp:effectExtent l="0" t="0" r="0" b="0"/>
                  <wp:docPr id="47"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27381" name="Image 608427381"/>
                          <pic:cNvPicPr/>
                        </pic:nvPicPr>
                        <pic:blipFill>
                          <a:blip r:embed="rId41" cstate="email">
                            <a:extLst>
                              <a:ext uri="{28A0092B-C50C-407E-A947-70E740481C1C}">
                                <a14:useLocalDpi xmlns:a14="http://schemas.microsoft.com/office/drawing/2010/main"/>
                              </a:ext>
                            </a:extLst>
                          </a:blip>
                          <a:stretch>
                            <a:fillRect/>
                          </a:stretch>
                        </pic:blipFill>
                        <pic:spPr>
                          <a:xfrm>
                            <a:off x="0" y="0"/>
                            <a:ext cx="2812047" cy="1322152"/>
                          </a:xfrm>
                          <a:prstGeom prst="rect">
                            <a:avLst/>
                          </a:prstGeom>
                        </pic:spPr>
                      </pic:pic>
                    </a:graphicData>
                  </a:graphic>
                </wp:inline>
              </w:drawing>
            </w:r>
          </w:p>
          <w:p w14:paraId="60E6CB67" w14:textId="77777777" w:rsidR="00CD1EB5" w:rsidRPr="00260790" w:rsidRDefault="00CD1EB5" w:rsidP="003A0E4A">
            <w:pPr>
              <w:pStyle w:val="Lgende"/>
              <w:spacing w:line="240" w:lineRule="auto"/>
              <w:rPr>
                <w:noProof/>
                <w:color w:val="000000" w:themeColor="text1"/>
                <w:sz w:val="22"/>
                <w:szCs w:val="22"/>
                <w:lang w:val="fr-FR"/>
              </w:rPr>
            </w:pPr>
            <w:bookmarkStart w:id="358" w:name="_Toc212725219"/>
            <w:r w:rsidRPr="00260790">
              <w:rPr>
                <w:color w:val="auto"/>
                <w:sz w:val="22"/>
                <w:szCs w:val="22"/>
                <w:lang w:val="fr-FR"/>
              </w:rPr>
              <w:t xml:space="preserve">Photo </w:t>
            </w:r>
            <w:r w:rsidRPr="00260790">
              <w:rPr>
                <w:color w:val="auto"/>
                <w:sz w:val="22"/>
                <w:szCs w:val="22"/>
              </w:rPr>
              <w:fldChar w:fldCharType="begin"/>
            </w:r>
            <w:r w:rsidRPr="00260790">
              <w:rPr>
                <w:color w:val="auto"/>
                <w:sz w:val="22"/>
                <w:szCs w:val="22"/>
                <w:lang w:val="fr-FR"/>
              </w:rPr>
              <w:instrText xml:space="preserve"> SEQ Photo \* ARABIC </w:instrText>
            </w:r>
            <w:r w:rsidRPr="00260790">
              <w:rPr>
                <w:color w:val="auto"/>
                <w:sz w:val="22"/>
                <w:szCs w:val="22"/>
              </w:rPr>
              <w:fldChar w:fldCharType="separate"/>
            </w:r>
            <w:r w:rsidRPr="00260790">
              <w:rPr>
                <w:noProof/>
                <w:color w:val="auto"/>
                <w:sz w:val="22"/>
                <w:szCs w:val="22"/>
                <w:lang w:val="fr-FR"/>
              </w:rPr>
              <w:t>20</w:t>
            </w:r>
            <w:r w:rsidRPr="00260790">
              <w:rPr>
                <w:color w:val="auto"/>
                <w:sz w:val="22"/>
                <w:szCs w:val="22"/>
              </w:rPr>
              <w:fldChar w:fldCharType="end"/>
            </w:r>
            <w:r w:rsidRPr="00260790">
              <w:rPr>
                <w:color w:val="auto"/>
                <w:sz w:val="22"/>
                <w:szCs w:val="22"/>
                <w:lang w:val="fr-FR"/>
              </w:rPr>
              <w:t xml:space="preserve"> </w:t>
            </w:r>
            <w:r w:rsidRPr="00260790">
              <w:rPr>
                <w:noProof/>
                <w:color w:val="auto"/>
                <w:sz w:val="22"/>
                <w:szCs w:val="22"/>
                <w:lang w:val="fr-FR"/>
              </w:rPr>
              <w:t xml:space="preserve">: </w:t>
            </w:r>
            <w:r w:rsidRPr="00260790">
              <w:rPr>
                <w:noProof/>
                <w:color w:val="000000" w:themeColor="text1"/>
                <w:sz w:val="22"/>
                <w:szCs w:val="22"/>
                <w:lang w:val="fr-FR"/>
              </w:rPr>
              <w:t>vue du site du bassin B1</w:t>
            </w:r>
            <w:bookmarkEnd w:id="358"/>
          </w:p>
          <w:p w14:paraId="111626E8" w14:textId="77777777" w:rsidR="00CD1EB5" w:rsidRPr="00260790" w:rsidRDefault="00CD1EB5" w:rsidP="003A0E4A">
            <w:pPr>
              <w:keepNext/>
              <w:spacing w:line="240" w:lineRule="auto"/>
              <w:rPr>
                <w:rFonts w:ascii="Times New Roman" w:hAnsi="Times New Roman"/>
                <w:sz w:val="22"/>
                <w:szCs w:val="22"/>
              </w:rPr>
            </w:pPr>
            <w:r w:rsidRPr="00260790">
              <w:rPr>
                <w:rFonts w:ascii="Times New Roman" w:hAnsi="Times New Roman"/>
                <w:noProof/>
                <w:color w:val="000000" w:themeColor="text1"/>
              </w:rPr>
              <w:drawing>
                <wp:inline distT="0" distB="0" distL="0" distR="0" wp14:anchorId="2E1B2D67" wp14:editId="496BB4AA">
                  <wp:extent cx="2712720" cy="1236688"/>
                  <wp:effectExtent l="0" t="0" r="5080" b="0"/>
                  <wp:docPr id="48"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51718" name="Image 99251718"/>
                          <pic:cNvPicPr/>
                        </pic:nvPicPr>
                        <pic:blipFill>
                          <a:blip r:embed="rId42" cstate="email">
                            <a:extLst>
                              <a:ext uri="{28A0092B-C50C-407E-A947-70E740481C1C}">
                                <a14:useLocalDpi xmlns:a14="http://schemas.microsoft.com/office/drawing/2010/main"/>
                              </a:ext>
                            </a:extLst>
                          </a:blip>
                          <a:stretch>
                            <a:fillRect/>
                          </a:stretch>
                        </pic:blipFill>
                        <pic:spPr>
                          <a:xfrm>
                            <a:off x="0" y="0"/>
                            <a:ext cx="2738659" cy="1248513"/>
                          </a:xfrm>
                          <a:prstGeom prst="rect">
                            <a:avLst/>
                          </a:prstGeom>
                        </pic:spPr>
                      </pic:pic>
                    </a:graphicData>
                  </a:graphic>
                </wp:inline>
              </w:drawing>
            </w:r>
          </w:p>
          <w:p w14:paraId="19DF48C2" w14:textId="77777777" w:rsidR="00CD1EB5" w:rsidRPr="00260790" w:rsidRDefault="00CD1EB5" w:rsidP="003A0E4A">
            <w:pPr>
              <w:pStyle w:val="Lgende"/>
              <w:spacing w:line="240" w:lineRule="auto"/>
              <w:rPr>
                <w:color w:val="000000" w:themeColor="text1"/>
                <w:sz w:val="22"/>
                <w:szCs w:val="22"/>
                <w:lang w:val="fr-FR"/>
              </w:rPr>
            </w:pPr>
            <w:bookmarkStart w:id="359" w:name="_Toc212725220"/>
            <w:r w:rsidRPr="00260790">
              <w:rPr>
                <w:color w:val="auto"/>
                <w:sz w:val="22"/>
                <w:szCs w:val="22"/>
                <w:lang w:val="fr-FR"/>
              </w:rPr>
              <w:t xml:space="preserve">Photo </w:t>
            </w:r>
            <w:r w:rsidRPr="00260790">
              <w:rPr>
                <w:color w:val="auto"/>
                <w:sz w:val="22"/>
                <w:szCs w:val="22"/>
              </w:rPr>
              <w:fldChar w:fldCharType="begin"/>
            </w:r>
            <w:r w:rsidRPr="00260790">
              <w:rPr>
                <w:color w:val="auto"/>
                <w:sz w:val="22"/>
                <w:szCs w:val="22"/>
                <w:lang w:val="fr-FR"/>
              </w:rPr>
              <w:instrText xml:space="preserve"> SEQ Photo \* ARABIC </w:instrText>
            </w:r>
            <w:r w:rsidRPr="00260790">
              <w:rPr>
                <w:color w:val="auto"/>
                <w:sz w:val="22"/>
                <w:szCs w:val="22"/>
              </w:rPr>
              <w:fldChar w:fldCharType="separate"/>
            </w:r>
            <w:r w:rsidRPr="00260790">
              <w:rPr>
                <w:noProof/>
                <w:color w:val="auto"/>
                <w:sz w:val="22"/>
                <w:szCs w:val="22"/>
                <w:lang w:val="fr-FR"/>
              </w:rPr>
              <w:t>21</w:t>
            </w:r>
            <w:r w:rsidRPr="00260790">
              <w:rPr>
                <w:color w:val="auto"/>
                <w:sz w:val="22"/>
                <w:szCs w:val="22"/>
              </w:rPr>
              <w:fldChar w:fldCharType="end"/>
            </w:r>
            <w:r w:rsidRPr="00260790">
              <w:rPr>
                <w:noProof/>
                <w:color w:val="auto"/>
                <w:sz w:val="22"/>
                <w:szCs w:val="22"/>
                <w:lang w:val="fr-FR"/>
              </w:rPr>
              <w:t xml:space="preserve"> : </w:t>
            </w:r>
            <w:r w:rsidRPr="00260790">
              <w:rPr>
                <w:noProof/>
                <w:color w:val="000000" w:themeColor="text1"/>
                <w:sz w:val="22"/>
                <w:szCs w:val="22"/>
                <w:lang w:val="fr-FR"/>
              </w:rPr>
              <w:t>batiments en construction sur le site du bassin B1</w:t>
            </w:r>
            <w:bookmarkEnd w:id="359"/>
          </w:p>
        </w:tc>
        <w:tc>
          <w:tcPr>
            <w:tcW w:w="821" w:type="pct"/>
            <w:vAlign w:val="center"/>
          </w:tcPr>
          <w:p w14:paraId="25F6EFFA"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 la mobilité des personnes et des biens ;</w:t>
            </w:r>
          </w:p>
          <w:p w14:paraId="0D6117D3"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Maintien de l’accès aux habitations ;</w:t>
            </w:r>
          </w:p>
          <w:p w14:paraId="60DBB080"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eaux pluviales ;</w:t>
            </w:r>
          </w:p>
          <w:p w14:paraId="670EF6D7"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biens et des activités socio-économiques ;</w:t>
            </w:r>
          </w:p>
          <w:p w14:paraId="442075DD"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Conservation de la flore ;</w:t>
            </w:r>
          </w:p>
          <w:p w14:paraId="2C567E5F"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du foncier</w:t>
            </w:r>
          </w:p>
        </w:tc>
      </w:tr>
      <w:tr w:rsidR="00CD1EB5" w:rsidRPr="00260790" w14:paraId="0CA4D65C" w14:textId="77777777" w:rsidTr="00CD1EB5">
        <w:trPr>
          <w:trHeight w:val="1450"/>
        </w:trPr>
        <w:tc>
          <w:tcPr>
            <w:tcW w:w="521" w:type="pct"/>
            <w:vMerge w:val="restart"/>
            <w:shd w:val="clear" w:color="auto" w:fill="DBDBDB" w:themeFill="accent3" w:themeFillTint="66"/>
            <w:vAlign w:val="center"/>
          </w:tcPr>
          <w:p w14:paraId="23473B59" w14:textId="77777777" w:rsidR="00CD1EB5" w:rsidRPr="00260790" w:rsidRDefault="00CD1EB5" w:rsidP="003A0E4A">
            <w:pPr>
              <w:spacing w:line="240" w:lineRule="auto"/>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MBAO</w:t>
            </w:r>
          </w:p>
        </w:tc>
        <w:tc>
          <w:tcPr>
            <w:tcW w:w="521" w:type="pct"/>
            <w:vAlign w:val="center"/>
          </w:tcPr>
          <w:p w14:paraId="7EBC876A" w14:textId="77777777" w:rsidR="00CD1EB5" w:rsidRPr="00260790" w:rsidRDefault="00CD1EB5" w:rsidP="003A0E4A">
            <w:pPr>
              <w:spacing w:line="240" w:lineRule="auto"/>
              <w:jc w:val="both"/>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BR_NA 16g</w:t>
            </w:r>
          </w:p>
        </w:tc>
        <w:tc>
          <w:tcPr>
            <w:tcW w:w="1574" w:type="pct"/>
            <w:vAlign w:val="center"/>
          </w:tcPr>
          <w:p w14:paraId="21A3F5A8"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Ce bassin, d’une superficie de 2,26 ha, est situé dans la forêt classée de Mbao.</w:t>
            </w:r>
          </w:p>
          <w:p w14:paraId="2A13E328"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Les sols du site sont de types ferrugineux tropicaux faiblement lessivés. Il est occupé par un verger d’anacarde, un jardin maraicher et un terrain de football. La végétation est composée de </w:t>
            </w:r>
            <w:r w:rsidRPr="00260790">
              <w:rPr>
                <w:rFonts w:ascii="Times New Roman" w:hAnsi="Times New Roman"/>
                <w:i/>
                <w:color w:val="000000" w:themeColor="text1"/>
                <w:sz w:val="22"/>
                <w:szCs w:val="22"/>
                <w:lang w:val="fr-FR"/>
              </w:rPr>
              <w:t>Prosopis</w:t>
            </w:r>
            <w:r w:rsidRPr="00260790">
              <w:rPr>
                <w:rFonts w:ascii="Times New Roman" w:hAnsi="Times New Roman"/>
                <w:color w:val="000000" w:themeColor="text1"/>
                <w:sz w:val="22"/>
                <w:szCs w:val="22"/>
                <w:lang w:val="fr-FR"/>
              </w:rPr>
              <w:t xml:space="preserve">, </w:t>
            </w:r>
            <w:r w:rsidRPr="00260790">
              <w:rPr>
                <w:rFonts w:ascii="Times New Roman" w:hAnsi="Times New Roman"/>
                <w:i/>
                <w:color w:val="000000" w:themeColor="text1"/>
                <w:sz w:val="22"/>
                <w:szCs w:val="22"/>
                <w:lang w:val="fr-FR"/>
              </w:rPr>
              <w:t>anacardier</w:t>
            </w:r>
            <w:r w:rsidRPr="00260790">
              <w:rPr>
                <w:rFonts w:ascii="Times New Roman" w:hAnsi="Times New Roman"/>
                <w:color w:val="000000" w:themeColor="text1"/>
                <w:sz w:val="22"/>
                <w:szCs w:val="22"/>
                <w:lang w:val="fr-FR"/>
              </w:rPr>
              <w:t xml:space="preserve">, </w:t>
            </w:r>
            <w:r w:rsidRPr="00260790">
              <w:rPr>
                <w:rFonts w:ascii="Times New Roman" w:hAnsi="Times New Roman"/>
                <w:i/>
                <w:color w:val="000000" w:themeColor="text1"/>
                <w:sz w:val="22"/>
                <w:szCs w:val="22"/>
                <w:lang w:val="fr-FR"/>
              </w:rPr>
              <w:t>Faidherbia</w:t>
            </w:r>
            <w:r w:rsidRPr="00260790">
              <w:rPr>
                <w:rFonts w:ascii="Times New Roman" w:hAnsi="Times New Roman"/>
                <w:color w:val="000000" w:themeColor="text1"/>
                <w:sz w:val="22"/>
                <w:szCs w:val="22"/>
                <w:lang w:val="fr-FR"/>
              </w:rPr>
              <w:t xml:space="preserve"> </w:t>
            </w:r>
            <w:proofErr w:type="spellStart"/>
            <w:r w:rsidRPr="00260790">
              <w:rPr>
                <w:rFonts w:ascii="Times New Roman" w:hAnsi="Times New Roman"/>
                <w:i/>
                <w:color w:val="000000" w:themeColor="text1"/>
                <w:sz w:val="22"/>
                <w:szCs w:val="22"/>
                <w:lang w:val="fr-FR"/>
              </w:rPr>
              <w:t>albida</w:t>
            </w:r>
            <w:proofErr w:type="spellEnd"/>
            <w:r w:rsidRPr="00260790">
              <w:rPr>
                <w:rFonts w:ascii="Times New Roman" w:hAnsi="Times New Roman"/>
                <w:color w:val="000000" w:themeColor="text1"/>
                <w:sz w:val="22"/>
                <w:szCs w:val="22"/>
                <w:lang w:val="fr-FR"/>
              </w:rPr>
              <w:t xml:space="preserve">, </w:t>
            </w:r>
            <w:r w:rsidRPr="00260790">
              <w:rPr>
                <w:rFonts w:ascii="Times New Roman" w:hAnsi="Times New Roman"/>
                <w:i/>
                <w:color w:val="000000" w:themeColor="text1"/>
                <w:sz w:val="22"/>
                <w:szCs w:val="22"/>
                <w:lang w:val="fr-FR"/>
              </w:rPr>
              <w:t>Eucalyptus</w:t>
            </w:r>
            <w:r w:rsidRPr="00260790">
              <w:rPr>
                <w:rFonts w:ascii="Times New Roman" w:hAnsi="Times New Roman"/>
                <w:color w:val="000000" w:themeColor="text1"/>
                <w:sz w:val="22"/>
                <w:szCs w:val="22"/>
                <w:lang w:val="fr-FR"/>
              </w:rPr>
              <w:t>. La faune est constituée de corbeau pie, héron garde-bœuf, milan à bec jaune et vanneau éperonné.</w:t>
            </w:r>
          </w:p>
          <w:p w14:paraId="57FE470D"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Il est bordé au sud par une piste, à l’ouest par un bassin existant, à l’est par des bâtiments clôturés et au nord par une association de plante.</w:t>
            </w:r>
          </w:p>
          <w:p w14:paraId="50F8AF8A" w14:textId="77777777" w:rsidR="00CD1EB5" w:rsidRPr="00260790" w:rsidRDefault="00CD1EB5" w:rsidP="003A0E4A">
            <w:pPr>
              <w:spacing w:line="240" w:lineRule="auto"/>
              <w:ind w:left="50" w:hanging="50"/>
              <w:jc w:val="both"/>
              <w:rPr>
                <w:rFonts w:ascii="Times New Roman" w:hAnsi="Times New Roman"/>
                <w:color w:val="000000" w:themeColor="text1"/>
                <w:sz w:val="22"/>
                <w:szCs w:val="22"/>
                <w:lang w:val="fr-FR"/>
              </w:rPr>
            </w:pPr>
          </w:p>
        </w:tc>
        <w:tc>
          <w:tcPr>
            <w:tcW w:w="1564" w:type="pct"/>
            <w:vAlign w:val="center"/>
          </w:tcPr>
          <w:p w14:paraId="6F731799" w14:textId="77777777" w:rsidR="00CD1EB5" w:rsidRPr="00260790" w:rsidRDefault="00CD1EB5" w:rsidP="003A0E4A">
            <w:pPr>
              <w:keepNext/>
              <w:spacing w:line="240" w:lineRule="auto"/>
              <w:jc w:val="both"/>
              <w:rPr>
                <w:rFonts w:ascii="Times New Roman" w:hAnsi="Times New Roman"/>
                <w:sz w:val="22"/>
                <w:szCs w:val="22"/>
              </w:rPr>
            </w:pPr>
            <w:r w:rsidRPr="00260790">
              <w:rPr>
                <w:rFonts w:ascii="Times New Roman" w:hAnsi="Times New Roman"/>
                <w:noProof/>
                <w:color w:val="000000" w:themeColor="text1"/>
              </w:rPr>
              <w:drawing>
                <wp:inline distT="0" distB="0" distL="0" distR="0" wp14:anchorId="78FA06BD" wp14:editId="2B85DC93">
                  <wp:extent cx="2757805" cy="1708785"/>
                  <wp:effectExtent l="0" t="0" r="0" b="5715"/>
                  <wp:docPr id="1342007320"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522900" name="Image 2062522900"/>
                          <pic:cNvPicPr/>
                        </pic:nvPicPr>
                        <pic:blipFill>
                          <a:blip r:embed="rId43" cstate="email">
                            <a:extLst>
                              <a:ext uri="{28A0092B-C50C-407E-A947-70E740481C1C}">
                                <a14:useLocalDpi xmlns:a14="http://schemas.microsoft.com/office/drawing/2010/main"/>
                              </a:ext>
                            </a:extLst>
                          </a:blip>
                          <a:stretch>
                            <a:fillRect/>
                          </a:stretch>
                        </pic:blipFill>
                        <pic:spPr>
                          <a:xfrm>
                            <a:off x="0" y="0"/>
                            <a:ext cx="2771078" cy="1717009"/>
                          </a:xfrm>
                          <a:prstGeom prst="rect">
                            <a:avLst/>
                          </a:prstGeom>
                        </pic:spPr>
                      </pic:pic>
                    </a:graphicData>
                  </a:graphic>
                </wp:inline>
              </w:drawing>
            </w:r>
          </w:p>
          <w:p w14:paraId="2D5D39F3" w14:textId="77777777" w:rsidR="00CD1EB5" w:rsidRPr="00260790" w:rsidRDefault="00CD1EB5" w:rsidP="003A0E4A">
            <w:pPr>
              <w:pStyle w:val="Lgende"/>
              <w:spacing w:line="240" w:lineRule="auto"/>
              <w:jc w:val="both"/>
              <w:rPr>
                <w:i w:val="0"/>
                <w:color w:val="000000" w:themeColor="text1"/>
                <w:sz w:val="22"/>
                <w:szCs w:val="22"/>
                <w:lang w:val="fr-FR"/>
              </w:rPr>
            </w:pPr>
            <w:bookmarkStart w:id="360" w:name="_Toc212725221"/>
            <w:r w:rsidRPr="00260790">
              <w:rPr>
                <w:color w:val="auto"/>
                <w:sz w:val="22"/>
                <w:szCs w:val="22"/>
                <w:lang w:val="fr-FR"/>
              </w:rPr>
              <w:t xml:space="preserve">Photo </w:t>
            </w:r>
            <w:r w:rsidRPr="00260790">
              <w:rPr>
                <w:color w:val="auto"/>
                <w:sz w:val="22"/>
                <w:szCs w:val="22"/>
              </w:rPr>
              <w:fldChar w:fldCharType="begin"/>
            </w:r>
            <w:r w:rsidRPr="00260790">
              <w:rPr>
                <w:color w:val="auto"/>
                <w:sz w:val="22"/>
                <w:szCs w:val="22"/>
                <w:lang w:val="fr-FR"/>
              </w:rPr>
              <w:instrText xml:space="preserve"> SEQ Photo \* ARABIC </w:instrText>
            </w:r>
            <w:r w:rsidRPr="00260790">
              <w:rPr>
                <w:color w:val="auto"/>
                <w:sz w:val="22"/>
                <w:szCs w:val="22"/>
              </w:rPr>
              <w:fldChar w:fldCharType="separate"/>
            </w:r>
            <w:r w:rsidRPr="00260790">
              <w:rPr>
                <w:noProof/>
                <w:color w:val="auto"/>
                <w:sz w:val="22"/>
                <w:szCs w:val="22"/>
                <w:lang w:val="fr-FR"/>
              </w:rPr>
              <w:t>22</w:t>
            </w:r>
            <w:r w:rsidRPr="00260790">
              <w:rPr>
                <w:color w:val="auto"/>
                <w:sz w:val="22"/>
                <w:szCs w:val="22"/>
              </w:rPr>
              <w:fldChar w:fldCharType="end"/>
            </w:r>
            <w:r w:rsidRPr="00260790">
              <w:rPr>
                <w:color w:val="auto"/>
                <w:sz w:val="22"/>
                <w:szCs w:val="22"/>
                <w:lang w:val="fr-FR"/>
              </w:rPr>
              <w:t xml:space="preserve">: </w:t>
            </w:r>
            <w:r w:rsidRPr="00260790">
              <w:rPr>
                <w:color w:val="000000" w:themeColor="text1"/>
                <w:sz w:val="22"/>
                <w:szCs w:val="22"/>
                <w:lang w:val="fr-FR"/>
              </w:rPr>
              <w:t>Aire de jeu sur le site du bassin BRNA16G</w:t>
            </w:r>
            <w:bookmarkEnd w:id="360"/>
          </w:p>
          <w:p w14:paraId="6C84F25F" w14:textId="77777777" w:rsidR="00CD1EB5" w:rsidRPr="00260790" w:rsidRDefault="00CD1EB5" w:rsidP="003A0E4A">
            <w:pPr>
              <w:keepNext/>
              <w:spacing w:line="240" w:lineRule="auto"/>
              <w:jc w:val="both"/>
              <w:rPr>
                <w:rFonts w:ascii="Times New Roman" w:hAnsi="Times New Roman"/>
                <w:sz w:val="22"/>
                <w:szCs w:val="22"/>
              </w:rPr>
            </w:pPr>
            <w:r w:rsidRPr="00260790">
              <w:rPr>
                <w:rFonts w:ascii="Times New Roman" w:hAnsi="Times New Roman"/>
                <w:i/>
                <w:noProof/>
                <w:color w:val="000000" w:themeColor="text1"/>
              </w:rPr>
              <w:lastRenderedPageBreak/>
              <w:drawing>
                <wp:inline distT="0" distB="0" distL="0" distR="0" wp14:anchorId="26A98096" wp14:editId="0186CD7D">
                  <wp:extent cx="2735580" cy="1521501"/>
                  <wp:effectExtent l="0" t="0" r="0" b="2540"/>
                  <wp:docPr id="1342007321"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314070" name="Image 1917314070"/>
                          <pic:cNvPicPr/>
                        </pic:nvPicPr>
                        <pic:blipFill>
                          <a:blip r:embed="rId44" cstate="email">
                            <a:extLst>
                              <a:ext uri="{28A0092B-C50C-407E-A947-70E740481C1C}">
                                <a14:useLocalDpi xmlns:a14="http://schemas.microsoft.com/office/drawing/2010/main"/>
                              </a:ext>
                            </a:extLst>
                          </a:blip>
                          <a:stretch>
                            <a:fillRect/>
                          </a:stretch>
                        </pic:blipFill>
                        <pic:spPr>
                          <a:xfrm>
                            <a:off x="0" y="0"/>
                            <a:ext cx="2755784" cy="1532738"/>
                          </a:xfrm>
                          <a:prstGeom prst="rect">
                            <a:avLst/>
                          </a:prstGeom>
                        </pic:spPr>
                      </pic:pic>
                    </a:graphicData>
                  </a:graphic>
                </wp:inline>
              </w:drawing>
            </w:r>
          </w:p>
          <w:p w14:paraId="43531136" w14:textId="77777777" w:rsidR="00CD1EB5" w:rsidRPr="00260790" w:rsidRDefault="00CD1EB5" w:rsidP="003A0E4A">
            <w:pPr>
              <w:pStyle w:val="Lgende"/>
              <w:spacing w:line="240" w:lineRule="auto"/>
              <w:jc w:val="both"/>
              <w:rPr>
                <w:i w:val="0"/>
                <w:color w:val="000000" w:themeColor="text1"/>
                <w:sz w:val="22"/>
                <w:szCs w:val="22"/>
                <w:lang w:val="fr-FR"/>
              </w:rPr>
            </w:pPr>
            <w:bookmarkStart w:id="361" w:name="_Toc212725222"/>
            <w:r w:rsidRPr="00260790">
              <w:rPr>
                <w:color w:val="auto"/>
                <w:sz w:val="22"/>
                <w:szCs w:val="22"/>
                <w:lang w:val="fr-FR"/>
              </w:rPr>
              <w:t xml:space="preserve">Photo </w:t>
            </w:r>
            <w:r w:rsidRPr="00260790">
              <w:rPr>
                <w:color w:val="auto"/>
                <w:sz w:val="22"/>
                <w:szCs w:val="22"/>
              </w:rPr>
              <w:fldChar w:fldCharType="begin"/>
            </w:r>
            <w:r w:rsidRPr="00260790">
              <w:rPr>
                <w:color w:val="auto"/>
                <w:sz w:val="22"/>
                <w:szCs w:val="22"/>
                <w:lang w:val="fr-FR"/>
              </w:rPr>
              <w:instrText xml:space="preserve"> SEQ Photo \* ARABIC </w:instrText>
            </w:r>
            <w:r w:rsidRPr="00260790">
              <w:rPr>
                <w:color w:val="auto"/>
                <w:sz w:val="22"/>
                <w:szCs w:val="22"/>
              </w:rPr>
              <w:fldChar w:fldCharType="separate"/>
            </w:r>
            <w:r w:rsidRPr="00260790">
              <w:rPr>
                <w:noProof/>
                <w:color w:val="auto"/>
                <w:sz w:val="22"/>
                <w:szCs w:val="22"/>
                <w:lang w:val="fr-FR"/>
              </w:rPr>
              <w:t>23</w:t>
            </w:r>
            <w:r w:rsidRPr="00260790">
              <w:rPr>
                <w:color w:val="auto"/>
                <w:sz w:val="22"/>
                <w:szCs w:val="22"/>
              </w:rPr>
              <w:fldChar w:fldCharType="end"/>
            </w:r>
            <w:r w:rsidRPr="00260790">
              <w:rPr>
                <w:color w:val="auto"/>
                <w:sz w:val="22"/>
                <w:szCs w:val="22"/>
                <w:lang w:val="fr-FR"/>
              </w:rPr>
              <w:t xml:space="preserve">: </w:t>
            </w:r>
            <w:r w:rsidRPr="00260790">
              <w:rPr>
                <w:color w:val="000000" w:themeColor="text1"/>
                <w:sz w:val="22"/>
                <w:szCs w:val="22"/>
                <w:lang w:val="fr-FR"/>
              </w:rPr>
              <w:t>verger d’anacarde dans le site du BRNA16G</w:t>
            </w:r>
            <w:bookmarkEnd w:id="361"/>
          </w:p>
        </w:tc>
        <w:tc>
          <w:tcPr>
            <w:tcW w:w="821" w:type="pct"/>
            <w:vAlign w:val="center"/>
          </w:tcPr>
          <w:p w14:paraId="64C81144"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Préservation des espèces floristiques ;</w:t>
            </w:r>
          </w:p>
          <w:p w14:paraId="6A4B56EF"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eaux pluviales ;</w:t>
            </w:r>
          </w:p>
          <w:p w14:paraId="67530AFA"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 la mobilité des personnes et des biens ;</w:t>
            </w:r>
          </w:p>
          <w:p w14:paraId="77D91832"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biens et des activités socio-économiques ;</w:t>
            </w:r>
          </w:p>
          <w:p w14:paraId="5E822E46"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Préservation des aires de jeu et </w:t>
            </w:r>
            <w:r w:rsidRPr="00260790">
              <w:rPr>
                <w:rFonts w:ascii="Times New Roman" w:hAnsi="Times New Roman"/>
                <w:color w:val="000000" w:themeColor="text1"/>
                <w:sz w:val="22"/>
                <w:szCs w:val="22"/>
                <w:lang w:val="fr-FR"/>
              </w:rPr>
              <w:lastRenderedPageBreak/>
              <w:t>d’activités sportives ;</w:t>
            </w:r>
          </w:p>
          <w:p w14:paraId="433613DD"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Maintien de la mobilité des personnes et des biens</w:t>
            </w:r>
          </w:p>
        </w:tc>
      </w:tr>
      <w:tr w:rsidR="00CD1EB5" w:rsidRPr="00260790" w14:paraId="7EDA1B4F" w14:textId="77777777" w:rsidTr="00CD1EB5">
        <w:trPr>
          <w:trHeight w:val="1450"/>
        </w:trPr>
        <w:tc>
          <w:tcPr>
            <w:tcW w:w="521" w:type="pct"/>
            <w:vMerge/>
            <w:shd w:val="clear" w:color="auto" w:fill="DBDBDB" w:themeFill="accent3" w:themeFillTint="66"/>
            <w:vAlign w:val="center"/>
          </w:tcPr>
          <w:p w14:paraId="2AC04F6E" w14:textId="77777777" w:rsidR="00CD1EB5" w:rsidRPr="00260790" w:rsidRDefault="00CD1EB5" w:rsidP="003A0E4A">
            <w:pPr>
              <w:spacing w:line="240" w:lineRule="auto"/>
              <w:rPr>
                <w:rFonts w:ascii="Times New Roman" w:hAnsi="Times New Roman"/>
                <w:b/>
                <w:color w:val="000000" w:themeColor="text1"/>
                <w:sz w:val="22"/>
                <w:szCs w:val="22"/>
                <w:lang w:val="fr-FR"/>
              </w:rPr>
            </w:pPr>
          </w:p>
        </w:tc>
        <w:tc>
          <w:tcPr>
            <w:tcW w:w="521" w:type="pct"/>
            <w:vAlign w:val="center"/>
          </w:tcPr>
          <w:p w14:paraId="2EB3F7CB" w14:textId="77777777" w:rsidR="00CD1EB5" w:rsidRPr="00260790" w:rsidRDefault="00CD1EB5" w:rsidP="003A0E4A">
            <w:pPr>
              <w:spacing w:line="240" w:lineRule="auto"/>
              <w:jc w:val="both"/>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K4_4</w:t>
            </w:r>
          </w:p>
        </w:tc>
        <w:tc>
          <w:tcPr>
            <w:tcW w:w="1574" w:type="pct"/>
            <w:vAlign w:val="center"/>
          </w:tcPr>
          <w:p w14:paraId="4935EF80" w14:textId="77777777" w:rsidR="00CD1EB5" w:rsidRPr="00260790" w:rsidRDefault="00CD1EB5" w:rsidP="003A0E4A">
            <w:pPr>
              <w:spacing w:line="240" w:lineRule="auto"/>
              <w:ind w:left="50" w:hanging="50"/>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Ce bassin est partagé entre les quartiers Cité PROMOCAP et Cité </w:t>
            </w:r>
            <w:proofErr w:type="spellStart"/>
            <w:r w:rsidRPr="00260790">
              <w:rPr>
                <w:rFonts w:ascii="Times New Roman" w:hAnsi="Times New Roman"/>
                <w:color w:val="000000" w:themeColor="text1"/>
                <w:sz w:val="22"/>
                <w:szCs w:val="22"/>
                <w:lang w:val="fr-FR"/>
              </w:rPr>
              <w:t>Dabakh</w:t>
            </w:r>
            <w:proofErr w:type="spellEnd"/>
            <w:r w:rsidRPr="00260790">
              <w:rPr>
                <w:rFonts w:ascii="Times New Roman" w:hAnsi="Times New Roman"/>
                <w:color w:val="000000" w:themeColor="text1"/>
                <w:sz w:val="22"/>
                <w:szCs w:val="22"/>
                <w:lang w:val="fr-FR"/>
              </w:rPr>
              <w:t xml:space="preserve"> Malick. Il couvre une superficie de 0,538 ha. </w:t>
            </w:r>
          </w:p>
          <w:p w14:paraId="3531E9A7" w14:textId="77777777" w:rsidR="00CD1EB5" w:rsidRPr="00260790" w:rsidRDefault="00CD1EB5" w:rsidP="003A0E4A">
            <w:pPr>
              <w:spacing w:line="240" w:lineRule="auto"/>
              <w:ind w:left="50" w:hanging="50"/>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Les sols du site sont de type ferrugineux tropicaux faiblement lessivés et marno-calcaires.</w:t>
            </w:r>
          </w:p>
          <w:p w14:paraId="56DD7193"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La végétation du site est essentiellement composée de Typha, tamarix et 01 pied de dattier. Ce bassin est occupé par 09 bâtiments, dont 04 R+1, 04 R+0, 01 R+2. Ce dernier est une école privée.</w:t>
            </w:r>
          </w:p>
          <w:p w14:paraId="085B004E"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Un réseau ONAS, une ligne BT, un dépôt de gravats et des rues sont notés dans les emprises du bassin. </w:t>
            </w:r>
          </w:p>
          <w:p w14:paraId="26275308"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Le site est bordé par des habitations et des terrains nus.</w:t>
            </w:r>
          </w:p>
          <w:p w14:paraId="4DA91134" w14:textId="77777777" w:rsidR="00CD1EB5" w:rsidRPr="00260790" w:rsidRDefault="00CD1EB5" w:rsidP="003A0E4A">
            <w:pPr>
              <w:tabs>
                <w:tab w:val="left" w:pos="1120"/>
              </w:tabs>
              <w:spacing w:line="240" w:lineRule="auto"/>
              <w:rPr>
                <w:rFonts w:ascii="Times New Roman" w:hAnsi="Times New Roman"/>
                <w:color w:val="000000" w:themeColor="text1"/>
                <w:sz w:val="22"/>
                <w:szCs w:val="22"/>
                <w:lang w:val="fr-FR"/>
              </w:rPr>
            </w:pPr>
          </w:p>
        </w:tc>
        <w:tc>
          <w:tcPr>
            <w:tcW w:w="1564" w:type="pct"/>
            <w:vAlign w:val="center"/>
          </w:tcPr>
          <w:p w14:paraId="6A05D3AD" w14:textId="77777777" w:rsidR="00CD1EB5" w:rsidRPr="00260790" w:rsidRDefault="00CD1EB5" w:rsidP="003A0E4A">
            <w:pPr>
              <w:keepNext/>
              <w:spacing w:line="240" w:lineRule="auto"/>
              <w:jc w:val="both"/>
              <w:rPr>
                <w:rFonts w:ascii="Times New Roman" w:hAnsi="Times New Roman"/>
                <w:sz w:val="22"/>
                <w:szCs w:val="22"/>
              </w:rPr>
            </w:pPr>
            <w:r w:rsidRPr="00260790">
              <w:rPr>
                <w:rFonts w:ascii="Times New Roman" w:hAnsi="Times New Roman"/>
                <w:noProof/>
                <w:color w:val="000000" w:themeColor="text1"/>
              </w:rPr>
              <w:drawing>
                <wp:inline distT="0" distB="0" distL="0" distR="0" wp14:anchorId="3386B7DB" wp14:editId="382F16B4">
                  <wp:extent cx="2735580" cy="1656413"/>
                  <wp:effectExtent l="0" t="0" r="0" b="0"/>
                  <wp:docPr id="1342007326"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276867" name="Image 1074276867"/>
                          <pic:cNvPicPr/>
                        </pic:nvPicPr>
                        <pic:blipFill>
                          <a:blip r:embed="rId45" cstate="email">
                            <a:extLst>
                              <a:ext uri="{28A0092B-C50C-407E-A947-70E740481C1C}">
                                <a14:useLocalDpi xmlns:a14="http://schemas.microsoft.com/office/drawing/2010/main"/>
                              </a:ext>
                            </a:extLst>
                          </a:blip>
                          <a:stretch>
                            <a:fillRect/>
                          </a:stretch>
                        </pic:blipFill>
                        <pic:spPr>
                          <a:xfrm>
                            <a:off x="0" y="0"/>
                            <a:ext cx="2769425" cy="1676906"/>
                          </a:xfrm>
                          <a:prstGeom prst="rect">
                            <a:avLst/>
                          </a:prstGeom>
                        </pic:spPr>
                      </pic:pic>
                    </a:graphicData>
                  </a:graphic>
                </wp:inline>
              </w:drawing>
            </w:r>
          </w:p>
          <w:p w14:paraId="7C96813D" w14:textId="77777777" w:rsidR="00CD1EB5" w:rsidRPr="00260790" w:rsidRDefault="00CD1EB5" w:rsidP="003A0E4A">
            <w:pPr>
              <w:pStyle w:val="Lgende"/>
              <w:spacing w:line="240" w:lineRule="auto"/>
              <w:jc w:val="both"/>
              <w:rPr>
                <w:color w:val="000000" w:themeColor="text1"/>
                <w:sz w:val="22"/>
                <w:szCs w:val="22"/>
                <w:lang w:val="fr-FR"/>
              </w:rPr>
            </w:pPr>
            <w:bookmarkStart w:id="362" w:name="_Toc212725223"/>
            <w:r w:rsidRPr="00260790">
              <w:rPr>
                <w:color w:val="auto"/>
                <w:sz w:val="22"/>
                <w:szCs w:val="22"/>
                <w:lang w:val="fr-FR"/>
              </w:rPr>
              <w:t xml:space="preserve">Photo </w:t>
            </w:r>
            <w:r w:rsidRPr="00260790">
              <w:rPr>
                <w:color w:val="auto"/>
                <w:sz w:val="22"/>
                <w:szCs w:val="22"/>
              </w:rPr>
              <w:fldChar w:fldCharType="begin"/>
            </w:r>
            <w:r w:rsidRPr="00260790">
              <w:rPr>
                <w:color w:val="auto"/>
                <w:sz w:val="22"/>
                <w:szCs w:val="22"/>
                <w:lang w:val="fr-FR"/>
              </w:rPr>
              <w:instrText xml:space="preserve"> SEQ Photo \* ARABIC </w:instrText>
            </w:r>
            <w:r w:rsidRPr="00260790">
              <w:rPr>
                <w:color w:val="auto"/>
                <w:sz w:val="22"/>
                <w:szCs w:val="22"/>
              </w:rPr>
              <w:fldChar w:fldCharType="separate"/>
            </w:r>
            <w:r w:rsidRPr="00260790">
              <w:rPr>
                <w:noProof/>
                <w:color w:val="auto"/>
                <w:sz w:val="22"/>
                <w:szCs w:val="22"/>
                <w:lang w:val="fr-FR"/>
              </w:rPr>
              <w:t>24</w:t>
            </w:r>
            <w:r w:rsidRPr="00260790">
              <w:rPr>
                <w:color w:val="auto"/>
                <w:sz w:val="22"/>
                <w:szCs w:val="22"/>
              </w:rPr>
              <w:fldChar w:fldCharType="end"/>
            </w:r>
            <w:r w:rsidRPr="00260790">
              <w:rPr>
                <w:color w:val="auto"/>
                <w:sz w:val="22"/>
                <w:szCs w:val="22"/>
                <w:lang w:val="fr-FR"/>
              </w:rPr>
              <w:t xml:space="preserve">: </w:t>
            </w:r>
            <w:r w:rsidRPr="00260790">
              <w:rPr>
                <w:color w:val="000000" w:themeColor="text1"/>
                <w:sz w:val="22"/>
                <w:szCs w:val="22"/>
                <w:lang w:val="fr-FR"/>
              </w:rPr>
              <w:t>Bâtiment R+2 (école privée) sur le site du bassin K4-4</w:t>
            </w:r>
            <w:bookmarkEnd w:id="362"/>
          </w:p>
          <w:p w14:paraId="34E908DB" w14:textId="77777777" w:rsidR="00CD1EB5" w:rsidRPr="00260790" w:rsidRDefault="00CD1EB5" w:rsidP="003A0E4A">
            <w:pPr>
              <w:spacing w:line="240" w:lineRule="auto"/>
              <w:rPr>
                <w:rFonts w:ascii="Times New Roman" w:hAnsi="Times New Roman"/>
                <w:color w:val="000000" w:themeColor="text1"/>
                <w:sz w:val="22"/>
                <w:szCs w:val="22"/>
                <w:lang w:val="fr-FR"/>
              </w:rPr>
            </w:pPr>
          </w:p>
          <w:p w14:paraId="6B059199" w14:textId="77777777" w:rsidR="00CD1EB5" w:rsidRPr="00260790" w:rsidRDefault="00CD1EB5" w:rsidP="003A0E4A">
            <w:pPr>
              <w:keepNext/>
              <w:spacing w:line="240" w:lineRule="auto"/>
              <w:rPr>
                <w:rFonts w:ascii="Times New Roman" w:hAnsi="Times New Roman"/>
                <w:sz w:val="22"/>
                <w:szCs w:val="22"/>
              </w:rPr>
            </w:pPr>
            <w:r w:rsidRPr="00260790">
              <w:rPr>
                <w:rFonts w:ascii="Times New Roman" w:hAnsi="Times New Roman"/>
                <w:noProof/>
                <w:color w:val="000000" w:themeColor="text1"/>
              </w:rPr>
              <w:lastRenderedPageBreak/>
              <w:drawing>
                <wp:inline distT="0" distB="0" distL="0" distR="0" wp14:anchorId="3177F0F3" wp14:editId="30368F95">
                  <wp:extent cx="2757805" cy="1416570"/>
                  <wp:effectExtent l="0" t="0" r="0" b="6350"/>
                  <wp:docPr id="1342007327"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531311" name="Image 1348531311"/>
                          <pic:cNvPicPr/>
                        </pic:nvPicPr>
                        <pic:blipFill>
                          <a:blip r:embed="rId46" cstate="email">
                            <a:extLst>
                              <a:ext uri="{28A0092B-C50C-407E-A947-70E740481C1C}">
                                <a14:useLocalDpi xmlns:a14="http://schemas.microsoft.com/office/drawing/2010/main"/>
                              </a:ext>
                            </a:extLst>
                          </a:blip>
                          <a:stretch>
                            <a:fillRect/>
                          </a:stretch>
                        </pic:blipFill>
                        <pic:spPr>
                          <a:xfrm>
                            <a:off x="0" y="0"/>
                            <a:ext cx="2787228" cy="1431684"/>
                          </a:xfrm>
                          <a:prstGeom prst="rect">
                            <a:avLst/>
                          </a:prstGeom>
                        </pic:spPr>
                      </pic:pic>
                    </a:graphicData>
                  </a:graphic>
                </wp:inline>
              </w:drawing>
            </w:r>
          </w:p>
          <w:p w14:paraId="4FAF84D4" w14:textId="77777777" w:rsidR="00CD1EB5" w:rsidRPr="00260790" w:rsidRDefault="00CD1EB5" w:rsidP="003A0E4A">
            <w:pPr>
              <w:pStyle w:val="Lgende"/>
              <w:spacing w:line="240" w:lineRule="auto"/>
              <w:rPr>
                <w:color w:val="000000" w:themeColor="text1"/>
                <w:sz w:val="22"/>
                <w:szCs w:val="22"/>
                <w:lang w:val="fr-FR"/>
              </w:rPr>
            </w:pPr>
            <w:bookmarkStart w:id="363" w:name="_Toc212725224"/>
            <w:r w:rsidRPr="00260790">
              <w:rPr>
                <w:color w:val="auto"/>
                <w:sz w:val="22"/>
                <w:szCs w:val="22"/>
                <w:lang w:val="fr-FR"/>
              </w:rPr>
              <w:t xml:space="preserve">Photo </w:t>
            </w:r>
            <w:r w:rsidRPr="00260790">
              <w:rPr>
                <w:color w:val="auto"/>
                <w:sz w:val="22"/>
                <w:szCs w:val="22"/>
              </w:rPr>
              <w:fldChar w:fldCharType="begin"/>
            </w:r>
            <w:r w:rsidRPr="00260790">
              <w:rPr>
                <w:color w:val="auto"/>
                <w:sz w:val="22"/>
                <w:szCs w:val="22"/>
                <w:lang w:val="fr-FR"/>
              </w:rPr>
              <w:instrText xml:space="preserve"> SEQ Photo \* ARABIC </w:instrText>
            </w:r>
            <w:r w:rsidRPr="00260790">
              <w:rPr>
                <w:color w:val="auto"/>
                <w:sz w:val="22"/>
                <w:szCs w:val="22"/>
              </w:rPr>
              <w:fldChar w:fldCharType="separate"/>
            </w:r>
            <w:r w:rsidRPr="00260790">
              <w:rPr>
                <w:noProof/>
                <w:color w:val="auto"/>
                <w:sz w:val="22"/>
                <w:szCs w:val="22"/>
                <w:lang w:val="fr-FR"/>
              </w:rPr>
              <w:t>25</w:t>
            </w:r>
            <w:r w:rsidRPr="00260790">
              <w:rPr>
                <w:color w:val="auto"/>
                <w:sz w:val="22"/>
                <w:szCs w:val="22"/>
              </w:rPr>
              <w:fldChar w:fldCharType="end"/>
            </w:r>
            <w:r w:rsidRPr="00260790">
              <w:rPr>
                <w:color w:val="auto"/>
                <w:sz w:val="22"/>
                <w:szCs w:val="22"/>
                <w:lang w:val="fr-FR"/>
              </w:rPr>
              <w:t xml:space="preserve">: </w:t>
            </w:r>
            <w:r w:rsidRPr="00260790">
              <w:rPr>
                <w:color w:val="000000" w:themeColor="text1"/>
                <w:sz w:val="22"/>
                <w:szCs w:val="22"/>
                <w:lang w:val="fr-FR"/>
              </w:rPr>
              <w:t>Rue, maisons et lignes BT dans le site du bassin K4-4</w:t>
            </w:r>
            <w:bookmarkEnd w:id="363"/>
          </w:p>
          <w:p w14:paraId="1B87A896" w14:textId="77777777" w:rsidR="00CD1EB5" w:rsidRPr="00260790" w:rsidRDefault="00CD1EB5" w:rsidP="003A0E4A">
            <w:pPr>
              <w:keepNext/>
              <w:spacing w:line="240" w:lineRule="auto"/>
              <w:rPr>
                <w:rFonts w:ascii="Times New Roman" w:hAnsi="Times New Roman"/>
                <w:sz w:val="22"/>
                <w:szCs w:val="22"/>
              </w:rPr>
            </w:pPr>
            <w:r w:rsidRPr="00260790">
              <w:rPr>
                <w:rFonts w:ascii="Times New Roman" w:hAnsi="Times New Roman"/>
                <w:noProof/>
                <w:color w:val="000000" w:themeColor="text1"/>
              </w:rPr>
              <w:drawing>
                <wp:inline distT="0" distB="0" distL="0" distR="0" wp14:anchorId="3BF23C88" wp14:editId="40379AB3">
                  <wp:extent cx="2757805" cy="1513840"/>
                  <wp:effectExtent l="0" t="0" r="0" b="0"/>
                  <wp:docPr id="42"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981106" name="Image 745981106"/>
                          <pic:cNvPicPr/>
                        </pic:nvPicPr>
                        <pic:blipFill>
                          <a:blip r:embed="rId47" cstate="email">
                            <a:extLst>
                              <a:ext uri="{28A0092B-C50C-407E-A947-70E740481C1C}">
                                <a14:useLocalDpi xmlns:a14="http://schemas.microsoft.com/office/drawing/2010/main"/>
                              </a:ext>
                            </a:extLst>
                          </a:blip>
                          <a:stretch>
                            <a:fillRect/>
                          </a:stretch>
                        </pic:blipFill>
                        <pic:spPr>
                          <a:xfrm>
                            <a:off x="0" y="0"/>
                            <a:ext cx="2776115" cy="1523891"/>
                          </a:xfrm>
                          <a:prstGeom prst="rect">
                            <a:avLst/>
                          </a:prstGeom>
                        </pic:spPr>
                      </pic:pic>
                    </a:graphicData>
                  </a:graphic>
                </wp:inline>
              </w:drawing>
            </w:r>
          </w:p>
          <w:p w14:paraId="3E5B47BA" w14:textId="77777777" w:rsidR="00CD1EB5" w:rsidRPr="00260790" w:rsidRDefault="00CD1EB5" w:rsidP="003A0E4A">
            <w:pPr>
              <w:spacing w:line="240" w:lineRule="auto"/>
              <w:rPr>
                <w:rFonts w:ascii="Times New Roman" w:hAnsi="Times New Roman"/>
                <w:i/>
                <w:iCs/>
                <w:color w:val="000000" w:themeColor="text1"/>
                <w:sz w:val="22"/>
                <w:szCs w:val="22"/>
                <w:lang w:val="fr-FR" w:eastAsia="fr-FR"/>
              </w:rPr>
            </w:pPr>
            <w:bookmarkStart w:id="364" w:name="_Toc212725225"/>
            <w:r w:rsidRPr="00260790">
              <w:rPr>
                <w:rFonts w:ascii="Times New Roman" w:hAnsi="Times New Roman"/>
                <w:i/>
                <w:iCs/>
                <w:sz w:val="22"/>
                <w:szCs w:val="22"/>
                <w:lang w:val="fr-FR"/>
              </w:rPr>
              <w:t xml:space="preserve">Photo </w:t>
            </w:r>
            <w:r w:rsidRPr="00260790">
              <w:rPr>
                <w:rFonts w:ascii="Times New Roman" w:eastAsia="Times New Roman" w:hAnsi="Times New Roman"/>
                <w:i/>
                <w:iCs/>
                <w:color w:val="44546A"/>
                <w:lang w:eastAsia="fr-FR"/>
              </w:rPr>
              <w:fldChar w:fldCharType="begin"/>
            </w:r>
            <w:r w:rsidRPr="00260790">
              <w:rPr>
                <w:rFonts w:ascii="Times New Roman" w:hAnsi="Times New Roman"/>
                <w:i/>
                <w:iCs/>
                <w:sz w:val="22"/>
                <w:szCs w:val="22"/>
                <w:lang w:val="fr-FR"/>
              </w:rPr>
              <w:instrText xml:space="preserve"> SEQ Photo \* ARABIC </w:instrText>
            </w:r>
            <w:r w:rsidRPr="00260790">
              <w:rPr>
                <w:rFonts w:ascii="Times New Roman" w:eastAsia="Times New Roman" w:hAnsi="Times New Roman"/>
                <w:i/>
                <w:iCs/>
                <w:color w:val="44546A"/>
                <w:lang w:eastAsia="fr-FR"/>
              </w:rPr>
              <w:fldChar w:fldCharType="separate"/>
            </w:r>
            <w:r w:rsidRPr="00260790">
              <w:rPr>
                <w:rFonts w:ascii="Times New Roman" w:hAnsi="Times New Roman"/>
                <w:i/>
                <w:iCs/>
                <w:noProof/>
                <w:sz w:val="22"/>
                <w:szCs w:val="22"/>
                <w:lang w:val="fr-FR"/>
              </w:rPr>
              <w:t>26</w:t>
            </w:r>
            <w:r w:rsidRPr="00260790">
              <w:rPr>
                <w:rFonts w:ascii="Times New Roman" w:eastAsia="Times New Roman" w:hAnsi="Times New Roman"/>
                <w:i/>
                <w:iCs/>
                <w:color w:val="44546A"/>
                <w:lang w:eastAsia="fr-FR"/>
              </w:rPr>
              <w:fldChar w:fldCharType="end"/>
            </w:r>
            <w:r w:rsidRPr="00260790">
              <w:rPr>
                <w:rFonts w:ascii="Times New Roman" w:hAnsi="Times New Roman"/>
                <w:i/>
                <w:iCs/>
                <w:color w:val="000000" w:themeColor="text1"/>
                <w:sz w:val="22"/>
                <w:szCs w:val="22"/>
                <w:lang w:val="fr-FR"/>
              </w:rPr>
              <w:t xml:space="preserve"> : réseau ONAS sur le site du bassin K4-4</w:t>
            </w:r>
            <w:bookmarkEnd w:id="364"/>
          </w:p>
        </w:tc>
        <w:tc>
          <w:tcPr>
            <w:tcW w:w="821" w:type="pct"/>
            <w:vAlign w:val="center"/>
          </w:tcPr>
          <w:p w14:paraId="4EDB7E1D"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Gestion de l’accès aux infrastructures scolaires ;</w:t>
            </w:r>
          </w:p>
          <w:p w14:paraId="55820CAE"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 la mobilité des personnes et des biens ;</w:t>
            </w:r>
          </w:p>
          <w:p w14:paraId="792D497F"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eaux pluviales ;</w:t>
            </w:r>
          </w:p>
          <w:p w14:paraId="5969889E"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espèces floristiques ;</w:t>
            </w:r>
          </w:p>
          <w:p w14:paraId="40AAFC6D"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biens et des activités socio-économiques ;</w:t>
            </w:r>
          </w:p>
          <w:p w14:paraId="7AA2B211"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réseaux des concessionnaires (SENELEC et ONAS) et Maintien de la continuité de leur service ;</w:t>
            </w:r>
          </w:p>
          <w:p w14:paraId="4E963986"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 xml:space="preserve">Gestion des eaux usées ; </w:t>
            </w:r>
          </w:p>
          <w:p w14:paraId="7429B38D"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 la santé des travailleurs et de la population :</w:t>
            </w:r>
          </w:p>
        </w:tc>
      </w:tr>
      <w:tr w:rsidR="00CD1EB5" w:rsidRPr="00260790" w14:paraId="6E80CBF1" w14:textId="77777777" w:rsidTr="00CD1EB5">
        <w:trPr>
          <w:trHeight w:val="1450"/>
        </w:trPr>
        <w:tc>
          <w:tcPr>
            <w:tcW w:w="521" w:type="pct"/>
            <w:vMerge/>
            <w:shd w:val="clear" w:color="auto" w:fill="DBDBDB" w:themeFill="accent3" w:themeFillTint="66"/>
            <w:vAlign w:val="center"/>
          </w:tcPr>
          <w:p w14:paraId="1056A5E8" w14:textId="77777777" w:rsidR="00CD1EB5" w:rsidRPr="00260790" w:rsidRDefault="00CD1EB5" w:rsidP="003A0E4A">
            <w:pPr>
              <w:spacing w:line="240" w:lineRule="auto"/>
              <w:rPr>
                <w:rFonts w:ascii="Times New Roman" w:hAnsi="Times New Roman"/>
                <w:b/>
                <w:color w:val="000000" w:themeColor="text1"/>
                <w:sz w:val="22"/>
                <w:szCs w:val="22"/>
                <w:lang w:val="fr-FR"/>
              </w:rPr>
            </w:pPr>
          </w:p>
        </w:tc>
        <w:tc>
          <w:tcPr>
            <w:tcW w:w="521" w:type="pct"/>
            <w:vAlign w:val="center"/>
          </w:tcPr>
          <w:p w14:paraId="672760AA" w14:textId="77777777" w:rsidR="00CD1EB5" w:rsidRPr="00260790" w:rsidRDefault="00CD1EB5" w:rsidP="003A0E4A">
            <w:pPr>
              <w:spacing w:line="240" w:lineRule="auto"/>
              <w:jc w:val="both"/>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E2-TER</w:t>
            </w:r>
          </w:p>
        </w:tc>
        <w:tc>
          <w:tcPr>
            <w:tcW w:w="1574" w:type="pct"/>
            <w:vAlign w:val="center"/>
          </w:tcPr>
          <w:p w14:paraId="6CB43A1D"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Ce bassin situé dans les quartiers Cité Flamboyant et Cité et couvre une superficie de 1,221 ha.</w:t>
            </w:r>
          </w:p>
          <w:p w14:paraId="59265B00"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Les sols du site sont de type hydromorphe sur colluvion calcaire. La végétation est caractérisée par des typhas et tamarix. </w:t>
            </w:r>
          </w:p>
          <w:p w14:paraId="2F7E0191" w14:textId="445FD320"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La faune est constituée de héron garde-bœuf, moineau domestique et tourterelle maillée</w:t>
            </w:r>
            <w:r w:rsidR="00A46660">
              <w:rPr>
                <w:rFonts w:ascii="Times New Roman" w:hAnsi="Times New Roman"/>
                <w:color w:val="000000" w:themeColor="text1"/>
                <w:sz w:val="22"/>
                <w:szCs w:val="22"/>
                <w:lang w:val="fr-FR"/>
              </w:rPr>
              <w:t>.</w:t>
            </w:r>
          </w:p>
          <w:p w14:paraId="100EE71A"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Des places d’affaires (étals de légumes, menuiserie ébéniste, soudeur métallique, dépôt de brique), une zone de pâturage et deux maisons en construction sont notées dans le site du bassin. </w:t>
            </w:r>
          </w:p>
          <w:p w14:paraId="26C4989A" w14:textId="77777777" w:rsidR="00CD1EB5" w:rsidRPr="00260790" w:rsidRDefault="00CD1EB5" w:rsidP="003A0E4A">
            <w:pPr>
              <w:tabs>
                <w:tab w:val="left" w:pos="2350"/>
              </w:tabs>
              <w:spacing w:line="240" w:lineRule="auto"/>
              <w:ind w:left="50" w:hanging="50"/>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 xml:space="preserve">Une mosquée, une ligne BT, un internat et un Daara sont enregistrés à proximité du bassin. </w:t>
            </w:r>
          </w:p>
        </w:tc>
        <w:tc>
          <w:tcPr>
            <w:tcW w:w="1564" w:type="pct"/>
            <w:vAlign w:val="center"/>
          </w:tcPr>
          <w:p w14:paraId="5F1F22B6" w14:textId="77777777" w:rsidR="00CD1EB5" w:rsidRPr="00260790" w:rsidRDefault="00CD1EB5" w:rsidP="003A0E4A">
            <w:pPr>
              <w:keepNext/>
              <w:spacing w:line="240" w:lineRule="auto"/>
              <w:jc w:val="both"/>
              <w:rPr>
                <w:rFonts w:ascii="Times New Roman" w:hAnsi="Times New Roman"/>
                <w:sz w:val="22"/>
                <w:szCs w:val="22"/>
              </w:rPr>
            </w:pPr>
            <w:r w:rsidRPr="00260790">
              <w:rPr>
                <w:rFonts w:ascii="Times New Roman" w:hAnsi="Times New Roman"/>
                <w:noProof/>
                <w:color w:val="000000" w:themeColor="text1"/>
              </w:rPr>
              <w:lastRenderedPageBreak/>
              <w:drawing>
                <wp:inline distT="0" distB="0" distL="0" distR="0" wp14:anchorId="11732189" wp14:editId="74BE3657">
                  <wp:extent cx="2743200" cy="1401580"/>
                  <wp:effectExtent l="0" t="0" r="0" b="0"/>
                  <wp:docPr id="1342007317"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370471" name="Image 1632370471"/>
                          <pic:cNvPicPr/>
                        </pic:nvPicPr>
                        <pic:blipFill>
                          <a:blip r:embed="rId48" cstate="email">
                            <a:extLst>
                              <a:ext uri="{28A0092B-C50C-407E-A947-70E740481C1C}">
                                <a14:useLocalDpi xmlns:a14="http://schemas.microsoft.com/office/drawing/2010/main"/>
                              </a:ext>
                            </a:extLst>
                          </a:blip>
                          <a:stretch>
                            <a:fillRect/>
                          </a:stretch>
                        </pic:blipFill>
                        <pic:spPr>
                          <a:xfrm>
                            <a:off x="0" y="0"/>
                            <a:ext cx="2815910" cy="1438730"/>
                          </a:xfrm>
                          <a:prstGeom prst="rect">
                            <a:avLst/>
                          </a:prstGeom>
                        </pic:spPr>
                      </pic:pic>
                    </a:graphicData>
                  </a:graphic>
                </wp:inline>
              </w:drawing>
            </w:r>
          </w:p>
          <w:p w14:paraId="488386FE" w14:textId="77777777" w:rsidR="00CD1EB5" w:rsidRPr="00260790" w:rsidRDefault="00CD1EB5" w:rsidP="003A0E4A">
            <w:pPr>
              <w:pStyle w:val="Lgende"/>
              <w:spacing w:line="240" w:lineRule="auto"/>
              <w:jc w:val="both"/>
              <w:rPr>
                <w:color w:val="auto"/>
                <w:sz w:val="22"/>
                <w:szCs w:val="22"/>
                <w:lang w:val="fr-FR"/>
              </w:rPr>
            </w:pPr>
            <w:bookmarkStart w:id="365" w:name="_Toc212725226"/>
            <w:r w:rsidRPr="00260790">
              <w:rPr>
                <w:color w:val="auto"/>
                <w:sz w:val="22"/>
                <w:szCs w:val="22"/>
                <w:lang w:val="fr-FR"/>
              </w:rPr>
              <w:t xml:space="preserve">Photo </w:t>
            </w:r>
            <w:r w:rsidRPr="00260790">
              <w:rPr>
                <w:i w:val="0"/>
                <w:iCs w:val="0"/>
                <w:color w:val="auto"/>
                <w:sz w:val="22"/>
                <w:szCs w:val="22"/>
              </w:rPr>
              <w:fldChar w:fldCharType="begin"/>
            </w:r>
            <w:r w:rsidRPr="00260790">
              <w:rPr>
                <w:color w:val="auto"/>
                <w:sz w:val="22"/>
                <w:szCs w:val="22"/>
                <w:lang w:val="fr-FR"/>
              </w:rPr>
              <w:instrText xml:space="preserve"> SEQ Photo \* ARABIC </w:instrText>
            </w:r>
            <w:r w:rsidRPr="00260790">
              <w:rPr>
                <w:i w:val="0"/>
                <w:iCs w:val="0"/>
                <w:color w:val="auto"/>
                <w:sz w:val="22"/>
                <w:szCs w:val="22"/>
              </w:rPr>
              <w:fldChar w:fldCharType="separate"/>
            </w:r>
            <w:r w:rsidRPr="00260790">
              <w:rPr>
                <w:noProof/>
                <w:color w:val="auto"/>
                <w:sz w:val="22"/>
                <w:szCs w:val="22"/>
                <w:lang w:val="fr-FR"/>
              </w:rPr>
              <w:t>27</w:t>
            </w:r>
            <w:r w:rsidRPr="00260790">
              <w:rPr>
                <w:i w:val="0"/>
                <w:iCs w:val="0"/>
                <w:color w:val="auto"/>
                <w:sz w:val="22"/>
                <w:szCs w:val="22"/>
              </w:rPr>
              <w:fldChar w:fldCharType="end"/>
            </w:r>
            <w:r w:rsidRPr="00260790">
              <w:rPr>
                <w:color w:val="auto"/>
                <w:sz w:val="22"/>
                <w:szCs w:val="22"/>
                <w:lang w:val="fr-FR"/>
              </w:rPr>
              <w:t>: places d’affaires sur le site du bassin E2- TER</w:t>
            </w:r>
            <w:bookmarkEnd w:id="365"/>
          </w:p>
          <w:p w14:paraId="78DEA72B" w14:textId="77777777" w:rsidR="00CD1EB5" w:rsidRPr="00260790" w:rsidRDefault="00CD1EB5" w:rsidP="003A0E4A">
            <w:pPr>
              <w:keepNext/>
              <w:spacing w:line="240" w:lineRule="auto"/>
              <w:jc w:val="both"/>
              <w:rPr>
                <w:rFonts w:ascii="Times New Roman" w:hAnsi="Times New Roman"/>
                <w:sz w:val="22"/>
                <w:szCs w:val="22"/>
              </w:rPr>
            </w:pPr>
            <w:r w:rsidRPr="00260790">
              <w:rPr>
                <w:rFonts w:ascii="Times New Roman" w:hAnsi="Times New Roman"/>
                <w:noProof/>
                <w:color w:val="000000" w:themeColor="text1"/>
              </w:rPr>
              <w:lastRenderedPageBreak/>
              <w:drawing>
                <wp:inline distT="0" distB="0" distL="0" distR="0" wp14:anchorId="36A9BAB0" wp14:editId="0329C6D9">
                  <wp:extent cx="2743200" cy="1319134"/>
                  <wp:effectExtent l="0" t="0" r="0" b="1905"/>
                  <wp:docPr id="1342007318"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978411" name="Image 783978411"/>
                          <pic:cNvPicPr/>
                        </pic:nvPicPr>
                        <pic:blipFill>
                          <a:blip r:embed="rId49" cstate="email">
                            <a:extLst>
                              <a:ext uri="{28A0092B-C50C-407E-A947-70E740481C1C}">
                                <a14:useLocalDpi xmlns:a14="http://schemas.microsoft.com/office/drawing/2010/main"/>
                              </a:ext>
                            </a:extLst>
                          </a:blip>
                          <a:stretch>
                            <a:fillRect/>
                          </a:stretch>
                        </pic:blipFill>
                        <pic:spPr>
                          <a:xfrm>
                            <a:off x="0" y="0"/>
                            <a:ext cx="2762500" cy="1328415"/>
                          </a:xfrm>
                          <a:prstGeom prst="rect">
                            <a:avLst/>
                          </a:prstGeom>
                        </pic:spPr>
                      </pic:pic>
                    </a:graphicData>
                  </a:graphic>
                </wp:inline>
              </w:drawing>
            </w:r>
          </w:p>
          <w:p w14:paraId="10C02837" w14:textId="77777777" w:rsidR="00CD1EB5" w:rsidRPr="00260790" w:rsidRDefault="00CD1EB5" w:rsidP="003A0E4A">
            <w:pPr>
              <w:spacing w:line="240" w:lineRule="auto"/>
              <w:jc w:val="both"/>
              <w:rPr>
                <w:rFonts w:ascii="Times New Roman" w:hAnsi="Times New Roman"/>
                <w:i/>
                <w:iCs/>
                <w:color w:val="000000" w:themeColor="text1"/>
                <w:sz w:val="22"/>
                <w:szCs w:val="22"/>
                <w:lang w:val="fr-FR"/>
              </w:rPr>
            </w:pPr>
            <w:bookmarkStart w:id="366" w:name="_Toc212725227"/>
            <w:r w:rsidRPr="00260790">
              <w:rPr>
                <w:rFonts w:ascii="Times New Roman" w:hAnsi="Times New Roman"/>
                <w:i/>
                <w:iCs/>
                <w:sz w:val="22"/>
                <w:szCs w:val="22"/>
                <w:lang w:val="fr-FR"/>
              </w:rPr>
              <w:t xml:space="preserve">Photo </w:t>
            </w:r>
            <w:r w:rsidRPr="00260790">
              <w:rPr>
                <w:rFonts w:ascii="Times New Roman" w:eastAsia="Times New Roman" w:hAnsi="Times New Roman"/>
                <w:i/>
                <w:iCs/>
                <w:color w:val="44546A"/>
                <w:lang w:eastAsia="fr-FR"/>
              </w:rPr>
              <w:fldChar w:fldCharType="begin"/>
            </w:r>
            <w:r w:rsidRPr="00260790">
              <w:rPr>
                <w:rFonts w:ascii="Times New Roman" w:hAnsi="Times New Roman"/>
                <w:i/>
                <w:iCs/>
                <w:sz w:val="22"/>
                <w:szCs w:val="22"/>
                <w:lang w:val="fr-FR"/>
              </w:rPr>
              <w:instrText xml:space="preserve"> SEQ Photo \* ARABIC </w:instrText>
            </w:r>
            <w:r w:rsidRPr="00260790">
              <w:rPr>
                <w:rFonts w:ascii="Times New Roman" w:eastAsia="Times New Roman" w:hAnsi="Times New Roman"/>
                <w:i/>
                <w:iCs/>
                <w:color w:val="44546A"/>
                <w:lang w:eastAsia="fr-FR"/>
              </w:rPr>
              <w:fldChar w:fldCharType="separate"/>
            </w:r>
            <w:r w:rsidRPr="00260790">
              <w:rPr>
                <w:rFonts w:ascii="Times New Roman" w:hAnsi="Times New Roman"/>
                <w:i/>
                <w:iCs/>
                <w:noProof/>
                <w:sz w:val="22"/>
                <w:szCs w:val="22"/>
                <w:lang w:val="fr-FR"/>
              </w:rPr>
              <w:t>28</w:t>
            </w:r>
            <w:r w:rsidRPr="00260790">
              <w:rPr>
                <w:rFonts w:ascii="Times New Roman" w:eastAsia="Times New Roman" w:hAnsi="Times New Roman"/>
                <w:i/>
                <w:iCs/>
                <w:color w:val="44546A"/>
                <w:lang w:eastAsia="fr-FR"/>
              </w:rPr>
              <w:fldChar w:fldCharType="end"/>
            </w:r>
            <w:r w:rsidRPr="00260790">
              <w:rPr>
                <w:rFonts w:ascii="Times New Roman" w:hAnsi="Times New Roman"/>
                <w:i/>
                <w:iCs/>
                <w:color w:val="000000" w:themeColor="text1"/>
                <w:sz w:val="22"/>
                <w:szCs w:val="22"/>
                <w:lang w:val="fr-FR"/>
              </w:rPr>
              <w:t>: tapis herbacé colonisant le site du bassin E2-TER</w:t>
            </w:r>
            <w:bookmarkEnd w:id="366"/>
          </w:p>
          <w:p w14:paraId="36D388BE" w14:textId="77777777" w:rsidR="00CD1EB5" w:rsidRPr="00260790" w:rsidRDefault="00CD1EB5" w:rsidP="003A0E4A">
            <w:pPr>
              <w:keepNext/>
              <w:spacing w:line="240" w:lineRule="auto"/>
              <w:jc w:val="both"/>
              <w:rPr>
                <w:rFonts w:ascii="Times New Roman" w:hAnsi="Times New Roman"/>
                <w:sz w:val="22"/>
                <w:szCs w:val="22"/>
              </w:rPr>
            </w:pPr>
            <w:r w:rsidRPr="00260790">
              <w:rPr>
                <w:rFonts w:ascii="Times New Roman" w:hAnsi="Times New Roman"/>
                <w:noProof/>
                <w:color w:val="000000" w:themeColor="text1"/>
              </w:rPr>
              <w:drawing>
                <wp:inline distT="0" distB="0" distL="0" distR="0" wp14:anchorId="4B023CA1" wp14:editId="1B14AC7C">
                  <wp:extent cx="2743200" cy="1424066"/>
                  <wp:effectExtent l="0" t="0" r="0" b="0"/>
                  <wp:docPr id="1342007319"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807351" name="Image 1845807351"/>
                          <pic:cNvPicPr/>
                        </pic:nvPicPr>
                        <pic:blipFill>
                          <a:blip r:embed="rId50" cstate="email">
                            <a:extLst>
                              <a:ext uri="{28A0092B-C50C-407E-A947-70E740481C1C}">
                                <a14:useLocalDpi xmlns:a14="http://schemas.microsoft.com/office/drawing/2010/main"/>
                              </a:ext>
                            </a:extLst>
                          </a:blip>
                          <a:stretch>
                            <a:fillRect/>
                          </a:stretch>
                        </pic:blipFill>
                        <pic:spPr>
                          <a:xfrm>
                            <a:off x="0" y="0"/>
                            <a:ext cx="2767166" cy="1436507"/>
                          </a:xfrm>
                          <a:prstGeom prst="rect">
                            <a:avLst/>
                          </a:prstGeom>
                        </pic:spPr>
                      </pic:pic>
                    </a:graphicData>
                  </a:graphic>
                </wp:inline>
              </w:drawing>
            </w:r>
          </w:p>
          <w:p w14:paraId="6C31B4CA" w14:textId="77777777" w:rsidR="00CD1EB5" w:rsidRPr="00260790" w:rsidRDefault="00CD1EB5" w:rsidP="003A0E4A">
            <w:pPr>
              <w:pStyle w:val="Lgende"/>
              <w:spacing w:line="240" w:lineRule="auto"/>
              <w:jc w:val="both"/>
              <w:rPr>
                <w:sz w:val="22"/>
                <w:szCs w:val="22"/>
                <w:lang w:val="fr-FR"/>
              </w:rPr>
            </w:pPr>
            <w:bookmarkStart w:id="367" w:name="_Toc212725228"/>
            <w:r w:rsidRPr="00260790">
              <w:rPr>
                <w:color w:val="auto"/>
                <w:sz w:val="22"/>
                <w:szCs w:val="22"/>
                <w:lang w:val="fr-FR"/>
              </w:rPr>
              <w:t xml:space="preserve">Photo </w:t>
            </w:r>
            <w:r w:rsidRPr="00260790">
              <w:rPr>
                <w:color w:val="auto"/>
                <w:sz w:val="22"/>
                <w:szCs w:val="22"/>
              </w:rPr>
              <w:fldChar w:fldCharType="begin"/>
            </w:r>
            <w:r w:rsidRPr="00260790">
              <w:rPr>
                <w:color w:val="auto"/>
                <w:sz w:val="22"/>
                <w:szCs w:val="22"/>
                <w:lang w:val="fr-FR"/>
              </w:rPr>
              <w:instrText xml:space="preserve"> SEQ Photo \* ARABIC </w:instrText>
            </w:r>
            <w:r w:rsidRPr="00260790">
              <w:rPr>
                <w:color w:val="auto"/>
                <w:sz w:val="22"/>
                <w:szCs w:val="22"/>
              </w:rPr>
              <w:fldChar w:fldCharType="separate"/>
            </w:r>
            <w:r w:rsidRPr="00260790">
              <w:rPr>
                <w:noProof/>
                <w:color w:val="auto"/>
                <w:sz w:val="22"/>
                <w:szCs w:val="22"/>
                <w:lang w:val="fr-FR"/>
              </w:rPr>
              <w:t>29</w:t>
            </w:r>
            <w:r w:rsidRPr="00260790">
              <w:rPr>
                <w:color w:val="auto"/>
                <w:sz w:val="22"/>
                <w:szCs w:val="22"/>
              </w:rPr>
              <w:fldChar w:fldCharType="end"/>
            </w:r>
            <w:r w:rsidRPr="00260790">
              <w:rPr>
                <w:color w:val="auto"/>
                <w:sz w:val="22"/>
                <w:szCs w:val="22"/>
                <w:lang w:val="fr-FR"/>
              </w:rPr>
              <w:t xml:space="preserve"> : </w:t>
            </w:r>
            <w:r w:rsidRPr="00260790">
              <w:rPr>
                <w:color w:val="000000" w:themeColor="text1"/>
                <w:sz w:val="22"/>
                <w:szCs w:val="22"/>
                <w:lang w:val="fr-FR"/>
              </w:rPr>
              <w:t>deux maisons en construction sur le site du bassin E2-TER</w:t>
            </w:r>
            <w:bookmarkEnd w:id="367"/>
            <w:r w:rsidRPr="00260790" w:rsidDel="00AB0ED8">
              <w:rPr>
                <w:color w:val="000000" w:themeColor="text1"/>
                <w:sz w:val="22"/>
                <w:szCs w:val="22"/>
                <w:lang w:val="fr-FR"/>
              </w:rPr>
              <w:t xml:space="preserve"> </w:t>
            </w:r>
          </w:p>
        </w:tc>
        <w:tc>
          <w:tcPr>
            <w:tcW w:w="821" w:type="pct"/>
            <w:vAlign w:val="center"/>
          </w:tcPr>
          <w:p w14:paraId="49F1AC6F" w14:textId="77777777" w:rsidR="00CD1EB5" w:rsidRPr="00260790" w:rsidRDefault="00CD1EB5" w:rsidP="001748C6">
            <w:pPr>
              <w:numPr>
                <w:ilvl w:val="0"/>
                <w:numId w:val="121"/>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Gestion de la mobilité des personnes et des biens ;</w:t>
            </w:r>
          </w:p>
          <w:p w14:paraId="5770EC53" w14:textId="77777777" w:rsidR="00CD1EB5" w:rsidRPr="00260790" w:rsidRDefault="00CD1EB5" w:rsidP="001748C6">
            <w:pPr>
              <w:numPr>
                <w:ilvl w:val="0"/>
                <w:numId w:val="121"/>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Préservation de la santé des </w:t>
            </w:r>
            <w:proofErr w:type="gramStart"/>
            <w:r w:rsidRPr="00260790">
              <w:rPr>
                <w:rFonts w:ascii="Times New Roman" w:hAnsi="Times New Roman"/>
                <w:color w:val="000000" w:themeColor="text1"/>
                <w:sz w:val="22"/>
                <w:szCs w:val="22"/>
                <w:lang w:val="fr-FR"/>
              </w:rPr>
              <w:t>travailleurs;</w:t>
            </w:r>
            <w:proofErr w:type="gramEnd"/>
          </w:p>
          <w:p w14:paraId="2227095E" w14:textId="77777777" w:rsidR="00CD1EB5" w:rsidRPr="00260790" w:rsidRDefault="00CD1EB5" w:rsidP="001748C6">
            <w:pPr>
              <w:numPr>
                <w:ilvl w:val="0"/>
                <w:numId w:val="121"/>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espèces floristiques ;</w:t>
            </w:r>
          </w:p>
          <w:p w14:paraId="4E9F0D20" w14:textId="77777777" w:rsidR="00CD1EB5" w:rsidRPr="00260790" w:rsidRDefault="00CD1EB5" w:rsidP="001748C6">
            <w:pPr>
              <w:numPr>
                <w:ilvl w:val="0"/>
                <w:numId w:val="121"/>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du foncier ;</w:t>
            </w:r>
          </w:p>
          <w:p w14:paraId="46C76462" w14:textId="77777777" w:rsidR="00CD1EB5" w:rsidRPr="00260790" w:rsidRDefault="00CD1EB5" w:rsidP="001748C6">
            <w:pPr>
              <w:numPr>
                <w:ilvl w:val="0"/>
                <w:numId w:val="121"/>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Maintien des réseaux des concessionnaires (SENELEC</w:t>
            </w:r>
            <w:proofErr w:type="gramStart"/>
            <w:r w:rsidRPr="00260790">
              <w:rPr>
                <w:rFonts w:ascii="Times New Roman" w:hAnsi="Times New Roman"/>
                <w:color w:val="000000" w:themeColor="text1"/>
                <w:sz w:val="22"/>
                <w:szCs w:val="22"/>
                <w:lang w:val="fr-FR"/>
              </w:rPr>
              <w:t>);</w:t>
            </w:r>
            <w:proofErr w:type="gramEnd"/>
          </w:p>
          <w:p w14:paraId="6A62E2AF" w14:textId="77777777" w:rsidR="00CD1EB5" w:rsidRPr="00260790" w:rsidRDefault="00CD1EB5" w:rsidP="001748C6">
            <w:pPr>
              <w:numPr>
                <w:ilvl w:val="0"/>
                <w:numId w:val="121"/>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 l’accès aux infrastructures scolaires et aux lieux de culte ;</w:t>
            </w:r>
          </w:p>
          <w:p w14:paraId="6E9F40AB" w14:textId="77777777" w:rsidR="00CD1EB5" w:rsidRPr="00260790" w:rsidRDefault="00CD1EB5" w:rsidP="001748C6">
            <w:pPr>
              <w:numPr>
                <w:ilvl w:val="0"/>
                <w:numId w:val="121"/>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biens et des activités socio-économiques </w:t>
            </w:r>
          </w:p>
        </w:tc>
      </w:tr>
      <w:tr w:rsidR="00CD1EB5" w:rsidRPr="00260790" w14:paraId="0C824AA9" w14:textId="77777777" w:rsidTr="00CD1EB5">
        <w:trPr>
          <w:trHeight w:val="1450"/>
        </w:trPr>
        <w:tc>
          <w:tcPr>
            <w:tcW w:w="521" w:type="pct"/>
            <w:vMerge/>
            <w:shd w:val="clear" w:color="auto" w:fill="DBDBDB" w:themeFill="accent3" w:themeFillTint="66"/>
            <w:vAlign w:val="center"/>
          </w:tcPr>
          <w:p w14:paraId="5E1CC513" w14:textId="77777777" w:rsidR="00CD1EB5" w:rsidRPr="00260790" w:rsidRDefault="00CD1EB5" w:rsidP="003A0E4A">
            <w:pPr>
              <w:spacing w:line="240" w:lineRule="auto"/>
              <w:rPr>
                <w:rFonts w:ascii="Times New Roman" w:hAnsi="Times New Roman"/>
                <w:b/>
                <w:color w:val="000000" w:themeColor="text1"/>
                <w:sz w:val="22"/>
                <w:szCs w:val="22"/>
                <w:lang w:val="fr-FR"/>
              </w:rPr>
            </w:pPr>
          </w:p>
        </w:tc>
        <w:tc>
          <w:tcPr>
            <w:tcW w:w="521" w:type="pct"/>
            <w:vAlign w:val="center"/>
          </w:tcPr>
          <w:p w14:paraId="10C152BB" w14:textId="77777777" w:rsidR="00CD1EB5" w:rsidRPr="00260790" w:rsidRDefault="00CD1EB5" w:rsidP="003A0E4A">
            <w:pPr>
              <w:spacing w:line="240" w:lineRule="auto"/>
              <w:jc w:val="both"/>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P1</w:t>
            </w:r>
          </w:p>
        </w:tc>
        <w:tc>
          <w:tcPr>
            <w:tcW w:w="1574" w:type="pct"/>
            <w:vAlign w:val="center"/>
          </w:tcPr>
          <w:p w14:paraId="638F87D4"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Ce bassin est localisé dans les Cités Mantor Diouf, Cité </w:t>
            </w:r>
            <w:proofErr w:type="spellStart"/>
            <w:r w:rsidRPr="00260790">
              <w:rPr>
                <w:rFonts w:ascii="Times New Roman" w:hAnsi="Times New Roman"/>
                <w:color w:val="000000" w:themeColor="text1"/>
                <w:sz w:val="22"/>
                <w:szCs w:val="22"/>
                <w:lang w:val="fr-FR"/>
              </w:rPr>
              <w:t>Soutoureu</w:t>
            </w:r>
            <w:proofErr w:type="spellEnd"/>
            <w:r w:rsidRPr="00260790">
              <w:rPr>
                <w:rFonts w:ascii="Times New Roman" w:hAnsi="Times New Roman"/>
                <w:color w:val="000000" w:themeColor="text1"/>
                <w:sz w:val="22"/>
                <w:szCs w:val="22"/>
                <w:lang w:val="fr-FR"/>
              </w:rPr>
              <w:t xml:space="preserve">, Cité femmes immigrées, Cité Shell, Gabonaise etc. La superficie du bassin est de 5,12 ha. Les sols du site sont de type hydromorphe sur colluvion calcaire. La végétation du site est composée de typhas, </w:t>
            </w:r>
            <w:proofErr w:type="spellStart"/>
            <w:r w:rsidRPr="00260790">
              <w:rPr>
                <w:rFonts w:ascii="Times New Roman" w:hAnsi="Times New Roman"/>
                <w:i/>
                <w:color w:val="000000" w:themeColor="text1"/>
                <w:sz w:val="22"/>
                <w:szCs w:val="22"/>
                <w:lang w:val="fr-FR"/>
              </w:rPr>
              <w:t>Calotropis</w:t>
            </w:r>
            <w:proofErr w:type="spellEnd"/>
            <w:r w:rsidRPr="00260790">
              <w:rPr>
                <w:rFonts w:ascii="Times New Roman" w:hAnsi="Times New Roman"/>
                <w:color w:val="000000" w:themeColor="text1"/>
                <w:sz w:val="22"/>
                <w:szCs w:val="22"/>
                <w:lang w:val="fr-FR"/>
              </w:rPr>
              <w:t xml:space="preserve">, </w:t>
            </w:r>
            <w:r w:rsidRPr="00260790">
              <w:rPr>
                <w:rFonts w:ascii="Times New Roman" w:hAnsi="Times New Roman"/>
                <w:i/>
                <w:color w:val="000000" w:themeColor="text1"/>
                <w:sz w:val="22"/>
                <w:szCs w:val="22"/>
                <w:lang w:val="fr-FR"/>
              </w:rPr>
              <w:t xml:space="preserve">Tamarix et </w:t>
            </w:r>
            <w:r w:rsidRPr="00260790">
              <w:rPr>
                <w:rFonts w:ascii="Times New Roman" w:hAnsi="Times New Roman"/>
                <w:color w:val="000000" w:themeColor="text1"/>
                <w:sz w:val="22"/>
                <w:szCs w:val="22"/>
                <w:lang w:val="fr-FR"/>
              </w:rPr>
              <w:t>ricins. Il est occupé par 03 terrains de football, un bâtiment en construction, un dépôt de matériaux de construction (briques, sables, etc.), un enclos de bétail et un lotissement.</w:t>
            </w:r>
          </w:p>
          <w:p w14:paraId="145ABD30"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Des habitations et des rues sont identifiées aux alentours du site. Un puits est noté à la limite du bassin.</w:t>
            </w:r>
          </w:p>
        </w:tc>
        <w:tc>
          <w:tcPr>
            <w:tcW w:w="1564" w:type="pct"/>
            <w:vAlign w:val="center"/>
          </w:tcPr>
          <w:p w14:paraId="7818A6DC" w14:textId="77777777" w:rsidR="00CD1EB5" w:rsidRPr="00260790" w:rsidRDefault="00CD1EB5" w:rsidP="003A0E4A">
            <w:pPr>
              <w:keepNext/>
              <w:spacing w:line="240" w:lineRule="auto"/>
              <w:jc w:val="both"/>
              <w:rPr>
                <w:rFonts w:ascii="Times New Roman" w:hAnsi="Times New Roman"/>
                <w:sz w:val="22"/>
                <w:szCs w:val="22"/>
              </w:rPr>
            </w:pPr>
            <w:r w:rsidRPr="00260790">
              <w:rPr>
                <w:rFonts w:ascii="Times New Roman" w:hAnsi="Times New Roman"/>
                <w:noProof/>
                <w:color w:val="000000" w:themeColor="text1"/>
              </w:rPr>
              <w:drawing>
                <wp:inline distT="0" distB="0" distL="0" distR="0" wp14:anchorId="421C086C" wp14:editId="5167EDA5">
                  <wp:extent cx="2743200" cy="1379095"/>
                  <wp:effectExtent l="0" t="0" r="0" b="5715"/>
                  <wp:docPr id="134200731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938749" name="Image 678938749"/>
                          <pic:cNvPicPr/>
                        </pic:nvPicPr>
                        <pic:blipFill>
                          <a:blip r:embed="rId51" cstate="email">
                            <a:extLst>
                              <a:ext uri="{28A0092B-C50C-407E-A947-70E740481C1C}">
                                <a14:useLocalDpi xmlns:a14="http://schemas.microsoft.com/office/drawing/2010/main"/>
                              </a:ext>
                            </a:extLst>
                          </a:blip>
                          <a:stretch>
                            <a:fillRect/>
                          </a:stretch>
                        </pic:blipFill>
                        <pic:spPr>
                          <a:xfrm>
                            <a:off x="0" y="0"/>
                            <a:ext cx="2762937" cy="1389018"/>
                          </a:xfrm>
                          <a:prstGeom prst="rect">
                            <a:avLst/>
                          </a:prstGeom>
                        </pic:spPr>
                      </pic:pic>
                    </a:graphicData>
                  </a:graphic>
                </wp:inline>
              </w:drawing>
            </w:r>
          </w:p>
          <w:p w14:paraId="64C6509D" w14:textId="77777777" w:rsidR="00CD1EB5" w:rsidRPr="00260790" w:rsidRDefault="00CD1EB5" w:rsidP="003A0E4A">
            <w:pPr>
              <w:pStyle w:val="Lgende"/>
              <w:spacing w:line="240" w:lineRule="auto"/>
              <w:jc w:val="both"/>
              <w:rPr>
                <w:color w:val="000000" w:themeColor="text1"/>
                <w:sz w:val="22"/>
                <w:szCs w:val="22"/>
                <w:lang w:val="fr-FR"/>
              </w:rPr>
            </w:pPr>
            <w:bookmarkStart w:id="368" w:name="_Toc212725229"/>
            <w:r w:rsidRPr="00260790">
              <w:rPr>
                <w:color w:val="auto"/>
                <w:sz w:val="22"/>
                <w:szCs w:val="22"/>
                <w:lang w:val="fr-FR"/>
              </w:rPr>
              <w:t xml:space="preserve">Photo </w:t>
            </w:r>
            <w:r w:rsidRPr="00260790">
              <w:rPr>
                <w:color w:val="auto"/>
                <w:sz w:val="22"/>
                <w:szCs w:val="22"/>
              </w:rPr>
              <w:fldChar w:fldCharType="begin"/>
            </w:r>
            <w:r w:rsidRPr="00260790">
              <w:rPr>
                <w:color w:val="auto"/>
                <w:sz w:val="22"/>
                <w:szCs w:val="22"/>
                <w:lang w:val="fr-FR"/>
              </w:rPr>
              <w:instrText xml:space="preserve"> SEQ Photo \* ARABIC </w:instrText>
            </w:r>
            <w:r w:rsidRPr="00260790">
              <w:rPr>
                <w:color w:val="auto"/>
                <w:sz w:val="22"/>
                <w:szCs w:val="22"/>
              </w:rPr>
              <w:fldChar w:fldCharType="separate"/>
            </w:r>
            <w:r w:rsidRPr="00260790">
              <w:rPr>
                <w:noProof/>
                <w:color w:val="auto"/>
                <w:sz w:val="22"/>
                <w:szCs w:val="22"/>
                <w:lang w:val="fr-FR"/>
              </w:rPr>
              <w:t>30</w:t>
            </w:r>
            <w:r w:rsidRPr="00260790">
              <w:rPr>
                <w:color w:val="auto"/>
                <w:sz w:val="22"/>
                <w:szCs w:val="22"/>
              </w:rPr>
              <w:fldChar w:fldCharType="end"/>
            </w:r>
            <w:r w:rsidRPr="00260790">
              <w:rPr>
                <w:color w:val="auto"/>
                <w:sz w:val="22"/>
                <w:szCs w:val="22"/>
                <w:lang w:val="fr-FR"/>
              </w:rPr>
              <w:t xml:space="preserve"> : </w:t>
            </w:r>
            <w:r w:rsidRPr="00260790">
              <w:rPr>
                <w:color w:val="000000" w:themeColor="text1"/>
                <w:sz w:val="22"/>
                <w:szCs w:val="22"/>
                <w:lang w:val="fr-FR"/>
              </w:rPr>
              <w:t>Bâtiment en construction sur le site du bassin P1</w:t>
            </w:r>
            <w:bookmarkEnd w:id="368"/>
          </w:p>
          <w:p w14:paraId="270F7945" w14:textId="77777777" w:rsidR="00CD1EB5" w:rsidRPr="00260790" w:rsidRDefault="00CD1EB5" w:rsidP="003A0E4A">
            <w:pPr>
              <w:keepNext/>
              <w:spacing w:line="240" w:lineRule="auto"/>
              <w:jc w:val="both"/>
              <w:rPr>
                <w:rFonts w:ascii="Times New Roman" w:hAnsi="Times New Roman"/>
                <w:sz w:val="22"/>
                <w:szCs w:val="22"/>
              </w:rPr>
            </w:pPr>
            <w:r w:rsidRPr="00260790">
              <w:rPr>
                <w:rFonts w:ascii="Times New Roman" w:hAnsi="Times New Roman"/>
                <w:noProof/>
                <w:color w:val="000000" w:themeColor="text1"/>
              </w:rPr>
              <w:lastRenderedPageBreak/>
              <w:drawing>
                <wp:inline distT="0" distB="0" distL="0" distR="0" wp14:anchorId="56A28EA6" wp14:editId="43849C2B">
                  <wp:extent cx="2735704" cy="1416050"/>
                  <wp:effectExtent l="0" t="0" r="0" b="0"/>
                  <wp:docPr id="134200731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8909" name="Image 121268909"/>
                          <pic:cNvPicPr/>
                        </pic:nvPicPr>
                        <pic:blipFill>
                          <a:blip r:embed="rId52" cstate="email">
                            <a:extLst>
                              <a:ext uri="{28A0092B-C50C-407E-A947-70E740481C1C}">
                                <a14:useLocalDpi xmlns:a14="http://schemas.microsoft.com/office/drawing/2010/main"/>
                              </a:ext>
                            </a:extLst>
                          </a:blip>
                          <a:stretch>
                            <a:fillRect/>
                          </a:stretch>
                        </pic:blipFill>
                        <pic:spPr>
                          <a:xfrm>
                            <a:off x="0" y="0"/>
                            <a:ext cx="2752293" cy="1424637"/>
                          </a:xfrm>
                          <a:prstGeom prst="rect">
                            <a:avLst/>
                          </a:prstGeom>
                        </pic:spPr>
                      </pic:pic>
                    </a:graphicData>
                  </a:graphic>
                </wp:inline>
              </w:drawing>
            </w:r>
          </w:p>
          <w:p w14:paraId="17AC0491" w14:textId="77777777" w:rsidR="00CD1EB5" w:rsidRPr="00260790" w:rsidRDefault="00CD1EB5" w:rsidP="003A0E4A">
            <w:pPr>
              <w:pStyle w:val="Lgende"/>
              <w:spacing w:line="240" w:lineRule="auto"/>
              <w:jc w:val="both"/>
              <w:rPr>
                <w:sz w:val="22"/>
                <w:szCs w:val="22"/>
                <w:lang w:val="fr-FR"/>
              </w:rPr>
            </w:pPr>
            <w:bookmarkStart w:id="369" w:name="_Toc212725230"/>
            <w:r w:rsidRPr="00260790">
              <w:rPr>
                <w:sz w:val="22"/>
                <w:szCs w:val="22"/>
                <w:lang w:val="fr-FR"/>
              </w:rPr>
              <w:t xml:space="preserve">Photo </w:t>
            </w:r>
            <w:r w:rsidRPr="00260790">
              <w:rPr>
                <w:sz w:val="22"/>
                <w:szCs w:val="22"/>
              </w:rPr>
              <w:fldChar w:fldCharType="begin"/>
            </w:r>
            <w:r w:rsidRPr="00260790">
              <w:rPr>
                <w:sz w:val="22"/>
                <w:szCs w:val="22"/>
                <w:lang w:val="fr-FR"/>
              </w:rPr>
              <w:instrText xml:space="preserve"> SEQ Photo \* ARABIC </w:instrText>
            </w:r>
            <w:r w:rsidRPr="00260790">
              <w:rPr>
                <w:sz w:val="22"/>
                <w:szCs w:val="22"/>
              </w:rPr>
              <w:fldChar w:fldCharType="separate"/>
            </w:r>
            <w:r w:rsidRPr="00260790">
              <w:rPr>
                <w:noProof/>
                <w:sz w:val="22"/>
                <w:szCs w:val="22"/>
                <w:lang w:val="fr-FR"/>
              </w:rPr>
              <w:t>31</w:t>
            </w:r>
            <w:r w:rsidRPr="00260790">
              <w:rPr>
                <w:sz w:val="22"/>
                <w:szCs w:val="22"/>
              </w:rPr>
              <w:fldChar w:fldCharType="end"/>
            </w:r>
            <w:r w:rsidRPr="00260790">
              <w:rPr>
                <w:sz w:val="22"/>
                <w:szCs w:val="22"/>
                <w:lang w:val="fr-FR"/>
              </w:rPr>
              <w:t xml:space="preserve"> </w:t>
            </w:r>
            <w:r w:rsidRPr="00260790">
              <w:rPr>
                <w:color w:val="000000" w:themeColor="text1"/>
                <w:sz w:val="22"/>
                <w:szCs w:val="22"/>
                <w:lang w:val="fr-FR"/>
              </w:rPr>
              <w:t>: vue du site du bassin P1</w:t>
            </w:r>
            <w:bookmarkEnd w:id="369"/>
          </w:p>
          <w:p w14:paraId="3D37E081" w14:textId="77777777" w:rsidR="00CD1EB5" w:rsidRPr="00260790" w:rsidRDefault="00CD1EB5" w:rsidP="003A0E4A">
            <w:pPr>
              <w:keepNext/>
              <w:spacing w:line="240" w:lineRule="auto"/>
              <w:jc w:val="both"/>
              <w:rPr>
                <w:rFonts w:ascii="Times New Roman" w:hAnsi="Times New Roman"/>
                <w:sz w:val="22"/>
                <w:szCs w:val="22"/>
              </w:rPr>
            </w:pPr>
            <w:r w:rsidRPr="00260790">
              <w:rPr>
                <w:rFonts w:ascii="Times New Roman" w:hAnsi="Times New Roman"/>
                <w:noProof/>
                <w:color w:val="000000" w:themeColor="text1"/>
              </w:rPr>
              <w:drawing>
                <wp:inline distT="0" distB="0" distL="0" distR="0" wp14:anchorId="0F2A66F7" wp14:editId="1F98C9DB">
                  <wp:extent cx="2735580" cy="1551305"/>
                  <wp:effectExtent l="0" t="0" r="0" b="0"/>
                  <wp:docPr id="134200731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990353" name="Image 756990353"/>
                          <pic:cNvPicPr/>
                        </pic:nvPicPr>
                        <pic:blipFill>
                          <a:blip r:embed="rId53" cstate="email">
                            <a:extLst>
                              <a:ext uri="{28A0092B-C50C-407E-A947-70E740481C1C}">
                                <a14:useLocalDpi xmlns:a14="http://schemas.microsoft.com/office/drawing/2010/main"/>
                              </a:ext>
                            </a:extLst>
                          </a:blip>
                          <a:stretch>
                            <a:fillRect/>
                          </a:stretch>
                        </pic:blipFill>
                        <pic:spPr>
                          <a:xfrm>
                            <a:off x="0" y="0"/>
                            <a:ext cx="2749550" cy="1559227"/>
                          </a:xfrm>
                          <a:prstGeom prst="rect">
                            <a:avLst/>
                          </a:prstGeom>
                        </pic:spPr>
                      </pic:pic>
                    </a:graphicData>
                  </a:graphic>
                </wp:inline>
              </w:drawing>
            </w:r>
          </w:p>
          <w:p w14:paraId="23AC86B0" w14:textId="77777777" w:rsidR="00CD1EB5" w:rsidRPr="00260790" w:rsidRDefault="00CD1EB5" w:rsidP="003A0E4A">
            <w:pPr>
              <w:pStyle w:val="Lgende"/>
              <w:spacing w:line="240" w:lineRule="auto"/>
              <w:jc w:val="both"/>
              <w:rPr>
                <w:color w:val="000000" w:themeColor="text1"/>
                <w:sz w:val="22"/>
                <w:szCs w:val="22"/>
                <w:lang w:val="fr-FR"/>
              </w:rPr>
            </w:pPr>
            <w:bookmarkStart w:id="370" w:name="_Toc212725231"/>
            <w:r w:rsidRPr="00260790">
              <w:rPr>
                <w:color w:val="auto"/>
                <w:sz w:val="22"/>
                <w:szCs w:val="22"/>
                <w:lang w:val="fr-FR"/>
              </w:rPr>
              <w:t xml:space="preserve">Photo </w:t>
            </w:r>
            <w:r w:rsidRPr="00260790">
              <w:rPr>
                <w:color w:val="auto"/>
                <w:sz w:val="22"/>
                <w:szCs w:val="22"/>
              </w:rPr>
              <w:fldChar w:fldCharType="begin"/>
            </w:r>
            <w:r w:rsidRPr="00260790">
              <w:rPr>
                <w:color w:val="auto"/>
                <w:sz w:val="22"/>
                <w:szCs w:val="22"/>
                <w:lang w:val="fr-FR"/>
              </w:rPr>
              <w:instrText xml:space="preserve"> SEQ Photo \* ARABIC </w:instrText>
            </w:r>
            <w:r w:rsidRPr="00260790">
              <w:rPr>
                <w:color w:val="auto"/>
                <w:sz w:val="22"/>
                <w:szCs w:val="22"/>
              </w:rPr>
              <w:fldChar w:fldCharType="separate"/>
            </w:r>
            <w:r w:rsidRPr="00260790">
              <w:rPr>
                <w:noProof/>
                <w:color w:val="auto"/>
                <w:sz w:val="22"/>
                <w:szCs w:val="22"/>
                <w:lang w:val="fr-FR"/>
              </w:rPr>
              <w:t>32</w:t>
            </w:r>
            <w:r w:rsidRPr="00260790">
              <w:rPr>
                <w:color w:val="auto"/>
                <w:sz w:val="22"/>
                <w:szCs w:val="22"/>
              </w:rPr>
              <w:fldChar w:fldCharType="end"/>
            </w:r>
            <w:r w:rsidRPr="00260790">
              <w:rPr>
                <w:color w:val="auto"/>
                <w:sz w:val="22"/>
                <w:szCs w:val="22"/>
                <w:lang w:val="fr-FR"/>
              </w:rPr>
              <w:t xml:space="preserve"> : </w:t>
            </w:r>
            <w:r w:rsidRPr="00260790">
              <w:rPr>
                <w:color w:val="000000" w:themeColor="text1"/>
                <w:sz w:val="22"/>
                <w:szCs w:val="22"/>
                <w:lang w:val="fr-FR"/>
              </w:rPr>
              <w:t>aires de jeu sur le site du bassin P1</w:t>
            </w:r>
            <w:bookmarkEnd w:id="370"/>
          </w:p>
        </w:tc>
        <w:tc>
          <w:tcPr>
            <w:tcW w:w="821" w:type="pct"/>
            <w:vAlign w:val="center"/>
          </w:tcPr>
          <w:p w14:paraId="2CB7CEE7" w14:textId="77777777" w:rsidR="00CD1EB5" w:rsidRPr="00260790" w:rsidRDefault="00CD1EB5" w:rsidP="001748C6">
            <w:pPr>
              <w:numPr>
                <w:ilvl w:val="0"/>
                <w:numId w:val="121"/>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Préservation des espèces floristiques ;</w:t>
            </w:r>
          </w:p>
          <w:p w14:paraId="228939E7" w14:textId="77777777" w:rsidR="00CD1EB5" w:rsidRPr="00260790" w:rsidRDefault="00CD1EB5" w:rsidP="001748C6">
            <w:pPr>
              <w:numPr>
                <w:ilvl w:val="0"/>
                <w:numId w:val="121"/>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habitations ;</w:t>
            </w:r>
          </w:p>
          <w:p w14:paraId="057F1F6C" w14:textId="77777777" w:rsidR="00CD1EB5" w:rsidRPr="00260790" w:rsidRDefault="00CD1EB5" w:rsidP="001748C6">
            <w:pPr>
              <w:numPr>
                <w:ilvl w:val="0"/>
                <w:numId w:val="121"/>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biens et des activités socio-économiques ;</w:t>
            </w:r>
          </w:p>
          <w:p w14:paraId="78E5372A" w14:textId="77777777" w:rsidR="00CD1EB5" w:rsidRPr="00260790" w:rsidRDefault="00CD1EB5" w:rsidP="001748C6">
            <w:pPr>
              <w:numPr>
                <w:ilvl w:val="0"/>
                <w:numId w:val="121"/>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aires de jeu et d’activités sportives </w:t>
            </w:r>
          </w:p>
        </w:tc>
      </w:tr>
    </w:tbl>
    <w:p w14:paraId="0DE1D24F" w14:textId="77777777" w:rsidR="00CD1EB5" w:rsidRPr="00260790" w:rsidRDefault="00CD1EB5" w:rsidP="00E20250">
      <w:pPr>
        <w:spacing w:line="240" w:lineRule="auto"/>
        <w:rPr>
          <w:rFonts w:ascii="Times New Roman" w:hAnsi="Times New Roman"/>
          <w:b/>
          <w:color w:val="000000" w:themeColor="text1"/>
        </w:rPr>
      </w:pPr>
    </w:p>
    <w:p w14:paraId="1274DBF8" w14:textId="77777777" w:rsidR="00CD1EB5" w:rsidRPr="00260790" w:rsidRDefault="00CD1EB5" w:rsidP="00E20250">
      <w:pPr>
        <w:spacing w:line="240" w:lineRule="auto"/>
        <w:rPr>
          <w:rFonts w:ascii="Times New Roman" w:hAnsi="Times New Roman"/>
          <w:b/>
          <w:color w:val="000000" w:themeColor="text1"/>
        </w:rPr>
      </w:pPr>
    </w:p>
    <w:p w14:paraId="33C77DB7" w14:textId="77777777" w:rsidR="00CD1EB5" w:rsidRPr="00260790" w:rsidRDefault="00CD1EB5">
      <w:pPr>
        <w:spacing w:line="259" w:lineRule="auto"/>
        <w:rPr>
          <w:rFonts w:ascii="Times New Roman" w:hAnsi="Times New Roman"/>
          <w:i/>
          <w:iCs/>
        </w:rPr>
      </w:pPr>
      <w:r w:rsidRPr="00260790">
        <w:rPr>
          <w:rFonts w:ascii="Times New Roman" w:hAnsi="Times New Roman"/>
          <w:i/>
          <w:iCs/>
        </w:rPr>
        <w:br w:type="page"/>
      </w:r>
    </w:p>
    <w:p w14:paraId="1AB57BC2" w14:textId="77324D8F" w:rsidR="00CD1EB5" w:rsidRPr="00260790" w:rsidRDefault="00CD1EB5" w:rsidP="00E20250">
      <w:pPr>
        <w:spacing w:line="240" w:lineRule="auto"/>
        <w:rPr>
          <w:rFonts w:ascii="Times New Roman" w:hAnsi="Times New Roman"/>
          <w:i/>
          <w:iCs/>
        </w:rPr>
      </w:pPr>
      <w:bookmarkStart w:id="371" w:name="_Toc207781853"/>
      <w:r w:rsidRPr="00260790">
        <w:rPr>
          <w:rFonts w:ascii="Times New Roman" w:hAnsi="Times New Roman"/>
          <w:i/>
          <w:iCs/>
        </w:rPr>
        <w:lastRenderedPageBreak/>
        <w:t xml:space="preserve">Tableau </w:t>
      </w:r>
      <w:r w:rsidRPr="00260790">
        <w:rPr>
          <w:rFonts w:ascii="Times New Roman" w:hAnsi="Times New Roman"/>
          <w:i/>
          <w:iCs/>
        </w:rPr>
        <w:fldChar w:fldCharType="begin"/>
      </w:r>
      <w:r w:rsidRPr="00260790">
        <w:rPr>
          <w:rFonts w:ascii="Times New Roman" w:hAnsi="Times New Roman"/>
          <w:i/>
          <w:iCs/>
        </w:rPr>
        <w:instrText xml:space="preserve"> SEQ Tableau \* ARABIC </w:instrText>
      </w:r>
      <w:r w:rsidRPr="00260790">
        <w:rPr>
          <w:rFonts w:ascii="Times New Roman" w:hAnsi="Times New Roman"/>
          <w:i/>
          <w:iCs/>
        </w:rPr>
        <w:fldChar w:fldCharType="separate"/>
      </w:r>
      <w:r w:rsidR="003C783E">
        <w:rPr>
          <w:rFonts w:ascii="Times New Roman" w:hAnsi="Times New Roman"/>
          <w:i/>
          <w:iCs/>
          <w:noProof/>
        </w:rPr>
        <w:t>12</w:t>
      </w:r>
      <w:r w:rsidRPr="00260790">
        <w:rPr>
          <w:rFonts w:ascii="Times New Roman" w:hAnsi="Times New Roman"/>
          <w:i/>
          <w:iCs/>
          <w:noProof/>
        </w:rPr>
        <w:fldChar w:fldCharType="end"/>
      </w:r>
      <w:r w:rsidRPr="00260790">
        <w:rPr>
          <w:rFonts w:ascii="Times New Roman" w:hAnsi="Times New Roman"/>
          <w:i/>
          <w:iCs/>
        </w:rPr>
        <w:t> : Caractérisation des emprises des tracés des collecteurs</w:t>
      </w:r>
      <w:bookmarkEnd w:id="371"/>
    </w:p>
    <w:tbl>
      <w:tblPr>
        <w:tblStyle w:val="TableGridCEPA1"/>
        <w:tblW w:w="5165" w:type="pct"/>
        <w:tblLayout w:type="fixed"/>
        <w:tblLook w:val="04A0" w:firstRow="1" w:lastRow="0" w:firstColumn="1" w:lastColumn="0" w:noHBand="0" w:noVBand="1"/>
      </w:tblPr>
      <w:tblGrid>
        <w:gridCol w:w="2119"/>
        <w:gridCol w:w="4410"/>
        <w:gridCol w:w="4151"/>
        <w:gridCol w:w="3752"/>
      </w:tblGrid>
      <w:tr w:rsidR="00CD1EB5" w:rsidRPr="00260790" w14:paraId="4A46BBAE" w14:textId="77777777" w:rsidTr="003A0E4A">
        <w:trPr>
          <w:cantSplit/>
          <w:tblHeader/>
        </w:trPr>
        <w:tc>
          <w:tcPr>
            <w:tcW w:w="734" w:type="pct"/>
            <w:shd w:val="clear" w:color="auto" w:fill="BDD6EE" w:themeFill="accent1" w:themeFillTint="66"/>
            <w:vAlign w:val="center"/>
          </w:tcPr>
          <w:p w14:paraId="165FF082" w14:textId="77777777" w:rsidR="00CD1EB5" w:rsidRPr="00260790" w:rsidRDefault="00CD1EB5" w:rsidP="003A0E4A">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Tracé des collecteurs</w:t>
            </w:r>
          </w:p>
        </w:tc>
        <w:tc>
          <w:tcPr>
            <w:tcW w:w="1528" w:type="pct"/>
            <w:shd w:val="clear" w:color="auto" w:fill="BDD6EE" w:themeFill="accent1" w:themeFillTint="66"/>
            <w:vAlign w:val="center"/>
          </w:tcPr>
          <w:p w14:paraId="799A78C6" w14:textId="77777777" w:rsidR="00CD1EB5" w:rsidRPr="00260790" w:rsidRDefault="00CD1EB5" w:rsidP="003A0E4A">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Descriptions</w:t>
            </w:r>
          </w:p>
        </w:tc>
        <w:tc>
          <w:tcPr>
            <w:tcW w:w="1438" w:type="pct"/>
            <w:shd w:val="clear" w:color="auto" w:fill="BDD6EE" w:themeFill="accent1" w:themeFillTint="66"/>
            <w:vAlign w:val="center"/>
          </w:tcPr>
          <w:p w14:paraId="3618440F" w14:textId="77777777" w:rsidR="00CD1EB5" w:rsidRPr="00E41690" w:rsidRDefault="00CD1EB5" w:rsidP="003A0E4A">
            <w:pPr>
              <w:spacing w:line="240" w:lineRule="auto"/>
              <w:jc w:val="center"/>
              <w:rPr>
                <w:rFonts w:ascii="Times New Roman" w:hAnsi="Times New Roman"/>
                <w:b/>
                <w:color w:val="000000" w:themeColor="text1"/>
                <w:sz w:val="22"/>
                <w:szCs w:val="22"/>
                <w:lang w:val="fr-FR"/>
              </w:rPr>
            </w:pPr>
            <w:r w:rsidRPr="00E41690">
              <w:rPr>
                <w:rFonts w:ascii="Times New Roman" w:hAnsi="Times New Roman"/>
                <w:b/>
                <w:color w:val="000000" w:themeColor="text1"/>
                <w:sz w:val="22"/>
                <w:szCs w:val="22"/>
                <w:lang w:val="fr-FR"/>
              </w:rPr>
              <w:t>Illustrations (source :ADM, mission janvier 2025)</w:t>
            </w:r>
          </w:p>
        </w:tc>
        <w:tc>
          <w:tcPr>
            <w:tcW w:w="1300" w:type="pct"/>
            <w:shd w:val="clear" w:color="auto" w:fill="BDD6EE" w:themeFill="accent1" w:themeFillTint="66"/>
            <w:vAlign w:val="center"/>
          </w:tcPr>
          <w:p w14:paraId="5BF7BE27" w14:textId="77777777" w:rsidR="00CD1EB5" w:rsidRPr="00260790" w:rsidRDefault="00CD1EB5" w:rsidP="003A0E4A">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Enjeux</w:t>
            </w:r>
          </w:p>
        </w:tc>
      </w:tr>
      <w:tr w:rsidR="00CD1EB5" w:rsidRPr="00260790" w14:paraId="38FFF578" w14:textId="77777777" w:rsidTr="003A0E4A">
        <w:trPr>
          <w:trHeight w:val="2268"/>
        </w:trPr>
        <w:tc>
          <w:tcPr>
            <w:tcW w:w="734" w:type="pct"/>
            <w:vAlign w:val="center"/>
          </w:tcPr>
          <w:p w14:paraId="169AD010" w14:textId="77777777" w:rsidR="00CD1EB5" w:rsidRPr="00260790" w:rsidRDefault="00CD1EB5" w:rsidP="003A0E4A">
            <w:pPr>
              <w:spacing w:line="240" w:lineRule="auto"/>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Collecteur BR_NC 10 vers BR_NC 09a</w:t>
            </w:r>
          </w:p>
        </w:tc>
        <w:tc>
          <w:tcPr>
            <w:tcW w:w="1528" w:type="pct"/>
          </w:tcPr>
          <w:p w14:paraId="4C2CC516" w14:textId="6D1648E5"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Ce collecteur est long de 127,29 m. Il relie le bassin BR_NC 10 du quartier Baye Niass au bassin BR_NC 09a situé dans le quartier </w:t>
            </w:r>
            <w:proofErr w:type="spellStart"/>
            <w:r w:rsidRPr="00260790">
              <w:rPr>
                <w:rFonts w:ascii="Times New Roman" w:hAnsi="Times New Roman"/>
                <w:color w:val="000000" w:themeColor="text1"/>
                <w:sz w:val="22"/>
                <w:szCs w:val="22"/>
                <w:lang w:val="fr-FR"/>
              </w:rPr>
              <w:t>Hamdalla</w:t>
            </w:r>
            <w:r w:rsidR="00073991">
              <w:rPr>
                <w:rFonts w:ascii="Times New Roman" w:hAnsi="Times New Roman"/>
                <w:color w:val="000000" w:themeColor="text1"/>
                <w:sz w:val="22"/>
                <w:szCs w:val="22"/>
                <w:lang w:val="fr-FR"/>
              </w:rPr>
              <w:t>y</w:t>
            </w:r>
            <w:r w:rsidRPr="00260790">
              <w:rPr>
                <w:rFonts w:ascii="Times New Roman" w:hAnsi="Times New Roman"/>
                <w:color w:val="000000" w:themeColor="text1"/>
                <w:sz w:val="22"/>
                <w:szCs w:val="22"/>
                <w:lang w:val="fr-FR"/>
              </w:rPr>
              <w:t>i</w:t>
            </w:r>
            <w:proofErr w:type="spellEnd"/>
            <w:r w:rsidRPr="00260790">
              <w:rPr>
                <w:rFonts w:ascii="Times New Roman" w:hAnsi="Times New Roman"/>
                <w:color w:val="000000" w:themeColor="text1"/>
                <w:sz w:val="22"/>
                <w:szCs w:val="22"/>
                <w:lang w:val="fr-FR"/>
              </w:rPr>
              <w:t xml:space="preserve"> 3 (commune de Keur Massar Sud). Ce réseau traverse une rampe d’une boutique et est longé par une BT. Des tamarix et ricin sont identifiés dans l’emprise du tracé du collecteur. Ce réseau emprunte une rue qui est bordée de part et d’autre par des habitations.</w:t>
            </w:r>
          </w:p>
        </w:tc>
        <w:tc>
          <w:tcPr>
            <w:tcW w:w="1438" w:type="pct"/>
          </w:tcPr>
          <w:p w14:paraId="6C91BD93" w14:textId="77777777" w:rsidR="00CD1EB5" w:rsidRPr="00E41690" w:rsidRDefault="00CD1EB5" w:rsidP="003A0E4A">
            <w:pPr>
              <w:keepNext/>
              <w:spacing w:line="240" w:lineRule="auto"/>
              <w:rPr>
                <w:rFonts w:ascii="Times New Roman" w:hAnsi="Times New Roman"/>
                <w:sz w:val="22"/>
                <w:szCs w:val="22"/>
              </w:rPr>
            </w:pPr>
            <w:r w:rsidRPr="00E41690">
              <w:rPr>
                <w:rFonts w:ascii="Times New Roman" w:hAnsi="Times New Roman"/>
                <w:noProof/>
                <w:color w:val="000000" w:themeColor="text1"/>
              </w:rPr>
              <w:drawing>
                <wp:inline distT="0" distB="0" distL="0" distR="0" wp14:anchorId="54BC948E" wp14:editId="4A43A188">
                  <wp:extent cx="2503170" cy="1499017"/>
                  <wp:effectExtent l="0" t="0" r="0" b="0"/>
                  <wp:docPr id="5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766966" name="Image 1481766966"/>
                          <pic:cNvPicPr/>
                        </pic:nvPicPr>
                        <pic:blipFill>
                          <a:blip r:embed="rId54" cstate="email">
                            <a:extLst>
                              <a:ext uri="{28A0092B-C50C-407E-A947-70E740481C1C}">
                                <a14:useLocalDpi xmlns:a14="http://schemas.microsoft.com/office/drawing/2010/main"/>
                              </a:ext>
                            </a:extLst>
                          </a:blip>
                          <a:stretch>
                            <a:fillRect/>
                          </a:stretch>
                        </pic:blipFill>
                        <pic:spPr>
                          <a:xfrm>
                            <a:off x="0" y="0"/>
                            <a:ext cx="2508133" cy="1501989"/>
                          </a:xfrm>
                          <a:prstGeom prst="rect">
                            <a:avLst/>
                          </a:prstGeom>
                        </pic:spPr>
                      </pic:pic>
                    </a:graphicData>
                  </a:graphic>
                </wp:inline>
              </w:drawing>
            </w:r>
          </w:p>
          <w:p w14:paraId="2E228F6A" w14:textId="77777777" w:rsidR="00CD1EB5" w:rsidRPr="00E41690" w:rsidRDefault="00CD1EB5" w:rsidP="003A0E4A">
            <w:pPr>
              <w:pStyle w:val="Lgende"/>
              <w:spacing w:line="240" w:lineRule="auto"/>
              <w:jc w:val="both"/>
              <w:rPr>
                <w:i w:val="0"/>
                <w:color w:val="auto"/>
                <w:sz w:val="22"/>
                <w:szCs w:val="22"/>
                <w:lang w:val="fr-FR"/>
              </w:rPr>
            </w:pPr>
            <w:bookmarkStart w:id="372" w:name="_Toc212725232"/>
            <w:r w:rsidRPr="00E41690">
              <w:rPr>
                <w:i w:val="0"/>
                <w:color w:val="auto"/>
                <w:sz w:val="22"/>
                <w:szCs w:val="22"/>
                <w:lang w:val="fr-FR"/>
              </w:rPr>
              <w:t xml:space="preserve">Photo </w:t>
            </w:r>
            <w:r w:rsidRPr="00E41690">
              <w:rPr>
                <w:i w:val="0"/>
                <w:color w:val="auto"/>
                <w:sz w:val="22"/>
                <w:szCs w:val="22"/>
              </w:rPr>
              <w:fldChar w:fldCharType="begin"/>
            </w:r>
            <w:r w:rsidRPr="00E41690">
              <w:rPr>
                <w:i w:val="0"/>
                <w:color w:val="auto"/>
                <w:sz w:val="22"/>
                <w:szCs w:val="22"/>
                <w:lang w:val="fr-FR"/>
              </w:rPr>
              <w:instrText xml:space="preserve"> SEQ Photo \* ARABIC </w:instrText>
            </w:r>
            <w:r w:rsidRPr="00E41690">
              <w:rPr>
                <w:i w:val="0"/>
                <w:color w:val="auto"/>
                <w:sz w:val="22"/>
                <w:szCs w:val="22"/>
              </w:rPr>
              <w:fldChar w:fldCharType="separate"/>
            </w:r>
            <w:r w:rsidRPr="00E41690">
              <w:rPr>
                <w:i w:val="0"/>
                <w:color w:val="auto"/>
                <w:sz w:val="22"/>
                <w:szCs w:val="22"/>
                <w:lang w:val="fr-FR"/>
              </w:rPr>
              <w:t>33</w:t>
            </w:r>
            <w:r w:rsidRPr="00E41690">
              <w:rPr>
                <w:i w:val="0"/>
                <w:color w:val="auto"/>
                <w:sz w:val="22"/>
                <w:szCs w:val="22"/>
              </w:rPr>
              <w:fldChar w:fldCharType="end"/>
            </w:r>
            <w:r w:rsidRPr="00E41690">
              <w:rPr>
                <w:i w:val="0"/>
                <w:color w:val="auto"/>
                <w:sz w:val="22"/>
                <w:szCs w:val="22"/>
                <w:lang w:val="fr-FR"/>
              </w:rPr>
              <w:t>: Vue du tracé du collecteur</w:t>
            </w:r>
            <w:bookmarkEnd w:id="372"/>
          </w:p>
          <w:p w14:paraId="7EE49545" w14:textId="77777777" w:rsidR="00CD1EB5" w:rsidRPr="00E41690" w:rsidRDefault="00CD1EB5" w:rsidP="003A0E4A">
            <w:pPr>
              <w:keepNext/>
              <w:spacing w:line="240" w:lineRule="auto"/>
              <w:rPr>
                <w:rFonts w:ascii="Times New Roman" w:hAnsi="Times New Roman"/>
                <w:sz w:val="22"/>
                <w:szCs w:val="22"/>
              </w:rPr>
            </w:pPr>
            <w:r w:rsidRPr="00E41690">
              <w:rPr>
                <w:rFonts w:ascii="Times New Roman" w:hAnsi="Times New Roman"/>
                <w:noProof/>
                <w:color w:val="000000" w:themeColor="text1"/>
              </w:rPr>
              <w:drawing>
                <wp:inline distT="0" distB="0" distL="0" distR="0" wp14:anchorId="34E2B697" wp14:editId="1FBDAA86">
                  <wp:extent cx="2503170" cy="1521501"/>
                  <wp:effectExtent l="0" t="0" r="0" b="2540"/>
                  <wp:docPr id="5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980096" name="Image 1102980096"/>
                          <pic:cNvPicPr/>
                        </pic:nvPicPr>
                        <pic:blipFill>
                          <a:blip r:embed="rId55" cstate="email">
                            <a:extLst>
                              <a:ext uri="{28A0092B-C50C-407E-A947-70E740481C1C}">
                                <a14:useLocalDpi xmlns:a14="http://schemas.microsoft.com/office/drawing/2010/main"/>
                              </a:ext>
                            </a:extLst>
                          </a:blip>
                          <a:stretch>
                            <a:fillRect/>
                          </a:stretch>
                        </pic:blipFill>
                        <pic:spPr>
                          <a:xfrm>
                            <a:off x="0" y="0"/>
                            <a:ext cx="2510424" cy="1525910"/>
                          </a:xfrm>
                          <a:prstGeom prst="rect">
                            <a:avLst/>
                          </a:prstGeom>
                        </pic:spPr>
                      </pic:pic>
                    </a:graphicData>
                  </a:graphic>
                </wp:inline>
              </w:drawing>
            </w:r>
          </w:p>
          <w:p w14:paraId="223F6803" w14:textId="77777777" w:rsidR="00CD1EB5" w:rsidRPr="00E41690" w:rsidRDefault="00CD1EB5" w:rsidP="003A0E4A">
            <w:pPr>
              <w:spacing w:line="240" w:lineRule="auto"/>
              <w:rPr>
                <w:rFonts w:ascii="Times New Roman" w:hAnsi="Times New Roman"/>
                <w:iCs/>
                <w:noProof/>
                <w:color w:val="000000" w:themeColor="text1"/>
                <w:sz w:val="22"/>
                <w:szCs w:val="22"/>
                <w:lang w:val="fr-FR" w:eastAsia="fr-FR"/>
              </w:rPr>
            </w:pPr>
            <w:bookmarkStart w:id="373" w:name="_Toc212725233"/>
            <w:r w:rsidRPr="00E41690">
              <w:rPr>
                <w:rFonts w:ascii="Times New Roman" w:hAnsi="Times New Roman"/>
                <w:iCs/>
                <w:sz w:val="22"/>
                <w:szCs w:val="22"/>
                <w:lang w:val="fr-FR"/>
              </w:rPr>
              <w:t xml:space="preserve">Photo </w:t>
            </w:r>
            <w:r w:rsidRPr="00E41690">
              <w:rPr>
                <w:rFonts w:ascii="Times New Roman" w:eastAsia="Times New Roman" w:hAnsi="Times New Roman"/>
                <w:iCs/>
                <w:color w:val="44546A"/>
                <w:lang w:eastAsia="fr-FR"/>
              </w:rPr>
              <w:fldChar w:fldCharType="begin"/>
            </w:r>
            <w:r w:rsidRPr="00E41690">
              <w:rPr>
                <w:rFonts w:ascii="Times New Roman" w:hAnsi="Times New Roman"/>
                <w:iCs/>
                <w:sz w:val="22"/>
                <w:szCs w:val="22"/>
                <w:lang w:val="fr-FR"/>
              </w:rPr>
              <w:instrText xml:space="preserve"> SEQ Photo \* ARABIC </w:instrText>
            </w:r>
            <w:r w:rsidRPr="00E41690">
              <w:rPr>
                <w:rFonts w:ascii="Times New Roman" w:eastAsia="Times New Roman" w:hAnsi="Times New Roman"/>
                <w:iCs/>
                <w:color w:val="44546A"/>
                <w:lang w:eastAsia="fr-FR"/>
              </w:rPr>
              <w:fldChar w:fldCharType="separate"/>
            </w:r>
            <w:r w:rsidRPr="00E41690">
              <w:rPr>
                <w:rFonts w:ascii="Times New Roman" w:hAnsi="Times New Roman"/>
                <w:iCs/>
                <w:noProof/>
                <w:sz w:val="22"/>
                <w:szCs w:val="22"/>
                <w:lang w:val="fr-FR"/>
              </w:rPr>
              <w:t>34</w:t>
            </w:r>
            <w:r w:rsidRPr="00E41690">
              <w:rPr>
                <w:rFonts w:ascii="Times New Roman" w:eastAsia="Times New Roman" w:hAnsi="Times New Roman"/>
                <w:iCs/>
                <w:color w:val="44546A"/>
                <w:lang w:eastAsia="fr-FR"/>
              </w:rPr>
              <w:fldChar w:fldCharType="end"/>
            </w:r>
            <w:r w:rsidRPr="00E41690">
              <w:rPr>
                <w:rFonts w:ascii="Times New Roman" w:eastAsia="Times New Roman" w:hAnsi="Times New Roman"/>
                <w:iCs/>
                <w:color w:val="44546A"/>
                <w:sz w:val="22"/>
                <w:szCs w:val="22"/>
                <w:lang w:val="fr-FR" w:eastAsia="fr-FR"/>
              </w:rPr>
              <w:t xml:space="preserve"> </w:t>
            </w:r>
            <w:r w:rsidRPr="00E41690">
              <w:rPr>
                <w:rFonts w:ascii="Times New Roman" w:hAnsi="Times New Roman"/>
                <w:iCs/>
                <w:sz w:val="22"/>
                <w:szCs w:val="22"/>
                <w:lang w:val="fr-FR"/>
              </w:rPr>
              <w:t xml:space="preserve">: </w:t>
            </w:r>
            <w:r w:rsidRPr="00E41690">
              <w:rPr>
                <w:rFonts w:ascii="Times New Roman" w:hAnsi="Times New Roman"/>
                <w:iCs/>
                <w:noProof/>
                <w:color w:val="000000" w:themeColor="text1"/>
                <w:sz w:val="22"/>
                <w:szCs w:val="22"/>
                <w:lang w:val="fr-FR" w:eastAsia="fr-FR"/>
              </w:rPr>
              <w:t>Rampe d’accès de boutique dans l’emprise</w:t>
            </w:r>
            <w:bookmarkEnd w:id="373"/>
          </w:p>
        </w:tc>
        <w:tc>
          <w:tcPr>
            <w:tcW w:w="1300" w:type="pct"/>
          </w:tcPr>
          <w:p w14:paraId="7585FCCD"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 la mobilité des personnes et des biens ;</w:t>
            </w:r>
          </w:p>
          <w:p w14:paraId="304029C7"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Maintien de l’accès aux habitations ;</w:t>
            </w:r>
          </w:p>
          <w:p w14:paraId="288F80F3"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eaux pluviales ;</w:t>
            </w:r>
          </w:p>
          <w:p w14:paraId="2452B2F6" w14:textId="77777777" w:rsidR="00CD1EB5" w:rsidRPr="00260790" w:rsidRDefault="00CD1EB5" w:rsidP="001748C6">
            <w:pPr>
              <w:keepNext/>
              <w:numPr>
                <w:ilvl w:val="0"/>
                <w:numId w:val="120"/>
              </w:numPr>
              <w:spacing w:line="240" w:lineRule="auto"/>
              <w:contextualSpacing/>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 la tranquillité des riverains ;</w:t>
            </w:r>
          </w:p>
          <w:p w14:paraId="13A84230"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biens et des activités socio-économiques ;</w:t>
            </w:r>
          </w:p>
        </w:tc>
      </w:tr>
      <w:tr w:rsidR="00CD1EB5" w:rsidRPr="00260790" w14:paraId="07576421" w14:textId="77777777" w:rsidTr="003A0E4A">
        <w:trPr>
          <w:trHeight w:val="2268"/>
        </w:trPr>
        <w:tc>
          <w:tcPr>
            <w:tcW w:w="734" w:type="pct"/>
            <w:vAlign w:val="center"/>
          </w:tcPr>
          <w:p w14:paraId="4E78C1C1" w14:textId="77777777" w:rsidR="00CD1EB5" w:rsidRPr="00260790" w:rsidRDefault="00CD1EB5" w:rsidP="003A0E4A">
            <w:pPr>
              <w:spacing w:line="240" w:lineRule="auto"/>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Collecteur BR_NC 09a vers BR_NC 03d</w:t>
            </w:r>
          </w:p>
        </w:tc>
        <w:tc>
          <w:tcPr>
            <w:tcW w:w="1528" w:type="pct"/>
          </w:tcPr>
          <w:p w14:paraId="09ADD5B2"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Ce collecteur traverse les quartiers des Parcelles Assainies U 24, 25, 26 et 27. Il relie les bassins BR_NC 09a et BR_NC 03d. Il est long de 621,98 m et les ¾ de son tracé sont localisés dans la commune de </w:t>
            </w:r>
            <w:proofErr w:type="spellStart"/>
            <w:r w:rsidRPr="00260790">
              <w:rPr>
                <w:rFonts w:ascii="Times New Roman" w:hAnsi="Times New Roman"/>
                <w:color w:val="000000" w:themeColor="text1"/>
                <w:sz w:val="22"/>
                <w:szCs w:val="22"/>
                <w:lang w:val="fr-FR"/>
              </w:rPr>
              <w:t>Jaxaay</w:t>
            </w:r>
            <w:proofErr w:type="spellEnd"/>
            <w:r w:rsidRPr="00260790">
              <w:rPr>
                <w:rFonts w:ascii="Times New Roman" w:hAnsi="Times New Roman"/>
                <w:color w:val="000000" w:themeColor="text1"/>
                <w:sz w:val="22"/>
                <w:szCs w:val="22"/>
                <w:lang w:val="fr-FR"/>
              </w:rPr>
              <w:t xml:space="preserve"> parcelle </w:t>
            </w:r>
            <w:proofErr w:type="spellStart"/>
            <w:r w:rsidRPr="00260790">
              <w:rPr>
                <w:rFonts w:ascii="Times New Roman" w:hAnsi="Times New Roman"/>
                <w:color w:val="000000" w:themeColor="text1"/>
                <w:sz w:val="22"/>
                <w:szCs w:val="22"/>
                <w:lang w:val="fr-FR"/>
              </w:rPr>
              <w:t>Niakoul</w:t>
            </w:r>
            <w:proofErr w:type="spellEnd"/>
            <w:r w:rsidRPr="00260790">
              <w:rPr>
                <w:rFonts w:ascii="Times New Roman" w:hAnsi="Times New Roman"/>
                <w:color w:val="000000" w:themeColor="text1"/>
                <w:sz w:val="22"/>
                <w:szCs w:val="22"/>
                <w:lang w:val="fr-FR"/>
              </w:rPr>
              <w:t xml:space="preserve"> Rap. Les occupations identifiées le long de ce collecteur sont une BT, une fosse septique, rampe d’accès d’une maison, un terrain clôturé et un étal de légumes. Ce réseau est également bordé de part et d’autre par des habitations et </w:t>
            </w:r>
            <w:r w:rsidRPr="00260790">
              <w:rPr>
                <w:rFonts w:ascii="Times New Roman" w:hAnsi="Times New Roman"/>
                <w:color w:val="000000" w:themeColor="text1"/>
                <w:sz w:val="22"/>
                <w:szCs w:val="22"/>
                <w:lang w:val="fr-FR"/>
              </w:rPr>
              <w:lastRenderedPageBreak/>
              <w:t>deux écoles, dont l’école franco-arabe Darou Tafsir et l’école Madiba.</w:t>
            </w:r>
          </w:p>
        </w:tc>
        <w:tc>
          <w:tcPr>
            <w:tcW w:w="1438" w:type="pct"/>
          </w:tcPr>
          <w:p w14:paraId="6CEBB333" w14:textId="77777777" w:rsidR="00CD1EB5" w:rsidRPr="00E41690" w:rsidRDefault="00CD1EB5" w:rsidP="003A0E4A">
            <w:pPr>
              <w:keepNext/>
              <w:spacing w:line="240" w:lineRule="auto"/>
              <w:rPr>
                <w:rFonts w:ascii="Times New Roman" w:hAnsi="Times New Roman"/>
                <w:sz w:val="22"/>
                <w:szCs w:val="22"/>
              </w:rPr>
            </w:pPr>
            <w:r w:rsidRPr="00E41690">
              <w:rPr>
                <w:rFonts w:ascii="Times New Roman" w:hAnsi="Times New Roman"/>
                <w:noProof/>
                <w:color w:val="000000" w:themeColor="text1"/>
              </w:rPr>
              <w:lastRenderedPageBreak/>
              <w:drawing>
                <wp:inline distT="0" distB="0" distL="0" distR="0" wp14:anchorId="692CF15D" wp14:editId="48452588">
                  <wp:extent cx="2502297" cy="1349114"/>
                  <wp:effectExtent l="0" t="0" r="0" b="0"/>
                  <wp:docPr id="5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69669" name="Image 53369669"/>
                          <pic:cNvPicPr/>
                        </pic:nvPicPr>
                        <pic:blipFill>
                          <a:blip r:embed="rId56" cstate="email">
                            <a:extLst>
                              <a:ext uri="{28A0092B-C50C-407E-A947-70E740481C1C}">
                                <a14:useLocalDpi xmlns:a14="http://schemas.microsoft.com/office/drawing/2010/main"/>
                              </a:ext>
                            </a:extLst>
                          </a:blip>
                          <a:stretch>
                            <a:fillRect/>
                          </a:stretch>
                        </pic:blipFill>
                        <pic:spPr>
                          <a:xfrm>
                            <a:off x="0" y="0"/>
                            <a:ext cx="2614961" cy="1409857"/>
                          </a:xfrm>
                          <a:prstGeom prst="rect">
                            <a:avLst/>
                          </a:prstGeom>
                        </pic:spPr>
                      </pic:pic>
                    </a:graphicData>
                  </a:graphic>
                </wp:inline>
              </w:drawing>
            </w:r>
          </w:p>
          <w:p w14:paraId="2946ABCE" w14:textId="77777777" w:rsidR="00CD1EB5" w:rsidRPr="00E41690" w:rsidRDefault="00CD1EB5" w:rsidP="003A0E4A">
            <w:pPr>
              <w:pStyle w:val="Lgende"/>
              <w:spacing w:line="240" w:lineRule="auto"/>
              <w:rPr>
                <w:rFonts w:eastAsia="Calibri"/>
                <w:i w:val="0"/>
                <w:color w:val="auto"/>
                <w:sz w:val="22"/>
                <w:szCs w:val="22"/>
                <w:lang w:val="fr-FR" w:eastAsia="en-US"/>
              </w:rPr>
            </w:pPr>
            <w:bookmarkStart w:id="374" w:name="_Toc212725234"/>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35</w:t>
            </w:r>
            <w:r w:rsidRPr="00E41690">
              <w:rPr>
                <w:rFonts w:eastAsia="Calibri"/>
                <w:i w:val="0"/>
                <w:color w:val="auto"/>
                <w:sz w:val="22"/>
                <w:szCs w:val="22"/>
                <w:lang w:eastAsia="en-US"/>
              </w:rPr>
              <w:fldChar w:fldCharType="end"/>
            </w:r>
            <w:r w:rsidRPr="00E41690">
              <w:rPr>
                <w:rFonts w:eastAsia="Calibri"/>
                <w:i w:val="0"/>
                <w:color w:val="auto"/>
                <w:sz w:val="22"/>
                <w:szCs w:val="22"/>
                <w:lang w:val="fr-FR" w:eastAsia="en-US"/>
              </w:rPr>
              <w:t>:Vue de l’emprise du collecteur</w:t>
            </w:r>
            <w:bookmarkEnd w:id="374"/>
          </w:p>
          <w:p w14:paraId="1739D67B" w14:textId="77777777" w:rsidR="00CD1EB5" w:rsidRPr="00E41690" w:rsidRDefault="00CD1EB5" w:rsidP="003A0E4A">
            <w:pPr>
              <w:keepNext/>
              <w:spacing w:line="240" w:lineRule="auto"/>
              <w:rPr>
                <w:rFonts w:ascii="Times New Roman" w:hAnsi="Times New Roman"/>
                <w:sz w:val="22"/>
                <w:szCs w:val="22"/>
              </w:rPr>
            </w:pPr>
            <w:r w:rsidRPr="00E41690">
              <w:rPr>
                <w:rFonts w:ascii="Times New Roman" w:hAnsi="Times New Roman"/>
                <w:noProof/>
                <w:color w:val="000000" w:themeColor="text1"/>
              </w:rPr>
              <w:lastRenderedPageBreak/>
              <w:drawing>
                <wp:inline distT="0" distB="0" distL="0" distR="0" wp14:anchorId="0175AC93" wp14:editId="19E02DAE">
                  <wp:extent cx="2503103" cy="1386590"/>
                  <wp:effectExtent l="0" t="0" r="0" b="0"/>
                  <wp:docPr id="53" name="Image 6" descr="Une image contenant plein air, ciel, herbe, plan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6" descr="Une image contenant plein air, ciel, herbe, plante&#10;&#10;Le contenu généré par l’IA peut être incorrect."/>
                          <pic:cNvPicPr/>
                        </pic:nvPicPr>
                        <pic:blipFill>
                          <a:blip r:embed="rId57" cstate="email">
                            <a:extLst>
                              <a:ext uri="{28A0092B-C50C-407E-A947-70E740481C1C}">
                                <a14:useLocalDpi xmlns:a14="http://schemas.microsoft.com/office/drawing/2010/main"/>
                              </a:ext>
                            </a:extLst>
                          </a:blip>
                          <a:stretch>
                            <a:fillRect/>
                          </a:stretch>
                        </pic:blipFill>
                        <pic:spPr>
                          <a:xfrm>
                            <a:off x="0" y="0"/>
                            <a:ext cx="2520151" cy="1396034"/>
                          </a:xfrm>
                          <a:prstGeom prst="rect">
                            <a:avLst/>
                          </a:prstGeom>
                        </pic:spPr>
                      </pic:pic>
                    </a:graphicData>
                  </a:graphic>
                </wp:inline>
              </w:drawing>
            </w:r>
          </w:p>
          <w:p w14:paraId="20E5DB97" w14:textId="77777777" w:rsidR="00CD1EB5" w:rsidRPr="0095190F" w:rsidRDefault="00CD1EB5" w:rsidP="003A0E4A">
            <w:pPr>
              <w:pStyle w:val="Lgende"/>
              <w:spacing w:line="240" w:lineRule="auto"/>
              <w:rPr>
                <w:rFonts w:eastAsia="Calibri"/>
                <w:i w:val="0"/>
                <w:color w:val="auto"/>
                <w:sz w:val="22"/>
                <w:szCs w:val="22"/>
                <w:lang w:val="fr-SN" w:eastAsia="en-US"/>
              </w:rPr>
            </w:pPr>
            <w:bookmarkStart w:id="375" w:name="_Toc212725235"/>
            <w:r w:rsidRPr="0095190F">
              <w:rPr>
                <w:rFonts w:eastAsia="Calibri"/>
                <w:i w:val="0"/>
                <w:color w:val="auto"/>
                <w:sz w:val="22"/>
                <w:szCs w:val="22"/>
                <w:lang w:val="fr-SN" w:eastAsia="en-US"/>
              </w:rPr>
              <w:t xml:space="preserve">Photo </w:t>
            </w:r>
            <w:r w:rsidRPr="00E41690">
              <w:rPr>
                <w:rFonts w:eastAsia="Calibri"/>
                <w:i w:val="0"/>
                <w:color w:val="auto"/>
                <w:sz w:val="22"/>
                <w:szCs w:val="22"/>
                <w:lang w:eastAsia="en-US"/>
              </w:rPr>
              <w:fldChar w:fldCharType="begin"/>
            </w:r>
            <w:r w:rsidRPr="0095190F">
              <w:rPr>
                <w:rFonts w:eastAsia="Calibri"/>
                <w:i w:val="0"/>
                <w:color w:val="auto"/>
                <w:sz w:val="22"/>
                <w:szCs w:val="22"/>
                <w:lang w:val="fr-SN" w:eastAsia="en-US"/>
              </w:rPr>
              <w:instrText xml:space="preserve"> SEQ Photo \* ARABIC </w:instrText>
            </w:r>
            <w:r w:rsidRPr="00E41690">
              <w:rPr>
                <w:rFonts w:eastAsia="Calibri"/>
                <w:i w:val="0"/>
                <w:color w:val="auto"/>
                <w:sz w:val="22"/>
                <w:szCs w:val="22"/>
                <w:lang w:eastAsia="en-US"/>
              </w:rPr>
              <w:fldChar w:fldCharType="separate"/>
            </w:r>
            <w:r w:rsidRPr="0095190F">
              <w:rPr>
                <w:rFonts w:eastAsia="Calibri"/>
                <w:i w:val="0"/>
                <w:color w:val="auto"/>
                <w:sz w:val="22"/>
                <w:szCs w:val="22"/>
                <w:lang w:val="fr-SN" w:eastAsia="en-US"/>
              </w:rPr>
              <w:t>36</w:t>
            </w:r>
            <w:r w:rsidRPr="00E41690">
              <w:rPr>
                <w:rFonts w:eastAsia="Calibri"/>
                <w:i w:val="0"/>
                <w:color w:val="auto"/>
                <w:sz w:val="22"/>
                <w:szCs w:val="22"/>
                <w:lang w:eastAsia="en-US"/>
              </w:rPr>
              <w:fldChar w:fldCharType="end"/>
            </w:r>
            <w:r w:rsidRPr="0095190F">
              <w:rPr>
                <w:rFonts w:eastAsia="Calibri"/>
                <w:i w:val="0"/>
                <w:color w:val="auto"/>
                <w:sz w:val="22"/>
                <w:szCs w:val="22"/>
                <w:lang w:val="fr-SN" w:eastAsia="en-US"/>
              </w:rPr>
              <w:t>:Traversée d’un terrain clôturé</w:t>
            </w:r>
            <w:bookmarkEnd w:id="375"/>
          </w:p>
          <w:p w14:paraId="2D25FE75" w14:textId="77777777" w:rsidR="00CD1EB5" w:rsidRPr="00E41690" w:rsidRDefault="00CD1EB5" w:rsidP="003A0E4A">
            <w:pPr>
              <w:keepNext/>
              <w:spacing w:line="240" w:lineRule="auto"/>
              <w:rPr>
                <w:rFonts w:ascii="Times New Roman" w:hAnsi="Times New Roman"/>
                <w:sz w:val="22"/>
                <w:szCs w:val="22"/>
              </w:rPr>
            </w:pPr>
            <w:r w:rsidRPr="00E41690">
              <w:rPr>
                <w:rFonts w:ascii="Times New Roman" w:hAnsi="Times New Roman"/>
                <w:noProof/>
                <w:color w:val="000000" w:themeColor="text1"/>
              </w:rPr>
              <w:drawing>
                <wp:inline distT="0" distB="0" distL="0" distR="0" wp14:anchorId="761EBA8C" wp14:editId="1057F860">
                  <wp:extent cx="2502240" cy="1229194"/>
                  <wp:effectExtent l="0" t="0" r="0" b="3175"/>
                  <wp:docPr id="5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214930" name="Image 1672214930"/>
                          <pic:cNvPicPr/>
                        </pic:nvPicPr>
                        <pic:blipFill>
                          <a:blip r:embed="rId58" cstate="email">
                            <a:extLst>
                              <a:ext uri="{28A0092B-C50C-407E-A947-70E740481C1C}">
                                <a14:useLocalDpi xmlns:a14="http://schemas.microsoft.com/office/drawing/2010/main"/>
                              </a:ext>
                            </a:extLst>
                          </a:blip>
                          <a:stretch>
                            <a:fillRect/>
                          </a:stretch>
                        </pic:blipFill>
                        <pic:spPr>
                          <a:xfrm>
                            <a:off x="0" y="0"/>
                            <a:ext cx="2517090" cy="1236489"/>
                          </a:xfrm>
                          <a:prstGeom prst="rect">
                            <a:avLst/>
                          </a:prstGeom>
                        </pic:spPr>
                      </pic:pic>
                    </a:graphicData>
                  </a:graphic>
                </wp:inline>
              </w:drawing>
            </w:r>
          </w:p>
          <w:p w14:paraId="259F96BD" w14:textId="77777777" w:rsidR="00CD1EB5" w:rsidRPr="00E41690" w:rsidRDefault="00CD1EB5" w:rsidP="003A0E4A">
            <w:pPr>
              <w:pStyle w:val="Lgende"/>
              <w:spacing w:line="240" w:lineRule="auto"/>
              <w:rPr>
                <w:rFonts w:eastAsia="Calibri"/>
                <w:i w:val="0"/>
                <w:color w:val="auto"/>
                <w:sz w:val="22"/>
                <w:szCs w:val="22"/>
                <w:lang w:val="fr-FR" w:eastAsia="en-US"/>
              </w:rPr>
            </w:pPr>
            <w:bookmarkStart w:id="376" w:name="_Toc212725236"/>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37</w:t>
            </w:r>
            <w:r w:rsidRPr="00E41690">
              <w:rPr>
                <w:rFonts w:eastAsia="Calibri"/>
                <w:i w:val="0"/>
                <w:color w:val="auto"/>
                <w:sz w:val="22"/>
                <w:szCs w:val="22"/>
                <w:lang w:eastAsia="en-US"/>
              </w:rPr>
              <w:fldChar w:fldCharType="end"/>
            </w:r>
            <w:r w:rsidRPr="00E41690">
              <w:rPr>
                <w:rFonts w:eastAsia="Calibri"/>
                <w:i w:val="0"/>
                <w:color w:val="auto"/>
                <w:sz w:val="22"/>
                <w:szCs w:val="22"/>
                <w:lang w:val="fr-FR" w:eastAsia="en-US"/>
              </w:rPr>
              <w:t>:Rampe d’accès d’une maison dans l’emprise</w:t>
            </w:r>
            <w:bookmarkEnd w:id="376"/>
          </w:p>
          <w:p w14:paraId="76668807" w14:textId="77777777" w:rsidR="00CD1EB5" w:rsidRPr="00E41690" w:rsidRDefault="00CD1EB5" w:rsidP="003A0E4A">
            <w:pPr>
              <w:keepNext/>
              <w:spacing w:line="240" w:lineRule="auto"/>
              <w:rPr>
                <w:rFonts w:ascii="Times New Roman" w:hAnsi="Times New Roman"/>
                <w:sz w:val="22"/>
                <w:szCs w:val="22"/>
              </w:rPr>
            </w:pPr>
            <w:r w:rsidRPr="00E41690">
              <w:rPr>
                <w:rFonts w:ascii="Times New Roman" w:hAnsi="Times New Roman"/>
                <w:noProof/>
                <w:color w:val="000000" w:themeColor="text1"/>
              </w:rPr>
              <w:drawing>
                <wp:inline distT="0" distB="0" distL="0" distR="0" wp14:anchorId="362DF419" wp14:editId="4429BD82">
                  <wp:extent cx="2502717" cy="1221699"/>
                  <wp:effectExtent l="0" t="0" r="0" b="0"/>
                  <wp:docPr id="5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133249" name="Image 1695133249"/>
                          <pic:cNvPicPr/>
                        </pic:nvPicPr>
                        <pic:blipFill>
                          <a:blip r:embed="rId59" cstate="email">
                            <a:extLst>
                              <a:ext uri="{28A0092B-C50C-407E-A947-70E740481C1C}">
                                <a14:useLocalDpi xmlns:a14="http://schemas.microsoft.com/office/drawing/2010/main"/>
                              </a:ext>
                            </a:extLst>
                          </a:blip>
                          <a:stretch>
                            <a:fillRect/>
                          </a:stretch>
                        </pic:blipFill>
                        <pic:spPr>
                          <a:xfrm>
                            <a:off x="0" y="0"/>
                            <a:ext cx="2518275" cy="1229294"/>
                          </a:xfrm>
                          <a:prstGeom prst="rect">
                            <a:avLst/>
                          </a:prstGeom>
                        </pic:spPr>
                      </pic:pic>
                    </a:graphicData>
                  </a:graphic>
                </wp:inline>
              </w:drawing>
            </w:r>
          </w:p>
          <w:p w14:paraId="567D7DA9" w14:textId="77777777" w:rsidR="00CD1EB5" w:rsidRPr="00E41690" w:rsidRDefault="00CD1EB5" w:rsidP="003A0E4A">
            <w:pPr>
              <w:pStyle w:val="Lgende"/>
              <w:spacing w:line="240" w:lineRule="auto"/>
              <w:rPr>
                <w:i w:val="0"/>
                <w:noProof/>
                <w:color w:val="000000" w:themeColor="text1"/>
                <w:sz w:val="22"/>
                <w:szCs w:val="22"/>
                <w:lang w:val="fr-FR"/>
              </w:rPr>
            </w:pPr>
            <w:bookmarkStart w:id="377" w:name="_Toc212725237"/>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38</w:t>
            </w:r>
            <w:r w:rsidRPr="00E41690">
              <w:rPr>
                <w:rFonts w:eastAsia="Calibri"/>
                <w:i w:val="0"/>
                <w:color w:val="auto"/>
                <w:sz w:val="22"/>
                <w:szCs w:val="22"/>
                <w:lang w:eastAsia="en-US"/>
              </w:rPr>
              <w:fldChar w:fldCharType="end"/>
            </w:r>
            <w:r w:rsidRPr="00E41690">
              <w:rPr>
                <w:rFonts w:eastAsia="Calibri"/>
                <w:i w:val="0"/>
                <w:color w:val="auto"/>
                <w:sz w:val="22"/>
                <w:szCs w:val="22"/>
                <w:lang w:val="fr-FR" w:eastAsia="en-US"/>
              </w:rPr>
              <w:t>:Place d’affaires (étal de légume) dans l’emprise du collecteur</w:t>
            </w:r>
            <w:bookmarkEnd w:id="377"/>
          </w:p>
        </w:tc>
        <w:tc>
          <w:tcPr>
            <w:tcW w:w="1300" w:type="pct"/>
          </w:tcPr>
          <w:p w14:paraId="274AA5AC"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Gestion de la mobilité des personnes et des biens ;</w:t>
            </w:r>
          </w:p>
          <w:p w14:paraId="75C272D3"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Maintien de l’accès aux habitations ;</w:t>
            </w:r>
          </w:p>
          <w:p w14:paraId="3FBC0376"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eaux pluviales ;</w:t>
            </w:r>
          </w:p>
          <w:p w14:paraId="2ADD949E" w14:textId="77777777" w:rsidR="00CD1EB5" w:rsidRPr="00260790" w:rsidRDefault="00CD1EB5" w:rsidP="001748C6">
            <w:pPr>
              <w:keepNext/>
              <w:numPr>
                <w:ilvl w:val="0"/>
                <w:numId w:val="120"/>
              </w:numPr>
              <w:spacing w:line="240" w:lineRule="auto"/>
              <w:contextualSpacing/>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 la tranquillité des riverains</w:t>
            </w:r>
          </w:p>
          <w:p w14:paraId="119B4792"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Préservation des réseaux des concessionnaires (SENELEC) et </w:t>
            </w:r>
            <w:r w:rsidRPr="00260790">
              <w:rPr>
                <w:rFonts w:ascii="Times New Roman" w:hAnsi="Times New Roman"/>
                <w:color w:val="000000" w:themeColor="text1"/>
                <w:sz w:val="22"/>
                <w:szCs w:val="22"/>
                <w:lang w:val="fr-FR"/>
              </w:rPr>
              <w:lastRenderedPageBreak/>
              <w:t>Maintien de la continuité de leur service ;</w:t>
            </w:r>
          </w:p>
          <w:p w14:paraId="0D155B2C"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biens et des activités socio-économiques ;</w:t>
            </w:r>
          </w:p>
        </w:tc>
      </w:tr>
      <w:tr w:rsidR="00CD1EB5" w:rsidRPr="00260790" w14:paraId="020107FA" w14:textId="77777777" w:rsidTr="003A0E4A">
        <w:trPr>
          <w:trHeight w:val="2268"/>
        </w:trPr>
        <w:tc>
          <w:tcPr>
            <w:tcW w:w="734" w:type="pct"/>
            <w:vAlign w:val="center"/>
          </w:tcPr>
          <w:p w14:paraId="3EA901DB" w14:textId="77777777" w:rsidR="00CD1EB5" w:rsidRPr="00260790" w:rsidRDefault="00CD1EB5" w:rsidP="003A0E4A">
            <w:pPr>
              <w:spacing w:line="240" w:lineRule="auto"/>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lastRenderedPageBreak/>
              <w:t>Collecteur BR_ND 11 vers BR_ND 20</w:t>
            </w:r>
          </w:p>
        </w:tc>
        <w:tc>
          <w:tcPr>
            <w:tcW w:w="1528" w:type="pct"/>
          </w:tcPr>
          <w:p w14:paraId="74B90D6A"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Cette ligne est longue 819,63 m. Elle relie le bassin BN_ND 11 du quartier </w:t>
            </w:r>
            <w:proofErr w:type="spellStart"/>
            <w:r w:rsidRPr="00260790">
              <w:rPr>
                <w:rFonts w:ascii="Times New Roman" w:hAnsi="Times New Roman"/>
                <w:color w:val="000000" w:themeColor="text1"/>
                <w:sz w:val="22"/>
                <w:szCs w:val="22"/>
                <w:lang w:val="fr-FR"/>
              </w:rPr>
              <w:t>Niakoul</w:t>
            </w:r>
            <w:proofErr w:type="spellEnd"/>
            <w:r w:rsidRPr="00260790">
              <w:rPr>
                <w:rFonts w:ascii="Times New Roman" w:hAnsi="Times New Roman"/>
                <w:color w:val="000000" w:themeColor="text1"/>
                <w:sz w:val="22"/>
                <w:szCs w:val="22"/>
                <w:lang w:val="fr-FR"/>
              </w:rPr>
              <w:t xml:space="preserve"> Rap au bassin BR_ND 20 des parcelles Assainies U 21 (commune de </w:t>
            </w:r>
            <w:proofErr w:type="spellStart"/>
            <w:r w:rsidRPr="00260790">
              <w:rPr>
                <w:rFonts w:ascii="Times New Roman" w:hAnsi="Times New Roman"/>
                <w:color w:val="000000" w:themeColor="text1"/>
                <w:sz w:val="22"/>
                <w:szCs w:val="22"/>
                <w:lang w:val="fr-FR"/>
              </w:rPr>
              <w:t>Jaxaay</w:t>
            </w:r>
            <w:proofErr w:type="spellEnd"/>
            <w:r w:rsidRPr="00260790">
              <w:rPr>
                <w:rFonts w:ascii="Times New Roman" w:hAnsi="Times New Roman"/>
                <w:color w:val="000000" w:themeColor="text1"/>
                <w:sz w:val="22"/>
                <w:szCs w:val="22"/>
                <w:lang w:val="fr-FR"/>
              </w:rPr>
              <w:t xml:space="preserve"> parcelle </w:t>
            </w:r>
            <w:proofErr w:type="spellStart"/>
            <w:r w:rsidRPr="00260790">
              <w:rPr>
                <w:rFonts w:ascii="Times New Roman" w:hAnsi="Times New Roman"/>
                <w:color w:val="000000" w:themeColor="text1"/>
                <w:sz w:val="22"/>
                <w:szCs w:val="22"/>
                <w:lang w:val="fr-FR"/>
              </w:rPr>
              <w:t>Niakoul</w:t>
            </w:r>
            <w:proofErr w:type="spellEnd"/>
            <w:r w:rsidRPr="00260790">
              <w:rPr>
                <w:rFonts w:ascii="Times New Roman" w:hAnsi="Times New Roman"/>
                <w:color w:val="000000" w:themeColor="text1"/>
                <w:sz w:val="22"/>
                <w:szCs w:val="22"/>
                <w:lang w:val="fr-FR"/>
              </w:rPr>
              <w:t xml:space="preserve"> Rap). Ce collecteur emprunte une large rue bordée de part et d’autre par des habitations, des places d’affaires, un marché et des rampes d’accès.</w:t>
            </w:r>
          </w:p>
        </w:tc>
        <w:tc>
          <w:tcPr>
            <w:tcW w:w="1438" w:type="pct"/>
          </w:tcPr>
          <w:p w14:paraId="7A449A0F" w14:textId="77777777" w:rsidR="00CD1EB5" w:rsidRPr="00E41690" w:rsidRDefault="00CD1EB5" w:rsidP="003A0E4A">
            <w:pPr>
              <w:pStyle w:val="Lgende"/>
              <w:spacing w:line="240" w:lineRule="auto"/>
              <w:rPr>
                <w:rFonts w:eastAsia="Calibri"/>
                <w:i w:val="0"/>
                <w:color w:val="auto"/>
                <w:sz w:val="22"/>
                <w:szCs w:val="22"/>
                <w:lang w:eastAsia="en-US"/>
              </w:rPr>
            </w:pPr>
            <w:r w:rsidRPr="00E41690">
              <w:rPr>
                <w:rFonts w:eastAsia="Calibri"/>
                <w:i w:val="0"/>
                <w:noProof/>
                <w:color w:val="auto"/>
                <w:sz w:val="22"/>
                <w:szCs w:val="22"/>
                <w:lang w:eastAsia="en-US"/>
              </w:rPr>
              <w:drawing>
                <wp:inline distT="0" distB="0" distL="0" distR="0" wp14:anchorId="67EC3354" wp14:editId="5BE39075">
                  <wp:extent cx="2503170" cy="1401580"/>
                  <wp:effectExtent l="0" t="0" r="0" b="0"/>
                  <wp:docPr id="56" name="Image 9" descr="Une image contenant plein air, ciel, sol, Voisinag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9" descr="Une image contenant plein air, ciel, sol, Voisinage&#10;&#10;Le contenu généré par l’IA peut être incorrect."/>
                          <pic:cNvPicPr/>
                        </pic:nvPicPr>
                        <pic:blipFill>
                          <a:blip r:embed="rId60" cstate="email">
                            <a:extLst>
                              <a:ext uri="{28A0092B-C50C-407E-A947-70E740481C1C}">
                                <a14:useLocalDpi xmlns:a14="http://schemas.microsoft.com/office/drawing/2010/main"/>
                              </a:ext>
                            </a:extLst>
                          </a:blip>
                          <a:stretch>
                            <a:fillRect/>
                          </a:stretch>
                        </pic:blipFill>
                        <pic:spPr>
                          <a:xfrm>
                            <a:off x="0" y="0"/>
                            <a:ext cx="2516945" cy="1409293"/>
                          </a:xfrm>
                          <a:prstGeom prst="rect">
                            <a:avLst/>
                          </a:prstGeom>
                        </pic:spPr>
                      </pic:pic>
                    </a:graphicData>
                  </a:graphic>
                </wp:inline>
              </w:drawing>
            </w:r>
          </w:p>
          <w:p w14:paraId="34D729B6" w14:textId="77777777" w:rsidR="00CD1EB5" w:rsidRPr="00E41690" w:rsidRDefault="00CD1EB5" w:rsidP="003A0E4A">
            <w:pPr>
              <w:pStyle w:val="Lgende"/>
              <w:spacing w:line="240" w:lineRule="auto"/>
              <w:rPr>
                <w:rFonts w:eastAsia="Calibri"/>
                <w:i w:val="0"/>
                <w:color w:val="auto"/>
                <w:sz w:val="22"/>
                <w:szCs w:val="22"/>
                <w:lang w:val="fr-FR" w:eastAsia="en-US"/>
              </w:rPr>
            </w:pPr>
            <w:bookmarkStart w:id="378" w:name="_Toc212725238"/>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39</w:t>
            </w:r>
            <w:r w:rsidRPr="00E41690">
              <w:rPr>
                <w:rFonts w:eastAsia="Calibri"/>
                <w:i w:val="0"/>
                <w:color w:val="auto"/>
                <w:sz w:val="22"/>
                <w:szCs w:val="22"/>
                <w:lang w:eastAsia="en-US"/>
              </w:rPr>
              <w:fldChar w:fldCharType="end"/>
            </w:r>
            <w:r w:rsidRPr="00E41690">
              <w:rPr>
                <w:rFonts w:eastAsia="Calibri"/>
                <w:i w:val="0"/>
                <w:color w:val="auto"/>
                <w:sz w:val="22"/>
                <w:szCs w:val="22"/>
                <w:lang w:val="fr-FR" w:eastAsia="en-US"/>
              </w:rPr>
              <w:t>:Vue de l’emprise du collecteur</w:t>
            </w:r>
            <w:bookmarkEnd w:id="378"/>
          </w:p>
          <w:p w14:paraId="3D67F320" w14:textId="77777777" w:rsidR="00CD1EB5" w:rsidRPr="00E41690" w:rsidRDefault="00CD1EB5" w:rsidP="003A0E4A">
            <w:pPr>
              <w:pStyle w:val="Lgende"/>
              <w:spacing w:line="240" w:lineRule="auto"/>
              <w:rPr>
                <w:rFonts w:eastAsia="Calibri"/>
                <w:i w:val="0"/>
                <w:color w:val="auto"/>
                <w:sz w:val="22"/>
                <w:szCs w:val="22"/>
                <w:lang w:eastAsia="en-US"/>
              </w:rPr>
            </w:pPr>
            <w:r w:rsidRPr="00E41690">
              <w:rPr>
                <w:rFonts w:eastAsia="Calibri"/>
                <w:i w:val="0"/>
                <w:noProof/>
                <w:color w:val="auto"/>
                <w:sz w:val="22"/>
                <w:szCs w:val="22"/>
                <w:lang w:eastAsia="en-US"/>
              </w:rPr>
              <w:drawing>
                <wp:inline distT="0" distB="0" distL="0" distR="0" wp14:anchorId="4606D6B3" wp14:editId="1445FC0F">
                  <wp:extent cx="2503170" cy="1184223"/>
                  <wp:effectExtent l="0" t="0" r="0" b="0"/>
                  <wp:docPr id="57" name="Image 13" descr="Une image contenant plein air, ciel, sol, bâti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 13" descr="Une image contenant plein air, ciel, sol, bâtiment&#10;&#10;Le contenu généré par l’IA peut être incorrect."/>
                          <pic:cNvPicPr/>
                        </pic:nvPicPr>
                        <pic:blipFill>
                          <a:blip r:embed="rId61" cstate="email">
                            <a:extLst>
                              <a:ext uri="{28A0092B-C50C-407E-A947-70E740481C1C}">
                                <a14:useLocalDpi xmlns:a14="http://schemas.microsoft.com/office/drawing/2010/main"/>
                              </a:ext>
                            </a:extLst>
                          </a:blip>
                          <a:stretch>
                            <a:fillRect/>
                          </a:stretch>
                        </pic:blipFill>
                        <pic:spPr>
                          <a:xfrm>
                            <a:off x="0" y="0"/>
                            <a:ext cx="2523275" cy="1193735"/>
                          </a:xfrm>
                          <a:prstGeom prst="rect">
                            <a:avLst/>
                          </a:prstGeom>
                        </pic:spPr>
                      </pic:pic>
                    </a:graphicData>
                  </a:graphic>
                </wp:inline>
              </w:drawing>
            </w:r>
          </w:p>
          <w:p w14:paraId="57E6DB74" w14:textId="77777777" w:rsidR="00CD1EB5" w:rsidRPr="00E41690" w:rsidRDefault="00CD1EB5" w:rsidP="003A0E4A">
            <w:pPr>
              <w:pStyle w:val="Lgende"/>
              <w:spacing w:line="240" w:lineRule="auto"/>
              <w:rPr>
                <w:rFonts w:eastAsia="Calibri"/>
                <w:i w:val="0"/>
                <w:color w:val="auto"/>
                <w:sz w:val="22"/>
                <w:szCs w:val="22"/>
                <w:lang w:val="fr-FR" w:eastAsia="en-US"/>
              </w:rPr>
            </w:pPr>
            <w:bookmarkStart w:id="379" w:name="_Toc212725239"/>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40</w:t>
            </w:r>
            <w:r w:rsidRPr="00E41690">
              <w:rPr>
                <w:rFonts w:eastAsia="Calibri"/>
                <w:i w:val="0"/>
                <w:color w:val="auto"/>
                <w:sz w:val="22"/>
                <w:szCs w:val="22"/>
                <w:lang w:eastAsia="en-US"/>
              </w:rPr>
              <w:fldChar w:fldCharType="end"/>
            </w:r>
            <w:r w:rsidRPr="00E41690">
              <w:rPr>
                <w:rFonts w:eastAsia="Calibri"/>
                <w:i w:val="0"/>
                <w:color w:val="auto"/>
                <w:sz w:val="22"/>
                <w:szCs w:val="22"/>
                <w:lang w:val="fr-FR" w:eastAsia="en-US"/>
              </w:rPr>
              <w:t>:dépôt de parpaings à la limite de l’emprise</w:t>
            </w:r>
            <w:bookmarkEnd w:id="379"/>
          </w:p>
          <w:p w14:paraId="4E7DE042" w14:textId="77777777" w:rsidR="00CD1EB5" w:rsidRPr="00E41690" w:rsidRDefault="00CD1EB5" w:rsidP="003A0E4A">
            <w:pPr>
              <w:pStyle w:val="Lgende"/>
              <w:spacing w:line="240" w:lineRule="auto"/>
              <w:rPr>
                <w:rFonts w:eastAsia="Calibri"/>
                <w:i w:val="0"/>
                <w:color w:val="auto"/>
                <w:sz w:val="22"/>
                <w:szCs w:val="22"/>
                <w:lang w:eastAsia="en-US"/>
              </w:rPr>
            </w:pPr>
            <w:r w:rsidRPr="00E41690">
              <w:rPr>
                <w:rFonts w:eastAsia="Calibri"/>
                <w:i w:val="0"/>
                <w:noProof/>
                <w:color w:val="auto"/>
                <w:sz w:val="22"/>
                <w:szCs w:val="22"/>
                <w:lang w:eastAsia="en-US"/>
              </w:rPr>
              <w:drawing>
                <wp:inline distT="0" distB="0" distL="0" distR="0" wp14:anchorId="0B4831AC" wp14:editId="5AC009D4">
                  <wp:extent cx="2503170" cy="1528997"/>
                  <wp:effectExtent l="0" t="0" r="0" b="0"/>
                  <wp:docPr id="58"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658023" name="Image 1395658023"/>
                          <pic:cNvPicPr/>
                        </pic:nvPicPr>
                        <pic:blipFill>
                          <a:blip r:embed="rId62" cstate="email">
                            <a:extLst>
                              <a:ext uri="{28A0092B-C50C-407E-A947-70E740481C1C}">
                                <a14:useLocalDpi xmlns:a14="http://schemas.microsoft.com/office/drawing/2010/main"/>
                              </a:ext>
                            </a:extLst>
                          </a:blip>
                          <a:stretch>
                            <a:fillRect/>
                          </a:stretch>
                        </pic:blipFill>
                        <pic:spPr>
                          <a:xfrm>
                            <a:off x="0" y="0"/>
                            <a:ext cx="2514924" cy="1536177"/>
                          </a:xfrm>
                          <a:prstGeom prst="rect">
                            <a:avLst/>
                          </a:prstGeom>
                        </pic:spPr>
                      </pic:pic>
                    </a:graphicData>
                  </a:graphic>
                </wp:inline>
              </w:drawing>
            </w:r>
          </w:p>
          <w:p w14:paraId="4E112C20" w14:textId="77777777" w:rsidR="00CD1EB5" w:rsidRPr="00E41690" w:rsidRDefault="00CD1EB5" w:rsidP="003A0E4A">
            <w:pPr>
              <w:pStyle w:val="Lgende"/>
              <w:spacing w:line="240" w:lineRule="auto"/>
              <w:rPr>
                <w:rFonts w:eastAsia="Calibri"/>
                <w:i w:val="0"/>
                <w:color w:val="auto"/>
                <w:sz w:val="22"/>
                <w:szCs w:val="22"/>
                <w:lang w:val="fr-FR" w:eastAsia="en-US"/>
              </w:rPr>
            </w:pPr>
            <w:bookmarkStart w:id="380" w:name="_Toc212725240"/>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41</w:t>
            </w:r>
            <w:r w:rsidRPr="00E41690">
              <w:rPr>
                <w:rFonts w:eastAsia="Calibri"/>
                <w:i w:val="0"/>
                <w:color w:val="auto"/>
                <w:sz w:val="22"/>
                <w:szCs w:val="22"/>
                <w:lang w:eastAsia="en-US"/>
              </w:rPr>
              <w:fldChar w:fldCharType="end"/>
            </w:r>
            <w:r w:rsidRPr="00E41690">
              <w:rPr>
                <w:rFonts w:eastAsia="Calibri"/>
                <w:i w:val="0"/>
                <w:color w:val="auto"/>
                <w:sz w:val="22"/>
                <w:szCs w:val="22"/>
                <w:lang w:val="fr-FR" w:eastAsia="en-US"/>
              </w:rPr>
              <w:t>:Gargotte à proximité de l’emprise</w:t>
            </w:r>
            <w:bookmarkEnd w:id="380"/>
          </w:p>
          <w:p w14:paraId="03D6B3E6" w14:textId="77777777" w:rsidR="00CD1EB5" w:rsidRPr="00E41690" w:rsidRDefault="00CD1EB5" w:rsidP="003A0E4A">
            <w:pPr>
              <w:pStyle w:val="Lgende"/>
              <w:spacing w:line="240" w:lineRule="auto"/>
              <w:rPr>
                <w:rFonts w:eastAsia="Calibri"/>
                <w:i w:val="0"/>
                <w:color w:val="auto"/>
                <w:sz w:val="22"/>
                <w:szCs w:val="22"/>
                <w:lang w:eastAsia="en-US"/>
              </w:rPr>
            </w:pPr>
            <w:r w:rsidRPr="00E41690">
              <w:rPr>
                <w:rFonts w:eastAsia="Calibri"/>
                <w:i w:val="0"/>
                <w:noProof/>
                <w:color w:val="auto"/>
                <w:sz w:val="22"/>
                <w:szCs w:val="22"/>
                <w:lang w:eastAsia="en-US"/>
              </w:rPr>
              <w:lastRenderedPageBreak/>
              <w:drawing>
                <wp:inline distT="0" distB="0" distL="0" distR="0" wp14:anchorId="653C5A31" wp14:editId="320DE968">
                  <wp:extent cx="2503170" cy="1394085"/>
                  <wp:effectExtent l="0" t="0" r="0" b="3175"/>
                  <wp:docPr id="59"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664173" name="Image 888664173"/>
                          <pic:cNvPicPr/>
                        </pic:nvPicPr>
                        <pic:blipFill>
                          <a:blip r:embed="rId63" cstate="email">
                            <a:extLst>
                              <a:ext uri="{28A0092B-C50C-407E-A947-70E740481C1C}">
                                <a14:useLocalDpi xmlns:a14="http://schemas.microsoft.com/office/drawing/2010/main"/>
                              </a:ext>
                            </a:extLst>
                          </a:blip>
                          <a:stretch>
                            <a:fillRect/>
                          </a:stretch>
                        </pic:blipFill>
                        <pic:spPr>
                          <a:xfrm>
                            <a:off x="0" y="0"/>
                            <a:ext cx="2514434" cy="1400358"/>
                          </a:xfrm>
                          <a:prstGeom prst="rect">
                            <a:avLst/>
                          </a:prstGeom>
                        </pic:spPr>
                      </pic:pic>
                    </a:graphicData>
                  </a:graphic>
                </wp:inline>
              </w:drawing>
            </w:r>
          </w:p>
          <w:p w14:paraId="5EC04416" w14:textId="77777777" w:rsidR="00CD1EB5" w:rsidRPr="00E41690" w:rsidRDefault="00CD1EB5" w:rsidP="003A0E4A">
            <w:pPr>
              <w:pStyle w:val="Lgende"/>
              <w:spacing w:line="240" w:lineRule="auto"/>
              <w:rPr>
                <w:rFonts w:eastAsia="Calibri"/>
                <w:i w:val="0"/>
                <w:color w:val="auto"/>
                <w:sz w:val="22"/>
                <w:szCs w:val="22"/>
                <w:lang w:val="fr-FR" w:eastAsia="en-US"/>
              </w:rPr>
            </w:pPr>
            <w:bookmarkStart w:id="381" w:name="_Toc212725241"/>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42</w:t>
            </w:r>
            <w:r w:rsidRPr="00E41690">
              <w:rPr>
                <w:rFonts w:eastAsia="Calibri"/>
                <w:i w:val="0"/>
                <w:color w:val="auto"/>
                <w:sz w:val="22"/>
                <w:szCs w:val="22"/>
                <w:lang w:eastAsia="en-US"/>
              </w:rPr>
              <w:fldChar w:fldCharType="end"/>
            </w:r>
            <w:r w:rsidRPr="00E41690">
              <w:rPr>
                <w:rFonts w:eastAsia="Calibri"/>
                <w:i w:val="0"/>
                <w:color w:val="auto"/>
                <w:sz w:val="22"/>
                <w:szCs w:val="22"/>
                <w:lang w:val="fr-FR" w:eastAsia="en-US"/>
              </w:rPr>
              <w:t>:Traversée d’un marché et places d’affaires</w:t>
            </w:r>
            <w:bookmarkEnd w:id="381"/>
          </w:p>
        </w:tc>
        <w:tc>
          <w:tcPr>
            <w:tcW w:w="1300" w:type="pct"/>
          </w:tcPr>
          <w:p w14:paraId="1100EF6A"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Gestion de la mobilité des personnes et des biens ;</w:t>
            </w:r>
          </w:p>
          <w:p w14:paraId="6BED6CCD"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Maintien de l’accès aux habitations ;</w:t>
            </w:r>
          </w:p>
          <w:p w14:paraId="0E73F6A0"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eaux pluviales ;</w:t>
            </w:r>
          </w:p>
          <w:p w14:paraId="11C91F3C" w14:textId="77777777" w:rsidR="00CD1EB5" w:rsidRPr="00260790" w:rsidRDefault="00CD1EB5" w:rsidP="001748C6">
            <w:pPr>
              <w:keepNext/>
              <w:numPr>
                <w:ilvl w:val="0"/>
                <w:numId w:val="120"/>
              </w:numPr>
              <w:spacing w:line="240" w:lineRule="auto"/>
              <w:contextualSpacing/>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 la tranquillité des riverains ;</w:t>
            </w:r>
          </w:p>
          <w:p w14:paraId="6BC002BB"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biens et des activités socio-économiques ;</w:t>
            </w:r>
          </w:p>
          <w:p w14:paraId="4035BA24" w14:textId="77777777" w:rsidR="00CD1EB5" w:rsidRPr="00260790" w:rsidRDefault="00CD1EB5" w:rsidP="003A0E4A">
            <w:pPr>
              <w:keepNext/>
              <w:spacing w:line="240" w:lineRule="auto"/>
              <w:contextualSpacing/>
              <w:rPr>
                <w:rFonts w:ascii="Times New Roman" w:hAnsi="Times New Roman"/>
                <w:color w:val="000000" w:themeColor="text1"/>
                <w:sz w:val="22"/>
                <w:szCs w:val="22"/>
                <w:lang w:val="fr-FR"/>
              </w:rPr>
            </w:pPr>
          </w:p>
          <w:p w14:paraId="6832DACE" w14:textId="77777777" w:rsidR="00CD1EB5" w:rsidRPr="00260790" w:rsidRDefault="00CD1EB5" w:rsidP="003A0E4A">
            <w:pPr>
              <w:keepNext/>
              <w:spacing w:line="240" w:lineRule="auto"/>
              <w:contextualSpacing/>
              <w:rPr>
                <w:rFonts w:ascii="Times New Roman" w:hAnsi="Times New Roman"/>
                <w:color w:val="000000" w:themeColor="text1"/>
                <w:sz w:val="22"/>
                <w:szCs w:val="22"/>
                <w:lang w:val="fr-FR"/>
              </w:rPr>
            </w:pPr>
          </w:p>
        </w:tc>
      </w:tr>
      <w:tr w:rsidR="00CD1EB5" w:rsidRPr="00260790" w14:paraId="45EF714A" w14:textId="77777777" w:rsidTr="003A0E4A">
        <w:trPr>
          <w:trHeight w:val="2268"/>
        </w:trPr>
        <w:tc>
          <w:tcPr>
            <w:tcW w:w="734" w:type="pct"/>
            <w:vAlign w:val="center"/>
          </w:tcPr>
          <w:p w14:paraId="7C9BADF3" w14:textId="77777777" w:rsidR="00CD1EB5" w:rsidRPr="00260790" w:rsidRDefault="00CD1EB5" w:rsidP="003A0E4A">
            <w:pPr>
              <w:spacing w:line="240" w:lineRule="auto"/>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Collecteur BR_ND 20 vers bassin Éventuel et BR_NA 09</w:t>
            </w:r>
          </w:p>
        </w:tc>
        <w:tc>
          <w:tcPr>
            <w:tcW w:w="1528" w:type="pct"/>
          </w:tcPr>
          <w:p w14:paraId="7B6D42F4" w14:textId="5115FF2A"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Ce collecteur est long de 1710,57 m. Il relie les bassins BR_ND 20, Bassin éventuel (commune de </w:t>
            </w:r>
            <w:proofErr w:type="spellStart"/>
            <w:r w:rsidRPr="00260790">
              <w:rPr>
                <w:rFonts w:ascii="Times New Roman" w:hAnsi="Times New Roman"/>
                <w:color w:val="000000" w:themeColor="text1"/>
                <w:sz w:val="22"/>
                <w:szCs w:val="22"/>
                <w:lang w:val="fr-FR"/>
              </w:rPr>
              <w:t>Jaxaay</w:t>
            </w:r>
            <w:proofErr w:type="spellEnd"/>
            <w:r w:rsidRPr="00260790">
              <w:rPr>
                <w:rFonts w:ascii="Times New Roman" w:hAnsi="Times New Roman"/>
                <w:color w:val="000000" w:themeColor="text1"/>
                <w:sz w:val="22"/>
                <w:szCs w:val="22"/>
                <w:lang w:val="fr-FR"/>
              </w:rPr>
              <w:t xml:space="preserve"> parcelle </w:t>
            </w:r>
            <w:proofErr w:type="spellStart"/>
            <w:r w:rsidRPr="00260790">
              <w:rPr>
                <w:rFonts w:ascii="Times New Roman" w:hAnsi="Times New Roman"/>
                <w:color w:val="000000" w:themeColor="text1"/>
                <w:sz w:val="22"/>
                <w:szCs w:val="22"/>
                <w:lang w:val="fr-FR"/>
              </w:rPr>
              <w:t>Niakoul</w:t>
            </w:r>
            <w:proofErr w:type="spellEnd"/>
            <w:r w:rsidRPr="00260790">
              <w:rPr>
                <w:rFonts w:ascii="Times New Roman" w:hAnsi="Times New Roman"/>
                <w:color w:val="000000" w:themeColor="text1"/>
                <w:sz w:val="22"/>
                <w:szCs w:val="22"/>
                <w:lang w:val="fr-FR"/>
              </w:rPr>
              <w:t xml:space="preserve"> Rap) et BR_NA 09 (Commune de Rufisque ouest). Il traverse les quartiers Parcelles Assainies U 16, 15, 13, 12A, 10, 09, UCAD 4 et Cité Bel-A</w:t>
            </w:r>
            <w:r w:rsidR="00073991">
              <w:rPr>
                <w:rFonts w:ascii="Times New Roman" w:hAnsi="Times New Roman"/>
                <w:color w:val="000000" w:themeColor="text1"/>
                <w:sz w:val="22"/>
                <w:szCs w:val="22"/>
                <w:lang w:val="fr-FR"/>
              </w:rPr>
              <w:t>ir</w:t>
            </w:r>
            <w:r w:rsidRPr="00260790">
              <w:rPr>
                <w:rFonts w:ascii="Times New Roman" w:hAnsi="Times New Roman"/>
                <w:color w:val="000000" w:themeColor="text1"/>
                <w:sz w:val="22"/>
                <w:szCs w:val="22"/>
                <w:lang w:val="fr-FR"/>
              </w:rPr>
              <w:t xml:space="preserve">. Il passe dans une route de sable et traverse la route goudronnée de </w:t>
            </w:r>
            <w:proofErr w:type="spellStart"/>
            <w:r w:rsidRPr="00260790">
              <w:rPr>
                <w:rFonts w:ascii="Times New Roman" w:hAnsi="Times New Roman"/>
                <w:color w:val="000000" w:themeColor="text1"/>
                <w:sz w:val="22"/>
                <w:szCs w:val="22"/>
                <w:lang w:val="fr-FR"/>
              </w:rPr>
              <w:t>Jaxaay</w:t>
            </w:r>
            <w:proofErr w:type="spellEnd"/>
            <w:r w:rsidRPr="00260790">
              <w:rPr>
                <w:rFonts w:ascii="Times New Roman" w:hAnsi="Times New Roman"/>
                <w:color w:val="000000" w:themeColor="text1"/>
                <w:sz w:val="22"/>
                <w:szCs w:val="22"/>
                <w:lang w:val="fr-FR"/>
              </w:rPr>
              <w:t xml:space="preserve"> avant de se raccorder au bassin BR_NA 09. Cette conduite longe des habitations, places d’affaires, des arbres et traverse des rues.</w:t>
            </w:r>
          </w:p>
        </w:tc>
        <w:tc>
          <w:tcPr>
            <w:tcW w:w="1438" w:type="pct"/>
          </w:tcPr>
          <w:p w14:paraId="29AE8F31" w14:textId="77777777" w:rsidR="00CD1EB5" w:rsidRPr="00E41690" w:rsidRDefault="00CD1EB5" w:rsidP="003A0E4A">
            <w:pPr>
              <w:keepNext/>
              <w:spacing w:line="240" w:lineRule="auto"/>
              <w:rPr>
                <w:rFonts w:ascii="Times New Roman" w:hAnsi="Times New Roman"/>
                <w:sz w:val="22"/>
                <w:szCs w:val="22"/>
              </w:rPr>
            </w:pPr>
            <w:r w:rsidRPr="00E41690">
              <w:rPr>
                <w:rFonts w:ascii="Times New Roman" w:hAnsi="Times New Roman"/>
                <w:noProof/>
                <w:color w:val="000000" w:themeColor="text1"/>
              </w:rPr>
              <w:drawing>
                <wp:inline distT="0" distB="0" distL="0" distR="0" wp14:anchorId="252DB2DE" wp14:editId="51292219">
                  <wp:extent cx="2502535" cy="1349115"/>
                  <wp:effectExtent l="0" t="0" r="0" b="0"/>
                  <wp:docPr id="61"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786786" name="Image 741786786"/>
                          <pic:cNvPicPr/>
                        </pic:nvPicPr>
                        <pic:blipFill>
                          <a:blip r:embed="rId64" cstate="email">
                            <a:extLst>
                              <a:ext uri="{28A0092B-C50C-407E-A947-70E740481C1C}">
                                <a14:useLocalDpi xmlns:a14="http://schemas.microsoft.com/office/drawing/2010/main"/>
                              </a:ext>
                            </a:extLst>
                          </a:blip>
                          <a:stretch>
                            <a:fillRect/>
                          </a:stretch>
                        </pic:blipFill>
                        <pic:spPr>
                          <a:xfrm>
                            <a:off x="0" y="0"/>
                            <a:ext cx="2558336" cy="1379197"/>
                          </a:xfrm>
                          <a:prstGeom prst="rect">
                            <a:avLst/>
                          </a:prstGeom>
                        </pic:spPr>
                      </pic:pic>
                    </a:graphicData>
                  </a:graphic>
                </wp:inline>
              </w:drawing>
            </w:r>
          </w:p>
          <w:p w14:paraId="28B80AB7" w14:textId="77777777" w:rsidR="00CD1EB5" w:rsidRPr="00E41690" w:rsidRDefault="00CD1EB5" w:rsidP="003A0E4A">
            <w:pPr>
              <w:pStyle w:val="Lgende"/>
              <w:spacing w:line="240" w:lineRule="auto"/>
              <w:rPr>
                <w:rFonts w:eastAsia="Calibri"/>
                <w:i w:val="0"/>
                <w:color w:val="auto"/>
                <w:sz w:val="22"/>
                <w:szCs w:val="22"/>
                <w:lang w:val="fr-FR" w:eastAsia="en-US"/>
              </w:rPr>
            </w:pPr>
            <w:bookmarkStart w:id="382" w:name="_Toc212725242"/>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43</w:t>
            </w:r>
            <w:r w:rsidRPr="00E41690">
              <w:rPr>
                <w:rFonts w:eastAsia="Calibri"/>
                <w:i w:val="0"/>
                <w:color w:val="auto"/>
                <w:sz w:val="22"/>
                <w:szCs w:val="22"/>
                <w:lang w:eastAsia="en-US"/>
              </w:rPr>
              <w:fldChar w:fldCharType="end"/>
            </w:r>
            <w:r w:rsidRPr="00E41690">
              <w:rPr>
                <w:rFonts w:eastAsia="Calibri"/>
                <w:i w:val="0"/>
                <w:color w:val="auto"/>
                <w:sz w:val="22"/>
                <w:szCs w:val="22"/>
                <w:lang w:val="fr-FR" w:eastAsia="en-US"/>
              </w:rPr>
              <w:t>:Vue de l’emprise du tracé</w:t>
            </w:r>
            <w:bookmarkEnd w:id="382"/>
          </w:p>
          <w:p w14:paraId="377FE5FF" w14:textId="77777777" w:rsidR="00CD1EB5" w:rsidRPr="00E41690" w:rsidRDefault="00CD1EB5" w:rsidP="003A0E4A">
            <w:pPr>
              <w:keepNext/>
              <w:spacing w:line="240" w:lineRule="auto"/>
              <w:rPr>
                <w:rFonts w:ascii="Times New Roman" w:hAnsi="Times New Roman"/>
                <w:sz w:val="22"/>
                <w:szCs w:val="22"/>
              </w:rPr>
            </w:pPr>
            <w:r w:rsidRPr="00E41690">
              <w:rPr>
                <w:rFonts w:ascii="Times New Roman" w:hAnsi="Times New Roman"/>
                <w:noProof/>
                <w:color w:val="000000" w:themeColor="text1"/>
              </w:rPr>
              <w:drawing>
                <wp:inline distT="0" distB="0" distL="0" distR="0" wp14:anchorId="0C660EB1" wp14:editId="2281305D">
                  <wp:extent cx="2502476" cy="1581462"/>
                  <wp:effectExtent l="0" t="0" r="0" b="0"/>
                  <wp:docPr id="62"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024577" name="Image 894024577"/>
                          <pic:cNvPicPr/>
                        </pic:nvPicPr>
                        <pic:blipFill>
                          <a:blip r:embed="rId65" cstate="email">
                            <a:extLst>
                              <a:ext uri="{28A0092B-C50C-407E-A947-70E740481C1C}">
                                <a14:useLocalDpi xmlns:a14="http://schemas.microsoft.com/office/drawing/2010/main"/>
                              </a:ext>
                            </a:extLst>
                          </a:blip>
                          <a:stretch>
                            <a:fillRect/>
                          </a:stretch>
                        </pic:blipFill>
                        <pic:spPr>
                          <a:xfrm>
                            <a:off x="0" y="0"/>
                            <a:ext cx="2520312" cy="1592734"/>
                          </a:xfrm>
                          <a:prstGeom prst="rect">
                            <a:avLst/>
                          </a:prstGeom>
                        </pic:spPr>
                      </pic:pic>
                    </a:graphicData>
                  </a:graphic>
                </wp:inline>
              </w:drawing>
            </w:r>
          </w:p>
          <w:p w14:paraId="40A74778" w14:textId="77777777" w:rsidR="00CD1EB5" w:rsidRPr="00E41690" w:rsidRDefault="00CD1EB5" w:rsidP="003A0E4A">
            <w:pPr>
              <w:pStyle w:val="Lgende"/>
              <w:spacing w:line="240" w:lineRule="auto"/>
              <w:rPr>
                <w:rFonts w:eastAsia="Calibri"/>
                <w:i w:val="0"/>
                <w:color w:val="auto"/>
                <w:sz w:val="22"/>
                <w:szCs w:val="22"/>
                <w:lang w:val="fr-FR" w:eastAsia="en-US"/>
              </w:rPr>
            </w:pPr>
            <w:bookmarkStart w:id="383" w:name="_Toc212725243"/>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44</w:t>
            </w:r>
            <w:r w:rsidRPr="00E41690">
              <w:rPr>
                <w:rFonts w:eastAsia="Calibri"/>
                <w:i w:val="0"/>
                <w:color w:val="auto"/>
                <w:sz w:val="22"/>
                <w:szCs w:val="22"/>
                <w:lang w:eastAsia="en-US"/>
              </w:rPr>
              <w:fldChar w:fldCharType="end"/>
            </w:r>
            <w:proofErr w:type="gramStart"/>
            <w:r w:rsidRPr="00E41690">
              <w:rPr>
                <w:rFonts w:eastAsia="Calibri"/>
                <w:i w:val="0"/>
                <w:color w:val="auto"/>
                <w:sz w:val="22"/>
                <w:szCs w:val="22"/>
                <w:lang w:val="fr-FR" w:eastAsia="en-US"/>
              </w:rPr>
              <w:t> :Rampe</w:t>
            </w:r>
            <w:proofErr w:type="gramEnd"/>
            <w:r w:rsidRPr="00E41690">
              <w:rPr>
                <w:rFonts w:eastAsia="Calibri"/>
                <w:i w:val="0"/>
                <w:color w:val="auto"/>
                <w:sz w:val="22"/>
                <w:szCs w:val="22"/>
                <w:lang w:val="fr-FR" w:eastAsia="en-US"/>
              </w:rPr>
              <w:t xml:space="preserve"> d’une boutique dans l’emprise</w:t>
            </w:r>
            <w:bookmarkEnd w:id="383"/>
          </w:p>
          <w:p w14:paraId="6C6DACA5" w14:textId="77777777" w:rsidR="00CD1EB5" w:rsidRPr="00E41690" w:rsidRDefault="00CD1EB5" w:rsidP="003A0E4A">
            <w:pPr>
              <w:keepNext/>
              <w:spacing w:line="240" w:lineRule="auto"/>
              <w:rPr>
                <w:rFonts w:ascii="Times New Roman" w:hAnsi="Times New Roman"/>
                <w:sz w:val="22"/>
                <w:szCs w:val="22"/>
              </w:rPr>
            </w:pPr>
            <w:r w:rsidRPr="00E41690">
              <w:rPr>
                <w:rFonts w:ascii="Times New Roman" w:hAnsi="Times New Roman"/>
                <w:noProof/>
                <w:color w:val="000000" w:themeColor="text1"/>
              </w:rPr>
              <w:lastRenderedPageBreak/>
              <w:drawing>
                <wp:inline distT="0" distB="0" distL="0" distR="0" wp14:anchorId="52D2C5E5" wp14:editId="66388CDF">
                  <wp:extent cx="2503170" cy="1394085"/>
                  <wp:effectExtent l="0" t="0" r="0" b="3175"/>
                  <wp:docPr id="63"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96324" name="Image 128796324"/>
                          <pic:cNvPicPr/>
                        </pic:nvPicPr>
                        <pic:blipFill>
                          <a:blip r:embed="rId66" cstate="email">
                            <a:extLst>
                              <a:ext uri="{28A0092B-C50C-407E-A947-70E740481C1C}">
                                <a14:useLocalDpi xmlns:a14="http://schemas.microsoft.com/office/drawing/2010/main"/>
                              </a:ext>
                            </a:extLst>
                          </a:blip>
                          <a:stretch>
                            <a:fillRect/>
                          </a:stretch>
                        </pic:blipFill>
                        <pic:spPr>
                          <a:xfrm>
                            <a:off x="0" y="0"/>
                            <a:ext cx="2510871" cy="1398374"/>
                          </a:xfrm>
                          <a:prstGeom prst="rect">
                            <a:avLst/>
                          </a:prstGeom>
                        </pic:spPr>
                      </pic:pic>
                    </a:graphicData>
                  </a:graphic>
                </wp:inline>
              </w:drawing>
            </w:r>
          </w:p>
          <w:p w14:paraId="46851EEA" w14:textId="77777777" w:rsidR="00CD1EB5" w:rsidRPr="00E41690" w:rsidRDefault="00CD1EB5" w:rsidP="003A0E4A">
            <w:pPr>
              <w:pStyle w:val="Lgende"/>
              <w:spacing w:line="240" w:lineRule="auto"/>
              <w:rPr>
                <w:i w:val="0"/>
                <w:noProof/>
                <w:color w:val="000000" w:themeColor="text1"/>
                <w:sz w:val="22"/>
                <w:szCs w:val="22"/>
                <w:lang w:val="fr-FR"/>
              </w:rPr>
            </w:pPr>
            <w:bookmarkStart w:id="384" w:name="_Toc212725244"/>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45</w:t>
            </w:r>
            <w:r w:rsidRPr="00E41690">
              <w:rPr>
                <w:rFonts w:eastAsia="Calibri"/>
                <w:i w:val="0"/>
                <w:color w:val="auto"/>
                <w:sz w:val="22"/>
                <w:szCs w:val="22"/>
                <w:lang w:eastAsia="en-US"/>
              </w:rPr>
              <w:fldChar w:fldCharType="end"/>
            </w:r>
            <w:r w:rsidRPr="00E41690">
              <w:rPr>
                <w:rFonts w:eastAsia="Calibri"/>
                <w:i w:val="0"/>
                <w:color w:val="auto"/>
                <w:sz w:val="22"/>
                <w:szCs w:val="22"/>
                <w:lang w:val="fr-FR" w:eastAsia="en-US"/>
              </w:rPr>
              <w:t xml:space="preserve">:Traversée de la route goudronnée de </w:t>
            </w:r>
            <w:proofErr w:type="spellStart"/>
            <w:r w:rsidRPr="00E41690">
              <w:rPr>
                <w:rFonts w:eastAsia="Calibri"/>
                <w:i w:val="0"/>
                <w:color w:val="auto"/>
                <w:sz w:val="22"/>
                <w:szCs w:val="22"/>
                <w:lang w:val="fr-FR" w:eastAsia="en-US"/>
              </w:rPr>
              <w:t>Jaxaay</w:t>
            </w:r>
            <w:bookmarkEnd w:id="384"/>
            <w:proofErr w:type="spellEnd"/>
          </w:p>
        </w:tc>
        <w:tc>
          <w:tcPr>
            <w:tcW w:w="1300" w:type="pct"/>
          </w:tcPr>
          <w:p w14:paraId="7BFFE347"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Gestion de la mobilité des personnes et des biens ;</w:t>
            </w:r>
          </w:p>
          <w:p w14:paraId="22BF06B1"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Maintien de l’accès aux habitations ;</w:t>
            </w:r>
          </w:p>
          <w:p w14:paraId="15707D5C"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eaux pluviales ;</w:t>
            </w:r>
          </w:p>
          <w:p w14:paraId="1785E9B9" w14:textId="77777777" w:rsidR="00CD1EB5" w:rsidRPr="00260790" w:rsidRDefault="00CD1EB5" w:rsidP="001748C6">
            <w:pPr>
              <w:keepNext/>
              <w:numPr>
                <w:ilvl w:val="0"/>
                <w:numId w:val="120"/>
              </w:numPr>
              <w:spacing w:line="240" w:lineRule="auto"/>
              <w:contextualSpacing/>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 la tranquillité des riverains</w:t>
            </w:r>
          </w:p>
          <w:p w14:paraId="076413A2"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espèces floristiques ;</w:t>
            </w:r>
          </w:p>
          <w:p w14:paraId="2551F4E3"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biens et des activités socio-économiques </w:t>
            </w:r>
          </w:p>
          <w:p w14:paraId="542C636F" w14:textId="77777777" w:rsidR="00CD1EB5" w:rsidRPr="00260790" w:rsidRDefault="00CD1EB5" w:rsidP="003A0E4A">
            <w:pPr>
              <w:keepNext/>
              <w:spacing w:line="240" w:lineRule="auto"/>
              <w:contextualSpacing/>
              <w:rPr>
                <w:rFonts w:ascii="Times New Roman" w:hAnsi="Times New Roman"/>
                <w:color w:val="000000" w:themeColor="text1"/>
                <w:sz w:val="22"/>
                <w:szCs w:val="22"/>
                <w:lang w:val="fr-FR"/>
              </w:rPr>
            </w:pPr>
          </w:p>
        </w:tc>
      </w:tr>
      <w:tr w:rsidR="00CD1EB5" w:rsidRPr="00260790" w14:paraId="3D0E4665" w14:textId="77777777" w:rsidTr="003A0E4A">
        <w:trPr>
          <w:trHeight w:val="2268"/>
        </w:trPr>
        <w:tc>
          <w:tcPr>
            <w:tcW w:w="734" w:type="pct"/>
            <w:vAlign w:val="center"/>
          </w:tcPr>
          <w:p w14:paraId="0DDA072B" w14:textId="77777777" w:rsidR="00CD1EB5" w:rsidRPr="00260790" w:rsidRDefault="00CD1EB5" w:rsidP="003A0E4A">
            <w:pPr>
              <w:spacing w:line="240" w:lineRule="auto"/>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Collecteur BR_ND 41 vers collecteur Bassin éventuel et BR_NA 09</w:t>
            </w:r>
          </w:p>
        </w:tc>
        <w:tc>
          <w:tcPr>
            <w:tcW w:w="1528" w:type="pct"/>
          </w:tcPr>
          <w:p w14:paraId="0051A397"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Ce collecteur est long de 1145,13 m. Il traverse les quartiers </w:t>
            </w:r>
            <w:proofErr w:type="spellStart"/>
            <w:r w:rsidRPr="00260790">
              <w:rPr>
                <w:rFonts w:ascii="Times New Roman" w:hAnsi="Times New Roman"/>
                <w:color w:val="000000" w:themeColor="text1"/>
                <w:sz w:val="22"/>
                <w:szCs w:val="22"/>
                <w:lang w:val="fr-FR"/>
              </w:rPr>
              <w:t>Lébougui</w:t>
            </w:r>
            <w:proofErr w:type="spellEnd"/>
            <w:r w:rsidRPr="00260790">
              <w:rPr>
                <w:rFonts w:ascii="Times New Roman" w:hAnsi="Times New Roman"/>
                <w:color w:val="000000" w:themeColor="text1"/>
                <w:sz w:val="22"/>
                <w:szCs w:val="22"/>
                <w:lang w:val="fr-FR"/>
              </w:rPr>
              <w:t xml:space="preserve"> 2000, les Parcelles Assainies U 12B, 11A et 10. Cette conduite longe une rue non praticable avec la présence d’un canal à ciel ouvert (qui reçoit les eaux usées du quartier), des habitations, des places d’affaires, des BT, 01 </w:t>
            </w:r>
            <w:r w:rsidRPr="00301AF6">
              <w:rPr>
                <w:rFonts w:ascii="Times New Roman" w:hAnsi="Times New Roman"/>
                <w:i/>
                <w:iCs/>
                <w:color w:val="000000" w:themeColor="text1"/>
                <w:lang w:val="fr-FR"/>
              </w:rPr>
              <w:t xml:space="preserve">Ficus </w:t>
            </w:r>
            <w:proofErr w:type="spellStart"/>
            <w:r w:rsidRPr="00301AF6">
              <w:rPr>
                <w:rFonts w:ascii="Times New Roman" w:hAnsi="Times New Roman"/>
                <w:i/>
                <w:iCs/>
                <w:color w:val="000000" w:themeColor="text1"/>
                <w:lang w:val="fr-FR"/>
              </w:rPr>
              <w:t>benjamina</w:t>
            </w:r>
            <w:proofErr w:type="spellEnd"/>
            <w:r w:rsidRPr="00260790">
              <w:rPr>
                <w:rFonts w:ascii="Times New Roman" w:hAnsi="Times New Roman"/>
                <w:color w:val="000000" w:themeColor="text1"/>
                <w:sz w:val="22"/>
                <w:szCs w:val="22"/>
                <w:lang w:val="fr-FR"/>
              </w:rPr>
              <w:t xml:space="preserve"> et 01 Flamboyant. Il passe à la devanture du commissariat de police de </w:t>
            </w:r>
            <w:proofErr w:type="spellStart"/>
            <w:r w:rsidRPr="00260790">
              <w:rPr>
                <w:rFonts w:ascii="Times New Roman" w:hAnsi="Times New Roman"/>
                <w:color w:val="000000" w:themeColor="text1"/>
                <w:sz w:val="22"/>
                <w:szCs w:val="22"/>
                <w:lang w:val="fr-FR"/>
              </w:rPr>
              <w:t>Jaxaay</w:t>
            </w:r>
            <w:proofErr w:type="spellEnd"/>
            <w:r w:rsidRPr="00260790">
              <w:rPr>
                <w:rFonts w:ascii="Times New Roman" w:hAnsi="Times New Roman"/>
                <w:color w:val="000000" w:themeColor="text1"/>
                <w:sz w:val="22"/>
                <w:szCs w:val="22"/>
                <w:lang w:val="fr-FR"/>
              </w:rPr>
              <w:t xml:space="preserve"> et traverse des rues. </w:t>
            </w:r>
          </w:p>
        </w:tc>
        <w:tc>
          <w:tcPr>
            <w:tcW w:w="1438" w:type="pct"/>
          </w:tcPr>
          <w:p w14:paraId="56FD765A" w14:textId="77777777" w:rsidR="00CD1EB5" w:rsidRPr="00E41690" w:rsidRDefault="00CD1EB5" w:rsidP="003A0E4A">
            <w:pPr>
              <w:keepNext/>
              <w:spacing w:line="240" w:lineRule="auto"/>
              <w:rPr>
                <w:rFonts w:ascii="Times New Roman" w:hAnsi="Times New Roman"/>
                <w:sz w:val="22"/>
                <w:szCs w:val="22"/>
              </w:rPr>
            </w:pPr>
            <w:r w:rsidRPr="00E41690">
              <w:rPr>
                <w:rFonts w:ascii="Times New Roman" w:hAnsi="Times New Roman"/>
                <w:noProof/>
                <w:color w:val="000000" w:themeColor="text1"/>
              </w:rPr>
              <w:drawing>
                <wp:inline distT="0" distB="0" distL="0" distR="0" wp14:anchorId="18669D41" wp14:editId="042DA5A6">
                  <wp:extent cx="2503170" cy="1424066"/>
                  <wp:effectExtent l="0" t="0" r="0" b="0"/>
                  <wp:docPr id="6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229102" name="Image 1789229102"/>
                          <pic:cNvPicPr/>
                        </pic:nvPicPr>
                        <pic:blipFill>
                          <a:blip r:embed="rId67" cstate="email">
                            <a:extLst>
                              <a:ext uri="{28A0092B-C50C-407E-A947-70E740481C1C}">
                                <a14:useLocalDpi xmlns:a14="http://schemas.microsoft.com/office/drawing/2010/main"/>
                              </a:ext>
                            </a:extLst>
                          </a:blip>
                          <a:stretch>
                            <a:fillRect/>
                          </a:stretch>
                        </pic:blipFill>
                        <pic:spPr>
                          <a:xfrm>
                            <a:off x="0" y="0"/>
                            <a:ext cx="2529881" cy="1439262"/>
                          </a:xfrm>
                          <a:prstGeom prst="rect">
                            <a:avLst/>
                          </a:prstGeom>
                        </pic:spPr>
                      </pic:pic>
                    </a:graphicData>
                  </a:graphic>
                </wp:inline>
              </w:drawing>
            </w:r>
          </w:p>
          <w:p w14:paraId="54B231C3" w14:textId="77777777" w:rsidR="00CD1EB5" w:rsidRPr="00E41690" w:rsidRDefault="00CD1EB5" w:rsidP="003A0E4A">
            <w:pPr>
              <w:pStyle w:val="Lgende"/>
              <w:spacing w:line="240" w:lineRule="auto"/>
              <w:rPr>
                <w:rFonts w:eastAsia="Calibri"/>
                <w:i w:val="0"/>
                <w:color w:val="auto"/>
                <w:sz w:val="22"/>
                <w:szCs w:val="22"/>
                <w:lang w:val="fr-FR" w:eastAsia="en-US"/>
              </w:rPr>
            </w:pPr>
            <w:bookmarkStart w:id="385" w:name="_Toc212725245"/>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46</w:t>
            </w:r>
            <w:r w:rsidRPr="00E41690">
              <w:rPr>
                <w:rFonts w:eastAsia="Calibri"/>
                <w:i w:val="0"/>
                <w:color w:val="auto"/>
                <w:sz w:val="22"/>
                <w:szCs w:val="22"/>
                <w:lang w:eastAsia="en-US"/>
              </w:rPr>
              <w:fldChar w:fldCharType="end"/>
            </w:r>
            <w:r w:rsidRPr="00E41690">
              <w:rPr>
                <w:rFonts w:eastAsia="Calibri"/>
                <w:i w:val="0"/>
                <w:color w:val="auto"/>
                <w:sz w:val="22"/>
                <w:szCs w:val="22"/>
                <w:lang w:val="fr-FR" w:eastAsia="en-US"/>
              </w:rPr>
              <w:t>:Canal à ciel ouvert dans l’emprise du collecteur</w:t>
            </w:r>
            <w:bookmarkEnd w:id="385"/>
          </w:p>
          <w:p w14:paraId="532BF09D" w14:textId="77777777" w:rsidR="00CD1EB5" w:rsidRPr="00E41690" w:rsidRDefault="00CD1EB5" w:rsidP="003A0E4A">
            <w:pPr>
              <w:keepNext/>
              <w:spacing w:line="240" w:lineRule="auto"/>
              <w:rPr>
                <w:rFonts w:ascii="Times New Roman" w:hAnsi="Times New Roman"/>
                <w:sz w:val="22"/>
                <w:szCs w:val="22"/>
              </w:rPr>
            </w:pPr>
            <w:r w:rsidRPr="00E41690">
              <w:rPr>
                <w:rFonts w:ascii="Times New Roman" w:hAnsi="Times New Roman"/>
                <w:noProof/>
                <w:color w:val="000000" w:themeColor="text1"/>
              </w:rPr>
              <w:drawing>
                <wp:inline distT="0" distB="0" distL="0" distR="0" wp14:anchorId="576E73E2" wp14:editId="24EF1CB9">
                  <wp:extent cx="2503170" cy="1626432"/>
                  <wp:effectExtent l="0" t="0" r="0" b="0"/>
                  <wp:docPr id="65"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677839" name="Image 1291677839"/>
                          <pic:cNvPicPr/>
                        </pic:nvPicPr>
                        <pic:blipFill>
                          <a:blip r:embed="rId68" cstate="email">
                            <a:extLst>
                              <a:ext uri="{28A0092B-C50C-407E-A947-70E740481C1C}">
                                <a14:useLocalDpi xmlns:a14="http://schemas.microsoft.com/office/drawing/2010/main"/>
                              </a:ext>
                            </a:extLst>
                          </a:blip>
                          <a:stretch>
                            <a:fillRect/>
                          </a:stretch>
                        </pic:blipFill>
                        <pic:spPr>
                          <a:xfrm>
                            <a:off x="0" y="0"/>
                            <a:ext cx="2509723" cy="1630690"/>
                          </a:xfrm>
                          <a:prstGeom prst="rect">
                            <a:avLst/>
                          </a:prstGeom>
                        </pic:spPr>
                      </pic:pic>
                    </a:graphicData>
                  </a:graphic>
                </wp:inline>
              </w:drawing>
            </w:r>
          </w:p>
          <w:p w14:paraId="57BA8AA7" w14:textId="77777777" w:rsidR="00CD1EB5" w:rsidRPr="00E41690" w:rsidRDefault="00CD1EB5" w:rsidP="003A0E4A">
            <w:pPr>
              <w:pStyle w:val="Lgende"/>
              <w:spacing w:line="240" w:lineRule="auto"/>
              <w:rPr>
                <w:rFonts w:eastAsia="Calibri"/>
                <w:i w:val="0"/>
                <w:color w:val="auto"/>
                <w:sz w:val="22"/>
                <w:szCs w:val="22"/>
                <w:lang w:val="fr-FR" w:eastAsia="en-US"/>
              </w:rPr>
            </w:pPr>
            <w:bookmarkStart w:id="386" w:name="_Toc212725246"/>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47</w:t>
            </w:r>
            <w:r w:rsidRPr="00E41690">
              <w:rPr>
                <w:rFonts w:eastAsia="Calibri"/>
                <w:i w:val="0"/>
                <w:color w:val="auto"/>
                <w:sz w:val="22"/>
                <w:szCs w:val="22"/>
                <w:lang w:eastAsia="en-US"/>
              </w:rPr>
              <w:fldChar w:fldCharType="end"/>
            </w:r>
            <w:r w:rsidRPr="00E41690">
              <w:rPr>
                <w:rFonts w:eastAsia="Calibri"/>
                <w:i w:val="0"/>
                <w:color w:val="auto"/>
                <w:sz w:val="22"/>
                <w:szCs w:val="22"/>
                <w:lang w:val="fr-FR" w:eastAsia="en-US"/>
              </w:rPr>
              <w:t>:Vue de l’emprise du collecteur</w:t>
            </w:r>
            <w:bookmarkEnd w:id="386"/>
          </w:p>
          <w:p w14:paraId="2A661DC8" w14:textId="77777777" w:rsidR="00CD1EB5" w:rsidRPr="00E41690" w:rsidRDefault="00CD1EB5" w:rsidP="003A0E4A">
            <w:pPr>
              <w:keepNext/>
              <w:spacing w:line="240" w:lineRule="auto"/>
              <w:rPr>
                <w:rFonts w:ascii="Times New Roman" w:hAnsi="Times New Roman"/>
                <w:sz w:val="22"/>
                <w:szCs w:val="22"/>
              </w:rPr>
            </w:pPr>
            <w:r w:rsidRPr="00E41690">
              <w:rPr>
                <w:rFonts w:ascii="Times New Roman" w:hAnsi="Times New Roman"/>
                <w:noProof/>
                <w:color w:val="000000" w:themeColor="text1"/>
              </w:rPr>
              <w:lastRenderedPageBreak/>
              <w:drawing>
                <wp:inline distT="0" distB="0" distL="0" distR="0" wp14:anchorId="6B904B94" wp14:editId="403AA595">
                  <wp:extent cx="2502245" cy="1281659"/>
                  <wp:effectExtent l="0" t="0" r="0" b="1270"/>
                  <wp:docPr id="66" name="Image 18" descr="Une image contenant plein air, ciel, sol, mais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 18" descr="Une image contenant plein air, ciel, sol, maison&#10;&#10;Le contenu généré par l’IA peut être incorrect."/>
                          <pic:cNvPicPr/>
                        </pic:nvPicPr>
                        <pic:blipFill>
                          <a:blip r:embed="rId69" cstate="email">
                            <a:extLst>
                              <a:ext uri="{28A0092B-C50C-407E-A947-70E740481C1C}">
                                <a14:useLocalDpi xmlns:a14="http://schemas.microsoft.com/office/drawing/2010/main"/>
                              </a:ext>
                            </a:extLst>
                          </a:blip>
                          <a:stretch>
                            <a:fillRect/>
                          </a:stretch>
                        </pic:blipFill>
                        <pic:spPr>
                          <a:xfrm>
                            <a:off x="0" y="0"/>
                            <a:ext cx="2517580" cy="1289513"/>
                          </a:xfrm>
                          <a:prstGeom prst="rect">
                            <a:avLst/>
                          </a:prstGeom>
                        </pic:spPr>
                      </pic:pic>
                    </a:graphicData>
                  </a:graphic>
                </wp:inline>
              </w:drawing>
            </w:r>
          </w:p>
          <w:p w14:paraId="2A9157D3" w14:textId="77777777" w:rsidR="00CD1EB5" w:rsidRPr="00E41690" w:rsidRDefault="00CD1EB5" w:rsidP="003A0E4A">
            <w:pPr>
              <w:pStyle w:val="Lgende"/>
              <w:spacing w:line="240" w:lineRule="auto"/>
              <w:rPr>
                <w:i w:val="0"/>
                <w:color w:val="000000" w:themeColor="text1"/>
                <w:sz w:val="22"/>
                <w:szCs w:val="22"/>
                <w:lang w:val="fr-FR"/>
              </w:rPr>
            </w:pPr>
            <w:bookmarkStart w:id="387" w:name="_Toc212725247"/>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48</w:t>
            </w:r>
            <w:r w:rsidRPr="00E41690">
              <w:rPr>
                <w:rFonts w:eastAsia="Calibri"/>
                <w:i w:val="0"/>
                <w:color w:val="auto"/>
                <w:sz w:val="22"/>
                <w:szCs w:val="22"/>
                <w:lang w:eastAsia="en-US"/>
              </w:rPr>
              <w:fldChar w:fldCharType="end"/>
            </w:r>
            <w:r w:rsidRPr="00E41690">
              <w:rPr>
                <w:rFonts w:eastAsia="Calibri"/>
                <w:i w:val="0"/>
                <w:color w:val="auto"/>
                <w:sz w:val="22"/>
                <w:szCs w:val="22"/>
                <w:lang w:val="fr-FR" w:eastAsia="en-US"/>
              </w:rPr>
              <w:t xml:space="preserve">:Commissariat de police de </w:t>
            </w:r>
            <w:proofErr w:type="spellStart"/>
            <w:r w:rsidRPr="00E41690">
              <w:rPr>
                <w:rFonts w:eastAsia="Calibri"/>
                <w:i w:val="0"/>
                <w:color w:val="auto"/>
                <w:sz w:val="22"/>
                <w:szCs w:val="22"/>
                <w:lang w:val="fr-FR" w:eastAsia="en-US"/>
              </w:rPr>
              <w:t>Jaxaay</w:t>
            </w:r>
            <w:proofErr w:type="spellEnd"/>
            <w:r w:rsidRPr="00E41690">
              <w:rPr>
                <w:rFonts w:eastAsia="Calibri"/>
                <w:i w:val="0"/>
                <w:color w:val="auto"/>
                <w:sz w:val="22"/>
                <w:szCs w:val="22"/>
                <w:lang w:val="fr-FR" w:eastAsia="en-US"/>
              </w:rPr>
              <w:t xml:space="preserve"> à la limite de l’emprise du collecteur</w:t>
            </w:r>
            <w:bookmarkEnd w:id="387"/>
          </w:p>
        </w:tc>
        <w:tc>
          <w:tcPr>
            <w:tcW w:w="1300" w:type="pct"/>
          </w:tcPr>
          <w:p w14:paraId="24E30F26"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Gestion de la mobilité des personnes et des biens ;</w:t>
            </w:r>
          </w:p>
          <w:p w14:paraId="35C8E1F2"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Maintien de l’accès aux habitations ;</w:t>
            </w:r>
          </w:p>
          <w:p w14:paraId="7690E324"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eaux pluviales ;</w:t>
            </w:r>
          </w:p>
          <w:p w14:paraId="2F66E14D" w14:textId="77777777" w:rsidR="00CD1EB5" w:rsidRPr="00260790" w:rsidRDefault="00CD1EB5" w:rsidP="001748C6">
            <w:pPr>
              <w:keepNext/>
              <w:numPr>
                <w:ilvl w:val="0"/>
                <w:numId w:val="120"/>
              </w:numPr>
              <w:spacing w:line="240" w:lineRule="auto"/>
              <w:contextualSpacing/>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 la tranquillité des riverains ;</w:t>
            </w:r>
          </w:p>
          <w:p w14:paraId="18DE1F2A" w14:textId="77777777" w:rsidR="00CD1EB5" w:rsidRPr="00260790" w:rsidRDefault="00CD1EB5" w:rsidP="001748C6">
            <w:pPr>
              <w:keepNext/>
              <w:numPr>
                <w:ilvl w:val="0"/>
                <w:numId w:val="120"/>
              </w:numPr>
              <w:spacing w:line="240" w:lineRule="auto"/>
              <w:contextualSpacing/>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Gestion des déchets et des eaux usées </w:t>
            </w:r>
          </w:p>
          <w:p w14:paraId="1C5E6015"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réseaux des concessionnaires (SENELEC) et Maintien de la continuité de leur service ;</w:t>
            </w:r>
          </w:p>
          <w:p w14:paraId="6B98C697"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 la santé des travailleurs ;</w:t>
            </w:r>
          </w:p>
          <w:p w14:paraId="5F077B33" w14:textId="77777777" w:rsidR="00CD1EB5" w:rsidRPr="00260790" w:rsidRDefault="00CD1EB5" w:rsidP="003A0E4A">
            <w:pPr>
              <w:keepNext/>
              <w:spacing w:line="240" w:lineRule="auto"/>
              <w:contextualSpacing/>
              <w:rPr>
                <w:rFonts w:ascii="Times New Roman" w:hAnsi="Times New Roman"/>
                <w:color w:val="000000" w:themeColor="text1"/>
                <w:sz w:val="22"/>
                <w:szCs w:val="22"/>
                <w:lang w:val="fr-FR"/>
              </w:rPr>
            </w:pPr>
          </w:p>
        </w:tc>
      </w:tr>
      <w:tr w:rsidR="00CD1EB5" w:rsidRPr="00260790" w14:paraId="2EE7D698" w14:textId="77777777" w:rsidTr="003A0E4A">
        <w:trPr>
          <w:trHeight w:val="2268"/>
        </w:trPr>
        <w:tc>
          <w:tcPr>
            <w:tcW w:w="734" w:type="pct"/>
            <w:vAlign w:val="center"/>
          </w:tcPr>
          <w:p w14:paraId="67AF55A0" w14:textId="77777777" w:rsidR="00CD1EB5" w:rsidRPr="00260790" w:rsidRDefault="00CD1EB5" w:rsidP="003A0E4A">
            <w:pPr>
              <w:spacing w:line="240" w:lineRule="auto"/>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Collecteur BR_NA 09 vers BR_NA 16g</w:t>
            </w:r>
          </w:p>
        </w:tc>
        <w:tc>
          <w:tcPr>
            <w:tcW w:w="1528" w:type="pct"/>
          </w:tcPr>
          <w:p w14:paraId="4C74B929" w14:textId="53EAD06A"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Ce réseau passe dans les quartiers UCAD 1, 2 et 4, </w:t>
            </w:r>
            <w:proofErr w:type="spellStart"/>
            <w:r w:rsidRPr="00260790">
              <w:rPr>
                <w:rFonts w:ascii="Times New Roman" w:hAnsi="Times New Roman"/>
                <w:color w:val="000000" w:themeColor="text1"/>
                <w:sz w:val="22"/>
                <w:szCs w:val="22"/>
                <w:lang w:val="fr-FR"/>
              </w:rPr>
              <w:t>Diamagu</w:t>
            </w:r>
            <w:r w:rsidR="00073991">
              <w:rPr>
                <w:rFonts w:ascii="Times New Roman" w:hAnsi="Times New Roman"/>
                <w:color w:val="000000" w:themeColor="text1"/>
                <w:sz w:val="22"/>
                <w:szCs w:val="22"/>
                <w:lang w:val="fr-FR"/>
              </w:rPr>
              <w:t>eu</w:t>
            </w:r>
            <w:r w:rsidRPr="00260790">
              <w:rPr>
                <w:rFonts w:ascii="Times New Roman" w:hAnsi="Times New Roman"/>
                <w:color w:val="000000" w:themeColor="text1"/>
                <w:sz w:val="22"/>
                <w:szCs w:val="22"/>
                <w:lang w:val="fr-FR"/>
              </w:rPr>
              <w:t>ne</w:t>
            </w:r>
            <w:proofErr w:type="spellEnd"/>
            <w:r w:rsidRPr="00260790">
              <w:rPr>
                <w:rFonts w:ascii="Times New Roman" w:hAnsi="Times New Roman"/>
                <w:color w:val="000000" w:themeColor="text1"/>
                <w:sz w:val="22"/>
                <w:szCs w:val="22"/>
                <w:lang w:val="fr-FR"/>
              </w:rPr>
              <w:t xml:space="preserve"> Mbao Gade, Bougouma Seck, Darou Salam 1 et la forêt classée de Mbao.</w:t>
            </w:r>
          </w:p>
          <w:p w14:paraId="34F03229"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Ce collecteur est composé de deux segments :</w:t>
            </w:r>
          </w:p>
          <w:p w14:paraId="7DC127AE"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proofErr w:type="gramStart"/>
            <w:r w:rsidRPr="00260790">
              <w:rPr>
                <w:rFonts w:ascii="Times New Roman" w:hAnsi="Times New Roman"/>
                <w:color w:val="000000" w:themeColor="text1"/>
                <w:sz w:val="22"/>
                <w:szCs w:val="22"/>
                <w:lang w:val="fr-FR"/>
              </w:rPr>
              <w:t>un</w:t>
            </w:r>
            <w:proofErr w:type="gramEnd"/>
            <w:r w:rsidRPr="00260790">
              <w:rPr>
                <w:rFonts w:ascii="Times New Roman" w:hAnsi="Times New Roman"/>
                <w:color w:val="000000" w:themeColor="text1"/>
                <w:sz w:val="22"/>
                <w:szCs w:val="22"/>
                <w:lang w:val="fr-FR"/>
              </w:rPr>
              <w:t xml:space="preserve"> segment de 596,17 m de long qui part du bassin</w:t>
            </w:r>
            <w:r w:rsidRPr="00260790">
              <w:rPr>
                <w:rFonts w:ascii="Times New Roman" w:hAnsi="Times New Roman"/>
                <w:color w:val="000000" w:themeColor="text1"/>
                <w:sz w:val="22"/>
                <w:szCs w:val="22"/>
                <w:lang w:val="fr-SN"/>
              </w:rPr>
              <w:t xml:space="preserve"> </w:t>
            </w:r>
            <w:r w:rsidRPr="00260790">
              <w:rPr>
                <w:rFonts w:ascii="Times New Roman" w:hAnsi="Times New Roman"/>
                <w:color w:val="000000" w:themeColor="text1"/>
                <w:sz w:val="22"/>
                <w:szCs w:val="22"/>
                <w:lang w:val="fr-FR"/>
              </w:rPr>
              <w:t>BR_NA 09 et rejoint le collecteur principal qui va jusqu’au bassin</w:t>
            </w:r>
            <w:r w:rsidRPr="00260790">
              <w:rPr>
                <w:rFonts w:ascii="Times New Roman" w:hAnsi="Times New Roman"/>
                <w:color w:val="000000" w:themeColor="text1"/>
                <w:sz w:val="22"/>
                <w:szCs w:val="22"/>
                <w:lang w:val="fr-SN"/>
              </w:rPr>
              <w:t xml:space="preserve"> </w:t>
            </w:r>
            <w:r w:rsidRPr="00260790">
              <w:rPr>
                <w:rFonts w:ascii="Times New Roman" w:hAnsi="Times New Roman"/>
                <w:color w:val="000000" w:themeColor="text1"/>
                <w:sz w:val="22"/>
                <w:szCs w:val="22"/>
                <w:lang w:val="fr-FR"/>
              </w:rPr>
              <w:t xml:space="preserve">BR_NA 16g. Ce réseau passe dans une rue bordée de part et d’autre par des habitations et un kiosque. Deux (02) pieds de </w:t>
            </w:r>
            <w:r w:rsidRPr="00260790">
              <w:rPr>
                <w:rFonts w:ascii="Times New Roman" w:hAnsi="Times New Roman"/>
                <w:i/>
                <w:color w:val="000000" w:themeColor="text1"/>
                <w:sz w:val="22"/>
                <w:szCs w:val="22"/>
                <w:lang w:val="fr-FR"/>
              </w:rPr>
              <w:t xml:space="preserve">Hura </w:t>
            </w:r>
            <w:proofErr w:type="spellStart"/>
            <w:r w:rsidRPr="00260790">
              <w:rPr>
                <w:rFonts w:ascii="Times New Roman" w:hAnsi="Times New Roman"/>
                <w:i/>
                <w:color w:val="000000" w:themeColor="text1"/>
                <w:sz w:val="22"/>
                <w:szCs w:val="22"/>
                <w:lang w:val="fr-FR"/>
              </w:rPr>
              <w:t>crepitans</w:t>
            </w:r>
            <w:proofErr w:type="spellEnd"/>
            <w:r w:rsidRPr="00260790">
              <w:rPr>
                <w:rFonts w:ascii="Times New Roman" w:hAnsi="Times New Roman"/>
                <w:color w:val="000000" w:themeColor="text1"/>
                <w:sz w:val="22"/>
                <w:szCs w:val="22"/>
                <w:lang w:val="fr-FR"/>
              </w:rPr>
              <w:t xml:space="preserve">, un (01) </w:t>
            </w:r>
            <w:proofErr w:type="spellStart"/>
            <w:r w:rsidRPr="00260790">
              <w:rPr>
                <w:rFonts w:ascii="Times New Roman" w:hAnsi="Times New Roman"/>
                <w:i/>
                <w:color w:val="000000" w:themeColor="text1"/>
                <w:sz w:val="22"/>
                <w:szCs w:val="22"/>
                <w:lang w:val="fr-FR"/>
              </w:rPr>
              <w:t>Terminalia</w:t>
            </w:r>
            <w:proofErr w:type="spellEnd"/>
            <w:r w:rsidRPr="00260790">
              <w:rPr>
                <w:rFonts w:ascii="Times New Roman" w:hAnsi="Times New Roman"/>
                <w:color w:val="000000" w:themeColor="text1"/>
                <w:sz w:val="22"/>
                <w:szCs w:val="22"/>
                <w:lang w:val="fr-FR"/>
              </w:rPr>
              <w:t xml:space="preserve"> </w:t>
            </w:r>
            <w:proofErr w:type="spellStart"/>
            <w:r w:rsidRPr="00260790">
              <w:rPr>
                <w:rFonts w:ascii="Times New Roman" w:hAnsi="Times New Roman"/>
                <w:i/>
                <w:color w:val="000000" w:themeColor="text1"/>
                <w:sz w:val="22"/>
                <w:szCs w:val="22"/>
                <w:lang w:val="fr-FR"/>
              </w:rPr>
              <w:t>mentali</w:t>
            </w:r>
            <w:proofErr w:type="spellEnd"/>
            <w:r w:rsidRPr="00260790">
              <w:rPr>
                <w:rFonts w:ascii="Times New Roman" w:hAnsi="Times New Roman"/>
                <w:color w:val="000000" w:themeColor="text1"/>
                <w:sz w:val="22"/>
                <w:szCs w:val="22"/>
                <w:lang w:val="fr-FR"/>
              </w:rPr>
              <w:t xml:space="preserve">, trois (03) </w:t>
            </w:r>
            <w:r w:rsidRPr="00260790">
              <w:rPr>
                <w:rFonts w:ascii="Times New Roman" w:hAnsi="Times New Roman"/>
                <w:i/>
                <w:color w:val="000000" w:themeColor="text1"/>
                <w:sz w:val="22"/>
                <w:szCs w:val="22"/>
                <w:lang w:val="fr-FR"/>
              </w:rPr>
              <w:t>cocotiers</w:t>
            </w:r>
            <w:r w:rsidRPr="00260790">
              <w:rPr>
                <w:rFonts w:ascii="Times New Roman" w:hAnsi="Times New Roman"/>
                <w:color w:val="000000" w:themeColor="text1"/>
                <w:sz w:val="22"/>
                <w:szCs w:val="22"/>
                <w:lang w:val="fr-FR"/>
              </w:rPr>
              <w:t xml:space="preserve">, un (01) </w:t>
            </w:r>
            <w:r w:rsidRPr="00260790">
              <w:rPr>
                <w:rFonts w:ascii="Times New Roman" w:hAnsi="Times New Roman"/>
                <w:i/>
                <w:color w:val="000000" w:themeColor="text1"/>
                <w:sz w:val="22"/>
                <w:szCs w:val="22"/>
                <w:lang w:val="fr-FR"/>
              </w:rPr>
              <w:t>bananier</w:t>
            </w:r>
            <w:r w:rsidRPr="00260790">
              <w:rPr>
                <w:rFonts w:ascii="Times New Roman" w:hAnsi="Times New Roman"/>
                <w:color w:val="000000" w:themeColor="text1"/>
                <w:sz w:val="22"/>
                <w:szCs w:val="22"/>
                <w:lang w:val="fr-FR"/>
              </w:rPr>
              <w:t xml:space="preserve"> et une population de </w:t>
            </w:r>
            <w:r w:rsidRPr="00260790">
              <w:rPr>
                <w:rFonts w:ascii="Times New Roman" w:hAnsi="Times New Roman"/>
                <w:i/>
                <w:color w:val="000000" w:themeColor="text1"/>
                <w:sz w:val="22"/>
                <w:szCs w:val="22"/>
                <w:lang w:val="fr-FR"/>
              </w:rPr>
              <w:t>ricin</w:t>
            </w:r>
            <w:r w:rsidRPr="00260790">
              <w:rPr>
                <w:rFonts w:ascii="Times New Roman" w:hAnsi="Times New Roman"/>
                <w:color w:val="000000" w:themeColor="text1"/>
                <w:sz w:val="22"/>
                <w:szCs w:val="22"/>
                <w:lang w:val="fr-FR"/>
              </w:rPr>
              <w:t xml:space="preserve"> sont identifiés à proximité de la conduite.</w:t>
            </w:r>
          </w:p>
          <w:p w14:paraId="761C47C7"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Un autre segment long de 1767,55 m qui passe dans une ruelle à environ 200 m avant joindre le collecteur principal longeant une grande piste latéritique. </w:t>
            </w:r>
          </w:p>
          <w:p w14:paraId="35FA8A04"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Ce collecteur passe devant des habitations, une usine, un atelier mécanique et une zone de stationnement de camions frigorifiques. Des regards et conduite AEP gros diamètre, un (01) </w:t>
            </w:r>
            <w:r w:rsidRPr="00260790">
              <w:rPr>
                <w:rFonts w:ascii="Times New Roman" w:hAnsi="Times New Roman"/>
                <w:i/>
                <w:color w:val="000000" w:themeColor="text1"/>
                <w:sz w:val="22"/>
                <w:szCs w:val="22"/>
                <w:lang w:val="fr-FR"/>
              </w:rPr>
              <w:t xml:space="preserve">Cordia </w:t>
            </w:r>
            <w:proofErr w:type="spellStart"/>
            <w:r w:rsidRPr="00260790">
              <w:rPr>
                <w:rFonts w:ascii="Times New Roman" w:hAnsi="Times New Roman"/>
                <w:i/>
                <w:color w:val="000000" w:themeColor="text1"/>
                <w:sz w:val="22"/>
                <w:szCs w:val="22"/>
                <w:lang w:val="fr-FR"/>
              </w:rPr>
              <w:t>sebestena</w:t>
            </w:r>
            <w:proofErr w:type="spellEnd"/>
            <w:r w:rsidRPr="00260790">
              <w:rPr>
                <w:rFonts w:ascii="Times New Roman" w:hAnsi="Times New Roman"/>
                <w:color w:val="000000" w:themeColor="text1"/>
                <w:sz w:val="22"/>
                <w:szCs w:val="22"/>
                <w:lang w:val="fr-FR"/>
              </w:rPr>
              <w:t xml:space="preserve"> et un (01) </w:t>
            </w:r>
            <w:r w:rsidRPr="00260790">
              <w:rPr>
                <w:rFonts w:ascii="Times New Roman" w:hAnsi="Times New Roman"/>
                <w:i/>
                <w:color w:val="000000" w:themeColor="text1"/>
                <w:sz w:val="22"/>
                <w:szCs w:val="22"/>
                <w:lang w:val="fr-FR"/>
              </w:rPr>
              <w:t>cocotier</w:t>
            </w:r>
            <w:r w:rsidRPr="00260790">
              <w:rPr>
                <w:rFonts w:ascii="Times New Roman" w:hAnsi="Times New Roman"/>
                <w:color w:val="000000" w:themeColor="text1"/>
                <w:sz w:val="22"/>
                <w:szCs w:val="22"/>
                <w:lang w:val="fr-FR"/>
              </w:rPr>
              <w:t xml:space="preserve"> sont identifiés sur l’emprise du collecteur principal.</w:t>
            </w:r>
          </w:p>
        </w:tc>
        <w:tc>
          <w:tcPr>
            <w:tcW w:w="1438" w:type="pct"/>
          </w:tcPr>
          <w:p w14:paraId="678D8482" w14:textId="77777777" w:rsidR="00CD1EB5" w:rsidRPr="00E41690" w:rsidRDefault="00CD1EB5" w:rsidP="003A0E4A">
            <w:pPr>
              <w:pStyle w:val="Lgende"/>
              <w:spacing w:line="240" w:lineRule="auto"/>
              <w:rPr>
                <w:rFonts w:eastAsia="Calibri"/>
                <w:i w:val="0"/>
                <w:color w:val="auto"/>
                <w:sz w:val="22"/>
                <w:szCs w:val="22"/>
                <w:lang w:eastAsia="en-US"/>
              </w:rPr>
            </w:pPr>
            <w:r w:rsidRPr="00E41690">
              <w:rPr>
                <w:rFonts w:eastAsia="Calibri"/>
                <w:i w:val="0"/>
                <w:noProof/>
                <w:color w:val="auto"/>
                <w:sz w:val="22"/>
                <w:szCs w:val="22"/>
                <w:lang w:eastAsia="en-US"/>
              </w:rPr>
              <w:drawing>
                <wp:inline distT="0" distB="0" distL="0" distR="0" wp14:anchorId="1CDBDFAD" wp14:editId="23A65C96">
                  <wp:extent cx="2501900" cy="1236689"/>
                  <wp:effectExtent l="0" t="0" r="0" b="0"/>
                  <wp:docPr id="67"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716874" name="Image 797716874"/>
                          <pic:cNvPicPr/>
                        </pic:nvPicPr>
                        <pic:blipFill>
                          <a:blip r:embed="rId70" cstate="email">
                            <a:extLst>
                              <a:ext uri="{28A0092B-C50C-407E-A947-70E740481C1C}">
                                <a14:useLocalDpi xmlns:a14="http://schemas.microsoft.com/office/drawing/2010/main"/>
                              </a:ext>
                            </a:extLst>
                          </a:blip>
                          <a:stretch>
                            <a:fillRect/>
                          </a:stretch>
                        </pic:blipFill>
                        <pic:spPr>
                          <a:xfrm>
                            <a:off x="0" y="0"/>
                            <a:ext cx="2515329" cy="1243327"/>
                          </a:xfrm>
                          <a:prstGeom prst="rect">
                            <a:avLst/>
                          </a:prstGeom>
                        </pic:spPr>
                      </pic:pic>
                    </a:graphicData>
                  </a:graphic>
                </wp:inline>
              </w:drawing>
            </w:r>
          </w:p>
          <w:p w14:paraId="3B214CE3" w14:textId="77777777" w:rsidR="00CD1EB5" w:rsidRPr="00E41690" w:rsidRDefault="00CD1EB5" w:rsidP="003A0E4A">
            <w:pPr>
              <w:pStyle w:val="Lgende"/>
              <w:spacing w:line="240" w:lineRule="auto"/>
              <w:rPr>
                <w:rFonts w:eastAsia="Calibri"/>
                <w:i w:val="0"/>
                <w:color w:val="auto"/>
                <w:sz w:val="22"/>
                <w:szCs w:val="22"/>
                <w:lang w:val="fr-FR" w:eastAsia="en-US"/>
              </w:rPr>
            </w:pPr>
            <w:bookmarkStart w:id="388" w:name="_Toc212725248"/>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49</w:t>
            </w:r>
            <w:r w:rsidRPr="00E41690">
              <w:rPr>
                <w:rFonts w:eastAsia="Calibri"/>
                <w:i w:val="0"/>
                <w:color w:val="auto"/>
                <w:sz w:val="22"/>
                <w:szCs w:val="22"/>
                <w:lang w:eastAsia="en-US"/>
              </w:rPr>
              <w:fldChar w:fldCharType="end"/>
            </w:r>
            <w:r w:rsidRPr="00E41690">
              <w:rPr>
                <w:rFonts w:eastAsia="Calibri"/>
                <w:i w:val="0"/>
                <w:color w:val="auto"/>
                <w:sz w:val="22"/>
                <w:szCs w:val="22"/>
                <w:lang w:val="fr-FR" w:eastAsia="en-US"/>
              </w:rPr>
              <w:t>:Vue de l’emprise du segment 1</w:t>
            </w:r>
            <w:bookmarkEnd w:id="388"/>
          </w:p>
          <w:p w14:paraId="078F7C41" w14:textId="77777777" w:rsidR="00CD1EB5" w:rsidRPr="00E41690" w:rsidRDefault="00CD1EB5" w:rsidP="003A0E4A">
            <w:pPr>
              <w:pStyle w:val="Lgende"/>
              <w:spacing w:line="240" w:lineRule="auto"/>
              <w:rPr>
                <w:rFonts w:eastAsia="Calibri"/>
                <w:i w:val="0"/>
                <w:color w:val="auto"/>
                <w:sz w:val="22"/>
                <w:szCs w:val="22"/>
                <w:lang w:eastAsia="en-US"/>
              </w:rPr>
            </w:pPr>
            <w:r w:rsidRPr="00E41690">
              <w:rPr>
                <w:rFonts w:eastAsia="Calibri"/>
                <w:i w:val="0"/>
                <w:noProof/>
                <w:color w:val="auto"/>
                <w:sz w:val="22"/>
                <w:szCs w:val="22"/>
                <w:lang w:eastAsia="en-US"/>
              </w:rPr>
              <w:drawing>
                <wp:inline distT="0" distB="0" distL="0" distR="0" wp14:anchorId="129F07E3" wp14:editId="07069C49">
                  <wp:extent cx="2503170" cy="1461541"/>
                  <wp:effectExtent l="0" t="0" r="0" b="0"/>
                  <wp:docPr id="68"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616234" name="Image 2066616234"/>
                          <pic:cNvPicPr/>
                        </pic:nvPicPr>
                        <pic:blipFill>
                          <a:blip r:embed="rId71" cstate="email">
                            <a:extLst>
                              <a:ext uri="{28A0092B-C50C-407E-A947-70E740481C1C}">
                                <a14:useLocalDpi xmlns:a14="http://schemas.microsoft.com/office/drawing/2010/main"/>
                              </a:ext>
                            </a:extLst>
                          </a:blip>
                          <a:stretch>
                            <a:fillRect/>
                          </a:stretch>
                        </pic:blipFill>
                        <pic:spPr>
                          <a:xfrm>
                            <a:off x="0" y="0"/>
                            <a:ext cx="2527034" cy="1475475"/>
                          </a:xfrm>
                          <a:prstGeom prst="rect">
                            <a:avLst/>
                          </a:prstGeom>
                        </pic:spPr>
                      </pic:pic>
                    </a:graphicData>
                  </a:graphic>
                </wp:inline>
              </w:drawing>
            </w:r>
          </w:p>
          <w:p w14:paraId="269E90A6" w14:textId="77777777" w:rsidR="00CD1EB5" w:rsidRPr="00E41690" w:rsidRDefault="00CD1EB5" w:rsidP="003A0E4A">
            <w:pPr>
              <w:pStyle w:val="Lgende"/>
              <w:spacing w:line="240" w:lineRule="auto"/>
              <w:rPr>
                <w:rFonts w:eastAsia="Calibri"/>
                <w:i w:val="0"/>
                <w:color w:val="auto"/>
                <w:sz w:val="22"/>
                <w:szCs w:val="22"/>
                <w:lang w:val="fr-FR" w:eastAsia="en-US"/>
              </w:rPr>
            </w:pPr>
            <w:bookmarkStart w:id="389" w:name="_Toc212725249"/>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50</w:t>
            </w:r>
            <w:r w:rsidRPr="00E41690">
              <w:rPr>
                <w:rFonts w:eastAsia="Calibri"/>
                <w:i w:val="0"/>
                <w:color w:val="auto"/>
                <w:sz w:val="22"/>
                <w:szCs w:val="22"/>
                <w:lang w:eastAsia="en-US"/>
              </w:rPr>
              <w:fldChar w:fldCharType="end"/>
            </w:r>
            <w:r w:rsidRPr="00E41690">
              <w:rPr>
                <w:rFonts w:eastAsia="Calibri"/>
                <w:i w:val="0"/>
                <w:color w:val="auto"/>
                <w:sz w:val="22"/>
                <w:szCs w:val="22"/>
                <w:lang w:val="fr-FR" w:eastAsia="en-US"/>
              </w:rPr>
              <w:t xml:space="preserve">:1 pied de </w:t>
            </w:r>
            <w:proofErr w:type="spellStart"/>
            <w:r w:rsidRPr="00E41690">
              <w:rPr>
                <w:rFonts w:eastAsia="Calibri"/>
                <w:i w:val="0"/>
                <w:color w:val="auto"/>
                <w:sz w:val="22"/>
                <w:szCs w:val="22"/>
                <w:lang w:val="fr-FR" w:eastAsia="en-US"/>
              </w:rPr>
              <w:t>Terminalia</w:t>
            </w:r>
            <w:proofErr w:type="spellEnd"/>
            <w:r w:rsidRPr="00E41690">
              <w:rPr>
                <w:rFonts w:eastAsia="Calibri"/>
                <w:i w:val="0"/>
                <w:color w:val="auto"/>
                <w:sz w:val="22"/>
                <w:szCs w:val="22"/>
                <w:lang w:val="fr-FR" w:eastAsia="en-US"/>
              </w:rPr>
              <w:t xml:space="preserve"> </w:t>
            </w:r>
            <w:proofErr w:type="spellStart"/>
            <w:r w:rsidRPr="00E41690">
              <w:rPr>
                <w:rFonts w:eastAsia="Calibri"/>
                <w:i w:val="0"/>
                <w:color w:val="auto"/>
                <w:sz w:val="22"/>
                <w:szCs w:val="22"/>
                <w:lang w:val="fr-FR" w:eastAsia="en-US"/>
              </w:rPr>
              <w:t>mentali</w:t>
            </w:r>
            <w:proofErr w:type="spellEnd"/>
            <w:r w:rsidRPr="00E41690">
              <w:rPr>
                <w:rFonts w:eastAsia="Calibri"/>
                <w:i w:val="0"/>
                <w:color w:val="auto"/>
                <w:sz w:val="22"/>
                <w:szCs w:val="22"/>
                <w:lang w:val="fr-FR" w:eastAsia="en-US"/>
              </w:rPr>
              <w:t xml:space="preserve"> et 1pied Hura</w:t>
            </w:r>
            <w:bookmarkEnd w:id="389"/>
            <w:r w:rsidRPr="00E41690">
              <w:rPr>
                <w:rFonts w:eastAsia="Calibri"/>
                <w:i w:val="0"/>
                <w:color w:val="auto"/>
                <w:sz w:val="22"/>
                <w:szCs w:val="22"/>
                <w:lang w:val="fr-FR" w:eastAsia="en-US"/>
              </w:rPr>
              <w:t xml:space="preserve"> </w:t>
            </w:r>
          </w:p>
          <w:p w14:paraId="2C1FEB46" w14:textId="77777777" w:rsidR="00CD1EB5" w:rsidRPr="00E41690" w:rsidRDefault="00CD1EB5" w:rsidP="003A0E4A">
            <w:pPr>
              <w:pStyle w:val="Lgende"/>
              <w:spacing w:line="240" w:lineRule="auto"/>
              <w:rPr>
                <w:rFonts w:eastAsia="Calibri"/>
                <w:i w:val="0"/>
                <w:color w:val="auto"/>
                <w:sz w:val="22"/>
                <w:szCs w:val="22"/>
                <w:lang w:eastAsia="en-US"/>
              </w:rPr>
            </w:pPr>
            <w:r w:rsidRPr="00E41690">
              <w:rPr>
                <w:rFonts w:eastAsia="Calibri"/>
                <w:i w:val="0"/>
                <w:noProof/>
                <w:color w:val="auto"/>
                <w:sz w:val="22"/>
                <w:szCs w:val="22"/>
                <w:lang w:eastAsia="en-US"/>
              </w:rPr>
              <w:lastRenderedPageBreak/>
              <w:drawing>
                <wp:inline distT="0" distB="0" distL="0" distR="0" wp14:anchorId="29DF4EC9" wp14:editId="079555BB">
                  <wp:extent cx="2503170" cy="1543986"/>
                  <wp:effectExtent l="0" t="0" r="0" b="5715"/>
                  <wp:docPr id="69"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25787" name="Image 844125787"/>
                          <pic:cNvPicPr/>
                        </pic:nvPicPr>
                        <pic:blipFill>
                          <a:blip r:embed="rId72" cstate="email">
                            <a:extLst>
                              <a:ext uri="{28A0092B-C50C-407E-A947-70E740481C1C}">
                                <a14:useLocalDpi xmlns:a14="http://schemas.microsoft.com/office/drawing/2010/main"/>
                              </a:ext>
                            </a:extLst>
                          </a:blip>
                          <a:stretch>
                            <a:fillRect/>
                          </a:stretch>
                        </pic:blipFill>
                        <pic:spPr>
                          <a:xfrm>
                            <a:off x="0" y="0"/>
                            <a:ext cx="2512796" cy="1549923"/>
                          </a:xfrm>
                          <a:prstGeom prst="rect">
                            <a:avLst/>
                          </a:prstGeom>
                        </pic:spPr>
                      </pic:pic>
                    </a:graphicData>
                  </a:graphic>
                </wp:inline>
              </w:drawing>
            </w:r>
          </w:p>
          <w:p w14:paraId="5F91B465" w14:textId="77777777" w:rsidR="00CD1EB5" w:rsidRPr="00E41690" w:rsidRDefault="00CD1EB5" w:rsidP="003A0E4A">
            <w:pPr>
              <w:pStyle w:val="Lgende"/>
              <w:spacing w:line="240" w:lineRule="auto"/>
              <w:rPr>
                <w:rFonts w:eastAsia="Calibri"/>
                <w:i w:val="0"/>
                <w:color w:val="auto"/>
                <w:sz w:val="22"/>
                <w:szCs w:val="22"/>
                <w:lang w:val="fr-FR" w:eastAsia="en-US"/>
              </w:rPr>
            </w:pPr>
            <w:bookmarkStart w:id="390" w:name="_Toc212725250"/>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51</w:t>
            </w:r>
            <w:r w:rsidRPr="00E41690">
              <w:rPr>
                <w:rFonts w:eastAsia="Calibri"/>
                <w:i w:val="0"/>
                <w:color w:val="auto"/>
                <w:sz w:val="22"/>
                <w:szCs w:val="22"/>
                <w:lang w:eastAsia="en-US"/>
              </w:rPr>
              <w:fldChar w:fldCharType="end"/>
            </w:r>
            <w:r w:rsidRPr="00E41690">
              <w:rPr>
                <w:rFonts w:eastAsia="Calibri"/>
                <w:i w:val="0"/>
                <w:color w:val="auto"/>
                <w:sz w:val="22"/>
                <w:szCs w:val="22"/>
                <w:lang w:val="fr-FR" w:eastAsia="en-US"/>
              </w:rPr>
              <w:t>:Vue de l’emprise du collecteur</w:t>
            </w:r>
            <w:bookmarkEnd w:id="390"/>
          </w:p>
          <w:p w14:paraId="73C269F8" w14:textId="77777777" w:rsidR="00CD1EB5" w:rsidRPr="00E41690" w:rsidRDefault="00CD1EB5" w:rsidP="003A0E4A">
            <w:pPr>
              <w:pStyle w:val="Lgende"/>
              <w:spacing w:line="240" w:lineRule="auto"/>
              <w:rPr>
                <w:rFonts w:eastAsia="Calibri"/>
                <w:i w:val="0"/>
                <w:color w:val="auto"/>
                <w:sz w:val="22"/>
                <w:szCs w:val="22"/>
                <w:lang w:eastAsia="en-US"/>
              </w:rPr>
            </w:pPr>
            <w:r w:rsidRPr="00E41690">
              <w:rPr>
                <w:rFonts w:eastAsia="Calibri"/>
                <w:i w:val="0"/>
                <w:noProof/>
                <w:color w:val="auto"/>
                <w:sz w:val="22"/>
                <w:szCs w:val="22"/>
                <w:lang w:eastAsia="en-US"/>
              </w:rPr>
              <w:drawing>
                <wp:inline distT="0" distB="0" distL="0" distR="0" wp14:anchorId="47453975" wp14:editId="1508A457">
                  <wp:extent cx="2502261" cy="1371600"/>
                  <wp:effectExtent l="0" t="0" r="0" b="0"/>
                  <wp:docPr id="70"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875146" name="Image 2084875146"/>
                          <pic:cNvPicPr/>
                        </pic:nvPicPr>
                        <pic:blipFill>
                          <a:blip r:embed="rId73" cstate="email">
                            <a:extLst>
                              <a:ext uri="{28A0092B-C50C-407E-A947-70E740481C1C}">
                                <a14:useLocalDpi xmlns:a14="http://schemas.microsoft.com/office/drawing/2010/main"/>
                              </a:ext>
                            </a:extLst>
                          </a:blip>
                          <a:stretch>
                            <a:fillRect/>
                          </a:stretch>
                        </pic:blipFill>
                        <pic:spPr>
                          <a:xfrm>
                            <a:off x="0" y="0"/>
                            <a:ext cx="2521506" cy="1382149"/>
                          </a:xfrm>
                          <a:prstGeom prst="rect">
                            <a:avLst/>
                          </a:prstGeom>
                        </pic:spPr>
                      </pic:pic>
                    </a:graphicData>
                  </a:graphic>
                </wp:inline>
              </w:drawing>
            </w:r>
          </w:p>
          <w:p w14:paraId="046842C9" w14:textId="77777777" w:rsidR="00CD1EB5" w:rsidRPr="00E41690" w:rsidRDefault="00CD1EB5" w:rsidP="003A0E4A">
            <w:pPr>
              <w:pStyle w:val="Lgende"/>
              <w:spacing w:line="240" w:lineRule="auto"/>
              <w:rPr>
                <w:rFonts w:eastAsia="Calibri"/>
                <w:i w:val="0"/>
                <w:color w:val="auto"/>
                <w:sz w:val="22"/>
                <w:szCs w:val="22"/>
                <w:lang w:eastAsia="en-US"/>
              </w:rPr>
            </w:pPr>
            <w:bookmarkStart w:id="391" w:name="_Toc212725251"/>
            <w:r w:rsidRPr="00E41690">
              <w:rPr>
                <w:rFonts w:eastAsia="Calibri"/>
                <w:i w:val="0"/>
                <w:color w:val="auto"/>
                <w:sz w:val="22"/>
                <w:szCs w:val="22"/>
                <w:lang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eastAsia="en-US"/>
              </w:rPr>
              <w:t>52</w:t>
            </w:r>
            <w:r w:rsidRPr="00E41690">
              <w:rPr>
                <w:rFonts w:eastAsia="Calibri"/>
                <w:i w:val="0"/>
                <w:color w:val="auto"/>
                <w:sz w:val="22"/>
                <w:szCs w:val="22"/>
                <w:lang w:eastAsia="en-US"/>
              </w:rPr>
              <w:fldChar w:fldCharType="end"/>
            </w:r>
            <w:r w:rsidRPr="00E41690">
              <w:rPr>
                <w:rFonts w:eastAsia="Calibri"/>
                <w:i w:val="0"/>
                <w:color w:val="auto"/>
                <w:sz w:val="22"/>
                <w:szCs w:val="22"/>
                <w:lang w:eastAsia="en-US"/>
              </w:rPr>
              <w:t xml:space="preserve">:Traversée atelier </w:t>
            </w:r>
            <w:proofErr w:type="spellStart"/>
            <w:r w:rsidRPr="00E41690">
              <w:rPr>
                <w:rFonts w:eastAsia="Calibri"/>
                <w:i w:val="0"/>
                <w:color w:val="auto"/>
                <w:sz w:val="22"/>
                <w:szCs w:val="22"/>
                <w:lang w:eastAsia="en-US"/>
              </w:rPr>
              <w:t>mécanique</w:t>
            </w:r>
            <w:bookmarkEnd w:id="391"/>
            <w:proofErr w:type="spellEnd"/>
          </w:p>
          <w:p w14:paraId="2ED6DDE1" w14:textId="77777777" w:rsidR="00CD1EB5" w:rsidRPr="00E41690" w:rsidRDefault="00CD1EB5" w:rsidP="003A0E4A">
            <w:pPr>
              <w:pStyle w:val="Lgende"/>
              <w:spacing w:line="240" w:lineRule="auto"/>
              <w:rPr>
                <w:rFonts w:eastAsia="Calibri"/>
                <w:i w:val="0"/>
                <w:color w:val="auto"/>
                <w:sz w:val="22"/>
                <w:szCs w:val="22"/>
                <w:lang w:eastAsia="en-US"/>
              </w:rPr>
            </w:pPr>
            <w:r w:rsidRPr="00E41690">
              <w:rPr>
                <w:rFonts w:eastAsia="Calibri"/>
                <w:i w:val="0"/>
                <w:noProof/>
                <w:color w:val="auto"/>
                <w:sz w:val="22"/>
                <w:szCs w:val="22"/>
                <w:lang w:eastAsia="en-US"/>
              </w:rPr>
              <w:drawing>
                <wp:inline distT="0" distB="0" distL="0" distR="0" wp14:anchorId="11D5FD59" wp14:editId="3F6B5E2C">
                  <wp:extent cx="2503170" cy="1454046"/>
                  <wp:effectExtent l="0" t="0" r="0" b="0"/>
                  <wp:docPr id="71"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208880" name="Image 1336208880"/>
                          <pic:cNvPicPr/>
                        </pic:nvPicPr>
                        <pic:blipFill>
                          <a:blip r:embed="rId74" cstate="email">
                            <a:extLst>
                              <a:ext uri="{28A0092B-C50C-407E-A947-70E740481C1C}">
                                <a14:useLocalDpi xmlns:a14="http://schemas.microsoft.com/office/drawing/2010/main"/>
                              </a:ext>
                            </a:extLst>
                          </a:blip>
                          <a:stretch>
                            <a:fillRect/>
                          </a:stretch>
                        </pic:blipFill>
                        <pic:spPr>
                          <a:xfrm>
                            <a:off x="0" y="0"/>
                            <a:ext cx="2511640" cy="1458966"/>
                          </a:xfrm>
                          <a:prstGeom prst="rect">
                            <a:avLst/>
                          </a:prstGeom>
                        </pic:spPr>
                      </pic:pic>
                    </a:graphicData>
                  </a:graphic>
                </wp:inline>
              </w:drawing>
            </w:r>
          </w:p>
          <w:p w14:paraId="040AD7CF" w14:textId="77777777" w:rsidR="00CD1EB5" w:rsidRPr="00E41690" w:rsidRDefault="00CD1EB5" w:rsidP="003A0E4A">
            <w:pPr>
              <w:pStyle w:val="Lgende"/>
              <w:spacing w:line="240" w:lineRule="auto"/>
              <w:rPr>
                <w:rFonts w:eastAsia="Calibri"/>
                <w:i w:val="0"/>
                <w:color w:val="auto"/>
                <w:sz w:val="22"/>
                <w:szCs w:val="22"/>
                <w:lang w:val="fr-FR" w:eastAsia="en-US"/>
              </w:rPr>
            </w:pPr>
            <w:bookmarkStart w:id="392" w:name="_Toc212725252"/>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53</w:t>
            </w:r>
            <w:r w:rsidRPr="00E41690">
              <w:rPr>
                <w:rFonts w:eastAsia="Calibri"/>
                <w:i w:val="0"/>
                <w:color w:val="auto"/>
                <w:sz w:val="22"/>
                <w:szCs w:val="22"/>
                <w:lang w:eastAsia="en-US"/>
              </w:rPr>
              <w:fldChar w:fldCharType="end"/>
            </w:r>
            <w:r w:rsidRPr="00E41690">
              <w:rPr>
                <w:rFonts w:eastAsia="Calibri"/>
                <w:i w:val="0"/>
                <w:color w:val="auto"/>
                <w:sz w:val="22"/>
                <w:szCs w:val="22"/>
                <w:lang w:val="fr-FR" w:eastAsia="en-US"/>
              </w:rPr>
              <w:t>:Réseau AEP dans l’emprise du collecteur</w:t>
            </w:r>
            <w:bookmarkEnd w:id="392"/>
          </w:p>
          <w:p w14:paraId="2F05D639" w14:textId="77777777" w:rsidR="00CD1EB5" w:rsidRPr="00E41690" w:rsidRDefault="00CD1EB5" w:rsidP="003A0E4A">
            <w:pPr>
              <w:pStyle w:val="Lgende"/>
              <w:spacing w:line="240" w:lineRule="auto"/>
              <w:rPr>
                <w:rFonts w:eastAsia="Calibri"/>
                <w:i w:val="0"/>
                <w:color w:val="auto"/>
                <w:sz w:val="22"/>
                <w:szCs w:val="22"/>
                <w:lang w:val="fr-FR" w:eastAsia="en-US"/>
              </w:rPr>
            </w:pPr>
          </w:p>
          <w:p w14:paraId="0DF82120" w14:textId="77777777" w:rsidR="00CD1EB5" w:rsidRPr="00E41690" w:rsidRDefault="00CD1EB5" w:rsidP="003A0E4A">
            <w:pPr>
              <w:pStyle w:val="Lgende"/>
              <w:spacing w:line="240" w:lineRule="auto"/>
              <w:rPr>
                <w:rFonts w:eastAsia="Calibri"/>
                <w:i w:val="0"/>
                <w:color w:val="auto"/>
                <w:sz w:val="22"/>
                <w:szCs w:val="22"/>
                <w:lang w:eastAsia="en-US"/>
              </w:rPr>
            </w:pPr>
            <w:r w:rsidRPr="00E41690">
              <w:rPr>
                <w:rFonts w:eastAsia="Calibri"/>
                <w:i w:val="0"/>
                <w:noProof/>
                <w:color w:val="auto"/>
                <w:sz w:val="22"/>
                <w:szCs w:val="22"/>
                <w:lang w:eastAsia="en-US"/>
              </w:rPr>
              <w:lastRenderedPageBreak/>
              <w:drawing>
                <wp:inline distT="0" distB="0" distL="0" distR="0" wp14:anchorId="10B84164" wp14:editId="2D9EC7FF">
                  <wp:extent cx="2503170" cy="1551481"/>
                  <wp:effectExtent l="0" t="0" r="0" b="0"/>
                  <wp:docPr id="72"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693193" name="Image 715693193"/>
                          <pic:cNvPicPr/>
                        </pic:nvPicPr>
                        <pic:blipFill>
                          <a:blip r:embed="rId75" cstate="email">
                            <a:extLst>
                              <a:ext uri="{28A0092B-C50C-407E-A947-70E740481C1C}">
                                <a14:useLocalDpi xmlns:a14="http://schemas.microsoft.com/office/drawing/2010/main"/>
                              </a:ext>
                            </a:extLst>
                          </a:blip>
                          <a:stretch>
                            <a:fillRect/>
                          </a:stretch>
                        </pic:blipFill>
                        <pic:spPr>
                          <a:xfrm>
                            <a:off x="0" y="0"/>
                            <a:ext cx="2517952" cy="1560643"/>
                          </a:xfrm>
                          <a:prstGeom prst="rect">
                            <a:avLst/>
                          </a:prstGeom>
                        </pic:spPr>
                      </pic:pic>
                    </a:graphicData>
                  </a:graphic>
                </wp:inline>
              </w:drawing>
            </w:r>
          </w:p>
          <w:p w14:paraId="031B88FE" w14:textId="77777777" w:rsidR="00CD1EB5" w:rsidRPr="00E41690" w:rsidRDefault="00CD1EB5" w:rsidP="003A0E4A">
            <w:pPr>
              <w:pStyle w:val="Lgende"/>
              <w:spacing w:line="240" w:lineRule="auto"/>
              <w:rPr>
                <w:rFonts w:eastAsia="Calibri"/>
                <w:i w:val="0"/>
                <w:color w:val="auto"/>
                <w:sz w:val="22"/>
                <w:szCs w:val="22"/>
                <w:lang w:val="fr-FR" w:eastAsia="en-US"/>
              </w:rPr>
            </w:pPr>
            <w:bookmarkStart w:id="393" w:name="_Toc212725253"/>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54</w:t>
            </w:r>
            <w:r w:rsidRPr="00E41690">
              <w:rPr>
                <w:rFonts w:eastAsia="Calibri"/>
                <w:i w:val="0"/>
                <w:color w:val="auto"/>
                <w:sz w:val="22"/>
                <w:szCs w:val="22"/>
                <w:lang w:eastAsia="en-US"/>
              </w:rPr>
              <w:fldChar w:fldCharType="end"/>
            </w:r>
            <w:r w:rsidRPr="00E41690">
              <w:rPr>
                <w:rFonts w:eastAsia="Calibri"/>
                <w:i w:val="0"/>
                <w:color w:val="auto"/>
                <w:sz w:val="22"/>
                <w:szCs w:val="22"/>
                <w:lang w:val="fr-FR" w:eastAsia="en-US"/>
              </w:rPr>
              <w:t>:Tuyau AEP gros diamètre dans l’emprise</w:t>
            </w:r>
            <w:bookmarkEnd w:id="393"/>
          </w:p>
        </w:tc>
        <w:tc>
          <w:tcPr>
            <w:tcW w:w="1300" w:type="pct"/>
          </w:tcPr>
          <w:p w14:paraId="52632CDF"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Gestion de la mobilité des personnes et des biens ;</w:t>
            </w:r>
          </w:p>
          <w:p w14:paraId="41BD547C"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Maintien de l’accès aux habitations ;</w:t>
            </w:r>
          </w:p>
          <w:p w14:paraId="175EF1FD"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eaux pluviales ;</w:t>
            </w:r>
          </w:p>
          <w:p w14:paraId="307641B1" w14:textId="77777777" w:rsidR="00CD1EB5" w:rsidRPr="00260790" w:rsidRDefault="00CD1EB5" w:rsidP="001748C6">
            <w:pPr>
              <w:keepNext/>
              <w:numPr>
                <w:ilvl w:val="0"/>
                <w:numId w:val="120"/>
              </w:numPr>
              <w:spacing w:line="240" w:lineRule="auto"/>
              <w:contextualSpacing/>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 la tranquillité des riverains</w:t>
            </w:r>
          </w:p>
          <w:p w14:paraId="43C2E16B"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réseaux des concessionnaires (SEN EAU) et maintien de la continuité de leur service ;</w:t>
            </w:r>
          </w:p>
          <w:p w14:paraId="264E8F9A" w14:textId="77777777" w:rsidR="00CD1EB5" w:rsidRPr="00260790" w:rsidRDefault="00CD1EB5" w:rsidP="001748C6">
            <w:pPr>
              <w:keepNext/>
              <w:numPr>
                <w:ilvl w:val="0"/>
                <w:numId w:val="120"/>
              </w:numPr>
              <w:spacing w:line="240" w:lineRule="auto"/>
              <w:contextualSpacing/>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espèces floristiques </w:t>
            </w:r>
          </w:p>
        </w:tc>
      </w:tr>
      <w:tr w:rsidR="00CD1EB5" w:rsidRPr="00260790" w14:paraId="4AD9D585" w14:textId="77777777" w:rsidTr="003A0E4A">
        <w:trPr>
          <w:trHeight w:val="1572"/>
        </w:trPr>
        <w:tc>
          <w:tcPr>
            <w:tcW w:w="734" w:type="pct"/>
            <w:vAlign w:val="center"/>
          </w:tcPr>
          <w:p w14:paraId="0F206248" w14:textId="77777777" w:rsidR="00CD1EB5" w:rsidRPr="00260790" w:rsidRDefault="00CD1EB5" w:rsidP="003A0E4A">
            <w:pPr>
              <w:spacing w:line="240" w:lineRule="auto"/>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lastRenderedPageBreak/>
              <w:t>Collecteur B1 vers R</w:t>
            </w:r>
          </w:p>
        </w:tc>
        <w:tc>
          <w:tcPr>
            <w:tcW w:w="1528" w:type="pct"/>
          </w:tcPr>
          <w:p w14:paraId="68672E8F"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D’une longueur de 409,35 m, ce collecteur joint les bassins R et B1. Il traverse les quartiers Cité Colgate et Cité Sapeurs-pompiers. Cette conduite, à partir du bassin R, passe dans une rue puis un domaine privé, traverse une route goudronnée avant de joindre le bassin B1.</w:t>
            </w:r>
          </w:p>
        </w:tc>
        <w:tc>
          <w:tcPr>
            <w:tcW w:w="1438" w:type="pct"/>
          </w:tcPr>
          <w:p w14:paraId="59720BF3" w14:textId="77777777" w:rsidR="00CD1EB5" w:rsidRPr="00E41690" w:rsidRDefault="00CD1EB5" w:rsidP="003A0E4A">
            <w:pPr>
              <w:pStyle w:val="Lgende"/>
              <w:spacing w:line="240" w:lineRule="auto"/>
              <w:rPr>
                <w:rFonts w:eastAsia="Calibri"/>
                <w:i w:val="0"/>
                <w:color w:val="auto"/>
                <w:sz w:val="22"/>
                <w:szCs w:val="22"/>
                <w:lang w:eastAsia="en-US"/>
              </w:rPr>
            </w:pPr>
            <w:r w:rsidRPr="00E41690">
              <w:rPr>
                <w:rFonts w:eastAsia="Calibri"/>
                <w:i w:val="0"/>
                <w:noProof/>
                <w:color w:val="auto"/>
                <w:sz w:val="22"/>
                <w:szCs w:val="22"/>
                <w:lang w:eastAsia="en-US"/>
              </w:rPr>
              <w:drawing>
                <wp:inline distT="0" distB="0" distL="0" distR="0" wp14:anchorId="3A4370D5" wp14:editId="742AEBA3">
                  <wp:extent cx="2503073" cy="1491521"/>
                  <wp:effectExtent l="0" t="0" r="0" b="0"/>
                  <wp:docPr id="73"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197638" name="Image 1036197638"/>
                          <pic:cNvPicPr/>
                        </pic:nvPicPr>
                        <pic:blipFill>
                          <a:blip r:embed="rId76" cstate="email">
                            <a:extLst>
                              <a:ext uri="{28A0092B-C50C-407E-A947-70E740481C1C}">
                                <a14:useLocalDpi xmlns:a14="http://schemas.microsoft.com/office/drawing/2010/main"/>
                              </a:ext>
                            </a:extLst>
                          </a:blip>
                          <a:stretch>
                            <a:fillRect/>
                          </a:stretch>
                        </pic:blipFill>
                        <pic:spPr>
                          <a:xfrm>
                            <a:off x="0" y="0"/>
                            <a:ext cx="2511751" cy="1496692"/>
                          </a:xfrm>
                          <a:prstGeom prst="rect">
                            <a:avLst/>
                          </a:prstGeom>
                        </pic:spPr>
                      </pic:pic>
                    </a:graphicData>
                  </a:graphic>
                </wp:inline>
              </w:drawing>
            </w:r>
          </w:p>
          <w:p w14:paraId="0741479E" w14:textId="77777777" w:rsidR="00CD1EB5" w:rsidRPr="0095190F" w:rsidRDefault="00CD1EB5" w:rsidP="003A0E4A">
            <w:pPr>
              <w:pStyle w:val="Lgende"/>
              <w:spacing w:line="240" w:lineRule="auto"/>
              <w:rPr>
                <w:rFonts w:eastAsia="Calibri"/>
                <w:i w:val="0"/>
                <w:color w:val="auto"/>
                <w:sz w:val="22"/>
                <w:szCs w:val="22"/>
                <w:lang w:val="fr-SN" w:eastAsia="en-US"/>
              </w:rPr>
            </w:pPr>
            <w:bookmarkStart w:id="394" w:name="_Toc212725254"/>
            <w:r w:rsidRPr="0095190F">
              <w:rPr>
                <w:rFonts w:eastAsia="Calibri"/>
                <w:i w:val="0"/>
                <w:color w:val="auto"/>
                <w:sz w:val="22"/>
                <w:szCs w:val="22"/>
                <w:lang w:val="fr-SN" w:eastAsia="en-US"/>
              </w:rPr>
              <w:t xml:space="preserve">Photo </w:t>
            </w:r>
            <w:r w:rsidRPr="00E41690">
              <w:rPr>
                <w:rFonts w:eastAsia="Calibri"/>
                <w:i w:val="0"/>
                <w:color w:val="auto"/>
                <w:sz w:val="22"/>
                <w:szCs w:val="22"/>
                <w:lang w:eastAsia="en-US"/>
              </w:rPr>
              <w:fldChar w:fldCharType="begin"/>
            </w:r>
            <w:r w:rsidRPr="0095190F">
              <w:rPr>
                <w:rFonts w:eastAsia="Calibri"/>
                <w:i w:val="0"/>
                <w:color w:val="auto"/>
                <w:sz w:val="22"/>
                <w:szCs w:val="22"/>
                <w:lang w:val="fr-SN" w:eastAsia="en-US"/>
              </w:rPr>
              <w:instrText xml:space="preserve"> SEQ Photo \* ARABIC </w:instrText>
            </w:r>
            <w:r w:rsidRPr="00E41690">
              <w:rPr>
                <w:rFonts w:eastAsia="Calibri"/>
                <w:i w:val="0"/>
                <w:color w:val="auto"/>
                <w:sz w:val="22"/>
                <w:szCs w:val="22"/>
                <w:lang w:eastAsia="en-US"/>
              </w:rPr>
              <w:fldChar w:fldCharType="separate"/>
            </w:r>
            <w:r w:rsidRPr="0095190F">
              <w:rPr>
                <w:rFonts w:eastAsia="Calibri"/>
                <w:i w:val="0"/>
                <w:color w:val="auto"/>
                <w:sz w:val="22"/>
                <w:szCs w:val="22"/>
                <w:lang w:val="fr-SN" w:eastAsia="en-US"/>
              </w:rPr>
              <w:t>55</w:t>
            </w:r>
            <w:r w:rsidRPr="00E41690">
              <w:rPr>
                <w:rFonts w:eastAsia="Calibri"/>
                <w:i w:val="0"/>
                <w:color w:val="auto"/>
                <w:sz w:val="22"/>
                <w:szCs w:val="22"/>
                <w:lang w:eastAsia="en-US"/>
              </w:rPr>
              <w:fldChar w:fldCharType="end"/>
            </w:r>
            <w:r w:rsidRPr="0095190F">
              <w:rPr>
                <w:rFonts w:eastAsia="Calibri"/>
                <w:i w:val="0"/>
                <w:color w:val="auto"/>
                <w:sz w:val="22"/>
                <w:szCs w:val="22"/>
                <w:lang w:val="fr-SN" w:eastAsia="en-US"/>
              </w:rPr>
              <w:t>:Traversée d’un domaine privé</w:t>
            </w:r>
            <w:bookmarkEnd w:id="394"/>
          </w:p>
          <w:p w14:paraId="6E651FCF" w14:textId="77777777" w:rsidR="00CD1EB5" w:rsidRPr="00E41690" w:rsidRDefault="00CD1EB5" w:rsidP="003A0E4A">
            <w:pPr>
              <w:pStyle w:val="Lgende"/>
              <w:spacing w:line="240" w:lineRule="auto"/>
              <w:rPr>
                <w:rFonts w:eastAsia="Calibri"/>
                <w:i w:val="0"/>
                <w:color w:val="auto"/>
                <w:sz w:val="22"/>
                <w:szCs w:val="22"/>
                <w:lang w:eastAsia="en-US"/>
              </w:rPr>
            </w:pPr>
            <w:r w:rsidRPr="00E41690">
              <w:rPr>
                <w:rFonts w:eastAsia="Calibri"/>
                <w:i w:val="0"/>
                <w:noProof/>
                <w:color w:val="auto"/>
                <w:sz w:val="22"/>
                <w:szCs w:val="22"/>
                <w:lang w:eastAsia="en-US"/>
              </w:rPr>
              <w:drawing>
                <wp:inline distT="0" distB="0" distL="0" distR="0" wp14:anchorId="3839B704" wp14:editId="398310DE">
                  <wp:extent cx="2502250" cy="1416050"/>
                  <wp:effectExtent l="0" t="0" r="0" b="0"/>
                  <wp:docPr id="74"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709136" name="Image 999709136"/>
                          <pic:cNvPicPr/>
                        </pic:nvPicPr>
                        <pic:blipFill>
                          <a:blip r:embed="rId77" cstate="email">
                            <a:extLst>
                              <a:ext uri="{28A0092B-C50C-407E-A947-70E740481C1C}">
                                <a14:useLocalDpi xmlns:a14="http://schemas.microsoft.com/office/drawing/2010/main"/>
                              </a:ext>
                            </a:extLst>
                          </a:blip>
                          <a:stretch>
                            <a:fillRect/>
                          </a:stretch>
                        </pic:blipFill>
                        <pic:spPr>
                          <a:xfrm>
                            <a:off x="0" y="0"/>
                            <a:ext cx="2511912" cy="1421518"/>
                          </a:xfrm>
                          <a:prstGeom prst="rect">
                            <a:avLst/>
                          </a:prstGeom>
                        </pic:spPr>
                      </pic:pic>
                    </a:graphicData>
                  </a:graphic>
                </wp:inline>
              </w:drawing>
            </w:r>
          </w:p>
          <w:p w14:paraId="388236DE" w14:textId="77777777" w:rsidR="00CD1EB5" w:rsidRPr="00E41690" w:rsidRDefault="00CD1EB5" w:rsidP="003A0E4A">
            <w:pPr>
              <w:pStyle w:val="Lgende"/>
              <w:spacing w:line="240" w:lineRule="auto"/>
              <w:rPr>
                <w:rFonts w:eastAsia="Calibri"/>
                <w:i w:val="0"/>
                <w:color w:val="auto"/>
                <w:sz w:val="22"/>
                <w:szCs w:val="22"/>
                <w:lang w:val="fr-FR" w:eastAsia="en-US"/>
              </w:rPr>
            </w:pPr>
            <w:bookmarkStart w:id="395" w:name="_Toc212725255"/>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56</w:t>
            </w:r>
            <w:r w:rsidRPr="00E41690">
              <w:rPr>
                <w:rFonts w:eastAsia="Calibri"/>
                <w:i w:val="0"/>
                <w:color w:val="auto"/>
                <w:sz w:val="22"/>
                <w:szCs w:val="22"/>
                <w:lang w:eastAsia="en-US"/>
              </w:rPr>
              <w:fldChar w:fldCharType="end"/>
            </w:r>
            <w:r w:rsidRPr="00E41690">
              <w:rPr>
                <w:rFonts w:eastAsia="Calibri"/>
                <w:i w:val="0"/>
                <w:color w:val="auto"/>
                <w:sz w:val="22"/>
                <w:szCs w:val="22"/>
                <w:lang w:val="fr-FR" w:eastAsia="en-US"/>
              </w:rPr>
              <w:t>:Vue de l’emprise du collecteur</w:t>
            </w:r>
            <w:bookmarkEnd w:id="395"/>
          </w:p>
          <w:p w14:paraId="767FC76D" w14:textId="77777777" w:rsidR="00CD1EB5" w:rsidRPr="00E41690" w:rsidRDefault="00CD1EB5" w:rsidP="003A0E4A">
            <w:pPr>
              <w:pStyle w:val="Lgende"/>
              <w:spacing w:line="240" w:lineRule="auto"/>
              <w:rPr>
                <w:rFonts w:eastAsia="Calibri"/>
                <w:i w:val="0"/>
                <w:color w:val="auto"/>
                <w:sz w:val="22"/>
                <w:szCs w:val="22"/>
                <w:lang w:eastAsia="en-US"/>
              </w:rPr>
            </w:pPr>
            <w:r w:rsidRPr="00E41690">
              <w:rPr>
                <w:rFonts w:eastAsia="Calibri"/>
                <w:i w:val="0"/>
                <w:noProof/>
                <w:color w:val="auto"/>
                <w:sz w:val="22"/>
                <w:szCs w:val="22"/>
                <w:lang w:eastAsia="en-US"/>
              </w:rPr>
              <w:lastRenderedPageBreak/>
              <w:drawing>
                <wp:inline distT="0" distB="0" distL="0" distR="0" wp14:anchorId="386745B2" wp14:editId="7442960B">
                  <wp:extent cx="2502686" cy="1341619"/>
                  <wp:effectExtent l="0" t="0" r="0" b="5080"/>
                  <wp:docPr id="7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194400" name="Image 35"/>
                          <pic:cNvPicPr/>
                        </pic:nvPicPr>
                        <pic:blipFill>
                          <a:blip r:embed="rId78" cstate="email">
                            <a:extLst>
                              <a:ext uri="{28A0092B-C50C-407E-A947-70E740481C1C}">
                                <a14:useLocalDpi xmlns:a14="http://schemas.microsoft.com/office/drawing/2010/main"/>
                              </a:ext>
                            </a:extLst>
                          </a:blip>
                          <a:stretch>
                            <a:fillRect/>
                          </a:stretch>
                        </pic:blipFill>
                        <pic:spPr>
                          <a:xfrm>
                            <a:off x="0" y="0"/>
                            <a:ext cx="2520856" cy="1351360"/>
                          </a:xfrm>
                          <a:prstGeom prst="rect">
                            <a:avLst/>
                          </a:prstGeom>
                        </pic:spPr>
                      </pic:pic>
                    </a:graphicData>
                  </a:graphic>
                </wp:inline>
              </w:drawing>
            </w:r>
          </w:p>
          <w:p w14:paraId="1F128634" w14:textId="77777777" w:rsidR="00CD1EB5" w:rsidRPr="00E41690" w:rsidRDefault="00CD1EB5" w:rsidP="003A0E4A">
            <w:pPr>
              <w:pStyle w:val="Lgende"/>
              <w:spacing w:line="240" w:lineRule="auto"/>
              <w:rPr>
                <w:rFonts w:eastAsia="Calibri"/>
                <w:i w:val="0"/>
                <w:color w:val="auto"/>
                <w:sz w:val="22"/>
                <w:szCs w:val="22"/>
                <w:lang w:val="fr-FR" w:eastAsia="en-US"/>
              </w:rPr>
            </w:pPr>
            <w:bookmarkStart w:id="396" w:name="_Toc212725256"/>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57</w:t>
            </w:r>
            <w:r w:rsidRPr="00E41690">
              <w:rPr>
                <w:rFonts w:eastAsia="Calibri"/>
                <w:i w:val="0"/>
                <w:color w:val="auto"/>
                <w:sz w:val="22"/>
                <w:szCs w:val="22"/>
                <w:lang w:eastAsia="en-US"/>
              </w:rPr>
              <w:fldChar w:fldCharType="end"/>
            </w:r>
            <w:r w:rsidRPr="00E41690">
              <w:rPr>
                <w:rFonts w:eastAsia="Calibri"/>
                <w:i w:val="0"/>
                <w:color w:val="auto"/>
                <w:sz w:val="22"/>
                <w:szCs w:val="22"/>
                <w:lang w:val="fr-FR" w:eastAsia="en-US"/>
              </w:rPr>
              <w:t>:Rue goudronnée longée par le collecteur</w:t>
            </w:r>
            <w:bookmarkEnd w:id="396"/>
          </w:p>
        </w:tc>
        <w:tc>
          <w:tcPr>
            <w:tcW w:w="1300" w:type="pct"/>
          </w:tcPr>
          <w:p w14:paraId="24B3380F"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Gestion de la mobilité des personnes et des biens ;</w:t>
            </w:r>
          </w:p>
          <w:p w14:paraId="0A7A4FA6"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Maintien de l’accès aux habitations ;</w:t>
            </w:r>
          </w:p>
          <w:p w14:paraId="114E4FA0"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eaux pluviales ;</w:t>
            </w:r>
          </w:p>
          <w:p w14:paraId="04516912" w14:textId="77777777" w:rsidR="00CD1EB5" w:rsidRPr="00260790" w:rsidRDefault="00CD1EB5" w:rsidP="001748C6">
            <w:pPr>
              <w:keepNext/>
              <w:numPr>
                <w:ilvl w:val="0"/>
                <w:numId w:val="120"/>
              </w:numPr>
              <w:spacing w:line="240" w:lineRule="auto"/>
              <w:contextualSpacing/>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 la tranquillité des riverains ;</w:t>
            </w:r>
          </w:p>
          <w:p w14:paraId="42389701" w14:textId="77777777" w:rsidR="00CD1EB5" w:rsidRPr="00260790" w:rsidRDefault="00CD1EB5" w:rsidP="001748C6">
            <w:pPr>
              <w:keepNext/>
              <w:numPr>
                <w:ilvl w:val="0"/>
                <w:numId w:val="120"/>
              </w:numPr>
              <w:spacing w:line="240" w:lineRule="auto"/>
              <w:contextualSpacing/>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biens et des activités socio-économiques </w:t>
            </w:r>
          </w:p>
          <w:p w14:paraId="1005D570" w14:textId="77777777" w:rsidR="00CD1EB5" w:rsidRPr="00260790" w:rsidRDefault="00CD1EB5" w:rsidP="003A0E4A">
            <w:pPr>
              <w:keepNext/>
              <w:spacing w:line="240" w:lineRule="auto"/>
              <w:contextualSpacing/>
              <w:rPr>
                <w:rFonts w:ascii="Times New Roman" w:hAnsi="Times New Roman"/>
                <w:color w:val="000000" w:themeColor="text1"/>
                <w:sz w:val="22"/>
                <w:szCs w:val="22"/>
                <w:lang w:val="fr-FR"/>
              </w:rPr>
            </w:pPr>
          </w:p>
        </w:tc>
      </w:tr>
      <w:tr w:rsidR="00CD1EB5" w:rsidRPr="00260790" w14:paraId="207D6A41" w14:textId="77777777" w:rsidTr="003A0E4A">
        <w:trPr>
          <w:trHeight w:val="2268"/>
        </w:trPr>
        <w:tc>
          <w:tcPr>
            <w:tcW w:w="734" w:type="pct"/>
            <w:vAlign w:val="center"/>
          </w:tcPr>
          <w:p w14:paraId="21E13320" w14:textId="77777777" w:rsidR="00CD1EB5" w:rsidRPr="00260790" w:rsidRDefault="00CD1EB5" w:rsidP="003A0E4A">
            <w:pPr>
              <w:spacing w:line="240" w:lineRule="auto"/>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Collecteur B1 vers P1</w:t>
            </w:r>
          </w:p>
        </w:tc>
        <w:tc>
          <w:tcPr>
            <w:tcW w:w="1528" w:type="pct"/>
          </w:tcPr>
          <w:p w14:paraId="57730400"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Ce collecteur relie les bassins B1 et P1. Il est long de 1049,53 m et traverse les quartiers Cité Khalifa Ababacar Sy, Cité Sante et Cité Mantor Diouf et Cité Gabonaise. Il passe dans une large rue sur une longue distance et des ruelles. Il est bordé de part et d’autre par des habitations.</w:t>
            </w:r>
          </w:p>
        </w:tc>
        <w:tc>
          <w:tcPr>
            <w:tcW w:w="1438" w:type="pct"/>
          </w:tcPr>
          <w:p w14:paraId="726D68BC" w14:textId="77777777" w:rsidR="00CD1EB5" w:rsidRPr="00E41690" w:rsidRDefault="00CD1EB5" w:rsidP="003A0E4A">
            <w:pPr>
              <w:keepNext/>
              <w:spacing w:line="240" w:lineRule="auto"/>
              <w:rPr>
                <w:rFonts w:ascii="Times New Roman" w:hAnsi="Times New Roman"/>
                <w:sz w:val="22"/>
                <w:szCs w:val="22"/>
              </w:rPr>
            </w:pPr>
            <w:r w:rsidRPr="00E41690">
              <w:rPr>
                <w:rFonts w:ascii="Times New Roman" w:hAnsi="Times New Roman"/>
                <w:noProof/>
                <w:color w:val="000000" w:themeColor="text1"/>
              </w:rPr>
              <w:drawing>
                <wp:inline distT="0" distB="0" distL="0" distR="0" wp14:anchorId="564999D9" wp14:editId="6612A4A1">
                  <wp:extent cx="2503102" cy="1401580"/>
                  <wp:effectExtent l="0" t="0" r="0" b="0"/>
                  <wp:docPr id="7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941749" name="Image 859941749"/>
                          <pic:cNvPicPr/>
                        </pic:nvPicPr>
                        <pic:blipFill>
                          <a:blip r:embed="rId79" cstate="email">
                            <a:extLst>
                              <a:ext uri="{28A0092B-C50C-407E-A947-70E740481C1C}">
                                <a14:useLocalDpi xmlns:a14="http://schemas.microsoft.com/office/drawing/2010/main"/>
                              </a:ext>
                            </a:extLst>
                          </a:blip>
                          <a:stretch>
                            <a:fillRect/>
                          </a:stretch>
                        </pic:blipFill>
                        <pic:spPr>
                          <a:xfrm>
                            <a:off x="0" y="0"/>
                            <a:ext cx="2513511" cy="1407409"/>
                          </a:xfrm>
                          <a:prstGeom prst="rect">
                            <a:avLst/>
                          </a:prstGeom>
                        </pic:spPr>
                      </pic:pic>
                    </a:graphicData>
                  </a:graphic>
                </wp:inline>
              </w:drawing>
            </w:r>
          </w:p>
          <w:p w14:paraId="6A57F459" w14:textId="77777777" w:rsidR="00CD1EB5" w:rsidRPr="00E41690" w:rsidRDefault="00CD1EB5" w:rsidP="003A0E4A">
            <w:pPr>
              <w:pStyle w:val="Lgende"/>
              <w:spacing w:line="240" w:lineRule="auto"/>
              <w:rPr>
                <w:rFonts w:eastAsia="Calibri"/>
                <w:i w:val="0"/>
                <w:color w:val="auto"/>
                <w:sz w:val="22"/>
                <w:szCs w:val="22"/>
                <w:lang w:val="fr-FR" w:eastAsia="en-US"/>
              </w:rPr>
            </w:pPr>
            <w:bookmarkStart w:id="397" w:name="_Toc212725257"/>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58</w:t>
            </w:r>
            <w:r w:rsidRPr="00E41690">
              <w:rPr>
                <w:rFonts w:eastAsia="Calibri"/>
                <w:i w:val="0"/>
                <w:color w:val="auto"/>
                <w:sz w:val="22"/>
                <w:szCs w:val="22"/>
                <w:lang w:eastAsia="en-US"/>
              </w:rPr>
              <w:fldChar w:fldCharType="end"/>
            </w:r>
            <w:r w:rsidRPr="00E41690">
              <w:rPr>
                <w:rFonts w:eastAsia="Calibri"/>
                <w:i w:val="0"/>
                <w:color w:val="auto"/>
                <w:sz w:val="22"/>
                <w:szCs w:val="22"/>
                <w:lang w:val="fr-FR" w:eastAsia="en-US"/>
              </w:rPr>
              <w:t>:Vue de l’emprise du collecteur</w:t>
            </w:r>
            <w:bookmarkEnd w:id="397"/>
          </w:p>
          <w:p w14:paraId="4B45E481" w14:textId="77777777" w:rsidR="00CD1EB5" w:rsidRPr="00E41690" w:rsidRDefault="00CD1EB5" w:rsidP="003A0E4A">
            <w:pPr>
              <w:pStyle w:val="Lgende"/>
              <w:spacing w:line="240" w:lineRule="auto"/>
              <w:rPr>
                <w:rFonts w:eastAsia="Calibri"/>
                <w:i w:val="0"/>
                <w:color w:val="auto"/>
                <w:sz w:val="22"/>
                <w:szCs w:val="22"/>
                <w:lang w:eastAsia="en-US"/>
              </w:rPr>
            </w:pPr>
            <w:r w:rsidRPr="00E41690">
              <w:rPr>
                <w:rFonts w:eastAsia="Calibri"/>
                <w:i w:val="0"/>
                <w:noProof/>
                <w:color w:val="auto"/>
                <w:sz w:val="22"/>
                <w:szCs w:val="22"/>
                <w:lang w:eastAsia="en-US"/>
              </w:rPr>
              <w:drawing>
                <wp:inline distT="0" distB="0" distL="0" distR="0" wp14:anchorId="746212FF" wp14:editId="24E0FB3A">
                  <wp:extent cx="2501783" cy="1401580"/>
                  <wp:effectExtent l="0" t="0" r="635" b="0"/>
                  <wp:docPr id="7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63857" name="Image 1032863857"/>
                          <pic:cNvPicPr/>
                        </pic:nvPicPr>
                        <pic:blipFill>
                          <a:blip r:embed="rId80" cstate="email">
                            <a:extLst>
                              <a:ext uri="{28A0092B-C50C-407E-A947-70E740481C1C}">
                                <a14:useLocalDpi xmlns:a14="http://schemas.microsoft.com/office/drawing/2010/main"/>
                              </a:ext>
                            </a:extLst>
                          </a:blip>
                          <a:stretch>
                            <a:fillRect/>
                          </a:stretch>
                        </pic:blipFill>
                        <pic:spPr>
                          <a:xfrm>
                            <a:off x="0" y="0"/>
                            <a:ext cx="2526293" cy="1415311"/>
                          </a:xfrm>
                          <a:prstGeom prst="rect">
                            <a:avLst/>
                          </a:prstGeom>
                        </pic:spPr>
                      </pic:pic>
                    </a:graphicData>
                  </a:graphic>
                </wp:inline>
              </w:drawing>
            </w:r>
          </w:p>
          <w:p w14:paraId="535C1176" w14:textId="77777777" w:rsidR="00CD1EB5" w:rsidRPr="00E41690" w:rsidRDefault="00CD1EB5" w:rsidP="003A0E4A">
            <w:pPr>
              <w:pStyle w:val="Lgende"/>
              <w:spacing w:line="240" w:lineRule="auto"/>
              <w:rPr>
                <w:i w:val="0"/>
                <w:noProof/>
                <w:color w:val="000000" w:themeColor="text1"/>
                <w:sz w:val="22"/>
                <w:szCs w:val="22"/>
                <w:lang w:val="fr-FR"/>
              </w:rPr>
            </w:pPr>
            <w:bookmarkStart w:id="398" w:name="_Toc212725258"/>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59</w:t>
            </w:r>
            <w:r w:rsidRPr="00E41690">
              <w:rPr>
                <w:rFonts w:eastAsia="Calibri"/>
                <w:i w:val="0"/>
                <w:color w:val="auto"/>
                <w:sz w:val="22"/>
                <w:szCs w:val="22"/>
                <w:lang w:eastAsia="en-US"/>
              </w:rPr>
              <w:fldChar w:fldCharType="end"/>
            </w:r>
            <w:r w:rsidRPr="00E41690">
              <w:rPr>
                <w:rFonts w:eastAsia="Calibri"/>
                <w:i w:val="0"/>
                <w:color w:val="auto"/>
                <w:sz w:val="22"/>
                <w:szCs w:val="22"/>
                <w:lang w:val="fr-FR" w:eastAsia="en-US"/>
              </w:rPr>
              <w:t>:Habitations de part et d’autre du collecteur</w:t>
            </w:r>
            <w:bookmarkEnd w:id="398"/>
          </w:p>
        </w:tc>
        <w:tc>
          <w:tcPr>
            <w:tcW w:w="1300" w:type="pct"/>
          </w:tcPr>
          <w:p w14:paraId="0E16CB97"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 la mobilité des personnes et des biens ;</w:t>
            </w:r>
          </w:p>
          <w:p w14:paraId="1B8D0CAA"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Maintien de l’accès aux habitations ;</w:t>
            </w:r>
          </w:p>
          <w:p w14:paraId="0D2BA110"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eaux pluviales ;</w:t>
            </w:r>
          </w:p>
          <w:p w14:paraId="5DCEAB57" w14:textId="77777777" w:rsidR="00CD1EB5" w:rsidRPr="00260790" w:rsidRDefault="00CD1EB5" w:rsidP="001748C6">
            <w:pPr>
              <w:keepNext/>
              <w:numPr>
                <w:ilvl w:val="0"/>
                <w:numId w:val="120"/>
              </w:numPr>
              <w:spacing w:line="240" w:lineRule="auto"/>
              <w:contextualSpacing/>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 la tranquillité des riverains</w:t>
            </w:r>
          </w:p>
          <w:p w14:paraId="5C902236" w14:textId="77777777" w:rsidR="00CD1EB5" w:rsidRPr="00260790" w:rsidRDefault="00CD1EB5" w:rsidP="003A0E4A">
            <w:pPr>
              <w:keepNext/>
              <w:spacing w:line="240" w:lineRule="auto"/>
              <w:contextualSpacing/>
              <w:rPr>
                <w:rFonts w:ascii="Times New Roman" w:hAnsi="Times New Roman"/>
                <w:color w:val="000000" w:themeColor="text1"/>
                <w:sz w:val="22"/>
                <w:szCs w:val="22"/>
                <w:lang w:val="fr-FR"/>
              </w:rPr>
            </w:pPr>
          </w:p>
        </w:tc>
      </w:tr>
      <w:tr w:rsidR="00CD1EB5" w:rsidRPr="00260790" w14:paraId="5AD5A06E" w14:textId="77777777" w:rsidTr="003A0E4A">
        <w:trPr>
          <w:trHeight w:val="2268"/>
        </w:trPr>
        <w:tc>
          <w:tcPr>
            <w:tcW w:w="734" w:type="pct"/>
            <w:vAlign w:val="center"/>
          </w:tcPr>
          <w:p w14:paraId="06620407" w14:textId="77777777" w:rsidR="00CD1EB5" w:rsidRPr="00260790" w:rsidRDefault="00CD1EB5" w:rsidP="003A0E4A">
            <w:pPr>
              <w:spacing w:line="240" w:lineRule="auto"/>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lastRenderedPageBreak/>
              <w:t>Collecteur P1 vers canal existant</w:t>
            </w:r>
          </w:p>
        </w:tc>
        <w:tc>
          <w:tcPr>
            <w:tcW w:w="1528" w:type="pct"/>
          </w:tcPr>
          <w:p w14:paraId="79412DCC"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Ce collecteur relie le bassin P1 au canal existant. Il est long de 903,96 m et traverse les quartiers Cité Mantor Diouf, Cité Gabonaise, Cité Sidy Ely Zac Mbao et Cité Almamy. Cette conduite passe dans une rue dégagée, mais bordée de part et d’autre par des habitations. </w:t>
            </w:r>
          </w:p>
        </w:tc>
        <w:tc>
          <w:tcPr>
            <w:tcW w:w="1438" w:type="pct"/>
          </w:tcPr>
          <w:p w14:paraId="5486E039" w14:textId="77777777" w:rsidR="00CD1EB5" w:rsidRPr="00E41690" w:rsidRDefault="00CD1EB5" w:rsidP="003A0E4A">
            <w:pPr>
              <w:pStyle w:val="Lgende"/>
              <w:spacing w:line="240" w:lineRule="auto"/>
              <w:rPr>
                <w:rFonts w:eastAsia="Calibri"/>
                <w:i w:val="0"/>
                <w:color w:val="auto"/>
                <w:sz w:val="22"/>
                <w:szCs w:val="22"/>
                <w:lang w:eastAsia="en-US"/>
              </w:rPr>
            </w:pPr>
            <w:r w:rsidRPr="00E41690">
              <w:rPr>
                <w:rFonts w:eastAsia="Calibri"/>
                <w:i w:val="0"/>
                <w:noProof/>
                <w:color w:val="auto"/>
                <w:sz w:val="22"/>
                <w:szCs w:val="22"/>
                <w:lang w:eastAsia="en-US"/>
              </w:rPr>
              <w:drawing>
                <wp:inline distT="0" distB="0" distL="0" distR="0" wp14:anchorId="4C74D118" wp14:editId="702DB761">
                  <wp:extent cx="2503170" cy="1454045"/>
                  <wp:effectExtent l="0" t="0" r="0" b="0"/>
                  <wp:docPr id="78"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837393" name="Image 1516837393"/>
                          <pic:cNvPicPr/>
                        </pic:nvPicPr>
                        <pic:blipFill>
                          <a:blip r:embed="rId81" cstate="email">
                            <a:extLst>
                              <a:ext uri="{28A0092B-C50C-407E-A947-70E740481C1C}">
                                <a14:useLocalDpi xmlns:a14="http://schemas.microsoft.com/office/drawing/2010/main"/>
                              </a:ext>
                            </a:extLst>
                          </a:blip>
                          <a:stretch>
                            <a:fillRect/>
                          </a:stretch>
                        </pic:blipFill>
                        <pic:spPr>
                          <a:xfrm>
                            <a:off x="0" y="0"/>
                            <a:ext cx="2516353" cy="1461703"/>
                          </a:xfrm>
                          <a:prstGeom prst="rect">
                            <a:avLst/>
                          </a:prstGeom>
                        </pic:spPr>
                      </pic:pic>
                    </a:graphicData>
                  </a:graphic>
                </wp:inline>
              </w:drawing>
            </w:r>
          </w:p>
          <w:p w14:paraId="5554C0F3" w14:textId="77777777" w:rsidR="00CD1EB5" w:rsidRPr="00E41690" w:rsidRDefault="00CD1EB5" w:rsidP="003A0E4A">
            <w:pPr>
              <w:pStyle w:val="Lgende"/>
              <w:spacing w:line="240" w:lineRule="auto"/>
              <w:rPr>
                <w:rFonts w:eastAsia="Calibri"/>
                <w:i w:val="0"/>
                <w:color w:val="auto"/>
                <w:sz w:val="22"/>
                <w:szCs w:val="22"/>
                <w:lang w:val="fr-FR" w:eastAsia="en-US"/>
              </w:rPr>
            </w:pPr>
            <w:bookmarkStart w:id="399" w:name="_Toc212725259"/>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60</w:t>
            </w:r>
            <w:r w:rsidRPr="00E41690">
              <w:rPr>
                <w:rFonts w:eastAsia="Calibri"/>
                <w:i w:val="0"/>
                <w:color w:val="auto"/>
                <w:sz w:val="22"/>
                <w:szCs w:val="22"/>
                <w:lang w:eastAsia="en-US"/>
              </w:rPr>
              <w:fldChar w:fldCharType="end"/>
            </w:r>
            <w:r w:rsidRPr="00E41690">
              <w:rPr>
                <w:rFonts w:eastAsia="Calibri"/>
                <w:i w:val="0"/>
                <w:color w:val="auto"/>
                <w:sz w:val="22"/>
                <w:szCs w:val="22"/>
                <w:lang w:val="fr-FR" w:eastAsia="en-US"/>
              </w:rPr>
              <w:t>:Canal à ciel ouvert dans l’emprise du collecteur</w:t>
            </w:r>
            <w:bookmarkEnd w:id="399"/>
          </w:p>
          <w:p w14:paraId="2F7B06BD" w14:textId="77777777" w:rsidR="00CD1EB5" w:rsidRPr="00E41690" w:rsidRDefault="00CD1EB5" w:rsidP="003A0E4A">
            <w:pPr>
              <w:pStyle w:val="Lgende"/>
              <w:spacing w:line="240" w:lineRule="auto"/>
              <w:rPr>
                <w:rFonts w:eastAsia="Calibri"/>
                <w:i w:val="0"/>
                <w:color w:val="auto"/>
                <w:sz w:val="22"/>
                <w:szCs w:val="22"/>
                <w:lang w:eastAsia="en-US"/>
              </w:rPr>
            </w:pPr>
            <w:r w:rsidRPr="00E41690">
              <w:rPr>
                <w:rFonts w:eastAsia="Calibri"/>
                <w:i w:val="0"/>
                <w:noProof/>
                <w:color w:val="auto"/>
                <w:sz w:val="22"/>
                <w:szCs w:val="22"/>
                <w:lang w:eastAsia="en-US"/>
              </w:rPr>
              <w:drawing>
                <wp:inline distT="0" distB="0" distL="0" distR="0" wp14:anchorId="1720B635" wp14:editId="3394D7F6">
                  <wp:extent cx="2503170" cy="1416570"/>
                  <wp:effectExtent l="0" t="0" r="0" b="6350"/>
                  <wp:docPr id="79"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6352" name="Image 138186352"/>
                          <pic:cNvPicPr/>
                        </pic:nvPicPr>
                        <pic:blipFill>
                          <a:blip r:embed="rId82" cstate="email">
                            <a:extLst>
                              <a:ext uri="{28A0092B-C50C-407E-A947-70E740481C1C}">
                                <a14:useLocalDpi xmlns:a14="http://schemas.microsoft.com/office/drawing/2010/main"/>
                              </a:ext>
                            </a:extLst>
                          </a:blip>
                          <a:stretch>
                            <a:fillRect/>
                          </a:stretch>
                        </pic:blipFill>
                        <pic:spPr>
                          <a:xfrm>
                            <a:off x="0" y="0"/>
                            <a:ext cx="2511540" cy="1421307"/>
                          </a:xfrm>
                          <a:prstGeom prst="rect">
                            <a:avLst/>
                          </a:prstGeom>
                        </pic:spPr>
                      </pic:pic>
                    </a:graphicData>
                  </a:graphic>
                </wp:inline>
              </w:drawing>
            </w:r>
          </w:p>
          <w:p w14:paraId="1DBE600C" w14:textId="77777777" w:rsidR="00CD1EB5" w:rsidRPr="00E41690" w:rsidRDefault="00CD1EB5" w:rsidP="003A0E4A">
            <w:pPr>
              <w:pStyle w:val="Lgende"/>
              <w:spacing w:line="240" w:lineRule="auto"/>
              <w:rPr>
                <w:rFonts w:eastAsia="Calibri"/>
                <w:i w:val="0"/>
                <w:color w:val="auto"/>
                <w:sz w:val="22"/>
                <w:szCs w:val="22"/>
                <w:lang w:val="fr-FR" w:eastAsia="en-US"/>
              </w:rPr>
            </w:pPr>
            <w:bookmarkStart w:id="400" w:name="_Toc212725260"/>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61</w:t>
            </w:r>
            <w:r w:rsidRPr="00E41690">
              <w:rPr>
                <w:rFonts w:eastAsia="Calibri"/>
                <w:i w:val="0"/>
                <w:color w:val="auto"/>
                <w:sz w:val="22"/>
                <w:szCs w:val="22"/>
                <w:lang w:eastAsia="en-US"/>
              </w:rPr>
              <w:fldChar w:fldCharType="end"/>
            </w:r>
            <w:r w:rsidRPr="00E41690">
              <w:rPr>
                <w:rFonts w:eastAsia="Calibri"/>
                <w:i w:val="0"/>
                <w:color w:val="auto"/>
                <w:sz w:val="22"/>
                <w:szCs w:val="22"/>
                <w:lang w:val="fr-FR" w:eastAsia="en-US"/>
              </w:rPr>
              <w:t>:Vue de l’emprise du collecteur</w:t>
            </w:r>
            <w:bookmarkEnd w:id="400"/>
          </w:p>
          <w:p w14:paraId="2B77689A" w14:textId="77777777" w:rsidR="00CD1EB5" w:rsidRPr="00E41690" w:rsidRDefault="00CD1EB5" w:rsidP="003A0E4A">
            <w:pPr>
              <w:pStyle w:val="Lgende"/>
              <w:spacing w:line="240" w:lineRule="auto"/>
              <w:rPr>
                <w:rFonts w:eastAsia="Calibri"/>
                <w:i w:val="0"/>
                <w:color w:val="auto"/>
                <w:sz w:val="22"/>
                <w:szCs w:val="22"/>
                <w:lang w:eastAsia="en-US"/>
              </w:rPr>
            </w:pPr>
            <w:r w:rsidRPr="00E41690">
              <w:rPr>
                <w:rFonts w:eastAsia="Calibri"/>
                <w:i w:val="0"/>
                <w:noProof/>
                <w:color w:val="auto"/>
                <w:sz w:val="22"/>
                <w:szCs w:val="22"/>
                <w:lang w:eastAsia="en-US"/>
              </w:rPr>
              <w:drawing>
                <wp:inline distT="0" distB="0" distL="0" distR="0" wp14:anchorId="1EEFE4DC" wp14:editId="6FD0AD4A">
                  <wp:extent cx="2503170" cy="1521502"/>
                  <wp:effectExtent l="0" t="0" r="0" b="2540"/>
                  <wp:docPr id="80"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653952" name="Image 1541653952"/>
                          <pic:cNvPicPr/>
                        </pic:nvPicPr>
                        <pic:blipFill>
                          <a:blip r:embed="rId83" cstate="email">
                            <a:extLst>
                              <a:ext uri="{28A0092B-C50C-407E-A947-70E740481C1C}">
                                <a14:useLocalDpi xmlns:a14="http://schemas.microsoft.com/office/drawing/2010/main"/>
                              </a:ext>
                            </a:extLst>
                          </a:blip>
                          <a:stretch>
                            <a:fillRect/>
                          </a:stretch>
                        </pic:blipFill>
                        <pic:spPr>
                          <a:xfrm>
                            <a:off x="0" y="0"/>
                            <a:ext cx="2512684" cy="1527285"/>
                          </a:xfrm>
                          <a:prstGeom prst="rect">
                            <a:avLst/>
                          </a:prstGeom>
                        </pic:spPr>
                      </pic:pic>
                    </a:graphicData>
                  </a:graphic>
                </wp:inline>
              </w:drawing>
            </w:r>
          </w:p>
          <w:p w14:paraId="1EF4B749" w14:textId="77777777" w:rsidR="00CD1EB5" w:rsidRPr="00E41690" w:rsidRDefault="00CD1EB5" w:rsidP="003A0E4A">
            <w:pPr>
              <w:pStyle w:val="Lgende"/>
              <w:spacing w:line="240" w:lineRule="auto"/>
              <w:rPr>
                <w:rFonts w:eastAsia="Calibri"/>
                <w:i w:val="0"/>
                <w:color w:val="auto"/>
                <w:sz w:val="22"/>
                <w:szCs w:val="22"/>
                <w:lang w:val="fr-FR" w:eastAsia="en-US"/>
              </w:rPr>
            </w:pPr>
            <w:bookmarkStart w:id="401" w:name="_Toc212725261"/>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62</w:t>
            </w:r>
            <w:r w:rsidRPr="00E41690">
              <w:rPr>
                <w:rFonts w:eastAsia="Calibri"/>
                <w:i w:val="0"/>
                <w:color w:val="auto"/>
                <w:sz w:val="22"/>
                <w:szCs w:val="22"/>
                <w:lang w:eastAsia="en-US"/>
              </w:rPr>
              <w:fldChar w:fldCharType="end"/>
            </w:r>
            <w:r w:rsidRPr="00E41690">
              <w:rPr>
                <w:rFonts w:eastAsia="Calibri"/>
                <w:i w:val="0"/>
                <w:color w:val="auto"/>
                <w:sz w:val="22"/>
                <w:szCs w:val="22"/>
                <w:lang w:val="fr-FR" w:eastAsia="en-US"/>
              </w:rPr>
              <w:t>:Zone de stagnation d’eau dans l’emprise</w:t>
            </w:r>
            <w:bookmarkEnd w:id="401"/>
          </w:p>
        </w:tc>
        <w:tc>
          <w:tcPr>
            <w:tcW w:w="1300" w:type="pct"/>
          </w:tcPr>
          <w:p w14:paraId="2D282F1B"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 la mobilité des personnes et des biens ;</w:t>
            </w:r>
          </w:p>
          <w:p w14:paraId="79A3F280"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Maintien de l’accès aux habitations ;</w:t>
            </w:r>
          </w:p>
          <w:p w14:paraId="219B1495"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eaux pluviales ;</w:t>
            </w:r>
          </w:p>
          <w:p w14:paraId="55716A2D" w14:textId="77777777" w:rsidR="00CD1EB5" w:rsidRPr="00260790" w:rsidRDefault="00CD1EB5" w:rsidP="001748C6">
            <w:pPr>
              <w:keepNext/>
              <w:numPr>
                <w:ilvl w:val="0"/>
                <w:numId w:val="120"/>
              </w:numPr>
              <w:spacing w:line="240" w:lineRule="auto"/>
              <w:contextualSpacing/>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 la tranquillité des riverains ;</w:t>
            </w:r>
          </w:p>
          <w:p w14:paraId="7B031636" w14:textId="77777777" w:rsidR="00CD1EB5" w:rsidRPr="00260790" w:rsidRDefault="00CD1EB5" w:rsidP="001748C6">
            <w:pPr>
              <w:keepNext/>
              <w:numPr>
                <w:ilvl w:val="0"/>
                <w:numId w:val="120"/>
              </w:numPr>
              <w:spacing w:line="240" w:lineRule="auto"/>
              <w:contextualSpacing/>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eaux usées ;</w:t>
            </w:r>
          </w:p>
          <w:p w14:paraId="40781BF7" w14:textId="77777777" w:rsidR="00CD1EB5" w:rsidRPr="00260790" w:rsidRDefault="00CD1EB5" w:rsidP="003A0E4A">
            <w:pPr>
              <w:keepNext/>
              <w:spacing w:line="240" w:lineRule="auto"/>
              <w:contextualSpacing/>
              <w:rPr>
                <w:rFonts w:ascii="Times New Roman" w:hAnsi="Times New Roman"/>
                <w:color w:val="000000" w:themeColor="text1"/>
                <w:sz w:val="22"/>
                <w:szCs w:val="22"/>
                <w:lang w:val="fr-FR"/>
              </w:rPr>
            </w:pPr>
          </w:p>
        </w:tc>
      </w:tr>
      <w:tr w:rsidR="00CD1EB5" w:rsidRPr="00260790" w14:paraId="365E5DAF" w14:textId="77777777" w:rsidTr="003A0E4A">
        <w:trPr>
          <w:trHeight w:val="2268"/>
        </w:trPr>
        <w:tc>
          <w:tcPr>
            <w:tcW w:w="734" w:type="pct"/>
            <w:vAlign w:val="center"/>
          </w:tcPr>
          <w:p w14:paraId="507883A9" w14:textId="77777777" w:rsidR="00CD1EB5" w:rsidRPr="00260790" w:rsidRDefault="00CD1EB5" w:rsidP="003A0E4A">
            <w:pPr>
              <w:spacing w:line="240" w:lineRule="auto"/>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lastRenderedPageBreak/>
              <w:t>Collecteur E2 ter vers Marigot de MBAO</w:t>
            </w:r>
          </w:p>
        </w:tc>
        <w:tc>
          <w:tcPr>
            <w:tcW w:w="1528" w:type="pct"/>
          </w:tcPr>
          <w:p w14:paraId="3A5FD338"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Ce collecteur relie le bassin E2 ter et le marigot de MBAO. Long de 799,76 m, il traverse les quartiers de Cité Flamboyant, Touba TAIF, Seydou Nourou TALL, Cité Poste et </w:t>
            </w:r>
            <w:proofErr w:type="spellStart"/>
            <w:r w:rsidRPr="00260790">
              <w:rPr>
                <w:rFonts w:ascii="Times New Roman" w:hAnsi="Times New Roman"/>
                <w:color w:val="000000" w:themeColor="text1"/>
                <w:sz w:val="22"/>
                <w:szCs w:val="22"/>
                <w:lang w:val="fr-FR"/>
              </w:rPr>
              <w:t>Benou</w:t>
            </w:r>
            <w:proofErr w:type="spellEnd"/>
            <w:r w:rsidRPr="00260790">
              <w:rPr>
                <w:rFonts w:ascii="Times New Roman" w:hAnsi="Times New Roman"/>
                <w:color w:val="000000" w:themeColor="text1"/>
                <w:sz w:val="22"/>
                <w:szCs w:val="22"/>
                <w:lang w:val="fr-FR"/>
              </w:rPr>
              <w:t xml:space="preserve"> Sant Yalla. Ce réseau traverse une route pavée et passe devant des habitations, places d’affaires, une boulangerie et une mosquée. Des regards sont identifiés sur le tracé de ce collecteur. </w:t>
            </w:r>
          </w:p>
        </w:tc>
        <w:tc>
          <w:tcPr>
            <w:tcW w:w="1438" w:type="pct"/>
          </w:tcPr>
          <w:p w14:paraId="0936E99B" w14:textId="77777777" w:rsidR="00CD1EB5" w:rsidRPr="00E41690" w:rsidRDefault="00CD1EB5" w:rsidP="003A0E4A">
            <w:pPr>
              <w:pStyle w:val="Lgende"/>
              <w:spacing w:line="240" w:lineRule="auto"/>
              <w:rPr>
                <w:rFonts w:eastAsia="Calibri"/>
                <w:i w:val="0"/>
                <w:color w:val="auto"/>
                <w:sz w:val="22"/>
                <w:szCs w:val="22"/>
                <w:lang w:eastAsia="en-US"/>
              </w:rPr>
            </w:pPr>
            <w:r w:rsidRPr="00E41690">
              <w:rPr>
                <w:rFonts w:eastAsia="Calibri"/>
                <w:i w:val="0"/>
                <w:noProof/>
                <w:color w:val="auto"/>
                <w:sz w:val="22"/>
                <w:szCs w:val="22"/>
                <w:lang w:eastAsia="en-US"/>
              </w:rPr>
              <w:drawing>
                <wp:inline distT="0" distB="0" distL="0" distR="0" wp14:anchorId="487A8769" wp14:editId="60030B2D">
                  <wp:extent cx="2503170" cy="1506511"/>
                  <wp:effectExtent l="0" t="0" r="0" b="5080"/>
                  <wp:docPr id="81"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473806" name="Image 642473806"/>
                          <pic:cNvPicPr/>
                        </pic:nvPicPr>
                        <pic:blipFill>
                          <a:blip r:embed="rId84" cstate="email">
                            <a:extLst>
                              <a:ext uri="{28A0092B-C50C-407E-A947-70E740481C1C}">
                                <a14:useLocalDpi xmlns:a14="http://schemas.microsoft.com/office/drawing/2010/main"/>
                              </a:ext>
                            </a:extLst>
                          </a:blip>
                          <a:stretch>
                            <a:fillRect/>
                          </a:stretch>
                        </pic:blipFill>
                        <pic:spPr>
                          <a:xfrm>
                            <a:off x="0" y="0"/>
                            <a:ext cx="2510723" cy="1511057"/>
                          </a:xfrm>
                          <a:prstGeom prst="rect">
                            <a:avLst/>
                          </a:prstGeom>
                        </pic:spPr>
                      </pic:pic>
                    </a:graphicData>
                  </a:graphic>
                </wp:inline>
              </w:drawing>
            </w:r>
          </w:p>
          <w:p w14:paraId="1AACA61E" w14:textId="3754B86E" w:rsidR="00CD1EB5" w:rsidRPr="00E41690" w:rsidRDefault="00CD1EB5" w:rsidP="003A0E4A">
            <w:pPr>
              <w:pStyle w:val="Lgende"/>
              <w:spacing w:line="240" w:lineRule="auto"/>
              <w:rPr>
                <w:rFonts w:eastAsia="Calibri"/>
                <w:i w:val="0"/>
                <w:color w:val="auto"/>
                <w:sz w:val="22"/>
                <w:szCs w:val="22"/>
                <w:lang w:val="fr-FR" w:eastAsia="en-US"/>
              </w:rPr>
            </w:pPr>
            <w:bookmarkStart w:id="402" w:name="_Toc212725262"/>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63</w:t>
            </w:r>
            <w:r w:rsidRPr="00E41690">
              <w:rPr>
                <w:rFonts w:eastAsia="Calibri"/>
                <w:i w:val="0"/>
                <w:color w:val="auto"/>
                <w:sz w:val="22"/>
                <w:szCs w:val="22"/>
                <w:lang w:eastAsia="en-US"/>
              </w:rPr>
              <w:fldChar w:fldCharType="end"/>
            </w:r>
            <w:r w:rsidR="00194AB1" w:rsidRPr="00E41690">
              <w:rPr>
                <w:rFonts w:eastAsia="Calibri"/>
                <w:i w:val="0"/>
                <w:color w:val="auto"/>
                <w:sz w:val="22"/>
                <w:szCs w:val="22"/>
                <w:lang w:val="fr-FR" w:eastAsia="en-US"/>
              </w:rPr>
              <w:t xml:space="preserve"> </w:t>
            </w:r>
            <w:r w:rsidRPr="00E41690">
              <w:rPr>
                <w:rFonts w:eastAsia="Calibri"/>
                <w:i w:val="0"/>
                <w:color w:val="auto"/>
                <w:sz w:val="22"/>
                <w:szCs w:val="22"/>
                <w:lang w:val="fr-FR" w:eastAsia="en-US"/>
              </w:rPr>
              <w:t>:</w:t>
            </w:r>
            <w:r w:rsidR="00194AB1" w:rsidRPr="00E41690">
              <w:rPr>
                <w:rFonts w:eastAsia="Calibri"/>
                <w:i w:val="0"/>
                <w:color w:val="auto"/>
                <w:sz w:val="22"/>
                <w:szCs w:val="22"/>
                <w:lang w:val="fr-FR" w:eastAsia="en-US"/>
              </w:rPr>
              <w:t xml:space="preserve">  </w:t>
            </w:r>
            <w:r w:rsidRPr="00E41690">
              <w:rPr>
                <w:rFonts w:eastAsia="Calibri"/>
                <w:i w:val="0"/>
                <w:color w:val="auto"/>
                <w:sz w:val="22"/>
                <w:szCs w:val="22"/>
                <w:lang w:val="fr-FR" w:eastAsia="en-US"/>
              </w:rPr>
              <w:t>Vue de l’emprise vers le marigot de Mbao</w:t>
            </w:r>
            <w:bookmarkEnd w:id="402"/>
          </w:p>
          <w:p w14:paraId="6C6D9953" w14:textId="77777777" w:rsidR="00CD1EB5" w:rsidRPr="00E41690" w:rsidRDefault="00CD1EB5" w:rsidP="003A0E4A">
            <w:pPr>
              <w:pStyle w:val="Lgende"/>
              <w:spacing w:line="240" w:lineRule="auto"/>
              <w:rPr>
                <w:rFonts w:eastAsia="Calibri"/>
                <w:i w:val="0"/>
                <w:color w:val="auto"/>
                <w:sz w:val="22"/>
                <w:szCs w:val="22"/>
                <w:lang w:eastAsia="en-US"/>
              </w:rPr>
            </w:pPr>
            <w:r w:rsidRPr="00E41690">
              <w:rPr>
                <w:rFonts w:eastAsia="Calibri"/>
                <w:i w:val="0"/>
                <w:noProof/>
                <w:color w:val="auto"/>
                <w:sz w:val="22"/>
                <w:szCs w:val="22"/>
                <w:lang w:eastAsia="en-US"/>
              </w:rPr>
              <w:drawing>
                <wp:inline distT="0" distB="0" distL="0" distR="0" wp14:anchorId="48D3FDC1" wp14:editId="44FAAE71">
                  <wp:extent cx="2502115" cy="1311639"/>
                  <wp:effectExtent l="0" t="0" r="0" b="0"/>
                  <wp:docPr id="82"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237888" name="Image 1929237888"/>
                          <pic:cNvPicPr/>
                        </pic:nvPicPr>
                        <pic:blipFill>
                          <a:blip r:embed="rId85" cstate="email">
                            <a:extLst>
                              <a:ext uri="{28A0092B-C50C-407E-A947-70E740481C1C}">
                                <a14:useLocalDpi xmlns:a14="http://schemas.microsoft.com/office/drawing/2010/main"/>
                              </a:ext>
                            </a:extLst>
                          </a:blip>
                          <a:stretch>
                            <a:fillRect/>
                          </a:stretch>
                        </pic:blipFill>
                        <pic:spPr>
                          <a:xfrm>
                            <a:off x="0" y="0"/>
                            <a:ext cx="2513717" cy="1317721"/>
                          </a:xfrm>
                          <a:prstGeom prst="rect">
                            <a:avLst/>
                          </a:prstGeom>
                        </pic:spPr>
                      </pic:pic>
                    </a:graphicData>
                  </a:graphic>
                </wp:inline>
              </w:drawing>
            </w:r>
          </w:p>
          <w:p w14:paraId="439FE97B" w14:textId="7EAEADFA" w:rsidR="00CD1EB5" w:rsidRPr="00E41690" w:rsidRDefault="00CD1EB5" w:rsidP="003A0E4A">
            <w:pPr>
              <w:pStyle w:val="Lgende"/>
              <w:spacing w:line="240" w:lineRule="auto"/>
              <w:rPr>
                <w:rFonts w:eastAsia="Calibri"/>
                <w:i w:val="0"/>
                <w:color w:val="auto"/>
                <w:sz w:val="22"/>
                <w:szCs w:val="22"/>
                <w:lang w:val="fr-FR" w:eastAsia="en-US"/>
              </w:rPr>
            </w:pPr>
            <w:bookmarkStart w:id="403" w:name="_Toc212725263"/>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64</w:t>
            </w:r>
            <w:r w:rsidRPr="00E41690">
              <w:rPr>
                <w:rFonts w:eastAsia="Calibri"/>
                <w:i w:val="0"/>
                <w:color w:val="auto"/>
                <w:sz w:val="22"/>
                <w:szCs w:val="22"/>
                <w:lang w:eastAsia="en-US"/>
              </w:rPr>
              <w:fldChar w:fldCharType="end"/>
            </w:r>
            <w:r w:rsidR="00194AB1" w:rsidRPr="00E41690">
              <w:rPr>
                <w:rFonts w:eastAsia="Calibri"/>
                <w:i w:val="0"/>
                <w:color w:val="auto"/>
                <w:sz w:val="22"/>
                <w:szCs w:val="22"/>
                <w:lang w:val="fr-FR" w:eastAsia="en-US"/>
              </w:rPr>
              <w:t xml:space="preserve"> </w:t>
            </w:r>
            <w:r w:rsidRPr="00E41690">
              <w:rPr>
                <w:rFonts w:eastAsia="Calibri"/>
                <w:i w:val="0"/>
                <w:color w:val="auto"/>
                <w:sz w:val="22"/>
                <w:szCs w:val="22"/>
                <w:lang w:val="fr-FR" w:eastAsia="en-US"/>
              </w:rPr>
              <w:t>:</w:t>
            </w:r>
            <w:r w:rsidR="00194AB1" w:rsidRPr="00E41690">
              <w:rPr>
                <w:rFonts w:eastAsia="Calibri"/>
                <w:i w:val="0"/>
                <w:color w:val="auto"/>
                <w:sz w:val="22"/>
                <w:szCs w:val="22"/>
                <w:lang w:val="fr-FR" w:eastAsia="en-US"/>
              </w:rPr>
              <w:t xml:space="preserve"> </w:t>
            </w:r>
            <w:r w:rsidRPr="00E41690">
              <w:rPr>
                <w:rFonts w:eastAsia="Calibri"/>
                <w:i w:val="0"/>
                <w:color w:val="auto"/>
                <w:sz w:val="22"/>
                <w:szCs w:val="22"/>
                <w:lang w:val="fr-FR" w:eastAsia="en-US"/>
              </w:rPr>
              <w:t>Traversée d’une route pavée</w:t>
            </w:r>
            <w:bookmarkEnd w:id="403"/>
          </w:p>
          <w:p w14:paraId="68CCF5EA" w14:textId="77777777" w:rsidR="00CD1EB5" w:rsidRPr="00E41690" w:rsidRDefault="00CD1EB5" w:rsidP="003A0E4A">
            <w:pPr>
              <w:pStyle w:val="Lgende"/>
              <w:spacing w:line="240" w:lineRule="auto"/>
              <w:rPr>
                <w:rFonts w:eastAsia="Calibri"/>
                <w:i w:val="0"/>
                <w:color w:val="auto"/>
                <w:sz w:val="22"/>
                <w:szCs w:val="22"/>
                <w:lang w:eastAsia="en-US"/>
              </w:rPr>
            </w:pPr>
            <w:r w:rsidRPr="00E41690">
              <w:rPr>
                <w:rFonts w:eastAsia="Calibri"/>
                <w:i w:val="0"/>
                <w:noProof/>
                <w:color w:val="auto"/>
                <w:sz w:val="22"/>
                <w:szCs w:val="22"/>
                <w:lang w:eastAsia="en-US"/>
              </w:rPr>
              <w:drawing>
                <wp:inline distT="0" distB="0" distL="0" distR="0" wp14:anchorId="20499324" wp14:editId="3A39583B">
                  <wp:extent cx="2503170" cy="1349115"/>
                  <wp:effectExtent l="0" t="0" r="0" b="0"/>
                  <wp:docPr id="83"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298573" name="Image 532298573"/>
                          <pic:cNvPicPr/>
                        </pic:nvPicPr>
                        <pic:blipFill>
                          <a:blip r:embed="rId86" cstate="email">
                            <a:extLst>
                              <a:ext uri="{28A0092B-C50C-407E-A947-70E740481C1C}">
                                <a14:useLocalDpi xmlns:a14="http://schemas.microsoft.com/office/drawing/2010/main"/>
                              </a:ext>
                            </a:extLst>
                          </a:blip>
                          <a:stretch>
                            <a:fillRect/>
                          </a:stretch>
                        </pic:blipFill>
                        <pic:spPr>
                          <a:xfrm>
                            <a:off x="0" y="0"/>
                            <a:ext cx="2521020" cy="1358736"/>
                          </a:xfrm>
                          <a:prstGeom prst="rect">
                            <a:avLst/>
                          </a:prstGeom>
                        </pic:spPr>
                      </pic:pic>
                    </a:graphicData>
                  </a:graphic>
                </wp:inline>
              </w:drawing>
            </w:r>
          </w:p>
          <w:p w14:paraId="1A02F0DF" w14:textId="46EE5F25" w:rsidR="00CD1EB5" w:rsidRPr="00E41690" w:rsidRDefault="00CD1EB5" w:rsidP="003A0E4A">
            <w:pPr>
              <w:pStyle w:val="Lgende"/>
              <w:spacing w:line="240" w:lineRule="auto"/>
              <w:rPr>
                <w:rFonts w:eastAsia="Calibri"/>
                <w:i w:val="0"/>
                <w:color w:val="auto"/>
                <w:sz w:val="22"/>
                <w:szCs w:val="22"/>
                <w:lang w:val="fr-FR" w:eastAsia="en-US"/>
              </w:rPr>
            </w:pPr>
            <w:bookmarkStart w:id="404" w:name="_Toc212725264"/>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65</w:t>
            </w:r>
            <w:r w:rsidRPr="00E41690">
              <w:rPr>
                <w:rFonts w:eastAsia="Calibri"/>
                <w:i w:val="0"/>
                <w:color w:val="auto"/>
                <w:sz w:val="22"/>
                <w:szCs w:val="22"/>
                <w:lang w:eastAsia="en-US"/>
              </w:rPr>
              <w:fldChar w:fldCharType="end"/>
            </w:r>
            <w:r w:rsidR="00194AB1" w:rsidRPr="00E41690">
              <w:rPr>
                <w:rFonts w:eastAsia="Calibri"/>
                <w:i w:val="0"/>
                <w:color w:val="auto"/>
                <w:sz w:val="22"/>
                <w:szCs w:val="22"/>
                <w:lang w:val="fr-FR" w:eastAsia="en-US"/>
              </w:rPr>
              <w:t xml:space="preserve"> </w:t>
            </w:r>
            <w:r w:rsidRPr="00E41690">
              <w:rPr>
                <w:rFonts w:eastAsia="Calibri"/>
                <w:i w:val="0"/>
                <w:color w:val="auto"/>
                <w:sz w:val="22"/>
                <w:szCs w:val="22"/>
                <w:lang w:val="fr-FR" w:eastAsia="en-US"/>
              </w:rPr>
              <w:t>:</w:t>
            </w:r>
            <w:r w:rsidR="00194AB1" w:rsidRPr="00E41690">
              <w:rPr>
                <w:rFonts w:eastAsia="Calibri"/>
                <w:i w:val="0"/>
                <w:color w:val="auto"/>
                <w:sz w:val="22"/>
                <w:szCs w:val="22"/>
                <w:lang w:val="fr-FR" w:eastAsia="en-US"/>
              </w:rPr>
              <w:t xml:space="preserve"> </w:t>
            </w:r>
            <w:r w:rsidRPr="00E41690">
              <w:rPr>
                <w:rFonts w:eastAsia="Calibri"/>
                <w:i w:val="0"/>
                <w:color w:val="auto"/>
                <w:sz w:val="22"/>
                <w:szCs w:val="22"/>
                <w:lang w:val="fr-FR" w:eastAsia="en-US"/>
              </w:rPr>
              <w:t>Étal vente de petit déjeuner dans l’emprise</w:t>
            </w:r>
            <w:bookmarkEnd w:id="404"/>
          </w:p>
          <w:p w14:paraId="7DDF4CD6" w14:textId="77777777" w:rsidR="00CD1EB5" w:rsidRPr="00E41690" w:rsidRDefault="00CD1EB5" w:rsidP="003A0E4A">
            <w:pPr>
              <w:pStyle w:val="Lgende"/>
              <w:spacing w:line="240" w:lineRule="auto"/>
              <w:rPr>
                <w:rFonts w:eastAsia="Calibri"/>
                <w:i w:val="0"/>
                <w:color w:val="auto"/>
                <w:sz w:val="22"/>
                <w:szCs w:val="22"/>
                <w:lang w:eastAsia="en-US"/>
              </w:rPr>
            </w:pPr>
            <w:r w:rsidRPr="00E41690">
              <w:rPr>
                <w:rFonts w:eastAsia="Calibri"/>
                <w:i w:val="0"/>
                <w:noProof/>
                <w:color w:val="auto"/>
                <w:sz w:val="22"/>
                <w:szCs w:val="22"/>
                <w:lang w:eastAsia="en-US"/>
              </w:rPr>
              <w:lastRenderedPageBreak/>
              <w:drawing>
                <wp:inline distT="0" distB="0" distL="0" distR="0" wp14:anchorId="7C89CE79" wp14:editId="33BECFDE">
                  <wp:extent cx="2503170" cy="1401580"/>
                  <wp:effectExtent l="0" t="0" r="0" b="0"/>
                  <wp:docPr id="84"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742126" name="Image 374742126"/>
                          <pic:cNvPicPr/>
                        </pic:nvPicPr>
                        <pic:blipFill>
                          <a:blip r:embed="rId87" cstate="email">
                            <a:extLst>
                              <a:ext uri="{28A0092B-C50C-407E-A947-70E740481C1C}">
                                <a14:useLocalDpi xmlns:a14="http://schemas.microsoft.com/office/drawing/2010/main"/>
                              </a:ext>
                            </a:extLst>
                          </a:blip>
                          <a:stretch>
                            <a:fillRect/>
                          </a:stretch>
                        </pic:blipFill>
                        <pic:spPr>
                          <a:xfrm>
                            <a:off x="0" y="0"/>
                            <a:ext cx="2512617" cy="1406870"/>
                          </a:xfrm>
                          <a:prstGeom prst="rect">
                            <a:avLst/>
                          </a:prstGeom>
                        </pic:spPr>
                      </pic:pic>
                    </a:graphicData>
                  </a:graphic>
                </wp:inline>
              </w:drawing>
            </w:r>
          </w:p>
          <w:p w14:paraId="7A93A5ED" w14:textId="69AB32E3" w:rsidR="00CD1EB5" w:rsidRPr="00E41690" w:rsidRDefault="00CD1EB5" w:rsidP="00194AB1">
            <w:pPr>
              <w:pStyle w:val="Lgende"/>
              <w:spacing w:line="240" w:lineRule="auto"/>
              <w:jc w:val="both"/>
              <w:rPr>
                <w:rFonts w:eastAsia="Calibri"/>
                <w:i w:val="0"/>
                <w:color w:val="auto"/>
                <w:sz w:val="22"/>
                <w:szCs w:val="22"/>
                <w:lang w:val="fr-FR" w:eastAsia="en-US"/>
              </w:rPr>
            </w:pPr>
            <w:bookmarkStart w:id="405" w:name="_Toc212725265"/>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66</w:t>
            </w:r>
            <w:r w:rsidRPr="00E41690">
              <w:rPr>
                <w:rFonts w:eastAsia="Calibri"/>
                <w:i w:val="0"/>
                <w:color w:val="auto"/>
                <w:sz w:val="22"/>
                <w:szCs w:val="22"/>
                <w:lang w:eastAsia="en-US"/>
              </w:rPr>
              <w:fldChar w:fldCharType="end"/>
            </w:r>
            <w:r w:rsidR="008F2109" w:rsidRPr="00E41690">
              <w:rPr>
                <w:rFonts w:eastAsia="Calibri"/>
                <w:i w:val="0"/>
                <w:color w:val="auto"/>
                <w:sz w:val="22"/>
                <w:szCs w:val="22"/>
                <w:lang w:val="fr-FR" w:eastAsia="en-US"/>
              </w:rPr>
              <w:t xml:space="preserve"> </w:t>
            </w:r>
            <w:r w:rsidRPr="00E41690">
              <w:rPr>
                <w:rFonts w:eastAsia="Calibri"/>
                <w:i w:val="0"/>
                <w:color w:val="auto"/>
                <w:sz w:val="22"/>
                <w:szCs w:val="22"/>
                <w:lang w:val="fr-FR" w:eastAsia="en-US"/>
              </w:rPr>
              <w:t>:</w:t>
            </w:r>
            <w:r w:rsidR="008F2109" w:rsidRPr="00E41690">
              <w:rPr>
                <w:rFonts w:eastAsia="Calibri"/>
                <w:i w:val="0"/>
                <w:color w:val="auto"/>
                <w:sz w:val="22"/>
                <w:szCs w:val="22"/>
                <w:lang w:val="fr-FR" w:eastAsia="en-US"/>
              </w:rPr>
              <w:t xml:space="preserve"> </w:t>
            </w:r>
            <w:r w:rsidRPr="00E41690">
              <w:rPr>
                <w:rFonts w:eastAsia="Calibri"/>
                <w:i w:val="0"/>
                <w:color w:val="auto"/>
                <w:sz w:val="22"/>
                <w:szCs w:val="22"/>
                <w:lang w:val="fr-FR" w:eastAsia="en-US"/>
              </w:rPr>
              <w:t>Boulangerie à la limite de l’emprise</w:t>
            </w:r>
            <w:bookmarkEnd w:id="405"/>
          </w:p>
          <w:p w14:paraId="0D515C6D" w14:textId="77777777" w:rsidR="00CD1EB5" w:rsidRPr="00E41690" w:rsidRDefault="00CD1EB5" w:rsidP="00194AB1">
            <w:pPr>
              <w:pStyle w:val="Lgende"/>
              <w:spacing w:line="240" w:lineRule="auto"/>
              <w:jc w:val="both"/>
              <w:rPr>
                <w:rFonts w:eastAsia="Calibri"/>
                <w:i w:val="0"/>
                <w:color w:val="auto"/>
                <w:sz w:val="22"/>
                <w:szCs w:val="22"/>
                <w:lang w:eastAsia="en-US"/>
              </w:rPr>
            </w:pPr>
            <w:r w:rsidRPr="00E41690">
              <w:rPr>
                <w:rFonts w:eastAsia="Calibri"/>
                <w:i w:val="0"/>
                <w:noProof/>
                <w:color w:val="auto"/>
                <w:sz w:val="22"/>
                <w:szCs w:val="22"/>
                <w:lang w:eastAsia="en-US"/>
              </w:rPr>
              <w:drawing>
                <wp:inline distT="0" distB="0" distL="0" distR="0" wp14:anchorId="4B7D913A" wp14:editId="774BD888">
                  <wp:extent cx="2503170" cy="1214204"/>
                  <wp:effectExtent l="0" t="0" r="0" b="5080"/>
                  <wp:docPr id="8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54649" name="Image 472954649"/>
                          <pic:cNvPicPr/>
                        </pic:nvPicPr>
                        <pic:blipFill>
                          <a:blip r:embed="rId88" cstate="email">
                            <a:extLst>
                              <a:ext uri="{28A0092B-C50C-407E-A947-70E740481C1C}">
                                <a14:useLocalDpi xmlns:a14="http://schemas.microsoft.com/office/drawing/2010/main"/>
                              </a:ext>
                            </a:extLst>
                          </a:blip>
                          <a:stretch>
                            <a:fillRect/>
                          </a:stretch>
                        </pic:blipFill>
                        <pic:spPr>
                          <a:xfrm>
                            <a:off x="0" y="0"/>
                            <a:ext cx="2512023" cy="1218498"/>
                          </a:xfrm>
                          <a:prstGeom prst="rect">
                            <a:avLst/>
                          </a:prstGeom>
                        </pic:spPr>
                      </pic:pic>
                    </a:graphicData>
                  </a:graphic>
                </wp:inline>
              </w:drawing>
            </w:r>
          </w:p>
          <w:p w14:paraId="055387A9" w14:textId="326CA560" w:rsidR="00CD1EB5" w:rsidRPr="00E41690" w:rsidRDefault="00CD1EB5" w:rsidP="00194AB1">
            <w:pPr>
              <w:pStyle w:val="Lgende"/>
              <w:spacing w:line="240" w:lineRule="auto"/>
              <w:jc w:val="both"/>
              <w:rPr>
                <w:rFonts w:eastAsia="Calibri"/>
                <w:i w:val="0"/>
                <w:color w:val="auto"/>
                <w:sz w:val="22"/>
                <w:szCs w:val="22"/>
                <w:lang w:val="fr-FR" w:eastAsia="en-US"/>
              </w:rPr>
            </w:pPr>
            <w:bookmarkStart w:id="406" w:name="_Toc212725266"/>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67</w:t>
            </w:r>
            <w:r w:rsidRPr="00E41690">
              <w:rPr>
                <w:rFonts w:eastAsia="Calibri"/>
                <w:i w:val="0"/>
                <w:color w:val="auto"/>
                <w:sz w:val="22"/>
                <w:szCs w:val="22"/>
                <w:lang w:eastAsia="en-US"/>
              </w:rPr>
              <w:fldChar w:fldCharType="end"/>
            </w:r>
            <w:r w:rsidR="008F2109" w:rsidRPr="00E41690">
              <w:rPr>
                <w:rFonts w:eastAsia="Calibri"/>
                <w:i w:val="0"/>
                <w:color w:val="auto"/>
                <w:sz w:val="22"/>
                <w:szCs w:val="22"/>
                <w:lang w:val="fr-FR" w:eastAsia="en-US"/>
              </w:rPr>
              <w:t xml:space="preserve"> </w:t>
            </w:r>
            <w:r w:rsidRPr="00E41690">
              <w:rPr>
                <w:rFonts w:eastAsia="Calibri"/>
                <w:i w:val="0"/>
                <w:color w:val="auto"/>
                <w:sz w:val="22"/>
                <w:szCs w:val="22"/>
                <w:lang w:val="fr-FR" w:eastAsia="en-US"/>
              </w:rPr>
              <w:t>:</w:t>
            </w:r>
            <w:r w:rsidR="00194AB1" w:rsidRPr="00E41690">
              <w:rPr>
                <w:rFonts w:eastAsia="Calibri"/>
                <w:i w:val="0"/>
                <w:color w:val="auto"/>
                <w:sz w:val="22"/>
                <w:szCs w:val="22"/>
                <w:lang w:val="fr-FR" w:eastAsia="en-US"/>
              </w:rPr>
              <w:t xml:space="preserve"> </w:t>
            </w:r>
            <w:r w:rsidRPr="00E41690">
              <w:rPr>
                <w:rFonts w:eastAsia="Calibri"/>
                <w:i w:val="0"/>
                <w:color w:val="auto"/>
                <w:sz w:val="22"/>
                <w:szCs w:val="22"/>
                <w:lang w:val="fr-FR" w:eastAsia="en-US"/>
              </w:rPr>
              <w:t>Regard ONAS dans l’emprise et une mosquée à la limite de l’emprise</w:t>
            </w:r>
            <w:bookmarkEnd w:id="406"/>
          </w:p>
        </w:tc>
        <w:tc>
          <w:tcPr>
            <w:tcW w:w="1300" w:type="pct"/>
          </w:tcPr>
          <w:p w14:paraId="70880B80"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Gestion de la mobilité des personnes et des biens ;</w:t>
            </w:r>
          </w:p>
          <w:p w14:paraId="2E2E14AD"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Maintien de l’accès aux habitations et à la mosquée ;</w:t>
            </w:r>
          </w:p>
          <w:p w14:paraId="38DC0F55"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eaux pluviales ;</w:t>
            </w:r>
          </w:p>
          <w:p w14:paraId="6D450B97" w14:textId="77777777" w:rsidR="00CD1EB5" w:rsidRPr="00260790" w:rsidRDefault="00CD1EB5" w:rsidP="001748C6">
            <w:pPr>
              <w:keepNext/>
              <w:numPr>
                <w:ilvl w:val="0"/>
                <w:numId w:val="120"/>
              </w:numPr>
              <w:spacing w:line="240" w:lineRule="auto"/>
              <w:contextualSpacing/>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 la tranquillité des riverains</w:t>
            </w:r>
          </w:p>
          <w:p w14:paraId="0CDA8649" w14:textId="77777777" w:rsidR="00CD1EB5" w:rsidRPr="00260790" w:rsidRDefault="00CD1EB5" w:rsidP="001748C6">
            <w:pPr>
              <w:keepNext/>
              <w:numPr>
                <w:ilvl w:val="0"/>
                <w:numId w:val="120"/>
              </w:numPr>
              <w:spacing w:line="240" w:lineRule="auto"/>
              <w:contextualSpacing/>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réseaux des concessionnaires (ONAS) et Maintien de la continuité de leur service ;</w:t>
            </w:r>
          </w:p>
        </w:tc>
      </w:tr>
      <w:tr w:rsidR="00CD1EB5" w:rsidRPr="00260790" w14:paraId="4EA7B178" w14:textId="77777777" w:rsidTr="003A0E4A">
        <w:trPr>
          <w:trHeight w:val="2268"/>
        </w:trPr>
        <w:tc>
          <w:tcPr>
            <w:tcW w:w="734" w:type="pct"/>
            <w:vAlign w:val="center"/>
          </w:tcPr>
          <w:p w14:paraId="5D3CE122" w14:textId="77777777" w:rsidR="00CD1EB5" w:rsidRPr="00260790" w:rsidRDefault="00CD1EB5" w:rsidP="003A0E4A">
            <w:pPr>
              <w:spacing w:line="240" w:lineRule="auto"/>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Collecteur K4_4 vers Marigot de MBAO</w:t>
            </w:r>
          </w:p>
        </w:tc>
        <w:tc>
          <w:tcPr>
            <w:tcW w:w="1528" w:type="pct"/>
          </w:tcPr>
          <w:p w14:paraId="0395B809"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Ce réseau relie le bassin K4_4 au marigot de MBAO. Il est long de 676,31 m et traverse les quartiers Cité PROMOCAP, Cité </w:t>
            </w:r>
            <w:proofErr w:type="spellStart"/>
            <w:r w:rsidRPr="00260790">
              <w:rPr>
                <w:rFonts w:ascii="Times New Roman" w:hAnsi="Times New Roman"/>
                <w:color w:val="000000" w:themeColor="text1"/>
                <w:sz w:val="22"/>
                <w:szCs w:val="22"/>
                <w:lang w:val="fr-FR"/>
              </w:rPr>
              <w:t>Dabakh</w:t>
            </w:r>
            <w:proofErr w:type="spellEnd"/>
            <w:r w:rsidRPr="00260790">
              <w:rPr>
                <w:rFonts w:ascii="Times New Roman" w:hAnsi="Times New Roman"/>
                <w:color w:val="000000" w:themeColor="text1"/>
                <w:sz w:val="22"/>
                <w:szCs w:val="22"/>
                <w:lang w:val="fr-FR"/>
              </w:rPr>
              <w:t xml:space="preserve"> Malick, Cité Adja </w:t>
            </w:r>
            <w:proofErr w:type="spellStart"/>
            <w:r w:rsidRPr="00260790">
              <w:rPr>
                <w:rFonts w:ascii="Times New Roman" w:hAnsi="Times New Roman"/>
                <w:color w:val="000000" w:themeColor="text1"/>
                <w:sz w:val="22"/>
                <w:szCs w:val="22"/>
                <w:lang w:val="fr-FR"/>
              </w:rPr>
              <w:t>Marème</w:t>
            </w:r>
            <w:proofErr w:type="spellEnd"/>
            <w:r w:rsidRPr="00260790">
              <w:rPr>
                <w:rFonts w:ascii="Times New Roman" w:hAnsi="Times New Roman"/>
                <w:color w:val="000000" w:themeColor="text1"/>
                <w:sz w:val="22"/>
                <w:szCs w:val="22"/>
                <w:lang w:val="fr-FR"/>
              </w:rPr>
              <w:t xml:space="preserve"> DIOP et la forêt classée de MBAO. Il longe une rue impraticable bordée de part et d’autre par des habitations et des places d’affaires. Il empiète sur un terrain de football avant de se jeter dans le marigot de MBAO.</w:t>
            </w:r>
          </w:p>
          <w:p w14:paraId="21C1ED37"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En termes de végétation on trouve à proximité du linéaire des cocotiers, des tamarix, des prosopis, mais également des filaos. </w:t>
            </w:r>
          </w:p>
        </w:tc>
        <w:tc>
          <w:tcPr>
            <w:tcW w:w="1438" w:type="pct"/>
          </w:tcPr>
          <w:p w14:paraId="27B61672" w14:textId="77777777" w:rsidR="00CD1EB5" w:rsidRPr="00E41690" w:rsidRDefault="00CD1EB5" w:rsidP="003A0E4A">
            <w:pPr>
              <w:spacing w:line="240" w:lineRule="auto"/>
              <w:rPr>
                <w:rFonts w:ascii="Times New Roman" w:hAnsi="Times New Roman"/>
                <w:noProof/>
                <w:color w:val="000000" w:themeColor="text1"/>
                <w:sz w:val="22"/>
                <w:szCs w:val="22"/>
                <w:lang w:val="fr-FR"/>
              </w:rPr>
            </w:pPr>
          </w:p>
          <w:p w14:paraId="0F87E77D" w14:textId="77777777" w:rsidR="00CD1EB5" w:rsidRPr="00E41690" w:rsidRDefault="00CD1EB5" w:rsidP="00194AB1">
            <w:pPr>
              <w:pStyle w:val="Lgende"/>
              <w:spacing w:line="240" w:lineRule="auto"/>
              <w:jc w:val="both"/>
              <w:rPr>
                <w:rFonts w:eastAsia="Calibri"/>
                <w:i w:val="0"/>
                <w:color w:val="auto"/>
                <w:sz w:val="22"/>
                <w:szCs w:val="22"/>
                <w:lang w:eastAsia="en-US"/>
              </w:rPr>
            </w:pPr>
            <w:r w:rsidRPr="00E41690">
              <w:rPr>
                <w:rFonts w:eastAsia="Calibri"/>
                <w:i w:val="0"/>
                <w:noProof/>
                <w:color w:val="auto"/>
                <w:sz w:val="22"/>
                <w:szCs w:val="22"/>
                <w:lang w:eastAsia="en-US"/>
              </w:rPr>
              <w:drawing>
                <wp:inline distT="0" distB="0" distL="0" distR="0" wp14:anchorId="4EF7423C" wp14:editId="582AA6BF">
                  <wp:extent cx="2502476" cy="1551482"/>
                  <wp:effectExtent l="0" t="0" r="0" b="0"/>
                  <wp:docPr id="87"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638363" name="Image 950638363"/>
                          <pic:cNvPicPr/>
                        </pic:nvPicPr>
                        <pic:blipFill>
                          <a:blip r:embed="rId89" cstate="email">
                            <a:extLst>
                              <a:ext uri="{28A0092B-C50C-407E-A947-70E740481C1C}">
                                <a14:useLocalDpi xmlns:a14="http://schemas.microsoft.com/office/drawing/2010/main"/>
                              </a:ext>
                            </a:extLst>
                          </a:blip>
                          <a:stretch>
                            <a:fillRect/>
                          </a:stretch>
                        </pic:blipFill>
                        <pic:spPr>
                          <a:xfrm>
                            <a:off x="0" y="0"/>
                            <a:ext cx="2519534" cy="1562058"/>
                          </a:xfrm>
                          <a:prstGeom prst="rect">
                            <a:avLst/>
                          </a:prstGeom>
                        </pic:spPr>
                      </pic:pic>
                    </a:graphicData>
                  </a:graphic>
                </wp:inline>
              </w:drawing>
            </w:r>
          </w:p>
          <w:p w14:paraId="6BC8523E" w14:textId="6AEF8A2D" w:rsidR="00CD1EB5" w:rsidRPr="00E41690" w:rsidRDefault="00CD1EB5" w:rsidP="00194AB1">
            <w:pPr>
              <w:pStyle w:val="Lgende"/>
              <w:spacing w:line="240" w:lineRule="auto"/>
              <w:jc w:val="both"/>
              <w:rPr>
                <w:rFonts w:eastAsia="Calibri"/>
                <w:i w:val="0"/>
                <w:color w:val="auto"/>
                <w:sz w:val="22"/>
                <w:szCs w:val="22"/>
                <w:lang w:val="fr-FR" w:eastAsia="en-US"/>
              </w:rPr>
            </w:pPr>
            <w:bookmarkStart w:id="407" w:name="_Toc212725267"/>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68</w:t>
            </w:r>
            <w:r w:rsidRPr="00E41690">
              <w:rPr>
                <w:rFonts w:eastAsia="Calibri"/>
                <w:i w:val="0"/>
                <w:color w:val="auto"/>
                <w:sz w:val="22"/>
                <w:szCs w:val="22"/>
                <w:lang w:eastAsia="en-US"/>
              </w:rPr>
              <w:fldChar w:fldCharType="end"/>
            </w:r>
            <w:r w:rsidR="008F2109" w:rsidRPr="00E41690">
              <w:rPr>
                <w:rFonts w:eastAsia="Calibri"/>
                <w:i w:val="0"/>
                <w:color w:val="auto"/>
                <w:sz w:val="22"/>
                <w:szCs w:val="22"/>
                <w:lang w:val="fr-FR" w:eastAsia="en-US"/>
              </w:rPr>
              <w:t xml:space="preserve"> </w:t>
            </w:r>
            <w:r w:rsidRPr="00E41690">
              <w:rPr>
                <w:rFonts w:eastAsia="Calibri"/>
                <w:i w:val="0"/>
                <w:color w:val="auto"/>
                <w:sz w:val="22"/>
                <w:szCs w:val="22"/>
                <w:lang w:val="fr-FR" w:eastAsia="en-US"/>
              </w:rPr>
              <w:t>:</w:t>
            </w:r>
            <w:r w:rsidR="008F2109" w:rsidRPr="00E41690">
              <w:rPr>
                <w:rFonts w:eastAsia="Calibri"/>
                <w:i w:val="0"/>
                <w:color w:val="auto"/>
                <w:sz w:val="22"/>
                <w:szCs w:val="22"/>
                <w:lang w:val="fr-FR" w:eastAsia="en-US"/>
              </w:rPr>
              <w:t xml:space="preserve"> </w:t>
            </w:r>
            <w:r w:rsidRPr="00E41690">
              <w:rPr>
                <w:rFonts w:eastAsia="Calibri"/>
                <w:i w:val="0"/>
                <w:color w:val="auto"/>
                <w:sz w:val="22"/>
                <w:szCs w:val="22"/>
                <w:lang w:val="fr-FR" w:eastAsia="en-US"/>
              </w:rPr>
              <w:t>Vue de l’emprise du collecteur</w:t>
            </w:r>
            <w:bookmarkEnd w:id="407"/>
          </w:p>
          <w:p w14:paraId="7F07F853" w14:textId="77777777" w:rsidR="00CD1EB5" w:rsidRPr="00E41690" w:rsidRDefault="00CD1EB5" w:rsidP="003A0E4A">
            <w:pPr>
              <w:pStyle w:val="Lgende"/>
              <w:spacing w:line="240" w:lineRule="auto"/>
              <w:rPr>
                <w:rFonts w:eastAsia="Calibri"/>
                <w:i w:val="0"/>
                <w:color w:val="auto"/>
                <w:sz w:val="22"/>
                <w:szCs w:val="22"/>
                <w:lang w:eastAsia="en-US"/>
              </w:rPr>
            </w:pPr>
            <w:r w:rsidRPr="00E41690">
              <w:rPr>
                <w:rFonts w:eastAsia="Calibri"/>
                <w:i w:val="0"/>
                <w:noProof/>
                <w:color w:val="auto"/>
                <w:sz w:val="22"/>
                <w:szCs w:val="22"/>
                <w:lang w:eastAsia="en-US"/>
              </w:rPr>
              <w:lastRenderedPageBreak/>
              <w:drawing>
                <wp:inline distT="0" distB="0" distL="0" distR="0" wp14:anchorId="7C9B6C33" wp14:editId="3B055F6D">
                  <wp:extent cx="2503170" cy="1356609"/>
                  <wp:effectExtent l="0" t="0" r="0" b="2540"/>
                  <wp:docPr id="90"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318318" name="Image 555318318"/>
                          <pic:cNvPicPr/>
                        </pic:nvPicPr>
                        <pic:blipFill>
                          <a:blip r:embed="rId90" cstate="email">
                            <a:extLst>
                              <a:ext uri="{28A0092B-C50C-407E-A947-70E740481C1C}">
                                <a14:useLocalDpi xmlns:a14="http://schemas.microsoft.com/office/drawing/2010/main"/>
                              </a:ext>
                            </a:extLst>
                          </a:blip>
                          <a:stretch>
                            <a:fillRect/>
                          </a:stretch>
                        </pic:blipFill>
                        <pic:spPr>
                          <a:xfrm>
                            <a:off x="0" y="0"/>
                            <a:ext cx="2513824" cy="1362383"/>
                          </a:xfrm>
                          <a:prstGeom prst="rect">
                            <a:avLst/>
                          </a:prstGeom>
                        </pic:spPr>
                      </pic:pic>
                    </a:graphicData>
                  </a:graphic>
                </wp:inline>
              </w:drawing>
            </w:r>
          </w:p>
          <w:p w14:paraId="6FCE8641" w14:textId="0FCE9E2C" w:rsidR="00CD1EB5" w:rsidRPr="00E41690" w:rsidRDefault="00CD1EB5" w:rsidP="008F2109">
            <w:pPr>
              <w:pStyle w:val="Lgende"/>
              <w:spacing w:line="240" w:lineRule="auto"/>
              <w:jc w:val="both"/>
              <w:rPr>
                <w:rFonts w:eastAsia="Calibri"/>
                <w:i w:val="0"/>
                <w:color w:val="auto"/>
                <w:sz w:val="22"/>
                <w:szCs w:val="22"/>
                <w:lang w:val="fr-FR" w:eastAsia="en-US"/>
              </w:rPr>
            </w:pPr>
            <w:bookmarkStart w:id="408" w:name="_Toc212725268"/>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69</w:t>
            </w:r>
            <w:r w:rsidRPr="00E41690">
              <w:rPr>
                <w:rFonts w:eastAsia="Calibri"/>
                <w:i w:val="0"/>
                <w:color w:val="auto"/>
                <w:sz w:val="22"/>
                <w:szCs w:val="22"/>
                <w:lang w:eastAsia="en-US"/>
              </w:rPr>
              <w:fldChar w:fldCharType="end"/>
            </w:r>
            <w:r w:rsidR="008F2109" w:rsidRPr="00E41690">
              <w:rPr>
                <w:rFonts w:eastAsia="Calibri"/>
                <w:i w:val="0"/>
                <w:color w:val="auto"/>
                <w:sz w:val="22"/>
                <w:szCs w:val="22"/>
                <w:lang w:val="fr-FR" w:eastAsia="en-US"/>
              </w:rPr>
              <w:t xml:space="preserve"> </w:t>
            </w:r>
            <w:r w:rsidRPr="00E41690">
              <w:rPr>
                <w:rFonts w:eastAsia="Calibri"/>
                <w:i w:val="0"/>
                <w:color w:val="auto"/>
                <w:sz w:val="22"/>
                <w:szCs w:val="22"/>
                <w:lang w:val="fr-FR" w:eastAsia="en-US"/>
              </w:rPr>
              <w:t>:</w:t>
            </w:r>
            <w:r w:rsidR="008F2109" w:rsidRPr="00E41690">
              <w:rPr>
                <w:rFonts w:eastAsia="Calibri"/>
                <w:i w:val="0"/>
                <w:color w:val="auto"/>
                <w:sz w:val="22"/>
                <w:szCs w:val="22"/>
                <w:lang w:val="fr-FR" w:eastAsia="en-US"/>
              </w:rPr>
              <w:t xml:space="preserve">  </w:t>
            </w:r>
            <w:r w:rsidRPr="00E41690">
              <w:rPr>
                <w:rFonts w:eastAsia="Calibri"/>
                <w:i w:val="0"/>
                <w:color w:val="auto"/>
                <w:sz w:val="22"/>
                <w:szCs w:val="22"/>
                <w:lang w:val="fr-FR" w:eastAsia="en-US"/>
              </w:rPr>
              <w:t>Traversée d’une route goudronnée</w:t>
            </w:r>
            <w:bookmarkEnd w:id="408"/>
          </w:p>
          <w:p w14:paraId="6101606D" w14:textId="77777777" w:rsidR="00CD1EB5" w:rsidRPr="00E41690" w:rsidRDefault="00CD1EB5" w:rsidP="008F2109">
            <w:pPr>
              <w:pStyle w:val="Lgende"/>
              <w:spacing w:line="240" w:lineRule="auto"/>
              <w:jc w:val="both"/>
              <w:rPr>
                <w:rFonts w:eastAsia="Calibri"/>
                <w:i w:val="0"/>
                <w:color w:val="auto"/>
                <w:sz w:val="22"/>
                <w:szCs w:val="22"/>
                <w:lang w:eastAsia="en-US"/>
              </w:rPr>
            </w:pPr>
            <w:r w:rsidRPr="00E41690">
              <w:rPr>
                <w:rFonts w:eastAsia="Calibri"/>
                <w:i w:val="0"/>
                <w:noProof/>
                <w:color w:val="auto"/>
                <w:sz w:val="22"/>
                <w:szCs w:val="22"/>
                <w:lang w:eastAsia="en-US"/>
              </w:rPr>
              <w:drawing>
                <wp:inline distT="0" distB="0" distL="0" distR="0" wp14:anchorId="28E14D69" wp14:editId="3A4D1AAE">
                  <wp:extent cx="2501985" cy="1379095"/>
                  <wp:effectExtent l="0" t="0" r="0" b="5715"/>
                  <wp:docPr id="91"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941319" name="Image 2064941319"/>
                          <pic:cNvPicPr/>
                        </pic:nvPicPr>
                        <pic:blipFill>
                          <a:blip r:embed="rId91" cstate="email">
                            <a:extLst>
                              <a:ext uri="{28A0092B-C50C-407E-A947-70E740481C1C}">
                                <a14:useLocalDpi xmlns:a14="http://schemas.microsoft.com/office/drawing/2010/main"/>
                              </a:ext>
                            </a:extLst>
                          </a:blip>
                          <a:stretch>
                            <a:fillRect/>
                          </a:stretch>
                        </pic:blipFill>
                        <pic:spPr>
                          <a:xfrm>
                            <a:off x="0" y="0"/>
                            <a:ext cx="2525845" cy="1392247"/>
                          </a:xfrm>
                          <a:prstGeom prst="rect">
                            <a:avLst/>
                          </a:prstGeom>
                        </pic:spPr>
                      </pic:pic>
                    </a:graphicData>
                  </a:graphic>
                </wp:inline>
              </w:drawing>
            </w:r>
          </w:p>
          <w:p w14:paraId="0CDD1655" w14:textId="4566705F" w:rsidR="00CD1EB5" w:rsidRPr="00E41690" w:rsidRDefault="00CD1EB5" w:rsidP="008F2109">
            <w:pPr>
              <w:pStyle w:val="Lgende"/>
              <w:spacing w:line="240" w:lineRule="auto"/>
              <w:jc w:val="both"/>
              <w:rPr>
                <w:rFonts w:eastAsia="Calibri"/>
                <w:i w:val="0"/>
                <w:color w:val="auto"/>
                <w:sz w:val="22"/>
                <w:szCs w:val="22"/>
                <w:lang w:val="fr-FR" w:eastAsia="en-US"/>
              </w:rPr>
            </w:pPr>
            <w:bookmarkStart w:id="409" w:name="_Toc212725269"/>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70</w:t>
            </w:r>
            <w:r w:rsidRPr="00E41690">
              <w:rPr>
                <w:rFonts w:eastAsia="Calibri"/>
                <w:i w:val="0"/>
                <w:color w:val="auto"/>
                <w:sz w:val="22"/>
                <w:szCs w:val="22"/>
                <w:lang w:eastAsia="en-US"/>
              </w:rPr>
              <w:fldChar w:fldCharType="end"/>
            </w:r>
            <w:r w:rsidR="008F2109" w:rsidRPr="00E41690">
              <w:rPr>
                <w:rFonts w:eastAsia="Calibri"/>
                <w:i w:val="0"/>
                <w:color w:val="auto"/>
                <w:sz w:val="22"/>
                <w:szCs w:val="22"/>
                <w:lang w:val="fr-FR" w:eastAsia="en-US"/>
              </w:rPr>
              <w:t xml:space="preserve"> </w:t>
            </w:r>
            <w:r w:rsidRPr="00E41690">
              <w:rPr>
                <w:rFonts w:eastAsia="Calibri"/>
                <w:i w:val="0"/>
                <w:color w:val="auto"/>
                <w:sz w:val="22"/>
                <w:szCs w:val="22"/>
                <w:lang w:val="fr-FR" w:eastAsia="en-US"/>
              </w:rPr>
              <w:t>:</w:t>
            </w:r>
            <w:r w:rsidR="008F2109" w:rsidRPr="00E41690">
              <w:rPr>
                <w:rFonts w:eastAsia="Calibri"/>
                <w:i w:val="0"/>
                <w:color w:val="auto"/>
                <w:sz w:val="22"/>
                <w:szCs w:val="22"/>
                <w:lang w:val="fr-FR" w:eastAsia="en-US"/>
              </w:rPr>
              <w:t xml:space="preserve"> </w:t>
            </w:r>
            <w:r w:rsidRPr="00E41690">
              <w:rPr>
                <w:rFonts w:eastAsia="Calibri"/>
                <w:i w:val="0"/>
                <w:color w:val="auto"/>
                <w:sz w:val="22"/>
                <w:szCs w:val="22"/>
                <w:lang w:val="fr-FR" w:eastAsia="en-US"/>
              </w:rPr>
              <w:t>Traversée d’une aire de jeu</w:t>
            </w:r>
            <w:bookmarkEnd w:id="409"/>
            <w:r w:rsidRPr="00E41690">
              <w:rPr>
                <w:rFonts w:eastAsia="Calibri"/>
                <w:i w:val="0"/>
                <w:color w:val="auto"/>
                <w:sz w:val="22"/>
                <w:szCs w:val="22"/>
                <w:lang w:val="fr-FR" w:eastAsia="en-US"/>
              </w:rPr>
              <w:t xml:space="preserve"> </w:t>
            </w:r>
          </w:p>
          <w:p w14:paraId="18AE8177" w14:textId="77777777" w:rsidR="00CD1EB5" w:rsidRPr="00E41690" w:rsidRDefault="00CD1EB5" w:rsidP="008F2109">
            <w:pPr>
              <w:pStyle w:val="Lgende"/>
              <w:spacing w:line="240" w:lineRule="auto"/>
              <w:jc w:val="both"/>
              <w:rPr>
                <w:rFonts w:eastAsia="Calibri"/>
                <w:i w:val="0"/>
                <w:color w:val="auto"/>
                <w:sz w:val="22"/>
                <w:szCs w:val="22"/>
                <w:lang w:eastAsia="en-US"/>
              </w:rPr>
            </w:pPr>
            <w:r w:rsidRPr="00E41690">
              <w:rPr>
                <w:rFonts w:eastAsia="Calibri"/>
                <w:i w:val="0"/>
                <w:noProof/>
                <w:color w:val="auto"/>
                <w:sz w:val="22"/>
                <w:szCs w:val="22"/>
                <w:lang w:eastAsia="en-US"/>
              </w:rPr>
              <w:drawing>
                <wp:inline distT="0" distB="0" distL="0" distR="0" wp14:anchorId="0FF35EF4" wp14:editId="3B1BF32F">
                  <wp:extent cx="2503170" cy="1588957"/>
                  <wp:effectExtent l="0" t="0" r="0" b="0"/>
                  <wp:docPr id="92"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006650" name="Image 2012006650"/>
                          <pic:cNvPicPr/>
                        </pic:nvPicPr>
                        <pic:blipFill>
                          <a:blip r:embed="rId92" cstate="email">
                            <a:extLst>
                              <a:ext uri="{28A0092B-C50C-407E-A947-70E740481C1C}">
                                <a14:useLocalDpi xmlns:a14="http://schemas.microsoft.com/office/drawing/2010/main"/>
                              </a:ext>
                            </a:extLst>
                          </a:blip>
                          <a:stretch>
                            <a:fillRect/>
                          </a:stretch>
                        </pic:blipFill>
                        <pic:spPr>
                          <a:xfrm>
                            <a:off x="0" y="0"/>
                            <a:ext cx="2516048" cy="1597132"/>
                          </a:xfrm>
                          <a:prstGeom prst="rect">
                            <a:avLst/>
                          </a:prstGeom>
                        </pic:spPr>
                      </pic:pic>
                    </a:graphicData>
                  </a:graphic>
                </wp:inline>
              </w:drawing>
            </w:r>
          </w:p>
          <w:p w14:paraId="79A969C0" w14:textId="19E32EDA" w:rsidR="00CD1EB5" w:rsidRPr="00E41690" w:rsidRDefault="00CD1EB5" w:rsidP="008F2109">
            <w:pPr>
              <w:pStyle w:val="Lgende"/>
              <w:spacing w:line="240" w:lineRule="auto"/>
              <w:jc w:val="both"/>
              <w:rPr>
                <w:i w:val="0"/>
                <w:color w:val="000000" w:themeColor="text1"/>
                <w:sz w:val="22"/>
                <w:szCs w:val="22"/>
                <w:lang w:val="fr-FR"/>
              </w:rPr>
            </w:pPr>
            <w:bookmarkStart w:id="410" w:name="_Toc212725270"/>
            <w:r w:rsidRPr="00E41690">
              <w:rPr>
                <w:rFonts w:eastAsia="Calibri"/>
                <w:i w:val="0"/>
                <w:color w:val="auto"/>
                <w:sz w:val="22"/>
                <w:szCs w:val="22"/>
                <w:lang w:val="fr-FR" w:eastAsia="en-US"/>
              </w:rPr>
              <w:t xml:space="preserve">Photo </w:t>
            </w:r>
            <w:r w:rsidRPr="00E41690">
              <w:rPr>
                <w:rFonts w:eastAsia="Calibri"/>
                <w:i w:val="0"/>
                <w:color w:val="auto"/>
                <w:sz w:val="22"/>
                <w:szCs w:val="22"/>
                <w:lang w:eastAsia="en-US"/>
              </w:rPr>
              <w:fldChar w:fldCharType="begin"/>
            </w:r>
            <w:r w:rsidRPr="00E41690">
              <w:rPr>
                <w:rFonts w:eastAsia="Calibri"/>
                <w:i w:val="0"/>
                <w:color w:val="auto"/>
                <w:sz w:val="22"/>
                <w:szCs w:val="22"/>
                <w:lang w:val="fr-FR" w:eastAsia="en-US"/>
              </w:rPr>
              <w:instrText xml:space="preserve"> SEQ Photo \* ARABIC </w:instrText>
            </w:r>
            <w:r w:rsidRPr="00E41690">
              <w:rPr>
                <w:rFonts w:eastAsia="Calibri"/>
                <w:i w:val="0"/>
                <w:color w:val="auto"/>
                <w:sz w:val="22"/>
                <w:szCs w:val="22"/>
                <w:lang w:eastAsia="en-US"/>
              </w:rPr>
              <w:fldChar w:fldCharType="separate"/>
            </w:r>
            <w:r w:rsidRPr="00E41690">
              <w:rPr>
                <w:rFonts w:eastAsia="Calibri"/>
                <w:i w:val="0"/>
                <w:color w:val="auto"/>
                <w:sz w:val="22"/>
                <w:szCs w:val="22"/>
                <w:lang w:val="fr-FR" w:eastAsia="en-US"/>
              </w:rPr>
              <w:t>71</w:t>
            </w:r>
            <w:r w:rsidRPr="00E41690">
              <w:rPr>
                <w:rFonts w:eastAsia="Calibri"/>
                <w:i w:val="0"/>
                <w:color w:val="auto"/>
                <w:sz w:val="22"/>
                <w:szCs w:val="22"/>
                <w:lang w:eastAsia="en-US"/>
              </w:rPr>
              <w:fldChar w:fldCharType="end"/>
            </w:r>
            <w:r w:rsidR="008F2109" w:rsidRPr="00E41690">
              <w:rPr>
                <w:rFonts w:eastAsia="Calibri"/>
                <w:i w:val="0"/>
                <w:color w:val="auto"/>
                <w:sz w:val="22"/>
                <w:szCs w:val="22"/>
                <w:lang w:val="fr-FR" w:eastAsia="en-US"/>
              </w:rPr>
              <w:t xml:space="preserve"> </w:t>
            </w:r>
            <w:r w:rsidRPr="00E41690">
              <w:rPr>
                <w:rFonts w:eastAsia="Calibri"/>
                <w:i w:val="0"/>
                <w:color w:val="auto"/>
                <w:sz w:val="22"/>
                <w:szCs w:val="22"/>
                <w:lang w:val="fr-FR" w:eastAsia="en-US"/>
              </w:rPr>
              <w:t>:</w:t>
            </w:r>
            <w:r w:rsidR="008F2109" w:rsidRPr="00E41690">
              <w:rPr>
                <w:rFonts w:eastAsia="Calibri"/>
                <w:i w:val="0"/>
                <w:color w:val="auto"/>
                <w:sz w:val="22"/>
                <w:szCs w:val="22"/>
                <w:lang w:val="fr-FR" w:eastAsia="en-US"/>
              </w:rPr>
              <w:t xml:space="preserve"> </w:t>
            </w:r>
            <w:r w:rsidRPr="00E41690">
              <w:rPr>
                <w:rFonts w:eastAsia="Calibri"/>
                <w:i w:val="0"/>
                <w:color w:val="auto"/>
                <w:sz w:val="22"/>
                <w:szCs w:val="22"/>
                <w:lang w:val="fr-FR" w:eastAsia="en-US"/>
              </w:rPr>
              <w:t>Point de raccordement (Marigot de Mbao)</w:t>
            </w:r>
            <w:bookmarkEnd w:id="410"/>
          </w:p>
        </w:tc>
        <w:tc>
          <w:tcPr>
            <w:tcW w:w="1300" w:type="pct"/>
          </w:tcPr>
          <w:p w14:paraId="734ADB70"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Gestion de la mobilité des personnes et des biens ;</w:t>
            </w:r>
          </w:p>
          <w:p w14:paraId="19D15F16"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Maintien de l’accès aux habitations ;</w:t>
            </w:r>
          </w:p>
          <w:p w14:paraId="10398B2A"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eaux pluviales ;</w:t>
            </w:r>
          </w:p>
          <w:p w14:paraId="0A9C7844" w14:textId="77777777" w:rsidR="00CD1EB5" w:rsidRPr="00260790" w:rsidRDefault="00CD1EB5" w:rsidP="001748C6">
            <w:pPr>
              <w:keepNext/>
              <w:numPr>
                <w:ilvl w:val="0"/>
                <w:numId w:val="120"/>
              </w:numPr>
              <w:spacing w:line="240" w:lineRule="auto"/>
              <w:contextualSpacing/>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 la tranquillité des riverains</w:t>
            </w:r>
          </w:p>
          <w:p w14:paraId="2FBE9069" w14:textId="77777777" w:rsidR="00CD1EB5" w:rsidRPr="00260790" w:rsidRDefault="00CD1EB5" w:rsidP="001748C6">
            <w:pPr>
              <w:keepNext/>
              <w:numPr>
                <w:ilvl w:val="0"/>
                <w:numId w:val="120"/>
              </w:numPr>
              <w:spacing w:line="240" w:lineRule="auto"/>
              <w:contextualSpacing/>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espèces floristiques ;</w:t>
            </w:r>
          </w:p>
          <w:p w14:paraId="3CB6DF77" w14:textId="77777777" w:rsidR="00CD1EB5" w:rsidRPr="00260790" w:rsidRDefault="00CD1EB5" w:rsidP="001748C6">
            <w:pPr>
              <w:keepNext/>
              <w:numPr>
                <w:ilvl w:val="0"/>
                <w:numId w:val="120"/>
              </w:numPr>
              <w:spacing w:line="240" w:lineRule="auto"/>
              <w:contextualSpacing/>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d’une aire de jeu et maintien des activités sportives ; </w:t>
            </w:r>
          </w:p>
        </w:tc>
      </w:tr>
      <w:tr w:rsidR="00CD1EB5" w:rsidRPr="00260790" w14:paraId="1B317E07" w14:textId="77777777" w:rsidTr="003A0E4A">
        <w:trPr>
          <w:trHeight w:val="2268"/>
        </w:trPr>
        <w:tc>
          <w:tcPr>
            <w:tcW w:w="734" w:type="pct"/>
            <w:vAlign w:val="center"/>
          </w:tcPr>
          <w:p w14:paraId="12502F40" w14:textId="77777777" w:rsidR="00CD1EB5" w:rsidRPr="00260790" w:rsidRDefault="00CD1EB5" w:rsidP="003A0E4A">
            <w:pPr>
              <w:spacing w:line="240" w:lineRule="auto"/>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lastRenderedPageBreak/>
              <w:t>MARIGOT DE MBAO</w:t>
            </w:r>
          </w:p>
        </w:tc>
        <w:tc>
          <w:tcPr>
            <w:tcW w:w="1528" w:type="pct"/>
          </w:tcPr>
          <w:p w14:paraId="293157E2" w14:textId="77777777" w:rsidR="00CD1EB5" w:rsidRPr="00260790" w:rsidRDefault="00CD1EB5" w:rsidP="003A0E4A">
            <w:pPr>
              <w:spacing w:line="240" w:lineRule="auto"/>
              <w:jc w:val="both"/>
              <w:rPr>
                <w:rFonts w:ascii="Times New Roman" w:hAnsi="Times New Roman"/>
                <w:color w:val="000000" w:themeColor="text1"/>
                <w:sz w:val="22"/>
                <w:szCs w:val="22"/>
                <w:lang w:val="fr-FR"/>
              </w:rPr>
            </w:pPr>
          </w:p>
        </w:tc>
        <w:tc>
          <w:tcPr>
            <w:tcW w:w="1438" w:type="pct"/>
          </w:tcPr>
          <w:p w14:paraId="65054454" w14:textId="77777777" w:rsidR="00CD1EB5" w:rsidRPr="00E41690" w:rsidRDefault="00CD1EB5" w:rsidP="008F2109">
            <w:pPr>
              <w:spacing w:line="240" w:lineRule="auto"/>
              <w:jc w:val="both"/>
              <w:rPr>
                <w:rFonts w:ascii="Times New Roman" w:hAnsi="Times New Roman"/>
                <w:noProof/>
                <w:color w:val="000000" w:themeColor="text1"/>
                <w:sz w:val="22"/>
                <w:szCs w:val="22"/>
                <w:lang w:val="fr-FR"/>
              </w:rPr>
            </w:pPr>
            <w:r w:rsidRPr="00E41690">
              <w:rPr>
                <w:rFonts w:ascii="Times New Roman" w:hAnsi="Times New Roman"/>
                <w:noProof/>
                <w:color w:val="000000" w:themeColor="text1"/>
              </w:rPr>
              <w:drawing>
                <wp:inline distT="0" distB="0" distL="0" distR="0" wp14:anchorId="204A956B" wp14:editId="66D95843">
                  <wp:extent cx="2503170" cy="1461541"/>
                  <wp:effectExtent l="0" t="0" r="0" b="0"/>
                  <wp:docPr id="9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230155" name="Image 2091230155"/>
                          <pic:cNvPicPr/>
                        </pic:nvPicPr>
                        <pic:blipFill>
                          <a:blip r:embed="rId93" cstate="email">
                            <a:extLst>
                              <a:ext uri="{28A0092B-C50C-407E-A947-70E740481C1C}">
                                <a14:useLocalDpi xmlns:a14="http://schemas.microsoft.com/office/drawing/2010/main"/>
                              </a:ext>
                            </a:extLst>
                          </a:blip>
                          <a:stretch>
                            <a:fillRect/>
                          </a:stretch>
                        </pic:blipFill>
                        <pic:spPr>
                          <a:xfrm>
                            <a:off x="0" y="0"/>
                            <a:ext cx="2514052" cy="1467895"/>
                          </a:xfrm>
                          <a:prstGeom prst="rect">
                            <a:avLst/>
                          </a:prstGeom>
                        </pic:spPr>
                      </pic:pic>
                    </a:graphicData>
                  </a:graphic>
                </wp:inline>
              </w:drawing>
            </w:r>
          </w:p>
          <w:p w14:paraId="161B3272" w14:textId="33ADFD1B" w:rsidR="00CD1EB5" w:rsidRPr="00E41690" w:rsidRDefault="00CD1EB5" w:rsidP="008F2109">
            <w:pPr>
              <w:pStyle w:val="Lgende"/>
              <w:spacing w:line="240" w:lineRule="auto"/>
              <w:jc w:val="both"/>
              <w:rPr>
                <w:rFonts w:eastAsia="Calibri"/>
                <w:i w:val="0"/>
                <w:iCs w:val="0"/>
                <w:noProof/>
                <w:color w:val="000000" w:themeColor="text1"/>
                <w:sz w:val="22"/>
                <w:szCs w:val="22"/>
                <w:lang w:val="fr-FR" w:eastAsia="en-US"/>
              </w:rPr>
            </w:pPr>
            <w:bookmarkStart w:id="411" w:name="_Toc212725271"/>
            <w:r w:rsidRPr="00E41690">
              <w:rPr>
                <w:rFonts w:eastAsia="Calibri"/>
                <w:i w:val="0"/>
                <w:iCs w:val="0"/>
                <w:noProof/>
                <w:color w:val="000000" w:themeColor="text1"/>
                <w:sz w:val="22"/>
                <w:szCs w:val="22"/>
                <w:lang w:val="fr-FR" w:eastAsia="en-US"/>
              </w:rPr>
              <w:t xml:space="preserve">Photo </w:t>
            </w:r>
            <w:r w:rsidRPr="00E41690">
              <w:rPr>
                <w:rFonts w:eastAsia="Calibri"/>
                <w:i w:val="0"/>
                <w:iCs w:val="0"/>
                <w:noProof/>
                <w:color w:val="000000" w:themeColor="text1"/>
                <w:sz w:val="22"/>
                <w:szCs w:val="22"/>
                <w:lang w:eastAsia="en-US"/>
              </w:rPr>
              <w:fldChar w:fldCharType="begin"/>
            </w:r>
            <w:r w:rsidRPr="00E41690">
              <w:rPr>
                <w:rFonts w:eastAsia="Calibri"/>
                <w:i w:val="0"/>
                <w:iCs w:val="0"/>
                <w:noProof/>
                <w:color w:val="000000" w:themeColor="text1"/>
                <w:sz w:val="22"/>
                <w:szCs w:val="22"/>
                <w:lang w:val="fr-FR" w:eastAsia="en-US"/>
              </w:rPr>
              <w:instrText xml:space="preserve"> SEQ Photo \* ARABIC </w:instrText>
            </w:r>
            <w:r w:rsidRPr="00E41690">
              <w:rPr>
                <w:rFonts w:eastAsia="Calibri"/>
                <w:i w:val="0"/>
                <w:iCs w:val="0"/>
                <w:noProof/>
                <w:color w:val="000000" w:themeColor="text1"/>
                <w:sz w:val="22"/>
                <w:szCs w:val="22"/>
                <w:lang w:eastAsia="en-US"/>
              </w:rPr>
              <w:fldChar w:fldCharType="separate"/>
            </w:r>
            <w:r w:rsidRPr="00E41690">
              <w:rPr>
                <w:rFonts w:eastAsia="Calibri"/>
                <w:i w:val="0"/>
                <w:iCs w:val="0"/>
                <w:noProof/>
                <w:color w:val="000000" w:themeColor="text1"/>
                <w:sz w:val="22"/>
                <w:szCs w:val="22"/>
                <w:lang w:val="fr-FR" w:eastAsia="en-US"/>
              </w:rPr>
              <w:t>72</w:t>
            </w:r>
            <w:r w:rsidRPr="00E41690">
              <w:rPr>
                <w:rFonts w:eastAsia="Calibri"/>
                <w:i w:val="0"/>
                <w:iCs w:val="0"/>
                <w:noProof/>
                <w:color w:val="000000" w:themeColor="text1"/>
                <w:sz w:val="22"/>
                <w:szCs w:val="22"/>
                <w:lang w:eastAsia="en-US"/>
              </w:rPr>
              <w:fldChar w:fldCharType="end"/>
            </w:r>
            <w:r w:rsidR="008F2109" w:rsidRPr="00E41690">
              <w:rPr>
                <w:rFonts w:eastAsia="Calibri"/>
                <w:i w:val="0"/>
                <w:iCs w:val="0"/>
                <w:noProof/>
                <w:color w:val="000000" w:themeColor="text1"/>
                <w:sz w:val="22"/>
                <w:szCs w:val="22"/>
                <w:lang w:val="fr-FR" w:eastAsia="en-US"/>
              </w:rPr>
              <w:t xml:space="preserve"> </w:t>
            </w:r>
            <w:r w:rsidRPr="00E41690">
              <w:rPr>
                <w:rFonts w:eastAsia="Calibri"/>
                <w:i w:val="0"/>
                <w:iCs w:val="0"/>
                <w:noProof/>
                <w:color w:val="000000" w:themeColor="text1"/>
                <w:sz w:val="22"/>
                <w:szCs w:val="22"/>
                <w:lang w:val="fr-FR" w:eastAsia="en-US"/>
              </w:rPr>
              <w:t>:</w:t>
            </w:r>
            <w:r w:rsidR="008F2109" w:rsidRPr="00E41690">
              <w:rPr>
                <w:rFonts w:eastAsia="Calibri"/>
                <w:i w:val="0"/>
                <w:iCs w:val="0"/>
                <w:noProof/>
                <w:color w:val="000000" w:themeColor="text1"/>
                <w:sz w:val="22"/>
                <w:szCs w:val="22"/>
                <w:lang w:val="fr-FR" w:eastAsia="en-US"/>
              </w:rPr>
              <w:t xml:space="preserve"> </w:t>
            </w:r>
            <w:r w:rsidRPr="00E41690">
              <w:rPr>
                <w:rFonts w:eastAsia="Calibri"/>
                <w:i w:val="0"/>
                <w:iCs w:val="0"/>
                <w:noProof/>
                <w:color w:val="000000" w:themeColor="text1"/>
                <w:sz w:val="22"/>
                <w:szCs w:val="22"/>
                <w:lang w:val="fr-FR" w:eastAsia="en-US"/>
              </w:rPr>
              <w:t>Vue du marigot de Mbao vers la mer</w:t>
            </w:r>
            <w:bookmarkEnd w:id="411"/>
          </w:p>
          <w:p w14:paraId="2C6AF06B" w14:textId="77777777" w:rsidR="00CD1EB5" w:rsidRPr="00E41690" w:rsidRDefault="00CD1EB5" w:rsidP="008F2109">
            <w:pPr>
              <w:pStyle w:val="Lgende"/>
              <w:spacing w:line="240" w:lineRule="auto"/>
              <w:jc w:val="both"/>
              <w:rPr>
                <w:rFonts w:eastAsia="Calibri"/>
                <w:i w:val="0"/>
                <w:iCs w:val="0"/>
                <w:noProof/>
                <w:color w:val="000000" w:themeColor="text1"/>
                <w:sz w:val="22"/>
                <w:szCs w:val="22"/>
                <w:lang w:val="fr-FR" w:eastAsia="en-US"/>
              </w:rPr>
            </w:pPr>
            <w:r w:rsidRPr="00E41690">
              <w:rPr>
                <w:rFonts w:eastAsia="Calibri"/>
                <w:i w:val="0"/>
                <w:iCs w:val="0"/>
                <w:noProof/>
                <w:color w:val="000000" w:themeColor="text1"/>
                <w:sz w:val="22"/>
                <w:szCs w:val="22"/>
                <w:lang w:eastAsia="en-US"/>
              </w:rPr>
              <w:drawing>
                <wp:inline distT="0" distB="0" distL="0" distR="0" wp14:anchorId="5007D9B9" wp14:editId="58EBBDB3">
                  <wp:extent cx="2503170" cy="1401580"/>
                  <wp:effectExtent l="0" t="0" r="0" b="0"/>
                  <wp:docPr id="94"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373875" name="Image 1268373875"/>
                          <pic:cNvPicPr/>
                        </pic:nvPicPr>
                        <pic:blipFill>
                          <a:blip r:embed="rId94" cstate="email">
                            <a:extLst>
                              <a:ext uri="{28A0092B-C50C-407E-A947-70E740481C1C}">
                                <a14:useLocalDpi xmlns:a14="http://schemas.microsoft.com/office/drawing/2010/main"/>
                              </a:ext>
                            </a:extLst>
                          </a:blip>
                          <a:stretch>
                            <a:fillRect/>
                          </a:stretch>
                        </pic:blipFill>
                        <pic:spPr>
                          <a:xfrm>
                            <a:off x="0" y="0"/>
                            <a:ext cx="2507889" cy="1404222"/>
                          </a:xfrm>
                          <a:prstGeom prst="rect">
                            <a:avLst/>
                          </a:prstGeom>
                        </pic:spPr>
                      </pic:pic>
                    </a:graphicData>
                  </a:graphic>
                </wp:inline>
              </w:drawing>
            </w:r>
          </w:p>
          <w:p w14:paraId="1D960AC5" w14:textId="365917BE" w:rsidR="00CD1EB5" w:rsidRPr="00E41690" w:rsidRDefault="00CD1EB5" w:rsidP="008F2109">
            <w:pPr>
              <w:pStyle w:val="Lgende"/>
              <w:spacing w:line="240" w:lineRule="auto"/>
              <w:jc w:val="both"/>
              <w:rPr>
                <w:rFonts w:eastAsia="Calibri"/>
                <w:i w:val="0"/>
                <w:iCs w:val="0"/>
                <w:noProof/>
                <w:color w:val="000000" w:themeColor="text1"/>
                <w:sz w:val="22"/>
                <w:szCs w:val="22"/>
                <w:lang w:val="fr-FR" w:eastAsia="en-US"/>
              </w:rPr>
            </w:pPr>
            <w:bookmarkStart w:id="412" w:name="_Toc212725272"/>
            <w:r w:rsidRPr="00E41690">
              <w:rPr>
                <w:rFonts w:eastAsia="Calibri"/>
                <w:i w:val="0"/>
                <w:iCs w:val="0"/>
                <w:noProof/>
                <w:color w:val="000000" w:themeColor="text1"/>
                <w:sz w:val="22"/>
                <w:szCs w:val="22"/>
                <w:lang w:val="fr-FR" w:eastAsia="en-US"/>
              </w:rPr>
              <w:t xml:space="preserve">Photo </w:t>
            </w:r>
            <w:r w:rsidRPr="00E41690">
              <w:rPr>
                <w:rFonts w:eastAsia="Calibri"/>
                <w:i w:val="0"/>
                <w:iCs w:val="0"/>
                <w:noProof/>
                <w:color w:val="000000" w:themeColor="text1"/>
                <w:sz w:val="22"/>
                <w:szCs w:val="22"/>
                <w:lang w:eastAsia="en-US"/>
              </w:rPr>
              <w:fldChar w:fldCharType="begin"/>
            </w:r>
            <w:r w:rsidRPr="00E41690">
              <w:rPr>
                <w:rFonts w:eastAsia="Calibri"/>
                <w:i w:val="0"/>
                <w:iCs w:val="0"/>
                <w:noProof/>
                <w:color w:val="000000" w:themeColor="text1"/>
                <w:sz w:val="22"/>
                <w:szCs w:val="22"/>
                <w:lang w:val="fr-FR" w:eastAsia="en-US"/>
              </w:rPr>
              <w:instrText xml:space="preserve"> SEQ Photo \* ARABIC </w:instrText>
            </w:r>
            <w:r w:rsidRPr="00E41690">
              <w:rPr>
                <w:rFonts w:eastAsia="Calibri"/>
                <w:i w:val="0"/>
                <w:iCs w:val="0"/>
                <w:noProof/>
                <w:color w:val="000000" w:themeColor="text1"/>
                <w:sz w:val="22"/>
                <w:szCs w:val="22"/>
                <w:lang w:eastAsia="en-US"/>
              </w:rPr>
              <w:fldChar w:fldCharType="separate"/>
            </w:r>
            <w:r w:rsidRPr="00E41690">
              <w:rPr>
                <w:rFonts w:eastAsia="Calibri"/>
                <w:i w:val="0"/>
                <w:iCs w:val="0"/>
                <w:noProof/>
                <w:color w:val="000000" w:themeColor="text1"/>
                <w:sz w:val="22"/>
                <w:szCs w:val="22"/>
                <w:lang w:val="fr-FR" w:eastAsia="en-US"/>
              </w:rPr>
              <w:t>73</w:t>
            </w:r>
            <w:r w:rsidRPr="00E41690">
              <w:rPr>
                <w:rFonts w:eastAsia="Calibri"/>
                <w:i w:val="0"/>
                <w:iCs w:val="0"/>
                <w:noProof/>
                <w:color w:val="000000" w:themeColor="text1"/>
                <w:sz w:val="22"/>
                <w:szCs w:val="22"/>
                <w:lang w:eastAsia="en-US"/>
              </w:rPr>
              <w:fldChar w:fldCharType="end"/>
            </w:r>
            <w:r w:rsidR="00194AB1" w:rsidRPr="00E41690">
              <w:rPr>
                <w:rFonts w:eastAsia="Calibri"/>
                <w:i w:val="0"/>
                <w:iCs w:val="0"/>
                <w:noProof/>
                <w:color w:val="000000" w:themeColor="text1"/>
                <w:sz w:val="22"/>
                <w:szCs w:val="22"/>
                <w:lang w:val="fr-FR" w:eastAsia="en-US"/>
              </w:rPr>
              <w:t xml:space="preserve"> </w:t>
            </w:r>
            <w:r w:rsidRPr="00E41690">
              <w:rPr>
                <w:rFonts w:eastAsia="Calibri"/>
                <w:i w:val="0"/>
                <w:iCs w:val="0"/>
                <w:noProof/>
                <w:color w:val="000000" w:themeColor="text1"/>
                <w:sz w:val="22"/>
                <w:szCs w:val="22"/>
                <w:lang w:val="fr-FR" w:eastAsia="en-US"/>
              </w:rPr>
              <w:t>:</w:t>
            </w:r>
            <w:r w:rsidR="00194AB1" w:rsidRPr="00E41690">
              <w:rPr>
                <w:rFonts w:eastAsia="Calibri"/>
                <w:i w:val="0"/>
                <w:iCs w:val="0"/>
                <w:noProof/>
                <w:color w:val="000000" w:themeColor="text1"/>
                <w:sz w:val="22"/>
                <w:szCs w:val="22"/>
                <w:lang w:val="fr-FR" w:eastAsia="en-US"/>
              </w:rPr>
              <w:t xml:space="preserve"> </w:t>
            </w:r>
            <w:r w:rsidRPr="00E41690">
              <w:rPr>
                <w:rFonts w:eastAsia="Calibri"/>
                <w:i w:val="0"/>
                <w:iCs w:val="0"/>
                <w:noProof/>
                <w:color w:val="000000" w:themeColor="text1"/>
                <w:sz w:val="22"/>
                <w:szCs w:val="22"/>
                <w:lang w:val="fr-FR" w:eastAsia="en-US"/>
              </w:rPr>
              <w:t>Dépotoir d’ordures sauvages et eaux usées</w:t>
            </w:r>
            <w:bookmarkEnd w:id="412"/>
          </w:p>
          <w:p w14:paraId="2027EF80" w14:textId="138C5CD4" w:rsidR="00CD1EB5" w:rsidRPr="00E41690" w:rsidRDefault="00425189" w:rsidP="008F2109">
            <w:pPr>
              <w:jc w:val="both"/>
              <w:rPr>
                <w:rFonts w:ascii="Times New Roman" w:hAnsi="Times New Roman"/>
              </w:rPr>
            </w:pPr>
            <w:r w:rsidRPr="00E41690">
              <w:rPr>
                <w:rFonts w:ascii="Times New Roman" w:hAnsi="Times New Roman"/>
                <w:iCs/>
                <w:noProof/>
                <w:color w:val="000000" w:themeColor="text1"/>
              </w:rPr>
              <w:drawing>
                <wp:inline distT="0" distB="0" distL="0" distR="0" wp14:anchorId="563443DE" wp14:editId="177AB12D">
                  <wp:extent cx="2502942" cy="1439055"/>
                  <wp:effectExtent l="0" t="0" r="0" b="0"/>
                  <wp:docPr id="95"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841054" name="Image 761841054"/>
                          <pic:cNvPicPr/>
                        </pic:nvPicPr>
                        <pic:blipFill>
                          <a:blip r:embed="rId95" cstate="email">
                            <a:extLst>
                              <a:ext uri="{28A0092B-C50C-407E-A947-70E740481C1C}">
                                <a14:useLocalDpi xmlns:a14="http://schemas.microsoft.com/office/drawing/2010/main"/>
                              </a:ext>
                            </a:extLst>
                          </a:blip>
                          <a:stretch>
                            <a:fillRect/>
                          </a:stretch>
                        </pic:blipFill>
                        <pic:spPr>
                          <a:xfrm>
                            <a:off x="0" y="0"/>
                            <a:ext cx="2506000" cy="1440813"/>
                          </a:xfrm>
                          <a:prstGeom prst="rect">
                            <a:avLst/>
                          </a:prstGeom>
                        </pic:spPr>
                      </pic:pic>
                    </a:graphicData>
                  </a:graphic>
                </wp:inline>
              </w:drawing>
            </w:r>
          </w:p>
          <w:p w14:paraId="1563922B" w14:textId="054CFA8A" w:rsidR="00DA6FDC" w:rsidRPr="00E41690" w:rsidRDefault="00CD1EB5" w:rsidP="008F2109">
            <w:pPr>
              <w:pStyle w:val="Lgende"/>
              <w:spacing w:line="240" w:lineRule="auto"/>
              <w:jc w:val="both"/>
              <w:rPr>
                <w:rFonts w:eastAsia="Calibri"/>
                <w:i w:val="0"/>
                <w:iCs w:val="0"/>
                <w:noProof/>
                <w:color w:val="000000" w:themeColor="text1"/>
                <w:sz w:val="22"/>
                <w:szCs w:val="22"/>
                <w:lang w:val="fr-FR" w:eastAsia="en-US"/>
              </w:rPr>
            </w:pPr>
            <w:bookmarkStart w:id="413" w:name="_Toc212725273"/>
            <w:r w:rsidRPr="00E41690">
              <w:rPr>
                <w:rFonts w:eastAsia="Calibri"/>
                <w:i w:val="0"/>
                <w:iCs w:val="0"/>
                <w:noProof/>
                <w:color w:val="000000" w:themeColor="text1"/>
                <w:sz w:val="22"/>
                <w:szCs w:val="22"/>
                <w:lang w:val="fr-FR" w:eastAsia="en-US"/>
              </w:rPr>
              <w:t xml:space="preserve">Photo </w:t>
            </w:r>
            <w:r w:rsidRPr="00E41690">
              <w:rPr>
                <w:rFonts w:eastAsia="Calibri"/>
                <w:i w:val="0"/>
                <w:iCs w:val="0"/>
                <w:noProof/>
                <w:color w:val="000000" w:themeColor="text1"/>
                <w:sz w:val="22"/>
                <w:szCs w:val="22"/>
                <w:lang w:eastAsia="en-US"/>
              </w:rPr>
              <w:fldChar w:fldCharType="begin"/>
            </w:r>
            <w:r w:rsidRPr="00E41690">
              <w:rPr>
                <w:rFonts w:eastAsia="Calibri"/>
                <w:i w:val="0"/>
                <w:iCs w:val="0"/>
                <w:noProof/>
                <w:color w:val="000000" w:themeColor="text1"/>
                <w:sz w:val="22"/>
                <w:szCs w:val="22"/>
                <w:lang w:val="fr-FR" w:eastAsia="en-US"/>
              </w:rPr>
              <w:instrText xml:space="preserve"> SEQ Photo \* ARABIC </w:instrText>
            </w:r>
            <w:r w:rsidRPr="00E41690">
              <w:rPr>
                <w:rFonts w:eastAsia="Calibri"/>
                <w:i w:val="0"/>
                <w:iCs w:val="0"/>
                <w:noProof/>
                <w:color w:val="000000" w:themeColor="text1"/>
                <w:sz w:val="22"/>
                <w:szCs w:val="22"/>
                <w:lang w:eastAsia="en-US"/>
              </w:rPr>
              <w:fldChar w:fldCharType="separate"/>
            </w:r>
            <w:r w:rsidRPr="00E41690">
              <w:rPr>
                <w:rFonts w:eastAsia="Calibri"/>
                <w:i w:val="0"/>
                <w:iCs w:val="0"/>
                <w:noProof/>
                <w:color w:val="000000" w:themeColor="text1"/>
                <w:sz w:val="22"/>
                <w:szCs w:val="22"/>
                <w:lang w:val="fr-FR" w:eastAsia="en-US"/>
              </w:rPr>
              <w:t>74</w:t>
            </w:r>
            <w:r w:rsidRPr="00E41690">
              <w:rPr>
                <w:rFonts w:eastAsia="Calibri"/>
                <w:i w:val="0"/>
                <w:iCs w:val="0"/>
                <w:noProof/>
                <w:color w:val="000000" w:themeColor="text1"/>
                <w:sz w:val="22"/>
                <w:szCs w:val="22"/>
                <w:lang w:eastAsia="en-US"/>
              </w:rPr>
              <w:fldChar w:fldCharType="end"/>
            </w:r>
            <w:r w:rsidR="00194AB1" w:rsidRPr="00E41690">
              <w:rPr>
                <w:rFonts w:eastAsia="Calibri"/>
                <w:i w:val="0"/>
                <w:iCs w:val="0"/>
                <w:noProof/>
                <w:color w:val="000000" w:themeColor="text1"/>
                <w:sz w:val="22"/>
                <w:szCs w:val="22"/>
                <w:lang w:val="fr-FR" w:eastAsia="en-US"/>
              </w:rPr>
              <w:t xml:space="preserve"> </w:t>
            </w:r>
            <w:r w:rsidRPr="00E41690">
              <w:rPr>
                <w:rFonts w:eastAsia="Calibri"/>
                <w:i w:val="0"/>
                <w:iCs w:val="0"/>
                <w:noProof/>
                <w:color w:val="000000" w:themeColor="text1"/>
                <w:sz w:val="22"/>
                <w:szCs w:val="22"/>
                <w:lang w:val="fr-FR" w:eastAsia="en-US"/>
              </w:rPr>
              <w:t>:</w:t>
            </w:r>
            <w:r w:rsidR="00194AB1" w:rsidRPr="00E41690">
              <w:rPr>
                <w:rFonts w:eastAsia="Calibri"/>
                <w:i w:val="0"/>
                <w:iCs w:val="0"/>
                <w:noProof/>
                <w:color w:val="000000" w:themeColor="text1"/>
                <w:sz w:val="22"/>
                <w:szCs w:val="22"/>
                <w:lang w:val="fr-FR" w:eastAsia="en-US"/>
              </w:rPr>
              <w:t xml:space="preserve"> </w:t>
            </w:r>
            <w:r w:rsidRPr="00E41690">
              <w:rPr>
                <w:rFonts w:eastAsia="Calibri"/>
                <w:i w:val="0"/>
                <w:iCs w:val="0"/>
                <w:noProof/>
                <w:color w:val="000000" w:themeColor="text1"/>
                <w:sz w:val="22"/>
                <w:szCs w:val="22"/>
                <w:lang w:val="fr-FR" w:eastAsia="en-US"/>
              </w:rPr>
              <w:t>Fosse septique déversant dans le marigot</w:t>
            </w:r>
            <w:bookmarkEnd w:id="413"/>
            <w:r w:rsidRPr="00E41690">
              <w:rPr>
                <w:rFonts w:eastAsia="Calibri"/>
                <w:i w:val="0"/>
                <w:iCs w:val="0"/>
                <w:noProof/>
                <w:color w:val="000000" w:themeColor="text1"/>
                <w:sz w:val="22"/>
                <w:szCs w:val="22"/>
                <w:lang w:val="fr-FR" w:eastAsia="en-US"/>
              </w:rPr>
              <w:t xml:space="preserve"> </w:t>
            </w:r>
          </w:p>
          <w:p w14:paraId="371BC35D" w14:textId="4DB0DEE3" w:rsidR="00CD1EB5" w:rsidRPr="00E41690" w:rsidRDefault="00CD1EB5" w:rsidP="00562CC3">
            <w:pPr>
              <w:pStyle w:val="Lgende"/>
              <w:spacing w:line="240" w:lineRule="auto"/>
              <w:rPr>
                <w:rFonts w:eastAsia="Calibri"/>
                <w:i w:val="0"/>
                <w:iCs w:val="0"/>
                <w:noProof/>
                <w:color w:val="000000" w:themeColor="text1"/>
                <w:sz w:val="22"/>
                <w:szCs w:val="22"/>
                <w:lang w:val="fr-FR" w:eastAsia="en-US"/>
              </w:rPr>
            </w:pPr>
            <w:r w:rsidRPr="00E41690">
              <w:rPr>
                <w:rFonts w:eastAsia="Calibri"/>
                <w:i w:val="0"/>
                <w:iCs w:val="0"/>
                <w:noProof/>
                <w:color w:val="000000" w:themeColor="text1"/>
                <w:sz w:val="22"/>
                <w:szCs w:val="22"/>
                <w:lang w:eastAsia="en-US"/>
              </w:rPr>
              <w:lastRenderedPageBreak/>
              <w:drawing>
                <wp:inline distT="0" distB="0" distL="0" distR="0" wp14:anchorId="4005478F" wp14:editId="221EED1A">
                  <wp:extent cx="2502252" cy="1573967"/>
                  <wp:effectExtent l="0" t="0" r="0" b="1270"/>
                  <wp:docPr id="96"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722802" name="Image 803722802"/>
                          <pic:cNvPicPr/>
                        </pic:nvPicPr>
                        <pic:blipFill>
                          <a:blip r:embed="rId96" cstate="email">
                            <a:extLst>
                              <a:ext uri="{28A0092B-C50C-407E-A947-70E740481C1C}">
                                <a14:useLocalDpi xmlns:a14="http://schemas.microsoft.com/office/drawing/2010/main"/>
                              </a:ext>
                            </a:extLst>
                          </a:blip>
                          <a:stretch>
                            <a:fillRect/>
                          </a:stretch>
                        </pic:blipFill>
                        <pic:spPr>
                          <a:xfrm>
                            <a:off x="0" y="0"/>
                            <a:ext cx="2516114" cy="1582686"/>
                          </a:xfrm>
                          <a:prstGeom prst="rect">
                            <a:avLst/>
                          </a:prstGeom>
                        </pic:spPr>
                      </pic:pic>
                    </a:graphicData>
                  </a:graphic>
                </wp:inline>
              </w:drawing>
            </w:r>
          </w:p>
          <w:p w14:paraId="3F2293A9" w14:textId="5A4F7661" w:rsidR="00CD1EB5" w:rsidRPr="00E41690" w:rsidRDefault="00CD1EB5" w:rsidP="00562CC3">
            <w:pPr>
              <w:pStyle w:val="Lgende"/>
              <w:spacing w:line="240" w:lineRule="auto"/>
              <w:rPr>
                <w:rFonts w:eastAsia="Calibri"/>
                <w:i w:val="0"/>
                <w:iCs w:val="0"/>
                <w:noProof/>
                <w:color w:val="000000" w:themeColor="text1"/>
                <w:sz w:val="22"/>
                <w:szCs w:val="22"/>
                <w:lang w:val="fr-FR" w:eastAsia="en-US"/>
              </w:rPr>
            </w:pPr>
            <w:bookmarkStart w:id="414" w:name="_Toc212725274"/>
            <w:r w:rsidRPr="00E41690">
              <w:rPr>
                <w:rFonts w:eastAsia="Calibri"/>
                <w:i w:val="0"/>
                <w:iCs w:val="0"/>
                <w:noProof/>
                <w:color w:val="000000" w:themeColor="text1"/>
                <w:sz w:val="22"/>
                <w:szCs w:val="22"/>
                <w:lang w:val="fr-FR" w:eastAsia="en-US"/>
              </w:rPr>
              <w:t xml:space="preserve">Photo </w:t>
            </w:r>
            <w:r w:rsidRPr="00E41690">
              <w:rPr>
                <w:rFonts w:eastAsia="Calibri"/>
                <w:i w:val="0"/>
                <w:iCs w:val="0"/>
                <w:noProof/>
                <w:color w:val="000000" w:themeColor="text1"/>
                <w:sz w:val="22"/>
                <w:szCs w:val="22"/>
                <w:lang w:eastAsia="en-US"/>
              </w:rPr>
              <w:fldChar w:fldCharType="begin"/>
            </w:r>
            <w:r w:rsidRPr="00E41690">
              <w:rPr>
                <w:rFonts w:eastAsia="Calibri"/>
                <w:i w:val="0"/>
                <w:iCs w:val="0"/>
                <w:noProof/>
                <w:color w:val="000000" w:themeColor="text1"/>
                <w:sz w:val="22"/>
                <w:szCs w:val="22"/>
                <w:lang w:val="fr-FR" w:eastAsia="en-US"/>
              </w:rPr>
              <w:instrText xml:space="preserve"> SEQ Photo \* ARABIC </w:instrText>
            </w:r>
            <w:r w:rsidRPr="00E41690">
              <w:rPr>
                <w:rFonts w:eastAsia="Calibri"/>
                <w:i w:val="0"/>
                <w:iCs w:val="0"/>
                <w:noProof/>
                <w:color w:val="000000" w:themeColor="text1"/>
                <w:sz w:val="22"/>
                <w:szCs w:val="22"/>
                <w:lang w:eastAsia="en-US"/>
              </w:rPr>
              <w:fldChar w:fldCharType="separate"/>
            </w:r>
            <w:r w:rsidRPr="00E41690">
              <w:rPr>
                <w:rFonts w:eastAsia="Calibri"/>
                <w:i w:val="0"/>
                <w:iCs w:val="0"/>
                <w:noProof/>
                <w:color w:val="000000" w:themeColor="text1"/>
                <w:sz w:val="22"/>
                <w:szCs w:val="22"/>
                <w:lang w:val="fr-FR" w:eastAsia="en-US"/>
              </w:rPr>
              <w:t>75</w:t>
            </w:r>
            <w:r w:rsidRPr="00E41690">
              <w:rPr>
                <w:rFonts w:eastAsia="Calibri"/>
                <w:i w:val="0"/>
                <w:iCs w:val="0"/>
                <w:noProof/>
                <w:color w:val="000000" w:themeColor="text1"/>
                <w:sz w:val="22"/>
                <w:szCs w:val="22"/>
                <w:lang w:eastAsia="en-US"/>
              </w:rPr>
              <w:fldChar w:fldCharType="end"/>
            </w:r>
            <w:r w:rsidR="00194AB1" w:rsidRPr="00E41690">
              <w:rPr>
                <w:rFonts w:eastAsia="Calibri"/>
                <w:i w:val="0"/>
                <w:iCs w:val="0"/>
                <w:noProof/>
                <w:color w:val="000000" w:themeColor="text1"/>
                <w:sz w:val="22"/>
                <w:szCs w:val="22"/>
                <w:lang w:val="fr-FR" w:eastAsia="en-US"/>
              </w:rPr>
              <w:t xml:space="preserve"> </w:t>
            </w:r>
            <w:r w:rsidRPr="00E41690">
              <w:rPr>
                <w:rFonts w:eastAsia="Calibri"/>
                <w:i w:val="0"/>
                <w:iCs w:val="0"/>
                <w:noProof/>
                <w:color w:val="000000" w:themeColor="text1"/>
                <w:sz w:val="22"/>
                <w:szCs w:val="22"/>
                <w:lang w:val="fr-FR" w:eastAsia="en-US"/>
              </w:rPr>
              <w:t>:</w:t>
            </w:r>
            <w:r w:rsidR="00194AB1" w:rsidRPr="00E41690">
              <w:rPr>
                <w:rFonts w:eastAsia="Calibri"/>
                <w:i w:val="0"/>
                <w:iCs w:val="0"/>
                <w:noProof/>
                <w:color w:val="000000" w:themeColor="text1"/>
                <w:sz w:val="22"/>
                <w:szCs w:val="22"/>
                <w:lang w:val="fr-FR" w:eastAsia="en-US"/>
              </w:rPr>
              <w:t xml:space="preserve"> </w:t>
            </w:r>
            <w:r w:rsidRPr="00E41690">
              <w:rPr>
                <w:rFonts w:eastAsia="Calibri"/>
                <w:i w:val="0"/>
                <w:iCs w:val="0"/>
                <w:noProof/>
                <w:color w:val="000000" w:themeColor="text1"/>
                <w:sz w:val="22"/>
                <w:szCs w:val="22"/>
                <w:lang w:val="fr-FR" w:eastAsia="en-US"/>
              </w:rPr>
              <w:t>Vue de l’embouchure du marigot de Mbao</w:t>
            </w:r>
            <w:bookmarkEnd w:id="414"/>
          </w:p>
        </w:tc>
        <w:tc>
          <w:tcPr>
            <w:tcW w:w="1300" w:type="pct"/>
          </w:tcPr>
          <w:p w14:paraId="2C87A22C"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Gestion de la mobilité des personnes et des biens ;</w:t>
            </w:r>
          </w:p>
          <w:p w14:paraId="6A653B69"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Maintien de l’accès aux habitations ;</w:t>
            </w:r>
          </w:p>
          <w:p w14:paraId="48A52BA5" w14:textId="77777777" w:rsidR="00CD1EB5" w:rsidRPr="00260790" w:rsidRDefault="00CD1EB5" w:rsidP="001748C6">
            <w:pPr>
              <w:numPr>
                <w:ilvl w:val="0"/>
                <w:numId w:val="120"/>
              </w:numPr>
              <w:spacing w:line="240" w:lineRule="auto"/>
              <w:contextualSpacing/>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eaux pluviales ;</w:t>
            </w:r>
          </w:p>
          <w:p w14:paraId="0388467E" w14:textId="77777777" w:rsidR="00CD1EB5" w:rsidRPr="00260790" w:rsidRDefault="00CD1EB5" w:rsidP="001748C6">
            <w:pPr>
              <w:keepNext/>
              <w:numPr>
                <w:ilvl w:val="0"/>
                <w:numId w:val="120"/>
              </w:numPr>
              <w:spacing w:line="240" w:lineRule="auto"/>
              <w:contextualSpacing/>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 la tranquillité des riverains</w:t>
            </w:r>
          </w:p>
          <w:p w14:paraId="1E04F251" w14:textId="77777777" w:rsidR="00CD1EB5" w:rsidRPr="00260790" w:rsidRDefault="00CD1EB5" w:rsidP="001748C6">
            <w:pPr>
              <w:keepNext/>
              <w:numPr>
                <w:ilvl w:val="0"/>
                <w:numId w:val="120"/>
              </w:numPr>
              <w:spacing w:line="240" w:lineRule="auto"/>
              <w:contextualSpacing/>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Préservation des espèces floristiques et fauniques ;</w:t>
            </w:r>
          </w:p>
          <w:p w14:paraId="3ED0DD26" w14:textId="77777777" w:rsidR="00CD1EB5" w:rsidRPr="00260790" w:rsidRDefault="00CD1EB5" w:rsidP="001748C6">
            <w:pPr>
              <w:keepNext/>
              <w:numPr>
                <w:ilvl w:val="0"/>
                <w:numId w:val="120"/>
              </w:numPr>
              <w:spacing w:line="240" w:lineRule="auto"/>
              <w:contextualSpacing/>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eaux usées ;</w:t>
            </w:r>
          </w:p>
          <w:p w14:paraId="6DC0DED5" w14:textId="77777777" w:rsidR="00CD1EB5" w:rsidRPr="00260790" w:rsidRDefault="00CD1EB5" w:rsidP="001748C6">
            <w:pPr>
              <w:keepNext/>
              <w:numPr>
                <w:ilvl w:val="0"/>
                <w:numId w:val="120"/>
              </w:numPr>
              <w:spacing w:line="240" w:lineRule="auto"/>
              <w:contextualSpacing/>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déchets</w:t>
            </w:r>
          </w:p>
        </w:tc>
      </w:tr>
    </w:tbl>
    <w:p w14:paraId="6B0C2C99" w14:textId="6C7DBBFF" w:rsidR="00CD1EB5" w:rsidRPr="00260790" w:rsidRDefault="00CD1EB5" w:rsidP="00E20250">
      <w:pPr>
        <w:spacing w:line="240" w:lineRule="auto"/>
        <w:rPr>
          <w:rFonts w:ascii="Times New Roman" w:hAnsi="Times New Roman"/>
          <w:b/>
          <w:color w:val="000000" w:themeColor="text1"/>
        </w:rPr>
        <w:sectPr w:rsidR="00CD1EB5" w:rsidRPr="00260790" w:rsidSect="00CD1EB5">
          <w:pgSz w:w="16817" w:h="11901" w:orient="landscape"/>
          <w:pgMar w:top="1418" w:right="1418" w:bottom="1418" w:left="1418" w:header="709" w:footer="454" w:gutter="0"/>
          <w:cols w:space="708"/>
          <w:docGrid w:linePitch="360"/>
        </w:sectPr>
      </w:pPr>
    </w:p>
    <w:p w14:paraId="0CAAA921" w14:textId="327428F5" w:rsidR="00B3058D" w:rsidRPr="00260790" w:rsidRDefault="005D2672" w:rsidP="001748C6">
      <w:pPr>
        <w:pStyle w:val="Titre30"/>
        <w:numPr>
          <w:ilvl w:val="2"/>
          <w:numId w:val="351"/>
        </w:numPr>
        <w:rPr>
          <w:bCs w:val="0"/>
          <w:color w:val="000000" w:themeColor="text1"/>
          <w:szCs w:val="22"/>
        </w:rPr>
      </w:pPr>
      <w:bookmarkStart w:id="415" w:name="_Toc212725106"/>
      <w:r w:rsidRPr="00260790">
        <w:rPr>
          <w:bCs w:val="0"/>
          <w:color w:val="000000" w:themeColor="text1"/>
          <w:szCs w:val="22"/>
        </w:rPr>
        <w:lastRenderedPageBreak/>
        <w:t>Caractérisation du Marigot de MBAO</w:t>
      </w:r>
      <w:bookmarkEnd w:id="415"/>
    </w:p>
    <w:p w14:paraId="62B7E56A" w14:textId="724A4A65" w:rsidR="005D2672" w:rsidRPr="00260790" w:rsidRDefault="005D2672" w:rsidP="00E20250">
      <w:pPr>
        <w:spacing w:line="240" w:lineRule="auto"/>
        <w:ind w:left="567"/>
        <w:jc w:val="both"/>
        <w:rPr>
          <w:rFonts w:ascii="Times New Roman" w:hAnsi="Times New Roman"/>
          <w:color w:val="000000" w:themeColor="text1"/>
        </w:rPr>
      </w:pPr>
      <w:r w:rsidRPr="00260790">
        <w:rPr>
          <w:rFonts w:ascii="Times New Roman" w:hAnsi="Times New Roman"/>
          <w:color w:val="000000" w:themeColor="text1"/>
        </w:rPr>
        <w:t xml:space="preserve">Le marigot de Mbao est orienté nord-sud. Son embouchure se trouve dans la </w:t>
      </w:r>
      <w:r w:rsidR="00B04349">
        <w:rPr>
          <w:rFonts w:ascii="Times New Roman" w:hAnsi="Times New Roman"/>
          <w:color w:val="000000" w:themeColor="text1"/>
        </w:rPr>
        <w:t>C</w:t>
      </w:r>
      <w:r w:rsidRPr="00260790">
        <w:rPr>
          <w:rFonts w:ascii="Times New Roman" w:hAnsi="Times New Roman"/>
          <w:color w:val="000000" w:themeColor="text1"/>
        </w:rPr>
        <w:t xml:space="preserve">ommune de Mbao. C’est un cours d’eau temporaire qui constitue </w:t>
      </w:r>
      <w:r w:rsidR="00FB4E78" w:rsidRPr="00260790">
        <w:rPr>
          <w:rFonts w:ascii="Times New Roman" w:hAnsi="Times New Roman"/>
          <w:color w:val="000000" w:themeColor="text1"/>
        </w:rPr>
        <w:t>l’exutoire naturel</w:t>
      </w:r>
      <w:r w:rsidRPr="00260790">
        <w:rPr>
          <w:rFonts w:ascii="Times New Roman" w:hAnsi="Times New Roman"/>
          <w:color w:val="000000" w:themeColor="text1"/>
        </w:rPr>
        <w:t xml:space="preserve"> des eaux </w:t>
      </w:r>
      <w:r w:rsidR="00FB4E78" w:rsidRPr="00260790">
        <w:rPr>
          <w:rFonts w:ascii="Times New Roman" w:hAnsi="Times New Roman"/>
          <w:color w:val="000000" w:themeColor="text1"/>
        </w:rPr>
        <w:t>de pluie d</w:t>
      </w:r>
      <w:r w:rsidR="00CB02DF" w:rsidRPr="00260790">
        <w:rPr>
          <w:rFonts w:ascii="Times New Roman" w:hAnsi="Times New Roman"/>
          <w:color w:val="000000" w:themeColor="text1"/>
        </w:rPr>
        <w:t>u bassin versant de Mbao</w:t>
      </w:r>
      <w:r w:rsidRPr="00260790">
        <w:rPr>
          <w:rFonts w:ascii="Times New Roman" w:hAnsi="Times New Roman"/>
          <w:color w:val="000000" w:themeColor="text1"/>
        </w:rPr>
        <w:t xml:space="preserve">. </w:t>
      </w:r>
      <w:r w:rsidR="002640BB" w:rsidRPr="00260790">
        <w:rPr>
          <w:rFonts w:ascii="Times New Roman" w:hAnsi="Times New Roman"/>
          <w:color w:val="000000" w:themeColor="text1"/>
        </w:rPr>
        <w:t xml:space="preserve">Par ailleurs, les </w:t>
      </w:r>
      <w:r w:rsidRPr="00260790">
        <w:rPr>
          <w:rFonts w:ascii="Times New Roman" w:hAnsi="Times New Roman"/>
          <w:color w:val="000000" w:themeColor="text1"/>
        </w:rPr>
        <w:t>population</w:t>
      </w:r>
      <w:r w:rsidR="002640BB" w:rsidRPr="00260790">
        <w:rPr>
          <w:rFonts w:ascii="Times New Roman" w:hAnsi="Times New Roman"/>
          <w:color w:val="000000" w:themeColor="text1"/>
        </w:rPr>
        <w:t>s</w:t>
      </w:r>
      <w:r w:rsidRPr="00260790">
        <w:rPr>
          <w:rFonts w:ascii="Times New Roman" w:hAnsi="Times New Roman"/>
          <w:color w:val="000000" w:themeColor="text1"/>
        </w:rPr>
        <w:t xml:space="preserve"> y déverse</w:t>
      </w:r>
      <w:r w:rsidR="002640BB" w:rsidRPr="00260790">
        <w:rPr>
          <w:rFonts w:ascii="Times New Roman" w:hAnsi="Times New Roman"/>
          <w:color w:val="000000" w:themeColor="text1"/>
        </w:rPr>
        <w:t>nt</w:t>
      </w:r>
      <w:r w:rsidRPr="00260790">
        <w:rPr>
          <w:rFonts w:ascii="Times New Roman" w:hAnsi="Times New Roman"/>
          <w:color w:val="000000" w:themeColor="text1"/>
        </w:rPr>
        <w:t xml:space="preserve"> des eaux usées à travers des branchements clandestins</w:t>
      </w:r>
      <w:r w:rsidR="008A05AE" w:rsidRPr="00260790">
        <w:rPr>
          <w:rFonts w:ascii="Times New Roman" w:hAnsi="Times New Roman"/>
          <w:color w:val="000000" w:themeColor="text1"/>
        </w:rPr>
        <w:t xml:space="preserve"> sur le réseau de canalisation existant</w:t>
      </w:r>
      <w:r w:rsidR="00737D49" w:rsidRPr="00260790">
        <w:rPr>
          <w:rFonts w:ascii="Times New Roman" w:hAnsi="Times New Roman"/>
          <w:color w:val="000000" w:themeColor="text1"/>
        </w:rPr>
        <w:t xml:space="preserve"> ou directement </w:t>
      </w:r>
      <w:r w:rsidR="00361901" w:rsidRPr="00260790">
        <w:rPr>
          <w:rFonts w:ascii="Times New Roman" w:hAnsi="Times New Roman"/>
          <w:color w:val="000000" w:themeColor="text1"/>
        </w:rPr>
        <w:t>dans le marigot</w:t>
      </w:r>
      <w:r w:rsidRPr="00260790">
        <w:rPr>
          <w:rFonts w:ascii="Times New Roman" w:hAnsi="Times New Roman"/>
          <w:color w:val="000000" w:themeColor="text1"/>
        </w:rPr>
        <w:t xml:space="preserve">, et un dépotoir d’ordures sauvages ce qui a favorisé la pollution de l’eau du marigot. </w:t>
      </w:r>
    </w:p>
    <w:p w14:paraId="3CF6C4DC" w14:textId="0FF30444" w:rsidR="003B5D64" w:rsidRPr="00260790" w:rsidRDefault="005D2672" w:rsidP="00E20250">
      <w:pPr>
        <w:spacing w:line="240" w:lineRule="auto"/>
        <w:ind w:left="567"/>
        <w:jc w:val="both"/>
        <w:rPr>
          <w:rFonts w:ascii="Times New Roman" w:hAnsi="Times New Roman"/>
          <w:color w:val="000000" w:themeColor="text1"/>
        </w:rPr>
      </w:pPr>
      <w:r w:rsidRPr="00260790">
        <w:rPr>
          <w:rFonts w:ascii="Times New Roman" w:hAnsi="Times New Roman"/>
          <w:color w:val="000000" w:themeColor="text1"/>
        </w:rPr>
        <w:t xml:space="preserve">La végétation dans </w:t>
      </w:r>
      <w:r w:rsidR="003B5D64" w:rsidRPr="00260790">
        <w:rPr>
          <w:rFonts w:ascii="Times New Roman" w:hAnsi="Times New Roman"/>
          <w:color w:val="000000" w:themeColor="text1"/>
        </w:rPr>
        <w:t>et à la limite du</w:t>
      </w:r>
      <w:r w:rsidRPr="00260790">
        <w:rPr>
          <w:rFonts w:ascii="Times New Roman" w:hAnsi="Times New Roman"/>
          <w:color w:val="000000" w:themeColor="text1"/>
        </w:rPr>
        <w:t xml:space="preserve"> marigot de </w:t>
      </w:r>
      <w:r w:rsidR="008A05AE" w:rsidRPr="00260790">
        <w:rPr>
          <w:rFonts w:ascii="Times New Roman" w:hAnsi="Times New Roman"/>
          <w:color w:val="000000" w:themeColor="text1"/>
        </w:rPr>
        <w:t xml:space="preserve">Mbao </w:t>
      </w:r>
      <w:r w:rsidRPr="00260790">
        <w:rPr>
          <w:rFonts w:ascii="Times New Roman" w:hAnsi="Times New Roman"/>
          <w:color w:val="000000" w:themeColor="text1"/>
        </w:rPr>
        <w:t xml:space="preserve">est constitué de </w:t>
      </w:r>
      <w:r w:rsidR="003144FA" w:rsidRPr="00260790">
        <w:rPr>
          <w:rFonts w:ascii="Times New Roman" w:hAnsi="Times New Roman"/>
          <w:i/>
          <w:color w:val="000000" w:themeColor="text1"/>
        </w:rPr>
        <w:t>T</w:t>
      </w:r>
      <w:r w:rsidRPr="00260790">
        <w:rPr>
          <w:rFonts w:ascii="Times New Roman" w:hAnsi="Times New Roman"/>
          <w:i/>
          <w:color w:val="000000" w:themeColor="text1"/>
        </w:rPr>
        <w:t>amarix</w:t>
      </w:r>
      <w:r w:rsidR="00FC732A" w:rsidRPr="00260790">
        <w:rPr>
          <w:rFonts w:ascii="Times New Roman" w:hAnsi="Times New Roman"/>
          <w:i/>
          <w:color w:val="000000" w:themeColor="text1"/>
        </w:rPr>
        <w:t xml:space="preserve"> senegalensis</w:t>
      </w:r>
      <w:r w:rsidRPr="00260790">
        <w:rPr>
          <w:rFonts w:ascii="Times New Roman" w:hAnsi="Times New Roman"/>
          <w:color w:val="000000" w:themeColor="text1"/>
        </w:rPr>
        <w:t xml:space="preserve">, </w:t>
      </w:r>
      <w:proofErr w:type="spellStart"/>
      <w:r w:rsidR="003144FA" w:rsidRPr="00260790">
        <w:rPr>
          <w:rFonts w:ascii="Times New Roman" w:hAnsi="Times New Roman"/>
          <w:i/>
          <w:color w:val="000000" w:themeColor="text1"/>
        </w:rPr>
        <w:t>A</w:t>
      </w:r>
      <w:r w:rsidRPr="00260790">
        <w:rPr>
          <w:rFonts w:ascii="Times New Roman" w:hAnsi="Times New Roman"/>
          <w:i/>
          <w:color w:val="000000" w:themeColor="text1"/>
        </w:rPr>
        <w:t>nacardi</w:t>
      </w:r>
      <w:r w:rsidR="003144FA" w:rsidRPr="00260790">
        <w:rPr>
          <w:rFonts w:ascii="Times New Roman" w:hAnsi="Times New Roman"/>
          <w:i/>
          <w:color w:val="000000" w:themeColor="text1"/>
        </w:rPr>
        <w:t>um</w:t>
      </w:r>
      <w:proofErr w:type="spellEnd"/>
      <w:r w:rsidR="003144FA" w:rsidRPr="00260790">
        <w:rPr>
          <w:rFonts w:ascii="Times New Roman" w:hAnsi="Times New Roman"/>
          <w:i/>
          <w:color w:val="000000" w:themeColor="text1"/>
        </w:rPr>
        <w:t xml:space="preserve"> occidental,</w:t>
      </w:r>
      <w:r w:rsidRPr="00260790">
        <w:rPr>
          <w:rFonts w:ascii="Times New Roman" w:hAnsi="Times New Roman"/>
          <w:color w:val="000000" w:themeColor="text1"/>
        </w:rPr>
        <w:t xml:space="preserve"> </w:t>
      </w:r>
      <w:proofErr w:type="spellStart"/>
      <w:r w:rsidR="003144FA" w:rsidRPr="00260790">
        <w:rPr>
          <w:rFonts w:ascii="Times New Roman" w:hAnsi="Times New Roman"/>
          <w:i/>
          <w:iCs/>
          <w:color w:val="000000" w:themeColor="text1"/>
        </w:rPr>
        <w:t>Avicen</w:t>
      </w:r>
      <w:r w:rsidR="003B5D64" w:rsidRPr="00260790">
        <w:rPr>
          <w:rFonts w:ascii="Times New Roman" w:hAnsi="Times New Roman"/>
          <w:i/>
          <w:iCs/>
          <w:color w:val="000000" w:themeColor="text1"/>
        </w:rPr>
        <w:t>n</w:t>
      </w:r>
      <w:r w:rsidR="003144FA" w:rsidRPr="00260790">
        <w:rPr>
          <w:rFonts w:ascii="Times New Roman" w:hAnsi="Times New Roman"/>
          <w:i/>
          <w:iCs/>
          <w:color w:val="000000" w:themeColor="text1"/>
        </w:rPr>
        <w:t>ia</w:t>
      </w:r>
      <w:proofErr w:type="spellEnd"/>
      <w:r w:rsidR="003B5D64" w:rsidRPr="00260790">
        <w:rPr>
          <w:rFonts w:ascii="Times New Roman" w:hAnsi="Times New Roman"/>
          <w:i/>
          <w:iCs/>
          <w:color w:val="000000" w:themeColor="text1"/>
        </w:rPr>
        <w:t xml:space="preserve"> </w:t>
      </w:r>
      <w:proofErr w:type="spellStart"/>
      <w:r w:rsidR="003B5D64" w:rsidRPr="00260790">
        <w:rPr>
          <w:rFonts w:ascii="Times New Roman" w:hAnsi="Times New Roman"/>
          <w:i/>
          <w:iCs/>
          <w:color w:val="000000" w:themeColor="text1"/>
        </w:rPr>
        <w:t>sp</w:t>
      </w:r>
      <w:proofErr w:type="spellEnd"/>
      <w:r w:rsidR="003144FA" w:rsidRPr="00260790">
        <w:rPr>
          <w:rFonts w:ascii="Times New Roman" w:hAnsi="Times New Roman"/>
          <w:color w:val="000000" w:themeColor="text1"/>
        </w:rPr>
        <w:t xml:space="preserve">, </w:t>
      </w:r>
      <w:r w:rsidR="003144FA" w:rsidRPr="00260790">
        <w:rPr>
          <w:rFonts w:ascii="Times New Roman" w:hAnsi="Times New Roman"/>
          <w:i/>
          <w:color w:val="000000" w:themeColor="text1"/>
        </w:rPr>
        <w:t>T</w:t>
      </w:r>
      <w:r w:rsidRPr="00260790">
        <w:rPr>
          <w:rFonts w:ascii="Times New Roman" w:hAnsi="Times New Roman"/>
          <w:i/>
          <w:color w:val="000000" w:themeColor="text1"/>
        </w:rPr>
        <w:t>ypha</w:t>
      </w:r>
      <w:r w:rsidR="003144FA" w:rsidRPr="00260790">
        <w:rPr>
          <w:rFonts w:ascii="Times New Roman" w:hAnsi="Times New Roman"/>
          <w:i/>
          <w:color w:val="000000" w:themeColor="text1"/>
        </w:rPr>
        <w:t xml:space="preserve"> </w:t>
      </w:r>
      <w:proofErr w:type="spellStart"/>
      <w:r w:rsidR="003144FA" w:rsidRPr="00260790">
        <w:rPr>
          <w:rFonts w:ascii="Times New Roman" w:hAnsi="Times New Roman"/>
          <w:i/>
          <w:color w:val="000000" w:themeColor="text1"/>
        </w:rPr>
        <w:t>sp</w:t>
      </w:r>
      <w:proofErr w:type="spellEnd"/>
      <w:r w:rsidR="003B5D64" w:rsidRPr="00260790">
        <w:rPr>
          <w:rFonts w:ascii="Times New Roman" w:hAnsi="Times New Roman"/>
          <w:i/>
          <w:color w:val="000000" w:themeColor="text1"/>
        </w:rPr>
        <w:t xml:space="preserve"> </w:t>
      </w:r>
      <w:r w:rsidR="003B5D64" w:rsidRPr="00260790">
        <w:rPr>
          <w:rFonts w:ascii="Times New Roman" w:hAnsi="Times New Roman"/>
          <w:iCs/>
          <w:color w:val="000000" w:themeColor="text1"/>
        </w:rPr>
        <w:t>et un tapis herbacé</w:t>
      </w:r>
      <w:r w:rsidRPr="00260790">
        <w:rPr>
          <w:rFonts w:ascii="Times New Roman" w:hAnsi="Times New Roman"/>
          <w:color w:val="000000" w:themeColor="text1"/>
        </w:rPr>
        <w:t>.</w:t>
      </w:r>
      <w:r w:rsidR="003B5D64" w:rsidRPr="00260790">
        <w:rPr>
          <w:rFonts w:ascii="Times New Roman" w:hAnsi="Times New Roman"/>
          <w:color w:val="000000" w:themeColor="text1"/>
        </w:rPr>
        <w:t xml:space="preserve"> Des peuplements de cocotier, </w:t>
      </w:r>
      <w:r w:rsidR="003B5D64" w:rsidRPr="00260790">
        <w:rPr>
          <w:rFonts w:ascii="Times New Roman" w:hAnsi="Times New Roman"/>
          <w:i/>
          <w:iCs/>
          <w:color w:val="000000" w:themeColor="text1"/>
        </w:rPr>
        <w:t xml:space="preserve">Eucalyptus </w:t>
      </w:r>
      <w:proofErr w:type="spellStart"/>
      <w:r w:rsidR="00ED1FF2" w:rsidRPr="00260790">
        <w:rPr>
          <w:rFonts w:ascii="Times New Roman" w:hAnsi="Times New Roman"/>
          <w:i/>
          <w:iCs/>
          <w:color w:val="000000" w:themeColor="text1"/>
        </w:rPr>
        <w:t>camaldulensis</w:t>
      </w:r>
      <w:proofErr w:type="spellEnd"/>
      <w:r w:rsidR="003B5D64" w:rsidRPr="00260790">
        <w:rPr>
          <w:rFonts w:ascii="Times New Roman" w:hAnsi="Times New Roman"/>
          <w:i/>
          <w:iCs/>
          <w:color w:val="000000" w:themeColor="text1"/>
        </w:rPr>
        <w:t xml:space="preserve">, Opuntia </w:t>
      </w:r>
      <w:proofErr w:type="spellStart"/>
      <w:r w:rsidR="003B5D64" w:rsidRPr="00260790">
        <w:rPr>
          <w:rFonts w:ascii="Times New Roman" w:hAnsi="Times New Roman"/>
          <w:i/>
          <w:iCs/>
          <w:color w:val="000000" w:themeColor="text1"/>
        </w:rPr>
        <w:t>tuna</w:t>
      </w:r>
      <w:proofErr w:type="spellEnd"/>
      <w:r w:rsidR="00FC732A" w:rsidRPr="00260790">
        <w:rPr>
          <w:rFonts w:ascii="Times New Roman" w:hAnsi="Times New Roman"/>
          <w:color w:val="000000" w:themeColor="text1"/>
        </w:rPr>
        <w:t xml:space="preserve">, </w:t>
      </w:r>
      <w:r w:rsidR="00FC732A" w:rsidRPr="00260790">
        <w:rPr>
          <w:rFonts w:ascii="Times New Roman" w:hAnsi="Times New Roman"/>
          <w:i/>
          <w:iCs/>
          <w:color w:val="000000" w:themeColor="text1"/>
        </w:rPr>
        <w:t xml:space="preserve">Prosopis juliflora, Casuarina </w:t>
      </w:r>
      <w:proofErr w:type="spellStart"/>
      <w:r w:rsidR="00FC732A" w:rsidRPr="00260790">
        <w:rPr>
          <w:rFonts w:ascii="Times New Roman" w:hAnsi="Times New Roman"/>
          <w:i/>
          <w:iCs/>
          <w:color w:val="000000" w:themeColor="text1"/>
        </w:rPr>
        <w:t>equisetifolia</w:t>
      </w:r>
      <w:proofErr w:type="spellEnd"/>
      <w:r w:rsidR="008A05AE" w:rsidRPr="00260790">
        <w:rPr>
          <w:rFonts w:ascii="Times New Roman" w:hAnsi="Times New Roman"/>
          <w:i/>
          <w:iCs/>
          <w:color w:val="000000" w:themeColor="text1"/>
        </w:rPr>
        <w:t>.</w:t>
      </w:r>
    </w:p>
    <w:p w14:paraId="088B818E" w14:textId="78F76EF4" w:rsidR="005D2672" w:rsidRPr="00260790" w:rsidRDefault="005D2672" w:rsidP="00E20250">
      <w:pPr>
        <w:pStyle w:val="Corpsdetexte2"/>
        <w:spacing w:line="240" w:lineRule="auto"/>
        <w:ind w:left="567"/>
        <w:rPr>
          <w:color w:val="000000" w:themeColor="text1"/>
        </w:rPr>
      </w:pPr>
      <w:r w:rsidRPr="00260790">
        <w:rPr>
          <w:color w:val="000000" w:themeColor="text1"/>
        </w:rPr>
        <w:t>En ce qui concerne la faune, aigrette ga</w:t>
      </w:r>
      <w:r w:rsidR="00397335" w:rsidRPr="00260790">
        <w:rPr>
          <w:color w:val="000000" w:themeColor="text1"/>
        </w:rPr>
        <w:t>r</w:t>
      </w:r>
      <w:r w:rsidRPr="00260790">
        <w:rPr>
          <w:color w:val="000000" w:themeColor="text1"/>
        </w:rPr>
        <w:t>zette, héron garde bœuf, corbeau pie, vanneau éperonné, jacana à poitrine dorée, échasse blanche, héron cendré, chevalier guignette, ont été identifiés dans le marigot.</w:t>
      </w:r>
    </w:p>
    <w:p w14:paraId="5159368A" w14:textId="3597ED07" w:rsidR="003144FA" w:rsidRPr="00260790" w:rsidRDefault="003144FA" w:rsidP="00E20250">
      <w:pPr>
        <w:pStyle w:val="Corpsdetexte2"/>
        <w:spacing w:line="240" w:lineRule="auto"/>
        <w:ind w:left="567"/>
        <w:rPr>
          <w:color w:val="000000" w:themeColor="text1"/>
        </w:rPr>
      </w:pPr>
      <w:r w:rsidRPr="00260790">
        <w:rPr>
          <w:color w:val="000000" w:themeColor="text1"/>
        </w:rPr>
        <w:t>Le marigot est traversé par la RN 1</w:t>
      </w:r>
      <w:r w:rsidR="007A182A" w:rsidRPr="00260790">
        <w:rPr>
          <w:color w:val="000000" w:themeColor="text1"/>
        </w:rPr>
        <w:t xml:space="preserve">, </w:t>
      </w:r>
      <w:r w:rsidRPr="00260790">
        <w:rPr>
          <w:color w:val="000000" w:themeColor="text1"/>
        </w:rPr>
        <w:t>l’autoroute à péage et un ponceau à 4 ouvertures</w:t>
      </w:r>
      <w:r w:rsidR="007A182A" w:rsidRPr="00260790">
        <w:rPr>
          <w:color w:val="000000" w:themeColor="text1"/>
        </w:rPr>
        <w:t xml:space="preserve"> (à Keur Mbaye Fall)</w:t>
      </w:r>
      <w:r w:rsidRPr="00260790">
        <w:rPr>
          <w:color w:val="000000" w:themeColor="text1"/>
        </w:rPr>
        <w:t xml:space="preserve">. Les concessions les plus proches sont à la limite du marigot dans la zone de </w:t>
      </w:r>
      <w:r w:rsidR="007A182A" w:rsidRPr="00260790">
        <w:rPr>
          <w:color w:val="000000" w:themeColor="text1"/>
        </w:rPr>
        <w:t>Keur Mbaye Fall</w:t>
      </w:r>
      <w:r w:rsidRPr="00260790">
        <w:rPr>
          <w:color w:val="000000" w:themeColor="text1"/>
        </w:rPr>
        <w:t>.</w:t>
      </w:r>
    </w:p>
    <w:p w14:paraId="6CC79AC9" w14:textId="2715075E" w:rsidR="00FC732A" w:rsidRPr="00260790" w:rsidRDefault="00FC732A" w:rsidP="00E20250">
      <w:pPr>
        <w:pStyle w:val="Corpsdetexte2"/>
        <w:spacing w:line="240" w:lineRule="auto"/>
        <w:ind w:left="567"/>
        <w:rPr>
          <w:color w:val="000000" w:themeColor="text1"/>
        </w:rPr>
      </w:pPr>
      <w:r w:rsidRPr="00260790">
        <w:rPr>
          <w:color w:val="000000" w:themeColor="text1"/>
        </w:rPr>
        <w:t xml:space="preserve">Un quai de pêche est </w:t>
      </w:r>
      <w:r w:rsidR="00CF43AD">
        <w:rPr>
          <w:color w:val="000000" w:themeColor="text1"/>
        </w:rPr>
        <w:t>présent</w:t>
      </w:r>
      <w:r w:rsidR="00CF43AD" w:rsidRPr="00260790">
        <w:rPr>
          <w:color w:val="000000" w:themeColor="text1"/>
        </w:rPr>
        <w:t xml:space="preserve"> </w:t>
      </w:r>
      <w:r w:rsidRPr="00260790">
        <w:rPr>
          <w:color w:val="000000" w:themeColor="text1"/>
        </w:rPr>
        <w:t xml:space="preserve">à la limite de l’emprise de l’exutoire. </w:t>
      </w:r>
    </w:p>
    <w:p w14:paraId="7884D3D1" w14:textId="37A45D2B" w:rsidR="00DE085A" w:rsidRPr="00260790" w:rsidRDefault="00DE085A" w:rsidP="00E20250">
      <w:pPr>
        <w:pStyle w:val="Corpsdetexte2"/>
        <w:spacing w:after="0" w:line="240" w:lineRule="auto"/>
        <w:ind w:left="567"/>
        <w:rPr>
          <w:color w:val="000000" w:themeColor="text1"/>
        </w:rPr>
      </w:pPr>
      <w:r w:rsidRPr="00260790">
        <w:rPr>
          <w:color w:val="000000" w:themeColor="text1"/>
        </w:rPr>
        <w:t>Les enjeux environnementaux et sociaux identifiés sont</w:t>
      </w:r>
      <w:r w:rsidR="008A05AE" w:rsidRPr="00260790">
        <w:rPr>
          <w:color w:val="000000" w:themeColor="text1"/>
        </w:rPr>
        <w:t xml:space="preserve"> le</w:t>
      </w:r>
      <w:r w:rsidRPr="00260790">
        <w:rPr>
          <w:color w:val="000000" w:themeColor="text1"/>
        </w:rPr>
        <w:t> :</w:t>
      </w:r>
    </w:p>
    <w:p w14:paraId="510FA82F" w14:textId="47688711" w:rsidR="00DE085A" w:rsidRPr="00260790" w:rsidRDefault="008A05AE" w:rsidP="001748C6">
      <w:pPr>
        <w:numPr>
          <w:ilvl w:val="1"/>
          <w:numId w:val="371"/>
        </w:numPr>
        <w:spacing w:line="240" w:lineRule="auto"/>
        <w:ind w:left="1276"/>
        <w:contextualSpacing/>
        <w:jc w:val="both"/>
        <w:rPr>
          <w:rFonts w:ascii="Times New Roman" w:hAnsi="Times New Roman"/>
          <w:color w:val="000000" w:themeColor="text1"/>
        </w:rPr>
      </w:pPr>
      <w:proofErr w:type="gramStart"/>
      <w:r w:rsidRPr="00260790">
        <w:rPr>
          <w:rFonts w:ascii="Times New Roman" w:hAnsi="Times New Roman"/>
          <w:color w:val="000000" w:themeColor="text1"/>
        </w:rPr>
        <w:t>m</w:t>
      </w:r>
      <w:r w:rsidR="0035009B" w:rsidRPr="00260790">
        <w:rPr>
          <w:rFonts w:ascii="Times New Roman" w:hAnsi="Times New Roman"/>
          <w:color w:val="000000" w:themeColor="text1"/>
        </w:rPr>
        <w:t>aintien</w:t>
      </w:r>
      <w:proofErr w:type="gramEnd"/>
      <w:r w:rsidR="00DE085A" w:rsidRPr="00260790">
        <w:rPr>
          <w:rFonts w:ascii="Times New Roman" w:hAnsi="Times New Roman"/>
          <w:color w:val="000000" w:themeColor="text1"/>
        </w:rPr>
        <w:t xml:space="preserve"> de la mobilité des personnes et des biens ;</w:t>
      </w:r>
    </w:p>
    <w:p w14:paraId="60B3F6CD" w14:textId="10127DC2" w:rsidR="00DE085A" w:rsidRPr="00260790" w:rsidRDefault="008A05AE" w:rsidP="001748C6">
      <w:pPr>
        <w:numPr>
          <w:ilvl w:val="1"/>
          <w:numId w:val="371"/>
        </w:numPr>
        <w:spacing w:line="240" w:lineRule="auto"/>
        <w:ind w:left="1276"/>
        <w:contextualSpacing/>
        <w:jc w:val="both"/>
        <w:rPr>
          <w:rFonts w:ascii="Times New Roman" w:hAnsi="Times New Roman"/>
          <w:color w:val="000000" w:themeColor="text1"/>
        </w:rPr>
      </w:pPr>
      <w:proofErr w:type="gramStart"/>
      <w:r w:rsidRPr="00260790">
        <w:rPr>
          <w:rFonts w:ascii="Times New Roman" w:hAnsi="Times New Roman"/>
          <w:color w:val="000000" w:themeColor="text1"/>
        </w:rPr>
        <w:t>s</w:t>
      </w:r>
      <w:r w:rsidR="0035009B" w:rsidRPr="00260790">
        <w:rPr>
          <w:rFonts w:ascii="Times New Roman" w:hAnsi="Times New Roman"/>
          <w:color w:val="000000" w:themeColor="text1"/>
        </w:rPr>
        <w:t>écurisation</w:t>
      </w:r>
      <w:proofErr w:type="gramEnd"/>
      <w:r w:rsidR="00DE085A" w:rsidRPr="00260790">
        <w:rPr>
          <w:rFonts w:ascii="Times New Roman" w:hAnsi="Times New Roman"/>
          <w:color w:val="000000" w:themeColor="text1"/>
        </w:rPr>
        <w:t xml:space="preserve"> de l’accès aux habitations ;</w:t>
      </w:r>
    </w:p>
    <w:p w14:paraId="73100D9B" w14:textId="306F2224" w:rsidR="00DE085A" w:rsidRPr="00260790" w:rsidRDefault="008A05AE" w:rsidP="001748C6">
      <w:pPr>
        <w:numPr>
          <w:ilvl w:val="1"/>
          <w:numId w:val="371"/>
        </w:numPr>
        <w:spacing w:line="240" w:lineRule="auto"/>
        <w:ind w:left="1276"/>
        <w:contextualSpacing/>
        <w:jc w:val="both"/>
        <w:rPr>
          <w:rFonts w:ascii="Times New Roman" w:hAnsi="Times New Roman"/>
          <w:color w:val="000000" w:themeColor="text1"/>
        </w:rPr>
      </w:pPr>
      <w:proofErr w:type="gramStart"/>
      <w:r w:rsidRPr="00260790">
        <w:rPr>
          <w:rFonts w:ascii="Times New Roman" w:hAnsi="Times New Roman"/>
          <w:color w:val="000000" w:themeColor="text1"/>
        </w:rPr>
        <w:t>g</w:t>
      </w:r>
      <w:r w:rsidR="00DE085A" w:rsidRPr="00260790">
        <w:rPr>
          <w:rFonts w:ascii="Times New Roman" w:hAnsi="Times New Roman"/>
          <w:color w:val="000000" w:themeColor="text1"/>
        </w:rPr>
        <w:t>estion</w:t>
      </w:r>
      <w:proofErr w:type="gramEnd"/>
      <w:r w:rsidR="00DE085A" w:rsidRPr="00260790">
        <w:rPr>
          <w:rFonts w:ascii="Times New Roman" w:hAnsi="Times New Roman"/>
          <w:color w:val="000000" w:themeColor="text1"/>
        </w:rPr>
        <w:t xml:space="preserve"> des eaux pluviale</w:t>
      </w:r>
      <w:r w:rsidR="0035009B" w:rsidRPr="00260790">
        <w:rPr>
          <w:rFonts w:ascii="Times New Roman" w:hAnsi="Times New Roman"/>
          <w:color w:val="000000" w:themeColor="text1"/>
        </w:rPr>
        <w:t>s et des eaux usées</w:t>
      </w:r>
      <w:r w:rsidR="00DE085A" w:rsidRPr="00260790">
        <w:rPr>
          <w:rFonts w:ascii="Times New Roman" w:hAnsi="Times New Roman"/>
          <w:color w:val="000000" w:themeColor="text1"/>
        </w:rPr>
        <w:t> ;</w:t>
      </w:r>
    </w:p>
    <w:p w14:paraId="49E6EC2B" w14:textId="327D8E6E" w:rsidR="00DE085A" w:rsidRPr="00260790" w:rsidRDefault="008A05AE" w:rsidP="001748C6">
      <w:pPr>
        <w:numPr>
          <w:ilvl w:val="1"/>
          <w:numId w:val="371"/>
        </w:numPr>
        <w:spacing w:line="240" w:lineRule="auto"/>
        <w:ind w:left="1276"/>
        <w:contextualSpacing/>
        <w:jc w:val="both"/>
        <w:rPr>
          <w:rFonts w:ascii="Times New Roman" w:hAnsi="Times New Roman"/>
          <w:color w:val="000000" w:themeColor="text1"/>
        </w:rPr>
      </w:pPr>
      <w:proofErr w:type="gramStart"/>
      <w:r w:rsidRPr="00260790">
        <w:rPr>
          <w:rFonts w:ascii="Times New Roman" w:hAnsi="Times New Roman"/>
          <w:color w:val="000000" w:themeColor="text1"/>
        </w:rPr>
        <w:t>p</w:t>
      </w:r>
      <w:r w:rsidR="00DE085A" w:rsidRPr="00260790">
        <w:rPr>
          <w:rFonts w:ascii="Times New Roman" w:hAnsi="Times New Roman"/>
          <w:color w:val="000000" w:themeColor="text1"/>
        </w:rPr>
        <w:t>réservation</w:t>
      </w:r>
      <w:proofErr w:type="gramEnd"/>
      <w:r w:rsidR="00DE085A" w:rsidRPr="00260790">
        <w:rPr>
          <w:rFonts w:ascii="Times New Roman" w:hAnsi="Times New Roman"/>
          <w:color w:val="000000" w:themeColor="text1"/>
        </w:rPr>
        <w:t xml:space="preserve"> de la tranquillité des riverains</w:t>
      </w:r>
    </w:p>
    <w:p w14:paraId="3AFF0703" w14:textId="15CDD327" w:rsidR="00DE085A" w:rsidRPr="00260790" w:rsidRDefault="008A05AE" w:rsidP="001748C6">
      <w:pPr>
        <w:numPr>
          <w:ilvl w:val="1"/>
          <w:numId w:val="371"/>
        </w:numPr>
        <w:spacing w:line="240" w:lineRule="auto"/>
        <w:ind w:left="1276"/>
        <w:contextualSpacing/>
        <w:jc w:val="both"/>
        <w:rPr>
          <w:rFonts w:ascii="Times New Roman" w:hAnsi="Times New Roman"/>
          <w:color w:val="000000" w:themeColor="text1"/>
        </w:rPr>
      </w:pPr>
      <w:proofErr w:type="gramStart"/>
      <w:r w:rsidRPr="00260790">
        <w:rPr>
          <w:rFonts w:ascii="Times New Roman" w:hAnsi="Times New Roman"/>
          <w:color w:val="000000" w:themeColor="text1"/>
        </w:rPr>
        <w:t>p</w:t>
      </w:r>
      <w:r w:rsidR="00DE085A" w:rsidRPr="00260790">
        <w:rPr>
          <w:rFonts w:ascii="Times New Roman" w:hAnsi="Times New Roman"/>
          <w:color w:val="000000" w:themeColor="text1"/>
        </w:rPr>
        <w:t>réservation</w:t>
      </w:r>
      <w:proofErr w:type="gramEnd"/>
      <w:r w:rsidR="00DE085A" w:rsidRPr="00260790">
        <w:rPr>
          <w:rFonts w:ascii="Times New Roman" w:hAnsi="Times New Roman"/>
          <w:color w:val="000000" w:themeColor="text1"/>
        </w:rPr>
        <w:t xml:space="preserve"> des espèces floristiques et fauniques ;</w:t>
      </w:r>
    </w:p>
    <w:p w14:paraId="0AB8A758" w14:textId="142A33B2" w:rsidR="0035009B" w:rsidRPr="00260790" w:rsidRDefault="008A05AE" w:rsidP="001748C6">
      <w:pPr>
        <w:numPr>
          <w:ilvl w:val="1"/>
          <w:numId w:val="371"/>
        </w:numPr>
        <w:spacing w:line="240" w:lineRule="auto"/>
        <w:ind w:left="1276"/>
        <w:contextualSpacing/>
        <w:jc w:val="both"/>
        <w:rPr>
          <w:rFonts w:ascii="Times New Roman" w:hAnsi="Times New Roman"/>
          <w:color w:val="000000" w:themeColor="text1"/>
        </w:rPr>
      </w:pPr>
      <w:proofErr w:type="gramStart"/>
      <w:r w:rsidRPr="00260790">
        <w:rPr>
          <w:rFonts w:ascii="Times New Roman" w:hAnsi="Times New Roman"/>
          <w:color w:val="000000" w:themeColor="text1"/>
        </w:rPr>
        <w:t>p</w:t>
      </w:r>
      <w:r w:rsidR="0035009B" w:rsidRPr="00260790">
        <w:rPr>
          <w:rFonts w:ascii="Times New Roman" w:hAnsi="Times New Roman"/>
          <w:color w:val="000000" w:themeColor="text1"/>
        </w:rPr>
        <w:t>réservation</w:t>
      </w:r>
      <w:proofErr w:type="gramEnd"/>
      <w:r w:rsidR="0035009B" w:rsidRPr="00260790">
        <w:rPr>
          <w:rFonts w:ascii="Times New Roman" w:hAnsi="Times New Roman"/>
          <w:color w:val="000000" w:themeColor="text1"/>
        </w:rPr>
        <w:t xml:space="preserve"> des biens et des activités socio-économiques ;</w:t>
      </w:r>
    </w:p>
    <w:p w14:paraId="777B5242" w14:textId="320DF3CE" w:rsidR="00DE085A" w:rsidRPr="00260790" w:rsidRDefault="008A05AE" w:rsidP="001748C6">
      <w:pPr>
        <w:numPr>
          <w:ilvl w:val="1"/>
          <w:numId w:val="371"/>
        </w:numPr>
        <w:spacing w:line="240" w:lineRule="auto"/>
        <w:ind w:left="1276"/>
        <w:contextualSpacing/>
        <w:jc w:val="both"/>
        <w:rPr>
          <w:rFonts w:ascii="Times New Roman" w:hAnsi="Times New Roman"/>
          <w:color w:val="000000" w:themeColor="text1"/>
        </w:rPr>
      </w:pPr>
      <w:proofErr w:type="gramStart"/>
      <w:r w:rsidRPr="00260790">
        <w:rPr>
          <w:rFonts w:ascii="Times New Roman" w:hAnsi="Times New Roman"/>
          <w:color w:val="000000" w:themeColor="text1"/>
        </w:rPr>
        <w:t>g</w:t>
      </w:r>
      <w:r w:rsidR="00DE085A" w:rsidRPr="00260790">
        <w:rPr>
          <w:rFonts w:ascii="Times New Roman" w:hAnsi="Times New Roman"/>
          <w:color w:val="000000" w:themeColor="text1"/>
        </w:rPr>
        <w:t>estion</w:t>
      </w:r>
      <w:proofErr w:type="gramEnd"/>
      <w:r w:rsidR="00DE085A" w:rsidRPr="00260790">
        <w:rPr>
          <w:rFonts w:ascii="Times New Roman" w:hAnsi="Times New Roman"/>
          <w:color w:val="000000" w:themeColor="text1"/>
        </w:rPr>
        <w:t xml:space="preserve"> des déchets</w:t>
      </w:r>
      <w:r w:rsidR="0035009B" w:rsidRPr="00260790">
        <w:rPr>
          <w:rFonts w:ascii="Times New Roman" w:hAnsi="Times New Roman"/>
          <w:color w:val="000000" w:themeColor="text1"/>
        </w:rPr>
        <w:t> ;</w:t>
      </w:r>
    </w:p>
    <w:p w14:paraId="492F3B8C" w14:textId="5C4EEBE4" w:rsidR="0035009B" w:rsidRPr="00260790" w:rsidRDefault="008A05AE" w:rsidP="001748C6">
      <w:pPr>
        <w:numPr>
          <w:ilvl w:val="1"/>
          <w:numId w:val="371"/>
        </w:numPr>
        <w:spacing w:line="240" w:lineRule="auto"/>
        <w:ind w:left="1276"/>
        <w:contextualSpacing/>
        <w:jc w:val="both"/>
        <w:rPr>
          <w:rFonts w:ascii="Times New Roman" w:hAnsi="Times New Roman"/>
          <w:color w:val="000000" w:themeColor="text1"/>
        </w:rPr>
      </w:pPr>
      <w:proofErr w:type="gramStart"/>
      <w:r w:rsidRPr="00260790">
        <w:rPr>
          <w:rFonts w:ascii="Times New Roman" w:hAnsi="Times New Roman"/>
          <w:color w:val="000000" w:themeColor="text1"/>
        </w:rPr>
        <w:t>p</w:t>
      </w:r>
      <w:r w:rsidR="0028402C" w:rsidRPr="00260790">
        <w:rPr>
          <w:rFonts w:ascii="Times New Roman" w:hAnsi="Times New Roman"/>
          <w:color w:val="000000" w:themeColor="text1"/>
        </w:rPr>
        <w:t>réservation</w:t>
      </w:r>
      <w:proofErr w:type="gramEnd"/>
      <w:r w:rsidR="0028402C" w:rsidRPr="00260790">
        <w:rPr>
          <w:rFonts w:ascii="Times New Roman" w:hAnsi="Times New Roman"/>
          <w:color w:val="000000" w:themeColor="text1"/>
        </w:rPr>
        <w:t xml:space="preserve"> de la santé et de la sécurité des travailleurs et de la population riveraine.</w:t>
      </w:r>
    </w:p>
    <w:p w14:paraId="70E1E2B8" w14:textId="62A4033C" w:rsidR="003144FA" w:rsidRPr="00260790" w:rsidRDefault="003144FA" w:rsidP="00E20250">
      <w:pPr>
        <w:pStyle w:val="Corpsdetexte2"/>
        <w:spacing w:line="240" w:lineRule="auto"/>
        <w:ind w:left="567"/>
        <w:rPr>
          <w:color w:val="000000" w:themeColor="text1"/>
        </w:rPr>
      </w:pPr>
      <w:r w:rsidRPr="00260790">
        <w:rPr>
          <w:color w:val="000000" w:themeColor="text1"/>
        </w:rPr>
        <w:t>Les images suivantes illustrent les formes d’occupations des emprises du marigot de Mbao.</w:t>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6"/>
        <w:gridCol w:w="4365"/>
      </w:tblGrid>
      <w:tr w:rsidR="00BD1A2F" w:rsidRPr="00260790" w14:paraId="164C90E5" w14:textId="77777777" w:rsidTr="00545757">
        <w:trPr>
          <w:jc w:val="center"/>
        </w:trPr>
        <w:tc>
          <w:tcPr>
            <w:tcW w:w="4326" w:type="dxa"/>
          </w:tcPr>
          <w:p w14:paraId="4AD0A037" w14:textId="77777777" w:rsidR="005D2672" w:rsidRPr="00260790" w:rsidRDefault="005D2672" w:rsidP="00E20250">
            <w:pPr>
              <w:spacing w:line="240" w:lineRule="auto"/>
              <w:rPr>
                <w:rFonts w:ascii="Times New Roman" w:hAnsi="Times New Roman"/>
                <w:noProof/>
                <w:color w:val="000000" w:themeColor="text1"/>
                <w:sz w:val="22"/>
                <w:szCs w:val="22"/>
                <w:lang w:val="fr-FR" w:eastAsia="fr-FR"/>
              </w:rPr>
            </w:pPr>
            <w:r w:rsidRPr="00260790">
              <w:rPr>
                <w:rFonts w:ascii="Times New Roman" w:hAnsi="Times New Roman"/>
                <w:noProof/>
                <w:color w:val="000000" w:themeColor="text1"/>
              </w:rPr>
              <w:drawing>
                <wp:inline distT="0" distB="0" distL="0" distR="0" wp14:anchorId="2B2856CD" wp14:editId="4B269495">
                  <wp:extent cx="2605317" cy="1591733"/>
                  <wp:effectExtent l="0" t="0" r="0" b="0"/>
                  <wp:docPr id="1035467015"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230155" name="Image 2091230155"/>
                          <pic:cNvPicPr/>
                        </pic:nvPicPr>
                        <pic:blipFill>
                          <a:blip r:embed="rId97" cstate="email">
                            <a:extLst>
                              <a:ext uri="{28A0092B-C50C-407E-A947-70E740481C1C}">
                                <a14:useLocalDpi xmlns:a14="http://schemas.microsoft.com/office/drawing/2010/main"/>
                              </a:ext>
                            </a:extLst>
                          </a:blip>
                          <a:stretch>
                            <a:fillRect/>
                          </a:stretch>
                        </pic:blipFill>
                        <pic:spPr>
                          <a:xfrm>
                            <a:off x="0" y="0"/>
                            <a:ext cx="2613248" cy="1596578"/>
                          </a:xfrm>
                          <a:prstGeom prst="rect">
                            <a:avLst/>
                          </a:prstGeom>
                        </pic:spPr>
                      </pic:pic>
                    </a:graphicData>
                  </a:graphic>
                </wp:inline>
              </w:drawing>
            </w:r>
          </w:p>
          <w:p w14:paraId="2A0D4DDD" w14:textId="06AB7F12" w:rsidR="005D2672" w:rsidRPr="00260790" w:rsidRDefault="005D2672" w:rsidP="00E20250">
            <w:pPr>
              <w:spacing w:line="240" w:lineRule="auto"/>
              <w:rPr>
                <w:rFonts w:ascii="Times New Roman" w:hAnsi="Times New Roman"/>
                <w:noProof/>
                <w:color w:val="000000" w:themeColor="text1"/>
                <w:sz w:val="22"/>
                <w:szCs w:val="22"/>
                <w:lang w:val="fr-FR" w:eastAsia="fr-FR"/>
              </w:rPr>
            </w:pPr>
            <w:r w:rsidRPr="00260790">
              <w:rPr>
                <w:rFonts w:ascii="Times New Roman" w:hAnsi="Times New Roman"/>
                <w:noProof/>
                <w:color w:val="000000" w:themeColor="text1"/>
                <w:sz w:val="22"/>
                <w:szCs w:val="22"/>
                <w:lang w:val="fr-FR" w:eastAsia="fr-FR"/>
              </w:rPr>
              <w:t>Vue du marigot de Mbao vers la mer</w:t>
            </w:r>
          </w:p>
        </w:tc>
        <w:tc>
          <w:tcPr>
            <w:tcW w:w="4316" w:type="dxa"/>
          </w:tcPr>
          <w:p w14:paraId="382543DC" w14:textId="77777777" w:rsidR="005D2672" w:rsidRPr="00260790" w:rsidRDefault="005D2672" w:rsidP="00E20250">
            <w:pPr>
              <w:pStyle w:val="Corpsdetexte2"/>
              <w:spacing w:line="240" w:lineRule="auto"/>
              <w:rPr>
                <w:color w:val="000000" w:themeColor="text1"/>
                <w:sz w:val="22"/>
                <w:szCs w:val="22"/>
                <w:lang w:val="fr-FR"/>
              </w:rPr>
            </w:pPr>
            <w:r w:rsidRPr="00260790">
              <w:rPr>
                <w:noProof/>
                <w:color w:val="000000" w:themeColor="text1"/>
              </w:rPr>
              <w:drawing>
                <wp:inline distT="0" distB="0" distL="0" distR="0" wp14:anchorId="5B5718CA" wp14:editId="050926EA">
                  <wp:extent cx="2634615" cy="1591310"/>
                  <wp:effectExtent l="0" t="0" r="0" b="0"/>
                  <wp:docPr id="179783949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373875" name="Image 1268373875"/>
                          <pic:cNvPicPr/>
                        </pic:nvPicPr>
                        <pic:blipFill>
                          <a:blip r:embed="rId98" cstate="email">
                            <a:extLst>
                              <a:ext uri="{28A0092B-C50C-407E-A947-70E740481C1C}">
                                <a14:useLocalDpi xmlns:a14="http://schemas.microsoft.com/office/drawing/2010/main"/>
                              </a:ext>
                            </a:extLst>
                          </a:blip>
                          <a:stretch>
                            <a:fillRect/>
                          </a:stretch>
                        </pic:blipFill>
                        <pic:spPr>
                          <a:xfrm>
                            <a:off x="0" y="0"/>
                            <a:ext cx="2637736" cy="1593195"/>
                          </a:xfrm>
                          <a:prstGeom prst="rect">
                            <a:avLst/>
                          </a:prstGeom>
                        </pic:spPr>
                      </pic:pic>
                    </a:graphicData>
                  </a:graphic>
                </wp:inline>
              </w:drawing>
            </w:r>
          </w:p>
          <w:p w14:paraId="5B70ED4D" w14:textId="7C36941A" w:rsidR="005D2672" w:rsidRPr="00260790" w:rsidRDefault="005D2672" w:rsidP="00E20250">
            <w:pPr>
              <w:spacing w:line="240" w:lineRule="auto"/>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Dépotoir d’ordures sauvages et eaux usées</w:t>
            </w:r>
          </w:p>
        </w:tc>
      </w:tr>
      <w:tr w:rsidR="00BD1A2F" w:rsidRPr="00260790" w14:paraId="1A822202" w14:textId="77777777" w:rsidTr="00545757">
        <w:trPr>
          <w:jc w:val="center"/>
        </w:trPr>
        <w:tc>
          <w:tcPr>
            <w:tcW w:w="4326" w:type="dxa"/>
          </w:tcPr>
          <w:p w14:paraId="392F4E53" w14:textId="77777777" w:rsidR="005D2672" w:rsidRPr="00260790" w:rsidRDefault="005D2672" w:rsidP="00E20250">
            <w:pPr>
              <w:pStyle w:val="Corpsdetexte2"/>
              <w:spacing w:line="240" w:lineRule="auto"/>
              <w:rPr>
                <w:color w:val="000000" w:themeColor="text1"/>
                <w:sz w:val="22"/>
                <w:szCs w:val="22"/>
                <w:lang w:val="fr-FR"/>
              </w:rPr>
            </w:pPr>
            <w:r w:rsidRPr="00260790">
              <w:rPr>
                <w:noProof/>
                <w:color w:val="000000" w:themeColor="text1"/>
              </w:rPr>
              <w:drawing>
                <wp:inline distT="0" distB="0" distL="0" distR="0" wp14:anchorId="6E11B01E" wp14:editId="7E184B2E">
                  <wp:extent cx="2576749" cy="1524000"/>
                  <wp:effectExtent l="0" t="0" r="1905" b="0"/>
                  <wp:docPr id="12299430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841054" name="Image 761841054"/>
                          <pic:cNvPicPr/>
                        </pic:nvPicPr>
                        <pic:blipFill>
                          <a:blip r:embed="rId99" cstate="email">
                            <a:extLst>
                              <a:ext uri="{28A0092B-C50C-407E-A947-70E740481C1C}">
                                <a14:useLocalDpi xmlns:a14="http://schemas.microsoft.com/office/drawing/2010/main"/>
                              </a:ext>
                            </a:extLst>
                          </a:blip>
                          <a:stretch>
                            <a:fillRect/>
                          </a:stretch>
                        </pic:blipFill>
                        <pic:spPr>
                          <a:xfrm>
                            <a:off x="0" y="0"/>
                            <a:ext cx="2586582" cy="1529816"/>
                          </a:xfrm>
                          <a:prstGeom prst="rect">
                            <a:avLst/>
                          </a:prstGeom>
                        </pic:spPr>
                      </pic:pic>
                    </a:graphicData>
                  </a:graphic>
                </wp:inline>
              </w:drawing>
            </w:r>
          </w:p>
          <w:p w14:paraId="125F6694" w14:textId="5ABC83A9" w:rsidR="005D2672" w:rsidRPr="00260790" w:rsidRDefault="005D2672" w:rsidP="00E20250">
            <w:pPr>
              <w:pStyle w:val="Corpsdetexte2"/>
              <w:spacing w:line="240" w:lineRule="auto"/>
              <w:rPr>
                <w:color w:val="000000" w:themeColor="text1"/>
                <w:sz w:val="22"/>
                <w:szCs w:val="22"/>
                <w:lang w:val="fr-FR"/>
              </w:rPr>
            </w:pPr>
            <w:r w:rsidRPr="00260790">
              <w:rPr>
                <w:noProof/>
                <w:color w:val="000000" w:themeColor="text1"/>
                <w:sz w:val="22"/>
                <w:szCs w:val="22"/>
                <w:lang w:val="fr-FR" w:eastAsia="fr-FR"/>
              </w:rPr>
              <w:t>Fosse septique d</w:t>
            </w:r>
            <w:r w:rsidR="003C3804" w:rsidRPr="00260790">
              <w:rPr>
                <w:noProof/>
                <w:color w:val="000000" w:themeColor="text1"/>
                <w:sz w:val="22"/>
                <w:szCs w:val="22"/>
                <w:lang w:val="fr-FR" w:eastAsia="fr-FR"/>
              </w:rPr>
              <w:t>é</w:t>
            </w:r>
            <w:r w:rsidRPr="00260790">
              <w:rPr>
                <w:noProof/>
                <w:color w:val="000000" w:themeColor="text1"/>
                <w:sz w:val="22"/>
                <w:szCs w:val="22"/>
                <w:lang w:val="fr-FR" w:eastAsia="fr-FR"/>
              </w:rPr>
              <w:t>versant dans le marigot</w:t>
            </w:r>
          </w:p>
        </w:tc>
        <w:tc>
          <w:tcPr>
            <w:tcW w:w="4316" w:type="dxa"/>
          </w:tcPr>
          <w:p w14:paraId="5D0CB75E" w14:textId="222F0D4B" w:rsidR="00FC732A" w:rsidRPr="00260790" w:rsidRDefault="00FC732A" w:rsidP="00E20250">
            <w:pPr>
              <w:pStyle w:val="Corpsdetexte2"/>
              <w:spacing w:line="240" w:lineRule="auto"/>
              <w:rPr>
                <w:noProof/>
                <w:color w:val="000000" w:themeColor="text1"/>
                <w:sz w:val="22"/>
                <w:szCs w:val="22"/>
                <w:lang w:val="fr-FR" w:eastAsia="fr-FR"/>
              </w:rPr>
            </w:pPr>
            <w:r w:rsidRPr="00260790">
              <w:rPr>
                <w:noProof/>
                <w:color w:val="000000" w:themeColor="text1"/>
              </w:rPr>
              <w:drawing>
                <wp:inline distT="0" distB="0" distL="0" distR="0" wp14:anchorId="3848D47E" wp14:editId="488DAC50">
                  <wp:extent cx="2587625" cy="1524000"/>
                  <wp:effectExtent l="0" t="0" r="3175" b="0"/>
                  <wp:docPr id="951668773"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0" cstate="email">
                            <a:extLst>
                              <a:ext uri="{28A0092B-C50C-407E-A947-70E740481C1C}">
                                <a14:useLocalDpi xmlns:a14="http://schemas.microsoft.com/office/drawing/2010/main"/>
                              </a:ext>
                            </a:extLst>
                          </a:blip>
                          <a:srcRect/>
                          <a:stretch>
                            <a:fillRect/>
                          </a:stretch>
                        </pic:blipFill>
                        <pic:spPr bwMode="auto">
                          <a:xfrm>
                            <a:off x="0" y="0"/>
                            <a:ext cx="2651935" cy="1561876"/>
                          </a:xfrm>
                          <a:prstGeom prst="rect">
                            <a:avLst/>
                          </a:prstGeom>
                          <a:noFill/>
                          <a:ln>
                            <a:noFill/>
                          </a:ln>
                        </pic:spPr>
                      </pic:pic>
                    </a:graphicData>
                  </a:graphic>
                </wp:inline>
              </w:drawing>
            </w:r>
          </w:p>
          <w:p w14:paraId="70EEF6E2" w14:textId="5865B0C9" w:rsidR="007C4A08" w:rsidRPr="00260790" w:rsidRDefault="007C4A08" w:rsidP="00E20250">
            <w:pPr>
              <w:keepNext/>
              <w:spacing w:line="240" w:lineRule="auto"/>
              <w:rPr>
                <w:rFonts w:ascii="Times New Roman" w:hAnsi="Times New Roman"/>
                <w:color w:val="000000" w:themeColor="text1"/>
                <w:sz w:val="22"/>
                <w:szCs w:val="22"/>
                <w:lang w:val="fr-FR"/>
              </w:rPr>
            </w:pPr>
            <w:r w:rsidRPr="00260790">
              <w:rPr>
                <w:rFonts w:ascii="Times New Roman" w:hAnsi="Times New Roman"/>
                <w:noProof/>
                <w:color w:val="000000" w:themeColor="text1"/>
                <w:sz w:val="22"/>
                <w:szCs w:val="22"/>
                <w:lang w:val="fr-FR" w:eastAsia="fr-FR"/>
              </w:rPr>
              <w:t>Vue de l’</w:t>
            </w:r>
            <w:r w:rsidRPr="00260790">
              <w:rPr>
                <w:rFonts w:ascii="Times New Roman" w:hAnsi="Times New Roman"/>
                <w:color w:val="000000" w:themeColor="text1"/>
                <w:sz w:val="22"/>
                <w:szCs w:val="22"/>
                <w:lang w:val="fr-FR"/>
              </w:rPr>
              <w:t>e</w:t>
            </w:r>
            <w:r w:rsidR="00FC732A" w:rsidRPr="00260790">
              <w:rPr>
                <w:rFonts w:ascii="Times New Roman" w:hAnsi="Times New Roman"/>
                <w:color w:val="000000" w:themeColor="text1"/>
                <w:sz w:val="22"/>
                <w:szCs w:val="22"/>
                <w:lang w:val="fr-FR"/>
              </w:rPr>
              <w:t>xutoir</w:t>
            </w:r>
            <w:r w:rsidRPr="00260790">
              <w:rPr>
                <w:rFonts w:ascii="Times New Roman" w:hAnsi="Times New Roman"/>
                <w:color w:val="000000" w:themeColor="text1"/>
                <w:sz w:val="22"/>
                <w:szCs w:val="22"/>
                <w:lang w:val="fr-FR"/>
              </w:rPr>
              <w:t>e du marigot de Mbao</w:t>
            </w:r>
          </w:p>
        </w:tc>
      </w:tr>
    </w:tbl>
    <w:p w14:paraId="66E04C3A" w14:textId="7D47FEE7" w:rsidR="00545757" w:rsidRPr="00260790" w:rsidRDefault="003144FA" w:rsidP="00E20250">
      <w:pPr>
        <w:pStyle w:val="Lgende"/>
        <w:spacing w:after="0" w:line="240" w:lineRule="auto"/>
        <w:jc w:val="center"/>
        <w:rPr>
          <w:color w:val="000000" w:themeColor="text1"/>
          <w:sz w:val="22"/>
          <w:szCs w:val="22"/>
        </w:rPr>
      </w:pPr>
      <w:bookmarkStart w:id="416" w:name="_Toc212725275"/>
      <w:r w:rsidRPr="00260790">
        <w:rPr>
          <w:color w:val="000000" w:themeColor="text1"/>
          <w:sz w:val="22"/>
          <w:szCs w:val="22"/>
        </w:rPr>
        <w:t xml:space="preserve">Photo </w:t>
      </w:r>
      <w:r w:rsidRPr="00260790">
        <w:rPr>
          <w:color w:val="000000" w:themeColor="text1"/>
          <w:sz w:val="22"/>
          <w:szCs w:val="22"/>
        </w:rPr>
        <w:fldChar w:fldCharType="begin"/>
      </w:r>
      <w:r w:rsidRPr="00260790">
        <w:rPr>
          <w:color w:val="000000" w:themeColor="text1"/>
          <w:sz w:val="22"/>
          <w:szCs w:val="22"/>
        </w:rPr>
        <w:instrText xml:space="preserve"> SEQ Photo \* ARABIC </w:instrText>
      </w:r>
      <w:r w:rsidRPr="00260790">
        <w:rPr>
          <w:color w:val="000000" w:themeColor="text1"/>
          <w:sz w:val="22"/>
          <w:szCs w:val="22"/>
        </w:rPr>
        <w:fldChar w:fldCharType="separate"/>
      </w:r>
      <w:r w:rsidR="00943B38" w:rsidRPr="00260790">
        <w:rPr>
          <w:noProof/>
          <w:color w:val="000000" w:themeColor="text1"/>
          <w:sz w:val="22"/>
          <w:szCs w:val="22"/>
        </w:rPr>
        <w:t>76</w:t>
      </w:r>
      <w:r w:rsidRPr="00260790">
        <w:rPr>
          <w:noProof/>
          <w:color w:val="000000" w:themeColor="text1"/>
          <w:sz w:val="22"/>
          <w:szCs w:val="22"/>
        </w:rPr>
        <w:fldChar w:fldCharType="end"/>
      </w:r>
      <w:r w:rsidRPr="00260790">
        <w:rPr>
          <w:color w:val="000000" w:themeColor="text1"/>
          <w:sz w:val="22"/>
          <w:szCs w:val="22"/>
        </w:rPr>
        <w:t> : vue des formes d’occupations des emprises du marigot de Mbao</w:t>
      </w:r>
      <w:bookmarkEnd w:id="416"/>
    </w:p>
    <w:p w14:paraId="28A8F0F1" w14:textId="7D823524" w:rsidR="005D2672" w:rsidRPr="00260790" w:rsidRDefault="003144FA" w:rsidP="00E20250">
      <w:pPr>
        <w:pStyle w:val="Lgende"/>
        <w:spacing w:line="240" w:lineRule="auto"/>
        <w:jc w:val="center"/>
        <w:rPr>
          <w:color w:val="000000" w:themeColor="text1"/>
          <w:sz w:val="22"/>
          <w:szCs w:val="22"/>
        </w:rPr>
      </w:pPr>
      <w:r w:rsidRPr="00260790">
        <w:rPr>
          <w:color w:val="000000" w:themeColor="text1"/>
          <w:sz w:val="22"/>
          <w:szCs w:val="22"/>
        </w:rPr>
        <w:t>(</w:t>
      </w:r>
      <w:r w:rsidR="00545757" w:rsidRPr="00260790">
        <w:rPr>
          <w:color w:val="000000" w:themeColor="text1"/>
          <w:sz w:val="22"/>
          <w:szCs w:val="22"/>
        </w:rPr>
        <w:t>Source</w:t>
      </w:r>
      <w:r w:rsidRPr="00260790">
        <w:rPr>
          <w:color w:val="000000" w:themeColor="text1"/>
          <w:sz w:val="22"/>
          <w:szCs w:val="22"/>
        </w:rPr>
        <w:t xml:space="preserve"> : </w:t>
      </w:r>
      <w:r w:rsidR="00545757" w:rsidRPr="00260790">
        <w:rPr>
          <w:color w:val="000000" w:themeColor="text1"/>
          <w:sz w:val="22"/>
          <w:szCs w:val="22"/>
        </w:rPr>
        <w:t>Consultant -</w:t>
      </w:r>
      <w:r w:rsidR="0028402C" w:rsidRPr="00260790">
        <w:rPr>
          <w:color w:val="000000" w:themeColor="text1"/>
          <w:sz w:val="22"/>
          <w:szCs w:val="22"/>
        </w:rPr>
        <w:t xml:space="preserve"> </w:t>
      </w:r>
      <w:r w:rsidR="00F523F1" w:rsidRPr="00260790">
        <w:rPr>
          <w:color w:val="000000" w:themeColor="text1"/>
          <w:sz w:val="22"/>
          <w:szCs w:val="22"/>
        </w:rPr>
        <w:t>j</w:t>
      </w:r>
      <w:r w:rsidR="0028402C" w:rsidRPr="00260790">
        <w:rPr>
          <w:color w:val="000000" w:themeColor="text1"/>
          <w:sz w:val="22"/>
          <w:szCs w:val="22"/>
        </w:rPr>
        <w:t>anvier 2025)</w:t>
      </w:r>
    </w:p>
    <w:p w14:paraId="2094BF72" w14:textId="77777777" w:rsidR="00CF43AD" w:rsidRPr="00CF43AD" w:rsidRDefault="00CF43AD" w:rsidP="0097258B">
      <w:pPr>
        <w:pStyle w:val="Titre1"/>
        <w:numPr>
          <w:ilvl w:val="0"/>
          <w:numId w:val="0"/>
        </w:numPr>
        <w:ind w:left="360"/>
        <w:sectPr w:rsidR="00CF43AD" w:rsidRPr="00CF43AD" w:rsidSect="007903CC">
          <w:pgSz w:w="11906" w:h="16838"/>
          <w:pgMar w:top="1418" w:right="1418" w:bottom="1418" w:left="1418" w:header="709" w:footer="454" w:gutter="0"/>
          <w:cols w:space="720"/>
          <w:docGrid w:linePitch="326"/>
        </w:sectPr>
      </w:pPr>
    </w:p>
    <w:p w14:paraId="1B793FA5" w14:textId="2AFE5223" w:rsidR="005E6EB7" w:rsidRPr="005E6EB7" w:rsidRDefault="005E6EB7" w:rsidP="00812AB4">
      <w:pPr>
        <w:pStyle w:val="Normaltableau0"/>
        <w:jc w:val="both"/>
        <w:rPr>
          <w:rFonts w:ascii="Times New Roman" w:eastAsia="Calibri" w:hAnsi="Times New Roman"/>
          <w:sz w:val="22"/>
          <w:szCs w:val="22"/>
          <w:lang w:val="fr-SN" w:eastAsia="en-US"/>
          <w14:ligatures w14:val="none"/>
        </w:rPr>
      </w:pPr>
      <w:r>
        <w:rPr>
          <w:rFonts w:ascii="Times New Roman" w:eastAsia="Calibri" w:hAnsi="Times New Roman"/>
          <w:sz w:val="22"/>
          <w:szCs w:val="22"/>
          <w:lang w:val="fr-SN" w:eastAsia="en-US"/>
          <w14:ligatures w14:val="none"/>
        </w:rPr>
        <w:lastRenderedPageBreak/>
        <w:t>Sur l’é</w:t>
      </w:r>
      <w:r w:rsidRPr="005E6EB7">
        <w:rPr>
          <w:rFonts w:ascii="Times New Roman" w:eastAsia="Calibri" w:hAnsi="Times New Roman"/>
          <w:sz w:val="22"/>
          <w:szCs w:val="22"/>
          <w:lang w:val="fr-SN" w:eastAsia="en-US"/>
          <w14:ligatures w14:val="none"/>
        </w:rPr>
        <w:t>volution de la qualité de l’eau dans les bassins de la forêt de Mbao (2022–2025)</w:t>
      </w:r>
      <w:r>
        <w:rPr>
          <w:rFonts w:ascii="Times New Roman" w:eastAsia="Calibri" w:hAnsi="Times New Roman"/>
          <w:sz w:val="22"/>
          <w:szCs w:val="22"/>
          <w:lang w:val="fr-SN" w:eastAsia="en-US"/>
          <w14:ligatures w14:val="none"/>
        </w:rPr>
        <w:t>, l</w:t>
      </w:r>
      <w:r w:rsidRPr="005E6EB7">
        <w:rPr>
          <w:rFonts w:ascii="Times New Roman" w:eastAsia="Calibri" w:hAnsi="Times New Roman"/>
          <w:sz w:val="22"/>
          <w:szCs w:val="22"/>
          <w:lang w:val="fr-SN" w:eastAsia="en-US"/>
          <w14:ligatures w14:val="none"/>
        </w:rPr>
        <w:t>’analyse comparative entre les quatre campagnes de mesure de la qualité de l’eau réalisées entre février 2022 et juillet 2024, et la dernière campagne de juin 2025, révèle une évolution contrastée dans les bassins de la forêt classée de Mbao.</w:t>
      </w:r>
    </w:p>
    <w:p w14:paraId="158B501F" w14:textId="77777777" w:rsidR="005E6EB7" w:rsidRPr="005E6EB7" w:rsidRDefault="005E6EB7" w:rsidP="00812AB4">
      <w:pPr>
        <w:pStyle w:val="Normaltableau0"/>
        <w:rPr>
          <w:rFonts w:ascii="Times New Roman" w:eastAsia="Calibri" w:hAnsi="Times New Roman"/>
          <w:sz w:val="22"/>
          <w:szCs w:val="22"/>
          <w:lang w:val="fr-SN" w:eastAsia="en-US"/>
          <w14:ligatures w14:val="none"/>
        </w:rPr>
      </w:pPr>
    </w:p>
    <w:p w14:paraId="1C8D6B10" w14:textId="77777777" w:rsidR="005E6EB7" w:rsidRPr="0097258B" w:rsidRDefault="005E6EB7" w:rsidP="00812AB4">
      <w:pPr>
        <w:pStyle w:val="Normaltableau0"/>
        <w:rPr>
          <w:rFonts w:ascii="Times New Roman" w:eastAsia="Calibri" w:hAnsi="Times New Roman"/>
          <w:b/>
          <w:bCs/>
          <w:sz w:val="22"/>
          <w:szCs w:val="22"/>
          <w:lang w:val="fr-SN" w:eastAsia="en-US"/>
          <w14:ligatures w14:val="none"/>
        </w:rPr>
      </w:pPr>
      <w:r w:rsidRPr="0097258B">
        <w:rPr>
          <w:rFonts w:ascii="Times New Roman" w:eastAsia="Calibri" w:hAnsi="Times New Roman"/>
          <w:b/>
          <w:bCs/>
          <w:sz w:val="22"/>
          <w:szCs w:val="22"/>
          <w:lang w:val="fr-SN" w:eastAsia="en-US"/>
          <w14:ligatures w14:val="none"/>
        </w:rPr>
        <w:t>Paramètres physico-chimiques</w:t>
      </w:r>
    </w:p>
    <w:p w14:paraId="78510852" w14:textId="77777777" w:rsidR="005E6EB7" w:rsidRPr="005E6EB7" w:rsidRDefault="005E6EB7" w:rsidP="00812AB4">
      <w:pPr>
        <w:pStyle w:val="Normaltableau0"/>
        <w:numPr>
          <w:ilvl w:val="0"/>
          <w:numId w:val="383"/>
        </w:numPr>
        <w:jc w:val="both"/>
        <w:rPr>
          <w:rFonts w:ascii="Times New Roman" w:eastAsia="Calibri" w:hAnsi="Times New Roman"/>
          <w:sz w:val="22"/>
          <w:szCs w:val="22"/>
          <w:lang w:val="fr-SN" w:eastAsia="en-US"/>
          <w14:ligatures w14:val="none"/>
        </w:rPr>
      </w:pPr>
      <w:r w:rsidRPr="005E6EB7">
        <w:rPr>
          <w:rFonts w:ascii="Times New Roman" w:eastAsia="Calibri" w:hAnsi="Times New Roman"/>
          <w:sz w:val="22"/>
          <w:szCs w:val="22"/>
          <w:lang w:val="fr-SN" w:eastAsia="en-US"/>
          <w14:ligatures w14:val="none"/>
        </w:rPr>
        <w:t>pH : Stable et conforme aux normes (5,5–9,5), avec des valeurs comprises entre 7,2 et 8,1 sur l’ensemble des campagnes (100 % de conformité).</w:t>
      </w:r>
    </w:p>
    <w:p w14:paraId="57B924E1" w14:textId="77777777" w:rsidR="005E6EB7" w:rsidRPr="005E6EB7" w:rsidRDefault="005E6EB7" w:rsidP="00812AB4">
      <w:pPr>
        <w:pStyle w:val="Normaltableau0"/>
        <w:numPr>
          <w:ilvl w:val="0"/>
          <w:numId w:val="383"/>
        </w:numPr>
        <w:jc w:val="both"/>
        <w:rPr>
          <w:rFonts w:ascii="Times New Roman" w:eastAsia="Calibri" w:hAnsi="Times New Roman"/>
          <w:sz w:val="22"/>
          <w:szCs w:val="22"/>
          <w:lang w:val="fr-SN" w:eastAsia="en-US"/>
          <w14:ligatures w14:val="none"/>
        </w:rPr>
      </w:pPr>
      <w:r w:rsidRPr="005E6EB7">
        <w:rPr>
          <w:rFonts w:ascii="Times New Roman" w:eastAsia="Calibri" w:hAnsi="Times New Roman"/>
          <w:sz w:val="22"/>
          <w:szCs w:val="22"/>
          <w:lang w:val="fr-SN" w:eastAsia="en-US"/>
          <w14:ligatures w14:val="none"/>
        </w:rPr>
        <w:t>Conductivité : Non conforme sur toutes les campagnes, avec des valeurs très élevées (1 570 à 10 220 µS/cm), bien au-delà du seuil réglementaire (50–1 500 µS/cm). La campagne de juin 2025 confirme cette tendance (1 926 à 4 914 µS/cm).</w:t>
      </w:r>
    </w:p>
    <w:p w14:paraId="74C8A593" w14:textId="77777777" w:rsidR="005E6EB7" w:rsidRPr="005E6EB7" w:rsidRDefault="005E6EB7" w:rsidP="00812AB4">
      <w:pPr>
        <w:pStyle w:val="Normaltableau0"/>
        <w:numPr>
          <w:ilvl w:val="0"/>
          <w:numId w:val="383"/>
        </w:numPr>
        <w:jc w:val="both"/>
        <w:rPr>
          <w:rFonts w:ascii="Times New Roman" w:eastAsia="Calibri" w:hAnsi="Times New Roman"/>
          <w:sz w:val="22"/>
          <w:szCs w:val="22"/>
          <w:lang w:val="fr-SN" w:eastAsia="en-US"/>
          <w14:ligatures w14:val="none"/>
        </w:rPr>
      </w:pPr>
      <w:r w:rsidRPr="005E6EB7">
        <w:rPr>
          <w:rFonts w:ascii="Times New Roman" w:eastAsia="Calibri" w:hAnsi="Times New Roman"/>
          <w:sz w:val="22"/>
          <w:szCs w:val="22"/>
          <w:lang w:val="fr-SN" w:eastAsia="en-US"/>
          <w14:ligatures w14:val="none"/>
        </w:rPr>
        <w:t>MES (Matières en suspension) : Conformité partielle entre 2022 et 2024 (25–63 mg/L), mais forte dégradation en 2025 (22 à 168 mg/L), entraînant une non-conformité totale (0 %).</w:t>
      </w:r>
    </w:p>
    <w:p w14:paraId="5084F070" w14:textId="77777777" w:rsidR="005E6EB7" w:rsidRPr="005E6EB7" w:rsidRDefault="005E6EB7" w:rsidP="00812AB4">
      <w:pPr>
        <w:pStyle w:val="Normaltableau0"/>
        <w:numPr>
          <w:ilvl w:val="0"/>
          <w:numId w:val="383"/>
        </w:numPr>
        <w:jc w:val="both"/>
        <w:rPr>
          <w:rFonts w:ascii="Times New Roman" w:eastAsia="Calibri" w:hAnsi="Times New Roman"/>
          <w:sz w:val="22"/>
          <w:szCs w:val="22"/>
          <w:lang w:val="fr-SN" w:eastAsia="en-US"/>
          <w14:ligatures w14:val="none"/>
        </w:rPr>
      </w:pPr>
      <w:r w:rsidRPr="005E6EB7">
        <w:rPr>
          <w:rFonts w:ascii="Times New Roman" w:eastAsia="Calibri" w:hAnsi="Times New Roman"/>
          <w:sz w:val="22"/>
          <w:szCs w:val="22"/>
          <w:lang w:val="fr-SN" w:eastAsia="en-US"/>
          <w14:ligatures w14:val="none"/>
        </w:rPr>
        <w:t>Phosphore total : Généralement conforme (&lt;10 mg/L), avec des valeurs de 2,9 à 7,6 mg/L en 2025, sauf un dépassement ponctuel à Mbao P2 (14,5 mg/L).</w:t>
      </w:r>
    </w:p>
    <w:p w14:paraId="1708D214" w14:textId="77777777" w:rsidR="005E6EB7" w:rsidRPr="005E6EB7" w:rsidRDefault="005E6EB7" w:rsidP="00812AB4">
      <w:pPr>
        <w:pStyle w:val="Normaltableau0"/>
        <w:numPr>
          <w:ilvl w:val="0"/>
          <w:numId w:val="383"/>
        </w:numPr>
        <w:jc w:val="both"/>
        <w:rPr>
          <w:rFonts w:ascii="Times New Roman" w:eastAsia="Calibri" w:hAnsi="Times New Roman"/>
          <w:sz w:val="22"/>
          <w:szCs w:val="22"/>
          <w:lang w:val="fr-SN" w:eastAsia="en-US"/>
          <w14:ligatures w14:val="none"/>
        </w:rPr>
      </w:pPr>
      <w:r w:rsidRPr="005E6EB7">
        <w:rPr>
          <w:rFonts w:ascii="Times New Roman" w:eastAsia="Calibri" w:hAnsi="Times New Roman"/>
          <w:sz w:val="22"/>
          <w:szCs w:val="22"/>
          <w:lang w:val="fr-SN" w:eastAsia="en-US"/>
          <w14:ligatures w14:val="none"/>
        </w:rPr>
        <w:t>Azote total : Conforme dans les campagnes précédentes (&lt;30 mg/L), mais en 2025, une variabilité importante est observée (0,7 à 32 mg/L), avec un dépassement léger sur un site.</w:t>
      </w:r>
    </w:p>
    <w:p w14:paraId="4870177E" w14:textId="77777777" w:rsidR="005E6EB7" w:rsidRPr="005E6EB7" w:rsidRDefault="005E6EB7" w:rsidP="00812AB4">
      <w:pPr>
        <w:pStyle w:val="Normaltableau0"/>
        <w:numPr>
          <w:ilvl w:val="0"/>
          <w:numId w:val="383"/>
        </w:numPr>
        <w:jc w:val="both"/>
        <w:rPr>
          <w:rFonts w:ascii="Times New Roman" w:eastAsia="Calibri" w:hAnsi="Times New Roman"/>
          <w:sz w:val="22"/>
          <w:szCs w:val="22"/>
          <w:lang w:val="fr-SN" w:eastAsia="en-US"/>
          <w14:ligatures w14:val="none"/>
        </w:rPr>
      </w:pPr>
      <w:r w:rsidRPr="005E6EB7">
        <w:rPr>
          <w:rFonts w:ascii="Times New Roman" w:eastAsia="Calibri" w:hAnsi="Times New Roman"/>
          <w:sz w:val="22"/>
          <w:szCs w:val="22"/>
          <w:lang w:val="fr-SN" w:eastAsia="en-US"/>
          <w14:ligatures w14:val="none"/>
        </w:rPr>
        <w:t>DCO (Demande chimique en oxygène) : Critique et non conforme depuis 2022 (65 à 2 300 mg/L), confirmée en 2025 (91 à 1 353 mg/L).</w:t>
      </w:r>
    </w:p>
    <w:p w14:paraId="0F420887" w14:textId="77777777" w:rsidR="005E6EB7" w:rsidRPr="005E6EB7" w:rsidRDefault="005E6EB7" w:rsidP="00812AB4">
      <w:pPr>
        <w:pStyle w:val="Normaltableau0"/>
        <w:numPr>
          <w:ilvl w:val="0"/>
          <w:numId w:val="383"/>
        </w:numPr>
        <w:jc w:val="both"/>
        <w:rPr>
          <w:rFonts w:ascii="Times New Roman" w:eastAsia="Calibri" w:hAnsi="Times New Roman"/>
          <w:sz w:val="22"/>
          <w:szCs w:val="22"/>
          <w:lang w:val="fr-SN" w:eastAsia="en-US"/>
          <w14:ligatures w14:val="none"/>
        </w:rPr>
      </w:pPr>
      <w:r w:rsidRPr="005E6EB7">
        <w:rPr>
          <w:rFonts w:ascii="Times New Roman" w:eastAsia="Calibri" w:hAnsi="Times New Roman"/>
          <w:sz w:val="22"/>
          <w:szCs w:val="22"/>
          <w:lang w:val="fr-SN" w:eastAsia="en-US"/>
          <w14:ligatures w14:val="none"/>
        </w:rPr>
        <w:t>DBO5 (Demande biologique en oxygène sur 5 jours) : Majoritairement conforme (seuil : 50 mg/L), avec un seul dépassement ponctuel en 2025 (87,5 % de conformité).</w:t>
      </w:r>
    </w:p>
    <w:p w14:paraId="4CE59151" w14:textId="77777777" w:rsidR="00014522" w:rsidRDefault="00014522" w:rsidP="00812AB4">
      <w:pPr>
        <w:pStyle w:val="Normaltableau0"/>
        <w:rPr>
          <w:rFonts w:ascii="Times New Roman" w:eastAsia="Calibri" w:hAnsi="Times New Roman"/>
          <w:sz w:val="22"/>
          <w:szCs w:val="22"/>
          <w:lang w:val="fr-SN" w:eastAsia="en-US"/>
          <w14:ligatures w14:val="none"/>
        </w:rPr>
      </w:pPr>
    </w:p>
    <w:p w14:paraId="734DEF04" w14:textId="23569D84" w:rsidR="005E6EB7" w:rsidRPr="0097258B" w:rsidRDefault="005E6EB7" w:rsidP="00812AB4">
      <w:pPr>
        <w:pStyle w:val="Normaltableau0"/>
        <w:rPr>
          <w:rFonts w:ascii="Times New Roman" w:eastAsia="Calibri" w:hAnsi="Times New Roman"/>
          <w:b/>
          <w:bCs/>
          <w:sz w:val="22"/>
          <w:szCs w:val="22"/>
          <w:lang w:val="fr-SN" w:eastAsia="en-US"/>
          <w14:ligatures w14:val="none"/>
        </w:rPr>
      </w:pPr>
      <w:r w:rsidRPr="0097258B">
        <w:rPr>
          <w:rFonts w:ascii="Times New Roman" w:eastAsia="Calibri" w:hAnsi="Times New Roman"/>
          <w:b/>
          <w:bCs/>
          <w:sz w:val="22"/>
          <w:szCs w:val="22"/>
          <w:lang w:val="fr-SN" w:eastAsia="en-US"/>
          <w14:ligatures w14:val="none"/>
        </w:rPr>
        <w:t>Paramètres microbiologiques</w:t>
      </w:r>
    </w:p>
    <w:p w14:paraId="577E6E9F" w14:textId="1B321FB7" w:rsidR="005E6EB7" w:rsidRPr="005E6EB7" w:rsidRDefault="005E6EB7" w:rsidP="0095190F">
      <w:pPr>
        <w:pStyle w:val="Normaltableau0"/>
        <w:jc w:val="both"/>
        <w:rPr>
          <w:rFonts w:ascii="Times New Roman" w:eastAsia="Calibri" w:hAnsi="Times New Roman"/>
          <w:sz w:val="22"/>
          <w:szCs w:val="22"/>
          <w:lang w:val="fr-SN" w:eastAsia="en-US"/>
          <w14:ligatures w14:val="none"/>
        </w:rPr>
      </w:pPr>
      <w:r w:rsidRPr="005E6EB7">
        <w:rPr>
          <w:rFonts w:ascii="Times New Roman" w:eastAsia="Calibri" w:hAnsi="Times New Roman"/>
          <w:sz w:val="22"/>
          <w:szCs w:val="22"/>
          <w:lang w:val="fr-SN" w:eastAsia="en-US"/>
          <w14:ligatures w14:val="none"/>
        </w:rPr>
        <w:t>Les résultats indiquent une contamination chronique :</w:t>
      </w:r>
    </w:p>
    <w:p w14:paraId="2866A660" w14:textId="77777777" w:rsidR="005E6EB7" w:rsidRPr="005E6EB7" w:rsidRDefault="005E6EB7" w:rsidP="0095190F">
      <w:pPr>
        <w:pStyle w:val="Normaltableau0"/>
        <w:numPr>
          <w:ilvl w:val="0"/>
          <w:numId w:val="383"/>
        </w:numPr>
        <w:jc w:val="both"/>
        <w:rPr>
          <w:rFonts w:ascii="Times New Roman" w:eastAsia="Calibri" w:hAnsi="Times New Roman"/>
          <w:sz w:val="22"/>
          <w:szCs w:val="22"/>
          <w:lang w:val="fr-SN" w:eastAsia="en-US"/>
          <w14:ligatures w14:val="none"/>
        </w:rPr>
      </w:pPr>
      <w:r w:rsidRPr="005E6EB7">
        <w:rPr>
          <w:rFonts w:ascii="Times New Roman" w:eastAsia="Calibri" w:hAnsi="Times New Roman"/>
          <w:sz w:val="22"/>
          <w:szCs w:val="22"/>
          <w:lang w:val="fr-SN" w:eastAsia="en-US"/>
          <w14:ligatures w14:val="none"/>
        </w:rPr>
        <w:t xml:space="preserve">E. coli : Très au-dessus du seuil réglementaire (2 000 UFC/100 </w:t>
      </w:r>
      <w:proofErr w:type="spellStart"/>
      <w:r w:rsidRPr="005E6EB7">
        <w:rPr>
          <w:rFonts w:ascii="Times New Roman" w:eastAsia="Calibri" w:hAnsi="Times New Roman"/>
          <w:sz w:val="22"/>
          <w:szCs w:val="22"/>
          <w:lang w:val="fr-SN" w:eastAsia="en-US"/>
          <w14:ligatures w14:val="none"/>
        </w:rPr>
        <w:t>mL</w:t>
      </w:r>
      <w:proofErr w:type="spellEnd"/>
      <w:r w:rsidRPr="005E6EB7">
        <w:rPr>
          <w:rFonts w:ascii="Times New Roman" w:eastAsia="Calibri" w:hAnsi="Times New Roman"/>
          <w:sz w:val="22"/>
          <w:szCs w:val="22"/>
          <w:lang w:val="fr-SN" w:eastAsia="en-US"/>
          <w14:ligatures w14:val="none"/>
        </w:rPr>
        <w:t xml:space="preserve">), avec des pics atteignant 133 000 UFC/100 </w:t>
      </w:r>
      <w:proofErr w:type="spellStart"/>
      <w:r w:rsidRPr="005E6EB7">
        <w:rPr>
          <w:rFonts w:ascii="Times New Roman" w:eastAsia="Calibri" w:hAnsi="Times New Roman"/>
          <w:sz w:val="22"/>
          <w:szCs w:val="22"/>
          <w:lang w:val="fr-SN" w:eastAsia="en-US"/>
          <w14:ligatures w14:val="none"/>
        </w:rPr>
        <w:t>mL</w:t>
      </w:r>
      <w:proofErr w:type="spellEnd"/>
      <w:r w:rsidRPr="005E6EB7">
        <w:rPr>
          <w:rFonts w:ascii="Times New Roman" w:eastAsia="Calibri" w:hAnsi="Times New Roman"/>
          <w:sz w:val="22"/>
          <w:szCs w:val="22"/>
          <w:lang w:val="fr-SN" w:eastAsia="en-US"/>
          <w14:ligatures w14:val="none"/>
        </w:rPr>
        <w:t xml:space="preserve"> en 2023 et en 2025 (0 % de conformité).</w:t>
      </w:r>
    </w:p>
    <w:p w14:paraId="050977D6" w14:textId="77777777" w:rsidR="005E6EB7" w:rsidRPr="005E6EB7" w:rsidRDefault="005E6EB7" w:rsidP="0095190F">
      <w:pPr>
        <w:pStyle w:val="Normaltableau0"/>
        <w:numPr>
          <w:ilvl w:val="0"/>
          <w:numId w:val="383"/>
        </w:numPr>
        <w:jc w:val="both"/>
        <w:rPr>
          <w:rFonts w:ascii="Times New Roman" w:eastAsia="Calibri" w:hAnsi="Times New Roman"/>
          <w:sz w:val="22"/>
          <w:szCs w:val="22"/>
          <w:lang w:val="fr-SN" w:eastAsia="en-US"/>
          <w14:ligatures w14:val="none"/>
        </w:rPr>
      </w:pPr>
      <w:r w:rsidRPr="005E6EB7">
        <w:rPr>
          <w:rFonts w:ascii="Times New Roman" w:eastAsia="Calibri" w:hAnsi="Times New Roman"/>
          <w:sz w:val="22"/>
          <w:szCs w:val="22"/>
          <w:lang w:val="fr-SN" w:eastAsia="en-US"/>
          <w14:ligatures w14:val="none"/>
        </w:rPr>
        <w:t xml:space="preserve">Streptocoques fécaux : Non conformes, avec des niveaux allant jusqu’à 130 000 UFC/100 </w:t>
      </w:r>
      <w:proofErr w:type="spellStart"/>
      <w:r w:rsidRPr="005E6EB7">
        <w:rPr>
          <w:rFonts w:ascii="Times New Roman" w:eastAsia="Calibri" w:hAnsi="Times New Roman"/>
          <w:sz w:val="22"/>
          <w:szCs w:val="22"/>
          <w:lang w:val="fr-SN" w:eastAsia="en-US"/>
          <w14:ligatures w14:val="none"/>
        </w:rPr>
        <w:t>mL</w:t>
      </w:r>
      <w:proofErr w:type="spellEnd"/>
      <w:r w:rsidRPr="005E6EB7">
        <w:rPr>
          <w:rFonts w:ascii="Times New Roman" w:eastAsia="Calibri" w:hAnsi="Times New Roman"/>
          <w:sz w:val="22"/>
          <w:szCs w:val="22"/>
          <w:lang w:val="fr-SN" w:eastAsia="en-US"/>
          <w14:ligatures w14:val="none"/>
        </w:rPr>
        <w:t>.</w:t>
      </w:r>
    </w:p>
    <w:p w14:paraId="574700BE" w14:textId="77777777" w:rsidR="005E6EB7" w:rsidRPr="005E6EB7" w:rsidRDefault="005E6EB7" w:rsidP="0095190F">
      <w:pPr>
        <w:pStyle w:val="Normaltableau0"/>
        <w:numPr>
          <w:ilvl w:val="0"/>
          <w:numId w:val="383"/>
        </w:numPr>
        <w:jc w:val="both"/>
        <w:rPr>
          <w:rFonts w:ascii="Times New Roman" w:eastAsia="Calibri" w:hAnsi="Times New Roman"/>
          <w:sz w:val="22"/>
          <w:szCs w:val="22"/>
          <w:lang w:val="fr-SN" w:eastAsia="en-US"/>
          <w14:ligatures w14:val="none"/>
        </w:rPr>
      </w:pPr>
      <w:r w:rsidRPr="005E6EB7">
        <w:rPr>
          <w:rFonts w:ascii="Times New Roman" w:eastAsia="Calibri" w:hAnsi="Times New Roman"/>
          <w:sz w:val="22"/>
          <w:szCs w:val="22"/>
          <w:lang w:val="fr-SN" w:eastAsia="en-US"/>
          <w14:ligatures w14:val="none"/>
        </w:rPr>
        <w:t>Vibrions cholériques et salmonelles : Présence récurrente confirmée en 2025, avec détection sur la majorité des points.</w:t>
      </w:r>
    </w:p>
    <w:p w14:paraId="63314DCD" w14:textId="77777777" w:rsidR="00014522" w:rsidRPr="00812AB4" w:rsidRDefault="00014522" w:rsidP="0095190F">
      <w:pPr>
        <w:pStyle w:val="Normaltableau0"/>
        <w:jc w:val="both"/>
        <w:rPr>
          <w:rFonts w:ascii="Times New Roman" w:eastAsia="Calibri" w:hAnsi="Times New Roman"/>
          <w:sz w:val="22"/>
          <w:szCs w:val="22"/>
          <w:lang w:val="fr-SN" w:eastAsia="en-US"/>
          <w14:ligatures w14:val="none"/>
        </w:rPr>
      </w:pPr>
    </w:p>
    <w:p w14:paraId="59F4551C" w14:textId="55B3C463" w:rsidR="005E6EB7" w:rsidRPr="0097258B" w:rsidRDefault="005E6EB7" w:rsidP="0095190F">
      <w:pPr>
        <w:pStyle w:val="Normaltableau0"/>
        <w:jc w:val="both"/>
        <w:rPr>
          <w:rFonts w:ascii="Times New Roman" w:eastAsia="Calibri" w:hAnsi="Times New Roman"/>
          <w:b/>
          <w:bCs/>
          <w:sz w:val="22"/>
          <w:szCs w:val="22"/>
          <w:lang w:val="fr-SN" w:eastAsia="en-US"/>
          <w14:ligatures w14:val="none"/>
        </w:rPr>
      </w:pPr>
      <w:r w:rsidRPr="0097258B">
        <w:rPr>
          <w:rFonts w:ascii="Times New Roman" w:eastAsia="Calibri" w:hAnsi="Times New Roman"/>
          <w:b/>
          <w:bCs/>
          <w:sz w:val="22"/>
          <w:szCs w:val="22"/>
          <w:lang w:val="fr-SN" w:eastAsia="en-US"/>
          <w14:ligatures w14:val="none"/>
        </w:rPr>
        <w:t>Origine de la pollution</w:t>
      </w:r>
    </w:p>
    <w:p w14:paraId="0D71F615" w14:textId="77777777" w:rsidR="005E6EB7" w:rsidRPr="005E6EB7" w:rsidRDefault="005E6EB7" w:rsidP="0095190F">
      <w:pPr>
        <w:pStyle w:val="Normaltableau0"/>
        <w:spacing w:before="0" w:after="0"/>
        <w:jc w:val="both"/>
        <w:rPr>
          <w:rFonts w:ascii="Times New Roman" w:eastAsia="Calibri" w:hAnsi="Times New Roman"/>
          <w:sz w:val="22"/>
          <w:szCs w:val="22"/>
          <w:lang w:val="fr-SN" w:eastAsia="en-US"/>
          <w14:ligatures w14:val="none"/>
        </w:rPr>
      </w:pPr>
      <w:r w:rsidRPr="005E6EB7">
        <w:rPr>
          <w:rFonts w:ascii="Times New Roman" w:eastAsia="Calibri" w:hAnsi="Times New Roman"/>
          <w:sz w:val="22"/>
          <w:szCs w:val="22"/>
          <w:lang w:val="fr-SN" w:eastAsia="en-US"/>
          <w14:ligatures w14:val="none"/>
        </w:rPr>
        <w:t>La dégradation de la qualité de l’eau est principalement liée au piratage du réseau de drainage des eaux pluviales par des branchements clandestins d’eaux usées, ainsi qu’au rejet direct de fosses septiques et de déchets solides sur les berges du marigot de Mbao.</w:t>
      </w:r>
    </w:p>
    <w:p w14:paraId="67FA2E1C" w14:textId="77777777" w:rsidR="005E6EB7" w:rsidRPr="005E6EB7" w:rsidRDefault="005E6EB7" w:rsidP="0095190F">
      <w:pPr>
        <w:pStyle w:val="Normaltableau0"/>
        <w:spacing w:before="0" w:after="0"/>
        <w:jc w:val="both"/>
        <w:rPr>
          <w:rFonts w:ascii="Times New Roman" w:eastAsia="Calibri" w:hAnsi="Times New Roman"/>
          <w:sz w:val="22"/>
          <w:szCs w:val="22"/>
          <w:lang w:val="fr-SN" w:eastAsia="en-US"/>
          <w14:ligatures w14:val="none"/>
        </w:rPr>
      </w:pPr>
    </w:p>
    <w:p w14:paraId="03C7E801" w14:textId="77777777" w:rsidR="005E6EB7" w:rsidRPr="0097258B" w:rsidRDefault="005E6EB7" w:rsidP="0095190F">
      <w:pPr>
        <w:pStyle w:val="Normaltableau0"/>
        <w:jc w:val="both"/>
        <w:rPr>
          <w:rFonts w:ascii="Times New Roman" w:eastAsia="Calibri" w:hAnsi="Times New Roman"/>
          <w:b/>
          <w:bCs/>
          <w:sz w:val="22"/>
          <w:szCs w:val="22"/>
          <w:lang w:val="fr-SN" w:eastAsia="en-US"/>
          <w14:ligatures w14:val="none"/>
        </w:rPr>
      </w:pPr>
      <w:r w:rsidRPr="0097258B">
        <w:rPr>
          <w:rFonts w:ascii="Times New Roman" w:eastAsia="Calibri" w:hAnsi="Times New Roman"/>
          <w:b/>
          <w:bCs/>
          <w:sz w:val="22"/>
          <w:szCs w:val="22"/>
          <w:lang w:val="fr-SN" w:eastAsia="en-US"/>
          <w14:ligatures w14:val="none"/>
        </w:rPr>
        <w:t>Enjeu environnemental majeur</w:t>
      </w:r>
    </w:p>
    <w:p w14:paraId="72424B18" w14:textId="152BE0E4" w:rsidR="00CF43AD" w:rsidRPr="00812AB4" w:rsidRDefault="005E6EB7" w:rsidP="0095190F">
      <w:pPr>
        <w:pStyle w:val="Normaltableau0"/>
        <w:jc w:val="both"/>
        <w:rPr>
          <w:rFonts w:ascii="Times New Roman" w:eastAsia="Calibri" w:hAnsi="Times New Roman"/>
          <w:sz w:val="22"/>
          <w:szCs w:val="22"/>
          <w:lang w:val="fr-SN" w:eastAsia="en-US"/>
          <w14:ligatures w14:val="none"/>
        </w:rPr>
      </w:pPr>
      <w:r w:rsidRPr="005E6EB7">
        <w:rPr>
          <w:rFonts w:ascii="Times New Roman" w:eastAsia="Calibri" w:hAnsi="Times New Roman"/>
          <w:sz w:val="22"/>
          <w:szCs w:val="22"/>
          <w:lang w:val="fr-SN" w:eastAsia="en-US"/>
          <w14:ligatures w14:val="none"/>
        </w:rPr>
        <w:t>La préservation de la qualité de l’eau du marigot de Mbao constitue un enjeu critique pour la santé publique et la durabilité des infrastructures hydrauliques du projet.</w:t>
      </w:r>
    </w:p>
    <w:p w14:paraId="46CF2848" w14:textId="2040D544" w:rsidR="00B3058D" w:rsidRPr="00260790" w:rsidRDefault="00E54AE4" w:rsidP="0095190F">
      <w:pPr>
        <w:pStyle w:val="Normaltableau0"/>
        <w:numPr>
          <w:ilvl w:val="1"/>
          <w:numId w:val="139"/>
        </w:numPr>
        <w:jc w:val="both"/>
        <w:outlineLvl w:val="1"/>
        <w:rPr>
          <w:rFonts w:ascii="Times New Roman" w:hAnsi="Times New Roman"/>
          <w:b/>
          <w:bCs/>
          <w:sz w:val="22"/>
          <w:szCs w:val="22"/>
        </w:rPr>
      </w:pPr>
      <w:bookmarkStart w:id="417" w:name="_Toc212725107"/>
      <w:r w:rsidRPr="00260790">
        <w:rPr>
          <w:rFonts w:ascii="Times New Roman" w:hAnsi="Times New Roman"/>
          <w:b/>
          <w:bCs/>
          <w:sz w:val="22"/>
          <w:szCs w:val="22"/>
        </w:rPr>
        <w:t>Caractérisation de la Zone d’Influence Indirecte</w:t>
      </w:r>
      <w:bookmarkEnd w:id="417"/>
      <w:r w:rsidRPr="00260790">
        <w:rPr>
          <w:rFonts w:ascii="Times New Roman" w:hAnsi="Times New Roman"/>
          <w:b/>
          <w:bCs/>
          <w:sz w:val="22"/>
          <w:szCs w:val="22"/>
        </w:rPr>
        <w:t xml:space="preserve"> </w:t>
      </w:r>
    </w:p>
    <w:p w14:paraId="4FA6E72C" w14:textId="267264CD" w:rsidR="00E54AE4" w:rsidRPr="00260790" w:rsidRDefault="00E54AE4" w:rsidP="0095190F">
      <w:pPr>
        <w:pStyle w:val="Corpsdetexte2"/>
        <w:spacing w:line="240" w:lineRule="auto"/>
        <w:ind w:right="282"/>
        <w:rPr>
          <w:color w:val="000000" w:themeColor="text1"/>
        </w:rPr>
      </w:pPr>
      <w:r w:rsidRPr="00260790">
        <w:rPr>
          <w:color w:val="000000" w:themeColor="text1"/>
        </w:rPr>
        <w:t xml:space="preserve">Dans le cadre de la présente étude, la zone d’influence indirecte du projet est circonscrite dans les Communes de </w:t>
      </w:r>
      <w:proofErr w:type="spellStart"/>
      <w:r w:rsidRPr="00260790">
        <w:rPr>
          <w:color w:val="000000" w:themeColor="text1"/>
        </w:rPr>
        <w:t>Jaxaay</w:t>
      </w:r>
      <w:proofErr w:type="spellEnd"/>
      <w:r w:rsidRPr="00260790">
        <w:rPr>
          <w:color w:val="000000" w:themeColor="text1"/>
        </w:rPr>
        <w:t>-Parcelles-</w:t>
      </w:r>
      <w:proofErr w:type="spellStart"/>
      <w:r w:rsidRPr="00260790">
        <w:rPr>
          <w:color w:val="000000" w:themeColor="text1"/>
        </w:rPr>
        <w:t>Niakoulrap</w:t>
      </w:r>
      <w:proofErr w:type="spellEnd"/>
      <w:r w:rsidRPr="00260790">
        <w:rPr>
          <w:color w:val="000000" w:themeColor="text1"/>
        </w:rPr>
        <w:t>, de Rufisque Ouest (département de Rufisque), de Keur Massar Sud (Département de Keur Massar) et de Mbao (Département de Pikine).</w:t>
      </w:r>
    </w:p>
    <w:p w14:paraId="571AA5AE" w14:textId="04B761CC" w:rsidR="002B26A5" w:rsidRPr="00260790" w:rsidRDefault="002B26A5" w:rsidP="003B6588">
      <w:pPr>
        <w:pStyle w:val="CHAPITRE1"/>
        <w:rPr>
          <w:rFonts w:cs="Times New Roman"/>
        </w:rPr>
      </w:pPr>
      <w:bookmarkStart w:id="418" w:name="_Toc212725108"/>
      <w:bookmarkStart w:id="419" w:name="_Toc143868360"/>
      <w:bookmarkStart w:id="420" w:name="_Toc165114408"/>
      <w:bookmarkStart w:id="421" w:name="_Toc172031303"/>
      <w:r w:rsidRPr="00260790">
        <w:rPr>
          <w:rFonts w:cs="Times New Roman"/>
        </w:rPr>
        <w:t>Environnement physique de l</w:t>
      </w:r>
      <w:r w:rsidR="00E54AE4" w:rsidRPr="00260790">
        <w:rPr>
          <w:rFonts w:cs="Times New Roman"/>
        </w:rPr>
        <w:t>a zone d’influence indirecte</w:t>
      </w:r>
      <w:bookmarkEnd w:id="418"/>
      <w:r w:rsidR="00E54AE4" w:rsidRPr="00260790">
        <w:rPr>
          <w:rFonts w:cs="Times New Roman"/>
        </w:rPr>
        <w:t xml:space="preserve"> </w:t>
      </w:r>
    </w:p>
    <w:p w14:paraId="693D3FF2" w14:textId="77777777" w:rsidR="002B26A5" w:rsidRPr="00260790" w:rsidRDefault="002B26A5" w:rsidP="001748C6">
      <w:pPr>
        <w:numPr>
          <w:ilvl w:val="0"/>
          <w:numId w:val="349"/>
        </w:numPr>
        <w:spacing w:line="240" w:lineRule="auto"/>
        <w:ind w:left="1276"/>
        <w:contextualSpacing/>
        <w:jc w:val="both"/>
        <w:rPr>
          <w:rFonts w:ascii="Times New Roman" w:hAnsi="Times New Roman"/>
          <w:b/>
          <w:color w:val="000000" w:themeColor="text1"/>
        </w:rPr>
      </w:pPr>
      <w:r w:rsidRPr="00260790">
        <w:rPr>
          <w:rFonts w:ascii="Times New Roman" w:hAnsi="Times New Roman"/>
          <w:b/>
          <w:color w:val="000000" w:themeColor="text1"/>
        </w:rPr>
        <w:t>La géologie</w:t>
      </w:r>
    </w:p>
    <w:p w14:paraId="6DCB06D2" w14:textId="22C1675E"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La géologie de la zone d’étude (départements de Pikine, Rufisque et Keur Massar) s’inscrit dans celle du bassin sédimentaire Sénégalo-mauritanien. Ce bassin est formé </w:t>
      </w:r>
      <w:proofErr w:type="gramStart"/>
      <w:r w:rsidRPr="00260790">
        <w:rPr>
          <w:rFonts w:ascii="Times New Roman" w:eastAsia="Times New Roman" w:hAnsi="Times New Roman"/>
          <w:color w:val="000000" w:themeColor="text1"/>
          <w:lang w:eastAsia="fr-FR"/>
        </w:rPr>
        <w:t>suite à</w:t>
      </w:r>
      <w:proofErr w:type="gramEnd"/>
      <w:r w:rsidRPr="00260790">
        <w:rPr>
          <w:rFonts w:ascii="Times New Roman" w:eastAsia="Times New Roman" w:hAnsi="Times New Roman"/>
          <w:color w:val="000000" w:themeColor="text1"/>
          <w:lang w:eastAsia="fr-FR"/>
        </w:rPr>
        <w:t xml:space="preserve"> l’ouverture de l’</w:t>
      </w:r>
      <w:r w:rsidR="00397335" w:rsidRPr="00260790">
        <w:rPr>
          <w:rFonts w:ascii="Times New Roman" w:eastAsia="Times New Roman" w:hAnsi="Times New Roman"/>
          <w:color w:val="000000" w:themeColor="text1"/>
          <w:lang w:eastAsia="fr-FR"/>
        </w:rPr>
        <w:t>o</w:t>
      </w:r>
      <w:r w:rsidRPr="00260790">
        <w:rPr>
          <w:rFonts w:ascii="Times New Roman" w:eastAsia="Times New Roman" w:hAnsi="Times New Roman"/>
          <w:color w:val="000000" w:themeColor="text1"/>
          <w:lang w:eastAsia="fr-FR"/>
        </w:rPr>
        <w:t xml:space="preserve">céan Atlantique au Jurassique terminal Crétacé. Il a une superficie de 340 000 km² et couvre du Nord au </w:t>
      </w:r>
      <w:r w:rsidRPr="00260790">
        <w:rPr>
          <w:rFonts w:ascii="Times New Roman" w:eastAsia="Times New Roman" w:hAnsi="Times New Roman"/>
          <w:color w:val="000000" w:themeColor="text1"/>
          <w:lang w:eastAsia="fr-FR"/>
        </w:rPr>
        <w:lastRenderedPageBreak/>
        <w:t>Sud la Mauritanie occidentale, la majeure partie du Sénégal, la Gambie et la Guinée</w:t>
      </w:r>
      <w:r w:rsidR="00397335" w:rsidRPr="00260790">
        <w:rPr>
          <w:rFonts w:ascii="Times New Roman" w:eastAsia="Times New Roman" w:hAnsi="Times New Roman"/>
          <w:color w:val="000000" w:themeColor="text1"/>
          <w:lang w:eastAsia="fr-FR"/>
        </w:rPr>
        <w:t>-</w:t>
      </w:r>
      <w:r w:rsidRPr="00260790">
        <w:rPr>
          <w:rFonts w:ascii="Times New Roman" w:eastAsia="Times New Roman" w:hAnsi="Times New Roman"/>
          <w:color w:val="000000" w:themeColor="text1"/>
          <w:lang w:eastAsia="fr-FR"/>
        </w:rPr>
        <w:t xml:space="preserve">Bissau. Ce bassin renferme les Sédiments d’âge </w:t>
      </w:r>
      <w:proofErr w:type="spellStart"/>
      <w:r w:rsidRPr="00260790">
        <w:rPr>
          <w:rFonts w:ascii="Times New Roman" w:eastAsia="Times New Roman" w:hAnsi="Times New Roman"/>
          <w:color w:val="000000" w:themeColor="text1"/>
          <w:lang w:eastAsia="fr-FR"/>
        </w:rPr>
        <w:t>mésocénozoïque</w:t>
      </w:r>
      <w:proofErr w:type="spellEnd"/>
      <w:r w:rsidRPr="00260790">
        <w:rPr>
          <w:rFonts w:ascii="Times New Roman" w:eastAsia="Times New Roman" w:hAnsi="Times New Roman"/>
          <w:color w:val="000000" w:themeColor="text1"/>
          <w:lang w:eastAsia="fr-FR"/>
        </w:rPr>
        <w:t>.</w:t>
      </w:r>
    </w:p>
    <w:p w14:paraId="20D19350" w14:textId="59CB8D99"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Dans ces départements, les formations identifiées datent du Cénozoïque c’est-à-dire du Tertiaire au Quaternaire. Les différents faciès notés sont les marnes de l’</w:t>
      </w:r>
      <w:r w:rsidR="00397335" w:rsidRPr="00260790">
        <w:rPr>
          <w:rFonts w:ascii="Times New Roman" w:eastAsia="Times New Roman" w:hAnsi="Times New Roman"/>
          <w:color w:val="000000" w:themeColor="text1"/>
          <w:lang w:eastAsia="fr-FR"/>
        </w:rPr>
        <w:t>É</w:t>
      </w:r>
      <w:r w:rsidRPr="00260790">
        <w:rPr>
          <w:rFonts w:ascii="Times New Roman" w:eastAsia="Times New Roman" w:hAnsi="Times New Roman"/>
          <w:color w:val="000000" w:themeColor="text1"/>
          <w:lang w:eastAsia="fr-FR"/>
        </w:rPr>
        <w:t xml:space="preserve">ocène </w:t>
      </w:r>
      <w:r w:rsidR="00397335" w:rsidRPr="00260790">
        <w:rPr>
          <w:rFonts w:ascii="Times New Roman" w:eastAsia="Times New Roman" w:hAnsi="Times New Roman"/>
          <w:color w:val="000000" w:themeColor="text1"/>
          <w:lang w:eastAsia="fr-FR"/>
        </w:rPr>
        <w:t>m</w:t>
      </w:r>
      <w:r w:rsidRPr="00260790">
        <w:rPr>
          <w:rFonts w:ascii="Times New Roman" w:eastAsia="Times New Roman" w:hAnsi="Times New Roman"/>
          <w:color w:val="000000" w:themeColor="text1"/>
          <w:lang w:eastAsia="fr-FR"/>
        </w:rPr>
        <w:t>oyen et les dépôts du Quaternaire qui se situent au Nord-Ouest du département de Keur Massar.</w:t>
      </w:r>
    </w:p>
    <w:p w14:paraId="230D22A1" w14:textId="77777777" w:rsidR="002B26A5" w:rsidRPr="00260790" w:rsidRDefault="002B26A5" w:rsidP="00E20250">
      <w:pPr>
        <w:spacing w:line="240" w:lineRule="auto"/>
        <w:ind w:left="567" w:hanging="11"/>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figure ci-dessous montre les différentes unités géologiques identifiées dans la zone d’étude.</w:t>
      </w:r>
    </w:p>
    <w:p w14:paraId="49F647AA" w14:textId="77777777" w:rsidR="002B26A5" w:rsidRPr="00260790" w:rsidRDefault="002B26A5" w:rsidP="002D3EB6">
      <w:pPr>
        <w:keepNext/>
        <w:spacing w:after="0" w:line="240" w:lineRule="auto"/>
        <w:ind w:right="-2"/>
        <w:rPr>
          <w:rFonts w:ascii="Times New Roman" w:eastAsia="Times New Roman" w:hAnsi="Times New Roman"/>
          <w:color w:val="000000" w:themeColor="text1"/>
          <w:lang w:eastAsia="fr-FR"/>
        </w:rPr>
      </w:pPr>
      <w:r w:rsidRPr="00260790">
        <w:rPr>
          <w:rFonts w:ascii="Times New Roman" w:eastAsia="Times New Roman" w:hAnsi="Times New Roman"/>
          <w:noProof/>
          <w:color w:val="000000" w:themeColor="text1"/>
          <w:lang w:val="en-US"/>
        </w:rPr>
        <w:drawing>
          <wp:inline distT="0" distB="0" distL="0" distR="0" wp14:anchorId="24A50ED1" wp14:editId="4C508867">
            <wp:extent cx="5808688" cy="4090795"/>
            <wp:effectExtent l="0" t="0" r="0" b="0"/>
            <wp:docPr id="1557119898" name="Image 1557119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cstate="email">
                      <a:extLst>
                        <a:ext uri="{28A0092B-C50C-407E-A947-70E740481C1C}">
                          <a14:useLocalDpi xmlns:a14="http://schemas.microsoft.com/office/drawing/2010/main"/>
                        </a:ext>
                      </a:extLst>
                    </a:blip>
                    <a:stretch>
                      <a:fillRect/>
                    </a:stretch>
                  </pic:blipFill>
                  <pic:spPr>
                    <a:xfrm>
                      <a:off x="0" y="0"/>
                      <a:ext cx="5864806" cy="4130317"/>
                    </a:xfrm>
                    <a:prstGeom prst="rect">
                      <a:avLst/>
                    </a:prstGeom>
                  </pic:spPr>
                </pic:pic>
              </a:graphicData>
            </a:graphic>
          </wp:inline>
        </w:drawing>
      </w:r>
    </w:p>
    <w:p w14:paraId="0828220C" w14:textId="1FD9B2B0" w:rsidR="002B26A5" w:rsidRPr="00260790" w:rsidRDefault="00545757" w:rsidP="00E20250">
      <w:pPr>
        <w:pStyle w:val="TableCaption"/>
        <w:spacing w:before="0" w:after="240" w:line="240" w:lineRule="auto"/>
        <w:ind w:left="567" w:right="-2"/>
        <w:rPr>
          <w:rFonts w:ascii="Times New Roman" w:hAnsi="Times New Roman" w:cs="Times New Roman"/>
          <w:b w:val="0"/>
          <w:bCs/>
          <w:i/>
          <w:iCs/>
          <w:color w:val="auto"/>
          <w:sz w:val="22"/>
          <w:szCs w:val="22"/>
          <w:lang w:val="fr-FR" w:eastAsia="fr-FR"/>
        </w:rPr>
      </w:pPr>
      <w:bookmarkStart w:id="422" w:name="_Toc207781967"/>
      <w:bookmarkStart w:id="423" w:name="_Toc228877396"/>
      <w:proofErr w:type="gramStart"/>
      <w:r w:rsidRPr="00260790">
        <w:rPr>
          <w:rFonts w:ascii="Times New Roman" w:hAnsi="Times New Roman" w:cs="Times New Roman"/>
          <w:b w:val="0"/>
          <w:bCs/>
          <w:i/>
          <w:iCs/>
          <w:color w:val="auto"/>
          <w:sz w:val="22"/>
          <w:szCs w:val="22"/>
          <w:lang w:val="fr-FR" w:eastAsia="fr-FR"/>
        </w:rPr>
        <w:t>figure</w:t>
      </w:r>
      <w:proofErr w:type="gramEnd"/>
      <w:r w:rsidRPr="00260790">
        <w:rPr>
          <w:rFonts w:ascii="Times New Roman" w:hAnsi="Times New Roman" w:cs="Times New Roman"/>
          <w:b w:val="0"/>
          <w:bCs/>
          <w:i/>
          <w:iCs/>
          <w:color w:val="auto"/>
          <w:sz w:val="22"/>
          <w:szCs w:val="22"/>
          <w:lang w:val="fr-FR" w:eastAsia="fr-FR"/>
        </w:rPr>
        <w:t xml:space="preserve"> </w:t>
      </w:r>
      <w:r w:rsidR="002B26A5" w:rsidRPr="00260790">
        <w:rPr>
          <w:rFonts w:ascii="Times New Roman" w:hAnsi="Times New Roman" w:cs="Times New Roman"/>
          <w:b w:val="0"/>
          <w:bCs/>
          <w:i/>
          <w:iCs/>
          <w:color w:val="auto"/>
          <w:sz w:val="22"/>
          <w:szCs w:val="22"/>
          <w:lang w:eastAsia="fr-FR"/>
        </w:rPr>
        <w:fldChar w:fldCharType="begin"/>
      </w:r>
      <w:r w:rsidR="002B26A5" w:rsidRPr="00260790">
        <w:rPr>
          <w:rFonts w:ascii="Times New Roman" w:hAnsi="Times New Roman" w:cs="Times New Roman"/>
          <w:b w:val="0"/>
          <w:bCs/>
          <w:i/>
          <w:iCs/>
          <w:color w:val="auto"/>
          <w:sz w:val="22"/>
          <w:szCs w:val="22"/>
          <w:lang w:val="fr-FR" w:eastAsia="fr-FR"/>
        </w:rPr>
        <w:instrText xml:space="preserve"> SEQ Figure \* ARABIC </w:instrText>
      </w:r>
      <w:r w:rsidR="002B26A5" w:rsidRPr="00260790">
        <w:rPr>
          <w:rFonts w:ascii="Times New Roman" w:hAnsi="Times New Roman" w:cs="Times New Roman"/>
          <w:b w:val="0"/>
          <w:bCs/>
          <w:i/>
          <w:iCs/>
          <w:color w:val="auto"/>
          <w:sz w:val="22"/>
          <w:szCs w:val="22"/>
          <w:lang w:eastAsia="fr-FR"/>
        </w:rPr>
        <w:fldChar w:fldCharType="separate"/>
      </w:r>
      <w:r w:rsidR="008A50C4">
        <w:rPr>
          <w:rFonts w:ascii="Times New Roman" w:hAnsi="Times New Roman" w:cs="Times New Roman"/>
          <w:b w:val="0"/>
          <w:bCs/>
          <w:i/>
          <w:iCs/>
          <w:noProof/>
          <w:color w:val="auto"/>
          <w:sz w:val="22"/>
          <w:szCs w:val="22"/>
          <w:lang w:val="fr-FR" w:eastAsia="fr-FR"/>
        </w:rPr>
        <w:t>5</w:t>
      </w:r>
      <w:r w:rsidR="002B26A5" w:rsidRPr="00260790">
        <w:rPr>
          <w:rFonts w:ascii="Times New Roman" w:hAnsi="Times New Roman" w:cs="Times New Roman"/>
          <w:b w:val="0"/>
          <w:bCs/>
          <w:i/>
          <w:iCs/>
          <w:color w:val="auto"/>
          <w:sz w:val="22"/>
          <w:szCs w:val="22"/>
          <w:lang w:eastAsia="fr-FR"/>
        </w:rPr>
        <w:fldChar w:fldCharType="end"/>
      </w:r>
      <w:r w:rsidRPr="00260790">
        <w:rPr>
          <w:rFonts w:ascii="Times New Roman" w:hAnsi="Times New Roman" w:cs="Times New Roman"/>
          <w:b w:val="0"/>
          <w:bCs/>
          <w:i/>
          <w:iCs/>
          <w:color w:val="auto"/>
          <w:sz w:val="22"/>
          <w:szCs w:val="22"/>
          <w:lang w:val="fr-FR" w:eastAsia="fr-FR"/>
        </w:rPr>
        <w:t>: carte de la géologie de la zone d’influence indirecte</w:t>
      </w:r>
      <w:bookmarkEnd w:id="422"/>
      <w:bookmarkEnd w:id="423"/>
    </w:p>
    <w:p w14:paraId="7DB98EF8" w14:textId="77777777" w:rsidR="002B26A5" w:rsidRPr="00260790" w:rsidRDefault="002B26A5" w:rsidP="001748C6">
      <w:pPr>
        <w:numPr>
          <w:ilvl w:val="0"/>
          <w:numId w:val="349"/>
        </w:numPr>
        <w:spacing w:line="240" w:lineRule="auto"/>
        <w:ind w:left="1276"/>
        <w:contextualSpacing/>
        <w:jc w:val="both"/>
        <w:rPr>
          <w:rFonts w:ascii="Times New Roman" w:hAnsi="Times New Roman"/>
          <w:b/>
          <w:color w:val="000000" w:themeColor="text1"/>
        </w:rPr>
      </w:pPr>
      <w:r w:rsidRPr="00260790">
        <w:rPr>
          <w:rFonts w:ascii="Times New Roman" w:hAnsi="Times New Roman"/>
          <w:b/>
          <w:color w:val="000000" w:themeColor="text1"/>
        </w:rPr>
        <w:t>Le relief</w:t>
      </w:r>
    </w:p>
    <w:p w14:paraId="52AEC5EA" w14:textId="710406B6"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Du point de vue </w:t>
      </w:r>
      <w:r w:rsidR="00091A43" w:rsidRPr="00260790">
        <w:rPr>
          <w:rFonts w:ascii="Times New Roman" w:eastAsia="Times New Roman" w:hAnsi="Times New Roman"/>
          <w:color w:val="000000" w:themeColor="text1"/>
          <w:lang w:eastAsia="fr-FR"/>
        </w:rPr>
        <w:t xml:space="preserve">du </w:t>
      </w:r>
      <w:r w:rsidRPr="00260790">
        <w:rPr>
          <w:rFonts w:ascii="Times New Roman" w:eastAsia="Times New Roman" w:hAnsi="Times New Roman"/>
          <w:color w:val="000000" w:themeColor="text1"/>
          <w:lang w:eastAsia="fr-FR"/>
        </w:rPr>
        <w:t xml:space="preserve">relief, la zone d’étude est globalement </w:t>
      </w:r>
      <w:r w:rsidR="00276D5B" w:rsidRPr="00260790">
        <w:rPr>
          <w:rFonts w:ascii="Times New Roman" w:eastAsia="Times New Roman" w:hAnsi="Times New Roman"/>
          <w:color w:val="000000" w:themeColor="text1"/>
          <w:lang w:eastAsia="fr-FR"/>
        </w:rPr>
        <w:t>plate</w:t>
      </w:r>
      <w:r w:rsidRPr="00260790">
        <w:rPr>
          <w:rFonts w:ascii="Times New Roman" w:eastAsia="Times New Roman" w:hAnsi="Times New Roman"/>
          <w:color w:val="000000" w:themeColor="text1"/>
          <w:lang w:eastAsia="fr-FR"/>
        </w:rPr>
        <w:t xml:space="preserve">. Selon la carte ci-dessous, le relief de ces départements varie entre 22 et 89 m d’altitude. Les altitudes les plus importantes sont notées au niveau de la partie Sud-Est du département de Rufisque. </w:t>
      </w:r>
    </w:p>
    <w:p w14:paraId="15EB8BBC" w14:textId="77777777" w:rsidR="002B26A5" w:rsidRPr="00260790" w:rsidRDefault="002B26A5" w:rsidP="0097258B">
      <w:pPr>
        <w:keepNext/>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noProof/>
          <w:color w:val="000000" w:themeColor="text1"/>
          <w:lang w:val="en-US"/>
        </w:rPr>
        <w:lastRenderedPageBreak/>
        <w:drawing>
          <wp:inline distT="0" distB="0" distL="0" distR="0" wp14:anchorId="19D0E189" wp14:editId="74E9E704">
            <wp:extent cx="5870222" cy="4132813"/>
            <wp:effectExtent l="0" t="0" r="0" b="0"/>
            <wp:docPr id="3" name="Image 3" descr="C:\Users\S Khadim TINE\Desktop\ZONE ELARGIE ADM\mnt adm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 Khadim TINE\Desktop\ZONE ELARGIE ADM\mnt adm11111.jpg"/>
                    <pic:cNvPicPr>
                      <a:picLocks noChangeAspect="1" noChangeArrowheads="1"/>
                    </pic:cNvPicPr>
                  </pic:nvPicPr>
                  <pic:blipFill>
                    <a:blip r:embed="rId102" cstate="email">
                      <a:extLst>
                        <a:ext uri="{28A0092B-C50C-407E-A947-70E740481C1C}">
                          <a14:useLocalDpi xmlns:a14="http://schemas.microsoft.com/office/drawing/2010/main"/>
                        </a:ext>
                      </a:extLst>
                    </a:blip>
                    <a:srcRect/>
                    <a:stretch>
                      <a:fillRect/>
                    </a:stretch>
                  </pic:blipFill>
                  <pic:spPr bwMode="auto">
                    <a:xfrm>
                      <a:off x="0" y="0"/>
                      <a:ext cx="5915757" cy="4164871"/>
                    </a:xfrm>
                    <a:prstGeom prst="rect">
                      <a:avLst/>
                    </a:prstGeom>
                    <a:noFill/>
                    <a:ln>
                      <a:noFill/>
                    </a:ln>
                  </pic:spPr>
                </pic:pic>
              </a:graphicData>
            </a:graphic>
          </wp:inline>
        </w:drawing>
      </w:r>
    </w:p>
    <w:p w14:paraId="085C6A17" w14:textId="301CA5DC" w:rsidR="002B26A5" w:rsidRPr="00260790" w:rsidRDefault="002B26A5" w:rsidP="00E20250">
      <w:pPr>
        <w:pStyle w:val="TableCaption"/>
        <w:spacing w:before="0" w:line="240" w:lineRule="auto"/>
        <w:ind w:left="567"/>
        <w:rPr>
          <w:rFonts w:ascii="Times New Roman" w:hAnsi="Times New Roman" w:cs="Times New Roman"/>
          <w:b w:val="0"/>
          <w:bCs/>
          <w:i/>
          <w:iCs/>
          <w:color w:val="auto"/>
          <w:sz w:val="22"/>
          <w:szCs w:val="22"/>
          <w:lang w:val="fr-FR" w:eastAsia="fr-FR"/>
        </w:rPr>
      </w:pPr>
      <w:bookmarkStart w:id="424" w:name="_Toc207781968"/>
      <w:bookmarkStart w:id="425" w:name="_Toc228877397"/>
      <w:r w:rsidRPr="00260790">
        <w:rPr>
          <w:rFonts w:ascii="Times New Roman" w:hAnsi="Times New Roman" w:cs="Times New Roman"/>
          <w:b w:val="0"/>
          <w:bCs/>
          <w:i/>
          <w:iCs/>
          <w:color w:val="auto"/>
          <w:sz w:val="22"/>
          <w:szCs w:val="22"/>
          <w:lang w:val="fr-FR" w:eastAsia="fr-FR"/>
        </w:rPr>
        <w:t xml:space="preserve">Figure </w:t>
      </w:r>
      <w:r w:rsidRPr="00260790">
        <w:rPr>
          <w:rFonts w:ascii="Times New Roman" w:hAnsi="Times New Roman" w:cs="Times New Roman"/>
          <w:b w:val="0"/>
          <w:bCs/>
          <w:i/>
          <w:iCs/>
          <w:color w:val="auto"/>
          <w:sz w:val="22"/>
          <w:szCs w:val="22"/>
          <w:lang w:eastAsia="fr-FR"/>
        </w:rPr>
        <w:fldChar w:fldCharType="begin"/>
      </w:r>
      <w:r w:rsidRPr="00260790">
        <w:rPr>
          <w:rFonts w:ascii="Times New Roman" w:hAnsi="Times New Roman" w:cs="Times New Roman"/>
          <w:b w:val="0"/>
          <w:bCs/>
          <w:i/>
          <w:iCs/>
          <w:color w:val="auto"/>
          <w:sz w:val="22"/>
          <w:szCs w:val="22"/>
          <w:lang w:val="fr-FR" w:eastAsia="fr-FR"/>
        </w:rPr>
        <w:instrText xml:space="preserve"> SEQ Figure \* ARABIC </w:instrText>
      </w:r>
      <w:r w:rsidRPr="00260790">
        <w:rPr>
          <w:rFonts w:ascii="Times New Roman" w:hAnsi="Times New Roman" w:cs="Times New Roman"/>
          <w:b w:val="0"/>
          <w:bCs/>
          <w:i/>
          <w:iCs/>
          <w:color w:val="auto"/>
          <w:sz w:val="22"/>
          <w:szCs w:val="22"/>
          <w:lang w:eastAsia="fr-FR"/>
        </w:rPr>
        <w:fldChar w:fldCharType="separate"/>
      </w:r>
      <w:r w:rsidR="008A50C4">
        <w:rPr>
          <w:rFonts w:ascii="Times New Roman" w:hAnsi="Times New Roman" w:cs="Times New Roman"/>
          <w:b w:val="0"/>
          <w:bCs/>
          <w:i/>
          <w:iCs/>
          <w:noProof/>
          <w:color w:val="auto"/>
          <w:sz w:val="22"/>
          <w:szCs w:val="22"/>
          <w:lang w:val="fr-FR" w:eastAsia="fr-FR"/>
        </w:rPr>
        <w:t>6</w:t>
      </w:r>
      <w:r w:rsidRPr="00260790">
        <w:rPr>
          <w:rFonts w:ascii="Times New Roman" w:hAnsi="Times New Roman" w:cs="Times New Roman"/>
          <w:b w:val="0"/>
          <w:bCs/>
          <w:i/>
          <w:iCs/>
          <w:color w:val="auto"/>
          <w:sz w:val="22"/>
          <w:szCs w:val="22"/>
          <w:lang w:eastAsia="fr-FR"/>
        </w:rPr>
        <w:fldChar w:fldCharType="end"/>
      </w:r>
      <w:r w:rsidRPr="00260790">
        <w:rPr>
          <w:rFonts w:ascii="Times New Roman" w:hAnsi="Times New Roman" w:cs="Times New Roman"/>
          <w:b w:val="0"/>
          <w:bCs/>
          <w:i/>
          <w:iCs/>
          <w:color w:val="auto"/>
          <w:sz w:val="22"/>
          <w:szCs w:val="22"/>
          <w:lang w:val="fr-FR" w:eastAsia="fr-FR"/>
        </w:rPr>
        <w:t xml:space="preserve">: </w:t>
      </w:r>
      <w:r w:rsidR="00545757" w:rsidRPr="00260790">
        <w:rPr>
          <w:rFonts w:ascii="Times New Roman" w:hAnsi="Times New Roman" w:cs="Times New Roman"/>
          <w:b w:val="0"/>
          <w:bCs/>
          <w:i/>
          <w:iCs/>
          <w:color w:val="auto"/>
          <w:sz w:val="22"/>
          <w:szCs w:val="22"/>
          <w:lang w:val="fr-FR" w:eastAsia="fr-FR"/>
        </w:rPr>
        <w:t>L</w:t>
      </w:r>
      <w:r w:rsidRPr="00260790">
        <w:rPr>
          <w:rFonts w:ascii="Times New Roman" w:hAnsi="Times New Roman" w:cs="Times New Roman"/>
          <w:b w:val="0"/>
          <w:bCs/>
          <w:i/>
          <w:iCs/>
          <w:color w:val="auto"/>
          <w:sz w:val="22"/>
          <w:szCs w:val="22"/>
          <w:lang w:val="fr-FR" w:eastAsia="fr-FR"/>
        </w:rPr>
        <w:t xml:space="preserve">e relief de la </w:t>
      </w:r>
      <w:r w:rsidR="00E54AE4" w:rsidRPr="00260790">
        <w:rPr>
          <w:rFonts w:ascii="Times New Roman" w:hAnsi="Times New Roman" w:cs="Times New Roman"/>
          <w:b w:val="0"/>
          <w:bCs/>
          <w:i/>
          <w:iCs/>
          <w:color w:val="auto"/>
          <w:sz w:val="22"/>
          <w:szCs w:val="22"/>
          <w:lang w:val="fr-FR" w:eastAsia="fr-FR"/>
        </w:rPr>
        <w:t>zone d’influence indirecte</w:t>
      </w:r>
      <w:bookmarkEnd w:id="424"/>
      <w:bookmarkEnd w:id="425"/>
    </w:p>
    <w:p w14:paraId="5C5EB012" w14:textId="77777777" w:rsidR="002B26A5" w:rsidRPr="00260790" w:rsidRDefault="002B26A5" w:rsidP="00E20250">
      <w:pPr>
        <w:spacing w:after="0" w:line="240" w:lineRule="auto"/>
        <w:jc w:val="both"/>
        <w:rPr>
          <w:rFonts w:ascii="Times New Roman" w:eastAsia="Times New Roman" w:hAnsi="Times New Roman"/>
          <w:b/>
          <w:color w:val="000000" w:themeColor="text1"/>
          <w:lang w:eastAsia="fr-FR"/>
        </w:rPr>
      </w:pPr>
    </w:p>
    <w:p w14:paraId="379599D3" w14:textId="77777777" w:rsidR="002B26A5" w:rsidRPr="00260790" w:rsidRDefault="002B26A5" w:rsidP="001748C6">
      <w:pPr>
        <w:numPr>
          <w:ilvl w:val="0"/>
          <w:numId w:val="349"/>
        </w:numPr>
        <w:spacing w:line="240" w:lineRule="auto"/>
        <w:ind w:left="1276"/>
        <w:contextualSpacing/>
        <w:jc w:val="both"/>
        <w:rPr>
          <w:rFonts w:ascii="Times New Roman" w:hAnsi="Times New Roman"/>
          <w:b/>
          <w:color w:val="000000" w:themeColor="text1"/>
        </w:rPr>
      </w:pPr>
      <w:r w:rsidRPr="00260790">
        <w:rPr>
          <w:rFonts w:ascii="Times New Roman" w:hAnsi="Times New Roman"/>
          <w:b/>
          <w:color w:val="000000" w:themeColor="text1"/>
        </w:rPr>
        <w:t>Les sols</w:t>
      </w:r>
    </w:p>
    <w:p w14:paraId="013B1417" w14:textId="4282760B" w:rsidR="002B26A5" w:rsidRPr="00260790" w:rsidRDefault="002B26A5" w:rsidP="0097258B">
      <w:pPr>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types de sols identifiés au niveau de la zone d’étude sont les</w:t>
      </w:r>
      <w:r w:rsidRPr="00260790">
        <w:rPr>
          <w:rFonts w:ascii="Times New Roman" w:eastAsia="Times New Roman" w:hAnsi="Times New Roman"/>
          <w:b/>
          <w:color w:val="000000" w:themeColor="text1"/>
          <w:lang w:eastAsia="fr-FR"/>
        </w:rPr>
        <w:t xml:space="preserve"> </w:t>
      </w:r>
      <w:r w:rsidRPr="00260790">
        <w:rPr>
          <w:rFonts w:ascii="Times New Roman" w:eastAsia="Times New Roman" w:hAnsi="Times New Roman"/>
          <w:color w:val="000000" w:themeColor="text1"/>
          <w:lang w:eastAsia="fr-FR"/>
        </w:rPr>
        <w:t>sols hydromorphes, les sols brun rouge subarides et sols peu évolués hydromorphes, les sols mar</w:t>
      </w:r>
      <w:r w:rsidR="00091A43" w:rsidRPr="00260790">
        <w:rPr>
          <w:rFonts w:ascii="Times New Roman" w:eastAsia="Times New Roman" w:hAnsi="Times New Roman"/>
          <w:color w:val="000000" w:themeColor="text1"/>
          <w:lang w:eastAsia="fr-FR"/>
        </w:rPr>
        <w:t>n</w:t>
      </w:r>
      <w:r w:rsidRPr="00260790">
        <w:rPr>
          <w:rFonts w:ascii="Times New Roman" w:eastAsia="Times New Roman" w:hAnsi="Times New Roman"/>
          <w:color w:val="000000" w:themeColor="text1"/>
          <w:lang w:eastAsia="fr-FR"/>
        </w:rPr>
        <w:t>o-calcaires</w:t>
      </w:r>
      <w:r w:rsidRPr="00260790" w:rsidDel="005F4C48">
        <w:rPr>
          <w:rFonts w:ascii="Times New Roman" w:eastAsia="Times New Roman" w:hAnsi="Times New Roman"/>
          <w:color w:val="000000" w:themeColor="text1"/>
          <w:lang w:eastAsia="fr-FR"/>
        </w:rPr>
        <w:t xml:space="preserve"> </w:t>
      </w:r>
      <w:r w:rsidRPr="00260790">
        <w:rPr>
          <w:rFonts w:ascii="Times New Roman" w:eastAsia="Times New Roman" w:hAnsi="Times New Roman"/>
          <w:color w:val="000000" w:themeColor="text1"/>
          <w:lang w:eastAsia="fr-FR"/>
        </w:rPr>
        <w:t>et les sols ferrugineux tropicaux faiblement lessivés.</w:t>
      </w:r>
    </w:p>
    <w:p w14:paraId="555E912F" w14:textId="77777777" w:rsidR="002B26A5" w:rsidRPr="00260790" w:rsidRDefault="002B26A5" w:rsidP="001748C6">
      <w:pPr>
        <w:numPr>
          <w:ilvl w:val="0"/>
          <w:numId w:val="350"/>
        </w:numPr>
        <w:spacing w:line="240" w:lineRule="auto"/>
        <w:ind w:left="1843"/>
        <w:contextualSpacing/>
        <w:jc w:val="both"/>
        <w:rPr>
          <w:rFonts w:ascii="Times New Roman" w:hAnsi="Times New Roman"/>
          <w:b/>
          <w:color w:val="000000" w:themeColor="text1"/>
        </w:rPr>
      </w:pPr>
      <w:r w:rsidRPr="00260790">
        <w:rPr>
          <w:rFonts w:ascii="Times New Roman" w:hAnsi="Times New Roman"/>
          <w:b/>
          <w:color w:val="000000" w:themeColor="text1"/>
        </w:rPr>
        <w:t>Les sols hydromorphes</w:t>
      </w:r>
    </w:p>
    <w:p w14:paraId="27F48C5F" w14:textId="19F80765" w:rsidR="002B26A5" w:rsidRPr="00260790" w:rsidRDefault="002B26A5" w:rsidP="0097258B">
      <w:pPr>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Les sols hydromorphes (à Pseudo gley ou gley sur sables) sont localisés essentiellement dans les dépressions </w:t>
      </w:r>
      <w:proofErr w:type="spellStart"/>
      <w:r w:rsidRPr="00260790">
        <w:rPr>
          <w:rFonts w:ascii="Times New Roman" w:eastAsia="Times New Roman" w:hAnsi="Times New Roman"/>
          <w:color w:val="000000" w:themeColor="text1"/>
          <w:lang w:eastAsia="fr-FR"/>
        </w:rPr>
        <w:t>interdunaires</w:t>
      </w:r>
      <w:proofErr w:type="spellEnd"/>
      <w:r w:rsidRPr="00260790">
        <w:rPr>
          <w:rFonts w:ascii="Times New Roman" w:eastAsia="Times New Roman" w:hAnsi="Times New Roman"/>
          <w:color w:val="000000" w:themeColor="text1"/>
          <w:lang w:eastAsia="fr-FR"/>
        </w:rPr>
        <w:t>. Ils sont formés dans des conditions asphyxiantes et réductrices dues à un excès d’humidité. Ce sont les sols caractéristiques des Niayes proprement dites inondés de manière permanente ou temporaire. Ils sont identifiés dans les trois départements</w:t>
      </w:r>
      <w:r w:rsidR="005C5B32" w:rsidRPr="00260790">
        <w:rPr>
          <w:rFonts w:ascii="Times New Roman" w:eastAsia="Times New Roman" w:hAnsi="Times New Roman"/>
          <w:color w:val="000000" w:themeColor="text1"/>
          <w:lang w:eastAsia="fr-FR"/>
        </w:rPr>
        <w:t>,</w:t>
      </w:r>
      <w:r w:rsidRPr="00260790">
        <w:rPr>
          <w:rFonts w:ascii="Times New Roman" w:eastAsia="Times New Roman" w:hAnsi="Times New Roman"/>
          <w:color w:val="000000" w:themeColor="text1"/>
          <w:lang w:eastAsia="fr-FR"/>
        </w:rPr>
        <w:t xml:space="preserve"> mais sur des surfaces réduites.</w:t>
      </w:r>
    </w:p>
    <w:p w14:paraId="53D043B1" w14:textId="77777777" w:rsidR="002B26A5" w:rsidRPr="00260790" w:rsidRDefault="002B26A5" w:rsidP="001748C6">
      <w:pPr>
        <w:numPr>
          <w:ilvl w:val="0"/>
          <w:numId w:val="350"/>
        </w:numPr>
        <w:spacing w:line="240" w:lineRule="auto"/>
        <w:ind w:left="1843"/>
        <w:contextualSpacing/>
        <w:jc w:val="both"/>
        <w:rPr>
          <w:rFonts w:ascii="Times New Roman" w:hAnsi="Times New Roman"/>
          <w:color w:val="000000" w:themeColor="text1"/>
        </w:rPr>
      </w:pPr>
      <w:r w:rsidRPr="00260790">
        <w:rPr>
          <w:rFonts w:ascii="Times New Roman" w:hAnsi="Times New Roman"/>
          <w:b/>
          <w:color w:val="000000" w:themeColor="text1"/>
        </w:rPr>
        <w:t>Les sols brun rouge subarides et sols peu évolués hydromorphes</w:t>
      </w:r>
    </w:p>
    <w:p w14:paraId="77C1B63D" w14:textId="77777777" w:rsidR="002B26A5" w:rsidRPr="00260790" w:rsidRDefault="002B26A5" w:rsidP="0097258B">
      <w:pPr>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Ces sols sont de texture fine, limon argileux à argile limoneuse. Leur teneur en matière organique et leur fertilité chimique sont faibles. Ils occupent une bonne partie des départements de Keur Massar et de Rufisque.</w:t>
      </w:r>
    </w:p>
    <w:p w14:paraId="0DB1F59B" w14:textId="77777777" w:rsidR="002B26A5" w:rsidRPr="00260790" w:rsidRDefault="002B26A5" w:rsidP="001748C6">
      <w:pPr>
        <w:numPr>
          <w:ilvl w:val="0"/>
          <w:numId w:val="350"/>
        </w:numPr>
        <w:spacing w:line="240" w:lineRule="auto"/>
        <w:ind w:left="1843"/>
        <w:contextualSpacing/>
        <w:jc w:val="both"/>
        <w:rPr>
          <w:rFonts w:ascii="Times New Roman" w:hAnsi="Times New Roman"/>
          <w:b/>
          <w:color w:val="000000" w:themeColor="text1"/>
        </w:rPr>
      </w:pPr>
      <w:r w:rsidRPr="00260790">
        <w:rPr>
          <w:rFonts w:ascii="Times New Roman" w:hAnsi="Times New Roman"/>
          <w:b/>
          <w:color w:val="000000" w:themeColor="text1"/>
        </w:rPr>
        <w:t>Sols sur roche marno-calcaire</w:t>
      </w:r>
    </w:p>
    <w:p w14:paraId="608AB784" w14:textId="110AC5DE" w:rsidR="002B26A5" w:rsidRPr="00260790" w:rsidRDefault="002B26A5" w:rsidP="0097258B">
      <w:pPr>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Elles proviennent d’une alternance régulière de roches marneuse et de calcaires. Leur superficie est faible et elle apparait essentiellement dans le département de Pikine.</w:t>
      </w:r>
    </w:p>
    <w:p w14:paraId="0E045D02" w14:textId="77777777" w:rsidR="002B26A5" w:rsidRPr="00260790" w:rsidRDefault="002B26A5" w:rsidP="001748C6">
      <w:pPr>
        <w:numPr>
          <w:ilvl w:val="0"/>
          <w:numId w:val="350"/>
        </w:numPr>
        <w:spacing w:line="240" w:lineRule="auto"/>
        <w:ind w:left="1843"/>
        <w:contextualSpacing/>
        <w:jc w:val="both"/>
        <w:rPr>
          <w:rFonts w:ascii="Times New Roman" w:hAnsi="Times New Roman"/>
          <w:b/>
          <w:color w:val="000000" w:themeColor="text1"/>
        </w:rPr>
      </w:pPr>
      <w:r w:rsidRPr="00260790">
        <w:rPr>
          <w:rFonts w:ascii="Times New Roman" w:hAnsi="Times New Roman"/>
          <w:b/>
          <w:color w:val="000000" w:themeColor="text1"/>
        </w:rPr>
        <w:t>Les sols ferrugineux tropicaux faiblement lessivés</w:t>
      </w:r>
    </w:p>
    <w:p w14:paraId="5870BCC3" w14:textId="77777777" w:rsidR="002B26A5" w:rsidRPr="00260790" w:rsidRDefault="002B26A5" w:rsidP="0097258B">
      <w:pPr>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Ces sols sont situés sur les dunes de la côte. Ils sont formés en présence d’oxydes de manganèse, de fer et d’alumine, de coloration jaune et rouge. Ils sont bien drainés dans leur horizon de surface et pauvres en matière organique et en humus. Ces sols occupent 70% de la zone des Niayes. Ils occupent la quasi-totalité du département de Pikine.</w:t>
      </w:r>
    </w:p>
    <w:p w14:paraId="78067707" w14:textId="77777777" w:rsidR="002B26A5" w:rsidRPr="00260790" w:rsidRDefault="002B26A5" w:rsidP="00E20250">
      <w:pPr>
        <w:spacing w:after="0" w:line="240" w:lineRule="auto"/>
        <w:jc w:val="both"/>
        <w:rPr>
          <w:rFonts w:ascii="Times New Roman" w:eastAsia="Times New Roman" w:hAnsi="Times New Roman"/>
          <w:color w:val="000000" w:themeColor="text1"/>
          <w:lang w:eastAsia="fr-FR"/>
        </w:rPr>
      </w:pPr>
    </w:p>
    <w:p w14:paraId="2B1140DA" w14:textId="77777777" w:rsidR="002B26A5" w:rsidRPr="00260790" w:rsidRDefault="002B26A5" w:rsidP="002D3EB6">
      <w:pPr>
        <w:keepNext/>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noProof/>
          <w:color w:val="000000" w:themeColor="text1"/>
          <w:lang w:val="en-US"/>
        </w:rPr>
        <w:lastRenderedPageBreak/>
        <w:drawing>
          <wp:inline distT="0" distB="0" distL="0" distR="0" wp14:anchorId="40DFC559" wp14:editId="2B68F774">
            <wp:extent cx="5699478" cy="3793369"/>
            <wp:effectExtent l="12700" t="12700" r="15875" b="17145"/>
            <wp:docPr id="2066968687" name="Image 2066968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cstate="email">
                      <a:extLst>
                        <a:ext uri="{28A0092B-C50C-407E-A947-70E740481C1C}">
                          <a14:useLocalDpi xmlns:a14="http://schemas.microsoft.com/office/drawing/2010/main"/>
                        </a:ext>
                      </a:extLst>
                    </a:blip>
                    <a:stretch>
                      <a:fillRect/>
                    </a:stretch>
                  </pic:blipFill>
                  <pic:spPr>
                    <a:xfrm>
                      <a:off x="0" y="0"/>
                      <a:ext cx="5735798" cy="3817542"/>
                    </a:xfrm>
                    <a:prstGeom prst="rect">
                      <a:avLst/>
                    </a:prstGeom>
                    <a:ln w="3175">
                      <a:solidFill>
                        <a:sysClr val="windowText" lastClr="000000"/>
                      </a:solidFill>
                    </a:ln>
                  </pic:spPr>
                </pic:pic>
              </a:graphicData>
            </a:graphic>
          </wp:inline>
        </w:drawing>
      </w:r>
    </w:p>
    <w:p w14:paraId="4FF1C808" w14:textId="09E64C52" w:rsidR="002B26A5" w:rsidRPr="00260790" w:rsidRDefault="002B26A5" w:rsidP="00E20250">
      <w:pPr>
        <w:pStyle w:val="TableCaption"/>
        <w:spacing w:before="0" w:line="240" w:lineRule="auto"/>
        <w:ind w:left="567"/>
        <w:rPr>
          <w:rFonts w:ascii="Times New Roman" w:hAnsi="Times New Roman" w:cs="Times New Roman"/>
          <w:b w:val="0"/>
          <w:bCs/>
          <w:i/>
          <w:iCs/>
          <w:color w:val="auto"/>
          <w:sz w:val="22"/>
          <w:szCs w:val="22"/>
          <w:lang w:val="fr-FR" w:eastAsia="fr-FR"/>
        </w:rPr>
      </w:pPr>
      <w:bookmarkStart w:id="426" w:name="_Toc207781969"/>
      <w:bookmarkStart w:id="427" w:name="_Toc228877398"/>
      <w:r w:rsidRPr="00260790">
        <w:rPr>
          <w:rFonts w:ascii="Times New Roman" w:hAnsi="Times New Roman" w:cs="Times New Roman"/>
          <w:b w:val="0"/>
          <w:bCs/>
          <w:i/>
          <w:iCs/>
          <w:color w:val="auto"/>
          <w:sz w:val="22"/>
          <w:szCs w:val="22"/>
          <w:lang w:val="fr-FR" w:eastAsia="fr-FR"/>
        </w:rPr>
        <w:t xml:space="preserve">Figure </w:t>
      </w:r>
      <w:r w:rsidRPr="00260790">
        <w:rPr>
          <w:rFonts w:ascii="Times New Roman" w:hAnsi="Times New Roman" w:cs="Times New Roman"/>
          <w:b w:val="0"/>
          <w:bCs/>
          <w:i/>
          <w:iCs/>
          <w:color w:val="auto"/>
          <w:sz w:val="22"/>
          <w:szCs w:val="22"/>
          <w:lang w:eastAsia="fr-FR"/>
        </w:rPr>
        <w:fldChar w:fldCharType="begin"/>
      </w:r>
      <w:r w:rsidRPr="00260790">
        <w:rPr>
          <w:rFonts w:ascii="Times New Roman" w:hAnsi="Times New Roman" w:cs="Times New Roman"/>
          <w:b w:val="0"/>
          <w:bCs/>
          <w:i/>
          <w:iCs/>
          <w:color w:val="auto"/>
          <w:sz w:val="22"/>
          <w:szCs w:val="22"/>
          <w:lang w:val="fr-FR" w:eastAsia="fr-FR"/>
        </w:rPr>
        <w:instrText xml:space="preserve"> SEQ Figure \* ARABIC </w:instrText>
      </w:r>
      <w:r w:rsidRPr="00260790">
        <w:rPr>
          <w:rFonts w:ascii="Times New Roman" w:hAnsi="Times New Roman" w:cs="Times New Roman"/>
          <w:b w:val="0"/>
          <w:bCs/>
          <w:i/>
          <w:iCs/>
          <w:color w:val="auto"/>
          <w:sz w:val="22"/>
          <w:szCs w:val="22"/>
          <w:lang w:eastAsia="fr-FR"/>
        </w:rPr>
        <w:fldChar w:fldCharType="separate"/>
      </w:r>
      <w:r w:rsidR="008A50C4">
        <w:rPr>
          <w:rFonts w:ascii="Times New Roman" w:hAnsi="Times New Roman" w:cs="Times New Roman"/>
          <w:b w:val="0"/>
          <w:bCs/>
          <w:i/>
          <w:iCs/>
          <w:noProof/>
          <w:color w:val="auto"/>
          <w:sz w:val="22"/>
          <w:szCs w:val="22"/>
          <w:lang w:val="fr-FR" w:eastAsia="fr-FR"/>
        </w:rPr>
        <w:t>7</w:t>
      </w:r>
      <w:r w:rsidRPr="00260790">
        <w:rPr>
          <w:rFonts w:ascii="Times New Roman" w:hAnsi="Times New Roman" w:cs="Times New Roman"/>
          <w:b w:val="0"/>
          <w:bCs/>
          <w:i/>
          <w:iCs/>
          <w:color w:val="auto"/>
          <w:sz w:val="22"/>
          <w:szCs w:val="22"/>
          <w:lang w:eastAsia="fr-FR"/>
        </w:rPr>
        <w:fldChar w:fldCharType="end"/>
      </w:r>
      <w:r w:rsidRPr="00260790">
        <w:rPr>
          <w:rFonts w:ascii="Times New Roman" w:hAnsi="Times New Roman" w:cs="Times New Roman"/>
          <w:b w:val="0"/>
          <w:bCs/>
          <w:i/>
          <w:iCs/>
          <w:color w:val="auto"/>
          <w:sz w:val="22"/>
          <w:szCs w:val="22"/>
          <w:lang w:val="fr-FR" w:eastAsia="fr-FR"/>
        </w:rPr>
        <w:t xml:space="preserve">: carte pédologie de </w:t>
      </w:r>
      <w:r w:rsidR="00E54AE4" w:rsidRPr="00260790">
        <w:rPr>
          <w:rFonts w:ascii="Times New Roman" w:hAnsi="Times New Roman" w:cs="Times New Roman"/>
          <w:b w:val="0"/>
          <w:bCs/>
          <w:i/>
          <w:iCs/>
          <w:color w:val="auto"/>
          <w:sz w:val="22"/>
          <w:szCs w:val="22"/>
          <w:lang w:val="fr-FR" w:eastAsia="fr-FR"/>
        </w:rPr>
        <w:t>la zone d’influence indirecte</w:t>
      </w:r>
      <w:bookmarkEnd w:id="426"/>
      <w:bookmarkEnd w:id="427"/>
    </w:p>
    <w:p w14:paraId="0993B6C6" w14:textId="77777777" w:rsidR="002B26A5" w:rsidRPr="00260790" w:rsidRDefault="002B26A5" w:rsidP="00E20250">
      <w:pPr>
        <w:spacing w:after="0" w:line="240" w:lineRule="auto"/>
        <w:jc w:val="both"/>
        <w:rPr>
          <w:rFonts w:ascii="Times New Roman" w:eastAsia="Times New Roman" w:hAnsi="Times New Roman"/>
          <w:b/>
          <w:color w:val="000000" w:themeColor="text1"/>
          <w:lang w:eastAsia="fr-FR"/>
        </w:rPr>
      </w:pPr>
    </w:p>
    <w:p w14:paraId="02D77192" w14:textId="77777777" w:rsidR="002B26A5" w:rsidRPr="00260790" w:rsidRDefault="002B26A5" w:rsidP="001748C6">
      <w:pPr>
        <w:numPr>
          <w:ilvl w:val="0"/>
          <w:numId w:val="349"/>
        </w:numPr>
        <w:spacing w:line="240" w:lineRule="auto"/>
        <w:ind w:left="1276"/>
        <w:contextualSpacing/>
        <w:jc w:val="both"/>
        <w:rPr>
          <w:rFonts w:ascii="Times New Roman" w:hAnsi="Times New Roman"/>
          <w:b/>
          <w:color w:val="000000" w:themeColor="text1"/>
        </w:rPr>
      </w:pPr>
      <w:r w:rsidRPr="00260790">
        <w:rPr>
          <w:rFonts w:ascii="Times New Roman" w:hAnsi="Times New Roman"/>
          <w:b/>
          <w:color w:val="000000" w:themeColor="text1"/>
        </w:rPr>
        <w:t>Hydrogéologie</w:t>
      </w:r>
    </w:p>
    <w:p w14:paraId="1E2CA4E4" w14:textId="2079DFC5"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Les eaux souterraines de la zone d’étude sont constituées essentiellement de la nappe du littoral nord. Cette nappe se situe dans les sables quaternaires bordant le littoral nord du Sénégal dans le prolongement de cette formation vers l’Est par les sables argileux du Continental Terminal (CT) et dans la formation </w:t>
      </w:r>
      <w:r w:rsidR="00361901" w:rsidRPr="00260790">
        <w:rPr>
          <w:rFonts w:ascii="Times New Roman" w:eastAsia="Times New Roman" w:hAnsi="Times New Roman"/>
          <w:color w:val="000000" w:themeColor="text1"/>
          <w:lang w:eastAsia="fr-FR"/>
        </w:rPr>
        <w:t>sous-jacente</w:t>
      </w:r>
      <w:r w:rsidRPr="00260790">
        <w:rPr>
          <w:rFonts w:ascii="Times New Roman" w:eastAsia="Times New Roman" w:hAnsi="Times New Roman"/>
          <w:color w:val="000000" w:themeColor="text1"/>
          <w:lang w:eastAsia="fr-FR"/>
        </w:rPr>
        <w:t xml:space="preserve"> des calcaires Lutéciens. Elle est essentiellement alimentée par les eaux de pluie. Cette nappe connaît une baisse du niveau de l’eau pendant la saison sèche.</w:t>
      </w:r>
    </w:p>
    <w:p w14:paraId="31BE70CF" w14:textId="7777777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carte ci-dessous illustre le type de nappe identifié dans la zone d’étude</w:t>
      </w:r>
    </w:p>
    <w:p w14:paraId="71FA8598" w14:textId="77777777" w:rsidR="002B26A5" w:rsidRPr="00260790" w:rsidRDefault="002B26A5" w:rsidP="0097258B">
      <w:pPr>
        <w:keepNext/>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noProof/>
          <w:color w:val="000000" w:themeColor="text1"/>
          <w:lang w:val="en-US"/>
        </w:rPr>
        <w:lastRenderedPageBreak/>
        <w:drawing>
          <wp:inline distT="0" distB="0" distL="0" distR="0" wp14:anchorId="78016DD3" wp14:editId="13E5977E">
            <wp:extent cx="5314950" cy="3438196"/>
            <wp:effectExtent l="0" t="0" r="0" b="3810"/>
            <wp:docPr id="1976969089" name="Image 1976969089" descr="C:\Users\S Khadim TINE\Desktop\ZONE ELARGIE ADM\aquifére ad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 Khadim TINE\Desktop\ZONE ELARGIE ADM\aquifére adm (1).jpg"/>
                    <pic:cNvPicPr>
                      <a:picLocks noChangeAspect="1" noChangeArrowheads="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0" y="0"/>
                      <a:ext cx="5375001" cy="3477042"/>
                    </a:xfrm>
                    <a:prstGeom prst="rect">
                      <a:avLst/>
                    </a:prstGeom>
                    <a:noFill/>
                    <a:ln>
                      <a:noFill/>
                    </a:ln>
                  </pic:spPr>
                </pic:pic>
              </a:graphicData>
            </a:graphic>
          </wp:inline>
        </w:drawing>
      </w:r>
    </w:p>
    <w:p w14:paraId="32E4149A" w14:textId="5F52DECB" w:rsidR="002B26A5" w:rsidRPr="00260790" w:rsidRDefault="002B26A5" w:rsidP="00E20250">
      <w:pPr>
        <w:pStyle w:val="TableCaption"/>
        <w:spacing w:before="0" w:line="240" w:lineRule="auto"/>
        <w:ind w:left="567"/>
        <w:rPr>
          <w:rFonts w:ascii="Times New Roman" w:hAnsi="Times New Roman" w:cs="Times New Roman"/>
          <w:b w:val="0"/>
          <w:bCs/>
          <w:i/>
          <w:iCs/>
          <w:color w:val="auto"/>
          <w:sz w:val="22"/>
          <w:szCs w:val="22"/>
          <w:lang w:val="fr-FR" w:eastAsia="fr-FR"/>
        </w:rPr>
      </w:pPr>
      <w:bookmarkStart w:id="428" w:name="_Toc207781970"/>
      <w:bookmarkStart w:id="429" w:name="_Toc228877399"/>
      <w:r w:rsidRPr="00260790">
        <w:rPr>
          <w:rFonts w:ascii="Times New Roman" w:hAnsi="Times New Roman" w:cs="Times New Roman"/>
          <w:b w:val="0"/>
          <w:bCs/>
          <w:i/>
          <w:iCs/>
          <w:color w:val="auto"/>
          <w:sz w:val="22"/>
          <w:szCs w:val="22"/>
          <w:lang w:val="fr-FR" w:eastAsia="fr-FR"/>
        </w:rPr>
        <w:t xml:space="preserve">Figure </w:t>
      </w:r>
      <w:r w:rsidRPr="00260790">
        <w:rPr>
          <w:rFonts w:ascii="Times New Roman" w:hAnsi="Times New Roman" w:cs="Times New Roman"/>
          <w:b w:val="0"/>
          <w:bCs/>
          <w:i/>
          <w:iCs/>
          <w:color w:val="auto"/>
          <w:sz w:val="22"/>
          <w:szCs w:val="22"/>
          <w:lang w:eastAsia="fr-FR"/>
        </w:rPr>
        <w:fldChar w:fldCharType="begin"/>
      </w:r>
      <w:r w:rsidRPr="00260790">
        <w:rPr>
          <w:rFonts w:ascii="Times New Roman" w:hAnsi="Times New Roman" w:cs="Times New Roman"/>
          <w:b w:val="0"/>
          <w:bCs/>
          <w:i/>
          <w:iCs/>
          <w:color w:val="auto"/>
          <w:sz w:val="22"/>
          <w:szCs w:val="22"/>
          <w:lang w:val="fr-FR" w:eastAsia="fr-FR"/>
        </w:rPr>
        <w:instrText xml:space="preserve"> SEQ Figure \* ARABIC </w:instrText>
      </w:r>
      <w:r w:rsidRPr="00260790">
        <w:rPr>
          <w:rFonts w:ascii="Times New Roman" w:hAnsi="Times New Roman" w:cs="Times New Roman"/>
          <w:b w:val="0"/>
          <w:bCs/>
          <w:i/>
          <w:iCs/>
          <w:color w:val="auto"/>
          <w:sz w:val="22"/>
          <w:szCs w:val="22"/>
          <w:lang w:eastAsia="fr-FR"/>
        </w:rPr>
        <w:fldChar w:fldCharType="separate"/>
      </w:r>
      <w:r w:rsidR="008A50C4">
        <w:rPr>
          <w:rFonts w:ascii="Times New Roman" w:hAnsi="Times New Roman" w:cs="Times New Roman"/>
          <w:b w:val="0"/>
          <w:bCs/>
          <w:i/>
          <w:iCs/>
          <w:noProof/>
          <w:color w:val="auto"/>
          <w:sz w:val="22"/>
          <w:szCs w:val="22"/>
          <w:lang w:val="fr-FR" w:eastAsia="fr-FR"/>
        </w:rPr>
        <w:t>8</w:t>
      </w:r>
      <w:r w:rsidRPr="00260790">
        <w:rPr>
          <w:rFonts w:ascii="Times New Roman" w:hAnsi="Times New Roman" w:cs="Times New Roman"/>
          <w:b w:val="0"/>
          <w:bCs/>
          <w:i/>
          <w:iCs/>
          <w:color w:val="auto"/>
          <w:sz w:val="22"/>
          <w:szCs w:val="22"/>
          <w:lang w:eastAsia="fr-FR"/>
        </w:rPr>
        <w:fldChar w:fldCharType="end"/>
      </w:r>
      <w:r w:rsidR="00276D5B" w:rsidRPr="00260790">
        <w:rPr>
          <w:rFonts w:ascii="Times New Roman" w:hAnsi="Times New Roman" w:cs="Times New Roman"/>
          <w:b w:val="0"/>
          <w:bCs/>
          <w:i/>
          <w:iCs/>
          <w:color w:val="auto"/>
          <w:sz w:val="22"/>
          <w:szCs w:val="22"/>
          <w:lang w:val="fr-FR" w:eastAsia="fr-FR"/>
        </w:rPr>
        <w:t xml:space="preserve"> </w:t>
      </w:r>
      <w:r w:rsidRPr="00260790">
        <w:rPr>
          <w:rFonts w:ascii="Times New Roman" w:hAnsi="Times New Roman" w:cs="Times New Roman"/>
          <w:b w:val="0"/>
          <w:bCs/>
          <w:i/>
          <w:iCs/>
          <w:color w:val="auto"/>
          <w:sz w:val="22"/>
          <w:szCs w:val="22"/>
          <w:lang w:val="fr-FR" w:eastAsia="fr-FR"/>
        </w:rPr>
        <w:t xml:space="preserve">: type aquifère de </w:t>
      </w:r>
      <w:r w:rsidR="00E54AE4" w:rsidRPr="00260790">
        <w:rPr>
          <w:rFonts w:ascii="Times New Roman" w:hAnsi="Times New Roman" w:cs="Times New Roman"/>
          <w:b w:val="0"/>
          <w:bCs/>
          <w:i/>
          <w:iCs/>
          <w:color w:val="auto"/>
          <w:sz w:val="22"/>
          <w:szCs w:val="22"/>
          <w:lang w:val="fr-FR" w:eastAsia="fr-FR"/>
        </w:rPr>
        <w:t>la zone d’influence indirecte</w:t>
      </w:r>
      <w:bookmarkEnd w:id="428"/>
      <w:bookmarkEnd w:id="429"/>
    </w:p>
    <w:p w14:paraId="72F71F80" w14:textId="77777777" w:rsidR="002B26A5" w:rsidRPr="00260790" w:rsidRDefault="002B26A5" w:rsidP="00E20250">
      <w:pPr>
        <w:spacing w:after="0" w:line="240" w:lineRule="auto"/>
        <w:rPr>
          <w:rFonts w:ascii="Times New Roman" w:eastAsia="Times New Roman" w:hAnsi="Times New Roman"/>
          <w:color w:val="000000" w:themeColor="text1"/>
          <w:lang w:eastAsia="fr-FR"/>
        </w:rPr>
      </w:pPr>
    </w:p>
    <w:p w14:paraId="0D805D40" w14:textId="77777777" w:rsidR="002B26A5" w:rsidRPr="00260790" w:rsidRDefault="002B26A5" w:rsidP="001748C6">
      <w:pPr>
        <w:numPr>
          <w:ilvl w:val="0"/>
          <w:numId w:val="349"/>
        </w:numPr>
        <w:spacing w:line="240" w:lineRule="auto"/>
        <w:ind w:left="1276"/>
        <w:contextualSpacing/>
        <w:jc w:val="both"/>
        <w:rPr>
          <w:rFonts w:ascii="Times New Roman" w:hAnsi="Times New Roman"/>
          <w:b/>
          <w:color w:val="000000" w:themeColor="text1"/>
        </w:rPr>
      </w:pPr>
      <w:r w:rsidRPr="00260790">
        <w:rPr>
          <w:rFonts w:ascii="Times New Roman" w:hAnsi="Times New Roman"/>
          <w:b/>
          <w:color w:val="000000" w:themeColor="text1"/>
        </w:rPr>
        <w:t>Les eaux de surface</w:t>
      </w:r>
    </w:p>
    <w:p w14:paraId="10861B86" w14:textId="6315C16B"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zone d’étude est marquée par une faible quantité d’eau superficielle. La quasi-totalité de ses lacs et marigots tari</w:t>
      </w:r>
      <w:r w:rsidR="0063783B" w:rsidRPr="00260790">
        <w:rPr>
          <w:rFonts w:ascii="Times New Roman" w:eastAsia="Times New Roman" w:hAnsi="Times New Roman"/>
          <w:color w:val="000000" w:themeColor="text1"/>
          <w:lang w:eastAsia="fr-FR"/>
        </w:rPr>
        <w:t>sse</w:t>
      </w:r>
      <w:r w:rsidR="00EB7FC0" w:rsidRPr="00260790">
        <w:rPr>
          <w:rFonts w:ascii="Times New Roman" w:eastAsia="Times New Roman" w:hAnsi="Times New Roman"/>
          <w:color w:val="000000" w:themeColor="text1"/>
          <w:lang w:eastAsia="fr-FR"/>
        </w:rPr>
        <w:t>nt</w:t>
      </w:r>
      <w:r w:rsidRPr="00260790">
        <w:rPr>
          <w:rFonts w:ascii="Times New Roman" w:eastAsia="Times New Roman" w:hAnsi="Times New Roman"/>
          <w:color w:val="000000" w:themeColor="text1"/>
          <w:lang w:eastAsia="fr-FR"/>
        </w:rPr>
        <w:t xml:space="preserve"> du fait de la péjoration climatique. Elle ne dispose que de quelques lacs et dépressions </w:t>
      </w:r>
      <w:proofErr w:type="spellStart"/>
      <w:r w:rsidRPr="00260790">
        <w:rPr>
          <w:rFonts w:ascii="Times New Roman" w:eastAsia="Times New Roman" w:hAnsi="Times New Roman"/>
          <w:color w:val="000000" w:themeColor="text1"/>
          <w:lang w:eastAsia="fr-FR"/>
        </w:rPr>
        <w:t>interdunaires</w:t>
      </w:r>
      <w:proofErr w:type="spellEnd"/>
      <w:r w:rsidRPr="00260790">
        <w:rPr>
          <w:rFonts w:ascii="Times New Roman" w:eastAsia="Times New Roman" w:hAnsi="Times New Roman"/>
          <w:color w:val="000000" w:themeColor="text1"/>
          <w:lang w:eastAsia="fr-FR"/>
        </w:rPr>
        <w:t xml:space="preserve">. Les cours d’eau permanents identifiés dans la zone d’influence indirecte du projet sont le lac </w:t>
      </w:r>
      <w:proofErr w:type="spellStart"/>
      <w:r w:rsidRPr="00260790">
        <w:rPr>
          <w:rFonts w:ascii="Times New Roman" w:eastAsia="Times New Roman" w:hAnsi="Times New Roman"/>
          <w:color w:val="000000" w:themeColor="text1"/>
          <w:lang w:eastAsia="fr-FR"/>
        </w:rPr>
        <w:t>Mbeubeuss</w:t>
      </w:r>
      <w:proofErr w:type="spellEnd"/>
      <w:r w:rsidRPr="00260790">
        <w:rPr>
          <w:rFonts w:ascii="Times New Roman" w:eastAsia="Times New Roman" w:hAnsi="Times New Roman"/>
          <w:color w:val="000000" w:themeColor="text1"/>
          <w:lang w:eastAsia="fr-FR"/>
        </w:rPr>
        <w:t xml:space="preserve"> dans le département de Keur Massar et le lac dans la zone du Technopole de Pikine.</w:t>
      </w:r>
    </w:p>
    <w:p w14:paraId="03DA8ACC" w14:textId="7777777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carte ci-dessous illustre le réseau hydrographique noté dans la zone d’influence indirecte</w:t>
      </w:r>
    </w:p>
    <w:p w14:paraId="39838352" w14:textId="77777777" w:rsidR="002B26A5" w:rsidRPr="00260790" w:rsidRDefault="002B26A5" w:rsidP="002D3EB6">
      <w:pPr>
        <w:keepNext/>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noProof/>
          <w:color w:val="000000" w:themeColor="text1"/>
          <w:lang w:val="en-US"/>
        </w:rPr>
        <w:lastRenderedPageBreak/>
        <w:drawing>
          <wp:inline distT="0" distB="0" distL="0" distR="0" wp14:anchorId="2FC58878" wp14:editId="7AB6D23A">
            <wp:extent cx="5733345" cy="3831709"/>
            <wp:effectExtent l="12700" t="12700" r="7620" b="1651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email">
                      <a:extLst>
                        <a:ext uri="{28A0092B-C50C-407E-A947-70E740481C1C}">
                          <a14:useLocalDpi xmlns:a14="http://schemas.microsoft.com/office/drawing/2010/main"/>
                        </a:ext>
                      </a:extLst>
                    </a:blip>
                    <a:stretch>
                      <a:fillRect/>
                    </a:stretch>
                  </pic:blipFill>
                  <pic:spPr>
                    <a:xfrm>
                      <a:off x="0" y="0"/>
                      <a:ext cx="5765491" cy="3853193"/>
                    </a:xfrm>
                    <a:prstGeom prst="rect">
                      <a:avLst/>
                    </a:prstGeom>
                    <a:ln w="3175">
                      <a:solidFill>
                        <a:sysClr val="windowText" lastClr="000000"/>
                      </a:solidFill>
                    </a:ln>
                  </pic:spPr>
                </pic:pic>
              </a:graphicData>
            </a:graphic>
          </wp:inline>
        </w:drawing>
      </w:r>
    </w:p>
    <w:p w14:paraId="0551BDEE" w14:textId="4E92F223" w:rsidR="002B26A5" w:rsidRPr="00260790" w:rsidRDefault="002B26A5" w:rsidP="00E20250">
      <w:pPr>
        <w:pStyle w:val="TableCaption"/>
        <w:spacing w:before="0" w:line="240" w:lineRule="auto"/>
        <w:ind w:left="567"/>
        <w:rPr>
          <w:rFonts w:ascii="Times New Roman" w:hAnsi="Times New Roman" w:cs="Times New Roman"/>
          <w:b w:val="0"/>
          <w:bCs/>
          <w:i/>
          <w:iCs/>
          <w:color w:val="auto"/>
          <w:sz w:val="22"/>
          <w:szCs w:val="22"/>
          <w:lang w:val="fr-FR" w:eastAsia="fr-FR"/>
        </w:rPr>
      </w:pPr>
      <w:bookmarkStart w:id="430" w:name="_Toc207781971"/>
      <w:bookmarkStart w:id="431" w:name="_Toc228877400"/>
      <w:r w:rsidRPr="00260790">
        <w:rPr>
          <w:rFonts w:ascii="Times New Roman" w:hAnsi="Times New Roman" w:cs="Times New Roman"/>
          <w:b w:val="0"/>
          <w:bCs/>
          <w:i/>
          <w:iCs/>
          <w:color w:val="auto"/>
          <w:sz w:val="22"/>
          <w:szCs w:val="22"/>
          <w:lang w:val="fr-FR" w:eastAsia="fr-FR"/>
        </w:rPr>
        <w:t xml:space="preserve">Figure </w:t>
      </w:r>
      <w:r w:rsidRPr="00260790">
        <w:rPr>
          <w:rFonts w:ascii="Times New Roman" w:hAnsi="Times New Roman" w:cs="Times New Roman"/>
          <w:b w:val="0"/>
          <w:bCs/>
          <w:i/>
          <w:iCs/>
          <w:color w:val="auto"/>
          <w:sz w:val="22"/>
          <w:szCs w:val="22"/>
          <w:lang w:eastAsia="fr-FR"/>
        </w:rPr>
        <w:fldChar w:fldCharType="begin"/>
      </w:r>
      <w:r w:rsidRPr="00260790">
        <w:rPr>
          <w:rFonts w:ascii="Times New Roman" w:hAnsi="Times New Roman" w:cs="Times New Roman"/>
          <w:b w:val="0"/>
          <w:bCs/>
          <w:i/>
          <w:iCs/>
          <w:color w:val="auto"/>
          <w:sz w:val="22"/>
          <w:szCs w:val="22"/>
          <w:lang w:val="fr-FR" w:eastAsia="fr-FR"/>
        </w:rPr>
        <w:instrText xml:space="preserve"> SEQ Figure \* ARABIC </w:instrText>
      </w:r>
      <w:r w:rsidRPr="00260790">
        <w:rPr>
          <w:rFonts w:ascii="Times New Roman" w:hAnsi="Times New Roman" w:cs="Times New Roman"/>
          <w:b w:val="0"/>
          <w:bCs/>
          <w:i/>
          <w:iCs/>
          <w:color w:val="auto"/>
          <w:sz w:val="22"/>
          <w:szCs w:val="22"/>
          <w:lang w:eastAsia="fr-FR"/>
        </w:rPr>
        <w:fldChar w:fldCharType="separate"/>
      </w:r>
      <w:r w:rsidR="008A50C4">
        <w:rPr>
          <w:rFonts w:ascii="Times New Roman" w:hAnsi="Times New Roman" w:cs="Times New Roman"/>
          <w:b w:val="0"/>
          <w:bCs/>
          <w:i/>
          <w:iCs/>
          <w:noProof/>
          <w:color w:val="auto"/>
          <w:sz w:val="22"/>
          <w:szCs w:val="22"/>
          <w:lang w:val="fr-FR" w:eastAsia="fr-FR"/>
        </w:rPr>
        <w:t>9</w:t>
      </w:r>
      <w:r w:rsidRPr="00260790">
        <w:rPr>
          <w:rFonts w:ascii="Times New Roman" w:hAnsi="Times New Roman" w:cs="Times New Roman"/>
          <w:b w:val="0"/>
          <w:bCs/>
          <w:i/>
          <w:iCs/>
          <w:color w:val="auto"/>
          <w:sz w:val="22"/>
          <w:szCs w:val="22"/>
          <w:lang w:eastAsia="fr-FR"/>
        </w:rPr>
        <w:fldChar w:fldCharType="end"/>
      </w:r>
      <w:r w:rsidR="00276D5B" w:rsidRPr="00260790">
        <w:rPr>
          <w:rFonts w:ascii="Times New Roman" w:hAnsi="Times New Roman" w:cs="Times New Roman"/>
          <w:b w:val="0"/>
          <w:bCs/>
          <w:i/>
          <w:iCs/>
          <w:color w:val="auto"/>
          <w:sz w:val="22"/>
          <w:szCs w:val="22"/>
          <w:lang w:val="fr-FR" w:eastAsia="fr-FR"/>
        </w:rPr>
        <w:t xml:space="preserve"> </w:t>
      </w:r>
      <w:r w:rsidRPr="00260790">
        <w:rPr>
          <w:rFonts w:ascii="Times New Roman" w:hAnsi="Times New Roman" w:cs="Times New Roman"/>
          <w:b w:val="0"/>
          <w:bCs/>
          <w:i/>
          <w:iCs/>
          <w:color w:val="auto"/>
          <w:sz w:val="22"/>
          <w:szCs w:val="22"/>
          <w:lang w:val="fr-FR" w:eastAsia="fr-FR"/>
        </w:rPr>
        <w:t xml:space="preserve">: les eaux de surface de </w:t>
      </w:r>
      <w:r w:rsidR="00E54AE4" w:rsidRPr="00260790">
        <w:rPr>
          <w:rFonts w:ascii="Times New Roman" w:hAnsi="Times New Roman" w:cs="Times New Roman"/>
          <w:b w:val="0"/>
          <w:bCs/>
          <w:i/>
          <w:iCs/>
          <w:color w:val="auto"/>
          <w:sz w:val="22"/>
          <w:szCs w:val="22"/>
          <w:lang w:val="fr-FR" w:eastAsia="fr-FR"/>
        </w:rPr>
        <w:t>la zone d’influence indirecte</w:t>
      </w:r>
      <w:bookmarkEnd w:id="430"/>
      <w:bookmarkEnd w:id="431"/>
    </w:p>
    <w:p w14:paraId="2BEFFE79" w14:textId="77777777" w:rsidR="002B26A5" w:rsidRPr="00260790" w:rsidRDefault="002B26A5" w:rsidP="00E20250">
      <w:pPr>
        <w:spacing w:after="0" w:line="240" w:lineRule="auto"/>
        <w:rPr>
          <w:rFonts w:ascii="Times New Roman" w:eastAsia="Times New Roman" w:hAnsi="Times New Roman"/>
          <w:color w:val="000000" w:themeColor="text1"/>
          <w:lang w:eastAsia="fr-FR"/>
        </w:rPr>
      </w:pPr>
    </w:p>
    <w:p w14:paraId="31022579" w14:textId="77777777" w:rsidR="002B26A5" w:rsidRPr="00260790" w:rsidRDefault="002B26A5" w:rsidP="001748C6">
      <w:pPr>
        <w:numPr>
          <w:ilvl w:val="0"/>
          <w:numId w:val="349"/>
        </w:numPr>
        <w:spacing w:line="240" w:lineRule="auto"/>
        <w:ind w:left="1276"/>
        <w:contextualSpacing/>
        <w:jc w:val="both"/>
        <w:rPr>
          <w:rFonts w:ascii="Times New Roman" w:hAnsi="Times New Roman"/>
          <w:b/>
          <w:color w:val="000000" w:themeColor="text1"/>
        </w:rPr>
      </w:pPr>
      <w:r w:rsidRPr="00260790">
        <w:rPr>
          <w:rFonts w:ascii="Times New Roman" w:hAnsi="Times New Roman"/>
          <w:b/>
          <w:color w:val="000000" w:themeColor="text1"/>
        </w:rPr>
        <w:t>Le climat de la zone d’étude (départements de Pikine, Rufisque et Keur Massar)</w:t>
      </w:r>
    </w:p>
    <w:p w14:paraId="3A6471AB" w14:textId="54AA0F85"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grands traits climatiques sont le résultat combiné des facteurs géographiques et aérologiques. Les premiers s’expriment par la latitude et confèrent au territoire des caractères tropicaux et sa position de Finistère Ouest-africain qui détermine</w:t>
      </w:r>
      <w:r w:rsidR="00367106" w:rsidRPr="00260790">
        <w:rPr>
          <w:rFonts w:ascii="Times New Roman" w:eastAsia="Times New Roman" w:hAnsi="Times New Roman"/>
          <w:color w:val="000000" w:themeColor="text1"/>
          <w:lang w:eastAsia="fr-FR"/>
        </w:rPr>
        <w:t>nt</w:t>
      </w:r>
      <w:r w:rsidRPr="00260790">
        <w:rPr>
          <w:rFonts w:ascii="Times New Roman" w:eastAsia="Times New Roman" w:hAnsi="Times New Roman"/>
          <w:color w:val="000000" w:themeColor="text1"/>
          <w:lang w:eastAsia="fr-FR"/>
        </w:rPr>
        <w:t xml:space="preserve"> les conditions climatiques différentes entre le littoral et l’intérieur du pays. Les seconds s’expriment par l’alternance sur le territoire de trois (3) flux (alizé maritime, alizé continental et mousson) dont le déplacement est facilité par la platitude du relief. L’étude s’est faite à partir des données climatiques de la station la Dakar-Yoff. Ces données ont été recueillies à l’Agence National de l’Aviation Civile et de la Métrologie (ANACIM). Ainsi, les paramètres analysés successivement sont : la température, les précipitations (cumule annuelle et pluie moyenne mensuelle), l’humidité relative et les vents (les directions et vitesses) sur une période 30 ans.</w:t>
      </w:r>
    </w:p>
    <w:p w14:paraId="3A697760" w14:textId="77777777" w:rsidR="002B26A5" w:rsidRPr="00260790" w:rsidRDefault="002B26A5" w:rsidP="001748C6">
      <w:pPr>
        <w:numPr>
          <w:ilvl w:val="0"/>
          <w:numId w:val="118"/>
        </w:numPr>
        <w:spacing w:line="240" w:lineRule="auto"/>
        <w:contextualSpacing/>
        <w:jc w:val="both"/>
        <w:rPr>
          <w:rFonts w:ascii="Times New Roman" w:hAnsi="Times New Roman"/>
          <w:b/>
          <w:color w:val="000000" w:themeColor="text1"/>
        </w:rPr>
      </w:pPr>
      <w:r w:rsidRPr="00260790">
        <w:rPr>
          <w:rFonts w:ascii="Times New Roman" w:hAnsi="Times New Roman"/>
          <w:b/>
          <w:color w:val="000000" w:themeColor="text1"/>
        </w:rPr>
        <w:t>Direction et vitesse des vents dominants à la station de Dakar</w:t>
      </w:r>
    </w:p>
    <w:p w14:paraId="7B1577EF" w14:textId="7777777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données des vents concernent essentiellement les directions et les vitesses. Ce sont des données de la station de Dakar sur une période de 30 ans c’est-à-dire la période allant de 1991 à 2020.</w:t>
      </w:r>
    </w:p>
    <w:p w14:paraId="01A718C5" w14:textId="77777777" w:rsidR="002B26A5" w:rsidRPr="00260790" w:rsidRDefault="002B26A5" w:rsidP="001748C6">
      <w:pPr>
        <w:numPr>
          <w:ilvl w:val="0"/>
          <w:numId w:val="119"/>
        </w:numPr>
        <w:spacing w:line="240" w:lineRule="auto"/>
        <w:contextualSpacing/>
        <w:jc w:val="both"/>
        <w:rPr>
          <w:rFonts w:ascii="Times New Roman" w:hAnsi="Times New Roman"/>
          <w:b/>
          <w:color w:val="000000" w:themeColor="text1"/>
        </w:rPr>
      </w:pPr>
      <w:r w:rsidRPr="00260790">
        <w:rPr>
          <w:rFonts w:ascii="Times New Roman" w:hAnsi="Times New Roman"/>
          <w:b/>
          <w:color w:val="000000" w:themeColor="text1"/>
        </w:rPr>
        <w:t>Direction des vents dominants à la station de Dakar</w:t>
      </w:r>
    </w:p>
    <w:p w14:paraId="026DE44F" w14:textId="7777777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L’analyse de la direction des vents dominants à la station de Dakar fait apparaitre deux (02) types de vents dominants et quelques directions secondaires. Il s’agit des vents de direction Nord, Nord-Ouest et Ouest. La figure ci-après montre l’évolution des vents dominants à la station de Dakar.</w:t>
      </w:r>
    </w:p>
    <w:p w14:paraId="4CDC5AA7" w14:textId="77777777" w:rsidR="002B26A5" w:rsidRPr="00260790" w:rsidRDefault="002B26A5" w:rsidP="0097258B">
      <w:pPr>
        <w:keepNext/>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noProof/>
          <w:color w:val="000000" w:themeColor="text1"/>
          <w:lang w:val="en-US"/>
        </w:rPr>
        <w:lastRenderedPageBreak/>
        <w:drawing>
          <wp:inline distT="0" distB="0" distL="0" distR="0" wp14:anchorId="53C5B2AA" wp14:editId="1F270BF4">
            <wp:extent cx="5576711" cy="2919942"/>
            <wp:effectExtent l="0" t="0" r="11430" b="13970"/>
            <wp:docPr id="280349963" name="Graphique 2803499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3C8EA799" w14:textId="4DDC65CB" w:rsidR="002B26A5" w:rsidRPr="00260790" w:rsidRDefault="002B26A5" w:rsidP="00E20250">
      <w:pPr>
        <w:pStyle w:val="TableCaption"/>
        <w:spacing w:before="0" w:line="240" w:lineRule="auto"/>
        <w:ind w:left="567"/>
        <w:rPr>
          <w:rFonts w:ascii="Times New Roman" w:hAnsi="Times New Roman" w:cs="Times New Roman"/>
          <w:b w:val="0"/>
          <w:bCs/>
          <w:i/>
          <w:iCs/>
          <w:color w:val="auto"/>
          <w:sz w:val="22"/>
          <w:szCs w:val="22"/>
          <w:lang w:val="fr-FR" w:eastAsia="fr-FR"/>
        </w:rPr>
      </w:pPr>
      <w:bookmarkStart w:id="432" w:name="_Toc207781972"/>
      <w:bookmarkStart w:id="433" w:name="_Toc228877401"/>
      <w:r w:rsidRPr="00260790">
        <w:rPr>
          <w:rFonts w:ascii="Times New Roman" w:hAnsi="Times New Roman" w:cs="Times New Roman"/>
          <w:b w:val="0"/>
          <w:bCs/>
          <w:i/>
          <w:iCs/>
          <w:color w:val="auto"/>
          <w:sz w:val="22"/>
          <w:szCs w:val="22"/>
          <w:lang w:val="fr-FR" w:eastAsia="fr-FR"/>
        </w:rPr>
        <w:t xml:space="preserve">Figure </w:t>
      </w:r>
      <w:r w:rsidRPr="00260790">
        <w:rPr>
          <w:rFonts w:ascii="Times New Roman" w:hAnsi="Times New Roman" w:cs="Times New Roman"/>
          <w:b w:val="0"/>
          <w:bCs/>
          <w:i/>
          <w:iCs/>
          <w:color w:val="auto"/>
          <w:sz w:val="22"/>
          <w:szCs w:val="22"/>
          <w:lang w:eastAsia="fr-FR"/>
        </w:rPr>
        <w:fldChar w:fldCharType="begin"/>
      </w:r>
      <w:r w:rsidRPr="00260790">
        <w:rPr>
          <w:rFonts w:ascii="Times New Roman" w:hAnsi="Times New Roman" w:cs="Times New Roman"/>
          <w:b w:val="0"/>
          <w:bCs/>
          <w:i/>
          <w:iCs/>
          <w:color w:val="auto"/>
          <w:sz w:val="22"/>
          <w:szCs w:val="22"/>
          <w:lang w:val="fr-FR" w:eastAsia="fr-FR"/>
        </w:rPr>
        <w:instrText xml:space="preserve"> SEQ Figure \* ARABIC </w:instrText>
      </w:r>
      <w:r w:rsidRPr="00260790">
        <w:rPr>
          <w:rFonts w:ascii="Times New Roman" w:hAnsi="Times New Roman" w:cs="Times New Roman"/>
          <w:b w:val="0"/>
          <w:bCs/>
          <w:i/>
          <w:iCs/>
          <w:color w:val="auto"/>
          <w:sz w:val="22"/>
          <w:szCs w:val="22"/>
          <w:lang w:eastAsia="fr-FR"/>
        </w:rPr>
        <w:fldChar w:fldCharType="separate"/>
      </w:r>
      <w:r w:rsidR="008A50C4">
        <w:rPr>
          <w:rFonts w:ascii="Times New Roman" w:hAnsi="Times New Roman" w:cs="Times New Roman"/>
          <w:b w:val="0"/>
          <w:bCs/>
          <w:i/>
          <w:iCs/>
          <w:noProof/>
          <w:color w:val="auto"/>
          <w:sz w:val="22"/>
          <w:szCs w:val="22"/>
          <w:lang w:val="fr-FR" w:eastAsia="fr-FR"/>
        </w:rPr>
        <w:t>10</w:t>
      </w:r>
      <w:r w:rsidRPr="00260790">
        <w:rPr>
          <w:rFonts w:ascii="Times New Roman" w:hAnsi="Times New Roman" w:cs="Times New Roman"/>
          <w:b w:val="0"/>
          <w:bCs/>
          <w:i/>
          <w:iCs/>
          <w:color w:val="auto"/>
          <w:sz w:val="22"/>
          <w:szCs w:val="22"/>
          <w:lang w:eastAsia="fr-FR"/>
        </w:rPr>
        <w:fldChar w:fldCharType="end"/>
      </w:r>
      <w:bookmarkStart w:id="434" w:name="_Toc172031579"/>
      <w:r w:rsidRPr="00260790">
        <w:rPr>
          <w:rFonts w:ascii="Times New Roman" w:hAnsi="Times New Roman" w:cs="Times New Roman"/>
          <w:b w:val="0"/>
          <w:bCs/>
          <w:i/>
          <w:iCs/>
          <w:color w:val="auto"/>
          <w:sz w:val="22"/>
          <w:szCs w:val="22"/>
          <w:lang w:val="fr-FR" w:eastAsia="fr-FR"/>
        </w:rPr>
        <w:t>: Rose des vents au sol de 1991 à 2020 à station de Dakar Yoff.</w:t>
      </w:r>
      <w:bookmarkEnd w:id="432"/>
      <w:bookmarkEnd w:id="433"/>
      <w:bookmarkEnd w:id="434"/>
      <w:r w:rsidRPr="00260790">
        <w:rPr>
          <w:rFonts w:ascii="Times New Roman" w:hAnsi="Times New Roman" w:cs="Times New Roman"/>
          <w:b w:val="0"/>
          <w:bCs/>
          <w:i/>
          <w:iCs/>
          <w:color w:val="auto"/>
          <w:sz w:val="22"/>
          <w:szCs w:val="22"/>
          <w:lang w:val="fr-FR" w:eastAsia="fr-FR"/>
        </w:rPr>
        <w:t xml:space="preserve"> </w:t>
      </w:r>
    </w:p>
    <w:p w14:paraId="47C06B87" w14:textId="77777777" w:rsidR="002B26A5" w:rsidRPr="00260790" w:rsidRDefault="002B26A5" w:rsidP="00E20250">
      <w:pPr>
        <w:pStyle w:val="TableCaption"/>
        <w:spacing w:before="0" w:after="240" w:line="240" w:lineRule="auto"/>
        <w:ind w:left="567"/>
        <w:rPr>
          <w:rFonts w:ascii="Times New Roman" w:hAnsi="Times New Roman" w:cs="Times New Roman"/>
          <w:b w:val="0"/>
          <w:bCs/>
          <w:i/>
          <w:iCs/>
          <w:color w:val="auto"/>
          <w:sz w:val="22"/>
          <w:szCs w:val="22"/>
          <w:lang w:val="fr-FR" w:eastAsia="fr-FR"/>
        </w:rPr>
      </w:pPr>
      <w:r w:rsidRPr="00260790">
        <w:rPr>
          <w:rFonts w:ascii="Times New Roman" w:hAnsi="Times New Roman" w:cs="Times New Roman"/>
          <w:b w:val="0"/>
          <w:bCs/>
          <w:i/>
          <w:iCs/>
          <w:color w:val="auto"/>
          <w:sz w:val="22"/>
          <w:szCs w:val="22"/>
          <w:lang w:val="fr-FR" w:eastAsia="fr-FR"/>
        </w:rPr>
        <w:t>(Source : ANACIM, 2020)</w:t>
      </w:r>
    </w:p>
    <w:p w14:paraId="3BE9F6CE" w14:textId="7777777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La circulation des vents à la station de Dakar met en évidence deux saisons éoliennes caractérisées par différents apports atmosphériques. Il est noté dans cette station une hétérogénéité des types de vents suivant le rythme des saisons. Ainsi, une prédominance des vents de direction Nord (N) Nord-Ouest (NO) est notée pendant la saison sèche (de juillet à octobre). Ce sont des alizés maritimes frais et humide, issue de l’anticyclone des Açores. </w:t>
      </w:r>
    </w:p>
    <w:p w14:paraId="19AE11BB" w14:textId="502D84F0" w:rsidR="002B26A5" w:rsidRPr="00260790" w:rsidRDefault="00367106"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À</w:t>
      </w:r>
      <w:r w:rsidR="002B26A5" w:rsidRPr="00260790">
        <w:rPr>
          <w:rFonts w:ascii="Times New Roman" w:eastAsia="Times New Roman" w:hAnsi="Times New Roman"/>
          <w:color w:val="000000" w:themeColor="text1"/>
          <w:lang w:eastAsia="fr-FR"/>
        </w:rPr>
        <w:t xml:space="preserve"> partir du mois de juillet s’installent les vents de direction ouest et de Nord-Ouest au niveau de la station de Dakar. Ces vents sont régis par la circulation de mousson. Ils sont observés pendant la saison des pluies (de juillet à octobre) et sont caractérisés par leur faiblesse et surtout leur humidité en raison de leur long parcours océanique. Ces vents proviennent de l’anticyclone Sainte</w:t>
      </w:r>
      <w:r w:rsidR="00D92C7D" w:rsidRPr="00260790">
        <w:rPr>
          <w:rFonts w:ascii="Times New Roman" w:eastAsia="Times New Roman" w:hAnsi="Times New Roman"/>
          <w:color w:val="000000" w:themeColor="text1"/>
          <w:lang w:eastAsia="fr-FR"/>
        </w:rPr>
        <w:t>-</w:t>
      </w:r>
      <w:r w:rsidR="002B26A5" w:rsidRPr="00260790">
        <w:rPr>
          <w:rFonts w:ascii="Times New Roman" w:eastAsia="Times New Roman" w:hAnsi="Times New Roman"/>
          <w:color w:val="000000" w:themeColor="text1"/>
          <w:lang w:eastAsia="fr-FR"/>
        </w:rPr>
        <w:t>Hélène.</w:t>
      </w:r>
    </w:p>
    <w:p w14:paraId="45EB050E" w14:textId="77777777" w:rsidR="002B26A5" w:rsidRPr="00260790" w:rsidRDefault="002B26A5" w:rsidP="001748C6">
      <w:pPr>
        <w:numPr>
          <w:ilvl w:val="0"/>
          <w:numId w:val="119"/>
        </w:numPr>
        <w:spacing w:line="240" w:lineRule="auto"/>
        <w:contextualSpacing/>
        <w:jc w:val="both"/>
        <w:rPr>
          <w:rFonts w:ascii="Times New Roman" w:hAnsi="Times New Roman"/>
          <w:b/>
          <w:color w:val="000000" w:themeColor="text1"/>
        </w:rPr>
      </w:pPr>
      <w:r w:rsidRPr="00260790">
        <w:rPr>
          <w:rFonts w:ascii="Times New Roman" w:hAnsi="Times New Roman"/>
          <w:b/>
          <w:color w:val="000000" w:themeColor="text1"/>
        </w:rPr>
        <w:t>Vitesse des vents dominants à la station de Dakar</w:t>
      </w:r>
    </w:p>
    <w:p w14:paraId="642DC6EC" w14:textId="7D51CF23"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centres d’action donnent naissance à deux (02) types de flux qui arrivent au niveau de la station avec des vitesses relativement élevées dans l’ensemble. Le graphique ci-dessous montre l’évolution de la vitesse des vents sur la période allant de 1991 à 2020 pour la station de Dakar-Yoff.</w:t>
      </w:r>
    </w:p>
    <w:p w14:paraId="4B352799" w14:textId="77777777" w:rsidR="002B26A5" w:rsidRPr="00260790" w:rsidRDefault="002B26A5" w:rsidP="002D3EB6">
      <w:pPr>
        <w:keepNext/>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noProof/>
          <w:color w:val="000000" w:themeColor="text1"/>
          <w:lang w:val="en-US"/>
        </w:rPr>
        <w:lastRenderedPageBreak/>
        <w:drawing>
          <wp:inline distT="0" distB="0" distL="0" distR="0" wp14:anchorId="3449229F" wp14:editId="329134A5">
            <wp:extent cx="5667022" cy="2822222"/>
            <wp:effectExtent l="0" t="0" r="10160" b="10160"/>
            <wp:docPr id="1624152591" name="Graphique 16241525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513CE695" w14:textId="635183D4" w:rsidR="002B26A5" w:rsidRPr="00260790" w:rsidRDefault="002B26A5" w:rsidP="00E20250">
      <w:pPr>
        <w:pStyle w:val="TableCaption"/>
        <w:spacing w:line="240" w:lineRule="auto"/>
        <w:ind w:left="567"/>
        <w:rPr>
          <w:rFonts w:ascii="Times New Roman" w:hAnsi="Times New Roman" w:cs="Times New Roman"/>
          <w:b w:val="0"/>
          <w:bCs/>
          <w:i/>
          <w:iCs/>
          <w:color w:val="auto"/>
          <w:sz w:val="22"/>
          <w:szCs w:val="22"/>
          <w:lang w:val="fr-FR" w:eastAsia="fr-FR"/>
        </w:rPr>
      </w:pPr>
      <w:bookmarkStart w:id="435" w:name="_Toc207781973"/>
      <w:bookmarkStart w:id="436" w:name="_Toc228877402"/>
      <w:r w:rsidRPr="00260790">
        <w:rPr>
          <w:rFonts w:ascii="Times New Roman" w:hAnsi="Times New Roman" w:cs="Times New Roman"/>
          <w:b w:val="0"/>
          <w:bCs/>
          <w:i/>
          <w:iCs/>
          <w:color w:val="auto"/>
          <w:sz w:val="22"/>
          <w:szCs w:val="22"/>
          <w:lang w:val="fr-FR" w:eastAsia="fr-FR"/>
        </w:rPr>
        <w:t xml:space="preserve">Figure </w:t>
      </w:r>
      <w:r w:rsidRPr="00260790">
        <w:rPr>
          <w:rFonts w:ascii="Times New Roman" w:hAnsi="Times New Roman" w:cs="Times New Roman"/>
          <w:b w:val="0"/>
          <w:bCs/>
          <w:i/>
          <w:iCs/>
          <w:color w:val="auto"/>
          <w:sz w:val="22"/>
          <w:szCs w:val="22"/>
          <w:lang w:eastAsia="fr-FR"/>
        </w:rPr>
        <w:fldChar w:fldCharType="begin"/>
      </w:r>
      <w:r w:rsidRPr="00260790">
        <w:rPr>
          <w:rFonts w:ascii="Times New Roman" w:hAnsi="Times New Roman" w:cs="Times New Roman"/>
          <w:b w:val="0"/>
          <w:bCs/>
          <w:i/>
          <w:iCs/>
          <w:color w:val="auto"/>
          <w:sz w:val="22"/>
          <w:szCs w:val="22"/>
          <w:lang w:val="fr-FR" w:eastAsia="fr-FR"/>
        </w:rPr>
        <w:instrText xml:space="preserve"> SEQ Figure \* ARABIC </w:instrText>
      </w:r>
      <w:r w:rsidRPr="00260790">
        <w:rPr>
          <w:rFonts w:ascii="Times New Roman" w:hAnsi="Times New Roman" w:cs="Times New Roman"/>
          <w:b w:val="0"/>
          <w:bCs/>
          <w:i/>
          <w:iCs/>
          <w:color w:val="auto"/>
          <w:sz w:val="22"/>
          <w:szCs w:val="22"/>
          <w:lang w:eastAsia="fr-FR"/>
        </w:rPr>
        <w:fldChar w:fldCharType="separate"/>
      </w:r>
      <w:r w:rsidR="008A50C4">
        <w:rPr>
          <w:rFonts w:ascii="Times New Roman" w:hAnsi="Times New Roman" w:cs="Times New Roman"/>
          <w:b w:val="0"/>
          <w:bCs/>
          <w:i/>
          <w:iCs/>
          <w:noProof/>
          <w:color w:val="auto"/>
          <w:sz w:val="22"/>
          <w:szCs w:val="22"/>
          <w:lang w:val="fr-FR" w:eastAsia="fr-FR"/>
        </w:rPr>
        <w:t>11</w:t>
      </w:r>
      <w:r w:rsidRPr="00260790">
        <w:rPr>
          <w:rFonts w:ascii="Times New Roman" w:hAnsi="Times New Roman" w:cs="Times New Roman"/>
          <w:b w:val="0"/>
          <w:bCs/>
          <w:i/>
          <w:iCs/>
          <w:color w:val="auto"/>
          <w:sz w:val="22"/>
          <w:szCs w:val="22"/>
          <w:lang w:eastAsia="fr-FR"/>
        </w:rPr>
        <w:fldChar w:fldCharType="end"/>
      </w:r>
      <w:bookmarkStart w:id="437" w:name="_Toc172031580"/>
      <w:r w:rsidRPr="00260790">
        <w:rPr>
          <w:rFonts w:ascii="Times New Roman" w:hAnsi="Times New Roman" w:cs="Times New Roman"/>
          <w:b w:val="0"/>
          <w:bCs/>
          <w:i/>
          <w:iCs/>
          <w:color w:val="auto"/>
          <w:sz w:val="22"/>
          <w:szCs w:val="22"/>
          <w:lang w:val="fr-FR" w:eastAsia="fr-FR"/>
        </w:rPr>
        <w:t xml:space="preserve">: </w:t>
      </w:r>
      <w:r w:rsidR="002A7FB2" w:rsidRPr="00260790">
        <w:rPr>
          <w:rFonts w:ascii="Times New Roman" w:hAnsi="Times New Roman" w:cs="Times New Roman"/>
          <w:b w:val="0"/>
          <w:bCs/>
          <w:i/>
          <w:iCs/>
          <w:color w:val="auto"/>
          <w:sz w:val="22"/>
          <w:szCs w:val="22"/>
          <w:lang w:val="fr-FR" w:eastAsia="fr-FR"/>
        </w:rPr>
        <w:t>C</w:t>
      </w:r>
      <w:r w:rsidRPr="00260790">
        <w:rPr>
          <w:rFonts w:ascii="Times New Roman" w:hAnsi="Times New Roman" w:cs="Times New Roman"/>
          <w:b w:val="0"/>
          <w:bCs/>
          <w:i/>
          <w:iCs/>
          <w:color w:val="auto"/>
          <w:sz w:val="22"/>
          <w:szCs w:val="22"/>
          <w:lang w:val="fr-FR" w:eastAsia="fr-FR"/>
        </w:rPr>
        <w:t xml:space="preserve">ourbes </w:t>
      </w:r>
      <w:proofErr w:type="spellStart"/>
      <w:r w:rsidRPr="00260790">
        <w:rPr>
          <w:rFonts w:ascii="Times New Roman" w:hAnsi="Times New Roman" w:cs="Times New Roman"/>
          <w:b w:val="0"/>
          <w:bCs/>
          <w:i/>
          <w:iCs/>
          <w:color w:val="auto"/>
          <w:sz w:val="22"/>
          <w:szCs w:val="22"/>
          <w:lang w:val="fr-FR" w:eastAsia="fr-FR"/>
        </w:rPr>
        <w:t>inter</w:t>
      </w:r>
      <w:r w:rsidR="00D92C7D" w:rsidRPr="00260790">
        <w:rPr>
          <w:rFonts w:ascii="Times New Roman" w:hAnsi="Times New Roman" w:cs="Times New Roman"/>
          <w:b w:val="0"/>
          <w:bCs/>
          <w:i/>
          <w:iCs/>
          <w:color w:val="auto"/>
          <w:sz w:val="22"/>
          <w:szCs w:val="22"/>
          <w:lang w:val="fr-FR" w:eastAsia="fr-FR"/>
        </w:rPr>
        <w:t>mensuelles</w:t>
      </w:r>
      <w:proofErr w:type="spellEnd"/>
      <w:r w:rsidRPr="00260790">
        <w:rPr>
          <w:rFonts w:ascii="Times New Roman" w:hAnsi="Times New Roman" w:cs="Times New Roman"/>
          <w:b w:val="0"/>
          <w:bCs/>
          <w:i/>
          <w:iCs/>
          <w:color w:val="auto"/>
          <w:sz w:val="22"/>
          <w:szCs w:val="22"/>
          <w:lang w:val="fr-FR" w:eastAsia="fr-FR"/>
        </w:rPr>
        <w:t xml:space="preserve"> à la vitesse des vents au sol de 1991 à 2020 à station de Dakar Yoff</w:t>
      </w:r>
      <w:bookmarkEnd w:id="435"/>
      <w:bookmarkEnd w:id="436"/>
      <w:bookmarkEnd w:id="437"/>
    </w:p>
    <w:p w14:paraId="2866BF57" w14:textId="1E930062" w:rsidR="002B26A5" w:rsidRPr="00260790" w:rsidRDefault="002B26A5" w:rsidP="0097258B">
      <w:pPr>
        <w:spacing w:before="240"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L’analyse de la courbe d’évolution de la vitesse des vents fait apparaitre deux périodes : une période pendant laquelle les vitesses moyennes mensuelles des vents sont élevées (supérieures à 5 m/s) et une autre période où les valeurs des vitesses moyennes sont moins importantes (inférieures à 4 m/s).</w:t>
      </w:r>
    </w:p>
    <w:p w14:paraId="08C744F3" w14:textId="7777777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La première période correspond à la saison sèche. C’est la période allant de novembre à juin avec des valeurs comprises entre 3,74 au mois de mai et 5,40 m/s au mois d’avril. Le maximum des vitesses moyennes mensuelles est enregistré au mois d’avril avec 5,40 m/s. Cette élévation des vitesses moyennes mensuelles est due à la faible teneur du vent en humidité. </w:t>
      </w:r>
    </w:p>
    <w:p w14:paraId="5FACD7AC" w14:textId="7777777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La seconde période correspond à la saison des pluies allant de juin à novembre. Les vitesses moyennes mensuelles sont légèrement élevées avec des valeurs comprises entre 3,01 m/s en septembre et 3,55m/s en juillet. La vitesse minimale de la série est enregistrée au mois septembre. La quasi-totalité de la circulation est enregistrée dans le quadrant NO à O. Il s’agit de la circulation de Mousson qui est un vent chaud et humide. </w:t>
      </w:r>
    </w:p>
    <w:p w14:paraId="04DAC093" w14:textId="77777777" w:rsidR="002B26A5" w:rsidRPr="00260790" w:rsidRDefault="002B26A5" w:rsidP="001748C6">
      <w:pPr>
        <w:numPr>
          <w:ilvl w:val="0"/>
          <w:numId w:val="349"/>
        </w:numPr>
        <w:spacing w:line="240" w:lineRule="auto"/>
        <w:ind w:left="1276"/>
        <w:contextualSpacing/>
        <w:jc w:val="both"/>
        <w:rPr>
          <w:rFonts w:ascii="Times New Roman" w:hAnsi="Times New Roman"/>
          <w:b/>
          <w:color w:val="000000" w:themeColor="text1"/>
        </w:rPr>
      </w:pPr>
      <w:r w:rsidRPr="00260790">
        <w:rPr>
          <w:rFonts w:ascii="Times New Roman" w:hAnsi="Times New Roman"/>
          <w:b/>
          <w:color w:val="000000" w:themeColor="text1"/>
        </w:rPr>
        <w:t>Température à la station de Dakar</w:t>
      </w:r>
    </w:p>
    <w:p w14:paraId="571A67C5" w14:textId="7777777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région de Dakar bénéficie de températures peu élevées et varient en fonction des saisons. Elle est marquée par des températures assez modérées influencées par la circulation des alizés maritimes. Ces derniers sont issus de l’anticyclone des Açores caractérisé par des vents frais et humides. Le graphique ci-dessous montre l’évolution des températures à la station de Dakar-Yoff.</w:t>
      </w:r>
    </w:p>
    <w:p w14:paraId="2B0BDC64" w14:textId="77777777" w:rsidR="002B26A5" w:rsidRPr="00260790" w:rsidRDefault="002B26A5" w:rsidP="00E20250">
      <w:pPr>
        <w:spacing w:line="240" w:lineRule="auto"/>
        <w:ind w:left="720"/>
        <w:contextualSpacing/>
        <w:jc w:val="both"/>
        <w:rPr>
          <w:rFonts w:ascii="Times New Roman" w:hAnsi="Times New Roman"/>
          <w:b/>
          <w:color w:val="000000" w:themeColor="text1"/>
        </w:rPr>
      </w:pPr>
    </w:p>
    <w:p w14:paraId="0112AA6B" w14:textId="77777777" w:rsidR="002B26A5" w:rsidRPr="00260790" w:rsidRDefault="002B26A5" w:rsidP="0097258B">
      <w:pPr>
        <w:keepNext/>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noProof/>
          <w:color w:val="000000" w:themeColor="text1"/>
          <w:lang w:val="en-US"/>
        </w:rPr>
        <w:lastRenderedPageBreak/>
        <w:drawing>
          <wp:inline distT="0" distB="0" distL="0" distR="0" wp14:anchorId="511AE298" wp14:editId="5C42BBE2">
            <wp:extent cx="5554133" cy="2883535"/>
            <wp:effectExtent l="0" t="0" r="8890" b="12065"/>
            <wp:docPr id="1319542937" name="Graphique 13195429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4420864A" w14:textId="46D6D944" w:rsidR="002B26A5" w:rsidRPr="00260790" w:rsidRDefault="002B26A5" w:rsidP="00E20250">
      <w:pPr>
        <w:pStyle w:val="TableCaption"/>
        <w:spacing w:before="0" w:after="240" w:line="240" w:lineRule="auto"/>
        <w:ind w:left="567"/>
        <w:rPr>
          <w:rFonts w:ascii="Times New Roman" w:hAnsi="Times New Roman" w:cs="Times New Roman"/>
          <w:b w:val="0"/>
          <w:bCs/>
          <w:i/>
          <w:iCs/>
          <w:color w:val="auto"/>
          <w:sz w:val="22"/>
          <w:szCs w:val="22"/>
          <w:lang w:val="fr-FR" w:eastAsia="fr-FR"/>
        </w:rPr>
      </w:pPr>
      <w:bookmarkStart w:id="438" w:name="_Toc207781974"/>
      <w:bookmarkStart w:id="439" w:name="_Toc228877403"/>
      <w:r w:rsidRPr="00260790">
        <w:rPr>
          <w:rFonts w:ascii="Times New Roman" w:hAnsi="Times New Roman" w:cs="Times New Roman"/>
          <w:b w:val="0"/>
          <w:bCs/>
          <w:i/>
          <w:iCs/>
          <w:color w:val="auto"/>
          <w:sz w:val="22"/>
          <w:szCs w:val="22"/>
          <w:lang w:val="fr-FR" w:eastAsia="fr-FR"/>
        </w:rPr>
        <w:t xml:space="preserve">Figure </w:t>
      </w:r>
      <w:r w:rsidRPr="00260790">
        <w:rPr>
          <w:rFonts w:ascii="Times New Roman" w:hAnsi="Times New Roman" w:cs="Times New Roman"/>
          <w:b w:val="0"/>
          <w:bCs/>
          <w:i/>
          <w:iCs/>
          <w:color w:val="auto"/>
          <w:sz w:val="22"/>
          <w:szCs w:val="22"/>
          <w:lang w:eastAsia="fr-FR"/>
        </w:rPr>
        <w:fldChar w:fldCharType="begin"/>
      </w:r>
      <w:r w:rsidRPr="00260790">
        <w:rPr>
          <w:rFonts w:ascii="Times New Roman" w:hAnsi="Times New Roman" w:cs="Times New Roman"/>
          <w:b w:val="0"/>
          <w:bCs/>
          <w:i/>
          <w:iCs/>
          <w:color w:val="auto"/>
          <w:sz w:val="22"/>
          <w:szCs w:val="22"/>
          <w:lang w:val="fr-FR" w:eastAsia="fr-FR"/>
        </w:rPr>
        <w:instrText xml:space="preserve"> SEQ Figure \* ARABIC </w:instrText>
      </w:r>
      <w:r w:rsidRPr="00260790">
        <w:rPr>
          <w:rFonts w:ascii="Times New Roman" w:hAnsi="Times New Roman" w:cs="Times New Roman"/>
          <w:b w:val="0"/>
          <w:bCs/>
          <w:i/>
          <w:iCs/>
          <w:color w:val="auto"/>
          <w:sz w:val="22"/>
          <w:szCs w:val="22"/>
          <w:lang w:eastAsia="fr-FR"/>
        </w:rPr>
        <w:fldChar w:fldCharType="separate"/>
      </w:r>
      <w:r w:rsidR="008A50C4">
        <w:rPr>
          <w:rFonts w:ascii="Times New Roman" w:hAnsi="Times New Roman" w:cs="Times New Roman"/>
          <w:b w:val="0"/>
          <w:bCs/>
          <w:i/>
          <w:iCs/>
          <w:noProof/>
          <w:color w:val="auto"/>
          <w:sz w:val="22"/>
          <w:szCs w:val="22"/>
          <w:lang w:val="fr-FR" w:eastAsia="fr-FR"/>
        </w:rPr>
        <w:t>12</w:t>
      </w:r>
      <w:r w:rsidRPr="00260790">
        <w:rPr>
          <w:rFonts w:ascii="Times New Roman" w:hAnsi="Times New Roman" w:cs="Times New Roman"/>
          <w:b w:val="0"/>
          <w:bCs/>
          <w:i/>
          <w:iCs/>
          <w:color w:val="auto"/>
          <w:sz w:val="22"/>
          <w:szCs w:val="22"/>
          <w:lang w:eastAsia="fr-FR"/>
        </w:rPr>
        <w:fldChar w:fldCharType="end"/>
      </w:r>
      <w:bookmarkStart w:id="440" w:name="_Toc172031581"/>
      <w:r w:rsidRPr="00260790">
        <w:rPr>
          <w:rFonts w:ascii="Times New Roman" w:hAnsi="Times New Roman" w:cs="Times New Roman"/>
          <w:b w:val="0"/>
          <w:bCs/>
          <w:i/>
          <w:iCs/>
          <w:color w:val="auto"/>
          <w:sz w:val="22"/>
          <w:szCs w:val="22"/>
          <w:lang w:val="fr-FR" w:eastAsia="fr-FR"/>
        </w:rPr>
        <w:t xml:space="preserve">: </w:t>
      </w:r>
      <w:r w:rsidR="00276D5B" w:rsidRPr="00260790">
        <w:rPr>
          <w:rFonts w:ascii="Times New Roman" w:hAnsi="Times New Roman" w:cs="Times New Roman"/>
          <w:b w:val="0"/>
          <w:bCs/>
          <w:i/>
          <w:iCs/>
          <w:color w:val="auto"/>
          <w:sz w:val="22"/>
          <w:szCs w:val="22"/>
          <w:lang w:val="fr-FR" w:eastAsia="fr-FR"/>
        </w:rPr>
        <w:t>Évolution</w:t>
      </w:r>
      <w:r w:rsidRPr="00260790">
        <w:rPr>
          <w:rFonts w:ascii="Times New Roman" w:hAnsi="Times New Roman" w:cs="Times New Roman"/>
          <w:b w:val="0"/>
          <w:bCs/>
          <w:i/>
          <w:iCs/>
          <w:color w:val="auto"/>
          <w:sz w:val="22"/>
          <w:szCs w:val="22"/>
          <w:lang w:val="fr-FR" w:eastAsia="fr-FR"/>
        </w:rPr>
        <w:t xml:space="preserve"> des températures moyennes mensuelles à la station de Dakar de 1990 à 2020 (</w:t>
      </w:r>
      <w:r w:rsidR="0095190F" w:rsidRPr="00260790">
        <w:rPr>
          <w:rFonts w:ascii="Times New Roman" w:hAnsi="Times New Roman" w:cs="Times New Roman"/>
          <w:b w:val="0"/>
          <w:bCs/>
          <w:i/>
          <w:iCs/>
          <w:color w:val="auto"/>
          <w:sz w:val="22"/>
          <w:szCs w:val="22"/>
          <w:lang w:val="fr-FR" w:eastAsia="fr-FR"/>
        </w:rPr>
        <w:t>Source :</w:t>
      </w:r>
      <w:r w:rsidRPr="00260790">
        <w:rPr>
          <w:rFonts w:ascii="Times New Roman" w:hAnsi="Times New Roman" w:cs="Times New Roman"/>
          <w:b w:val="0"/>
          <w:bCs/>
          <w:i/>
          <w:iCs/>
          <w:color w:val="auto"/>
          <w:sz w:val="22"/>
          <w:szCs w:val="22"/>
          <w:lang w:val="fr-FR" w:eastAsia="fr-FR"/>
        </w:rPr>
        <w:t xml:space="preserve"> ANACIM, 2020)</w:t>
      </w:r>
      <w:bookmarkEnd w:id="438"/>
      <w:bookmarkEnd w:id="439"/>
      <w:bookmarkEnd w:id="440"/>
    </w:p>
    <w:p w14:paraId="2ECCA04C" w14:textId="2047BD4B"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températures moyennes maximales (T. max) de la région de Dakar sont modérées et varient entre 30,2 °C au mois d’octobre et 25°C au mois d’avril. Les températures moyennes minimales sont relativement basses avec un maximum de 25,5°C en octobre et un minimum observé en février (16,4°C). En ce qui concerne les températures moyennes, leur maximum est atteint au mois d’octobre soit 28,4°C et leur minimum en février avec 21,5°C.</w:t>
      </w:r>
    </w:p>
    <w:p w14:paraId="7B2E59A0" w14:textId="77777777" w:rsidR="002B26A5" w:rsidRPr="00260790" w:rsidRDefault="002B26A5" w:rsidP="001748C6">
      <w:pPr>
        <w:numPr>
          <w:ilvl w:val="0"/>
          <w:numId w:val="349"/>
        </w:numPr>
        <w:spacing w:line="240" w:lineRule="auto"/>
        <w:ind w:left="1276"/>
        <w:contextualSpacing/>
        <w:jc w:val="both"/>
        <w:rPr>
          <w:rFonts w:ascii="Times New Roman" w:hAnsi="Times New Roman"/>
          <w:b/>
          <w:color w:val="000000" w:themeColor="text1"/>
        </w:rPr>
      </w:pPr>
      <w:r w:rsidRPr="00260790">
        <w:rPr>
          <w:rFonts w:ascii="Times New Roman" w:hAnsi="Times New Roman"/>
          <w:b/>
          <w:color w:val="000000" w:themeColor="text1"/>
        </w:rPr>
        <w:t>Précipitations à la station Dakar</w:t>
      </w:r>
    </w:p>
    <w:p w14:paraId="3C313D0C" w14:textId="7777777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mécanismes des précipitations sont soumis à la dynamique des centres d’actions situées de part et d’autre de l’équateur et les basses pressions intertropicales.</w:t>
      </w:r>
    </w:p>
    <w:p w14:paraId="47FFBAD1" w14:textId="20B9B7FC" w:rsidR="002B26A5" w:rsidRPr="00260790" w:rsidRDefault="002B26A5" w:rsidP="001748C6">
      <w:pPr>
        <w:numPr>
          <w:ilvl w:val="0"/>
          <w:numId w:val="350"/>
        </w:numPr>
        <w:spacing w:line="240" w:lineRule="auto"/>
        <w:ind w:left="1843"/>
        <w:contextualSpacing/>
        <w:jc w:val="both"/>
        <w:rPr>
          <w:rFonts w:ascii="Times New Roman" w:hAnsi="Times New Roman"/>
          <w:b/>
          <w:color w:val="000000" w:themeColor="text1"/>
        </w:rPr>
      </w:pPr>
      <w:r w:rsidRPr="00260790">
        <w:rPr>
          <w:rFonts w:ascii="Times New Roman" w:hAnsi="Times New Roman"/>
          <w:b/>
          <w:color w:val="000000" w:themeColor="text1"/>
        </w:rPr>
        <w:t>Précipitation moyenne mensuelle</w:t>
      </w:r>
    </w:p>
    <w:p w14:paraId="59A17AD9" w14:textId="77777777" w:rsidR="008D71D0"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Dans la région de Dakar</w:t>
      </w:r>
      <w:r w:rsidR="00C26532" w:rsidRPr="00260790">
        <w:rPr>
          <w:rFonts w:ascii="Times New Roman" w:eastAsia="Times New Roman" w:hAnsi="Times New Roman"/>
          <w:color w:val="000000" w:themeColor="text1"/>
          <w:lang w:eastAsia="fr-FR"/>
        </w:rPr>
        <w:t>,</w:t>
      </w:r>
      <w:r w:rsidRPr="00260790">
        <w:rPr>
          <w:rFonts w:ascii="Times New Roman" w:eastAsia="Times New Roman" w:hAnsi="Times New Roman"/>
          <w:color w:val="000000" w:themeColor="text1"/>
          <w:lang w:eastAsia="fr-FR"/>
        </w:rPr>
        <w:t xml:space="preserve"> les précipitations débutent généralement au mois de juillet et se termine</w:t>
      </w:r>
      <w:r w:rsidR="00C26532" w:rsidRPr="00260790">
        <w:rPr>
          <w:rFonts w:ascii="Times New Roman" w:eastAsia="Times New Roman" w:hAnsi="Times New Roman"/>
          <w:color w:val="000000" w:themeColor="text1"/>
          <w:lang w:eastAsia="fr-FR"/>
        </w:rPr>
        <w:t>nt</w:t>
      </w:r>
      <w:r w:rsidRPr="00260790">
        <w:rPr>
          <w:rFonts w:ascii="Times New Roman" w:eastAsia="Times New Roman" w:hAnsi="Times New Roman"/>
          <w:color w:val="000000" w:themeColor="text1"/>
          <w:lang w:eastAsia="fr-FR"/>
        </w:rPr>
        <w:t xml:space="preserve"> au mois d’octobre. L’essentiel des pluies est enregistré entre fin juillet et début octobre. En effet, la pluie est marquée par une inégale répartition dans le temps et dans l’espace. Pendant l’hivernage les précipitations moyennes mensuelles varient entre 54,6mm en juillet et 165,52 mm en août. </w:t>
      </w:r>
    </w:p>
    <w:p w14:paraId="38AECC60" w14:textId="5FB26389"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précipitations les plus importantes sont notées au mois d’août tandis que les plus faibles sont notées au mois de juillet qui coïncide avec le début de l’hivernage pour la station de Dakar.</w:t>
      </w:r>
    </w:p>
    <w:p w14:paraId="24E360A9" w14:textId="7777777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La figure ci-dessous montre la variation moyenne mensuelle des précipitations. </w:t>
      </w:r>
    </w:p>
    <w:p w14:paraId="41FFE872" w14:textId="77777777" w:rsidR="002B26A5" w:rsidRPr="00260790" w:rsidRDefault="002B26A5"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 </w:t>
      </w:r>
    </w:p>
    <w:p w14:paraId="118527F9" w14:textId="77777777" w:rsidR="002B26A5" w:rsidRPr="00260790" w:rsidRDefault="002B26A5" w:rsidP="008F3CDA">
      <w:pPr>
        <w:keepNext/>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noProof/>
          <w:color w:val="000000" w:themeColor="text1"/>
          <w:lang w:val="en-US"/>
        </w:rPr>
        <w:lastRenderedPageBreak/>
        <w:drawing>
          <wp:inline distT="0" distB="0" distL="0" distR="0" wp14:anchorId="6569054B" wp14:editId="4B663558">
            <wp:extent cx="5633156" cy="3183466"/>
            <wp:effectExtent l="0" t="0" r="18415" b="17145"/>
            <wp:docPr id="1710274486" name="Graphique 171027448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bookmarkStart w:id="441" w:name="_Toc42773383"/>
    </w:p>
    <w:p w14:paraId="3C5B24AB" w14:textId="5CCF9779" w:rsidR="002B26A5" w:rsidRPr="00260790" w:rsidRDefault="002B26A5" w:rsidP="00E20250">
      <w:pPr>
        <w:pStyle w:val="TableCaption"/>
        <w:spacing w:before="0" w:after="240" w:line="240" w:lineRule="auto"/>
        <w:ind w:left="567"/>
        <w:rPr>
          <w:rFonts w:ascii="Times New Roman" w:hAnsi="Times New Roman" w:cs="Times New Roman"/>
          <w:b w:val="0"/>
          <w:bCs/>
          <w:i/>
          <w:iCs/>
          <w:color w:val="auto"/>
          <w:sz w:val="22"/>
          <w:szCs w:val="22"/>
          <w:lang w:val="fr-FR" w:eastAsia="fr-FR"/>
        </w:rPr>
      </w:pPr>
      <w:bookmarkStart w:id="442" w:name="_Toc207781975"/>
      <w:bookmarkStart w:id="443" w:name="_Toc228877404"/>
      <w:r w:rsidRPr="00260790">
        <w:rPr>
          <w:rFonts w:ascii="Times New Roman" w:hAnsi="Times New Roman" w:cs="Times New Roman"/>
          <w:b w:val="0"/>
          <w:bCs/>
          <w:i/>
          <w:iCs/>
          <w:color w:val="auto"/>
          <w:sz w:val="22"/>
          <w:szCs w:val="22"/>
          <w:lang w:val="fr-FR" w:eastAsia="fr-FR"/>
        </w:rPr>
        <w:t xml:space="preserve">Figure </w:t>
      </w:r>
      <w:r w:rsidRPr="00260790">
        <w:rPr>
          <w:rFonts w:ascii="Times New Roman" w:hAnsi="Times New Roman" w:cs="Times New Roman"/>
          <w:b w:val="0"/>
          <w:bCs/>
          <w:i/>
          <w:iCs/>
          <w:color w:val="auto"/>
          <w:sz w:val="22"/>
          <w:szCs w:val="22"/>
          <w:lang w:eastAsia="fr-FR"/>
        </w:rPr>
        <w:fldChar w:fldCharType="begin"/>
      </w:r>
      <w:r w:rsidRPr="00260790">
        <w:rPr>
          <w:rFonts w:ascii="Times New Roman" w:hAnsi="Times New Roman" w:cs="Times New Roman"/>
          <w:b w:val="0"/>
          <w:bCs/>
          <w:i/>
          <w:iCs/>
          <w:color w:val="auto"/>
          <w:sz w:val="22"/>
          <w:szCs w:val="22"/>
          <w:lang w:val="fr-FR" w:eastAsia="fr-FR"/>
        </w:rPr>
        <w:instrText xml:space="preserve"> SEQ Figure \* ARABIC </w:instrText>
      </w:r>
      <w:r w:rsidRPr="00260790">
        <w:rPr>
          <w:rFonts w:ascii="Times New Roman" w:hAnsi="Times New Roman" w:cs="Times New Roman"/>
          <w:b w:val="0"/>
          <w:bCs/>
          <w:i/>
          <w:iCs/>
          <w:color w:val="auto"/>
          <w:sz w:val="22"/>
          <w:szCs w:val="22"/>
          <w:lang w:eastAsia="fr-FR"/>
        </w:rPr>
        <w:fldChar w:fldCharType="separate"/>
      </w:r>
      <w:r w:rsidR="008A50C4">
        <w:rPr>
          <w:rFonts w:ascii="Times New Roman" w:hAnsi="Times New Roman" w:cs="Times New Roman"/>
          <w:b w:val="0"/>
          <w:bCs/>
          <w:i/>
          <w:iCs/>
          <w:noProof/>
          <w:color w:val="auto"/>
          <w:sz w:val="22"/>
          <w:szCs w:val="22"/>
          <w:lang w:val="fr-FR" w:eastAsia="fr-FR"/>
        </w:rPr>
        <w:t>13</w:t>
      </w:r>
      <w:r w:rsidRPr="00260790">
        <w:rPr>
          <w:rFonts w:ascii="Times New Roman" w:hAnsi="Times New Roman" w:cs="Times New Roman"/>
          <w:b w:val="0"/>
          <w:bCs/>
          <w:i/>
          <w:iCs/>
          <w:color w:val="auto"/>
          <w:sz w:val="22"/>
          <w:szCs w:val="22"/>
          <w:lang w:eastAsia="fr-FR"/>
        </w:rPr>
        <w:fldChar w:fldCharType="end"/>
      </w:r>
      <w:bookmarkStart w:id="444" w:name="_Toc172031582"/>
      <w:r w:rsidRPr="00260790">
        <w:rPr>
          <w:rFonts w:ascii="Times New Roman" w:hAnsi="Times New Roman" w:cs="Times New Roman"/>
          <w:b w:val="0"/>
          <w:bCs/>
          <w:i/>
          <w:iCs/>
          <w:color w:val="auto"/>
          <w:sz w:val="22"/>
          <w:szCs w:val="22"/>
          <w:lang w:val="fr-FR" w:eastAsia="fr-FR"/>
        </w:rPr>
        <w:t>: Moyenne mensuelle de la pluviométrie aux stations de Dakar de 1991 à 20</w:t>
      </w:r>
      <w:bookmarkEnd w:id="441"/>
      <w:r w:rsidRPr="00260790">
        <w:rPr>
          <w:rFonts w:ascii="Times New Roman" w:hAnsi="Times New Roman" w:cs="Times New Roman"/>
          <w:b w:val="0"/>
          <w:bCs/>
          <w:i/>
          <w:iCs/>
          <w:color w:val="auto"/>
          <w:sz w:val="22"/>
          <w:szCs w:val="22"/>
          <w:lang w:val="fr-FR" w:eastAsia="fr-FR"/>
        </w:rPr>
        <w:t>20</w:t>
      </w:r>
      <w:bookmarkEnd w:id="444"/>
      <w:r w:rsidRPr="00260790">
        <w:rPr>
          <w:rFonts w:ascii="Times New Roman" w:hAnsi="Times New Roman" w:cs="Times New Roman"/>
          <w:b w:val="0"/>
          <w:bCs/>
          <w:i/>
          <w:iCs/>
          <w:color w:val="auto"/>
          <w:sz w:val="22"/>
          <w:szCs w:val="22"/>
          <w:lang w:val="fr-FR" w:eastAsia="fr-FR"/>
        </w:rPr>
        <w:t xml:space="preserve"> </w:t>
      </w:r>
      <w:r w:rsidR="00134948" w:rsidRPr="00260790">
        <w:rPr>
          <w:rFonts w:ascii="Times New Roman" w:hAnsi="Times New Roman" w:cs="Times New Roman"/>
          <w:b w:val="0"/>
          <w:bCs/>
          <w:i/>
          <w:iCs/>
          <w:color w:val="auto"/>
          <w:sz w:val="22"/>
          <w:szCs w:val="22"/>
          <w:lang w:val="fr-FR" w:eastAsia="fr-FR"/>
        </w:rPr>
        <w:t>(</w:t>
      </w:r>
      <w:r w:rsidRPr="00260790">
        <w:rPr>
          <w:rFonts w:ascii="Times New Roman" w:hAnsi="Times New Roman" w:cs="Times New Roman"/>
          <w:b w:val="0"/>
          <w:bCs/>
          <w:i/>
          <w:iCs/>
          <w:color w:val="auto"/>
          <w:sz w:val="22"/>
          <w:szCs w:val="22"/>
          <w:lang w:val="fr-FR" w:eastAsia="fr-FR"/>
        </w:rPr>
        <w:t>ANACIM, 2020</w:t>
      </w:r>
      <w:r w:rsidR="00134948" w:rsidRPr="00260790">
        <w:rPr>
          <w:rFonts w:ascii="Times New Roman" w:hAnsi="Times New Roman" w:cs="Times New Roman"/>
          <w:b w:val="0"/>
          <w:bCs/>
          <w:i/>
          <w:iCs/>
          <w:color w:val="auto"/>
          <w:sz w:val="22"/>
          <w:szCs w:val="22"/>
          <w:lang w:val="fr-FR" w:eastAsia="fr-FR"/>
        </w:rPr>
        <w:t>)</w:t>
      </w:r>
      <w:bookmarkEnd w:id="442"/>
      <w:bookmarkEnd w:id="443"/>
    </w:p>
    <w:p w14:paraId="36B52E82" w14:textId="72BEC09B" w:rsidR="002B26A5" w:rsidRPr="00260790" w:rsidRDefault="002B26A5" w:rsidP="001748C6">
      <w:pPr>
        <w:numPr>
          <w:ilvl w:val="0"/>
          <w:numId w:val="350"/>
        </w:numPr>
        <w:spacing w:line="240" w:lineRule="auto"/>
        <w:ind w:left="1843"/>
        <w:contextualSpacing/>
        <w:jc w:val="both"/>
        <w:rPr>
          <w:rFonts w:ascii="Times New Roman" w:hAnsi="Times New Roman"/>
          <w:b/>
          <w:color w:val="000000" w:themeColor="text1"/>
        </w:rPr>
      </w:pPr>
      <w:r w:rsidRPr="00260790">
        <w:rPr>
          <w:rFonts w:ascii="Times New Roman" w:hAnsi="Times New Roman"/>
          <w:b/>
          <w:color w:val="000000" w:themeColor="text1"/>
        </w:rPr>
        <w:t>Pluies moyennes annuelle</w:t>
      </w:r>
      <w:r w:rsidR="00C26532" w:rsidRPr="00260790">
        <w:rPr>
          <w:rFonts w:ascii="Times New Roman" w:hAnsi="Times New Roman"/>
          <w:b/>
          <w:color w:val="000000" w:themeColor="text1"/>
        </w:rPr>
        <w:t>s</w:t>
      </w:r>
    </w:p>
    <w:p w14:paraId="5FC5F27D" w14:textId="7777777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La région de Dakar est marquée par une saison des pluies qui dépasse rarement quatre (04) mois et une saison sèche qui dure tout le reste de l’année. Les précipitations sont peu abondantes et dépassent rarement 500 </w:t>
      </w:r>
      <w:proofErr w:type="spellStart"/>
      <w:r w:rsidRPr="00260790">
        <w:rPr>
          <w:rFonts w:ascii="Times New Roman" w:eastAsia="Times New Roman" w:hAnsi="Times New Roman"/>
          <w:color w:val="000000" w:themeColor="text1"/>
          <w:lang w:eastAsia="fr-FR"/>
        </w:rPr>
        <w:t>mm.</w:t>
      </w:r>
      <w:proofErr w:type="spellEnd"/>
      <w:r w:rsidRPr="00260790">
        <w:rPr>
          <w:rFonts w:ascii="Times New Roman" w:eastAsia="Times New Roman" w:hAnsi="Times New Roman"/>
          <w:color w:val="000000" w:themeColor="text1"/>
          <w:lang w:eastAsia="fr-FR"/>
        </w:rPr>
        <w:t xml:space="preserve"> Le graphique ci-après montre l’évolution des précipitations moyennes annuelles au niveau de la station de Dakar-Yoff de l’année 1991 à 2020.</w:t>
      </w:r>
    </w:p>
    <w:p w14:paraId="47F48744" w14:textId="77777777" w:rsidR="002B26A5" w:rsidRPr="00260790" w:rsidRDefault="002B26A5" w:rsidP="0097258B">
      <w:pPr>
        <w:keepNext/>
        <w:spacing w:line="240" w:lineRule="auto"/>
        <w:contextualSpacing/>
        <w:jc w:val="both"/>
        <w:rPr>
          <w:rFonts w:ascii="Times New Roman" w:hAnsi="Times New Roman"/>
          <w:color w:val="000000" w:themeColor="text1"/>
        </w:rPr>
      </w:pPr>
      <w:r w:rsidRPr="00260790">
        <w:rPr>
          <w:rFonts w:ascii="Times New Roman" w:hAnsi="Times New Roman"/>
          <w:noProof/>
          <w:color w:val="000000" w:themeColor="text1"/>
          <w:lang w:val="en-US"/>
        </w:rPr>
        <w:drawing>
          <wp:inline distT="0" distB="0" distL="0" distR="0" wp14:anchorId="6B0412C8" wp14:editId="56D7F0CF">
            <wp:extent cx="5621867" cy="3013710"/>
            <wp:effectExtent l="0" t="0" r="17145" b="8890"/>
            <wp:docPr id="1513288380" name="Graphique 15132883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0AF61E16" w14:textId="48B6E38A" w:rsidR="002B26A5" w:rsidRPr="00260790" w:rsidRDefault="002B26A5" w:rsidP="0097258B">
      <w:pPr>
        <w:pStyle w:val="TableCaption"/>
        <w:spacing w:before="0" w:line="240" w:lineRule="auto"/>
        <w:ind w:right="282"/>
        <w:rPr>
          <w:rFonts w:ascii="Times New Roman" w:hAnsi="Times New Roman" w:cs="Times New Roman"/>
          <w:b w:val="0"/>
          <w:bCs/>
          <w:i/>
          <w:iCs/>
          <w:color w:val="auto"/>
          <w:sz w:val="22"/>
          <w:szCs w:val="22"/>
          <w:lang w:val="fr-FR" w:eastAsia="fr-FR"/>
        </w:rPr>
      </w:pPr>
      <w:bookmarkStart w:id="445" w:name="_Toc207781976"/>
      <w:bookmarkStart w:id="446" w:name="_Toc228877405"/>
      <w:r w:rsidRPr="00260790">
        <w:rPr>
          <w:rFonts w:ascii="Times New Roman" w:hAnsi="Times New Roman" w:cs="Times New Roman"/>
          <w:b w:val="0"/>
          <w:bCs/>
          <w:i/>
          <w:iCs/>
          <w:color w:val="auto"/>
          <w:sz w:val="22"/>
          <w:szCs w:val="22"/>
          <w:lang w:val="fr-FR" w:eastAsia="fr-FR"/>
        </w:rPr>
        <w:t xml:space="preserve">Figure </w:t>
      </w:r>
      <w:r w:rsidRPr="00260790">
        <w:rPr>
          <w:rFonts w:ascii="Times New Roman" w:hAnsi="Times New Roman" w:cs="Times New Roman"/>
          <w:b w:val="0"/>
          <w:bCs/>
          <w:i/>
          <w:iCs/>
          <w:color w:val="auto"/>
          <w:sz w:val="22"/>
          <w:szCs w:val="22"/>
          <w:lang w:eastAsia="fr-FR"/>
        </w:rPr>
        <w:fldChar w:fldCharType="begin"/>
      </w:r>
      <w:r w:rsidRPr="00260790">
        <w:rPr>
          <w:rFonts w:ascii="Times New Roman" w:hAnsi="Times New Roman" w:cs="Times New Roman"/>
          <w:b w:val="0"/>
          <w:bCs/>
          <w:i/>
          <w:iCs/>
          <w:color w:val="auto"/>
          <w:sz w:val="22"/>
          <w:szCs w:val="22"/>
          <w:lang w:val="fr-FR" w:eastAsia="fr-FR"/>
        </w:rPr>
        <w:instrText xml:space="preserve"> SEQ Figure \* ARABIC </w:instrText>
      </w:r>
      <w:r w:rsidRPr="00260790">
        <w:rPr>
          <w:rFonts w:ascii="Times New Roman" w:hAnsi="Times New Roman" w:cs="Times New Roman"/>
          <w:b w:val="0"/>
          <w:bCs/>
          <w:i/>
          <w:iCs/>
          <w:color w:val="auto"/>
          <w:sz w:val="22"/>
          <w:szCs w:val="22"/>
          <w:lang w:eastAsia="fr-FR"/>
        </w:rPr>
        <w:fldChar w:fldCharType="separate"/>
      </w:r>
      <w:r w:rsidR="008A50C4">
        <w:rPr>
          <w:rFonts w:ascii="Times New Roman" w:hAnsi="Times New Roman" w:cs="Times New Roman"/>
          <w:b w:val="0"/>
          <w:bCs/>
          <w:i/>
          <w:iCs/>
          <w:noProof/>
          <w:color w:val="auto"/>
          <w:sz w:val="22"/>
          <w:szCs w:val="22"/>
          <w:lang w:val="fr-FR" w:eastAsia="fr-FR"/>
        </w:rPr>
        <w:t>14</w:t>
      </w:r>
      <w:r w:rsidRPr="00260790">
        <w:rPr>
          <w:rFonts w:ascii="Times New Roman" w:hAnsi="Times New Roman" w:cs="Times New Roman"/>
          <w:b w:val="0"/>
          <w:bCs/>
          <w:i/>
          <w:iCs/>
          <w:color w:val="auto"/>
          <w:sz w:val="22"/>
          <w:szCs w:val="22"/>
          <w:lang w:eastAsia="fr-FR"/>
        </w:rPr>
        <w:fldChar w:fldCharType="end"/>
      </w:r>
      <w:bookmarkStart w:id="447" w:name="_Toc172031583"/>
      <w:r w:rsidR="001138C7" w:rsidRPr="00260790">
        <w:rPr>
          <w:rFonts w:ascii="Times New Roman" w:hAnsi="Times New Roman" w:cs="Times New Roman"/>
          <w:b w:val="0"/>
          <w:bCs/>
          <w:i/>
          <w:iCs/>
          <w:color w:val="auto"/>
          <w:sz w:val="22"/>
          <w:szCs w:val="22"/>
          <w:lang w:val="fr-FR" w:eastAsia="fr-FR"/>
        </w:rPr>
        <w:t xml:space="preserve"> </w:t>
      </w:r>
      <w:r w:rsidRPr="00260790">
        <w:rPr>
          <w:rFonts w:ascii="Times New Roman" w:hAnsi="Times New Roman" w:cs="Times New Roman"/>
          <w:b w:val="0"/>
          <w:bCs/>
          <w:i/>
          <w:iCs/>
          <w:color w:val="auto"/>
          <w:sz w:val="22"/>
          <w:szCs w:val="22"/>
          <w:lang w:val="fr-FR" w:eastAsia="fr-FR"/>
        </w:rPr>
        <w:t>: Cumul annuel de la pluviométrie à la station de Dakar Yoff de 1991 à 2020</w:t>
      </w:r>
      <w:bookmarkEnd w:id="447"/>
      <w:r w:rsidRPr="00260790">
        <w:rPr>
          <w:rFonts w:ascii="Times New Roman" w:hAnsi="Times New Roman" w:cs="Times New Roman"/>
          <w:b w:val="0"/>
          <w:bCs/>
          <w:i/>
          <w:iCs/>
          <w:color w:val="auto"/>
          <w:sz w:val="22"/>
          <w:szCs w:val="22"/>
          <w:lang w:val="fr-FR" w:eastAsia="fr-FR"/>
        </w:rPr>
        <w:t xml:space="preserve"> Source : ANACIM, 2020</w:t>
      </w:r>
      <w:bookmarkEnd w:id="445"/>
      <w:bookmarkEnd w:id="446"/>
    </w:p>
    <w:p w14:paraId="6EC74053" w14:textId="77777777" w:rsidR="00A35A7F" w:rsidRPr="00260790" w:rsidRDefault="00A35A7F" w:rsidP="00E20250">
      <w:pPr>
        <w:widowControl w:val="0"/>
        <w:autoSpaceDE w:val="0"/>
        <w:autoSpaceDN w:val="0"/>
        <w:adjustRightInd w:val="0"/>
        <w:spacing w:after="0" w:line="240" w:lineRule="auto"/>
        <w:jc w:val="both"/>
        <w:rPr>
          <w:rFonts w:ascii="Times New Roman" w:eastAsia="Times New Roman" w:hAnsi="Times New Roman"/>
          <w:color w:val="000000" w:themeColor="text1"/>
          <w:lang w:eastAsia="fr-FR"/>
        </w:rPr>
      </w:pPr>
    </w:p>
    <w:p w14:paraId="66102436" w14:textId="77777777" w:rsidR="00A91A2C" w:rsidRPr="00260790" w:rsidRDefault="00A91A2C">
      <w:pPr>
        <w:spacing w:line="259"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br w:type="page"/>
      </w:r>
    </w:p>
    <w:p w14:paraId="1EECF86D" w14:textId="4313B4E9"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lastRenderedPageBreak/>
        <w:t>La pluviométrie annuelle est caractérisée par une variation interannuelle, marquée par une moyenne de 397,10 mm durant les 30 ans de précipitations. L’évolution des précipitations à la station de Dakar montre que les précipitations sont très variables. Les quantités de pluies enregistrées varient d’une année à une autre.</w:t>
      </w:r>
    </w:p>
    <w:p w14:paraId="04033D8D" w14:textId="381A2227" w:rsidR="002B26A5" w:rsidRPr="00260790" w:rsidRDefault="00C26532" w:rsidP="0095190F">
      <w:pPr>
        <w:spacing w:line="240" w:lineRule="auto"/>
        <w:ind w:right="284"/>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À</w:t>
      </w:r>
      <w:r w:rsidR="002B26A5" w:rsidRPr="00260790">
        <w:rPr>
          <w:rFonts w:ascii="Times New Roman" w:eastAsia="Times New Roman" w:hAnsi="Times New Roman"/>
          <w:color w:val="000000" w:themeColor="text1"/>
          <w:lang w:eastAsia="fr-FR"/>
        </w:rPr>
        <w:t xml:space="preserve"> l'instar du reste du pays, cette période est aussi marquée par une tendance à la baisse de la moyenne annuelle des précipitations. Cependant, depuis 2005, un retour à la normale des précipitations est noté avec des pluies qui dépassent parfois 650 mm à Dakar. Ainsi, les années 2005, 2012 et 2015 enregistrent les plus fortes précipitations avec respectivement 663,4 ; 648,4 et 650 </w:t>
      </w:r>
      <w:proofErr w:type="spellStart"/>
      <w:r w:rsidR="002B26A5" w:rsidRPr="00260790">
        <w:rPr>
          <w:rFonts w:ascii="Times New Roman" w:eastAsia="Times New Roman" w:hAnsi="Times New Roman"/>
          <w:color w:val="000000" w:themeColor="text1"/>
          <w:lang w:eastAsia="fr-FR"/>
        </w:rPr>
        <w:t>mm.</w:t>
      </w:r>
      <w:proofErr w:type="spellEnd"/>
      <w:r w:rsidR="002B26A5" w:rsidRPr="00260790">
        <w:rPr>
          <w:rFonts w:ascii="Times New Roman" w:eastAsia="Times New Roman" w:hAnsi="Times New Roman"/>
          <w:color w:val="000000" w:themeColor="text1"/>
          <w:lang w:eastAsia="fr-FR"/>
        </w:rPr>
        <w:t xml:space="preserve"> L’année 2014 enregistre la plus faible précipitation avec un cumule de 161,3</w:t>
      </w:r>
      <w:r w:rsidR="001138C7" w:rsidRPr="00260790">
        <w:rPr>
          <w:rFonts w:ascii="Times New Roman" w:eastAsia="Times New Roman" w:hAnsi="Times New Roman"/>
          <w:color w:val="000000" w:themeColor="text1"/>
          <w:lang w:eastAsia="fr-FR"/>
        </w:rPr>
        <w:t xml:space="preserve"> </w:t>
      </w:r>
      <w:proofErr w:type="spellStart"/>
      <w:r w:rsidR="002B26A5" w:rsidRPr="00260790">
        <w:rPr>
          <w:rFonts w:ascii="Times New Roman" w:eastAsia="Times New Roman" w:hAnsi="Times New Roman"/>
          <w:color w:val="000000" w:themeColor="text1"/>
          <w:lang w:eastAsia="fr-FR"/>
        </w:rPr>
        <w:t>mm.</w:t>
      </w:r>
      <w:proofErr w:type="spellEnd"/>
    </w:p>
    <w:p w14:paraId="0B5CF66F" w14:textId="77777777" w:rsidR="002B26A5" w:rsidRPr="00260790" w:rsidRDefault="002B26A5" w:rsidP="001748C6">
      <w:pPr>
        <w:numPr>
          <w:ilvl w:val="0"/>
          <w:numId w:val="349"/>
        </w:numPr>
        <w:spacing w:line="240" w:lineRule="auto"/>
        <w:ind w:left="1276"/>
        <w:contextualSpacing/>
        <w:jc w:val="both"/>
        <w:rPr>
          <w:rFonts w:ascii="Times New Roman" w:hAnsi="Times New Roman"/>
          <w:b/>
          <w:color w:val="000000" w:themeColor="text1"/>
        </w:rPr>
      </w:pPr>
      <w:r w:rsidRPr="00260790">
        <w:rPr>
          <w:rFonts w:ascii="Times New Roman" w:hAnsi="Times New Roman"/>
          <w:b/>
          <w:color w:val="000000" w:themeColor="text1"/>
        </w:rPr>
        <w:t>L’humidité relative à la station de Dakar</w:t>
      </w:r>
    </w:p>
    <w:p w14:paraId="0866BA3F" w14:textId="7777777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L’humidité relative est déterminée par la teneur de l’air en eau et varie avec les précipitations et l’évaporation. Elle est relativement faible pendant la saison sèche. Le degré hygrométrique ou l’humidité relative est analysé sur une séquence de 30 ans, c’est-à-dire de 1991 à 2020. L’analyse s’est faite à partir des valeurs moyennes enregistrées à la station de Dakar. La figure ci-après montre l’évolution de l’humidité relative moyenne durant cette période.</w:t>
      </w:r>
    </w:p>
    <w:p w14:paraId="6803C605" w14:textId="77777777" w:rsidR="002B26A5" w:rsidRPr="00260790" w:rsidRDefault="002B26A5" w:rsidP="008F3CDA">
      <w:pPr>
        <w:keepNext/>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noProof/>
          <w:color w:val="000000" w:themeColor="text1"/>
          <w:lang w:val="en-US"/>
        </w:rPr>
        <w:drawing>
          <wp:inline distT="0" distB="0" distL="0" distR="0" wp14:anchorId="4C16B1B5" wp14:editId="32950A96">
            <wp:extent cx="5700889" cy="3348567"/>
            <wp:effectExtent l="0" t="0" r="14605" b="17145"/>
            <wp:docPr id="1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73D0A46D" w14:textId="6244CA9C" w:rsidR="002B26A5" w:rsidRPr="00260790" w:rsidRDefault="002B26A5" w:rsidP="0097258B">
      <w:pPr>
        <w:pStyle w:val="TableCaption"/>
        <w:spacing w:before="0" w:after="240" w:line="240" w:lineRule="auto"/>
        <w:rPr>
          <w:rFonts w:ascii="Times New Roman" w:hAnsi="Times New Roman" w:cs="Times New Roman"/>
          <w:b w:val="0"/>
          <w:bCs/>
          <w:i/>
          <w:iCs/>
          <w:color w:val="auto"/>
          <w:sz w:val="22"/>
          <w:szCs w:val="22"/>
          <w:lang w:val="fr-FR" w:eastAsia="fr-FR"/>
        </w:rPr>
      </w:pPr>
      <w:bookmarkStart w:id="448" w:name="_Toc207781977"/>
      <w:bookmarkStart w:id="449" w:name="_Toc228877406"/>
      <w:r w:rsidRPr="00260790">
        <w:rPr>
          <w:rFonts w:ascii="Times New Roman" w:hAnsi="Times New Roman" w:cs="Times New Roman"/>
          <w:b w:val="0"/>
          <w:bCs/>
          <w:i/>
          <w:iCs/>
          <w:color w:val="auto"/>
          <w:sz w:val="22"/>
          <w:szCs w:val="22"/>
          <w:lang w:val="fr-FR" w:eastAsia="fr-FR"/>
        </w:rPr>
        <w:t xml:space="preserve">Figure </w:t>
      </w:r>
      <w:r w:rsidRPr="00260790">
        <w:rPr>
          <w:rFonts w:ascii="Times New Roman" w:hAnsi="Times New Roman" w:cs="Times New Roman"/>
          <w:b w:val="0"/>
          <w:bCs/>
          <w:i/>
          <w:iCs/>
          <w:color w:val="auto"/>
          <w:sz w:val="22"/>
          <w:szCs w:val="22"/>
          <w:lang w:eastAsia="fr-FR"/>
        </w:rPr>
        <w:fldChar w:fldCharType="begin"/>
      </w:r>
      <w:r w:rsidRPr="00260790">
        <w:rPr>
          <w:rFonts w:ascii="Times New Roman" w:hAnsi="Times New Roman" w:cs="Times New Roman"/>
          <w:b w:val="0"/>
          <w:bCs/>
          <w:i/>
          <w:iCs/>
          <w:color w:val="auto"/>
          <w:sz w:val="22"/>
          <w:szCs w:val="22"/>
          <w:lang w:val="fr-FR" w:eastAsia="fr-FR"/>
        </w:rPr>
        <w:instrText xml:space="preserve"> SEQ Figure \* ARABIC </w:instrText>
      </w:r>
      <w:r w:rsidRPr="00260790">
        <w:rPr>
          <w:rFonts w:ascii="Times New Roman" w:hAnsi="Times New Roman" w:cs="Times New Roman"/>
          <w:b w:val="0"/>
          <w:bCs/>
          <w:i/>
          <w:iCs/>
          <w:color w:val="auto"/>
          <w:sz w:val="22"/>
          <w:szCs w:val="22"/>
          <w:lang w:eastAsia="fr-FR"/>
        </w:rPr>
        <w:fldChar w:fldCharType="separate"/>
      </w:r>
      <w:r w:rsidR="008A50C4">
        <w:rPr>
          <w:rFonts w:ascii="Times New Roman" w:hAnsi="Times New Roman" w:cs="Times New Roman"/>
          <w:b w:val="0"/>
          <w:bCs/>
          <w:i/>
          <w:iCs/>
          <w:noProof/>
          <w:color w:val="auto"/>
          <w:sz w:val="22"/>
          <w:szCs w:val="22"/>
          <w:lang w:val="fr-FR" w:eastAsia="fr-FR"/>
        </w:rPr>
        <w:t>15</w:t>
      </w:r>
      <w:r w:rsidRPr="00260790">
        <w:rPr>
          <w:rFonts w:ascii="Times New Roman" w:hAnsi="Times New Roman" w:cs="Times New Roman"/>
          <w:b w:val="0"/>
          <w:bCs/>
          <w:i/>
          <w:iCs/>
          <w:color w:val="auto"/>
          <w:sz w:val="22"/>
          <w:szCs w:val="22"/>
          <w:lang w:eastAsia="fr-FR"/>
        </w:rPr>
        <w:fldChar w:fldCharType="end"/>
      </w:r>
      <w:bookmarkStart w:id="450" w:name="_Toc172031584"/>
      <w:r w:rsidRPr="00260790">
        <w:rPr>
          <w:rFonts w:ascii="Times New Roman" w:hAnsi="Times New Roman" w:cs="Times New Roman"/>
          <w:b w:val="0"/>
          <w:bCs/>
          <w:i/>
          <w:iCs/>
          <w:color w:val="auto"/>
          <w:sz w:val="22"/>
          <w:szCs w:val="22"/>
          <w:lang w:val="fr-FR" w:eastAsia="fr-FR"/>
        </w:rPr>
        <w:t xml:space="preserve">: </w:t>
      </w:r>
      <w:r w:rsidR="001138C7" w:rsidRPr="00260790">
        <w:rPr>
          <w:rFonts w:ascii="Times New Roman" w:hAnsi="Times New Roman" w:cs="Times New Roman"/>
          <w:b w:val="0"/>
          <w:bCs/>
          <w:i/>
          <w:iCs/>
          <w:color w:val="auto"/>
          <w:sz w:val="22"/>
          <w:szCs w:val="22"/>
          <w:lang w:val="fr-FR" w:eastAsia="fr-FR"/>
        </w:rPr>
        <w:t>Évolution</w:t>
      </w:r>
      <w:r w:rsidRPr="00260790">
        <w:rPr>
          <w:rFonts w:ascii="Times New Roman" w:hAnsi="Times New Roman" w:cs="Times New Roman"/>
          <w:b w:val="0"/>
          <w:bCs/>
          <w:i/>
          <w:iCs/>
          <w:color w:val="auto"/>
          <w:sz w:val="22"/>
          <w:szCs w:val="22"/>
          <w:lang w:val="fr-FR" w:eastAsia="fr-FR"/>
        </w:rPr>
        <w:t xml:space="preserve"> des moyennes mensuelles de l’humidité relative à la station de Dakar</w:t>
      </w:r>
      <w:bookmarkEnd w:id="450"/>
      <w:r w:rsidRPr="00260790">
        <w:rPr>
          <w:rFonts w:ascii="Times New Roman" w:hAnsi="Times New Roman" w:cs="Times New Roman"/>
          <w:b w:val="0"/>
          <w:bCs/>
          <w:i/>
          <w:iCs/>
          <w:color w:val="auto"/>
          <w:sz w:val="22"/>
          <w:szCs w:val="22"/>
          <w:lang w:val="fr-FR" w:eastAsia="fr-FR"/>
        </w:rPr>
        <w:t xml:space="preserve"> </w:t>
      </w:r>
      <w:r w:rsidR="00273847" w:rsidRPr="00260790">
        <w:rPr>
          <w:rFonts w:ascii="Times New Roman" w:hAnsi="Times New Roman" w:cs="Times New Roman"/>
          <w:b w:val="0"/>
          <w:bCs/>
          <w:i/>
          <w:iCs/>
          <w:color w:val="auto"/>
          <w:sz w:val="22"/>
          <w:szCs w:val="22"/>
          <w:lang w:val="fr-FR" w:eastAsia="fr-FR"/>
        </w:rPr>
        <w:t>(</w:t>
      </w:r>
      <w:r w:rsidRPr="00260790">
        <w:rPr>
          <w:rFonts w:ascii="Times New Roman" w:hAnsi="Times New Roman" w:cs="Times New Roman"/>
          <w:b w:val="0"/>
          <w:bCs/>
          <w:i/>
          <w:iCs/>
          <w:color w:val="auto"/>
          <w:sz w:val="22"/>
          <w:szCs w:val="22"/>
          <w:lang w:val="fr-FR" w:eastAsia="fr-FR"/>
        </w:rPr>
        <w:t>Source : ANACIM, 2022</w:t>
      </w:r>
      <w:r w:rsidR="00273847" w:rsidRPr="00260790">
        <w:rPr>
          <w:rFonts w:ascii="Times New Roman" w:hAnsi="Times New Roman" w:cs="Times New Roman"/>
          <w:b w:val="0"/>
          <w:bCs/>
          <w:i/>
          <w:iCs/>
          <w:color w:val="auto"/>
          <w:sz w:val="22"/>
          <w:szCs w:val="22"/>
          <w:lang w:val="fr-FR" w:eastAsia="fr-FR"/>
        </w:rPr>
        <w:t>)</w:t>
      </w:r>
      <w:bookmarkEnd w:id="448"/>
      <w:bookmarkEnd w:id="449"/>
    </w:p>
    <w:p w14:paraId="2640D80B" w14:textId="6CFBA1BE" w:rsidR="002B26A5" w:rsidRPr="00260790" w:rsidRDefault="002B26A5" w:rsidP="008F3CDA">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L’analyse du graphique laisse apparaitre dans sa globalité une évolution unimodale de l’humidité relative moyenne maximale et minimale.</w:t>
      </w:r>
    </w:p>
    <w:p w14:paraId="20ACEDF2" w14:textId="7777777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L’humidité relative moyenne maximale enregistre son maximum au mois d’avril 93,4% et son minimum au mois de juillet 86,8% en juillet.</w:t>
      </w:r>
    </w:p>
    <w:p w14:paraId="25312F7D" w14:textId="7777777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En ce qui concerne l'humidité relative moyenne minimale, son minimum est noté au mois de décembre avec une moyenne de 46,3%. Quant au maximum, il est enregistré au mois de septembre avec 71,56%.</w:t>
      </w:r>
    </w:p>
    <w:p w14:paraId="6AF78854" w14:textId="7777777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Pour l’humidité relative moyenne, la valeur maximale est observée en septembre et celle minimale en décembre avec respectivement 81,9 et 66,6%.</w:t>
      </w:r>
    </w:p>
    <w:p w14:paraId="50EEB0D4" w14:textId="77777777" w:rsidR="002A7FB2" w:rsidRPr="00260790" w:rsidRDefault="002A7FB2" w:rsidP="00E20250">
      <w:pPr>
        <w:spacing w:line="240" w:lineRule="auto"/>
        <w:rPr>
          <w:rFonts w:ascii="Times New Roman" w:eastAsia="Cambria" w:hAnsi="Times New Roman"/>
          <w:lang w:eastAsia="fr-FR" w:bidi="en-US"/>
        </w:rPr>
      </w:pPr>
      <w:r w:rsidRPr="00260790">
        <w:rPr>
          <w:rFonts w:ascii="Times New Roman" w:hAnsi="Times New Roman"/>
        </w:rPr>
        <w:br w:type="page"/>
      </w:r>
    </w:p>
    <w:p w14:paraId="658C21DA" w14:textId="4DABBFEC" w:rsidR="002B26A5" w:rsidRPr="00260790" w:rsidRDefault="002B26A5" w:rsidP="003B6588">
      <w:pPr>
        <w:pStyle w:val="CHAPITRE1"/>
        <w:rPr>
          <w:rFonts w:cs="Times New Roman"/>
        </w:rPr>
      </w:pPr>
      <w:bookmarkStart w:id="451" w:name="_Toc212725109"/>
      <w:r w:rsidRPr="00260790">
        <w:rPr>
          <w:rFonts w:cs="Times New Roman"/>
        </w:rPr>
        <w:lastRenderedPageBreak/>
        <w:t xml:space="preserve">Environnement biologique de </w:t>
      </w:r>
      <w:r w:rsidR="00E54AE4" w:rsidRPr="00260790">
        <w:rPr>
          <w:rFonts w:cs="Times New Roman"/>
        </w:rPr>
        <w:t>la zone d’influence indirecte</w:t>
      </w:r>
      <w:bookmarkEnd w:id="451"/>
    </w:p>
    <w:p w14:paraId="0BAF99D3" w14:textId="77777777" w:rsidR="002B26A5" w:rsidRPr="00260790" w:rsidRDefault="002B26A5" w:rsidP="001748C6">
      <w:pPr>
        <w:numPr>
          <w:ilvl w:val="0"/>
          <w:numId w:val="349"/>
        </w:numPr>
        <w:spacing w:line="240" w:lineRule="auto"/>
        <w:ind w:left="1276"/>
        <w:contextualSpacing/>
        <w:jc w:val="both"/>
        <w:rPr>
          <w:rFonts w:ascii="Times New Roman" w:hAnsi="Times New Roman"/>
          <w:b/>
          <w:color w:val="000000" w:themeColor="text1"/>
        </w:rPr>
      </w:pPr>
      <w:r w:rsidRPr="00260790">
        <w:rPr>
          <w:rFonts w:ascii="Times New Roman" w:hAnsi="Times New Roman"/>
          <w:b/>
          <w:color w:val="000000" w:themeColor="text1"/>
        </w:rPr>
        <w:t>Flore et végétation</w:t>
      </w:r>
    </w:p>
    <w:p w14:paraId="6AACDD89" w14:textId="6CC87298" w:rsidR="002B26A5" w:rsidRPr="00260790" w:rsidRDefault="009965A6"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À</w:t>
      </w:r>
      <w:r w:rsidR="002B26A5" w:rsidRPr="00260790">
        <w:rPr>
          <w:rFonts w:ascii="Times New Roman" w:eastAsia="Times New Roman" w:hAnsi="Times New Roman"/>
          <w:color w:val="000000" w:themeColor="text1"/>
          <w:lang w:eastAsia="fr-FR"/>
        </w:rPr>
        <w:t xml:space="preserve"> l’image de la région de Dakar, le peuplement naturel de la végétation de la zone d’étude (départements de Rufisque, Pikine et Keur Massar) est marqué par une forte régression du fait de l’urbanisation galopante. </w:t>
      </w:r>
      <w:r w:rsidR="00E54AE4" w:rsidRPr="00260790">
        <w:rPr>
          <w:rFonts w:ascii="Times New Roman" w:eastAsia="Times New Roman" w:hAnsi="Times New Roman"/>
          <w:color w:val="000000" w:themeColor="text1"/>
          <w:lang w:eastAsia="fr-FR"/>
        </w:rPr>
        <w:t>Les quelques reliques restantes</w:t>
      </w:r>
      <w:r w:rsidR="002B26A5" w:rsidRPr="00260790">
        <w:rPr>
          <w:rFonts w:ascii="Times New Roman" w:eastAsia="Times New Roman" w:hAnsi="Times New Roman"/>
          <w:color w:val="000000" w:themeColor="text1"/>
          <w:lang w:eastAsia="fr-FR"/>
        </w:rPr>
        <w:t xml:space="preserve"> peuvent être localement observé</w:t>
      </w:r>
      <w:r w:rsidR="0055580C" w:rsidRPr="00260790">
        <w:rPr>
          <w:rFonts w:ascii="Times New Roman" w:eastAsia="Times New Roman" w:hAnsi="Times New Roman"/>
          <w:color w:val="000000" w:themeColor="text1"/>
          <w:lang w:eastAsia="fr-FR"/>
        </w:rPr>
        <w:t>e</w:t>
      </w:r>
      <w:r w:rsidR="002B26A5" w:rsidRPr="00260790">
        <w:rPr>
          <w:rFonts w:ascii="Times New Roman" w:eastAsia="Times New Roman" w:hAnsi="Times New Roman"/>
          <w:color w:val="000000" w:themeColor="text1"/>
          <w:lang w:eastAsia="fr-FR"/>
        </w:rPr>
        <w:t xml:space="preserve">s dans les zones inhabitées et au niveau des massifs classés et des périmètres de reboisement. Ces massifs, bien qu’agressés, renferment encore des formations végétales marquées par la présence d’individus isolés de </w:t>
      </w:r>
      <w:r w:rsidR="002B26A5" w:rsidRPr="00260790">
        <w:rPr>
          <w:rFonts w:ascii="Times New Roman" w:eastAsia="Times New Roman" w:hAnsi="Times New Roman"/>
          <w:i/>
          <w:color w:val="000000" w:themeColor="text1"/>
          <w:lang w:eastAsia="fr-FR"/>
        </w:rPr>
        <w:t xml:space="preserve">Faidherbia </w:t>
      </w:r>
      <w:proofErr w:type="spellStart"/>
      <w:r w:rsidR="002B26A5" w:rsidRPr="00260790">
        <w:rPr>
          <w:rFonts w:ascii="Times New Roman" w:eastAsia="Times New Roman" w:hAnsi="Times New Roman"/>
          <w:i/>
          <w:color w:val="000000" w:themeColor="text1"/>
          <w:lang w:eastAsia="fr-FR"/>
        </w:rPr>
        <w:t>albida</w:t>
      </w:r>
      <w:proofErr w:type="spellEnd"/>
      <w:r w:rsidR="002B26A5" w:rsidRPr="00260790">
        <w:rPr>
          <w:rFonts w:ascii="Times New Roman" w:eastAsia="Times New Roman" w:hAnsi="Times New Roman"/>
          <w:color w:val="000000" w:themeColor="text1"/>
          <w:lang w:eastAsia="fr-FR"/>
        </w:rPr>
        <w:t xml:space="preserve">, </w:t>
      </w:r>
      <w:r w:rsidR="002B26A5" w:rsidRPr="00260790">
        <w:rPr>
          <w:rFonts w:ascii="Times New Roman" w:eastAsia="Times New Roman" w:hAnsi="Times New Roman"/>
          <w:i/>
          <w:color w:val="000000" w:themeColor="text1"/>
          <w:lang w:eastAsia="fr-FR"/>
        </w:rPr>
        <w:t xml:space="preserve">Acacia </w:t>
      </w:r>
      <w:proofErr w:type="spellStart"/>
      <w:r w:rsidR="002B26A5" w:rsidRPr="00260790">
        <w:rPr>
          <w:rFonts w:ascii="Times New Roman" w:eastAsia="Times New Roman" w:hAnsi="Times New Roman"/>
          <w:i/>
          <w:color w:val="000000" w:themeColor="text1"/>
          <w:lang w:eastAsia="fr-FR"/>
        </w:rPr>
        <w:t>raddiana</w:t>
      </w:r>
      <w:proofErr w:type="spellEnd"/>
      <w:r w:rsidR="002B26A5" w:rsidRPr="00260790">
        <w:rPr>
          <w:rFonts w:ascii="Times New Roman" w:eastAsia="Times New Roman" w:hAnsi="Times New Roman"/>
          <w:color w:val="000000" w:themeColor="text1"/>
          <w:lang w:eastAsia="fr-FR"/>
        </w:rPr>
        <w:t xml:space="preserve">, </w:t>
      </w:r>
      <w:proofErr w:type="spellStart"/>
      <w:r w:rsidR="002B26A5" w:rsidRPr="00260790">
        <w:rPr>
          <w:rFonts w:ascii="Times New Roman" w:eastAsia="Times New Roman" w:hAnsi="Times New Roman"/>
          <w:i/>
          <w:color w:val="000000" w:themeColor="text1"/>
          <w:lang w:eastAsia="fr-FR"/>
        </w:rPr>
        <w:t>Neocarya</w:t>
      </w:r>
      <w:proofErr w:type="spellEnd"/>
      <w:r w:rsidR="002B26A5" w:rsidRPr="00260790">
        <w:rPr>
          <w:rFonts w:ascii="Times New Roman" w:eastAsia="Times New Roman" w:hAnsi="Times New Roman"/>
          <w:i/>
          <w:color w:val="000000" w:themeColor="text1"/>
          <w:lang w:eastAsia="fr-FR"/>
        </w:rPr>
        <w:t xml:space="preserve"> </w:t>
      </w:r>
      <w:proofErr w:type="spellStart"/>
      <w:r w:rsidR="002B26A5" w:rsidRPr="00260790">
        <w:rPr>
          <w:rFonts w:ascii="Times New Roman" w:eastAsia="Times New Roman" w:hAnsi="Times New Roman"/>
          <w:i/>
          <w:color w:val="000000" w:themeColor="text1"/>
          <w:lang w:eastAsia="fr-FR"/>
        </w:rPr>
        <w:t>macrophylla</w:t>
      </w:r>
      <w:proofErr w:type="spellEnd"/>
      <w:r w:rsidR="002B26A5" w:rsidRPr="00260790">
        <w:rPr>
          <w:rFonts w:ascii="Times New Roman" w:eastAsia="Times New Roman" w:hAnsi="Times New Roman"/>
          <w:i/>
          <w:color w:val="000000" w:themeColor="text1"/>
          <w:lang w:eastAsia="fr-FR"/>
        </w:rPr>
        <w:t>,</w:t>
      </w:r>
      <w:r w:rsidR="002B26A5" w:rsidRPr="00260790">
        <w:rPr>
          <w:rFonts w:ascii="Times New Roman" w:eastAsia="Times New Roman" w:hAnsi="Times New Roman"/>
          <w:color w:val="000000" w:themeColor="text1"/>
          <w:lang w:eastAsia="fr-FR"/>
        </w:rPr>
        <w:t xml:space="preserve"> </w:t>
      </w:r>
      <w:proofErr w:type="spellStart"/>
      <w:r w:rsidR="002B26A5" w:rsidRPr="00260790">
        <w:rPr>
          <w:rFonts w:ascii="Times New Roman" w:eastAsia="Times New Roman" w:hAnsi="Times New Roman"/>
          <w:i/>
          <w:color w:val="000000" w:themeColor="text1"/>
          <w:lang w:eastAsia="fr-FR"/>
        </w:rPr>
        <w:t>Adansonia</w:t>
      </w:r>
      <w:proofErr w:type="spellEnd"/>
      <w:r w:rsidR="002B26A5" w:rsidRPr="00260790">
        <w:rPr>
          <w:rFonts w:ascii="Times New Roman" w:eastAsia="Times New Roman" w:hAnsi="Times New Roman"/>
          <w:i/>
          <w:color w:val="000000" w:themeColor="text1"/>
          <w:lang w:eastAsia="fr-FR"/>
        </w:rPr>
        <w:t xml:space="preserve"> </w:t>
      </w:r>
      <w:proofErr w:type="spellStart"/>
      <w:r w:rsidR="002B26A5" w:rsidRPr="00260790">
        <w:rPr>
          <w:rFonts w:ascii="Times New Roman" w:eastAsia="Times New Roman" w:hAnsi="Times New Roman"/>
          <w:i/>
          <w:color w:val="000000" w:themeColor="text1"/>
          <w:lang w:eastAsia="fr-FR"/>
        </w:rPr>
        <w:t>digitata</w:t>
      </w:r>
      <w:proofErr w:type="spellEnd"/>
      <w:r w:rsidR="002B26A5" w:rsidRPr="00260790">
        <w:rPr>
          <w:rFonts w:ascii="Times New Roman" w:eastAsia="Times New Roman" w:hAnsi="Times New Roman"/>
          <w:i/>
          <w:color w:val="000000" w:themeColor="text1"/>
          <w:lang w:eastAsia="fr-FR"/>
        </w:rPr>
        <w:t xml:space="preserve">, Borassus </w:t>
      </w:r>
      <w:proofErr w:type="spellStart"/>
      <w:r w:rsidR="002B26A5" w:rsidRPr="00260790">
        <w:rPr>
          <w:rFonts w:ascii="Times New Roman" w:eastAsia="Times New Roman" w:hAnsi="Times New Roman"/>
          <w:i/>
          <w:color w:val="000000" w:themeColor="text1"/>
          <w:lang w:eastAsia="fr-FR"/>
        </w:rPr>
        <w:t>aethiopum</w:t>
      </w:r>
      <w:proofErr w:type="spellEnd"/>
      <w:r w:rsidR="002B26A5" w:rsidRPr="00260790">
        <w:rPr>
          <w:rFonts w:ascii="Times New Roman" w:eastAsia="Times New Roman" w:hAnsi="Times New Roman"/>
          <w:i/>
          <w:color w:val="000000" w:themeColor="text1"/>
          <w:lang w:eastAsia="fr-FR"/>
        </w:rPr>
        <w:t xml:space="preserve">, </w:t>
      </w:r>
      <w:proofErr w:type="spellStart"/>
      <w:r w:rsidR="002B26A5" w:rsidRPr="00260790">
        <w:rPr>
          <w:rFonts w:ascii="Times New Roman" w:eastAsia="Times New Roman" w:hAnsi="Times New Roman"/>
          <w:i/>
          <w:color w:val="000000" w:themeColor="text1"/>
          <w:lang w:eastAsia="fr-FR"/>
        </w:rPr>
        <w:t>Aphania</w:t>
      </w:r>
      <w:proofErr w:type="spellEnd"/>
      <w:r w:rsidR="002B26A5" w:rsidRPr="00260790">
        <w:rPr>
          <w:rFonts w:ascii="Times New Roman" w:eastAsia="Times New Roman" w:hAnsi="Times New Roman"/>
          <w:i/>
          <w:color w:val="000000" w:themeColor="text1"/>
          <w:lang w:eastAsia="fr-FR"/>
        </w:rPr>
        <w:t xml:space="preserve"> senegalensis, Azadirachta </w:t>
      </w:r>
      <w:proofErr w:type="spellStart"/>
      <w:r w:rsidR="002B26A5" w:rsidRPr="00260790">
        <w:rPr>
          <w:rFonts w:ascii="Times New Roman" w:eastAsia="Times New Roman" w:hAnsi="Times New Roman"/>
          <w:i/>
          <w:color w:val="000000" w:themeColor="text1"/>
          <w:lang w:eastAsia="fr-FR"/>
        </w:rPr>
        <w:t>indica</w:t>
      </w:r>
      <w:proofErr w:type="spellEnd"/>
      <w:r w:rsidR="002B26A5" w:rsidRPr="00260790">
        <w:rPr>
          <w:rFonts w:ascii="Times New Roman" w:eastAsia="Times New Roman" w:hAnsi="Times New Roman"/>
          <w:color w:val="000000" w:themeColor="text1"/>
          <w:lang w:eastAsia="fr-FR"/>
        </w:rPr>
        <w:t xml:space="preserve">, </w:t>
      </w:r>
      <w:r w:rsidR="002B26A5" w:rsidRPr="00260790">
        <w:rPr>
          <w:rFonts w:ascii="Times New Roman" w:eastAsia="Times New Roman" w:hAnsi="Times New Roman"/>
          <w:i/>
          <w:color w:val="000000" w:themeColor="text1"/>
          <w:lang w:eastAsia="fr-FR"/>
        </w:rPr>
        <w:t xml:space="preserve">Zizyphus </w:t>
      </w:r>
      <w:proofErr w:type="spellStart"/>
      <w:r w:rsidR="002B26A5" w:rsidRPr="00260790">
        <w:rPr>
          <w:rFonts w:ascii="Times New Roman" w:eastAsia="Times New Roman" w:hAnsi="Times New Roman"/>
          <w:i/>
          <w:color w:val="000000" w:themeColor="text1"/>
          <w:lang w:eastAsia="fr-FR"/>
        </w:rPr>
        <w:t>mauritiana</w:t>
      </w:r>
      <w:proofErr w:type="spellEnd"/>
      <w:r w:rsidR="002B26A5" w:rsidRPr="00260790">
        <w:rPr>
          <w:rFonts w:ascii="Times New Roman" w:eastAsia="Times New Roman" w:hAnsi="Times New Roman"/>
          <w:i/>
          <w:color w:val="000000" w:themeColor="text1"/>
          <w:lang w:eastAsia="fr-FR"/>
        </w:rPr>
        <w:t>,</w:t>
      </w:r>
      <w:r w:rsidR="002B26A5" w:rsidRPr="00260790">
        <w:rPr>
          <w:rFonts w:ascii="Times New Roman" w:eastAsia="Times New Roman" w:hAnsi="Times New Roman"/>
          <w:color w:val="000000" w:themeColor="text1"/>
          <w:lang w:eastAsia="fr-FR"/>
        </w:rPr>
        <w:t xml:space="preserve"> </w:t>
      </w:r>
      <w:r w:rsidR="002B26A5" w:rsidRPr="00260790">
        <w:rPr>
          <w:rFonts w:ascii="Times New Roman" w:eastAsia="Times New Roman" w:hAnsi="Times New Roman"/>
          <w:i/>
          <w:color w:val="000000" w:themeColor="text1"/>
          <w:lang w:eastAsia="fr-FR"/>
        </w:rPr>
        <w:t xml:space="preserve">Ficus </w:t>
      </w:r>
      <w:proofErr w:type="spellStart"/>
      <w:r w:rsidR="002B26A5" w:rsidRPr="00260790">
        <w:rPr>
          <w:rFonts w:ascii="Times New Roman" w:eastAsia="Times New Roman" w:hAnsi="Times New Roman"/>
          <w:i/>
          <w:color w:val="000000" w:themeColor="text1"/>
          <w:lang w:eastAsia="fr-FR"/>
        </w:rPr>
        <w:t>sycomorus</w:t>
      </w:r>
      <w:proofErr w:type="spellEnd"/>
      <w:r w:rsidR="002B26A5" w:rsidRPr="00260790">
        <w:rPr>
          <w:rFonts w:ascii="Times New Roman" w:eastAsia="Times New Roman" w:hAnsi="Times New Roman"/>
          <w:color w:val="000000" w:themeColor="text1"/>
          <w:lang w:eastAsia="fr-FR"/>
        </w:rPr>
        <w:t xml:space="preserve">, </w:t>
      </w:r>
      <w:proofErr w:type="spellStart"/>
      <w:r w:rsidR="002B26A5" w:rsidRPr="00260790">
        <w:rPr>
          <w:rFonts w:ascii="Times New Roman" w:eastAsia="Times New Roman" w:hAnsi="Times New Roman"/>
          <w:i/>
          <w:color w:val="000000" w:themeColor="text1"/>
          <w:lang w:eastAsia="fr-FR"/>
        </w:rPr>
        <w:t>Lepisanthes</w:t>
      </w:r>
      <w:proofErr w:type="spellEnd"/>
      <w:r w:rsidR="002B26A5" w:rsidRPr="00260790">
        <w:rPr>
          <w:rFonts w:ascii="Times New Roman" w:eastAsia="Times New Roman" w:hAnsi="Times New Roman"/>
          <w:i/>
          <w:color w:val="000000" w:themeColor="text1"/>
          <w:lang w:eastAsia="fr-FR"/>
        </w:rPr>
        <w:t xml:space="preserve"> senegalensis</w:t>
      </w:r>
      <w:r w:rsidR="002B26A5" w:rsidRPr="00260790">
        <w:rPr>
          <w:rFonts w:ascii="Times New Roman" w:eastAsia="Times New Roman" w:hAnsi="Times New Roman"/>
          <w:color w:val="000000" w:themeColor="text1"/>
          <w:lang w:eastAsia="fr-FR"/>
        </w:rPr>
        <w:t xml:space="preserve">, </w:t>
      </w:r>
      <w:proofErr w:type="spellStart"/>
      <w:r w:rsidR="002B26A5" w:rsidRPr="00260790">
        <w:rPr>
          <w:rFonts w:ascii="Times New Roman" w:eastAsia="Times New Roman" w:hAnsi="Times New Roman"/>
          <w:i/>
          <w:color w:val="000000" w:themeColor="text1"/>
          <w:lang w:eastAsia="fr-FR"/>
        </w:rPr>
        <w:t>Elaeis</w:t>
      </w:r>
      <w:proofErr w:type="spellEnd"/>
      <w:r w:rsidR="002B26A5" w:rsidRPr="00260790">
        <w:rPr>
          <w:rFonts w:ascii="Times New Roman" w:eastAsia="Times New Roman" w:hAnsi="Times New Roman"/>
          <w:i/>
          <w:color w:val="000000" w:themeColor="text1"/>
          <w:lang w:eastAsia="fr-FR"/>
        </w:rPr>
        <w:t xml:space="preserve"> </w:t>
      </w:r>
      <w:proofErr w:type="spellStart"/>
      <w:r w:rsidR="002B26A5" w:rsidRPr="00260790">
        <w:rPr>
          <w:rFonts w:ascii="Times New Roman" w:eastAsia="Times New Roman" w:hAnsi="Times New Roman"/>
          <w:i/>
          <w:color w:val="000000" w:themeColor="text1"/>
          <w:lang w:eastAsia="fr-FR"/>
        </w:rPr>
        <w:t>guineesis</w:t>
      </w:r>
      <w:proofErr w:type="spellEnd"/>
      <w:r w:rsidR="002B26A5" w:rsidRPr="00260790">
        <w:rPr>
          <w:rFonts w:ascii="Times New Roman" w:eastAsia="Times New Roman" w:hAnsi="Times New Roman"/>
          <w:color w:val="000000" w:themeColor="text1"/>
          <w:lang w:eastAsia="fr-FR"/>
        </w:rPr>
        <w:t xml:space="preserve"> (Palmier à huile) et </w:t>
      </w:r>
      <w:r w:rsidR="002B26A5" w:rsidRPr="00260790">
        <w:rPr>
          <w:rFonts w:ascii="Times New Roman" w:eastAsia="Times New Roman" w:hAnsi="Times New Roman"/>
          <w:i/>
          <w:color w:val="000000" w:themeColor="text1"/>
          <w:lang w:eastAsia="fr-FR"/>
        </w:rPr>
        <w:t xml:space="preserve">Cocos </w:t>
      </w:r>
      <w:proofErr w:type="spellStart"/>
      <w:r w:rsidR="002B26A5" w:rsidRPr="00260790">
        <w:rPr>
          <w:rFonts w:ascii="Times New Roman" w:eastAsia="Times New Roman" w:hAnsi="Times New Roman"/>
          <w:i/>
          <w:color w:val="000000" w:themeColor="text1"/>
          <w:lang w:eastAsia="fr-FR"/>
        </w:rPr>
        <w:t>nucifera</w:t>
      </w:r>
      <w:proofErr w:type="spellEnd"/>
      <w:r w:rsidR="002B26A5" w:rsidRPr="00260790">
        <w:rPr>
          <w:rFonts w:ascii="Times New Roman" w:eastAsia="Times New Roman" w:hAnsi="Times New Roman"/>
          <w:color w:val="000000" w:themeColor="text1"/>
          <w:lang w:eastAsia="fr-FR"/>
        </w:rPr>
        <w:t xml:space="preserve"> (Cocotier). Les arbustes sont représentés par </w:t>
      </w:r>
      <w:proofErr w:type="spellStart"/>
      <w:r w:rsidR="002B26A5" w:rsidRPr="00260790">
        <w:rPr>
          <w:rFonts w:ascii="Times New Roman" w:eastAsia="Times New Roman" w:hAnsi="Times New Roman"/>
          <w:i/>
          <w:color w:val="000000" w:themeColor="text1"/>
          <w:lang w:eastAsia="fr-FR"/>
        </w:rPr>
        <w:t>Gu</w:t>
      </w:r>
      <w:r w:rsidR="009E4304">
        <w:rPr>
          <w:rFonts w:ascii="Times New Roman" w:eastAsia="Times New Roman" w:hAnsi="Times New Roman"/>
          <w:i/>
          <w:color w:val="000000" w:themeColor="text1"/>
          <w:lang w:eastAsia="fr-FR"/>
        </w:rPr>
        <w:t>i</w:t>
      </w:r>
      <w:r w:rsidR="002B26A5" w:rsidRPr="00260790">
        <w:rPr>
          <w:rFonts w:ascii="Times New Roman" w:eastAsia="Times New Roman" w:hAnsi="Times New Roman"/>
          <w:i/>
          <w:color w:val="000000" w:themeColor="text1"/>
          <w:lang w:eastAsia="fr-FR"/>
        </w:rPr>
        <w:t>era</w:t>
      </w:r>
      <w:proofErr w:type="spellEnd"/>
      <w:r w:rsidR="002B26A5" w:rsidRPr="00260790">
        <w:rPr>
          <w:rFonts w:ascii="Times New Roman" w:eastAsia="Times New Roman" w:hAnsi="Times New Roman"/>
          <w:i/>
          <w:color w:val="000000" w:themeColor="text1"/>
          <w:lang w:eastAsia="fr-FR"/>
        </w:rPr>
        <w:t xml:space="preserve"> </w:t>
      </w:r>
      <w:proofErr w:type="spellStart"/>
      <w:r w:rsidR="002B26A5" w:rsidRPr="00260790">
        <w:rPr>
          <w:rFonts w:ascii="Times New Roman" w:eastAsia="Times New Roman" w:hAnsi="Times New Roman"/>
          <w:i/>
          <w:color w:val="000000" w:themeColor="text1"/>
          <w:lang w:eastAsia="fr-FR"/>
        </w:rPr>
        <w:t>senegalense</w:t>
      </w:r>
      <w:proofErr w:type="spellEnd"/>
      <w:r w:rsidR="002B26A5" w:rsidRPr="00260790">
        <w:rPr>
          <w:rFonts w:ascii="Times New Roman" w:eastAsia="Times New Roman" w:hAnsi="Times New Roman"/>
          <w:color w:val="000000" w:themeColor="text1"/>
          <w:lang w:eastAsia="fr-FR"/>
        </w:rPr>
        <w:t xml:space="preserve">, </w:t>
      </w:r>
      <w:proofErr w:type="spellStart"/>
      <w:r w:rsidR="002B26A5" w:rsidRPr="00260790">
        <w:rPr>
          <w:rFonts w:ascii="Times New Roman" w:eastAsia="Times New Roman" w:hAnsi="Times New Roman"/>
          <w:i/>
          <w:color w:val="000000" w:themeColor="text1"/>
          <w:lang w:eastAsia="fr-FR"/>
        </w:rPr>
        <w:t>Combretum</w:t>
      </w:r>
      <w:proofErr w:type="spellEnd"/>
      <w:r w:rsidR="002B26A5" w:rsidRPr="00260790">
        <w:rPr>
          <w:rFonts w:ascii="Times New Roman" w:eastAsia="Times New Roman" w:hAnsi="Times New Roman"/>
          <w:i/>
          <w:color w:val="000000" w:themeColor="text1"/>
          <w:lang w:eastAsia="fr-FR"/>
        </w:rPr>
        <w:t xml:space="preserve"> </w:t>
      </w:r>
      <w:proofErr w:type="spellStart"/>
      <w:r w:rsidR="002B26A5" w:rsidRPr="00260790">
        <w:rPr>
          <w:rFonts w:ascii="Times New Roman" w:eastAsia="Times New Roman" w:hAnsi="Times New Roman"/>
          <w:i/>
          <w:color w:val="000000" w:themeColor="text1"/>
          <w:lang w:eastAsia="fr-FR"/>
        </w:rPr>
        <w:t>glutinosum</w:t>
      </w:r>
      <w:proofErr w:type="spellEnd"/>
      <w:r w:rsidR="002B26A5" w:rsidRPr="00260790">
        <w:rPr>
          <w:rFonts w:ascii="Times New Roman" w:eastAsia="Times New Roman" w:hAnsi="Times New Roman"/>
          <w:color w:val="000000" w:themeColor="text1"/>
          <w:lang w:eastAsia="fr-FR"/>
        </w:rPr>
        <w:t xml:space="preserve">, </w:t>
      </w:r>
      <w:proofErr w:type="spellStart"/>
      <w:r w:rsidR="002B26A5" w:rsidRPr="00260790">
        <w:rPr>
          <w:rFonts w:ascii="Times New Roman" w:eastAsia="Times New Roman" w:hAnsi="Times New Roman"/>
          <w:i/>
          <w:color w:val="000000" w:themeColor="text1"/>
          <w:lang w:eastAsia="fr-FR"/>
        </w:rPr>
        <w:t>Euphorbia</w:t>
      </w:r>
      <w:proofErr w:type="spellEnd"/>
      <w:r w:rsidR="002B26A5" w:rsidRPr="00260790">
        <w:rPr>
          <w:rFonts w:ascii="Times New Roman" w:eastAsia="Times New Roman" w:hAnsi="Times New Roman"/>
          <w:i/>
          <w:color w:val="000000" w:themeColor="text1"/>
          <w:lang w:eastAsia="fr-FR"/>
        </w:rPr>
        <w:t xml:space="preserve"> </w:t>
      </w:r>
      <w:proofErr w:type="spellStart"/>
      <w:r w:rsidR="002B26A5" w:rsidRPr="00260790">
        <w:rPr>
          <w:rFonts w:ascii="Times New Roman" w:eastAsia="Times New Roman" w:hAnsi="Times New Roman"/>
          <w:i/>
          <w:color w:val="000000" w:themeColor="text1"/>
          <w:lang w:eastAsia="fr-FR"/>
        </w:rPr>
        <w:t>turicalli</w:t>
      </w:r>
      <w:proofErr w:type="spellEnd"/>
      <w:r w:rsidR="002B26A5" w:rsidRPr="00260790">
        <w:rPr>
          <w:rFonts w:ascii="Times New Roman" w:eastAsia="Times New Roman" w:hAnsi="Times New Roman"/>
          <w:i/>
          <w:color w:val="000000" w:themeColor="text1"/>
          <w:lang w:eastAsia="fr-FR"/>
        </w:rPr>
        <w:t>, Prosopis juliflora</w:t>
      </w:r>
      <w:r w:rsidR="002B26A5" w:rsidRPr="00260790">
        <w:rPr>
          <w:rFonts w:ascii="Times New Roman" w:eastAsia="Times New Roman" w:hAnsi="Times New Roman"/>
          <w:color w:val="000000" w:themeColor="text1"/>
          <w:lang w:eastAsia="fr-FR"/>
        </w:rPr>
        <w:t xml:space="preserve"> et </w:t>
      </w:r>
      <w:proofErr w:type="spellStart"/>
      <w:r w:rsidR="002B26A5" w:rsidRPr="00260790">
        <w:rPr>
          <w:rFonts w:ascii="Times New Roman" w:eastAsia="Times New Roman" w:hAnsi="Times New Roman"/>
          <w:i/>
          <w:color w:val="000000" w:themeColor="text1"/>
          <w:lang w:eastAsia="fr-FR"/>
        </w:rPr>
        <w:t>Calotropis</w:t>
      </w:r>
      <w:proofErr w:type="spellEnd"/>
      <w:r w:rsidR="002B26A5" w:rsidRPr="00260790">
        <w:rPr>
          <w:rFonts w:ascii="Times New Roman" w:eastAsia="Times New Roman" w:hAnsi="Times New Roman"/>
          <w:i/>
          <w:color w:val="000000" w:themeColor="text1"/>
          <w:lang w:eastAsia="fr-FR"/>
        </w:rPr>
        <w:t xml:space="preserve"> </w:t>
      </w:r>
      <w:proofErr w:type="spellStart"/>
      <w:r w:rsidR="002B26A5" w:rsidRPr="00260790">
        <w:rPr>
          <w:rFonts w:ascii="Times New Roman" w:eastAsia="Times New Roman" w:hAnsi="Times New Roman"/>
          <w:i/>
          <w:color w:val="000000" w:themeColor="text1"/>
          <w:lang w:eastAsia="fr-FR"/>
        </w:rPr>
        <w:t>procera</w:t>
      </w:r>
      <w:proofErr w:type="spellEnd"/>
      <w:r w:rsidR="002B26A5" w:rsidRPr="00260790">
        <w:rPr>
          <w:rFonts w:ascii="Times New Roman" w:eastAsia="Times New Roman" w:hAnsi="Times New Roman"/>
          <w:color w:val="000000" w:themeColor="text1"/>
          <w:lang w:eastAsia="fr-FR"/>
        </w:rPr>
        <w:t xml:space="preserve">. Quant au tapis herbacé, il est dominé par des graminées comme </w:t>
      </w:r>
      <w:proofErr w:type="spellStart"/>
      <w:r w:rsidR="002B26A5" w:rsidRPr="00260790">
        <w:rPr>
          <w:rFonts w:ascii="Times New Roman" w:eastAsia="Times New Roman" w:hAnsi="Times New Roman"/>
          <w:i/>
          <w:color w:val="000000" w:themeColor="text1"/>
          <w:lang w:eastAsia="fr-FR"/>
        </w:rPr>
        <w:t>Cenchrus</w:t>
      </w:r>
      <w:proofErr w:type="spellEnd"/>
      <w:r w:rsidR="002B26A5" w:rsidRPr="00260790">
        <w:rPr>
          <w:rFonts w:ascii="Times New Roman" w:eastAsia="Times New Roman" w:hAnsi="Times New Roman"/>
          <w:i/>
          <w:color w:val="000000" w:themeColor="text1"/>
          <w:lang w:eastAsia="fr-FR"/>
        </w:rPr>
        <w:t xml:space="preserve"> </w:t>
      </w:r>
      <w:proofErr w:type="spellStart"/>
      <w:r w:rsidR="002B26A5" w:rsidRPr="00260790">
        <w:rPr>
          <w:rFonts w:ascii="Times New Roman" w:eastAsia="Times New Roman" w:hAnsi="Times New Roman"/>
          <w:i/>
          <w:color w:val="000000" w:themeColor="text1"/>
          <w:lang w:eastAsia="fr-FR"/>
        </w:rPr>
        <w:t>biflorus</w:t>
      </w:r>
      <w:proofErr w:type="spellEnd"/>
      <w:r w:rsidR="002B26A5" w:rsidRPr="00260790">
        <w:rPr>
          <w:rFonts w:ascii="Times New Roman" w:eastAsia="Times New Roman" w:hAnsi="Times New Roman"/>
          <w:color w:val="000000" w:themeColor="text1"/>
          <w:lang w:eastAsia="fr-FR"/>
        </w:rPr>
        <w:t xml:space="preserve"> et </w:t>
      </w:r>
      <w:r w:rsidR="002B26A5" w:rsidRPr="00260790">
        <w:rPr>
          <w:rFonts w:ascii="Times New Roman" w:eastAsia="Times New Roman" w:hAnsi="Times New Roman"/>
          <w:i/>
          <w:iCs/>
          <w:color w:val="000000" w:themeColor="text1"/>
          <w:lang w:eastAsia="fr-FR"/>
        </w:rPr>
        <w:t xml:space="preserve">Andropogon </w:t>
      </w:r>
      <w:proofErr w:type="spellStart"/>
      <w:r w:rsidR="002B26A5" w:rsidRPr="00260790">
        <w:rPr>
          <w:rFonts w:ascii="Times New Roman" w:eastAsia="Times New Roman" w:hAnsi="Times New Roman"/>
          <w:i/>
          <w:iCs/>
          <w:color w:val="000000" w:themeColor="text1"/>
          <w:lang w:eastAsia="fr-FR"/>
        </w:rPr>
        <w:t>sp</w:t>
      </w:r>
      <w:proofErr w:type="spellEnd"/>
      <w:r w:rsidR="002B26A5" w:rsidRPr="00260790">
        <w:rPr>
          <w:rFonts w:ascii="Times New Roman" w:eastAsia="Times New Roman" w:hAnsi="Times New Roman"/>
          <w:i/>
          <w:iCs/>
          <w:color w:val="000000" w:themeColor="text1"/>
          <w:lang w:eastAsia="fr-FR"/>
        </w:rPr>
        <w:t>.</w:t>
      </w:r>
      <w:r w:rsidR="002B26A5" w:rsidRPr="00260790">
        <w:rPr>
          <w:rFonts w:ascii="Times New Roman" w:eastAsia="Times New Roman" w:hAnsi="Times New Roman"/>
          <w:color w:val="000000" w:themeColor="text1"/>
          <w:lang w:eastAsia="fr-FR"/>
        </w:rPr>
        <w:t xml:space="preserve"> Les espèces </w:t>
      </w:r>
      <w:proofErr w:type="spellStart"/>
      <w:r w:rsidR="002B26A5" w:rsidRPr="00260790">
        <w:rPr>
          <w:rFonts w:ascii="Times New Roman" w:eastAsia="Times New Roman" w:hAnsi="Times New Roman"/>
          <w:i/>
          <w:color w:val="000000" w:themeColor="text1"/>
          <w:lang w:eastAsia="fr-FR"/>
        </w:rPr>
        <w:t>Leptadenia</w:t>
      </w:r>
      <w:proofErr w:type="spellEnd"/>
      <w:r w:rsidR="002B26A5" w:rsidRPr="00260790">
        <w:rPr>
          <w:rFonts w:ascii="Times New Roman" w:eastAsia="Times New Roman" w:hAnsi="Times New Roman"/>
          <w:i/>
          <w:color w:val="000000" w:themeColor="text1"/>
          <w:lang w:eastAsia="fr-FR"/>
        </w:rPr>
        <w:t xml:space="preserve"> </w:t>
      </w:r>
      <w:proofErr w:type="spellStart"/>
      <w:r w:rsidR="002B26A5" w:rsidRPr="00260790">
        <w:rPr>
          <w:rFonts w:ascii="Times New Roman" w:eastAsia="Times New Roman" w:hAnsi="Times New Roman"/>
          <w:i/>
          <w:color w:val="000000" w:themeColor="text1"/>
          <w:lang w:eastAsia="fr-FR"/>
        </w:rPr>
        <w:t>hastata</w:t>
      </w:r>
      <w:proofErr w:type="spellEnd"/>
      <w:r w:rsidR="002B26A5" w:rsidRPr="00260790">
        <w:rPr>
          <w:rFonts w:ascii="Times New Roman" w:eastAsia="Times New Roman" w:hAnsi="Times New Roman"/>
          <w:color w:val="000000" w:themeColor="text1"/>
          <w:lang w:eastAsia="fr-FR"/>
        </w:rPr>
        <w:t xml:space="preserve">, </w:t>
      </w:r>
      <w:r w:rsidR="002B26A5" w:rsidRPr="00260790">
        <w:rPr>
          <w:rFonts w:ascii="Times New Roman" w:eastAsia="Times New Roman" w:hAnsi="Times New Roman"/>
          <w:i/>
          <w:color w:val="000000" w:themeColor="text1"/>
          <w:lang w:eastAsia="fr-FR"/>
        </w:rPr>
        <w:t xml:space="preserve">Opuntia </w:t>
      </w:r>
      <w:proofErr w:type="spellStart"/>
      <w:r w:rsidR="002B26A5" w:rsidRPr="00260790">
        <w:rPr>
          <w:rFonts w:ascii="Times New Roman" w:eastAsia="Times New Roman" w:hAnsi="Times New Roman"/>
          <w:i/>
          <w:color w:val="000000" w:themeColor="text1"/>
          <w:lang w:eastAsia="fr-FR"/>
        </w:rPr>
        <w:t>tuna</w:t>
      </w:r>
      <w:proofErr w:type="spellEnd"/>
      <w:r w:rsidR="002B26A5" w:rsidRPr="00260790">
        <w:rPr>
          <w:rFonts w:ascii="Times New Roman" w:eastAsia="Times New Roman" w:hAnsi="Times New Roman"/>
          <w:color w:val="000000" w:themeColor="text1"/>
          <w:lang w:eastAsia="fr-FR"/>
        </w:rPr>
        <w:t xml:space="preserve">, </w:t>
      </w:r>
      <w:r w:rsidR="002B26A5" w:rsidRPr="00260790">
        <w:rPr>
          <w:rFonts w:ascii="Times New Roman" w:eastAsia="Times New Roman" w:hAnsi="Times New Roman"/>
          <w:i/>
          <w:color w:val="000000" w:themeColor="text1"/>
          <w:lang w:eastAsia="fr-FR"/>
        </w:rPr>
        <w:t xml:space="preserve">Cyperus </w:t>
      </w:r>
      <w:proofErr w:type="spellStart"/>
      <w:r w:rsidR="002B26A5" w:rsidRPr="00260790">
        <w:rPr>
          <w:rFonts w:ascii="Times New Roman" w:eastAsia="Times New Roman" w:hAnsi="Times New Roman"/>
          <w:i/>
          <w:color w:val="000000" w:themeColor="text1"/>
          <w:lang w:eastAsia="fr-FR"/>
        </w:rPr>
        <w:t>maritimus</w:t>
      </w:r>
      <w:proofErr w:type="spellEnd"/>
      <w:r w:rsidR="002B26A5" w:rsidRPr="00260790">
        <w:rPr>
          <w:rFonts w:ascii="Times New Roman" w:eastAsia="Times New Roman" w:hAnsi="Times New Roman"/>
          <w:color w:val="000000" w:themeColor="text1"/>
          <w:lang w:eastAsia="fr-FR"/>
        </w:rPr>
        <w:t xml:space="preserve">, </w:t>
      </w:r>
      <w:proofErr w:type="spellStart"/>
      <w:r w:rsidR="002B26A5" w:rsidRPr="00260790">
        <w:rPr>
          <w:rFonts w:ascii="Times New Roman" w:eastAsia="Times New Roman" w:hAnsi="Times New Roman"/>
          <w:i/>
          <w:color w:val="000000" w:themeColor="text1"/>
          <w:lang w:eastAsia="fr-FR"/>
        </w:rPr>
        <w:t>Sporobolus</w:t>
      </w:r>
      <w:proofErr w:type="spellEnd"/>
      <w:r w:rsidR="002B26A5" w:rsidRPr="00260790">
        <w:rPr>
          <w:rFonts w:ascii="Times New Roman" w:eastAsia="Times New Roman" w:hAnsi="Times New Roman"/>
          <w:i/>
          <w:color w:val="000000" w:themeColor="text1"/>
          <w:lang w:eastAsia="fr-FR"/>
        </w:rPr>
        <w:t xml:space="preserve"> </w:t>
      </w:r>
      <w:proofErr w:type="spellStart"/>
      <w:r w:rsidR="002B26A5" w:rsidRPr="00260790">
        <w:rPr>
          <w:rFonts w:ascii="Times New Roman" w:eastAsia="Times New Roman" w:hAnsi="Times New Roman"/>
          <w:i/>
          <w:color w:val="000000" w:themeColor="text1"/>
          <w:lang w:eastAsia="fr-FR"/>
        </w:rPr>
        <w:t>spicatus</w:t>
      </w:r>
      <w:proofErr w:type="spellEnd"/>
      <w:r w:rsidR="002B26A5" w:rsidRPr="00260790">
        <w:rPr>
          <w:rFonts w:ascii="Times New Roman" w:eastAsia="Times New Roman" w:hAnsi="Times New Roman"/>
          <w:color w:val="000000" w:themeColor="text1"/>
          <w:lang w:eastAsia="fr-FR"/>
        </w:rPr>
        <w:t xml:space="preserve">, </w:t>
      </w:r>
      <w:proofErr w:type="spellStart"/>
      <w:r w:rsidR="002B26A5" w:rsidRPr="00260790">
        <w:rPr>
          <w:rFonts w:ascii="Times New Roman" w:eastAsia="Times New Roman" w:hAnsi="Times New Roman"/>
          <w:i/>
          <w:color w:val="000000" w:themeColor="text1"/>
          <w:lang w:eastAsia="fr-FR"/>
        </w:rPr>
        <w:t>Ipomea</w:t>
      </w:r>
      <w:proofErr w:type="spellEnd"/>
      <w:r w:rsidR="002B26A5" w:rsidRPr="00260790">
        <w:rPr>
          <w:rFonts w:ascii="Times New Roman" w:eastAsia="Times New Roman" w:hAnsi="Times New Roman"/>
          <w:i/>
          <w:color w:val="000000" w:themeColor="text1"/>
          <w:lang w:eastAsia="fr-FR"/>
        </w:rPr>
        <w:t xml:space="preserve"> </w:t>
      </w:r>
      <w:proofErr w:type="spellStart"/>
      <w:r w:rsidR="002B26A5" w:rsidRPr="00260790">
        <w:rPr>
          <w:rFonts w:ascii="Times New Roman" w:eastAsia="Times New Roman" w:hAnsi="Times New Roman"/>
          <w:i/>
          <w:color w:val="000000" w:themeColor="text1"/>
          <w:lang w:eastAsia="fr-FR"/>
        </w:rPr>
        <w:t>sp</w:t>
      </w:r>
      <w:proofErr w:type="spellEnd"/>
      <w:r w:rsidR="002B26A5" w:rsidRPr="00260790">
        <w:rPr>
          <w:rFonts w:ascii="Times New Roman" w:eastAsia="Times New Roman" w:hAnsi="Times New Roman"/>
          <w:i/>
          <w:color w:val="000000" w:themeColor="text1"/>
          <w:lang w:eastAsia="fr-FR"/>
        </w:rPr>
        <w:t xml:space="preserve"> </w:t>
      </w:r>
      <w:r w:rsidR="002B26A5" w:rsidRPr="00260790">
        <w:rPr>
          <w:rFonts w:ascii="Times New Roman" w:eastAsia="Times New Roman" w:hAnsi="Times New Roman"/>
          <w:color w:val="000000" w:themeColor="text1"/>
          <w:lang w:eastAsia="fr-FR"/>
        </w:rPr>
        <w:t xml:space="preserve">sont aussi identifiées dans la zone d’étude. </w:t>
      </w:r>
    </w:p>
    <w:p w14:paraId="04BBBF38" w14:textId="7777777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département de Keur Massar abrite particulièrement une végétation issue des plantations d’</w:t>
      </w:r>
      <w:proofErr w:type="spellStart"/>
      <w:r w:rsidRPr="00260790">
        <w:rPr>
          <w:rFonts w:ascii="Times New Roman" w:eastAsia="Times New Roman" w:hAnsi="Times New Roman"/>
          <w:i/>
          <w:color w:val="000000" w:themeColor="text1"/>
          <w:lang w:eastAsia="fr-FR"/>
        </w:rPr>
        <w:t>Anacardium</w:t>
      </w:r>
      <w:proofErr w:type="spellEnd"/>
      <w:r w:rsidRPr="00260790">
        <w:rPr>
          <w:rFonts w:ascii="Times New Roman" w:eastAsia="Times New Roman" w:hAnsi="Times New Roman"/>
          <w:i/>
          <w:color w:val="000000" w:themeColor="text1"/>
          <w:lang w:eastAsia="fr-FR"/>
        </w:rPr>
        <w:t xml:space="preserve"> occidentale</w:t>
      </w:r>
      <w:r w:rsidRPr="00260790">
        <w:rPr>
          <w:rFonts w:ascii="Times New Roman" w:eastAsia="Times New Roman" w:hAnsi="Times New Roman"/>
          <w:color w:val="000000" w:themeColor="text1"/>
          <w:lang w:eastAsia="fr-FR"/>
        </w:rPr>
        <w:t>, d’</w:t>
      </w:r>
      <w:r w:rsidRPr="00260790">
        <w:rPr>
          <w:rFonts w:ascii="Times New Roman" w:eastAsia="Times New Roman" w:hAnsi="Times New Roman"/>
          <w:i/>
          <w:color w:val="000000" w:themeColor="text1"/>
          <w:lang w:eastAsia="fr-FR"/>
        </w:rPr>
        <w:t xml:space="preserve">Eucalyptus </w:t>
      </w:r>
      <w:proofErr w:type="spellStart"/>
      <w:r w:rsidRPr="00260790">
        <w:rPr>
          <w:rFonts w:ascii="Times New Roman" w:eastAsia="Times New Roman" w:hAnsi="Times New Roman"/>
          <w:i/>
          <w:color w:val="000000" w:themeColor="text1"/>
          <w:lang w:eastAsia="fr-FR"/>
        </w:rPr>
        <w:t>sp</w:t>
      </w:r>
      <w:proofErr w:type="spellEnd"/>
      <w:r w:rsidRPr="00260790">
        <w:rPr>
          <w:rFonts w:ascii="Times New Roman" w:eastAsia="Times New Roman" w:hAnsi="Times New Roman"/>
          <w:color w:val="000000" w:themeColor="text1"/>
          <w:lang w:eastAsia="fr-FR"/>
        </w:rPr>
        <w:t xml:space="preserve">, de </w:t>
      </w:r>
      <w:proofErr w:type="spellStart"/>
      <w:r w:rsidRPr="00260790">
        <w:rPr>
          <w:rFonts w:ascii="Times New Roman" w:eastAsia="Times New Roman" w:hAnsi="Times New Roman"/>
          <w:i/>
          <w:color w:val="000000" w:themeColor="text1"/>
          <w:lang w:eastAsia="fr-FR"/>
        </w:rPr>
        <w:t>Manguifera</w:t>
      </w:r>
      <w:proofErr w:type="spellEnd"/>
      <w:r w:rsidRPr="00260790">
        <w:rPr>
          <w:rFonts w:ascii="Times New Roman" w:eastAsia="Times New Roman" w:hAnsi="Times New Roman"/>
          <w:i/>
          <w:color w:val="000000" w:themeColor="text1"/>
          <w:lang w:eastAsia="fr-FR"/>
        </w:rPr>
        <w:t xml:space="preserve"> </w:t>
      </w:r>
      <w:proofErr w:type="spellStart"/>
      <w:r w:rsidRPr="00260790">
        <w:rPr>
          <w:rFonts w:ascii="Times New Roman" w:eastAsia="Times New Roman" w:hAnsi="Times New Roman"/>
          <w:i/>
          <w:color w:val="000000" w:themeColor="text1"/>
          <w:lang w:eastAsia="fr-FR"/>
        </w:rPr>
        <w:t>indica</w:t>
      </w:r>
      <w:proofErr w:type="spellEnd"/>
      <w:r w:rsidRPr="00260790">
        <w:rPr>
          <w:rFonts w:ascii="Times New Roman" w:eastAsia="Times New Roman" w:hAnsi="Times New Roman"/>
          <w:color w:val="000000" w:themeColor="text1"/>
          <w:lang w:eastAsia="fr-FR"/>
        </w:rPr>
        <w:t xml:space="preserve"> ainsi que de </w:t>
      </w:r>
      <w:r w:rsidRPr="00260790">
        <w:rPr>
          <w:rFonts w:ascii="Times New Roman" w:eastAsia="Times New Roman" w:hAnsi="Times New Roman"/>
          <w:i/>
          <w:color w:val="000000" w:themeColor="text1"/>
          <w:lang w:eastAsia="fr-FR"/>
        </w:rPr>
        <w:t xml:space="preserve">Casuarina </w:t>
      </w:r>
      <w:proofErr w:type="spellStart"/>
      <w:r w:rsidRPr="00260790">
        <w:rPr>
          <w:rFonts w:ascii="Times New Roman" w:eastAsia="Times New Roman" w:hAnsi="Times New Roman"/>
          <w:i/>
          <w:color w:val="000000" w:themeColor="text1"/>
          <w:lang w:eastAsia="fr-FR"/>
        </w:rPr>
        <w:t>equisetifolia</w:t>
      </w:r>
      <w:proofErr w:type="spellEnd"/>
      <w:r w:rsidRPr="00260790">
        <w:rPr>
          <w:rFonts w:ascii="Times New Roman" w:eastAsia="Times New Roman" w:hAnsi="Times New Roman"/>
          <w:color w:val="000000" w:themeColor="text1"/>
          <w:lang w:eastAsia="fr-FR"/>
        </w:rPr>
        <w:t xml:space="preserve">. A l’intérieur des plantations de </w:t>
      </w:r>
      <w:r w:rsidRPr="00260790">
        <w:rPr>
          <w:rFonts w:ascii="Times New Roman" w:eastAsia="Times New Roman" w:hAnsi="Times New Roman"/>
          <w:i/>
          <w:color w:val="000000" w:themeColor="text1"/>
          <w:lang w:eastAsia="fr-FR"/>
        </w:rPr>
        <w:t xml:space="preserve">Casuarina </w:t>
      </w:r>
      <w:proofErr w:type="spellStart"/>
      <w:r w:rsidRPr="00260790">
        <w:rPr>
          <w:rFonts w:ascii="Times New Roman" w:eastAsia="Times New Roman" w:hAnsi="Times New Roman"/>
          <w:i/>
          <w:color w:val="000000" w:themeColor="text1"/>
          <w:lang w:eastAsia="fr-FR"/>
        </w:rPr>
        <w:t>equisetifolia</w:t>
      </w:r>
      <w:proofErr w:type="spellEnd"/>
      <w:r w:rsidRPr="00260790">
        <w:rPr>
          <w:rFonts w:ascii="Times New Roman" w:eastAsia="Times New Roman" w:hAnsi="Times New Roman"/>
          <w:color w:val="000000" w:themeColor="text1"/>
          <w:lang w:eastAsia="fr-FR"/>
        </w:rPr>
        <w:t xml:space="preserve">, se retrouvent quelques sujets de la végétation naturelle originelle, notamment </w:t>
      </w:r>
      <w:r w:rsidRPr="00260790">
        <w:rPr>
          <w:rFonts w:ascii="Times New Roman" w:eastAsia="Times New Roman" w:hAnsi="Times New Roman"/>
          <w:i/>
          <w:color w:val="000000" w:themeColor="text1"/>
          <w:lang w:eastAsia="fr-FR"/>
        </w:rPr>
        <w:t>Balanites aegyptiaca</w:t>
      </w:r>
      <w:r w:rsidRPr="00260790">
        <w:rPr>
          <w:rFonts w:ascii="Times New Roman" w:eastAsia="Times New Roman" w:hAnsi="Times New Roman"/>
          <w:color w:val="000000" w:themeColor="text1"/>
          <w:lang w:eastAsia="fr-FR"/>
        </w:rPr>
        <w:t>,</w:t>
      </w:r>
      <w:r w:rsidRPr="00260790">
        <w:rPr>
          <w:rFonts w:ascii="Times New Roman" w:eastAsia="Times New Roman" w:hAnsi="Times New Roman"/>
          <w:i/>
          <w:color w:val="000000" w:themeColor="text1"/>
          <w:lang w:eastAsia="fr-FR"/>
        </w:rPr>
        <w:t xml:space="preserve"> </w:t>
      </w:r>
      <w:proofErr w:type="spellStart"/>
      <w:r w:rsidRPr="00260790">
        <w:rPr>
          <w:rFonts w:ascii="Times New Roman" w:eastAsia="Times New Roman" w:hAnsi="Times New Roman"/>
          <w:i/>
          <w:color w:val="000000" w:themeColor="text1"/>
          <w:lang w:eastAsia="fr-FR"/>
        </w:rPr>
        <w:t>Maytenus</w:t>
      </w:r>
      <w:proofErr w:type="spellEnd"/>
      <w:r w:rsidRPr="00260790">
        <w:rPr>
          <w:rFonts w:ascii="Times New Roman" w:eastAsia="Times New Roman" w:hAnsi="Times New Roman"/>
          <w:i/>
          <w:color w:val="000000" w:themeColor="text1"/>
          <w:lang w:eastAsia="fr-FR"/>
        </w:rPr>
        <w:t xml:space="preserve"> senegalensis</w:t>
      </w:r>
      <w:r w:rsidRPr="00260790">
        <w:rPr>
          <w:rFonts w:ascii="Times New Roman" w:eastAsia="Times New Roman" w:hAnsi="Times New Roman"/>
          <w:color w:val="000000" w:themeColor="text1"/>
          <w:lang w:eastAsia="fr-FR"/>
        </w:rPr>
        <w:t xml:space="preserve">, </w:t>
      </w:r>
      <w:proofErr w:type="spellStart"/>
      <w:r w:rsidRPr="00260790">
        <w:rPr>
          <w:rFonts w:ascii="Times New Roman" w:eastAsia="Times New Roman" w:hAnsi="Times New Roman"/>
          <w:i/>
          <w:color w:val="000000" w:themeColor="text1"/>
          <w:lang w:eastAsia="fr-FR"/>
        </w:rPr>
        <w:t>Crysobalanus</w:t>
      </w:r>
      <w:proofErr w:type="spellEnd"/>
      <w:r w:rsidRPr="00260790">
        <w:rPr>
          <w:rFonts w:ascii="Times New Roman" w:eastAsia="Times New Roman" w:hAnsi="Times New Roman"/>
          <w:i/>
          <w:color w:val="000000" w:themeColor="text1"/>
          <w:lang w:eastAsia="fr-FR"/>
        </w:rPr>
        <w:t xml:space="preserve"> </w:t>
      </w:r>
      <w:proofErr w:type="spellStart"/>
      <w:r w:rsidRPr="00260790">
        <w:rPr>
          <w:rFonts w:ascii="Times New Roman" w:eastAsia="Times New Roman" w:hAnsi="Times New Roman"/>
          <w:i/>
          <w:color w:val="000000" w:themeColor="text1"/>
          <w:lang w:eastAsia="fr-FR"/>
        </w:rPr>
        <w:t>icaco</w:t>
      </w:r>
      <w:proofErr w:type="spellEnd"/>
      <w:r w:rsidRPr="00260790">
        <w:rPr>
          <w:rFonts w:ascii="Times New Roman" w:eastAsia="Times New Roman" w:hAnsi="Times New Roman"/>
          <w:color w:val="000000" w:themeColor="text1"/>
          <w:lang w:eastAsia="fr-FR"/>
        </w:rPr>
        <w:t xml:space="preserve">, </w:t>
      </w:r>
      <w:proofErr w:type="spellStart"/>
      <w:r w:rsidRPr="00260790">
        <w:rPr>
          <w:rFonts w:ascii="Times New Roman" w:eastAsia="Times New Roman" w:hAnsi="Times New Roman"/>
          <w:i/>
          <w:color w:val="000000" w:themeColor="text1"/>
          <w:lang w:eastAsia="fr-FR"/>
        </w:rPr>
        <w:t>Aphania</w:t>
      </w:r>
      <w:proofErr w:type="spellEnd"/>
      <w:r w:rsidRPr="00260790">
        <w:rPr>
          <w:rFonts w:ascii="Times New Roman" w:eastAsia="Times New Roman" w:hAnsi="Times New Roman"/>
          <w:i/>
          <w:color w:val="000000" w:themeColor="text1"/>
          <w:lang w:eastAsia="fr-FR"/>
        </w:rPr>
        <w:t xml:space="preserve"> senegalensis</w:t>
      </w:r>
      <w:r w:rsidRPr="00260790">
        <w:rPr>
          <w:rFonts w:ascii="Times New Roman" w:eastAsia="Times New Roman" w:hAnsi="Times New Roman"/>
          <w:color w:val="000000" w:themeColor="text1"/>
          <w:lang w:eastAsia="fr-FR"/>
        </w:rPr>
        <w:t xml:space="preserve"> (</w:t>
      </w:r>
      <w:proofErr w:type="spellStart"/>
      <w:r w:rsidRPr="00260790">
        <w:rPr>
          <w:rFonts w:ascii="Times New Roman" w:eastAsia="Times New Roman" w:hAnsi="Times New Roman"/>
          <w:color w:val="000000" w:themeColor="text1"/>
          <w:lang w:eastAsia="fr-FR"/>
        </w:rPr>
        <w:t>khéwer</w:t>
      </w:r>
      <w:proofErr w:type="spellEnd"/>
      <w:r w:rsidRPr="00260790">
        <w:rPr>
          <w:rFonts w:ascii="Times New Roman" w:eastAsia="Times New Roman" w:hAnsi="Times New Roman"/>
          <w:color w:val="000000" w:themeColor="text1"/>
          <w:lang w:eastAsia="fr-FR"/>
        </w:rPr>
        <w:t xml:space="preserve">), </w:t>
      </w:r>
      <w:proofErr w:type="spellStart"/>
      <w:r w:rsidRPr="00260790">
        <w:rPr>
          <w:rFonts w:ascii="Times New Roman" w:eastAsia="Times New Roman" w:hAnsi="Times New Roman"/>
          <w:i/>
          <w:color w:val="000000" w:themeColor="text1"/>
          <w:lang w:eastAsia="fr-FR"/>
        </w:rPr>
        <w:t>Detarium</w:t>
      </w:r>
      <w:proofErr w:type="spellEnd"/>
      <w:r w:rsidRPr="00260790">
        <w:rPr>
          <w:rFonts w:ascii="Times New Roman" w:eastAsia="Times New Roman" w:hAnsi="Times New Roman"/>
          <w:i/>
          <w:color w:val="000000" w:themeColor="text1"/>
          <w:lang w:eastAsia="fr-FR"/>
        </w:rPr>
        <w:t xml:space="preserve"> </w:t>
      </w:r>
      <w:proofErr w:type="spellStart"/>
      <w:r w:rsidRPr="00260790">
        <w:rPr>
          <w:rFonts w:ascii="Times New Roman" w:eastAsia="Times New Roman" w:hAnsi="Times New Roman"/>
          <w:i/>
          <w:color w:val="000000" w:themeColor="text1"/>
          <w:lang w:eastAsia="fr-FR"/>
        </w:rPr>
        <w:t>senegalense</w:t>
      </w:r>
      <w:proofErr w:type="spellEnd"/>
      <w:r w:rsidRPr="00260790">
        <w:rPr>
          <w:rFonts w:ascii="Times New Roman" w:eastAsia="Times New Roman" w:hAnsi="Times New Roman"/>
          <w:color w:val="000000" w:themeColor="text1"/>
          <w:lang w:eastAsia="fr-FR"/>
        </w:rPr>
        <w:t xml:space="preserve">. Sur les plans d’eau peuvent être identifiées les espèces telles que </w:t>
      </w:r>
      <w:r w:rsidRPr="00260790">
        <w:rPr>
          <w:rFonts w:ascii="Times New Roman" w:eastAsia="Times New Roman" w:hAnsi="Times New Roman"/>
          <w:i/>
          <w:color w:val="000000" w:themeColor="text1"/>
          <w:lang w:eastAsia="fr-FR"/>
        </w:rPr>
        <w:t xml:space="preserve">Typha </w:t>
      </w:r>
      <w:proofErr w:type="spellStart"/>
      <w:r w:rsidRPr="00260790">
        <w:rPr>
          <w:rFonts w:ascii="Times New Roman" w:eastAsia="Times New Roman" w:hAnsi="Times New Roman"/>
          <w:i/>
          <w:color w:val="000000" w:themeColor="text1"/>
          <w:lang w:eastAsia="fr-FR"/>
        </w:rPr>
        <w:t>sp</w:t>
      </w:r>
      <w:proofErr w:type="spellEnd"/>
      <w:r w:rsidRPr="00260790">
        <w:rPr>
          <w:rFonts w:ascii="Times New Roman" w:eastAsia="Times New Roman" w:hAnsi="Times New Roman"/>
          <w:color w:val="000000" w:themeColor="text1"/>
          <w:lang w:eastAsia="fr-FR"/>
        </w:rPr>
        <w:t xml:space="preserve">, </w:t>
      </w:r>
      <w:r w:rsidRPr="00260790">
        <w:rPr>
          <w:rFonts w:ascii="Times New Roman" w:eastAsia="Times New Roman" w:hAnsi="Times New Roman"/>
          <w:i/>
          <w:color w:val="000000" w:themeColor="text1"/>
          <w:lang w:eastAsia="fr-FR"/>
        </w:rPr>
        <w:t>Phragmites</w:t>
      </w:r>
      <w:r w:rsidRPr="00260790">
        <w:rPr>
          <w:rFonts w:ascii="Times New Roman" w:eastAsia="Times New Roman" w:hAnsi="Times New Roman"/>
          <w:color w:val="000000" w:themeColor="text1"/>
          <w:lang w:eastAsia="fr-FR"/>
        </w:rPr>
        <w:t xml:space="preserve"> et </w:t>
      </w:r>
      <w:proofErr w:type="spellStart"/>
      <w:r w:rsidRPr="00260790">
        <w:rPr>
          <w:rFonts w:ascii="Times New Roman" w:eastAsia="Times New Roman" w:hAnsi="Times New Roman"/>
          <w:i/>
          <w:color w:val="000000" w:themeColor="text1"/>
          <w:lang w:eastAsia="fr-FR"/>
        </w:rPr>
        <w:t>Nymphea</w:t>
      </w:r>
      <w:proofErr w:type="spellEnd"/>
      <w:r w:rsidRPr="00260790">
        <w:rPr>
          <w:rFonts w:ascii="Times New Roman" w:eastAsia="Times New Roman" w:hAnsi="Times New Roman"/>
          <w:i/>
          <w:color w:val="000000" w:themeColor="text1"/>
          <w:lang w:eastAsia="fr-FR"/>
        </w:rPr>
        <w:t xml:space="preserve"> lotus</w:t>
      </w:r>
      <w:r w:rsidRPr="00260790">
        <w:rPr>
          <w:rFonts w:ascii="Times New Roman" w:eastAsia="Times New Roman" w:hAnsi="Times New Roman"/>
          <w:color w:val="000000" w:themeColor="text1"/>
          <w:lang w:eastAsia="fr-FR"/>
        </w:rPr>
        <w:t xml:space="preserve">. </w:t>
      </w:r>
    </w:p>
    <w:p w14:paraId="31A370C8" w14:textId="77777777" w:rsidR="002B26A5" w:rsidRPr="00260790" w:rsidRDefault="002B26A5" w:rsidP="001748C6">
      <w:pPr>
        <w:numPr>
          <w:ilvl w:val="0"/>
          <w:numId w:val="349"/>
        </w:numPr>
        <w:spacing w:line="240" w:lineRule="auto"/>
        <w:ind w:left="1276"/>
        <w:contextualSpacing/>
        <w:jc w:val="both"/>
        <w:rPr>
          <w:rFonts w:ascii="Times New Roman" w:hAnsi="Times New Roman"/>
          <w:b/>
          <w:color w:val="000000" w:themeColor="text1"/>
        </w:rPr>
      </w:pPr>
      <w:r w:rsidRPr="00260790">
        <w:rPr>
          <w:rFonts w:ascii="Times New Roman" w:hAnsi="Times New Roman"/>
          <w:b/>
          <w:color w:val="000000" w:themeColor="text1"/>
        </w:rPr>
        <w:t>Faune</w:t>
      </w:r>
    </w:p>
    <w:p w14:paraId="662A6D4A" w14:textId="6C0FEC91" w:rsidR="002B26A5" w:rsidRPr="00260790" w:rsidRDefault="002B26A5" w:rsidP="0097258B">
      <w:pPr>
        <w:spacing w:after="0"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rares espèces fauniques rencontrées dans les départements de Pikine et Keur Mas</w:t>
      </w:r>
      <w:r w:rsidR="009E4304">
        <w:rPr>
          <w:rFonts w:ascii="Times New Roman" w:eastAsia="Times New Roman" w:hAnsi="Times New Roman"/>
          <w:color w:val="000000" w:themeColor="text1"/>
          <w:lang w:eastAsia="fr-FR"/>
        </w:rPr>
        <w:t>s</w:t>
      </w:r>
      <w:r w:rsidRPr="00260790">
        <w:rPr>
          <w:rFonts w:ascii="Times New Roman" w:eastAsia="Times New Roman" w:hAnsi="Times New Roman"/>
          <w:color w:val="000000" w:themeColor="text1"/>
          <w:lang w:eastAsia="fr-FR"/>
        </w:rPr>
        <w:t>ar sont repérées dans la Forêt Classée de Mbao, où elles sont confinées dans les reliques de végétation et autour des points d’eau existants. La faune répertoriée se résume à de rares espèces constituées essentiellement de mammifères, de reptiles, d’oiseaux, de poissons et d’insectes (Ba, 2018).</w:t>
      </w:r>
    </w:p>
    <w:p w14:paraId="04AF9869" w14:textId="77777777" w:rsidR="002B26A5" w:rsidRPr="00260790" w:rsidRDefault="002B26A5" w:rsidP="001748C6">
      <w:pPr>
        <w:numPr>
          <w:ilvl w:val="0"/>
          <w:numId w:val="350"/>
        </w:numPr>
        <w:spacing w:line="240" w:lineRule="auto"/>
        <w:ind w:left="1843"/>
        <w:contextualSpacing/>
        <w:jc w:val="both"/>
        <w:rPr>
          <w:rFonts w:ascii="Times New Roman" w:hAnsi="Times New Roman"/>
          <w:b/>
          <w:color w:val="000000" w:themeColor="text1"/>
        </w:rPr>
      </w:pPr>
      <w:r w:rsidRPr="00260790">
        <w:rPr>
          <w:rFonts w:ascii="Times New Roman" w:hAnsi="Times New Roman"/>
          <w:b/>
          <w:color w:val="000000" w:themeColor="text1"/>
        </w:rPr>
        <w:t xml:space="preserve">Les mammifères </w:t>
      </w:r>
    </w:p>
    <w:p w14:paraId="5F76B688" w14:textId="77777777" w:rsidR="002B26A5" w:rsidRPr="00260790" w:rsidRDefault="002B26A5" w:rsidP="0097258B">
      <w:pPr>
        <w:spacing w:after="0"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Les mammifères les plus communs dans la zone sont : </w:t>
      </w:r>
      <w:proofErr w:type="spellStart"/>
      <w:r w:rsidRPr="00260790">
        <w:rPr>
          <w:rFonts w:ascii="Times New Roman" w:eastAsia="Times New Roman" w:hAnsi="Times New Roman"/>
          <w:i/>
          <w:color w:val="000000" w:themeColor="text1"/>
          <w:lang w:eastAsia="fr-FR"/>
        </w:rPr>
        <w:t>Lepus</w:t>
      </w:r>
      <w:proofErr w:type="spellEnd"/>
      <w:r w:rsidRPr="00260790">
        <w:rPr>
          <w:rFonts w:ascii="Times New Roman" w:eastAsia="Times New Roman" w:hAnsi="Times New Roman"/>
          <w:i/>
          <w:color w:val="000000" w:themeColor="text1"/>
          <w:lang w:eastAsia="fr-FR"/>
        </w:rPr>
        <w:t xml:space="preserve"> </w:t>
      </w:r>
      <w:proofErr w:type="spellStart"/>
      <w:r w:rsidRPr="00260790">
        <w:rPr>
          <w:rFonts w:ascii="Times New Roman" w:eastAsia="Times New Roman" w:hAnsi="Times New Roman"/>
          <w:i/>
          <w:color w:val="000000" w:themeColor="text1"/>
          <w:lang w:eastAsia="fr-FR"/>
        </w:rPr>
        <w:t>victoriae</w:t>
      </w:r>
      <w:proofErr w:type="spellEnd"/>
      <w:r w:rsidRPr="00260790">
        <w:rPr>
          <w:rFonts w:ascii="Times New Roman" w:eastAsia="Times New Roman" w:hAnsi="Times New Roman"/>
          <w:color w:val="000000" w:themeColor="text1"/>
          <w:lang w:eastAsia="fr-FR"/>
        </w:rPr>
        <w:t xml:space="preserve"> (lièvre de savane africaine), </w:t>
      </w:r>
      <w:proofErr w:type="spellStart"/>
      <w:r w:rsidRPr="00260790">
        <w:rPr>
          <w:rFonts w:ascii="Times New Roman" w:eastAsia="Times New Roman" w:hAnsi="Times New Roman"/>
          <w:i/>
          <w:color w:val="000000" w:themeColor="text1"/>
          <w:lang w:eastAsia="fr-FR"/>
        </w:rPr>
        <w:t>Civettictis</w:t>
      </w:r>
      <w:proofErr w:type="spellEnd"/>
      <w:r w:rsidRPr="00260790">
        <w:rPr>
          <w:rFonts w:ascii="Times New Roman" w:eastAsia="Times New Roman" w:hAnsi="Times New Roman"/>
          <w:i/>
          <w:color w:val="000000" w:themeColor="text1"/>
          <w:lang w:eastAsia="fr-FR"/>
        </w:rPr>
        <w:t xml:space="preserve"> </w:t>
      </w:r>
      <w:proofErr w:type="spellStart"/>
      <w:r w:rsidRPr="00260790">
        <w:rPr>
          <w:rFonts w:ascii="Times New Roman" w:eastAsia="Times New Roman" w:hAnsi="Times New Roman"/>
          <w:i/>
          <w:color w:val="000000" w:themeColor="text1"/>
          <w:lang w:eastAsia="fr-FR"/>
        </w:rPr>
        <w:t>civetta</w:t>
      </w:r>
      <w:proofErr w:type="spellEnd"/>
      <w:r w:rsidRPr="00260790">
        <w:rPr>
          <w:rFonts w:ascii="Times New Roman" w:eastAsia="Times New Roman" w:hAnsi="Times New Roman"/>
          <w:color w:val="000000" w:themeColor="text1"/>
          <w:lang w:eastAsia="fr-FR"/>
        </w:rPr>
        <w:t xml:space="preserve"> (civette africaine), </w:t>
      </w:r>
      <w:r w:rsidRPr="00260790">
        <w:rPr>
          <w:rFonts w:ascii="Times New Roman" w:eastAsia="Times New Roman" w:hAnsi="Times New Roman"/>
          <w:i/>
          <w:color w:val="000000" w:themeColor="text1"/>
          <w:lang w:eastAsia="fr-FR"/>
        </w:rPr>
        <w:t xml:space="preserve">Canis </w:t>
      </w:r>
      <w:proofErr w:type="spellStart"/>
      <w:r w:rsidRPr="00260790">
        <w:rPr>
          <w:rFonts w:ascii="Times New Roman" w:eastAsia="Times New Roman" w:hAnsi="Times New Roman"/>
          <w:i/>
          <w:color w:val="000000" w:themeColor="text1"/>
          <w:lang w:eastAsia="fr-FR"/>
        </w:rPr>
        <w:t>adustus</w:t>
      </w:r>
      <w:proofErr w:type="spellEnd"/>
      <w:r w:rsidRPr="00260790">
        <w:rPr>
          <w:rFonts w:ascii="Times New Roman" w:eastAsia="Times New Roman" w:hAnsi="Times New Roman"/>
          <w:color w:val="000000" w:themeColor="text1"/>
          <w:lang w:eastAsia="fr-FR"/>
        </w:rPr>
        <w:t xml:space="preserve"> (chacal à rayures latérales), </w:t>
      </w:r>
      <w:r w:rsidRPr="00260790">
        <w:rPr>
          <w:rFonts w:ascii="Times New Roman" w:eastAsia="Times New Roman" w:hAnsi="Times New Roman"/>
          <w:i/>
          <w:color w:val="000000" w:themeColor="text1"/>
          <w:lang w:eastAsia="fr-FR"/>
        </w:rPr>
        <w:t>Mungos mungo</w:t>
      </w:r>
      <w:r w:rsidRPr="00260790">
        <w:rPr>
          <w:rFonts w:ascii="Times New Roman" w:eastAsia="Times New Roman" w:hAnsi="Times New Roman"/>
          <w:color w:val="000000" w:themeColor="text1"/>
          <w:lang w:eastAsia="fr-FR"/>
        </w:rPr>
        <w:t xml:space="preserve"> (mangouste rayée), </w:t>
      </w:r>
      <w:proofErr w:type="spellStart"/>
      <w:r w:rsidRPr="00260790">
        <w:rPr>
          <w:rFonts w:ascii="Times New Roman" w:eastAsia="Times New Roman" w:hAnsi="Times New Roman"/>
          <w:i/>
          <w:color w:val="000000" w:themeColor="text1"/>
          <w:lang w:eastAsia="fr-FR"/>
        </w:rPr>
        <w:t>Heliosciurus</w:t>
      </w:r>
      <w:proofErr w:type="spellEnd"/>
      <w:r w:rsidRPr="00260790">
        <w:rPr>
          <w:rFonts w:ascii="Times New Roman" w:eastAsia="Times New Roman" w:hAnsi="Times New Roman"/>
          <w:i/>
          <w:color w:val="000000" w:themeColor="text1"/>
          <w:lang w:eastAsia="fr-FR"/>
        </w:rPr>
        <w:t xml:space="preserve"> </w:t>
      </w:r>
      <w:proofErr w:type="spellStart"/>
      <w:r w:rsidRPr="00260790">
        <w:rPr>
          <w:rFonts w:ascii="Times New Roman" w:eastAsia="Times New Roman" w:hAnsi="Times New Roman"/>
          <w:i/>
          <w:color w:val="000000" w:themeColor="text1"/>
          <w:lang w:eastAsia="fr-FR"/>
        </w:rPr>
        <w:t>gambianus</w:t>
      </w:r>
      <w:proofErr w:type="spellEnd"/>
      <w:r w:rsidRPr="00260790">
        <w:rPr>
          <w:rFonts w:ascii="Times New Roman" w:eastAsia="Times New Roman" w:hAnsi="Times New Roman"/>
          <w:color w:val="000000" w:themeColor="text1"/>
          <w:lang w:eastAsia="fr-FR"/>
        </w:rPr>
        <w:t xml:space="preserve"> (écureuil solaire de Gambie), </w:t>
      </w:r>
      <w:proofErr w:type="spellStart"/>
      <w:r w:rsidRPr="00260790">
        <w:rPr>
          <w:rFonts w:ascii="Times New Roman" w:eastAsia="Times New Roman" w:hAnsi="Times New Roman"/>
          <w:i/>
          <w:color w:val="000000" w:themeColor="text1"/>
          <w:lang w:eastAsia="fr-FR"/>
        </w:rPr>
        <w:t>Cricetomys</w:t>
      </w:r>
      <w:proofErr w:type="spellEnd"/>
      <w:r w:rsidRPr="00260790">
        <w:rPr>
          <w:rFonts w:ascii="Times New Roman" w:eastAsia="Times New Roman" w:hAnsi="Times New Roman"/>
          <w:i/>
          <w:color w:val="000000" w:themeColor="text1"/>
          <w:lang w:eastAsia="fr-FR"/>
        </w:rPr>
        <w:t xml:space="preserve"> </w:t>
      </w:r>
      <w:proofErr w:type="spellStart"/>
      <w:r w:rsidRPr="00260790">
        <w:rPr>
          <w:rFonts w:ascii="Times New Roman" w:eastAsia="Times New Roman" w:hAnsi="Times New Roman"/>
          <w:i/>
          <w:color w:val="000000" w:themeColor="text1"/>
          <w:lang w:eastAsia="fr-FR"/>
        </w:rPr>
        <w:t>gambianus</w:t>
      </w:r>
      <w:proofErr w:type="spellEnd"/>
      <w:r w:rsidRPr="00260790">
        <w:rPr>
          <w:rFonts w:ascii="Times New Roman" w:eastAsia="Times New Roman" w:hAnsi="Times New Roman"/>
          <w:color w:val="000000" w:themeColor="text1"/>
          <w:lang w:eastAsia="fr-FR"/>
        </w:rPr>
        <w:t xml:space="preserve"> (rat de Gambie), </w:t>
      </w:r>
      <w:proofErr w:type="spellStart"/>
      <w:r w:rsidRPr="00260790">
        <w:rPr>
          <w:rFonts w:ascii="Times New Roman" w:eastAsia="Times New Roman" w:hAnsi="Times New Roman"/>
          <w:i/>
          <w:color w:val="000000" w:themeColor="text1"/>
          <w:shd w:val="clear" w:color="auto" w:fill="FFFFFF"/>
          <w:lang w:eastAsia="fr-FR"/>
        </w:rPr>
        <w:t>Xerus</w:t>
      </w:r>
      <w:proofErr w:type="spellEnd"/>
      <w:r w:rsidRPr="00260790">
        <w:rPr>
          <w:rFonts w:ascii="Times New Roman" w:eastAsia="Times New Roman" w:hAnsi="Times New Roman"/>
          <w:i/>
          <w:color w:val="000000" w:themeColor="text1"/>
          <w:shd w:val="clear" w:color="auto" w:fill="FFFFFF"/>
          <w:lang w:eastAsia="fr-FR"/>
        </w:rPr>
        <w:t xml:space="preserve"> </w:t>
      </w:r>
      <w:proofErr w:type="spellStart"/>
      <w:r w:rsidRPr="00260790">
        <w:rPr>
          <w:rFonts w:ascii="Times New Roman" w:eastAsia="Times New Roman" w:hAnsi="Times New Roman"/>
          <w:i/>
          <w:color w:val="000000" w:themeColor="text1"/>
          <w:shd w:val="clear" w:color="auto" w:fill="FFFFFF"/>
          <w:lang w:eastAsia="fr-FR"/>
        </w:rPr>
        <w:t>erythropus</w:t>
      </w:r>
      <w:proofErr w:type="spellEnd"/>
      <w:r w:rsidRPr="00260790">
        <w:rPr>
          <w:rFonts w:ascii="Times New Roman" w:eastAsia="Times New Roman" w:hAnsi="Times New Roman"/>
          <w:i/>
          <w:color w:val="000000" w:themeColor="text1"/>
          <w:shd w:val="clear" w:color="auto" w:fill="FFFFFF"/>
          <w:lang w:eastAsia="fr-FR"/>
        </w:rPr>
        <w:t xml:space="preserve"> </w:t>
      </w:r>
      <w:r w:rsidRPr="00260790">
        <w:rPr>
          <w:rFonts w:ascii="Times New Roman" w:eastAsia="Times New Roman" w:hAnsi="Times New Roman"/>
          <w:color w:val="000000" w:themeColor="text1"/>
          <w:shd w:val="clear" w:color="auto" w:fill="FFFFFF"/>
          <w:lang w:eastAsia="fr-FR"/>
        </w:rPr>
        <w:t>(rat palmiste) et</w:t>
      </w:r>
      <w:r w:rsidRPr="00260790">
        <w:rPr>
          <w:rFonts w:ascii="Times New Roman" w:eastAsia="Times New Roman" w:hAnsi="Times New Roman"/>
          <w:i/>
          <w:color w:val="000000" w:themeColor="text1"/>
          <w:lang w:eastAsia="fr-FR"/>
        </w:rPr>
        <w:t xml:space="preserve"> </w:t>
      </w:r>
      <w:proofErr w:type="spellStart"/>
      <w:r w:rsidRPr="00260790">
        <w:rPr>
          <w:rFonts w:ascii="Times New Roman" w:eastAsia="Times New Roman" w:hAnsi="Times New Roman"/>
          <w:i/>
          <w:color w:val="000000" w:themeColor="text1"/>
          <w:lang w:eastAsia="fr-FR"/>
        </w:rPr>
        <w:t>Erythrocebus</w:t>
      </w:r>
      <w:proofErr w:type="spellEnd"/>
      <w:r w:rsidRPr="00260790">
        <w:rPr>
          <w:rFonts w:ascii="Times New Roman" w:eastAsia="Times New Roman" w:hAnsi="Times New Roman"/>
          <w:i/>
          <w:color w:val="000000" w:themeColor="text1"/>
          <w:lang w:eastAsia="fr-FR"/>
        </w:rPr>
        <w:t xml:space="preserve"> patas</w:t>
      </w:r>
      <w:r w:rsidRPr="00260790">
        <w:rPr>
          <w:rFonts w:ascii="Times New Roman" w:eastAsia="Times New Roman" w:hAnsi="Times New Roman"/>
          <w:color w:val="000000" w:themeColor="text1"/>
          <w:lang w:eastAsia="fr-FR"/>
        </w:rPr>
        <w:t xml:space="preserve"> (singe rouge). </w:t>
      </w:r>
    </w:p>
    <w:p w14:paraId="684556B2" w14:textId="77777777" w:rsidR="002B26A5" w:rsidRPr="00260790" w:rsidRDefault="002B26A5" w:rsidP="001748C6">
      <w:pPr>
        <w:numPr>
          <w:ilvl w:val="0"/>
          <w:numId w:val="350"/>
        </w:numPr>
        <w:spacing w:line="240" w:lineRule="auto"/>
        <w:ind w:left="1843"/>
        <w:contextualSpacing/>
        <w:jc w:val="both"/>
        <w:rPr>
          <w:rFonts w:ascii="Times New Roman" w:hAnsi="Times New Roman"/>
          <w:b/>
          <w:color w:val="000000" w:themeColor="text1"/>
        </w:rPr>
      </w:pPr>
      <w:r w:rsidRPr="00260790">
        <w:rPr>
          <w:rFonts w:ascii="Times New Roman" w:hAnsi="Times New Roman"/>
          <w:b/>
          <w:color w:val="000000" w:themeColor="text1"/>
        </w:rPr>
        <w:t xml:space="preserve">Les oiseaux </w:t>
      </w:r>
    </w:p>
    <w:p w14:paraId="324A1E6B" w14:textId="0D50F453" w:rsidR="00E54AE4" w:rsidRPr="00260790" w:rsidRDefault="002B26A5" w:rsidP="0097258B">
      <w:pPr>
        <w:spacing w:after="0"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La faune aviaire est représentée par les espèces telles que : </w:t>
      </w:r>
      <w:proofErr w:type="spellStart"/>
      <w:r w:rsidRPr="00260790">
        <w:rPr>
          <w:rFonts w:ascii="Times New Roman" w:eastAsia="Times New Roman" w:hAnsi="Times New Roman"/>
          <w:i/>
          <w:color w:val="000000" w:themeColor="text1"/>
          <w:lang w:eastAsia="fr-FR"/>
        </w:rPr>
        <w:t>Milvus</w:t>
      </w:r>
      <w:proofErr w:type="spellEnd"/>
      <w:r w:rsidRPr="00260790">
        <w:rPr>
          <w:rFonts w:ascii="Times New Roman" w:eastAsia="Times New Roman" w:hAnsi="Times New Roman"/>
          <w:i/>
          <w:color w:val="000000" w:themeColor="text1"/>
          <w:lang w:eastAsia="fr-FR"/>
        </w:rPr>
        <w:t xml:space="preserve"> </w:t>
      </w:r>
      <w:proofErr w:type="spellStart"/>
      <w:r w:rsidRPr="00260790">
        <w:rPr>
          <w:rFonts w:ascii="Times New Roman" w:eastAsia="Times New Roman" w:hAnsi="Times New Roman"/>
          <w:i/>
          <w:color w:val="000000" w:themeColor="text1"/>
          <w:lang w:eastAsia="fr-FR"/>
        </w:rPr>
        <w:t>migrans</w:t>
      </w:r>
      <w:proofErr w:type="spellEnd"/>
      <w:r w:rsidRPr="00260790">
        <w:rPr>
          <w:rFonts w:ascii="Times New Roman" w:eastAsia="Times New Roman" w:hAnsi="Times New Roman"/>
          <w:color w:val="000000" w:themeColor="text1"/>
          <w:lang w:eastAsia="fr-FR"/>
        </w:rPr>
        <w:t xml:space="preserve"> (milan noir), </w:t>
      </w:r>
      <w:r w:rsidRPr="00260790">
        <w:rPr>
          <w:rFonts w:ascii="Times New Roman" w:eastAsia="Times New Roman" w:hAnsi="Times New Roman"/>
          <w:i/>
          <w:color w:val="000000" w:themeColor="text1"/>
          <w:lang w:eastAsia="fr-FR"/>
        </w:rPr>
        <w:t>Halcyon senegalensis</w:t>
      </w:r>
      <w:r w:rsidRPr="00260790">
        <w:rPr>
          <w:rFonts w:ascii="Times New Roman" w:eastAsia="Times New Roman" w:hAnsi="Times New Roman"/>
          <w:color w:val="000000" w:themeColor="text1"/>
          <w:lang w:eastAsia="fr-FR"/>
        </w:rPr>
        <w:t xml:space="preserve"> (martin-pêcheur du Sénégal), </w:t>
      </w:r>
      <w:proofErr w:type="spellStart"/>
      <w:r w:rsidRPr="00260790">
        <w:rPr>
          <w:rFonts w:ascii="Times New Roman" w:eastAsia="Times New Roman" w:hAnsi="Times New Roman"/>
          <w:i/>
          <w:color w:val="000000" w:themeColor="text1"/>
          <w:lang w:eastAsia="fr-FR"/>
        </w:rPr>
        <w:t>Cypsiurus</w:t>
      </w:r>
      <w:proofErr w:type="spellEnd"/>
      <w:r w:rsidRPr="00260790">
        <w:rPr>
          <w:rFonts w:ascii="Times New Roman" w:eastAsia="Times New Roman" w:hAnsi="Times New Roman"/>
          <w:i/>
          <w:color w:val="000000" w:themeColor="text1"/>
          <w:lang w:eastAsia="fr-FR"/>
        </w:rPr>
        <w:t xml:space="preserve"> </w:t>
      </w:r>
      <w:proofErr w:type="spellStart"/>
      <w:r w:rsidRPr="00260790">
        <w:rPr>
          <w:rFonts w:ascii="Times New Roman" w:eastAsia="Times New Roman" w:hAnsi="Times New Roman"/>
          <w:i/>
          <w:color w:val="000000" w:themeColor="text1"/>
          <w:lang w:eastAsia="fr-FR"/>
        </w:rPr>
        <w:t>parvus</w:t>
      </w:r>
      <w:proofErr w:type="spellEnd"/>
      <w:r w:rsidRPr="00260790">
        <w:rPr>
          <w:rFonts w:ascii="Times New Roman" w:eastAsia="Times New Roman" w:hAnsi="Times New Roman"/>
          <w:color w:val="000000" w:themeColor="text1"/>
          <w:lang w:eastAsia="fr-FR"/>
        </w:rPr>
        <w:t xml:space="preserve"> (martinet des palmiers), </w:t>
      </w:r>
      <w:r w:rsidRPr="00260790">
        <w:rPr>
          <w:rFonts w:ascii="Times New Roman" w:eastAsia="Times New Roman" w:hAnsi="Times New Roman"/>
          <w:i/>
          <w:color w:val="000000" w:themeColor="text1"/>
          <w:lang w:eastAsia="fr-FR"/>
        </w:rPr>
        <w:t xml:space="preserve">Corvus </w:t>
      </w:r>
      <w:proofErr w:type="spellStart"/>
      <w:r w:rsidRPr="00260790">
        <w:rPr>
          <w:rFonts w:ascii="Times New Roman" w:eastAsia="Times New Roman" w:hAnsi="Times New Roman"/>
          <w:i/>
          <w:color w:val="000000" w:themeColor="text1"/>
          <w:lang w:eastAsia="fr-FR"/>
        </w:rPr>
        <w:t>albus</w:t>
      </w:r>
      <w:proofErr w:type="spellEnd"/>
      <w:r w:rsidRPr="00260790">
        <w:rPr>
          <w:rFonts w:ascii="Times New Roman" w:eastAsia="Times New Roman" w:hAnsi="Times New Roman"/>
          <w:color w:val="000000" w:themeColor="text1"/>
          <w:lang w:eastAsia="fr-FR"/>
        </w:rPr>
        <w:t xml:space="preserve"> (corbeau pie), </w:t>
      </w:r>
      <w:proofErr w:type="spellStart"/>
      <w:r w:rsidRPr="00260790">
        <w:rPr>
          <w:rFonts w:ascii="Times New Roman" w:eastAsia="Times New Roman" w:hAnsi="Times New Roman"/>
          <w:i/>
          <w:color w:val="000000" w:themeColor="text1"/>
          <w:lang w:eastAsia="fr-FR"/>
        </w:rPr>
        <w:t>Bubulcus</w:t>
      </w:r>
      <w:proofErr w:type="spellEnd"/>
      <w:r w:rsidRPr="00260790">
        <w:rPr>
          <w:rFonts w:ascii="Times New Roman" w:eastAsia="Times New Roman" w:hAnsi="Times New Roman"/>
          <w:i/>
          <w:color w:val="000000" w:themeColor="text1"/>
          <w:lang w:eastAsia="fr-FR"/>
        </w:rPr>
        <w:t xml:space="preserve"> ibis</w:t>
      </w:r>
      <w:r w:rsidRPr="00260790">
        <w:rPr>
          <w:rFonts w:ascii="Times New Roman" w:eastAsia="Times New Roman" w:hAnsi="Times New Roman"/>
          <w:color w:val="000000" w:themeColor="text1"/>
          <w:lang w:eastAsia="fr-FR"/>
        </w:rPr>
        <w:t xml:space="preserve"> (héron garde</w:t>
      </w:r>
      <w:r w:rsidR="0055580C" w:rsidRPr="00260790">
        <w:rPr>
          <w:rFonts w:ascii="Times New Roman" w:eastAsia="Times New Roman" w:hAnsi="Times New Roman"/>
          <w:color w:val="000000" w:themeColor="text1"/>
          <w:lang w:eastAsia="fr-FR"/>
        </w:rPr>
        <w:t>-bœuf</w:t>
      </w:r>
      <w:r w:rsidRPr="00260790">
        <w:rPr>
          <w:rFonts w:ascii="Times New Roman" w:eastAsia="Times New Roman" w:hAnsi="Times New Roman"/>
          <w:color w:val="000000" w:themeColor="text1"/>
          <w:lang w:eastAsia="fr-FR"/>
        </w:rPr>
        <w:t xml:space="preserve">), </w:t>
      </w:r>
      <w:r w:rsidRPr="00260790">
        <w:rPr>
          <w:rFonts w:ascii="Times New Roman" w:eastAsia="Times New Roman" w:hAnsi="Times New Roman"/>
          <w:i/>
          <w:color w:val="000000" w:themeColor="text1"/>
          <w:lang w:eastAsia="fr-FR"/>
        </w:rPr>
        <w:t xml:space="preserve">Passer </w:t>
      </w:r>
      <w:proofErr w:type="spellStart"/>
      <w:r w:rsidRPr="00260790">
        <w:rPr>
          <w:rFonts w:ascii="Times New Roman" w:eastAsia="Times New Roman" w:hAnsi="Times New Roman"/>
          <w:i/>
          <w:color w:val="000000" w:themeColor="text1"/>
          <w:lang w:eastAsia="fr-FR"/>
        </w:rPr>
        <w:t>griseus</w:t>
      </w:r>
      <w:proofErr w:type="spellEnd"/>
      <w:r w:rsidRPr="00260790">
        <w:rPr>
          <w:rFonts w:ascii="Times New Roman" w:eastAsia="Times New Roman" w:hAnsi="Times New Roman"/>
          <w:color w:val="000000" w:themeColor="text1"/>
          <w:lang w:eastAsia="fr-FR"/>
        </w:rPr>
        <w:t xml:space="preserve"> (bruant à tête grise), </w:t>
      </w:r>
      <w:proofErr w:type="spellStart"/>
      <w:r w:rsidRPr="00260790">
        <w:rPr>
          <w:rFonts w:ascii="Times New Roman" w:eastAsia="Times New Roman" w:hAnsi="Times New Roman"/>
          <w:i/>
          <w:color w:val="000000" w:themeColor="text1"/>
          <w:lang w:eastAsia="fr-FR"/>
        </w:rPr>
        <w:t>Poicephalus</w:t>
      </w:r>
      <w:proofErr w:type="spellEnd"/>
      <w:r w:rsidRPr="00260790">
        <w:rPr>
          <w:rFonts w:ascii="Times New Roman" w:eastAsia="Times New Roman" w:hAnsi="Times New Roman"/>
          <w:i/>
          <w:color w:val="000000" w:themeColor="text1"/>
          <w:lang w:eastAsia="fr-FR"/>
        </w:rPr>
        <w:t xml:space="preserve"> </w:t>
      </w:r>
      <w:proofErr w:type="spellStart"/>
      <w:r w:rsidRPr="00260790">
        <w:rPr>
          <w:rFonts w:ascii="Times New Roman" w:eastAsia="Times New Roman" w:hAnsi="Times New Roman"/>
          <w:i/>
          <w:color w:val="000000" w:themeColor="text1"/>
          <w:lang w:eastAsia="fr-FR"/>
        </w:rPr>
        <w:t>senegalus</w:t>
      </w:r>
      <w:proofErr w:type="spellEnd"/>
      <w:r w:rsidRPr="00260790">
        <w:rPr>
          <w:rFonts w:ascii="Times New Roman" w:eastAsia="Times New Roman" w:hAnsi="Times New Roman"/>
          <w:color w:val="000000" w:themeColor="text1"/>
          <w:lang w:eastAsia="fr-FR"/>
        </w:rPr>
        <w:t xml:space="preserve"> (perroquet du Sénégal), </w:t>
      </w:r>
      <w:proofErr w:type="spellStart"/>
      <w:r w:rsidRPr="00260790">
        <w:rPr>
          <w:rFonts w:ascii="Times New Roman" w:eastAsia="Times New Roman" w:hAnsi="Times New Roman"/>
          <w:i/>
          <w:color w:val="000000" w:themeColor="text1"/>
          <w:shd w:val="clear" w:color="auto" w:fill="FFFFFF"/>
          <w:lang w:eastAsia="fr-FR"/>
        </w:rPr>
        <w:t>Alexandrinus</w:t>
      </w:r>
      <w:proofErr w:type="spellEnd"/>
      <w:r w:rsidRPr="00260790">
        <w:rPr>
          <w:rFonts w:ascii="Times New Roman" w:eastAsia="Times New Roman" w:hAnsi="Times New Roman"/>
          <w:i/>
          <w:color w:val="000000" w:themeColor="text1"/>
          <w:shd w:val="clear" w:color="auto" w:fill="FFFFFF"/>
          <w:lang w:eastAsia="fr-FR"/>
        </w:rPr>
        <w:t xml:space="preserve"> </w:t>
      </w:r>
      <w:proofErr w:type="spellStart"/>
      <w:r w:rsidRPr="00260790">
        <w:rPr>
          <w:rFonts w:ascii="Times New Roman" w:eastAsia="Times New Roman" w:hAnsi="Times New Roman"/>
          <w:i/>
          <w:color w:val="000000" w:themeColor="text1"/>
          <w:shd w:val="clear" w:color="auto" w:fill="FFFFFF"/>
          <w:lang w:eastAsia="fr-FR"/>
        </w:rPr>
        <w:t>krameri</w:t>
      </w:r>
      <w:proofErr w:type="spellEnd"/>
      <w:r w:rsidRPr="00260790">
        <w:rPr>
          <w:rFonts w:ascii="Times New Roman" w:eastAsia="Times New Roman" w:hAnsi="Times New Roman"/>
          <w:color w:val="000000" w:themeColor="text1"/>
          <w:lang w:eastAsia="fr-FR"/>
        </w:rPr>
        <w:t xml:space="preserve"> (perruche à collier), </w:t>
      </w:r>
      <w:proofErr w:type="spellStart"/>
      <w:r w:rsidRPr="00260790">
        <w:rPr>
          <w:rFonts w:ascii="Times New Roman" w:eastAsia="Times New Roman" w:hAnsi="Times New Roman"/>
          <w:i/>
          <w:color w:val="000000" w:themeColor="text1"/>
          <w:lang w:eastAsia="fr-FR"/>
        </w:rPr>
        <w:t>Buphagus</w:t>
      </w:r>
      <w:proofErr w:type="spellEnd"/>
      <w:r w:rsidRPr="00260790">
        <w:rPr>
          <w:rFonts w:ascii="Times New Roman" w:eastAsia="Times New Roman" w:hAnsi="Times New Roman"/>
          <w:i/>
          <w:color w:val="000000" w:themeColor="text1"/>
          <w:lang w:eastAsia="fr-FR"/>
        </w:rPr>
        <w:t xml:space="preserve"> africanus</w:t>
      </w:r>
      <w:r w:rsidRPr="00260790">
        <w:rPr>
          <w:rFonts w:ascii="Times New Roman" w:eastAsia="Times New Roman" w:hAnsi="Times New Roman"/>
          <w:color w:val="000000" w:themeColor="text1"/>
          <w:lang w:eastAsia="fr-FR"/>
        </w:rPr>
        <w:t xml:space="preserve"> (pic à bec jaune), </w:t>
      </w:r>
      <w:proofErr w:type="spellStart"/>
      <w:r w:rsidRPr="00260790">
        <w:rPr>
          <w:rFonts w:ascii="Times New Roman" w:eastAsia="Times New Roman" w:hAnsi="Times New Roman"/>
          <w:i/>
          <w:color w:val="000000" w:themeColor="text1"/>
          <w:lang w:eastAsia="fr-FR"/>
        </w:rPr>
        <w:t>Spilopelia</w:t>
      </w:r>
      <w:proofErr w:type="spellEnd"/>
      <w:r w:rsidRPr="00260790">
        <w:rPr>
          <w:rFonts w:ascii="Times New Roman" w:eastAsia="Times New Roman" w:hAnsi="Times New Roman"/>
          <w:i/>
          <w:color w:val="000000" w:themeColor="text1"/>
          <w:lang w:eastAsia="fr-FR"/>
        </w:rPr>
        <w:t xml:space="preserve"> senegalensis</w:t>
      </w:r>
      <w:r w:rsidRPr="00260790">
        <w:rPr>
          <w:rFonts w:ascii="Times New Roman" w:eastAsia="Times New Roman" w:hAnsi="Times New Roman"/>
          <w:color w:val="000000" w:themeColor="text1"/>
          <w:lang w:eastAsia="fr-FR"/>
        </w:rPr>
        <w:t xml:space="preserve"> (tourterelle maillée), </w:t>
      </w:r>
      <w:proofErr w:type="spellStart"/>
      <w:r w:rsidRPr="00260790">
        <w:rPr>
          <w:rFonts w:ascii="Times New Roman" w:eastAsia="Times New Roman" w:hAnsi="Times New Roman"/>
          <w:i/>
          <w:color w:val="000000" w:themeColor="text1"/>
          <w:lang w:eastAsia="fr-FR"/>
        </w:rPr>
        <w:t>Pternistis</w:t>
      </w:r>
      <w:proofErr w:type="spellEnd"/>
      <w:r w:rsidRPr="00260790">
        <w:rPr>
          <w:rFonts w:ascii="Times New Roman" w:eastAsia="Times New Roman" w:hAnsi="Times New Roman"/>
          <w:i/>
          <w:color w:val="000000" w:themeColor="text1"/>
          <w:lang w:eastAsia="fr-FR"/>
        </w:rPr>
        <w:t xml:space="preserve"> </w:t>
      </w:r>
      <w:proofErr w:type="spellStart"/>
      <w:r w:rsidRPr="00260790">
        <w:rPr>
          <w:rFonts w:ascii="Times New Roman" w:eastAsia="Times New Roman" w:hAnsi="Times New Roman"/>
          <w:i/>
          <w:color w:val="000000" w:themeColor="text1"/>
          <w:lang w:eastAsia="fr-FR"/>
        </w:rPr>
        <w:t>bicalcaratus</w:t>
      </w:r>
      <w:proofErr w:type="spellEnd"/>
      <w:r w:rsidRPr="00260790">
        <w:rPr>
          <w:rFonts w:ascii="Times New Roman" w:eastAsia="Times New Roman" w:hAnsi="Times New Roman"/>
          <w:color w:val="000000" w:themeColor="text1"/>
          <w:lang w:eastAsia="fr-FR"/>
        </w:rPr>
        <w:t xml:space="preserve"> (francolin à double éperon).</w:t>
      </w:r>
    </w:p>
    <w:p w14:paraId="12D2120F" w14:textId="77777777" w:rsidR="002B26A5" w:rsidRPr="00260790" w:rsidRDefault="002B26A5" w:rsidP="001748C6">
      <w:pPr>
        <w:numPr>
          <w:ilvl w:val="0"/>
          <w:numId w:val="350"/>
        </w:numPr>
        <w:spacing w:line="240" w:lineRule="auto"/>
        <w:ind w:left="1843"/>
        <w:contextualSpacing/>
        <w:jc w:val="both"/>
        <w:rPr>
          <w:rFonts w:ascii="Times New Roman" w:hAnsi="Times New Roman"/>
          <w:b/>
          <w:color w:val="000000" w:themeColor="text1"/>
        </w:rPr>
      </w:pPr>
      <w:r w:rsidRPr="00260790">
        <w:rPr>
          <w:rFonts w:ascii="Times New Roman" w:hAnsi="Times New Roman"/>
          <w:b/>
          <w:color w:val="000000" w:themeColor="text1"/>
        </w:rPr>
        <w:t>Les reptiles</w:t>
      </w:r>
      <w:r w:rsidRPr="00260790">
        <w:rPr>
          <w:rFonts w:ascii="Times New Roman" w:hAnsi="Times New Roman"/>
          <w:b/>
          <w:color w:val="000000" w:themeColor="text1"/>
        </w:rPr>
        <w:tab/>
      </w:r>
    </w:p>
    <w:p w14:paraId="200B8AF0" w14:textId="77777777" w:rsidR="002B26A5" w:rsidRPr="00260790" w:rsidRDefault="002B26A5" w:rsidP="0097258B">
      <w:pPr>
        <w:spacing w:after="0"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reptiles identifiés sont classés dans deux ordres parmi les quatre que compte la classe des reptiles.</w:t>
      </w:r>
    </w:p>
    <w:p w14:paraId="75DDE995" w14:textId="77777777" w:rsidR="002B26A5" w:rsidRPr="00260790" w:rsidRDefault="002B26A5" w:rsidP="0097258B">
      <w:pPr>
        <w:spacing w:after="0"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 Les Squamates représentés par </w:t>
      </w:r>
      <w:proofErr w:type="spellStart"/>
      <w:r w:rsidRPr="00260790">
        <w:rPr>
          <w:rFonts w:ascii="Times New Roman" w:eastAsia="Times New Roman" w:hAnsi="Times New Roman"/>
          <w:i/>
          <w:color w:val="000000" w:themeColor="text1"/>
          <w:lang w:eastAsia="fr-FR"/>
        </w:rPr>
        <w:t>Hemidactylus</w:t>
      </w:r>
      <w:proofErr w:type="spellEnd"/>
      <w:r w:rsidRPr="00260790">
        <w:rPr>
          <w:rFonts w:ascii="Times New Roman" w:eastAsia="Times New Roman" w:hAnsi="Times New Roman"/>
          <w:i/>
          <w:color w:val="000000" w:themeColor="text1"/>
          <w:lang w:eastAsia="fr-FR"/>
        </w:rPr>
        <w:t xml:space="preserve"> </w:t>
      </w:r>
      <w:proofErr w:type="spellStart"/>
      <w:r w:rsidRPr="00260790">
        <w:rPr>
          <w:rFonts w:ascii="Times New Roman" w:eastAsia="Times New Roman" w:hAnsi="Times New Roman"/>
          <w:i/>
          <w:color w:val="000000" w:themeColor="text1"/>
          <w:lang w:eastAsia="fr-FR"/>
        </w:rPr>
        <w:t>mabouia</w:t>
      </w:r>
      <w:proofErr w:type="spellEnd"/>
      <w:r w:rsidRPr="00260790">
        <w:rPr>
          <w:rFonts w:ascii="Times New Roman" w:eastAsia="Times New Roman" w:hAnsi="Times New Roman"/>
          <w:color w:val="000000" w:themeColor="text1"/>
          <w:lang w:eastAsia="fr-FR"/>
        </w:rPr>
        <w:t xml:space="preserve"> (gecko domestique tropical), </w:t>
      </w:r>
      <w:r w:rsidRPr="00260790">
        <w:rPr>
          <w:rFonts w:ascii="Times New Roman" w:eastAsia="Times New Roman" w:hAnsi="Times New Roman"/>
          <w:i/>
          <w:color w:val="000000" w:themeColor="text1"/>
          <w:lang w:eastAsia="fr-FR"/>
        </w:rPr>
        <w:t xml:space="preserve">Agama </w:t>
      </w:r>
      <w:proofErr w:type="spellStart"/>
      <w:r w:rsidRPr="00260790">
        <w:rPr>
          <w:rFonts w:ascii="Times New Roman" w:eastAsia="Times New Roman" w:hAnsi="Times New Roman"/>
          <w:i/>
          <w:color w:val="000000" w:themeColor="text1"/>
          <w:lang w:eastAsia="fr-FR"/>
        </w:rPr>
        <w:t>agama</w:t>
      </w:r>
      <w:proofErr w:type="spellEnd"/>
      <w:r w:rsidRPr="00260790">
        <w:rPr>
          <w:rFonts w:ascii="Times New Roman" w:eastAsia="Times New Roman" w:hAnsi="Times New Roman"/>
          <w:color w:val="000000" w:themeColor="text1"/>
          <w:lang w:eastAsia="fr-FR"/>
        </w:rPr>
        <w:t xml:space="preserve">, </w:t>
      </w:r>
      <w:r w:rsidRPr="00260790">
        <w:rPr>
          <w:rFonts w:ascii="Times New Roman" w:eastAsia="Times New Roman" w:hAnsi="Times New Roman"/>
          <w:i/>
          <w:color w:val="000000" w:themeColor="text1"/>
          <w:lang w:eastAsia="fr-FR"/>
        </w:rPr>
        <w:t xml:space="preserve">Varanus </w:t>
      </w:r>
      <w:proofErr w:type="spellStart"/>
      <w:r w:rsidRPr="00260790">
        <w:rPr>
          <w:rFonts w:ascii="Times New Roman" w:eastAsia="Times New Roman" w:hAnsi="Times New Roman"/>
          <w:i/>
          <w:color w:val="000000" w:themeColor="text1"/>
          <w:lang w:eastAsia="fr-FR"/>
        </w:rPr>
        <w:t>niloticus</w:t>
      </w:r>
      <w:proofErr w:type="spellEnd"/>
      <w:r w:rsidRPr="00260790">
        <w:rPr>
          <w:rFonts w:ascii="Times New Roman" w:eastAsia="Times New Roman" w:hAnsi="Times New Roman"/>
          <w:color w:val="000000" w:themeColor="text1"/>
          <w:lang w:eastAsia="fr-FR"/>
        </w:rPr>
        <w:t xml:space="preserve"> (varan du Nil), </w:t>
      </w:r>
      <w:proofErr w:type="spellStart"/>
      <w:r w:rsidRPr="00260790">
        <w:rPr>
          <w:rFonts w:ascii="Times New Roman" w:eastAsia="Times New Roman" w:hAnsi="Times New Roman"/>
          <w:i/>
          <w:color w:val="000000" w:themeColor="text1"/>
          <w:lang w:eastAsia="fr-FR"/>
        </w:rPr>
        <w:t>Chamaeleo</w:t>
      </w:r>
      <w:proofErr w:type="spellEnd"/>
      <w:r w:rsidRPr="00260790">
        <w:rPr>
          <w:rFonts w:ascii="Times New Roman" w:eastAsia="Times New Roman" w:hAnsi="Times New Roman"/>
          <w:i/>
          <w:color w:val="000000" w:themeColor="text1"/>
          <w:lang w:eastAsia="fr-FR"/>
        </w:rPr>
        <w:t xml:space="preserve"> senegalensis</w:t>
      </w:r>
      <w:r w:rsidRPr="00260790">
        <w:rPr>
          <w:rFonts w:ascii="Times New Roman" w:eastAsia="Times New Roman" w:hAnsi="Times New Roman"/>
          <w:color w:val="000000" w:themeColor="text1"/>
          <w:lang w:eastAsia="fr-FR"/>
        </w:rPr>
        <w:t xml:space="preserve"> (caméléon du Sénégal), </w:t>
      </w:r>
      <w:proofErr w:type="spellStart"/>
      <w:r w:rsidRPr="00260790">
        <w:rPr>
          <w:rFonts w:ascii="Times New Roman" w:eastAsia="Times New Roman" w:hAnsi="Times New Roman"/>
          <w:i/>
          <w:color w:val="000000" w:themeColor="text1"/>
          <w:lang w:eastAsia="fr-FR"/>
        </w:rPr>
        <w:t>Bitis</w:t>
      </w:r>
      <w:proofErr w:type="spellEnd"/>
      <w:r w:rsidRPr="00260790">
        <w:rPr>
          <w:rFonts w:ascii="Times New Roman" w:eastAsia="Times New Roman" w:hAnsi="Times New Roman"/>
          <w:i/>
          <w:color w:val="000000" w:themeColor="text1"/>
          <w:lang w:eastAsia="fr-FR"/>
        </w:rPr>
        <w:t xml:space="preserve"> </w:t>
      </w:r>
      <w:proofErr w:type="spellStart"/>
      <w:r w:rsidRPr="00260790">
        <w:rPr>
          <w:rFonts w:ascii="Times New Roman" w:eastAsia="Times New Roman" w:hAnsi="Times New Roman"/>
          <w:i/>
          <w:color w:val="000000" w:themeColor="text1"/>
          <w:lang w:eastAsia="fr-FR"/>
        </w:rPr>
        <w:t>arietans</w:t>
      </w:r>
      <w:proofErr w:type="spellEnd"/>
      <w:r w:rsidRPr="00260790">
        <w:rPr>
          <w:rFonts w:ascii="Times New Roman" w:eastAsia="Times New Roman" w:hAnsi="Times New Roman"/>
          <w:color w:val="000000" w:themeColor="text1"/>
          <w:lang w:eastAsia="fr-FR"/>
        </w:rPr>
        <w:t xml:space="preserve"> (Vipère), </w:t>
      </w:r>
      <w:r w:rsidRPr="00260790">
        <w:rPr>
          <w:rFonts w:ascii="Times New Roman" w:eastAsia="Times New Roman" w:hAnsi="Times New Roman"/>
          <w:i/>
          <w:color w:val="000000" w:themeColor="text1"/>
          <w:lang w:eastAsia="fr-FR"/>
        </w:rPr>
        <w:t xml:space="preserve">Python </w:t>
      </w:r>
      <w:proofErr w:type="spellStart"/>
      <w:r w:rsidRPr="00260790">
        <w:rPr>
          <w:rFonts w:ascii="Times New Roman" w:eastAsia="Times New Roman" w:hAnsi="Times New Roman"/>
          <w:i/>
          <w:color w:val="000000" w:themeColor="text1"/>
          <w:lang w:eastAsia="fr-FR"/>
        </w:rPr>
        <w:t>regius</w:t>
      </w:r>
      <w:proofErr w:type="spellEnd"/>
      <w:r w:rsidRPr="00260790">
        <w:rPr>
          <w:rFonts w:ascii="Times New Roman" w:eastAsia="Times New Roman" w:hAnsi="Times New Roman"/>
          <w:color w:val="000000" w:themeColor="text1"/>
          <w:lang w:eastAsia="fr-FR"/>
        </w:rPr>
        <w:t xml:space="preserve"> (python royal) et </w:t>
      </w:r>
      <w:r w:rsidRPr="00260790">
        <w:rPr>
          <w:rFonts w:ascii="Times New Roman" w:eastAsia="Times New Roman" w:hAnsi="Times New Roman"/>
          <w:i/>
          <w:color w:val="000000" w:themeColor="text1"/>
          <w:lang w:eastAsia="fr-FR"/>
        </w:rPr>
        <w:t>Psammophis elegans</w:t>
      </w:r>
      <w:r w:rsidRPr="00260790">
        <w:rPr>
          <w:rFonts w:ascii="Times New Roman" w:eastAsia="Times New Roman" w:hAnsi="Times New Roman"/>
          <w:color w:val="000000" w:themeColor="text1"/>
          <w:lang w:eastAsia="fr-FR"/>
        </w:rPr>
        <w:t xml:space="preserve"> (</w:t>
      </w:r>
      <w:proofErr w:type="spellStart"/>
      <w:r w:rsidRPr="00260790">
        <w:rPr>
          <w:rFonts w:ascii="Times New Roman" w:eastAsia="Times New Roman" w:hAnsi="Times New Roman"/>
          <w:color w:val="000000" w:themeColor="text1"/>
          <w:lang w:eastAsia="fr-FR"/>
        </w:rPr>
        <w:t>Elégant</w:t>
      </w:r>
      <w:proofErr w:type="spellEnd"/>
      <w:r w:rsidRPr="00260790">
        <w:rPr>
          <w:rFonts w:ascii="Times New Roman" w:eastAsia="Times New Roman" w:hAnsi="Times New Roman"/>
          <w:color w:val="000000" w:themeColor="text1"/>
          <w:lang w:eastAsia="fr-FR"/>
        </w:rPr>
        <w:t xml:space="preserve"> coureur de sable) ; </w:t>
      </w:r>
    </w:p>
    <w:p w14:paraId="5D56F582" w14:textId="77777777" w:rsidR="002B26A5" w:rsidRPr="00260790" w:rsidRDefault="002B26A5" w:rsidP="0097258B">
      <w:pPr>
        <w:spacing w:after="0"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 Les Chéloniens représentés essentiellement par l’espèce </w:t>
      </w:r>
      <w:proofErr w:type="spellStart"/>
      <w:r w:rsidRPr="00260790">
        <w:rPr>
          <w:rFonts w:ascii="Times New Roman" w:eastAsia="Times New Roman" w:hAnsi="Times New Roman"/>
          <w:i/>
          <w:color w:val="000000" w:themeColor="text1"/>
          <w:lang w:eastAsia="fr-FR"/>
        </w:rPr>
        <w:t>Pelomedusa</w:t>
      </w:r>
      <w:proofErr w:type="spellEnd"/>
      <w:r w:rsidRPr="00260790">
        <w:rPr>
          <w:rFonts w:ascii="Times New Roman" w:eastAsia="Times New Roman" w:hAnsi="Times New Roman"/>
          <w:i/>
          <w:color w:val="000000" w:themeColor="text1"/>
          <w:lang w:eastAsia="fr-FR"/>
        </w:rPr>
        <w:t xml:space="preserve"> </w:t>
      </w:r>
      <w:proofErr w:type="spellStart"/>
      <w:r w:rsidRPr="00260790">
        <w:rPr>
          <w:rFonts w:ascii="Times New Roman" w:eastAsia="Times New Roman" w:hAnsi="Times New Roman"/>
          <w:i/>
          <w:color w:val="000000" w:themeColor="text1"/>
          <w:lang w:eastAsia="fr-FR"/>
        </w:rPr>
        <w:t>galeata</w:t>
      </w:r>
      <w:proofErr w:type="spellEnd"/>
      <w:r w:rsidRPr="00260790">
        <w:rPr>
          <w:rFonts w:ascii="Times New Roman" w:eastAsia="Times New Roman" w:hAnsi="Times New Roman"/>
          <w:color w:val="000000" w:themeColor="text1"/>
          <w:lang w:eastAsia="fr-FR"/>
        </w:rPr>
        <w:t xml:space="preserve"> (tortue à carapace).</w:t>
      </w:r>
    </w:p>
    <w:p w14:paraId="6C156A25" w14:textId="77777777" w:rsidR="002B26A5" w:rsidRPr="00260790" w:rsidRDefault="002B26A5" w:rsidP="001748C6">
      <w:pPr>
        <w:numPr>
          <w:ilvl w:val="0"/>
          <w:numId w:val="350"/>
        </w:numPr>
        <w:spacing w:line="240" w:lineRule="auto"/>
        <w:ind w:left="1843"/>
        <w:contextualSpacing/>
        <w:jc w:val="both"/>
        <w:rPr>
          <w:rFonts w:ascii="Times New Roman" w:hAnsi="Times New Roman"/>
          <w:b/>
          <w:color w:val="000000" w:themeColor="text1"/>
        </w:rPr>
      </w:pPr>
      <w:r w:rsidRPr="00260790">
        <w:rPr>
          <w:rFonts w:ascii="Times New Roman" w:hAnsi="Times New Roman"/>
          <w:b/>
          <w:color w:val="000000" w:themeColor="text1"/>
        </w:rPr>
        <w:t>Les poissons</w:t>
      </w:r>
    </w:p>
    <w:p w14:paraId="0C95F931" w14:textId="77777777" w:rsidR="002B26A5" w:rsidRPr="00260790" w:rsidRDefault="002B26A5" w:rsidP="0097258B">
      <w:pPr>
        <w:spacing w:after="0"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Quant à la faune des zones humides, elle se compose essentiellement de poissons d’eau douce ou saumâtre (</w:t>
      </w:r>
      <w:proofErr w:type="spellStart"/>
      <w:r w:rsidRPr="00260790">
        <w:rPr>
          <w:rFonts w:ascii="Times New Roman" w:eastAsia="Times New Roman" w:hAnsi="Times New Roman"/>
          <w:i/>
          <w:color w:val="000000" w:themeColor="text1"/>
          <w:lang w:eastAsia="fr-FR"/>
        </w:rPr>
        <w:t>Oreochromis</w:t>
      </w:r>
      <w:proofErr w:type="spellEnd"/>
      <w:r w:rsidRPr="00260790">
        <w:rPr>
          <w:rFonts w:ascii="Times New Roman" w:eastAsia="Times New Roman" w:hAnsi="Times New Roman"/>
          <w:i/>
          <w:color w:val="000000" w:themeColor="text1"/>
          <w:lang w:eastAsia="fr-FR"/>
        </w:rPr>
        <w:t xml:space="preserve"> </w:t>
      </w:r>
      <w:proofErr w:type="spellStart"/>
      <w:r w:rsidRPr="00260790">
        <w:rPr>
          <w:rFonts w:ascii="Times New Roman" w:eastAsia="Times New Roman" w:hAnsi="Times New Roman"/>
          <w:i/>
          <w:color w:val="000000" w:themeColor="text1"/>
          <w:lang w:eastAsia="fr-FR"/>
        </w:rPr>
        <w:t>sp</w:t>
      </w:r>
      <w:proofErr w:type="spellEnd"/>
      <w:r w:rsidRPr="00260790">
        <w:rPr>
          <w:rFonts w:ascii="Times New Roman" w:eastAsia="Times New Roman" w:hAnsi="Times New Roman"/>
          <w:color w:val="000000" w:themeColor="text1"/>
          <w:lang w:eastAsia="fr-FR"/>
        </w:rPr>
        <w:t xml:space="preserve">, </w:t>
      </w:r>
      <w:proofErr w:type="spellStart"/>
      <w:r w:rsidRPr="00260790">
        <w:rPr>
          <w:rFonts w:ascii="Times New Roman" w:eastAsia="Times New Roman" w:hAnsi="Times New Roman"/>
          <w:i/>
          <w:iCs/>
          <w:color w:val="000000" w:themeColor="text1"/>
          <w:lang w:eastAsia="fr-FR"/>
        </w:rPr>
        <w:t>Labeo</w:t>
      </w:r>
      <w:proofErr w:type="spellEnd"/>
      <w:r w:rsidRPr="00260790">
        <w:rPr>
          <w:rFonts w:ascii="Times New Roman" w:eastAsia="Times New Roman" w:hAnsi="Times New Roman"/>
          <w:i/>
          <w:iCs/>
          <w:color w:val="000000" w:themeColor="text1"/>
          <w:lang w:eastAsia="fr-FR"/>
        </w:rPr>
        <w:t xml:space="preserve"> </w:t>
      </w:r>
      <w:proofErr w:type="spellStart"/>
      <w:r w:rsidRPr="00260790">
        <w:rPr>
          <w:rFonts w:ascii="Times New Roman" w:eastAsia="Times New Roman" w:hAnsi="Times New Roman"/>
          <w:i/>
          <w:iCs/>
          <w:color w:val="000000" w:themeColor="text1"/>
          <w:lang w:eastAsia="fr-FR"/>
        </w:rPr>
        <w:t>sp</w:t>
      </w:r>
      <w:proofErr w:type="spellEnd"/>
      <w:r w:rsidRPr="00260790">
        <w:rPr>
          <w:rFonts w:ascii="Times New Roman" w:eastAsia="Times New Roman" w:hAnsi="Times New Roman"/>
          <w:color w:val="000000" w:themeColor="text1"/>
          <w:lang w:eastAsia="fr-FR"/>
        </w:rPr>
        <w:t xml:space="preserve">, </w:t>
      </w:r>
      <w:proofErr w:type="spellStart"/>
      <w:r w:rsidRPr="00260790">
        <w:rPr>
          <w:rFonts w:ascii="Times New Roman" w:eastAsia="Times New Roman" w:hAnsi="Times New Roman"/>
          <w:i/>
          <w:iCs/>
          <w:color w:val="000000" w:themeColor="text1"/>
          <w:lang w:eastAsia="fr-FR"/>
        </w:rPr>
        <w:t>Polypterus</w:t>
      </w:r>
      <w:proofErr w:type="spellEnd"/>
      <w:r w:rsidRPr="00260790">
        <w:rPr>
          <w:rFonts w:ascii="Times New Roman" w:eastAsia="Times New Roman" w:hAnsi="Times New Roman"/>
          <w:i/>
          <w:iCs/>
          <w:color w:val="000000" w:themeColor="text1"/>
          <w:lang w:eastAsia="fr-FR"/>
        </w:rPr>
        <w:t xml:space="preserve"> </w:t>
      </w:r>
      <w:proofErr w:type="spellStart"/>
      <w:r w:rsidRPr="00260790">
        <w:rPr>
          <w:rFonts w:ascii="Times New Roman" w:eastAsia="Times New Roman" w:hAnsi="Times New Roman"/>
          <w:i/>
          <w:iCs/>
          <w:color w:val="000000" w:themeColor="text1"/>
          <w:lang w:eastAsia="fr-FR"/>
        </w:rPr>
        <w:t>sp</w:t>
      </w:r>
      <w:proofErr w:type="spellEnd"/>
      <w:r w:rsidRPr="00260790">
        <w:rPr>
          <w:rFonts w:ascii="Times New Roman" w:eastAsia="Times New Roman" w:hAnsi="Times New Roman"/>
          <w:color w:val="000000" w:themeColor="text1"/>
          <w:lang w:eastAsia="fr-FR"/>
        </w:rPr>
        <w:t xml:space="preserve">, </w:t>
      </w:r>
      <w:r w:rsidRPr="00260790">
        <w:rPr>
          <w:rFonts w:ascii="Times New Roman" w:eastAsia="Times New Roman" w:hAnsi="Times New Roman"/>
          <w:i/>
          <w:iCs/>
          <w:color w:val="000000" w:themeColor="text1"/>
          <w:lang w:eastAsia="fr-FR"/>
        </w:rPr>
        <w:t xml:space="preserve">Lates </w:t>
      </w:r>
      <w:proofErr w:type="spellStart"/>
      <w:r w:rsidRPr="00260790">
        <w:rPr>
          <w:rFonts w:ascii="Times New Roman" w:eastAsia="Times New Roman" w:hAnsi="Times New Roman"/>
          <w:i/>
          <w:iCs/>
          <w:color w:val="000000" w:themeColor="text1"/>
          <w:lang w:eastAsia="fr-FR"/>
        </w:rPr>
        <w:t>sp</w:t>
      </w:r>
      <w:proofErr w:type="spellEnd"/>
      <w:r w:rsidRPr="00260790">
        <w:rPr>
          <w:rFonts w:ascii="Times New Roman" w:eastAsia="Times New Roman" w:hAnsi="Times New Roman"/>
          <w:i/>
          <w:iCs/>
          <w:color w:val="000000" w:themeColor="text1"/>
          <w:lang w:eastAsia="fr-FR"/>
        </w:rPr>
        <w:t>…</w:t>
      </w:r>
      <w:r w:rsidRPr="00260790">
        <w:rPr>
          <w:rFonts w:ascii="Times New Roman" w:eastAsia="Times New Roman" w:hAnsi="Times New Roman"/>
          <w:color w:val="000000" w:themeColor="text1"/>
          <w:lang w:eastAsia="fr-FR"/>
        </w:rPr>
        <w:t>).</w:t>
      </w:r>
    </w:p>
    <w:p w14:paraId="70858811" w14:textId="77777777" w:rsidR="002B26A5" w:rsidRPr="00260790" w:rsidRDefault="002B26A5" w:rsidP="001748C6">
      <w:pPr>
        <w:numPr>
          <w:ilvl w:val="0"/>
          <w:numId w:val="350"/>
        </w:numPr>
        <w:spacing w:line="240" w:lineRule="auto"/>
        <w:ind w:left="1843"/>
        <w:contextualSpacing/>
        <w:jc w:val="both"/>
        <w:rPr>
          <w:rFonts w:ascii="Times New Roman" w:hAnsi="Times New Roman"/>
          <w:b/>
          <w:color w:val="000000" w:themeColor="text1"/>
        </w:rPr>
      </w:pPr>
      <w:r w:rsidRPr="00260790">
        <w:rPr>
          <w:rFonts w:ascii="Times New Roman" w:hAnsi="Times New Roman"/>
          <w:b/>
          <w:color w:val="000000" w:themeColor="text1"/>
        </w:rPr>
        <w:t>Les insectes</w:t>
      </w:r>
    </w:p>
    <w:p w14:paraId="4DC1E804" w14:textId="77777777" w:rsidR="002B26A5" w:rsidRPr="00260790" w:rsidRDefault="002B26A5" w:rsidP="0097258B">
      <w:pPr>
        <w:spacing w:after="0"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insectes sont représentés par une diversité d’espèces de papillons, de termites, de mouches, de sauterelles, de fourmis…</w:t>
      </w:r>
    </w:p>
    <w:p w14:paraId="22EEB467" w14:textId="700284A9" w:rsidR="002B26A5" w:rsidRPr="00260790" w:rsidRDefault="002B26A5" w:rsidP="001748C6">
      <w:pPr>
        <w:numPr>
          <w:ilvl w:val="0"/>
          <w:numId w:val="350"/>
        </w:numPr>
        <w:spacing w:line="240" w:lineRule="auto"/>
        <w:ind w:left="1843"/>
        <w:contextualSpacing/>
        <w:jc w:val="both"/>
        <w:rPr>
          <w:rFonts w:ascii="Times New Roman" w:hAnsi="Times New Roman"/>
          <w:b/>
          <w:color w:val="000000" w:themeColor="text1"/>
        </w:rPr>
      </w:pPr>
      <w:r w:rsidRPr="00260790">
        <w:rPr>
          <w:rFonts w:ascii="Times New Roman" w:hAnsi="Times New Roman"/>
          <w:b/>
          <w:color w:val="000000" w:themeColor="text1"/>
        </w:rPr>
        <w:t>Les amphibiens</w:t>
      </w:r>
    </w:p>
    <w:p w14:paraId="3A8B89D1" w14:textId="7777777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grenouilles, les crapauds et les salamandres sont les espèces de la classe des amphibiens rencontrées le plus souvent au niveau des points d’eau.</w:t>
      </w:r>
    </w:p>
    <w:p w14:paraId="3A8DA969" w14:textId="77777777" w:rsidR="002B26A5" w:rsidRPr="00260790" w:rsidRDefault="002B26A5" w:rsidP="001748C6">
      <w:pPr>
        <w:numPr>
          <w:ilvl w:val="0"/>
          <w:numId w:val="349"/>
        </w:numPr>
        <w:spacing w:line="240" w:lineRule="auto"/>
        <w:ind w:left="1276"/>
        <w:contextualSpacing/>
        <w:jc w:val="both"/>
        <w:rPr>
          <w:rFonts w:ascii="Times New Roman" w:hAnsi="Times New Roman"/>
          <w:b/>
          <w:color w:val="000000" w:themeColor="text1"/>
        </w:rPr>
      </w:pPr>
      <w:r w:rsidRPr="00260790">
        <w:rPr>
          <w:rFonts w:ascii="Times New Roman" w:hAnsi="Times New Roman"/>
          <w:b/>
          <w:color w:val="000000" w:themeColor="text1"/>
        </w:rPr>
        <w:lastRenderedPageBreak/>
        <w:t>Habitats et zones sensibles</w:t>
      </w:r>
    </w:p>
    <w:p w14:paraId="67A8FDFB" w14:textId="219AD8D4" w:rsidR="002B26A5" w:rsidRPr="00260790" w:rsidRDefault="002B26A5" w:rsidP="008F3CDA">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bCs/>
          <w:color w:val="000000" w:themeColor="text1"/>
          <w:lang w:eastAsia="fr-FR"/>
        </w:rPr>
        <w:t xml:space="preserve">La répartition des espèces biologiques est le résultat de la combinaison de facteurs climatiques, écologiques et hydrologiques. Les types d’habitats naturels de la zone d’étude se résument aux zones humides et aux formations végétales. Ceux du </w:t>
      </w:r>
      <w:r w:rsidRPr="00260790">
        <w:rPr>
          <w:rFonts w:ascii="Times New Roman" w:eastAsia="Times New Roman" w:hAnsi="Times New Roman"/>
          <w:color w:val="000000" w:themeColor="text1"/>
          <w:lang w:eastAsia="fr-FR"/>
        </w:rPr>
        <w:t>département de Rufisque couvrent une superficie de 4033 ha, soit 70% des zones protégées de la région de Dakar</w:t>
      </w:r>
      <w:r w:rsidR="009A0A45" w:rsidRPr="00260790">
        <w:rPr>
          <w:rFonts w:ascii="Times New Roman" w:eastAsia="Times New Roman" w:hAnsi="Times New Roman"/>
          <w:color w:val="000000" w:themeColor="text1"/>
          <w:lang w:eastAsia="fr-FR"/>
        </w:rPr>
        <w:t xml:space="preserve">. </w:t>
      </w:r>
      <w:r w:rsidRPr="00260790">
        <w:rPr>
          <w:rFonts w:ascii="Times New Roman" w:eastAsia="Times New Roman" w:hAnsi="Times New Roman"/>
          <w:color w:val="000000" w:themeColor="text1"/>
          <w:lang w:eastAsia="fr-FR"/>
        </w:rPr>
        <w:t xml:space="preserve">Le département de Pikine renferme les périmètres de reboisement de Mbao et Malika qui couvrent une </w:t>
      </w:r>
      <w:r w:rsidR="001138C7" w:rsidRPr="00260790">
        <w:rPr>
          <w:rFonts w:ascii="Times New Roman" w:eastAsia="Times New Roman" w:hAnsi="Times New Roman"/>
          <w:color w:val="000000" w:themeColor="text1"/>
          <w:lang w:eastAsia="fr-FR"/>
        </w:rPr>
        <w:t>superficie</w:t>
      </w:r>
      <w:r w:rsidRPr="00260790">
        <w:rPr>
          <w:rFonts w:ascii="Times New Roman" w:eastAsia="Times New Roman" w:hAnsi="Times New Roman"/>
          <w:color w:val="000000" w:themeColor="text1"/>
          <w:lang w:eastAsia="fr-FR"/>
        </w:rPr>
        <w:t xml:space="preserve"> de 1481 ha</w:t>
      </w:r>
      <w:r w:rsidR="00273847" w:rsidRPr="00260790">
        <w:rPr>
          <w:rFonts w:ascii="Times New Roman" w:eastAsia="Times New Roman" w:hAnsi="Times New Roman"/>
          <w:color w:val="000000" w:themeColor="text1"/>
          <w:lang w:eastAsia="fr-FR"/>
        </w:rPr>
        <w:t>,</w:t>
      </w:r>
      <w:r w:rsidRPr="00260790">
        <w:rPr>
          <w:rFonts w:ascii="Times New Roman" w:eastAsia="Times New Roman" w:hAnsi="Times New Roman"/>
          <w:color w:val="000000" w:themeColor="text1"/>
          <w:lang w:eastAsia="fr-FR"/>
        </w:rPr>
        <w:t xml:space="preserve"> soit 26% des zones protégées de la région de Dakar (ANSD 2023).</w:t>
      </w:r>
    </w:p>
    <w:p w14:paraId="122F8AA3" w14:textId="7B372423" w:rsidR="002B26A5" w:rsidRPr="00260790" w:rsidRDefault="002B26A5" w:rsidP="0097258B">
      <w:pPr>
        <w:spacing w:line="240" w:lineRule="auto"/>
        <w:ind w:right="282"/>
        <w:jc w:val="both"/>
        <w:rPr>
          <w:rFonts w:ascii="Times New Roman" w:eastAsia="Times New Roman" w:hAnsi="Times New Roman"/>
          <w:color w:val="000000" w:themeColor="text1"/>
          <w:spacing w:val="5"/>
          <w:lang w:eastAsia="fr-FR"/>
        </w:rPr>
      </w:pPr>
      <w:r w:rsidRPr="00260790">
        <w:rPr>
          <w:rFonts w:ascii="Times New Roman" w:eastAsia="Times New Roman" w:hAnsi="Times New Roman"/>
          <w:b/>
          <w:color w:val="000000" w:themeColor="text1"/>
          <w:spacing w:val="5"/>
          <w:lang w:eastAsia="fr-FR"/>
        </w:rPr>
        <w:t>Le marigot de Mbao </w:t>
      </w:r>
      <w:r w:rsidRPr="00260790">
        <w:rPr>
          <w:rFonts w:ascii="Times New Roman" w:eastAsia="Times New Roman" w:hAnsi="Times New Roman"/>
          <w:color w:val="000000" w:themeColor="text1"/>
          <w:spacing w:val="5"/>
          <w:lang w:eastAsia="fr-FR"/>
        </w:rPr>
        <w:t xml:space="preserve">: il est situé dans le département de Pikine dans la zone éco géographique des Niayes. Long d'environ quatre (04) kilomètres, il est avec les lacs du Technopole et des Maristes, l'un des rares plans d'eau de la zone. </w:t>
      </w:r>
      <w:r w:rsidRPr="00260790">
        <w:rPr>
          <w:rFonts w:ascii="Times New Roman" w:eastAsia="Times New Roman" w:hAnsi="Times New Roman"/>
          <w:color w:val="000000" w:themeColor="text1"/>
          <w:lang w:eastAsia="fr-FR"/>
        </w:rPr>
        <w:t xml:space="preserve">C’est un ancien bras du fleuve Sénégal, qui passait par </w:t>
      </w:r>
      <w:proofErr w:type="spellStart"/>
      <w:r w:rsidRPr="00260790">
        <w:rPr>
          <w:rFonts w:ascii="Times New Roman" w:eastAsia="Times New Roman" w:hAnsi="Times New Roman"/>
          <w:color w:val="000000" w:themeColor="text1"/>
          <w:lang w:eastAsia="fr-FR"/>
        </w:rPr>
        <w:t>Bayakh</w:t>
      </w:r>
      <w:proofErr w:type="spellEnd"/>
      <w:r w:rsidRPr="00260790">
        <w:rPr>
          <w:rFonts w:ascii="Times New Roman" w:eastAsia="Times New Roman" w:hAnsi="Times New Roman"/>
          <w:color w:val="000000" w:themeColor="text1"/>
          <w:lang w:eastAsia="fr-FR"/>
        </w:rPr>
        <w:t xml:space="preserve">, </w:t>
      </w:r>
      <w:proofErr w:type="spellStart"/>
      <w:r w:rsidRPr="00260790">
        <w:rPr>
          <w:rFonts w:ascii="Times New Roman" w:eastAsia="Times New Roman" w:hAnsi="Times New Roman"/>
          <w:color w:val="000000" w:themeColor="text1"/>
          <w:lang w:eastAsia="fr-FR"/>
        </w:rPr>
        <w:t>Yadenne</w:t>
      </w:r>
      <w:proofErr w:type="spellEnd"/>
      <w:r w:rsidRPr="00260790">
        <w:rPr>
          <w:rFonts w:ascii="Times New Roman" w:eastAsia="Times New Roman" w:hAnsi="Times New Roman"/>
          <w:color w:val="000000" w:themeColor="text1"/>
          <w:lang w:eastAsia="fr-FR"/>
        </w:rPr>
        <w:t>, Tivaouane, et au niveau de la RN1 puis faisait une courbure en forme d</w:t>
      </w:r>
      <w:r w:rsidR="00D33D33" w:rsidRPr="00260790">
        <w:rPr>
          <w:rFonts w:ascii="Times New Roman" w:eastAsia="Times New Roman" w:hAnsi="Times New Roman"/>
          <w:color w:val="000000" w:themeColor="text1"/>
          <w:lang w:eastAsia="fr-FR"/>
        </w:rPr>
        <w:t>’</w:t>
      </w:r>
      <w:r w:rsidRPr="00260790">
        <w:rPr>
          <w:rFonts w:ascii="Times New Roman" w:eastAsia="Times New Roman" w:hAnsi="Times New Roman"/>
          <w:color w:val="000000" w:themeColor="text1"/>
          <w:lang w:eastAsia="fr-FR"/>
        </w:rPr>
        <w:t>U en passant par grand et petit Mbao</w:t>
      </w:r>
      <w:r w:rsidRPr="00260790">
        <w:rPr>
          <w:rFonts w:ascii="Times New Roman" w:eastAsia="Times New Roman" w:hAnsi="Times New Roman"/>
          <w:color w:val="000000" w:themeColor="text1"/>
          <w:spacing w:val="5"/>
          <w:lang w:eastAsia="fr-FR"/>
        </w:rPr>
        <w:t xml:space="preserve"> (Gaye ; 2015). Il comprend une partie située</w:t>
      </w:r>
      <w:r w:rsidRPr="00260790">
        <w:rPr>
          <w:rFonts w:ascii="Times New Roman" w:eastAsia="Times New Roman" w:hAnsi="Times New Roman"/>
          <w:color w:val="000000" w:themeColor="text1"/>
          <w:lang w:eastAsia="fr-FR"/>
        </w:rPr>
        <w:t xml:space="preserve"> en milieu naturel au niveau de la Forêt Classée de Mbao (FCM), et une autre en milieu urbanisé. </w:t>
      </w:r>
      <w:r w:rsidRPr="00260790">
        <w:rPr>
          <w:rFonts w:ascii="Times New Roman" w:eastAsia="Times New Roman" w:hAnsi="Times New Roman"/>
          <w:color w:val="000000" w:themeColor="text1"/>
          <w:spacing w:val="5"/>
          <w:lang w:eastAsia="fr-FR"/>
        </w:rPr>
        <w:t xml:space="preserve">Le marigot de Mbao s’écoule dans sa partie qui se trouve dans la </w:t>
      </w:r>
      <w:r w:rsidR="00273847" w:rsidRPr="00260790">
        <w:rPr>
          <w:rFonts w:ascii="Times New Roman" w:eastAsia="Times New Roman" w:hAnsi="Times New Roman"/>
          <w:color w:val="000000" w:themeColor="text1"/>
          <w:spacing w:val="5"/>
          <w:lang w:eastAsia="fr-FR"/>
        </w:rPr>
        <w:t>FCM sur</w:t>
      </w:r>
      <w:r w:rsidRPr="00260790">
        <w:rPr>
          <w:rFonts w:ascii="Times New Roman" w:eastAsia="Times New Roman" w:hAnsi="Times New Roman"/>
          <w:color w:val="000000" w:themeColor="text1"/>
          <w:spacing w:val="5"/>
          <w:lang w:eastAsia="fr-FR"/>
        </w:rPr>
        <w:t xml:space="preserve"> une longueur de 3,5 km (Gaye ; 2015). Son régime hydrique est bimodal marqué par une alternance d’une longue saison sèche et d’une courte saison pluvieuse. Durant la période sèche, le marigot est relativement asséché. Le marigot de Mbao revêt une grande importance dans le dispositif de drainage des eaux de ruissellement de la zone de Mbao et de ses environs. Cet écosystème était utilisé dans le passé par la population locale pour des activités agricoles, pastorales et de pêche. Plusieurs espèces végétales y sont répertoriées dont </w:t>
      </w:r>
      <w:proofErr w:type="spellStart"/>
      <w:r w:rsidRPr="00260790">
        <w:rPr>
          <w:rFonts w:ascii="Times New Roman" w:eastAsia="Times New Roman" w:hAnsi="Times New Roman"/>
          <w:i/>
          <w:color w:val="000000" w:themeColor="text1"/>
          <w:spacing w:val="5"/>
          <w:lang w:eastAsia="fr-FR"/>
        </w:rPr>
        <w:t>Melaleuca</w:t>
      </w:r>
      <w:proofErr w:type="spellEnd"/>
      <w:r w:rsidRPr="00260790">
        <w:rPr>
          <w:rFonts w:ascii="Times New Roman" w:eastAsia="Times New Roman" w:hAnsi="Times New Roman"/>
          <w:i/>
          <w:color w:val="000000" w:themeColor="text1"/>
          <w:spacing w:val="5"/>
          <w:lang w:eastAsia="fr-FR"/>
        </w:rPr>
        <w:t xml:space="preserve"> </w:t>
      </w:r>
      <w:proofErr w:type="spellStart"/>
      <w:r w:rsidRPr="00260790">
        <w:rPr>
          <w:rFonts w:ascii="Times New Roman" w:eastAsia="Times New Roman" w:hAnsi="Times New Roman"/>
          <w:i/>
          <w:color w:val="000000" w:themeColor="text1"/>
          <w:spacing w:val="5"/>
          <w:lang w:eastAsia="fr-FR"/>
        </w:rPr>
        <w:t>leucadendron</w:t>
      </w:r>
      <w:proofErr w:type="spellEnd"/>
      <w:r w:rsidRPr="00260790">
        <w:rPr>
          <w:rFonts w:ascii="Times New Roman" w:eastAsia="Times New Roman" w:hAnsi="Times New Roman"/>
          <w:i/>
          <w:color w:val="000000" w:themeColor="text1"/>
          <w:spacing w:val="5"/>
          <w:lang w:eastAsia="fr-FR"/>
        </w:rPr>
        <w:t xml:space="preserve">, Eucalyptus </w:t>
      </w:r>
      <w:proofErr w:type="spellStart"/>
      <w:r w:rsidRPr="00260790">
        <w:rPr>
          <w:rFonts w:ascii="Times New Roman" w:eastAsia="Times New Roman" w:hAnsi="Times New Roman"/>
          <w:i/>
          <w:color w:val="000000" w:themeColor="text1"/>
          <w:spacing w:val="5"/>
          <w:lang w:eastAsia="fr-FR"/>
        </w:rPr>
        <w:t>camaldulensis</w:t>
      </w:r>
      <w:proofErr w:type="spellEnd"/>
      <w:r w:rsidRPr="00260790">
        <w:rPr>
          <w:rFonts w:ascii="Times New Roman" w:eastAsia="Times New Roman" w:hAnsi="Times New Roman"/>
          <w:i/>
          <w:color w:val="000000" w:themeColor="text1"/>
          <w:spacing w:val="5"/>
          <w:lang w:eastAsia="fr-FR"/>
        </w:rPr>
        <w:t xml:space="preserve">, Prosopis juliflora, Casuarina </w:t>
      </w:r>
      <w:proofErr w:type="spellStart"/>
      <w:r w:rsidRPr="00260790">
        <w:rPr>
          <w:rFonts w:ascii="Times New Roman" w:eastAsia="Times New Roman" w:hAnsi="Times New Roman"/>
          <w:i/>
          <w:color w:val="000000" w:themeColor="text1"/>
          <w:spacing w:val="5"/>
          <w:lang w:eastAsia="fr-FR"/>
        </w:rPr>
        <w:t>equisetifolia</w:t>
      </w:r>
      <w:proofErr w:type="spellEnd"/>
      <w:r w:rsidRPr="00260790">
        <w:rPr>
          <w:rFonts w:ascii="Times New Roman" w:eastAsia="Times New Roman" w:hAnsi="Times New Roman"/>
          <w:color w:val="000000" w:themeColor="text1"/>
          <w:spacing w:val="5"/>
          <w:lang w:eastAsia="fr-FR"/>
        </w:rPr>
        <w:t xml:space="preserve">, etc. </w:t>
      </w:r>
      <w:r w:rsidR="009965A6" w:rsidRPr="00260790">
        <w:rPr>
          <w:rFonts w:ascii="Times New Roman" w:eastAsia="Times New Roman" w:hAnsi="Times New Roman"/>
          <w:color w:val="000000" w:themeColor="text1"/>
          <w:spacing w:val="5"/>
          <w:lang w:eastAsia="fr-FR"/>
        </w:rPr>
        <w:t>À</w:t>
      </w:r>
      <w:r w:rsidRPr="00260790">
        <w:rPr>
          <w:rFonts w:ascii="Times New Roman" w:eastAsia="Times New Roman" w:hAnsi="Times New Roman"/>
          <w:color w:val="000000" w:themeColor="text1"/>
          <w:spacing w:val="5"/>
          <w:lang w:eastAsia="fr-FR"/>
        </w:rPr>
        <w:t xml:space="preserve"> cela s’ajoute une diversité d’oiseaux. </w:t>
      </w:r>
    </w:p>
    <w:p w14:paraId="5CD274BD" w14:textId="4D95AD90" w:rsidR="002B26A5" w:rsidRPr="00260790" w:rsidRDefault="002B26A5" w:rsidP="0097258B">
      <w:pPr>
        <w:spacing w:line="240" w:lineRule="auto"/>
        <w:ind w:right="282"/>
        <w:jc w:val="both"/>
        <w:rPr>
          <w:rFonts w:ascii="Times New Roman" w:eastAsia="Times New Roman" w:hAnsi="Times New Roman"/>
          <w:color w:val="000000" w:themeColor="text1"/>
          <w:spacing w:val="5"/>
          <w:lang w:eastAsia="fr-FR"/>
        </w:rPr>
      </w:pPr>
      <w:r w:rsidRPr="00260790">
        <w:rPr>
          <w:rFonts w:ascii="Times New Roman" w:eastAsia="Times New Roman" w:hAnsi="Times New Roman"/>
          <w:b/>
          <w:color w:val="000000" w:themeColor="text1"/>
          <w:shd w:val="clear" w:color="auto" w:fill="FFFFFF"/>
          <w:lang w:eastAsia="fr-FR"/>
        </w:rPr>
        <w:t>La Forêt Classée de Mbao (FCM)</w:t>
      </w:r>
      <w:r w:rsidRPr="00260790">
        <w:rPr>
          <w:rFonts w:ascii="Times New Roman" w:eastAsia="Times New Roman" w:hAnsi="Times New Roman"/>
          <w:color w:val="000000" w:themeColor="text1"/>
          <w:shd w:val="clear" w:color="auto" w:fill="FFFFFF"/>
          <w:lang w:eastAsia="fr-FR"/>
        </w:rPr>
        <w:t xml:space="preserve"> </w:t>
      </w:r>
      <w:r w:rsidRPr="00260790">
        <w:rPr>
          <w:rFonts w:ascii="Times New Roman" w:eastAsia="Times New Roman" w:hAnsi="Times New Roman"/>
          <w:color w:val="000000" w:themeColor="text1"/>
          <w:lang w:eastAsia="fr-FR"/>
        </w:rPr>
        <w:t xml:space="preserve">se situe dans le département de Pikine. Elle a été classée le 07 mai 1940 sur une superficie de 800ha 16a 48ca. Réduit à 771 ha en 1972 pour la création de la zone industrielle de Dakar, elle couvre actuellement une superficie de 722.5 ha (Souleymane ; 2017). D’une situation de forêt périurbaine ; la FCM est progressivement devenue une forêt urbaine. Ainsi elle fait l’objet de convoitise de la part des villageois et des promoteurs immobiliers. De surcroit, l’extension des routes lui fait subir des empiètements pouvant compromettre son existence.  Le peuplement naturel a presque disparu. Il ne reste que des individus isolés de </w:t>
      </w:r>
      <w:r w:rsidRPr="00260790">
        <w:rPr>
          <w:rFonts w:ascii="Times New Roman" w:eastAsia="Times New Roman" w:hAnsi="Times New Roman"/>
          <w:i/>
          <w:color w:val="000000" w:themeColor="text1"/>
          <w:lang w:eastAsia="fr-FR"/>
        </w:rPr>
        <w:t xml:space="preserve">Faidherbia </w:t>
      </w:r>
      <w:proofErr w:type="spellStart"/>
      <w:r w:rsidRPr="00260790">
        <w:rPr>
          <w:rFonts w:ascii="Times New Roman" w:eastAsia="Times New Roman" w:hAnsi="Times New Roman"/>
          <w:i/>
          <w:color w:val="000000" w:themeColor="text1"/>
          <w:lang w:eastAsia="fr-FR"/>
        </w:rPr>
        <w:t>albida</w:t>
      </w:r>
      <w:proofErr w:type="spellEnd"/>
      <w:r w:rsidRPr="00260790">
        <w:rPr>
          <w:rFonts w:ascii="Times New Roman" w:eastAsia="Times New Roman" w:hAnsi="Times New Roman"/>
          <w:color w:val="000000" w:themeColor="text1"/>
          <w:lang w:eastAsia="fr-FR"/>
        </w:rPr>
        <w:t xml:space="preserve">, </w:t>
      </w:r>
      <w:proofErr w:type="spellStart"/>
      <w:r w:rsidRPr="00260790">
        <w:rPr>
          <w:rFonts w:ascii="Times New Roman" w:eastAsia="Times New Roman" w:hAnsi="Times New Roman"/>
          <w:i/>
          <w:color w:val="000000" w:themeColor="text1"/>
          <w:lang w:eastAsia="fr-FR"/>
        </w:rPr>
        <w:t>Neocarya</w:t>
      </w:r>
      <w:proofErr w:type="spellEnd"/>
      <w:r w:rsidRPr="00260790">
        <w:rPr>
          <w:rFonts w:ascii="Times New Roman" w:eastAsia="Times New Roman" w:hAnsi="Times New Roman"/>
          <w:i/>
          <w:color w:val="000000" w:themeColor="text1"/>
          <w:lang w:eastAsia="fr-FR"/>
        </w:rPr>
        <w:t xml:space="preserve"> </w:t>
      </w:r>
      <w:proofErr w:type="spellStart"/>
      <w:r w:rsidRPr="00260790">
        <w:rPr>
          <w:rFonts w:ascii="Times New Roman" w:eastAsia="Times New Roman" w:hAnsi="Times New Roman"/>
          <w:i/>
          <w:color w:val="000000" w:themeColor="text1"/>
          <w:lang w:eastAsia="fr-FR"/>
        </w:rPr>
        <w:t>macrophylla</w:t>
      </w:r>
      <w:proofErr w:type="spellEnd"/>
      <w:r w:rsidRPr="00260790">
        <w:rPr>
          <w:rFonts w:ascii="Times New Roman" w:eastAsia="Times New Roman" w:hAnsi="Times New Roman"/>
          <w:color w:val="000000" w:themeColor="text1"/>
          <w:lang w:eastAsia="fr-FR"/>
        </w:rPr>
        <w:t xml:space="preserve">, </w:t>
      </w:r>
      <w:proofErr w:type="spellStart"/>
      <w:r w:rsidRPr="00260790">
        <w:rPr>
          <w:rFonts w:ascii="Times New Roman" w:eastAsia="Times New Roman" w:hAnsi="Times New Roman"/>
          <w:i/>
          <w:color w:val="000000" w:themeColor="text1"/>
          <w:lang w:eastAsia="fr-FR"/>
        </w:rPr>
        <w:t>Adansonia</w:t>
      </w:r>
      <w:proofErr w:type="spellEnd"/>
      <w:r w:rsidRPr="00260790">
        <w:rPr>
          <w:rFonts w:ascii="Times New Roman" w:eastAsia="Times New Roman" w:hAnsi="Times New Roman"/>
          <w:i/>
          <w:color w:val="000000" w:themeColor="text1"/>
          <w:lang w:eastAsia="fr-FR"/>
        </w:rPr>
        <w:t xml:space="preserve"> </w:t>
      </w:r>
      <w:proofErr w:type="spellStart"/>
      <w:r w:rsidRPr="00260790">
        <w:rPr>
          <w:rFonts w:ascii="Times New Roman" w:eastAsia="Times New Roman" w:hAnsi="Times New Roman"/>
          <w:i/>
          <w:color w:val="000000" w:themeColor="text1"/>
          <w:lang w:eastAsia="fr-FR"/>
        </w:rPr>
        <w:t>digitata</w:t>
      </w:r>
      <w:proofErr w:type="spellEnd"/>
      <w:r w:rsidRPr="00260790">
        <w:rPr>
          <w:rFonts w:ascii="Times New Roman" w:eastAsia="Times New Roman" w:hAnsi="Times New Roman"/>
          <w:color w:val="000000" w:themeColor="text1"/>
          <w:lang w:eastAsia="fr-FR"/>
        </w:rPr>
        <w:t xml:space="preserve">, </w:t>
      </w:r>
      <w:proofErr w:type="spellStart"/>
      <w:r w:rsidRPr="00260790">
        <w:rPr>
          <w:rFonts w:ascii="Times New Roman" w:eastAsia="Times New Roman" w:hAnsi="Times New Roman"/>
          <w:i/>
          <w:color w:val="000000" w:themeColor="text1"/>
          <w:lang w:eastAsia="fr-FR"/>
        </w:rPr>
        <w:t>Maytenus</w:t>
      </w:r>
      <w:proofErr w:type="spellEnd"/>
      <w:r w:rsidRPr="00260790">
        <w:rPr>
          <w:rFonts w:ascii="Times New Roman" w:eastAsia="Times New Roman" w:hAnsi="Times New Roman"/>
          <w:i/>
          <w:color w:val="000000" w:themeColor="text1"/>
          <w:lang w:eastAsia="fr-FR"/>
        </w:rPr>
        <w:t xml:space="preserve"> senegalensis</w:t>
      </w:r>
      <w:r w:rsidRPr="00260790">
        <w:rPr>
          <w:rFonts w:ascii="Times New Roman" w:eastAsia="Times New Roman" w:hAnsi="Times New Roman"/>
          <w:color w:val="000000" w:themeColor="text1"/>
          <w:lang w:eastAsia="fr-FR"/>
        </w:rPr>
        <w:t xml:space="preserve">, </w:t>
      </w:r>
      <w:r w:rsidRPr="00260790">
        <w:rPr>
          <w:rFonts w:ascii="Times New Roman" w:eastAsia="Times New Roman" w:hAnsi="Times New Roman"/>
          <w:i/>
          <w:color w:val="000000" w:themeColor="text1"/>
          <w:lang w:eastAsia="fr-FR"/>
        </w:rPr>
        <w:t>Ximenia americana</w:t>
      </w:r>
      <w:r w:rsidRPr="00260790">
        <w:rPr>
          <w:rFonts w:ascii="Times New Roman" w:eastAsia="Times New Roman" w:hAnsi="Times New Roman"/>
          <w:color w:val="000000" w:themeColor="text1"/>
          <w:lang w:eastAsia="fr-FR"/>
        </w:rPr>
        <w:t xml:space="preserve">, </w:t>
      </w:r>
      <w:proofErr w:type="spellStart"/>
      <w:r w:rsidRPr="00260790">
        <w:rPr>
          <w:rFonts w:ascii="Times New Roman" w:eastAsia="Times New Roman" w:hAnsi="Times New Roman"/>
          <w:i/>
          <w:color w:val="000000" w:themeColor="text1"/>
          <w:lang w:eastAsia="fr-FR"/>
        </w:rPr>
        <w:t>Eleais</w:t>
      </w:r>
      <w:proofErr w:type="spellEnd"/>
      <w:r w:rsidRPr="00260790">
        <w:rPr>
          <w:rFonts w:ascii="Times New Roman" w:eastAsia="Times New Roman" w:hAnsi="Times New Roman"/>
          <w:i/>
          <w:color w:val="000000" w:themeColor="text1"/>
          <w:lang w:eastAsia="fr-FR"/>
        </w:rPr>
        <w:t xml:space="preserve"> </w:t>
      </w:r>
      <w:proofErr w:type="spellStart"/>
      <w:r w:rsidRPr="00260790">
        <w:rPr>
          <w:rFonts w:ascii="Times New Roman" w:eastAsia="Times New Roman" w:hAnsi="Times New Roman"/>
          <w:i/>
          <w:color w:val="000000" w:themeColor="text1"/>
          <w:lang w:eastAsia="fr-FR"/>
        </w:rPr>
        <w:t>guineensis</w:t>
      </w:r>
      <w:proofErr w:type="spellEnd"/>
      <w:r w:rsidRPr="00260790">
        <w:rPr>
          <w:rFonts w:ascii="Times New Roman" w:eastAsia="Times New Roman" w:hAnsi="Times New Roman"/>
          <w:color w:val="000000" w:themeColor="text1"/>
          <w:lang w:eastAsia="fr-FR"/>
        </w:rPr>
        <w:t xml:space="preserve"> en bordure des Niayes (Souleymane ; 2017). Les espèces exotiques ont pris la relève grâce aux plantations effectuées qui concernent essentiellement </w:t>
      </w:r>
      <w:proofErr w:type="spellStart"/>
      <w:r w:rsidRPr="00260790">
        <w:rPr>
          <w:rFonts w:ascii="Times New Roman" w:eastAsia="Times New Roman" w:hAnsi="Times New Roman"/>
          <w:i/>
          <w:color w:val="000000" w:themeColor="text1"/>
          <w:lang w:eastAsia="fr-FR"/>
        </w:rPr>
        <w:t>Anacardium</w:t>
      </w:r>
      <w:proofErr w:type="spellEnd"/>
      <w:r w:rsidRPr="00260790">
        <w:rPr>
          <w:rFonts w:ascii="Times New Roman" w:eastAsia="Times New Roman" w:hAnsi="Times New Roman"/>
          <w:i/>
          <w:color w:val="000000" w:themeColor="text1"/>
          <w:lang w:eastAsia="fr-FR"/>
        </w:rPr>
        <w:t xml:space="preserve"> occidentale</w:t>
      </w:r>
      <w:r w:rsidRPr="00260790">
        <w:rPr>
          <w:rFonts w:ascii="Times New Roman" w:eastAsia="Times New Roman" w:hAnsi="Times New Roman"/>
          <w:color w:val="000000" w:themeColor="text1"/>
          <w:lang w:eastAsia="fr-FR"/>
        </w:rPr>
        <w:t xml:space="preserve"> ; </w:t>
      </w:r>
      <w:r w:rsidRPr="00260790">
        <w:rPr>
          <w:rFonts w:ascii="Times New Roman" w:eastAsia="Times New Roman" w:hAnsi="Times New Roman"/>
          <w:i/>
          <w:color w:val="000000" w:themeColor="text1"/>
          <w:lang w:eastAsia="fr-FR"/>
        </w:rPr>
        <w:t xml:space="preserve">Eucalyptus </w:t>
      </w:r>
      <w:proofErr w:type="spellStart"/>
      <w:r w:rsidRPr="00260790">
        <w:rPr>
          <w:rFonts w:ascii="Times New Roman" w:eastAsia="Times New Roman" w:hAnsi="Times New Roman"/>
          <w:i/>
          <w:color w:val="000000" w:themeColor="text1"/>
          <w:lang w:eastAsia="fr-FR"/>
        </w:rPr>
        <w:t>camaldulensis</w:t>
      </w:r>
      <w:proofErr w:type="spellEnd"/>
      <w:r w:rsidRPr="00260790">
        <w:rPr>
          <w:rFonts w:ascii="Times New Roman" w:eastAsia="Times New Roman" w:hAnsi="Times New Roman"/>
          <w:color w:val="000000" w:themeColor="text1"/>
          <w:lang w:eastAsia="fr-FR"/>
        </w:rPr>
        <w:t xml:space="preserve"> et </w:t>
      </w:r>
      <w:r w:rsidRPr="00260790">
        <w:rPr>
          <w:rFonts w:ascii="Times New Roman" w:eastAsia="Times New Roman" w:hAnsi="Times New Roman"/>
          <w:i/>
          <w:color w:val="000000" w:themeColor="text1"/>
          <w:lang w:eastAsia="fr-FR"/>
        </w:rPr>
        <w:t xml:space="preserve">casuarina </w:t>
      </w:r>
      <w:proofErr w:type="spellStart"/>
      <w:r w:rsidRPr="00260790">
        <w:rPr>
          <w:rFonts w:ascii="Times New Roman" w:eastAsia="Times New Roman" w:hAnsi="Times New Roman"/>
          <w:i/>
          <w:color w:val="000000" w:themeColor="text1"/>
          <w:lang w:eastAsia="fr-FR"/>
        </w:rPr>
        <w:t>equisetifolia</w:t>
      </w:r>
      <w:proofErr w:type="spellEnd"/>
      <w:r w:rsidRPr="00260790">
        <w:rPr>
          <w:rFonts w:ascii="Times New Roman" w:eastAsia="Times New Roman" w:hAnsi="Times New Roman"/>
          <w:color w:val="000000" w:themeColor="text1"/>
          <w:lang w:eastAsia="fr-FR"/>
        </w:rPr>
        <w:t xml:space="preserve"> (Souleymane ; 2017). </w:t>
      </w:r>
      <w:r w:rsidRPr="00260790">
        <w:rPr>
          <w:rFonts w:ascii="Times New Roman" w:eastAsia="Times New Roman" w:hAnsi="Times New Roman"/>
          <w:color w:val="000000" w:themeColor="text1"/>
          <w:spacing w:val="5"/>
          <w:lang w:eastAsia="fr-FR"/>
        </w:rPr>
        <w:t>La forêt dispose de ressources en eau relativement importantes parmi lesquelles le marigot de Mbao. Elle abrite également des mares et des zones dépressionnaires inondables. Il y a également un réseau de puits hérité du système de captage des eaux de pluie</w:t>
      </w:r>
      <w:r w:rsidR="006F7A0B" w:rsidRPr="00260790">
        <w:rPr>
          <w:rFonts w:ascii="Times New Roman" w:eastAsia="Times New Roman" w:hAnsi="Times New Roman"/>
          <w:color w:val="000000" w:themeColor="text1"/>
          <w:spacing w:val="5"/>
          <w:lang w:eastAsia="fr-FR"/>
        </w:rPr>
        <w:t>,</w:t>
      </w:r>
      <w:r w:rsidRPr="00260790">
        <w:rPr>
          <w:rFonts w:ascii="Times New Roman" w:eastAsia="Times New Roman" w:hAnsi="Times New Roman"/>
          <w:color w:val="000000" w:themeColor="text1"/>
          <w:spacing w:val="5"/>
          <w:lang w:eastAsia="fr-FR"/>
        </w:rPr>
        <w:t xml:space="preserve"> dont celui de Kamb.</w:t>
      </w:r>
    </w:p>
    <w:p w14:paraId="63AEC276" w14:textId="77777777" w:rsidR="002B26A5" w:rsidRPr="00260790" w:rsidRDefault="002B26A5" w:rsidP="001748C6">
      <w:pPr>
        <w:numPr>
          <w:ilvl w:val="0"/>
          <w:numId w:val="349"/>
        </w:numPr>
        <w:spacing w:line="240" w:lineRule="auto"/>
        <w:ind w:left="1276"/>
        <w:contextualSpacing/>
        <w:jc w:val="both"/>
        <w:rPr>
          <w:rFonts w:ascii="Times New Roman" w:hAnsi="Times New Roman"/>
          <w:b/>
          <w:color w:val="000000" w:themeColor="text1"/>
        </w:rPr>
      </w:pPr>
      <w:r w:rsidRPr="00260790">
        <w:rPr>
          <w:rFonts w:ascii="Times New Roman" w:hAnsi="Times New Roman"/>
          <w:b/>
          <w:color w:val="000000" w:themeColor="text1"/>
        </w:rPr>
        <w:t>Services écosystémiques</w:t>
      </w:r>
    </w:p>
    <w:p w14:paraId="426719C9" w14:textId="7777777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w:t>
      </w:r>
      <w:r w:rsidRPr="00260790">
        <w:rPr>
          <w:rFonts w:ascii="Times New Roman" w:eastAsia="Times New Roman" w:hAnsi="Times New Roman"/>
          <w:b/>
          <w:color w:val="000000" w:themeColor="text1"/>
          <w:lang w:eastAsia="fr-FR"/>
        </w:rPr>
        <w:t xml:space="preserve"> </w:t>
      </w:r>
      <w:r w:rsidRPr="00260790">
        <w:rPr>
          <w:rFonts w:ascii="Times New Roman" w:eastAsia="Times New Roman" w:hAnsi="Times New Roman"/>
          <w:b/>
          <w:bCs/>
          <w:color w:val="000000" w:themeColor="text1"/>
          <w:lang w:eastAsia="fr-FR"/>
        </w:rPr>
        <w:t xml:space="preserve">services écosystémiques </w:t>
      </w:r>
      <w:r w:rsidRPr="00260790">
        <w:rPr>
          <w:rFonts w:ascii="Times New Roman" w:eastAsia="Times New Roman" w:hAnsi="Times New Roman"/>
          <w:color w:val="000000" w:themeColor="text1"/>
          <w:lang w:eastAsia="fr-FR"/>
        </w:rPr>
        <w:t xml:space="preserve">sont les avantages que les gens tirent directement ou indirectement des écosystèmes pour assurer leur bien-être. Ils sont de quatre types : les services d'approvisionnement, les services de régulation, les services de soutien et les services culturels. </w:t>
      </w:r>
    </w:p>
    <w:p w14:paraId="4077B450" w14:textId="793E4E76" w:rsidR="002B26A5" w:rsidRPr="00260790" w:rsidRDefault="002B26A5" w:rsidP="0097258B">
      <w:pPr>
        <w:spacing w:line="240" w:lineRule="auto"/>
        <w:ind w:right="282"/>
        <w:jc w:val="both"/>
        <w:rPr>
          <w:rFonts w:ascii="Times New Roman" w:hAnsi="Times New Roman"/>
          <w:color w:val="000000" w:themeColor="text1"/>
        </w:rPr>
      </w:pPr>
      <w:r w:rsidRPr="00260790">
        <w:rPr>
          <w:rFonts w:ascii="Times New Roman" w:eastAsia="Times New Roman" w:hAnsi="Times New Roman"/>
          <w:color w:val="000000" w:themeColor="text1"/>
          <w:lang w:eastAsia="fr-FR"/>
        </w:rPr>
        <w:t>Les</w:t>
      </w:r>
      <w:r w:rsidRPr="00260790">
        <w:rPr>
          <w:rFonts w:ascii="Times New Roman" w:eastAsia="Times New Roman" w:hAnsi="Times New Roman"/>
          <w:b/>
          <w:color w:val="000000" w:themeColor="text1"/>
          <w:lang w:eastAsia="fr-FR"/>
        </w:rPr>
        <w:t xml:space="preserve"> </w:t>
      </w:r>
      <w:r w:rsidRPr="00260790">
        <w:rPr>
          <w:rFonts w:ascii="Times New Roman" w:eastAsia="Times New Roman" w:hAnsi="Times New Roman"/>
          <w:b/>
          <w:i/>
          <w:color w:val="000000" w:themeColor="text1"/>
          <w:lang w:eastAsia="fr-FR"/>
        </w:rPr>
        <w:t>Services d’approvisionnement</w:t>
      </w:r>
      <w:r w:rsidRPr="00260790">
        <w:rPr>
          <w:rFonts w:ascii="Times New Roman" w:eastAsia="Times New Roman" w:hAnsi="Times New Roman"/>
          <w:i/>
          <w:color w:val="000000" w:themeColor="text1"/>
          <w:lang w:eastAsia="fr-FR"/>
        </w:rPr>
        <w:t xml:space="preserve"> </w:t>
      </w:r>
      <w:r w:rsidRPr="00260790">
        <w:rPr>
          <w:rFonts w:ascii="Times New Roman" w:eastAsia="Times New Roman" w:hAnsi="Times New Roman"/>
          <w:color w:val="000000" w:themeColor="text1"/>
          <w:lang w:eastAsia="fr-FR"/>
        </w:rPr>
        <w:t>sont les produits procurés aux personnes par les écosystèmes. Ces services se résument à </w:t>
      </w:r>
      <w:r w:rsidRPr="00260790">
        <w:rPr>
          <w:rFonts w:ascii="Times New Roman" w:hAnsi="Times New Roman"/>
          <w:color w:val="000000" w:themeColor="text1"/>
        </w:rPr>
        <w:t>l’exploitation forestière avec le ramassage du bois mort, la cueillette de PFNL</w:t>
      </w:r>
      <w:r w:rsidRPr="00260790">
        <w:rPr>
          <w:rFonts w:ascii="Times New Roman" w:hAnsi="Times New Roman"/>
          <w:color w:val="000000" w:themeColor="text1"/>
          <w:vertAlign w:val="superscript"/>
        </w:rPr>
        <w:footnoteReference w:id="3"/>
      </w:r>
      <w:r w:rsidRPr="00260790">
        <w:rPr>
          <w:rFonts w:ascii="Times New Roman" w:hAnsi="Times New Roman"/>
          <w:color w:val="000000" w:themeColor="text1"/>
        </w:rPr>
        <w:t xml:space="preserve"> notamment les noix et les pommes d’anacardes, la récolte de plantes médicinales à des fins thérapeutiques ;</w:t>
      </w:r>
    </w:p>
    <w:p w14:paraId="4B4D2F96" w14:textId="7777777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Ces produits</w:t>
      </w:r>
      <w:r w:rsidRPr="00260790">
        <w:rPr>
          <w:rFonts w:ascii="Times New Roman" w:eastAsia="Times New Roman" w:hAnsi="Times New Roman"/>
          <w:b/>
          <w:color w:val="000000" w:themeColor="text1"/>
          <w:lang w:eastAsia="fr-FR"/>
        </w:rPr>
        <w:t xml:space="preserve"> </w:t>
      </w:r>
      <w:r w:rsidRPr="00260790">
        <w:rPr>
          <w:rFonts w:ascii="Times New Roman" w:eastAsia="Times New Roman" w:hAnsi="Times New Roman"/>
          <w:color w:val="000000" w:themeColor="text1"/>
          <w:lang w:eastAsia="fr-FR"/>
        </w:rPr>
        <w:t xml:space="preserve">constituent pour les populations riveraines une importante source de revenus à travers la création d’activités génératrices de revenus ; contribuant ainsi à l’amélioration de leurs conditions de vie. </w:t>
      </w:r>
    </w:p>
    <w:p w14:paraId="6B27751E" w14:textId="7777777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lastRenderedPageBreak/>
        <w:t xml:space="preserve">Les </w:t>
      </w:r>
      <w:r w:rsidRPr="00260790">
        <w:rPr>
          <w:rFonts w:ascii="Times New Roman" w:eastAsia="Times New Roman" w:hAnsi="Times New Roman"/>
          <w:b/>
          <w:i/>
          <w:color w:val="000000" w:themeColor="text1"/>
          <w:lang w:eastAsia="fr-FR"/>
        </w:rPr>
        <w:t xml:space="preserve">services de soutien </w:t>
      </w:r>
      <w:r w:rsidRPr="00260790">
        <w:rPr>
          <w:rFonts w:ascii="Times New Roman" w:eastAsia="Times New Roman" w:hAnsi="Times New Roman"/>
          <w:color w:val="000000" w:themeColor="text1"/>
          <w:lang w:eastAsia="fr-FR"/>
        </w:rPr>
        <w:t>sont les processus naturels qui maintiennent les autres services. Ces types de services offerts par les écosystèmes de la zone d’étude s’identifient à des fonctions d’habitats pour faune, de protection et de lutte contre l’érosion des sols et à la lutte contre les inondations.</w:t>
      </w:r>
    </w:p>
    <w:p w14:paraId="63C4E1C1" w14:textId="4E383C51"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forêts, les arbres</w:t>
      </w:r>
      <w:r w:rsidRPr="00260790">
        <w:rPr>
          <w:rFonts w:ascii="Times New Roman" w:eastAsia="Times New Roman" w:hAnsi="Times New Roman"/>
          <w:color w:val="000000" w:themeColor="text1"/>
          <w:shd w:val="clear" w:color="auto" w:fill="FFFFFF"/>
          <w:lang w:eastAsia="fr-FR"/>
        </w:rPr>
        <w:t xml:space="preserve"> et les plans d’eau constituent</w:t>
      </w:r>
      <w:r w:rsidRPr="00260790">
        <w:rPr>
          <w:rFonts w:ascii="Times New Roman" w:eastAsia="Times New Roman" w:hAnsi="Times New Roman"/>
          <w:color w:val="000000" w:themeColor="text1"/>
          <w:lang w:eastAsia="fr-FR"/>
        </w:rPr>
        <w:t xml:space="preserve"> des zones de refuge et d’habitats </w:t>
      </w:r>
      <w:r w:rsidRPr="00260790">
        <w:rPr>
          <w:rFonts w:ascii="Times New Roman" w:eastAsia="Times New Roman" w:hAnsi="Times New Roman"/>
          <w:color w:val="000000" w:themeColor="text1"/>
          <w:shd w:val="clear" w:color="auto" w:fill="FFFFFF"/>
          <w:lang w:eastAsia="fr-FR"/>
        </w:rPr>
        <w:t>pour de nombreuses espèces fauniques notamment les oiseaux, les mammifères, les insectes et les poissons. Le couvert végétal empêche l’érosion des sols et améliore leur fertilité grâce aux processus biologiques et naturels tels que la fixation de l’azote et la production de matières organiques.</w:t>
      </w:r>
      <w:r w:rsidRPr="00260790">
        <w:rPr>
          <w:rFonts w:ascii="Times New Roman" w:eastAsia="Times New Roman" w:hAnsi="Times New Roman"/>
          <w:color w:val="000000" w:themeColor="text1"/>
          <w:lang w:eastAsia="fr-FR"/>
        </w:rPr>
        <w:t xml:space="preserve"> La FCM constitue également le support d’importantes activités </w:t>
      </w:r>
      <w:proofErr w:type="spellStart"/>
      <w:r w:rsidRPr="00260790">
        <w:rPr>
          <w:rFonts w:ascii="Times New Roman" w:eastAsia="Times New Roman" w:hAnsi="Times New Roman"/>
          <w:color w:val="000000" w:themeColor="text1"/>
          <w:lang w:eastAsia="fr-FR"/>
        </w:rPr>
        <w:t>agrosylvo-pastorales</w:t>
      </w:r>
      <w:proofErr w:type="spellEnd"/>
      <w:r w:rsidRPr="00260790">
        <w:rPr>
          <w:rFonts w:ascii="Times New Roman" w:eastAsia="Times New Roman" w:hAnsi="Times New Roman"/>
          <w:color w:val="000000" w:themeColor="text1"/>
          <w:lang w:eastAsia="fr-FR"/>
        </w:rPr>
        <w:t xml:space="preserve"> comme l’agriculture, le maraichage, l’élevage et l’apiculture. Cette exploitation constitue une source d’importants revenus financiers de la population riveraine. Elle joue un rôle déterminant dans l’alimentation et l’amélioration de leurs conditions de vie.</w:t>
      </w:r>
    </w:p>
    <w:p w14:paraId="13158BA6" w14:textId="4A88E092"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Les </w:t>
      </w:r>
      <w:r w:rsidRPr="00260790">
        <w:rPr>
          <w:rFonts w:ascii="Times New Roman" w:eastAsia="Times New Roman" w:hAnsi="Times New Roman"/>
          <w:b/>
          <w:i/>
          <w:color w:val="000000" w:themeColor="text1"/>
          <w:lang w:eastAsia="fr-FR"/>
        </w:rPr>
        <w:t>services de régulation</w:t>
      </w:r>
      <w:r w:rsidRPr="00260790">
        <w:rPr>
          <w:rFonts w:ascii="Times New Roman" w:eastAsia="Times New Roman" w:hAnsi="Times New Roman"/>
          <w:color w:val="000000" w:themeColor="text1"/>
          <w:lang w:eastAsia="fr-FR"/>
        </w:rPr>
        <w:t xml:space="preserve"> sont les avantages dont bénéficient les personnes grâce à la régulation attribuable aux processus </w:t>
      </w:r>
      <w:r w:rsidR="00622450" w:rsidRPr="00260790">
        <w:rPr>
          <w:rFonts w:ascii="Times New Roman" w:eastAsia="Times New Roman" w:hAnsi="Times New Roman"/>
          <w:color w:val="000000" w:themeColor="text1"/>
          <w:lang w:eastAsia="fr-FR"/>
        </w:rPr>
        <w:t>écosystémiques</w:t>
      </w:r>
      <w:r w:rsidRPr="00260790">
        <w:rPr>
          <w:rFonts w:ascii="Times New Roman" w:eastAsia="Times New Roman" w:hAnsi="Times New Roman"/>
          <w:color w:val="000000" w:themeColor="text1"/>
          <w:lang w:eastAsia="fr-FR"/>
        </w:rPr>
        <w:t xml:space="preserve">. </w:t>
      </w:r>
      <w:r w:rsidRPr="00260790">
        <w:rPr>
          <w:rFonts w:ascii="Times New Roman" w:eastAsia="Times New Roman" w:hAnsi="Times New Roman"/>
          <w:color w:val="000000" w:themeColor="text1"/>
          <w:shd w:val="clear" w:color="auto" w:fill="FFFFFF"/>
          <w:lang w:eastAsia="fr-FR"/>
        </w:rPr>
        <w:t>Ils participent à la régulation des conditions environnementales comme le climat (stockage de carbone, effet de la végétation sur les précipitations, etc.), les inondations ou encore la détoxification.</w:t>
      </w:r>
    </w:p>
    <w:p w14:paraId="3C9B0D50" w14:textId="7777777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Les écosystèmes contribuent à la régulation de la qualité de l’air en éliminant les polluants de l’atmosphère. Ils influent sur le climat au niveau local et régional en participant à la régulation des flux d'eau grâce aux processus d’évapotranspiration et d’infiltration. Grâce au processus de séquestration du carbone dans leur biomasse aérienne et racinaire, les écosystèmes ont un effet régulateur sur le climat par le stockage des gaz à effet de serre. Ils contribuent de ce fait à l’atténuation des changements climatiques. </w:t>
      </w:r>
    </w:p>
    <w:p w14:paraId="235A7DC5" w14:textId="7777777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Les </w:t>
      </w:r>
      <w:r w:rsidRPr="00260790">
        <w:rPr>
          <w:rFonts w:ascii="Times New Roman" w:eastAsia="Times New Roman" w:hAnsi="Times New Roman"/>
          <w:b/>
          <w:i/>
          <w:color w:val="000000" w:themeColor="text1"/>
          <w:lang w:eastAsia="fr-FR"/>
        </w:rPr>
        <w:t xml:space="preserve">services culturels </w:t>
      </w:r>
      <w:r w:rsidRPr="00260790">
        <w:rPr>
          <w:rFonts w:ascii="Times New Roman" w:eastAsia="Times New Roman" w:hAnsi="Times New Roman"/>
          <w:color w:val="000000" w:themeColor="text1"/>
          <w:lang w:eastAsia="fr-FR"/>
        </w:rPr>
        <w:t xml:space="preserve">sont les bienfaits non matériels (spirituels, récréatifs et culturels) que tirent les personnes des écosystèmes. </w:t>
      </w:r>
    </w:p>
    <w:p w14:paraId="6197C1E3" w14:textId="001C2D8A"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La FCM est particulièrement fréquentée par les sportifs professionnels et les riverains </w:t>
      </w:r>
      <w:r w:rsidRPr="00260790">
        <w:rPr>
          <w:rFonts w:ascii="Times New Roman" w:eastAsia="Times New Roman" w:hAnsi="Times New Roman"/>
          <w:color w:val="000000" w:themeColor="text1"/>
          <w:spacing w:val="5"/>
          <w:lang w:eastAsia="fr-FR"/>
        </w:rPr>
        <w:t>pour les activités sportives en pleine nature. Elle reçoit également des visites d’ordres pédagogiques notamment les sorties écologiques des élèves du département de Pikine et des étudiants des écoles supérieures (Ba</w:t>
      </w:r>
      <w:r w:rsidR="00B63178" w:rsidRPr="00260790">
        <w:rPr>
          <w:rFonts w:ascii="Times New Roman" w:eastAsia="Times New Roman" w:hAnsi="Times New Roman"/>
          <w:color w:val="000000" w:themeColor="text1"/>
          <w:spacing w:val="5"/>
          <w:lang w:eastAsia="fr-FR"/>
        </w:rPr>
        <w:t>,</w:t>
      </w:r>
      <w:r w:rsidRPr="00260790">
        <w:rPr>
          <w:rFonts w:ascii="Times New Roman" w:eastAsia="Times New Roman" w:hAnsi="Times New Roman"/>
          <w:color w:val="000000" w:themeColor="text1"/>
          <w:spacing w:val="5"/>
          <w:lang w:eastAsia="fr-FR"/>
        </w:rPr>
        <w:t xml:space="preserve"> 2019).</w:t>
      </w:r>
    </w:p>
    <w:p w14:paraId="15F5FAB5" w14:textId="530E50DC" w:rsidR="002B26A5" w:rsidRPr="00260790" w:rsidRDefault="002B26A5" w:rsidP="003B6588">
      <w:pPr>
        <w:pStyle w:val="CHAPITRE1"/>
        <w:rPr>
          <w:rFonts w:cs="Times New Roman"/>
        </w:rPr>
      </w:pPr>
      <w:bookmarkStart w:id="452" w:name="_Toc212725110"/>
      <w:r w:rsidRPr="00260790">
        <w:rPr>
          <w:rFonts w:cs="Times New Roman"/>
        </w:rPr>
        <w:t xml:space="preserve">Environnement humain de </w:t>
      </w:r>
      <w:bookmarkEnd w:id="419"/>
      <w:bookmarkEnd w:id="420"/>
      <w:bookmarkEnd w:id="421"/>
      <w:r w:rsidR="00E54AE4" w:rsidRPr="00260790">
        <w:rPr>
          <w:rFonts w:cs="Times New Roman"/>
        </w:rPr>
        <w:t>la zone d’influence indirecte</w:t>
      </w:r>
      <w:bookmarkEnd w:id="452"/>
    </w:p>
    <w:p w14:paraId="189FB20C" w14:textId="77777777" w:rsidR="002B26A5" w:rsidRPr="00260790" w:rsidRDefault="002B26A5" w:rsidP="001748C6">
      <w:pPr>
        <w:numPr>
          <w:ilvl w:val="0"/>
          <w:numId w:val="350"/>
        </w:numPr>
        <w:spacing w:line="240" w:lineRule="auto"/>
        <w:ind w:left="1843"/>
        <w:contextualSpacing/>
        <w:jc w:val="both"/>
        <w:rPr>
          <w:rFonts w:ascii="Times New Roman" w:hAnsi="Times New Roman"/>
          <w:b/>
          <w:color w:val="000000" w:themeColor="text1"/>
        </w:rPr>
      </w:pPr>
      <w:r w:rsidRPr="00260790">
        <w:rPr>
          <w:rFonts w:ascii="Times New Roman" w:hAnsi="Times New Roman"/>
          <w:b/>
          <w:color w:val="000000" w:themeColor="text1"/>
        </w:rPr>
        <w:t>Présentation administrative et évolution de la population</w:t>
      </w:r>
    </w:p>
    <w:p w14:paraId="3C5E9FB6" w14:textId="77777777" w:rsidR="008F3CDA"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région compte 05 départements (Dakar, Guédiawaye, Keur Massar, Pikine et Rufisque), 14 Arrondissements et 50 Communes.  Le poids démographique de la région de Dakar ne cesse d’augmenter d’année en année. Selon le dernier recensement de l’ANSD de 2024, Dakar demeure la région la plus peuplée du Sénégal. Elle abrite en moyenne 23% de la population sénégalaise en 2024 soit 4 251 430 habitants. Ce recensement a permis d’estimer le nombre d’habitants dans les départements concernés par le projet. Le département de Rufisque compte 818 337 habitants soit 20,4% de la population régionale pour une densité de 2292 hbts/km².</w:t>
      </w:r>
    </w:p>
    <w:p w14:paraId="19927A02" w14:textId="60E11C11" w:rsidR="00A91A2C"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La population du département de Keur Massar s’élève à 770 314 habitants (soit 19,2% de la population régionale) pour une densité de 16 746 hbts/km². </w:t>
      </w:r>
    </w:p>
    <w:p w14:paraId="417E23FE" w14:textId="677F4BF9"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Concernant le département de Pikine, la population s’élève à 764 597 habitants soit 19,1% de la population régionale, pour une densité de 16 622 hbts/km².</w:t>
      </w:r>
    </w:p>
    <w:p w14:paraId="1F379281" w14:textId="77777777" w:rsidR="002B26A5" w:rsidRPr="00260790" w:rsidRDefault="002B26A5" w:rsidP="001748C6">
      <w:pPr>
        <w:numPr>
          <w:ilvl w:val="0"/>
          <w:numId w:val="350"/>
        </w:numPr>
        <w:spacing w:line="240" w:lineRule="auto"/>
        <w:ind w:left="1843"/>
        <w:contextualSpacing/>
        <w:jc w:val="both"/>
        <w:rPr>
          <w:rFonts w:ascii="Times New Roman" w:hAnsi="Times New Roman"/>
          <w:b/>
          <w:color w:val="000000" w:themeColor="text1"/>
        </w:rPr>
      </w:pPr>
      <w:r w:rsidRPr="00260790">
        <w:rPr>
          <w:rFonts w:ascii="Times New Roman" w:hAnsi="Times New Roman"/>
          <w:b/>
          <w:color w:val="000000" w:themeColor="text1"/>
        </w:rPr>
        <w:t xml:space="preserve">Habitats, Cadre de vie et santé humaine </w:t>
      </w:r>
    </w:p>
    <w:p w14:paraId="31FC206D" w14:textId="540BBB35"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L’urbanisation est un phénomène démographique qui se traduit par une tendance à la concentration de la population dans les zones urbaines. La région de Dakar se caractérise par une urbanisation marquée par une croissance démographique élevée d</w:t>
      </w:r>
      <w:r w:rsidR="006F7A0B" w:rsidRPr="00260790">
        <w:rPr>
          <w:rFonts w:ascii="Times New Roman" w:eastAsia="Times New Roman" w:hAnsi="Times New Roman"/>
          <w:color w:val="000000" w:themeColor="text1"/>
          <w:lang w:eastAsia="fr-FR"/>
        </w:rPr>
        <w:t>ue</w:t>
      </w:r>
      <w:r w:rsidRPr="00260790">
        <w:rPr>
          <w:rFonts w:ascii="Times New Roman" w:eastAsia="Times New Roman" w:hAnsi="Times New Roman"/>
          <w:color w:val="000000" w:themeColor="text1"/>
          <w:lang w:eastAsia="fr-FR"/>
        </w:rPr>
        <w:t xml:space="preserve"> à l’attirance économique et la position géographique de la région. Le taux d’urbanisation de la région de Dakar est passé de 96,3 % en 1976 à 96,47 % en 2016, soit une hausse de 0,17 %. Il est de 100% dans le département Dakar depuis 1976 (ANSD 2019). De 2018 à 2019, le nombre de parcelles loties est passé de 6 577 à 6 849, soit une variation de 4 %.</w:t>
      </w:r>
    </w:p>
    <w:p w14:paraId="3074CCF7" w14:textId="46C7B023" w:rsidR="002B26A5" w:rsidRPr="00260790" w:rsidRDefault="002B26A5" w:rsidP="001748C6">
      <w:pPr>
        <w:numPr>
          <w:ilvl w:val="0"/>
          <w:numId w:val="350"/>
        </w:numPr>
        <w:spacing w:line="240" w:lineRule="auto"/>
        <w:ind w:left="1843"/>
        <w:contextualSpacing/>
        <w:jc w:val="both"/>
        <w:rPr>
          <w:rFonts w:ascii="Times New Roman" w:hAnsi="Times New Roman"/>
          <w:b/>
          <w:color w:val="000000" w:themeColor="text1"/>
        </w:rPr>
      </w:pPr>
      <w:r w:rsidRPr="00260790">
        <w:rPr>
          <w:rFonts w:ascii="Times New Roman" w:hAnsi="Times New Roman"/>
          <w:b/>
          <w:color w:val="000000" w:themeColor="text1"/>
        </w:rPr>
        <w:lastRenderedPageBreak/>
        <w:t>Accès à l’eau et qualité des forages</w:t>
      </w:r>
    </w:p>
    <w:p w14:paraId="0BE7F1A1" w14:textId="6119C34F"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L’approvisionnement des populations en eau est une réelle préoccupation pour les autorités. Face à la demande croissante, l’</w:t>
      </w:r>
      <w:r w:rsidR="005865F2" w:rsidRPr="00260790">
        <w:rPr>
          <w:rFonts w:ascii="Times New Roman" w:eastAsia="Times New Roman" w:hAnsi="Times New Roman"/>
          <w:color w:val="000000" w:themeColor="text1"/>
          <w:lang w:eastAsia="fr-FR"/>
        </w:rPr>
        <w:t>É</w:t>
      </w:r>
      <w:r w:rsidRPr="00260790">
        <w:rPr>
          <w:rFonts w:ascii="Times New Roman" w:eastAsia="Times New Roman" w:hAnsi="Times New Roman"/>
          <w:color w:val="000000" w:themeColor="text1"/>
          <w:lang w:eastAsia="fr-FR"/>
        </w:rPr>
        <w:t>tat a mis en place des politiques dans le secteur de l’eau permettant de venir à bout du déficit. Ainsi, la gestion courante du secteur est assurée par les deux entités que sont la SONES et la SEN’EAU. La région de Dakar dispose globalement des ressources en eau relativement suffisantes pour l’alimentation de la population. A ce titre, la production en eau s’élève à 127 185 709 m</w:t>
      </w:r>
      <w:r w:rsidRPr="00260790">
        <w:rPr>
          <w:rFonts w:ascii="Times New Roman" w:eastAsia="Times New Roman" w:hAnsi="Times New Roman"/>
          <w:color w:val="000000" w:themeColor="text1"/>
          <w:vertAlign w:val="superscript"/>
          <w:lang w:eastAsia="fr-FR"/>
        </w:rPr>
        <w:t>3</w:t>
      </w:r>
      <w:r w:rsidRPr="00260790">
        <w:rPr>
          <w:rFonts w:ascii="Times New Roman" w:eastAsia="Times New Roman" w:hAnsi="Times New Roman"/>
          <w:color w:val="000000" w:themeColor="text1"/>
          <w:lang w:eastAsia="fr-FR"/>
        </w:rPr>
        <w:t xml:space="preserve"> en 2020 dans la région et 62 453 758 m</w:t>
      </w:r>
      <w:r w:rsidRPr="00260790">
        <w:rPr>
          <w:rFonts w:ascii="Times New Roman" w:eastAsia="Times New Roman" w:hAnsi="Times New Roman"/>
          <w:color w:val="000000" w:themeColor="text1"/>
          <w:vertAlign w:val="superscript"/>
          <w:lang w:eastAsia="fr-FR"/>
        </w:rPr>
        <w:t>3</w:t>
      </w:r>
      <w:r w:rsidRPr="00260790">
        <w:rPr>
          <w:rFonts w:ascii="Times New Roman" w:eastAsia="Times New Roman" w:hAnsi="Times New Roman"/>
          <w:color w:val="000000" w:themeColor="text1"/>
          <w:lang w:eastAsia="fr-FR"/>
        </w:rPr>
        <w:t xml:space="preserve"> dans les départements de Pikine, de Keur Massar et de Rufisque. Outre la production, la consommation régionale en eau passe de 100 056 244 m</w:t>
      </w:r>
      <w:r w:rsidRPr="00260790">
        <w:rPr>
          <w:rFonts w:ascii="Times New Roman" w:eastAsia="Times New Roman" w:hAnsi="Times New Roman"/>
          <w:color w:val="000000" w:themeColor="text1"/>
          <w:vertAlign w:val="superscript"/>
          <w:lang w:eastAsia="fr-FR"/>
        </w:rPr>
        <w:t>3</w:t>
      </w:r>
      <w:r w:rsidRPr="00260790">
        <w:rPr>
          <w:rFonts w:ascii="Times New Roman" w:eastAsia="Times New Roman" w:hAnsi="Times New Roman"/>
          <w:color w:val="000000" w:themeColor="text1"/>
          <w:lang w:eastAsia="fr-FR"/>
        </w:rPr>
        <w:t xml:space="preserve"> en 2019 à 104 340 474 m</w:t>
      </w:r>
      <w:r w:rsidRPr="00260790">
        <w:rPr>
          <w:rFonts w:ascii="Times New Roman" w:eastAsia="Times New Roman" w:hAnsi="Times New Roman"/>
          <w:color w:val="000000" w:themeColor="text1"/>
          <w:vertAlign w:val="superscript"/>
          <w:lang w:eastAsia="fr-FR"/>
        </w:rPr>
        <w:t>3</w:t>
      </w:r>
      <w:r w:rsidRPr="00260790">
        <w:rPr>
          <w:rFonts w:ascii="Times New Roman" w:eastAsia="Times New Roman" w:hAnsi="Times New Roman"/>
          <w:color w:val="000000" w:themeColor="text1"/>
          <w:lang w:eastAsia="fr-FR"/>
        </w:rPr>
        <w:t xml:space="preserve"> en 2020. Elle est de 56 242 204 m</w:t>
      </w:r>
      <w:r w:rsidRPr="00260790">
        <w:rPr>
          <w:rFonts w:ascii="Times New Roman" w:eastAsia="Times New Roman" w:hAnsi="Times New Roman"/>
          <w:color w:val="000000" w:themeColor="text1"/>
          <w:vertAlign w:val="superscript"/>
          <w:lang w:eastAsia="fr-FR"/>
        </w:rPr>
        <w:t>3</w:t>
      </w:r>
      <w:r w:rsidRPr="00260790">
        <w:rPr>
          <w:rFonts w:ascii="Times New Roman" w:eastAsia="Times New Roman" w:hAnsi="Times New Roman"/>
          <w:color w:val="000000" w:themeColor="text1"/>
          <w:lang w:eastAsia="fr-FR"/>
        </w:rPr>
        <w:t xml:space="preserve"> dans les trois départements en 2020. L’augmentation du volume de consommation est étroitement liée à l’accroissement de la population</w:t>
      </w:r>
      <w:r w:rsidR="006F7A0B" w:rsidRPr="00260790">
        <w:rPr>
          <w:rFonts w:ascii="Times New Roman" w:eastAsia="Times New Roman" w:hAnsi="Times New Roman"/>
          <w:color w:val="000000" w:themeColor="text1"/>
          <w:lang w:eastAsia="fr-FR"/>
        </w:rPr>
        <w:t>,</w:t>
      </w:r>
      <w:r w:rsidRPr="00260790">
        <w:rPr>
          <w:rFonts w:ascii="Times New Roman" w:eastAsia="Times New Roman" w:hAnsi="Times New Roman"/>
          <w:color w:val="000000" w:themeColor="text1"/>
          <w:lang w:eastAsia="fr-FR"/>
        </w:rPr>
        <w:t xml:space="preserve"> car la région de Dakar est une zone de destination surtout pour l’immigration dans la sous-région et l’exode rural pour les localités voisines.</w:t>
      </w:r>
    </w:p>
    <w:p w14:paraId="5C2D756B" w14:textId="77777777" w:rsidR="002B26A5" w:rsidRPr="00260790" w:rsidRDefault="002B26A5" w:rsidP="001748C6">
      <w:pPr>
        <w:numPr>
          <w:ilvl w:val="0"/>
          <w:numId w:val="350"/>
        </w:numPr>
        <w:spacing w:line="240" w:lineRule="auto"/>
        <w:ind w:left="1843"/>
        <w:contextualSpacing/>
        <w:jc w:val="both"/>
        <w:rPr>
          <w:rFonts w:ascii="Times New Roman" w:hAnsi="Times New Roman"/>
          <w:b/>
          <w:color w:val="000000" w:themeColor="text1"/>
        </w:rPr>
      </w:pPr>
      <w:r w:rsidRPr="00260790">
        <w:rPr>
          <w:rFonts w:ascii="Times New Roman" w:hAnsi="Times New Roman"/>
          <w:b/>
          <w:color w:val="000000" w:themeColor="text1"/>
        </w:rPr>
        <w:t>Gestion des déchets et pollution</w:t>
      </w:r>
    </w:p>
    <w:p w14:paraId="56FE7218" w14:textId="36FE92C4"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La gestion des ordures est une chaîne dans la région. Elle passe par le ramassage, la collecte, le nettoiement, l’évacuation jusqu’à la décharge. Le système de collecte à Dakar est chargé par des camions et des charrettes. Ces ordures sont acheminées à la décharge de </w:t>
      </w:r>
      <w:proofErr w:type="spellStart"/>
      <w:r w:rsidRPr="00260790">
        <w:rPr>
          <w:rFonts w:ascii="Times New Roman" w:eastAsia="Times New Roman" w:hAnsi="Times New Roman"/>
          <w:color w:val="000000" w:themeColor="text1"/>
          <w:lang w:eastAsia="fr-FR"/>
        </w:rPr>
        <w:t>Mbeubeuss</w:t>
      </w:r>
      <w:proofErr w:type="spellEnd"/>
      <w:r w:rsidRPr="00260790">
        <w:rPr>
          <w:rFonts w:ascii="Times New Roman" w:eastAsia="Times New Roman" w:hAnsi="Times New Roman"/>
          <w:color w:val="000000" w:themeColor="text1"/>
          <w:lang w:eastAsia="fr-FR"/>
        </w:rPr>
        <w:t xml:space="preserve">, sauf les déchets dangereux qui sont stockés </w:t>
      </w:r>
      <w:r w:rsidR="008022B1">
        <w:rPr>
          <w:rFonts w:ascii="Times New Roman" w:eastAsia="Times New Roman" w:hAnsi="Times New Roman"/>
          <w:color w:val="000000" w:themeColor="text1"/>
          <w:lang w:eastAsia="fr-FR"/>
        </w:rPr>
        <w:t xml:space="preserve">sur </w:t>
      </w:r>
      <w:r w:rsidRPr="00260790">
        <w:rPr>
          <w:rFonts w:ascii="Times New Roman" w:eastAsia="Times New Roman" w:hAnsi="Times New Roman"/>
          <w:color w:val="000000" w:themeColor="text1"/>
          <w:lang w:eastAsia="fr-FR"/>
        </w:rPr>
        <w:t>place. Mbeubeuss accueille les déchets de la capitale et de sa région depuis 1968. Alors que 2 200 tonnes d’ordures y sont quotidiennement déversées, ce chiffre devrait tripler d’ici à 2050, selon la Banque mondiale. Depuis sa création, la superficie de la décharge a été multipliée par dix. Dorénavant circonscrits par l’habitat urbain, les déchets s’amoncellent jusqu’à 18 mètres de hauteur. Jusqu’à présent, ni la séparation à la source ni le traitement intermédiaire de déchets ne se fait à Dakar.</w:t>
      </w:r>
    </w:p>
    <w:p w14:paraId="7A6BF5F5" w14:textId="7777777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Pour le taux d’accès à l’assainissement, il est de 32% dans la région de Dakar. Cet indicateur affiche une baisse de 0,02% en comparaison à 2019 où il se situait à 33% dans la région. En plus, cet indicateur affiche des disparités énormes en fonction du département. Ainsi, le département affiche un taux d’accès de plus de 70% alors que dans les autres départements, cet indicateur n’atteint même pas les 20% (Guédiawaye 16%, Rufisque 14% et Pikine 5%).</w:t>
      </w:r>
    </w:p>
    <w:p w14:paraId="1AC79FC8" w14:textId="77777777" w:rsidR="002B26A5" w:rsidRPr="00260790" w:rsidRDefault="002B26A5" w:rsidP="001748C6">
      <w:pPr>
        <w:numPr>
          <w:ilvl w:val="0"/>
          <w:numId w:val="350"/>
        </w:numPr>
        <w:spacing w:line="240" w:lineRule="auto"/>
        <w:ind w:left="1843"/>
        <w:contextualSpacing/>
        <w:jc w:val="both"/>
        <w:rPr>
          <w:rFonts w:ascii="Times New Roman" w:hAnsi="Times New Roman"/>
          <w:b/>
          <w:color w:val="000000" w:themeColor="text1"/>
        </w:rPr>
      </w:pPr>
      <w:r w:rsidRPr="00260790">
        <w:rPr>
          <w:rFonts w:ascii="Times New Roman" w:hAnsi="Times New Roman"/>
          <w:b/>
          <w:color w:val="000000" w:themeColor="text1"/>
        </w:rPr>
        <w:t xml:space="preserve">Assainissement </w:t>
      </w:r>
    </w:p>
    <w:p w14:paraId="77498528" w14:textId="34669ADF"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réseau d’assainissement établi dans la région de Dakar par l’ONAS s’étend sur 1 358 476 mètres en 2020. Il s’est légèrement agrandi de 0 ,1% en 2020 par rapport 2019, où il couvrait 1 356 416 mètres. Cependant, ces infrastructures sont pour la plupart à ciel ouvert et en état de vétusté très avancé. En l’absence d’un système d’évacuation efficace, ces canaux reçoivent des eaux usées chargées de particules solides et même de déchets solides. D’où un écoulement très lent, voire une stagnation en saison sèche. La conséquence majeure liée à cette situation dans la région de Dakar demeure la récurrence des inondations, l’insalubrité</w:t>
      </w:r>
      <w:r w:rsidR="001A5354" w:rsidRPr="00260790">
        <w:rPr>
          <w:rFonts w:ascii="Times New Roman" w:eastAsia="Times New Roman" w:hAnsi="Times New Roman"/>
          <w:color w:val="000000" w:themeColor="text1"/>
          <w:lang w:eastAsia="fr-FR"/>
        </w:rPr>
        <w:t>,</w:t>
      </w:r>
      <w:r w:rsidRPr="00260790">
        <w:rPr>
          <w:rFonts w:ascii="Times New Roman" w:eastAsia="Times New Roman" w:hAnsi="Times New Roman"/>
          <w:color w:val="000000" w:themeColor="text1"/>
          <w:lang w:eastAsia="fr-FR"/>
        </w:rPr>
        <w:t xml:space="preserve"> etc.</w:t>
      </w:r>
    </w:p>
    <w:p w14:paraId="5A865700" w14:textId="1C90932B" w:rsidR="002B26A5" w:rsidRPr="00260790" w:rsidRDefault="002B26A5" w:rsidP="001748C6">
      <w:pPr>
        <w:numPr>
          <w:ilvl w:val="0"/>
          <w:numId w:val="350"/>
        </w:numPr>
        <w:spacing w:line="240" w:lineRule="auto"/>
        <w:ind w:left="1843"/>
        <w:contextualSpacing/>
        <w:jc w:val="both"/>
        <w:rPr>
          <w:rFonts w:ascii="Times New Roman" w:hAnsi="Times New Roman"/>
          <w:b/>
          <w:color w:val="000000" w:themeColor="text1"/>
        </w:rPr>
      </w:pPr>
      <w:r w:rsidRPr="00260790">
        <w:rPr>
          <w:rFonts w:ascii="Times New Roman" w:hAnsi="Times New Roman"/>
          <w:b/>
          <w:color w:val="000000" w:themeColor="text1"/>
        </w:rPr>
        <w:t>Problématiques des inondations dans la zone du projet</w:t>
      </w:r>
    </w:p>
    <w:p w14:paraId="6EC4846C" w14:textId="7777777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 bassin versant Nord du Marigot de Mbao, épicentre de la zone d’intervention du projet, est actuellement fortement urbanisé. Les localités situées sur ce bassin versant vivent chaque année de graves inondations dues au manque de système d’assainissement entrainant un défaut d’évacuation des eaux pluviales, en particulier les quartiers situés le long des axes d’écoulements naturels, vers où converge le ruissellement. Ces axes sont obstrués par la voirie, les lotissements, les remblais anarchiques ou par l’ensablement causé par les dépôts éoliens. </w:t>
      </w:r>
    </w:p>
    <w:p w14:paraId="041912E2" w14:textId="7777777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L’urbanisation a entrainé :</w:t>
      </w:r>
    </w:p>
    <w:p w14:paraId="50F60E17" w14:textId="7708CC3B" w:rsidR="002B26A5" w:rsidRPr="00260790" w:rsidRDefault="002B26A5" w:rsidP="001748C6">
      <w:pPr>
        <w:pStyle w:val="Paragraphedeliste"/>
        <w:numPr>
          <w:ilvl w:val="0"/>
          <w:numId w:val="373"/>
        </w:numPr>
        <w:spacing w:line="240" w:lineRule="auto"/>
        <w:ind w:left="1418" w:right="282" w:hanging="425"/>
        <w:jc w:val="both"/>
        <w:rPr>
          <w:rFonts w:ascii="Times New Roman" w:eastAsia="Times New Roman" w:hAnsi="Times New Roman"/>
          <w:color w:val="000000" w:themeColor="text1"/>
          <w:lang w:eastAsia="fr-FR"/>
        </w:rPr>
      </w:pPr>
      <w:proofErr w:type="gramStart"/>
      <w:r w:rsidRPr="00260790">
        <w:rPr>
          <w:rFonts w:ascii="Times New Roman" w:eastAsia="Times New Roman" w:hAnsi="Times New Roman"/>
          <w:color w:val="000000" w:themeColor="text1"/>
          <w:lang w:eastAsia="fr-FR"/>
        </w:rPr>
        <w:t>l’imperméabilité</w:t>
      </w:r>
      <w:proofErr w:type="gramEnd"/>
      <w:r w:rsidRPr="00260790">
        <w:rPr>
          <w:rFonts w:ascii="Times New Roman" w:eastAsia="Times New Roman" w:hAnsi="Times New Roman"/>
          <w:color w:val="000000" w:themeColor="text1"/>
          <w:lang w:eastAsia="fr-FR"/>
        </w:rPr>
        <w:t xml:space="preserve"> des sols par les différentes formes d’aménagement réalisé ;</w:t>
      </w:r>
    </w:p>
    <w:p w14:paraId="0A8765B8" w14:textId="33AF522C" w:rsidR="002B26A5" w:rsidRPr="00260790" w:rsidRDefault="002B26A5" w:rsidP="001748C6">
      <w:pPr>
        <w:pStyle w:val="Paragraphedeliste"/>
        <w:numPr>
          <w:ilvl w:val="0"/>
          <w:numId w:val="373"/>
        </w:numPr>
        <w:spacing w:line="240" w:lineRule="auto"/>
        <w:ind w:left="1418" w:right="282" w:hanging="425"/>
        <w:jc w:val="both"/>
        <w:rPr>
          <w:rFonts w:ascii="Times New Roman" w:eastAsia="Times New Roman" w:hAnsi="Times New Roman"/>
          <w:color w:val="000000" w:themeColor="text1"/>
          <w:lang w:eastAsia="fr-FR"/>
        </w:rPr>
      </w:pPr>
      <w:proofErr w:type="gramStart"/>
      <w:r w:rsidRPr="00260790">
        <w:rPr>
          <w:rFonts w:ascii="Times New Roman" w:eastAsia="Times New Roman" w:hAnsi="Times New Roman"/>
          <w:color w:val="000000" w:themeColor="text1"/>
          <w:lang w:eastAsia="fr-FR"/>
        </w:rPr>
        <w:t>l’augmentation</w:t>
      </w:r>
      <w:proofErr w:type="gramEnd"/>
      <w:r w:rsidRPr="00260790">
        <w:rPr>
          <w:rFonts w:ascii="Times New Roman" w:eastAsia="Times New Roman" w:hAnsi="Times New Roman"/>
          <w:color w:val="000000" w:themeColor="text1"/>
          <w:lang w:eastAsia="fr-FR"/>
        </w:rPr>
        <w:t xml:space="preserve"> du ruissellement ;</w:t>
      </w:r>
    </w:p>
    <w:p w14:paraId="075603C3" w14:textId="76DCDA0B" w:rsidR="002B26A5" w:rsidRPr="00260790" w:rsidRDefault="002B26A5" w:rsidP="001748C6">
      <w:pPr>
        <w:pStyle w:val="Paragraphedeliste"/>
        <w:numPr>
          <w:ilvl w:val="0"/>
          <w:numId w:val="373"/>
        </w:numPr>
        <w:spacing w:line="240" w:lineRule="auto"/>
        <w:ind w:left="1418" w:right="282" w:hanging="425"/>
        <w:jc w:val="both"/>
        <w:rPr>
          <w:rFonts w:ascii="Times New Roman" w:eastAsia="Times New Roman" w:hAnsi="Times New Roman"/>
          <w:color w:val="000000" w:themeColor="text1"/>
          <w:lang w:eastAsia="fr-FR"/>
        </w:rPr>
      </w:pPr>
      <w:proofErr w:type="gramStart"/>
      <w:r w:rsidRPr="00260790">
        <w:rPr>
          <w:rFonts w:ascii="Times New Roman" w:eastAsia="Times New Roman" w:hAnsi="Times New Roman"/>
          <w:color w:val="000000" w:themeColor="text1"/>
          <w:lang w:eastAsia="fr-FR"/>
        </w:rPr>
        <w:t>l’obstruction</w:t>
      </w:r>
      <w:proofErr w:type="gramEnd"/>
      <w:r w:rsidRPr="00260790">
        <w:rPr>
          <w:rFonts w:ascii="Times New Roman" w:eastAsia="Times New Roman" w:hAnsi="Times New Roman"/>
          <w:color w:val="000000" w:themeColor="text1"/>
          <w:lang w:eastAsia="fr-FR"/>
        </w:rPr>
        <w:t xml:space="preserve"> des axes d’écoulement des eaux pluviales due à l’absence d’une bonne planification de l’occupation du sol et au défaut de coordination correcte entre les différents projets, et aux insuffisances dans les études d’impacts des projets (lotissement, grands projets d’infrastructures, etc.). </w:t>
      </w:r>
    </w:p>
    <w:p w14:paraId="09DB00FF" w14:textId="5A43B32A" w:rsidR="002B26A5" w:rsidRPr="00260790" w:rsidRDefault="002B26A5" w:rsidP="001748C6">
      <w:pPr>
        <w:pStyle w:val="Paragraphedeliste"/>
        <w:numPr>
          <w:ilvl w:val="0"/>
          <w:numId w:val="373"/>
        </w:numPr>
        <w:spacing w:line="240" w:lineRule="auto"/>
        <w:ind w:left="1418" w:right="282" w:hanging="425"/>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inondations des maisons et des équipements situés dans les zones basses. Certaines constructions sont implantées dans des cuvettes.</w:t>
      </w:r>
    </w:p>
    <w:p w14:paraId="782521DC" w14:textId="7777777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lastRenderedPageBreak/>
        <w:t>Certaines infrastructures routières et les projets immobiliers ferment complètement les axes naturels de drainage, puisqu’elles ne comportent pratiquement aucun réseau de drainage, ce qui entraine le blocage des eaux et leur forte accumulation au niveau de certains points bas.</w:t>
      </w:r>
    </w:p>
    <w:p w14:paraId="4390DDE6" w14:textId="77777777" w:rsidR="002B26A5" w:rsidRPr="00260790" w:rsidRDefault="002B26A5" w:rsidP="001748C6">
      <w:pPr>
        <w:numPr>
          <w:ilvl w:val="0"/>
          <w:numId w:val="350"/>
        </w:numPr>
        <w:spacing w:line="240" w:lineRule="auto"/>
        <w:ind w:left="1843"/>
        <w:contextualSpacing/>
        <w:jc w:val="both"/>
        <w:rPr>
          <w:rFonts w:ascii="Times New Roman" w:hAnsi="Times New Roman"/>
          <w:b/>
          <w:color w:val="000000" w:themeColor="text1"/>
        </w:rPr>
      </w:pPr>
      <w:r w:rsidRPr="00260790">
        <w:rPr>
          <w:rFonts w:ascii="Times New Roman" w:hAnsi="Times New Roman"/>
          <w:b/>
          <w:color w:val="000000" w:themeColor="text1"/>
        </w:rPr>
        <w:t xml:space="preserve">Infrastructure et services </w:t>
      </w:r>
    </w:p>
    <w:p w14:paraId="0AEEE6DA" w14:textId="1E3AE6F0" w:rsidR="009E4304" w:rsidRDefault="002B26A5" w:rsidP="0095190F">
      <w:pPr>
        <w:numPr>
          <w:ilvl w:val="0"/>
          <w:numId w:val="349"/>
        </w:numPr>
        <w:spacing w:line="240" w:lineRule="auto"/>
        <w:ind w:left="1276"/>
        <w:contextualSpacing/>
        <w:jc w:val="both"/>
        <w:rPr>
          <w:rFonts w:ascii="Times New Roman" w:eastAsia="Times New Roman" w:hAnsi="Times New Roman"/>
          <w:color w:val="000000" w:themeColor="text1"/>
          <w:lang w:eastAsia="fr-FR"/>
        </w:rPr>
      </w:pPr>
      <w:r w:rsidRPr="00260790">
        <w:rPr>
          <w:rFonts w:ascii="Times New Roman" w:hAnsi="Times New Roman"/>
          <w:b/>
          <w:color w:val="000000" w:themeColor="text1"/>
        </w:rPr>
        <w:t>Éducation</w:t>
      </w:r>
    </w:p>
    <w:p w14:paraId="0A0DC18D" w14:textId="77777777" w:rsidR="0095190F" w:rsidRPr="0095190F" w:rsidRDefault="0095190F" w:rsidP="0095190F">
      <w:pPr>
        <w:spacing w:line="240" w:lineRule="auto"/>
        <w:ind w:left="1276"/>
        <w:contextualSpacing/>
        <w:jc w:val="both"/>
        <w:rPr>
          <w:rFonts w:ascii="Times New Roman" w:eastAsia="Times New Roman" w:hAnsi="Times New Roman"/>
          <w:color w:val="000000" w:themeColor="text1"/>
          <w:lang w:eastAsia="fr-FR"/>
        </w:rPr>
      </w:pPr>
    </w:p>
    <w:p w14:paraId="4AFCDCD9" w14:textId="60D949BE" w:rsidR="009E4304" w:rsidRPr="0095190F" w:rsidRDefault="009E4304" w:rsidP="0095190F">
      <w:pPr>
        <w:snapToGrid w:val="0"/>
        <w:spacing w:line="240" w:lineRule="auto"/>
        <w:ind w:right="284"/>
        <w:jc w:val="both"/>
        <w:rPr>
          <w:rFonts w:ascii="Times New Roman" w:eastAsia="Times New Roman" w:hAnsi="Times New Roman"/>
          <w:color w:val="000000" w:themeColor="text1"/>
          <w:lang w:eastAsia="fr-FR"/>
        </w:rPr>
      </w:pPr>
      <w:r w:rsidRPr="0095190F">
        <w:rPr>
          <w:rFonts w:ascii="Times New Roman" w:eastAsia="Times New Roman" w:hAnsi="Times New Roman"/>
          <w:color w:val="000000" w:themeColor="text1"/>
          <w:lang w:eastAsia="fr-FR"/>
        </w:rPr>
        <w:t>En se fondant sur les productions de l’ANSD en 2023, la région de Dakar comptait en 2021 : 1 065 établissements préscolaires, dont 94 % privés, avec une forte concentration à Dakar (401) et à Pikine/Keur Massar (392). Le nombre total d’établissements préscolaires est passé de 1 027 à 1 066 entre 2020 et 2021.</w:t>
      </w:r>
    </w:p>
    <w:p w14:paraId="61B142E0" w14:textId="77777777" w:rsidR="009E4304" w:rsidRPr="0095190F" w:rsidRDefault="009E4304" w:rsidP="0095190F">
      <w:pPr>
        <w:spacing w:line="240" w:lineRule="auto"/>
        <w:ind w:right="284"/>
        <w:jc w:val="both"/>
        <w:rPr>
          <w:rFonts w:ascii="Times New Roman" w:eastAsia="Times New Roman" w:hAnsi="Times New Roman"/>
          <w:color w:val="000000" w:themeColor="text1"/>
          <w:lang w:eastAsia="fr-FR"/>
        </w:rPr>
      </w:pPr>
      <w:r w:rsidRPr="0095190F">
        <w:rPr>
          <w:rFonts w:ascii="Times New Roman" w:eastAsia="Times New Roman" w:hAnsi="Times New Roman"/>
          <w:color w:val="000000" w:themeColor="text1"/>
          <w:lang w:eastAsia="fr-FR"/>
        </w:rPr>
        <w:t>Le nombre d’écoles élémentaires a augmenté de 1 574 à 1 632 (+3,7%), essentiellement grâce au secteur privé, qui compte près de trois fois plus d’établissements que le public (26,90 % d’écoles publiques).</w:t>
      </w:r>
    </w:p>
    <w:p w14:paraId="685F879B" w14:textId="77777777" w:rsidR="009E4304" w:rsidRPr="0095190F" w:rsidRDefault="009E4304" w:rsidP="0095190F">
      <w:pPr>
        <w:spacing w:line="240" w:lineRule="auto"/>
        <w:ind w:right="284"/>
        <w:jc w:val="both"/>
        <w:rPr>
          <w:rFonts w:ascii="Times New Roman" w:eastAsia="Times New Roman" w:hAnsi="Times New Roman"/>
          <w:color w:val="000000" w:themeColor="text1"/>
          <w:lang w:eastAsia="fr-FR"/>
        </w:rPr>
      </w:pPr>
      <w:r w:rsidRPr="0095190F">
        <w:rPr>
          <w:rFonts w:ascii="Times New Roman" w:eastAsia="Times New Roman" w:hAnsi="Times New Roman"/>
          <w:color w:val="000000" w:themeColor="text1"/>
          <w:lang w:eastAsia="fr-FR"/>
        </w:rPr>
        <w:t>On recense 331 établissements de cycle moyen avec 4 085 groupes pédagogiques, et 332 établissements moyen-secondaire pour 3 708 groupes. Dans ces cycles, les écoles privées représentent 65,86 % (moyen) et 88,25 % (secondaire).</w:t>
      </w:r>
    </w:p>
    <w:p w14:paraId="230A8B66" w14:textId="1BCA6044" w:rsidR="002B26A5" w:rsidRPr="0095190F" w:rsidRDefault="009E4304" w:rsidP="0095190F">
      <w:pPr>
        <w:spacing w:line="240" w:lineRule="auto"/>
        <w:ind w:right="284"/>
        <w:contextualSpacing/>
        <w:jc w:val="both"/>
        <w:rPr>
          <w:rFonts w:ascii="Times New Roman" w:eastAsia="Times New Roman" w:hAnsi="Times New Roman"/>
          <w:color w:val="000000" w:themeColor="text1"/>
          <w:lang w:eastAsia="fr-FR"/>
        </w:rPr>
      </w:pPr>
      <w:r w:rsidRPr="0095190F">
        <w:rPr>
          <w:rFonts w:ascii="Times New Roman" w:eastAsia="Times New Roman" w:hAnsi="Times New Roman"/>
          <w:color w:val="000000" w:themeColor="text1"/>
          <w:lang w:eastAsia="fr-FR"/>
        </w:rPr>
        <w:t>L’enseignement supérieur à Dakar regroupe universités et autres établissements. Le nombre d’étudiants dans ces structures publiques et privées est passé de 195 207 en 2018-2019 à 190 145, soit une variation de 3 %.</w:t>
      </w:r>
    </w:p>
    <w:p w14:paraId="7DF7887F" w14:textId="3DDBE1B3" w:rsidR="00A91A2C" w:rsidRPr="00260790" w:rsidRDefault="00A91A2C">
      <w:pPr>
        <w:spacing w:line="259" w:lineRule="auto"/>
        <w:rPr>
          <w:rFonts w:ascii="Times New Roman" w:hAnsi="Times New Roman"/>
          <w:b/>
          <w:color w:val="000000" w:themeColor="text1"/>
        </w:rPr>
      </w:pPr>
    </w:p>
    <w:p w14:paraId="66928305" w14:textId="1ED57508" w:rsidR="002B26A5" w:rsidRPr="00260790" w:rsidRDefault="002B26A5" w:rsidP="001748C6">
      <w:pPr>
        <w:numPr>
          <w:ilvl w:val="0"/>
          <w:numId w:val="349"/>
        </w:numPr>
        <w:spacing w:line="240" w:lineRule="auto"/>
        <w:ind w:left="1276"/>
        <w:contextualSpacing/>
        <w:jc w:val="both"/>
        <w:rPr>
          <w:rFonts w:ascii="Times New Roman" w:hAnsi="Times New Roman"/>
          <w:b/>
          <w:color w:val="000000" w:themeColor="text1"/>
        </w:rPr>
      </w:pPr>
      <w:r w:rsidRPr="00260790">
        <w:rPr>
          <w:rFonts w:ascii="Times New Roman" w:hAnsi="Times New Roman"/>
          <w:b/>
          <w:color w:val="000000" w:themeColor="text1"/>
        </w:rPr>
        <w:t xml:space="preserve">Santé </w:t>
      </w:r>
    </w:p>
    <w:p w14:paraId="1DB95526" w14:textId="77777777" w:rsidR="002B26A5" w:rsidRPr="00260790" w:rsidRDefault="002B26A5" w:rsidP="0095190F">
      <w:pPr>
        <w:spacing w:after="120" w:line="240" w:lineRule="auto"/>
        <w:ind w:right="284"/>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En ce qui concerne les équipements des structures publiques de santé, leur nombre est pratiquement resté inchangé par rapport à l’année 2020. Seules trois postes de santé sans maternité ont été érigées dans le département de Pikine. Ainsi, en 2021, il a été dénombré 183 infrastructures sanitaires publiques constituées de 14 hôpitaux, 25 centres de santé, 78 postes de santé complets, 52 postes de santé sans maternité, 8 maternités isolées et 11 cases de santé.</w:t>
      </w:r>
    </w:p>
    <w:p w14:paraId="6A044FB8" w14:textId="74DA5F50"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Concernant des structures sanitaires privées, elles sont largement plus nombreuses que celles publiques. De 2020 à 2021, leur effectif est resté inchangé</w:t>
      </w:r>
      <w:r w:rsidR="00F95799" w:rsidRPr="00260790">
        <w:rPr>
          <w:rFonts w:ascii="Times New Roman" w:eastAsia="Times New Roman" w:hAnsi="Times New Roman"/>
          <w:color w:val="000000" w:themeColor="text1"/>
          <w:lang w:eastAsia="fr-FR"/>
        </w:rPr>
        <w:t>,</w:t>
      </w:r>
      <w:r w:rsidRPr="00260790">
        <w:rPr>
          <w:rFonts w:ascii="Times New Roman" w:eastAsia="Times New Roman" w:hAnsi="Times New Roman"/>
          <w:color w:val="000000" w:themeColor="text1"/>
          <w:lang w:eastAsia="fr-FR"/>
        </w:rPr>
        <w:t xml:space="preserve"> quels que soient le type et la circonscription administrative. Les structures sanitaires privées sont composées d’hôpitaux, de cliniques, de postes de santé, de cabinets de spécialiste, de cabinets de généraliste, de postes de santé d’entreprise et d’officines de pharmacie qui sont connus (ANSD, 2023).</w:t>
      </w:r>
    </w:p>
    <w:p w14:paraId="42733989" w14:textId="7777777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Malgré l'existence d'un réseau d'infrastructures sanitaires important, les départements de Pikine et Keur Massar sont confrontés à plusieurs défis. Le manque de personnel de santé, notamment de médecins et d'infirmières entraîne des temps d'attente importants et une surcharge de travail pour le personnel existant. L'accès aux soins de santé reste difficile pour certaines populations, notamment les personnes les plus pauvres. La qualité des soins dans certaines structures de santé est parfois insuffisante, ce qui peut avoir des conséquences graves pour les patients.</w:t>
      </w:r>
    </w:p>
    <w:p w14:paraId="597301A1" w14:textId="77777777" w:rsidR="002B26A5" w:rsidRPr="00260790" w:rsidRDefault="002B26A5" w:rsidP="001748C6">
      <w:pPr>
        <w:numPr>
          <w:ilvl w:val="0"/>
          <w:numId w:val="349"/>
        </w:numPr>
        <w:spacing w:line="240" w:lineRule="auto"/>
        <w:ind w:left="1276"/>
        <w:contextualSpacing/>
        <w:jc w:val="both"/>
        <w:rPr>
          <w:rFonts w:ascii="Times New Roman" w:hAnsi="Times New Roman"/>
          <w:b/>
          <w:color w:val="000000" w:themeColor="text1"/>
        </w:rPr>
      </w:pPr>
      <w:r w:rsidRPr="00260790">
        <w:rPr>
          <w:rFonts w:ascii="Times New Roman" w:hAnsi="Times New Roman"/>
          <w:b/>
          <w:color w:val="000000" w:themeColor="text1"/>
        </w:rPr>
        <w:t xml:space="preserve">Infrastructures hydrauliques </w:t>
      </w:r>
    </w:p>
    <w:p w14:paraId="2C12548E" w14:textId="4CAC35B3"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ouvrages hydrauliques de captage de la région de Dakar comprennent des forages, des stations de pompage, des châteaux d'eau et des réseaux de distribution tels que les bornes</w:t>
      </w:r>
      <w:r w:rsidR="00F95799" w:rsidRPr="00260790">
        <w:rPr>
          <w:rFonts w:ascii="Times New Roman" w:eastAsia="Times New Roman" w:hAnsi="Times New Roman"/>
          <w:color w:val="000000" w:themeColor="text1"/>
          <w:lang w:eastAsia="fr-FR"/>
        </w:rPr>
        <w:t>-</w:t>
      </w:r>
      <w:r w:rsidRPr="00260790">
        <w:rPr>
          <w:rFonts w:ascii="Times New Roman" w:eastAsia="Times New Roman" w:hAnsi="Times New Roman"/>
          <w:color w:val="000000" w:themeColor="text1"/>
          <w:lang w:eastAsia="fr-FR"/>
        </w:rPr>
        <w:t>fontaines. La région dispose toujours d’un seul réseau d’Adduction à l’Eau Potable (AEP). S’agissant de la longueur du réseau dans la région, elle s’étend sur 7 783 783 mètres en 2020. Ce chiffre témoigne une extension de 9 911 mètres en 2020 par rapport à 2019 où elle ne couvrait que 7 773 872 mètres.</w:t>
      </w:r>
    </w:p>
    <w:p w14:paraId="5642A7F9" w14:textId="5FADBD26"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population de Dakar est souvent confrontée à des pénuries d’eau du fait d’une part à la vétusté des installations</w:t>
      </w:r>
      <w:r w:rsidR="005C5B32" w:rsidRPr="00260790">
        <w:rPr>
          <w:rFonts w:ascii="Times New Roman" w:eastAsia="Times New Roman" w:hAnsi="Times New Roman"/>
          <w:color w:val="000000" w:themeColor="text1"/>
          <w:lang w:eastAsia="fr-FR"/>
        </w:rPr>
        <w:t>,</w:t>
      </w:r>
      <w:r w:rsidRPr="00260790">
        <w:rPr>
          <w:rFonts w:ascii="Times New Roman" w:eastAsia="Times New Roman" w:hAnsi="Times New Roman"/>
          <w:color w:val="000000" w:themeColor="text1"/>
          <w:lang w:eastAsia="fr-FR"/>
        </w:rPr>
        <w:t xml:space="preserve"> mais aussi d’autre part à des pertes sur les réseaux engendrant l’inaccessibilité de la production aux consommateurs.</w:t>
      </w:r>
    </w:p>
    <w:p w14:paraId="76F6F8BC" w14:textId="77777777" w:rsidR="002B26A5" w:rsidRPr="00260790" w:rsidRDefault="002B26A5" w:rsidP="001748C6">
      <w:pPr>
        <w:numPr>
          <w:ilvl w:val="0"/>
          <w:numId w:val="349"/>
        </w:numPr>
        <w:spacing w:line="240" w:lineRule="auto"/>
        <w:ind w:left="1276"/>
        <w:contextualSpacing/>
        <w:jc w:val="both"/>
        <w:rPr>
          <w:rFonts w:ascii="Times New Roman" w:hAnsi="Times New Roman"/>
          <w:b/>
          <w:color w:val="000000" w:themeColor="text1"/>
        </w:rPr>
      </w:pPr>
      <w:r w:rsidRPr="00260790">
        <w:rPr>
          <w:rFonts w:ascii="Times New Roman" w:hAnsi="Times New Roman"/>
          <w:b/>
          <w:color w:val="000000" w:themeColor="text1"/>
        </w:rPr>
        <w:t>Transport et mobilité</w:t>
      </w:r>
    </w:p>
    <w:p w14:paraId="7BB1459F" w14:textId="376E776E"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secteur comprend le transport maritime avec le Port de Dakar, le transport aérien avec l’aéroport militaire Leopold S</w:t>
      </w:r>
      <w:r w:rsidR="009E4304">
        <w:rPr>
          <w:rFonts w:ascii="Times New Roman" w:eastAsia="Times New Roman" w:hAnsi="Times New Roman"/>
          <w:color w:val="000000" w:themeColor="text1"/>
          <w:lang w:eastAsia="fr-FR"/>
        </w:rPr>
        <w:t>é</w:t>
      </w:r>
      <w:r w:rsidRPr="00260790">
        <w:rPr>
          <w:rFonts w:ascii="Times New Roman" w:eastAsia="Times New Roman" w:hAnsi="Times New Roman"/>
          <w:color w:val="000000" w:themeColor="text1"/>
          <w:lang w:eastAsia="fr-FR"/>
        </w:rPr>
        <w:t xml:space="preserve">dar Senghor, le transport ferroviaire avec le TER et le transport routier avec </w:t>
      </w:r>
      <w:r w:rsidRPr="00260790">
        <w:rPr>
          <w:rFonts w:ascii="Times New Roman" w:eastAsia="Times New Roman" w:hAnsi="Times New Roman"/>
          <w:color w:val="000000" w:themeColor="text1"/>
          <w:lang w:eastAsia="fr-FR"/>
        </w:rPr>
        <w:lastRenderedPageBreak/>
        <w:t>l’autoroute à péage et la RN. Le trafic routier est le mode de transport prédominant à Dakar avec un parc automobile bien fourni, 454 454 véhicules en 2019</w:t>
      </w:r>
      <w:r w:rsidR="00F95799" w:rsidRPr="00260790">
        <w:rPr>
          <w:rFonts w:ascii="Times New Roman" w:eastAsia="Times New Roman" w:hAnsi="Times New Roman"/>
          <w:color w:val="000000" w:themeColor="text1"/>
          <w:lang w:eastAsia="fr-FR"/>
        </w:rPr>
        <w:t>,</w:t>
      </w:r>
      <w:r w:rsidRPr="00260790">
        <w:rPr>
          <w:rFonts w:ascii="Times New Roman" w:eastAsia="Times New Roman" w:hAnsi="Times New Roman"/>
          <w:color w:val="000000" w:themeColor="text1"/>
          <w:lang w:eastAsia="fr-FR"/>
        </w:rPr>
        <w:t xml:space="preserve"> so</w:t>
      </w:r>
      <w:r w:rsidR="00F95799" w:rsidRPr="00260790">
        <w:rPr>
          <w:rFonts w:ascii="Times New Roman" w:eastAsia="Times New Roman" w:hAnsi="Times New Roman"/>
          <w:color w:val="000000" w:themeColor="text1"/>
          <w:lang w:eastAsia="fr-FR"/>
        </w:rPr>
        <w:t>i</w:t>
      </w:r>
      <w:r w:rsidRPr="00260790">
        <w:rPr>
          <w:rFonts w:ascii="Times New Roman" w:eastAsia="Times New Roman" w:hAnsi="Times New Roman"/>
          <w:color w:val="000000" w:themeColor="text1"/>
          <w:lang w:eastAsia="fr-FR"/>
        </w:rPr>
        <w:t>t une évolution de 10% par rapport à 2018. Ce parc est constitué par les voitures particuli</w:t>
      </w:r>
      <w:r w:rsidR="00F95799" w:rsidRPr="00260790">
        <w:rPr>
          <w:rFonts w:ascii="Times New Roman" w:eastAsia="Times New Roman" w:hAnsi="Times New Roman"/>
          <w:color w:val="000000" w:themeColor="text1"/>
          <w:lang w:eastAsia="fr-FR"/>
        </w:rPr>
        <w:t>ère</w:t>
      </w:r>
      <w:r w:rsidRPr="00260790">
        <w:rPr>
          <w:rFonts w:ascii="Times New Roman" w:eastAsia="Times New Roman" w:hAnsi="Times New Roman"/>
          <w:color w:val="000000" w:themeColor="text1"/>
          <w:lang w:eastAsia="fr-FR"/>
        </w:rPr>
        <w:t xml:space="preserve">s, les taxis interurbains, les autocars, les camions, les deux roues, etc. Le réseau routier des départements de Pikine, Rufisque et de Keur Massar se compose des autoroutes, de la route nationale (RN), des routes départementales, des pistes répertoriées, des voies urbaines et des voies de dégagement. Le transport urbain est assuré par les bus Dakar </w:t>
      </w:r>
      <w:proofErr w:type="spellStart"/>
      <w:r w:rsidRPr="00260790">
        <w:rPr>
          <w:rFonts w:ascii="Times New Roman" w:eastAsia="Times New Roman" w:hAnsi="Times New Roman"/>
          <w:color w:val="000000" w:themeColor="text1"/>
          <w:lang w:eastAsia="fr-FR"/>
        </w:rPr>
        <w:t>Dem</w:t>
      </w:r>
      <w:proofErr w:type="spellEnd"/>
      <w:r w:rsidRPr="00260790">
        <w:rPr>
          <w:rFonts w:ascii="Times New Roman" w:eastAsia="Times New Roman" w:hAnsi="Times New Roman"/>
          <w:color w:val="000000" w:themeColor="text1"/>
          <w:lang w:eastAsia="fr-FR"/>
        </w:rPr>
        <w:t xml:space="preserve"> </w:t>
      </w:r>
      <w:proofErr w:type="spellStart"/>
      <w:r w:rsidRPr="00260790">
        <w:rPr>
          <w:rFonts w:ascii="Times New Roman" w:eastAsia="Times New Roman" w:hAnsi="Times New Roman"/>
          <w:color w:val="000000" w:themeColor="text1"/>
          <w:lang w:eastAsia="fr-FR"/>
        </w:rPr>
        <w:t>Dikk</w:t>
      </w:r>
      <w:proofErr w:type="spellEnd"/>
      <w:r w:rsidRPr="00260790">
        <w:rPr>
          <w:rFonts w:ascii="Times New Roman" w:eastAsia="Times New Roman" w:hAnsi="Times New Roman"/>
          <w:color w:val="000000" w:themeColor="text1"/>
          <w:lang w:eastAsia="fr-FR"/>
        </w:rPr>
        <w:t xml:space="preserve"> (DDD), les bus Tata, les Ndiaga Ndiaye, les taxis</w:t>
      </w:r>
      <w:r w:rsidR="00F95799" w:rsidRPr="00260790">
        <w:rPr>
          <w:rFonts w:ascii="Times New Roman" w:eastAsia="Times New Roman" w:hAnsi="Times New Roman"/>
          <w:color w:val="000000" w:themeColor="text1"/>
          <w:lang w:eastAsia="fr-FR"/>
        </w:rPr>
        <w:t>-</w:t>
      </w:r>
      <w:r w:rsidRPr="00260790">
        <w:rPr>
          <w:rFonts w:ascii="Times New Roman" w:eastAsia="Times New Roman" w:hAnsi="Times New Roman"/>
          <w:color w:val="000000" w:themeColor="text1"/>
          <w:lang w:eastAsia="fr-FR"/>
        </w:rPr>
        <w:t xml:space="preserve">clandos, les taxis, les cars rapides, etc. Tandis que le transport interurbain lui est assuré par les bus DDD, les Tata, les taxis, les Ndiaga Ndiaye, le BRT. Le transport ferroviaire est devenu un mode essentiel de déplacement avec l’arrivée du Train Express Régional (TER) reliant les gares de Dakar, Colobane, </w:t>
      </w:r>
      <w:proofErr w:type="spellStart"/>
      <w:r w:rsidRPr="00260790">
        <w:rPr>
          <w:rFonts w:ascii="Times New Roman" w:eastAsia="Times New Roman" w:hAnsi="Times New Roman"/>
          <w:color w:val="000000" w:themeColor="text1"/>
          <w:lang w:eastAsia="fr-FR"/>
        </w:rPr>
        <w:t>Hann</w:t>
      </w:r>
      <w:proofErr w:type="spellEnd"/>
      <w:r w:rsidRPr="00260790">
        <w:rPr>
          <w:rFonts w:ascii="Times New Roman" w:eastAsia="Times New Roman" w:hAnsi="Times New Roman"/>
          <w:color w:val="000000" w:themeColor="text1"/>
          <w:lang w:eastAsia="fr-FR"/>
        </w:rPr>
        <w:t xml:space="preserve">, </w:t>
      </w:r>
      <w:proofErr w:type="spellStart"/>
      <w:r w:rsidRPr="00260790">
        <w:rPr>
          <w:rFonts w:ascii="Times New Roman" w:eastAsia="Times New Roman" w:hAnsi="Times New Roman"/>
          <w:color w:val="000000" w:themeColor="text1"/>
          <w:lang w:eastAsia="fr-FR"/>
        </w:rPr>
        <w:t>Dalifor</w:t>
      </w:r>
      <w:r w:rsidR="009E4304">
        <w:rPr>
          <w:rFonts w:ascii="Times New Roman" w:eastAsia="Times New Roman" w:hAnsi="Times New Roman"/>
          <w:color w:val="000000" w:themeColor="text1"/>
          <w:lang w:eastAsia="fr-FR"/>
        </w:rPr>
        <w:t>t</w:t>
      </w:r>
      <w:proofErr w:type="spellEnd"/>
      <w:r w:rsidRPr="00260790">
        <w:rPr>
          <w:rFonts w:ascii="Times New Roman" w:eastAsia="Times New Roman" w:hAnsi="Times New Roman"/>
          <w:color w:val="000000" w:themeColor="text1"/>
          <w:lang w:eastAsia="fr-FR"/>
        </w:rPr>
        <w:t xml:space="preserve">, Beaux Maraîchers, Pikine, Thiaroye, </w:t>
      </w:r>
      <w:proofErr w:type="spellStart"/>
      <w:r w:rsidRPr="00260790">
        <w:rPr>
          <w:rFonts w:ascii="Times New Roman" w:eastAsia="Times New Roman" w:hAnsi="Times New Roman"/>
          <w:color w:val="000000" w:themeColor="text1"/>
          <w:lang w:eastAsia="fr-FR"/>
        </w:rPr>
        <w:t>Yeumbeul</w:t>
      </w:r>
      <w:proofErr w:type="spellEnd"/>
      <w:r w:rsidRPr="00260790">
        <w:rPr>
          <w:rFonts w:ascii="Times New Roman" w:eastAsia="Times New Roman" w:hAnsi="Times New Roman"/>
          <w:color w:val="000000" w:themeColor="text1"/>
          <w:lang w:eastAsia="fr-FR"/>
        </w:rPr>
        <w:t>, Keur Mbaye Fall, PNR (Passage à niveau de Rufisque), Rufisque, Bargny et Diamniadio.</w:t>
      </w:r>
    </w:p>
    <w:p w14:paraId="5AC8D261" w14:textId="77777777" w:rsidR="002B26A5" w:rsidRPr="00260790" w:rsidRDefault="002B26A5" w:rsidP="001748C6">
      <w:pPr>
        <w:numPr>
          <w:ilvl w:val="0"/>
          <w:numId w:val="349"/>
        </w:numPr>
        <w:spacing w:line="240" w:lineRule="auto"/>
        <w:ind w:left="1276"/>
        <w:contextualSpacing/>
        <w:jc w:val="both"/>
        <w:rPr>
          <w:rFonts w:ascii="Times New Roman" w:hAnsi="Times New Roman"/>
          <w:b/>
          <w:color w:val="000000" w:themeColor="text1"/>
        </w:rPr>
      </w:pPr>
      <w:r w:rsidRPr="00260790">
        <w:rPr>
          <w:rFonts w:ascii="Times New Roman" w:hAnsi="Times New Roman"/>
          <w:b/>
          <w:color w:val="000000" w:themeColor="text1"/>
        </w:rPr>
        <w:t>Communication et télécommunication</w:t>
      </w:r>
    </w:p>
    <w:p w14:paraId="5618E67E" w14:textId="77777777" w:rsidR="00A91A2C"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secteur des télécommunications dans les départements de Pikine, Keur Massar et Rufisque est marqué par la présence des différents opérateurs téléphoniques Sonatel-Orange, Yas (ex</w:t>
      </w:r>
      <w:r w:rsidR="00FD5022" w:rsidRPr="00260790">
        <w:rPr>
          <w:rFonts w:ascii="Times New Roman" w:eastAsia="Times New Roman" w:hAnsi="Times New Roman"/>
          <w:color w:val="000000" w:themeColor="text1"/>
          <w:lang w:eastAsia="fr-FR"/>
        </w:rPr>
        <w:t>-</w:t>
      </w:r>
      <w:r w:rsidRPr="00260790">
        <w:rPr>
          <w:rFonts w:ascii="Times New Roman" w:eastAsia="Times New Roman" w:hAnsi="Times New Roman"/>
          <w:color w:val="000000" w:themeColor="text1"/>
          <w:lang w:eastAsia="fr-FR"/>
        </w:rPr>
        <w:t xml:space="preserve">Free/Tigo) et Expresso dont le caractère concurrentiel facilite l’accès à la clientèle. Le taux de couverture de la zone des réseaux téléphoniques et d’internet est assez bon. </w:t>
      </w:r>
    </w:p>
    <w:p w14:paraId="653BC98C" w14:textId="144F4A24"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Néanmoins, bien que toute la région ait accès au service de téléphonie mobile et d’internet, les opérateurs de téléphonies continuent à installer leurs antennes au niveau des localités pour améliorer la qualité du réseau. Concernant le cas de l’opérateur Free pour lequel ses données sont disponibles, il a été dénombré au cours de l’année 2019 que 380 antennes du réseau internet 3G+ et 163 pour l’internet 4G ont été installées dans toute la région. </w:t>
      </w:r>
      <w:r w:rsidR="009965A6" w:rsidRPr="00260790">
        <w:rPr>
          <w:rFonts w:ascii="Times New Roman" w:eastAsia="Times New Roman" w:hAnsi="Times New Roman"/>
          <w:color w:val="000000" w:themeColor="text1"/>
          <w:lang w:eastAsia="fr-FR"/>
        </w:rPr>
        <w:t>À</w:t>
      </w:r>
      <w:r w:rsidRPr="00260790">
        <w:rPr>
          <w:rFonts w:ascii="Times New Roman" w:eastAsia="Times New Roman" w:hAnsi="Times New Roman"/>
          <w:color w:val="000000" w:themeColor="text1"/>
          <w:lang w:eastAsia="fr-FR"/>
        </w:rPr>
        <w:t xml:space="preserve"> cela s’ajoute</w:t>
      </w:r>
      <w:r w:rsidR="00FD5022" w:rsidRPr="00260790">
        <w:rPr>
          <w:rFonts w:ascii="Times New Roman" w:eastAsia="Times New Roman" w:hAnsi="Times New Roman"/>
          <w:color w:val="000000" w:themeColor="text1"/>
          <w:lang w:eastAsia="fr-FR"/>
        </w:rPr>
        <w:t>nt</w:t>
      </w:r>
      <w:r w:rsidRPr="00260790">
        <w:rPr>
          <w:rFonts w:ascii="Times New Roman" w:eastAsia="Times New Roman" w:hAnsi="Times New Roman"/>
          <w:color w:val="000000" w:themeColor="text1"/>
          <w:lang w:eastAsia="fr-FR"/>
        </w:rPr>
        <w:t xml:space="preserve"> les antennes de téléphonie mobile qui ont été au nombre de 382 en 2019. Pour tous les types de services, des évolutions positives ont été relevées. Le nombre d’antenne</w:t>
      </w:r>
      <w:r w:rsidR="00FD5022" w:rsidRPr="00260790">
        <w:rPr>
          <w:rFonts w:ascii="Times New Roman" w:eastAsia="Times New Roman" w:hAnsi="Times New Roman"/>
          <w:color w:val="000000" w:themeColor="text1"/>
          <w:lang w:eastAsia="fr-FR"/>
        </w:rPr>
        <w:t>s</w:t>
      </w:r>
      <w:r w:rsidRPr="00260790">
        <w:rPr>
          <w:rFonts w:ascii="Times New Roman" w:eastAsia="Times New Roman" w:hAnsi="Times New Roman"/>
          <w:color w:val="000000" w:themeColor="text1"/>
          <w:lang w:eastAsia="fr-FR"/>
        </w:rPr>
        <w:t xml:space="preserve"> 3G+ a augmenté de 17% de même que celui de la téléphonie mobile. </w:t>
      </w:r>
    </w:p>
    <w:p w14:paraId="41AFF8CB" w14:textId="7A7509FF"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En ce qui concerne l’accès aux chaînes de télévisions et de radios nationales et locales, l’ensemble de la région est couvert par la chaine nationale RTS et les autres chaines privées telles que la 2STV, GFM, </w:t>
      </w:r>
      <w:proofErr w:type="spellStart"/>
      <w:r w:rsidRPr="00260790">
        <w:rPr>
          <w:rFonts w:ascii="Times New Roman" w:eastAsia="Times New Roman" w:hAnsi="Times New Roman"/>
          <w:color w:val="000000" w:themeColor="text1"/>
          <w:lang w:eastAsia="fr-FR"/>
        </w:rPr>
        <w:t>Dmedia</w:t>
      </w:r>
      <w:proofErr w:type="spellEnd"/>
      <w:r w:rsidRPr="00260790">
        <w:rPr>
          <w:rFonts w:ascii="Times New Roman" w:eastAsia="Times New Roman" w:hAnsi="Times New Roman"/>
          <w:color w:val="000000" w:themeColor="text1"/>
          <w:lang w:eastAsia="fr-FR"/>
        </w:rPr>
        <w:t>. La présence des radios communautaires et un important réseau de distribution des journaux qui permet l’accessibilité de l’information au niveau de toute la région est également noté</w:t>
      </w:r>
      <w:r w:rsidR="00FD5022" w:rsidRPr="00260790">
        <w:rPr>
          <w:rFonts w:ascii="Times New Roman" w:eastAsia="Times New Roman" w:hAnsi="Times New Roman"/>
          <w:color w:val="000000" w:themeColor="text1"/>
          <w:lang w:eastAsia="fr-FR"/>
        </w:rPr>
        <w:t>e</w:t>
      </w:r>
      <w:r w:rsidRPr="00260790">
        <w:rPr>
          <w:rFonts w:ascii="Times New Roman" w:eastAsia="Times New Roman" w:hAnsi="Times New Roman"/>
          <w:color w:val="000000" w:themeColor="text1"/>
          <w:lang w:eastAsia="fr-FR"/>
        </w:rPr>
        <w:t>. Ces chaines constituent un canal de communication qui produit et diffuse dans les langues locales, sur des problématiques propres aux groupes sociaux, culturels, religieux ou socioprofessionnels pour lesquels il a été créé.</w:t>
      </w:r>
    </w:p>
    <w:p w14:paraId="16E86408" w14:textId="770D84AD" w:rsidR="002B26A5" w:rsidRPr="00260790" w:rsidRDefault="00FD5022" w:rsidP="001748C6">
      <w:pPr>
        <w:numPr>
          <w:ilvl w:val="0"/>
          <w:numId w:val="349"/>
        </w:numPr>
        <w:spacing w:line="240" w:lineRule="auto"/>
        <w:ind w:left="1276"/>
        <w:contextualSpacing/>
        <w:jc w:val="both"/>
        <w:rPr>
          <w:rFonts w:ascii="Times New Roman" w:hAnsi="Times New Roman"/>
          <w:b/>
          <w:color w:val="000000" w:themeColor="text1"/>
        </w:rPr>
      </w:pPr>
      <w:r w:rsidRPr="00260790">
        <w:rPr>
          <w:rFonts w:ascii="Times New Roman" w:hAnsi="Times New Roman"/>
          <w:b/>
          <w:color w:val="000000" w:themeColor="text1"/>
        </w:rPr>
        <w:t>É</w:t>
      </w:r>
      <w:r w:rsidR="002B26A5" w:rsidRPr="00260790">
        <w:rPr>
          <w:rFonts w:ascii="Times New Roman" w:hAnsi="Times New Roman"/>
          <w:b/>
          <w:color w:val="000000" w:themeColor="text1"/>
        </w:rPr>
        <w:t>nergie</w:t>
      </w:r>
    </w:p>
    <w:p w14:paraId="6C524A0A" w14:textId="5CA7E99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L’alimentation en électricité de la région de Dakar et des départements de Rufisque, Pikine et Keur Massar est assurée par la Société Nationale d’</w:t>
      </w:r>
      <w:r w:rsidR="00FD5022" w:rsidRPr="00260790">
        <w:rPr>
          <w:rFonts w:ascii="Times New Roman" w:eastAsia="Times New Roman" w:hAnsi="Times New Roman"/>
          <w:color w:val="000000" w:themeColor="text1"/>
          <w:lang w:eastAsia="fr-FR"/>
        </w:rPr>
        <w:t>É</w:t>
      </w:r>
      <w:r w:rsidRPr="00260790">
        <w:rPr>
          <w:rFonts w:ascii="Times New Roman" w:eastAsia="Times New Roman" w:hAnsi="Times New Roman"/>
          <w:color w:val="000000" w:themeColor="text1"/>
          <w:lang w:eastAsia="fr-FR"/>
        </w:rPr>
        <w:t>lectricité du Sénégal (SENELEC). Sa mission se résume à la production, au transport et à la distribution de l’énergie électrique.</w:t>
      </w:r>
    </w:p>
    <w:p w14:paraId="2BEF583F" w14:textId="30B932BA" w:rsidR="002B26A5" w:rsidRPr="00260790" w:rsidRDefault="009965A6"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À</w:t>
      </w:r>
      <w:r w:rsidR="002B26A5" w:rsidRPr="00260790">
        <w:rPr>
          <w:rFonts w:ascii="Times New Roman" w:eastAsia="Times New Roman" w:hAnsi="Times New Roman"/>
          <w:color w:val="000000" w:themeColor="text1"/>
          <w:lang w:eastAsia="fr-FR"/>
        </w:rPr>
        <w:t xml:space="preserve"> Dakar, en 2019, plus de quatre ménages sur cinq utilisent l’électricité comme source d’éclairage. Et, l’électricité générale couvre les besoins en matière d’éclairage de 10,4% des ménages de la région. Selon l’ANSD 2021, 87,3% des ménages du milieu urbain dakarois et 63,3% de la zone rurale utilisent l’électricité réseau pour l’éclairage. L’électricité générale est utilisée dans 26,56% des ménages ruraux et 9,89% des ménages urbains de la région. Selon le type d’abonnement, le compteur classique constitue le plus fréquent pour l’accès à l’électricité des ménages de la région. Mieux, 69,6% des ménages de Dakar disposent de ce genre de compteur dans leurs foyers. Les compteurs avec carte prépayée sont aussi recourus par 28,62% des ménages comme type d’abonnement. La région compte aussi 1,03% de ménages ne disposant pas de compteur. Il est important de signaler que le mode d’abonnement varie en fonction de la zone résidence. Les zones urbaines de Rufisque, Pikine et Keur Massar abritent davantage de ménages ayant le compteur avec carte (49,7%), quant à la partie rurale, le compteur classique reste le type d’abonnement le plus répandu au sein de ces ménages (68,9%). Néanmoins, Dakar compte 47,46% de ménages en abonnement avec le compteur classique dans le milieu urbain et 29,26% de ménages avec compteur carte prépayée dans sa partie rurale en 2019.</w:t>
      </w:r>
    </w:p>
    <w:p w14:paraId="1819310C" w14:textId="77777777" w:rsidR="002B26A5" w:rsidRPr="00260790" w:rsidRDefault="002B26A5" w:rsidP="001748C6">
      <w:pPr>
        <w:numPr>
          <w:ilvl w:val="0"/>
          <w:numId w:val="349"/>
        </w:numPr>
        <w:spacing w:line="240" w:lineRule="auto"/>
        <w:ind w:left="1276"/>
        <w:contextualSpacing/>
        <w:jc w:val="both"/>
        <w:rPr>
          <w:rFonts w:ascii="Times New Roman" w:hAnsi="Times New Roman"/>
          <w:b/>
          <w:color w:val="000000" w:themeColor="text1"/>
        </w:rPr>
      </w:pPr>
      <w:r w:rsidRPr="00260790">
        <w:rPr>
          <w:rFonts w:ascii="Times New Roman" w:hAnsi="Times New Roman"/>
          <w:b/>
          <w:color w:val="000000" w:themeColor="text1"/>
        </w:rPr>
        <w:lastRenderedPageBreak/>
        <w:t xml:space="preserve">Culture </w:t>
      </w:r>
    </w:p>
    <w:p w14:paraId="197B49C4" w14:textId="7777777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région de Dakar compte le plus grand nombre d’infrastructures culturelles au Sénégal. La région enregistre 44 centres de documentation et bibliothèques dont 29 sont logés dans le département de Dakar, huit (08) à Pikine et Keur Massar, six (06) à Rufisque et un (01) à Guédiawaye. En ce qui concerne les cinémas, les effectifs diminuent à cause de leur transformation de plus en plus en lieux de culte. Pour ce qui est des galeries d’art et des musées, ils sont tous concentrés dans le département Dakar avec 13 galeries d’art et 08 musées (ANSD, 2023).</w:t>
      </w:r>
    </w:p>
    <w:p w14:paraId="29C9A4B8" w14:textId="77777777" w:rsidR="002B26A5" w:rsidRPr="00260790" w:rsidRDefault="002B26A5" w:rsidP="001748C6">
      <w:pPr>
        <w:numPr>
          <w:ilvl w:val="0"/>
          <w:numId w:val="348"/>
        </w:numPr>
        <w:spacing w:before="240" w:line="240" w:lineRule="auto"/>
        <w:ind w:left="1560" w:right="282"/>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Activités socio-économiques</w:t>
      </w:r>
    </w:p>
    <w:p w14:paraId="37C0E962" w14:textId="77777777" w:rsidR="002B26A5" w:rsidRPr="00260790" w:rsidRDefault="002B26A5" w:rsidP="001748C6">
      <w:pPr>
        <w:numPr>
          <w:ilvl w:val="0"/>
          <w:numId w:val="349"/>
        </w:numPr>
        <w:spacing w:line="240" w:lineRule="auto"/>
        <w:ind w:left="1276"/>
        <w:contextualSpacing/>
        <w:jc w:val="both"/>
        <w:rPr>
          <w:rFonts w:ascii="Times New Roman" w:hAnsi="Times New Roman"/>
          <w:b/>
          <w:color w:val="000000" w:themeColor="text1"/>
        </w:rPr>
      </w:pPr>
      <w:r w:rsidRPr="00260790">
        <w:rPr>
          <w:rFonts w:ascii="Times New Roman" w:hAnsi="Times New Roman"/>
          <w:b/>
          <w:color w:val="000000" w:themeColor="text1"/>
        </w:rPr>
        <w:t xml:space="preserve">L’agriculture </w:t>
      </w:r>
    </w:p>
    <w:p w14:paraId="4CB98516" w14:textId="77777777" w:rsidR="00A91A2C" w:rsidRPr="00260790" w:rsidRDefault="002B26A5" w:rsidP="0097258B">
      <w:pPr>
        <w:autoSpaceDE w:val="0"/>
        <w:autoSpaceDN w:val="0"/>
        <w:adjustRightInd w:val="0"/>
        <w:spacing w:line="240" w:lineRule="auto"/>
        <w:ind w:right="282"/>
        <w:jc w:val="both"/>
        <w:rPr>
          <w:rFonts w:ascii="Times New Roman" w:hAnsi="Times New Roman"/>
          <w:color w:val="000000" w:themeColor="text1"/>
          <w:lang w:eastAsia="fr-FR"/>
        </w:rPr>
      </w:pPr>
      <w:r w:rsidRPr="00260790">
        <w:rPr>
          <w:rFonts w:ascii="Times New Roman" w:hAnsi="Times New Roman"/>
          <w:color w:val="000000" w:themeColor="text1"/>
          <w:lang w:eastAsia="fr-FR"/>
        </w:rPr>
        <w:t xml:space="preserve">Au Sénégal, l'agriculture repose principalement sur la production de cultures de rente telles que le coton, l'arachide et les produits horticoles, ainsi que sur des cultures vivrières de subsistance comme le mil, le sorgho et le maïs. Cette activité agricole est majoritairement pratiquée pendant la saison des pluies, la rendant ainsi saisonnière et dépendante des précipitations. La production agricole au niveau de la région de Dakar a globalement augmenté en 2021. </w:t>
      </w:r>
    </w:p>
    <w:p w14:paraId="7EC61377" w14:textId="04337676" w:rsidR="002B26A5" w:rsidRPr="00260790" w:rsidRDefault="002B26A5" w:rsidP="0097258B">
      <w:pPr>
        <w:autoSpaceDE w:val="0"/>
        <w:autoSpaceDN w:val="0"/>
        <w:adjustRightInd w:val="0"/>
        <w:spacing w:line="240" w:lineRule="auto"/>
        <w:ind w:right="282"/>
        <w:jc w:val="both"/>
        <w:rPr>
          <w:rFonts w:ascii="Times New Roman" w:hAnsi="Times New Roman"/>
          <w:color w:val="000000" w:themeColor="text1"/>
          <w:lang w:eastAsia="fr-FR"/>
        </w:rPr>
      </w:pPr>
      <w:r w:rsidRPr="00260790">
        <w:rPr>
          <w:rFonts w:ascii="Times New Roman" w:hAnsi="Times New Roman"/>
          <w:color w:val="000000" w:themeColor="text1"/>
          <w:lang w:eastAsia="fr-FR"/>
        </w:rPr>
        <w:t xml:space="preserve">Toutefois, cette augmentation n’a pas la même ampleur pour les différentes spéculations. En effet, la production de l’arachide est passée de 557 tonnes en 2020 à 742 tonnes en 2021 soit une augmentation de 33%, alors que celle du manioc a faiblement évolué avec 3649 tonnes en 2020 et 3701 tonnes en 2021. La détermination de l’urbanisation et la raréfaction des pluies accompagnée de son irrégularité ne militent pas en faveur d’une bonne production agricole. Pour les campagnes agricoles de 2017 /2018 et 2018/2019, une nette diminution des superficies emblavées est observée alors que pour 2019 /2020 ces dernières sont en hausse pour la quasi-totalité des espèces produites. En 2020/2021, le gombo et le maïs ont connu des baisses notables. </w:t>
      </w:r>
      <w:r w:rsidR="009965A6" w:rsidRPr="00260790">
        <w:rPr>
          <w:rFonts w:ascii="Times New Roman" w:hAnsi="Times New Roman"/>
          <w:color w:val="000000" w:themeColor="text1"/>
          <w:lang w:eastAsia="fr-FR"/>
        </w:rPr>
        <w:t>À</w:t>
      </w:r>
      <w:r w:rsidRPr="00260790">
        <w:rPr>
          <w:rFonts w:ascii="Times New Roman" w:hAnsi="Times New Roman"/>
          <w:color w:val="000000" w:themeColor="text1"/>
          <w:lang w:eastAsia="fr-FR"/>
        </w:rPr>
        <w:t xml:space="preserve"> l’image de tout le littoral du pays, Dakar est une région à vocation horticole. Toutes ces réalités combinées font que les superficies emblavées dans la région particulièrement dans les départements de Pikine et de Keur Massar ont globalement une tendance baissière.</w:t>
      </w:r>
    </w:p>
    <w:p w14:paraId="0FE5A549" w14:textId="77777777" w:rsidR="002B26A5" w:rsidRPr="00260790" w:rsidRDefault="002B26A5" w:rsidP="001748C6">
      <w:pPr>
        <w:numPr>
          <w:ilvl w:val="0"/>
          <w:numId w:val="349"/>
        </w:numPr>
        <w:spacing w:line="240" w:lineRule="auto"/>
        <w:ind w:left="1276"/>
        <w:contextualSpacing/>
        <w:jc w:val="both"/>
        <w:rPr>
          <w:rFonts w:ascii="Times New Roman" w:hAnsi="Times New Roman"/>
          <w:b/>
          <w:color w:val="000000" w:themeColor="text1"/>
        </w:rPr>
      </w:pPr>
      <w:r w:rsidRPr="00260790">
        <w:rPr>
          <w:rFonts w:ascii="Times New Roman" w:hAnsi="Times New Roman"/>
          <w:b/>
          <w:color w:val="000000" w:themeColor="text1"/>
        </w:rPr>
        <w:t xml:space="preserve">L’élevage </w:t>
      </w:r>
    </w:p>
    <w:p w14:paraId="7802881B" w14:textId="760D7CBD"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Bien que la région de Dakar n'ait pas vocation d'être une zone d'élevage, elle reste néanmoins le principal centre de commercialisation et de consommation de bétail. Durant la campagne 2020/2021, le bétail recensé a été au nombre de 299 586, les départements de Pikine et de Keur Massar englobent 91 650 têtes. Le cheptel est majoritairement constitué de caprins (16 070), d’ovins (71 035), de bovins (2 502), d’équins (1 736), de porcins (191) et enfin d’</w:t>
      </w:r>
      <w:proofErr w:type="spellStart"/>
      <w:r w:rsidRPr="00260790">
        <w:rPr>
          <w:rFonts w:ascii="Times New Roman" w:eastAsia="Times New Roman" w:hAnsi="Times New Roman"/>
          <w:color w:val="000000" w:themeColor="text1"/>
          <w:lang w:eastAsia="fr-FR"/>
        </w:rPr>
        <w:t>asins</w:t>
      </w:r>
      <w:proofErr w:type="spellEnd"/>
      <w:r w:rsidRPr="00260790">
        <w:rPr>
          <w:rFonts w:ascii="Times New Roman" w:eastAsia="Times New Roman" w:hAnsi="Times New Roman"/>
          <w:color w:val="000000" w:themeColor="text1"/>
          <w:lang w:eastAsia="fr-FR"/>
        </w:rPr>
        <w:t xml:space="preserve"> (116). Le département de Rufisque compte 21 015 bovins, 82 530 ovins, 50 761 caprins, 927 </w:t>
      </w:r>
      <w:proofErr w:type="spellStart"/>
      <w:r w:rsidRPr="00260790">
        <w:rPr>
          <w:rFonts w:ascii="Times New Roman" w:eastAsia="Times New Roman" w:hAnsi="Times New Roman"/>
          <w:color w:val="000000" w:themeColor="text1"/>
          <w:lang w:eastAsia="fr-FR"/>
        </w:rPr>
        <w:t>asins</w:t>
      </w:r>
      <w:proofErr w:type="spellEnd"/>
      <w:r w:rsidRPr="00260790">
        <w:rPr>
          <w:rFonts w:ascii="Times New Roman" w:eastAsia="Times New Roman" w:hAnsi="Times New Roman"/>
          <w:color w:val="000000" w:themeColor="text1"/>
          <w:lang w:eastAsia="fr-FR"/>
        </w:rPr>
        <w:t xml:space="preserve">, et 4 015 </w:t>
      </w:r>
      <w:r w:rsidR="008530D4" w:rsidRPr="00260790">
        <w:rPr>
          <w:rFonts w:ascii="Times New Roman" w:eastAsia="Times New Roman" w:hAnsi="Times New Roman"/>
          <w:color w:val="000000" w:themeColor="text1"/>
          <w:lang w:eastAsia="fr-FR"/>
        </w:rPr>
        <w:t>é</w:t>
      </w:r>
      <w:r w:rsidRPr="00260790">
        <w:rPr>
          <w:rFonts w:ascii="Times New Roman" w:eastAsia="Times New Roman" w:hAnsi="Times New Roman"/>
          <w:color w:val="000000" w:themeColor="text1"/>
          <w:lang w:eastAsia="fr-FR"/>
        </w:rPr>
        <w:t>quins. La région de Dakar comporte deux grands abattoirs modernes situés respectivement dans les départements de Pikine et de Rufisque. La plupart des bétails sont abattus dans l’abattoir de Pikine (91% en 2020). Les mouvements du bétail enregistrés par le Service régional de l’</w:t>
      </w:r>
      <w:r w:rsidR="008530D4" w:rsidRPr="00260790">
        <w:rPr>
          <w:rFonts w:ascii="Times New Roman" w:eastAsia="Times New Roman" w:hAnsi="Times New Roman"/>
          <w:color w:val="000000" w:themeColor="text1"/>
          <w:lang w:eastAsia="fr-FR"/>
        </w:rPr>
        <w:t>É</w:t>
      </w:r>
      <w:r w:rsidRPr="00260790">
        <w:rPr>
          <w:rFonts w:ascii="Times New Roman" w:eastAsia="Times New Roman" w:hAnsi="Times New Roman"/>
          <w:color w:val="000000" w:themeColor="text1"/>
          <w:lang w:eastAsia="fr-FR"/>
        </w:rPr>
        <w:t>levage et de la Production Animale ont eu lieu dans le département de Pikine. Au total, le bétail introduit dans le département de Pikine a été au nombre de 755 629 en 2020. Parallèlement, un effectif de 618 427 bétails a été sorti du département de Pikine en 2020. Selon les différents types d’espèces, les mouvements de bétail ont plus concerné les ovins (67,83% des entrées et 68,46% des sorties de l’année 2020). Ensuite, il y a les caprins qui ont représenté 20,43% du bétail entré dans le département de Pikine et 16,69% des sorti</w:t>
      </w:r>
      <w:r w:rsidR="008530D4" w:rsidRPr="00260790">
        <w:rPr>
          <w:rFonts w:ascii="Times New Roman" w:eastAsia="Times New Roman" w:hAnsi="Times New Roman"/>
          <w:color w:val="000000" w:themeColor="text1"/>
          <w:lang w:eastAsia="fr-FR"/>
        </w:rPr>
        <w:t>e</w:t>
      </w:r>
      <w:r w:rsidRPr="00260790">
        <w:rPr>
          <w:rFonts w:ascii="Times New Roman" w:eastAsia="Times New Roman" w:hAnsi="Times New Roman"/>
          <w:color w:val="000000" w:themeColor="text1"/>
          <w:lang w:eastAsia="fr-FR"/>
        </w:rPr>
        <w:t>s de bétail.</w:t>
      </w:r>
    </w:p>
    <w:p w14:paraId="142C628E" w14:textId="77777777" w:rsidR="002B26A5" w:rsidRPr="00260790" w:rsidRDefault="002B26A5" w:rsidP="001748C6">
      <w:pPr>
        <w:numPr>
          <w:ilvl w:val="0"/>
          <w:numId w:val="349"/>
        </w:numPr>
        <w:spacing w:line="240" w:lineRule="auto"/>
        <w:ind w:left="1276"/>
        <w:contextualSpacing/>
        <w:jc w:val="both"/>
        <w:rPr>
          <w:rFonts w:ascii="Times New Roman" w:hAnsi="Times New Roman"/>
          <w:b/>
          <w:color w:val="000000" w:themeColor="text1"/>
        </w:rPr>
      </w:pPr>
      <w:r w:rsidRPr="00260790">
        <w:rPr>
          <w:rFonts w:ascii="Times New Roman" w:hAnsi="Times New Roman"/>
          <w:b/>
          <w:color w:val="000000" w:themeColor="text1"/>
        </w:rPr>
        <w:t xml:space="preserve">La pêche </w:t>
      </w:r>
    </w:p>
    <w:p w14:paraId="05CDA70C" w14:textId="7E776707"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 secteur de la pêche et l’aquaculture contribue au renforcement de la compétitivité, de la sécurité alimentaire, de la nutrition, de la création de richesse et d’emplois à travers la consommation locale, la transformation et la commercialisation. Les différents types de pêches pratiquées dans la région sont : la pêche artisanale, la pêche industrielle et l’aquaculture. En 2021, les débarquements de la pêche artisanale de la région de Dakar sont estimés à 80 211 tonnes de poissons constituant un chiffre d’affaires de 53 746 126 500 FCFA contre 83 456 tonnes en 2020 pour une valeur de 47 175 601 000 FCFA. Relativement cette production a régressé de 4% en volume et progressé de 14% en valeur. La répartition de cette production dans les sites ou localités de pêche montre que les pêcheurs artisanaux du département de Rufisque ont enregistré la plus grande quantité de production avec 40 952 tonnes </w:t>
      </w:r>
      <w:r w:rsidRPr="00260790">
        <w:rPr>
          <w:rFonts w:ascii="Times New Roman" w:eastAsia="Times New Roman" w:hAnsi="Times New Roman"/>
          <w:color w:val="000000" w:themeColor="text1"/>
          <w:lang w:eastAsia="fr-FR"/>
        </w:rPr>
        <w:lastRenderedPageBreak/>
        <w:t>de poisson représentant 51% de la production régionale en 2021 contre 40 861 tonnes et 49% respectivement en 2020. Quant au département de Pikine, les volumes production ont été respectivement de 13% en 2021 contre et 7% en 2020.</w:t>
      </w:r>
    </w:p>
    <w:p w14:paraId="3D8E3972" w14:textId="42E358B4" w:rsidR="002B26A5" w:rsidRPr="00260790" w:rsidRDefault="002B26A5" w:rsidP="001748C6">
      <w:pPr>
        <w:numPr>
          <w:ilvl w:val="0"/>
          <w:numId w:val="349"/>
        </w:numPr>
        <w:spacing w:line="240" w:lineRule="auto"/>
        <w:ind w:left="1276"/>
        <w:contextualSpacing/>
        <w:jc w:val="both"/>
        <w:rPr>
          <w:rFonts w:ascii="Times New Roman" w:hAnsi="Times New Roman"/>
          <w:b/>
          <w:color w:val="000000" w:themeColor="text1"/>
        </w:rPr>
      </w:pPr>
      <w:r w:rsidRPr="00260790">
        <w:rPr>
          <w:rFonts w:ascii="Times New Roman" w:hAnsi="Times New Roman"/>
          <w:b/>
          <w:color w:val="000000" w:themeColor="text1"/>
        </w:rPr>
        <w:t xml:space="preserve">Le commerce </w:t>
      </w:r>
    </w:p>
    <w:p w14:paraId="143EAC33" w14:textId="45B867DC"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région de Dakar, en tant que capitale économique du Sénégal, joue un rôle majeur dans les activités commerciales du pays. Entre 2018 et 2019, le nombre de marchés dans la région de Dakar n’a pas connu une évolution. S’agissant de la répartition géographique, les départements de Keur Massar et de Pikine regroupent l’essentiel des équipements marchands avec respectivement 32% et 38% de marchés. Le poids démographique de ces deux départements pourrait expliquer cette concentration des marchés. Au niveau régional, près de 3 marchés sur 4 sont permanents (73%). Le département de Rufisque enregistre la proportion de marché</w:t>
      </w:r>
      <w:r w:rsidR="008530D4" w:rsidRPr="00260790">
        <w:rPr>
          <w:rFonts w:ascii="Times New Roman" w:eastAsia="Times New Roman" w:hAnsi="Times New Roman"/>
          <w:color w:val="000000" w:themeColor="text1"/>
          <w:lang w:eastAsia="fr-FR"/>
        </w:rPr>
        <w:t>s</w:t>
      </w:r>
      <w:r w:rsidRPr="00260790">
        <w:rPr>
          <w:rFonts w:ascii="Times New Roman" w:eastAsia="Times New Roman" w:hAnsi="Times New Roman"/>
          <w:color w:val="000000" w:themeColor="text1"/>
          <w:lang w:eastAsia="fr-FR"/>
        </w:rPr>
        <w:t xml:space="preserve"> hebdomadaire</w:t>
      </w:r>
      <w:r w:rsidR="008530D4" w:rsidRPr="00260790">
        <w:rPr>
          <w:rFonts w:ascii="Times New Roman" w:eastAsia="Times New Roman" w:hAnsi="Times New Roman"/>
          <w:color w:val="000000" w:themeColor="text1"/>
          <w:lang w:eastAsia="fr-FR"/>
        </w:rPr>
        <w:t>s</w:t>
      </w:r>
      <w:r w:rsidRPr="00260790">
        <w:rPr>
          <w:rFonts w:ascii="Times New Roman" w:eastAsia="Times New Roman" w:hAnsi="Times New Roman"/>
          <w:color w:val="000000" w:themeColor="text1"/>
          <w:lang w:eastAsia="fr-FR"/>
        </w:rPr>
        <w:t xml:space="preserve"> l</w:t>
      </w:r>
      <w:r w:rsidR="008530D4" w:rsidRPr="00260790">
        <w:rPr>
          <w:rFonts w:ascii="Times New Roman" w:eastAsia="Times New Roman" w:hAnsi="Times New Roman"/>
          <w:color w:val="000000" w:themeColor="text1"/>
          <w:lang w:eastAsia="fr-FR"/>
        </w:rPr>
        <w:t>es</w:t>
      </w:r>
      <w:r w:rsidRPr="00260790">
        <w:rPr>
          <w:rFonts w:ascii="Times New Roman" w:eastAsia="Times New Roman" w:hAnsi="Times New Roman"/>
          <w:color w:val="000000" w:themeColor="text1"/>
          <w:lang w:eastAsia="fr-FR"/>
        </w:rPr>
        <w:t xml:space="preserve"> plus élevé</w:t>
      </w:r>
      <w:r w:rsidR="008530D4" w:rsidRPr="00260790">
        <w:rPr>
          <w:rFonts w:ascii="Times New Roman" w:eastAsia="Times New Roman" w:hAnsi="Times New Roman"/>
          <w:color w:val="000000" w:themeColor="text1"/>
          <w:lang w:eastAsia="fr-FR"/>
        </w:rPr>
        <w:t>s</w:t>
      </w:r>
      <w:r w:rsidRPr="00260790">
        <w:rPr>
          <w:rFonts w:ascii="Times New Roman" w:eastAsia="Times New Roman" w:hAnsi="Times New Roman"/>
          <w:color w:val="000000" w:themeColor="text1"/>
          <w:lang w:eastAsia="fr-FR"/>
        </w:rPr>
        <w:t xml:space="preserve"> avec (42%). Le nombre de commerçants enregistré dans la région de Dakar est resté constant entre 2018 et 2019 (36 714). Les départements de Pikine et de Keur Massar concentrent 27%.</w:t>
      </w:r>
    </w:p>
    <w:p w14:paraId="4360D594" w14:textId="77777777" w:rsidR="002B26A5" w:rsidRPr="00260790" w:rsidRDefault="002B26A5" w:rsidP="001748C6">
      <w:pPr>
        <w:numPr>
          <w:ilvl w:val="0"/>
          <w:numId w:val="349"/>
        </w:numPr>
        <w:spacing w:line="240" w:lineRule="auto"/>
        <w:ind w:left="1276"/>
        <w:contextualSpacing/>
        <w:jc w:val="both"/>
        <w:rPr>
          <w:rFonts w:ascii="Times New Roman" w:hAnsi="Times New Roman"/>
          <w:b/>
          <w:color w:val="000000" w:themeColor="text1"/>
        </w:rPr>
      </w:pPr>
      <w:r w:rsidRPr="00260790">
        <w:rPr>
          <w:rFonts w:ascii="Times New Roman" w:hAnsi="Times New Roman"/>
          <w:b/>
          <w:color w:val="000000" w:themeColor="text1"/>
        </w:rPr>
        <w:t>L’artisanat</w:t>
      </w:r>
    </w:p>
    <w:p w14:paraId="74EE5951" w14:textId="77777777" w:rsidR="002B26A5" w:rsidRPr="00260790" w:rsidRDefault="002B26A5" w:rsidP="0097258B">
      <w:pPr>
        <w:spacing w:line="240" w:lineRule="auto"/>
        <w:ind w:right="282"/>
        <w:jc w:val="both"/>
        <w:rPr>
          <w:rFonts w:ascii="Times New Roman" w:eastAsia="Times New Roman" w:hAnsi="Times New Roman"/>
          <w:b/>
          <w:color w:val="000000" w:themeColor="text1"/>
          <w:lang w:eastAsia="fr-FR"/>
        </w:rPr>
      </w:pPr>
      <w:r w:rsidRPr="00260790">
        <w:rPr>
          <w:rFonts w:ascii="Times New Roman" w:eastAsia="Times New Roman" w:hAnsi="Times New Roman"/>
          <w:color w:val="000000" w:themeColor="text1"/>
          <w:lang w:eastAsia="fr-FR"/>
        </w:rPr>
        <w:t>L'artisanat occupe une place importante dans l'économie et la vie culturelle de la région de Dakar.</w:t>
      </w:r>
      <w:r w:rsidRPr="00260790">
        <w:rPr>
          <w:rFonts w:ascii="Times New Roman" w:eastAsia="Times New Roman" w:hAnsi="Times New Roman"/>
          <w:b/>
          <w:color w:val="000000" w:themeColor="text1"/>
          <w:lang w:eastAsia="fr-FR"/>
        </w:rPr>
        <w:t xml:space="preserve"> </w:t>
      </w:r>
      <w:r w:rsidRPr="00260790">
        <w:rPr>
          <w:rFonts w:ascii="Times New Roman" w:eastAsia="Times New Roman" w:hAnsi="Times New Roman"/>
          <w:color w:val="000000" w:themeColor="text1"/>
          <w:lang w:eastAsia="fr-FR"/>
        </w:rPr>
        <w:t>La zone possède un village artisanal situé dans le département de Rufisque. Les départements de Rufisque, de Pikine et de Keur Massar</w:t>
      </w:r>
      <w:r w:rsidRPr="00260790">
        <w:rPr>
          <w:rFonts w:ascii="Times New Roman" w:eastAsia="Times New Roman" w:hAnsi="Times New Roman"/>
          <w:b/>
          <w:color w:val="000000" w:themeColor="text1"/>
          <w:lang w:eastAsia="fr-FR"/>
        </w:rPr>
        <w:t xml:space="preserve"> </w:t>
      </w:r>
      <w:r w:rsidRPr="00260790">
        <w:rPr>
          <w:rFonts w:ascii="Times New Roman" w:eastAsia="Times New Roman" w:hAnsi="Times New Roman"/>
          <w:color w:val="000000" w:themeColor="text1"/>
          <w:lang w:eastAsia="fr-FR"/>
        </w:rPr>
        <w:t>abritent de nombreux ateliers et coopératives d'artisans qui perpétuent les traditions artisanales sénégalaises. On y trouve des artisans spécialisés dans le travail du bois, du cuir, des fibres végétales, des métaux et de la céramique. La production artisanale inclut des objets décoratifs, des ustensiles, des vêtements, des bijoux et des instruments de musique. Ces produits artisanaux sont très appréciés par les touristes pour leur authenticité et leur valeur culturelle.</w:t>
      </w:r>
      <w:r w:rsidRPr="00260790">
        <w:rPr>
          <w:rFonts w:ascii="Times New Roman" w:eastAsia="Times New Roman" w:hAnsi="Times New Roman"/>
          <w:b/>
          <w:color w:val="000000" w:themeColor="text1"/>
          <w:lang w:eastAsia="fr-FR"/>
        </w:rPr>
        <w:t xml:space="preserve"> </w:t>
      </w:r>
      <w:r w:rsidRPr="00260790">
        <w:rPr>
          <w:rFonts w:ascii="Times New Roman" w:eastAsia="Times New Roman" w:hAnsi="Times New Roman"/>
          <w:color w:val="000000" w:themeColor="text1"/>
          <w:lang w:eastAsia="fr-FR"/>
        </w:rPr>
        <w:t>Ces départements accueillent également de nombreux artistes et artisans d'art qui créent des œuvres originales et contemporaines. On y trouve des ateliers de peinture, de sculpture, de poterie et de tapisserie, souvent inspirés par l'esthétique africaine. Ces productions artistiques sont vendues dans des galeries, des boutiques spécialisées ou lors d'événements culturels.</w:t>
      </w:r>
    </w:p>
    <w:p w14:paraId="76E56E5C" w14:textId="77777777" w:rsidR="002B26A5" w:rsidRPr="00260790" w:rsidRDefault="002B26A5" w:rsidP="001748C6">
      <w:pPr>
        <w:numPr>
          <w:ilvl w:val="0"/>
          <w:numId w:val="349"/>
        </w:numPr>
        <w:spacing w:line="240" w:lineRule="auto"/>
        <w:ind w:left="1276"/>
        <w:contextualSpacing/>
        <w:jc w:val="both"/>
        <w:rPr>
          <w:rFonts w:ascii="Times New Roman" w:hAnsi="Times New Roman"/>
          <w:b/>
          <w:color w:val="000000" w:themeColor="text1"/>
        </w:rPr>
      </w:pPr>
      <w:r w:rsidRPr="00260790">
        <w:rPr>
          <w:rFonts w:ascii="Times New Roman" w:hAnsi="Times New Roman"/>
          <w:b/>
          <w:color w:val="000000" w:themeColor="text1"/>
        </w:rPr>
        <w:t xml:space="preserve">Le tourisme </w:t>
      </w:r>
    </w:p>
    <w:p w14:paraId="5AC7BC07" w14:textId="0446C3E5" w:rsidR="002B26A5"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tourisme constitue un secteur prépondérant de l’économie nationale. La région de Dakar, véritable hub touristique, occupe une place centrale dans les activités du secteur du tourisme et de l’hôtellerie</w:t>
      </w:r>
      <w:r w:rsidR="00D204CF" w:rsidRPr="00260790">
        <w:rPr>
          <w:rFonts w:ascii="Times New Roman" w:eastAsia="Times New Roman" w:hAnsi="Times New Roman"/>
          <w:color w:val="000000" w:themeColor="text1"/>
          <w:lang w:eastAsia="fr-FR"/>
        </w:rPr>
        <w:t>.</w:t>
      </w:r>
      <w:r w:rsidRPr="00260790">
        <w:rPr>
          <w:rFonts w:ascii="Times New Roman" w:eastAsia="Times New Roman" w:hAnsi="Times New Roman"/>
          <w:color w:val="000000" w:themeColor="text1"/>
          <w:lang w:eastAsia="fr-FR"/>
        </w:rPr>
        <w:t xml:space="preserve"> </w:t>
      </w:r>
      <w:r w:rsidR="00D204CF" w:rsidRPr="00260790">
        <w:rPr>
          <w:rFonts w:ascii="Times New Roman" w:eastAsia="Times New Roman" w:hAnsi="Times New Roman"/>
          <w:color w:val="000000" w:themeColor="text1"/>
          <w:lang w:eastAsia="fr-FR"/>
        </w:rPr>
        <w:t>O</w:t>
      </w:r>
      <w:r w:rsidRPr="00260790">
        <w:rPr>
          <w:rFonts w:ascii="Times New Roman" w:eastAsia="Times New Roman" w:hAnsi="Times New Roman"/>
          <w:color w:val="000000" w:themeColor="text1"/>
          <w:lang w:eastAsia="fr-FR"/>
        </w:rPr>
        <w:t xml:space="preserve">utre, sa position géographique (reliant l’Europe, l’Afrique et l’Amérique), lui conférant une place de choix dans le tourisme d’affaires, la région dispose d’une gamme variée de produits touristiques. Au titre de l’année 2021, la région dispose de </w:t>
      </w:r>
      <w:bookmarkStart w:id="453" w:name="_Hlk188046708"/>
      <w:r w:rsidRPr="00260790">
        <w:rPr>
          <w:rFonts w:ascii="Times New Roman" w:eastAsia="Times New Roman" w:hAnsi="Times New Roman"/>
          <w:color w:val="000000" w:themeColor="text1"/>
          <w:lang w:eastAsia="fr-FR"/>
        </w:rPr>
        <w:t>147 hôtels, 137 résidences meublées, 84 auberges et 9 campements, soit un total de 377 réceptifs en termes de capacité d’hébergement</w:t>
      </w:r>
      <w:bookmarkEnd w:id="453"/>
      <w:r w:rsidRPr="00260790">
        <w:rPr>
          <w:rFonts w:ascii="Times New Roman" w:eastAsia="Times New Roman" w:hAnsi="Times New Roman"/>
          <w:color w:val="000000" w:themeColor="text1"/>
          <w:lang w:eastAsia="fr-FR"/>
        </w:rPr>
        <w:t xml:space="preserve">. Les départements de Pikine et de Keur Massar disposent au totale de 3 hôtels, 2 résidences meublées, 10 auberges et 2 campements, soit un total de 17 réceptifs en termes de capacité d’hébergement. Le département de Rufisque possède 10 hôtels, 2 résidences meublées, 9 auberges et 7 campements, soit un total de 28 réceptifs en termes de capacité d’hébergement </w:t>
      </w:r>
    </w:p>
    <w:p w14:paraId="3B853514" w14:textId="6F0863B5" w:rsidR="002B26A5" w:rsidRPr="00260790" w:rsidRDefault="002B26A5" w:rsidP="001748C6">
      <w:pPr>
        <w:numPr>
          <w:ilvl w:val="0"/>
          <w:numId w:val="348"/>
        </w:numPr>
        <w:spacing w:before="240" w:line="240" w:lineRule="auto"/>
        <w:ind w:left="1560" w:right="282"/>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Paysage, patrimoine culturel et potentiel archéologique</w:t>
      </w:r>
      <w:r w:rsidR="00D204CF" w:rsidRPr="00260790">
        <w:rPr>
          <w:rFonts w:ascii="Times New Roman" w:eastAsia="Times New Roman" w:hAnsi="Times New Roman"/>
          <w:b/>
          <w:color w:val="000000" w:themeColor="text1"/>
          <w:lang w:eastAsia="fr-FR"/>
        </w:rPr>
        <w:t>.</w:t>
      </w:r>
    </w:p>
    <w:p w14:paraId="1CEC62BB" w14:textId="77777777" w:rsidR="006A6836" w:rsidRPr="00260790" w:rsidRDefault="002B26A5" w:rsidP="0097258B">
      <w:pPr>
        <w:spacing w:line="240" w:lineRule="auto"/>
        <w:ind w:right="282"/>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La région de Dakar se caractérise par un paysage côtier, avec de belles plages de sable blanc bordées par l'océan Atlantique. La capitale sénégalaise se déploie sur une péninsule étroite, offrant des points de vue panoramiques sur l'océan et la baie de </w:t>
      </w:r>
      <w:proofErr w:type="spellStart"/>
      <w:r w:rsidRPr="00260790">
        <w:rPr>
          <w:rFonts w:ascii="Times New Roman" w:eastAsia="Times New Roman" w:hAnsi="Times New Roman"/>
          <w:color w:val="000000" w:themeColor="text1"/>
          <w:lang w:eastAsia="fr-FR"/>
        </w:rPr>
        <w:t>Hann</w:t>
      </w:r>
      <w:proofErr w:type="spellEnd"/>
      <w:r w:rsidRPr="00260790">
        <w:rPr>
          <w:rFonts w:ascii="Times New Roman" w:eastAsia="Times New Roman" w:hAnsi="Times New Roman"/>
          <w:color w:val="000000" w:themeColor="text1"/>
          <w:lang w:eastAsia="fr-FR"/>
        </w:rPr>
        <w:t>. Le relief est globalement plat, avec quelques collines et falaises ponctuelles. La végétation est principalement composée de palmiers, d'acacias et d'arbustes adap</w:t>
      </w:r>
      <w:r w:rsidR="00D204CF" w:rsidRPr="00260790">
        <w:rPr>
          <w:rFonts w:ascii="Times New Roman" w:eastAsia="Times New Roman" w:hAnsi="Times New Roman"/>
          <w:color w:val="000000" w:themeColor="text1"/>
          <w:lang w:eastAsia="fr-FR"/>
        </w:rPr>
        <w:t>té</w:t>
      </w:r>
      <w:r w:rsidRPr="00260790">
        <w:rPr>
          <w:rFonts w:ascii="Times New Roman" w:eastAsia="Times New Roman" w:hAnsi="Times New Roman"/>
          <w:color w:val="000000" w:themeColor="text1"/>
          <w:lang w:eastAsia="fr-FR"/>
        </w:rPr>
        <w:t>s au climat subtropical. La région de Dakar s’est dotée de certaines infrastructures culturelles importantes. En 2017, la région a enregistré 44 centres de documentation et bibliothèques dont 14 à Pikine, Rufisque et Keur Massar. En matière de patrimoine culturel, la région de Dakar est marquée par sa richesse en patrimoine matériel ou immatériel. Les sites historiques, représentant un patrimoine matériel, sont plus nombreux dans le département de Rufisque (Centre historique ou « Vieux Rufisque », compris entre le Canal Est, le Canal Ouest, la ligne de chemin de fer et le front de mer, Imprimerie nationale, l’Ex-</w:t>
      </w:r>
      <w:proofErr w:type="spellStart"/>
      <w:r w:rsidRPr="00260790">
        <w:rPr>
          <w:rFonts w:ascii="Times New Roman" w:eastAsia="Times New Roman" w:hAnsi="Times New Roman"/>
          <w:color w:val="000000" w:themeColor="text1"/>
          <w:lang w:eastAsia="fr-FR"/>
        </w:rPr>
        <w:t>Ecole</w:t>
      </w:r>
      <w:proofErr w:type="spellEnd"/>
      <w:r w:rsidRPr="00260790">
        <w:rPr>
          <w:rFonts w:ascii="Times New Roman" w:eastAsia="Times New Roman" w:hAnsi="Times New Roman"/>
          <w:color w:val="000000" w:themeColor="text1"/>
          <w:lang w:eastAsia="fr-FR"/>
        </w:rPr>
        <w:t xml:space="preserve"> Normale William </w:t>
      </w:r>
      <w:proofErr w:type="spellStart"/>
      <w:r w:rsidRPr="00260790">
        <w:rPr>
          <w:rFonts w:ascii="Times New Roman" w:eastAsia="Times New Roman" w:hAnsi="Times New Roman"/>
          <w:color w:val="000000" w:themeColor="text1"/>
          <w:lang w:eastAsia="fr-FR"/>
        </w:rPr>
        <w:t>Ponty</w:t>
      </w:r>
      <w:proofErr w:type="spellEnd"/>
      <w:r w:rsidRPr="00260790">
        <w:rPr>
          <w:rFonts w:ascii="Times New Roman" w:eastAsia="Times New Roman" w:hAnsi="Times New Roman"/>
          <w:color w:val="000000" w:themeColor="text1"/>
          <w:lang w:eastAsia="fr-FR"/>
        </w:rPr>
        <w:t xml:space="preserve"> de </w:t>
      </w:r>
      <w:proofErr w:type="spellStart"/>
      <w:r w:rsidRPr="00260790">
        <w:rPr>
          <w:rFonts w:ascii="Times New Roman" w:eastAsia="Times New Roman" w:hAnsi="Times New Roman"/>
          <w:color w:val="000000" w:themeColor="text1"/>
          <w:lang w:eastAsia="fr-FR"/>
        </w:rPr>
        <w:t>Sébikotane</w:t>
      </w:r>
      <w:proofErr w:type="spellEnd"/>
      <w:r w:rsidRPr="00260790">
        <w:rPr>
          <w:rFonts w:ascii="Times New Roman" w:eastAsia="Times New Roman" w:hAnsi="Times New Roman"/>
          <w:color w:val="000000" w:themeColor="text1"/>
          <w:lang w:eastAsia="fr-FR"/>
        </w:rPr>
        <w:t xml:space="preserve">, les dunes </w:t>
      </w:r>
      <w:proofErr w:type="spellStart"/>
      <w:r w:rsidRPr="00260790">
        <w:rPr>
          <w:rFonts w:ascii="Times New Roman" w:eastAsia="Times New Roman" w:hAnsi="Times New Roman"/>
          <w:color w:val="000000" w:themeColor="text1"/>
          <w:lang w:eastAsia="fr-FR"/>
        </w:rPr>
        <w:t>ogoliennes</w:t>
      </w:r>
      <w:proofErr w:type="spellEnd"/>
      <w:r w:rsidRPr="00260790">
        <w:rPr>
          <w:rFonts w:ascii="Times New Roman" w:eastAsia="Times New Roman" w:hAnsi="Times New Roman"/>
          <w:color w:val="000000" w:themeColor="text1"/>
          <w:lang w:eastAsia="fr-FR"/>
        </w:rPr>
        <w:t xml:space="preserve"> de </w:t>
      </w:r>
      <w:proofErr w:type="spellStart"/>
      <w:r w:rsidRPr="00260790">
        <w:rPr>
          <w:rFonts w:ascii="Times New Roman" w:eastAsia="Times New Roman" w:hAnsi="Times New Roman"/>
          <w:color w:val="000000" w:themeColor="text1"/>
          <w:lang w:eastAsia="fr-FR"/>
        </w:rPr>
        <w:t>Kounoune</w:t>
      </w:r>
      <w:proofErr w:type="spellEnd"/>
      <w:r w:rsidRPr="00260790">
        <w:rPr>
          <w:rFonts w:ascii="Times New Roman" w:eastAsia="Times New Roman" w:hAnsi="Times New Roman"/>
          <w:color w:val="000000" w:themeColor="text1"/>
          <w:lang w:eastAsia="fr-FR"/>
        </w:rPr>
        <w:t xml:space="preserve">, le site néolithique, le lac rose, le Cap Manuel), le département de Pikine ne possède que le Cimetière militaire de Thiaroye. </w:t>
      </w:r>
    </w:p>
    <w:p w14:paraId="58968B5F" w14:textId="23E883EA" w:rsidR="00B3058D" w:rsidRPr="00260790" w:rsidRDefault="002B26A5" w:rsidP="0097258B">
      <w:pPr>
        <w:spacing w:line="240" w:lineRule="auto"/>
        <w:ind w:right="282"/>
        <w:jc w:val="both"/>
        <w:rPr>
          <w:rFonts w:ascii="Times New Roman" w:hAnsi="Times New Roman"/>
        </w:rPr>
      </w:pPr>
      <w:r w:rsidRPr="00260790">
        <w:rPr>
          <w:rFonts w:ascii="Times New Roman" w:eastAsia="Times New Roman" w:hAnsi="Times New Roman"/>
          <w:color w:val="000000" w:themeColor="text1"/>
          <w:lang w:eastAsia="fr-FR"/>
        </w:rPr>
        <w:lastRenderedPageBreak/>
        <w:t xml:space="preserve">Le patrimoine immatériel est très diversifié dans la région de Dakar. Il s’agit, entre autres de </w:t>
      </w:r>
      <w:r w:rsidRPr="00260790">
        <w:rPr>
          <w:rFonts w:ascii="Times New Roman" w:eastAsia="Times New Roman" w:hAnsi="Times New Roman"/>
          <w:b/>
          <w:bCs/>
          <w:color w:val="000000" w:themeColor="text1"/>
          <w:lang w:eastAsia="fr-FR"/>
        </w:rPr>
        <w:t xml:space="preserve">Tuur Mame Coumba Lamb : </w:t>
      </w:r>
      <w:r w:rsidRPr="00260790">
        <w:rPr>
          <w:rFonts w:ascii="Times New Roman" w:eastAsia="Times New Roman" w:hAnsi="Times New Roman"/>
          <w:color w:val="000000" w:themeColor="text1"/>
          <w:lang w:eastAsia="fr-FR"/>
        </w:rPr>
        <w:t xml:space="preserve">au génie de Rufisque ; </w:t>
      </w:r>
      <w:r w:rsidRPr="00260790">
        <w:rPr>
          <w:rFonts w:ascii="Times New Roman" w:eastAsia="Times New Roman" w:hAnsi="Times New Roman"/>
          <w:b/>
          <w:bCs/>
          <w:color w:val="000000" w:themeColor="text1"/>
          <w:lang w:eastAsia="fr-FR"/>
        </w:rPr>
        <w:t xml:space="preserve">Tuur de Bargny et alentour </w:t>
      </w:r>
      <w:r w:rsidRPr="00260790">
        <w:rPr>
          <w:rFonts w:ascii="Times New Roman" w:eastAsia="Times New Roman" w:hAnsi="Times New Roman"/>
          <w:color w:val="000000" w:themeColor="text1"/>
          <w:lang w:eastAsia="fr-FR"/>
        </w:rPr>
        <w:t>(Sébikhotane, Bamb</w:t>
      </w:r>
      <w:r w:rsidR="009E4304">
        <w:rPr>
          <w:rFonts w:ascii="Times New Roman" w:eastAsia="Times New Roman" w:hAnsi="Times New Roman"/>
          <w:color w:val="000000" w:themeColor="text1"/>
          <w:lang w:eastAsia="fr-FR"/>
        </w:rPr>
        <w:t>i</w:t>
      </w:r>
      <w:r w:rsidRPr="00260790">
        <w:rPr>
          <w:rFonts w:ascii="Times New Roman" w:eastAsia="Times New Roman" w:hAnsi="Times New Roman"/>
          <w:color w:val="000000" w:themeColor="text1"/>
          <w:lang w:eastAsia="fr-FR"/>
        </w:rPr>
        <w:t xml:space="preserve">lor, </w:t>
      </w:r>
      <w:proofErr w:type="spellStart"/>
      <w:r w:rsidRPr="00260790">
        <w:rPr>
          <w:rFonts w:ascii="Times New Roman" w:eastAsia="Times New Roman" w:hAnsi="Times New Roman"/>
          <w:color w:val="000000" w:themeColor="text1"/>
          <w:lang w:eastAsia="fr-FR"/>
        </w:rPr>
        <w:t>Sendou</w:t>
      </w:r>
      <w:proofErr w:type="spellEnd"/>
      <w:r w:rsidRPr="00260790">
        <w:rPr>
          <w:rFonts w:ascii="Times New Roman" w:eastAsia="Times New Roman" w:hAnsi="Times New Roman"/>
          <w:color w:val="000000" w:themeColor="text1"/>
          <w:lang w:eastAsia="fr-FR"/>
        </w:rPr>
        <w:t xml:space="preserve">, </w:t>
      </w:r>
      <w:proofErr w:type="spellStart"/>
      <w:r w:rsidRPr="00260790">
        <w:rPr>
          <w:rFonts w:ascii="Times New Roman" w:eastAsia="Times New Roman" w:hAnsi="Times New Roman"/>
          <w:color w:val="000000" w:themeColor="text1"/>
          <w:lang w:eastAsia="fr-FR"/>
        </w:rPr>
        <w:t>Yène</w:t>
      </w:r>
      <w:proofErr w:type="spellEnd"/>
      <w:r w:rsidRPr="00260790">
        <w:rPr>
          <w:rFonts w:ascii="Times New Roman" w:eastAsia="Times New Roman" w:hAnsi="Times New Roman"/>
          <w:color w:val="000000" w:themeColor="text1"/>
          <w:lang w:eastAsia="fr-FR"/>
        </w:rPr>
        <w:t xml:space="preserve">, Toubab Dialaw, Déni </w:t>
      </w:r>
      <w:proofErr w:type="spellStart"/>
      <w:r w:rsidRPr="00260790">
        <w:rPr>
          <w:rFonts w:ascii="Times New Roman" w:eastAsia="Times New Roman" w:hAnsi="Times New Roman"/>
          <w:color w:val="000000" w:themeColor="text1"/>
          <w:lang w:eastAsia="fr-FR"/>
        </w:rPr>
        <w:t>Birame</w:t>
      </w:r>
      <w:proofErr w:type="spellEnd"/>
      <w:r w:rsidRPr="00260790">
        <w:rPr>
          <w:rFonts w:ascii="Times New Roman" w:eastAsia="Times New Roman" w:hAnsi="Times New Roman"/>
          <w:color w:val="000000" w:themeColor="text1"/>
          <w:lang w:eastAsia="fr-FR"/>
        </w:rPr>
        <w:t xml:space="preserve"> Ndaw, Déni Malick Guèye, Keur Samba Guèye, etc.). Par rapport aux activités culturelles, elles reflètent une vie culturelle très rythmée dans la région</w:t>
      </w:r>
      <w:r w:rsidR="00166404" w:rsidRPr="00260790">
        <w:rPr>
          <w:rFonts w:ascii="Times New Roman" w:eastAsia="Times New Roman" w:hAnsi="Times New Roman"/>
          <w:color w:val="000000" w:themeColor="text1"/>
          <w:lang w:eastAsia="fr-FR"/>
        </w:rPr>
        <w:t>.</w:t>
      </w:r>
      <w:r w:rsidRPr="00260790">
        <w:rPr>
          <w:rFonts w:ascii="Times New Roman" w:eastAsia="Times New Roman" w:hAnsi="Times New Roman"/>
          <w:color w:val="000000" w:themeColor="text1"/>
          <w:lang w:eastAsia="fr-FR"/>
        </w:rPr>
        <w:t xml:space="preserve"> </w:t>
      </w:r>
      <w:r w:rsidR="006A6836" w:rsidRPr="00260790">
        <w:rPr>
          <w:rFonts w:ascii="Times New Roman" w:eastAsia="Times New Roman" w:hAnsi="Times New Roman"/>
          <w:color w:val="000000" w:themeColor="text1"/>
          <w:lang w:eastAsia="fr-FR"/>
        </w:rPr>
        <w:t>Quelques-unes</w:t>
      </w:r>
      <w:r w:rsidRPr="00260790">
        <w:rPr>
          <w:rFonts w:ascii="Times New Roman" w:eastAsia="Times New Roman" w:hAnsi="Times New Roman"/>
          <w:color w:val="000000" w:themeColor="text1"/>
          <w:lang w:eastAsia="fr-FR"/>
        </w:rPr>
        <w:t xml:space="preserve"> d’entre elles peuvent être citées : le banlieue rythme, le </w:t>
      </w:r>
      <w:r w:rsidR="006A6836" w:rsidRPr="00260790">
        <w:rPr>
          <w:rFonts w:ascii="Times New Roman" w:eastAsia="Times New Roman" w:hAnsi="Times New Roman"/>
          <w:color w:val="000000" w:themeColor="text1"/>
          <w:lang w:eastAsia="fr-FR"/>
        </w:rPr>
        <w:t>B</w:t>
      </w:r>
      <w:r w:rsidRPr="00260790">
        <w:rPr>
          <w:rFonts w:ascii="Times New Roman" w:eastAsia="Times New Roman" w:hAnsi="Times New Roman"/>
          <w:color w:val="000000" w:themeColor="text1"/>
          <w:lang w:eastAsia="fr-FR"/>
        </w:rPr>
        <w:t xml:space="preserve">argny rythmes-sur-mer, le </w:t>
      </w:r>
      <w:proofErr w:type="spellStart"/>
      <w:r w:rsidR="006A6836" w:rsidRPr="00260790">
        <w:rPr>
          <w:rFonts w:ascii="Times New Roman" w:eastAsia="Times New Roman" w:hAnsi="Times New Roman"/>
          <w:color w:val="000000" w:themeColor="text1"/>
          <w:lang w:eastAsia="fr-FR"/>
        </w:rPr>
        <w:t>Dalifort</w:t>
      </w:r>
      <w:proofErr w:type="spellEnd"/>
      <w:r w:rsidRPr="00260790">
        <w:rPr>
          <w:rFonts w:ascii="Times New Roman" w:eastAsia="Times New Roman" w:hAnsi="Times New Roman"/>
          <w:color w:val="000000" w:themeColor="text1"/>
          <w:lang w:eastAsia="fr-FR"/>
        </w:rPr>
        <w:t xml:space="preserve"> danse festival, la journée mondiale du théâtre, etc.</w:t>
      </w:r>
    </w:p>
    <w:p w14:paraId="6A8676B4" w14:textId="7EF80A28" w:rsidR="005F3FB7" w:rsidRPr="00260790" w:rsidRDefault="005F3FB7" w:rsidP="003B6588">
      <w:pPr>
        <w:pStyle w:val="CHAPITRE1"/>
        <w:rPr>
          <w:rFonts w:cs="Times New Roman"/>
        </w:rPr>
      </w:pPr>
      <w:bookmarkStart w:id="454" w:name="_Toc212725111"/>
      <w:r w:rsidRPr="00260790">
        <w:rPr>
          <w:rFonts w:cs="Times New Roman"/>
        </w:rPr>
        <w:t>Enjeux environnementaux et sociaux</w:t>
      </w:r>
      <w:bookmarkEnd w:id="454"/>
    </w:p>
    <w:p w14:paraId="4384D60F" w14:textId="0F5AE3A3" w:rsidR="005F3FB7" w:rsidRPr="00260790" w:rsidRDefault="005F3FB7" w:rsidP="0097258B">
      <w:pPr>
        <w:pStyle w:val="Corpsdetexte2"/>
        <w:spacing w:line="240" w:lineRule="auto"/>
        <w:ind w:right="-2"/>
        <w:rPr>
          <w:color w:val="000000" w:themeColor="text1"/>
        </w:rPr>
      </w:pPr>
      <w:r w:rsidRPr="00260790">
        <w:rPr>
          <w:color w:val="000000" w:themeColor="text1"/>
        </w:rPr>
        <w:t xml:space="preserve">Les enjeux environnementaux et sociaux des travaux dans la partie </w:t>
      </w:r>
      <w:r w:rsidR="00423838" w:rsidRPr="00260790">
        <w:rPr>
          <w:color w:val="000000" w:themeColor="text1"/>
        </w:rPr>
        <w:t>sud</w:t>
      </w:r>
      <w:r w:rsidRPr="00260790">
        <w:rPr>
          <w:color w:val="000000" w:themeColor="text1"/>
        </w:rPr>
        <w:t xml:space="preserve"> du bassin versant du marigot de Mbao supposent que la zone soit considérée comme une entité écosystémique dont les règles de fonctionnement naturel doivent être respectées, indépendamment des nécessités de développement socio-économiques. À cet effet, les aménagements prévus devront prendre en compte la préservation des écosystèmes (urbain et forestier) par un dimensionnement des ouvrages qui garantit un bon drainage des eaux, préserve les écosystèmes, améliore le cadre de vie des populations riveraines. La prise en compte de ces enjeux permet d’appréhender les composantes du milieu (physique, </w:t>
      </w:r>
      <w:r w:rsidR="00094DF9" w:rsidRPr="00260790">
        <w:rPr>
          <w:color w:val="000000" w:themeColor="text1"/>
        </w:rPr>
        <w:t xml:space="preserve">biologique, </w:t>
      </w:r>
      <w:r w:rsidRPr="00260790">
        <w:rPr>
          <w:color w:val="000000" w:themeColor="text1"/>
        </w:rPr>
        <w:t>humain et socio-économique) qui doivent être considérées et d’apprécier les inquiétudes ou préoccupations de toutes les parties prenantes du projet.</w:t>
      </w:r>
    </w:p>
    <w:p w14:paraId="5A14C694" w14:textId="30C57257" w:rsidR="005F3FB7" w:rsidRPr="00260790" w:rsidRDefault="00294859" w:rsidP="003B6588">
      <w:pPr>
        <w:pStyle w:val="CHAPITRE1"/>
        <w:rPr>
          <w:rFonts w:cs="Times New Roman"/>
        </w:rPr>
      </w:pPr>
      <w:bookmarkStart w:id="455" w:name="_Toc212725112"/>
      <w:r w:rsidRPr="00260790">
        <w:rPr>
          <w:rFonts w:cs="Times New Roman"/>
        </w:rPr>
        <w:t>É</w:t>
      </w:r>
      <w:r w:rsidR="005F3FB7" w:rsidRPr="00260790">
        <w:rPr>
          <w:rFonts w:cs="Times New Roman"/>
        </w:rPr>
        <w:t xml:space="preserve">tablissements </w:t>
      </w:r>
      <w:r w:rsidR="00D819E9" w:rsidRPr="00260790">
        <w:rPr>
          <w:rFonts w:cs="Times New Roman"/>
        </w:rPr>
        <w:t>recevant</w:t>
      </w:r>
      <w:r w:rsidR="005F3FB7" w:rsidRPr="00260790">
        <w:rPr>
          <w:rFonts w:cs="Times New Roman"/>
        </w:rPr>
        <w:t xml:space="preserve"> du public dans un rayon de 500m des ouvrages</w:t>
      </w:r>
      <w:bookmarkEnd w:id="455"/>
      <w:r w:rsidR="005F3FB7" w:rsidRPr="00260790">
        <w:rPr>
          <w:rFonts w:cs="Times New Roman"/>
        </w:rPr>
        <w:t xml:space="preserve"> </w:t>
      </w:r>
    </w:p>
    <w:p w14:paraId="6A130064" w14:textId="781E800E" w:rsidR="005F3FB7" w:rsidRPr="00260790" w:rsidRDefault="005F3FB7" w:rsidP="0097258B">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Les unités sensibles dans la zone sont essentiellement composées d</w:t>
      </w:r>
      <w:r w:rsidR="00896F7C" w:rsidRPr="00260790">
        <w:rPr>
          <w:rFonts w:ascii="Times New Roman" w:hAnsi="Times New Roman"/>
          <w:color w:val="000000" w:themeColor="text1"/>
          <w:lang w:eastAsia="fr-FR"/>
        </w:rPr>
        <w:t>’</w:t>
      </w:r>
      <w:r w:rsidRPr="00260790">
        <w:rPr>
          <w:rFonts w:ascii="Times New Roman" w:hAnsi="Times New Roman"/>
          <w:color w:val="000000" w:themeColor="text1"/>
          <w:lang w:eastAsia="fr-FR"/>
        </w:rPr>
        <w:t>écoles et des mosquées. Le tableau qui suit présente la liste des unités rencontrées dans la zone :</w:t>
      </w:r>
    </w:p>
    <w:p w14:paraId="181F29DB" w14:textId="460D3391" w:rsidR="006E3E49" w:rsidRPr="00260790" w:rsidRDefault="005F3FB7" w:rsidP="003C783E">
      <w:pPr>
        <w:pStyle w:val="Lgende"/>
        <w:keepNext/>
        <w:spacing w:line="240" w:lineRule="auto"/>
        <w:rPr>
          <w:i w:val="0"/>
          <w:iCs w:val="0"/>
          <w:color w:val="000000" w:themeColor="text1"/>
          <w:sz w:val="22"/>
          <w:szCs w:val="22"/>
        </w:rPr>
      </w:pPr>
      <w:bookmarkStart w:id="456" w:name="_Toc207781854"/>
      <w:r w:rsidRPr="00260790">
        <w:rPr>
          <w:i w:val="0"/>
          <w:iCs w:val="0"/>
          <w:color w:val="000000" w:themeColor="text1"/>
          <w:sz w:val="22"/>
          <w:szCs w:val="22"/>
        </w:rPr>
        <w:t xml:space="preserve">Tableau </w:t>
      </w:r>
      <w:r w:rsidRPr="00260790">
        <w:rPr>
          <w:i w:val="0"/>
          <w:iCs w:val="0"/>
          <w:color w:val="000000" w:themeColor="text1"/>
          <w:sz w:val="22"/>
          <w:szCs w:val="22"/>
        </w:rPr>
        <w:fldChar w:fldCharType="begin"/>
      </w:r>
      <w:r w:rsidRPr="00260790">
        <w:rPr>
          <w:i w:val="0"/>
          <w:iCs w:val="0"/>
          <w:color w:val="000000" w:themeColor="text1"/>
          <w:sz w:val="22"/>
          <w:szCs w:val="22"/>
        </w:rPr>
        <w:instrText xml:space="preserve"> SEQ Tableau \* ARABIC </w:instrText>
      </w:r>
      <w:r w:rsidRPr="00260790">
        <w:rPr>
          <w:i w:val="0"/>
          <w:iCs w:val="0"/>
          <w:color w:val="000000" w:themeColor="text1"/>
          <w:sz w:val="22"/>
          <w:szCs w:val="22"/>
        </w:rPr>
        <w:fldChar w:fldCharType="separate"/>
      </w:r>
      <w:r w:rsidR="003C783E">
        <w:rPr>
          <w:i w:val="0"/>
          <w:iCs w:val="0"/>
          <w:noProof/>
          <w:color w:val="000000" w:themeColor="text1"/>
          <w:sz w:val="22"/>
          <w:szCs w:val="22"/>
        </w:rPr>
        <w:t>13</w:t>
      </w:r>
      <w:r w:rsidRPr="00260790">
        <w:rPr>
          <w:i w:val="0"/>
          <w:iCs w:val="0"/>
          <w:color w:val="000000" w:themeColor="text1"/>
          <w:sz w:val="22"/>
          <w:szCs w:val="22"/>
        </w:rPr>
        <w:fldChar w:fldCharType="end"/>
      </w:r>
      <w:r w:rsidRPr="00260790">
        <w:rPr>
          <w:i w:val="0"/>
          <w:iCs w:val="0"/>
          <w:color w:val="000000" w:themeColor="text1"/>
          <w:sz w:val="22"/>
          <w:szCs w:val="22"/>
        </w:rPr>
        <w:t> :</w:t>
      </w:r>
      <w:r w:rsidR="00896F7C" w:rsidRPr="00260790">
        <w:rPr>
          <w:i w:val="0"/>
          <w:iCs w:val="0"/>
          <w:color w:val="000000" w:themeColor="text1"/>
          <w:sz w:val="22"/>
          <w:szCs w:val="22"/>
        </w:rPr>
        <w:t xml:space="preserve"> </w:t>
      </w:r>
      <w:r w:rsidRPr="00260790">
        <w:rPr>
          <w:i w:val="0"/>
          <w:iCs w:val="0"/>
          <w:color w:val="000000" w:themeColor="text1"/>
          <w:sz w:val="22"/>
          <w:szCs w:val="22"/>
        </w:rPr>
        <w:t>liste des établissements recevant du pub</w:t>
      </w:r>
      <w:r w:rsidR="0083250E" w:rsidRPr="00260790">
        <w:rPr>
          <w:i w:val="0"/>
          <w:iCs w:val="0"/>
          <w:color w:val="000000" w:themeColor="text1"/>
          <w:sz w:val="22"/>
          <w:szCs w:val="22"/>
        </w:rPr>
        <w:t>l</w:t>
      </w:r>
      <w:r w:rsidRPr="00260790">
        <w:rPr>
          <w:i w:val="0"/>
          <w:iCs w:val="0"/>
          <w:color w:val="000000" w:themeColor="text1"/>
          <w:sz w:val="22"/>
          <w:szCs w:val="22"/>
        </w:rPr>
        <w:t>ic dans un rayon de 500 m</w:t>
      </w:r>
      <w:r w:rsidR="00423838" w:rsidRPr="00260790">
        <w:rPr>
          <w:i w:val="0"/>
          <w:iCs w:val="0"/>
          <w:color w:val="000000" w:themeColor="text1"/>
          <w:sz w:val="22"/>
          <w:szCs w:val="22"/>
        </w:rPr>
        <w:t xml:space="preserve"> autour des bassins</w:t>
      </w:r>
      <w:bookmarkEnd w:id="456"/>
    </w:p>
    <w:tbl>
      <w:tblPr>
        <w:tblW w:w="8647" w:type="dxa"/>
        <w:tblInd w:w="137" w:type="dxa"/>
        <w:tblCellMar>
          <w:left w:w="70" w:type="dxa"/>
          <w:right w:w="70" w:type="dxa"/>
        </w:tblCellMar>
        <w:tblLook w:val="04A0" w:firstRow="1" w:lastRow="0" w:firstColumn="1" w:lastColumn="0" w:noHBand="0" w:noVBand="1"/>
      </w:tblPr>
      <w:tblGrid>
        <w:gridCol w:w="3402"/>
        <w:gridCol w:w="2390"/>
        <w:gridCol w:w="1437"/>
        <w:gridCol w:w="1423"/>
      </w:tblGrid>
      <w:tr w:rsidR="008D71D0" w:rsidRPr="00260790" w14:paraId="3836F74E" w14:textId="77777777" w:rsidTr="0097258B">
        <w:trPr>
          <w:trHeight w:val="290"/>
          <w:tblHeader/>
        </w:trPr>
        <w:tc>
          <w:tcPr>
            <w:tcW w:w="3402" w:type="dxa"/>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10506833" w14:textId="591060B3" w:rsidR="006E3E49" w:rsidRPr="00260790" w:rsidRDefault="00622450" w:rsidP="006A6836">
            <w:pPr>
              <w:spacing w:after="0" w:line="240" w:lineRule="auto"/>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Établissements</w:t>
            </w:r>
            <w:r w:rsidR="00423838" w:rsidRPr="00260790">
              <w:rPr>
                <w:rFonts w:ascii="Times New Roman" w:eastAsia="Times New Roman" w:hAnsi="Times New Roman"/>
                <w:b/>
                <w:bCs/>
                <w:color w:val="000000" w:themeColor="text1"/>
                <w:lang w:eastAsia="fr-FR"/>
              </w:rPr>
              <w:t xml:space="preserve"> Sensible</w:t>
            </w:r>
            <w:r w:rsidRPr="00260790">
              <w:rPr>
                <w:rFonts w:ascii="Times New Roman" w:eastAsia="Times New Roman" w:hAnsi="Times New Roman"/>
                <w:b/>
                <w:bCs/>
                <w:color w:val="000000" w:themeColor="text1"/>
                <w:lang w:eastAsia="fr-FR"/>
              </w:rPr>
              <w:t>s</w:t>
            </w:r>
          </w:p>
        </w:tc>
        <w:tc>
          <w:tcPr>
            <w:tcW w:w="2390" w:type="dxa"/>
            <w:tcBorders>
              <w:top w:val="single" w:sz="4" w:space="0" w:color="auto"/>
              <w:left w:val="nil"/>
              <w:bottom w:val="single" w:sz="4" w:space="0" w:color="auto"/>
              <w:right w:val="single" w:sz="4" w:space="0" w:color="auto"/>
            </w:tcBorders>
            <w:shd w:val="clear" w:color="000000" w:fill="FCE4D6"/>
            <w:noWrap/>
            <w:vAlign w:val="center"/>
            <w:hideMark/>
          </w:tcPr>
          <w:p w14:paraId="77BA1596" w14:textId="6F5E1856" w:rsidR="006E3E49" w:rsidRPr="00260790" w:rsidRDefault="00423838" w:rsidP="00E20250">
            <w:pPr>
              <w:spacing w:after="0" w:line="240" w:lineRule="auto"/>
              <w:ind w:left="567"/>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Quartiers</w:t>
            </w:r>
          </w:p>
        </w:tc>
        <w:tc>
          <w:tcPr>
            <w:tcW w:w="1437" w:type="dxa"/>
            <w:tcBorders>
              <w:top w:val="single" w:sz="4" w:space="0" w:color="auto"/>
              <w:left w:val="nil"/>
              <w:bottom w:val="single" w:sz="4" w:space="0" w:color="auto"/>
              <w:right w:val="single" w:sz="4" w:space="0" w:color="auto"/>
            </w:tcBorders>
            <w:shd w:val="clear" w:color="000000" w:fill="FCE4D6"/>
            <w:noWrap/>
            <w:vAlign w:val="center"/>
            <w:hideMark/>
          </w:tcPr>
          <w:p w14:paraId="38DB0A03" w14:textId="635FC8A4" w:rsidR="006E3E49" w:rsidRPr="00260790" w:rsidRDefault="00423838" w:rsidP="006A6836">
            <w:pPr>
              <w:spacing w:after="0" w:line="240" w:lineRule="auto"/>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Bassins</w:t>
            </w:r>
          </w:p>
        </w:tc>
        <w:tc>
          <w:tcPr>
            <w:tcW w:w="1418" w:type="dxa"/>
            <w:tcBorders>
              <w:top w:val="single" w:sz="4" w:space="0" w:color="auto"/>
              <w:left w:val="nil"/>
              <w:bottom w:val="single" w:sz="4" w:space="0" w:color="auto"/>
              <w:right w:val="single" w:sz="4" w:space="0" w:color="auto"/>
            </w:tcBorders>
            <w:shd w:val="clear" w:color="000000" w:fill="FCE4D6"/>
            <w:noWrap/>
            <w:vAlign w:val="center"/>
            <w:hideMark/>
          </w:tcPr>
          <w:p w14:paraId="461BEBEF" w14:textId="3559338E" w:rsidR="006E3E49" w:rsidRPr="00260790" w:rsidRDefault="00423838" w:rsidP="006A6836">
            <w:pPr>
              <w:spacing w:after="0" w:line="240" w:lineRule="auto"/>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Distance (mètres)</w:t>
            </w:r>
          </w:p>
        </w:tc>
      </w:tr>
      <w:tr w:rsidR="009E4304" w:rsidRPr="00260790" w14:paraId="4516B74F" w14:textId="77777777" w:rsidTr="0097258B">
        <w:trPr>
          <w:trHeight w:val="81"/>
        </w:trPr>
        <w:tc>
          <w:tcPr>
            <w:tcW w:w="3402" w:type="dxa"/>
            <w:tcBorders>
              <w:top w:val="nil"/>
              <w:left w:val="single" w:sz="4" w:space="0" w:color="auto"/>
              <w:bottom w:val="single" w:sz="4" w:space="0" w:color="auto"/>
              <w:right w:val="single" w:sz="4" w:space="0" w:color="auto"/>
            </w:tcBorders>
            <w:noWrap/>
            <w:vAlign w:val="center"/>
            <w:hideMark/>
          </w:tcPr>
          <w:p w14:paraId="2FBA501E" w14:textId="2A197064"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Centre Médicale Traditionnel</w:t>
            </w:r>
          </w:p>
        </w:tc>
        <w:tc>
          <w:tcPr>
            <w:tcW w:w="2390" w:type="dxa"/>
            <w:tcBorders>
              <w:top w:val="nil"/>
              <w:left w:val="nil"/>
              <w:bottom w:val="single" w:sz="4" w:space="0" w:color="auto"/>
              <w:right w:val="single" w:sz="4" w:space="0" w:color="auto"/>
            </w:tcBorders>
            <w:noWrap/>
            <w:vAlign w:val="center"/>
            <w:hideMark/>
          </w:tcPr>
          <w:p w14:paraId="19A04E24" w14:textId="2CF971A3"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Baye Niass</w:t>
            </w:r>
          </w:p>
        </w:tc>
        <w:tc>
          <w:tcPr>
            <w:tcW w:w="1437" w:type="dxa"/>
            <w:tcBorders>
              <w:top w:val="nil"/>
              <w:left w:val="nil"/>
              <w:bottom w:val="single" w:sz="4" w:space="0" w:color="auto"/>
              <w:right w:val="single" w:sz="4" w:space="0" w:color="auto"/>
            </w:tcBorders>
            <w:noWrap/>
            <w:vAlign w:val="center"/>
            <w:hideMark/>
          </w:tcPr>
          <w:p w14:paraId="35E27A3E" w14:textId="788954BA"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BR-NC-10</w:t>
            </w:r>
          </w:p>
        </w:tc>
        <w:tc>
          <w:tcPr>
            <w:tcW w:w="1418" w:type="dxa"/>
            <w:tcBorders>
              <w:top w:val="nil"/>
              <w:left w:val="nil"/>
              <w:bottom w:val="single" w:sz="4" w:space="0" w:color="auto"/>
              <w:right w:val="single" w:sz="4" w:space="0" w:color="auto"/>
            </w:tcBorders>
            <w:noWrap/>
            <w:vAlign w:val="center"/>
            <w:hideMark/>
          </w:tcPr>
          <w:p w14:paraId="4C787B15" w14:textId="47844D98" w:rsidR="009E4304" w:rsidRPr="00260790" w:rsidRDefault="009E4304" w:rsidP="009E4304">
            <w:pPr>
              <w:spacing w:after="0" w:line="240" w:lineRule="auto"/>
              <w:ind w:left="567"/>
              <w:jc w:val="right"/>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56. 780</w:t>
            </w:r>
          </w:p>
        </w:tc>
      </w:tr>
      <w:tr w:rsidR="009E4304" w:rsidRPr="00260790" w14:paraId="682E710E" w14:textId="77777777" w:rsidTr="0097258B">
        <w:trPr>
          <w:trHeight w:val="81"/>
        </w:trPr>
        <w:tc>
          <w:tcPr>
            <w:tcW w:w="3402" w:type="dxa"/>
            <w:tcBorders>
              <w:top w:val="nil"/>
              <w:left w:val="single" w:sz="4" w:space="0" w:color="auto"/>
              <w:bottom w:val="single" w:sz="4" w:space="0" w:color="auto"/>
              <w:right w:val="single" w:sz="4" w:space="0" w:color="auto"/>
            </w:tcBorders>
            <w:noWrap/>
            <w:vAlign w:val="center"/>
            <w:hideMark/>
          </w:tcPr>
          <w:p w14:paraId="13833402" w14:textId="39A19AF5"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Préscolaire Élémentaire</w:t>
            </w:r>
          </w:p>
        </w:tc>
        <w:tc>
          <w:tcPr>
            <w:tcW w:w="2390" w:type="dxa"/>
            <w:tcBorders>
              <w:top w:val="nil"/>
              <w:left w:val="nil"/>
              <w:bottom w:val="single" w:sz="4" w:space="0" w:color="auto"/>
              <w:right w:val="single" w:sz="4" w:space="0" w:color="auto"/>
            </w:tcBorders>
            <w:noWrap/>
            <w:vAlign w:val="center"/>
            <w:hideMark/>
          </w:tcPr>
          <w:p w14:paraId="2B6EF031" w14:textId="07C28193"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Hamdallah3</w:t>
            </w:r>
          </w:p>
        </w:tc>
        <w:tc>
          <w:tcPr>
            <w:tcW w:w="1437" w:type="dxa"/>
            <w:tcBorders>
              <w:top w:val="nil"/>
              <w:left w:val="nil"/>
              <w:bottom w:val="single" w:sz="4" w:space="0" w:color="auto"/>
              <w:right w:val="single" w:sz="4" w:space="0" w:color="auto"/>
            </w:tcBorders>
            <w:noWrap/>
            <w:vAlign w:val="center"/>
            <w:hideMark/>
          </w:tcPr>
          <w:p w14:paraId="5A015BDE" w14:textId="4BF18C57"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BR -NC-09a</w:t>
            </w:r>
          </w:p>
        </w:tc>
        <w:tc>
          <w:tcPr>
            <w:tcW w:w="1418" w:type="dxa"/>
            <w:tcBorders>
              <w:top w:val="nil"/>
              <w:left w:val="nil"/>
              <w:bottom w:val="single" w:sz="4" w:space="0" w:color="auto"/>
              <w:right w:val="single" w:sz="4" w:space="0" w:color="auto"/>
            </w:tcBorders>
            <w:noWrap/>
            <w:vAlign w:val="center"/>
            <w:hideMark/>
          </w:tcPr>
          <w:p w14:paraId="012E4C36" w14:textId="0CA1B854" w:rsidR="009E4304" w:rsidRPr="00260790" w:rsidRDefault="009E4304" w:rsidP="009E4304">
            <w:pPr>
              <w:spacing w:after="0" w:line="240" w:lineRule="auto"/>
              <w:ind w:left="567"/>
              <w:jc w:val="right"/>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38,241</w:t>
            </w:r>
          </w:p>
        </w:tc>
      </w:tr>
      <w:tr w:rsidR="009E4304" w:rsidRPr="00260790" w14:paraId="2413B7E1" w14:textId="77777777" w:rsidTr="0097258B">
        <w:trPr>
          <w:trHeight w:val="290"/>
        </w:trPr>
        <w:tc>
          <w:tcPr>
            <w:tcW w:w="3402" w:type="dxa"/>
            <w:tcBorders>
              <w:top w:val="nil"/>
              <w:left w:val="single" w:sz="4" w:space="0" w:color="auto"/>
              <w:bottom w:val="single" w:sz="4" w:space="0" w:color="auto"/>
              <w:right w:val="single" w:sz="4" w:space="0" w:color="auto"/>
            </w:tcBorders>
            <w:noWrap/>
            <w:vAlign w:val="center"/>
            <w:hideMark/>
          </w:tcPr>
          <w:p w14:paraId="58B42431" w14:textId="3329365F"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Franco- Arabe</w:t>
            </w:r>
          </w:p>
        </w:tc>
        <w:tc>
          <w:tcPr>
            <w:tcW w:w="2390" w:type="dxa"/>
            <w:tcBorders>
              <w:top w:val="nil"/>
              <w:left w:val="nil"/>
              <w:bottom w:val="single" w:sz="4" w:space="0" w:color="auto"/>
              <w:right w:val="single" w:sz="4" w:space="0" w:color="auto"/>
            </w:tcBorders>
            <w:noWrap/>
            <w:vAlign w:val="center"/>
            <w:hideMark/>
          </w:tcPr>
          <w:p w14:paraId="11DD45A5" w14:textId="4F17BBC5"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PA-U 24/25</w:t>
            </w:r>
          </w:p>
        </w:tc>
        <w:tc>
          <w:tcPr>
            <w:tcW w:w="1437" w:type="dxa"/>
            <w:tcBorders>
              <w:top w:val="nil"/>
              <w:left w:val="nil"/>
              <w:bottom w:val="single" w:sz="4" w:space="0" w:color="auto"/>
              <w:right w:val="single" w:sz="4" w:space="0" w:color="auto"/>
            </w:tcBorders>
            <w:noWrap/>
            <w:vAlign w:val="center"/>
            <w:hideMark/>
          </w:tcPr>
          <w:p w14:paraId="70C5763F" w14:textId="5C8B4590"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BR-NC-09a</w:t>
            </w:r>
          </w:p>
        </w:tc>
        <w:tc>
          <w:tcPr>
            <w:tcW w:w="1418" w:type="dxa"/>
            <w:tcBorders>
              <w:top w:val="nil"/>
              <w:left w:val="nil"/>
              <w:bottom w:val="single" w:sz="4" w:space="0" w:color="auto"/>
              <w:right w:val="single" w:sz="4" w:space="0" w:color="auto"/>
            </w:tcBorders>
            <w:noWrap/>
            <w:vAlign w:val="center"/>
            <w:hideMark/>
          </w:tcPr>
          <w:p w14:paraId="62564EA3" w14:textId="65F88CB6" w:rsidR="009E4304" w:rsidRPr="00260790" w:rsidRDefault="009E4304" w:rsidP="009E4304">
            <w:pPr>
              <w:spacing w:after="0" w:line="240" w:lineRule="auto"/>
              <w:ind w:left="567"/>
              <w:jc w:val="right"/>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51,418</w:t>
            </w:r>
          </w:p>
        </w:tc>
      </w:tr>
      <w:tr w:rsidR="009E4304" w:rsidRPr="00260790" w14:paraId="37603379" w14:textId="77777777" w:rsidTr="0097258B">
        <w:trPr>
          <w:trHeight w:val="290"/>
        </w:trPr>
        <w:tc>
          <w:tcPr>
            <w:tcW w:w="3402" w:type="dxa"/>
            <w:tcBorders>
              <w:top w:val="nil"/>
              <w:left w:val="single" w:sz="4" w:space="0" w:color="auto"/>
              <w:bottom w:val="single" w:sz="4" w:space="0" w:color="auto"/>
              <w:right w:val="single" w:sz="4" w:space="0" w:color="auto"/>
            </w:tcBorders>
            <w:noWrap/>
            <w:vAlign w:val="center"/>
            <w:hideMark/>
          </w:tcPr>
          <w:p w14:paraId="23820576" w14:textId="0B3B156F"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École -Madiba</w:t>
            </w:r>
          </w:p>
        </w:tc>
        <w:tc>
          <w:tcPr>
            <w:tcW w:w="2390" w:type="dxa"/>
            <w:tcBorders>
              <w:top w:val="nil"/>
              <w:left w:val="nil"/>
              <w:bottom w:val="single" w:sz="4" w:space="0" w:color="auto"/>
              <w:right w:val="single" w:sz="4" w:space="0" w:color="auto"/>
            </w:tcBorders>
            <w:noWrap/>
            <w:vAlign w:val="center"/>
            <w:hideMark/>
          </w:tcPr>
          <w:p w14:paraId="4E1847B9" w14:textId="74B20BB4"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PA-U 26/27</w:t>
            </w:r>
          </w:p>
        </w:tc>
        <w:tc>
          <w:tcPr>
            <w:tcW w:w="1437" w:type="dxa"/>
            <w:tcBorders>
              <w:top w:val="nil"/>
              <w:left w:val="nil"/>
              <w:bottom w:val="single" w:sz="4" w:space="0" w:color="auto"/>
              <w:right w:val="single" w:sz="4" w:space="0" w:color="auto"/>
            </w:tcBorders>
            <w:noWrap/>
            <w:vAlign w:val="center"/>
            <w:hideMark/>
          </w:tcPr>
          <w:p w14:paraId="14846578" w14:textId="6D77E40F"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BR-ND-03d</w:t>
            </w:r>
          </w:p>
        </w:tc>
        <w:tc>
          <w:tcPr>
            <w:tcW w:w="1418" w:type="dxa"/>
            <w:tcBorders>
              <w:top w:val="nil"/>
              <w:left w:val="nil"/>
              <w:bottom w:val="single" w:sz="4" w:space="0" w:color="auto"/>
              <w:right w:val="single" w:sz="4" w:space="0" w:color="auto"/>
            </w:tcBorders>
            <w:noWrap/>
            <w:vAlign w:val="center"/>
            <w:hideMark/>
          </w:tcPr>
          <w:p w14:paraId="3635573B" w14:textId="2B751467" w:rsidR="009E4304" w:rsidRPr="00260790" w:rsidRDefault="009E4304" w:rsidP="009E4304">
            <w:pPr>
              <w:spacing w:after="0" w:line="240" w:lineRule="auto"/>
              <w:ind w:left="567"/>
              <w:jc w:val="right"/>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19,408</w:t>
            </w:r>
          </w:p>
        </w:tc>
      </w:tr>
      <w:tr w:rsidR="009E4304" w:rsidRPr="00260790" w14:paraId="5C9AB3ED" w14:textId="77777777" w:rsidTr="0097258B">
        <w:trPr>
          <w:trHeight w:val="290"/>
        </w:trPr>
        <w:tc>
          <w:tcPr>
            <w:tcW w:w="3402" w:type="dxa"/>
            <w:tcBorders>
              <w:top w:val="nil"/>
              <w:left w:val="single" w:sz="4" w:space="0" w:color="auto"/>
              <w:bottom w:val="single" w:sz="4" w:space="0" w:color="auto"/>
              <w:right w:val="single" w:sz="4" w:space="0" w:color="auto"/>
            </w:tcBorders>
            <w:noWrap/>
            <w:vAlign w:val="center"/>
            <w:hideMark/>
          </w:tcPr>
          <w:p w14:paraId="00A375EA" w14:textId="459C7E1F"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Mosquée</w:t>
            </w:r>
          </w:p>
        </w:tc>
        <w:tc>
          <w:tcPr>
            <w:tcW w:w="2390" w:type="dxa"/>
            <w:tcBorders>
              <w:top w:val="nil"/>
              <w:left w:val="nil"/>
              <w:bottom w:val="single" w:sz="4" w:space="0" w:color="auto"/>
              <w:right w:val="single" w:sz="4" w:space="0" w:color="auto"/>
            </w:tcBorders>
            <w:noWrap/>
            <w:vAlign w:val="center"/>
            <w:hideMark/>
          </w:tcPr>
          <w:p w14:paraId="19EF3407" w14:textId="1F9F48C6" w:rsidR="009E4304" w:rsidRPr="00260790" w:rsidRDefault="009E4304" w:rsidP="009E4304">
            <w:pPr>
              <w:spacing w:after="0" w:line="240" w:lineRule="auto"/>
              <w:rPr>
                <w:rFonts w:ascii="Times New Roman" w:eastAsia="Times New Roman" w:hAnsi="Times New Roman"/>
                <w:color w:val="000000" w:themeColor="text1"/>
                <w:lang w:eastAsia="fr-FR"/>
              </w:rPr>
            </w:pPr>
            <w:proofErr w:type="spellStart"/>
            <w:r w:rsidRPr="00260790">
              <w:rPr>
                <w:rFonts w:ascii="Times New Roman" w:eastAsia="Times New Roman" w:hAnsi="Times New Roman"/>
                <w:color w:val="000000" w:themeColor="text1"/>
                <w:lang w:eastAsia="fr-FR"/>
              </w:rPr>
              <w:t>Niacoul</w:t>
            </w:r>
            <w:proofErr w:type="spellEnd"/>
            <w:r w:rsidRPr="00260790">
              <w:rPr>
                <w:rFonts w:ascii="Times New Roman" w:eastAsia="Times New Roman" w:hAnsi="Times New Roman"/>
                <w:color w:val="000000" w:themeColor="text1"/>
                <w:lang w:eastAsia="fr-FR"/>
              </w:rPr>
              <w:t>- Rab</w:t>
            </w:r>
          </w:p>
        </w:tc>
        <w:tc>
          <w:tcPr>
            <w:tcW w:w="1437" w:type="dxa"/>
            <w:tcBorders>
              <w:top w:val="nil"/>
              <w:left w:val="nil"/>
              <w:bottom w:val="single" w:sz="4" w:space="0" w:color="auto"/>
              <w:right w:val="single" w:sz="4" w:space="0" w:color="auto"/>
            </w:tcBorders>
            <w:noWrap/>
            <w:vAlign w:val="center"/>
            <w:hideMark/>
          </w:tcPr>
          <w:p w14:paraId="08ABB5DB" w14:textId="3CB7A1C8"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BR-ND-11</w:t>
            </w:r>
          </w:p>
        </w:tc>
        <w:tc>
          <w:tcPr>
            <w:tcW w:w="1418" w:type="dxa"/>
            <w:tcBorders>
              <w:top w:val="nil"/>
              <w:left w:val="nil"/>
              <w:bottom w:val="single" w:sz="4" w:space="0" w:color="auto"/>
              <w:right w:val="single" w:sz="4" w:space="0" w:color="auto"/>
            </w:tcBorders>
            <w:noWrap/>
            <w:vAlign w:val="center"/>
            <w:hideMark/>
          </w:tcPr>
          <w:p w14:paraId="3E6C5236" w14:textId="6BC644EE" w:rsidR="009E4304" w:rsidRPr="00260790" w:rsidRDefault="009E4304" w:rsidP="009E4304">
            <w:pPr>
              <w:spacing w:after="0" w:line="240" w:lineRule="auto"/>
              <w:ind w:left="567"/>
              <w:jc w:val="right"/>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52,785</w:t>
            </w:r>
          </w:p>
        </w:tc>
      </w:tr>
      <w:tr w:rsidR="009E4304" w:rsidRPr="00260790" w14:paraId="6FF693E8" w14:textId="77777777" w:rsidTr="0097258B">
        <w:trPr>
          <w:trHeight w:val="290"/>
        </w:trPr>
        <w:tc>
          <w:tcPr>
            <w:tcW w:w="3402" w:type="dxa"/>
            <w:tcBorders>
              <w:top w:val="nil"/>
              <w:left w:val="single" w:sz="4" w:space="0" w:color="auto"/>
              <w:bottom w:val="single" w:sz="4" w:space="0" w:color="auto"/>
              <w:right w:val="single" w:sz="4" w:space="0" w:color="auto"/>
            </w:tcBorders>
            <w:noWrap/>
            <w:vAlign w:val="center"/>
            <w:hideMark/>
          </w:tcPr>
          <w:p w14:paraId="35F56636" w14:textId="304F3F0B"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Daara</w:t>
            </w:r>
          </w:p>
        </w:tc>
        <w:tc>
          <w:tcPr>
            <w:tcW w:w="2390" w:type="dxa"/>
            <w:tcBorders>
              <w:top w:val="nil"/>
              <w:left w:val="nil"/>
              <w:bottom w:val="single" w:sz="4" w:space="0" w:color="auto"/>
              <w:right w:val="single" w:sz="4" w:space="0" w:color="auto"/>
            </w:tcBorders>
            <w:noWrap/>
            <w:vAlign w:val="center"/>
            <w:hideMark/>
          </w:tcPr>
          <w:p w14:paraId="225EFAAA" w14:textId="6B326814"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Cité sapeur-pompier</w:t>
            </w:r>
          </w:p>
        </w:tc>
        <w:tc>
          <w:tcPr>
            <w:tcW w:w="1437" w:type="dxa"/>
            <w:tcBorders>
              <w:top w:val="nil"/>
              <w:left w:val="nil"/>
              <w:bottom w:val="single" w:sz="4" w:space="0" w:color="auto"/>
              <w:right w:val="single" w:sz="4" w:space="0" w:color="auto"/>
            </w:tcBorders>
            <w:noWrap/>
            <w:vAlign w:val="center"/>
            <w:hideMark/>
          </w:tcPr>
          <w:p w14:paraId="30C30574" w14:textId="07CFB45D"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B1</w:t>
            </w:r>
          </w:p>
        </w:tc>
        <w:tc>
          <w:tcPr>
            <w:tcW w:w="1418" w:type="dxa"/>
            <w:tcBorders>
              <w:top w:val="nil"/>
              <w:left w:val="nil"/>
              <w:bottom w:val="single" w:sz="4" w:space="0" w:color="auto"/>
              <w:right w:val="single" w:sz="4" w:space="0" w:color="auto"/>
            </w:tcBorders>
            <w:noWrap/>
            <w:vAlign w:val="center"/>
            <w:hideMark/>
          </w:tcPr>
          <w:p w14:paraId="44B507BC" w14:textId="4647193E" w:rsidR="009E4304" w:rsidRPr="00260790" w:rsidRDefault="009E4304" w:rsidP="009E4304">
            <w:pPr>
              <w:spacing w:after="0" w:line="240" w:lineRule="auto"/>
              <w:ind w:left="567"/>
              <w:jc w:val="right"/>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23,415</w:t>
            </w:r>
          </w:p>
        </w:tc>
      </w:tr>
      <w:tr w:rsidR="009E4304" w:rsidRPr="00260790" w14:paraId="1A140227" w14:textId="77777777" w:rsidTr="0097258B">
        <w:trPr>
          <w:trHeight w:val="290"/>
        </w:trPr>
        <w:tc>
          <w:tcPr>
            <w:tcW w:w="3402" w:type="dxa"/>
            <w:tcBorders>
              <w:top w:val="nil"/>
              <w:left w:val="single" w:sz="4" w:space="0" w:color="auto"/>
              <w:bottom w:val="single" w:sz="4" w:space="0" w:color="auto"/>
              <w:right w:val="single" w:sz="4" w:space="0" w:color="auto"/>
            </w:tcBorders>
            <w:noWrap/>
            <w:vAlign w:val="center"/>
            <w:hideMark/>
          </w:tcPr>
          <w:p w14:paraId="6195189A" w14:textId="30A047FA"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École -Privée</w:t>
            </w:r>
          </w:p>
        </w:tc>
        <w:tc>
          <w:tcPr>
            <w:tcW w:w="2390" w:type="dxa"/>
            <w:tcBorders>
              <w:top w:val="nil"/>
              <w:left w:val="nil"/>
              <w:bottom w:val="single" w:sz="4" w:space="0" w:color="auto"/>
              <w:right w:val="single" w:sz="4" w:space="0" w:color="auto"/>
            </w:tcBorders>
            <w:noWrap/>
            <w:vAlign w:val="center"/>
            <w:hideMark/>
          </w:tcPr>
          <w:p w14:paraId="2FDDA663" w14:textId="0FF5FD3E"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Cité Mantor Dial- Cite </w:t>
            </w:r>
            <w:proofErr w:type="spellStart"/>
            <w:r w:rsidRPr="00260790">
              <w:rPr>
                <w:rFonts w:ascii="Times New Roman" w:eastAsia="Times New Roman" w:hAnsi="Times New Roman"/>
                <w:color w:val="000000" w:themeColor="text1"/>
                <w:lang w:eastAsia="fr-FR"/>
              </w:rPr>
              <w:t>Soutoura</w:t>
            </w:r>
            <w:proofErr w:type="spellEnd"/>
          </w:p>
        </w:tc>
        <w:tc>
          <w:tcPr>
            <w:tcW w:w="1437" w:type="dxa"/>
            <w:tcBorders>
              <w:top w:val="nil"/>
              <w:left w:val="nil"/>
              <w:bottom w:val="single" w:sz="4" w:space="0" w:color="auto"/>
              <w:right w:val="single" w:sz="4" w:space="0" w:color="auto"/>
            </w:tcBorders>
            <w:noWrap/>
            <w:vAlign w:val="center"/>
            <w:hideMark/>
          </w:tcPr>
          <w:p w14:paraId="6544E0A8" w14:textId="6B00E892"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P1</w:t>
            </w:r>
          </w:p>
        </w:tc>
        <w:tc>
          <w:tcPr>
            <w:tcW w:w="1418" w:type="dxa"/>
            <w:tcBorders>
              <w:top w:val="nil"/>
              <w:left w:val="nil"/>
              <w:bottom w:val="single" w:sz="4" w:space="0" w:color="auto"/>
              <w:right w:val="single" w:sz="4" w:space="0" w:color="auto"/>
            </w:tcBorders>
            <w:noWrap/>
            <w:vAlign w:val="center"/>
            <w:hideMark/>
          </w:tcPr>
          <w:p w14:paraId="1E6B6BD1" w14:textId="1CE719F5" w:rsidR="009E4304" w:rsidRPr="00260790" w:rsidRDefault="009E4304" w:rsidP="009E4304">
            <w:pPr>
              <w:spacing w:after="0" w:line="240" w:lineRule="auto"/>
              <w:ind w:left="567"/>
              <w:jc w:val="right"/>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111,222</w:t>
            </w:r>
          </w:p>
        </w:tc>
      </w:tr>
      <w:tr w:rsidR="009E4304" w:rsidRPr="00260790" w14:paraId="491CAE16" w14:textId="77777777" w:rsidTr="0097258B">
        <w:trPr>
          <w:trHeight w:val="290"/>
        </w:trPr>
        <w:tc>
          <w:tcPr>
            <w:tcW w:w="3402" w:type="dxa"/>
            <w:tcBorders>
              <w:top w:val="nil"/>
              <w:left w:val="single" w:sz="4" w:space="0" w:color="auto"/>
              <w:bottom w:val="single" w:sz="4" w:space="0" w:color="auto"/>
              <w:right w:val="single" w:sz="4" w:space="0" w:color="auto"/>
            </w:tcBorders>
            <w:noWrap/>
            <w:vAlign w:val="center"/>
            <w:hideMark/>
          </w:tcPr>
          <w:p w14:paraId="0CA341C0" w14:textId="68DB9BA7"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École-Franco-Arabe</w:t>
            </w:r>
          </w:p>
        </w:tc>
        <w:tc>
          <w:tcPr>
            <w:tcW w:w="2390" w:type="dxa"/>
            <w:tcBorders>
              <w:top w:val="nil"/>
              <w:left w:val="nil"/>
              <w:bottom w:val="single" w:sz="4" w:space="0" w:color="auto"/>
              <w:right w:val="single" w:sz="4" w:space="0" w:color="auto"/>
            </w:tcBorders>
            <w:noWrap/>
            <w:vAlign w:val="center"/>
            <w:hideMark/>
          </w:tcPr>
          <w:p w14:paraId="6E1E2356" w14:textId="4BEF32BA"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Cité Poste</w:t>
            </w:r>
          </w:p>
        </w:tc>
        <w:tc>
          <w:tcPr>
            <w:tcW w:w="1437" w:type="dxa"/>
            <w:tcBorders>
              <w:top w:val="nil"/>
              <w:left w:val="nil"/>
              <w:bottom w:val="single" w:sz="4" w:space="0" w:color="auto"/>
              <w:right w:val="single" w:sz="4" w:space="0" w:color="auto"/>
            </w:tcBorders>
            <w:noWrap/>
            <w:vAlign w:val="center"/>
            <w:hideMark/>
          </w:tcPr>
          <w:p w14:paraId="153E8A1D" w14:textId="3279FA57"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E2-ter</w:t>
            </w:r>
          </w:p>
        </w:tc>
        <w:tc>
          <w:tcPr>
            <w:tcW w:w="1418" w:type="dxa"/>
            <w:tcBorders>
              <w:top w:val="nil"/>
              <w:left w:val="nil"/>
              <w:bottom w:val="single" w:sz="4" w:space="0" w:color="auto"/>
              <w:right w:val="single" w:sz="4" w:space="0" w:color="auto"/>
            </w:tcBorders>
            <w:noWrap/>
            <w:vAlign w:val="center"/>
            <w:hideMark/>
          </w:tcPr>
          <w:p w14:paraId="1B45355B" w14:textId="0C859D3F" w:rsidR="009E4304" w:rsidRPr="00260790" w:rsidRDefault="009E4304" w:rsidP="009E4304">
            <w:pPr>
              <w:spacing w:after="0" w:line="240" w:lineRule="auto"/>
              <w:ind w:left="567"/>
              <w:jc w:val="right"/>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576,649</w:t>
            </w:r>
          </w:p>
        </w:tc>
      </w:tr>
      <w:tr w:rsidR="009E4304" w:rsidRPr="00260790" w14:paraId="51045975" w14:textId="77777777" w:rsidTr="0097258B">
        <w:trPr>
          <w:trHeight w:val="290"/>
        </w:trPr>
        <w:tc>
          <w:tcPr>
            <w:tcW w:w="3402" w:type="dxa"/>
            <w:tcBorders>
              <w:top w:val="nil"/>
              <w:left w:val="single" w:sz="4" w:space="0" w:color="auto"/>
              <w:bottom w:val="single" w:sz="4" w:space="0" w:color="auto"/>
              <w:right w:val="single" w:sz="4" w:space="0" w:color="auto"/>
            </w:tcBorders>
            <w:noWrap/>
            <w:vAlign w:val="center"/>
            <w:hideMark/>
          </w:tcPr>
          <w:p w14:paraId="6C4F6D83" w14:textId="7CEE31DB"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École-Préscolaire</w:t>
            </w:r>
          </w:p>
        </w:tc>
        <w:tc>
          <w:tcPr>
            <w:tcW w:w="2390" w:type="dxa"/>
            <w:tcBorders>
              <w:top w:val="nil"/>
              <w:left w:val="nil"/>
              <w:bottom w:val="single" w:sz="4" w:space="0" w:color="auto"/>
              <w:right w:val="single" w:sz="4" w:space="0" w:color="auto"/>
            </w:tcBorders>
            <w:noWrap/>
            <w:vAlign w:val="center"/>
            <w:hideMark/>
          </w:tcPr>
          <w:p w14:paraId="3E292D88" w14:textId="58FB92B2"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Cite-</w:t>
            </w:r>
            <w:proofErr w:type="spellStart"/>
            <w:r w:rsidRPr="00260790">
              <w:rPr>
                <w:rFonts w:ascii="Times New Roman" w:eastAsia="Times New Roman" w:hAnsi="Times New Roman"/>
                <w:color w:val="000000" w:themeColor="text1"/>
                <w:lang w:eastAsia="fr-FR"/>
              </w:rPr>
              <w:t>Sydiely</w:t>
            </w:r>
            <w:proofErr w:type="spellEnd"/>
            <w:r w:rsidRPr="00260790">
              <w:rPr>
                <w:rFonts w:ascii="Times New Roman" w:eastAsia="Times New Roman" w:hAnsi="Times New Roman"/>
                <w:color w:val="000000" w:themeColor="text1"/>
                <w:lang w:eastAsia="fr-FR"/>
              </w:rPr>
              <w:t>-Zac Mbao</w:t>
            </w:r>
          </w:p>
        </w:tc>
        <w:tc>
          <w:tcPr>
            <w:tcW w:w="1437" w:type="dxa"/>
            <w:tcBorders>
              <w:top w:val="nil"/>
              <w:left w:val="nil"/>
              <w:bottom w:val="single" w:sz="4" w:space="0" w:color="auto"/>
              <w:right w:val="single" w:sz="4" w:space="0" w:color="auto"/>
            </w:tcBorders>
            <w:noWrap/>
            <w:vAlign w:val="center"/>
            <w:hideMark/>
          </w:tcPr>
          <w:p w14:paraId="4CC48675" w14:textId="4637A555"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E2-ter</w:t>
            </w:r>
          </w:p>
        </w:tc>
        <w:tc>
          <w:tcPr>
            <w:tcW w:w="1418" w:type="dxa"/>
            <w:tcBorders>
              <w:top w:val="nil"/>
              <w:left w:val="nil"/>
              <w:bottom w:val="single" w:sz="4" w:space="0" w:color="auto"/>
              <w:right w:val="single" w:sz="4" w:space="0" w:color="auto"/>
            </w:tcBorders>
            <w:noWrap/>
            <w:vAlign w:val="center"/>
            <w:hideMark/>
          </w:tcPr>
          <w:p w14:paraId="2A671E5B" w14:textId="5FCE9295" w:rsidR="009E4304" w:rsidRPr="00260790" w:rsidRDefault="009E4304" w:rsidP="009E4304">
            <w:pPr>
              <w:spacing w:after="0" w:line="240" w:lineRule="auto"/>
              <w:ind w:left="567"/>
              <w:jc w:val="right"/>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421,581</w:t>
            </w:r>
          </w:p>
        </w:tc>
      </w:tr>
      <w:tr w:rsidR="009E4304" w:rsidRPr="00260790" w14:paraId="130B7DBA" w14:textId="77777777" w:rsidTr="0097258B">
        <w:trPr>
          <w:trHeight w:val="290"/>
        </w:trPr>
        <w:tc>
          <w:tcPr>
            <w:tcW w:w="3402" w:type="dxa"/>
            <w:tcBorders>
              <w:top w:val="nil"/>
              <w:left w:val="single" w:sz="4" w:space="0" w:color="auto"/>
              <w:bottom w:val="single" w:sz="4" w:space="0" w:color="auto"/>
              <w:right w:val="single" w:sz="4" w:space="0" w:color="auto"/>
            </w:tcBorders>
            <w:noWrap/>
            <w:vAlign w:val="center"/>
            <w:hideMark/>
          </w:tcPr>
          <w:p w14:paraId="2EE8B386" w14:textId="12DA3CC4"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Mosquée</w:t>
            </w:r>
          </w:p>
        </w:tc>
        <w:tc>
          <w:tcPr>
            <w:tcW w:w="2390" w:type="dxa"/>
            <w:tcBorders>
              <w:top w:val="nil"/>
              <w:left w:val="nil"/>
              <w:bottom w:val="single" w:sz="4" w:space="0" w:color="auto"/>
              <w:right w:val="single" w:sz="4" w:space="0" w:color="auto"/>
            </w:tcBorders>
            <w:noWrap/>
            <w:vAlign w:val="center"/>
            <w:hideMark/>
          </w:tcPr>
          <w:p w14:paraId="303BE33D" w14:textId="5959EE7D"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Touba </w:t>
            </w:r>
            <w:proofErr w:type="spellStart"/>
            <w:r w:rsidRPr="00260790">
              <w:rPr>
                <w:rFonts w:ascii="Times New Roman" w:eastAsia="Times New Roman" w:hAnsi="Times New Roman"/>
                <w:color w:val="000000" w:themeColor="text1"/>
                <w:lang w:eastAsia="fr-FR"/>
              </w:rPr>
              <w:t>Taïf</w:t>
            </w:r>
            <w:proofErr w:type="spellEnd"/>
          </w:p>
        </w:tc>
        <w:tc>
          <w:tcPr>
            <w:tcW w:w="1437" w:type="dxa"/>
            <w:tcBorders>
              <w:top w:val="nil"/>
              <w:left w:val="nil"/>
              <w:bottom w:val="single" w:sz="4" w:space="0" w:color="auto"/>
              <w:right w:val="single" w:sz="4" w:space="0" w:color="auto"/>
            </w:tcBorders>
            <w:noWrap/>
            <w:vAlign w:val="center"/>
            <w:hideMark/>
          </w:tcPr>
          <w:p w14:paraId="0489608C" w14:textId="6A1F0F98" w:rsidR="009E4304" w:rsidRPr="00260790" w:rsidRDefault="009E4304" w:rsidP="009E4304">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E2-ter</w:t>
            </w:r>
          </w:p>
        </w:tc>
        <w:tc>
          <w:tcPr>
            <w:tcW w:w="1418" w:type="dxa"/>
            <w:tcBorders>
              <w:top w:val="nil"/>
              <w:left w:val="nil"/>
              <w:bottom w:val="single" w:sz="4" w:space="0" w:color="auto"/>
              <w:right w:val="single" w:sz="4" w:space="0" w:color="auto"/>
            </w:tcBorders>
            <w:noWrap/>
            <w:vAlign w:val="center"/>
            <w:hideMark/>
          </w:tcPr>
          <w:p w14:paraId="254995FB" w14:textId="44A6206C" w:rsidR="009E4304" w:rsidRPr="00260790" w:rsidRDefault="009E4304" w:rsidP="009E4304">
            <w:pPr>
              <w:spacing w:after="0" w:line="240" w:lineRule="auto"/>
              <w:ind w:left="567"/>
              <w:jc w:val="right"/>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20,475</w:t>
            </w:r>
          </w:p>
        </w:tc>
      </w:tr>
    </w:tbl>
    <w:p w14:paraId="00F5AB4F" w14:textId="2D274AB9" w:rsidR="00423838" w:rsidRPr="00260790" w:rsidRDefault="00423838" w:rsidP="006A6836">
      <w:pPr>
        <w:pStyle w:val="CHAPITRE1"/>
        <w:spacing w:before="240"/>
        <w:rPr>
          <w:rFonts w:cs="Times New Roman"/>
        </w:rPr>
      </w:pPr>
      <w:bookmarkStart w:id="457" w:name="_Toc212725113"/>
      <w:r w:rsidRPr="00260790">
        <w:rPr>
          <w:rFonts w:cs="Times New Roman"/>
        </w:rPr>
        <w:t>Enjeux environnementaux et sociaux majeurs</w:t>
      </w:r>
      <w:bookmarkEnd w:id="457"/>
    </w:p>
    <w:p w14:paraId="6BB99CA9" w14:textId="77777777" w:rsidR="00423838" w:rsidRPr="00260790" w:rsidRDefault="00423838" w:rsidP="0097258B">
      <w:pPr>
        <w:spacing w:line="240" w:lineRule="auto"/>
        <w:jc w:val="both"/>
        <w:rPr>
          <w:rFonts w:ascii="Times New Roman" w:hAnsi="Times New Roman"/>
          <w:color w:val="000000" w:themeColor="text1"/>
        </w:rPr>
      </w:pPr>
      <w:r w:rsidRPr="00260790">
        <w:rPr>
          <w:rFonts w:ascii="Times New Roman" w:hAnsi="Times New Roman"/>
          <w:color w:val="000000" w:themeColor="text1"/>
        </w:rPr>
        <w:t>Les aménagements prévus devront prendre en compte la préservation des écosystèmes (urbain et forestier) par un dimensionnement des ouvrages qui garantit un bon drainage des eaux, en préservant les écosystèmes et le cadre de vie des populations riveraines. La prise en compte des enjeux permet d’appréhender les composantes du milieu (physique, biologique et humain) qui doivent être considérées et d’apprécier les attentes et préoccupations de toutes les parties prenantes au projet.</w:t>
      </w:r>
    </w:p>
    <w:p w14:paraId="4ABBEA9E" w14:textId="77777777" w:rsidR="00423838" w:rsidRPr="00260790" w:rsidRDefault="00423838" w:rsidP="001748C6">
      <w:pPr>
        <w:pStyle w:val="En-tte"/>
        <w:numPr>
          <w:ilvl w:val="2"/>
          <w:numId w:val="76"/>
        </w:numPr>
        <w:tabs>
          <w:tab w:val="clear" w:pos="4536"/>
          <w:tab w:val="clear" w:pos="9072"/>
        </w:tabs>
        <w:spacing w:line="240" w:lineRule="auto"/>
        <w:ind w:left="1560"/>
        <w:rPr>
          <w:rFonts w:ascii="Times New Roman" w:hAnsi="Times New Roman"/>
          <w:b/>
          <w:i/>
          <w:color w:val="000000" w:themeColor="text1"/>
        </w:rPr>
      </w:pPr>
      <w:r w:rsidRPr="00260790">
        <w:rPr>
          <w:rFonts w:ascii="Times New Roman" w:hAnsi="Times New Roman"/>
          <w:b/>
          <w:i/>
          <w:color w:val="000000" w:themeColor="text1"/>
        </w:rPr>
        <w:t>Enjeux environnementaux</w:t>
      </w:r>
    </w:p>
    <w:p w14:paraId="26249215" w14:textId="77777777" w:rsidR="00423838" w:rsidRPr="00260790" w:rsidRDefault="00423838" w:rsidP="0097258B">
      <w:pPr>
        <w:spacing w:before="120" w:after="120" w:line="240" w:lineRule="auto"/>
        <w:rPr>
          <w:rFonts w:ascii="Times New Roman" w:hAnsi="Times New Roman"/>
          <w:color w:val="000000" w:themeColor="text1"/>
        </w:rPr>
      </w:pPr>
      <w:r w:rsidRPr="00260790">
        <w:rPr>
          <w:rFonts w:ascii="Times New Roman" w:hAnsi="Times New Roman"/>
          <w:color w:val="000000" w:themeColor="text1"/>
        </w:rPr>
        <w:t xml:space="preserve">Les enjeux environnementaux sont regroupés en thématiques afin de mieux analyser la sensibilité en rapport avec le projet. Il s’agit notamment </w:t>
      </w:r>
      <w:proofErr w:type="gramStart"/>
      <w:r w:rsidRPr="00260790">
        <w:rPr>
          <w:rFonts w:ascii="Times New Roman" w:hAnsi="Times New Roman"/>
          <w:color w:val="000000" w:themeColor="text1"/>
        </w:rPr>
        <w:t>de:</w:t>
      </w:r>
      <w:proofErr w:type="gramEnd"/>
    </w:p>
    <w:p w14:paraId="6404EB92" w14:textId="645AA238" w:rsidR="00423838" w:rsidRPr="00260790" w:rsidRDefault="005B007A" w:rsidP="001748C6">
      <w:pPr>
        <w:pStyle w:val="Grillemoyenne1-Accent22"/>
        <w:numPr>
          <w:ilvl w:val="0"/>
          <w:numId w:val="77"/>
        </w:numPr>
        <w:autoSpaceDE w:val="0"/>
        <w:autoSpaceDN w:val="0"/>
        <w:adjustRightInd w:val="0"/>
        <w:jc w:val="both"/>
        <w:rPr>
          <w:color w:val="000000" w:themeColor="text1"/>
          <w:sz w:val="22"/>
          <w:szCs w:val="22"/>
        </w:rPr>
      </w:pPr>
      <w:proofErr w:type="gramStart"/>
      <w:r w:rsidRPr="00260790">
        <w:rPr>
          <w:color w:val="000000" w:themeColor="text1"/>
          <w:sz w:val="22"/>
          <w:szCs w:val="22"/>
        </w:rPr>
        <w:t>m</w:t>
      </w:r>
      <w:r w:rsidR="00423838" w:rsidRPr="00260790">
        <w:rPr>
          <w:color w:val="000000" w:themeColor="text1"/>
          <w:sz w:val="22"/>
          <w:szCs w:val="22"/>
        </w:rPr>
        <w:t>aintien</w:t>
      </w:r>
      <w:proofErr w:type="gramEnd"/>
      <w:r w:rsidR="00423838" w:rsidRPr="00260790">
        <w:rPr>
          <w:color w:val="000000" w:themeColor="text1"/>
          <w:sz w:val="22"/>
          <w:szCs w:val="22"/>
        </w:rPr>
        <w:t xml:space="preserve"> des voies d’écoulement naturel des eaux pluviales obstrués par une urbanisation non </w:t>
      </w:r>
      <w:proofErr w:type="gramStart"/>
      <w:r w:rsidR="00423838" w:rsidRPr="00260790">
        <w:rPr>
          <w:color w:val="000000" w:themeColor="text1"/>
          <w:sz w:val="22"/>
          <w:szCs w:val="22"/>
        </w:rPr>
        <w:t>contrôlée;</w:t>
      </w:r>
      <w:proofErr w:type="gramEnd"/>
    </w:p>
    <w:p w14:paraId="2BCE25DE" w14:textId="040E2D77" w:rsidR="00423838" w:rsidRPr="00260790" w:rsidRDefault="005B007A" w:rsidP="001748C6">
      <w:pPr>
        <w:pStyle w:val="Grillemoyenne1-Accent22"/>
        <w:numPr>
          <w:ilvl w:val="0"/>
          <w:numId w:val="77"/>
        </w:numPr>
        <w:autoSpaceDE w:val="0"/>
        <w:autoSpaceDN w:val="0"/>
        <w:adjustRightInd w:val="0"/>
        <w:jc w:val="both"/>
        <w:rPr>
          <w:color w:val="000000" w:themeColor="text1"/>
          <w:sz w:val="22"/>
          <w:szCs w:val="22"/>
        </w:rPr>
      </w:pPr>
      <w:proofErr w:type="gramStart"/>
      <w:r w:rsidRPr="00260790">
        <w:rPr>
          <w:color w:val="000000" w:themeColor="text1"/>
          <w:sz w:val="22"/>
          <w:szCs w:val="22"/>
        </w:rPr>
        <w:t>m</w:t>
      </w:r>
      <w:r w:rsidR="00423838" w:rsidRPr="00260790">
        <w:rPr>
          <w:color w:val="000000" w:themeColor="text1"/>
          <w:sz w:val="22"/>
          <w:szCs w:val="22"/>
        </w:rPr>
        <w:t>aitrise</w:t>
      </w:r>
      <w:proofErr w:type="gramEnd"/>
      <w:r w:rsidR="00423838" w:rsidRPr="00260790">
        <w:rPr>
          <w:color w:val="000000" w:themeColor="text1"/>
          <w:sz w:val="22"/>
          <w:szCs w:val="22"/>
        </w:rPr>
        <w:t xml:space="preserve"> des risques d’inondation ;</w:t>
      </w:r>
    </w:p>
    <w:p w14:paraId="1E8F89B8" w14:textId="38EEB5BA" w:rsidR="00423838" w:rsidRPr="00260790" w:rsidRDefault="005B007A" w:rsidP="001748C6">
      <w:pPr>
        <w:pStyle w:val="Grillemoyenne1-Accent22"/>
        <w:numPr>
          <w:ilvl w:val="0"/>
          <w:numId w:val="77"/>
        </w:numPr>
        <w:autoSpaceDE w:val="0"/>
        <w:autoSpaceDN w:val="0"/>
        <w:adjustRightInd w:val="0"/>
        <w:jc w:val="both"/>
        <w:rPr>
          <w:color w:val="000000" w:themeColor="text1"/>
          <w:sz w:val="22"/>
          <w:szCs w:val="22"/>
        </w:rPr>
      </w:pPr>
      <w:proofErr w:type="gramStart"/>
      <w:r w:rsidRPr="00260790">
        <w:rPr>
          <w:color w:val="000000" w:themeColor="text1"/>
          <w:sz w:val="22"/>
          <w:szCs w:val="22"/>
        </w:rPr>
        <w:lastRenderedPageBreak/>
        <w:t>p</w:t>
      </w:r>
      <w:r w:rsidR="00423838" w:rsidRPr="00260790">
        <w:rPr>
          <w:color w:val="000000" w:themeColor="text1"/>
          <w:sz w:val="22"/>
          <w:szCs w:val="22"/>
        </w:rPr>
        <w:t>réservation</w:t>
      </w:r>
      <w:proofErr w:type="gramEnd"/>
      <w:r w:rsidR="00423838" w:rsidRPr="00260790">
        <w:rPr>
          <w:color w:val="000000" w:themeColor="text1"/>
          <w:sz w:val="22"/>
          <w:szCs w:val="22"/>
        </w:rPr>
        <w:t xml:space="preserve"> du marigot de Mbao (un exutoire transitoire) eu égard d’une part au risque de pollution par les eaux de rejets, un risque de dépasser les capacités d’autoépuration des milieux aquatiques dans lesquels les effluents transiteront avant leur rejet au niveau de l’exutoire (mer), et surtout le rejet d’ordures ménagères et d’eaux usées domestiques par des </w:t>
      </w:r>
      <w:r w:rsidRPr="00260790">
        <w:rPr>
          <w:color w:val="000000" w:themeColor="text1"/>
          <w:sz w:val="22"/>
          <w:szCs w:val="22"/>
        </w:rPr>
        <w:t>populations ;</w:t>
      </w:r>
    </w:p>
    <w:p w14:paraId="03A32A0B" w14:textId="38BE661B" w:rsidR="00423838" w:rsidRPr="00260790" w:rsidRDefault="005B007A" w:rsidP="001748C6">
      <w:pPr>
        <w:pStyle w:val="Grillemoyenne1-Accent22"/>
        <w:numPr>
          <w:ilvl w:val="0"/>
          <w:numId w:val="77"/>
        </w:numPr>
        <w:autoSpaceDE w:val="0"/>
        <w:autoSpaceDN w:val="0"/>
        <w:adjustRightInd w:val="0"/>
        <w:jc w:val="both"/>
        <w:rPr>
          <w:color w:val="000000" w:themeColor="text1"/>
          <w:sz w:val="22"/>
          <w:szCs w:val="22"/>
        </w:rPr>
      </w:pPr>
      <w:proofErr w:type="gramStart"/>
      <w:r w:rsidRPr="00260790">
        <w:rPr>
          <w:color w:val="000000" w:themeColor="text1"/>
          <w:sz w:val="22"/>
          <w:szCs w:val="22"/>
        </w:rPr>
        <w:t>p</w:t>
      </w:r>
      <w:r w:rsidR="00423838" w:rsidRPr="00260790">
        <w:rPr>
          <w:color w:val="000000" w:themeColor="text1"/>
          <w:sz w:val="22"/>
          <w:szCs w:val="22"/>
        </w:rPr>
        <w:t>réservation</w:t>
      </w:r>
      <w:proofErr w:type="gramEnd"/>
      <w:r w:rsidR="00423838" w:rsidRPr="00260790">
        <w:rPr>
          <w:color w:val="000000" w:themeColor="text1"/>
          <w:sz w:val="22"/>
          <w:szCs w:val="22"/>
        </w:rPr>
        <w:t xml:space="preserve"> de l’océan eu égard à la qualité de l’eau qui sera drainée vers cet exutoire ;</w:t>
      </w:r>
    </w:p>
    <w:p w14:paraId="2590A570" w14:textId="7B5FE2DC" w:rsidR="00423838" w:rsidRPr="00260790" w:rsidRDefault="005B007A" w:rsidP="001748C6">
      <w:pPr>
        <w:pStyle w:val="Grillemoyenne1-Accent22"/>
        <w:numPr>
          <w:ilvl w:val="0"/>
          <w:numId w:val="77"/>
        </w:numPr>
        <w:autoSpaceDE w:val="0"/>
        <w:autoSpaceDN w:val="0"/>
        <w:adjustRightInd w:val="0"/>
        <w:spacing w:after="240"/>
        <w:jc w:val="both"/>
        <w:rPr>
          <w:color w:val="000000" w:themeColor="text1"/>
          <w:sz w:val="22"/>
          <w:szCs w:val="22"/>
        </w:rPr>
      </w:pPr>
      <w:proofErr w:type="gramStart"/>
      <w:r w:rsidRPr="00260790">
        <w:rPr>
          <w:color w:val="000000" w:themeColor="text1"/>
          <w:sz w:val="22"/>
          <w:szCs w:val="22"/>
        </w:rPr>
        <w:t>p</w:t>
      </w:r>
      <w:r w:rsidR="00423838" w:rsidRPr="00260790">
        <w:rPr>
          <w:color w:val="000000" w:themeColor="text1"/>
          <w:sz w:val="22"/>
          <w:szCs w:val="22"/>
        </w:rPr>
        <w:t>réservation</w:t>
      </w:r>
      <w:proofErr w:type="gramEnd"/>
      <w:r w:rsidR="00423838" w:rsidRPr="00260790">
        <w:rPr>
          <w:color w:val="000000" w:themeColor="text1"/>
          <w:sz w:val="22"/>
          <w:szCs w:val="22"/>
        </w:rPr>
        <w:t xml:space="preserve"> des écosystèmes et de la qualité de l’eau qui transitera dans les bassins et leurs différents usages possibles ;</w:t>
      </w:r>
    </w:p>
    <w:p w14:paraId="3927916E" w14:textId="288F15F3" w:rsidR="00423838" w:rsidRPr="00260790" w:rsidRDefault="005B007A" w:rsidP="001748C6">
      <w:pPr>
        <w:pStyle w:val="Grillemoyenne1-Accent22"/>
        <w:numPr>
          <w:ilvl w:val="0"/>
          <w:numId w:val="77"/>
        </w:numPr>
        <w:autoSpaceDE w:val="0"/>
        <w:autoSpaceDN w:val="0"/>
        <w:adjustRightInd w:val="0"/>
        <w:jc w:val="both"/>
        <w:rPr>
          <w:color w:val="000000" w:themeColor="text1"/>
          <w:sz w:val="22"/>
          <w:szCs w:val="22"/>
        </w:rPr>
      </w:pPr>
      <w:proofErr w:type="gramStart"/>
      <w:r w:rsidRPr="00260790">
        <w:rPr>
          <w:color w:val="000000" w:themeColor="text1"/>
          <w:sz w:val="22"/>
          <w:szCs w:val="22"/>
        </w:rPr>
        <w:t>p</w:t>
      </w:r>
      <w:r w:rsidR="00423838" w:rsidRPr="00260790">
        <w:rPr>
          <w:color w:val="000000" w:themeColor="text1"/>
          <w:sz w:val="22"/>
          <w:szCs w:val="22"/>
        </w:rPr>
        <w:t>réservation</w:t>
      </w:r>
      <w:proofErr w:type="gramEnd"/>
      <w:r w:rsidR="00423838" w:rsidRPr="00260790">
        <w:rPr>
          <w:color w:val="000000" w:themeColor="text1"/>
          <w:sz w:val="22"/>
          <w:szCs w:val="22"/>
        </w:rPr>
        <w:t xml:space="preserve"> de la biodiversité (flore, faune et habitat) en phase préparatoire/travaux</w:t>
      </w:r>
    </w:p>
    <w:p w14:paraId="3E02F756" w14:textId="1449C0B4" w:rsidR="00423838" w:rsidRPr="00260790" w:rsidRDefault="005B007A" w:rsidP="001748C6">
      <w:pPr>
        <w:pStyle w:val="Grillemoyenne1-Accent22"/>
        <w:numPr>
          <w:ilvl w:val="0"/>
          <w:numId w:val="77"/>
        </w:numPr>
        <w:autoSpaceDE w:val="0"/>
        <w:autoSpaceDN w:val="0"/>
        <w:adjustRightInd w:val="0"/>
        <w:jc w:val="both"/>
        <w:rPr>
          <w:color w:val="000000" w:themeColor="text1"/>
          <w:sz w:val="22"/>
          <w:szCs w:val="22"/>
        </w:rPr>
      </w:pPr>
      <w:proofErr w:type="gramStart"/>
      <w:r w:rsidRPr="00260790">
        <w:rPr>
          <w:color w:val="000000" w:themeColor="text1"/>
          <w:sz w:val="22"/>
          <w:szCs w:val="22"/>
        </w:rPr>
        <w:t>g</w:t>
      </w:r>
      <w:r w:rsidR="00423838" w:rsidRPr="00260790">
        <w:rPr>
          <w:color w:val="000000" w:themeColor="text1"/>
          <w:sz w:val="22"/>
          <w:szCs w:val="22"/>
        </w:rPr>
        <w:t>estion</w:t>
      </w:r>
      <w:proofErr w:type="gramEnd"/>
      <w:r w:rsidR="00423838" w:rsidRPr="00260790">
        <w:rPr>
          <w:color w:val="000000" w:themeColor="text1"/>
          <w:sz w:val="22"/>
          <w:szCs w:val="22"/>
        </w:rPr>
        <w:t xml:space="preserve"> des eaux usées dans le marigot de Mbao, milieu de rejet des ouvrages interconnectés ;</w:t>
      </w:r>
    </w:p>
    <w:p w14:paraId="12D777EF" w14:textId="6C72806C" w:rsidR="00423838" w:rsidRPr="00260790" w:rsidRDefault="005B007A" w:rsidP="001748C6">
      <w:pPr>
        <w:pStyle w:val="Grillemoyenne1-Accent22"/>
        <w:numPr>
          <w:ilvl w:val="0"/>
          <w:numId w:val="77"/>
        </w:numPr>
        <w:autoSpaceDE w:val="0"/>
        <w:autoSpaceDN w:val="0"/>
        <w:adjustRightInd w:val="0"/>
        <w:jc w:val="both"/>
        <w:rPr>
          <w:color w:val="000000" w:themeColor="text1"/>
          <w:sz w:val="22"/>
          <w:szCs w:val="22"/>
        </w:rPr>
      </w:pPr>
      <w:proofErr w:type="gramStart"/>
      <w:r w:rsidRPr="00260790">
        <w:rPr>
          <w:color w:val="000000" w:themeColor="text1"/>
          <w:sz w:val="22"/>
          <w:szCs w:val="22"/>
        </w:rPr>
        <w:t>g</w:t>
      </w:r>
      <w:r w:rsidR="00423838" w:rsidRPr="00260790">
        <w:rPr>
          <w:color w:val="000000" w:themeColor="text1"/>
          <w:sz w:val="22"/>
          <w:szCs w:val="22"/>
        </w:rPr>
        <w:t>estion</w:t>
      </w:r>
      <w:proofErr w:type="gramEnd"/>
      <w:r w:rsidR="00423838" w:rsidRPr="00260790">
        <w:rPr>
          <w:color w:val="000000" w:themeColor="text1"/>
          <w:sz w:val="22"/>
          <w:szCs w:val="22"/>
        </w:rPr>
        <w:t xml:space="preserve"> des espèces envahissantes (typha) au niveau des bassins et des zones inondables ;</w:t>
      </w:r>
    </w:p>
    <w:p w14:paraId="6F20CF8F" w14:textId="77777777" w:rsidR="00423838" w:rsidRPr="00260790" w:rsidRDefault="00423838" w:rsidP="00E20250">
      <w:pPr>
        <w:pStyle w:val="Grillemoyenne1-Accent22"/>
        <w:autoSpaceDE w:val="0"/>
        <w:autoSpaceDN w:val="0"/>
        <w:adjustRightInd w:val="0"/>
        <w:jc w:val="both"/>
        <w:rPr>
          <w:color w:val="000000" w:themeColor="text1"/>
          <w:sz w:val="22"/>
          <w:szCs w:val="22"/>
        </w:rPr>
      </w:pPr>
    </w:p>
    <w:p w14:paraId="58C78294" w14:textId="77777777" w:rsidR="00423838" w:rsidRPr="00260790" w:rsidRDefault="00423838" w:rsidP="001748C6">
      <w:pPr>
        <w:pStyle w:val="En-tte"/>
        <w:numPr>
          <w:ilvl w:val="2"/>
          <w:numId w:val="76"/>
        </w:numPr>
        <w:tabs>
          <w:tab w:val="clear" w:pos="4536"/>
          <w:tab w:val="clear" w:pos="9072"/>
        </w:tabs>
        <w:spacing w:line="240" w:lineRule="auto"/>
        <w:ind w:left="1560"/>
        <w:rPr>
          <w:rFonts w:ascii="Times New Roman" w:hAnsi="Times New Roman"/>
          <w:b/>
          <w:i/>
          <w:color w:val="000000" w:themeColor="text1"/>
        </w:rPr>
      </w:pPr>
      <w:r w:rsidRPr="00260790">
        <w:rPr>
          <w:rFonts w:ascii="Times New Roman" w:hAnsi="Times New Roman"/>
          <w:b/>
          <w:i/>
          <w:color w:val="000000" w:themeColor="text1"/>
        </w:rPr>
        <w:t>Enjeux sociaux</w:t>
      </w:r>
    </w:p>
    <w:p w14:paraId="78E95BAD" w14:textId="3C9308C6" w:rsidR="00423838" w:rsidRPr="00260790" w:rsidRDefault="00423838" w:rsidP="00E20250">
      <w:pPr>
        <w:spacing w:line="240" w:lineRule="auto"/>
        <w:rPr>
          <w:rFonts w:ascii="Times New Roman" w:hAnsi="Times New Roman"/>
          <w:color w:val="000000" w:themeColor="text1"/>
        </w:rPr>
      </w:pPr>
      <w:r w:rsidRPr="00260790">
        <w:rPr>
          <w:rFonts w:ascii="Times New Roman" w:hAnsi="Times New Roman"/>
          <w:color w:val="000000" w:themeColor="text1"/>
        </w:rPr>
        <w:t xml:space="preserve">Les enjeux socio-économiques des travaux de drainage et </w:t>
      </w:r>
      <w:r w:rsidR="00E7779B" w:rsidRPr="00260790">
        <w:rPr>
          <w:rFonts w:ascii="Times New Roman" w:hAnsi="Times New Roman"/>
          <w:color w:val="000000" w:themeColor="text1"/>
        </w:rPr>
        <w:t>des</w:t>
      </w:r>
      <w:r w:rsidRPr="00260790">
        <w:rPr>
          <w:rFonts w:ascii="Times New Roman" w:hAnsi="Times New Roman"/>
          <w:color w:val="000000" w:themeColor="text1"/>
        </w:rPr>
        <w:t xml:space="preserve"> voiries sont liés à :</w:t>
      </w:r>
    </w:p>
    <w:p w14:paraId="2B6EFBFA" w14:textId="7FB59090" w:rsidR="00423838" w:rsidRPr="00260790" w:rsidRDefault="00A044C9" w:rsidP="001748C6">
      <w:pPr>
        <w:pStyle w:val="Grillemoyenne1-Accent22"/>
        <w:numPr>
          <w:ilvl w:val="0"/>
          <w:numId w:val="77"/>
        </w:numPr>
        <w:autoSpaceDE w:val="0"/>
        <w:autoSpaceDN w:val="0"/>
        <w:adjustRightInd w:val="0"/>
        <w:spacing w:after="240"/>
        <w:jc w:val="both"/>
        <w:rPr>
          <w:color w:val="000000" w:themeColor="text1"/>
          <w:sz w:val="22"/>
          <w:szCs w:val="22"/>
        </w:rPr>
      </w:pPr>
      <w:proofErr w:type="gramStart"/>
      <w:r w:rsidRPr="00260790">
        <w:rPr>
          <w:color w:val="000000" w:themeColor="text1"/>
          <w:sz w:val="22"/>
          <w:szCs w:val="22"/>
        </w:rPr>
        <w:t>m</w:t>
      </w:r>
      <w:r w:rsidR="00423838" w:rsidRPr="00260790">
        <w:rPr>
          <w:color w:val="000000" w:themeColor="text1"/>
          <w:sz w:val="22"/>
          <w:szCs w:val="22"/>
        </w:rPr>
        <w:t>aintien</w:t>
      </w:r>
      <w:proofErr w:type="gramEnd"/>
      <w:r w:rsidR="00423838" w:rsidRPr="00260790">
        <w:rPr>
          <w:color w:val="000000" w:themeColor="text1"/>
          <w:sz w:val="22"/>
          <w:szCs w:val="22"/>
        </w:rPr>
        <w:t xml:space="preserve"> de la circulation des personnes et des biens en phase des travaux ;</w:t>
      </w:r>
    </w:p>
    <w:p w14:paraId="5BC570AC" w14:textId="7377E2B7" w:rsidR="00423838" w:rsidRPr="00260790" w:rsidRDefault="00A044C9" w:rsidP="001748C6">
      <w:pPr>
        <w:pStyle w:val="Grillemoyenne1-Accent22"/>
        <w:numPr>
          <w:ilvl w:val="0"/>
          <w:numId w:val="77"/>
        </w:numPr>
        <w:autoSpaceDE w:val="0"/>
        <w:autoSpaceDN w:val="0"/>
        <w:adjustRightInd w:val="0"/>
        <w:spacing w:after="240"/>
        <w:jc w:val="both"/>
        <w:rPr>
          <w:color w:val="000000" w:themeColor="text1"/>
          <w:sz w:val="22"/>
          <w:szCs w:val="22"/>
        </w:rPr>
      </w:pPr>
      <w:proofErr w:type="gramStart"/>
      <w:r w:rsidRPr="00260790">
        <w:rPr>
          <w:color w:val="000000" w:themeColor="text1"/>
          <w:sz w:val="22"/>
          <w:szCs w:val="22"/>
        </w:rPr>
        <w:t>p</w:t>
      </w:r>
      <w:r w:rsidR="00423838" w:rsidRPr="00260790">
        <w:rPr>
          <w:color w:val="000000" w:themeColor="text1"/>
          <w:sz w:val="22"/>
          <w:szCs w:val="22"/>
        </w:rPr>
        <w:t>réservation</w:t>
      </w:r>
      <w:proofErr w:type="gramEnd"/>
      <w:r w:rsidR="00423838" w:rsidRPr="00260790">
        <w:rPr>
          <w:color w:val="000000" w:themeColor="text1"/>
          <w:sz w:val="22"/>
          <w:szCs w:val="22"/>
        </w:rPr>
        <w:t xml:space="preserve"> des biens et des activités socio-économiques des populations ;</w:t>
      </w:r>
    </w:p>
    <w:p w14:paraId="408061EF" w14:textId="3E915F16" w:rsidR="00423838" w:rsidRPr="00260790" w:rsidRDefault="00A044C9" w:rsidP="001748C6">
      <w:pPr>
        <w:pStyle w:val="Grillemoyenne1-Accent22"/>
        <w:numPr>
          <w:ilvl w:val="0"/>
          <w:numId w:val="77"/>
        </w:numPr>
        <w:autoSpaceDE w:val="0"/>
        <w:autoSpaceDN w:val="0"/>
        <w:adjustRightInd w:val="0"/>
        <w:jc w:val="both"/>
        <w:rPr>
          <w:color w:val="000000" w:themeColor="text1"/>
          <w:sz w:val="22"/>
          <w:szCs w:val="22"/>
        </w:rPr>
      </w:pPr>
      <w:proofErr w:type="gramStart"/>
      <w:r w:rsidRPr="00260790">
        <w:rPr>
          <w:color w:val="000000" w:themeColor="text1"/>
          <w:sz w:val="22"/>
          <w:szCs w:val="22"/>
        </w:rPr>
        <w:t>g</w:t>
      </w:r>
      <w:r w:rsidR="00423838" w:rsidRPr="00260790">
        <w:rPr>
          <w:color w:val="000000" w:themeColor="text1"/>
          <w:sz w:val="22"/>
          <w:szCs w:val="22"/>
        </w:rPr>
        <w:t>estion</w:t>
      </w:r>
      <w:proofErr w:type="gramEnd"/>
      <w:r w:rsidR="00423838" w:rsidRPr="00260790">
        <w:rPr>
          <w:color w:val="000000" w:themeColor="text1"/>
          <w:sz w:val="22"/>
          <w:szCs w:val="22"/>
        </w:rPr>
        <w:t xml:space="preserve"> du </w:t>
      </w:r>
      <w:r w:rsidRPr="00260790">
        <w:rPr>
          <w:color w:val="000000" w:themeColor="text1"/>
          <w:sz w:val="22"/>
          <w:szCs w:val="22"/>
        </w:rPr>
        <w:t>foncier ;</w:t>
      </w:r>
    </w:p>
    <w:p w14:paraId="1839D36F" w14:textId="69F99712" w:rsidR="00423838" w:rsidRPr="00260790" w:rsidRDefault="001972F1" w:rsidP="001748C6">
      <w:pPr>
        <w:pStyle w:val="Grillemoyenne1-Accent22"/>
        <w:numPr>
          <w:ilvl w:val="0"/>
          <w:numId w:val="77"/>
        </w:numPr>
        <w:autoSpaceDE w:val="0"/>
        <w:autoSpaceDN w:val="0"/>
        <w:adjustRightInd w:val="0"/>
        <w:jc w:val="both"/>
        <w:rPr>
          <w:color w:val="000000" w:themeColor="text1"/>
          <w:sz w:val="22"/>
          <w:szCs w:val="22"/>
        </w:rPr>
      </w:pPr>
      <w:proofErr w:type="gramStart"/>
      <w:r w:rsidRPr="00260790">
        <w:rPr>
          <w:color w:val="000000" w:themeColor="text1"/>
          <w:sz w:val="22"/>
          <w:szCs w:val="22"/>
        </w:rPr>
        <w:t>g</w:t>
      </w:r>
      <w:r w:rsidR="00423838" w:rsidRPr="00260790">
        <w:rPr>
          <w:color w:val="000000" w:themeColor="text1"/>
          <w:sz w:val="22"/>
          <w:szCs w:val="22"/>
        </w:rPr>
        <w:t>estion</w:t>
      </w:r>
      <w:proofErr w:type="gramEnd"/>
      <w:r w:rsidR="00423838" w:rsidRPr="00260790">
        <w:rPr>
          <w:color w:val="000000" w:themeColor="text1"/>
          <w:sz w:val="22"/>
          <w:szCs w:val="22"/>
        </w:rPr>
        <w:t xml:space="preserve"> des eaux pluviales et des eaux usées et lutte contre les pollutions diverses ;</w:t>
      </w:r>
    </w:p>
    <w:p w14:paraId="7D711958" w14:textId="272583B4" w:rsidR="00423838" w:rsidRPr="00260790" w:rsidRDefault="001972F1" w:rsidP="001748C6">
      <w:pPr>
        <w:pStyle w:val="Grillemoyenne1-Accent22"/>
        <w:numPr>
          <w:ilvl w:val="0"/>
          <w:numId w:val="77"/>
        </w:numPr>
        <w:autoSpaceDE w:val="0"/>
        <w:autoSpaceDN w:val="0"/>
        <w:adjustRightInd w:val="0"/>
        <w:jc w:val="both"/>
        <w:rPr>
          <w:color w:val="000000" w:themeColor="text1"/>
          <w:sz w:val="22"/>
          <w:szCs w:val="22"/>
        </w:rPr>
      </w:pPr>
      <w:proofErr w:type="gramStart"/>
      <w:r w:rsidRPr="00260790">
        <w:rPr>
          <w:color w:val="000000" w:themeColor="text1"/>
          <w:sz w:val="22"/>
          <w:szCs w:val="22"/>
        </w:rPr>
        <w:t>p</w:t>
      </w:r>
      <w:r w:rsidR="00423838" w:rsidRPr="00260790">
        <w:rPr>
          <w:color w:val="000000" w:themeColor="text1"/>
          <w:sz w:val="22"/>
          <w:szCs w:val="22"/>
        </w:rPr>
        <w:t>réservation</w:t>
      </w:r>
      <w:proofErr w:type="gramEnd"/>
      <w:r w:rsidR="00423838" w:rsidRPr="00260790">
        <w:rPr>
          <w:color w:val="000000" w:themeColor="text1"/>
          <w:sz w:val="22"/>
          <w:szCs w:val="22"/>
        </w:rPr>
        <w:t xml:space="preserve"> de la sécurité des populations et des travailleurs en phase des travaux (risques d’accident, de chute, accidents professionnels) et en phase exploitation (risques d’accident, de chute, de noyade, etc.) ; </w:t>
      </w:r>
    </w:p>
    <w:p w14:paraId="5B397282" w14:textId="653A5506" w:rsidR="00423838" w:rsidRPr="00260790" w:rsidRDefault="001972F1" w:rsidP="001748C6">
      <w:pPr>
        <w:pStyle w:val="Grillemoyenne1-Accent22"/>
        <w:numPr>
          <w:ilvl w:val="0"/>
          <w:numId w:val="77"/>
        </w:numPr>
        <w:autoSpaceDE w:val="0"/>
        <w:autoSpaceDN w:val="0"/>
        <w:adjustRightInd w:val="0"/>
        <w:jc w:val="both"/>
        <w:rPr>
          <w:color w:val="000000" w:themeColor="text1"/>
          <w:sz w:val="22"/>
          <w:szCs w:val="22"/>
        </w:rPr>
      </w:pPr>
      <w:proofErr w:type="gramStart"/>
      <w:r w:rsidRPr="00260790">
        <w:rPr>
          <w:color w:val="000000" w:themeColor="text1"/>
          <w:sz w:val="22"/>
          <w:szCs w:val="22"/>
        </w:rPr>
        <w:t>p</w:t>
      </w:r>
      <w:r w:rsidR="00423838" w:rsidRPr="00260790">
        <w:rPr>
          <w:color w:val="000000" w:themeColor="text1"/>
          <w:sz w:val="22"/>
          <w:szCs w:val="22"/>
        </w:rPr>
        <w:t>réservation</w:t>
      </w:r>
      <w:proofErr w:type="gramEnd"/>
      <w:r w:rsidR="00423838" w:rsidRPr="00260790">
        <w:rPr>
          <w:color w:val="000000" w:themeColor="text1"/>
          <w:sz w:val="22"/>
          <w:szCs w:val="22"/>
        </w:rPr>
        <w:t xml:space="preserve"> de la santé de la population et des travailleurs (risque de développement de </w:t>
      </w:r>
      <w:proofErr w:type="gramStart"/>
      <w:r w:rsidR="00423838" w:rsidRPr="00260790">
        <w:rPr>
          <w:color w:val="000000" w:themeColor="text1"/>
          <w:sz w:val="22"/>
          <w:szCs w:val="22"/>
        </w:rPr>
        <w:t>maladies:</w:t>
      </w:r>
      <w:proofErr w:type="gramEnd"/>
      <w:r w:rsidR="00423838" w:rsidRPr="00260790">
        <w:rPr>
          <w:color w:val="000000" w:themeColor="text1"/>
          <w:sz w:val="22"/>
          <w:szCs w:val="22"/>
        </w:rPr>
        <w:t xml:space="preserve"> IST et VIH, IRA, maladies diarrhéiques, etc.) ;</w:t>
      </w:r>
    </w:p>
    <w:p w14:paraId="5F33BDEC" w14:textId="09DCAFB5" w:rsidR="00423838" w:rsidRPr="00260790" w:rsidRDefault="001972F1" w:rsidP="001748C6">
      <w:pPr>
        <w:pStyle w:val="Grillemoyenne1-Accent22"/>
        <w:numPr>
          <w:ilvl w:val="0"/>
          <w:numId w:val="77"/>
        </w:numPr>
        <w:autoSpaceDE w:val="0"/>
        <w:autoSpaceDN w:val="0"/>
        <w:adjustRightInd w:val="0"/>
        <w:spacing w:after="240"/>
        <w:jc w:val="both"/>
        <w:rPr>
          <w:color w:val="000000" w:themeColor="text1"/>
          <w:sz w:val="22"/>
          <w:szCs w:val="22"/>
        </w:rPr>
      </w:pPr>
      <w:proofErr w:type="gramStart"/>
      <w:r w:rsidRPr="00260790">
        <w:rPr>
          <w:color w:val="000000" w:themeColor="text1"/>
          <w:sz w:val="22"/>
          <w:szCs w:val="22"/>
        </w:rPr>
        <w:t>p</w:t>
      </w:r>
      <w:r w:rsidR="00423838" w:rsidRPr="00260790">
        <w:rPr>
          <w:color w:val="000000" w:themeColor="text1"/>
          <w:sz w:val="22"/>
          <w:szCs w:val="22"/>
        </w:rPr>
        <w:t>révention</w:t>
      </w:r>
      <w:proofErr w:type="gramEnd"/>
      <w:r w:rsidR="00423838" w:rsidRPr="00260790">
        <w:rPr>
          <w:color w:val="000000" w:themeColor="text1"/>
          <w:sz w:val="22"/>
          <w:szCs w:val="22"/>
        </w:rPr>
        <w:t xml:space="preserve"> et la gestion des conflits sociaux, au sein des populations, ou avec le personnel des entreprises de travaux.</w:t>
      </w:r>
    </w:p>
    <w:p w14:paraId="38844FF0" w14:textId="350787D4" w:rsidR="006A6836" w:rsidRPr="00260790" w:rsidRDefault="005F3FB7" w:rsidP="0097258B">
      <w:pPr>
        <w:pStyle w:val="Corpsdetexte2"/>
        <w:spacing w:line="240" w:lineRule="auto"/>
        <w:rPr>
          <w:rFonts w:eastAsia="Times New Roman"/>
          <w:lang w:eastAsia="fr-FR"/>
        </w:rPr>
      </w:pPr>
      <w:bookmarkStart w:id="458" w:name="_Toc88820996"/>
      <w:r w:rsidRPr="00260790">
        <w:rPr>
          <w:color w:val="000000" w:themeColor="text1"/>
        </w:rPr>
        <w:t xml:space="preserve">Le tableau suivant présente les enjeux environnementaux regroupés en thématiques afin de mieux </w:t>
      </w:r>
      <w:r w:rsidRPr="00260790">
        <w:rPr>
          <w:rFonts w:eastAsia="Times New Roman"/>
          <w:color w:val="000000" w:themeColor="text1"/>
          <w:lang w:eastAsia="fr-FR"/>
        </w:rPr>
        <w:t>analyser la sensibilité en rapport avec le projet.</w:t>
      </w:r>
    </w:p>
    <w:p w14:paraId="7C8CE67A" w14:textId="1EFB099F" w:rsidR="005F3FB7" w:rsidRPr="00260790" w:rsidRDefault="005F3FB7" w:rsidP="00E20250">
      <w:pPr>
        <w:pStyle w:val="Lgende"/>
        <w:keepNext/>
        <w:spacing w:after="0" w:line="240" w:lineRule="auto"/>
        <w:ind w:left="567"/>
        <w:rPr>
          <w:i w:val="0"/>
          <w:iCs w:val="0"/>
          <w:color w:val="000000" w:themeColor="text1"/>
          <w:sz w:val="22"/>
          <w:szCs w:val="22"/>
        </w:rPr>
      </w:pPr>
      <w:bookmarkStart w:id="459" w:name="_Toc207781855"/>
      <w:r w:rsidRPr="00260790">
        <w:rPr>
          <w:i w:val="0"/>
          <w:iCs w:val="0"/>
          <w:color w:val="000000" w:themeColor="text1"/>
          <w:sz w:val="22"/>
          <w:szCs w:val="22"/>
        </w:rPr>
        <w:t xml:space="preserve">Tableau </w:t>
      </w:r>
      <w:r w:rsidRPr="00260790">
        <w:rPr>
          <w:i w:val="0"/>
          <w:iCs w:val="0"/>
          <w:color w:val="000000" w:themeColor="text1"/>
          <w:sz w:val="22"/>
          <w:szCs w:val="22"/>
        </w:rPr>
        <w:fldChar w:fldCharType="begin"/>
      </w:r>
      <w:r w:rsidRPr="00260790">
        <w:rPr>
          <w:i w:val="0"/>
          <w:iCs w:val="0"/>
          <w:color w:val="000000" w:themeColor="text1"/>
          <w:sz w:val="22"/>
          <w:szCs w:val="22"/>
        </w:rPr>
        <w:instrText xml:space="preserve"> SEQ Tableau \* ARABIC </w:instrText>
      </w:r>
      <w:r w:rsidRPr="00260790">
        <w:rPr>
          <w:i w:val="0"/>
          <w:iCs w:val="0"/>
          <w:color w:val="000000" w:themeColor="text1"/>
          <w:sz w:val="22"/>
          <w:szCs w:val="22"/>
        </w:rPr>
        <w:fldChar w:fldCharType="separate"/>
      </w:r>
      <w:r w:rsidR="003C783E">
        <w:rPr>
          <w:i w:val="0"/>
          <w:iCs w:val="0"/>
          <w:noProof/>
          <w:color w:val="000000" w:themeColor="text1"/>
          <w:sz w:val="22"/>
          <w:szCs w:val="22"/>
        </w:rPr>
        <w:t>14</w:t>
      </w:r>
      <w:r w:rsidRPr="00260790">
        <w:rPr>
          <w:i w:val="0"/>
          <w:iCs w:val="0"/>
          <w:color w:val="000000" w:themeColor="text1"/>
          <w:sz w:val="22"/>
          <w:szCs w:val="22"/>
        </w:rPr>
        <w:fldChar w:fldCharType="end"/>
      </w:r>
      <w:r w:rsidRPr="00260790">
        <w:rPr>
          <w:i w:val="0"/>
          <w:iCs w:val="0"/>
          <w:color w:val="000000" w:themeColor="text1"/>
          <w:sz w:val="22"/>
          <w:szCs w:val="22"/>
        </w:rPr>
        <w:t> : analyse des enjeux environnementaux</w:t>
      </w:r>
      <w:bookmarkEnd w:id="459"/>
      <w:r w:rsidRPr="00260790">
        <w:rPr>
          <w:i w:val="0"/>
          <w:iCs w:val="0"/>
          <w:color w:val="000000" w:themeColor="text1"/>
          <w:sz w:val="22"/>
          <w:szCs w:val="22"/>
        </w:rPr>
        <w:t xml:space="preserve"> </w:t>
      </w:r>
    </w:p>
    <w:tbl>
      <w:tblPr>
        <w:tblW w:w="944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6804"/>
        <w:gridCol w:w="1228"/>
      </w:tblGrid>
      <w:tr w:rsidR="00E7779B" w:rsidRPr="00260790" w14:paraId="3C64EA9B" w14:textId="77777777" w:rsidTr="006A6836">
        <w:trPr>
          <w:tblHeader/>
        </w:trPr>
        <w:tc>
          <w:tcPr>
            <w:tcW w:w="1417" w:type="dxa"/>
            <w:shd w:val="clear" w:color="auto" w:fill="002060"/>
          </w:tcPr>
          <w:p w14:paraId="4472E403" w14:textId="77777777" w:rsidR="005F3FB7" w:rsidRPr="00260790" w:rsidRDefault="005F3FB7" w:rsidP="00E20250">
            <w:pPr>
              <w:spacing w:after="0" w:line="240" w:lineRule="auto"/>
              <w:jc w:val="both"/>
              <w:rPr>
                <w:rFonts w:ascii="Times New Roman" w:hAnsi="Times New Roman"/>
                <w:b/>
              </w:rPr>
            </w:pPr>
            <w:r w:rsidRPr="00260790">
              <w:rPr>
                <w:rFonts w:ascii="Times New Roman" w:hAnsi="Times New Roman"/>
                <w:b/>
              </w:rPr>
              <w:t>Thématique</w:t>
            </w:r>
          </w:p>
        </w:tc>
        <w:tc>
          <w:tcPr>
            <w:tcW w:w="6804" w:type="dxa"/>
            <w:shd w:val="clear" w:color="auto" w:fill="002060"/>
          </w:tcPr>
          <w:p w14:paraId="06A20D27" w14:textId="77777777" w:rsidR="005F3FB7" w:rsidRPr="00260790" w:rsidRDefault="005F3FB7" w:rsidP="00E20250">
            <w:pPr>
              <w:spacing w:after="0" w:line="240" w:lineRule="auto"/>
              <w:jc w:val="both"/>
              <w:rPr>
                <w:rFonts w:ascii="Times New Roman" w:hAnsi="Times New Roman"/>
                <w:b/>
              </w:rPr>
            </w:pPr>
            <w:r w:rsidRPr="00260790">
              <w:rPr>
                <w:rFonts w:ascii="Times New Roman" w:hAnsi="Times New Roman"/>
                <w:b/>
              </w:rPr>
              <w:t>Description</w:t>
            </w:r>
          </w:p>
        </w:tc>
        <w:tc>
          <w:tcPr>
            <w:tcW w:w="1228" w:type="dxa"/>
            <w:shd w:val="clear" w:color="auto" w:fill="002060"/>
          </w:tcPr>
          <w:p w14:paraId="11DF3E47" w14:textId="77777777" w:rsidR="005F3FB7" w:rsidRPr="00260790" w:rsidRDefault="005F3FB7" w:rsidP="00E20250">
            <w:pPr>
              <w:spacing w:after="0" w:line="240" w:lineRule="auto"/>
              <w:jc w:val="both"/>
              <w:rPr>
                <w:rFonts w:ascii="Times New Roman" w:hAnsi="Times New Roman"/>
                <w:b/>
              </w:rPr>
            </w:pPr>
            <w:r w:rsidRPr="00260790">
              <w:rPr>
                <w:rFonts w:ascii="Times New Roman" w:hAnsi="Times New Roman"/>
                <w:b/>
              </w:rPr>
              <w:t>Sensibilité</w:t>
            </w:r>
          </w:p>
        </w:tc>
      </w:tr>
      <w:tr w:rsidR="00BD1A2F" w:rsidRPr="00260790" w14:paraId="62A976B6" w14:textId="77777777" w:rsidTr="006A6836">
        <w:tc>
          <w:tcPr>
            <w:tcW w:w="1417" w:type="dxa"/>
            <w:vAlign w:val="center"/>
          </w:tcPr>
          <w:p w14:paraId="06891AB9" w14:textId="77777777" w:rsidR="005F3FB7" w:rsidRPr="00260790" w:rsidRDefault="005F3FB7" w:rsidP="00E20250">
            <w:pPr>
              <w:spacing w:after="0" w:line="240" w:lineRule="auto"/>
              <w:jc w:val="both"/>
              <w:rPr>
                <w:rFonts w:ascii="Times New Roman" w:hAnsi="Times New Roman"/>
                <w:b/>
                <w:color w:val="000000" w:themeColor="text1"/>
              </w:rPr>
            </w:pPr>
            <w:r w:rsidRPr="00260790">
              <w:rPr>
                <w:rFonts w:ascii="Times New Roman" w:hAnsi="Times New Roman"/>
                <w:b/>
                <w:color w:val="000000" w:themeColor="text1"/>
              </w:rPr>
              <w:t>Maîtrise des inondations</w:t>
            </w:r>
          </w:p>
        </w:tc>
        <w:tc>
          <w:tcPr>
            <w:tcW w:w="6804" w:type="dxa"/>
            <w:vAlign w:val="center"/>
          </w:tcPr>
          <w:p w14:paraId="54D2D996" w14:textId="5ED4B083" w:rsidR="005F3FB7" w:rsidRPr="00260790"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La zone d’implantation des ouvrages est caractérisée par une forte densité d’occupation de l’espace liée à une urbanisation galopante et souvent non contrôlée. Cette situation occasionne l’obstruction des voies d’écoulement naturel des eaux pluviales entrainant ainsi de fréquentes inondations. Les réalisations de la première phase du PROGEP et celles de la phase d’urgence ont certes soulagé les populations, mais sans venir à bout des problèmes d’ino</w:t>
            </w:r>
            <w:r w:rsidR="00D819E9" w:rsidRPr="00260790">
              <w:rPr>
                <w:rFonts w:ascii="Times New Roman" w:hAnsi="Times New Roman"/>
                <w:color w:val="000000" w:themeColor="text1"/>
              </w:rPr>
              <w:t>ndations. Les travaux dans les C</w:t>
            </w:r>
            <w:r w:rsidRPr="00260790">
              <w:rPr>
                <w:rFonts w:ascii="Times New Roman" w:hAnsi="Times New Roman"/>
                <w:color w:val="000000" w:themeColor="text1"/>
              </w:rPr>
              <w:t xml:space="preserve">ommunes de Keur Massar </w:t>
            </w:r>
            <w:r w:rsidR="003A335A" w:rsidRPr="00260790">
              <w:rPr>
                <w:rFonts w:ascii="Times New Roman" w:hAnsi="Times New Roman"/>
                <w:color w:val="000000" w:themeColor="text1"/>
              </w:rPr>
              <w:t xml:space="preserve">Sud </w:t>
            </w:r>
            <w:r w:rsidRPr="00260790">
              <w:rPr>
                <w:rFonts w:ascii="Times New Roman" w:hAnsi="Times New Roman"/>
                <w:color w:val="000000" w:themeColor="text1"/>
              </w:rPr>
              <w:t xml:space="preserve">et de </w:t>
            </w:r>
            <w:proofErr w:type="spellStart"/>
            <w:r w:rsidRPr="00260790">
              <w:rPr>
                <w:rFonts w:ascii="Times New Roman" w:hAnsi="Times New Roman"/>
                <w:color w:val="000000" w:themeColor="text1"/>
              </w:rPr>
              <w:t>Jaxaay</w:t>
            </w:r>
            <w:proofErr w:type="spellEnd"/>
            <w:r w:rsidRPr="00260790">
              <w:rPr>
                <w:rFonts w:ascii="Times New Roman" w:hAnsi="Times New Roman"/>
                <w:color w:val="000000" w:themeColor="text1"/>
              </w:rPr>
              <w:t xml:space="preserve"> prévus par le projet contribueront à renforcer les acquis et à davantage maîtriser les phénomènes d’inondation de façon durable dans la zone du projet. La réalisation du projet permettra de récupérer les lotissements inondés et améliorera le trafic routier. Cependant, la maîtrise des inondations </w:t>
            </w:r>
            <w:r w:rsidR="00BA0612" w:rsidRPr="00260790">
              <w:rPr>
                <w:rFonts w:ascii="Times New Roman" w:hAnsi="Times New Roman"/>
                <w:color w:val="000000" w:themeColor="text1"/>
              </w:rPr>
              <w:t xml:space="preserve">est contrainte </w:t>
            </w:r>
            <w:r w:rsidRPr="00260790">
              <w:rPr>
                <w:rFonts w:ascii="Times New Roman" w:hAnsi="Times New Roman"/>
                <w:color w:val="000000" w:themeColor="text1"/>
              </w:rPr>
              <w:t>par : i) un manque de contrôle de l’urbanisation dans la zone ; ii) un comblement des voies de ruissellement par des particuliers avec des opérations de remblais à des fins d’habitation ; iii) un défaut d’entretien des ouvrages exacerbé par un comportement non citoyen de certaines populations riveraines (vandalisme, piratage du réseau, rejets d’ordures, etc.) ; un manque de moyen financier pour mettre en place les infrastructures nécessaires pouvant couvrir toute</w:t>
            </w:r>
            <w:r w:rsidR="004E1F97" w:rsidRPr="00260790">
              <w:rPr>
                <w:rFonts w:ascii="Times New Roman" w:hAnsi="Times New Roman"/>
                <w:color w:val="000000" w:themeColor="text1"/>
              </w:rPr>
              <w:t>s</w:t>
            </w:r>
            <w:r w:rsidRPr="00260790">
              <w:rPr>
                <w:rFonts w:ascii="Times New Roman" w:hAnsi="Times New Roman"/>
                <w:color w:val="000000" w:themeColor="text1"/>
              </w:rPr>
              <w:t xml:space="preserve"> les zones soumises aux inondations. </w:t>
            </w:r>
          </w:p>
        </w:tc>
        <w:tc>
          <w:tcPr>
            <w:tcW w:w="1228" w:type="dxa"/>
            <w:shd w:val="clear" w:color="auto" w:fill="FFFF00"/>
            <w:vAlign w:val="center"/>
          </w:tcPr>
          <w:p w14:paraId="37F23A0B" w14:textId="77777777" w:rsidR="005F3FB7" w:rsidRPr="00260790" w:rsidRDefault="005F3FB7" w:rsidP="00E20250">
            <w:pPr>
              <w:spacing w:after="0" w:line="240" w:lineRule="auto"/>
              <w:jc w:val="center"/>
              <w:rPr>
                <w:rFonts w:ascii="Times New Roman" w:hAnsi="Times New Roman"/>
                <w:b/>
                <w:color w:val="000000" w:themeColor="text1"/>
              </w:rPr>
            </w:pPr>
            <w:r w:rsidRPr="00260790">
              <w:rPr>
                <w:rFonts w:ascii="Times New Roman" w:hAnsi="Times New Roman"/>
                <w:b/>
                <w:color w:val="000000" w:themeColor="text1"/>
              </w:rPr>
              <w:t>Moyenne</w:t>
            </w:r>
          </w:p>
        </w:tc>
      </w:tr>
      <w:tr w:rsidR="00BD1A2F" w:rsidRPr="00260790" w14:paraId="3CC0ECD5" w14:textId="77777777" w:rsidTr="006A6836">
        <w:tc>
          <w:tcPr>
            <w:tcW w:w="1417" w:type="dxa"/>
            <w:vAlign w:val="center"/>
          </w:tcPr>
          <w:p w14:paraId="1A3BFF3C" w14:textId="77777777" w:rsidR="005F3FB7" w:rsidRPr="00260790" w:rsidRDefault="005F3FB7" w:rsidP="00E20250">
            <w:pPr>
              <w:spacing w:after="0" w:line="240" w:lineRule="auto"/>
              <w:jc w:val="both"/>
              <w:rPr>
                <w:rFonts w:ascii="Times New Roman" w:hAnsi="Times New Roman"/>
                <w:b/>
                <w:color w:val="000000" w:themeColor="text1"/>
              </w:rPr>
            </w:pPr>
            <w:r w:rsidRPr="00260790">
              <w:rPr>
                <w:rFonts w:ascii="Times New Roman" w:hAnsi="Times New Roman"/>
                <w:b/>
                <w:color w:val="000000" w:themeColor="text1"/>
              </w:rPr>
              <w:t>Qualité de l’eau et Pollutions</w:t>
            </w:r>
          </w:p>
        </w:tc>
        <w:tc>
          <w:tcPr>
            <w:tcW w:w="6804" w:type="dxa"/>
            <w:vAlign w:val="center"/>
          </w:tcPr>
          <w:p w14:paraId="0ABB4F7B" w14:textId="2C1E728E" w:rsidR="005F3FB7" w:rsidRPr="00260790" w:rsidRDefault="005F3FB7" w:rsidP="00E20250">
            <w:pPr>
              <w:autoSpaceDE w:val="0"/>
              <w:autoSpaceDN w:val="0"/>
              <w:adjustRightInd w:val="0"/>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L’eau de drainage contient généralement des déchets, des métaux lourds, des bactéries, des nitrates et des coliformes qu’il convient de piéger correctement. La qualité de l’eau, qui transitera dans les collecteurs à mettre en place dans le cadre du projet, peut être altérée par des pollutions diverses susceptibles de générer des nuisances et d’altérer la qualité des eaux </w:t>
            </w:r>
            <w:r w:rsidRPr="00260790">
              <w:rPr>
                <w:rFonts w:ascii="Times New Roman" w:hAnsi="Times New Roman"/>
                <w:color w:val="000000" w:themeColor="text1"/>
              </w:rPr>
              <w:lastRenderedPageBreak/>
              <w:t xml:space="preserve">souterraines et des eaux de surface dans la zone du projet. Les milieux les plus sensibles à ce risque sont le marigot </w:t>
            </w:r>
            <w:r w:rsidR="00423838" w:rsidRPr="00260790">
              <w:rPr>
                <w:rFonts w:ascii="Times New Roman" w:hAnsi="Times New Roman"/>
                <w:color w:val="000000" w:themeColor="text1"/>
              </w:rPr>
              <w:t>de Mbao</w:t>
            </w:r>
            <w:r w:rsidR="00F239F4">
              <w:rPr>
                <w:rFonts w:ascii="Times New Roman" w:hAnsi="Times New Roman"/>
                <w:color w:val="000000" w:themeColor="text1"/>
              </w:rPr>
              <w:t xml:space="preserve">, la mer </w:t>
            </w:r>
            <w:r w:rsidR="00FD5129">
              <w:rPr>
                <w:rFonts w:ascii="Times New Roman" w:hAnsi="Times New Roman"/>
                <w:color w:val="000000" w:themeColor="text1"/>
              </w:rPr>
              <w:t>en tant qu’exutoire</w:t>
            </w:r>
            <w:r w:rsidR="004D5AFF">
              <w:rPr>
                <w:rFonts w:ascii="Times New Roman" w:hAnsi="Times New Roman"/>
                <w:color w:val="000000" w:themeColor="text1"/>
              </w:rPr>
              <w:t xml:space="preserve"> final</w:t>
            </w:r>
            <w:r w:rsidR="00423838" w:rsidRPr="00260790">
              <w:rPr>
                <w:rFonts w:ascii="Times New Roman" w:hAnsi="Times New Roman"/>
                <w:color w:val="000000" w:themeColor="text1"/>
              </w:rPr>
              <w:t xml:space="preserve"> </w:t>
            </w:r>
            <w:r w:rsidRPr="00260790">
              <w:rPr>
                <w:rFonts w:ascii="Times New Roman" w:hAnsi="Times New Roman"/>
                <w:color w:val="000000" w:themeColor="text1"/>
              </w:rPr>
              <w:t>et la forêt de Mbao qui risque</w:t>
            </w:r>
            <w:r w:rsidR="00121ECD" w:rsidRPr="00260790">
              <w:rPr>
                <w:rFonts w:ascii="Times New Roman" w:hAnsi="Times New Roman"/>
                <w:color w:val="000000" w:themeColor="text1"/>
              </w:rPr>
              <w:t>nt</w:t>
            </w:r>
            <w:r w:rsidRPr="00260790">
              <w:rPr>
                <w:rFonts w:ascii="Times New Roman" w:hAnsi="Times New Roman"/>
                <w:color w:val="000000" w:themeColor="text1"/>
              </w:rPr>
              <w:t xml:space="preserve"> de recevoir des quantités importantes d’eaux polluées entrainant un risque pour la faune (poissons et bétail), les activités agricoles et la santé humaine. </w:t>
            </w:r>
          </w:p>
        </w:tc>
        <w:tc>
          <w:tcPr>
            <w:tcW w:w="1228" w:type="dxa"/>
            <w:shd w:val="clear" w:color="auto" w:fill="FF0000"/>
            <w:vAlign w:val="center"/>
          </w:tcPr>
          <w:p w14:paraId="4EE4DB61" w14:textId="6501692C" w:rsidR="005F3FB7" w:rsidRPr="00260790" w:rsidRDefault="005F3FB7" w:rsidP="00E20250">
            <w:pPr>
              <w:spacing w:after="0" w:line="240" w:lineRule="auto"/>
              <w:jc w:val="center"/>
              <w:rPr>
                <w:rFonts w:ascii="Times New Roman" w:hAnsi="Times New Roman"/>
                <w:b/>
                <w:color w:val="000000" w:themeColor="text1"/>
              </w:rPr>
            </w:pPr>
            <w:r w:rsidRPr="00260790">
              <w:rPr>
                <w:rFonts w:ascii="Times New Roman" w:hAnsi="Times New Roman"/>
                <w:b/>
                <w:color w:val="000000" w:themeColor="text1"/>
              </w:rPr>
              <w:lastRenderedPageBreak/>
              <w:t>Fort</w:t>
            </w:r>
            <w:r w:rsidR="00423838" w:rsidRPr="00260790">
              <w:rPr>
                <w:rFonts w:ascii="Times New Roman" w:hAnsi="Times New Roman"/>
                <w:b/>
                <w:color w:val="000000" w:themeColor="text1"/>
              </w:rPr>
              <w:t>e</w:t>
            </w:r>
          </w:p>
        </w:tc>
      </w:tr>
      <w:tr w:rsidR="00BD1A2F" w:rsidRPr="00260790" w14:paraId="37C51932" w14:textId="77777777" w:rsidTr="006A6836">
        <w:tc>
          <w:tcPr>
            <w:tcW w:w="1417" w:type="dxa"/>
            <w:vAlign w:val="center"/>
          </w:tcPr>
          <w:p w14:paraId="504A83FD" w14:textId="77777777" w:rsidR="005F3FB7" w:rsidRPr="00260790" w:rsidRDefault="005F3FB7" w:rsidP="00E20250">
            <w:pPr>
              <w:spacing w:after="0" w:line="240" w:lineRule="auto"/>
              <w:jc w:val="both"/>
              <w:rPr>
                <w:rFonts w:ascii="Times New Roman" w:hAnsi="Times New Roman"/>
                <w:b/>
                <w:color w:val="000000" w:themeColor="text1"/>
              </w:rPr>
            </w:pPr>
            <w:r w:rsidRPr="00260790">
              <w:rPr>
                <w:rFonts w:ascii="Times New Roman" w:hAnsi="Times New Roman"/>
                <w:b/>
                <w:color w:val="000000" w:themeColor="text1"/>
              </w:rPr>
              <w:t>Entretien des ouvrages</w:t>
            </w:r>
          </w:p>
        </w:tc>
        <w:tc>
          <w:tcPr>
            <w:tcW w:w="6804" w:type="dxa"/>
            <w:vAlign w:val="center"/>
          </w:tcPr>
          <w:p w14:paraId="55B66E3B" w14:textId="77777777" w:rsidR="005F3FB7" w:rsidRPr="00260790"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Il a été relevé, lors des consultations des parties prenantes, des problèmes d’entretien des ouvrages de drainage des eaux pluviales réalisés dans le cadre du PROGEP I. Le défaut de prise en compte du volet entretien/maintenance dans le cadre de ce projet pourrait entraîner des conséquences néfastes </w:t>
            </w:r>
            <w:proofErr w:type="gramStart"/>
            <w:r w:rsidRPr="00260790">
              <w:rPr>
                <w:rFonts w:ascii="Times New Roman" w:hAnsi="Times New Roman"/>
                <w:color w:val="000000" w:themeColor="text1"/>
              </w:rPr>
              <w:t>au</w:t>
            </w:r>
            <w:proofErr w:type="gramEnd"/>
            <w:r w:rsidRPr="00260790">
              <w:rPr>
                <w:rFonts w:ascii="Times New Roman" w:hAnsi="Times New Roman"/>
                <w:color w:val="000000" w:themeColor="text1"/>
              </w:rPr>
              <w:t xml:space="preserve"> plan sanitaire, environnemental (pollution de l’air par odeurs) et sur la performance des ouvrages.</w:t>
            </w:r>
          </w:p>
        </w:tc>
        <w:tc>
          <w:tcPr>
            <w:tcW w:w="1228" w:type="dxa"/>
            <w:shd w:val="clear" w:color="auto" w:fill="FFFF00"/>
            <w:vAlign w:val="center"/>
          </w:tcPr>
          <w:p w14:paraId="52AFA7CC" w14:textId="77777777" w:rsidR="005F3FB7" w:rsidRPr="00260790" w:rsidRDefault="005F3FB7" w:rsidP="00E20250">
            <w:pPr>
              <w:spacing w:after="0" w:line="240" w:lineRule="auto"/>
              <w:jc w:val="center"/>
              <w:rPr>
                <w:rFonts w:ascii="Times New Roman" w:hAnsi="Times New Roman"/>
                <w:b/>
                <w:color w:val="000000" w:themeColor="text1"/>
              </w:rPr>
            </w:pPr>
            <w:r w:rsidRPr="00260790">
              <w:rPr>
                <w:rFonts w:ascii="Times New Roman" w:hAnsi="Times New Roman"/>
                <w:b/>
                <w:color w:val="000000" w:themeColor="text1"/>
              </w:rPr>
              <w:t>Moyen</w:t>
            </w:r>
          </w:p>
        </w:tc>
      </w:tr>
      <w:tr w:rsidR="00BD1A2F" w:rsidRPr="00260790" w14:paraId="03D83EE8" w14:textId="77777777" w:rsidTr="006A6836">
        <w:tc>
          <w:tcPr>
            <w:tcW w:w="1417" w:type="dxa"/>
            <w:tcBorders>
              <w:top w:val="single" w:sz="4" w:space="0" w:color="auto"/>
              <w:left w:val="single" w:sz="4" w:space="0" w:color="auto"/>
              <w:bottom w:val="single" w:sz="4" w:space="0" w:color="auto"/>
              <w:right w:val="single" w:sz="4" w:space="0" w:color="auto"/>
            </w:tcBorders>
            <w:vAlign w:val="center"/>
          </w:tcPr>
          <w:p w14:paraId="1F647612" w14:textId="77777777" w:rsidR="005F3FB7" w:rsidRPr="00260790" w:rsidRDefault="005F3FB7" w:rsidP="00E20250">
            <w:pPr>
              <w:spacing w:after="0" w:line="240" w:lineRule="auto"/>
              <w:jc w:val="both"/>
              <w:rPr>
                <w:rFonts w:ascii="Times New Roman" w:hAnsi="Times New Roman"/>
                <w:b/>
                <w:color w:val="000000" w:themeColor="text1"/>
              </w:rPr>
            </w:pPr>
            <w:r w:rsidRPr="00260790">
              <w:rPr>
                <w:rFonts w:ascii="Times New Roman" w:hAnsi="Times New Roman"/>
                <w:b/>
                <w:color w:val="000000" w:themeColor="text1"/>
              </w:rPr>
              <w:t>Préservation du marigot de Mbao et de la biodiversité</w:t>
            </w:r>
          </w:p>
        </w:tc>
        <w:tc>
          <w:tcPr>
            <w:tcW w:w="6804" w:type="dxa"/>
            <w:tcBorders>
              <w:top w:val="single" w:sz="4" w:space="0" w:color="auto"/>
              <w:left w:val="single" w:sz="4" w:space="0" w:color="auto"/>
              <w:bottom w:val="single" w:sz="4" w:space="0" w:color="auto"/>
              <w:right w:val="single" w:sz="4" w:space="0" w:color="auto"/>
            </w:tcBorders>
            <w:vAlign w:val="center"/>
          </w:tcPr>
          <w:p w14:paraId="6C126162" w14:textId="20848AFA" w:rsidR="005F3FB7" w:rsidRPr="00260790"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Le marigot est une ressource d’eau dont la préservation présente un double enjeu : i) environnemental, du </w:t>
            </w:r>
            <w:r w:rsidR="00CC5BD4" w:rsidRPr="00260790">
              <w:rPr>
                <w:rFonts w:ascii="Times New Roman" w:hAnsi="Times New Roman"/>
                <w:color w:val="000000" w:themeColor="text1"/>
              </w:rPr>
              <w:t>point</w:t>
            </w:r>
            <w:r w:rsidRPr="00260790">
              <w:rPr>
                <w:rFonts w:ascii="Times New Roman" w:hAnsi="Times New Roman"/>
                <w:color w:val="000000" w:themeColor="text1"/>
              </w:rPr>
              <w:t xml:space="preserve"> de vue de la protection et de la préservation de la biodiversité du milieu naturel ; ii) économique, pour le maintien des activités agricoles et de </w:t>
            </w:r>
            <w:r w:rsidR="00273847" w:rsidRPr="00260790">
              <w:rPr>
                <w:rFonts w:ascii="Times New Roman" w:hAnsi="Times New Roman"/>
                <w:color w:val="000000" w:themeColor="text1"/>
              </w:rPr>
              <w:t>pêche pratiquée</w:t>
            </w:r>
            <w:r w:rsidRPr="00260790">
              <w:rPr>
                <w:rFonts w:ascii="Times New Roman" w:hAnsi="Times New Roman"/>
                <w:color w:val="000000" w:themeColor="text1"/>
              </w:rPr>
              <w:t xml:space="preserve"> dans la zone et les opportunités de développement de l’activité touristique.</w:t>
            </w:r>
          </w:p>
          <w:p w14:paraId="182EEC6F" w14:textId="77777777" w:rsidR="005F3FB7" w:rsidRPr="00260790"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L’exutoire des eaux de drainage au niveau de la forêt de Mbao à travers un réseau de collecteurs est aménagé, il s’agit des bassins de relais et du marigot de Mbao. Cependant, l’entretien de ces bassins n’est pas effectif et cela risque de biaiser les résultats attendus. Car ces bassins sont appelés à recevoir des quantités importantes d’eau avec la mise en œuvre du projet. À cet effet, il faudra prévoir un reprofilage de ces bassins et du marigot afin d’éviter tout risque de débordement ou de perturbation dans le voisinage. Avec le risque de pollution et de contamination des eaux inhérent au projet, ce qui constitue une menace pour la biodiversité dans cette zone.</w:t>
            </w:r>
          </w:p>
        </w:tc>
        <w:tc>
          <w:tcPr>
            <w:tcW w:w="1228" w:type="dxa"/>
            <w:tcBorders>
              <w:top w:val="single" w:sz="4" w:space="0" w:color="auto"/>
              <w:left w:val="single" w:sz="4" w:space="0" w:color="auto"/>
              <w:bottom w:val="single" w:sz="4" w:space="0" w:color="auto"/>
              <w:right w:val="single" w:sz="4" w:space="0" w:color="auto"/>
            </w:tcBorders>
            <w:shd w:val="clear" w:color="auto" w:fill="FF0000"/>
            <w:vAlign w:val="center"/>
          </w:tcPr>
          <w:p w14:paraId="5B310D4E" w14:textId="77777777" w:rsidR="005F3FB7" w:rsidRPr="00260790" w:rsidRDefault="005F3FB7" w:rsidP="00E20250">
            <w:pPr>
              <w:spacing w:after="0" w:line="240" w:lineRule="auto"/>
              <w:jc w:val="center"/>
              <w:rPr>
                <w:rFonts w:ascii="Times New Roman" w:hAnsi="Times New Roman"/>
                <w:b/>
                <w:color w:val="000000" w:themeColor="text1"/>
              </w:rPr>
            </w:pPr>
            <w:r w:rsidRPr="00260790">
              <w:rPr>
                <w:rFonts w:ascii="Times New Roman" w:hAnsi="Times New Roman"/>
                <w:b/>
                <w:color w:val="000000" w:themeColor="text1"/>
              </w:rPr>
              <w:t>Forte</w:t>
            </w:r>
          </w:p>
        </w:tc>
      </w:tr>
    </w:tbl>
    <w:p w14:paraId="19F20E65" w14:textId="77777777" w:rsidR="005F3FB7" w:rsidRPr="00260790" w:rsidRDefault="005F3FB7" w:rsidP="00E20250">
      <w:pPr>
        <w:spacing w:line="240" w:lineRule="auto"/>
        <w:ind w:left="567"/>
        <w:rPr>
          <w:rFonts w:ascii="Times New Roman" w:hAnsi="Times New Roman"/>
          <w:color w:val="000000" w:themeColor="text1"/>
        </w:rPr>
      </w:pPr>
      <w:r w:rsidRPr="00260790">
        <w:rPr>
          <w:rFonts w:ascii="Times New Roman" w:hAnsi="Times New Roman"/>
          <w:color w:val="000000" w:themeColor="text1"/>
          <w:u w:val="single"/>
        </w:rPr>
        <w:t>Légende</w:t>
      </w:r>
      <w:r w:rsidRPr="00260790">
        <w:rPr>
          <w:rFonts w:ascii="Times New Roman" w:hAnsi="Times New Roman"/>
          <w:color w:val="000000" w:themeColor="text1"/>
        </w:rPr>
        <w:t> :</w:t>
      </w:r>
    </w:p>
    <w:tbl>
      <w:tblPr>
        <w:tblW w:w="0" w:type="auto"/>
        <w:tblInd w:w="284" w:type="dxa"/>
        <w:tblLook w:val="04A0" w:firstRow="1" w:lastRow="0" w:firstColumn="1" w:lastColumn="0" w:noHBand="0" w:noVBand="1"/>
      </w:tblPr>
      <w:tblGrid>
        <w:gridCol w:w="1676"/>
        <w:gridCol w:w="1333"/>
        <w:gridCol w:w="1407"/>
        <w:gridCol w:w="1150"/>
      </w:tblGrid>
      <w:tr w:rsidR="00BD1A2F" w:rsidRPr="00260790" w14:paraId="0B8EC8BB" w14:textId="77777777" w:rsidTr="006A6836">
        <w:tc>
          <w:tcPr>
            <w:tcW w:w="1676" w:type="dxa"/>
            <w:vAlign w:val="center"/>
          </w:tcPr>
          <w:p w14:paraId="761EF06F" w14:textId="77777777" w:rsidR="005F3FB7" w:rsidRPr="00260790" w:rsidRDefault="005F3FB7" w:rsidP="006A6836">
            <w:pPr>
              <w:spacing w:after="0" w:line="240" w:lineRule="auto"/>
              <w:rPr>
                <w:rFonts w:ascii="Times New Roman" w:hAnsi="Times New Roman"/>
                <w:color w:val="000000" w:themeColor="text1"/>
              </w:rPr>
            </w:pPr>
            <w:r w:rsidRPr="00260790">
              <w:rPr>
                <w:rFonts w:ascii="Times New Roman" w:hAnsi="Times New Roman"/>
                <w:color w:val="000000" w:themeColor="text1"/>
              </w:rPr>
              <w:t>Niveau d’enjeu</w:t>
            </w:r>
          </w:p>
        </w:tc>
        <w:tc>
          <w:tcPr>
            <w:tcW w:w="1333" w:type="dxa"/>
            <w:shd w:val="clear" w:color="auto" w:fill="92D050"/>
          </w:tcPr>
          <w:p w14:paraId="1BFAD7ED" w14:textId="77777777" w:rsidR="005F3FB7" w:rsidRPr="00260790" w:rsidRDefault="005F3FB7" w:rsidP="006A6836">
            <w:pPr>
              <w:spacing w:after="0" w:line="240" w:lineRule="auto"/>
              <w:ind w:left="567"/>
              <w:rPr>
                <w:rFonts w:ascii="Times New Roman" w:hAnsi="Times New Roman"/>
                <w:color w:val="000000" w:themeColor="text1"/>
              </w:rPr>
            </w:pPr>
          </w:p>
        </w:tc>
        <w:tc>
          <w:tcPr>
            <w:tcW w:w="1407" w:type="dxa"/>
            <w:shd w:val="clear" w:color="auto" w:fill="FFFF00"/>
          </w:tcPr>
          <w:p w14:paraId="013A4D7C" w14:textId="77777777" w:rsidR="005F3FB7" w:rsidRPr="00260790" w:rsidRDefault="005F3FB7" w:rsidP="006A6836">
            <w:pPr>
              <w:spacing w:after="0" w:line="240" w:lineRule="auto"/>
              <w:ind w:left="567"/>
              <w:rPr>
                <w:rFonts w:ascii="Times New Roman" w:hAnsi="Times New Roman"/>
                <w:color w:val="000000" w:themeColor="text1"/>
              </w:rPr>
            </w:pPr>
          </w:p>
        </w:tc>
        <w:tc>
          <w:tcPr>
            <w:tcW w:w="1150" w:type="dxa"/>
            <w:shd w:val="clear" w:color="auto" w:fill="FF0000"/>
          </w:tcPr>
          <w:p w14:paraId="34BB2BDF" w14:textId="77777777" w:rsidR="005F3FB7" w:rsidRPr="00260790" w:rsidRDefault="005F3FB7" w:rsidP="006A6836">
            <w:pPr>
              <w:spacing w:after="0" w:line="240" w:lineRule="auto"/>
              <w:ind w:left="567"/>
              <w:rPr>
                <w:rFonts w:ascii="Times New Roman" w:hAnsi="Times New Roman"/>
                <w:color w:val="000000" w:themeColor="text1"/>
              </w:rPr>
            </w:pPr>
          </w:p>
        </w:tc>
      </w:tr>
      <w:tr w:rsidR="00BD1A2F" w:rsidRPr="00260790" w14:paraId="766523AB" w14:textId="77777777" w:rsidTr="006A6836">
        <w:trPr>
          <w:trHeight w:val="91"/>
        </w:trPr>
        <w:tc>
          <w:tcPr>
            <w:tcW w:w="1676" w:type="dxa"/>
          </w:tcPr>
          <w:p w14:paraId="7FB76E2E" w14:textId="77777777" w:rsidR="005F3FB7" w:rsidRPr="00260790" w:rsidRDefault="005F3FB7" w:rsidP="006A6836">
            <w:pPr>
              <w:spacing w:after="0" w:line="240" w:lineRule="auto"/>
              <w:ind w:left="567"/>
              <w:jc w:val="center"/>
              <w:rPr>
                <w:rFonts w:ascii="Times New Roman" w:hAnsi="Times New Roman"/>
                <w:color w:val="000000" w:themeColor="text1"/>
              </w:rPr>
            </w:pPr>
          </w:p>
        </w:tc>
        <w:tc>
          <w:tcPr>
            <w:tcW w:w="1333" w:type="dxa"/>
          </w:tcPr>
          <w:p w14:paraId="3B0AE4C4" w14:textId="77777777" w:rsidR="005F3FB7" w:rsidRPr="00260790" w:rsidRDefault="005F3FB7" w:rsidP="006A6836">
            <w:pPr>
              <w:spacing w:after="0" w:line="240" w:lineRule="auto"/>
              <w:ind w:left="567"/>
              <w:jc w:val="center"/>
              <w:rPr>
                <w:rFonts w:ascii="Times New Roman" w:hAnsi="Times New Roman"/>
                <w:color w:val="000000" w:themeColor="text1"/>
              </w:rPr>
            </w:pPr>
            <w:r w:rsidRPr="00260790">
              <w:rPr>
                <w:rFonts w:ascii="Times New Roman" w:hAnsi="Times New Roman"/>
                <w:color w:val="000000" w:themeColor="text1"/>
              </w:rPr>
              <w:t>Faible</w:t>
            </w:r>
          </w:p>
        </w:tc>
        <w:tc>
          <w:tcPr>
            <w:tcW w:w="1407" w:type="dxa"/>
          </w:tcPr>
          <w:p w14:paraId="2BF713CA" w14:textId="77777777" w:rsidR="005F3FB7" w:rsidRPr="00260790" w:rsidRDefault="005F3FB7" w:rsidP="006A6836">
            <w:pPr>
              <w:spacing w:after="0" w:line="240" w:lineRule="auto"/>
              <w:ind w:left="567"/>
              <w:jc w:val="center"/>
              <w:rPr>
                <w:rFonts w:ascii="Times New Roman" w:hAnsi="Times New Roman"/>
                <w:color w:val="000000" w:themeColor="text1"/>
              </w:rPr>
            </w:pPr>
            <w:r w:rsidRPr="00260790">
              <w:rPr>
                <w:rFonts w:ascii="Times New Roman" w:hAnsi="Times New Roman"/>
                <w:color w:val="000000" w:themeColor="text1"/>
              </w:rPr>
              <w:t>Moyen</w:t>
            </w:r>
          </w:p>
        </w:tc>
        <w:tc>
          <w:tcPr>
            <w:tcW w:w="1150" w:type="dxa"/>
          </w:tcPr>
          <w:p w14:paraId="40BEE507" w14:textId="77777777" w:rsidR="005F3FB7" w:rsidRPr="00260790" w:rsidRDefault="005F3FB7" w:rsidP="006A6836">
            <w:pPr>
              <w:spacing w:after="0" w:line="240" w:lineRule="auto"/>
              <w:ind w:left="567"/>
              <w:jc w:val="center"/>
              <w:rPr>
                <w:rFonts w:ascii="Times New Roman" w:hAnsi="Times New Roman"/>
                <w:color w:val="000000" w:themeColor="text1"/>
              </w:rPr>
            </w:pPr>
            <w:r w:rsidRPr="00260790">
              <w:rPr>
                <w:rFonts w:ascii="Times New Roman" w:hAnsi="Times New Roman"/>
                <w:color w:val="000000" w:themeColor="text1"/>
              </w:rPr>
              <w:t>Fort</w:t>
            </w:r>
          </w:p>
        </w:tc>
      </w:tr>
    </w:tbl>
    <w:p w14:paraId="7FCDCD26" w14:textId="5B72AA9E" w:rsidR="005F3FB7" w:rsidRPr="00260790" w:rsidRDefault="005F3FB7" w:rsidP="00624378">
      <w:pPr>
        <w:spacing w:after="0" w:line="240" w:lineRule="auto"/>
        <w:jc w:val="both"/>
        <w:rPr>
          <w:rFonts w:ascii="Times New Roman" w:hAnsi="Times New Roman"/>
          <w:color w:val="000000" w:themeColor="text1"/>
        </w:rPr>
      </w:pPr>
      <w:bookmarkStart w:id="460" w:name="_Toc207781856"/>
      <w:bookmarkEnd w:id="458"/>
      <w:r w:rsidRPr="00260790">
        <w:rPr>
          <w:rFonts w:ascii="Times New Roman" w:hAnsi="Times New Roman"/>
          <w:color w:val="000000" w:themeColor="text1"/>
        </w:rPr>
        <w:t xml:space="preserve">Tableau </w:t>
      </w:r>
      <w:r w:rsidRPr="00260790">
        <w:rPr>
          <w:rFonts w:ascii="Times New Roman" w:hAnsi="Times New Roman"/>
          <w:color w:val="000000" w:themeColor="text1"/>
        </w:rPr>
        <w:fldChar w:fldCharType="begin"/>
      </w:r>
      <w:r w:rsidRPr="00260790">
        <w:rPr>
          <w:rFonts w:ascii="Times New Roman" w:hAnsi="Times New Roman"/>
          <w:color w:val="000000" w:themeColor="text1"/>
        </w:rPr>
        <w:instrText xml:space="preserve"> SEQ Tableau \* ARABIC </w:instrText>
      </w:r>
      <w:r w:rsidRPr="00260790">
        <w:rPr>
          <w:rFonts w:ascii="Times New Roman" w:hAnsi="Times New Roman"/>
          <w:color w:val="000000" w:themeColor="text1"/>
        </w:rPr>
        <w:fldChar w:fldCharType="separate"/>
      </w:r>
      <w:r w:rsidR="003C783E">
        <w:rPr>
          <w:rFonts w:ascii="Times New Roman" w:hAnsi="Times New Roman"/>
          <w:noProof/>
          <w:color w:val="000000" w:themeColor="text1"/>
        </w:rPr>
        <w:t>15</w:t>
      </w:r>
      <w:r w:rsidRPr="00260790">
        <w:rPr>
          <w:rFonts w:ascii="Times New Roman" w:hAnsi="Times New Roman"/>
          <w:color w:val="000000" w:themeColor="text1"/>
        </w:rPr>
        <w:fldChar w:fldCharType="end"/>
      </w:r>
      <w:r w:rsidRPr="00260790">
        <w:rPr>
          <w:rFonts w:ascii="Times New Roman" w:hAnsi="Times New Roman"/>
          <w:color w:val="000000" w:themeColor="text1"/>
        </w:rPr>
        <w:t> : analyse des enjeux sociaux</w:t>
      </w:r>
      <w:bookmarkEnd w:id="460"/>
      <w:r w:rsidRPr="00260790">
        <w:rPr>
          <w:rFonts w:ascii="Times New Roman" w:hAnsi="Times New Roman"/>
          <w:color w:val="000000" w:themeColor="text1"/>
        </w:rPr>
        <w:t xml:space="preserve"> </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3"/>
        <w:gridCol w:w="6618"/>
        <w:gridCol w:w="1133"/>
      </w:tblGrid>
      <w:tr w:rsidR="00E7779B" w:rsidRPr="00260790" w14:paraId="607A523E" w14:textId="77777777" w:rsidTr="006A6836">
        <w:trPr>
          <w:tblHeader/>
        </w:trPr>
        <w:tc>
          <w:tcPr>
            <w:tcW w:w="1463" w:type="dxa"/>
            <w:shd w:val="clear" w:color="auto" w:fill="002060"/>
            <w:vAlign w:val="center"/>
          </w:tcPr>
          <w:p w14:paraId="154438F2" w14:textId="77777777" w:rsidR="005F3FB7" w:rsidRPr="00260790" w:rsidRDefault="005F3FB7" w:rsidP="00E20250">
            <w:pPr>
              <w:spacing w:after="0" w:line="240" w:lineRule="auto"/>
              <w:rPr>
                <w:rFonts w:ascii="Times New Roman" w:hAnsi="Times New Roman"/>
                <w:b/>
                <w:color w:val="FFFFFF" w:themeColor="background1"/>
              </w:rPr>
            </w:pPr>
            <w:r w:rsidRPr="00260790">
              <w:rPr>
                <w:rFonts w:ascii="Times New Roman" w:hAnsi="Times New Roman"/>
                <w:b/>
                <w:color w:val="FFFFFF" w:themeColor="background1"/>
              </w:rPr>
              <w:t>Thématiques</w:t>
            </w:r>
          </w:p>
        </w:tc>
        <w:tc>
          <w:tcPr>
            <w:tcW w:w="6618" w:type="dxa"/>
            <w:shd w:val="clear" w:color="auto" w:fill="002060"/>
            <w:vAlign w:val="center"/>
          </w:tcPr>
          <w:p w14:paraId="7549656A" w14:textId="77777777" w:rsidR="005F3FB7" w:rsidRPr="00260790" w:rsidRDefault="005F3FB7" w:rsidP="00E20250">
            <w:pPr>
              <w:spacing w:after="0" w:line="240" w:lineRule="auto"/>
              <w:rPr>
                <w:rFonts w:ascii="Times New Roman" w:hAnsi="Times New Roman"/>
                <w:b/>
                <w:color w:val="FFFFFF" w:themeColor="background1"/>
              </w:rPr>
            </w:pPr>
            <w:r w:rsidRPr="00260790">
              <w:rPr>
                <w:rFonts w:ascii="Times New Roman" w:hAnsi="Times New Roman"/>
                <w:b/>
                <w:color w:val="FFFFFF" w:themeColor="background1"/>
              </w:rPr>
              <w:t>Description</w:t>
            </w:r>
          </w:p>
        </w:tc>
        <w:tc>
          <w:tcPr>
            <w:tcW w:w="1133" w:type="dxa"/>
            <w:shd w:val="clear" w:color="auto" w:fill="002060"/>
            <w:vAlign w:val="center"/>
          </w:tcPr>
          <w:p w14:paraId="1BC49AFB" w14:textId="77777777" w:rsidR="005F3FB7" w:rsidRPr="00260790" w:rsidRDefault="005F3FB7" w:rsidP="00E20250">
            <w:pPr>
              <w:spacing w:after="0" w:line="240" w:lineRule="auto"/>
              <w:rPr>
                <w:rFonts w:ascii="Times New Roman" w:hAnsi="Times New Roman"/>
                <w:b/>
                <w:color w:val="FFFFFF" w:themeColor="background1"/>
              </w:rPr>
            </w:pPr>
            <w:r w:rsidRPr="00260790">
              <w:rPr>
                <w:rFonts w:ascii="Times New Roman" w:hAnsi="Times New Roman"/>
                <w:b/>
                <w:color w:val="FFFFFF" w:themeColor="background1"/>
              </w:rPr>
              <w:t>Niveau</w:t>
            </w:r>
          </w:p>
        </w:tc>
      </w:tr>
      <w:tr w:rsidR="00E20250" w:rsidRPr="00260790" w14:paraId="7945B66B" w14:textId="77777777" w:rsidTr="006A6836">
        <w:tc>
          <w:tcPr>
            <w:tcW w:w="1463" w:type="dxa"/>
            <w:vAlign w:val="center"/>
          </w:tcPr>
          <w:p w14:paraId="4FB2042A" w14:textId="77777777" w:rsidR="005F3FB7" w:rsidRPr="00260790" w:rsidRDefault="005F3FB7" w:rsidP="00E20250">
            <w:pPr>
              <w:spacing w:after="0" w:line="240" w:lineRule="auto"/>
              <w:jc w:val="both"/>
              <w:rPr>
                <w:rFonts w:ascii="Times New Roman" w:hAnsi="Times New Roman"/>
                <w:b/>
                <w:color w:val="000000" w:themeColor="text1"/>
              </w:rPr>
            </w:pPr>
            <w:r w:rsidRPr="00260790">
              <w:rPr>
                <w:rFonts w:ascii="Times New Roman" w:hAnsi="Times New Roman"/>
                <w:b/>
                <w:color w:val="000000" w:themeColor="text1"/>
              </w:rPr>
              <w:t>Libération des emprises et la réinstallation</w:t>
            </w:r>
          </w:p>
        </w:tc>
        <w:tc>
          <w:tcPr>
            <w:tcW w:w="6618" w:type="dxa"/>
            <w:vAlign w:val="center"/>
          </w:tcPr>
          <w:p w14:paraId="7B56B1D2" w14:textId="3A36D7DE" w:rsidR="005F3FB7" w:rsidRPr="00260790" w:rsidRDefault="005F3FB7" w:rsidP="00624378">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La zone de l’étude a connu une forte urbanisation accompagnée par un important développement d’infrastructures urbaines et d’activités socio-économiques. La mise en place des infrastructures occasionnera des pertes de terrains, d’habitations et déplacements involontaires. La réinstallation involontaire peut donc entrainer des déplacements forcés. La libération des emprises pourra également affecter les réseaux des concessionnaires (AGEROUTE, </w:t>
            </w:r>
            <w:r w:rsidR="00423838" w:rsidRPr="00260790">
              <w:rPr>
                <w:rFonts w:ascii="Times New Roman" w:hAnsi="Times New Roman"/>
                <w:color w:val="000000" w:themeColor="text1"/>
              </w:rPr>
              <w:t>ONAS</w:t>
            </w:r>
            <w:r w:rsidRPr="00260790">
              <w:rPr>
                <w:rFonts w:ascii="Times New Roman" w:hAnsi="Times New Roman"/>
                <w:color w:val="000000" w:themeColor="text1"/>
              </w:rPr>
              <w:t>, SENELEC, etc.) et par conséquent perturber la fourniture et la qualité des services.</w:t>
            </w:r>
          </w:p>
        </w:tc>
        <w:tc>
          <w:tcPr>
            <w:tcW w:w="1133" w:type="dxa"/>
            <w:shd w:val="clear" w:color="auto" w:fill="FF0000"/>
            <w:vAlign w:val="center"/>
          </w:tcPr>
          <w:p w14:paraId="47F0BB14" w14:textId="77777777" w:rsidR="005F3FB7" w:rsidRPr="00260790" w:rsidRDefault="005F3FB7" w:rsidP="00E20250">
            <w:pPr>
              <w:spacing w:after="0" w:line="240" w:lineRule="auto"/>
              <w:jc w:val="center"/>
              <w:rPr>
                <w:rFonts w:ascii="Times New Roman" w:hAnsi="Times New Roman"/>
                <w:b/>
                <w:color w:val="000000" w:themeColor="text1"/>
              </w:rPr>
            </w:pPr>
            <w:r w:rsidRPr="00260790">
              <w:rPr>
                <w:rFonts w:ascii="Times New Roman" w:hAnsi="Times New Roman"/>
                <w:b/>
                <w:color w:val="000000" w:themeColor="text1"/>
              </w:rPr>
              <w:t>Fort</w:t>
            </w:r>
          </w:p>
        </w:tc>
      </w:tr>
      <w:tr w:rsidR="00E20250" w:rsidRPr="00260790" w14:paraId="0B0974C9" w14:textId="77777777" w:rsidTr="006A6836">
        <w:tc>
          <w:tcPr>
            <w:tcW w:w="1463" w:type="dxa"/>
            <w:vAlign w:val="center"/>
          </w:tcPr>
          <w:p w14:paraId="02742401" w14:textId="77777777" w:rsidR="005F3FB7" w:rsidRPr="00260790" w:rsidRDefault="005F3FB7" w:rsidP="00E20250">
            <w:pPr>
              <w:spacing w:after="0" w:line="240" w:lineRule="auto"/>
              <w:jc w:val="both"/>
              <w:rPr>
                <w:rFonts w:ascii="Times New Roman" w:hAnsi="Times New Roman"/>
                <w:b/>
                <w:color w:val="000000" w:themeColor="text1"/>
              </w:rPr>
            </w:pPr>
            <w:r w:rsidRPr="00260790">
              <w:rPr>
                <w:rFonts w:ascii="Times New Roman" w:hAnsi="Times New Roman"/>
                <w:b/>
                <w:color w:val="000000" w:themeColor="text1"/>
              </w:rPr>
              <w:t>Mobilité</w:t>
            </w:r>
          </w:p>
        </w:tc>
        <w:tc>
          <w:tcPr>
            <w:tcW w:w="6618" w:type="dxa"/>
            <w:vAlign w:val="center"/>
          </w:tcPr>
          <w:p w14:paraId="3C95FB07" w14:textId="77777777" w:rsidR="005F3FB7" w:rsidRPr="00260790" w:rsidRDefault="005F3FB7" w:rsidP="00624378">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Keur Massar est une zone d’habitation densément peuplée, desservie par des voiries communales. L’apport et/ou l’évacuation de matériaux lors des travaux entraineront un trafic supplémentaire d’engins et de véhicules à poids lourds sur les voiries d’accès aux sites de travaux, et occasionneront des gênes sur la liberté de circulation des populations et des biens.  </w:t>
            </w:r>
          </w:p>
          <w:p w14:paraId="60CC0C04" w14:textId="77777777" w:rsidR="005F3FB7" w:rsidRPr="00260790" w:rsidRDefault="005F3FB7" w:rsidP="00624378">
            <w:pPr>
              <w:autoSpaceDE w:val="0"/>
              <w:autoSpaceDN w:val="0"/>
              <w:adjustRightInd w:val="0"/>
              <w:spacing w:after="0" w:line="240" w:lineRule="auto"/>
              <w:jc w:val="both"/>
              <w:rPr>
                <w:rFonts w:ascii="Times New Roman" w:hAnsi="Times New Roman"/>
                <w:color w:val="000000" w:themeColor="text1"/>
              </w:rPr>
            </w:pPr>
            <w:r w:rsidRPr="00260790">
              <w:rPr>
                <w:rFonts w:ascii="Times New Roman" w:hAnsi="Times New Roman"/>
                <w:color w:val="000000" w:themeColor="text1"/>
              </w:rPr>
              <w:t>Aussi, les fouilles, les excavations et la mise en dépôt des déblais pour la réalisation des canaux de drainage provoqueront des perturbations importantes de la mobilité dans la zone des travaux.</w:t>
            </w:r>
          </w:p>
        </w:tc>
        <w:tc>
          <w:tcPr>
            <w:tcW w:w="1133" w:type="dxa"/>
            <w:shd w:val="clear" w:color="auto" w:fill="FFFF00"/>
            <w:vAlign w:val="center"/>
          </w:tcPr>
          <w:p w14:paraId="0EF5E972" w14:textId="77777777" w:rsidR="005F3FB7" w:rsidRPr="00260790" w:rsidRDefault="005F3FB7" w:rsidP="00E20250">
            <w:pPr>
              <w:spacing w:after="0" w:line="240" w:lineRule="auto"/>
              <w:jc w:val="center"/>
              <w:rPr>
                <w:rFonts w:ascii="Times New Roman" w:hAnsi="Times New Roman"/>
                <w:b/>
                <w:bCs/>
                <w:color w:val="000000" w:themeColor="text1"/>
              </w:rPr>
            </w:pPr>
            <w:r w:rsidRPr="00260790">
              <w:rPr>
                <w:rFonts w:ascii="Times New Roman" w:hAnsi="Times New Roman"/>
                <w:b/>
                <w:bCs/>
                <w:color w:val="000000" w:themeColor="text1"/>
              </w:rPr>
              <w:t>Moyen</w:t>
            </w:r>
          </w:p>
        </w:tc>
      </w:tr>
      <w:tr w:rsidR="00E20250" w:rsidRPr="00260790" w14:paraId="5E8B27C9" w14:textId="77777777" w:rsidTr="006A6836">
        <w:tc>
          <w:tcPr>
            <w:tcW w:w="1463" w:type="dxa"/>
            <w:vAlign w:val="center"/>
          </w:tcPr>
          <w:p w14:paraId="04D2099B" w14:textId="77777777" w:rsidR="005F3FB7" w:rsidRPr="00260790" w:rsidRDefault="005F3FB7" w:rsidP="00E20250">
            <w:pPr>
              <w:spacing w:after="0" w:line="240" w:lineRule="auto"/>
              <w:jc w:val="both"/>
              <w:rPr>
                <w:rFonts w:ascii="Times New Roman" w:hAnsi="Times New Roman"/>
                <w:b/>
                <w:color w:val="000000" w:themeColor="text1"/>
              </w:rPr>
            </w:pPr>
            <w:r w:rsidRPr="00260790">
              <w:rPr>
                <w:rFonts w:ascii="Times New Roman" w:hAnsi="Times New Roman"/>
                <w:b/>
                <w:color w:val="000000" w:themeColor="text1"/>
              </w:rPr>
              <w:t>Gestion des espaces récupérés</w:t>
            </w:r>
          </w:p>
        </w:tc>
        <w:tc>
          <w:tcPr>
            <w:tcW w:w="6618" w:type="dxa"/>
            <w:vAlign w:val="center"/>
          </w:tcPr>
          <w:p w14:paraId="08C736D6" w14:textId="17D45630" w:rsidR="005F3FB7" w:rsidRPr="00260790" w:rsidRDefault="005F3FB7" w:rsidP="00624378">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Avec la mise en œuvre du projet, des zones inondables (libérées des eaux) pourraient, si aucune mesure de sécurisation n’est prise, à nouveau faire l’objet d’occupation irrégulière et occasionner des conflits au sein des populations. Cette situation pourrait créer à nouveau des risques d’inondation dans la zone. Il convient donc de récupérer et de sécuriser </w:t>
            </w:r>
            <w:r w:rsidRPr="00260790">
              <w:rPr>
                <w:rFonts w:ascii="Times New Roman" w:hAnsi="Times New Roman"/>
                <w:color w:val="000000" w:themeColor="text1"/>
              </w:rPr>
              <w:lastRenderedPageBreak/>
              <w:t>ces espaces grâce à un programme d’aménagements communautaires à l’image des PIC.</w:t>
            </w:r>
          </w:p>
        </w:tc>
        <w:tc>
          <w:tcPr>
            <w:tcW w:w="1133" w:type="dxa"/>
            <w:shd w:val="clear" w:color="auto" w:fill="FFFF00"/>
            <w:vAlign w:val="center"/>
          </w:tcPr>
          <w:p w14:paraId="5D8F53B5" w14:textId="77777777" w:rsidR="005F3FB7" w:rsidRPr="00260790" w:rsidRDefault="005F3FB7" w:rsidP="00E20250">
            <w:pPr>
              <w:spacing w:after="0" w:line="240" w:lineRule="auto"/>
              <w:jc w:val="center"/>
              <w:rPr>
                <w:rFonts w:ascii="Times New Roman" w:hAnsi="Times New Roman"/>
                <w:b/>
                <w:bCs/>
                <w:color w:val="000000" w:themeColor="text1"/>
              </w:rPr>
            </w:pPr>
            <w:r w:rsidRPr="00260790">
              <w:rPr>
                <w:rFonts w:ascii="Times New Roman" w:hAnsi="Times New Roman"/>
                <w:b/>
                <w:bCs/>
                <w:color w:val="000000" w:themeColor="text1"/>
              </w:rPr>
              <w:lastRenderedPageBreak/>
              <w:t>Moyen</w:t>
            </w:r>
          </w:p>
        </w:tc>
      </w:tr>
      <w:tr w:rsidR="00E20250" w:rsidRPr="00260790" w14:paraId="6557D637" w14:textId="77777777" w:rsidTr="006A6836">
        <w:tc>
          <w:tcPr>
            <w:tcW w:w="1463" w:type="dxa"/>
            <w:vAlign w:val="center"/>
          </w:tcPr>
          <w:p w14:paraId="1B822C7A" w14:textId="77777777" w:rsidR="005F3FB7" w:rsidRPr="00260790" w:rsidRDefault="005F3FB7" w:rsidP="00E20250">
            <w:pPr>
              <w:spacing w:after="0" w:line="240" w:lineRule="auto"/>
              <w:jc w:val="both"/>
              <w:rPr>
                <w:rFonts w:ascii="Times New Roman" w:hAnsi="Times New Roman"/>
                <w:b/>
                <w:color w:val="000000" w:themeColor="text1"/>
              </w:rPr>
            </w:pPr>
            <w:r w:rsidRPr="00260790">
              <w:rPr>
                <w:rFonts w:ascii="Times New Roman" w:hAnsi="Times New Roman"/>
                <w:b/>
                <w:color w:val="000000" w:themeColor="text1"/>
              </w:rPr>
              <w:t>Mobilisation des parties prenantes</w:t>
            </w:r>
          </w:p>
        </w:tc>
        <w:tc>
          <w:tcPr>
            <w:tcW w:w="6618" w:type="dxa"/>
            <w:vAlign w:val="center"/>
          </w:tcPr>
          <w:p w14:paraId="6BF111B8" w14:textId="77777777" w:rsidR="005F3FB7" w:rsidRPr="00260790"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Les protestations de populations régulièrement relayées par les médias illustrent parfaitement les risques de conflits et les tensions qui peuvent surgir entre ces acteurs. Il est par conséquent nécessaire, pour assurer la pérennité du projet, d’actualiser et de mettre en œuvre le PMPP au niveau opérationnel.</w:t>
            </w:r>
          </w:p>
        </w:tc>
        <w:tc>
          <w:tcPr>
            <w:tcW w:w="1133" w:type="dxa"/>
            <w:shd w:val="clear" w:color="auto" w:fill="FFFF00"/>
            <w:vAlign w:val="center"/>
          </w:tcPr>
          <w:p w14:paraId="1A41B209" w14:textId="77777777" w:rsidR="005F3FB7" w:rsidRPr="00260790" w:rsidRDefault="005F3FB7" w:rsidP="00E20250">
            <w:pPr>
              <w:spacing w:after="0" w:line="240" w:lineRule="auto"/>
              <w:jc w:val="center"/>
              <w:rPr>
                <w:rFonts w:ascii="Times New Roman" w:hAnsi="Times New Roman"/>
                <w:b/>
                <w:bCs/>
                <w:color w:val="000000" w:themeColor="text1"/>
              </w:rPr>
            </w:pPr>
            <w:r w:rsidRPr="00260790">
              <w:rPr>
                <w:rFonts w:ascii="Times New Roman" w:hAnsi="Times New Roman"/>
                <w:b/>
                <w:bCs/>
                <w:color w:val="000000" w:themeColor="text1"/>
              </w:rPr>
              <w:t>Moyen</w:t>
            </w:r>
          </w:p>
        </w:tc>
      </w:tr>
      <w:tr w:rsidR="00E20250" w:rsidRPr="00260790" w14:paraId="26BB907B" w14:textId="77777777" w:rsidTr="006A6836">
        <w:tc>
          <w:tcPr>
            <w:tcW w:w="1463" w:type="dxa"/>
            <w:vAlign w:val="center"/>
          </w:tcPr>
          <w:p w14:paraId="75C1D8BD" w14:textId="224154A1" w:rsidR="005F3FB7" w:rsidRPr="00260790" w:rsidRDefault="005F3FB7" w:rsidP="00E20250">
            <w:pPr>
              <w:spacing w:after="0" w:line="240" w:lineRule="auto"/>
              <w:jc w:val="both"/>
              <w:rPr>
                <w:rFonts w:ascii="Times New Roman" w:hAnsi="Times New Roman"/>
                <w:b/>
                <w:color w:val="000000" w:themeColor="text1"/>
              </w:rPr>
            </w:pPr>
            <w:r w:rsidRPr="00260790">
              <w:rPr>
                <w:rFonts w:ascii="Times New Roman" w:hAnsi="Times New Roman"/>
                <w:b/>
                <w:color w:val="000000" w:themeColor="text1"/>
              </w:rPr>
              <w:t>A</w:t>
            </w:r>
            <w:r w:rsidR="005D3627" w:rsidRPr="00260790">
              <w:rPr>
                <w:rFonts w:ascii="Times New Roman" w:hAnsi="Times New Roman"/>
                <w:b/>
                <w:color w:val="000000" w:themeColor="text1"/>
              </w:rPr>
              <w:t>E</w:t>
            </w:r>
            <w:r w:rsidRPr="00260790">
              <w:rPr>
                <w:rFonts w:ascii="Times New Roman" w:hAnsi="Times New Roman"/>
                <w:b/>
                <w:color w:val="000000" w:themeColor="text1"/>
              </w:rPr>
              <w:t>S/HS</w:t>
            </w:r>
          </w:p>
        </w:tc>
        <w:tc>
          <w:tcPr>
            <w:tcW w:w="6618" w:type="dxa"/>
            <w:vAlign w:val="center"/>
          </w:tcPr>
          <w:p w14:paraId="28A4C5EB" w14:textId="7DC222BD" w:rsidR="005F3FB7" w:rsidRPr="00260790"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Le projet va faire appel à une importante présence de main-d’œuvre masculine et </w:t>
            </w:r>
            <w:r w:rsidR="00D819E9" w:rsidRPr="00260790">
              <w:rPr>
                <w:rFonts w:ascii="Times New Roman" w:hAnsi="Times New Roman"/>
                <w:color w:val="000000" w:themeColor="text1"/>
              </w:rPr>
              <w:t>pourrait occasionner des cas d</w:t>
            </w:r>
            <w:r w:rsidR="00A22FC0" w:rsidRPr="00260790">
              <w:rPr>
                <w:rFonts w:ascii="Times New Roman" w:hAnsi="Times New Roman"/>
                <w:color w:val="000000" w:themeColor="text1"/>
              </w:rPr>
              <w:t>’</w:t>
            </w:r>
            <w:r w:rsidR="005D3627" w:rsidRPr="00260790">
              <w:rPr>
                <w:rFonts w:ascii="Times New Roman" w:hAnsi="Times New Roman"/>
                <w:color w:val="000000" w:themeColor="text1"/>
              </w:rPr>
              <w:t>E</w:t>
            </w:r>
            <w:r w:rsidR="00D819E9" w:rsidRPr="00260790">
              <w:rPr>
                <w:rFonts w:ascii="Times New Roman" w:hAnsi="Times New Roman"/>
                <w:color w:val="000000" w:themeColor="text1"/>
              </w:rPr>
              <w:t>A</w:t>
            </w:r>
            <w:r w:rsidRPr="00260790">
              <w:rPr>
                <w:rFonts w:ascii="Times New Roman" w:hAnsi="Times New Roman"/>
                <w:color w:val="000000" w:themeColor="text1"/>
              </w:rPr>
              <w:t>S/HS même si, selon les acteurs consultés, la première phase du PROGEP n’a enregistré aucune réclamation ou plainte dans ce sens en rapport avec les travaux. Les gr</w:t>
            </w:r>
            <w:r w:rsidR="00D819E9" w:rsidRPr="00260790">
              <w:rPr>
                <w:rFonts w:ascii="Times New Roman" w:hAnsi="Times New Roman"/>
                <w:color w:val="000000" w:themeColor="text1"/>
              </w:rPr>
              <w:t xml:space="preserve">oupes les plus vulnérables </w:t>
            </w:r>
            <w:r w:rsidR="00A22FC0" w:rsidRPr="00260790">
              <w:rPr>
                <w:rFonts w:ascii="Times New Roman" w:hAnsi="Times New Roman"/>
                <w:color w:val="000000" w:themeColor="text1"/>
              </w:rPr>
              <w:t>à l’</w:t>
            </w:r>
            <w:r w:rsidR="005D3627" w:rsidRPr="00260790">
              <w:rPr>
                <w:rFonts w:ascii="Times New Roman" w:hAnsi="Times New Roman"/>
                <w:color w:val="000000" w:themeColor="text1"/>
              </w:rPr>
              <w:t>E</w:t>
            </w:r>
            <w:r w:rsidR="00D819E9" w:rsidRPr="00260790">
              <w:rPr>
                <w:rFonts w:ascii="Times New Roman" w:hAnsi="Times New Roman"/>
                <w:color w:val="000000" w:themeColor="text1"/>
              </w:rPr>
              <w:t>A</w:t>
            </w:r>
            <w:r w:rsidRPr="00260790">
              <w:rPr>
                <w:rFonts w:ascii="Times New Roman" w:hAnsi="Times New Roman"/>
                <w:color w:val="000000" w:themeColor="text1"/>
              </w:rPr>
              <w:t xml:space="preserve">S/HS sont les jeunes filles, les femmes et les enfants envers qui une attention particulière sera accordée à travers des activités de sensibilisation des populations et des travailleurs du chantier. </w:t>
            </w:r>
            <w:r w:rsidR="00D819E9" w:rsidRPr="00260790">
              <w:rPr>
                <w:rFonts w:ascii="Times New Roman" w:hAnsi="Times New Roman"/>
                <w:color w:val="000000" w:themeColor="text1"/>
              </w:rPr>
              <w:t xml:space="preserve">Les mesures de prévention </w:t>
            </w:r>
            <w:r w:rsidR="00C56324" w:rsidRPr="00260790">
              <w:rPr>
                <w:rFonts w:ascii="Times New Roman" w:hAnsi="Times New Roman"/>
                <w:color w:val="000000" w:themeColor="text1"/>
              </w:rPr>
              <w:t>contre l</w:t>
            </w:r>
            <w:r w:rsidR="00A22FC0" w:rsidRPr="00260790">
              <w:rPr>
                <w:rFonts w:ascii="Times New Roman" w:hAnsi="Times New Roman"/>
                <w:color w:val="000000" w:themeColor="text1"/>
              </w:rPr>
              <w:t>’</w:t>
            </w:r>
            <w:r w:rsidR="005D3627" w:rsidRPr="00260790">
              <w:rPr>
                <w:rFonts w:ascii="Times New Roman" w:hAnsi="Times New Roman"/>
                <w:color w:val="000000" w:themeColor="text1"/>
              </w:rPr>
              <w:t>E</w:t>
            </w:r>
            <w:r w:rsidR="00D819E9" w:rsidRPr="00260790">
              <w:rPr>
                <w:rFonts w:ascii="Times New Roman" w:hAnsi="Times New Roman"/>
                <w:color w:val="000000" w:themeColor="text1"/>
              </w:rPr>
              <w:t>A</w:t>
            </w:r>
            <w:r w:rsidRPr="00260790">
              <w:rPr>
                <w:rFonts w:ascii="Times New Roman" w:hAnsi="Times New Roman"/>
                <w:color w:val="000000" w:themeColor="text1"/>
              </w:rPr>
              <w:t>S/HS seront incluses dans le « code de conduite » des entreprises chargées des travaux afin de sensibiliser les travailleurs.</w:t>
            </w:r>
          </w:p>
        </w:tc>
        <w:tc>
          <w:tcPr>
            <w:tcW w:w="1133" w:type="dxa"/>
            <w:shd w:val="clear" w:color="auto" w:fill="FF0000"/>
            <w:vAlign w:val="center"/>
          </w:tcPr>
          <w:p w14:paraId="54499A91" w14:textId="77777777" w:rsidR="005F3FB7" w:rsidRPr="00260790" w:rsidRDefault="005F3FB7" w:rsidP="00E20250">
            <w:pPr>
              <w:spacing w:after="0" w:line="240" w:lineRule="auto"/>
              <w:jc w:val="center"/>
              <w:rPr>
                <w:rFonts w:ascii="Times New Roman" w:hAnsi="Times New Roman"/>
                <w:b/>
                <w:bCs/>
                <w:color w:val="000000" w:themeColor="text1"/>
              </w:rPr>
            </w:pPr>
            <w:r w:rsidRPr="00260790">
              <w:rPr>
                <w:rFonts w:ascii="Times New Roman" w:hAnsi="Times New Roman"/>
                <w:b/>
                <w:bCs/>
                <w:color w:val="000000" w:themeColor="text1"/>
              </w:rPr>
              <w:t xml:space="preserve">Fort </w:t>
            </w:r>
          </w:p>
        </w:tc>
      </w:tr>
      <w:tr w:rsidR="00E20250" w:rsidRPr="00260790" w14:paraId="7E9C0FA2" w14:textId="77777777" w:rsidTr="006A6836">
        <w:tc>
          <w:tcPr>
            <w:tcW w:w="1463" w:type="dxa"/>
            <w:vAlign w:val="center"/>
          </w:tcPr>
          <w:p w14:paraId="04A2966E" w14:textId="4AD48A22" w:rsidR="005F3FB7" w:rsidRPr="00260790" w:rsidRDefault="005F3FB7" w:rsidP="00E20250">
            <w:pPr>
              <w:spacing w:after="0" w:line="240" w:lineRule="auto"/>
              <w:jc w:val="both"/>
              <w:rPr>
                <w:rFonts w:ascii="Times New Roman" w:hAnsi="Times New Roman"/>
                <w:b/>
                <w:color w:val="000000" w:themeColor="text1"/>
              </w:rPr>
            </w:pPr>
            <w:r w:rsidRPr="00260790">
              <w:rPr>
                <w:rFonts w:ascii="Times New Roman" w:hAnsi="Times New Roman"/>
                <w:b/>
                <w:color w:val="000000" w:themeColor="text1"/>
              </w:rPr>
              <w:t>Gestion des</w:t>
            </w:r>
            <w:r w:rsidR="00BF70EE" w:rsidRPr="00260790">
              <w:rPr>
                <w:rFonts w:ascii="Times New Roman" w:hAnsi="Times New Roman"/>
                <w:b/>
                <w:color w:val="000000" w:themeColor="text1"/>
              </w:rPr>
              <w:t xml:space="preserve"> plaintes et des</w:t>
            </w:r>
            <w:r w:rsidRPr="00260790">
              <w:rPr>
                <w:rFonts w:ascii="Times New Roman" w:hAnsi="Times New Roman"/>
                <w:b/>
                <w:color w:val="000000" w:themeColor="text1"/>
              </w:rPr>
              <w:t xml:space="preserve"> conflits </w:t>
            </w:r>
          </w:p>
        </w:tc>
        <w:tc>
          <w:tcPr>
            <w:tcW w:w="6618" w:type="dxa"/>
            <w:vAlign w:val="center"/>
          </w:tcPr>
          <w:p w14:paraId="6C71A1F8" w14:textId="594A4F1C" w:rsidR="005F3FB7" w:rsidRPr="00260790"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La mise en œuvre du projet pourrait donner lieu à des </w:t>
            </w:r>
            <w:r w:rsidR="00BF70EE" w:rsidRPr="00260790">
              <w:rPr>
                <w:rFonts w:ascii="Times New Roman" w:hAnsi="Times New Roman"/>
                <w:color w:val="000000" w:themeColor="text1"/>
              </w:rPr>
              <w:t xml:space="preserve">plaintes liées aux travaux et des </w:t>
            </w:r>
            <w:r w:rsidRPr="00260790">
              <w:rPr>
                <w:rFonts w:ascii="Times New Roman" w:hAnsi="Times New Roman"/>
                <w:color w:val="000000" w:themeColor="text1"/>
              </w:rPr>
              <w:t xml:space="preserve">conflits sociaux, que ce soit au sein des populations, ou avec le personnel des entreprises de travaux ou avec les parties prenantes chargées de gestion des compensations. </w:t>
            </w:r>
          </w:p>
          <w:p w14:paraId="5E5FA725" w14:textId="77777777" w:rsidR="005F3FB7" w:rsidRPr="00260790"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Le projet prévoit la mise en place d’un mécanisme de gestion des plaintes (MGP) qui permettra aux populations s’estimant lésées de disposer de voies locales pour faire enregistrer et traiter leurs plaintes et doléances.</w:t>
            </w:r>
          </w:p>
        </w:tc>
        <w:tc>
          <w:tcPr>
            <w:tcW w:w="1133" w:type="dxa"/>
            <w:shd w:val="clear" w:color="auto" w:fill="FF0000"/>
            <w:vAlign w:val="center"/>
          </w:tcPr>
          <w:p w14:paraId="169C209E" w14:textId="33852236" w:rsidR="005F3FB7" w:rsidRPr="00260790" w:rsidRDefault="00F35B5A" w:rsidP="00E20250">
            <w:pPr>
              <w:spacing w:after="0" w:line="240" w:lineRule="auto"/>
              <w:jc w:val="center"/>
              <w:rPr>
                <w:rFonts w:ascii="Times New Roman" w:hAnsi="Times New Roman"/>
                <w:b/>
                <w:bCs/>
                <w:color w:val="000000" w:themeColor="text1"/>
              </w:rPr>
            </w:pPr>
            <w:r w:rsidRPr="00260790">
              <w:rPr>
                <w:rFonts w:ascii="Times New Roman" w:hAnsi="Times New Roman"/>
                <w:b/>
                <w:bCs/>
                <w:color w:val="000000" w:themeColor="text1"/>
              </w:rPr>
              <w:t>Fort</w:t>
            </w:r>
          </w:p>
        </w:tc>
      </w:tr>
      <w:tr w:rsidR="00E20250" w:rsidRPr="00260790" w14:paraId="56174B28" w14:textId="77777777" w:rsidTr="006A6836">
        <w:tc>
          <w:tcPr>
            <w:tcW w:w="1463" w:type="dxa"/>
            <w:vAlign w:val="center"/>
          </w:tcPr>
          <w:p w14:paraId="4410A992" w14:textId="77777777" w:rsidR="005F3FB7" w:rsidRPr="00260790" w:rsidRDefault="005F3FB7" w:rsidP="00E20250">
            <w:pPr>
              <w:spacing w:after="0" w:line="240" w:lineRule="auto"/>
              <w:jc w:val="both"/>
              <w:rPr>
                <w:rFonts w:ascii="Times New Roman" w:hAnsi="Times New Roman"/>
                <w:b/>
                <w:color w:val="000000" w:themeColor="text1"/>
              </w:rPr>
            </w:pPr>
            <w:r w:rsidRPr="00260790">
              <w:rPr>
                <w:rFonts w:ascii="Times New Roman" w:hAnsi="Times New Roman"/>
                <w:b/>
                <w:color w:val="000000" w:themeColor="text1"/>
              </w:rPr>
              <w:t>Santé, Hygiène et Sécurité</w:t>
            </w:r>
          </w:p>
        </w:tc>
        <w:tc>
          <w:tcPr>
            <w:tcW w:w="6618" w:type="dxa"/>
            <w:vAlign w:val="center"/>
          </w:tcPr>
          <w:p w14:paraId="4E461949" w14:textId="7E097681" w:rsidR="005F3FB7" w:rsidRPr="00260790"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La sécurité des populations et des travailleurs en phase des travaux, mais aussi en phase d’exploitation pour les populations riveraines (risques d’accident avec la présence d’engins, risque de chute, accidents professionnels, noyade, etc.) et le risque de développement de maladies (IST et VIH, IRA, maladies diarrhéiques, etc.) nécessiteront une attention particulière. Par ailleurs, la mise en place des bassins dans le cadre du projet crée des conditions favorables au développement d’espèces envahissantes (typha) qu’il conviendra de gérer pour assurer un bon écoulement des eaux et un fonctionnement optimal des ouvrages. Le développement de ces espèces envahissantes pose également des problèmes de sécurité (habitat de reptiles, refuge de petits délinquants, etc.), de salubrité (rejets d’ordures par des populations riveraines) et de santé publique (développement de gites larvaires).</w:t>
            </w:r>
          </w:p>
        </w:tc>
        <w:tc>
          <w:tcPr>
            <w:tcW w:w="1133" w:type="dxa"/>
            <w:shd w:val="clear" w:color="auto" w:fill="FFFF00"/>
            <w:vAlign w:val="center"/>
          </w:tcPr>
          <w:p w14:paraId="7244D7CA" w14:textId="77777777" w:rsidR="005F3FB7" w:rsidRPr="00260790" w:rsidRDefault="005F3FB7" w:rsidP="00E20250">
            <w:pPr>
              <w:spacing w:after="0" w:line="240" w:lineRule="auto"/>
              <w:jc w:val="center"/>
              <w:rPr>
                <w:rFonts w:ascii="Times New Roman" w:hAnsi="Times New Roman"/>
                <w:b/>
                <w:bCs/>
                <w:color w:val="000000" w:themeColor="text1"/>
              </w:rPr>
            </w:pPr>
            <w:r w:rsidRPr="00260790">
              <w:rPr>
                <w:rFonts w:ascii="Times New Roman" w:hAnsi="Times New Roman"/>
                <w:b/>
                <w:bCs/>
                <w:color w:val="000000" w:themeColor="text1"/>
              </w:rPr>
              <w:t>Moyen</w:t>
            </w:r>
          </w:p>
        </w:tc>
      </w:tr>
    </w:tbl>
    <w:p w14:paraId="56AB113A" w14:textId="77777777" w:rsidR="005F3FB7" w:rsidRPr="00260790" w:rsidRDefault="005F3FB7" w:rsidP="00E20250">
      <w:pPr>
        <w:pStyle w:val="MediumGrid21"/>
        <w:rPr>
          <w:rFonts w:ascii="Times New Roman" w:hAnsi="Times New Roman"/>
          <w:color w:val="000000" w:themeColor="text1"/>
        </w:rPr>
      </w:pPr>
    </w:p>
    <w:p w14:paraId="7BC0B3C9" w14:textId="77777777" w:rsidR="005F3FB7" w:rsidRPr="00260790" w:rsidRDefault="005F3FB7" w:rsidP="00E20250">
      <w:pPr>
        <w:spacing w:line="240" w:lineRule="auto"/>
        <w:ind w:left="851" w:right="282"/>
        <w:rPr>
          <w:rFonts w:ascii="Times New Roman" w:hAnsi="Times New Roman"/>
          <w:color w:val="000000" w:themeColor="text1"/>
        </w:rPr>
      </w:pPr>
      <w:r w:rsidRPr="00260790">
        <w:rPr>
          <w:rFonts w:ascii="Times New Roman" w:hAnsi="Times New Roman"/>
          <w:color w:val="000000" w:themeColor="text1"/>
          <w:u w:val="single"/>
        </w:rPr>
        <w:t>Légende</w:t>
      </w:r>
      <w:r w:rsidRPr="00260790">
        <w:rPr>
          <w:rFonts w:ascii="Times New Roman" w:hAnsi="Times New Roman"/>
          <w:color w:val="000000" w:themeColor="text1"/>
        </w:rPr>
        <w:t> :</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9"/>
        <w:gridCol w:w="1899"/>
        <w:gridCol w:w="1973"/>
        <w:gridCol w:w="1716"/>
      </w:tblGrid>
      <w:tr w:rsidR="00BD1A2F" w:rsidRPr="00260790" w14:paraId="14874410" w14:textId="77777777" w:rsidTr="00E7779B">
        <w:tc>
          <w:tcPr>
            <w:tcW w:w="2009" w:type="dxa"/>
            <w:vAlign w:val="center"/>
          </w:tcPr>
          <w:p w14:paraId="2ABE1E6E" w14:textId="77777777" w:rsidR="005F3FB7" w:rsidRPr="00260790" w:rsidRDefault="005F3FB7" w:rsidP="00624378">
            <w:pPr>
              <w:spacing w:after="0" w:line="240" w:lineRule="auto"/>
              <w:ind w:right="282"/>
              <w:rPr>
                <w:rFonts w:ascii="Times New Roman" w:hAnsi="Times New Roman"/>
                <w:color w:val="000000" w:themeColor="text1"/>
              </w:rPr>
            </w:pPr>
            <w:r w:rsidRPr="00260790">
              <w:rPr>
                <w:rFonts w:ascii="Times New Roman" w:hAnsi="Times New Roman"/>
                <w:color w:val="000000" w:themeColor="text1"/>
              </w:rPr>
              <w:t>Niveau d’enjeu</w:t>
            </w:r>
          </w:p>
        </w:tc>
        <w:tc>
          <w:tcPr>
            <w:tcW w:w="1899" w:type="dxa"/>
            <w:shd w:val="clear" w:color="auto" w:fill="92D050"/>
            <w:vAlign w:val="center"/>
          </w:tcPr>
          <w:p w14:paraId="5AA237E7" w14:textId="77777777" w:rsidR="005F3FB7" w:rsidRPr="00260790" w:rsidRDefault="005F3FB7" w:rsidP="00624378">
            <w:pPr>
              <w:spacing w:after="0" w:line="240" w:lineRule="auto"/>
              <w:ind w:left="851" w:right="282"/>
              <w:rPr>
                <w:rFonts w:ascii="Times New Roman" w:hAnsi="Times New Roman"/>
                <w:color w:val="000000" w:themeColor="text1"/>
              </w:rPr>
            </w:pPr>
          </w:p>
        </w:tc>
        <w:tc>
          <w:tcPr>
            <w:tcW w:w="1973" w:type="dxa"/>
            <w:shd w:val="clear" w:color="auto" w:fill="FFFF00"/>
            <w:vAlign w:val="center"/>
          </w:tcPr>
          <w:p w14:paraId="1C477FDF" w14:textId="77777777" w:rsidR="005F3FB7" w:rsidRPr="00260790" w:rsidRDefault="005F3FB7" w:rsidP="00624378">
            <w:pPr>
              <w:spacing w:after="0" w:line="240" w:lineRule="auto"/>
              <w:ind w:left="851" w:right="282"/>
              <w:rPr>
                <w:rFonts w:ascii="Times New Roman" w:hAnsi="Times New Roman"/>
                <w:color w:val="000000" w:themeColor="text1"/>
              </w:rPr>
            </w:pPr>
          </w:p>
        </w:tc>
        <w:tc>
          <w:tcPr>
            <w:tcW w:w="1716" w:type="dxa"/>
            <w:shd w:val="clear" w:color="auto" w:fill="FF0000"/>
            <w:vAlign w:val="center"/>
          </w:tcPr>
          <w:p w14:paraId="7E015783" w14:textId="77777777" w:rsidR="005F3FB7" w:rsidRPr="00260790" w:rsidRDefault="005F3FB7" w:rsidP="00624378">
            <w:pPr>
              <w:spacing w:after="0" w:line="240" w:lineRule="auto"/>
              <w:ind w:left="851" w:right="282"/>
              <w:rPr>
                <w:rFonts w:ascii="Times New Roman" w:hAnsi="Times New Roman"/>
                <w:color w:val="000000" w:themeColor="text1"/>
              </w:rPr>
            </w:pPr>
          </w:p>
        </w:tc>
      </w:tr>
      <w:tr w:rsidR="00BD1A2F" w:rsidRPr="00260790" w14:paraId="7AEDAADC" w14:textId="77777777" w:rsidTr="00E7779B">
        <w:tc>
          <w:tcPr>
            <w:tcW w:w="2009" w:type="dxa"/>
            <w:vAlign w:val="center"/>
          </w:tcPr>
          <w:p w14:paraId="244ADCE0" w14:textId="77777777" w:rsidR="005F3FB7" w:rsidRPr="00260790" w:rsidRDefault="005F3FB7" w:rsidP="00624378">
            <w:pPr>
              <w:spacing w:after="0" w:line="240" w:lineRule="auto"/>
              <w:ind w:left="851" w:right="282"/>
              <w:jc w:val="center"/>
              <w:rPr>
                <w:rFonts w:ascii="Times New Roman" w:hAnsi="Times New Roman"/>
                <w:color w:val="000000" w:themeColor="text1"/>
              </w:rPr>
            </w:pPr>
          </w:p>
        </w:tc>
        <w:tc>
          <w:tcPr>
            <w:tcW w:w="1899" w:type="dxa"/>
            <w:vAlign w:val="center"/>
          </w:tcPr>
          <w:p w14:paraId="670846A7" w14:textId="77777777" w:rsidR="005F3FB7" w:rsidRPr="00260790" w:rsidRDefault="005F3FB7" w:rsidP="00624378">
            <w:pPr>
              <w:spacing w:after="0" w:line="240" w:lineRule="auto"/>
              <w:ind w:left="851" w:right="282"/>
              <w:jc w:val="center"/>
              <w:rPr>
                <w:rFonts w:ascii="Times New Roman" w:hAnsi="Times New Roman"/>
                <w:color w:val="000000" w:themeColor="text1"/>
              </w:rPr>
            </w:pPr>
            <w:r w:rsidRPr="00260790">
              <w:rPr>
                <w:rFonts w:ascii="Times New Roman" w:hAnsi="Times New Roman"/>
                <w:color w:val="000000" w:themeColor="text1"/>
              </w:rPr>
              <w:t>Faible</w:t>
            </w:r>
          </w:p>
        </w:tc>
        <w:tc>
          <w:tcPr>
            <w:tcW w:w="1973" w:type="dxa"/>
            <w:vAlign w:val="center"/>
          </w:tcPr>
          <w:p w14:paraId="438B673C" w14:textId="77777777" w:rsidR="005F3FB7" w:rsidRPr="00260790" w:rsidRDefault="005F3FB7" w:rsidP="00624378">
            <w:pPr>
              <w:spacing w:after="0" w:line="240" w:lineRule="auto"/>
              <w:ind w:left="851" w:right="282"/>
              <w:jc w:val="center"/>
              <w:rPr>
                <w:rFonts w:ascii="Times New Roman" w:hAnsi="Times New Roman"/>
                <w:color w:val="000000" w:themeColor="text1"/>
              </w:rPr>
            </w:pPr>
            <w:r w:rsidRPr="00260790">
              <w:rPr>
                <w:rFonts w:ascii="Times New Roman" w:hAnsi="Times New Roman"/>
                <w:color w:val="000000" w:themeColor="text1"/>
              </w:rPr>
              <w:t>Moyen</w:t>
            </w:r>
          </w:p>
        </w:tc>
        <w:tc>
          <w:tcPr>
            <w:tcW w:w="1716" w:type="dxa"/>
            <w:vAlign w:val="center"/>
          </w:tcPr>
          <w:p w14:paraId="56043838" w14:textId="77777777" w:rsidR="005F3FB7" w:rsidRPr="00260790" w:rsidRDefault="005F3FB7" w:rsidP="00624378">
            <w:pPr>
              <w:spacing w:after="0" w:line="240" w:lineRule="auto"/>
              <w:ind w:left="851" w:right="282"/>
              <w:jc w:val="center"/>
              <w:rPr>
                <w:rFonts w:ascii="Times New Roman" w:hAnsi="Times New Roman"/>
                <w:color w:val="000000" w:themeColor="text1"/>
              </w:rPr>
            </w:pPr>
            <w:r w:rsidRPr="00260790">
              <w:rPr>
                <w:rFonts w:ascii="Times New Roman" w:hAnsi="Times New Roman"/>
                <w:color w:val="000000" w:themeColor="text1"/>
              </w:rPr>
              <w:t>Fort</w:t>
            </w:r>
          </w:p>
        </w:tc>
      </w:tr>
    </w:tbl>
    <w:p w14:paraId="221BC3AC" w14:textId="77777777" w:rsidR="006A6836" w:rsidRPr="00260790" w:rsidRDefault="006A6836" w:rsidP="006A6836">
      <w:pPr>
        <w:spacing w:after="106" w:line="240" w:lineRule="auto"/>
        <w:ind w:right="282"/>
        <w:jc w:val="both"/>
        <w:rPr>
          <w:rFonts w:ascii="Times New Roman" w:hAnsi="Times New Roman"/>
          <w:color w:val="000000" w:themeColor="text1"/>
        </w:rPr>
      </w:pPr>
      <w:bookmarkStart w:id="461" w:name="_Ref126508365"/>
      <w:bookmarkStart w:id="462" w:name="_Ref126508380"/>
      <w:bookmarkStart w:id="463" w:name="_Ref126508395"/>
    </w:p>
    <w:p w14:paraId="753A78A0" w14:textId="77777777" w:rsidR="006A6836" w:rsidRPr="00260790" w:rsidRDefault="006A6836">
      <w:pPr>
        <w:spacing w:line="259" w:lineRule="auto"/>
        <w:rPr>
          <w:rFonts w:ascii="Times New Roman" w:eastAsia="Times New Roman" w:hAnsi="Times New Roman"/>
          <w:b/>
          <w:bCs/>
          <w:caps/>
          <w:kern w:val="32"/>
          <w:sz w:val="24"/>
          <w:szCs w:val="24"/>
          <w:lang w:eastAsia="fr-FR"/>
        </w:rPr>
      </w:pPr>
      <w:r w:rsidRPr="00260790">
        <w:rPr>
          <w:rFonts w:ascii="Times New Roman" w:hAnsi="Times New Roman"/>
        </w:rPr>
        <w:br w:type="page"/>
      </w:r>
    </w:p>
    <w:p w14:paraId="652F1A39" w14:textId="1E2E6737" w:rsidR="005F3FB7" w:rsidRPr="00260790" w:rsidRDefault="005F3FB7" w:rsidP="00E20250">
      <w:pPr>
        <w:pStyle w:val="Titre1"/>
        <w:rPr>
          <w:rFonts w:ascii="Times New Roman" w:hAnsi="Times New Roman"/>
        </w:rPr>
      </w:pPr>
      <w:bookmarkStart w:id="464" w:name="_Toc212725114"/>
      <w:r w:rsidRPr="00260790">
        <w:rPr>
          <w:rFonts w:ascii="Times New Roman" w:hAnsi="Times New Roman"/>
        </w:rPr>
        <w:lastRenderedPageBreak/>
        <w:t xml:space="preserve">CONSULTATIONS DU </w:t>
      </w:r>
      <w:bookmarkEnd w:id="274"/>
      <w:r w:rsidRPr="00260790">
        <w:rPr>
          <w:rFonts w:ascii="Times New Roman" w:hAnsi="Times New Roman"/>
        </w:rPr>
        <w:t>PUBLIC</w:t>
      </w:r>
      <w:bookmarkStart w:id="465" w:name="_Toc62261329"/>
      <w:bookmarkStart w:id="466" w:name="_Toc62261467"/>
      <w:bookmarkStart w:id="467" w:name="_Toc62263128"/>
      <w:bookmarkStart w:id="468" w:name="_Toc62263247"/>
      <w:bookmarkStart w:id="469" w:name="_Toc62414710"/>
      <w:bookmarkStart w:id="470" w:name="_Toc63485014"/>
      <w:bookmarkStart w:id="471" w:name="_Toc63485240"/>
      <w:bookmarkStart w:id="472" w:name="_Toc63502014"/>
      <w:bookmarkStart w:id="473" w:name="_Toc63502141"/>
      <w:bookmarkStart w:id="474" w:name="_Toc66567782"/>
      <w:bookmarkStart w:id="475" w:name="_Toc68806271"/>
      <w:bookmarkStart w:id="476" w:name="_Toc68812049"/>
      <w:bookmarkStart w:id="477" w:name="_Toc68847741"/>
      <w:bookmarkStart w:id="478" w:name="_Toc68848063"/>
      <w:bookmarkStart w:id="479" w:name="_Toc68848724"/>
      <w:bookmarkStart w:id="480" w:name="_Toc68848986"/>
      <w:bookmarkStart w:id="481" w:name="_Toc68849407"/>
      <w:bookmarkStart w:id="482" w:name="_Toc68861301"/>
      <w:bookmarkStart w:id="483" w:name="_Toc68861564"/>
      <w:bookmarkStart w:id="484" w:name="_Toc68948331"/>
      <w:bookmarkStart w:id="485" w:name="_Toc68948744"/>
      <w:bookmarkStart w:id="486" w:name="_Toc68949009"/>
      <w:bookmarkStart w:id="487" w:name="_Toc68949267"/>
      <w:bookmarkStart w:id="488" w:name="_Toc68949692"/>
      <w:bookmarkStart w:id="489" w:name="_Toc68956924"/>
      <w:bookmarkStart w:id="490" w:name="_Toc68957180"/>
      <w:bookmarkStart w:id="491" w:name="_Toc68957436"/>
      <w:bookmarkStart w:id="492" w:name="_Toc68957693"/>
      <w:bookmarkStart w:id="493" w:name="_Toc68957949"/>
      <w:bookmarkStart w:id="494" w:name="_Toc68958204"/>
      <w:bookmarkStart w:id="495" w:name="_Toc68958458"/>
      <w:bookmarkStart w:id="496" w:name="_Toc68958714"/>
      <w:bookmarkStart w:id="497" w:name="_Toc68958970"/>
      <w:bookmarkStart w:id="498" w:name="_Toc69081480"/>
      <w:bookmarkStart w:id="499" w:name="_Toc69083274"/>
      <w:bookmarkStart w:id="500" w:name="_Toc69115586"/>
      <w:bookmarkStart w:id="501" w:name="_Toc77141135"/>
      <w:bookmarkStart w:id="502" w:name="_Toc77142047"/>
      <w:bookmarkStart w:id="503" w:name="_Toc77142446"/>
      <w:bookmarkStart w:id="504" w:name="_Toc77142710"/>
      <w:bookmarkStart w:id="505" w:name="_Toc77142973"/>
      <w:bookmarkStart w:id="506" w:name="_Toc77143310"/>
      <w:bookmarkStart w:id="507" w:name="_Toc93469618"/>
      <w:bookmarkStart w:id="508" w:name="_Toc93623258"/>
      <w:bookmarkStart w:id="509" w:name="_Toc93643634"/>
      <w:bookmarkStart w:id="510" w:name="_Toc93643902"/>
      <w:bookmarkStart w:id="511" w:name="_Toc93644170"/>
      <w:bookmarkStart w:id="512" w:name="_Toc93648822"/>
      <w:bookmarkStart w:id="513" w:name="_Toc94134468"/>
      <w:bookmarkStart w:id="514" w:name="_Toc94175732"/>
      <w:bookmarkStart w:id="515" w:name="_Toc104797373"/>
      <w:bookmarkStart w:id="516" w:name="_Toc105103644"/>
      <w:bookmarkStart w:id="517" w:name="_Toc105105849"/>
      <w:bookmarkStart w:id="518" w:name="_Toc106287179"/>
      <w:bookmarkStart w:id="519" w:name="_Toc106288465"/>
      <w:bookmarkStart w:id="520" w:name="_Toc106289157"/>
      <w:bookmarkStart w:id="521" w:name="_Toc106290161"/>
      <w:bookmarkStart w:id="522" w:name="_Toc106651055"/>
      <w:bookmarkStart w:id="523" w:name="_Toc106651496"/>
      <w:bookmarkStart w:id="524" w:name="_Toc106652427"/>
      <w:bookmarkStart w:id="525" w:name="_Toc106652724"/>
      <w:bookmarkStart w:id="526" w:name="_Toc125627535"/>
      <w:bookmarkStart w:id="527" w:name="_Toc126804458"/>
      <w:bookmarkStart w:id="528" w:name="_Toc127208983"/>
      <w:bookmarkStart w:id="529" w:name="_Toc127273529"/>
      <w:bookmarkStart w:id="530" w:name="_Toc131591768"/>
      <w:bookmarkStart w:id="531" w:name="_Toc131592028"/>
      <w:bookmarkStart w:id="532" w:name="_Toc69083280"/>
      <w:bookmarkStart w:id="533" w:name="_Toc69115592"/>
      <w:bookmarkStart w:id="534" w:name="_Toc77141141"/>
      <w:bookmarkStart w:id="535" w:name="_Toc77142053"/>
      <w:bookmarkStart w:id="536" w:name="_Toc77142452"/>
      <w:bookmarkStart w:id="537" w:name="_Toc77142716"/>
      <w:bookmarkStart w:id="538" w:name="_Toc77142979"/>
      <w:bookmarkStart w:id="539" w:name="_Toc77143316"/>
      <w:bookmarkStart w:id="540" w:name="_Toc93469624"/>
      <w:bookmarkStart w:id="541" w:name="_Toc93623264"/>
      <w:bookmarkStart w:id="542" w:name="_Toc93643640"/>
      <w:bookmarkStart w:id="543" w:name="_Toc93643908"/>
      <w:bookmarkStart w:id="544" w:name="_Toc93644176"/>
      <w:bookmarkStart w:id="545" w:name="_Toc93648828"/>
      <w:bookmarkStart w:id="546" w:name="_Toc94134474"/>
      <w:bookmarkStart w:id="547" w:name="_Toc94175738"/>
      <w:bookmarkStart w:id="548" w:name="_Toc104797379"/>
      <w:bookmarkStart w:id="549" w:name="_Toc105103650"/>
      <w:bookmarkStart w:id="550" w:name="_Toc105105855"/>
      <w:bookmarkStart w:id="551" w:name="_Toc106287185"/>
      <w:bookmarkStart w:id="552" w:name="_Toc106288471"/>
      <w:bookmarkStart w:id="553" w:name="_Toc106289163"/>
      <w:bookmarkStart w:id="554" w:name="_Toc106290167"/>
      <w:bookmarkStart w:id="555" w:name="_Toc106651061"/>
      <w:bookmarkStart w:id="556" w:name="_Toc106651502"/>
      <w:bookmarkStart w:id="557" w:name="_Toc106652433"/>
      <w:bookmarkStart w:id="558" w:name="_Toc106652730"/>
      <w:bookmarkStart w:id="559" w:name="_Toc125627541"/>
      <w:bookmarkStart w:id="560" w:name="_Toc126804464"/>
      <w:bookmarkStart w:id="561" w:name="_Toc127208989"/>
      <w:bookmarkStart w:id="562" w:name="_Toc127273535"/>
      <w:bookmarkStart w:id="563" w:name="_Toc131591774"/>
      <w:bookmarkStart w:id="564" w:name="_Toc131592034"/>
      <w:bookmarkStart w:id="565" w:name="_Toc66567784"/>
      <w:bookmarkEnd w:id="275"/>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14:paraId="5B0DD9B1" w14:textId="150CD6F8" w:rsidR="005F3FB7" w:rsidRPr="00260790" w:rsidRDefault="00C008BF" w:rsidP="001748C6">
      <w:pPr>
        <w:pStyle w:val="Normaltableau0"/>
        <w:numPr>
          <w:ilvl w:val="1"/>
          <w:numId w:val="139"/>
        </w:numPr>
        <w:ind w:left="567" w:right="282"/>
        <w:outlineLvl w:val="1"/>
        <w:rPr>
          <w:rFonts w:ascii="Times New Roman" w:hAnsi="Times New Roman"/>
          <w:b/>
          <w:bCs/>
          <w:sz w:val="22"/>
          <w:szCs w:val="22"/>
        </w:rPr>
      </w:pPr>
      <w:bookmarkStart w:id="566" w:name="_Toc212725115"/>
      <w:bookmarkEnd w:id="565"/>
      <w:r w:rsidRPr="00260790">
        <w:rPr>
          <w:rFonts w:ascii="Times New Roman" w:hAnsi="Times New Roman"/>
          <w:b/>
          <w:bCs/>
          <w:sz w:val="22"/>
          <w:szCs w:val="22"/>
        </w:rPr>
        <w:t>Principes de la consultation du Public</w:t>
      </w:r>
      <w:bookmarkEnd w:id="566"/>
      <w:r w:rsidRPr="00260790" w:rsidDel="00C008BF">
        <w:rPr>
          <w:rFonts w:ascii="Times New Roman" w:hAnsi="Times New Roman"/>
          <w:b/>
          <w:bCs/>
          <w:sz w:val="22"/>
          <w:szCs w:val="22"/>
        </w:rPr>
        <w:t xml:space="preserve"> </w:t>
      </w:r>
    </w:p>
    <w:p w14:paraId="77FD07AF" w14:textId="042F82F9" w:rsidR="008B08D9" w:rsidRPr="00260790" w:rsidRDefault="008B08D9" w:rsidP="007903CC">
      <w:pPr>
        <w:spacing w:after="106" w:line="240" w:lineRule="auto"/>
        <w:ind w:right="282"/>
        <w:jc w:val="both"/>
        <w:rPr>
          <w:rFonts w:ascii="Times New Roman" w:hAnsi="Times New Roman"/>
          <w:color w:val="000000" w:themeColor="text1"/>
        </w:rPr>
      </w:pPr>
      <w:r w:rsidRPr="00260790">
        <w:rPr>
          <w:rFonts w:ascii="Times New Roman" w:hAnsi="Times New Roman"/>
          <w:color w:val="000000" w:themeColor="text1"/>
        </w:rPr>
        <w:t>La consultation institutionnelle dans le cadre de l'</w:t>
      </w:r>
      <w:r w:rsidR="00C17D51">
        <w:rPr>
          <w:rFonts w:ascii="Times New Roman" w:hAnsi="Times New Roman"/>
          <w:color w:val="000000" w:themeColor="text1"/>
        </w:rPr>
        <w:t>é</w:t>
      </w:r>
      <w:r w:rsidRPr="00260790">
        <w:rPr>
          <w:rFonts w:ascii="Times New Roman" w:hAnsi="Times New Roman"/>
          <w:color w:val="000000" w:themeColor="text1"/>
        </w:rPr>
        <w:t>tude d'</w:t>
      </w:r>
      <w:r w:rsidR="00C17D51">
        <w:rPr>
          <w:rFonts w:ascii="Times New Roman" w:hAnsi="Times New Roman"/>
          <w:color w:val="000000" w:themeColor="text1"/>
        </w:rPr>
        <w:t>i</w:t>
      </w:r>
      <w:r w:rsidRPr="00260790">
        <w:rPr>
          <w:rFonts w:ascii="Times New Roman" w:hAnsi="Times New Roman"/>
          <w:color w:val="000000" w:themeColor="text1"/>
        </w:rPr>
        <w:t xml:space="preserve">mpact </w:t>
      </w:r>
      <w:r w:rsidR="00C17D51">
        <w:rPr>
          <w:rFonts w:ascii="Times New Roman" w:hAnsi="Times New Roman"/>
          <w:color w:val="000000" w:themeColor="text1"/>
        </w:rPr>
        <w:t>e</w:t>
      </w:r>
      <w:r w:rsidRPr="00260790">
        <w:rPr>
          <w:rFonts w:ascii="Times New Roman" w:hAnsi="Times New Roman"/>
          <w:color w:val="000000" w:themeColor="text1"/>
        </w:rPr>
        <w:t xml:space="preserve">nvironnemental et </w:t>
      </w:r>
      <w:r w:rsidR="00C17D51">
        <w:rPr>
          <w:rFonts w:ascii="Times New Roman" w:hAnsi="Times New Roman"/>
          <w:color w:val="000000" w:themeColor="text1"/>
        </w:rPr>
        <w:t>s</w:t>
      </w:r>
      <w:r w:rsidRPr="00260790">
        <w:rPr>
          <w:rFonts w:ascii="Times New Roman" w:hAnsi="Times New Roman"/>
          <w:color w:val="000000" w:themeColor="text1"/>
        </w:rPr>
        <w:t>ocial</w:t>
      </w:r>
      <w:r w:rsidR="00C17D51">
        <w:rPr>
          <w:rFonts w:ascii="Times New Roman" w:hAnsi="Times New Roman"/>
          <w:color w:val="000000" w:themeColor="text1"/>
        </w:rPr>
        <w:t xml:space="preserve"> (EIES)</w:t>
      </w:r>
      <w:r w:rsidRPr="00260790">
        <w:rPr>
          <w:rFonts w:ascii="Times New Roman" w:hAnsi="Times New Roman"/>
          <w:color w:val="000000" w:themeColor="text1"/>
        </w:rPr>
        <w:t xml:space="preserve"> permet d'ancrer le projet dans son environnement socio-économique. Elle sert à identifier, analyser et évaluer les impacts potentiels de sa mise en œuvre, afin de limiter les effets négatifs et d'amplifier les bénéfices positifs. Elle est également gage d’acceptabilité sociale du projet.  </w:t>
      </w:r>
    </w:p>
    <w:p w14:paraId="411CAE99" w14:textId="77777777" w:rsidR="008B08D9" w:rsidRPr="00260790" w:rsidRDefault="008B08D9" w:rsidP="007903CC">
      <w:pPr>
        <w:spacing w:after="106" w:line="240" w:lineRule="auto"/>
        <w:ind w:right="282"/>
        <w:jc w:val="both"/>
        <w:rPr>
          <w:rFonts w:ascii="Times New Roman" w:hAnsi="Times New Roman"/>
          <w:color w:val="000000" w:themeColor="text1"/>
        </w:rPr>
      </w:pPr>
      <w:r w:rsidRPr="00260790">
        <w:rPr>
          <w:rFonts w:ascii="Times New Roman" w:hAnsi="Times New Roman"/>
          <w:color w:val="000000" w:themeColor="text1"/>
        </w:rPr>
        <w:t xml:space="preserve">L’objectif général des consultations institutionnelles est d’assurer la participation des services techniques au processus de planification des actions du projet. Il s’agissait notamment : (i) de les informer sur le projet et ses activités ; (ii) de leur permettre de s’exprimer, d’émettre leur avis sur le projet ; (iii) d’identifier et de recueillir les préoccupations (besoins, attentes, craintes, etc.)  </w:t>
      </w:r>
      <w:proofErr w:type="gramStart"/>
      <w:r w:rsidRPr="00260790">
        <w:rPr>
          <w:rFonts w:ascii="Times New Roman" w:hAnsi="Times New Roman"/>
          <w:color w:val="000000" w:themeColor="text1"/>
        </w:rPr>
        <w:t>vis</w:t>
      </w:r>
      <w:proofErr w:type="gramEnd"/>
      <w:r w:rsidRPr="00260790">
        <w:rPr>
          <w:rFonts w:ascii="Times New Roman" w:hAnsi="Times New Roman"/>
          <w:color w:val="000000" w:themeColor="text1"/>
        </w:rPr>
        <w:t xml:space="preserve">-à-vis du projet ainsi que leurs recommandations et suggestions. </w:t>
      </w:r>
    </w:p>
    <w:p w14:paraId="7E3D687C" w14:textId="2DC044AE" w:rsidR="00C008BF" w:rsidRPr="00260790" w:rsidRDefault="008B08D9" w:rsidP="007903CC">
      <w:pPr>
        <w:spacing w:before="120" w:after="120" w:line="240" w:lineRule="auto"/>
        <w:ind w:right="282"/>
        <w:jc w:val="both"/>
        <w:rPr>
          <w:rFonts w:ascii="Times New Roman" w:hAnsi="Times New Roman"/>
          <w:color w:val="000000" w:themeColor="text1"/>
        </w:rPr>
      </w:pPr>
      <w:r w:rsidRPr="00260790">
        <w:rPr>
          <w:rFonts w:ascii="Times New Roman" w:hAnsi="Times New Roman"/>
          <w:color w:val="000000" w:themeColor="text1"/>
        </w:rPr>
        <w:t>Cette consultation publique s'inscrit dans une démarche visant à impliquer les services techniques pour mettre en lumière les enjeux environnementaux et sociaux du projet. Elle a pour objectif de contribuer à sa mise en œuvre réussie, en planifiant les différentes actions nécessaires pour protéger les habitats, la faune, la flore, ainsi que les activités humaines et socio-économiques de la zone concernée, conformément à la recommandation du code de l’Environnement de 20</w:t>
      </w:r>
      <w:r w:rsidR="009E4304">
        <w:rPr>
          <w:rFonts w:ascii="Times New Roman" w:hAnsi="Times New Roman"/>
          <w:color w:val="000000" w:themeColor="text1"/>
        </w:rPr>
        <w:t>23</w:t>
      </w:r>
      <w:r w:rsidRPr="00260790">
        <w:rPr>
          <w:rFonts w:ascii="Times New Roman" w:hAnsi="Times New Roman"/>
          <w:color w:val="000000" w:themeColor="text1"/>
        </w:rPr>
        <w:t>.</w:t>
      </w:r>
    </w:p>
    <w:p w14:paraId="42792239" w14:textId="77777777" w:rsidR="008B08D9" w:rsidRPr="00260790" w:rsidRDefault="008B08D9" w:rsidP="001748C6">
      <w:pPr>
        <w:pStyle w:val="Normaltableau0"/>
        <w:numPr>
          <w:ilvl w:val="1"/>
          <w:numId w:val="139"/>
        </w:numPr>
        <w:outlineLvl w:val="1"/>
        <w:rPr>
          <w:rFonts w:ascii="Times New Roman" w:hAnsi="Times New Roman"/>
          <w:b/>
          <w:bCs/>
          <w:sz w:val="22"/>
          <w:szCs w:val="22"/>
        </w:rPr>
      </w:pPr>
      <w:bookmarkStart w:id="567" w:name="_Toc52134022"/>
      <w:bookmarkStart w:id="568" w:name="_Toc212725116"/>
      <w:r w:rsidRPr="00260790">
        <w:rPr>
          <w:rFonts w:ascii="Times New Roman" w:hAnsi="Times New Roman"/>
          <w:b/>
          <w:bCs/>
          <w:sz w:val="22"/>
          <w:szCs w:val="22"/>
        </w:rPr>
        <w:t>Méthodologie</w:t>
      </w:r>
      <w:bookmarkEnd w:id="567"/>
      <w:bookmarkEnd w:id="568"/>
    </w:p>
    <w:p w14:paraId="3C22AA2B" w14:textId="77777777" w:rsidR="008B08D9" w:rsidRPr="00260790" w:rsidRDefault="008B08D9" w:rsidP="00E20250">
      <w:pPr>
        <w:spacing w:line="240" w:lineRule="auto"/>
        <w:jc w:val="both"/>
        <w:rPr>
          <w:rFonts w:ascii="Times New Roman" w:hAnsi="Times New Roman"/>
          <w:i/>
          <w:color w:val="000000" w:themeColor="text1"/>
        </w:rPr>
      </w:pPr>
      <w:r w:rsidRPr="00260790">
        <w:rPr>
          <w:rFonts w:ascii="Times New Roman" w:hAnsi="Times New Roman"/>
          <w:color w:val="000000" w:themeColor="text1"/>
        </w:rPr>
        <w:t>La démarche méthodologique adoptée pour la réalisation des consultations du public est principalement adossée sur une approche inclusive et participative avec la mobilisation de la méthode et technique de recherche qualitative qui intègre l’utilisation d’entretien individuel.</w:t>
      </w:r>
    </w:p>
    <w:p w14:paraId="18E6F5B6" w14:textId="05DB3378" w:rsidR="008B08D9" w:rsidRPr="00260790" w:rsidRDefault="008B08D9" w:rsidP="00E20250">
      <w:pPr>
        <w:spacing w:line="240" w:lineRule="auto"/>
        <w:jc w:val="both"/>
        <w:rPr>
          <w:rFonts w:ascii="Times New Roman" w:hAnsi="Times New Roman"/>
          <w:color w:val="000000" w:themeColor="text1"/>
          <w:lang w:bidi="en-US"/>
        </w:rPr>
      </w:pPr>
      <w:r w:rsidRPr="00260790">
        <w:rPr>
          <w:rFonts w:ascii="Times New Roman" w:hAnsi="Times New Roman"/>
          <w:color w:val="000000" w:themeColor="text1"/>
        </w:rPr>
        <w:t>En effet, les services techniques ont été interrogés par le biais d’entretiens semi-structuré</w:t>
      </w:r>
      <w:r w:rsidR="00E23E20" w:rsidRPr="00260790">
        <w:rPr>
          <w:rFonts w:ascii="Times New Roman" w:hAnsi="Times New Roman"/>
          <w:color w:val="000000" w:themeColor="text1"/>
        </w:rPr>
        <w:t>s</w:t>
      </w:r>
      <w:r w:rsidRPr="00260790">
        <w:rPr>
          <w:rFonts w:ascii="Times New Roman" w:hAnsi="Times New Roman"/>
          <w:color w:val="000000" w:themeColor="text1"/>
        </w:rPr>
        <w:t>.</w:t>
      </w:r>
    </w:p>
    <w:p w14:paraId="44071D2F" w14:textId="77777777" w:rsidR="008B08D9" w:rsidRPr="00260790" w:rsidRDefault="008B08D9" w:rsidP="001748C6">
      <w:pPr>
        <w:pStyle w:val="Normaltableau0"/>
        <w:numPr>
          <w:ilvl w:val="1"/>
          <w:numId w:val="139"/>
        </w:numPr>
        <w:outlineLvl w:val="1"/>
        <w:rPr>
          <w:rFonts w:ascii="Times New Roman" w:hAnsi="Times New Roman"/>
          <w:b/>
          <w:bCs/>
          <w:sz w:val="22"/>
          <w:szCs w:val="22"/>
        </w:rPr>
      </w:pPr>
      <w:bookmarkStart w:id="569" w:name="_Toc212725117"/>
      <w:r w:rsidRPr="00260790">
        <w:rPr>
          <w:rFonts w:ascii="Times New Roman" w:hAnsi="Times New Roman"/>
          <w:b/>
          <w:bCs/>
          <w:sz w:val="22"/>
          <w:szCs w:val="22"/>
        </w:rPr>
        <w:t>Points discutés</w:t>
      </w:r>
      <w:bookmarkEnd w:id="569"/>
    </w:p>
    <w:p w14:paraId="5FF75EA0" w14:textId="77777777" w:rsidR="008B08D9" w:rsidRPr="00260790" w:rsidRDefault="008B08D9" w:rsidP="00E20250">
      <w:pPr>
        <w:spacing w:line="240" w:lineRule="auto"/>
        <w:rPr>
          <w:rFonts w:ascii="Times New Roman" w:hAnsi="Times New Roman"/>
          <w:color w:val="000000" w:themeColor="text1"/>
        </w:rPr>
      </w:pPr>
      <w:r w:rsidRPr="00260790">
        <w:rPr>
          <w:rFonts w:ascii="Times New Roman" w:hAnsi="Times New Roman"/>
          <w:color w:val="000000" w:themeColor="text1"/>
        </w:rPr>
        <w:t>Les points discutés avec les acteurs lors de ces consultations ont principalement porté sur :</w:t>
      </w:r>
    </w:p>
    <w:p w14:paraId="2FF61610" w14:textId="77777777" w:rsidR="008B08D9" w:rsidRPr="00260790" w:rsidRDefault="008B08D9" w:rsidP="001748C6">
      <w:pPr>
        <w:pStyle w:val="Paragraphedeliste"/>
        <w:numPr>
          <w:ilvl w:val="0"/>
          <w:numId w:val="205"/>
        </w:numPr>
        <w:spacing w:line="240" w:lineRule="auto"/>
        <w:jc w:val="both"/>
        <w:rPr>
          <w:rFonts w:ascii="Times New Roman" w:hAnsi="Times New Roman"/>
          <w:color w:val="000000" w:themeColor="text1"/>
        </w:rPr>
      </w:pPr>
      <w:r w:rsidRPr="00260790">
        <w:rPr>
          <w:rFonts w:ascii="Times New Roman" w:hAnsi="Times New Roman"/>
          <w:color w:val="000000" w:themeColor="text1"/>
        </w:rPr>
        <w:t>Présentation du projet ;</w:t>
      </w:r>
    </w:p>
    <w:p w14:paraId="0EB939E9" w14:textId="77777777" w:rsidR="008B08D9" w:rsidRPr="00260790" w:rsidRDefault="008B08D9" w:rsidP="001748C6">
      <w:pPr>
        <w:pStyle w:val="Paragraphedeliste"/>
        <w:numPr>
          <w:ilvl w:val="0"/>
          <w:numId w:val="205"/>
        </w:numPr>
        <w:spacing w:line="240" w:lineRule="auto"/>
        <w:jc w:val="both"/>
        <w:rPr>
          <w:rFonts w:ascii="Times New Roman" w:hAnsi="Times New Roman"/>
          <w:color w:val="000000" w:themeColor="text1"/>
        </w:rPr>
      </w:pPr>
      <w:r w:rsidRPr="00260790">
        <w:rPr>
          <w:rFonts w:ascii="Times New Roman" w:hAnsi="Times New Roman"/>
          <w:color w:val="000000" w:themeColor="text1"/>
        </w:rPr>
        <w:t>Enjeux environnementaux, socio-économiques, sécuritaires majeurs liés au projet et à ses activités ;</w:t>
      </w:r>
    </w:p>
    <w:p w14:paraId="72EF47CE" w14:textId="77777777" w:rsidR="008B08D9" w:rsidRPr="00260790" w:rsidRDefault="008B08D9" w:rsidP="001748C6">
      <w:pPr>
        <w:pStyle w:val="Paragraphedeliste"/>
        <w:numPr>
          <w:ilvl w:val="0"/>
          <w:numId w:val="205"/>
        </w:numPr>
        <w:spacing w:line="240" w:lineRule="auto"/>
        <w:jc w:val="both"/>
        <w:rPr>
          <w:rFonts w:ascii="Times New Roman" w:hAnsi="Times New Roman"/>
          <w:color w:val="000000" w:themeColor="text1"/>
        </w:rPr>
      </w:pPr>
      <w:r w:rsidRPr="00260790">
        <w:rPr>
          <w:rFonts w:ascii="Times New Roman" w:hAnsi="Times New Roman"/>
          <w:color w:val="000000" w:themeColor="text1"/>
        </w:rPr>
        <w:t>Impacts et risques environnementaux et sociaux attribuables au projet et à ses activités prévues en phase de travaux et durant l’exploitation ;</w:t>
      </w:r>
    </w:p>
    <w:p w14:paraId="60A29176" w14:textId="4DE7A60A" w:rsidR="008B08D9" w:rsidRPr="00260790" w:rsidRDefault="008B08D9" w:rsidP="001748C6">
      <w:pPr>
        <w:pStyle w:val="Paragraphedeliste"/>
        <w:numPr>
          <w:ilvl w:val="0"/>
          <w:numId w:val="205"/>
        </w:numPr>
        <w:spacing w:line="240" w:lineRule="auto"/>
        <w:jc w:val="both"/>
        <w:rPr>
          <w:rFonts w:ascii="Times New Roman" w:hAnsi="Times New Roman"/>
          <w:color w:val="000000" w:themeColor="text1"/>
        </w:rPr>
      </w:pPr>
      <w:r w:rsidRPr="00260790">
        <w:rPr>
          <w:rFonts w:ascii="Times New Roman" w:hAnsi="Times New Roman"/>
          <w:color w:val="000000" w:themeColor="text1"/>
        </w:rPr>
        <w:t>Préoccupations et/ou craintes en rapport avec la mise en œuvre du projet ;</w:t>
      </w:r>
    </w:p>
    <w:p w14:paraId="57B33DCC" w14:textId="77777777" w:rsidR="008B08D9" w:rsidRPr="00260790" w:rsidRDefault="008B08D9" w:rsidP="001748C6">
      <w:pPr>
        <w:pStyle w:val="Paragraphedeliste"/>
        <w:numPr>
          <w:ilvl w:val="0"/>
          <w:numId w:val="205"/>
        </w:numPr>
        <w:spacing w:line="240" w:lineRule="auto"/>
        <w:jc w:val="both"/>
        <w:rPr>
          <w:rFonts w:ascii="Times New Roman" w:hAnsi="Times New Roman"/>
          <w:color w:val="000000" w:themeColor="text1"/>
        </w:rPr>
      </w:pPr>
      <w:r w:rsidRPr="00260790">
        <w:rPr>
          <w:rFonts w:ascii="Times New Roman" w:hAnsi="Times New Roman"/>
          <w:color w:val="000000" w:themeColor="text1"/>
        </w:rPr>
        <w:t>Probables contraintes d’ordre administratif, juridique, institutionnel, technique, organisationnel, communicationnel ;</w:t>
      </w:r>
    </w:p>
    <w:p w14:paraId="1256A476" w14:textId="77777777" w:rsidR="008B08D9" w:rsidRPr="00260790" w:rsidRDefault="008B08D9" w:rsidP="001748C6">
      <w:pPr>
        <w:pStyle w:val="Paragraphedeliste"/>
        <w:numPr>
          <w:ilvl w:val="0"/>
          <w:numId w:val="205"/>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Responsabilités des acteurs dans la mise en œuvre et le suivi des mesures de gestion environnementale et sociale (GES) du projet et des capacités (état et besoin en renforcement) ; </w:t>
      </w:r>
    </w:p>
    <w:p w14:paraId="20F0052E" w14:textId="77777777" w:rsidR="008B08D9" w:rsidRPr="00260790" w:rsidRDefault="008B08D9" w:rsidP="001748C6">
      <w:pPr>
        <w:pStyle w:val="Paragraphedeliste"/>
        <w:numPr>
          <w:ilvl w:val="0"/>
          <w:numId w:val="205"/>
        </w:numPr>
        <w:spacing w:line="240" w:lineRule="auto"/>
        <w:jc w:val="both"/>
        <w:rPr>
          <w:rFonts w:ascii="Times New Roman" w:hAnsi="Times New Roman"/>
          <w:color w:val="000000" w:themeColor="text1"/>
        </w:rPr>
      </w:pPr>
      <w:r w:rsidRPr="00260790">
        <w:rPr>
          <w:rFonts w:ascii="Times New Roman" w:hAnsi="Times New Roman"/>
          <w:color w:val="000000" w:themeColor="text1"/>
        </w:rPr>
        <w:t>Suggestions et recommandations d’ordre général</w:t>
      </w:r>
    </w:p>
    <w:p w14:paraId="33038609" w14:textId="4AD999E9" w:rsidR="008B08D9" w:rsidRPr="00260790" w:rsidRDefault="00E23E20" w:rsidP="001748C6">
      <w:pPr>
        <w:pStyle w:val="Normaltableau0"/>
        <w:numPr>
          <w:ilvl w:val="1"/>
          <w:numId w:val="139"/>
        </w:numPr>
        <w:outlineLvl w:val="1"/>
        <w:rPr>
          <w:rFonts w:ascii="Times New Roman" w:hAnsi="Times New Roman"/>
          <w:b/>
          <w:bCs/>
          <w:sz w:val="22"/>
          <w:szCs w:val="22"/>
        </w:rPr>
      </w:pPr>
      <w:bookmarkStart w:id="570" w:name="_Toc212725118"/>
      <w:r w:rsidRPr="00260790">
        <w:rPr>
          <w:rFonts w:ascii="Times New Roman" w:hAnsi="Times New Roman"/>
          <w:b/>
          <w:bCs/>
          <w:sz w:val="22"/>
          <w:szCs w:val="22"/>
        </w:rPr>
        <w:t>É</w:t>
      </w:r>
      <w:r w:rsidR="008B08D9" w:rsidRPr="00260790">
        <w:rPr>
          <w:rFonts w:ascii="Times New Roman" w:hAnsi="Times New Roman"/>
          <w:b/>
          <w:bCs/>
          <w:sz w:val="22"/>
          <w:szCs w:val="22"/>
        </w:rPr>
        <w:t>tendue des consultations</w:t>
      </w:r>
      <w:bookmarkEnd w:id="570"/>
      <w:r w:rsidR="008B08D9" w:rsidRPr="00260790">
        <w:rPr>
          <w:rFonts w:ascii="Times New Roman" w:hAnsi="Times New Roman"/>
          <w:b/>
          <w:bCs/>
          <w:sz w:val="22"/>
          <w:szCs w:val="22"/>
        </w:rPr>
        <w:t xml:space="preserve"> </w:t>
      </w:r>
    </w:p>
    <w:p w14:paraId="2939D652" w14:textId="0135EFC6" w:rsidR="008B08D9" w:rsidRPr="00260790" w:rsidRDefault="008B08D9"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tableau ci-après, renseigne sur l’entendue des consultations réalisées avec les Parties Prenantes dans le cadre de la préparation de l’étude d’impact environnemental et social (EIES) des travaux sur la partie </w:t>
      </w:r>
      <w:r w:rsidR="001B637A" w:rsidRPr="00260790">
        <w:rPr>
          <w:rFonts w:ascii="Times New Roman" w:hAnsi="Times New Roman"/>
          <w:color w:val="000000" w:themeColor="text1"/>
        </w:rPr>
        <w:t xml:space="preserve">restante nord et la partie </w:t>
      </w:r>
      <w:r w:rsidRPr="00260790">
        <w:rPr>
          <w:rFonts w:ascii="Times New Roman" w:hAnsi="Times New Roman"/>
          <w:color w:val="000000" w:themeColor="text1"/>
        </w:rPr>
        <w:t>sud du bassin versant de M</w:t>
      </w:r>
      <w:r w:rsidR="00EA3DA9" w:rsidRPr="00260790">
        <w:rPr>
          <w:rFonts w:ascii="Times New Roman" w:hAnsi="Times New Roman"/>
          <w:color w:val="000000" w:themeColor="text1"/>
        </w:rPr>
        <w:t>bao</w:t>
      </w:r>
      <w:r w:rsidRPr="00260790">
        <w:rPr>
          <w:rFonts w:ascii="Times New Roman" w:hAnsi="Times New Roman"/>
          <w:color w:val="000000" w:themeColor="text1"/>
        </w:rPr>
        <w:t>.</w:t>
      </w:r>
    </w:p>
    <w:p w14:paraId="654762F6" w14:textId="77777777" w:rsidR="004E06A0" w:rsidRPr="00260790" w:rsidRDefault="004E06A0" w:rsidP="00E20250">
      <w:pPr>
        <w:spacing w:line="240" w:lineRule="auto"/>
        <w:rPr>
          <w:rFonts w:ascii="Times New Roman" w:hAnsi="Times New Roman"/>
          <w:b/>
          <w:i/>
          <w:color w:val="000000" w:themeColor="text1"/>
        </w:rPr>
      </w:pPr>
      <w:bookmarkStart w:id="571" w:name="_Toc89263333"/>
      <w:bookmarkStart w:id="572" w:name="_Toc89210854"/>
      <w:r w:rsidRPr="00260790">
        <w:rPr>
          <w:rFonts w:ascii="Times New Roman" w:hAnsi="Times New Roman"/>
          <w:b/>
          <w:i/>
          <w:color w:val="000000" w:themeColor="text1"/>
        </w:rPr>
        <w:br w:type="page"/>
      </w:r>
    </w:p>
    <w:p w14:paraId="2ADFD378" w14:textId="0DC3FE59" w:rsidR="008B08D9" w:rsidRPr="00260790" w:rsidRDefault="004E06A0" w:rsidP="00E20250">
      <w:pPr>
        <w:spacing w:line="240" w:lineRule="auto"/>
        <w:rPr>
          <w:rFonts w:ascii="Times New Roman" w:hAnsi="Times New Roman"/>
          <w:i/>
          <w:color w:val="000000" w:themeColor="text1"/>
        </w:rPr>
      </w:pPr>
      <w:bookmarkStart w:id="573" w:name="_Toc207781857"/>
      <w:r w:rsidRPr="00260790">
        <w:rPr>
          <w:rFonts w:ascii="Times New Roman" w:hAnsi="Times New Roman"/>
          <w:i/>
          <w:color w:val="000000" w:themeColor="text1"/>
        </w:rPr>
        <w:lastRenderedPageBreak/>
        <w:t xml:space="preserve">Tableau </w:t>
      </w:r>
      <w:r w:rsidRPr="00260790">
        <w:rPr>
          <w:rFonts w:ascii="Times New Roman" w:hAnsi="Times New Roman"/>
          <w:i/>
          <w:color w:val="000000" w:themeColor="text1"/>
        </w:rPr>
        <w:fldChar w:fldCharType="begin"/>
      </w:r>
      <w:r w:rsidRPr="00260790">
        <w:rPr>
          <w:rFonts w:ascii="Times New Roman" w:hAnsi="Times New Roman"/>
          <w:i/>
          <w:color w:val="000000" w:themeColor="text1"/>
        </w:rPr>
        <w:instrText xml:space="preserve"> SEQ Tableau \* ARABIC </w:instrText>
      </w:r>
      <w:r w:rsidRPr="00260790">
        <w:rPr>
          <w:rFonts w:ascii="Times New Roman" w:hAnsi="Times New Roman"/>
          <w:i/>
          <w:color w:val="000000" w:themeColor="text1"/>
        </w:rPr>
        <w:fldChar w:fldCharType="separate"/>
      </w:r>
      <w:r w:rsidR="003C783E">
        <w:rPr>
          <w:rFonts w:ascii="Times New Roman" w:hAnsi="Times New Roman"/>
          <w:i/>
          <w:noProof/>
          <w:color w:val="000000" w:themeColor="text1"/>
        </w:rPr>
        <w:t>16</w:t>
      </w:r>
      <w:r w:rsidRPr="00260790">
        <w:rPr>
          <w:rFonts w:ascii="Times New Roman" w:hAnsi="Times New Roman"/>
          <w:i/>
          <w:color w:val="000000" w:themeColor="text1"/>
        </w:rPr>
        <w:fldChar w:fldCharType="end"/>
      </w:r>
      <w:r w:rsidRPr="00260790">
        <w:rPr>
          <w:rFonts w:ascii="Times New Roman" w:hAnsi="Times New Roman"/>
          <w:i/>
          <w:color w:val="000000" w:themeColor="text1"/>
        </w:rPr>
        <w:t> :</w:t>
      </w:r>
      <w:r w:rsidR="008B08D9" w:rsidRPr="00260790">
        <w:rPr>
          <w:rFonts w:ascii="Times New Roman" w:hAnsi="Times New Roman"/>
          <w:i/>
          <w:color w:val="000000" w:themeColor="text1"/>
        </w:rPr>
        <w:t xml:space="preserve"> </w:t>
      </w:r>
      <w:bookmarkEnd w:id="571"/>
      <w:bookmarkEnd w:id="572"/>
      <w:r w:rsidR="008B08D9" w:rsidRPr="00260790">
        <w:rPr>
          <w:rFonts w:ascii="Times New Roman" w:hAnsi="Times New Roman"/>
          <w:i/>
          <w:color w:val="000000" w:themeColor="text1"/>
        </w:rPr>
        <w:t xml:space="preserve">Structures </w:t>
      </w:r>
      <w:r w:rsidRPr="00260790">
        <w:rPr>
          <w:rFonts w:ascii="Times New Roman" w:hAnsi="Times New Roman"/>
          <w:i/>
          <w:color w:val="000000" w:themeColor="text1"/>
        </w:rPr>
        <w:t xml:space="preserve">et acteurs </w:t>
      </w:r>
      <w:r w:rsidR="008B08D9" w:rsidRPr="00260790">
        <w:rPr>
          <w:rFonts w:ascii="Times New Roman" w:hAnsi="Times New Roman"/>
          <w:i/>
          <w:color w:val="000000" w:themeColor="text1"/>
        </w:rPr>
        <w:t>consultés</w:t>
      </w:r>
      <w:bookmarkEnd w:id="573"/>
    </w:p>
    <w:tbl>
      <w:tblPr>
        <w:tblStyle w:val="Tableausimple1"/>
        <w:tblW w:w="9776" w:type="dxa"/>
        <w:tblLayout w:type="fixed"/>
        <w:tblLook w:val="04A0" w:firstRow="1" w:lastRow="0" w:firstColumn="1" w:lastColumn="0" w:noHBand="0" w:noVBand="1"/>
      </w:tblPr>
      <w:tblGrid>
        <w:gridCol w:w="5524"/>
        <w:gridCol w:w="1275"/>
        <w:gridCol w:w="993"/>
        <w:gridCol w:w="992"/>
        <w:gridCol w:w="992"/>
      </w:tblGrid>
      <w:tr w:rsidR="00C220D3" w:rsidRPr="00260790" w14:paraId="79906514" w14:textId="77777777" w:rsidTr="001F7B71">
        <w:trPr>
          <w:cnfStyle w:val="100000000000" w:firstRow="1" w:lastRow="0" w:firstColumn="0" w:lastColumn="0" w:oddVBand="0" w:evenVBand="0" w:oddHBand="0"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5524" w:type="dxa"/>
            <w:vMerge w:val="restart"/>
            <w:shd w:val="clear" w:color="auto" w:fill="E2EFD9" w:themeFill="accent6" w:themeFillTint="33"/>
            <w:vAlign w:val="center"/>
          </w:tcPr>
          <w:p w14:paraId="42F042DF" w14:textId="77777777" w:rsidR="009E4304" w:rsidRPr="00260790" w:rsidRDefault="009E4304" w:rsidP="00EA5752">
            <w:pPr>
              <w:spacing w:line="240" w:lineRule="auto"/>
              <w:rPr>
                <w:rFonts w:ascii="Times New Roman" w:hAnsi="Times New Roman"/>
                <w:color w:val="000000" w:themeColor="text1"/>
              </w:rPr>
            </w:pPr>
            <w:r w:rsidRPr="00260790">
              <w:rPr>
                <w:rFonts w:ascii="Times New Roman" w:hAnsi="Times New Roman"/>
                <w:color w:val="000000" w:themeColor="text1"/>
                <w:sz w:val="22"/>
                <w:szCs w:val="22"/>
                <w:lang w:val="fr-FR"/>
              </w:rPr>
              <w:t>Structures / acteurs</w:t>
            </w:r>
          </w:p>
        </w:tc>
        <w:tc>
          <w:tcPr>
            <w:tcW w:w="1275" w:type="dxa"/>
            <w:vMerge w:val="restart"/>
            <w:shd w:val="clear" w:color="auto" w:fill="E2EFD9" w:themeFill="accent6" w:themeFillTint="33"/>
            <w:vAlign w:val="center"/>
          </w:tcPr>
          <w:p w14:paraId="16423710" w14:textId="77777777" w:rsidR="009E4304" w:rsidRPr="00260790" w:rsidRDefault="009E4304" w:rsidP="00EA5752">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260790">
              <w:rPr>
                <w:rFonts w:ascii="Times New Roman" w:hAnsi="Times New Roman"/>
                <w:color w:val="000000" w:themeColor="text1"/>
                <w:sz w:val="22"/>
                <w:szCs w:val="22"/>
                <w:lang w:val="fr-FR"/>
              </w:rPr>
              <w:t>Date</w:t>
            </w:r>
          </w:p>
        </w:tc>
        <w:tc>
          <w:tcPr>
            <w:tcW w:w="2977" w:type="dxa"/>
            <w:gridSpan w:val="3"/>
            <w:shd w:val="clear" w:color="auto" w:fill="E2EFD9" w:themeFill="accent6" w:themeFillTint="33"/>
          </w:tcPr>
          <w:p w14:paraId="05471052" w14:textId="77777777" w:rsidR="009E4304" w:rsidRPr="00260790" w:rsidRDefault="009E4304" w:rsidP="00EA5752">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Effectif rencontré</w:t>
            </w:r>
          </w:p>
        </w:tc>
      </w:tr>
      <w:tr w:rsidR="001F7B71" w:rsidRPr="00260790" w14:paraId="77665B48" w14:textId="77777777" w:rsidTr="001F7B71">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5524" w:type="dxa"/>
            <w:vMerge/>
            <w:shd w:val="clear" w:color="auto" w:fill="E2EFD9" w:themeFill="accent6" w:themeFillTint="33"/>
            <w:vAlign w:val="center"/>
          </w:tcPr>
          <w:p w14:paraId="354030C5" w14:textId="77777777" w:rsidR="00A418FC" w:rsidRPr="00260790" w:rsidRDefault="00A418FC" w:rsidP="00EA5752">
            <w:pPr>
              <w:spacing w:line="240" w:lineRule="auto"/>
              <w:rPr>
                <w:rFonts w:ascii="Times New Roman" w:hAnsi="Times New Roman"/>
                <w:color w:val="000000" w:themeColor="text1"/>
                <w:sz w:val="22"/>
                <w:szCs w:val="22"/>
                <w:lang w:val="fr-FR"/>
              </w:rPr>
            </w:pPr>
          </w:p>
        </w:tc>
        <w:tc>
          <w:tcPr>
            <w:tcW w:w="1275" w:type="dxa"/>
            <w:vMerge/>
            <w:shd w:val="clear" w:color="auto" w:fill="E2EFD9" w:themeFill="accent6" w:themeFillTint="33"/>
            <w:vAlign w:val="center"/>
          </w:tcPr>
          <w:p w14:paraId="7A9BD64C" w14:textId="77777777" w:rsidR="00A418FC" w:rsidRPr="00260790" w:rsidRDefault="00A418FC" w:rsidP="00EA57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2"/>
                <w:szCs w:val="22"/>
                <w:lang w:val="fr-FR"/>
              </w:rPr>
            </w:pPr>
          </w:p>
        </w:tc>
        <w:tc>
          <w:tcPr>
            <w:tcW w:w="993" w:type="dxa"/>
            <w:shd w:val="clear" w:color="auto" w:fill="E2EFD9" w:themeFill="accent6" w:themeFillTint="33"/>
          </w:tcPr>
          <w:p w14:paraId="47790E8E" w14:textId="77777777" w:rsidR="00A418FC" w:rsidRPr="00EA5752" w:rsidRDefault="00A418FC" w:rsidP="00EA57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rPr>
            </w:pPr>
            <w:r w:rsidRPr="00EA5752">
              <w:rPr>
                <w:rFonts w:ascii="Times New Roman" w:hAnsi="Times New Roman"/>
                <w:b/>
                <w:bCs/>
                <w:color w:val="000000" w:themeColor="text1"/>
              </w:rPr>
              <w:t>H</w:t>
            </w:r>
          </w:p>
        </w:tc>
        <w:tc>
          <w:tcPr>
            <w:tcW w:w="992" w:type="dxa"/>
            <w:shd w:val="clear" w:color="auto" w:fill="E2EFD9" w:themeFill="accent6" w:themeFillTint="33"/>
          </w:tcPr>
          <w:p w14:paraId="0A25CBE8" w14:textId="77777777" w:rsidR="00A418FC" w:rsidRPr="00EA5752" w:rsidRDefault="00A418FC" w:rsidP="00EA57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rPr>
            </w:pPr>
            <w:r w:rsidRPr="00EA5752">
              <w:rPr>
                <w:rFonts w:ascii="Times New Roman" w:hAnsi="Times New Roman"/>
                <w:b/>
                <w:bCs/>
                <w:color w:val="000000" w:themeColor="text1"/>
              </w:rPr>
              <w:t>F</w:t>
            </w:r>
          </w:p>
        </w:tc>
        <w:tc>
          <w:tcPr>
            <w:tcW w:w="992" w:type="dxa"/>
            <w:shd w:val="clear" w:color="auto" w:fill="E2EFD9" w:themeFill="accent6" w:themeFillTint="33"/>
          </w:tcPr>
          <w:p w14:paraId="0A303B7A" w14:textId="6F3D34E2" w:rsidR="00A418FC" w:rsidRPr="00EA5752" w:rsidRDefault="00A418FC" w:rsidP="00EA57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rPr>
            </w:pPr>
            <w:r>
              <w:rPr>
                <w:rFonts w:ascii="Times New Roman" w:hAnsi="Times New Roman"/>
                <w:b/>
                <w:bCs/>
                <w:color w:val="000000" w:themeColor="text1"/>
              </w:rPr>
              <w:t>TOTAL</w:t>
            </w:r>
          </w:p>
        </w:tc>
      </w:tr>
      <w:tr w:rsidR="001F7B71" w:rsidRPr="00260790" w14:paraId="43DBA90C" w14:textId="77777777" w:rsidTr="001F7B71">
        <w:trPr>
          <w:trHeight w:val="63"/>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2CC8E08E" w14:textId="77777777" w:rsidR="00A418FC" w:rsidRPr="00EA5752" w:rsidRDefault="00A418FC" w:rsidP="00EA5752">
            <w:pPr>
              <w:spacing w:line="240" w:lineRule="auto"/>
              <w:ind w:left="10" w:hanging="10"/>
              <w:rPr>
                <w:rFonts w:ascii="Times New Roman" w:hAnsi="Times New Roman"/>
                <w:b w:val="0"/>
                <w:bCs w:val="0"/>
                <w:color w:val="000000" w:themeColor="text1"/>
                <w:lang w:val="fr-FR"/>
              </w:rPr>
            </w:pPr>
            <w:r w:rsidRPr="0045100A">
              <w:rPr>
                <w:rFonts w:ascii="Times New Roman" w:hAnsi="Times New Roman"/>
                <w:color w:val="000000" w:themeColor="text1"/>
              </w:rPr>
              <w:t>Direction de la Surveillance et du Contrôle de l’Occupation des sols (DSCOS)</w:t>
            </w:r>
          </w:p>
        </w:tc>
        <w:tc>
          <w:tcPr>
            <w:tcW w:w="1275" w:type="dxa"/>
            <w:vAlign w:val="center"/>
          </w:tcPr>
          <w:p w14:paraId="315B63C1" w14:textId="77777777" w:rsidR="00A418FC" w:rsidRPr="00EA5752" w:rsidRDefault="00A418FC" w:rsidP="00EA5752">
            <w:pPr>
              <w:spacing w:line="240" w:lineRule="auto"/>
              <w:ind w:left="10" w:hanging="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fr-FR"/>
              </w:rPr>
            </w:pPr>
            <w:r w:rsidRPr="0045100A">
              <w:rPr>
                <w:rFonts w:ascii="Times New Roman" w:hAnsi="Times New Roman"/>
                <w:color w:val="000000" w:themeColor="text1"/>
              </w:rPr>
              <w:t>30/09/2024</w:t>
            </w:r>
          </w:p>
        </w:tc>
        <w:tc>
          <w:tcPr>
            <w:tcW w:w="993" w:type="dxa"/>
          </w:tcPr>
          <w:p w14:paraId="1A0EB77C" w14:textId="761336E9" w:rsidR="00A418FC" w:rsidRPr="0045100A" w:rsidRDefault="00A418FC" w:rsidP="00EA5752">
            <w:pPr>
              <w:spacing w:line="240" w:lineRule="auto"/>
              <w:ind w:left="10" w:hanging="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00</w:t>
            </w:r>
          </w:p>
        </w:tc>
        <w:tc>
          <w:tcPr>
            <w:tcW w:w="992" w:type="dxa"/>
          </w:tcPr>
          <w:p w14:paraId="41A1D7C1" w14:textId="4ADA61C4" w:rsidR="00A418FC" w:rsidRPr="0045100A" w:rsidRDefault="00A418FC" w:rsidP="00EA5752">
            <w:pPr>
              <w:spacing w:line="240" w:lineRule="auto"/>
              <w:ind w:left="10" w:hanging="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c>
          <w:tcPr>
            <w:tcW w:w="992" w:type="dxa"/>
          </w:tcPr>
          <w:p w14:paraId="3D960CAC" w14:textId="3F24D09B" w:rsidR="00A418FC" w:rsidRDefault="00741512" w:rsidP="00741512">
            <w:pPr>
              <w:spacing w:line="240" w:lineRule="auto"/>
              <w:ind w:left="10" w:hanging="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r>
      <w:tr w:rsidR="001F7B71" w:rsidRPr="00260790" w14:paraId="1C880DC0" w14:textId="77777777" w:rsidTr="001F7B71">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186EAD91" w14:textId="77777777" w:rsidR="00A418FC" w:rsidRPr="00EA5752" w:rsidRDefault="00A418FC" w:rsidP="00EA5752">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Brigade nationale des Sapeurs-pompiers (BNSP)</w:t>
            </w:r>
          </w:p>
        </w:tc>
        <w:tc>
          <w:tcPr>
            <w:tcW w:w="1275" w:type="dxa"/>
            <w:vAlign w:val="center"/>
          </w:tcPr>
          <w:p w14:paraId="69055409" w14:textId="77777777" w:rsidR="00A418FC" w:rsidRPr="00EA5752" w:rsidRDefault="00A418FC" w:rsidP="00EA57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fr-FR"/>
              </w:rPr>
            </w:pPr>
            <w:r w:rsidRPr="0045100A">
              <w:rPr>
                <w:rFonts w:ascii="Times New Roman" w:hAnsi="Times New Roman"/>
                <w:color w:val="000000" w:themeColor="text1"/>
              </w:rPr>
              <w:t>30/09/2024</w:t>
            </w:r>
          </w:p>
        </w:tc>
        <w:tc>
          <w:tcPr>
            <w:tcW w:w="993" w:type="dxa"/>
          </w:tcPr>
          <w:p w14:paraId="0C75DE99" w14:textId="21DE4386" w:rsidR="00A418FC" w:rsidRPr="0045100A" w:rsidRDefault="00A418FC" w:rsidP="00EA57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02</w:t>
            </w:r>
          </w:p>
        </w:tc>
        <w:tc>
          <w:tcPr>
            <w:tcW w:w="992" w:type="dxa"/>
          </w:tcPr>
          <w:p w14:paraId="20E95AB1" w14:textId="73FEBEEE" w:rsidR="00A418FC" w:rsidRPr="0045100A" w:rsidRDefault="00A418FC" w:rsidP="00EA57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00</w:t>
            </w:r>
          </w:p>
        </w:tc>
        <w:tc>
          <w:tcPr>
            <w:tcW w:w="992" w:type="dxa"/>
          </w:tcPr>
          <w:p w14:paraId="148F57D7" w14:textId="76AD8842" w:rsidR="00A418FC" w:rsidRDefault="00741512" w:rsidP="00EA57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02</w:t>
            </w:r>
          </w:p>
        </w:tc>
      </w:tr>
      <w:tr w:rsidR="001F7B71" w:rsidRPr="00260790" w14:paraId="48459A32" w14:textId="77777777" w:rsidTr="001F7B71">
        <w:trPr>
          <w:trHeight w:val="63"/>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11B4CA02" w14:textId="62AAE1C3" w:rsidR="00A418FC" w:rsidRPr="00EA5752" w:rsidRDefault="00A418FC" w:rsidP="00EA5752">
            <w:pPr>
              <w:spacing w:line="240" w:lineRule="auto"/>
              <w:ind w:left="10" w:hanging="10"/>
              <w:rPr>
                <w:rFonts w:ascii="Times New Roman" w:hAnsi="Times New Roman"/>
                <w:b w:val="0"/>
                <w:bCs w:val="0"/>
                <w:color w:val="000000" w:themeColor="text1"/>
                <w:lang w:val="fr-FR"/>
              </w:rPr>
            </w:pPr>
            <w:r w:rsidRPr="0045100A">
              <w:rPr>
                <w:rFonts w:ascii="Times New Roman" w:hAnsi="Times New Roman"/>
                <w:color w:val="000000" w:themeColor="text1"/>
              </w:rPr>
              <w:t>Division Régionale de l’Environnement et des Établissements Classés (DREEC)</w:t>
            </w:r>
            <w:r>
              <w:rPr>
                <w:rFonts w:ascii="Times New Roman" w:hAnsi="Times New Roman"/>
                <w:color w:val="000000" w:themeColor="text1"/>
              </w:rPr>
              <w:t xml:space="preserve"> Dakar</w:t>
            </w:r>
          </w:p>
        </w:tc>
        <w:tc>
          <w:tcPr>
            <w:tcW w:w="1275" w:type="dxa"/>
            <w:vAlign w:val="center"/>
          </w:tcPr>
          <w:p w14:paraId="5FB66C04" w14:textId="77777777" w:rsidR="00A418FC" w:rsidRPr="00EA5752" w:rsidRDefault="00A418FC" w:rsidP="00EA57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fr-FR"/>
              </w:rPr>
            </w:pPr>
            <w:r w:rsidRPr="0045100A">
              <w:rPr>
                <w:rFonts w:ascii="Times New Roman" w:hAnsi="Times New Roman"/>
                <w:color w:val="000000" w:themeColor="text1"/>
              </w:rPr>
              <w:t>30/10/2024</w:t>
            </w:r>
          </w:p>
        </w:tc>
        <w:tc>
          <w:tcPr>
            <w:tcW w:w="993" w:type="dxa"/>
          </w:tcPr>
          <w:p w14:paraId="745AC59E" w14:textId="54803EB5" w:rsidR="00A418FC" w:rsidRPr="0045100A" w:rsidRDefault="00A418FC" w:rsidP="00EA57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03</w:t>
            </w:r>
          </w:p>
        </w:tc>
        <w:tc>
          <w:tcPr>
            <w:tcW w:w="992" w:type="dxa"/>
          </w:tcPr>
          <w:p w14:paraId="595C3B61" w14:textId="373C36C9" w:rsidR="00A418FC" w:rsidRPr="0045100A" w:rsidRDefault="00A418FC" w:rsidP="00EA57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00</w:t>
            </w:r>
          </w:p>
        </w:tc>
        <w:tc>
          <w:tcPr>
            <w:tcW w:w="992" w:type="dxa"/>
          </w:tcPr>
          <w:p w14:paraId="7B3E53F9" w14:textId="63615EE4" w:rsidR="00A418FC" w:rsidRDefault="00741512" w:rsidP="00EA57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03</w:t>
            </w:r>
          </w:p>
        </w:tc>
      </w:tr>
      <w:tr w:rsidR="001F7B71" w:rsidRPr="00260790" w14:paraId="49A8E946" w14:textId="77777777" w:rsidTr="001F7B71">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4A8B9C7D" w14:textId="77777777" w:rsidR="00A418FC" w:rsidRPr="00EA5752" w:rsidRDefault="00A418FC" w:rsidP="009B16E4">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Cellule de gestion du plan d’Aménagement de la Forêt classée de Mbao</w:t>
            </w:r>
          </w:p>
        </w:tc>
        <w:tc>
          <w:tcPr>
            <w:tcW w:w="1275" w:type="dxa"/>
            <w:vAlign w:val="center"/>
          </w:tcPr>
          <w:p w14:paraId="68FF4BE3" w14:textId="77777777" w:rsidR="00A418FC" w:rsidRPr="00EA5752" w:rsidRDefault="00A418FC" w:rsidP="009B16E4">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fr-FR"/>
              </w:rPr>
            </w:pPr>
            <w:r w:rsidRPr="0045100A">
              <w:rPr>
                <w:rFonts w:ascii="Times New Roman" w:hAnsi="Times New Roman"/>
                <w:color w:val="000000" w:themeColor="text1"/>
              </w:rPr>
              <w:t>30/10/2024</w:t>
            </w:r>
          </w:p>
        </w:tc>
        <w:tc>
          <w:tcPr>
            <w:tcW w:w="993" w:type="dxa"/>
          </w:tcPr>
          <w:p w14:paraId="250F338F" w14:textId="5BEF6F0E" w:rsidR="00A418FC" w:rsidRPr="0045100A" w:rsidRDefault="00A418FC" w:rsidP="009B16E4">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c>
          <w:tcPr>
            <w:tcW w:w="992" w:type="dxa"/>
          </w:tcPr>
          <w:p w14:paraId="5339C499" w14:textId="0B84513E" w:rsidR="00A418FC" w:rsidRPr="0045100A" w:rsidRDefault="00A418FC" w:rsidP="009B16E4">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00</w:t>
            </w:r>
          </w:p>
        </w:tc>
        <w:tc>
          <w:tcPr>
            <w:tcW w:w="992" w:type="dxa"/>
          </w:tcPr>
          <w:p w14:paraId="6F1D59A7" w14:textId="03CF264D" w:rsidR="00A418FC" w:rsidRDefault="00741512" w:rsidP="009B16E4">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r>
      <w:tr w:rsidR="001F7B71" w:rsidRPr="00260790" w14:paraId="23917AC8" w14:textId="77777777" w:rsidTr="001F7B71">
        <w:trPr>
          <w:trHeight w:val="63"/>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0130CA59" w14:textId="77777777" w:rsidR="00A418FC" w:rsidRPr="00EA5752" w:rsidRDefault="00A418FC" w:rsidP="009B16E4">
            <w:pPr>
              <w:spacing w:line="240" w:lineRule="auto"/>
              <w:ind w:left="10" w:hanging="10"/>
              <w:rPr>
                <w:rFonts w:ascii="Times New Roman" w:hAnsi="Times New Roman"/>
                <w:b w:val="0"/>
                <w:bCs w:val="0"/>
                <w:color w:val="000000" w:themeColor="text1"/>
                <w:lang w:val="fr-FR"/>
              </w:rPr>
            </w:pPr>
            <w:r w:rsidRPr="0045100A">
              <w:rPr>
                <w:rFonts w:ascii="Times New Roman" w:hAnsi="Times New Roman"/>
                <w:color w:val="000000" w:themeColor="text1"/>
              </w:rPr>
              <w:t xml:space="preserve">Inspection régionale des Eaux et forêts (IREF) </w:t>
            </w:r>
          </w:p>
        </w:tc>
        <w:tc>
          <w:tcPr>
            <w:tcW w:w="1275" w:type="dxa"/>
            <w:vAlign w:val="center"/>
          </w:tcPr>
          <w:p w14:paraId="47CF79F8" w14:textId="77777777" w:rsidR="00A418FC" w:rsidRPr="00EA5752" w:rsidRDefault="00A418FC" w:rsidP="009B16E4">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fr-FR"/>
              </w:rPr>
            </w:pPr>
            <w:r w:rsidRPr="0045100A">
              <w:rPr>
                <w:rFonts w:ascii="Times New Roman" w:hAnsi="Times New Roman"/>
                <w:color w:val="000000" w:themeColor="text1"/>
              </w:rPr>
              <w:t>30/10/2024</w:t>
            </w:r>
          </w:p>
        </w:tc>
        <w:tc>
          <w:tcPr>
            <w:tcW w:w="993" w:type="dxa"/>
          </w:tcPr>
          <w:p w14:paraId="7D86FD6D" w14:textId="6E2D733D" w:rsidR="00A418FC" w:rsidRPr="0045100A" w:rsidRDefault="00A418FC" w:rsidP="009B16E4">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c>
          <w:tcPr>
            <w:tcW w:w="992" w:type="dxa"/>
          </w:tcPr>
          <w:p w14:paraId="3EB53E33" w14:textId="60AAE272" w:rsidR="00A418FC" w:rsidRPr="0045100A" w:rsidRDefault="00A418FC" w:rsidP="009B16E4">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00</w:t>
            </w:r>
          </w:p>
        </w:tc>
        <w:tc>
          <w:tcPr>
            <w:tcW w:w="992" w:type="dxa"/>
          </w:tcPr>
          <w:p w14:paraId="46B41F45" w14:textId="6530BEB0" w:rsidR="00A418FC" w:rsidRDefault="00741512" w:rsidP="009B16E4">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r>
      <w:tr w:rsidR="001F7B71" w:rsidRPr="00260790" w14:paraId="23928EB1" w14:textId="77777777" w:rsidTr="001F7B71">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4B42C593" w14:textId="77777777" w:rsidR="00A418FC" w:rsidRPr="00EA5752" w:rsidRDefault="00A418FC" w:rsidP="00635CFB">
            <w:pPr>
              <w:spacing w:line="240" w:lineRule="auto"/>
              <w:ind w:left="10" w:hanging="10"/>
              <w:rPr>
                <w:rFonts w:ascii="Times New Roman" w:hAnsi="Times New Roman"/>
                <w:b w:val="0"/>
                <w:bCs w:val="0"/>
                <w:color w:val="000000" w:themeColor="text1"/>
                <w:lang w:val="fr-FR"/>
              </w:rPr>
            </w:pPr>
            <w:r w:rsidRPr="0045100A">
              <w:rPr>
                <w:rFonts w:ascii="Times New Roman" w:hAnsi="Times New Roman"/>
                <w:color w:val="000000" w:themeColor="text1"/>
              </w:rPr>
              <w:t>Agence Nationale de l’Aménagement du Territoire (ANAT)</w:t>
            </w:r>
          </w:p>
        </w:tc>
        <w:tc>
          <w:tcPr>
            <w:tcW w:w="1275" w:type="dxa"/>
            <w:vAlign w:val="center"/>
          </w:tcPr>
          <w:p w14:paraId="5BA285DF" w14:textId="77777777" w:rsidR="00A418FC" w:rsidRPr="00EA5752" w:rsidRDefault="00A418FC" w:rsidP="00635CF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fr-FR"/>
              </w:rPr>
            </w:pPr>
            <w:r w:rsidRPr="0045100A">
              <w:rPr>
                <w:rFonts w:ascii="Times New Roman" w:hAnsi="Times New Roman"/>
                <w:color w:val="000000" w:themeColor="text1"/>
              </w:rPr>
              <w:t>04 /11/2024</w:t>
            </w:r>
          </w:p>
        </w:tc>
        <w:tc>
          <w:tcPr>
            <w:tcW w:w="993" w:type="dxa"/>
          </w:tcPr>
          <w:p w14:paraId="04F6A451" w14:textId="2EBE04C5" w:rsidR="00A418FC" w:rsidRPr="0045100A" w:rsidRDefault="00A418FC" w:rsidP="00635CF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c>
          <w:tcPr>
            <w:tcW w:w="992" w:type="dxa"/>
          </w:tcPr>
          <w:p w14:paraId="050A64E9" w14:textId="4AC9D581" w:rsidR="00A418FC" w:rsidRPr="0045100A" w:rsidRDefault="00A418FC" w:rsidP="00635CF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00</w:t>
            </w:r>
          </w:p>
        </w:tc>
        <w:tc>
          <w:tcPr>
            <w:tcW w:w="992" w:type="dxa"/>
          </w:tcPr>
          <w:p w14:paraId="512A10EB" w14:textId="09DBCC98" w:rsidR="00A418FC" w:rsidRDefault="00741512" w:rsidP="00635CF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r>
      <w:tr w:rsidR="001F7B71" w:rsidRPr="00260790" w14:paraId="4C73689C" w14:textId="77777777" w:rsidTr="001F7B71">
        <w:trPr>
          <w:trHeight w:val="63"/>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4B46EFFE" w14:textId="77777777" w:rsidR="00A418FC" w:rsidRPr="00EA5752" w:rsidRDefault="00A418FC" w:rsidP="00635CFB">
            <w:pPr>
              <w:spacing w:line="240" w:lineRule="auto"/>
              <w:ind w:left="10" w:hanging="10"/>
              <w:rPr>
                <w:rFonts w:ascii="Times New Roman" w:hAnsi="Times New Roman"/>
                <w:b w:val="0"/>
                <w:bCs w:val="0"/>
                <w:color w:val="000000" w:themeColor="text1"/>
                <w:lang w:val="fr-FR"/>
              </w:rPr>
            </w:pPr>
            <w:r w:rsidRPr="0045100A">
              <w:rPr>
                <w:rFonts w:ascii="Times New Roman" w:hAnsi="Times New Roman"/>
                <w:color w:val="000000" w:themeColor="text1"/>
              </w:rPr>
              <w:t>Service Régional pour le Développement des Territoires (SRDT)</w:t>
            </w:r>
          </w:p>
        </w:tc>
        <w:tc>
          <w:tcPr>
            <w:tcW w:w="1275" w:type="dxa"/>
            <w:vAlign w:val="center"/>
          </w:tcPr>
          <w:p w14:paraId="7B71B9F6" w14:textId="77777777" w:rsidR="00A418FC" w:rsidRPr="00EA5752" w:rsidRDefault="00A418FC" w:rsidP="00635CF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fr-FR"/>
              </w:rPr>
            </w:pPr>
            <w:r w:rsidRPr="0045100A">
              <w:rPr>
                <w:rFonts w:ascii="Times New Roman" w:hAnsi="Times New Roman"/>
                <w:color w:val="000000" w:themeColor="text1"/>
              </w:rPr>
              <w:t>04/11/2024</w:t>
            </w:r>
          </w:p>
        </w:tc>
        <w:tc>
          <w:tcPr>
            <w:tcW w:w="993" w:type="dxa"/>
          </w:tcPr>
          <w:p w14:paraId="54F818A3" w14:textId="3C109656" w:rsidR="00A418FC" w:rsidRPr="0045100A" w:rsidRDefault="00A418FC" w:rsidP="00635CF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c>
          <w:tcPr>
            <w:tcW w:w="992" w:type="dxa"/>
          </w:tcPr>
          <w:p w14:paraId="4CD6123C" w14:textId="636422A7" w:rsidR="00A418FC" w:rsidRPr="0045100A" w:rsidRDefault="00A418FC" w:rsidP="00635CF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00</w:t>
            </w:r>
          </w:p>
        </w:tc>
        <w:tc>
          <w:tcPr>
            <w:tcW w:w="992" w:type="dxa"/>
          </w:tcPr>
          <w:p w14:paraId="57DA90EB" w14:textId="1AA7200B" w:rsidR="00A418FC" w:rsidRDefault="00741512" w:rsidP="00635CF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r>
      <w:tr w:rsidR="001F7B71" w:rsidRPr="00260790" w14:paraId="70B8E746" w14:textId="77777777" w:rsidTr="001F7B71">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7F0308DF" w14:textId="77777777"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 xml:space="preserve">Direction générale de l’Assainissement  </w:t>
            </w:r>
          </w:p>
        </w:tc>
        <w:tc>
          <w:tcPr>
            <w:tcW w:w="1275" w:type="dxa"/>
            <w:vAlign w:val="center"/>
          </w:tcPr>
          <w:p w14:paraId="32785AC8" w14:textId="77777777" w:rsidR="00741512" w:rsidRPr="00EA5752"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fr-FR"/>
              </w:rPr>
            </w:pPr>
            <w:r w:rsidRPr="0045100A">
              <w:rPr>
                <w:rFonts w:ascii="Times New Roman" w:hAnsi="Times New Roman"/>
                <w:color w:val="000000" w:themeColor="text1"/>
              </w:rPr>
              <w:t>05/11/2024</w:t>
            </w:r>
          </w:p>
        </w:tc>
        <w:tc>
          <w:tcPr>
            <w:tcW w:w="993" w:type="dxa"/>
          </w:tcPr>
          <w:p w14:paraId="4E3F8997" w14:textId="13925077"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c>
          <w:tcPr>
            <w:tcW w:w="992" w:type="dxa"/>
          </w:tcPr>
          <w:p w14:paraId="768E4503" w14:textId="6F259901"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00</w:t>
            </w:r>
          </w:p>
        </w:tc>
        <w:tc>
          <w:tcPr>
            <w:tcW w:w="992" w:type="dxa"/>
          </w:tcPr>
          <w:p w14:paraId="3F4010D8" w14:textId="699CA7A1" w:rsidR="00741512"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r>
      <w:tr w:rsidR="001F7B71" w:rsidRPr="00260790" w14:paraId="42892EA9" w14:textId="77777777" w:rsidTr="001F7B71">
        <w:trPr>
          <w:trHeight w:val="62"/>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05E057F3" w14:textId="77777777"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 xml:space="preserve">APIX </w:t>
            </w:r>
          </w:p>
        </w:tc>
        <w:tc>
          <w:tcPr>
            <w:tcW w:w="1275" w:type="dxa"/>
            <w:vAlign w:val="center"/>
          </w:tcPr>
          <w:p w14:paraId="0A9AA859" w14:textId="77777777" w:rsidR="00741512" w:rsidRPr="00EA5752"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fr-FR"/>
              </w:rPr>
            </w:pPr>
            <w:r w:rsidRPr="0045100A">
              <w:rPr>
                <w:rFonts w:ascii="Times New Roman" w:hAnsi="Times New Roman"/>
                <w:color w:val="000000" w:themeColor="text1"/>
              </w:rPr>
              <w:t>07/11/2024</w:t>
            </w:r>
          </w:p>
        </w:tc>
        <w:tc>
          <w:tcPr>
            <w:tcW w:w="993" w:type="dxa"/>
          </w:tcPr>
          <w:p w14:paraId="6A39121B" w14:textId="106BA8E9"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c>
          <w:tcPr>
            <w:tcW w:w="992" w:type="dxa"/>
          </w:tcPr>
          <w:p w14:paraId="2A78835B" w14:textId="0D3BBB8E"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00</w:t>
            </w:r>
          </w:p>
        </w:tc>
        <w:tc>
          <w:tcPr>
            <w:tcW w:w="992" w:type="dxa"/>
          </w:tcPr>
          <w:p w14:paraId="38E71D25" w14:textId="39D7AB66" w:rsidR="00741512"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r>
      <w:tr w:rsidR="001F7B71" w:rsidRPr="00260790" w14:paraId="661074C5" w14:textId="77777777" w:rsidTr="001F7B71">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6E028D74" w14:textId="77777777"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 xml:space="preserve">SONATEL </w:t>
            </w:r>
          </w:p>
        </w:tc>
        <w:tc>
          <w:tcPr>
            <w:tcW w:w="1275" w:type="dxa"/>
            <w:vAlign w:val="center"/>
          </w:tcPr>
          <w:p w14:paraId="72F97F2B" w14:textId="77777777" w:rsidR="00741512" w:rsidRPr="00EA5752"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fr-FR"/>
              </w:rPr>
            </w:pPr>
            <w:r w:rsidRPr="0045100A">
              <w:rPr>
                <w:rFonts w:ascii="Times New Roman" w:hAnsi="Times New Roman"/>
                <w:color w:val="000000" w:themeColor="text1"/>
              </w:rPr>
              <w:t>07/11/2024</w:t>
            </w:r>
          </w:p>
        </w:tc>
        <w:tc>
          <w:tcPr>
            <w:tcW w:w="993" w:type="dxa"/>
          </w:tcPr>
          <w:p w14:paraId="68908157" w14:textId="4796DFF2"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c>
          <w:tcPr>
            <w:tcW w:w="992" w:type="dxa"/>
          </w:tcPr>
          <w:p w14:paraId="0ABED607" w14:textId="021A2AF3"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00</w:t>
            </w:r>
          </w:p>
        </w:tc>
        <w:tc>
          <w:tcPr>
            <w:tcW w:w="992" w:type="dxa"/>
          </w:tcPr>
          <w:p w14:paraId="3C503CE3" w14:textId="21D72EB7" w:rsidR="00741512"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r>
      <w:tr w:rsidR="001F7B71" w:rsidRPr="00260790" w14:paraId="74B92F51" w14:textId="77777777" w:rsidTr="001F7B71">
        <w:trPr>
          <w:trHeight w:val="284"/>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77F2F0E4" w14:textId="77777777"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 xml:space="preserve">Direction de la Gestion et de la Prévention des Inondations (DGPI) </w:t>
            </w:r>
          </w:p>
        </w:tc>
        <w:tc>
          <w:tcPr>
            <w:tcW w:w="1275" w:type="dxa"/>
            <w:vAlign w:val="center"/>
          </w:tcPr>
          <w:p w14:paraId="3E104839" w14:textId="77777777" w:rsidR="00741512" w:rsidRPr="00EA5752"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fr-FR"/>
              </w:rPr>
            </w:pPr>
            <w:r w:rsidRPr="0045100A">
              <w:rPr>
                <w:rFonts w:ascii="Times New Roman" w:hAnsi="Times New Roman"/>
                <w:color w:val="000000" w:themeColor="text1"/>
              </w:rPr>
              <w:t>07/11/2024</w:t>
            </w:r>
          </w:p>
        </w:tc>
        <w:tc>
          <w:tcPr>
            <w:tcW w:w="993" w:type="dxa"/>
          </w:tcPr>
          <w:p w14:paraId="11AF940B" w14:textId="40EE4C32"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c>
          <w:tcPr>
            <w:tcW w:w="992" w:type="dxa"/>
          </w:tcPr>
          <w:p w14:paraId="17CF1B9A" w14:textId="10EE028B"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00</w:t>
            </w:r>
          </w:p>
        </w:tc>
        <w:tc>
          <w:tcPr>
            <w:tcW w:w="992" w:type="dxa"/>
          </w:tcPr>
          <w:p w14:paraId="2B01F3C5" w14:textId="5727E0F8" w:rsidR="00741512"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r>
      <w:tr w:rsidR="001F7B71" w:rsidRPr="00260790" w14:paraId="351C2639" w14:textId="77777777" w:rsidTr="001F7B71">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059BAE9D" w14:textId="77777777"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 xml:space="preserve">SENELEC  </w:t>
            </w:r>
          </w:p>
        </w:tc>
        <w:tc>
          <w:tcPr>
            <w:tcW w:w="1275" w:type="dxa"/>
            <w:vAlign w:val="center"/>
          </w:tcPr>
          <w:p w14:paraId="408681E5" w14:textId="77777777" w:rsidR="00741512" w:rsidRPr="00EA5752"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fr-FR"/>
              </w:rPr>
            </w:pPr>
            <w:r w:rsidRPr="0045100A">
              <w:rPr>
                <w:rFonts w:ascii="Times New Roman" w:hAnsi="Times New Roman"/>
                <w:color w:val="000000" w:themeColor="text1"/>
              </w:rPr>
              <w:t>08/11/2024</w:t>
            </w:r>
          </w:p>
        </w:tc>
        <w:tc>
          <w:tcPr>
            <w:tcW w:w="993" w:type="dxa"/>
          </w:tcPr>
          <w:p w14:paraId="03320543" w14:textId="15E459F4"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c>
          <w:tcPr>
            <w:tcW w:w="992" w:type="dxa"/>
          </w:tcPr>
          <w:p w14:paraId="3100915D" w14:textId="745B95BE"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00</w:t>
            </w:r>
          </w:p>
        </w:tc>
        <w:tc>
          <w:tcPr>
            <w:tcW w:w="992" w:type="dxa"/>
          </w:tcPr>
          <w:p w14:paraId="420A641C" w14:textId="2FEE76AB" w:rsidR="00741512"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r>
      <w:tr w:rsidR="001F7B71" w:rsidRPr="00260790" w14:paraId="37469D80" w14:textId="77777777" w:rsidTr="001F7B71">
        <w:trPr>
          <w:trHeight w:val="272"/>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00FE2343" w14:textId="77777777"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 xml:space="preserve">SEN EAU </w:t>
            </w:r>
          </w:p>
        </w:tc>
        <w:tc>
          <w:tcPr>
            <w:tcW w:w="1275" w:type="dxa"/>
            <w:vAlign w:val="center"/>
          </w:tcPr>
          <w:p w14:paraId="309B6CE0" w14:textId="77777777" w:rsidR="00741512" w:rsidRPr="00EA5752"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fr-FR"/>
              </w:rPr>
            </w:pPr>
            <w:r w:rsidRPr="0045100A">
              <w:rPr>
                <w:rFonts w:ascii="Times New Roman" w:hAnsi="Times New Roman"/>
                <w:color w:val="000000" w:themeColor="text1"/>
              </w:rPr>
              <w:t>08/11/2024</w:t>
            </w:r>
          </w:p>
        </w:tc>
        <w:tc>
          <w:tcPr>
            <w:tcW w:w="993" w:type="dxa"/>
          </w:tcPr>
          <w:p w14:paraId="55AC954E" w14:textId="788C8B63"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c>
          <w:tcPr>
            <w:tcW w:w="992" w:type="dxa"/>
          </w:tcPr>
          <w:p w14:paraId="58E8C510" w14:textId="42CC4E6C"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00</w:t>
            </w:r>
          </w:p>
        </w:tc>
        <w:tc>
          <w:tcPr>
            <w:tcW w:w="992" w:type="dxa"/>
          </w:tcPr>
          <w:p w14:paraId="2D0290DC" w14:textId="6A4B392A" w:rsidR="00741512"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r>
      <w:tr w:rsidR="001F7B71" w:rsidRPr="00260790" w14:paraId="253E611A" w14:textId="77777777" w:rsidTr="001F7B7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567F855D" w14:textId="77777777"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 xml:space="preserve">AGEROUTE </w:t>
            </w:r>
          </w:p>
        </w:tc>
        <w:tc>
          <w:tcPr>
            <w:tcW w:w="1275" w:type="dxa"/>
            <w:vAlign w:val="center"/>
          </w:tcPr>
          <w:p w14:paraId="752C2E8D" w14:textId="77777777" w:rsidR="00741512" w:rsidRPr="00EA5752"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fr-FR"/>
              </w:rPr>
            </w:pPr>
            <w:r w:rsidRPr="0045100A">
              <w:rPr>
                <w:rFonts w:ascii="Times New Roman" w:hAnsi="Times New Roman"/>
                <w:color w:val="000000" w:themeColor="text1"/>
              </w:rPr>
              <w:t>11/11/2024</w:t>
            </w:r>
          </w:p>
        </w:tc>
        <w:tc>
          <w:tcPr>
            <w:tcW w:w="993" w:type="dxa"/>
          </w:tcPr>
          <w:p w14:paraId="3B02DB66" w14:textId="32E97002"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c>
          <w:tcPr>
            <w:tcW w:w="992" w:type="dxa"/>
          </w:tcPr>
          <w:p w14:paraId="77A79B6A" w14:textId="407AD059"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00</w:t>
            </w:r>
          </w:p>
        </w:tc>
        <w:tc>
          <w:tcPr>
            <w:tcW w:w="992" w:type="dxa"/>
          </w:tcPr>
          <w:p w14:paraId="1B453FA8" w14:textId="62DCDF31" w:rsidR="00741512"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r>
      <w:tr w:rsidR="001F7B71" w:rsidRPr="00260790" w14:paraId="6CB3BDE2" w14:textId="77777777" w:rsidTr="001F7B71">
        <w:trPr>
          <w:trHeight w:val="63"/>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0F2C337B" w14:textId="77777777"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 xml:space="preserve">ONAS </w:t>
            </w:r>
          </w:p>
        </w:tc>
        <w:tc>
          <w:tcPr>
            <w:tcW w:w="1275" w:type="dxa"/>
            <w:vAlign w:val="center"/>
          </w:tcPr>
          <w:p w14:paraId="2DBFA052" w14:textId="77777777" w:rsidR="00741512" w:rsidRPr="00EA5752"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fr-FR"/>
              </w:rPr>
            </w:pPr>
            <w:r w:rsidRPr="0045100A">
              <w:rPr>
                <w:rFonts w:ascii="Times New Roman" w:hAnsi="Times New Roman"/>
                <w:color w:val="000000" w:themeColor="text1"/>
              </w:rPr>
              <w:t>13/11/2024</w:t>
            </w:r>
          </w:p>
        </w:tc>
        <w:tc>
          <w:tcPr>
            <w:tcW w:w="993" w:type="dxa"/>
          </w:tcPr>
          <w:p w14:paraId="2B762AD4" w14:textId="4297B515"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c>
          <w:tcPr>
            <w:tcW w:w="992" w:type="dxa"/>
          </w:tcPr>
          <w:p w14:paraId="6F55D3F7" w14:textId="510ABCCC"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00</w:t>
            </w:r>
          </w:p>
        </w:tc>
        <w:tc>
          <w:tcPr>
            <w:tcW w:w="992" w:type="dxa"/>
          </w:tcPr>
          <w:p w14:paraId="6D4C51D6" w14:textId="4E6B39F6" w:rsidR="00741512"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r>
      <w:tr w:rsidR="001F7B71" w:rsidRPr="00260790" w14:paraId="38EFB586" w14:textId="77777777" w:rsidTr="001F7B71">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1A59A2A2" w14:textId="77777777"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 xml:space="preserve">Inspection régionale du travail et de la Sécurité sociale (IRTSS)  </w:t>
            </w:r>
          </w:p>
        </w:tc>
        <w:tc>
          <w:tcPr>
            <w:tcW w:w="1275" w:type="dxa"/>
            <w:vAlign w:val="center"/>
          </w:tcPr>
          <w:p w14:paraId="7BC0D500" w14:textId="77777777" w:rsidR="00741512" w:rsidRPr="00EA5752"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fr-FR"/>
              </w:rPr>
            </w:pPr>
            <w:r w:rsidRPr="0045100A">
              <w:rPr>
                <w:rFonts w:ascii="Times New Roman" w:hAnsi="Times New Roman"/>
                <w:color w:val="000000" w:themeColor="text1"/>
              </w:rPr>
              <w:t>11/11/2024</w:t>
            </w:r>
          </w:p>
        </w:tc>
        <w:tc>
          <w:tcPr>
            <w:tcW w:w="993" w:type="dxa"/>
          </w:tcPr>
          <w:p w14:paraId="2FB84B06" w14:textId="23F9B39B"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c>
          <w:tcPr>
            <w:tcW w:w="992" w:type="dxa"/>
          </w:tcPr>
          <w:p w14:paraId="4C22FFEB" w14:textId="3D6BFE73"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00</w:t>
            </w:r>
          </w:p>
        </w:tc>
        <w:tc>
          <w:tcPr>
            <w:tcW w:w="992" w:type="dxa"/>
          </w:tcPr>
          <w:p w14:paraId="641D9826" w14:textId="029B6012" w:rsidR="00741512"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r>
      <w:tr w:rsidR="001F7B71" w:rsidRPr="00260790" w14:paraId="0545FF1C" w14:textId="77777777" w:rsidTr="001F7B71">
        <w:trPr>
          <w:trHeight w:val="272"/>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7C9D6F7C" w14:textId="77777777"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eastAsia="Times New Roman" w:hAnsi="Times New Roman"/>
                <w:color w:val="000000" w:themeColor="text1"/>
              </w:rPr>
              <w:t xml:space="preserve">Direction Générale de l'Urbanisme et de !'Architecture </w:t>
            </w:r>
            <w:r w:rsidRPr="0045100A">
              <w:rPr>
                <w:rFonts w:ascii="Times New Roman" w:hAnsi="Times New Roman"/>
                <w:color w:val="000000" w:themeColor="text1"/>
              </w:rPr>
              <w:t xml:space="preserve">(DGUA) </w:t>
            </w:r>
          </w:p>
        </w:tc>
        <w:tc>
          <w:tcPr>
            <w:tcW w:w="1275" w:type="dxa"/>
            <w:vAlign w:val="center"/>
          </w:tcPr>
          <w:p w14:paraId="3ECAE135" w14:textId="77777777" w:rsidR="00741512" w:rsidRPr="00EA5752"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fr-FR"/>
              </w:rPr>
            </w:pPr>
            <w:r w:rsidRPr="0045100A">
              <w:rPr>
                <w:rFonts w:ascii="Times New Roman" w:hAnsi="Times New Roman"/>
                <w:color w:val="000000" w:themeColor="text1"/>
              </w:rPr>
              <w:t>13/11/2024</w:t>
            </w:r>
          </w:p>
        </w:tc>
        <w:tc>
          <w:tcPr>
            <w:tcW w:w="993" w:type="dxa"/>
          </w:tcPr>
          <w:p w14:paraId="082E7D28" w14:textId="730D6401"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c>
          <w:tcPr>
            <w:tcW w:w="992" w:type="dxa"/>
          </w:tcPr>
          <w:p w14:paraId="7A842545" w14:textId="63C27F95"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00</w:t>
            </w:r>
          </w:p>
        </w:tc>
        <w:tc>
          <w:tcPr>
            <w:tcW w:w="992" w:type="dxa"/>
          </w:tcPr>
          <w:p w14:paraId="295CA9C5" w14:textId="1DC153E1" w:rsidR="00741512"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r>
      <w:tr w:rsidR="001F7B71" w:rsidRPr="00260790" w14:paraId="01D3495C" w14:textId="77777777" w:rsidTr="001F7B71">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43AAE68A" w14:textId="77777777"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 xml:space="preserve">Direction de la Protection civile (DPC) </w:t>
            </w:r>
          </w:p>
        </w:tc>
        <w:tc>
          <w:tcPr>
            <w:tcW w:w="1275" w:type="dxa"/>
            <w:vAlign w:val="center"/>
          </w:tcPr>
          <w:p w14:paraId="0E5B1E4B" w14:textId="77777777" w:rsidR="00741512" w:rsidRPr="00EA5752"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fr-FR"/>
              </w:rPr>
            </w:pPr>
            <w:r w:rsidRPr="0045100A">
              <w:rPr>
                <w:rFonts w:ascii="Times New Roman" w:hAnsi="Times New Roman"/>
                <w:color w:val="000000" w:themeColor="text1"/>
              </w:rPr>
              <w:t>14/11/2024</w:t>
            </w:r>
          </w:p>
        </w:tc>
        <w:tc>
          <w:tcPr>
            <w:tcW w:w="993" w:type="dxa"/>
          </w:tcPr>
          <w:p w14:paraId="58A5D4C6" w14:textId="37A575AF"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c>
          <w:tcPr>
            <w:tcW w:w="992" w:type="dxa"/>
          </w:tcPr>
          <w:p w14:paraId="6CE08C3D" w14:textId="61A08C65"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00</w:t>
            </w:r>
          </w:p>
        </w:tc>
        <w:tc>
          <w:tcPr>
            <w:tcW w:w="992" w:type="dxa"/>
          </w:tcPr>
          <w:p w14:paraId="3543CB1B" w14:textId="1CBBA134" w:rsidR="00741512"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r>
      <w:tr w:rsidR="001F7B71" w:rsidRPr="00260790" w14:paraId="4F16E7A6" w14:textId="77777777" w:rsidTr="001F7B71">
        <w:trPr>
          <w:trHeight w:val="63"/>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71E5D004" w14:textId="77777777"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Service régional de l’Aménagement du Territoire (SRAT)</w:t>
            </w:r>
          </w:p>
        </w:tc>
        <w:tc>
          <w:tcPr>
            <w:tcW w:w="1275" w:type="dxa"/>
            <w:vAlign w:val="center"/>
          </w:tcPr>
          <w:p w14:paraId="186A0B16" w14:textId="77777777" w:rsidR="00741512" w:rsidRPr="00EA5752"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fr-FR"/>
              </w:rPr>
            </w:pPr>
            <w:r w:rsidRPr="0045100A">
              <w:rPr>
                <w:rFonts w:ascii="Times New Roman" w:hAnsi="Times New Roman"/>
                <w:color w:val="000000" w:themeColor="text1"/>
              </w:rPr>
              <w:t>06/11/2024</w:t>
            </w:r>
          </w:p>
        </w:tc>
        <w:tc>
          <w:tcPr>
            <w:tcW w:w="993" w:type="dxa"/>
          </w:tcPr>
          <w:p w14:paraId="3738188B" w14:textId="6736E604"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c>
          <w:tcPr>
            <w:tcW w:w="992" w:type="dxa"/>
          </w:tcPr>
          <w:p w14:paraId="7E126642" w14:textId="402313CD"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00</w:t>
            </w:r>
          </w:p>
        </w:tc>
        <w:tc>
          <w:tcPr>
            <w:tcW w:w="992" w:type="dxa"/>
          </w:tcPr>
          <w:p w14:paraId="41170A8C" w14:textId="652416CA" w:rsidR="00741512"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r>
      <w:tr w:rsidR="001F7B71" w:rsidRPr="00260790" w14:paraId="0D0E8ADE" w14:textId="77777777" w:rsidTr="001F7B71">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01B7FA96" w14:textId="77777777"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eastAsia="Times New Roman" w:hAnsi="Times New Roman"/>
                <w:color w:val="000000" w:themeColor="text1"/>
              </w:rPr>
              <w:t>Direction de la Gestion et de la Planification des Ressources en Eau</w:t>
            </w:r>
            <w:r w:rsidRPr="0045100A">
              <w:rPr>
                <w:rFonts w:ascii="Times New Roman" w:hAnsi="Times New Roman"/>
                <w:color w:val="000000" w:themeColor="text1"/>
              </w:rPr>
              <w:t xml:space="preserve"> (DGPRE) </w:t>
            </w:r>
          </w:p>
        </w:tc>
        <w:tc>
          <w:tcPr>
            <w:tcW w:w="1275" w:type="dxa"/>
            <w:vAlign w:val="center"/>
          </w:tcPr>
          <w:p w14:paraId="0A14FAF4" w14:textId="77777777" w:rsidR="00741512" w:rsidRPr="00EA5752"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fr-FR"/>
              </w:rPr>
            </w:pPr>
            <w:r w:rsidRPr="0045100A">
              <w:rPr>
                <w:rFonts w:ascii="Times New Roman" w:hAnsi="Times New Roman"/>
                <w:color w:val="000000" w:themeColor="text1"/>
              </w:rPr>
              <w:t>18/11/2024</w:t>
            </w:r>
          </w:p>
        </w:tc>
        <w:tc>
          <w:tcPr>
            <w:tcW w:w="993" w:type="dxa"/>
          </w:tcPr>
          <w:p w14:paraId="61EC076E" w14:textId="1CBB6BFA"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c>
          <w:tcPr>
            <w:tcW w:w="992" w:type="dxa"/>
          </w:tcPr>
          <w:p w14:paraId="36E5FEEA" w14:textId="5D2A1AC1"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00</w:t>
            </w:r>
          </w:p>
        </w:tc>
        <w:tc>
          <w:tcPr>
            <w:tcW w:w="992" w:type="dxa"/>
          </w:tcPr>
          <w:p w14:paraId="1C6F941A" w14:textId="348B277D" w:rsidR="00741512"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r>
      <w:tr w:rsidR="001F7B71" w:rsidRPr="00260790" w14:paraId="1D6BD726" w14:textId="77777777" w:rsidTr="001F7B71">
        <w:trPr>
          <w:trHeight w:val="63"/>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7E04CDB0" w14:textId="77777777" w:rsidR="00741512" w:rsidRPr="00EA5752" w:rsidRDefault="00741512" w:rsidP="00741512">
            <w:pPr>
              <w:spacing w:line="240" w:lineRule="auto"/>
              <w:ind w:left="10" w:hanging="10"/>
              <w:rPr>
                <w:rFonts w:ascii="Times New Roman" w:hAnsi="Times New Roman"/>
                <w:b w:val="0"/>
                <w:bCs w:val="0"/>
                <w:color w:val="000000" w:themeColor="text1"/>
                <w:lang w:val="fr-FR"/>
              </w:rPr>
            </w:pPr>
            <w:r w:rsidRPr="0045100A">
              <w:rPr>
                <w:rFonts w:ascii="Times New Roman" w:hAnsi="Times New Roman"/>
                <w:color w:val="000000" w:themeColor="text1"/>
              </w:rPr>
              <w:t xml:space="preserve">ASECNA </w:t>
            </w:r>
          </w:p>
        </w:tc>
        <w:tc>
          <w:tcPr>
            <w:tcW w:w="1275" w:type="dxa"/>
            <w:vAlign w:val="center"/>
          </w:tcPr>
          <w:p w14:paraId="1953C762" w14:textId="77777777" w:rsidR="00741512" w:rsidRPr="00EA5752"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fr-FR"/>
              </w:rPr>
            </w:pPr>
            <w:r w:rsidRPr="0045100A">
              <w:rPr>
                <w:rFonts w:ascii="Times New Roman" w:hAnsi="Times New Roman"/>
                <w:color w:val="000000" w:themeColor="text1"/>
              </w:rPr>
              <w:t>20/11/2024</w:t>
            </w:r>
          </w:p>
        </w:tc>
        <w:tc>
          <w:tcPr>
            <w:tcW w:w="993" w:type="dxa"/>
          </w:tcPr>
          <w:p w14:paraId="3E14CA67" w14:textId="33513C26"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c>
          <w:tcPr>
            <w:tcW w:w="992" w:type="dxa"/>
          </w:tcPr>
          <w:p w14:paraId="3EA5960D" w14:textId="4E7D5612"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00</w:t>
            </w:r>
          </w:p>
        </w:tc>
        <w:tc>
          <w:tcPr>
            <w:tcW w:w="992" w:type="dxa"/>
          </w:tcPr>
          <w:p w14:paraId="154F2367" w14:textId="5976B3A9" w:rsidR="00741512"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01</w:t>
            </w:r>
          </w:p>
        </w:tc>
      </w:tr>
      <w:tr w:rsidR="001F7B71" w:rsidRPr="00260790" w14:paraId="3858664F" w14:textId="77777777" w:rsidTr="001F7B71">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7DBEAEA2" w14:textId="77777777"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CDREI / Préfecture de Keur Massar</w:t>
            </w:r>
          </w:p>
        </w:tc>
        <w:tc>
          <w:tcPr>
            <w:tcW w:w="1275" w:type="dxa"/>
            <w:vAlign w:val="center"/>
          </w:tcPr>
          <w:p w14:paraId="173E7A82" w14:textId="77777777" w:rsidR="00741512" w:rsidRPr="00EA5752"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fr-FR"/>
              </w:rPr>
            </w:pPr>
            <w:r w:rsidRPr="0045100A">
              <w:rPr>
                <w:rFonts w:ascii="Times New Roman" w:hAnsi="Times New Roman"/>
                <w:color w:val="000000" w:themeColor="text1"/>
              </w:rPr>
              <w:t>21/09/2024</w:t>
            </w:r>
          </w:p>
        </w:tc>
        <w:tc>
          <w:tcPr>
            <w:tcW w:w="993" w:type="dxa"/>
          </w:tcPr>
          <w:p w14:paraId="52EE983B" w14:textId="4B084ACE"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eastAsiaTheme="minorHAnsi" w:hAnsi="Times New Roman"/>
                <w:color w:val="000000" w:themeColor="text1"/>
              </w:rPr>
              <w:t>01</w:t>
            </w:r>
          </w:p>
        </w:tc>
        <w:tc>
          <w:tcPr>
            <w:tcW w:w="992" w:type="dxa"/>
          </w:tcPr>
          <w:p w14:paraId="2652E275" w14:textId="182A8F97"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eastAsiaTheme="minorHAnsi" w:hAnsi="Times New Roman"/>
                <w:color w:val="000000" w:themeColor="text1"/>
              </w:rPr>
              <w:t>00</w:t>
            </w:r>
          </w:p>
        </w:tc>
        <w:tc>
          <w:tcPr>
            <w:tcW w:w="992" w:type="dxa"/>
          </w:tcPr>
          <w:p w14:paraId="02DE15B4" w14:textId="39D73EA6" w:rsidR="00741512"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01</w:t>
            </w:r>
          </w:p>
        </w:tc>
      </w:tr>
      <w:tr w:rsidR="001F7B71" w:rsidRPr="00260790" w14:paraId="5F4A1262" w14:textId="77777777" w:rsidTr="001F7B71">
        <w:trPr>
          <w:trHeight w:val="63"/>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5958BEC8" w14:textId="77777777"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Commune de Keur Massar Sud</w:t>
            </w:r>
          </w:p>
        </w:tc>
        <w:tc>
          <w:tcPr>
            <w:tcW w:w="1275" w:type="dxa"/>
            <w:vAlign w:val="center"/>
          </w:tcPr>
          <w:p w14:paraId="3C9BF784" w14:textId="5490DAAF" w:rsidR="00741512" w:rsidRPr="00EA5752"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fr-FR"/>
              </w:rPr>
            </w:pPr>
            <w:r>
              <w:rPr>
                <w:rFonts w:ascii="Times New Roman" w:eastAsiaTheme="minorHAnsi" w:hAnsi="Times New Roman"/>
                <w:color w:val="000000" w:themeColor="text1"/>
              </w:rPr>
              <w:t>06</w:t>
            </w:r>
            <w:r w:rsidRPr="0045100A">
              <w:rPr>
                <w:rFonts w:ascii="Times New Roman" w:eastAsiaTheme="minorHAnsi" w:hAnsi="Times New Roman"/>
                <w:color w:val="000000" w:themeColor="text1"/>
              </w:rPr>
              <w:t>/0</w:t>
            </w:r>
            <w:r>
              <w:rPr>
                <w:rFonts w:ascii="Times New Roman" w:eastAsiaTheme="minorHAnsi" w:hAnsi="Times New Roman"/>
                <w:color w:val="000000" w:themeColor="text1"/>
              </w:rPr>
              <w:t>4</w:t>
            </w:r>
            <w:r w:rsidRPr="0045100A">
              <w:rPr>
                <w:rFonts w:ascii="Times New Roman" w:eastAsiaTheme="minorHAnsi" w:hAnsi="Times New Roman"/>
                <w:color w:val="000000" w:themeColor="text1"/>
              </w:rPr>
              <w:t>/2025</w:t>
            </w:r>
          </w:p>
        </w:tc>
        <w:tc>
          <w:tcPr>
            <w:tcW w:w="993" w:type="dxa"/>
          </w:tcPr>
          <w:p w14:paraId="46735C45" w14:textId="790D1FF8"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32</w:t>
            </w:r>
          </w:p>
        </w:tc>
        <w:tc>
          <w:tcPr>
            <w:tcW w:w="992" w:type="dxa"/>
          </w:tcPr>
          <w:p w14:paraId="52A78A53" w14:textId="17DE1562"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09</w:t>
            </w:r>
          </w:p>
        </w:tc>
        <w:tc>
          <w:tcPr>
            <w:tcW w:w="992" w:type="dxa"/>
          </w:tcPr>
          <w:p w14:paraId="4748942F" w14:textId="4C0F42C4" w:rsidR="00741512"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41</w:t>
            </w:r>
          </w:p>
        </w:tc>
      </w:tr>
      <w:tr w:rsidR="001F7B71" w:rsidRPr="00260790" w14:paraId="2B6727AB" w14:textId="77777777" w:rsidTr="001F7B71">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3F277225" w14:textId="77777777"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Commune de Rufisque Ouest</w:t>
            </w:r>
          </w:p>
        </w:tc>
        <w:tc>
          <w:tcPr>
            <w:tcW w:w="1275" w:type="dxa"/>
            <w:vAlign w:val="center"/>
          </w:tcPr>
          <w:p w14:paraId="6752D9D8" w14:textId="77777777" w:rsidR="00741512" w:rsidRPr="00EA5752"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fr-FR"/>
              </w:rPr>
            </w:pPr>
            <w:r w:rsidRPr="0045100A">
              <w:rPr>
                <w:rFonts w:ascii="Times New Roman" w:hAnsi="Times New Roman"/>
                <w:color w:val="000000" w:themeColor="text1"/>
              </w:rPr>
              <w:t>28/12/2024</w:t>
            </w:r>
          </w:p>
        </w:tc>
        <w:tc>
          <w:tcPr>
            <w:tcW w:w="993" w:type="dxa"/>
          </w:tcPr>
          <w:p w14:paraId="707C280E" w14:textId="3970DFB0"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22</w:t>
            </w:r>
          </w:p>
        </w:tc>
        <w:tc>
          <w:tcPr>
            <w:tcW w:w="992" w:type="dxa"/>
          </w:tcPr>
          <w:p w14:paraId="66199333" w14:textId="5C098E82"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02</w:t>
            </w:r>
          </w:p>
        </w:tc>
        <w:tc>
          <w:tcPr>
            <w:tcW w:w="992" w:type="dxa"/>
          </w:tcPr>
          <w:p w14:paraId="73DDC8BD" w14:textId="132F6385" w:rsidR="00741512"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24</w:t>
            </w:r>
          </w:p>
        </w:tc>
      </w:tr>
      <w:tr w:rsidR="001F7B71" w:rsidRPr="00260790" w14:paraId="7C4B35A6" w14:textId="77777777" w:rsidTr="001F7B71">
        <w:trPr>
          <w:trHeight w:val="63"/>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388AEE67" w14:textId="52C4EB97" w:rsidR="00741512" w:rsidRPr="00EA5752" w:rsidRDefault="00741512" w:rsidP="00741512">
            <w:pPr>
              <w:spacing w:line="240" w:lineRule="auto"/>
              <w:rPr>
                <w:rFonts w:ascii="Times New Roman" w:hAnsi="Times New Roman"/>
                <w:color w:val="000000" w:themeColor="text1"/>
                <w:lang w:val="fr-FR"/>
              </w:rPr>
            </w:pPr>
            <w:r w:rsidRPr="0045100A">
              <w:rPr>
                <w:rFonts w:ascii="Times New Roman" w:hAnsi="Times New Roman"/>
                <w:color w:val="000000" w:themeColor="text1"/>
              </w:rPr>
              <w:t xml:space="preserve">Commune de </w:t>
            </w:r>
            <w:proofErr w:type="spellStart"/>
            <w:r w:rsidRPr="0045100A">
              <w:rPr>
                <w:rFonts w:ascii="Times New Roman" w:hAnsi="Times New Roman"/>
                <w:color w:val="000000" w:themeColor="text1"/>
              </w:rPr>
              <w:t>Jaxaay</w:t>
            </w:r>
            <w:proofErr w:type="spellEnd"/>
            <w:r>
              <w:rPr>
                <w:rFonts w:ascii="Times New Roman" w:hAnsi="Times New Roman"/>
                <w:color w:val="000000" w:themeColor="text1"/>
              </w:rPr>
              <w:t xml:space="preserve"> (SM)</w:t>
            </w:r>
          </w:p>
        </w:tc>
        <w:tc>
          <w:tcPr>
            <w:tcW w:w="1275" w:type="dxa"/>
            <w:vAlign w:val="center"/>
          </w:tcPr>
          <w:p w14:paraId="44E8B5D1" w14:textId="77777777" w:rsidR="00741512" w:rsidRPr="00EA5752"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fr-FR"/>
              </w:rPr>
            </w:pPr>
            <w:r w:rsidRPr="0045100A">
              <w:rPr>
                <w:rFonts w:ascii="Times New Roman" w:eastAsiaTheme="minorHAnsi" w:hAnsi="Times New Roman"/>
                <w:color w:val="000000" w:themeColor="text1"/>
              </w:rPr>
              <w:t>07/10/2024</w:t>
            </w:r>
          </w:p>
        </w:tc>
        <w:tc>
          <w:tcPr>
            <w:tcW w:w="993" w:type="dxa"/>
          </w:tcPr>
          <w:p w14:paraId="2E93E8F2" w14:textId="566A0F56"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01</w:t>
            </w:r>
          </w:p>
        </w:tc>
        <w:tc>
          <w:tcPr>
            <w:tcW w:w="992" w:type="dxa"/>
          </w:tcPr>
          <w:p w14:paraId="7B5C5378" w14:textId="23786BD0"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00</w:t>
            </w:r>
          </w:p>
        </w:tc>
        <w:tc>
          <w:tcPr>
            <w:tcW w:w="992" w:type="dxa"/>
          </w:tcPr>
          <w:p w14:paraId="29D0459E" w14:textId="5ACB7072" w:rsidR="00741512"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01</w:t>
            </w:r>
          </w:p>
        </w:tc>
      </w:tr>
      <w:tr w:rsidR="001F7B71" w:rsidRPr="00260790" w14:paraId="1DE44BEC" w14:textId="77777777" w:rsidTr="001F7B71">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7D620115" w14:textId="77777777"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 xml:space="preserve">Commune de Mbao </w:t>
            </w:r>
          </w:p>
        </w:tc>
        <w:tc>
          <w:tcPr>
            <w:tcW w:w="1275" w:type="dxa"/>
            <w:vAlign w:val="center"/>
          </w:tcPr>
          <w:p w14:paraId="33D08EE5" w14:textId="77777777" w:rsidR="00741512" w:rsidRPr="00EA5752"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lang w:val="fr-FR"/>
              </w:rPr>
            </w:pPr>
            <w:r w:rsidRPr="0045100A">
              <w:rPr>
                <w:rFonts w:ascii="Times New Roman" w:eastAsiaTheme="minorHAnsi" w:hAnsi="Times New Roman"/>
                <w:color w:val="000000" w:themeColor="text1"/>
              </w:rPr>
              <w:t>24/03/2025</w:t>
            </w:r>
          </w:p>
        </w:tc>
        <w:tc>
          <w:tcPr>
            <w:tcW w:w="993" w:type="dxa"/>
          </w:tcPr>
          <w:p w14:paraId="6306C23A" w14:textId="63CB7C3F"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33</w:t>
            </w:r>
          </w:p>
        </w:tc>
        <w:tc>
          <w:tcPr>
            <w:tcW w:w="992" w:type="dxa"/>
          </w:tcPr>
          <w:p w14:paraId="15561F83" w14:textId="76E8F6B2"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14</w:t>
            </w:r>
          </w:p>
        </w:tc>
        <w:tc>
          <w:tcPr>
            <w:tcW w:w="992" w:type="dxa"/>
          </w:tcPr>
          <w:p w14:paraId="246C6C13" w14:textId="7AEE6998" w:rsidR="00741512"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47</w:t>
            </w:r>
          </w:p>
        </w:tc>
      </w:tr>
      <w:tr w:rsidR="001F7B71" w:rsidRPr="00260790" w14:paraId="33B752CA" w14:textId="77777777" w:rsidTr="001F7B71">
        <w:trPr>
          <w:trHeight w:val="63"/>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3A7A4400" w14:textId="7C3FA206"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 xml:space="preserve">Commune de Tivaouane Peulh </w:t>
            </w:r>
            <w:r>
              <w:rPr>
                <w:rFonts w:ascii="Times New Roman" w:hAnsi="Times New Roman"/>
                <w:color w:val="000000" w:themeColor="text1"/>
              </w:rPr>
              <w:t>(Maire)</w:t>
            </w:r>
          </w:p>
        </w:tc>
        <w:tc>
          <w:tcPr>
            <w:tcW w:w="1275" w:type="dxa"/>
            <w:vAlign w:val="center"/>
          </w:tcPr>
          <w:p w14:paraId="7F8F9421" w14:textId="77777777" w:rsidR="00741512" w:rsidRPr="00EA5752"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lang w:val="fr-FR"/>
              </w:rPr>
            </w:pPr>
            <w:r w:rsidRPr="0045100A">
              <w:rPr>
                <w:rFonts w:ascii="Times New Roman" w:eastAsiaTheme="minorHAnsi" w:hAnsi="Times New Roman"/>
                <w:color w:val="000000" w:themeColor="text1"/>
              </w:rPr>
              <w:t>10/04/2025</w:t>
            </w:r>
          </w:p>
        </w:tc>
        <w:tc>
          <w:tcPr>
            <w:tcW w:w="993" w:type="dxa"/>
          </w:tcPr>
          <w:p w14:paraId="4232B7EA" w14:textId="53DD68D3"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01</w:t>
            </w:r>
          </w:p>
        </w:tc>
        <w:tc>
          <w:tcPr>
            <w:tcW w:w="992" w:type="dxa"/>
          </w:tcPr>
          <w:p w14:paraId="2EC66480" w14:textId="700B51A6"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00</w:t>
            </w:r>
          </w:p>
        </w:tc>
        <w:tc>
          <w:tcPr>
            <w:tcW w:w="992" w:type="dxa"/>
          </w:tcPr>
          <w:p w14:paraId="642C2908" w14:textId="4D275DB3" w:rsidR="00741512"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01</w:t>
            </w:r>
          </w:p>
        </w:tc>
      </w:tr>
      <w:tr w:rsidR="001F7B71" w:rsidRPr="00260790" w14:paraId="61A11393" w14:textId="77777777" w:rsidTr="001F7B71">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01BF473A" w14:textId="32FB7FBE"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Commune de Sangalkam</w:t>
            </w:r>
            <w:r>
              <w:rPr>
                <w:rFonts w:ascii="Times New Roman" w:hAnsi="Times New Roman"/>
                <w:color w:val="000000" w:themeColor="text1"/>
              </w:rPr>
              <w:t xml:space="preserve"> (SM)</w:t>
            </w:r>
          </w:p>
        </w:tc>
        <w:tc>
          <w:tcPr>
            <w:tcW w:w="1275" w:type="dxa"/>
            <w:vAlign w:val="center"/>
          </w:tcPr>
          <w:p w14:paraId="221C1D31" w14:textId="77777777" w:rsidR="00741512" w:rsidRPr="00EA5752"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lang w:val="fr-FR"/>
              </w:rPr>
            </w:pPr>
            <w:r w:rsidRPr="0045100A">
              <w:rPr>
                <w:rFonts w:ascii="Times New Roman" w:eastAsiaTheme="minorHAnsi" w:hAnsi="Times New Roman"/>
                <w:color w:val="000000" w:themeColor="text1"/>
              </w:rPr>
              <w:t>10/04/2025</w:t>
            </w:r>
          </w:p>
        </w:tc>
        <w:tc>
          <w:tcPr>
            <w:tcW w:w="993" w:type="dxa"/>
          </w:tcPr>
          <w:p w14:paraId="2B989F38" w14:textId="7B6417F1"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01</w:t>
            </w:r>
          </w:p>
        </w:tc>
        <w:tc>
          <w:tcPr>
            <w:tcW w:w="992" w:type="dxa"/>
          </w:tcPr>
          <w:p w14:paraId="1920FD97" w14:textId="49F766EB"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00</w:t>
            </w:r>
          </w:p>
        </w:tc>
        <w:tc>
          <w:tcPr>
            <w:tcW w:w="992" w:type="dxa"/>
          </w:tcPr>
          <w:p w14:paraId="6089E11B" w14:textId="7A427184" w:rsidR="00741512"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01</w:t>
            </w:r>
          </w:p>
        </w:tc>
      </w:tr>
      <w:tr w:rsidR="001F7B71" w:rsidRPr="00260790" w14:paraId="1FBE13CF" w14:textId="77777777" w:rsidTr="001F7B71">
        <w:trPr>
          <w:trHeight w:val="63"/>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0E7B5307" w14:textId="77777777"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Les maraichers de la Forêt classée de Mbao</w:t>
            </w:r>
          </w:p>
        </w:tc>
        <w:tc>
          <w:tcPr>
            <w:tcW w:w="1275" w:type="dxa"/>
            <w:vAlign w:val="center"/>
          </w:tcPr>
          <w:p w14:paraId="2C2CEFC9" w14:textId="77777777" w:rsidR="00741512" w:rsidRPr="00EA5752"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lang w:val="fr-FR"/>
              </w:rPr>
            </w:pPr>
            <w:r w:rsidRPr="0045100A">
              <w:rPr>
                <w:rFonts w:ascii="Times New Roman" w:eastAsiaTheme="minorHAnsi" w:hAnsi="Times New Roman"/>
                <w:color w:val="000000" w:themeColor="text1"/>
              </w:rPr>
              <w:t>08/01/2025</w:t>
            </w:r>
          </w:p>
        </w:tc>
        <w:tc>
          <w:tcPr>
            <w:tcW w:w="993" w:type="dxa"/>
          </w:tcPr>
          <w:p w14:paraId="52F7CD5B" w14:textId="5BB82A74"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05</w:t>
            </w:r>
          </w:p>
        </w:tc>
        <w:tc>
          <w:tcPr>
            <w:tcW w:w="992" w:type="dxa"/>
          </w:tcPr>
          <w:p w14:paraId="078E0603" w14:textId="257E97AE"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10</w:t>
            </w:r>
          </w:p>
        </w:tc>
        <w:tc>
          <w:tcPr>
            <w:tcW w:w="992" w:type="dxa"/>
          </w:tcPr>
          <w:p w14:paraId="1B52A9DC" w14:textId="1CE2B7D3" w:rsidR="00741512"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15</w:t>
            </w:r>
          </w:p>
        </w:tc>
      </w:tr>
      <w:tr w:rsidR="001F7B71" w:rsidRPr="00260790" w14:paraId="5AE98DB6" w14:textId="77777777" w:rsidTr="001F7B71">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24925AF4" w14:textId="77777777"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 xml:space="preserve">Préfecture / CDREI de Pikine </w:t>
            </w:r>
          </w:p>
        </w:tc>
        <w:tc>
          <w:tcPr>
            <w:tcW w:w="1275" w:type="dxa"/>
            <w:vAlign w:val="center"/>
          </w:tcPr>
          <w:p w14:paraId="1DB814B1" w14:textId="77777777" w:rsidR="00741512" w:rsidRPr="00EA5752"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lang w:val="fr-FR"/>
              </w:rPr>
            </w:pPr>
            <w:r w:rsidRPr="0045100A">
              <w:rPr>
                <w:rFonts w:ascii="Times New Roman" w:eastAsiaTheme="minorHAnsi" w:hAnsi="Times New Roman"/>
                <w:color w:val="000000" w:themeColor="text1"/>
              </w:rPr>
              <w:t>12/03/2025</w:t>
            </w:r>
          </w:p>
        </w:tc>
        <w:tc>
          <w:tcPr>
            <w:tcW w:w="993" w:type="dxa"/>
          </w:tcPr>
          <w:p w14:paraId="39FE79CE" w14:textId="221AAA5D"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01</w:t>
            </w:r>
          </w:p>
        </w:tc>
        <w:tc>
          <w:tcPr>
            <w:tcW w:w="992" w:type="dxa"/>
          </w:tcPr>
          <w:p w14:paraId="7293B3D1" w14:textId="74067F09"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00</w:t>
            </w:r>
          </w:p>
        </w:tc>
        <w:tc>
          <w:tcPr>
            <w:tcW w:w="992" w:type="dxa"/>
          </w:tcPr>
          <w:p w14:paraId="6F0E1FA3" w14:textId="7E9438C4" w:rsidR="00741512"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01</w:t>
            </w:r>
          </w:p>
        </w:tc>
      </w:tr>
      <w:tr w:rsidR="001F7B71" w:rsidRPr="00260790" w14:paraId="152B9465" w14:textId="77777777" w:rsidTr="001F7B71">
        <w:trPr>
          <w:trHeight w:val="63"/>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1AA18DBE" w14:textId="77777777"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 xml:space="preserve">Préfecture / CDREI de Rufisque </w:t>
            </w:r>
          </w:p>
        </w:tc>
        <w:tc>
          <w:tcPr>
            <w:tcW w:w="1275" w:type="dxa"/>
            <w:vAlign w:val="center"/>
          </w:tcPr>
          <w:p w14:paraId="42C7789B" w14:textId="77777777" w:rsidR="00741512" w:rsidRPr="00EA5752"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lang w:val="fr-FR"/>
              </w:rPr>
            </w:pPr>
            <w:r w:rsidRPr="0045100A">
              <w:rPr>
                <w:rFonts w:ascii="Times New Roman" w:eastAsiaTheme="minorHAnsi" w:hAnsi="Times New Roman"/>
                <w:color w:val="000000" w:themeColor="text1"/>
              </w:rPr>
              <w:t>25/02/2025</w:t>
            </w:r>
          </w:p>
        </w:tc>
        <w:tc>
          <w:tcPr>
            <w:tcW w:w="993" w:type="dxa"/>
          </w:tcPr>
          <w:p w14:paraId="796AB031" w14:textId="24C8466A"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01</w:t>
            </w:r>
          </w:p>
        </w:tc>
        <w:tc>
          <w:tcPr>
            <w:tcW w:w="992" w:type="dxa"/>
          </w:tcPr>
          <w:p w14:paraId="0CF6387F" w14:textId="32420C4D"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00</w:t>
            </w:r>
          </w:p>
        </w:tc>
        <w:tc>
          <w:tcPr>
            <w:tcW w:w="992" w:type="dxa"/>
          </w:tcPr>
          <w:p w14:paraId="52F6D117" w14:textId="1752AEF1" w:rsidR="00741512"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01</w:t>
            </w:r>
          </w:p>
        </w:tc>
      </w:tr>
      <w:tr w:rsidR="001F7B71" w:rsidRPr="00260790" w14:paraId="566911B2" w14:textId="77777777" w:rsidTr="001F7B71">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692B334A" w14:textId="77777777"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Sous-préfecture de Sangalkam</w:t>
            </w:r>
          </w:p>
        </w:tc>
        <w:tc>
          <w:tcPr>
            <w:tcW w:w="1275" w:type="dxa"/>
            <w:vAlign w:val="center"/>
          </w:tcPr>
          <w:p w14:paraId="395B91A6" w14:textId="77777777" w:rsidR="00741512" w:rsidRPr="00EA5752"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lang w:val="fr-FR"/>
              </w:rPr>
            </w:pPr>
            <w:r w:rsidRPr="0045100A">
              <w:rPr>
                <w:rFonts w:ascii="Times New Roman" w:eastAsiaTheme="minorHAnsi" w:hAnsi="Times New Roman"/>
                <w:color w:val="000000" w:themeColor="text1"/>
              </w:rPr>
              <w:t>10/04/2025</w:t>
            </w:r>
          </w:p>
        </w:tc>
        <w:tc>
          <w:tcPr>
            <w:tcW w:w="993" w:type="dxa"/>
          </w:tcPr>
          <w:p w14:paraId="08EF5923" w14:textId="0360B6AA"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01</w:t>
            </w:r>
          </w:p>
        </w:tc>
        <w:tc>
          <w:tcPr>
            <w:tcW w:w="992" w:type="dxa"/>
          </w:tcPr>
          <w:p w14:paraId="613B404C" w14:textId="304C532D"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00</w:t>
            </w:r>
          </w:p>
        </w:tc>
        <w:tc>
          <w:tcPr>
            <w:tcW w:w="992" w:type="dxa"/>
          </w:tcPr>
          <w:p w14:paraId="6AF4811D" w14:textId="5A0E1111" w:rsidR="00741512"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01</w:t>
            </w:r>
          </w:p>
        </w:tc>
      </w:tr>
      <w:tr w:rsidR="001F7B71" w:rsidRPr="00260790" w14:paraId="4BE28546" w14:textId="77777777" w:rsidTr="001F7B71">
        <w:trPr>
          <w:trHeight w:val="63"/>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622F9167" w14:textId="77777777"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 xml:space="preserve">Populations affectées des quartiers de Baye Niass, Hamdalaye, Baye Gana </w:t>
            </w:r>
            <w:proofErr w:type="spellStart"/>
            <w:r w:rsidRPr="0045100A">
              <w:rPr>
                <w:rFonts w:ascii="Times New Roman" w:hAnsi="Times New Roman"/>
                <w:color w:val="000000" w:themeColor="text1"/>
              </w:rPr>
              <w:t>Aw</w:t>
            </w:r>
            <w:proofErr w:type="spellEnd"/>
            <w:r w:rsidRPr="0045100A">
              <w:rPr>
                <w:rFonts w:ascii="Times New Roman" w:hAnsi="Times New Roman"/>
                <w:color w:val="000000" w:themeColor="text1"/>
              </w:rPr>
              <w:t>, Madiabel</w:t>
            </w:r>
          </w:p>
        </w:tc>
        <w:tc>
          <w:tcPr>
            <w:tcW w:w="1275" w:type="dxa"/>
            <w:vAlign w:val="center"/>
          </w:tcPr>
          <w:p w14:paraId="55EA14E7" w14:textId="77777777" w:rsidR="00741512" w:rsidRPr="00EA5752"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themeColor="text1"/>
                <w:lang w:val="fr-FR"/>
              </w:rPr>
            </w:pPr>
            <w:r w:rsidRPr="0045100A">
              <w:rPr>
                <w:rFonts w:ascii="Times New Roman" w:eastAsiaTheme="minorHAnsi" w:hAnsi="Times New Roman"/>
                <w:color w:val="000000" w:themeColor="text1"/>
              </w:rPr>
              <w:t>06/04/2025</w:t>
            </w:r>
          </w:p>
        </w:tc>
        <w:tc>
          <w:tcPr>
            <w:tcW w:w="993" w:type="dxa"/>
          </w:tcPr>
          <w:p w14:paraId="1030BEC2" w14:textId="76305838"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23</w:t>
            </w:r>
          </w:p>
        </w:tc>
        <w:tc>
          <w:tcPr>
            <w:tcW w:w="992" w:type="dxa"/>
          </w:tcPr>
          <w:p w14:paraId="3912CDFA" w14:textId="4AC3B850"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16</w:t>
            </w:r>
          </w:p>
        </w:tc>
        <w:tc>
          <w:tcPr>
            <w:tcW w:w="992" w:type="dxa"/>
          </w:tcPr>
          <w:p w14:paraId="784C0482" w14:textId="03D4CDFA" w:rsidR="00741512" w:rsidRDefault="004F74A5"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39</w:t>
            </w:r>
          </w:p>
        </w:tc>
      </w:tr>
      <w:tr w:rsidR="001F7B71" w:rsidRPr="00260790" w14:paraId="6DD20C02" w14:textId="77777777" w:rsidTr="001F7B71">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16A2FE81" w14:textId="77777777"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 xml:space="preserve">Populations affectées des quartiers de </w:t>
            </w:r>
            <w:proofErr w:type="spellStart"/>
            <w:r w:rsidRPr="0045100A">
              <w:rPr>
                <w:rFonts w:ascii="Times New Roman" w:hAnsi="Times New Roman"/>
                <w:color w:val="000000" w:themeColor="text1"/>
              </w:rPr>
              <w:t>Lébougui</w:t>
            </w:r>
            <w:proofErr w:type="spellEnd"/>
            <w:r w:rsidRPr="0045100A">
              <w:rPr>
                <w:rFonts w:ascii="Times New Roman" w:hAnsi="Times New Roman"/>
                <w:color w:val="000000" w:themeColor="text1"/>
              </w:rPr>
              <w:t xml:space="preserve"> 2000 à Sangalkam</w:t>
            </w:r>
          </w:p>
        </w:tc>
        <w:tc>
          <w:tcPr>
            <w:tcW w:w="1275" w:type="dxa"/>
            <w:vAlign w:val="center"/>
          </w:tcPr>
          <w:p w14:paraId="060A4CD8" w14:textId="77777777"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rPr>
            </w:pPr>
            <w:r w:rsidRPr="0045100A">
              <w:rPr>
                <w:rFonts w:ascii="Times New Roman" w:eastAsiaTheme="minorHAnsi" w:hAnsi="Times New Roman"/>
                <w:color w:val="000000" w:themeColor="text1"/>
              </w:rPr>
              <w:t>21/05/2025</w:t>
            </w:r>
          </w:p>
        </w:tc>
        <w:tc>
          <w:tcPr>
            <w:tcW w:w="993" w:type="dxa"/>
          </w:tcPr>
          <w:p w14:paraId="5432B3DD" w14:textId="0DBD5D2E"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17</w:t>
            </w:r>
          </w:p>
        </w:tc>
        <w:tc>
          <w:tcPr>
            <w:tcW w:w="992" w:type="dxa"/>
          </w:tcPr>
          <w:p w14:paraId="382B045F" w14:textId="75CCE093"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05</w:t>
            </w:r>
          </w:p>
        </w:tc>
        <w:tc>
          <w:tcPr>
            <w:tcW w:w="992" w:type="dxa"/>
          </w:tcPr>
          <w:p w14:paraId="4E785E72" w14:textId="7AAF9FC1" w:rsidR="00741512" w:rsidRDefault="004F74A5"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22</w:t>
            </w:r>
          </w:p>
        </w:tc>
      </w:tr>
      <w:tr w:rsidR="001F7B71" w:rsidRPr="00260790" w14:paraId="2952FBED" w14:textId="77777777" w:rsidTr="001F7B71">
        <w:trPr>
          <w:trHeight w:val="63"/>
        </w:trPr>
        <w:tc>
          <w:tcPr>
            <w:cnfStyle w:val="001000000000" w:firstRow="0" w:lastRow="0" w:firstColumn="1" w:lastColumn="0" w:oddVBand="0" w:evenVBand="0" w:oddHBand="0" w:evenHBand="0" w:firstRowFirstColumn="0" w:firstRowLastColumn="0" w:lastRowFirstColumn="0" w:lastRowLastColumn="0"/>
            <w:tcW w:w="5524" w:type="dxa"/>
          </w:tcPr>
          <w:p w14:paraId="4E127158" w14:textId="77777777"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 xml:space="preserve">Populations affectées des quartiers de Kaay </w:t>
            </w:r>
            <w:proofErr w:type="spellStart"/>
            <w:r w:rsidRPr="0045100A">
              <w:rPr>
                <w:rFonts w:ascii="Times New Roman" w:hAnsi="Times New Roman"/>
                <w:color w:val="000000" w:themeColor="text1"/>
              </w:rPr>
              <w:t>Baax</w:t>
            </w:r>
            <w:proofErr w:type="spellEnd"/>
            <w:r w:rsidRPr="0045100A">
              <w:rPr>
                <w:rFonts w:ascii="Times New Roman" w:hAnsi="Times New Roman"/>
                <w:color w:val="000000" w:themeColor="text1"/>
              </w:rPr>
              <w:t xml:space="preserve"> à Tivaouane Peulh</w:t>
            </w:r>
          </w:p>
        </w:tc>
        <w:tc>
          <w:tcPr>
            <w:tcW w:w="1275" w:type="dxa"/>
            <w:vAlign w:val="center"/>
          </w:tcPr>
          <w:p w14:paraId="3493256B" w14:textId="77777777"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rPr>
            </w:pPr>
            <w:r w:rsidRPr="0045100A">
              <w:rPr>
                <w:rFonts w:ascii="Times New Roman" w:eastAsiaTheme="minorHAnsi" w:hAnsi="Times New Roman"/>
                <w:color w:val="000000" w:themeColor="text1"/>
              </w:rPr>
              <w:t>22/05/2025</w:t>
            </w:r>
          </w:p>
        </w:tc>
        <w:tc>
          <w:tcPr>
            <w:tcW w:w="993" w:type="dxa"/>
          </w:tcPr>
          <w:p w14:paraId="0C0F5BA8" w14:textId="46BEC615"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15</w:t>
            </w:r>
          </w:p>
        </w:tc>
        <w:tc>
          <w:tcPr>
            <w:tcW w:w="992" w:type="dxa"/>
          </w:tcPr>
          <w:p w14:paraId="443BF115" w14:textId="76556897"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04</w:t>
            </w:r>
          </w:p>
        </w:tc>
        <w:tc>
          <w:tcPr>
            <w:tcW w:w="992" w:type="dxa"/>
          </w:tcPr>
          <w:p w14:paraId="00B95A69" w14:textId="53A12359" w:rsidR="00741512" w:rsidRDefault="004F74A5"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19</w:t>
            </w:r>
          </w:p>
        </w:tc>
      </w:tr>
      <w:tr w:rsidR="001F7B71" w:rsidRPr="00260790" w14:paraId="536AF5A5" w14:textId="77777777" w:rsidTr="001F7B71">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5524" w:type="dxa"/>
          </w:tcPr>
          <w:p w14:paraId="707B43A5" w14:textId="77777777"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Populations affectées des quartiers de Médina Zac à Rufisque Ouest</w:t>
            </w:r>
          </w:p>
        </w:tc>
        <w:tc>
          <w:tcPr>
            <w:tcW w:w="1275" w:type="dxa"/>
            <w:vAlign w:val="center"/>
          </w:tcPr>
          <w:p w14:paraId="43DF0D66" w14:textId="77777777"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rPr>
            </w:pPr>
            <w:r w:rsidRPr="0045100A">
              <w:rPr>
                <w:rFonts w:ascii="Times New Roman" w:eastAsiaTheme="minorHAnsi" w:hAnsi="Times New Roman"/>
                <w:color w:val="000000" w:themeColor="text1"/>
              </w:rPr>
              <w:t>22/05/2025</w:t>
            </w:r>
          </w:p>
        </w:tc>
        <w:tc>
          <w:tcPr>
            <w:tcW w:w="993" w:type="dxa"/>
          </w:tcPr>
          <w:p w14:paraId="5F11D0A7" w14:textId="0AAFE50C"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17</w:t>
            </w:r>
          </w:p>
        </w:tc>
        <w:tc>
          <w:tcPr>
            <w:tcW w:w="992" w:type="dxa"/>
          </w:tcPr>
          <w:p w14:paraId="497E8543" w14:textId="1908C1E7"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07</w:t>
            </w:r>
          </w:p>
        </w:tc>
        <w:tc>
          <w:tcPr>
            <w:tcW w:w="992" w:type="dxa"/>
          </w:tcPr>
          <w:p w14:paraId="06D77566" w14:textId="59F2AEF1" w:rsidR="00741512" w:rsidRDefault="004F74A5"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23</w:t>
            </w:r>
          </w:p>
        </w:tc>
      </w:tr>
      <w:tr w:rsidR="001F7B71" w:rsidRPr="00260790" w14:paraId="7630C5E4" w14:textId="77777777" w:rsidTr="001F7B71">
        <w:trPr>
          <w:trHeight w:val="63"/>
        </w:trPr>
        <w:tc>
          <w:tcPr>
            <w:cnfStyle w:val="001000000000" w:firstRow="0" w:lastRow="0" w:firstColumn="1" w:lastColumn="0" w:oddVBand="0" w:evenVBand="0" w:oddHBand="0" w:evenHBand="0" w:firstRowFirstColumn="0" w:firstRowLastColumn="0" w:lastRowFirstColumn="0" w:lastRowLastColumn="0"/>
            <w:tcW w:w="5524" w:type="dxa"/>
          </w:tcPr>
          <w:p w14:paraId="305970A9" w14:textId="77777777"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Les pêcheurs de Mbao</w:t>
            </w:r>
          </w:p>
        </w:tc>
        <w:tc>
          <w:tcPr>
            <w:tcW w:w="1275" w:type="dxa"/>
            <w:vAlign w:val="center"/>
          </w:tcPr>
          <w:p w14:paraId="7243C64E" w14:textId="77777777"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rPr>
            </w:pPr>
            <w:r w:rsidRPr="0045100A">
              <w:rPr>
                <w:rFonts w:ascii="Times New Roman" w:eastAsiaTheme="minorHAnsi" w:hAnsi="Times New Roman"/>
                <w:color w:val="000000" w:themeColor="text1"/>
              </w:rPr>
              <w:t>21/05/2025</w:t>
            </w:r>
          </w:p>
        </w:tc>
        <w:tc>
          <w:tcPr>
            <w:tcW w:w="993" w:type="dxa"/>
          </w:tcPr>
          <w:p w14:paraId="2D1B800B" w14:textId="1CD48663"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07</w:t>
            </w:r>
          </w:p>
        </w:tc>
        <w:tc>
          <w:tcPr>
            <w:tcW w:w="992" w:type="dxa"/>
          </w:tcPr>
          <w:p w14:paraId="130BFA71" w14:textId="436F3625" w:rsidR="00741512" w:rsidRPr="0045100A" w:rsidRDefault="00741512"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00</w:t>
            </w:r>
          </w:p>
        </w:tc>
        <w:tc>
          <w:tcPr>
            <w:tcW w:w="992" w:type="dxa"/>
          </w:tcPr>
          <w:p w14:paraId="288C7820" w14:textId="53B472DC" w:rsidR="00741512" w:rsidRDefault="004F74A5" w:rsidP="007415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07</w:t>
            </w:r>
          </w:p>
        </w:tc>
      </w:tr>
      <w:tr w:rsidR="001F7B71" w:rsidRPr="00260790" w14:paraId="35957D15" w14:textId="77777777" w:rsidTr="001F7B71">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5524" w:type="dxa"/>
          </w:tcPr>
          <w:p w14:paraId="30FDA1C5" w14:textId="77777777" w:rsidR="00741512" w:rsidRPr="00EA5752" w:rsidRDefault="00741512" w:rsidP="00741512">
            <w:pPr>
              <w:spacing w:line="240" w:lineRule="auto"/>
              <w:rPr>
                <w:rFonts w:ascii="Times New Roman" w:hAnsi="Times New Roman"/>
                <w:b w:val="0"/>
                <w:bCs w:val="0"/>
                <w:color w:val="000000" w:themeColor="text1"/>
                <w:lang w:val="fr-FR"/>
              </w:rPr>
            </w:pPr>
            <w:r w:rsidRPr="0045100A">
              <w:rPr>
                <w:rFonts w:ascii="Times New Roman" w:hAnsi="Times New Roman"/>
                <w:color w:val="000000" w:themeColor="text1"/>
              </w:rPr>
              <w:t>Les femmes transformatrices de produits halieutiques</w:t>
            </w:r>
          </w:p>
        </w:tc>
        <w:tc>
          <w:tcPr>
            <w:tcW w:w="1275" w:type="dxa"/>
            <w:vAlign w:val="center"/>
          </w:tcPr>
          <w:p w14:paraId="0D33DC2F" w14:textId="77777777"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rPr>
            </w:pPr>
            <w:r w:rsidRPr="0045100A">
              <w:rPr>
                <w:rFonts w:ascii="Times New Roman" w:eastAsiaTheme="minorHAnsi" w:hAnsi="Times New Roman"/>
                <w:color w:val="000000" w:themeColor="text1"/>
              </w:rPr>
              <w:t>21/05/2025</w:t>
            </w:r>
          </w:p>
        </w:tc>
        <w:tc>
          <w:tcPr>
            <w:tcW w:w="993" w:type="dxa"/>
          </w:tcPr>
          <w:p w14:paraId="1992B3D8" w14:textId="0A3757FB"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00</w:t>
            </w:r>
          </w:p>
        </w:tc>
        <w:tc>
          <w:tcPr>
            <w:tcW w:w="992" w:type="dxa"/>
          </w:tcPr>
          <w:p w14:paraId="2C0A24DC" w14:textId="7FAC2C92" w:rsidR="00741512" w:rsidRPr="0045100A" w:rsidRDefault="00741512"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18</w:t>
            </w:r>
          </w:p>
        </w:tc>
        <w:tc>
          <w:tcPr>
            <w:tcW w:w="992" w:type="dxa"/>
          </w:tcPr>
          <w:p w14:paraId="70911367" w14:textId="5803C321" w:rsidR="00741512" w:rsidRDefault="004F74A5" w:rsidP="00741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rPr>
            </w:pPr>
            <w:r>
              <w:rPr>
                <w:rFonts w:ascii="Times New Roman" w:eastAsiaTheme="minorHAnsi" w:hAnsi="Times New Roman"/>
                <w:color w:val="000000" w:themeColor="text1"/>
              </w:rPr>
              <w:t>18</w:t>
            </w:r>
          </w:p>
        </w:tc>
      </w:tr>
      <w:tr w:rsidR="00563ED1" w:rsidRPr="001F7B71" w14:paraId="2D55A191" w14:textId="77777777" w:rsidTr="001F7B71">
        <w:trPr>
          <w:trHeight w:val="63"/>
        </w:trPr>
        <w:tc>
          <w:tcPr>
            <w:cnfStyle w:val="001000000000" w:firstRow="0" w:lastRow="0" w:firstColumn="1" w:lastColumn="0" w:oddVBand="0" w:evenVBand="0" w:oddHBand="0" w:evenHBand="0" w:firstRowFirstColumn="0" w:firstRowLastColumn="0" w:lastRowFirstColumn="0" w:lastRowLastColumn="0"/>
            <w:tcW w:w="6799" w:type="dxa"/>
            <w:gridSpan w:val="2"/>
          </w:tcPr>
          <w:p w14:paraId="32769180" w14:textId="77777777" w:rsidR="009B23A6" w:rsidRPr="001F7B71" w:rsidRDefault="009B23A6" w:rsidP="009B23A6">
            <w:pPr>
              <w:spacing w:line="240" w:lineRule="auto"/>
              <w:jc w:val="center"/>
              <w:rPr>
                <w:rFonts w:ascii="Times New Roman" w:eastAsiaTheme="minorHAnsi" w:hAnsi="Times New Roman"/>
                <w:color w:val="000000" w:themeColor="text1"/>
              </w:rPr>
            </w:pPr>
            <w:r w:rsidRPr="001F7B71">
              <w:rPr>
                <w:rFonts w:ascii="Times New Roman" w:eastAsiaTheme="minorHAnsi" w:hAnsi="Times New Roman"/>
                <w:color w:val="000000" w:themeColor="text1"/>
              </w:rPr>
              <w:t>Total</w:t>
            </w:r>
          </w:p>
        </w:tc>
        <w:tc>
          <w:tcPr>
            <w:tcW w:w="993" w:type="dxa"/>
            <w:vAlign w:val="bottom"/>
          </w:tcPr>
          <w:p w14:paraId="09B89892" w14:textId="54225B84" w:rsidR="009B23A6" w:rsidRPr="001F7B71" w:rsidRDefault="009B23A6" w:rsidP="009B23A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bCs/>
                <w:color w:val="000000" w:themeColor="text1"/>
              </w:rPr>
            </w:pPr>
            <w:r w:rsidRPr="001F7B71">
              <w:rPr>
                <w:rFonts w:ascii="Times New Roman" w:eastAsiaTheme="minorHAnsi" w:hAnsi="Times New Roman"/>
                <w:b/>
                <w:bCs/>
                <w:color w:val="000000" w:themeColor="text1"/>
              </w:rPr>
              <w:t>201</w:t>
            </w:r>
          </w:p>
        </w:tc>
        <w:tc>
          <w:tcPr>
            <w:tcW w:w="992" w:type="dxa"/>
            <w:vAlign w:val="bottom"/>
          </w:tcPr>
          <w:p w14:paraId="09C1CDF1" w14:textId="451DBF07" w:rsidR="009B23A6" w:rsidRPr="001F7B71" w:rsidRDefault="009B23A6" w:rsidP="009B23A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bCs/>
                <w:color w:val="000000" w:themeColor="text1"/>
              </w:rPr>
            </w:pPr>
            <w:r w:rsidRPr="001F7B71">
              <w:rPr>
                <w:rFonts w:ascii="Times New Roman" w:eastAsiaTheme="minorHAnsi" w:hAnsi="Times New Roman"/>
                <w:b/>
                <w:bCs/>
                <w:color w:val="000000" w:themeColor="text1"/>
              </w:rPr>
              <w:t>86</w:t>
            </w:r>
          </w:p>
        </w:tc>
        <w:tc>
          <w:tcPr>
            <w:tcW w:w="992" w:type="dxa"/>
            <w:vAlign w:val="bottom"/>
          </w:tcPr>
          <w:p w14:paraId="692601C6" w14:textId="4DC44134" w:rsidR="009B23A6" w:rsidRPr="001F7B71" w:rsidRDefault="009B23A6" w:rsidP="009B23A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bCs/>
                <w:color w:val="000000" w:themeColor="text1"/>
              </w:rPr>
            </w:pPr>
            <w:r w:rsidRPr="001F7B71">
              <w:rPr>
                <w:rFonts w:ascii="Times New Roman" w:eastAsiaTheme="minorHAnsi" w:hAnsi="Times New Roman"/>
                <w:b/>
                <w:bCs/>
                <w:color w:val="000000" w:themeColor="text1"/>
              </w:rPr>
              <w:t>287</w:t>
            </w:r>
          </w:p>
        </w:tc>
      </w:tr>
    </w:tbl>
    <w:p w14:paraId="773D4A3E" w14:textId="6EFF11F6" w:rsidR="00CE04D7" w:rsidRPr="00260790" w:rsidRDefault="00CE04D7">
      <w:pPr>
        <w:spacing w:line="259" w:lineRule="auto"/>
        <w:rPr>
          <w:rFonts w:ascii="Times New Roman" w:eastAsia="Times New Roman" w:hAnsi="Times New Roman"/>
          <w:b/>
          <w:bCs/>
          <w:lang w:eastAsia="fr-FR"/>
          <w14:ligatures w14:val="standardContextual"/>
        </w:rPr>
      </w:pPr>
      <w:bookmarkStart w:id="574" w:name="_Toc52134023"/>
    </w:p>
    <w:p w14:paraId="28540FD4" w14:textId="77777777" w:rsidR="001F7B71" w:rsidRDefault="001F7B71">
      <w:pPr>
        <w:spacing w:line="259" w:lineRule="auto"/>
        <w:rPr>
          <w:rFonts w:ascii="Times New Roman" w:eastAsia="Times New Roman" w:hAnsi="Times New Roman"/>
          <w:b/>
          <w:bCs/>
          <w:lang w:eastAsia="fr-FR"/>
          <w14:ligatures w14:val="standardContextual"/>
        </w:rPr>
      </w:pPr>
      <w:r>
        <w:rPr>
          <w:rFonts w:ascii="Times New Roman" w:hAnsi="Times New Roman"/>
          <w:b/>
          <w:bCs/>
        </w:rPr>
        <w:br w:type="page"/>
      </w:r>
    </w:p>
    <w:p w14:paraId="04558ECA" w14:textId="49AA60E5" w:rsidR="0059573A" w:rsidRPr="00260790" w:rsidRDefault="0059573A" w:rsidP="001748C6">
      <w:pPr>
        <w:pStyle w:val="Normaltableau0"/>
        <w:numPr>
          <w:ilvl w:val="1"/>
          <w:numId w:val="139"/>
        </w:numPr>
        <w:outlineLvl w:val="1"/>
        <w:rPr>
          <w:rFonts w:ascii="Times New Roman" w:hAnsi="Times New Roman"/>
          <w:b/>
          <w:bCs/>
          <w:sz w:val="22"/>
          <w:szCs w:val="22"/>
        </w:rPr>
      </w:pPr>
      <w:bookmarkStart w:id="575" w:name="_Toc212725119"/>
      <w:r w:rsidRPr="00260790">
        <w:rPr>
          <w:rFonts w:ascii="Times New Roman" w:hAnsi="Times New Roman"/>
          <w:b/>
          <w:bCs/>
          <w:sz w:val="22"/>
          <w:szCs w:val="22"/>
        </w:rPr>
        <w:lastRenderedPageBreak/>
        <w:t xml:space="preserve">Résultats des consultations avec les </w:t>
      </w:r>
      <w:r w:rsidR="007E107F" w:rsidRPr="00260790">
        <w:rPr>
          <w:rFonts w:ascii="Times New Roman" w:hAnsi="Times New Roman"/>
          <w:b/>
          <w:bCs/>
          <w:sz w:val="22"/>
          <w:szCs w:val="22"/>
        </w:rPr>
        <w:t>parties prenantes</w:t>
      </w:r>
      <w:bookmarkEnd w:id="575"/>
      <w:r w:rsidR="00A75562" w:rsidRPr="00260790">
        <w:rPr>
          <w:rFonts w:ascii="Times New Roman" w:hAnsi="Times New Roman"/>
          <w:b/>
          <w:bCs/>
          <w:sz w:val="22"/>
          <w:szCs w:val="22"/>
        </w:rPr>
        <w:t xml:space="preserve"> </w:t>
      </w:r>
    </w:p>
    <w:p w14:paraId="63D6E4C3" w14:textId="2D8B4E5D" w:rsidR="008614FA" w:rsidRPr="00260790" w:rsidRDefault="008614FA" w:rsidP="003B6588">
      <w:pPr>
        <w:pStyle w:val="CHAPITRE1"/>
        <w:rPr>
          <w:rFonts w:cs="Times New Roman"/>
        </w:rPr>
      </w:pPr>
      <w:bookmarkStart w:id="576" w:name="_Toc212725120"/>
      <w:bookmarkEnd w:id="574"/>
      <w:r w:rsidRPr="00260790">
        <w:rPr>
          <w:rFonts w:cs="Times New Roman"/>
        </w:rPr>
        <w:t xml:space="preserve">Rencontre avec les </w:t>
      </w:r>
      <w:r w:rsidR="00692108" w:rsidRPr="00260790">
        <w:rPr>
          <w:rFonts w:cs="Times New Roman"/>
        </w:rPr>
        <w:t>autorités administratives (</w:t>
      </w:r>
      <w:r w:rsidRPr="00260790">
        <w:rPr>
          <w:rFonts w:cs="Times New Roman"/>
        </w:rPr>
        <w:t>Préfectures et sous-préfectures</w:t>
      </w:r>
      <w:r w:rsidR="00692108" w:rsidRPr="00260790">
        <w:rPr>
          <w:rFonts w:cs="Times New Roman"/>
        </w:rPr>
        <w:t>)</w:t>
      </w:r>
      <w:bookmarkEnd w:id="576"/>
    </w:p>
    <w:p w14:paraId="3A1C5544" w14:textId="10ACEC0F" w:rsidR="00692108" w:rsidRPr="00260790" w:rsidRDefault="00692108" w:rsidP="00054447">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autorités administratives jouent un rôle de premier plan dans les activités de lutte contre les inondations, et particulièrement dans la mise en œuvre du PROGEP II. </w:t>
      </w:r>
      <w:r w:rsidR="00054447" w:rsidRPr="00260790">
        <w:rPr>
          <w:rFonts w:ascii="Times New Roman" w:hAnsi="Times New Roman"/>
          <w:color w:val="000000" w:themeColor="text1"/>
        </w:rPr>
        <w:t>Dans le cadre d</w:t>
      </w:r>
      <w:r w:rsidR="00C61696">
        <w:rPr>
          <w:rFonts w:ascii="Times New Roman" w:hAnsi="Times New Roman"/>
          <w:color w:val="000000" w:themeColor="text1"/>
        </w:rPr>
        <w:t xml:space="preserve">e la </w:t>
      </w:r>
      <w:r w:rsidR="0095190F">
        <w:rPr>
          <w:rFonts w:ascii="Times New Roman" w:hAnsi="Times New Roman"/>
          <w:color w:val="000000" w:themeColor="text1"/>
        </w:rPr>
        <w:t>préparation</w:t>
      </w:r>
      <w:r w:rsidR="00C61696">
        <w:rPr>
          <w:rFonts w:ascii="Times New Roman" w:hAnsi="Times New Roman"/>
          <w:color w:val="000000" w:themeColor="text1"/>
        </w:rPr>
        <w:t xml:space="preserve"> </w:t>
      </w:r>
      <w:r w:rsidR="0095190F">
        <w:rPr>
          <w:rFonts w:ascii="Times New Roman" w:hAnsi="Times New Roman"/>
          <w:color w:val="000000" w:themeColor="text1"/>
        </w:rPr>
        <w:t>du</w:t>
      </w:r>
      <w:r w:rsidR="0095190F" w:rsidRPr="00260790">
        <w:rPr>
          <w:rFonts w:ascii="Times New Roman" w:hAnsi="Times New Roman"/>
          <w:color w:val="000000" w:themeColor="text1"/>
        </w:rPr>
        <w:t xml:space="preserve"> Plan</w:t>
      </w:r>
      <w:r w:rsidR="00054447" w:rsidRPr="00260790">
        <w:rPr>
          <w:rFonts w:ascii="Times New Roman" w:hAnsi="Times New Roman"/>
          <w:color w:val="000000" w:themeColor="text1"/>
        </w:rPr>
        <w:t xml:space="preserve"> d’Action</w:t>
      </w:r>
      <w:r w:rsidR="00C61696">
        <w:rPr>
          <w:rFonts w:ascii="Times New Roman" w:hAnsi="Times New Roman"/>
          <w:color w:val="000000" w:themeColor="text1"/>
        </w:rPr>
        <w:t>s</w:t>
      </w:r>
      <w:r w:rsidR="00054447" w:rsidRPr="00260790">
        <w:rPr>
          <w:rFonts w:ascii="Times New Roman" w:hAnsi="Times New Roman"/>
          <w:color w:val="000000" w:themeColor="text1"/>
        </w:rPr>
        <w:t xml:space="preserve"> de Réinstallation (PAR), l</w:t>
      </w:r>
      <w:r w:rsidRPr="00260790">
        <w:rPr>
          <w:rFonts w:ascii="Times New Roman" w:hAnsi="Times New Roman"/>
          <w:color w:val="000000" w:themeColor="text1"/>
        </w:rPr>
        <w:t xml:space="preserve">es Préfets </w:t>
      </w:r>
      <w:r w:rsidR="00054447" w:rsidRPr="00260790">
        <w:rPr>
          <w:rFonts w:ascii="Times New Roman" w:hAnsi="Times New Roman"/>
          <w:color w:val="000000" w:themeColor="text1"/>
        </w:rPr>
        <w:t xml:space="preserve">sont chargés de mettre en place mettre en place des commissions départementales de recensement et d’évaluation des impenses (CDREI) qui sont impliquées dans tout le processus de réinstallation. A cet effet, le Consultant a, dès le départ, pris contact avec ces autorités pour </w:t>
      </w:r>
      <w:r w:rsidR="00C52E25" w:rsidRPr="00260790">
        <w:rPr>
          <w:rFonts w:ascii="Times New Roman" w:hAnsi="Times New Roman"/>
          <w:color w:val="000000" w:themeColor="text1"/>
        </w:rPr>
        <w:t xml:space="preserve">fixer la date butoir et </w:t>
      </w:r>
      <w:r w:rsidR="00054447" w:rsidRPr="00260790">
        <w:rPr>
          <w:rFonts w:ascii="Times New Roman" w:hAnsi="Times New Roman"/>
          <w:color w:val="000000" w:themeColor="text1"/>
        </w:rPr>
        <w:t>la planifi</w:t>
      </w:r>
      <w:r w:rsidR="00C52E25" w:rsidRPr="00260790">
        <w:rPr>
          <w:rFonts w:ascii="Times New Roman" w:hAnsi="Times New Roman"/>
          <w:color w:val="000000" w:themeColor="text1"/>
        </w:rPr>
        <w:t>er</w:t>
      </w:r>
      <w:r w:rsidR="00054447" w:rsidRPr="00260790">
        <w:rPr>
          <w:rFonts w:ascii="Times New Roman" w:hAnsi="Times New Roman"/>
          <w:color w:val="000000" w:themeColor="text1"/>
        </w:rPr>
        <w:t xml:space="preserve"> </w:t>
      </w:r>
      <w:r w:rsidR="00C52E25" w:rsidRPr="00260790">
        <w:rPr>
          <w:rFonts w:ascii="Times New Roman" w:hAnsi="Times New Roman"/>
          <w:color w:val="000000" w:themeColor="text1"/>
        </w:rPr>
        <w:t>l</w:t>
      </w:r>
      <w:r w:rsidR="00054447" w:rsidRPr="00260790">
        <w:rPr>
          <w:rFonts w:ascii="Times New Roman" w:hAnsi="Times New Roman"/>
          <w:color w:val="000000" w:themeColor="text1"/>
        </w:rPr>
        <w:t>es opérations d’identification</w:t>
      </w:r>
      <w:r w:rsidR="00C52E25" w:rsidRPr="00260790">
        <w:rPr>
          <w:rFonts w:ascii="Times New Roman" w:hAnsi="Times New Roman"/>
          <w:color w:val="000000" w:themeColor="text1"/>
        </w:rPr>
        <w:t>,</w:t>
      </w:r>
      <w:r w:rsidR="00054447" w:rsidRPr="00260790">
        <w:rPr>
          <w:rFonts w:ascii="Times New Roman" w:hAnsi="Times New Roman"/>
          <w:color w:val="000000" w:themeColor="text1"/>
        </w:rPr>
        <w:t xml:space="preserve"> </w:t>
      </w:r>
      <w:r w:rsidR="00C52E25" w:rsidRPr="00260790">
        <w:rPr>
          <w:rFonts w:ascii="Times New Roman" w:hAnsi="Times New Roman"/>
          <w:color w:val="000000" w:themeColor="text1"/>
        </w:rPr>
        <w:t xml:space="preserve">de recensement </w:t>
      </w:r>
      <w:r w:rsidR="00054447" w:rsidRPr="00260790">
        <w:rPr>
          <w:rFonts w:ascii="Times New Roman" w:hAnsi="Times New Roman"/>
          <w:color w:val="000000" w:themeColor="text1"/>
        </w:rPr>
        <w:t>et d’évaluation des b</w:t>
      </w:r>
      <w:r w:rsidR="00C52E25" w:rsidRPr="00260790">
        <w:rPr>
          <w:rFonts w:ascii="Times New Roman" w:hAnsi="Times New Roman"/>
          <w:color w:val="000000" w:themeColor="text1"/>
        </w:rPr>
        <w:t>iens affectés par le projet.</w:t>
      </w:r>
    </w:p>
    <w:p w14:paraId="6F944871" w14:textId="793A19A7" w:rsidR="008614FA" w:rsidRPr="00260790" w:rsidRDefault="008614FA" w:rsidP="001748C6">
      <w:pPr>
        <w:pStyle w:val="Paragraphedeliste"/>
        <w:numPr>
          <w:ilvl w:val="0"/>
          <w:numId w:val="206"/>
        </w:numPr>
        <w:shd w:val="clear" w:color="auto" w:fill="D9E2F3" w:themeFill="accent5" w:themeFillTint="33"/>
        <w:spacing w:line="240" w:lineRule="auto"/>
        <w:jc w:val="both"/>
        <w:rPr>
          <w:rFonts w:ascii="Times New Roman" w:hAnsi="Times New Roman"/>
          <w:b/>
          <w:i/>
          <w:iCs/>
          <w:color w:val="000000" w:themeColor="text1"/>
        </w:rPr>
      </w:pPr>
      <w:r w:rsidRPr="00260790">
        <w:rPr>
          <w:rFonts w:ascii="Times New Roman" w:hAnsi="Times New Roman"/>
          <w:b/>
          <w:i/>
          <w:iCs/>
          <w:color w:val="000000" w:themeColor="text1"/>
        </w:rPr>
        <w:t>Avis et appréciations sur le Projet</w:t>
      </w:r>
    </w:p>
    <w:p w14:paraId="0E374BBA" w14:textId="5C898FB4" w:rsidR="00C52E25" w:rsidRPr="00260790" w:rsidRDefault="00C52E25" w:rsidP="00C52E25">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Pour les autorités administratives, le projet vient consolider et poursuivre les efforts de l’état et les réalisations déjà faites </w:t>
      </w:r>
      <w:r w:rsidR="00E10F88" w:rsidRPr="00260790">
        <w:rPr>
          <w:rFonts w:ascii="Times New Roman" w:hAnsi="Times New Roman"/>
          <w:color w:val="000000" w:themeColor="text1"/>
        </w:rPr>
        <w:t xml:space="preserve">dans le cadre du PROGEP II, </w:t>
      </w:r>
      <w:r w:rsidRPr="00260790">
        <w:rPr>
          <w:rFonts w:ascii="Times New Roman" w:hAnsi="Times New Roman"/>
          <w:color w:val="000000" w:themeColor="text1"/>
        </w:rPr>
        <w:t>et qui ont apporté une nette amélioration de la situation au grand bonheur des populations impactées par les inondations.</w:t>
      </w:r>
      <w:r w:rsidR="00E10F88" w:rsidRPr="00260790">
        <w:rPr>
          <w:rFonts w:ascii="Times New Roman" w:hAnsi="Times New Roman"/>
          <w:color w:val="000000" w:themeColor="text1"/>
        </w:rPr>
        <w:t xml:space="preserve"> </w:t>
      </w:r>
    </w:p>
    <w:p w14:paraId="1627A922" w14:textId="77777777" w:rsidR="008614FA" w:rsidRPr="00260790" w:rsidRDefault="008614FA" w:rsidP="001748C6">
      <w:pPr>
        <w:pStyle w:val="Paragraphedeliste"/>
        <w:numPr>
          <w:ilvl w:val="0"/>
          <w:numId w:val="206"/>
        </w:numPr>
        <w:spacing w:line="360" w:lineRule="auto"/>
        <w:rPr>
          <w:rFonts w:ascii="Times New Roman" w:hAnsi="Times New Roman"/>
          <w:b/>
          <w:i/>
          <w:iCs/>
          <w:color w:val="000000" w:themeColor="text1"/>
        </w:rPr>
      </w:pPr>
      <w:r w:rsidRPr="00260790">
        <w:rPr>
          <w:rFonts w:ascii="Times New Roman" w:hAnsi="Times New Roman"/>
          <w:b/>
          <w:i/>
          <w:iCs/>
          <w:color w:val="000000" w:themeColor="text1"/>
        </w:rPr>
        <w:t>Préoccupations et craintes émises sur le Projet</w:t>
      </w:r>
    </w:p>
    <w:p w14:paraId="4E058278" w14:textId="7B6E5AF9" w:rsidR="00E10F88" w:rsidRPr="00260790" w:rsidRDefault="00E10F88"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Les principes préoccupations des autorités administratives portent sur :</w:t>
      </w:r>
    </w:p>
    <w:p w14:paraId="7AB4B289" w14:textId="7BBF672E" w:rsidR="00E10F88" w:rsidRPr="00260790" w:rsidRDefault="00E10F88"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L’information préalable à l’identification des sites et tracé sur la base d’une cartographie appropriée ;</w:t>
      </w:r>
    </w:p>
    <w:p w14:paraId="34BD2AF7" w14:textId="02E5AEC4" w:rsidR="00E10F88" w:rsidRPr="00260790" w:rsidRDefault="005B75F0"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Le démarrage des travaux en fonction de période des pluies ;</w:t>
      </w:r>
    </w:p>
    <w:p w14:paraId="02A7DF67" w14:textId="03F5827C" w:rsidR="005B75F0" w:rsidRPr="00260790" w:rsidRDefault="005B75F0"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La sensibilisation et la concertation régulière avec les municipalités et les populations impactées </w:t>
      </w:r>
      <w:r w:rsidR="00E82F0D" w:rsidRPr="00260790">
        <w:rPr>
          <w:rFonts w:ascii="Times New Roman" w:hAnsi="Times New Roman"/>
        </w:rPr>
        <w:t xml:space="preserve">pour une meilleure appropriation du projet </w:t>
      </w:r>
      <w:r w:rsidRPr="00260790">
        <w:rPr>
          <w:rFonts w:ascii="Times New Roman" w:hAnsi="Times New Roman"/>
        </w:rPr>
        <w:t>;</w:t>
      </w:r>
    </w:p>
    <w:p w14:paraId="31DEC757" w14:textId="2CDCF0AC" w:rsidR="005B75F0" w:rsidRPr="00260790" w:rsidRDefault="005B75F0"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L’indemnisation préalable et juste des personnes affectées par le projet ;</w:t>
      </w:r>
    </w:p>
    <w:p w14:paraId="2C18792A" w14:textId="411D5594" w:rsidR="00E10F88" w:rsidRPr="00260790" w:rsidRDefault="005B75F0" w:rsidP="001748C6">
      <w:pPr>
        <w:pStyle w:val="Paragraphedeliste"/>
        <w:numPr>
          <w:ilvl w:val="0"/>
          <w:numId w:val="376"/>
        </w:numPr>
        <w:spacing w:line="360" w:lineRule="auto"/>
        <w:jc w:val="both"/>
        <w:rPr>
          <w:rFonts w:ascii="Times New Roman" w:hAnsi="Times New Roman"/>
        </w:rPr>
      </w:pPr>
      <w:r w:rsidRPr="00260790">
        <w:rPr>
          <w:rFonts w:ascii="Times New Roman" w:hAnsi="Times New Roman"/>
        </w:rPr>
        <w:t>La sécurisation, l’entretien et la maintenance des bassins</w:t>
      </w:r>
      <w:r w:rsidR="00E82F0D" w:rsidRPr="00260790">
        <w:rPr>
          <w:rFonts w:ascii="Times New Roman" w:hAnsi="Times New Roman"/>
        </w:rPr>
        <w:t>.</w:t>
      </w:r>
    </w:p>
    <w:p w14:paraId="6C6C8D42" w14:textId="20921EB3" w:rsidR="008614FA" w:rsidRPr="00260790" w:rsidRDefault="008614FA" w:rsidP="001748C6">
      <w:pPr>
        <w:pStyle w:val="Paragraphedeliste"/>
        <w:numPr>
          <w:ilvl w:val="0"/>
          <w:numId w:val="206"/>
        </w:numPr>
        <w:spacing w:line="240" w:lineRule="auto"/>
        <w:rPr>
          <w:rFonts w:ascii="Times New Roman" w:hAnsi="Times New Roman"/>
          <w:b/>
          <w:i/>
          <w:iCs/>
          <w:color w:val="000000" w:themeColor="text1"/>
        </w:rPr>
      </w:pPr>
      <w:r w:rsidRPr="00260790">
        <w:rPr>
          <w:rFonts w:ascii="Times New Roman" w:hAnsi="Times New Roman"/>
          <w:b/>
          <w:i/>
          <w:iCs/>
          <w:color w:val="000000" w:themeColor="text1"/>
        </w:rPr>
        <w:t>Synthèse des recommandations formulées par les autorités administratives</w:t>
      </w:r>
    </w:p>
    <w:p w14:paraId="3B44C543" w14:textId="2677852F" w:rsidR="008614FA" w:rsidRPr="00260790" w:rsidRDefault="00E82F0D"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Mettre à la disposition des autorités administratives toutes l’information et la documentation utiles sur le projet (cartographie des ouvrages et des tracé) ;</w:t>
      </w:r>
    </w:p>
    <w:p w14:paraId="10448F74" w14:textId="699E346C" w:rsidR="00E82F0D" w:rsidRPr="00260790" w:rsidRDefault="00E82F0D"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Planifier les travaux en fonction de la période des pluies ;</w:t>
      </w:r>
    </w:p>
    <w:p w14:paraId="4F44B242" w14:textId="330EC2F1" w:rsidR="00E82F0D" w:rsidRPr="00260790" w:rsidRDefault="00E82F0D"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Sensibiliser les populations et impliquer les municipalités et les délégués de quartiers ;</w:t>
      </w:r>
    </w:p>
    <w:p w14:paraId="7B2911F2" w14:textId="4192B511" w:rsidR="00E82F0D" w:rsidRPr="00260790" w:rsidRDefault="00E82F0D"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Travailler avec les CDREI dans tout le processus de préparation et de mise en œuvre du PAR ;</w:t>
      </w:r>
    </w:p>
    <w:p w14:paraId="0EC8BF92" w14:textId="6B601655" w:rsidR="00E82F0D" w:rsidRPr="00260790" w:rsidRDefault="00E82F0D"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Prévoir et mobiliser les ressources nécessaires pour assurer le paiement des indemnisations avant la libération des emprises ;</w:t>
      </w:r>
    </w:p>
    <w:p w14:paraId="6EAB206D" w14:textId="125046BF" w:rsidR="00E82F0D" w:rsidRPr="00260790" w:rsidRDefault="00E82F0D"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 xml:space="preserve">Assurer la sécurité des travailleurs et des communautés riveraines, la mobilité </w:t>
      </w:r>
      <w:r w:rsidR="00A5576B" w:rsidRPr="00260790">
        <w:rPr>
          <w:rFonts w:ascii="Times New Roman" w:hAnsi="Times New Roman"/>
        </w:rPr>
        <w:t>du trafic et une bonne communication sur la planification des activités à mettre en œuvre dans le cadre du projet.</w:t>
      </w:r>
    </w:p>
    <w:p w14:paraId="22D40644" w14:textId="77777777" w:rsidR="009B7637" w:rsidRPr="00260790" w:rsidRDefault="009B7637" w:rsidP="009B7637">
      <w:pPr>
        <w:pStyle w:val="CHAPITRE1"/>
        <w:rPr>
          <w:rFonts w:cs="Times New Roman"/>
        </w:rPr>
      </w:pPr>
      <w:bookmarkStart w:id="577" w:name="_Toc212725121"/>
      <w:r w:rsidRPr="00260790">
        <w:rPr>
          <w:rFonts w:cs="Times New Roman"/>
        </w:rPr>
        <w:t>Rencontre avec les collectivités territoriales</w:t>
      </w:r>
      <w:bookmarkEnd w:id="577"/>
    </w:p>
    <w:p w14:paraId="3B0133E6" w14:textId="77777777" w:rsidR="009B7637" w:rsidRPr="00260790" w:rsidRDefault="009B7637" w:rsidP="009B7637">
      <w:pPr>
        <w:spacing w:before="240" w:line="240" w:lineRule="auto"/>
        <w:jc w:val="both"/>
        <w:rPr>
          <w:rFonts w:ascii="Times New Roman" w:hAnsi="Times New Roman"/>
          <w:color w:val="000000" w:themeColor="text1"/>
        </w:rPr>
      </w:pPr>
      <w:r w:rsidRPr="00260790">
        <w:rPr>
          <w:rFonts w:ascii="Times New Roman" w:hAnsi="Times New Roman"/>
          <w:color w:val="000000" w:themeColor="text1"/>
        </w:rPr>
        <w:t>Ces rencontres organisées au niveau des communes impactées par le projet ont regroupé différentes catégories d’acteurs communautaires : élus locaux, délégués de quartiers, leaders religieux et coutumiers, organisations communautaires de base, représentant des jeunes et des femmes, personnes handicapées, organisations de producteurs (maraichers, pêcheurs, transporteurs, etc.), les conseils de quartier, COLIGEP, presse locale, etc.</w:t>
      </w:r>
    </w:p>
    <w:p w14:paraId="3830C630" w14:textId="77777777" w:rsidR="009B7637" w:rsidRPr="00260790" w:rsidRDefault="009B7637" w:rsidP="001748C6">
      <w:pPr>
        <w:pStyle w:val="Paragraphedeliste"/>
        <w:numPr>
          <w:ilvl w:val="0"/>
          <w:numId w:val="206"/>
        </w:numPr>
        <w:shd w:val="clear" w:color="auto" w:fill="D9E2F3" w:themeFill="accent5" w:themeFillTint="33"/>
        <w:spacing w:line="240" w:lineRule="auto"/>
        <w:jc w:val="both"/>
        <w:rPr>
          <w:rFonts w:ascii="Times New Roman" w:hAnsi="Times New Roman"/>
          <w:b/>
          <w:i/>
          <w:iCs/>
          <w:color w:val="000000" w:themeColor="text1"/>
        </w:rPr>
      </w:pPr>
      <w:r w:rsidRPr="00260790">
        <w:rPr>
          <w:rFonts w:ascii="Times New Roman" w:hAnsi="Times New Roman"/>
          <w:b/>
          <w:i/>
          <w:iCs/>
          <w:color w:val="000000" w:themeColor="text1"/>
        </w:rPr>
        <w:t>Avis et appréciations sur le Projet</w:t>
      </w:r>
    </w:p>
    <w:p w14:paraId="422FEBCA" w14:textId="77777777" w:rsidR="009B7637" w:rsidRPr="00260790" w:rsidRDefault="009B7637" w:rsidP="009B7637">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collectivités territoriales considèrent que le projet est à saluer dans le sens de la poursuite des activités de lutte contre les inondations pour soulager les populations impactées. Les canalisations permettront l’évacuation des eaux pluviales vers les bassins et d’assainir les quartiers les plus touchés par les inondations. </w:t>
      </w:r>
    </w:p>
    <w:p w14:paraId="437581BE" w14:textId="77777777" w:rsidR="009B7637" w:rsidRPr="00260790" w:rsidRDefault="009B7637" w:rsidP="001748C6">
      <w:pPr>
        <w:pStyle w:val="Paragraphedeliste"/>
        <w:numPr>
          <w:ilvl w:val="0"/>
          <w:numId w:val="206"/>
        </w:numPr>
        <w:spacing w:line="240" w:lineRule="auto"/>
        <w:rPr>
          <w:rFonts w:ascii="Times New Roman" w:hAnsi="Times New Roman"/>
          <w:b/>
          <w:i/>
          <w:iCs/>
          <w:color w:val="000000" w:themeColor="text1"/>
        </w:rPr>
      </w:pPr>
      <w:r w:rsidRPr="00260790">
        <w:rPr>
          <w:rFonts w:ascii="Times New Roman" w:hAnsi="Times New Roman"/>
          <w:b/>
          <w:i/>
          <w:iCs/>
          <w:color w:val="000000" w:themeColor="text1"/>
        </w:rPr>
        <w:t>Préoccupations et craintes émises sur le Projet</w:t>
      </w:r>
    </w:p>
    <w:p w14:paraId="0DFF3C4E" w14:textId="77777777" w:rsidR="009B7637" w:rsidRPr="00260790" w:rsidRDefault="009B7637" w:rsidP="009B7637">
      <w:pPr>
        <w:spacing w:line="240" w:lineRule="auto"/>
        <w:jc w:val="both"/>
        <w:rPr>
          <w:rFonts w:ascii="Times New Roman" w:hAnsi="Times New Roman"/>
          <w:color w:val="000000" w:themeColor="text1"/>
        </w:rPr>
      </w:pPr>
      <w:r w:rsidRPr="00260790">
        <w:rPr>
          <w:rFonts w:ascii="Times New Roman" w:hAnsi="Times New Roman"/>
          <w:color w:val="000000" w:themeColor="text1"/>
        </w:rPr>
        <w:t>Les craintes et préoccupations soulevées par les acteurs communautaires sont les suivantes :</w:t>
      </w:r>
    </w:p>
    <w:p w14:paraId="13B92D7E" w14:textId="77777777" w:rsidR="009B7637" w:rsidRPr="00260790" w:rsidRDefault="009B7637" w:rsidP="001748C6">
      <w:pPr>
        <w:pStyle w:val="Paragraphedeliste"/>
        <w:numPr>
          <w:ilvl w:val="0"/>
          <w:numId w:val="375"/>
        </w:numPr>
        <w:spacing w:after="0" w:line="240" w:lineRule="auto"/>
        <w:jc w:val="both"/>
        <w:rPr>
          <w:rFonts w:ascii="Times New Roman" w:hAnsi="Times New Roman"/>
        </w:rPr>
      </w:pPr>
      <w:r w:rsidRPr="00260790">
        <w:rPr>
          <w:rFonts w:ascii="Times New Roman" w:hAnsi="Times New Roman"/>
        </w:rPr>
        <w:lastRenderedPageBreak/>
        <w:t>La non-intégration de tous les quartiers dans le projet (présence de points bas) ;</w:t>
      </w:r>
    </w:p>
    <w:p w14:paraId="4212F43E" w14:textId="77777777" w:rsidR="009B7637" w:rsidRPr="00260790" w:rsidRDefault="009B7637" w:rsidP="001748C6">
      <w:pPr>
        <w:pStyle w:val="Paragraphedeliste"/>
        <w:numPr>
          <w:ilvl w:val="0"/>
          <w:numId w:val="375"/>
        </w:numPr>
        <w:spacing w:after="0" w:line="240" w:lineRule="auto"/>
        <w:jc w:val="both"/>
        <w:rPr>
          <w:rFonts w:ascii="Times New Roman" w:hAnsi="Times New Roman"/>
        </w:rPr>
      </w:pPr>
      <w:r w:rsidRPr="00260790">
        <w:rPr>
          <w:rFonts w:ascii="Times New Roman" w:hAnsi="Times New Roman"/>
        </w:rPr>
        <w:t>Le déversement des eaux usées (fosses septiques) dans les canalisations ;</w:t>
      </w:r>
    </w:p>
    <w:p w14:paraId="6C30D493" w14:textId="77777777" w:rsidR="009B7637" w:rsidRPr="00260790" w:rsidRDefault="009B7637" w:rsidP="001748C6">
      <w:pPr>
        <w:pStyle w:val="Paragraphedeliste"/>
        <w:numPr>
          <w:ilvl w:val="0"/>
          <w:numId w:val="375"/>
        </w:numPr>
        <w:spacing w:after="0" w:line="240" w:lineRule="auto"/>
        <w:jc w:val="both"/>
        <w:rPr>
          <w:rFonts w:ascii="Times New Roman" w:hAnsi="Times New Roman"/>
        </w:rPr>
      </w:pPr>
      <w:r w:rsidRPr="00260790">
        <w:rPr>
          <w:rFonts w:ascii="Times New Roman" w:hAnsi="Times New Roman"/>
        </w:rPr>
        <w:t>La qualité et la durabilité des canalisations ;</w:t>
      </w:r>
    </w:p>
    <w:p w14:paraId="2857F461" w14:textId="77777777" w:rsidR="009B7637" w:rsidRPr="00260790" w:rsidRDefault="009B7637" w:rsidP="001748C6">
      <w:pPr>
        <w:pStyle w:val="Paragraphedeliste"/>
        <w:numPr>
          <w:ilvl w:val="0"/>
          <w:numId w:val="375"/>
        </w:numPr>
        <w:spacing w:after="0" w:line="240" w:lineRule="auto"/>
        <w:jc w:val="both"/>
        <w:rPr>
          <w:rFonts w:ascii="Times New Roman" w:hAnsi="Times New Roman"/>
        </w:rPr>
      </w:pPr>
      <w:r w:rsidRPr="00260790">
        <w:rPr>
          <w:rFonts w:ascii="Times New Roman" w:hAnsi="Times New Roman"/>
        </w:rPr>
        <w:t>L’impact négatif cumulatif des autres projets dans la zone ;</w:t>
      </w:r>
    </w:p>
    <w:p w14:paraId="5146F325" w14:textId="77777777" w:rsidR="009B7637" w:rsidRPr="00260790" w:rsidRDefault="009B7637" w:rsidP="001748C6">
      <w:pPr>
        <w:pStyle w:val="Paragraphedeliste"/>
        <w:numPr>
          <w:ilvl w:val="0"/>
          <w:numId w:val="375"/>
        </w:numPr>
        <w:spacing w:after="0" w:line="240" w:lineRule="auto"/>
        <w:jc w:val="both"/>
        <w:rPr>
          <w:rFonts w:ascii="Times New Roman" w:hAnsi="Times New Roman"/>
        </w:rPr>
      </w:pPr>
      <w:r w:rsidRPr="00260790">
        <w:rPr>
          <w:rFonts w:ascii="Times New Roman" w:hAnsi="Times New Roman"/>
        </w:rPr>
        <w:t>Les risques sanitaires liés à la mauvaise gestion des bassins et des canalisations qui servent de dépotoir d’ordure par les ménages riveraines ;</w:t>
      </w:r>
    </w:p>
    <w:p w14:paraId="29EABE57" w14:textId="77777777" w:rsidR="009B7637" w:rsidRPr="00260790" w:rsidRDefault="009B7637" w:rsidP="001748C6">
      <w:pPr>
        <w:pStyle w:val="Paragraphedeliste"/>
        <w:numPr>
          <w:ilvl w:val="0"/>
          <w:numId w:val="375"/>
        </w:numPr>
        <w:spacing w:after="0" w:line="240" w:lineRule="auto"/>
        <w:jc w:val="both"/>
        <w:rPr>
          <w:rFonts w:ascii="Times New Roman" w:hAnsi="Times New Roman"/>
        </w:rPr>
      </w:pPr>
      <w:r w:rsidRPr="00260790">
        <w:rPr>
          <w:rFonts w:ascii="Times New Roman" w:hAnsi="Times New Roman"/>
        </w:rPr>
        <w:t>Le non-respectent des cahiers de charge par les entreprises de travaux ;</w:t>
      </w:r>
    </w:p>
    <w:p w14:paraId="2D94D8A9" w14:textId="77777777" w:rsidR="009B7637" w:rsidRPr="00260790" w:rsidRDefault="009B7637" w:rsidP="001748C6">
      <w:pPr>
        <w:pStyle w:val="Paragraphedeliste"/>
        <w:numPr>
          <w:ilvl w:val="0"/>
          <w:numId w:val="375"/>
        </w:numPr>
        <w:spacing w:after="0" w:line="240" w:lineRule="auto"/>
        <w:jc w:val="both"/>
        <w:rPr>
          <w:rFonts w:ascii="Times New Roman" w:hAnsi="Times New Roman"/>
        </w:rPr>
      </w:pPr>
      <w:r w:rsidRPr="00260790">
        <w:rPr>
          <w:rFonts w:ascii="Times New Roman" w:hAnsi="Times New Roman"/>
        </w:rPr>
        <w:t>La non-implication des délégués de quartier et des municipalités dans l’identification des sites devant abriter les ouvrages projetés ;</w:t>
      </w:r>
    </w:p>
    <w:p w14:paraId="4248A90E" w14:textId="77777777" w:rsidR="009B7637" w:rsidRPr="00260790" w:rsidRDefault="009B7637" w:rsidP="001748C6">
      <w:pPr>
        <w:pStyle w:val="Paragraphedeliste"/>
        <w:numPr>
          <w:ilvl w:val="0"/>
          <w:numId w:val="375"/>
        </w:numPr>
        <w:spacing w:line="360" w:lineRule="auto"/>
        <w:jc w:val="both"/>
        <w:rPr>
          <w:rFonts w:ascii="Times New Roman" w:hAnsi="Times New Roman"/>
        </w:rPr>
      </w:pPr>
      <w:r w:rsidRPr="00260790">
        <w:rPr>
          <w:rFonts w:ascii="Times New Roman" w:hAnsi="Times New Roman"/>
        </w:rPr>
        <w:t>Le débordement des eaux pluviales </w:t>
      </w:r>
    </w:p>
    <w:p w14:paraId="788A59DF" w14:textId="77777777" w:rsidR="009B7637" w:rsidRPr="00260790" w:rsidRDefault="009B7637" w:rsidP="001748C6">
      <w:pPr>
        <w:pStyle w:val="Paragraphedeliste"/>
        <w:numPr>
          <w:ilvl w:val="0"/>
          <w:numId w:val="206"/>
        </w:numPr>
        <w:spacing w:line="240" w:lineRule="auto"/>
        <w:rPr>
          <w:rFonts w:ascii="Times New Roman" w:hAnsi="Times New Roman"/>
          <w:b/>
          <w:i/>
          <w:iCs/>
          <w:color w:val="000000" w:themeColor="text1"/>
        </w:rPr>
      </w:pPr>
      <w:r w:rsidRPr="00260790">
        <w:rPr>
          <w:rFonts w:ascii="Times New Roman" w:hAnsi="Times New Roman"/>
          <w:b/>
          <w:i/>
          <w:iCs/>
          <w:color w:val="000000" w:themeColor="text1"/>
        </w:rPr>
        <w:t>Recommandations formulées par les acteurs locaux</w:t>
      </w:r>
    </w:p>
    <w:p w14:paraId="6EA6AD68" w14:textId="77777777" w:rsidR="009B7637" w:rsidRPr="00260790" w:rsidRDefault="009B7637" w:rsidP="009B7637">
      <w:pPr>
        <w:spacing w:line="240" w:lineRule="auto"/>
        <w:jc w:val="both"/>
        <w:rPr>
          <w:rFonts w:ascii="Times New Roman" w:hAnsi="Times New Roman"/>
        </w:rPr>
      </w:pPr>
      <w:bookmarkStart w:id="578" w:name="_Hlk190298962"/>
      <w:r w:rsidRPr="00260790">
        <w:rPr>
          <w:rFonts w:ascii="Times New Roman" w:hAnsi="Times New Roman"/>
        </w:rPr>
        <w:t>Les recommandations formulées par les acteurs communautaires sont les points suivants :</w:t>
      </w:r>
    </w:p>
    <w:p w14:paraId="0B57501E" w14:textId="4AFEEA03" w:rsidR="009B7637" w:rsidRPr="00260790" w:rsidRDefault="009B7637"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 xml:space="preserve">Assurer l’entretien et le curage des bassins mis en place en impliquant les délégués de </w:t>
      </w:r>
      <w:r w:rsidR="0095190F" w:rsidRPr="00260790">
        <w:rPr>
          <w:rFonts w:ascii="Times New Roman" w:hAnsi="Times New Roman"/>
        </w:rPr>
        <w:t>quartiers ;</w:t>
      </w:r>
    </w:p>
    <w:p w14:paraId="2FA94094" w14:textId="77777777" w:rsidR="009B7637" w:rsidRPr="00260790" w:rsidRDefault="009B7637"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Impliquer les délégués de quartiers et les impactés durant tout le processus de préparation et de mise en œuvre du projet ;</w:t>
      </w:r>
    </w:p>
    <w:p w14:paraId="0B1F31A7" w14:textId="77777777" w:rsidR="009B7637" w:rsidRPr="00260790" w:rsidRDefault="009B7637"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Organiser fréquemment des séances d’information et de sensibilisation des communautés ;</w:t>
      </w:r>
    </w:p>
    <w:p w14:paraId="46C09CDF" w14:textId="77777777" w:rsidR="009B7637" w:rsidRPr="00260790" w:rsidRDefault="009B7637"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Assurer un bon dimensionnement des bassins pour éviter leur débordement ;</w:t>
      </w:r>
    </w:p>
    <w:p w14:paraId="664F029B" w14:textId="77777777" w:rsidR="009B7637" w:rsidRPr="00260790" w:rsidRDefault="009B7637"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Donner une fonction socio-économique au bassins (pêche, maraichage, etc.) ;</w:t>
      </w:r>
    </w:p>
    <w:p w14:paraId="0023EE39" w14:textId="77777777" w:rsidR="009B7637" w:rsidRPr="00260790" w:rsidRDefault="009B7637"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Mettre en place un plan de suivi des travaux en impliquant les acteurs communautaires ;</w:t>
      </w:r>
    </w:p>
    <w:p w14:paraId="7D76A21F" w14:textId="77777777" w:rsidR="009B7637" w:rsidRPr="00260790" w:rsidRDefault="009B7637"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Accélérer la mise en œuvre du projet pour soulager la population face aux inondations ;</w:t>
      </w:r>
    </w:p>
    <w:p w14:paraId="4B367FEA" w14:textId="77777777" w:rsidR="009B7637" w:rsidRPr="00260790" w:rsidRDefault="009B7637"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Assurer une interconnexion du réseau secondaire dans tous les quartiers présentant des points bas pour une bonne évacuation des eaux pluviales ;</w:t>
      </w:r>
    </w:p>
    <w:p w14:paraId="04D61771" w14:textId="77777777" w:rsidR="009B7637" w:rsidRPr="00260790" w:rsidRDefault="009B7637"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Veiller au respecter les cahiers de charges par les entreprises de travaux ;</w:t>
      </w:r>
    </w:p>
    <w:p w14:paraId="244DFEF4" w14:textId="77777777" w:rsidR="009B7637" w:rsidRPr="00260790" w:rsidRDefault="009B7637"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Recruter en priorité la main d’œuvre locale ;</w:t>
      </w:r>
    </w:p>
    <w:p w14:paraId="5F3A9342" w14:textId="77777777" w:rsidR="009B7637" w:rsidRPr="00260790" w:rsidRDefault="009B7637"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Assurer la sécurité des populations riveraines avant, pendant et après les travaux ;</w:t>
      </w:r>
    </w:p>
    <w:p w14:paraId="653022CA" w14:textId="77777777" w:rsidR="009B7637" w:rsidRPr="00260790" w:rsidRDefault="009B7637"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Prévoir la mise à disposition de motopompes au niveau des Municipalités ;</w:t>
      </w:r>
    </w:p>
    <w:p w14:paraId="02B39B18" w14:textId="77777777" w:rsidR="009B7637" w:rsidRPr="00260790" w:rsidRDefault="009B7637"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 xml:space="preserve">Prévoir la sécurisation des bassins (clôtures, éclairage, gardiens de surveillance, etc.) ; </w:t>
      </w:r>
    </w:p>
    <w:p w14:paraId="3F5196ED" w14:textId="77777777" w:rsidR="009B7637" w:rsidRPr="00260790" w:rsidRDefault="009B7637"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Réaliser des reboisements et aménagement vert autour des bassins ;</w:t>
      </w:r>
    </w:p>
    <w:p w14:paraId="3817C636" w14:textId="77777777" w:rsidR="009B7637" w:rsidRPr="00260790" w:rsidRDefault="009B7637"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Sensibiliser les populations et les travailleurs sur les risques de violence basée sur le genre ;</w:t>
      </w:r>
    </w:p>
    <w:p w14:paraId="031BD45F" w14:textId="77777777" w:rsidR="009B7637" w:rsidRPr="00260790" w:rsidRDefault="009B7637"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 xml:space="preserve">Indemniser les personnes affectées par le projet avant les travaux ; </w:t>
      </w:r>
    </w:p>
    <w:p w14:paraId="5DAEF051" w14:textId="77777777" w:rsidR="009B7637" w:rsidRPr="00260790" w:rsidRDefault="009B7637"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 xml:space="preserve">Aménager des ralentisseurs sur les voiries pour prévenir les accidents ; </w:t>
      </w:r>
    </w:p>
    <w:p w14:paraId="1B4628ED" w14:textId="77777777" w:rsidR="009B7637" w:rsidRPr="00260790" w:rsidRDefault="009B7637"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 xml:space="preserve">Accompagner la population affectée dans la régulation foncière ; </w:t>
      </w:r>
    </w:p>
    <w:p w14:paraId="6D9CB9E0" w14:textId="77777777" w:rsidR="009B7637" w:rsidRPr="00260790" w:rsidRDefault="009B7637"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Appuyer les structures de santé (médicaments, produits médicaux, prévention des maladies, etc.) et de l’éducation (clôture, équipements, fournitures scolaires, etc.).</w:t>
      </w:r>
    </w:p>
    <w:p w14:paraId="4ACDCFD4" w14:textId="0E758039" w:rsidR="008B08D9" w:rsidRPr="00260790" w:rsidRDefault="008B08D9" w:rsidP="003B6588">
      <w:pPr>
        <w:pStyle w:val="CHAPITRE1"/>
        <w:rPr>
          <w:rFonts w:cs="Times New Roman"/>
        </w:rPr>
      </w:pPr>
      <w:bookmarkStart w:id="579" w:name="_Toc212725122"/>
      <w:bookmarkEnd w:id="578"/>
      <w:r w:rsidRPr="00260790">
        <w:rPr>
          <w:rFonts w:cs="Times New Roman"/>
        </w:rPr>
        <w:t>Rencontre avec les services techniques</w:t>
      </w:r>
      <w:r w:rsidR="009B7637" w:rsidRPr="00260790">
        <w:rPr>
          <w:rFonts w:cs="Times New Roman"/>
        </w:rPr>
        <w:t xml:space="preserve"> déconcentrés</w:t>
      </w:r>
      <w:bookmarkEnd w:id="579"/>
    </w:p>
    <w:p w14:paraId="54AADF0B" w14:textId="77777777" w:rsidR="008B08D9" w:rsidRPr="00260790" w:rsidRDefault="008B08D9" w:rsidP="001748C6">
      <w:pPr>
        <w:pStyle w:val="Paragraphedeliste"/>
        <w:numPr>
          <w:ilvl w:val="0"/>
          <w:numId w:val="206"/>
        </w:numPr>
        <w:shd w:val="clear" w:color="auto" w:fill="D9E2F3" w:themeFill="accent5" w:themeFillTint="33"/>
        <w:spacing w:line="240" w:lineRule="auto"/>
        <w:jc w:val="both"/>
        <w:rPr>
          <w:rFonts w:ascii="Times New Roman" w:hAnsi="Times New Roman"/>
          <w:b/>
          <w:i/>
          <w:iCs/>
          <w:color w:val="000000" w:themeColor="text1"/>
        </w:rPr>
      </w:pPr>
      <w:r w:rsidRPr="00260790">
        <w:rPr>
          <w:rFonts w:ascii="Times New Roman" w:hAnsi="Times New Roman"/>
          <w:b/>
          <w:i/>
          <w:iCs/>
          <w:color w:val="000000" w:themeColor="text1"/>
        </w:rPr>
        <w:t>Avis et appréciations sur le Projet</w:t>
      </w:r>
    </w:p>
    <w:p w14:paraId="3A3B7978" w14:textId="77777777" w:rsidR="008B08D9" w:rsidRPr="00260790" w:rsidRDefault="008B08D9"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L'analyse du verbatim issu des échanges avec les responsables des services techniques révèle une forte acceptabilité du projet, perçue favorablement en raison de son objectif de réduire les risques d'inondation, en améliorant le système de drainage des eaux pluviales dans les quartiers périphériques de Dakar. Selon les parties consultées, une mise en œuvre efficace de ce projet permettra de soulager les populations touchées par les inondations, un phénomène récurrent qui plonge les victimes dans des situations dramatiques. Ainsi, ce projet, qui répond à un besoin réel, est considéré comme une initiative bénéfique, susceptible d'apporter un soulagement significatif, en particulier aux populations affectées par les inondations.</w:t>
      </w:r>
    </w:p>
    <w:p w14:paraId="16AFCD95" w14:textId="77777777" w:rsidR="008B08D9" w:rsidRPr="00260790" w:rsidRDefault="008B08D9"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En sus des appréhensions positives sur la nature du projet et ses activités, les acteurs institutionnels consultés ont réaffirmé leur volonté manifeste de s’engager résolument à accompagner le projet dans toutes ses phases. Par conséquent, ils ont insisté sur la nécessité d’adopter une approche holistique qui </w:t>
      </w:r>
      <w:r w:rsidRPr="00260790">
        <w:rPr>
          <w:rFonts w:ascii="Times New Roman" w:hAnsi="Times New Roman"/>
          <w:color w:val="000000" w:themeColor="text1"/>
        </w:rPr>
        <w:lastRenderedPageBreak/>
        <w:t xml:space="preserve">intègre de manière inclusive et participative l’ensemble des avis et préoccupations des parties prenantes, en mettant en place un mécanisme efficace de suivi et de partage des informations relatives au Projet. </w:t>
      </w:r>
    </w:p>
    <w:p w14:paraId="39ACD06F" w14:textId="2FD46B81" w:rsidR="008B08D9" w:rsidRPr="00260790" w:rsidRDefault="008B08D9" w:rsidP="001748C6">
      <w:pPr>
        <w:pStyle w:val="Paragraphedeliste"/>
        <w:numPr>
          <w:ilvl w:val="0"/>
          <w:numId w:val="206"/>
        </w:numPr>
        <w:shd w:val="clear" w:color="auto" w:fill="D9E2F3" w:themeFill="accent5" w:themeFillTint="33"/>
        <w:spacing w:line="240" w:lineRule="auto"/>
        <w:jc w:val="both"/>
        <w:rPr>
          <w:rFonts w:ascii="Times New Roman" w:hAnsi="Times New Roman"/>
          <w:b/>
          <w:i/>
          <w:iCs/>
          <w:color w:val="000000" w:themeColor="text1"/>
        </w:rPr>
      </w:pPr>
      <w:r w:rsidRPr="00260790">
        <w:rPr>
          <w:rFonts w:ascii="Times New Roman" w:hAnsi="Times New Roman"/>
          <w:b/>
          <w:i/>
          <w:iCs/>
          <w:color w:val="000000" w:themeColor="text1"/>
        </w:rPr>
        <w:t xml:space="preserve">Préoccupations et </w:t>
      </w:r>
      <w:r w:rsidR="00655197" w:rsidRPr="00260790">
        <w:rPr>
          <w:rFonts w:ascii="Times New Roman" w:hAnsi="Times New Roman"/>
          <w:b/>
          <w:i/>
          <w:iCs/>
          <w:color w:val="000000" w:themeColor="text1"/>
        </w:rPr>
        <w:t>c</w:t>
      </w:r>
      <w:r w:rsidRPr="00260790">
        <w:rPr>
          <w:rFonts w:ascii="Times New Roman" w:hAnsi="Times New Roman"/>
          <w:b/>
          <w:i/>
          <w:iCs/>
          <w:color w:val="000000" w:themeColor="text1"/>
        </w:rPr>
        <w:t>raintes émises sur le Projet</w:t>
      </w:r>
      <w:r w:rsidR="00F34B9E">
        <w:rPr>
          <w:rFonts w:ascii="Times New Roman" w:hAnsi="Times New Roman"/>
          <w:b/>
          <w:i/>
          <w:iCs/>
          <w:color w:val="000000" w:themeColor="text1"/>
        </w:rPr>
        <w:t xml:space="preserve"> par les parties prenantes</w:t>
      </w:r>
    </w:p>
    <w:p w14:paraId="35C5105C" w14:textId="6F7E2BC3" w:rsidR="008B08D9" w:rsidRPr="00260790" w:rsidRDefault="008B08D9"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Bien que le projet relatif aux travaux sur la partie nord et sud du bassin versant du marigot de Mbao soit perçu comme pertinent et ambitieux, il suscite néanmoins plusieurs craintes et préoccupations parmi les acteurs des services techniques consultés. En dépit d'une attention portée sur les impacts positifs, la mise en œuvre des activités du projet est perçue par ces acteurs comme susceptible d'engendrer des risques et des effets négatifs sur les plans sociaux, environnementaux et sécuritaires. Ainsi, les lignes suivantes présentent la synthèse des craintes et préoccupations formulé</w:t>
      </w:r>
      <w:r w:rsidR="008341E6" w:rsidRPr="00260790">
        <w:rPr>
          <w:rFonts w:ascii="Times New Roman" w:hAnsi="Times New Roman"/>
          <w:color w:val="000000" w:themeColor="text1"/>
        </w:rPr>
        <w:t>e</w:t>
      </w:r>
      <w:r w:rsidRPr="00260790">
        <w:rPr>
          <w:rFonts w:ascii="Times New Roman" w:hAnsi="Times New Roman"/>
          <w:color w:val="000000" w:themeColor="text1"/>
        </w:rPr>
        <w:t xml:space="preserve">s :  </w:t>
      </w:r>
    </w:p>
    <w:p w14:paraId="31120DBB" w14:textId="01BE2886" w:rsidR="00E554D9" w:rsidRDefault="00E554D9" w:rsidP="00F34B9E">
      <w:pPr>
        <w:spacing w:before="60" w:after="60" w:line="240" w:lineRule="auto"/>
        <w:ind w:left="432"/>
        <w:rPr>
          <w:rFonts w:ascii="Times New Roman" w:hAnsi="Times New Roman"/>
          <w:color w:val="000000" w:themeColor="text1"/>
          <w:u w:val="single"/>
        </w:rPr>
      </w:pPr>
    </w:p>
    <w:p w14:paraId="5A1D6364" w14:textId="314B4E92" w:rsidR="00F34B9E" w:rsidRDefault="00F34B9E" w:rsidP="001108C4">
      <w:pPr>
        <w:spacing w:before="60" w:after="60" w:line="240" w:lineRule="auto"/>
        <w:rPr>
          <w:rFonts w:ascii="Times New Roman" w:hAnsi="Times New Roman"/>
          <w:b/>
          <w:bCs/>
          <w:color w:val="000000" w:themeColor="text1"/>
          <w:u w:val="single"/>
        </w:rPr>
      </w:pPr>
      <w:r w:rsidRPr="00F34B9E">
        <w:rPr>
          <w:rFonts w:ascii="Times New Roman" w:hAnsi="Times New Roman"/>
          <w:b/>
          <w:bCs/>
          <w:color w:val="000000" w:themeColor="text1"/>
          <w:u w:val="single"/>
        </w:rPr>
        <w:t>Préoccupations générales (situation préexistante, indépendantes du projet)</w:t>
      </w:r>
    </w:p>
    <w:p w14:paraId="0B8EB6EC" w14:textId="77777777" w:rsidR="00E554D9" w:rsidRDefault="00E554D9" w:rsidP="00E554D9">
      <w:pPr>
        <w:spacing w:before="60" w:after="60" w:line="240" w:lineRule="auto"/>
        <w:ind w:left="370"/>
        <w:rPr>
          <w:rFonts w:ascii="Times New Roman" w:hAnsi="Times New Roman"/>
          <w:color w:val="000000" w:themeColor="text1"/>
          <w:u w:val="single"/>
        </w:rPr>
      </w:pPr>
      <w:r w:rsidRPr="00260790">
        <w:rPr>
          <w:rFonts w:ascii="Times New Roman" w:hAnsi="Times New Roman"/>
          <w:color w:val="000000" w:themeColor="text1"/>
          <w:u w:val="single"/>
        </w:rPr>
        <w:t>Impacts négatifs sur l’environnement et le milieu physique</w:t>
      </w:r>
    </w:p>
    <w:p w14:paraId="6B0B368D" w14:textId="77777777" w:rsidR="00E554D9" w:rsidRPr="00E554D9" w:rsidRDefault="00E554D9" w:rsidP="001108C4">
      <w:pPr>
        <w:spacing w:before="60" w:after="60" w:line="240" w:lineRule="auto"/>
        <w:ind w:left="432"/>
        <w:rPr>
          <w:rFonts w:ascii="Times New Roman" w:hAnsi="Times New Roman"/>
          <w:color w:val="000000" w:themeColor="text1"/>
          <w:u w:val="single"/>
        </w:rPr>
      </w:pPr>
    </w:p>
    <w:p w14:paraId="0C4345BB" w14:textId="3EF04311" w:rsidR="008B08D9" w:rsidRPr="0095190F" w:rsidRDefault="00655197" w:rsidP="001748C6">
      <w:pPr>
        <w:pStyle w:val="Paragraphedeliste"/>
        <w:numPr>
          <w:ilvl w:val="0"/>
          <w:numId w:val="207"/>
        </w:numPr>
        <w:spacing w:before="60" w:after="60" w:line="240" w:lineRule="auto"/>
        <w:jc w:val="both"/>
        <w:rPr>
          <w:rFonts w:ascii="Times New Roman" w:hAnsi="Times New Roman"/>
          <w:bCs/>
          <w:color w:val="000000" w:themeColor="text1"/>
        </w:rPr>
      </w:pPr>
      <w:r w:rsidRPr="0095190F">
        <w:rPr>
          <w:rFonts w:ascii="Times New Roman" w:hAnsi="Times New Roman"/>
          <w:bCs/>
          <w:color w:val="000000" w:themeColor="text1"/>
        </w:rPr>
        <w:t>D</w:t>
      </w:r>
      <w:r w:rsidR="008B08D9" w:rsidRPr="0095190F">
        <w:rPr>
          <w:rFonts w:ascii="Times New Roman" w:hAnsi="Times New Roman"/>
          <w:bCs/>
          <w:color w:val="000000" w:themeColor="text1"/>
        </w:rPr>
        <w:t xml:space="preserve">éversement des déchets dans les bassins par la </w:t>
      </w:r>
      <w:r w:rsidRPr="0095190F">
        <w:rPr>
          <w:rFonts w:ascii="Times New Roman" w:hAnsi="Times New Roman"/>
          <w:bCs/>
          <w:color w:val="000000" w:themeColor="text1"/>
        </w:rPr>
        <w:t>population ;</w:t>
      </w:r>
    </w:p>
    <w:p w14:paraId="0BD6D3C7" w14:textId="6F340D73" w:rsidR="008B08D9" w:rsidRPr="0095190F" w:rsidRDefault="008B08D9" w:rsidP="001748C6">
      <w:pPr>
        <w:pStyle w:val="Paragraphedeliste"/>
        <w:numPr>
          <w:ilvl w:val="0"/>
          <w:numId w:val="207"/>
        </w:numPr>
        <w:spacing w:before="60" w:after="60" w:line="240" w:lineRule="auto"/>
        <w:jc w:val="both"/>
        <w:rPr>
          <w:rFonts w:ascii="Times New Roman" w:hAnsi="Times New Roman"/>
          <w:color w:val="000000" w:themeColor="text1"/>
        </w:rPr>
      </w:pPr>
      <w:r w:rsidRPr="0095190F">
        <w:rPr>
          <w:rFonts w:ascii="Times New Roman" w:hAnsi="Times New Roman"/>
          <w:color w:val="000000" w:themeColor="text1"/>
        </w:rPr>
        <w:t>Pollution du marigot à cause de l’usage des engrais et pesticides</w:t>
      </w:r>
      <w:r w:rsidR="005C5B32" w:rsidRPr="0095190F">
        <w:rPr>
          <w:rFonts w:ascii="Times New Roman" w:hAnsi="Times New Roman"/>
          <w:color w:val="000000" w:themeColor="text1"/>
        </w:rPr>
        <w:t>,</w:t>
      </w:r>
      <w:r w:rsidRPr="0095190F">
        <w:rPr>
          <w:rFonts w:ascii="Times New Roman" w:hAnsi="Times New Roman"/>
          <w:color w:val="000000" w:themeColor="text1"/>
        </w:rPr>
        <w:t xml:space="preserve"> mais également des branchements clandestins qui drainent des eaux usées et des déchets solides ; </w:t>
      </w:r>
    </w:p>
    <w:p w14:paraId="3C4F60FF" w14:textId="77777777" w:rsidR="008B08D9" w:rsidRPr="0095190F" w:rsidRDefault="008B08D9" w:rsidP="001748C6">
      <w:pPr>
        <w:pStyle w:val="Paragraphedeliste"/>
        <w:numPr>
          <w:ilvl w:val="0"/>
          <w:numId w:val="207"/>
        </w:numPr>
        <w:spacing w:before="60" w:after="60" w:line="240" w:lineRule="auto"/>
        <w:jc w:val="both"/>
        <w:rPr>
          <w:rFonts w:ascii="Times New Roman" w:hAnsi="Times New Roman"/>
          <w:color w:val="000000" w:themeColor="text1"/>
        </w:rPr>
      </w:pPr>
      <w:r w:rsidRPr="0095190F">
        <w:rPr>
          <w:rFonts w:ascii="Times New Roman" w:hAnsi="Times New Roman"/>
          <w:color w:val="000000" w:themeColor="text1"/>
        </w:rPr>
        <w:t>Coupures excessives de milliers d’arbres sans avoir de compensations en retour ;</w:t>
      </w:r>
    </w:p>
    <w:p w14:paraId="4C48F68B" w14:textId="0F8CB972" w:rsidR="008B08D9" w:rsidRPr="0095190F" w:rsidRDefault="008B08D9" w:rsidP="001748C6">
      <w:pPr>
        <w:pStyle w:val="Paragraphedeliste"/>
        <w:numPr>
          <w:ilvl w:val="0"/>
          <w:numId w:val="207"/>
        </w:numPr>
        <w:spacing w:before="60" w:after="60" w:line="240" w:lineRule="auto"/>
        <w:jc w:val="both"/>
        <w:rPr>
          <w:rFonts w:ascii="Times New Roman" w:hAnsi="Times New Roman"/>
          <w:color w:val="000000" w:themeColor="text1"/>
        </w:rPr>
      </w:pPr>
      <w:r w:rsidRPr="0095190F">
        <w:rPr>
          <w:rFonts w:ascii="Times New Roman" w:hAnsi="Times New Roman"/>
          <w:color w:val="000000" w:themeColor="text1"/>
        </w:rPr>
        <w:t>Occupations irrégulières du lit du marigot en partie par les habitations de Keur Mbaye Fall et Mbao </w:t>
      </w:r>
      <w:r w:rsidR="008D3033" w:rsidRPr="0095190F">
        <w:rPr>
          <w:rFonts w:ascii="Times New Roman" w:hAnsi="Times New Roman"/>
          <w:color w:val="000000" w:themeColor="text1"/>
        </w:rPr>
        <w:t xml:space="preserve">(menaces sur la biodiversité) </w:t>
      </w:r>
      <w:r w:rsidRPr="0095190F">
        <w:rPr>
          <w:rFonts w:ascii="Times New Roman" w:hAnsi="Times New Roman"/>
          <w:color w:val="000000" w:themeColor="text1"/>
        </w:rPr>
        <w:t>;</w:t>
      </w:r>
    </w:p>
    <w:p w14:paraId="15C5DD31" w14:textId="1A78B344" w:rsidR="008B08D9" w:rsidRPr="0095190F" w:rsidRDefault="00655197" w:rsidP="001748C6">
      <w:pPr>
        <w:pStyle w:val="Paragraphedeliste"/>
        <w:numPr>
          <w:ilvl w:val="0"/>
          <w:numId w:val="207"/>
        </w:numPr>
        <w:spacing w:before="60" w:after="60" w:line="240" w:lineRule="auto"/>
        <w:jc w:val="both"/>
        <w:rPr>
          <w:rFonts w:ascii="Times New Roman" w:hAnsi="Times New Roman"/>
          <w:color w:val="000000" w:themeColor="text1"/>
        </w:rPr>
      </w:pPr>
      <w:r w:rsidRPr="0095190F">
        <w:rPr>
          <w:rFonts w:ascii="Times New Roman" w:hAnsi="Times New Roman"/>
          <w:color w:val="000000" w:themeColor="text1"/>
        </w:rPr>
        <w:t>I</w:t>
      </w:r>
      <w:r w:rsidR="008B08D9" w:rsidRPr="0095190F">
        <w:rPr>
          <w:rFonts w:ascii="Times New Roman" w:hAnsi="Times New Roman"/>
          <w:color w:val="000000" w:themeColor="text1"/>
        </w:rPr>
        <w:t>nvasion des bassins par le typha, ce qui va réduire leur fonctionnalité et leur volume ; ces typhas entrainent une compétition avec le milieu naturel par une prolifération des insectes, des reptiles et des oiseaux ;</w:t>
      </w:r>
    </w:p>
    <w:p w14:paraId="7B4870AB" w14:textId="77777777" w:rsidR="008B08D9" w:rsidRPr="0095190F" w:rsidRDefault="008B08D9" w:rsidP="001748C6">
      <w:pPr>
        <w:pStyle w:val="Paragraphedeliste"/>
        <w:numPr>
          <w:ilvl w:val="0"/>
          <w:numId w:val="207"/>
        </w:numPr>
        <w:spacing w:before="60" w:after="60" w:line="240" w:lineRule="auto"/>
        <w:jc w:val="both"/>
        <w:rPr>
          <w:rFonts w:ascii="Times New Roman" w:hAnsi="Times New Roman"/>
          <w:color w:val="000000" w:themeColor="text1"/>
        </w:rPr>
      </w:pPr>
      <w:r w:rsidRPr="0095190F">
        <w:rPr>
          <w:rFonts w:ascii="Times New Roman" w:hAnsi="Times New Roman"/>
          <w:color w:val="000000" w:themeColor="text1"/>
        </w:rPr>
        <w:t>Rétrécissement du marigot à cause de l’occupation de son lit par des habitations ;</w:t>
      </w:r>
    </w:p>
    <w:p w14:paraId="25174430" w14:textId="02A70FCD" w:rsidR="008B08D9" w:rsidRPr="0095190F" w:rsidRDefault="008B08D9" w:rsidP="001748C6">
      <w:pPr>
        <w:pStyle w:val="Paragraphedeliste"/>
        <w:numPr>
          <w:ilvl w:val="0"/>
          <w:numId w:val="207"/>
        </w:numPr>
        <w:spacing w:before="60" w:after="60" w:line="240" w:lineRule="auto"/>
        <w:jc w:val="both"/>
        <w:rPr>
          <w:rFonts w:ascii="Times New Roman" w:hAnsi="Times New Roman"/>
          <w:color w:val="000000" w:themeColor="text1"/>
        </w:rPr>
      </w:pPr>
      <w:r w:rsidRPr="0095190F">
        <w:rPr>
          <w:rFonts w:ascii="Times New Roman" w:hAnsi="Times New Roman"/>
          <w:color w:val="000000" w:themeColor="text1"/>
        </w:rPr>
        <w:t>Mauvais emplacement de l’usine Africa Fish très proche du marigot</w:t>
      </w:r>
      <w:r w:rsidR="00E92E0B" w:rsidRPr="0095190F">
        <w:rPr>
          <w:rFonts w:ascii="Times New Roman" w:hAnsi="Times New Roman"/>
          <w:color w:val="000000" w:themeColor="text1"/>
        </w:rPr>
        <w:t> ;</w:t>
      </w:r>
    </w:p>
    <w:p w14:paraId="6FD0C29F" w14:textId="0C615C51" w:rsidR="008B08D9" w:rsidRPr="0095190F" w:rsidRDefault="008B08D9" w:rsidP="001748C6">
      <w:pPr>
        <w:pStyle w:val="Paragraphedeliste"/>
        <w:numPr>
          <w:ilvl w:val="0"/>
          <w:numId w:val="207"/>
        </w:numPr>
        <w:spacing w:line="240" w:lineRule="auto"/>
        <w:jc w:val="both"/>
        <w:rPr>
          <w:rFonts w:ascii="Times New Roman" w:hAnsi="Times New Roman"/>
          <w:color w:val="000000" w:themeColor="text1"/>
        </w:rPr>
      </w:pPr>
      <w:r w:rsidRPr="0095190F">
        <w:rPr>
          <w:rFonts w:ascii="Times New Roman" w:hAnsi="Times New Roman"/>
          <w:color w:val="000000" w:themeColor="text1"/>
        </w:rPr>
        <w:t>Présence d’une forte dépression avec de l’eau en permanence dû au mauvais fonctionnement et au sous</w:t>
      </w:r>
      <w:r w:rsidR="00F32B75" w:rsidRPr="0095190F">
        <w:rPr>
          <w:rFonts w:ascii="Times New Roman" w:hAnsi="Times New Roman"/>
          <w:color w:val="000000" w:themeColor="text1"/>
        </w:rPr>
        <w:t>-</w:t>
      </w:r>
      <w:r w:rsidRPr="0095190F">
        <w:rPr>
          <w:rFonts w:ascii="Times New Roman" w:hAnsi="Times New Roman"/>
          <w:color w:val="000000" w:themeColor="text1"/>
        </w:rPr>
        <w:t xml:space="preserve">dimensionnement des ouvrages hydrauliques du TER et de l’autoroute à Péage causant la mort de plusieurs </w:t>
      </w:r>
      <w:r w:rsidR="00E92E0B" w:rsidRPr="0095190F">
        <w:rPr>
          <w:rFonts w:ascii="Times New Roman" w:hAnsi="Times New Roman"/>
          <w:color w:val="000000" w:themeColor="text1"/>
        </w:rPr>
        <w:t>arbres ;</w:t>
      </w:r>
    </w:p>
    <w:p w14:paraId="2C130579" w14:textId="77777777" w:rsidR="00026372" w:rsidRPr="0095190F" w:rsidRDefault="00026372" w:rsidP="001748C6">
      <w:pPr>
        <w:pStyle w:val="Paragraphedeliste"/>
        <w:numPr>
          <w:ilvl w:val="0"/>
          <w:numId w:val="207"/>
        </w:numPr>
        <w:spacing w:before="60" w:after="60" w:line="240" w:lineRule="auto"/>
        <w:jc w:val="both"/>
        <w:rPr>
          <w:rFonts w:ascii="Times New Roman" w:hAnsi="Times New Roman"/>
          <w:bCs/>
          <w:color w:val="000000" w:themeColor="text1"/>
        </w:rPr>
      </w:pPr>
      <w:r w:rsidRPr="0095190F">
        <w:rPr>
          <w:rFonts w:ascii="Times New Roman" w:hAnsi="Times New Roman"/>
          <w:bCs/>
          <w:color w:val="000000" w:themeColor="text1"/>
        </w:rPr>
        <w:t>Ensablement de l’embouchure et risques d’obstructions de l’évacuation des eaux pluviales ;</w:t>
      </w:r>
    </w:p>
    <w:p w14:paraId="30104C6D" w14:textId="75CE2A4A" w:rsidR="00F34B9E" w:rsidRDefault="00026372" w:rsidP="0095190F">
      <w:pPr>
        <w:pStyle w:val="Paragraphedeliste"/>
        <w:numPr>
          <w:ilvl w:val="0"/>
          <w:numId w:val="207"/>
        </w:numPr>
        <w:spacing w:before="60" w:after="60" w:line="240" w:lineRule="auto"/>
        <w:jc w:val="both"/>
        <w:rPr>
          <w:rFonts w:ascii="Times New Roman" w:hAnsi="Times New Roman"/>
          <w:bCs/>
          <w:color w:val="000000" w:themeColor="text1"/>
        </w:rPr>
      </w:pPr>
      <w:r w:rsidRPr="0095190F">
        <w:rPr>
          <w:rFonts w:ascii="Times New Roman" w:hAnsi="Times New Roman"/>
          <w:bCs/>
          <w:color w:val="000000" w:themeColor="text1"/>
        </w:rPr>
        <w:t>Impacts cumulatifs sur l’écoulement des eaux pluviales des projets antérieurs (TER, Autoroute à péage, etc.)</w:t>
      </w:r>
      <w:r w:rsidR="0095190F">
        <w:rPr>
          <w:rFonts w:ascii="Times New Roman" w:hAnsi="Times New Roman"/>
          <w:bCs/>
          <w:color w:val="000000" w:themeColor="text1"/>
        </w:rPr>
        <w:t>.</w:t>
      </w:r>
    </w:p>
    <w:p w14:paraId="0D38B3E7" w14:textId="77777777" w:rsidR="0095190F" w:rsidRPr="0095190F" w:rsidRDefault="0095190F" w:rsidP="0095190F">
      <w:pPr>
        <w:pStyle w:val="Paragraphedeliste"/>
        <w:spacing w:before="60" w:after="60" w:line="240" w:lineRule="auto"/>
        <w:jc w:val="both"/>
        <w:rPr>
          <w:rFonts w:ascii="Times New Roman" w:hAnsi="Times New Roman"/>
          <w:bCs/>
          <w:color w:val="000000" w:themeColor="text1"/>
        </w:rPr>
      </w:pPr>
    </w:p>
    <w:p w14:paraId="55B4A974" w14:textId="209760D0" w:rsidR="00E554D9" w:rsidRPr="001108C4" w:rsidRDefault="00E554D9" w:rsidP="00E554D9">
      <w:pPr>
        <w:spacing w:before="60" w:after="60" w:line="240" w:lineRule="auto"/>
        <w:ind w:left="360"/>
        <w:jc w:val="both"/>
        <w:rPr>
          <w:rFonts w:ascii="Times New Roman" w:hAnsi="Times New Roman"/>
          <w:color w:val="000000" w:themeColor="text1"/>
          <w:u w:val="single"/>
        </w:rPr>
      </w:pPr>
      <w:r w:rsidRPr="001108C4">
        <w:rPr>
          <w:rFonts w:ascii="Times New Roman" w:hAnsi="Times New Roman"/>
          <w:color w:val="000000" w:themeColor="text1"/>
          <w:u w:val="single"/>
        </w:rPr>
        <w:t>Impacts socioéconomiques sur les populations riveraines</w:t>
      </w:r>
    </w:p>
    <w:p w14:paraId="765F9488" w14:textId="398BA19E" w:rsidR="00E554D9" w:rsidRPr="00E554D9" w:rsidRDefault="00E554D9" w:rsidP="00E554D9">
      <w:pPr>
        <w:numPr>
          <w:ilvl w:val="0"/>
          <w:numId w:val="396"/>
        </w:numPr>
        <w:spacing w:before="60" w:after="60" w:line="240" w:lineRule="auto"/>
        <w:jc w:val="both"/>
        <w:rPr>
          <w:rFonts w:ascii="Times New Roman" w:hAnsi="Times New Roman"/>
          <w:bCs/>
          <w:color w:val="000000" w:themeColor="text1"/>
        </w:rPr>
      </w:pPr>
      <w:r w:rsidRPr="00E554D9">
        <w:rPr>
          <w:rFonts w:ascii="Times New Roman" w:hAnsi="Times New Roman"/>
          <w:bCs/>
          <w:color w:val="000000" w:themeColor="text1"/>
        </w:rPr>
        <w:t>Dégradation du cadre de vie.</w:t>
      </w:r>
    </w:p>
    <w:p w14:paraId="24A0FDA7" w14:textId="77777777" w:rsidR="00E554D9" w:rsidRDefault="00E554D9" w:rsidP="00E554D9">
      <w:pPr>
        <w:numPr>
          <w:ilvl w:val="0"/>
          <w:numId w:val="396"/>
        </w:numPr>
        <w:spacing w:before="60" w:after="60" w:line="240" w:lineRule="auto"/>
        <w:jc w:val="both"/>
        <w:rPr>
          <w:rFonts w:ascii="Times New Roman" w:hAnsi="Times New Roman"/>
          <w:bCs/>
          <w:color w:val="000000" w:themeColor="text1"/>
        </w:rPr>
      </w:pPr>
      <w:r w:rsidRPr="00E554D9">
        <w:rPr>
          <w:rFonts w:ascii="Times New Roman" w:hAnsi="Times New Roman"/>
          <w:bCs/>
          <w:color w:val="000000" w:themeColor="text1"/>
        </w:rPr>
        <w:t>Non</w:t>
      </w:r>
      <w:r w:rsidRPr="00E554D9">
        <w:rPr>
          <w:rFonts w:ascii="Times New Roman" w:hAnsi="Times New Roman"/>
          <w:bCs/>
          <w:color w:val="000000" w:themeColor="text1"/>
        </w:rPr>
        <w:noBreakHyphen/>
        <w:t>appropriation du projet par la population (perception sociale et manque d’adhésion).</w:t>
      </w:r>
    </w:p>
    <w:p w14:paraId="69D2EC6B" w14:textId="6DBDC7A5" w:rsidR="00E554D9" w:rsidRPr="00E554D9" w:rsidRDefault="00E554D9" w:rsidP="001108C4">
      <w:pPr>
        <w:numPr>
          <w:ilvl w:val="0"/>
          <w:numId w:val="396"/>
        </w:numPr>
        <w:spacing w:before="60" w:after="60" w:line="240" w:lineRule="auto"/>
        <w:jc w:val="both"/>
        <w:rPr>
          <w:rFonts w:ascii="Times New Roman" w:hAnsi="Times New Roman"/>
          <w:bCs/>
          <w:color w:val="000000" w:themeColor="text1"/>
        </w:rPr>
      </w:pPr>
      <w:r w:rsidRPr="00E554D9">
        <w:rPr>
          <w:rFonts w:ascii="Times New Roman" w:hAnsi="Times New Roman"/>
          <w:bCs/>
          <w:color w:val="000000" w:themeColor="text1"/>
        </w:rPr>
        <w:t>Risques de conflits liés à la non</w:t>
      </w:r>
      <w:r w:rsidRPr="00E554D9">
        <w:rPr>
          <w:rFonts w:ascii="Times New Roman" w:hAnsi="Times New Roman"/>
          <w:bCs/>
          <w:color w:val="000000" w:themeColor="text1"/>
        </w:rPr>
        <w:noBreakHyphen/>
        <w:t>prise en compte de la main</w:t>
      </w:r>
      <w:r w:rsidRPr="00E554D9">
        <w:rPr>
          <w:rFonts w:ascii="Times New Roman" w:hAnsi="Times New Roman"/>
          <w:bCs/>
          <w:color w:val="000000" w:themeColor="text1"/>
        </w:rPr>
        <w:noBreakHyphen/>
        <w:t>d’œuvre locale.</w:t>
      </w:r>
    </w:p>
    <w:p w14:paraId="6D27155E" w14:textId="77777777" w:rsidR="00E554D9" w:rsidRPr="00260790" w:rsidRDefault="00E554D9" w:rsidP="00E554D9">
      <w:pPr>
        <w:spacing w:before="60" w:after="60" w:line="240" w:lineRule="auto"/>
        <w:ind w:left="370"/>
        <w:jc w:val="both"/>
        <w:rPr>
          <w:rFonts w:ascii="Times New Roman" w:hAnsi="Times New Roman"/>
          <w:color w:val="000000" w:themeColor="text1"/>
          <w:u w:val="single"/>
        </w:rPr>
      </w:pPr>
      <w:r w:rsidRPr="00260790">
        <w:rPr>
          <w:rFonts w:ascii="Times New Roman" w:hAnsi="Times New Roman"/>
          <w:color w:val="000000" w:themeColor="text1"/>
          <w:u w:val="single"/>
        </w:rPr>
        <w:t>Sur le plan de la gestion technique et administrative du projet</w:t>
      </w:r>
    </w:p>
    <w:p w14:paraId="0F6BA944" w14:textId="77777777" w:rsidR="00E554D9" w:rsidRPr="00260790" w:rsidRDefault="00E554D9" w:rsidP="00E554D9">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Non-respect des engagements du protocole entre l’ADM et les Eaux et forêts par rapport aux mesures d’atténuations et de compensations ;</w:t>
      </w:r>
    </w:p>
    <w:p w14:paraId="3437D054" w14:textId="77777777" w:rsidR="00E554D9" w:rsidRDefault="00E554D9" w:rsidP="00E554D9">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Conflits liés au non-respect de la législation relative au travail et droit des travailleurs ;</w:t>
      </w:r>
    </w:p>
    <w:p w14:paraId="1A69EA66" w14:textId="605B9389" w:rsidR="00E554D9" w:rsidRPr="001108C4" w:rsidRDefault="00E554D9" w:rsidP="001108C4">
      <w:pPr>
        <w:pStyle w:val="Paragraphedeliste"/>
        <w:numPr>
          <w:ilvl w:val="0"/>
          <w:numId w:val="207"/>
        </w:numPr>
        <w:spacing w:before="60" w:after="60" w:line="240" w:lineRule="auto"/>
        <w:jc w:val="both"/>
        <w:rPr>
          <w:rFonts w:ascii="Times New Roman" w:hAnsi="Times New Roman"/>
          <w:bCs/>
          <w:color w:val="000000" w:themeColor="text1"/>
        </w:rPr>
      </w:pPr>
      <w:r w:rsidRPr="001108C4">
        <w:rPr>
          <w:rFonts w:ascii="Times New Roman" w:hAnsi="Times New Roman"/>
          <w:bCs/>
          <w:color w:val="000000" w:themeColor="text1"/>
        </w:rPr>
        <w:t>Partage d’informations techniques sur le projet avec les services techniques (plan des sites et des ouvrages, cartographie des bassins versants et du marigot de Mbao, etc.).</w:t>
      </w:r>
    </w:p>
    <w:p w14:paraId="13DC7BA4" w14:textId="77777777" w:rsidR="00E554D9" w:rsidRPr="001108C4" w:rsidRDefault="00E554D9" w:rsidP="001108C4">
      <w:pPr>
        <w:spacing w:before="60" w:after="60" w:line="240" w:lineRule="auto"/>
        <w:ind w:left="360"/>
        <w:jc w:val="both"/>
        <w:rPr>
          <w:rFonts w:ascii="Times New Roman" w:hAnsi="Times New Roman"/>
          <w:color w:val="000000" w:themeColor="text1"/>
        </w:rPr>
      </w:pPr>
    </w:p>
    <w:p w14:paraId="2A87D376" w14:textId="3E04AE79" w:rsidR="00F34B9E" w:rsidRPr="001108C4" w:rsidRDefault="00F34B9E" w:rsidP="001108C4">
      <w:pPr>
        <w:spacing w:before="60" w:after="60" w:line="240" w:lineRule="auto"/>
        <w:ind w:left="432"/>
        <w:rPr>
          <w:rFonts w:ascii="Times New Roman" w:hAnsi="Times New Roman"/>
          <w:b/>
          <w:color w:val="000000" w:themeColor="text1"/>
        </w:rPr>
      </w:pPr>
      <w:r w:rsidRPr="001108C4">
        <w:rPr>
          <w:rFonts w:ascii="Times New Roman" w:hAnsi="Times New Roman"/>
          <w:b/>
          <w:color w:val="000000" w:themeColor="text1"/>
        </w:rPr>
        <w:t>Préoccupations induites par le projet (liées aux travaux et activités prévues)</w:t>
      </w:r>
    </w:p>
    <w:p w14:paraId="529AC718" w14:textId="77777777" w:rsidR="002100C9" w:rsidRPr="00260790" w:rsidRDefault="002100C9" w:rsidP="002100C9">
      <w:pPr>
        <w:pStyle w:val="Paragraphedeliste"/>
        <w:widowControl w:val="0"/>
        <w:numPr>
          <w:ilvl w:val="0"/>
          <w:numId w:val="207"/>
        </w:numPr>
        <w:autoSpaceDE w:val="0"/>
        <w:autoSpaceDN w:val="0"/>
        <w:spacing w:after="0" w:line="240" w:lineRule="auto"/>
        <w:jc w:val="both"/>
        <w:rPr>
          <w:rFonts w:ascii="Times New Roman" w:hAnsi="Times New Roman"/>
          <w:color w:val="000000" w:themeColor="text1"/>
        </w:rPr>
      </w:pPr>
      <w:r w:rsidRPr="00260790">
        <w:rPr>
          <w:rFonts w:ascii="Times New Roman" w:hAnsi="Times New Roman"/>
          <w:color w:val="000000" w:themeColor="text1"/>
        </w:rPr>
        <w:t>Émanation de poussières avec les travaux (risque de pneumopathie) ;</w:t>
      </w:r>
    </w:p>
    <w:p w14:paraId="16D4B40B" w14:textId="77777777" w:rsidR="002100C9" w:rsidRPr="00260790" w:rsidRDefault="002100C9" w:rsidP="002100C9">
      <w:pPr>
        <w:pStyle w:val="Paragraphedeliste"/>
        <w:numPr>
          <w:ilvl w:val="0"/>
          <w:numId w:val="207"/>
        </w:numPr>
        <w:spacing w:before="60" w:after="60" w:line="240" w:lineRule="auto"/>
        <w:jc w:val="both"/>
        <w:rPr>
          <w:rFonts w:ascii="Times New Roman" w:hAnsi="Times New Roman"/>
          <w:color w:val="000000" w:themeColor="text1"/>
        </w:rPr>
      </w:pPr>
      <w:r w:rsidRPr="00260790">
        <w:rPr>
          <w:rFonts w:ascii="Times New Roman" w:hAnsi="Times New Roman"/>
          <w:color w:val="000000" w:themeColor="text1"/>
        </w:rPr>
        <w:t>Nuisances sonores par les engins ;</w:t>
      </w:r>
    </w:p>
    <w:p w14:paraId="790BD90B" w14:textId="77777777" w:rsidR="002100C9" w:rsidRPr="00260790" w:rsidRDefault="002100C9" w:rsidP="002100C9">
      <w:pPr>
        <w:pStyle w:val="Paragraphedeliste"/>
        <w:numPr>
          <w:ilvl w:val="0"/>
          <w:numId w:val="207"/>
        </w:numPr>
        <w:spacing w:before="60" w:after="60" w:line="240" w:lineRule="auto"/>
        <w:jc w:val="both"/>
        <w:rPr>
          <w:rFonts w:ascii="Times New Roman" w:hAnsi="Times New Roman"/>
          <w:color w:val="000000" w:themeColor="text1"/>
        </w:rPr>
      </w:pPr>
      <w:r w:rsidRPr="00260790">
        <w:rPr>
          <w:rFonts w:ascii="Times New Roman" w:hAnsi="Times New Roman"/>
          <w:color w:val="000000" w:themeColor="text1"/>
        </w:rPr>
        <w:t>Risques sanitaires liés à l’eau des bassins avec prolifération des moustiques et autres reptiles ;</w:t>
      </w:r>
    </w:p>
    <w:p w14:paraId="0E04571A" w14:textId="77777777" w:rsidR="002100C9" w:rsidRPr="002100C9" w:rsidRDefault="002100C9" w:rsidP="002100C9">
      <w:pPr>
        <w:pStyle w:val="Paragraphedeliste"/>
        <w:numPr>
          <w:ilvl w:val="0"/>
          <w:numId w:val="207"/>
        </w:numPr>
        <w:spacing w:before="60" w:after="60" w:line="240" w:lineRule="auto"/>
        <w:jc w:val="both"/>
        <w:rPr>
          <w:rFonts w:ascii="Times New Roman" w:hAnsi="Times New Roman"/>
          <w:bCs/>
          <w:color w:val="000000" w:themeColor="text1"/>
        </w:rPr>
      </w:pPr>
      <w:r w:rsidRPr="00F34B9E">
        <w:rPr>
          <w:rFonts w:ascii="Times New Roman" w:hAnsi="Times New Roman"/>
          <w:bCs/>
          <w:color w:val="000000" w:themeColor="text1"/>
        </w:rPr>
        <w:t>Coupure de la connexion entre la Mer et le marigot rendant difficile l’écoulement des eaux pluviales et créant des risques d’inondations</w:t>
      </w:r>
      <w:proofErr w:type="gramStart"/>
      <w:r w:rsidRPr="00F34B9E">
        <w:rPr>
          <w:rFonts w:ascii="Times New Roman" w:hAnsi="Times New Roman"/>
          <w:bCs/>
          <w:color w:val="000000" w:themeColor="text1"/>
        </w:rPr>
        <w:t> ;</w:t>
      </w:r>
      <w:r w:rsidRPr="00DA07F1">
        <w:rPr>
          <w:rFonts w:ascii="Times New Roman" w:hAnsi="Times New Roman"/>
          <w:color w:val="000000" w:themeColor="text1"/>
        </w:rPr>
        <w:t>Quantité</w:t>
      </w:r>
      <w:proofErr w:type="gramEnd"/>
      <w:r w:rsidRPr="00DA07F1">
        <w:rPr>
          <w:rFonts w:ascii="Times New Roman" w:hAnsi="Times New Roman"/>
          <w:color w:val="000000" w:themeColor="text1"/>
        </w:rPr>
        <w:t xml:space="preserve"> énorme d’eau que reçoit la FC va entrainer des conséquences néfastes sur la gestion de la Forêt Classée par une modification du </w:t>
      </w:r>
      <w:r w:rsidRPr="00DA07F1">
        <w:rPr>
          <w:rFonts w:ascii="Times New Roman" w:hAnsi="Times New Roman"/>
          <w:color w:val="000000" w:themeColor="text1"/>
        </w:rPr>
        <w:lastRenderedPageBreak/>
        <w:t>milieu (biotope et biocénose) avec un phénomène d’eutrophisation (Stagnation quasi permanente de l’eau entre l’autoroute à péage et le TER</w:t>
      </w:r>
      <w:r w:rsidRPr="00F34B9E">
        <w:rPr>
          <w:rFonts w:ascii="Times New Roman" w:hAnsi="Times New Roman"/>
          <w:color w:val="000000" w:themeColor="text1"/>
        </w:rPr>
        <w:t>) </w:t>
      </w:r>
    </w:p>
    <w:p w14:paraId="449B87D7" w14:textId="27EB6EBF" w:rsidR="00E05851" w:rsidRPr="00260790" w:rsidRDefault="00E05851" w:rsidP="002100C9">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Le nombre conséquent d’ouvrages hydrauliques (bassins et canaux de drainage) va occuper une emprise conséquente de la forêt qui a déjà subi des réductions de surfaces avec l’autoroute et les occupations anthropiques ;</w:t>
      </w:r>
    </w:p>
    <w:p w14:paraId="7ACD1D25" w14:textId="2917F679" w:rsidR="00026372" w:rsidRPr="00260790" w:rsidRDefault="00E05851" w:rsidP="001748C6">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Impacts sur les installations de réseaux des concessionnaires et les émissions des antennes de certains services (</w:t>
      </w:r>
      <w:r w:rsidR="00E92E0B" w:rsidRPr="00260790">
        <w:rPr>
          <w:rFonts w:ascii="Times New Roman" w:hAnsi="Times New Roman"/>
          <w:bCs/>
          <w:color w:val="000000" w:themeColor="text1"/>
        </w:rPr>
        <w:t>SONATEL, SEN EAU, SENELEC, ASECNA</w:t>
      </w:r>
      <w:r w:rsidR="00273847" w:rsidRPr="00260790">
        <w:rPr>
          <w:rFonts w:ascii="Times New Roman" w:hAnsi="Times New Roman"/>
          <w:bCs/>
          <w:color w:val="000000" w:themeColor="text1"/>
        </w:rPr>
        <w:t>,</w:t>
      </w:r>
      <w:r w:rsidRPr="00260790">
        <w:rPr>
          <w:rFonts w:ascii="Times New Roman" w:hAnsi="Times New Roman"/>
          <w:bCs/>
          <w:color w:val="000000" w:themeColor="text1"/>
        </w:rPr>
        <w:t xml:space="preserve"> etc.).</w:t>
      </w:r>
    </w:p>
    <w:p w14:paraId="4B4B048A" w14:textId="77777777" w:rsidR="00E554D9" w:rsidRDefault="00E554D9" w:rsidP="00E554D9">
      <w:pPr>
        <w:pStyle w:val="Paragraphedeliste"/>
        <w:numPr>
          <w:ilvl w:val="0"/>
          <w:numId w:val="207"/>
        </w:numPr>
        <w:spacing w:before="60" w:after="60" w:line="240" w:lineRule="auto"/>
        <w:jc w:val="both"/>
        <w:rPr>
          <w:rFonts w:ascii="Times New Roman" w:eastAsia="Times New Roman" w:hAnsi="Times New Roman"/>
          <w:sz w:val="24"/>
          <w:szCs w:val="24"/>
          <w:lang w:eastAsia="fr-FR"/>
        </w:rPr>
      </w:pPr>
      <w:r w:rsidRPr="00E554D9">
        <w:rPr>
          <w:rFonts w:ascii="Times New Roman" w:eastAsia="Times New Roman" w:hAnsi="Times New Roman"/>
          <w:sz w:val="24"/>
          <w:szCs w:val="24"/>
          <w:lang w:eastAsia="fr-FR"/>
        </w:rPr>
        <w:t>Perturbation temporaire des activités économiques établies sur l’emprise des travaux</w:t>
      </w:r>
      <w:r>
        <w:rPr>
          <w:rFonts w:ascii="Times New Roman" w:eastAsia="Times New Roman" w:hAnsi="Times New Roman"/>
          <w:sz w:val="24"/>
          <w:szCs w:val="24"/>
          <w:lang w:eastAsia="fr-FR"/>
        </w:rPr>
        <w:t>.</w:t>
      </w:r>
    </w:p>
    <w:p w14:paraId="3FE32D4C" w14:textId="77777777" w:rsidR="00E554D9" w:rsidRDefault="00E554D9" w:rsidP="00E554D9">
      <w:pPr>
        <w:pStyle w:val="Paragraphedeliste"/>
        <w:numPr>
          <w:ilvl w:val="0"/>
          <w:numId w:val="207"/>
        </w:numPr>
        <w:spacing w:before="60" w:after="60" w:line="240" w:lineRule="auto"/>
        <w:jc w:val="both"/>
        <w:rPr>
          <w:rFonts w:ascii="Times New Roman" w:eastAsia="Times New Roman" w:hAnsi="Times New Roman"/>
          <w:sz w:val="24"/>
          <w:szCs w:val="24"/>
          <w:lang w:eastAsia="fr-FR"/>
        </w:rPr>
      </w:pPr>
      <w:r w:rsidRPr="001108C4">
        <w:rPr>
          <w:rFonts w:ascii="Times New Roman" w:eastAsia="Times New Roman" w:hAnsi="Times New Roman"/>
          <w:sz w:val="24"/>
          <w:szCs w:val="24"/>
          <w:lang w:eastAsia="fr-FR"/>
        </w:rPr>
        <w:t>Impacts sur les habitations (déplacements) installées sur l’emprise des travaux</w:t>
      </w:r>
      <w:r>
        <w:rPr>
          <w:rFonts w:ascii="Times New Roman" w:eastAsia="Times New Roman" w:hAnsi="Times New Roman"/>
          <w:sz w:val="24"/>
          <w:szCs w:val="24"/>
          <w:lang w:eastAsia="fr-FR"/>
        </w:rPr>
        <w:t>.</w:t>
      </w:r>
    </w:p>
    <w:p w14:paraId="772BC085" w14:textId="77777777" w:rsidR="00E554D9" w:rsidRDefault="00E554D9" w:rsidP="00E554D9">
      <w:pPr>
        <w:pStyle w:val="Paragraphedeliste"/>
        <w:numPr>
          <w:ilvl w:val="0"/>
          <w:numId w:val="207"/>
        </w:numPr>
        <w:spacing w:before="60" w:after="60" w:line="240" w:lineRule="auto"/>
        <w:jc w:val="both"/>
        <w:rPr>
          <w:rFonts w:ascii="Times New Roman" w:eastAsia="Times New Roman" w:hAnsi="Times New Roman"/>
          <w:sz w:val="24"/>
          <w:szCs w:val="24"/>
          <w:lang w:eastAsia="fr-FR"/>
        </w:rPr>
      </w:pPr>
      <w:r w:rsidRPr="001108C4">
        <w:rPr>
          <w:rFonts w:ascii="Times New Roman" w:eastAsia="Times New Roman" w:hAnsi="Times New Roman"/>
          <w:sz w:val="24"/>
          <w:szCs w:val="24"/>
          <w:lang w:eastAsia="fr-FR"/>
        </w:rPr>
        <w:t>Impacts négatifs sur les activités économiques de la zone d’influence directe du projet</w:t>
      </w:r>
      <w:r>
        <w:rPr>
          <w:rFonts w:ascii="Times New Roman" w:eastAsia="Times New Roman" w:hAnsi="Times New Roman"/>
          <w:sz w:val="24"/>
          <w:szCs w:val="24"/>
          <w:lang w:eastAsia="fr-FR"/>
        </w:rPr>
        <w:t>.</w:t>
      </w:r>
    </w:p>
    <w:p w14:paraId="2B5CD748" w14:textId="77777777" w:rsidR="00E554D9" w:rsidRDefault="00E554D9" w:rsidP="00E554D9">
      <w:pPr>
        <w:pStyle w:val="Paragraphedeliste"/>
        <w:numPr>
          <w:ilvl w:val="0"/>
          <w:numId w:val="207"/>
        </w:numPr>
        <w:spacing w:before="60" w:after="60" w:line="240" w:lineRule="auto"/>
        <w:jc w:val="both"/>
        <w:rPr>
          <w:rFonts w:ascii="Times New Roman" w:eastAsia="Times New Roman" w:hAnsi="Times New Roman"/>
          <w:sz w:val="24"/>
          <w:szCs w:val="24"/>
          <w:lang w:eastAsia="fr-FR"/>
        </w:rPr>
      </w:pPr>
      <w:r w:rsidRPr="001108C4">
        <w:rPr>
          <w:rFonts w:ascii="Times New Roman" w:eastAsia="Times New Roman" w:hAnsi="Times New Roman"/>
          <w:sz w:val="24"/>
          <w:szCs w:val="24"/>
          <w:lang w:eastAsia="fr-FR"/>
        </w:rPr>
        <w:t>Risque d’accidents liés au non</w:t>
      </w:r>
      <w:r w:rsidRPr="001108C4">
        <w:rPr>
          <w:rFonts w:ascii="Times New Roman" w:eastAsia="Times New Roman" w:hAnsi="Times New Roman"/>
          <w:sz w:val="24"/>
          <w:szCs w:val="24"/>
          <w:lang w:eastAsia="fr-FR"/>
        </w:rPr>
        <w:noBreakHyphen/>
        <w:t>respect des mesures sécuritaires par le personnel de chantier et les populations</w:t>
      </w:r>
      <w:r>
        <w:rPr>
          <w:rFonts w:ascii="Times New Roman" w:eastAsia="Times New Roman" w:hAnsi="Times New Roman"/>
          <w:sz w:val="24"/>
          <w:szCs w:val="24"/>
          <w:lang w:eastAsia="fr-FR"/>
        </w:rPr>
        <w:t>.</w:t>
      </w:r>
    </w:p>
    <w:p w14:paraId="01B0CA19" w14:textId="77777777" w:rsidR="00E554D9" w:rsidRDefault="00E554D9" w:rsidP="00E554D9">
      <w:pPr>
        <w:pStyle w:val="Paragraphedeliste"/>
        <w:numPr>
          <w:ilvl w:val="0"/>
          <w:numId w:val="207"/>
        </w:numPr>
        <w:spacing w:before="60" w:after="60" w:line="240" w:lineRule="auto"/>
        <w:jc w:val="both"/>
        <w:rPr>
          <w:rFonts w:ascii="Times New Roman" w:eastAsia="Times New Roman" w:hAnsi="Times New Roman"/>
          <w:sz w:val="24"/>
          <w:szCs w:val="24"/>
          <w:lang w:eastAsia="fr-FR"/>
        </w:rPr>
      </w:pPr>
      <w:r w:rsidRPr="001108C4">
        <w:rPr>
          <w:rFonts w:ascii="Times New Roman" w:eastAsia="Times New Roman" w:hAnsi="Times New Roman"/>
          <w:sz w:val="24"/>
          <w:szCs w:val="24"/>
          <w:lang w:eastAsia="fr-FR"/>
        </w:rPr>
        <w:t>Non</w:t>
      </w:r>
      <w:r w:rsidRPr="001108C4">
        <w:rPr>
          <w:rFonts w:ascii="Times New Roman" w:eastAsia="Times New Roman" w:hAnsi="Times New Roman"/>
          <w:sz w:val="24"/>
          <w:szCs w:val="24"/>
          <w:lang w:eastAsia="fr-FR"/>
        </w:rPr>
        <w:noBreakHyphen/>
        <w:t>sécurisation des bassins pouvant entraîner des chutes accidentelles</w:t>
      </w:r>
      <w:r>
        <w:rPr>
          <w:rFonts w:ascii="Times New Roman" w:eastAsia="Times New Roman" w:hAnsi="Times New Roman"/>
          <w:sz w:val="24"/>
          <w:szCs w:val="24"/>
          <w:lang w:eastAsia="fr-FR"/>
        </w:rPr>
        <w:t>.</w:t>
      </w:r>
    </w:p>
    <w:p w14:paraId="5FBCCEC6" w14:textId="77777777" w:rsidR="00E554D9" w:rsidRDefault="00E554D9" w:rsidP="00E554D9">
      <w:pPr>
        <w:pStyle w:val="Paragraphedeliste"/>
        <w:numPr>
          <w:ilvl w:val="0"/>
          <w:numId w:val="207"/>
        </w:numPr>
        <w:spacing w:before="60" w:after="60" w:line="240" w:lineRule="auto"/>
        <w:jc w:val="both"/>
        <w:rPr>
          <w:rFonts w:ascii="Times New Roman" w:eastAsia="Times New Roman" w:hAnsi="Times New Roman"/>
          <w:sz w:val="24"/>
          <w:szCs w:val="24"/>
          <w:lang w:eastAsia="fr-FR"/>
        </w:rPr>
      </w:pPr>
      <w:r w:rsidRPr="001108C4">
        <w:rPr>
          <w:rFonts w:ascii="Times New Roman" w:eastAsia="Times New Roman" w:hAnsi="Times New Roman"/>
          <w:sz w:val="24"/>
          <w:szCs w:val="24"/>
          <w:lang w:eastAsia="fr-FR"/>
        </w:rPr>
        <w:t xml:space="preserve">Risques de noyade pour les animaux et les humains en raison de </w:t>
      </w:r>
      <w:proofErr w:type="gramStart"/>
      <w:r w:rsidRPr="001108C4">
        <w:rPr>
          <w:rFonts w:ascii="Times New Roman" w:eastAsia="Times New Roman" w:hAnsi="Times New Roman"/>
          <w:sz w:val="24"/>
          <w:szCs w:val="24"/>
          <w:lang w:eastAsia="fr-FR"/>
        </w:rPr>
        <w:t>la non</w:t>
      </w:r>
      <w:proofErr w:type="gramEnd"/>
      <w:r w:rsidRPr="001108C4">
        <w:rPr>
          <w:rFonts w:ascii="Times New Roman" w:eastAsia="Times New Roman" w:hAnsi="Times New Roman"/>
          <w:sz w:val="24"/>
          <w:szCs w:val="24"/>
          <w:lang w:eastAsia="fr-FR"/>
        </w:rPr>
        <w:noBreakHyphen/>
        <w:t>sécurisation des berges du marigo</w:t>
      </w:r>
      <w:r>
        <w:rPr>
          <w:rFonts w:ascii="Times New Roman" w:eastAsia="Times New Roman" w:hAnsi="Times New Roman"/>
          <w:sz w:val="24"/>
          <w:szCs w:val="24"/>
          <w:lang w:eastAsia="fr-FR"/>
        </w:rPr>
        <w:t>t ;</w:t>
      </w:r>
    </w:p>
    <w:p w14:paraId="693A47DE" w14:textId="2AC091E0" w:rsidR="00E554D9" w:rsidRDefault="00E554D9" w:rsidP="001108C4">
      <w:pPr>
        <w:pStyle w:val="Paragraphedeliste"/>
        <w:numPr>
          <w:ilvl w:val="0"/>
          <w:numId w:val="207"/>
        </w:numPr>
        <w:spacing w:before="60" w:after="60" w:line="240" w:lineRule="auto"/>
        <w:jc w:val="both"/>
      </w:pPr>
      <w:r w:rsidRPr="001108C4">
        <w:rPr>
          <w:rFonts w:ascii="Times New Roman" w:eastAsia="Times New Roman" w:hAnsi="Times New Roman"/>
          <w:sz w:val="24"/>
          <w:szCs w:val="24"/>
          <w:lang w:eastAsia="fr-FR"/>
        </w:rPr>
        <w:t xml:space="preserve">Exiguïté de l’exutoire, pouvant poser </w:t>
      </w:r>
      <w:proofErr w:type="gramStart"/>
      <w:r w:rsidRPr="001108C4">
        <w:rPr>
          <w:rFonts w:ascii="Times New Roman" w:eastAsia="Times New Roman" w:hAnsi="Times New Roman"/>
          <w:sz w:val="24"/>
          <w:szCs w:val="24"/>
          <w:lang w:eastAsia="fr-FR"/>
        </w:rPr>
        <w:t>problème</w:t>
      </w:r>
      <w:proofErr w:type="gramEnd"/>
      <w:r w:rsidRPr="001108C4">
        <w:rPr>
          <w:rFonts w:ascii="Times New Roman" w:eastAsia="Times New Roman" w:hAnsi="Times New Roman"/>
          <w:sz w:val="24"/>
          <w:szCs w:val="24"/>
          <w:lang w:eastAsia="fr-FR"/>
        </w:rPr>
        <w:t xml:space="preserve"> en cas de fortes pluies.</w:t>
      </w:r>
    </w:p>
    <w:p w14:paraId="4CBA25E6" w14:textId="77777777" w:rsidR="008B08D9" w:rsidRPr="00260790" w:rsidRDefault="008B08D9" w:rsidP="00E20250">
      <w:pPr>
        <w:pStyle w:val="Paragraphedeliste"/>
        <w:spacing w:before="60" w:after="60" w:line="240" w:lineRule="auto"/>
        <w:ind w:left="993"/>
        <w:jc w:val="both"/>
        <w:rPr>
          <w:rFonts w:ascii="Times New Roman" w:hAnsi="Times New Roman"/>
          <w:color w:val="000000" w:themeColor="text1"/>
        </w:rPr>
      </w:pPr>
    </w:p>
    <w:p w14:paraId="1C4CB6DB" w14:textId="0DD431BF" w:rsidR="008B08D9" w:rsidRPr="00260790" w:rsidRDefault="00324C47" w:rsidP="001748C6">
      <w:pPr>
        <w:pStyle w:val="Paragraphedeliste"/>
        <w:numPr>
          <w:ilvl w:val="0"/>
          <w:numId w:val="206"/>
        </w:numPr>
        <w:shd w:val="clear" w:color="auto" w:fill="D9E2F3" w:themeFill="accent5" w:themeFillTint="33"/>
        <w:spacing w:line="240" w:lineRule="auto"/>
        <w:jc w:val="both"/>
        <w:rPr>
          <w:rFonts w:ascii="Times New Roman" w:hAnsi="Times New Roman"/>
          <w:b/>
          <w:i/>
          <w:iCs/>
          <w:color w:val="000000" w:themeColor="text1"/>
        </w:rPr>
      </w:pPr>
      <w:r w:rsidRPr="00260790">
        <w:rPr>
          <w:rFonts w:ascii="Times New Roman" w:hAnsi="Times New Roman"/>
          <w:b/>
          <w:i/>
          <w:iCs/>
          <w:color w:val="000000" w:themeColor="text1"/>
        </w:rPr>
        <w:t>R</w:t>
      </w:r>
      <w:r w:rsidR="008B08D9" w:rsidRPr="00260790">
        <w:rPr>
          <w:rFonts w:ascii="Times New Roman" w:hAnsi="Times New Roman"/>
          <w:b/>
          <w:i/>
          <w:iCs/>
          <w:color w:val="000000" w:themeColor="text1"/>
        </w:rPr>
        <w:t>ecommandations formulées par les services techniques</w:t>
      </w:r>
    </w:p>
    <w:p w14:paraId="460FC248" w14:textId="61BBFC04" w:rsidR="008B08D9" w:rsidRPr="00260790" w:rsidRDefault="005A5E13" w:rsidP="00E20250">
      <w:pPr>
        <w:spacing w:before="60" w:after="60" w:line="240" w:lineRule="auto"/>
        <w:jc w:val="both"/>
        <w:rPr>
          <w:rFonts w:ascii="Times New Roman" w:hAnsi="Times New Roman"/>
          <w:color w:val="000000" w:themeColor="text1"/>
        </w:rPr>
      </w:pPr>
      <w:r w:rsidRPr="00260790">
        <w:rPr>
          <w:rFonts w:ascii="Times New Roman" w:hAnsi="Times New Roman"/>
          <w:color w:val="000000" w:themeColor="text1"/>
        </w:rPr>
        <w:t>À</w:t>
      </w:r>
      <w:r w:rsidR="008B08D9" w:rsidRPr="00260790">
        <w:rPr>
          <w:rFonts w:ascii="Times New Roman" w:hAnsi="Times New Roman"/>
          <w:color w:val="000000" w:themeColor="text1"/>
        </w:rPr>
        <w:t xml:space="preserve"> l’issue des discussions avec les acteurs, </w:t>
      </w:r>
      <w:r w:rsidR="00E05851" w:rsidRPr="00260790">
        <w:rPr>
          <w:rFonts w:ascii="Times New Roman" w:hAnsi="Times New Roman"/>
          <w:color w:val="000000" w:themeColor="text1"/>
        </w:rPr>
        <w:t>des</w:t>
      </w:r>
      <w:r w:rsidR="008B08D9" w:rsidRPr="00260790">
        <w:rPr>
          <w:rFonts w:ascii="Times New Roman" w:hAnsi="Times New Roman"/>
          <w:color w:val="000000" w:themeColor="text1"/>
        </w:rPr>
        <w:t xml:space="preserve"> recommandations qu'il convient de prendre en considération pour garantir une mise en œuvre optimale et assurer un suivi efficace du projet</w:t>
      </w:r>
      <w:r w:rsidR="00E05851" w:rsidRPr="00260790">
        <w:rPr>
          <w:rFonts w:ascii="Times New Roman" w:hAnsi="Times New Roman"/>
          <w:color w:val="000000" w:themeColor="text1"/>
        </w:rPr>
        <w:t xml:space="preserve"> ont été formulées</w:t>
      </w:r>
      <w:r w:rsidR="008B08D9" w:rsidRPr="00260790">
        <w:rPr>
          <w:rFonts w:ascii="Times New Roman" w:hAnsi="Times New Roman"/>
          <w:color w:val="000000" w:themeColor="text1"/>
        </w:rPr>
        <w:t>. Ces recommandations</w:t>
      </w:r>
      <w:r w:rsidR="009A4AA2" w:rsidRPr="00260790">
        <w:rPr>
          <w:rFonts w:ascii="Times New Roman" w:hAnsi="Times New Roman"/>
          <w:color w:val="000000" w:themeColor="text1"/>
        </w:rPr>
        <w:t>,</w:t>
      </w:r>
      <w:r w:rsidR="008B08D9" w:rsidRPr="00260790">
        <w:rPr>
          <w:rFonts w:ascii="Times New Roman" w:hAnsi="Times New Roman"/>
          <w:color w:val="000000" w:themeColor="text1"/>
        </w:rPr>
        <w:t xml:space="preserve"> articulées aux craintes identifiées</w:t>
      </w:r>
      <w:r w:rsidR="009A4AA2" w:rsidRPr="00260790">
        <w:rPr>
          <w:rFonts w:ascii="Times New Roman" w:hAnsi="Times New Roman"/>
          <w:color w:val="000000" w:themeColor="text1"/>
        </w:rPr>
        <w:t>,</w:t>
      </w:r>
      <w:r w:rsidR="008B08D9" w:rsidRPr="00260790">
        <w:rPr>
          <w:rFonts w:ascii="Times New Roman" w:hAnsi="Times New Roman"/>
          <w:color w:val="000000" w:themeColor="text1"/>
        </w:rPr>
        <w:t xml:space="preserve"> portent sur les </w:t>
      </w:r>
      <w:r w:rsidR="009A4AA2" w:rsidRPr="00260790">
        <w:rPr>
          <w:rFonts w:ascii="Times New Roman" w:hAnsi="Times New Roman"/>
          <w:color w:val="000000" w:themeColor="text1"/>
        </w:rPr>
        <w:t xml:space="preserve">principaux </w:t>
      </w:r>
      <w:r w:rsidR="008B08D9" w:rsidRPr="00260790">
        <w:rPr>
          <w:rFonts w:ascii="Times New Roman" w:hAnsi="Times New Roman"/>
          <w:color w:val="000000" w:themeColor="text1"/>
        </w:rPr>
        <w:t xml:space="preserve">domaines suivants : </w:t>
      </w:r>
    </w:p>
    <w:p w14:paraId="659D0C03" w14:textId="77777777" w:rsidR="008B08D9" w:rsidRPr="00260790" w:rsidRDefault="008B08D9" w:rsidP="00E20250">
      <w:pPr>
        <w:spacing w:before="60" w:after="60" w:line="240" w:lineRule="auto"/>
        <w:ind w:left="370"/>
        <w:rPr>
          <w:rFonts w:ascii="Times New Roman" w:hAnsi="Times New Roman"/>
          <w:color w:val="000000" w:themeColor="text1"/>
          <w:u w:val="single"/>
        </w:rPr>
      </w:pPr>
      <w:r w:rsidRPr="00260790">
        <w:rPr>
          <w:rFonts w:ascii="Times New Roman" w:hAnsi="Times New Roman"/>
          <w:color w:val="000000" w:themeColor="text1"/>
          <w:u w:val="single"/>
        </w:rPr>
        <w:t>Activités socioéconomiques des populations</w:t>
      </w:r>
    </w:p>
    <w:p w14:paraId="54E2B059" w14:textId="03C002BE" w:rsidR="008B08D9" w:rsidRPr="00260790" w:rsidRDefault="008B08D9" w:rsidP="001108C4">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Privilégier le recrutement de la main</w:t>
      </w:r>
      <w:r w:rsidR="00F32B75" w:rsidRPr="00260790">
        <w:rPr>
          <w:rFonts w:ascii="Times New Roman" w:hAnsi="Times New Roman"/>
          <w:bCs/>
          <w:color w:val="000000" w:themeColor="text1"/>
        </w:rPr>
        <w:t>-</w:t>
      </w:r>
      <w:r w:rsidRPr="00260790">
        <w:rPr>
          <w:rFonts w:ascii="Times New Roman" w:hAnsi="Times New Roman"/>
          <w:bCs/>
          <w:color w:val="000000" w:themeColor="text1"/>
        </w:rPr>
        <w:t>d’œuvre locale ;</w:t>
      </w:r>
    </w:p>
    <w:p w14:paraId="17941755" w14:textId="50D7EB91" w:rsidR="008B08D9" w:rsidRPr="00260790" w:rsidRDefault="008B08D9" w:rsidP="001108C4">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Prévoir des indemnisations justes et équitables pour les personnes impactées ;</w:t>
      </w:r>
    </w:p>
    <w:p w14:paraId="274FD8EB" w14:textId="7835EBF7" w:rsidR="008B08D9" w:rsidRPr="00260790" w:rsidRDefault="008B08D9" w:rsidP="001108C4">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 xml:space="preserve">Prévoir des initiatives de restauration des moyens de subsistance des personnes </w:t>
      </w:r>
      <w:r w:rsidR="009A4AA2" w:rsidRPr="00260790">
        <w:rPr>
          <w:rFonts w:ascii="Times New Roman" w:hAnsi="Times New Roman"/>
          <w:bCs/>
          <w:color w:val="000000" w:themeColor="text1"/>
        </w:rPr>
        <w:t>affectées</w:t>
      </w:r>
      <w:r w:rsidRPr="00260790">
        <w:rPr>
          <w:rFonts w:ascii="Times New Roman" w:hAnsi="Times New Roman"/>
          <w:bCs/>
          <w:color w:val="000000" w:themeColor="text1"/>
        </w:rPr>
        <w:t xml:space="preserve"> par le projet </w:t>
      </w:r>
      <w:r w:rsidR="009A4AA2" w:rsidRPr="00260790">
        <w:rPr>
          <w:rFonts w:ascii="Times New Roman" w:hAnsi="Times New Roman"/>
          <w:bCs/>
          <w:color w:val="000000" w:themeColor="text1"/>
        </w:rPr>
        <w:t>(PAP)</w:t>
      </w:r>
      <w:r w:rsidR="00836244" w:rsidRPr="00260790">
        <w:rPr>
          <w:rFonts w:ascii="Times New Roman" w:hAnsi="Times New Roman"/>
          <w:bCs/>
          <w:color w:val="000000" w:themeColor="text1"/>
        </w:rPr>
        <w:t xml:space="preserve">, en particulier les maraichers </w:t>
      </w:r>
      <w:r w:rsidR="00273847" w:rsidRPr="00260790">
        <w:rPr>
          <w:rFonts w:ascii="Times New Roman" w:hAnsi="Times New Roman"/>
          <w:bCs/>
          <w:color w:val="000000" w:themeColor="text1"/>
        </w:rPr>
        <w:t>de la forêt</w:t>
      </w:r>
      <w:r w:rsidR="00836244" w:rsidRPr="00260790">
        <w:rPr>
          <w:rFonts w:ascii="Times New Roman" w:hAnsi="Times New Roman"/>
          <w:bCs/>
          <w:color w:val="000000" w:themeColor="text1"/>
        </w:rPr>
        <w:t xml:space="preserve"> classée de Mbao et les communautés de </w:t>
      </w:r>
      <w:r w:rsidR="00901D33" w:rsidRPr="00260790">
        <w:rPr>
          <w:rFonts w:ascii="Times New Roman" w:hAnsi="Times New Roman"/>
          <w:bCs/>
          <w:color w:val="000000" w:themeColor="text1"/>
        </w:rPr>
        <w:t>pêcheurs de Mbao</w:t>
      </w:r>
      <w:r w:rsidR="009A4AA2" w:rsidRPr="00260790">
        <w:rPr>
          <w:rFonts w:ascii="Times New Roman" w:hAnsi="Times New Roman"/>
          <w:bCs/>
          <w:color w:val="000000" w:themeColor="text1"/>
        </w:rPr>
        <w:t xml:space="preserve"> </w:t>
      </w:r>
      <w:r w:rsidRPr="00260790">
        <w:rPr>
          <w:rFonts w:ascii="Times New Roman" w:hAnsi="Times New Roman"/>
          <w:bCs/>
          <w:color w:val="000000" w:themeColor="text1"/>
        </w:rPr>
        <w:t>;</w:t>
      </w:r>
    </w:p>
    <w:p w14:paraId="3D417C53" w14:textId="48F91BC9" w:rsidR="008B08D9" w:rsidRPr="00260790" w:rsidRDefault="008B08D9" w:rsidP="001108C4">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Appliquer un</w:t>
      </w:r>
      <w:r w:rsidR="009A4AA2" w:rsidRPr="00260790">
        <w:rPr>
          <w:rFonts w:ascii="Times New Roman" w:hAnsi="Times New Roman"/>
          <w:bCs/>
          <w:color w:val="000000" w:themeColor="text1"/>
        </w:rPr>
        <w:t>e</w:t>
      </w:r>
      <w:r w:rsidRPr="00260790">
        <w:rPr>
          <w:rFonts w:ascii="Times New Roman" w:hAnsi="Times New Roman"/>
          <w:bCs/>
          <w:color w:val="000000" w:themeColor="text1"/>
        </w:rPr>
        <w:t xml:space="preserve"> </w:t>
      </w:r>
      <w:r w:rsidR="009A4AA2" w:rsidRPr="00260790">
        <w:rPr>
          <w:rFonts w:ascii="Times New Roman" w:hAnsi="Times New Roman"/>
          <w:bCs/>
          <w:color w:val="000000" w:themeColor="text1"/>
        </w:rPr>
        <w:t>compensation</w:t>
      </w:r>
      <w:r w:rsidRPr="00260790">
        <w:rPr>
          <w:rFonts w:ascii="Times New Roman" w:hAnsi="Times New Roman"/>
          <w:bCs/>
          <w:color w:val="000000" w:themeColor="text1"/>
        </w:rPr>
        <w:t xml:space="preserve"> juste et équitable </w:t>
      </w:r>
      <w:r w:rsidR="009A4AA2" w:rsidRPr="00260790">
        <w:rPr>
          <w:rFonts w:ascii="Times New Roman" w:hAnsi="Times New Roman"/>
          <w:bCs/>
          <w:color w:val="000000" w:themeColor="text1"/>
        </w:rPr>
        <w:t>des PAP</w:t>
      </w:r>
      <w:r w:rsidRPr="00260790">
        <w:rPr>
          <w:rFonts w:ascii="Times New Roman" w:hAnsi="Times New Roman"/>
          <w:bCs/>
          <w:color w:val="000000" w:themeColor="text1"/>
        </w:rPr>
        <w:t> ;</w:t>
      </w:r>
    </w:p>
    <w:p w14:paraId="6571CB22" w14:textId="21785B19" w:rsidR="00901D33" w:rsidRPr="00260790" w:rsidRDefault="00901D33" w:rsidP="001108C4">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Promouvoir la pisciculture pour l’exploitation des bassins à travers des activités d’aquaculture ;</w:t>
      </w:r>
    </w:p>
    <w:p w14:paraId="144B4489" w14:textId="7C808F5B" w:rsidR="008B08D9" w:rsidRPr="00260790" w:rsidRDefault="003D0A45" w:rsidP="001108C4">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Impliquer</w:t>
      </w:r>
      <w:r w:rsidR="008B08D9" w:rsidRPr="00260790">
        <w:rPr>
          <w:rFonts w:ascii="Times New Roman" w:hAnsi="Times New Roman"/>
          <w:bCs/>
          <w:color w:val="000000" w:themeColor="text1"/>
        </w:rPr>
        <w:t xml:space="preserve"> </w:t>
      </w:r>
      <w:r w:rsidRPr="00260790">
        <w:rPr>
          <w:rFonts w:ascii="Times New Roman" w:hAnsi="Times New Roman"/>
          <w:bCs/>
          <w:color w:val="000000" w:themeColor="text1"/>
        </w:rPr>
        <w:t>les c</w:t>
      </w:r>
      <w:r w:rsidR="008B08D9" w:rsidRPr="00260790">
        <w:rPr>
          <w:rFonts w:ascii="Times New Roman" w:hAnsi="Times New Roman"/>
          <w:bCs/>
          <w:color w:val="000000" w:themeColor="text1"/>
        </w:rPr>
        <w:t>ommission</w:t>
      </w:r>
      <w:r w:rsidRPr="00260790">
        <w:rPr>
          <w:rFonts w:ascii="Times New Roman" w:hAnsi="Times New Roman"/>
          <w:bCs/>
          <w:color w:val="000000" w:themeColor="text1"/>
        </w:rPr>
        <w:t>s</w:t>
      </w:r>
      <w:r w:rsidR="008B08D9" w:rsidRPr="00260790">
        <w:rPr>
          <w:rFonts w:ascii="Times New Roman" w:hAnsi="Times New Roman"/>
          <w:bCs/>
          <w:color w:val="000000" w:themeColor="text1"/>
        </w:rPr>
        <w:t xml:space="preserve"> départementale</w:t>
      </w:r>
      <w:r w:rsidRPr="00260790">
        <w:rPr>
          <w:rFonts w:ascii="Times New Roman" w:hAnsi="Times New Roman"/>
          <w:bCs/>
          <w:color w:val="000000" w:themeColor="text1"/>
        </w:rPr>
        <w:t>s</w:t>
      </w:r>
      <w:r w:rsidR="008B08D9" w:rsidRPr="00260790">
        <w:rPr>
          <w:rFonts w:ascii="Times New Roman" w:hAnsi="Times New Roman"/>
          <w:bCs/>
          <w:color w:val="000000" w:themeColor="text1"/>
        </w:rPr>
        <w:t xml:space="preserve"> de recensement et d’évaluation des impenses </w:t>
      </w:r>
      <w:r w:rsidRPr="00260790">
        <w:rPr>
          <w:rFonts w:ascii="Times New Roman" w:hAnsi="Times New Roman"/>
          <w:bCs/>
          <w:color w:val="000000" w:themeColor="text1"/>
        </w:rPr>
        <w:t xml:space="preserve">(CDREI) </w:t>
      </w:r>
      <w:r w:rsidR="008B08D9" w:rsidRPr="00260790">
        <w:rPr>
          <w:rFonts w:ascii="Times New Roman" w:hAnsi="Times New Roman"/>
          <w:bCs/>
          <w:color w:val="000000" w:themeColor="text1"/>
        </w:rPr>
        <w:t>pour déterminer les indemnisations et dédommagements en espèces ou en nature.</w:t>
      </w:r>
    </w:p>
    <w:p w14:paraId="26910115" w14:textId="5BC42C25" w:rsidR="008B08D9" w:rsidRPr="00260790" w:rsidRDefault="004B4772" w:rsidP="001108C4">
      <w:pPr>
        <w:spacing w:before="60" w:after="60" w:line="240" w:lineRule="auto"/>
        <w:ind w:left="370"/>
        <w:jc w:val="both"/>
        <w:rPr>
          <w:rFonts w:ascii="Times New Roman" w:hAnsi="Times New Roman"/>
          <w:color w:val="000000" w:themeColor="text1"/>
          <w:u w:val="single"/>
        </w:rPr>
      </w:pPr>
      <w:r w:rsidRPr="00260790">
        <w:rPr>
          <w:rFonts w:ascii="Times New Roman" w:hAnsi="Times New Roman"/>
          <w:color w:val="000000" w:themeColor="text1"/>
          <w:u w:val="single"/>
        </w:rPr>
        <w:t>Santé et S</w:t>
      </w:r>
      <w:r w:rsidR="008B08D9" w:rsidRPr="00260790">
        <w:rPr>
          <w:rFonts w:ascii="Times New Roman" w:hAnsi="Times New Roman"/>
          <w:color w:val="000000" w:themeColor="text1"/>
          <w:u w:val="single"/>
        </w:rPr>
        <w:t>écurité des populations et des travailleurs</w:t>
      </w:r>
    </w:p>
    <w:p w14:paraId="23E336C8" w14:textId="513FCC74" w:rsidR="008B08D9" w:rsidRPr="00260790" w:rsidRDefault="008B08D9" w:rsidP="001108C4">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 xml:space="preserve">Installer des bases chantiers </w:t>
      </w:r>
      <w:r w:rsidR="004B4772" w:rsidRPr="00260790">
        <w:rPr>
          <w:rFonts w:ascii="Times New Roman" w:hAnsi="Times New Roman"/>
          <w:bCs/>
          <w:color w:val="000000" w:themeColor="text1"/>
        </w:rPr>
        <w:t xml:space="preserve">avec toutes les </w:t>
      </w:r>
      <w:r w:rsidR="00273847" w:rsidRPr="00260790">
        <w:rPr>
          <w:rFonts w:ascii="Times New Roman" w:hAnsi="Times New Roman"/>
          <w:bCs/>
          <w:color w:val="000000" w:themeColor="text1"/>
        </w:rPr>
        <w:t>commodités</w:t>
      </w:r>
      <w:r w:rsidR="004B4772" w:rsidRPr="00260790">
        <w:rPr>
          <w:rFonts w:ascii="Times New Roman" w:hAnsi="Times New Roman"/>
          <w:bCs/>
          <w:color w:val="000000" w:themeColor="text1"/>
        </w:rPr>
        <w:t xml:space="preserve"> requises </w:t>
      </w:r>
      <w:r w:rsidRPr="00260790">
        <w:rPr>
          <w:rFonts w:ascii="Times New Roman" w:hAnsi="Times New Roman"/>
          <w:bCs/>
          <w:color w:val="000000" w:themeColor="text1"/>
        </w:rPr>
        <w:t xml:space="preserve">pour les </w:t>
      </w:r>
      <w:r w:rsidR="004B4772" w:rsidRPr="00260790">
        <w:rPr>
          <w:rFonts w:ascii="Times New Roman" w:hAnsi="Times New Roman"/>
          <w:bCs/>
          <w:color w:val="000000" w:themeColor="text1"/>
        </w:rPr>
        <w:t>travailleurs</w:t>
      </w:r>
      <w:r w:rsidRPr="00260790">
        <w:rPr>
          <w:rFonts w:ascii="Times New Roman" w:hAnsi="Times New Roman"/>
          <w:bCs/>
          <w:color w:val="000000" w:themeColor="text1"/>
        </w:rPr>
        <w:t> ;</w:t>
      </w:r>
    </w:p>
    <w:p w14:paraId="5EB95A51" w14:textId="47AA64BB" w:rsidR="008B08D9" w:rsidRPr="00260790" w:rsidRDefault="005A5E13" w:rsidP="001108C4">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É</w:t>
      </w:r>
      <w:r w:rsidR="008B08D9" w:rsidRPr="00260790">
        <w:rPr>
          <w:rFonts w:ascii="Times New Roman" w:hAnsi="Times New Roman"/>
          <w:bCs/>
          <w:color w:val="000000" w:themeColor="text1"/>
        </w:rPr>
        <w:t>tablir des contrats de travails pour tout le personnel, validés par l’Inspection du Travail</w:t>
      </w:r>
      <w:r w:rsidR="004B4772" w:rsidRPr="00260790">
        <w:rPr>
          <w:rFonts w:ascii="Times New Roman" w:hAnsi="Times New Roman"/>
          <w:bCs/>
          <w:color w:val="000000" w:themeColor="text1"/>
        </w:rPr>
        <w:t xml:space="preserve"> ;</w:t>
      </w:r>
    </w:p>
    <w:p w14:paraId="07CAB018" w14:textId="6EE73977" w:rsidR="008B08D9" w:rsidRPr="00260790" w:rsidRDefault="008B08D9" w:rsidP="001108C4">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Respecter les normes de sécurité pour le personnel de chantier (équipement de protection individuel, équipement</w:t>
      </w:r>
      <w:r w:rsidR="005A5E13" w:rsidRPr="00260790">
        <w:rPr>
          <w:rFonts w:ascii="Times New Roman" w:hAnsi="Times New Roman"/>
          <w:bCs/>
          <w:color w:val="000000" w:themeColor="text1"/>
        </w:rPr>
        <w:t>s</w:t>
      </w:r>
      <w:r w:rsidRPr="00260790">
        <w:rPr>
          <w:rFonts w:ascii="Times New Roman" w:hAnsi="Times New Roman"/>
          <w:bCs/>
          <w:color w:val="000000" w:themeColor="text1"/>
        </w:rPr>
        <w:t xml:space="preserve"> de sécurité approprié</w:t>
      </w:r>
      <w:r w:rsidR="005A5E13" w:rsidRPr="00260790">
        <w:rPr>
          <w:rFonts w:ascii="Times New Roman" w:hAnsi="Times New Roman"/>
          <w:bCs/>
          <w:color w:val="000000" w:themeColor="text1"/>
        </w:rPr>
        <w:t>s</w:t>
      </w:r>
      <w:r w:rsidRPr="00260790">
        <w:rPr>
          <w:rFonts w:ascii="Times New Roman" w:hAnsi="Times New Roman"/>
          <w:bCs/>
          <w:color w:val="000000" w:themeColor="text1"/>
        </w:rPr>
        <w:t>)</w:t>
      </w:r>
      <w:r w:rsidR="004B4772" w:rsidRPr="00260790">
        <w:rPr>
          <w:rFonts w:ascii="Times New Roman" w:hAnsi="Times New Roman"/>
          <w:bCs/>
          <w:color w:val="000000" w:themeColor="text1"/>
        </w:rPr>
        <w:t>,</w:t>
      </w:r>
      <w:r w:rsidRPr="00260790">
        <w:rPr>
          <w:rFonts w:ascii="Times New Roman" w:hAnsi="Times New Roman"/>
          <w:bCs/>
          <w:color w:val="000000" w:themeColor="text1"/>
        </w:rPr>
        <w:t xml:space="preserve"> arrosage du site ;</w:t>
      </w:r>
    </w:p>
    <w:p w14:paraId="05D233F5" w14:textId="77777777" w:rsidR="008B08D9" w:rsidRPr="00260790" w:rsidRDefault="008B08D9" w:rsidP="001108C4">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Installer des cuves de carburant pour le ravitaillement des voitures et des engins durant les travaux ;</w:t>
      </w:r>
    </w:p>
    <w:p w14:paraId="6C1FEA0F" w14:textId="38242961" w:rsidR="008B08D9" w:rsidRPr="00260790" w:rsidRDefault="008B08D9" w:rsidP="001108C4">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 xml:space="preserve">Sécuriser les bassins </w:t>
      </w:r>
      <w:r w:rsidR="004B4772" w:rsidRPr="00260790">
        <w:rPr>
          <w:rFonts w:ascii="Times New Roman" w:hAnsi="Times New Roman"/>
          <w:bCs/>
          <w:color w:val="000000" w:themeColor="text1"/>
        </w:rPr>
        <w:t xml:space="preserve">par des murs et des grillages de protection </w:t>
      </w:r>
      <w:r w:rsidRPr="00260790">
        <w:rPr>
          <w:rFonts w:ascii="Times New Roman" w:hAnsi="Times New Roman"/>
          <w:bCs/>
          <w:color w:val="000000" w:themeColor="text1"/>
        </w:rPr>
        <w:t xml:space="preserve">pour éviter </w:t>
      </w:r>
      <w:r w:rsidR="004B4772" w:rsidRPr="00260790">
        <w:rPr>
          <w:rFonts w:ascii="Times New Roman" w:hAnsi="Times New Roman"/>
          <w:bCs/>
          <w:color w:val="000000" w:themeColor="text1"/>
        </w:rPr>
        <w:t xml:space="preserve">noyades et </w:t>
      </w:r>
      <w:r w:rsidRPr="00260790">
        <w:rPr>
          <w:rFonts w:ascii="Times New Roman" w:hAnsi="Times New Roman"/>
          <w:bCs/>
          <w:color w:val="000000" w:themeColor="text1"/>
        </w:rPr>
        <w:t>les chutes accidentelles ;</w:t>
      </w:r>
    </w:p>
    <w:p w14:paraId="1F633A29" w14:textId="3AF4D79C" w:rsidR="008B08D9" w:rsidRPr="00260790" w:rsidRDefault="008B08D9" w:rsidP="001748C6">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Reprofiler, sécuriser le marigot et établir une bonne connexion entre les bassins et le marigot</w:t>
      </w:r>
      <w:r w:rsidR="005C5B32" w:rsidRPr="00260790">
        <w:rPr>
          <w:rFonts w:ascii="Times New Roman" w:hAnsi="Times New Roman"/>
          <w:bCs/>
          <w:color w:val="000000" w:themeColor="text1"/>
        </w:rPr>
        <w:t>,</w:t>
      </w:r>
      <w:r w:rsidRPr="00260790">
        <w:rPr>
          <w:rFonts w:ascii="Times New Roman" w:hAnsi="Times New Roman"/>
          <w:bCs/>
          <w:color w:val="000000" w:themeColor="text1"/>
        </w:rPr>
        <w:t xml:space="preserve"> mais également entre le marigot et la mer ;</w:t>
      </w:r>
    </w:p>
    <w:p w14:paraId="513BF750" w14:textId="77777777" w:rsidR="00901D33" w:rsidRPr="00260790" w:rsidRDefault="00901D33" w:rsidP="001748C6">
      <w:pPr>
        <w:numPr>
          <w:ilvl w:val="0"/>
          <w:numId w:val="207"/>
        </w:numPr>
        <w:tabs>
          <w:tab w:val="left" w:pos="5423"/>
        </w:tabs>
        <w:autoSpaceDE w:val="0"/>
        <w:autoSpaceDN w:val="0"/>
        <w:adjustRightInd w:val="0"/>
        <w:spacing w:before="120" w:after="0" w:line="240" w:lineRule="auto"/>
        <w:contextualSpacing/>
        <w:jc w:val="both"/>
        <w:rPr>
          <w:rFonts w:ascii="Times New Roman" w:eastAsiaTheme="minorHAnsi" w:hAnsi="Times New Roman"/>
          <w:color w:val="000000" w:themeColor="text1"/>
        </w:rPr>
      </w:pPr>
      <w:r w:rsidRPr="00260790">
        <w:rPr>
          <w:rFonts w:ascii="Times New Roman" w:eastAsiaTheme="minorHAnsi" w:hAnsi="Times New Roman"/>
          <w:color w:val="000000" w:themeColor="text1"/>
        </w:rPr>
        <w:t>Doter la population des moustiquaires ;</w:t>
      </w:r>
    </w:p>
    <w:p w14:paraId="3CBB0259" w14:textId="2E0C211F" w:rsidR="008B08D9" w:rsidRPr="00260790" w:rsidRDefault="008B08D9" w:rsidP="001748C6">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 xml:space="preserve">Assurer une maintenance correcte des ouvrages </w:t>
      </w:r>
      <w:r w:rsidR="0023335A" w:rsidRPr="00260790">
        <w:rPr>
          <w:rFonts w:ascii="Times New Roman" w:hAnsi="Times New Roman"/>
          <w:bCs/>
          <w:color w:val="000000" w:themeColor="text1"/>
        </w:rPr>
        <w:t xml:space="preserve">réalisés </w:t>
      </w:r>
      <w:r w:rsidRPr="00260790">
        <w:rPr>
          <w:rFonts w:ascii="Times New Roman" w:hAnsi="Times New Roman"/>
          <w:bCs/>
          <w:color w:val="000000" w:themeColor="text1"/>
        </w:rPr>
        <w:t>du projet.</w:t>
      </w:r>
    </w:p>
    <w:p w14:paraId="6D55E6CC" w14:textId="04F3B194" w:rsidR="008B08D9" w:rsidRPr="00260790" w:rsidRDefault="0098325A" w:rsidP="00E20250">
      <w:pPr>
        <w:spacing w:before="60" w:after="60" w:line="240" w:lineRule="auto"/>
        <w:ind w:left="370"/>
        <w:rPr>
          <w:rFonts w:ascii="Times New Roman" w:hAnsi="Times New Roman"/>
          <w:color w:val="000000" w:themeColor="text1"/>
          <w:u w:val="single"/>
        </w:rPr>
      </w:pPr>
      <w:r w:rsidRPr="00260790">
        <w:rPr>
          <w:rFonts w:ascii="Times New Roman" w:hAnsi="Times New Roman"/>
          <w:color w:val="000000" w:themeColor="text1"/>
          <w:u w:val="single"/>
        </w:rPr>
        <w:t>Préservation de l</w:t>
      </w:r>
      <w:r w:rsidR="008B08D9" w:rsidRPr="00260790">
        <w:rPr>
          <w:rFonts w:ascii="Times New Roman" w:hAnsi="Times New Roman"/>
          <w:color w:val="000000" w:themeColor="text1"/>
          <w:u w:val="single"/>
        </w:rPr>
        <w:t xml:space="preserve">’environnement et </w:t>
      </w:r>
      <w:r w:rsidRPr="00260790">
        <w:rPr>
          <w:rFonts w:ascii="Times New Roman" w:hAnsi="Times New Roman"/>
          <w:color w:val="000000" w:themeColor="text1"/>
          <w:u w:val="single"/>
        </w:rPr>
        <w:t>du</w:t>
      </w:r>
      <w:r w:rsidR="008B08D9" w:rsidRPr="00260790">
        <w:rPr>
          <w:rFonts w:ascii="Times New Roman" w:hAnsi="Times New Roman"/>
          <w:color w:val="000000" w:themeColor="text1"/>
          <w:u w:val="single"/>
        </w:rPr>
        <w:t xml:space="preserve"> </w:t>
      </w:r>
      <w:r w:rsidR="0023335A" w:rsidRPr="00260790">
        <w:rPr>
          <w:rFonts w:ascii="Times New Roman" w:hAnsi="Times New Roman"/>
          <w:color w:val="000000" w:themeColor="text1"/>
          <w:u w:val="single"/>
        </w:rPr>
        <w:t>cadre de vie</w:t>
      </w:r>
    </w:p>
    <w:p w14:paraId="1384117B" w14:textId="0E0CA12F" w:rsidR="008B08D9" w:rsidRPr="00260790" w:rsidRDefault="0023335A" w:rsidP="001748C6">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Réaliser</w:t>
      </w:r>
      <w:r w:rsidR="008B08D9" w:rsidRPr="00260790">
        <w:rPr>
          <w:rFonts w:ascii="Times New Roman" w:hAnsi="Times New Roman"/>
          <w:bCs/>
          <w:color w:val="000000" w:themeColor="text1"/>
        </w:rPr>
        <w:t xml:space="preserve"> l’aménagement </w:t>
      </w:r>
      <w:r w:rsidRPr="00260790">
        <w:rPr>
          <w:rFonts w:ascii="Times New Roman" w:hAnsi="Times New Roman"/>
          <w:bCs/>
          <w:color w:val="000000" w:themeColor="text1"/>
        </w:rPr>
        <w:t xml:space="preserve">d’espace </w:t>
      </w:r>
      <w:r w:rsidR="008B08D9" w:rsidRPr="00260790">
        <w:rPr>
          <w:rFonts w:ascii="Times New Roman" w:hAnsi="Times New Roman"/>
          <w:bCs/>
          <w:color w:val="000000" w:themeColor="text1"/>
        </w:rPr>
        <w:t xml:space="preserve">vert </w:t>
      </w:r>
      <w:r w:rsidRPr="00260790">
        <w:rPr>
          <w:rFonts w:ascii="Times New Roman" w:hAnsi="Times New Roman"/>
          <w:bCs/>
          <w:color w:val="000000" w:themeColor="text1"/>
        </w:rPr>
        <w:t xml:space="preserve">avec des jardins publics </w:t>
      </w:r>
      <w:r w:rsidR="008B08D9" w:rsidRPr="00260790">
        <w:rPr>
          <w:rFonts w:ascii="Times New Roman" w:hAnsi="Times New Roman"/>
          <w:bCs/>
          <w:color w:val="000000" w:themeColor="text1"/>
        </w:rPr>
        <w:t xml:space="preserve">autour des bassins </w:t>
      </w:r>
      <w:r w:rsidR="00B37685" w:rsidRPr="00260790">
        <w:rPr>
          <w:rFonts w:ascii="Times New Roman" w:hAnsi="Times New Roman"/>
          <w:bCs/>
          <w:color w:val="000000" w:themeColor="text1"/>
        </w:rPr>
        <w:t>avec des espèces adaptées </w:t>
      </w:r>
      <w:r w:rsidR="008B08D9" w:rsidRPr="00260790">
        <w:rPr>
          <w:rFonts w:ascii="Times New Roman" w:hAnsi="Times New Roman"/>
          <w:bCs/>
          <w:color w:val="000000" w:themeColor="text1"/>
        </w:rPr>
        <w:t>;</w:t>
      </w:r>
    </w:p>
    <w:p w14:paraId="4C9F486A" w14:textId="77777777" w:rsidR="008B08D9" w:rsidRPr="00260790" w:rsidRDefault="008B08D9" w:rsidP="001748C6">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Prévoir des schémas d’entretien des bassins de manière durable par des engins de faucardage avec des équipes dédiées ;</w:t>
      </w:r>
    </w:p>
    <w:p w14:paraId="15A9F535" w14:textId="37947AC6" w:rsidR="008B08D9" w:rsidRPr="00260790" w:rsidRDefault="008B08D9" w:rsidP="001748C6">
      <w:pPr>
        <w:pStyle w:val="Paragraphedeliste"/>
        <w:numPr>
          <w:ilvl w:val="0"/>
          <w:numId w:val="207"/>
        </w:numPr>
        <w:spacing w:before="60" w:after="60" w:line="240" w:lineRule="auto"/>
        <w:jc w:val="both"/>
        <w:rPr>
          <w:rFonts w:ascii="Times New Roman" w:hAnsi="Times New Roman"/>
          <w:bCs/>
          <w:color w:val="000000" w:themeColor="text1"/>
        </w:rPr>
      </w:pPr>
      <w:bookmarkStart w:id="580" w:name="_Hlk183393037"/>
      <w:r w:rsidRPr="00260790">
        <w:rPr>
          <w:rFonts w:ascii="Times New Roman" w:hAnsi="Times New Roman"/>
          <w:bCs/>
          <w:color w:val="000000" w:themeColor="text1"/>
        </w:rPr>
        <w:lastRenderedPageBreak/>
        <w:t xml:space="preserve">Installer un système de recueil et de filtrage de déchets à chaque sortie des bassins pour permettre à </w:t>
      </w:r>
      <w:r w:rsidR="00E60FA9" w:rsidRPr="00260790">
        <w:rPr>
          <w:rFonts w:ascii="Times New Roman" w:hAnsi="Times New Roman"/>
          <w:bCs/>
          <w:color w:val="000000" w:themeColor="text1"/>
        </w:rPr>
        <w:t>la SONAGED</w:t>
      </w:r>
      <w:r w:rsidRPr="00260790">
        <w:rPr>
          <w:rFonts w:ascii="Times New Roman" w:hAnsi="Times New Roman"/>
          <w:bCs/>
          <w:color w:val="000000" w:themeColor="text1"/>
        </w:rPr>
        <w:t xml:space="preserve"> de gérer les déchets</w:t>
      </w:r>
      <w:bookmarkEnd w:id="580"/>
      <w:r w:rsidRPr="00260790">
        <w:rPr>
          <w:rFonts w:ascii="Times New Roman" w:hAnsi="Times New Roman"/>
          <w:bCs/>
          <w:color w:val="000000" w:themeColor="text1"/>
        </w:rPr>
        <w:t> ;</w:t>
      </w:r>
    </w:p>
    <w:p w14:paraId="3430BEE8" w14:textId="17935955" w:rsidR="008B08D9" w:rsidRPr="00260790" w:rsidRDefault="008B08D9" w:rsidP="001748C6">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 xml:space="preserve">Convoyer les gravats et autres déchets </w:t>
      </w:r>
      <w:r w:rsidR="00B37685" w:rsidRPr="00260790">
        <w:rPr>
          <w:rFonts w:ascii="Times New Roman" w:hAnsi="Times New Roman"/>
          <w:bCs/>
          <w:color w:val="000000" w:themeColor="text1"/>
        </w:rPr>
        <w:t>de chant</w:t>
      </w:r>
      <w:r w:rsidR="00273847" w:rsidRPr="00260790">
        <w:rPr>
          <w:rFonts w:ascii="Times New Roman" w:hAnsi="Times New Roman"/>
          <w:bCs/>
          <w:color w:val="000000" w:themeColor="text1"/>
        </w:rPr>
        <w:t>i</w:t>
      </w:r>
      <w:r w:rsidR="00B37685" w:rsidRPr="00260790">
        <w:rPr>
          <w:rFonts w:ascii="Times New Roman" w:hAnsi="Times New Roman"/>
          <w:bCs/>
          <w:color w:val="000000" w:themeColor="text1"/>
        </w:rPr>
        <w:t>ers vers</w:t>
      </w:r>
      <w:r w:rsidRPr="00260790">
        <w:rPr>
          <w:rFonts w:ascii="Times New Roman" w:hAnsi="Times New Roman"/>
          <w:bCs/>
          <w:color w:val="000000" w:themeColor="text1"/>
        </w:rPr>
        <w:t xml:space="preserve"> </w:t>
      </w:r>
      <w:r w:rsidR="00B37685" w:rsidRPr="00260790">
        <w:rPr>
          <w:rFonts w:ascii="Times New Roman" w:hAnsi="Times New Roman"/>
          <w:bCs/>
          <w:color w:val="000000" w:themeColor="text1"/>
        </w:rPr>
        <w:t>d</w:t>
      </w:r>
      <w:r w:rsidRPr="00260790">
        <w:rPr>
          <w:rFonts w:ascii="Times New Roman" w:hAnsi="Times New Roman"/>
          <w:bCs/>
          <w:color w:val="000000" w:themeColor="text1"/>
        </w:rPr>
        <w:t>es lieux dédiés ;</w:t>
      </w:r>
    </w:p>
    <w:p w14:paraId="4D189D27" w14:textId="578E39B7" w:rsidR="008B08D9" w:rsidRPr="00260790" w:rsidRDefault="008B08D9" w:rsidP="001748C6">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Mettre en place un bon plan de reboisement en compensation des arbres coupés</w:t>
      </w:r>
      <w:r w:rsidR="0023335A" w:rsidRPr="00260790">
        <w:rPr>
          <w:rFonts w:ascii="Times New Roman" w:hAnsi="Times New Roman"/>
          <w:bCs/>
          <w:color w:val="000000" w:themeColor="text1"/>
        </w:rPr>
        <w:t xml:space="preserve"> </w:t>
      </w:r>
      <w:r w:rsidRPr="00260790">
        <w:rPr>
          <w:rFonts w:ascii="Times New Roman" w:hAnsi="Times New Roman"/>
          <w:bCs/>
          <w:color w:val="000000" w:themeColor="text1"/>
        </w:rPr>
        <w:t>(</w:t>
      </w:r>
      <w:r w:rsidR="00B37685" w:rsidRPr="00260790">
        <w:rPr>
          <w:rFonts w:ascii="Times New Roman" w:hAnsi="Times New Roman"/>
          <w:bCs/>
          <w:color w:val="000000" w:themeColor="text1"/>
        </w:rPr>
        <w:t xml:space="preserve">compensation par </w:t>
      </w:r>
      <w:r w:rsidRPr="00260790">
        <w:rPr>
          <w:rFonts w:ascii="Times New Roman" w:hAnsi="Times New Roman"/>
          <w:bCs/>
          <w:color w:val="000000" w:themeColor="text1"/>
        </w:rPr>
        <w:t xml:space="preserve">3 arbres plantés pour un arbre coupé) pour renforcer la couverture végétale de la forêt qui est fortement dégradée ; </w:t>
      </w:r>
    </w:p>
    <w:p w14:paraId="0DE4D463" w14:textId="77777777" w:rsidR="008B08D9" w:rsidRPr="00260790" w:rsidRDefault="008B08D9" w:rsidP="001748C6">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Faire une bonne connexion entre la mer et le marigot par la création d’un exutoire adapté pour faciliter le passage des eaux pluviales ;</w:t>
      </w:r>
    </w:p>
    <w:p w14:paraId="1EB4855A" w14:textId="604CA565" w:rsidR="008B08D9" w:rsidRPr="00260790" w:rsidRDefault="008B08D9" w:rsidP="001748C6">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Collecter et stocker les déchets spéciaux et les remettre à des structures agréées (huile de vidange, batteries</w:t>
      </w:r>
      <w:r w:rsidR="001A5354" w:rsidRPr="00260790">
        <w:rPr>
          <w:rFonts w:ascii="Times New Roman" w:hAnsi="Times New Roman"/>
          <w:bCs/>
          <w:color w:val="000000" w:themeColor="text1"/>
        </w:rPr>
        <w:t>,</w:t>
      </w:r>
      <w:r w:rsidRPr="00260790">
        <w:rPr>
          <w:rFonts w:ascii="Times New Roman" w:hAnsi="Times New Roman"/>
          <w:bCs/>
          <w:color w:val="000000" w:themeColor="text1"/>
        </w:rPr>
        <w:t xml:space="preserve"> etc.)</w:t>
      </w:r>
      <w:r w:rsidR="00C66E25" w:rsidRPr="00260790">
        <w:rPr>
          <w:rFonts w:ascii="Times New Roman" w:hAnsi="Times New Roman"/>
          <w:bCs/>
          <w:color w:val="000000" w:themeColor="text1"/>
        </w:rPr>
        <w:t xml:space="preserve"> pour leur </w:t>
      </w:r>
      <w:r w:rsidR="00273847" w:rsidRPr="00260790">
        <w:rPr>
          <w:rFonts w:ascii="Times New Roman" w:hAnsi="Times New Roman"/>
          <w:bCs/>
          <w:color w:val="000000" w:themeColor="text1"/>
        </w:rPr>
        <w:t>élimination</w:t>
      </w:r>
      <w:r w:rsidR="00C66E25" w:rsidRPr="00260790">
        <w:rPr>
          <w:rFonts w:ascii="Times New Roman" w:hAnsi="Times New Roman"/>
          <w:bCs/>
          <w:color w:val="000000" w:themeColor="text1"/>
        </w:rPr>
        <w:t xml:space="preserve"> </w:t>
      </w:r>
      <w:r w:rsidRPr="00260790">
        <w:rPr>
          <w:rFonts w:ascii="Times New Roman" w:hAnsi="Times New Roman"/>
          <w:bCs/>
          <w:color w:val="000000" w:themeColor="text1"/>
        </w:rPr>
        <w:t>;</w:t>
      </w:r>
    </w:p>
    <w:p w14:paraId="0E6C87B1" w14:textId="042B70C5" w:rsidR="008B08D9" w:rsidRPr="00260790" w:rsidRDefault="008B08D9" w:rsidP="001748C6">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Mettre en place un plan de lutte contre les maladies vectorielles comme le paludisme</w:t>
      </w:r>
      <w:r w:rsidR="00C66E25" w:rsidRPr="00260790">
        <w:rPr>
          <w:rFonts w:ascii="Times New Roman" w:hAnsi="Times New Roman"/>
          <w:bCs/>
          <w:color w:val="000000" w:themeColor="text1"/>
        </w:rPr>
        <w:t>, les maladies hydriques, etc.</w:t>
      </w:r>
      <w:r w:rsidRPr="00260790">
        <w:rPr>
          <w:rFonts w:ascii="Times New Roman" w:hAnsi="Times New Roman"/>
          <w:bCs/>
          <w:color w:val="000000" w:themeColor="text1"/>
        </w:rPr>
        <w:t xml:space="preserve"> en impliquant le Service d’hygiène et les </w:t>
      </w:r>
      <w:r w:rsidR="00C66E25" w:rsidRPr="00260790">
        <w:rPr>
          <w:rFonts w:ascii="Times New Roman" w:hAnsi="Times New Roman"/>
          <w:bCs/>
          <w:color w:val="000000" w:themeColor="text1"/>
        </w:rPr>
        <w:t xml:space="preserve">districts </w:t>
      </w:r>
      <w:r w:rsidR="00273847" w:rsidRPr="00260790">
        <w:rPr>
          <w:rFonts w:ascii="Times New Roman" w:hAnsi="Times New Roman"/>
          <w:bCs/>
          <w:color w:val="000000" w:themeColor="text1"/>
        </w:rPr>
        <w:t>sanitaires</w:t>
      </w:r>
      <w:r w:rsidR="00C66E25" w:rsidRPr="00260790">
        <w:rPr>
          <w:rFonts w:ascii="Times New Roman" w:hAnsi="Times New Roman"/>
          <w:bCs/>
          <w:color w:val="000000" w:themeColor="text1"/>
        </w:rPr>
        <w:t xml:space="preserve"> concernés</w:t>
      </w:r>
      <w:r w:rsidRPr="00260790">
        <w:rPr>
          <w:rFonts w:ascii="Times New Roman" w:hAnsi="Times New Roman"/>
          <w:bCs/>
          <w:color w:val="000000" w:themeColor="text1"/>
        </w:rPr>
        <w:t> ;</w:t>
      </w:r>
    </w:p>
    <w:p w14:paraId="749E5B67" w14:textId="16B09288" w:rsidR="008B08D9" w:rsidRPr="00260790" w:rsidRDefault="005A5E13" w:rsidP="001748C6">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É</w:t>
      </w:r>
      <w:r w:rsidR="008B08D9" w:rsidRPr="00260790">
        <w:rPr>
          <w:rFonts w:ascii="Times New Roman" w:hAnsi="Times New Roman"/>
          <w:bCs/>
          <w:color w:val="000000" w:themeColor="text1"/>
        </w:rPr>
        <w:t>tablir un programme de lutte contre le VIH/SIDA avec les activités de sensibilisation et de dépistages volontaires conformément à l’arrêté 14-9561 du 23/09/2014 relatif à l’information, l’éducation, la formation en matière de VIH/SIDA sur les lieux de travail ;</w:t>
      </w:r>
    </w:p>
    <w:p w14:paraId="0969631B" w14:textId="307D2180" w:rsidR="008B08D9" w:rsidRPr="00260790" w:rsidRDefault="008B08D9" w:rsidP="00E20250">
      <w:pPr>
        <w:spacing w:before="60" w:after="60" w:line="240" w:lineRule="auto"/>
        <w:ind w:left="370"/>
        <w:rPr>
          <w:rFonts w:ascii="Times New Roman" w:hAnsi="Times New Roman"/>
          <w:color w:val="000000" w:themeColor="text1"/>
          <w:u w:val="single"/>
        </w:rPr>
      </w:pPr>
      <w:r w:rsidRPr="00260790">
        <w:rPr>
          <w:rFonts w:ascii="Times New Roman" w:hAnsi="Times New Roman"/>
          <w:color w:val="000000" w:themeColor="text1"/>
          <w:u w:val="single"/>
        </w:rPr>
        <w:t xml:space="preserve">Dispositions réglementaires, </w:t>
      </w:r>
      <w:r w:rsidR="0098325A" w:rsidRPr="00260790">
        <w:rPr>
          <w:rFonts w:ascii="Times New Roman" w:hAnsi="Times New Roman"/>
          <w:color w:val="000000" w:themeColor="text1"/>
          <w:u w:val="single"/>
        </w:rPr>
        <w:t>participation</w:t>
      </w:r>
      <w:r w:rsidRPr="00260790">
        <w:rPr>
          <w:rFonts w:ascii="Times New Roman" w:hAnsi="Times New Roman"/>
          <w:color w:val="000000" w:themeColor="text1"/>
          <w:u w:val="single"/>
        </w:rPr>
        <w:t xml:space="preserve"> des parties prenantes et suivi</w:t>
      </w:r>
    </w:p>
    <w:p w14:paraId="2B0BA8CD" w14:textId="7AC28852" w:rsidR="008B08D9" w:rsidRPr="00260790" w:rsidRDefault="005A5E13" w:rsidP="001748C6">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É</w:t>
      </w:r>
      <w:r w:rsidR="008B08D9" w:rsidRPr="00260790">
        <w:rPr>
          <w:rFonts w:ascii="Times New Roman" w:hAnsi="Times New Roman"/>
          <w:bCs/>
          <w:color w:val="000000" w:themeColor="text1"/>
        </w:rPr>
        <w:t xml:space="preserve">tablir des protocoles entre l’ADM et les services techniques pour un meilleur </w:t>
      </w:r>
      <w:r w:rsidR="0098325A" w:rsidRPr="00260790">
        <w:rPr>
          <w:rFonts w:ascii="Times New Roman" w:hAnsi="Times New Roman"/>
          <w:bCs/>
          <w:color w:val="000000" w:themeColor="text1"/>
        </w:rPr>
        <w:t>suivi</w:t>
      </w:r>
      <w:r w:rsidR="008B08D9" w:rsidRPr="00260790">
        <w:rPr>
          <w:rFonts w:ascii="Times New Roman" w:hAnsi="Times New Roman"/>
          <w:bCs/>
          <w:color w:val="000000" w:themeColor="text1"/>
        </w:rPr>
        <w:t xml:space="preserve"> des engagements </w:t>
      </w:r>
      <w:r w:rsidR="0098325A" w:rsidRPr="00260790">
        <w:rPr>
          <w:rFonts w:ascii="Times New Roman" w:hAnsi="Times New Roman"/>
          <w:bCs/>
          <w:color w:val="000000" w:themeColor="text1"/>
        </w:rPr>
        <w:t>(mesures) édictés</w:t>
      </w:r>
      <w:r w:rsidR="008B08D9" w:rsidRPr="00260790">
        <w:rPr>
          <w:rFonts w:ascii="Times New Roman" w:hAnsi="Times New Roman"/>
          <w:bCs/>
          <w:color w:val="000000" w:themeColor="text1"/>
        </w:rPr>
        <w:t xml:space="preserve"> dans le PGES</w:t>
      </w:r>
      <w:r w:rsidR="0098325A" w:rsidRPr="00260790">
        <w:rPr>
          <w:rFonts w:ascii="Times New Roman" w:hAnsi="Times New Roman"/>
          <w:bCs/>
          <w:color w:val="000000" w:themeColor="text1"/>
        </w:rPr>
        <w:t xml:space="preserve"> </w:t>
      </w:r>
      <w:r w:rsidR="008B08D9" w:rsidRPr="00260790">
        <w:rPr>
          <w:rFonts w:ascii="Times New Roman" w:hAnsi="Times New Roman"/>
          <w:bCs/>
          <w:color w:val="000000" w:themeColor="text1"/>
        </w:rPr>
        <w:t>;</w:t>
      </w:r>
    </w:p>
    <w:p w14:paraId="73AC72E7" w14:textId="13F4AAF3" w:rsidR="00982AAE" w:rsidRPr="00260790" w:rsidRDefault="00E60FA9" w:rsidP="001748C6">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É</w:t>
      </w:r>
      <w:r w:rsidR="00982AAE" w:rsidRPr="00260790">
        <w:rPr>
          <w:rFonts w:ascii="Times New Roman" w:hAnsi="Times New Roman"/>
          <w:bCs/>
          <w:color w:val="000000" w:themeColor="text1"/>
        </w:rPr>
        <w:t>laborer un plan de suivi de la mise en œuvre du PGES où tous les acteurs, y compris les services techniques, seront impliqués ;</w:t>
      </w:r>
    </w:p>
    <w:p w14:paraId="79577778" w14:textId="3FB123CD" w:rsidR="008B08D9" w:rsidRPr="00260790" w:rsidRDefault="008B08D9" w:rsidP="001748C6">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Faire une bonne cartographi</w:t>
      </w:r>
      <w:r w:rsidR="0098325A" w:rsidRPr="00260790">
        <w:rPr>
          <w:rFonts w:ascii="Times New Roman" w:hAnsi="Times New Roman"/>
          <w:bCs/>
          <w:color w:val="000000" w:themeColor="text1"/>
        </w:rPr>
        <w:t>e d</w:t>
      </w:r>
      <w:r w:rsidRPr="00260790">
        <w:rPr>
          <w:rFonts w:ascii="Times New Roman" w:hAnsi="Times New Roman"/>
          <w:bCs/>
          <w:color w:val="000000" w:themeColor="text1"/>
        </w:rPr>
        <w:t xml:space="preserve">es réseaux hydrographiques et ceux des concessionnaires </w:t>
      </w:r>
      <w:r w:rsidR="0098325A" w:rsidRPr="00260790">
        <w:rPr>
          <w:rFonts w:ascii="Times New Roman" w:hAnsi="Times New Roman"/>
          <w:bCs/>
          <w:color w:val="000000" w:themeColor="text1"/>
        </w:rPr>
        <w:t xml:space="preserve">dans la zone du projet </w:t>
      </w:r>
      <w:r w:rsidRPr="00260790">
        <w:rPr>
          <w:rFonts w:ascii="Times New Roman" w:hAnsi="Times New Roman"/>
          <w:bCs/>
          <w:color w:val="000000" w:themeColor="text1"/>
        </w:rPr>
        <w:t>;</w:t>
      </w:r>
    </w:p>
    <w:p w14:paraId="2B8F1CDF" w14:textId="32662BEB" w:rsidR="008B08D9" w:rsidRPr="00260790" w:rsidRDefault="008B08D9" w:rsidP="001748C6">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 xml:space="preserve">Disposer </w:t>
      </w:r>
      <w:r w:rsidR="001A11D6" w:rsidRPr="00260790">
        <w:rPr>
          <w:rFonts w:ascii="Times New Roman" w:hAnsi="Times New Roman"/>
          <w:bCs/>
          <w:color w:val="000000" w:themeColor="text1"/>
        </w:rPr>
        <w:t>d</w:t>
      </w:r>
      <w:r w:rsidRPr="00260790">
        <w:rPr>
          <w:rFonts w:ascii="Times New Roman" w:hAnsi="Times New Roman"/>
          <w:bCs/>
          <w:color w:val="000000" w:themeColor="text1"/>
        </w:rPr>
        <w:t xml:space="preserve">es autorisations nécessaires auprès des </w:t>
      </w:r>
      <w:r w:rsidR="001A11D6" w:rsidRPr="00260790">
        <w:rPr>
          <w:rFonts w:ascii="Times New Roman" w:hAnsi="Times New Roman"/>
          <w:bCs/>
          <w:color w:val="000000" w:themeColor="text1"/>
        </w:rPr>
        <w:t>institutions habilitées</w:t>
      </w:r>
      <w:r w:rsidRPr="00260790">
        <w:rPr>
          <w:rFonts w:ascii="Times New Roman" w:hAnsi="Times New Roman"/>
          <w:bCs/>
          <w:color w:val="000000" w:themeColor="text1"/>
        </w:rPr>
        <w:t xml:space="preserve"> avant le démarrage des travaux ;</w:t>
      </w:r>
    </w:p>
    <w:p w14:paraId="2C536E9B" w14:textId="10929FC8" w:rsidR="008B08D9" w:rsidRPr="00260790" w:rsidRDefault="008B08D9" w:rsidP="001748C6">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 xml:space="preserve">Adopter un bon plan de communication, de sensibilisation </w:t>
      </w:r>
      <w:r w:rsidR="001A11D6" w:rsidRPr="00260790">
        <w:rPr>
          <w:rFonts w:ascii="Times New Roman" w:hAnsi="Times New Roman"/>
          <w:bCs/>
          <w:color w:val="000000" w:themeColor="text1"/>
        </w:rPr>
        <w:t>de</w:t>
      </w:r>
      <w:r w:rsidRPr="00260790">
        <w:rPr>
          <w:rFonts w:ascii="Times New Roman" w:hAnsi="Times New Roman"/>
          <w:bCs/>
          <w:color w:val="000000" w:themeColor="text1"/>
        </w:rPr>
        <w:t xml:space="preserve"> la population sur le projet pour faciliter une </w:t>
      </w:r>
      <w:r w:rsidR="001A11D6" w:rsidRPr="00260790">
        <w:rPr>
          <w:rFonts w:ascii="Times New Roman" w:hAnsi="Times New Roman"/>
          <w:bCs/>
          <w:color w:val="000000" w:themeColor="text1"/>
        </w:rPr>
        <w:t xml:space="preserve">appropriation et une </w:t>
      </w:r>
      <w:r w:rsidRPr="00260790">
        <w:rPr>
          <w:rFonts w:ascii="Times New Roman" w:hAnsi="Times New Roman"/>
          <w:bCs/>
          <w:color w:val="000000" w:themeColor="text1"/>
        </w:rPr>
        <w:t xml:space="preserve">bonne gestion des </w:t>
      </w:r>
      <w:r w:rsidR="001A11D6" w:rsidRPr="00260790">
        <w:rPr>
          <w:rFonts w:ascii="Times New Roman" w:hAnsi="Times New Roman"/>
          <w:bCs/>
          <w:color w:val="000000" w:themeColor="text1"/>
        </w:rPr>
        <w:t>ouvrages</w:t>
      </w:r>
      <w:r w:rsidRPr="00260790">
        <w:rPr>
          <w:rFonts w:ascii="Times New Roman" w:hAnsi="Times New Roman"/>
          <w:bCs/>
          <w:color w:val="000000" w:themeColor="text1"/>
        </w:rPr>
        <w:t> ;</w:t>
      </w:r>
    </w:p>
    <w:p w14:paraId="17C6F0C0" w14:textId="0B5B97F2" w:rsidR="008B08D9" w:rsidRPr="00260790" w:rsidRDefault="001A11D6" w:rsidP="001748C6">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E</w:t>
      </w:r>
      <w:r w:rsidR="008B08D9" w:rsidRPr="00260790">
        <w:rPr>
          <w:rFonts w:ascii="Times New Roman" w:hAnsi="Times New Roman"/>
          <w:bCs/>
          <w:color w:val="000000" w:themeColor="text1"/>
        </w:rPr>
        <w:t>ffectuer des sondages de suivi </w:t>
      </w:r>
      <w:r w:rsidRPr="00260790">
        <w:rPr>
          <w:rFonts w:ascii="Times New Roman" w:hAnsi="Times New Roman"/>
          <w:bCs/>
          <w:color w:val="000000" w:themeColor="text1"/>
        </w:rPr>
        <w:t xml:space="preserve">de la qualité de l’eau avant démarrage des travaux </w:t>
      </w:r>
      <w:r w:rsidR="008B08D9" w:rsidRPr="00260790">
        <w:rPr>
          <w:rFonts w:ascii="Times New Roman" w:hAnsi="Times New Roman"/>
          <w:bCs/>
          <w:color w:val="000000" w:themeColor="text1"/>
        </w:rPr>
        <w:t>;</w:t>
      </w:r>
    </w:p>
    <w:p w14:paraId="460EB151" w14:textId="270D6C81" w:rsidR="008B08D9" w:rsidRPr="00260790" w:rsidRDefault="008B08D9" w:rsidP="001748C6">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 xml:space="preserve">Impliquer les </w:t>
      </w:r>
      <w:r w:rsidR="001A11D6" w:rsidRPr="00260790">
        <w:rPr>
          <w:rFonts w:ascii="Times New Roman" w:hAnsi="Times New Roman"/>
          <w:bCs/>
          <w:color w:val="000000" w:themeColor="text1"/>
        </w:rPr>
        <w:t>c</w:t>
      </w:r>
      <w:r w:rsidRPr="00260790">
        <w:rPr>
          <w:rFonts w:ascii="Times New Roman" w:hAnsi="Times New Roman"/>
          <w:bCs/>
          <w:color w:val="000000" w:themeColor="text1"/>
        </w:rPr>
        <w:t xml:space="preserve">ollectivités territoriales dans </w:t>
      </w:r>
      <w:r w:rsidR="001A11D6" w:rsidRPr="00260790">
        <w:rPr>
          <w:rFonts w:ascii="Times New Roman" w:hAnsi="Times New Roman"/>
          <w:bCs/>
          <w:color w:val="000000" w:themeColor="text1"/>
        </w:rPr>
        <w:t xml:space="preserve">toutes </w:t>
      </w:r>
      <w:r w:rsidRPr="00260790">
        <w:rPr>
          <w:rFonts w:ascii="Times New Roman" w:hAnsi="Times New Roman"/>
          <w:bCs/>
          <w:color w:val="000000" w:themeColor="text1"/>
        </w:rPr>
        <w:t xml:space="preserve">les étapes </w:t>
      </w:r>
      <w:r w:rsidR="001A11D6" w:rsidRPr="00260790">
        <w:rPr>
          <w:rFonts w:ascii="Times New Roman" w:hAnsi="Times New Roman"/>
          <w:bCs/>
          <w:color w:val="000000" w:themeColor="text1"/>
        </w:rPr>
        <w:t xml:space="preserve">de la mise en </w:t>
      </w:r>
      <w:r w:rsidR="00273847" w:rsidRPr="00260790">
        <w:rPr>
          <w:rFonts w:ascii="Times New Roman" w:hAnsi="Times New Roman"/>
          <w:bCs/>
          <w:color w:val="000000" w:themeColor="text1"/>
        </w:rPr>
        <w:t>œuvre</w:t>
      </w:r>
      <w:r w:rsidR="001A11D6" w:rsidRPr="00260790">
        <w:rPr>
          <w:rFonts w:ascii="Times New Roman" w:hAnsi="Times New Roman"/>
          <w:bCs/>
          <w:color w:val="000000" w:themeColor="text1"/>
        </w:rPr>
        <w:t xml:space="preserve"> du projet</w:t>
      </w:r>
      <w:r w:rsidRPr="00260790">
        <w:rPr>
          <w:rFonts w:ascii="Times New Roman" w:hAnsi="Times New Roman"/>
          <w:bCs/>
          <w:color w:val="000000" w:themeColor="text1"/>
        </w:rPr>
        <w:t> ;</w:t>
      </w:r>
    </w:p>
    <w:p w14:paraId="3CB559C7" w14:textId="73D4BBA4" w:rsidR="008B08D9" w:rsidRPr="00260790" w:rsidRDefault="008B08D9" w:rsidP="001748C6">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Respecter les dispositions de l’ensemble de</w:t>
      </w:r>
      <w:r w:rsidR="00982AAE" w:rsidRPr="00260790">
        <w:rPr>
          <w:rFonts w:ascii="Times New Roman" w:hAnsi="Times New Roman"/>
          <w:bCs/>
          <w:color w:val="000000" w:themeColor="text1"/>
        </w:rPr>
        <w:t xml:space="preserve"> la réglementation applicable </w:t>
      </w:r>
      <w:r w:rsidRPr="00260790">
        <w:rPr>
          <w:rFonts w:ascii="Times New Roman" w:hAnsi="Times New Roman"/>
          <w:bCs/>
          <w:color w:val="000000" w:themeColor="text1"/>
        </w:rPr>
        <w:t>dans le cadre du présent projet (</w:t>
      </w:r>
      <w:r w:rsidR="00982AAE" w:rsidRPr="00260790">
        <w:rPr>
          <w:rFonts w:ascii="Times New Roman" w:hAnsi="Times New Roman"/>
          <w:bCs/>
          <w:color w:val="000000" w:themeColor="text1"/>
        </w:rPr>
        <w:t>codes d</w:t>
      </w:r>
      <w:r w:rsidRPr="00260790">
        <w:rPr>
          <w:rFonts w:ascii="Times New Roman" w:hAnsi="Times New Roman"/>
          <w:bCs/>
          <w:color w:val="000000" w:themeColor="text1"/>
        </w:rPr>
        <w:t>e l’eau</w:t>
      </w:r>
      <w:r w:rsidR="00982AAE" w:rsidRPr="00260790">
        <w:rPr>
          <w:rFonts w:ascii="Times New Roman" w:hAnsi="Times New Roman"/>
          <w:bCs/>
          <w:color w:val="000000" w:themeColor="text1"/>
        </w:rPr>
        <w:t xml:space="preserve"> et</w:t>
      </w:r>
      <w:r w:rsidRPr="00260790">
        <w:rPr>
          <w:rFonts w:ascii="Times New Roman" w:hAnsi="Times New Roman"/>
          <w:bCs/>
          <w:color w:val="000000" w:themeColor="text1"/>
        </w:rPr>
        <w:t xml:space="preserve"> </w:t>
      </w:r>
      <w:r w:rsidR="00982AAE" w:rsidRPr="00260790">
        <w:rPr>
          <w:rFonts w:ascii="Times New Roman" w:hAnsi="Times New Roman"/>
          <w:bCs/>
          <w:color w:val="000000" w:themeColor="text1"/>
        </w:rPr>
        <w:t xml:space="preserve">de </w:t>
      </w:r>
      <w:r w:rsidRPr="00260790">
        <w:rPr>
          <w:rFonts w:ascii="Times New Roman" w:hAnsi="Times New Roman"/>
          <w:bCs/>
          <w:color w:val="000000" w:themeColor="text1"/>
        </w:rPr>
        <w:t>l’assainissement</w:t>
      </w:r>
      <w:r w:rsidR="00982AAE" w:rsidRPr="00260790">
        <w:rPr>
          <w:rFonts w:ascii="Times New Roman" w:hAnsi="Times New Roman"/>
          <w:bCs/>
          <w:color w:val="000000" w:themeColor="text1"/>
        </w:rPr>
        <w:t>,</w:t>
      </w:r>
      <w:r w:rsidRPr="00260790">
        <w:rPr>
          <w:rFonts w:ascii="Times New Roman" w:hAnsi="Times New Roman"/>
          <w:bCs/>
          <w:color w:val="000000" w:themeColor="text1"/>
        </w:rPr>
        <w:t xml:space="preserve"> </w:t>
      </w:r>
      <w:r w:rsidR="00982AAE" w:rsidRPr="00260790">
        <w:rPr>
          <w:rFonts w:ascii="Times New Roman" w:hAnsi="Times New Roman"/>
          <w:bCs/>
          <w:color w:val="000000" w:themeColor="text1"/>
        </w:rPr>
        <w:t>c</w:t>
      </w:r>
      <w:r w:rsidRPr="00260790">
        <w:rPr>
          <w:rFonts w:ascii="Times New Roman" w:hAnsi="Times New Roman"/>
          <w:bCs/>
          <w:color w:val="000000" w:themeColor="text1"/>
        </w:rPr>
        <w:t>ode du travail</w:t>
      </w:r>
      <w:r w:rsidR="00982AAE" w:rsidRPr="00260790">
        <w:rPr>
          <w:rFonts w:ascii="Times New Roman" w:hAnsi="Times New Roman"/>
          <w:bCs/>
          <w:color w:val="000000" w:themeColor="text1"/>
        </w:rPr>
        <w:t>, etc.</w:t>
      </w:r>
      <w:r w:rsidRPr="00260790">
        <w:rPr>
          <w:rFonts w:ascii="Times New Roman" w:hAnsi="Times New Roman"/>
          <w:bCs/>
          <w:color w:val="000000" w:themeColor="text1"/>
        </w:rPr>
        <w:t>)</w:t>
      </w:r>
      <w:r w:rsidR="00982AAE" w:rsidRPr="00260790">
        <w:rPr>
          <w:rFonts w:ascii="Times New Roman" w:hAnsi="Times New Roman"/>
          <w:bCs/>
          <w:color w:val="000000" w:themeColor="text1"/>
        </w:rPr>
        <w:t xml:space="preserve"> </w:t>
      </w:r>
      <w:r w:rsidRPr="00260790">
        <w:rPr>
          <w:rFonts w:ascii="Times New Roman" w:hAnsi="Times New Roman"/>
          <w:bCs/>
          <w:color w:val="000000" w:themeColor="text1"/>
        </w:rPr>
        <w:t>;</w:t>
      </w:r>
    </w:p>
    <w:p w14:paraId="3FABAFA2" w14:textId="77777777" w:rsidR="008B08D9" w:rsidRPr="00260790" w:rsidRDefault="008B08D9" w:rsidP="001748C6">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Compenser les arbres coupés ; travailler en étroite collaboration avec les Eaux et Forêts ;</w:t>
      </w:r>
    </w:p>
    <w:p w14:paraId="387DA8E7" w14:textId="3389C72A" w:rsidR="008B08D9" w:rsidRPr="00260790" w:rsidRDefault="008B08D9" w:rsidP="001748C6">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 xml:space="preserve">Accorder une attention particulière aux réseaux </w:t>
      </w:r>
      <w:r w:rsidR="00982AAE" w:rsidRPr="00260790">
        <w:rPr>
          <w:rFonts w:ascii="Times New Roman" w:hAnsi="Times New Roman"/>
          <w:bCs/>
          <w:color w:val="000000" w:themeColor="text1"/>
        </w:rPr>
        <w:t>des concessionnaires</w:t>
      </w:r>
      <w:r w:rsidRPr="00260790">
        <w:rPr>
          <w:rFonts w:ascii="Times New Roman" w:hAnsi="Times New Roman"/>
          <w:bCs/>
          <w:color w:val="000000" w:themeColor="text1"/>
        </w:rPr>
        <w:t xml:space="preserve"> (</w:t>
      </w:r>
      <w:r w:rsidR="00A601BF" w:rsidRPr="00260790">
        <w:rPr>
          <w:rFonts w:ascii="Times New Roman" w:hAnsi="Times New Roman"/>
          <w:bCs/>
          <w:color w:val="000000" w:themeColor="text1"/>
        </w:rPr>
        <w:t>SEN EAU, SENELEC, ONAS, ASECNA</w:t>
      </w:r>
      <w:r w:rsidR="00982AAE" w:rsidRPr="00260790">
        <w:rPr>
          <w:rFonts w:ascii="Times New Roman" w:hAnsi="Times New Roman"/>
          <w:bCs/>
          <w:color w:val="000000" w:themeColor="text1"/>
        </w:rPr>
        <w:t>, etc.</w:t>
      </w:r>
      <w:r w:rsidRPr="00260790">
        <w:rPr>
          <w:rFonts w:ascii="Times New Roman" w:hAnsi="Times New Roman"/>
          <w:bCs/>
          <w:color w:val="000000" w:themeColor="text1"/>
        </w:rPr>
        <w:t>) pour éviter des désagréments </w:t>
      </w:r>
      <w:r w:rsidR="00982AAE" w:rsidRPr="00260790">
        <w:rPr>
          <w:rFonts w:ascii="Times New Roman" w:hAnsi="Times New Roman"/>
          <w:bCs/>
          <w:color w:val="000000" w:themeColor="text1"/>
        </w:rPr>
        <w:t xml:space="preserve">dans le service public </w:t>
      </w:r>
      <w:r w:rsidRPr="00260790">
        <w:rPr>
          <w:rFonts w:ascii="Times New Roman" w:hAnsi="Times New Roman"/>
          <w:bCs/>
          <w:color w:val="000000" w:themeColor="text1"/>
        </w:rPr>
        <w:t>;</w:t>
      </w:r>
    </w:p>
    <w:p w14:paraId="47C57198" w14:textId="4A18C134" w:rsidR="008B08D9" w:rsidRPr="00260790" w:rsidRDefault="008B08D9" w:rsidP="001748C6">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Prendre en compte le Plan Directeur d’Aménagement et d’</w:t>
      </w:r>
      <w:r w:rsidR="00982AAE" w:rsidRPr="00260790">
        <w:rPr>
          <w:rFonts w:ascii="Times New Roman" w:hAnsi="Times New Roman"/>
          <w:bCs/>
          <w:color w:val="000000" w:themeColor="text1"/>
        </w:rPr>
        <w:t>U</w:t>
      </w:r>
      <w:r w:rsidRPr="00260790">
        <w:rPr>
          <w:rFonts w:ascii="Times New Roman" w:hAnsi="Times New Roman"/>
          <w:bCs/>
          <w:color w:val="000000" w:themeColor="text1"/>
        </w:rPr>
        <w:t>rbanisme de la ville de Dakar </w:t>
      </w:r>
      <w:r w:rsidR="00982AAE" w:rsidRPr="00260790">
        <w:rPr>
          <w:rFonts w:ascii="Times New Roman" w:hAnsi="Times New Roman"/>
          <w:bCs/>
          <w:color w:val="000000" w:themeColor="text1"/>
        </w:rPr>
        <w:t xml:space="preserve">dans le cadre de ce projet </w:t>
      </w:r>
      <w:r w:rsidRPr="00260790">
        <w:rPr>
          <w:rFonts w:ascii="Times New Roman" w:hAnsi="Times New Roman"/>
          <w:bCs/>
          <w:color w:val="000000" w:themeColor="text1"/>
        </w:rPr>
        <w:t xml:space="preserve">; </w:t>
      </w:r>
    </w:p>
    <w:p w14:paraId="7CA3BF96" w14:textId="2C4EFB2E" w:rsidR="008B08D9" w:rsidRPr="00260790" w:rsidRDefault="008B08D9" w:rsidP="001748C6">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 xml:space="preserve">Faire des contrats de travail à tous les travailleurs </w:t>
      </w:r>
      <w:r w:rsidR="00982AAE" w:rsidRPr="00260790">
        <w:rPr>
          <w:rFonts w:ascii="Times New Roman" w:hAnsi="Times New Roman"/>
          <w:bCs/>
          <w:color w:val="000000" w:themeColor="text1"/>
        </w:rPr>
        <w:t>(</w:t>
      </w:r>
      <w:r w:rsidRPr="00260790">
        <w:rPr>
          <w:rFonts w:ascii="Times New Roman" w:hAnsi="Times New Roman"/>
          <w:bCs/>
          <w:color w:val="000000" w:themeColor="text1"/>
        </w:rPr>
        <w:t xml:space="preserve">contrats de fin de chantiers ou contrats à </w:t>
      </w:r>
      <w:r w:rsidR="00982AAE" w:rsidRPr="00260790">
        <w:rPr>
          <w:rFonts w:ascii="Times New Roman" w:hAnsi="Times New Roman"/>
          <w:bCs/>
          <w:color w:val="000000" w:themeColor="text1"/>
        </w:rPr>
        <w:t>d</w:t>
      </w:r>
      <w:r w:rsidRPr="00260790">
        <w:rPr>
          <w:rFonts w:ascii="Times New Roman" w:hAnsi="Times New Roman"/>
          <w:bCs/>
          <w:color w:val="000000" w:themeColor="text1"/>
        </w:rPr>
        <w:t>urée déterminée</w:t>
      </w:r>
      <w:r w:rsidR="00982AAE" w:rsidRPr="00260790">
        <w:rPr>
          <w:rFonts w:ascii="Times New Roman" w:hAnsi="Times New Roman"/>
          <w:bCs/>
          <w:color w:val="000000" w:themeColor="text1"/>
        </w:rPr>
        <w:t>)</w:t>
      </w:r>
      <w:r w:rsidRPr="00260790">
        <w:rPr>
          <w:rFonts w:ascii="Times New Roman" w:hAnsi="Times New Roman"/>
          <w:bCs/>
          <w:color w:val="000000" w:themeColor="text1"/>
        </w:rPr>
        <w:t> ;</w:t>
      </w:r>
    </w:p>
    <w:p w14:paraId="5379A957" w14:textId="77E602C6" w:rsidR="008B08D9" w:rsidRPr="00260790" w:rsidRDefault="008B08D9" w:rsidP="001748C6">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Indiquer</w:t>
      </w:r>
      <w:r w:rsidR="003D0A45" w:rsidRPr="00260790">
        <w:rPr>
          <w:rFonts w:ascii="Times New Roman" w:hAnsi="Times New Roman"/>
          <w:bCs/>
          <w:color w:val="000000" w:themeColor="text1"/>
        </w:rPr>
        <w:t>,</w:t>
      </w:r>
      <w:r w:rsidRPr="00260790">
        <w:rPr>
          <w:rFonts w:ascii="Times New Roman" w:hAnsi="Times New Roman"/>
          <w:bCs/>
          <w:color w:val="000000" w:themeColor="text1"/>
        </w:rPr>
        <w:t xml:space="preserve"> dans le rapport </w:t>
      </w:r>
      <w:r w:rsidR="003D0A45" w:rsidRPr="00260790">
        <w:rPr>
          <w:rFonts w:ascii="Times New Roman" w:hAnsi="Times New Roman"/>
          <w:bCs/>
          <w:color w:val="000000" w:themeColor="text1"/>
        </w:rPr>
        <w:t>d’étude,</w:t>
      </w:r>
      <w:r w:rsidRPr="00260790">
        <w:rPr>
          <w:rFonts w:ascii="Times New Roman" w:hAnsi="Times New Roman"/>
          <w:bCs/>
          <w:color w:val="000000" w:themeColor="text1"/>
        </w:rPr>
        <w:t xml:space="preserve"> les prévisions des effectifs qui seront recrutés dans les différentes phases du projet en précisant les aspects G</w:t>
      </w:r>
      <w:r w:rsidR="002B6A80" w:rsidRPr="00260790">
        <w:rPr>
          <w:rFonts w:ascii="Times New Roman" w:hAnsi="Times New Roman"/>
          <w:bCs/>
          <w:color w:val="000000" w:themeColor="text1"/>
        </w:rPr>
        <w:t>enre</w:t>
      </w:r>
      <w:r w:rsidRPr="00260790">
        <w:rPr>
          <w:rFonts w:ascii="Times New Roman" w:hAnsi="Times New Roman"/>
          <w:bCs/>
          <w:color w:val="000000" w:themeColor="text1"/>
        </w:rPr>
        <w:t> ;</w:t>
      </w:r>
    </w:p>
    <w:p w14:paraId="088CE591" w14:textId="77777777" w:rsidR="003D0A45" w:rsidRPr="00260790" w:rsidRDefault="008B08D9" w:rsidP="001748C6">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 xml:space="preserve">Mettre en place un comité de gestion des plaintes du projet ; </w:t>
      </w:r>
    </w:p>
    <w:p w14:paraId="69D044E7" w14:textId="6AB9F01B" w:rsidR="00D76070" w:rsidRPr="00260790" w:rsidRDefault="00D76070" w:rsidP="001748C6">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 xml:space="preserve">Partager la documentation technique sur le projet avec les services techniques (plan des sites et des ouvrages, cartographie des bassins versants et </w:t>
      </w:r>
      <w:r w:rsidR="0087433E" w:rsidRPr="00260790">
        <w:rPr>
          <w:rFonts w:ascii="Times New Roman" w:hAnsi="Times New Roman"/>
          <w:bCs/>
          <w:color w:val="000000" w:themeColor="text1"/>
        </w:rPr>
        <w:t xml:space="preserve">des aménagements </w:t>
      </w:r>
      <w:r w:rsidRPr="00260790">
        <w:rPr>
          <w:rFonts w:ascii="Times New Roman" w:hAnsi="Times New Roman"/>
          <w:bCs/>
          <w:color w:val="000000" w:themeColor="text1"/>
        </w:rPr>
        <w:t>du marigot de Mbao, etc.).</w:t>
      </w:r>
    </w:p>
    <w:p w14:paraId="481FD4E7" w14:textId="406B5270" w:rsidR="008B08D9" w:rsidRPr="00260790" w:rsidRDefault="008B08D9" w:rsidP="001748C6">
      <w:pPr>
        <w:pStyle w:val="Paragraphedeliste"/>
        <w:numPr>
          <w:ilvl w:val="0"/>
          <w:numId w:val="207"/>
        </w:numPr>
        <w:spacing w:before="60" w:after="60" w:line="240" w:lineRule="auto"/>
        <w:jc w:val="both"/>
        <w:rPr>
          <w:rFonts w:ascii="Times New Roman" w:hAnsi="Times New Roman"/>
          <w:bCs/>
          <w:color w:val="000000" w:themeColor="text1"/>
        </w:rPr>
      </w:pPr>
      <w:r w:rsidRPr="00260790">
        <w:rPr>
          <w:rFonts w:ascii="Times New Roman" w:hAnsi="Times New Roman"/>
          <w:bCs/>
          <w:color w:val="000000" w:themeColor="text1"/>
        </w:rPr>
        <w:t xml:space="preserve">Mener une large concertation </w:t>
      </w:r>
      <w:r w:rsidR="003D0A45" w:rsidRPr="00260790">
        <w:rPr>
          <w:rFonts w:ascii="Times New Roman" w:hAnsi="Times New Roman"/>
          <w:bCs/>
          <w:color w:val="000000" w:themeColor="text1"/>
        </w:rPr>
        <w:t xml:space="preserve">/ communication </w:t>
      </w:r>
      <w:r w:rsidRPr="00260790">
        <w:rPr>
          <w:rFonts w:ascii="Times New Roman" w:hAnsi="Times New Roman"/>
          <w:bCs/>
          <w:color w:val="000000" w:themeColor="text1"/>
        </w:rPr>
        <w:t>avec les acteurs pour une bonne appropriation et acceptation sociale du projet.</w:t>
      </w:r>
    </w:p>
    <w:p w14:paraId="527998C2" w14:textId="2B4AA7D1" w:rsidR="00C008BF" w:rsidRPr="00260790" w:rsidRDefault="0035101D" w:rsidP="007903CC">
      <w:pPr>
        <w:spacing w:before="60" w:after="0" w:line="240" w:lineRule="auto"/>
        <w:ind w:left="370"/>
        <w:rPr>
          <w:rFonts w:ascii="Times New Roman" w:hAnsi="Times New Roman"/>
          <w:color w:val="000000" w:themeColor="text1"/>
          <w:u w:val="single"/>
        </w:rPr>
      </w:pPr>
      <w:r w:rsidRPr="00260790">
        <w:rPr>
          <w:rFonts w:ascii="Times New Roman" w:hAnsi="Times New Roman"/>
          <w:color w:val="000000" w:themeColor="text1"/>
          <w:u w:val="single"/>
        </w:rPr>
        <w:t>Sur le m</w:t>
      </w:r>
      <w:r w:rsidR="004B3175" w:rsidRPr="00260790">
        <w:rPr>
          <w:rFonts w:ascii="Times New Roman" w:hAnsi="Times New Roman"/>
          <w:color w:val="000000" w:themeColor="text1"/>
          <w:u w:val="single"/>
        </w:rPr>
        <w:t xml:space="preserve">écanisme de </w:t>
      </w:r>
      <w:r w:rsidRPr="00260790">
        <w:rPr>
          <w:rFonts w:ascii="Times New Roman" w:hAnsi="Times New Roman"/>
          <w:color w:val="000000" w:themeColor="text1"/>
          <w:u w:val="single"/>
        </w:rPr>
        <w:t>g</w:t>
      </w:r>
      <w:r w:rsidR="004B3175" w:rsidRPr="00260790">
        <w:rPr>
          <w:rFonts w:ascii="Times New Roman" w:hAnsi="Times New Roman"/>
          <w:color w:val="000000" w:themeColor="text1"/>
          <w:u w:val="single"/>
        </w:rPr>
        <w:t xml:space="preserve">estion des </w:t>
      </w:r>
      <w:r w:rsidRPr="00260790">
        <w:rPr>
          <w:rFonts w:ascii="Times New Roman" w:hAnsi="Times New Roman"/>
          <w:color w:val="000000" w:themeColor="text1"/>
          <w:u w:val="single"/>
        </w:rPr>
        <w:t>p</w:t>
      </w:r>
      <w:r w:rsidR="00C008BF" w:rsidRPr="00260790">
        <w:rPr>
          <w:rFonts w:ascii="Times New Roman" w:hAnsi="Times New Roman"/>
          <w:color w:val="000000" w:themeColor="text1"/>
          <w:u w:val="single"/>
        </w:rPr>
        <w:t>laintes</w:t>
      </w:r>
    </w:p>
    <w:p w14:paraId="49DEC48B" w14:textId="62005766" w:rsidR="009326BB" w:rsidRPr="00260790" w:rsidRDefault="00DA4EB3"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L’ADM dispose déjà d’un MGP fonctionnel au niveau de</w:t>
      </w:r>
      <w:r w:rsidR="007A58D1" w:rsidRPr="00260790">
        <w:rPr>
          <w:rFonts w:ascii="Times New Roman" w:hAnsi="Times New Roman"/>
          <w:color w:val="000000" w:themeColor="text1"/>
          <w:lang w:eastAsia="fr-FR"/>
        </w:rPr>
        <w:t>s</w:t>
      </w:r>
      <w:r w:rsidR="00194AB1">
        <w:rPr>
          <w:rFonts w:ascii="Times New Roman" w:hAnsi="Times New Roman"/>
          <w:color w:val="000000" w:themeColor="text1"/>
          <w:lang w:eastAsia="fr-FR"/>
        </w:rPr>
        <w:t xml:space="preserve"> C</w:t>
      </w:r>
      <w:r w:rsidRPr="00260790">
        <w:rPr>
          <w:rFonts w:ascii="Times New Roman" w:hAnsi="Times New Roman"/>
          <w:color w:val="000000" w:themeColor="text1"/>
          <w:lang w:eastAsia="fr-FR"/>
        </w:rPr>
        <w:t>ommune</w:t>
      </w:r>
      <w:r w:rsidR="007A58D1" w:rsidRPr="00260790">
        <w:rPr>
          <w:rFonts w:ascii="Times New Roman" w:hAnsi="Times New Roman"/>
          <w:color w:val="000000" w:themeColor="text1"/>
          <w:lang w:eastAsia="fr-FR"/>
        </w:rPr>
        <w:t>s</w:t>
      </w:r>
      <w:r w:rsidRPr="00260790">
        <w:rPr>
          <w:rFonts w:ascii="Times New Roman" w:hAnsi="Times New Roman"/>
          <w:color w:val="000000" w:themeColor="text1"/>
          <w:lang w:eastAsia="fr-FR"/>
        </w:rPr>
        <w:t xml:space="preserve"> de </w:t>
      </w:r>
      <w:r w:rsidR="007A58D1" w:rsidRPr="00260790">
        <w:rPr>
          <w:rFonts w:ascii="Times New Roman" w:hAnsi="Times New Roman"/>
          <w:color w:val="000000" w:themeColor="text1"/>
          <w:lang w:eastAsia="fr-FR"/>
        </w:rPr>
        <w:t xml:space="preserve">Mbao, Rufisque Ouest, </w:t>
      </w:r>
      <w:proofErr w:type="spellStart"/>
      <w:r w:rsidR="007A58D1" w:rsidRPr="00260790">
        <w:rPr>
          <w:rFonts w:ascii="Times New Roman" w:hAnsi="Times New Roman"/>
          <w:color w:val="000000" w:themeColor="text1"/>
          <w:lang w:eastAsia="fr-FR"/>
        </w:rPr>
        <w:t>Jaxaay</w:t>
      </w:r>
      <w:proofErr w:type="spellEnd"/>
      <w:r w:rsidR="007A58D1" w:rsidRPr="00260790">
        <w:rPr>
          <w:rFonts w:ascii="Times New Roman" w:hAnsi="Times New Roman"/>
          <w:color w:val="000000" w:themeColor="text1"/>
          <w:lang w:eastAsia="fr-FR"/>
        </w:rPr>
        <w:t>-Parcelles et Keur Massar Sud</w:t>
      </w:r>
      <w:r w:rsidRPr="00260790">
        <w:rPr>
          <w:rFonts w:ascii="Times New Roman" w:hAnsi="Times New Roman"/>
          <w:color w:val="000000" w:themeColor="text1"/>
          <w:lang w:eastAsia="fr-FR"/>
        </w:rPr>
        <w:t xml:space="preserve"> dans le cadre du PROGEP II. </w:t>
      </w:r>
      <w:r w:rsidR="009326BB" w:rsidRPr="00260790">
        <w:rPr>
          <w:rFonts w:ascii="Times New Roman" w:hAnsi="Times New Roman"/>
          <w:color w:val="000000" w:themeColor="text1"/>
          <w:lang w:eastAsia="fr-FR"/>
        </w:rPr>
        <w:t>D</w:t>
      </w:r>
      <w:r w:rsidRPr="00260790">
        <w:rPr>
          <w:rFonts w:ascii="Times New Roman" w:hAnsi="Times New Roman"/>
          <w:color w:val="000000" w:themeColor="text1"/>
          <w:lang w:eastAsia="fr-FR"/>
        </w:rPr>
        <w:t xml:space="preserve">es points focaux </w:t>
      </w:r>
      <w:r w:rsidR="009326BB" w:rsidRPr="00260790">
        <w:rPr>
          <w:rFonts w:ascii="Times New Roman" w:hAnsi="Times New Roman"/>
          <w:color w:val="000000" w:themeColor="text1"/>
          <w:lang w:eastAsia="fr-FR"/>
        </w:rPr>
        <w:t xml:space="preserve">du MGP </w:t>
      </w:r>
      <w:r w:rsidRPr="00260790">
        <w:rPr>
          <w:rFonts w:ascii="Times New Roman" w:hAnsi="Times New Roman"/>
          <w:color w:val="000000" w:themeColor="text1"/>
          <w:lang w:eastAsia="fr-FR"/>
        </w:rPr>
        <w:t xml:space="preserve">seront désignés dans les </w:t>
      </w:r>
      <w:r w:rsidR="009326BB" w:rsidRPr="00260790">
        <w:rPr>
          <w:rFonts w:ascii="Times New Roman" w:hAnsi="Times New Roman"/>
          <w:color w:val="000000" w:themeColor="text1"/>
          <w:lang w:eastAsia="fr-FR"/>
        </w:rPr>
        <w:t xml:space="preserve">différents </w:t>
      </w:r>
      <w:r w:rsidRPr="00260790">
        <w:rPr>
          <w:rFonts w:ascii="Times New Roman" w:hAnsi="Times New Roman"/>
          <w:color w:val="000000" w:themeColor="text1"/>
          <w:lang w:eastAsia="fr-FR"/>
        </w:rPr>
        <w:t xml:space="preserve">quartiers </w:t>
      </w:r>
      <w:r w:rsidR="00CE050B" w:rsidRPr="00260790">
        <w:rPr>
          <w:rFonts w:ascii="Times New Roman" w:hAnsi="Times New Roman"/>
          <w:color w:val="000000" w:themeColor="text1"/>
          <w:lang w:eastAsia="fr-FR"/>
        </w:rPr>
        <w:t xml:space="preserve">concernés par le </w:t>
      </w:r>
      <w:r w:rsidRPr="00260790">
        <w:rPr>
          <w:rFonts w:ascii="Times New Roman" w:hAnsi="Times New Roman"/>
          <w:color w:val="000000" w:themeColor="text1"/>
          <w:lang w:eastAsia="fr-FR"/>
        </w:rPr>
        <w:t xml:space="preserve">projet.  </w:t>
      </w:r>
    </w:p>
    <w:p w14:paraId="5950F361" w14:textId="116A02B4" w:rsidR="009326BB" w:rsidRPr="00260790" w:rsidRDefault="00DA4EB3"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L’ADM développer</w:t>
      </w:r>
      <w:r w:rsidR="00CE050B" w:rsidRPr="00260790">
        <w:rPr>
          <w:rFonts w:ascii="Times New Roman" w:hAnsi="Times New Roman"/>
          <w:color w:val="000000" w:themeColor="text1"/>
          <w:lang w:eastAsia="fr-FR"/>
        </w:rPr>
        <w:t>a</w:t>
      </w:r>
      <w:r w:rsidRPr="00260790">
        <w:rPr>
          <w:rFonts w:ascii="Times New Roman" w:hAnsi="Times New Roman"/>
          <w:color w:val="000000" w:themeColor="text1"/>
          <w:lang w:eastAsia="fr-FR"/>
        </w:rPr>
        <w:t xml:space="preserve"> un programme de renforcement des capacités des membres </w:t>
      </w:r>
      <w:r w:rsidR="00CE050B" w:rsidRPr="00260790">
        <w:rPr>
          <w:rFonts w:ascii="Times New Roman" w:hAnsi="Times New Roman"/>
          <w:color w:val="000000" w:themeColor="text1"/>
          <w:lang w:eastAsia="fr-FR"/>
        </w:rPr>
        <w:t>des instance du MGP</w:t>
      </w:r>
      <w:r w:rsidRPr="00260790">
        <w:rPr>
          <w:rFonts w:ascii="Times New Roman" w:hAnsi="Times New Roman"/>
          <w:color w:val="000000" w:themeColor="text1"/>
          <w:lang w:eastAsia="fr-FR"/>
        </w:rPr>
        <w:t xml:space="preserve">. </w:t>
      </w:r>
      <w:r w:rsidR="00CE050B" w:rsidRPr="00260790">
        <w:rPr>
          <w:rFonts w:ascii="Times New Roman" w:hAnsi="Times New Roman"/>
          <w:color w:val="000000" w:themeColor="text1"/>
          <w:lang w:eastAsia="fr-FR"/>
        </w:rPr>
        <w:t>Par ailleurs, l</w:t>
      </w:r>
      <w:r w:rsidRPr="00260790">
        <w:rPr>
          <w:rFonts w:ascii="Times New Roman" w:hAnsi="Times New Roman"/>
          <w:color w:val="000000" w:themeColor="text1"/>
          <w:lang w:eastAsia="fr-FR"/>
        </w:rPr>
        <w:t xml:space="preserve">a mise en place d’une plateforme </w:t>
      </w:r>
      <w:proofErr w:type="spellStart"/>
      <w:r w:rsidR="00823CE6" w:rsidRPr="00260790">
        <w:rPr>
          <w:rFonts w:ascii="Times New Roman" w:hAnsi="Times New Roman"/>
          <w:color w:val="000000" w:themeColor="text1"/>
          <w:lang w:eastAsia="fr-FR"/>
        </w:rPr>
        <w:t>Kobotoolbox</w:t>
      </w:r>
      <w:proofErr w:type="spellEnd"/>
      <w:r w:rsidR="009326BB" w:rsidRPr="00260790">
        <w:rPr>
          <w:rFonts w:ascii="Times New Roman" w:hAnsi="Times New Roman"/>
          <w:color w:val="000000" w:themeColor="text1"/>
          <w:lang w:eastAsia="fr-FR"/>
        </w:rPr>
        <w:t>,</w:t>
      </w:r>
      <w:r w:rsidRPr="00260790">
        <w:rPr>
          <w:rFonts w:ascii="Times New Roman" w:hAnsi="Times New Roman"/>
          <w:color w:val="000000" w:themeColor="text1"/>
          <w:lang w:eastAsia="fr-FR"/>
        </w:rPr>
        <w:t xml:space="preserve"> avec </w:t>
      </w:r>
      <w:r w:rsidR="001658B7" w:rsidRPr="00260790">
        <w:rPr>
          <w:rFonts w:ascii="Times New Roman" w:hAnsi="Times New Roman"/>
          <w:color w:val="000000" w:themeColor="text1"/>
          <w:lang w:eastAsia="fr-FR"/>
        </w:rPr>
        <w:t xml:space="preserve">dotations de </w:t>
      </w:r>
      <w:r w:rsidRPr="00260790">
        <w:rPr>
          <w:rFonts w:ascii="Times New Roman" w:hAnsi="Times New Roman"/>
          <w:color w:val="000000" w:themeColor="text1"/>
          <w:lang w:eastAsia="fr-FR"/>
        </w:rPr>
        <w:t xml:space="preserve">smartphones à tous les points focaux des comités de gestion de plaintes </w:t>
      </w:r>
      <w:r w:rsidR="001658B7" w:rsidRPr="00260790">
        <w:rPr>
          <w:rFonts w:ascii="Times New Roman" w:hAnsi="Times New Roman"/>
          <w:color w:val="000000" w:themeColor="text1"/>
          <w:lang w:eastAsia="fr-FR"/>
        </w:rPr>
        <w:t>permettra</w:t>
      </w:r>
      <w:r w:rsidRPr="00260790">
        <w:rPr>
          <w:rFonts w:ascii="Times New Roman" w:hAnsi="Times New Roman"/>
          <w:color w:val="000000" w:themeColor="text1"/>
          <w:lang w:eastAsia="fr-FR"/>
        </w:rPr>
        <w:t xml:space="preserve"> </w:t>
      </w:r>
      <w:r w:rsidR="001658B7" w:rsidRPr="00260790">
        <w:rPr>
          <w:rFonts w:ascii="Times New Roman" w:hAnsi="Times New Roman"/>
          <w:color w:val="000000" w:themeColor="text1"/>
          <w:lang w:eastAsia="fr-FR"/>
        </w:rPr>
        <w:t>d’</w:t>
      </w:r>
      <w:r w:rsidRPr="00260790">
        <w:rPr>
          <w:rFonts w:ascii="Times New Roman" w:hAnsi="Times New Roman"/>
          <w:color w:val="000000" w:themeColor="text1"/>
          <w:lang w:eastAsia="fr-FR"/>
        </w:rPr>
        <w:t xml:space="preserve">améliorer et </w:t>
      </w:r>
      <w:r w:rsidR="001658B7" w:rsidRPr="00260790">
        <w:rPr>
          <w:rFonts w:ascii="Times New Roman" w:hAnsi="Times New Roman"/>
          <w:color w:val="000000" w:themeColor="text1"/>
          <w:lang w:eastAsia="fr-FR"/>
        </w:rPr>
        <w:t xml:space="preserve">de </w:t>
      </w:r>
      <w:r w:rsidRPr="00260790">
        <w:rPr>
          <w:rFonts w:ascii="Times New Roman" w:hAnsi="Times New Roman"/>
          <w:color w:val="000000" w:themeColor="text1"/>
          <w:lang w:eastAsia="fr-FR"/>
        </w:rPr>
        <w:t xml:space="preserve">moderniser les conditions de travail </w:t>
      </w:r>
      <w:r w:rsidR="001658B7" w:rsidRPr="00260790">
        <w:rPr>
          <w:rFonts w:ascii="Times New Roman" w:hAnsi="Times New Roman"/>
          <w:color w:val="000000" w:themeColor="text1"/>
          <w:lang w:eastAsia="fr-FR"/>
        </w:rPr>
        <w:t>du MGP</w:t>
      </w:r>
      <w:r w:rsidR="009326BB" w:rsidRPr="00260790">
        <w:rPr>
          <w:rFonts w:ascii="Times New Roman" w:hAnsi="Times New Roman"/>
          <w:color w:val="000000" w:themeColor="text1"/>
          <w:lang w:eastAsia="fr-FR"/>
        </w:rPr>
        <w:t xml:space="preserve">, </w:t>
      </w:r>
      <w:r w:rsidR="001658B7" w:rsidRPr="00260790">
        <w:rPr>
          <w:rFonts w:ascii="Times New Roman" w:hAnsi="Times New Roman"/>
          <w:color w:val="000000" w:themeColor="text1"/>
          <w:lang w:eastAsia="fr-FR"/>
        </w:rPr>
        <w:t>notamment dans</w:t>
      </w:r>
      <w:r w:rsidR="009326BB" w:rsidRPr="00260790">
        <w:rPr>
          <w:rFonts w:ascii="Times New Roman" w:hAnsi="Times New Roman"/>
          <w:color w:val="000000" w:themeColor="text1"/>
          <w:lang w:eastAsia="fr-FR"/>
        </w:rPr>
        <w:t xml:space="preserve"> l</w:t>
      </w:r>
      <w:r w:rsidRPr="00260790">
        <w:rPr>
          <w:rFonts w:ascii="Times New Roman" w:hAnsi="Times New Roman"/>
          <w:color w:val="000000" w:themeColor="text1"/>
          <w:lang w:eastAsia="fr-FR"/>
        </w:rPr>
        <w:t xml:space="preserve">a </w:t>
      </w:r>
      <w:r w:rsidR="001658B7" w:rsidRPr="00260790">
        <w:rPr>
          <w:rFonts w:ascii="Times New Roman" w:hAnsi="Times New Roman"/>
          <w:color w:val="000000" w:themeColor="text1"/>
          <w:lang w:eastAsia="fr-FR"/>
        </w:rPr>
        <w:t>circulation</w:t>
      </w:r>
      <w:r w:rsidRPr="00260790">
        <w:rPr>
          <w:rFonts w:ascii="Times New Roman" w:hAnsi="Times New Roman"/>
          <w:color w:val="000000" w:themeColor="text1"/>
          <w:lang w:eastAsia="fr-FR"/>
        </w:rPr>
        <w:t xml:space="preserve"> d</w:t>
      </w:r>
      <w:r w:rsidR="001658B7" w:rsidRPr="00260790">
        <w:rPr>
          <w:rFonts w:ascii="Times New Roman" w:hAnsi="Times New Roman"/>
          <w:color w:val="000000" w:themeColor="text1"/>
          <w:lang w:eastAsia="fr-FR"/>
        </w:rPr>
        <w:t xml:space="preserve">es </w:t>
      </w:r>
      <w:r w:rsidRPr="00260790">
        <w:rPr>
          <w:rFonts w:ascii="Times New Roman" w:hAnsi="Times New Roman"/>
          <w:color w:val="000000" w:themeColor="text1"/>
          <w:lang w:eastAsia="fr-FR"/>
        </w:rPr>
        <w:t>information</w:t>
      </w:r>
      <w:r w:rsidR="001658B7" w:rsidRPr="00260790">
        <w:rPr>
          <w:rFonts w:ascii="Times New Roman" w:hAnsi="Times New Roman"/>
          <w:color w:val="000000" w:themeColor="text1"/>
          <w:lang w:eastAsia="fr-FR"/>
        </w:rPr>
        <w:t>s</w:t>
      </w:r>
      <w:r w:rsidRPr="00260790">
        <w:rPr>
          <w:rFonts w:ascii="Times New Roman" w:hAnsi="Times New Roman"/>
          <w:color w:val="000000" w:themeColor="text1"/>
          <w:lang w:eastAsia="fr-FR"/>
        </w:rPr>
        <w:t xml:space="preserve"> </w:t>
      </w:r>
      <w:r w:rsidR="001658B7" w:rsidRPr="00260790">
        <w:rPr>
          <w:rFonts w:ascii="Times New Roman" w:hAnsi="Times New Roman"/>
          <w:color w:val="000000" w:themeColor="text1"/>
          <w:lang w:eastAsia="fr-FR"/>
        </w:rPr>
        <w:t>relatives aux</w:t>
      </w:r>
      <w:r w:rsidRPr="00260790">
        <w:rPr>
          <w:rFonts w:ascii="Times New Roman" w:hAnsi="Times New Roman"/>
          <w:color w:val="000000" w:themeColor="text1"/>
          <w:lang w:eastAsia="fr-FR"/>
        </w:rPr>
        <w:t xml:space="preserve"> plaintes.</w:t>
      </w:r>
    </w:p>
    <w:p w14:paraId="2E269ED5" w14:textId="408CEA3A" w:rsidR="005067A1" w:rsidRPr="00260790" w:rsidRDefault="00F33A95"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lastRenderedPageBreak/>
        <w:t>D’ailleurs, l</w:t>
      </w:r>
      <w:r w:rsidR="009326BB" w:rsidRPr="00260790">
        <w:rPr>
          <w:rFonts w:ascii="Times New Roman" w:hAnsi="Times New Roman"/>
          <w:color w:val="000000" w:themeColor="text1"/>
          <w:lang w:eastAsia="fr-FR"/>
        </w:rPr>
        <w:t xml:space="preserve">es populations </w:t>
      </w:r>
      <w:r w:rsidRPr="00260790">
        <w:rPr>
          <w:rFonts w:ascii="Times New Roman" w:hAnsi="Times New Roman"/>
          <w:color w:val="000000" w:themeColor="text1"/>
          <w:lang w:eastAsia="fr-FR"/>
        </w:rPr>
        <w:t xml:space="preserve">consultées </w:t>
      </w:r>
      <w:r w:rsidR="009326BB" w:rsidRPr="00260790">
        <w:rPr>
          <w:rFonts w:ascii="Times New Roman" w:hAnsi="Times New Roman"/>
          <w:color w:val="000000" w:themeColor="text1"/>
          <w:lang w:eastAsia="fr-FR"/>
        </w:rPr>
        <w:t xml:space="preserve">préconisent le renforcement de l’opérationnalité et la vulgarisation du MGP dans les différents quartiers concernés. La mise en place de Points Focaux </w:t>
      </w:r>
      <w:r w:rsidRPr="00260790">
        <w:rPr>
          <w:rFonts w:ascii="Times New Roman" w:hAnsi="Times New Roman"/>
          <w:color w:val="000000" w:themeColor="text1"/>
          <w:lang w:eastAsia="fr-FR"/>
        </w:rPr>
        <w:t xml:space="preserve">du </w:t>
      </w:r>
      <w:r w:rsidR="009326BB" w:rsidRPr="00260790">
        <w:rPr>
          <w:rFonts w:ascii="Times New Roman" w:hAnsi="Times New Roman"/>
          <w:color w:val="000000" w:themeColor="text1"/>
          <w:lang w:eastAsia="fr-FR"/>
        </w:rPr>
        <w:t xml:space="preserve">MGP à côté des délégués de quartiers a été </w:t>
      </w:r>
      <w:r w:rsidRPr="00260790">
        <w:rPr>
          <w:rFonts w:ascii="Times New Roman" w:hAnsi="Times New Roman"/>
          <w:color w:val="000000" w:themeColor="text1"/>
          <w:lang w:eastAsia="fr-FR"/>
        </w:rPr>
        <w:t xml:space="preserve">également </w:t>
      </w:r>
      <w:r w:rsidR="009326BB" w:rsidRPr="00260790">
        <w:rPr>
          <w:rFonts w:ascii="Times New Roman" w:hAnsi="Times New Roman"/>
          <w:color w:val="000000" w:themeColor="text1"/>
          <w:lang w:eastAsia="fr-FR"/>
        </w:rPr>
        <w:t>fortement recommandée.</w:t>
      </w:r>
    </w:p>
    <w:p w14:paraId="23B26A94" w14:textId="2E419A6E" w:rsidR="00C008BF" w:rsidRPr="00260790" w:rsidRDefault="0035101D" w:rsidP="00E20250">
      <w:pPr>
        <w:spacing w:before="60" w:after="60" w:line="240" w:lineRule="auto"/>
        <w:ind w:left="370"/>
        <w:rPr>
          <w:rFonts w:ascii="Times New Roman" w:hAnsi="Times New Roman"/>
          <w:color w:val="000000" w:themeColor="text1"/>
          <w:u w:val="single"/>
        </w:rPr>
      </w:pPr>
      <w:r w:rsidRPr="00260790">
        <w:rPr>
          <w:rFonts w:ascii="Times New Roman" w:hAnsi="Times New Roman"/>
          <w:color w:val="000000" w:themeColor="text1"/>
          <w:u w:val="single"/>
        </w:rPr>
        <w:t>Sur le r</w:t>
      </w:r>
      <w:r w:rsidR="00C008BF" w:rsidRPr="00260790">
        <w:rPr>
          <w:rFonts w:ascii="Times New Roman" w:hAnsi="Times New Roman"/>
          <w:color w:val="000000" w:themeColor="text1"/>
          <w:u w:val="single"/>
        </w:rPr>
        <w:t>enforcement de capacités</w:t>
      </w:r>
      <w:r w:rsidR="00985722" w:rsidRPr="00260790">
        <w:rPr>
          <w:rFonts w:ascii="Times New Roman" w:hAnsi="Times New Roman"/>
          <w:color w:val="000000" w:themeColor="text1"/>
          <w:u w:val="single"/>
        </w:rPr>
        <w:t xml:space="preserve"> et accompagnement social</w:t>
      </w:r>
    </w:p>
    <w:p w14:paraId="0EAF7BAC" w14:textId="10F6FC06" w:rsidR="00C008BF" w:rsidRPr="00260790" w:rsidRDefault="00C008BF" w:rsidP="00EF4FAC">
      <w:pPr>
        <w:spacing w:after="0"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 xml:space="preserve">Les différents </w:t>
      </w:r>
      <w:r w:rsidR="00F33A95" w:rsidRPr="00260790">
        <w:rPr>
          <w:rFonts w:ascii="Times New Roman" w:hAnsi="Times New Roman"/>
          <w:color w:val="000000" w:themeColor="text1"/>
          <w:lang w:eastAsia="fr-FR"/>
        </w:rPr>
        <w:t>acteurs</w:t>
      </w:r>
      <w:r w:rsidRPr="00260790">
        <w:rPr>
          <w:rFonts w:ascii="Times New Roman" w:hAnsi="Times New Roman"/>
          <w:color w:val="000000" w:themeColor="text1"/>
          <w:lang w:eastAsia="fr-FR"/>
        </w:rPr>
        <w:t xml:space="preserve"> consultés exprim</w:t>
      </w:r>
      <w:r w:rsidR="00D97BAB" w:rsidRPr="00260790">
        <w:rPr>
          <w:rFonts w:ascii="Times New Roman" w:hAnsi="Times New Roman"/>
          <w:color w:val="000000" w:themeColor="text1"/>
          <w:lang w:eastAsia="fr-FR"/>
        </w:rPr>
        <w:t>é</w:t>
      </w:r>
      <w:r w:rsidR="00464782" w:rsidRPr="00260790">
        <w:rPr>
          <w:rFonts w:ascii="Times New Roman" w:hAnsi="Times New Roman"/>
          <w:color w:val="000000" w:themeColor="text1"/>
          <w:lang w:eastAsia="fr-FR"/>
        </w:rPr>
        <w:t>s</w:t>
      </w:r>
      <w:r w:rsidRPr="00260790">
        <w:rPr>
          <w:rFonts w:ascii="Times New Roman" w:hAnsi="Times New Roman"/>
          <w:color w:val="000000" w:themeColor="text1"/>
          <w:lang w:eastAsia="fr-FR"/>
        </w:rPr>
        <w:t xml:space="preserve"> des besoins en </w:t>
      </w:r>
      <w:r w:rsidR="00836244" w:rsidRPr="00260790">
        <w:rPr>
          <w:rFonts w:ascii="Times New Roman" w:eastAsia="Times New Roman" w:hAnsi="Times New Roman"/>
          <w:color w:val="000000" w:themeColor="text1"/>
        </w:rPr>
        <w:t>accompagnement social</w:t>
      </w:r>
      <w:r w:rsidR="00836244" w:rsidRPr="00260790">
        <w:rPr>
          <w:rFonts w:ascii="Times New Roman" w:hAnsi="Times New Roman"/>
          <w:color w:val="000000" w:themeColor="text1"/>
          <w:lang w:eastAsia="fr-FR"/>
        </w:rPr>
        <w:t xml:space="preserve"> et en </w:t>
      </w:r>
      <w:r w:rsidRPr="00260790">
        <w:rPr>
          <w:rFonts w:ascii="Times New Roman" w:hAnsi="Times New Roman"/>
          <w:color w:val="000000" w:themeColor="text1"/>
          <w:lang w:eastAsia="fr-FR"/>
        </w:rPr>
        <w:t xml:space="preserve">renforcement de capacités </w:t>
      </w:r>
      <w:r w:rsidR="00D97BAB" w:rsidRPr="00260790">
        <w:rPr>
          <w:rFonts w:ascii="Times New Roman" w:hAnsi="Times New Roman"/>
          <w:color w:val="000000" w:themeColor="text1"/>
          <w:lang w:eastAsia="fr-FR"/>
        </w:rPr>
        <w:t xml:space="preserve">pour assurer une </w:t>
      </w:r>
      <w:r w:rsidR="00836244" w:rsidRPr="00260790">
        <w:rPr>
          <w:rFonts w:ascii="Times New Roman" w:hAnsi="Times New Roman"/>
          <w:color w:val="000000" w:themeColor="text1"/>
          <w:lang w:eastAsia="fr-FR"/>
        </w:rPr>
        <w:t xml:space="preserve">meilleure adhésion au projet, et une </w:t>
      </w:r>
      <w:r w:rsidR="00D97BAB" w:rsidRPr="00260790">
        <w:rPr>
          <w:rFonts w:ascii="Times New Roman" w:hAnsi="Times New Roman"/>
          <w:color w:val="000000" w:themeColor="text1"/>
          <w:lang w:eastAsia="fr-FR"/>
        </w:rPr>
        <w:t xml:space="preserve">participation de qualité pour la mise en œuvre et le suivi </w:t>
      </w:r>
      <w:r w:rsidR="00CB1D63" w:rsidRPr="00260790">
        <w:rPr>
          <w:rFonts w:ascii="Times New Roman" w:hAnsi="Times New Roman"/>
          <w:color w:val="000000" w:themeColor="text1"/>
          <w:lang w:eastAsia="fr-FR"/>
        </w:rPr>
        <w:t>des mesures de gestion environnementale et sociale du projet. C</w:t>
      </w:r>
      <w:r w:rsidRPr="00260790">
        <w:rPr>
          <w:rFonts w:ascii="Times New Roman" w:hAnsi="Times New Roman"/>
          <w:color w:val="000000" w:themeColor="text1"/>
          <w:lang w:eastAsia="fr-FR"/>
        </w:rPr>
        <w:t xml:space="preserve">es besoins </w:t>
      </w:r>
      <w:r w:rsidR="00CB1D63" w:rsidRPr="00260790">
        <w:rPr>
          <w:rFonts w:ascii="Times New Roman" w:hAnsi="Times New Roman"/>
          <w:color w:val="000000" w:themeColor="text1"/>
          <w:lang w:eastAsia="fr-FR"/>
        </w:rPr>
        <w:t xml:space="preserve">en </w:t>
      </w:r>
      <w:r w:rsidR="00836244" w:rsidRPr="00260790">
        <w:rPr>
          <w:rFonts w:ascii="Times New Roman" w:hAnsi="Times New Roman"/>
          <w:color w:val="000000" w:themeColor="text1"/>
          <w:lang w:eastAsia="fr-FR"/>
        </w:rPr>
        <w:t>appui/</w:t>
      </w:r>
      <w:r w:rsidR="00CB1D63" w:rsidRPr="00260790">
        <w:rPr>
          <w:rFonts w:ascii="Times New Roman" w:hAnsi="Times New Roman"/>
          <w:color w:val="000000" w:themeColor="text1"/>
          <w:lang w:eastAsia="fr-FR"/>
        </w:rPr>
        <w:t>renforcement couvrent principalement les domaines suivants</w:t>
      </w:r>
      <w:r w:rsidRPr="00260790">
        <w:rPr>
          <w:rFonts w:ascii="Times New Roman" w:hAnsi="Times New Roman"/>
          <w:color w:val="000000" w:themeColor="text1"/>
          <w:lang w:eastAsia="fr-FR"/>
        </w:rPr>
        <w:t xml:space="preserve"> :</w:t>
      </w:r>
    </w:p>
    <w:p w14:paraId="7D282908" w14:textId="19B36042" w:rsidR="00C008BF" w:rsidRPr="00260790" w:rsidRDefault="00C008BF" w:rsidP="001748C6">
      <w:pPr>
        <w:numPr>
          <w:ilvl w:val="0"/>
          <w:numId w:val="140"/>
        </w:numPr>
        <w:spacing w:after="0" w:line="240" w:lineRule="auto"/>
        <w:contextualSpacing/>
        <w:jc w:val="both"/>
        <w:rPr>
          <w:rFonts w:ascii="Times New Roman" w:eastAsiaTheme="minorHAnsi" w:hAnsi="Times New Roman"/>
          <w:color w:val="000000" w:themeColor="text1"/>
        </w:rPr>
      </w:pPr>
      <w:r w:rsidRPr="00260790">
        <w:rPr>
          <w:rFonts w:ascii="Times New Roman" w:eastAsiaTheme="minorHAnsi" w:hAnsi="Times New Roman"/>
          <w:color w:val="000000" w:themeColor="text1"/>
        </w:rPr>
        <w:t>Form</w:t>
      </w:r>
      <w:r w:rsidR="00CB1D63" w:rsidRPr="00260790">
        <w:rPr>
          <w:rFonts w:ascii="Times New Roman" w:eastAsiaTheme="minorHAnsi" w:hAnsi="Times New Roman"/>
          <w:color w:val="000000" w:themeColor="text1"/>
        </w:rPr>
        <w:t>ation des</w:t>
      </w:r>
      <w:r w:rsidRPr="00260790">
        <w:rPr>
          <w:rFonts w:ascii="Times New Roman" w:eastAsiaTheme="minorHAnsi" w:hAnsi="Times New Roman"/>
          <w:color w:val="000000" w:themeColor="text1"/>
        </w:rPr>
        <w:t xml:space="preserve"> jeunes </w:t>
      </w:r>
      <w:r w:rsidR="00CB1D63" w:rsidRPr="00260790">
        <w:rPr>
          <w:rFonts w:ascii="Times New Roman" w:eastAsiaTheme="minorHAnsi" w:hAnsi="Times New Roman"/>
          <w:color w:val="000000" w:themeColor="text1"/>
        </w:rPr>
        <w:t>en</w:t>
      </w:r>
      <w:r w:rsidRPr="00260790">
        <w:rPr>
          <w:rFonts w:ascii="Times New Roman" w:eastAsiaTheme="minorHAnsi" w:hAnsi="Times New Roman"/>
          <w:color w:val="000000" w:themeColor="text1"/>
        </w:rPr>
        <w:t xml:space="preserve"> pavage </w:t>
      </w:r>
      <w:r w:rsidR="00CB1D63" w:rsidRPr="00260790">
        <w:rPr>
          <w:rFonts w:ascii="Times New Roman" w:eastAsiaTheme="minorHAnsi" w:hAnsi="Times New Roman"/>
          <w:color w:val="000000" w:themeColor="text1"/>
        </w:rPr>
        <w:t xml:space="preserve">pour leur permettre de mieux capter les </w:t>
      </w:r>
      <w:r w:rsidR="00B1768D" w:rsidRPr="00260790">
        <w:rPr>
          <w:rFonts w:ascii="Times New Roman" w:eastAsiaTheme="minorHAnsi" w:hAnsi="Times New Roman"/>
          <w:color w:val="000000" w:themeColor="text1"/>
        </w:rPr>
        <w:t xml:space="preserve">opportunités d’emplois pendant les travaux </w:t>
      </w:r>
      <w:r w:rsidRPr="00260790">
        <w:rPr>
          <w:rFonts w:ascii="Times New Roman" w:eastAsiaTheme="minorHAnsi" w:hAnsi="Times New Roman"/>
          <w:color w:val="000000" w:themeColor="text1"/>
        </w:rPr>
        <w:t>;</w:t>
      </w:r>
    </w:p>
    <w:p w14:paraId="52851BEE" w14:textId="2B6092CE" w:rsidR="00C008BF" w:rsidRPr="00260790" w:rsidRDefault="00C008BF" w:rsidP="001748C6">
      <w:pPr>
        <w:numPr>
          <w:ilvl w:val="0"/>
          <w:numId w:val="140"/>
        </w:numPr>
        <w:spacing w:after="0" w:line="240" w:lineRule="auto"/>
        <w:contextualSpacing/>
        <w:jc w:val="both"/>
        <w:rPr>
          <w:rFonts w:ascii="Times New Roman" w:eastAsiaTheme="minorHAnsi" w:hAnsi="Times New Roman"/>
          <w:color w:val="000000" w:themeColor="text1"/>
        </w:rPr>
      </w:pPr>
      <w:r w:rsidRPr="00260790">
        <w:rPr>
          <w:rFonts w:ascii="Times New Roman" w:eastAsiaTheme="minorHAnsi" w:hAnsi="Times New Roman"/>
          <w:color w:val="000000" w:themeColor="text1"/>
        </w:rPr>
        <w:t>Form</w:t>
      </w:r>
      <w:r w:rsidR="00B1768D" w:rsidRPr="00260790">
        <w:rPr>
          <w:rFonts w:ascii="Times New Roman" w:eastAsiaTheme="minorHAnsi" w:hAnsi="Times New Roman"/>
          <w:color w:val="000000" w:themeColor="text1"/>
        </w:rPr>
        <w:t xml:space="preserve">ation des </w:t>
      </w:r>
      <w:r w:rsidRPr="00260790">
        <w:rPr>
          <w:rFonts w:ascii="Times New Roman" w:eastAsiaTheme="minorHAnsi" w:hAnsi="Times New Roman"/>
          <w:color w:val="000000" w:themeColor="text1"/>
        </w:rPr>
        <w:t>délégué</w:t>
      </w:r>
      <w:r w:rsidR="00B1768D" w:rsidRPr="00260790">
        <w:rPr>
          <w:rFonts w:ascii="Times New Roman" w:eastAsiaTheme="minorHAnsi" w:hAnsi="Times New Roman"/>
          <w:color w:val="000000" w:themeColor="text1"/>
        </w:rPr>
        <w:t>s</w:t>
      </w:r>
      <w:r w:rsidRPr="00260790">
        <w:rPr>
          <w:rFonts w:ascii="Times New Roman" w:eastAsiaTheme="minorHAnsi" w:hAnsi="Times New Roman"/>
          <w:color w:val="000000" w:themeColor="text1"/>
        </w:rPr>
        <w:t xml:space="preserve"> </w:t>
      </w:r>
      <w:r w:rsidR="00B1768D" w:rsidRPr="00260790">
        <w:rPr>
          <w:rFonts w:ascii="Times New Roman" w:eastAsiaTheme="minorHAnsi" w:hAnsi="Times New Roman"/>
          <w:color w:val="000000" w:themeColor="text1"/>
        </w:rPr>
        <w:t>dans la médiation et la</w:t>
      </w:r>
      <w:r w:rsidRPr="00260790">
        <w:rPr>
          <w:rFonts w:ascii="Times New Roman" w:eastAsiaTheme="minorHAnsi" w:hAnsi="Times New Roman"/>
          <w:color w:val="000000" w:themeColor="text1"/>
        </w:rPr>
        <w:t xml:space="preserve"> gestion des plaintes ;</w:t>
      </w:r>
    </w:p>
    <w:p w14:paraId="03AF9441" w14:textId="2FCAEEC1" w:rsidR="00C008BF" w:rsidRPr="00260790" w:rsidRDefault="00C008BF" w:rsidP="001748C6">
      <w:pPr>
        <w:numPr>
          <w:ilvl w:val="0"/>
          <w:numId w:val="140"/>
        </w:numPr>
        <w:spacing w:line="240" w:lineRule="auto"/>
        <w:contextualSpacing/>
        <w:jc w:val="both"/>
        <w:rPr>
          <w:rFonts w:ascii="Times New Roman" w:eastAsiaTheme="minorHAnsi" w:hAnsi="Times New Roman"/>
          <w:color w:val="000000" w:themeColor="text1"/>
        </w:rPr>
      </w:pPr>
      <w:r w:rsidRPr="00260790">
        <w:rPr>
          <w:rFonts w:ascii="Times New Roman" w:eastAsiaTheme="minorHAnsi" w:hAnsi="Times New Roman"/>
          <w:color w:val="000000" w:themeColor="text1"/>
        </w:rPr>
        <w:t xml:space="preserve">Doter </w:t>
      </w:r>
      <w:r w:rsidR="00901D33" w:rsidRPr="00260790">
        <w:rPr>
          <w:rFonts w:ascii="Times New Roman" w:eastAsiaTheme="minorHAnsi" w:hAnsi="Times New Roman"/>
          <w:color w:val="000000" w:themeColor="text1"/>
        </w:rPr>
        <w:t xml:space="preserve">les Mairies </w:t>
      </w:r>
      <w:r w:rsidRPr="00260790">
        <w:rPr>
          <w:rFonts w:ascii="Times New Roman" w:eastAsiaTheme="minorHAnsi" w:hAnsi="Times New Roman"/>
          <w:color w:val="000000" w:themeColor="text1"/>
        </w:rPr>
        <w:t>de</w:t>
      </w:r>
      <w:r w:rsidR="00901D33" w:rsidRPr="00260790">
        <w:rPr>
          <w:rFonts w:ascii="Times New Roman" w:eastAsiaTheme="minorHAnsi" w:hAnsi="Times New Roman"/>
          <w:color w:val="000000" w:themeColor="text1"/>
        </w:rPr>
        <w:t xml:space="preserve"> </w:t>
      </w:r>
      <w:r w:rsidR="008217CA" w:rsidRPr="00260790">
        <w:rPr>
          <w:rFonts w:ascii="Times New Roman" w:eastAsiaTheme="minorHAnsi" w:hAnsi="Times New Roman"/>
          <w:color w:val="000000" w:themeColor="text1"/>
        </w:rPr>
        <w:t>matériel</w:t>
      </w:r>
      <w:r w:rsidR="00901D33" w:rsidRPr="00260790">
        <w:rPr>
          <w:rFonts w:ascii="Times New Roman" w:eastAsiaTheme="minorHAnsi" w:hAnsi="Times New Roman"/>
          <w:color w:val="000000" w:themeColor="text1"/>
        </w:rPr>
        <w:t xml:space="preserve"> de lutte contre les inondations (groupe</w:t>
      </w:r>
      <w:r w:rsidRPr="00260790">
        <w:rPr>
          <w:rFonts w:ascii="Times New Roman" w:eastAsiaTheme="minorHAnsi" w:hAnsi="Times New Roman"/>
          <w:color w:val="000000" w:themeColor="text1"/>
        </w:rPr>
        <w:t>s motopompes</w:t>
      </w:r>
      <w:r w:rsidR="00901D33" w:rsidRPr="00260790">
        <w:rPr>
          <w:rFonts w:ascii="Times New Roman" w:eastAsiaTheme="minorHAnsi" w:hAnsi="Times New Roman"/>
          <w:color w:val="000000" w:themeColor="text1"/>
        </w:rPr>
        <w:t>,</w:t>
      </w:r>
      <w:r w:rsidRPr="00260790">
        <w:rPr>
          <w:rFonts w:ascii="Times New Roman" w:eastAsiaTheme="minorHAnsi" w:hAnsi="Times New Roman"/>
          <w:color w:val="000000" w:themeColor="text1"/>
        </w:rPr>
        <w:t xml:space="preserve"> tuyaux</w:t>
      </w:r>
      <w:r w:rsidR="00901D33" w:rsidRPr="00260790">
        <w:rPr>
          <w:rFonts w:ascii="Times New Roman" w:eastAsiaTheme="minorHAnsi" w:hAnsi="Times New Roman"/>
          <w:color w:val="000000" w:themeColor="text1"/>
        </w:rPr>
        <w:t>, etc.)</w:t>
      </w:r>
      <w:r w:rsidRPr="00260790">
        <w:rPr>
          <w:rFonts w:ascii="Times New Roman" w:eastAsiaTheme="minorHAnsi" w:hAnsi="Times New Roman"/>
          <w:color w:val="000000" w:themeColor="text1"/>
        </w:rPr>
        <w:t> </w:t>
      </w:r>
      <w:r w:rsidR="008217CA" w:rsidRPr="00260790">
        <w:rPr>
          <w:rFonts w:ascii="Times New Roman" w:eastAsiaTheme="minorHAnsi" w:hAnsi="Times New Roman"/>
          <w:color w:val="000000" w:themeColor="text1"/>
        </w:rPr>
        <w:t xml:space="preserve">et d’entretien des ouvrages (râteaux, des pelles, des bourrettes, etc.) </w:t>
      </w:r>
      <w:r w:rsidRPr="00260790">
        <w:rPr>
          <w:rFonts w:ascii="Times New Roman" w:eastAsiaTheme="minorHAnsi" w:hAnsi="Times New Roman"/>
          <w:color w:val="000000" w:themeColor="text1"/>
        </w:rPr>
        <w:t>;</w:t>
      </w:r>
    </w:p>
    <w:p w14:paraId="20852975" w14:textId="77777777" w:rsidR="00324C47" w:rsidRPr="00260790" w:rsidRDefault="00324C47" w:rsidP="00324C47">
      <w:pPr>
        <w:pStyle w:val="CHAPITRE1"/>
        <w:rPr>
          <w:rFonts w:cs="Times New Roman"/>
        </w:rPr>
      </w:pPr>
      <w:bookmarkStart w:id="581" w:name="_Toc212725123"/>
      <w:r w:rsidRPr="00260790">
        <w:rPr>
          <w:rFonts w:cs="Times New Roman"/>
        </w:rPr>
        <w:t>Consultation des populations affectées par le Projet</w:t>
      </w:r>
      <w:bookmarkEnd w:id="581"/>
    </w:p>
    <w:p w14:paraId="2F942268" w14:textId="77777777" w:rsidR="00324C47" w:rsidRPr="00260790" w:rsidRDefault="00324C47" w:rsidP="00324C47">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Des consultations des populations affectées ont été tenues dans plusieurs quartiers de la zone d’intervention du projet, notamment Baye Niass, Hamdalaye 3, Baye Gana </w:t>
      </w:r>
      <w:proofErr w:type="spellStart"/>
      <w:r w:rsidRPr="00260790">
        <w:rPr>
          <w:rFonts w:ascii="Times New Roman" w:hAnsi="Times New Roman"/>
          <w:color w:val="000000" w:themeColor="text1"/>
        </w:rPr>
        <w:t>Aw</w:t>
      </w:r>
      <w:proofErr w:type="spellEnd"/>
      <w:r w:rsidRPr="00260790">
        <w:rPr>
          <w:rFonts w:ascii="Times New Roman" w:hAnsi="Times New Roman"/>
          <w:color w:val="000000" w:themeColor="text1"/>
        </w:rPr>
        <w:t xml:space="preserve">, Madiabel, </w:t>
      </w:r>
      <w:proofErr w:type="spellStart"/>
      <w:r w:rsidRPr="00260790">
        <w:rPr>
          <w:rFonts w:ascii="Times New Roman" w:hAnsi="Times New Roman"/>
          <w:color w:val="000000" w:themeColor="text1"/>
        </w:rPr>
        <w:t>Lébougui</w:t>
      </w:r>
      <w:proofErr w:type="spellEnd"/>
      <w:r w:rsidRPr="00260790">
        <w:rPr>
          <w:rFonts w:ascii="Times New Roman" w:hAnsi="Times New Roman"/>
          <w:color w:val="000000" w:themeColor="text1"/>
        </w:rPr>
        <w:t xml:space="preserve"> 2000, Kaay </w:t>
      </w:r>
      <w:proofErr w:type="spellStart"/>
      <w:r w:rsidRPr="00260790">
        <w:rPr>
          <w:rFonts w:ascii="Times New Roman" w:hAnsi="Times New Roman"/>
          <w:color w:val="000000" w:themeColor="text1"/>
        </w:rPr>
        <w:t>Baax</w:t>
      </w:r>
      <w:proofErr w:type="spellEnd"/>
      <w:r w:rsidRPr="00260790">
        <w:rPr>
          <w:rFonts w:ascii="Times New Roman" w:hAnsi="Times New Roman"/>
          <w:color w:val="000000" w:themeColor="text1"/>
        </w:rPr>
        <w:t>, Médina Zac, PROMOCAP, Cité Élevage, etc.</w:t>
      </w:r>
    </w:p>
    <w:p w14:paraId="60F8AC66" w14:textId="77777777" w:rsidR="00324C47" w:rsidRPr="00260790" w:rsidRDefault="00324C47" w:rsidP="001748C6">
      <w:pPr>
        <w:pStyle w:val="Paragraphedeliste"/>
        <w:numPr>
          <w:ilvl w:val="0"/>
          <w:numId w:val="206"/>
        </w:numPr>
        <w:spacing w:line="360" w:lineRule="auto"/>
        <w:jc w:val="both"/>
        <w:rPr>
          <w:rFonts w:ascii="Times New Roman" w:hAnsi="Times New Roman"/>
          <w:b/>
          <w:i/>
          <w:iCs/>
          <w:color w:val="000000" w:themeColor="text1"/>
        </w:rPr>
      </w:pPr>
      <w:r w:rsidRPr="00260790">
        <w:rPr>
          <w:rFonts w:ascii="Times New Roman" w:hAnsi="Times New Roman"/>
          <w:b/>
          <w:i/>
          <w:iCs/>
          <w:color w:val="000000" w:themeColor="text1"/>
        </w:rPr>
        <w:t>Avis des populations affectées sur le Projet</w:t>
      </w:r>
    </w:p>
    <w:p w14:paraId="3EFA9CDF" w14:textId="77777777" w:rsidR="00324C47" w:rsidRPr="00260790" w:rsidRDefault="00324C47" w:rsidP="00324C47">
      <w:pPr>
        <w:spacing w:line="240" w:lineRule="auto"/>
        <w:jc w:val="both"/>
        <w:rPr>
          <w:rFonts w:ascii="Times New Roman" w:hAnsi="Times New Roman"/>
          <w:color w:val="000000" w:themeColor="text1"/>
        </w:rPr>
      </w:pPr>
      <w:r w:rsidRPr="00260790">
        <w:rPr>
          <w:rFonts w:ascii="Times New Roman" w:hAnsi="Times New Roman"/>
          <w:color w:val="000000" w:themeColor="text1"/>
        </w:rPr>
        <w:t>Les populations des quartiers impactés ont favorablement accueilli le projet, sauf pour le quartier Médina Zac de la commune de Rufisque Ouest qui ont marqué leur opposition catégorique à l’implantation d’un bassin. Les raisons évoquées par ces populations sont inhérentes à leur préoccupations et craintes liées à l’entretien des bassins, les risques de pollutions pouvant affecter la santé des populations, le risque d’insécurité et de noyade, le risque de débordement en cas de pluies exceptionnelles, la proximité de la nappe phréatique qui affleure, etc.</w:t>
      </w:r>
    </w:p>
    <w:p w14:paraId="2F60EC5B" w14:textId="77777777" w:rsidR="00324C47" w:rsidRPr="00260790" w:rsidRDefault="00324C47" w:rsidP="001748C6">
      <w:pPr>
        <w:pStyle w:val="Paragraphedeliste"/>
        <w:numPr>
          <w:ilvl w:val="0"/>
          <w:numId w:val="206"/>
        </w:numPr>
        <w:spacing w:line="360" w:lineRule="auto"/>
        <w:jc w:val="both"/>
        <w:rPr>
          <w:rFonts w:ascii="Times New Roman" w:hAnsi="Times New Roman"/>
          <w:b/>
          <w:i/>
          <w:iCs/>
          <w:color w:val="000000" w:themeColor="text1"/>
        </w:rPr>
      </w:pPr>
      <w:r w:rsidRPr="00260790">
        <w:rPr>
          <w:rFonts w:ascii="Times New Roman" w:hAnsi="Times New Roman"/>
          <w:b/>
          <w:i/>
          <w:iCs/>
          <w:color w:val="000000" w:themeColor="text1"/>
        </w:rPr>
        <w:t>Préoccupations et craintes émises par les populations affectées par le Projet</w:t>
      </w:r>
    </w:p>
    <w:p w14:paraId="345834A1" w14:textId="77777777" w:rsidR="00324C47" w:rsidRPr="00260790" w:rsidRDefault="00324C47" w:rsidP="001748C6">
      <w:pPr>
        <w:pStyle w:val="Paragraphedeliste"/>
        <w:numPr>
          <w:ilvl w:val="0"/>
          <w:numId w:val="376"/>
        </w:numPr>
        <w:jc w:val="both"/>
        <w:rPr>
          <w:rFonts w:ascii="Times New Roman" w:eastAsia="Montserrat Medium" w:hAnsi="Times New Roman"/>
        </w:rPr>
      </w:pPr>
      <w:r w:rsidRPr="00260790">
        <w:rPr>
          <w:rFonts w:ascii="Times New Roman" w:eastAsia="Montserrat Medium" w:hAnsi="Times New Roman"/>
        </w:rPr>
        <w:t>Communication insuffisante sur l’exécution des travaux ;</w:t>
      </w:r>
    </w:p>
    <w:p w14:paraId="36E7C899" w14:textId="77777777" w:rsidR="00324C47" w:rsidRPr="00260790" w:rsidRDefault="00324C47" w:rsidP="001748C6">
      <w:pPr>
        <w:pStyle w:val="Paragraphedeliste"/>
        <w:numPr>
          <w:ilvl w:val="0"/>
          <w:numId w:val="376"/>
        </w:numPr>
        <w:jc w:val="both"/>
        <w:rPr>
          <w:rFonts w:ascii="Times New Roman" w:eastAsia="Montserrat Medium" w:hAnsi="Times New Roman"/>
        </w:rPr>
      </w:pPr>
      <w:r w:rsidRPr="00260790">
        <w:rPr>
          <w:rFonts w:ascii="Times New Roman" w:eastAsia="Montserrat Medium" w:hAnsi="Times New Roman"/>
        </w:rPr>
        <w:t xml:space="preserve">Obstruction des voies d’écoulement des eaux par des gravats déversés par les populations ;  </w:t>
      </w:r>
    </w:p>
    <w:p w14:paraId="750773B0" w14:textId="77777777" w:rsidR="00324C47" w:rsidRPr="00260790" w:rsidRDefault="00324C47" w:rsidP="001748C6">
      <w:pPr>
        <w:pStyle w:val="Paragraphedeliste"/>
        <w:numPr>
          <w:ilvl w:val="0"/>
          <w:numId w:val="376"/>
        </w:numPr>
        <w:jc w:val="both"/>
        <w:rPr>
          <w:rFonts w:ascii="Times New Roman" w:eastAsia="Montserrat Medium" w:hAnsi="Times New Roman"/>
        </w:rPr>
      </w:pPr>
      <w:r w:rsidRPr="00260790">
        <w:rPr>
          <w:rFonts w:ascii="Times New Roman" w:eastAsia="Montserrat Medium" w:hAnsi="Times New Roman"/>
        </w:rPr>
        <w:t xml:space="preserve">Le manque de canalisations adaptées aggrave les difficultés de drainage des eaux pluviales ; </w:t>
      </w:r>
    </w:p>
    <w:p w14:paraId="39EE2C89" w14:textId="77777777" w:rsidR="00324C47" w:rsidRPr="00260790" w:rsidRDefault="00324C47" w:rsidP="001748C6">
      <w:pPr>
        <w:pStyle w:val="Paragraphedeliste"/>
        <w:numPr>
          <w:ilvl w:val="0"/>
          <w:numId w:val="376"/>
        </w:numPr>
        <w:jc w:val="both"/>
        <w:rPr>
          <w:rFonts w:ascii="Times New Roman" w:eastAsia="Montserrat Medium" w:hAnsi="Times New Roman"/>
        </w:rPr>
      </w:pPr>
      <w:r w:rsidRPr="00260790">
        <w:rPr>
          <w:rFonts w:ascii="Times New Roman" w:eastAsia="Montserrat Medium" w:hAnsi="Times New Roman"/>
        </w:rPr>
        <w:t xml:space="preserve">Risque de conflit lié à l’emplacement du bassin qui constitue un terrain de football des jeunes du quartier ; </w:t>
      </w:r>
    </w:p>
    <w:p w14:paraId="012F5885" w14:textId="77777777" w:rsidR="00324C47" w:rsidRPr="00260790" w:rsidRDefault="00324C47" w:rsidP="001748C6">
      <w:pPr>
        <w:pStyle w:val="Paragraphedeliste"/>
        <w:numPr>
          <w:ilvl w:val="0"/>
          <w:numId w:val="376"/>
        </w:numPr>
        <w:jc w:val="both"/>
        <w:rPr>
          <w:rFonts w:ascii="Times New Roman" w:eastAsia="Montserrat Medium" w:hAnsi="Times New Roman"/>
        </w:rPr>
      </w:pPr>
      <w:r w:rsidRPr="00260790">
        <w:rPr>
          <w:rFonts w:ascii="Times New Roman" w:eastAsia="Montserrat Medium" w:hAnsi="Times New Roman"/>
        </w:rPr>
        <w:t>Les eaux pompées sont déversées dans les zones avoisinantes, causant des nuisances pour les habitants riverains ;</w:t>
      </w:r>
    </w:p>
    <w:p w14:paraId="10638424" w14:textId="77777777" w:rsidR="00324C47" w:rsidRPr="00260790" w:rsidRDefault="00324C47" w:rsidP="001748C6">
      <w:pPr>
        <w:pStyle w:val="Paragraphedeliste"/>
        <w:numPr>
          <w:ilvl w:val="0"/>
          <w:numId w:val="376"/>
        </w:numPr>
        <w:jc w:val="both"/>
        <w:rPr>
          <w:rFonts w:ascii="Times New Roman" w:eastAsia="Montserrat Medium" w:hAnsi="Times New Roman"/>
        </w:rPr>
      </w:pPr>
      <w:r w:rsidRPr="00260790">
        <w:rPr>
          <w:rFonts w:ascii="Times New Roman" w:eastAsia="Montserrat Medium" w:hAnsi="Times New Roman"/>
        </w:rPr>
        <w:t>Présence de nombreux points bas dans les quartiers ;</w:t>
      </w:r>
    </w:p>
    <w:p w14:paraId="54D117CB" w14:textId="77777777" w:rsidR="00324C47" w:rsidRPr="00260790" w:rsidRDefault="00324C47" w:rsidP="001748C6">
      <w:pPr>
        <w:pStyle w:val="Paragraphedeliste"/>
        <w:numPr>
          <w:ilvl w:val="0"/>
          <w:numId w:val="376"/>
        </w:numPr>
        <w:jc w:val="both"/>
        <w:rPr>
          <w:rFonts w:ascii="Times New Roman" w:eastAsia="Montserrat Medium" w:hAnsi="Times New Roman"/>
        </w:rPr>
      </w:pPr>
      <w:r w:rsidRPr="00260790">
        <w:rPr>
          <w:rFonts w:ascii="Times New Roman" w:eastAsia="Montserrat Medium" w:hAnsi="Times New Roman"/>
        </w:rPr>
        <w:t>Risques de pollutions, insécurité (noyade, présence de reptiles dangereux), débordement des bassins ;</w:t>
      </w:r>
    </w:p>
    <w:p w14:paraId="748AAD5C" w14:textId="77777777" w:rsidR="00324C47" w:rsidRPr="00260790" w:rsidRDefault="00324C47" w:rsidP="001748C6">
      <w:pPr>
        <w:pStyle w:val="Paragraphedeliste"/>
        <w:numPr>
          <w:ilvl w:val="0"/>
          <w:numId w:val="206"/>
        </w:numPr>
        <w:spacing w:line="360" w:lineRule="auto"/>
        <w:jc w:val="both"/>
        <w:rPr>
          <w:rFonts w:ascii="Times New Roman" w:hAnsi="Times New Roman"/>
          <w:b/>
          <w:i/>
          <w:iCs/>
          <w:color w:val="000000" w:themeColor="text1"/>
        </w:rPr>
      </w:pPr>
      <w:r w:rsidRPr="00260790">
        <w:rPr>
          <w:rFonts w:ascii="Times New Roman" w:hAnsi="Times New Roman"/>
          <w:b/>
          <w:i/>
          <w:iCs/>
          <w:color w:val="000000" w:themeColor="text1"/>
        </w:rPr>
        <w:t>Recommandations formulées par les populations affectées par le Projet</w:t>
      </w:r>
    </w:p>
    <w:p w14:paraId="07298628" w14:textId="77777777" w:rsidR="00324C47" w:rsidRPr="00260790" w:rsidRDefault="00324C47"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Implique les Municipalités et les Délégués de quartiers dans tout le processus (identification des tracés et choix des sites, études des options possibles, etc.) ;</w:t>
      </w:r>
    </w:p>
    <w:p w14:paraId="5F0C5704" w14:textId="77777777" w:rsidR="00324C47" w:rsidRPr="00260790" w:rsidRDefault="00324C47"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 xml:space="preserve"> Dimensionnement adéquat des canaux (largeur et profondeur appropriées) ;</w:t>
      </w:r>
    </w:p>
    <w:p w14:paraId="77730DEA" w14:textId="77777777" w:rsidR="00324C47" w:rsidRPr="00260790" w:rsidRDefault="00324C47"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Prendre en compte le risque de noyade au niveau des bassins ;</w:t>
      </w:r>
    </w:p>
    <w:p w14:paraId="13E9C591" w14:textId="77777777" w:rsidR="00324C47" w:rsidRPr="00260790" w:rsidRDefault="00324C47"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Assurer le maintien de la sécurité avant, pendant et après les travaux ;</w:t>
      </w:r>
    </w:p>
    <w:p w14:paraId="0A4D1363" w14:textId="77777777" w:rsidR="00324C47" w:rsidRPr="00260790" w:rsidRDefault="00324C47"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 xml:space="preserve">Prévoir Installation de pompe de grande puissance (Amina, </w:t>
      </w:r>
      <w:proofErr w:type="spellStart"/>
      <w:r w:rsidRPr="00260790">
        <w:rPr>
          <w:rFonts w:ascii="Times New Roman" w:eastAsia="Montserrat Medium" w:hAnsi="Times New Roman"/>
        </w:rPr>
        <w:t>Daroul</w:t>
      </w:r>
      <w:proofErr w:type="spellEnd"/>
      <w:r w:rsidRPr="00260790">
        <w:rPr>
          <w:rFonts w:ascii="Times New Roman" w:eastAsia="Montserrat Medium" w:hAnsi="Times New Roman"/>
        </w:rPr>
        <w:t xml:space="preserve"> Khabibi et Hamdalaye 3)</w:t>
      </w:r>
      <w:r w:rsidRPr="00260790">
        <w:rPr>
          <w:rFonts w:ascii="Times New Roman" w:hAnsi="Times New Roman"/>
        </w:rPr>
        <w:t> en prévision de l’hivernage prochaine ;</w:t>
      </w:r>
    </w:p>
    <w:p w14:paraId="49ED69EC" w14:textId="77777777" w:rsidR="00324C47" w:rsidRPr="00260790" w:rsidRDefault="00324C47"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Inquiétude au sujet de la proximité des trois bassins des maisons (entretien, sécurité, santé, etc.</w:t>
      </w:r>
      <w:proofErr w:type="gramStart"/>
      <w:r w:rsidRPr="00260790">
        <w:rPr>
          <w:rFonts w:ascii="Times New Roman" w:hAnsi="Times New Roman"/>
        </w:rPr>
        <w:t>);</w:t>
      </w:r>
      <w:proofErr w:type="gramEnd"/>
    </w:p>
    <w:p w14:paraId="34055BFA" w14:textId="77777777" w:rsidR="00324C47" w:rsidRPr="00260790" w:rsidRDefault="00324C47" w:rsidP="001748C6">
      <w:pPr>
        <w:pStyle w:val="Paragraphedeliste"/>
        <w:numPr>
          <w:ilvl w:val="0"/>
          <w:numId w:val="376"/>
        </w:numPr>
        <w:jc w:val="both"/>
        <w:rPr>
          <w:rFonts w:ascii="Times New Roman" w:eastAsia="Montserrat Medium" w:hAnsi="Times New Roman"/>
        </w:rPr>
      </w:pPr>
      <w:r w:rsidRPr="00260790">
        <w:rPr>
          <w:rFonts w:ascii="Times New Roman" w:eastAsia="Montserrat Medium" w:hAnsi="Times New Roman"/>
        </w:rPr>
        <w:t>Prévoir un terrain de sport comme solution de remplacement de terrain de football impactés ;</w:t>
      </w:r>
    </w:p>
    <w:p w14:paraId="4CA6461C" w14:textId="77777777" w:rsidR="00324C47" w:rsidRPr="00260790" w:rsidRDefault="00324C47" w:rsidP="001748C6">
      <w:pPr>
        <w:pStyle w:val="Paragraphedeliste"/>
        <w:numPr>
          <w:ilvl w:val="0"/>
          <w:numId w:val="376"/>
        </w:numPr>
        <w:jc w:val="both"/>
        <w:rPr>
          <w:rFonts w:ascii="Times New Roman" w:eastAsia="Montserrat Medium" w:hAnsi="Times New Roman"/>
        </w:rPr>
      </w:pPr>
      <w:r w:rsidRPr="00260790">
        <w:rPr>
          <w:rFonts w:ascii="Times New Roman" w:eastAsia="Montserrat Medium" w:hAnsi="Times New Roman"/>
        </w:rPr>
        <w:t>Identifier les besoins d’accompagnement (technique, social, financier) des personnes affectées par le projet ;</w:t>
      </w:r>
    </w:p>
    <w:p w14:paraId="21DC742B" w14:textId="77777777" w:rsidR="00324C47" w:rsidRPr="00260790" w:rsidRDefault="00324C47" w:rsidP="001748C6">
      <w:pPr>
        <w:pStyle w:val="Paragraphedeliste"/>
        <w:numPr>
          <w:ilvl w:val="0"/>
          <w:numId w:val="376"/>
        </w:numPr>
        <w:jc w:val="both"/>
        <w:rPr>
          <w:rFonts w:ascii="Times New Roman" w:eastAsia="Montserrat Medium" w:hAnsi="Times New Roman"/>
        </w:rPr>
      </w:pPr>
      <w:r w:rsidRPr="00260790">
        <w:rPr>
          <w:rFonts w:ascii="Times New Roman" w:eastAsia="Montserrat Medium" w:hAnsi="Times New Roman"/>
        </w:rPr>
        <w:lastRenderedPageBreak/>
        <w:t>Cartographier précisément les terrains concernés par les ouvrages et vérifier leur statut juridique ;</w:t>
      </w:r>
    </w:p>
    <w:p w14:paraId="216160DA" w14:textId="77777777" w:rsidR="00324C47" w:rsidRPr="00260790" w:rsidRDefault="00324C47" w:rsidP="001748C6">
      <w:pPr>
        <w:pStyle w:val="Paragraphedeliste"/>
        <w:numPr>
          <w:ilvl w:val="0"/>
          <w:numId w:val="376"/>
        </w:numPr>
        <w:jc w:val="both"/>
        <w:rPr>
          <w:rFonts w:ascii="Times New Roman" w:eastAsia="Montserrat Medium" w:hAnsi="Times New Roman"/>
        </w:rPr>
      </w:pPr>
      <w:r w:rsidRPr="00260790">
        <w:rPr>
          <w:rFonts w:ascii="Times New Roman" w:eastAsia="Montserrat Medium" w:hAnsi="Times New Roman"/>
        </w:rPr>
        <w:t>Consulter les propriétaires des terrains affectés pour obtenir leur accord et éviter tout conflit ultérieur ;</w:t>
      </w:r>
    </w:p>
    <w:p w14:paraId="2FCD4CC2" w14:textId="77777777" w:rsidR="00324C47" w:rsidRPr="00260790" w:rsidRDefault="00324C47" w:rsidP="001748C6">
      <w:pPr>
        <w:pStyle w:val="Paragraphedeliste"/>
        <w:numPr>
          <w:ilvl w:val="0"/>
          <w:numId w:val="376"/>
        </w:numPr>
        <w:jc w:val="both"/>
        <w:rPr>
          <w:rFonts w:ascii="Times New Roman" w:eastAsia="Montserrat Medium" w:hAnsi="Times New Roman"/>
        </w:rPr>
      </w:pPr>
      <w:r w:rsidRPr="00260790">
        <w:rPr>
          <w:rFonts w:ascii="Times New Roman" w:eastAsia="Montserrat Medium" w:hAnsi="Times New Roman"/>
        </w:rPr>
        <w:t>Envisager des projets complémentaires de pisciculture ou d'autres initiatives de développement durable autour des bassins ;</w:t>
      </w:r>
    </w:p>
    <w:p w14:paraId="720685D7" w14:textId="159040A6" w:rsidR="00324C47" w:rsidRPr="00260790" w:rsidRDefault="00324C47" w:rsidP="001748C6">
      <w:pPr>
        <w:pStyle w:val="Paragraphedeliste"/>
        <w:numPr>
          <w:ilvl w:val="0"/>
          <w:numId w:val="376"/>
        </w:numPr>
        <w:jc w:val="both"/>
        <w:rPr>
          <w:rFonts w:ascii="Times New Roman" w:eastAsia="Montserrat Medium" w:hAnsi="Times New Roman"/>
        </w:rPr>
      </w:pPr>
      <w:r w:rsidRPr="00260790">
        <w:rPr>
          <w:rFonts w:ascii="Times New Roman" w:eastAsia="Montserrat Medium" w:hAnsi="Times New Roman"/>
        </w:rPr>
        <w:t>Prévoir de nouveaux bassins dans les zones à haut risque d’inondation (</w:t>
      </w:r>
      <w:proofErr w:type="spellStart"/>
      <w:r w:rsidRPr="00260790">
        <w:rPr>
          <w:rFonts w:ascii="Times New Roman" w:eastAsia="Montserrat Medium" w:hAnsi="Times New Roman"/>
        </w:rPr>
        <w:t>Daroul</w:t>
      </w:r>
      <w:proofErr w:type="spellEnd"/>
      <w:r w:rsidRPr="00260790">
        <w:rPr>
          <w:rFonts w:ascii="Times New Roman" w:eastAsia="Montserrat Medium" w:hAnsi="Times New Roman"/>
        </w:rPr>
        <w:t xml:space="preserve"> Khabibi à </w:t>
      </w:r>
      <w:r w:rsidR="009E4304">
        <w:rPr>
          <w:rFonts w:ascii="Times New Roman" w:eastAsia="Montserrat Medium" w:hAnsi="Times New Roman"/>
        </w:rPr>
        <w:t>T</w:t>
      </w:r>
      <w:r w:rsidRPr="00260790">
        <w:rPr>
          <w:rFonts w:ascii="Times New Roman" w:eastAsia="Montserrat Medium" w:hAnsi="Times New Roman"/>
        </w:rPr>
        <w:t>ivaouane Peulh, Hamdalaye 3 à Keur Massar Sud)</w:t>
      </w:r>
    </w:p>
    <w:p w14:paraId="7F49815D" w14:textId="77777777" w:rsidR="00324C47" w:rsidRPr="00260790" w:rsidRDefault="00324C47" w:rsidP="001748C6">
      <w:pPr>
        <w:pStyle w:val="Paragraphedeliste"/>
        <w:numPr>
          <w:ilvl w:val="0"/>
          <w:numId w:val="376"/>
        </w:numPr>
        <w:jc w:val="both"/>
        <w:rPr>
          <w:rFonts w:ascii="Times New Roman" w:eastAsia="Montserrat Medium" w:hAnsi="Times New Roman"/>
        </w:rPr>
      </w:pPr>
      <w:proofErr w:type="spellStart"/>
      <w:r w:rsidRPr="00260790">
        <w:rPr>
          <w:rFonts w:ascii="Times New Roman" w:eastAsia="Montserrat Medium" w:hAnsi="Times New Roman"/>
        </w:rPr>
        <w:t>Eviter</w:t>
      </w:r>
      <w:proofErr w:type="spellEnd"/>
      <w:r w:rsidRPr="00260790">
        <w:rPr>
          <w:rFonts w:ascii="Times New Roman" w:eastAsia="Montserrat Medium" w:hAnsi="Times New Roman"/>
        </w:rPr>
        <w:t xml:space="preserve"> que les travaux de pavage n’engendrent des risques d’inondation des maisons riveraines.</w:t>
      </w:r>
    </w:p>
    <w:p w14:paraId="36AFB669" w14:textId="77777777" w:rsidR="00324C47" w:rsidRPr="00260790" w:rsidRDefault="00324C47" w:rsidP="00324C47">
      <w:pPr>
        <w:pStyle w:val="CHAPITRE1"/>
        <w:rPr>
          <w:rFonts w:cs="Times New Roman"/>
        </w:rPr>
      </w:pPr>
      <w:bookmarkStart w:id="582" w:name="_Toc212725124"/>
      <w:r w:rsidRPr="00260790">
        <w:rPr>
          <w:rFonts w:cs="Times New Roman"/>
        </w:rPr>
        <w:t>Rencontre avec les acteurs socioprofessionnels</w:t>
      </w:r>
      <w:bookmarkEnd w:id="582"/>
    </w:p>
    <w:p w14:paraId="448427FB" w14:textId="7B03F4BC" w:rsidR="00324C47" w:rsidRPr="00260790" w:rsidRDefault="00324C47" w:rsidP="00E804A3">
      <w:pPr>
        <w:spacing w:line="240" w:lineRule="auto"/>
        <w:ind w:left="370"/>
        <w:rPr>
          <w:rFonts w:ascii="Times New Roman" w:hAnsi="Times New Roman"/>
          <w:color w:val="000000" w:themeColor="text1"/>
          <w:u w:val="single"/>
        </w:rPr>
      </w:pPr>
      <w:r w:rsidRPr="00260790">
        <w:rPr>
          <w:rFonts w:ascii="Times New Roman" w:hAnsi="Times New Roman"/>
          <w:color w:val="000000" w:themeColor="text1"/>
          <w:u w:val="single"/>
        </w:rPr>
        <w:t>Les maraichers dans la forêt classée de Mbao</w:t>
      </w:r>
    </w:p>
    <w:p w14:paraId="024B6425" w14:textId="77777777" w:rsidR="008E0358" w:rsidRPr="00260790" w:rsidRDefault="008E0358" w:rsidP="001748C6">
      <w:pPr>
        <w:pStyle w:val="Paragraphedeliste"/>
        <w:numPr>
          <w:ilvl w:val="0"/>
          <w:numId w:val="206"/>
        </w:numPr>
        <w:spacing w:line="360" w:lineRule="auto"/>
        <w:rPr>
          <w:rFonts w:ascii="Times New Roman" w:hAnsi="Times New Roman"/>
          <w:b/>
          <w:i/>
          <w:iCs/>
          <w:color w:val="000000" w:themeColor="text1"/>
        </w:rPr>
      </w:pPr>
      <w:r w:rsidRPr="00260790">
        <w:rPr>
          <w:rFonts w:ascii="Times New Roman" w:hAnsi="Times New Roman"/>
          <w:b/>
          <w:i/>
          <w:iCs/>
          <w:color w:val="000000" w:themeColor="text1"/>
        </w:rPr>
        <w:t>Avis des populations affectées sur le Projet</w:t>
      </w:r>
    </w:p>
    <w:p w14:paraId="37D65560" w14:textId="69DB23F9" w:rsidR="008E0358" w:rsidRPr="00260790" w:rsidRDefault="00ED6F3F" w:rsidP="008E0358">
      <w:pPr>
        <w:spacing w:line="240" w:lineRule="auto"/>
        <w:jc w:val="both"/>
        <w:rPr>
          <w:rFonts w:ascii="Times New Roman" w:hAnsi="Times New Roman"/>
          <w:color w:val="000000" w:themeColor="text1"/>
        </w:rPr>
      </w:pPr>
      <w:r w:rsidRPr="00260790">
        <w:rPr>
          <w:rFonts w:ascii="Times New Roman" w:hAnsi="Times New Roman"/>
          <w:color w:val="000000" w:themeColor="text1"/>
        </w:rPr>
        <w:t>Les maraichers exploitant dans la forêt classée de Mbao ont exprimé un avis favorable au projet, soulignant que les populations souffrent considérablement des inondations. Ainsi, la réalisation de ce projet pourrait apporter un véritable soulagement aux victimes</w:t>
      </w:r>
      <w:r w:rsidR="00374161" w:rsidRPr="00260790">
        <w:rPr>
          <w:rFonts w:ascii="Times New Roman" w:hAnsi="Times New Roman"/>
          <w:color w:val="000000" w:themeColor="text1"/>
        </w:rPr>
        <w:t xml:space="preserve"> des inondations</w:t>
      </w:r>
      <w:r w:rsidRPr="00260790">
        <w:rPr>
          <w:rFonts w:ascii="Times New Roman" w:hAnsi="Times New Roman"/>
          <w:color w:val="000000" w:themeColor="text1"/>
        </w:rPr>
        <w:t xml:space="preserve">. </w:t>
      </w:r>
      <w:r w:rsidR="00374161" w:rsidRPr="00260790">
        <w:rPr>
          <w:rFonts w:ascii="Times New Roman" w:hAnsi="Times New Roman"/>
          <w:color w:val="000000" w:themeColor="text1"/>
        </w:rPr>
        <w:t>Cependant, la réalisation de bassins dans la forêt classée de Mbao constitue une menace pour la survie de leurs activités économiques (maraichage principalement)</w:t>
      </w:r>
      <w:r w:rsidRPr="00260790">
        <w:rPr>
          <w:rFonts w:ascii="Times New Roman" w:hAnsi="Times New Roman"/>
          <w:color w:val="000000" w:themeColor="text1"/>
        </w:rPr>
        <w:t>.</w:t>
      </w:r>
    </w:p>
    <w:p w14:paraId="34960B5C" w14:textId="12BD0D62" w:rsidR="008E0358" w:rsidRPr="00260790" w:rsidRDefault="008E0358" w:rsidP="001748C6">
      <w:pPr>
        <w:pStyle w:val="Paragraphedeliste"/>
        <w:numPr>
          <w:ilvl w:val="0"/>
          <w:numId w:val="206"/>
        </w:numPr>
        <w:spacing w:line="360" w:lineRule="auto"/>
        <w:rPr>
          <w:rFonts w:ascii="Times New Roman" w:hAnsi="Times New Roman"/>
          <w:b/>
          <w:i/>
          <w:iCs/>
          <w:color w:val="000000" w:themeColor="text1"/>
        </w:rPr>
      </w:pPr>
      <w:r w:rsidRPr="00260790">
        <w:rPr>
          <w:rFonts w:ascii="Times New Roman" w:hAnsi="Times New Roman"/>
          <w:b/>
          <w:i/>
          <w:iCs/>
          <w:color w:val="000000" w:themeColor="text1"/>
        </w:rPr>
        <w:t xml:space="preserve">Préoccupations et craintes </w:t>
      </w:r>
      <w:r w:rsidR="00374161" w:rsidRPr="00260790">
        <w:rPr>
          <w:rFonts w:ascii="Times New Roman" w:hAnsi="Times New Roman"/>
          <w:b/>
          <w:i/>
          <w:iCs/>
          <w:color w:val="000000" w:themeColor="text1"/>
        </w:rPr>
        <w:t>vis-à-vis du</w:t>
      </w:r>
      <w:r w:rsidRPr="00260790">
        <w:rPr>
          <w:rFonts w:ascii="Times New Roman" w:hAnsi="Times New Roman"/>
          <w:b/>
          <w:i/>
          <w:iCs/>
          <w:color w:val="000000" w:themeColor="text1"/>
        </w:rPr>
        <w:t xml:space="preserve"> Projet</w:t>
      </w:r>
    </w:p>
    <w:p w14:paraId="7B3E86D5" w14:textId="76797AAC" w:rsidR="008E0358" w:rsidRPr="00260790" w:rsidRDefault="00374161"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Pertes de revenus agricoles consécutives à l’emplacement de bassins les zones de cuture ;</w:t>
      </w:r>
    </w:p>
    <w:p w14:paraId="75501B75" w14:textId="15057CCA" w:rsidR="00374161" w:rsidRPr="00260790" w:rsidRDefault="003827C1"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Perturbation des activités agricoles, et insécurité pendant les travaux ;</w:t>
      </w:r>
    </w:p>
    <w:p w14:paraId="15902A51" w14:textId="7B4F8743" w:rsidR="003827C1" w:rsidRPr="00260790" w:rsidRDefault="003827C1"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Risque de pollution des eaux du marigot de Mbao ;</w:t>
      </w:r>
    </w:p>
    <w:p w14:paraId="1D049606" w14:textId="32D8D077" w:rsidR="003827C1" w:rsidRPr="00260790" w:rsidRDefault="003827C1"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Risque de conflit entre les maraichers et les entreprises de travaux.</w:t>
      </w:r>
    </w:p>
    <w:p w14:paraId="28C7A559" w14:textId="77777777" w:rsidR="008E0358" w:rsidRPr="00260790" w:rsidRDefault="008E0358" w:rsidP="001748C6">
      <w:pPr>
        <w:pStyle w:val="Paragraphedeliste"/>
        <w:numPr>
          <w:ilvl w:val="0"/>
          <w:numId w:val="206"/>
        </w:numPr>
        <w:spacing w:line="360" w:lineRule="auto"/>
        <w:rPr>
          <w:rFonts w:ascii="Times New Roman" w:hAnsi="Times New Roman"/>
          <w:b/>
          <w:i/>
          <w:iCs/>
          <w:color w:val="000000" w:themeColor="text1"/>
        </w:rPr>
      </w:pPr>
      <w:r w:rsidRPr="00260790">
        <w:rPr>
          <w:rFonts w:ascii="Times New Roman" w:hAnsi="Times New Roman"/>
          <w:b/>
          <w:i/>
          <w:iCs/>
          <w:color w:val="000000" w:themeColor="text1"/>
        </w:rPr>
        <w:t>Recommandations formulées par les populations affectées par le Projet</w:t>
      </w:r>
    </w:p>
    <w:p w14:paraId="0E1F0680" w14:textId="2085AE30" w:rsidR="008E0358" w:rsidRPr="00260790" w:rsidRDefault="003827C1"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Consulter les maraichers et compenser toutes de pertes subies (pertes de revenus</w:t>
      </w:r>
      <w:r w:rsidR="00193F74" w:rsidRPr="00260790">
        <w:rPr>
          <w:rFonts w:ascii="Times New Roman" w:hAnsi="Times New Roman"/>
        </w:rPr>
        <w:t xml:space="preserve"> pour les propriétaires et </w:t>
      </w:r>
      <w:r w:rsidR="0010352B" w:rsidRPr="00260790">
        <w:rPr>
          <w:rFonts w:ascii="Times New Roman" w:hAnsi="Times New Roman"/>
        </w:rPr>
        <w:t>usufruitiers)</w:t>
      </w:r>
      <w:r w:rsidRPr="00260790">
        <w:rPr>
          <w:rFonts w:ascii="Times New Roman" w:hAnsi="Times New Roman"/>
        </w:rPr>
        <w:t xml:space="preserve"> </w:t>
      </w:r>
      <w:r w:rsidR="008E0358" w:rsidRPr="00260790">
        <w:rPr>
          <w:rFonts w:ascii="Times New Roman" w:hAnsi="Times New Roman"/>
        </w:rPr>
        <w:t>;</w:t>
      </w:r>
    </w:p>
    <w:p w14:paraId="0479E8F3" w14:textId="39A3FD15" w:rsidR="003827C1" w:rsidRPr="00260790" w:rsidRDefault="003827C1"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Accompagner les maraichers à mieux tirer profit du projet et de l’implantation des bassins ;</w:t>
      </w:r>
    </w:p>
    <w:p w14:paraId="65BABC1E" w14:textId="14ACC412" w:rsidR="003827C1" w:rsidRPr="00260790" w:rsidRDefault="007048CF"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Recruter la main d’œuvre locale en phase travaux ;</w:t>
      </w:r>
    </w:p>
    <w:p w14:paraId="3BB64D8D" w14:textId="5217A2F2" w:rsidR="007048CF" w:rsidRPr="00260790" w:rsidRDefault="007048CF"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Informer les maraichers sur la planification des activités du projet.</w:t>
      </w:r>
    </w:p>
    <w:p w14:paraId="0C401F01" w14:textId="77777777" w:rsidR="007048CF" w:rsidRPr="00260790" w:rsidRDefault="007048CF"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Indemniser les populations qui habitent autour du marigot avant de les déplacer ;</w:t>
      </w:r>
    </w:p>
    <w:p w14:paraId="12F223BC" w14:textId="1F1EDF6A" w:rsidR="007048CF" w:rsidRPr="00260790" w:rsidRDefault="007048CF"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 xml:space="preserve">Traiter et gérer l’eau stagnante entre Kamb et le marigot </w:t>
      </w:r>
      <w:r w:rsidR="00E804A3" w:rsidRPr="00260790">
        <w:rPr>
          <w:rFonts w:ascii="Times New Roman" w:hAnsi="Times New Roman"/>
        </w:rPr>
        <w:t xml:space="preserve">de Mbao </w:t>
      </w:r>
      <w:r w:rsidRPr="00260790">
        <w:rPr>
          <w:rFonts w:ascii="Times New Roman" w:hAnsi="Times New Roman"/>
        </w:rPr>
        <w:t>qui impacte négativement les maraichers ;</w:t>
      </w:r>
    </w:p>
    <w:p w14:paraId="4B5AE7A7" w14:textId="6EA3DD11" w:rsidR="007048CF" w:rsidRPr="00260790" w:rsidRDefault="007048CF"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Accompagner les maraichers sur des techniques d’irrigation utilisant l’eau du marigot ;</w:t>
      </w:r>
    </w:p>
    <w:p w14:paraId="0DF5BE2D" w14:textId="1CFEAD7D" w:rsidR="00324C47" w:rsidRPr="00260790" w:rsidRDefault="00324C47" w:rsidP="00E804A3">
      <w:pPr>
        <w:spacing w:line="240" w:lineRule="auto"/>
        <w:ind w:left="370"/>
        <w:rPr>
          <w:rFonts w:ascii="Times New Roman" w:hAnsi="Times New Roman"/>
          <w:color w:val="000000" w:themeColor="text1"/>
          <w:u w:val="single"/>
        </w:rPr>
      </w:pPr>
      <w:r w:rsidRPr="00260790">
        <w:rPr>
          <w:rFonts w:ascii="Times New Roman" w:hAnsi="Times New Roman"/>
          <w:color w:val="000000" w:themeColor="text1"/>
          <w:u w:val="single"/>
        </w:rPr>
        <w:t>Les Pêcheurs</w:t>
      </w:r>
    </w:p>
    <w:p w14:paraId="1DF9D3AF" w14:textId="77777777" w:rsidR="008E0358" w:rsidRPr="00260790" w:rsidRDefault="008E0358" w:rsidP="001748C6">
      <w:pPr>
        <w:pStyle w:val="Paragraphedeliste"/>
        <w:numPr>
          <w:ilvl w:val="0"/>
          <w:numId w:val="206"/>
        </w:numPr>
        <w:spacing w:line="360" w:lineRule="auto"/>
        <w:rPr>
          <w:rFonts w:ascii="Times New Roman" w:hAnsi="Times New Roman"/>
          <w:b/>
          <w:i/>
          <w:iCs/>
          <w:color w:val="000000" w:themeColor="text1"/>
        </w:rPr>
      </w:pPr>
      <w:r w:rsidRPr="00260790">
        <w:rPr>
          <w:rFonts w:ascii="Times New Roman" w:hAnsi="Times New Roman"/>
          <w:b/>
          <w:i/>
          <w:iCs/>
          <w:color w:val="000000" w:themeColor="text1"/>
        </w:rPr>
        <w:t>Avis des populations affectées sur le Projet</w:t>
      </w:r>
    </w:p>
    <w:p w14:paraId="143A9BEC" w14:textId="40CEA7E0" w:rsidR="008E0358" w:rsidRPr="00260790" w:rsidRDefault="00133DEE" w:rsidP="008E0358">
      <w:pPr>
        <w:spacing w:line="240" w:lineRule="auto"/>
        <w:jc w:val="both"/>
        <w:rPr>
          <w:rFonts w:ascii="Times New Roman" w:hAnsi="Times New Roman"/>
          <w:color w:val="000000" w:themeColor="text1"/>
        </w:rPr>
      </w:pPr>
      <w:r w:rsidRPr="00260790">
        <w:rPr>
          <w:rFonts w:ascii="Times New Roman" w:hAnsi="Times New Roman"/>
          <w:color w:val="000000" w:themeColor="text1"/>
        </w:rPr>
        <w:t>La réalisation du projet est une bonne chose pour les populations de la commune de Mbao et les pêcheurs. La mise en place d'un bon système de drainage des eaux permet d'assainir les milieux, de lutter contre l'insalubrité et d'assurer la bonne santé des populations.</w:t>
      </w:r>
      <w:r w:rsidR="00252138" w:rsidRPr="00260790">
        <w:rPr>
          <w:rFonts w:ascii="Times New Roman" w:hAnsi="Times New Roman"/>
          <w:color w:val="000000" w:themeColor="text1"/>
        </w:rPr>
        <w:t xml:space="preserve"> </w:t>
      </w:r>
    </w:p>
    <w:p w14:paraId="68B4D299" w14:textId="77777777" w:rsidR="008E0358" w:rsidRPr="00260790" w:rsidRDefault="008E0358" w:rsidP="001748C6">
      <w:pPr>
        <w:pStyle w:val="Paragraphedeliste"/>
        <w:numPr>
          <w:ilvl w:val="0"/>
          <w:numId w:val="206"/>
        </w:numPr>
        <w:spacing w:line="360" w:lineRule="auto"/>
        <w:rPr>
          <w:rFonts w:ascii="Times New Roman" w:hAnsi="Times New Roman"/>
          <w:b/>
          <w:i/>
          <w:iCs/>
          <w:color w:val="000000" w:themeColor="text1"/>
        </w:rPr>
      </w:pPr>
      <w:r w:rsidRPr="00260790">
        <w:rPr>
          <w:rFonts w:ascii="Times New Roman" w:hAnsi="Times New Roman"/>
          <w:b/>
          <w:i/>
          <w:iCs/>
          <w:color w:val="000000" w:themeColor="text1"/>
        </w:rPr>
        <w:t>Préoccupations et craintes émises par les populations affectées par le Projet</w:t>
      </w:r>
    </w:p>
    <w:p w14:paraId="7C002D24" w14:textId="33786DB7" w:rsidR="008E0358" w:rsidRPr="00260790" w:rsidRDefault="00467B27"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L</w:t>
      </w:r>
      <w:r w:rsidR="00CE6B9A" w:rsidRPr="00260790">
        <w:rPr>
          <w:rFonts w:ascii="Times New Roman" w:hAnsi="Times New Roman"/>
        </w:rPr>
        <w:t>’aménagement de</w:t>
      </w:r>
      <w:r w:rsidRPr="00260790">
        <w:rPr>
          <w:rFonts w:ascii="Times New Roman" w:hAnsi="Times New Roman"/>
        </w:rPr>
        <w:t xml:space="preserve"> l'ouvrage de rejet </w:t>
      </w:r>
      <w:r w:rsidR="00CE6B9A" w:rsidRPr="00260790">
        <w:rPr>
          <w:rFonts w:ascii="Times New Roman" w:hAnsi="Times New Roman"/>
        </w:rPr>
        <w:t>en mer va impacter</w:t>
      </w:r>
      <w:r w:rsidRPr="00260790">
        <w:rPr>
          <w:rFonts w:ascii="Times New Roman" w:hAnsi="Times New Roman"/>
        </w:rPr>
        <w:t xml:space="preserve"> le parking des pirogues, surtout en hivernage</w:t>
      </w:r>
      <w:r w:rsidR="00133DEE" w:rsidRPr="00260790">
        <w:rPr>
          <w:rFonts w:ascii="Times New Roman" w:hAnsi="Times New Roman"/>
        </w:rPr>
        <w:t> ;</w:t>
      </w:r>
    </w:p>
    <w:p w14:paraId="3C75A693" w14:textId="2D471E37" w:rsidR="00133DEE" w:rsidRPr="00260790" w:rsidRDefault="00CE6B9A"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Entrave à la circulation des personnes, des élèves surtout en phase de travaux</w:t>
      </w:r>
      <w:r w:rsidR="00467B27" w:rsidRPr="00260790">
        <w:rPr>
          <w:rFonts w:ascii="Times New Roman" w:hAnsi="Times New Roman"/>
        </w:rPr>
        <w:t> ;</w:t>
      </w:r>
    </w:p>
    <w:p w14:paraId="7853D37A" w14:textId="452351A9" w:rsidR="00467B27" w:rsidRPr="00260790" w:rsidRDefault="00CE6B9A"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Pollution du marigot de Mbao par les rejets d</w:t>
      </w:r>
      <w:r w:rsidR="00771AE5">
        <w:rPr>
          <w:rFonts w:ascii="Times New Roman" w:hAnsi="Times New Roman"/>
        </w:rPr>
        <w:t>’</w:t>
      </w:r>
      <w:r w:rsidRPr="00260790">
        <w:rPr>
          <w:rFonts w:ascii="Times New Roman" w:hAnsi="Times New Roman"/>
        </w:rPr>
        <w:t>ordures ménagères et eaux usées</w:t>
      </w:r>
      <w:r w:rsidR="00252138" w:rsidRPr="00260790">
        <w:rPr>
          <w:rFonts w:ascii="Times New Roman" w:hAnsi="Times New Roman"/>
        </w:rPr>
        <w:t xml:space="preserve"> qui constituent une menace </w:t>
      </w:r>
      <w:r w:rsidR="00771AE5">
        <w:rPr>
          <w:rFonts w:ascii="Times New Roman" w:hAnsi="Times New Roman"/>
        </w:rPr>
        <w:t xml:space="preserve">sur </w:t>
      </w:r>
      <w:r w:rsidR="001A43C4" w:rsidRPr="00260790">
        <w:rPr>
          <w:rFonts w:ascii="Times New Roman" w:hAnsi="Times New Roman"/>
        </w:rPr>
        <w:t xml:space="preserve">l’écosystème et </w:t>
      </w:r>
      <w:r w:rsidR="00252138" w:rsidRPr="00260790">
        <w:rPr>
          <w:rFonts w:ascii="Times New Roman" w:hAnsi="Times New Roman"/>
        </w:rPr>
        <w:t xml:space="preserve">les espèces : crevettes, </w:t>
      </w:r>
      <w:r w:rsidR="009E4304">
        <w:rPr>
          <w:rFonts w:ascii="Times New Roman" w:hAnsi="Times New Roman"/>
        </w:rPr>
        <w:t>tilapia (</w:t>
      </w:r>
      <w:proofErr w:type="spellStart"/>
      <w:r w:rsidR="00252138" w:rsidRPr="0097258B">
        <w:rPr>
          <w:rFonts w:ascii="Times New Roman" w:hAnsi="Times New Roman"/>
          <w:i/>
          <w:iCs/>
        </w:rPr>
        <w:t>waas</w:t>
      </w:r>
      <w:proofErr w:type="spellEnd"/>
      <w:r w:rsidR="009E4304">
        <w:rPr>
          <w:rFonts w:ascii="Times New Roman" w:hAnsi="Times New Roman"/>
        </w:rPr>
        <w:t>)</w:t>
      </w:r>
      <w:r w:rsidR="00252138" w:rsidRPr="00260790">
        <w:rPr>
          <w:rFonts w:ascii="Times New Roman" w:hAnsi="Times New Roman"/>
        </w:rPr>
        <w:t xml:space="preserve">, </w:t>
      </w:r>
      <w:r w:rsidR="00C34C0F">
        <w:rPr>
          <w:rFonts w:ascii="Times New Roman" w:hAnsi="Times New Roman"/>
        </w:rPr>
        <w:t>mérou (</w:t>
      </w:r>
      <w:proofErr w:type="spellStart"/>
      <w:r w:rsidR="001A43C4" w:rsidRPr="00260790">
        <w:rPr>
          <w:rFonts w:ascii="Times New Roman" w:hAnsi="Times New Roman"/>
        </w:rPr>
        <w:t>walidore</w:t>
      </w:r>
      <w:proofErr w:type="spellEnd"/>
      <w:r w:rsidR="00C34C0F">
        <w:rPr>
          <w:rFonts w:ascii="Times New Roman" w:hAnsi="Times New Roman"/>
        </w:rPr>
        <w:t>)</w:t>
      </w:r>
      <w:r w:rsidR="001A43C4" w:rsidRPr="00260790">
        <w:rPr>
          <w:rFonts w:ascii="Times New Roman" w:hAnsi="Times New Roman"/>
        </w:rPr>
        <w:t>, crabes, etc. ;</w:t>
      </w:r>
    </w:p>
    <w:p w14:paraId="705A72FB" w14:textId="3462C48B" w:rsidR="001A43C4" w:rsidRPr="00260790" w:rsidRDefault="001A43C4"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lastRenderedPageBreak/>
        <w:t>Elle risque d'avancer dans la mer et de retour des eaux de mer vers le marigot ;</w:t>
      </w:r>
    </w:p>
    <w:p w14:paraId="3E8F2D3C" w14:textId="2EEBDE12" w:rsidR="001A43C4" w:rsidRDefault="001A43C4"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Perturbation des activités des femmes transformatrices de produits halieutiques.</w:t>
      </w:r>
    </w:p>
    <w:p w14:paraId="40A7BAA8" w14:textId="77777777" w:rsidR="00D04BB8" w:rsidRPr="00771AE5" w:rsidRDefault="00D04BB8" w:rsidP="00771AE5">
      <w:pPr>
        <w:spacing w:after="0" w:line="360" w:lineRule="auto"/>
        <w:ind w:left="360"/>
        <w:rPr>
          <w:rFonts w:ascii="Times New Roman" w:hAnsi="Times New Roman"/>
          <w:b/>
          <w:i/>
          <w:iCs/>
          <w:color w:val="000000" w:themeColor="text1"/>
          <w:sz w:val="10"/>
          <w:szCs w:val="10"/>
        </w:rPr>
      </w:pPr>
    </w:p>
    <w:p w14:paraId="2DD0BE0F" w14:textId="2C43D0A3" w:rsidR="008E0358" w:rsidRPr="00260790" w:rsidRDefault="008E0358" w:rsidP="001F7B71">
      <w:pPr>
        <w:pStyle w:val="Paragraphedeliste"/>
        <w:numPr>
          <w:ilvl w:val="0"/>
          <w:numId w:val="206"/>
        </w:numPr>
        <w:spacing w:line="360" w:lineRule="auto"/>
        <w:rPr>
          <w:rFonts w:ascii="Times New Roman" w:hAnsi="Times New Roman"/>
          <w:b/>
          <w:i/>
          <w:iCs/>
          <w:color w:val="000000" w:themeColor="text1"/>
        </w:rPr>
      </w:pPr>
      <w:r w:rsidRPr="00260790">
        <w:rPr>
          <w:rFonts w:ascii="Times New Roman" w:hAnsi="Times New Roman"/>
          <w:b/>
          <w:i/>
          <w:iCs/>
          <w:color w:val="000000" w:themeColor="text1"/>
        </w:rPr>
        <w:t>Recommandations formulées par les populations affectées par le Projet</w:t>
      </w:r>
    </w:p>
    <w:p w14:paraId="13656690" w14:textId="77777777" w:rsidR="00467B27" w:rsidRPr="00260790" w:rsidRDefault="00467B27"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Recenser et indemniser les personnes impactées avant le début des travaux ;</w:t>
      </w:r>
    </w:p>
    <w:p w14:paraId="3C180237" w14:textId="341C6D9E" w:rsidR="008E0358" w:rsidRPr="00260790" w:rsidRDefault="00467B27"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Réaliser un pont pour permettre la circulation personnes et le passage des élèves ;</w:t>
      </w:r>
    </w:p>
    <w:p w14:paraId="62145094" w14:textId="16868208" w:rsidR="00CE6B9A" w:rsidRPr="00260790" w:rsidRDefault="00252138"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 xml:space="preserve">Aménager un parking pour les pirogues (sécurisé contre les tempêtes hivernales) au Niveau du quartier </w:t>
      </w:r>
      <w:proofErr w:type="spellStart"/>
      <w:r w:rsidRPr="00260790">
        <w:rPr>
          <w:rFonts w:ascii="Times New Roman" w:hAnsi="Times New Roman"/>
        </w:rPr>
        <w:t>Ndiobène</w:t>
      </w:r>
      <w:proofErr w:type="spellEnd"/>
      <w:r w:rsidRPr="00260790">
        <w:rPr>
          <w:rFonts w:ascii="Times New Roman" w:hAnsi="Times New Roman"/>
        </w:rPr>
        <w:t> ;</w:t>
      </w:r>
    </w:p>
    <w:p w14:paraId="7D9F81B7" w14:textId="15538980" w:rsidR="00252138" w:rsidRPr="00260790" w:rsidRDefault="00252138"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Lutter contre les déversements des eaux usées et des ordures dans le marigot et les bassins de rétention ;</w:t>
      </w:r>
    </w:p>
    <w:p w14:paraId="466E69ED" w14:textId="036405CF" w:rsidR="001A43C4" w:rsidRPr="00260790" w:rsidRDefault="003D45EE"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Accordez la priorité aux jeunes du quartier lors du recrutement de la main-d'œuvre ;</w:t>
      </w:r>
    </w:p>
    <w:p w14:paraId="016D53C6" w14:textId="0211346D" w:rsidR="001A43C4" w:rsidRPr="00260790" w:rsidRDefault="001A43C4"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Assurez l'entretien permanent des bassins et des autres ouvrages ;</w:t>
      </w:r>
    </w:p>
    <w:p w14:paraId="64EE6B85" w14:textId="4B60FB11" w:rsidR="001A43C4" w:rsidRPr="00260790" w:rsidRDefault="001A43C4"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Appuyez les femmes transformatrices dans les activités de formation, de modernisation du matériel de production, d'équipements et de financement.</w:t>
      </w:r>
    </w:p>
    <w:p w14:paraId="2EF32ACB" w14:textId="2CE4E26E" w:rsidR="00324C47" w:rsidRPr="00260790" w:rsidRDefault="00324C47" w:rsidP="00E804A3">
      <w:pPr>
        <w:spacing w:line="240" w:lineRule="auto"/>
        <w:ind w:left="370"/>
        <w:rPr>
          <w:rFonts w:ascii="Times New Roman" w:hAnsi="Times New Roman"/>
          <w:color w:val="000000" w:themeColor="text1"/>
          <w:u w:val="single"/>
        </w:rPr>
      </w:pPr>
      <w:r w:rsidRPr="00260790">
        <w:rPr>
          <w:rFonts w:ascii="Times New Roman" w:hAnsi="Times New Roman"/>
          <w:color w:val="000000" w:themeColor="text1"/>
          <w:u w:val="single"/>
        </w:rPr>
        <w:t>Les femmes transformatrices</w:t>
      </w:r>
    </w:p>
    <w:p w14:paraId="4B4A99FE" w14:textId="77777777" w:rsidR="008E0358" w:rsidRPr="00260790" w:rsidRDefault="008E0358" w:rsidP="001748C6">
      <w:pPr>
        <w:pStyle w:val="Paragraphedeliste"/>
        <w:numPr>
          <w:ilvl w:val="0"/>
          <w:numId w:val="206"/>
        </w:numPr>
        <w:spacing w:line="360" w:lineRule="auto"/>
        <w:rPr>
          <w:rFonts w:ascii="Times New Roman" w:hAnsi="Times New Roman"/>
          <w:b/>
          <w:i/>
          <w:iCs/>
          <w:color w:val="000000" w:themeColor="text1"/>
        </w:rPr>
      </w:pPr>
      <w:r w:rsidRPr="00260790">
        <w:rPr>
          <w:rFonts w:ascii="Times New Roman" w:hAnsi="Times New Roman"/>
          <w:b/>
          <w:i/>
          <w:iCs/>
          <w:color w:val="000000" w:themeColor="text1"/>
        </w:rPr>
        <w:t>Avis des populations affectées sur le Projet</w:t>
      </w:r>
    </w:p>
    <w:p w14:paraId="5524A181" w14:textId="65552208" w:rsidR="00E804A3" w:rsidRPr="00260790" w:rsidRDefault="00E804A3" w:rsidP="00E804A3">
      <w:pPr>
        <w:spacing w:line="240" w:lineRule="auto"/>
        <w:jc w:val="both"/>
        <w:rPr>
          <w:rFonts w:ascii="Times New Roman" w:hAnsi="Times New Roman"/>
          <w:color w:val="000000" w:themeColor="text1"/>
        </w:rPr>
      </w:pPr>
      <w:r w:rsidRPr="00260790">
        <w:rPr>
          <w:rFonts w:ascii="Times New Roman" w:hAnsi="Times New Roman"/>
          <w:color w:val="000000" w:themeColor="text1"/>
        </w:rPr>
        <w:t>Le</w:t>
      </w:r>
      <w:r w:rsidR="00945B00" w:rsidRPr="00260790">
        <w:rPr>
          <w:rFonts w:ascii="Times New Roman" w:hAnsi="Times New Roman"/>
          <w:color w:val="000000" w:themeColor="text1"/>
        </w:rPr>
        <w:t xml:space="preserve">s femmes transformatrices sont organisées en fédération de groupements </w:t>
      </w:r>
      <w:r w:rsidR="00862D3A" w:rsidRPr="00260790">
        <w:rPr>
          <w:rFonts w:ascii="Times New Roman" w:hAnsi="Times New Roman"/>
          <w:color w:val="000000" w:themeColor="text1"/>
        </w:rPr>
        <w:t xml:space="preserve">dénommé union des femmes transformatrices vivant à Mbao. Elles </w:t>
      </w:r>
      <w:r w:rsidR="00945B00" w:rsidRPr="00260790">
        <w:rPr>
          <w:rFonts w:ascii="Times New Roman" w:hAnsi="Times New Roman"/>
          <w:color w:val="000000" w:themeColor="text1"/>
        </w:rPr>
        <w:t xml:space="preserve">s’activent dans la vente et transformation et de produits halieutiques. Elles sont installées dans </w:t>
      </w:r>
      <w:r w:rsidRPr="00260790">
        <w:rPr>
          <w:rFonts w:ascii="Times New Roman" w:hAnsi="Times New Roman"/>
          <w:color w:val="000000" w:themeColor="text1"/>
        </w:rPr>
        <w:t xml:space="preserve">une unité de transformation </w:t>
      </w:r>
      <w:r w:rsidR="00945B00" w:rsidRPr="00260790">
        <w:rPr>
          <w:rFonts w:ascii="Times New Roman" w:hAnsi="Times New Roman"/>
          <w:color w:val="000000" w:themeColor="text1"/>
        </w:rPr>
        <w:t xml:space="preserve">aménagée depuis 2006 </w:t>
      </w:r>
      <w:r w:rsidRPr="00260790">
        <w:rPr>
          <w:rFonts w:ascii="Times New Roman" w:hAnsi="Times New Roman"/>
          <w:color w:val="000000" w:themeColor="text1"/>
        </w:rPr>
        <w:t xml:space="preserve">dans </w:t>
      </w:r>
      <w:r w:rsidR="00945B00" w:rsidRPr="00260790">
        <w:rPr>
          <w:rFonts w:ascii="Times New Roman" w:hAnsi="Times New Roman"/>
          <w:color w:val="000000" w:themeColor="text1"/>
        </w:rPr>
        <w:t xml:space="preserve">le </w:t>
      </w:r>
      <w:r w:rsidRPr="00260790">
        <w:rPr>
          <w:rFonts w:ascii="Times New Roman" w:hAnsi="Times New Roman"/>
          <w:color w:val="000000" w:themeColor="text1"/>
        </w:rPr>
        <w:t xml:space="preserve">quartier </w:t>
      </w:r>
      <w:r w:rsidR="00945B00" w:rsidRPr="00260790">
        <w:rPr>
          <w:rFonts w:ascii="Times New Roman" w:hAnsi="Times New Roman"/>
          <w:color w:val="000000" w:themeColor="text1"/>
        </w:rPr>
        <w:t xml:space="preserve">de </w:t>
      </w:r>
      <w:r w:rsidRPr="00260790">
        <w:rPr>
          <w:rFonts w:ascii="Times New Roman" w:hAnsi="Times New Roman"/>
          <w:color w:val="000000" w:themeColor="text1"/>
        </w:rPr>
        <w:t xml:space="preserve">cité Ndeye Marie à Mbao. </w:t>
      </w:r>
    </w:p>
    <w:p w14:paraId="65C18B73" w14:textId="590A9DEF" w:rsidR="008E0358" w:rsidRPr="0097258B" w:rsidRDefault="00862D3A" w:rsidP="008E0358">
      <w:pPr>
        <w:spacing w:line="240" w:lineRule="auto"/>
        <w:jc w:val="both"/>
        <w:rPr>
          <w:rFonts w:ascii="Times New Roman" w:hAnsi="Times New Roman"/>
          <w:color w:val="000000" w:themeColor="text1"/>
          <w:lang w:val="fr-SN"/>
        </w:rPr>
      </w:pPr>
      <w:r w:rsidRPr="00260790">
        <w:rPr>
          <w:rFonts w:ascii="Times New Roman" w:hAnsi="Times New Roman"/>
          <w:color w:val="000000" w:themeColor="text1"/>
        </w:rPr>
        <w:t xml:space="preserve">Les femmes transformatrices apprécient le projet de lutte contre les inondations et les travaux d’aménagement du marigot de Mbao qui contribuent à assainir le </w:t>
      </w:r>
      <w:r w:rsidR="004D18CD" w:rsidRPr="00260790">
        <w:rPr>
          <w:rFonts w:ascii="Times New Roman" w:hAnsi="Times New Roman"/>
          <w:color w:val="000000" w:themeColor="text1"/>
        </w:rPr>
        <w:t>cadre de vie et le milieu aquatique qui préserve la durabilité les ressources halieutiques.</w:t>
      </w:r>
    </w:p>
    <w:p w14:paraId="4D0FB91B" w14:textId="77777777" w:rsidR="008E0358" w:rsidRPr="00260790" w:rsidRDefault="008E0358" w:rsidP="001748C6">
      <w:pPr>
        <w:pStyle w:val="Paragraphedeliste"/>
        <w:numPr>
          <w:ilvl w:val="0"/>
          <w:numId w:val="206"/>
        </w:numPr>
        <w:spacing w:line="360" w:lineRule="auto"/>
        <w:rPr>
          <w:rFonts w:ascii="Times New Roman" w:hAnsi="Times New Roman"/>
          <w:b/>
          <w:i/>
          <w:iCs/>
          <w:color w:val="000000" w:themeColor="text1"/>
        </w:rPr>
      </w:pPr>
      <w:r w:rsidRPr="00260790">
        <w:rPr>
          <w:rFonts w:ascii="Times New Roman" w:hAnsi="Times New Roman"/>
          <w:b/>
          <w:i/>
          <w:iCs/>
          <w:color w:val="000000" w:themeColor="text1"/>
        </w:rPr>
        <w:t>Préoccupations et craintes émises par les populations affectées par le Projet</w:t>
      </w:r>
    </w:p>
    <w:p w14:paraId="3ECE227B" w14:textId="7DDBF86F" w:rsidR="004D18CD" w:rsidRPr="00260790" w:rsidRDefault="00F508B0"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Présence d’u</w:t>
      </w:r>
      <w:r w:rsidR="004D18CD" w:rsidRPr="00260790">
        <w:rPr>
          <w:rFonts w:ascii="Times New Roman" w:hAnsi="Times New Roman"/>
        </w:rPr>
        <w:t xml:space="preserve">n centre d’épuration </w:t>
      </w:r>
      <w:r w:rsidR="002E6484" w:rsidRPr="00260790">
        <w:rPr>
          <w:rFonts w:ascii="Times New Roman" w:hAnsi="Times New Roman"/>
        </w:rPr>
        <w:t xml:space="preserve">mal géré </w:t>
      </w:r>
      <w:r w:rsidR="004D18CD" w:rsidRPr="00260790">
        <w:rPr>
          <w:rFonts w:ascii="Times New Roman" w:hAnsi="Times New Roman"/>
        </w:rPr>
        <w:t xml:space="preserve">à </w:t>
      </w:r>
      <w:r w:rsidRPr="00260790">
        <w:rPr>
          <w:rFonts w:ascii="Times New Roman" w:hAnsi="Times New Roman"/>
        </w:rPr>
        <w:t>proximité</w:t>
      </w:r>
      <w:r w:rsidR="004D18CD" w:rsidRPr="00260790">
        <w:rPr>
          <w:rFonts w:ascii="Times New Roman" w:hAnsi="Times New Roman"/>
        </w:rPr>
        <w:t xml:space="preserve"> du site </w:t>
      </w:r>
      <w:r w:rsidR="002E6484" w:rsidRPr="00260790">
        <w:rPr>
          <w:rFonts w:ascii="Times New Roman" w:hAnsi="Times New Roman"/>
        </w:rPr>
        <w:t>de transformation des femmes ;</w:t>
      </w:r>
    </w:p>
    <w:p w14:paraId="050DA646" w14:textId="0339B9EC" w:rsidR="004D18CD" w:rsidRPr="00260790" w:rsidRDefault="002E6484"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Inondation de la voie principale d’accès au site de transformation qui est le réceptacle naturel des eaux pluviales venant de Zac Mbao et des quartiers environnants ;</w:t>
      </w:r>
    </w:p>
    <w:p w14:paraId="6F3D2416" w14:textId="4DF84A0B" w:rsidR="008E0358" w:rsidRPr="00260790" w:rsidRDefault="002E6484" w:rsidP="001748C6">
      <w:pPr>
        <w:pStyle w:val="Paragraphedeliste"/>
        <w:numPr>
          <w:ilvl w:val="0"/>
          <w:numId w:val="376"/>
        </w:numPr>
        <w:spacing w:line="360" w:lineRule="auto"/>
        <w:jc w:val="both"/>
        <w:rPr>
          <w:rFonts w:ascii="Times New Roman" w:hAnsi="Times New Roman"/>
        </w:rPr>
      </w:pPr>
      <w:r w:rsidRPr="00260790">
        <w:rPr>
          <w:rFonts w:ascii="Times New Roman" w:hAnsi="Times New Roman"/>
        </w:rPr>
        <w:t>Pollution et nuisances diverses en cas de défaut d’entretien des ouvrages et du marigot de Mbao.</w:t>
      </w:r>
    </w:p>
    <w:p w14:paraId="179E53AF" w14:textId="77777777" w:rsidR="008E0358" w:rsidRPr="00260790" w:rsidRDefault="008E0358" w:rsidP="001748C6">
      <w:pPr>
        <w:pStyle w:val="Paragraphedeliste"/>
        <w:numPr>
          <w:ilvl w:val="0"/>
          <w:numId w:val="206"/>
        </w:numPr>
        <w:spacing w:line="360" w:lineRule="auto"/>
        <w:rPr>
          <w:rFonts w:ascii="Times New Roman" w:hAnsi="Times New Roman"/>
          <w:b/>
          <w:i/>
          <w:iCs/>
          <w:color w:val="000000" w:themeColor="text1"/>
        </w:rPr>
      </w:pPr>
      <w:r w:rsidRPr="00260790">
        <w:rPr>
          <w:rFonts w:ascii="Times New Roman" w:hAnsi="Times New Roman"/>
          <w:b/>
          <w:i/>
          <w:iCs/>
          <w:color w:val="000000" w:themeColor="text1"/>
        </w:rPr>
        <w:t>Recommandations formulées par les populations affectées par le Projet</w:t>
      </w:r>
    </w:p>
    <w:p w14:paraId="552FB538" w14:textId="08B8BA28" w:rsidR="004D18CD" w:rsidRPr="00260790" w:rsidRDefault="004D18CD"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Besoin d’appui et d’accompagnement pour le renfor</w:t>
      </w:r>
      <w:r w:rsidR="00194AB1">
        <w:rPr>
          <w:rFonts w:ascii="Times New Roman" w:hAnsi="Times New Roman"/>
        </w:rPr>
        <w:t>ce</w:t>
      </w:r>
      <w:r w:rsidRPr="00260790">
        <w:rPr>
          <w:rFonts w:ascii="Times New Roman" w:hAnsi="Times New Roman"/>
        </w:rPr>
        <w:t>ment des moyens de subsistance des femmes transformatrices (</w:t>
      </w:r>
      <w:r w:rsidR="00133DEE" w:rsidRPr="00260790">
        <w:rPr>
          <w:rFonts w:ascii="Times New Roman" w:hAnsi="Times New Roman"/>
        </w:rPr>
        <w:t xml:space="preserve">tables et </w:t>
      </w:r>
      <w:r w:rsidRPr="00260790">
        <w:rPr>
          <w:rFonts w:ascii="Times New Roman" w:hAnsi="Times New Roman"/>
        </w:rPr>
        <w:t xml:space="preserve">clés de séchage vétustes à </w:t>
      </w:r>
      <w:r w:rsidR="00F508B0" w:rsidRPr="00260790">
        <w:rPr>
          <w:rFonts w:ascii="Times New Roman" w:hAnsi="Times New Roman"/>
        </w:rPr>
        <w:t xml:space="preserve">renouveler, </w:t>
      </w:r>
      <w:r w:rsidRPr="00260790">
        <w:rPr>
          <w:rFonts w:ascii="Times New Roman" w:hAnsi="Times New Roman"/>
        </w:rPr>
        <w:t>fours modernes</w:t>
      </w:r>
      <w:r w:rsidR="00F508B0" w:rsidRPr="00260790">
        <w:rPr>
          <w:rFonts w:ascii="Times New Roman" w:hAnsi="Times New Roman"/>
        </w:rPr>
        <w:t>, l</w:t>
      </w:r>
      <w:r w:rsidRPr="00260790">
        <w:rPr>
          <w:rFonts w:ascii="Times New Roman" w:hAnsi="Times New Roman"/>
        </w:rPr>
        <w:t>atrines adaptées</w:t>
      </w:r>
      <w:r w:rsidR="00F508B0" w:rsidRPr="00260790">
        <w:rPr>
          <w:rFonts w:ascii="Times New Roman" w:hAnsi="Times New Roman"/>
        </w:rPr>
        <w:t>, a</w:t>
      </w:r>
      <w:r w:rsidRPr="00260790">
        <w:rPr>
          <w:rFonts w:ascii="Times New Roman" w:hAnsi="Times New Roman"/>
        </w:rPr>
        <w:t>ires de repos</w:t>
      </w:r>
      <w:r w:rsidR="00F508B0" w:rsidRPr="00260790">
        <w:rPr>
          <w:rFonts w:ascii="Times New Roman" w:hAnsi="Times New Roman"/>
        </w:rPr>
        <w:t>, petit matériel de transformation, etc.) ;</w:t>
      </w:r>
    </w:p>
    <w:p w14:paraId="4A5B3775" w14:textId="4F6A8ACB" w:rsidR="00F508B0" w:rsidRPr="00260790" w:rsidRDefault="00F508B0"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Canalisation et p</w:t>
      </w:r>
      <w:r w:rsidR="004D18CD" w:rsidRPr="00260790">
        <w:rPr>
          <w:rFonts w:ascii="Times New Roman" w:hAnsi="Times New Roman"/>
        </w:rPr>
        <w:t xml:space="preserve">avage de l’accès principal au site </w:t>
      </w:r>
      <w:r w:rsidRPr="00260790">
        <w:rPr>
          <w:rFonts w:ascii="Times New Roman" w:hAnsi="Times New Roman"/>
        </w:rPr>
        <w:t xml:space="preserve">de transformation </w:t>
      </w:r>
      <w:r w:rsidR="004D18CD" w:rsidRPr="00260790">
        <w:rPr>
          <w:rFonts w:ascii="Times New Roman" w:hAnsi="Times New Roman"/>
        </w:rPr>
        <w:t>qui est une voie d’</w:t>
      </w:r>
      <w:r w:rsidRPr="00260790">
        <w:rPr>
          <w:rFonts w:ascii="Times New Roman" w:hAnsi="Times New Roman"/>
        </w:rPr>
        <w:t xml:space="preserve">écoulement des </w:t>
      </w:r>
      <w:r w:rsidR="004D18CD" w:rsidRPr="00260790">
        <w:rPr>
          <w:rFonts w:ascii="Times New Roman" w:hAnsi="Times New Roman"/>
        </w:rPr>
        <w:t>eau</w:t>
      </w:r>
      <w:r w:rsidRPr="00260790">
        <w:rPr>
          <w:rFonts w:ascii="Times New Roman" w:hAnsi="Times New Roman"/>
        </w:rPr>
        <w:t>x</w:t>
      </w:r>
      <w:r w:rsidR="004D18CD" w:rsidRPr="00260790">
        <w:rPr>
          <w:rFonts w:ascii="Times New Roman" w:hAnsi="Times New Roman"/>
        </w:rPr>
        <w:t xml:space="preserve"> </w:t>
      </w:r>
      <w:r w:rsidRPr="00260790">
        <w:rPr>
          <w:rFonts w:ascii="Times New Roman" w:hAnsi="Times New Roman"/>
        </w:rPr>
        <w:t>pluviales vers la mer ;</w:t>
      </w:r>
    </w:p>
    <w:p w14:paraId="737BD140" w14:textId="613A914C" w:rsidR="004D18CD" w:rsidRPr="00260790" w:rsidRDefault="004D18CD" w:rsidP="001748C6">
      <w:pPr>
        <w:pStyle w:val="Paragraphedeliste"/>
        <w:numPr>
          <w:ilvl w:val="0"/>
          <w:numId w:val="376"/>
        </w:numPr>
        <w:spacing w:line="240" w:lineRule="auto"/>
        <w:jc w:val="both"/>
        <w:rPr>
          <w:rFonts w:ascii="Times New Roman" w:hAnsi="Times New Roman"/>
        </w:rPr>
      </w:pPr>
      <w:r w:rsidRPr="00260790">
        <w:rPr>
          <w:rFonts w:ascii="Times New Roman" w:hAnsi="Times New Roman"/>
        </w:rPr>
        <w:t>Appui à la mise en place d’un fonds de financement des activités de transformation</w:t>
      </w:r>
      <w:r w:rsidR="00F508B0" w:rsidRPr="00260790">
        <w:rPr>
          <w:rFonts w:ascii="Times New Roman" w:hAnsi="Times New Roman"/>
        </w:rPr>
        <w:t xml:space="preserve"> de produits de pêche.</w:t>
      </w:r>
    </w:p>
    <w:p w14:paraId="49816604" w14:textId="77777777" w:rsidR="00324C47" w:rsidRPr="00260790" w:rsidRDefault="00324C47" w:rsidP="00324C47">
      <w:pPr>
        <w:spacing w:line="259" w:lineRule="auto"/>
        <w:rPr>
          <w:rFonts w:ascii="Times New Roman" w:hAnsi="Times New Roman"/>
        </w:rPr>
      </w:pPr>
    </w:p>
    <w:p w14:paraId="7D29D812" w14:textId="77777777" w:rsidR="009B7637" w:rsidRPr="00260790" w:rsidRDefault="009B7637">
      <w:pPr>
        <w:spacing w:line="259" w:lineRule="auto"/>
        <w:rPr>
          <w:rFonts w:ascii="Times New Roman" w:hAnsi="Times New Roman"/>
        </w:rPr>
      </w:pPr>
    </w:p>
    <w:p w14:paraId="1830DA77" w14:textId="77777777" w:rsidR="009B7637" w:rsidRPr="00260790" w:rsidRDefault="009B7637">
      <w:pPr>
        <w:spacing w:line="259" w:lineRule="auto"/>
        <w:rPr>
          <w:rFonts w:ascii="Times New Roman" w:hAnsi="Times New Roman"/>
        </w:rPr>
      </w:pPr>
    </w:p>
    <w:p w14:paraId="18074393" w14:textId="4953354E" w:rsidR="008748B7" w:rsidRPr="00260790" w:rsidRDefault="008748B7">
      <w:pPr>
        <w:spacing w:line="259" w:lineRule="auto"/>
        <w:rPr>
          <w:rFonts w:ascii="Times New Roman" w:eastAsia="Times New Roman" w:hAnsi="Times New Roman"/>
          <w:b/>
          <w:bCs/>
          <w:caps/>
          <w:kern w:val="32"/>
          <w:sz w:val="24"/>
          <w:szCs w:val="24"/>
          <w:lang w:eastAsia="fr-FR"/>
        </w:rPr>
      </w:pPr>
      <w:r w:rsidRPr="00260790">
        <w:rPr>
          <w:rFonts w:ascii="Times New Roman" w:hAnsi="Times New Roman"/>
        </w:rPr>
        <w:br w:type="page"/>
      </w:r>
    </w:p>
    <w:p w14:paraId="62EE8333" w14:textId="1D6DCABC" w:rsidR="005F3FB7" w:rsidRPr="00260790" w:rsidRDefault="00E540DC" w:rsidP="00E20250">
      <w:pPr>
        <w:pStyle w:val="Titre1"/>
        <w:rPr>
          <w:rFonts w:ascii="Times New Roman" w:hAnsi="Times New Roman"/>
        </w:rPr>
      </w:pPr>
      <w:bookmarkStart w:id="583" w:name="_Toc212725125"/>
      <w:r w:rsidRPr="00260790">
        <w:rPr>
          <w:rFonts w:ascii="Times New Roman" w:hAnsi="Times New Roman"/>
        </w:rPr>
        <w:lastRenderedPageBreak/>
        <w:t>ANALYSE DES VARIANTES</w:t>
      </w:r>
      <w:bookmarkEnd w:id="583"/>
    </w:p>
    <w:p w14:paraId="52E64329" w14:textId="77777777" w:rsidR="0028402C" w:rsidRPr="00260790" w:rsidRDefault="0028402C"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L’analyse des variantes consiste à mettre en lumière les avantages et les inconvénients de chaque variante selon des critères environnementaux et socioéconomiques. Il s’agit d’une analyse comparée des situations « sans projet » et « avec projet » d’une part, d’une analyse descriptive des variantes techniques et celles du tracé du réseau des collecteurs.</w:t>
      </w:r>
    </w:p>
    <w:p w14:paraId="66AB4BD7" w14:textId="3F60111E" w:rsidR="0028402C" w:rsidRPr="00260790" w:rsidRDefault="0028402C" w:rsidP="001748C6">
      <w:pPr>
        <w:pStyle w:val="Normaltableau0"/>
        <w:numPr>
          <w:ilvl w:val="1"/>
          <w:numId w:val="139"/>
        </w:numPr>
        <w:outlineLvl w:val="1"/>
        <w:rPr>
          <w:rFonts w:ascii="Times New Roman" w:hAnsi="Times New Roman"/>
          <w:b/>
          <w:bCs/>
          <w:sz w:val="22"/>
          <w:szCs w:val="22"/>
        </w:rPr>
      </w:pPr>
      <w:bookmarkStart w:id="584" w:name="_Toc212725126"/>
      <w:bookmarkStart w:id="585" w:name="_Toc131592041"/>
      <w:r w:rsidRPr="00260790">
        <w:rPr>
          <w:rFonts w:ascii="Times New Roman" w:hAnsi="Times New Roman"/>
          <w:b/>
          <w:bCs/>
          <w:sz w:val="22"/>
          <w:szCs w:val="22"/>
        </w:rPr>
        <w:t>Analyse des situations « sans projet » et « avec projet »</w:t>
      </w:r>
      <w:bookmarkEnd w:id="584"/>
    </w:p>
    <w:p w14:paraId="3CA9912D" w14:textId="77777777" w:rsidR="00476EC1" w:rsidRPr="00260790" w:rsidRDefault="00476EC1" w:rsidP="00E20250">
      <w:pPr>
        <w:numPr>
          <w:ilvl w:val="2"/>
          <w:numId w:val="0"/>
        </w:numPr>
        <w:spacing w:line="240" w:lineRule="auto"/>
        <w:ind w:left="720" w:hanging="720"/>
        <w:rPr>
          <w:rFonts w:ascii="Times New Roman" w:hAnsi="Times New Roman"/>
          <w:b/>
          <w:bCs/>
          <w:color w:val="000000" w:themeColor="text1"/>
        </w:rPr>
      </w:pPr>
    </w:p>
    <w:p w14:paraId="5489700A" w14:textId="03DFD2E0" w:rsidR="0028402C" w:rsidRPr="00260790" w:rsidRDefault="0028402C" w:rsidP="001748C6">
      <w:pPr>
        <w:pStyle w:val="Paragraphedeliste"/>
        <w:numPr>
          <w:ilvl w:val="0"/>
          <w:numId w:val="367"/>
        </w:numPr>
        <w:spacing w:line="240" w:lineRule="auto"/>
        <w:rPr>
          <w:rFonts w:ascii="Times New Roman" w:hAnsi="Times New Roman"/>
          <w:b/>
          <w:bCs/>
          <w:color w:val="000000" w:themeColor="text1"/>
        </w:rPr>
      </w:pPr>
      <w:r w:rsidRPr="00260790">
        <w:rPr>
          <w:rFonts w:ascii="Times New Roman" w:hAnsi="Times New Roman"/>
          <w:b/>
          <w:bCs/>
          <w:color w:val="000000" w:themeColor="text1"/>
        </w:rPr>
        <w:t>Situation « sans projet »</w:t>
      </w:r>
      <w:bookmarkEnd w:id="585"/>
      <w:r w:rsidRPr="00260790">
        <w:rPr>
          <w:rFonts w:ascii="Times New Roman" w:hAnsi="Times New Roman"/>
          <w:b/>
          <w:bCs/>
          <w:color w:val="000000" w:themeColor="text1"/>
        </w:rPr>
        <w:t xml:space="preserve"> </w:t>
      </w:r>
    </w:p>
    <w:p w14:paraId="379C0FEB" w14:textId="33C661EC" w:rsidR="0028402C" w:rsidRPr="00260790" w:rsidRDefault="0028402C"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L’option « sans projet » consiste à ne rien faire. Ce qui équivaut à laisser la situation dans l’état actuel (état de référence). Il est évident que si rien n’est fait, les effets des inondations récurrentes vont demeurer</w:t>
      </w:r>
      <w:r w:rsidR="00464782" w:rsidRPr="00260790">
        <w:rPr>
          <w:rFonts w:ascii="Times New Roman" w:hAnsi="Times New Roman"/>
          <w:color w:val="000000" w:themeColor="text1"/>
        </w:rPr>
        <w:t>,</w:t>
      </w:r>
      <w:r w:rsidRPr="00260790">
        <w:rPr>
          <w:rFonts w:ascii="Times New Roman" w:hAnsi="Times New Roman"/>
          <w:color w:val="000000" w:themeColor="text1"/>
        </w:rPr>
        <w:t xml:space="preserve"> voire s’intensifier. L’option « sans projet » se révélera certainement moins avantageu</w:t>
      </w:r>
      <w:r w:rsidR="00464782" w:rsidRPr="00260790">
        <w:rPr>
          <w:rFonts w:ascii="Times New Roman" w:hAnsi="Times New Roman"/>
          <w:color w:val="000000" w:themeColor="text1"/>
        </w:rPr>
        <w:t>se</w:t>
      </w:r>
      <w:r w:rsidRPr="00260790">
        <w:rPr>
          <w:rFonts w:ascii="Times New Roman" w:hAnsi="Times New Roman"/>
          <w:color w:val="000000" w:themeColor="text1"/>
        </w:rPr>
        <w:t xml:space="preserve"> pour les populations et leur cadre de vie. </w:t>
      </w:r>
    </w:p>
    <w:p w14:paraId="791B6D81" w14:textId="77777777" w:rsidR="0028402C" w:rsidRPr="00260790" w:rsidRDefault="0028402C" w:rsidP="001748C6">
      <w:pPr>
        <w:numPr>
          <w:ilvl w:val="0"/>
          <w:numId w:val="133"/>
        </w:numPr>
        <w:spacing w:line="240" w:lineRule="auto"/>
        <w:rPr>
          <w:rFonts w:ascii="Times New Roman" w:hAnsi="Times New Roman"/>
          <w:b/>
          <w:bCs/>
          <w:color w:val="000000" w:themeColor="text1"/>
        </w:rPr>
      </w:pPr>
      <w:r w:rsidRPr="00260790">
        <w:rPr>
          <w:rFonts w:ascii="Times New Roman" w:hAnsi="Times New Roman"/>
          <w:b/>
          <w:bCs/>
          <w:color w:val="000000" w:themeColor="text1"/>
        </w:rPr>
        <w:t>Avantages</w:t>
      </w:r>
    </w:p>
    <w:p w14:paraId="69FDE479" w14:textId="2265086B" w:rsidR="0028402C" w:rsidRPr="00260790" w:rsidRDefault="0028402C"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La situation « sans projet » présente des avantages sur les plans environnemental, social et économique comme : pas de risques additionnels de nuisances et de perturbation du cadre de vie par les travaux, pas d’acquisition de terres et de pertes de biens (Parcelles à usage d’habitation, Bâtiments, places d’affaires, etc.) qu’aurait engendré</w:t>
      </w:r>
      <w:r w:rsidR="00464782" w:rsidRPr="00260790">
        <w:rPr>
          <w:rFonts w:ascii="Times New Roman" w:hAnsi="Times New Roman"/>
          <w:color w:val="000000" w:themeColor="text1"/>
        </w:rPr>
        <w:t>es</w:t>
      </w:r>
      <w:r w:rsidRPr="00260790">
        <w:rPr>
          <w:rFonts w:ascii="Times New Roman" w:hAnsi="Times New Roman"/>
          <w:color w:val="000000" w:themeColor="text1"/>
        </w:rPr>
        <w:t xml:space="preserve"> le projet, pas de limitation d’accès, pas de perturbation de l’avifaune (dans le marigot de Mbao) et pas de dégradation d’habitat.</w:t>
      </w:r>
    </w:p>
    <w:p w14:paraId="4C32F316" w14:textId="77777777" w:rsidR="0028402C" w:rsidRPr="00260790" w:rsidRDefault="0028402C" w:rsidP="001748C6">
      <w:pPr>
        <w:numPr>
          <w:ilvl w:val="0"/>
          <w:numId w:val="133"/>
        </w:numPr>
        <w:spacing w:line="240" w:lineRule="auto"/>
        <w:rPr>
          <w:rFonts w:ascii="Times New Roman" w:hAnsi="Times New Roman"/>
          <w:b/>
          <w:bCs/>
          <w:color w:val="000000" w:themeColor="text1"/>
        </w:rPr>
      </w:pPr>
      <w:r w:rsidRPr="00260790">
        <w:rPr>
          <w:rFonts w:ascii="Times New Roman" w:hAnsi="Times New Roman"/>
          <w:b/>
          <w:bCs/>
          <w:color w:val="000000" w:themeColor="text1"/>
        </w:rPr>
        <w:t>Inconvénients</w:t>
      </w:r>
    </w:p>
    <w:p w14:paraId="59A479DE" w14:textId="77777777" w:rsidR="0028402C" w:rsidRPr="00260790" w:rsidRDefault="0028402C"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 situation « sans projet » va accentuer les inondations dans la zone du projet. Elle fait apparaître plusieurs contraintes environnementales, sociales et économiques : </w:t>
      </w:r>
    </w:p>
    <w:p w14:paraId="15E4228D" w14:textId="77777777" w:rsidR="0028402C" w:rsidRPr="00260790" w:rsidRDefault="0028402C" w:rsidP="001748C6">
      <w:pPr>
        <w:numPr>
          <w:ilvl w:val="0"/>
          <w:numId w:val="134"/>
        </w:numPr>
        <w:spacing w:after="0" w:line="240" w:lineRule="auto"/>
        <w:rPr>
          <w:rFonts w:ascii="Times New Roman" w:hAnsi="Times New Roman"/>
          <w:color w:val="000000" w:themeColor="text1"/>
        </w:rPr>
      </w:pPr>
      <w:r w:rsidRPr="00260790">
        <w:rPr>
          <w:rFonts w:ascii="Times New Roman" w:hAnsi="Times New Roman"/>
          <w:color w:val="000000" w:themeColor="text1"/>
        </w:rPr>
        <w:t>Stagnation des eaux pluviales dans certaines rues ;</w:t>
      </w:r>
    </w:p>
    <w:p w14:paraId="6C0E3A16" w14:textId="5CA7595F" w:rsidR="0028402C" w:rsidRPr="00260790" w:rsidRDefault="0028402C" w:rsidP="001748C6">
      <w:pPr>
        <w:numPr>
          <w:ilvl w:val="0"/>
          <w:numId w:val="134"/>
        </w:numPr>
        <w:spacing w:after="0" w:line="240" w:lineRule="auto"/>
        <w:rPr>
          <w:rFonts w:ascii="Times New Roman" w:hAnsi="Times New Roman"/>
          <w:color w:val="000000" w:themeColor="text1"/>
        </w:rPr>
      </w:pPr>
      <w:r w:rsidRPr="00260790">
        <w:rPr>
          <w:rFonts w:ascii="Times New Roman" w:hAnsi="Times New Roman"/>
          <w:color w:val="000000" w:themeColor="text1"/>
        </w:rPr>
        <w:t>Envahissement par les eaux pluviales des maisons et des édifices publi</w:t>
      </w:r>
      <w:r w:rsidR="004A7452" w:rsidRPr="00260790">
        <w:rPr>
          <w:rFonts w:ascii="Times New Roman" w:hAnsi="Times New Roman"/>
          <w:color w:val="000000" w:themeColor="text1"/>
        </w:rPr>
        <w:t>c</w:t>
      </w:r>
      <w:r w:rsidRPr="00260790">
        <w:rPr>
          <w:rFonts w:ascii="Times New Roman" w:hAnsi="Times New Roman"/>
          <w:color w:val="000000" w:themeColor="text1"/>
        </w:rPr>
        <w:t xml:space="preserve">s construits dans des zones inondables ; </w:t>
      </w:r>
    </w:p>
    <w:p w14:paraId="78D7470A" w14:textId="77777777" w:rsidR="0028402C" w:rsidRPr="00260790" w:rsidRDefault="0028402C" w:rsidP="001748C6">
      <w:pPr>
        <w:numPr>
          <w:ilvl w:val="0"/>
          <w:numId w:val="134"/>
        </w:numPr>
        <w:spacing w:after="0" w:line="240" w:lineRule="auto"/>
        <w:rPr>
          <w:rFonts w:ascii="Times New Roman" w:hAnsi="Times New Roman"/>
          <w:color w:val="000000" w:themeColor="text1"/>
        </w:rPr>
      </w:pPr>
      <w:r w:rsidRPr="00260790">
        <w:rPr>
          <w:rFonts w:ascii="Times New Roman" w:hAnsi="Times New Roman"/>
          <w:color w:val="000000" w:themeColor="text1"/>
        </w:rPr>
        <w:t>Déplacement ou abandon de domiciles lié à la longue stagnation des eaux pluviales dans certaines maisons ;</w:t>
      </w:r>
    </w:p>
    <w:p w14:paraId="75CD3DF2" w14:textId="77777777" w:rsidR="0028402C" w:rsidRPr="00260790" w:rsidRDefault="0028402C" w:rsidP="001748C6">
      <w:pPr>
        <w:numPr>
          <w:ilvl w:val="0"/>
          <w:numId w:val="134"/>
        </w:numPr>
        <w:spacing w:after="0" w:line="240" w:lineRule="auto"/>
        <w:rPr>
          <w:rFonts w:ascii="Times New Roman" w:hAnsi="Times New Roman"/>
          <w:color w:val="000000" w:themeColor="text1"/>
        </w:rPr>
      </w:pPr>
      <w:r w:rsidRPr="00260790">
        <w:rPr>
          <w:rFonts w:ascii="Times New Roman" w:hAnsi="Times New Roman"/>
          <w:color w:val="000000" w:themeColor="text1"/>
        </w:rPr>
        <w:t>Prolifération des plantes envahissantes et des moustiques dans les zones inondées ;</w:t>
      </w:r>
    </w:p>
    <w:p w14:paraId="5DCE5BBB" w14:textId="1B1C8C06" w:rsidR="0028402C" w:rsidRPr="00260790" w:rsidRDefault="0028402C" w:rsidP="001748C6">
      <w:pPr>
        <w:numPr>
          <w:ilvl w:val="0"/>
          <w:numId w:val="134"/>
        </w:numPr>
        <w:spacing w:after="0" w:line="240" w:lineRule="auto"/>
        <w:rPr>
          <w:rFonts w:ascii="Times New Roman" w:hAnsi="Times New Roman"/>
          <w:color w:val="000000" w:themeColor="text1"/>
        </w:rPr>
      </w:pPr>
      <w:r w:rsidRPr="00260790">
        <w:rPr>
          <w:rFonts w:ascii="Times New Roman" w:hAnsi="Times New Roman"/>
          <w:color w:val="000000" w:themeColor="text1"/>
        </w:rPr>
        <w:t xml:space="preserve">Pollution des eaux </w:t>
      </w:r>
      <w:r w:rsidR="00E92E0B" w:rsidRPr="00260790">
        <w:rPr>
          <w:rFonts w:ascii="Times New Roman" w:hAnsi="Times New Roman"/>
          <w:color w:val="000000" w:themeColor="text1"/>
        </w:rPr>
        <w:t>stagnantes ;</w:t>
      </w:r>
    </w:p>
    <w:p w14:paraId="50A207A6" w14:textId="77777777" w:rsidR="0028402C" w:rsidRPr="00260790" w:rsidRDefault="0028402C" w:rsidP="001748C6">
      <w:pPr>
        <w:numPr>
          <w:ilvl w:val="0"/>
          <w:numId w:val="134"/>
        </w:numPr>
        <w:spacing w:after="0" w:line="240" w:lineRule="auto"/>
        <w:rPr>
          <w:rFonts w:ascii="Times New Roman" w:hAnsi="Times New Roman"/>
          <w:color w:val="000000" w:themeColor="text1"/>
        </w:rPr>
      </w:pPr>
      <w:r w:rsidRPr="00260790">
        <w:rPr>
          <w:rFonts w:ascii="Times New Roman" w:hAnsi="Times New Roman"/>
          <w:color w:val="000000" w:themeColor="text1"/>
        </w:rPr>
        <w:t>Dégradation du cadre de vie par la stagnation des eaux pluviales dans les rues, la prolifération des dépotoirs d’ordures et des moustiques, les nuisances olfactives et sonores (coassement des grenouilles) ;</w:t>
      </w:r>
    </w:p>
    <w:p w14:paraId="730C48AA" w14:textId="77777777" w:rsidR="0028402C" w:rsidRPr="00260790" w:rsidRDefault="0028402C" w:rsidP="001748C6">
      <w:pPr>
        <w:numPr>
          <w:ilvl w:val="0"/>
          <w:numId w:val="134"/>
        </w:numPr>
        <w:spacing w:after="0" w:line="240" w:lineRule="auto"/>
        <w:rPr>
          <w:rFonts w:ascii="Times New Roman" w:hAnsi="Times New Roman"/>
          <w:color w:val="000000" w:themeColor="text1"/>
        </w:rPr>
      </w:pPr>
      <w:r w:rsidRPr="00260790">
        <w:rPr>
          <w:rFonts w:ascii="Times New Roman" w:hAnsi="Times New Roman"/>
          <w:color w:val="000000" w:themeColor="text1"/>
        </w:rPr>
        <w:t xml:space="preserve">Développement de stratégies non conformes aux normes d’hygiène ; </w:t>
      </w:r>
    </w:p>
    <w:p w14:paraId="394C8809" w14:textId="77777777" w:rsidR="0028402C" w:rsidRPr="00260790" w:rsidRDefault="0028402C" w:rsidP="001748C6">
      <w:pPr>
        <w:numPr>
          <w:ilvl w:val="0"/>
          <w:numId w:val="134"/>
        </w:numPr>
        <w:spacing w:after="0" w:line="240" w:lineRule="auto"/>
        <w:rPr>
          <w:rFonts w:ascii="Times New Roman" w:hAnsi="Times New Roman"/>
          <w:color w:val="000000" w:themeColor="text1"/>
        </w:rPr>
      </w:pPr>
      <w:r w:rsidRPr="00260790">
        <w:rPr>
          <w:rFonts w:ascii="Times New Roman" w:hAnsi="Times New Roman"/>
          <w:color w:val="000000" w:themeColor="text1"/>
        </w:rPr>
        <w:t>Problèmes liés à l’insalubrité et à l’insécurité ;</w:t>
      </w:r>
    </w:p>
    <w:p w14:paraId="480B98DC" w14:textId="77777777" w:rsidR="0028402C" w:rsidRPr="00260790" w:rsidRDefault="0028402C" w:rsidP="001748C6">
      <w:pPr>
        <w:numPr>
          <w:ilvl w:val="0"/>
          <w:numId w:val="134"/>
        </w:numPr>
        <w:spacing w:after="0" w:line="240" w:lineRule="auto"/>
        <w:rPr>
          <w:rFonts w:ascii="Times New Roman" w:hAnsi="Times New Roman"/>
          <w:color w:val="000000" w:themeColor="text1"/>
        </w:rPr>
      </w:pPr>
      <w:r w:rsidRPr="00260790">
        <w:rPr>
          <w:rFonts w:ascii="Times New Roman" w:hAnsi="Times New Roman"/>
          <w:color w:val="000000" w:themeColor="text1"/>
        </w:rPr>
        <w:t>Entrave à la circulation dans certains quartiers ;</w:t>
      </w:r>
    </w:p>
    <w:p w14:paraId="7FF416B8" w14:textId="260C1389" w:rsidR="0028402C" w:rsidRPr="00260790" w:rsidRDefault="0028402C" w:rsidP="001748C6">
      <w:pPr>
        <w:numPr>
          <w:ilvl w:val="0"/>
          <w:numId w:val="134"/>
        </w:numPr>
        <w:spacing w:after="0" w:line="240" w:lineRule="auto"/>
        <w:rPr>
          <w:rFonts w:ascii="Times New Roman" w:hAnsi="Times New Roman"/>
          <w:color w:val="000000" w:themeColor="text1"/>
        </w:rPr>
      </w:pPr>
      <w:r w:rsidRPr="00260790">
        <w:rPr>
          <w:rFonts w:ascii="Times New Roman" w:hAnsi="Times New Roman"/>
          <w:color w:val="000000" w:themeColor="text1"/>
        </w:rPr>
        <w:t>Dépenses sanitaires lié</w:t>
      </w:r>
      <w:r w:rsidR="004A7452" w:rsidRPr="00260790">
        <w:rPr>
          <w:rFonts w:ascii="Times New Roman" w:hAnsi="Times New Roman"/>
          <w:color w:val="000000" w:themeColor="text1"/>
        </w:rPr>
        <w:t>e</w:t>
      </w:r>
      <w:r w:rsidRPr="00260790">
        <w:rPr>
          <w:rFonts w:ascii="Times New Roman" w:hAnsi="Times New Roman"/>
          <w:color w:val="000000" w:themeColor="text1"/>
        </w:rPr>
        <w:t>s aux maladies hydriques</w:t>
      </w:r>
    </w:p>
    <w:p w14:paraId="52189923" w14:textId="77777777" w:rsidR="0028402C" w:rsidRPr="00260790" w:rsidRDefault="0028402C" w:rsidP="001748C6">
      <w:pPr>
        <w:numPr>
          <w:ilvl w:val="0"/>
          <w:numId w:val="134"/>
        </w:numPr>
        <w:spacing w:after="0" w:line="240" w:lineRule="auto"/>
        <w:rPr>
          <w:rFonts w:ascii="Times New Roman" w:hAnsi="Times New Roman"/>
          <w:color w:val="000000" w:themeColor="text1"/>
        </w:rPr>
      </w:pPr>
      <w:r w:rsidRPr="00260790">
        <w:rPr>
          <w:rFonts w:ascii="Times New Roman" w:hAnsi="Times New Roman"/>
          <w:color w:val="000000" w:themeColor="text1"/>
        </w:rPr>
        <w:t>Pas d’opportunité d’emploi qu’auraient offert les travaux du projet</w:t>
      </w:r>
    </w:p>
    <w:p w14:paraId="14B7BD24" w14:textId="313474FB" w:rsidR="0028402C" w:rsidRPr="00260790" w:rsidRDefault="0028402C" w:rsidP="001748C6">
      <w:pPr>
        <w:numPr>
          <w:ilvl w:val="0"/>
          <w:numId w:val="134"/>
        </w:numPr>
        <w:spacing w:after="0" w:line="240" w:lineRule="auto"/>
        <w:rPr>
          <w:rFonts w:ascii="Times New Roman" w:hAnsi="Times New Roman"/>
          <w:color w:val="000000" w:themeColor="text1"/>
        </w:rPr>
      </w:pPr>
      <w:r w:rsidRPr="00260790">
        <w:rPr>
          <w:rFonts w:ascii="Times New Roman" w:hAnsi="Times New Roman"/>
          <w:color w:val="000000" w:themeColor="text1"/>
        </w:rPr>
        <w:t>Difficultés d’accès aux infrastructures socioéconomiques, éducati</w:t>
      </w:r>
      <w:r w:rsidR="004A7452" w:rsidRPr="00260790">
        <w:rPr>
          <w:rFonts w:ascii="Times New Roman" w:hAnsi="Times New Roman"/>
          <w:color w:val="000000" w:themeColor="text1"/>
        </w:rPr>
        <w:t>ve</w:t>
      </w:r>
      <w:r w:rsidRPr="00260790">
        <w:rPr>
          <w:rFonts w:ascii="Times New Roman" w:hAnsi="Times New Roman"/>
          <w:color w:val="000000" w:themeColor="text1"/>
        </w:rPr>
        <w:t>s et sanitaires inondées (écoles, centres de santé, marchés, mosquées, terrain de jeux, etc.)</w:t>
      </w:r>
    </w:p>
    <w:p w14:paraId="5CC0100A" w14:textId="77777777" w:rsidR="00476EC1" w:rsidRPr="00260790" w:rsidRDefault="00476EC1" w:rsidP="00E20250">
      <w:pPr>
        <w:spacing w:after="0" w:line="240" w:lineRule="auto"/>
        <w:ind w:left="720"/>
        <w:rPr>
          <w:rFonts w:ascii="Times New Roman" w:hAnsi="Times New Roman"/>
          <w:color w:val="000000" w:themeColor="text1"/>
        </w:rPr>
      </w:pPr>
    </w:p>
    <w:p w14:paraId="1155B0A1" w14:textId="727E9119" w:rsidR="0028402C" w:rsidRPr="00260790" w:rsidRDefault="0028402C" w:rsidP="001748C6">
      <w:pPr>
        <w:pStyle w:val="Paragraphedeliste"/>
        <w:numPr>
          <w:ilvl w:val="0"/>
          <w:numId w:val="367"/>
        </w:numPr>
        <w:spacing w:line="240" w:lineRule="auto"/>
        <w:rPr>
          <w:rFonts w:ascii="Times New Roman" w:hAnsi="Times New Roman"/>
          <w:color w:val="000000" w:themeColor="text1"/>
        </w:rPr>
      </w:pPr>
      <w:r w:rsidRPr="00260790">
        <w:rPr>
          <w:rFonts w:ascii="Times New Roman" w:hAnsi="Times New Roman"/>
          <w:b/>
          <w:bCs/>
          <w:color w:val="000000" w:themeColor="text1"/>
        </w:rPr>
        <w:t>Situation « avec projet »</w:t>
      </w:r>
    </w:p>
    <w:p w14:paraId="1C8C1E62" w14:textId="39F18826" w:rsidR="0028402C" w:rsidRPr="00260790" w:rsidRDefault="0028402C"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 réalisation de collecteurs et bassins d’assainissements dans les </w:t>
      </w:r>
      <w:r w:rsidR="005A15BE">
        <w:rPr>
          <w:rFonts w:ascii="Times New Roman" w:hAnsi="Times New Roman"/>
          <w:color w:val="000000" w:themeColor="text1"/>
        </w:rPr>
        <w:t>C</w:t>
      </w:r>
      <w:r w:rsidRPr="00260790">
        <w:rPr>
          <w:rFonts w:ascii="Times New Roman" w:hAnsi="Times New Roman"/>
          <w:color w:val="000000" w:themeColor="text1"/>
        </w:rPr>
        <w:t xml:space="preserve">ommunes de Keur Massar Sud, </w:t>
      </w:r>
      <w:proofErr w:type="spellStart"/>
      <w:r w:rsidRPr="00260790">
        <w:rPr>
          <w:rFonts w:ascii="Times New Roman" w:hAnsi="Times New Roman"/>
          <w:color w:val="000000" w:themeColor="text1"/>
        </w:rPr>
        <w:t>Jaxaay</w:t>
      </w:r>
      <w:proofErr w:type="spellEnd"/>
      <w:r w:rsidRPr="00260790">
        <w:rPr>
          <w:rFonts w:ascii="Times New Roman" w:hAnsi="Times New Roman"/>
          <w:color w:val="000000" w:themeColor="text1"/>
        </w:rPr>
        <w:t>, Mbao et Rufisque Ouest contribuera à atténuer les conséquences des inondations et à améliorer le cadre de vie de la population de ces communes. La situation « avec projet » favorisera le curage et la dépollution du marigot de M</w:t>
      </w:r>
      <w:r w:rsidR="00E92E0B" w:rsidRPr="00260790">
        <w:rPr>
          <w:rFonts w:ascii="Times New Roman" w:hAnsi="Times New Roman"/>
          <w:color w:val="000000" w:themeColor="text1"/>
        </w:rPr>
        <w:t>bao</w:t>
      </w:r>
      <w:r w:rsidRPr="00260790">
        <w:rPr>
          <w:rFonts w:ascii="Times New Roman" w:hAnsi="Times New Roman"/>
          <w:color w:val="000000" w:themeColor="text1"/>
        </w:rPr>
        <w:t>. Elle procurera ainsi plus d’avantages que d’inconvénients aux populations de la zone du projet.</w:t>
      </w:r>
    </w:p>
    <w:p w14:paraId="0E144EF3" w14:textId="77777777" w:rsidR="00A71F60" w:rsidRPr="00260790" w:rsidRDefault="00A71F60">
      <w:pPr>
        <w:spacing w:line="259" w:lineRule="auto"/>
        <w:rPr>
          <w:rFonts w:ascii="Times New Roman" w:hAnsi="Times New Roman"/>
          <w:b/>
          <w:bCs/>
          <w:color w:val="000000" w:themeColor="text1"/>
        </w:rPr>
      </w:pPr>
      <w:r w:rsidRPr="00260790">
        <w:rPr>
          <w:rFonts w:ascii="Times New Roman" w:hAnsi="Times New Roman"/>
          <w:b/>
          <w:bCs/>
          <w:color w:val="000000" w:themeColor="text1"/>
        </w:rPr>
        <w:br w:type="page"/>
      </w:r>
    </w:p>
    <w:p w14:paraId="46764601" w14:textId="07EF9ADA" w:rsidR="0028402C" w:rsidRPr="00260790" w:rsidRDefault="0028402C" w:rsidP="00194AB1">
      <w:pPr>
        <w:numPr>
          <w:ilvl w:val="0"/>
          <w:numId w:val="133"/>
        </w:numPr>
        <w:spacing w:line="240" w:lineRule="auto"/>
        <w:jc w:val="both"/>
        <w:rPr>
          <w:rFonts w:ascii="Times New Roman" w:hAnsi="Times New Roman"/>
          <w:b/>
          <w:bCs/>
          <w:color w:val="000000" w:themeColor="text1"/>
        </w:rPr>
      </w:pPr>
      <w:r w:rsidRPr="00260790">
        <w:rPr>
          <w:rFonts w:ascii="Times New Roman" w:hAnsi="Times New Roman"/>
          <w:b/>
          <w:bCs/>
          <w:color w:val="000000" w:themeColor="text1"/>
        </w:rPr>
        <w:lastRenderedPageBreak/>
        <w:t>Avantages</w:t>
      </w:r>
    </w:p>
    <w:p w14:paraId="42687B3D" w14:textId="77777777" w:rsidR="0028402C" w:rsidRPr="00260790" w:rsidRDefault="0028402C" w:rsidP="00194AB1">
      <w:pPr>
        <w:spacing w:line="240" w:lineRule="auto"/>
        <w:jc w:val="both"/>
        <w:rPr>
          <w:rFonts w:ascii="Times New Roman" w:hAnsi="Times New Roman"/>
          <w:color w:val="000000" w:themeColor="text1"/>
        </w:rPr>
      </w:pPr>
      <w:r w:rsidRPr="00260790">
        <w:rPr>
          <w:rFonts w:ascii="Times New Roman" w:hAnsi="Times New Roman"/>
          <w:color w:val="000000" w:themeColor="text1"/>
        </w:rPr>
        <w:t>La situation « avec projet » présente des avantages réels pour l’amélioration du cadre de vie, et des conditions sociales et économiques de la population :</w:t>
      </w:r>
    </w:p>
    <w:p w14:paraId="3D4CBC0F" w14:textId="77777777" w:rsidR="0028402C" w:rsidRPr="00260790" w:rsidRDefault="0028402C" w:rsidP="00194AB1">
      <w:pPr>
        <w:numPr>
          <w:ilvl w:val="0"/>
          <w:numId w:val="135"/>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Amélioration de l’assainissement par un drainage en bon état et une baisse des eaux stagnantes ;</w:t>
      </w:r>
    </w:p>
    <w:p w14:paraId="43D770AD" w14:textId="77777777" w:rsidR="0028402C" w:rsidRPr="00260790" w:rsidRDefault="0028402C" w:rsidP="00194AB1">
      <w:pPr>
        <w:numPr>
          <w:ilvl w:val="0"/>
          <w:numId w:val="135"/>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Amélioration du cadre vie des populations ;</w:t>
      </w:r>
    </w:p>
    <w:p w14:paraId="3B0A85E6" w14:textId="77777777" w:rsidR="0028402C" w:rsidRPr="00260790" w:rsidRDefault="0028402C" w:rsidP="00194AB1">
      <w:pPr>
        <w:numPr>
          <w:ilvl w:val="0"/>
          <w:numId w:val="135"/>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Amélioration de l’occupation et de la gestion de l’espace ;</w:t>
      </w:r>
    </w:p>
    <w:p w14:paraId="1DBF955C" w14:textId="77777777" w:rsidR="0028402C" w:rsidRPr="00260790" w:rsidRDefault="0028402C" w:rsidP="00194AB1">
      <w:pPr>
        <w:numPr>
          <w:ilvl w:val="0"/>
          <w:numId w:val="135"/>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Contribution à la lutte contre la vulnérabilité et au renforcement de la résilience des populations des communes de Keur Massar Sud, </w:t>
      </w:r>
      <w:proofErr w:type="spellStart"/>
      <w:r w:rsidRPr="00260790">
        <w:rPr>
          <w:rFonts w:ascii="Times New Roman" w:hAnsi="Times New Roman"/>
          <w:color w:val="000000" w:themeColor="text1"/>
        </w:rPr>
        <w:t>Jaxaay</w:t>
      </w:r>
      <w:proofErr w:type="spellEnd"/>
      <w:r w:rsidRPr="00260790">
        <w:rPr>
          <w:rFonts w:ascii="Times New Roman" w:hAnsi="Times New Roman"/>
          <w:color w:val="000000" w:themeColor="text1"/>
        </w:rPr>
        <w:t>, Mbao et Rufisque Ouest face au changement climatique ;</w:t>
      </w:r>
    </w:p>
    <w:p w14:paraId="59D1A4DD" w14:textId="1E5E6262" w:rsidR="0028402C" w:rsidRPr="00260790" w:rsidRDefault="0028402C" w:rsidP="00194AB1">
      <w:pPr>
        <w:numPr>
          <w:ilvl w:val="0"/>
          <w:numId w:val="135"/>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Baisse de la pollution </w:t>
      </w:r>
      <w:r w:rsidR="004D6419" w:rsidRPr="00260790">
        <w:rPr>
          <w:rFonts w:ascii="Times New Roman" w:hAnsi="Times New Roman"/>
          <w:color w:val="000000" w:themeColor="text1"/>
        </w:rPr>
        <w:t xml:space="preserve">après </w:t>
      </w:r>
      <w:r w:rsidRPr="00260790">
        <w:rPr>
          <w:rFonts w:ascii="Times New Roman" w:hAnsi="Times New Roman"/>
          <w:color w:val="000000" w:themeColor="text1"/>
        </w:rPr>
        <w:t>la mise en service de canaux de drainage et de bassins de rétention ;</w:t>
      </w:r>
    </w:p>
    <w:p w14:paraId="5AAEA633" w14:textId="77777777" w:rsidR="0028402C" w:rsidRPr="00260790" w:rsidRDefault="0028402C" w:rsidP="00194AB1">
      <w:pPr>
        <w:numPr>
          <w:ilvl w:val="0"/>
          <w:numId w:val="135"/>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Baisse de la recrudescence des maladies hydriques ;</w:t>
      </w:r>
    </w:p>
    <w:p w14:paraId="792ACC4A" w14:textId="77777777" w:rsidR="0028402C" w:rsidRPr="00260790" w:rsidRDefault="0028402C" w:rsidP="00194AB1">
      <w:pPr>
        <w:numPr>
          <w:ilvl w:val="0"/>
          <w:numId w:val="135"/>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Amélioration de la sécurité des riverains ;</w:t>
      </w:r>
    </w:p>
    <w:p w14:paraId="79EC23F2" w14:textId="77777777" w:rsidR="0028402C" w:rsidRPr="00260790" w:rsidRDefault="0028402C" w:rsidP="00194AB1">
      <w:pPr>
        <w:numPr>
          <w:ilvl w:val="0"/>
          <w:numId w:val="135"/>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Amélioration de la mobilité urbaine avec la réduction des risques d’inondation des routes ;</w:t>
      </w:r>
    </w:p>
    <w:p w14:paraId="732BFEDC" w14:textId="77777777" w:rsidR="0028402C" w:rsidRPr="00260790" w:rsidRDefault="0028402C" w:rsidP="00194AB1">
      <w:pPr>
        <w:numPr>
          <w:ilvl w:val="0"/>
          <w:numId w:val="135"/>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Meilleur accès des populations aux divers services socio–économiques ;</w:t>
      </w:r>
    </w:p>
    <w:p w14:paraId="79DD392D" w14:textId="77777777" w:rsidR="0028402C" w:rsidRPr="00260790" w:rsidRDefault="0028402C" w:rsidP="00194AB1">
      <w:pPr>
        <w:numPr>
          <w:ilvl w:val="0"/>
          <w:numId w:val="135"/>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Création d’emplois et d’activités génératrices de revenus pendant la phase des travaux ;</w:t>
      </w:r>
    </w:p>
    <w:p w14:paraId="36E76BE8" w14:textId="77777777" w:rsidR="0028402C" w:rsidRPr="00260790" w:rsidRDefault="0028402C" w:rsidP="00194AB1">
      <w:pPr>
        <w:numPr>
          <w:ilvl w:val="0"/>
          <w:numId w:val="135"/>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Dépollution du marigot de Mbao ;</w:t>
      </w:r>
    </w:p>
    <w:p w14:paraId="67238729" w14:textId="77777777" w:rsidR="0028402C" w:rsidRPr="00260790" w:rsidRDefault="0028402C" w:rsidP="00194AB1">
      <w:pPr>
        <w:numPr>
          <w:ilvl w:val="0"/>
          <w:numId w:val="135"/>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Amélioration du cadre de vie des riverains du marigot de Mbao.</w:t>
      </w:r>
    </w:p>
    <w:p w14:paraId="59050E9A" w14:textId="77777777" w:rsidR="0028402C" w:rsidRPr="00260790" w:rsidRDefault="0028402C" w:rsidP="00EC02E3">
      <w:pPr>
        <w:spacing w:after="0" w:line="240" w:lineRule="auto"/>
        <w:rPr>
          <w:rFonts w:ascii="Times New Roman" w:hAnsi="Times New Roman"/>
          <w:b/>
          <w:bCs/>
          <w:color w:val="000000" w:themeColor="text1"/>
        </w:rPr>
      </w:pPr>
    </w:p>
    <w:p w14:paraId="320E1A90" w14:textId="77777777" w:rsidR="0028402C" w:rsidRPr="00260790" w:rsidRDefault="0028402C" w:rsidP="001748C6">
      <w:pPr>
        <w:numPr>
          <w:ilvl w:val="0"/>
          <w:numId w:val="133"/>
        </w:numPr>
        <w:spacing w:line="240" w:lineRule="auto"/>
        <w:rPr>
          <w:rFonts w:ascii="Times New Roman" w:hAnsi="Times New Roman"/>
          <w:b/>
          <w:bCs/>
          <w:color w:val="000000" w:themeColor="text1"/>
        </w:rPr>
      </w:pPr>
      <w:r w:rsidRPr="00260790">
        <w:rPr>
          <w:rFonts w:ascii="Times New Roman" w:hAnsi="Times New Roman"/>
          <w:b/>
          <w:bCs/>
          <w:color w:val="000000" w:themeColor="text1"/>
        </w:rPr>
        <w:t>Inconvénients</w:t>
      </w:r>
    </w:p>
    <w:p w14:paraId="621DE060" w14:textId="62C03CC3" w:rsidR="0028402C" w:rsidRPr="00260790" w:rsidRDefault="0028402C" w:rsidP="00E20250">
      <w:pPr>
        <w:spacing w:line="240" w:lineRule="auto"/>
        <w:rPr>
          <w:rFonts w:ascii="Times New Roman" w:hAnsi="Times New Roman"/>
          <w:color w:val="000000" w:themeColor="text1"/>
        </w:rPr>
      </w:pPr>
      <w:r w:rsidRPr="00260790">
        <w:rPr>
          <w:rFonts w:ascii="Times New Roman" w:hAnsi="Times New Roman"/>
          <w:color w:val="000000" w:themeColor="text1"/>
        </w:rPr>
        <w:t>La situation « avec projet » ne sera pas sans incidences négati</w:t>
      </w:r>
      <w:r w:rsidR="004A7452" w:rsidRPr="00260790">
        <w:rPr>
          <w:rFonts w:ascii="Times New Roman" w:hAnsi="Times New Roman"/>
          <w:color w:val="000000" w:themeColor="text1"/>
        </w:rPr>
        <w:t>ve</w:t>
      </w:r>
      <w:r w:rsidRPr="00260790">
        <w:rPr>
          <w:rFonts w:ascii="Times New Roman" w:hAnsi="Times New Roman"/>
          <w:color w:val="000000" w:themeColor="text1"/>
        </w:rPr>
        <w:t>s.</w:t>
      </w:r>
      <w:r w:rsidRPr="00260790">
        <w:rPr>
          <w:rFonts w:ascii="Times New Roman" w:hAnsi="Times New Roman"/>
          <w:color w:val="000000" w:themeColor="text1"/>
          <w:lang w:eastAsia="fr-FR"/>
        </w:rPr>
        <w:t xml:space="preserve"> </w:t>
      </w:r>
      <w:r w:rsidRPr="00260790">
        <w:rPr>
          <w:rFonts w:ascii="Times New Roman" w:hAnsi="Times New Roman"/>
          <w:color w:val="000000" w:themeColor="text1"/>
        </w:rPr>
        <w:t xml:space="preserve">Ces inconvénients seront surtout perçus pendant la phase réalisation des travaux. Il s’agit notamment de : </w:t>
      </w:r>
    </w:p>
    <w:p w14:paraId="2F35A974" w14:textId="77777777" w:rsidR="0028402C" w:rsidRPr="00260790" w:rsidRDefault="0028402C" w:rsidP="00194AB1">
      <w:pPr>
        <w:numPr>
          <w:ilvl w:val="0"/>
          <w:numId w:val="137"/>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Modification du paysage par la présence physique des installations ;</w:t>
      </w:r>
    </w:p>
    <w:p w14:paraId="38B2942B" w14:textId="77777777" w:rsidR="0028402C" w:rsidRPr="00260790" w:rsidRDefault="0028402C" w:rsidP="00194AB1">
      <w:pPr>
        <w:numPr>
          <w:ilvl w:val="0"/>
          <w:numId w:val="136"/>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Risques d’inondations en cas de retard ou de mauvaise planification des ouvrages ;</w:t>
      </w:r>
    </w:p>
    <w:p w14:paraId="35EB04F9" w14:textId="77777777" w:rsidR="0028402C" w:rsidRPr="00260790" w:rsidRDefault="0028402C" w:rsidP="00194AB1">
      <w:pPr>
        <w:numPr>
          <w:ilvl w:val="0"/>
          <w:numId w:val="136"/>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Pollution et nuisances sonores pendant la phase de réalisation du projet ;</w:t>
      </w:r>
    </w:p>
    <w:p w14:paraId="142A85A6" w14:textId="77777777" w:rsidR="0028402C" w:rsidRPr="00260790" w:rsidRDefault="0028402C" w:rsidP="00194AB1">
      <w:pPr>
        <w:numPr>
          <w:ilvl w:val="0"/>
          <w:numId w:val="136"/>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Risques sanitaires et sécuritaires pendant les travaux ;</w:t>
      </w:r>
    </w:p>
    <w:p w14:paraId="3E55E5D4" w14:textId="77777777" w:rsidR="0028402C" w:rsidRPr="00260790" w:rsidRDefault="0028402C" w:rsidP="00194AB1">
      <w:pPr>
        <w:numPr>
          <w:ilvl w:val="0"/>
          <w:numId w:val="136"/>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Pertes de biens et déplacement de populations pour libérer les emprises ;</w:t>
      </w:r>
    </w:p>
    <w:p w14:paraId="005EDC86" w14:textId="77777777" w:rsidR="0028402C" w:rsidRPr="00260790" w:rsidRDefault="0028402C" w:rsidP="00194AB1">
      <w:pPr>
        <w:numPr>
          <w:ilvl w:val="0"/>
          <w:numId w:val="136"/>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Dégradation d’infrastructures routières et perturbation de la mobilité ; </w:t>
      </w:r>
    </w:p>
    <w:p w14:paraId="523EA060" w14:textId="77777777" w:rsidR="0028402C" w:rsidRPr="00260790" w:rsidRDefault="0028402C" w:rsidP="00194AB1">
      <w:pPr>
        <w:numPr>
          <w:ilvl w:val="0"/>
          <w:numId w:val="136"/>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Risque d’entrave à la mobilité et d’accident au cours de la phase de réalisation du projet ;</w:t>
      </w:r>
    </w:p>
    <w:p w14:paraId="479B5659" w14:textId="77777777" w:rsidR="0028402C" w:rsidRPr="00260790" w:rsidRDefault="0028402C" w:rsidP="00194AB1">
      <w:pPr>
        <w:numPr>
          <w:ilvl w:val="0"/>
          <w:numId w:val="136"/>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Risques de noyade dans les bassins de rétention et les grands canaux s’ils ne sont pas suffisamment protégés (signalisations, éclairage, gardiennage, sensibilisation, etc.) ;</w:t>
      </w:r>
    </w:p>
    <w:p w14:paraId="2D4C6388" w14:textId="77777777" w:rsidR="0028402C" w:rsidRPr="00260790" w:rsidRDefault="0028402C" w:rsidP="00194AB1">
      <w:pPr>
        <w:numPr>
          <w:ilvl w:val="0"/>
          <w:numId w:val="136"/>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Coupe d’arbres et perte d’habitats dans les emprises des bassins ;</w:t>
      </w:r>
    </w:p>
    <w:p w14:paraId="66933205" w14:textId="77777777" w:rsidR="0028402C" w:rsidRPr="00260790" w:rsidRDefault="0028402C" w:rsidP="00194AB1">
      <w:pPr>
        <w:numPr>
          <w:ilvl w:val="0"/>
          <w:numId w:val="136"/>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Perturbations de l’avifaune et/ou risque de migration des oiseaux dans le marigot de Mbao.</w:t>
      </w:r>
    </w:p>
    <w:p w14:paraId="37F2CCF3" w14:textId="77777777" w:rsidR="0028402C" w:rsidRPr="00260790" w:rsidRDefault="0028402C" w:rsidP="007903CC">
      <w:pPr>
        <w:spacing w:after="0" w:line="240" w:lineRule="auto"/>
        <w:rPr>
          <w:rFonts w:ascii="Times New Roman" w:hAnsi="Times New Roman"/>
          <w:color w:val="000000" w:themeColor="text1"/>
        </w:rPr>
      </w:pPr>
    </w:p>
    <w:p w14:paraId="78AD45AA" w14:textId="77777777" w:rsidR="0028402C" w:rsidRPr="00260790" w:rsidRDefault="0028402C" w:rsidP="001748C6">
      <w:pPr>
        <w:numPr>
          <w:ilvl w:val="0"/>
          <w:numId w:val="133"/>
        </w:numPr>
        <w:spacing w:line="240" w:lineRule="auto"/>
        <w:rPr>
          <w:rFonts w:ascii="Times New Roman" w:hAnsi="Times New Roman"/>
          <w:b/>
          <w:bCs/>
          <w:color w:val="000000" w:themeColor="text1"/>
        </w:rPr>
      </w:pPr>
      <w:r w:rsidRPr="00260790">
        <w:rPr>
          <w:rFonts w:ascii="Times New Roman" w:hAnsi="Times New Roman"/>
          <w:b/>
          <w:bCs/>
          <w:color w:val="000000" w:themeColor="text1"/>
        </w:rPr>
        <w:t>Conclusion :</w:t>
      </w:r>
    </w:p>
    <w:p w14:paraId="2A567E39" w14:textId="77777777" w:rsidR="0028402C" w:rsidRPr="00260790" w:rsidRDefault="0028402C"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L’option « Avec Projet » est vivement recommandée. Malgré les impacts négatifs enregistrés, elle présente des atouts majeurs pour le développement environnemental, social et économique dans la zone du projet. Les impacts négatifs enregistrés seront pris en compte</w:t>
      </w:r>
      <w:r w:rsidRPr="00260790">
        <w:rPr>
          <w:rFonts w:ascii="Times New Roman" w:hAnsi="Times New Roman"/>
          <w:color w:val="000000" w:themeColor="text1"/>
          <w:lang w:bidi="en-US"/>
        </w:rPr>
        <w:t xml:space="preserve"> </w:t>
      </w:r>
      <w:r w:rsidRPr="00260790">
        <w:rPr>
          <w:rFonts w:ascii="Times New Roman" w:hAnsi="Times New Roman"/>
          <w:color w:val="000000" w:themeColor="text1"/>
        </w:rPr>
        <w:t xml:space="preserve">dans le Plan de Gestion Environnementale et Sociale (PGES). </w:t>
      </w:r>
    </w:p>
    <w:p w14:paraId="53352719" w14:textId="77777777" w:rsidR="0028402C" w:rsidRPr="00260790" w:rsidRDefault="0028402C" w:rsidP="001748C6">
      <w:pPr>
        <w:pStyle w:val="Normaltableau0"/>
        <w:numPr>
          <w:ilvl w:val="1"/>
          <w:numId w:val="139"/>
        </w:numPr>
        <w:outlineLvl w:val="1"/>
        <w:rPr>
          <w:rFonts w:ascii="Times New Roman" w:hAnsi="Times New Roman"/>
          <w:b/>
          <w:bCs/>
          <w:sz w:val="22"/>
          <w:szCs w:val="22"/>
        </w:rPr>
      </w:pPr>
      <w:bookmarkStart w:id="586" w:name="_Toc212725127"/>
      <w:r w:rsidRPr="00260790">
        <w:rPr>
          <w:rFonts w:ascii="Times New Roman" w:hAnsi="Times New Roman"/>
          <w:b/>
          <w:bCs/>
          <w:sz w:val="22"/>
          <w:szCs w:val="22"/>
        </w:rPr>
        <w:t>Analyse descriptive des variantes</w:t>
      </w:r>
      <w:bookmarkEnd w:id="586"/>
    </w:p>
    <w:p w14:paraId="3929D47B" w14:textId="77777777" w:rsidR="0028402C" w:rsidRPr="00260790" w:rsidRDefault="0028402C" w:rsidP="00E20250">
      <w:pPr>
        <w:spacing w:line="240" w:lineRule="auto"/>
        <w:rPr>
          <w:rFonts w:ascii="Times New Roman" w:hAnsi="Times New Roman"/>
          <w:color w:val="000000" w:themeColor="text1"/>
        </w:rPr>
      </w:pPr>
      <w:r w:rsidRPr="00260790">
        <w:rPr>
          <w:rFonts w:ascii="Times New Roman" w:hAnsi="Times New Roman"/>
          <w:color w:val="000000" w:themeColor="text1"/>
        </w:rPr>
        <w:t>Le projet présente des variantes techniques et des variantes du tracé du réseau de collecteurs.</w:t>
      </w:r>
    </w:p>
    <w:p w14:paraId="14C949D4" w14:textId="504038DF" w:rsidR="0028402C" w:rsidRPr="00260790" w:rsidRDefault="0028402C" w:rsidP="001748C6">
      <w:pPr>
        <w:pStyle w:val="Paragraphedeliste"/>
        <w:numPr>
          <w:ilvl w:val="2"/>
          <w:numId w:val="347"/>
        </w:numPr>
        <w:spacing w:line="240" w:lineRule="auto"/>
        <w:rPr>
          <w:rFonts w:ascii="Times New Roman" w:hAnsi="Times New Roman"/>
          <w:b/>
          <w:bCs/>
          <w:color w:val="000000" w:themeColor="text1"/>
        </w:rPr>
      </w:pPr>
      <w:r w:rsidRPr="00260790">
        <w:rPr>
          <w:rFonts w:ascii="Times New Roman" w:hAnsi="Times New Roman"/>
          <w:b/>
          <w:bCs/>
          <w:color w:val="000000" w:themeColor="text1"/>
        </w:rPr>
        <w:t>Variantes techniques</w:t>
      </w:r>
    </w:p>
    <w:p w14:paraId="09220703" w14:textId="0200DB25" w:rsidR="0028402C" w:rsidRPr="00260790" w:rsidRDefault="0028402C"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Afin de mettre en œuvre un système d’assainissement pluvial plus adéquat au cadre de vie de la population des </w:t>
      </w:r>
      <w:r w:rsidR="005A15BE">
        <w:rPr>
          <w:rFonts w:ascii="Times New Roman" w:hAnsi="Times New Roman"/>
          <w:color w:val="000000" w:themeColor="text1"/>
        </w:rPr>
        <w:t>C</w:t>
      </w:r>
      <w:r w:rsidRPr="00260790">
        <w:rPr>
          <w:rFonts w:ascii="Times New Roman" w:hAnsi="Times New Roman"/>
          <w:color w:val="000000" w:themeColor="text1"/>
        </w:rPr>
        <w:t xml:space="preserve">ommunes de Keur Massar Sud, </w:t>
      </w:r>
      <w:proofErr w:type="spellStart"/>
      <w:r w:rsidRPr="00260790">
        <w:rPr>
          <w:rFonts w:ascii="Times New Roman" w:hAnsi="Times New Roman"/>
          <w:color w:val="000000" w:themeColor="text1"/>
        </w:rPr>
        <w:t>Jaxaay</w:t>
      </w:r>
      <w:proofErr w:type="spellEnd"/>
      <w:r w:rsidRPr="00260790">
        <w:rPr>
          <w:rFonts w:ascii="Times New Roman" w:hAnsi="Times New Roman"/>
          <w:color w:val="000000" w:themeColor="text1"/>
        </w:rPr>
        <w:t>, Mbao et Rufisque Ouest, le projet présente deux variantes techniques de collecte des eaux pluviales. Il s’agit de la mise en place d’un réseau de drainage gravitaire ou un drainage avec stations de pompage.</w:t>
      </w:r>
    </w:p>
    <w:p w14:paraId="0CF12B0C" w14:textId="77777777" w:rsidR="007903CC" w:rsidRPr="00260790" w:rsidRDefault="007903CC">
      <w:pPr>
        <w:spacing w:line="259" w:lineRule="auto"/>
        <w:rPr>
          <w:rFonts w:ascii="Times New Roman" w:hAnsi="Times New Roman"/>
          <w:b/>
          <w:bCs/>
          <w:color w:val="000000" w:themeColor="text1"/>
        </w:rPr>
      </w:pPr>
      <w:bookmarkStart w:id="587" w:name="_Toc131592044"/>
      <w:r w:rsidRPr="00260790">
        <w:rPr>
          <w:rFonts w:ascii="Times New Roman" w:hAnsi="Times New Roman"/>
          <w:b/>
          <w:bCs/>
          <w:color w:val="000000" w:themeColor="text1"/>
        </w:rPr>
        <w:br w:type="page"/>
      </w:r>
    </w:p>
    <w:p w14:paraId="7973AC05" w14:textId="29D2897C" w:rsidR="0028402C" w:rsidRPr="00260790" w:rsidRDefault="0028402C" w:rsidP="00E20250">
      <w:pPr>
        <w:numPr>
          <w:ilvl w:val="3"/>
          <w:numId w:val="0"/>
        </w:numPr>
        <w:spacing w:line="240" w:lineRule="auto"/>
        <w:ind w:left="720" w:hanging="720"/>
        <w:rPr>
          <w:rFonts w:ascii="Times New Roman" w:hAnsi="Times New Roman"/>
          <w:b/>
          <w:bCs/>
          <w:color w:val="000000" w:themeColor="text1"/>
        </w:rPr>
      </w:pPr>
      <w:r w:rsidRPr="00260790">
        <w:rPr>
          <w:rFonts w:ascii="Times New Roman" w:hAnsi="Times New Roman"/>
          <w:b/>
          <w:bCs/>
          <w:color w:val="000000" w:themeColor="text1"/>
        </w:rPr>
        <w:lastRenderedPageBreak/>
        <w:t>Système de drainage gravitaire</w:t>
      </w:r>
      <w:bookmarkEnd w:id="587"/>
    </w:p>
    <w:p w14:paraId="659B22EA" w14:textId="77777777" w:rsidR="0028402C" w:rsidRPr="00260790" w:rsidRDefault="0028402C"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Les collecteurs sont établis à travers un réseau de drainage gravitaire. Par définition, un réseau est dit gravitaire lorsque les effluents circulent de haut en bas grâce à la pente de la canalisation et sous l'effet de la gravité pour assurer l’évacuation de l’ensemble des eaux pluviales et leur rejet dans les exutoires naturels. Les collecteurs, ainsi établis, procureront des avantages et des inconvénients aussi bien pour l’environnement, le social et l’économie.</w:t>
      </w:r>
    </w:p>
    <w:p w14:paraId="0B9768D1" w14:textId="77777777" w:rsidR="0028402C" w:rsidRPr="00260790" w:rsidRDefault="0028402C" w:rsidP="001748C6">
      <w:pPr>
        <w:numPr>
          <w:ilvl w:val="0"/>
          <w:numId w:val="133"/>
        </w:numPr>
        <w:spacing w:line="240" w:lineRule="auto"/>
        <w:rPr>
          <w:rFonts w:ascii="Times New Roman" w:hAnsi="Times New Roman"/>
          <w:b/>
          <w:color w:val="000000" w:themeColor="text1"/>
        </w:rPr>
      </w:pPr>
      <w:r w:rsidRPr="00260790">
        <w:rPr>
          <w:rFonts w:ascii="Times New Roman" w:hAnsi="Times New Roman"/>
          <w:b/>
          <w:color w:val="000000" w:themeColor="text1"/>
        </w:rPr>
        <w:t xml:space="preserve">Avantages </w:t>
      </w:r>
    </w:p>
    <w:p w14:paraId="4A9CCC6D" w14:textId="77777777"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Collecte et évacuation rapide de grandes quantités d’eaux pluviales en un temps réduit ;</w:t>
      </w:r>
    </w:p>
    <w:p w14:paraId="7C5B5BC5" w14:textId="77777777"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 xml:space="preserve">Rabattement significatif de la nappe ; </w:t>
      </w:r>
    </w:p>
    <w:p w14:paraId="57DC7D2A" w14:textId="77777777"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 xml:space="preserve">Collecte efficace des eaux de ruissellement se situant le long des ouvrages de drainage ; </w:t>
      </w:r>
    </w:p>
    <w:p w14:paraId="40BAA3FA" w14:textId="03E7F60F"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Bonne continuité de l’écoulement des eaux de pluie ;</w:t>
      </w:r>
    </w:p>
    <w:p w14:paraId="533180FD" w14:textId="77777777"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Coûts d’exploitation et de fonctionnement nul ;</w:t>
      </w:r>
    </w:p>
    <w:p w14:paraId="2D2E5B94" w14:textId="77777777"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Fonction de stockage et de régulation des eaux drainées ;</w:t>
      </w:r>
    </w:p>
    <w:p w14:paraId="667C054B" w14:textId="74D76288"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Création d’emplois (recrutement intensif de la main</w:t>
      </w:r>
      <w:r w:rsidR="00F32B75" w:rsidRPr="00260790">
        <w:rPr>
          <w:rFonts w:ascii="Times New Roman" w:hAnsi="Times New Roman"/>
          <w:color w:val="000000" w:themeColor="text1"/>
        </w:rPr>
        <w:t>-</w:t>
      </w:r>
      <w:r w:rsidRPr="00260790">
        <w:rPr>
          <w:rFonts w:ascii="Times New Roman" w:hAnsi="Times New Roman"/>
          <w:color w:val="000000" w:themeColor="text1"/>
        </w:rPr>
        <w:t>d’œuvre locale lors des travaux) et d’activités économiques sources de revenus (restauration, vente de produits de première nécessité) autour des chantiers ;</w:t>
      </w:r>
    </w:p>
    <w:p w14:paraId="3EE407DB" w14:textId="77777777"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Durabilité des ouvrages (entretien et maintenance plus facile à assurer) ;</w:t>
      </w:r>
    </w:p>
    <w:p w14:paraId="4D0E2ED4" w14:textId="77777777"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Lutte contre les inondations des quartiers avec un système de canalisation secondaire et tertiaire qui permet de prendre en charge les points bas disséminés dans les quartiers.</w:t>
      </w:r>
    </w:p>
    <w:p w14:paraId="342765CA" w14:textId="77777777" w:rsidR="0028402C" w:rsidRPr="00260790" w:rsidRDefault="0028402C" w:rsidP="007903CC">
      <w:pPr>
        <w:spacing w:after="0" w:line="240" w:lineRule="auto"/>
        <w:rPr>
          <w:rFonts w:ascii="Times New Roman" w:hAnsi="Times New Roman"/>
          <w:color w:val="000000" w:themeColor="text1"/>
        </w:rPr>
      </w:pPr>
    </w:p>
    <w:p w14:paraId="6678CA00" w14:textId="77777777" w:rsidR="0028402C" w:rsidRPr="00260790" w:rsidRDefault="0028402C" w:rsidP="001748C6">
      <w:pPr>
        <w:numPr>
          <w:ilvl w:val="0"/>
          <w:numId w:val="133"/>
        </w:numPr>
        <w:spacing w:line="240" w:lineRule="auto"/>
        <w:rPr>
          <w:rFonts w:ascii="Times New Roman" w:hAnsi="Times New Roman"/>
          <w:b/>
          <w:color w:val="000000" w:themeColor="text1"/>
        </w:rPr>
      </w:pPr>
      <w:r w:rsidRPr="00260790">
        <w:rPr>
          <w:rFonts w:ascii="Times New Roman" w:hAnsi="Times New Roman"/>
          <w:b/>
          <w:color w:val="000000" w:themeColor="text1"/>
        </w:rPr>
        <w:t>Inconvénients</w:t>
      </w:r>
    </w:p>
    <w:p w14:paraId="42EA571D" w14:textId="77777777"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Nuisance sonore pendant la phase des travaux ;</w:t>
      </w:r>
    </w:p>
    <w:p w14:paraId="331CC9B4" w14:textId="77777777"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 xml:space="preserve">Durée d’exécution plus longue ; </w:t>
      </w:r>
    </w:p>
    <w:p w14:paraId="7272D3E2" w14:textId="561AA928"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Difficulté</w:t>
      </w:r>
      <w:r w:rsidR="00E70E5E" w:rsidRPr="00260790">
        <w:rPr>
          <w:rFonts w:ascii="Times New Roman" w:hAnsi="Times New Roman"/>
          <w:color w:val="000000" w:themeColor="text1"/>
        </w:rPr>
        <w:t>s</w:t>
      </w:r>
      <w:r w:rsidRPr="00260790">
        <w:rPr>
          <w:rFonts w:ascii="Times New Roman" w:hAnsi="Times New Roman"/>
          <w:color w:val="000000" w:themeColor="text1"/>
        </w:rPr>
        <w:t xml:space="preserve"> d’exécution en milieu urbain ; </w:t>
      </w:r>
    </w:p>
    <w:p w14:paraId="3A37689B" w14:textId="46184456"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 xml:space="preserve">Besoin </w:t>
      </w:r>
      <w:r w:rsidR="00E70E5E" w:rsidRPr="00260790">
        <w:rPr>
          <w:rFonts w:ascii="Times New Roman" w:hAnsi="Times New Roman"/>
          <w:color w:val="000000" w:themeColor="text1"/>
        </w:rPr>
        <w:t>important de libération d’</w:t>
      </w:r>
      <w:r w:rsidRPr="00260790">
        <w:rPr>
          <w:rFonts w:ascii="Times New Roman" w:hAnsi="Times New Roman"/>
          <w:color w:val="000000" w:themeColor="text1"/>
        </w:rPr>
        <w:t>emprises pour la mise en œuvre</w:t>
      </w:r>
      <w:r w:rsidR="00E70E5E" w:rsidRPr="00260790">
        <w:rPr>
          <w:rFonts w:ascii="Times New Roman" w:hAnsi="Times New Roman"/>
          <w:color w:val="000000" w:themeColor="text1"/>
        </w:rPr>
        <w:t> ;</w:t>
      </w:r>
    </w:p>
    <w:p w14:paraId="5F8EFBD1" w14:textId="763A579A" w:rsidR="00E70E5E" w:rsidRPr="00260790" w:rsidRDefault="00E70E5E"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 xml:space="preserve">Risques de mauvaise gestion et utilisation des bassins avec </w:t>
      </w:r>
      <w:r w:rsidR="00557ACA" w:rsidRPr="00260790">
        <w:rPr>
          <w:rFonts w:ascii="Times New Roman" w:hAnsi="Times New Roman"/>
          <w:color w:val="000000" w:themeColor="text1"/>
        </w:rPr>
        <w:t xml:space="preserve">les branchements clandestins EU et </w:t>
      </w:r>
      <w:r w:rsidRPr="00260790">
        <w:rPr>
          <w:rFonts w:ascii="Times New Roman" w:hAnsi="Times New Roman"/>
          <w:color w:val="000000" w:themeColor="text1"/>
        </w:rPr>
        <w:t>la prolifération du typha</w:t>
      </w:r>
      <w:r w:rsidR="00557ACA" w:rsidRPr="00260790">
        <w:rPr>
          <w:rFonts w:ascii="Times New Roman" w:hAnsi="Times New Roman"/>
          <w:color w:val="000000" w:themeColor="text1"/>
        </w:rPr>
        <w:t> ;</w:t>
      </w:r>
    </w:p>
    <w:p w14:paraId="39F73F87" w14:textId="515B22AC" w:rsidR="00557ACA" w:rsidRPr="00260790" w:rsidRDefault="00557ACA"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Absence d’entretien sommaire des bassins par les comités locaux ;</w:t>
      </w:r>
    </w:p>
    <w:p w14:paraId="0498E39B" w14:textId="03DE9DF8" w:rsidR="00557ACA" w:rsidRPr="00260790" w:rsidRDefault="00557ACA"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Bassins transformés en dépotoirs d’ordures ;</w:t>
      </w:r>
    </w:p>
    <w:p w14:paraId="552DEBC4" w14:textId="442E2969" w:rsidR="00D201A6" w:rsidRPr="00260790" w:rsidRDefault="00D201A6"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 xml:space="preserve">Non respects des mesures de transfert par l’ONAS en charge de la maintenance </w:t>
      </w:r>
      <w:r w:rsidR="003B68C1" w:rsidRPr="00260790">
        <w:rPr>
          <w:rFonts w:ascii="Times New Roman" w:hAnsi="Times New Roman"/>
          <w:color w:val="000000" w:themeColor="text1"/>
        </w:rPr>
        <w:t>après Projet.</w:t>
      </w:r>
    </w:p>
    <w:p w14:paraId="7AB4E489" w14:textId="77777777" w:rsidR="0028402C" w:rsidRPr="00260790" w:rsidRDefault="0028402C" w:rsidP="00E20250">
      <w:pPr>
        <w:spacing w:after="0" w:line="240" w:lineRule="auto"/>
        <w:ind w:left="720"/>
        <w:rPr>
          <w:rFonts w:ascii="Times New Roman" w:hAnsi="Times New Roman"/>
          <w:color w:val="000000" w:themeColor="text1"/>
        </w:rPr>
      </w:pPr>
    </w:p>
    <w:p w14:paraId="08B060FF" w14:textId="77777777" w:rsidR="0028402C" w:rsidRPr="00260790" w:rsidRDefault="0028402C" w:rsidP="00E20250">
      <w:pPr>
        <w:numPr>
          <w:ilvl w:val="3"/>
          <w:numId w:val="0"/>
        </w:numPr>
        <w:spacing w:line="240" w:lineRule="auto"/>
        <w:ind w:left="720" w:hanging="720"/>
        <w:rPr>
          <w:rFonts w:ascii="Times New Roman" w:hAnsi="Times New Roman"/>
          <w:b/>
          <w:bCs/>
          <w:color w:val="000000" w:themeColor="text1"/>
        </w:rPr>
      </w:pPr>
      <w:bookmarkStart w:id="588" w:name="_Toc131592045"/>
      <w:r w:rsidRPr="00260790">
        <w:rPr>
          <w:rFonts w:ascii="Times New Roman" w:hAnsi="Times New Roman"/>
          <w:b/>
          <w:bCs/>
          <w:color w:val="000000" w:themeColor="text1"/>
        </w:rPr>
        <w:t>Système de drainage avec des stations de pompage</w:t>
      </w:r>
      <w:bookmarkEnd w:id="588"/>
    </w:p>
    <w:p w14:paraId="7185C89C" w14:textId="77777777" w:rsidR="0028402C" w:rsidRPr="00260790" w:rsidRDefault="0028402C" w:rsidP="00E20250">
      <w:pPr>
        <w:spacing w:line="240" w:lineRule="auto"/>
        <w:jc w:val="both"/>
        <w:rPr>
          <w:rFonts w:ascii="Times New Roman" w:hAnsi="Times New Roman"/>
          <w:bCs/>
          <w:color w:val="000000" w:themeColor="text1"/>
        </w:rPr>
      </w:pPr>
      <w:r w:rsidRPr="00260790">
        <w:rPr>
          <w:rFonts w:ascii="Times New Roman" w:hAnsi="Times New Roman"/>
          <w:bCs/>
          <w:color w:val="000000" w:themeColor="text1"/>
        </w:rPr>
        <w:t xml:space="preserve">Afin de favoriser un drainage rapide et efficient des eaux pluviales, chaque bassin de rétention doit être doté d’une station de pompage. Ces stations de pompage auront des effets positifs et des effets négatifs. </w:t>
      </w:r>
    </w:p>
    <w:p w14:paraId="346E0ECB" w14:textId="77777777" w:rsidR="0028402C" w:rsidRPr="00260790" w:rsidRDefault="0028402C" w:rsidP="001748C6">
      <w:pPr>
        <w:numPr>
          <w:ilvl w:val="0"/>
          <w:numId w:val="133"/>
        </w:numPr>
        <w:spacing w:line="240" w:lineRule="auto"/>
        <w:rPr>
          <w:rFonts w:ascii="Times New Roman" w:hAnsi="Times New Roman"/>
          <w:b/>
          <w:color w:val="000000" w:themeColor="text1"/>
        </w:rPr>
      </w:pPr>
      <w:r w:rsidRPr="00260790">
        <w:rPr>
          <w:rFonts w:ascii="Times New Roman" w:hAnsi="Times New Roman"/>
          <w:b/>
          <w:color w:val="000000" w:themeColor="text1"/>
        </w:rPr>
        <w:t>Effets positifs</w:t>
      </w:r>
    </w:p>
    <w:p w14:paraId="7D3A60FA" w14:textId="77777777"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 xml:space="preserve">Fonctionnement simple demandant peu d'entretien et de contrôle ; </w:t>
      </w:r>
    </w:p>
    <w:p w14:paraId="43A751DA" w14:textId="77777777"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Durée d’exécution courte ;</w:t>
      </w:r>
    </w:p>
    <w:p w14:paraId="04FBFBEE" w14:textId="77777777"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Moins de contraintes d’exécution ;</w:t>
      </w:r>
    </w:p>
    <w:p w14:paraId="51FC83DF" w14:textId="77777777"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Besoin réduit en emprise foncière ;</w:t>
      </w:r>
    </w:p>
    <w:p w14:paraId="5F5BD482" w14:textId="77777777"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Avantage hydraulique en cas de pompage.</w:t>
      </w:r>
    </w:p>
    <w:p w14:paraId="60F4588A" w14:textId="77777777" w:rsidR="0028402C" w:rsidRPr="00260790" w:rsidRDefault="0028402C" w:rsidP="007903CC">
      <w:pPr>
        <w:spacing w:after="0" w:line="240" w:lineRule="auto"/>
        <w:rPr>
          <w:rFonts w:ascii="Times New Roman" w:hAnsi="Times New Roman"/>
          <w:color w:val="000000" w:themeColor="text1"/>
        </w:rPr>
      </w:pPr>
    </w:p>
    <w:p w14:paraId="18F593C1" w14:textId="77777777" w:rsidR="0028402C" w:rsidRPr="00260790" w:rsidRDefault="0028402C" w:rsidP="001748C6">
      <w:pPr>
        <w:numPr>
          <w:ilvl w:val="0"/>
          <w:numId w:val="133"/>
        </w:numPr>
        <w:spacing w:line="240" w:lineRule="auto"/>
        <w:rPr>
          <w:rFonts w:ascii="Times New Roman" w:hAnsi="Times New Roman"/>
          <w:b/>
          <w:color w:val="000000" w:themeColor="text1"/>
        </w:rPr>
      </w:pPr>
      <w:r w:rsidRPr="00260790">
        <w:rPr>
          <w:rFonts w:ascii="Times New Roman" w:hAnsi="Times New Roman"/>
          <w:b/>
          <w:color w:val="000000" w:themeColor="text1"/>
        </w:rPr>
        <w:t xml:space="preserve">Effets négatifs </w:t>
      </w:r>
    </w:p>
    <w:p w14:paraId="203222FD" w14:textId="77777777"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Coût de fonctionnement très élevé en énergie ;</w:t>
      </w:r>
    </w:p>
    <w:p w14:paraId="3E750F83" w14:textId="77777777"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Coûts d'investissement et coûts d’exploitation élevés (carburant, électricité, prise en charge du personnel et autres charges de fonctionnement des stations de pompage) ;</w:t>
      </w:r>
    </w:p>
    <w:p w14:paraId="2BE0F8FF" w14:textId="77777777"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 xml:space="preserve">Entretien et renouvellement des matériels électromécaniques plus coûteux ; </w:t>
      </w:r>
    </w:p>
    <w:p w14:paraId="70BD1165" w14:textId="2C0277C0"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 xml:space="preserve">Collecte et évacuation des eaux de pluie réduites ; </w:t>
      </w:r>
    </w:p>
    <w:p w14:paraId="205149D4" w14:textId="290A1B5D" w:rsidR="0028402C" w:rsidRPr="00260790" w:rsidRDefault="004D6419"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Pas</w:t>
      </w:r>
      <w:r w:rsidR="0028402C" w:rsidRPr="00260790">
        <w:rPr>
          <w:rFonts w:ascii="Times New Roman" w:hAnsi="Times New Roman"/>
          <w:color w:val="000000" w:themeColor="text1"/>
        </w:rPr>
        <w:t xml:space="preserve"> de possibilité de rabattre la nappe ;</w:t>
      </w:r>
    </w:p>
    <w:p w14:paraId="698A007C" w14:textId="77777777"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 xml:space="preserve">Débordement rapide des stations de pompage ; </w:t>
      </w:r>
    </w:p>
    <w:p w14:paraId="6E419745" w14:textId="77777777"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Difficultés de renouvellement des ouvrages eu égard au coût d’investissement élevé ;</w:t>
      </w:r>
    </w:p>
    <w:p w14:paraId="6555266E" w14:textId="77777777"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lastRenderedPageBreak/>
        <w:t>Nécessité d’un prétraitement efficace de l’eau ;</w:t>
      </w:r>
    </w:p>
    <w:p w14:paraId="0EB02740" w14:textId="75B8D8CA"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 xml:space="preserve">Pas de possibilité de prise en charge des zones se situant le long du collecteur de refoulement ; </w:t>
      </w:r>
    </w:p>
    <w:p w14:paraId="16DE7B33" w14:textId="77777777"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Source de développement d'insectes (en cas de conception et/ou d'exploitation défectueuse) ;</w:t>
      </w:r>
    </w:p>
    <w:p w14:paraId="702908CC" w14:textId="77777777"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Stabilisation des boues supplémentaires et génération de déchets avec des nuisances ;</w:t>
      </w:r>
    </w:p>
    <w:p w14:paraId="71437FEE" w14:textId="77777777"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Risque d’inondation en cas de dysfonctionnement ;</w:t>
      </w:r>
    </w:p>
    <w:p w14:paraId="458FB72F" w14:textId="77777777" w:rsidR="0028402C" w:rsidRPr="00260790" w:rsidRDefault="0028402C" w:rsidP="001748C6">
      <w:pPr>
        <w:numPr>
          <w:ilvl w:val="1"/>
          <w:numId w:val="73"/>
        </w:numPr>
        <w:spacing w:after="0" w:line="240" w:lineRule="auto"/>
        <w:ind w:left="720"/>
        <w:rPr>
          <w:rFonts w:ascii="Times New Roman" w:hAnsi="Times New Roman"/>
          <w:color w:val="000000" w:themeColor="text1"/>
        </w:rPr>
      </w:pPr>
      <w:r w:rsidRPr="00260790">
        <w:rPr>
          <w:rFonts w:ascii="Times New Roman" w:hAnsi="Times New Roman"/>
          <w:color w:val="000000" w:themeColor="text1"/>
        </w:rPr>
        <w:t>Acceptabilité sociale risquée par défaut d’expérience réussie dans ce domaine.</w:t>
      </w:r>
    </w:p>
    <w:p w14:paraId="35736B4E" w14:textId="77777777" w:rsidR="0028402C" w:rsidRPr="00260790" w:rsidRDefault="0028402C" w:rsidP="007903CC">
      <w:pPr>
        <w:spacing w:after="0" w:line="240" w:lineRule="auto"/>
        <w:rPr>
          <w:rFonts w:ascii="Times New Roman" w:hAnsi="Times New Roman"/>
          <w:color w:val="000000" w:themeColor="text1"/>
        </w:rPr>
      </w:pPr>
    </w:p>
    <w:p w14:paraId="27E85206" w14:textId="77777777" w:rsidR="0028402C" w:rsidRPr="00260790" w:rsidRDefault="0028402C" w:rsidP="00E20250">
      <w:pPr>
        <w:spacing w:line="240" w:lineRule="auto"/>
        <w:rPr>
          <w:rFonts w:ascii="Times New Roman" w:hAnsi="Times New Roman"/>
          <w:color w:val="000000" w:themeColor="text1"/>
        </w:rPr>
      </w:pPr>
      <w:r w:rsidRPr="00260790">
        <w:rPr>
          <w:rFonts w:ascii="Times New Roman" w:hAnsi="Times New Roman"/>
          <w:b/>
          <w:bCs/>
          <w:color w:val="000000" w:themeColor="text1"/>
        </w:rPr>
        <w:t>Conclusion</w:t>
      </w:r>
      <w:r w:rsidRPr="00260790">
        <w:rPr>
          <w:rFonts w:ascii="Times New Roman" w:hAnsi="Times New Roman"/>
          <w:color w:val="000000" w:themeColor="text1"/>
        </w:rPr>
        <w:t xml:space="preserve"> : </w:t>
      </w:r>
    </w:p>
    <w:p w14:paraId="169F7CFC" w14:textId="77777777" w:rsidR="0028402C" w:rsidRPr="00260790" w:rsidRDefault="0028402C"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L’option du réseau de drainage avec des stations de pompage s’avère très coûteuse en termes d’investissements et d’exploitation et de fonctionnement, et occasionne des nuisances liées à la complexité de l’entretien et de la maintenance des ouvrages, ce qui pose un problème de leur durabilité et de leur renouvellement. En revanche, le système gravitaire (aménagement de bassins avec réseaux de canalisation) offre plus d’avantages comparatifs sur le plan des coûts d’investissement et d’exploitation. </w:t>
      </w:r>
    </w:p>
    <w:p w14:paraId="7F8A89FD" w14:textId="1F59F332" w:rsidR="0028402C" w:rsidRPr="00260790" w:rsidRDefault="0028402C"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Ainsi, la mise en œuvre du projet avec un système de drainage gravitaire constitue l’option à privilégier</w:t>
      </w:r>
      <w:r w:rsidR="006F7A0B" w:rsidRPr="00260790">
        <w:rPr>
          <w:rFonts w:ascii="Times New Roman" w:hAnsi="Times New Roman"/>
          <w:color w:val="000000" w:themeColor="text1"/>
        </w:rPr>
        <w:t>,</w:t>
      </w:r>
      <w:r w:rsidRPr="00260790">
        <w:rPr>
          <w:rFonts w:ascii="Times New Roman" w:hAnsi="Times New Roman"/>
          <w:color w:val="000000" w:themeColor="text1"/>
        </w:rPr>
        <w:t xml:space="preserve"> car il permettra d’assurer l’acceptabilité sociale du projet grâce au volet aménagements urbains (voiries, PIC, etc.) qui l’accompagne.</w:t>
      </w:r>
    </w:p>
    <w:p w14:paraId="00DCA2D4" w14:textId="77777777" w:rsidR="0028402C" w:rsidRPr="00260790" w:rsidRDefault="0028402C"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Par rapport aux impacts négatifs de cette alternative, des mesures appropriées sont proposées pour les atténuer et bonifier les impacts positifs du projet.</w:t>
      </w:r>
    </w:p>
    <w:p w14:paraId="2B5F527E" w14:textId="77777777" w:rsidR="0028402C" w:rsidRPr="00260790" w:rsidRDefault="0028402C" w:rsidP="001748C6">
      <w:pPr>
        <w:pStyle w:val="Paragraphedeliste"/>
        <w:numPr>
          <w:ilvl w:val="2"/>
          <w:numId w:val="347"/>
        </w:numPr>
        <w:spacing w:line="240" w:lineRule="auto"/>
        <w:rPr>
          <w:rFonts w:ascii="Times New Roman" w:hAnsi="Times New Roman"/>
          <w:b/>
          <w:bCs/>
          <w:color w:val="000000" w:themeColor="text1"/>
        </w:rPr>
      </w:pPr>
      <w:r w:rsidRPr="00260790">
        <w:rPr>
          <w:rFonts w:ascii="Times New Roman" w:hAnsi="Times New Roman"/>
          <w:b/>
          <w:bCs/>
          <w:color w:val="000000" w:themeColor="text1"/>
        </w:rPr>
        <w:t>Les variantes du réseau de collecteurs</w:t>
      </w:r>
    </w:p>
    <w:p w14:paraId="02EC7D73" w14:textId="77777777" w:rsidR="0028402C" w:rsidRPr="00260790" w:rsidRDefault="0028402C"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Pour favoriser un drainage efficient, deux variantes du réseau de collecteurs sont proposées. Ces variantes sont présentées sur la carte ci-dessous.</w:t>
      </w:r>
    </w:p>
    <w:p w14:paraId="24588558" w14:textId="77777777" w:rsidR="00476EC1" w:rsidRPr="00260790" w:rsidRDefault="0028402C" w:rsidP="00E20250">
      <w:pPr>
        <w:keepNext/>
        <w:spacing w:line="240" w:lineRule="auto"/>
        <w:rPr>
          <w:rFonts w:ascii="Times New Roman" w:hAnsi="Times New Roman"/>
        </w:rPr>
      </w:pPr>
      <w:r w:rsidRPr="00260790">
        <w:rPr>
          <w:rFonts w:ascii="Times New Roman" w:hAnsi="Times New Roman"/>
          <w:noProof/>
          <w:color w:val="000000" w:themeColor="text1"/>
          <w:lang w:val="en-US"/>
        </w:rPr>
        <w:drawing>
          <wp:inline distT="0" distB="0" distL="0" distR="0" wp14:anchorId="256ADBFE" wp14:editId="0070C124">
            <wp:extent cx="4926770" cy="3291031"/>
            <wp:effectExtent l="12700" t="12700" r="13970" b="11430"/>
            <wp:docPr id="805341455" name="Image 80534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cstate="email">
                      <a:extLst>
                        <a:ext uri="{28A0092B-C50C-407E-A947-70E740481C1C}">
                          <a14:useLocalDpi xmlns:a14="http://schemas.microsoft.com/office/drawing/2010/main"/>
                        </a:ext>
                      </a:extLst>
                    </a:blip>
                    <a:stretch>
                      <a:fillRect/>
                    </a:stretch>
                  </pic:blipFill>
                  <pic:spPr>
                    <a:xfrm>
                      <a:off x="0" y="0"/>
                      <a:ext cx="5002412" cy="3341559"/>
                    </a:xfrm>
                    <a:prstGeom prst="rect">
                      <a:avLst/>
                    </a:prstGeom>
                    <a:ln w="3175">
                      <a:solidFill>
                        <a:schemeClr val="tx1"/>
                      </a:solidFill>
                    </a:ln>
                  </pic:spPr>
                </pic:pic>
              </a:graphicData>
            </a:graphic>
          </wp:inline>
        </w:drawing>
      </w:r>
    </w:p>
    <w:p w14:paraId="0F0F8437" w14:textId="30D5697F" w:rsidR="0028402C" w:rsidRPr="00260790" w:rsidRDefault="00476EC1" w:rsidP="00E20250">
      <w:pPr>
        <w:pStyle w:val="Lgende"/>
        <w:spacing w:line="240" w:lineRule="auto"/>
        <w:rPr>
          <w:color w:val="000000" w:themeColor="text1"/>
          <w:sz w:val="22"/>
          <w:szCs w:val="22"/>
        </w:rPr>
      </w:pPr>
      <w:bookmarkStart w:id="589" w:name="_Toc207781978"/>
      <w:bookmarkStart w:id="590" w:name="_Toc228877407"/>
      <w:r w:rsidRPr="00260790">
        <w:rPr>
          <w:sz w:val="22"/>
          <w:szCs w:val="22"/>
        </w:rPr>
        <w:t xml:space="preserve">Figure </w:t>
      </w:r>
      <w:r w:rsidR="00D91CA7" w:rsidRPr="00260790">
        <w:rPr>
          <w:sz w:val="22"/>
          <w:szCs w:val="22"/>
        </w:rPr>
        <w:fldChar w:fldCharType="begin"/>
      </w:r>
      <w:r w:rsidR="00D91CA7" w:rsidRPr="00260790">
        <w:rPr>
          <w:sz w:val="22"/>
          <w:szCs w:val="22"/>
        </w:rPr>
        <w:instrText xml:space="preserve"> SEQ Figure \* ARABIC </w:instrText>
      </w:r>
      <w:r w:rsidR="00D91CA7" w:rsidRPr="00260790">
        <w:rPr>
          <w:sz w:val="22"/>
          <w:szCs w:val="22"/>
        </w:rPr>
        <w:fldChar w:fldCharType="separate"/>
      </w:r>
      <w:r w:rsidR="008A50C4">
        <w:rPr>
          <w:noProof/>
          <w:sz w:val="22"/>
          <w:szCs w:val="22"/>
        </w:rPr>
        <w:t>16</w:t>
      </w:r>
      <w:r w:rsidR="00D91CA7" w:rsidRPr="00260790">
        <w:rPr>
          <w:noProof/>
          <w:sz w:val="22"/>
          <w:szCs w:val="22"/>
        </w:rPr>
        <w:fldChar w:fldCharType="end"/>
      </w:r>
      <w:r w:rsidR="0028402C" w:rsidRPr="00260790">
        <w:rPr>
          <w:color w:val="000000" w:themeColor="text1"/>
          <w:sz w:val="22"/>
          <w:szCs w:val="22"/>
        </w:rPr>
        <w:t>: Localisation des variantes 1 et 2 du réseau de collecteurs</w:t>
      </w:r>
      <w:bookmarkEnd w:id="589"/>
      <w:bookmarkEnd w:id="590"/>
    </w:p>
    <w:p w14:paraId="614FEEBF" w14:textId="77777777" w:rsidR="0028402C" w:rsidRDefault="0028402C"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Dans l’optique de la mise en œuvre du projet, nous avons jugé nécessaire d’analyser ces deux variantes afin de déterminer le choix le plus approprié. Pour ce faire, une comparaison des contraintes selon des critères socio-environnementaux et technico-économiques est présentée dans le tableau ci-dessous.</w:t>
      </w:r>
    </w:p>
    <w:p w14:paraId="25978374" w14:textId="77777777" w:rsidR="0095190F" w:rsidRDefault="0095190F" w:rsidP="00E20250">
      <w:pPr>
        <w:spacing w:line="240" w:lineRule="auto"/>
        <w:jc w:val="both"/>
        <w:rPr>
          <w:rFonts w:ascii="Times New Roman" w:hAnsi="Times New Roman"/>
          <w:color w:val="000000" w:themeColor="text1"/>
        </w:rPr>
      </w:pPr>
    </w:p>
    <w:p w14:paraId="0CD3AD6C" w14:textId="77777777" w:rsidR="0095190F" w:rsidRPr="00260790" w:rsidRDefault="0095190F" w:rsidP="00E20250">
      <w:pPr>
        <w:spacing w:line="240" w:lineRule="auto"/>
        <w:jc w:val="both"/>
        <w:rPr>
          <w:rFonts w:ascii="Times New Roman" w:hAnsi="Times New Roman"/>
          <w:color w:val="000000" w:themeColor="text1"/>
        </w:rPr>
      </w:pPr>
    </w:p>
    <w:p w14:paraId="67CA413D" w14:textId="1DAD86B8" w:rsidR="00476EC1" w:rsidRPr="00194AB1" w:rsidRDefault="00476EC1" w:rsidP="00194AB1">
      <w:pPr>
        <w:spacing w:line="240" w:lineRule="auto"/>
        <w:jc w:val="both"/>
        <w:rPr>
          <w:rFonts w:ascii="Times New Roman" w:hAnsi="Times New Roman"/>
          <w:i/>
          <w:color w:val="000000" w:themeColor="text1"/>
        </w:rPr>
      </w:pPr>
      <w:bookmarkStart w:id="591" w:name="_Toc207781858"/>
      <w:r w:rsidRPr="00194AB1">
        <w:rPr>
          <w:rFonts w:ascii="Times New Roman" w:hAnsi="Times New Roman"/>
          <w:i/>
        </w:rPr>
        <w:lastRenderedPageBreak/>
        <w:t xml:space="preserve">Tableau </w:t>
      </w:r>
      <w:r w:rsidRPr="00194AB1">
        <w:rPr>
          <w:rFonts w:ascii="Times New Roman" w:hAnsi="Times New Roman"/>
          <w:i/>
        </w:rPr>
        <w:fldChar w:fldCharType="begin"/>
      </w:r>
      <w:r w:rsidRPr="00194AB1">
        <w:rPr>
          <w:rFonts w:ascii="Times New Roman" w:hAnsi="Times New Roman"/>
          <w:i/>
        </w:rPr>
        <w:instrText xml:space="preserve"> SEQ Tableau \* ARABIC </w:instrText>
      </w:r>
      <w:r w:rsidRPr="00194AB1">
        <w:rPr>
          <w:rFonts w:ascii="Times New Roman" w:hAnsi="Times New Roman"/>
          <w:i/>
        </w:rPr>
        <w:fldChar w:fldCharType="separate"/>
      </w:r>
      <w:r w:rsidR="003C783E">
        <w:rPr>
          <w:rFonts w:ascii="Times New Roman" w:hAnsi="Times New Roman"/>
          <w:i/>
          <w:noProof/>
        </w:rPr>
        <w:t>17</w:t>
      </w:r>
      <w:r w:rsidRPr="00194AB1">
        <w:rPr>
          <w:rFonts w:ascii="Times New Roman" w:hAnsi="Times New Roman"/>
          <w:i/>
          <w:noProof/>
        </w:rPr>
        <w:fldChar w:fldCharType="end"/>
      </w:r>
      <w:r w:rsidRPr="00194AB1">
        <w:rPr>
          <w:rFonts w:ascii="Times New Roman" w:hAnsi="Times New Roman"/>
          <w:i/>
          <w:color w:val="000000" w:themeColor="text1"/>
        </w:rPr>
        <w:t>: Analyse comparative des contraintes socio-environnementales et technico-économiques des variantes 1 et 2 du réseau de collecteurs</w:t>
      </w:r>
      <w:bookmarkEnd w:id="591"/>
    </w:p>
    <w:tbl>
      <w:tblPr>
        <w:tblStyle w:val="Grilledutableau"/>
        <w:tblW w:w="9918" w:type="dxa"/>
        <w:tblLayout w:type="fixed"/>
        <w:tblLook w:val="04A0" w:firstRow="1" w:lastRow="0" w:firstColumn="1" w:lastColumn="0" w:noHBand="0" w:noVBand="1"/>
      </w:tblPr>
      <w:tblGrid>
        <w:gridCol w:w="1555"/>
        <w:gridCol w:w="1842"/>
        <w:gridCol w:w="1701"/>
        <w:gridCol w:w="1701"/>
        <w:gridCol w:w="1843"/>
        <w:gridCol w:w="1276"/>
      </w:tblGrid>
      <w:tr w:rsidR="00BD1A2F" w:rsidRPr="00260790" w14:paraId="26E593D3" w14:textId="77777777" w:rsidTr="0097258B">
        <w:trPr>
          <w:trHeight w:val="156"/>
          <w:tblHeader/>
        </w:trPr>
        <w:tc>
          <w:tcPr>
            <w:tcW w:w="1555" w:type="dxa"/>
            <w:vMerge w:val="restart"/>
            <w:shd w:val="clear" w:color="auto" w:fill="FFE599" w:themeFill="accent4" w:themeFillTint="66"/>
            <w:vAlign w:val="center"/>
          </w:tcPr>
          <w:p w14:paraId="1F5D612F" w14:textId="77777777" w:rsidR="0028402C" w:rsidRPr="00260790" w:rsidRDefault="0028402C" w:rsidP="00194AB1">
            <w:pPr>
              <w:spacing w:line="240" w:lineRule="auto"/>
              <w:jc w:val="center"/>
              <w:rPr>
                <w:rFonts w:ascii="Times New Roman" w:hAnsi="Times New Roman"/>
                <w:b/>
                <w:bCs/>
                <w:color w:val="000000" w:themeColor="text1"/>
                <w:sz w:val="22"/>
                <w:szCs w:val="22"/>
                <w:lang w:val="fr-FR"/>
              </w:rPr>
            </w:pPr>
            <w:proofErr w:type="spellStart"/>
            <w:r w:rsidRPr="00260790">
              <w:rPr>
                <w:rFonts w:ascii="Times New Roman" w:hAnsi="Times New Roman"/>
                <w:b/>
                <w:bCs/>
                <w:color w:val="000000" w:themeColor="text1"/>
                <w:sz w:val="22"/>
                <w:szCs w:val="22"/>
              </w:rPr>
              <w:t>Contraintes</w:t>
            </w:r>
            <w:proofErr w:type="spellEnd"/>
          </w:p>
        </w:tc>
        <w:tc>
          <w:tcPr>
            <w:tcW w:w="1842" w:type="dxa"/>
            <w:vMerge w:val="restart"/>
            <w:shd w:val="clear" w:color="auto" w:fill="FFE599" w:themeFill="accent4" w:themeFillTint="66"/>
            <w:vAlign w:val="center"/>
          </w:tcPr>
          <w:p w14:paraId="5C65F807" w14:textId="77777777" w:rsidR="0028402C" w:rsidRPr="00260790" w:rsidRDefault="0028402C" w:rsidP="00194AB1">
            <w:pPr>
              <w:spacing w:line="240" w:lineRule="auto"/>
              <w:jc w:val="center"/>
              <w:rPr>
                <w:rFonts w:ascii="Times New Roman" w:hAnsi="Times New Roman"/>
                <w:b/>
                <w:bCs/>
                <w:color w:val="000000" w:themeColor="text1"/>
                <w:sz w:val="22"/>
                <w:szCs w:val="22"/>
                <w:lang w:val="fr-FR"/>
              </w:rPr>
            </w:pPr>
            <w:proofErr w:type="spellStart"/>
            <w:r w:rsidRPr="00260790">
              <w:rPr>
                <w:rFonts w:ascii="Times New Roman" w:hAnsi="Times New Roman"/>
                <w:b/>
                <w:bCs/>
                <w:color w:val="000000" w:themeColor="text1"/>
                <w:sz w:val="22"/>
                <w:szCs w:val="22"/>
              </w:rPr>
              <w:t>Critères</w:t>
            </w:r>
            <w:proofErr w:type="spellEnd"/>
          </w:p>
        </w:tc>
        <w:tc>
          <w:tcPr>
            <w:tcW w:w="5245" w:type="dxa"/>
            <w:gridSpan w:val="3"/>
            <w:shd w:val="clear" w:color="auto" w:fill="FFE599" w:themeFill="accent4" w:themeFillTint="66"/>
            <w:vAlign w:val="center"/>
          </w:tcPr>
          <w:p w14:paraId="4EE907F9" w14:textId="77777777" w:rsidR="0028402C" w:rsidRPr="00260790" w:rsidRDefault="0028402C" w:rsidP="00194AB1">
            <w:pPr>
              <w:spacing w:line="240" w:lineRule="auto"/>
              <w:jc w:val="center"/>
              <w:rPr>
                <w:rFonts w:ascii="Times New Roman" w:hAnsi="Times New Roman"/>
                <w:b/>
                <w:bCs/>
                <w:color w:val="000000" w:themeColor="text1"/>
                <w:sz w:val="22"/>
                <w:szCs w:val="22"/>
                <w:lang w:val="fr-FR"/>
              </w:rPr>
            </w:pPr>
            <w:proofErr w:type="spellStart"/>
            <w:r w:rsidRPr="00260790">
              <w:rPr>
                <w:rFonts w:ascii="Times New Roman" w:hAnsi="Times New Roman"/>
                <w:b/>
                <w:bCs/>
                <w:color w:val="000000" w:themeColor="text1"/>
                <w:sz w:val="22"/>
                <w:szCs w:val="22"/>
              </w:rPr>
              <w:t>Caractéristiques</w:t>
            </w:r>
            <w:proofErr w:type="spellEnd"/>
          </w:p>
        </w:tc>
        <w:tc>
          <w:tcPr>
            <w:tcW w:w="1276" w:type="dxa"/>
            <w:vMerge w:val="restart"/>
            <w:shd w:val="clear" w:color="auto" w:fill="FFE599" w:themeFill="accent4" w:themeFillTint="66"/>
            <w:vAlign w:val="center"/>
          </w:tcPr>
          <w:p w14:paraId="5CE3B6B8" w14:textId="77777777" w:rsidR="0028402C" w:rsidRPr="00260790" w:rsidRDefault="0028402C" w:rsidP="00194AB1">
            <w:pPr>
              <w:spacing w:line="240" w:lineRule="auto"/>
              <w:jc w:val="center"/>
              <w:rPr>
                <w:rFonts w:ascii="Times New Roman" w:hAnsi="Times New Roman"/>
                <w:b/>
                <w:bCs/>
                <w:color w:val="000000" w:themeColor="text1"/>
                <w:sz w:val="22"/>
                <w:szCs w:val="22"/>
                <w:lang w:val="fr-FR"/>
              </w:rPr>
            </w:pPr>
            <w:proofErr w:type="spellStart"/>
            <w:r w:rsidRPr="00260790">
              <w:rPr>
                <w:rFonts w:ascii="Times New Roman" w:hAnsi="Times New Roman"/>
                <w:b/>
                <w:bCs/>
                <w:color w:val="000000" w:themeColor="text1"/>
                <w:sz w:val="22"/>
                <w:szCs w:val="22"/>
              </w:rPr>
              <w:t>Variante</w:t>
            </w:r>
            <w:proofErr w:type="spellEnd"/>
            <w:r w:rsidRPr="00260790">
              <w:rPr>
                <w:rFonts w:ascii="Times New Roman" w:hAnsi="Times New Roman"/>
                <w:b/>
                <w:bCs/>
                <w:color w:val="000000" w:themeColor="text1"/>
                <w:sz w:val="22"/>
                <w:szCs w:val="22"/>
              </w:rPr>
              <w:t xml:space="preserve"> </w:t>
            </w:r>
            <w:proofErr w:type="spellStart"/>
            <w:r w:rsidRPr="00260790">
              <w:rPr>
                <w:rFonts w:ascii="Times New Roman" w:hAnsi="Times New Roman"/>
                <w:b/>
                <w:bCs/>
                <w:color w:val="000000" w:themeColor="text1"/>
                <w:sz w:val="22"/>
                <w:szCs w:val="22"/>
              </w:rPr>
              <w:t>préférable</w:t>
            </w:r>
            <w:proofErr w:type="spellEnd"/>
          </w:p>
        </w:tc>
      </w:tr>
      <w:tr w:rsidR="00BD1A2F" w:rsidRPr="00260790" w14:paraId="0643A378" w14:textId="77777777" w:rsidTr="0097258B">
        <w:trPr>
          <w:trHeight w:val="156"/>
          <w:tblHeader/>
        </w:trPr>
        <w:tc>
          <w:tcPr>
            <w:tcW w:w="1555" w:type="dxa"/>
            <w:vMerge/>
            <w:shd w:val="clear" w:color="auto" w:fill="FFE599" w:themeFill="accent4" w:themeFillTint="66"/>
          </w:tcPr>
          <w:p w14:paraId="5064DD78" w14:textId="77777777" w:rsidR="0028402C" w:rsidRPr="00260790" w:rsidRDefault="0028402C" w:rsidP="00E20250">
            <w:pPr>
              <w:spacing w:line="240" w:lineRule="auto"/>
              <w:rPr>
                <w:rFonts w:ascii="Times New Roman" w:hAnsi="Times New Roman"/>
                <w:b/>
                <w:bCs/>
                <w:color w:val="000000" w:themeColor="text1"/>
                <w:sz w:val="22"/>
                <w:szCs w:val="22"/>
                <w:lang w:val="fr-FR"/>
              </w:rPr>
            </w:pPr>
          </w:p>
        </w:tc>
        <w:tc>
          <w:tcPr>
            <w:tcW w:w="1842" w:type="dxa"/>
            <w:vMerge/>
            <w:shd w:val="clear" w:color="auto" w:fill="FFE599" w:themeFill="accent4" w:themeFillTint="66"/>
          </w:tcPr>
          <w:p w14:paraId="489119F0" w14:textId="77777777" w:rsidR="0028402C" w:rsidRPr="00260790" w:rsidRDefault="0028402C" w:rsidP="00194AB1">
            <w:pPr>
              <w:spacing w:line="240" w:lineRule="auto"/>
              <w:jc w:val="both"/>
              <w:rPr>
                <w:rFonts w:ascii="Times New Roman" w:hAnsi="Times New Roman"/>
                <w:b/>
                <w:bCs/>
                <w:color w:val="000000" w:themeColor="text1"/>
                <w:sz w:val="22"/>
                <w:szCs w:val="22"/>
                <w:lang w:val="fr-FR"/>
              </w:rPr>
            </w:pPr>
          </w:p>
        </w:tc>
        <w:tc>
          <w:tcPr>
            <w:tcW w:w="1701" w:type="dxa"/>
            <w:shd w:val="clear" w:color="auto" w:fill="FFE599" w:themeFill="accent4" w:themeFillTint="66"/>
            <w:vAlign w:val="center"/>
          </w:tcPr>
          <w:p w14:paraId="019CE1C2" w14:textId="77777777" w:rsidR="0028402C" w:rsidRPr="00260790" w:rsidRDefault="0028402C" w:rsidP="00194AB1">
            <w:pPr>
              <w:spacing w:line="240" w:lineRule="auto"/>
              <w:jc w:val="both"/>
              <w:rPr>
                <w:rFonts w:ascii="Times New Roman" w:hAnsi="Times New Roman"/>
                <w:b/>
                <w:bCs/>
                <w:color w:val="000000" w:themeColor="text1"/>
                <w:sz w:val="22"/>
                <w:szCs w:val="22"/>
                <w:lang w:val="fr-FR"/>
              </w:rPr>
            </w:pPr>
            <w:proofErr w:type="spellStart"/>
            <w:r w:rsidRPr="00260790">
              <w:rPr>
                <w:rFonts w:ascii="Times New Roman" w:hAnsi="Times New Roman"/>
                <w:b/>
                <w:bCs/>
                <w:color w:val="000000" w:themeColor="text1"/>
                <w:sz w:val="22"/>
                <w:szCs w:val="22"/>
              </w:rPr>
              <w:t>Variante</w:t>
            </w:r>
            <w:proofErr w:type="spellEnd"/>
            <w:r w:rsidRPr="00260790">
              <w:rPr>
                <w:rFonts w:ascii="Times New Roman" w:hAnsi="Times New Roman"/>
                <w:b/>
                <w:bCs/>
                <w:color w:val="000000" w:themeColor="text1"/>
                <w:sz w:val="22"/>
                <w:szCs w:val="22"/>
              </w:rPr>
              <w:t xml:space="preserve"> 1</w:t>
            </w:r>
          </w:p>
        </w:tc>
        <w:tc>
          <w:tcPr>
            <w:tcW w:w="1701" w:type="dxa"/>
            <w:shd w:val="clear" w:color="auto" w:fill="FFE599" w:themeFill="accent4" w:themeFillTint="66"/>
            <w:vAlign w:val="center"/>
          </w:tcPr>
          <w:p w14:paraId="7A8D9395" w14:textId="77777777" w:rsidR="0028402C" w:rsidRPr="00260790" w:rsidRDefault="0028402C" w:rsidP="00194AB1">
            <w:pPr>
              <w:spacing w:line="240" w:lineRule="auto"/>
              <w:jc w:val="both"/>
              <w:rPr>
                <w:rFonts w:ascii="Times New Roman" w:hAnsi="Times New Roman"/>
                <w:b/>
                <w:bCs/>
                <w:color w:val="000000" w:themeColor="text1"/>
                <w:sz w:val="22"/>
                <w:szCs w:val="22"/>
                <w:lang w:val="fr-FR"/>
              </w:rPr>
            </w:pPr>
            <w:proofErr w:type="spellStart"/>
            <w:r w:rsidRPr="00260790">
              <w:rPr>
                <w:rFonts w:ascii="Times New Roman" w:hAnsi="Times New Roman"/>
                <w:b/>
                <w:bCs/>
                <w:color w:val="000000" w:themeColor="text1"/>
                <w:sz w:val="22"/>
                <w:szCs w:val="22"/>
              </w:rPr>
              <w:t>Variante</w:t>
            </w:r>
            <w:proofErr w:type="spellEnd"/>
            <w:r w:rsidRPr="00260790">
              <w:rPr>
                <w:rFonts w:ascii="Times New Roman" w:hAnsi="Times New Roman"/>
                <w:b/>
                <w:bCs/>
                <w:color w:val="000000" w:themeColor="text1"/>
                <w:sz w:val="22"/>
                <w:szCs w:val="22"/>
              </w:rPr>
              <w:t xml:space="preserve"> 2</w:t>
            </w:r>
          </w:p>
        </w:tc>
        <w:tc>
          <w:tcPr>
            <w:tcW w:w="1843" w:type="dxa"/>
            <w:shd w:val="clear" w:color="auto" w:fill="FFE599" w:themeFill="accent4" w:themeFillTint="66"/>
            <w:vAlign w:val="center"/>
          </w:tcPr>
          <w:p w14:paraId="2463BF9B" w14:textId="14A7F423" w:rsidR="0028402C" w:rsidRPr="00260790" w:rsidRDefault="0028402C" w:rsidP="00194AB1">
            <w:pPr>
              <w:spacing w:line="240" w:lineRule="auto"/>
              <w:jc w:val="both"/>
              <w:rPr>
                <w:rFonts w:ascii="Times New Roman" w:hAnsi="Times New Roman"/>
                <w:b/>
                <w:bCs/>
                <w:color w:val="000000" w:themeColor="text1"/>
                <w:sz w:val="22"/>
                <w:szCs w:val="22"/>
                <w:lang w:val="fr-FR"/>
              </w:rPr>
            </w:pPr>
            <w:proofErr w:type="spellStart"/>
            <w:r w:rsidRPr="00260790">
              <w:rPr>
                <w:rFonts w:ascii="Times New Roman" w:hAnsi="Times New Roman"/>
                <w:b/>
                <w:bCs/>
                <w:color w:val="000000" w:themeColor="text1"/>
                <w:sz w:val="22"/>
                <w:szCs w:val="22"/>
              </w:rPr>
              <w:t>Commentaire</w:t>
            </w:r>
            <w:r w:rsidR="00194AB1">
              <w:rPr>
                <w:rFonts w:ascii="Times New Roman" w:hAnsi="Times New Roman"/>
                <w:b/>
                <w:bCs/>
                <w:color w:val="000000" w:themeColor="text1"/>
                <w:sz w:val="22"/>
                <w:szCs w:val="22"/>
              </w:rPr>
              <w:t>s</w:t>
            </w:r>
            <w:proofErr w:type="spellEnd"/>
          </w:p>
        </w:tc>
        <w:tc>
          <w:tcPr>
            <w:tcW w:w="1276" w:type="dxa"/>
            <w:vMerge/>
            <w:shd w:val="clear" w:color="auto" w:fill="FFE599" w:themeFill="accent4" w:themeFillTint="66"/>
          </w:tcPr>
          <w:p w14:paraId="21BA61B8" w14:textId="77777777" w:rsidR="0028402C" w:rsidRPr="00260790" w:rsidRDefault="0028402C" w:rsidP="00E20250">
            <w:pPr>
              <w:spacing w:line="240" w:lineRule="auto"/>
              <w:rPr>
                <w:rFonts w:ascii="Times New Roman" w:hAnsi="Times New Roman"/>
                <w:b/>
                <w:bCs/>
                <w:color w:val="000000" w:themeColor="text1"/>
                <w:sz w:val="22"/>
                <w:szCs w:val="22"/>
                <w:lang w:val="fr-FR"/>
              </w:rPr>
            </w:pPr>
          </w:p>
        </w:tc>
      </w:tr>
      <w:tr w:rsidR="007901F7" w:rsidRPr="00260790" w14:paraId="14795C48" w14:textId="77777777" w:rsidTr="00113B9E">
        <w:tc>
          <w:tcPr>
            <w:tcW w:w="1555" w:type="dxa"/>
            <w:vMerge w:val="restart"/>
            <w:vAlign w:val="center"/>
          </w:tcPr>
          <w:p w14:paraId="5C9628EB" w14:textId="12FB0A31" w:rsidR="007901F7" w:rsidRPr="00260790" w:rsidRDefault="007901F7" w:rsidP="00E20250">
            <w:pPr>
              <w:spacing w:line="240" w:lineRule="auto"/>
              <w:rPr>
                <w:rFonts w:ascii="Times New Roman" w:hAnsi="Times New Roman"/>
                <w:color w:val="000000" w:themeColor="text1"/>
              </w:rPr>
            </w:pPr>
            <w:proofErr w:type="spellStart"/>
            <w:r>
              <w:rPr>
                <w:rFonts w:ascii="Times New Roman" w:hAnsi="Times New Roman"/>
                <w:color w:val="000000" w:themeColor="text1"/>
              </w:rPr>
              <w:t>Sociales</w:t>
            </w:r>
            <w:proofErr w:type="spellEnd"/>
            <w:r>
              <w:rPr>
                <w:rFonts w:ascii="Times New Roman" w:hAnsi="Times New Roman"/>
                <w:color w:val="000000" w:themeColor="text1"/>
              </w:rPr>
              <w:t xml:space="preserve"> </w:t>
            </w:r>
          </w:p>
        </w:tc>
        <w:tc>
          <w:tcPr>
            <w:tcW w:w="1842" w:type="dxa"/>
            <w:vAlign w:val="center"/>
          </w:tcPr>
          <w:p w14:paraId="07ACA5CD" w14:textId="031FAF8F" w:rsidR="007901F7" w:rsidRPr="00260790" w:rsidRDefault="007901F7" w:rsidP="00194AB1">
            <w:pPr>
              <w:spacing w:line="240" w:lineRule="auto"/>
              <w:jc w:val="both"/>
              <w:rPr>
                <w:rFonts w:ascii="Times New Roman" w:hAnsi="Times New Roman"/>
                <w:color w:val="000000" w:themeColor="text1"/>
                <w:lang w:val="fr-SN"/>
              </w:rPr>
            </w:pPr>
            <w:r>
              <w:rPr>
                <w:rFonts w:ascii="Times New Roman" w:hAnsi="Times New Roman"/>
                <w:color w:val="000000" w:themeColor="text1"/>
                <w:sz w:val="22"/>
                <w:szCs w:val="22"/>
                <w:lang w:val="fr-SN"/>
              </w:rPr>
              <w:t>P</w:t>
            </w:r>
            <w:r w:rsidRPr="0097258B">
              <w:rPr>
                <w:rFonts w:ascii="Times New Roman" w:hAnsi="Times New Roman"/>
                <w:color w:val="000000" w:themeColor="text1"/>
                <w:sz w:val="22"/>
                <w:szCs w:val="22"/>
                <w:lang w:val="fr-SN"/>
              </w:rPr>
              <w:t xml:space="preserve">ertes des biens </w:t>
            </w:r>
            <w:r>
              <w:rPr>
                <w:rFonts w:ascii="Times New Roman" w:hAnsi="Times New Roman"/>
                <w:color w:val="000000" w:themeColor="text1"/>
                <w:sz w:val="22"/>
                <w:szCs w:val="22"/>
                <w:lang w:val="fr-SN"/>
              </w:rPr>
              <w:t xml:space="preserve">et d’actifs </w:t>
            </w:r>
            <w:r w:rsidRPr="0097258B">
              <w:rPr>
                <w:rFonts w:ascii="Times New Roman" w:hAnsi="Times New Roman"/>
                <w:color w:val="000000" w:themeColor="text1"/>
                <w:sz w:val="22"/>
                <w:szCs w:val="22"/>
                <w:lang w:val="fr-SN"/>
              </w:rPr>
              <w:t>des population</w:t>
            </w:r>
            <w:r>
              <w:rPr>
                <w:rFonts w:ascii="Times New Roman" w:hAnsi="Times New Roman"/>
                <w:color w:val="000000" w:themeColor="text1"/>
                <w:sz w:val="22"/>
                <w:szCs w:val="22"/>
                <w:lang w:val="fr-SN"/>
              </w:rPr>
              <w:t>s</w:t>
            </w:r>
          </w:p>
        </w:tc>
        <w:tc>
          <w:tcPr>
            <w:tcW w:w="1701" w:type="dxa"/>
            <w:vAlign w:val="center"/>
          </w:tcPr>
          <w:p w14:paraId="1AC0C3AA" w14:textId="77777777" w:rsidR="007901F7" w:rsidRPr="00301AF6" w:rsidRDefault="007901F7" w:rsidP="00194AB1">
            <w:pPr>
              <w:spacing w:line="240" w:lineRule="auto"/>
              <w:jc w:val="both"/>
              <w:rPr>
                <w:rFonts w:ascii="Times New Roman" w:hAnsi="Times New Roman"/>
                <w:color w:val="000000" w:themeColor="text1"/>
                <w:sz w:val="22"/>
                <w:szCs w:val="22"/>
                <w:lang w:val="fr-FR"/>
              </w:rPr>
            </w:pPr>
            <w:r w:rsidRPr="00301AF6">
              <w:rPr>
                <w:rFonts w:ascii="Times New Roman" w:hAnsi="Times New Roman"/>
                <w:color w:val="000000" w:themeColor="text1"/>
                <w:sz w:val="22"/>
                <w:szCs w:val="22"/>
                <w:lang w:val="fr-FR"/>
              </w:rPr>
              <w:t>Oui</w:t>
            </w:r>
          </w:p>
          <w:p w14:paraId="05616891" w14:textId="2999FCEB" w:rsidR="007901F7" w:rsidRPr="00301AF6" w:rsidRDefault="007901F7" w:rsidP="00194AB1">
            <w:pPr>
              <w:spacing w:line="240" w:lineRule="auto"/>
              <w:jc w:val="both"/>
              <w:rPr>
                <w:rFonts w:ascii="Times New Roman" w:hAnsi="Times New Roman"/>
                <w:color w:val="000000" w:themeColor="text1"/>
                <w:lang w:val="fr-FR"/>
              </w:rPr>
            </w:pPr>
            <w:r w:rsidRPr="00301AF6">
              <w:rPr>
                <w:rFonts w:ascii="Times New Roman" w:hAnsi="Times New Roman"/>
                <w:color w:val="000000" w:themeColor="text1"/>
                <w:sz w:val="22"/>
                <w:szCs w:val="22"/>
                <w:lang w:val="fr-FR"/>
              </w:rPr>
              <w:t>40 concessions, 1 place d'affaire et quelques excroissances</w:t>
            </w:r>
          </w:p>
        </w:tc>
        <w:tc>
          <w:tcPr>
            <w:tcW w:w="1701" w:type="dxa"/>
            <w:vAlign w:val="center"/>
          </w:tcPr>
          <w:p w14:paraId="6E091EAB" w14:textId="77777777" w:rsidR="007901F7" w:rsidRPr="00301AF6" w:rsidRDefault="007901F7" w:rsidP="00194AB1">
            <w:pPr>
              <w:spacing w:line="240" w:lineRule="auto"/>
              <w:jc w:val="both"/>
              <w:rPr>
                <w:rFonts w:ascii="Times New Roman" w:hAnsi="Times New Roman"/>
                <w:color w:val="000000" w:themeColor="text1"/>
                <w:sz w:val="22"/>
                <w:szCs w:val="22"/>
                <w:lang w:val="fr-FR"/>
              </w:rPr>
            </w:pPr>
            <w:r w:rsidRPr="00301AF6">
              <w:rPr>
                <w:rFonts w:ascii="Times New Roman" w:hAnsi="Times New Roman"/>
                <w:color w:val="000000" w:themeColor="text1"/>
                <w:sz w:val="22"/>
                <w:szCs w:val="22"/>
                <w:lang w:val="fr-FR"/>
              </w:rPr>
              <w:t>Oui</w:t>
            </w:r>
          </w:p>
          <w:p w14:paraId="04F533E8" w14:textId="1DF5E223" w:rsidR="007901F7" w:rsidRPr="00301AF6" w:rsidRDefault="007901F7" w:rsidP="00194AB1">
            <w:pPr>
              <w:spacing w:line="240" w:lineRule="auto"/>
              <w:jc w:val="both"/>
              <w:rPr>
                <w:rFonts w:ascii="Times New Roman" w:hAnsi="Times New Roman"/>
                <w:color w:val="000000" w:themeColor="text1"/>
                <w:sz w:val="22"/>
                <w:szCs w:val="22"/>
                <w:lang w:val="fr-FR"/>
              </w:rPr>
            </w:pPr>
            <w:r w:rsidRPr="00301AF6">
              <w:rPr>
                <w:rFonts w:ascii="Times New Roman" w:hAnsi="Times New Roman"/>
                <w:color w:val="000000" w:themeColor="text1"/>
                <w:sz w:val="22"/>
                <w:szCs w:val="22"/>
                <w:lang w:val="fr-FR"/>
              </w:rPr>
              <w:t>32 concessions, 3 place</w:t>
            </w:r>
            <w:r w:rsidR="0073289E" w:rsidRPr="00301AF6">
              <w:rPr>
                <w:rFonts w:ascii="Times New Roman" w:hAnsi="Times New Roman"/>
                <w:color w:val="000000" w:themeColor="text1"/>
                <w:sz w:val="22"/>
                <w:szCs w:val="22"/>
                <w:lang w:val="fr-FR"/>
              </w:rPr>
              <w:t>s</w:t>
            </w:r>
            <w:r w:rsidRPr="00301AF6">
              <w:rPr>
                <w:rFonts w:ascii="Times New Roman" w:hAnsi="Times New Roman"/>
                <w:color w:val="000000" w:themeColor="text1"/>
                <w:sz w:val="22"/>
                <w:szCs w:val="22"/>
                <w:lang w:val="fr-FR"/>
              </w:rPr>
              <w:t xml:space="preserve"> d'affaire, et quelques excroissances</w:t>
            </w:r>
            <w:r w:rsidR="0073289E" w:rsidRPr="00301AF6">
              <w:rPr>
                <w:rFonts w:ascii="Times New Roman" w:hAnsi="Times New Roman"/>
                <w:color w:val="000000" w:themeColor="text1"/>
                <w:sz w:val="22"/>
                <w:szCs w:val="22"/>
                <w:lang w:val="fr-FR"/>
              </w:rPr>
              <w:t xml:space="preserve"> de maison</w:t>
            </w:r>
          </w:p>
        </w:tc>
        <w:tc>
          <w:tcPr>
            <w:tcW w:w="1843" w:type="dxa"/>
            <w:vAlign w:val="center"/>
          </w:tcPr>
          <w:p w14:paraId="4DD50BB8" w14:textId="2D478BF3" w:rsidR="007901F7" w:rsidRPr="00260790" w:rsidRDefault="007901F7" w:rsidP="00194AB1">
            <w:pPr>
              <w:spacing w:line="240" w:lineRule="auto"/>
              <w:jc w:val="both"/>
              <w:rPr>
                <w:rFonts w:ascii="Times New Roman" w:hAnsi="Times New Roman"/>
                <w:color w:val="000000" w:themeColor="text1"/>
                <w:lang w:val="fr-SN"/>
              </w:rPr>
            </w:pPr>
            <w:r>
              <w:rPr>
                <w:rFonts w:ascii="Times New Roman" w:hAnsi="Times New Roman"/>
                <w:color w:val="000000" w:themeColor="text1"/>
                <w:lang w:val="fr-SN"/>
              </w:rPr>
              <w:t xml:space="preserve">La 2 présente moins de d’impacts </w:t>
            </w:r>
            <w:r w:rsidR="001108C4">
              <w:rPr>
                <w:rFonts w:ascii="Times New Roman" w:hAnsi="Times New Roman"/>
                <w:color w:val="000000" w:themeColor="text1"/>
                <w:lang w:val="fr-SN"/>
              </w:rPr>
              <w:t>socio-économiques</w:t>
            </w:r>
            <w:r>
              <w:rPr>
                <w:rFonts w:ascii="Times New Roman" w:hAnsi="Times New Roman"/>
                <w:color w:val="000000" w:themeColor="text1"/>
                <w:lang w:val="fr-SN"/>
              </w:rPr>
              <w:t xml:space="preserve"> sur les populations</w:t>
            </w:r>
          </w:p>
        </w:tc>
        <w:tc>
          <w:tcPr>
            <w:tcW w:w="1276" w:type="dxa"/>
            <w:vAlign w:val="center"/>
          </w:tcPr>
          <w:p w14:paraId="012F73C7" w14:textId="60FF27A4" w:rsidR="007901F7" w:rsidRPr="00260790" w:rsidRDefault="007901F7" w:rsidP="00E20250">
            <w:pPr>
              <w:spacing w:line="240" w:lineRule="auto"/>
              <w:jc w:val="center"/>
              <w:rPr>
                <w:rFonts w:ascii="Times New Roman" w:hAnsi="Times New Roman"/>
                <w:color w:val="000000" w:themeColor="text1"/>
              </w:rPr>
            </w:pPr>
            <w:r>
              <w:rPr>
                <w:rFonts w:ascii="Times New Roman" w:hAnsi="Times New Roman"/>
                <w:color w:val="000000" w:themeColor="text1"/>
              </w:rPr>
              <w:t>2</w:t>
            </w:r>
          </w:p>
        </w:tc>
      </w:tr>
      <w:tr w:rsidR="007901F7" w:rsidRPr="00260790" w14:paraId="3EAA7869" w14:textId="77777777" w:rsidTr="00113B9E">
        <w:tc>
          <w:tcPr>
            <w:tcW w:w="1555" w:type="dxa"/>
            <w:vMerge/>
            <w:vAlign w:val="center"/>
          </w:tcPr>
          <w:p w14:paraId="7F732C05" w14:textId="77777777" w:rsidR="007901F7" w:rsidRPr="00260790" w:rsidRDefault="007901F7" w:rsidP="00E20250">
            <w:pPr>
              <w:spacing w:line="240" w:lineRule="auto"/>
              <w:rPr>
                <w:rFonts w:ascii="Times New Roman" w:hAnsi="Times New Roman"/>
                <w:color w:val="000000" w:themeColor="text1"/>
              </w:rPr>
            </w:pPr>
          </w:p>
        </w:tc>
        <w:tc>
          <w:tcPr>
            <w:tcW w:w="1842" w:type="dxa"/>
            <w:vAlign w:val="center"/>
          </w:tcPr>
          <w:p w14:paraId="006CB069" w14:textId="7C94E61D" w:rsidR="007901F7" w:rsidRDefault="007901F7" w:rsidP="00194AB1">
            <w:pPr>
              <w:spacing w:line="240" w:lineRule="auto"/>
              <w:jc w:val="both"/>
              <w:rPr>
                <w:rFonts w:ascii="Times New Roman" w:hAnsi="Times New Roman"/>
                <w:color w:val="000000" w:themeColor="text1"/>
                <w:lang w:val="fr-SN"/>
              </w:rPr>
            </w:pPr>
            <w:r>
              <w:rPr>
                <w:rFonts w:ascii="Times New Roman" w:hAnsi="Times New Roman"/>
                <w:color w:val="000000" w:themeColor="text1"/>
                <w:sz w:val="22"/>
                <w:szCs w:val="22"/>
                <w:lang w:val="fr-SN"/>
              </w:rPr>
              <w:t>Perte d’</w:t>
            </w:r>
            <w:proofErr w:type="spellStart"/>
            <w:r w:rsidRPr="00F96488">
              <w:rPr>
                <w:rFonts w:ascii="Times New Roman" w:hAnsi="Times New Roman"/>
                <w:color w:val="000000" w:themeColor="text1"/>
                <w:sz w:val="22"/>
                <w:szCs w:val="22"/>
              </w:rPr>
              <w:t>équipement</w:t>
            </w:r>
            <w:proofErr w:type="spellEnd"/>
            <w:r w:rsidRPr="00F96488">
              <w:rPr>
                <w:rFonts w:ascii="Times New Roman" w:hAnsi="Times New Roman"/>
                <w:color w:val="000000" w:themeColor="text1"/>
                <w:sz w:val="22"/>
                <w:szCs w:val="22"/>
              </w:rPr>
              <w:t xml:space="preserve"> </w:t>
            </w:r>
            <w:proofErr w:type="spellStart"/>
            <w:r w:rsidRPr="00F96488">
              <w:rPr>
                <w:rFonts w:ascii="Times New Roman" w:hAnsi="Times New Roman"/>
                <w:color w:val="000000" w:themeColor="text1"/>
                <w:sz w:val="22"/>
                <w:szCs w:val="22"/>
              </w:rPr>
              <w:t>collectif</w:t>
            </w:r>
            <w:proofErr w:type="spellEnd"/>
          </w:p>
        </w:tc>
        <w:tc>
          <w:tcPr>
            <w:tcW w:w="1701" w:type="dxa"/>
            <w:vAlign w:val="center"/>
          </w:tcPr>
          <w:p w14:paraId="2F8E5831" w14:textId="2CD0AB24" w:rsidR="007901F7" w:rsidRDefault="007901F7" w:rsidP="00194AB1">
            <w:pPr>
              <w:spacing w:line="240" w:lineRule="auto"/>
              <w:jc w:val="both"/>
              <w:rPr>
                <w:rFonts w:ascii="Times New Roman" w:hAnsi="Times New Roman"/>
                <w:color w:val="000000" w:themeColor="text1"/>
              </w:rPr>
            </w:pPr>
            <w:r>
              <w:rPr>
                <w:rFonts w:ascii="Times New Roman" w:hAnsi="Times New Roman"/>
                <w:color w:val="000000" w:themeColor="text1"/>
              </w:rPr>
              <w:t xml:space="preserve">Oui </w:t>
            </w:r>
          </w:p>
          <w:p w14:paraId="64B85188" w14:textId="7C9D09CF" w:rsidR="007901F7" w:rsidRDefault="007901F7" w:rsidP="00194AB1">
            <w:pPr>
              <w:spacing w:line="240" w:lineRule="auto"/>
              <w:jc w:val="both"/>
              <w:rPr>
                <w:rFonts w:ascii="Times New Roman" w:hAnsi="Times New Roman"/>
                <w:color w:val="000000" w:themeColor="text1"/>
              </w:rPr>
            </w:pPr>
            <w:r w:rsidRPr="00F96488">
              <w:rPr>
                <w:rFonts w:ascii="Times New Roman" w:hAnsi="Times New Roman"/>
                <w:color w:val="000000" w:themeColor="text1"/>
                <w:sz w:val="22"/>
                <w:szCs w:val="22"/>
              </w:rPr>
              <w:t xml:space="preserve">1 </w:t>
            </w:r>
            <w:proofErr w:type="spellStart"/>
            <w:r w:rsidRPr="00F96488">
              <w:rPr>
                <w:rFonts w:ascii="Times New Roman" w:hAnsi="Times New Roman"/>
                <w:color w:val="000000" w:themeColor="text1"/>
                <w:sz w:val="22"/>
                <w:szCs w:val="22"/>
              </w:rPr>
              <w:t>équipement</w:t>
            </w:r>
            <w:proofErr w:type="spellEnd"/>
            <w:r w:rsidRPr="00F96488">
              <w:rPr>
                <w:rFonts w:ascii="Times New Roman" w:hAnsi="Times New Roman"/>
                <w:color w:val="000000" w:themeColor="text1"/>
                <w:sz w:val="22"/>
                <w:szCs w:val="22"/>
              </w:rPr>
              <w:t xml:space="preserve"> </w:t>
            </w:r>
            <w:proofErr w:type="spellStart"/>
            <w:r w:rsidRPr="00F96488">
              <w:rPr>
                <w:rFonts w:ascii="Times New Roman" w:hAnsi="Times New Roman"/>
                <w:color w:val="000000" w:themeColor="text1"/>
                <w:sz w:val="22"/>
                <w:szCs w:val="22"/>
              </w:rPr>
              <w:t>collectif</w:t>
            </w:r>
            <w:proofErr w:type="spellEnd"/>
          </w:p>
        </w:tc>
        <w:tc>
          <w:tcPr>
            <w:tcW w:w="1701" w:type="dxa"/>
            <w:vAlign w:val="center"/>
          </w:tcPr>
          <w:p w14:paraId="0E1CC0C0" w14:textId="58DFD5FF" w:rsidR="007901F7" w:rsidRDefault="007901F7" w:rsidP="00194AB1">
            <w:pPr>
              <w:spacing w:line="240" w:lineRule="auto"/>
              <w:jc w:val="both"/>
              <w:rPr>
                <w:rFonts w:ascii="Times New Roman" w:hAnsi="Times New Roman"/>
                <w:color w:val="000000" w:themeColor="text1"/>
              </w:rPr>
            </w:pPr>
            <w:r>
              <w:rPr>
                <w:rFonts w:ascii="Times New Roman" w:hAnsi="Times New Roman"/>
                <w:color w:val="000000" w:themeColor="text1"/>
              </w:rPr>
              <w:t xml:space="preserve">Non </w:t>
            </w:r>
          </w:p>
        </w:tc>
        <w:tc>
          <w:tcPr>
            <w:tcW w:w="1843" w:type="dxa"/>
            <w:vAlign w:val="center"/>
          </w:tcPr>
          <w:p w14:paraId="001B4BBD" w14:textId="5A98B0B9" w:rsidR="007901F7" w:rsidRDefault="007901F7" w:rsidP="00194AB1">
            <w:pPr>
              <w:spacing w:line="240" w:lineRule="auto"/>
              <w:jc w:val="both"/>
              <w:rPr>
                <w:rFonts w:ascii="Times New Roman" w:hAnsi="Times New Roman"/>
                <w:color w:val="000000" w:themeColor="text1"/>
                <w:lang w:val="fr-SN"/>
              </w:rPr>
            </w:pPr>
            <w:r>
              <w:rPr>
                <w:rFonts w:ascii="Times New Roman" w:hAnsi="Times New Roman"/>
                <w:color w:val="000000" w:themeColor="text1"/>
                <w:lang w:val="fr-SN"/>
              </w:rPr>
              <w:t>La 2 ne présente pas d’impacts sur les équipements collectifs</w:t>
            </w:r>
          </w:p>
        </w:tc>
        <w:tc>
          <w:tcPr>
            <w:tcW w:w="1276" w:type="dxa"/>
            <w:vAlign w:val="center"/>
          </w:tcPr>
          <w:p w14:paraId="323537CD" w14:textId="2A67E1E4" w:rsidR="007901F7" w:rsidRPr="0097258B" w:rsidRDefault="007901F7" w:rsidP="00E20250">
            <w:pPr>
              <w:spacing w:line="240" w:lineRule="auto"/>
              <w:jc w:val="center"/>
              <w:rPr>
                <w:rFonts w:ascii="Times New Roman" w:hAnsi="Times New Roman"/>
                <w:color w:val="000000" w:themeColor="text1"/>
                <w:lang w:val="fr-SN"/>
              </w:rPr>
            </w:pPr>
            <w:r>
              <w:rPr>
                <w:rFonts w:ascii="Times New Roman" w:hAnsi="Times New Roman"/>
                <w:color w:val="000000" w:themeColor="text1"/>
                <w:lang w:val="fr-SN"/>
              </w:rPr>
              <w:t>2</w:t>
            </w:r>
          </w:p>
        </w:tc>
      </w:tr>
      <w:tr w:rsidR="00BD1A2F" w:rsidRPr="00260790" w14:paraId="57D30816" w14:textId="77777777" w:rsidTr="0097258B">
        <w:tc>
          <w:tcPr>
            <w:tcW w:w="1555" w:type="dxa"/>
            <w:vMerge w:val="restart"/>
            <w:vAlign w:val="center"/>
          </w:tcPr>
          <w:p w14:paraId="6BE2DAFA" w14:textId="419E682E" w:rsidR="0028402C" w:rsidRPr="00260790" w:rsidRDefault="007901F7" w:rsidP="00E20250">
            <w:pPr>
              <w:spacing w:line="240" w:lineRule="auto"/>
              <w:rPr>
                <w:rFonts w:ascii="Times New Roman" w:hAnsi="Times New Roman"/>
                <w:color w:val="000000" w:themeColor="text1"/>
                <w:sz w:val="22"/>
                <w:szCs w:val="22"/>
                <w:lang w:val="fr-FR"/>
              </w:rPr>
            </w:pPr>
            <w:proofErr w:type="spellStart"/>
            <w:r>
              <w:rPr>
                <w:rFonts w:ascii="Times New Roman" w:hAnsi="Times New Roman"/>
                <w:color w:val="000000" w:themeColor="text1"/>
                <w:sz w:val="22"/>
                <w:szCs w:val="22"/>
              </w:rPr>
              <w:t>E</w:t>
            </w:r>
            <w:r w:rsidRPr="00260790">
              <w:rPr>
                <w:rFonts w:ascii="Times New Roman" w:hAnsi="Times New Roman"/>
                <w:color w:val="000000" w:themeColor="text1"/>
                <w:sz w:val="22"/>
                <w:szCs w:val="22"/>
              </w:rPr>
              <w:t>nvironnementales</w:t>
            </w:r>
            <w:proofErr w:type="spellEnd"/>
          </w:p>
        </w:tc>
        <w:tc>
          <w:tcPr>
            <w:tcW w:w="1842" w:type="dxa"/>
            <w:vAlign w:val="center"/>
          </w:tcPr>
          <w:p w14:paraId="78F7A559"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SN"/>
              </w:rPr>
              <w:t>Perte de pieds d’arbres (</w:t>
            </w:r>
            <w:r w:rsidRPr="00260790">
              <w:rPr>
                <w:rFonts w:ascii="Times New Roman" w:hAnsi="Times New Roman"/>
                <w:i/>
                <w:color w:val="000000" w:themeColor="text1"/>
                <w:sz w:val="22"/>
                <w:szCs w:val="22"/>
                <w:lang w:val="fr-SN"/>
              </w:rPr>
              <w:t xml:space="preserve">Hura </w:t>
            </w:r>
            <w:proofErr w:type="spellStart"/>
            <w:r w:rsidRPr="00260790">
              <w:rPr>
                <w:rFonts w:ascii="Times New Roman" w:hAnsi="Times New Roman"/>
                <w:i/>
                <w:color w:val="000000" w:themeColor="text1"/>
                <w:sz w:val="22"/>
                <w:szCs w:val="22"/>
                <w:lang w:val="fr-SN"/>
              </w:rPr>
              <w:t>crepitans</w:t>
            </w:r>
            <w:proofErr w:type="spellEnd"/>
            <w:r w:rsidRPr="00260790">
              <w:rPr>
                <w:rFonts w:ascii="Times New Roman" w:hAnsi="Times New Roman"/>
                <w:color w:val="000000" w:themeColor="text1"/>
                <w:sz w:val="22"/>
                <w:szCs w:val="22"/>
                <w:lang w:val="fr-SN"/>
              </w:rPr>
              <w:t xml:space="preserve">, </w:t>
            </w:r>
            <w:proofErr w:type="spellStart"/>
            <w:r w:rsidRPr="00260790">
              <w:rPr>
                <w:rFonts w:ascii="Times New Roman" w:hAnsi="Times New Roman"/>
                <w:i/>
                <w:color w:val="000000" w:themeColor="text1"/>
                <w:sz w:val="22"/>
                <w:szCs w:val="22"/>
                <w:lang w:val="fr-SN"/>
              </w:rPr>
              <w:t>Terminalia</w:t>
            </w:r>
            <w:proofErr w:type="spellEnd"/>
            <w:r w:rsidRPr="00260790">
              <w:rPr>
                <w:rFonts w:ascii="Times New Roman" w:hAnsi="Times New Roman"/>
                <w:color w:val="000000" w:themeColor="text1"/>
                <w:sz w:val="22"/>
                <w:szCs w:val="22"/>
                <w:lang w:val="fr-SN"/>
              </w:rPr>
              <w:t xml:space="preserve"> </w:t>
            </w:r>
            <w:proofErr w:type="spellStart"/>
            <w:r w:rsidRPr="00260790">
              <w:rPr>
                <w:rFonts w:ascii="Times New Roman" w:hAnsi="Times New Roman"/>
                <w:i/>
                <w:color w:val="000000" w:themeColor="text1"/>
                <w:sz w:val="22"/>
                <w:szCs w:val="22"/>
                <w:lang w:val="fr-SN"/>
              </w:rPr>
              <w:t>mentali</w:t>
            </w:r>
            <w:proofErr w:type="spellEnd"/>
            <w:r w:rsidRPr="00260790">
              <w:rPr>
                <w:rFonts w:ascii="Times New Roman" w:hAnsi="Times New Roman"/>
                <w:color w:val="000000" w:themeColor="text1"/>
                <w:sz w:val="22"/>
                <w:szCs w:val="22"/>
                <w:lang w:val="fr-SN"/>
              </w:rPr>
              <w:t xml:space="preserve">, </w:t>
            </w:r>
            <w:r w:rsidRPr="00260790">
              <w:rPr>
                <w:rFonts w:ascii="Times New Roman" w:hAnsi="Times New Roman"/>
                <w:i/>
                <w:color w:val="000000" w:themeColor="text1"/>
                <w:sz w:val="22"/>
                <w:szCs w:val="22"/>
                <w:lang w:val="fr-SN"/>
              </w:rPr>
              <w:t>cocotiers</w:t>
            </w:r>
            <w:r w:rsidRPr="00260790">
              <w:rPr>
                <w:rFonts w:ascii="Times New Roman" w:hAnsi="Times New Roman"/>
                <w:color w:val="000000" w:themeColor="text1"/>
                <w:sz w:val="22"/>
                <w:szCs w:val="22"/>
                <w:lang w:val="fr-SN"/>
              </w:rPr>
              <w:t xml:space="preserve">, </w:t>
            </w:r>
            <w:r w:rsidRPr="00260790">
              <w:rPr>
                <w:rFonts w:ascii="Times New Roman" w:hAnsi="Times New Roman"/>
                <w:i/>
                <w:color w:val="000000" w:themeColor="text1"/>
                <w:sz w:val="22"/>
                <w:szCs w:val="22"/>
                <w:lang w:val="fr-SN"/>
              </w:rPr>
              <w:t>bananier</w:t>
            </w:r>
            <w:r w:rsidRPr="00260790">
              <w:rPr>
                <w:rFonts w:ascii="Times New Roman" w:hAnsi="Times New Roman"/>
                <w:color w:val="000000" w:themeColor="text1"/>
                <w:sz w:val="22"/>
                <w:szCs w:val="22"/>
                <w:lang w:val="fr-SN"/>
              </w:rPr>
              <w:t xml:space="preserve"> et une population de </w:t>
            </w:r>
            <w:r w:rsidRPr="00260790">
              <w:rPr>
                <w:rFonts w:ascii="Times New Roman" w:hAnsi="Times New Roman"/>
                <w:i/>
                <w:color w:val="000000" w:themeColor="text1"/>
                <w:sz w:val="22"/>
                <w:szCs w:val="22"/>
                <w:lang w:val="fr-SN"/>
              </w:rPr>
              <w:t>ricin)</w:t>
            </w:r>
          </w:p>
        </w:tc>
        <w:tc>
          <w:tcPr>
            <w:tcW w:w="1701" w:type="dxa"/>
            <w:vAlign w:val="center"/>
          </w:tcPr>
          <w:p w14:paraId="4F8F4356"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Oui</w:t>
            </w:r>
          </w:p>
        </w:tc>
        <w:tc>
          <w:tcPr>
            <w:tcW w:w="1701" w:type="dxa"/>
            <w:vAlign w:val="center"/>
          </w:tcPr>
          <w:p w14:paraId="46172BC2"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 xml:space="preserve">Non </w:t>
            </w:r>
          </w:p>
        </w:tc>
        <w:tc>
          <w:tcPr>
            <w:tcW w:w="1843" w:type="dxa"/>
            <w:vAlign w:val="center"/>
          </w:tcPr>
          <w:p w14:paraId="01F69270"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SN"/>
              </w:rPr>
              <w:t>La variante 2 ne présente pas de pertes d’arbres</w:t>
            </w:r>
          </w:p>
        </w:tc>
        <w:tc>
          <w:tcPr>
            <w:tcW w:w="1276" w:type="dxa"/>
            <w:vAlign w:val="center"/>
          </w:tcPr>
          <w:p w14:paraId="6B5C87CF" w14:textId="77777777" w:rsidR="0028402C" w:rsidRPr="00260790" w:rsidRDefault="0028402C" w:rsidP="00E20250">
            <w:pPr>
              <w:spacing w:line="240" w:lineRule="auto"/>
              <w:jc w:val="center"/>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2</w:t>
            </w:r>
          </w:p>
        </w:tc>
      </w:tr>
      <w:tr w:rsidR="00BD1A2F" w:rsidRPr="00260790" w14:paraId="6BFB83F6" w14:textId="77777777" w:rsidTr="0097258B">
        <w:tc>
          <w:tcPr>
            <w:tcW w:w="1555" w:type="dxa"/>
            <w:vMerge/>
          </w:tcPr>
          <w:p w14:paraId="55EA1686" w14:textId="77777777" w:rsidR="0028402C" w:rsidRPr="00260790" w:rsidRDefault="0028402C" w:rsidP="00E20250">
            <w:pPr>
              <w:spacing w:line="240" w:lineRule="auto"/>
              <w:rPr>
                <w:rFonts w:ascii="Times New Roman" w:hAnsi="Times New Roman"/>
                <w:color w:val="000000" w:themeColor="text1"/>
                <w:sz w:val="22"/>
                <w:szCs w:val="22"/>
                <w:lang w:val="fr-FR"/>
              </w:rPr>
            </w:pPr>
          </w:p>
        </w:tc>
        <w:tc>
          <w:tcPr>
            <w:tcW w:w="1842" w:type="dxa"/>
            <w:vAlign w:val="center"/>
          </w:tcPr>
          <w:p w14:paraId="106EE70D"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SN"/>
              </w:rPr>
              <w:t>Risque de pollution et de nuisances (bruit, poussière…) pendant les travaux</w:t>
            </w:r>
          </w:p>
        </w:tc>
        <w:tc>
          <w:tcPr>
            <w:tcW w:w="1701" w:type="dxa"/>
            <w:vAlign w:val="center"/>
          </w:tcPr>
          <w:p w14:paraId="09A2A56F"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Oui</w:t>
            </w:r>
          </w:p>
        </w:tc>
        <w:tc>
          <w:tcPr>
            <w:tcW w:w="1701" w:type="dxa"/>
            <w:vAlign w:val="center"/>
          </w:tcPr>
          <w:p w14:paraId="3FB14048"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Oui</w:t>
            </w:r>
          </w:p>
        </w:tc>
        <w:tc>
          <w:tcPr>
            <w:tcW w:w="1843" w:type="dxa"/>
            <w:vAlign w:val="center"/>
          </w:tcPr>
          <w:p w14:paraId="0DFBE366"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SN"/>
              </w:rPr>
              <w:t>Le risque est le même pour les deux variantes</w:t>
            </w:r>
          </w:p>
        </w:tc>
        <w:tc>
          <w:tcPr>
            <w:tcW w:w="1276" w:type="dxa"/>
            <w:vAlign w:val="center"/>
          </w:tcPr>
          <w:p w14:paraId="134F8059" w14:textId="77777777" w:rsidR="0028402C" w:rsidRPr="00260790" w:rsidRDefault="0028402C" w:rsidP="00E20250">
            <w:pPr>
              <w:spacing w:line="240" w:lineRule="auto"/>
              <w:jc w:val="center"/>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1 et 2</w:t>
            </w:r>
          </w:p>
        </w:tc>
      </w:tr>
      <w:tr w:rsidR="00BD1A2F" w:rsidRPr="00260790" w14:paraId="22E3DF98" w14:textId="77777777" w:rsidTr="0097258B">
        <w:tc>
          <w:tcPr>
            <w:tcW w:w="1555" w:type="dxa"/>
            <w:vMerge/>
          </w:tcPr>
          <w:p w14:paraId="2B0265F6" w14:textId="77777777" w:rsidR="0028402C" w:rsidRPr="00260790" w:rsidRDefault="0028402C" w:rsidP="00E20250">
            <w:pPr>
              <w:spacing w:line="240" w:lineRule="auto"/>
              <w:rPr>
                <w:rFonts w:ascii="Times New Roman" w:hAnsi="Times New Roman"/>
                <w:color w:val="000000" w:themeColor="text1"/>
                <w:sz w:val="22"/>
                <w:szCs w:val="22"/>
                <w:lang w:val="fr-FR"/>
              </w:rPr>
            </w:pPr>
          </w:p>
        </w:tc>
        <w:tc>
          <w:tcPr>
            <w:tcW w:w="1842" w:type="dxa"/>
            <w:vAlign w:val="center"/>
          </w:tcPr>
          <w:p w14:paraId="160E4FEF"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 xml:space="preserve">Perturbation de la </w:t>
            </w:r>
            <w:proofErr w:type="spellStart"/>
            <w:r w:rsidRPr="00260790">
              <w:rPr>
                <w:rFonts w:ascii="Times New Roman" w:hAnsi="Times New Roman"/>
                <w:color w:val="000000" w:themeColor="text1"/>
                <w:sz w:val="22"/>
                <w:szCs w:val="22"/>
              </w:rPr>
              <w:t>mobilité</w:t>
            </w:r>
            <w:proofErr w:type="spellEnd"/>
          </w:p>
        </w:tc>
        <w:tc>
          <w:tcPr>
            <w:tcW w:w="1701" w:type="dxa"/>
            <w:vAlign w:val="center"/>
          </w:tcPr>
          <w:p w14:paraId="3E1D34D4"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Plus</w:t>
            </w:r>
          </w:p>
        </w:tc>
        <w:tc>
          <w:tcPr>
            <w:tcW w:w="1701" w:type="dxa"/>
            <w:vAlign w:val="center"/>
          </w:tcPr>
          <w:p w14:paraId="01807AEB"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proofErr w:type="spellStart"/>
            <w:r w:rsidRPr="00260790">
              <w:rPr>
                <w:rFonts w:ascii="Times New Roman" w:hAnsi="Times New Roman"/>
                <w:color w:val="000000" w:themeColor="text1"/>
                <w:sz w:val="22"/>
                <w:szCs w:val="22"/>
              </w:rPr>
              <w:t>Moins</w:t>
            </w:r>
            <w:proofErr w:type="spellEnd"/>
          </w:p>
        </w:tc>
        <w:tc>
          <w:tcPr>
            <w:tcW w:w="1843" w:type="dxa"/>
            <w:vAlign w:val="center"/>
          </w:tcPr>
          <w:p w14:paraId="38F82AF1"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SN"/>
              </w:rPr>
              <w:t xml:space="preserve">Les emprises de la variante 1 sont étroites et elle est très fréquentée. </w:t>
            </w:r>
          </w:p>
          <w:p w14:paraId="2394216A" w14:textId="3A05B732"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SN"/>
              </w:rPr>
              <w:t>Le début de la variante 2 est certes étroit</w:t>
            </w:r>
            <w:r w:rsidR="005C5B32" w:rsidRPr="00260790">
              <w:rPr>
                <w:rFonts w:ascii="Times New Roman" w:hAnsi="Times New Roman"/>
                <w:color w:val="000000" w:themeColor="text1"/>
                <w:sz w:val="22"/>
                <w:szCs w:val="22"/>
                <w:lang w:val="fr-FR"/>
              </w:rPr>
              <w:t>,</w:t>
            </w:r>
            <w:r w:rsidRPr="00260790">
              <w:rPr>
                <w:rFonts w:ascii="Times New Roman" w:hAnsi="Times New Roman"/>
                <w:color w:val="000000" w:themeColor="text1"/>
                <w:sz w:val="22"/>
                <w:szCs w:val="22"/>
                <w:lang w:val="fr-SN"/>
              </w:rPr>
              <w:t xml:space="preserve"> mais elle est moins fréquentée par rapport à la variante 1. Cependant à 200 m, environ, la variante 2 relie une grande piste latéritique. Ce qui permet avec cette variante de minimiser les impacts. </w:t>
            </w:r>
          </w:p>
        </w:tc>
        <w:tc>
          <w:tcPr>
            <w:tcW w:w="1276" w:type="dxa"/>
            <w:vAlign w:val="center"/>
          </w:tcPr>
          <w:p w14:paraId="04D2B7DA" w14:textId="77777777" w:rsidR="0028402C" w:rsidRPr="00260790" w:rsidRDefault="0028402C" w:rsidP="00E20250">
            <w:pPr>
              <w:spacing w:line="240" w:lineRule="auto"/>
              <w:jc w:val="center"/>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2</w:t>
            </w:r>
          </w:p>
        </w:tc>
      </w:tr>
      <w:tr w:rsidR="00BD1A2F" w:rsidRPr="00260790" w14:paraId="12A3873B" w14:textId="77777777" w:rsidTr="0097258B">
        <w:tc>
          <w:tcPr>
            <w:tcW w:w="1555" w:type="dxa"/>
            <w:vMerge/>
          </w:tcPr>
          <w:p w14:paraId="1B0582F1" w14:textId="77777777" w:rsidR="0028402C" w:rsidRPr="00260790" w:rsidRDefault="0028402C" w:rsidP="00E20250">
            <w:pPr>
              <w:spacing w:line="240" w:lineRule="auto"/>
              <w:rPr>
                <w:rFonts w:ascii="Times New Roman" w:hAnsi="Times New Roman"/>
                <w:color w:val="000000" w:themeColor="text1"/>
                <w:sz w:val="22"/>
                <w:szCs w:val="22"/>
                <w:lang w:val="fr-FR"/>
              </w:rPr>
            </w:pPr>
          </w:p>
        </w:tc>
        <w:tc>
          <w:tcPr>
            <w:tcW w:w="1842" w:type="dxa"/>
            <w:vAlign w:val="center"/>
          </w:tcPr>
          <w:p w14:paraId="3D7D1E49"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SN"/>
              </w:rPr>
              <w:t>Risque d’accident dans l’emprise des collecteurs</w:t>
            </w:r>
          </w:p>
        </w:tc>
        <w:tc>
          <w:tcPr>
            <w:tcW w:w="1701" w:type="dxa"/>
            <w:vAlign w:val="center"/>
          </w:tcPr>
          <w:p w14:paraId="03FF9BFB"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Plus</w:t>
            </w:r>
          </w:p>
        </w:tc>
        <w:tc>
          <w:tcPr>
            <w:tcW w:w="1701" w:type="dxa"/>
            <w:vAlign w:val="center"/>
          </w:tcPr>
          <w:p w14:paraId="000FAE46"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proofErr w:type="spellStart"/>
            <w:r w:rsidRPr="00260790">
              <w:rPr>
                <w:rFonts w:ascii="Times New Roman" w:hAnsi="Times New Roman"/>
                <w:color w:val="000000" w:themeColor="text1"/>
                <w:sz w:val="22"/>
                <w:szCs w:val="22"/>
              </w:rPr>
              <w:t>Moins</w:t>
            </w:r>
            <w:proofErr w:type="spellEnd"/>
          </w:p>
        </w:tc>
        <w:tc>
          <w:tcPr>
            <w:tcW w:w="1843" w:type="dxa"/>
            <w:vAlign w:val="center"/>
          </w:tcPr>
          <w:p w14:paraId="749D6ED8" w14:textId="066CF8FC"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SN"/>
              </w:rPr>
              <w:t xml:space="preserve">Distance de sécurité par rapport aux riverains est plus grande dans le cas </w:t>
            </w:r>
            <w:r w:rsidRPr="00260790">
              <w:rPr>
                <w:rFonts w:ascii="Times New Roman" w:hAnsi="Times New Roman"/>
                <w:color w:val="000000" w:themeColor="text1"/>
                <w:sz w:val="22"/>
                <w:szCs w:val="22"/>
                <w:lang w:val="fr-SN"/>
              </w:rPr>
              <w:lastRenderedPageBreak/>
              <w:t xml:space="preserve">de la variante 2 et réduit de ce fait les risques d’accident dans l’emprise du collecteur </w:t>
            </w:r>
          </w:p>
        </w:tc>
        <w:tc>
          <w:tcPr>
            <w:tcW w:w="1276" w:type="dxa"/>
            <w:vAlign w:val="center"/>
          </w:tcPr>
          <w:p w14:paraId="56B2563F" w14:textId="77777777" w:rsidR="0028402C" w:rsidRPr="00260790" w:rsidRDefault="0028402C" w:rsidP="00E20250">
            <w:pPr>
              <w:spacing w:line="240" w:lineRule="auto"/>
              <w:jc w:val="center"/>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lastRenderedPageBreak/>
              <w:t>2</w:t>
            </w:r>
          </w:p>
        </w:tc>
      </w:tr>
      <w:tr w:rsidR="00BD1A2F" w:rsidRPr="00260790" w14:paraId="22524834" w14:textId="77777777" w:rsidTr="0097258B">
        <w:trPr>
          <w:trHeight w:val="2530"/>
        </w:trPr>
        <w:tc>
          <w:tcPr>
            <w:tcW w:w="1555" w:type="dxa"/>
            <w:vMerge/>
          </w:tcPr>
          <w:p w14:paraId="26879BD5" w14:textId="77777777" w:rsidR="0028402C" w:rsidRPr="00260790" w:rsidRDefault="0028402C" w:rsidP="00E20250">
            <w:pPr>
              <w:spacing w:line="240" w:lineRule="auto"/>
              <w:rPr>
                <w:rFonts w:ascii="Times New Roman" w:hAnsi="Times New Roman"/>
                <w:color w:val="000000" w:themeColor="text1"/>
                <w:sz w:val="22"/>
                <w:szCs w:val="22"/>
                <w:lang w:val="fr-FR"/>
              </w:rPr>
            </w:pPr>
          </w:p>
        </w:tc>
        <w:tc>
          <w:tcPr>
            <w:tcW w:w="1842" w:type="dxa"/>
            <w:vAlign w:val="center"/>
          </w:tcPr>
          <w:p w14:paraId="3B71F31A"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SN"/>
              </w:rPr>
              <w:t>Protection des populations contre les inondations</w:t>
            </w:r>
          </w:p>
        </w:tc>
        <w:tc>
          <w:tcPr>
            <w:tcW w:w="1701" w:type="dxa"/>
            <w:vAlign w:val="center"/>
          </w:tcPr>
          <w:p w14:paraId="1D87F32E"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Bonne</w:t>
            </w:r>
          </w:p>
        </w:tc>
        <w:tc>
          <w:tcPr>
            <w:tcW w:w="1701" w:type="dxa"/>
            <w:vAlign w:val="center"/>
          </w:tcPr>
          <w:p w14:paraId="0388F12C"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Bonne</w:t>
            </w:r>
          </w:p>
        </w:tc>
        <w:tc>
          <w:tcPr>
            <w:tcW w:w="1843" w:type="dxa"/>
            <w:vAlign w:val="center"/>
          </w:tcPr>
          <w:p w14:paraId="3798E712"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SN"/>
              </w:rPr>
              <w:t>Toutes les deux variantes sont susceptibles de résoudre le problème d’inondation du fait de leur aptitude à collecter les eaux pluviales des chaussées et des riverains</w:t>
            </w:r>
          </w:p>
        </w:tc>
        <w:tc>
          <w:tcPr>
            <w:tcW w:w="1276" w:type="dxa"/>
            <w:vAlign w:val="center"/>
          </w:tcPr>
          <w:p w14:paraId="7FE57F51" w14:textId="77777777" w:rsidR="0028402C" w:rsidRPr="00260790" w:rsidRDefault="0028402C" w:rsidP="00E20250">
            <w:pPr>
              <w:spacing w:line="240" w:lineRule="auto"/>
              <w:jc w:val="center"/>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1 et 2</w:t>
            </w:r>
          </w:p>
        </w:tc>
      </w:tr>
      <w:tr w:rsidR="00BD1A2F" w:rsidRPr="00260790" w14:paraId="5044D6FF" w14:textId="77777777" w:rsidTr="0097258B">
        <w:trPr>
          <w:trHeight w:val="930"/>
        </w:trPr>
        <w:tc>
          <w:tcPr>
            <w:tcW w:w="1555" w:type="dxa"/>
            <w:vMerge w:val="restart"/>
            <w:vAlign w:val="center"/>
          </w:tcPr>
          <w:p w14:paraId="49A8BD72" w14:textId="77777777" w:rsidR="0028402C" w:rsidRPr="00260790" w:rsidRDefault="0028402C" w:rsidP="00E20250">
            <w:pPr>
              <w:spacing w:line="240" w:lineRule="auto"/>
              <w:rPr>
                <w:rFonts w:ascii="Times New Roman" w:hAnsi="Times New Roman"/>
                <w:color w:val="000000" w:themeColor="text1"/>
                <w:sz w:val="22"/>
                <w:szCs w:val="22"/>
                <w:lang w:val="fr-FR"/>
              </w:rPr>
            </w:pPr>
            <w:proofErr w:type="spellStart"/>
            <w:r w:rsidRPr="00260790">
              <w:rPr>
                <w:rFonts w:ascii="Times New Roman" w:hAnsi="Times New Roman"/>
                <w:color w:val="000000" w:themeColor="text1"/>
                <w:sz w:val="22"/>
                <w:szCs w:val="22"/>
              </w:rPr>
              <w:t>Technico-économiques</w:t>
            </w:r>
            <w:proofErr w:type="spellEnd"/>
          </w:p>
        </w:tc>
        <w:tc>
          <w:tcPr>
            <w:tcW w:w="1842" w:type="dxa"/>
            <w:vAlign w:val="center"/>
          </w:tcPr>
          <w:p w14:paraId="69788DFC" w14:textId="336C82C2" w:rsidR="0028402C" w:rsidRPr="00260790" w:rsidRDefault="0028402C" w:rsidP="00194AB1">
            <w:pPr>
              <w:spacing w:line="240" w:lineRule="auto"/>
              <w:jc w:val="both"/>
              <w:rPr>
                <w:rFonts w:ascii="Times New Roman" w:hAnsi="Times New Roman"/>
                <w:color w:val="000000" w:themeColor="text1"/>
                <w:sz w:val="22"/>
                <w:szCs w:val="22"/>
                <w:lang w:val="fr-FR"/>
              </w:rPr>
            </w:pPr>
            <w:proofErr w:type="spellStart"/>
            <w:r w:rsidRPr="00260790">
              <w:rPr>
                <w:rFonts w:ascii="Times New Roman" w:hAnsi="Times New Roman"/>
                <w:color w:val="000000" w:themeColor="text1"/>
                <w:sz w:val="22"/>
                <w:szCs w:val="22"/>
              </w:rPr>
              <w:t>Création</w:t>
            </w:r>
            <w:proofErr w:type="spellEnd"/>
            <w:r w:rsidRPr="00260790">
              <w:rPr>
                <w:rFonts w:ascii="Times New Roman" w:hAnsi="Times New Roman"/>
                <w:color w:val="000000" w:themeColor="text1"/>
                <w:sz w:val="22"/>
                <w:szCs w:val="22"/>
              </w:rPr>
              <w:t xml:space="preserve"> </w:t>
            </w:r>
            <w:proofErr w:type="spellStart"/>
            <w:r w:rsidRPr="00260790">
              <w:rPr>
                <w:rFonts w:ascii="Times New Roman" w:hAnsi="Times New Roman"/>
                <w:color w:val="000000" w:themeColor="text1"/>
                <w:sz w:val="22"/>
                <w:szCs w:val="22"/>
              </w:rPr>
              <w:t>d’emploi</w:t>
            </w:r>
            <w:r w:rsidR="00F404F0" w:rsidRPr="00260790">
              <w:rPr>
                <w:rFonts w:ascii="Times New Roman" w:hAnsi="Times New Roman"/>
                <w:color w:val="000000" w:themeColor="text1"/>
                <w:sz w:val="22"/>
                <w:szCs w:val="22"/>
              </w:rPr>
              <w:t>s</w:t>
            </w:r>
            <w:proofErr w:type="spellEnd"/>
          </w:p>
        </w:tc>
        <w:tc>
          <w:tcPr>
            <w:tcW w:w="1701" w:type="dxa"/>
            <w:vAlign w:val="center"/>
          </w:tcPr>
          <w:p w14:paraId="50EBF901"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Oui</w:t>
            </w:r>
          </w:p>
        </w:tc>
        <w:tc>
          <w:tcPr>
            <w:tcW w:w="1701" w:type="dxa"/>
            <w:vAlign w:val="center"/>
          </w:tcPr>
          <w:p w14:paraId="07BC69E4"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Oui</w:t>
            </w:r>
          </w:p>
        </w:tc>
        <w:tc>
          <w:tcPr>
            <w:tcW w:w="1843" w:type="dxa"/>
            <w:vAlign w:val="center"/>
          </w:tcPr>
          <w:p w14:paraId="62371117"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SN"/>
              </w:rPr>
              <w:t>Le nombre d’emplois créé est le même d’une option à une autre</w:t>
            </w:r>
          </w:p>
        </w:tc>
        <w:tc>
          <w:tcPr>
            <w:tcW w:w="1276" w:type="dxa"/>
            <w:vAlign w:val="center"/>
          </w:tcPr>
          <w:p w14:paraId="75978135" w14:textId="77777777" w:rsidR="0028402C" w:rsidRPr="00260790" w:rsidRDefault="0028402C" w:rsidP="00E20250">
            <w:pPr>
              <w:spacing w:line="240" w:lineRule="auto"/>
              <w:jc w:val="center"/>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1 et 2</w:t>
            </w:r>
          </w:p>
        </w:tc>
      </w:tr>
      <w:tr w:rsidR="00BD1A2F" w:rsidRPr="00260790" w14:paraId="0ADAF965" w14:textId="77777777" w:rsidTr="0097258B">
        <w:tc>
          <w:tcPr>
            <w:tcW w:w="1555" w:type="dxa"/>
            <w:vMerge/>
          </w:tcPr>
          <w:p w14:paraId="7BF8E181" w14:textId="77777777" w:rsidR="0028402C" w:rsidRPr="00260790" w:rsidRDefault="0028402C" w:rsidP="00E20250">
            <w:pPr>
              <w:spacing w:line="240" w:lineRule="auto"/>
              <w:rPr>
                <w:rFonts w:ascii="Times New Roman" w:hAnsi="Times New Roman"/>
                <w:color w:val="000000" w:themeColor="text1"/>
                <w:sz w:val="22"/>
                <w:szCs w:val="22"/>
                <w:lang w:val="fr-FR"/>
              </w:rPr>
            </w:pPr>
          </w:p>
        </w:tc>
        <w:tc>
          <w:tcPr>
            <w:tcW w:w="1842" w:type="dxa"/>
            <w:vAlign w:val="center"/>
          </w:tcPr>
          <w:p w14:paraId="15F00F25"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Coût de construction</w:t>
            </w:r>
          </w:p>
        </w:tc>
        <w:tc>
          <w:tcPr>
            <w:tcW w:w="1701" w:type="dxa"/>
            <w:vAlign w:val="center"/>
          </w:tcPr>
          <w:p w14:paraId="3581CCE4"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proofErr w:type="spellStart"/>
            <w:r w:rsidRPr="00260790">
              <w:rPr>
                <w:rFonts w:ascii="Times New Roman" w:hAnsi="Times New Roman"/>
                <w:color w:val="000000" w:themeColor="text1"/>
                <w:sz w:val="22"/>
                <w:szCs w:val="22"/>
              </w:rPr>
              <w:t>Moins</w:t>
            </w:r>
            <w:proofErr w:type="spellEnd"/>
          </w:p>
        </w:tc>
        <w:tc>
          <w:tcPr>
            <w:tcW w:w="1701" w:type="dxa"/>
            <w:vAlign w:val="center"/>
          </w:tcPr>
          <w:p w14:paraId="4F9E277C"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Plus</w:t>
            </w:r>
          </w:p>
        </w:tc>
        <w:tc>
          <w:tcPr>
            <w:tcW w:w="1843" w:type="dxa"/>
            <w:vAlign w:val="center"/>
          </w:tcPr>
          <w:p w14:paraId="015DA607"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SN"/>
              </w:rPr>
              <w:t>Le coût de construction est plus élevé pour la variante 2 en raison de sa longueur plus importante</w:t>
            </w:r>
          </w:p>
        </w:tc>
        <w:tc>
          <w:tcPr>
            <w:tcW w:w="1276" w:type="dxa"/>
            <w:vAlign w:val="center"/>
          </w:tcPr>
          <w:p w14:paraId="00B71631" w14:textId="77777777" w:rsidR="0028402C" w:rsidRPr="00260790" w:rsidRDefault="0028402C" w:rsidP="00E20250">
            <w:pPr>
              <w:spacing w:line="240" w:lineRule="auto"/>
              <w:jc w:val="center"/>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1</w:t>
            </w:r>
          </w:p>
        </w:tc>
      </w:tr>
      <w:tr w:rsidR="00BD1A2F" w:rsidRPr="00260790" w14:paraId="71D14E7A" w14:textId="77777777" w:rsidTr="0097258B">
        <w:tc>
          <w:tcPr>
            <w:tcW w:w="1555" w:type="dxa"/>
            <w:vMerge/>
          </w:tcPr>
          <w:p w14:paraId="0D9E6162" w14:textId="77777777" w:rsidR="0028402C" w:rsidRPr="00260790" w:rsidRDefault="0028402C" w:rsidP="00E20250">
            <w:pPr>
              <w:spacing w:line="240" w:lineRule="auto"/>
              <w:rPr>
                <w:rFonts w:ascii="Times New Roman" w:hAnsi="Times New Roman"/>
                <w:color w:val="000000" w:themeColor="text1"/>
                <w:sz w:val="22"/>
                <w:szCs w:val="22"/>
                <w:lang w:val="fr-FR"/>
              </w:rPr>
            </w:pPr>
          </w:p>
        </w:tc>
        <w:tc>
          <w:tcPr>
            <w:tcW w:w="1842" w:type="dxa"/>
            <w:vAlign w:val="center"/>
          </w:tcPr>
          <w:p w14:paraId="100AB4F5"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proofErr w:type="spellStart"/>
            <w:r w:rsidRPr="00260790">
              <w:rPr>
                <w:rFonts w:ascii="Times New Roman" w:hAnsi="Times New Roman"/>
                <w:color w:val="000000" w:themeColor="text1"/>
                <w:sz w:val="22"/>
                <w:szCs w:val="22"/>
              </w:rPr>
              <w:t>Difficultés</w:t>
            </w:r>
            <w:proofErr w:type="spellEnd"/>
            <w:r w:rsidRPr="00260790">
              <w:rPr>
                <w:rFonts w:ascii="Times New Roman" w:hAnsi="Times New Roman"/>
                <w:color w:val="000000" w:themeColor="text1"/>
                <w:sz w:val="22"/>
                <w:szCs w:val="22"/>
              </w:rPr>
              <w:t xml:space="preserve"> techniques</w:t>
            </w:r>
          </w:p>
        </w:tc>
        <w:tc>
          <w:tcPr>
            <w:tcW w:w="1701" w:type="dxa"/>
            <w:vAlign w:val="center"/>
          </w:tcPr>
          <w:p w14:paraId="05CCD8E6"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Oui</w:t>
            </w:r>
          </w:p>
        </w:tc>
        <w:tc>
          <w:tcPr>
            <w:tcW w:w="1701" w:type="dxa"/>
            <w:vAlign w:val="center"/>
          </w:tcPr>
          <w:p w14:paraId="1EA9A462"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Oui</w:t>
            </w:r>
          </w:p>
        </w:tc>
        <w:tc>
          <w:tcPr>
            <w:tcW w:w="1843" w:type="dxa"/>
            <w:vAlign w:val="center"/>
          </w:tcPr>
          <w:p w14:paraId="6D13F93F" w14:textId="750F8A71"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SN"/>
              </w:rPr>
              <w:t xml:space="preserve">La variante 2 présente, à son début jusqu’à environ 200 m, les mêmes contraintes spatiales que la variante </w:t>
            </w:r>
            <w:r w:rsidR="009A7592">
              <w:rPr>
                <w:rFonts w:ascii="Times New Roman" w:hAnsi="Times New Roman"/>
                <w:color w:val="000000" w:themeColor="text1"/>
                <w:sz w:val="22"/>
                <w:szCs w:val="22"/>
                <w:lang w:val="fr-SN"/>
              </w:rPr>
              <w:t>1</w:t>
            </w:r>
            <w:r w:rsidRPr="00260790">
              <w:rPr>
                <w:rFonts w:ascii="Times New Roman" w:hAnsi="Times New Roman"/>
                <w:color w:val="000000" w:themeColor="text1"/>
                <w:sz w:val="22"/>
                <w:szCs w:val="22"/>
                <w:lang w:val="fr-SN"/>
              </w:rPr>
              <w:t>. Elle est occupée de part et d’autre par des d’habitations.</w:t>
            </w:r>
          </w:p>
        </w:tc>
        <w:tc>
          <w:tcPr>
            <w:tcW w:w="1276" w:type="dxa"/>
            <w:vAlign w:val="center"/>
          </w:tcPr>
          <w:p w14:paraId="324DE830" w14:textId="77777777" w:rsidR="0028402C" w:rsidRPr="00260790" w:rsidRDefault="0028402C" w:rsidP="00E20250">
            <w:pPr>
              <w:spacing w:line="240" w:lineRule="auto"/>
              <w:jc w:val="center"/>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2</w:t>
            </w:r>
          </w:p>
        </w:tc>
      </w:tr>
      <w:tr w:rsidR="00BD1A2F" w:rsidRPr="00260790" w14:paraId="183035F8" w14:textId="77777777" w:rsidTr="0097258B">
        <w:tc>
          <w:tcPr>
            <w:tcW w:w="1555" w:type="dxa"/>
            <w:vMerge/>
          </w:tcPr>
          <w:p w14:paraId="05BCA4BF" w14:textId="77777777" w:rsidR="0028402C" w:rsidRPr="00260790" w:rsidRDefault="0028402C" w:rsidP="00E20250">
            <w:pPr>
              <w:spacing w:line="240" w:lineRule="auto"/>
              <w:rPr>
                <w:rFonts w:ascii="Times New Roman" w:hAnsi="Times New Roman"/>
                <w:color w:val="000000" w:themeColor="text1"/>
                <w:sz w:val="22"/>
                <w:szCs w:val="22"/>
                <w:lang w:val="fr-FR"/>
              </w:rPr>
            </w:pPr>
          </w:p>
        </w:tc>
        <w:tc>
          <w:tcPr>
            <w:tcW w:w="1842" w:type="dxa"/>
            <w:vAlign w:val="center"/>
          </w:tcPr>
          <w:p w14:paraId="3108E1C5"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proofErr w:type="spellStart"/>
            <w:r w:rsidRPr="00260790">
              <w:rPr>
                <w:rFonts w:ascii="Times New Roman" w:hAnsi="Times New Roman"/>
                <w:color w:val="000000" w:themeColor="text1"/>
                <w:sz w:val="22"/>
                <w:szCs w:val="22"/>
              </w:rPr>
              <w:t>Efficacité</w:t>
            </w:r>
            <w:proofErr w:type="spellEnd"/>
            <w:r w:rsidRPr="00260790">
              <w:rPr>
                <w:rFonts w:ascii="Times New Roman" w:hAnsi="Times New Roman"/>
                <w:color w:val="000000" w:themeColor="text1"/>
                <w:sz w:val="22"/>
                <w:szCs w:val="22"/>
              </w:rPr>
              <w:t xml:space="preserve"> du drainage</w:t>
            </w:r>
          </w:p>
        </w:tc>
        <w:tc>
          <w:tcPr>
            <w:tcW w:w="1701" w:type="dxa"/>
            <w:vAlign w:val="center"/>
          </w:tcPr>
          <w:p w14:paraId="3CCA06C0"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Oui</w:t>
            </w:r>
          </w:p>
        </w:tc>
        <w:tc>
          <w:tcPr>
            <w:tcW w:w="1701" w:type="dxa"/>
            <w:vAlign w:val="center"/>
          </w:tcPr>
          <w:p w14:paraId="2D71D8D4"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Oui</w:t>
            </w:r>
          </w:p>
        </w:tc>
        <w:tc>
          <w:tcPr>
            <w:tcW w:w="1843" w:type="dxa"/>
            <w:vAlign w:val="center"/>
          </w:tcPr>
          <w:p w14:paraId="03981822"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SN"/>
              </w:rPr>
              <w:t xml:space="preserve">La variante 2 est susceptible de recueillir plus facilement les eaux pluviales des chaussées et des riverains </w:t>
            </w:r>
          </w:p>
        </w:tc>
        <w:tc>
          <w:tcPr>
            <w:tcW w:w="1276" w:type="dxa"/>
            <w:vAlign w:val="center"/>
          </w:tcPr>
          <w:p w14:paraId="7CE27F07" w14:textId="77777777" w:rsidR="0028402C" w:rsidRPr="00260790" w:rsidRDefault="0028402C" w:rsidP="00E20250">
            <w:pPr>
              <w:spacing w:line="240" w:lineRule="auto"/>
              <w:jc w:val="center"/>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1 et 2</w:t>
            </w:r>
          </w:p>
        </w:tc>
      </w:tr>
      <w:tr w:rsidR="00BD1A2F" w:rsidRPr="00260790" w14:paraId="35CF966F" w14:textId="77777777" w:rsidTr="0097258B">
        <w:tc>
          <w:tcPr>
            <w:tcW w:w="1555" w:type="dxa"/>
            <w:vMerge/>
          </w:tcPr>
          <w:p w14:paraId="0C93197A" w14:textId="77777777" w:rsidR="0028402C" w:rsidRPr="00260790" w:rsidRDefault="0028402C" w:rsidP="00E20250">
            <w:pPr>
              <w:spacing w:line="240" w:lineRule="auto"/>
              <w:rPr>
                <w:rFonts w:ascii="Times New Roman" w:hAnsi="Times New Roman"/>
                <w:color w:val="000000" w:themeColor="text1"/>
                <w:sz w:val="22"/>
                <w:szCs w:val="22"/>
                <w:lang w:val="fr-FR"/>
              </w:rPr>
            </w:pPr>
          </w:p>
        </w:tc>
        <w:tc>
          <w:tcPr>
            <w:tcW w:w="1842" w:type="dxa"/>
            <w:vAlign w:val="center"/>
          </w:tcPr>
          <w:p w14:paraId="02452182"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proofErr w:type="spellStart"/>
            <w:r w:rsidRPr="00260790">
              <w:rPr>
                <w:rFonts w:ascii="Times New Roman" w:hAnsi="Times New Roman"/>
                <w:color w:val="000000" w:themeColor="text1"/>
                <w:sz w:val="22"/>
                <w:szCs w:val="22"/>
              </w:rPr>
              <w:t>Durabilité</w:t>
            </w:r>
            <w:proofErr w:type="spellEnd"/>
            <w:r w:rsidRPr="00260790">
              <w:rPr>
                <w:rFonts w:ascii="Times New Roman" w:hAnsi="Times New Roman"/>
                <w:color w:val="000000" w:themeColor="text1"/>
                <w:sz w:val="22"/>
                <w:szCs w:val="22"/>
              </w:rPr>
              <w:t xml:space="preserve"> de </w:t>
            </w:r>
            <w:proofErr w:type="spellStart"/>
            <w:r w:rsidRPr="00260790">
              <w:rPr>
                <w:rFonts w:ascii="Times New Roman" w:hAnsi="Times New Roman"/>
                <w:color w:val="000000" w:themeColor="text1"/>
                <w:sz w:val="22"/>
                <w:szCs w:val="22"/>
              </w:rPr>
              <w:t>l’ouvrage</w:t>
            </w:r>
            <w:proofErr w:type="spellEnd"/>
          </w:p>
        </w:tc>
        <w:tc>
          <w:tcPr>
            <w:tcW w:w="1701" w:type="dxa"/>
            <w:vAlign w:val="center"/>
          </w:tcPr>
          <w:p w14:paraId="312336F1"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Oui</w:t>
            </w:r>
          </w:p>
        </w:tc>
        <w:tc>
          <w:tcPr>
            <w:tcW w:w="1701" w:type="dxa"/>
            <w:vAlign w:val="center"/>
          </w:tcPr>
          <w:p w14:paraId="2EFF96AB"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Oui</w:t>
            </w:r>
          </w:p>
        </w:tc>
        <w:tc>
          <w:tcPr>
            <w:tcW w:w="1843" w:type="dxa"/>
            <w:vAlign w:val="center"/>
          </w:tcPr>
          <w:p w14:paraId="1E43E3CF"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SN"/>
              </w:rPr>
              <w:t>La durée de vie des ouvrages est la même pour les deux variantes</w:t>
            </w:r>
          </w:p>
        </w:tc>
        <w:tc>
          <w:tcPr>
            <w:tcW w:w="1276" w:type="dxa"/>
            <w:vAlign w:val="center"/>
          </w:tcPr>
          <w:p w14:paraId="2D872CD4" w14:textId="77777777" w:rsidR="0028402C" w:rsidRPr="00260790" w:rsidRDefault="0028402C" w:rsidP="00E20250">
            <w:pPr>
              <w:spacing w:line="240" w:lineRule="auto"/>
              <w:jc w:val="center"/>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1 et 2</w:t>
            </w:r>
          </w:p>
        </w:tc>
      </w:tr>
      <w:tr w:rsidR="00BD1A2F" w:rsidRPr="00260790" w14:paraId="15E64AA6" w14:textId="77777777" w:rsidTr="0097258B">
        <w:tc>
          <w:tcPr>
            <w:tcW w:w="1555" w:type="dxa"/>
            <w:vMerge/>
          </w:tcPr>
          <w:p w14:paraId="77CAFCDC" w14:textId="77777777" w:rsidR="0028402C" w:rsidRPr="00260790" w:rsidRDefault="0028402C" w:rsidP="00E20250">
            <w:pPr>
              <w:spacing w:line="240" w:lineRule="auto"/>
              <w:rPr>
                <w:rFonts w:ascii="Times New Roman" w:hAnsi="Times New Roman"/>
                <w:color w:val="000000" w:themeColor="text1"/>
                <w:sz w:val="22"/>
                <w:szCs w:val="22"/>
                <w:lang w:val="fr-FR"/>
              </w:rPr>
            </w:pPr>
          </w:p>
        </w:tc>
        <w:tc>
          <w:tcPr>
            <w:tcW w:w="1842" w:type="dxa"/>
            <w:vAlign w:val="center"/>
          </w:tcPr>
          <w:p w14:paraId="41536A46"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proofErr w:type="spellStart"/>
            <w:r w:rsidRPr="00260790">
              <w:rPr>
                <w:rFonts w:ascii="Times New Roman" w:hAnsi="Times New Roman"/>
                <w:color w:val="000000" w:themeColor="text1"/>
                <w:sz w:val="22"/>
                <w:szCs w:val="22"/>
              </w:rPr>
              <w:t>Facilité</w:t>
            </w:r>
            <w:proofErr w:type="spellEnd"/>
            <w:r w:rsidRPr="00260790">
              <w:rPr>
                <w:rFonts w:ascii="Times New Roman" w:hAnsi="Times New Roman"/>
                <w:color w:val="000000" w:themeColor="text1"/>
                <w:sz w:val="22"/>
                <w:szCs w:val="22"/>
              </w:rPr>
              <w:t xml:space="preserve"> </w:t>
            </w:r>
            <w:proofErr w:type="spellStart"/>
            <w:r w:rsidRPr="00260790">
              <w:rPr>
                <w:rFonts w:ascii="Times New Roman" w:hAnsi="Times New Roman"/>
                <w:color w:val="000000" w:themeColor="text1"/>
                <w:sz w:val="22"/>
                <w:szCs w:val="22"/>
              </w:rPr>
              <w:t>d’entretien</w:t>
            </w:r>
            <w:proofErr w:type="spellEnd"/>
          </w:p>
        </w:tc>
        <w:tc>
          <w:tcPr>
            <w:tcW w:w="1701" w:type="dxa"/>
            <w:vAlign w:val="center"/>
          </w:tcPr>
          <w:p w14:paraId="3820DE11"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proofErr w:type="spellStart"/>
            <w:r w:rsidRPr="00260790">
              <w:rPr>
                <w:rFonts w:ascii="Times New Roman" w:hAnsi="Times New Roman"/>
                <w:color w:val="000000" w:themeColor="text1"/>
                <w:sz w:val="22"/>
                <w:szCs w:val="22"/>
              </w:rPr>
              <w:t>Moins</w:t>
            </w:r>
            <w:proofErr w:type="spellEnd"/>
          </w:p>
        </w:tc>
        <w:tc>
          <w:tcPr>
            <w:tcW w:w="1701" w:type="dxa"/>
            <w:vAlign w:val="center"/>
          </w:tcPr>
          <w:p w14:paraId="5FF3F576"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Plus</w:t>
            </w:r>
          </w:p>
        </w:tc>
        <w:tc>
          <w:tcPr>
            <w:tcW w:w="1843" w:type="dxa"/>
            <w:vAlign w:val="center"/>
          </w:tcPr>
          <w:p w14:paraId="2D1C8E0E"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SN"/>
              </w:rPr>
              <w:t xml:space="preserve">Les collecteurs implantés dans les </w:t>
            </w:r>
            <w:r w:rsidRPr="00260790">
              <w:rPr>
                <w:rFonts w:ascii="Times New Roman" w:hAnsi="Times New Roman"/>
                <w:color w:val="000000" w:themeColor="text1"/>
                <w:sz w:val="22"/>
                <w:szCs w:val="22"/>
                <w:lang w:val="fr-SN"/>
              </w:rPr>
              <w:lastRenderedPageBreak/>
              <w:t>grandes artères offrent plus de facilité d’entretien</w:t>
            </w:r>
          </w:p>
        </w:tc>
        <w:tc>
          <w:tcPr>
            <w:tcW w:w="1276" w:type="dxa"/>
            <w:vAlign w:val="center"/>
          </w:tcPr>
          <w:p w14:paraId="3B826EED" w14:textId="77777777" w:rsidR="0028402C" w:rsidRPr="00260790" w:rsidRDefault="0028402C" w:rsidP="00E20250">
            <w:pPr>
              <w:spacing w:line="240" w:lineRule="auto"/>
              <w:jc w:val="center"/>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lastRenderedPageBreak/>
              <w:t>2</w:t>
            </w:r>
          </w:p>
        </w:tc>
      </w:tr>
      <w:tr w:rsidR="00BD1A2F" w:rsidRPr="00260790" w14:paraId="462A1D5F" w14:textId="77777777" w:rsidTr="0097258B">
        <w:trPr>
          <w:trHeight w:val="102"/>
        </w:trPr>
        <w:tc>
          <w:tcPr>
            <w:tcW w:w="1555" w:type="dxa"/>
            <w:vMerge/>
          </w:tcPr>
          <w:p w14:paraId="3ECA7FE5" w14:textId="77777777" w:rsidR="0028402C" w:rsidRPr="00260790" w:rsidRDefault="0028402C" w:rsidP="00E20250">
            <w:pPr>
              <w:spacing w:line="240" w:lineRule="auto"/>
              <w:rPr>
                <w:rFonts w:ascii="Times New Roman" w:hAnsi="Times New Roman"/>
                <w:color w:val="000000" w:themeColor="text1"/>
                <w:sz w:val="22"/>
                <w:szCs w:val="22"/>
                <w:lang w:val="fr-FR"/>
              </w:rPr>
            </w:pPr>
          </w:p>
        </w:tc>
        <w:tc>
          <w:tcPr>
            <w:tcW w:w="1842" w:type="dxa"/>
            <w:vAlign w:val="center"/>
          </w:tcPr>
          <w:p w14:paraId="799959DE"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SN"/>
              </w:rPr>
              <w:t>Risque de dégradation de l’ouvrage</w:t>
            </w:r>
          </w:p>
        </w:tc>
        <w:tc>
          <w:tcPr>
            <w:tcW w:w="1701" w:type="dxa"/>
            <w:vAlign w:val="center"/>
          </w:tcPr>
          <w:p w14:paraId="0B198626"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proofErr w:type="spellStart"/>
            <w:r w:rsidRPr="00260790">
              <w:rPr>
                <w:rFonts w:ascii="Times New Roman" w:hAnsi="Times New Roman"/>
                <w:color w:val="000000" w:themeColor="text1"/>
                <w:sz w:val="22"/>
                <w:szCs w:val="22"/>
              </w:rPr>
              <w:t>Moins</w:t>
            </w:r>
            <w:proofErr w:type="spellEnd"/>
          </w:p>
        </w:tc>
        <w:tc>
          <w:tcPr>
            <w:tcW w:w="1701" w:type="dxa"/>
            <w:vAlign w:val="center"/>
          </w:tcPr>
          <w:p w14:paraId="6D3C13E1"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Plus</w:t>
            </w:r>
          </w:p>
        </w:tc>
        <w:tc>
          <w:tcPr>
            <w:tcW w:w="1843" w:type="dxa"/>
            <w:vAlign w:val="center"/>
          </w:tcPr>
          <w:p w14:paraId="34D381CB" w14:textId="77777777" w:rsidR="0028402C" w:rsidRPr="00260790" w:rsidRDefault="0028402C" w:rsidP="00194AB1">
            <w:pPr>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SN"/>
              </w:rPr>
              <w:t>Moins de pratiques d’incivisme sur les collecteurs implantés dans les grandes artères</w:t>
            </w:r>
          </w:p>
        </w:tc>
        <w:tc>
          <w:tcPr>
            <w:tcW w:w="1276" w:type="dxa"/>
            <w:vAlign w:val="center"/>
          </w:tcPr>
          <w:p w14:paraId="312727AE" w14:textId="77777777" w:rsidR="0028402C" w:rsidRPr="00260790" w:rsidRDefault="0028402C" w:rsidP="00E20250">
            <w:pPr>
              <w:spacing w:line="240" w:lineRule="auto"/>
              <w:jc w:val="center"/>
              <w:rPr>
                <w:rFonts w:ascii="Times New Roman" w:hAnsi="Times New Roman"/>
                <w:color w:val="000000" w:themeColor="text1"/>
                <w:sz w:val="22"/>
                <w:szCs w:val="22"/>
                <w:lang w:val="fr-FR"/>
              </w:rPr>
            </w:pPr>
            <w:r w:rsidRPr="00260790">
              <w:rPr>
                <w:rFonts w:ascii="Times New Roman" w:hAnsi="Times New Roman"/>
                <w:color w:val="000000" w:themeColor="text1"/>
                <w:sz w:val="22"/>
                <w:szCs w:val="22"/>
              </w:rPr>
              <w:t>2</w:t>
            </w:r>
          </w:p>
        </w:tc>
      </w:tr>
      <w:tr w:rsidR="0028402C" w:rsidRPr="00260790" w14:paraId="70AB1A3F" w14:textId="77777777" w:rsidTr="00194AB1">
        <w:trPr>
          <w:trHeight w:val="102"/>
        </w:trPr>
        <w:tc>
          <w:tcPr>
            <w:tcW w:w="8642" w:type="dxa"/>
            <w:gridSpan w:val="5"/>
            <w:shd w:val="clear" w:color="auto" w:fill="FFFF00"/>
          </w:tcPr>
          <w:p w14:paraId="58B59336" w14:textId="7EF33F06" w:rsidR="0028402C" w:rsidRPr="00260790" w:rsidRDefault="0028402C" w:rsidP="00194AB1">
            <w:pPr>
              <w:spacing w:line="240" w:lineRule="auto"/>
              <w:jc w:val="both"/>
              <w:rPr>
                <w:rFonts w:ascii="Times New Roman" w:hAnsi="Times New Roman"/>
                <w:b/>
                <w:bCs/>
                <w:color w:val="000000" w:themeColor="text1"/>
                <w:sz w:val="22"/>
                <w:szCs w:val="22"/>
                <w:lang w:val="fr-FR"/>
              </w:rPr>
            </w:pPr>
            <w:r w:rsidRPr="00260790">
              <w:rPr>
                <w:rFonts w:ascii="Times New Roman" w:hAnsi="Times New Roman"/>
                <w:b/>
                <w:bCs/>
                <w:color w:val="000000" w:themeColor="text1"/>
                <w:sz w:val="22"/>
                <w:szCs w:val="22"/>
              </w:rPr>
              <w:t>VARIANTE PR</w:t>
            </w:r>
            <w:r w:rsidR="00196EC8" w:rsidRPr="00260790">
              <w:rPr>
                <w:rFonts w:ascii="Times New Roman" w:hAnsi="Times New Roman"/>
                <w:b/>
                <w:bCs/>
                <w:color w:val="000000" w:themeColor="text1"/>
                <w:sz w:val="22"/>
                <w:szCs w:val="22"/>
                <w:lang w:val="fr-FR"/>
              </w:rPr>
              <w:t>ÉFÉ</w:t>
            </w:r>
            <w:r w:rsidRPr="00260790">
              <w:rPr>
                <w:rFonts w:ascii="Times New Roman" w:hAnsi="Times New Roman"/>
                <w:b/>
                <w:bCs/>
                <w:color w:val="000000" w:themeColor="text1"/>
                <w:sz w:val="22"/>
                <w:szCs w:val="22"/>
              </w:rPr>
              <w:t>RABLE APR</w:t>
            </w:r>
            <w:r w:rsidR="00196EC8" w:rsidRPr="00260790">
              <w:rPr>
                <w:rFonts w:ascii="Times New Roman" w:hAnsi="Times New Roman"/>
                <w:b/>
                <w:bCs/>
                <w:color w:val="000000" w:themeColor="text1"/>
                <w:sz w:val="22"/>
                <w:szCs w:val="22"/>
                <w:lang w:val="fr-FR"/>
              </w:rPr>
              <w:t>È</w:t>
            </w:r>
            <w:r w:rsidRPr="00260790">
              <w:rPr>
                <w:rFonts w:ascii="Times New Roman" w:hAnsi="Times New Roman"/>
                <w:b/>
                <w:bCs/>
                <w:color w:val="000000" w:themeColor="text1"/>
                <w:sz w:val="22"/>
                <w:szCs w:val="22"/>
              </w:rPr>
              <w:t>S COMPARAISON</w:t>
            </w:r>
          </w:p>
        </w:tc>
        <w:tc>
          <w:tcPr>
            <w:tcW w:w="1276" w:type="dxa"/>
            <w:shd w:val="clear" w:color="auto" w:fill="FFFF00"/>
            <w:vAlign w:val="center"/>
          </w:tcPr>
          <w:p w14:paraId="48DD6651" w14:textId="77777777" w:rsidR="0028402C" w:rsidRPr="00260790" w:rsidRDefault="0028402C" w:rsidP="00E20250">
            <w:pPr>
              <w:spacing w:line="240" w:lineRule="auto"/>
              <w:jc w:val="center"/>
              <w:rPr>
                <w:rFonts w:ascii="Times New Roman" w:hAnsi="Times New Roman"/>
                <w:b/>
                <w:bCs/>
                <w:color w:val="000000" w:themeColor="text1"/>
                <w:sz w:val="22"/>
                <w:szCs w:val="22"/>
                <w:lang w:val="fr-FR"/>
              </w:rPr>
            </w:pPr>
            <w:r w:rsidRPr="00260790">
              <w:rPr>
                <w:rFonts w:ascii="Times New Roman" w:hAnsi="Times New Roman"/>
                <w:b/>
                <w:bCs/>
                <w:color w:val="000000" w:themeColor="text1"/>
                <w:sz w:val="22"/>
                <w:szCs w:val="22"/>
              </w:rPr>
              <w:t>2</w:t>
            </w:r>
          </w:p>
        </w:tc>
      </w:tr>
    </w:tbl>
    <w:p w14:paraId="6F1AE782" w14:textId="77777777" w:rsidR="0028402C" w:rsidRPr="00260790" w:rsidRDefault="0028402C" w:rsidP="005E61F7">
      <w:pPr>
        <w:spacing w:after="0" w:line="240" w:lineRule="auto"/>
        <w:rPr>
          <w:rFonts w:ascii="Times New Roman" w:hAnsi="Times New Roman"/>
          <w:color w:val="000000" w:themeColor="text1"/>
        </w:rPr>
      </w:pPr>
    </w:p>
    <w:p w14:paraId="7630538B" w14:textId="77777777" w:rsidR="0028402C" w:rsidRPr="00260790" w:rsidRDefault="0028402C" w:rsidP="00E20250">
      <w:pPr>
        <w:spacing w:line="240" w:lineRule="auto"/>
        <w:rPr>
          <w:rFonts w:ascii="Times New Roman" w:hAnsi="Times New Roman"/>
          <w:color w:val="000000" w:themeColor="text1"/>
        </w:rPr>
      </w:pPr>
      <w:r w:rsidRPr="00260790">
        <w:rPr>
          <w:rFonts w:ascii="Times New Roman" w:hAnsi="Times New Roman"/>
          <w:color w:val="000000" w:themeColor="text1"/>
        </w:rPr>
        <w:t>L’analyse comparée des deux variantes montre :</w:t>
      </w:r>
    </w:p>
    <w:p w14:paraId="3701FC4C" w14:textId="77777777" w:rsidR="0028402C" w:rsidRPr="00260790" w:rsidRDefault="0028402C" w:rsidP="001748C6">
      <w:pPr>
        <w:numPr>
          <w:ilvl w:val="0"/>
          <w:numId w:val="138"/>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 </w:t>
      </w:r>
      <w:r w:rsidRPr="00260790">
        <w:rPr>
          <w:rFonts w:ascii="Times New Roman" w:hAnsi="Times New Roman"/>
          <w:b/>
          <w:bCs/>
          <w:color w:val="000000" w:themeColor="text1"/>
        </w:rPr>
        <w:t>variante</w:t>
      </w:r>
      <w:r w:rsidRPr="00260790">
        <w:rPr>
          <w:rFonts w:ascii="Times New Roman" w:hAnsi="Times New Roman"/>
          <w:color w:val="000000" w:themeColor="text1"/>
        </w:rPr>
        <w:t xml:space="preserve"> </w:t>
      </w:r>
      <w:r w:rsidRPr="00260790">
        <w:rPr>
          <w:rFonts w:ascii="Times New Roman" w:hAnsi="Times New Roman"/>
          <w:b/>
          <w:bCs/>
          <w:color w:val="000000" w:themeColor="text1"/>
        </w:rPr>
        <w:t xml:space="preserve">1 </w:t>
      </w:r>
      <w:r w:rsidRPr="00260790">
        <w:rPr>
          <w:rFonts w:ascii="Times New Roman" w:hAnsi="Times New Roman"/>
          <w:color w:val="000000" w:themeColor="text1"/>
        </w:rPr>
        <w:t>(596,17 m de long) présente des coûts de construction moindre par rapport à la variante 2. Mais les risques d’accidents et de pertes d’arbres y sont plus élevés.</w:t>
      </w:r>
    </w:p>
    <w:p w14:paraId="6238D2BD" w14:textId="2669FF3A" w:rsidR="0028402C" w:rsidRPr="00260790" w:rsidRDefault="0028402C" w:rsidP="001748C6">
      <w:pPr>
        <w:numPr>
          <w:ilvl w:val="0"/>
          <w:numId w:val="138"/>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 </w:t>
      </w:r>
      <w:r w:rsidRPr="00260790">
        <w:rPr>
          <w:rFonts w:ascii="Times New Roman" w:hAnsi="Times New Roman"/>
          <w:b/>
          <w:bCs/>
          <w:color w:val="000000" w:themeColor="text1"/>
        </w:rPr>
        <w:t xml:space="preserve">variante 2 </w:t>
      </w:r>
      <w:r w:rsidRPr="00260790">
        <w:rPr>
          <w:rFonts w:ascii="Times New Roman" w:hAnsi="Times New Roman"/>
          <w:color w:val="000000" w:themeColor="text1"/>
        </w:rPr>
        <w:t xml:space="preserve">(1767,55 m de long), présente moins </w:t>
      </w:r>
      <w:r w:rsidR="00EF1302">
        <w:rPr>
          <w:rFonts w:ascii="Times New Roman" w:hAnsi="Times New Roman"/>
          <w:color w:val="000000" w:themeColor="text1"/>
        </w:rPr>
        <w:t>d’</w:t>
      </w:r>
      <w:r w:rsidR="00351C36">
        <w:rPr>
          <w:rFonts w:ascii="Times New Roman" w:hAnsi="Times New Roman"/>
          <w:color w:val="000000" w:themeColor="text1"/>
        </w:rPr>
        <w:t>impacts socio-économiques sur les biens et actifs des populations</w:t>
      </w:r>
      <w:r w:rsidR="00A5201F">
        <w:rPr>
          <w:rFonts w:ascii="Times New Roman" w:hAnsi="Times New Roman"/>
          <w:color w:val="000000" w:themeColor="text1"/>
        </w:rPr>
        <w:t xml:space="preserve"> et sur les équipements sociaux communautaires, moins </w:t>
      </w:r>
      <w:r w:rsidRPr="00260790">
        <w:rPr>
          <w:rFonts w:ascii="Times New Roman" w:hAnsi="Times New Roman"/>
          <w:color w:val="000000" w:themeColor="text1"/>
        </w:rPr>
        <w:t xml:space="preserve">de risques d’accident dans l’emprise, de difficultés techniques de mise en œuvre, de risque de dégradation de l’ouvrage et offre plus de facilité d’entretien. </w:t>
      </w:r>
    </w:p>
    <w:p w14:paraId="38F9826A" w14:textId="77777777" w:rsidR="0028402C" w:rsidRPr="00260790" w:rsidRDefault="0028402C"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deux variantes présentent, toutes, des avantages et inconvénients sur les plans socio-environnementaux et technico-économiques. Cependant, la </w:t>
      </w:r>
      <w:r w:rsidRPr="00260790">
        <w:rPr>
          <w:rFonts w:ascii="Times New Roman" w:hAnsi="Times New Roman"/>
          <w:b/>
          <w:bCs/>
          <w:color w:val="000000" w:themeColor="text1"/>
        </w:rPr>
        <w:t>variante 2</w:t>
      </w:r>
      <w:r w:rsidRPr="00260790">
        <w:rPr>
          <w:rFonts w:ascii="Times New Roman" w:hAnsi="Times New Roman"/>
          <w:color w:val="000000" w:themeColor="text1"/>
        </w:rPr>
        <w:t xml:space="preserve"> est vivement recommandée.</w:t>
      </w:r>
    </w:p>
    <w:p w14:paraId="2F7A7A23" w14:textId="6941FD46" w:rsidR="000676A1" w:rsidRPr="00260790" w:rsidRDefault="005F3FB7" w:rsidP="00E20250">
      <w:pPr>
        <w:pStyle w:val="Titre1"/>
        <w:rPr>
          <w:rFonts w:ascii="Times New Roman" w:hAnsi="Times New Roman"/>
        </w:rPr>
      </w:pPr>
      <w:bookmarkStart w:id="592" w:name="_Toc212725128"/>
      <w:r w:rsidRPr="00260790">
        <w:rPr>
          <w:rFonts w:ascii="Times New Roman" w:hAnsi="Times New Roman"/>
        </w:rPr>
        <w:t>ANALYSE ET ÉVALUATION DES RISQUES ET IMPACTS POTENTIELS</w:t>
      </w:r>
      <w:bookmarkEnd w:id="592"/>
      <w:r w:rsidRPr="00260790">
        <w:rPr>
          <w:rFonts w:ascii="Times New Roman" w:hAnsi="Times New Roman"/>
        </w:rPr>
        <w:t xml:space="preserve"> </w:t>
      </w:r>
    </w:p>
    <w:p w14:paraId="29CE8BB2" w14:textId="1F89FE83" w:rsidR="00DE241D" w:rsidRPr="00260790" w:rsidRDefault="00EC6029" w:rsidP="001748C6">
      <w:pPr>
        <w:pStyle w:val="Normaltableau0"/>
        <w:numPr>
          <w:ilvl w:val="1"/>
          <w:numId w:val="139"/>
        </w:numPr>
        <w:outlineLvl w:val="1"/>
        <w:rPr>
          <w:rFonts w:ascii="Times New Roman" w:hAnsi="Times New Roman"/>
          <w:b/>
          <w:bCs/>
          <w:sz w:val="22"/>
          <w:szCs w:val="22"/>
        </w:rPr>
      </w:pPr>
      <w:bookmarkStart w:id="593" w:name="_Toc212725129"/>
      <w:r w:rsidRPr="00260790">
        <w:rPr>
          <w:rFonts w:ascii="Times New Roman" w:hAnsi="Times New Roman"/>
          <w:b/>
          <w:bCs/>
          <w:sz w:val="22"/>
          <w:szCs w:val="22"/>
        </w:rPr>
        <w:t>D</w:t>
      </w:r>
      <w:r w:rsidR="00DE241D" w:rsidRPr="00260790">
        <w:rPr>
          <w:rFonts w:ascii="Times New Roman" w:hAnsi="Times New Roman"/>
          <w:b/>
          <w:bCs/>
          <w:sz w:val="22"/>
          <w:szCs w:val="22"/>
        </w:rPr>
        <w:t>émarche méthodologique</w:t>
      </w:r>
      <w:bookmarkEnd w:id="593"/>
      <w:r w:rsidR="00DE241D" w:rsidRPr="00260790">
        <w:rPr>
          <w:rFonts w:ascii="Times New Roman" w:hAnsi="Times New Roman"/>
          <w:b/>
          <w:bCs/>
          <w:sz w:val="22"/>
          <w:szCs w:val="22"/>
        </w:rPr>
        <w:t xml:space="preserve"> </w:t>
      </w:r>
    </w:p>
    <w:p w14:paraId="73D2068D"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L’analyse des effets environnementaux a été faite en deux étapes : l’identification des impacts et risques et leur évaluation. </w:t>
      </w:r>
    </w:p>
    <w:p w14:paraId="7BE3E6A0" w14:textId="27F1560D"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Il faut noter que les termes « </w:t>
      </w:r>
      <w:r w:rsidRPr="00260790">
        <w:rPr>
          <w:rFonts w:ascii="Times New Roman" w:hAnsi="Times New Roman"/>
          <w:i/>
          <w:iCs/>
          <w:color w:val="000000" w:themeColor="text1"/>
        </w:rPr>
        <w:t xml:space="preserve">effet environnemental </w:t>
      </w:r>
      <w:r w:rsidRPr="00260790">
        <w:rPr>
          <w:rFonts w:ascii="Times New Roman" w:hAnsi="Times New Roman"/>
          <w:color w:val="000000" w:themeColor="text1"/>
        </w:rPr>
        <w:t xml:space="preserve">» et « </w:t>
      </w:r>
      <w:r w:rsidRPr="00260790">
        <w:rPr>
          <w:rFonts w:ascii="Times New Roman" w:hAnsi="Times New Roman"/>
          <w:i/>
          <w:iCs/>
          <w:color w:val="000000" w:themeColor="text1"/>
        </w:rPr>
        <w:t xml:space="preserve">impact environnemental </w:t>
      </w:r>
      <w:r w:rsidRPr="00260790">
        <w:rPr>
          <w:rFonts w:ascii="Times New Roman" w:hAnsi="Times New Roman"/>
          <w:color w:val="000000" w:themeColor="text1"/>
        </w:rPr>
        <w:t xml:space="preserve">» sont des synonymes pour les besoins de cette étude. </w:t>
      </w:r>
    </w:p>
    <w:p w14:paraId="711381F5" w14:textId="77777777" w:rsidR="00DE241D" w:rsidRPr="00260790" w:rsidRDefault="00DE241D" w:rsidP="001748C6">
      <w:pPr>
        <w:pStyle w:val="Paragraphedeliste"/>
        <w:numPr>
          <w:ilvl w:val="1"/>
          <w:numId w:val="281"/>
        </w:numPr>
        <w:spacing w:after="0" w:line="240" w:lineRule="auto"/>
        <w:jc w:val="both"/>
        <w:rPr>
          <w:rFonts w:ascii="Times New Roman" w:hAnsi="Times New Roman"/>
          <w:b/>
          <w:color w:val="000000" w:themeColor="text1"/>
        </w:rPr>
      </w:pPr>
      <w:r w:rsidRPr="00260790">
        <w:rPr>
          <w:rFonts w:ascii="Times New Roman" w:hAnsi="Times New Roman"/>
          <w:b/>
          <w:color w:val="000000" w:themeColor="text1"/>
        </w:rPr>
        <w:t>Identification des sources d’impacts environnementaux et sociaux</w:t>
      </w:r>
    </w:p>
    <w:p w14:paraId="146D7B55"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Les impacts environnementaux et sociaux du projet ont été identifiés sur la base des activités projetées, des produits/équipements susceptibles d’être utilisés, et des interactions de ceux-ci avec les composantes environnementales et sociales du milieu. Les activités, équipements, produits… utilisés dans le cadre du projet constitueront les sources ; et les composantes environnementales et sociales du milieu, les récepteurs d’impacts et de risques.</w:t>
      </w:r>
    </w:p>
    <w:p w14:paraId="472131F0" w14:textId="703F1A2B"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L’identification des impacts a été faite aux différentes phases du projet (libération des emprises, construction et exploitation des ouvrages). Le tableau suivant présente les activités sources d’impacts.</w:t>
      </w:r>
    </w:p>
    <w:p w14:paraId="5F8597A8" w14:textId="5DFBAE20" w:rsidR="00DE241D" w:rsidRPr="00260790" w:rsidRDefault="00DE241D" w:rsidP="00E20250">
      <w:pPr>
        <w:pStyle w:val="Lgende"/>
        <w:keepNext/>
        <w:spacing w:line="240" w:lineRule="auto"/>
        <w:rPr>
          <w:b/>
          <w:color w:val="000000" w:themeColor="text1"/>
          <w:sz w:val="22"/>
          <w:szCs w:val="22"/>
        </w:rPr>
      </w:pPr>
      <w:bookmarkStart w:id="594" w:name="_Toc207781859"/>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18</w:t>
      </w:r>
      <w:r w:rsidRPr="00260790">
        <w:rPr>
          <w:color w:val="000000" w:themeColor="text1"/>
          <w:sz w:val="22"/>
          <w:szCs w:val="22"/>
        </w:rPr>
        <w:fldChar w:fldCharType="end"/>
      </w:r>
      <w:r w:rsidRPr="00260790">
        <w:rPr>
          <w:color w:val="000000" w:themeColor="text1"/>
          <w:sz w:val="22"/>
          <w:szCs w:val="22"/>
        </w:rPr>
        <w:t xml:space="preserve"> : sources d’impacts/facteurs de risques du projet</w:t>
      </w:r>
      <w:bookmarkEnd w:id="594"/>
      <w:r w:rsidRPr="00260790">
        <w:rPr>
          <w:color w:val="000000" w:themeColor="text1"/>
          <w:sz w:val="22"/>
          <w:szCs w:val="22"/>
        </w:rPr>
        <w:t xml:space="preserve"> </w:t>
      </w:r>
    </w:p>
    <w:tbl>
      <w:tblPr>
        <w:tblStyle w:val="Grilledutableau"/>
        <w:tblW w:w="0" w:type="auto"/>
        <w:tblLook w:val="04A0" w:firstRow="1" w:lastRow="0" w:firstColumn="1" w:lastColumn="0" w:noHBand="0" w:noVBand="1"/>
      </w:tblPr>
      <w:tblGrid>
        <w:gridCol w:w="2057"/>
        <w:gridCol w:w="7003"/>
      </w:tblGrid>
      <w:tr w:rsidR="00BD1A2F" w:rsidRPr="00260790" w14:paraId="12AD2881" w14:textId="77777777" w:rsidTr="003A0E4A">
        <w:trPr>
          <w:trHeight w:val="71"/>
          <w:tblHeader/>
        </w:trPr>
        <w:tc>
          <w:tcPr>
            <w:tcW w:w="2122" w:type="dxa"/>
            <w:shd w:val="clear" w:color="auto" w:fill="92D050"/>
            <w:hideMark/>
          </w:tcPr>
          <w:p w14:paraId="2317EF36"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lang w:val="fr-FR"/>
              </w:rPr>
            </w:pPr>
            <w:r w:rsidRPr="00260790">
              <w:rPr>
                <w:rFonts w:ascii="Times New Roman" w:hAnsi="Times New Roman" w:cs="Times New Roman"/>
                <w:b/>
                <w:bCs/>
                <w:color w:val="000000" w:themeColor="text1"/>
                <w:sz w:val="22"/>
                <w:szCs w:val="22"/>
                <w:lang w:val="fr-FR"/>
              </w:rPr>
              <w:t>Phases</w:t>
            </w:r>
          </w:p>
        </w:tc>
        <w:tc>
          <w:tcPr>
            <w:tcW w:w="7578" w:type="dxa"/>
            <w:shd w:val="clear" w:color="auto" w:fill="92D050"/>
            <w:hideMark/>
          </w:tcPr>
          <w:p w14:paraId="6840A2A9" w14:textId="77777777" w:rsidR="00DE241D" w:rsidRPr="00260790" w:rsidRDefault="00DE241D" w:rsidP="00E20250">
            <w:pPr>
              <w:pStyle w:val="Default"/>
              <w:overflowPunct w:val="0"/>
              <w:jc w:val="center"/>
              <w:textAlignment w:val="baseline"/>
              <w:rPr>
                <w:rFonts w:ascii="Times New Roman" w:hAnsi="Times New Roman" w:cs="Times New Roman"/>
                <w:b/>
                <w:bCs/>
                <w:color w:val="000000" w:themeColor="text1"/>
                <w:sz w:val="22"/>
                <w:szCs w:val="22"/>
                <w:lang w:val="fr-FR"/>
              </w:rPr>
            </w:pPr>
            <w:r w:rsidRPr="00260790">
              <w:rPr>
                <w:rFonts w:ascii="Times New Roman" w:hAnsi="Times New Roman" w:cs="Times New Roman"/>
                <w:b/>
                <w:bCs/>
                <w:color w:val="000000" w:themeColor="text1"/>
                <w:sz w:val="22"/>
                <w:szCs w:val="22"/>
                <w:lang w:val="fr-FR"/>
              </w:rPr>
              <w:t>Activités sources d’impacts</w:t>
            </w:r>
          </w:p>
        </w:tc>
      </w:tr>
      <w:tr w:rsidR="00BD1A2F" w:rsidRPr="00260790" w14:paraId="70FFC202" w14:textId="77777777" w:rsidTr="003A0E4A">
        <w:tc>
          <w:tcPr>
            <w:tcW w:w="2122" w:type="dxa"/>
            <w:vAlign w:val="center"/>
            <w:hideMark/>
          </w:tcPr>
          <w:p w14:paraId="17F7A10D"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lang w:val="fr-FR"/>
              </w:rPr>
            </w:pPr>
            <w:r w:rsidRPr="00260790">
              <w:rPr>
                <w:rFonts w:ascii="Times New Roman" w:hAnsi="Times New Roman" w:cs="Times New Roman"/>
                <w:b/>
                <w:bCs/>
                <w:color w:val="000000" w:themeColor="text1"/>
                <w:sz w:val="22"/>
                <w:szCs w:val="22"/>
                <w:lang w:val="fr-FR"/>
              </w:rPr>
              <w:t>Libération d’emprises</w:t>
            </w:r>
          </w:p>
        </w:tc>
        <w:tc>
          <w:tcPr>
            <w:tcW w:w="7578" w:type="dxa"/>
          </w:tcPr>
          <w:p w14:paraId="11EA2E71"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lang w:val="fr-FR"/>
              </w:rPr>
            </w:pPr>
            <w:r w:rsidRPr="00260790">
              <w:rPr>
                <w:rFonts w:ascii="Times New Roman" w:hAnsi="Times New Roman" w:cs="Times New Roman"/>
                <w:color w:val="000000" w:themeColor="text1"/>
                <w:sz w:val="22"/>
                <w:szCs w:val="22"/>
                <w:lang w:val="fr-FR"/>
              </w:rPr>
              <w:t xml:space="preserve">Inventaire des biens et paiement des indemnisations ; </w:t>
            </w:r>
          </w:p>
          <w:p w14:paraId="600459CC"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lang w:val="fr-FR"/>
              </w:rPr>
            </w:pPr>
            <w:r w:rsidRPr="00260790">
              <w:rPr>
                <w:rFonts w:ascii="Times New Roman" w:hAnsi="Times New Roman" w:cs="Times New Roman"/>
                <w:color w:val="000000" w:themeColor="text1"/>
                <w:sz w:val="22"/>
                <w:szCs w:val="22"/>
                <w:lang w:val="fr-FR"/>
              </w:rPr>
              <w:t>Déboisement et gestion des résidus ligneux ;</w:t>
            </w:r>
          </w:p>
          <w:p w14:paraId="21F5E285"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lang w:val="fr-FR"/>
              </w:rPr>
            </w:pPr>
            <w:r w:rsidRPr="00260790">
              <w:rPr>
                <w:rFonts w:ascii="Times New Roman" w:hAnsi="Times New Roman" w:cs="Times New Roman"/>
                <w:color w:val="000000" w:themeColor="text1"/>
                <w:sz w:val="22"/>
                <w:szCs w:val="22"/>
                <w:lang w:val="fr-FR"/>
              </w:rPr>
              <w:t>Mobilisation des travailleurs</w:t>
            </w:r>
          </w:p>
        </w:tc>
      </w:tr>
      <w:tr w:rsidR="00BD1A2F" w:rsidRPr="00260790" w14:paraId="10D98DA9" w14:textId="77777777" w:rsidTr="003A0E4A">
        <w:tc>
          <w:tcPr>
            <w:tcW w:w="2122" w:type="dxa"/>
            <w:vAlign w:val="center"/>
            <w:hideMark/>
          </w:tcPr>
          <w:p w14:paraId="1EC2C1B0"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lang w:val="fr-FR"/>
              </w:rPr>
            </w:pPr>
            <w:r w:rsidRPr="00260790">
              <w:rPr>
                <w:rFonts w:ascii="Times New Roman" w:hAnsi="Times New Roman" w:cs="Times New Roman"/>
                <w:b/>
                <w:bCs/>
                <w:color w:val="000000" w:themeColor="text1"/>
                <w:sz w:val="22"/>
                <w:szCs w:val="22"/>
                <w:lang w:val="fr-FR"/>
              </w:rPr>
              <w:t>Construction</w:t>
            </w:r>
          </w:p>
        </w:tc>
        <w:tc>
          <w:tcPr>
            <w:tcW w:w="7578" w:type="dxa"/>
          </w:tcPr>
          <w:p w14:paraId="308D3343"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lang w:val="fr-FR"/>
              </w:rPr>
            </w:pPr>
            <w:r w:rsidRPr="00260790">
              <w:rPr>
                <w:rFonts w:ascii="Times New Roman" w:hAnsi="Times New Roman" w:cs="Times New Roman"/>
                <w:color w:val="000000" w:themeColor="text1"/>
                <w:sz w:val="22"/>
                <w:szCs w:val="22"/>
                <w:lang w:val="fr-FR"/>
              </w:rPr>
              <w:t>Aménagement de chemins d'accès aux sites des travaux ;</w:t>
            </w:r>
          </w:p>
          <w:p w14:paraId="33F45F44"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lang w:val="fr-FR"/>
              </w:rPr>
            </w:pPr>
            <w:r w:rsidRPr="00260790">
              <w:rPr>
                <w:rFonts w:ascii="Times New Roman" w:hAnsi="Times New Roman" w:cs="Times New Roman"/>
                <w:color w:val="000000" w:themeColor="text1"/>
                <w:sz w:val="22"/>
                <w:szCs w:val="22"/>
                <w:lang w:val="fr-FR"/>
              </w:rPr>
              <w:t>Installation et fonctionnement de la base de chantier ;</w:t>
            </w:r>
          </w:p>
          <w:p w14:paraId="40F789F2" w14:textId="7696EC94"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lang w:val="fr-FR"/>
              </w:rPr>
            </w:pPr>
            <w:r w:rsidRPr="00260790">
              <w:rPr>
                <w:rFonts w:ascii="Times New Roman" w:hAnsi="Times New Roman" w:cs="Times New Roman"/>
                <w:color w:val="000000" w:themeColor="text1"/>
                <w:sz w:val="22"/>
                <w:szCs w:val="22"/>
                <w:lang w:val="fr-FR"/>
              </w:rPr>
              <w:t>Transport et circulation associé</w:t>
            </w:r>
            <w:r w:rsidR="00196EC8" w:rsidRPr="00260790">
              <w:rPr>
                <w:rFonts w:ascii="Times New Roman" w:hAnsi="Times New Roman" w:cs="Times New Roman"/>
                <w:color w:val="000000" w:themeColor="text1"/>
                <w:sz w:val="22"/>
                <w:szCs w:val="22"/>
                <w:lang w:val="fr-FR"/>
              </w:rPr>
              <w:t>s</w:t>
            </w:r>
            <w:r w:rsidRPr="00260790">
              <w:rPr>
                <w:rFonts w:ascii="Times New Roman" w:hAnsi="Times New Roman" w:cs="Times New Roman"/>
                <w:color w:val="000000" w:themeColor="text1"/>
                <w:sz w:val="22"/>
                <w:szCs w:val="22"/>
                <w:lang w:val="fr-FR"/>
              </w:rPr>
              <w:t xml:space="preserve"> aux déplacements de la main-d’œuvre et l’acheminement des matériaux et équipements ;</w:t>
            </w:r>
          </w:p>
          <w:p w14:paraId="7373E55F"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lang w:val="fr-FR"/>
              </w:rPr>
            </w:pPr>
            <w:r w:rsidRPr="00260790">
              <w:rPr>
                <w:rFonts w:ascii="Times New Roman" w:hAnsi="Times New Roman" w:cs="Times New Roman"/>
                <w:color w:val="000000" w:themeColor="text1"/>
                <w:sz w:val="22"/>
                <w:szCs w:val="22"/>
                <w:lang w:val="fr-FR"/>
              </w:rPr>
              <w:t>Travaux d'excavation et de terrassement ;</w:t>
            </w:r>
          </w:p>
          <w:p w14:paraId="40337342"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lang w:val="fr-FR"/>
              </w:rPr>
            </w:pPr>
            <w:r w:rsidRPr="00260790">
              <w:rPr>
                <w:rFonts w:ascii="Times New Roman" w:hAnsi="Times New Roman" w:cs="Times New Roman"/>
                <w:color w:val="000000" w:themeColor="text1"/>
                <w:sz w:val="22"/>
                <w:szCs w:val="22"/>
                <w:lang w:val="fr-FR"/>
              </w:rPr>
              <w:t>Aménagement des ouvrages et des infrastructures connexes ;</w:t>
            </w:r>
          </w:p>
        </w:tc>
      </w:tr>
      <w:tr w:rsidR="00BD1A2F" w:rsidRPr="00260790" w14:paraId="0F1D19DF" w14:textId="77777777" w:rsidTr="003A0E4A">
        <w:tc>
          <w:tcPr>
            <w:tcW w:w="2122" w:type="dxa"/>
            <w:vAlign w:val="center"/>
            <w:hideMark/>
          </w:tcPr>
          <w:p w14:paraId="051C4857"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lang w:val="fr-FR"/>
              </w:rPr>
            </w:pPr>
            <w:r w:rsidRPr="00260790">
              <w:rPr>
                <w:rFonts w:ascii="Times New Roman" w:hAnsi="Times New Roman" w:cs="Times New Roman"/>
                <w:b/>
                <w:bCs/>
                <w:color w:val="000000" w:themeColor="text1"/>
                <w:sz w:val="22"/>
                <w:szCs w:val="22"/>
                <w:lang w:val="fr-FR"/>
              </w:rPr>
              <w:lastRenderedPageBreak/>
              <w:t>Exploitation</w:t>
            </w:r>
          </w:p>
        </w:tc>
        <w:tc>
          <w:tcPr>
            <w:tcW w:w="7578" w:type="dxa"/>
            <w:hideMark/>
          </w:tcPr>
          <w:p w14:paraId="290FF112"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lang w:val="fr-FR"/>
              </w:rPr>
            </w:pPr>
            <w:r w:rsidRPr="00260790">
              <w:rPr>
                <w:rFonts w:ascii="Times New Roman" w:hAnsi="Times New Roman" w:cs="Times New Roman"/>
                <w:color w:val="000000" w:themeColor="text1"/>
                <w:sz w:val="22"/>
                <w:szCs w:val="22"/>
                <w:lang w:val="fr-FR"/>
              </w:rPr>
              <w:t>Fonctionnement des ouvrages</w:t>
            </w:r>
          </w:p>
          <w:p w14:paraId="63A0139B"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lang w:val="fr-FR"/>
              </w:rPr>
            </w:pPr>
            <w:r w:rsidRPr="00260790">
              <w:rPr>
                <w:rFonts w:ascii="Times New Roman" w:hAnsi="Times New Roman" w:cs="Times New Roman"/>
                <w:color w:val="000000" w:themeColor="text1"/>
                <w:sz w:val="22"/>
                <w:szCs w:val="22"/>
                <w:lang w:val="fr-FR"/>
              </w:rPr>
              <w:t>Entretien des ouvrages ;</w:t>
            </w:r>
          </w:p>
        </w:tc>
      </w:tr>
    </w:tbl>
    <w:p w14:paraId="6A763D73" w14:textId="77777777" w:rsidR="00DE241D" w:rsidRPr="00260790" w:rsidRDefault="00DE241D" w:rsidP="00E20250">
      <w:pPr>
        <w:spacing w:after="0" w:line="240" w:lineRule="auto"/>
        <w:jc w:val="both"/>
        <w:rPr>
          <w:rFonts w:ascii="Times New Roman" w:hAnsi="Times New Roman"/>
          <w:color w:val="000000" w:themeColor="text1"/>
        </w:rPr>
      </w:pPr>
    </w:p>
    <w:p w14:paraId="552062E1" w14:textId="56E42679"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Les composantes environnementales et sociales susceptibles d’être affecté</w:t>
      </w:r>
      <w:r w:rsidR="00196EC8" w:rsidRPr="00260790">
        <w:rPr>
          <w:rFonts w:ascii="Times New Roman" w:hAnsi="Times New Roman"/>
          <w:color w:val="000000" w:themeColor="text1"/>
        </w:rPr>
        <w:t>e</w:t>
      </w:r>
      <w:r w:rsidRPr="00260790">
        <w:rPr>
          <w:rFonts w:ascii="Times New Roman" w:hAnsi="Times New Roman"/>
          <w:color w:val="000000" w:themeColor="text1"/>
        </w:rPr>
        <w:t xml:space="preserve">s par le projet sont résumées ci-dessous. </w:t>
      </w:r>
    </w:p>
    <w:p w14:paraId="567E467A" w14:textId="4437FBAE" w:rsidR="00DE241D" w:rsidRPr="00260790" w:rsidRDefault="00DE241D" w:rsidP="005E61F7">
      <w:pPr>
        <w:pStyle w:val="Lgende"/>
        <w:keepNext/>
        <w:spacing w:line="240" w:lineRule="auto"/>
        <w:rPr>
          <w:color w:val="000000" w:themeColor="text1"/>
          <w:sz w:val="22"/>
          <w:szCs w:val="22"/>
        </w:rPr>
      </w:pPr>
      <w:bookmarkStart w:id="595" w:name="_Toc207781860"/>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19</w:t>
      </w:r>
      <w:r w:rsidRPr="00260790">
        <w:rPr>
          <w:color w:val="000000" w:themeColor="text1"/>
          <w:sz w:val="22"/>
          <w:szCs w:val="22"/>
        </w:rPr>
        <w:fldChar w:fldCharType="end"/>
      </w:r>
      <w:r w:rsidRPr="00260790">
        <w:rPr>
          <w:color w:val="000000" w:themeColor="text1"/>
          <w:sz w:val="22"/>
          <w:szCs w:val="22"/>
        </w:rPr>
        <w:t xml:space="preserve"> : les récepteurs d’impacts du projet</w:t>
      </w:r>
      <w:bookmarkEnd w:id="595"/>
      <w:r w:rsidRPr="00260790">
        <w:rPr>
          <w:color w:val="000000" w:themeColor="text1"/>
          <w:sz w:val="22"/>
          <w:szCs w:val="22"/>
        </w:rPr>
        <w:t xml:space="preserve"> </w:t>
      </w:r>
    </w:p>
    <w:tbl>
      <w:tblPr>
        <w:tblStyle w:val="Grilledutableau"/>
        <w:tblW w:w="9067" w:type="dxa"/>
        <w:tblLook w:val="04A0" w:firstRow="1" w:lastRow="0" w:firstColumn="1" w:lastColumn="0" w:noHBand="0" w:noVBand="1"/>
      </w:tblPr>
      <w:tblGrid>
        <w:gridCol w:w="1219"/>
        <w:gridCol w:w="7848"/>
      </w:tblGrid>
      <w:tr w:rsidR="00BD1A2F" w:rsidRPr="00260790" w14:paraId="13B02E49" w14:textId="77777777" w:rsidTr="005E61F7">
        <w:tc>
          <w:tcPr>
            <w:tcW w:w="0" w:type="auto"/>
            <w:shd w:val="clear" w:color="auto" w:fill="92D050"/>
            <w:vAlign w:val="center"/>
            <w:hideMark/>
          </w:tcPr>
          <w:p w14:paraId="45629002" w14:textId="77777777" w:rsidR="00DE241D" w:rsidRPr="00260790" w:rsidRDefault="00DE241D" w:rsidP="005E61F7">
            <w:pPr>
              <w:pStyle w:val="Default"/>
              <w:overflowPunct w:val="0"/>
              <w:jc w:val="center"/>
              <w:textAlignment w:val="baseline"/>
              <w:rPr>
                <w:rFonts w:ascii="Times New Roman" w:hAnsi="Times New Roman" w:cs="Times New Roman"/>
                <w:b/>
                <w:bCs/>
                <w:color w:val="000000" w:themeColor="text1"/>
                <w:sz w:val="22"/>
                <w:szCs w:val="22"/>
                <w:lang w:val="fr-FR"/>
              </w:rPr>
            </w:pPr>
            <w:r w:rsidRPr="00260790">
              <w:rPr>
                <w:rFonts w:ascii="Times New Roman" w:hAnsi="Times New Roman" w:cs="Times New Roman"/>
                <w:b/>
                <w:bCs/>
                <w:color w:val="000000" w:themeColor="text1"/>
                <w:sz w:val="22"/>
                <w:szCs w:val="22"/>
                <w:lang w:val="fr-FR"/>
              </w:rPr>
              <w:t>Milieux</w:t>
            </w:r>
          </w:p>
        </w:tc>
        <w:tc>
          <w:tcPr>
            <w:tcW w:w="7848" w:type="dxa"/>
            <w:shd w:val="clear" w:color="auto" w:fill="92D050"/>
            <w:hideMark/>
          </w:tcPr>
          <w:p w14:paraId="713B86D3" w14:textId="77777777" w:rsidR="00DE241D" w:rsidRPr="00260790" w:rsidRDefault="00DE241D" w:rsidP="005E61F7">
            <w:pPr>
              <w:pStyle w:val="Default"/>
              <w:overflowPunct w:val="0"/>
              <w:jc w:val="center"/>
              <w:textAlignment w:val="baseline"/>
              <w:rPr>
                <w:rFonts w:ascii="Times New Roman" w:hAnsi="Times New Roman" w:cs="Times New Roman"/>
                <w:b/>
                <w:bCs/>
                <w:color w:val="000000" w:themeColor="text1"/>
                <w:sz w:val="22"/>
                <w:szCs w:val="22"/>
                <w:lang w:val="fr-FR"/>
              </w:rPr>
            </w:pPr>
            <w:r w:rsidRPr="00260790">
              <w:rPr>
                <w:rFonts w:ascii="Times New Roman" w:hAnsi="Times New Roman" w:cs="Times New Roman"/>
                <w:b/>
                <w:bCs/>
                <w:color w:val="000000" w:themeColor="text1"/>
                <w:sz w:val="22"/>
                <w:szCs w:val="22"/>
                <w:lang w:val="fr-FR"/>
              </w:rPr>
              <w:t>Composantes</w:t>
            </w:r>
          </w:p>
        </w:tc>
      </w:tr>
      <w:tr w:rsidR="00BD1A2F" w:rsidRPr="00260790" w14:paraId="67977D85" w14:textId="77777777" w:rsidTr="005E61F7">
        <w:tc>
          <w:tcPr>
            <w:tcW w:w="0" w:type="auto"/>
            <w:vAlign w:val="center"/>
            <w:hideMark/>
          </w:tcPr>
          <w:p w14:paraId="68EC7411" w14:textId="77777777" w:rsidR="00DE241D" w:rsidRPr="00260790" w:rsidRDefault="00DE241D" w:rsidP="005E61F7">
            <w:pPr>
              <w:pStyle w:val="Default"/>
              <w:overflowPunct w:val="0"/>
              <w:textAlignment w:val="baseline"/>
              <w:rPr>
                <w:rFonts w:ascii="Times New Roman" w:hAnsi="Times New Roman" w:cs="Times New Roman"/>
                <w:b/>
                <w:bCs/>
                <w:color w:val="000000" w:themeColor="text1"/>
                <w:sz w:val="22"/>
                <w:szCs w:val="22"/>
                <w:lang w:val="fr-FR"/>
              </w:rPr>
            </w:pPr>
            <w:r w:rsidRPr="00260790">
              <w:rPr>
                <w:rFonts w:ascii="Times New Roman" w:hAnsi="Times New Roman" w:cs="Times New Roman"/>
                <w:b/>
                <w:bCs/>
                <w:color w:val="000000" w:themeColor="text1"/>
                <w:sz w:val="22"/>
                <w:szCs w:val="22"/>
                <w:lang w:val="fr-FR"/>
              </w:rPr>
              <w:t>Physique</w:t>
            </w:r>
          </w:p>
        </w:tc>
        <w:tc>
          <w:tcPr>
            <w:tcW w:w="7848" w:type="dxa"/>
            <w:hideMark/>
          </w:tcPr>
          <w:p w14:paraId="522DB04D" w14:textId="77777777" w:rsidR="00DE241D" w:rsidRPr="00260790" w:rsidRDefault="00DE241D" w:rsidP="001748C6">
            <w:pPr>
              <w:pStyle w:val="Default"/>
              <w:numPr>
                <w:ilvl w:val="0"/>
                <w:numId w:val="277"/>
              </w:numPr>
              <w:overflowPunct w:val="0"/>
              <w:ind w:left="0"/>
              <w:textAlignment w:val="baseline"/>
              <w:rPr>
                <w:rFonts w:ascii="Times New Roman" w:hAnsi="Times New Roman" w:cs="Times New Roman"/>
                <w:color w:val="000000" w:themeColor="text1"/>
                <w:sz w:val="22"/>
                <w:szCs w:val="22"/>
                <w:lang w:val="fr-FR"/>
              </w:rPr>
            </w:pPr>
            <w:r w:rsidRPr="00260790">
              <w:rPr>
                <w:rFonts w:ascii="Times New Roman" w:hAnsi="Times New Roman" w:cs="Times New Roman"/>
                <w:color w:val="000000" w:themeColor="text1"/>
                <w:sz w:val="22"/>
                <w:szCs w:val="22"/>
                <w:lang w:val="fr-FR"/>
              </w:rPr>
              <w:t>Qualité des sols ;</w:t>
            </w:r>
          </w:p>
          <w:p w14:paraId="3DD16B0A" w14:textId="77777777" w:rsidR="00DE241D" w:rsidRPr="00260790" w:rsidRDefault="00DE241D" w:rsidP="001748C6">
            <w:pPr>
              <w:pStyle w:val="Default"/>
              <w:numPr>
                <w:ilvl w:val="0"/>
                <w:numId w:val="277"/>
              </w:numPr>
              <w:overflowPunct w:val="0"/>
              <w:ind w:left="0"/>
              <w:textAlignment w:val="baseline"/>
              <w:rPr>
                <w:rFonts w:ascii="Times New Roman" w:hAnsi="Times New Roman" w:cs="Times New Roman"/>
                <w:color w:val="000000" w:themeColor="text1"/>
                <w:sz w:val="22"/>
                <w:szCs w:val="22"/>
                <w:lang w:val="fr-FR"/>
              </w:rPr>
            </w:pPr>
            <w:r w:rsidRPr="00260790">
              <w:rPr>
                <w:rFonts w:ascii="Times New Roman" w:hAnsi="Times New Roman" w:cs="Times New Roman"/>
                <w:color w:val="000000" w:themeColor="text1"/>
                <w:sz w:val="22"/>
                <w:szCs w:val="22"/>
                <w:lang w:val="fr-FR"/>
              </w:rPr>
              <w:t>Qualité de l’air et ambiance ;</w:t>
            </w:r>
          </w:p>
          <w:p w14:paraId="26043C25" w14:textId="77777777" w:rsidR="00DE241D" w:rsidRPr="00260790" w:rsidRDefault="00DE241D" w:rsidP="001748C6">
            <w:pPr>
              <w:pStyle w:val="Default"/>
              <w:numPr>
                <w:ilvl w:val="0"/>
                <w:numId w:val="277"/>
              </w:numPr>
              <w:overflowPunct w:val="0"/>
              <w:ind w:left="0"/>
              <w:textAlignment w:val="baseline"/>
              <w:rPr>
                <w:rFonts w:ascii="Times New Roman" w:hAnsi="Times New Roman" w:cs="Times New Roman"/>
                <w:color w:val="000000" w:themeColor="text1"/>
                <w:sz w:val="22"/>
                <w:szCs w:val="22"/>
                <w:lang w:val="fr-FR"/>
              </w:rPr>
            </w:pPr>
            <w:r w:rsidRPr="00260790">
              <w:rPr>
                <w:rFonts w:ascii="Times New Roman" w:hAnsi="Times New Roman" w:cs="Times New Roman"/>
                <w:color w:val="000000" w:themeColor="text1"/>
                <w:sz w:val="22"/>
                <w:szCs w:val="22"/>
                <w:lang w:val="fr-FR"/>
              </w:rPr>
              <w:t>Eaux souterraines et de surface ;</w:t>
            </w:r>
          </w:p>
          <w:p w14:paraId="0B84254C" w14:textId="77777777" w:rsidR="00DE241D" w:rsidRPr="00260790" w:rsidRDefault="00DE241D" w:rsidP="001748C6">
            <w:pPr>
              <w:pStyle w:val="Default"/>
              <w:numPr>
                <w:ilvl w:val="0"/>
                <w:numId w:val="277"/>
              </w:numPr>
              <w:overflowPunct w:val="0"/>
              <w:ind w:left="0"/>
              <w:textAlignment w:val="baseline"/>
              <w:rPr>
                <w:rFonts w:ascii="Times New Roman" w:hAnsi="Times New Roman" w:cs="Times New Roman"/>
                <w:color w:val="000000" w:themeColor="text1"/>
                <w:sz w:val="22"/>
                <w:szCs w:val="22"/>
                <w:lang w:val="fr-FR"/>
              </w:rPr>
            </w:pPr>
            <w:r w:rsidRPr="00260790">
              <w:rPr>
                <w:rFonts w:ascii="Times New Roman" w:hAnsi="Times New Roman" w:cs="Times New Roman"/>
                <w:color w:val="000000" w:themeColor="text1"/>
                <w:sz w:val="22"/>
                <w:szCs w:val="22"/>
                <w:lang w:val="fr-FR"/>
              </w:rPr>
              <w:t xml:space="preserve">Paysages </w:t>
            </w:r>
          </w:p>
        </w:tc>
      </w:tr>
      <w:tr w:rsidR="00BD1A2F" w:rsidRPr="00260790" w14:paraId="41363F90" w14:textId="77777777" w:rsidTr="005E61F7">
        <w:tc>
          <w:tcPr>
            <w:tcW w:w="0" w:type="auto"/>
            <w:vAlign w:val="center"/>
            <w:hideMark/>
          </w:tcPr>
          <w:p w14:paraId="39B737E6" w14:textId="77777777" w:rsidR="00DE241D" w:rsidRPr="00260790" w:rsidRDefault="00DE241D" w:rsidP="005E61F7">
            <w:pPr>
              <w:pStyle w:val="Default"/>
              <w:overflowPunct w:val="0"/>
              <w:textAlignment w:val="baseline"/>
              <w:rPr>
                <w:rFonts w:ascii="Times New Roman" w:hAnsi="Times New Roman" w:cs="Times New Roman"/>
                <w:b/>
                <w:bCs/>
                <w:color w:val="000000" w:themeColor="text1"/>
                <w:sz w:val="22"/>
                <w:szCs w:val="22"/>
                <w:lang w:val="fr-FR"/>
              </w:rPr>
            </w:pPr>
            <w:r w:rsidRPr="00260790">
              <w:rPr>
                <w:rFonts w:ascii="Times New Roman" w:hAnsi="Times New Roman" w:cs="Times New Roman"/>
                <w:b/>
                <w:bCs/>
                <w:color w:val="000000" w:themeColor="text1"/>
                <w:sz w:val="22"/>
                <w:szCs w:val="22"/>
                <w:lang w:val="fr-FR"/>
              </w:rPr>
              <w:t>Biologique</w:t>
            </w:r>
          </w:p>
        </w:tc>
        <w:tc>
          <w:tcPr>
            <w:tcW w:w="7848" w:type="dxa"/>
            <w:hideMark/>
          </w:tcPr>
          <w:p w14:paraId="44E85190" w14:textId="77777777" w:rsidR="00DE241D" w:rsidRPr="00260790" w:rsidRDefault="00DE241D" w:rsidP="001748C6">
            <w:pPr>
              <w:pStyle w:val="Default"/>
              <w:numPr>
                <w:ilvl w:val="0"/>
                <w:numId w:val="278"/>
              </w:numPr>
              <w:overflowPunct w:val="0"/>
              <w:ind w:left="0"/>
              <w:textAlignment w:val="baseline"/>
              <w:rPr>
                <w:rFonts w:ascii="Times New Roman" w:hAnsi="Times New Roman" w:cs="Times New Roman"/>
                <w:color w:val="000000" w:themeColor="text1"/>
                <w:sz w:val="22"/>
                <w:szCs w:val="22"/>
                <w:lang w:val="fr-FR"/>
              </w:rPr>
            </w:pPr>
            <w:r w:rsidRPr="00260790">
              <w:rPr>
                <w:rFonts w:ascii="Times New Roman" w:hAnsi="Times New Roman" w:cs="Times New Roman"/>
                <w:color w:val="000000" w:themeColor="text1"/>
                <w:sz w:val="22"/>
                <w:szCs w:val="22"/>
                <w:lang w:val="fr-FR"/>
              </w:rPr>
              <w:t>Flore et végétations ;</w:t>
            </w:r>
          </w:p>
          <w:p w14:paraId="1F8DE771" w14:textId="77777777" w:rsidR="00DE241D" w:rsidRPr="00260790" w:rsidRDefault="00DE241D" w:rsidP="001748C6">
            <w:pPr>
              <w:pStyle w:val="Default"/>
              <w:numPr>
                <w:ilvl w:val="0"/>
                <w:numId w:val="278"/>
              </w:numPr>
              <w:overflowPunct w:val="0"/>
              <w:ind w:left="0"/>
              <w:textAlignment w:val="baseline"/>
              <w:rPr>
                <w:rFonts w:ascii="Times New Roman" w:hAnsi="Times New Roman" w:cs="Times New Roman"/>
                <w:color w:val="000000" w:themeColor="text1"/>
                <w:sz w:val="22"/>
                <w:szCs w:val="22"/>
                <w:lang w:val="fr-FR"/>
              </w:rPr>
            </w:pPr>
            <w:r w:rsidRPr="00260790">
              <w:rPr>
                <w:rFonts w:ascii="Times New Roman" w:hAnsi="Times New Roman" w:cs="Times New Roman"/>
                <w:color w:val="000000" w:themeColor="text1"/>
                <w:sz w:val="22"/>
                <w:szCs w:val="22"/>
                <w:lang w:val="fr-FR"/>
              </w:rPr>
              <w:t>Faune et habitats fauniques ;</w:t>
            </w:r>
          </w:p>
          <w:p w14:paraId="21F4A3A2" w14:textId="16FEE207" w:rsidR="00DE241D" w:rsidRPr="00260790" w:rsidRDefault="00196EC8" w:rsidP="001748C6">
            <w:pPr>
              <w:pStyle w:val="Default"/>
              <w:numPr>
                <w:ilvl w:val="0"/>
                <w:numId w:val="278"/>
              </w:numPr>
              <w:overflowPunct w:val="0"/>
              <w:ind w:left="0"/>
              <w:textAlignment w:val="baseline"/>
              <w:rPr>
                <w:rFonts w:ascii="Times New Roman" w:hAnsi="Times New Roman" w:cs="Times New Roman"/>
                <w:color w:val="000000" w:themeColor="text1"/>
                <w:sz w:val="22"/>
                <w:szCs w:val="22"/>
                <w:lang w:val="fr-FR"/>
              </w:rPr>
            </w:pPr>
            <w:r w:rsidRPr="00260790">
              <w:rPr>
                <w:rFonts w:ascii="Times New Roman" w:hAnsi="Times New Roman" w:cs="Times New Roman"/>
                <w:color w:val="000000" w:themeColor="text1"/>
                <w:sz w:val="22"/>
                <w:szCs w:val="22"/>
                <w:lang w:val="fr-FR"/>
              </w:rPr>
              <w:t>É</w:t>
            </w:r>
            <w:r w:rsidR="00DE241D" w:rsidRPr="00260790">
              <w:rPr>
                <w:rFonts w:ascii="Times New Roman" w:hAnsi="Times New Roman" w:cs="Times New Roman"/>
                <w:color w:val="000000" w:themeColor="text1"/>
                <w:sz w:val="22"/>
                <w:szCs w:val="22"/>
                <w:lang w:val="fr-FR"/>
              </w:rPr>
              <w:t xml:space="preserve">cosystèmes </w:t>
            </w:r>
          </w:p>
        </w:tc>
      </w:tr>
      <w:tr w:rsidR="00BD1A2F" w:rsidRPr="00260790" w14:paraId="1531881F" w14:textId="77777777" w:rsidTr="005E61F7">
        <w:tc>
          <w:tcPr>
            <w:tcW w:w="0" w:type="auto"/>
            <w:vAlign w:val="center"/>
            <w:hideMark/>
          </w:tcPr>
          <w:p w14:paraId="59315C9D" w14:textId="77777777" w:rsidR="00DE241D" w:rsidRPr="00260790" w:rsidRDefault="00DE241D" w:rsidP="005E61F7">
            <w:pPr>
              <w:pStyle w:val="Default"/>
              <w:overflowPunct w:val="0"/>
              <w:textAlignment w:val="baseline"/>
              <w:rPr>
                <w:rFonts w:ascii="Times New Roman" w:hAnsi="Times New Roman" w:cs="Times New Roman"/>
                <w:b/>
                <w:bCs/>
                <w:color w:val="000000" w:themeColor="text1"/>
                <w:sz w:val="22"/>
                <w:szCs w:val="22"/>
                <w:lang w:val="fr-FR"/>
              </w:rPr>
            </w:pPr>
            <w:r w:rsidRPr="00260790">
              <w:rPr>
                <w:rFonts w:ascii="Times New Roman" w:hAnsi="Times New Roman" w:cs="Times New Roman"/>
                <w:b/>
                <w:bCs/>
                <w:color w:val="000000" w:themeColor="text1"/>
                <w:sz w:val="22"/>
                <w:szCs w:val="22"/>
                <w:lang w:val="fr-FR"/>
              </w:rPr>
              <w:t>Humains</w:t>
            </w:r>
          </w:p>
        </w:tc>
        <w:tc>
          <w:tcPr>
            <w:tcW w:w="7848" w:type="dxa"/>
            <w:hideMark/>
          </w:tcPr>
          <w:p w14:paraId="55BAE30D" w14:textId="77777777" w:rsidR="00DE241D" w:rsidRPr="00260790" w:rsidRDefault="00DE241D" w:rsidP="001748C6">
            <w:pPr>
              <w:pStyle w:val="Default"/>
              <w:numPr>
                <w:ilvl w:val="0"/>
                <w:numId w:val="279"/>
              </w:numPr>
              <w:overflowPunct w:val="0"/>
              <w:ind w:left="0"/>
              <w:textAlignment w:val="baseline"/>
              <w:rPr>
                <w:rFonts w:ascii="Times New Roman" w:hAnsi="Times New Roman" w:cs="Times New Roman"/>
                <w:color w:val="000000" w:themeColor="text1"/>
                <w:sz w:val="22"/>
                <w:szCs w:val="22"/>
                <w:lang w:val="fr-FR"/>
              </w:rPr>
            </w:pPr>
            <w:r w:rsidRPr="00260790">
              <w:rPr>
                <w:rFonts w:ascii="Times New Roman" w:hAnsi="Times New Roman" w:cs="Times New Roman"/>
                <w:color w:val="000000" w:themeColor="text1"/>
                <w:sz w:val="22"/>
                <w:szCs w:val="22"/>
                <w:lang w:val="fr-FR"/>
              </w:rPr>
              <w:t>Biens privés et infrastructures publiques ;</w:t>
            </w:r>
          </w:p>
          <w:p w14:paraId="7DA558C3" w14:textId="77777777" w:rsidR="00DE241D" w:rsidRPr="00260790" w:rsidRDefault="00DE241D" w:rsidP="001748C6">
            <w:pPr>
              <w:pStyle w:val="Default"/>
              <w:numPr>
                <w:ilvl w:val="0"/>
                <w:numId w:val="279"/>
              </w:numPr>
              <w:overflowPunct w:val="0"/>
              <w:ind w:left="0"/>
              <w:textAlignment w:val="baseline"/>
              <w:rPr>
                <w:rFonts w:ascii="Times New Roman" w:hAnsi="Times New Roman" w:cs="Times New Roman"/>
                <w:color w:val="000000" w:themeColor="text1"/>
                <w:sz w:val="22"/>
                <w:szCs w:val="22"/>
                <w:lang w:val="fr-FR"/>
              </w:rPr>
            </w:pPr>
            <w:r w:rsidRPr="00260790">
              <w:rPr>
                <w:rFonts w:ascii="Times New Roman" w:hAnsi="Times New Roman" w:cs="Times New Roman"/>
                <w:color w:val="000000" w:themeColor="text1"/>
                <w:sz w:val="22"/>
                <w:szCs w:val="22"/>
                <w:lang w:val="fr-FR"/>
              </w:rPr>
              <w:t>Hygiène, santé et sécurité des travailleurs et des communautés riveraines ;</w:t>
            </w:r>
          </w:p>
          <w:p w14:paraId="4B4B3862" w14:textId="77777777" w:rsidR="00DE241D" w:rsidRPr="00260790" w:rsidRDefault="00DE241D" w:rsidP="001748C6">
            <w:pPr>
              <w:pStyle w:val="Default"/>
              <w:numPr>
                <w:ilvl w:val="0"/>
                <w:numId w:val="279"/>
              </w:numPr>
              <w:overflowPunct w:val="0"/>
              <w:ind w:left="0"/>
              <w:textAlignment w:val="baseline"/>
              <w:rPr>
                <w:rFonts w:ascii="Times New Roman" w:hAnsi="Times New Roman" w:cs="Times New Roman"/>
                <w:color w:val="000000" w:themeColor="text1"/>
                <w:sz w:val="22"/>
                <w:szCs w:val="22"/>
                <w:lang w:val="fr-FR"/>
              </w:rPr>
            </w:pPr>
            <w:r w:rsidRPr="00260790">
              <w:rPr>
                <w:rFonts w:ascii="Times New Roman" w:hAnsi="Times New Roman" w:cs="Times New Roman"/>
                <w:color w:val="000000" w:themeColor="text1"/>
                <w:sz w:val="22"/>
                <w:szCs w:val="22"/>
                <w:lang w:val="fr-FR"/>
              </w:rPr>
              <w:t>Affectations du territoire ;</w:t>
            </w:r>
          </w:p>
          <w:p w14:paraId="1FBEF812" w14:textId="77777777" w:rsidR="00DE241D" w:rsidRPr="00260790" w:rsidRDefault="00DE241D" w:rsidP="001748C6">
            <w:pPr>
              <w:pStyle w:val="Default"/>
              <w:numPr>
                <w:ilvl w:val="0"/>
                <w:numId w:val="279"/>
              </w:numPr>
              <w:overflowPunct w:val="0"/>
              <w:ind w:left="0"/>
              <w:textAlignment w:val="baseline"/>
              <w:rPr>
                <w:rFonts w:ascii="Times New Roman" w:hAnsi="Times New Roman" w:cs="Times New Roman"/>
                <w:color w:val="000000" w:themeColor="text1"/>
                <w:sz w:val="22"/>
                <w:szCs w:val="22"/>
                <w:lang w:val="fr-FR"/>
              </w:rPr>
            </w:pPr>
            <w:r w:rsidRPr="00260790">
              <w:rPr>
                <w:rFonts w:ascii="Times New Roman" w:hAnsi="Times New Roman" w:cs="Times New Roman"/>
                <w:color w:val="000000" w:themeColor="text1"/>
                <w:sz w:val="22"/>
                <w:szCs w:val="22"/>
                <w:lang w:val="fr-FR"/>
              </w:rPr>
              <w:t>Activités économiques ;</w:t>
            </w:r>
          </w:p>
          <w:p w14:paraId="7C3F96AA" w14:textId="77777777" w:rsidR="00DE241D" w:rsidRPr="00260790" w:rsidRDefault="00DE241D" w:rsidP="001748C6">
            <w:pPr>
              <w:pStyle w:val="Default"/>
              <w:numPr>
                <w:ilvl w:val="0"/>
                <w:numId w:val="279"/>
              </w:numPr>
              <w:overflowPunct w:val="0"/>
              <w:ind w:left="0"/>
              <w:textAlignment w:val="baseline"/>
              <w:rPr>
                <w:rFonts w:ascii="Times New Roman" w:hAnsi="Times New Roman" w:cs="Times New Roman"/>
                <w:color w:val="000000" w:themeColor="text1"/>
                <w:sz w:val="22"/>
                <w:szCs w:val="22"/>
                <w:lang w:val="fr-FR"/>
              </w:rPr>
            </w:pPr>
            <w:r w:rsidRPr="00260790">
              <w:rPr>
                <w:rFonts w:ascii="Times New Roman" w:hAnsi="Times New Roman" w:cs="Times New Roman"/>
                <w:color w:val="000000" w:themeColor="text1"/>
                <w:sz w:val="22"/>
                <w:szCs w:val="22"/>
                <w:lang w:val="fr-FR"/>
              </w:rPr>
              <w:t>Patrimoine culturel et archéologique ;</w:t>
            </w:r>
          </w:p>
          <w:p w14:paraId="2E83E694" w14:textId="77777777" w:rsidR="00DE241D" w:rsidRPr="00260790" w:rsidRDefault="00DE241D" w:rsidP="001748C6">
            <w:pPr>
              <w:pStyle w:val="Default"/>
              <w:numPr>
                <w:ilvl w:val="0"/>
                <w:numId w:val="279"/>
              </w:numPr>
              <w:overflowPunct w:val="0"/>
              <w:ind w:left="0"/>
              <w:textAlignment w:val="baseline"/>
              <w:rPr>
                <w:rFonts w:ascii="Times New Roman" w:hAnsi="Times New Roman" w:cs="Times New Roman"/>
                <w:color w:val="000000" w:themeColor="text1"/>
                <w:sz w:val="22"/>
                <w:szCs w:val="22"/>
                <w:lang w:val="fr-FR"/>
              </w:rPr>
            </w:pPr>
            <w:r w:rsidRPr="00260790">
              <w:rPr>
                <w:rFonts w:ascii="Times New Roman" w:hAnsi="Times New Roman" w:cs="Times New Roman"/>
                <w:color w:val="000000" w:themeColor="text1"/>
                <w:sz w:val="22"/>
                <w:szCs w:val="22"/>
                <w:lang w:val="fr-FR"/>
              </w:rPr>
              <w:t>Conditions de déplacements des personnes et des biens</w:t>
            </w:r>
          </w:p>
        </w:tc>
      </w:tr>
    </w:tbl>
    <w:p w14:paraId="62F9C4F4" w14:textId="77777777" w:rsidR="005E61F7" w:rsidRPr="00260790" w:rsidRDefault="005E61F7" w:rsidP="005E61F7">
      <w:pPr>
        <w:spacing w:after="0" w:line="240" w:lineRule="auto"/>
        <w:rPr>
          <w:rFonts w:ascii="Times New Roman" w:hAnsi="Times New Roman"/>
          <w:b/>
          <w:color w:val="000000" w:themeColor="text1"/>
        </w:rPr>
      </w:pPr>
    </w:p>
    <w:p w14:paraId="3158FE41" w14:textId="2305BC27" w:rsidR="00DE241D" w:rsidRPr="00260790" w:rsidRDefault="00DE241D" w:rsidP="001748C6">
      <w:pPr>
        <w:pStyle w:val="Paragraphedeliste"/>
        <w:numPr>
          <w:ilvl w:val="0"/>
          <w:numId w:val="282"/>
        </w:numPr>
        <w:spacing w:after="0" w:line="240" w:lineRule="auto"/>
        <w:rPr>
          <w:rFonts w:ascii="Times New Roman" w:hAnsi="Times New Roman"/>
          <w:b/>
          <w:color w:val="000000" w:themeColor="text1"/>
        </w:rPr>
      </w:pPr>
      <w:r w:rsidRPr="00260790">
        <w:rPr>
          <w:rFonts w:ascii="Times New Roman" w:hAnsi="Times New Roman"/>
          <w:b/>
          <w:color w:val="000000" w:themeColor="text1"/>
        </w:rPr>
        <w:t>Identification des facteurs de risques environnementaux et sociaux</w:t>
      </w:r>
    </w:p>
    <w:p w14:paraId="3E1EDB21"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risque environnemental et social désigne un facteur de l’environnement qui, dans des conditions déterminées, représente la possibilité d’un danger pour l’environnement et/ou la société. Un facteur de risque environnemental et social est un indicateur (possibilité qu’il provoque des dommages particuliers sur l’environnement et/ou la société). </w:t>
      </w:r>
    </w:p>
    <w:p w14:paraId="40C960D2" w14:textId="5599600D" w:rsidR="00DE241D" w:rsidRPr="00260790" w:rsidRDefault="00DE241D" w:rsidP="00E20250">
      <w:pPr>
        <w:spacing w:line="240" w:lineRule="auto"/>
        <w:jc w:val="both"/>
        <w:rPr>
          <w:rFonts w:ascii="Times New Roman" w:eastAsiaTheme="minorEastAsia" w:hAnsi="Times New Roman"/>
          <w:color w:val="000000" w:themeColor="text1"/>
          <w:lang w:eastAsia="fr-FR"/>
        </w:rPr>
      </w:pPr>
      <w:r w:rsidRPr="00260790">
        <w:rPr>
          <w:rFonts w:ascii="Times New Roman" w:eastAsiaTheme="minorEastAsia" w:hAnsi="Times New Roman"/>
          <w:color w:val="000000" w:themeColor="text1"/>
          <w:lang w:eastAsia="fr-FR"/>
        </w:rPr>
        <w:t>L’identification des facteurs de risques environnementaux et sociaux a été basée sur le retour d’expérience (accidents environnementaux, perturbations sociales…) documenté</w:t>
      </w:r>
      <w:r w:rsidR="00196EC8" w:rsidRPr="00260790">
        <w:rPr>
          <w:rFonts w:ascii="Times New Roman" w:eastAsiaTheme="minorEastAsia" w:hAnsi="Times New Roman"/>
          <w:color w:val="000000" w:themeColor="text1"/>
          <w:lang w:eastAsia="fr-FR"/>
        </w:rPr>
        <w:t>e</w:t>
      </w:r>
      <w:r w:rsidRPr="00260790">
        <w:rPr>
          <w:rFonts w:ascii="Times New Roman" w:eastAsiaTheme="minorEastAsia" w:hAnsi="Times New Roman"/>
          <w:color w:val="000000" w:themeColor="text1"/>
          <w:lang w:eastAsia="fr-FR"/>
        </w:rPr>
        <w:t xml:space="preserve"> dans le cadre de projet similaire.</w:t>
      </w:r>
    </w:p>
    <w:p w14:paraId="3A287895" w14:textId="26FFF993" w:rsidR="00DE241D" w:rsidRPr="00260790" w:rsidRDefault="00DE241D" w:rsidP="001748C6">
      <w:pPr>
        <w:pStyle w:val="Paragraphedeliste"/>
        <w:numPr>
          <w:ilvl w:val="0"/>
          <w:numId w:val="276"/>
        </w:numPr>
        <w:spacing w:after="0" w:line="240" w:lineRule="auto"/>
        <w:jc w:val="both"/>
        <w:rPr>
          <w:rFonts w:ascii="Times New Roman" w:hAnsi="Times New Roman"/>
          <w:b/>
          <w:color w:val="000000" w:themeColor="text1"/>
        </w:rPr>
      </w:pPr>
      <w:r w:rsidRPr="00260790">
        <w:rPr>
          <w:rFonts w:ascii="Times New Roman" w:hAnsi="Times New Roman"/>
          <w:b/>
          <w:color w:val="000000" w:themeColor="text1"/>
        </w:rPr>
        <w:t>Synthèse des sources et récepteurs d’impacts/facteurs de risques environnementaux et sociaux</w:t>
      </w:r>
    </w:p>
    <w:p w14:paraId="3DA6B1F6" w14:textId="72BDF365" w:rsidR="00DE241D" w:rsidRDefault="00DE241D" w:rsidP="00E20250">
      <w:pPr>
        <w:pStyle w:val="Default"/>
        <w:overflowPunct w:val="0"/>
        <w:jc w:val="both"/>
        <w:textAlignment w:val="baseline"/>
        <w:rPr>
          <w:rFonts w:ascii="Times New Roman" w:hAnsi="Times New Roman" w:cs="Times New Roman"/>
          <w:bCs/>
          <w:color w:val="000000" w:themeColor="text1"/>
          <w:sz w:val="22"/>
          <w:szCs w:val="22"/>
        </w:rPr>
      </w:pPr>
      <w:r w:rsidRPr="00260790">
        <w:rPr>
          <w:rFonts w:ascii="Times New Roman" w:hAnsi="Times New Roman" w:cs="Times New Roman"/>
          <w:bCs/>
          <w:color w:val="000000" w:themeColor="text1"/>
          <w:sz w:val="22"/>
          <w:szCs w:val="22"/>
        </w:rPr>
        <w:t>Les sources et récepteurs d’impacts les plus significatifs sont consignés dans le tableau suivant :</w:t>
      </w:r>
    </w:p>
    <w:p w14:paraId="7C2F5536" w14:textId="77777777" w:rsidR="00194AB1" w:rsidRPr="00260790" w:rsidRDefault="00194AB1" w:rsidP="00E20250">
      <w:pPr>
        <w:pStyle w:val="Default"/>
        <w:overflowPunct w:val="0"/>
        <w:jc w:val="both"/>
        <w:textAlignment w:val="baseline"/>
        <w:rPr>
          <w:rFonts w:ascii="Times New Roman" w:hAnsi="Times New Roman" w:cs="Times New Roman"/>
          <w:bCs/>
          <w:color w:val="000000" w:themeColor="text1"/>
          <w:sz w:val="22"/>
          <w:szCs w:val="22"/>
        </w:rPr>
      </w:pPr>
    </w:p>
    <w:p w14:paraId="3F060F4C" w14:textId="600178B8" w:rsidR="00DE241D" w:rsidRPr="00194AB1" w:rsidRDefault="00DE241D" w:rsidP="00E20250">
      <w:pPr>
        <w:pStyle w:val="Default"/>
        <w:overflowPunct w:val="0"/>
        <w:jc w:val="both"/>
        <w:textAlignment w:val="baseline"/>
        <w:rPr>
          <w:rFonts w:ascii="Times New Roman" w:hAnsi="Times New Roman" w:cs="Times New Roman"/>
          <w:bCs/>
          <w:i/>
          <w:color w:val="000000" w:themeColor="text1"/>
          <w:sz w:val="22"/>
          <w:szCs w:val="22"/>
        </w:rPr>
      </w:pPr>
      <w:bookmarkStart w:id="596" w:name="_Toc207781861"/>
      <w:r w:rsidRPr="00194AB1">
        <w:rPr>
          <w:rFonts w:ascii="Times New Roman" w:hAnsi="Times New Roman" w:cs="Times New Roman"/>
          <w:bCs/>
          <w:i/>
          <w:color w:val="000000" w:themeColor="text1"/>
          <w:sz w:val="22"/>
          <w:szCs w:val="22"/>
        </w:rPr>
        <w:t xml:space="preserve">Tableau </w:t>
      </w:r>
      <w:r w:rsidRPr="00194AB1">
        <w:rPr>
          <w:rFonts w:ascii="Times New Roman" w:hAnsi="Times New Roman" w:cs="Times New Roman"/>
          <w:i/>
          <w:color w:val="000000" w:themeColor="text1"/>
          <w:sz w:val="22"/>
          <w:szCs w:val="22"/>
        </w:rPr>
        <w:fldChar w:fldCharType="begin"/>
      </w:r>
      <w:r w:rsidRPr="00194AB1">
        <w:rPr>
          <w:rFonts w:ascii="Times New Roman" w:hAnsi="Times New Roman" w:cs="Times New Roman"/>
          <w:bCs/>
          <w:i/>
          <w:color w:val="000000" w:themeColor="text1"/>
          <w:sz w:val="22"/>
          <w:szCs w:val="22"/>
        </w:rPr>
        <w:instrText xml:space="preserve"> SEQ Tableau \* ARABIC </w:instrText>
      </w:r>
      <w:r w:rsidRPr="00194AB1">
        <w:rPr>
          <w:rFonts w:ascii="Times New Roman" w:hAnsi="Times New Roman" w:cs="Times New Roman"/>
          <w:i/>
          <w:color w:val="000000" w:themeColor="text1"/>
          <w:sz w:val="22"/>
          <w:szCs w:val="22"/>
        </w:rPr>
        <w:fldChar w:fldCharType="separate"/>
      </w:r>
      <w:r w:rsidR="003C783E">
        <w:rPr>
          <w:rFonts w:ascii="Times New Roman" w:hAnsi="Times New Roman" w:cs="Times New Roman"/>
          <w:bCs/>
          <w:i/>
          <w:noProof/>
          <w:color w:val="000000" w:themeColor="text1"/>
          <w:sz w:val="22"/>
          <w:szCs w:val="22"/>
        </w:rPr>
        <w:t>20</w:t>
      </w:r>
      <w:r w:rsidRPr="00194AB1">
        <w:rPr>
          <w:rFonts w:ascii="Times New Roman" w:hAnsi="Times New Roman" w:cs="Times New Roman"/>
          <w:i/>
          <w:color w:val="000000" w:themeColor="text1"/>
          <w:sz w:val="22"/>
          <w:szCs w:val="22"/>
        </w:rPr>
        <w:fldChar w:fldCharType="end"/>
      </w:r>
      <w:r w:rsidRPr="00194AB1">
        <w:rPr>
          <w:rFonts w:ascii="Times New Roman" w:hAnsi="Times New Roman" w:cs="Times New Roman"/>
          <w:bCs/>
          <w:i/>
          <w:color w:val="000000" w:themeColor="text1"/>
          <w:sz w:val="22"/>
          <w:szCs w:val="22"/>
        </w:rPr>
        <w:t> : synthèses des principales sources d’impacts et des récepteurs d’impacts</w:t>
      </w:r>
      <w:bookmarkEnd w:id="596"/>
    </w:p>
    <w:tbl>
      <w:tblPr>
        <w:tblStyle w:val="Grilledutableau"/>
        <w:tblW w:w="0" w:type="auto"/>
        <w:tblLook w:val="04A0" w:firstRow="1" w:lastRow="0" w:firstColumn="1" w:lastColumn="0" w:noHBand="0" w:noVBand="1"/>
      </w:tblPr>
      <w:tblGrid>
        <w:gridCol w:w="1431"/>
        <w:gridCol w:w="3226"/>
        <w:gridCol w:w="2473"/>
        <w:gridCol w:w="1930"/>
      </w:tblGrid>
      <w:tr w:rsidR="00BD1A2F" w:rsidRPr="00C34C0F" w14:paraId="6E0B9394" w14:textId="77777777" w:rsidTr="003A0E4A">
        <w:trPr>
          <w:tblHeader/>
        </w:trPr>
        <w:tc>
          <w:tcPr>
            <w:tcW w:w="1483"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685A3C9"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Phases</w:t>
            </w:r>
          </w:p>
        </w:tc>
        <w:tc>
          <w:tcPr>
            <w:tcW w:w="3474"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FE9334E" w14:textId="77777777" w:rsidR="00DE241D" w:rsidRPr="0097258B" w:rsidRDefault="00DE241D" w:rsidP="00E20250">
            <w:pPr>
              <w:pStyle w:val="Default"/>
              <w:overflowPunct w:val="0"/>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Principales</w:t>
            </w:r>
            <w:proofErr w:type="spellEnd"/>
            <w:r w:rsidRPr="0097258B">
              <w:rPr>
                <w:rFonts w:ascii="Times New Roman" w:hAnsi="Times New Roman" w:cs="Times New Roman"/>
                <w:b/>
                <w:bCs/>
                <w:color w:val="000000" w:themeColor="text1"/>
                <w:sz w:val="20"/>
                <w:szCs w:val="20"/>
              </w:rPr>
              <w:t xml:space="preserve"> sources </w:t>
            </w:r>
            <w:proofErr w:type="spellStart"/>
            <w:r w:rsidRPr="0097258B">
              <w:rPr>
                <w:rFonts w:ascii="Times New Roman" w:hAnsi="Times New Roman" w:cs="Times New Roman"/>
                <w:b/>
                <w:bCs/>
                <w:color w:val="000000" w:themeColor="text1"/>
                <w:sz w:val="20"/>
                <w:szCs w:val="20"/>
              </w:rPr>
              <w:t>d’impacts</w:t>
            </w:r>
            <w:proofErr w:type="spellEnd"/>
          </w:p>
        </w:tc>
        <w:tc>
          <w:tcPr>
            <w:tcW w:w="4743"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06216A6"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Principaux</w:t>
            </w:r>
            <w:proofErr w:type="spellEnd"/>
            <w:r w:rsidRPr="0097258B">
              <w:rPr>
                <w:rFonts w:ascii="Times New Roman" w:hAnsi="Times New Roman" w:cs="Times New Roman"/>
                <w:b/>
                <w:bCs/>
                <w:color w:val="000000" w:themeColor="text1"/>
                <w:sz w:val="20"/>
                <w:szCs w:val="20"/>
              </w:rPr>
              <w:t xml:space="preserve"> </w:t>
            </w:r>
            <w:proofErr w:type="spellStart"/>
            <w:r w:rsidRPr="0097258B">
              <w:rPr>
                <w:rFonts w:ascii="Times New Roman" w:hAnsi="Times New Roman" w:cs="Times New Roman"/>
                <w:b/>
                <w:bCs/>
                <w:color w:val="000000" w:themeColor="text1"/>
                <w:sz w:val="20"/>
                <w:szCs w:val="20"/>
              </w:rPr>
              <w:t>récepteurs</w:t>
            </w:r>
            <w:proofErr w:type="spellEnd"/>
            <w:r w:rsidRPr="0097258B">
              <w:rPr>
                <w:rFonts w:ascii="Times New Roman" w:hAnsi="Times New Roman" w:cs="Times New Roman"/>
                <w:b/>
                <w:bCs/>
                <w:color w:val="000000" w:themeColor="text1"/>
                <w:sz w:val="20"/>
                <w:szCs w:val="20"/>
              </w:rPr>
              <w:t xml:space="preserve"> </w:t>
            </w:r>
            <w:proofErr w:type="spellStart"/>
            <w:r w:rsidRPr="0097258B">
              <w:rPr>
                <w:rFonts w:ascii="Times New Roman" w:hAnsi="Times New Roman" w:cs="Times New Roman"/>
                <w:b/>
                <w:bCs/>
                <w:color w:val="000000" w:themeColor="text1"/>
                <w:sz w:val="20"/>
                <w:szCs w:val="20"/>
              </w:rPr>
              <w:t>d’impacts</w:t>
            </w:r>
            <w:proofErr w:type="spellEnd"/>
          </w:p>
        </w:tc>
      </w:tr>
      <w:tr w:rsidR="00BD1A2F" w:rsidRPr="00C34C0F" w14:paraId="6B3FB152" w14:textId="77777777" w:rsidTr="003A0E4A">
        <w:trPr>
          <w:tblHeader/>
        </w:trPr>
        <w:tc>
          <w:tcPr>
            <w:tcW w:w="1483" w:type="dxa"/>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4D297439"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
        </w:tc>
        <w:tc>
          <w:tcPr>
            <w:tcW w:w="3474" w:type="dxa"/>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4A5C986E"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
        </w:tc>
        <w:tc>
          <w:tcPr>
            <w:tcW w:w="271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D50991D" w14:textId="77777777" w:rsidR="00DE241D" w:rsidRPr="0097258B" w:rsidRDefault="00DE241D" w:rsidP="00E20250">
            <w:pPr>
              <w:pStyle w:val="Default"/>
              <w:overflowPunct w:val="0"/>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 xml:space="preserve">Milieu </w:t>
            </w:r>
            <w:proofErr w:type="spellStart"/>
            <w:r w:rsidRPr="0097258B">
              <w:rPr>
                <w:rFonts w:ascii="Times New Roman" w:hAnsi="Times New Roman" w:cs="Times New Roman"/>
                <w:b/>
                <w:bCs/>
                <w:color w:val="000000" w:themeColor="text1"/>
                <w:sz w:val="20"/>
                <w:szCs w:val="20"/>
              </w:rPr>
              <w:t>biophysique</w:t>
            </w:r>
            <w:proofErr w:type="spellEnd"/>
          </w:p>
        </w:tc>
        <w:tc>
          <w:tcPr>
            <w:tcW w:w="202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780ECF9D" w14:textId="77777777" w:rsidR="00DE241D" w:rsidRPr="0097258B" w:rsidRDefault="00DE241D" w:rsidP="00E20250">
            <w:pPr>
              <w:pStyle w:val="Default"/>
              <w:overflowPunct w:val="0"/>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 xml:space="preserve">Milieu </w:t>
            </w:r>
            <w:proofErr w:type="spellStart"/>
            <w:r w:rsidRPr="0097258B">
              <w:rPr>
                <w:rFonts w:ascii="Times New Roman" w:hAnsi="Times New Roman" w:cs="Times New Roman"/>
                <w:b/>
                <w:bCs/>
                <w:color w:val="000000" w:themeColor="text1"/>
                <w:sz w:val="20"/>
                <w:szCs w:val="20"/>
              </w:rPr>
              <w:t>humain</w:t>
            </w:r>
            <w:proofErr w:type="spellEnd"/>
          </w:p>
        </w:tc>
      </w:tr>
      <w:tr w:rsidR="00BD1A2F" w:rsidRPr="00C34C0F" w14:paraId="4BAD777B" w14:textId="77777777" w:rsidTr="003A0E4A">
        <w:tc>
          <w:tcPr>
            <w:tcW w:w="1483" w:type="dxa"/>
            <w:tcBorders>
              <w:top w:val="single" w:sz="4" w:space="0" w:color="auto"/>
              <w:left w:val="single" w:sz="4" w:space="0" w:color="auto"/>
              <w:bottom w:val="single" w:sz="4" w:space="0" w:color="auto"/>
              <w:right w:val="single" w:sz="4" w:space="0" w:color="auto"/>
            </w:tcBorders>
            <w:vAlign w:val="center"/>
            <w:hideMark/>
          </w:tcPr>
          <w:p w14:paraId="0582773A" w14:textId="77777777" w:rsidR="00DE241D" w:rsidRPr="0097258B" w:rsidRDefault="00DE241D" w:rsidP="00E20250">
            <w:pPr>
              <w:pStyle w:val="Default"/>
              <w:overflowPunct w:val="0"/>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 xml:space="preserve">Travaux (libération des emprises et construction) </w:t>
            </w:r>
          </w:p>
        </w:tc>
        <w:tc>
          <w:tcPr>
            <w:tcW w:w="3474" w:type="dxa"/>
            <w:tcBorders>
              <w:top w:val="single" w:sz="4" w:space="0" w:color="auto"/>
              <w:left w:val="single" w:sz="4" w:space="0" w:color="auto"/>
              <w:bottom w:val="single" w:sz="4" w:space="0" w:color="auto"/>
              <w:right w:val="single" w:sz="4" w:space="0" w:color="auto"/>
            </w:tcBorders>
            <w:hideMark/>
          </w:tcPr>
          <w:p w14:paraId="792496DA" w14:textId="77777777" w:rsidR="00DE241D" w:rsidRPr="0097258B" w:rsidRDefault="00DE241D" w:rsidP="001748C6">
            <w:pPr>
              <w:pStyle w:val="Default"/>
              <w:numPr>
                <w:ilvl w:val="0"/>
                <w:numId w:val="283"/>
              </w:numPr>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Recrutement et mobilisation du personnel ;</w:t>
            </w:r>
          </w:p>
          <w:p w14:paraId="0BBC1E89" w14:textId="77777777" w:rsidR="00DE241D" w:rsidRPr="0097258B" w:rsidRDefault="00DE241D" w:rsidP="001748C6">
            <w:pPr>
              <w:pStyle w:val="Default"/>
              <w:numPr>
                <w:ilvl w:val="0"/>
                <w:numId w:val="283"/>
              </w:numPr>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 xml:space="preserve">Inventaire des biens et indemnisations des </w:t>
            </w:r>
            <w:proofErr w:type="spellStart"/>
            <w:r w:rsidRPr="00301AF6">
              <w:rPr>
                <w:rFonts w:ascii="Times New Roman" w:hAnsi="Times New Roman" w:cs="Times New Roman"/>
                <w:color w:val="000000" w:themeColor="text1"/>
                <w:sz w:val="20"/>
                <w:szCs w:val="20"/>
                <w:lang w:val="fr-FR"/>
              </w:rPr>
              <w:t>PAPs</w:t>
            </w:r>
            <w:proofErr w:type="spellEnd"/>
            <w:r w:rsidRPr="00301AF6">
              <w:rPr>
                <w:rFonts w:ascii="Times New Roman" w:hAnsi="Times New Roman" w:cs="Times New Roman"/>
                <w:color w:val="000000" w:themeColor="text1"/>
                <w:sz w:val="20"/>
                <w:szCs w:val="20"/>
                <w:lang w:val="fr-FR"/>
              </w:rPr>
              <w:t> ;</w:t>
            </w:r>
          </w:p>
          <w:p w14:paraId="4AEC32A1" w14:textId="77777777" w:rsidR="00DE241D" w:rsidRPr="0097258B" w:rsidRDefault="00DE241D" w:rsidP="001748C6">
            <w:pPr>
              <w:pStyle w:val="Default"/>
              <w:numPr>
                <w:ilvl w:val="0"/>
                <w:numId w:val="283"/>
              </w:numPr>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Libération des emprises </w:t>
            </w:r>
          </w:p>
          <w:p w14:paraId="625F218E" w14:textId="77777777" w:rsidR="00DE241D" w:rsidRPr="0097258B" w:rsidRDefault="00DE241D" w:rsidP="001748C6">
            <w:pPr>
              <w:pStyle w:val="Default"/>
              <w:numPr>
                <w:ilvl w:val="0"/>
                <w:numId w:val="283"/>
              </w:numPr>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 xml:space="preserve">Installation des chantiers et des bases vie </w:t>
            </w:r>
          </w:p>
          <w:p w14:paraId="769720F8" w14:textId="77777777" w:rsidR="00DE241D" w:rsidRPr="0097258B" w:rsidRDefault="00DE241D" w:rsidP="001748C6">
            <w:pPr>
              <w:pStyle w:val="Default"/>
              <w:numPr>
                <w:ilvl w:val="0"/>
                <w:numId w:val="283"/>
              </w:numPr>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Acheminement et manutention des matériaux et équipements ;</w:t>
            </w:r>
          </w:p>
          <w:p w14:paraId="1ED8C8E0" w14:textId="77777777" w:rsidR="00DE241D" w:rsidRPr="0097258B" w:rsidRDefault="00DE241D" w:rsidP="001748C6">
            <w:pPr>
              <w:pStyle w:val="Default"/>
              <w:numPr>
                <w:ilvl w:val="0"/>
                <w:numId w:val="283"/>
              </w:numPr>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Entreposage de matériaux et équipement ;</w:t>
            </w:r>
          </w:p>
          <w:p w14:paraId="7D9EF9BC" w14:textId="77777777" w:rsidR="00DE241D" w:rsidRPr="0097258B" w:rsidRDefault="00DE241D" w:rsidP="001748C6">
            <w:pPr>
              <w:pStyle w:val="Default"/>
              <w:numPr>
                <w:ilvl w:val="0"/>
                <w:numId w:val="283"/>
              </w:numPr>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Ouverture</w:t>
            </w:r>
            <w:proofErr w:type="spellEnd"/>
            <w:r w:rsidRPr="0097258B">
              <w:rPr>
                <w:rFonts w:ascii="Times New Roman" w:hAnsi="Times New Roman" w:cs="Times New Roman"/>
                <w:color w:val="000000" w:themeColor="text1"/>
                <w:sz w:val="20"/>
                <w:szCs w:val="20"/>
              </w:rPr>
              <w:t xml:space="preserve"> des </w:t>
            </w:r>
            <w:proofErr w:type="spellStart"/>
            <w:proofErr w:type="gramStart"/>
            <w:r w:rsidRPr="0097258B">
              <w:rPr>
                <w:rFonts w:ascii="Times New Roman" w:hAnsi="Times New Roman" w:cs="Times New Roman"/>
                <w:color w:val="000000" w:themeColor="text1"/>
                <w:sz w:val="20"/>
                <w:szCs w:val="20"/>
              </w:rPr>
              <w:t>tranchées</w:t>
            </w:r>
            <w:proofErr w:type="spellEnd"/>
            <w:r w:rsidRPr="0097258B">
              <w:rPr>
                <w:rFonts w:ascii="Times New Roman" w:hAnsi="Times New Roman" w:cs="Times New Roman"/>
                <w:color w:val="000000" w:themeColor="text1"/>
                <w:sz w:val="20"/>
                <w:szCs w:val="20"/>
              </w:rPr>
              <w:t> ;</w:t>
            </w:r>
            <w:proofErr w:type="gramEnd"/>
          </w:p>
          <w:p w14:paraId="56DFA29F" w14:textId="77777777" w:rsidR="00DE241D" w:rsidRPr="0097258B" w:rsidRDefault="00DE241D" w:rsidP="001748C6">
            <w:pPr>
              <w:pStyle w:val="Default"/>
              <w:numPr>
                <w:ilvl w:val="0"/>
                <w:numId w:val="283"/>
              </w:numPr>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Travaux de génie civil</w:t>
            </w:r>
          </w:p>
        </w:tc>
        <w:tc>
          <w:tcPr>
            <w:tcW w:w="2717" w:type="dxa"/>
            <w:tcBorders>
              <w:top w:val="single" w:sz="4" w:space="0" w:color="auto"/>
              <w:left w:val="single" w:sz="4" w:space="0" w:color="auto"/>
              <w:bottom w:val="single" w:sz="4" w:space="0" w:color="auto"/>
              <w:right w:val="single" w:sz="4" w:space="0" w:color="auto"/>
            </w:tcBorders>
            <w:vAlign w:val="center"/>
            <w:hideMark/>
          </w:tcPr>
          <w:p w14:paraId="5C6E9B61" w14:textId="77777777" w:rsidR="00DE241D" w:rsidRPr="0097258B" w:rsidRDefault="00DE241D" w:rsidP="001748C6">
            <w:pPr>
              <w:pStyle w:val="Default"/>
              <w:numPr>
                <w:ilvl w:val="0"/>
                <w:numId w:val="285"/>
              </w:numPr>
              <w:overflowPunct w:val="0"/>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Qualité de l’air et climat ;</w:t>
            </w:r>
          </w:p>
          <w:p w14:paraId="1A4BCE7A" w14:textId="77777777" w:rsidR="00DE241D" w:rsidRPr="0097258B" w:rsidRDefault="00DE241D" w:rsidP="001748C6">
            <w:pPr>
              <w:pStyle w:val="Default"/>
              <w:numPr>
                <w:ilvl w:val="0"/>
                <w:numId w:val="285"/>
              </w:numPr>
              <w:overflowPunct w:val="0"/>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Ambiance </w:t>
            </w:r>
            <w:proofErr w:type="spellStart"/>
            <w:proofErr w:type="gramStart"/>
            <w:r w:rsidRPr="0097258B">
              <w:rPr>
                <w:rFonts w:ascii="Times New Roman" w:hAnsi="Times New Roman" w:cs="Times New Roman"/>
                <w:color w:val="000000" w:themeColor="text1"/>
                <w:sz w:val="20"/>
                <w:szCs w:val="20"/>
              </w:rPr>
              <w:t>sonore</w:t>
            </w:r>
            <w:proofErr w:type="spellEnd"/>
            <w:r w:rsidRPr="0097258B">
              <w:rPr>
                <w:rFonts w:ascii="Times New Roman" w:hAnsi="Times New Roman" w:cs="Times New Roman"/>
                <w:color w:val="000000" w:themeColor="text1"/>
                <w:sz w:val="20"/>
                <w:szCs w:val="20"/>
              </w:rPr>
              <w:t> ;</w:t>
            </w:r>
            <w:proofErr w:type="gramEnd"/>
          </w:p>
          <w:p w14:paraId="693CE9EC" w14:textId="77777777" w:rsidR="00DE241D" w:rsidRPr="0097258B" w:rsidRDefault="00DE241D" w:rsidP="001748C6">
            <w:pPr>
              <w:pStyle w:val="Default"/>
              <w:numPr>
                <w:ilvl w:val="0"/>
                <w:numId w:val="285"/>
              </w:numPr>
              <w:overflowPunct w:val="0"/>
              <w:textAlignment w:val="baseline"/>
              <w:rPr>
                <w:rFonts w:ascii="Times New Roman" w:hAnsi="Times New Roman" w:cs="Times New Roman"/>
                <w:color w:val="000000" w:themeColor="text1"/>
                <w:sz w:val="20"/>
                <w:szCs w:val="20"/>
                <w:lang w:val="fr-FR"/>
              </w:rPr>
            </w:pPr>
            <w:proofErr w:type="gramStart"/>
            <w:r w:rsidRPr="0097258B">
              <w:rPr>
                <w:rFonts w:ascii="Times New Roman" w:hAnsi="Times New Roman" w:cs="Times New Roman"/>
                <w:color w:val="000000" w:themeColor="text1"/>
                <w:sz w:val="20"/>
                <w:szCs w:val="20"/>
              </w:rPr>
              <w:t>Sol ;</w:t>
            </w:r>
            <w:proofErr w:type="gramEnd"/>
          </w:p>
          <w:p w14:paraId="60E6E723" w14:textId="77777777" w:rsidR="00DE241D" w:rsidRPr="0097258B" w:rsidRDefault="00DE241D" w:rsidP="001748C6">
            <w:pPr>
              <w:pStyle w:val="Default"/>
              <w:numPr>
                <w:ilvl w:val="0"/>
                <w:numId w:val="285"/>
              </w:numPr>
              <w:overflowPunct w:val="0"/>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Eaux de </w:t>
            </w:r>
            <w:proofErr w:type="gramStart"/>
            <w:r w:rsidRPr="0097258B">
              <w:rPr>
                <w:rFonts w:ascii="Times New Roman" w:hAnsi="Times New Roman" w:cs="Times New Roman"/>
                <w:color w:val="000000" w:themeColor="text1"/>
                <w:sz w:val="20"/>
                <w:szCs w:val="20"/>
              </w:rPr>
              <w:t>surface ;</w:t>
            </w:r>
            <w:proofErr w:type="gramEnd"/>
          </w:p>
          <w:p w14:paraId="153E12D8" w14:textId="77777777" w:rsidR="00DE241D" w:rsidRPr="0097258B" w:rsidRDefault="00DE241D" w:rsidP="001748C6">
            <w:pPr>
              <w:pStyle w:val="Default"/>
              <w:numPr>
                <w:ilvl w:val="0"/>
                <w:numId w:val="285"/>
              </w:numPr>
              <w:overflowPunct w:val="0"/>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Eaux </w:t>
            </w:r>
            <w:proofErr w:type="spellStart"/>
            <w:proofErr w:type="gramStart"/>
            <w:r w:rsidRPr="0097258B">
              <w:rPr>
                <w:rFonts w:ascii="Times New Roman" w:hAnsi="Times New Roman" w:cs="Times New Roman"/>
                <w:color w:val="000000" w:themeColor="text1"/>
                <w:sz w:val="20"/>
                <w:szCs w:val="20"/>
              </w:rPr>
              <w:t>souterraines</w:t>
            </w:r>
            <w:proofErr w:type="spellEnd"/>
            <w:r w:rsidRPr="0097258B">
              <w:rPr>
                <w:rFonts w:ascii="Times New Roman" w:hAnsi="Times New Roman" w:cs="Times New Roman"/>
                <w:color w:val="000000" w:themeColor="text1"/>
                <w:sz w:val="20"/>
                <w:szCs w:val="20"/>
              </w:rPr>
              <w:t> ;</w:t>
            </w:r>
            <w:proofErr w:type="gramEnd"/>
          </w:p>
          <w:p w14:paraId="096595E1" w14:textId="77777777" w:rsidR="00DE241D" w:rsidRPr="0097258B" w:rsidRDefault="00DE241D" w:rsidP="001748C6">
            <w:pPr>
              <w:pStyle w:val="Default"/>
              <w:numPr>
                <w:ilvl w:val="0"/>
                <w:numId w:val="285"/>
              </w:numPr>
              <w:overflowPunct w:val="0"/>
              <w:textAlignment w:val="baseline"/>
              <w:rPr>
                <w:rFonts w:ascii="Times New Roman" w:hAnsi="Times New Roman" w:cs="Times New Roman"/>
                <w:color w:val="000000" w:themeColor="text1"/>
                <w:sz w:val="20"/>
                <w:szCs w:val="20"/>
                <w:lang w:val="fr-FR"/>
              </w:rPr>
            </w:pPr>
            <w:proofErr w:type="gramStart"/>
            <w:r w:rsidRPr="0097258B">
              <w:rPr>
                <w:rFonts w:ascii="Times New Roman" w:hAnsi="Times New Roman" w:cs="Times New Roman"/>
                <w:color w:val="000000" w:themeColor="text1"/>
                <w:sz w:val="20"/>
                <w:szCs w:val="20"/>
              </w:rPr>
              <w:t>Flore ;</w:t>
            </w:r>
            <w:proofErr w:type="gramEnd"/>
          </w:p>
          <w:p w14:paraId="19338F10" w14:textId="77777777" w:rsidR="00DE241D" w:rsidRPr="0097258B" w:rsidRDefault="00DE241D" w:rsidP="001748C6">
            <w:pPr>
              <w:pStyle w:val="Default"/>
              <w:numPr>
                <w:ilvl w:val="0"/>
                <w:numId w:val="285"/>
              </w:numPr>
              <w:overflowPunct w:val="0"/>
              <w:textAlignment w:val="baseline"/>
              <w:rPr>
                <w:rFonts w:ascii="Times New Roman" w:hAnsi="Times New Roman" w:cs="Times New Roman"/>
                <w:color w:val="000000" w:themeColor="text1"/>
                <w:sz w:val="20"/>
                <w:szCs w:val="20"/>
                <w:lang w:val="fr-FR"/>
              </w:rPr>
            </w:pPr>
            <w:proofErr w:type="gramStart"/>
            <w:r w:rsidRPr="0097258B">
              <w:rPr>
                <w:rFonts w:ascii="Times New Roman" w:hAnsi="Times New Roman" w:cs="Times New Roman"/>
                <w:color w:val="000000" w:themeColor="text1"/>
                <w:sz w:val="20"/>
                <w:szCs w:val="20"/>
              </w:rPr>
              <w:t>Faune ;</w:t>
            </w:r>
            <w:proofErr w:type="gramEnd"/>
          </w:p>
          <w:p w14:paraId="6A0426BC" w14:textId="7806C1D7" w:rsidR="00DE241D" w:rsidRPr="0097258B" w:rsidRDefault="00196EC8" w:rsidP="001748C6">
            <w:pPr>
              <w:pStyle w:val="Default"/>
              <w:numPr>
                <w:ilvl w:val="0"/>
                <w:numId w:val="285"/>
              </w:numPr>
              <w:overflowPunct w:val="0"/>
              <w:textAlignment w:val="baseline"/>
              <w:rPr>
                <w:rFonts w:ascii="Times New Roman" w:hAnsi="Times New Roman" w:cs="Times New Roman"/>
                <w:color w:val="000000" w:themeColor="text1"/>
                <w:sz w:val="20"/>
                <w:szCs w:val="20"/>
                <w:lang w:val="fr-FR"/>
              </w:rPr>
            </w:pPr>
            <w:proofErr w:type="spellStart"/>
            <w:proofErr w:type="gramStart"/>
            <w:r w:rsidRPr="0097258B">
              <w:rPr>
                <w:rFonts w:ascii="Times New Roman" w:hAnsi="Times New Roman" w:cs="Times New Roman"/>
                <w:color w:val="000000" w:themeColor="text1"/>
                <w:sz w:val="20"/>
                <w:szCs w:val="20"/>
              </w:rPr>
              <w:t>É</w:t>
            </w:r>
            <w:r w:rsidR="00DE241D" w:rsidRPr="0097258B">
              <w:rPr>
                <w:rFonts w:ascii="Times New Roman" w:hAnsi="Times New Roman" w:cs="Times New Roman"/>
                <w:color w:val="000000" w:themeColor="text1"/>
                <w:sz w:val="20"/>
                <w:szCs w:val="20"/>
              </w:rPr>
              <w:t>cosystèmes</w:t>
            </w:r>
            <w:proofErr w:type="spellEnd"/>
            <w:r w:rsidR="00DE241D" w:rsidRPr="0097258B">
              <w:rPr>
                <w:rFonts w:ascii="Times New Roman" w:hAnsi="Times New Roman" w:cs="Times New Roman"/>
                <w:color w:val="000000" w:themeColor="text1"/>
                <w:sz w:val="20"/>
                <w:szCs w:val="20"/>
              </w:rPr>
              <w:t> ;</w:t>
            </w:r>
            <w:proofErr w:type="gramEnd"/>
          </w:p>
          <w:p w14:paraId="3C4EF6E7" w14:textId="77777777" w:rsidR="00DE241D" w:rsidRPr="0097258B" w:rsidRDefault="00DE241D" w:rsidP="001748C6">
            <w:pPr>
              <w:pStyle w:val="Default"/>
              <w:numPr>
                <w:ilvl w:val="0"/>
                <w:numId w:val="285"/>
              </w:numPr>
              <w:overflowPunct w:val="0"/>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Paysage</w:t>
            </w:r>
            <w:proofErr w:type="spellEnd"/>
            <w:r w:rsidRPr="0097258B">
              <w:rPr>
                <w:rFonts w:ascii="Times New Roman" w:hAnsi="Times New Roman" w:cs="Times New Roman"/>
                <w:color w:val="000000" w:themeColor="text1"/>
                <w:sz w:val="20"/>
                <w:szCs w:val="20"/>
              </w:rPr>
              <w:t xml:space="preserve"> </w:t>
            </w:r>
          </w:p>
        </w:tc>
        <w:tc>
          <w:tcPr>
            <w:tcW w:w="2026" w:type="dxa"/>
            <w:tcBorders>
              <w:top w:val="single" w:sz="4" w:space="0" w:color="auto"/>
              <w:left w:val="single" w:sz="4" w:space="0" w:color="auto"/>
              <w:bottom w:val="single" w:sz="4" w:space="0" w:color="auto"/>
              <w:right w:val="single" w:sz="4" w:space="0" w:color="auto"/>
            </w:tcBorders>
            <w:vAlign w:val="center"/>
          </w:tcPr>
          <w:p w14:paraId="3C62D861" w14:textId="77777777" w:rsidR="00DE241D" w:rsidRPr="0097258B" w:rsidRDefault="00DE241D" w:rsidP="001748C6">
            <w:pPr>
              <w:pStyle w:val="Default"/>
              <w:numPr>
                <w:ilvl w:val="0"/>
                <w:numId w:val="286"/>
              </w:numPr>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Climat social et économie locale ;</w:t>
            </w:r>
          </w:p>
          <w:p w14:paraId="3713E09F" w14:textId="77777777" w:rsidR="00DE241D" w:rsidRPr="0097258B" w:rsidRDefault="00DE241D" w:rsidP="001748C6">
            <w:pPr>
              <w:pStyle w:val="Default"/>
              <w:numPr>
                <w:ilvl w:val="0"/>
                <w:numId w:val="286"/>
              </w:numPr>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Santé et sécurité des travailleurs et des riverains ;</w:t>
            </w:r>
          </w:p>
          <w:p w14:paraId="109D165F" w14:textId="77777777" w:rsidR="00DE241D" w:rsidRPr="0097258B" w:rsidRDefault="00DE241D" w:rsidP="001748C6">
            <w:pPr>
              <w:pStyle w:val="Default"/>
              <w:numPr>
                <w:ilvl w:val="0"/>
                <w:numId w:val="286"/>
              </w:numPr>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Mobilité</w:t>
            </w:r>
            <w:proofErr w:type="spellEnd"/>
            <w:r w:rsidRPr="0097258B">
              <w:rPr>
                <w:rFonts w:ascii="Times New Roman" w:hAnsi="Times New Roman" w:cs="Times New Roman"/>
                <w:color w:val="000000" w:themeColor="text1"/>
                <w:sz w:val="20"/>
                <w:szCs w:val="20"/>
              </w:rPr>
              <w:t xml:space="preserve"> des </w:t>
            </w:r>
            <w:proofErr w:type="gramStart"/>
            <w:r w:rsidRPr="0097258B">
              <w:rPr>
                <w:rFonts w:ascii="Times New Roman" w:hAnsi="Times New Roman" w:cs="Times New Roman"/>
                <w:color w:val="000000" w:themeColor="text1"/>
                <w:sz w:val="20"/>
                <w:szCs w:val="20"/>
              </w:rPr>
              <w:t>populations ;</w:t>
            </w:r>
            <w:proofErr w:type="gramEnd"/>
          </w:p>
          <w:p w14:paraId="2A8F9185" w14:textId="77777777" w:rsidR="00C34C0F" w:rsidRPr="00C34C0F" w:rsidRDefault="00C34C0F" w:rsidP="00C34C0F">
            <w:pPr>
              <w:pStyle w:val="Default"/>
              <w:numPr>
                <w:ilvl w:val="0"/>
                <w:numId w:val="286"/>
              </w:numPr>
              <w:overflowPunct w:val="0"/>
              <w:jc w:val="both"/>
              <w:textAlignment w:val="baseline"/>
              <w:rPr>
                <w:rFonts w:ascii="Times New Roman" w:hAnsi="Times New Roman" w:cs="Times New Roman"/>
                <w:color w:val="000000" w:themeColor="text1"/>
                <w:sz w:val="20"/>
                <w:szCs w:val="20"/>
                <w:lang w:val="fr-FR"/>
              </w:rPr>
            </w:pPr>
            <w:r w:rsidRPr="00C34C0F">
              <w:rPr>
                <w:rFonts w:ascii="Times New Roman" w:hAnsi="Times New Roman" w:cs="Times New Roman"/>
                <w:color w:val="000000" w:themeColor="text1"/>
                <w:sz w:val="20"/>
                <w:szCs w:val="20"/>
                <w:lang w:val="fr-FR"/>
              </w:rPr>
              <w:t xml:space="preserve">Pertes d’actifs économiques et d’habitats </w:t>
            </w:r>
          </w:p>
          <w:p w14:paraId="624351FE" w14:textId="77777777" w:rsidR="00DE241D" w:rsidRPr="0097258B" w:rsidRDefault="00DE241D" w:rsidP="00C34C0F">
            <w:pPr>
              <w:pStyle w:val="Default"/>
              <w:numPr>
                <w:ilvl w:val="0"/>
                <w:numId w:val="286"/>
              </w:numPr>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Cadre de vie </w:t>
            </w:r>
          </w:p>
        </w:tc>
      </w:tr>
      <w:tr w:rsidR="00BD1A2F" w:rsidRPr="00C34C0F" w14:paraId="797E6808" w14:textId="77777777" w:rsidTr="003A0E4A">
        <w:tc>
          <w:tcPr>
            <w:tcW w:w="1483" w:type="dxa"/>
            <w:tcBorders>
              <w:top w:val="single" w:sz="4" w:space="0" w:color="auto"/>
              <w:left w:val="single" w:sz="4" w:space="0" w:color="auto"/>
              <w:bottom w:val="single" w:sz="4" w:space="0" w:color="auto"/>
              <w:right w:val="single" w:sz="4" w:space="0" w:color="auto"/>
            </w:tcBorders>
            <w:vAlign w:val="center"/>
            <w:hideMark/>
          </w:tcPr>
          <w:p w14:paraId="58CD8D56" w14:textId="77777777" w:rsidR="00DE241D" w:rsidRPr="0097258B" w:rsidRDefault="00DE241D" w:rsidP="00E20250">
            <w:pPr>
              <w:pStyle w:val="Default"/>
              <w:overflowPunct w:val="0"/>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lastRenderedPageBreak/>
              <w:t xml:space="preserve">Exploitation </w:t>
            </w:r>
          </w:p>
        </w:tc>
        <w:tc>
          <w:tcPr>
            <w:tcW w:w="3474" w:type="dxa"/>
            <w:tcBorders>
              <w:top w:val="single" w:sz="4" w:space="0" w:color="auto"/>
              <w:left w:val="single" w:sz="4" w:space="0" w:color="auto"/>
              <w:bottom w:val="single" w:sz="4" w:space="0" w:color="auto"/>
              <w:right w:val="single" w:sz="4" w:space="0" w:color="auto"/>
            </w:tcBorders>
            <w:hideMark/>
          </w:tcPr>
          <w:p w14:paraId="60B40C68" w14:textId="77777777" w:rsidR="00DE241D" w:rsidRPr="0097258B" w:rsidRDefault="00DE241D" w:rsidP="00E20250">
            <w:pPr>
              <w:pStyle w:val="Default"/>
              <w:overflowPunct w:val="0"/>
              <w:textAlignment w:val="baseline"/>
              <w:rPr>
                <w:rFonts w:ascii="Times New Roman" w:hAnsi="Times New Roman" w:cs="Times New Roman"/>
                <w:color w:val="000000" w:themeColor="text1"/>
                <w:sz w:val="20"/>
                <w:szCs w:val="20"/>
                <w:lang w:val="fr-FR"/>
              </w:rPr>
            </w:pPr>
          </w:p>
          <w:p w14:paraId="764CEEC2" w14:textId="77777777" w:rsidR="00DE241D" w:rsidRPr="0097258B" w:rsidRDefault="00DE241D" w:rsidP="001748C6">
            <w:pPr>
              <w:pStyle w:val="Default"/>
              <w:numPr>
                <w:ilvl w:val="0"/>
                <w:numId w:val="284"/>
              </w:numPr>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Inondation</w:t>
            </w:r>
            <w:proofErr w:type="spellEnd"/>
            <w:r w:rsidRPr="0097258B">
              <w:rPr>
                <w:rFonts w:ascii="Times New Roman" w:hAnsi="Times New Roman" w:cs="Times New Roman"/>
                <w:color w:val="000000" w:themeColor="text1"/>
                <w:sz w:val="20"/>
                <w:szCs w:val="20"/>
              </w:rPr>
              <w:t>/</w:t>
            </w:r>
            <w:proofErr w:type="spellStart"/>
            <w:r w:rsidRPr="0097258B">
              <w:rPr>
                <w:rFonts w:ascii="Times New Roman" w:hAnsi="Times New Roman" w:cs="Times New Roman"/>
                <w:color w:val="000000" w:themeColor="text1"/>
                <w:sz w:val="20"/>
                <w:szCs w:val="20"/>
              </w:rPr>
              <w:t>remplissage</w:t>
            </w:r>
            <w:proofErr w:type="spellEnd"/>
            <w:r w:rsidRPr="0097258B">
              <w:rPr>
                <w:rFonts w:ascii="Times New Roman" w:hAnsi="Times New Roman" w:cs="Times New Roman"/>
                <w:color w:val="000000" w:themeColor="text1"/>
                <w:sz w:val="20"/>
                <w:szCs w:val="20"/>
              </w:rPr>
              <w:t xml:space="preserve"> des </w:t>
            </w:r>
            <w:proofErr w:type="spellStart"/>
            <w:proofErr w:type="gramStart"/>
            <w:r w:rsidRPr="0097258B">
              <w:rPr>
                <w:rFonts w:ascii="Times New Roman" w:hAnsi="Times New Roman" w:cs="Times New Roman"/>
                <w:color w:val="000000" w:themeColor="text1"/>
                <w:sz w:val="20"/>
                <w:szCs w:val="20"/>
              </w:rPr>
              <w:t>bassins</w:t>
            </w:r>
            <w:proofErr w:type="spellEnd"/>
            <w:r w:rsidRPr="0097258B">
              <w:rPr>
                <w:rFonts w:ascii="Times New Roman" w:hAnsi="Times New Roman" w:cs="Times New Roman"/>
                <w:color w:val="000000" w:themeColor="text1"/>
                <w:sz w:val="20"/>
                <w:szCs w:val="20"/>
              </w:rPr>
              <w:t> ;</w:t>
            </w:r>
            <w:proofErr w:type="gramEnd"/>
          </w:p>
          <w:p w14:paraId="007087C9" w14:textId="77777777" w:rsidR="00DE241D" w:rsidRPr="0097258B" w:rsidRDefault="00DE241D" w:rsidP="001748C6">
            <w:pPr>
              <w:pStyle w:val="Default"/>
              <w:numPr>
                <w:ilvl w:val="0"/>
                <w:numId w:val="284"/>
              </w:numPr>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Entretien des </w:t>
            </w:r>
            <w:proofErr w:type="spellStart"/>
            <w:proofErr w:type="gramStart"/>
            <w:r w:rsidRPr="0097258B">
              <w:rPr>
                <w:rFonts w:ascii="Times New Roman" w:hAnsi="Times New Roman" w:cs="Times New Roman"/>
                <w:color w:val="000000" w:themeColor="text1"/>
                <w:sz w:val="20"/>
                <w:szCs w:val="20"/>
              </w:rPr>
              <w:t>ouvrages</w:t>
            </w:r>
            <w:proofErr w:type="spellEnd"/>
            <w:r w:rsidRPr="0097258B">
              <w:rPr>
                <w:rFonts w:ascii="Times New Roman" w:hAnsi="Times New Roman" w:cs="Times New Roman"/>
                <w:color w:val="000000" w:themeColor="text1"/>
                <w:sz w:val="20"/>
                <w:szCs w:val="20"/>
              </w:rPr>
              <w:t xml:space="preserve"> ;</w:t>
            </w:r>
            <w:proofErr w:type="gramEnd"/>
            <w:r w:rsidRPr="0097258B">
              <w:rPr>
                <w:rFonts w:ascii="Times New Roman" w:hAnsi="Times New Roman" w:cs="Times New Roman"/>
                <w:color w:val="000000" w:themeColor="text1"/>
                <w:sz w:val="20"/>
                <w:szCs w:val="20"/>
              </w:rPr>
              <w:t xml:space="preserve">  </w:t>
            </w:r>
          </w:p>
        </w:tc>
        <w:tc>
          <w:tcPr>
            <w:tcW w:w="2717" w:type="dxa"/>
            <w:tcBorders>
              <w:top w:val="single" w:sz="4" w:space="0" w:color="auto"/>
              <w:left w:val="single" w:sz="4" w:space="0" w:color="auto"/>
              <w:bottom w:val="single" w:sz="4" w:space="0" w:color="auto"/>
              <w:right w:val="single" w:sz="4" w:space="0" w:color="auto"/>
            </w:tcBorders>
            <w:vAlign w:val="center"/>
            <w:hideMark/>
          </w:tcPr>
          <w:p w14:paraId="7815CE82" w14:textId="77777777" w:rsidR="00DE241D" w:rsidRPr="0097258B" w:rsidRDefault="00DE241D" w:rsidP="001748C6">
            <w:pPr>
              <w:pStyle w:val="Default"/>
              <w:numPr>
                <w:ilvl w:val="0"/>
                <w:numId w:val="287"/>
              </w:numPr>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Eaux de </w:t>
            </w:r>
            <w:proofErr w:type="gramStart"/>
            <w:r w:rsidRPr="0097258B">
              <w:rPr>
                <w:rFonts w:ascii="Times New Roman" w:hAnsi="Times New Roman" w:cs="Times New Roman"/>
                <w:color w:val="000000" w:themeColor="text1"/>
                <w:sz w:val="20"/>
                <w:szCs w:val="20"/>
              </w:rPr>
              <w:t>surface ;</w:t>
            </w:r>
            <w:proofErr w:type="gramEnd"/>
          </w:p>
          <w:p w14:paraId="77A03CAC" w14:textId="77777777" w:rsidR="00DE241D" w:rsidRPr="0097258B" w:rsidRDefault="00DE241D" w:rsidP="001748C6">
            <w:pPr>
              <w:pStyle w:val="Default"/>
              <w:numPr>
                <w:ilvl w:val="0"/>
                <w:numId w:val="287"/>
              </w:numPr>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Eaux </w:t>
            </w:r>
            <w:proofErr w:type="spellStart"/>
            <w:proofErr w:type="gramStart"/>
            <w:r w:rsidRPr="0097258B">
              <w:rPr>
                <w:rFonts w:ascii="Times New Roman" w:hAnsi="Times New Roman" w:cs="Times New Roman"/>
                <w:color w:val="000000" w:themeColor="text1"/>
                <w:sz w:val="20"/>
                <w:szCs w:val="20"/>
              </w:rPr>
              <w:t>souterraines</w:t>
            </w:r>
            <w:proofErr w:type="spellEnd"/>
            <w:r w:rsidRPr="0097258B">
              <w:rPr>
                <w:rFonts w:ascii="Times New Roman" w:hAnsi="Times New Roman" w:cs="Times New Roman"/>
                <w:color w:val="000000" w:themeColor="text1"/>
                <w:sz w:val="20"/>
                <w:szCs w:val="20"/>
              </w:rPr>
              <w:t> ;</w:t>
            </w:r>
            <w:proofErr w:type="gramEnd"/>
          </w:p>
          <w:p w14:paraId="594489FE" w14:textId="77777777" w:rsidR="00DE241D" w:rsidRPr="0097258B" w:rsidRDefault="00DE241D" w:rsidP="001748C6">
            <w:pPr>
              <w:pStyle w:val="Default"/>
              <w:numPr>
                <w:ilvl w:val="0"/>
                <w:numId w:val="287"/>
              </w:numPr>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Flore</w:t>
            </w:r>
          </w:p>
          <w:p w14:paraId="356ECAB0" w14:textId="77777777" w:rsidR="00DE241D" w:rsidRPr="0097258B" w:rsidRDefault="00DE241D" w:rsidP="001748C6">
            <w:pPr>
              <w:pStyle w:val="Default"/>
              <w:numPr>
                <w:ilvl w:val="0"/>
                <w:numId w:val="287"/>
              </w:numPr>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Faune</w:t>
            </w:r>
          </w:p>
          <w:p w14:paraId="76628D9D" w14:textId="77777777" w:rsidR="00DE241D" w:rsidRPr="0097258B" w:rsidRDefault="00DE241D" w:rsidP="001748C6">
            <w:pPr>
              <w:pStyle w:val="Default"/>
              <w:numPr>
                <w:ilvl w:val="0"/>
                <w:numId w:val="287"/>
              </w:numPr>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Paysage</w:t>
            </w:r>
            <w:proofErr w:type="spellEnd"/>
          </w:p>
        </w:tc>
        <w:tc>
          <w:tcPr>
            <w:tcW w:w="2026" w:type="dxa"/>
            <w:tcBorders>
              <w:top w:val="single" w:sz="4" w:space="0" w:color="auto"/>
              <w:left w:val="single" w:sz="4" w:space="0" w:color="auto"/>
              <w:bottom w:val="single" w:sz="4" w:space="0" w:color="auto"/>
              <w:right w:val="single" w:sz="4" w:space="0" w:color="auto"/>
            </w:tcBorders>
            <w:vAlign w:val="center"/>
          </w:tcPr>
          <w:p w14:paraId="3DDFAB68" w14:textId="77777777" w:rsidR="00DE241D" w:rsidRPr="0097258B" w:rsidRDefault="00DE241D" w:rsidP="001748C6">
            <w:pPr>
              <w:pStyle w:val="Default"/>
              <w:numPr>
                <w:ilvl w:val="0"/>
                <w:numId w:val="288"/>
              </w:numPr>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Santé, salubrité et sécurité publiques ;</w:t>
            </w:r>
          </w:p>
          <w:p w14:paraId="48BF99DC" w14:textId="77777777" w:rsidR="00DE241D" w:rsidRPr="0097258B" w:rsidRDefault="00DE241D" w:rsidP="001748C6">
            <w:pPr>
              <w:pStyle w:val="Default"/>
              <w:numPr>
                <w:ilvl w:val="0"/>
                <w:numId w:val="288"/>
              </w:numPr>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Cadre de vie et bien-être des riverains</w:t>
            </w:r>
          </w:p>
        </w:tc>
      </w:tr>
    </w:tbl>
    <w:p w14:paraId="0169F651" w14:textId="77777777" w:rsidR="00DE241D" w:rsidRPr="00260790" w:rsidRDefault="00DE241D" w:rsidP="00451F8A">
      <w:pPr>
        <w:spacing w:after="0" w:line="240" w:lineRule="auto"/>
        <w:jc w:val="both"/>
        <w:rPr>
          <w:rFonts w:ascii="Times New Roman" w:hAnsi="Times New Roman"/>
          <w:color w:val="000000" w:themeColor="text1"/>
        </w:rPr>
      </w:pPr>
    </w:p>
    <w:p w14:paraId="591B3B32" w14:textId="77777777" w:rsidR="00DE241D" w:rsidRPr="00260790" w:rsidRDefault="00DE241D" w:rsidP="001748C6">
      <w:pPr>
        <w:pStyle w:val="Paragraphedeliste"/>
        <w:numPr>
          <w:ilvl w:val="0"/>
          <w:numId w:val="129"/>
        </w:numPr>
        <w:spacing w:after="0" w:line="240" w:lineRule="auto"/>
        <w:jc w:val="both"/>
        <w:rPr>
          <w:rFonts w:ascii="Times New Roman" w:hAnsi="Times New Roman"/>
          <w:b/>
          <w:color w:val="000000" w:themeColor="text1"/>
        </w:rPr>
      </w:pPr>
      <w:r w:rsidRPr="00260790">
        <w:rPr>
          <w:rFonts w:ascii="Times New Roman" w:hAnsi="Times New Roman"/>
          <w:b/>
          <w:color w:val="000000" w:themeColor="text1"/>
        </w:rPr>
        <w:t>Évaluation des impacts environnementaux et sociaux</w:t>
      </w:r>
    </w:p>
    <w:p w14:paraId="04BAC8BB"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 confrontation des activités sources d’impacts avec les composantes environnementales et sociales du milieu d’accueil a permis de déterminer les interrelations probables et partant, les principaux impacts et risques associés au projet. </w:t>
      </w:r>
    </w:p>
    <w:p w14:paraId="0CB36B87" w14:textId="37865DCD"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L’importance de chaque impact suspecté a été évaluée suivant le </w:t>
      </w:r>
      <w:r w:rsidRPr="00260790">
        <w:rPr>
          <w:rFonts w:ascii="Times New Roman" w:hAnsi="Times New Roman"/>
          <w:iCs/>
          <w:color w:val="000000" w:themeColor="text1"/>
        </w:rPr>
        <w:t>schéma du processus d’évaluation des effets environnementaux</w:t>
      </w:r>
      <w:r w:rsidRPr="00260790">
        <w:rPr>
          <w:rFonts w:ascii="Times New Roman" w:hAnsi="Times New Roman"/>
          <w:color w:val="000000" w:themeColor="text1"/>
        </w:rPr>
        <w:t xml:space="preserve"> ci-après :</w:t>
      </w:r>
    </w:p>
    <w:p w14:paraId="5A30D95B" w14:textId="77777777" w:rsidR="00DE241D" w:rsidRPr="00260790" w:rsidRDefault="00DE241D" w:rsidP="00E20250">
      <w:pPr>
        <w:spacing w:line="240" w:lineRule="auto"/>
        <w:jc w:val="both"/>
        <w:rPr>
          <w:rFonts w:ascii="Times New Roman" w:hAnsi="Times New Roman"/>
          <w:color w:val="000000" w:themeColor="text1"/>
        </w:rPr>
      </w:pPr>
    </w:p>
    <w:p w14:paraId="1F0F648F" w14:textId="77777777" w:rsidR="00DE241D" w:rsidRPr="00260790" w:rsidRDefault="00DE241D" w:rsidP="00E20250">
      <w:pPr>
        <w:widowControl w:val="0"/>
        <w:autoSpaceDE w:val="0"/>
        <w:autoSpaceDN w:val="0"/>
        <w:adjustRightInd w:val="0"/>
        <w:spacing w:line="240" w:lineRule="auto"/>
        <w:jc w:val="center"/>
        <w:rPr>
          <w:rFonts w:ascii="Times New Roman" w:hAnsi="Times New Roman"/>
          <w:color w:val="000000" w:themeColor="text1"/>
        </w:rPr>
      </w:pPr>
      <w:r w:rsidRPr="00260790">
        <w:rPr>
          <w:rFonts w:ascii="Times New Roman" w:hAnsi="Times New Roman"/>
          <w:noProof/>
          <w:color w:val="000000" w:themeColor="text1"/>
          <w:lang w:val="en-US"/>
        </w:rPr>
        <w:drawing>
          <wp:inline distT="0" distB="0" distL="0" distR="0" wp14:anchorId="14FAA5A2" wp14:editId="6F3C8127">
            <wp:extent cx="5204460" cy="5181600"/>
            <wp:effectExtent l="0" t="0" r="0" b="0"/>
            <wp:docPr id="598239729" name="Image 598239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0" y="0"/>
                      <a:ext cx="5204460" cy="5181600"/>
                    </a:xfrm>
                    <a:prstGeom prst="rect">
                      <a:avLst/>
                    </a:prstGeom>
                    <a:noFill/>
                    <a:ln>
                      <a:noFill/>
                    </a:ln>
                  </pic:spPr>
                </pic:pic>
              </a:graphicData>
            </a:graphic>
          </wp:inline>
        </w:drawing>
      </w:r>
    </w:p>
    <w:p w14:paraId="2C917607" w14:textId="77777777" w:rsidR="00DE241D" w:rsidRPr="00260790" w:rsidRDefault="00DE241D" w:rsidP="005E61F7">
      <w:pPr>
        <w:spacing w:after="0" w:line="240" w:lineRule="auto"/>
        <w:jc w:val="both"/>
        <w:rPr>
          <w:rFonts w:ascii="Times New Roman" w:hAnsi="Times New Roman"/>
          <w:color w:val="000000" w:themeColor="text1"/>
        </w:rPr>
      </w:pPr>
    </w:p>
    <w:p w14:paraId="247F0B00" w14:textId="77777777" w:rsidR="005E61F7" w:rsidRPr="00260790" w:rsidRDefault="005E61F7">
      <w:pPr>
        <w:spacing w:line="259" w:lineRule="auto"/>
        <w:rPr>
          <w:rFonts w:ascii="Times New Roman" w:hAnsi="Times New Roman"/>
          <w:color w:val="000000" w:themeColor="text1"/>
        </w:rPr>
      </w:pPr>
      <w:r w:rsidRPr="00260790">
        <w:rPr>
          <w:rFonts w:ascii="Times New Roman" w:hAnsi="Times New Roman"/>
          <w:color w:val="000000" w:themeColor="text1"/>
        </w:rPr>
        <w:br w:type="page"/>
      </w:r>
    </w:p>
    <w:p w14:paraId="6369A73C" w14:textId="5FC1AFB8"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lastRenderedPageBreak/>
        <w:t>La quantification de l’importance des impacts a été basée sur la matrice d’évaluation des impacts de Martin FECTEAU.</w:t>
      </w:r>
    </w:p>
    <w:p w14:paraId="57FB305A" w14:textId="01F41F51" w:rsidR="00DE241D" w:rsidRPr="00260790" w:rsidRDefault="00DE241D" w:rsidP="00E20250">
      <w:pPr>
        <w:pStyle w:val="Lgende"/>
        <w:keepNext/>
        <w:spacing w:line="240" w:lineRule="auto"/>
        <w:jc w:val="center"/>
        <w:rPr>
          <w:color w:val="000000" w:themeColor="text1"/>
          <w:sz w:val="22"/>
          <w:szCs w:val="22"/>
        </w:rPr>
      </w:pPr>
      <w:bookmarkStart w:id="597" w:name="_Toc207781862"/>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21</w:t>
      </w:r>
      <w:r w:rsidRPr="00260790">
        <w:rPr>
          <w:color w:val="000000" w:themeColor="text1"/>
          <w:sz w:val="22"/>
          <w:szCs w:val="22"/>
        </w:rPr>
        <w:fldChar w:fldCharType="end"/>
      </w:r>
      <w:r w:rsidRPr="00260790">
        <w:rPr>
          <w:color w:val="000000" w:themeColor="text1"/>
          <w:sz w:val="22"/>
          <w:szCs w:val="22"/>
        </w:rPr>
        <w:t xml:space="preserve"> : Grille d’évaluation de l’importance des impacts de Martin FECTEAU</w:t>
      </w:r>
      <w:bookmarkEnd w:id="597"/>
    </w:p>
    <w:tbl>
      <w:tblPr>
        <w:tblW w:w="4935"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1E0" w:firstRow="1" w:lastRow="1" w:firstColumn="1" w:lastColumn="1" w:noHBand="0" w:noVBand="0"/>
      </w:tblPr>
      <w:tblGrid>
        <w:gridCol w:w="2002"/>
        <w:gridCol w:w="30"/>
        <w:gridCol w:w="1503"/>
        <w:gridCol w:w="1464"/>
        <w:gridCol w:w="3937"/>
      </w:tblGrid>
      <w:tr w:rsidR="00BD1A2F" w:rsidRPr="00260790" w14:paraId="7965C45B" w14:textId="77777777" w:rsidTr="001108C4">
        <w:trPr>
          <w:trHeight w:val="425"/>
          <w:tblHeader/>
          <w:jc w:val="center"/>
        </w:trPr>
        <w:tc>
          <w:tcPr>
            <w:tcW w:w="1137" w:type="pct"/>
            <w:gridSpan w:val="2"/>
            <w:tcBorders>
              <w:top w:val="single" w:sz="6" w:space="0" w:color="000080"/>
              <w:left w:val="single" w:sz="6" w:space="0" w:color="000080"/>
              <w:bottom w:val="single" w:sz="6" w:space="0" w:color="000080"/>
              <w:right w:val="single" w:sz="6" w:space="0" w:color="000080"/>
            </w:tcBorders>
            <w:hideMark/>
          </w:tcPr>
          <w:p w14:paraId="5A7AC2A3"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 xml:space="preserve">Intensité </w:t>
            </w:r>
          </w:p>
        </w:tc>
        <w:tc>
          <w:tcPr>
            <w:tcW w:w="841" w:type="pct"/>
            <w:tcBorders>
              <w:top w:val="single" w:sz="6" w:space="0" w:color="000080"/>
              <w:left w:val="single" w:sz="6" w:space="0" w:color="000080"/>
              <w:bottom w:val="single" w:sz="6" w:space="0" w:color="000080"/>
              <w:right w:val="single" w:sz="6" w:space="0" w:color="000080"/>
            </w:tcBorders>
            <w:hideMark/>
          </w:tcPr>
          <w:p w14:paraId="3289CE2B" w14:textId="36473D42" w:rsidR="00DE241D" w:rsidRPr="00260790" w:rsidRDefault="00E23E20"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É</w:t>
            </w:r>
            <w:r w:rsidR="00DE241D" w:rsidRPr="00260790">
              <w:rPr>
                <w:rFonts w:ascii="Times New Roman" w:hAnsi="Times New Roman" w:cs="Times New Roman"/>
                <w:b/>
                <w:bCs/>
                <w:color w:val="000000" w:themeColor="text1"/>
                <w:sz w:val="22"/>
                <w:szCs w:val="22"/>
              </w:rPr>
              <w:t xml:space="preserve">tendue </w:t>
            </w:r>
          </w:p>
        </w:tc>
        <w:tc>
          <w:tcPr>
            <w:tcW w:w="819" w:type="pct"/>
            <w:tcBorders>
              <w:top w:val="single" w:sz="6" w:space="0" w:color="000080"/>
              <w:left w:val="single" w:sz="6" w:space="0" w:color="000080"/>
              <w:bottom w:val="single" w:sz="6" w:space="0" w:color="000080"/>
              <w:right w:val="single" w:sz="6" w:space="0" w:color="000080"/>
            </w:tcBorders>
            <w:hideMark/>
          </w:tcPr>
          <w:p w14:paraId="6BB71120"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Durée</w:t>
            </w:r>
          </w:p>
        </w:tc>
        <w:tc>
          <w:tcPr>
            <w:tcW w:w="2203" w:type="pct"/>
            <w:tcBorders>
              <w:top w:val="single" w:sz="6" w:space="0" w:color="000080"/>
              <w:left w:val="single" w:sz="6" w:space="0" w:color="000080"/>
              <w:bottom w:val="single" w:sz="6" w:space="0" w:color="000080"/>
              <w:right w:val="single" w:sz="6" w:space="0" w:color="000080"/>
            </w:tcBorders>
            <w:hideMark/>
          </w:tcPr>
          <w:p w14:paraId="6918D9BB"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 xml:space="preserve">Importance </w:t>
            </w:r>
          </w:p>
        </w:tc>
      </w:tr>
      <w:tr w:rsidR="00BD1A2F" w:rsidRPr="00260790" w14:paraId="1F40CF20" w14:textId="77777777" w:rsidTr="001108C4">
        <w:trPr>
          <w:trHeight w:val="263"/>
          <w:jc w:val="center"/>
        </w:trPr>
        <w:tc>
          <w:tcPr>
            <w:tcW w:w="1120" w:type="pct"/>
            <w:vMerge w:val="restart"/>
            <w:tcBorders>
              <w:top w:val="single" w:sz="6" w:space="0" w:color="000080"/>
              <w:left w:val="single" w:sz="6" w:space="0" w:color="000080"/>
              <w:bottom w:val="single" w:sz="6" w:space="0" w:color="000080"/>
              <w:right w:val="single" w:sz="6" w:space="0" w:color="000080"/>
            </w:tcBorders>
          </w:tcPr>
          <w:p w14:paraId="502AC6B3"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p w14:paraId="1415B3BF"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p w14:paraId="1F9D5D63"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p w14:paraId="73145EE0"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p w14:paraId="6F88B540"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Forte</w:t>
            </w:r>
          </w:p>
        </w:tc>
        <w:tc>
          <w:tcPr>
            <w:tcW w:w="858" w:type="pct"/>
            <w:gridSpan w:val="2"/>
            <w:vMerge w:val="restart"/>
            <w:tcBorders>
              <w:top w:val="single" w:sz="6" w:space="0" w:color="000080"/>
              <w:left w:val="single" w:sz="6" w:space="0" w:color="000080"/>
              <w:bottom w:val="single" w:sz="6" w:space="0" w:color="000080"/>
              <w:right w:val="single" w:sz="6" w:space="0" w:color="000080"/>
            </w:tcBorders>
          </w:tcPr>
          <w:p w14:paraId="6A9E5E72"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p w14:paraId="589A218A"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Régionale</w:t>
            </w:r>
          </w:p>
        </w:tc>
        <w:tc>
          <w:tcPr>
            <w:tcW w:w="819" w:type="pct"/>
            <w:tcBorders>
              <w:top w:val="single" w:sz="6" w:space="0" w:color="000080"/>
              <w:left w:val="single" w:sz="6" w:space="0" w:color="000080"/>
              <w:bottom w:val="single" w:sz="6" w:space="0" w:color="000080"/>
              <w:right w:val="single" w:sz="6" w:space="0" w:color="000080"/>
            </w:tcBorders>
            <w:hideMark/>
          </w:tcPr>
          <w:p w14:paraId="2C059B14"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Longue</w:t>
            </w:r>
          </w:p>
        </w:tc>
        <w:tc>
          <w:tcPr>
            <w:tcW w:w="2203" w:type="pct"/>
            <w:tcBorders>
              <w:top w:val="single" w:sz="6" w:space="0" w:color="000080"/>
              <w:left w:val="single" w:sz="6" w:space="0" w:color="000080"/>
              <w:bottom w:val="single" w:sz="6" w:space="0" w:color="000080"/>
              <w:right w:val="single" w:sz="6" w:space="0" w:color="000080"/>
            </w:tcBorders>
            <w:shd w:val="clear" w:color="auto" w:fill="FF0000"/>
            <w:hideMark/>
          </w:tcPr>
          <w:p w14:paraId="6E1B0FFA"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Majeure</w:t>
            </w:r>
          </w:p>
        </w:tc>
      </w:tr>
      <w:tr w:rsidR="00BD1A2F" w:rsidRPr="00260790" w14:paraId="06FD3127" w14:textId="77777777" w:rsidTr="001108C4">
        <w:trPr>
          <w:trHeight w:val="211"/>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14:paraId="1456C848"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0" w:type="auto"/>
            <w:gridSpan w:val="2"/>
            <w:vMerge/>
            <w:tcBorders>
              <w:top w:val="single" w:sz="6" w:space="0" w:color="000080"/>
              <w:left w:val="single" w:sz="6" w:space="0" w:color="000080"/>
              <w:bottom w:val="single" w:sz="6" w:space="0" w:color="000080"/>
              <w:right w:val="single" w:sz="6" w:space="0" w:color="000080"/>
            </w:tcBorders>
            <w:vAlign w:val="center"/>
            <w:hideMark/>
          </w:tcPr>
          <w:p w14:paraId="604E3AD6"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819" w:type="pct"/>
            <w:tcBorders>
              <w:top w:val="single" w:sz="6" w:space="0" w:color="000080"/>
              <w:left w:val="single" w:sz="6" w:space="0" w:color="000080"/>
              <w:bottom w:val="single" w:sz="6" w:space="0" w:color="000080"/>
              <w:right w:val="single" w:sz="6" w:space="0" w:color="000080"/>
            </w:tcBorders>
            <w:hideMark/>
          </w:tcPr>
          <w:p w14:paraId="343404ED"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Moyenne</w:t>
            </w:r>
          </w:p>
        </w:tc>
        <w:tc>
          <w:tcPr>
            <w:tcW w:w="2203" w:type="pct"/>
            <w:tcBorders>
              <w:top w:val="single" w:sz="6" w:space="0" w:color="000080"/>
              <w:left w:val="single" w:sz="6" w:space="0" w:color="000080"/>
              <w:bottom w:val="single" w:sz="6" w:space="0" w:color="000080"/>
              <w:right w:val="single" w:sz="6" w:space="0" w:color="000080"/>
            </w:tcBorders>
            <w:shd w:val="clear" w:color="auto" w:fill="FF0000"/>
            <w:hideMark/>
          </w:tcPr>
          <w:p w14:paraId="4AADC220"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Majeure</w:t>
            </w:r>
          </w:p>
        </w:tc>
      </w:tr>
      <w:tr w:rsidR="00BD1A2F" w:rsidRPr="00260790" w14:paraId="10F52819" w14:textId="77777777" w:rsidTr="001108C4">
        <w:trPr>
          <w:trHeight w:val="211"/>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14:paraId="3A534B62"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0" w:type="auto"/>
            <w:gridSpan w:val="2"/>
            <w:vMerge/>
            <w:tcBorders>
              <w:top w:val="single" w:sz="6" w:space="0" w:color="000080"/>
              <w:left w:val="single" w:sz="6" w:space="0" w:color="000080"/>
              <w:bottom w:val="single" w:sz="6" w:space="0" w:color="000080"/>
              <w:right w:val="single" w:sz="6" w:space="0" w:color="000080"/>
            </w:tcBorders>
            <w:vAlign w:val="center"/>
            <w:hideMark/>
          </w:tcPr>
          <w:p w14:paraId="287FBA81"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819" w:type="pct"/>
            <w:tcBorders>
              <w:top w:val="single" w:sz="6" w:space="0" w:color="000080"/>
              <w:left w:val="single" w:sz="6" w:space="0" w:color="000080"/>
              <w:bottom w:val="single" w:sz="6" w:space="0" w:color="000080"/>
              <w:right w:val="single" w:sz="6" w:space="0" w:color="000080"/>
            </w:tcBorders>
            <w:hideMark/>
          </w:tcPr>
          <w:p w14:paraId="4722C0C7"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Courte</w:t>
            </w:r>
          </w:p>
        </w:tc>
        <w:tc>
          <w:tcPr>
            <w:tcW w:w="2203" w:type="pct"/>
            <w:tcBorders>
              <w:top w:val="single" w:sz="6" w:space="0" w:color="000080"/>
              <w:left w:val="single" w:sz="6" w:space="0" w:color="000080"/>
              <w:bottom w:val="single" w:sz="6" w:space="0" w:color="000080"/>
              <w:right w:val="single" w:sz="6" w:space="0" w:color="000080"/>
            </w:tcBorders>
            <w:shd w:val="clear" w:color="auto" w:fill="F4B083" w:themeFill="accent2" w:themeFillTint="99"/>
            <w:hideMark/>
          </w:tcPr>
          <w:p w14:paraId="1B4A6AF0"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Moyenne</w:t>
            </w:r>
          </w:p>
        </w:tc>
      </w:tr>
      <w:tr w:rsidR="00BD1A2F" w:rsidRPr="00260790" w14:paraId="606EBB6C" w14:textId="77777777" w:rsidTr="001108C4">
        <w:trPr>
          <w:trHeight w:val="211"/>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14:paraId="280FEF52"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858" w:type="pct"/>
            <w:gridSpan w:val="2"/>
            <w:vMerge w:val="restart"/>
            <w:tcBorders>
              <w:top w:val="single" w:sz="6" w:space="0" w:color="000080"/>
              <w:left w:val="single" w:sz="6" w:space="0" w:color="000080"/>
              <w:bottom w:val="single" w:sz="6" w:space="0" w:color="000080"/>
              <w:right w:val="single" w:sz="6" w:space="0" w:color="000080"/>
            </w:tcBorders>
          </w:tcPr>
          <w:p w14:paraId="065CE506"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p w14:paraId="34CACE8D"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Locale</w:t>
            </w:r>
          </w:p>
        </w:tc>
        <w:tc>
          <w:tcPr>
            <w:tcW w:w="819" w:type="pct"/>
            <w:tcBorders>
              <w:top w:val="single" w:sz="6" w:space="0" w:color="000080"/>
              <w:left w:val="single" w:sz="6" w:space="0" w:color="000080"/>
              <w:bottom w:val="single" w:sz="6" w:space="0" w:color="000080"/>
              <w:right w:val="single" w:sz="6" w:space="0" w:color="000080"/>
            </w:tcBorders>
            <w:hideMark/>
          </w:tcPr>
          <w:p w14:paraId="6362D9FA"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Longue</w:t>
            </w:r>
          </w:p>
        </w:tc>
        <w:tc>
          <w:tcPr>
            <w:tcW w:w="2203" w:type="pct"/>
            <w:tcBorders>
              <w:top w:val="single" w:sz="6" w:space="0" w:color="000080"/>
              <w:left w:val="single" w:sz="6" w:space="0" w:color="000080"/>
              <w:bottom w:val="single" w:sz="6" w:space="0" w:color="000080"/>
              <w:right w:val="single" w:sz="6" w:space="0" w:color="000080"/>
            </w:tcBorders>
            <w:shd w:val="clear" w:color="auto" w:fill="FF0000"/>
            <w:hideMark/>
          </w:tcPr>
          <w:p w14:paraId="62513518"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Majeure</w:t>
            </w:r>
          </w:p>
        </w:tc>
      </w:tr>
      <w:tr w:rsidR="00BD1A2F" w:rsidRPr="00260790" w14:paraId="7BD8A590" w14:textId="77777777" w:rsidTr="001108C4">
        <w:trPr>
          <w:trHeight w:val="211"/>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14:paraId="1319190B"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0" w:type="auto"/>
            <w:gridSpan w:val="2"/>
            <w:vMerge/>
            <w:tcBorders>
              <w:top w:val="single" w:sz="6" w:space="0" w:color="000080"/>
              <w:left w:val="single" w:sz="6" w:space="0" w:color="000080"/>
              <w:bottom w:val="single" w:sz="6" w:space="0" w:color="000080"/>
              <w:right w:val="single" w:sz="6" w:space="0" w:color="000080"/>
            </w:tcBorders>
            <w:vAlign w:val="center"/>
            <w:hideMark/>
          </w:tcPr>
          <w:p w14:paraId="44E289AC"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819" w:type="pct"/>
            <w:tcBorders>
              <w:top w:val="single" w:sz="6" w:space="0" w:color="000080"/>
              <w:left w:val="single" w:sz="6" w:space="0" w:color="000080"/>
              <w:bottom w:val="single" w:sz="6" w:space="0" w:color="000080"/>
              <w:right w:val="single" w:sz="6" w:space="0" w:color="000080"/>
            </w:tcBorders>
            <w:hideMark/>
          </w:tcPr>
          <w:p w14:paraId="41C85AAF"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Moyenne</w:t>
            </w:r>
          </w:p>
        </w:tc>
        <w:tc>
          <w:tcPr>
            <w:tcW w:w="2203" w:type="pct"/>
            <w:tcBorders>
              <w:top w:val="single" w:sz="6" w:space="0" w:color="000080"/>
              <w:left w:val="single" w:sz="6" w:space="0" w:color="000080"/>
              <w:bottom w:val="single" w:sz="6" w:space="0" w:color="000080"/>
              <w:right w:val="single" w:sz="6" w:space="0" w:color="000080"/>
            </w:tcBorders>
            <w:shd w:val="clear" w:color="auto" w:fill="F4B083" w:themeFill="accent2" w:themeFillTint="99"/>
            <w:hideMark/>
          </w:tcPr>
          <w:p w14:paraId="3E4BC530"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Moyenne</w:t>
            </w:r>
          </w:p>
        </w:tc>
      </w:tr>
      <w:tr w:rsidR="00BD1A2F" w:rsidRPr="00260790" w14:paraId="6F0BCF89" w14:textId="77777777" w:rsidTr="001108C4">
        <w:trPr>
          <w:trHeight w:val="211"/>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14:paraId="4154916E"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0" w:type="auto"/>
            <w:gridSpan w:val="2"/>
            <w:vMerge/>
            <w:tcBorders>
              <w:top w:val="single" w:sz="6" w:space="0" w:color="000080"/>
              <w:left w:val="single" w:sz="6" w:space="0" w:color="000080"/>
              <w:bottom w:val="single" w:sz="6" w:space="0" w:color="000080"/>
              <w:right w:val="single" w:sz="6" w:space="0" w:color="000080"/>
            </w:tcBorders>
            <w:vAlign w:val="center"/>
            <w:hideMark/>
          </w:tcPr>
          <w:p w14:paraId="645BF636"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819" w:type="pct"/>
            <w:tcBorders>
              <w:top w:val="single" w:sz="6" w:space="0" w:color="000080"/>
              <w:left w:val="single" w:sz="6" w:space="0" w:color="000080"/>
              <w:bottom w:val="single" w:sz="6" w:space="0" w:color="000080"/>
              <w:right w:val="single" w:sz="6" w:space="0" w:color="000080"/>
            </w:tcBorders>
            <w:hideMark/>
          </w:tcPr>
          <w:p w14:paraId="370159DF"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Courte</w:t>
            </w:r>
          </w:p>
        </w:tc>
        <w:tc>
          <w:tcPr>
            <w:tcW w:w="2203" w:type="pct"/>
            <w:tcBorders>
              <w:top w:val="single" w:sz="6" w:space="0" w:color="000080"/>
              <w:left w:val="single" w:sz="6" w:space="0" w:color="000080"/>
              <w:bottom w:val="single" w:sz="6" w:space="0" w:color="000080"/>
              <w:right w:val="single" w:sz="6" w:space="0" w:color="000080"/>
            </w:tcBorders>
            <w:shd w:val="clear" w:color="auto" w:fill="F4B083" w:themeFill="accent2" w:themeFillTint="99"/>
            <w:hideMark/>
          </w:tcPr>
          <w:p w14:paraId="49E19B33"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Moyenne</w:t>
            </w:r>
          </w:p>
        </w:tc>
      </w:tr>
      <w:tr w:rsidR="00BD1A2F" w:rsidRPr="00260790" w14:paraId="2CA71246" w14:textId="77777777" w:rsidTr="001108C4">
        <w:trPr>
          <w:trHeight w:val="211"/>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14:paraId="3325BD12"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858" w:type="pct"/>
            <w:gridSpan w:val="2"/>
            <w:vMerge w:val="restart"/>
            <w:tcBorders>
              <w:top w:val="single" w:sz="6" w:space="0" w:color="000080"/>
              <w:left w:val="single" w:sz="6" w:space="0" w:color="000080"/>
              <w:bottom w:val="single" w:sz="6" w:space="0" w:color="000080"/>
              <w:right w:val="single" w:sz="6" w:space="0" w:color="000080"/>
            </w:tcBorders>
          </w:tcPr>
          <w:p w14:paraId="49D33095"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p w14:paraId="45FBA430"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Ponctuelle</w:t>
            </w:r>
          </w:p>
        </w:tc>
        <w:tc>
          <w:tcPr>
            <w:tcW w:w="819" w:type="pct"/>
            <w:tcBorders>
              <w:top w:val="single" w:sz="6" w:space="0" w:color="000080"/>
              <w:left w:val="single" w:sz="6" w:space="0" w:color="000080"/>
              <w:bottom w:val="single" w:sz="6" w:space="0" w:color="000080"/>
              <w:right w:val="single" w:sz="6" w:space="0" w:color="000080"/>
            </w:tcBorders>
            <w:hideMark/>
          </w:tcPr>
          <w:p w14:paraId="61D69A08"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Longue</w:t>
            </w:r>
          </w:p>
        </w:tc>
        <w:tc>
          <w:tcPr>
            <w:tcW w:w="2203" w:type="pct"/>
            <w:tcBorders>
              <w:top w:val="single" w:sz="6" w:space="0" w:color="000080"/>
              <w:left w:val="single" w:sz="6" w:space="0" w:color="000080"/>
              <w:bottom w:val="single" w:sz="6" w:space="0" w:color="000080"/>
              <w:right w:val="single" w:sz="6" w:space="0" w:color="000080"/>
            </w:tcBorders>
            <w:shd w:val="clear" w:color="auto" w:fill="F4B083" w:themeFill="accent2" w:themeFillTint="99"/>
            <w:hideMark/>
          </w:tcPr>
          <w:p w14:paraId="00E00186"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Moyenne</w:t>
            </w:r>
          </w:p>
        </w:tc>
      </w:tr>
      <w:tr w:rsidR="00BD1A2F" w:rsidRPr="00260790" w14:paraId="522985CD" w14:textId="77777777" w:rsidTr="001108C4">
        <w:trPr>
          <w:trHeight w:val="211"/>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14:paraId="2074E1CC"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0" w:type="auto"/>
            <w:gridSpan w:val="2"/>
            <w:vMerge/>
            <w:tcBorders>
              <w:top w:val="single" w:sz="6" w:space="0" w:color="000080"/>
              <w:left w:val="single" w:sz="6" w:space="0" w:color="000080"/>
              <w:bottom w:val="single" w:sz="6" w:space="0" w:color="000080"/>
              <w:right w:val="single" w:sz="6" w:space="0" w:color="000080"/>
            </w:tcBorders>
            <w:vAlign w:val="center"/>
            <w:hideMark/>
          </w:tcPr>
          <w:p w14:paraId="3F071056"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819" w:type="pct"/>
            <w:tcBorders>
              <w:top w:val="single" w:sz="6" w:space="0" w:color="000080"/>
              <w:left w:val="single" w:sz="6" w:space="0" w:color="000080"/>
              <w:bottom w:val="single" w:sz="6" w:space="0" w:color="000080"/>
              <w:right w:val="single" w:sz="6" w:space="0" w:color="000080"/>
            </w:tcBorders>
            <w:hideMark/>
          </w:tcPr>
          <w:p w14:paraId="0D0A7E70"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Moyenne</w:t>
            </w:r>
          </w:p>
        </w:tc>
        <w:tc>
          <w:tcPr>
            <w:tcW w:w="2203" w:type="pct"/>
            <w:tcBorders>
              <w:top w:val="single" w:sz="6" w:space="0" w:color="000080"/>
              <w:left w:val="single" w:sz="6" w:space="0" w:color="000080"/>
              <w:bottom w:val="single" w:sz="6" w:space="0" w:color="000080"/>
              <w:right w:val="single" w:sz="6" w:space="0" w:color="000080"/>
            </w:tcBorders>
            <w:shd w:val="clear" w:color="auto" w:fill="F4B083" w:themeFill="accent2" w:themeFillTint="99"/>
            <w:hideMark/>
          </w:tcPr>
          <w:p w14:paraId="66A1398B"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Moyenne</w:t>
            </w:r>
          </w:p>
        </w:tc>
      </w:tr>
      <w:tr w:rsidR="00BD1A2F" w:rsidRPr="00260790" w14:paraId="44D44C96" w14:textId="77777777" w:rsidTr="001108C4">
        <w:trPr>
          <w:trHeight w:val="211"/>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14:paraId="1DFEF06D"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0" w:type="auto"/>
            <w:gridSpan w:val="2"/>
            <w:vMerge/>
            <w:tcBorders>
              <w:top w:val="single" w:sz="6" w:space="0" w:color="000080"/>
              <w:left w:val="single" w:sz="6" w:space="0" w:color="000080"/>
              <w:bottom w:val="single" w:sz="6" w:space="0" w:color="000080"/>
              <w:right w:val="single" w:sz="6" w:space="0" w:color="000080"/>
            </w:tcBorders>
            <w:vAlign w:val="center"/>
            <w:hideMark/>
          </w:tcPr>
          <w:p w14:paraId="585A4F1A"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819" w:type="pct"/>
            <w:tcBorders>
              <w:top w:val="single" w:sz="6" w:space="0" w:color="000080"/>
              <w:left w:val="single" w:sz="6" w:space="0" w:color="000080"/>
              <w:bottom w:val="single" w:sz="6" w:space="0" w:color="000080"/>
              <w:right w:val="single" w:sz="6" w:space="0" w:color="000080"/>
            </w:tcBorders>
            <w:hideMark/>
          </w:tcPr>
          <w:p w14:paraId="1B99798E"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Courte</w:t>
            </w:r>
          </w:p>
        </w:tc>
        <w:tc>
          <w:tcPr>
            <w:tcW w:w="2203" w:type="pct"/>
            <w:tcBorders>
              <w:top w:val="single" w:sz="6" w:space="0" w:color="000080"/>
              <w:left w:val="single" w:sz="6" w:space="0" w:color="000080"/>
              <w:bottom w:val="single" w:sz="6" w:space="0" w:color="000080"/>
              <w:right w:val="single" w:sz="6" w:space="0" w:color="000080"/>
            </w:tcBorders>
            <w:shd w:val="clear" w:color="auto" w:fill="F4B083" w:themeFill="accent2" w:themeFillTint="99"/>
            <w:hideMark/>
          </w:tcPr>
          <w:p w14:paraId="69D8FFA5"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Moyenne</w:t>
            </w:r>
          </w:p>
        </w:tc>
      </w:tr>
      <w:tr w:rsidR="00BD1A2F" w:rsidRPr="00260790" w14:paraId="15CBC7A8" w14:textId="77777777" w:rsidTr="001108C4">
        <w:trPr>
          <w:trHeight w:val="263"/>
          <w:jc w:val="center"/>
        </w:trPr>
        <w:tc>
          <w:tcPr>
            <w:tcW w:w="1120" w:type="pct"/>
            <w:vMerge w:val="restart"/>
            <w:tcBorders>
              <w:top w:val="single" w:sz="6" w:space="0" w:color="000080"/>
              <w:left w:val="single" w:sz="6" w:space="0" w:color="000080"/>
              <w:bottom w:val="single" w:sz="6" w:space="0" w:color="000080"/>
              <w:right w:val="single" w:sz="6" w:space="0" w:color="000080"/>
            </w:tcBorders>
          </w:tcPr>
          <w:p w14:paraId="1F8AE2B2"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p>
          <w:p w14:paraId="2E279617"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p>
          <w:p w14:paraId="3FB5B883"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p>
          <w:p w14:paraId="3974505C"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p>
          <w:p w14:paraId="3E3B99F0"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Moyenne</w:t>
            </w:r>
          </w:p>
        </w:tc>
        <w:tc>
          <w:tcPr>
            <w:tcW w:w="858" w:type="pct"/>
            <w:gridSpan w:val="2"/>
            <w:vMerge w:val="restart"/>
            <w:tcBorders>
              <w:top w:val="single" w:sz="6" w:space="0" w:color="000080"/>
              <w:left w:val="single" w:sz="6" w:space="0" w:color="000080"/>
              <w:bottom w:val="single" w:sz="6" w:space="0" w:color="000080"/>
              <w:right w:val="single" w:sz="6" w:space="0" w:color="000080"/>
            </w:tcBorders>
          </w:tcPr>
          <w:p w14:paraId="0F8D4EBA"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p w14:paraId="3B11F470"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Régionale</w:t>
            </w:r>
          </w:p>
        </w:tc>
        <w:tc>
          <w:tcPr>
            <w:tcW w:w="819" w:type="pct"/>
            <w:tcBorders>
              <w:top w:val="single" w:sz="6" w:space="0" w:color="000080"/>
              <w:left w:val="single" w:sz="6" w:space="0" w:color="000080"/>
              <w:bottom w:val="single" w:sz="6" w:space="0" w:color="000080"/>
              <w:right w:val="single" w:sz="6" w:space="0" w:color="000080"/>
            </w:tcBorders>
            <w:hideMark/>
          </w:tcPr>
          <w:p w14:paraId="3ADB2F60"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Longue</w:t>
            </w:r>
          </w:p>
        </w:tc>
        <w:tc>
          <w:tcPr>
            <w:tcW w:w="2203" w:type="pct"/>
            <w:tcBorders>
              <w:top w:val="single" w:sz="6" w:space="0" w:color="000080"/>
              <w:left w:val="single" w:sz="6" w:space="0" w:color="000080"/>
              <w:bottom w:val="single" w:sz="6" w:space="0" w:color="000080"/>
              <w:right w:val="single" w:sz="6" w:space="0" w:color="000080"/>
            </w:tcBorders>
            <w:shd w:val="clear" w:color="auto" w:fill="FF0000"/>
            <w:hideMark/>
          </w:tcPr>
          <w:p w14:paraId="05B542AE"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Majeure</w:t>
            </w:r>
          </w:p>
        </w:tc>
      </w:tr>
      <w:tr w:rsidR="00BD1A2F" w:rsidRPr="00260790" w14:paraId="2144E63E" w14:textId="77777777" w:rsidTr="001108C4">
        <w:trPr>
          <w:trHeight w:val="211"/>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14:paraId="45B74595"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0" w:type="auto"/>
            <w:gridSpan w:val="2"/>
            <w:vMerge/>
            <w:tcBorders>
              <w:top w:val="single" w:sz="6" w:space="0" w:color="000080"/>
              <w:left w:val="single" w:sz="6" w:space="0" w:color="000080"/>
              <w:bottom w:val="single" w:sz="6" w:space="0" w:color="000080"/>
              <w:right w:val="single" w:sz="6" w:space="0" w:color="000080"/>
            </w:tcBorders>
            <w:vAlign w:val="center"/>
            <w:hideMark/>
          </w:tcPr>
          <w:p w14:paraId="22F53EE5"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819" w:type="pct"/>
            <w:tcBorders>
              <w:top w:val="single" w:sz="6" w:space="0" w:color="000080"/>
              <w:left w:val="single" w:sz="6" w:space="0" w:color="000080"/>
              <w:bottom w:val="single" w:sz="6" w:space="0" w:color="000080"/>
              <w:right w:val="single" w:sz="6" w:space="0" w:color="000080"/>
            </w:tcBorders>
            <w:hideMark/>
          </w:tcPr>
          <w:p w14:paraId="357AA1E5"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Moyenne</w:t>
            </w:r>
          </w:p>
        </w:tc>
        <w:tc>
          <w:tcPr>
            <w:tcW w:w="2203" w:type="pct"/>
            <w:tcBorders>
              <w:top w:val="single" w:sz="6" w:space="0" w:color="000080"/>
              <w:left w:val="single" w:sz="6" w:space="0" w:color="000080"/>
              <w:bottom w:val="single" w:sz="6" w:space="0" w:color="000080"/>
              <w:right w:val="single" w:sz="6" w:space="0" w:color="000080"/>
            </w:tcBorders>
            <w:shd w:val="clear" w:color="auto" w:fill="F4B083" w:themeFill="accent2" w:themeFillTint="99"/>
            <w:hideMark/>
          </w:tcPr>
          <w:p w14:paraId="3CA1ABB4"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Moyenne</w:t>
            </w:r>
          </w:p>
        </w:tc>
      </w:tr>
      <w:tr w:rsidR="00BD1A2F" w:rsidRPr="00260790" w14:paraId="198A227D" w14:textId="77777777" w:rsidTr="001108C4">
        <w:trPr>
          <w:trHeight w:val="211"/>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14:paraId="6B41A7CC"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0" w:type="auto"/>
            <w:gridSpan w:val="2"/>
            <w:vMerge/>
            <w:tcBorders>
              <w:top w:val="single" w:sz="6" w:space="0" w:color="000080"/>
              <w:left w:val="single" w:sz="6" w:space="0" w:color="000080"/>
              <w:bottom w:val="single" w:sz="6" w:space="0" w:color="000080"/>
              <w:right w:val="single" w:sz="6" w:space="0" w:color="000080"/>
            </w:tcBorders>
            <w:vAlign w:val="center"/>
            <w:hideMark/>
          </w:tcPr>
          <w:p w14:paraId="50CF1DB1"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819" w:type="pct"/>
            <w:tcBorders>
              <w:top w:val="single" w:sz="6" w:space="0" w:color="000080"/>
              <w:left w:val="single" w:sz="6" w:space="0" w:color="000080"/>
              <w:bottom w:val="single" w:sz="6" w:space="0" w:color="000080"/>
              <w:right w:val="single" w:sz="6" w:space="0" w:color="000080"/>
            </w:tcBorders>
            <w:hideMark/>
          </w:tcPr>
          <w:p w14:paraId="34B2EE63"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Courte</w:t>
            </w:r>
          </w:p>
        </w:tc>
        <w:tc>
          <w:tcPr>
            <w:tcW w:w="2203" w:type="pct"/>
            <w:tcBorders>
              <w:top w:val="single" w:sz="6" w:space="0" w:color="000080"/>
              <w:left w:val="single" w:sz="6" w:space="0" w:color="000080"/>
              <w:bottom w:val="single" w:sz="6" w:space="0" w:color="000080"/>
              <w:right w:val="single" w:sz="6" w:space="0" w:color="000080"/>
            </w:tcBorders>
            <w:shd w:val="clear" w:color="auto" w:fill="F4B083" w:themeFill="accent2" w:themeFillTint="99"/>
            <w:hideMark/>
          </w:tcPr>
          <w:p w14:paraId="4F7012B2"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Moyenne</w:t>
            </w:r>
          </w:p>
        </w:tc>
      </w:tr>
      <w:tr w:rsidR="00BD1A2F" w:rsidRPr="00260790" w14:paraId="1A3379C9" w14:textId="77777777" w:rsidTr="001108C4">
        <w:trPr>
          <w:trHeight w:val="211"/>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14:paraId="6359D77F"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858" w:type="pct"/>
            <w:gridSpan w:val="2"/>
            <w:vMerge w:val="restart"/>
            <w:tcBorders>
              <w:top w:val="single" w:sz="6" w:space="0" w:color="000080"/>
              <w:left w:val="single" w:sz="6" w:space="0" w:color="000080"/>
              <w:bottom w:val="single" w:sz="6" w:space="0" w:color="000080"/>
              <w:right w:val="single" w:sz="6" w:space="0" w:color="000080"/>
            </w:tcBorders>
          </w:tcPr>
          <w:p w14:paraId="08AD04EC"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p w14:paraId="70A286C8"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Locale</w:t>
            </w:r>
          </w:p>
        </w:tc>
        <w:tc>
          <w:tcPr>
            <w:tcW w:w="819" w:type="pct"/>
            <w:tcBorders>
              <w:top w:val="single" w:sz="6" w:space="0" w:color="000080"/>
              <w:left w:val="single" w:sz="6" w:space="0" w:color="000080"/>
              <w:bottom w:val="single" w:sz="6" w:space="0" w:color="000080"/>
              <w:right w:val="single" w:sz="6" w:space="0" w:color="000080"/>
            </w:tcBorders>
            <w:hideMark/>
          </w:tcPr>
          <w:p w14:paraId="26199793"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Longue</w:t>
            </w:r>
          </w:p>
        </w:tc>
        <w:tc>
          <w:tcPr>
            <w:tcW w:w="2203" w:type="pct"/>
            <w:tcBorders>
              <w:top w:val="single" w:sz="6" w:space="0" w:color="000080"/>
              <w:left w:val="single" w:sz="6" w:space="0" w:color="000080"/>
              <w:bottom w:val="single" w:sz="6" w:space="0" w:color="000080"/>
              <w:right w:val="single" w:sz="6" w:space="0" w:color="000080"/>
            </w:tcBorders>
            <w:shd w:val="clear" w:color="auto" w:fill="F4B083" w:themeFill="accent2" w:themeFillTint="99"/>
            <w:hideMark/>
          </w:tcPr>
          <w:p w14:paraId="3ED8B20D"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Moyenne</w:t>
            </w:r>
          </w:p>
        </w:tc>
      </w:tr>
      <w:tr w:rsidR="00BD1A2F" w:rsidRPr="00260790" w14:paraId="391FB54B" w14:textId="77777777" w:rsidTr="001108C4">
        <w:trPr>
          <w:trHeight w:val="211"/>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14:paraId="43D3DE6C"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0" w:type="auto"/>
            <w:gridSpan w:val="2"/>
            <w:vMerge/>
            <w:tcBorders>
              <w:top w:val="single" w:sz="6" w:space="0" w:color="000080"/>
              <w:left w:val="single" w:sz="6" w:space="0" w:color="000080"/>
              <w:bottom w:val="single" w:sz="6" w:space="0" w:color="000080"/>
              <w:right w:val="single" w:sz="6" w:space="0" w:color="000080"/>
            </w:tcBorders>
            <w:vAlign w:val="center"/>
            <w:hideMark/>
          </w:tcPr>
          <w:p w14:paraId="3208BD3C"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819" w:type="pct"/>
            <w:tcBorders>
              <w:top w:val="single" w:sz="6" w:space="0" w:color="000080"/>
              <w:left w:val="single" w:sz="6" w:space="0" w:color="000080"/>
              <w:bottom w:val="single" w:sz="6" w:space="0" w:color="000080"/>
              <w:right w:val="single" w:sz="6" w:space="0" w:color="000080"/>
            </w:tcBorders>
            <w:hideMark/>
          </w:tcPr>
          <w:p w14:paraId="14508522"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Moyenne</w:t>
            </w:r>
          </w:p>
        </w:tc>
        <w:tc>
          <w:tcPr>
            <w:tcW w:w="2203" w:type="pct"/>
            <w:tcBorders>
              <w:top w:val="single" w:sz="6" w:space="0" w:color="000080"/>
              <w:left w:val="single" w:sz="6" w:space="0" w:color="000080"/>
              <w:bottom w:val="single" w:sz="6" w:space="0" w:color="000080"/>
              <w:right w:val="single" w:sz="6" w:space="0" w:color="000080"/>
            </w:tcBorders>
            <w:shd w:val="clear" w:color="auto" w:fill="F4B083" w:themeFill="accent2" w:themeFillTint="99"/>
            <w:hideMark/>
          </w:tcPr>
          <w:p w14:paraId="70103720"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Moyenne</w:t>
            </w:r>
          </w:p>
        </w:tc>
      </w:tr>
      <w:tr w:rsidR="00BD1A2F" w:rsidRPr="00260790" w14:paraId="670A6688" w14:textId="77777777" w:rsidTr="001108C4">
        <w:trPr>
          <w:trHeight w:val="211"/>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14:paraId="107AE307"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0" w:type="auto"/>
            <w:gridSpan w:val="2"/>
            <w:vMerge/>
            <w:tcBorders>
              <w:top w:val="single" w:sz="6" w:space="0" w:color="000080"/>
              <w:left w:val="single" w:sz="6" w:space="0" w:color="000080"/>
              <w:bottom w:val="single" w:sz="6" w:space="0" w:color="000080"/>
              <w:right w:val="single" w:sz="6" w:space="0" w:color="000080"/>
            </w:tcBorders>
            <w:vAlign w:val="center"/>
            <w:hideMark/>
          </w:tcPr>
          <w:p w14:paraId="556442C8"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819" w:type="pct"/>
            <w:tcBorders>
              <w:top w:val="single" w:sz="6" w:space="0" w:color="000080"/>
              <w:left w:val="single" w:sz="6" w:space="0" w:color="000080"/>
              <w:bottom w:val="single" w:sz="6" w:space="0" w:color="000080"/>
              <w:right w:val="single" w:sz="6" w:space="0" w:color="000080"/>
            </w:tcBorders>
            <w:hideMark/>
          </w:tcPr>
          <w:p w14:paraId="0262D830"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Courte</w:t>
            </w:r>
          </w:p>
        </w:tc>
        <w:tc>
          <w:tcPr>
            <w:tcW w:w="2203" w:type="pct"/>
            <w:tcBorders>
              <w:top w:val="single" w:sz="6" w:space="0" w:color="000080"/>
              <w:left w:val="single" w:sz="6" w:space="0" w:color="000080"/>
              <w:bottom w:val="single" w:sz="6" w:space="0" w:color="000080"/>
              <w:right w:val="single" w:sz="6" w:space="0" w:color="000080"/>
            </w:tcBorders>
            <w:shd w:val="clear" w:color="auto" w:fill="FFFF00"/>
            <w:hideMark/>
          </w:tcPr>
          <w:p w14:paraId="250C61A3"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Mineure</w:t>
            </w:r>
          </w:p>
        </w:tc>
      </w:tr>
      <w:tr w:rsidR="00BD1A2F" w:rsidRPr="00260790" w14:paraId="6F1DCD08" w14:textId="77777777" w:rsidTr="001108C4">
        <w:trPr>
          <w:trHeight w:val="211"/>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14:paraId="150C68B8"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858" w:type="pct"/>
            <w:gridSpan w:val="2"/>
            <w:vMerge w:val="restart"/>
            <w:tcBorders>
              <w:top w:val="single" w:sz="6" w:space="0" w:color="000080"/>
              <w:left w:val="single" w:sz="6" w:space="0" w:color="000080"/>
              <w:bottom w:val="single" w:sz="6" w:space="0" w:color="000080"/>
              <w:right w:val="single" w:sz="6" w:space="0" w:color="000080"/>
            </w:tcBorders>
          </w:tcPr>
          <w:p w14:paraId="181A113F"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p w14:paraId="3B144C6B"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Ponctuelle</w:t>
            </w:r>
          </w:p>
        </w:tc>
        <w:tc>
          <w:tcPr>
            <w:tcW w:w="819" w:type="pct"/>
            <w:tcBorders>
              <w:top w:val="single" w:sz="6" w:space="0" w:color="000080"/>
              <w:left w:val="single" w:sz="6" w:space="0" w:color="000080"/>
              <w:bottom w:val="single" w:sz="6" w:space="0" w:color="000080"/>
              <w:right w:val="single" w:sz="6" w:space="0" w:color="000080"/>
            </w:tcBorders>
            <w:hideMark/>
          </w:tcPr>
          <w:p w14:paraId="14C476FF"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Longue</w:t>
            </w:r>
          </w:p>
        </w:tc>
        <w:tc>
          <w:tcPr>
            <w:tcW w:w="2203" w:type="pct"/>
            <w:tcBorders>
              <w:top w:val="single" w:sz="6" w:space="0" w:color="000080"/>
              <w:left w:val="single" w:sz="6" w:space="0" w:color="000080"/>
              <w:bottom w:val="single" w:sz="6" w:space="0" w:color="000080"/>
              <w:right w:val="single" w:sz="6" w:space="0" w:color="000080"/>
            </w:tcBorders>
            <w:shd w:val="clear" w:color="auto" w:fill="F4B083" w:themeFill="accent2" w:themeFillTint="99"/>
            <w:hideMark/>
          </w:tcPr>
          <w:p w14:paraId="5015CB1C"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Moyenne</w:t>
            </w:r>
          </w:p>
        </w:tc>
      </w:tr>
      <w:tr w:rsidR="00BD1A2F" w:rsidRPr="00260790" w14:paraId="02267976" w14:textId="77777777" w:rsidTr="001108C4">
        <w:trPr>
          <w:trHeight w:val="211"/>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14:paraId="654FA045"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0" w:type="auto"/>
            <w:gridSpan w:val="2"/>
            <w:vMerge/>
            <w:tcBorders>
              <w:top w:val="single" w:sz="6" w:space="0" w:color="000080"/>
              <w:left w:val="single" w:sz="6" w:space="0" w:color="000080"/>
              <w:bottom w:val="single" w:sz="6" w:space="0" w:color="000080"/>
              <w:right w:val="single" w:sz="6" w:space="0" w:color="000080"/>
            </w:tcBorders>
            <w:vAlign w:val="center"/>
            <w:hideMark/>
          </w:tcPr>
          <w:p w14:paraId="3AC4545A"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819" w:type="pct"/>
            <w:tcBorders>
              <w:top w:val="single" w:sz="6" w:space="0" w:color="000080"/>
              <w:left w:val="single" w:sz="6" w:space="0" w:color="000080"/>
              <w:bottom w:val="single" w:sz="6" w:space="0" w:color="000080"/>
              <w:right w:val="single" w:sz="6" w:space="0" w:color="000080"/>
            </w:tcBorders>
            <w:hideMark/>
          </w:tcPr>
          <w:p w14:paraId="18E4E002"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Moyenne</w:t>
            </w:r>
          </w:p>
        </w:tc>
        <w:tc>
          <w:tcPr>
            <w:tcW w:w="2203" w:type="pct"/>
            <w:tcBorders>
              <w:top w:val="single" w:sz="6" w:space="0" w:color="000080"/>
              <w:left w:val="single" w:sz="6" w:space="0" w:color="000080"/>
              <w:bottom w:val="single" w:sz="6" w:space="0" w:color="000080"/>
              <w:right w:val="single" w:sz="6" w:space="0" w:color="000080"/>
            </w:tcBorders>
            <w:shd w:val="clear" w:color="auto" w:fill="F4B083" w:themeFill="accent2" w:themeFillTint="99"/>
            <w:hideMark/>
          </w:tcPr>
          <w:p w14:paraId="1F726201"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Moyenne</w:t>
            </w:r>
          </w:p>
        </w:tc>
      </w:tr>
      <w:tr w:rsidR="00BD1A2F" w:rsidRPr="00260790" w14:paraId="5F8FAD8A" w14:textId="77777777" w:rsidTr="001108C4">
        <w:trPr>
          <w:trHeight w:val="211"/>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14:paraId="190E6715"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0" w:type="auto"/>
            <w:gridSpan w:val="2"/>
            <w:vMerge/>
            <w:tcBorders>
              <w:top w:val="single" w:sz="6" w:space="0" w:color="000080"/>
              <w:left w:val="single" w:sz="6" w:space="0" w:color="000080"/>
              <w:bottom w:val="single" w:sz="6" w:space="0" w:color="000080"/>
              <w:right w:val="single" w:sz="6" w:space="0" w:color="000080"/>
            </w:tcBorders>
            <w:vAlign w:val="center"/>
            <w:hideMark/>
          </w:tcPr>
          <w:p w14:paraId="5895417C"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819" w:type="pct"/>
            <w:tcBorders>
              <w:top w:val="single" w:sz="6" w:space="0" w:color="000080"/>
              <w:left w:val="single" w:sz="6" w:space="0" w:color="000080"/>
              <w:bottom w:val="single" w:sz="6" w:space="0" w:color="000080"/>
              <w:right w:val="single" w:sz="6" w:space="0" w:color="000080"/>
            </w:tcBorders>
            <w:hideMark/>
          </w:tcPr>
          <w:p w14:paraId="70FE0D02"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Courte</w:t>
            </w:r>
          </w:p>
        </w:tc>
        <w:tc>
          <w:tcPr>
            <w:tcW w:w="2203" w:type="pct"/>
            <w:tcBorders>
              <w:top w:val="single" w:sz="6" w:space="0" w:color="000080"/>
              <w:left w:val="single" w:sz="6" w:space="0" w:color="000080"/>
              <w:bottom w:val="single" w:sz="6" w:space="0" w:color="000080"/>
              <w:right w:val="single" w:sz="6" w:space="0" w:color="000080"/>
            </w:tcBorders>
            <w:shd w:val="clear" w:color="auto" w:fill="FFFF00"/>
            <w:hideMark/>
          </w:tcPr>
          <w:p w14:paraId="5D45F332"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Mineure</w:t>
            </w:r>
          </w:p>
        </w:tc>
      </w:tr>
      <w:tr w:rsidR="00BD1A2F" w:rsidRPr="00260790" w14:paraId="33CA564B" w14:textId="77777777" w:rsidTr="001108C4">
        <w:trPr>
          <w:trHeight w:val="263"/>
          <w:jc w:val="center"/>
        </w:trPr>
        <w:tc>
          <w:tcPr>
            <w:tcW w:w="1120" w:type="pct"/>
            <w:vMerge w:val="restart"/>
            <w:tcBorders>
              <w:top w:val="single" w:sz="6" w:space="0" w:color="000080"/>
              <w:left w:val="single" w:sz="6" w:space="0" w:color="000080"/>
              <w:bottom w:val="single" w:sz="6" w:space="0" w:color="000080"/>
              <w:right w:val="single" w:sz="6" w:space="0" w:color="000080"/>
            </w:tcBorders>
          </w:tcPr>
          <w:p w14:paraId="260161F3"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p>
          <w:p w14:paraId="1E176073"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p>
          <w:p w14:paraId="01DBE5F6"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p>
          <w:p w14:paraId="6C11BB19"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p>
          <w:p w14:paraId="7F4398C7"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Faible</w:t>
            </w:r>
          </w:p>
        </w:tc>
        <w:tc>
          <w:tcPr>
            <w:tcW w:w="858" w:type="pct"/>
            <w:gridSpan w:val="2"/>
            <w:vMerge w:val="restart"/>
            <w:tcBorders>
              <w:top w:val="single" w:sz="6" w:space="0" w:color="000080"/>
              <w:left w:val="single" w:sz="6" w:space="0" w:color="000080"/>
              <w:bottom w:val="single" w:sz="6" w:space="0" w:color="000080"/>
              <w:right w:val="single" w:sz="6" w:space="0" w:color="000080"/>
            </w:tcBorders>
          </w:tcPr>
          <w:p w14:paraId="5F491462"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p w14:paraId="119FEAD1"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Régionale</w:t>
            </w:r>
          </w:p>
        </w:tc>
        <w:tc>
          <w:tcPr>
            <w:tcW w:w="819" w:type="pct"/>
            <w:tcBorders>
              <w:top w:val="single" w:sz="6" w:space="0" w:color="000080"/>
              <w:left w:val="single" w:sz="6" w:space="0" w:color="000080"/>
              <w:bottom w:val="single" w:sz="6" w:space="0" w:color="000080"/>
              <w:right w:val="single" w:sz="6" w:space="0" w:color="000080"/>
            </w:tcBorders>
            <w:hideMark/>
          </w:tcPr>
          <w:p w14:paraId="3F000707"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Longue</w:t>
            </w:r>
          </w:p>
        </w:tc>
        <w:tc>
          <w:tcPr>
            <w:tcW w:w="2203" w:type="pct"/>
            <w:tcBorders>
              <w:top w:val="single" w:sz="6" w:space="0" w:color="000080"/>
              <w:left w:val="single" w:sz="6" w:space="0" w:color="000080"/>
              <w:bottom w:val="single" w:sz="6" w:space="0" w:color="000080"/>
              <w:right w:val="single" w:sz="6" w:space="0" w:color="000080"/>
            </w:tcBorders>
            <w:shd w:val="clear" w:color="auto" w:fill="F4B083" w:themeFill="accent2" w:themeFillTint="99"/>
            <w:hideMark/>
          </w:tcPr>
          <w:p w14:paraId="7F1A6CBC"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Moyenne</w:t>
            </w:r>
          </w:p>
        </w:tc>
      </w:tr>
      <w:tr w:rsidR="00BD1A2F" w:rsidRPr="00260790" w14:paraId="1EF8052C" w14:textId="77777777" w:rsidTr="001108C4">
        <w:trPr>
          <w:trHeight w:val="211"/>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14:paraId="745D4798"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0" w:type="auto"/>
            <w:gridSpan w:val="2"/>
            <w:vMerge/>
            <w:tcBorders>
              <w:top w:val="single" w:sz="6" w:space="0" w:color="000080"/>
              <w:left w:val="single" w:sz="6" w:space="0" w:color="000080"/>
              <w:bottom w:val="single" w:sz="6" w:space="0" w:color="000080"/>
              <w:right w:val="single" w:sz="6" w:space="0" w:color="000080"/>
            </w:tcBorders>
            <w:vAlign w:val="center"/>
            <w:hideMark/>
          </w:tcPr>
          <w:p w14:paraId="399095F2"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819" w:type="pct"/>
            <w:tcBorders>
              <w:top w:val="single" w:sz="6" w:space="0" w:color="000080"/>
              <w:left w:val="single" w:sz="6" w:space="0" w:color="000080"/>
              <w:bottom w:val="single" w:sz="6" w:space="0" w:color="000080"/>
              <w:right w:val="single" w:sz="6" w:space="0" w:color="000080"/>
            </w:tcBorders>
            <w:hideMark/>
          </w:tcPr>
          <w:p w14:paraId="7AD524F9"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Moyenne</w:t>
            </w:r>
          </w:p>
        </w:tc>
        <w:tc>
          <w:tcPr>
            <w:tcW w:w="2203" w:type="pct"/>
            <w:tcBorders>
              <w:top w:val="single" w:sz="6" w:space="0" w:color="000080"/>
              <w:left w:val="single" w:sz="6" w:space="0" w:color="000080"/>
              <w:bottom w:val="single" w:sz="6" w:space="0" w:color="000080"/>
              <w:right w:val="single" w:sz="6" w:space="0" w:color="000080"/>
            </w:tcBorders>
            <w:shd w:val="clear" w:color="auto" w:fill="F4B083" w:themeFill="accent2" w:themeFillTint="99"/>
            <w:hideMark/>
          </w:tcPr>
          <w:p w14:paraId="5DF87046"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Moyenne</w:t>
            </w:r>
          </w:p>
        </w:tc>
      </w:tr>
      <w:tr w:rsidR="00BD1A2F" w:rsidRPr="00260790" w14:paraId="39080A81" w14:textId="77777777" w:rsidTr="001108C4">
        <w:trPr>
          <w:trHeight w:val="211"/>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14:paraId="2BEB375C"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0" w:type="auto"/>
            <w:gridSpan w:val="2"/>
            <w:vMerge/>
            <w:tcBorders>
              <w:top w:val="single" w:sz="6" w:space="0" w:color="000080"/>
              <w:left w:val="single" w:sz="6" w:space="0" w:color="000080"/>
              <w:bottom w:val="single" w:sz="6" w:space="0" w:color="000080"/>
              <w:right w:val="single" w:sz="6" w:space="0" w:color="000080"/>
            </w:tcBorders>
            <w:vAlign w:val="center"/>
            <w:hideMark/>
          </w:tcPr>
          <w:p w14:paraId="79B79E1C"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819" w:type="pct"/>
            <w:tcBorders>
              <w:top w:val="single" w:sz="6" w:space="0" w:color="000080"/>
              <w:left w:val="single" w:sz="6" w:space="0" w:color="000080"/>
              <w:bottom w:val="single" w:sz="6" w:space="0" w:color="000080"/>
              <w:right w:val="single" w:sz="6" w:space="0" w:color="000080"/>
            </w:tcBorders>
            <w:hideMark/>
          </w:tcPr>
          <w:p w14:paraId="14398246"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Courte</w:t>
            </w:r>
          </w:p>
        </w:tc>
        <w:tc>
          <w:tcPr>
            <w:tcW w:w="2203" w:type="pct"/>
            <w:tcBorders>
              <w:top w:val="single" w:sz="6" w:space="0" w:color="000080"/>
              <w:left w:val="single" w:sz="6" w:space="0" w:color="000080"/>
              <w:bottom w:val="single" w:sz="6" w:space="0" w:color="000080"/>
              <w:right w:val="single" w:sz="6" w:space="0" w:color="000080"/>
            </w:tcBorders>
            <w:shd w:val="clear" w:color="auto" w:fill="FFFF00"/>
            <w:hideMark/>
          </w:tcPr>
          <w:p w14:paraId="7D4772B2"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Mineure</w:t>
            </w:r>
          </w:p>
        </w:tc>
      </w:tr>
      <w:tr w:rsidR="00BD1A2F" w:rsidRPr="00260790" w14:paraId="18B79B9E" w14:textId="77777777" w:rsidTr="001108C4">
        <w:trPr>
          <w:trHeight w:val="211"/>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14:paraId="0487C9D0"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858" w:type="pct"/>
            <w:gridSpan w:val="2"/>
            <w:vMerge w:val="restart"/>
            <w:tcBorders>
              <w:top w:val="single" w:sz="6" w:space="0" w:color="000080"/>
              <w:left w:val="single" w:sz="6" w:space="0" w:color="000080"/>
              <w:bottom w:val="single" w:sz="6" w:space="0" w:color="000080"/>
              <w:right w:val="single" w:sz="6" w:space="0" w:color="000080"/>
            </w:tcBorders>
          </w:tcPr>
          <w:p w14:paraId="6855E6F5"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p w14:paraId="428A4043"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p w14:paraId="4CD01C76"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Locale</w:t>
            </w:r>
          </w:p>
        </w:tc>
        <w:tc>
          <w:tcPr>
            <w:tcW w:w="819" w:type="pct"/>
            <w:tcBorders>
              <w:top w:val="single" w:sz="6" w:space="0" w:color="000080"/>
              <w:left w:val="single" w:sz="6" w:space="0" w:color="000080"/>
              <w:bottom w:val="single" w:sz="6" w:space="0" w:color="000080"/>
              <w:right w:val="single" w:sz="6" w:space="0" w:color="000080"/>
            </w:tcBorders>
            <w:hideMark/>
          </w:tcPr>
          <w:p w14:paraId="66E0B7B4"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Longue</w:t>
            </w:r>
          </w:p>
        </w:tc>
        <w:tc>
          <w:tcPr>
            <w:tcW w:w="2203" w:type="pct"/>
            <w:tcBorders>
              <w:top w:val="single" w:sz="6" w:space="0" w:color="000080"/>
              <w:left w:val="single" w:sz="6" w:space="0" w:color="000080"/>
              <w:bottom w:val="single" w:sz="6" w:space="0" w:color="000080"/>
              <w:right w:val="single" w:sz="6" w:space="0" w:color="000080"/>
            </w:tcBorders>
            <w:shd w:val="clear" w:color="auto" w:fill="F4B083" w:themeFill="accent2" w:themeFillTint="99"/>
            <w:hideMark/>
          </w:tcPr>
          <w:p w14:paraId="55F45040"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Moyenne</w:t>
            </w:r>
          </w:p>
        </w:tc>
      </w:tr>
      <w:tr w:rsidR="00BD1A2F" w:rsidRPr="00260790" w14:paraId="341B9FEC" w14:textId="77777777" w:rsidTr="001108C4">
        <w:trPr>
          <w:trHeight w:val="211"/>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14:paraId="56D9B33F"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0" w:type="auto"/>
            <w:gridSpan w:val="2"/>
            <w:vMerge/>
            <w:tcBorders>
              <w:top w:val="single" w:sz="6" w:space="0" w:color="000080"/>
              <w:left w:val="single" w:sz="6" w:space="0" w:color="000080"/>
              <w:bottom w:val="single" w:sz="6" w:space="0" w:color="000080"/>
              <w:right w:val="single" w:sz="6" w:space="0" w:color="000080"/>
            </w:tcBorders>
            <w:vAlign w:val="center"/>
            <w:hideMark/>
          </w:tcPr>
          <w:p w14:paraId="78BE5039"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819" w:type="pct"/>
            <w:tcBorders>
              <w:top w:val="single" w:sz="6" w:space="0" w:color="000080"/>
              <w:left w:val="single" w:sz="6" w:space="0" w:color="000080"/>
              <w:bottom w:val="single" w:sz="6" w:space="0" w:color="000080"/>
              <w:right w:val="single" w:sz="6" w:space="0" w:color="000080"/>
            </w:tcBorders>
            <w:hideMark/>
          </w:tcPr>
          <w:p w14:paraId="3818A0D4"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Moyenne</w:t>
            </w:r>
          </w:p>
        </w:tc>
        <w:tc>
          <w:tcPr>
            <w:tcW w:w="2203" w:type="pct"/>
            <w:tcBorders>
              <w:top w:val="single" w:sz="6" w:space="0" w:color="000080"/>
              <w:left w:val="single" w:sz="6" w:space="0" w:color="000080"/>
              <w:bottom w:val="single" w:sz="6" w:space="0" w:color="000080"/>
              <w:right w:val="single" w:sz="6" w:space="0" w:color="000080"/>
            </w:tcBorders>
            <w:shd w:val="clear" w:color="auto" w:fill="FFFF00"/>
            <w:hideMark/>
          </w:tcPr>
          <w:p w14:paraId="23DEC440"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Mineure</w:t>
            </w:r>
          </w:p>
        </w:tc>
      </w:tr>
      <w:tr w:rsidR="00BD1A2F" w:rsidRPr="00260790" w14:paraId="7142A6C0" w14:textId="77777777" w:rsidTr="001108C4">
        <w:trPr>
          <w:trHeight w:val="211"/>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14:paraId="22D2DDF4"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0" w:type="auto"/>
            <w:gridSpan w:val="2"/>
            <w:vMerge/>
            <w:tcBorders>
              <w:top w:val="single" w:sz="6" w:space="0" w:color="000080"/>
              <w:left w:val="single" w:sz="6" w:space="0" w:color="000080"/>
              <w:bottom w:val="single" w:sz="6" w:space="0" w:color="000080"/>
              <w:right w:val="single" w:sz="6" w:space="0" w:color="000080"/>
            </w:tcBorders>
            <w:vAlign w:val="center"/>
            <w:hideMark/>
          </w:tcPr>
          <w:p w14:paraId="0E999C7B"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819" w:type="pct"/>
            <w:tcBorders>
              <w:top w:val="single" w:sz="6" w:space="0" w:color="000080"/>
              <w:left w:val="single" w:sz="6" w:space="0" w:color="000080"/>
              <w:bottom w:val="single" w:sz="6" w:space="0" w:color="000080"/>
              <w:right w:val="single" w:sz="6" w:space="0" w:color="000080"/>
            </w:tcBorders>
            <w:hideMark/>
          </w:tcPr>
          <w:p w14:paraId="3614CF0F"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Courte</w:t>
            </w:r>
          </w:p>
        </w:tc>
        <w:tc>
          <w:tcPr>
            <w:tcW w:w="2203" w:type="pct"/>
            <w:tcBorders>
              <w:top w:val="single" w:sz="6" w:space="0" w:color="000080"/>
              <w:left w:val="single" w:sz="6" w:space="0" w:color="000080"/>
              <w:bottom w:val="single" w:sz="6" w:space="0" w:color="000080"/>
              <w:right w:val="single" w:sz="6" w:space="0" w:color="000080"/>
            </w:tcBorders>
            <w:shd w:val="clear" w:color="auto" w:fill="FFFF00"/>
            <w:hideMark/>
          </w:tcPr>
          <w:p w14:paraId="57584B03"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Mineure</w:t>
            </w:r>
          </w:p>
        </w:tc>
      </w:tr>
      <w:tr w:rsidR="00BD1A2F" w:rsidRPr="00260790" w14:paraId="3A7FEC67" w14:textId="77777777" w:rsidTr="001108C4">
        <w:trPr>
          <w:trHeight w:val="211"/>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14:paraId="25040CD6"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858" w:type="pct"/>
            <w:gridSpan w:val="2"/>
            <w:vMerge w:val="restart"/>
            <w:tcBorders>
              <w:top w:val="single" w:sz="6" w:space="0" w:color="000080"/>
              <w:left w:val="single" w:sz="6" w:space="0" w:color="000080"/>
              <w:bottom w:val="single" w:sz="6" w:space="0" w:color="000080"/>
              <w:right w:val="single" w:sz="6" w:space="0" w:color="000080"/>
            </w:tcBorders>
          </w:tcPr>
          <w:p w14:paraId="276D359A"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p w14:paraId="23AE0FD7"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p w14:paraId="67A27C1A"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Ponctuelle</w:t>
            </w:r>
          </w:p>
        </w:tc>
        <w:tc>
          <w:tcPr>
            <w:tcW w:w="819" w:type="pct"/>
            <w:tcBorders>
              <w:top w:val="single" w:sz="6" w:space="0" w:color="000080"/>
              <w:left w:val="single" w:sz="6" w:space="0" w:color="000080"/>
              <w:bottom w:val="single" w:sz="6" w:space="0" w:color="000080"/>
              <w:right w:val="single" w:sz="6" w:space="0" w:color="000080"/>
            </w:tcBorders>
            <w:hideMark/>
          </w:tcPr>
          <w:p w14:paraId="5F7FD8D8"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Longue</w:t>
            </w:r>
          </w:p>
        </w:tc>
        <w:tc>
          <w:tcPr>
            <w:tcW w:w="2203" w:type="pct"/>
            <w:tcBorders>
              <w:top w:val="single" w:sz="6" w:space="0" w:color="000080"/>
              <w:left w:val="single" w:sz="6" w:space="0" w:color="000080"/>
              <w:bottom w:val="single" w:sz="6" w:space="0" w:color="000080"/>
              <w:right w:val="single" w:sz="6" w:space="0" w:color="000080"/>
            </w:tcBorders>
            <w:shd w:val="clear" w:color="auto" w:fill="FFFF00"/>
            <w:hideMark/>
          </w:tcPr>
          <w:p w14:paraId="46AEC9C9"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Mineure</w:t>
            </w:r>
          </w:p>
        </w:tc>
      </w:tr>
      <w:tr w:rsidR="00BD1A2F" w:rsidRPr="00260790" w14:paraId="06BCA47B" w14:textId="77777777" w:rsidTr="001108C4">
        <w:trPr>
          <w:trHeight w:val="211"/>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14:paraId="589CF0BA"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0" w:type="auto"/>
            <w:gridSpan w:val="2"/>
            <w:vMerge/>
            <w:tcBorders>
              <w:top w:val="single" w:sz="6" w:space="0" w:color="000080"/>
              <w:left w:val="single" w:sz="6" w:space="0" w:color="000080"/>
              <w:bottom w:val="single" w:sz="6" w:space="0" w:color="000080"/>
              <w:right w:val="single" w:sz="6" w:space="0" w:color="000080"/>
            </w:tcBorders>
            <w:vAlign w:val="center"/>
            <w:hideMark/>
          </w:tcPr>
          <w:p w14:paraId="17CBEA16"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819" w:type="pct"/>
            <w:tcBorders>
              <w:top w:val="single" w:sz="6" w:space="0" w:color="000080"/>
              <w:left w:val="single" w:sz="6" w:space="0" w:color="000080"/>
              <w:bottom w:val="single" w:sz="6" w:space="0" w:color="000080"/>
              <w:right w:val="single" w:sz="6" w:space="0" w:color="000080"/>
            </w:tcBorders>
            <w:hideMark/>
          </w:tcPr>
          <w:p w14:paraId="04E011A8"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Moyenne</w:t>
            </w:r>
          </w:p>
        </w:tc>
        <w:tc>
          <w:tcPr>
            <w:tcW w:w="2203" w:type="pct"/>
            <w:tcBorders>
              <w:top w:val="single" w:sz="6" w:space="0" w:color="000080"/>
              <w:left w:val="single" w:sz="6" w:space="0" w:color="000080"/>
              <w:bottom w:val="single" w:sz="6" w:space="0" w:color="000080"/>
              <w:right w:val="single" w:sz="6" w:space="0" w:color="000080"/>
            </w:tcBorders>
            <w:shd w:val="clear" w:color="auto" w:fill="FFFF00"/>
            <w:hideMark/>
          </w:tcPr>
          <w:p w14:paraId="23120E55"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Mineure</w:t>
            </w:r>
          </w:p>
        </w:tc>
      </w:tr>
      <w:tr w:rsidR="00BD1A2F" w:rsidRPr="00260790" w14:paraId="2A03FB75" w14:textId="77777777" w:rsidTr="001108C4">
        <w:trPr>
          <w:trHeight w:val="211"/>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14:paraId="0DFEAEBF"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0" w:type="auto"/>
            <w:gridSpan w:val="2"/>
            <w:vMerge/>
            <w:tcBorders>
              <w:top w:val="single" w:sz="6" w:space="0" w:color="000080"/>
              <w:left w:val="single" w:sz="6" w:space="0" w:color="000080"/>
              <w:bottom w:val="single" w:sz="6" w:space="0" w:color="000080"/>
              <w:right w:val="single" w:sz="6" w:space="0" w:color="000080"/>
            </w:tcBorders>
            <w:vAlign w:val="center"/>
            <w:hideMark/>
          </w:tcPr>
          <w:p w14:paraId="7E82815E"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819" w:type="pct"/>
            <w:tcBorders>
              <w:top w:val="single" w:sz="6" w:space="0" w:color="000080"/>
              <w:left w:val="single" w:sz="6" w:space="0" w:color="000080"/>
              <w:bottom w:val="single" w:sz="6" w:space="0" w:color="000080"/>
              <w:right w:val="single" w:sz="6" w:space="0" w:color="000080"/>
            </w:tcBorders>
            <w:hideMark/>
          </w:tcPr>
          <w:p w14:paraId="6FA9E4E3"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Courte</w:t>
            </w:r>
          </w:p>
        </w:tc>
        <w:tc>
          <w:tcPr>
            <w:tcW w:w="2203" w:type="pct"/>
            <w:tcBorders>
              <w:top w:val="single" w:sz="6" w:space="0" w:color="000080"/>
              <w:left w:val="single" w:sz="6" w:space="0" w:color="000080"/>
              <w:bottom w:val="single" w:sz="6" w:space="0" w:color="000080"/>
              <w:right w:val="single" w:sz="6" w:space="0" w:color="000080"/>
            </w:tcBorders>
            <w:shd w:val="clear" w:color="auto" w:fill="FFFF00"/>
            <w:hideMark/>
          </w:tcPr>
          <w:p w14:paraId="63BECE7A"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Mineure</w:t>
            </w:r>
          </w:p>
        </w:tc>
      </w:tr>
    </w:tbl>
    <w:p w14:paraId="75D288E0" w14:textId="77777777" w:rsidR="00DE241D" w:rsidRPr="00260790" w:rsidRDefault="00DE241D" w:rsidP="005E61F7">
      <w:pPr>
        <w:spacing w:after="0" w:line="240" w:lineRule="auto"/>
        <w:jc w:val="both"/>
        <w:rPr>
          <w:rFonts w:ascii="Times New Roman" w:hAnsi="Times New Roman"/>
          <w:color w:val="000000" w:themeColor="text1"/>
        </w:rPr>
      </w:pPr>
    </w:p>
    <w:p w14:paraId="28D9DD42"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critères utilisés pour cette matrice sont : la nature de l’interaction, l’intensité ou l’ampleur de l’impact, l’étendue ou la portée de l’impact, la durée de l’impact, comme expliqué ci-après. </w:t>
      </w:r>
    </w:p>
    <w:p w14:paraId="4909E566" w14:textId="77777777" w:rsidR="00DE241D" w:rsidRPr="00260790" w:rsidRDefault="00DE241D" w:rsidP="001748C6">
      <w:pPr>
        <w:pStyle w:val="Paragraphedeliste"/>
        <w:numPr>
          <w:ilvl w:val="0"/>
          <w:numId w:val="127"/>
        </w:numPr>
        <w:spacing w:after="0" w:line="240" w:lineRule="auto"/>
        <w:jc w:val="both"/>
        <w:rPr>
          <w:rFonts w:ascii="Times New Roman" w:hAnsi="Times New Roman"/>
          <w:color w:val="000000" w:themeColor="text1"/>
        </w:rPr>
      </w:pPr>
      <w:r w:rsidRPr="00260790">
        <w:rPr>
          <w:rFonts w:ascii="Times New Roman" w:hAnsi="Times New Roman"/>
          <w:b/>
          <w:i/>
          <w:color w:val="000000" w:themeColor="text1"/>
        </w:rPr>
        <w:t>La nature de l’impact</w:t>
      </w:r>
      <w:r w:rsidRPr="00260790">
        <w:rPr>
          <w:rFonts w:ascii="Times New Roman" w:hAnsi="Times New Roman"/>
          <w:color w:val="000000" w:themeColor="text1"/>
        </w:rPr>
        <w:t xml:space="preserve"> indique si l’impact est bénéfique (négatif) ou nocif (positif) pour les composantes du milieu d’accueil ;</w:t>
      </w:r>
    </w:p>
    <w:p w14:paraId="1BB24B48" w14:textId="77777777" w:rsidR="00DE241D" w:rsidRPr="00260790" w:rsidRDefault="00DE241D" w:rsidP="001748C6">
      <w:pPr>
        <w:pStyle w:val="Paragraphedeliste"/>
        <w:numPr>
          <w:ilvl w:val="0"/>
          <w:numId w:val="127"/>
        </w:numPr>
        <w:spacing w:after="0" w:line="240" w:lineRule="auto"/>
        <w:jc w:val="both"/>
        <w:rPr>
          <w:rFonts w:ascii="Times New Roman" w:hAnsi="Times New Roman"/>
          <w:color w:val="000000" w:themeColor="text1"/>
        </w:rPr>
      </w:pPr>
      <w:r w:rsidRPr="00260790">
        <w:rPr>
          <w:rFonts w:ascii="Times New Roman" w:hAnsi="Times New Roman"/>
          <w:b/>
          <w:i/>
          <w:color w:val="000000" w:themeColor="text1"/>
        </w:rPr>
        <w:t>L’intensité ou l’ampleur</w:t>
      </w:r>
      <w:r w:rsidRPr="00260790">
        <w:rPr>
          <w:rFonts w:ascii="Times New Roman" w:hAnsi="Times New Roman"/>
          <w:color w:val="000000" w:themeColor="text1"/>
        </w:rPr>
        <w:t xml:space="preserve"> exprime le degré de perturbation de la composante affectée, elle tient compte de la sensibilité du milieu ; trois classes d’intensité ont été considérées (forte, moyenne et faible) ;</w:t>
      </w:r>
    </w:p>
    <w:p w14:paraId="21FEB8BD" w14:textId="77777777" w:rsidR="00DE241D" w:rsidRPr="00260790" w:rsidRDefault="00DE241D" w:rsidP="001748C6">
      <w:pPr>
        <w:pStyle w:val="Paragraphedeliste"/>
        <w:numPr>
          <w:ilvl w:val="0"/>
          <w:numId w:val="127"/>
        </w:numPr>
        <w:spacing w:after="0" w:line="240" w:lineRule="auto"/>
        <w:jc w:val="both"/>
        <w:rPr>
          <w:rFonts w:ascii="Times New Roman" w:hAnsi="Times New Roman"/>
          <w:color w:val="000000" w:themeColor="text1"/>
        </w:rPr>
      </w:pPr>
      <w:r w:rsidRPr="00260790">
        <w:rPr>
          <w:rFonts w:ascii="Times New Roman" w:hAnsi="Times New Roman"/>
          <w:b/>
          <w:i/>
          <w:color w:val="000000" w:themeColor="text1"/>
        </w:rPr>
        <w:t>L’étendue</w:t>
      </w:r>
      <w:r w:rsidRPr="00260790">
        <w:rPr>
          <w:rFonts w:ascii="Times New Roman" w:hAnsi="Times New Roman"/>
          <w:color w:val="000000" w:themeColor="text1"/>
        </w:rPr>
        <w:t xml:space="preserve"> donne une idée de la portée spatiale de l’impact ; on distingue trois classes d’étendue (ponctuelle, locale et régionale) ;</w:t>
      </w:r>
    </w:p>
    <w:p w14:paraId="4401EB40" w14:textId="77777777" w:rsidR="00DE241D" w:rsidRPr="00260790" w:rsidRDefault="00DE241D" w:rsidP="001748C6">
      <w:pPr>
        <w:pStyle w:val="Paragraphedeliste"/>
        <w:numPr>
          <w:ilvl w:val="0"/>
          <w:numId w:val="127"/>
        </w:numPr>
        <w:spacing w:after="0" w:line="240" w:lineRule="auto"/>
        <w:jc w:val="both"/>
        <w:rPr>
          <w:rFonts w:ascii="Times New Roman" w:hAnsi="Times New Roman"/>
          <w:color w:val="000000" w:themeColor="text1"/>
        </w:rPr>
      </w:pPr>
      <w:r w:rsidRPr="00260790">
        <w:rPr>
          <w:rFonts w:ascii="Times New Roman" w:hAnsi="Times New Roman"/>
          <w:b/>
          <w:i/>
          <w:color w:val="000000" w:themeColor="text1"/>
        </w:rPr>
        <w:t>La durée</w:t>
      </w:r>
      <w:r w:rsidRPr="00260790">
        <w:rPr>
          <w:rFonts w:ascii="Times New Roman" w:hAnsi="Times New Roman"/>
          <w:color w:val="000000" w:themeColor="text1"/>
        </w:rPr>
        <w:t xml:space="preserve"> de l’impact traduit la manifestation de l’impact dans le temps ; on distingue aussi trois classes de durée (momentanée, temporaire et permanente) ;</w:t>
      </w:r>
    </w:p>
    <w:p w14:paraId="18AABFC2" w14:textId="77777777" w:rsidR="00DE241D" w:rsidRPr="00260790" w:rsidRDefault="00DE241D" w:rsidP="001748C6">
      <w:pPr>
        <w:pStyle w:val="Paragraphedeliste"/>
        <w:numPr>
          <w:ilvl w:val="0"/>
          <w:numId w:val="127"/>
        </w:numPr>
        <w:spacing w:after="0" w:line="240" w:lineRule="auto"/>
        <w:jc w:val="both"/>
        <w:rPr>
          <w:rFonts w:ascii="Times New Roman" w:hAnsi="Times New Roman"/>
          <w:color w:val="000000" w:themeColor="text1"/>
        </w:rPr>
      </w:pPr>
      <w:r w:rsidRPr="00260790">
        <w:rPr>
          <w:rFonts w:ascii="Times New Roman" w:hAnsi="Times New Roman"/>
          <w:b/>
          <w:i/>
          <w:color w:val="000000" w:themeColor="text1"/>
        </w:rPr>
        <w:t>L’importance</w:t>
      </w:r>
      <w:r w:rsidRPr="00260790">
        <w:rPr>
          <w:rFonts w:ascii="Times New Roman" w:hAnsi="Times New Roman"/>
          <w:color w:val="000000" w:themeColor="text1"/>
        </w:rPr>
        <w:t xml:space="preserve"> de l’impact correspond à l’ampleur des modifications subies par les composantes environnementales touchée ; elle est fonction de l’intensité, de l’étendue et de la durée ; on distingue trois degrés de perturbation (forte, moyenne et faible) :</w:t>
      </w:r>
    </w:p>
    <w:p w14:paraId="698B3038" w14:textId="77777777" w:rsidR="00DE241D" w:rsidRPr="00260790" w:rsidRDefault="00DE241D" w:rsidP="001748C6">
      <w:pPr>
        <w:pStyle w:val="Paragraphedeliste"/>
        <w:numPr>
          <w:ilvl w:val="0"/>
          <w:numId w:val="128"/>
        </w:numPr>
        <w:spacing w:after="0" w:line="240" w:lineRule="auto"/>
        <w:jc w:val="both"/>
        <w:rPr>
          <w:rFonts w:ascii="Times New Roman" w:hAnsi="Times New Roman"/>
          <w:color w:val="000000" w:themeColor="text1"/>
        </w:rPr>
      </w:pPr>
      <w:r w:rsidRPr="00260790">
        <w:rPr>
          <w:rFonts w:ascii="Times New Roman" w:hAnsi="Times New Roman"/>
          <w:i/>
          <w:color w:val="000000" w:themeColor="text1"/>
        </w:rPr>
        <w:t>Forte </w:t>
      </w:r>
      <w:r w:rsidRPr="00260790">
        <w:rPr>
          <w:rFonts w:ascii="Times New Roman" w:hAnsi="Times New Roman"/>
          <w:color w:val="000000" w:themeColor="text1"/>
        </w:rPr>
        <w:t>: lorsque l’effet altère l’intégrité de la composante et modifie de façon permanente sa qualité et son utilisation ;</w:t>
      </w:r>
    </w:p>
    <w:p w14:paraId="1BC5BDC5" w14:textId="77777777" w:rsidR="00DE241D" w:rsidRPr="00260790" w:rsidRDefault="00DE241D" w:rsidP="001748C6">
      <w:pPr>
        <w:pStyle w:val="Paragraphedeliste"/>
        <w:numPr>
          <w:ilvl w:val="0"/>
          <w:numId w:val="128"/>
        </w:numPr>
        <w:spacing w:after="0" w:line="240" w:lineRule="auto"/>
        <w:jc w:val="both"/>
        <w:rPr>
          <w:rFonts w:ascii="Times New Roman" w:hAnsi="Times New Roman"/>
          <w:color w:val="000000" w:themeColor="text1"/>
        </w:rPr>
      </w:pPr>
      <w:r w:rsidRPr="00260790">
        <w:rPr>
          <w:rFonts w:ascii="Times New Roman" w:hAnsi="Times New Roman"/>
          <w:i/>
          <w:color w:val="000000" w:themeColor="text1"/>
        </w:rPr>
        <w:t>Moyenne </w:t>
      </w:r>
      <w:r w:rsidRPr="00260790">
        <w:rPr>
          <w:rFonts w:ascii="Times New Roman" w:hAnsi="Times New Roman"/>
          <w:color w:val="000000" w:themeColor="text1"/>
        </w:rPr>
        <w:t>: quand l’impact compromet quelque peu l’intégrité ; la qualité et l’utilisation de la composante touchée ;</w:t>
      </w:r>
    </w:p>
    <w:p w14:paraId="0C0DF7DA" w14:textId="77777777" w:rsidR="00DE241D" w:rsidRPr="00260790" w:rsidRDefault="00DE241D" w:rsidP="001748C6">
      <w:pPr>
        <w:pStyle w:val="Paragraphedeliste"/>
        <w:numPr>
          <w:ilvl w:val="0"/>
          <w:numId w:val="128"/>
        </w:numPr>
        <w:spacing w:after="0" w:line="240" w:lineRule="auto"/>
        <w:jc w:val="both"/>
        <w:rPr>
          <w:rFonts w:ascii="Times New Roman" w:hAnsi="Times New Roman"/>
          <w:color w:val="000000" w:themeColor="text1"/>
        </w:rPr>
      </w:pPr>
      <w:r w:rsidRPr="00260790">
        <w:rPr>
          <w:rFonts w:ascii="Times New Roman" w:hAnsi="Times New Roman"/>
          <w:i/>
          <w:color w:val="000000" w:themeColor="text1"/>
        </w:rPr>
        <w:lastRenderedPageBreak/>
        <w:t>Faible</w:t>
      </w:r>
      <w:r w:rsidRPr="00260790">
        <w:rPr>
          <w:rFonts w:ascii="Times New Roman" w:hAnsi="Times New Roman"/>
          <w:color w:val="000000" w:themeColor="text1"/>
        </w:rPr>
        <w:t xml:space="preserve"> : quand l’impact ne modifie pas de manière perceptible l’intégrité, la qualité et l’utilisation de l’élément affecté. </w:t>
      </w:r>
    </w:p>
    <w:p w14:paraId="0EEA0C0A"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Le tableau ci-dessous présente le format de la grille de synthèse de l’analyse des impacts.</w:t>
      </w:r>
    </w:p>
    <w:p w14:paraId="7DDB68D1" w14:textId="41DFF24B" w:rsidR="00DE241D" w:rsidRPr="00260790" w:rsidRDefault="00DE241D" w:rsidP="00E20250">
      <w:pPr>
        <w:pStyle w:val="Lgende"/>
        <w:keepNext/>
        <w:spacing w:line="240" w:lineRule="auto"/>
        <w:rPr>
          <w:color w:val="000000" w:themeColor="text1"/>
          <w:sz w:val="22"/>
          <w:szCs w:val="22"/>
        </w:rPr>
      </w:pPr>
      <w:bookmarkStart w:id="598" w:name="_Toc207781863"/>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22</w:t>
      </w:r>
      <w:r w:rsidRPr="00260790">
        <w:rPr>
          <w:color w:val="000000" w:themeColor="text1"/>
          <w:sz w:val="22"/>
          <w:szCs w:val="22"/>
        </w:rPr>
        <w:fldChar w:fldCharType="end"/>
      </w:r>
      <w:r w:rsidRPr="00260790">
        <w:rPr>
          <w:color w:val="000000" w:themeColor="text1"/>
          <w:sz w:val="22"/>
          <w:szCs w:val="22"/>
        </w:rPr>
        <w:t xml:space="preserve"> : Outil d’évaluation d’impact</w:t>
      </w:r>
      <w:bookmarkEnd w:id="598"/>
      <w:r w:rsidRPr="00260790">
        <w:rPr>
          <w:color w:val="000000" w:themeColor="text1"/>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828"/>
        <w:gridCol w:w="1674"/>
        <w:gridCol w:w="1551"/>
        <w:gridCol w:w="1283"/>
        <w:gridCol w:w="1314"/>
        <w:gridCol w:w="1410"/>
      </w:tblGrid>
      <w:tr w:rsidR="00BD1A2F" w:rsidRPr="00260790" w14:paraId="72EE5B1C" w14:textId="77777777" w:rsidTr="003A0E4A">
        <w:trPr>
          <w:trHeight w:val="144"/>
        </w:trPr>
        <w:tc>
          <w:tcPr>
            <w:tcW w:w="5000" w:type="pct"/>
            <w:gridSpan w:val="6"/>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6551170E"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Intitulé de l’impact</w:t>
            </w:r>
          </w:p>
        </w:tc>
      </w:tr>
      <w:tr w:rsidR="00BD1A2F" w:rsidRPr="00260790" w14:paraId="17B381DD" w14:textId="77777777" w:rsidTr="003A0E4A">
        <w:trPr>
          <w:trHeight w:val="176"/>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3D2A3802"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 xml:space="preserve">Activité source d’impact : </w:t>
            </w:r>
          </w:p>
        </w:tc>
      </w:tr>
      <w:tr w:rsidR="00BD1A2F" w:rsidRPr="00260790" w14:paraId="17EA06EB" w14:textId="77777777" w:rsidTr="003A0E4A">
        <w:trPr>
          <w:trHeight w:val="176"/>
        </w:trPr>
        <w:tc>
          <w:tcPr>
            <w:tcW w:w="1009" w:type="pct"/>
            <w:tcBorders>
              <w:top w:val="single" w:sz="4" w:space="0" w:color="auto"/>
              <w:left w:val="single" w:sz="4" w:space="0" w:color="auto"/>
              <w:bottom w:val="single" w:sz="4" w:space="0" w:color="auto"/>
              <w:right w:val="single" w:sz="4" w:space="0" w:color="auto"/>
            </w:tcBorders>
            <w:vAlign w:val="center"/>
            <w:hideMark/>
          </w:tcPr>
          <w:p w14:paraId="5C89CCA8"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Critères</w:t>
            </w:r>
          </w:p>
        </w:tc>
        <w:tc>
          <w:tcPr>
            <w:tcW w:w="924" w:type="pct"/>
            <w:tcBorders>
              <w:top w:val="single" w:sz="4" w:space="0" w:color="auto"/>
              <w:left w:val="single" w:sz="4" w:space="0" w:color="auto"/>
              <w:bottom w:val="single" w:sz="4" w:space="0" w:color="auto"/>
              <w:right w:val="single" w:sz="4" w:space="0" w:color="auto"/>
            </w:tcBorders>
            <w:vAlign w:val="center"/>
            <w:hideMark/>
          </w:tcPr>
          <w:p w14:paraId="2D7D2CEA"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Intensité</w:t>
            </w:r>
          </w:p>
        </w:tc>
        <w:tc>
          <w:tcPr>
            <w:tcW w:w="856" w:type="pct"/>
            <w:tcBorders>
              <w:top w:val="single" w:sz="4" w:space="0" w:color="auto"/>
              <w:left w:val="single" w:sz="4" w:space="0" w:color="auto"/>
              <w:bottom w:val="single" w:sz="4" w:space="0" w:color="auto"/>
              <w:right w:val="single" w:sz="4" w:space="0" w:color="auto"/>
            </w:tcBorders>
            <w:vAlign w:val="center"/>
            <w:hideMark/>
          </w:tcPr>
          <w:p w14:paraId="3630C55B"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Étendue</w:t>
            </w:r>
          </w:p>
        </w:tc>
        <w:tc>
          <w:tcPr>
            <w:tcW w:w="708" w:type="pct"/>
            <w:tcBorders>
              <w:top w:val="single" w:sz="4" w:space="0" w:color="auto"/>
              <w:left w:val="single" w:sz="4" w:space="0" w:color="auto"/>
              <w:bottom w:val="single" w:sz="4" w:space="0" w:color="auto"/>
              <w:right w:val="single" w:sz="4" w:space="0" w:color="auto"/>
            </w:tcBorders>
            <w:vAlign w:val="center"/>
            <w:hideMark/>
          </w:tcPr>
          <w:p w14:paraId="080FFE51"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Durée</w:t>
            </w:r>
          </w:p>
        </w:tc>
        <w:tc>
          <w:tcPr>
            <w:tcW w:w="725" w:type="pct"/>
            <w:tcBorders>
              <w:top w:val="single" w:sz="4" w:space="0" w:color="auto"/>
              <w:left w:val="single" w:sz="4" w:space="0" w:color="auto"/>
              <w:bottom w:val="single" w:sz="4" w:space="0" w:color="auto"/>
              <w:right w:val="single" w:sz="4" w:space="0" w:color="auto"/>
            </w:tcBorders>
            <w:vAlign w:val="center"/>
            <w:hideMark/>
          </w:tcPr>
          <w:p w14:paraId="689C1D20"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Importance</w:t>
            </w:r>
          </w:p>
        </w:tc>
        <w:tc>
          <w:tcPr>
            <w:tcW w:w="777" w:type="pct"/>
            <w:tcBorders>
              <w:top w:val="single" w:sz="4" w:space="0" w:color="auto"/>
              <w:left w:val="single" w:sz="4" w:space="0" w:color="auto"/>
              <w:bottom w:val="single" w:sz="4" w:space="0" w:color="auto"/>
              <w:right w:val="single" w:sz="4" w:space="0" w:color="auto"/>
            </w:tcBorders>
            <w:vAlign w:val="center"/>
            <w:hideMark/>
          </w:tcPr>
          <w:p w14:paraId="48163B34"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Réversibilité</w:t>
            </w:r>
          </w:p>
        </w:tc>
      </w:tr>
      <w:tr w:rsidR="00BD1A2F" w:rsidRPr="00260790" w14:paraId="3B69E637" w14:textId="77777777" w:rsidTr="003A0E4A">
        <w:trPr>
          <w:cantSplit/>
        </w:trPr>
        <w:tc>
          <w:tcPr>
            <w:tcW w:w="1009" w:type="pct"/>
            <w:tcBorders>
              <w:top w:val="single" w:sz="4" w:space="0" w:color="auto"/>
              <w:left w:val="single" w:sz="4" w:space="0" w:color="auto"/>
              <w:bottom w:val="single" w:sz="4" w:space="0" w:color="auto"/>
              <w:right w:val="single" w:sz="4" w:space="0" w:color="auto"/>
            </w:tcBorders>
            <w:vAlign w:val="center"/>
            <w:hideMark/>
          </w:tcPr>
          <w:p w14:paraId="081834B9"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 xml:space="preserve">Sans bonification </w:t>
            </w:r>
          </w:p>
        </w:tc>
        <w:tc>
          <w:tcPr>
            <w:tcW w:w="924" w:type="pct"/>
            <w:tcBorders>
              <w:top w:val="single" w:sz="4" w:space="0" w:color="auto"/>
              <w:left w:val="single" w:sz="4" w:space="0" w:color="auto"/>
              <w:bottom w:val="single" w:sz="4" w:space="0" w:color="auto"/>
              <w:right w:val="single" w:sz="4" w:space="0" w:color="auto"/>
            </w:tcBorders>
            <w:vAlign w:val="center"/>
          </w:tcPr>
          <w:p w14:paraId="23AB5E66"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p>
        </w:tc>
        <w:tc>
          <w:tcPr>
            <w:tcW w:w="856" w:type="pct"/>
            <w:tcBorders>
              <w:top w:val="single" w:sz="4" w:space="0" w:color="auto"/>
              <w:left w:val="single" w:sz="4" w:space="0" w:color="auto"/>
              <w:bottom w:val="single" w:sz="4" w:space="0" w:color="auto"/>
              <w:right w:val="single" w:sz="4" w:space="0" w:color="auto"/>
            </w:tcBorders>
            <w:vAlign w:val="center"/>
          </w:tcPr>
          <w:p w14:paraId="00512395"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p>
        </w:tc>
        <w:tc>
          <w:tcPr>
            <w:tcW w:w="708" w:type="pct"/>
            <w:tcBorders>
              <w:top w:val="single" w:sz="4" w:space="0" w:color="auto"/>
              <w:left w:val="single" w:sz="4" w:space="0" w:color="auto"/>
              <w:bottom w:val="single" w:sz="4" w:space="0" w:color="auto"/>
              <w:right w:val="single" w:sz="4" w:space="0" w:color="auto"/>
            </w:tcBorders>
            <w:vAlign w:val="center"/>
          </w:tcPr>
          <w:p w14:paraId="43CECB45"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p>
        </w:tc>
        <w:tc>
          <w:tcPr>
            <w:tcW w:w="725" w:type="pct"/>
            <w:tcBorders>
              <w:top w:val="single" w:sz="4" w:space="0" w:color="auto"/>
              <w:left w:val="single" w:sz="4" w:space="0" w:color="auto"/>
              <w:bottom w:val="single" w:sz="4" w:space="0" w:color="auto"/>
              <w:right w:val="single" w:sz="4" w:space="0" w:color="auto"/>
            </w:tcBorders>
            <w:vAlign w:val="center"/>
          </w:tcPr>
          <w:p w14:paraId="6F58DC20"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p>
        </w:tc>
        <w:tc>
          <w:tcPr>
            <w:tcW w:w="777" w:type="pct"/>
            <w:tcBorders>
              <w:top w:val="single" w:sz="4" w:space="0" w:color="auto"/>
              <w:left w:val="single" w:sz="4" w:space="0" w:color="auto"/>
              <w:bottom w:val="single" w:sz="4" w:space="0" w:color="auto"/>
              <w:right w:val="single" w:sz="4" w:space="0" w:color="auto"/>
            </w:tcBorders>
            <w:vAlign w:val="center"/>
          </w:tcPr>
          <w:p w14:paraId="3F01997B"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p>
        </w:tc>
      </w:tr>
      <w:tr w:rsidR="00BD1A2F" w:rsidRPr="00260790" w14:paraId="105596BE" w14:textId="77777777" w:rsidTr="003A0E4A">
        <w:trPr>
          <w:cantSplit/>
          <w:trHeight w:val="418"/>
        </w:trPr>
        <w:tc>
          <w:tcPr>
            <w:tcW w:w="1009" w:type="pct"/>
            <w:tcBorders>
              <w:top w:val="single" w:sz="4" w:space="0" w:color="auto"/>
              <w:left w:val="single" w:sz="4" w:space="0" w:color="auto"/>
              <w:bottom w:val="single" w:sz="4" w:space="0" w:color="auto"/>
              <w:right w:val="single" w:sz="4" w:space="0" w:color="auto"/>
            </w:tcBorders>
            <w:vAlign w:val="center"/>
            <w:hideMark/>
          </w:tcPr>
          <w:p w14:paraId="68B1A059"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 xml:space="preserve">Mesures de bonification </w:t>
            </w:r>
          </w:p>
        </w:tc>
        <w:tc>
          <w:tcPr>
            <w:tcW w:w="3991" w:type="pct"/>
            <w:gridSpan w:val="5"/>
            <w:tcBorders>
              <w:top w:val="single" w:sz="4" w:space="0" w:color="auto"/>
              <w:left w:val="single" w:sz="4" w:space="0" w:color="auto"/>
              <w:bottom w:val="single" w:sz="4" w:space="0" w:color="auto"/>
              <w:right w:val="single" w:sz="4" w:space="0" w:color="auto"/>
            </w:tcBorders>
            <w:vAlign w:val="center"/>
            <w:hideMark/>
          </w:tcPr>
          <w:p w14:paraId="01616468"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 xml:space="preserve"> </w:t>
            </w:r>
          </w:p>
        </w:tc>
      </w:tr>
      <w:tr w:rsidR="00BD1A2F" w:rsidRPr="00260790" w14:paraId="719B5C65" w14:textId="77777777" w:rsidTr="003A0E4A">
        <w:trPr>
          <w:cantSplit/>
        </w:trPr>
        <w:tc>
          <w:tcPr>
            <w:tcW w:w="1009" w:type="pct"/>
            <w:tcBorders>
              <w:top w:val="single" w:sz="4" w:space="0" w:color="auto"/>
              <w:left w:val="single" w:sz="4" w:space="0" w:color="auto"/>
              <w:bottom w:val="single" w:sz="4" w:space="0" w:color="auto"/>
              <w:right w:val="single" w:sz="4" w:space="0" w:color="auto"/>
            </w:tcBorders>
            <w:vAlign w:val="center"/>
            <w:hideMark/>
          </w:tcPr>
          <w:p w14:paraId="3E84A9E7"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 xml:space="preserve">Avec bonification </w:t>
            </w:r>
          </w:p>
        </w:tc>
        <w:tc>
          <w:tcPr>
            <w:tcW w:w="924" w:type="pct"/>
            <w:tcBorders>
              <w:top w:val="single" w:sz="4" w:space="0" w:color="auto"/>
              <w:left w:val="single" w:sz="4" w:space="0" w:color="auto"/>
              <w:bottom w:val="single" w:sz="4" w:space="0" w:color="auto"/>
              <w:right w:val="single" w:sz="4" w:space="0" w:color="auto"/>
            </w:tcBorders>
            <w:vAlign w:val="center"/>
          </w:tcPr>
          <w:p w14:paraId="0276CEB6"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p>
        </w:tc>
        <w:tc>
          <w:tcPr>
            <w:tcW w:w="856" w:type="pct"/>
            <w:tcBorders>
              <w:top w:val="single" w:sz="4" w:space="0" w:color="auto"/>
              <w:left w:val="single" w:sz="4" w:space="0" w:color="auto"/>
              <w:bottom w:val="single" w:sz="4" w:space="0" w:color="auto"/>
              <w:right w:val="single" w:sz="4" w:space="0" w:color="auto"/>
            </w:tcBorders>
            <w:vAlign w:val="center"/>
          </w:tcPr>
          <w:p w14:paraId="22E4D85D"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p>
        </w:tc>
        <w:tc>
          <w:tcPr>
            <w:tcW w:w="708" w:type="pct"/>
            <w:tcBorders>
              <w:top w:val="single" w:sz="4" w:space="0" w:color="auto"/>
              <w:left w:val="single" w:sz="4" w:space="0" w:color="auto"/>
              <w:bottom w:val="single" w:sz="4" w:space="0" w:color="auto"/>
              <w:right w:val="single" w:sz="4" w:space="0" w:color="auto"/>
            </w:tcBorders>
            <w:vAlign w:val="center"/>
          </w:tcPr>
          <w:p w14:paraId="404D1CC3"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p>
        </w:tc>
        <w:tc>
          <w:tcPr>
            <w:tcW w:w="725" w:type="pct"/>
            <w:tcBorders>
              <w:top w:val="single" w:sz="4" w:space="0" w:color="auto"/>
              <w:left w:val="single" w:sz="4" w:space="0" w:color="auto"/>
              <w:bottom w:val="single" w:sz="4" w:space="0" w:color="auto"/>
              <w:right w:val="single" w:sz="4" w:space="0" w:color="auto"/>
            </w:tcBorders>
            <w:vAlign w:val="center"/>
          </w:tcPr>
          <w:p w14:paraId="69553F6D"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p>
        </w:tc>
        <w:tc>
          <w:tcPr>
            <w:tcW w:w="777" w:type="pct"/>
            <w:tcBorders>
              <w:top w:val="single" w:sz="4" w:space="0" w:color="auto"/>
              <w:left w:val="single" w:sz="4" w:space="0" w:color="auto"/>
              <w:bottom w:val="single" w:sz="4" w:space="0" w:color="auto"/>
              <w:right w:val="single" w:sz="4" w:space="0" w:color="auto"/>
            </w:tcBorders>
            <w:vAlign w:val="center"/>
          </w:tcPr>
          <w:p w14:paraId="066F2998"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p>
        </w:tc>
      </w:tr>
    </w:tbl>
    <w:p w14:paraId="70348706" w14:textId="77777777" w:rsidR="00DE241D" w:rsidRPr="00260790" w:rsidRDefault="00DE241D" w:rsidP="005E61F7">
      <w:pPr>
        <w:spacing w:after="0" w:line="240" w:lineRule="auto"/>
        <w:rPr>
          <w:rFonts w:ascii="Times New Roman" w:hAnsi="Times New Roman"/>
          <w:color w:val="000000" w:themeColor="text1"/>
        </w:rPr>
      </w:pPr>
    </w:p>
    <w:p w14:paraId="2A2CE698" w14:textId="1510BE37" w:rsidR="00DE241D" w:rsidRPr="00260790" w:rsidRDefault="00DE241D" w:rsidP="001748C6">
      <w:pPr>
        <w:pStyle w:val="Paragraphedeliste"/>
        <w:numPr>
          <w:ilvl w:val="0"/>
          <w:numId w:val="276"/>
        </w:numPr>
        <w:spacing w:after="0" w:line="240" w:lineRule="auto"/>
        <w:rPr>
          <w:rFonts w:ascii="Times New Roman" w:hAnsi="Times New Roman"/>
          <w:b/>
          <w:color w:val="000000" w:themeColor="text1"/>
        </w:rPr>
      </w:pPr>
      <w:r w:rsidRPr="00260790">
        <w:rPr>
          <w:rFonts w:ascii="Times New Roman" w:hAnsi="Times New Roman"/>
          <w:b/>
          <w:color w:val="000000" w:themeColor="text1"/>
        </w:rPr>
        <w:t>Évaluation des risques environnementaux et sociaux</w:t>
      </w:r>
    </w:p>
    <w:p w14:paraId="179720F9"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 notion de risque englobe deux aspects complémentaires : la </w:t>
      </w:r>
      <w:r w:rsidRPr="00260790">
        <w:rPr>
          <w:rFonts w:ascii="Times New Roman" w:hAnsi="Times New Roman"/>
          <w:b/>
          <w:bCs/>
          <w:color w:val="000000" w:themeColor="text1"/>
        </w:rPr>
        <w:t>probabilité</w:t>
      </w:r>
      <w:r w:rsidRPr="00260790">
        <w:rPr>
          <w:rFonts w:ascii="Times New Roman" w:hAnsi="Times New Roman"/>
          <w:color w:val="000000" w:themeColor="text1"/>
        </w:rPr>
        <w:t xml:space="preserve"> qu’un danger se produise et la </w:t>
      </w:r>
      <w:r w:rsidRPr="00260790">
        <w:rPr>
          <w:rFonts w:ascii="Times New Roman" w:hAnsi="Times New Roman"/>
          <w:b/>
          <w:bCs/>
          <w:color w:val="000000" w:themeColor="text1"/>
        </w:rPr>
        <w:t>gravité</w:t>
      </w:r>
      <w:r w:rsidRPr="00260790">
        <w:rPr>
          <w:rFonts w:ascii="Times New Roman" w:hAnsi="Times New Roman"/>
          <w:color w:val="000000" w:themeColor="text1"/>
        </w:rPr>
        <w:t xml:space="preserve"> de ses effets. </w:t>
      </w:r>
    </w:p>
    <w:p w14:paraId="1BD8BC70"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 </w:t>
      </w:r>
      <w:r w:rsidRPr="00260790">
        <w:rPr>
          <w:rFonts w:ascii="Times New Roman" w:hAnsi="Times New Roman"/>
          <w:b/>
          <w:color w:val="000000" w:themeColor="text1"/>
        </w:rPr>
        <w:t>Probabilité</w:t>
      </w:r>
      <w:r w:rsidRPr="00260790">
        <w:rPr>
          <w:rFonts w:ascii="Times New Roman" w:hAnsi="Times New Roman"/>
          <w:color w:val="000000" w:themeColor="text1"/>
        </w:rPr>
        <w:t xml:space="preserve"> renvoie à la fréquence de l’évènement ou la durée d’exposition. La </w:t>
      </w:r>
      <w:r w:rsidRPr="00260790">
        <w:rPr>
          <w:rFonts w:ascii="Times New Roman" w:hAnsi="Times New Roman"/>
          <w:b/>
          <w:color w:val="000000" w:themeColor="text1"/>
        </w:rPr>
        <w:t>gravité</w:t>
      </w:r>
      <w:r w:rsidRPr="00260790">
        <w:rPr>
          <w:rFonts w:ascii="Times New Roman" w:hAnsi="Times New Roman"/>
          <w:color w:val="000000" w:themeColor="text1"/>
        </w:rPr>
        <w:t xml:space="preserve"> quant à elle traduit l’ampleur des conséquences au cas où le risque se concrétiserait. Le tableau présente les échelles de probabilité et de risques. </w:t>
      </w:r>
    </w:p>
    <w:p w14:paraId="7A36F8C5" w14:textId="316B65B7" w:rsidR="00DE241D" w:rsidRPr="00260790" w:rsidRDefault="00DE241D" w:rsidP="00E20250">
      <w:pPr>
        <w:pStyle w:val="Lgende"/>
        <w:keepNext/>
        <w:spacing w:line="240" w:lineRule="auto"/>
        <w:rPr>
          <w:b/>
          <w:color w:val="000000" w:themeColor="text1"/>
          <w:sz w:val="22"/>
          <w:szCs w:val="22"/>
        </w:rPr>
      </w:pPr>
      <w:bookmarkStart w:id="599" w:name="_Toc207781864"/>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23</w:t>
      </w:r>
      <w:r w:rsidRPr="00260790">
        <w:rPr>
          <w:color w:val="000000" w:themeColor="text1"/>
          <w:sz w:val="22"/>
          <w:szCs w:val="22"/>
        </w:rPr>
        <w:fldChar w:fldCharType="end"/>
      </w:r>
      <w:r w:rsidRPr="00260790">
        <w:rPr>
          <w:color w:val="000000" w:themeColor="text1"/>
          <w:sz w:val="22"/>
          <w:szCs w:val="22"/>
        </w:rPr>
        <w:t>: Grille d’estimation des niveaux de probabilité et de gravité</w:t>
      </w:r>
      <w:bookmarkEnd w:id="599"/>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3119"/>
        <w:gridCol w:w="1276"/>
        <w:gridCol w:w="2976"/>
      </w:tblGrid>
      <w:tr w:rsidR="00BD1A2F" w:rsidRPr="00260790" w14:paraId="5363938B" w14:textId="77777777" w:rsidTr="003A0E4A">
        <w:trPr>
          <w:jc w:val="center"/>
        </w:trPr>
        <w:tc>
          <w:tcPr>
            <w:tcW w:w="4361" w:type="dxa"/>
            <w:gridSpan w:val="2"/>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hideMark/>
          </w:tcPr>
          <w:p w14:paraId="29F29993" w14:textId="6605D2E2" w:rsidR="00DE241D" w:rsidRPr="00260790" w:rsidRDefault="00F11A3D" w:rsidP="00E20250">
            <w:pPr>
              <w:pStyle w:val="Default"/>
              <w:overflowPunct w:val="0"/>
              <w:jc w:val="center"/>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Échelle</w:t>
            </w:r>
            <w:r w:rsidR="00DE241D" w:rsidRPr="00260790">
              <w:rPr>
                <w:rFonts w:ascii="Times New Roman" w:hAnsi="Times New Roman" w:cs="Times New Roman"/>
                <w:b/>
                <w:bCs/>
                <w:color w:val="000000" w:themeColor="text1"/>
                <w:sz w:val="22"/>
                <w:szCs w:val="22"/>
              </w:rPr>
              <w:t xml:space="preserve"> de Probabilité</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hideMark/>
          </w:tcPr>
          <w:p w14:paraId="5AFA678E" w14:textId="08781401" w:rsidR="00DE241D" w:rsidRPr="00260790" w:rsidRDefault="00EC0E84" w:rsidP="00E20250">
            <w:pPr>
              <w:pStyle w:val="Default"/>
              <w:overflowPunct w:val="0"/>
              <w:jc w:val="center"/>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É</w:t>
            </w:r>
            <w:r w:rsidR="00DE241D" w:rsidRPr="00260790">
              <w:rPr>
                <w:rFonts w:ascii="Times New Roman" w:hAnsi="Times New Roman" w:cs="Times New Roman"/>
                <w:b/>
                <w:bCs/>
                <w:color w:val="000000" w:themeColor="text1"/>
                <w:sz w:val="22"/>
                <w:szCs w:val="22"/>
              </w:rPr>
              <w:t>chelle de gravité</w:t>
            </w:r>
          </w:p>
        </w:tc>
      </w:tr>
      <w:tr w:rsidR="00BD1A2F" w:rsidRPr="00260790" w14:paraId="28ADD607" w14:textId="77777777" w:rsidTr="003A0E4A">
        <w:trPr>
          <w:jc w:val="center"/>
        </w:trPr>
        <w:tc>
          <w:tcPr>
            <w:tcW w:w="1242" w:type="dxa"/>
            <w:tcBorders>
              <w:top w:val="single" w:sz="4" w:space="0" w:color="000000"/>
              <w:left w:val="single" w:sz="4" w:space="0" w:color="000000"/>
              <w:bottom w:val="single" w:sz="4" w:space="0" w:color="000000"/>
              <w:right w:val="single" w:sz="4" w:space="0" w:color="000000"/>
            </w:tcBorders>
            <w:vAlign w:val="center"/>
            <w:hideMark/>
          </w:tcPr>
          <w:p w14:paraId="2E2016FC" w14:textId="77777777" w:rsidR="00DE241D" w:rsidRPr="00260790" w:rsidRDefault="00DE241D" w:rsidP="00E20250">
            <w:pPr>
              <w:pStyle w:val="Default"/>
              <w:overflowPunct w:val="0"/>
              <w:jc w:val="center"/>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Score</w:t>
            </w: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201E9312" w14:textId="77777777" w:rsidR="00DE241D" w:rsidRPr="00260790" w:rsidRDefault="00DE241D" w:rsidP="00E20250">
            <w:pPr>
              <w:pStyle w:val="Default"/>
              <w:overflowPunct w:val="0"/>
              <w:jc w:val="center"/>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Signification</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4FFCE4FE" w14:textId="77777777" w:rsidR="00DE241D" w:rsidRPr="00260790" w:rsidRDefault="00DE241D" w:rsidP="00E20250">
            <w:pPr>
              <w:pStyle w:val="Default"/>
              <w:overflowPunct w:val="0"/>
              <w:jc w:val="center"/>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Score</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33E9BABE" w14:textId="77777777" w:rsidR="00DE241D" w:rsidRPr="00260790" w:rsidRDefault="00DE241D" w:rsidP="00E20250">
            <w:pPr>
              <w:pStyle w:val="Default"/>
              <w:overflowPunct w:val="0"/>
              <w:jc w:val="center"/>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Signification</w:t>
            </w:r>
          </w:p>
        </w:tc>
      </w:tr>
      <w:tr w:rsidR="00BD1A2F" w:rsidRPr="00260790" w14:paraId="668F21F1" w14:textId="77777777" w:rsidTr="003A0E4A">
        <w:trPr>
          <w:jc w:val="center"/>
        </w:trPr>
        <w:tc>
          <w:tcPr>
            <w:tcW w:w="1242" w:type="dxa"/>
            <w:tcBorders>
              <w:top w:val="single" w:sz="4" w:space="0" w:color="000000"/>
              <w:left w:val="single" w:sz="4" w:space="0" w:color="000000"/>
              <w:bottom w:val="single" w:sz="4" w:space="0" w:color="000000"/>
              <w:right w:val="single" w:sz="4" w:space="0" w:color="000000"/>
            </w:tcBorders>
            <w:vAlign w:val="center"/>
            <w:hideMark/>
          </w:tcPr>
          <w:p w14:paraId="2FF89D91" w14:textId="77777777" w:rsidR="00DE241D" w:rsidRPr="00260790" w:rsidRDefault="00DE241D" w:rsidP="00E20250">
            <w:pPr>
              <w:pStyle w:val="Default"/>
              <w:overflowPunct w:val="0"/>
              <w:jc w:val="center"/>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1</w:t>
            </w: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6FC1810A" w14:textId="01A40D0F" w:rsidR="00DE241D" w:rsidRPr="00260790" w:rsidRDefault="00F11A3D" w:rsidP="00E20250">
            <w:pPr>
              <w:pStyle w:val="Default"/>
              <w:overflowPunct w:val="0"/>
              <w:jc w:val="both"/>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Évènement</w:t>
            </w:r>
            <w:r w:rsidR="00DE241D" w:rsidRPr="00260790">
              <w:rPr>
                <w:rFonts w:ascii="Times New Roman" w:hAnsi="Times New Roman" w:cs="Times New Roman"/>
                <w:color w:val="000000" w:themeColor="text1"/>
                <w:sz w:val="22"/>
                <w:szCs w:val="22"/>
              </w:rPr>
              <w:t xml:space="preserve"> se produisant une fois par 10 ans, Très improbable</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6D8053C4" w14:textId="77777777" w:rsidR="00DE241D" w:rsidRPr="00260790" w:rsidRDefault="00DE241D" w:rsidP="00E20250">
            <w:pPr>
              <w:pStyle w:val="Default"/>
              <w:overflowPunct w:val="0"/>
              <w:jc w:val="center"/>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1</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6F1A7F36"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Lésions réversibles, sans AT</w:t>
            </w:r>
          </w:p>
        </w:tc>
      </w:tr>
      <w:tr w:rsidR="00BD1A2F" w:rsidRPr="00260790" w14:paraId="6DE5B3D9" w14:textId="77777777" w:rsidTr="003A0E4A">
        <w:trPr>
          <w:jc w:val="center"/>
        </w:trPr>
        <w:tc>
          <w:tcPr>
            <w:tcW w:w="1242" w:type="dxa"/>
            <w:tcBorders>
              <w:top w:val="single" w:sz="4" w:space="0" w:color="000000"/>
              <w:left w:val="single" w:sz="4" w:space="0" w:color="000000"/>
              <w:bottom w:val="single" w:sz="4" w:space="0" w:color="000000"/>
              <w:right w:val="single" w:sz="4" w:space="0" w:color="000000"/>
            </w:tcBorders>
            <w:vAlign w:val="center"/>
            <w:hideMark/>
          </w:tcPr>
          <w:p w14:paraId="1C1606F9" w14:textId="77777777" w:rsidR="00DE241D" w:rsidRPr="00260790" w:rsidRDefault="00DE241D" w:rsidP="00E20250">
            <w:pPr>
              <w:pStyle w:val="Default"/>
              <w:overflowPunct w:val="0"/>
              <w:jc w:val="center"/>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2</w:t>
            </w: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141651EE" w14:textId="0D95AFC0" w:rsidR="00DE241D" w:rsidRPr="00260790" w:rsidRDefault="00F11A3D" w:rsidP="00E20250">
            <w:pPr>
              <w:pStyle w:val="Default"/>
              <w:overflowPunct w:val="0"/>
              <w:jc w:val="both"/>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Évènement</w:t>
            </w:r>
            <w:r w:rsidR="00DE241D" w:rsidRPr="00260790">
              <w:rPr>
                <w:rFonts w:ascii="Times New Roman" w:hAnsi="Times New Roman" w:cs="Times New Roman"/>
                <w:color w:val="000000" w:themeColor="text1"/>
                <w:sz w:val="22"/>
                <w:szCs w:val="22"/>
              </w:rPr>
              <w:t xml:space="preserve"> se produisant une fois par an, Improbable</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751D846" w14:textId="77777777" w:rsidR="00DE241D" w:rsidRPr="00260790" w:rsidRDefault="00DE241D" w:rsidP="00E20250">
            <w:pPr>
              <w:pStyle w:val="Default"/>
              <w:overflowPunct w:val="0"/>
              <w:jc w:val="center"/>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2</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59E2D3D7"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Lésions réversibles, avec AT</w:t>
            </w:r>
          </w:p>
        </w:tc>
      </w:tr>
      <w:tr w:rsidR="00BD1A2F" w:rsidRPr="00260790" w14:paraId="40C4BFD0" w14:textId="77777777" w:rsidTr="003A0E4A">
        <w:trPr>
          <w:jc w:val="center"/>
        </w:trPr>
        <w:tc>
          <w:tcPr>
            <w:tcW w:w="1242" w:type="dxa"/>
            <w:tcBorders>
              <w:top w:val="single" w:sz="4" w:space="0" w:color="000000"/>
              <w:left w:val="single" w:sz="4" w:space="0" w:color="000000"/>
              <w:bottom w:val="single" w:sz="4" w:space="0" w:color="000000"/>
              <w:right w:val="single" w:sz="4" w:space="0" w:color="000000"/>
            </w:tcBorders>
            <w:vAlign w:val="center"/>
            <w:hideMark/>
          </w:tcPr>
          <w:p w14:paraId="20317662" w14:textId="77777777" w:rsidR="00DE241D" w:rsidRPr="00260790" w:rsidRDefault="00DE241D" w:rsidP="00E20250">
            <w:pPr>
              <w:pStyle w:val="Default"/>
              <w:overflowPunct w:val="0"/>
              <w:jc w:val="center"/>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3</w:t>
            </w: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24974C78" w14:textId="42840E2D" w:rsidR="00DE241D" w:rsidRPr="00260790" w:rsidRDefault="00F11A3D" w:rsidP="00E20250">
            <w:pPr>
              <w:pStyle w:val="Default"/>
              <w:overflowPunct w:val="0"/>
              <w:jc w:val="both"/>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Évènement</w:t>
            </w:r>
            <w:r w:rsidR="00DE241D" w:rsidRPr="00260790">
              <w:rPr>
                <w:rFonts w:ascii="Times New Roman" w:hAnsi="Times New Roman" w:cs="Times New Roman"/>
                <w:color w:val="000000" w:themeColor="text1"/>
                <w:sz w:val="22"/>
                <w:szCs w:val="22"/>
              </w:rPr>
              <w:t xml:space="preserve"> se produisant une fois par mois, Probable</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5B5D5A47" w14:textId="77777777" w:rsidR="00DE241D" w:rsidRPr="00260790" w:rsidRDefault="00DE241D" w:rsidP="00E20250">
            <w:pPr>
              <w:pStyle w:val="Default"/>
              <w:overflowPunct w:val="0"/>
              <w:jc w:val="center"/>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3</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275D48F6"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Lésions irréversible, Incapacité permanente</w:t>
            </w:r>
          </w:p>
        </w:tc>
      </w:tr>
      <w:tr w:rsidR="00BD1A2F" w:rsidRPr="00260790" w14:paraId="13300347" w14:textId="77777777" w:rsidTr="003A0E4A">
        <w:trPr>
          <w:jc w:val="center"/>
        </w:trPr>
        <w:tc>
          <w:tcPr>
            <w:tcW w:w="1242" w:type="dxa"/>
            <w:tcBorders>
              <w:top w:val="single" w:sz="4" w:space="0" w:color="000000"/>
              <w:left w:val="single" w:sz="4" w:space="0" w:color="000000"/>
              <w:bottom w:val="single" w:sz="4" w:space="0" w:color="000000"/>
              <w:right w:val="single" w:sz="4" w:space="0" w:color="000000"/>
            </w:tcBorders>
            <w:vAlign w:val="center"/>
            <w:hideMark/>
          </w:tcPr>
          <w:p w14:paraId="56FF5C1D" w14:textId="77777777" w:rsidR="00DE241D" w:rsidRPr="00260790" w:rsidRDefault="00DE241D" w:rsidP="00E20250">
            <w:pPr>
              <w:pStyle w:val="Default"/>
              <w:overflowPunct w:val="0"/>
              <w:jc w:val="center"/>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4</w:t>
            </w: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1D7D9E4D" w14:textId="5F20A6E1" w:rsidR="00DE241D" w:rsidRPr="00260790" w:rsidRDefault="00F11A3D" w:rsidP="00E20250">
            <w:pPr>
              <w:pStyle w:val="Default"/>
              <w:overflowPunct w:val="0"/>
              <w:jc w:val="both"/>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Évènement</w:t>
            </w:r>
            <w:r w:rsidR="00DE241D" w:rsidRPr="00260790">
              <w:rPr>
                <w:rFonts w:ascii="Times New Roman" w:hAnsi="Times New Roman" w:cs="Times New Roman"/>
                <w:color w:val="000000" w:themeColor="text1"/>
                <w:sz w:val="22"/>
                <w:szCs w:val="22"/>
              </w:rPr>
              <w:t xml:space="preserve"> se produisant une fois par semaine ou plus, Très probable</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72EBAAC" w14:textId="77777777" w:rsidR="00DE241D" w:rsidRPr="00260790" w:rsidRDefault="00DE241D" w:rsidP="00E20250">
            <w:pPr>
              <w:pStyle w:val="Default"/>
              <w:overflowPunct w:val="0"/>
              <w:jc w:val="center"/>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4</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56BC5C5B"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Décès</w:t>
            </w:r>
          </w:p>
        </w:tc>
      </w:tr>
    </w:tbl>
    <w:p w14:paraId="33FA63B4" w14:textId="77777777" w:rsidR="00DE241D" w:rsidRPr="00260790" w:rsidRDefault="00DE241D" w:rsidP="005E61F7">
      <w:pPr>
        <w:spacing w:after="0" w:line="240" w:lineRule="auto"/>
        <w:jc w:val="both"/>
        <w:rPr>
          <w:rFonts w:ascii="Times New Roman" w:hAnsi="Times New Roman"/>
          <w:color w:val="000000" w:themeColor="text1"/>
        </w:rPr>
      </w:pPr>
    </w:p>
    <w:p w14:paraId="27CFD0FA" w14:textId="77777777" w:rsidR="00DE241D" w:rsidRPr="00260790" w:rsidRDefault="00DE241D" w:rsidP="00E20250">
      <w:pPr>
        <w:spacing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La criticité d’un risque R donné est évaluée par la formule : R (risque) = G (gravité) × P (probabilité). La détermination de la criticité d’un risque qui est basée sur une "matrice de criticité" permet de déterminer l’acceptabilité ou non du risque en question et les actions prioritaires ou non correspondantes à entreprendre.</w:t>
      </w:r>
    </w:p>
    <w:p w14:paraId="6A90BF77" w14:textId="77777777" w:rsidR="00DE241D" w:rsidRPr="00260790" w:rsidRDefault="00DE241D" w:rsidP="00E20250">
      <w:pPr>
        <w:spacing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Ces actions prioritaires sont estimées sur une échelle de 1 à 3. </w:t>
      </w:r>
    </w:p>
    <w:p w14:paraId="4E0E1E5B" w14:textId="77777777" w:rsidR="00DE241D" w:rsidRPr="00260790" w:rsidRDefault="00DE241D" w:rsidP="00E20250">
      <w:pPr>
        <w:spacing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Le tableau ci-dessous présente la matrice de criticité des risques environnementaux et sociaux.</w:t>
      </w:r>
    </w:p>
    <w:p w14:paraId="0EAF7901" w14:textId="7F5002C0" w:rsidR="00DE241D" w:rsidRPr="00260790" w:rsidRDefault="00DE241D" w:rsidP="00E20250">
      <w:pPr>
        <w:pStyle w:val="Lgende"/>
        <w:keepNext/>
        <w:spacing w:line="240" w:lineRule="auto"/>
        <w:jc w:val="center"/>
        <w:rPr>
          <w:color w:val="000000" w:themeColor="text1"/>
          <w:sz w:val="22"/>
          <w:szCs w:val="22"/>
        </w:rPr>
      </w:pPr>
      <w:bookmarkStart w:id="600" w:name="_Toc207781865"/>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24</w:t>
      </w:r>
      <w:r w:rsidRPr="00260790">
        <w:rPr>
          <w:color w:val="000000" w:themeColor="text1"/>
          <w:sz w:val="22"/>
          <w:szCs w:val="22"/>
        </w:rPr>
        <w:fldChar w:fldCharType="end"/>
      </w:r>
      <w:r w:rsidRPr="00260790">
        <w:rPr>
          <w:color w:val="000000" w:themeColor="text1"/>
          <w:sz w:val="22"/>
          <w:szCs w:val="22"/>
        </w:rPr>
        <w:t xml:space="preserve"> : Matrice de criticité</w:t>
      </w:r>
      <w:bookmarkEnd w:id="60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461"/>
        <w:gridCol w:w="461"/>
        <w:gridCol w:w="461"/>
        <w:gridCol w:w="461"/>
      </w:tblGrid>
      <w:tr w:rsidR="00BD1A2F" w:rsidRPr="00260790" w14:paraId="19B5FE46" w14:textId="77777777" w:rsidTr="003A0E4A">
        <w:trPr>
          <w:trHeight w:val="242"/>
          <w:jc w:val="center"/>
        </w:trPr>
        <w:tc>
          <w:tcPr>
            <w:tcW w:w="0" w:type="auto"/>
            <w:tcBorders>
              <w:top w:val="single" w:sz="4" w:space="0" w:color="auto"/>
              <w:left w:val="single" w:sz="4" w:space="0" w:color="auto"/>
              <w:bottom w:val="single" w:sz="4" w:space="0" w:color="auto"/>
              <w:right w:val="single" w:sz="4" w:space="0" w:color="auto"/>
            </w:tcBorders>
            <w:vAlign w:val="center"/>
          </w:tcPr>
          <w:p w14:paraId="7CC1DD12"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44B0735"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P1</w:t>
            </w:r>
          </w:p>
        </w:tc>
        <w:tc>
          <w:tcPr>
            <w:tcW w:w="0" w:type="auto"/>
            <w:tcBorders>
              <w:top w:val="single" w:sz="4" w:space="0" w:color="auto"/>
              <w:left w:val="single" w:sz="4" w:space="0" w:color="auto"/>
              <w:bottom w:val="single" w:sz="4" w:space="0" w:color="auto"/>
              <w:right w:val="single" w:sz="4" w:space="0" w:color="auto"/>
            </w:tcBorders>
            <w:vAlign w:val="center"/>
            <w:hideMark/>
          </w:tcPr>
          <w:p w14:paraId="3D6045E9"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P2</w:t>
            </w:r>
          </w:p>
        </w:tc>
        <w:tc>
          <w:tcPr>
            <w:tcW w:w="0" w:type="auto"/>
            <w:tcBorders>
              <w:top w:val="single" w:sz="4" w:space="0" w:color="auto"/>
              <w:left w:val="single" w:sz="4" w:space="0" w:color="auto"/>
              <w:bottom w:val="single" w:sz="4" w:space="0" w:color="auto"/>
              <w:right w:val="single" w:sz="4" w:space="0" w:color="auto"/>
            </w:tcBorders>
            <w:vAlign w:val="center"/>
            <w:hideMark/>
          </w:tcPr>
          <w:p w14:paraId="3166C454"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P3</w:t>
            </w:r>
          </w:p>
        </w:tc>
        <w:tc>
          <w:tcPr>
            <w:tcW w:w="0" w:type="auto"/>
            <w:tcBorders>
              <w:top w:val="single" w:sz="4" w:space="0" w:color="auto"/>
              <w:left w:val="single" w:sz="4" w:space="0" w:color="auto"/>
              <w:bottom w:val="single" w:sz="4" w:space="0" w:color="auto"/>
              <w:right w:val="single" w:sz="4" w:space="0" w:color="auto"/>
            </w:tcBorders>
            <w:vAlign w:val="center"/>
            <w:hideMark/>
          </w:tcPr>
          <w:p w14:paraId="4E868555"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P4</w:t>
            </w:r>
          </w:p>
        </w:tc>
      </w:tr>
      <w:tr w:rsidR="00BD1A2F" w:rsidRPr="00260790" w14:paraId="29BC01E0" w14:textId="77777777" w:rsidTr="003A0E4A">
        <w:trPr>
          <w:trHeight w:val="278"/>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5E88896"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G4</w:t>
            </w:r>
          </w:p>
        </w:tc>
        <w:tc>
          <w:tcPr>
            <w:tcW w:w="0" w:type="auto"/>
            <w:tcBorders>
              <w:top w:val="single" w:sz="4" w:space="0" w:color="auto"/>
              <w:left w:val="single" w:sz="4" w:space="0" w:color="auto"/>
              <w:bottom w:val="single" w:sz="4" w:space="0" w:color="auto"/>
              <w:right w:val="single" w:sz="4" w:space="0" w:color="auto"/>
            </w:tcBorders>
            <w:shd w:val="clear" w:color="auto" w:fill="FFFF00"/>
            <w:hideMark/>
          </w:tcPr>
          <w:p w14:paraId="74CCD56E"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41</w:t>
            </w:r>
          </w:p>
        </w:tc>
        <w:tc>
          <w:tcPr>
            <w:tcW w:w="0" w:type="auto"/>
            <w:tcBorders>
              <w:top w:val="single" w:sz="4" w:space="0" w:color="auto"/>
              <w:left w:val="single" w:sz="4" w:space="0" w:color="auto"/>
              <w:bottom w:val="single" w:sz="4" w:space="0" w:color="auto"/>
              <w:right w:val="single" w:sz="4" w:space="0" w:color="auto"/>
            </w:tcBorders>
            <w:shd w:val="clear" w:color="auto" w:fill="FFFF00"/>
            <w:hideMark/>
          </w:tcPr>
          <w:p w14:paraId="7124CF60"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42</w:t>
            </w:r>
          </w:p>
        </w:tc>
        <w:tc>
          <w:tcPr>
            <w:tcW w:w="0" w:type="auto"/>
            <w:tcBorders>
              <w:top w:val="single" w:sz="4" w:space="0" w:color="auto"/>
              <w:left w:val="single" w:sz="4" w:space="0" w:color="auto"/>
              <w:bottom w:val="single" w:sz="4" w:space="0" w:color="auto"/>
              <w:right w:val="single" w:sz="4" w:space="0" w:color="auto"/>
            </w:tcBorders>
            <w:shd w:val="clear" w:color="auto" w:fill="FF0000"/>
            <w:hideMark/>
          </w:tcPr>
          <w:p w14:paraId="2C347DCD"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43</w:t>
            </w:r>
          </w:p>
        </w:tc>
        <w:tc>
          <w:tcPr>
            <w:tcW w:w="0" w:type="auto"/>
            <w:tcBorders>
              <w:top w:val="single" w:sz="4" w:space="0" w:color="auto"/>
              <w:left w:val="single" w:sz="4" w:space="0" w:color="auto"/>
              <w:bottom w:val="single" w:sz="4" w:space="0" w:color="auto"/>
              <w:right w:val="single" w:sz="4" w:space="0" w:color="auto"/>
            </w:tcBorders>
            <w:shd w:val="clear" w:color="auto" w:fill="FF0000"/>
            <w:hideMark/>
          </w:tcPr>
          <w:p w14:paraId="74CAF8E9"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44</w:t>
            </w:r>
          </w:p>
        </w:tc>
      </w:tr>
      <w:tr w:rsidR="00BD1A2F" w:rsidRPr="00260790" w14:paraId="38FB633E" w14:textId="77777777" w:rsidTr="003A0E4A">
        <w:trPr>
          <w:trHeight w:val="1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CA0B256"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G3</w:t>
            </w:r>
          </w:p>
        </w:tc>
        <w:tc>
          <w:tcPr>
            <w:tcW w:w="0" w:type="auto"/>
            <w:tcBorders>
              <w:top w:val="single" w:sz="4" w:space="0" w:color="auto"/>
              <w:left w:val="single" w:sz="4" w:space="0" w:color="auto"/>
              <w:bottom w:val="single" w:sz="4" w:space="0" w:color="auto"/>
              <w:right w:val="single" w:sz="4" w:space="0" w:color="auto"/>
            </w:tcBorders>
            <w:shd w:val="clear" w:color="auto" w:fill="00FF00"/>
            <w:hideMark/>
          </w:tcPr>
          <w:p w14:paraId="2BE65D6B"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31</w:t>
            </w:r>
          </w:p>
        </w:tc>
        <w:tc>
          <w:tcPr>
            <w:tcW w:w="0" w:type="auto"/>
            <w:tcBorders>
              <w:top w:val="single" w:sz="4" w:space="0" w:color="auto"/>
              <w:left w:val="single" w:sz="4" w:space="0" w:color="auto"/>
              <w:bottom w:val="single" w:sz="4" w:space="0" w:color="auto"/>
              <w:right w:val="single" w:sz="4" w:space="0" w:color="auto"/>
            </w:tcBorders>
            <w:shd w:val="clear" w:color="auto" w:fill="FFFF00"/>
            <w:hideMark/>
          </w:tcPr>
          <w:p w14:paraId="3F9A92FC"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32</w:t>
            </w:r>
          </w:p>
        </w:tc>
        <w:tc>
          <w:tcPr>
            <w:tcW w:w="0" w:type="auto"/>
            <w:tcBorders>
              <w:top w:val="single" w:sz="4" w:space="0" w:color="auto"/>
              <w:left w:val="single" w:sz="4" w:space="0" w:color="auto"/>
              <w:bottom w:val="single" w:sz="4" w:space="0" w:color="auto"/>
              <w:right w:val="single" w:sz="4" w:space="0" w:color="auto"/>
            </w:tcBorders>
            <w:shd w:val="clear" w:color="auto" w:fill="FF0000"/>
            <w:hideMark/>
          </w:tcPr>
          <w:p w14:paraId="2805A178"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33</w:t>
            </w:r>
          </w:p>
        </w:tc>
        <w:tc>
          <w:tcPr>
            <w:tcW w:w="0" w:type="auto"/>
            <w:tcBorders>
              <w:top w:val="single" w:sz="4" w:space="0" w:color="auto"/>
              <w:left w:val="single" w:sz="4" w:space="0" w:color="auto"/>
              <w:bottom w:val="single" w:sz="4" w:space="0" w:color="auto"/>
              <w:right w:val="single" w:sz="4" w:space="0" w:color="auto"/>
            </w:tcBorders>
            <w:shd w:val="clear" w:color="auto" w:fill="FF0000"/>
            <w:hideMark/>
          </w:tcPr>
          <w:p w14:paraId="7B103CDA"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34</w:t>
            </w:r>
          </w:p>
        </w:tc>
      </w:tr>
      <w:tr w:rsidR="00BD1A2F" w:rsidRPr="00260790" w14:paraId="07AA773C" w14:textId="77777777" w:rsidTr="003A0E4A">
        <w:trPr>
          <w:trHeight w:val="15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F1B18AB"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G2</w:t>
            </w:r>
          </w:p>
        </w:tc>
        <w:tc>
          <w:tcPr>
            <w:tcW w:w="0" w:type="auto"/>
            <w:tcBorders>
              <w:top w:val="single" w:sz="4" w:space="0" w:color="auto"/>
              <w:left w:val="single" w:sz="4" w:space="0" w:color="auto"/>
              <w:bottom w:val="single" w:sz="4" w:space="0" w:color="auto"/>
              <w:right w:val="single" w:sz="4" w:space="0" w:color="auto"/>
            </w:tcBorders>
            <w:shd w:val="clear" w:color="auto" w:fill="00FF00"/>
            <w:hideMark/>
          </w:tcPr>
          <w:p w14:paraId="6D8E151C"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21</w:t>
            </w:r>
          </w:p>
        </w:tc>
        <w:tc>
          <w:tcPr>
            <w:tcW w:w="0" w:type="auto"/>
            <w:tcBorders>
              <w:top w:val="single" w:sz="4" w:space="0" w:color="auto"/>
              <w:left w:val="single" w:sz="4" w:space="0" w:color="auto"/>
              <w:bottom w:val="single" w:sz="4" w:space="0" w:color="auto"/>
              <w:right w:val="single" w:sz="4" w:space="0" w:color="auto"/>
            </w:tcBorders>
            <w:shd w:val="clear" w:color="auto" w:fill="FFFF00"/>
            <w:hideMark/>
          </w:tcPr>
          <w:p w14:paraId="7ECCCDD3"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22</w:t>
            </w:r>
          </w:p>
        </w:tc>
        <w:tc>
          <w:tcPr>
            <w:tcW w:w="0" w:type="auto"/>
            <w:tcBorders>
              <w:top w:val="single" w:sz="4" w:space="0" w:color="auto"/>
              <w:left w:val="single" w:sz="4" w:space="0" w:color="auto"/>
              <w:bottom w:val="single" w:sz="4" w:space="0" w:color="auto"/>
              <w:right w:val="single" w:sz="4" w:space="0" w:color="auto"/>
            </w:tcBorders>
            <w:shd w:val="clear" w:color="auto" w:fill="FFFF00"/>
            <w:hideMark/>
          </w:tcPr>
          <w:p w14:paraId="12012532"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23</w:t>
            </w:r>
          </w:p>
        </w:tc>
        <w:tc>
          <w:tcPr>
            <w:tcW w:w="0" w:type="auto"/>
            <w:tcBorders>
              <w:top w:val="single" w:sz="4" w:space="0" w:color="auto"/>
              <w:left w:val="single" w:sz="4" w:space="0" w:color="auto"/>
              <w:bottom w:val="single" w:sz="4" w:space="0" w:color="auto"/>
              <w:right w:val="single" w:sz="4" w:space="0" w:color="auto"/>
            </w:tcBorders>
            <w:shd w:val="clear" w:color="auto" w:fill="FFFF00"/>
            <w:hideMark/>
          </w:tcPr>
          <w:p w14:paraId="50FCA749"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24</w:t>
            </w:r>
          </w:p>
        </w:tc>
      </w:tr>
      <w:tr w:rsidR="00BD1A2F" w:rsidRPr="00260790" w14:paraId="38A60218" w14:textId="77777777" w:rsidTr="003A0E4A">
        <w:trPr>
          <w:trHeight w:val="58"/>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1ACF8DD"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G1</w:t>
            </w:r>
          </w:p>
        </w:tc>
        <w:tc>
          <w:tcPr>
            <w:tcW w:w="0" w:type="auto"/>
            <w:tcBorders>
              <w:top w:val="single" w:sz="4" w:space="0" w:color="auto"/>
              <w:left w:val="single" w:sz="4" w:space="0" w:color="auto"/>
              <w:bottom w:val="single" w:sz="4" w:space="0" w:color="auto"/>
              <w:right w:val="single" w:sz="4" w:space="0" w:color="auto"/>
            </w:tcBorders>
            <w:shd w:val="clear" w:color="auto" w:fill="00FF00"/>
            <w:vAlign w:val="center"/>
            <w:hideMark/>
          </w:tcPr>
          <w:p w14:paraId="53D3F560"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11</w:t>
            </w:r>
          </w:p>
        </w:tc>
        <w:tc>
          <w:tcPr>
            <w:tcW w:w="0" w:type="auto"/>
            <w:tcBorders>
              <w:top w:val="single" w:sz="4" w:space="0" w:color="auto"/>
              <w:left w:val="single" w:sz="4" w:space="0" w:color="auto"/>
              <w:bottom w:val="single" w:sz="4" w:space="0" w:color="auto"/>
              <w:right w:val="single" w:sz="4" w:space="0" w:color="auto"/>
            </w:tcBorders>
            <w:shd w:val="clear" w:color="auto" w:fill="00FF00"/>
            <w:vAlign w:val="center"/>
            <w:hideMark/>
          </w:tcPr>
          <w:p w14:paraId="05793B78"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12</w:t>
            </w:r>
          </w:p>
        </w:tc>
        <w:tc>
          <w:tcPr>
            <w:tcW w:w="0" w:type="auto"/>
            <w:tcBorders>
              <w:top w:val="single" w:sz="4" w:space="0" w:color="auto"/>
              <w:left w:val="single" w:sz="4" w:space="0" w:color="auto"/>
              <w:bottom w:val="single" w:sz="4" w:space="0" w:color="auto"/>
              <w:right w:val="single" w:sz="4" w:space="0" w:color="auto"/>
            </w:tcBorders>
            <w:shd w:val="clear" w:color="auto" w:fill="00FF00"/>
            <w:vAlign w:val="center"/>
            <w:hideMark/>
          </w:tcPr>
          <w:p w14:paraId="16EB2B09"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13</w:t>
            </w:r>
          </w:p>
        </w:tc>
        <w:tc>
          <w:tcPr>
            <w:tcW w:w="0" w:type="auto"/>
            <w:tcBorders>
              <w:top w:val="single" w:sz="4" w:space="0" w:color="auto"/>
              <w:left w:val="single" w:sz="4" w:space="0" w:color="auto"/>
              <w:bottom w:val="single" w:sz="4" w:space="0" w:color="auto"/>
              <w:right w:val="single" w:sz="4" w:space="0" w:color="auto"/>
            </w:tcBorders>
            <w:shd w:val="clear" w:color="auto" w:fill="00FF00"/>
            <w:vAlign w:val="center"/>
            <w:hideMark/>
          </w:tcPr>
          <w:p w14:paraId="56DEB3D6"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14</w:t>
            </w:r>
          </w:p>
        </w:tc>
      </w:tr>
    </w:tbl>
    <w:p w14:paraId="53AB1508" w14:textId="77777777" w:rsidR="00DE241D" w:rsidRPr="00260790" w:rsidRDefault="00DE241D" w:rsidP="00E20250">
      <w:pPr>
        <w:pStyle w:val="Lgende"/>
        <w:spacing w:after="0" w:line="240" w:lineRule="auto"/>
        <w:rPr>
          <w:color w:val="000000" w:themeColor="text1"/>
          <w:sz w:val="22"/>
          <w:szCs w:val="22"/>
        </w:rPr>
      </w:pPr>
    </w:p>
    <w:p w14:paraId="3B6CD8AA" w14:textId="77777777" w:rsidR="005E61F7" w:rsidRPr="00260790" w:rsidRDefault="005E61F7">
      <w:pPr>
        <w:spacing w:line="259" w:lineRule="auto"/>
        <w:rPr>
          <w:rFonts w:ascii="Times New Roman" w:hAnsi="Times New Roman"/>
          <w:b/>
          <w:color w:val="000000" w:themeColor="text1"/>
        </w:rPr>
      </w:pPr>
      <w:r w:rsidRPr="00260790">
        <w:rPr>
          <w:rFonts w:ascii="Times New Roman" w:hAnsi="Times New Roman"/>
          <w:b/>
          <w:color w:val="000000" w:themeColor="text1"/>
        </w:rPr>
        <w:br w:type="page"/>
      </w:r>
    </w:p>
    <w:p w14:paraId="6552A43A" w14:textId="7951350B" w:rsidR="00DE241D" w:rsidRPr="00260790" w:rsidRDefault="00DE241D" w:rsidP="00E20250">
      <w:pPr>
        <w:spacing w:line="240" w:lineRule="auto"/>
        <w:ind w:right="170"/>
        <w:jc w:val="both"/>
        <w:rPr>
          <w:rFonts w:ascii="Times New Roman" w:hAnsi="Times New Roman"/>
          <w:b/>
          <w:color w:val="000000" w:themeColor="text1"/>
        </w:rPr>
      </w:pPr>
      <w:r w:rsidRPr="00260790">
        <w:rPr>
          <w:rFonts w:ascii="Times New Roman" w:hAnsi="Times New Roman"/>
          <w:b/>
          <w:color w:val="000000" w:themeColor="text1"/>
        </w:rPr>
        <w:lastRenderedPageBreak/>
        <w:t>Signification des couleurs</w:t>
      </w:r>
    </w:p>
    <w:p w14:paraId="2E733A7C" w14:textId="77777777" w:rsidR="00DE241D" w:rsidRPr="00260790" w:rsidRDefault="00DE241D" w:rsidP="00E20250">
      <w:pPr>
        <w:spacing w:line="240" w:lineRule="auto"/>
        <w:ind w:right="170"/>
        <w:jc w:val="both"/>
        <w:rPr>
          <w:rFonts w:ascii="Times New Roman" w:hAnsi="Times New Roman"/>
          <w:bCs/>
          <w:color w:val="000000" w:themeColor="text1"/>
        </w:rPr>
      </w:pPr>
      <w:r w:rsidRPr="00260790">
        <w:rPr>
          <w:rFonts w:ascii="Times New Roman" w:hAnsi="Times New Roman"/>
          <w:bCs/>
          <w:color w:val="000000" w:themeColor="text1"/>
        </w:rPr>
        <w:t>Dans ce qui suit :</w:t>
      </w:r>
    </w:p>
    <w:p w14:paraId="159772BA" w14:textId="759AD092" w:rsidR="00DE241D" w:rsidRPr="00260790" w:rsidRDefault="00DE241D" w:rsidP="001748C6">
      <w:pPr>
        <w:pStyle w:val="Paragraphedeliste"/>
        <w:numPr>
          <w:ilvl w:val="0"/>
          <w:numId w:val="280"/>
        </w:numPr>
        <w:spacing w:after="20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Un risque très limité est illustré par couleur verte. Les actions à entreprendre pour ce type de risque sont du troisième ordre (intervention non urgente pouvant se faire à moyen à long terme) ;</w:t>
      </w:r>
    </w:p>
    <w:p w14:paraId="6E190E94" w14:textId="1E9AB456" w:rsidR="00DE241D" w:rsidRPr="00260790" w:rsidRDefault="00DE241D" w:rsidP="001748C6">
      <w:pPr>
        <w:pStyle w:val="Paragraphedeliste"/>
        <w:numPr>
          <w:ilvl w:val="0"/>
          <w:numId w:val="280"/>
        </w:numPr>
        <w:spacing w:after="20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Un risque important est illustré par la couleur jaune. Les actions à </w:t>
      </w:r>
      <w:r w:rsidR="004D6419" w:rsidRPr="00260790">
        <w:rPr>
          <w:rFonts w:ascii="Times New Roman" w:eastAsia="Times New Roman" w:hAnsi="Times New Roman"/>
          <w:color w:val="000000" w:themeColor="text1"/>
        </w:rPr>
        <w:t>entre</w:t>
      </w:r>
      <w:r w:rsidRPr="00260790">
        <w:rPr>
          <w:rFonts w:ascii="Times New Roman" w:eastAsia="Times New Roman" w:hAnsi="Times New Roman"/>
          <w:color w:val="000000" w:themeColor="text1"/>
        </w:rPr>
        <w:t xml:space="preserve">prendre sont </w:t>
      </w:r>
      <w:r w:rsidR="004D6419" w:rsidRPr="00260790">
        <w:rPr>
          <w:rFonts w:ascii="Times New Roman" w:eastAsia="Times New Roman" w:hAnsi="Times New Roman"/>
          <w:color w:val="000000" w:themeColor="text1"/>
        </w:rPr>
        <w:t xml:space="preserve">de </w:t>
      </w:r>
      <w:r w:rsidRPr="00260790">
        <w:rPr>
          <w:rFonts w:ascii="Times New Roman" w:eastAsia="Times New Roman" w:hAnsi="Times New Roman"/>
          <w:color w:val="000000" w:themeColor="text1"/>
        </w:rPr>
        <w:t>second ordre (intervention à court ou moyen terme) ;</w:t>
      </w:r>
    </w:p>
    <w:p w14:paraId="525128C5" w14:textId="1575E7A2" w:rsidR="00DE241D" w:rsidRPr="00260790" w:rsidRDefault="00DE241D" w:rsidP="001748C6">
      <w:pPr>
        <w:pStyle w:val="Paragraphedeliste"/>
        <w:numPr>
          <w:ilvl w:val="0"/>
          <w:numId w:val="280"/>
        </w:numPr>
        <w:spacing w:after="20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Un risque élevé et donc inacceptable nécessite un</w:t>
      </w:r>
      <w:r w:rsidR="004429F9" w:rsidRPr="00260790">
        <w:rPr>
          <w:rFonts w:ascii="Times New Roman" w:eastAsia="Times New Roman" w:hAnsi="Times New Roman"/>
          <w:color w:val="000000" w:themeColor="text1"/>
        </w:rPr>
        <w:t>e ré</w:t>
      </w:r>
      <w:r w:rsidRPr="00260790">
        <w:rPr>
          <w:rFonts w:ascii="Times New Roman" w:eastAsia="Times New Roman" w:hAnsi="Times New Roman"/>
          <w:color w:val="000000" w:themeColor="text1"/>
        </w:rPr>
        <w:t>action</w:t>
      </w:r>
      <w:r w:rsidR="004429F9" w:rsidRPr="00260790">
        <w:rPr>
          <w:rFonts w:ascii="Times New Roman" w:eastAsia="Times New Roman" w:hAnsi="Times New Roman"/>
          <w:color w:val="000000" w:themeColor="text1"/>
        </w:rPr>
        <w:t xml:space="preserve"> de</w:t>
      </w:r>
      <w:r w:rsidRPr="00260790">
        <w:rPr>
          <w:rFonts w:ascii="Times New Roman" w:eastAsia="Times New Roman" w:hAnsi="Times New Roman"/>
          <w:color w:val="000000" w:themeColor="text1"/>
        </w:rPr>
        <w:t xml:space="preserve"> premi</w:t>
      </w:r>
      <w:r w:rsidR="004429F9" w:rsidRPr="00260790">
        <w:rPr>
          <w:rFonts w:ascii="Times New Roman" w:eastAsia="Times New Roman" w:hAnsi="Times New Roman"/>
          <w:color w:val="000000" w:themeColor="text1"/>
        </w:rPr>
        <w:t>er</w:t>
      </w:r>
      <w:r w:rsidRPr="00260790">
        <w:rPr>
          <w:rFonts w:ascii="Times New Roman" w:eastAsia="Times New Roman" w:hAnsi="Times New Roman"/>
          <w:color w:val="000000" w:themeColor="text1"/>
        </w:rPr>
        <w:t xml:space="preserve"> ordre (intervention immédiate).  </w:t>
      </w:r>
    </w:p>
    <w:p w14:paraId="0E95E1B7" w14:textId="77777777" w:rsidR="00DE241D" w:rsidRPr="00260790" w:rsidRDefault="00DE241D" w:rsidP="00E20250">
      <w:pPr>
        <w:pStyle w:val="Lgende"/>
        <w:keepNext/>
        <w:spacing w:line="240" w:lineRule="auto"/>
        <w:rPr>
          <w:b/>
          <w:bCs/>
          <w:color w:val="000000" w:themeColor="text1"/>
          <w:sz w:val="22"/>
          <w:szCs w:val="22"/>
        </w:rPr>
      </w:pPr>
      <w:r w:rsidRPr="00260790">
        <w:rPr>
          <w:color w:val="000000" w:themeColor="text1"/>
          <w:sz w:val="22"/>
          <w:szCs w:val="22"/>
        </w:rPr>
        <w:t>Le tableau qui suit explique la signification des couleurs utilisées au tableau 38.</w:t>
      </w:r>
    </w:p>
    <w:tbl>
      <w:tblPr>
        <w:tblpPr w:leftFromText="141" w:rightFromText="141" w:vertAnchor="text" w:horzAnchor="page" w:tblpX="3889" w:tblpY="312"/>
        <w:tblOverlap w:val="never"/>
        <w:tblW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6"/>
        <w:gridCol w:w="3830"/>
      </w:tblGrid>
      <w:tr w:rsidR="00BD1A2F" w:rsidRPr="00260790" w14:paraId="5BF43138" w14:textId="77777777" w:rsidTr="003A0E4A">
        <w:trPr>
          <w:trHeight w:val="347"/>
        </w:trPr>
        <w:tc>
          <w:tcPr>
            <w:tcW w:w="276" w:type="dxa"/>
            <w:tcBorders>
              <w:top w:val="single" w:sz="4" w:space="0" w:color="auto"/>
              <w:left w:val="single" w:sz="4" w:space="0" w:color="auto"/>
              <w:bottom w:val="single" w:sz="4" w:space="0" w:color="auto"/>
              <w:right w:val="single" w:sz="4" w:space="0" w:color="auto"/>
            </w:tcBorders>
            <w:shd w:val="clear" w:color="auto" w:fill="FF0000"/>
            <w:noWrap/>
            <w:vAlign w:val="bottom"/>
            <w:hideMark/>
          </w:tcPr>
          <w:p w14:paraId="2700DC49"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 </w:t>
            </w:r>
          </w:p>
        </w:tc>
        <w:tc>
          <w:tcPr>
            <w:tcW w:w="3830" w:type="dxa"/>
            <w:tcBorders>
              <w:top w:val="single" w:sz="4" w:space="0" w:color="auto"/>
              <w:left w:val="single" w:sz="4" w:space="0" w:color="auto"/>
              <w:bottom w:val="single" w:sz="4" w:space="0" w:color="auto"/>
              <w:right w:val="single" w:sz="4" w:space="0" w:color="auto"/>
            </w:tcBorders>
            <w:noWrap/>
            <w:vAlign w:val="center"/>
            <w:hideMark/>
          </w:tcPr>
          <w:p w14:paraId="670F95D6"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Risque élevé avec Actions à Priorité 1</w:t>
            </w:r>
          </w:p>
        </w:tc>
      </w:tr>
      <w:tr w:rsidR="00BD1A2F" w:rsidRPr="00260790" w14:paraId="735A15A9" w14:textId="77777777" w:rsidTr="003A0E4A">
        <w:trPr>
          <w:trHeight w:val="343"/>
        </w:trPr>
        <w:tc>
          <w:tcPr>
            <w:tcW w:w="276"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42112290"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 </w:t>
            </w:r>
          </w:p>
        </w:tc>
        <w:tc>
          <w:tcPr>
            <w:tcW w:w="3830" w:type="dxa"/>
            <w:tcBorders>
              <w:top w:val="single" w:sz="4" w:space="0" w:color="auto"/>
              <w:left w:val="single" w:sz="4" w:space="0" w:color="auto"/>
              <w:bottom w:val="single" w:sz="4" w:space="0" w:color="auto"/>
              <w:right w:val="single" w:sz="4" w:space="0" w:color="auto"/>
            </w:tcBorders>
            <w:noWrap/>
            <w:vAlign w:val="center"/>
            <w:hideMark/>
          </w:tcPr>
          <w:p w14:paraId="2667B366"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Risque important avec Priorité 2</w:t>
            </w:r>
          </w:p>
        </w:tc>
      </w:tr>
      <w:tr w:rsidR="00BD1A2F" w:rsidRPr="00260790" w14:paraId="50ED5E53" w14:textId="77777777" w:rsidTr="003A0E4A">
        <w:trPr>
          <w:trHeight w:val="58"/>
        </w:trPr>
        <w:tc>
          <w:tcPr>
            <w:tcW w:w="276" w:type="dxa"/>
            <w:tcBorders>
              <w:top w:val="single" w:sz="4" w:space="0" w:color="auto"/>
              <w:left w:val="single" w:sz="4" w:space="0" w:color="auto"/>
              <w:bottom w:val="single" w:sz="4" w:space="0" w:color="auto"/>
              <w:right w:val="single" w:sz="4" w:space="0" w:color="auto"/>
            </w:tcBorders>
            <w:shd w:val="clear" w:color="auto" w:fill="00FF00"/>
            <w:noWrap/>
            <w:vAlign w:val="bottom"/>
            <w:hideMark/>
          </w:tcPr>
          <w:p w14:paraId="61FDEAC8"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 </w:t>
            </w:r>
          </w:p>
        </w:tc>
        <w:tc>
          <w:tcPr>
            <w:tcW w:w="3830" w:type="dxa"/>
            <w:tcBorders>
              <w:top w:val="single" w:sz="4" w:space="0" w:color="auto"/>
              <w:left w:val="single" w:sz="4" w:space="0" w:color="auto"/>
              <w:bottom w:val="single" w:sz="4" w:space="0" w:color="auto"/>
              <w:right w:val="single" w:sz="4" w:space="0" w:color="auto"/>
            </w:tcBorders>
            <w:noWrap/>
            <w:vAlign w:val="center"/>
            <w:hideMark/>
          </w:tcPr>
          <w:p w14:paraId="6524D432" w14:textId="6743E0FB"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Risque faible avec Priorité 3</w:t>
            </w:r>
          </w:p>
        </w:tc>
      </w:tr>
    </w:tbl>
    <w:p w14:paraId="3D488007" w14:textId="59B514A1" w:rsidR="00DE241D" w:rsidRPr="00260790" w:rsidRDefault="00DE241D" w:rsidP="00E20250">
      <w:pPr>
        <w:pStyle w:val="Lgende"/>
        <w:keepNext/>
        <w:spacing w:line="240" w:lineRule="auto"/>
        <w:jc w:val="center"/>
        <w:rPr>
          <w:color w:val="000000" w:themeColor="text1"/>
          <w:sz w:val="22"/>
          <w:szCs w:val="22"/>
        </w:rPr>
      </w:pPr>
      <w:r w:rsidRPr="00260790">
        <w:rPr>
          <w:color w:val="000000" w:themeColor="text1"/>
          <w:sz w:val="22"/>
          <w:szCs w:val="22"/>
        </w:rPr>
        <w:t xml:space="preserve"> </w:t>
      </w:r>
      <w:bookmarkStart w:id="601" w:name="_Toc207781866"/>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25</w:t>
      </w:r>
      <w:r w:rsidRPr="00260790">
        <w:rPr>
          <w:color w:val="000000" w:themeColor="text1"/>
          <w:sz w:val="22"/>
          <w:szCs w:val="22"/>
        </w:rPr>
        <w:fldChar w:fldCharType="end"/>
      </w:r>
      <w:r w:rsidRPr="00260790">
        <w:rPr>
          <w:color w:val="000000" w:themeColor="text1"/>
          <w:sz w:val="22"/>
          <w:szCs w:val="22"/>
        </w:rPr>
        <w:t> : signification des couleurs</w:t>
      </w:r>
      <w:bookmarkEnd w:id="601"/>
    </w:p>
    <w:p w14:paraId="21645946" w14:textId="77777777" w:rsidR="00DE241D" w:rsidRPr="00260790" w:rsidRDefault="00DE241D" w:rsidP="00E20250">
      <w:pPr>
        <w:spacing w:line="240" w:lineRule="auto"/>
        <w:rPr>
          <w:rFonts w:ascii="Times New Roman" w:hAnsi="Times New Roman"/>
          <w:color w:val="000000" w:themeColor="text1"/>
        </w:rPr>
      </w:pPr>
    </w:p>
    <w:p w14:paraId="21C185E8" w14:textId="77777777" w:rsidR="00DE241D" w:rsidRPr="00260790" w:rsidRDefault="00DE241D" w:rsidP="00E20250">
      <w:pPr>
        <w:spacing w:line="240" w:lineRule="auto"/>
        <w:rPr>
          <w:rFonts w:ascii="Times New Roman" w:hAnsi="Times New Roman"/>
          <w:color w:val="000000" w:themeColor="text1"/>
        </w:rPr>
      </w:pPr>
    </w:p>
    <w:p w14:paraId="08F6756D" w14:textId="77777777" w:rsidR="00DE241D" w:rsidRPr="00260790" w:rsidRDefault="00DE241D" w:rsidP="00E20250">
      <w:pPr>
        <w:spacing w:line="240" w:lineRule="auto"/>
        <w:rPr>
          <w:rFonts w:ascii="Times New Roman" w:hAnsi="Times New Roman"/>
          <w:color w:val="000000" w:themeColor="text1"/>
        </w:rPr>
      </w:pPr>
    </w:p>
    <w:p w14:paraId="72039E87" w14:textId="13EEA28C" w:rsidR="00DE241D" w:rsidRPr="00260790" w:rsidRDefault="00DE241D" w:rsidP="00E20250">
      <w:pPr>
        <w:spacing w:line="240" w:lineRule="auto"/>
        <w:rPr>
          <w:rFonts w:ascii="Times New Roman" w:hAnsi="Times New Roman"/>
          <w:color w:val="000000" w:themeColor="text1"/>
        </w:rPr>
      </w:pPr>
      <w:r w:rsidRPr="00260790">
        <w:rPr>
          <w:rFonts w:ascii="Times New Roman" w:hAnsi="Times New Roman"/>
          <w:color w:val="000000" w:themeColor="text1"/>
        </w:rPr>
        <w:t>Le tableau qui suit présente le format de la grille de synthèse de l’analyse des risques.</w:t>
      </w:r>
    </w:p>
    <w:p w14:paraId="73CFE904" w14:textId="3B8454E2" w:rsidR="00DE241D" w:rsidRPr="00260790" w:rsidRDefault="00DE241D" w:rsidP="00E20250">
      <w:pPr>
        <w:pStyle w:val="Lgende"/>
        <w:keepNext/>
        <w:spacing w:line="240" w:lineRule="auto"/>
        <w:rPr>
          <w:b/>
          <w:color w:val="000000" w:themeColor="text1"/>
          <w:sz w:val="22"/>
          <w:szCs w:val="22"/>
        </w:rPr>
      </w:pPr>
      <w:bookmarkStart w:id="602" w:name="_Toc207781867"/>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26</w:t>
      </w:r>
      <w:r w:rsidRPr="00260790">
        <w:rPr>
          <w:color w:val="000000" w:themeColor="text1"/>
          <w:sz w:val="22"/>
          <w:szCs w:val="22"/>
        </w:rPr>
        <w:fldChar w:fldCharType="end"/>
      </w:r>
      <w:r w:rsidRPr="00260790">
        <w:rPr>
          <w:color w:val="000000" w:themeColor="text1"/>
          <w:sz w:val="22"/>
          <w:szCs w:val="22"/>
        </w:rPr>
        <w:t xml:space="preserve"> :  Outil d’évaluation des risques</w:t>
      </w:r>
      <w:bookmarkEnd w:id="602"/>
      <w:r w:rsidRPr="00260790">
        <w:rPr>
          <w:color w:val="000000" w:themeColor="text1"/>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298"/>
        <w:gridCol w:w="2538"/>
        <w:gridCol w:w="1261"/>
        <w:gridCol w:w="16"/>
        <w:gridCol w:w="969"/>
        <w:gridCol w:w="16"/>
        <w:gridCol w:w="1152"/>
        <w:gridCol w:w="1810"/>
      </w:tblGrid>
      <w:tr w:rsidR="00BD1A2F" w:rsidRPr="00260790" w14:paraId="3571C2FD" w14:textId="77777777" w:rsidTr="003A0E4A">
        <w:trPr>
          <w:tblHeader/>
        </w:trPr>
        <w:tc>
          <w:tcPr>
            <w:tcW w:w="5000" w:type="pct"/>
            <w:gridSpan w:val="8"/>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0A2B2D33"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 xml:space="preserve"> Intitulé du risque </w:t>
            </w:r>
          </w:p>
        </w:tc>
      </w:tr>
      <w:tr w:rsidR="00BD1A2F" w:rsidRPr="00260790" w14:paraId="3288896B" w14:textId="77777777" w:rsidTr="003A0E4A">
        <w:trPr>
          <w:tblHeader/>
        </w:trPr>
        <w:tc>
          <w:tcPr>
            <w:tcW w:w="5000" w:type="pct"/>
            <w:gridSpan w:val="8"/>
            <w:tcBorders>
              <w:top w:val="single" w:sz="4" w:space="0" w:color="auto"/>
              <w:left w:val="single" w:sz="4" w:space="0" w:color="auto"/>
              <w:bottom w:val="single" w:sz="4" w:space="0" w:color="auto"/>
              <w:right w:val="single" w:sz="4" w:space="0" w:color="auto"/>
            </w:tcBorders>
            <w:hideMark/>
          </w:tcPr>
          <w:p w14:paraId="685225FF"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 xml:space="preserve">Activités source : </w:t>
            </w:r>
          </w:p>
        </w:tc>
      </w:tr>
      <w:tr w:rsidR="00BD1A2F" w:rsidRPr="00260790" w14:paraId="012DACAC" w14:textId="77777777" w:rsidTr="003A0E4A">
        <w:trPr>
          <w:tblHeader/>
        </w:trPr>
        <w:tc>
          <w:tcPr>
            <w:tcW w:w="716" w:type="pct"/>
            <w:tcBorders>
              <w:top w:val="single" w:sz="4" w:space="0" w:color="auto"/>
              <w:left w:val="single" w:sz="4" w:space="0" w:color="auto"/>
              <w:bottom w:val="single" w:sz="4" w:space="0" w:color="auto"/>
              <w:right w:val="single" w:sz="4" w:space="0" w:color="auto"/>
            </w:tcBorders>
          </w:tcPr>
          <w:p w14:paraId="3B0CA949"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p>
        </w:tc>
        <w:tc>
          <w:tcPr>
            <w:tcW w:w="1400" w:type="pct"/>
            <w:tcBorders>
              <w:top w:val="single" w:sz="4" w:space="0" w:color="auto"/>
              <w:left w:val="single" w:sz="4" w:space="0" w:color="auto"/>
              <w:bottom w:val="single" w:sz="4" w:space="0" w:color="auto"/>
              <w:right w:val="single" w:sz="4" w:space="0" w:color="auto"/>
            </w:tcBorders>
            <w:vAlign w:val="center"/>
            <w:hideMark/>
          </w:tcPr>
          <w:p w14:paraId="6FC72012"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Risques initial</w:t>
            </w:r>
          </w:p>
        </w:tc>
        <w:tc>
          <w:tcPr>
            <w:tcW w:w="705" w:type="pct"/>
            <w:gridSpan w:val="2"/>
            <w:tcBorders>
              <w:top w:val="single" w:sz="4" w:space="0" w:color="auto"/>
              <w:left w:val="single" w:sz="4" w:space="0" w:color="auto"/>
              <w:bottom w:val="single" w:sz="4" w:space="0" w:color="auto"/>
              <w:right w:val="single" w:sz="4" w:space="0" w:color="auto"/>
            </w:tcBorders>
            <w:vAlign w:val="center"/>
            <w:hideMark/>
          </w:tcPr>
          <w:p w14:paraId="4526487A"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Probabilité</w:t>
            </w: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68B74690"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Gravité</w:t>
            </w:r>
          </w:p>
        </w:tc>
        <w:tc>
          <w:tcPr>
            <w:tcW w:w="604" w:type="pct"/>
            <w:tcBorders>
              <w:top w:val="single" w:sz="4" w:space="0" w:color="auto"/>
              <w:left w:val="single" w:sz="4" w:space="0" w:color="auto"/>
              <w:bottom w:val="single" w:sz="4" w:space="0" w:color="auto"/>
              <w:right w:val="single" w:sz="4" w:space="0" w:color="auto"/>
            </w:tcBorders>
            <w:vAlign w:val="center"/>
            <w:hideMark/>
          </w:tcPr>
          <w:p w14:paraId="5A1ADEC6"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Criticité</w:t>
            </w:r>
          </w:p>
        </w:tc>
        <w:tc>
          <w:tcPr>
            <w:tcW w:w="1031" w:type="pct"/>
            <w:tcBorders>
              <w:top w:val="single" w:sz="4" w:space="0" w:color="auto"/>
              <w:left w:val="single" w:sz="4" w:space="0" w:color="auto"/>
              <w:bottom w:val="single" w:sz="4" w:space="0" w:color="auto"/>
              <w:right w:val="single" w:sz="4" w:space="0" w:color="auto"/>
            </w:tcBorders>
            <w:vAlign w:val="center"/>
            <w:hideMark/>
          </w:tcPr>
          <w:p w14:paraId="53E13150"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Dommage</w:t>
            </w:r>
          </w:p>
        </w:tc>
      </w:tr>
      <w:tr w:rsidR="00BD1A2F" w:rsidRPr="00260790" w14:paraId="2D5411B5" w14:textId="77777777" w:rsidTr="003A0E4A">
        <w:tc>
          <w:tcPr>
            <w:tcW w:w="716" w:type="pct"/>
            <w:tcBorders>
              <w:top w:val="single" w:sz="4" w:space="0" w:color="auto"/>
              <w:left w:val="single" w:sz="4" w:space="0" w:color="auto"/>
              <w:bottom w:val="single" w:sz="4" w:space="0" w:color="auto"/>
              <w:right w:val="single" w:sz="4" w:space="0" w:color="auto"/>
            </w:tcBorders>
            <w:vAlign w:val="center"/>
            <w:hideMark/>
          </w:tcPr>
          <w:p w14:paraId="5045F775"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 xml:space="preserve">Avant prévention </w:t>
            </w:r>
          </w:p>
        </w:tc>
        <w:tc>
          <w:tcPr>
            <w:tcW w:w="1400" w:type="pct"/>
            <w:tcBorders>
              <w:top w:val="single" w:sz="4" w:space="0" w:color="auto"/>
              <w:left w:val="single" w:sz="4" w:space="0" w:color="auto"/>
              <w:bottom w:val="nil"/>
              <w:right w:val="single" w:sz="4" w:space="0" w:color="auto"/>
            </w:tcBorders>
            <w:vAlign w:val="center"/>
          </w:tcPr>
          <w:p w14:paraId="27332D75"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705" w:type="pct"/>
            <w:gridSpan w:val="2"/>
            <w:tcBorders>
              <w:top w:val="single" w:sz="4" w:space="0" w:color="auto"/>
              <w:left w:val="single" w:sz="4" w:space="0" w:color="auto"/>
              <w:bottom w:val="nil"/>
              <w:right w:val="single" w:sz="4" w:space="0" w:color="auto"/>
            </w:tcBorders>
            <w:vAlign w:val="center"/>
          </w:tcPr>
          <w:p w14:paraId="71639A4C"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544" w:type="pct"/>
            <w:gridSpan w:val="2"/>
            <w:tcBorders>
              <w:top w:val="single" w:sz="4" w:space="0" w:color="auto"/>
              <w:left w:val="single" w:sz="4" w:space="0" w:color="auto"/>
              <w:bottom w:val="single" w:sz="4" w:space="0" w:color="auto"/>
              <w:right w:val="single" w:sz="4" w:space="0" w:color="auto"/>
            </w:tcBorders>
            <w:vAlign w:val="center"/>
          </w:tcPr>
          <w:p w14:paraId="152349AD"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604" w:type="pct"/>
            <w:tcBorders>
              <w:top w:val="single" w:sz="4" w:space="0" w:color="auto"/>
              <w:left w:val="single" w:sz="4" w:space="0" w:color="auto"/>
              <w:bottom w:val="single" w:sz="4" w:space="0" w:color="auto"/>
              <w:right w:val="single" w:sz="4" w:space="0" w:color="auto"/>
            </w:tcBorders>
            <w:vAlign w:val="center"/>
          </w:tcPr>
          <w:p w14:paraId="05CE3344"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1031" w:type="pct"/>
            <w:tcBorders>
              <w:top w:val="single" w:sz="4" w:space="0" w:color="auto"/>
              <w:left w:val="single" w:sz="4" w:space="0" w:color="auto"/>
              <w:bottom w:val="single" w:sz="4" w:space="0" w:color="auto"/>
              <w:right w:val="single" w:sz="4" w:space="0" w:color="auto"/>
            </w:tcBorders>
            <w:vAlign w:val="center"/>
            <w:hideMark/>
          </w:tcPr>
          <w:p w14:paraId="52915AC5"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 xml:space="preserve"> </w:t>
            </w:r>
          </w:p>
        </w:tc>
      </w:tr>
      <w:tr w:rsidR="00BD1A2F" w:rsidRPr="00260790" w14:paraId="2C541372" w14:textId="77777777" w:rsidTr="003A0E4A">
        <w:tc>
          <w:tcPr>
            <w:tcW w:w="716" w:type="pct"/>
            <w:tcBorders>
              <w:top w:val="single" w:sz="6" w:space="0" w:color="auto"/>
              <w:left w:val="single" w:sz="4" w:space="0" w:color="auto"/>
              <w:bottom w:val="single" w:sz="4" w:space="0" w:color="auto"/>
              <w:right w:val="single" w:sz="4" w:space="0" w:color="auto"/>
            </w:tcBorders>
            <w:vAlign w:val="center"/>
            <w:hideMark/>
          </w:tcPr>
          <w:p w14:paraId="0D3813F0"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 xml:space="preserve">Mesures de prévention </w:t>
            </w:r>
          </w:p>
        </w:tc>
        <w:tc>
          <w:tcPr>
            <w:tcW w:w="4284" w:type="pct"/>
            <w:gridSpan w:val="7"/>
            <w:tcBorders>
              <w:top w:val="single" w:sz="6" w:space="0" w:color="auto"/>
              <w:left w:val="single" w:sz="4" w:space="0" w:color="auto"/>
              <w:bottom w:val="nil"/>
              <w:right w:val="single" w:sz="4" w:space="0" w:color="auto"/>
            </w:tcBorders>
            <w:vAlign w:val="center"/>
          </w:tcPr>
          <w:p w14:paraId="3B61A718"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r>
      <w:tr w:rsidR="00BD1A2F" w:rsidRPr="00260790" w14:paraId="0E7DDAB9" w14:textId="77777777" w:rsidTr="003A0E4A">
        <w:tc>
          <w:tcPr>
            <w:tcW w:w="716" w:type="pct"/>
            <w:tcBorders>
              <w:top w:val="single" w:sz="6" w:space="0" w:color="auto"/>
              <w:left w:val="single" w:sz="4" w:space="0" w:color="auto"/>
              <w:bottom w:val="single" w:sz="6" w:space="0" w:color="auto"/>
              <w:right w:val="single" w:sz="4" w:space="0" w:color="auto"/>
            </w:tcBorders>
            <w:vAlign w:val="center"/>
          </w:tcPr>
          <w:p w14:paraId="307ABA15"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1400" w:type="pct"/>
            <w:tcBorders>
              <w:top w:val="single" w:sz="6" w:space="0" w:color="auto"/>
              <w:left w:val="single" w:sz="4" w:space="0" w:color="auto"/>
              <w:bottom w:val="single" w:sz="6" w:space="0" w:color="auto"/>
              <w:right w:val="single" w:sz="4" w:space="0" w:color="auto"/>
            </w:tcBorders>
            <w:vAlign w:val="center"/>
          </w:tcPr>
          <w:p w14:paraId="6F417DE9"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Risques résiduels</w:t>
            </w:r>
          </w:p>
        </w:tc>
        <w:tc>
          <w:tcPr>
            <w:tcW w:w="696" w:type="pct"/>
            <w:tcBorders>
              <w:top w:val="single" w:sz="6" w:space="0" w:color="auto"/>
              <w:left w:val="single" w:sz="4" w:space="0" w:color="auto"/>
              <w:bottom w:val="single" w:sz="6" w:space="0" w:color="auto"/>
              <w:right w:val="single" w:sz="4" w:space="0" w:color="auto"/>
            </w:tcBorders>
            <w:vAlign w:val="center"/>
            <w:hideMark/>
          </w:tcPr>
          <w:p w14:paraId="3E883C05"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Probabilité</w:t>
            </w:r>
          </w:p>
        </w:tc>
        <w:tc>
          <w:tcPr>
            <w:tcW w:w="544" w:type="pct"/>
            <w:gridSpan w:val="2"/>
            <w:tcBorders>
              <w:top w:val="single" w:sz="6" w:space="0" w:color="auto"/>
              <w:left w:val="single" w:sz="4" w:space="0" w:color="auto"/>
              <w:bottom w:val="single" w:sz="6" w:space="0" w:color="auto"/>
              <w:right w:val="single" w:sz="4" w:space="0" w:color="auto"/>
            </w:tcBorders>
            <w:vAlign w:val="center"/>
            <w:hideMark/>
          </w:tcPr>
          <w:p w14:paraId="0B7366B5"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Gravité</w:t>
            </w:r>
          </w:p>
        </w:tc>
        <w:tc>
          <w:tcPr>
            <w:tcW w:w="645" w:type="pct"/>
            <w:gridSpan w:val="2"/>
            <w:tcBorders>
              <w:top w:val="single" w:sz="6" w:space="0" w:color="auto"/>
              <w:left w:val="single" w:sz="4" w:space="0" w:color="auto"/>
              <w:bottom w:val="single" w:sz="6" w:space="0" w:color="auto"/>
              <w:right w:val="single" w:sz="4" w:space="0" w:color="auto"/>
            </w:tcBorders>
            <w:vAlign w:val="center"/>
            <w:hideMark/>
          </w:tcPr>
          <w:p w14:paraId="6537EDE4"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Criticité</w:t>
            </w:r>
          </w:p>
        </w:tc>
        <w:tc>
          <w:tcPr>
            <w:tcW w:w="999" w:type="pct"/>
            <w:tcBorders>
              <w:top w:val="single" w:sz="6" w:space="0" w:color="auto"/>
              <w:left w:val="single" w:sz="4" w:space="0" w:color="auto"/>
              <w:bottom w:val="single" w:sz="6" w:space="0" w:color="auto"/>
              <w:right w:val="single" w:sz="4" w:space="0" w:color="auto"/>
            </w:tcBorders>
            <w:vAlign w:val="center"/>
            <w:hideMark/>
          </w:tcPr>
          <w:p w14:paraId="2DAE3040" w14:textId="77777777" w:rsidR="00DE241D" w:rsidRPr="00260790" w:rsidRDefault="00DE241D" w:rsidP="00E20250">
            <w:pPr>
              <w:pStyle w:val="Default"/>
              <w:overflowPunct w:val="0"/>
              <w:textAlignment w:val="baseline"/>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Dommage</w:t>
            </w:r>
          </w:p>
        </w:tc>
      </w:tr>
      <w:tr w:rsidR="00BD1A2F" w:rsidRPr="00260790" w14:paraId="22980CED" w14:textId="77777777" w:rsidTr="003A0E4A">
        <w:tc>
          <w:tcPr>
            <w:tcW w:w="716" w:type="pct"/>
            <w:tcBorders>
              <w:top w:val="single" w:sz="6" w:space="0" w:color="auto"/>
              <w:left w:val="single" w:sz="4" w:space="0" w:color="auto"/>
              <w:bottom w:val="single" w:sz="4" w:space="0" w:color="auto"/>
              <w:right w:val="single" w:sz="4" w:space="0" w:color="auto"/>
            </w:tcBorders>
            <w:vAlign w:val="center"/>
            <w:hideMark/>
          </w:tcPr>
          <w:p w14:paraId="0D3CAC06"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Après prévention</w:t>
            </w:r>
          </w:p>
        </w:tc>
        <w:tc>
          <w:tcPr>
            <w:tcW w:w="1400" w:type="pct"/>
            <w:tcBorders>
              <w:top w:val="single" w:sz="6" w:space="0" w:color="auto"/>
              <w:left w:val="single" w:sz="4" w:space="0" w:color="auto"/>
              <w:bottom w:val="single" w:sz="4" w:space="0" w:color="auto"/>
              <w:right w:val="single" w:sz="4" w:space="0" w:color="auto"/>
            </w:tcBorders>
            <w:vAlign w:val="center"/>
          </w:tcPr>
          <w:p w14:paraId="6BA01A39"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696" w:type="pct"/>
            <w:tcBorders>
              <w:top w:val="single" w:sz="6" w:space="0" w:color="auto"/>
              <w:left w:val="single" w:sz="4" w:space="0" w:color="auto"/>
              <w:bottom w:val="single" w:sz="4" w:space="0" w:color="auto"/>
              <w:right w:val="single" w:sz="4" w:space="0" w:color="auto"/>
            </w:tcBorders>
            <w:vAlign w:val="center"/>
          </w:tcPr>
          <w:p w14:paraId="781AF7D0"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544" w:type="pct"/>
            <w:gridSpan w:val="2"/>
            <w:tcBorders>
              <w:top w:val="single" w:sz="6" w:space="0" w:color="auto"/>
              <w:left w:val="single" w:sz="4" w:space="0" w:color="auto"/>
              <w:bottom w:val="single" w:sz="4" w:space="0" w:color="auto"/>
              <w:right w:val="single" w:sz="4" w:space="0" w:color="auto"/>
            </w:tcBorders>
            <w:vAlign w:val="center"/>
          </w:tcPr>
          <w:p w14:paraId="3DA1D130"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645" w:type="pct"/>
            <w:gridSpan w:val="2"/>
            <w:tcBorders>
              <w:top w:val="single" w:sz="6" w:space="0" w:color="auto"/>
              <w:left w:val="single" w:sz="4" w:space="0" w:color="auto"/>
              <w:bottom w:val="single" w:sz="4" w:space="0" w:color="auto"/>
              <w:right w:val="single" w:sz="4" w:space="0" w:color="auto"/>
            </w:tcBorders>
            <w:vAlign w:val="center"/>
          </w:tcPr>
          <w:p w14:paraId="03E2E433"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c>
          <w:tcPr>
            <w:tcW w:w="999" w:type="pct"/>
            <w:tcBorders>
              <w:top w:val="single" w:sz="6" w:space="0" w:color="auto"/>
              <w:left w:val="single" w:sz="4" w:space="0" w:color="auto"/>
              <w:bottom w:val="single" w:sz="4" w:space="0" w:color="auto"/>
              <w:right w:val="single" w:sz="4" w:space="0" w:color="auto"/>
            </w:tcBorders>
            <w:vAlign w:val="center"/>
          </w:tcPr>
          <w:p w14:paraId="32593020" w14:textId="77777777" w:rsidR="00DE241D" w:rsidRPr="00260790" w:rsidRDefault="00DE241D" w:rsidP="00E20250">
            <w:pPr>
              <w:pStyle w:val="Default"/>
              <w:overflowPunct w:val="0"/>
              <w:textAlignment w:val="baseline"/>
              <w:rPr>
                <w:rFonts w:ascii="Times New Roman" w:hAnsi="Times New Roman" w:cs="Times New Roman"/>
                <w:color w:val="000000" w:themeColor="text1"/>
                <w:sz w:val="22"/>
                <w:szCs w:val="22"/>
              </w:rPr>
            </w:pPr>
          </w:p>
        </w:tc>
      </w:tr>
    </w:tbl>
    <w:p w14:paraId="3E3496A5" w14:textId="77777777" w:rsidR="00DE241D" w:rsidRPr="00260790" w:rsidRDefault="00DE241D" w:rsidP="00451F8A">
      <w:pPr>
        <w:spacing w:after="0" w:line="240" w:lineRule="auto"/>
        <w:rPr>
          <w:rFonts w:ascii="Times New Roman" w:hAnsi="Times New Roman"/>
          <w:b/>
          <w:color w:val="000000" w:themeColor="text1"/>
        </w:rPr>
      </w:pPr>
    </w:p>
    <w:p w14:paraId="02841AC7" w14:textId="2F6C8380" w:rsidR="00DE241D" w:rsidRPr="00260790" w:rsidRDefault="00DE241D" w:rsidP="001748C6">
      <w:pPr>
        <w:pStyle w:val="Normaltableau0"/>
        <w:numPr>
          <w:ilvl w:val="1"/>
          <w:numId w:val="139"/>
        </w:numPr>
        <w:outlineLvl w:val="1"/>
        <w:rPr>
          <w:rFonts w:ascii="Times New Roman" w:hAnsi="Times New Roman"/>
          <w:b/>
          <w:bCs/>
          <w:sz w:val="22"/>
          <w:szCs w:val="22"/>
        </w:rPr>
      </w:pPr>
      <w:bookmarkStart w:id="603" w:name="_Toc212725130"/>
      <w:r w:rsidRPr="00260790">
        <w:rPr>
          <w:rFonts w:ascii="Times New Roman" w:hAnsi="Times New Roman"/>
          <w:b/>
          <w:bCs/>
          <w:sz w:val="22"/>
          <w:szCs w:val="22"/>
        </w:rPr>
        <w:t>Impacts et risques environnementaux et sociaux du projet</w:t>
      </w:r>
      <w:bookmarkEnd w:id="603"/>
    </w:p>
    <w:p w14:paraId="2103E7D0" w14:textId="6D09FA38" w:rsidR="00DE241D" w:rsidRPr="00260790" w:rsidRDefault="00DE241D" w:rsidP="003B6588">
      <w:pPr>
        <w:pStyle w:val="CHAPITRE1"/>
        <w:rPr>
          <w:rFonts w:cs="Times New Roman"/>
        </w:rPr>
      </w:pPr>
      <w:bookmarkStart w:id="604" w:name="_Toc212725131"/>
      <w:r w:rsidRPr="00260790">
        <w:rPr>
          <w:rFonts w:cs="Times New Roman"/>
        </w:rPr>
        <w:t>Impacts positifs du projet</w:t>
      </w:r>
      <w:bookmarkEnd w:id="604"/>
      <w:r w:rsidRPr="00260790">
        <w:rPr>
          <w:rFonts w:cs="Times New Roman"/>
        </w:rPr>
        <w:t xml:space="preserve"> </w:t>
      </w:r>
    </w:p>
    <w:p w14:paraId="2DE0CDCA" w14:textId="076D1292" w:rsidR="00DE241D" w:rsidRPr="00260790" w:rsidRDefault="00C34C0F" w:rsidP="001748C6">
      <w:pPr>
        <w:pStyle w:val="CHAPITRE1"/>
        <w:numPr>
          <w:ilvl w:val="3"/>
          <w:numId w:val="139"/>
        </w:numPr>
        <w:rPr>
          <w:rFonts w:cs="Times New Roman"/>
          <w:i/>
          <w:iCs/>
        </w:rPr>
      </w:pPr>
      <w:bookmarkStart w:id="605" w:name="_Toc212725132"/>
      <w:r>
        <w:rPr>
          <w:rFonts w:cs="Times New Roman"/>
          <w:i/>
          <w:iCs/>
        </w:rPr>
        <w:t>E</w:t>
      </w:r>
      <w:r w:rsidR="00DE241D" w:rsidRPr="00260790">
        <w:rPr>
          <w:rFonts w:cs="Times New Roman"/>
          <w:i/>
          <w:iCs/>
        </w:rPr>
        <w:t>n phase préparation et construction</w:t>
      </w:r>
      <w:bookmarkEnd w:id="605"/>
      <w:r w:rsidR="00DE241D" w:rsidRPr="00260790">
        <w:rPr>
          <w:rFonts w:cs="Times New Roman"/>
          <w:i/>
          <w:iCs/>
        </w:rPr>
        <w:t xml:space="preserve"> </w:t>
      </w:r>
    </w:p>
    <w:p w14:paraId="244383D8" w14:textId="77777777" w:rsidR="00DE241D" w:rsidRPr="00260790" w:rsidRDefault="00DE241D" w:rsidP="00E20250">
      <w:pPr>
        <w:spacing w:after="120"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 xml:space="preserve">Le projet assurera à terme la maîtrise des inondations et le rabattement de la nappe des sables de Quaternaire. Ses impacts positifs majeurs divers et variés sont décrits ci-dessous. </w:t>
      </w:r>
    </w:p>
    <w:p w14:paraId="6825A288" w14:textId="44104E4F" w:rsidR="008E6B07" w:rsidRDefault="00DE241D" w:rsidP="008E6B07">
      <w:pPr>
        <w:pStyle w:val="Paragraphedeliste"/>
        <w:numPr>
          <w:ilvl w:val="0"/>
          <w:numId w:val="276"/>
        </w:numPr>
        <w:spacing w:before="120" w:after="0" w:line="240" w:lineRule="auto"/>
        <w:jc w:val="both"/>
        <w:rPr>
          <w:rFonts w:ascii="Times New Roman" w:hAnsi="Times New Roman"/>
          <w:b/>
          <w:bCs/>
          <w:i/>
          <w:iCs/>
          <w:color w:val="000000" w:themeColor="text1"/>
        </w:rPr>
      </w:pPr>
      <w:r w:rsidRPr="00260790">
        <w:rPr>
          <w:rFonts w:ascii="Times New Roman" w:hAnsi="Times New Roman"/>
          <w:b/>
          <w:i/>
          <w:color w:val="000000" w:themeColor="text1"/>
        </w:rPr>
        <w:t>IP-1. Création d’emplois temporaires dans les</w:t>
      </w:r>
      <w:r w:rsidRPr="00260790">
        <w:rPr>
          <w:rFonts w:ascii="Times New Roman" w:hAnsi="Times New Roman"/>
          <w:color w:val="000000" w:themeColor="text1"/>
        </w:rPr>
        <w:t xml:space="preserve"> </w:t>
      </w:r>
      <w:r w:rsidRPr="00260790">
        <w:rPr>
          <w:rFonts w:ascii="Times New Roman" w:hAnsi="Times New Roman"/>
          <w:b/>
          <w:bCs/>
          <w:i/>
          <w:iCs/>
          <w:color w:val="000000" w:themeColor="text1"/>
        </w:rPr>
        <w:t xml:space="preserve">Communes de Mbao, de Rufisque Ouest, de </w:t>
      </w:r>
      <w:proofErr w:type="spellStart"/>
      <w:r w:rsidRPr="00260790">
        <w:rPr>
          <w:rFonts w:ascii="Times New Roman" w:hAnsi="Times New Roman"/>
          <w:b/>
          <w:bCs/>
          <w:i/>
          <w:iCs/>
          <w:color w:val="000000" w:themeColor="text1"/>
        </w:rPr>
        <w:t>Jaxaay</w:t>
      </w:r>
      <w:proofErr w:type="spellEnd"/>
      <w:r w:rsidRPr="00260790">
        <w:rPr>
          <w:rFonts w:ascii="Times New Roman" w:hAnsi="Times New Roman"/>
          <w:b/>
          <w:bCs/>
          <w:i/>
          <w:iCs/>
          <w:color w:val="000000" w:themeColor="text1"/>
        </w:rPr>
        <w:t>-Parcelles-</w:t>
      </w:r>
      <w:proofErr w:type="spellStart"/>
      <w:r w:rsidRPr="00260790">
        <w:rPr>
          <w:rFonts w:ascii="Times New Roman" w:hAnsi="Times New Roman"/>
          <w:b/>
          <w:bCs/>
          <w:i/>
          <w:iCs/>
          <w:color w:val="000000" w:themeColor="text1"/>
        </w:rPr>
        <w:t>Niakoulrap</w:t>
      </w:r>
      <w:proofErr w:type="spellEnd"/>
      <w:r w:rsidRPr="00260790">
        <w:rPr>
          <w:rFonts w:ascii="Times New Roman" w:hAnsi="Times New Roman"/>
          <w:b/>
          <w:bCs/>
          <w:i/>
          <w:iCs/>
          <w:color w:val="000000" w:themeColor="text1"/>
        </w:rPr>
        <w:t xml:space="preserve"> et de Keur Massar Sud</w:t>
      </w:r>
    </w:p>
    <w:p w14:paraId="40990C62" w14:textId="77777777" w:rsidR="008E6B07" w:rsidRPr="0097258B" w:rsidRDefault="008E6B07" w:rsidP="0097258B">
      <w:pPr>
        <w:pStyle w:val="Paragraphedeliste"/>
        <w:spacing w:before="120" w:after="0" w:line="240" w:lineRule="auto"/>
        <w:jc w:val="both"/>
        <w:rPr>
          <w:rFonts w:ascii="Times New Roman" w:hAnsi="Times New Roman"/>
          <w:b/>
          <w:bCs/>
          <w:i/>
          <w:iCs/>
          <w:color w:val="000000" w:themeColor="text1"/>
        </w:rPr>
      </w:pPr>
    </w:p>
    <w:p w14:paraId="3AFFA45E" w14:textId="2EF7761D"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La mise en œuvre du PROGEP</w:t>
      </w:r>
      <w:r w:rsidR="00C000D3">
        <w:rPr>
          <w:rFonts w:ascii="Times New Roman" w:hAnsi="Times New Roman"/>
          <w:color w:val="000000" w:themeColor="text1"/>
        </w:rPr>
        <w:t xml:space="preserve"> II</w:t>
      </w:r>
      <w:r w:rsidRPr="00260790">
        <w:rPr>
          <w:rFonts w:ascii="Times New Roman" w:hAnsi="Times New Roman"/>
          <w:color w:val="000000" w:themeColor="text1"/>
        </w:rPr>
        <w:t xml:space="preserve"> nécessitera de travailleurs pour la libération des emprises</w:t>
      </w:r>
      <w:r w:rsidR="005C5B32" w:rsidRPr="00260790">
        <w:rPr>
          <w:rFonts w:ascii="Times New Roman" w:hAnsi="Times New Roman"/>
          <w:color w:val="000000" w:themeColor="text1"/>
        </w:rPr>
        <w:t>,</w:t>
      </w:r>
      <w:r w:rsidRPr="00260790">
        <w:rPr>
          <w:rFonts w:ascii="Times New Roman" w:hAnsi="Times New Roman"/>
          <w:color w:val="000000" w:themeColor="text1"/>
        </w:rPr>
        <w:t xml:space="preserve"> mais aussi les travaux de terrassement, d’excavation, le transport des matériaux et équipements, la construction des collecteurs, la surveillance du chantier et de la base vie, etc.). La mobilisation de cette main</w:t>
      </w:r>
      <w:r w:rsidR="00F32B75" w:rsidRPr="00260790">
        <w:rPr>
          <w:rFonts w:ascii="Times New Roman" w:hAnsi="Times New Roman"/>
          <w:color w:val="000000" w:themeColor="text1"/>
        </w:rPr>
        <w:t>-</w:t>
      </w:r>
      <w:r w:rsidRPr="00260790">
        <w:rPr>
          <w:rFonts w:ascii="Times New Roman" w:hAnsi="Times New Roman"/>
          <w:color w:val="000000" w:themeColor="text1"/>
        </w:rPr>
        <w:t xml:space="preserve">d’œuvre sera créatrice d’emplois pour les populations. </w:t>
      </w:r>
    </w:p>
    <w:tbl>
      <w:tblPr>
        <w:tblStyle w:val="Grilledutableau"/>
        <w:tblW w:w="5000" w:type="pct"/>
        <w:tblLook w:val="04A0" w:firstRow="1" w:lastRow="0" w:firstColumn="1" w:lastColumn="0" w:noHBand="0" w:noVBand="1"/>
      </w:tblPr>
      <w:tblGrid>
        <w:gridCol w:w="2114"/>
        <w:gridCol w:w="3840"/>
        <w:gridCol w:w="3106"/>
      </w:tblGrid>
      <w:tr w:rsidR="00BD1A2F" w:rsidRPr="00632C4D" w14:paraId="5DAEEBAB" w14:textId="77777777" w:rsidTr="003A0E4A">
        <w:tc>
          <w:tcPr>
            <w:tcW w:w="1166" w:type="pct"/>
            <w:shd w:val="clear" w:color="auto" w:fill="D9E2F3" w:themeFill="accent5" w:themeFillTint="33"/>
          </w:tcPr>
          <w:p w14:paraId="7C51858F"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 xml:space="preserve">Sources </w:t>
            </w:r>
            <w:proofErr w:type="spellStart"/>
            <w:r w:rsidRPr="0097258B">
              <w:rPr>
                <w:rFonts w:ascii="Times New Roman" w:hAnsi="Times New Roman" w:cs="Times New Roman"/>
                <w:b/>
                <w:bCs/>
                <w:color w:val="000000" w:themeColor="text1"/>
                <w:sz w:val="20"/>
                <w:szCs w:val="20"/>
              </w:rPr>
              <w:t>d’impacts</w:t>
            </w:r>
            <w:proofErr w:type="spellEnd"/>
          </w:p>
        </w:tc>
        <w:tc>
          <w:tcPr>
            <w:tcW w:w="2119" w:type="pct"/>
            <w:shd w:val="clear" w:color="auto" w:fill="D9E2F3" w:themeFill="accent5" w:themeFillTint="33"/>
          </w:tcPr>
          <w:p w14:paraId="5E7DAFDD"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Impacts</w:t>
            </w:r>
          </w:p>
        </w:tc>
        <w:tc>
          <w:tcPr>
            <w:tcW w:w="1714" w:type="pct"/>
            <w:shd w:val="clear" w:color="auto" w:fill="D9E2F3" w:themeFill="accent5" w:themeFillTint="33"/>
          </w:tcPr>
          <w:p w14:paraId="16D0A74D"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Mesures</w:t>
            </w:r>
            <w:proofErr w:type="spellEnd"/>
            <w:r w:rsidRPr="0097258B">
              <w:rPr>
                <w:rFonts w:ascii="Times New Roman" w:hAnsi="Times New Roman" w:cs="Times New Roman"/>
                <w:b/>
                <w:bCs/>
                <w:color w:val="000000" w:themeColor="text1"/>
                <w:sz w:val="20"/>
                <w:szCs w:val="20"/>
              </w:rPr>
              <w:t xml:space="preserve"> de bonification</w:t>
            </w:r>
          </w:p>
        </w:tc>
      </w:tr>
      <w:tr w:rsidR="00BD1A2F" w:rsidRPr="00632C4D" w14:paraId="0300721F" w14:textId="77777777" w:rsidTr="003A0E4A">
        <w:tc>
          <w:tcPr>
            <w:tcW w:w="1166" w:type="pct"/>
          </w:tcPr>
          <w:p w14:paraId="1A93EFE4"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p>
          <w:p w14:paraId="3866BF77" w14:textId="3D5491F3"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Mobilisation de la main</w:t>
            </w:r>
            <w:r w:rsidR="00F32B75" w:rsidRPr="00301AF6">
              <w:rPr>
                <w:rFonts w:ascii="Times New Roman" w:hAnsi="Times New Roman" w:cs="Times New Roman"/>
                <w:color w:val="000000" w:themeColor="text1"/>
                <w:sz w:val="20"/>
                <w:szCs w:val="20"/>
                <w:lang w:val="fr-FR"/>
              </w:rPr>
              <w:t>-</w:t>
            </w:r>
            <w:r w:rsidRPr="00301AF6">
              <w:rPr>
                <w:rFonts w:ascii="Times New Roman" w:hAnsi="Times New Roman" w:cs="Times New Roman"/>
                <w:color w:val="000000" w:themeColor="text1"/>
                <w:sz w:val="20"/>
                <w:szCs w:val="20"/>
                <w:lang w:val="fr-FR"/>
              </w:rPr>
              <w:t xml:space="preserve">d’œuvre  </w:t>
            </w:r>
          </w:p>
        </w:tc>
        <w:tc>
          <w:tcPr>
            <w:tcW w:w="2119" w:type="pct"/>
          </w:tcPr>
          <w:p w14:paraId="58CC1690" w14:textId="77777777" w:rsidR="00DE241D" w:rsidRPr="0097258B" w:rsidRDefault="00DE241D" w:rsidP="00C000D3">
            <w:pPr>
              <w:pStyle w:val="Default"/>
              <w:overflowPunct w:val="0"/>
              <w:jc w:val="both"/>
              <w:textAlignment w:val="baseline"/>
              <w:rPr>
                <w:rFonts w:ascii="Times New Roman" w:hAnsi="Times New Roman" w:cs="Times New Roman"/>
                <w:b/>
                <w:bCs/>
                <w:i/>
                <w:iCs/>
                <w:color w:val="000000" w:themeColor="text1"/>
                <w:sz w:val="20"/>
                <w:szCs w:val="20"/>
                <w:lang w:val="fr-FR"/>
              </w:rPr>
            </w:pPr>
            <w:r w:rsidRPr="00301AF6">
              <w:rPr>
                <w:rFonts w:ascii="Times New Roman" w:hAnsi="Times New Roman" w:cs="Times New Roman"/>
                <w:b/>
                <w:bCs/>
                <w:i/>
                <w:iCs/>
                <w:color w:val="000000" w:themeColor="text1"/>
                <w:sz w:val="20"/>
                <w:szCs w:val="20"/>
                <w:lang w:val="fr-FR"/>
              </w:rPr>
              <w:t>IP1 : création d’emplois temporaires dans les</w:t>
            </w:r>
            <w:r w:rsidRPr="00301AF6">
              <w:rPr>
                <w:rFonts w:ascii="Times New Roman" w:hAnsi="Times New Roman" w:cs="Times New Roman"/>
                <w:color w:val="000000" w:themeColor="text1"/>
                <w:sz w:val="20"/>
                <w:szCs w:val="20"/>
                <w:lang w:val="fr-FR"/>
              </w:rPr>
              <w:t xml:space="preserve"> </w:t>
            </w:r>
            <w:r w:rsidRPr="00301AF6">
              <w:rPr>
                <w:rFonts w:ascii="Times New Roman" w:hAnsi="Times New Roman" w:cs="Times New Roman"/>
                <w:b/>
                <w:bCs/>
                <w:i/>
                <w:iCs/>
                <w:color w:val="000000" w:themeColor="text1"/>
                <w:sz w:val="20"/>
                <w:szCs w:val="20"/>
                <w:lang w:val="fr-FR"/>
              </w:rPr>
              <w:t xml:space="preserve">Communes de Mbao, de Rufisque Ouest, de </w:t>
            </w:r>
            <w:proofErr w:type="spellStart"/>
            <w:r w:rsidRPr="00301AF6">
              <w:rPr>
                <w:rFonts w:ascii="Times New Roman" w:hAnsi="Times New Roman" w:cs="Times New Roman"/>
                <w:b/>
                <w:bCs/>
                <w:i/>
                <w:iCs/>
                <w:color w:val="000000" w:themeColor="text1"/>
                <w:sz w:val="20"/>
                <w:szCs w:val="20"/>
                <w:lang w:val="fr-FR"/>
              </w:rPr>
              <w:t>Jaxaay</w:t>
            </w:r>
            <w:proofErr w:type="spellEnd"/>
            <w:r w:rsidRPr="00301AF6">
              <w:rPr>
                <w:rFonts w:ascii="Times New Roman" w:hAnsi="Times New Roman" w:cs="Times New Roman"/>
                <w:b/>
                <w:bCs/>
                <w:i/>
                <w:iCs/>
                <w:color w:val="000000" w:themeColor="text1"/>
                <w:sz w:val="20"/>
                <w:szCs w:val="20"/>
                <w:lang w:val="fr-FR"/>
              </w:rPr>
              <w:t>-Parcelles-</w:t>
            </w:r>
            <w:proofErr w:type="spellStart"/>
            <w:r w:rsidRPr="00301AF6">
              <w:rPr>
                <w:rFonts w:ascii="Times New Roman" w:hAnsi="Times New Roman" w:cs="Times New Roman"/>
                <w:b/>
                <w:bCs/>
                <w:i/>
                <w:iCs/>
                <w:color w:val="000000" w:themeColor="text1"/>
                <w:sz w:val="20"/>
                <w:szCs w:val="20"/>
                <w:lang w:val="fr-FR"/>
              </w:rPr>
              <w:t>Niakoulrap</w:t>
            </w:r>
            <w:proofErr w:type="spellEnd"/>
            <w:r w:rsidRPr="00301AF6">
              <w:rPr>
                <w:rFonts w:ascii="Times New Roman" w:hAnsi="Times New Roman" w:cs="Times New Roman"/>
                <w:b/>
                <w:bCs/>
                <w:i/>
                <w:iCs/>
                <w:color w:val="000000" w:themeColor="text1"/>
                <w:sz w:val="20"/>
                <w:szCs w:val="20"/>
                <w:lang w:val="fr-FR"/>
              </w:rPr>
              <w:t xml:space="preserve"> et de Keur Massar Sud</w:t>
            </w:r>
          </w:p>
        </w:tc>
        <w:tc>
          <w:tcPr>
            <w:tcW w:w="1714" w:type="pct"/>
          </w:tcPr>
          <w:p w14:paraId="288A8674" w14:textId="706FF16A"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Privilégier la main</w:t>
            </w:r>
            <w:r w:rsidR="00F32B75" w:rsidRPr="00301AF6">
              <w:rPr>
                <w:rFonts w:ascii="Times New Roman" w:hAnsi="Times New Roman" w:cs="Times New Roman"/>
                <w:color w:val="000000" w:themeColor="text1"/>
                <w:sz w:val="20"/>
                <w:szCs w:val="20"/>
                <w:lang w:val="fr-FR"/>
              </w:rPr>
              <w:t>-</w:t>
            </w:r>
            <w:r w:rsidRPr="00301AF6">
              <w:rPr>
                <w:rFonts w:ascii="Times New Roman" w:hAnsi="Times New Roman" w:cs="Times New Roman"/>
                <w:color w:val="000000" w:themeColor="text1"/>
                <w:sz w:val="20"/>
                <w:szCs w:val="20"/>
                <w:lang w:val="fr-FR"/>
              </w:rPr>
              <w:t>d’œuvre locale pour les emplois non qualifiés ;</w:t>
            </w:r>
          </w:p>
          <w:p w14:paraId="6554D872" w14:textId="118D5D0E" w:rsidR="00DE241D" w:rsidRPr="0097258B" w:rsidRDefault="009965A6" w:rsidP="00C000D3">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À</w:t>
            </w:r>
            <w:r w:rsidR="00DE241D" w:rsidRPr="00301AF6">
              <w:rPr>
                <w:rFonts w:ascii="Times New Roman" w:hAnsi="Times New Roman" w:cs="Times New Roman"/>
                <w:color w:val="000000" w:themeColor="text1"/>
                <w:sz w:val="20"/>
                <w:szCs w:val="20"/>
                <w:lang w:val="fr-FR"/>
              </w:rPr>
              <w:t xml:space="preserve"> égale compétente, privilégier les techniciens locaux </w:t>
            </w:r>
          </w:p>
        </w:tc>
      </w:tr>
    </w:tbl>
    <w:p w14:paraId="4326C788" w14:textId="77777777" w:rsidR="00DE241D" w:rsidRPr="00260790" w:rsidRDefault="00DE241D" w:rsidP="00E20250">
      <w:pPr>
        <w:spacing w:line="240" w:lineRule="auto"/>
        <w:jc w:val="both"/>
        <w:rPr>
          <w:rFonts w:ascii="Times New Roman" w:hAnsi="Times New Roman"/>
          <w:color w:val="000000" w:themeColor="text1"/>
        </w:rPr>
      </w:pPr>
    </w:p>
    <w:p w14:paraId="41C1960F" w14:textId="77777777" w:rsidR="00DE241D" w:rsidRPr="00260790" w:rsidRDefault="00DE241D" w:rsidP="001748C6">
      <w:pPr>
        <w:pStyle w:val="Paragraphedeliste"/>
        <w:numPr>
          <w:ilvl w:val="0"/>
          <w:numId w:val="276"/>
        </w:numPr>
        <w:spacing w:after="0" w:line="240" w:lineRule="auto"/>
        <w:jc w:val="both"/>
        <w:rPr>
          <w:rFonts w:ascii="Times New Roman" w:hAnsi="Times New Roman"/>
          <w:b/>
          <w:i/>
          <w:color w:val="000000" w:themeColor="text1"/>
        </w:rPr>
      </w:pPr>
      <w:r w:rsidRPr="00260790">
        <w:rPr>
          <w:rFonts w:ascii="Times New Roman" w:hAnsi="Times New Roman"/>
          <w:b/>
          <w:i/>
          <w:color w:val="000000" w:themeColor="text1"/>
          <w:u w:val="single"/>
        </w:rPr>
        <w:lastRenderedPageBreak/>
        <w:t>IP 2.</w:t>
      </w:r>
      <w:r w:rsidRPr="00260790">
        <w:rPr>
          <w:rFonts w:ascii="Times New Roman" w:hAnsi="Times New Roman"/>
          <w:b/>
          <w:i/>
          <w:color w:val="000000" w:themeColor="text1"/>
        </w:rPr>
        <w:t xml:space="preserve"> Opportunité d’activités génératrices de revenus (restauration, petit commerce) autour du chantier</w:t>
      </w:r>
    </w:p>
    <w:p w14:paraId="3AA68C46"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projet constituera une opportunité pour les tenanciers de gargote et les petits commerçants (restauration et vente de produits de première nécessité comme de l’eau et des sucreries aux travailleurs du chantier) de s’installer et de développer leurs activités autour du chantier. De telles activités devront être facilitées aux acteurs pour peu que cela ne nuise à la sécurité publique et à la bonne marche du projet. </w:t>
      </w:r>
    </w:p>
    <w:tbl>
      <w:tblPr>
        <w:tblStyle w:val="Grilledutableau"/>
        <w:tblW w:w="5000" w:type="pct"/>
        <w:tblLook w:val="04A0" w:firstRow="1" w:lastRow="0" w:firstColumn="1" w:lastColumn="0" w:noHBand="0" w:noVBand="1"/>
      </w:tblPr>
      <w:tblGrid>
        <w:gridCol w:w="2124"/>
        <w:gridCol w:w="3118"/>
        <w:gridCol w:w="3818"/>
      </w:tblGrid>
      <w:tr w:rsidR="00BD1A2F" w:rsidRPr="00632C4D" w14:paraId="3918ECDF" w14:textId="77777777" w:rsidTr="003A0E4A">
        <w:tc>
          <w:tcPr>
            <w:tcW w:w="1172" w:type="pct"/>
            <w:shd w:val="clear" w:color="auto" w:fill="D9E2F3" w:themeFill="accent5" w:themeFillTint="33"/>
          </w:tcPr>
          <w:p w14:paraId="22603691"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 xml:space="preserve">Sources </w:t>
            </w:r>
            <w:proofErr w:type="spellStart"/>
            <w:r w:rsidRPr="0097258B">
              <w:rPr>
                <w:rFonts w:ascii="Times New Roman" w:hAnsi="Times New Roman" w:cs="Times New Roman"/>
                <w:b/>
                <w:bCs/>
                <w:color w:val="000000" w:themeColor="text1"/>
                <w:sz w:val="20"/>
                <w:szCs w:val="20"/>
              </w:rPr>
              <w:t>d’impacts</w:t>
            </w:r>
            <w:proofErr w:type="spellEnd"/>
          </w:p>
        </w:tc>
        <w:tc>
          <w:tcPr>
            <w:tcW w:w="1721" w:type="pct"/>
            <w:shd w:val="clear" w:color="auto" w:fill="D9E2F3" w:themeFill="accent5" w:themeFillTint="33"/>
          </w:tcPr>
          <w:p w14:paraId="601A2A0C"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Impacts</w:t>
            </w:r>
          </w:p>
        </w:tc>
        <w:tc>
          <w:tcPr>
            <w:tcW w:w="2107" w:type="pct"/>
            <w:shd w:val="clear" w:color="auto" w:fill="D9E2F3" w:themeFill="accent5" w:themeFillTint="33"/>
          </w:tcPr>
          <w:p w14:paraId="66CBF23D"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Mesures</w:t>
            </w:r>
            <w:proofErr w:type="spellEnd"/>
            <w:r w:rsidRPr="0097258B">
              <w:rPr>
                <w:rFonts w:ascii="Times New Roman" w:hAnsi="Times New Roman" w:cs="Times New Roman"/>
                <w:b/>
                <w:bCs/>
                <w:color w:val="000000" w:themeColor="text1"/>
                <w:sz w:val="20"/>
                <w:szCs w:val="20"/>
              </w:rPr>
              <w:t xml:space="preserve"> de bonification</w:t>
            </w:r>
          </w:p>
        </w:tc>
      </w:tr>
      <w:tr w:rsidR="00BD1A2F" w:rsidRPr="00632C4D" w14:paraId="44067A5C" w14:textId="77777777" w:rsidTr="003A0E4A">
        <w:tc>
          <w:tcPr>
            <w:tcW w:w="1172" w:type="pct"/>
          </w:tcPr>
          <w:p w14:paraId="0C43F145"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p>
          <w:p w14:paraId="258B97C5"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Approvisionnement</w:t>
            </w:r>
            <w:proofErr w:type="spellEnd"/>
            <w:r w:rsidRPr="0097258B">
              <w:rPr>
                <w:rFonts w:ascii="Times New Roman" w:hAnsi="Times New Roman" w:cs="Times New Roman"/>
                <w:color w:val="000000" w:themeColor="text1"/>
                <w:sz w:val="20"/>
                <w:szCs w:val="20"/>
              </w:rPr>
              <w:t xml:space="preserve"> des </w:t>
            </w:r>
            <w:proofErr w:type="spellStart"/>
            <w:r w:rsidRPr="0097258B">
              <w:rPr>
                <w:rFonts w:ascii="Times New Roman" w:hAnsi="Times New Roman" w:cs="Times New Roman"/>
                <w:color w:val="000000" w:themeColor="text1"/>
                <w:sz w:val="20"/>
                <w:szCs w:val="20"/>
              </w:rPr>
              <w:t>travailleurs</w:t>
            </w:r>
            <w:proofErr w:type="spellEnd"/>
          </w:p>
        </w:tc>
        <w:tc>
          <w:tcPr>
            <w:tcW w:w="1721" w:type="pct"/>
          </w:tcPr>
          <w:p w14:paraId="774A20C7" w14:textId="77777777" w:rsidR="00DE241D" w:rsidRPr="0097258B" w:rsidRDefault="00DE241D" w:rsidP="00C000D3">
            <w:pPr>
              <w:pStyle w:val="Default"/>
              <w:overflowPunct w:val="0"/>
              <w:jc w:val="both"/>
              <w:textAlignment w:val="baseline"/>
              <w:rPr>
                <w:rFonts w:ascii="Times New Roman" w:hAnsi="Times New Roman" w:cs="Times New Roman"/>
                <w:b/>
                <w:bCs/>
                <w:i/>
                <w:iCs/>
                <w:color w:val="000000" w:themeColor="text1"/>
                <w:sz w:val="20"/>
                <w:szCs w:val="20"/>
                <w:lang w:val="fr-FR"/>
              </w:rPr>
            </w:pPr>
            <w:r w:rsidRPr="00301AF6">
              <w:rPr>
                <w:rFonts w:ascii="Times New Roman" w:hAnsi="Times New Roman" w:cs="Times New Roman"/>
                <w:b/>
                <w:bCs/>
                <w:i/>
                <w:iCs/>
                <w:color w:val="000000" w:themeColor="text1"/>
                <w:sz w:val="20"/>
                <w:szCs w:val="20"/>
                <w:lang w:val="fr-FR"/>
              </w:rPr>
              <w:t>IP2 : Opportunité d’activités génératrices de revenus (restauration, petit commerce) autour du chantier</w:t>
            </w:r>
          </w:p>
        </w:tc>
        <w:tc>
          <w:tcPr>
            <w:tcW w:w="2107" w:type="pct"/>
          </w:tcPr>
          <w:p w14:paraId="71D865AE"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Aménager des locaux pour les tenanciers de gargotes et les petits commerçants ;</w:t>
            </w:r>
          </w:p>
          <w:p w14:paraId="15C1B9ED"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Sensibiliser les acteurs sur les règles d’hygiène et de salubrité.</w:t>
            </w:r>
          </w:p>
        </w:tc>
      </w:tr>
    </w:tbl>
    <w:p w14:paraId="4790FD47" w14:textId="77777777" w:rsidR="00DE241D" w:rsidRPr="00260790" w:rsidRDefault="00DE241D" w:rsidP="00BE2AA9">
      <w:pPr>
        <w:spacing w:after="0" w:line="240" w:lineRule="auto"/>
        <w:jc w:val="both"/>
        <w:rPr>
          <w:rFonts w:ascii="Times New Roman" w:hAnsi="Times New Roman"/>
          <w:color w:val="000000" w:themeColor="text1"/>
        </w:rPr>
      </w:pPr>
    </w:p>
    <w:p w14:paraId="20516F2D" w14:textId="77777777" w:rsidR="00DE241D" w:rsidRPr="00260790" w:rsidRDefault="00DE241D" w:rsidP="001748C6">
      <w:pPr>
        <w:pStyle w:val="Paragraphedeliste"/>
        <w:numPr>
          <w:ilvl w:val="0"/>
          <w:numId w:val="276"/>
        </w:numPr>
        <w:spacing w:after="0" w:line="240" w:lineRule="auto"/>
        <w:jc w:val="both"/>
        <w:rPr>
          <w:rFonts w:ascii="Times New Roman" w:hAnsi="Times New Roman"/>
          <w:b/>
          <w:i/>
          <w:color w:val="000000" w:themeColor="text1"/>
        </w:rPr>
      </w:pPr>
      <w:r w:rsidRPr="00260790">
        <w:rPr>
          <w:rFonts w:ascii="Times New Roman" w:hAnsi="Times New Roman"/>
          <w:b/>
          <w:i/>
          <w:color w:val="000000" w:themeColor="text1"/>
        </w:rPr>
        <w:t>IP 3. Opportunité d’affaires pour les prestataires et fournisseurs locaux (</w:t>
      </w:r>
      <w:r w:rsidRPr="00260790">
        <w:rPr>
          <w:rFonts w:ascii="Times New Roman" w:hAnsi="Times New Roman"/>
          <w:b/>
          <w:i/>
          <w:color w:val="000000" w:themeColor="text1"/>
          <w:lang w:eastAsia="fr-FR"/>
        </w:rPr>
        <w:t>PME et PMI (transport, vente de matériaux de construction)</w:t>
      </w:r>
    </w:p>
    <w:p w14:paraId="6F22D7C7"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investissements prévus nécessiteront des achats de matériaux de construction et d’équipements (ciment, fer ; graviers, sable, tuyauterie…), ainsi que des travaux de génie civil (aménagement du site, ouverture manuelle ou mécanique de tranchées, construction des collecteurs …). </w:t>
      </w:r>
    </w:p>
    <w:p w14:paraId="26BCE39B" w14:textId="7737AAFD"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Le projet constituera donc une opportunité d’affaires pour les entreprises du BTP, les bureaux de contrôle technique, les importateurs-exportateurs et les bureaux d’ingénierie</w:t>
      </w:r>
      <w:r w:rsidR="00D17C69" w:rsidRPr="00260790">
        <w:rPr>
          <w:rFonts w:ascii="Times New Roman" w:hAnsi="Times New Roman"/>
          <w:color w:val="000000" w:themeColor="text1"/>
        </w:rPr>
        <w:t>-</w:t>
      </w:r>
      <w:r w:rsidRPr="00260790">
        <w:rPr>
          <w:rFonts w:ascii="Times New Roman" w:hAnsi="Times New Roman"/>
          <w:color w:val="000000" w:themeColor="text1"/>
        </w:rPr>
        <w:t>conseil (géotechnique, évaluation environnementale</w:t>
      </w:r>
      <w:r w:rsidR="001A5354" w:rsidRPr="00260790">
        <w:rPr>
          <w:rFonts w:ascii="Times New Roman" w:hAnsi="Times New Roman"/>
          <w:color w:val="000000" w:themeColor="text1"/>
        </w:rPr>
        <w:t>,</w:t>
      </w:r>
      <w:r w:rsidRPr="00260790">
        <w:rPr>
          <w:rFonts w:ascii="Times New Roman" w:hAnsi="Times New Roman"/>
          <w:color w:val="000000" w:themeColor="text1"/>
        </w:rPr>
        <w:t xml:space="preserve"> etc.). </w:t>
      </w:r>
    </w:p>
    <w:tbl>
      <w:tblPr>
        <w:tblStyle w:val="Grilledutableau"/>
        <w:tblW w:w="5000" w:type="pct"/>
        <w:tblLook w:val="04A0" w:firstRow="1" w:lastRow="0" w:firstColumn="1" w:lastColumn="0" w:noHBand="0" w:noVBand="1"/>
      </w:tblPr>
      <w:tblGrid>
        <w:gridCol w:w="2112"/>
        <w:gridCol w:w="2385"/>
        <w:gridCol w:w="4563"/>
      </w:tblGrid>
      <w:tr w:rsidR="00BD1A2F" w:rsidRPr="00632C4D" w14:paraId="33DD8FE1" w14:textId="77777777" w:rsidTr="003A0E4A">
        <w:tc>
          <w:tcPr>
            <w:tcW w:w="1166" w:type="pct"/>
            <w:shd w:val="clear" w:color="auto" w:fill="D9E2F3" w:themeFill="accent5" w:themeFillTint="33"/>
          </w:tcPr>
          <w:p w14:paraId="377483F5"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 xml:space="preserve">Sources </w:t>
            </w:r>
            <w:proofErr w:type="spellStart"/>
            <w:r w:rsidRPr="0097258B">
              <w:rPr>
                <w:rFonts w:ascii="Times New Roman" w:hAnsi="Times New Roman" w:cs="Times New Roman"/>
                <w:b/>
                <w:bCs/>
                <w:color w:val="000000" w:themeColor="text1"/>
                <w:sz w:val="20"/>
                <w:szCs w:val="20"/>
              </w:rPr>
              <w:t>d’impacts</w:t>
            </w:r>
            <w:proofErr w:type="spellEnd"/>
          </w:p>
        </w:tc>
        <w:tc>
          <w:tcPr>
            <w:tcW w:w="1316" w:type="pct"/>
            <w:shd w:val="clear" w:color="auto" w:fill="D9E2F3" w:themeFill="accent5" w:themeFillTint="33"/>
          </w:tcPr>
          <w:p w14:paraId="0BF70EE5"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Impacts</w:t>
            </w:r>
          </w:p>
        </w:tc>
        <w:tc>
          <w:tcPr>
            <w:tcW w:w="2518" w:type="pct"/>
            <w:shd w:val="clear" w:color="auto" w:fill="D9E2F3" w:themeFill="accent5" w:themeFillTint="33"/>
          </w:tcPr>
          <w:p w14:paraId="20032635"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Mesures</w:t>
            </w:r>
            <w:proofErr w:type="spellEnd"/>
            <w:r w:rsidRPr="0097258B">
              <w:rPr>
                <w:rFonts w:ascii="Times New Roman" w:hAnsi="Times New Roman" w:cs="Times New Roman"/>
                <w:b/>
                <w:bCs/>
                <w:color w:val="000000" w:themeColor="text1"/>
                <w:sz w:val="20"/>
                <w:szCs w:val="20"/>
              </w:rPr>
              <w:t xml:space="preserve"> de bonification</w:t>
            </w:r>
          </w:p>
        </w:tc>
      </w:tr>
      <w:tr w:rsidR="00BD1A2F" w:rsidRPr="00632C4D" w14:paraId="50D40EFB" w14:textId="77777777" w:rsidTr="003A0E4A">
        <w:tc>
          <w:tcPr>
            <w:tcW w:w="1166" w:type="pct"/>
          </w:tcPr>
          <w:p w14:paraId="55E56F4C"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p>
          <w:p w14:paraId="5DEB982A"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Approvisionnement</w:t>
            </w:r>
            <w:proofErr w:type="spellEnd"/>
            <w:r w:rsidRPr="0097258B">
              <w:rPr>
                <w:rFonts w:ascii="Times New Roman" w:hAnsi="Times New Roman" w:cs="Times New Roman"/>
                <w:color w:val="000000" w:themeColor="text1"/>
                <w:sz w:val="20"/>
                <w:szCs w:val="20"/>
              </w:rPr>
              <w:t xml:space="preserve"> du </w:t>
            </w:r>
            <w:proofErr w:type="spellStart"/>
            <w:r w:rsidRPr="0097258B">
              <w:rPr>
                <w:rFonts w:ascii="Times New Roman" w:hAnsi="Times New Roman" w:cs="Times New Roman"/>
                <w:color w:val="000000" w:themeColor="text1"/>
                <w:sz w:val="20"/>
                <w:szCs w:val="20"/>
              </w:rPr>
              <w:t>chantier</w:t>
            </w:r>
            <w:proofErr w:type="spellEnd"/>
          </w:p>
        </w:tc>
        <w:tc>
          <w:tcPr>
            <w:tcW w:w="1316" w:type="pct"/>
          </w:tcPr>
          <w:p w14:paraId="32397021" w14:textId="77777777" w:rsidR="00DE241D" w:rsidRPr="0097258B" w:rsidRDefault="00DE241D" w:rsidP="00C000D3">
            <w:pPr>
              <w:spacing w:line="240" w:lineRule="auto"/>
              <w:jc w:val="both"/>
              <w:rPr>
                <w:rFonts w:ascii="Times New Roman" w:hAnsi="Times New Roman"/>
                <w:b/>
                <w:i/>
                <w:color w:val="000000" w:themeColor="text1"/>
                <w:u w:val="single"/>
                <w:lang w:val="fr-FR"/>
              </w:rPr>
            </w:pPr>
            <w:r w:rsidRPr="00301AF6">
              <w:rPr>
                <w:rFonts w:ascii="Times New Roman" w:eastAsia="Times New Roman" w:hAnsi="Times New Roman"/>
                <w:b/>
                <w:bCs/>
                <w:i/>
                <w:iCs/>
                <w:color w:val="000000" w:themeColor="text1"/>
                <w:lang w:val="fr-FR" w:eastAsia="fr-FR"/>
              </w:rPr>
              <w:t xml:space="preserve">IP 3. Opportunité d’affaires pour les entreprises prestataires et fournisseuses locales </w:t>
            </w:r>
            <w:r w:rsidRPr="00301AF6">
              <w:rPr>
                <w:rFonts w:ascii="Times New Roman" w:hAnsi="Times New Roman"/>
                <w:b/>
                <w:i/>
                <w:color w:val="000000" w:themeColor="text1"/>
                <w:u w:val="single"/>
                <w:lang w:val="fr-FR"/>
              </w:rPr>
              <w:t>(</w:t>
            </w:r>
            <w:r w:rsidRPr="00301AF6">
              <w:rPr>
                <w:rFonts w:ascii="Times New Roman" w:hAnsi="Times New Roman"/>
                <w:b/>
                <w:i/>
                <w:color w:val="000000" w:themeColor="text1"/>
                <w:lang w:val="fr-FR" w:eastAsia="fr-FR"/>
              </w:rPr>
              <w:t>PME et PMI (transport et vente de matériaux de construction)</w:t>
            </w:r>
          </w:p>
        </w:tc>
        <w:tc>
          <w:tcPr>
            <w:tcW w:w="2518" w:type="pct"/>
          </w:tcPr>
          <w:p w14:paraId="608F78E7" w14:textId="77777777" w:rsidR="00DE241D" w:rsidRPr="0097258B" w:rsidRDefault="00DE241D" w:rsidP="00C000D3">
            <w:pPr>
              <w:pStyle w:val="Default"/>
              <w:numPr>
                <w:ilvl w:val="0"/>
                <w:numId w:val="289"/>
              </w:numPr>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Privilégier les opérateurs et matériaux locaux ;</w:t>
            </w:r>
          </w:p>
          <w:p w14:paraId="7B1E2ABA" w14:textId="77777777" w:rsidR="00DE241D" w:rsidRPr="0097258B" w:rsidRDefault="00DE241D" w:rsidP="00C000D3">
            <w:pPr>
              <w:pStyle w:val="Default"/>
              <w:numPr>
                <w:ilvl w:val="0"/>
                <w:numId w:val="289"/>
              </w:numPr>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Faciliter l’accès des entreprises locales aux financements ;</w:t>
            </w:r>
          </w:p>
          <w:p w14:paraId="4F5A2897" w14:textId="77777777" w:rsidR="00DE241D" w:rsidRPr="0097258B" w:rsidRDefault="00DE241D" w:rsidP="00C000D3">
            <w:pPr>
              <w:pStyle w:val="Default"/>
              <w:numPr>
                <w:ilvl w:val="0"/>
                <w:numId w:val="289"/>
              </w:numPr>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Respecter les dispositions du Code des marchés publics pour assurer la transparence lors du recrutement des entreprises et éviter toute corruption.</w:t>
            </w:r>
          </w:p>
        </w:tc>
      </w:tr>
    </w:tbl>
    <w:p w14:paraId="724FA320" w14:textId="77777777" w:rsidR="00DE241D" w:rsidRPr="00260790" w:rsidRDefault="00DE241D" w:rsidP="00E20250">
      <w:pPr>
        <w:spacing w:line="240" w:lineRule="auto"/>
        <w:jc w:val="both"/>
        <w:rPr>
          <w:rFonts w:ascii="Times New Roman" w:hAnsi="Times New Roman"/>
          <w:color w:val="000000" w:themeColor="text1"/>
        </w:rPr>
      </w:pPr>
    </w:p>
    <w:p w14:paraId="7431EAB3" w14:textId="2DA7A200" w:rsidR="00DE241D" w:rsidRPr="00260790" w:rsidRDefault="00DE241D" w:rsidP="001748C6">
      <w:pPr>
        <w:pStyle w:val="Paragraphedeliste"/>
        <w:numPr>
          <w:ilvl w:val="0"/>
          <w:numId w:val="276"/>
        </w:numPr>
        <w:spacing w:after="0" w:line="240" w:lineRule="auto"/>
        <w:jc w:val="both"/>
        <w:rPr>
          <w:rFonts w:ascii="Times New Roman" w:hAnsi="Times New Roman"/>
          <w:b/>
          <w:bCs/>
          <w:i/>
          <w:iCs/>
          <w:color w:val="000000" w:themeColor="text1"/>
        </w:rPr>
      </w:pPr>
      <w:r w:rsidRPr="00260790">
        <w:rPr>
          <w:rFonts w:ascii="Times New Roman" w:hAnsi="Times New Roman"/>
          <w:b/>
          <w:i/>
          <w:color w:val="000000" w:themeColor="text1"/>
        </w:rPr>
        <w:t>IP 4. Génération de recettes (taxes et redevance) pour l’</w:t>
      </w:r>
      <w:r w:rsidR="00F11A3D" w:rsidRPr="00260790">
        <w:rPr>
          <w:rFonts w:ascii="Times New Roman" w:hAnsi="Times New Roman"/>
          <w:b/>
          <w:i/>
          <w:color w:val="000000" w:themeColor="text1"/>
        </w:rPr>
        <w:t>État</w:t>
      </w:r>
      <w:r w:rsidRPr="00260790">
        <w:rPr>
          <w:rFonts w:ascii="Times New Roman" w:hAnsi="Times New Roman"/>
          <w:b/>
          <w:i/>
          <w:color w:val="000000" w:themeColor="text1"/>
        </w:rPr>
        <w:t xml:space="preserve"> et les </w:t>
      </w:r>
      <w:r w:rsidRPr="00260790">
        <w:rPr>
          <w:rFonts w:ascii="Times New Roman" w:hAnsi="Times New Roman"/>
          <w:b/>
          <w:bCs/>
          <w:i/>
          <w:iCs/>
          <w:color w:val="000000" w:themeColor="text1"/>
        </w:rPr>
        <w:t xml:space="preserve">Communes de Mbao, de Rufisque Ouest, de </w:t>
      </w:r>
      <w:proofErr w:type="spellStart"/>
      <w:r w:rsidRPr="00260790">
        <w:rPr>
          <w:rFonts w:ascii="Times New Roman" w:hAnsi="Times New Roman"/>
          <w:b/>
          <w:bCs/>
          <w:i/>
          <w:iCs/>
          <w:color w:val="000000" w:themeColor="text1"/>
        </w:rPr>
        <w:t>Jaxaay</w:t>
      </w:r>
      <w:proofErr w:type="spellEnd"/>
      <w:r w:rsidRPr="00260790">
        <w:rPr>
          <w:rFonts w:ascii="Times New Roman" w:hAnsi="Times New Roman"/>
          <w:b/>
          <w:bCs/>
          <w:i/>
          <w:iCs/>
          <w:color w:val="000000" w:themeColor="text1"/>
        </w:rPr>
        <w:t>-Parcelles-</w:t>
      </w:r>
      <w:proofErr w:type="spellStart"/>
      <w:r w:rsidRPr="00260790">
        <w:rPr>
          <w:rFonts w:ascii="Times New Roman" w:hAnsi="Times New Roman"/>
          <w:b/>
          <w:bCs/>
          <w:i/>
          <w:iCs/>
          <w:color w:val="000000" w:themeColor="text1"/>
        </w:rPr>
        <w:t>Niakoulrap</w:t>
      </w:r>
      <w:proofErr w:type="spellEnd"/>
      <w:r w:rsidRPr="00260790">
        <w:rPr>
          <w:rFonts w:ascii="Times New Roman" w:hAnsi="Times New Roman"/>
          <w:b/>
          <w:bCs/>
          <w:i/>
          <w:iCs/>
          <w:color w:val="000000" w:themeColor="text1"/>
        </w:rPr>
        <w:t xml:space="preserve"> et de Keur Massar Sud</w:t>
      </w:r>
    </w:p>
    <w:p w14:paraId="3A05BA68" w14:textId="4C0D416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Le projet nécessitera des acquisitions d’équipements dont certains seront importés. Les droits de douane, les taxes sur les produits importés, les taxes fonci</w:t>
      </w:r>
      <w:r w:rsidR="00D17C69" w:rsidRPr="00260790">
        <w:rPr>
          <w:rFonts w:ascii="Times New Roman" w:hAnsi="Times New Roman"/>
          <w:color w:val="000000" w:themeColor="text1"/>
        </w:rPr>
        <w:t>ère</w:t>
      </w:r>
      <w:r w:rsidRPr="00260790">
        <w:rPr>
          <w:rFonts w:ascii="Times New Roman" w:hAnsi="Times New Roman"/>
          <w:color w:val="000000" w:themeColor="text1"/>
        </w:rPr>
        <w:t xml:space="preserve">s (location des emprises de la base de chantier) qui seront perçus seront autant des sources de devises pour la régie financière du Sénégal et les Communes concernées. </w:t>
      </w:r>
    </w:p>
    <w:tbl>
      <w:tblPr>
        <w:tblStyle w:val="Grilledutableau"/>
        <w:tblW w:w="5000" w:type="pct"/>
        <w:tblLook w:val="04A0" w:firstRow="1" w:lastRow="0" w:firstColumn="1" w:lastColumn="0" w:noHBand="0" w:noVBand="1"/>
      </w:tblPr>
      <w:tblGrid>
        <w:gridCol w:w="2247"/>
        <w:gridCol w:w="3972"/>
        <w:gridCol w:w="2841"/>
      </w:tblGrid>
      <w:tr w:rsidR="00BD1A2F" w:rsidRPr="00632C4D" w14:paraId="632142F7" w14:textId="77777777" w:rsidTr="003A0E4A">
        <w:tc>
          <w:tcPr>
            <w:tcW w:w="1240" w:type="pct"/>
            <w:shd w:val="clear" w:color="auto" w:fill="D9E2F3" w:themeFill="accent5" w:themeFillTint="33"/>
          </w:tcPr>
          <w:p w14:paraId="08CCF87C"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 xml:space="preserve">Sources </w:t>
            </w:r>
            <w:proofErr w:type="spellStart"/>
            <w:r w:rsidRPr="0097258B">
              <w:rPr>
                <w:rFonts w:ascii="Times New Roman" w:hAnsi="Times New Roman" w:cs="Times New Roman"/>
                <w:b/>
                <w:bCs/>
                <w:color w:val="000000" w:themeColor="text1"/>
                <w:sz w:val="20"/>
                <w:szCs w:val="20"/>
              </w:rPr>
              <w:t>d’impacts</w:t>
            </w:r>
            <w:proofErr w:type="spellEnd"/>
          </w:p>
        </w:tc>
        <w:tc>
          <w:tcPr>
            <w:tcW w:w="2192" w:type="pct"/>
            <w:shd w:val="clear" w:color="auto" w:fill="D9E2F3" w:themeFill="accent5" w:themeFillTint="33"/>
          </w:tcPr>
          <w:p w14:paraId="3A655236"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Impacts</w:t>
            </w:r>
          </w:p>
        </w:tc>
        <w:tc>
          <w:tcPr>
            <w:tcW w:w="1568" w:type="pct"/>
            <w:shd w:val="clear" w:color="auto" w:fill="D9E2F3" w:themeFill="accent5" w:themeFillTint="33"/>
          </w:tcPr>
          <w:p w14:paraId="5C0FBF0D"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Mesures</w:t>
            </w:r>
            <w:proofErr w:type="spellEnd"/>
            <w:r w:rsidRPr="0097258B">
              <w:rPr>
                <w:rFonts w:ascii="Times New Roman" w:hAnsi="Times New Roman" w:cs="Times New Roman"/>
                <w:b/>
                <w:bCs/>
                <w:color w:val="000000" w:themeColor="text1"/>
                <w:sz w:val="20"/>
                <w:szCs w:val="20"/>
              </w:rPr>
              <w:t xml:space="preserve"> de bonification</w:t>
            </w:r>
          </w:p>
        </w:tc>
      </w:tr>
      <w:tr w:rsidR="00BD1A2F" w:rsidRPr="00632C4D" w14:paraId="25586E3D" w14:textId="77777777" w:rsidTr="003A0E4A">
        <w:tc>
          <w:tcPr>
            <w:tcW w:w="1240" w:type="pct"/>
          </w:tcPr>
          <w:p w14:paraId="0E12F77E"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Importation des équipements, location des emprises de la base de chantiers</w:t>
            </w:r>
          </w:p>
        </w:tc>
        <w:tc>
          <w:tcPr>
            <w:tcW w:w="2192" w:type="pct"/>
          </w:tcPr>
          <w:p w14:paraId="08AD569F" w14:textId="77777777" w:rsidR="00DE241D" w:rsidRPr="0097258B" w:rsidRDefault="00DE241D" w:rsidP="00C000D3">
            <w:pPr>
              <w:pStyle w:val="Default"/>
              <w:overflowPunct w:val="0"/>
              <w:jc w:val="both"/>
              <w:textAlignment w:val="baseline"/>
              <w:rPr>
                <w:rFonts w:ascii="Times New Roman" w:hAnsi="Times New Roman" w:cs="Times New Roman"/>
                <w:b/>
                <w:bCs/>
                <w:i/>
                <w:iCs/>
                <w:color w:val="000000" w:themeColor="text1"/>
                <w:sz w:val="20"/>
                <w:szCs w:val="20"/>
                <w:lang w:val="fr-FR"/>
              </w:rPr>
            </w:pPr>
            <w:r w:rsidRPr="00301AF6">
              <w:rPr>
                <w:rFonts w:ascii="Times New Roman" w:hAnsi="Times New Roman" w:cs="Times New Roman"/>
                <w:b/>
                <w:bCs/>
                <w:i/>
                <w:iCs/>
                <w:color w:val="000000" w:themeColor="text1"/>
                <w:sz w:val="20"/>
                <w:szCs w:val="20"/>
                <w:lang w:val="fr-FR"/>
              </w:rPr>
              <w:t xml:space="preserve">IP 3. Opportunité d’affaires pour les entreprises prestataires et fournisseuses locales </w:t>
            </w:r>
            <w:r w:rsidRPr="00301AF6">
              <w:rPr>
                <w:rFonts w:ascii="Times New Roman" w:hAnsi="Times New Roman" w:cs="Times New Roman"/>
                <w:b/>
                <w:i/>
                <w:color w:val="000000" w:themeColor="text1"/>
                <w:sz w:val="20"/>
                <w:szCs w:val="20"/>
                <w:u w:val="single"/>
                <w:lang w:val="fr-FR"/>
              </w:rPr>
              <w:t>(</w:t>
            </w:r>
            <w:r w:rsidRPr="00301AF6">
              <w:rPr>
                <w:rFonts w:ascii="Times New Roman" w:hAnsi="Times New Roman" w:cs="Times New Roman"/>
                <w:b/>
                <w:i/>
                <w:color w:val="000000" w:themeColor="text1"/>
                <w:sz w:val="20"/>
                <w:szCs w:val="20"/>
                <w:lang w:val="fr-FR"/>
              </w:rPr>
              <w:t>PME et PMI (transport et vente de matériaux de construction)</w:t>
            </w:r>
          </w:p>
        </w:tc>
        <w:tc>
          <w:tcPr>
            <w:tcW w:w="1568" w:type="pct"/>
          </w:tcPr>
          <w:p w14:paraId="7CE0CDED"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Respecter la législation fiscale ;</w:t>
            </w:r>
          </w:p>
          <w:p w14:paraId="5748F7D4"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Veiller à la transparence des opérations douanières.</w:t>
            </w:r>
          </w:p>
        </w:tc>
      </w:tr>
    </w:tbl>
    <w:p w14:paraId="4C89D50E" w14:textId="77777777" w:rsidR="00DE241D" w:rsidRPr="00260790" w:rsidRDefault="00DE241D" w:rsidP="00E20250">
      <w:pPr>
        <w:spacing w:after="0" w:line="240" w:lineRule="auto"/>
        <w:rPr>
          <w:rFonts w:ascii="Times New Roman" w:hAnsi="Times New Roman"/>
          <w:color w:val="000000" w:themeColor="text1"/>
          <w:lang w:eastAsia="fr-FR"/>
        </w:rPr>
      </w:pPr>
    </w:p>
    <w:p w14:paraId="5EBF4B15" w14:textId="7B7D9788" w:rsidR="00DE241D" w:rsidRPr="00260790" w:rsidRDefault="00C34C0F" w:rsidP="001748C6">
      <w:pPr>
        <w:pStyle w:val="CHAPITRE1"/>
        <w:numPr>
          <w:ilvl w:val="3"/>
          <w:numId w:val="139"/>
        </w:numPr>
        <w:rPr>
          <w:rFonts w:cs="Times New Roman"/>
          <w:i/>
          <w:iCs/>
        </w:rPr>
      </w:pPr>
      <w:bookmarkStart w:id="606" w:name="_Toc212725133"/>
      <w:r>
        <w:rPr>
          <w:rFonts w:cs="Times New Roman"/>
          <w:i/>
          <w:iCs/>
        </w:rPr>
        <w:t>E</w:t>
      </w:r>
      <w:r w:rsidR="00DE241D" w:rsidRPr="00260790">
        <w:rPr>
          <w:rFonts w:cs="Times New Roman"/>
          <w:i/>
          <w:iCs/>
        </w:rPr>
        <w:t>n phase exploitation</w:t>
      </w:r>
      <w:bookmarkEnd w:id="606"/>
      <w:r w:rsidR="00DE241D" w:rsidRPr="00260790">
        <w:rPr>
          <w:rFonts w:cs="Times New Roman"/>
          <w:i/>
          <w:iCs/>
        </w:rPr>
        <w:t xml:space="preserve"> </w:t>
      </w:r>
    </w:p>
    <w:p w14:paraId="65619BDB" w14:textId="78705AD6" w:rsidR="00DE241D" w:rsidRDefault="00DE241D" w:rsidP="001748C6">
      <w:pPr>
        <w:pStyle w:val="Paragraphedeliste"/>
        <w:numPr>
          <w:ilvl w:val="0"/>
          <w:numId w:val="276"/>
        </w:numPr>
        <w:spacing w:after="0" w:line="240" w:lineRule="auto"/>
        <w:jc w:val="both"/>
        <w:rPr>
          <w:rFonts w:ascii="Times New Roman" w:hAnsi="Times New Roman"/>
          <w:b/>
          <w:bCs/>
          <w:i/>
          <w:iCs/>
          <w:color w:val="000000" w:themeColor="text1"/>
          <w:lang w:eastAsia="fr-FR"/>
        </w:rPr>
      </w:pPr>
      <w:r w:rsidRPr="00260790">
        <w:rPr>
          <w:rFonts w:ascii="Times New Roman" w:hAnsi="Times New Roman"/>
          <w:b/>
          <w:bCs/>
          <w:i/>
          <w:iCs/>
          <w:color w:val="000000" w:themeColor="text1"/>
          <w:lang w:eastAsia="fr-FR"/>
        </w:rPr>
        <w:t xml:space="preserve">IP-5. Maîtrise des inondations dans les Communes de Mbao, de Rufisque Ouest, de </w:t>
      </w:r>
      <w:proofErr w:type="spellStart"/>
      <w:r w:rsidRPr="00260790">
        <w:rPr>
          <w:rFonts w:ascii="Times New Roman" w:hAnsi="Times New Roman"/>
          <w:b/>
          <w:bCs/>
          <w:i/>
          <w:iCs/>
          <w:color w:val="000000" w:themeColor="text1"/>
          <w:lang w:eastAsia="fr-FR"/>
        </w:rPr>
        <w:t>Jaxaay</w:t>
      </w:r>
      <w:proofErr w:type="spellEnd"/>
      <w:r w:rsidRPr="00260790">
        <w:rPr>
          <w:rFonts w:ascii="Times New Roman" w:hAnsi="Times New Roman"/>
          <w:b/>
          <w:bCs/>
          <w:i/>
          <w:iCs/>
          <w:color w:val="000000" w:themeColor="text1"/>
          <w:lang w:eastAsia="fr-FR"/>
        </w:rPr>
        <w:t>-Parcelles-</w:t>
      </w:r>
      <w:proofErr w:type="spellStart"/>
      <w:r w:rsidRPr="00260790">
        <w:rPr>
          <w:rFonts w:ascii="Times New Roman" w:hAnsi="Times New Roman"/>
          <w:b/>
          <w:bCs/>
          <w:i/>
          <w:iCs/>
          <w:color w:val="000000" w:themeColor="text1"/>
          <w:lang w:eastAsia="fr-FR"/>
        </w:rPr>
        <w:t>Niakoulrap</w:t>
      </w:r>
      <w:proofErr w:type="spellEnd"/>
      <w:r w:rsidRPr="00260790">
        <w:rPr>
          <w:rFonts w:ascii="Times New Roman" w:hAnsi="Times New Roman"/>
          <w:b/>
          <w:bCs/>
          <w:i/>
          <w:iCs/>
          <w:color w:val="000000" w:themeColor="text1"/>
          <w:lang w:eastAsia="fr-FR"/>
        </w:rPr>
        <w:t xml:space="preserve"> et de Keur Massar Sud</w:t>
      </w:r>
    </w:p>
    <w:p w14:paraId="0959BACF" w14:textId="77777777" w:rsidR="00111235" w:rsidRPr="0097258B" w:rsidRDefault="00111235" w:rsidP="0097258B">
      <w:pPr>
        <w:spacing w:after="0" w:line="240" w:lineRule="auto"/>
        <w:ind w:left="360"/>
        <w:jc w:val="both"/>
        <w:rPr>
          <w:rFonts w:ascii="Times New Roman" w:hAnsi="Times New Roman"/>
          <w:b/>
          <w:bCs/>
          <w:i/>
          <w:iCs/>
          <w:color w:val="000000" w:themeColor="text1"/>
          <w:lang w:eastAsia="fr-FR"/>
        </w:rPr>
      </w:pPr>
    </w:p>
    <w:p w14:paraId="6CA50F60" w14:textId="27C5EA90" w:rsidR="00DE241D" w:rsidRPr="00260790" w:rsidRDefault="00DE241D"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L</w:t>
      </w:r>
      <w:r w:rsidR="00260AFC" w:rsidRPr="00260790">
        <w:rPr>
          <w:rFonts w:ascii="Times New Roman" w:hAnsi="Times New Roman"/>
          <w:color w:val="000000" w:themeColor="text1"/>
          <w:lang w:eastAsia="fr-FR"/>
        </w:rPr>
        <w:t>a</w:t>
      </w:r>
      <w:r w:rsidRPr="00260790">
        <w:rPr>
          <w:rFonts w:ascii="Times New Roman" w:hAnsi="Times New Roman"/>
          <w:color w:val="000000" w:themeColor="text1"/>
          <w:lang w:eastAsia="fr-FR"/>
        </w:rPr>
        <w:t xml:space="preserve"> mise en service des ouvrages d’assainissement projetés permettra d’assurer un bon drainage des eaux pluviales vers </w:t>
      </w:r>
      <w:r w:rsidRPr="00260790">
        <w:rPr>
          <w:rFonts w:ascii="Times New Roman" w:hAnsi="Times New Roman"/>
          <w:color w:val="000000" w:themeColor="text1"/>
        </w:rPr>
        <w:t>le Marigot de Mbao et son exutoire</w:t>
      </w:r>
      <w:r w:rsidRPr="00260790">
        <w:rPr>
          <w:rFonts w:ascii="Times New Roman" w:hAnsi="Times New Roman"/>
          <w:color w:val="000000" w:themeColor="text1"/>
          <w:lang w:eastAsia="fr-FR"/>
        </w:rPr>
        <w:t xml:space="preserve">, et donc de maîtriser les inondations dans les </w:t>
      </w:r>
      <w:r w:rsidRPr="00260790">
        <w:rPr>
          <w:rFonts w:ascii="Times New Roman" w:hAnsi="Times New Roman"/>
          <w:color w:val="000000" w:themeColor="text1"/>
        </w:rPr>
        <w:t xml:space="preserve">Communes de Mbao, de Rufisque Ouest, de </w:t>
      </w:r>
      <w:proofErr w:type="spellStart"/>
      <w:r w:rsidRPr="00260790">
        <w:rPr>
          <w:rFonts w:ascii="Times New Roman" w:hAnsi="Times New Roman"/>
          <w:color w:val="000000" w:themeColor="text1"/>
        </w:rPr>
        <w:t>Jaxaay</w:t>
      </w:r>
      <w:proofErr w:type="spellEnd"/>
      <w:r w:rsidRPr="00260790">
        <w:rPr>
          <w:rFonts w:ascii="Times New Roman" w:hAnsi="Times New Roman"/>
          <w:color w:val="000000" w:themeColor="text1"/>
        </w:rPr>
        <w:t>-Parcelles-</w:t>
      </w:r>
      <w:proofErr w:type="spellStart"/>
      <w:r w:rsidRPr="00260790">
        <w:rPr>
          <w:rFonts w:ascii="Times New Roman" w:hAnsi="Times New Roman"/>
          <w:color w:val="000000" w:themeColor="text1"/>
        </w:rPr>
        <w:t>Niakoulrap</w:t>
      </w:r>
      <w:proofErr w:type="spellEnd"/>
      <w:r w:rsidRPr="00260790">
        <w:rPr>
          <w:rFonts w:ascii="Times New Roman" w:hAnsi="Times New Roman"/>
          <w:color w:val="000000" w:themeColor="text1"/>
        </w:rPr>
        <w:t xml:space="preserve"> et de Keur Massar Sud.</w:t>
      </w:r>
    </w:p>
    <w:p w14:paraId="134BC885" w14:textId="23B5A5CE" w:rsidR="00DE241D" w:rsidRPr="00260790" w:rsidRDefault="00DE241D"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Pour rappel le PROGEP</w:t>
      </w:r>
      <w:r w:rsidR="00C000D3">
        <w:rPr>
          <w:rFonts w:ascii="Times New Roman" w:hAnsi="Times New Roman"/>
          <w:color w:val="000000" w:themeColor="text1"/>
          <w:lang w:eastAsia="fr-FR"/>
        </w:rPr>
        <w:t xml:space="preserve"> II</w:t>
      </w:r>
      <w:r w:rsidRPr="00260790">
        <w:rPr>
          <w:rFonts w:ascii="Times New Roman" w:hAnsi="Times New Roman"/>
          <w:color w:val="000000" w:themeColor="text1"/>
          <w:lang w:eastAsia="fr-FR"/>
        </w:rPr>
        <w:t xml:space="preserve"> vise à terme :</w:t>
      </w:r>
    </w:p>
    <w:p w14:paraId="5D58467E" w14:textId="77777777" w:rsidR="00DE241D" w:rsidRPr="00260790" w:rsidRDefault="00DE241D" w:rsidP="001748C6">
      <w:pPr>
        <w:pStyle w:val="Default"/>
        <w:numPr>
          <w:ilvl w:val="0"/>
          <w:numId w:val="289"/>
        </w:numPr>
        <w:overflowPunct w:val="0"/>
        <w:jc w:val="both"/>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lastRenderedPageBreak/>
        <w:t>Un niveau de protection contre les inondations jusqu’à une période de retour fixée à T=10 ans pour le système hydraulique primaire, et ce conformément aux objectifs du PDD ;</w:t>
      </w:r>
    </w:p>
    <w:p w14:paraId="1E95481C" w14:textId="77777777" w:rsidR="00DE241D" w:rsidRPr="00260790" w:rsidRDefault="00DE241D" w:rsidP="001748C6">
      <w:pPr>
        <w:pStyle w:val="Default"/>
        <w:numPr>
          <w:ilvl w:val="0"/>
          <w:numId w:val="289"/>
        </w:numPr>
        <w:overflowPunct w:val="0"/>
        <w:jc w:val="both"/>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La maîtrise d’un niveau de nappe suffisamment bas pour limiter les inondations ;</w:t>
      </w:r>
    </w:p>
    <w:p w14:paraId="5FFC2912" w14:textId="77777777" w:rsidR="00DE241D" w:rsidRPr="00260790" w:rsidRDefault="00DE241D" w:rsidP="001748C6">
      <w:pPr>
        <w:pStyle w:val="Default"/>
        <w:numPr>
          <w:ilvl w:val="0"/>
          <w:numId w:val="289"/>
        </w:numPr>
        <w:overflowPunct w:val="0"/>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Un bon fonctionnement hydraulique de ces ouvrages en saisons humide et sèche.</w:t>
      </w:r>
    </w:p>
    <w:p w14:paraId="0FB66FFB" w14:textId="77777777" w:rsidR="00C41B69" w:rsidRPr="00260790" w:rsidRDefault="00C41B69" w:rsidP="00E20250">
      <w:pPr>
        <w:pStyle w:val="Default"/>
        <w:overflowPunct w:val="0"/>
        <w:textAlignment w:val="baseline"/>
        <w:rPr>
          <w:rFonts w:ascii="Times New Roman" w:hAnsi="Times New Roman" w:cs="Times New Roman"/>
          <w:color w:val="000000" w:themeColor="text1"/>
          <w:sz w:val="22"/>
          <w:szCs w:val="22"/>
        </w:rPr>
      </w:pPr>
    </w:p>
    <w:tbl>
      <w:tblPr>
        <w:tblStyle w:val="Grilledutableau"/>
        <w:tblW w:w="5000" w:type="pct"/>
        <w:tblLook w:val="04A0" w:firstRow="1" w:lastRow="0" w:firstColumn="1" w:lastColumn="0" w:noHBand="0" w:noVBand="1"/>
      </w:tblPr>
      <w:tblGrid>
        <w:gridCol w:w="2247"/>
        <w:gridCol w:w="3972"/>
        <w:gridCol w:w="2841"/>
      </w:tblGrid>
      <w:tr w:rsidR="00BD1A2F" w:rsidRPr="00632C4D" w14:paraId="784D2645" w14:textId="77777777" w:rsidTr="003A0E4A">
        <w:tc>
          <w:tcPr>
            <w:tcW w:w="1240" w:type="pct"/>
            <w:shd w:val="clear" w:color="auto" w:fill="D9E2F3" w:themeFill="accent5" w:themeFillTint="33"/>
          </w:tcPr>
          <w:p w14:paraId="67C07BA4"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 xml:space="preserve">Sources </w:t>
            </w:r>
            <w:proofErr w:type="spellStart"/>
            <w:r w:rsidRPr="0097258B">
              <w:rPr>
                <w:rFonts w:ascii="Times New Roman" w:hAnsi="Times New Roman" w:cs="Times New Roman"/>
                <w:b/>
                <w:bCs/>
                <w:color w:val="000000" w:themeColor="text1"/>
                <w:sz w:val="20"/>
                <w:szCs w:val="20"/>
              </w:rPr>
              <w:t>d’impacts</w:t>
            </w:r>
            <w:proofErr w:type="spellEnd"/>
          </w:p>
        </w:tc>
        <w:tc>
          <w:tcPr>
            <w:tcW w:w="2192" w:type="pct"/>
            <w:shd w:val="clear" w:color="auto" w:fill="D9E2F3" w:themeFill="accent5" w:themeFillTint="33"/>
          </w:tcPr>
          <w:p w14:paraId="5E543631"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Impacts</w:t>
            </w:r>
          </w:p>
        </w:tc>
        <w:tc>
          <w:tcPr>
            <w:tcW w:w="1568" w:type="pct"/>
            <w:shd w:val="clear" w:color="auto" w:fill="D9E2F3" w:themeFill="accent5" w:themeFillTint="33"/>
          </w:tcPr>
          <w:p w14:paraId="5FAFDA0E"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Mesures</w:t>
            </w:r>
            <w:proofErr w:type="spellEnd"/>
            <w:r w:rsidRPr="0097258B">
              <w:rPr>
                <w:rFonts w:ascii="Times New Roman" w:hAnsi="Times New Roman" w:cs="Times New Roman"/>
                <w:b/>
                <w:bCs/>
                <w:color w:val="000000" w:themeColor="text1"/>
                <w:sz w:val="20"/>
                <w:szCs w:val="20"/>
              </w:rPr>
              <w:t xml:space="preserve"> de bonification</w:t>
            </w:r>
          </w:p>
        </w:tc>
      </w:tr>
      <w:tr w:rsidR="00BD1A2F" w:rsidRPr="00632C4D" w14:paraId="2499F3D4" w14:textId="77777777" w:rsidTr="003A0E4A">
        <w:tc>
          <w:tcPr>
            <w:tcW w:w="1240" w:type="pct"/>
          </w:tcPr>
          <w:p w14:paraId="49C3583B" w14:textId="06E0112A"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Importation des équipements</w:t>
            </w:r>
          </w:p>
          <w:p w14:paraId="42C22771" w14:textId="5FDF83AD" w:rsidR="00F27B7F" w:rsidRPr="0097258B" w:rsidRDefault="00F27B7F" w:rsidP="00C000D3">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Opérationnalisation du réseau d’</w:t>
            </w:r>
            <w:proofErr w:type="spellStart"/>
            <w:r w:rsidRPr="00301AF6">
              <w:rPr>
                <w:rFonts w:ascii="Times New Roman" w:hAnsi="Times New Roman" w:cs="Times New Roman"/>
                <w:color w:val="000000" w:themeColor="text1"/>
                <w:sz w:val="20"/>
                <w:szCs w:val="20"/>
                <w:lang w:val="fr-FR"/>
              </w:rPr>
              <w:t>assainissment</w:t>
            </w:r>
            <w:proofErr w:type="spellEnd"/>
          </w:p>
        </w:tc>
        <w:tc>
          <w:tcPr>
            <w:tcW w:w="2192" w:type="pct"/>
          </w:tcPr>
          <w:p w14:paraId="2D6FF5FD" w14:textId="77777777" w:rsidR="00DE241D" w:rsidRPr="0097258B" w:rsidRDefault="00DE241D" w:rsidP="00C000D3">
            <w:pPr>
              <w:spacing w:line="240" w:lineRule="auto"/>
              <w:jc w:val="both"/>
              <w:rPr>
                <w:rFonts w:ascii="Times New Roman" w:hAnsi="Times New Roman"/>
                <w:b/>
                <w:bCs/>
                <w:i/>
                <w:iCs/>
                <w:color w:val="000000" w:themeColor="text1"/>
                <w:lang w:val="fr-FR" w:eastAsia="fr-FR"/>
              </w:rPr>
            </w:pPr>
            <w:r w:rsidRPr="00301AF6">
              <w:rPr>
                <w:rFonts w:ascii="Times New Roman" w:hAnsi="Times New Roman"/>
                <w:b/>
                <w:bCs/>
                <w:i/>
                <w:iCs/>
                <w:color w:val="000000" w:themeColor="text1"/>
                <w:lang w:val="fr-FR" w:eastAsia="fr-FR"/>
              </w:rPr>
              <w:t>IP-5. Maîtrise des inondations dans les</w:t>
            </w:r>
            <w:r w:rsidRPr="00301AF6">
              <w:rPr>
                <w:rFonts w:ascii="Times New Roman" w:hAnsi="Times New Roman"/>
                <w:color w:val="000000" w:themeColor="text1"/>
                <w:lang w:val="fr-FR"/>
              </w:rPr>
              <w:t xml:space="preserve"> </w:t>
            </w:r>
            <w:r w:rsidRPr="00301AF6">
              <w:rPr>
                <w:rFonts w:ascii="Times New Roman" w:hAnsi="Times New Roman"/>
                <w:b/>
                <w:bCs/>
                <w:i/>
                <w:iCs/>
                <w:color w:val="000000" w:themeColor="text1"/>
                <w:lang w:val="fr-FR"/>
              </w:rPr>
              <w:t xml:space="preserve">Communes de Mbao, de Rufisque Ouest, de </w:t>
            </w:r>
            <w:proofErr w:type="spellStart"/>
            <w:r w:rsidRPr="00301AF6">
              <w:rPr>
                <w:rFonts w:ascii="Times New Roman" w:hAnsi="Times New Roman"/>
                <w:b/>
                <w:bCs/>
                <w:i/>
                <w:iCs/>
                <w:color w:val="000000" w:themeColor="text1"/>
                <w:lang w:val="fr-FR"/>
              </w:rPr>
              <w:t>Jaxaay</w:t>
            </w:r>
            <w:proofErr w:type="spellEnd"/>
            <w:r w:rsidRPr="00301AF6">
              <w:rPr>
                <w:rFonts w:ascii="Times New Roman" w:hAnsi="Times New Roman"/>
                <w:b/>
                <w:bCs/>
                <w:i/>
                <w:iCs/>
                <w:color w:val="000000" w:themeColor="text1"/>
                <w:lang w:val="fr-FR"/>
              </w:rPr>
              <w:t>-Parcelles-</w:t>
            </w:r>
            <w:proofErr w:type="spellStart"/>
            <w:r w:rsidRPr="00301AF6">
              <w:rPr>
                <w:rFonts w:ascii="Times New Roman" w:hAnsi="Times New Roman"/>
                <w:b/>
                <w:bCs/>
                <w:i/>
                <w:iCs/>
                <w:color w:val="000000" w:themeColor="text1"/>
                <w:lang w:val="fr-FR"/>
              </w:rPr>
              <w:t>Niakoulrap</w:t>
            </w:r>
            <w:proofErr w:type="spellEnd"/>
            <w:r w:rsidRPr="00301AF6">
              <w:rPr>
                <w:rFonts w:ascii="Times New Roman" w:hAnsi="Times New Roman"/>
                <w:b/>
                <w:bCs/>
                <w:i/>
                <w:iCs/>
                <w:color w:val="000000" w:themeColor="text1"/>
                <w:lang w:val="fr-FR"/>
              </w:rPr>
              <w:t xml:space="preserve"> et de Keur Massar Sud</w:t>
            </w:r>
          </w:p>
        </w:tc>
        <w:tc>
          <w:tcPr>
            <w:tcW w:w="1568" w:type="pct"/>
          </w:tcPr>
          <w:p w14:paraId="3B3CBFE1" w14:textId="00907D36"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Assurer un entretien régulier des ouvrages</w:t>
            </w:r>
            <w:r w:rsidR="00260AFC" w:rsidRPr="00301AF6">
              <w:rPr>
                <w:rFonts w:ascii="Times New Roman" w:hAnsi="Times New Roman" w:cs="Times New Roman"/>
                <w:color w:val="000000" w:themeColor="text1"/>
                <w:sz w:val="20"/>
                <w:szCs w:val="20"/>
                <w:lang w:val="fr-FR"/>
              </w:rPr>
              <w:t>.</w:t>
            </w:r>
          </w:p>
        </w:tc>
      </w:tr>
    </w:tbl>
    <w:p w14:paraId="412BE4BB" w14:textId="77777777" w:rsidR="00DE241D" w:rsidRPr="00260790" w:rsidRDefault="00DE241D" w:rsidP="00E20250">
      <w:pPr>
        <w:pStyle w:val="Default"/>
        <w:overflowPunct w:val="0"/>
        <w:jc w:val="both"/>
        <w:textAlignment w:val="baseline"/>
        <w:rPr>
          <w:rFonts w:ascii="Times New Roman" w:hAnsi="Times New Roman" w:cs="Times New Roman"/>
          <w:color w:val="000000" w:themeColor="text1"/>
          <w:sz w:val="22"/>
          <w:szCs w:val="22"/>
        </w:rPr>
      </w:pPr>
    </w:p>
    <w:p w14:paraId="4BF2B62B" w14:textId="77777777" w:rsidR="00DE241D" w:rsidRPr="00260790" w:rsidRDefault="00DE241D" w:rsidP="001748C6">
      <w:pPr>
        <w:pStyle w:val="Paragraphedeliste"/>
        <w:numPr>
          <w:ilvl w:val="0"/>
          <w:numId w:val="276"/>
        </w:numPr>
        <w:spacing w:after="0" w:line="240" w:lineRule="auto"/>
        <w:jc w:val="both"/>
        <w:rPr>
          <w:rFonts w:ascii="Times New Roman" w:hAnsi="Times New Roman"/>
          <w:b/>
          <w:bCs/>
          <w:i/>
          <w:iCs/>
          <w:color w:val="000000" w:themeColor="text1"/>
          <w:lang w:eastAsia="fr-FR"/>
        </w:rPr>
      </w:pPr>
      <w:r w:rsidRPr="00260790">
        <w:rPr>
          <w:rFonts w:ascii="Times New Roman" w:hAnsi="Times New Roman"/>
          <w:b/>
          <w:bCs/>
          <w:i/>
          <w:iCs/>
          <w:color w:val="000000" w:themeColor="text1"/>
          <w:lang w:eastAsia="fr-FR"/>
        </w:rPr>
        <w:t>IP-6. Amélioration du cadre de vie des populations des</w:t>
      </w:r>
      <w:r w:rsidRPr="00260790">
        <w:rPr>
          <w:rFonts w:ascii="Times New Roman" w:hAnsi="Times New Roman"/>
          <w:b/>
          <w:bCs/>
          <w:i/>
          <w:iCs/>
          <w:color w:val="000000" w:themeColor="text1"/>
        </w:rPr>
        <w:t xml:space="preserve"> Communes de Mbao, de Rufisque Ouest, de </w:t>
      </w:r>
      <w:proofErr w:type="spellStart"/>
      <w:r w:rsidRPr="00260790">
        <w:rPr>
          <w:rFonts w:ascii="Times New Roman" w:hAnsi="Times New Roman"/>
          <w:b/>
          <w:bCs/>
          <w:i/>
          <w:iCs/>
          <w:color w:val="000000" w:themeColor="text1"/>
        </w:rPr>
        <w:t>Jaxaay</w:t>
      </w:r>
      <w:proofErr w:type="spellEnd"/>
      <w:r w:rsidRPr="00260790">
        <w:rPr>
          <w:rFonts w:ascii="Times New Roman" w:hAnsi="Times New Roman"/>
          <w:b/>
          <w:bCs/>
          <w:i/>
          <w:iCs/>
          <w:color w:val="000000" w:themeColor="text1"/>
        </w:rPr>
        <w:t>-Parcelles-</w:t>
      </w:r>
      <w:proofErr w:type="spellStart"/>
      <w:r w:rsidRPr="00260790">
        <w:rPr>
          <w:rFonts w:ascii="Times New Roman" w:hAnsi="Times New Roman"/>
          <w:b/>
          <w:bCs/>
          <w:i/>
          <w:iCs/>
          <w:color w:val="000000" w:themeColor="text1"/>
        </w:rPr>
        <w:t>Niakoulrap</w:t>
      </w:r>
      <w:proofErr w:type="spellEnd"/>
      <w:r w:rsidRPr="00260790">
        <w:rPr>
          <w:rFonts w:ascii="Times New Roman" w:hAnsi="Times New Roman"/>
          <w:b/>
          <w:bCs/>
          <w:i/>
          <w:iCs/>
          <w:color w:val="000000" w:themeColor="text1"/>
        </w:rPr>
        <w:t xml:space="preserve"> et de Keur Massar Sud</w:t>
      </w:r>
    </w:p>
    <w:p w14:paraId="6EC9CDE5" w14:textId="77777777" w:rsidR="00C000D3" w:rsidRDefault="00C000D3" w:rsidP="00E20250">
      <w:pPr>
        <w:spacing w:line="240" w:lineRule="auto"/>
        <w:jc w:val="both"/>
        <w:rPr>
          <w:rFonts w:ascii="Times New Roman" w:hAnsi="Times New Roman"/>
          <w:color w:val="000000" w:themeColor="text1"/>
          <w:lang w:eastAsia="fr-FR"/>
        </w:rPr>
      </w:pPr>
    </w:p>
    <w:p w14:paraId="39438077" w14:textId="0CE95761" w:rsidR="00DE241D" w:rsidRPr="00260790" w:rsidRDefault="00DE241D"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 xml:space="preserve">L’insuffisance ou l’inexistence système d’assainissement eaux pluviales dans les </w:t>
      </w:r>
      <w:r w:rsidRPr="00260790">
        <w:rPr>
          <w:rFonts w:ascii="Times New Roman" w:hAnsi="Times New Roman"/>
          <w:color w:val="000000" w:themeColor="text1"/>
        </w:rPr>
        <w:t xml:space="preserve">Communes de Mbao, de Rufisque Ouest, de </w:t>
      </w:r>
      <w:proofErr w:type="spellStart"/>
      <w:r w:rsidRPr="00260790">
        <w:rPr>
          <w:rFonts w:ascii="Times New Roman" w:hAnsi="Times New Roman"/>
          <w:color w:val="000000" w:themeColor="text1"/>
        </w:rPr>
        <w:t>Jaxaay</w:t>
      </w:r>
      <w:proofErr w:type="spellEnd"/>
      <w:r w:rsidRPr="00260790">
        <w:rPr>
          <w:rFonts w:ascii="Times New Roman" w:hAnsi="Times New Roman"/>
          <w:color w:val="000000" w:themeColor="text1"/>
        </w:rPr>
        <w:t>-Parcelles-</w:t>
      </w:r>
      <w:proofErr w:type="spellStart"/>
      <w:r w:rsidRPr="00260790">
        <w:rPr>
          <w:rFonts w:ascii="Times New Roman" w:hAnsi="Times New Roman"/>
          <w:color w:val="000000" w:themeColor="text1"/>
        </w:rPr>
        <w:t>Niakoulrap</w:t>
      </w:r>
      <w:proofErr w:type="spellEnd"/>
      <w:r w:rsidRPr="00260790">
        <w:rPr>
          <w:rFonts w:ascii="Times New Roman" w:hAnsi="Times New Roman"/>
          <w:color w:val="000000" w:themeColor="text1"/>
        </w:rPr>
        <w:t xml:space="preserve"> et de Keur Massar Sud</w:t>
      </w:r>
      <w:r w:rsidRPr="00260790">
        <w:rPr>
          <w:rFonts w:ascii="Times New Roman" w:hAnsi="Times New Roman"/>
          <w:color w:val="000000" w:themeColor="text1"/>
          <w:lang w:eastAsia="fr-FR"/>
        </w:rPr>
        <w:t xml:space="preserve"> fait que leurs populations vivent dans une précarité extrême liée à l’inondation de leur cadre de vie.</w:t>
      </w:r>
    </w:p>
    <w:p w14:paraId="6DA41DD5" w14:textId="77777777" w:rsidR="00DE241D" w:rsidRPr="00260790" w:rsidRDefault="00DE241D"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La maîtrise de ces inondations grâce aux ouvrages projetés assurera aux populations de ces communes un cadre de vie appropriée.</w:t>
      </w:r>
    </w:p>
    <w:tbl>
      <w:tblPr>
        <w:tblStyle w:val="Grilledutableau"/>
        <w:tblW w:w="5000" w:type="pct"/>
        <w:tblLook w:val="04A0" w:firstRow="1" w:lastRow="0" w:firstColumn="1" w:lastColumn="0" w:noHBand="0" w:noVBand="1"/>
      </w:tblPr>
      <w:tblGrid>
        <w:gridCol w:w="1983"/>
        <w:gridCol w:w="3971"/>
        <w:gridCol w:w="3106"/>
      </w:tblGrid>
      <w:tr w:rsidR="00BD1A2F" w:rsidRPr="00632C4D" w14:paraId="590D7B86" w14:textId="77777777" w:rsidTr="003A0E4A">
        <w:tc>
          <w:tcPr>
            <w:tcW w:w="1094" w:type="pct"/>
            <w:shd w:val="clear" w:color="auto" w:fill="D9E2F3" w:themeFill="accent5" w:themeFillTint="33"/>
          </w:tcPr>
          <w:p w14:paraId="4C1974F5"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 xml:space="preserve">Sources </w:t>
            </w:r>
            <w:proofErr w:type="spellStart"/>
            <w:r w:rsidRPr="0097258B">
              <w:rPr>
                <w:rFonts w:ascii="Times New Roman" w:hAnsi="Times New Roman" w:cs="Times New Roman"/>
                <w:b/>
                <w:bCs/>
                <w:color w:val="000000" w:themeColor="text1"/>
                <w:sz w:val="20"/>
                <w:szCs w:val="20"/>
              </w:rPr>
              <w:t>d’impacts</w:t>
            </w:r>
            <w:proofErr w:type="spellEnd"/>
          </w:p>
        </w:tc>
        <w:tc>
          <w:tcPr>
            <w:tcW w:w="2191" w:type="pct"/>
            <w:shd w:val="clear" w:color="auto" w:fill="D9E2F3" w:themeFill="accent5" w:themeFillTint="33"/>
          </w:tcPr>
          <w:p w14:paraId="07A8A928"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Impacts</w:t>
            </w:r>
          </w:p>
        </w:tc>
        <w:tc>
          <w:tcPr>
            <w:tcW w:w="1714" w:type="pct"/>
            <w:shd w:val="clear" w:color="auto" w:fill="D9E2F3" w:themeFill="accent5" w:themeFillTint="33"/>
          </w:tcPr>
          <w:p w14:paraId="6C6E2850"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Mesures</w:t>
            </w:r>
            <w:proofErr w:type="spellEnd"/>
            <w:r w:rsidRPr="0097258B">
              <w:rPr>
                <w:rFonts w:ascii="Times New Roman" w:hAnsi="Times New Roman" w:cs="Times New Roman"/>
                <w:b/>
                <w:bCs/>
                <w:color w:val="000000" w:themeColor="text1"/>
                <w:sz w:val="20"/>
                <w:szCs w:val="20"/>
              </w:rPr>
              <w:t xml:space="preserve"> de bonification</w:t>
            </w:r>
          </w:p>
        </w:tc>
      </w:tr>
      <w:tr w:rsidR="00BD1A2F" w:rsidRPr="00632C4D" w14:paraId="57AC026F" w14:textId="77777777" w:rsidTr="003A0E4A">
        <w:tc>
          <w:tcPr>
            <w:tcW w:w="1094" w:type="pct"/>
          </w:tcPr>
          <w:p w14:paraId="7548A442"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Fonctionnement</w:t>
            </w:r>
            <w:proofErr w:type="spellEnd"/>
            <w:r w:rsidRPr="0097258B">
              <w:rPr>
                <w:rFonts w:ascii="Times New Roman" w:hAnsi="Times New Roman" w:cs="Times New Roman"/>
                <w:color w:val="000000" w:themeColor="text1"/>
                <w:sz w:val="20"/>
                <w:szCs w:val="20"/>
              </w:rPr>
              <w:t xml:space="preserve"> des </w:t>
            </w:r>
            <w:proofErr w:type="spellStart"/>
            <w:r w:rsidRPr="0097258B">
              <w:rPr>
                <w:rFonts w:ascii="Times New Roman" w:hAnsi="Times New Roman" w:cs="Times New Roman"/>
                <w:color w:val="000000" w:themeColor="text1"/>
                <w:sz w:val="20"/>
                <w:szCs w:val="20"/>
              </w:rPr>
              <w:t>ouvrages</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d’assainissement</w:t>
            </w:r>
            <w:proofErr w:type="spellEnd"/>
          </w:p>
        </w:tc>
        <w:tc>
          <w:tcPr>
            <w:tcW w:w="2191" w:type="pct"/>
          </w:tcPr>
          <w:p w14:paraId="7ED27D58" w14:textId="77777777" w:rsidR="00DE241D" w:rsidRPr="0097258B" w:rsidRDefault="00DE241D" w:rsidP="00C000D3">
            <w:pPr>
              <w:spacing w:line="240" w:lineRule="auto"/>
              <w:jc w:val="both"/>
              <w:rPr>
                <w:rFonts w:ascii="Times New Roman" w:hAnsi="Times New Roman"/>
                <w:b/>
                <w:bCs/>
                <w:i/>
                <w:iCs/>
                <w:color w:val="000000" w:themeColor="text1"/>
                <w:lang w:val="fr-FR" w:eastAsia="fr-FR"/>
              </w:rPr>
            </w:pPr>
            <w:r w:rsidRPr="00301AF6">
              <w:rPr>
                <w:rFonts w:ascii="Times New Roman" w:hAnsi="Times New Roman"/>
                <w:b/>
                <w:bCs/>
                <w:i/>
                <w:iCs/>
                <w:color w:val="000000" w:themeColor="text1"/>
                <w:lang w:val="fr-FR" w:eastAsia="fr-FR"/>
              </w:rPr>
              <w:t>IP-6. Amélioration du cadre de vie des populations des</w:t>
            </w:r>
            <w:r w:rsidRPr="00301AF6">
              <w:rPr>
                <w:rFonts w:ascii="Times New Roman" w:hAnsi="Times New Roman"/>
                <w:b/>
                <w:bCs/>
                <w:i/>
                <w:iCs/>
                <w:color w:val="000000" w:themeColor="text1"/>
                <w:lang w:val="fr-FR"/>
              </w:rPr>
              <w:t xml:space="preserve"> Communes de Mbao, de Rufisque Ouest, de </w:t>
            </w:r>
            <w:proofErr w:type="spellStart"/>
            <w:r w:rsidRPr="00301AF6">
              <w:rPr>
                <w:rFonts w:ascii="Times New Roman" w:hAnsi="Times New Roman"/>
                <w:b/>
                <w:bCs/>
                <w:i/>
                <w:iCs/>
                <w:color w:val="000000" w:themeColor="text1"/>
                <w:lang w:val="fr-FR"/>
              </w:rPr>
              <w:t>Jaxaay</w:t>
            </w:r>
            <w:proofErr w:type="spellEnd"/>
            <w:r w:rsidRPr="00301AF6">
              <w:rPr>
                <w:rFonts w:ascii="Times New Roman" w:hAnsi="Times New Roman"/>
                <w:b/>
                <w:bCs/>
                <w:i/>
                <w:iCs/>
                <w:color w:val="000000" w:themeColor="text1"/>
                <w:lang w:val="fr-FR"/>
              </w:rPr>
              <w:t>-Parcelles-</w:t>
            </w:r>
            <w:proofErr w:type="spellStart"/>
            <w:r w:rsidRPr="00301AF6">
              <w:rPr>
                <w:rFonts w:ascii="Times New Roman" w:hAnsi="Times New Roman"/>
                <w:b/>
                <w:bCs/>
                <w:i/>
                <w:iCs/>
                <w:color w:val="000000" w:themeColor="text1"/>
                <w:lang w:val="fr-FR"/>
              </w:rPr>
              <w:t>Niakoulrap</w:t>
            </w:r>
            <w:proofErr w:type="spellEnd"/>
            <w:r w:rsidRPr="00301AF6">
              <w:rPr>
                <w:rFonts w:ascii="Times New Roman" w:hAnsi="Times New Roman"/>
                <w:b/>
                <w:bCs/>
                <w:i/>
                <w:iCs/>
                <w:color w:val="000000" w:themeColor="text1"/>
                <w:lang w:val="fr-FR"/>
              </w:rPr>
              <w:t xml:space="preserve"> et de Keur Massar Sud</w:t>
            </w:r>
          </w:p>
        </w:tc>
        <w:tc>
          <w:tcPr>
            <w:tcW w:w="1714" w:type="pct"/>
          </w:tcPr>
          <w:p w14:paraId="151B6986"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 xml:space="preserve">Assurer l’entretien pré hivernal des ouvrages </w:t>
            </w:r>
          </w:p>
        </w:tc>
      </w:tr>
    </w:tbl>
    <w:p w14:paraId="7CE64479" w14:textId="77777777" w:rsidR="00DE241D" w:rsidRPr="00260790" w:rsidRDefault="00DE241D" w:rsidP="00BE2AA9">
      <w:pPr>
        <w:spacing w:after="0" w:line="240" w:lineRule="auto"/>
        <w:jc w:val="both"/>
        <w:rPr>
          <w:rFonts w:ascii="Times New Roman" w:hAnsi="Times New Roman"/>
          <w:color w:val="000000" w:themeColor="text1"/>
          <w:lang w:eastAsia="fr-FR"/>
        </w:rPr>
      </w:pPr>
    </w:p>
    <w:p w14:paraId="28DDC23B" w14:textId="77777777" w:rsidR="00DE241D" w:rsidRPr="00260790" w:rsidRDefault="00DE241D" w:rsidP="001748C6">
      <w:pPr>
        <w:pStyle w:val="Paragraphedeliste"/>
        <w:numPr>
          <w:ilvl w:val="0"/>
          <w:numId w:val="276"/>
        </w:numPr>
        <w:spacing w:after="0" w:line="240" w:lineRule="auto"/>
        <w:jc w:val="both"/>
        <w:rPr>
          <w:rFonts w:ascii="Times New Roman" w:hAnsi="Times New Roman"/>
          <w:b/>
          <w:bCs/>
          <w:i/>
          <w:iCs/>
          <w:color w:val="000000" w:themeColor="text1"/>
          <w:lang w:eastAsia="fr-FR"/>
        </w:rPr>
      </w:pPr>
      <w:r w:rsidRPr="00260790">
        <w:rPr>
          <w:rFonts w:ascii="Times New Roman" w:hAnsi="Times New Roman"/>
          <w:b/>
          <w:bCs/>
          <w:i/>
          <w:iCs/>
          <w:color w:val="000000" w:themeColor="text1"/>
          <w:lang w:eastAsia="fr-FR"/>
        </w:rPr>
        <w:t>IP-7. Amélioration du bien-être des populations des</w:t>
      </w:r>
      <w:r w:rsidRPr="00260790">
        <w:rPr>
          <w:rFonts w:ascii="Times New Roman" w:hAnsi="Times New Roman"/>
          <w:b/>
          <w:bCs/>
          <w:i/>
          <w:iCs/>
          <w:color w:val="000000" w:themeColor="text1"/>
        </w:rPr>
        <w:t xml:space="preserve"> Communes de Mbao, de Rufisque Ouest, de </w:t>
      </w:r>
      <w:proofErr w:type="spellStart"/>
      <w:r w:rsidRPr="00260790">
        <w:rPr>
          <w:rFonts w:ascii="Times New Roman" w:hAnsi="Times New Roman"/>
          <w:b/>
          <w:bCs/>
          <w:i/>
          <w:iCs/>
          <w:color w:val="000000" w:themeColor="text1"/>
        </w:rPr>
        <w:t>Jaxaay</w:t>
      </w:r>
      <w:proofErr w:type="spellEnd"/>
      <w:r w:rsidRPr="00260790">
        <w:rPr>
          <w:rFonts w:ascii="Times New Roman" w:hAnsi="Times New Roman"/>
          <w:b/>
          <w:bCs/>
          <w:i/>
          <w:iCs/>
          <w:color w:val="000000" w:themeColor="text1"/>
        </w:rPr>
        <w:t>-Parcelles-</w:t>
      </w:r>
      <w:proofErr w:type="spellStart"/>
      <w:r w:rsidRPr="00260790">
        <w:rPr>
          <w:rFonts w:ascii="Times New Roman" w:hAnsi="Times New Roman"/>
          <w:b/>
          <w:bCs/>
          <w:i/>
          <w:iCs/>
          <w:color w:val="000000" w:themeColor="text1"/>
        </w:rPr>
        <w:t>Niakoulrap</w:t>
      </w:r>
      <w:proofErr w:type="spellEnd"/>
      <w:r w:rsidRPr="00260790">
        <w:rPr>
          <w:rFonts w:ascii="Times New Roman" w:hAnsi="Times New Roman"/>
          <w:b/>
          <w:bCs/>
          <w:i/>
          <w:iCs/>
          <w:color w:val="000000" w:themeColor="text1"/>
        </w:rPr>
        <w:t xml:space="preserve"> et de Keur Massar Sud</w:t>
      </w:r>
    </w:p>
    <w:p w14:paraId="5E71170A" w14:textId="77777777" w:rsidR="00DE241D" w:rsidRPr="00260790" w:rsidRDefault="00DE241D" w:rsidP="00E20250">
      <w:pPr>
        <w:spacing w:after="0" w:line="240" w:lineRule="auto"/>
        <w:jc w:val="both"/>
        <w:rPr>
          <w:rFonts w:ascii="Times New Roman" w:hAnsi="Times New Roman"/>
          <w:color w:val="000000" w:themeColor="text1"/>
          <w:lang w:eastAsia="fr-FR"/>
        </w:rPr>
      </w:pPr>
    </w:p>
    <w:p w14:paraId="338DD105" w14:textId="77777777" w:rsidR="00DE241D" w:rsidRPr="00260790" w:rsidRDefault="00DE241D"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Une des conséquences des inondations de cadre de vie est la prolifération des moustiques qui perturbent le sommeil des populations et dont les larves se développent en milieu aquatique.</w:t>
      </w:r>
    </w:p>
    <w:p w14:paraId="6298865B" w14:textId="23F0C61B" w:rsidR="00DE241D" w:rsidRPr="00260790" w:rsidRDefault="00DE241D"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 xml:space="preserve">En asséchant les plans d’eau, le </w:t>
      </w:r>
      <w:r w:rsidR="0095190F" w:rsidRPr="00260790">
        <w:rPr>
          <w:rFonts w:ascii="Times New Roman" w:hAnsi="Times New Roman"/>
          <w:color w:val="000000" w:themeColor="text1"/>
          <w:lang w:eastAsia="fr-FR"/>
        </w:rPr>
        <w:t>projet limitera</w:t>
      </w:r>
      <w:r w:rsidRPr="00260790">
        <w:rPr>
          <w:rFonts w:ascii="Times New Roman" w:hAnsi="Times New Roman"/>
          <w:color w:val="000000" w:themeColor="text1"/>
          <w:lang w:eastAsia="fr-FR"/>
        </w:rPr>
        <w:t xml:space="preserve"> la prolifération de ces insectes et contribuera du coup, à assurer un sommeil plus tranquille aux populations.</w:t>
      </w:r>
    </w:p>
    <w:p w14:paraId="10672D39" w14:textId="53564636" w:rsidR="00DE241D" w:rsidRPr="00260790" w:rsidRDefault="009965A6"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À</w:t>
      </w:r>
      <w:r w:rsidR="00DE241D" w:rsidRPr="00260790">
        <w:rPr>
          <w:rFonts w:ascii="Times New Roman" w:hAnsi="Times New Roman"/>
          <w:color w:val="000000" w:themeColor="text1"/>
          <w:lang w:eastAsia="fr-FR"/>
        </w:rPr>
        <w:t xml:space="preserve"> noter par ailleurs que les ménages démunis déplacés </w:t>
      </w:r>
      <w:proofErr w:type="gramStart"/>
      <w:r w:rsidR="00DE241D" w:rsidRPr="00260790">
        <w:rPr>
          <w:rFonts w:ascii="Times New Roman" w:hAnsi="Times New Roman"/>
          <w:color w:val="000000" w:themeColor="text1"/>
          <w:lang w:eastAsia="fr-FR"/>
        </w:rPr>
        <w:t xml:space="preserve">suite </w:t>
      </w:r>
      <w:r w:rsidR="00031BA9" w:rsidRPr="00260790">
        <w:rPr>
          <w:rFonts w:ascii="Times New Roman" w:hAnsi="Times New Roman"/>
          <w:color w:val="000000" w:themeColor="text1"/>
          <w:lang w:eastAsia="fr-FR"/>
        </w:rPr>
        <w:t>aux</w:t>
      </w:r>
      <w:proofErr w:type="gramEnd"/>
      <w:r w:rsidR="00031BA9" w:rsidRPr="00260790">
        <w:rPr>
          <w:rFonts w:ascii="Times New Roman" w:hAnsi="Times New Roman"/>
          <w:color w:val="000000" w:themeColor="text1"/>
          <w:lang w:eastAsia="fr-FR"/>
        </w:rPr>
        <w:t xml:space="preserve"> inondations</w:t>
      </w:r>
      <w:r w:rsidR="00DE241D" w:rsidRPr="00260790">
        <w:rPr>
          <w:rFonts w:ascii="Times New Roman" w:hAnsi="Times New Roman"/>
          <w:color w:val="000000" w:themeColor="text1"/>
          <w:lang w:eastAsia="fr-FR"/>
        </w:rPr>
        <w:t xml:space="preserve"> vivent bien souvent dans une promiscuité marquée dans leurs zones de chutes</w:t>
      </w:r>
      <w:r w:rsidR="006F7A0B" w:rsidRPr="00260790">
        <w:rPr>
          <w:rFonts w:ascii="Times New Roman" w:hAnsi="Times New Roman"/>
          <w:color w:val="000000" w:themeColor="text1"/>
          <w:lang w:eastAsia="fr-FR"/>
        </w:rPr>
        <w:t>,</w:t>
      </w:r>
      <w:r w:rsidR="00DE241D" w:rsidRPr="00260790">
        <w:rPr>
          <w:rFonts w:ascii="Times New Roman" w:hAnsi="Times New Roman"/>
          <w:color w:val="000000" w:themeColor="text1"/>
          <w:lang w:eastAsia="fr-FR"/>
        </w:rPr>
        <w:t xml:space="preserve"> car ne pouvant pas s’y offrir faut</w:t>
      </w:r>
      <w:r w:rsidR="009B0822" w:rsidRPr="00260790">
        <w:rPr>
          <w:rFonts w:ascii="Times New Roman" w:hAnsi="Times New Roman"/>
          <w:color w:val="000000" w:themeColor="text1"/>
          <w:lang w:eastAsia="fr-FR"/>
        </w:rPr>
        <w:t>e</w:t>
      </w:r>
      <w:r w:rsidR="00DE241D" w:rsidRPr="00260790">
        <w:rPr>
          <w:rFonts w:ascii="Times New Roman" w:hAnsi="Times New Roman"/>
          <w:color w:val="000000" w:themeColor="text1"/>
          <w:lang w:eastAsia="fr-FR"/>
        </w:rPr>
        <w:t xml:space="preserve"> de moyen, de logements suffisants pour abriter leurs membres. </w:t>
      </w:r>
    </w:p>
    <w:p w14:paraId="613EA737" w14:textId="2FD05BDC" w:rsidR="00DE241D" w:rsidRPr="00260790" w:rsidRDefault="00DE241D"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 xml:space="preserve">Le PROGEP </w:t>
      </w:r>
      <w:r w:rsidR="00111235">
        <w:rPr>
          <w:rFonts w:ascii="Times New Roman" w:hAnsi="Times New Roman"/>
          <w:color w:val="000000" w:themeColor="text1"/>
          <w:lang w:eastAsia="fr-FR"/>
        </w:rPr>
        <w:t>II</w:t>
      </w:r>
      <w:r w:rsidR="009B0822" w:rsidRPr="00260790">
        <w:rPr>
          <w:rFonts w:ascii="Times New Roman" w:hAnsi="Times New Roman"/>
          <w:color w:val="000000" w:themeColor="text1"/>
          <w:lang w:eastAsia="fr-FR"/>
        </w:rPr>
        <w:t xml:space="preserve"> </w:t>
      </w:r>
      <w:r w:rsidRPr="00260790">
        <w:rPr>
          <w:rFonts w:ascii="Times New Roman" w:hAnsi="Times New Roman"/>
          <w:color w:val="000000" w:themeColor="text1"/>
          <w:lang w:eastAsia="fr-FR"/>
        </w:rPr>
        <w:t xml:space="preserve">est censé permettre le retour de ces personnes dont il améliorera les conditions d’existence. </w:t>
      </w:r>
    </w:p>
    <w:tbl>
      <w:tblPr>
        <w:tblStyle w:val="Grilledutableau"/>
        <w:tblW w:w="5239" w:type="pct"/>
        <w:tblLook w:val="04A0" w:firstRow="1" w:lastRow="0" w:firstColumn="1" w:lastColumn="0" w:noHBand="0" w:noVBand="1"/>
      </w:tblPr>
      <w:tblGrid>
        <w:gridCol w:w="1838"/>
        <w:gridCol w:w="1559"/>
        <w:gridCol w:w="6096"/>
      </w:tblGrid>
      <w:tr w:rsidR="00BD1A2F" w:rsidRPr="00632C4D" w14:paraId="2315AE09" w14:textId="77777777" w:rsidTr="0051750F">
        <w:tc>
          <w:tcPr>
            <w:tcW w:w="968" w:type="pct"/>
            <w:shd w:val="clear" w:color="auto" w:fill="D9E2F3" w:themeFill="accent5" w:themeFillTint="33"/>
            <w:vAlign w:val="center"/>
          </w:tcPr>
          <w:p w14:paraId="3BA1DC12"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 xml:space="preserve">Sources </w:t>
            </w:r>
            <w:proofErr w:type="spellStart"/>
            <w:r w:rsidRPr="0097258B">
              <w:rPr>
                <w:rFonts w:ascii="Times New Roman" w:hAnsi="Times New Roman" w:cs="Times New Roman"/>
                <w:b/>
                <w:bCs/>
                <w:color w:val="000000" w:themeColor="text1"/>
                <w:sz w:val="20"/>
                <w:szCs w:val="20"/>
              </w:rPr>
              <w:t>d’impacts</w:t>
            </w:r>
            <w:proofErr w:type="spellEnd"/>
          </w:p>
        </w:tc>
        <w:tc>
          <w:tcPr>
            <w:tcW w:w="821" w:type="pct"/>
            <w:shd w:val="clear" w:color="auto" w:fill="D9E2F3" w:themeFill="accent5" w:themeFillTint="33"/>
            <w:vAlign w:val="center"/>
          </w:tcPr>
          <w:p w14:paraId="4B847861"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Impacts</w:t>
            </w:r>
          </w:p>
        </w:tc>
        <w:tc>
          <w:tcPr>
            <w:tcW w:w="3211" w:type="pct"/>
            <w:shd w:val="clear" w:color="auto" w:fill="D9E2F3" w:themeFill="accent5" w:themeFillTint="33"/>
            <w:vAlign w:val="center"/>
          </w:tcPr>
          <w:p w14:paraId="340AF2E9"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Mesures</w:t>
            </w:r>
            <w:proofErr w:type="spellEnd"/>
            <w:r w:rsidRPr="0097258B">
              <w:rPr>
                <w:rFonts w:ascii="Times New Roman" w:hAnsi="Times New Roman" w:cs="Times New Roman"/>
                <w:b/>
                <w:bCs/>
                <w:color w:val="000000" w:themeColor="text1"/>
                <w:sz w:val="20"/>
                <w:szCs w:val="20"/>
              </w:rPr>
              <w:t xml:space="preserve"> de bonification</w:t>
            </w:r>
          </w:p>
        </w:tc>
      </w:tr>
      <w:tr w:rsidR="00BD1A2F" w:rsidRPr="00632C4D" w14:paraId="28727E1B" w14:textId="77777777" w:rsidTr="0051750F">
        <w:tc>
          <w:tcPr>
            <w:tcW w:w="968" w:type="pct"/>
            <w:vAlign w:val="center"/>
          </w:tcPr>
          <w:p w14:paraId="11C25D7F"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Fonctionnement</w:t>
            </w:r>
            <w:proofErr w:type="spellEnd"/>
            <w:r w:rsidRPr="0097258B">
              <w:rPr>
                <w:rFonts w:ascii="Times New Roman" w:hAnsi="Times New Roman" w:cs="Times New Roman"/>
                <w:color w:val="000000" w:themeColor="text1"/>
                <w:sz w:val="20"/>
                <w:szCs w:val="20"/>
              </w:rPr>
              <w:t xml:space="preserve"> des </w:t>
            </w:r>
            <w:proofErr w:type="spellStart"/>
            <w:r w:rsidRPr="0097258B">
              <w:rPr>
                <w:rFonts w:ascii="Times New Roman" w:hAnsi="Times New Roman" w:cs="Times New Roman"/>
                <w:color w:val="000000" w:themeColor="text1"/>
                <w:sz w:val="20"/>
                <w:szCs w:val="20"/>
              </w:rPr>
              <w:t>ouvrages</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d’assainissement</w:t>
            </w:r>
            <w:proofErr w:type="spellEnd"/>
          </w:p>
        </w:tc>
        <w:tc>
          <w:tcPr>
            <w:tcW w:w="821" w:type="pct"/>
            <w:vAlign w:val="center"/>
          </w:tcPr>
          <w:p w14:paraId="68899CE3" w14:textId="77777777" w:rsidR="00DE241D" w:rsidRPr="0097258B" w:rsidRDefault="00DE241D" w:rsidP="00C000D3">
            <w:pPr>
              <w:spacing w:line="240" w:lineRule="auto"/>
              <w:jc w:val="both"/>
              <w:rPr>
                <w:rFonts w:ascii="Times New Roman" w:hAnsi="Times New Roman"/>
                <w:b/>
                <w:bCs/>
                <w:i/>
                <w:iCs/>
                <w:color w:val="000000" w:themeColor="text1"/>
                <w:lang w:val="fr-FR" w:eastAsia="fr-FR"/>
              </w:rPr>
            </w:pPr>
            <w:r w:rsidRPr="00301AF6">
              <w:rPr>
                <w:rFonts w:ascii="Times New Roman" w:hAnsi="Times New Roman"/>
                <w:b/>
                <w:bCs/>
                <w:i/>
                <w:iCs/>
                <w:color w:val="000000" w:themeColor="text1"/>
                <w:lang w:val="fr-FR" w:eastAsia="fr-FR"/>
              </w:rPr>
              <w:t>IP-7. Amélioration du bien-être des populations des</w:t>
            </w:r>
            <w:r w:rsidRPr="00301AF6">
              <w:rPr>
                <w:rFonts w:ascii="Times New Roman" w:hAnsi="Times New Roman"/>
                <w:b/>
                <w:bCs/>
                <w:i/>
                <w:iCs/>
                <w:color w:val="000000" w:themeColor="text1"/>
                <w:lang w:val="fr-FR"/>
              </w:rPr>
              <w:t xml:space="preserve"> Communes de Mbao, de Rufisque Ouest, de </w:t>
            </w:r>
            <w:proofErr w:type="spellStart"/>
            <w:r w:rsidRPr="00301AF6">
              <w:rPr>
                <w:rFonts w:ascii="Times New Roman" w:hAnsi="Times New Roman"/>
                <w:b/>
                <w:bCs/>
                <w:i/>
                <w:iCs/>
                <w:color w:val="000000" w:themeColor="text1"/>
                <w:lang w:val="fr-FR"/>
              </w:rPr>
              <w:t>Jaxaay</w:t>
            </w:r>
            <w:proofErr w:type="spellEnd"/>
            <w:r w:rsidRPr="00301AF6">
              <w:rPr>
                <w:rFonts w:ascii="Times New Roman" w:hAnsi="Times New Roman"/>
                <w:b/>
                <w:bCs/>
                <w:i/>
                <w:iCs/>
                <w:color w:val="000000" w:themeColor="text1"/>
                <w:lang w:val="fr-FR"/>
              </w:rPr>
              <w:t>-Parcelles-</w:t>
            </w:r>
            <w:proofErr w:type="spellStart"/>
            <w:r w:rsidRPr="00301AF6">
              <w:rPr>
                <w:rFonts w:ascii="Times New Roman" w:hAnsi="Times New Roman"/>
                <w:b/>
                <w:bCs/>
                <w:i/>
                <w:iCs/>
                <w:color w:val="000000" w:themeColor="text1"/>
                <w:lang w:val="fr-FR"/>
              </w:rPr>
              <w:t>Niakoulrap</w:t>
            </w:r>
            <w:proofErr w:type="spellEnd"/>
            <w:r w:rsidRPr="00301AF6">
              <w:rPr>
                <w:rFonts w:ascii="Times New Roman" w:hAnsi="Times New Roman"/>
                <w:b/>
                <w:bCs/>
                <w:i/>
                <w:iCs/>
                <w:color w:val="000000" w:themeColor="text1"/>
                <w:lang w:val="fr-FR"/>
              </w:rPr>
              <w:t xml:space="preserve"> et de Keur Massar Sud</w:t>
            </w:r>
          </w:p>
        </w:tc>
        <w:tc>
          <w:tcPr>
            <w:tcW w:w="3211" w:type="pct"/>
            <w:vAlign w:val="center"/>
          </w:tcPr>
          <w:p w14:paraId="03F699B9" w14:textId="77777777" w:rsidR="00DE241D" w:rsidRPr="0097258B" w:rsidRDefault="00DE241D" w:rsidP="00C000D3">
            <w:pPr>
              <w:tabs>
                <w:tab w:val="left" w:pos="1305"/>
              </w:tabs>
              <w:spacing w:line="240" w:lineRule="auto"/>
              <w:jc w:val="both"/>
              <w:rPr>
                <w:rFonts w:ascii="Times New Roman" w:hAnsi="Times New Roman"/>
                <w:color w:val="000000" w:themeColor="text1"/>
                <w:lang w:val="fr-FR"/>
              </w:rPr>
            </w:pPr>
            <w:r w:rsidRPr="00301AF6">
              <w:rPr>
                <w:rFonts w:ascii="Times New Roman" w:hAnsi="Times New Roman"/>
                <w:color w:val="000000" w:themeColor="text1"/>
                <w:lang w:val="fr-FR"/>
              </w:rPr>
              <w:t>Assurer l’entretien pré hivernal (suppression de la végétation) et la démoustication régulière des bassins en y introduisant :</w:t>
            </w:r>
          </w:p>
          <w:p w14:paraId="2673FC5E" w14:textId="1DCE4C08" w:rsidR="00DE241D" w:rsidRPr="0097258B" w:rsidRDefault="00DE241D" w:rsidP="00C000D3">
            <w:pPr>
              <w:pStyle w:val="Paragraphedeliste"/>
              <w:numPr>
                <w:ilvl w:val="0"/>
                <w:numId w:val="290"/>
              </w:numPr>
              <w:tabs>
                <w:tab w:val="left" w:pos="1305"/>
              </w:tabs>
              <w:spacing w:line="240" w:lineRule="auto"/>
              <w:jc w:val="both"/>
              <w:rPr>
                <w:rFonts w:ascii="Times New Roman" w:hAnsi="Times New Roman"/>
                <w:color w:val="000000" w:themeColor="text1"/>
                <w:lang w:val="fr-FR"/>
              </w:rPr>
            </w:pPr>
            <w:r w:rsidRPr="00301AF6">
              <w:rPr>
                <w:rFonts w:ascii="Times New Roman" w:hAnsi="Times New Roman"/>
                <w:color w:val="000000" w:themeColor="text1"/>
                <w:lang w:val="fr-FR"/>
              </w:rPr>
              <w:t>Des Poissons larvivores comme la gambusie (</w:t>
            </w:r>
            <w:r w:rsidRPr="00301AF6">
              <w:rPr>
                <w:rFonts w:ascii="Times New Roman" w:hAnsi="Times New Roman"/>
                <w:i/>
                <w:color w:val="000000" w:themeColor="text1"/>
                <w:lang w:val="fr-FR"/>
              </w:rPr>
              <w:t xml:space="preserve">Gambusia </w:t>
            </w:r>
            <w:proofErr w:type="spellStart"/>
            <w:r w:rsidRPr="00301AF6">
              <w:rPr>
                <w:rFonts w:ascii="Times New Roman" w:hAnsi="Times New Roman"/>
                <w:i/>
                <w:color w:val="000000" w:themeColor="text1"/>
                <w:lang w:val="fr-FR"/>
              </w:rPr>
              <w:t>af</w:t>
            </w:r>
            <w:proofErr w:type="spellEnd"/>
            <w:r w:rsidRPr="00632C4D">
              <w:rPr>
                <w:rFonts w:ascii="Times New Roman" w:hAnsi="Times New Roman"/>
                <w:i/>
                <w:color w:val="000000" w:themeColor="text1"/>
              </w:rPr>
              <w:t>ﬁ</w:t>
            </w:r>
            <w:proofErr w:type="spellStart"/>
            <w:r w:rsidRPr="00301AF6">
              <w:rPr>
                <w:rFonts w:ascii="Times New Roman" w:hAnsi="Times New Roman"/>
                <w:i/>
                <w:color w:val="000000" w:themeColor="text1"/>
                <w:lang w:val="fr-FR"/>
              </w:rPr>
              <w:t>nis</w:t>
            </w:r>
            <w:proofErr w:type="spellEnd"/>
            <w:r w:rsidRPr="00301AF6">
              <w:rPr>
                <w:rFonts w:ascii="Times New Roman" w:hAnsi="Times New Roman"/>
                <w:color w:val="000000" w:themeColor="text1"/>
                <w:lang w:val="fr-FR"/>
              </w:rPr>
              <w:t>), le poisson</w:t>
            </w:r>
            <w:r w:rsidR="00260AFC" w:rsidRPr="00301AF6">
              <w:rPr>
                <w:rFonts w:ascii="Times New Roman" w:hAnsi="Times New Roman"/>
                <w:color w:val="000000" w:themeColor="text1"/>
                <w:lang w:val="fr-FR"/>
              </w:rPr>
              <w:t>-</w:t>
            </w:r>
            <w:r w:rsidRPr="00301AF6">
              <w:rPr>
                <w:rFonts w:ascii="Times New Roman" w:hAnsi="Times New Roman"/>
                <w:color w:val="000000" w:themeColor="text1"/>
                <w:lang w:val="fr-FR"/>
              </w:rPr>
              <w:t>perle d’Argentine (</w:t>
            </w:r>
            <w:proofErr w:type="spellStart"/>
            <w:r w:rsidRPr="00301AF6">
              <w:rPr>
                <w:rFonts w:ascii="Times New Roman" w:hAnsi="Times New Roman"/>
                <w:i/>
                <w:color w:val="000000" w:themeColor="text1"/>
                <w:lang w:val="fr-FR"/>
              </w:rPr>
              <w:t>Cynolebias</w:t>
            </w:r>
            <w:proofErr w:type="spellEnd"/>
            <w:r w:rsidRPr="00301AF6">
              <w:rPr>
                <w:rFonts w:ascii="Times New Roman" w:hAnsi="Times New Roman"/>
                <w:i/>
                <w:color w:val="000000" w:themeColor="text1"/>
                <w:lang w:val="fr-FR"/>
              </w:rPr>
              <w:t xml:space="preserve"> </w:t>
            </w:r>
            <w:proofErr w:type="spellStart"/>
            <w:r w:rsidRPr="00301AF6">
              <w:rPr>
                <w:rFonts w:ascii="Times New Roman" w:hAnsi="Times New Roman"/>
                <w:i/>
                <w:color w:val="000000" w:themeColor="text1"/>
                <w:lang w:val="fr-FR"/>
              </w:rPr>
              <w:t>bellotii</w:t>
            </w:r>
            <w:proofErr w:type="spellEnd"/>
            <w:r w:rsidRPr="00301AF6">
              <w:rPr>
                <w:rFonts w:ascii="Times New Roman" w:hAnsi="Times New Roman"/>
                <w:color w:val="000000" w:themeColor="text1"/>
                <w:lang w:val="fr-FR"/>
              </w:rPr>
              <w:t>), le tilapia (</w:t>
            </w:r>
            <w:proofErr w:type="spellStart"/>
            <w:r w:rsidRPr="00301AF6">
              <w:rPr>
                <w:rFonts w:ascii="Times New Roman" w:hAnsi="Times New Roman"/>
                <w:i/>
                <w:color w:val="000000" w:themeColor="text1"/>
                <w:lang w:val="fr-FR"/>
              </w:rPr>
              <w:t>Oreochromis</w:t>
            </w:r>
            <w:proofErr w:type="spellEnd"/>
            <w:r w:rsidRPr="00301AF6">
              <w:rPr>
                <w:rFonts w:ascii="Times New Roman" w:hAnsi="Times New Roman"/>
                <w:i/>
                <w:color w:val="000000" w:themeColor="text1"/>
                <w:lang w:val="fr-FR"/>
              </w:rPr>
              <w:t xml:space="preserve"> (Tilapia) </w:t>
            </w:r>
            <w:proofErr w:type="spellStart"/>
            <w:r w:rsidRPr="00301AF6">
              <w:rPr>
                <w:rFonts w:ascii="Times New Roman" w:hAnsi="Times New Roman"/>
                <w:i/>
                <w:color w:val="000000" w:themeColor="text1"/>
                <w:lang w:val="fr-FR"/>
              </w:rPr>
              <w:t>mossambicus</w:t>
            </w:r>
            <w:proofErr w:type="spellEnd"/>
            <w:r w:rsidRPr="00301AF6">
              <w:rPr>
                <w:rFonts w:ascii="Times New Roman" w:hAnsi="Times New Roman"/>
                <w:i/>
                <w:color w:val="000000" w:themeColor="text1"/>
                <w:lang w:val="fr-FR"/>
              </w:rPr>
              <w:t>)</w:t>
            </w:r>
            <w:r w:rsidRPr="00301AF6">
              <w:rPr>
                <w:rFonts w:ascii="Times New Roman" w:hAnsi="Times New Roman"/>
                <w:color w:val="000000" w:themeColor="text1"/>
                <w:lang w:val="fr-FR"/>
              </w:rPr>
              <w:t xml:space="preserve"> …</w:t>
            </w:r>
          </w:p>
          <w:p w14:paraId="4AA5686C" w14:textId="77777777" w:rsidR="00DE241D" w:rsidRPr="0097258B" w:rsidRDefault="00DE241D" w:rsidP="00C000D3">
            <w:pPr>
              <w:pStyle w:val="Paragraphedeliste"/>
              <w:numPr>
                <w:ilvl w:val="0"/>
                <w:numId w:val="290"/>
              </w:numPr>
              <w:tabs>
                <w:tab w:val="left" w:pos="1305"/>
              </w:tabs>
              <w:spacing w:line="240" w:lineRule="auto"/>
              <w:jc w:val="both"/>
              <w:rPr>
                <w:rFonts w:ascii="Times New Roman" w:hAnsi="Times New Roman"/>
                <w:color w:val="000000" w:themeColor="text1"/>
                <w:lang w:val="fr-FR"/>
              </w:rPr>
            </w:pPr>
            <w:r w:rsidRPr="00301AF6">
              <w:rPr>
                <w:rFonts w:ascii="Times New Roman" w:hAnsi="Times New Roman"/>
                <w:color w:val="000000" w:themeColor="text1"/>
                <w:lang w:val="fr-FR"/>
              </w:rPr>
              <w:t xml:space="preserve">Moustiques prédateurs du genre </w:t>
            </w:r>
            <w:proofErr w:type="spellStart"/>
            <w:r w:rsidRPr="00301AF6">
              <w:rPr>
                <w:rFonts w:ascii="Times New Roman" w:hAnsi="Times New Roman"/>
                <w:i/>
                <w:color w:val="000000" w:themeColor="text1"/>
                <w:lang w:val="fr-FR"/>
              </w:rPr>
              <w:t>Toxorhynchites</w:t>
            </w:r>
            <w:proofErr w:type="spellEnd"/>
            <w:r w:rsidRPr="00301AF6">
              <w:rPr>
                <w:rFonts w:ascii="Times New Roman" w:hAnsi="Times New Roman"/>
                <w:color w:val="000000" w:themeColor="text1"/>
                <w:lang w:val="fr-FR"/>
              </w:rPr>
              <w:t xml:space="preserve">, dont les larves se nourrissent de celles d’autres moustiques ; </w:t>
            </w:r>
          </w:p>
          <w:p w14:paraId="46A3D05D" w14:textId="77777777" w:rsidR="00DE241D" w:rsidRPr="0097258B" w:rsidRDefault="00DE241D" w:rsidP="00C000D3">
            <w:pPr>
              <w:pStyle w:val="Paragraphedeliste"/>
              <w:numPr>
                <w:ilvl w:val="0"/>
                <w:numId w:val="290"/>
              </w:numPr>
              <w:tabs>
                <w:tab w:val="left" w:pos="1305"/>
              </w:tabs>
              <w:spacing w:line="240" w:lineRule="auto"/>
              <w:jc w:val="both"/>
              <w:rPr>
                <w:rFonts w:ascii="Times New Roman" w:hAnsi="Times New Roman"/>
                <w:color w:val="000000" w:themeColor="text1"/>
                <w:lang w:val="fr-FR"/>
              </w:rPr>
            </w:pPr>
            <w:r w:rsidRPr="00301AF6">
              <w:rPr>
                <w:rFonts w:ascii="Times New Roman" w:hAnsi="Times New Roman"/>
                <w:color w:val="000000" w:themeColor="text1"/>
                <w:lang w:val="fr-FR"/>
              </w:rPr>
              <w:t xml:space="preserve">Libellules dont les larves se nourrissent de celles des moustiques ; </w:t>
            </w:r>
          </w:p>
          <w:p w14:paraId="157D48C5" w14:textId="77777777" w:rsidR="00DE241D" w:rsidRPr="0097258B" w:rsidRDefault="00DE241D" w:rsidP="00C000D3">
            <w:pPr>
              <w:pStyle w:val="Paragraphedeliste"/>
              <w:numPr>
                <w:ilvl w:val="0"/>
                <w:numId w:val="290"/>
              </w:numPr>
              <w:tabs>
                <w:tab w:val="left" w:pos="1305"/>
              </w:tabs>
              <w:spacing w:line="240" w:lineRule="auto"/>
              <w:jc w:val="both"/>
              <w:rPr>
                <w:rFonts w:ascii="Times New Roman" w:hAnsi="Times New Roman"/>
                <w:color w:val="000000" w:themeColor="text1"/>
                <w:lang w:val="fr-FR"/>
              </w:rPr>
            </w:pPr>
            <w:r w:rsidRPr="00301AF6">
              <w:rPr>
                <w:rFonts w:ascii="Times New Roman" w:hAnsi="Times New Roman"/>
                <w:color w:val="000000" w:themeColor="text1"/>
                <w:lang w:val="fr-FR"/>
              </w:rPr>
              <w:t xml:space="preserve">Copépodes </w:t>
            </w:r>
            <w:proofErr w:type="spellStart"/>
            <w:r w:rsidRPr="00301AF6">
              <w:rPr>
                <w:rFonts w:ascii="Times New Roman" w:hAnsi="Times New Roman"/>
                <w:color w:val="000000" w:themeColor="text1"/>
                <w:lang w:val="fr-FR"/>
              </w:rPr>
              <w:t>cyclopoïdes</w:t>
            </w:r>
            <w:proofErr w:type="spellEnd"/>
            <w:r w:rsidRPr="00301AF6">
              <w:rPr>
                <w:rFonts w:ascii="Times New Roman" w:hAnsi="Times New Roman"/>
                <w:color w:val="000000" w:themeColor="text1"/>
                <w:lang w:val="fr-FR"/>
              </w:rPr>
              <w:t xml:space="preserve"> qui s’attaquent aux larves de moustiques du premier et du deuxième stade ;</w:t>
            </w:r>
          </w:p>
          <w:p w14:paraId="025D5DE6" w14:textId="77777777" w:rsidR="00DE241D" w:rsidRPr="0097258B" w:rsidRDefault="00DE241D" w:rsidP="00C000D3">
            <w:pPr>
              <w:pStyle w:val="Paragraphedeliste"/>
              <w:numPr>
                <w:ilvl w:val="0"/>
                <w:numId w:val="290"/>
              </w:numPr>
              <w:tabs>
                <w:tab w:val="left" w:pos="1305"/>
              </w:tabs>
              <w:spacing w:line="240" w:lineRule="auto"/>
              <w:jc w:val="both"/>
              <w:rPr>
                <w:rFonts w:ascii="Times New Roman" w:hAnsi="Times New Roman"/>
                <w:color w:val="000000" w:themeColor="text1"/>
                <w:lang w:val="fr-FR"/>
              </w:rPr>
            </w:pPr>
            <w:r w:rsidRPr="00301AF6">
              <w:rPr>
                <w:rFonts w:ascii="Times New Roman" w:hAnsi="Times New Roman"/>
                <w:color w:val="000000" w:themeColor="text1"/>
                <w:lang w:val="fr-FR"/>
              </w:rPr>
              <w:t>Nématodes parasites des larves de moustiques ;</w:t>
            </w:r>
          </w:p>
          <w:p w14:paraId="52E7FA19" w14:textId="77777777" w:rsidR="00DE241D" w:rsidRPr="0097258B" w:rsidRDefault="00DE241D" w:rsidP="00C000D3">
            <w:pPr>
              <w:pStyle w:val="Default"/>
              <w:numPr>
                <w:ilvl w:val="0"/>
                <w:numId w:val="290"/>
              </w:numPr>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Champignons se développant dans l’organisme des larves de moustiques</w:t>
            </w:r>
          </w:p>
        </w:tc>
      </w:tr>
    </w:tbl>
    <w:p w14:paraId="3C8B187A" w14:textId="77777777" w:rsidR="00DE241D" w:rsidRPr="00260790" w:rsidRDefault="00DE241D" w:rsidP="001748C6">
      <w:pPr>
        <w:pStyle w:val="Paragraphedeliste"/>
        <w:numPr>
          <w:ilvl w:val="0"/>
          <w:numId w:val="276"/>
        </w:numPr>
        <w:spacing w:after="0" w:line="240" w:lineRule="auto"/>
        <w:jc w:val="both"/>
        <w:rPr>
          <w:rFonts w:ascii="Times New Roman" w:hAnsi="Times New Roman"/>
          <w:b/>
          <w:bCs/>
          <w:i/>
          <w:iCs/>
          <w:color w:val="000000" w:themeColor="text1"/>
          <w:lang w:eastAsia="fr-FR"/>
        </w:rPr>
      </w:pPr>
      <w:r w:rsidRPr="00260790">
        <w:rPr>
          <w:rFonts w:ascii="Times New Roman" w:hAnsi="Times New Roman"/>
          <w:b/>
          <w:bCs/>
          <w:i/>
          <w:iCs/>
          <w:color w:val="000000" w:themeColor="text1"/>
          <w:lang w:eastAsia="fr-FR"/>
        </w:rPr>
        <w:lastRenderedPageBreak/>
        <w:t>IP-8. Libération de ressources financières précieuses de populations démunies</w:t>
      </w:r>
    </w:p>
    <w:p w14:paraId="3F36E28D" w14:textId="0E47A29B" w:rsidR="00DE241D" w:rsidRPr="00260790" w:rsidRDefault="00DE241D"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 xml:space="preserve">Les inondations et la remontée du niveau des nappes qu’elles engendrent se traduisent chez les populations aux ressources limitées, par des dépenses fréquentes associées aux vidanges des fosses septiques (environ 30 000 FCFA/vidange par les camions hydrocureurs et 15 000 à 25 000 FCFA par les éboueurs locaux). Leur gestion par les ménages impose par ailleurs, des remblayages permanents et des travaux d’entretien/maintenance, voire de reconstruction d’ouvrages d’assainissement individuels. Ces travaux tout comme les vidanges pèsent lourd sur les revenus des ménages. </w:t>
      </w:r>
    </w:p>
    <w:p w14:paraId="379E1A15" w14:textId="77777777" w:rsidR="00DE241D" w:rsidRPr="00260790" w:rsidRDefault="00DE241D"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Aussi, la maîtrise des inondations libérera des ressources qui pourraient servir à financer d’autres postes de dépenses des ménages.</w:t>
      </w:r>
    </w:p>
    <w:tbl>
      <w:tblPr>
        <w:tblStyle w:val="Grilledutableau"/>
        <w:tblW w:w="5000" w:type="pct"/>
        <w:tblLook w:val="04A0" w:firstRow="1" w:lastRow="0" w:firstColumn="1" w:lastColumn="0" w:noHBand="0" w:noVBand="1"/>
      </w:tblPr>
      <w:tblGrid>
        <w:gridCol w:w="1974"/>
        <w:gridCol w:w="4113"/>
        <w:gridCol w:w="2973"/>
      </w:tblGrid>
      <w:tr w:rsidR="00BD1A2F" w:rsidRPr="00632C4D" w14:paraId="08F54E7D" w14:textId="77777777" w:rsidTr="003A0E4A">
        <w:tc>
          <w:tcPr>
            <w:tcW w:w="1089" w:type="pct"/>
            <w:shd w:val="clear" w:color="auto" w:fill="D9E2F3" w:themeFill="accent5" w:themeFillTint="33"/>
          </w:tcPr>
          <w:p w14:paraId="475B6FD2"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 xml:space="preserve">Sources </w:t>
            </w:r>
            <w:proofErr w:type="spellStart"/>
            <w:r w:rsidRPr="0097258B">
              <w:rPr>
                <w:rFonts w:ascii="Times New Roman" w:hAnsi="Times New Roman" w:cs="Times New Roman"/>
                <w:b/>
                <w:bCs/>
                <w:color w:val="000000" w:themeColor="text1"/>
                <w:sz w:val="20"/>
                <w:szCs w:val="20"/>
              </w:rPr>
              <w:t>d’impacts</w:t>
            </w:r>
            <w:proofErr w:type="spellEnd"/>
          </w:p>
        </w:tc>
        <w:tc>
          <w:tcPr>
            <w:tcW w:w="2270" w:type="pct"/>
            <w:shd w:val="clear" w:color="auto" w:fill="D9E2F3" w:themeFill="accent5" w:themeFillTint="33"/>
          </w:tcPr>
          <w:p w14:paraId="19DD9D1D"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Impacts</w:t>
            </w:r>
          </w:p>
        </w:tc>
        <w:tc>
          <w:tcPr>
            <w:tcW w:w="1641" w:type="pct"/>
            <w:shd w:val="clear" w:color="auto" w:fill="D9E2F3" w:themeFill="accent5" w:themeFillTint="33"/>
          </w:tcPr>
          <w:p w14:paraId="65E1227F"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Mesures</w:t>
            </w:r>
            <w:proofErr w:type="spellEnd"/>
            <w:r w:rsidRPr="0097258B">
              <w:rPr>
                <w:rFonts w:ascii="Times New Roman" w:hAnsi="Times New Roman" w:cs="Times New Roman"/>
                <w:b/>
                <w:bCs/>
                <w:color w:val="000000" w:themeColor="text1"/>
                <w:sz w:val="20"/>
                <w:szCs w:val="20"/>
              </w:rPr>
              <w:t xml:space="preserve"> de bonification</w:t>
            </w:r>
          </w:p>
        </w:tc>
      </w:tr>
      <w:tr w:rsidR="00BD1A2F" w:rsidRPr="00632C4D" w14:paraId="6D1BA804" w14:textId="77777777" w:rsidTr="003A0E4A">
        <w:tc>
          <w:tcPr>
            <w:tcW w:w="1089" w:type="pct"/>
          </w:tcPr>
          <w:p w14:paraId="45D0B78C"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Fonctionnement</w:t>
            </w:r>
            <w:proofErr w:type="spellEnd"/>
            <w:r w:rsidRPr="0097258B">
              <w:rPr>
                <w:rFonts w:ascii="Times New Roman" w:hAnsi="Times New Roman" w:cs="Times New Roman"/>
                <w:color w:val="000000" w:themeColor="text1"/>
                <w:sz w:val="20"/>
                <w:szCs w:val="20"/>
              </w:rPr>
              <w:t xml:space="preserve"> des </w:t>
            </w:r>
            <w:proofErr w:type="spellStart"/>
            <w:r w:rsidRPr="0097258B">
              <w:rPr>
                <w:rFonts w:ascii="Times New Roman" w:hAnsi="Times New Roman" w:cs="Times New Roman"/>
                <w:color w:val="000000" w:themeColor="text1"/>
                <w:sz w:val="20"/>
                <w:szCs w:val="20"/>
              </w:rPr>
              <w:t>ouvrages</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d’assainissement</w:t>
            </w:r>
            <w:proofErr w:type="spellEnd"/>
          </w:p>
        </w:tc>
        <w:tc>
          <w:tcPr>
            <w:tcW w:w="2270" w:type="pct"/>
          </w:tcPr>
          <w:p w14:paraId="731E6127" w14:textId="77777777" w:rsidR="00DE241D" w:rsidRPr="0097258B" w:rsidRDefault="00DE241D" w:rsidP="00C000D3">
            <w:pPr>
              <w:spacing w:line="240" w:lineRule="auto"/>
              <w:jc w:val="both"/>
              <w:rPr>
                <w:rFonts w:ascii="Times New Roman" w:hAnsi="Times New Roman"/>
                <w:b/>
                <w:bCs/>
                <w:i/>
                <w:iCs/>
                <w:color w:val="000000" w:themeColor="text1"/>
                <w:lang w:val="fr-FR" w:eastAsia="fr-FR"/>
              </w:rPr>
            </w:pPr>
            <w:r w:rsidRPr="00301AF6">
              <w:rPr>
                <w:rFonts w:ascii="Times New Roman" w:hAnsi="Times New Roman"/>
                <w:b/>
                <w:bCs/>
                <w:i/>
                <w:iCs/>
                <w:color w:val="000000" w:themeColor="text1"/>
                <w:lang w:val="fr-FR" w:eastAsia="fr-FR"/>
              </w:rPr>
              <w:t>IP-8. Libération de ressources financières précieuses de populations démunies</w:t>
            </w:r>
          </w:p>
        </w:tc>
        <w:tc>
          <w:tcPr>
            <w:tcW w:w="1641" w:type="pct"/>
          </w:tcPr>
          <w:p w14:paraId="6F821990"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Former les populations à des activités génératrices de revenus.</w:t>
            </w:r>
          </w:p>
        </w:tc>
      </w:tr>
    </w:tbl>
    <w:p w14:paraId="59098149" w14:textId="77777777" w:rsidR="00DE241D" w:rsidRPr="00260790" w:rsidRDefault="00DE241D" w:rsidP="00BE2AA9">
      <w:pPr>
        <w:spacing w:after="0" w:line="240" w:lineRule="auto"/>
        <w:jc w:val="both"/>
        <w:rPr>
          <w:rFonts w:ascii="Times New Roman" w:hAnsi="Times New Roman"/>
          <w:color w:val="000000" w:themeColor="text1"/>
          <w:lang w:eastAsia="fr-FR"/>
        </w:rPr>
      </w:pPr>
    </w:p>
    <w:p w14:paraId="5CB1B3A5" w14:textId="77777777" w:rsidR="00DE241D" w:rsidRPr="00260790" w:rsidRDefault="00DE241D" w:rsidP="001748C6">
      <w:pPr>
        <w:pStyle w:val="Paragraphedeliste"/>
        <w:numPr>
          <w:ilvl w:val="0"/>
          <w:numId w:val="291"/>
        </w:numPr>
        <w:spacing w:after="0" w:line="240" w:lineRule="auto"/>
        <w:rPr>
          <w:rFonts w:ascii="Times New Roman" w:hAnsi="Times New Roman"/>
          <w:b/>
          <w:bCs/>
          <w:i/>
          <w:iCs/>
          <w:color w:val="000000" w:themeColor="text1"/>
          <w:lang w:eastAsia="fr-FR"/>
        </w:rPr>
      </w:pPr>
      <w:r w:rsidRPr="00260790">
        <w:rPr>
          <w:rFonts w:ascii="Times New Roman" w:hAnsi="Times New Roman"/>
          <w:b/>
          <w:bCs/>
          <w:i/>
          <w:iCs/>
          <w:color w:val="000000" w:themeColor="text1"/>
          <w:lang w:eastAsia="fr-FR"/>
        </w:rPr>
        <w:t xml:space="preserve">IP-9. Récupération de terres et d’habitations abandonnées grâce à l’assèchement des zones inondées </w:t>
      </w:r>
    </w:p>
    <w:p w14:paraId="2845B0E3" w14:textId="6D35C3A9" w:rsidR="00DE241D" w:rsidRPr="00260790" w:rsidRDefault="00DE241D"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 xml:space="preserve">Les inondations lorsqu’elles sont prolongées, soustraient les zones affectées de leurs usages habituels. Les populations se trouvent obligées de quitter leurs demeures et le domaine public est envahi par les eaux, ce qui traduit par des pertes de terres pour les municipalités. </w:t>
      </w:r>
    </w:p>
    <w:p w14:paraId="149FB62E" w14:textId="42A022CE" w:rsidR="00DE241D" w:rsidRPr="00260790" w:rsidRDefault="00DE241D"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La mise en service des ouvrages d’assainissement permettra le drainage des eaux stagnantes ainsi que le rebattement de la nappe. Elle permettra donc, la récupération d’habitations abandonnées et du domaine public qui pourra service à l’aménagement d’équipements communautaires (infrastructures éducatives, sportives, sanitaires, lieux de culte…).</w:t>
      </w:r>
    </w:p>
    <w:tbl>
      <w:tblPr>
        <w:tblStyle w:val="Grilledutableau"/>
        <w:tblW w:w="5000" w:type="pct"/>
        <w:tblLook w:val="04A0" w:firstRow="1" w:lastRow="0" w:firstColumn="1" w:lastColumn="0" w:noHBand="0" w:noVBand="1"/>
      </w:tblPr>
      <w:tblGrid>
        <w:gridCol w:w="1974"/>
        <w:gridCol w:w="2656"/>
        <w:gridCol w:w="4430"/>
      </w:tblGrid>
      <w:tr w:rsidR="00BD1A2F" w:rsidRPr="00632C4D" w14:paraId="2D3E3990" w14:textId="77777777" w:rsidTr="003A0E4A">
        <w:tc>
          <w:tcPr>
            <w:tcW w:w="1089" w:type="pct"/>
            <w:shd w:val="clear" w:color="auto" w:fill="D9E2F3" w:themeFill="accent5" w:themeFillTint="33"/>
          </w:tcPr>
          <w:p w14:paraId="4E1CC1A6"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 xml:space="preserve">Sources </w:t>
            </w:r>
            <w:proofErr w:type="spellStart"/>
            <w:r w:rsidRPr="0097258B">
              <w:rPr>
                <w:rFonts w:ascii="Times New Roman" w:hAnsi="Times New Roman" w:cs="Times New Roman"/>
                <w:b/>
                <w:bCs/>
                <w:color w:val="000000" w:themeColor="text1"/>
                <w:sz w:val="20"/>
                <w:szCs w:val="20"/>
              </w:rPr>
              <w:t>d’impacts</w:t>
            </w:r>
            <w:proofErr w:type="spellEnd"/>
          </w:p>
        </w:tc>
        <w:tc>
          <w:tcPr>
            <w:tcW w:w="1466" w:type="pct"/>
            <w:shd w:val="clear" w:color="auto" w:fill="D9E2F3" w:themeFill="accent5" w:themeFillTint="33"/>
          </w:tcPr>
          <w:p w14:paraId="403DED53"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Impacts</w:t>
            </w:r>
          </w:p>
        </w:tc>
        <w:tc>
          <w:tcPr>
            <w:tcW w:w="2445" w:type="pct"/>
            <w:shd w:val="clear" w:color="auto" w:fill="D9E2F3" w:themeFill="accent5" w:themeFillTint="33"/>
          </w:tcPr>
          <w:p w14:paraId="22C651D6"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Mesures</w:t>
            </w:r>
            <w:proofErr w:type="spellEnd"/>
            <w:r w:rsidRPr="0097258B">
              <w:rPr>
                <w:rFonts w:ascii="Times New Roman" w:hAnsi="Times New Roman" w:cs="Times New Roman"/>
                <w:b/>
                <w:bCs/>
                <w:color w:val="000000" w:themeColor="text1"/>
                <w:sz w:val="20"/>
                <w:szCs w:val="20"/>
              </w:rPr>
              <w:t xml:space="preserve"> de bonification</w:t>
            </w:r>
          </w:p>
        </w:tc>
      </w:tr>
      <w:tr w:rsidR="00BD1A2F" w:rsidRPr="00632C4D" w14:paraId="7E072FAD" w14:textId="77777777" w:rsidTr="003A0E4A">
        <w:tc>
          <w:tcPr>
            <w:tcW w:w="1089" w:type="pct"/>
          </w:tcPr>
          <w:p w14:paraId="47331357"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Fonctionnement</w:t>
            </w:r>
            <w:proofErr w:type="spellEnd"/>
            <w:r w:rsidRPr="0097258B">
              <w:rPr>
                <w:rFonts w:ascii="Times New Roman" w:hAnsi="Times New Roman" w:cs="Times New Roman"/>
                <w:color w:val="000000" w:themeColor="text1"/>
                <w:sz w:val="20"/>
                <w:szCs w:val="20"/>
              </w:rPr>
              <w:t xml:space="preserve"> des </w:t>
            </w:r>
            <w:proofErr w:type="spellStart"/>
            <w:r w:rsidRPr="0097258B">
              <w:rPr>
                <w:rFonts w:ascii="Times New Roman" w:hAnsi="Times New Roman" w:cs="Times New Roman"/>
                <w:color w:val="000000" w:themeColor="text1"/>
                <w:sz w:val="20"/>
                <w:szCs w:val="20"/>
              </w:rPr>
              <w:t>ouvrages</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d’assainissement</w:t>
            </w:r>
            <w:proofErr w:type="spellEnd"/>
          </w:p>
        </w:tc>
        <w:tc>
          <w:tcPr>
            <w:tcW w:w="1466" w:type="pct"/>
          </w:tcPr>
          <w:p w14:paraId="0D79DC22" w14:textId="77777777" w:rsidR="00DE241D" w:rsidRPr="0097258B" w:rsidRDefault="00DE241D" w:rsidP="00C000D3">
            <w:pPr>
              <w:spacing w:line="240" w:lineRule="auto"/>
              <w:jc w:val="both"/>
              <w:rPr>
                <w:rFonts w:ascii="Times New Roman" w:hAnsi="Times New Roman"/>
                <w:b/>
                <w:bCs/>
                <w:i/>
                <w:iCs/>
                <w:color w:val="000000" w:themeColor="text1"/>
                <w:lang w:val="fr-FR" w:eastAsia="fr-FR"/>
              </w:rPr>
            </w:pPr>
            <w:r w:rsidRPr="00301AF6">
              <w:rPr>
                <w:rFonts w:ascii="Times New Roman" w:hAnsi="Times New Roman"/>
                <w:b/>
                <w:bCs/>
                <w:i/>
                <w:iCs/>
                <w:color w:val="000000" w:themeColor="text1"/>
                <w:lang w:val="fr-FR" w:eastAsia="fr-FR"/>
              </w:rPr>
              <w:t xml:space="preserve">IP-9. Récupération de terres et d’habitations abandonnées grâce à l’assèchement des zones inondées </w:t>
            </w:r>
          </w:p>
        </w:tc>
        <w:tc>
          <w:tcPr>
            <w:tcW w:w="2445" w:type="pct"/>
          </w:tcPr>
          <w:p w14:paraId="16FEAA91" w14:textId="62D1EE81"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 xml:space="preserve">Utiliser dans la mesure du possible, récupération </w:t>
            </w:r>
            <w:r w:rsidR="00AA758A" w:rsidRPr="00301AF6">
              <w:rPr>
                <w:rFonts w:ascii="Times New Roman" w:hAnsi="Times New Roman" w:cs="Times New Roman"/>
                <w:color w:val="000000" w:themeColor="text1"/>
                <w:sz w:val="20"/>
                <w:szCs w:val="20"/>
                <w:lang w:val="fr-FR"/>
              </w:rPr>
              <w:t xml:space="preserve">des terres </w:t>
            </w:r>
            <w:r w:rsidRPr="00301AF6">
              <w:rPr>
                <w:rFonts w:ascii="Times New Roman" w:hAnsi="Times New Roman" w:cs="Times New Roman"/>
                <w:color w:val="000000" w:themeColor="text1"/>
                <w:sz w:val="20"/>
                <w:szCs w:val="20"/>
                <w:lang w:val="fr-FR"/>
              </w:rPr>
              <w:t>pour la construction de logements sociaux et d’infrastructures socioéconomiques de base ;</w:t>
            </w:r>
          </w:p>
          <w:p w14:paraId="42E24894"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Assurer l’entretien régulier des ouvrages</w:t>
            </w:r>
          </w:p>
        </w:tc>
      </w:tr>
    </w:tbl>
    <w:p w14:paraId="74BCFED9" w14:textId="77777777" w:rsidR="00DE241D" w:rsidRPr="00260790" w:rsidRDefault="00DE241D" w:rsidP="00BE2AA9">
      <w:pPr>
        <w:spacing w:after="0" w:line="240" w:lineRule="auto"/>
        <w:jc w:val="both"/>
        <w:rPr>
          <w:rFonts w:ascii="Times New Roman" w:hAnsi="Times New Roman"/>
          <w:color w:val="000000" w:themeColor="text1"/>
          <w:lang w:eastAsia="fr-FR"/>
        </w:rPr>
      </w:pPr>
    </w:p>
    <w:p w14:paraId="1189C68B" w14:textId="77777777" w:rsidR="00DE241D" w:rsidRPr="00260790" w:rsidRDefault="00DE241D" w:rsidP="001748C6">
      <w:pPr>
        <w:pStyle w:val="Paragraphedeliste"/>
        <w:numPr>
          <w:ilvl w:val="0"/>
          <w:numId w:val="291"/>
        </w:numPr>
        <w:spacing w:after="0" w:line="240" w:lineRule="auto"/>
        <w:jc w:val="both"/>
        <w:rPr>
          <w:rFonts w:ascii="Times New Roman" w:hAnsi="Times New Roman"/>
          <w:b/>
          <w:bCs/>
          <w:i/>
          <w:iCs/>
          <w:color w:val="000000" w:themeColor="text1"/>
          <w:lang w:eastAsia="fr-FR"/>
        </w:rPr>
      </w:pPr>
      <w:r w:rsidRPr="00260790">
        <w:rPr>
          <w:rFonts w:ascii="Times New Roman" w:hAnsi="Times New Roman"/>
          <w:b/>
          <w:bCs/>
          <w:i/>
          <w:iCs/>
          <w:color w:val="000000" w:themeColor="text1"/>
          <w:lang w:eastAsia="fr-FR"/>
        </w:rPr>
        <w:t>IP-10. Garantie du droit constitutionnel à un environnement sain et du droit fondamental à la santé</w:t>
      </w:r>
    </w:p>
    <w:p w14:paraId="6D9271C6" w14:textId="77777777" w:rsidR="00DE241D" w:rsidRPr="00260790" w:rsidRDefault="00DE241D"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 xml:space="preserve">Le droit à un environnement sain est consacré par la Constitution de la République du Sénégal. </w:t>
      </w:r>
    </w:p>
    <w:p w14:paraId="2623AA5F" w14:textId="4268294F" w:rsidR="00DE241D" w:rsidRPr="00260790" w:rsidRDefault="00DE241D"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Par ailleurs, le Protocol</w:t>
      </w:r>
      <w:r w:rsidR="00DD5EE8" w:rsidRPr="00260790">
        <w:rPr>
          <w:rFonts w:ascii="Times New Roman" w:hAnsi="Times New Roman"/>
          <w:color w:val="000000" w:themeColor="text1"/>
          <w:lang w:eastAsia="fr-FR"/>
        </w:rPr>
        <w:t>e</w:t>
      </w:r>
      <w:r w:rsidRPr="00260790">
        <w:rPr>
          <w:rFonts w:ascii="Times New Roman" w:hAnsi="Times New Roman"/>
          <w:color w:val="000000" w:themeColor="text1"/>
          <w:lang w:eastAsia="fr-FR"/>
        </w:rPr>
        <w:t xml:space="preserve"> facultatif entré en vigueur en 2013 du Pacte international relatif aux droits économiques, sociaux et culturels de 1976, promeut et protège le droit de chaque individu à des conditions de vie lui permettant de jouir du meilleur état de santé physique et mentale qu’elle soit capable d’atteindre.</w:t>
      </w:r>
    </w:p>
    <w:p w14:paraId="414BD8A7" w14:textId="055E0491" w:rsidR="00DE241D" w:rsidRPr="00260790" w:rsidRDefault="00DE241D"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 xml:space="preserve">L’assainissement des zones ciblées contribuera à garantir ces droits aux populations et à assurer l’équité et l’égalité entre les citoyens.  </w:t>
      </w:r>
    </w:p>
    <w:tbl>
      <w:tblPr>
        <w:tblStyle w:val="Grilledutableau"/>
        <w:tblW w:w="5000" w:type="pct"/>
        <w:tblLook w:val="04A0" w:firstRow="1" w:lastRow="0" w:firstColumn="1" w:lastColumn="0" w:noHBand="0" w:noVBand="1"/>
      </w:tblPr>
      <w:tblGrid>
        <w:gridCol w:w="1973"/>
        <w:gridCol w:w="2921"/>
        <w:gridCol w:w="4166"/>
      </w:tblGrid>
      <w:tr w:rsidR="00BD1A2F" w:rsidRPr="00632C4D" w14:paraId="360F83A7" w14:textId="77777777" w:rsidTr="003A0E4A">
        <w:tc>
          <w:tcPr>
            <w:tcW w:w="1089" w:type="pct"/>
            <w:shd w:val="clear" w:color="auto" w:fill="D9E2F3" w:themeFill="accent5" w:themeFillTint="33"/>
          </w:tcPr>
          <w:p w14:paraId="15C345DA"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 xml:space="preserve">Sources </w:t>
            </w:r>
            <w:proofErr w:type="spellStart"/>
            <w:r w:rsidRPr="0097258B">
              <w:rPr>
                <w:rFonts w:ascii="Times New Roman" w:hAnsi="Times New Roman" w:cs="Times New Roman"/>
                <w:b/>
                <w:bCs/>
                <w:color w:val="000000" w:themeColor="text1"/>
                <w:sz w:val="20"/>
                <w:szCs w:val="20"/>
              </w:rPr>
              <w:t>d’impacts</w:t>
            </w:r>
            <w:proofErr w:type="spellEnd"/>
          </w:p>
        </w:tc>
        <w:tc>
          <w:tcPr>
            <w:tcW w:w="1612" w:type="pct"/>
            <w:shd w:val="clear" w:color="auto" w:fill="D9E2F3" w:themeFill="accent5" w:themeFillTint="33"/>
          </w:tcPr>
          <w:p w14:paraId="7F5B8519"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Impacts</w:t>
            </w:r>
          </w:p>
        </w:tc>
        <w:tc>
          <w:tcPr>
            <w:tcW w:w="2299" w:type="pct"/>
            <w:shd w:val="clear" w:color="auto" w:fill="D9E2F3" w:themeFill="accent5" w:themeFillTint="33"/>
          </w:tcPr>
          <w:p w14:paraId="750E062B"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Mesures</w:t>
            </w:r>
            <w:proofErr w:type="spellEnd"/>
            <w:r w:rsidRPr="0097258B">
              <w:rPr>
                <w:rFonts w:ascii="Times New Roman" w:hAnsi="Times New Roman" w:cs="Times New Roman"/>
                <w:b/>
                <w:bCs/>
                <w:color w:val="000000" w:themeColor="text1"/>
                <w:sz w:val="20"/>
                <w:szCs w:val="20"/>
              </w:rPr>
              <w:t xml:space="preserve"> de bonification</w:t>
            </w:r>
          </w:p>
        </w:tc>
      </w:tr>
      <w:tr w:rsidR="00BD1A2F" w:rsidRPr="00632C4D" w14:paraId="7F53AC6B" w14:textId="77777777" w:rsidTr="003A0E4A">
        <w:tc>
          <w:tcPr>
            <w:tcW w:w="1089" w:type="pct"/>
          </w:tcPr>
          <w:p w14:paraId="0C3A6407"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Fonctionnement</w:t>
            </w:r>
            <w:proofErr w:type="spellEnd"/>
            <w:r w:rsidRPr="0097258B">
              <w:rPr>
                <w:rFonts w:ascii="Times New Roman" w:hAnsi="Times New Roman" w:cs="Times New Roman"/>
                <w:color w:val="000000" w:themeColor="text1"/>
                <w:sz w:val="20"/>
                <w:szCs w:val="20"/>
              </w:rPr>
              <w:t xml:space="preserve"> des </w:t>
            </w:r>
            <w:proofErr w:type="spellStart"/>
            <w:r w:rsidRPr="0097258B">
              <w:rPr>
                <w:rFonts w:ascii="Times New Roman" w:hAnsi="Times New Roman" w:cs="Times New Roman"/>
                <w:color w:val="000000" w:themeColor="text1"/>
                <w:sz w:val="20"/>
                <w:szCs w:val="20"/>
              </w:rPr>
              <w:t>ouvrages</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d’assainissement</w:t>
            </w:r>
            <w:proofErr w:type="spellEnd"/>
          </w:p>
        </w:tc>
        <w:tc>
          <w:tcPr>
            <w:tcW w:w="1612" w:type="pct"/>
          </w:tcPr>
          <w:p w14:paraId="371C2986" w14:textId="77777777" w:rsidR="00DE241D" w:rsidRPr="0097258B" w:rsidRDefault="00DE241D" w:rsidP="00C000D3">
            <w:pPr>
              <w:spacing w:line="240" w:lineRule="auto"/>
              <w:jc w:val="both"/>
              <w:rPr>
                <w:rFonts w:ascii="Times New Roman" w:hAnsi="Times New Roman"/>
                <w:b/>
                <w:bCs/>
                <w:i/>
                <w:iCs/>
                <w:color w:val="000000" w:themeColor="text1"/>
                <w:lang w:val="fr-FR" w:eastAsia="fr-FR"/>
              </w:rPr>
            </w:pPr>
            <w:r w:rsidRPr="00301AF6">
              <w:rPr>
                <w:rFonts w:ascii="Times New Roman" w:hAnsi="Times New Roman"/>
                <w:b/>
                <w:bCs/>
                <w:i/>
                <w:iCs/>
                <w:color w:val="000000" w:themeColor="text1"/>
                <w:lang w:val="fr-FR" w:eastAsia="fr-FR"/>
              </w:rPr>
              <w:t>IP-10. Garantie du droit constitutionnel à un environnement sain et du droit fondamental à la santé</w:t>
            </w:r>
          </w:p>
        </w:tc>
        <w:tc>
          <w:tcPr>
            <w:tcW w:w="2299" w:type="pct"/>
          </w:tcPr>
          <w:p w14:paraId="4E71D05F" w14:textId="2AB7B4D0"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 xml:space="preserve">Assurer l’entretien régulier des ouvrages ; Utiliser dans la mesure du possible, récupération </w:t>
            </w:r>
            <w:r w:rsidR="005B60AA" w:rsidRPr="00301AF6">
              <w:rPr>
                <w:rFonts w:ascii="Times New Roman" w:hAnsi="Times New Roman" w:cs="Times New Roman"/>
                <w:color w:val="000000" w:themeColor="text1"/>
                <w:sz w:val="20"/>
                <w:szCs w:val="20"/>
                <w:lang w:val="fr-FR"/>
              </w:rPr>
              <w:t xml:space="preserve">des terres </w:t>
            </w:r>
            <w:r w:rsidRPr="00301AF6">
              <w:rPr>
                <w:rFonts w:ascii="Times New Roman" w:hAnsi="Times New Roman" w:cs="Times New Roman"/>
                <w:color w:val="000000" w:themeColor="text1"/>
                <w:sz w:val="20"/>
                <w:szCs w:val="20"/>
                <w:lang w:val="fr-FR"/>
              </w:rPr>
              <w:t>pour la construction de logements sociaux et d’infrastructures socioéconomiques de base</w:t>
            </w:r>
            <w:r w:rsidR="00140F87" w:rsidRPr="00301AF6">
              <w:rPr>
                <w:rFonts w:ascii="Times New Roman" w:hAnsi="Times New Roman" w:cs="Times New Roman"/>
                <w:color w:val="000000" w:themeColor="text1"/>
                <w:sz w:val="20"/>
                <w:szCs w:val="20"/>
                <w:lang w:val="fr-FR"/>
              </w:rPr>
              <w:t>.</w:t>
            </w:r>
          </w:p>
        </w:tc>
      </w:tr>
    </w:tbl>
    <w:p w14:paraId="480A71E4" w14:textId="77777777" w:rsidR="00DE241D" w:rsidRPr="00260790" w:rsidRDefault="00DE241D" w:rsidP="00E20250">
      <w:pPr>
        <w:spacing w:after="0" w:line="240" w:lineRule="auto"/>
        <w:jc w:val="both"/>
        <w:rPr>
          <w:rFonts w:ascii="Times New Roman" w:hAnsi="Times New Roman"/>
          <w:color w:val="000000" w:themeColor="text1"/>
          <w:lang w:eastAsia="fr-FR"/>
        </w:rPr>
      </w:pPr>
    </w:p>
    <w:p w14:paraId="53C01CC1" w14:textId="77777777" w:rsidR="00DE241D" w:rsidRPr="00260790" w:rsidRDefault="00DE241D" w:rsidP="001748C6">
      <w:pPr>
        <w:pStyle w:val="Paragraphedeliste"/>
        <w:numPr>
          <w:ilvl w:val="0"/>
          <w:numId w:val="291"/>
        </w:numPr>
        <w:spacing w:after="0" w:line="240" w:lineRule="auto"/>
        <w:jc w:val="both"/>
        <w:rPr>
          <w:rFonts w:ascii="Times New Roman" w:hAnsi="Times New Roman"/>
          <w:b/>
          <w:bCs/>
          <w:i/>
          <w:iCs/>
          <w:color w:val="000000" w:themeColor="text1"/>
          <w:lang w:eastAsia="fr-FR"/>
        </w:rPr>
      </w:pPr>
      <w:r w:rsidRPr="00260790">
        <w:rPr>
          <w:rFonts w:ascii="Times New Roman" w:hAnsi="Times New Roman"/>
          <w:b/>
          <w:bCs/>
          <w:i/>
          <w:iCs/>
          <w:color w:val="000000" w:themeColor="text1"/>
          <w:lang w:eastAsia="fr-FR"/>
        </w:rPr>
        <w:t xml:space="preserve">IP-11. Accès aux infrastructures socioéconomiques </w:t>
      </w:r>
    </w:p>
    <w:p w14:paraId="0C1C0BA8" w14:textId="681F4047" w:rsidR="00DE241D" w:rsidRDefault="00453B27"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Par suite des</w:t>
      </w:r>
      <w:r w:rsidR="00DE241D" w:rsidRPr="00260790">
        <w:rPr>
          <w:rFonts w:ascii="Times New Roman" w:hAnsi="Times New Roman"/>
          <w:color w:val="000000" w:themeColor="text1"/>
          <w:lang w:eastAsia="fr-FR"/>
        </w:rPr>
        <w:t xml:space="preserve"> inondations, des populations des communes de Keur Massar Sud, </w:t>
      </w:r>
      <w:proofErr w:type="spellStart"/>
      <w:r w:rsidR="00DE241D" w:rsidRPr="00260790">
        <w:rPr>
          <w:rFonts w:ascii="Times New Roman" w:hAnsi="Times New Roman"/>
          <w:color w:val="000000" w:themeColor="text1"/>
          <w:lang w:eastAsia="fr-FR"/>
        </w:rPr>
        <w:t>Jaxaay</w:t>
      </w:r>
      <w:proofErr w:type="spellEnd"/>
      <w:r w:rsidR="00DE241D" w:rsidRPr="00260790">
        <w:rPr>
          <w:rFonts w:ascii="Times New Roman" w:hAnsi="Times New Roman"/>
          <w:color w:val="000000" w:themeColor="text1"/>
          <w:lang w:eastAsia="fr-FR"/>
        </w:rPr>
        <w:t xml:space="preserve"> Parcelles, </w:t>
      </w:r>
      <w:proofErr w:type="spellStart"/>
      <w:r w:rsidR="00DE241D" w:rsidRPr="00260790">
        <w:rPr>
          <w:rFonts w:ascii="Times New Roman" w:hAnsi="Times New Roman"/>
          <w:color w:val="000000" w:themeColor="text1"/>
          <w:lang w:eastAsia="fr-FR"/>
        </w:rPr>
        <w:t>Niakoul</w:t>
      </w:r>
      <w:proofErr w:type="spellEnd"/>
      <w:r w:rsidR="00DE241D" w:rsidRPr="00260790">
        <w:rPr>
          <w:rFonts w:ascii="Times New Roman" w:hAnsi="Times New Roman"/>
          <w:color w:val="000000" w:themeColor="text1"/>
          <w:lang w:eastAsia="fr-FR"/>
        </w:rPr>
        <w:t xml:space="preserve"> Rap ont perdu l’accès de certaines des infrastructures socioéconomiques de base et équipements collectifs</w:t>
      </w:r>
      <w:r w:rsidR="00424655" w:rsidRPr="00260790">
        <w:rPr>
          <w:rFonts w:ascii="Times New Roman" w:hAnsi="Times New Roman"/>
          <w:color w:val="000000" w:themeColor="text1"/>
          <w:lang w:eastAsia="fr-FR"/>
        </w:rPr>
        <w:t>,</w:t>
      </w:r>
      <w:r w:rsidR="00DE241D" w:rsidRPr="00260790">
        <w:rPr>
          <w:rFonts w:ascii="Times New Roman" w:hAnsi="Times New Roman"/>
          <w:color w:val="000000" w:themeColor="text1"/>
          <w:lang w:eastAsia="fr-FR"/>
        </w:rPr>
        <w:t xml:space="preserve"> dont des écoles, </w:t>
      </w:r>
      <w:r w:rsidR="00140F87" w:rsidRPr="00260790">
        <w:rPr>
          <w:rFonts w:ascii="Times New Roman" w:hAnsi="Times New Roman"/>
          <w:color w:val="000000" w:themeColor="text1"/>
          <w:lang w:eastAsia="fr-FR"/>
        </w:rPr>
        <w:t xml:space="preserve">des </w:t>
      </w:r>
      <w:r w:rsidR="00DE241D" w:rsidRPr="00260790">
        <w:rPr>
          <w:rFonts w:ascii="Times New Roman" w:hAnsi="Times New Roman"/>
          <w:color w:val="000000" w:themeColor="text1"/>
          <w:lang w:eastAsia="fr-FR"/>
        </w:rPr>
        <w:t xml:space="preserve">structures sanitaires, </w:t>
      </w:r>
      <w:r w:rsidR="00140F87" w:rsidRPr="00260790">
        <w:rPr>
          <w:rFonts w:ascii="Times New Roman" w:hAnsi="Times New Roman"/>
          <w:color w:val="000000" w:themeColor="text1"/>
          <w:lang w:eastAsia="fr-FR"/>
        </w:rPr>
        <w:t xml:space="preserve">des </w:t>
      </w:r>
      <w:r w:rsidR="00DE241D" w:rsidRPr="00260790">
        <w:rPr>
          <w:rFonts w:ascii="Times New Roman" w:hAnsi="Times New Roman"/>
          <w:color w:val="000000" w:themeColor="text1"/>
          <w:lang w:eastAsia="fr-FR"/>
        </w:rPr>
        <w:t xml:space="preserve">marchés, </w:t>
      </w:r>
      <w:r w:rsidR="00140F87" w:rsidRPr="00260790">
        <w:rPr>
          <w:rFonts w:ascii="Times New Roman" w:hAnsi="Times New Roman"/>
          <w:color w:val="000000" w:themeColor="text1"/>
          <w:lang w:eastAsia="fr-FR"/>
        </w:rPr>
        <w:t xml:space="preserve">des </w:t>
      </w:r>
      <w:r w:rsidR="00DE241D" w:rsidRPr="00260790">
        <w:rPr>
          <w:rFonts w:ascii="Times New Roman" w:hAnsi="Times New Roman"/>
          <w:color w:val="000000" w:themeColor="text1"/>
          <w:lang w:eastAsia="fr-FR"/>
        </w:rPr>
        <w:t xml:space="preserve">mosquées, </w:t>
      </w:r>
      <w:r w:rsidR="00140F87" w:rsidRPr="00260790">
        <w:rPr>
          <w:rFonts w:ascii="Times New Roman" w:hAnsi="Times New Roman"/>
          <w:color w:val="000000" w:themeColor="text1"/>
          <w:lang w:eastAsia="fr-FR"/>
        </w:rPr>
        <w:t xml:space="preserve">des </w:t>
      </w:r>
      <w:r w:rsidR="00DE241D" w:rsidRPr="00260790">
        <w:rPr>
          <w:rFonts w:ascii="Times New Roman" w:hAnsi="Times New Roman"/>
          <w:color w:val="000000" w:themeColor="text1"/>
          <w:lang w:eastAsia="fr-FR"/>
        </w:rPr>
        <w:t>terrains de football, etc. Le drainage des eaux stagnant dans ces infrastructures et équipements les rendra de nouveau accessibles aux populations.</w:t>
      </w:r>
    </w:p>
    <w:p w14:paraId="29DE5511" w14:textId="77777777" w:rsidR="0095190F" w:rsidRPr="00260790" w:rsidRDefault="0095190F" w:rsidP="00E20250">
      <w:pPr>
        <w:spacing w:line="240" w:lineRule="auto"/>
        <w:jc w:val="both"/>
        <w:rPr>
          <w:rFonts w:ascii="Times New Roman" w:hAnsi="Times New Roman"/>
          <w:color w:val="000000" w:themeColor="text1"/>
          <w:lang w:eastAsia="fr-FR"/>
        </w:rPr>
      </w:pPr>
    </w:p>
    <w:tbl>
      <w:tblPr>
        <w:tblStyle w:val="Grilledutableau"/>
        <w:tblW w:w="5000" w:type="pct"/>
        <w:tblLook w:val="04A0" w:firstRow="1" w:lastRow="0" w:firstColumn="1" w:lastColumn="0" w:noHBand="0" w:noVBand="1"/>
      </w:tblPr>
      <w:tblGrid>
        <w:gridCol w:w="1974"/>
        <w:gridCol w:w="3582"/>
        <w:gridCol w:w="3504"/>
      </w:tblGrid>
      <w:tr w:rsidR="00BD1A2F" w:rsidRPr="00632C4D" w14:paraId="3B7E9278" w14:textId="77777777" w:rsidTr="003A0E4A">
        <w:tc>
          <w:tcPr>
            <w:tcW w:w="1089" w:type="pct"/>
            <w:shd w:val="clear" w:color="auto" w:fill="D9E2F3" w:themeFill="accent5" w:themeFillTint="33"/>
          </w:tcPr>
          <w:p w14:paraId="2AF7E2F5"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lastRenderedPageBreak/>
              <w:t xml:space="preserve">Sources </w:t>
            </w:r>
            <w:proofErr w:type="spellStart"/>
            <w:r w:rsidRPr="0097258B">
              <w:rPr>
                <w:rFonts w:ascii="Times New Roman" w:hAnsi="Times New Roman" w:cs="Times New Roman"/>
                <w:b/>
                <w:bCs/>
                <w:color w:val="000000" w:themeColor="text1"/>
                <w:sz w:val="20"/>
                <w:szCs w:val="20"/>
              </w:rPr>
              <w:t>d’impacts</w:t>
            </w:r>
            <w:proofErr w:type="spellEnd"/>
          </w:p>
        </w:tc>
        <w:tc>
          <w:tcPr>
            <w:tcW w:w="1977" w:type="pct"/>
            <w:shd w:val="clear" w:color="auto" w:fill="D9E2F3" w:themeFill="accent5" w:themeFillTint="33"/>
          </w:tcPr>
          <w:p w14:paraId="02CA89F4"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Impacts</w:t>
            </w:r>
          </w:p>
        </w:tc>
        <w:tc>
          <w:tcPr>
            <w:tcW w:w="1934" w:type="pct"/>
            <w:shd w:val="clear" w:color="auto" w:fill="D9E2F3" w:themeFill="accent5" w:themeFillTint="33"/>
          </w:tcPr>
          <w:p w14:paraId="2F1B0AEA"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Mesures</w:t>
            </w:r>
            <w:proofErr w:type="spellEnd"/>
            <w:r w:rsidRPr="0097258B">
              <w:rPr>
                <w:rFonts w:ascii="Times New Roman" w:hAnsi="Times New Roman" w:cs="Times New Roman"/>
                <w:b/>
                <w:bCs/>
                <w:color w:val="000000" w:themeColor="text1"/>
                <w:sz w:val="20"/>
                <w:szCs w:val="20"/>
              </w:rPr>
              <w:t xml:space="preserve"> de bonification</w:t>
            </w:r>
          </w:p>
        </w:tc>
      </w:tr>
      <w:tr w:rsidR="00BD1A2F" w:rsidRPr="00632C4D" w14:paraId="61BC0E76" w14:textId="77777777" w:rsidTr="003A0E4A">
        <w:tc>
          <w:tcPr>
            <w:tcW w:w="1089" w:type="pct"/>
          </w:tcPr>
          <w:p w14:paraId="01C5DFD0"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Fonctionnement</w:t>
            </w:r>
            <w:proofErr w:type="spellEnd"/>
            <w:r w:rsidRPr="0097258B">
              <w:rPr>
                <w:rFonts w:ascii="Times New Roman" w:hAnsi="Times New Roman" w:cs="Times New Roman"/>
                <w:color w:val="000000" w:themeColor="text1"/>
                <w:sz w:val="20"/>
                <w:szCs w:val="20"/>
              </w:rPr>
              <w:t xml:space="preserve"> des </w:t>
            </w:r>
            <w:proofErr w:type="spellStart"/>
            <w:r w:rsidRPr="0097258B">
              <w:rPr>
                <w:rFonts w:ascii="Times New Roman" w:hAnsi="Times New Roman" w:cs="Times New Roman"/>
                <w:color w:val="000000" w:themeColor="text1"/>
                <w:sz w:val="20"/>
                <w:szCs w:val="20"/>
              </w:rPr>
              <w:t>ouvrages</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d’assainissement</w:t>
            </w:r>
            <w:proofErr w:type="spellEnd"/>
          </w:p>
        </w:tc>
        <w:tc>
          <w:tcPr>
            <w:tcW w:w="1977" w:type="pct"/>
          </w:tcPr>
          <w:p w14:paraId="1F27D65A" w14:textId="77777777" w:rsidR="00DE241D" w:rsidRPr="0097258B" w:rsidRDefault="00DE241D" w:rsidP="00C000D3">
            <w:pPr>
              <w:spacing w:line="240" w:lineRule="auto"/>
              <w:jc w:val="both"/>
              <w:rPr>
                <w:rFonts w:ascii="Times New Roman" w:hAnsi="Times New Roman"/>
                <w:b/>
                <w:bCs/>
                <w:i/>
                <w:iCs/>
                <w:color w:val="000000" w:themeColor="text1"/>
                <w:lang w:val="fr-FR" w:eastAsia="fr-FR"/>
              </w:rPr>
            </w:pPr>
            <w:r w:rsidRPr="00632C4D">
              <w:rPr>
                <w:rFonts w:ascii="Times New Roman" w:hAnsi="Times New Roman"/>
                <w:b/>
                <w:bCs/>
                <w:i/>
                <w:iCs/>
                <w:color w:val="000000" w:themeColor="text1"/>
                <w:lang w:eastAsia="fr-FR"/>
              </w:rPr>
              <w:t xml:space="preserve">IP-11. </w:t>
            </w:r>
            <w:proofErr w:type="spellStart"/>
            <w:r w:rsidRPr="00632C4D">
              <w:rPr>
                <w:rFonts w:ascii="Times New Roman" w:hAnsi="Times New Roman"/>
                <w:b/>
                <w:bCs/>
                <w:i/>
                <w:iCs/>
                <w:color w:val="000000" w:themeColor="text1"/>
                <w:lang w:eastAsia="fr-FR"/>
              </w:rPr>
              <w:t>Accès</w:t>
            </w:r>
            <w:proofErr w:type="spellEnd"/>
            <w:r w:rsidRPr="00632C4D">
              <w:rPr>
                <w:rFonts w:ascii="Times New Roman" w:hAnsi="Times New Roman"/>
                <w:b/>
                <w:bCs/>
                <w:i/>
                <w:iCs/>
                <w:color w:val="000000" w:themeColor="text1"/>
                <w:lang w:eastAsia="fr-FR"/>
              </w:rPr>
              <w:t xml:space="preserve"> aux infrastructures </w:t>
            </w:r>
            <w:proofErr w:type="spellStart"/>
            <w:r w:rsidRPr="00632C4D">
              <w:rPr>
                <w:rFonts w:ascii="Times New Roman" w:hAnsi="Times New Roman"/>
                <w:b/>
                <w:bCs/>
                <w:i/>
                <w:iCs/>
                <w:color w:val="000000" w:themeColor="text1"/>
                <w:lang w:eastAsia="fr-FR"/>
              </w:rPr>
              <w:t>socioéconomiques</w:t>
            </w:r>
            <w:proofErr w:type="spellEnd"/>
            <w:r w:rsidRPr="00632C4D">
              <w:rPr>
                <w:rFonts w:ascii="Times New Roman" w:hAnsi="Times New Roman"/>
                <w:b/>
                <w:bCs/>
                <w:i/>
                <w:iCs/>
                <w:color w:val="000000" w:themeColor="text1"/>
                <w:lang w:eastAsia="fr-FR"/>
              </w:rPr>
              <w:t xml:space="preserve"> </w:t>
            </w:r>
          </w:p>
          <w:p w14:paraId="5656FF7B" w14:textId="77777777" w:rsidR="00DE241D" w:rsidRPr="0097258B" w:rsidRDefault="00DE241D" w:rsidP="00C000D3">
            <w:pPr>
              <w:spacing w:line="240" w:lineRule="auto"/>
              <w:jc w:val="both"/>
              <w:rPr>
                <w:rFonts w:ascii="Times New Roman" w:hAnsi="Times New Roman"/>
                <w:b/>
                <w:bCs/>
                <w:i/>
                <w:iCs/>
                <w:color w:val="000000" w:themeColor="text1"/>
                <w:lang w:val="fr-FR" w:eastAsia="fr-FR"/>
              </w:rPr>
            </w:pPr>
          </w:p>
        </w:tc>
        <w:tc>
          <w:tcPr>
            <w:tcW w:w="1934" w:type="pct"/>
          </w:tcPr>
          <w:p w14:paraId="6293F8C8"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Assurer l’entretien régulier des ouvrages d’assainissement aménagés.</w:t>
            </w:r>
          </w:p>
        </w:tc>
      </w:tr>
    </w:tbl>
    <w:p w14:paraId="06839DBC" w14:textId="77777777" w:rsidR="00DE241D" w:rsidRPr="00260790" w:rsidRDefault="00DE241D" w:rsidP="00E20250">
      <w:pPr>
        <w:spacing w:after="0" w:line="240" w:lineRule="auto"/>
        <w:jc w:val="both"/>
        <w:rPr>
          <w:rFonts w:ascii="Times New Roman" w:hAnsi="Times New Roman"/>
          <w:color w:val="000000" w:themeColor="text1"/>
          <w:lang w:eastAsia="fr-FR"/>
        </w:rPr>
      </w:pPr>
    </w:p>
    <w:p w14:paraId="0246F91C" w14:textId="77777777" w:rsidR="00DE241D" w:rsidRPr="00260790" w:rsidRDefault="00DE241D" w:rsidP="001748C6">
      <w:pPr>
        <w:pStyle w:val="Paragraphedeliste"/>
        <w:numPr>
          <w:ilvl w:val="0"/>
          <w:numId w:val="291"/>
        </w:numPr>
        <w:spacing w:after="0" w:line="240" w:lineRule="auto"/>
        <w:rPr>
          <w:rFonts w:ascii="Times New Roman" w:hAnsi="Times New Roman"/>
          <w:b/>
          <w:bCs/>
          <w:i/>
          <w:iCs/>
          <w:color w:val="000000" w:themeColor="text1"/>
          <w:lang w:eastAsia="fr-FR"/>
        </w:rPr>
      </w:pPr>
      <w:r w:rsidRPr="00260790">
        <w:rPr>
          <w:rFonts w:ascii="Times New Roman" w:hAnsi="Times New Roman"/>
          <w:b/>
          <w:bCs/>
          <w:i/>
          <w:iCs/>
          <w:color w:val="000000" w:themeColor="text1"/>
          <w:lang w:eastAsia="fr-FR"/>
        </w:rPr>
        <w:t>IP-12. Amélioration des conditions d’hygiène, de santé et de salubrité publique</w:t>
      </w:r>
    </w:p>
    <w:p w14:paraId="77CF6968" w14:textId="153CB4DF" w:rsidR="00DE241D" w:rsidRPr="00260790" w:rsidRDefault="00DE241D"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Les inondations constituent un problème d’hygiène, de salubrité et de santé publique. En effet, l’assainissement est de type individuel dans les zones affectées où les ouvrages sont constitués essentiellement de latrines équipées de fosses septiques non</w:t>
      </w:r>
      <w:r w:rsidR="005C7136">
        <w:rPr>
          <w:rFonts w:ascii="Times New Roman" w:hAnsi="Times New Roman"/>
          <w:color w:val="000000" w:themeColor="text1"/>
          <w:lang w:eastAsia="fr-FR"/>
        </w:rPr>
        <w:t xml:space="preserve"> </w:t>
      </w:r>
      <w:r w:rsidR="00576769">
        <w:rPr>
          <w:rFonts w:ascii="Times New Roman" w:hAnsi="Times New Roman"/>
          <w:color w:val="000000" w:themeColor="text1"/>
          <w:lang w:eastAsia="fr-FR"/>
        </w:rPr>
        <w:t>étanches</w:t>
      </w:r>
      <w:r w:rsidRPr="00260790">
        <w:rPr>
          <w:rFonts w:ascii="Times New Roman" w:hAnsi="Times New Roman"/>
          <w:color w:val="000000" w:themeColor="text1"/>
          <w:lang w:eastAsia="fr-FR"/>
        </w:rPr>
        <w:t xml:space="preserve">. </w:t>
      </w:r>
    </w:p>
    <w:p w14:paraId="6B0BAA80" w14:textId="77777777" w:rsidR="00DE241D" w:rsidRPr="00260790" w:rsidRDefault="00DE241D"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 xml:space="preserve">L’inondation de tels ouvrages altère les conditions d’hygiène et de salubrité publique en ce qu’elle favorise la dissémination dans la nature de germes pathogènes et la prolifération des maladies du péril fécal (dysenterie, choléra, etc.) et les dermatoses. </w:t>
      </w:r>
    </w:p>
    <w:p w14:paraId="3998DAAD" w14:textId="14640EC8" w:rsidR="00DE241D" w:rsidRPr="00260790" w:rsidRDefault="009965A6"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À</w:t>
      </w:r>
      <w:r w:rsidR="00DE241D" w:rsidRPr="00260790">
        <w:rPr>
          <w:rFonts w:ascii="Times New Roman" w:hAnsi="Times New Roman"/>
          <w:color w:val="000000" w:themeColor="text1"/>
          <w:lang w:eastAsia="fr-FR"/>
        </w:rPr>
        <w:t xml:space="preserve"> noter que les eaux stagnantes favorisent la prolifération des moustiques dont les larves se développe</w:t>
      </w:r>
      <w:r w:rsidR="00424655" w:rsidRPr="00260790">
        <w:rPr>
          <w:rFonts w:ascii="Times New Roman" w:hAnsi="Times New Roman"/>
          <w:color w:val="000000" w:themeColor="text1"/>
          <w:lang w:eastAsia="fr-FR"/>
        </w:rPr>
        <w:t>nt</w:t>
      </w:r>
      <w:r w:rsidR="00DE241D" w:rsidRPr="00260790">
        <w:rPr>
          <w:rFonts w:ascii="Times New Roman" w:hAnsi="Times New Roman"/>
          <w:color w:val="000000" w:themeColor="text1"/>
          <w:lang w:eastAsia="fr-FR"/>
        </w:rPr>
        <w:t xml:space="preserve"> en milieu aquatique et qui sont</w:t>
      </w:r>
      <w:r w:rsidR="00424655" w:rsidRPr="00260790">
        <w:rPr>
          <w:rFonts w:ascii="Times New Roman" w:hAnsi="Times New Roman"/>
          <w:color w:val="000000" w:themeColor="text1"/>
          <w:lang w:eastAsia="fr-FR"/>
        </w:rPr>
        <w:t xml:space="preserve"> des</w:t>
      </w:r>
      <w:r w:rsidR="00DE241D" w:rsidRPr="00260790">
        <w:rPr>
          <w:rFonts w:ascii="Times New Roman" w:hAnsi="Times New Roman"/>
          <w:color w:val="000000" w:themeColor="text1"/>
          <w:lang w:eastAsia="fr-FR"/>
        </w:rPr>
        <w:t xml:space="preserve"> vecteurs de maladies telles que le paludisme, la dingue, la fièvre typhoïde…</w:t>
      </w:r>
    </w:p>
    <w:p w14:paraId="3809E129" w14:textId="5D97CF3E" w:rsidR="00DE241D" w:rsidRPr="00260790" w:rsidRDefault="00DE241D"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La gestion des inondations et le drainage des eaux stagnantes améliorer</w:t>
      </w:r>
      <w:r w:rsidR="00424655" w:rsidRPr="00260790">
        <w:rPr>
          <w:rFonts w:ascii="Times New Roman" w:hAnsi="Times New Roman"/>
          <w:color w:val="000000" w:themeColor="text1"/>
          <w:lang w:eastAsia="fr-FR"/>
        </w:rPr>
        <w:t>ont</w:t>
      </w:r>
      <w:r w:rsidRPr="00260790">
        <w:rPr>
          <w:rFonts w:ascii="Times New Roman" w:hAnsi="Times New Roman"/>
          <w:color w:val="000000" w:themeColor="text1"/>
          <w:lang w:eastAsia="fr-FR"/>
        </w:rPr>
        <w:t xml:space="preserve"> les conditions d’hygiène et de salubrité et partant les conditions sanitaires des populations locales. </w:t>
      </w:r>
    </w:p>
    <w:tbl>
      <w:tblPr>
        <w:tblStyle w:val="Grilledutableau"/>
        <w:tblW w:w="5000" w:type="pct"/>
        <w:tblLook w:val="04A0" w:firstRow="1" w:lastRow="0" w:firstColumn="1" w:lastColumn="0" w:noHBand="0" w:noVBand="1"/>
      </w:tblPr>
      <w:tblGrid>
        <w:gridCol w:w="1973"/>
        <w:gridCol w:w="2789"/>
        <w:gridCol w:w="4298"/>
      </w:tblGrid>
      <w:tr w:rsidR="00BD1A2F" w:rsidRPr="00632C4D" w14:paraId="3041DC78" w14:textId="77777777" w:rsidTr="003A0E4A">
        <w:tc>
          <w:tcPr>
            <w:tcW w:w="1089" w:type="pct"/>
            <w:shd w:val="clear" w:color="auto" w:fill="D9E2F3" w:themeFill="accent5" w:themeFillTint="33"/>
          </w:tcPr>
          <w:p w14:paraId="6E0FB237"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 xml:space="preserve">Sources </w:t>
            </w:r>
            <w:proofErr w:type="spellStart"/>
            <w:r w:rsidRPr="0097258B">
              <w:rPr>
                <w:rFonts w:ascii="Times New Roman" w:hAnsi="Times New Roman" w:cs="Times New Roman"/>
                <w:b/>
                <w:bCs/>
                <w:color w:val="000000" w:themeColor="text1"/>
                <w:sz w:val="20"/>
                <w:szCs w:val="20"/>
              </w:rPr>
              <w:t>d’impacts</w:t>
            </w:r>
            <w:proofErr w:type="spellEnd"/>
          </w:p>
        </w:tc>
        <w:tc>
          <w:tcPr>
            <w:tcW w:w="1539" w:type="pct"/>
            <w:shd w:val="clear" w:color="auto" w:fill="D9E2F3" w:themeFill="accent5" w:themeFillTint="33"/>
          </w:tcPr>
          <w:p w14:paraId="6B34DD64"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Impacts</w:t>
            </w:r>
          </w:p>
        </w:tc>
        <w:tc>
          <w:tcPr>
            <w:tcW w:w="2372" w:type="pct"/>
            <w:shd w:val="clear" w:color="auto" w:fill="D9E2F3" w:themeFill="accent5" w:themeFillTint="33"/>
          </w:tcPr>
          <w:p w14:paraId="661E3771"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Mesures</w:t>
            </w:r>
            <w:proofErr w:type="spellEnd"/>
            <w:r w:rsidRPr="0097258B">
              <w:rPr>
                <w:rFonts w:ascii="Times New Roman" w:hAnsi="Times New Roman" w:cs="Times New Roman"/>
                <w:b/>
                <w:bCs/>
                <w:color w:val="000000" w:themeColor="text1"/>
                <w:sz w:val="20"/>
                <w:szCs w:val="20"/>
              </w:rPr>
              <w:t xml:space="preserve"> de bonification</w:t>
            </w:r>
          </w:p>
        </w:tc>
      </w:tr>
      <w:tr w:rsidR="00BD1A2F" w:rsidRPr="00632C4D" w14:paraId="22177866" w14:textId="77777777" w:rsidTr="003A0E4A">
        <w:tc>
          <w:tcPr>
            <w:tcW w:w="1089" w:type="pct"/>
          </w:tcPr>
          <w:p w14:paraId="69B3A914"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Fonctionnement</w:t>
            </w:r>
            <w:proofErr w:type="spellEnd"/>
            <w:r w:rsidRPr="0097258B">
              <w:rPr>
                <w:rFonts w:ascii="Times New Roman" w:hAnsi="Times New Roman" w:cs="Times New Roman"/>
                <w:color w:val="000000" w:themeColor="text1"/>
                <w:sz w:val="20"/>
                <w:szCs w:val="20"/>
              </w:rPr>
              <w:t xml:space="preserve"> des </w:t>
            </w:r>
            <w:proofErr w:type="spellStart"/>
            <w:r w:rsidRPr="0097258B">
              <w:rPr>
                <w:rFonts w:ascii="Times New Roman" w:hAnsi="Times New Roman" w:cs="Times New Roman"/>
                <w:color w:val="000000" w:themeColor="text1"/>
                <w:sz w:val="20"/>
                <w:szCs w:val="20"/>
              </w:rPr>
              <w:t>ouvrages</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d’assainissement</w:t>
            </w:r>
            <w:proofErr w:type="spellEnd"/>
          </w:p>
        </w:tc>
        <w:tc>
          <w:tcPr>
            <w:tcW w:w="1539" w:type="pct"/>
          </w:tcPr>
          <w:p w14:paraId="2C6A5B07" w14:textId="77777777" w:rsidR="00DE241D" w:rsidRPr="0097258B" w:rsidRDefault="00DE241D" w:rsidP="00C000D3">
            <w:pPr>
              <w:spacing w:line="240" w:lineRule="auto"/>
              <w:jc w:val="both"/>
              <w:rPr>
                <w:rFonts w:ascii="Times New Roman" w:hAnsi="Times New Roman"/>
                <w:b/>
                <w:bCs/>
                <w:i/>
                <w:iCs/>
                <w:color w:val="000000" w:themeColor="text1"/>
                <w:lang w:val="fr-FR" w:eastAsia="fr-FR"/>
              </w:rPr>
            </w:pPr>
            <w:r w:rsidRPr="00301AF6">
              <w:rPr>
                <w:rFonts w:ascii="Times New Roman" w:hAnsi="Times New Roman"/>
                <w:b/>
                <w:bCs/>
                <w:i/>
                <w:iCs/>
                <w:color w:val="000000" w:themeColor="text1"/>
                <w:lang w:val="fr-FR" w:eastAsia="fr-FR"/>
              </w:rPr>
              <w:t>IP-12. Amélioration des conditions d’hygiène, de santé et de salubrité publique</w:t>
            </w:r>
          </w:p>
        </w:tc>
        <w:tc>
          <w:tcPr>
            <w:tcW w:w="2372" w:type="pct"/>
          </w:tcPr>
          <w:p w14:paraId="0732F190"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Assurer l’entretien régulier des ouvrages d’assainissement aménagés ;</w:t>
            </w:r>
          </w:p>
          <w:p w14:paraId="4869E8DE"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Faire des dotations de médicaments aux structures de soin.</w:t>
            </w:r>
          </w:p>
        </w:tc>
      </w:tr>
    </w:tbl>
    <w:p w14:paraId="31F9C481" w14:textId="77777777" w:rsidR="00DE241D" w:rsidRPr="00260790" w:rsidRDefault="00DE241D" w:rsidP="00E20250">
      <w:pPr>
        <w:spacing w:after="0" w:line="240" w:lineRule="auto"/>
        <w:jc w:val="both"/>
        <w:rPr>
          <w:rFonts w:ascii="Times New Roman" w:hAnsi="Times New Roman"/>
          <w:color w:val="000000" w:themeColor="text1"/>
          <w:lang w:eastAsia="fr-FR"/>
        </w:rPr>
      </w:pPr>
    </w:p>
    <w:p w14:paraId="55F456F0" w14:textId="1335CD18" w:rsidR="00DE241D" w:rsidRPr="00260790" w:rsidRDefault="00DE241D" w:rsidP="001748C6">
      <w:pPr>
        <w:pStyle w:val="Paragraphedeliste"/>
        <w:numPr>
          <w:ilvl w:val="0"/>
          <w:numId w:val="291"/>
        </w:numPr>
        <w:spacing w:after="0" w:line="240" w:lineRule="auto"/>
        <w:rPr>
          <w:rFonts w:ascii="Times New Roman" w:hAnsi="Times New Roman"/>
          <w:b/>
          <w:bCs/>
          <w:i/>
          <w:iCs/>
          <w:color w:val="000000" w:themeColor="text1"/>
          <w:lang w:eastAsia="fr-FR"/>
        </w:rPr>
      </w:pPr>
      <w:r w:rsidRPr="00260790">
        <w:rPr>
          <w:rFonts w:ascii="Times New Roman" w:hAnsi="Times New Roman"/>
          <w:b/>
          <w:bCs/>
          <w:i/>
          <w:iCs/>
          <w:color w:val="000000" w:themeColor="text1"/>
          <w:lang w:eastAsia="fr-FR"/>
        </w:rPr>
        <w:t>IP-13. Relance des activités économiques et améliorations des revenus</w:t>
      </w:r>
      <w:r w:rsidR="00424655" w:rsidRPr="00260790">
        <w:rPr>
          <w:rFonts w:ascii="Times New Roman" w:hAnsi="Times New Roman"/>
          <w:b/>
          <w:bCs/>
          <w:i/>
          <w:iCs/>
          <w:color w:val="000000" w:themeColor="text1"/>
          <w:lang w:eastAsia="fr-FR"/>
        </w:rPr>
        <w:t>.</w:t>
      </w:r>
    </w:p>
    <w:p w14:paraId="19B8195F" w14:textId="23F66D65" w:rsidR="00DE241D" w:rsidRPr="00260790" w:rsidRDefault="00DE241D"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L’inondation du cadre de vie oblige bien souvent les populations à abandonner non seulement leurs demeures, mais aussi leurs activités économiques et sources de revenus.</w:t>
      </w:r>
    </w:p>
    <w:p w14:paraId="4844FF32" w14:textId="19C13AE1" w:rsidR="00DD5EE8" w:rsidRPr="00260790" w:rsidRDefault="00DE241D"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En jugulant les inondations, le projet permettra le retour de ces personnes qui pourront ainsi relancer leurs activités.</w:t>
      </w:r>
    </w:p>
    <w:tbl>
      <w:tblPr>
        <w:tblStyle w:val="Grilledutableau"/>
        <w:tblW w:w="5000" w:type="pct"/>
        <w:tblLook w:val="04A0" w:firstRow="1" w:lastRow="0" w:firstColumn="1" w:lastColumn="0" w:noHBand="0" w:noVBand="1"/>
      </w:tblPr>
      <w:tblGrid>
        <w:gridCol w:w="1973"/>
        <w:gridCol w:w="2524"/>
        <w:gridCol w:w="4563"/>
      </w:tblGrid>
      <w:tr w:rsidR="00BD1A2F" w:rsidRPr="00632C4D" w14:paraId="5CAD1393" w14:textId="77777777" w:rsidTr="003A0E4A">
        <w:tc>
          <w:tcPr>
            <w:tcW w:w="1089" w:type="pct"/>
            <w:shd w:val="clear" w:color="auto" w:fill="D9E2F3" w:themeFill="accent5" w:themeFillTint="33"/>
          </w:tcPr>
          <w:p w14:paraId="359E9948"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 xml:space="preserve">Sources </w:t>
            </w:r>
            <w:proofErr w:type="spellStart"/>
            <w:r w:rsidRPr="0097258B">
              <w:rPr>
                <w:rFonts w:ascii="Times New Roman" w:hAnsi="Times New Roman" w:cs="Times New Roman"/>
                <w:b/>
                <w:bCs/>
                <w:color w:val="000000" w:themeColor="text1"/>
                <w:sz w:val="20"/>
                <w:szCs w:val="20"/>
              </w:rPr>
              <w:t>d’impacts</w:t>
            </w:r>
            <w:proofErr w:type="spellEnd"/>
          </w:p>
        </w:tc>
        <w:tc>
          <w:tcPr>
            <w:tcW w:w="1393" w:type="pct"/>
            <w:shd w:val="clear" w:color="auto" w:fill="D9E2F3" w:themeFill="accent5" w:themeFillTint="33"/>
          </w:tcPr>
          <w:p w14:paraId="206B3AB9"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Impacts</w:t>
            </w:r>
          </w:p>
        </w:tc>
        <w:tc>
          <w:tcPr>
            <w:tcW w:w="2518" w:type="pct"/>
            <w:shd w:val="clear" w:color="auto" w:fill="D9E2F3" w:themeFill="accent5" w:themeFillTint="33"/>
          </w:tcPr>
          <w:p w14:paraId="4CB87D55"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Mesures</w:t>
            </w:r>
            <w:proofErr w:type="spellEnd"/>
            <w:r w:rsidRPr="0097258B">
              <w:rPr>
                <w:rFonts w:ascii="Times New Roman" w:hAnsi="Times New Roman" w:cs="Times New Roman"/>
                <w:b/>
                <w:bCs/>
                <w:color w:val="000000" w:themeColor="text1"/>
                <w:sz w:val="20"/>
                <w:szCs w:val="20"/>
              </w:rPr>
              <w:t xml:space="preserve"> de bonification</w:t>
            </w:r>
          </w:p>
        </w:tc>
      </w:tr>
      <w:tr w:rsidR="00BD1A2F" w:rsidRPr="00632C4D" w14:paraId="0AC7E857" w14:textId="77777777" w:rsidTr="003A0E4A">
        <w:tc>
          <w:tcPr>
            <w:tcW w:w="1089" w:type="pct"/>
          </w:tcPr>
          <w:p w14:paraId="76D4C53E"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Fonctionnement</w:t>
            </w:r>
            <w:proofErr w:type="spellEnd"/>
            <w:r w:rsidRPr="0097258B">
              <w:rPr>
                <w:rFonts w:ascii="Times New Roman" w:hAnsi="Times New Roman" w:cs="Times New Roman"/>
                <w:color w:val="000000" w:themeColor="text1"/>
                <w:sz w:val="20"/>
                <w:szCs w:val="20"/>
              </w:rPr>
              <w:t xml:space="preserve"> des </w:t>
            </w:r>
            <w:proofErr w:type="spellStart"/>
            <w:r w:rsidRPr="0097258B">
              <w:rPr>
                <w:rFonts w:ascii="Times New Roman" w:hAnsi="Times New Roman" w:cs="Times New Roman"/>
                <w:color w:val="000000" w:themeColor="text1"/>
                <w:sz w:val="20"/>
                <w:szCs w:val="20"/>
              </w:rPr>
              <w:t>ouvrages</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d’assainissement</w:t>
            </w:r>
            <w:proofErr w:type="spellEnd"/>
          </w:p>
        </w:tc>
        <w:tc>
          <w:tcPr>
            <w:tcW w:w="1393" w:type="pct"/>
          </w:tcPr>
          <w:p w14:paraId="5B9FC95E" w14:textId="351541AB" w:rsidR="00DE241D" w:rsidRPr="0097258B" w:rsidRDefault="00DE241D" w:rsidP="00C000D3">
            <w:pPr>
              <w:spacing w:line="240" w:lineRule="auto"/>
              <w:jc w:val="both"/>
              <w:rPr>
                <w:rFonts w:ascii="Times New Roman" w:hAnsi="Times New Roman"/>
                <w:b/>
                <w:bCs/>
                <w:i/>
                <w:iCs/>
                <w:color w:val="000000" w:themeColor="text1"/>
                <w:lang w:val="fr-FR" w:eastAsia="fr-FR"/>
              </w:rPr>
            </w:pPr>
            <w:r w:rsidRPr="00301AF6">
              <w:rPr>
                <w:rFonts w:ascii="Times New Roman" w:hAnsi="Times New Roman"/>
                <w:b/>
                <w:bCs/>
                <w:i/>
                <w:iCs/>
                <w:color w:val="000000" w:themeColor="text1"/>
                <w:lang w:val="fr-FR" w:eastAsia="fr-FR"/>
              </w:rPr>
              <w:t>IP-13. Relance des activités économiques et améliorations des revenus</w:t>
            </w:r>
            <w:r w:rsidR="00424655" w:rsidRPr="00301AF6">
              <w:rPr>
                <w:rFonts w:ascii="Times New Roman" w:hAnsi="Times New Roman"/>
                <w:b/>
                <w:bCs/>
                <w:i/>
                <w:iCs/>
                <w:color w:val="000000" w:themeColor="text1"/>
                <w:lang w:val="fr-FR" w:eastAsia="fr-FR"/>
              </w:rPr>
              <w:t>.</w:t>
            </w:r>
          </w:p>
        </w:tc>
        <w:tc>
          <w:tcPr>
            <w:tcW w:w="2518" w:type="pct"/>
          </w:tcPr>
          <w:p w14:paraId="1BFD0014"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Assurer l’entretien régulier des ouvrages aménagés ;</w:t>
            </w:r>
          </w:p>
          <w:p w14:paraId="53F8CC71"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Former les populations à des activités génératrices de revenus</w:t>
            </w:r>
          </w:p>
        </w:tc>
      </w:tr>
    </w:tbl>
    <w:p w14:paraId="754EBD80" w14:textId="77777777" w:rsidR="00BE2AA9" w:rsidRPr="00260790" w:rsidRDefault="00BE2AA9" w:rsidP="00BE2AA9">
      <w:pPr>
        <w:spacing w:after="0" w:line="240" w:lineRule="auto"/>
        <w:jc w:val="both"/>
        <w:rPr>
          <w:rFonts w:ascii="Times New Roman" w:hAnsi="Times New Roman"/>
          <w:b/>
          <w:bCs/>
          <w:i/>
          <w:iCs/>
          <w:color w:val="000000" w:themeColor="text1"/>
          <w:lang w:eastAsia="fr-FR"/>
        </w:rPr>
      </w:pPr>
    </w:p>
    <w:p w14:paraId="6B869EDC" w14:textId="37914CB8" w:rsidR="00DE241D" w:rsidRPr="00260790" w:rsidRDefault="00DE241D" w:rsidP="001748C6">
      <w:pPr>
        <w:pStyle w:val="Paragraphedeliste"/>
        <w:numPr>
          <w:ilvl w:val="0"/>
          <w:numId w:val="291"/>
        </w:numPr>
        <w:spacing w:after="0" w:line="240" w:lineRule="auto"/>
        <w:jc w:val="both"/>
        <w:rPr>
          <w:rFonts w:ascii="Times New Roman" w:hAnsi="Times New Roman"/>
          <w:b/>
          <w:bCs/>
          <w:i/>
          <w:iCs/>
          <w:color w:val="000000" w:themeColor="text1"/>
          <w:lang w:eastAsia="fr-FR"/>
        </w:rPr>
      </w:pPr>
      <w:r w:rsidRPr="00260790">
        <w:rPr>
          <w:rFonts w:ascii="Times New Roman" w:hAnsi="Times New Roman"/>
          <w:b/>
          <w:bCs/>
          <w:i/>
          <w:iCs/>
          <w:color w:val="000000" w:themeColor="text1"/>
          <w:lang w:eastAsia="fr-FR"/>
        </w:rPr>
        <w:t>IP-14. Renforcement de la cohésion sociale</w:t>
      </w:r>
    </w:p>
    <w:p w14:paraId="26893D62" w14:textId="77777777" w:rsidR="00DE241D" w:rsidRPr="00260790" w:rsidRDefault="00DE241D"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Les inondations constituent un facteur majeur d’érosion de la cohésion sociale. Elle entraine bien souvent des déplacements de populations qui se retrouvent obligées de vivre dans la promiscuité propice aux abus/harcèlements sexuels et au petit banditisme… qui sont autant de sources de frustration et de conflits.</w:t>
      </w:r>
    </w:p>
    <w:p w14:paraId="7A049BF5" w14:textId="3FCF766F" w:rsidR="00DE241D" w:rsidRPr="00260790" w:rsidRDefault="009965A6"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À</w:t>
      </w:r>
      <w:r w:rsidR="00DE241D" w:rsidRPr="00260790">
        <w:rPr>
          <w:rFonts w:ascii="Times New Roman" w:hAnsi="Times New Roman"/>
          <w:color w:val="000000" w:themeColor="text1"/>
          <w:lang w:eastAsia="fr-FR"/>
        </w:rPr>
        <w:t xml:space="preserve"> noter qu’une des implications des inondation</w:t>
      </w:r>
      <w:r w:rsidR="00424655" w:rsidRPr="00260790">
        <w:rPr>
          <w:rFonts w:ascii="Times New Roman" w:hAnsi="Times New Roman"/>
          <w:color w:val="000000" w:themeColor="text1"/>
          <w:lang w:eastAsia="fr-FR"/>
        </w:rPr>
        <w:t>s</w:t>
      </w:r>
      <w:r w:rsidR="00DE241D" w:rsidRPr="00260790">
        <w:rPr>
          <w:rFonts w:ascii="Times New Roman" w:hAnsi="Times New Roman"/>
          <w:color w:val="000000" w:themeColor="text1"/>
          <w:lang w:eastAsia="fr-FR"/>
        </w:rPr>
        <w:t xml:space="preserve"> est la nécessité de vidanges fréquentes des fosses septiques et le rejet des boues dans le cadre de vie, ce qui entraine souvent des conflits entre voisins.</w:t>
      </w:r>
    </w:p>
    <w:p w14:paraId="1DE01186" w14:textId="77777777" w:rsidR="00DE241D" w:rsidRPr="00260790" w:rsidRDefault="00DE241D"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La maîtrise des inondations réduira ces situations et contribuera par conséquent à apaiser le climat social.</w:t>
      </w:r>
    </w:p>
    <w:tbl>
      <w:tblPr>
        <w:tblStyle w:val="Grilledutableau"/>
        <w:tblW w:w="5000" w:type="pct"/>
        <w:tblLook w:val="04A0" w:firstRow="1" w:lastRow="0" w:firstColumn="1" w:lastColumn="0" w:noHBand="0" w:noVBand="1"/>
      </w:tblPr>
      <w:tblGrid>
        <w:gridCol w:w="2644"/>
        <w:gridCol w:w="3443"/>
        <w:gridCol w:w="2973"/>
      </w:tblGrid>
      <w:tr w:rsidR="00BD1A2F" w:rsidRPr="00632C4D" w14:paraId="6F505C17" w14:textId="77777777" w:rsidTr="003A0E4A">
        <w:tc>
          <w:tcPr>
            <w:tcW w:w="1459" w:type="pct"/>
            <w:shd w:val="clear" w:color="auto" w:fill="D9E2F3" w:themeFill="accent5" w:themeFillTint="33"/>
          </w:tcPr>
          <w:p w14:paraId="380CFD8C"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 xml:space="preserve">Sources </w:t>
            </w:r>
            <w:proofErr w:type="spellStart"/>
            <w:r w:rsidRPr="0097258B">
              <w:rPr>
                <w:rFonts w:ascii="Times New Roman" w:hAnsi="Times New Roman" w:cs="Times New Roman"/>
                <w:b/>
                <w:bCs/>
                <w:color w:val="000000" w:themeColor="text1"/>
                <w:sz w:val="20"/>
                <w:szCs w:val="20"/>
              </w:rPr>
              <w:t>d’impacts</w:t>
            </w:r>
            <w:proofErr w:type="spellEnd"/>
          </w:p>
        </w:tc>
        <w:tc>
          <w:tcPr>
            <w:tcW w:w="1900" w:type="pct"/>
            <w:shd w:val="clear" w:color="auto" w:fill="D9E2F3" w:themeFill="accent5" w:themeFillTint="33"/>
          </w:tcPr>
          <w:p w14:paraId="6567C2B7"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Impacts</w:t>
            </w:r>
          </w:p>
        </w:tc>
        <w:tc>
          <w:tcPr>
            <w:tcW w:w="1641" w:type="pct"/>
            <w:shd w:val="clear" w:color="auto" w:fill="D9E2F3" w:themeFill="accent5" w:themeFillTint="33"/>
          </w:tcPr>
          <w:p w14:paraId="58A5E508"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Mesures</w:t>
            </w:r>
            <w:proofErr w:type="spellEnd"/>
            <w:r w:rsidRPr="0097258B">
              <w:rPr>
                <w:rFonts w:ascii="Times New Roman" w:hAnsi="Times New Roman" w:cs="Times New Roman"/>
                <w:b/>
                <w:bCs/>
                <w:color w:val="000000" w:themeColor="text1"/>
                <w:sz w:val="20"/>
                <w:szCs w:val="20"/>
              </w:rPr>
              <w:t xml:space="preserve"> de bonification</w:t>
            </w:r>
          </w:p>
        </w:tc>
      </w:tr>
      <w:tr w:rsidR="00BD1A2F" w:rsidRPr="00632C4D" w14:paraId="4A29F608" w14:textId="77777777" w:rsidTr="003A0E4A">
        <w:tc>
          <w:tcPr>
            <w:tcW w:w="1459" w:type="pct"/>
          </w:tcPr>
          <w:p w14:paraId="78E9C5AE"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Fonctionnement</w:t>
            </w:r>
            <w:proofErr w:type="spellEnd"/>
            <w:r w:rsidRPr="0097258B">
              <w:rPr>
                <w:rFonts w:ascii="Times New Roman" w:hAnsi="Times New Roman" w:cs="Times New Roman"/>
                <w:color w:val="000000" w:themeColor="text1"/>
                <w:sz w:val="20"/>
                <w:szCs w:val="20"/>
              </w:rPr>
              <w:t xml:space="preserve"> des </w:t>
            </w:r>
            <w:proofErr w:type="spellStart"/>
            <w:r w:rsidRPr="0097258B">
              <w:rPr>
                <w:rFonts w:ascii="Times New Roman" w:hAnsi="Times New Roman" w:cs="Times New Roman"/>
                <w:color w:val="000000" w:themeColor="text1"/>
                <w:sz w:val="20"/>
                <w:szCs w:val="20"/>
              </w:rPr>
              <w:t>ouvrages</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d’assainissement</w:t>
            </w:r>
            <w:proofErr w:type="spellEnd"/>
          </w:p>
        </w:tc>
        <w:tc>
          <w:tcPr>
            <w:tcW w:w="1900" w:type="pct"/>
          </w:tcPr>
          <w:p w14:paraId="3B5190A2" w14:textId="77777777" w:rsidR="00DE241D" w:rsidRPr="0097258B" w:rsidRDefault="00DE241D" w:rsidP="00C000D3">
            <w:pPr>
              <w:spacing w:line="240" w:lineRule="auto"/>
              <w:jc w:val="both"/>
              <w:rPr>
                <w:rFonts w:ascii="Times New Roman" w:hAnsi="Times New Roman"/>
                <w:b/>
                <w:bCs/>
                <w:i/>
                <w:iCs/>
                <w:color w:val="000000" w:themeColor="text1"/>
                <w:lang w:val="fr-FR" w:eastAsia="fr-FR"/>
              </w:rPr>
            </w:pPr>
            <w:r w:rsidRPr="00301AF6">
              <w:rPr>
                <w:rFonts w:ascii="Times New Roman" w:hAnsi="Times New Roman"/>
                <w:b/>
                <w:bCs/>
                <w:i/>
                <w:iCs/>
                <w:color w:val="000000" w:themeColor="text1"/>
                <w:lang w:val="fr-FR" w:eastAsia="fr-FR"/>
              </w:rPr>
              <w:t>IP-14. Renforcement de la cohésion sociale</w:t>
            </w:r>
          </w:p>
        </w:tc>
        <w:tc>
          <w:tcPr>
            <w:tcW w:w="1641" w:type="pct"/>
          </w:tcPr>
          <w:p w14:paraId="43266A66"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Assurer l’entretien régulier des ouvrages aménagés ;</w:t>
            </w:r>
          </w:p>
          <w:p w14:paraId="33CC92D6" w14:textId="77777777" w:rsidR="00DE241D" w:rsidRPr="0097258B" w:rsidRDefault="00DE241D" w:rsidP="00C000D3">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Promouvoir le vivre ensemble dans les zones affectées.</w:t>
            </w:r>
          </w:p>
        </w:tc>
      </w:tr>
    </w:tbl>
    <w:p w14:paraId="46D06606" w14:textId="77777777" w:rsidR="00DE241D" w:rsidRPr="00260790" w:rsidRDefault="00DE241D" w:rsidP="00E20250">
      <w:pPr>
        <w:spacing w:after="0" w:line="240" w:lineRule="auto"/>
        <w:rPr>
          <w:rFonts w:ascii="Times New Roman" w:hAnsi="Times New Roman"/>
          <w:color w:val="000000" w:themeColor="text1"/>
          <w:lang w:eastAsia="fr-FR"/>
        </w:rPr>
      </w:pPr>
    </w:p>
    <w:p w14:paraId="43E6DB35" w14:textId="77777777" w:rsidR="00DE241D" w:rsidRPr="00260790" w:rsidRDefault="00DE241D" w:rsidP="001748C6">
      <w:pPr>
        <w:pStyle w:val="Paragraphedeliste"/>
        <w:numPr>
          <w:ilvl w:val="0"/>
          <w:numId w:val="292"/>
        </w:numPr>
        <w:spacing w:after="0" w:line="240" w:lineRule="auto"/>
        <w:rPr>
          <w:rFonts w:ascii="Times New Roman" w:hAnsi="Times New Roman"/>
          <w:b/>
          <w:bCs/>
          <w:i/>
          <w:iCs/>
          <w:color w:val="000000" w:themeColor="text1"/>
          <w:lang w:eastAsia="fr-FR"/>
        </w:rPr>
      </w:pPr>
      <w:r w:rsidRPr="00260790">
        <w:rPr>
          <w:rFonts w:ascii="Times New Roman" w:hAnsi="Times New Roman"/>
          <w:b/>
          <w:bCs/>
          <w:i/>
          <w:iCs/>
          <w:color w:val="000000" w:themeColor="text1"/>
          <w:lang w:eastAsia="fr-FR"/>
        </w:rPr>
        <w:t>IP-15. Amélioration de la sécurité publique</w:t>
      </w:r>
    </w:p>
    <w:p w14:paraId="0A7450BB" w14:textId="6972EB6E" w:rsidR="00DE241D" w:rsidRPr="00260790" w:rsidRDefault="00DE241D"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lastRenderedPageBreak/>
        <w:t xml:space="preserve">Les habitations abandonnées </w:t>
      </w:r>
      <w:r w:rsidR="00453B27" w:rsidRPr="00260790">
        <w:rPr>
          <w:rFonts w:ascii="Times New Roman" w:hAnsi="Times New Roman"/>
          <w:color w:val="000000" w:themeColor="text1"/>
          <w:lang w:eastAsia="fr-FR"/>
        </w:rPr>
        <w:t>par suite des</w:t>
      </w:r>
      <w:r w:rsidRPr="00260790">
        <w:rPr>
          <w:rFonts w:ascii="Times New Roman" w:hAnsi="Times New Roman"/>
          <w:color w:val="000000" w:themeColor="text1"/>
          <w:lang w:eastAsia="fr-FR"/>
        </w:rPr>
        <w:t xml:space="preserve"> inondations tout comme les peuplements de typhas et de phragmites qui se développent dans les plans d’eau, constituent des refuges pour les malfaiteurs qui s’attaquent dès que l’occasion se présente, mais aussi des habitats pour les serpents boas, cobra…</w:t>
      </w:r>
    </w:p>
    <w:p w14:paraId="2B49CC8F" w14:textId="14FF69C0" w:rsidR="00DE241D" w:rsidRPr="00260790" w:rsidRDefault="00DE241D"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La maîtrise des inondations et les drainages des plans d’eau permettr</w:t>
      </w:r>
      <w:r w:rsidR="00A1719C" w:rsidRPr="00260790">
        <w:rPr>
          <w:rFonts w:ascii="Times New Roman" w:hAnsi="Times New Roman"/>
          <w:color w:val="000000" w:themeColor="text1"/>
          <w:lang w:eastAsia="fr-FR"/>
        </w:rPr>
        <w:t>a</w:t>
      </w:r>
      <w:r w:rsidRPr="00260790">
        <w:rPr>
          <w:rFonts w:ascii="Times New Roman" w:hAnsi="Times New Roman"/>
          <w:color w:val="000000" w:themeColor="text1"/>
          <w:lang w:eastAsia="fr-FR"/>
        </w:rPr>
        <w:t xml:space="preserve"> le retour des populations dans leurs habitations et la récupération des zones inondées, ce qui renforcera la sécurité publique.</w:t>
      </w:r>
    </w:p>
    <w:tbl>
      <w:tblPr>
        <w:tblStyle w:val="Grilledutableau"/>
        <w:tblW w:w="5000" w:type="pct"/>
        <w:tblLook w:val="04A0" w:firstRow="1" w:lastRow="0" w:firstColumn="1" w:lastColumn="0" w:noHBand="0" w:noVBand="1"/>
      </w:tblPr>
      <w:tblGrid>
        <w:gridCol w:w="2776"/>
        <w:gridCol w:w="3178"/>
        <w:gridCol w:w="3106"/>
      </w:tblGrid>
      <w:tr w:rsidR="00BD1A2F" w:rsidRPr="00632C4D" w14:paraId="779E51EA" w14:textId="77777777" w:rsidTr="003A0E4A">
        <w:tc>
          <w:tcPr>
            <w:tcW w:w="1532" w:type="pct"/>
            <w:shd w:val="clear" w:color="auto" w:fill="D9E2F3" w:themeFill="accent5" w:themeFillTint="33"/>
          </w:tcPr>
          <w:p w14:paraId="49394D62"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 xml:space="preserve">Sources </w:t>
            </w:r>
            <w:proofErr w:type="spellStart"/>
            <w:r w:rsidRPr="0097258B">
              <w:rPr>
                <w:rFonts w:ascii="Times New Roman" w:hAnsi="Times New Roman" w:cs="Times New Roman"/>
                <w:b/>
                <w:bCs/>
                <w:color w:val="000000" w:themeColor="text1"/>
                <w:sz w:val="20"/>
                <w:szCs w:val="20"/>
              </w:rPr>
              <w:t>d’impacts</w:t>
            </w:r>
            <w:proofErr w:type="spellEnd"/>
          </w:p>
        </w:tc>
        <w:tc>
          <w:tcPr>
            <w:tcW w:w="1754" w:type="pct"/>
            <w:shd w:val="clear" w:color="auto" w:fill="D9E2F3" w:themeFill="accent5" w:themeFillTint="33"/>
          </w:tcPr>
          <w:p w14:paraId="365A94B9"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Impacts</w:t>
            </w:r>
          </w:p>
        </w:tc>
        <w:tc>
          <w:tcPr>
            <w:tcW w:w="1714" w:type="pct"/>
            <w:shd w:val="clear" w:color="auto" w:fill="D9E2F3" w:themeFill="accent5" w:themeFillTint="33"/>
          </w:tcPr>
          <w:p w14:paraId="4C085B2B"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Mesures</w:t>
            </w:r>
            <w:proofErr w:type="spellEnd"/>
            <w:r w:rsidRPr="0097258B">
              <w:rPr>
                <w:rFonts w:ascii="Times New Roman" w:hAnsi="Times New Roman" w:cs="Times New Roman"/>
                <w:b/>
                <w:bCs/>
                <w:color w:val="000000" w:themeColor="text1"/>
                <w:sz w:val="20"/>
                <w:szCs w:val="20"/>
              </w:rPr>
              <w:t xml:space="preserve"> de bonification</w:t>
            </w:r>
          </w:p>
        </w:tc>
      </w:tr>
      <w:tr w:rsidR="00BD1A2F" w:rsidRPr="00632C4D" w14:paraId="2521BAF8" w14:textId="77777777" w:rsidTr="003A0E4A">
        <w:tc>
          <w:tcPr>
            <w:tcW w:w="1532" w:type="pct"/>
          </w:tcPr>
          <w:p w14:paraId="0FB98149" w14:textId="77777777" w:rsidR="00DE241D" w:rsidRPr="0097258B" w:rsidRDefault="00DE241D" w:rsidP="00E20250">
            <w:pPr>
              <w:pStyle w:val="Default"/>
              <w:overflowPunct w:val="0"/>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Fonctionnement</w:t>
            </w:r>
            <w:proofErr w:type="spellEnd"/>
            <w:r w:rsidRPr="0097258B">
              <w:rPr>
                <w:rFonts w:ascii="Times New Roman" w:hAnsi="Times New Roman" w:cs="Times New Roman"/>
                <w:color w:val="000000" w:themeColor="text1"/>
                <w:sz w:val="20"/>
                <w:szCs w:val="20"/>
              </w:rPr>
              <w:t xml:space="preserve"> des </w:t>
            </w:r>
            <w:proofErr w:type="spellStart"/>
            <w:r w:rsidRPr="0097258B">
              <w:rPr>
                <w:rFonts w:ascii="Times New Roman" w:hAnsi="Times New Roman" w:cs="Times New Roman"/>
                <w:color w:val="000000" w:themeColor="text1"/>
                <w:sz w:val="20"/>
                <w:szCs w:val="20"/>
              </w:rPr>
              <w:t>ouvrages</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d’assainissement</w:t>
            </w:r>
            <w:proofErr w:type="spellEnd"/>
          </w:p>
        </w:tc>
        <w:tc>
          <w:tcPr>
            <w:tcW w:w="1754" w:type="pct"/>
          </w:tcPr>
          <w:p w14:paraId="5AA189FC" w14:textId="77777777" w:rsidR="00DE241D" w:rsidRPr="0097258B" w:rsidRDefault="00DE241D" w:rsidP="00E20250">
            <w:pPr>
              <w:spacing w:line="240" w:lineRule="auto"/>
              <w:rPr>
                <w:rFonts w:ascii="Times New Roman" w:hAnsi="Times New Roman"/>
                <w:b/>
                <w:bCs/>
                <w:i/>
                <w:iCs/>
                <w:color w:val="000000" w:themeColor="text1"/>
                <w:lang w:val="fr-FR" w:eastAsia="fr-FR"/>
              </w:rPr>
            </w:pPr>
            <w:r w:rsidRPr="00301AF6">
              <w:rPr>
                <w:rFonts w:ascii="Times New Roman" w:hAnsi="Times New Roman"/>
                <w:b/>
                <w:bCs/>
                <w:i/>
                <w:iCs/>
                <w:color w:val="000000" w:themeColor="text1"/>
                <w:lang w:val="fr-FR" w:eastAsia="fr-FR"/>
              </w:rPr>
              <w:t>IP-15. Amélioration de la sécurité publique</w:t>
            </w:r>
          </w:p>
        </w:tc>
        <w:tc>
          <w:tcPr>
            <w:tcW w:w="1714" w:type="pct"/>
          </w:tcPr>
          <w:p w14:paraId="023778CB" w14:textId="77777777" w:rsidR="00DE241D" w:rsidRPr="0097258B" w:rsidRDefault="00DE241D" w:rsidP="00E20250">
            <w:pPr>
              <w:pStyle w:val="Default"/>
              <w:overflowPunct w:val="0"/>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Assurer l’entretien régulier des bassins.</w:t>
            </w:r>
          </w:p>
        </w:tc>
      </w:tr>
    </w:tbl>
    <w:p w14:paraId="1A0E90EB" w14:textId="77777777" w:rsidR="00DE241D" w:rsidRPr="00260790" w:rsidRDefault="00DE241D" w:rsidP="00BE2AA9">
      <w:pPr>
        <w:spacing w:after="0" w:line="240" w:lineRule="auto"/>
        <w:jc w:val="both"/>
        <w:rPr>
          <w:rFonts w:ascii="Times New Roman" w:hAnsi="Times New Roman"/>
          <w:color w:val="000000" w:themeColor="text1"/>
          <w:lang w:eastAsia="fr-FR"/>
        </w:rPr>
      </w:pPr>
    </w:p>
    <w:p w14:paraId="3BDA432A" w14:textId="77777777" w:rsidR="00DE241D" w:rsidRPr="00260790" w:rsidRDefault="00DE241D" w:rsidP="00E20250">
      <w:pPr>
        <w:spacing w:line="240" w:lineRule="auto"/>
        <w:jc w:val="both"/>
        <w:rPr>
          <w:rFonts w:ascii="Times New Roman" w:hAnsi="Times New Roman"/>
          <w:b/>
          <w:bCs/>
          <w:i/>
          <w:iCs/>
          <w:color w:val="000000" w:themeColor="text1"/>
          <w:lang w:eastAsia="fr-FR"/>
        </w:rPr>
      </w:pPr>
      <w:r w:rsidRPr="00260790">
        <w:rPr>
          <w:rFonts w:ascii="Times New Roman" w:hAnsi="Times New Roman"/>
          <w:b/>
          <w:bCs/>
          <w:i/>
          <w:iCs/>
          <w:color w:val="000000" w:themeColor="text1"/>
          <w:lang w:eastAsia="fr-FR"/>
        </w:rPr>
        <w:t>IP-16. Amélioration des conditions de déplacement des populations</w:t>
      </w:r>
    </w:p>
    <w:p w14:paraId="3F4F7A26" w14:textId="2588B408" w:rsidR="00DE241D" w:rsidRPr="00260790" w:rsidRDefault="00DE241D"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 xml:space="preserve">La maîtrise des inondations et l’aménagement de voiries </w:t>
      </w:r>
      <w:r w:rsidR="00A1719C" w:rsidRPr="00260790">
        <w:rPr>
          <w:rFonts w:ascii="Times New Roman" w:hAnsi="Times New Roman"/>
          <w:color w:val="000000" w:themeColor="text1"/>
          <w:lang w:eastAsia="fr-FR"/>
        </w:rPr>
        <w:t>dans les</w:t>
      </w:r>
      <w:r w:rsidRPr="00260790">
        <w:rPr>
          <w:rFonts w:ascii="Times New Roman" w:hAnsi="Times New Roman"/>
          <w:color w:val="000000" w:themeColor="text1"/>
          <w:lang w:eastAsia="fr-FR"/>
        </w:rPr>
        <w:t xml:space="preserve"> communes ciblées contribuera à y améliorer les conditions de déplacement des populations.</w:t>
      </w:r>
    </w:p>
    <w:tbl>
      <w:tblPr>
        <w:tblStyle w:val="Grilledutableau"/>
        <w:tblW w:w="5000" w:type="pct"/>
        <w:tblLook w:val="04A0" w:firstRow="1" w:lastRow="0" w:firstColumn="1" w:lastColumn="0" w:noHBand="0" w:noVBand="1"/>
      </w:tblPr>
      <w:tblGrid>
        <w:gridCol w:w="2776"/>
        <w:gridCol w:w="3178"/>
        <w:gridCol w:w="3106"/>
      </w:tblGrid>
      <w:tr w:rsidR="00BD1A2F" w:rsidRPr="00632C4D" w14:paraId="0670CE85" w14:textId="77777777" w:rsidTr="003A0E4A">
        <w:tc>
          <w:tcPr>
            <w:tcW w:w="1532" w:type="pct"/>
            <w:shd w:val="clear" w:color="auto" w:fill="D9E2F3" w:themeFill="accent5" w:themeFillTint="33"/>
          </w:tcPr>
          <w:p w14:paraId="670DE01D"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 xml:space="preserve">Sources </w:t>
            </w:r>
            <w:proofErr w:type="spellStart"/>
            <w:r w:rsidRPr="0097258B">
              <w:rPr>
                <w:rFonts w:ascii="Times New Roman" w:hAnsi="Times New Roman" w:cs="Times New Roman"/>
                <w:b/>
                <w:bCs/>
                <w:color w:val="000000" w:themeColor="text1"/>
                <w:sz w:val="20"/>
                <w:szCs w:val="20"/>
              </w:rPr>
              <w:t>d’impacts</w:t>
            </w:r>
            <w:proofErr w:type="spellEnd"/>
          </w:p>
        </w:tc>
        <w:tc>
          <w:tcPr>
            <w:tcW w:w="1754" w:type="pct"/>
            <w:shd w:val="clear" w:color="auto" w:fill="D9E2F3" w:themeFill="accent5" w:themeFillTint="33"/>
          </w:tcPr>
          <w:p w14:paraId="1A5BB059"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Impacts</w:t>
            </w:r>
          </w:p>
        </w:tc>
        <w:tc>
          <w:tcPr>
            <w:tcW w:w="1714" w:type="pct"/>
            <w:shd w:val="clear" w:color="auto" w:fill="D9E2F3" w:themeFill="accent5" w:themeFillTint="33"/>
          </w:tcPr>
          <w:p w14:paraId="4A890AD1"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Mesures</w:t>
            </w:r>
            <w:proofErr w:type="spellEnd"/>
            <w:r w:rsidRPr="0097258B">
              <w:rPr>
                <w:rFonts w:ascii="Times New Roman" w:hAnsi="Times New Roman" w:cs="Times New Roman"/>
                <w:b/>
                <w:bCs/>
                <w:color w:val="000000" w:themeColor="text1"/>
                <w:sz w:val="20"/>
                <w:szCs w:val="20"/>
              </w:rPr>
              <w:t xml:space="preserve"> de bonification</w:t>
            </w:r>
          </w:p>
        </w:tc>
      </w:tr>
      <w:tr w:rsidR="00BD1A2F" w:rsidRPr="00632C4D" w14:paraId="01FE9168" w14:textId="77777777" w:rsidTr="003A0E4A">
        <w:tc>
          <w:tcPr>
            <w:tcW w:w="1532" w:type="pct"/>
          </w:tcPr>
          <w:p w14:paraId="30AF6895" w14:textId="77777777" w:rsidR="00DE241D" w:rsidRPr="0097258B" w:rsidRDefault="00DE241D" w:rsidP="00E20250">
            <w:pPr>
              <w:pStyle w:val="Default"/>
              <w:overflowPunct w:val="0"/>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Mise en services de la voirie</w:t>
            </w:r>
          </w:p>
        </w:tc>
        <w:tc>
          <w:tcPr>
            <w:tcW w:w="1754" w:type="pct"/>
          </w:tcPr>
          <w:p w14:paraId="544BF2AC" w14:textId="77777777" w:rsidR="00DE241D" w:rsidRPr="0097258B" w:rsidRDefault="00DE241D" w:rsidP="00E20250">
            <w:pPr>
              <w:spacing w:line="240" w:lineRule="auto"/>
              <w:rPr>
                <w:rFonts w:ascii="Times New Roman" w:hAnsi="Times New Roman"/>
                <w:b/>
                <w:bCs/>
                <w:i/>
                <w:iCs/>
                <w:color w:val="000000" w:themeColor="text1"/>
                <w:lang w:val="fr-FR" w:eastAsia="fr-FR"/>
              </w:rPr>
            </w:pPr>
            <w:r w:rsidRPr="00301AF6">
              <w:rPr>
                <w:rFonts w:ascii="Times New Roman" w:hAnsi="Times New Roman"/>
                <w:b/>
                <w:bCs/>
                <w:i/>
                <w:iCs/>
                <w:color w:val="000000" w:themeColor="text1"/>
                <w:lang w:val="fr-FR" w:eastAsia="fr-FR"/>
              </w:rPr>
              <w:t>IP-16. Amélioration des conditions de déplacement des populations</w:t>
            </w:r>
          </w:p>
        </w:tc>
        <w:tc>
          <w:tcPr>
            <w:tcW w:w="1714" w:type="pct"/>
          </w:tcPr>
          <w:p w14:paraId="00A98276" w14:textId="77777777" w:rsidR="00DE241D" w:rsidRPr="0097258B" w:rsidRDefault="00DE241D" w:rsidP="00E20250">
            <w:pPr>
              <w:pStyle w:val="Default"/>
              <w:overflowPunct w:val="0"/>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Assurer l’entretien régulier de la voirie</w:t>
            </w:r>
          </w:p>
        </w:tc>
      </w:tr>
    </w:tbl>
    <w:p w14:paraId="44CDE29A" w14:textId="77777777" w:rsidR="002826F4" w:rsidRPr="00260790" w:rsidRDefault="002826F4" w:rsidP="00451F8A">
      <w:pPr>
        <w:spacing w:after="0" w:line="240" w:lineRule="auto"/>
        <w:jc w:val="both"/>
        <w:rPr>
          <w:rFonts w:ascii="Times New Roman" w:hAnsi="Times New Roman"/>
          <w:color w:val="000000" w:themeColor="text1"/>
          <w:lang w:eastAsia="fr-FR"/>
        </w:rPr>
      </w:pPr>
    </w:p>
    <w:p w14:paraId="59A9ED6E" w14:textId="297B047D" w:rsidR="00DE241D" w:rsidRPr="00260790" w:rsidRDefault="00DE241D" w:rsidP="001748C6">
      <w:pPr>
        <w:pStyle w:val="CHAPITRE1"/>
        <w:numPr>
          <w:ilvl w:val="3"/>
          <w:numId w:val="139"/>
        </w:numPr>
        <w:rPr>
          <w:rFonts w:cs="Times New Roman"/>
          <w:i/>
          <w:iCs/>
        </w:rPr>
      </w:pPr>
      <w:bookmarkStart w:id="607" w:name="_Toc212725134"/>
      <w:r w:rsidRPr="00260790">
        <w:rPr>
          <w:rFonts w:cs="Times New Roman"/>
          <w:i/>
          <w:iCs/>
        </w:rPr>
        <w:t>Synthèse des impacts positifs</w:t>
      </w:r>
      <w:bookmarkEnd w:id="607"/>
    </w:p>
    <w:p w14:paraId="670670DC" w14:textId="77777777" w:rsidR="00DE241D" w:rsidRPr="00260790" w:rsidRDefault="00DE241D" w:rsidP="001748C6">
      <w:pPr>
        <w:pStyle w:val="Paragraphedeliste"/>
        <w:numPr>
          <w:ilvl w:val="0"/>
          <w:numId w:val="293"/>
        </w:numPr>
        <w:spacing w:after="0" w:line="240" w:lineRule="auto"/>
        <w:rPr>
          <w:rFonts w:ascii="Times New Roman" w:hAnsi="Times New Roman"/>
          <w:b/>
          <w:bCs/>
          <w:color w:val="000000" w:themeColor="text1"/>
        </w:rPr>
      </w:pPr>
      <w:r w:rsidRPr="00260790">
        <w:rPr>
          <w:rFonts w:ascii="Times New Roman" w:hAnsi="Times New Roman"/>
          <w:b/>
          <w:bCs/>
          <w:color w:val="000000" w:themeColor="text1"/>
        </w:rPr>
        <w:t>Impacts positifs en phase construction</w:t>
      </w:r>
    </w:p>
    <w:p w14:paraId="7D248C9F" w14:textId="77777777" w:rsidR="00DE241D" w:rsidRPr="00260790" w:rsidRDefault="00DE241D" w:rsidP="001748C6">
      <w:pPr>
        <w:pStyle w:val="Paragraphedeliste"/>
        <w:numPr>
          <w:ilvl w:val="0"/>
          <w:numId w:val="295"/>
        </w:numPr>
        <w:spacing w:after="0" w:line="240" w:lineRule="auto"/>
        <w:jc w:val="both"/>
        <w:rPr>
          <w:rFonts w:ascii="Times New Roman" w:hAnsi="Times New Roman"/>
          <w:color w:val="000000" w:themeColor="text1"/>
        </w:rPr>
      </w:pPr>
      <w:r w:rsidRPr="00260790">
        <w:rPr>
          <w:rFonts w:ascii="Times New Roman" w:eastAsiaTheme="minorHAnsi" w:hAnsi="Times New Roman"/>
          <w:color w:val="000000" w:themeColor="text1"/>
        </w:rPr>
        <w:t xml:space="preserve">IP-1 : Création d’emplois dans les Communes de Mbao, de Rufisque Ouest, de </w:t>
      </w:r>
      <w:proofErr w:type="spellStart"/>
      <w:r w:rsidRPr="00260790">
        <w:rPr>
          <w:rFonts w:ascii="Times New Roman" w:eastAsiaTheme="minorHAnsi" w:hAnsi="Times New Roman"/>
          <w:color w:val="000000" w:themeColor="text1"/>
        </w:rPr>
        <w:t>Jaxaay</w:t>
      </w:r>
      <w:proofErr w:type="spellEnd"/>
      <w:r w:rsidRPr="00260790">
        <w:rPr>
          <w:rFonts w:ascii="Times New Roman" w:eastAsiaTheme="minorHAnsi" w:hAnsi="Times New Roman"/>
          <w:color w:val="000000" w:themeColor="text1"/>
        </w:rPr>
        <w:t>-Parcelles-</w:t>
      </w:r>
      <w:proofErr w:type="spellStart"/>
      <w:r w:rsidRPr="00260790">
        <w:rPr>
          <w:rFonts w:ascii="Times New Roman" w:eastAsiaTheme="minorHAnsi" w:hAnsi="Times New Roman"/>
          <w:color w:val="000000" w:themeColor="text1"/>
        </w:rPr>
        <w:t>Niakoulrap</w:t>
      </w:r>
      <w:proofErr w:type="spellEnd"/>
      <w:r w:rsidRPr="00260790">
        <w:rPr>
          <w:rFonts w:ascii="Times New Roman" w:eastAsiaTheme="minorHAnsi" w:hAnsi="Times New Roman"/>
          <w:color w:val="000000" w:themeColor="text1"/>
        </w:rPr>
        <w:t xml:space="preserve"> et de Keur Massar Sud</w:t>
      </w:r>
      <w:r w:rsidRPr="00260790">
        <w:rPr>
          <w:rFonts w:ascii="Times New Roman" w:hAnsi="Times New Roman"/>
          <w:color w:val="000000" w:themeColor="text1"/>
        </w:rPr>
        <w:t> ;</w:t>
      </w:r>
    </w:p>
    <w:p w14:paraId="7E33B4C2" w14:textId="77777777" w:rsidR="00DE241D" w:rsidRPr="00260790" w:rsidRDefault="00DE241D" w:rsidP="001748C6">
      <w:pPr>
        <w:pStyle w:val="Paragraphedeliste"/>
        <w:numPr>
          <w:ilvl w:val="0"/>
          <w:numId w:val="295"/>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IP 2. Opportunité de développement d’activités génératrices de revenus (restauration, petit commerce) autour du chantier ;</w:t>
      </w:r>
    </w:p>
    <w:p w14:paraId="20AA6034" w14:textId="64A06341" w:rsidR="00DE241D" w:rsidRPr="00260790" w:rsidRDefault="00DE241D" w:rsidP="001748C6">
      <w:pPr>
        <w:pStyle w:val="Paragraphedeliste"/>
        <w:numPr>
          <w:ilvl w:val="0"/>
          <w:numId w:val="295"/>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w:t>
      </w:r>
    </w:p>
    <w:p w14:paraId="3EEFACE5" w14:textId="77777777" w:rsidR="002826F4" w:rsidRPr="00260790" w:rsidRDefault="00DE241D" w:rsidP="001748C6">
      <w:pPr>
        <w:pStyle w:val="Paragraphedeliste"/>
        <w:numPr>
          <w:ilvl w:val="0"/>
          <w:numId w:val="295"/>
        </w:numPr>
        <w:spacing w:after="0" w:line="240" w:lineRule="auto"/>
        <w:jc w:val="both"/>
        <w:rPr>
          <w:rFonts w:ascii="Times New Roman" w:hAnsi="Times New Roman"/>
          <w:b/>
          <w:bCs/>
        </w:rPr>
      </w:pPr>
      <w:r w:rsidRPr="00260790">
        <w:rPr>
          <w:rFonts w:ascii="Times New Roman" w:hAnsi="Times New Roman"/>
          <w:color w:val="000000" w:themeColor="text1"/>
        </w:rPr>
        <w:t>IP 4. Génération de recette (taxes et redevance) pour l’</w:t>
      </w:r>
      <w:r w:rsidR="005865F2" w:rsidRPr="00260790">
        <w:rPr>
          <w:rFonts w:ascii="Times New Roman" w:hAnsi="Times New Roman"/>
          <w:color w:val="000000" w:themeColor="text1"/>
        </w:rPr>
        <w:t>É</w:t>
      </w:r>
      <w:r w:rsidRPr="00260790">
        <w:rPr>
          <w:rFonts w:ascii="Times New Roman" w:hAnsi="Times New Roman"/>
          <w:color w:val="000000" w:themeColor="text1"/>
        </w:rPr>
        <w:t xml:space="preserve">tat et les Communes de Mbao, de Rufisque Ouest, de </w:t>
      </w:r>
      <w:proofErr w:type="spellStart"/>
      <w:r w:rsidRPr="00260790">
        <w:rPr>
          <w:rFonts w:ascii="Times New Roman" w:hAnsi="Times New Roman"/>
          <w:color w:val="000000" w:themeColor="text1"/>
        </w:rPr>
        <w:t>Jaxaay</w:t>
      </w:r>
      <w:proofErr w:type="spellEnd"/>
      <w:r w:rsidRPr="00260790">
        <w:rPr>
          <w:rFonts w:ascii="Times New Roman" w:hAnsi="Times New Roman"/>
          <w:color w:val="000000" w:themeColor="text1"/>
        </w:rPr>
        <w:t>-Parcelles-</w:t>
      </w:r>
      <w:proofErr w:type="spellStart"/>
      <w:r w:rsidRPr="00260790">
        <w:rPr>
          <w:rFonts w:ascii="Times New Roman" w:hAnsi="Times New Roman"/>
          <w:color w:val="000000" w:themeColor="text1"/>
        </w:rPr>
        <w:t>Niakoulrap</w:t>
      </w:r>
      <w:proofErr w:type="spellEnd"/>
      <w:r w:rsidRPr="00260790">
        <w:rPr>
          <w:rFonts w:ascii="Times New Roman" w:hAnsi="Times New Roman"/>
          <w:color w:val="000000" w:themeColor="text1"/>
        </w:rPr>
        <w:t xml:space="preserve"> et de Keur Massar Sud</w:t>
      </w:r>
      <w:r w:rsidR="00084389" w:rsidRPr="00260790">
        <w:rPr>
          <w:rFonts w:ascii="Times New Roman" w:hAnsi="Times New Roman"/>
          <w:color w:val="000000" w:themeColor="text1"/>
        </w:rPr>
        <w:t>.</w:t>
      </w:r>
    </w:p>
    <w:p w14:paraId="4D1B89BB" w14:textId="296472E7" w:rsidR="00453B27" w:rsidRPr="00260790" w:rsidRDefault="00453B27" w:rsidP="002826F4">
      <w:pPr>
        <w:spacing w:after="0" w:line="240" w:lineRule="auto"/>
        <w:jc w:val="both"/>
        <w:rPr>
          <w:rFonts w:ascii="Times New Roman" w:hAnsi="Times New Roman"/>
          <w:b/>
          <w:bCs/>
        </w:rPr>
      </w:pPr>
    </w:p>
    <w:p w14:paraId="307BEA10" w14:textId="78BEDC6F" w:rsidR="00DE241D" w:rsidRPr="00260790" w:rsidRDefault="00DE241D" w:rsidP="001748C6">
      <w:pPr>
        <w:pStyle w:val="Paragraphedeliste"/>
        <w:numPr>
          <w:ilvl w:val="0"/>
          <w:numId w:val="294"/>
        </w:numPr>
        <w:spacing w:after="0" w:line="240" w:lineRule="auto"/>
        <w:jc w:val="both"/>
        <w:rPr>
          <w:rFonts w:ascii="Times New Roman" w:hAnsi="Times New Roman"/>
          <w:b/>
          <w:bCs/>
          <w:color w:val="000000" w:themeColor="text1"/>
        </w:rPr>
      </w:pPr>
      <w:r w:rsidRPr="00260790">
        <w:rPr>
          <w:rFonts w:ascii="Times New Roman" w:hAnsi="Times New Roman"/>
          <w:b/>
          <w:bCs/>
          <w:color w:val="000000" w:themeColor="text1"/>
        </w:rPr>
        <w:t>Impacts positifs en phase exploitation</w:t>
      </w:r>
    </w:p>
    <w:p w14:paraId="1CCF2242" w14:textId="77777777" w:rsidR="00DE241D" w:rsidRPr="00260790" w:rsidRDefault="00DE241D" w:rsidP="001748C6">
      <w:pPr>
        <w:pStyle w:val="Paragraphedeliste"/>
        <w:numPr>
          <w:ilvl w:val="0"/>
          <w:numId w:val="295"/>
        </w:numPr>
        <w:spacing w:after="0" w:line="240" w:lineRule="auto"/>
        <w:jc w:val="both"/>
        <w:rPr>
          <w:rFonts w:ascii="Times New Roman" w:hAnsi="Times New Roman"/>
          <w:color w:val="000000" w:themeColor="text1"/>
        </w:rPr>
      </w:pPr>
      <w:r w:rsidRPr="00260790">
        <w:rPr>
          <w:rFonts w:ascii="Times New Roman" w:hAnsi="Times New Roman"/>
          <w:color w:val="000000" w:themeColor="text1"/>
          <w:lang w:eastAsia="fr-FR"/>
        </w:rPr>
        <w:t>IP-5. Maîtrise des inondations dans les</w:t>
      </w:r>
      <w:r w:rsidRPr="00260790">
        <w:rPr>
          <w:rFonts w:ascii="Times New Roman" w:hAnsi="Times New Roman"/>
          <w:color w:val="000000" w:themeColor="text1"/>
        </w:rPr>
        <w:t xml:space="preserve"> Communes de Mbao, de Rufisque Ouest, de </w:t>
      </w:r>
      <w:proofErr w:type="spellStart"/>
      <w:r w:rsidRPr="00260790">
        <w:rPr>
          <w:rFonts w:ascii="Times New Roman" w:hAnsi="Times New Roman"/>
          <w:color w:val="000000" w:themeColor="text1"/>
        </w:rPr>
        <w:t>Jaxaay</w:t>
      </w:r>
      <w:proofErr w:type="spellEnd"/>
      <w:r w:rsidRPr="00260790">
        <w:rPr>
          <w:rFonts w:ascii="Times New Roman" w:hAnsi="Times New Roman"/>
          <w:color w:val="000000" w:themeColor="text1"/>
        </w:rPr>
        <w:t>-Parcelles-</w:t>
      </w:r>
      <w:proofErr w:type="spellStart"/>
      <w:r w:rsidRPr="00260790">
        <w:rPr>
          <w:rFonts w:ascii="Times New Roman" w:hAnsi="Times New Roman"/>
          <w:color w:val="000000" w:themeColor="text1"/>
        </w:rPr>
        <w:t>Niakoulrap</w:t>
      </w:r>
      <w:proofErr w:type="spellEnd"/>
      <w:r w:rsidRPr="00260790">
        <w:rPr>
          <w:rFonts w:ascii="Times New Roman" w:hAnsi="Times New Roman"/>
          <w:color w:val="000000" w:themeColor="text1"/>
        </w:rPr>
        <w:t xml:space="preserve"> et de Keur Massar Sud ;</w:t>
      </w:r>
    </w:p>
    <w:p w14:paraId="51620B87" w14:textId="77777777" w:rsidR="00DE241D" w:rsidRPr="00260790" w:rsidRDefault="00DE241D" w:rsidP="001748C6">
      <w:pPr>
        <w:pStyle w:val="Paragraphedeliste"/>
        <w:numPr>
          <w:ilvl w:val="0"/>
          <w:numId w:val="295"/>
        </w:numPr>
        <w:spacing w:after="0" w:line="240" w:lineRule="auto"/>
        <w:jc w:val="both"/>
        <w:rPr>
          <w:rFonts w:ascii="Times New Roman" w:hAnsi="Times New Roman"/>
          <w:color w:val="000000" w:themeColor="text1"/>
        </w:rPr>
      </w:pPr>
      <w:r w:rsidRPr="00260790">
        <w:rPr>
          <w:rFonts w:ascii="Times New Roman" w:hAnsi="Times New Roman"/>
          <w:color w:val="000000" w:themeColor="text1"/>
          <w:lang w:eastAsia="fr-FR"/>
        </w:rPr>
        <w:t>IP-6. Amélioration du cadre de vie des populations des</w:t>
      </w:r>
      <w:r w:rsidRPr="00260790">
        <w:rPr>
          <w:rFonts w:ascii="Times New Roman" w:hAnsi="Times New Roman"/>
          <w:color w:val="000000" w:themeColor="text1"/>
        </w:rPr>
        <w:t xml:space="preserve"> Communes de Mbao, de Rufisque Ouest, de </w:t>
      </w:r>
      <w:proofErr w:type="spellStart"/>
      <w:r w:rsidRPr="00260790">
        <w:rPr>
          <w:rFonts w:ascii="Times New Roman" w:hAnsi="Times New Roman"/>
          <w:color w:val="000000" w:themeColor="text1"/>
        </w:rPr>
        <w:t>Jaxaay</w:t>
      </w:r>
      <w:proofErr w:type="spellEnd"/>
      <w:r w:rsidRPr="00260790">
        <w:rPr>
          <w:rFonts w:ascii="Times New Roman" w:hAnsi="Times New Roman"/>
          <w:color w:val="000000" w:themeColor="text1"/>
        </w:rPr>
        <w:t>-Parcelles-</w:t>
      </w:r>
      <w:proofErr w:type="spellStart"/>
      <w:r w:rsidRPr="00260790">
        <w:rPr>
          <w:rFonts w:ascii="Times New Roman" w:hAnsi="Times New Roman"/>
          <w:color w:val="000000" w:themeColor="text1"/>
        </w:rPr>
        <w:t>Niakoulrap</w:t>
      </w:r>
      <w:proofErr w:type="spellEnd"/>
      <w:r w:rsidRPr="00260790">
        <w:rPr>
          <w:rFonts w:ascii="Times New Roman" w:hAnsi="Times New Roman"/>
          <w:color w:val="000000" w:themeColor="text1"/>
        </w:rPr>
        <w:t xml:space="preserve"> et de Keur Massar Sud ;</w:t>
      </w:r>
    </w:p>
    <w:p w14:paraId="396113CF" w14:textId="77777777" w:rsidR="00DE241D" w:rsidRPr="00260790" w:rsidRDefault="00DE241D" w:rsidP="001748C6">
      <w:pPr>
        <w:pStyle w:val="Paragraphedeliste"/>
        <w:numPr>
          <w:ilvl w:val="0"/>
          <w:numId w:val="295"/>
        </w:numPr>
        <w:spacing w:after="0" w:line="240" w:lineRule="auto"/>
        <w:jc w:val="both"/>
        <w:rPr>
          <w:rFonts w:ascii="Times New Roman" w:hAnsi="Times New Roman"/>
          <w:color w:val="000000" w:themeColor="text1"/>
        </w:rPr>
      </w:pPr>
      <w:r w:rsidRPr="00260790">
        <w:rPr>
          <w:rFonts w:ascii="Times New Roman" w:hAnsi="Times New Roman"/>
          <w:color w:val="000000" w:themeColor="text1"/>
          <w:lang w:eastAsia="fr-FR"/>
        </w:rPr>
        <w:t>IP-7. Amélioration du bien-être des populations des</w:t>
      </w:r>
      <w:r w:rsidRPr="00260790">
        <w:rPr>
          <w:rFonts w:ascii="Times New Roman" w:hAnsi="Times New Roman"/>
          <w:color w:val="000000" w:themeColor="text1"/>
        </w:rPr>
        <w:t xml:space="preserve"> Communes de Mbao, de Rufisque Ouest, de </w:t>
      </w:r>
      <w:proofErr w:type="spellStart"/>
      <w:r w:rsidRPr="00260790">
        <w:rPr>
          <w:rFonts w:ascii="Times New Roman" w:hAnsi="Times New Roman"/>
          <w:color w:val="000000" w:themeColor="text1"/>
        </w:rPr>
        <w:t>Jaxaay</w:t>
      </w:r>
      <w:proofErr w:type="spellEnd"/>
      <w:r w:rsidRPr="00260790">
        <w:rPr>
          <w:rFonts w:ascii="Times New Roman" w:hAnsi="Times New Roman"/>
          <w:color w:val="000000" w:themeColor="text1"/>
        </w:rPr>
        <w:t>-Parcelles-</w:t>
      </w:r>
      <w:proofErr w:type="spellStart"/>
      <w:r w:rsidRPr="00260790">
        <w:rPr>
          <w:rFonts w:ascii="Times New Roman" w:hAnsi="Times New Roman"/>
          <w:color w:val="000000" w:themeColor="text1"/>
        </w:rPr>
        <w:t>Niakoulrap</w:t>
      </w:r>
      <w:proofErr w:type="spellEnd"/>
      <w:r w:rsidRPr="00260790">
        <w:rPr>
          <w:rFonts w:ascii="Times New Roman" w:hAnsi="Times New Roman"/>
          <w:color w:val="000000" w:themeColor="text1"/>
        </w:rPr>
        <w:t xml:space="preserve"> et de Keur Massar Sud ;</w:t>
      </w:r>
    </w:p>
    <w:p w14:paraId="5C41B6E7" w14:textId="77777777" w:rsidR="00DE241D" w:rsidRPr="00260790" w:rsidRDefault="00DE241D" w:rsidP="001748C6">
      <w:pPr>
        <w:pStyle w:val="Paragraphedeliste"/>
        <w:numPr>
          <w:ilvl w:val="0"/>
          <w:numId w:val="295"/>
        </w:numPr>
        <w:spacing w:after="0"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IP-8. Libération de ressources financières précieuses de populations démunies ;</w:t>
      </w:r>
    </w:p>
    <w:p w14:paraId="6012996D" w14:textId="77777777" w:rsidR="00DE241D" w:rsidRPr="00260790" w:rsidRDefault="00DE241D" w:rsidP="001748C6">
      <w:pPr>
        <w:pStyle w:val="Paragraphedeliste"/>
        <w:numPr>
          <w:ilvl w:val="0"/>
          <w:numId w:val="295"/>
        </w:numPr>
        <w:spacing w:after="0"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IP-9. Récupération de terres et d’habitations abandonnées grâce à l’assèchement des zones inondées ;</w:t>
      </w:r>
    </w:p>
    <w:p w14:paraId="4494DED0" w14:textId="77777777" w:rsidR="00DE241D" w:rsidRPr="00260790" w:rsidRDefault="00DE241D" w:rsidP="001748C6">
      <w:pPr>
        <w:pStyle w:val="Paragraphedeliste"/>
        <w:numPr>
          <w:ilvl w:val="0"/>
          <w:numId w:val="295"/>
        </w:numPr>
        <w:spacing w:after="0"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IP-10. Garantie du droit constitutionnel à un environnement sain et du droit fondamental à la santé ;</w:t>
      </w:r>
    </w:p>
    <w:p w14:paraId="1E34A0D7" w14:textId="77777777" w:rsidR="00DE241D" w:rsidRPr="00260790" w:rsidRDefault="00DE241D" w:rsidP="001748C6">
      <w:pPr>
        <w:pStyle w:val="Paragraphedeliste"/>
        <w:numPr>
          <w:ilvl w:val="0"/>
          <w:numId w:val="295"/>
        </w:numPr>
        <w:spacing w:after="0"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IP-11. Accès aux infrastructures socioéconomiques ;</w:t>
      </w:r>
    </w:p>
    <w:p w14:paraId="640B1253" w14:textId="77777777" w:rsidR="00DE241D" w:rsidRPr="00260790" w:rsidRDefault="00DE241D" w:rsidP="001748C6">
      <w:pPr>
        <w:pStyle w:val="Paragraphedeliste"/>
        <w:numPr>
          <w:ilvl w:val="0"/>
          <w:numId w:val="295"/>
        </w:numPr>
        <w:spacing w:after="0"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IP-12. Amélioration des conditions d’hygiène, de santé et de salubrité publique ;</w:t>
      </w:r>
    </w:p>
    <w:p w14:paraId="17CAD92A" w14:textId="77777777" w:rsidR="00DE241D" w:rsidRPr="00260790" w:rsidRDefault="00DE241D" w:rsidP="001748C6">
      <w:pPr>
        <w:pStyle w:val="Paragraphedeliste"/>
        <w:numPr>
          <w:ilvl w:val="0"/>
          <w:numId w:val="295"/>
        </w:numPr>
        <w:spacing w:after="0"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IP-13. Relance des activités économiques et améliorations des revenus ;</w:t>
      </w:r>
    </w:p>
    <w:p w14:paraId="5BF9E005" w14:textId="77777777" w:rsidR="00DE241D" w:rsidRPr="00260790" w:rsidRDefault="00DE241D" w:rsidP="001748C6">
      <w:pPr>
        <w:pStyle w:val="Paragraphedeliste"/>
        <w:numPr>
          <w:ilvl w:val="0"/>
          <w:numId w:val="295"/>
        </w:numPr>
        <w:spacing w:after="0"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IP-14. Renforcement de la cohésion sociale ;</w:t>
      </w:r>
    </w:p>
    <w:p w14:paraId="1C140FC3" w14:textId="77777777" w:rsidR="00DE241D" w:rsidRPr="00260790" w:rsidRDefault="00DE241D" w:rsidP="001748C6">
      <w:pPr>
        <w:pStyle w:val="Paragraphedeliste"/>
        <w:numPr>
          <w:ilvl w:val="0"/>
          <w:numId w:val="295"/>
        </w:numPr>
        <w:spacing w:after="0" w:line="240" w:lineRule="auto"/>
        <w:jc w:val="both"/>
        <w:rPr>
          <w:rFonts w:ascii="Times New Roman" w:hAnsi="Times New Roman"/>
          <w:b/>
          <w:bCs/>
          <w:i/>
          <w:iCs/>
          <w:color w:val="000000" w:themeColor="text1"/>
          <w:lang w:eastAsia="fr-FR"/>
        </w:rPr>
      </w:pPr>
      <w:r w:rsidRPr="00260790">
        <w:rPr>
          <w:rFonts w:ascii="Times New Roman" w:hAnsi="Times New Roman"/>
          <w:color w:val="000000" w:themeColor="text1"/>
          <w:lang w:eastAsia="fr-FR"/>
        </w:rPr>
        <w:t>IP-15. Amélioration de la sécurité publique ;</w:t>
      </w:r>
    </w:p>
    <w:p w14:paraId="48AD6D8D" w14:textId="77777777" w:rsidR="00DE241D" w:rsidRPr="00260790" w:rsidRDefault="00DE241D" w:rsidP="001748C6">
      <w:pPr>
        <w:pStyle w:val="Paragraphedeliste"/>
        <w:numPr>
          <w:ilvl w:val="0"/>
          <w:numId w:val="295"/>
        </w:num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IP-16. Amélioration des conditions de déplacement des populations.</w:t>
      </w:r>
    </w:p>
    <w:p w14:paraId="40509F87" w14:textId="54795519" w:rsidR="00DE241D" w:rsidRPr="00260790" w:rsidRDefault="00DE241D" w:rsidP="003B6588">
      <w:pPr>
        <w:pStyle w:val="CHAPITRE1"/>
        <w:rPr>
          <w:rFonts w:cs="Times New Roman"/>
        </w:rPr>
      </w:pPr>
      <w:bookmarkStart w:id="608" w:name="_Toc212725135"/>
      <w:r w:rsidRPr="00260790">
        <w:rPr>
          <w:rFonts w:cs="Times New Roman"/>
        </w:rPr>
        <w:t>Impacts négatifs et risques environnementaux et sociaux</w:t>
      </w:r>
      <w:bookmarkEnd w:id="608"/>
      <w:r w:rsidRPr="00260790">
        <w:rPr>
          <w:rFonts w:cs="Times New Roman"/>
        </w:rPr>
        <w:t xml:space="preserve"> </w:t>
      </w:r>
    </w:p>
    <w:p w14:paraId="7004C7B2" w14:textId="19E36EB7" w:rsidR="00DE241D" w:rsidRPr="00260790" w:rsidRDefault="00C34C0F" w:rsidP="001748C6">
      <w:pPr>
        <w:pStyle w:val="CHAPITRE1"/>
        <w:numPr>
          <w:ilvl w:val="3"/>
          <w:numId w:val="139"/>
        </w:numPr>
        <w:rPr>
          <w:rFonts w:cs="Times New Roman"/>
          <w:i/>
          <w:iCs/>
        </w:rPr>
      </w:pPr>
      <w:bookmarkStart w:id="609" w:name="_Toc212725136"/>
      <w:r>
        <w:rPr>
          <w:rFonts w:cs="Times New Roman"/>
          <w:i/>
          <w:iCs/>
        </w:rPr>
        <w:t>E</w:t>
      </w:r>
      <w:r w:rsidR="00DE241D" w:rsidRPr="00260790">
        <w:rPr>
          <w:rFonts w:cs="Times New Roman"/>
          <w:i/>
          <w:iCs/>
        </w:rPr>
        <w:t>n phase travaux</w:t>
      </w:r>
      <w:bookmarkEnd w:id="609"/>
    </w:p>
    <w:p w14:paraId="026DE6B6" w14:textId="77777777" w:rsidR="00DE241D" w:rsidRPr="00260790" w:rsidRDefault="00DE241D" w:rsidP="001748C6">
      <w:pPr>
        <w:pStyle w:val="Paragraphedeliste"/>
        <w:numPr>
          <w:ilvl w:val="0"/>
          <w:numId w:val="294"/>
        </w:numPr>
        <w:spacing w:after="0" w:line="240" w:lineRule="auto"/>
        <w:jc w:val="both"/>
        <w:rPr>
          <w:rFonts w:ascii="Times New Roman" w:hAnsi="Times New Roman"/>
          <w:b/>
          <w:bCs/>
          <w:color w:val="000000" w:themeColor="text1"/>
        </w:rPr>
      </w:pPr>
      <w:r w:rsidRPr="00260790">
        <w:rPr>
          <w:rFonts w:ascii="Times New Roman" w:hAnsi="Times New Roman"/>
          <w:b/>
          <w:bCs/>
          <w:color w:val="000000" w:themeColor="text1"/>
        </w:rPr>
        <w:t>Impacts négatifs et risques communs à toutes les activités</w:t>
      </w:r>
    </w:p>
    <w:p w14:paraId="4D388F16" w14:textId="77777777" w:rsidR="00DE241D" w:rsidRPr="00260790" w:rsidRDefault="00DE241D" w:rsidP="00E20250">
      <w:pPr>
        <w:spacing w:after="0" w:line="240" w:lineRule="auto"/>
        <w:rPr>
          <w:rFonts w:ascii="Times New Roman" w:hAnsi="Times New Roman"/>
          <w:color w:val="000000" w:themeColor="text1"/>
          <w:lang w:eastAsia="fr-FR"/>
        </w:rPr>
      </w:pPr>
    </w:p>
    <w:p w14:paraId="0DD616F7" w14:textId="77777777" w:rsidR="00DE241D" w:rsidRPr="00260790" w:rsidRDefault="00DE241D" w:rsidP="001748C6">
      <w:pPr>
        <w:pStyle w:val="Paragraphedeliste"/>
        <w:numPr>
          <w:ilvl w:val="0"/>
          <w:numId w:val="296"/>
        </w:numPr>
        <w:spacing w:after="0" w:line="240" w:lineRule="auto"/>
        <w:rPr>
          <w:rFonts w:ascii="Times New Roman" w:hAnsi="Times New Roman"/>
          <w:i/>
          <w:iCs/>
          <w:color w:val="000000" w:themeColor="text1"/>
          <w:u w:val="single"/>
        </w:rPr>
      </w:pPr>
      <w:r w:rsidRPr="00260790">
        <w:rPr>
          <w:rFonts w:ascii="Times New Roman" w:hAnsi="Times New Roman"/>
          <w:i/>
          <w:iCs/>
          <w:color w:val="000000" w:themeColor="text1"/>
          <w:u w:val="single"/>
        </w:rPr>
        <w:t>Impacts</w:t>
      </w:r>
      <w:r w:rsidRPr="00260790">
        <w:rPr>
          <w:rFonts w:ascii="Times New Roman" w:hAnsi="Times New Roman"/>
          <w:i/>
          <w:iCs/>
          <w:color w:val="000000" w:themeColor="text1"/>
          <w:spacing w:val="-8"/>
          <w:u w:val="single"/>
        </w:rPr>
        <w:t xml:space="preserve"> </w:t>
      </w:r>
      <w:r w:rsidRPr="00260790">
        <w:rPr>
          <w:rFonts w:ascii="Times New Roman" w:hAnsi="Times New Roman"/>
          <w:i/>
          <w:iCs/>
          <w:color w:val="000000" w:themeColor="text1"/>
          <w:u w:val="single"/>
        </w:rPr>
        <w:t>négatifs</w:t>
      </w:r>
      <w:r w:rsidRPr="00260790">
        <w:rPr>
          <w:rFonts w:ascii="Times New Roman" w:hAnsi="Times New Roman"/>
          <w:i/>
          <w:iCs/>
          <w:color w:val="000000" w:themeColor="text1"/>
          <w:spacing w:val="-7"/>
          <w:u w:val="single"/>
        </w:rPr>
        <w:t xml:space="preserve"> </w:t>
      </w:r>
      <w:r w:rsidRPr="00260790">
        <w:rPr>
          <w:rFonts w:ascii="Times New Roman" w:hAnsi="Times New Roman"/>
          <w:i/>
          <w:iCs/>
          <w:color w:val="000000" w:themeColor="text1"/>
          <w:u w:val="single"/>
        </w:rPr>
        <w:t>et</w:t>
      </w:r>
      <w:r w:rsidRPr="00260790">
        <w:rPr>
          <w:rFonts w:ascii="Times New Roman" w:hAnsi="Times New Roman"/>
          <w:i/>
          <w:iCs/>
          <w:color w:val="000000" w:themeColor="text1"/>
          <w:spacing w:val="-6"/>
          <w:u w:val="single"/>
        </w:rPr>
        <w:t xml:space="preserve"> </w:t>
      </w:r>
      <w:r w:rsidRPr="00260790">
        <w:rPr>
          <w:rFonts w:ascii="Times New Roman" w:hAnsi="Times New Roman"/>
          <w:i/>
          <w:iCs/>
          <w:color w:val="000000" w:themeColor="text1"/>
          <w:u w:val="single"/>
        </w:rPr>
        <w:t>risques</w:t>
      </w:r>
      <w:r w:rsidRPr="00260790">
        <w:rPr>
          <w:rFonts w:ascii="Times New Roman" w:hAnsi="Times New Roman"/>
          <w:i/>
          <w:iCs/>
          <w:color w:val="000000" w:themeColor="text1"/>
          <w:spacing w:val="-6"/>
          <w:u w:val="single"/>
        </w:rPr>
        <w:t xml:space="preserve"> environnementaux et sociaux </w:t>
      </w:r>
      <w:r w:rsidRPr="00260790">
        <w:rPr>
          <w:rFonts w:ascii="Times New Roman" w:hAnsi="Times New Roman"/>
          <w:i/>
          <w:iCs/>
          <w:color w:val="000000" w:themeColor="text1"/>
          <w:u w:val="single"/>
        </w:rPr>
        <w:t>sur</w:t>
      </w:r>
      <w:r w:rsidRPr="00260790">
        <w:rPr>
          <w:rFonts w:ascii="Times New Roman" w:hAnsi="Times New Roman"/>
          <w:i/>
          <w:iCs/>
          <w:color w:val="000000" w:themeColor="text1"/>
          <w:spacing w:val="-7"/>
          <w:u w:val="single"/>
        </w:rPr>
        <w:t xml:space="preserve"> </w:t>
      </w:r>
      <w:r w:rsidRPr="00260790">
        <w:rPr>
          <w:rFonts w:ascii="Times New Roman" w:hAnsi="Times New Roman"/>
          <w:i/>
          <w:iCs/>
          <w:color w:val="000000" w:themeColor="text1"/>
          <w:u w:val="single"/>
        </w:rPr>
        <w:t>le</w:t>
      </w:r>
      <w:r w:rsidRPr="00260790">
        <w:rPr>
          <w:rFonts w:ascii="Times New Roman" w:hAnsi="Times New Roman"/>
          <w:i/>
          <w:iCs/>
          <w:color w:val="000000" w:themeColor="text1"/>
          <w:spacing w:val="-7"/>
          <w:u w:val="single"/>
        </w:rPr>
        <w:t xml:space="preserve"> </w:t>
      </w:r>
      <w:r w:rsidRPr="00260790">
        <w:rPr>
          <w:rFonts w:ascii="Times New Roman" w:hAnsi="Times New Roman"/>
          <w:i/>
          <w:iCs/>
          <w:color w:val="000000" w:themeColor="text1"/>
          <w:u w:val="single"/>
        </w:rPr>
        <w:t>milieu</w:t>
      </w:r>
      <w:r w:rsidRPr="00260790">
        <w:rPr>
          <w:rFonts w:ascii="Times New Roman" w:hAnsi="Times New Roman"/>
          <w:i/>
          <w:iCs/>
          <w:color w:val="000000" w:themeColor="text1"/>
          <w:spacing w:val="-4"/>
          <w:u w:val="single"/>
        </w:rPr>
        <w:t xml:space="preserve"> </w:t>
      </w:r>
      <w:r w:rsidRPr="00260790">
        <w:rPr>
          <w:rFonts w:ascii="Times New Roman" w:hAnsi="Times New Roman"/>
          <w:i/>
          <w:iCs/>
          <w:color w:val="000000" w:themeColor="text1"/>
          <w:spacing w:val="-2"/>
          <w:u w:val="single"/>
        </w:rPr>
        <w:t>physique</w:t>
      </w:r>
    </w:p>
    <w:p w14:paraId="693BAF49" w14:textId="77777777" w:rsidR="00DE241D" w:rsidRPr="00260790" w:rsidRDefault="00DE241D" w:rsidP="00E20250">
      <w:pPr>
        <w:pStyle w:val="Tramemoyenne1-Accent21"/>
        <w:rPr>
          <w:rFonts w:ascii="Times New Roman" w:hAnsi="Times New Roman"/>
          <w:color w:val="000000" w:themeColor="text1"/>
        </w:rPr>
      </w:pPr>
    </w:p>
    <w:p w14:paraId="31C06E25" w14:textId="77777777" w:rsidR="00DE241D" w:rsidRPr="00260790" w:rsidRDefault="00DE241D" w:rsidP="001748C6">
      <w:pPr>
        <w:pStyle w:val="Corpsdetexte"/>
        <w:numPr>
          <w:ilvl w:val="0"/>
          <w:numId w:val="299"/>
        </w:numPr>
        <w:pBdr>
          <w:top w:val="none" w:sz="0" w:space="0" w:color="auto"/>
          <w:left w:val="none" w:sz="0" w:space="0" w:color="auto"/>
          <w:bottom w:val="none" w:sz="0" w:space="0" w:color="auto"/>
          <w:right w:val="none" w:sz="0" w:space="0" w:color="auto"/>
        </w:pBdr>
        <w:shd w:val="clear" w:color="auto" w:fill="auto"/>
        <w:tabs>
          <w:tab w:val="clear" w:pos="4393"/>
        </w:tabs>
        <w:spacing w:before="10"/>
        <w:jc w:val="both"/>
        <w:rPr>
          <w:b w:val="0"/>
          <w:i/>
          <w:iCs/>
          <w:color w:val="000000" w:themeColor="text1"/>
          <w:sz w:val="22"/>
          <w:szCs w:val="22"/>
        </w:rPr>
      </w:pPr>
      <w:r w:rsidRPr="00260790">
        <w:rPr>
          <w:i/>
          <w:iCs/>
          <w:color w:val="000000" w:themeColor="text1"/>
          <w:sz w:val="22"/>
          <w:szCs w:val="22"/>
        </w:rPr>
        <w:t>IN-1. Pollution atmosphérique et émissions de GES</w:t>
      </w:r>
    </w:p>
    <w:p w14:paraId="3E4E4720" w14:textId="77777777" w:rsidR="00DE241D" w:rsidRPr="00260790" w:rsidRDefault="00DE241D" w:rsidP="0095190F">
      <w:pPr>
        <w:pStyle w:val="Tramemoyenne1-Accent21"/>
        <w:jc w:val="both"/>
        <w:rPr>
          <w:rFonts w:ascii="Times New Roman" w:hAnsi="Times New Roman"/>
          <w:color w:val="000000" w:themeColor="text1"/>
        </w:rPr>
      </w:pPr>
      <w:r w:rsidRPr="00260790">
        <w:rPr>
          <w:rFonts w:ascii="Times New Roman" w:hAnsi="Times New Roman"/>
          <w:color w:val="000000" w:themeColor="text1"/>
        </w:rPr>
        <w:t xml:space="preserve">Le fonctionnement des véhicules et d’engins qui seront mobilisés s’accompagnera d’émissions de gaz d’échappement contenant des polluants atmosphériques et des gaz à </w:t>
      </w:r>
      <w:r w:rsidRPr="00260790">
        <w:rPr>
          <w:rFonts w:ascii="Times New Roman" w:hAnsi="Times New Roman"/>
          <w:color w:val="000000" w:themeColor="text1"/>
          <w:position w:val="1"/>
        </w:rPr>
        <w:t>effet de serre (CO2, CO ; NO</w:t>
      </w:r>
      <w:r w:rsidRPr="00260790">
        <w:rPr>
          <w:rFonts w:ascii="Times New Roman" w:hAnsi="Times New Roman"/>
          <w:color w:val="000000" w:themeColor="text1"/>
        </w:rPr>
        <w:t>x</w:t>
      </w:r>
      <w:r w:rsidRPr="00260790">
        <w:rPr>
          <w:rFonts w:ascii="Times New Roman" w:hAnsi="Times New Roman"/>
          <w:color w:val="000000" w:themeColor="text1"/>
          <w:position w:val="1"/>
        </w:rPr>
        <w:t>, SO</w:t>
      </w:r>
      <w:r w:rsidRPr="00260790">
        <w:rPr>
          <w:rFonts w:ascii="Times New Roman" w:hAnsi="Times New Roman"/>
          <w:color w:val="000000" w:themeColor="text1"/>
        </w:rPr>
        <w:t>x</w:t>
      </w:r>
      <w:r w:rsidRPr="00260790">
        <w:rPr>
          <w:rFonts w:ascii="Times New Roman" w:hAnsi="Times New Roman"/>
          <w:color w:val="000000" w:themeColor="text1"/>
          <w:position w:val="1"/>
        </w:rPr>
        <w:t>, COV…).</w:t>
      </w:r>
    </w:p>
    <w:p w14:paraId="5C0B6D9E" w14:textId="46723142" w:rsidR="00DE241D" w:rsidRDefault="00DE241D" w:rsidP="0095190F">
      <w:pPr>
        <w:pStyle w:val="Tramemoyenne1-Accent21"/>
        <w:jc w:val="both"/>
        <w:rPr>
          <w:rFonts w:ascii="Times New Roman" w:hAnsi="Times New Roman"/>
          <w:color w:val="000000" w:themeColor="text1"/>
        </w:rPr>
      </w:pPr>
      <w:r w:rsidRPr="00260790">
        <w:rPr>
          <w:rFonts w:ascii="Times New Roman" w:hAnsi="Times New Roman"/>
          <w:color w:val="000000" w:themeColor="text1"/>
        </w:rPr>
        <w:t xml:space="preserve">Dans la même veine, le déplacement des véhicules et </w:t>
      </w:r>
      <w:r w:rsidR="00A1719C" w:rsidRPr="00260790">
        <w:rPr>
          <w:rFonts w:ascii="Times New Roman" w:hAnsi="Times New Roman"/>
          <w:color w:val="000000" w:themeColor="text1"/>
        </w:rPr>
        <w:t xml:space="preserve">des </w:t>
      </w:r>
      <w:r w:rsidRPr="00260790">
        <w:rPr>
          <w:rFonts w:ascii="Times New Roman" w:hAnsi="Times New Roman"/>
          <w:color w:val="000000" w:themeColor="text1"/>
        </w:rPr>
        <w:t xml:space="preserve">engins sur des voies non bitumées, la préparation du terrain et les travaux (démolition, terrassement, ouverture des tranchées, transport des matériaux…) provoqueront des dégagements de poussières. </w:t>
      </w:r>
    </w:p>
    <w:p w14:paraId="25D88DE4" w14:textId="77777777" w:rsidR="00E66828" w:rsidRPr="00260790" w:rsidRDefault="00E66828" w:rsidP="00E20250">
      <w:pPr>
        <w:pStyle w:val="Tramemoyenne1-Accent21"/>
        <w:rPr>
          <w:rFonts w:ascii="Times New Roman" w:hAnsi="Times New Roman"/>
          <w:color w:val="000000" w:themeColor="text1"/>
        </w:rPr>
      </w:pPr>
    </w:p>
    <w:p w14:paraId="3D791BD1" w14:textId="36B346AE" w:rsidR="00DE241D" w:rsidRPr="00260790" w:rsidRDefault="00DE241D" w:rsidP="00E20250">
      <w:pPr>
        <w:pStyle w:val="Lgende"/>
        <w:spacing w:line="240" w:lineRule="auto"/>
        <w:rPr>
          <w:b/>
          <w:color w:val="000000" w:themeColor="text1"/>
          <w:sz w:val="22"/>
          <w:szCs w:val="22"/>
        </w:rPr>
      </w:pPr>
      <w:bookmarkStart w:id="610" w:name="_Toc207781868"/>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27</w:t>
      </w:r>
      <w:r w:rsidRPr="00260790">
        <w:rPr>
          <w:color w:val="000000" w:themeColor="text1"/>
          <w:sz w:val="22"/>
          <w:szCs w:val="22"/>
        </w:rPr>
        <w:fldChar w:fldCharType="end"/>
      </w:r>
      <w:r w:rsidRPr="00260790">
        <w:rPr>
          <w:color w:val="000000" w:themeColor="text1"/>
          <w:sz w:val="22"/>
          <w:szCs w:val="22"/>
        </w:rPr>
        <w:t> :</w:t>
      </w:r>
      <w:r w:rsidRPr="00260790">
        <w:rPr>
          <w:color w:val="000000" w:themeColor="text1"/>
          <w:spacing w:val="51"/>
          <w:sz w:val="22"/>
          <w:szCs w:val="22"/>
        </w:rPr>
        <w:t xml:space="preserve"> </w:t>
      </w:r>
      <w:r w:rsidRPr="00260790">
        <w:rPr>
          <w:color w:val="000000" w:themeColor="text1"/>
          <w:sz w:val="22"/>
          <w:szCs w:val="22"/>
        </w:rPr>
        <w:t>résumé</w:t>
      </w:r>
      <w:r w:rsidRPr="00260790">
        <w:rPr>
          <w:color w:val="000000" w:themeColor="text1"/>
          <w:spacing w:val="60"/>
          <w:sz w:val="22"/>
          <w:szCs w:val="22"/>
        </w:rPr>
        <w:t xml:space="preserve"> </w:t>
      </w:r>
      <w:r w:rsidRPr="00260790">
        <w:rPr>
          <w:color w:val="000000" w:themeColor="text1"/>
          <w:sz w:val="22"/>
          <w:szCs w:val="22"/>
        </w:rPr>
        <w:t>de</w:t>
      </w:r>
      <w:r w:rsidRPr="00260790">
        <w:rPr>
          <w:color w:val="000000" w:themeColor="text1"/>
          <w:spacing w:val="52"/>
          <w:sz w:val="22"/>
          <w:szCs w:val="22"/>
        </w:rPr>
        <w:t xml:space="preserve"> </w:t>
      </w:r>
      <w:r w:rsidRPr="00260790">
        <w:rPr>
          <w:color w:val="000000" w:themeColor="text1"/>
          <w:sz w:val="22"/>
          <w:szCs w:val="22"/>
        </w:rPr>
        <w:t>l’évaluation</w:t>
      </w:r>
      <w:r w:rsidRPr="00260790">
        <w:rPr>
          <w:color w:val="000000" w:themeColor="text1"/>
          <w:spacing w:val="58"/>
          <w:sz w:val="22"/>
          <w:szCs w:val="22"/>
        </w:rPr>
        <w:t xml:space="preserve"> </w:t>
      </w:r>
      <w:r w:rsidRPr="00260790">
        <w:rPr>
          <w:color w:val="000000" w:themeColor="text1"/>
          <w:sz w:val="22"/>
          <w:szCs w:val="22"/>
        </w:rPr>
        <w:t>de</w:t>
      </w:r>
      <w:r w:rsidRPr="00260790">
        <w:rPr>
          <w:color w:val="000000" w:themeColor="text1"/>
          <w:spacing w:val="60"/>
          <w:sz w:val="22"/>
          <w:szCs w:val="22"/>
        </w:rPr>
        <w:t xml:space="preserve"> </w:t>
      </w:r>
      <w:r w:rsidRPr="00260790">
        <w:rPr>
          <w:color w:val="000000" w:themeColor="text1"/>
          <w:sz w:val="22"/>
          <w:szCs w:val="22"/>
        </w:rPr>
        <w:t>la</w:t>
      </w:r>
      <w:r w:rsidRPr="00260790">
        <w:rPr>
          <w:color w:val="000000" w:themeColor="text1"/>
          <w:spacing w:val="45"/>
          <w:sz w:val="22"/>
          <w:szCs w:val="22"/>
        </w:rPr>
        <w:t xml:space="preserve"> </w:t>
      </w:r>
      <w:r w:rsidRPr="00260790">
        <w:rPr>
          <w:color w:val="000000" w:themeColor="text1"/>
          <w:sz w:val="22"/>
          <w:szCs w:val="22"/>
        </w:rPr>
        <w:t>pollution</w:t>
      </w:r>
      <w:r w:rsidRPr="00260790">
        <w:rPr>
          <w:color w:val="000000" w:themeColor="text1"/>
          <w:spacing w:val="65"/>
          <w:sz w:val="22"/>
          <w:szCs w:val="22"/>
        </w:rPr>
        <w:t xml:space="preserve"> </w:t>
      </w:r>
      <w:r w:rsidRPr="00260790">
        <w:rPr>
          <w:color w:val="000000" w:themeColor="text1"/>
          <w:sz w:val="22"/>
          <w:szCs w:val="22"/>
        </w:rPr>
        <w:t>atmosphérique</w:t>
      </w:r>
      <w:r w:rsidRPr="00260790">
        <w:rPr>
          <w:color w:val="000000" w:themeColor="text1"/>
          <w:spacing w:val="67"/>
          <w:sz w:val="22"/>
          <w:szCs w:val="22"/>
        </w:rPr>
        <w:t xml:space="preserve"> </w:t>
      </w:r>
      <w:r w:rsidRPr="00260790">
        <w:rPr>
          <w:color w:val="000000" w:themeColor="text1"/>
          <w:sz w:val="22"/>
          <w:szCs w:val="22"/>
        </w:rPr>
        <w:t>et</w:t>
      </w:r>
      <w:r w:rsidRPr="00260790">
        <w:rPr>
          <w:color w:val="000000" w:themeColor="text1"/>
          <w:spacing w:val="55"/>
          <w:sz w:val="22"/>
          <w:szCs w:val="22"/>
        </w:rPr>
        <w:t xml:space="preserve"> </w:t>
      </w:r>
      <w:r w:rsidRPr="00260790">
        <w:rPr>
          <w:color w:val="000000" w:themeColor="text1"/>
          <w:sz w:val="22"/>
          <w:szCs w:val="22"/>
        </w:rPr>
        <w:t>des</w:t>
      </w:r>
      <w:r w:rsidRPr="00260790">
        <w:rPr>
          <w:color w:val="000000" w:themeColor="text1"/>
          <w:spacing w:val="60"/>
          <w:sz w:val="22"/>
          <w:szCs w:val="22"/>
        </w:rPr>
        <w:t xml:space="preserve"> </w:t>
      </w:r>
      <w:r w:rsidRPr="00260790">
        <w:rPr>
          <w:color w:val="000000" w:themeColor="text1"/>
          <w:sz w:val="22"/>
          <w:szCs w:val="22"/>
        </w:rPr>
        <w:t>émissions</w:t>
      </w:r>
      <w:r w:rsidRPr="00260790">
        <w:rPr>
          <w:color w:val="000000" w:themeColor="text1"/>
          <w:spacing w:val="60"/>
          <w:sz w:val="22"/>
          <w:szCs w:val="22"/>
        </w:rPr>
        <w:t xml:space="preserve"> </w:t>
      </w:r>
      <w:r w:rsidRPr="00260790">
        <w:rPr>
          <w:color w:val="000000" w:themeColor="text1"/>
          <w:spacing w:val="-5"/>
          <w:sz w:val="22"/>
          <w:szCs w:val="22"/>
        </w:rPr>
        <w:t xml:space="preserve">de </w:t>
      </w:r>
      <w:r w:rsidRPr="00260790">
        <w:rPr>
          <w:color w:val="000000" w:themeColor="text1"/>
          <w:sz w:val="22"/>
          <w:szCs w:val="22"/>
        </w:rPr>
        <w:t>GES</w:t>
      </w:r>
      <w:bookmarkEnd w:id="610"/>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25"/>
        <w:gridCol w:w="1330"/>
        <w:gridCol w:w="237"/>
        <w:gridCol w:w="951"/>
        <w:gridCol w:w="227"/>
        <w:gridCol w:w="1174"/>
        <w:gridCol w:w="82"/>
        <w:gridCol w:w="1489"/>
        <w:gridCol w:w="65"/>
        <w:gridCol w:w="1680"/>
      </w:tblGrid>
      <w:tr w:rsidR="00BD1A2F" w:rsidRPr="00632C4D" w14:paraId="5B047E38" w14:textId="77777777" w:rsidTr="003A0E4A">
        <w:trPr>
          <w:trHeight w:val="234"/>
        </w:trPr>
        <w:tc>
          <w:tcPr>
            <w:tcW w:w="5000" w:type="pct"/>
            <w:gridSpan w:val="10"/>
            <w:shd w:val="clear" w:color="auto" w:fill="D9E2F3" w:themeFill="accent5" w:themeFillTint="33"/>
          </w:tcPr>
          <w:p w14:paraId="6A2CFD76" w14:textId="77777777" w:rsidR="00DE241D" w:rsidRPr="0097258B" w:rsidRDefault="00DE241D" w:rsidP="00E20250">
            <w:pPr>
              <w:pStyle w:val="Default"/>
              <w:overflowPunct w:val="0"/>
              <w:jc w:val="both"/>
              <w:textAlignment w:val="baseline"/>
              <w:rPr>
                <w:rFonts w:ascii="Times New Roman" w:hAnsi="Times New Roman" w:cs="Times New Roman"/>
                <w:b/>
                <w:bCs/>
                <w:color w:val="000000" w:themeColor="text1"/>
                <w:sz w:val="20"/>
                <w:szCs w:val="20"/>
                <w:lang w:val="fr-FR"/>
              </w:rPr>
            </w:pPr>
            <w:r w:rsidRPr="00301AF6">
              <w:rPr>
                <w:rFonts w:ascii="Times New Roman" w:hAnsi="Times New Roman" w:cs="Times New Roman"/>
                <w:b/>
                <w:bCs/>
                <w:color w:val="000000" w:themeColor="text1"/>
                <w:sz w:val="20"/>
                <w:szCs w:val="20"/>
                <w:lang w:val="fr-FR"/>
              </w:rPr>
              <w:t>IN-1. Pollution atmosphérique et émission de gaz à effets de serre</w:t>
            </w:r>
          </w:p>
        </w:tc>
      </w:tr>
      <w:tr w:rsidR="00BD1A2F" w:rsidRPr="00632C4D" w14:paraId="633E88BA" w14:textId="77777777" w:rsidTr="003A0E4A">
        <w:trPr>
          <w:trHeight w:val="58"/>
        </w:trPr>
        <w:tc>
          <w:tcPr>
            <w:tcW w:w="5000" w:type="pct"/>
            <w:gridSpan w:val="10"/>
          </w:tcPr>
          <w:p w14:paraId="566B08D4"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b/>
                <w:bCs/>
                <w:color w:val="000000" w:themeColor="text1"/>
                <w:sz w:val="20"/>
                <w:szCs w:val="20"/>
                <w:lang w:val="fr-FR"/>
              </w:rPr>
              <w:t>Source d’impacts :</w:t>
            </w:r>
            <w:r w:rsidRPr="00301AF6">
              <w:rPr>
                <w:rFonts w:ascii="Times New Roman" w:hAnsi="Times New Roman" w:cs="Times New Roman"/>
                <w:color w:val="000000" w:themeColor="text1"/>
                <w:sz w:val="20"/>
                <w:szCs w:val="20"/>
                <w:lang w:val="fr-FR"/>
              </w:rPr>
              <w:t xml:space="preserve"> transport/circulation, fonctionnement de la machinerie, génie civil</w:t>
            </w:r>
          </w:p>
        </w:tc>
      </w:tr>
      <w:tr w:rsidR="00BD1A2F" w:rsidRPr="00632C4D" w14:paraId="2BF86430" w14:textId="77777777" w:rsidTr="003A0E4A">
        <w:trPr>
          <w:trHeight w:val="232"/>
        </w:trPr>
        <w:tc>
          <w:tcPr>
            <w:tcW w:w="1007" w:type="pct"/>
          </w:tcPr>
          <w:p w14:paraId="71102DFF"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Critère</w:t>
            </w:r>
            <w:proofErr w:type="spellEnd"/>
          </w:p>
        </w:tc>
        <w:tc>
          <w:tcPr>
            <w:tcW w:w="865" w:type="pct"/>
            <w:gridSpan w:val="2"/>
          </w:tcPr>
          <w:p w14:paraId="14C17518"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Intensité</w:t>
            </w:r>
            <w:proofErr w:type="spellEnd"/>
          </w:p>
        </w:tc>
        <w:tc>
          <w:tcPr>
            <w:tcW w:w="650" w:type="pct"/>
            <w:gridSpan w:val="2"/>
          </w:tcPr>
          <w:p w14:paraId="5CB5CB18" w14:textId="199BA26E" w:rsidR="00DE241D" w:rsidRPr="0097258B" w:rsidRDefault="00E23E20"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É</w:t>
            </w:r>
            <w:r w:rsidR="00DE241D" w:rsidRPr="0097258B">
              <w:rPr>
                <w:rFonts w:ascii="Times New Roman" w:hAnsi="Times New Roman" w:cs="Times New Roman"/>
                <w:b/>
                <w:bCs/>
                <w:color w:val="000000" w:themeColor="text1"/>
                <w:sz w:val="20"/>
                <w:szCs w:val="20"/>
              </w:rPr>
              <w:t>tendue</w:t>
            </w:r>
            <w:proofErr w:type="spellEnd"/>
          </w:p>
        </w:tc>
        <w:tc>
          <w:tcPr>
            <w:tcW w:w="648" w:type="pct"/>
          </w:tcPr>
          <w:p w14:paraId="453D4C75"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Durée</w:t>
            </w:r>
          </w:p>
        </w:tc>
        <w:tc>
          <w:tcPr>
            <w:tcW w:w="867" w:type="pct"/>
            <w:gridSpan w:val="2"/>
          </w:tcPr>
          <w:p w14:paraId="5BAAFE31"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Importance</w:t>
            </w:r>
          </w:p>
        </w:tc>
        <w:tc>
          <w:tcPr>
            <w:tcW w:w="963" w:type="pct"/>
            <w:gridSpan w:val="2"/>
          </w:tcPr>
          <w:p w14:paraId="49E687E6" w14:textId="77777777" w:rsidR="00DE241D" w:rsidRPr="0097258B" w:rsidRDefault="00DE241D" w:rsidP="00E20250">
            <w:pPr>
              <w:pStyle w:val="Normaltableau0"/>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Réversibilité</w:t>
            </w:r>
            <w:proofErr w:type="spellEnd"/>
          </w:p>
        </w:tc>
      </w:tr>
      <w:tr w:rsidR="00BD1A2F" w:rsidRPr="00632C4D" w14:paraId="6FE4BE27" w14:textId="77777777" w:rsidTr="003A0E4A">
        <w:trPr>
          <w:trHeight w:val="468"/>
        </w:trPr>
        <w:tc>
          <w:tcPr>
            <w:tcW w:w="1007" w:type="pct"/>
          </w:tcPr>
          <w:p w14:paraId="732852E9"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Sans </w:t>
            </w:r>
            <w:proofErr w:type="spellStart"/>
            <w:r w:rsidRPr="0097258B">
              <w:rPr>
                <w:rFonts w:ascii="Times New Roman" w:hAnsi="Times New Roman" w:cs="Times New Roman"/>
                <w:color w:val="000000" w:themeColor="text1"/>
                <w:sz w:val="20"/>
                <w:szCs w:val="20"/>
              </w:rPr>
              <w:t>atténuation</w:t>
            </w:r>
            <w:proofErr w:type="spellEnd"/>
          </w:p>
        </w:tc>
        <w:tc>
          <w:tcPr>
            <w:tcW w:w="865" w:type="pct"/>
            <w:gridSpan w:val="2"/>
          </w:tcPr>
          <w:p w14:paraId="6D01ADCD"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Moyenne</w:t>
            </w:r>
          </w:p>
        </w:tc>
        <w:tc>
          <w:tcPr>
            <w:tcW w:w="650" w:type="pct"/>
            <w:gridSpan w:val="2"/>
          </w:tcPr>
          <w:p w14:paraId="747586BC"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Locale</w:t>
            </w:r>
          </w:p>
        </w:tc>
        <w:tc>
          <w:tcPr>
            <w:tcW w:w="648" w:type="pct"/>
          </w:tcPr>
          <w:p w14:paraId="5BBEBE7A"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Moyenne</w:t>
            </w:r>
          </w:p>
        </w:tc>
        <w:tc>
          <w:tcPr>
            <w:tcW w:w="867" w:type="pct"/>
            <w:gridSpan w:val="2"/>
            <w:shd w:val="clear" w:color="auto" w:fill="F4B083" w:themeFill="accent2" w:themeFillTint="99"/>
          </w:tcPr>
          <w:p w14:paraId="3F9E229D"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Moyenne</w:t>
            </w:r>
          </w:p>
        </w:tc>
        <w:tc>
          <w:tcPr>
            <w:tcW w:w="963" w:type="pct"/>
            <w:gridSpan w:val="2"/>
          </w:tcPr>
          <w:p w14:paraId="30A2C823" w14:textId="77777777" w:rsidR="00DE241D" w:rsidRPr="0097258B" w:rsidRDefault="00DE241D" w:rsidP="00E20250">
            <w:pPr>
              <w:pStyle w:val="Normaltableau0"/>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Réversible</w:t>
            </w:r>
            <w:proofErr w:type="spellEnd"/>
          </w:p>
        </w:tc>
      </w:tr>
      <w:tr w:rsidR="00BD1A2F" w:rsidRPr="00632C4D" w14:paraId="5D4A7482" w14:textId="77777777" w:rsidTr="003A0E4A">
        <w:trPr>
          <w:trHeight w:val="155"/>
        </w:trPr>
        <w:tc>
          <w:tcPr>
            <w:tcW w:w="1007" w:type="pct"/>
          </w:tcPr>
          <w:p w14:paraId="355FDD66"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
          <w:p w14:paraId="39BD5604"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
          <w:p w14:paraId="2F99A7A1"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d’atténuation</w:t>
            </w:r>
            <w:proofErr w:type="spellEnd"/>
          </w:p>
        </w:tc>
        <w:tc>
          <w:tcPr>
            <w:tcW w:w="3993" w:type="pct"/>
            <w:gridSpan w:val="9"/>
          </w:tcPr>
          <w:p w14:paraId="34C08C9A" w14:textId="77777777" w:rsidR="00DE241D" w:rsidRPr="0097258B" w:rsidRDefault="00DE241D" w:rsidP="001748C6">
            <w:pPr>
              <w:pStyle w:val="Default"/>
              <w:numPr>
                <w:ilvl w:val="0"/>
                <w:numId w:val="297"/>
              </w:numPr>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Limiter les vitesses à 20 km/h en agglomération ;</w:t>
            </w:r>
          </w:p>
          <w:p w14:paraId="59DEC3DD" w14:textId="77777777" w:rsidR="00DE241D" w:rsidRPr="0097258B" w:rsidRDefault="00DE241D" w:rsidP="001748C6">
            <w:pPr>
              <w:pStyle w:val="Default"/>
              <w:numPr>
                <w:ilvl w:val="0"/>
                <w:numId w:val="297"/>
              </w:numPr>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Privilégier les équipements électriques et ceux fonctionnant aux énergies vertes ;</w:t>
            </w:r>
          </w:p>
          <w:p w14:paraId="520CDFE8" w14:textId="77777777" w:rsidR="00DE241D" w:rsidRPr="0097258B" w:rsidRDefault="00DE241D" w:rsidP="001748C6">
            <w:pPr>
              <w:pStyle w:val="Default"/>
              <w:numPr>
                <w:ilvl w:val="0"/>
                <w:numId w:val="297"/>
              </w:numPr>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Arroser les pistes et zones de travail sujettes à des envols de poussières ;</w:t>
            </w:r>
          </w:p>
          <w:p w14:paraId="52F6B354" w14:textId="77777777" w:rsidR="00DE241D" w:rsidRPr="0097258B" w:rsidRDefault="00DE241D" w:rsidP="001748C6">
            <w:pPr>
              <w:pStyle w:val="Default"/>
              <w:numPr>
                <w:ilvl w:val="0"/>
                <w:numId w:val="297"/>
              </w:numPr>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Utiliser des équipements conformes, en bon état et les entretenir régulièrement</w:t>
            </w:r>
          </w:p>
        </w:tc>
      </w:tr>
      <w:tr w:rsidR="00BD1A2F" w:rsidRPr="00632C4D" w14:paraId="0653CBB0" w14:textId="77777777" w:rsidTr="003A0E4A">
        <w:trPr>
          <w:trHeight w:val="461"/>
        </w:trPr>
        <w:tc>
          <w:tcPr>
            <w:tcW w:w="1007" w:type="pct"/>
          </w:tcPr>
          <w:p w14:paraId="0C6474A6"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Avec </w:t>
            </w:r>
            <w:proofErr w:type="spellStart"/>
            <w:r w:rsidRPr="0097258B">
              <w:rPr>
                <w:rFonts w:ascii="Times New Roman" w:hAnsi="Times New Roman" w:cs="Times New Roman"/>
                <w:color w:val="000000" w:themeColor="text1"/>
                <w:sz w:val="20"/>
                <w:szCs w:val="20"/>
              </w:rPr>
              <w:t>atténuation</w:t>
            </w:r>
            <w:proofErr w:type="spellEnd"/>
          </w:p>
        </w:tc>
        <w:tc>
          <w:tcPr>
            <w:tcW w:w="734" w:type="pct"/>
          </w:tcPr>
          <w:p w14:paraId="04DBBA7B"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Faible</w:t>
            </w:r>
            <w:proofErr w:type="spellEnd"/>
          </w:p>
        </w:tc>
        <w:tc>
          <w:tcPr>
            <w:tcW w:w="656" w:type="pct"/>
            <w:gridSpan w:val="2"/>
          </w:tcPr>
          <w:p w14:paraId="7C8DC0AB"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Ponctuelle</w:t>
            </w:r>
            <w:proofErr w:type="spellEnd"/>
          </w:p>
        </w:tc>
        <w:tc>
          <w:tcPr>
            <w:tcW w:w="818" w:type="pct"/>
            <w:gridSpan w:val="3"/>
          </w:tcPr>
          <w:p w14:paraId="652564F8"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Courte</w:t>
            </w:r>
          </w:p>
        </w:tc>
        <w:tc>
          <w:tcPr>
            <w:tcW w:w="858" w:type="pct"/>
            <w:gridSpan w:val="2"/>
            <w:shd w:val="clear" w:color="auto" w:fill="FFFF00"/>
          </w:tcPr>
          <w:p w14:paraId="669F59E1"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Mineure</w:t>
            </w:r>
            <w:proofErr w:type="spellEnd"/>
            <w:r w:rsidRPr="0097258B">
              <w:rPr>
                <w:rFonts w:ascii="Times New Roman" w:hAnsi="Times New Roman" w:cs="Times New Roman"/>
                <w:b/>
                <w:bCs/>
                <w:color w:val="000000" w:themeColor="text1"/>
                <w:sz w:val="20"/>
                <w:szCs w:val="20"/>
              </w:rPr>
              <w:t xml:space="preserve"> </w:t>
            </w:r>
          </w:p>
        </w:tc>
        <w:tc>
          <w:tcPr>
            <w:tcW w:w="927" w:type="pct"/>
          </w:tcPr>
          <w:p w14:paraId="0A47FA23" w14:textId="77777777" w:rsidR="00DE241D" w:rsidRPr="0097258B" w:rsidRDefault="00DE241D" w:rsidP="00E20250">
            <w:pPr>
              <w:pStyle w:val="TableParagraph"/>
              <w:rPr>
                <w:color w:val="000000" w:themeColor="text1"/>
                <w:sz w:val="20"/>
                <w:szCs w:val="20"/>
                <w:lang w:val="fr-FR"/>
              </w:rPr>
            </w:pPr>
          </w:p>
        </w:tc>
      </w:tr>
    </w:tbl>
    <w:p w14:paraId="57B9D08A" w14:textId="77777777" w:rsidR="00DE241D" w:rsidRPr="00260790" w:rsidRDefault="00DE241D" w:rsidP="00E20250">
      <w:pPr>
        <w:pStyle w:val="Tramemoyenne1-Accent21"/>
        <w:rPr>
          <w:rFonts w:ascii="Times New Roman" w:hAnsi="Times New Roman"/>
          <w:color w:val="000000" w:themeColor="text1"/>
        </w:rPr>
      </w:pPr>
    </w:p>
    <w:p w14:paraId="0E82216B" w14:textId="77777777" w:rsidR="00DE241D" w:rsidRPr="00260790" w:rsidRDefault="00DE241D" w:rsidP="001748C6">
      <w:pPr>
        <w:pStyle w:val="Corpsdetexte"/>
        <w:numPr>
          <w:ilvl w:val="0"/>
          <w:numId w:val="299"/>
        </w:numPr>
        <w:pBdr>
          <w:top w:val="none" w:sz="0" w:space="0" w:color="auto"/>
          <w:left w:val="none" w:sz="0" w:space="0" w:color="auto"/>
          <w:bottom w:val="none" w:sz="0" w:space="0" w:color="auto"/>
          <w:right w:val="none" w:sz="0" w:space="0" w:color="auto"/>
        </w:pBdr>
        <w:shd w:val="clear" w:color="auto" w:fill="auto"/>
        <w:tabs>
          <w:tab w:val="clear" w:pos="4393"/>
        </w:tabs>
        <w:spacing w:before="10"/>
        <w:jc w:val="both"/>
        <w:rPr>
          <w:b w:val="0"/>
          <w:i/>
          <w:iCs/>
          <w:color w:val="000000" w:themeColor="text1"/>
          <w:sz w:val="22"/>
          <w:szCs w:val="22"/>
        </w:rPr>
      </w:pPr>
      <w:r w:rsidRPr="00260790">
        <w:rPr>
          <w:i/>
          <w:iCs/>
          <w:color w:val="000000" w:themeColor="text1"/>
          <w:sz w:val="22"/>
          <w:szCs w:val="22"/>
        </w:rPr>
        <w:t>IN-2. Modification de l’ambiance sonore</w:t>
      </w:r>
    </w:p>
    <w:p w14:paraId="3148ACD6" w14:textId="77777777" w:rsidR="00DE241D" w:rsidRPr="00260790" w:rsidRDefault="00DE241D" w:rsidP="00E20250">
      <w:pPr>
        <w:pStyle w:val="Tramemoyenne1-Accent21"/>
        <w:rPr>
          <w:rFonts w:ascii="Times New Roman" w:hAnsi="Times New Roman"/>
          <w:color w:val="000000" w:themeColor="text1"/>
        </w:rPr>
      </w:pPr>
    </w:p>
    <w:p w14:paraId="4C1B529A" w14:textId="77777777" w:rsidR="00DE241D" w:rsidRDefault="00DE241D" w:rsidP="00E20250">
      <w:pPr>
        <w:pStyle w:val="Tramemoyenne1-Accent21"/>
        <w:rPr>
          <w:rFonts w:ascii="Times New Roman" w:hAnsi="Times New Roman"/>
          <w:bCs/>
          <w:color w:val="000000" w:themeColor="text1"/>
        </w:rPr>
      </w:pPr>
      <w:r w:rsidRPr="00260790">
        <w:rPr>
          <w:rFonts w:ascii="Times New Roman" w:hAnsi="Times New Roman"/>
          <w:bCs/>
          <w:color w:val="000000" w:themeColor="text1"/>
        </w:rPr>
        <w:t>Le fonctionnement de la machinerie tout comme les démolitions s’accompagnera d’émissions sonores qui perturberont temporairement et localement l’ambiance sonore.</w:t>
      </w:r>
    </w:p>
    <w:p w14:paraId="3EBDFF52" w14:textId="77777777" w:rsidR="001108C4" w:rsidRPr="00260790" w:rsidRDefault="001108C4" w:rsidP="00E20250">
      <w:pPr>
        <w:pStyle w:val="Tramemoyenne1-Accent21"/>
        <w:rPr>
          <w:rFonts w:ascii="Times New Roman" w:hAnsi="Times New Roman"/>
          <w:bCs/>
          <w:color w:val="000000" w:themeColor="text1"/>
        </w:rPr>
      </w:pPr>
    </w:p>
    <w:p w14:paraId="4F3CB503" w14:textId="45458AFC" w:rsidR="00DE241D" w:rsidRPr="0097258B" w:rsidRDefault="001108C4" w:rsidP="00E20250">
      <w:pPr>
        <w:pStyle w:val="Lgende"/>
        <w:keepNext/>
        <w:spacing w:line="240" w:lineRule="auto"/>
        <w:rPr>
          <w:bCs/>
          <w:color w:val="000000" w:themeColor="text1"/>
          <w:sz w:val="22"/>
          <w:szCs w:val="22"/>
        </w:rPr>
      </w:pPr>
      <w:r>
        <w:rPr>
          <w:b/>
          <w:bCs/>
          <w:color w:val="000000" w:themeColor="text1"/>
        </w:rPr>
        <w:t>\</w:t>
      </w:r>
      <w:bookmarkStart w:id="611" w:name="_Toc207781869"/>
      <w:r w:rsidR="00DE241D" w:rsidRPr="0097258B">
        <w:rPr>
          <w:bCs/>
          <w:color w:val="000000" w:themeColor="text1"/>
          <w:sz w:val="22"/>
          <w:szCs w:val="22"/>
        </w:rPr>
        <w:t xml:space="preserve">Tableau </w:t>
      </w:r>
      <w:r w:rsidR="00DE241D" w:rsidRPr="0097258B">
        <w:rPr>
          <w:bCs/>
          <w:color w:val="000000" w:themeColor="text1"/>
          <w:sz w:val="22"/>
          <w:szCs w:val="22"/>
        </w:rPr>
        <w:fldChar w:fldCharType="begin"/>
      </w:r>
      <w:r w:rsidR="00DE241D" w:rsidRPr="0097258B">
        <w:rPr>
          <w:bCs/>
          <w:color w:val="000000" w:themeColor="text1"/>
          <w:sz w:val="22"/>
          <w:szCs w:val="22"/>
        </w:rPr>
        <w:instrText xml:space="preserve"> SEQ Tableau \* ARABIC </w:instrText>
      </w:r>
      <w:r w:rsidR="00DE241D" w:rsidRPr="0097258B">
        <w:rPr>
          <w:bCs/>
          <w:color w:val="000000" w:themeColor="text1"/>
          <w:sz w:val="22"/>
          <w:szCs w:val="22"/>
        </w:rPr>
        <w:fldChar w:fldCharType="separate"/>
      </w:r>
      <w:r w:rsidR="003C783E">
        <w:rPr>
          <w:bCs/>
          <w:noProof/>
          <w:color w:val="000000" w:themeColor="text1"/>
          <w:sz w:val="22"/>
          <w:szCs w:val="22"/>
        </w:rPr>
        <w:t>28</w:t>
      </w:r>
      <w:r w:rsidR="00DE241D" w:rsidRPr="0097258B">
        <w:rPr>
          <w:bCs/>
          <w:color w:val="000000" w:themeColor="text1"/>
          <w:sz w:val="22"/>
          <w:szCs w:val="22"/>
        </w:rPr>
        <w:fldChar w:fldCharType="end"/>
      </w:r>
      <w:r w:rsidR="00DE241D" w:rsidRPr="0097258B">
        <w:rPr>
          <w:bCs/>
          <w:color w:val="000000" w:themeColor="text1"/>
          <w:sz w:val="22"/>
          <w:szCs w:val="22"/>
        </w:rPr>
        <w:t> : résumé de l’analyse de la Modification de l’ambiance sonore</w:t>
      </w:r>
      <w:bookmarkEnd w:id="611"/>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25"/>
        <w:gridCol w:w="1330"/>
        <w:gridCol w:w="237"/>
        <w:gridCol w:w="951"/>
        <w:gridCol w:w="227"/>
        <w:gridCol w:w="1174"/>
        <w:gridCol w:w="82"/>
        <w:gridCol w:w="1489"/>
        <w:gridCol w:w="129"/>
        <w:gridCol w:w="1616"/>
      </w:tblGrid>
      <w:tr w:rsidR="00BD1A2F" w:rsidRPr="00632C4D" w14:paraId="7BF9F0BB" w14:textId="77777777" w:rsidTr="00E11CFD">
        <w:trPr>
          <w:trHeight w:val="234"/>
        </w:trPr>
        <w:tc>
          <w:tcPr>
            <w:tcW w:w="5000" w:type="pct"/>
            <w:gridSpan w:val="10"/>
          </w:tcPr>
          <w:p w14:paraId="66F91079" w14:textId="77777777" w:rsidR="00DE241D" w:rsidRPr="0097258B" w:rsidRDefault="00DE241D" w:rsidP="00E20250">
            <w:pPr>
              <w:pStyle w:val="Tramemoyenne1-Accent21"/>
              <w:rPr>
                <w:rFonts w:ascii="Times New Roman" w:hAnsi="Times New Roman"/>
                <w:b/>
                <w:bCs/>
                <w:color w:val="000000" w:themeColor="text1"/>
                <w:sz w:val="20"/>
                <w:szCs w:val="20"/>
                <w:lang w:val="fr-FR"/>
              </w:rPr>
            </w:pPr>
            <w:r w:rsidRPr="00301AF6">
              <w:rPr>
                <w:rFonts w:ascii="Times New Roman" w:hAnsi="Times New Roman"/>
                <w:b/>
                <w:bCs/>
                <w:color w:val="000000" w:themeColor="text1"/>
                <w:sz w:val="20"/>
                <w:szCs w:val="20"/>
                <w:lang w:val="fr-FR"/>
              </w:rPr>
              <w:t>IN-2. Modification de l’ambiance sonore</w:t>
            </w:r>
          </w:p>
        </w:tc>
      </w:tr>
      <w:tr w:rsidR="00BD1A2F" w:rsidRPr="00632C4D" w14:paraId="7F391837" w14:textId="77777777" w:rsidTr="003A0E4A">
        <w:trPr>
          <w:trHeight w:val="58"/>
        </w:trPr>
        <w:tc>
          <w:tcPr>
            <w:tcW w:w="5000" w:type="pct"/>
            <w:gridSpan w:val="10"/>
          </w:tcPr>
          <w:p w14:paraId="3E954306"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b/>
                <w:bCs/>
                <w:color w:val="000000" w:themeColor="text1"/>
                <w:sz w:val="20"/>
                <w:szCs w:val="20"/>
                <w:lang w:val="fr-FR"/>
              </w:rPr>
              <w:t>Source d’impacts :</w:t>
            </w:r>
            <w:r w:rsidRPr="00301AF6">
              <w:rPr>
                <w:rFonts w:ascii="Times New Roman" w:hAnsi="Times New Roman" w:cs="Times New Roman"/>
                <w:color w:val="000000" w:themeColor="text1"/>
                <w:sz w:val="20"/>
                <w:szCs w:val="20"/>
                <w:lang w:val="fr-FR"/>
              </w:rPr>
              <w:t xml:space="preserve"> transport/circulation, fonctionnement de la machinerie, travaux </w:t>
            </w:r>
          </w:p>
        </w:tc>
      </w:tr>
      <w:tr w:rsidR="00BD1A2F" w:rsidRPr="00632C4D" w14:paraId="7900F065" w14:textId="77777777" w:rsidTr="003A0E4A">
        <w:trPr>
          <w:trHeight w:val="58"/>
        </w:trPr>
        <w:tc>
          <w:tcPr>
            <w:tcW w:w="1007" w:type="pct"/>
          </w:tcPr>
          <w:p w14:paraId="4C62EA6B"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Critère</w:t>
            </w:r>
            <w:proofErr w:type="spellEnd"/>
          </w:p>
        </w:tc>
        <w:tc>
          <w:tcPr>
            <w:tcW w:w="865" w:type="pct"/>
            <w:gridSpan w:val="2"/>
          </w:tcPr>
          <w:p w14:paraId="09C7EF34"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Intensité</w:t>
            </w:r>
            <w:proofErr w:type="spellEnd"/>
          </w:p>
        </w:tc>
        <w:tc>
          <w:tcPr>
            <w:tcW w:w="650" w:type="pct"/>
            <w:gridSpan w:val="2"/>
          </w:tcPr>
          <w:p w14:paraId="563059AF" w14:textId="02B3167A" w:rsidR="00DE241D" w:rsidRPr="0097258B" w:rsidRDefault="00E23E20"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É</w:t>
            </w:r>
            <w:r w:rsidR="00DE241D" w:rsidRPr="0097258B">
              <w:rPr>
                <w:rFonts w:ascii="Times New Roman" w:hAnsi="Times New Roman" w:cs="Times New Roman"/>
                <w:b/>
                <w:bCs/>
                <w:color w:val="000000" w:themeColor="text1"/>
                <w:sz w:val="20"/>
                <w:szCs w:val="20"/>
              </w:rPr>
              <w:t>tendue</w:t>
            </w:r>
            <w:proofErr w:type="spellEnd"/>
          </w:p>
        </w:tc>
        <w:tc>
          <w:tcPr>
            <w:tcW w:w="648" w:type="pct"/>
          </w:tcPr>
          <w:p w14:paraId="17ED6678"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Durée</w:t>
            </w:r>
          </w:p>
        </w:tc>
        <w:tc>
          <w:tcPr>
            <w:tcW w:w="867" w:type="pct"/>
            <w:gridSpan w:val="2"/>
          </w:tcPr>
          <w:p w14:paraId="0980BF8C"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Importance</w:t>
            </w:r>
          </w:p>
        </w:tc>
        <w:tc>
          <w:tcPr>
            <w:tcW w:w="963" w:type="pct"/>
            <w:gridSpan w:val="2"/>
          </w:tcPr>
          <w:p w14:paraId="2B4108F2" w14:textId="77777777" w:rsidR="00DE241D" w:rsidRPr="0097258B" w:rsidRDefault="00DE241D" w:rsidP="00E20250">
            <w:pPr>
              <w:pStyle w:val="Normaltableau0"/>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Réversibilité</w:t>
            </w:r>
            <w:proofErr w:type="spellEnd"/>
          </w:p>
        </w:tc>
      </w:tr>
      <w:tr w:rsidR="00BD1A2F" w:rsidRPr="00632C4D" w14:paraId="193EF523" w14:textId="77777777" w:rsidTr="003A0E4A">
        <w:trPr>
          <w:trHeight w:val="58"/>
        </w:trPr>
        <w:tc>
          <w:tcPr>
            <w:tcW w:w="1007" w:type="pct"/>
          </w:tcPr>
          <w:p w14:paraId="341353A5"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Sans </w:t>
            </w:r>
            <w:proofErr w:type="spellStart"/>
            <w:r w:rsidRPr="0097258B">
              <w:rPr>
                <w:rFonts w:ascii="Times New Roman" w:hAnsi="Times New Roman" w:cs="Times New Roman"/>
                <w:color w:val="000000" w:themeColor="text1"/>
                <w:sz w:val="20"/>
                <w:szCs w:val="20"/>
              </w:rPr>
              <w:t>atténuation</w:t>
            </w:r>
            <w:proofErr w:type="spellEnd"/>
          </w:p>
        </w:tc>
        <w:tc>
          <w:tcPr>
            <w:tcW w:w="865" w:type="pct"/>
            <w:gridSpan w:val="2"/>
          </w:tcPr>
          <w:p w14:paraId="647CABA5"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Moyenne</w:t>
            </w:r>
          </w:p>
        </w:tc>
        <w:tc>
          <w:tcPr>
            <w:tcW w:w="650" w:type="pct"/>
            <w:gridSpan w:val="2"/>
          </w:tcPr>
          <w:p w14:paraId="1DD1B674"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Locale</w:t>
            </w:r>
          </w:p>
        </w:tc>
        <w:tc>
          <w:tcPr>
            <w:tcW w:w="648" w:type="pct"/>
          </w:tcPr>
          <w:p w14:paraId="11514DFF"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Moyenne</w:t>
            </w:r>
          </w:p>
        </w:tc>
        <w:tc>
          <w:tcPr>
            <w:tcW w:w="867" w:type="pct"/>
            <w:gridSpan w:val="2"/>
            <w:shd w:val="clear" w:color="auto" w:fill="F4B083" w:themeFill="accent2" w:themeFillTint="99"/>
          </w:tcPr>
          <w:p w14:paraId="7729D88B"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Moyenne</w:t>
            </w:r>
          </w:p>
        </w:tc>
        <w:tc>
          <w:tcPr>
            <w:tcW w:w="963" w:type="pct"/>
            <w:gridSpan w:val="2"/>
          </w:tcPr>
          <w:p w14:paraId="1B655372" w14:textId="77777777" w:rsidR="00DE241D" w:rsidRPr="0097258B" w:rsidRDefault="00DE241D" w:rsidP="00E20250">
            <w:pPr>
              <w:pStyle w:val="Normaltableau0"/>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Réversible</w:t>
            </w:r>
            <w:proofErr w:type="spellEnd"/>
          </w:p>
        </w:tc>
      </w:tr>
      <w:tr w:rsidR="00BD1A2F" w:rsidRPr="00632C4D" w14:paraId="31B9C689" w14:textId="77777777" w:rsidTr="003A0E4A">
        <w:trPr>
          <w:trHeight w:val="365"/>
        </w:trPr>
        <w:tc>
          <w:tcPr>
            <w:tcW w:w="1007" w:type="pct"/>
          </w:tcPr>
          <w:p w14:paraId="1F4F0673"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
          <w:p w14:paraId="35B72F3D"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d’atténuation</w:t>
            </w:r>
            <w:proofErr w:type="spellEnd"/>
          </w:p>
        </w:tc>
        <w:tc>
          <w:tcPr>
            <w:tcW w:w="3993" w:type="pct"/>
            <w:gridSpan w:val="9"/>
          </w:tcPr>
          <w:p w14:paraId="4F9BF93F" w14:textId="1FA93FE6" w:rsidR="00DE241D" w:rsidRPr="0097258B" w:rsidRDefault="00DE241D" w:rsidP="001748C6">
            <w:pPr>
              <w:pStyle w:val="Default"/>
              <w:numPr>
                <w:ilvl w:val="0"/>
                <w:numId w:val="297"/>
              </w:numPr>
              <w:overflowPunct w:val="0"/>
              <w:ind w:right="113"/>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Utilisant les équipements les plus performant</w:t>
            </w:r>
            <w:r w:rsidR="00204603" w:rsidRPr="00301AF6">
              <w:rPr>
                <w:rFonts w:ascii="Times New Roman" w:hAnsi="Times New Roman" w:cs="Times New Roman"/>
                <w:color w:val="000000" w:themeColor="text1"/>
                <w:sz w:val="20"/>
                <w:szCs w:val="20"/>
                <w:lang w:val="fr-FR"/>
              </w:rPr>
              <w:t>s</w:t>
            </w:r>
            <w:r w:rsidRPr="00301AF6">
              <w:rPr>
                <w:rFonts w:ascii="Times New Roman" w:hAnsi="Times New Roman" w:cs="Times New Roman"/>
                <w:color w:val="000000" w:themeColor="text1"/>
                <w:sz w:val="20"/>
                <w:szCs w:val="20"/>
                <w:lang w:val="fr-FR"/>
              </w:rPr>
              <w:t xml:space="preserve"> en termes de réductions des émissions sonores ;</w:t>
            </w:r>
          </w:p>
          <w:p w14:paraId="3D954449" w14:textId="77777777" w:rsidR="00DE241D" w:rsidRPr="0097258B" w:rsidRDefault="00DE241D" w:rsidP="001748C6">
            <w:pPr>
              <w:pStyle w:val="Default"/>
              <w:numPr>
                <w:ilvl w:val="0"/>
                <w:numId w:val="297"/>
              </w:numPr>
              <w:overflowPunct w:val="0"/>
              <w:ind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 xml:space="preserve">Veiller au respect strict des seuils sonores admis. </w:t>
            </w:r>
          </w:p>
          <w:p w14:paraId="1DF77AA5" w14:textId="0A5F798C" w:rsidR="00960071" w:rsidRPr="0097258B" w:rsidRDefault="00960071" w:rsidP="001748C6">
            <w:pPr>
              <w:pStyle w:val="Default"/>
              <w:numPr>
                <w:ilvl w:val="0"/>
                <w:numId w:val="297"/>
              </w:numPr>
              <w:overflowPunct w:val="0"/>
              <w:ind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 xml:space="preserve">Doter </w:t>
            </w:r>
            <w:r w:rsidR="00292075" w:rsidRPr="00301AF6">
              <w:rPr>
                <w:rFonts w:ascii="Times New Roman" w:hAnsi="Times New Roman" w:cs="Times New Roman"/>
                <w:color w:val="000000" w:themeColor="text1"/>
                <w:sz w:val="20"/>
                <w:szCs w:val="20"/>
                <w:lang w:val="fr-FR"/>
              </w:rPr>
              <w:t>des casques anti bruit aux travailleurs au besoin</w:t>
            </w:r>
          </w:p>
          <w:p w14:paraId="2DB5C7AB" w14:textId="6994EDA2" w:rsidR="00292075" w:rsidRPr="0097258B" w:rsidRDefault="00D93251" w:rsidP="001748C6">
            <w:pPr>
              <w:pStyle w:val="Default"/>
              <w:numPr>
                <w:ilvl w:val="0"/>
                <w:numId w:val="297"/>
              </w:numPr>
              <w:overflowPunct w:val="0"/>
              <w:ind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Sensibiliser les populations et éviter les travaux en dehors des horaires de travail</w:t>
            </w:r>
          </w:p>
        </w:tc>
      </w:tr>
      <w:tr w:rsidR="00BD1A2F" w:rsidRPr="00632C4D" w14:paraId="4B3E6EF8" w14:textId="77777777" w:rsidTr="003A0E4A">
        <w:trPr>
          <w:trHeight w:val="101"/>
        </w:trPr>
        <w:tc>
          <w:tcPr>
            <w:tcW w:w="1007" w:type="pct"/>
          </w:tcPr>
          <w:p w14:paraId="3F024053"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Avec </w:t>
            </w:r>
            <w:proofErr w:type="spellStart"/>
            <w:r w:rsidRPr="0097258B">
              <w:rPr>
                <w:rFonts w:ascii="Times New Roman" w:hAnsi="Times New Roman" w:cs="Times New Roman"/>
                <w:color w:val="000000" w:themeColor="text1"/>
                <w:sz w:val="20"/>
                <w:szCs w:val="20"/>
              </w:rPr>
              <w:t>atténuation</w:t>
            </w:r>
            <w:proofErr w:type="spellEnd"/>
          </w:p>
        </w:tc>
        <w:tc>
          <w:tcPr>
            <w:tcW w:w="734" w:type="pct"/>
          </w:tcPr>
          <w:p w14:paraId="546A7FBA"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Faible</w:t>
            </w:r>
            <w:proofErr w:type="spellEnd"/>
          </w:p>
        </w:tc>
        <w:tc>
          <w:tcPr>
            <w:tcW w:w="656" w:type="pct"/>
            <w:gridSpan w:val="2"/>
          </w:tcPr>
          <w:p w14:paraId="14B2D8AA"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Ponctuelle</w:t>
            </w:r>
            <w:proofErr w:type="spellEnd"/>
          </w:p>
        </w:tc>
        <w:tc>
          <w:tcPr>
            <w:tcW w:w="818" w:type="pct"/>
            <w:gridSpan w:val="3"/>
          </w:tcPr>
          <w:p w14:paraId="2C2EC049"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Courte</w:t>
            </w:r>
          </w:p>
        </w:tc>
        <w:tc>
          <w:tcPr>
            <w:tcW w:w="893" w:type="pct"/>
            <w:gridSpan w:val="2"/>
            <w:shd w:val="clear" w:color="auto" w:fill="FFFF00"/>
          </w:tcPr>
          <w:p w14:paraId="189371C9"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Mineure</w:t>
            </w:r>
            <w:proofErr w:type="spellEnd"/>
          </w:p>
        </w:tc>
        <w:tc>
          <w:tcPr>
            <w:tcW w:w="892" w:type="pct"/>
          </w:tcPr>
          <w:p w14:paraId="6B80E783" w14:textId="77777777" w:rsidR="00DE241D" w:rsidRPr="0097258B" w:rsidRDefault="00DE241D" w:rsidP="00E20250">
            <w:pPr>
              <w:pStyle w:val="TableParagraph"/>
              <w:rPr>
                <w:color w:val="000000" w:themeColor="text1"/>
                <w:sz w:val="20"/>
                <w:szCs w:val="20"/>
                <w:lang w:val="fr-FR"/>
              </w:rPr>
            </w:pPr>
          </w:p>
        </w:tc>
      </w:tr>
    </w:tbl>
    <w:p w14:paraId="28E236A6" w14:textId="77777777" w:rsidR="00DE241D" w:rsidRPr="00260790" w:rsidRDefault="00DE241D" w:rsidP="001748C6">
      <w:pPr>
        <w:pStyle w:val="Paragraphedeliste"/>
        <w:numPr>
          <w:ilvl w:val="0"/>
          <w:numId w:val="307"/>
        </w:numPr>
        <w:spacing w:after="0" w:line="240" w:lineRule="auto"/>
        <w:jc w:val="both"/>
        <w:rPr>
          <w:rFonts w:ascii="Times New Roman" w:hAnsi="Times New Roman"/>
          <w:b/>
          <w:i/>
          <w:color w:val="000000" w:themeColor="text1"/>
        </w:rPr>
      </w:pPr>
      <w:r w:rsidRPr="00260790">
        <w:rPr>
          <w:rFonts w:ascii="Times New Roman" w:hAnsi="Times New Roman"/>
          <w:b/>
          <w:i/>
          <w:color w:val="000000" w:themeColor="text1"/>
        </w:rPr>
        <w:t>IN-3. Modification du paysage</w:t>
      </w:r>
    </w:p>
    <w:p w14:paraId="09574CC2" w14:textId="77777777" w:rsidR="00DE241D" w:rsidRPr="00260790" w:rsidRDefault="00DE241D" w:rsidP="00E20250">
      <w:pPr>
        <w:spacing w:line="240" w:lineRule="auto"/>
        <w:jc w:val="both"/>
        <w:rPr>
          <w:rFonts w:ascii="Times New Roman" w:hAnsi="Times New Roman"/>
          <w:bCs/>
          <w:iCs/>
          <w:color w:val="000000" w:themeColor="text1"/>
        </w:rPr>
      </w:pPr>
      <w:r w:rsidRPr="00260790">
        <w:rPr>
          <w:rFonts w:ascii="Times New Roman" w:hAnsi="Times New Roman"/>
          <w:bCs/>
          <w:iCs/>
          <w:color w:val="000000" w:themeColor="text1"/>
        </w:rPr>
        <w:t>La mise en œuvre du projet comprendra un certain nombre d’activités qui modifieront le paysage.</w:t>
      </w:r>
    </w:p>
    <w:p w14:paraId="752868C5" w14:textId="77777777" w:rsidR="00DE241D" w:rsidRPr="00260790" w:rsidRDefault="00DE241D" w:rsidP="00E20250">
      <w:pPr>
        <w:spacing w:line="240" w:lineRule="auto"/>
        <w:jc w:val="both"/>
        <w:rPr>
          <w:rFonts w:ascii="Times New Roman" w:hAnsi="Times New Roman"/>
          <w:bCs/>
          <w:iCs/>
          <w:color w:val="000000" w:themeColor="text1"/>
        </w:rPr>
      </w:pPr>
      <w:r w:rsidRPr="00260790">
        <w:rPr>
          <w:rFonts w:ascii="Times New Roman" w:hAnsi="Times New Roman"/>
          <w:bCs/>
          <w:iCs/>
          <w:color w:val="000000" w:themeColor="text1"/>
        </w:rPr>
        <w:t>Il s’agit de :</w:t>
      </w:r>
    </w:p>
    <w:p w14:paraId="2A48338C" w14:textId="77777777" w:rsidR="00DE241D" w:rsidRPr="00260790" w:rsidRDefault="00DE241D" w:rsidP="001748C6">
      <w:pPr>
        <w:pStyle w:val="Paragraphedeliste"/>
        <w:numPr>
          <w:ilvl w:val="0"/>
          <w:numId w:val="352"/>
        </w:numPr>
        <w:spacing w:after="0" w:line="240" w:lineRule="auto"/>
        <w:jc w:val="both"/>
        <w:rPr>
          <w:rFonts w:ascii="Times New Roman" w:hAnsi="Times New Roman"/>
          <w:bCs/>
          <w:iCs/>
          <w:color w:val="000000" w:themeColor="text1"/>
        </w:rPr>
      </w:pPr>
      <w:r w:rsidRPr="00260790">
        <w:rPr>
          <w:rFonts w:ascii="Times New Roman" w:hAnsi="Times New Roman"/>
          <w:bCs/>
          <w:iCs/>
          <w:color w:val="000000" w:themeColor="text1"/>
        </w:rPr>
        <w:t>La suppression et du stockage de matière végétale des emprises ;</w:t>
      </w:r>
    </w:p>
    <w:p w14:paraId="2EEE3D94" w14:textId="77777777" w:rsidR="00DE241D" w:rsidRPr="00260790" w:rsidRDefault="00DE241D" w:rsidP="001748C6">
      <w:pPr>
        <w:pStyle w:val="Paragraphedeliste"/>
        <w:numPr>
          <w:ilvl w:val="0"/>
          <w:numId w:val="352"/>
        </w:numPr>
        <w:spacing w:after="0" w:line="240" w:lineRule="auto"/>
        <w:jc w:val="both"/>
        <w:rPr>
          <w:rFonts w:ascii="Times New Roman" w:hAnsi="Times New Roman"/>
          <w:bCs/>
          <w:iCs/>
          <w:color w:val="000000" w:themeColor="text1"/>
        </w:rPr>
      </w:pPr>
      <w:r w:rsidRPr="00260790">
        <w:rPr>
          <w:rFonts w:ascii="Times New Roman" w:hAnsi="Times New Roman"/>
          <w:bCs/>
          <w:iCs/>
          <w:color w:val="000000" w:themeColor="text1"/>
        </w:rPr>
        <w:t>Le faucardage de la végétation du marigot de Mbao ;</w:t>
      </w:r>
    </w:p>
    <w:p w14:paraId="04BD27B1" w14:textId="77777777" w:rsidR="00DE241D" w:rsidRPr="00260790" w:rsidRDefault="00DE241D" w:rsidP="001748C6">
      <w:pPr>
        <w:pStyle w:val="Paragraphedeliste"/>
        <w:numPr>
          <w:ilvl w:val="0"/>
          <w:numId w:val="352"/>
        </w:numPr>
        <w:spacing w:after="0" w:line="240" w:lineRule="auto"/>
        <w:jc w:val="both"/>
        <w:rPr>
          <w:rFonts w:ascii="Times New Roman" w:hAnsi="Times New Roman"/>
          <w:bCs/>
          <w:iCs/>
          <w:color w:val="000000" w:themeColor="text1"/>
        </w:rPr>
      </w:pPr>
      <w:r w:rsidRPr="00260790">
        <w:rPr>
          <w:rFonts w:ascii="Times New Roman" w:hAnsi="Times New Roman"/>
          <w:bCs/>
          <w:iCs/>
          <w:color w:val="000000" w:themeColor="text1"/>
        </w:rPr>
        <w:t>La mise en dépôt des déblais que généreront le décapage du sol des emprises ;</w:t>
      </w:r>
    </w:p>
    <w:p w14:paraId="67A86B5E" w14:textId="3AA71A48" w:rsidR="00DE241D" w:rsidRPr="00260790" w:rsidRDefault="00DE241D" w:rsidP="001748C6">
      <w:pPr>
        <w:pStyle w:val="Paragraphedeliste"/>
        <w:numPr>
          <w:ilvl w:val="0"/>
          <w:numId w:val="352"/>
        </w:numPr>
        <w:spacing w:after="0" w:line="240" w:lineRule="auto"/>
        <w:jc w:val="both"/>
        <w:rPr>
          <w:rFonts w:ascii="Times New Roman" w:hAnsi="Times New Roman"/>
          <w:bCs/>
          <w:iCs/>
          <w:color w:val="000000" w:themeColor="text1"/>
        </w:rPr>
      </w:pPr>
      <w:r w:rsidRPr="00260790">
        <w:rPr>
          <w:rFonts w:ascii="Times New Roman" w:hAnsi="Times New Roman"/>
          <w:bCs/>
          <w:iCs/>
          <w:color w:val="000000" w:themeColor="text1"/>
        </w:rPr>
        <w:t>Des cordons de déblais le long des tranchées qui seront ouverte</w:t>
      </w:r>
      <w:r w:rsidR="00204603" w:rsidRPr="00260790">
        <w:rPr>
          <w:rFonts w:ascii="Times New Roman" w:hAnsi="Times New Roman"/>
          <w:bCs/>
          <w:iCs/>
          <w:color w:val="000000" w:themeColor="text1"/>
        </w:rPr>
        <w:t>s</w:t>
      </w:r>
      <w:r w:rsidRPr="00260790">
        <w:rPr>
          <w:rFonts w:ascii="Times New Roman" w:hAnsi="Times New Roman"/>
          <w:bCs/>
          <w:iCs/>
          <w:color w:val="000000" w:themeColor="text1"/>
        </w:rPr>
        <w:t xml:space="preserve"> dans le cadre de l’aménagement des collecteurs ;</w:t>
      </w:r>
    </w:p>
    <w:p w14:paraId="432BEC96" w14:textId="77777777" w:rsidR="00DE241D" w:rsidRPr="00260790" w:rsidRDefault="00DE241D" w:rsidP="001748C6">
      <w:pPr>
        <w:pStyle w:val="Paragraphedeliste"/>
        <w:numPr>
          <w:ilvl w:val="0"/>
          <w:numId w:val="352"/>
        </w:numPr>
        <w:spacing w:after="0" w:line="240" w:lineRule="auto"/>
        <w:jc w:val="both"/>
        <w:rPr>
          <w:rFonts w:ascii="Times New Roman" w:hAnsi="Times New Roman"/>
          <w:bCs/>
          <w:iCs/>
          <w:color w:val="000000" w:themeColor="text1"/>
        </w:rPr>
      </w:pPr>
      <w:r w:rsidRPr="00260790">
        <w:rPr>
          <w:rFonts w:ascii="Times New Roman" w:hAnsi="Times New Roman"/>
          <w:bCs/>
          <w:iCs/>
          <w:color w:val="000000" w:themeColor="text1"/>
        </w:rPr>
        <w:t>La mise en dépôt de boues de curage ;</w:t>
      </w:r>
    </w:p>
    <w:p w14:paraId="071FFE81" w14:textId="77777777" w:rsidR="00DE241D" w:rsidRPr="00260790" w:rsidRDefault="00DE241D" w:rsidP="001748C6">
      <w:pPr>
        <w:pStyle w:val="Paragraphedeliste"/>
        <w:numPr>
          <w:ilvl w:val="0"/>
          <w:numId w:val="352"/>
        </w:numPr>
        <w:spacing w:after="0" w:line="240" w:lineRule="auto"/>
        <w:jc w:val="both"/>
        <w:rPr>
          <w:rStyle w:val="Lienhypertexte"/>
          <w:rFonts w:ascii="Times New Roman" w:hAnsi="Times New Roman"/>
          <w:bCs/>
          <w:iCs/>
          <w:color w:val="000000" w:themeColor="text1"/>
        </w:rPr>
      </w:pPr>
      <w:r w:rsidRPr="00260790">
        <w:rPr>
          <w:rFonts w:ascii="Times New Roman" w:hAnsi="Times New Roman"/>
          <w:bCs/>
          <w:iCs/>
          <w:color w:val="000000" w:themeColor="text1"/>
        </w:rPr>
        <w:t>La présence physique des engins de chantier, des matériaux et équipements (tas de sable, de graviers, de pavés, de la tuyauterie).</w:t>
      </w:r>
    </w:p>
    <w:p w14:paraId="71733D54" w14:textId="3E716B5D" w:rsidR="00DE241D" w:rsidRPr="00260790" w:rsidRDefault="00DE241D" w:rsidP="00E20250">
      <w:pPr>
        <w:spacing w:line="240" w:lineRule="auto"/>
        <w:jc w:val="both"/>
        <w:rPr>
          <w:rFonts w:ascii="Times New Roman" w:hAnsi="Times New Roman"/>
          <w:b/>
          <w:color w:val="000000" w:themeColor="text1"/>
        </w:rPr>
      </w:pPr>
      <w:r w:rsidRPr="00260790">
        <w:rPr>
          <w:rFonts w:ascii="Times New Roman" w:hAnsi="Times New Roman"/>
          <w:bCs/>
          <w:iCs/>
          <w:color w:val="000000" w:themeColor="text1"/>
        </w:rPr>
        <w:lastRenderedPageBreak/>
        <w:t>Ces activités défigureront localement le paysage. L’importance de l’impact sera moyenne à faible</w:t>
      </w:r>
      <w:r w:rsidR="006F7A0B" w:rsidRPr="00260790">
        <w:rPr>
          <w:rFonts w:ascii="Times New Roman" w:hAnsi="Times New Roman"/>
          <w:bCs/>
          <w:iCs/>
          <w:color w:val="000000" w:themeColor="text1"/>
        </w:rPr>
        <w:t>,</w:t>
      </w:r>
      <w:r w:rsidRPr="00260790">
        <w:rPr>
          <w:rFonts w:ascii="Times New Roman" w:hAnsi="Times New Roman"/>
          <w:bCs/>
          <w:iCs/>
          <w:color w:val="000000" w:themeColor="text1"/>
        </w:rPr>
        <w:t xml:space="preserve"> car aucune valorisation touristique ou autre du paysage n’est jusque-là documentée. Au contraire, la création d’un plan d’eau contribuera à améliorer le paysage à la condition toutefois que celui-ci soit bien entretenu.</w:t>
      </w:r>
      <w:r w:rsidRPr="00260790">
        <w:rPr>
          <w:rFonts w:ascii="Times New Roman" w:hAnsi="Times New Roman"/>
          <w:b/>
          <w:color w:val="000000" w:themeColor="text1"/>
        </w:rPr>
        <w:t xml:space="preserve"> </w:t>
      </w:r>
    </w:p>
    <w:p w14:paraId="6D04AEA2" w14:textId="77777777" w:rsidR="00DE241D" w:rsidRPr="00260790" w:rsidRDefault="00DE241D" w:rsidP="00E20250">
      <w:pPr>
        <w:spacing w:line="240" w:lineRule="auto"/>
        <w:jc w:val="both"/>
        <w:rPr>
          <w:rFonts w:ascii="Times New Roman" w:hAnsi="Times New Roman"/>
          <w:bCs/>
          <w:iCs/>
          <w:color w:val="000000" w:themeColor="text1"/>
        </w:rPr>
      </w:pPr>
      <w:r w:rsidRPr="00260790">
        <w:rPr>
          <w:rFonts w:ascii="Times New Roman" w:hAnsi="Times New Roman"/>
          <w:bCs/>
          <w:iCs/>
          <w:color w:val="000000" w:themeColor="text1"/>
        </w:rPr>
        <w:t>Ci-dessous le résumé de l’analyse de la modification du paysage.</w:t>
      </w:r>
    </w:p>
    <w:p w14:paraId="67AC6513" w14:textId="53DDF890" w:rsidR="00DE241D" w:rsidRPr="00260790" w:rsidRDefault="00DE241D" w:rsidP="00E20250">
      <w:pPr>
        <w:pStyle w:val="Lgende"/>
        <w:keepNext/>
        <w:spacing w:line="240" w:lineRule="auto"/>
        <w:rPr>
          <w:color w:val="000000" w:themeColor="text1"/>
          <w:sz w:val="22"/>
          <w:szCs w:val="22"/>
        </w:rPr>
      </w:pPr>
      <w:bookmarkStart w:id="612" w:name="_Toc207781870"/>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29</w:t>
      </w:r>
      <w:r w:rsidRPr="00260790">
        <w:rPr>
          <w:color w:val="000000" w:themeColor="text1"/>
          <w:sz w:val="22"/>
          <w:szCs w:val="22"/>
        </w:rPr>
        <w:fldChar w:fldCharType="end"/>
      </w:r>
      <w:r w:rsidRPr="00260790">
        <w:rPr>
          <w:color w:val="000000" w:themeColor="text1"/>
          <w:sz w:val="22"/>
          <w:szCs w:val="22"/>
        </w:rPr>
        <w:t> :</w:t>
      </w:r>
      <w:r w:rsidRPr="00260790">
        <w:rPr>
          <w:bCs/>
          <w:iCs w:val="0"/>
          <w:color w:val="000000" w:themeColor="text1"/>
          <w:sz w:val="22"/>
          <w:szCs w:val="22"/>
        </w:rPr>
        <w:t xml:space="preserve"> </w:t>
      </w:r>
      <w:r w:rsidRPr="00260790">
        <w:rPr>
          <w:color w:val="000000" w:themeColor="text1"/>
          <w:sz w:val="22"/>
          <w:szCs w:val="22"/>
        </w:rPr>
        <w:t>résumé de l’analyse de la modification du paysage</w:t>
      </w:r>
      <w:bookmarkEnd w:id="612"/>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23"/>
        <w:gridCol w:w="1330"/>
        <w:gridCol w:w="236"/>
        <w:gridCol w:w="953"/>
        <w:gridCol w:w="227"/>
        <w:gridCol w:w="1125"/>
        <w:gridCol w:w="49"/>
        <w:gridCol w:w="1571"/>
        <w:gridCol w:w="130"/>
        <w:gridCol w:w="1616"/>
      </w:tblGrid>
      <w:tr w:rsidR="00BD1A2F" w:rsidRPr="00632C4D" w14:paraId="500695B9" w14:textId="77777777" w:rsidTr="003A0E4A">
        <w:trPr>
          <w:trHeight w:val="234"/>
        </w:trPr>
        <w:tc>
          <w:tcPr>
            <w:tcW w:w="5000" w:type="pct"/>
            <w:gridSpan w:val="10"/>
            <w:shd w:val="clear" w:color="auto" w:fill="D9E2F3" w:themeFill="accent5" w:themeFillTint="33"/>
          </w:tcPr>
          <w:p w14:paraId="5BAE7D37" w14:textId="77777777" w:rsidR="00DE241D" w:rsidRPr="0097258B" w:rsidRDefault="00DE241D" w:rsidP="00E20250">
            <w:pPr>
              <w:spacing w:line="240" w:lineRule="auto"/>
              <w:rPr>
                <w:rFonts w:ascii="Times New Roman" w:hAnsi="Times New Roman"/>
                <w:b/>
                <w:bCs/>
                <w:i/>
                <w:iCs/>
                <w:color w:val="000000" w:themeColor="text1"/>
                <w:sz w:val="20"/>
                <w:szCs w:val="20"/>
                <w:lang w:val="fr-FR"/>
              </w:rPr>
            </w:pPr>
            <w:r w:rsidRPr="0097258B">
              <w:rPr>
                <w:rFonts w:ascii="Times New Roman" w:hAnsi="Times New Roman"/>
                <w:b/>
                <w:bCs/>
                <w:i/>
                <w:iCs/>
                <w:color w:val="000000" w:themeColor="text1"/>
                <w:sz w:val="20"/>
                <w:szCs w:val="20"/>
              </w:rPr>
              <w:t xml:space="preserve">IN-3. Modification du </w:t>
            </w:r>
            <w:proofErr w:type="spellStart"/>
            <w:r w:rsidRPr="0097258B">
              <w:rPr>
                <w:rFonts w:ascii="Times New Roman" w:hAnsi="Times New Roman"/>
                <w:b/>
                <w:bCs/>
                <w:i/>
                <w:iCs/>
                <w:color w:val="000000" w:themeColor="text1"/>
                <w:sz w:val="20"/>
                <w:szCs w:val="20"/>
              </w:rPr>
              <w:t>paysage</w:t>
            </w:r>
            <w:proofErr w:type="spellEnd"/>
          </w:p>
        </w:tc>
      </w:tr>
      <w:tr w:rsidR="00BD1A2F" w:rsidRPr="00632C4D" w14:paraId="5D762340" w14:textId="77777777" w:rsidTr="003A0E4A">
        <w:trPr>
          <w:trHeight w:val="58"/>
        </w:trPr>
        <w:tc>
          <w:tcPr>
            <w:tcW w:w="5000" w:type="pct"/>
            <w:gridSpan w:val="10"/>
          </w:tcPr>
          <w:p w14:paraId="27AAC5E1"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b/>
                <w:bCs/>
                <w:color w:val="000000" w:themeColor="text1"/>
                <w:sz w:val="20"/>
                <w:szCs w:val="20"/>
                <w:lang w:val="fr-FR"/>
              </w:rPr>
              <w:t>Source d’impacts :</w:t>
            </w:r>
            <w:r w:rsidRPr="00301AF6">
              <w:rPr>
                <w:rFonts w:ascii="Times New Roman" w:hAnsi="Times New Roman" w:cs="Times New Roman"/>
                <w:color w:val="000000" w:themeColor="text1"/>
                <w:sz w:val="20"/>
                <w:szCs w:val="20"/>
                <w:lang w:val="fr-FR"/>
              </w:rPr>
              <w:t xml:space="preserve"> libération des emprises, entreposage des équipements, présence physique des engins sur la base de chantier</w:t>
            </w:r>
          </w:p>
        </w:tc>
      </w:tr>
      <w:tr w:rsidR="00BD1A2F" w:rsidRPr="00632C4D" w14:paraId="25D3FE3C" w14:textId="77777777" w:rsidTr="003A0E4A">
        <w:trPr>
          <w:trHeight w:val="58"/>
        </w:trPr>
        <w:tc>
          <w:tcPr>
            <w:tcW w:w="1006" w:type="pct"/>
          </w:tcPr>
          <w:p w14:paraId="18333847"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Critère</w:t>
            </w:r>
            <w:proofErr w:type="spellEnd"/>
          </w:p>
        </w:tc>
        <w:tc>
          <w:tcPr>
            <w:tcW w:w="864" w:type="pct"/>
            <w:gridSpan w:val="2"/>
          </w:tcPr>
          <w:p w14:paraId="0002B019"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Intensité</w:t>
            </w:r>
            <w:proofErr w:type="spellEnd"/>
          </w:p>
        </w:tc>
        <w:tc>
          <w:tcPr>
            <w:tcW w:w="651" w:type="pct"/>
            <w:gridSpan w:val="2"/>
          </w:tcPr>
          <w:p w14:paraId="022A5A52" w14:textId="2B7208DC" w:rsidR="00DE241D" w:rsidRPr="0097258B" w:rsidRDefault="00E23E20"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É</w:t>
            </w:r>
            <w:r w:rsidR="00DE241D" w:rsidRPr="0097258B">
              <w:rPr>
                <w:rFonts w:ascii="Times New Roman" w:hAnsi="Times New Roman" w:cs="Times New Roman"/>
                <w:b/>
                <w:bCs/>
                <w:color w:val="000000" w:themeColor="text1"/>
                <w:sz w:val="20"/>
                <w:szCs w:val="20"/>
              </w:rPr>
              <w:t>tendue</w:t>
            </w:r>
            <w:proofErr w:type="spellEnd"/>
          </w:p>
        </w:tc>
        <w:tc>
          <w:tcPr>
            <w:tcW w:w="648" w:type="pct"/>
            <w:gridSpan w:val="2"/>
          </w:tcPr>
          <w:p w14:paraId="2DD7A7DA"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Durée</w:t>
            </w:r>
          </w:p>
        </w:tc>
        <w:tc>
          <w:tcPr>
            <w:tcW w:w="867" w:type="pct"/>
          </w:tcPr>
          <w:p w14:paraId="454F1004"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Importance</w:t>
            </w:r>
          </w:p>
        </w:tc>
        <w:tc>
          <w:tcPr>
            <w:tcW w:w="963" w:type="pct"/>
            <w:gridSpan w:val="2"/>
          </w:tcPr>
          <w:p w14:paraId="05263536" w14:textId="77777777" w:rsidR="00DE241D" w:rsidRPr="0097258B" w:rsidRDefault="00DE241D" w:rsidP="00E20250">
            <w:pPr>
              <w:pStyle w:val="Normaltableau0"/>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Réversibilité</w:t>
            </w:r>
            <w:proofErr w:type="spellEnd"/>
          </w:p>
        </w:tc>
      </w:tr>
      <w:tr w:rsidR="00BD1A2F" w:rsidRPr="00632C4D" w14:paraId="66497061" w14:textId="77777777" w:rsidTr="003A0E4A">
        <w:trPr>
          <w:trHeight w:val="58"/>
        </w:trPr>
        <w:tc>
          <w:tcPr>
            <w:tcW w:w="1006" w:type="pct"/>
          </w:tcPr>
          <w:p w14:paraId="50CCFE51"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Sans </w:t>
            </w:r>
            <w:proofErr w:type="spellStart"/>
            <w:r w:rsidRPr="0097258B">
              <w:rPr>
                <w:rFonts w:ascii="Times New Roman" w:hAnsi="Times New Roman" w:cs="Times New Roman"/>
                <w:color w:val="000000" w:themeColor="text1"/>
                <w:sz w:val="20"/>
                <w:szCs w:val="20"/>
              </w:rPr>
              <w:t>atténuation</w:t>
            </w:r>
            <w:proofErr w:type="spellEnd"/>
          </w:p>
        </w:tc>
        <w:tc>
          <w:tcPr>
            <w:tcW w:w="864" w:type="pct"/>
            <w:gridSpan w:val="2"/>
          </w:tcPr>
          <w:p w14:paraId="63453DF1"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Moyenne</w:t>
            </w:r>
          </w:p>
        </w:tc>
        <w:tc>
          <w:tcPr>
            <w:tcW w:w="651" w:type="pct"/>
            <w:gridSpan w:val="2"/>
          </w:tcPr>
          <w:p w14:paraId="7266428E"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Locale</w:t>
            </w:r>
          </w:p>
        </w:tc>
        <w:tc>
          <w:tcPr>
            <w:tcW w:w="648" w:type="pct"/>
            <w:gridSpan w:val="2"/>
          </w:tcPr>
          <w:p w14:paraId="58143307"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Moyenne</w:t>
            </w:r>
          </w:p>
        </w:tc>
        <w:tc>
          <w:tcPr>
            <w:tcW w:w="867" w:type="pct"/>
            <w:shd w:val="clear" w:color="auto" w:fill="F4B083" w:themeFill="accent2" w:themeFillTint="99"/>
          </w:tcPr>
          <w:p w14:paraId="19F66DAF"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Moyenne</w:t>
            </w:r>
          </w:p>
        </w:tc>
        <w:tc>
          <w:tcPr>
            <w:tcW w:w="963" w:type="pct"/>
            <w:gridSpan w:val="2"/>
          </w:tcPr>
          <w:p w14:paraId="1DDA99C2" w14:textId="77777777" w:rsidR="00DE241D" w:rsidRPr="0097258B" w:rsidRDefault="00DE241D" w:rsidP="00E20250">
            <w:pPr>
              <w:pStyle w:val="Normaltableau0"/>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Réversible</w:t>
            </w:r>
            <w:proofErr w:type="spellEnd"/>
          </w:p>
        </w:tc>
      </w:tr>
      <w:tr w:rsidR="00BD1A2F" w:rsidRPr="00632C4D" w14:paraId="16271824" w14:textId="77777777" w:rsidTr="003A0E4A">
        <w:trPr>
          <w:trHeight w:val="365"/>
        </w:trPr>
        <w:tc>
          <w:tcPr>
            <w:tcW w:w="1006" w:type="pct"/>
          </w:tcPr>
          <w:p w14:paraId="2A692F54"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d’atténuation</w:t>
            </w:r>
            <w:proofErr w:type="spellEnd"/>
          </w:p>
        </w:tc>
        <w:tc>
          <w:tcPr>
            <w:tcW w:w="3994" w:type="pct"/>
            <w:gridSpan w:val="9"/>
          </w:tcPr>
          <w:p w14:paraId="2049672F" w14:textId="77777777" w:rsidR="00DE241D" w:rsidRPr="0097258B" w:rsidRDefault="00DE241D" w:rsidP="001748C6">
            <w:pPr>
              <w:pStyle w:val="Default"/>
              <w:numPr>
                <w:ilvl w:val="0"/>
                <w:numId w:val="302"/>
              </w:numPr>
              <w:overflowPunct w:val="0"/>
              <w:ind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Clôturer la base de chantier ;</w:t>
            </w:r>
          </w:p>
          <w:p w14:paraId="052D11B5" w14:textId="55D04C77" w:rsidR="00E66828" w:rsidRPr="0097258B" w:rsidRDefault="00DE241D" w:rsidP="00E66828">
            <w:pPr>
              <w:pStyle w:val="Default"/>
              <w:numPr>
                <w:ilvl w:val="0"/>
                <w:numId w:val="302"/>
              </w:numPr>
              <w:overflowPunct w:val="0"/>
              <w:ind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olor w:val="000000" w:themeColor="text1"/>
                <w:sz w:val="20"/>
                <w:szCs w:val="20"/>
                <w:lang w:val="fr-FR"/>
              </w:rPr>
              <w:t>Collecter et évacuer régulièrement les déchets ;</w:t>
            </w:r>
          </w:p>
          <w:p w14:paraId="4600576F" w14:textId="77777777" w:rsidR="00DE241D" w:rsidRPr="0097258B" w:rsidRDefault="00DE241D" w:rsidP="0097258B">
            <w:pPr>
              <w:pStyle w:val="Default"/>
              <w:numPr>
                <w:ilvl w:val="0"/>
                <w:numId w:val="302"/>
              </w:numPr>
              <w:overflowPunct w:val="0"/>
              <w:ind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Remblayer les tranchées aussitôt après la pose des conduites en PVC et évacuer les excédents de déblais vers un site de valorisation</w:t>
            </w:r>
          </w:p>
        </w:tc>
      </w:tr>
      <w:tr w:rsidR="00BD1A2F" w:rsidRPr="00632C4D" w14:paraId="67588096" w14:textId="77777777" w:rsidTr="003A0E4A">
        <w:trPr>
          <w:trHeight w:val="101"/>
        </w:trPr>
        <w:tc>
          <w:tcPr>
            <w:tcW w:w="1006" w:type="pct"/>
          </w:tcPr>
          <w:p w14:paraId="74D5D63F"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Avec </w:t>
            </w:r>
            <w:proofErr w:type="spellStart"/>
            <w:r w:rsidRPr="0097258B">
              <w:rPr>
                <w:rFonts w:ascii="Times New Roman" w:hAnsi="Times New Roman" w:cs="Times New Roman"/>
                <w:color w:val="000000" w:themeColor="text1"/>
                <w:sz w:val="20"/>
                <w:szCs w:val="20"/>
              </w:rPr>
              <w:t>atténuation</w:t>
            </w:r>
            <w:proofErr w:type="spellEnd"/>
          </w:p>
        </w:tc>
        <w:tc>
          <w:tcPr>
            <w:tcW w:w="734" w:type="pct"/>
          </w:tcPr>
          <w:p w14:paraId="4A891F6E"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Faible</w:t>
            </w:r>
            <w:proofErr w:type="spellEnd"/>
          </w:p>
        </w:tc>
        <w:tc>
          <w:tcPr>
            <w:tcW w:w="656" w:type="pct"/>
            <w:gridSpan w:val="2"/>
          </w:tcPr>
          <w:p w14:paraId="09879236"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Ponctuelle</w:t>
            </w:r>
            <w:proofErr w:type="spellEnd"/>
          </w:p>
        </w:tc>
        <w:tc>
          <w:tcPr>
            <w:tcW w:w="746" w:type="pct"/>
            <w:gridSpan w:val="2"/>
          </w:tcPr>
          <w:p w14:paraId="3100CD87"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Courte</w:t>
            </w:r>
          </w:p>
        </w:tc>
        <w:tc>
          <w:tcPr>
            <w:tcW w:w="966" w:type="pct"/>
            <w:gridSpan w:val="3"/>
            <w:shd w:val="clear" w:color="auto" w:fill="FFFF00"/>
          </w:tcPr>
          <w:p w14:paraId="06D97875"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Mineure</w:t>
            </w:r>
            <w:proofErr w:type="spellEnd"/>
            <w:r w:rsidRPr="0097258B">
              <w:rPr>
                <w:rFonts w:ascii="Times New Roman" w:hAnsi="Times New Roman" w:cs="Times New Roman"/>
                <w:b/>
                <w:bCs/>
                <w:color w:val="000000" w:themeColor="text1"/>
                <w:sz w:val="20"/>
                <w:szCs w:val="20"/>
              </w:rPr>
              <w:t xml:space="preserve"> </w:t>
            </w:r>
          </w:p>
        </w:tc>
        <w:tc>
          <w:tcPr>
            <w:tcW w:w="892" w:type="pct"/>
          </w:tcPr>
          <w:p w14:paraId="5FEECDC2" w14:textId="77777777" w:rsidR="00DE241D" w:rsidRPr="0097258B" w:rsidRDefault="00DE241D" w:rsidP="00E20250">
            <w:pPr>
              <w:pStyle w:val="TableParagraph"/>
              <w:rPr>
                <w:color w:val="000000" w:themeColor="text1"/>
                <w:sz w:val="20"/>
                <w:szCs w:val="20"/>
                <w:lang w:val="fr-FR"/>
              </w:rPr>
            </w:pPr>
          </w:p>
        </w:tc>
      </w:tr>
    </w:tbl>
    <w:p w14:paraId="4949F706" w14:textId="77777777" w:rsidR="00DE241D" w:rsidRPr="00260790" w:rsidRDefault="00DE241D" w:rsidP="00E20250">
      <w:pPr>
        <w:spacing w:after="0" w:line="240" w:lineRule="auto"/>
        <w:rPr>
          <w:rFonts w:ascii="Times New Roman" w:hAnsi="Times New Roman"/>
          <w:b/>
          <w:color w:val="000000" w:themeColor="text1"/>
        </w:rPr>
      </w:pPr>
    </w:p>
    <w:p w14:paraId="359676AD" w14:textId="77777777" w:rsidR="00DE241D" w:rsidRPr="00260790" w:rsidRDefault="00DE241D" w:rsidP="001748C6">
      <w:pPr>
        <w:pStyle w:val="Normaltableau0"/>
        <w:numPr>
          <w:ilvl w:val="0"/>
          <w:numId w:val="298"/>
        </w:numPr>
        <w:rPr>
          <w:rFonts w:ascii="Times New Roman" w:hAnsi="Times New Roman"/>
          <w:b/>
          <w:bCs/>
          <w:i/>
          <w:iCs/>
          <w:color w:val="000000" w:themeColor="text1"/>
          <w:sz w:val="22"/>
          <w:szCs w:val="22"/>
        </w:rPr>
      </w:pPr>
      <w:r w:rsidRPr="00260790">
        <w:rPr>
          <w:rFonts w:ascii="Times New Roman" w:hAnsi="Times New Roman"/>
          <w:b/>
          <w:bCs/>
          <w:i/>
          <w:iCs/>
          <w:color w:val="000000" w:themeColor="text1"/>
          <w:sz w:val="22"/>
          <w:szCs w:val="22"/>
        </w:rPr>
        <w:t>RI-1. Risque de pollution des sols</w:t>
      </w:r>
    </w:p>
    <w:p w14:paraId="685387FD" w14:textId="7839BA92" w:rsidR="00DE241D" w:rsidRPr="00260790" w:rsidRDefault="00DE241D" w:rsidP="00E20250">
      <w:pPr>
        <w:pStyle w:val="Normaltableau0"/>
        <w:jc w:val="both"/>
        <w:rPr>
          <w:rFonts w:ascii="Times New Roman" w:hAnsi="Times New Roman"/>
          <w:color w:val="000000" w:themeColor="text1"/>
          <w:sz w:val="22"/>
          <w:szCs w:val="22"/>
        </w:rPr>
      </w:pPr>
      <w:r w:rsidRPr="00260790">
        <w:rPr>
          <w:rFonts w:ascii="Times New Roman" w:hAnsi="Times New Roman"/>
          <w:color w:val="000000" w:themeColor="text1"/>
          <w:sz w:val="22"/>
          <w:szCs w:val="22"/>
        </w:rPr>
        <w:t>L’utilisation de véhicules et d’engins comportera un risque de fuites/déversements de substances dangereuses telles que les carburants et les huiles de lubrification susceptibles de polluer les sols. Une pollution des sols par des lixiviats de déchets solide</w:t>
      </w:r>
      <w:r w:rsidR="00204603" w:rsidRPr="00260790">
        <w:rPr>
          <w:rFonts w:ascii="Times New Roman" w:hAnsi="Times New Roman"/>
          <w:color w:val="000000" w:themeColor="text1"/>
          <w:sz w:val="22"/>
          <w:szCs w:val="22"/>
        </w:rPr>
        <w:t>s</w:t>
      </w:r>
      <w:r w:rsidRPr="00260790">
        <w:rPr>
          <w:rFonts w:ascii="Times New Roman" w:hAnsi="Times New Roman"/>
          <w:color w:val="000000" w:themeColor="text1"/>
          <w:sz w:val="22"/>
          <w:szCs w:val="22"/>
        </w:rPr>
        <w:t xml:space="preserve">, des effluents des sanitaires, des eaux d’extinction d’éventuels incendies sur la base de chantier, de la laitance de ciment, des eaux de lavage de la machinerie, des déversements de polluants aux aires de stockage sur les bases de chantier ou lors des ravitaillements en carburant, n’est pas non plus à écarter. </w:t>
      </w:r>
    </w:p>
    <w:p w14:paraId="540E5EF0" w14:textId="79A556B2" w:rsidR="00DE241D" w:rsidRPr="00260790" w:rsidRDefault="00DE241D" w:rsidP="00BE2AA9">
      <w:pPr>
        <w:pStyle w:val="Normaltableau0"/>
        <w:jc w:val="both"/>
        <w:rPr>
          <w:rFonts w:ascii="Times New Roman" w:hAnsi="Times New Roman"/>
          <w:color w:val="000000" w:themeColor="text1"/>
          <w:sz w:val="22"/>
          <w:szCs w:val="22"/>
        </w:rPr>
      </w:pPr>
      <w:r w:rsidRPr="00260790">
        <w:rPr>
          <w:rFonts w:ascii="Times New Roman" w:hAnsi="Times New Roman"/>
          <w:color w:val="000000" w:themeColor="text1"/>
          <w:sz w:val="22"/>
          <w:szCs w:val="22"/>
        </w:rPr>
        <w:t>Ci-dessous le résumé de l’évaluation du risque de pollutions des sols.</w:t>
      </w:r>
    </w:p>
    <w:p w14:paraId="465CF561" w14:textId="1082709B" w:rsidR="00DE241D" w:rsidRPr="0097258B" w:rsidRDefault="00DE241D" w:rsidP="00E20250">
      <w:pPr>
        <w:spacing w:line="240" w:lineRule="auto"/>
        <w:jc w:val="both"/>
        <w:rPr>
          <w:rFonts w:ascii="Times New Roman" w:hAnsi="Times New Roman"/>
          <w:i/>
          <w:color w:val="000000" w:themeColor="text1"/>
        </w:rPr>
      </w:pPr>
      <w:bookmarkStart w:id="613" w:name="_Toc207781871"/>
      <w:r w:rsidRPr="0097258B">
        <w:rPr>
          <w:rFonts w:ascii="Times New Roman" w:hAnsi="Times New Roman"/>
          <w:i/>
          <w:color w:val="000000" w:themeColor="text1"/>
        </w:rPr>
        <w:t xml:space="preserve">Tableau </w:t>
      </w:r>
      <w:r w:rsidRPr="0097258B">
        <w:rPr>
          <w:rFonts w:ascii="Times New Roman" w:hAnsi="Times New Roman"/>
          <w:i/>
          <w:color w:val="000000" w:themeColor="text1"/>
        </w:rPr>
        <w:fldChar w:fldCharType="begin"/>
      </w:r>
      <w:r w:rsidRPr="0097258B">
        <w:rPr>
          <w:rFonts w:ascii="Times New Roman" w:hAnsi="Times New Roman"/>
          <w:i/>
          <w:color w:val="000000" w:themeColor="text1"/>
        </w:rPr>
        <w:instrText xml:space="preserve"> SEQ Tableau \* ARABIC </w:instrText>
      </w:r>
      <w:r w:rsidRPr="0097258B">
        <w:rPr>
          <w:rFonts w:ascii="Times New Roman" w:hAnsi="Times New Roman"/>
          <w:i/>
          <w:color w:val="000000" w:themeColor="text1"/>
        </w:rPr>
        <w:fldChar w:fldCharType="separate"/>
      </w:r>
      <w:r w:rsidR="003C783E">
        <w:rPr>
          <w:rFonts w:ascii="Times New Roman" w:hAnsi="Times New Roman"/>
          <w:i/>
          <w:noProof/>
          <w:color w:val="000000" w:themeColor="text1"/>
        </w:rPr>
        <w:t>30</w:t>
      </w:r>
      <w:r w:rsidRPr="0097258B">
        <w:rPr>
          <w:rFonts w:ascii="Times New Roman" w:hAnsi="Times New Roman"/>
          <w:i/>
          <w:color w:val="000000" w:themeColor="text1"/>
        </w:rPr>
        <w:fldChar w:fldCharType="end"/>
      </w:r>
      <w:r w:rsidRPr="0097258B">
        <w:rPr>
          <w:rFonts w:ascii="Times New Roman" w:hAnsi="Times New Roman"/>
          <w:i/>
          <w:color w:val="000000" w:themeColor="text1"/>
        </w:rPr>
        <w:t> :</w:t>
      </w:r>
      <w:r w:rsidRPr="0097258B">
        <w:rPr>
          <w:rFonts w:ascii="Times New Roman" w:hAnsi="Times New Roman"/>
          <w:i/>
          <w:color w:val="000000" w:themeColor="text1"/>
          <w:spacing w:val="44"/>
        </w:rPr>
        <w:t xml:space="preserve"> </w:t>
      </w:r>
      <w:r w:rsidRPr="0097258B">
        <w:rPr>
          <w:rFonts w:ascii="Times New Roman" w:hAnsi="Times New Roman"/>
          <w:i/>
          <w:color w:val="000000" w:themeColor="text1"/>
        </w:rPr>
        <w:t>résumé</w:t>
      </w:r>
      <w:r w:rsidRPr="0097258B">
        <w:rPr>
          <w:rFonts w:ascii="Times New Roman" w:hAnsi="Times New Roman"/>
          <w:i/>
          <w:color w:val="000000" w:themeColor="text1"/>
          <w:spacing w:val="53"/>
        </w:rPr>
        <w:t xml:space="preserve"> </w:t>
      </w:r>
      <w:r w:rsidRPr="0097258B">
        <w:rPr>
          <w:rFonts w:ascii="Times New Roman" w:hAnsi="Times New Roman"/>
          <w:i/>
          <w:color w:val="000000" w:themeColor="text1"/>
        </w:rPr>
        <w:t>de</w:t>
      </w:r>
      <w:r w:rsidRPr="0097258B">
        <w:rPr>
          <w:rFonts w:ascii="Times New Roman" w:hAnsi="Times New Roman"/>
          <w:i/>
          <w:color w:val="000000" w:themeColor="text1"/>
          <w:spacing w:val="50"/>
        </w:rPr>
        <w:t xml:space="preserve"> </w:t>
      </w:r>
      <w:r w:rsidRPr="0097258B">
        <w:rPr>
          <w:rFonts w:ascii="Times New Roman" w:hAnsi="Times New Roman"/>
          <w:i/>
          <w:color w:val="000000" w:themeColor="text1"/>
        </w:rPr>
        <w:t>l’évaluation</w:t>
      </w:r>
      <w:r w:rsidRPr="0097258B">
        <w:rPr>
          <w:rFonts w:ascii="Times New Roman" w:hAnsi="Times New Roman"/>
          <w:i/>
          <w:color w:val="000000" w:themeColor="text1"/>
          <w:spacing w:val="54"/>
        </w:rPr>
        <w:t xml:space="preserve"> </w:t>
      </w:r>
      <w:r w:rsidRPr="0097258B">
        <w:rPr>
          <w:rFonts w:ascii="Times New Roman" w:hAnsi="Times New Roman"/>
          <w:i/>
          <w:color w:val="000000" w:themeColor="text1"/>
        </w:rPr>
        <w:t>du</w:t>
      </w:r>
      <w:r w:rsidRPr="0097258B">
        <w:rPr>
          <w:rFonts w:ascii="Times New Roman" w:hAnsi="Times New Roman"/>
          <w:i/>
          <w:color w:val="000000" w:themeColor="text1"/>
          <w:spacing w:val="52"/>
        </w:rPr>
        <w:t xml:space="preserve"> </w:t>
      </w:r>
      <w:r w:rsidRPr="0097258B">
        <w:rPr>
          <w:rFonts w:ascii="Times New Roman" w:hAnsi="Times New Roman"/>
          <w:i/>
          <w:color w:val="000000" w:themeColor="text1"/>
        </w:rPr>
        <w:t>risque</w:t>
      </w:r>
      <w:r w:rsidRPr="0097258B">
        <w:rPr>
          <w:rFonts w:ascii="Times New Roman" w:hAnsi="Times New Roman"/>
          <w:i/>
          <w:color w:val="000000" w:themeColor="text1"/>
          <w:spacing w:val="53"/>
        </w:rPr>
        <w:t xml:space="preserve"> </w:t>
      </w:r>
      <w:r w:rsidRPr="0097258B">
        <w:rPr>
          <w:rFonts w:ascii="Times New Roman" w:hAnsi="Times New Roman"/>
          <w:i/>
          <w:color w:val="000000" w:themeColor="text1"/>
        </w:rPr>
        <w:t>de</w:t>
      </w:r>
      <w:r w:rsidRPr="0097258B">
        <w:rPr>
          <w:rFonts w:ascii="Times New Roman" w:hAnsi="Times New Roman"/>
          <w:i/>
          <w:color w:val="000000" w:themeColor="text1"/>
          <w:spacing w:val="53"/>
        </w:rPr>
        <w:t xml:space="preserve"> </w:t>
      </w:r>
      <w:r w:rsidRPr="0097258B">
        <w:rPr>
          <w:rFonts w:ascii="Times New Roman" w:hAnsi="Times New Roman"/>
          <w:i/>
          <w:color w:val="000000" w:themeColor="text1"/>
        </w:rPr>
        <w:t>pollution</w:t>
      </w:r>
      <w:r w:rsidRPr="0097258B">
        <w:rPr>
          <w:rFonts w:ascii="Times New Roman" w:hAnsi="Times New Roman"/>
          <w:i/>
          <w:color w:val="000000" w:themeColor="text1"/>
          <w:spacing w:val="52"/>
        </w:rPr>
        <w:t xml:space="preserve"> </w:t>
      </w:r>
      <w:r w:rsidRPr="0097258B">
        <w:rPr>
          <w:rFonts w:ascii="Times New Roman" w:hAnsi="Times New Roman"/>
          <w:i/>
          <w:color w:val="000000" w:themeColor="text1"/>
        </w:rPr>
        <w:t>des</w:t>
      </w:r>
      <w:r w:rsidRPr="0097258B">
        <w:rPr>
          <w:rFonts w:ascii="Times New Roman" w:hAnsi="Times New Roman"/>
          <w:i/>
          <w:color w:val="000000" w:themeColor="text1"/>
          <w:spacing w:val="53"/>
        </w:rPr>
        <w:t xml:space="preserve"> </w:t>
      </w:r>
      <w:r w:rsidRPr="0097258B">
        <w:rPr>
          <w:rFonts w:ascii="Times New Roman" w:hAnsi="Times New Roman"/>
          <w:i/>
          <w:color w:val="000000" w:themeColor="text1"/>
          <w:spacing w:val="-4"/>
        </w:rPr>
        <w:t>sols</w:t>
      </w:r>
      <w:bookmarkEnd w:id="613"/>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93"/>
        <w:gridCol w:w="1446"/>
        <w:gridCol w:w="1190"/>
        <w:gridCol w:w="928"/>
        <w:gridCol w:w="1194"/>
        <w:gridCol w:w="2709"/>
      </w:tblGrid>
      <w:tr w:rsidR="00BD1A2F" w:rsidRPr="00632C4D" w14:paraId="2E5E92C7" w14:textId="77777777" w:rsidTr="003A0E4A">
        <w:trPr>
          <w:trHeight w:val="230"/>
        </w:trPr>
        <w:tc>
          <w:tcPr>
            <w:tcW w:w="5000" w:type="pct"/>
            <w:gridSpan w:val="6"/>
            <w:shd w:val="clear" w:color="auto" w:fill="D9E2F3" w:themeFill="accent5" w:themeFillTint="33"/>
          </w:tcPr>
          <w:p w14:paraId="773E5C0F" w14:textId="77777777" w:rsidR="00DE241D" w:rsidRPr="0097258B" w:rsidRDefault="00DE241D" w:rsidP="00E20250">
            <w:pPr>
              <w:spacing w:line="240" w:lineRule="auto"/>
              <w:rPr>
                <w:rFonts w:ascii="Times New Roman" w:hAnsi="Times New Roman"/>
                <w:b/>
                <w:bCs/>
                <w:sz w:val="20"/>
                <w:szCs w:val="20"/>
                <w:lang w:val="fr-FR"/>
              </w:rPr>
            </w:pPr>
            <w:r w:rsidRPr="00301AF6">
              <w:rPr>
                <w:rFonts w:ascii="Times New Roman" w:hAnsi="Times New Roman"/>
                <w:b/>
                <w:bCs/>
                <w:sz w:val="20"/>
                <w:szCs w:val="20"/>
                <w:lang w:val="fr-FR"/>
              </w:rPr>
              <w:t xml:space="preserve">RI-1. Risque de pollutions des sols </w:t>
            </w:r>
          </w:p>
        </w:tc>
      </w:tr>
      <w:tr w:rsidR="00BD1A2F" w:rsidRPr="00632C4D" w14:paraId="742E2A2A" w14:textId="77777777" w:rsidTr="003A0E4A">
        <w:trPr>
          <w:trHeight w:val="230"/>
        </w:trPr>
        <w:tc>
          <w:tcPr>
            <w:tcW w:w="5000" w:type="pct"/>
            <w:gridSpan w:val="6"/>
          </w:tcPr>
          <w:p w14:paraId="7D31A259" w14:textId="77777777" w:rsidR="00DE241D" w:rsidRPr="0097258B" w:rsidRDefault="00DE241D" w:rsidP="00E20250">
            <w:pPr>
              <w:spacing w:line="240" w:lineRule="auto"/>
              <w:rPr>
                <w:rFonts w:ascii="Times New Roman" w:hAnsi="Times New Roman"/>
                <w:sz w:val="20"/>
                <w:szCs w:val="20"/>
                <w:lang w:val="fr-FR"/>
              </w:rPr>
            </w:pPr>
            <w:r w:rsidRPr="00301AF6">
              <w:rPr>
                <w:rFonts w:ascii="Times New Roman" w:hAnsi="Times New Roman"/>
                <w:b/>
                <w:bCs/>
                <w:sz w:val="20"/>
                <w:szCs w:val="20"/>
                <w:lang w:val="fr-FR"/>
              </w:rPr>
              <w:t>Activités sources</w:t>
            </w:r>
            <w:r w:rsidRPr="00301AF6">
              <w:rPr>
                <w:rFonts w:ascii="Times New Roman" w:hAnsi="Times New Roman"/>
                <w:sz w:val="20"/>
                <w:szCs w:val="20"/>
                <w:lang w:val="fr-FR"/>
              </w:rPr>
              <w:t xml:space="preserve"> : Utilisation de la machinerie, travaux de construction, fonctionnement de la base de chantier</w:t>
            </w:r>
          </w:p>
        </w:tc>
      </w:tr>
      <w:tr w:rsidR="00BD1A2F" w:rsidRPr="00632C4D" w14:paraId="312E288B" w14:textId="77777777" w:rsidTr="003A0E4A">
        <w:trPr>
          <w:trHeight w:val="230"/>
        </w:trPr>
        <w:tc>
          <w:tcPr>
            <w:tcW w:w="879" w:type="pct"/>
          </w:tcPr>
          <w:p w14:paraId="2A147496" w14:textId="77777777" w:rsidR="00DE241D" w:rsidRPr="0097258B" w:rsidRDefault="00DE241D" w:rsidP="00E20250">
            <w:pPr>
              <w:spacing w:line="240" w:lineRule="auto"/>
              <w:rPr>
                <w:rFonts w:ascii="Times New Roman" w:hAnsi="Times New Roman"/>
                <w:sz w:val="20"/>
                <w:szCs w:val="20"/>
                <w:lang w:val="fr-FR"/>
              </w:rPr>
            </w:pPr>
          </w:p>
        </w:tc>
        <w:tc>
          <w:tcPr>
            <w:tcW w:w="798" w:type="pct"/>
          </w:tcPr>
          <w:p w14:paraId="6DC9648C" w14:textId="77777777" w:rsidR="00DE241D" w:rsidRPr="0097258B" w:rsidRDefault="00DE241D" w:rsidP="00E20250">
            <w:pPr>
              <w:spacing w:line="240" w:lineRule="auto"/>
              <w:rPr>
                <w:rFonts w:ascii="Times New Roman" w:hAnsi="Times New Roman"/>
                <w:b/>
                <w:bCs/>
                <w:sz w:val="20"/>
                <w:szCs w:val="20"/>
                <w:lang w:val="fr-FR"/>
              </w:rPr>
            </w:pPr>
            <w:r w:rsidRPr="0097258B">
              <w:rPr>
                <w:rFonts w:ascii="Times New Roman" w:hAnsi="Times New Roman"/>
                <w:b/>
                <w:bCs/>
                <w:sz w:val="20"/>
                <w:szCs w:val="20"/>
              </w:rPr>
              <w:t>Risque initial</w:t>
            </w:r>
          </w:p>
        </w:tc>
        <w:tc>
          <w:tcPr>
            <w:tcW w:w="657" w:type="pct"/>
          </w:tcPr>
          <w:p w14:paraId="622348B1"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Probabilité</w:t>
            </w:r>
            <w:proofErr w:type="spellEnd"/>
          </w:p>
        </w:tc>
        <w:tc>
          <w:tcPr>
            <w:tcW w:w="512" w:type="pct"/>
          </w:tcPr>
          <w:p w14:paraId="7EA895A0"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Gravité</w:t>
            </w:r>
            <w:proofErr w:type="spellEnd"/>
          </w:p>
        </w:tc>
        <w:tc>
          <w:tcPr>
            <w:tcW w:w="659" w:type="pct"/>
          </w:tcPr>
          <w:p w14:paraId="24810779"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Criticité</w:t>
            </w:r>
            <w:proofErr w:type="spellEnd"/>
          </w:p>
        </w:tc>
        <w:tc>
          <w:tcPr>
            <w:tcW w:w="1495" w:type="pct"/>
          </w:tcPr>
          <w:p w14:paraId="0508799D"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Dommage</w:t>
            </w:r>
            <w:proofErr w:type="spellEnd"/>
          </w:p>
        </w:tc>
      </w:tr>
      <w:tr w:rsidR="00BD1A2F" w:rsidRPr="00632C4D" w14:paraId="0B35524A" w14:textId="77777777" w:rsidTr="003A0E4A">
        <w:trPr>
          <w:trHeight w:val="136"/>
        </w:trPr>
        <w:tc>
          <w:tcPr>
            <w:tcW w:w="879" w:type="pct"/>
          </w:tcPr>
          <w:p w14:paraId="52D6324A" w14:textId="77777777" w:rsidR="00DE241D" w:rsidRPr="0097258B" w:rsidRDefault="00DE241D" w:rsidP="00E20250">
            <w:pPr>
              <w:spacing w:line="240" w:lineRule="auto"/>
              <w:rPr>
                <w:rFonts w:ascii="Times New Roman" w:hAnsi="Times New Roman"/>
                <w:sz w:val="20"/>
                <w:szCs w:val="20"/>
                <w:lang w:val="fr-FR"/>
              </w:rPr>
            </w:pPr>
          </w:p>
          <w:p w14:paraId="7E5419E5" w14:textId="77777777" w:rsidR="00DE241D" w:rsidRPr="0097258B" w:rsidRDefault="00DE241D" w:rsidP="00E20250">
            <w:pPr>
              <w:spacing w:line="240" w:lineRule="auto"/>
              <w:rPr>
                <w:rFonts w:ascii="Times New Roman" w:hAnsi="Times New Roman"/>
                <w:sz w:val="20"/>
                <w:szCs w:val="20"/>
                <w:lang w:val="fr-FR"/>
              </w:rPr>
            </w:pPr>
          </w:p>
          <w:p w14:paraId="7B725E4C" w14:textId="77777777" w:rsidR="00DE241D" w:rsidRPr="0097258B" w:rsidRDefault="00DE241D" w:rsidP="00E20250">
            <w:pPr>
              <w:spacing w:line="240" w:lineRule="auto"/>
              <w:rPr>
                <w:rFonts w:ascii="Times New Roman" w:hAnsi="Times New Roman"/>
                <w:sz w:val="20"/>
                <w:szCs w:val="20"/>
                <w:lang w:val="fr-FR"/>
              </w:rPr>
            </w:pPr>
            <w:r w:rsidRPr="0097258B">
              <w:rPr>
                <w:rFonts w:ascii="Times New Roman" w:hAnsi="Times New Roman"/>
                <w:sz w:val="20"/>
                <w:szCs w:val="20"/>
              </w:rPr>
              <w:t xml:space="preserve">Avant </w:t>
            </w:r>
            <w:proofErr w:type="spellStart"/>
            <w:r w:rsidRPr="0097258B">
              <w:rPr>
                <w:rFonts w:ascii="Times New Roman" w:hAnsi="Times New Roman"/>
                <w:sz w:val="20"/>
                <w:szCs w:val="20"/>
              </w:rPr>
              <w:t>prévention</w:t>
            </w:r>
            <w:proofErr w:type="spellEnd"/>
          </w:p>
        </w:tc>
        <w:tc>
          <w:tcPr>
            <w:tcW w:w="798" w:type="pct"/>
          </w:tcPr>
          <w:p w14:paraId="6D989067" w14:textId="77777777" w:rsidR="00DE241D" w:rsidRPr="0097258B" w:rsidRDefault="00DE241D" w:rsidP="00451F8A">
            <w:pPr>
              <w:spacing w:line="240" w:lineRule="auto"/>
              <w:ind w:left="101"/>
              <w:rPr>
                <w:rFonts w:ascii="Times New Roman" w:hAnsi="Times New Roman"/>
                <w:sz w:val="20"/>
                <w:szCs w:val="20"/>
                <w:lang w:val="fr-FR"/>
              </w:rPr>
            </w:pPr>
            <w:r w:rsidRPr="00301AF6">
              <w:rPr>
                <w:rFonts w:ascii="Times New Roman" w:hAnsi="Times New Roman"/>
                <w:sz w:val="20"/>
                <w:szCs w:val="20"/>
                <w:lang w:val="fr-FR"/>
              </w:rPr>
              <w:t>Fuite et/ou déversement de polluant ;</w:t>
            </w:r>
          </w:p>
          <w:p w14:paraId="10E8B6EF" w14:textId="77777777" w:rsidR="00DE241D" w:rsidRPr="0097258B" w:rsidRDefault="00DE241D" w:rsidP="00451F8A">
            <w:pPr>
              <w:spacing w:line="240" w:lineRule="auto"/>
              <w:ind w:left="101"/>
              <w:rPr>
                <w:rFonts w:ascii="Times New Roman" w:hAnsi="Times New Roman"/>
                <w:sz w:val="20"/>
                <w:szCs w:val="20"/>
                <w:lang w:val="fr-FR"/>
              </w:rPr>
            </w:pPr>
            <w:proofErr w:type="spellStart"/>
            <w:r w:rsidRPr="0097258B">
              <w:rPr>
                <w:rFonts w:ascii="Times New Roman" w:hAnsi="Times New Roman"/>
                <w:sz w:val="20"/>
                <w:szCs w:val="20"/>
              </w:rPr>
              <w:t>Mauvaise</w:t>
            </w:r>
            <w:proofErr w:type="spellEnd"/>
            <w:r w:rsidRPr="0097258B">
              <w:rPr>
                <w:rFonts w:ascii="Times New Roman" w:hAnsi="Times New Roman"/>
                <w:sz w:val="20"/>
                <w:szCs w:val="20"/>
              </w:rPr>
              <w:t xml:space="preserve"> gestion des </w:t>
            </w:r>
            <w:proofErr w:type="spellStart"/>
            <w:r w:rsidRPr="0097258B">
              <w:rPr>
                <w:rFonts w:ascii="Times New Roman" w:hAnsi="Times New Roman"/>
                <w:sz w:val="20"/>
                <w:szCs w:val="20"/>
              </w:rPr>
              <w:t>déchets</w:t>
            </w:r>
            <w:proofErr w:type="spellEnd"/>
          </w:p>
        </w:tc>
        <w:tc>
          <w:tcPr>
            <w:tcW w:w="657" w:type="pct"/>
          </w:tcPr>
          <w:p w14:paraId="4ABE9783" w14:textId="77777777" w:rsidR="00DE241D" w:rsidRPr="0097258B" w:rsidRDefault="00DE241D" w:rsidP="00451F8A">
            <w:pPr>
              <w:spacing w:line="240" w:lineRule="auto"/>
              <w:jc w:val="center"/>
              <w:rPr>
                <w:rFonts w:ascii="Times New Roman" w:hAnsi="Times New Roman"/>
                <w:b/>
                <w:bCs/>
                <w:sz w:val="20"/>
                <w:szCs w:val="20"/>
                <w:lang w:val="fr-FR"/>
              </w:rPr>
            </w:pPr>
          </w:p>
          <w:p w14:paraId="0CC74845" w14:textId="77777777" w:rsidR="00DE241D" w:rsidRPr="0097258B" w:rsidRDefault="00DE241D" w:rsidP="00451F8A">
            <w:pPr>
              <w:spacing w:line="240" w:lineRule="auto"/>
              <w:jc w:val="center"/>
              <w:rPr>
                <w:rFonts w:ascii="Times New Roman" w:hAnsi="Times New Roman"/>
                <w:b/>
                <w:bCs/>
                <w:sz w:val="20"/>
                <w:szCs w:val="20"/>
                <w:lang w:val="fr-FR"/>
              </w:rPr>
            </w:pPr>
          </w:p>
          <w:p w14:paraId="542C4413" w14:textId="77777777" w:rsidR="00DE241D" w:rsidRPr="0097258B" w:rsidRDefault="00DE241D" w:rsidP="00451F8A">
            <w:pPr>
              <w:spacing w:line="240" w:lineRule="auto"/>
              <w:jc w:val="center"/>
              <w:rPr>
                <w:rFonts w:ascii="Times New Roman" w:hAnsi="Times New Roman"/>
                <w:b/>
                <w:bCs/>
                <w:sz w:val="20"/>
                <w:szCs w:val="20"/>
                <w:lang w:val="fr-FR"/>
              </w:rPr>
            </w:pPr>
            <w:r w:rsidRPr="0097258B">
              <w:rPr>
                <w:rFonts w:ascii="Times New Roman" w:hAnsi="Times New Roman"/>
                <w:b/>
                <w:bCs/>
                <w:sz w:val="20"/>
                <w:szCs w:val="20"/>
              </w:rPr>
              <w:t>2</w:t>
            </w:r>
          </w:p>
        </w:tc>
        <w:tc>
          <w:tcPr>
            <w:tcW w:w="512" w:type="pct"/>
          </w:tcPr>
          <w:p w14:paraId="413C71E8" w14:textId="77777777" w:rsidR="00DE241D" w:rsidRPr="0097258B" w:rsidRDefault="00DE241D" w:rsidP="00451F8A">
            <w:pPr>
              <w:spacing w:line="240" w:lineRule="auto"/>
              <w:jc w:val="center"/>
              <w:rPr>
                <w:rFonts w:ascii="Times New Roman" w:hAnsi="Times New Roman"/>
                <w:b/>
                <w:bCs/>
                <w:sz w:val="20"/>
                <w:szCs w:val="20"/>
                <w:lang w:val="fr-FR"/>
              </w:rPr>
            </w:pPr>
          </w:p>
          <w:p w14:paraId="46EAA56D" w14:textId="77777777" w:rsidR="00DE241D" w:rsidRPr="0097258B" w:rsidRDefault="00DE241D" w:rsidP="00451F8A">
            <w:pPr>
              <w:spacing w:line="240" w:lineRule="auto"/>
              <w:jc w:val="center"/>
              <w:rPr>
                <w:rFonts w:ascii="Times New Roman" w:hAnsi="Times New Roman"/>
                <w:b/>
                <w:bCs/>
                <w:sz w:val="20"/>
                <w:szCs w:val="20"/>
                <w:lang w:val="fr-FR"/>
              </w:rPr>
            </w:pPr>
          </w:p>
          <w:p w14:paraId="32D91FC3" w14:textId="77777777" w:rsidR="00DE241D" w:rsidRPr="0097258B" w:rsidRDefault="00DE241D" w:rsidP="00451F8A">
            <w:pPr>
              <w:spacing w:line="240" w:lineRule="auto"/>
              <w:jc w:val="center"/>
              <w:rPr>
                <w:rFonts w:ascii="Times New Roman" w:hAnsi="Times New Roman"/>
                <w:b/>
                <w:bCs/>
                <w:sz w:val="20"/>
                <w:szCs w:val="20"/>
                <w:lang w:val="fr-FR"/>
              </w:rPr>
            </w:pPr>
            <w:r w:rsidRPr="0097258B">
              <w:rPr>
                <w:rFonts w:ascii="Times New Roman" w:hAnsi="Times New Roman"/>
                <w:b/>
                <w:bCs/>
                <w:sz w:val="20"/>
                <w:szCs w:val="20"/>
              </w:rPr>
              <w:t>2</w:t>
            </w:r>
          </w:p>
        </w:tc>
        <w:tc>
          <w:tcPr>
            <w:tcW w:w="659" w:type="pct"/>
            <w:shd w:val="clear" w:color="auto" w:fill="FFFF00"/>
          </w:tcPr>
          <w:p w14:paraId="4EA45B86" w14:textId="77777777" w:rsidR="00DE241D" w:rsidRPr="0097258B" w:rsidRDefault="00DE241D" w:rsidP="00451F8A">
            <w:pPr>
              <w:spacing w:line="240" w:lineRule="auto"/>
              <w:jc w:val="center"/>
              <w:rPr>
                <w:rFonts w:ascii="Times New Roman" w:hAnsi="Times New Roman"/>
                <w:b/>
                <w:bCs/>
                <w:sz w:val="20"/>
                <w:szCs w:val="20"/>
                <w:lang w:val="fr-FR"/>
              </w:rPr>
            </w:pPr>
          </w:p>
          <w:p w14:paraId="1257FBCC" w14:textId="77777777" w:rsidR="00DE241D" w:rsidRPr="0097258B" w:rsidRDefault="00DE241D" w:rsidP="00451F8A">
            <w:pPr>
              <w:spacing w:line="240" w:lineRule="auto"/>
              <w:jc w:val="center"/>
              <w:rPr>
                <w:rFonts w:ascii="Times New Roman" w:hAnsi="Times New Roman"/>
                <w:b/>
                <w:bCs/>
                <w:sz w:val="20"/>
                <w:szCs w:val="20"/>
                <w:lang w:val="fr-FR"/>
              </w:rPr>
            </w:pPr>
          </w:p>
          <w:p w14:paraId="54638BF6" w14:textId="77777777" w:rsidR="00DE241D" w:rsidRPr="0097258B" w:rsidRDefault="00DE241D" w:rsidP="00451F8A">
            <w:pPr>
              <w:spacing w:line="240" w:lineRule="auto"/>
              <w:jc w:val="center"/>
              <w:rPr>
                <w:rFonts w:ascii="Times New Roman" w:hAnsi="Times New Roman"/>
                <w:b/>
                <w:bCs/>
                <w:sz w:val="20"/>
                <w:szCs w:val="20"/>
                <w:lang w:val="fr-FR"/>
              </w:rPr>
            </w:pPr>
            <w:r w:rsidRPr="0097258B">
              <w:rPr>
                <w:rFonts w:ascii="Times New Roman" w:hAnsi="Times New Roman"/>
                <w:b/>
                <w:bCs/>
                <w:sz w:val="20"/>
                <w:szCs w:val="20"/>
              </w:rPr>
              <w:t>22</w:t>
            </w:r>
          </w:p>
        </w:tc>
        <w:tc>
          <w:tcPr>
            <w:tcW w:w="1495" w:type="pct"/>
          </w:tcPr>
          <w:p w14:paraId="09FD47D1" w14:textId="77777777" w:rsidR="00DE241D" w:rsidRPr="0097258B" w:rsidRDefault="00DE241D" w:rsidP="00451F8A">
            <w:pPr>
              <w:spacing w:line="240" w:lineRule="auto"/>
              <w:ind w:left="156"/>
              <w:rPr>
                <w:rFonts w:ascii="Times New Roman" w:hAnsi="Times New Roman"/>
                <w:sz w:val="20"/>
                <w:szCs w:val="20"/>
                <w:lang w:val="fr-FR"/>
              </w:rPr>
            </w:pPr>
            <w:r w:rsidRPr="00301AF6">
              <w:rPr>
                <w:rFonts w:ascii="Times New Roman" w:hAnsi="Times New Roman"/>
                <w:sz w:val="20"/>
                <w:szCs w:val="20"/>
                <w:lang w:val="fr-FR"/>
              </w:rPr>
              <w:t>Destruction de la microfaune du sol ;</w:t>
            </w:r>
          </w:p>
          <w:p w14:paraId="54B8E289" w14:textId="4E890D28" w:rsidR="00DE241D" w:rsidRPr="0097258B" w:rsidRDefault="00DE241D" w:rsidP="00451F8A">
            <w:pPr>
              <w:spacing w:line="240" w:lineRule="auto"/>
              <w:ind w:left="156"/>
              <w:rPr>
                <w:rFonts w:ascii="Times New Roman" w:hAnsi="Times New Roman"/>
                <w:sz w:val="20"/>
                <w:szCs w:val="20"/>
                <w:lang w:val="fr-FR"/>
              </w:rPr>
            </w:pPr>
            <w:r w:rsidRPr="00301AF6">
              <w:rPr>
                <w:rFonts w:ascii="Times New Roman" w:hAnsi="Times New Roman"/>
                <w:sz w:val="20"/>
                <w:szCs w:val="20"/>
                <w:lang w:val="fr-FR"/>
              </w:rPr>
              <w:t xml:space="preserve">Baisse de rendement des </w:t>
            </w:r>
            <w:r w:rsidR="00C068B4" w:rsidRPr="00301AF6">
              <w:rPr>
                <w:rFonts w:ascii="Times New Roman" w:hAnsi="Times New Roman"/>
                <w:sz w:val="20"/>
                <w:szCs w:val="20"/>
                <w:lang w:val="fr-FR"/>
              </w:rPr>
              <w:t>cultures </w:t>
            </w:r>
            <w:r w:rsidRPr="00301AF6">
              <w:rPr>
                <w:rFonts w:ascii="Times New Roman" w:hAnsi="Times New Roman"/>
                <w:sz w:val="20"/>
                <w:szCs w:val="20"/>
                <w:lang w:val="fr-FR"/>
              </w:rPr>
              <w:t>;</w:t>
            </w:r>
          </w:p>
          <w:p w14:paraId="53D771CB" w14:textId="77777777" w:rsidR="00DE241D" w:rsidRPr="0097258B" w:rsidRDefault="00DE241D" w:rsidP="00451F8A">
            <w:pPr>
              <w:spacing w:line="240" w:lineRule="auto"/>
              <w:ind w:left="156"/>
              <w:rPr>
                <w:rFonts w:ascii="Times New Roman" w:hAnsi="Times New Roman"/>
                <w:sz w:val="20"/>
                <w:szCs w:val="20"/>
                <w:lang w:val="fr-FR"/>
              </w:rPr>
            </w:pPr>
            <w:r w:rsidRPr="00301AF6">
              <w:rPr>
                <w:rFonts w:ascii="Times New Roman" w:hAnsi="Times New Roman"/>
                <w:sz w:val="20"/>
                <w:szCs w:val="20"/>
                <w:lang w:val="fr-FR"/>
              </w:rPr>
              <w:t>Transfert de polluants les eaux souterraines et de surface</w:t>
            </w:r>
          </w:p>
        </w:tc>
      </w:tr>
      <w:tr w:rsidR="00BD1A2F" w:rsidRPr="00632C4D" w14:paraId="17309E48" w14:textId="77777777" w:rsidTr="003A0E4A">
        <w:trPr>
          <w:trHeight w:val="562"/>
        </w:trPr>
        <w:tc>
          <w:tcPr>
            <w:tcW w:w="879" w:type="pct"/>
          </w:tcPr>
          <w:p w14:paraId="17A296AF" w14:textId="77777777" w:rsidR="00DE241D" w:rsidRPr="0097258B" w:rsidRDefault="00DE241D" w:rsidP="00E20250">
            <w:pPr>
              <w:spacing w:line="240" w:lineRule="auto"/>
              <w:rPr>
                <w:rFonts w:ascii="Times New Roman" w:hAnsi="Times New Roman"/>
                <w:sz w:val="20"/>
                <w:szCs w:val="20"/>
                <w:lang w:val="fr-FR"/>
              </w:rPr>
            </w:pPr>
          </w:p>
          <w:p w14:paraId="537B7B15" w14:textId="77777777" w:rsidR="00DE241D" w:rsidRPr="0097258B" w:rsidRDefault="00DE241D" w:rsidP="00E20250">
            <w:pPr>
              <w:spacing w:line="240" w:lineRule="auto"/>
              <w:rPr>
                <w:rFonts w:ascii="Times New Roman" w:hAnsi="Times New Roman"/>
                <w:sz w:val="20"/>
                <w:szCs w:val="20"/>
                <w:lang w:val="fr-FR"/>
              </w:rPr>
            </w:pPr>
          </w:p>
          <w:p w14:paraId="432DC7B8" w14:textId="77777777" w:rsidR="00DE241D" w:rsidRPr="0097258B" w:rsidRDefault="00DE241D" w:rsidP="00E20250">
            <w:pPr>
              <w:spacing w:line="240" w:lineRule="auto"/>
              <w:rPr>
                <w:rFonts w:ascii="Times New Roman" w:hAnsi="Times New Roman"/>
                <w:sz w:val="20"/>
                <w:szCs w:val="20"/>
                <w:lang w:val="fr-FR"/>
              </w:rPr>
            </w:pPr>
          </w:p>
          <w:p w14:paraId="4E53B7AF" w14:textId="77777777" w:rsidR="00DE241D" w:rsidRPr="0097258B" w:rsidRDefault="00DE241D" w:rsidP="00E20250">
            <w:pPr>
              <w:spacing w:line="240" w:lineRule="auto"/>
              <w:rPr>
                <w:rFonts w:ascii="Times New Roman" w:hAnsi="Times New Roman"/>
                <w:sz w:val="20"/>
                <w:szCs w:val="20"/>
                <w:lang w:val="fr-FR"/>
              </w:rPr>
            </w:pPr>
            <w:proofErr w:type="spellStart"/>
            <w:r w:rsidRPr="0097258B">
              <w:rPr>
                <w:rFonts w:ascii="Times New Roman" w:hAnsi="Times New Roman"/>
                <w:sz w:val="20"/>
                <w:szCs w:val="20"/>
              </w:rPr>
              <w:t>Mesures</w:t>
            </w:r>
            <w:proofErr w:type="spellEnd"/>
            <w:r w:rsidRPr="0097258B">
              <w:rPr>
                <w:rFonts w:ascii="Times New Roman" w:hAnsi="Times New Roman"/>
                <w:sz w:val="20"/>
                <w:szCs w:val="20"/>
              </w:rPr>
              <w:tab/>
              <w:t xml:space="preserve">de </w:t>
            </w:r>
            <w:proofErr w:type="spellStart"/>
            <w:r w:rsidRPr="0097258B">
              <w:rPr>
                <w:rFonts w:ascii="Times New Roman" w:hAnsi="Times New Roman"/>
                <w:sz w:val="20"/>
                <w:szCs w:val="20"/>
              </w:rPr>
              <w:t>prévention</w:t>
            </w:r>
            <w:proofErr w:type="spellEnd"/>
          </w:p>
        </w:tc>
        <w:tc>
          <w:tcPr>
            <w:tcW w:w="4121" w:type="pct"/>
            <w:gridSpan w:val="5"/>
          </w:tcPr>
          <w:p w14:paraId="7CBA863E" w14:textId="77777777" w:rsidR="00DE241D" w:rsidRPr="0097258B" w:rsidRDefault="00DE241D" w:rsidP="001748C6">
            <w:pPr>
              <w:pStyle w:val="Default"/>
              <w:numPr>
                <w:ilvl w:val="0"/>
                <w:numId w:val="302"/>
              </w:numPr>
              <w:overflowPunct w:val="0"/>
              <w:ind w:right="57" w:hanging="259"/>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Prévoir un système de prétraitement des eaux de lavage des engins ;</w:t>
            </w:r>
          </w:p>
          <w:p w14:paraId="1ABCF847" w14:textId="77777777" w:rsidR="00DE241D" w:rsidRPr="0097258B" w:rsidRDefault="00DE241D" w:rsidP="001748C6">
            <w:pPr>
              <w:pStyle w:val="Default"/>
              <w:numPr>
                <w:ilvl w:val="0"/>
                <w:numId w:val="302"/>
              </w:numPr>
              <w:overflowPunct w:val="0"/>
              <w:ind w:right="57" w:hanging="259"/>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Aménager une station d’entretien muni d’un séparateur d’hydrocarbures (déshuileur) et débourbeur pour la maintenance des engins et véhicules ;</w:t>
            </w:r>
          </w:p>
          <w:p w14:paraId="5E8D8A17" w14:textId="77777777" w:rsidR="00DE241D" w:rsidRPr="0097258B" w:rsidRDefault="00DE241D" w:rsidP="001748C6">
            <w:pPr>
              <w:pStyle w:val="Default"/>
              <w:numPr>
                <w:ilvl w:val="0"/>
                <w:numId w:val="302"/>
              </w:numPr>
              <w:overflowPunct w:val="0"/>
              <w:ind w:right="57" w:hanging="259"/>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Stocker les substances dangereuses dans des contenants adaptés, sur une aire étanche et à l’abri des précipitations ;</w:t>
            </w:r>
          </w:p>
          <w:p w14:paraId="76F78D70" w14:textId="50CA9ECA" w:rsidR="00DE241D" w:rsidRPr="0097258B" w:rsidRDefault="00DE241D" w:rsidP="001748C6">
            <w:pPr>
              <w:pStyle w:val="Default"/>
              <w:numPr>
                <w:ilvl w:val="0"/>
                <w:numId w:val="302"/>
              </w:numPr>
              <w:overflowPunct w:val="0"/>
              <w:ind w:right="57" w:hanging="259"/>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 xml:space="preserve">Prévoir des toilettes pour la base </w:t>
            </w:r>
            <w:r w:rsidR="00C47F28" w:rsidRPr="00301AF6">
              <w:rPr>
                <w:rFonts w:ascii="Times New Roman" w:hAnsi="Times New Roman" w:cs="Times New Roman"/>
                <w:color w:val="000000" w:themeColor="text1"/>
                <w:sz w:val="20"/>
                <w:szCs w:val="20"/>
                <w:lang w:val="fr-FR"/>
              </w:rPr>
              <w:t xml:space="preserve">de </w:t>
            </w:r>
            <w:r w:rsidRPr="0097258B">
              <w:rPr>
                <w:rFonts w:ascii="Times New Roman" w:hAnsi="Times New Roman" w:cs="Times New Roman"/>
                <w:color w:val="000000" w:themeColor="text1"/>
                <w:sz w:val="20"/>
                <w:szCs w:val="20"/>
                <w:lang w:val="fr-SN"/>
              </w:rPr>
              <w:t>chantier ;</w:t>
            </w:r>
          </w:p>
          <w:p w14:paraId="11F9EFE9" w14:textId="77777777" w:rsidR="00DE241D" w:rsidRPr="0097258B" w:rsidRDefault="00DE241D" w:rsidP="001748C6">
            <w:pPr>
              <w:pStyle w:val="Default"/>
              <w:numPr>
                <w:ilvl w:val="0"/>
                <w:numId w:val="302"/>
              </w:numPr>
              <w:overflowPunct w:val="0"/>
              <w:ind w:right="57" w:hanging="259"/>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Assurer la collecte systématique des déchets dangereux et leur prise en charge par un prestataire agréé ;</w:t>
            </w:r>
          </w:p>
          <w:p w14:paraId="3C75789D" w14:textId="77777777" w:rsidR="00DE241D" w:rsidRPr="0097258B" w:rsidRDefault="00DE241D" w:rsidP="001748C6">
            <w:pPr>
              <w:pStyle w:val="Default"/>
              <w:numPr>
                <w:ilvl w:val="0"/>
                <w:numId w:val="302"/>
              </w:numPr>
              <w:overflowPunct w:val="0"/>
              <w:ind w:right="57" w:hanging="259"/>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Faire des provisions de substances absorbant pour la récupération d’éventuelles substances dangereuses déversées ;</w:t>
            </w:r>
          </w:p>
          <w:p w14:paraId="01A0F701" w14:textId="083A8513" w:rsidR="00DE241D" w:rsidRPr="0097258B" w:rsidRDefault="00E60FA9" w:rsidP="001748C6">
            <w:pPr>
              <w:pStyle w:val="Default"/>
              <w:numPr>
                <w:ilvl w:val="0"/>
                <w:numId w:val="302"/>
              </w:numPr>
              <w:overflowPunct w:val="0"/>
              <w:ind w:right="57" w:hanging="259"/>
              <w:jc w:val="both"/>
              <w:textAlignment w:val="baseline"/>
              <w:rPr>
                <w:rFonts w:ascii="Times New Roman" w:hAnsi="Times New Roman" w:cs="Times New Roman"/>
                <w:sz w:val="20"/>
                <w:szCs w:val="20"/>
                <w:lang w:val="fr-FR"/>
              </w:rPr>
            </w:pPr>
            <w:r w:rsidRPr="0097258B">
              <w:rPr>
                <w:rFonts w:ascii="Times New Roman" w:hAnsi="Times New Roman" w:cs="Times New Roman"/>
                <w:color w:val="000000" w:themeColor="text1"/>
                <w:sz w:val="20"/>
                <w:szCs w:val="20"/>
                <w:lang w:val="fr-SN"/>
              </w:rPr>
              <w:t>É</w:t>
            </w:r>
            <w:r w:rsidR="00DE241D" w:rsidRPr="0097258B">
              <w:rPr>
                <w:rFonts w:ascii="Times New Roman" w:hAnsi="Times New Roman" w:cs="Times New Roman"/>
                <w:color w:val="000000" w:themeColor="text1"/>
                <w:sz w:val="20"/>
                <w:szCs w:val="20"/>
                <w:lang w:val="fr-SN"/>
              </w:rPr>
              <w:t>laborer des procédures d’intervention en cas de déversement de polluants</w:t>
            </w:r>
          </w:p>
        </w:tc>
      </w:tr>
      <w:tr w:rsidR="00BD1A2F" w:rsidRPr="00632C4D" w14:paraId="7E4C0294" w14:textId="77777777" w:rsidTr="003A0E4A">
        <w:trPr>
          <w:trHeight w:val="230"/>
        </w:trPr>
        <w:tc>
          <w:tcPr>
            <w:tcW w:w="879" w:type="pct"/>
          </w:tcPr>
          <w:p w14:paraId="3F34FD7C" w14:textId="77777777" w:rsidR="00DE241D" w:rsidRPr="0097258B" w:rsidRDefault="00DE241D" w:rsidP="00E20250">
            <w:pPr>
              <w:spacing w:line="240" w:lineRule="auto"/>
              <w:rPr>
                <w:rFonts w:ascii="Times New Roman" w:hAnsi="Times New Roman"/>
                <w:sz w:val="20"/>
                <w:szCs w:val="20"/>
                <w:lang w:val="fr-FR"/>
              </w:rPr>
            </w:pPr>
          </w:p>
        </w:tc>
        <w:tc>
          <w:tcPr>
            <w:tcW w:w="798" w:type="pct"/>
          </w:tcPr>
          <w:p w14:paraId="6EED4E68" w14:textId="77777777" w:rsidR="00DE241D" w:rsidRPr="0097258B" w:rsidRDefault="00DE241D" w:rsidP="00E20250">
            <w:pPr>
              <w:spacing w:line="240" w:lineRule="auto"/>
              <w:rPr>
                <w:rFonts w:ascii="Times New Roman" w:hAnsi="Times New Roman"/>
                <w:b/>
                <w:bCs/>
                <w:sz w:val="20"/>
                <w:szCs w:val="20"/>
                <w:lang w:val="fr-FR"/>
              </w:rPr>
            </w:pPr>
            <w:r w:rsidRPr="0097258B">
              <w:rPr>
                <w:rFonts w:ascii="Times New Roman" w:hAnsi="Times New Roman"/>
                <w:b/>
                <w:bCs/>
                <w:sz w:val="20"/>
                <w:szCs w:val="20"/>
              </w:rPr>
              <w:t>Risque final</w:t>
            </w:r>
          </w:p>
        </w:tc>
        <w:tc>
          <w:tcPr>
            <w:tcW w:w="657" w:type="pct"/>
          </w:tcPr>
          <w:p w14:paraId="20E5D189"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Probabilité</w:t>
            </w:r>
            <w:proofErr w:type="spellEnd"/>
          </w:p>
        </w:tc>
        <w:tc>
          <w:tcPr>
            <w:tcW w:w="512" w:type="pct"/>
          </w:tcPr>
          <w:p w14:paraId="2BA44206"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Gravité</w:t>
            </w:r>
            <w:proofErr w:type="spellEnd"/>
          </w:p>
        </w:tc>
        <w:tc>
          <w:tcPr>
            <w:tcW w:w="659" w:type="pct"/>
          </w:tcPr>
          <w:p w14:paraId="57859E12"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Criticité</w:t>
            </w:r>
            <w:proofErr w:type="spellEnd"/>
          </w:p>
        </w:tc>
        <w:tc>
          <w:tcPr>
            <w:tcW w:w="1495" w:type="pct"/>
          </w:tcPr>
          <w:p w14:paraId="3C0DF3BA"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Dommage</w:t>
            </w:r>
            <w:proofErr w:type="spellEnd"/>
            <w:r w:rsidRPr="0097258B">
              <w:rPr>
                <w:rFonts w:ascii="Times New Roman" w:hAnsi="Times New Roman"/>
                <w:b/>
                <w:bCs/>
                <w:sz w:val="20"/>
                <w:szCs w:val="20"/>
              </w:rPr>
              <w:t xml:space="preserve"> </w:t>
            </w:r>
            <w:proofErr w:type="spellStart"/>
            <w:r w:rsidRPr="0097258B">
              <w:rPr>
                <w:rFonts w:ascii="Times New Roman" w:hAnsi="Times New Roman"/>
                <w:b/>
                <w:bCs/>
                <w:sz w:val="20"/>
                <w:szCs w:val="20"/>
              </w:rPr>
              <w:t>résiduel</w:t>
            </w:r>
            <w:proofErr w:type="spellEnd"/>
          </w:p>
        </w:tc>
      </w:tr>
      <w:tr w:rsidR="00BD1A2F" w:rsidRPr="00632C4D" w14:paraId="7F921719" w14:textId="77777777" w:rsidTr="003A0E4A">
        <w:trPr>
          <w:trHeight w:val="351"/>
        </w:trPr>
        <w:tc>
          <w:tcPr>
            <w:tcW w:w="879" w:type="pct"/>
          </w:tcPr>
          <w:p w14:paraId="450BEA11" w14:textId="77777777" w:rsidR="00DE241D" w:rsidRPr="0097258B" w:rsidRDefault="00DE241D" w:rsidP="00E20250">
            <w:pPr>
              <w:spacing w:line="240" w:lineRule="auto"/>
              <w:rPr>
                <w:rFonts w:ascii="Times New Roman" w:hAnsi="Times New Roman"/>
                <w:sz w:val="20"/>
                <w:szCs w:val="20"/>
                <w:lang w:val="fr-FR"/>
              </w:rPr>
            </w:pPr>
            <w:r w:rsidRPr="0097258B">
              <w:rPr>
                <w:rFonts w:ascii="Times New Roman" w:hAnsi="Times New Roman"/>
                <w:sz w:val="20"/>
                <w:szCs w:val="20"/>
              </w:rPr>
              <w:t xml:space="preserve">Après </w:t>
            </w:r>
            <w:proofErr w:type="spellStart"/>
            <w:r w:rsidRPr="0097258B">
              <w:rPr>
                <w:rFonts w:ascii="Times New Roman" w:hAnsi="Times New Roman"/>
                <w:sz w:val="20"/>
                <w:szCs w:val="20"/>
              </w:rPr>
              <w:t>prévention</w:t>
            </w:r>
            <w:proofErr w:type="spellEnd"/>
          </w:p>
        </w:tc>
        <w:tc>
          <w:tcPr>
            <w:tcW w:w="798" w:type="pct"/>
          </w:tcPr>
          <w:p w14:paraId="751F6337" w14:textId="77777777" w:rsidR="00DE241D" w:rsidRPr="0097258B" w:rsidRDefault="00DE241D" w:rsidP="00451F8A">
            <w:pPr>
              <w:spacing w:line="240" w:lineRule="auto"/>
              <w:ind w:left="101"/>
              <w:rPr>
                <w:rFonts w:ascii="Times New Roman" w:hAnsi="Times New Roman"/>
                <w:sz w:val="20"/>
                <w:szCs w:val="20"/>
                <w:lang w:val="fr-FR"/>
              </w:rPr>
            </w:pPr>
            <w:proofErr w:type="spellStart"/>
            <w:r w:rsidRPr="0097258B">
              <w:rPr>
                <w:rFonts w:ascii="Times New Roman" w:hAnsi="Times New Roman"/>
                <w:sz w:val="20"/>
                <w:szCs w:val="20"/>
              </w:rPr>
              <w:t>Fuites</w:t>
            </w:r>
            <w:proofErr w:type="spellEnd"/>
            <w:r w:rsidRPr="0097258B">
              <w:rPr>
                <w:rFonts w:ascii="Times New Roman" w:hAnsi="Times New Roman"/>
                <w:sz w:val="20"/>
                <w:szCs w:val="20"/>
              </w:rPr>
              <w:t xml:space="preserve"> </w:t>
            </w:r>
            <w:proofErr w:type="spellStart"/>
            <w:r w:rsidRPr="0097258B">
              <w:rPr>
                <w:rFonts w:ascii="Times New Roman" w:hAnsi="Times New Roman"/>
                <w:sz w:val="20"/>
                <w:szCs w:val="20"/>
              </w:rPr>
              <w:t>mineures</w:t>
            </w:r>
            <w:proofErr w:type="spellEnd"/>
            <w:r w:rsidRPr="0097258B">
              <w:rPr>
                <w:rFonts w:ascii="Times New Roman" w:hAnsi="Times New Roman"/>
                <w:sz w:val="20"/>
                <w:szCs w:val="20"/>
              </w:rPr>
              <w:t xml:space="preserve"> de </w:t>
            </w:r>
            <w:proofErr w:type="spellStart"/>
            <w:r w:rsidRPr="0097258B">
              <w:rPr>
                <w:rFonts w:ascii="Times New Roman" w:hAnsi="Times New Roman"/>
                <w:sz w:val="20"/>
                <w:szCs w:val="20"/>
              </w:rPr>
              <w:t>polluants</w:t>
            </w:r>
            <w:proofErr w:type="spellEnd"/>
          </w:p>
        </w:tc>
        <w:tc>
          <w:tcPr>
            <w:tcW w:w="657" w:type="pct"/>
          </w:tcPr>
          <w:p w14:paraId="502E3B67" w14:textId="77777777" w:rsidR="00DE241D" w:rsidRPr="0097258B" w:rsidRDefault="00DE241D" w:rsidP="00451F8A">
            <w:pPr>
              <w:spacing w:line="240" w:lineRule="auto"/>
              <w:jc w:val="center"/>
              <w:rPr>
                <w:rFonts w:ascii="Times New Roman" w:hAnsi="Times New Roman"/>
                <w:b/>
                <w:bCs/>
                <w:sz w:val="20"/>
                <w:szCs w:val="20"/>
                <w:lang w:val="fr-FR"/>
              </w:rPr>
            </w:pPr>
            <w:r w:rsidRPr="0097258B">
              <w:rPr>
                <w:rFonts w:ascii="Times New Roman" w:hAnsi="Times New Roman"/>
                <w:b/>
                <w:bCs/>
                <w:sz w:val="20"/>
                <w:szCs w:val="20"/>
              </w:rPr>
              <w:t>1</w:t>
            </w:r>
          </w:p>
        </w:tc>
        <w:tc>
          <w:tcPr>
            <w:tcW w:w="512" w:type="pct"/>
          </w:tcPr>
          <w:p w14:paraId="18A9B32A" w14:textId="77777777" w:rsidR="00DE241D" w:rsidRPr="0097258B" w:rsidRDefault="00DE241D" w:rsidP="00451F8A">
            <w:pPr>
              <w:spacing w:line="240" w:lineRule="auto"/>
              <w:jc w:val="center"/>
              <w:rPr>
                <w:rFonts w:ascii="Times New Roman" w:hAnsi="Times New Roman"/>
                <w:b/>
                <w:bCs/>
                <w:sz w:val="20"/>
                <w:szCs w:val="20"/>
                <w:lang w:val="fr-FR"/>
              </w:rPr>
            </w:pPr>
            <w:r w:rsidRPr="0097258B">
              <w:rPr>
                <w:rFonts w:ascii="Times New Roman" w:hAnsi="Times New Roman"/>
                <w:b/>
                <w:bCs/>
                <w:sz w:val="20"/>
                <w:szCs w:val="20"/>
              </w:rPr>
              <w:t>1</w:t>
            </w:r>
          </w:p>
        </w:tc>
        <w:tc>
          <w:tcPr>
            <w:tcW w:w="659" w:type="pct"/>
            <w:shd w:val="clear" w:color="auto" w:fill="92D050"/>
          </w:tcPr>
          <w:p w14:paraId="414B1671" w14:textId="77777777" w:rsidR="00DE241D" w:rsidRPr="0097258B" w:rsidRDefault="00DE241D" w:rsidP="00451F8A">
            <w:pPr>
              <w:spacing w:line="240" w:lineRule="auto"/>
              <w:jc w:val="center"/>
              <w:rPr>
                <w:rFonts w:ascii="Times New Roman" w:hAnsi="Times New Roman"/>
                <w:b/>
                <w:bCs/>
                <w:sz w:val="20"/>
                <w:szCs w:val="20"/>
                <w:lang w:val="fr-FR"/>
              </w:rPr>
            </w:pPr>
            <w:r w:rsidRPr="0097258B">
              <w:rPr>
                <w:rFonts w:ascii="Times New Roman" w:hAnsi="Times New Roman"/>
                <w:b/>
                <w:bCs/>
                <w:sz w:val="20"/>
                <w:szCs w:val="20"/>
              </w:rPr>
              <w:t>11</w:t>
            </w:r>
          </w:p>
        </w:tc>
        <w:tc>
          <w:tcPr>
            <w:tcW w:w="1495" w:type="pct"/>
          </w:tcPr>
          <w:p w14:paraId="78A8D220" w14:textId="77777777" w:rsidR="00DE241D" w:rsidRPr="0097258B" w:rsidRDefault="00DE241D" w:rsidP="00451F8A">
            <w:pPr>
              <w:spacing w:line="240" w:lineRule="auto"/>
              <w:ind w:left="156" w:right="137"/>
              <w:rPr>
                <w:rFonts w:ascii="Times New Roman" w:hAnsi="Times New Roman"/>
                <w:sz w:val="20"/>
                <w:szCs w:val="20"/>
                <w:lang w:val="fr-FR"/>
              </w:rPr>
            </w:pPr>
            <w:proofErr w:type="spellStart"/>
            <w:r w:rsidRPr="0097258B">
              <w:rPr>
                <w:rFonts w:ascii="Times New Roman" w:hAnsi="Times New Roman"/>
                <w:sz w:val="20"/>
                <w:szCs w:val="20"/>
              </w:rPr>
              <w:t>Fuites</w:t>
            </w:r>
            <w:proofErr w:type="spellEnd"/>
            <w:r w:rsidRPr="0097258B">
              <w:rPr>
                <w:rFonts w:ascii="Times New Roman" w:hAnsi="Times New Roman"/>
                <w:sz w:val="20"/>
                <w:szCs w:val="20"/>
              </w:rPr>
              <w:t xml:space="preserve"> </w:t>
            </w:r>
            <w:proofErr w:type="spellStart"/>
            <w:r w:rsidRPr="0097258B">
              <w:rPr>
                <w:rFonts w:ascii="Times New Roman" w:hAnsi="Times New Roman"/>
                <w:sz w:val="20"/>
                <w:szCs w:val="20"/>
              </w:rPr>
              <w:t>mineures</w:t>
            </w:r>
            <w:proofErr w:type="spellEnd"/>
            <w:r w:rsidRPr="0097258B">
              <w:rPr>
                <w:rFonts w:ascii="Times New Roman" w:hAnsi="Times New Roman"/>
                <w:sz w:val="20"/>
                <w:szCs w:val="20"/>
              </w:rPr>
              <w:t xml:space="preserve"> de </w:t>
            </w:r>
            <w:proofErr w:type="spellStart"/>
            <w:r w:rsidRPr="0097258B">
              <w:rPr>
                <w:rFonts w:ascii="Times New Roman" w:hAnsi="Times New Roman"/>
                <w:sz w:val="20"/>
                <w:szCs w:val="20"/>
              </w:rPr>
              <w:t>polluants</w:t>
            </w:r>
            <w:proofErr w:type="spellEnd"/>
          </w:p>
        </w:tc>
      </w:tr>
      <w:tr w:rsidR="00BD1A2F" w:rsidRPr="00632C4D" w14:paraId="1AE57C10" w14:textId="77777777" w:rsidTr="003A0E4A">
        <w:trPr>
          <w:trHeight w:val="460"/>
        </w:trPr>
        <w:tc>
          <w:tcPr>
            <w:tcW w:w="879" w:type="pct"/>
          </w:tcPr>
          <w:p w14:paraId="228D157E" w14:textId="77777777" w:rsidR="00DE241D" w:rsidRPr="0097258B" w:rsidRDefault="00DE241D" w:rsidP="00E20250">
            <w:pPr>
              <w:spacing w:line="240" w:lineRule="auto"/>
              <w:rPr>
                <w:rFonts w:ascii="Times New Roman" w:hAnsi="Times New Roman"/>
                <w:sz w:val="20"/>
                <w:szCs w:val="20"/>
                <w:lang w:val="fr-FR"/>
              </w:rPr>
            </w:pPr>
            <w:r w:rsidRPr="0097258B">
              <w:rPr>
                <w:rFonts w:ascii="Times New Roman" w:hAnsi="Times New Roman"/>
                <w:sz w:val="20"/>
                <w:szCs w:val="20"/>
              </w:rPr>
              <w:t xml:space="preserve">Gestion des </w:t>
            </w:r>
            <w:proofErr w:type="spellStart"/>
            <w:r w:rsidRPr="0097258B">
              <w:rPr>
                <w:rFonts w:ascii="Times New Roman" w:hAnsi="Times New Roman"/>
                <w:sz w:val="20"/>
                <w:szCs w:val="20"/>
              </w:rPr>
              <w:t>conséquences</w:t>
            </w:r>
            <w:proofErr w:type="spellEnd"/>
          </w:p>
        </w:tc>
        <w:tc>
          <w:tcPr>
            <w:tcW w:w="4121" w:type="pct"/>
            <w:gridSpan w:val="5"/>
          </w:tcPr>
          <w:p w14:paraId="197E3C8C" w14:textId="77777777" w:rsidR="00DE241D" w:rsidRPr="0097258B" w:rsidRDefault="00DE241D" w:rsidP="00E20250">
            <w:pPr>
              <w:spacing w:line="240" w:lineRule="auto"/>
              <w:rPr>
                <w:rFonts w:ascii="Times New Roman" w:hAnsi="Times New Roman"/>
                <w:sz w:val="20"/>
                <w:szCs w:val="20"/>
                <w:lang w:val="fr-FR"/>
              </w:rPr>
            </w:pPr>
            <w:r w:rsidRPr="00301AF6">
              <w:rPr>
                <w:rFonts w:ascii="Times New Roman" w:hAnsi="Times New Roman"/>
                <w:sz w:val="20"/>
                <w:szCs w:val="20"/>
                <w:lang w:val="fr-FR"/>
              </w:rPr>
              <w:t>Collecter et décontaminer les sols souillés</w:t>
            </w:r>
          </w:p>
        </w:tc>
      </w:tr>
    </w:tbl>
    <w:p w14:paraId="70D523F0" w14:textId="77777777" w:rsidR="00DE241D" w:rsidRDefault="00DE241D" w:rsidP="00E20250">
      <w:pPr>
        <w:pStyle w:val="Default"/>
        <w:overflowPunct w:val="0"/>
        <w:textAlignment w:val="baseline"/>
        <w:rPr>
          <w:rFonts w:ascii="Times New Roman" w:hAnsi="Times New Roman" w:cs="Times New Roman"/>
          <w:color w:val="000000" w:themeColor="text1"/>
          <w:sz w:val="22"/>
          <w:szCs w:val="22"/>
        </w:rPr>
      </w:pPr>
    </w:p>
    <w:p w14:paraId="29641CE4" w14:textId="77777777" w:rsidR="0095190F" w:rsidRPr="00260790" w:rsidRDefault="0095190F" w:rsidP="00E20250">
      <w:pPr>
        <w:pStyle w:val="Default"/>
        <w:overflowPunct w:val="0"/>
        <w:textAlignment w:val="baseline"/>
        <w:rPr>
          <w:rFonts w:ascii="Times New Roman" w:hAnsi="Times New Roman" w:cs="Times New Roman"/>
          <w:color w:val="000000" w:themeColor="text1"/>
          <w:sz w:val="22"/>
          <w:szCs w:val="22"/>
        </w:rPr>
      </w:pPr>
    </w:p>
    <w:p w14:paraId="3BD09BE2" w14:textId="77777777" w:rsidR="00DE241D" w:rsidRPr="00260790" w:rsidRDefault="00DE241D" w:rsidP="001748C6">
      <w:pPr>
        <w:pStyle w:val="Paragraphedeliste"/>
        <w:numPr>
          <w:ilvl w:val="0"/>
          <w:numId w:val="300"/>
        </w:numPr>
        <w:spacing w:after="0" w:line="240" w:lineRule="auto"/>
        <w:jc w:val="both"/>
        <w:rPr>
          <w:rFonts w:ascii="Times New Roman" w:hAnsi="Times New Roman"/>
          <w:i/>
          <w:iCs/>
          <w:color w:val="000000" w:themeColor="text1"/>
          <w:u w:val="single"/>
        </w:rPr>
      </w:pPr>
      <w:r w:rsidRPr="00260790">
        <w:rPr>
          <w:rFonts w:ascii="Times New Roman" w:hAnsi="Times New Roman"/>
          <w:i/>
          <w:iCs/>
          <w:color w:val="000000" w:themeColor="text1"/>
          <w:u w:val="single"/>
        </w:rPr>
        <w:t>Impacts négatifs et risques sur le milieu humain</w:t>
      </w:r>
    </w:p>
    <w:p w14:paraId="4CF903F1" w14:textId="77777777" w:rsidR="00DE241D" w:rsidRPr="00260790" w:rsidRDefault="00DE241D" w:rsidP="00E20250">
      <w:pPr>
        <w:pStyle w:val="Tramemoyenne1-Accent21"/>
        <w:rPr>
          <w:rFonts w:ascii="Times New Roman" w:hAnsi="Times New Roman"/>
          <w:color w:val="000000" w:themeColor="text1"/>
        </w:rPr>
      </w:pPr>
    </w:p>
    <w:p w14:paraId="08192266" w14:textId="77777777" w:rsidR="00DE241D" w:rsidRPr="00260790" w:rsidRDefault="00DE241D" w:rsidP="001748C6">
      <w:pPr>
        <w:pStyle w:val="Corpsdetexte"/>
        <w:widowControl w:val="0"/>
        <w:numPr>
          <w:ilvl w:val="0"/>
          <w:numId w:val="269"/>
        </w:numPr>
        <w:pBdr>
          <w:top w:val="none" w:sz="0" w:space="0" w:color="auto"/>
          <w:left w:val="none" w:sz="0" w:space="0" w:color="auto"/>
          <w:bottom w:val="none" w:sz="0" w:space="0" w:color="auto"/>
          <w:right w:val="none" w:sz="0" w:space="0" w:color="auto"/>
        </w:pBdr>
        <w:shd w:val="clear" w:color="auto" w:fill="auto"/>
        <w:tabs>
          <w:tab w:val="clear" w:pos="4393"/>
        </w:tabs>
        <w:autoSpaceDE w:val="0"/>
        <w:autoSpaceDN w:val="0"/>
        <w:ind w:right="337"/>
        <w:jc w:val="both"/>
        <w:rPr>
          <w:b w:val="0"/>
          <w:i/>
          <w:color w:val="000000" w:themeColor="text1"/>
          <w:sz w:val="22"/>
          <w:szCs w:val="22"/>
        </w:rPr>
      </w:pPr>
      <w:r w:rsidRPr="00260790">
        <w:rPr>
          <w:i/>
          <w:color w:val="000000" w:themeColor="text1"/>
          <w:sz w:val="22"/>
          <w:szCs w:val="22"/>
        </w:rPr>
        <w:t xml:space="preserve">RI-2. Risque frustrations et de conflits </w:t>
      </w:r>
    </w:p>
    <w:p w14:paraId="47496178" w14:textId="7ACAA825"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Les principaux facteurs de risques de frustration et conflit dans le cadre du PROGE</w:t>
      </w:r>
      <w:r w:rsidR="00C47F28" w:rsidRPr="00260790">
        <w:rPr>
          <w:rFonts w:ascii="Times New Roman" w:hAnsi="Times New Roman"/>
          <w:color w:val="000000" w:themeColor="text1"/>
        </w:rPr>
        <w:t xml:space="preserve">G </w:t>
      </w:r>
      <w:r w:rsidR="00224E2A">
        <w:rPr>
          <w:rFonts w:ascii="Times New Roman" w:hAnsi="Times New Roman"/>
          <w:color w:val="000000" w:themeColor="text1"/>
        </w:rPr>
        <w:t>II</w:t>
      </w:r>
      <w:r w:rsidRPr="00260790">
        <w:rPr>
          <w:rFonts w:ascii="Times New Roman" w:hAnsi="Times New Roman"/>
          <w:color w:val="000000" w:themeColor="text1"/>
        </w:rPr>
        <w:t xml:space="preserve"> sont les suivants :</w:t>
      </w:r>
    </w:p>
    <w:p w14:paraId="652D1E32" w14:textId="261C67D9" w:rsidR="00DE241D" w:rsidRPr="00260790" w:rsidRDefault="00DE241D" w:rsidP="001748C6">
      <w:pPr>
        <w:pStyle w:val="Paragraphedeliste"/>
        <w:numPr>
          <w:ilvl w:val="0"/>
          <w:numId w:val="353"/>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Une communication non</w:t>
      </w:r>
      <w:r w:rsidR="009C7194" w:rsidRPr="00260790">
        <w:rPr>
          <w:rFonts w:ascii="Times New Roman" w:hAnsi="Times New Roman"/>
          <w:color w:val="000000" w:themeColor="text1"/>
        </w:rPr>
        <w:t xml:space="preserve"> </w:t>
      </w:r>
      <w:r w:rsidRPr="00260790">
        <w:rPr>
          <w:rFonts w:ascii="Times New Roman" w:hAnsi="Times New Roman"/>
          <w:color w:val="000000" w:themeColor="text1"/>
        </w:rPr>
        <w:t>inclusive ;</w:t>
      </w:r>
    </w:p>
    <w:p w14:paraId="0EEC49B2" w14:textId="2AC8BD4F" w:rsidR="00DE241D" w:rsidRPr="00260790" w:rsidRDefault="00DE241D" w:rsidP="001748C6">
      <w:pPr>
        <w:pStyle w:val="Paragraphedeliste"/>
        <w:numPr>
          <w:ilvl w:val="0"/>
          <w:numId w:val="353"/>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Le non- recrutement de la force de travail locale aux emplois non</w:t>
      </w:r>
      <w:r w:rsidR="009C7194" w:rsidRPr="00260790">
        <w:rPr>
          <w:rFonts w:ascii="Times New Roman" w:hAnsi="Times New Roman"/>
          <w:color w:val="000000" w:themeColor="text1"/>
        </w:rPr>
        <w:t xml:space="preserve"> </w:t>
      </w:r>
      <w:r w:rsidRPr="00260790">
        <w:rPr>
          <w:rFonts w:ascii="Times New Roman" w:hAnsi="Times New Roman"/>
          <w:color w:val="000000" w:themeColor="text1"/>
        </w:rPr>
        <w:t xml:space="preserve">qualifiés, </w:t>
      </w:r>
    </w:p>
    <w:p w14:paraId="19D3E9DD" w14:textId="77777777" w:rsidR="00DE241D" w:rsidRPr="00260790" w:rsidRDefault="00DE241D" w:rsidP="001748C6">
      <w:pPr>
        <w:pStyle w:val="Paragraphedeliste"/>
        <w:numPr>
          <w:ilvl w:val="0"/>
          <w:numId w:val="353"/>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Le non-recrutement des entreprises locales ;</w:t>
      </w:r>
    </w:p>
    <w:p w14:paraId="71BF7F9A" w14:textId="77777777" w:rsidR="00DE241D" w:rsidRPr="00260790" w:rsidRDefault="00DE241D" w:rsidP="001748C6">
      <w:pPr>
        <w:pStyle w:val="Paragraphedeliste"/>
        <w:numPr>
          <w:ilvl w:val="0"/>
          <w:numId w:val="353"/>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Des discriminations à l’emploi notamment des femmes ;</w:t>
      </w:r>
    </w:p>
    <w:p w14:paraId="5A8F1940" w14:textId="77777777" w:rsidR="00DE241D" w:rsidRPr="00260790" w:rsidRDefault="00DE241D" w:rsidP="001748C6">
      <w:pPr>
        <w:pStyle w:val="Paragraphedeliste"/>
        <w:numPr>
          <w:ilvl w:val="0"/>
          <w:numId w:val="353"/>
        </w:numPr>
        <w:spacing w:after="0" w:line="240" w:lineRule="auto"/>
        <w:jc w:val="both"/>
        <w:rPr>
          <w:rFonts w:ascii="Times New Roman" w:hAnsi="Times New Roman"/>
          <w:color w:val="000000" w:themeColor="text1"/>
          <w:spacing w:val="-14"/>
        </w:rPr>
      </w:pPr>
      <w:r w:rsidRPr="00260790">
        <w:rPr>
          <w:rFonts w:ascii="Times New Roman" w:hAnsi="Times New Roman"/>
          <w:color w:val="000000" w:themeColor="text1"/>
        </w:rPr>
        <w:t>Les entraves aux déplacements des personnes et des biens,</w:t>
      </w:r>
      <w:r w:rsidRPr="00260790">
        <w:rPr>
          <w:rFonts w:ascii="Times New Roman" w:hAnsi="Times New Roman"/>
          <w:color w:val="000000" w:themeColor="text1"/>
          <w:spacing w:val="-14"/>
        </w:rPr>
        <w:t xml:space="preserve"> </w:t>
      </w:r>
    </w:p>
    <w:p w14:paraId="3EC89214" w14:textId="77777777" w:rsidR="00DE241D" w:rsidRPr="00260790" w:rsidRDefault="00DE241D" w:rsidP="001748C6">
      <w:pPr>
        <w:pStyle w:val="Paragraphedeliste"/>
        <w:numPr>
          <w:ilvl w:val="0"/>
          <w:numId w:val="353"/>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Les destructions de biens ;</w:t>
      </w:r>
    </w:p>
    <w:p w14:paraId="2F98DD56" w14:textId="77777777" w:rsidR="00DE241D" w:rsidRPr="00260790" w:rsidRDefault="00DE241D" w:rsidP="001748C6">
      <w:pPr>
        <w:pStyle w:val="Paragraphedeliste"/>
        <w:numPr>
          <w:ilvl w:val="0"/>
          <w:numId w:val="353"/>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La non-indemnisation des pertes ou des indemnisations selon des barèmes dérisoires ;</w:t>
      </w:r>
    </w:p>
    <w:p w14:paraId="166FFE71" w14:textId="77777777" w:rsidR="00DE241D" w:rsidRPr="00260790" w:rsidRDefault="00DE241D" w:rsidP="001748C6">
      <w:pPr>
        <w:pStyle w:val="Paragraphedeliste"/>
        <w:numPr>
          <w:ilvl w:val="0"/>
          <w:numId w:val="353"/>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L’altération</w:t>
      </w:r>
      <w:r w:rsidRPr="00260790">
        <w:rPr>
          <w:rFonts w:ascii="Times New Roman" w:hAnsi="Times New Roman"/>
          <w:color w:val="000000" w:themeColor="text1"/>
          <w:spacing w:val="-12"/>
        </w:rPr>
        <w:t xml:space="preserve"> </w:t>
      </w:r>
      <w:r w:rsidRPr="00260790">
        <w:rPr>
          <w:rFonts w:ascii="Times New Roman" w:hAnsi="Times New Roman"/>
          <w:color w:val="000000" w:themeColor="text1"/>
        </w:rPr>
        <w:t>de</w:t>
      </w:r>
      <w:r w:rsidRPr="00260790">
        <w:rPr>
          <w:rFonts w:ascii="Times New Roman" w:hAnsi="Times New Roman"/>
          <w:color w:val="000000" w:themeColor="text1"/>
          <w:spacing w:val="-14"/>
        </w:rPr>
        <w:t xml:space="preserve"> </w:t>
      </w:r>
      <w:r w:rsidRPr="00260790">
        <w:rPr>
          <w:rFonts w:ascii="Times New Roman" w:hAnsi="Times New Roman"/>
          <w:color w:val="000000" w:themeColor="text1"/>
        </w:rPr>
        <w:t>la</w:t>
      </w:r>
      <w:r w:rsidRPr="00260790">
        <w:rPr>
          <w:rFonts w:ascii="Times New Roman" w:hAnsi="Times New Roman"/>
          <w:color w:val="000000" w:themeColor="text1"/>
          <w:spacing w:val="-14"/>
        </w:rPr>
        <w:t xml:space="preserve"> </w:t>
      </w:r>
      <w:r w:rsidRPr="00260790">
        <w:rPr>
          <w:rFonts w:ascii="Times New Roman" w:hAnsi="Times New Roman"/>
          <w:color w:val="000000" w:themeColor="text1"/>
        </w:rPr>
        <w:t xml:space="preserve">qualité des services des concessionnaires, </w:t>
      </w:r>
    </w:p>
    <w:p w14:paraId="6180F27E" w14:textId="77777777" w:rsidR="00DE241D" w:rsidRPr="00260790" w:rsidRDefault="00DE241D" w:rsidP="001748C6">
      <w:pPr>
        <w:pStyle w:val="Paragraphedeliste"/>
        <w:numPr>
          <w:ilvl w:val="0"/>
          <w:numId w:val="353"/>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Les EAS/HS-VCE ;</w:t>
      </w:r>
    </w:p>
    <w:p w14:paraId="2AE3A384" w14:textId="77777777" w:rsidR="00DE241D" w:rsidRPr="00260790" w:rsidRDefault="00DE241D" w:rsidP="001748C6">
      <w:pPr>
        <w:pStyle w:val="Paragraphedeliste"/>
        <w:numPr>
          <w:ilvl w:val="0"/>
          <w:numId w:val="353"/>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Le non-respect des us et coutumes locaux ;</w:t>
      </w:r>
    </w:p>
    <w:p w14:paraId="7A04CD53" w14:textId="6A50A0F6" w:rsidR="00DE241D" w:rsidRPr="00260790" w:rsidRDefault="00DE241D" w:rsidP="001748C6">
      <w:pPr>
        <w:pStyle w:val="Paragraphedeliste"/>
        <w:numPr>
          <w:ilvl w:val="0"/>
          <w:numId w:val="353"/>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Les accidents impliquant les communautés, etc.</w:t>
      </w:r>
      <w:r w:rsidR="007B54C9" w:rsidRPr="00260790">
        <w:rPr>
          <w:rFonts w:ascii="Times New Roman" w:hAnsi="Times New Roman"/>
          <w:color w:val="000000" w:themeColor="text1"/>
        </w:rPr>
        <w:t> ;</w:t>
      </w:r>
    </w:p>
    <w:p w14:paraId="2545E935" w14:textId="67D94909" w:rsidR="00DE241D" w:rsidRPr="00260790" w:rsidRDefault="00DE241D" w:rsidP="001748C6">
      <w:pPr>
        <w:pStyle w:val="Paragraphedeliste"/>
        <w:numPr>
          <w:ilvl w:val="0"/>
          <w:numId w:val="353"/>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L’abandon sur sites des déchets (matière végétale, déblais, boues de curages</w:t>
      </w:r>
      <w:r w:rsidR="007B54C9" w:rsidRPr="00260790">
        <w:rPr>
          <w:rFonts w:ascii="Times New Roman" w:hAnsi="Times New Roman"/>
          <w:color w:val="000000" w:themeColor="text1"/>
        </w:rPr>
        <w:t> ;</w:t>
      </w:r>
    </w:p>
    <w:p w14:paraId="06105A11" w14:textId="77777777" w:rsidR="00DE241D" w:rsidRPr="00260790" w:rsidRDefault="00DE241D" w:rsidP="001748C6">
      <w:pPr>
        <w:pStyle w:val="Paragraphedeliste"/>
        <w:numPr>
          <w:ilvl w:val="0"/>
          <w:numId w:val="353"/>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Etc.</w:t>
      </w:r>
    </w:p>
    <w:p w14:paraId="3C5C006A"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Pour y parer, l’entreprise devra rechercher la collaboration et l’implication de toutes les parties prenantes au projet, et mettre en œuvre les mesures de bonification des impacts positifs, de mitigation des effets adverses, de prévention des risques et de gestion de leurs conséquences au cas où ils se concrétiseraient.</w:t>
      </w:r>
    </w:p>
    <w:p w14:paraId="3088ABDD" w14:textId="331C6A0C"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Ci-dessous le résumé de l’analyse du risque de frustrations et conflits.</w:t>
      </w:r>
    </w:p>
    <w:p w14:paraId="632223CE" w14:textId="11B73629" w:rsidR="00DE241D" w:rsidRPr="0051750F" w:rsidRDefault="00DE241D" w:rsidP="0051750F">
      <w:pPr>
        <w:spacing w:line="240" w:lineRule="auto"/>
        <w:jc w:val="both"/>
        <w:rPr>
          <w:rFonts w:ascii="Times New Roman" w:hAnsi="Times New Roman"/>
          <w:i/>
          <w:color w:val="000000" w:themeColor="text1"/>
        </w:rPr>
      </w:pPr>
      <w:bookmarkStart w:id="614" w:name="_Toc207781872"/>
      <w:r w:rsidRPr="0051750F">
        <w:rPr>
          <w:rFonts w:ascii="Times New Roman" w:hAnsi="Times New Roman"/>
          <w:i/>
          <w:color w:val="000000" w:themeColor="text1"/>
        </w:rPr>
        <w:t xml:space="preserve">Tableau </w:t>
      </w:r>
      <w:r w:rsidRPr="0051750F">
        <w:rPr>
          <w:rFonts w:ascii="Times New Roman" w:hAnsi="Times New Roman"/>
          <w:i/>
          <w:color w:val="000000" w:themeColor="text1"/>
        </w:rPr>
        <w:fldChar w:fldCharType="begin"/>
      </w:r>
      <w:r w:rsidRPr="0051750F">
        <w:rPr>
          <w:rFonts w:ascii="Times New Roman" w:hAnsi="Times New Roman"/>
          <w:i/>
          <w:color w:val="000000" w:themeColor="text1"/>
        </w:rPr>
        <w:instrText xml:space="preserve"> SEQ Tableau \* ARABIC </w:instrText>
      </w:r>
      <w:r w:rsidRPr="0051750F">
        <w:rPr>
          <w:rFonts w:ascii="Times New Roman" w:hAnsi="Times New Roman"/>
          <w:i/>
          <w:color w:val="000000" w:themeColor="text1"/>
        </w:rPr>
        <w:fldChar w:fldCharType="separate"/>
      </w:r>
      <w:r w:rsidR="0051750F">
        <w:rPr>
          <w:rFonts w:ascii="Times New Roman" w:hAnsi="Times New Roman"/>
          <w:i/>
          <w:noProof/>
          <w:color w:val="000000" w:themeColor="text1"/>
        </w:rPr>
        <w:t>31</w:t>
      </w:r>
      <w:r w:rsidRPr="0051750F">
        <w:rPr>
          <w:rFonts w:ascii="Times New Roman" w:hAnsi="Times New Roman"/>
          <w:i/>
          <w:color w:val="000000" w:themeColor="text1"/>
        </w:rPr>
        <w:fldChar w:fldCharType="end"/>
      </w:r>
      <w:r w:rsidRPr="0051750F">
        <w:rPr>
          <w:rFonts w:ascii="Times New Roman" w:hAnsi="Times New Roman"/>
          <w:i/>
          <w:color w:val="000000" w:themeColor="text1"/>
        </w:rPr>
        <w:t> : résumé de l’évaluation du risque de frustrations et de conflits</w:t>
      </w:r>
      <w:bookmarkEnd w:id="614"/>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0"/>
        <w:gridCol w:w="2276"/>
        <w:gridCol w:w="1239"/>
        <w:gridCol w:w="964"/>
        <w:gridCol w:w="1102"/>
        <w:gridCol w:w="1919"/>
      </w:tblGrid>
      <w:tr w:rsidR="00BD1A2F" w:rsidRPr="00260790" w14:paraId="2124CD2E" w14:textId="77777777" w:rsidTr="003A0E4A">
        <w:trPr>
          <w:trHeight w:val="235"/>
        </w:trPr>
        <w:tc>
          <w:tcPr>
            <w:tcW w:w="5000" w:type="pct"/>
            <w:gridSpan w:val="6"/>
            <w:shd w:val="clear" w:color="auto" w:fill="B4C6E7" w:themeFill="accent5" w:themeFillTint="66"/>
          </w:tcPr>
          <w:p w14:paraId="2FC484BB" w14:textId="77777777" w:rsidR="00DE241D" w:rsidRPr="0097258B" w:rsidRDefault="00DE241D" w:rsidP="00E20250">
            <w:pPr>
              <w:spacing w:line="240" w:lineRule="auto"/>
              <w:rPr>
                <w:rFonts w:ascii="Times New Roman" w:hAnsi="Times New Roman"/>
                <w:b/>
                <w:bCs/>
                <w:sz w:val="20"/>
                <w:szCs w:val="20"/>
                <w:lang w:val="fr-FR"/>
              </w:rPr>
            </w:pPr>
            <w:r w:rsidRPr="00301AF6">
              <w:rPr>
                <w:rFonts w:ascii="Times New Roman" w:hAnsi="Times New Roman"/>
                <w:b/>
                <w:bCs/>
                <w:sz w:val="20"/>
                <w:szCs w:val="20"/>
                <w:lang w:val="fr-FR"/>
              </w:rPr>
              <w:t>RI-2. Risque de frustrations et conflits</w:t>
            </w:r>
          </w:p>
        </w:tc>
      </w:tr>
      <w:tr w:rsidR="00BD1A2F" w:rsidRPr="00260790" w14:paraId="029D9AF6" w14:textId="77777777" w:rsidTr="003A0E4A">
        <w:trPr>
          <w:trHeight w:val="235"/>
        </w:trPr>
        <w:tc>
          <w:tcPr>
            <w:tcW w:w="5000" w:type="pct"/>
            <w:gridSpan w:val="6"/>
          </w:tcPr>
          <w:p w14:paraId="1BE02FFC" w14:textId="77777777" w:rsidR="00DE241D" w:rsidRPr="0097258B" w:rsidRDefault="00DE241D" w:rsidP="00E20250">
            <w:pPr>
              <w:spacing w:line="240" w:lineRule="auto"/>
              <w:rPr>
                <w:rFonts w:ascii="Times New Roman" w:hAnsi="Times New Roman"/>
                <w:sz w:val="20"/>
                <w:szCs w:val="20"/>
                <w:lang w:val="fr-FR"/>
              </w:rPr>
            </w:pPr>
            <w:r w:rsidRPr="00301AF6">
              <w:rPr>
                <w:rFonts w:ascii="Times New Roman" w:hAnsi="Times New Roman"/>
                <w:b/>
                <w:bCs/>
                <w:sz w:val="20"/>
                <w:szCs w:val="20"/>
                <w:lang w:val="fr-FR"/>
              </w:rPr>
              <w:t>Activités</w:t>
            </w:r>
            <w:r w:rsidRPr="00301AF6">
              <w:rPr>
                <w:rFonts w:ascii="Times New Roman" w:hAnsi="Times New Roman"/>
                <w:sz w:val="20"/>
                <w:szCs w:val="20"/>
                <w:lang w:val="fr-FR"/>
              </w:rPr>
              <w:t xml:space="preserve"> : la mobilisation des travailleurs ; libération des emprises, travaux de démolition et de construction des ouvrages</w:t>
            </w:r>
          </w:p>
        </w:tc>
      </w:tr>
      <w:tr w:rsidR="00BD1A2F" w:rsidRPr="00260790" w14:paraId="5E2D48F3" w14:textId="77777777" w:rsidTr="003A0E4A">
        <w:trPr>
          <w:trHeight w:val="235"/>
        </w:trPr>
        <w:tc>
          <w:tcPr>
            <w:tcW w:w="861" w:type="pct"/>
          </w:tcPr>
          <w:p w14:paraId="734E7C9F" w14:textId="77777777" w:rsidR="00DE241D" w:rsidRPr="0097258B" w:rsidRDefault="00DE241D" w:rsidP="00E20250">
            <w:pPr>
              <w:spacing w:line="240" w:lineRule="auto"/>
              <w:rPr>
                <w:rFonts w:ascii="Times New Roman" w:hAnsi="Times New Roman"/>
                <w:b/>
                <w:bCs/>
                <w:sz w:val="20"/>
                <w:szCs w:val="20"/>
                <w:lang w:val="fr-FR"/>
              </w:rPr>
            </w:pPr>
          </w:p>
        </w:tc>
        <w:tc>
          <w:tcPr>
            <w:tcW w:w="1256" w:type="pct"/>
          </w:tcPr>
          <w:p w14:paraId="250FD4E1" w14:textId="77777777" w:rsidR="00DE241D" w:rsidRPr="0097258B" w:rsidRDefault="00DE241D" w:rsidP="00E20250">
            <w:pPr>
              <w:spacing w:line="240" w:lineRule="auto"/>
              <w:rPr>
                <w:rFonts w:ascii="Times New Roman" w:hAnsi="Times New Roman"/>
                <w:b/>
                <w:bCs/>
                <w:sz w:val="20"/>
                <w:szCs w:val="20"/>
                <w:lang w:val="fr-FR"/>
              </w:rPr>
            </w:pPr>
            <w:r w:rsidRPr="0097258B">
              <w:rPr>
                <w:rFonts w:ascii="Times New Roman" w:hAnsi="Times New Roman"/>
                <w:b/>
                <w:bCs/>
                <w:sz w:val="20"/>
                <w:szCs w:val="20"/>
              </w:rPr>
              <w:t>Risque initial</w:t>
            </w:r>
          </w:p>
        </w:tc>
        <w:tc>
          <w:tcPr>
            <w:tcW w:w="684" w:type="pct"/>
          </w:tcPr>
          <w:p w14:paraId="6B66828B"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Probabilité</w:t>
            </w:r>
            <w:proofErr w:type="spellEnd"/>
          </w:p>
        </w:tc>
        <w:tc>
          <w:tcPr>
            <w:tcW w:w="532" w:type="pct"/>
          </w:tcPr>
          <w:p w14:paraId="56AB0149"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Gravité</w:t>
            </w:r>
            <w:proofErr w:type="spellEnd"/>
          </w:p>
        </w:tc>
        <w:tc>
          <w:tcPr>
            <w:tcW w:w="608" w:type="pct"/>
          </w:tcPr>
          <w:p w14:paraId="795D31D8"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Criticité</w:t>
            </w:r>
            <w:proofErr w:type="spellEnd"/>
          </w:p>
        </w:tc>
        <w:tc>
          <w:tcPr>
            <w:tcW w:w="1059" w:type="pct"/>
          </w:tcPr>
          <w:p w14:paraId="074E33FE"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Dommage</w:t>
            </w:r>
            <w:proofErr w:type="spellEnd"/>
          </w:p>
        </w:tc>
      </w:tr>
      <w:tr w:rsidR="00BD1A2F" w:rsidRPr="00260790" w14:paraId="17851A88" w14:textId="77777777" w:rsidTr="003A0E4A">
        <w:trPr>
          <w:trHeight w:val="2120"/>
        </w:trPr>
        <w:tc>
          <w:tcPr>
            <w:tcW w:w="861" w:type="pct"/>
          </w:tcPr>
          <w:p w14:paraId="0A547C87" w14:textId="77777777" w:rsidR="00DE241D" w:rsidRPr="0097258B" w:rsidRDefault="00DE241D" w:rsidP="00E20250">
            <w:pPr>
              <w:spacing w:line="240" w:lineRule="auto"/>
              <w:rPr>
                <w:rFonts w:ascii="Times New Roman" w:hAnsi="Times New Roman"/>
                <w:sz w:val="20"/>
                <w:szCs w:val="20"/>
                <w:lang w:val="fr-FR"/>
              </w:rPr>
            </w:pPr>
          </w:p>
          <w:p w14:paraId="663A103F" w14:textId="77777777" w:rsidR="00DE241D" w:rsidRPr="0097258B" w:rsidRDefault="00DE241D" w:rsidP="00E20250">
            <w:pPr>
              <w:spacing w:line="240" w:lineRule="auto"/>
              <w:rPr>
                <w:rFonts w:ascii="Times New Roman" w:hAnsi="Times New Roman"/>
                <w:sz w:val="20"/>
                <w:szCs w:val="20"/>
                <w:lang w:val="fr-FR"/>
              </w:rPr>
            </w:pPr>
          </w:p>
          <w:p w14:paraId="5C8E2C7B" w14:textId="77777777" w:rsidR="00DE241D" w:rsidRPr="0097258B" w:rsidRDefault="00DE241D" w:rsidP="00E20250">
            <w:pPr>
              <w:spacing w:line="240" w:lineRule="auto"/>
              <w:rPr>
                <w:rFonts w:ascii="Times New Roman" w:hAnsi="Times New Roman"/>
                <w:sz w:val="20"/>
                <w:szCs w:val="20"/>
                <w:lang w:val="fr-FR"/>
              </w:rPr>
            </w:pPr>
          </w:p>
          <w:p w14:paraId="554D6497" w14:textId="77777777" w:rsidR="00DE241D" w:rsidRPr="0097258B" w:rsidRDefault="00DE241D" w:rsidP="00E20250">
            <w:pPr>
              <w:spacing w:line="240" w:lineRule="auto"/>
              <w:rPr>
                <w:rFonts w:ascii="Times New Roman" w:hAnsi="Times New Roman"/>
                <w:sz w:val="20"/>
                <w:szCs w:val="20"/>
                <w:lang w:val="fr-FR"/>
              </w:rPr>
            </w:pPr>
            <w:r w:rsidRPr="0097258B">
              <w:rPr>
                <w:rFonts w:ascii="Times New Roman" w:hAnsi="Times New Roman"/>
                <w:sz w:val="20"/>
                <w:szCs w:val="20"/>
              </w:rPr>
              <w:t xml:space="preserve">Avant </w:t>
            </w:r>
            <w:proofErr w:type="spellStart"/>
            <w:r w:rsidRPr="0097258B">
              <w:rPr>
                <w:rFonts w:ascii="Times New Roman" w:hAnsi="Times New Roman"/>
                <w:sz w:val="20"/>
                <w:szCs w:val="20"/>
              </w:rPr>
              <w:t>prévention</w:t>
            </w:r>
            <w:proofErr w:type="spellEnd"/>
          </w:p>
        </w:tc>
        <w:tc>
          <w:tcPr>
            <w:tcW w:w="1256" w:type="pct"/>
          </w:tcPr>
          <w:p w14:paraId="1518E301" w14:textId="77777777" w:rsidR="00DE241D" w:rsidRPr="0097258B" w:rsidRDefault="00DE241D" w:rsidP="00E20250">
            <w:pPr>
              <w:spacing w:line="240" w:lineRule="auto"/>
              <w:ind w:left="135"/>
              <w:rPr>
                <w:rFonts w:ascii="Times New Roman" w:hAnsi="Times New Roman"/>
                <w:sz w:val="20"/>
                <w:szCs w:val="20"/>
                <w:lang w:val="fr-FR"/>
              </w:rPr>
            </w:pPr>
            <w:r w:rsidRPr="00301AF6">
              <w:rPr>
                <w:rFonts w:ascii="Times New Roman" w:hAnsi="Times New Roman"/>
                <w:sz w:val="20"/>
                <w:szCs w:val="20"/>
                <w:lang w:val="fr-FR"/>
              </w:rPr>
              <w:t>Non- recrutement de la force de travail et des entreprises locales ;</w:t>
            </w:r>
          </w:p>
          <w:p w14:paraId="76C95149" w14:textId="77777777" w:rsidR="00DE241D" w:rsidRPr="0097258B" w:rsidRDefault="00DE241D" w:rsidP="00E20250">
            <w:pPr>
              <w:spacing w:line="240" w:lineRule="auto"/>
              <w:ind w:left="135"/>
              <w:rPr>
                <w:rFonts w:ascii="Times New Roman" w:hAnsi="Times New Roman"/>
                <w:sz w:val="20"/>
                <w:szCs w:val="20"/>
                <w:lang w:val="fr-FR"/>
              </w:rPr>
            </w:pPr>
            <w:r w:rsidRPr="00301AF6">
              <w:rPr>
                <w:rFonts w:ascii="Times New Roman" w:hAnsi="Times New Roman"/>
                <w:sz w:val="20"/>
                <w:szCs w:val="20"/>
                <w:lang w:val="fr-FR"/>
              </w:rPr>
              <w:t>Entraves aux déplacements des personnes et des biens ;</w:t>
            </w:r>
          </w:p>
          <w:p w14:paraId="24405901" w14:textId="77777777" w:rsidR="00DE241D" w:rsidRPr="0097258B" w:rsidRDefault="00DE241D" w:rsidP="00E20250">
            <w:pPr>
              <w:spacing w:line="240" w:lineRule="auto"/>
              <w:ind w:left="135"/>
              <w:rPr>
                <w:rFonts w:ascii="Times New Roman" w:hAnsi="Times New Roman"/>
                <w:spacing w:val="-14"/>
                <w:sz w:val="20"/>
                <w:szCs w:val="20"/>
                <w:lang w:val="fr-FR"/>
              </w:rPr>
            </w:pPr>
            <w:r w:rsidRPr="00301AF6">
              <w:rPr>
                <w:rFonts w:ascii="Times New Roman" w:hAnsi="Times New Roman"/>
                <w:spacing w:val="-14"/>
                <w:sz w:val="20"/>
                <w:szCs w:val="20"/>
                <w:lang w:val="fr-FR"/>
              </w:rPr>
              <w:t>Destructions de biens ;</w:t>
            </w:r>
          </w:p>
          <w:p w14:paraId="53A33C07" w14:textId="77777777" w:rsidR="00DE241D" w:rsidRPr="0097258B" w:rsidRDefault="00DE241D" w:rsidP="00E20250">
            <w:pPr>
              <w:spacing w:line="240" w:lineRule="auto"/>
              <w:ind w:left="135"/>
              <w:rPr>
                <w:rFonts w:ascii="Times New Roman" w:hAnsi="Times New Roman"/>
                <w:sz w:val="20"/>
                <w:szCs w:val="20"/>
                <w:lang w:val="fr-FR"/>
              </w:rPr>
            </w:pPr>
            <w:r w:rsidRPr="00301AF6">
              <w:rPr>
                <w:rFonts w:ascii="Times New Roman" w:hAnsi="Times New Roman"/>
                <w:sz w:val="20"/>
                <w:szCs w:val="20"/>
                <w:lang w:val="fr-FR"/>
              </w:rPr>
              <w:t>Non-indemnisation des pertes ;</w:t>
            </w:r>
          </w:p>
          <w:p w14:paraId="3842A904" w14:textId="77777777" w:rsidR="00DE241D" w:rsidRPr="0097258B" w:rsidRDefault="00DE241D" w:rsidP="00E20250">
            <w:pPr>
              <w:spacing w:line="240" w:lineRule="auto"/>
              <w:ind w:left="135"/>
              <w:rPr>
                <w:rFonts w:ascii="Times New Roman" w:hAnsi="Times New Roman"/>
                <w:sz w:val="20"/>
                <w:szCs w:val="20"/>
                <w:lang w:val="fr-FR"/>
              </w:rPr>
            </w:pPr>
            <w:r w:rsidRPr="0097258B">
              <w:rPr>
                <w:rFonts w:ascii="Times New Roman" w:hAnsi="Times New Roman"/>
                <w:sz w:val="20"/>
                <w:szCs w:val="20"/>
              </w:rPr>
              <w:t>EAS/HS-</w:t>
            </w:r>
            <w:proofErr w:type="gramStart"/>
            <w:r w:rsidRPr="0097258B">
              <w:rPr>
                <w:rFonts w:ascii="Times New Roman" w:hAnsi="Times New Roman"/>
                <w:sz w:val="20"/>
                <w:szCs w:val="20"/>
              </w:rPr>
              <w:t>VCE ;</w:t>
            </w:r>
            <w:proofErr w:type="gramEnd"/>
            <w:r w:rsidRPr="0097258B">
              <w:rPr>
                <w:rFonts w:ascii="Times New Roman" w:hAnsi="Times New Roman"/>
                <w:sz w:val="20"/>
                <w:szCs w:val="20"/>
              </w:rPr>
              <w:t xml:space="preserve"> Accidents</w:t>
            </w:r>
          </w:p>
        </w:tc>
        <w:tc>
          <w:tcPr>
            <w:tcW w:w="684" w:type="pct"/>
          </w:tcPr>
          <w:p w14:paraId="705ADB70" w14:textId="77777777" w:rsidR="00DE241D" w:rsidRPr="0097258B" w:rsidRDefault="00DE241D" w:rsidP="00E20250">
            <w:pPr>
              <w:spacing w:line="240" w:lineRule="auto"/>
              <w:rPr>
                <w:rFonts w:ascii="Times New Roman" w:hAnsi="Times New Roman"/>
                <w:b/>
                <w:bCs/>
                <w:sz w:val="20"/>
                <w:szCs w:val="20"/>
                <w:lang w:val="fr-FR"/>
              </w:rPr>
            </w:pPr>
          </w:p>
          <w:p w14:paraId="68A1417C" w14:textId="77777777" w:rsidR="00DE241D" w:rsidRPr="0097258B" w:rsidRDefault="00DE241D" w:rsidP="00E20250">
            <w:pPr>
              <w:spacing w:line="240" w:lineRule="auto"/>
              <w:rPr>
                <w:rFonts w:ascii="Times New Roman" w:hAnsi="Times New Roman"/>
                <w:b/>
                <w:bCs/>
                <w:sz w:val="20"/>
                <w:szCs w:val="20"/>
                <w:lang w:val="fr-FR"/>
              </w:rPr>
            </w:pPr>
          </w:p>
          <w:p w14:paraId="0D5A1E2C" w14:textId="77777777" w:rsidR="00DE241D" w:rsidRPr="0097258B" w:rsidRDefault="00DE241D" w:rsidP="00E20250">
            <w:pPr>
              <w:spacing w:line="240" w:lineRule="auto"/>
              <w:rPr>
                <w:rFonts w:ascii="Times New Roman" w:hAnsi="Times New Roman"/>
                <w:b/>
                <w:bCs/>
                <w:sz w:val="20"/>
                <w:szCs w:val="20"/>
                <w:lang w:val="fr-FR"/>
              </w:rPr>
            </w:pPr>
          </w:p>
          <w:p w14:paraId="55443595" w14:textId="77777777" w:rsidR="00DE241D" w:rsidRPr="0097258B" w:rsidRDefault="00DE241D" w:rsidP="00E20250">
            <w:pPr>
              <w:spacing w:line="240" w:lineRule="auto"/>
              <w:rPr>
                <w:rFonts w:ascii="Times New Roman" w:hAnsi="Times New Roman"/>
                <w:b/>
                <w:bCs/>
                <w:sz w:val="20"/>
                <w:szCs w:val="20"/>
                <w:lang w:val="fr-FR"/>
              </w:rPr>
            </w:pPr>
            <w:r w:rsidRPr="0097258B">
              <w:rPr>
                <w:rFonts w:ascii="Times New Roman" w:hAnsi="Times New Roman"/>
                <w:b/>
                <w:bCs/>
                <w:sz w:val="20"/>
                <w:szCs w:val="20"/>
              </w:rPr>
              <w:t>2</w:t>
            </w:r>
          </w:p>
        </w:tc>
        <w:tc>
          <w:tcPr>
            <w:tcW w:w="532" w:type="pct"/>
          </w:tcPr>
          <w:p w14:paraId="34C8666D" w14:textId="77777777" w:rsidR="00DE241D" w:rsidRPr="0097258B" w:rsidRDefault="00DE241D" w:rsidP="00E20250">
            <w:pPr>
              <w:spacing w:line="240" w:lineRule="auto"/>
              <w:rPr>
                <w:rFonts w:ascii="Times New Roman" w:hAnsi="Times New Roman"/>
                <w:b/>
                <w:bCs/>
                <w:sz w:val="20"/>
                <w:szCs w:val="20"/>
                <w:lang w:val="fr-FR"/>
              </w:rPr>
            </w:pPr>
          </w:p>
          <w:p w14:paraId="070E4083" w14:textId="77777777" w:rsidR="00DE241D" w:rsidRPr="0097258B" w:rsidRDefault="00DE241D" w:rsidP="00E20250">
            <w:pPr>
              <w:spacing w:line="240" w:lineRule="auto"/>
              <w:rPr>
                <w:rFonts w:ascii="Times New Roman" w:hAnsi="Times New Roman"/>
                <w:b/>
                <w:bCs/>
                <w:sz w:val="20"/>
                <w:szCs w:val="20"/>
                <w:lang w:val="fr-FR"/>
              </w:rPr>
            </w:pPr>
          </w:p>
          <w:p w14:paraId="48CD9E0F" w14:textId="77777777" w:rsidR="00DE241D" w:rsidRPr="0097258B" w:rsidRDefault="00DE241D" w:rsidP="00E20250">
            <w:pPr>
              <w:spacing w:line="240" w:lineRule="auto"/>
              <w:rPr>
                <w:rFonts w:ascii="Times New Roman" w:hAnsi="Times New Roman"/>
                <w:b/>
                <w:bCs/>
                <w:sz w:val="20"/>
                <w:szCs w:val="20"/>
                <w:lang w:val="fr-FR"/>
              </w:rPr>
            </w:pPr>
          </w:p>
          <w:p w14:paraId="13356F55" w14:textId="77777777" w:rsidR="00DE241D" w:rsidRPr="0097258B" w:rsidRDefault="00DE241D" w:rsidP="00E20250">
            <w:pPr>
              <w:spacing w:line="240" w:lineRule="auto"/>
              <w:rPr>
                <w:rFonts w:ascii="Times New Roman" w:hAnsi="Times New Roman"/>
                <w:b/>
                <w:bCs/>
                <w:sz w:val="20"/>
                <w:szCs w:val="20"/>
                <w:lang w:val="fr-FR"/>
              </w:rPr>
            </w:pPr>
            <w:r w:rsidRPr="0097258B">
              <w:rPr>
                <w:rFonts w:ascii="Times New Roman" w:hAnsi="Times New Roman"/>
                <w:b/>
                <w:bCs/>
                <w:sz w:val="20"/>
                <w:szCs w:val="20"/>
              </w:rPr>
              <w:t>3</w:t>
            </w:r>
          </w:p>
        </w:tc>
        <w:tc>
          <w:tcPr>
            <w:tcW w:w="608" w:type="pct"/>
            <w:shd w:val="clear" w:color="auto" w:fill="FFFF00"/>
          </w:tcPr>
          <w:p w14:paraId="03FCC71B" w14:textId="77777777" w:rsidR="00DE241D" w:rsidRPr="0097258B" w:rsidRDefault="00DE241D" w:rsidP="00E20250">
            <w:pPr>
              <w:spacing w:line="240" w:lineRule="auto"/>
              <w:rPr>
                <w:rFonts w:ascii="Times New Roman" w:hAnsi="Times New Roman"/>
                <w:b/>
                <w:bCs/>
                <w:sz w:val="20"/>
                <w:szCs w:val="20"/>
                <w:lang w:val="fr-FR"/>
              </w:rPr>
            </w:pPr>
          </w:p>
          <w:p w14:paraId="136F0544" w14:textId="77777777" w:rsidR="00DE241D" w:rsidRPr="0097258B" w:rsidRDefault="00DE241D" w:rsidP="00E20250">
            <w:pPr>
              <w:spacing w:line="240" w:lineRule="auto"/>
              <w:rPr>
                <w:rFonts w:ascii="Times New Roman" w:hAnsi="Times New Roman"/>
                <w:b/>
                <w:bCs/>
                <w:sz w:val="20"/>
                <w:szCs w:val="20"/>
                <w:lang w:val="fr-FR"/>
              </w:rPr>
            </w:pPr>
          </w:p>
          <w:p w14:paraId="2529CCDC" w14:textId="77777777" w:rsidR="00DE241D" w:rsidRPr="0097258B" w:rsidRDefault="00DE241D" w:rsidP="00E20250">
            <w:pPr>
              <w:spacing w:line="240" w:lineRule="auto"/>
              <w:rPr>
                <w:rFonts w:ascii="Times New Roman" w:hAnsi="Times New Roman"/>
                <w:b/>
                <w:bCs/>
                <w:sz w:val="20"/>
                <w:szCs w:val="20"/>
                <w:lang w:val="fr-FR"/>
              </w:rPr>
            </w:pPr>
          </w:p>
          <w:p w14:paraId="4FA4CE84" w14:textId="77777777" w:rsidR="00DE241D" w:rsidRPr="0097258B" w:rsidRDefault="00DE241D" w:rsidP="00E20250">
            <w:pPr>
              <w:spacing w:line="240" w:lineRule="auto"/>
              <w:rPr>
                <w:rFonts w:ascii="Times New Roman" w:hAnsi="Times New Roman"/>
                <w:b/>
                <w:bCs/>
                <w:sz w:val="20"/>
                <w:szCs w:val="20"/>
                <w:lang w:val="fr-FR"/>
              </w:rPr>
            </w:pPr>
            <w:r w:rsidRPr="0097258B">
              <w:rPr>
                <w:rFonts w:ascii="Times New Roman" w:hAnsi="Times New Roman"/>
                <w:b/>
                <w:bCs/>
                <w:sz w:val="20"/>
                <w:szCs w:val="20"/>
              </w:rPr>
              <w:t>32</w:t>
            </w:r>
          </w:p>
        </w:tc>
        <w:tc>
          <w:tcPr>
            <w:tcW w:w="1059" w:type="pct"/>
          </w:tcPr>
          <w:p w14:paraId="00937972" w14:textId="77777777" w:rsidR="00DE241D" w:rsidRPr="0097258B" w:rsidRDefault="00DE241D" w:rsidP="00451F8A">
            <w:pPr>
              <w:spacing w:line="240" w:lineRule="auto"/>
              <w:ind w:left="83" w:right="137"/>
              <w:rPr>
                <w:rFonts w:ascii="Times New Roman" w:hAnsi="Times New Roman"/>
                <w:sz w:val="20"/>
                <w:szCs w:val="20"/>
                <w:lang w:val="fr-FR"/>
              </w:rPr>
            </w:pPr>
            <w:r w:rsidRPr="00301AF6">
              <w:rPr>
                <w:rFonts w:ascii="Times New Roman" w:hAnsi="Times New Roman"/>
                <w:sz w:val="20"/>
                <w:szCs w:val="20"/>
                <w:lang w:val="fr-FR"/>
              </w:rPr>
              <w:t>Altération du climat social ;</w:t>
            </w:r>
          </w:p>
          <w:p w14:paraId="34A6B593" w14:textId="77777777" w:rsidR="00DE241D" w:rsidRPr="0097258B" w:rsidRDefault="00DE241D" w:rsidP="00451F8A">
            <w:pPr>
              <w:spacing w:line="240" w:lineRule="auto"/>
              <w:ind w:left="83" w:right="137"/>
              <w:rPr>
                <w:rFonts w:ascii="Times New Roman" w:hAnsi="Times New Roman"/>
                <w:sz w:val="20"/>
                <w:szCs w:val="20"/>
                <w:lang w:val="fr-FR"/>
              </w:rPr>
            </w:pPr>
            <w:r w:rsidRPr="00301AF6">
              <w:rPr>
                <w:rFonts w:ascii="Times New Roman" w:hAnsi="Times New Roman"/>
                <w:sz w:val="20"/>
                <w:szCs w:val="20"/>
                <w:lang w:val="fr-FR"/>
              </w:rPr>
              <w:t xml:space="preserve">Refus de collaboration des parties prenantes du projet ; </w:t>
            </w:r>
          </w:p>
          <w:p w14:paraId="7A9093DA" w14:textId="77777777" w:rsidR="00DE241D" w:rsidRPr="0097258B" w:rsidRDefault="00DE241D" w:rsidP="00451F8A">
            <w:pPr>
              <w:spacing w:line="240" w:lineRule="auto"/>
              <w:ind w:left="83" w:right="137"/>
              <w:rPr>
                <w:rFonts w:ascii="Times New Roman" w:hAnsi="Times New Roman"/>
                <w:sz w:val="20"/>
                <w:szCs w:val="20"/>
                <w:lang w:val="fr-FR"/>
              </w:rPr>
            </w:pPr>
            <w:r w:rsidRPr="00301AF6">
              <w:rPr>
                <w:rFonts w:ascii="Times New Roman" w:hAnsi="Times New Roman"/>
                <w:sz w:val="20"/>
                <w:szCs w:val="20"/>
                <w:lang w:val="fr-FR"/>
              </w:rPr>
              <w:t>Altération de la réputation du Client</w:t>
            </w:r>
          </w:p>
        </w:tc>
      </w:tr>
      <w:tr w:rsidR="00BD1A2F" w:rsidRPr="00260790" w14:paraId="4E74221B" w14:textId="77777777" w:rsidTr="003A0E4A">
        <w:trPr>
          <w:trHeight w:val="748"/>
        </w:trPr>
        <w:tc>
          <w:tcPr>
            <w:tcW w:w="861" w:type="pct"/>
          </w:tcPr>
          <w:p w14:paraId="685786BB" w14:textId="77777777" w:rsidR="00DE241D" w:rsidRPr="0097258B" w:rsidRDefault="00DE241D" w:rsidP="00E20250">
            <w:pPr>
              <w:spacing w:line="240" w:lineRule="auto"/>
              <w:rPr>
                <w:rFonts w:ascii="Times New Roman" w:hAnsi="Times New Roman"/>
                <w:sz w:val="20"/>
                <w:szCs w:val="20"/>
                <w:lang w:val="fr-FR"/>
              </w:rPr>
            </w:pPr>
            <w:proofErr w:type="spellStart"/>
            <w:r w:rsidRPr="0097258B">
              <w:rPr>
                <w:rFonts w:ascii="Times New Roman" w:hAnsi="Times New Roman"/>
                <w:sz w:val="20"/>
                <w:szCs w:val="20"/>
              </w:rPr>
              <w:t>Mesures</w:t>
            </w:r>
            <w:proofErr w:type="spellEnd"/>
            <w:r w:rsidRPr="0097258B">
              <w:rPr>
                <w:rFonts w:ascii="Times New Roman" w:hAnsi="Times New Roman"/>
                <w:sz w:val="20"/>
                <w:szCs w:val="20"/>
              </w:rPr>
              <w:t xml:space="preserve"> de </w:t>
            </w:r>
            <w:proofErr w:type="spellStart"/>
            <w:r w:rsidRPr="0097258B">
              <w:rPr>
                <w:rFonts w:ascii="Times New Roman" w:hAnsi="Times New Roman"/>
                <w:sz w:val="20"/>
                <w:szCs w:val="20"/>
              </w:rPr>
              <w:t>prévention</w:t>
            </w:r>
            <w:proofErr w:type="spellEnd"/>
          </w:p>
        </w:tc>
        <w:tc>
          <w:tcPr>
            <w:tcW w:w="4139" w:type="pct"/>
            <w:gridSpan w:val="5"/>
          </w:tcPr>
          <w:p w14:paraId="00D89E09" w14:textId="77777777" w:rsidR="00DE241D" w:rsidRPr="0097258B" w:rsidRDefault="00DE241D" w:rsidP="001748C6">
            <w:pPr>
              <w:pStyle w:val="Default"/>
              <w:numPr>
                <w:ilvl w:val="0"/>
                <w:numId w:val="302"/>
              </w:numPr>
              <w:overflowPunct w:val="0"/>
              <w:ind w:right="57" w:hanging="223"/>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Créer un cadre de concertation des différents acteurs pour asseoir les conditions d’une collaboration des parties ;</w:t>
            </w:r>
          </w:p>
          <w:p w14:paraId="11337A8A" w14:textId="77777777" w:rsidR="00DE241D" w:rsidRPr="0097258B" w:rsidRDefault="00DE241D" w:rsidP="001748C6">
            <w:pPr>
              <w:pStyle w:val="Default"/>
              <w:numPr>
                <w:ilvl w:val="0"/>
                <w:numId w:val="302"/>
              </w:numPr>
              <w:overflowPunct w:val="0"/>
              <w:ind w:right="57" w:hanging="223"/>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Informer les différentes parties prenantes avant le démarrage des travaux ;</w:t>
            </w:r>
          </w:p>
          <w:p w14:paraId="7EF0CD9B" w14:textId="323BDA81" w:rsidR="00DE241D" w:rsidRPr="0097258B" w:rsidRDefault="00DE241D" w:rsidP="001748C6">
            <w:pPr>
              <w:pStyle w:val="Default"/>
              <w:numPr>
                <w:ilvl w:val="0"/>
                <w:numId w:val="302"/>
              </w:numPr>
              <w:overflowPunct w:val="0"/>
              <w:ind w:right="57" w:hanging="223"/>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Privilégier la main</w:t>
            </w:r>
            <w:r w:rsidR="00F32B75" w:rsidRPr="0097258B">
              <w:rPr>
                <w:rFonts w:ascii="Times New Roman" w:hAnsi="Times New Roman" w:cs="Times New Roman"/>
                <w:color w:val="000000" w:themeColor="text1"/>
                <w:sz w:val="20"/>
                <w:szCs w:val="20"/>
                <w:lang w:val="fr-SN"/>
              </w:rPr>
              <w:t>-</w:t>
            </w:r>
            <w:r w:rsidRPr="0097258B">
              <w:rPr>
                <w:rFonts w:ascii="Times New Roman" w:hAnsi="Times New Roman" w:cs="Times New Roman"/>
                <w:color w:val="000000" w:themeColor="text1"/>
                <w:sz w:val="20"/>
                <w:szCs w:val="20"/>
                <w:lang w:val="fr-SN"/>
              </w:rPr>
              <w:t>d’œuvre et les entreprises locales ;</w:t>
            </w:r>
          </w:p>
          <w:p w14:paraId="6EB0BB5A" w14:textId="604267AC" w:rsidR="00C34C0F" w:rsidRPr="0097258B" w:rsidRDefault="00C34C0F" w:rsidP="00C34C0F">
            <w:pPr>
              <w:pStyle w:val="Default"/>
              <w:numPr>
                <w:ilvl w:val="0"/>
                <w:numId w:val="302"/>
              </w:numPr>
              <w:overflowPunct w:val="0"/>
              <w:ind w:right="57" w:hanging="223"/>
              <w:jc w:val="both"/>
              <w:textAlignment w:val="baseline"/>
              <w:rPr>
                <w:rFonts w:ascii="Times New Roman" w:hAnsi="Times New Roman" w:cs="Times New Roman"/>
                <w:color w:val="000000" w:themeColor="text1"/>
                <w:sz w:val="20"/>
                <w:szCs w:val="20"/>
                <w:lang w:val="fr-FR"/>
              </w:rPr>
            </w:pPr>
            <w:proofErr w:type="spellStart"/>
            <w:r w:rsidRPr="00301AF6">
              <w:rPr>
                <w:rFonts w:ascii="Times New Roman" w:hAnsi="Times New Roman" w:cs="Times New Roman"/>
                <w:color w:val="000000" w:themeColor="text1"/>
                <w:sz w:val="20"/>
                <w:szCs w:val="20"/>
                <w:lang w:val="fr-FR"/>
              </w:rPr>
              <w:t>Elaborer</w:t>
            </w:r>
            <w:proofErr w:type="spellEnd"/>
            <w:r w:rsidRPr="00301AF6">
              <w:rPr>
                <w:rFonts w:ascii="Times New Roman" w:hAnsi="Times New Roman" w:cs="Times New Roman"/>
                <w:color w:val="000000" w:themeColor="text1"/>
                <w:sz w:val="20"/>
                <w:szCs w:val="20"/>
                <w:lang w:val="fr-FR"/>
              </w:rPr>
              <w:t xml:space="preserve"> en mettre en œuvre un PAR conformément à la NES 5</w:t>
            </w:r>
          </w:p>
          <w:p w14:paraId="770CB7F7" w14:textId="77777777" w:rsidR="00DE241D" w:rsidRPr="0097258B" w:rsidRDefault="00DE241D" w:rsidP="001748C6">
            <w:pPr>
              <w:pStyle w:val="Default"/>
              <w:numPr>
                <w:ilvl w:val="0"/>
                <w:numId w:val="302"/>
              </w:numPr>
              <w:overflowPunct w:val="0"/>
              <w:ind w:right="57" w:hanging="223"/>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Mettre en œuvre les mesures de bonification des impacts positifs, de mitigation des effets adverses, de prévention des risques et de gestion de leurs conséquences au cas où ils se concrétiseraient ;</w:t>
            </w:r>
          </w:p>
          <w:p w14:paraId="3DFA82AE" w14:textId="77777777" w:rsidR="00DE241D" w:rsidRPr="0097258B" w:rsidRDefault="00DE241D" w:rsidP="001748C6">
            <w:pPr>
              <w:pStyle w:val="Default"/>
              <w:numPr>
                <w:ilvl w:val="0"/>
                <w:numId w:val="302"/>
              </w:numPr>
              <w:overflowPunct w:val="0"/>
              <w:ind w:right="57" w:hanging="223"/>
              <w:jc w:val="both"/>
              <w:textAlignment w:val="baseline"/>
              <w:rPr>
                <w:rFonts w:ascii="Times New Roman" w:hAnsi="Times New Roman" w:cs="Times New Roman"/>
                <w:sz w:val="20"/>
                <w:szCs w:val="20"/>
                <w:lang w:val="fr-FR"/>
              </w:rPr>
            </w:pPr>
            <w:r w:rsidRPr="0097258B">
              <w:rPr>
                <w:rFonts w:ascii="Times New Roman" w:hAnsi="Times New Roman" w:cs="Times New Roman"/>
                <w:color w:val="000000" w:themeColor="text1"/>
                <w:sz w:val="20"/>
                <w:szCs w:val="20"/>
                <w:lang w:val="fr-SN"/>
              </w:rPr>
              <w:t>Mettre en place un mécanisme de règlements des griefs sensibles aux EAS/HS-VCE</w:t>
            </w:r>
          </w:p>
        </w:tc>
      </w:tr>
      <w:tr w:rsidR="00BD1A2F" w:rsidRPr="00260790" w14:paraId="62F9CF9F" w14:textId="77777777" w:rsidTr="003A0E4A">
        <w:trPr>
          <w:trHeight w:val="230"/>
        </w:trPr>
        <w:tc>
          <w:tcPr>
            <w:tcW w:w="861" w:type="pct"/>
          </w:tcPr>
          <w:p w14:paraId="584D37EE" w14:textId="77777777" w:rsidR="00DE241D" w:rsidRPr="0097258B" w:rsidRDefault="00DE241D" w:rsidP="00E20250">
            <w:pPr>
              <w:spacing w:line="240" w:lineRule="auto"/>
              <w:rPr>
                <w:rFonts w:ascii="Times New Roman" w:hAnsi="Times New Roman"/>
                <w:sz w:val="20"/>
                <w:szCs w:val="20"/>
                <w:lang w:val="fr-FR"/>
              </w:rPr>
            </w:pPr>
          </w:p>
        </w:tc>
        <w:tc>
          <w:tcPr>
            <w:tcW w:w="1256" w:type="pct"/>
          </w:tcPr>
          <w:p w14:paraId="2567824D" w14:textId="77777777" w:rsidR="00DE241D" w:rsidRPr="0097258B" w:rsidRDefault="00DE241D" w:rsidP="00E20250">
            <w:pPr>
              <w:spacing w:line="240" w:lineRule="auto"/>
              <w:rPr>
                <w:rFonts w:ascii="Times New Roman" w:hAnsi="Times New Roman"/>
                <w:b/>
                <w:bCs/>
                <w:sz w:val="20"/>
                <w:szCs w:val="20"/>
                <w:lang w:val="fr-FR"/>
              </w:rPr>
            </w:pPr>
            <w:r w:rsidRPr="0097258B">
              <w:rPr>
                <w:rFonts w:ascii="Times New Roman" w:hAnsi="Times New Roman"/>
                <w:b/>
                <w:bCs/>
                <w:sz w:val="20"/>
                <w:szCs w:val="20"/>
              </w:rPr>
              <w:t>Risque final</w:t>
            </w:r>
          </w:p>
        </w:tc>
        <w:tc>
          <w:tcPr>
            <w:tcW w:w="684" w:type="pct"/>
          </w:tcPr>
          <w:p w14:paraId="0EFE797A"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Probabilité</w:t>
            </w:r>
            <w:proofErr w:type="spellEnd"/>
          </w:p>
        </w:tc>
        <w:tc>
          <w:tcPr>
            <w:tcW w:w="532" w:type="pct"/>
          </w:tcPr>
          <w:p w14:paraId="5386E4F5"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Gravité</w:t>
            </w:r>
            <w:proofErr w:type="spellEnd"/>
          </w:p>
        </w:tc>
        <w:tc>
          <w:tcPr>
            <w:tcW w:w="608" w:type="pct"/>
          </w:tcPr>
          <w:p w14:paraId="790A6836"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Criticité</w:t>
            </w:r>
            <w:proofErr w:type="spellEnd"/>
          </w:p>
        </w:tc>
        <w:tc>
          <w:tcPr>
            <w:tcW w:w="1059" w:type="pct"/>
          </w:tcPr>
          <w:p w14:paraId="1F4CDE53"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Dommage</w:t>
            </w:r>
            <w:proofErr w:type="spellEnd"/>
            <w:r w:rsidRPr="0097258B">
              <w:rPr>
                <w:rFonts w:ascii="Times New Roman" w:hAnsi="Times New Roman"/>
                <w:b/>
                <w:bCs/>
                <w:sz w:val="20"/>
                <w:szCs w:val="20"/>
              </w:rPr>
              <w:t xml:space="preserve"> </w:t>
            </w:r>
            <w:proofErr w:type="spellStart"/>
            <w:r w:rsidRPr="0097258B">
              <w:rPr>
                <w:rFonts w:ascii="Times New Roman" w:hAnsi="Times New Roman"/>
                <w:b/>
                <w:bCs/>
                <w:sz w:val="20"/>
                <w:szCs w:val="20"/>
              </w:rPr>
              <w:t>résiduel</w:t>
            </w:r>
            <w:proofErr w:type="spellEnd"/>
          </w:p>
        </w:tc>
      </w:tr>
      <w:tr w:rsidR="00BD1A2F" w:rsidRPr="00260790" w14:paraId="1EC21B5F" w14:textId="77777777" w:rsidTr="003A0E4A">
        <w:trPr>
          <w:trHeight w:val="918"/>
        </w:trPr>
        <w:tc>
          <w:tcPr>
            <w:tcW w:w="861" w:type="pct"/>
          </w:tcPr>
          <w:p w14:paraId="249EECD1" w14:textId="77777777" w:rsidR="00DE241D" w:rsidRPr="0097258B" w:rsidRDefault="00DE241D" w:rsidP="00E20250">
            <w:pPr>
              <w:spacing w:line="240" w:lineRule="auto"/>
              <w:rPr>
                <w:rFonts w:ascii="Times New Roman" w:hAnsi="Times New Roman"/>
                <w:sz w:val="20"/>
                <w:szCs w:val="20"/>
                <w:lang w:val="fr-FR"/>
              </w:rPr>
            </w:pPr>
            <w:r w:rsidRPr="0097258B">
              <w:rPr>
                <w:rFonts w:ascii="Times New Roman" w:hAnsi="Times New Roman"/>
                <w:sz w:val="20"/>
                <w:szCs w:val="20"/>
              </w:rPr>
              <w:t xml:space="preserve">Après </w:t>
            </w:r>
            <w:proofErr w:type="spellStart"/>
            <w:r w:rsidRPr="0097258B">
              <w:rPr>
                <w:rFonts w:ascii="Times New Roman" w:hAnsi="Times New Roman"/>
                <w:sz w:val="20"/>
                <w:szCs w:val="20"/>
              </w:rPr>
              <w:t>prévention</w:t>
            </w:r>
            <w:proofErr w:type="spellEnd"/>
          </w:p>
        </w:tc>
        <w:tc>
          <w:tcPr>
            <w:tcW w:w="1256" w:type="pct"/>
          </w:tcPr>
          <w:p w14:paraId="7FEFD089" w14:textId="77777777" w:rsidR="00DE241D" w:rsidRPr="0097258B" w:rsidRDefault="00DE241D" w:rsidP="00E20250">
            <w:pPr>
              <w:spacing w:line="240" w:lineRule="auto"/>
              <w:ind w:left="135"/>
              <w:rPr>
                <w:rFonts w:ascii="Times New Roman" w:hAnsi="Times New Roman"/>
                <w:sz w:val="20"/>
                <w:szCs w:val="20"/>
                <w:lang w:val="fr-FR"/>
              </w:rPr>
            </w:pPr>
            <w:r w:rsidRPr="00301AF6">
              <w:rPr>
                <w:rFonts w:ascii="Times New Roman" w:hAnsi="Times New Roman"/>
                <w:sz w:val="20"/>
                <w:szCs w:val="20"/>
                <w:lang w:val="fr-FR"/>
              </w:rPr>
              <w:t>Nuisances temporaires pour les populations riveraines</w:t>
            </w:r>
          </w:p>
        </w:tc>
        <w:tc>
          <w:tcPr>
            <w:tcW w:w="684" w:type="pct"/>
          </w:tcPr>
          <w:p w14:paraId="2E2003F8" w14:textId="77777777" w:rsidR="00DE241D" w:rsidRPr="0097258B" w:rsidRDefault="00DE241D" w:rsidP="00E20250">
            <w:pPr>
              <w:spacing w:line="240" w:lineRule="auto"/>
              <w:rPr>
                <w:rFonts w:ascii="Times New Roman" w:hAnsi="Times New Roman"/>
                <w:b/>
                <w:bCs/>
                <w:sz w:val="20"/>
                <w:szCs w:val="20"/>
                <w:lang w:val="fr-FR"/>
              </w:rPr>
            </w:pPr>
          </w:p>
          <w:p w14:paraId="1D44FFA9" w14:textId="77777777" w:rsidR="00DE241D" w:rsidRPr="0097258B" w:rsidRDefault="00DE241D" w:rsidP="00E20250">
            <w:pPr>
              <w:spacing w:line="240" w:lineRule="auto"/>
              <w:rPr>
                <w:rFonts w:ascii="Times New Roman" w:hAnsi="Times New Roman"/>
                <w:b/>
                <w:bCs/>
                <w:sz w:val="20"/>
                <w:szCs w:val="20"/>
                <w:lang w:val="fr-FR"/>
              </w:rPr>
            </w:pPr>
            <w:r w:rsidRPr="0097258B">
              <w:rPr>
                <w:rFonts w:ascii="Times New Roman" w:hAnsi="Times New Roman"/>
                <w:b/>
                <w:bCs/>
                <w:sz w:val="20"/>
                <w:szCs w:val="20"/>
              </w:rPr>
              <w:t>1</w:t>
            </w:r>
          </w:p>
        </w:tc>
        <w:tc>
          <w:tcPr>
            <w:tcW w:w="532" w:type="pct"/>
          </w:tcPr>
          <w:p w14:paraId="7B10C391" w14:textId="77777777" w:rsidR="00DE241D" w:rsidRPr="0097258B" w:rsidRDefault="00DE241D" w:rsidP="00E20250">
            <w:pPr>
              <w:spacing w:line="240" w:lineRule="auto"/>
              <w:rPr>
                <w:rFonts w:ascii="Times New Roman" w:hAnsi="Times New Roman"/>
                <w:b/>
                <w:bCs/>
                <w:sz w:val="20"/>
                <w:szCs w:val="20"/>
                <w:lang w:val="fr-FR"/>
              </w:rPr>
            </w:pPr>
          </w:p>
          <w:p w14:paraId="4D2B9553" w14:textId="77777777" w:rsidR="00DE241D" w:rsidRPr="0097258B" w:rsidRDefault="00DE241D" w:rsidP="00E20250">
            <w:pPr>
              <w:spacing w:line="240" w:lineRule="auto"/>
              <w:rPr>
                <w:rFonts w:ascii="Times New Roman" w:hAnsi="Times New Roman"/>
                <w:b/>
                <w:bCs/>
                <w:sz w:val="20"/>
                <w:szCs w:val="20"/>
                <w:lang w:val="fr-FR"/>
              </w:rPr>
            </w:pPr>
            <w:r w:rsidRPr="0097258B">
              <w:rPr>
                <w:rFonts w:ascii="Times New Roman" w:hAnsi="Times New Roman"/>
                <w:b/>
                <w:bCs/>
                <w:sz w:val="20"/>
                <w:szCs w:val="20"/>
              </w:rPr>
              <w:t>1</w:t>
            </w:r>
          </w:p>
        </w:tc>
        <w:tc>
          <w:tcPr>
            <w:tcW w:w="608" w:type="pct"/>
            <w:shd w:val="clear" w:color="auto" w:fill="92D050"/>
          </w:tcPr>
          <w:p w14:paraId="1C0C708A" w14:textId="77777777" w:rsidR="00DE241D" w:rsidRPr="0097258B" w:rsidRDefault="00DE241D" w:rsidP="00E20250">
            <w:pPr>
              <w:spacing w:line="240" w:lineRule="auto"/>
              <w:rPr>
                <w:rFonts w:ascii="Times New Roman" w:hAnsi="Times New Roman"/>
                <w:b/>
                <w:bCs/>
                <w:sz w:val="20"/>
                <w:szCs w:val="20"/>
                <w:lang w:val="fr-FR"/>
              </w:rPr>
            </w:pPr>
          </w:p>
          <w:p w14:paraId="24461A61" w14:textId="77777777" w:rsidR="00DE241D" w:rsidRPr="0097258B" w:rsidRDefault="00DE241D" w:rsidP="00E20250">
            <w:pPr>
              <w:spacing w:line="240" w:lineRule="auto"/>
              <w:rPr>
                <w:rFonts w:ascii="Times New Roman" w:hAnsi="Times New Roman"/>
                <w:b/>
                <w:bCs/>
                <w:sz w:val="20"/>
                <w:szCs w:val="20"/>
                <w:lang w:val="fr-FR"/>
              </w:rPr>
            </w:pPr>
            <w:r w:rsidRPr="0097258B">
              <w:rPr>
                <w:rFonts w:ascii="Times New Roman" w:hAnsi="Times New Roman"/>
                <w:b/>
                <w:bCs/>
                <w:sz w:val="20"/>
                <w:szCs w:val="20"/>
              </w:rPr>
              <w:t>11</w:t>
            </w:r>
          </w:p>
        </w:tc>
        <w:tc>
          <w:tcPr>
            <w:tcW w:w="1059" w:type="pct"/>
          </w:tcPr>
          <w:p w14:paraId="306EB037" w14:textId="77777777" w:rsidR="00DE241D" w:rsidRPr="0097258B" w:rsidRDefault="00DE241D" w:rsidP="00E20250">
            <w:pPr>
              <w:spacing w:line="240" w:lineRule="auto"/>
              <w:rPr>
                <w:rFonts w:ascii="Times New Roman" w:hAnsi="Times New Roman"/>
                <w:sz w:val="20"/>
                <w:szCs w:val="20"/>
                <w:lang w:val="fr-FR"/>
              </w:rPr>
            </w:pPr>
          </w:p>
          <w:p w14:paraId="216AF191" w14:textId="77777777" w:rsidR="00DE241D" w:rsidRPr="0097258B" w:rsidRDefault="00DE241D" w:rsidP="00E20250">
            <w:pPr>
              <w:spacing w:line="240" w:lineRule="auto"/>
              <w:rPr>
                <w:rFonts w:ascii="Times New Roman" w:hAnsi="Times New Roman"/>
                <w:sz w:val="20"/>
                <w:szCs w:val="20"/>
                <w:lang w:val="fr-FR"/>
              </w:rPr>
            </w:pPr>
            <w:proofErr w:type="spellStart"/>
            <w:r w:rsidRPr="0097258B">
              <w:rPr>
                <w:rFonts w:ascii="Times New Roman" w:hAnsi="Times New Roman"/>
                <w:sz w:val="20"/>
                <w:szCs w:val="20"/>
              </w:rPr>
              <w:t>Réticence</w:t>
            </w:r>
            <w:proofErr w:type="spellEnd"/>
            <w:r w:rsidRPr="0097258B">
              <w:rPr>
                <w:rFonts w:ascii="Times New Roman" w:hAnsi="Times New Roman"/>
                <w:sz w:val="20"/>
                <w:szCs w:val="20"/>
              </w:rPr>
              <w:t xml:space="preserve"> au </w:t>
            </w:r>
            <w:proofErr w:type="spellStart"/>
            <w:r w:rsidRPr="0097258B">
              <w:rPr>
                <w:rFonts w:ascii="Times New Roman" w:hAnsi="Times New Roman"/>
                <w:sz w:val="20"/>
                <w:szCs w:val="20"/>
              </w:rPr>
              <w:t>projet</w:t>
            </w:r>
            <w:proofErr w:type="spellEnd"/>
          </w:p>
        </w:tc>
      </w:tr>
    </w:tbl>
    <w:p w14:paraId="17A0E13C" w14:textId="77777777" w:rsidR="00DE241D" w:rsidRPr="00260790" w:rsidRDefault="00DE241D" w:rsidP="00E20250">
      <w:pPr>
        <w:pStyle w:val="Tramemoyenne1-Accent21"/>
        <w:rPr>
          <w:rFonts w:ascii="Times New Roman" w:hAnsi="Times New Roman"/>
          <w:color w:val="000000" w:themeColor="text1"/>
        </w:rPr>
      </w:pPr>
    </w:p>
    <w:p w14:paraId="11ED667C" w14:textId="77777777" w:rsidR="00DE241D" w:rsidRPr="00260790" w:rsidRDefault="00DE241D" w:rsidP="001748C6">
      <w:pPr>
        <w:pStyle w:val="Corpsdetexte"/>
        <w:widowControl w:val="0"/>
        <w:numPr>
          <w:ilvl w:val="0"/>
          <w:numId w:val="270"/>
        </w:numPr>
        <w:pBdr>
          <w:top w:val="none" w:sz="0" w:space="0" w:color="auto"/>
          <w:left w:val="none" w:sz="0" w:space="0" w:color="auto"/>
          <w:bottom w:val="none" w:sz="0" w:space="0" w:color="auto"/>
          <w:right w:val="none" w:sz="0" w:space="0" w:color="auto"/>
        </w:pBdr>
        <w:shd w:val="clear" w:color="auto" w:fill="auto"/>
        <w:tabs>
          <w:tab w:val="clear" w:pos="4393"/>
        </w:tabs>
        <w:autoSpaceDE w:val="0"/>
        <w:autoSpaceDN w:val="0"/>
        <w:ind w:right="341"/>
        <w:jc w:val="both"/>
        <w:rPr>
          <w:b w:val="0"/>
          <w:i/>
          <w:color w:val="000000" w:themeColor="text1"/>
          <w:sz w:val="22"/>
          <w:szCs w:val="22"/>
        </w:rPr>
      </w:pPr>
      <w:r w:rsidRPr="00260790">
        <w:rPr>
          <w:i/>
          <w:color w:val="000000" w:themeColor="text1"/>
          <w:sz w:val="22"/>
          <w:szCs w:val="22"/>
        </w:rPr>
        <w:t>RI-3. Risque d’accidents liés au matériel roulant</w:t>
      </w:r>
    </w:p>
    <w:p w14:paraId="0B48CB36" w14:textId="77777777" w:rsidR="00DE241D" w:rsidRPr="00260790" w:rsidRDefault="00DE241D" w:rsidP="00E20250">
      <w:pPr>
        <w:spacing w:after="4" w:line="240" w:lineRule="auto"/>
        <w:jc w:val="both"/>
        <w:rPr>
          <w:rFonts w:ascii="Times New Roman" w:hAnsi="Times New Roman"/>
          <w:bCs/>
          <w:color w:val="000000" w:themeColor="text1"/>
        </w:rPr>
      </w:pPr>
      <w:r w:rsidRPr="00260790">
        <w:rPr>
          <w:rFonts w:ascii="Times New Roman" w:hAnsi="Times New Roman"/>
          <w:bCs/>
          <w:color w:val="000000" w:themeColor="text1"/>
        </w:rPr>
        <w:t>L’acheminement des matériaux et équipements (ciment, fer, béton, sable…) ; l’évacuation des déblais et de la matière végétale y compris les déchets de faucardage, comportent un risque d’accidents de la circulation. L’utilisation d’engins de manutention à proximité des populations comportera également un risque d’accident pour les travailleurs et les riverains.</w:t>
      </w:r>
    </w:p>
    <w:p w14:paraId="02A87DE2" w14:textId="512BF903" w:rsidR="00DE241D" w:rsidRPr="00260790" w:rsidRDefault="00DE241D" w:rsidP="00451F8A">
      <w:pPr>
        <w:spacing w:before="240" w:after="4" w:line="240" w:lineRule="auto"/>
        <w:jc w:val="both"/>
        <w:rPr>
          <w:rFonts w:ascii="Times New Roman" w:hAnsi="Times New Roman"/>
          <w:bCs/>
          <w:color w:val="000000" w:themeColor="text1"/>
        </w:rPr>
      </w:pPr>
      <w:r w:rsidRPr="00260790">
        <w:rPr>
          <w:rFonts w:ascii="Times New Roman" w:hAnsi="Times New Roman"/>
          <w:bCs/>
          <w:color w:val="000000" w:themeColor="text1"/>
        </w:rPr>
        <w:t>Ci-dessous le résumé de l’analyse du risque d’accident</w:t>
      </w:r>
      <w:r w:rsidRPr="00260790">
        <w:rPr>
          <w:rFonts w:ascii="Times New Roman" w:hAnsi="Times New Roman"/>
          <w:bCs/>
          <w:color w:val="000000" w:themeColor="text1"/>
          <w:spacing w:val="60"/>
        </w:rPr>
        <w:t xml:space="preserve"> </w:t>
      </w:r>
      <w:r w:rsidRPr="00260790">
        <w:rPr>
          <w:rFonts w:ascii="Times New Roman" w:hAnsi="Times New Roman"/>
          <w:bCs/>
          <w:color w:val="000000" w:themeColor="text1"/>
        </w:rPr>
        <w:t>de la circulation associé au matériel roulant.</w:t>
      </w:r>
    </w:p>
    <w:p w14:paraId="14F20179" w14:textId="780879F7" w:rsidR="00DE241D" w:rsidRPr="00260790" w:rsidRDefault="00DE241D" w:rsidP="00451F8A">
      <w:pPr>
        <w:spacing w:before="240" w:line="240" w:lineRule="auto"/>
        <w:jc w:val="both"/>
        <w:rPr>
          <w:rFonts w:ascii="Times New Roman" w:hAnsi="Times New Roman"/>
          <w:bCs/>
          <w:i/>
          <w:iCs/>
          <w:color w:val="000000" w:themeColor="text1"/>
        </w:rPr>
      </w:pPr>
      <w:bookmarkStart w:id="615" w:name="_Toc207781873"/>
      <w:r w:rsidRPr="00260790">
        <w:rPr>
          <w:rFonts w:ascii="Times New Roman" w:hAnsi="Times New Roman"/>
          <w:bCs/>
          <w:i/>
          <w:iCs/>
          <w:color w:val="000000" w:themeColor="text1"/>
        </w:rPr>
        <w:t xml:space="preserve">Tableau </w:t>
      </w:r>
      <w:r w:rsidRPr="00260790">
        <w:rPr>
          <w:rFonts w:ascii="Times New Roman" w:hAnsi="Times New Roman"/>
          <w:bCs/>
          <w:i/>
          <w:iCs/>
          <w:color w:val="000000" w:themeColor="text1"/>
        </w:rPr>
        <w:fldChar w:fldCharType="begin"/>
      </w:r>
      <w:r w:rsidRPr="00260790">
        <w:rPr>
          <w:rFonts w:ascii="Times New Roman" w:hAnsi="Times New Roman"/>
          <w:bCs/>
          <w:i/>
          <w:iCs/>
          <w:color w:val="000000" w:themeColor="text1"/>
        </w:rPr>
        <w:instrText xml:space="preserve"> SEQ Tableau \* ARABIC </w:instrText>
      </w:r>
      <w:r w:rsidRPr="00260790">
        <w:rPr>
          <w:rFonts w:ascii="Times New Roman" w:hAnsi="Times New Roman"/>
          <w:bCs/>
          <w:i/>
          <w:iCs/>
          <w:color w:val="000000" w:themeColor="text1"/>
        </w:rPr>
        <w:fldChar w:fldCharType="separate"/>
      </w:r>
      <w:r w:rsidR="003C783E">
        <w:rPr>
          <w:rFonts w:ascii="Times New Roman" w:hAnsi="Times New Roman"/>
          <w:bCs/>
          <w:i/>
          <w:iCs/>
          <w:noProof/>
          <w:color w:val="000000" w:themeColor="text1"/>
        </w:rPr>
        <w:t>32</w:t>
      </w:r>
      <w:r w:rsidRPr="00260790">
        <w:rPr>
          <w:rFonts w:ascii="Times New Roman" w:hAnsi="Times New Roman"/>
          <w:bCs/>
          <w:i/>
          <w:iCs/>
          <w:color w:val="000000" w:themeColor="text1"/>
        </w:rPr>
        <w:fldChar w:fldCharType="end"/>
      </w:r>
      <w:r w:rsidRPr="00260790">
        <w:rPr>
          <w:rFonts w:ascii="Times New Roman" w:hAnsi="Times New Roman"/>
          <w:bCs/>
          <w:i/>
          <w:iCs/>
          <w:color w:val="000000" w:themeColor="text1"/>
        </w:rPr>
        <w:t> :</w:t>
      </w:r>
      <w:r w:rsidRPr="00260790">
        <w:rPr>
          <w:rFonts w:ascii="Times New Roman" w:hAnsi="Times New Roman"/>
          <w:bCs/>
          <w:i/>
          <w:iCs/>
          <w:color w:val="000000" w:themeColor="text1"/>
          <w:spacing w:val="48"/>
        </w:rPr>
        <w:t xml:space="preserve"> </w:t>
      </w:r>
      <w:r w:rsidRPr="00260790">
        <w:rPr>
          <w:rFonts w:ascii="Times New Roman" w:hAnsi="Times New Roman"/>
          <w:bCs/>
          <w:i/>
          <w:iCs/>
          <w:color w:val="000000" w:themeColor="text1"/>
        </w:rPr>
        <w:t>résumé</w:t>
      </w:r>
      <w:r w:rsidRPr="00260790">
        <w:rPr>
          <w:rFonts w:ascii="Times New Roman" w:hAnsi="Times New Roman"/>
          <w:bCs/>
          <w:i/>
          <w:iCs/>
          <w:color w:val="000000" w:themeColor="text1"/>
          <w:spacing w:val="57"/>
        </w:rPr>
        <w:t xml:space="preserve"> </w:t>
      </w:r>
      <w:r w:rsidRPr="00260790">
        <w:rPr>
          <w:rFonts w:ascii="Times New Roman" w:hAnsi="Times New Roman"/>
          <w:bCs/>
          <w:i/>
          <w:iCs/>
          <w:color w:val="000000" w:themeColor="text1"/>
        </w:rPr>
        <w:t>de</w:t>
      </w:r>
      <w:r w:rsidRPr="00260790">
        <w:rPr>
          <w:rFonts w:ascii="Times New Roman" w:hAnsi="Times New Roman"/>
          <w:bCs/>
          <w:i/>
          <w:iCs/>
          <w:color w:val="000000" w:themeColor="text1"/>
          <w:spacing w:val="48"/>
        </w:rPr>
        <w:t xml:space="preserve"> </w:t>
      </w:r>
      <w:r w:rsidRPr="00260790">
        <w:rPr>
          <w:rFonts w:ascii="Times New Roman" w:hAnsi="Times New Roman"/>
          <w:bCs/>
          <w:i/>
          <w:iCs/>
          <w:color w:val="000000" w:themeColor="text1"/>
        </w:rPr>
        <w:t>l’évaluation</w:t>
      </w:r>
      <w:r w:rsidRPr="00260790">
        <w:rPr>
          <w:rFonts w:ascii="Times New Roman" w:hAnsi="Times New Roman"/>
          <w:bCs/>
          <w:i/>
          <w:iCs/>
          <w:color w:val="000000" w:themeColor="text1"/>
          <w:spacing w:val="56"/>
        </w:rPr>
        <w:t xml:space="preserve"> </w:t>
      </w:r>
      <w:r w:rsidRPr="00260790">
        <w:rPr>
          <w:rFonts w:ascii="Times New Roman" w:hAnsi="Times New Roman"/>
          <w:bCs/>
          <w:i/>
          <w:iCs/>
          <w:color w:val="000000" w:themeColor="text1"/>
        </w:rPr>
        <w:t>du</w:t>
      </w:r>
      <w:r w:rsidRPr="00260790">
        <w:rPr>
          <w:rFonts w:ascii="Times New Roman" w:hAnsi="Times New Roman"/>
          <w:bCs/>
          <w:i/>
          <w:iCs/>
          <w:color w:val="000000" w:themeColor="text1"/>
          <w:spacing w:val="55"/>
        </w:rPr>
        <w:t xml:space="preserve"> </w:t>
      </w:r>
      <w:r w:rsidRPr="00260790">
        <w:rPr>
          <w:rFonts w:ascii="Times New Roman" w:hAnsi="Times New Roman"/>
          <w:bCs/>
          <w:i/>
          <w:iCs/>
          <w:color w:val="000000" w:themeColor="text1"/>
        </w:rPr>
        <w:t>risque</w:t>
      </w:r>
      <w:r w:rsidRPr="00260790">
        <w:rPr>
          <w:rFonts w:ascii="Times New Roman" w:hAnsi="Times New Roman"/>
          <w:bCs/>
          <w:i/>
          <w:iCs/>
          <w:color w:val="000000" w:themeColor="text1"/>
          <w:spacing w:val="63"/>
        </w:rPr>
        <w:t xml:space="preserve"> d’</w:t>
      </w:r>
      <w:r w:rsidRPr="00260790">
        <w:rPr>
          <w:rFonts w:ascii="Times New Roman" w:hAnsi="Times New Roman"/>
          <w:bCs/>
          <w:i/>
          <w:iCs/>
          <w:color w:val="000000" w:themeColor="text1"/>
        </w:rPr>
        <w:t>accident</w:t>
      </w:r>
      <w:r w:rsidRPr="00260790">
        <w:rPr>
          <w:rFonts w:ascii="Times New Roman" w:hAnsi="Times New Roman"/>
          <w:bCs/>
          <w:i/>
          <w:iCs/>
          <w:color w:val="000000" w:themeColor="text1"/>
          <w:spacing w:val="60"/>
        </w:rPr>
        <w:t xml:space="preserve"> </w:t>
      </w:r>
      <w:r w:rsidRPr="00260790">
        <w:rPr>
          <w:rFonts w:ascii="Times New Roman" w:hAnsi="Times New Roman"/>
          <w:bCs/>
          <w:i/>
          <w:iCs/>
          <w:color w:val="000000" w:themeColor="text1"/>
        </w:rPr>
        <w:t>de la circulation associé au matériel roulant</w:t>
      </w:r>
      <w:bookmarkEnd w:id="615"/>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16"/>
        <w:gridCol w:w="2267"/>
        <w:gridCol w:w="1187"/>
        <w:gridCol w:w="852"/>
        <w:gridCol w:w="926"/>
        <w:gridCol w:w="2312"/>
      </w:tblGrid>
      <w:tr w:rsidR="00BD1A2F" w:rsidRPr="00632C4D" w14:paraId="678BB405" w14:textId="77777777" w:rsidTr="003A0E4A">
        <w:trPr>
          <w:trHeight w:val="230"/>
        </w:trPr>
        <w:tc>
          <w:tcPr>
            <w:tcW w:w="5000" w:type="pct"/>
            <w:gridSpan w:val="6"/>
            <w:shd w:val="clear" w:color="auto" w:fill="B4C6E7" w:themeFill="accent5" w:themeFillTint="66"/>
          </w:tcPr>
          <w:p w14:paraId="232F458B" w14:textId="77777777" w:rsidR="00DE241D" w:rsidRPr="0097258B" w:rsidRDefault="00DE241D" w:rsidP="00E20250">
            <w:pPr>
              <w:pStyle w:val="Normaltableau0"/>
              <w:rPr>
                <w:rFonts w:ascii="Times New Roman" w:hAnsi="Times New Roman"/>
                <w:b/>
                <w:bCs/>
                <w:sz w:val="20"/>
                <w:lang w:val="fr-FR"/>
              </w:rPr>
            </w:pPr>
            <w:r w:rsidRPr="00301AF6">
              <w:rPr>
                <w:rFonts w:ascii="Times New Roman" w:hAnsi="Times New Roman"/>
                <w:b/>
                <w:bCs/>
                <w:sz w:val="20"/>
                <w:lang w:val="fr-FR"/>
              </w:rPr>
              <w:t>RI-3. Risque d’accidents liés au matériel roulant</w:t>
            </w:r>
          </w:p>
        </w:tc>
      </w:tr>
      <w:tr w:rsidR="00BD1A2F" w:rsidRPr="00632C4D" w14:paraId="3271CFE9" w14:textId="77777777" w:rsidTr="003A0E4A">
        <w:trPr>
          <w:trHeight w:val="230"/>
        </w:trPr>
        <w:tc>
          <w:tcPr>
            <w:tcW w:w="5000" w:type="pct"/>
            <w:gridSpan w:val="6"/>
          </w:tcPr>
          <w:p w14:paraId="75860B70" w14:textId="77777777" w:rsidR="00DE241D" w:rsidRPr="0097258B" w:rsidRDefault="00DE241D" w:rsidP="00E20250">
            <w:pPr>
              <w:pStyle w:val="Normaltableau0"/>
              <w:rPr>
                <w:rFonts w:ascii="Times New Roman" w:hAnsi="Times New Roman"/>
                <w:sz w:val="20"/>
                <w:lang w:val="fr-FR"/>
              </w:rPr>
            </w:pPr>
            <w:r w:rsidRPr="00301AF6">
              <w:rPr>
                <w:rFonts w:ascii="Times New Roman" w:hAnsi="Times New Roman"/>
                <w:sz w:val="20"/>
                <w:lang w:val="fr-FR"/>
              </w:rPr>
              <w:t>Activités : transport et circulation, manutention</w:t>
            </w:r>
          </w:p>
        </w:tc>
      </w:tr>
      <w:tr w:rsidR="00BD1A2F" w:rsidRPr="00632C4D" w14:paraId="65ABB630" w14:textId="77777777" w:rsidTr="003A0E4A">
        <w:trPr>
          <w:trHeight w:val="230"/>
        </w:trPr>
        <w:tc>
          <w:tcPr>
            <w:tcW w:w="837" w:type="pct"/>
          </w:tcPr>
          <w:p w14:paraId="5341D9D0" w14:textId="77777777" w:rsidR="00DE241D" w:rsidRPr="0097258B" w:rsidRDefault="00DE241D" w:rsidP="00E20250">
            <w:pPr>
              <w:pStyle w:val="Normaltableau0"/>
              <w:rPr>
                <w:rFonts w:ascii="Times New Roman" w:hAnsi="Times New Roman"/>
                <w:sz w:val="20"/>
                <w:lang w:val="fr-FR"/>
              </w:rPr>
            </w:pPr>
          </w:p>
        </w:tc>
        <w:tc>
          <w:tcPr>
            <w:tcW w:w="1251" w:type="pct"/>
          </w:tcPr>
          <w:p w14:paraId="204DD4EF" w14:textId="77777777" w:rsidR="00DE241D" w:rsidRPr="0097258B" w:rsidRDefault="00DE241D" w:rsidP="00E20250">
            <w:pPr>
              <w:pStyle w:val="Normaltableau0"/>
              <w:rPr>
                <w:rFonts w:ascii="Times New Roman" w:hAnsi="Times New Roman"/>
                <w:b/>
                <w:bCs/>
                <w:sz w:val="20"/>
                <w:lang w:val="fr-FR"/>
              </w:rPr>
            </w:pPr>
            <w:r w:rsidRPr="0097258B">
              <w:rPr>
                <w:rFonts w:ascii="Times New Roman" w:hAnsi="Times New Roman"/>
                <w:b/>
                <w:bCs/>
                <w:sz w:val="20"/>
              </w:rPr>
              <w:t>Risque initial</w:t>
            </w:r>
          </w:p>
        </w:tc>
        <w:tc>
          <w:tcPr>
            <w:tcW w:w="655" w:type="pct"/>
          </w:tcPr>
          <w:p w14:paraId="64EE9C87" w14:textId="77777777" w:rsidR="00DE241D" w:rsidRPr="0097258B" w:rsidRDefault="00DE241D" w:rsidP="00E20250">
            <w:pPr>
              <w:pStyle w:val="Normaltableau0"/>
              <w:rPr>
                <w:rFonts w:ascii="Times New Roman" w:hAnsi="Times New Roman"/>
                <w:b/>
                <w:bCs/>
                <w:sz w:val="20"/>
                <w:lang w:val="fr-FR"/>
              </w:rPr>
            </w:pPr>
            <w:proofErr w:type="spellStart"/>
            <w:r w:rsidRPr="0097258B">
              <w:rPr>
                <w:rFonts w:ascii="Times New Roman" w:hAnsi="Times New Roman"/>
                <w:b/>
                <w:bCs/>
                <w:sz w:val="20"/>
              </w:rPr>
              <w:t>Probabilité</w:t>
            </w:r>
            <w:proofErr w:type="spellEnd"/>
          </w:p>
        </w:tc>
        <w:tc>
          <w:tcPr>
            <w:tcW w:w="470" w:type="pct"/>
          </w:tcPr>
          <w:p w14:paraId="30F7E0BA" w14:textId="77777777" w:rsidR="00DE241D" w:rsidRPr="0097258B" w:rsidRDefault="00DE241D" w:rsidP="00E20250">
            <w:pPr>
              <w:pStyle w:val="Normaltableau0"/>
              <w:rPr>
                <w:rFonts w:ascii="Times New Roman" w:hAnsi="Times New Roman"/>
                <w:b/>
                <w:bCs/>
                <w:sz w:val="20"/>
                <w:lang w:val="fr-FR"/>
              </w:rPr>
            </w:pPr>
            <w:proofErr w:type="spellStart"/>
            <w:r w:rsidRPr="0097258B">
              <w:rPr>
                <w:rFonts w:ascii="Times New Roman" w:hAnsi="Times New Roman"/>
                <w:b/>
                <w:bCs/>
                <w:sz w:val="20"/>
              </w:rPr>
              <w:t>Gravité</w:t>
            </w:r>
            <w:proofErr w:type="spellEnd"/>
          </w:p>
        </w:tc>
        <w:tc>
          <w:tcPr>
            <w:tcW w:w="511" w:type="pct"/>
          </w:tcPr>
          <w:p w14:paraId="307518D0" w14:textId="77777777" w:rsidR="00DE241D" w:rsidRPr="0097258B" w:rsidRDefault="00DE241D" w:rsidP="00E20250">
            <w:pPr>
              <w:pStyle w:val="Normaltableau0"/>
              <w:rPr>
                <w:rFonts w:ascii="Times New Roman" w:hAnsi="Times New Roman"/>
                <w:b/>
                <w:bCs/>
                <w:sz w:val="20"/>
                <w:lang w:val="fr-FR"/>
              </w:rPr>
            </w:pPr>
            <w:proofErr w:type="spellStart"/>
            <w:r w:rsidRPr="0097258B">
              <w:rPr>
                <w:rFonts w:ascii="Times New Roman" w:hAnsi="Times New Roman"/>
                <w:b/>
                <w:bCs/>
                <w:sz w:val="20"/>
              </w:rPr>
              <w:t>Criticité</w:t>
            </w:r>
            <w:proofErr w:type="spellEnd"/>
          </w:p>
        </w:tc>
        <w:tc>
          <w:tcPr>
            <w:tcW w:w="1276" w:type="pct"/>
          </w:tcPr>
          <w:p w14:paraId="1745A3DB" w14:textId="77777777" w:rsidR="00DE241D" w:rsidRPr="0097258B" w:rsidRDefault="00DE241D" w:rsidP="00E20250">
            <w:pPr>
              <w:pStyle w:val="Normaltableau0"/>
              <w:rPr>
                <w:rFonts w:ascii="Times New Roman" w:hAnsi="Times New Roman"/>
                <w:b/>
                <w:bCs/>
                <w:sz w:val="20"/>
                <w:lang w:val="fr-FR"/>
              </w:rPr>
            </w:pPr>
            <w:proofErr w:type="spellStart"/>
            <w:r w:rsidRPr="0097258B">
              <w:rPr>
                <w:rFonts w:ascii="Times New Roman" w:hAnsi="Times New Roman"/>
                <w:b/>
                <w:bCs/>
                <w:sz w:val="20"/>
              </w:rPr>
              <w:t>Dommage</w:t>
            </w:r>
            <w:proofErr w:type="spellEnd"/>
          </w:p>
        </w:tc>
      </w:tr>
      <w:tr w:rsidR="00BD1A2F" w:rsidRPr="00632C4D" w14:paraId="545548E2" w14:textId="77777777" w:rsidTr="003A0E4A">
        <w:trPr>
          <w:trHeight w:val="2068"/>
        </w:trPr>
        <w:tc>
          <w:tcPr>
            <w:tcW w:w="837" w:type="pct"/>
          </w:tcPr>
          <w:p w14:paraId="07794108" w14:textId="77777777" w:rsidR="00DE241D" w:rsidRPr="0097258B" w:rsidRDefault="00DE241D" w:rsidP="00E20250">
            <w:pPr>
              <w:pStyle w:val="Normaltableau0"/>
              <w:rPr>
                <w:rFonts w:ascii="Times New Roman" w:hAnsi="Times New Roman"/>
                <w:sz w:val="20"/>
                <w:lang w:val="fr-FR"/>
              </w:rPr>
            </w:pPr>
          </w:p>
          <w:p w14:paraId="51C09178" w14:textId="77777777" w:rsidR="00DE241D" w:rsidRPr="0097258B" w:rsidRDefault="00DE241D" w:rsidP="00E20250">
            <w:pPr>
              <w:pStyle w:val="Normaltableau0"/>
              <w:rPr>
                <w:rFonts w:ascii="Times New Roman" w:hAnsi="Times New Roman"/>
                <w:sz w:val="20"/>
                <w:lang w:val="fr-FR"/>
              </w:rPr>
            </w:pPr>
          </w:p>
          <w:p w14:paraId="63997FF5" w14:textId="77777777" w:rsidR="00DE241D" w:rsidRPr="0097258B" w:rsidRDefault="00DE241D" w:rsidP="00E20250">
            <w:pPr>
              <w:pStyle w:val="Normaltableau0"/>
              <w:rPr>
                <w:rFonts w:ascii="Times New Roman" w:hAnsi="Times New Roman"/>
                <w:sz w:val="20"/>
                <w:lang w:val="fr-FR"/>
              </w:rPr>
            </w:pPr>
          </w:p>
          <w:p w14:paraId="12CED244" w14:textId="77777777" w:rsidR="00DE241D" w:rsidRPr="0097258B" w:rsidRDefault="00DE241D" w:rsidP="00E20250">
            <w:pPr>
              <w:pStyle w:val="Normaltableau0"/>
              <w:rPr>
                <w:rFonts w:ascii="Times New Roman" w:hAnsi="Times New Roman"/>
                <w:sz w:val="20"/>
                <w:lang w:val="fr-FR"/>
              </w:rPr>
            </w:pPr>
            <w:r w:rsidRPr="0097258B">
              <w:rPr>
                <w:rFonts w:ascii="Times New Roman" w:hAnsi="Times New Roman"/>
                <w:sz w:val="20"/>
              </w:rPr>
              <w:t xml:space="preserve">Avant </w:t>
            </w:r>
            <w:proofErr w:type="spellStart"/>
            <w:r w:rsidRPr="0097258B">
              <w:rPr>
                <w:rFonts w:ascii="Times New Roman" w:hAnsi="Times New Roman"/>
                <w:sz w:val="20"/>
              </w:rPr>
              <w:t>prévention</w:t>
            </w:r>
            <w:proofErr w:type="spellEnd"/>
          </w:p>
        </w:tc>
        <w:tc>
          <w:tcPr>
            <w:tcW w:w="1251" w:type="pct"/>
          </w:tcPr>
          <w:p w14:paraId="236542A3" w14:textId="77777777" w:rsidR="00DE241D" w:rsidRPr="0097258B" w:rsidRDefault="00DE241D" w:rsidP="00E20250">
            <w:pPr>
              <w:spacing w:line="240" w:lineRule="auto"/>
              <w:ind w:left="135"/>
              <w:rPr>
                <w:rFonts w:ascii="Times New Roman" w:hAnsi="Times New Roman"/>
                <w:sz w:val="20"/>
                <w:szCs w:val="20"/>
                <w:lang w:val="fr-FR"/>
              </w:rPr>
            </w:pPr>
            <w:r w:rsidRPr="00301AF6">
              <w:rPr>
                <w:rFonts w:ascii="Times New Roman" w:hAnsi="Times New Roman"/>
                <w:sz w:val="20"/>
                <w:szCs w:val="20"/>
                <w:lang w:val="fr-FR"/>
              </w:rPr>
              <w:t xml:space="preserve">Augmentation du trafic routier ; </w:t>
            </w:r>
          </w:p>
          <w:p w14:paraId="7EBA2913" w14:textId="77777777" w:rsidR="00DE241D" w:rsidRPr="0097258B" w:rsidRDefault="00DE241D" w:rsidP="00E20250">
            <w:pPr>
              <w:spacing w:line="240" w:lineRule="auto"/>
              <w:ind w:left="135"/>
              <w:rPr>
                <w:rFonts w:ascii="Times New Roman" w:hAnsi="Times New Roman"/>
                <w:sz w:val="20"/>
                <w:szCs w:val="20"/>
                <w:lang w:val="fr-FR"/>
              </w:rPr>
            </w:pPr>
            <w:r w:rsidRPr="00301AF6">
              <w:rPr>
                <w:rFonts w:ascii="Times New Roman" w:hAnsi="Times New Roman"/>
                <w:sz w:val="20"/>
                <w:szCs w:val="20"/>
                <w:lang w:val="fr-FR"/>
              </w:rPr>
              <w:t>Non-respect du Code de la route ;</w:t>
            </w:r>
          </w:p>
          <w:p w14:paraId="46C6B124" w14:textId="77777777" w:rsidR="00DE241D" w:rsidRPr="0097258B" w:rsidRDefault="00DE241D" w:rsidP="00E20250">
            <w:pPr>
              <w:spacing w:line="240" w:lineRule="auto"/>
              <w:ind w:left="135"/>
              <w:rPr>
                <w:rFonts w:ascii="Times New Roman" w:hAnsi="Times New Roman"/>
                <w:sz w:val="20"/>
                <w:szCs w:val="20"/>
                <w:lang w:val="fr-FR"/>
              </w:rPr>
            </w:pPr>
            <w:r w:rsidRPr="00301AF6">
              <w:rPr>
                <w:rFonts w:ascii="Times New Roman" w:hAnsi="Times New Roman"/>
                <w:sz w:val="20"/>
                <w:szCs w:val="20"/>
                <w:lang w:val="fr-FR"/>
              </w:rPr>
              <w:t>Défaut de qualification des opérateurs d’engins ;</w:t>
            </w:r>
          </w:p>
          <w:p w14:paraId="4F869A01" w14:textId="77777777" w:rsidR="00DE241D" w:rsidRPr="0097258B" w:rsidRDefault="00DE241D" w:rsidP="00E20250">
            <w:pPr>
              <w:spacing w:line="240" w:lineRule="auto"/>
              <w:ind w:left="135"/>
              <w:rPr>
                <w:rFonts w:ascii="Times New Roman" w:hAnsi="Times New Roman"/>
                <w:sz w:val="20"/>
                <w:szCs w:val="20"/>
                <w:lang w:val="fr-FR"/>
              </w:rPr>
            </w:pPr>
            <w:r w:rsidRPr="00301AF6">
              <w:rPr>
                <w:rFonts w:ascii="Times New Roman" w:hAnsi="Times New Roman"/>
                <w:sz w:val="20"/>
                <w:szCs w:val="20"/>
                <w:lang w:val="fr-FR"/>
              </w:rPr>
              <w:t>Non-respect des mesures de sécurité ;</w:t>
            </w:r>
          </w:p>
          <w:p w14:paraId="79CEEFBA" w14:textId="77777777" w:rsidR="00DE241D" w:rsidRPr="0097258B" w:rsidRDefault="00DE241D" w:rsidP="00E20250">
            <w:pPr>
              <w:spacing w:line="240" w:lineRule="auto"/>
              <w:ind w:left="135"/>
              <w:rPr>
                <w:rFonts w:ascii="Times New Roman" w:hAnsi="Times New Roman"/>
                <w:sz w:val="20"/>
                <w:szCs w:val="20"/>
                <w:lang w:val="fr-FR"/>
              </w:rPr>
            </w:pPr>
            <w:proofErr w:type="spellStart"/>
            <w:r w:rsidRPr="0097258B">
              <w:rPr>
                <w:rFonts w:ascii="Times New Roman" w:hAnsi="Times New Roman"/>
                <w:sz w:val="20"/>
                <w:szCs w:val="20"/>
              </w:rPr>
              <w:t>Défaillances</w:t>
            </w:r>
            <w:proofErr w:type="spellEnd"/>
            <w:r w:rsidRPr="0097258B">
              <w:rPr>
                <w:rFonts w:ascii="Times New Roman" w:hAnsi="Times New Roman"/>
                <w:sz w:val="20"/>
                <w:szCs w:val="20"/>
              </w:rPr>
              <w:t xml:space="preserve"> </w:t>
            </w:r>
            <w:proofErr w:type="spellStart"/>
            <w:proofErr w:type="gramStart"/>
            <w:r w:rsidRPr="0097258B">
              <w:rPr>
                <w:rFonts w:ascii="Times New Roman" w:hAnsi="Times New Roman"/>
                <w:sz w:val="20"/>
                <w:szCs w:val="20"/>
              </w:rPr>
              <w:t>mécaniques</w:t>
            </w:r>
            <w:proofErr w:type="spellEnd"/>
            <w:r w:rsidRPr="0097258B">
              <w:rPr>
                <w:rFonts w:ascii="Times New Roman" w:hAnsi="Times New Roman"/>
                <w:sz w:val="20"/>
                <w:szCs w:val="20"/>
              </w:rPr>
              <w:t> ;</w:t>
            </w:r>
            <w:proofErr w:type="gramEnd"/>
          </w:p>
          <w:p w14:paraId="12CFAAD5" w14:textId="77777777" w:rsidR="00DE241D" w:rsidRPr="0097258B" w:rsidRDefault="00DE241D" w:rsidP="00E20250">
            <w:pPr>
              <w:spacing w:line="240" w:lineRule="auto"/>
              <w:ind w:left="135"/>
              <w:rPr>
                <w:rFonts w:ascii="Times New Roman" w:hAnsi="Times New Roman"/>
                <w:sz w:val="20"/>
                <w:szCs w:val="20"/>
                <w:lang w:val="fr-FR"/>
              </w:rPr>
            </w:pPr>
            <w:proofErr w:type="spellStart"/>
            <w:r w:rsidRPr="0097258B">
              <w:rPr>
                <w:rFonts w:ascii="Times New Roman" w:hAnsi="Times New Roman"/>
                <w:sz w:val="20"/>
                <w:szCs w:val="20"/>
              </w:rPr>
              <w:t>Erreurs</w:t>
            </w:r>
            <w:proofErr w:type="spellEnd"/>
            <w:r w:rsidRPr="0097258B">
              <w:rPr>
                <w:rFonts w:ascii="Times New Roman" w:hAnsi="Times New Roman"/>
                <w:sz w:val="20"/>
                <w:szCs w:val="20"/>
              </w:rPr>
              <w:t xml:space="preserve"> </w:t>
            </w:r>
            <w:proofErr w:type="spellStart"/>
            <w:r w:rsidRPr="0097258B">
              <w:rPr>
                <w:rFonts w:ascii="Times New Roman" w:hAnsi="Times New Roman"/>
                <w:sz w:val="20"/>
                <w:szCs w:val="20"/>
              </w:rPr>
              <w:t>humaines</w:t>
            </w:r>
            <w:proofErr w:type="spellEnd"/>
            <w:r w:rsidRPr="0097258B">
              <w:rPr>
                <w:rFonts w:ascii="Times New Roman" w:hAnsi="Times New Roman"/>
                <w:sz w:val="20"/>
                <w:szCs w:val="20"/>
              </w:rPr>
              <w:t xml:space="preserve"> </w:t>
            </w:r>
          </w:p>
        </w:tc>
        <w:tc>
          <w:tcPr>
            <w:tcW w:w="655" w:type="pct"/>
          </w:tcPr>
          <w:p w14:paraId="43D97563" w14:textId="77777777" w:rsidR="00DE241D" w:rsidRPr="0097258B" w:rsidRDefault="00DE241D" w:rsidP="00451F8A">
            <w:pPr>
              <w:pStyle w:val="Normaltableau0"/>
              <w:jc w:val="center"/>
              <w:rPr>
                <w:rFonts w:ascii="Times New Roman" w:hAnsi="Times New Roman"/>
                <w:b/>
                <w:bCs/>
                <w:sz w:val="20"/>
                <w:lang w:val="fr-FR"/>
              </w:rPr>
            </w:pPr>
          </w:p>
          <w:p w14:paraId="08791FCD" w14:textId="77777777" w:rsidR="00DE241D" w:rsidRPr="0097258B" w:rsidRDefault="00DE241D" w:rsidP="00451F8A">
            <w:pPr>
              <w:pStyle w:val="Normaltableau0"/>
              <w:jc w:val="center"/>
              <w:rPr>
                <w:rFonts w:ascii="Times New Roman" w:hAnsi="Times New Roman"/>
                <w:b/>
                <w:bCs/>
                <w:sz w:val="20"/>
                <w:lang w:val="fr-FR"/>
              </w:rPr>
            </w:pPr>
          </w:p>
          <w:p w14:paraId="29C59DDE" w14:textId="77777777" w:rsidR="00DE241D" w:rsidRPr="0097258B" w:rsidRDefault="00DE241D" w:rsidP="00451F8A">
            <w:pPr>
              <w:pStyle w:val="Normaltableau0"/>
              <w:jc w:val="center"/>
              <w:rPr>
                <w:rFonts w:ascii="Times New Roman" w:hAnsi="Times New Roman"/>
                <w:b/>
                <w:bCs/>
                <w:sz w:val="20"/>
                <w:lang w:val="fr-FR"/>
              </w:rPr>
            </w:pPr>
          </w:p>
          <w:p w14:paraId="1D460F70" w14:textId="77777777" w:rsidR="00DE241D" w:rsidRPr="0097258B" w:rsidRDefault="00DE241D" w:rsidP="00451F8A">
            <w:pPr>
              <w:pStyle w:val="Normaltableau0"/>
              <w:jc w:val="center"/>
              <w:rPr>
                <w:rFonts w:ascii="Times New Roman" w:hAnsi="Times New Roman"/>
                <w:b/>
                <w:bCs/>
                <w:sz w:val="20"/>
                <w:lang w:val="fr-FR"/>
              </w:rPr>
            </w:pPr>
            <w:r w:rsidRPr="0097258B">
              <w:rPr>
                <w:rFonts w:ascii="Times New Roman" w:hAnsi="Times New Roman"/>
                <w:b/>
                <w:bCs/>
                <w:sz w:val="20"/>
              </w:rPr>
              <w:t>3</w:t>
            </w:r>
          </w:p>
        </w:tc>
        <w:tc>
          <w:tcPr>
            <w:tcW w:w="470" w:type="pct"/>
          </w:tcPr>
          <w:p w14:paraId="23CB0199" w14:textId="77777777" w:rsidR="00DE241D" w:rsidRPr="0097258B" w:rsidRDefault="00DE241D" w:rsidP="00451F8A">
            <w:pPr>
              <w:pStyle w:val="Normaltableau0"/>
              <w:jc w:val="center"/>
              <w:rPr>
                <w:rFonts w:ascii="Times New Roman" w:hAnsi="Times New Roman"/>
                <w:b/>
                <w:bCs/>
                <w:sz w:val="20"/>
                <w:lang w:val="fr-FR"/>
              </w:rPr>
            </w:pPr>
          </w:p>
          <w:p w14:paraId="3E09101E" w14:textId="77777777" w:rsidR="00DE241D" w:rsidRPr="0097258B" w:rsidRDefault="00DE241D" w:rsidP="00451F8A">
            <w:pPr>
              <w:pStyle w:val="Normaltableau0"/>
              <w:jc w:val="center"/>
              <w:rPr>
                <w:rFonts w:ascii="Times New Roman" w:hAnsi="Times New Roman"/>
                <w:b/>
                <w:bCs/>
                <w:sz w:val="20"/>
                <w:lang w:val="fr-FR"/>
              </w:rPr>
            </w:pPr>
          </w:p>
          <w:p w14:paraId="7CBC17F3" w14:textId="77777777" w:rsidR="00DE241D" w:rsidRPr="0097258B" w:rsidRDefault="00DE241D" w:rsidP="00451F8A">
            <w:pPr>
              <w:pStyle w:val="Normaltableau0"/>
              <w:jc w:val="center"/>
              <w:rPr>
                <w:rFonts w:ascii="Times New Roman" w:hAnsi="Times New Roman"/>
                <w:b/>
                <w:bCs/>
                <w:sz w:val="20"/>
                <w:lang w:val="fr-FR"/>
              </w:rPr>
            </w:pPr>
          </w:p>
          <w:p w14:paraId="56EFC94D" w14:textId="77777777" w:rsidR="00DE241D" w:rsidRPr="0097258B" w:rsidRDefault="00DE241D" w:rsidP="00451F8A">
            <w:pPr>
              <w:pStyle w:val="Normaltableau0"/>
              <w:jc w:val="center"/>
              <w:rPr>
                <w:rFonts w:ascii="Times New Roman" w:hAnsi="Times New Roman"/>
                <w:b/>
                <w:bCs/>
                <w:sz w:val="20"/>
                <w:lang w:val="fr-FR"/>
              </w:rPr>
            </w:pPr>
            <w:r w:rsidRPr="0097258B">
              <w:rPr>
                <w:rFonts w:ascii="Times New Roman" w:hAnsi="Times New Roman"/>
                <w:b/>
                <w:bCs/>
                <w:sz w:val="20"/>
              </w:rPr>
              <w:t>3</w:t>
            </w:r>
          </w:p>
        </w:tc>
        <w:tc>
          <w:tcPr>
            <w:tcW w:w="511" w:type="pct"/>
            <w:shd w:val="clear" w:color="auto" w:fill="FF0000"/>
          </w:tcPr>
          <w:p w14:paraId="480A6AE9" w14:textId="77777777" w:rsidR="00DE241D" w:rsidRPr="0097258B" w:rsidRDefault="00DE241D" w:rsidP="00451F8A">
            <w:pPr>
              <w:pStyle w:val="Normaltableau0"/>
              <w:jc w:val="center"/>
              <w:rPr>
                <w:rFonts w:ascii="Times New Roman" w:hAnsi="Times New Roman"/>
                <w:b/>
                <w:bCs/>
                <w:sz w:val="20"/>
                <w:lang w:val="fr-FR"/>
              </w:rPr>
            </w:pPr>
          </w:p>
          <w:p w14:paraId="52B4419D" w14:textId="77777777" w:rsidR="00DE241D" w:rsidRPr="0097258B" w:rsidRDefault="00DE241D" w:rsidP="00451F8A">
            <w:pPr>
              <w:pStyle w:val="Normaltableau0"/>
              <w:jc w:val="center"/>
              <w:rPr>
                <w:rFonts w:ascii="Times New Roman" w:hAnsi="Times New Roman"/>
                <w:b/>
                <w:bCs/>
                <w:sz w:val="20"/>
                <w:lang w:val="fr-FR"/>
              </w:rPr>
            </w:pPr>
          </w:p>
          <w:p w14:paraId="6845FD1F" w14:textId="77777777" w:rsidR="00DE241D" w:rsidRPr="0097258B" w:rsidRDefault="00DE241D" w:rsidP="00451F8A">
            <w:pPr>
              <w:pStyle w:val="Normaltableau0"/>
              <w:jc w:val="center"/>
              <w:rPr>
                <w:rFonts w:ascii="Times New Roman" w:hAnsi="Times New Roman"/>
                <w:b/>
                <w:bCs/>
                <w:sz w:val="20"/>
                <w:lang w:val="fr-FR"/>
              </w:rPr>
            </w:pPr>
          </w:p>
          <w:p w14:paraId="600C8D57" w14:textId="77777777" w:rsidR="00DE241D" w:rsidRPr="0097258B" w:rsidRDefault="00DE241D" w:rsidP="00451F8A">
            <w:pPr>
              <w:pStyle w:val="Normaltableau0"/>
              <w:jc w:val="center"/>
              <w:rPr>
                <w:rFonts w:ascii="Times New Roman" w:hAnsi="Times New Roman"/>
                <w:b/>
                <w:bCs/>
                <w:sz w:val="20"/>
                <w:lang w:val="fr-FR"/>
              </w:rPr>
            </w:pPr>
            <w:r w:rsidRPr="0097258B">
              <w:rPr>
                <w:rFonts w:ascii="Times New Roman" w:hAnsi="Times New Roman"/>
                <w:b/>
                <w:bCs/>
                <w:sz w:val="20"/>
              </w:rPr>
              <w:t>33</w:t>
            </w:r>
          </w:p>
        </w:tc>
        <w:tc>
          <w:tcPr>
            <w:tcW w:w="1276" w:type="pct"/>
          </w:tcPr>
          <w:p w14:paraId="5C971ED7" w14:textId="77777777" w:rsidR="00DE241D" w:rsidRPr="0097258B" w:rsidRDefault="00DE241D" w:rsidP="00E20250">
            <w:pPr>
              <w:pStyle w:val="Normaltableau0"/>
              <w:rPr>
                <w:rFonts w:ascii="Times New Roman" w:hAnsi="Times New Roman"/>
                <w:sz w:val="20"/>
                <w:lang w:val="fr-FR"/>
              </w:rPr>
            </w:pPr>
            <w:r w:rsidRPr="00301AF6">
              <w:rPr>
                <w:rFonts w:ascii="Times New Roman" w:hAnsi="Times New Roman"/>
                <w:sz w:val="20"/>
                <w:lang w:val="fr-FR"/>
              </w:rPr>
              <w:t>Embouteillages ; Arrêts de travail ; Dégâts matériels ; Dommages corporels ;</w:t>
            </w:r>
          </w:p>
          <w:p w14:paraId="2C870EF3" w14:textId="77777777" w:rsidR="00DE241D" w:rsidRPr="0097258B" w:rsidRDefault="00DE241D" w:rsidP="00E20250">
            <w:pPr>
              <w:pStyle w:val="Normaltableau0"/>
              <w:rPr>
                <w:rFonts w:ascii="Times New Roman" w:hAnsi="Times New Roman"/>
                <w:sz w:val="20"/>
                <w:lang w:val="fr-FR"/>
              </w:rPr>
            </w:pPr>
            <w:proofErr w:type="spellStart"/>
            <w:r w:rsidRPr="0097258B">
              <w:rPr>
                <w:rFonts w:ascii="Times New Roman" w:hAnsi="Times New Roman"/>
                <w:sz w:val="20"/>
              </w:rPr>
              <w:t>Pertes</w:t>
            </w:r>
            <w:proofErr w:type="spellEnd"/>
            <w:r w:rsidRPr="0097258B">
              <w:rPr>
                <w:rFonts w:ascii="Times New Roman" w:hAnsi="Times New Roman"/>
                <w:sz w:val="20"/>
              </w:rPr>
              <w:t xml:space="preserve"> </w:t>
            </w:r>
            <w:proofErr w:type="spellStart"/>
            <w:r w:rsidRPr="0097258B">
              <w:rPr>
                <w:rFonts w:ascii="Times New Roman" w:hAnsi="Times New Roman"/>
                <w:sz w:val="20"/>
              </w:rPr>
              <w:t>en</w:t>
            </w:r>
            <w:proofErr w:type="spellEnd"/>
            <w:r w:rsidRPr="0097258B">
              <w:rPr>
                <w:rFonts w:ascii="Times New Roman" w:hAnsi="Times New Roman"/>
                <w:sz w:val="20"/>
              </w:rPr>
              <w:t xml:space="preserve"> vies </w:t>
            </w:r>
            <w:proofErr w:type="spellStart"/>
            <w:r w:rsidRPr="0097258B">
              <w:rPr>
                <w:rFonts w:ascii="Times New Roman" w:hAnsi="Times New Roman"/>
                <w:sz w:val="20"/>
              </w:rPr>
              <w:t>humaines</w:t>
            </w:r>
            <w:proofErr w:type="spellEnd"/>
            <w:r w:rsidRPr="0097258B">
              <w:rPr>
                <w:rFonts w:ascii="Times New Roman" w:hAnsi="Times New Roman"/>
                <w:sz w:val="20"/>
              </w:rPr>
              <w:t xml:space="preserve"> </w:t>
            </w:r>
          </w:p>
        </w:tc>
      </w:tr>
      <w:tr w:rsidR="00BD1A2F" w:rsidRPr="00632C4D" w14:paraId="0B883584" w14:textId="77777777" w:rsidTr="003A0E4A">
        <w:trPr>
          <w:trHeight w:val="987"/>
        </w:trPr>
        <w:tc>
          <w:tcPr>
            <w:tcW w:w="837" w:type="pct"/>
          </w:tcPr>
          <w:p w14:paraId="66D9E050" w14:textId="77777777" w:rsidR="00DE241D" w:rsidRPr="0097258B" w:rsidRDefault="00DE241D" w:rsidP="00E20250">
            <w:pPr>
              <w:pStyle w:val="Normaltableau0"/>
              <w:rPr>
                <w:rFonts w:ascii="Times New Roman" w:hAnsi="Times New Roman"/>
                <w:sz w:val="20"/>
                <w:lang w:val="fr-FR"/>
              </w:rPr>
            </w:pPr>
          </w:p>
          <w:p w14:paraId="4F7F5193" w14:textId="77777777" w:rsidR="00DE241D" w:rsidRPr="0097258B" w:rsidRDefault="00DE241D" w:rsidP="00E20250">
            <w:pPr>
              <w:pStyle w:val="Normaltableau0"/>
              <w:rPr>
                <w:rFonts w:ascii="Times New Roman" w:hAnsi="Times New Roman"/>
                <w:sz w:val="20"/>
                <w:lang w:val="fr-FR"/>
              </w:rPr>
            </w:pPr>
          </w:p>
          <w:p w14:paraId="62695F8C" w14:textId="77777777" w:rsidR="00DE241D" w:rsidRPr="0097258B" w:rsidRDefault="00DE241D" w:rsidP="00E20250">
            <w:pPr>
              <w:pStyle w:val="Normaltableau0"/>
              <w:rPr>
                <w:rFonts w:ascii="Times New Roman" w:hAnsi="Times New Roman"/>
                <w:sz w:val="20"/>
                <w:lang w:val="fr-FR"/>
              </w:rPr>
            </w:pPr>
          </w:p>
          <w:p w14:paraId="7F837451" w14:textId="77777777" w:rsidR="00DE241D" w:rsidRPr="0097258B" w:rsidRDefault="00DE241D" w:rsidP="00E20250">
            <w:pPr>
              <w:pStyle w:val="Normaltableau0"/>
              <w:rPr>
                <w:rFonts w:ascii="Times New Roman" w:hAnsi="Times New Roman"/>
                <w:sz w:val="20"/>
                <w:lang w:val="fr-FR"/>
              </w:rPr>
            </w:pPr>
          </w:p>
          <w:p w14:paraId="71124E4B" w14:textId="77777777" w:rsidR="00DE241D" w:rsidRPr="0097258B" w:rsidRDefault="00DE241D" w:rsidP="00E20250">
            <w:pPr>
              <w:pStyle w:val="Normaltableau0"/>
              <w:rPr>
                <w:rFonts w:ascii="Times New Roman" w:hAnsi="Times New Roman"/>
                <w:sz w:val="20"/>
                <w:lang w:val="fr-FR"/>
              </w:rPr>
            </w:pPr>
          </w:p>
          <w:p w14:paraId="665291A6" w14:textId="77777777" w:rsidR="00DE241D" w:rsidRPr="0097258B" w:rsidRDefault="00DE241D" w:rsidP="00E20250">
            <w:pPr>
              <w:pStyle w:val="Normaltableau0"/>
              <w:rPr>
                <w:rFonts w:ascii="Times New Roman" w:hAnsi="Times New Roman"/>
                <w:sz w:val="20"/>
                <w:lang w:val="fr-FR"/>
              </w:rPr>
            </w:pPr>
          </w:p>
          <w:p w14:paraId="08AA77A2" w14:textId="77777777" w:rsidR="00DE241D" w:rsidRPr="0097258B" w:rsidRDefault="00DE241D" w:rsidP="00E20250">
            <w:pPr>
              <w:pStyle w:val="Normaltableau0"/>
              <w:rPr>
                <w:rFonts w:ascii="Times New Roman" w:hAnsi="Times New Roman"/>
                <w:sz w:val="20"/>
                <w:lang w:val="fr-FR"/>
              </w:rPr>
            </w:pPr>
            <w:proofErr w:type="spellStart"/>
            <w:r w:rsidRPr="0097258B">
              <w:rPr>
                <w:rFonts w:ascii="Times New Roman" w:hAnsi="Times New Roman"/>
                <w:sz w:val="20"/>
              </w:rPr>
              <w:t>Mesures</w:t>
            </w:r>
            <w:proofErr w:type="spellEnd"/>
            <w:r w:rsidRPr="0097258B">
              <w:rPr>
                <w:rFonts w:ascii="Times New Roman" w:hAnsi="Times New Roman"/>
                <w:sz w:val="20"/>
              </w:rPr>
              <w:tab/>
              <w:t xml:space="preserve">de </w:t>
            </w:r>
            <w:proofErr w:type="spellStart"/>
            <w:r w:rsidRPr="0097258B">
              <w:rPr>
                <w:rFonts w:ascii="Times New Roman" w:hAnsi="Times New Roman"/>
                <w:sz w:val="20"/>
              </w:rPr>
              <w:t>prévention</w:t>
            </w:r>
            <w:proofErr w:type="spellEnd"/>
          </w:p>
        </w:tc>
        <w:tc>
          <w:tcPr>
            <w:tcW w:w="4163" w:type="pct"/>
            <w:gridSpan w:val="5"/>
          </w:tcPr>
          <w:p w14:paraId="0EBC2BAA" w14:textId="0257D9AE" w:rsidR="00DE241D" w:rsidRPr="0097258B" w:rsidRDefault="00DE241D" w:rsidP="001748C6">
            <w:pPr>
              <w:pStyle w:val="Default"/>
              <w:numPr>
                <w:ilvl w:val="0"/>
                <w:numId w:val="302"/>
              </w:numPr>
              <w:overflowPunct w:val="0"/>
              <w:ind w:right="137" w:hanging="188"/>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 xml:space="preserve">Recruter des conducteurs et opérateurs qualifiés et les sensibiliser </w:t>
            </w:r>
            <w:r w:rsidR="007B54C9" w:rsidRPr="00301AF6">
              <w:rPr>
                <w:rFonts w:ascii="Times New Roman" w:hAnsi="Times New Roman" w:cs="Times New Roman"/>
                <w:color w:val="000000" w:themeColor="text1"/>
                <w:sz w:val="20"/>
                <w:szCs w:val="20"/>
                <w:lang w:val="fr-FR"/>
              </w:rPr>
              <w:t>sur les</w:t>
            </w:r>
            <w:r w:rsidR="007B54C9" w:rsidRPr="0097258B">
              <w:rPr>
                <w:rFonts w:ascii="Times New Roman" w:hAnsi="Times New Roman" w:cs="Times New Roman"/>
                <w:color w:val="000000" w:themeColor="text1"/>
                <w:sz w:val="20"/>
                <w:szCs w:val="20"/>
                <w:lang w:val="fr-SN"/>
              </w:rPr>
              <w:t xml:space="preserve"> </w:t>
            </w:r>
            <w:r w:rsidRPr="0097258B">
              <w:rPr>
                <w:rFonts w:ascii="Times New Roman" w:hAnsi="Times New Roman" w:cs="Times New Roman"/>
                <w:color w:val="000000" w:themeColor="text1"/>
                <w:sz w:val="20"/>
                <w:szCs w:val="20"/>
                <w:lang w:val="fr-SN"/>
              </w:rPr>
              <w:t xml:space="preserve">risques et </w:t>
            </w:r>
            <w:r w:rsidR="007B54C9" w:rsidRPr="00301AF6">
              <w:rPr>
                <w:rFonts w:ascii="Times New Roman" w:hAnsi="Times New Roman" w:cs="Times New Roman"/>
                <w:color w:val="000000" w:themeColor="text1"/>
                <w:sz w:val="20"/>
                <w:szCs w:val="20"/>
                <w:lang w:val="fr-FR"/>
              </w:rPr>
              <w:t>les</w:t>
            </w:r>
            <w:r w:rsidR="007B54C9" w:rsidRPr="0097258B">
              <w:rPr>
                <w:rFonts w:ascii="Times New Roman" w:hAnsi="Times New Roman" w:cs="Times New Roman"/>
                <w:color w:val="000000" w:themeColor="text1"/>
                <w:sz w:val="20"/>
                <w:szCs w:val="20"/>
                <w:lang w:val="fr-SN"/>
              </w:rPr>
              <w:t xml:space="preserve"> </w:t>
            </w:r>
            <w:r w:rsidRPr="0097258B">
              <w:rPr>
                <w:rFonts w:ascii="Times New Roman" w:hAnsi="Times New Roman" w:cs="Times New Roman"/>
                <w:color w:val="000000" w:themeColor="text1"/>
                <w:sz w:val="20"/>
                <w:szCs w:val="20"/>
                <w:lang w:val="fr-SN"/>
              </w:rPr>
              <w:t>mesures de sécurité ;</w:t>
            </w:r>
          </w:p>
          <w:p w14:paraId="63E3D9DE" w14:textId="77777777" w:rsidR="00DE241D" w:rsidRPr="0097258B" w:rsidRDefault="00DE241D" w:rsidP="001748C6">
            <w:pPr>
              <w:pStyle w:val="Default"/>
              <w:numPr>
                <w:ilvl w:val="0"/>
                <w:numId w:val="302"/>
              </w:numPr>
              <w:overflowPunct w:val="0"/>
              <w:ind w:right="137" w:hanging="188"/>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Programmer les déplacements d’engins en dehors des heures de pointe ;</w:t>
            </w:r>
          </w:p>
          <w:p w14:paraId="372A13EF" w14:textId="77777777" w:rsidR="00DE241D" w:rsidRPr="0097258B" w:rsidRDefault="00DE241D" w:rsidP="001748C6">
            <w:pPr>
              <w:pStyle w:val="Default"/>
              <w:numPr>
                <w:ilvl w:val="0"/>
                <w:numId w:val="302"/>
              </w:numPr>
              <w:overflowPunct w:val="0"/>
              <w:ind w:right="137" w:hanging="188"/>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Baliser les aires de manutention et bien arrimer les charges ;</w:t>
            </w:r>
          </w:p>
          <w:p w14:paraId="644B7C15" w14:textId="77777777" w:rsidR="00DE241D" w:rsidRPr="0097258B" w:rsidRDefault="00DE241D" w:rsidP="001748C6">
            <w:pPr>
              <w:pStyle w:val="Default"/>
              <w:numPr>
                <w:ilvl w:val="0"/>
                <w:numId w:val="302"/>
              </w:numPr>
              <w:overflowPunct w:val="0"/>
              <w:ind w:right="137" w:hanging="188"/>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Doter les travailleurs d’EPI et en exiger le port ;</w:t>
            </w:r>
          </w:p>
          <w:p w14:paraId="3EE41DAD" w14:textId="77777777" w:rsidR="00DE241D" w:rsidRPr="0097258B" w:rsidRDefault="00DE241D" w:rsidP="001748C6">
            <w:pPr>
              <w:pStyle w:val="Default"/>
              <w:numPr>
                <w:ilvl w:val="0"/>
                <w:numId w:val="302"/>
              </w:numPr>
              <w:overflowPunct w:val="0"/>
              <w:ind w:right="137" w:hanging="188"/>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Utiliser des véhicules et engins adaptés et en bon état, et les entretenir régulièrement ;</w:t>
            </w:r>
          </w:p>
          <w:p w14:paraId="50534CD7" w14:textId="77777777" w:rsidR="00DE241D" w:rsidRPr="0097258B" w:rsidRDefault="00DE241D" w:rsidP="001748C6">
            <w:pPr>
              <w:pStyle w:val="Default"/>
              <w:numPr>
                <w:ilvl w:val="0"/>
                <w:numId w:val="302"/>
              </w:numPr>
              <w:overflowPunct w:val="0"/>
              <w:ind w:right="137" w:hanging="188"/>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Accorder des temps de récupération suffisants aux conducteurs et opérateurs d’engins ;</w:t>
            </w:r>
          </w:p>
          <w:p w14:paraId="26B7A987" w14:textId="77777777" w:rsidR="00DE241D" w:rsidRPr="0097258B" w:rsidRDefault="00DE241D" w:rsidP="001748C6">
            <w:pPr>
              <w:pStyle w:val="Default"/>
              <w:numPr>
                <w:ilvl w:val="0"/>
                <w:numId w:val="302"/>
              </w:numPr>
              <w:overflowPunct w:val="0"/>
              <w:ind w:right="137" w:hanging="188"/>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Proscrire l’alcool et le téléphone au volant ;</w:t>
            </w:r>
          </w:p>
          <w:p w14:paraId="6EEF5637" w14:textId="4BA193DE" w:rsidR="00DE241D" w:rsidRPr="0097258B" w:rsidRDefault="00DE241D" w:rsidP="001748C6">
            <w:pPr>
              <w:pStyle w:val="Default"/>
              <w:numPr>
                <w:ilvl w:val="0"/>
                <w:numId w:val="302"/>
              </w:numPr>
              <w:overflowPunct w:val="0"/>
              <w:ind w:right="137" w:hanging="188"/>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Imposer une limitation de vitesse à 2</w:t>
            </w:r>
            <w:r w:rsidR="00EB7F82" w:rsidRPr="0097258B">
              <w:rPr>
                <w:rFonts w:ascii="Times New Roman" w:hAnsi="Times New Roman" w:cs="Times New Roman"/>
                <w:color w:val="000000" w:themeColor="text1"/>
                <w:sz w:val="20"/>
                <w:szCs w:val="20"/>
                <w:lang w:val="fr-SN"/>
              </w:rPr>
              <w:t>5</w:t>
            </w:r>
            <w:r w:rsidRPr="0097258B">
              <w:rPr>
                <w:rFonts w:ascii="Times New Roman" w:hAnsi="Times New Roman" w:cs="Times New Roman"/>
                <w:color w:val="000000" w:themeColor="text1"/>
                <w:sz w:val="20"/>
                <w:szCs w:val="20"/>
                <w:lang w:val="fr-SN"/>
              </w:rPr>
              <w:t xml:space="preserve"> km en agglomération ;</w:t>
            </w:r>
          </w:p>
          <w:p w14:paraId="6ECB6254" w14:textId="7F46A08E" w:rsidR="00DE241D" w:rsidRPr="0097258B" w:rsidRDefault="00E60FA9" w:rsidP="001748C6">
            <w:pPr>
              <w:pStyle w:val="Default"/>
              <w:numPr>
                <w:ilvl w:val="0"/>
                <w:numId w:val="302"/>
              </w:numPr>
              <w:overflowPunct w:val="0"/>
              <w:ind w:right="137" w:hanging="188"/>
              <w:jc w:val="both"/>
              <w:textAlignment w:val="baseline"/>
              <w:rPr>
                <w:rFonts w:ascii="Times New Roman" w:hAnsi="Times New Roman" w:cs="Times New Roman"/>
                <w:sz w:val="20"/>
                <w:szCs w:val="20"/>
                <w:lang w:val="fr-FR"/>
              </w:rPr>
            </w:pPr>
            <w:r w:rsidRPr="0097258B">
              <w:rPr>
                <w:rFonts w:ascii="Times New Roman" w:hAnsi="Times New Roman" w:cs="Times New Roman"/>
                <w:color w:val="000000" w:themeColor="text1"/>
                <w:sz w:val="20"/>
                <w:szCs w:val="20"/>
                <w:lang w:val="fr-SN"/>
              </w:rPr>
              <w:t>É</w:t>
            </w:r>
            <w:r w:rsidR="00DE241D" w:rsidRPr="0097258B">
              <w:rPr>
                <w:rFonts w:ascii="Times New Roman" w:hAnsi="Times New Roman" w:cs="Times New Roman"/>
                <w:color w:val="000000" w:themeColor="text1"/>
                <w:sz w:val="20"/>
                <w:szCs w:val="20"/>
                <w:lang w:val="fr-SN"/>
              </w:rPr>
              <w:t>laborer une procédure d’intervention d’urgence</w:t>
            </w:r>
          </w:p>
        </w:tc>
      </w:tr>
      <w:tr w:rsidR="00BD1A2F" w:rsidRPr="00632C4D" w14:paraId="57B7A9D3" w14:textId="77777777" w:rsidTr="003A0E4A">
        <w:trPr>
          <w:trHeight w:val="149"/>
        </w:trPr>
        <w:tc>
          <w:tcPr>
            <w:tcW w:w="837" w:type="pct"/>
          </w:tcPr>
          <w:p w14:paraId="0379CC51" w14:textId="77777777" w:rsidR="00DE241D" w:rsidRPr="0097258B" w:rsidRDefault="00DE241D" w:rsidP="00E20250">
            <w:pPr>
              <w:pStyle w:val="Normaltableau0"/>
              <w:rPr>
                <w:rFonts w:ascii="Times New Roman" w:hAnsi="Times New Roman"/>
                <w:sz w:val="20"/>
                <w:lang w:val="fr-FR"/>
              </w:rPr>
            </w:pPr>
          </w:p>
        </w:tc>
        <w:tc>
          <w:tcPr>
            <w:tcW w:w="1251" w:type="pct"/>
          </w:tcPr>
          <w:p w14:paraId="729FFE37" w14:textId="77777777" w:rsidR="00DE241D" w:rsidRPr="0097258B" w:rsidRDefault="00DE241D" w:rsidP="00E20250">
            <w:pPr>
              <w:pStyle w:val="Normaltableau0"/>
              <w:rPr>
                <w:rFonts w:ascii="Times New Roman" w:hAnsi="Times New Roman"/>
                <w:b/>
                <w:bCs/>
                <w:sz w:val="20"/>
                <w:lang w:val="fr-FR"/>
              </w:rPr>
            </w:pPr>
            <w:r w:rsidRPr="0097258B">
              <w:rPr>
                <w:rFonts w:ascii="Times New Roman" w:hAnsi="Times New Roman"/>
                <w:b/>
                <w:bCs/>
                <w:sz w:val="20"/>
              </w:rPr>
              <w:t>Risque final</w:t>
            </w:r>
          </w:p>
        </w:tc>
        <w:tc>
          <w:tcPr>
            <w:tcW w:w="655" w:type="pct"/>
          </w:tcPr>
          <w:p w14:paraId="7EE8660F" w14:textId="77777777" w:rsidR="00DE241D" w:rsidRPr="0097258B" w:rsidRDefault="00DE241D" w:rsidP="00E20250">
            <w:pPr>
              <w:pStyle w:val="Normaltableau0"/>
              <w:rPr>
                <w:rFonts w:ascii="Times New Roman" w:hAnsi="Times New Roman"/>
                <w:b/>
                <w:bCs/>
                <w:sz w:val="20"/>
                <w:lang w:val="fr-FR"/>
              </w:rPr>
            </w:pPr>
            <w:proofErr w:type="spellStart"/>
            <w:r w:rsidRPr="0097258B">
              <w:rPr>
                <w:rFonts w:ascii="Times New Roman" w:hAnsi="Times New Roman"/>
                <w:b/>
                <w:bCs/>
                <w:sz w:val="20"/>
              </w:rPr>
              <w:t>Probabilité</w:t>
            </w:r>
            <w:proofErr w:type="spellEnd"/>
          </w:p>
        </w:tc>
        <w:tc>
          <w:tcPr>
            <w:tcW w:w="470" w:type="pct"/>
          </w:tcPr>
          <w:p w14:paraId="34A044D0" w14:textId="77777777" w:rsidR="00DE241D" w:rsidRPr="0097258B" w:rsidRDefault="00DE241D" w:rsidP="00E20250">
            <w:pPr>
              <w:pStyle w:val="Normaltableau0"/>
              <w:rPr>
                <w:rFonts w:ascii="Times New Roman" w:hAnsi="Times New Roman"/>
                <w:b/>
                <w:bCs/>
                <w:sz w:val="20"/>
                <w:lang w:val="fr-FR"/>
              </w:rPr>
            </w:pPr>
            <w:proofErr w:type="spellStart"/>
            <w:r w:rsidRPr="0097258B">
              <w:rPr>
                <w:rFonts w:ascii="Times New Roman" w:hAnsi="Times New Roman"/>
                <w:b/>
                <w:bCs/>
                <w:sz w:val="20"/>
              </w:rPr>
              <w:t>Gravité</w:t>
            </w:r>
            <w:proofErr w:type="spellEnd"/>
          </w:p>
        </w:tc>
        <w:tc>
          <w:tcPr>
            <w:tcW w:w="511" w:type="pct"/>
          </w:tcPr>
          <w:p w14:paraId="037CA0AE" w14:textId="77777777" w:rsidR="00DE241D" w:rsidRPr="0097258B" w:rsidRDefault="00DE241D" w:rsidP="00E20250">
            <w:pPr>
              <w:pStyle w:val="Normaltableau0"/>
              <w:rPr>
                <w:rFonts w:ascii="Times New Roman" w:hAnsi="Times New Roman"/>
                <w:b/>
                <w:bCs/>
                <w:sz w:val="20"/>
                <w:lang w:val="fr-FR"/>
              </w:rPr>
            </w:pPr>
            <w:proofErr w:type="spellStart"/>
            <w:r w:rsidRPr="0097258B">
              <w:rPr>
                <w:rFonts w:ascii="Times New Roman" w:hAnsi="Times New Roman"/>
                <w:b/>
                <w:bCs/>
                <w:sz w:val="20"/>
              </w:rPr>
              <w:t>Criticité</w:t>
            </w:r>
            <w:proofErr w:type="spellEnd"/>
          </w:p>
        </w:tc>
        <w:tc>
          <w:tcPr>
            <w:tcW w:w="1276" w:type="pct"/>
          </w:tcPr>
          <w:p w14:paraId="5F2CE0C4" w14:textId="77777777" w:rsidR="00DE241D" w:rsidRPr="0097258B" w:rsidRDefault="00DE241D" w:rsidP="00E20250">
            <w:pPr>
              <w:pStyle w:val="Normaltableau0"/>
              <w:rPr>
                <w:rFonts w:ascii="Times New Roman" w:hAnsi="Times New Roman"/>
                <w:b/>
                <w:bCs/>
                <w:sz w:val="20"/>
                <w:lang w:val="fr-FR"/>
              </w:rPr>
            </w:pPr>
            <w:proofErr w:type="spellStart"/>
            <w:r w:rsidRPr="0097258B">
              <w:rPr>
                <w:rFonts w:ascii="Times New Roman" w:hAnsi="Times New Roman"/>
                <w:b/>
                <w:bCs/>
                <w:sz w:val="20"/>
              </w:rPr>
              <w:t>Dommage</w:t>
            </w:r>
            <w:proofErr w:type="spellEnd"/>
            <w:r w:rsidRPr="0097258B">
              <w:rPr>
                <w:rFonts w:ascii="Times New Roman" w:hAnsi="Times New Roman"/>
                <w:b/>
                <w:bCs/>
                <w:sz w:val="20"/>
              </w:rPr>
              <w:t xml:space="preserve"> </w:t>
            </w:r>
            <w:proofErr w:type="spellStart"/>
            <w:r w:rsidRPr="0097258B">
              <w:rPr>
                <w:rFonts w:ascii="Times New Roman" w:hAnsi="Times New Roman"/>
                <w:b/>
                <w:bCs/>
                <w:sz w:val="20"/>
              </w:rPr>
              <w:t>résiduel</w:t>
            </w:r>
            <w:proofErr w:type="spellEnd"/>
          </w:p>
        </w:tc>
      </w:tr>
      <w:tr w:rsidR="00BD1A2F" w:rsidRPr="00632C4D" w14:paraId="2A716F16" w14:textId="77777777" w:rsidTr="003A0E4A">
        <w:trPr>
          <w:trHeight w:val="460"/>
        </w:trPr>
        <w:tc>
          <w:tcPr>
            <w:tcW w:w="837" w:type="pct"/>
          </w:tcPr>
          <w:p w14:paraId="3BFAEFB3" w14:textId="77777777" w:rsidR="00DE241D" w:rsidRPr="0097258B" w:rsidRDefault="00DE241D" w:rsidP="00E20250">
            <w:pPr>
              <w:pStyle w:val="Normaltableau0"/>
              <w:rPr>
                <w:rFonts w:ascii="Times New Roman" w:hAnsi="Times New Roman"/>
                <w:sz w:val="20"/>
                <w:lang w:val="fr-FR"/>
              </w:rPr>
            </w:pPr>
            <w:r w:rsidRPr="0097258B">
              <w:rPr>
                <w:rFonts w:ascii="Times New Roman" w:hAnsi="Times New Roman"/>
                <w:sz w:val="20"/>
              </w:rPr>
              <w:t xml:space="preserve">Après </w:t>
            </w:r>
            <w:proofErr w:type="spellStart"/>
            <w:r w:rsidRPr="0097258B">
              <w:rPr>
                <w:rFonts w:ascii="Times New Roman" w:hAnsi="Times New Roman"/>
                <w:sz w:val="20"/>
              </w:rPr>
              <w:t>prévention</w:t>
            </w:r>
            <w:proofErr w:type="spellEnd"/>
          </w:p>
        </w:tc>
        <w:tc>
          <w:tcPr>
            <w:tcW w:w="1251" w:type="pct"/>
          </w:tcPr>
          <w:p w14:paraId="24CA7D05" w14:textId="77777777" w:rsidR="00DE241D" w:rsidRPr="0097258B" w:rsidRDefault="00DE241D" w:rsidP="00E20250">
            <w:pPr>
              <w:pStyle w:val="Normaltableau0"/>
              <w:rPr>
                <w:rFonts w:ascii="Times New Roman" w:hAnsi="Times New Roman"/>
                <w:sz w:val="20"/>
                <w:lang w:val="fr-FR"/>
              </w:rPr>
            </w:pPr>
            <w:proofErr w:type="spellStart"/>
            <w:r w:rsidRPr="0097258B">
              <w:rPr>
                <w:rFonts w:ascii="Times New Roman" w:hAnsi="Times New Roman"/>
                <w:sz w:val="20"/>
              </w:rPr>
              <w:t>Erreurs</w:t>
            </w:r>
            <w:proofErr w:type="spellEnd"/>
            <w:r w:rsidRPr="0097258B">
              <w:rPr>
                <w:rFonts w:ascii="Times New Roman" w:hAnsi="Times New Roman"/>
                <w:sz w:val="20"/>
              </w:rPr>
              <w:t xml:space="preserve"> </w:t>
            </w:r>
            <w:proofErr w:type="spellStart"/>
            <w:r w:rsidRPr="0097258B">
              <w:rPr>
                <w:rFonts w:ascii="Times New Roman" w:hAnsi="Times New Roman"/>
                <w:sz w:val="20"/>
              </w:rPr>
              <w:t>opératoires</w:t>
            </w:r>
            <w:proofErr w:type="spellEnd"/>
          </w:p>
        </w:tc>
        <w:tc>
          <w:tcPr>
            <w:tcW w:w="655" w:type="pct"/>
          </w:tcPr>
          <w:p w14:paraId="072AFE3D" w14:textId="77777777" w:rsidR="00DE241D" w:rsidRPr="0097258B" w:rsidRDefault="00DE241D" w:rsidP="00E20250">
            <w:pPr>
              <w:pStyle w:val="Normaltableau0"/>
              <w:rPr>
                <w:rFonts w:ascii="Times New Roman" w:hAnsi="Times New Roman"/>
                <w:b/>
                <w:bCs/>
                <w:sz w:val="20"/>
                <w:lang w:val="fr-FR"/>
              </w:rPr>
            </w:pPr>
            <w:r w:rsidRPr="0097258B">
              <w:rPr>
                <w:rFonts w:ascii="Times New Roman" w:hAnsi="Times New Roman"/>
                <w:b/>
                <w:bCs/>
                <w:sz w:val="20"/>
              </w:rPr>
              <w:t>1</w:t>
            </w:r>
          </w:p>
        </w:tc>
        <w:tc>
          <w:tcPr>
            <w:tcW w:w="470" w:type="pct"/>
          </w:tcPr>
          <w:p w14:paraId="17682056" w14:textId="77777777" w:rsidR="00DE241D" w:rsidRPr="0097258B" w:rsidRDefault="00DE241D" w:rsidP="00E20250">
            <w:pPr>
              <w:pStyle w:val="Normaltableau0"/>
              <w:rPr>
                <w:rFonts w:ascii="Times New Roman" w:hAnsi="Times New Roman"/>
                <w:b/>
                <w:bCs/>
                <w:sz w:val="20"/>
                <w:lang w:val="fr-FR"/>
              </w:rPr>
            </w:pPr>
            <w:r w:rsidRPr="0097258B">
              <w:rPr>
                <w:rFonts w:ascii="Times New Roman" w:hAnsi="Times New Roman"/>
                <w:b/>
                <w:bCs/>
                <w:sz w:val="20"/>
              </w:rPr>
              <w:t>2</w:t>
            </w:r>
          </w:p>
        </w:tc>
        <w:tc>
          <w:tcPr>
            <w:tcW w:w="511" w:type="pct"/>
            <w:shd w:val="clear" w:color="auto" w:fill="92D050"/>
          </w:tcPr>
          <w:p w14:paraId="10AD433C" w14:textId="77777777" w:rsidR="00DE241D" w:rsidRPr="0097258B" w:rsidRDefault="00DE241D" w:rsidP="00E20250">
            <w:pPr>
              <w:pStyle w:val="Normaltableau0"/>
              <w:rPr>
                <w:rFonts w:ascii="Times New Roman" w:hAnsi="Times New Roman"/>
                <w:b/>
                <w:bCs/>
                <w:sz w:val="20"/>
                <w:lang w:val="fr-FR"/>
              </w:rPr>
            </w:pPr>
            <w:r w:rsidRPr="0097258B">
              <w:rPr>
                <w:rFonts w:ascii="Times New Roman" w:hAnsi="Times New Roman"/>
                <w:b/>
                <w:bCs/>
                <w:sz w:val="20"/>
              </w:rPr>
              <w:t>21</w:t>
            </w:r>
          </w:p>
        </w:tc>
        <w:tc>
          <w:tcPr>
            <w:tcW w:w="1276" w:type="pct"/>
          </w:tcPr>
          <w:p w14:paraId="61F90CEB" w14:textId="77777777" w:rsidR="00DE241D" w:rsidRPr="0097258B" w:rsidRDefault="00DE241D" w:rsidP="00E20250">
            <w:pPr>
              <w:pStyle w:val="Normaltableau0"/>
              <w:rPr>
                <w:rFonts w:ascii="Times New Roman" w:hAnsi="Times New Roman"/>
                <w:sz w:val="20"/>
                <w:lang w:val="fr-FR"/>
              </w:rPr>
            </w:pPr>
            <w:proofErr w:type="spellStart"/>
            <w:r w:rsidRPr="0097258B">
              <w:rPr>
                <w:rFonts w:ascii="Times New Roman" w:hAnsi="Times New Roman"/>
                <w:sz w:val="20"/>
              </w:rPr>
              <w:t>Arrêts</w:t>
            </w:r>
            <w:proofErr w:type="spellEnd"/>
            <w:r w:rsidRPr="0097258B">
              <w:rPr>
                <w:rFonts w:ascii="Times New Roman" w:hAnsi="Times New Roman"/>
                <w:sz w:val="20"/>
              </w:rPr>
              <w:t xml:space="preserve"> </w:t>
            </w:r>
            <w:proofErr w:type="spellStart"/>
            <w:r w:rsidRPr="0097258B">
              <w:rPr>
                <w:rFonts w:ascii="Times New Roman" w:hAnsi="Times New Roman"/>
                <w:sz w:val="20"/>
              </w:rPr>
              <w:t>temporaires</w:t>
            </w:r>
            <w:proofErr w:type="spellEnd"/>
            <w:r w:rsidRPr="0097258B">
              <w:rPr>
                <w:rFonts w:ascii="Times New Roman" w:hAnsi="Times New Roman"/>
                <w:sz w:val="20"/>
              </w:rPr>
              <w:t xml:space="preserve"> du travail</w:t>
            </w:r>
          </w:p>
        </w:tc>
      </w:tr>
    </w:tbl>
    <w:p w14:paraId="5CBF5F0E" w14:textId="77777777" w:rsidR="00DE241D" w:rsidRPr="00260790" w:rsidRDefault="00DE241D" w:rsidP="00E20250">
      <w:pPr>
        <w:pStyle w:val="Tramemoyenne1-Accent21"/>
        <w:rPr>
          <w:rFonts w:ascii="Times New Roman" w:hAnsi="Times New Roman"/>
          <w:color w:val="000000" w:themeColor="text1"/>
        </w:rPr>
      </w:pPr>
    </w:p>
    <w:p w14:paraId="34AE818A" w14:textId="77777777" w:rsidR="00DE241D" w:rsidRPr="00260790" w:rsidRDefault="00DE241D" w:rsidP="001748C6">
      <w:pPr>
        <w:pStyle w:val="Corpsdetexte"/>
        <w:widowControl w:val="0"/>
        <w:numPr>
          <w:ilvl w:val="0"/>
          <w:numId w:val="271"/>
        </w:numPr>
        <w:pBdr>
          <w:top w:val="none" w:sz="0" w:space="0" w:color="auto"/>
          <w:left w:val="none" w:sz="0" w:space="0" w:color="auto"/>
          <w:bottom w:val="none" w:sz="0" w:space="0" w:color="auto"/>
          <w:right w:val="none" w:sz="0" w:space="0" w:color="auto"/>
        </w:pBdr>
        <w:shd w:val="clear" w:color="auto" w:fill="auto"/>
        <w:tabs>
          <w:tab w:val="clear" w:pos="4393"/>
        </w:tabs>
        <w:autoSpaceDE w:val="0"/>
        <w:autoSpaceDN w:val="0"/>
        <w:ind w:right="339"/>
        <w:jc w:val="both"/>
        <w:rPr>
          <w:b w:val="0"/>
          <w:i/>
          <w:color w:val="000000" w:themeColor="text1"/>
          <w:sz w:val="22"/>
          <w:szCs w:val="22"/>
        </w:rPr>
      </w:pPr>
      <w:r w:rsidRPr="00260790">
        <w:rPr>
          <w:i/>
          <w:color w:val="000000" w:themeColor="text1"/>
          <w:sz w:val="22"/>
          <w:szCs w:val="22"/>
        </w:rPr>
        <w:t>RI-4. Risque d’IRA</w:t>
      </w:r>
    </w:p>
    <w:p w14:paraId="25AC62BA" w14:textId="77777777" w:rsidR="00DE241D" w:rsidRPr="00260790" w:rsidRDefault="00DE241D" w:rsidP="00E20250">
      <w:pPr>
        <w:spacing w:after="4" w:line="240" w:lineRule="auto"/>
        <w:jc w:val="both"/>
        <w:rPr>
          <w:rFonts w:ascii="Times New Roman" w:hAnsi="Times New Roman"/>
          <w:bCs/>
          <w:color w:val="000000" w:themeColor="text1"/>
        </w:rPr>
      </w:pPr>
      <w:r w:rsidRPr="00260790">
        <w:rPr>
          <w:rFonts w:ascii="Times New Roman" w:hAnsi="Times New Roman"/>
          <w:bCs/>
          <w:color w:val="000000" w:themeColor="text1"/>
        </w:rPr>
        <w:t>L’utilisation de véhicules et d’engins fonctionnant aux hydrocarbures fossiles se traduira par des émissions de gaz d’échappement contenant des composés chimiques tels que le CO2, le CO, les NOx, SOx et les COV et des métaux lourds pouvant être à l’origine de maladies broncho-pulmonaires et cardiovasculaires ou même de cancers.</w:t>
      </w:r>
    </w:p>
    <w:p w14:paraId="61543A02" w14:textId="4EAF89CE" w:rsidR="00DE241D" w:rsidRDefault="00DE241D" w:rsidP="00E20250">
      <w:pPr>
        <w:spacing w:after="4" w:line="240" w:lineRule="auto"/>
        <w:jc w:val="both"/>
        <w:rPr>
          <w:rFonts w:ascii="Times New Roman" w:hAnsi="Times New Roman"/>
          <w:bCs/>
          <w:color w:val="000000" w:themeColor="text1"/>
        </w:rPr>
      </w:pPr>
      <w:r w:rsidRPr="00260790">
        <w:rPr>
          <w:rFonts w:ascii="Times New Roman" w:hAnsi="Times New Roman"/>
          <w:bCs/>
          <w:color w:val="000000" w:themeColor="text1"/>
        </w:rPr>
        <w:t>Dans une autre veine, le décapage des surfaces, les travaux de fouille, la démolition du bâti, la manipulation de matériaux pulvérulents, l’aménagement des routes et pistes, s’accompagneront de dégagements de poussières (PM</w:t>
      </w:r>
      <w:r w:rsidRPr="00260790">
        <w:rPr>
          <w:rFonts w:ascii="Times New Roman" w:hAnsi="Times New Roman"/>
          <w:bCs/>
          <w:color w:val="000000" w:themeColor="text1"/>
          <w:vertAlign w:val="subscript"/>
        </w:rPr>
        <w:t>2,5</w:t>
      </w:r>
      <w:r w:rsidRPr="00260790">
        <w:rPr>
          <w:rFonts w:ascii="Times New Roman" w:hAnsi="Times New Roman"/>
          <w:bCs/>
          <w:color w:val="000000" w:themeColor="text1"/>
        </w:rPr>
        <w:t> ; PM</w:t>
      </w:r>
      <w:r w:rsidRPr="00260790">
        <w:rPr>
          <w:rFonts w:ascii="Times New Roman" w:hAnsi="Times New Roman"/>
          <w:bCs/>
          <w:color w:val="000000" w:themeColor="text1"/>
          <w:vertAlign w:val="subscript"/>
        </w:rPr>
        <w:t>5</w:t>
      </w:r>
      <w:r w:rsidRPr="00260790">
        <w:rPr>
          <w:rFonts w:ascii="Times New Roman" w:hAnsi="Times New Roman"/>
          <w:bCs/>
          <w:color w:val="000000" w:themeColor="text1"/>
        </w:rPr>
        <w:t xml:space="preserve"> PM</w:t>
      </w:r>
      <w:r w:rsidRPr="00260790">
        <w:rPr>
          <w:rFonts w:ascii="Times New Roman" w:hAnsi="Times New Roman"/>
          <w:bCs/>
          <w:color w:val="000000" w:themeColor="text1"/>
          <w:vertAlign w:val="subscript"/>
        </w:rPr>
        <w:t>10</w:t>
      </w:r>
      <w:r w:rsidRPr="00260790">
        <w:rPr>
          <w:rFonts w:ascii="Times New Roman" w:hAnsi="Times New Roman"/>
          <w:bCs/>
          <w:color w:val="000000" w:themeColor="text1"/>
        </w:rPr>
        <w:t>) susceptibles de causer des maladies bronchopulmonaires et cardiovasculaires et même des cancers. Ci-dessous le résumé de l’analyse du risque d’IRA.</w:t>
      </w:r>
    </w:p>
    <w:p w14:paraId="3F468C70" w14:textId="77777777" w:rsidR="00993EE2" w:rsidRPr="00260790" w:rsidRDefault="00993EE2" w:rsidP="00E20250">
      <w:pPr>
        <w:spacing w:after="4" w:line="240" w:lineRule="auto"/>
        <w:jc w:val="both"/>
        <w:rPr>
          <w:rFonts w:ascii="Times New Roman" w:hAnsi="Times New Roman"/>
          <w:bCs/>
          <w:color w:val="000000" w:themeColor="text1"/>
        </w:rPr>
      </w:pPr>
    </w:p>
    <w:p w14:paraId="774240A8" w14:textId="10B2923A" w:rsidR="00DE241D" w:rsidRPr="0097258B" w:rsidRDefault="00DE241D" w:rsidP="00E20250">
      <w:pPr>
        <w:spacing w:line="240" w:lineRule="auto"/>
        <w:jc w:val="both"/>
        <w:rPr>
          <w:rFonts w:ascii="Times New Roman" w:hAnsi="Times New Roman"/>
          <w:i/>
          <w:color w:val="000000" w:themeColor="text1"/>
          <w:spacing w:val="-4"/>
        </w:rPr>
      </w:pPr>
      <w:bookmarkStart w:id="616" w:name="_Toc207781874"/>
      <w:r w:rsidRPr="0097258B">
        <w:rPr>
          <w:rFonts w:ascii="Times New Roman" w:hAnsi="Times New Roman"/>
          <w:i/>
          <w:color w:val="000000" w:themeColor="text1"/>
        </w:rPr>
        <w:t xml:space="preserve">Tableau </w:t>
      </w:r>
      <w:r w:rsidRPr="0097258B">
        <w:rPr>
          <w:rFonts w:ascii="Times New Roman" w:hAnsi="Times New Roman"/>
          <w:i/>
          <w:color w:val="000000" w:themeColor="text1"/>
        </w:rPr>
        <w:fldChar w:fldCharType="begin"/>
      </w:r>
      <w:r w:rsidRPr="0097258B">
        <w:rPr>
          <w:rFonts w:ascii="Times New Roman" w:hAnsi="Times New Roman"/>
          <w:i/>
          <w:color w:val="000000" w:themeColor="text1"/>
        </w:rPr>
        <w:instrText xml:space="preserve"> SEQ Tableau \* ARABIC </w:instrText>
      </w:r>
      <w:r w:rsidRPr="0097258B">
        <w:rPr>
          <w:rFonts w:ascii="Times New Roman" w:hAnsi="Times New Roman"/>
          <w:i/>
          <w:color w:val="000000" w:themeColor="text1"/>
        </w:rPr>
        <w:fldChar w:fldCharType="separate"/>
      </w:r>
      <w:r w:rsidR="003C783E">
        <w:rPr>
          <w:rFonts w:ascii="Times New Roman" w:hAnsi="Times New Roman"/>
          <w:i/>
          <w:noProof/>
          <w:color w:val="000000" w:themeColor="text1"/>
        </w:rPr>
        <w:t>33</w:t>
      </w:r>
      <w:r w:rsidRPr="0097258B">
        <w:rPr>
          <w:rFonts w:ascii="Times New Roman" w:hAnsi="Times New Roman"/>
          <w:i/>
          <w:color w:val="000000" w:themeColor="text1"/>
        </w:rPr>
        <w:fldChar w:fldCharType="end"/>
      </w:r>
      <w:r w:rsidRPr="0097258B">
        <w:rPr>
          <w:rFonts w:ascii="Times New Roman" w:hAnsi="Times New Roman"/>
          <w:i/>
          <w:color w:val="000000" w:themeColor="text1"/>
        </w:rPr>
        <w:t> :</w:t>
      </w:r>
      <w:r w:rsidRPr="0097258B">
        <w:rPr>
          <w:rFonts w:ascii="Times New Roman" w:hAnsi="Times New Roman"/>
          <w:i/>
          <w:color w:val="000000" w:themeColor="text1"/>
          <w:spacing w:val="44"/>
        </w:rPr>
        <w:t xml:space="preserve"> </w:t>
      </w:r>
      <w:r w:rsidRPr="0097258B">
        <w:rPr>
          <w:rFonts w:ascii="Times New Roman" w:hAnsi="Times New Roman"/>
          <w:i/>
          <w:color w:val="000000" w:themeColor="text1"/>
        </w:rPr>
        <w:t>résumé</w:t>
      </w:r>
      <w:r w:rsidRPr="0097258B">
        <w:rPr>
          <w:rFonts w:ascii="Times New Roman" w:hAnsi="Times New Roman"/>
          <w:i/>
          <w:color w:val="000000" w:themeColor="text1"/>
          <w:spacing w:val="54"/>
        </w:rPr>
        <w:t xml:space="preserve"> </w:t>
      </w:r>
      <w:r w:rsidRPr="0097258B">
        <w:rPr>
          <w:rFonts w:ascii="Times New Roman" w:hAnsi="Times New Roman"/>
          <w:i/>
          <w:color w:val="000000" w:themeColor="text1"/>
        </w:rPr>
        <w:t>de</w:t>
      </w:r>
      <w:r w:rsidRPr="0097258B">
        <w:rPr>
          <w:rFonts w:ascii="Times New Roman" w:hAnsi="Times New Roman"/>
          <w:i/>
          <w:color w:val="000000" w:themeColor="text1"/>
          <w:spacing w:val="45"/>
        </w:rPr>
        <w:t xml:space="preserve"> </w:t>
      </w:r>
      <w:r w:rsidRPr="0097258B">
        <w:rPr>
          <w:rFonts w:ascii="Times New Roman" w:hAnsi="Times New Roman"/>
          <w:i/>
          <w:color w:val="000000" w:themeColor="text1"/>
        </w:rPr>
        <w:t>l’évaluation</w:t>
      </w:r>
      <w:r w:rsidRPr="0097258B">
        <w:rPr>
          <w:rFonts w:ascii="Times New Roman" w:hAnsi="Times New Roman"/>
          <w:i/>
          <w:color w:val="000000" w:themeColor="text1"/>
          <w:spacing w:val="52"/>
        </w:rPr>
        <w:t xml:space="preserve"> </w:t>
      </w:r>
      <w:r w:rsidRPr="0097258B">
        <w:rPr>
          <w:rFonts w:ascii="Times New Roman" w:hAnsi="Times New Roman"/>
          <w:i/>
          <w:color w:val="000000" w:themeColor="text1"/>
        </w:rPr>
        <w:t>du</w:t>
      </w:r>
      <w:r w:rsidRPr="0097258B">
        <w:rPr>
          <w:rFonts w:ascii="Times New Roman" w:hAnsi="Times New Roman"/>
          <w:i/>
          <w:color w:val="000000" w:themeColor="text1"/>
          <w:spacing w:val="52"/>
        </w:rPr>
        <w:t xml:space="preserve"> </w:t>
      </w:r>
      <w:r w:rsidRPr="0097258B">
        <w:rPr>
          <w:rFonts w:ascii="Times New Roman" w:hAnsi="Times New Roman"/>
          <w:i/>
          <w:color w:val="000000" w:themeColor="text1"/>
        </w:rPr>
        <w:t>risque</w:t>
      </w:r>
      <w:r w:rsidRPr="0097258B">
        <w:rPr>
          <w:rFonts w:ascii="Times New Roman" w:hAnsi="Times New Roman"/>
          <w:i/>
          <w:color w:val="000000" w:themeColor="text1"/>
          <w:spacing w:val="60"/>
        </w:rPr>
        <w:t xml:space="preserve"> </w:t>
      </w:r>
      <w:r w:rsidRPr="0097258B">
        <w:rPr>
          <w:rFonts w:ascii="Times New Roman" w:hAnsi="Times New Roman"/>
          <w:i/>
          <w:color w:val="000000" w:themeColor="text1"/>
          <w:spacing w:val="-4"/>
        </w:rPr>
        <w:t>d’IRA</w:t>
      </w:r>
      <w:bookmarkEnd w:id="616"/>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52"/>
        <w:gridCol w:w="1754"/>
        <w:gridCol w:w="1277"/>
        <w:gridCol w:w="915"/>
        <w:gridCol w:w="982"/>
        <w:gridCol w:w="2680"/>
      </w:tblGrid>
      <w:tr w:rsidR="00BD1A2F" w:rsidRPr="00632C4D" w14:paraId="6B79B010" w14:textId="77777777" w:rsidTr="003A0E4A">
        <w:trPr>
          <w:trHeight w:val="230"/>
        </w:trPr>
        <w:tc>
          <w:tcPr>
            <w:tcW w:w="5000" w:type="pct"/>
            <w:gridSpan w:val="6"/>
            <w:shd w:val="clear" w:color="auto" w:fill="B4C6E7" w:themeFill="accent5" w:themeFillTint="66"/>
          </w:tcPr>
          <w:p w14:paraId="43B75661" w14:textId="77777777" w:rsidR="00DE241D" w:rsidRPr="0097258B" w:rsidRDefault="00DE241D" w:rsidP="00E20250">
            <w:pPr>
              <w:pStyle w:val="Default"/>
              <w:overflowPunct w:val="0"/>
              <w:ind w:left="57"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 xml:space="preserve">RI-4. Risque </w:t>
            </w:r>
            <w:proofErr w:type="spellStart"/>
            <w:r w:rsidRPr="0097258B">
              <w:rPr>
                <w:rFonts w:ascii="Times New Roman" w:hAnsi="Times New Roman" w:cs="Times New Roman"/>
                <w:b/>
                <w:bCs/>
                <w:color w:val="000000" w:themeColor="text1"/>
                <w:sz w:val="20"/>
                <w:szCs w:val="20"/>
              </w:rPr>
              <w:t>d’IRA</w:t>
            </w:r>
            <w:proofErr w:type="spellEnd"/>
          </w:p>
        </w:tc>
      </w:tr>
      <w:tr w:rsidR="00BD1A2F" w:rsidRPr="00632C4D" w14:paraId="3D2E83DC" w14:textId="77777777" w:rsidTr="003A0E4A">
        <w:trPr>
          <w:trHeight w:val="230"/>
        </w:trPr>
        <w:tc>
          <w:tcPr>
            <w:tcW w:w="5000" w:type="pct"/>
            <w:gridSpan w:val="6"/>
          </w:tcPr>
          <w:p w14:paraId="36643413"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b/>
                <w:bCs/>
                <w:color w:val="000000" w:themeColor="text1"/>
                <w:sz w:val="20"/>
                <w:szCs w:val="20"/>
                <w:lang w:val="fr-FR"/>
              </w:rPr>
              <w:t>Activités :</w:t>
            </w:r>
            <w:r w:rsidRPr="00301AF6">
              <w:rPr>
                <w:rFonts w:ascii="Times New Roman" w:hAnsi="Times New Roman" w:cs="Times New Roman"/>
                <w:color w:val="000000" w:themeColor="text1"/>
                <w:sz w:val="20"/>
                <w:szCs w:val="20"/>
                <w:lang w:val="fr-FR"/>
              </w:rPr>
              <w:t xml:space="preserve"> utilisation de la machinerie</w:t>
            </w:r>
          </w:p>
        </w:tc>
      </w:tr>
      <w:tr w:rsidR="00BD1A2F" w:rsidRPr="00632C4D" w14:paraId="28D8F45F" w14:textId="77777777" w:rsidTr="003A0E4A">
        <w:trPr>
          <w:trHeight w:val="230"/>
        </w:trPr>
        <w:tc>
          <w:tcPr>
            <w:tcW w:w="801" w:type="pct"/>
          </w:tcPr>
          <w:p w14:paraId="3C856949"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
        </w:tc>
        <w:tc>
          <w:tcPr>
            <w:tcW w:w="968" w:type="pct"/>
          </w:tcPr>
          <w:p w14:paraId="6524F19B"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initial</w:t>
            </w:r>
          </w:p>
        </w:tc>
        <w:tc>
          <w:tcPr>
            <w:tcW w:w="705" w:type="pct"/>
          </w:tcPr>
          <w:p w14:paraId="5555AA37"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05" w:type="pct"/>
          </w:tcPr>
          <w:p w14:paraId="526FD0D4"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42" w:type="pct"/>
          </w:tcPr>
          <w:p w14:paraId="26AB2E7B"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479" w:type="pct"/>
          </w:tcPr>
          <w:p w14:paraId="1022F9E1"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p>
        </w:tc>
      </w:tr>
      <w:tr w:rsidR="00BD1A2F" w:rsidRPr="00632C4D" w14:paraId="114A06FD" w14:textId="77777777" w:rsidTr="003A0E4A">
        <w:trPr>
          <w:trHeight w:val="1339"/>
        </w:trPr>
        <w:tc>
          <w:tcPr>
            <w:tcW w:w="801" w:type="pct"/>
          </w:tcPr>
          <w:p w14:paraId="2623ACDE"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
          <w:p w14:paraId="41AB77A5"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
          <w:p w14:paraId="6A19DB37"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Avant </w:t>
            </w:r>
            <w:proofErr w:type="spellStart"/>
            <w:r w:rsidRPr="0097258B">
              <w:rPr>
                <w:rFonts w:ascii="Times New Roman" w:hAnsi="Times New Roman" w:cs="Times New Roman"/>
                <w:color w:val="000000" w:themeColor="text1"/>
                <w:sz w:val="20"/>
                <w:szCs w:val="20"/>
              </w:rPr>
              <w:t>prévention</w:t>
            </w:r>
            <w:proofErr w:type="spellEnd"/>
          </w:p>
        </w:tc>
        <w:tc>
          <w:tcPr>
            <w:tcW w:w="968" w:type="pct"/>
          </w:tcPr>
          <w:p w14:paraId="7CFBCADB" w14:textId="77777777" w:rsidR="00DE241D" w:rsidRPr="0097258B" w:rsidRDefault="00DE241D" w:rsidP="00E20250">
            <w:pPr>
              <w:spacing w:line="240" w:lineRule="auto"/>
              <w:ind w:left="135" w:right="132"/>
              <w:rPr>
                <w:rFonts w:ascii="Times New Roman" w:hAnsi="Times New Roman"/>
                <w:sz w:val="20"/>
                <w:szCs w:val="20"/>
                <w:lang w:val="fr-FR"/>
              </w:rPr>
            </w:pPr>
            <w:r w:rsidRPr="00301AF6">
              <w:rPr>
                <w:rFonts w:ascii="Times New Roman" w:hAnsi="Times New Roman"/>
                <w:sz w:val="20"/>
                <w:szCs w:val="20"/>
                <w:lang w:val="fr-FR"/>
              </w:rPr>
              <w:t xml:space="preserve">Exposition prolongée aux gaz d’échappement et aux poussières ; </w:t>
            </w:r>
          </w:p>
          <w:p w14:paraId="62A239C1" w14:textId="77777777" w:rsidR="00DE241D" w:rsidRPr="0097258B" w:rsidRDefault="00DE241D" w:rsidP="00E20250">
            <w:pPr>
              <w:spacing w:line="240" w:lineRule="auto"/>
              <w:ind w:left="135" w:right="132"/>
              <w:rPr>
                <w:rFonts w:ascii="Times New Roman" w:hAnsi="Times New Roman"/>
                <w:color w:val="000000" w:themeColor="text1"/>
                <w:sz w:val="20"/>
                <w:szCs w:val="20"/>
                <w:lang w:val="fr-FR"/>
              </w:rPr>
            </w:pPr>
            <w:r w:rsidRPr="00301AF6">
              <w:rPr>
                <w:rFonts w:ascii="Times New Roman" w:hAnsi="Times New Roman"/>
                <w:sz w:val="20"/>
                <w:szCs w:val="20"/>
                <w:lang w:val="fr-FR"/>
              </w:rPr>
              <w:t>Non-respect du port des EPI.</w:t>
            </w:r>
          </w:p>
        </w:tc>
        <w:tc>
          <w:tcPr>
            <w:tcW w:w="705" w:type="pct"/>
          </w:tcPr>
          <w:p w14:paraId="048E873F"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p>
          <w:p w14:paraId="6AE71F1A"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p>
          <w:p w14:paraId="3FA11085"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p>
          <w:p w14:paraId="2103A3B2"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05" w:type="pct"/>
          </w:tcPr>
          <w:p w14:paraId="23ABB44A"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p>
          <w:p w14:paraId="0D303F72"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p>
          <w:p w14:paraId="0EFEB39C"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p>
          <w:p w14:paraId="5C3D2E2E"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w:t>
            </w:r>
          </w:p>
        </w:tc>
        <w:tc>
          <w:tcPr>
            <w:tcW w:w="542" w:type="pct"/>
            <w:shd w:val="clear" w:color="auto" w:fill="FFFF00"/>
          </w:tcPr>
          <w:p w14:paraId="322171A1"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p>
          <w:p w14:paraId="4810FBF0"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p>
          <w:p w14:paraId="4E9E06D8"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p>
          <w:p w14:paraId="1F797273"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32</w:t>
            </w:r>
          </w:p>
        </w:tc>
        <w:tc>
          <w:tcPr>
            <w:tcW w:w="1479" w:type="pct"/>
          </w:tcPr>
          <w:p w14:paraId="1128616C"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Maladies</w:t>
            </w:r>
            <w:r w:rsidRPr="00301AF6">
              <w:rPr>
                <w:rFonts w:ascii="Times New Roman" w:hAnsi="Times New Roman" w:cs="Times New Roman"/>
                <w:color w:val="000000" w:themeColor="text1"/>
                <w:sz w:val="20"/>
                <w:szCs w:val="20"/>
                <w:lang w:val="fr-FR"/>
              </w:rPr>
              <w:tab/>
              <w:t>broncho- pulmonaires</w:t>
            </w:r>
            <w:r w:rsidRPr="00301AF6">
              <w:rPr>
                <w:rFonts w:ascii="Times New Roman" w:hAnsi="Times New Roman" w:cs="Times New Roman"/>
                <w:color w:val="000000" w:themeColor="text1"/>
                <w:sz w:val="20"/>
                <w:szCs w:val="20"/>
                <w:lang w:val="fr-FR"/>
              </w:rPr>
              <w:tab/>
              <w:t xml:space="preserve">et cardiovasculaires ; </w:t>
            </w:r>
          </w:p>
          <w:p w14:paraId="552E3630"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Cancer ;</w:t>
            </w:r>
          </w:p>
          <w:p w14:paraId="68E1B3FD"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Décès ;</w:t>
            </w:r>
          </w:p>
          <w:p w14:paraId="35C2E7F9"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Dépenses de santé</w:t>
            </w:r>
          </w:p>
        </w:tc>
      </w:tr>
      <w:tr w:rsidR="00BD1A2F" w:rsidRPr="00632C4D" w14:paraId="375FA85C" w14:textId="77777777" w:rsidTr="003A0E4A">
        <w:trPr>
          <w:trHeight w:val="3534"/>
        </w:trPr>
        <w:tc>
          <w:tcPr>
            <w:tcW w:w="801" w:type="pct"/>
          </w:tcPr>
          <w:p w14:paraId="5FFACEFB"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
          <w:p w14:paraId="33E3606E"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
          <w:p w14:paraId="34F72F5B"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
          <w:p w14:paraId="09E09645"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
          <w:p w14:paraId="07F1913D"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
          <w:p w14:paraId="595D7F2A"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
          <w:p w14:paraId="72E45C53"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prévention</w:t>
            </w:r>
            <w:proofErr w:type="spellEnd"/>
          </w:p>
        </w:tc>
        <w:tc>
          <w:tcPr>
            <w:tcW w:w="4199" w:type="pct"/>
            <w:gridSpan w:val="5"/>
          </w:tcPr>
          <w:p w14:paraId="3DB6D5D6" w14:textId="64F4FC16" w:rsidR="00DE241D" w:rsidRPr="0097258B" w:rsidRDefault="00DE241D" w:rsidP="001748C6">
            <w:pPr>
              <w:pStyle w:val="Default"/>
              <w:numPr>
                <w:ilvl w:val="0"/>
                <w:numId w:val="302"/>
              </w:numPr>
              <w:overflowPunct w:val="0"/>
              <w:ind w:right="137" w:hanging="188"/>
              <w:jc w:val="both"/>
              <w:textAlignment w:val="baseline"/>
              <w:rPr>
                <w:rFonts w:ascii="Times New Roman" w:hAnsi="Times New Roman" w:cs="Times New Roman"/>
                <w:color w:val="000000" w:themeColor="text1"/>
                <w:sz w:val="20"/>
                <w:szCs w:val="20"/>
                <w:lang w:val="fr-SN"/>
              </w:rPr>
            </w:pPr>
            <w:r w:rsidRPr="0097258B">
              <w:rPr>
                <w:rFonts w:ascii="Times New Roman" w:hAnsi="Times New Roman" w:cs="Times New Roman"/>
                <w:color w:val="000000" w:themeColor="text1"/>
                <w:sz w:val="20"/>
                <w:szCs w:val="20"/>
                <w:lang w:val="fr-SN"/>
              </w:rPr>
              <w:t xml:space="preserve">Sensibiliser les travailleurs et les populations riveraines aux risques d’IRA associés à l’exposition </w:t>
            </w:r>
            <w:r w:rsidR="00311466" w:rsidRPr="0097258B">
              <w:rPr>
                <w:rFonts w:ascii="Times New Roman" w:hAnsi="Times New Roman" w:cs="Times New Roman"/>
                <w:color w:val="000000" w:themeColor="text1"/>
                <w:sz w:val="20"/>
                <w:szCs w:val="20"/>
                <w:lang w:val="fr-SN"/>
              </w:rPr>
              <w:t xml:space="preserve">des </w:t>
            </w:r>
            <w:r w:rsidRPr="0097258B">
              <w:rPr>
                <w:rFonts w:ascii="Times New Roman" w:hAnsi="Times New Roman" w:cs="Times New Roman"/>
                <w:color w:val="000000" w:themeColor="text1"/>
                <w:sz w:val="20"/>
                <w:szCs w:val="20"/>
                <w:lang w:val="fr-SN"/>
              </w:rPr>
              <w:t>particules fines et aux polluants chimiques ;</w:t>
            </w:r>
          </w:p>
          <w:p w14:paraId="2A364BFC" w14:textId="77777777" w:rsidR="00DE241D" w:rsidRPr="0097258B" w:rsidRDefault="00DE241D" w:rsidP="001748C6">
            <w:pPr>
              <w:pStyle w:val="Default"/>
              <w:numPr>
                <w:ilvl w:val="0"/>
                <w:numId w:val="302"/>
              </w:numPr>
              <w:overflowPunct w:val="0"/>
              <w:ind w:right="137" w:hanging="188"/>
              <w:jc w:val="both"/>
              <w:textAlignment w:val="baseline"/>
              <w:rPr>
                <w:rFonts w:ascii="Times New Roman" w:hAnsi="Times New Roman" w:cs="Times New Roman"/>
                <w:color w:val="000000" w:themeColor="text1"/>
                <w:sz w:val="20"/>
                <w:szCs w:val="20"/>
                <w:lang w:val="fr-SN"/>
              </w:rPr>
            </w:pPr>
            <w:r w:rsidRPr="0097258B">
              <w:rPr>
                <w:rFonts w:ascii="Times New Roman" w:hAnsi="Times New Roman" w:cs="Times New Roman"/>
                <w:color w:val="000000" w:themeColor="text1"/>
                <w:sz w:val="20"/>
                <w:szCs w:val="20"/>
                <w:lang w:val="fr-SN"/>
              </w:rPr>
              <w:t>Informer les populations avant le démarrage des travaux ;</w:t>
            </w:r>
          </w:p>
          <w:p w14:paraId="000DC2D7" w14:textId="77777777" w:rsidR="00DE241D" w:rsidRPr="0097258B" w:rsidRDefault="00DE241D" w:rsidP="001748C6">
            <w:pPr>
              <w:pStyle w:val="Default"/>
              <w:numPr>
                <w:ilvl w:val="0"/>
                <w:numId w:val="302"/>
              </w:numPr>
              <w:overflowPunct w:val="0"/>
              <w:ind w:right="137" w:hanging="188"/>
              <w:jc w:val="both"/>
              <w:textAlignment w:val="baseline"/>
              <w:rPr>
                <w:rFonts w:ascii="Times New Roman" w:hAnsi="Times New Roman" w:cs="Times New Roman"/>
                <w:color w:val="000000" w:themeColor="text1"/>
                <w:sz w:val="20"/>
                <w:szCs w:val="20"/>
                <w:lang w:val="fr-SN"/>
              </w:rPr>
            </w:pPr>
            <w:r w:rsidRPr="0097258B">
              <w:rPr>
                <w:rFonts w:ascii="Times New Roman" w:hAnsi="Times New Roman" w:cs="Times New Roman"/>
                <w:color w:val="000000" w:themeColor="text1"/>
                <w:sz w:val="20"/>
                <w:szCs w:val="20"/>
                <w:lang w:val="fr-SN"/>
              </w:rPr>
              <w:t>Utiliser des véhicules et engins en bon état et les entretenir régulièrement ;</w:t>
            </w:r>
          </w:p>
          <w:p w14:paraId="2AF85FBD" w14:textId="21A8DDFF" w:rsidR="00DE241D" w:rsidRPr="0097258B" w:rsidRDefault="00DE241D" w:rsidP="001748C6">
            <w:pPr>
              <w:pStyle w:val="Default"/>
              <w:numPr>
                <w:ilvl w:val="0"/>
                <w:numId w:val="302"/>
              </w:numPr>
              <w:overflowPunct w:val="0"/>
              <w:ind w:right="137" w:hanging="188"/>
              <w:jc w:val="both"/>
              <w:textAlignment w:val="baseline"/>
              <w:rPr>
                <w:rFonts w:ascii="Times New Roman" w:hAnsi="Times New Roman" w:cs="Times New Roman"/>
                <w:color w:val="000000" w:themeColor="text1"/>
                <w:sz w:val="20"/>
                <w:szCs w:val="20"/>
                <w:lang w:val="fr-SN"/>
              </w:rPr>
            </w:pPr>
            <w:r w:rsidRPr="0097258B">
              <w:rPr>
                <w:rFonts w:ascii="Times New Roman" w:hAnsi="Times New Roman" w:cs="Times New Roman"/>
                <w:color w:val="000000" w:themeColor="text1"/>
                <w:sz w:val="20"/>
                <w:szCs w:val="20"/>
                <w:lang w:val="fr-SN"/>
              </w:rPr>
              <w:t>Couper les moteurs lorsque les véhicules et engins sont à l’arrêt</w:t>
            </w:r>
          </w:p>
          <w:p w14:paraId="157DA0E4" w14:textId="496568DE" w:rsidR="00DE241D" w:rsidRPr="0097258B" w:rsidRDefault="00DE241D" w:rsidP="001748C6">
            <w:pPr>
              <w:pStyle w:val="Default"/>
              <w:numPr>
                <w:ilvl w:val="0"/>
                <w:numId w:val="302"/>
              </w:numPr>
              <w:overflowPunct w:val="0"/>
              <w:ind w:right="137" w:hanging="188"/>
              <w:jc w:val="both"/>
              <w:textAlignment w:val="baseline"/>
              <w:rPr>
                <w:rFonts w:ascii="Times New Roman" w:hAnsi="Times New Roman" w:cs="Times New Roman"/>
                <w:color w:val="000000" w:themeColor="text1"/>
                <w:sz w:val="20"/>
                <w:szCs w:val="20"/>
                <w:lang w:val="fr-SN"/>
              </w:rPr>
            </w:pPr>
            <w:r w:rsidRPr="0097258B">
              <w:rPr>
                <w:rFonts w:ascii="Times New Roman" w:hAnsi="Times New Roman" w:cs="Times New Roman"/>
                <w:color w:val="000000" w:themeColor="text1"/>
                <w:sz w:val="20"/>
                <w:szCs w:val="20"/>
                <w:lang w:val="fr-SN"/>
              </w:rPr>
              <w:t>Procéder à des visites préembauches et un suivi médicoprofessionnel des travailleurs ;</w:t>
            </w:r>
          </w:p>
          <w:p w14:paraId="0F921A08" w14:textId="77777777" w:rsidR="00DE241D" w:rsidRPr="0097258B" w:rsidRDefault="00DE241D" w:rsidP="001748C6">
            <w:pPr>
              <w:pStyle w:val="Default"/>
              <w:numPr>
                <w:ilvl w:val="0"/>
                <w:numId w:val="302"/>
              </w:numPr>
              <w:overflowPunct w:val="0"/>
              <w:ind w:right="137" w:hanging="188"/>
              <w:jc w:val="both"/>
              <w:textAlignment w:val="baseline"/>
              <w:rPr>
                <w:rFonts w:ascii="Times New Roman" w:hAnsi="Times New Roman" w:cs="Times New Roman"/>
                <w:color w:val="000000" w:themeColor="text1"/>
                <w:sz w:val="20"/>
                <w:szCs w:val="20"/>
                <w:lang w:val="fr-SN"/>
              </w:rPr>
            </w:pPr>
            <w:r w:rsidRPr="0097258B">
              <w:rPr>
                <w:rFonts w:ascii="Times New Roman" w:hAnsi="Times New Roman" w:cs="Times New Roman"/>
                <w:color w:val="000000" w:themeColor="text1"/>
                <w:sz w:val="20"/>
                <w:szCs w:val="20"/>
                <w:lang w:val="fr-SN"/>
              </w:rPr>
              <w:t>Procéder à des visites médicales de reprise de travail (après accident de travail ou absence de plus de 21 jours par raison de santé) ;</w:t>
            </w:r>
          </w:p>
          <w:p w14:paraId="72FD5828" w14:textId="77777777" w:rsidR="00DE241D" w:rsidRPr="0097258B" w:rsidRDefault="00DE241D" w:rsidP="001748C6">
            <w:pPr>
              <w:pStyle w:val="Default"/>
              <w:numPr>
                <w:ilvl w:val="0"/>
                <w:numId w:val="302"/>
              </w:numPr>
              <w:overflowPunct w:val="0"/>
              <w:ind w:right="137" w:hanging="188"/>
              <w:jc w:val="both"/>
              <w:textAlignment w:val="baseline"/>
              <w:rPr>
                <w:rFonts w:ascii="Times New Roman" w:hAnsi="Times New Roman" w:cs="Times New Roman"/>
                <w:color w:val="000000" w:themeColor="text1"/>
                <w:sz w:val="20"/>
                <w:szCs w:val="20"/>
                <w:lang w:val="fr-SN"/>
              </w:rPr>
            </w:pPr>
            <w:r w:rsidRPr="0097258B">
              <w:rPr>
                <w:rFonts w:ascii="Times New Roman" w:hAnsi="Times New Roman" w:cs="Times New Roman"/>
                <w:color w:val="000000" w:themeColor="text1"/>
                <w:sz w:val="20"/>
                <w:szCs w:val="20"/>
                <w:lang w:val="fr-SN"/>
              </w:rPr>
              <w:t>Procéder à des visites inopinées en cas d’urgence ;</w:t>
            </w:r>
          </w:p>
          <w:p w14:paraId="7C2BD9A8" w14:textId="77777777" w:rsidR="00DE241D" w:rsidRPr="0097258B" w:rsidRDefault="00DE241D" w:rsidP="001748C6">
            <w:pPr>
              <w:pStyle w:val="Default"/>
              <w:numPr>
                <w:ilvl w:val="0"/>
                <w:numId w:val="302"/>
              </w:numPr>
              <w:overflowPunct w:val="0"/>
              <w:ind w:right="137" w:hanging="188"/>
              <w:jc w:val="both"/>
              <w:textAlignment w:val="baseline"/>
              <w:rPr>
                <w:rFonts w:ascii="Times New Roman" w:hAnsi="Times New Roman" w:cs="Times New Roman"/>
                <w:color w:val="000000" w:themeColor="text1"/>
                <w:sz w:val="20"/>
                <w:szCs w:val="20"/>
                <w:lang w:val="fr-SN"/>
              </w:rPr>
            </w:pPr>
            <w:r w:rsidRPr="0097258B">
              <w:rPr>
                <w:rFonts w:ascii="Times New Roman" w:hAnsi="Times New Roman" w:cs="Times New Roman"/>
                <w:color w:val="000000" w:themeColor="text1"/>
                <w:sz w:val="20"/>
                <w:szCs w:val="20"/>
                <w:lang w:val="fr-SN"/>
              </w:rPr>
              <w:t>Arroser régulièrement les zones sujettes à des dégagements de poussières ;</w:t>
            </w:r>
          </w:p>
          <w:p w14:paraId="394A0E39" w14:textId="77777777" w:rsidR="00DE241D" w:rsidRPr="0097258B" w:rsidRDefault="00DE241D" w:rsidP="001748C6">
            <w:pPr>
              <w:pStyle w:val="Default"/>
              <w:numPr>
                <w:ilvl w:val="0"/>
                <w:numId w:val="302"/>
              </w:numPr>
              <w:overflowPunct w:val="0"/>
              <w:ind w:right="137" w:hanging="188"/>
              <w:jc w:val="both"/>
              <w:textAlignment w:val="baseline"/>
              <w:rPr>
                <w:rFonts w:ascii="Times New Roman" w:hAnsi="Times New Roman" w:cs="Times New Roman"/>
                <w:color w:val="000000" w:themeColor="text1"/>
                <w:sz w:val="20"/>
                <w:szCs w:val="20"/>
                <w:lang w:val="fr-SN"/>
              </w:rPr>
            </w:pPr>
            <w:r w:rsidRPr="0097258B">
              <w:rPr>
                <w:rFonts w:ascii="Times New Roman" w:hAnsi="Times New Roman" w:cs="Times New Roman"/>
                <w:color w:val="000000" w:themeColor="text1"/>
                <w:sz w:val="20"/>
                <w:szCs w:val="20"/>
                <w:lang w:val="fr-SN"/>
              </w:rPr>
              <w:t>Doter les travailleurs d’EPI et en exiger le port ;</w:t>
            </w:r>
          </w:p>
          <w:p w14:paraId="691074D9" w14:textId="77777777" w:rsidR="00DE241D" w:rsidRPr="0097258B" w:rsidRDefault="00DE241D" w:rsidP="001748C6">
            <w:pPr>
              <w:pStyle w:val="Default"/>
              <w:numPr>
                <w:ilvl w:val="0"/>
                <w:numId w:val="302"/>
              </w:numPr>
              <w:overflowPunct w:val="0"/>
              <w:ind w:right="137" w:hanging="188"/>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Bâcher les camions</w:t>
            </w:r>
          </w:p>
        </w:tc>
      </w:tr>
      <w:tr w:rsidR="00BD1A2F" w:rsidRPr="00632C4D" w14:paraId="3BE5BDD7" w14:textId="77777777" w:rsidTr="003A0E4A">
        <w:trPr>
          <w:trHeight w:val="230"/>
        </w:trPr>
        <w:tc>
          <w:tcPr>
            <w:tcW w:w="801" w:type="pct"/>
          </w:tcPr>
          <w:p w14:paraId="6BCAB11A"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
        </w:tc>
        <w:tc>
          <w:tcPr>
            <w:tcW w:w="968" w:type="pct"/>
          </w:tcPr>
          <w:p w14:paraId="59F930EC" w14:textId="77777777" w:rsidR="00DE241D" w:rsidRPr="0097258B" w:rsidRDefault="00DE241D" w:rsidP="00E20250">
            <w:pPr>
              <w:pStyle w:val="Default"/>
              <w:overflowPunct w:val="0"/>
              <w:ind w:left="57"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final</w:t>
            </w:r>
          </w:p>
        </w:tc>
        <w:tc>
          <w:tcPr>
            <w:tcW w:w="705" w:type="pct"/>
          </w:tcPr>
          <w:p w14:paraId="47D6BEF3" w14:textId="77777777" w:rsidR="00DE241D" w:rsidRPr="0097258B" w:rsidRDefault="00DE241D" w:rsidP="00E20250">
            <w:pPr>
              <w:pStyle w:val="Default"/>
              <w:overflowPunct w:val="0"/>
              <w:ind w:left="57"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05" w:type="pct"/>
          </w:tcPr>
          <w:p w14:paraId="14685BBA" w14:textId="77777777" w:rsidR="00DE241D" w:rsidRPr="0097258B" w:rsidRDefault="00DE241D" w:rsidP="00E20250">
            <w:pPr>
              <w:pStyle w:val="Default"/>
              <w:overflowPunct w:val="0"/>
              <w:ind w:left="57"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42" w:type="pct"/>
          </w:tcPr>
          <w:p w14:paraId="0293B42F" w14:textId="77777777" w:rsidR="00DE241D" w:rsidRPr="0097258B" w:rsidRDefault="00DE241D" w:rsidP="00E20250">
            <w:pPr>
              <w:pStyle w:val="Default"/>
              <w:overflowPunct w:val="0"/>
              <w:ind w:left="57"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479" w:type="pct"/>
          </w:tcPr>
          <w:p w14:paraId="777418BB" w14:textId="77777777" w:rsidR="00DE241D" w:rsidRPr="0097258B" w:rsidRDefault="00DE241D" w:rsidP="00E20250">
            <w:pPr>
              <w:pStyle w:val="Default"/>
              <w:overflowPunct w:val="0"/>
              <w:ind w:left="57"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r w:rsidRPr="0097258B">
              <w:rPr>
                <w:rFonts w:ascii="Times New Roman" w:hAnsi="Times New Roman" w:cs="Times New Roman"/>
                <w:b/>
                <w:bCs/>
                <w:color w:val="000000" w:themeColor="text1"/>
                <w:sz w:val="20"/>
                <w:szCs w:val="20"/>
              </w:rPr>
              <w:t xml:space="preserve"> </w:t>
            </w:r>
            <w:proofErr w:type="spellStart"/>
            <w:r w:rsidRPr="0097258B">
              <w:rPr>
                <w:rFonts w:ascii="Times New Roman" w:hAnsi="Times New Roman" w:cs="Times New Roman"/>
                <w:b/>
                <w:bCs/>
                <w:color w:val="000000" w:themeColor="text1"/>
                <w:sz w:val="20"/>
                <w:szCs w:val="20"/>
              </w:rPr>
              <w:t>résiduel</w:t>
            </w:r>
            <w:proofErr w:type="spellEnd"/>
          </w:p>
        </w:tc>
      </w:tr>
      <w:tr w:rsidR="00BD1A2F" w:rsidRPr="00632C4D" w14:paraId="439C2EF3" w14:textId="77777777" w:rsidTr="003A0E4A">
        <w:trPr>
          <w:trHeight w:val="458"/>
        </w:trPr>
        <w:tc>
          <w:tcPr>
            <w:tcW w:w="801" w:type="pct"/>
          </w:tcPr>
          <w:p w14:paraId="77B0ADE7"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Après </w:t>
            </w:r>
            <w:proofErr w:type="spellStart"/>
            <w:r w:rsidRPr="0097258B">
              <w:rPr>
                <w:rFonts w:ascii="Times New Roman" w:hAnsi="Times New Roman" w:cs="Times New Roman"/>
                <w:color w:val="000000" w:themeColor="text1"/>
                <w:sz w:val="20"/>
                <w:szCs w:val="20"/>
              </w:rPr>
              <w:t>prévention</w:t>
            </w:r>
            <w:proofErr w:type="spellEnd"/>
          </w:p>
        </w:tc>
        <w:tc>
          <w:tcPr>
            <w:tcW w:w="968" w:type="pct"/>
          </w:tcPr>
          <w:p w14:paraId="500C7E17"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Non-respect du port des EPI</w:t>
            </w:r>
          </w:p>
        </w:tc>
        <w:tc>
          <w:tcPr>
            <w:tcW w:w="705" w:type="pct"/>
          </w:tcPr>
          <w:p w14:paraId="0A4E05E9"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05" w:type="pct"/>
          </w:tcPr>
          <w:p w14:paraId="6E456F0B"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42" w:type="pct"/>
            <w:shd w:val="clear" w:color="auto" w:fill="92D050"/>
          </w:tcPr>
          <w:p w14:paraId="78C1EA0F"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21</w:t>
            </w:r>
          </w:p>
        </w:tc>
        <w:tc>
          <w:tcPr>
            <w:tcW w:w="1479" w:type="pct"/>
          </w:tcPr>
          <w:p w14:paraId="423D4566"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Gêne</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respiratoire</w:t>
            </w:r>
            <w:proofErr w:type="spellEnd"/>
          </w:p>
        </w:tc>
      </w:tr>
    </w:tbl>
    <w:p w14:paraId="58D779B0" w14:textId="77777777" w:rsidR="00DE241D" w:rsidRPr="00260790" w:rsidRDefault="00DE241D" w:rsidP="00E20250">
      <w:pPr>
        <w:pStyle w:val="Tramemoyenne1-Accent21"/>
        <w:rPr>
          <w:rFonts w:ascii="Times New Roman" w:hAnsi="Times New Roman"/>
        </w:rPr>
      </w:pPr>
    </w:p>
    <w:p w14:paraId="5D64494D" w14:textId="35A36AB0" w:rsidR="00DE241D" w:rsidRPr="00260790" w:rsidRDefault="00DE241D" w:rsidP="001748C6">
      <w:pPr>
        <w:pStyle w:val="Paragraphedeliste"/>
        <w:widowControl w:val="0"/>
        <w:numPr>
          <w:ilvl w:val="2"/>
          <w:numId w:val="268"/>
        </w:numPr>
        <w:autoSpaceDE w:val="0"/>
        <w:autoSpaceDN w:val="0"/>
        <w:spacing w:after="0" w:line="240" w:lineRule="auto"/>
        <w:contextualSpacing w:val="0"/>
        <w:rPr>
          <w:rFonts w:ascii="Times New Roman" w:hAnsi="Times New Roman"/>
          <w:b/>
          <w:i/>
          <w:color w:val="000000" w:themeColor="text1"/>
        </w:rPr>
      </w:pPr>
      <w:r w:rsidRPr="00260790">
        <w:rPr>
          <w:rFonts w:ascii="Times New Roman" w:hAnsi="Times New Roman"/>
          <w:b/>
          <w:i/>
          <w:color w:val="000000" w:themeColor="text1"/>
        </w:rPr>
        <w:t>IN-4.</w:t>
      </w:r>
      <w:r w:rsidRPr="00260790">
        <w:rPr>
          <w:rFonts w:ascii="Times New Roman" w:hAnsi="Times New Roman"/>
          <w:b/>
          <w:i/>
          <w:color w:val="000000" w:themeColor="text1"/>
          <w:spacing w:val="-8"/>
        </w:rPr>
        <w:t xml:space="preserve"> </w:t>
      </w:r>
      <w:r w:rsidRPr="00260790">
        <w:rPr>
          <w:rFonts w:ascii="Times New Roman" w:hAnsi="Times New Roman"/>
          <w:b/>
          <w:i/>
          <w:color w:val="000000" w:themeColor="text1"/>
        </w:rPr>
        <w:t>Nuisances sonores</w:t>
      </w:r>
      <w:r w:rsidRPr="00260790">
        <w:rPr>
          <w:rFonts w:ascii="Times New Roman" w:hAnsi="Times New Roman"/>
          <w:b/>
          <w:i/>
          <w:color w:val="000000" w:themeColor="text1"/>
          <w:spacing w:val="-2"/>
        </w:rPr>
        <w:t xml:space="preserve"> </w:t>
      </w:r>
    </w:p>
    <w:p w14:paraId="6B5CF7A5" w14:textId="5274FBC4" w:rsidR="00DE241D" w:rsidRPr="00260790" w:rsidRDefault="00DE241D" w:rsidP="00E20250">
      <w:pPr>
        <w:pStyle w:val="Normaltableau0"/>
        <w:jc w:val="both"/>
        <w:rPr>
          <w:rFonts w:ascii="Times New Roman" w:hAnsi="Times New Roman"/>
          <w:color w:val="000000" w:themeColor="text1"/>
          <w:sz w:val="22"/>
          <w:szCs w:val="22"/>
        </w:rPr>
      </w:pPr>
      <w:r w:rsidRPr="00260790">
        <w:rPr>
          <w:rFonts w:ascii="Times New Roman" w:hAnsi="Times New Roman"/>
          <w:color w:val="000000" w:themeColor="text1"/>
          <w:sz w:val="22"/>
          <w:szCs w:val="22"/>
        </w:rPr>
        <w:t xml:space="preserve">Les bruits des engins et véhicules qui seront utilisés tout comme les travaux de démolition et de fouilles seront </w:t>
      </w:r>
      <w:r w:rsidR="00974D85" w:rsidRPr="00260790">
        <w:rPr>
          <w:rFonts w:ascii="Times New Roman" w:hAnsi="Times New Roman"/>
          <w:color w:val="000000" w:themeColor="text1"/>
          <w:sz w:val="22"/>
          <w:szCs w:val="22"/>
        </w:rPr>
        <w:t xml:space="preserve">des </w:t>
      </w:r>
      <w:r w:rsidRPr="00260790">
        <w:rPr>
          <w:rFonts w:ascii="Times New Roman" w:hAnsi="Times New Roman"/>
          <w:color w:val="000000" w:themeColor="text1"/>
          <w:sz w:val="22"/>
          <w:szCs w:val="22"/>
        </w:rPr>
        <w:t>source</w:t>
      </w:r>
      <w:r w:rsidR="00974D85" w:rsidRPr="00260790">
        <w:rPr>
          <w:rFonts w:ascii="Times New Roman" w:hAnsi="Times New Roman"/>
          <w:color w:val="000000" w:themeColor="text1"/>
          <w:sz w:val="22"/>
          <w:szCs w:val="22"/>
        </w:rPr>
        <w:t>s</w:t>
      </w:r>
      <w:r w:rsidRPr="00260790">
        <w:rPr>
          <w:rFonts w:ascii="Times New Roman" w:hAnsi="Times New Roman"/>
          <w:color w:val="000000" w:themeColor="text1"/>
          <w:sz w:val="22"/>
          <w:szCs w:val="22"/>
        </w:rPr>
        <w:t xml:space="preserve"> de nuisances pour les riverains et les travailleurs. </w:t>
      </w:r>
    </w:p>
    <w:p w14:paraId="68956BA0" w14:textId="202846F8" w:rsidR="00DE241D" w:rsidRPr="00260790" w:rsidRDefault="00DE241D" w:rsidP="00E20250">
      <w:pPr>
        <w:pStyle w:val="Normaltableau0"/>
        <w:jc w:val="both"/>
        <w:rPr>
          <w:rFonts w:ascii="Times New Roman" w:hAnsi="Times New Roman"/>
          <w:color w:val="000000" w:themeColor="text1"/>
          <w:sz w:val="22"/>
          <w:szCs w:val="22"/>
        </w:rPr>
      </w:pPr>
      <w:r w:rsidRPr="00260790">
        <w:rPr>
          <w:rFonts w:ascii="Times New Roman" w:hAnsi="Times New Roman"/>
          <w:color w:val="000000" w:themeColor="text1"/>
          <w:sz w:val="22"/>
          <w:szCs w:val="22"/>
        </w:rPr>
        <w:t>L’oreille humaine répond à une large gamme de pressions acoustiques, représentées entre 0</w:t>
      </w:r>
      <w:r w:rsidR="00974D85" w:rsidRPr="00260790">
        <w:rPr>
          <w:rFonts w:ascii="Times New Roman" w:hAnsi="Times New Roman"/>
          <w:color w:val="000000" w:themeColor="text1"/>
          <w:sz w:val="22"/>
          <w:szCs w:val="22"/>
        </w:rPr>
        <w:t xml:space="preserve"> </w:t>
      </w:r>
      <w:r w:rsidRPr="00260790">
        <w:rPr>
          <w:rFonts w:ascii="Times New Roman" w:hAnsi="Times New Roman"/>
          <w:color w:val="000000" w:themeColor="text1"/>
          <w:sz w:val="22"/>
          <w:szCs w:val="22"/>
        </w:rPr>
        <w:t>d</w:t>
      </w:r>
      <w:r w:rsidR="00974D85" w:rsidRPr="00260790">
        <w:rPr>
          <w:rFonts w:ascii="Times New Roman" w:hAnsi="Times New Roman"/>
          <w:color w:val="000000" w:themeColor="text1"/>
          <w:sz w:val="22"/>
          <w:szCs w:val="22"/>
        </w:rPr>
        <w:t>B</w:t>
      </w:r>
      <w:r w:rsidRPr="00260790">
        <w:rPr>
          <w:rFonts w:ascii="Times New Roman" w:hAnsi="Times New Roman"/>
          <w:color w:val="000000" w:themeColor="text1"/>
          <w:sz w:val="22"/>
          <w:szCs w:val="22"/>
        </w:rPr>
        <w:t xml:space="preserve"> qui représente le seuil d’audition et 120</w:t>
      </w:r>
      <w:r w:rsidR="00974D85" w:rsidRPr="00260790">
        <w:rPr>
          <w:rFonts w:ascii="Times New Roman" w:hAnsi="Times New Roman"/>
          <w:color w:val="000000" w:themeColor="text1"/>
          <w:sz w:val="22"/>
          <w:szCs w:val="22"/>
        </w:rPr>
        <w:t xml:space="preserve"> </w:t>
      </w:r>
      <w:r w:rsidRPr="00260790">
        <w:rPr>
          <w:rFonts w:ascii="Times New Roman" w:hAnsi="Times New Roman"/>
          <w:color w:val="000000" w:themeColor="text1"/>
          <w:sz w:val="22"/>
          <w:szCs w:val="22"/>
        </w:rPr>
        <w:t>d</w:t>
      </w:r>
      <w:r w:rsidR="00974D85" w:rsidRPr="00260790">
        <w:rPr>
          <w:rFonts w:ascii="Times New Roman" w:hAnsi="Times New Roman"/>
          <w:color w:val="000000" w:themeColor="text1"/>
          <w:sz w:val="22"/>
          <w:szCs w:val="22"/>
        </w:rPr>
        <w:t>B</w:t>
      </w:r>
      <w:r w:rsidRPr="00260790">
        <w:rPr>
          <w:rFonts w:ascii="Times New Roman" w:hAnsi="Times New Roman"/>
          <w:color w:val="000000" w:themeColor="text1"/>
          <w:sz w:val="22"/>
          <w:szCs w:val="22"/>
        </w:rPr>
        <w:t xml:space="preserve"> qui correspond au seuil de la douleur. </w:t>
      </w:r>
    </w:p>
    <w:p w14:paraId="474ECE8A" w14:textId="77777777" w:rsidR="00DE241D" w:rsidRPr="00260790" w:rsidRDefault="00DE241D" w:rsidP="00E20250">
      <w:pPr>
        <w:pStyle w:val="Normaltableau0"/>
        <w:jc w:val="both"/>
        <w:rPr>
          <w:rFonts w:ascii="Times New Roman" w:hAnsi="Times New Roman"/>
          <w:color w:val="000000" w:themeColor="text1"/>
          <w:sz w:val="22"/>
          <w:szCs w:val="22"/>
        </w:rPr>
      </w:pPr>
      <w:r w:rsidRPr="00260790">
        <w:rPr>
          <w:rFonts w:ascii="Times New Roman" w:hAnsi="Times New Roman"/>
          <w:color w:val="000000" w:themeColor="text1"/>
          <w:sz w:val="22"/>
          <w:szCs w:val="22"/>
        </w:rPr>
        <w:t xml:space="preserve">L’oreille humaine est moins sensible aux basses et hautes fréquences du son comparé aux fréquences moyennes. Pour cette raison, les niveaux de bruit sont généralement exprimés en unités dB(A), résultant d’une fonction « pondération A » standardisée ayant des caractéristiques de fréquence similaires à celles de l’oreille. </w:t>
      </w:r>
    </w:p>
    <w:p w14:paraId="35564FD0" w14:textId="77777777" w:rsidR="00DE241D" w:rsidRPr="00260790" w:rsidRDefault="00DE241D" w:rsidP="00E20250">
      <w:pPr>
        <w:pStyle w:val="Normaltableau0"/>
        <w:jc w:val="both"/>
        <w:rPr>
          <w:rFonts w:ascii="Times New Roman" w:hAnsi="Times New Roman"/>
          <w:color w:val="000000" w:themeColor="text1"/>
          <w:sz w:val="22"/>
          <w:szCs w:val="22"/>
        </w:rPr>
      </w:pPr>
      <w:r w:rsidRPr="00260790">
        <w:rPr>
          <w:rFonts w:ascii="Times New Roman" w:hAnsi="Times New Roman"/>
          <w:color w:val="000000" w:themeColor="text1"/>
          <w:sz w:val="22"/>
          <w:szCs w:val="22"/>
        </w:rPr>
        <w:t>Les répercussions de l’exposition aux bruits sont présentées ci-dessous.</w:t>
      </w:r>
    </w:p>
    <w:p w14:paraId="4B40A392" w14:textId="7815AEDD" w:rsidR="00DE241D" w:rsidRPr="00260790" w:rsidRDefault="00DE241D" w:rsidP="00451F8A">
      <w:pPr>
        <w:pStyle w:val="Tramemoyenne1-Accent21"/>
        <w:spacing w:before="240" w:after="240"/>
        <w:rPr>
          <w:rFonts w:ascii="Times New Roman" w:hAnsi="Times New Roman"/>
          <w:bCs/>
          <w:i/>
          <w:iCs/>
          <w:color w:val="000000" w:themeColor="text1"/>
        </w:rPr>
      </w:pPr>
      <w:bookmarkStart w:id="617" w:name="_Toc207781875"/>
      <w:r w:rsidRPr="00260790">
        <w:rPr>
          <w:rFonts w:ascii="Times New Roman" w:hAnsi="Times New Roman"/>
          <w:bCs/>
          <w:i/>
          <w:iCs/>
          <w:color w:val="000000" w:themeColor="text1"/>
        </w:rPr>
        <w:t xml:space="preserve">Tableau </w:t>
      </w:r>
      <w:r w:rsidRPr="00260790">
        <w:rPr>
          <w:rFonts w:ascii="Times New Roman" w:hAnsi="Times New Roman"/>
          <w:bCs/>
          <w:i/>
          <w:iCs/>
          <w:color w:val="000000" w:themeColor="text1"/>
        </w:rPr>
        <w:fldChar w:fldCharType="begin"/>
      </w:r>
      <w:r w:rsidRPr="00260790">
        <w:rPr>
          <w:rFonts w:ascii="Times New Roman" w:hAnsi="Times New Roman"/>
          <w:bCs/>
          <w:i/>
          <w:iCs/>
          <w:color w:val="000000" w:themeColor="text1"/>
        </w:rPr>
        <w:instrText xml:space="preserve"> SEQ Tableau \* ARABIC </w:instrText>
      </w:r>
      <w:r w:rsidRPr="00260790">
        <w:rPr>
          <w:rFonts w:ascii="Times New Roman" w:hAnsi="Times New Roman"/>
          <w:bCs/>
          <w:i/>
          <w:iCs/>
          <w:color w:val="000000" w:themeColor="text1"/>
        </w:rPr>
        <w:fldChar w:fldCharType="separate"/>
      </w:r>
      <w:r w:rsidR="003C783E">
        <w:rPr>
          <w:rFonts w:ascii="Times New Roman" w:hAnsi="Times New Roman"/>
          <w:bCs/>
          <w:i/>
          <w:iCs/>
          <w:noProof/>
          <w:color w:val="000000" w:themeColor="text1"/>
        </w:rPr>
        <w:t>34</w:t>
      </w:r>
      <w:r w:rsidRPr="00260790">
        <w:rPr>
          <w:rFonts w:ascii="Times New Roman" w:hAnsi="Times New Roman"/>
          <w:bCs/>
          <w:i/>
          <w:iCs/>
          <w:color w:val="000000" w:themeColor="text1"/>
        </w:rPr>
        <w:fldChar w:fldCharType="end"/>
      </w:r>
      <w:r w:rsidRPr="00260790">
        <w:rPr>
          <w:rFonts w:ascii="Times New Roman" w:hAnsi="Times New Roman"/>
          <w:bCs/>
          <w:i/>
          <w:iCs/>
          <w:color w:val="000000" w:themeColor="text1"/>
        </w:rPr>
        <w:t> : répercussion de l’exposition aux bruits</w:t>
      </w:r>
      <w:bookmarkEnd w:id="6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59"/>
        <w:gridCol w:w="3491"/>
      </w:tblGrid>
      <w:tr w:rsidR="00BD1A2F" w:rsidRPr="00260790" w14:paraId="1A87353F" w14:textId="77777777" w:rsidTr="00451F8A">
        <w:tc>
          <w:tcPr>
            <w:tcW w:w="0" w:type="auto"/>
            <w:tcBorders>
              <w:top w:val="single" w:sz="4" w:space="0" w:color="auto"/>
              <w:left w:val="single" w:sz="4" w:space="0" w:color="auto"/>
              <w:bottom w:val="single" w:sz="4" w:space="0" w:color="auto"/>
              <w:right w:val="single" w:sz="4" w:space="0" w:color="auto"/>
            </w:tcBorders>
            <w:hideMark/>
          </w:tcPr>
          <w:p w14:paraId="09CFFD0C" w14:textId="77777777" w:rsidR="00DE241D" w:rsidRPr="00260790" w:rsidRDefault="00DE241D" w:rsidP="00E20250">
            <w:pPr>
              <w:pStyle w:val="Tramemoyenne1-Accent21"/>
              <w:rPr>
                <w:rFonts w:ascii="Times New Roman" w:hAnsi="Times New Roman"/>
                <w:b/>
                <w:bCs/>
                <w:color w:val="000000" w:themeColor="text1"/>
              </w:rPr>
            </w:pPr>
            <w:r w:rsidRPr="00260790">
              <w:rPr>
                <w:rFonts w:ascii="Times New Roman" w:hAnsi="Times New Roman"/>
                <w:b/>
                <w:bCs/>
                <w:color w:val="000000" w:themeColor="text1"/>
              </w:rPr>
              <w:t>Niveau sonore en dB(A)</w:t>
            </w:r>
          </w:p>
        </w:tc>
        <w:tc>
          <w:tcPr>
            <w:tcW w:w="0" w:type="auto"/>
            <w:tcBorders>
              <w:top w:val="single" w:sz="4" w:space="0" w:color="auto"/>
              <w:left w:val="single" w:sz="4" w:space="0" w:color="auto"/>
              <w:bottom w:val="single" w:sz="4" w:space="0" w:color="auto"/>
              <w:right w:val="single" w:sz="4" w:space="0" w:color="auto"/>
            </w:tcBorders>
            <w:hideMark/>
          </w:tcPr>
          <w:p w14:paraId="0B2B6325" w14:textId="77777777" w:rsidR="00DE241D" w:rsidRPr="00260790" w:rsidRDefault="00DE241D" w:rsidP="00E20250">
            <w:pPr>
              <w:pStyle w:val="Tramemoyenne1-Accent21"/>
              <w:rPr>
                <w:rFonts w:ascii="Times New Roman" w:hAnsi="Times New Roman"/>
                <w:b/>
                <w:bCs/>
                <w:color w:val="000000" w:themeColor="text1"/>
              </w:rPr>
            </w:pPr>
            <w:r w:rsidRPr="00260790">
              <w:rPr>
                <w:rFonts w:ascii="Times New Roman" w:hAnsi="Times New Roman"/>
                <w:b/>
                <w:bCs/>
                <w:color w:val="000000" w:themeColor="text1"/>
              </w:rPr>
              <w:t>Risques</w:t>
            </w:r>
          </w:p>
        </w:tc>
      </w:tr>
      <w:tr w:rsidR="00BD1A2F" w:rsidRPr="00260790" w14:paraId="53F30F5D" w14:textId="77777777" w:rsidTr="00451F8A">
        <w:tc>
          <w:tcPr>
            <w:tcW w:w="0" w:type="auto"/>
            <w:tcBorders>
              <w:top w:val="single" w:sz="4" w:space="0" w:color="auto"/>
              <w:left w:val="single" w:sz="4" w:space="0" w:color="auto"/>
              <w:bottom w:val="single" w:sz="4" w:space="0" w:color="auto"/>
              <w:right w:val="single" w:sz="4" w:space="0" w:color="auto"/>
            </w:tcBorders>
            <w:hideMark/>
          </w:tcPr>
          <w:p w14:paraId="50126B35" w14:textId="77777777" w:rsidR="00DE241D" w:rsidRPr="00260790" w:rsidRDefault="00DE241D" w:rsidP="00E20250">
            <w:pPr>
              <w:pStyle w:val="Tramemoyenne1-Accent21"/>
              <w:rPr>
                <w:rFonts w:ascii="Times New Roman" w:hAnsi="Times New Roman"/>
                <w:color w:val="000000" w:themeColor="text1"/>
              </w:rPr>
            </w:pPr>
            <w:r w:rsidRPr="00260790">
              <w:rPr>
                <w:rFonts w:ascii="Times New Roman" w:hAnsi="Times New Roman"/>
                <w:color w:val="000000" w:themeColor="text1"/>
              </w:rPr>
              <w:t>80 à 85</w:t>
            </w:r>
          </w:p>
        </w:tc>
        <w:tc>
          <w:tcPr>
            <w:tcW w:w="0" w:type="auto"/>
            <w:tcBorders>
              <w:top w:val="single" w:sz="4" w:space="0" w:color="auto"/>
              <w:left w:val="single" w:sz="4" w:space="0" w:color="auto"/>
              <w:bottom w:val="single" w:sz="4" w:space="0" w:color="auto"/>
              <w:right w:val="single" w:sz="4" w:space="0" w:color="auto"/>
            </w:tcBorders>
            <w:hideMark/>
          </w:tcPr>
          <w:p w14:paraId="6DA7A85E" w14:textId="77777777" w:rsidR="00DE241D" w:rsidRPr="00260790" w:rsidRDefault="00DE241D" w:rsidP="00E20250">
            <w:pPr>
              <w:pStyle w:val="Tramemoyenne1-Accent21"/>
              <w:rPr>
                <w:rFonts w:ascii="Times New Roman" w:hAnsi="Times New Roman"/>
                <w:color w:val="000000" w:themeColor="text1"/>
              </w:rPr>
            </w:pPr>
            <w:r w:rsidRPr="00260790">
              <w:rPr>
                <w:rFonts w:ascii="Times New Roman" w:hAnsi="Times New Roman"/>
                <w:color w:val="000000" w:themeColor="text1"/>
              </w:rPr>
              <w:t xml:space="preserve">Danger au-dessus de 80 </w:t>
            </w:r>
          </w:p>
        </w:tc>
      </w:tr>
      <w:tr w:rsidR="00BD1A2F" w:rsidRPr="00260790" w14:paraId="38EA5AA7" w14:textId="77777777" w:rsidTr="00451F8A">
        <w:tc>
          <w:tcPr>
            <w:tcW w:w="0" w:type="auto"/>
            <w:tcBorders>
              <w:top w:val="single" w:sz="4" w:space="0" w:color="auto"/>
              <w:left w:val="single" w:sz="4" w:space="0" w:color="auto"/>
              <w:bottom w:val="single" w:sz="4" w:space="0" w:color="auto"/>
              <w:right w:val="single" w:sz="4" w:space="0" w:color="auto"/>
            </w:tcBorders>
            <w:hideMark/>
          </w:tcPr>
          <w:p w14:paraId="2EA14E4F" w14:textId="77777777" w:rsidR="00DE241D" w:rsidRPr="00260790" w:rsidRDefault="00DE241D" w:rsidP="00E20250">
            <w:pPr>
              <w:pStyle w:val="Tramemoyenne1-Accent21"/>
              <w:rPr>
                <w:rFonts w:ascii="Times New Roman" w:hAnsi="Times New Roman"/>
                <w:color w:val="000000" w:themeColor="text1"/>
              </w:rPr>
            </w:pPr>
            <w:r w:rsidRPr="00260790">
              <w:rPr>
                <w:rFonts w:ascii="Times New Roman" w:hAnsi="Times New Roman"/>
                <w:color w:val="000000" w:themeColor="text1"/>
              </w:rPr>
              <w:t>91 à 115</w:t>
            </w:r>
          </w:p>
        </w:tc>
        <w:tc>
          <w:tcPr>
            <w:tcW w:w="0" w:type="auto"/>
            <w:vMerge w:val="restart"/>
            <w:tcBorders>
              <w:top w:val="single" w:sz="4" w:space="0" w:color="auto"/>
              <w:left w:val="single" w:sz="4" w:space="0" w:color="auto"/>
              <w:bottom w:val="single" w:sz="4" w:space="0" w:color="auto"/>
              <w:right w:val="single" w:sz="4" w:space="0" w:color="auto"/>
            </w:tcBorders>
            <w:hideMark/>
          </w:tcPr>
          <w:p w14:paraId="7D45F946" w14:textId="77777777" w:rsidR="00DE241D" w:rsidRPr="00260790" w:rsidRDefault="00DE241D" w:rsidP="00E20250">
            <w:pPr>
              <w:pStyle w:val="Tramemoyenne1-Accent21"/>
              <w:rPr>
                <w:rFonts w:ascii="Times New Roman" w:hAnsi="Times New Roman"/>
                <w:color w:val="000000" w:themeColor="text1"/>
              </w:rPr>
            </w:pPr>
          </w:p>
          <w:p w14:paraId="0078E4B3" w14:textId="77777777" w:rsidR="00DE241D" w:rsidRPr="00260790" w:rsidRDefault="00DE241D" w:rsidP="00E20250">
            <w:pPr>
              <w:pStyle w:val="Tramemoyenne1-Accent21"/>
              <w:rPr>
                <w:rFonts w:ascii="Times New Roman" w:hAnsi="Times New Roman"/>
                <w:color w:val="000000" w:themeColor="text1"/>
              </w:rPr>
            </w:pPr>
            <w:r w:rsidRPr="00260790">
              <w:rPr>
                <w:rFonts w:ascii="Times New Roman" w:hAnsi="Times New Roman"/>
                <w:color w:val="000000" w:themeColor="text1"/>
              </w:rPr>
              <w:t xml:space="preserve">Lésions irréversibles au-dessus de 85 </w:t>
            </w:r>
          </w:p>
        </w:tc>
      </w:tr>
      <w:tr w:rsidR="00BD1A2F" w:rsidRPr="00260790" w14:paraId="361934BD" w14:textId="77777777" w:rsidTr="00451F8A">
        <w:tc>
          <w:tcPr>
            <w:tcW w:w="0" w:type="auto"/>
            <w:tcBorders>
              <w:top w:val="single" w:sz="4" w:space="0" w:color="auto"/>
              <w:left w:val="single" w:sz="4" w:space="0" w:color="auto"/>
              <w:bottom w:val="single" w:sz="4" w:space="0" w:color="auto"/>
              <w:right w:val="single" w:sz="4" w:space="0" w:color="auto"/>
            </w:tcBorders>
            <w:hideMark/>
          </w:tcPr>
          <w:p w14:paraId="11A49848" w14:textId="77777777" w:rsidR="00DE241D" w:rsidRPr="00260790" w:rsidRDefault="00DE241D" w:rsidP="00E20250">
            <w:pPr>
              <w:pStyle w:val="Tramemoyenne1-Accent21"/>
              <w:rPr>
                <w:rFonts w:ascii="Times New Roman" w:hAnsi="Times New Roman"/>
                <w:color w:val="000000" w:themeColor="text1"/>
              </w:rPr>
            </w:pPr>
            <w:r w:rsidRPr="00260790">
              <w:rPr>
                <w:rFonts w:ascii="Times New Roman" w:hAnsi="Times New Roman"/>
                <w:color w:val="000000" w:themeColor="text1"/>
              </w:rPr>
              <w:t>92 à 100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2B867" w14:textId="77777777" w:rsidR="00DE241D" w:rsidRPr="00260790" w:rsidRDefault="00DE241D" w:rsidP="00E20250">
            <w:pPr>
              <w:pStyle w:val="Tramemoyenne1-Accent21"/>
              <w:rPr>
                <w:rFonts w:ascii="Times New Roman" w:hAnsi="Times New Roman"/>
                <w:color w:val="000000" w:themeColor="text1"/>
              </w:rPr>
            </w:pPr>
          </w:p>
        </w:tc>
      </w:tr>
      <w:tr w:rsidR="00BD1A2F" w:rsidRPr="00260790" w14:paraId="4FD45080" w14:textId="77777777" w:rsidTr="00451F8A">
        <w:tc>
          <w:tcPr>
            <w:tcW w:w="0" w:type="auto"/>
            <w:tcBorders>
              <w:top w:val="single" w:sz="4" w:space="0" w:color="auto"/>
              <w:left w:val="single" w:sz="4" w:space="0" w:color="auto"/>
              <w:bottom w:val="single" w:sz="4" w:space="0" w:color="auto"/>
              <w:right w:val="single" w:sz="4" w:space="0" w:color="auto"/>
            </w:tcBorders>
            <w:hideMark/>
          </w:tcPr>
          <w:p w14:paraId="0009111A" w14:textId="77777777" w:rsidR="00DE241D" w:rsidRPr="00260790" w:rsidRDefault="00DE241D" w:rsidP="00E20250">
            <w:pPr>
              <w:pStyle w:val="Tramemoyenne1-Accent21"/>
              <w:rPr>
                <w:rFonts w:ascii="Times New Roman" w:hAnsi="Times New Roman"/>
                <w:color w:val="000000" w:themeColor="text1"/>
              </w:rPr>
            </w:pPr>
            <w:r w:rsidRPr="00260790">
              <w:rPr>
                <w:rFonts w:ascii="Times New Roman" w:hAnsi="Times New Roman"/>
                <w:color w:val="000000" w:themeColor="text1"/>
              </w:rPr>
              <w:t>103 à 115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E1CF22" w14:textId="77777777" w:rsidR="00DE241D" w:rsidRPr="00260790" w:rsidRDefault="00DE241D" w:rsidP="00E20250">
            <w:pPr>
              <w:pStyle w:val="Tramemoyenne1-Accent21"/>
              <w:rPr>
                <w:rFonts w:ascii="Times New Roman" w:hAnsi="Times New Roman"/>
                <w:color w:val="000000" w:themeColor="text1"/>
              </w:rPr>
            </w:pPr>
          </w:p>
        </w:tc>
      </w:tr>
      <w:tr w:rsidR="00BD1A2F" w:rsidRPr="00260790" w14:paraId="5C6604BF" w14:textId="77777777" w:rsidTr="00451F8A">
        <w:tc>
          <w:tcPr>
            <w:tcW w:w="0" w:type="auto"/>
            <w:tcBorders>
              <w:top w:val="single" w:sz="4" w:space="0" w:color="auto"/>
              <w:left w:val="single" w:sz="4" w:space="0" w:color="auto"/>
              <w:bottom w:val="single" w:sz="4" w:space="0" w:color="auto"/>
              <w:right w:val="single" w:sz="4" w:space="0" w:color="auto"/>
            </w:tcBorders>
            <w:hideMark/>
          </w:tcPr>
          <w:p w14:paraId="1F211D70" w14:textId="77777777" w:rsidR="00DE241D" w:rsidRPr="00260790" w:rsidRDefault="00DE241D" w:rsidP="00E20250">
            <w:pPr>
              <w:pStyle w:val="Tramemoyenne1-Accent21"/>
              <w:rPr>
                <w:rFonts w:ascii="Times New Roman" w:hAnsi="Times New Roman"/>
                <w:color w:val="000000" w:themeColor="text1"/>
              </w:rPr>
            </w:pPr>
            <w:r w:rsidRPr="00260790">
              <w:rPr>
                <w:rFonts w:ascii="Times New Roman" w:hAnsi="Times New Roman"/>
                <w:color w:val="000000" w:themeColor="text1"/>
              </w:rPr>
              <w:t>140 à 160</w:t>
            </w:r>
          </w:p>
        </w:tc>
        <w:tc>
          <w:tcPr>
            <w:tcW w:w="0" w:type="auto"/>
            <w:tcBorders>
              <w:top w:val="single" w:sz="4" w:space="0" w:color="auto"/>
              <w:left w:val="single" w:sz="4" w:space="0" w:color="auto"/>
              <w:bottom w:val="single" w:sz="4" w:space="0" w:color="auto"/>
              <w:right w:val="single" w:sz="4" w:space="0" w:color="auto"/>
            </w:tcBorders>
            <w:hideMark/>
          </w:tcPr>
          <w:p w14:paraId="54730A7B" w14:textId="77777777" w:rsidR="00DE241D" w:rsidRPr="00260790" w:rsidRDefault="00DE241D" w:rsidP="00E20250">
            <w:pPr>
              <w:pStyle w:val="Tramemoyenne1-Accent21"/>
              <w:rPr>
                <w:rFonts w:ascii="Times New Roman" w:hAnsi="Times New Roman"/>
                <w:color w:val="000000" w:themeColor="text1"/>
              </w:rPr>
            </w:pPr>
            <w:r w:rsidRPr="00260790">
              <w:rPr>
                <w:rFonts w:ascii="Times New Roman" w:hAnsi="Times New Roman"/>
                <w:color w:val="000000" w:themeColor="text1"/>
              </w:rPr>
              <w:t xml:space="preserve">Douleur au-dessus de 130 </w:t>
            </w:r>
          </w:p>
        </w:tc>
      </w:tr>
      <w:tr w:rsidR="00BD1A2F" w:rsidRPr="00260790" w14:paraId="5A2B272F" w14:textId="77777777" w:rsidTr="00451F8A">
        <w:tc>
          <w:tcPr>
            <w:tcW w:w="0" w:type="auto"/>
            <w:tcBorders>
              <w:top w:val="single" w:sz="4" w:space="0" w:color="auto"/>
              <w:left w:val="single" w:sz="4" w:space="0" w:color="auto"/>
              <w:bottom w:val="single" w:sz="4" w:space="0" w:color="auto"/>
              <w:right w:val="single" w:sz="4" w:space="0" w:color="auto"/>
            </w:tcBorders>
            <w:hideMark/>
          </w:tcPr>
          <w:p w14:paraId="50D0FB16" w14:textId="77777777" w:rsidR="00DE241D" w:rsidRPr="00260790" w:rsidRDefault="00DE241D" w:rsidP="00E20250">
            <w:pPr>
              <w:pStyle w:val="Tramemoyenne1-Accent21"/>
              <w:rPr>
                <w:rFonts w:ascii="Times New Roman" w:hAnsi="Times New Roman"/>
                <w:color w:val="000000" w:themeColor="text1"/>
              </w:rPr>
            </w:pPr>
            <w:r w:rsidRPr="00260790">
              <w:rPr>
                <w:rFonts w:ascii="Times New Roman" w:hAnsi="Times New Roman"/>
                <w:color w:val="000000" w:themeColor="text1"/>
              </w:rPr>
              <w:t>115</w:t>
            </w:r>
          </w:p>
        </w:tc>
        <w:tc>
          <w:tcPr>
            <w:tcW w:w="0" w:type="auto"/>
            <w:tcBorders>
              <w:top w:val="single" w:sz="4" w:space="0" w:color="auto"/>
              <w:left w:val="single" w:sz="4" w:space="0" w:color="auto"/>
              <w:bottom w:val="single" w:sz="4" w:space="0" w:color="auto"/>
              <w:right w:val="single" w:sz="4" w:space="0" w:color="auto"/>
            </w:tcBorders>
            <w:hideMark/>
          </w:tcPr>
          <w:p w14:paraId="7C3D63D0" w14:textId="77777777" w:rsidR="00DE241D" w:rsidRPr="00260790" w:rsidRDefault="00DE241D" w:rsidP="00E20250">
            <w:pPr>
              <w:pStyle w:val="Tramemoyenne1-Accent21"/>
              <w:rPr>
                <w:rFonts w:ascii="Times New Roman" w:hAnsi="Times New Roman"/>
                <w:color w:val="000000" w:themeColor="text1"/>
              </w:rPr>
            </w:pPr>
            <w:r w:rsidRPr="00260790">
              <w:rPr>
                <w:rFonts w:ascii="Times New Roman" w:hAnsi="Times New Roman"/>
                <w:color w:val="000000" w:themeColor="text1"/>
              </w:rPr>
              <w:t xml:space="preserve">Lésions irréversibles au-dessus de 85 </w:t>
            </w:r>
          </w:p>
        </w:tc>
      </w:tr>
    </w:tbl>
    <w:p w14:paraId="448B2365" w14:textId="77777777" w:rsidR="00DE241D" w:rsidRPr="00260790" w:rsidRDefault="00DE241D" w:rsidP="00E20250">
      <w:pPr>
        <w:pStyle w:val="Tramemoyenne1-Accent21"/>
        <w:rPr>
          <w:rFonts w:ascii="Times New Roman" w:hAnsi="Times New Roman"/>
          <w:color w:val="000000" w:themeColor="text1"/>
        </w:rPr>
      </w:pPr>
    </w:p>
    <w:p w14:paraId="28D9B40F" w14:textId="77777777" w:rsidR="00DE241D" w:rsidRPr="00260790" w:rsidRDefault="00DE241D" w:rsidP="00E20250">
      <w:pPr>
        <w:pStyle w:val="Normaltableau0"/>
        <w:jc w:val="both"/>
        <w:rPr>
          <w:rFonts w:ascii="Times New Roman" w:hAnsi="Times New Roman"/>
          <w:color w:val="000000" w:themeColor="text1"/>
          <w:sz w:val="22"/>
          <w:szCs w:val="22"/>
        </w:rPr>
      </w:pPr>
      <w:r w:rsidRPr="00260790">
        <w:rPr>
          <w:rFonts w:ascii="Times New Roman" w:hAnsi="Times New Roman"/>
          <w:color w:val="000000" w:themeColor="text1"/>
          <w:sz w:val="22"/>
          <w:szCs w:val="22"/>
        </w:rPr>
        <w:t xml:space="preserve">Les niveaux sonores sont définis en </w:t>
      </w:r>
      <w:proofErr w:type="spellStart"/>
      <w:r w:rsidRPr="00260790">
        <w:rPr>
          <w:rFonts w:ascii="Times New Roman" w:hAnsi="Times New Roman"/>
          <w:color w:val="000000" w:themeColor="text1"/>
          <w:sz w:val="22"/>
          <w:szCs w:val="22"/>
        </w:rPr>
        <w:t>LAeq</w:t>
      </w:r>
      <w:proofErr w:type="spellEnd"/>
      <w:r w:rsidRPr="00260790">
        <w:rPr>
          <w:rFonts w:ascii="Times New Roman" w:hAnsi="Times New Roman"/>
          <w:color w:val="000000" w:themeColor="text1"/>
          <w:sz w:val="22"/>
          <w:szCs w:val="22"/>
        </w:rPr>
        <w:t xml:space="preserve">. Il s’agit du niveau de pression acoustique continu équivalent sur la période d’analyse considérée. Il sert d’indicateur pour mesurer le niveau général de bruit. </w:t>
      </w:r>
    </w:p>
    <w:p w14:paraId="42DD592C" w14:textId="77777777" w:rsidR="00DE241D" w:rsidRPr="00260790" w:rsidRDefault="00DE241D" w:rsidP="00E20250">
      <w:pPr>
        <w:pStyle w:val="Normaltableau0"/>
        <w:jc w:val="both"/>
        <w:rPr>
          <w:rFonts w:ascii="Times New Roman" w:hAnsi="Times New Roman"/>
          <w:b/>
          <w:color w:val="000000" w:themeColor="text1"/>
          <w:sz w:val="22"/>
          <w:szCs w:val="22"/>
        </w:rPr>
      </w:pPr>
      <w:r w:rsidRPr="00260790">
        <w:rPr>
          <w:rFonts w:ascii="Times New Roman" w:hAnsi="Times New Roman"/>
          <w:color w:val="000000" w:themeColor="text1"/>
          <w:sz w:val="22"/>
          <w:szCs w:val="22"/>
        </w:rPr>
        <w:t xml:space="preserve">Les lignes directrices présentées dans le tableau ci-dessous présentent les niveaux sonores </w:t>
      </w:r>
    </w:p>
    <w:p w14:paraId="40B2CFE4" w14:textId="77777777" w:rsidR="00DE241D" w:rsidRPr="00260790" w:rsidRDefault="00DE241D" w:rsidP="00E20250">
      <w:pPr>
        <w:pStyle w:val="Normaltableau0"/>
        <w:jc w:val="both"/>
        <w:rPr>
          <w:rFonts w:ascii="Times New Roman" w:hAnsi="Times New Roman"/>
          <w:color w:val="000000" w:themeColor="text1"/>
          <w:sz w:val="22"/>
          <w:szCs w:val="22"/>
        </w:rPr>
      </w:pPr>
      <w:r w:rsidRPr="00260790">
        <w:rPr>
          <w:rFonts w:ascii="Times New Roman" w:hAnsi="Times New Roman"/>
          <w:color w:val="000000" w:themeColor="text1"/>
          <w:sz w:val="22"/>
          <w:szCs w:val="22"/>
        </w:rPr>
        <w:t xml:space="preserve">Les principaux récepteurs des nuisances sonores sont les passants, les riverains et le personnel du projet.  </w:t>
      </w:r>
    </w:p>
    <w:p w14:paraId="26DE2EAD" w14:textId="77777777" w:rsidR="00DE241D" w:rsidRPr="00260790" w:rsidRDefault="00DE241D" w:rsidP="00E20250">
      <w:pPr>
        <w:pStyle w:val="Normaltableau0"/>
        <w:jc w:val="both"/>
        <w:rPr>
          <w:rFonts w:ascii="Times New Roman" w:hAnsi="Times New Roman"/>
          <w:color w:val="000000" w:themeColor="text1"/>
          <w:sz w:val="22"/>
          <w:szCs w:val="22"/>
        </w:rPr>
      </w:pPr>
      <w:r w:rsidRPr="00260790">
        <w:rPr>
          <w:rFonts w:ascii="Times New Roman" w:hAnsi="Times New Roman"/>
          <w:color w:val="000000" w:themeColor="text1"/>
          <w:sz w:val="22"/>
          <w:szCs w:val="22"/>
        </w:rPr>
        <w:t>Les niveaux sonores autorisés par la législation sénégalaise sont de 70dB(A) le jour et 40 dB(A) la nuit en limite de propriété. Ces valeurs devront être respectées dans le cadre du projet.</w:t>
      </w:r>
    </w:p>
    <w:p w14:paraId="7BCFDEF0" w14:textId="44375DB4" w:rsidR="00BA21A6" w:rsidRPr="00260790" w:rsidRDefault="00DE241D" w:rsidP="00E20250">
      <w:pPr>
        <w:pStyle w:val="Normaltableau0"/>
        <w:jc w:val="both"/>
        <w:rPr>
          <w:rFonts w:ascii="Times New Roman" w:hAnsi="Times New Roman"/>
          <w:color w:val="000000" w:themeColor="text1"/>
          <w:sz w:val="22"/>
          <w:szCs w:val="22"/>
        </w:rPr>
      </w:pPr>
      <w:r w:rsidRPr="00260790">
        <w:rPr>
          <w:rFonts w:ascii="Times New Roman" w:hAnsi="Times New Roman"/>
          <w:color w:val="000000" w:themeColor="text1"/>
          <w:sz w:val="22"/>
          <w:szCs w:val="22"/>
        </w:rPr>
        <w:t xml:space="preserve">Ci-dessous le résumé de l’analyse des nuisances sonores. </w:t>
      </w:r>
    </w:p>
    <w:p w14:paraId="04105F3F" w14:textId="77777777" w:rsidR="00A92B22" w:rsidRPr="00260790" w:rsidRDefault="00A92B22">
      <w:pPr>
        <w:spacing w:line="259" w:lineRule="auto"/>
        <w:rPr>
          <w:rFonts w:ascii="Times New Roman" w:hAnsi="Times New Roman"/>
          <w:bCs/>
          <w:i/>
          <w:iCs/>
          <w:color w:val="000000" w:themeColor="text1"/>
        </w:rPr>
      </w:pPr>
      <w:r w:rsidRPr="00260790">
        <w:rPr>
          <w:rFonts w:ascii="Times New Roman" w:hAnsi="Times New Roman"/>
          <w:bCs/>
          <w:i/>
          <w:iCs/>
          <w:color w:val="000000" w:themeColor="text1"/>
        </w:rPr>
        <w:br w:type="page"/>
      </w:r>
    </w:p>
    <w:p w14:paraId="17FADE42" w14:textId="065A3028" w:rsidR="00DE241D" w:rsidRPr="00260790" w:rsidRDefault="00DE241D" w:rsidP="00E20250">
      <w:pPr>
        <w:spacing w:after="4" w:line="240" w:lineRule="auto"/>
        <w:jc w:val="both"/>
        <w:rPr>
          <w:rFonts w:ascii="Times New Roman" w:hAnsi="Times New Roman"/>
          <w:bCs/>
          <w:i/>
          <w:iCs/>
          <w:color w:val="000000" w:themeColor="text1"/>
          <w:spacing w:val="-2"/>
        </w:rPr>
      </w:pPr>
      <w:bookmarkStart w:id="618" w:name="_Toc207781876"/>
      <w:r w:rsidRPr="00260790">
        <w:rPr>
          <w:rFonts w:ascii="Times New Roman" w:hAnsi="Times New Roman"/>
          <w:bCs/>
          <w:i/>
          <w:iCs/>
          <w:color w:val="000000" w:themeColor="text1"/>
        </w:rPr>
        <w:lastRenderedPageBreak/>
        <w:t xml:space="preserve">Tableau </w:t>
      </w:r>
      <w:r w:rsidRPr="00260790">
        <w:rPr>
          <w:rFonts w:ascii="Times New Roman" w:hAnsi="Times New Roman"/>
          <w:bCs/>
          <w:i/>
          <w:iCs/>
          <w:color w:val="000000" w:themeColor="text1"/>
        </w:rPr>
        <w:fldChar w:fldCharType="begin"/>
      </w:r>
      <w:r w:rsidRPr="00260790">
        <w:rPr>
          <w:rFonts w:ascii="Times New Roman" w:hAnsi="Times New Roman"/>
          <w:bCs/>
          <w:i/>
          <w:iCs/>
          <w:color w:val="000000" w:themeColor="text1"/>
        </w:rPr>
        <w:instrText xml:space="preserve"> SEQ Tableau \* ARABIC </w:instrText>
      </w:r>
      <w:r w:rsidRPr="00260790">
        <w:rPr>
          <w:rFonts w:ascii="Times New Roman" w:hAnsi="Times New Roman"/>
          <w:bCs/>
          <w:i/>
          <w:iCs/>
          <w:color w:val="000000" w:themeColor="text1"/>
        </w:rPr>
        <w:fldChar w:fldCharType="separate"/>
      </w:r>
      <w:r w:rsidR="003C783E">
        <w:rPr>
          <w:rFonts w:ascii="Times New Roman" w:hAnsi="Times New Roman"/>
          <w:bCs/>
          <w:i/>
          <w:iCs/>
          <w:noProof/>
          <w:color w:val="000000" w:themeColor="text1"/>
        </w:rPr>
        <w:t>35</w:t>
      </w:r>
      <w:r w:rsidRPr="00260790">
        <w:rPr>
          <w:rFonts w:ascii="Times New Roman" w:hAnsi="Times New Roman"/>
          <w:bCs/>
          <w:i/>
          <w:iCs/>
          <w:color w:val="000000" w:themeColor="text1"/>
        </w:rPr>
        <w:fldChar w:fldCharType="end"/>
      </w:r>
      <w:r w:rsidRPr="00260790">
        <w:rPr>
          <w:rFonts w:ascii="Times New Roman" w:hAnsi="Times New Roman"/>
          <w:bCs/>
          <w:i/>
          <w:iCs/>
          <w:color w:val="000000" w:themeColor="text1"/>
        </w:rPr>
        <w:t> :</w:t>
      </w:r>
      <w:r w:rsidRPr="00260790">
        <w:rPr>
          <w:rFonts w:ascii="Times New Roman" w:hAnsi="Times New Roman"/>
          <w:bCs/>
          <w:i/>
          <w:iCs/>
          <w:color w:val="000000" w:themeColor="text1"/>
          <w:spacing w:val="49"/>
        </w:rPr>
        <w:t xml:space="preserve"> </w:t>
      </w:r>
      <w:r w:rsidRPr="00260790">
        <w:rPr>
          <w:rFonts w:ascii="Times New Roman" w:hAnsi="Times New Roman"/>
          <w:bCs/>
          <w:i/>
          <w:iCs/>
          <w:color w:val="000000" w:themeColor="text1"/>
        </w:rPr>
        <w:t>résumé</w:t>
      </w:r>
      <w:r w:rsidRPr="00260790">
        <w:rPr>
          <w:rFonts w:ascii="Times New Roman" w:hAnsi="Times New Roman"/>
          <w:bCs/>
          <w:i/>
          <w:iCs/>
          <w:color w:val="000000" w:themeColor="text1"/>
          <w:spacing w:val="59"/>
        </w:rPr>
        <w:t xml:space="preserve"> </w:t>
      </w:r>
      <w:r w:rsidRPr="00260790">
        <w:rPr>
          <w:rFonts w:ascii="Times New Roman" w:hAnsi="Times New Roman"/>
          <w:bCs/>
          <w:i/>
          <w:iCs/>
          <w:color w:val="000000" w:themeColor="text1"/>
        </w:rPr>
        <w:t>de</w:t>
      </w:r>
      <w:r w:rsidRPr="00260790">
        <w:rPr>
          <w:rFonts w:ascii="Times New Roman" w:hAnsi="Times New Roman"/>
          <w:bCs/>
          <w:i/>
          <w:iCs/>
          <w:color w:val="000000" w:themeColor="text1"/>
          <w:spacing w:val="56"/>
        </w:rPr>
        <w:t xml:space="preserve"> </w:t>
      </w:r>
      <w:r w:rsidRPr="00260790">
        <w:rPr>
          <w:rFonts w:ascii="Times New Roman" w:hAnsi="Times New Roman"/>
          <w:bCs/>
          <w:i/>
          <w:iCs/>
          <w:color w:val="000000" w:themeColor="text1"/>
        </w:rPr>
        <w:t>l’évaluation</w:t>
      </w:r>
      <w:r w:rsidRPr="00260790">
        <w:rPr>
          <w:rFonts w:ascii="Times New Roman" w:hAnsi="Times New Roman"/>
          <w:bCs/>
          <w:i/>
          <w:iCs/>
          <w:color w:val="000000" w:themeColor="text1"/>
          <w:spacing w:val="57"/>
        </w:rPr>
        <w:t xml:space="preserve"> </w:t>
      </w:r>
      <w:r w:rsidRPr="00260790">
        <w:rPr>
          <w:rFonts w:ascii="Times New Roman" w:hAnsi="Times New Roman"/>
          <w:bCs/>
          <w:i/>
          <w:iCs/>
          <w:color w:val="000000" w:themeColor="text1"/>
        </w:rPr>
        <w:t>de</w:t>
      </w:r>
      <w:r w:rsidRPr="00260790">
        <w:rPr>
          <w:rFonts w:ascii="Times New Roman" w:hAnsi="Times New Roman"/>
          <w:bCs/>
          <w:i/>
          <w:iCs/>
          <w:color w:val="000000" w:themeColor="text1"/>
          <w:spacing w:val="59"/>
        </w:rPr>
        <w:t xml:space="preserve"> </w:t>
      </w:r>
      <w:r w:rsidRPr="00260790">
        <w:rPr>
          <w:rFonts w:ascii="Times New Roman" w:hAnsi="Times New Roman"/>
          <w:bCs/>
          <w:i/>
          <w:iCs/>
          <w:color w:val="000000" w:themeColor="text1"/>
        </w:rPr>
        <w:t>la</w:t>
      </w:r>
      <w:r w:rsidRPr="00260790">
        <w:rPr>
          <w:rFonts w:ascii="Times New Roman" w:hAnsi="Times New Roman"/>
          <w:bCs/>
          <w:i/>
          <w:iCs/>
          <w:color w:val="000000" w:themeColor="text1"/>
          <w:spacing w:val="49"/>
        </w:rPr>
        <w:t xml:space="preserve"> </w:t>
      </w:r>
      <w:r w:rsidRPr="00260790">
        <w:rPr>
          <w:rFonts w:ascii="Times New Roman" w:hAnsi="Times New Roman"/>
          <w:bCs/>
          <w:i/>
          <w:iCs/>
          <w:color w:val="000000" w:themeColor="text1"/>
        </w:rPr>
        <w:t>modification</w:t>
      </w:r>
      <w:r w:rsidRPr="00260790">
        <w:rPr>
          <w:rFonts w:ascii="Times New Roman" w:hAnsi="Times New Roman"/>
          <w:bCs/>
          <w:i/>
          <w:iCs/>
          <w:color w:val="000000" w:themeColor="text1"/>
          <w:spacing w:val="57"/>
        </w:rPr>
        <w:t xml:space="preserve"> </w:t>
      </w:r>
      <w:r w:rsidRPr="00260790">
        <w:rPr>
          <w:rFonts w:ascii="Times New Roman" w:hAnsi="Times New Roman"/>
          <w:bCs/>
          <w:i/>
          <w:iCs/>
          <w:color w:val="000000" w:themeColor="text1"/>
        </w:rPr>
        <w:t>de</w:t>
      </w:r>
      <w:r w:rsidRPr="00260790">
        <w:rPr>
          <w:rFonts w:ascii="Times New Roman" w:hAnsi="Times New Roman"/>
          <w:bCs/>
          <w:i/>
          <w:iCs/>
          <w:color w:val="000000" w:themeColor="text1"/>
          <w:spacing w:val="59"/>
        </w:rPr>
        <w:t xml:space="preserve"> </w:t>
      </w:r>
      <w:r w:rsidRPr="00260790">
        <w:rPr>
          <w:rFonts w:ascii="Times New Roman" w:hAnsi="Times New Roman"/>
          <w:bCs/>
          <w:i/>
          <w:iCs/>
          <w:color w:val="000000" w:themeColor="text1"/>
        </w:rPr>
        <w:t>l’ambiance</w:t>
      </w:r>
      <w:bookmarkEnd w:id="618"/>
      <w:r w:rsidRPr="00260790">
        <w:rPr>
          <w:rFonts w:ascii="Times New Roman" w:hAnsi="Times New Roman"/>
          <w:bCs/>
          <w:i/>
          <w:iCs/>
          <w:color w:val="000000" w:themeColor="text1"/>
          <w:spacing w:val="62"/>
        </w:rPr>
        <w:t xml:space="preserve"> </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92"/>
        <w:gridCol w:w="1489"/>
        <w:gridCol w:w="1488"/>
        <w:gridCol w:w="1488"/>
        <w:gridCol w:w="1495"/>
        <w:gridCol w:w="1508"/>
      </w:tblGrid>
      <w:tr w:rsidR="00BD1A2F" w:rsidRPr="00632C4D" w14:paraId="7BA09A05" w14:textId="77777777" w:rsidTr="003A0E4A">
        <w:trPr>
          <w:cantSplit/>
          <w:trHeight w:val="230"/>
        </w:trPr>
        <w:tc>
          <w:tcPr>
            <w:tcW w:w="5000" w:type="pct"/>
            <w:gridSpan w:val="6"/>
            <w:shd w:val="clear" w:color="auto" w:fill="D9E2F3" w:themeFill="accent5" w:themeFillTint="33"/>
          </w:tcPr>
          <w:p w14:paraId="0E2D519D" w14:textId="77777777" w:rsidR="00DE241D" w:rsidRPr="0097258B" w:rsidRDefault="00DE241D" w:rsidP="00E20250">
            <w:pPr>
              <w:pStyle w:val="TableParagraph"/>
              <w:rPr>
                <w:b/>
                <w:color w:val="000000" w:themeColor="text1"/>
                <w:sz w:val="20"/>
                <w:szCs w:val="20"/>
                <w:lang w:val="fr-FR"/>
              </w:rPr>
            </w:pPr>
            <w:r w:rsidRPr="0097258B">
              <w:rPr>
                <w:b/>
                <w:color w:val="000000" w:themeColor="text1"/>
                <w:sz w:val="20"/>
                <w:szCs w:val="20"/>
              </w:rPr>
              <w:t>IN-4.</w:t>
            </w:r>
            <w:r w:rsidRPr="0097258B">
              <w:rPr>
                <w:b/>
                <w:color w:val="000000" w:themeColor="text1"/>
                <w:spacing w:val="-9"/>
                <w:sz w:val="20"/>
                <w:szCs w:val="20"/>
              </w:rPr>
              <w:t xml:space="preserve"> </w:t>
            </w:r>
            <w:r w:rsidRPr="0097258B">
              <w:rPr>
                <w:b/>
                <w:color w:val="000000" w:themeColor="text1"/>
                <w:sz w:val="20"/>
                <w:szCs w:val="20"/>
              </w:rPr>
              <w:t>Nuisances</w:t>
            </w:r>
            <w:r w:rsidRPr="0097258B">
              <w:rPr>
                <w:b/>
                <w:color w:val="000000" w:themeColor="text1"/>
                <w:spacing w:val="-6"/>
                <w:sz w:val="20"/>
                <w:szCs w:val="20"/>
              </w:rPr>
              <w:t xml:space="preserve"> </w:t>
            </w:r>
            <w:proofErr w:type="spellStart"/>
            <w:r w:rsidRPr="0097258B">
              <w:rPr>
                <w:b/>
                <w:color w:val="000000" w:themeColor="text1"/>
                <w:spacing w:val="-2"/>
                <w:sz w:val="20"/>
                <w:szCs w:val="20"/>
              </w:rPr>
              <w:t>sonores</w:t>
            </w:r>
            <w:proofErr w:type="spellEnd"/>
            <w:r w:rsidRPr="0097258B">
              <w:rPr>
                <w:b/>
                <w:color w:val="000000" w:themeColor="text1"/>
                <w:spacing w:val="-2"/>
                <w:sz w:val="20"/>
                <w:szCs w:val="20"/>
              </w:rPr>
              <w:t xml:space="preserve"> </w:t>
            </w:r>
          </w:p>
        </w:tc>
      </w:tr>
      <w:tr w:rsidR="00BD1A2F" w:rsidRPr="00632C4D" w14:paraId="02DE5590" w14:textId="77777777" w:rsidTr="003A0E4A">
        <w:trPr>
          <w:cantSplit/>
          <w:trHeight w:val="230"/>
        </w:trPr>
        <w:tc>
          <w:tcPr>
            <w:tcW w:w="5000" w:type="pct"/>
            <w:gridSpan w:val="6"/>
          </w:tcPr>
          <w:p w14:paraId="5B41B58A" w14:textId="77777777" w:rsidR="00DE241D" w:rsidRPr="0097258B" w:rsidRDefault="00DE241D" w:rsidP="00E20250">
            <w:pPr>
              <w:pStyle w:val="TableParagraph"/>
              <w:ind w:left="57" w:right="217"/>
              <w:jc w:val="both"/>
              <w:rPr>
                <w:color w:val="000000" w:themeColor="text1"/>
                <w:sz w:val="20"/>
                <w:szCs w:val="20"/>
                <w:lang w:val="fr-FR"/>
              </w:rPr>
            </w:pPr>
            <w:r w:rsidRPr="00301AF6">
              <w:rPr>
                <w:b/>
                <w:bCs/>
                <w:color w:val="000000" w:themeColor="text1"/>
                <w:sz w:val="20"/>
                <w:szCs w:val="20"/>
                <w:lang w:val="fr-FR"/>
              </w:rPr>
              <w:t>Activités sources :</w:t>
            </w:r>
            <w:r w:rsidRPr="00301AF6">
              <w:rPr>
                <w:color w:val="000000" w:themeColor="text1"/>
                <w:sz w:val="20"/>
                <w:szCs w:val="20"/>
                <w:lang w:val="fr-FR"/>
              </w:rPr>
              <w:t xml:space="preserve"> transport/circulation, fonctionnement des véhicules engins, démolitions des constructions</w:t>
            </w:r>
          </w:p>
        </w:tc>
      </w:tr>
      <w:tr w:rsidR="00BD1A2F" w:rsidRPr="00632C4D" w14:paraId="415CC232" w14:textId="77777777" w:rsidTr="003A0E4A">
        <w:trPr>
          <w:cantSplit/>
          <w:trHeight w:val="230"/>
        </w:trPr>
        <w:tc>
          <w:tcPr>
            <w:tcW w:w="879" w:type="pct"/>
          </w:tcPr>
          <w:p w14:paraId="26853467" w14:textId="77777777" w:rsidR="00DE241D" w:rsidRPr="0097258B" w:rsidRDefault="00DE241D" w:rsidP="00E20250">
            <w:pPr>
              <w:pStyle w:val="TableParagraph"/>
              <w:ind w:left="57" w:right="217"/>
              <w:jc w:val="both"/>
              <w:rPr>
                <w:color w:val="000000" w:themeColor="text1"/>
                <w:sz w:val="20"/>
                <w:szCs w:val="20"/>
                <w:lang w:val="fr-FR"/>
              </w:rPr>
            </w:pPr>
            <w:proofErr w:type="spellStart"/>
            <w:r w:rsidRPr="0097258B">
              <w:rPr>
                <w:color w:val="000000" w:themeColor="text1"/>
                <w:sz w:val="20"/>
                <w:szCs w:val="20"/>
              </w:rPr>
              <w:t>Critère</w:t>
            </w:r>
            <w:proofErr w:type="spellEnd"/>
          </w:p>
        </w:tc>
        <w:tc>
          <w:tcPr>
            <w:tcW w:w="822" w:type="pct"/>
          </w:tcPr>
          <w:p w14:paraId="5F382B03" w14:textId="77777777" w:rsidR="00DE241D" w:rsidRPr="0097258B" w:rsidRDefault="00DE241D" w:rsidP="00E20250">
            <w:pPr>
              <w:pStyle w:val="TableParagraph"/>
              <w:ind w:left="57" w:right="290"/>
              <w:jc w:val="center"/>
              <w:rPr>
                <w:b/>
                <w:color w:val="000000" w:themeColor="text1"/>
                <w:sz w:val="20"/>
                <w:szCs w:val="20"/>
                <w:lang w:val="fr-FR"/>
              </w:rPr>
            </w:pPr>
            <w:proofErr w:type="spellStart"/>
            <w:r w:rsidRPr="0097258B">
              <w:rPr>
                <w:b/>
                <w:color w:val="000000" w:themeColor="text1"/>
                <w:spacing w:val="-2"/>
                <w:sz w:val="20"/>
                <w:szCs w:val="20"/>
              </w:rPr>
              <w:t>Intensité</w:t>
            </w:r>
            <w:proofErr w:type="spellEnd"/>
          </w:p>
        </w:tc>
        <w:tc>
          <w:tcPr>
            <w:tcW w:w="821" w:type="pct"/>
          </w:tcPr>
          <w:p w14:paraId="08D6E989" w14:textId="1B12926B" w:rsidR="00DE241D" w:rsidRPr="0097258B" w:rsidRDefault="00F11A3D" w:rsidP="00E20250">
            <w:pPr>
              <w:pStyle w:val="TableParagraph"/>
              <w:ind w:left="57" w:right="219"/>
              <w:jc w:val="center"/>
              <w:rPr>
                <w:b/>
                <w:color w:val="000000" w:themeColor="text1"/>
                <w:sz w:val="20"/>
                <w:szCs w:val="20"/>
                <w:lang w:val="fr-FR"/>
              </w:rPr>
            </w:pPr>
            <w:proofErr w:type="spellStart"/>
            <w:r w:rsidRPr="0097258B">
              <w:rPr>
                <w:b/>
                <w:color w:val="000000" w:themeColor="text1"/>
                <w:spacing w:val="-2"/>
                <w:sz w:val="20"/>
                <w:szCs w:val="20"/>
              </w:rPr>
              <w:t>Étendue</w:t>
            </w:r>
            <w:proofErr w:type="spellEnd"/>
          </w:p>
        </w:tc>
        <w:tc>
          <w:tcPr>
            <w:tcW w:w="821" w:type="pct"/>
          </w:tcPr>
          <w:p w14:paraId="37C9DF46" w14:textId="77777777" w:rsidR="00DE241D" w:rsidRPr="0097258B" w:rsidRDefault="00DE241D" w:rsidP="00E20250">
            <w:pPr>
              <w:pStyle w:val="TableParagraph"/>
              <w:ind w:left="57" w:right="213"/>
              <w:jc w:val="center"/>
              <w:rPr>
                <w:b/>
                <w:color w:val="000000" w:themeColor="text1"/>
                <w:sz w:val="20"/>
                <w:szCs w:val="20"/>
                <w:lang w:val="fr-FR"/>
              </w:rPr>
            </w:pPr>
            <w:r w:rsidRPr="0097258B">
              <w:rPr>
                <w:b/>
                <w:color w:val="000000" w:themeColor="text1"/>
                <w:spacing w:val="-2"/>
                <w:sz w:val="20"/>
                <w:szCs w:val="20"/>
              </w:rPr>
              <w:t>Durée</w:t>
            </w:r>
          </w:p>
        </w:tc>
        <w:tc>
          <w:tcPr>
            <w:tcW w:w="825" w:type="pct"/>
          </w:tcPr>
          <w:p w14:paraId="5687443D" w14:textId="77777777" w:rsidR="00DE241D" w:rsidRPr="0097258B" w:rsidRDefault="00DE241D" w:rsidP="00E20250">
            <w:pPr>
              <w:pStyle w:val="TableParagraph"/>
              <w:ind w:left="57" w:right="114"/>
              <w:jc w:val="center"/>
              <w:rPr>
                <w:b/>
                <w:color w:val="000000" w:themeColor="text1"/>
                <w:sz w:val="20"/>
                <w:szCs w:val="20"/>
                <w:lang w:val="fr-FR"/>
              </w:rPr>
            </w:pPr>
            <w:r w:rsidRPr="0097258B">
              <w:rPr>
                <w:b/>
                <w:color w:val="000000" w:themeColor="text1"/>
                <w:spacing w:val="-2"/>
                <w:sz w:val="20"/>
                <w:szCs w:val="20"/>
              </w:rPr>
              <w:t>Importance</w:t>
            </w:r>
          </w:p>
        </w:tc>
        <w:tc>
          <w:tcPr>
            <w:tcW w:w="833" w:type="pct"/>
          </w:tcPr>
          <w:p w14:paraId="1E51C0C3" w14:textId="77777777" w:rsidR="00DE241D" w:rsidRPr="0097258B" w:rsidRDefault="00DE241D" w:rsidP="00E20250">
            <w:pPr>
              <w:pStyle w:val="TableParagraph"/>
              <w:ind w:left="57"/>
              <w:jc w:val="center"/>
              <w:rPr>
                <w:b/>
                <w:color w:val="000000" w:themeColor="text1"/>
                <w:sz w:val="20"/>
                <w:szCs w:val="20"/>
                <w:lang w:val="fr-FR"/>
              </w:rPr>
            </w:pPr>
            <w:proofErr w:type="spellStart"/>
            <w:r w:rsidRPr="0097258B">
              <w:rPr>
                <w:b/>
                <w:color w:val="000000" w:themeColor="text1"/>
                <w:spacing w:val="-2"/>
                <w:sz w:val="20"/>
                <w:szCs w:val="20"/>
              </w:rPr>
              <w:t>Réversibilité</w:t>
            </w:r>
            <w:proofErr w:type="spellEnd"/>
          </w:p>
        </w:tc>
      </w:tr>
      <w:tr w:rsidR="00BD1A2F" w:rsidRPr="00632C4D" w14:paraId="2E510AD1" w14:textId="77777777" w:rsidTr="003A0E4A">
        <w:trPr>
          <w:trHeight w:val="460"/>
          <w:tblHeader/>
        </w:trPr>
        <w:tc>
          <w:tcPr>
            <w:tcW w:w="879" w:type="pct"/>
          </w:tcPr>
          <w:p w14:paraId="1E92CB56" w14:textId="77777777" w:rsidR="00DE241D" w:rsidRPr="0097258B" w:rsidRDefault="00DE241D" w:rsidP="00E20250">
            <w:pPr>
              <w:pStyle w:val="TableParagraph"/>
              <w:ind w:left="57" w:right="217"/>
              <w:jc w:val="both"/>
              <w:rPr>
                <w:color w:val="000000" w:themeColor="text1"/>
                <w:sz w:val="20"/>
                <w:szCs w:val="20"/>
                <w:lang w:val="fr-FR"/>
              </w:rPr>
            </w:pPr>
            <w:r w:rsidRPr="0097258B">
              <w:rPr>
                <w:color w:val="000000" w:themeColor="text1"/>
                <w:sz w:val="20"/>
                <w:szCs w:val="20"/>
              </w:rPr>
              <w:t xml:space="preserve">Sans </w:t>
            </w:r>
            <w:proofErr w:type="spellStart"/>
            <w:r w:rsidRPr="0097258B">
              <w:rPr>
                <w:color w:val="000000" w:themeColor="text1"/>
                <w:sz w:val="20"/>
                <w:szCs w:val="20"/>
              </w:rPr>
              <w:t>atténuation</w:t>
            </w:r>
            <w:proofErr w:type="spellEnd"/>
          </w:p>
        </w:tc>
        <w:tc>
          <w:tcPr>
            <w:tcW w:w="822" w:type="pct"/>
          </w:tcPr>
          <w:p w14:paraId="008F6D8D" w14:textId="77777777" w:rsidR="00DE241D" w:rsidRPr="0097258B" w:rsidRDefault="00DE241D" w:rsidP="00E20250">
            <w:pPr>
              <w:pStyle w:val="TableParagraph"/>
              <w:ind w:left="57" w:right="290"/>
              <w:jc w:val="center"/>
              <w:rPr>
                <w:b/>
                <w:color w:val="000000" w:themeColor="text1"/>
                <w:sz w:val="20"/>
                <w:szCs w:val="20"/>
                <w:lang w:val="fr-FR"/>
              </w:rPr>
            </w:pPr>
            <w:r w:rsidRPr="0097258B">
              <w:rPr>
                <w:b/>
                <w:color w:val="000000" w:themeColor="text1"/>
                <w:spacing w:val="-2"/>
                <w:sz w:val="20"/>
                <w:szCs w:val="20"/>
              </w:rPr>
              <w:t xml:space="preserve">Moyenne </w:t>
            </w:r>
          </w:p>
        </w:tc>
        <w:tc>
          <w:tcPr>
            <w:tcW w:w="821" w:type="pct"/>
          </w:tcPr>
          <w:p w14:paraId="196A5C65" w14:textId="77777777" w:rsidR="00DE241D" w:rsidRPr="0097258B" w:rsidRDefault="00DE241D" w:rsidP="00E20250">
            <w:pPr>
              <w:pStyle w:val="TableParagraph"/>
              <w:ind w:left="57" w:right="216"/>
              <w:jc w:val="center"/>
              <w:rPr>
                <w:b/>
                <w:color w:val="000000" w:themeColor="text1"/>
                <w:sz w:val="20"/>
                <w:szCs w:val="20"/>
                <w:lang w:val="fr-FR"/>
              </w:rPr>
            </w:pPr>
            <w:r w:rsidRPr="0097258B">
              <w:rPr>
                <w:b/>
                <w:color w:val="000000" w:themeColor="text1"/>
                <w:spacing w:val="-2"/>
                <w:sz w:val="20"/>
                <w:szCs w:val="20"/>
              </w:rPr>
              <w:t>Locale</w:t>
            </w:r>
          </w:p>
        </w:tc>
        <w:tc>
          <w:tcPr>
            <w:tcW w:w="821" w:type="pct"/>
          </w:tcPr>
          <w:p w14:paraId="20673B94" w14:textId="77777777" w:rsidR="00DE241D" w:rsidRPr="0097258B" w:rsidRDefault="00DE241D" w:rsidP="00E20250">
            <w:pPr>
              <w:pStyle w:val="TableParagraph"/>
              <w:ind w:left="57" w:right="217"/>
              <w:jc w:val="center"/>
              <w:rPr>
                <w:b/>
                <w:color w:val="000000" w:themeColor="text1"/>
                <w:sz w:val="20"/>
                <w:szCs w:val="20"/>
                <w:lang w:val="fr-FR"/>
              </w:rPr>
            </w:pPr>
            <w:r w:rsidRPr="0097258B">
              <w:rPr>
                <w:b/>
                <w:color w:val="000000" w:themeColor="text1"/>
                <w:spacing w:val="-2"/>
                <w:sz w:val="20"/>
                <w:szCs w:val="20"/>
              </w:rPr>
              <w:t>Courte</w:t>
            </w:r>
          </w:p>
        </w:tc>
        <w:tc>
          <w:tcPr>
            <w:tcW w:w="825" w:type="pct"/>
            <w:shd w:val="clear" w:color="auto" w:fill="FFFF00"/>
          </w:tcPr>
          <w:p w14:paraId="3365542D" w14:textId="77777777" w:rsidR="00DE241D" w:rsidRPr="0097258B" w:rsidRDefault="00DE241D" w:rsidP="00E20250">
            <w:pPr>
              <w:pStyle w:val="TableParagraph"/>
              <w:ind w:left="57" w:right="114"/>
              <w:jc w:val="center"/>
              <w:rPr>
                <w:b/>
                <w:color w:val="000000" w:themeColor="text1"/>
                <w:sz w:val="20"/>
                <w:szCs w:val="20"/>
                <w:lang w:val="fr-FR"/>
              </w:rPr>
            </w:pPr>
            <w:proofErr w:type="spellStart"/>
            <w:r w:rsidRPr="0097258B">
              <w:rPr>
                <w:b/>
                <w:color w:val="000000" w:themeColor="text1"/>
                <w:spacing w:val="-2"/>
                <w:sz w:val="20"/>
                <w:szCs w:val="20"/>
              </w:rPr>
              <w:t>Mineure</w:t>
            </w:r>
            <w:proofErr w:type="spellEnd"/>
            <w:r w:rsidRPr="0097258B">
              <w:rPr>
                <w:b/>
                <w:color w:val="000000" w:themeColor="text1"/>
                <w:spacing w:val="-2"/>
                <w:sz w:val="20"/>
                <w:szCs w:val="20"/>
              </w:rPr>
              <w:t xml:space="preserve"> </w:t>
            </w:r>
          </w:p>
        </w:tc>
        <w:tc>
          <w:tcPr>
            <w:tcW w:w="833" w:type="pct"/>
          </w:tcPr>
          <w:p w14:paraId="515B1568" w14:textId="77777777" w:rsidR="00DE241D" w:rsidRPr="0097258B" w:rsidRDefault="00DE241D" w:rsidP="00E20250">
            <w:pPr>
              <w:pStyle w:val="TableParagraph"/>
              <w:ind w:left="57"/>
              <w:jc w:val="center"/>
              <w:rPr>
                <w:b/>
                <w:color w:val="000000" w:themeColor="text1"/>
                <w:sz w:val="20"/>
                <w:szCs w:val="20"/>
                <w:lang w:val="fr-FR"/>
              </w:rPr>
            </w:pPr>
            <w:proofErr w:type="spellStart"/>
            <w:r w:rsidRPr="0097258B">
              <w:rPr>
                <w:b/>
                <w:color w:val="000000" w:themeColor="text1"/>
                <w:spacing w:val="-2"/>
                <w:sz w:val="20"/>
                <w:szCs w:val="20"/>
              </w:rPr>
              <w:t>Réversible</w:t>
            </w:r>
            <w:proofErr w:type="spellEnd"/>
          </w:p>
        </w:tc>
      </w:tr>
      <w:tr w:rsidR="00BD1A2F" w:rsidRPr="00632C4D" w14:paraId="1DA14BA7" w14:textId="77777777" w:rsidTr="003A0E4A">
        <w:trPr>
          <w:trHeight w:val="557"/>
        </w:trPr>
        <w:tc>
          <w:tcPr>
            <w:tcW w:w="879" w:type="pct"/>
          </w:tcPr>
          <w:p w14:paraId="7618AF6A" w14:textId="77777777" w:rsidR="00DE241D" w:rsidRPr="0097258B" w:rsidRDefault="00DE241D" w:rsidP="00E20250">
            <w:pPr>
              <w:pStyle w:val="TableParagraph"/>
              <w:ind w:left="57" w:right="217"/>
              <w:jc w:val="both"/>
              <w:rPr>
                <w:color w:val="000000" w:themeColor="text1"/>
                <w:sz w:val="20"/>
                <w:szCs w:val="20"/>
                <w:lang w:val="fr-FR"/>
              </w:rPr>
            </w:pPr>
          </w:p>
          <w:p w14:paraId="2C0E7E41" w14:textId="77777777" w:rsidR="00DE241D" w:rsidRPr="0097258B" w:rsidRDefault="00DE241D" w:rsidP="00E20250">
            <w:pPr>
              <w:pStyle w:val="TableParagraph"/>
              <w:ind w:left="57" w:right="217"/>
              <w:jc w:val="both"/>
              <w:rPr>
                <w:color w:val="000000" w:themeColor="text1"/>
                <w:sz w:val="20"/>
                <w:szCs w:val="20"/>
                <w:lang w:val="fr-FR"/>
              </w:rPr>
            </w:pPr>
          </w:p>
          <w:p w14:paraId="430E4A1F" w14:textId="77777777" w:rsidR="00DE241D" w:rsidRPr="0097258B" w:rsidRDefault="00DE241D" w:rsidP="00E20250">
            <w:pPr>
              <w:pStyle w:val="TableParagraph"/>
              <w:ind w:left="57" w:right="217"/>
              <w:jc w:val="both"/>
              <w:rPr>
                <w:color w:val="000000" w:themeColor="text1"/>
                <w:sz w:val="20"/>
                <w:szCs w:val="20"/>
                <w:lang w:val="fr-FR"/>
              </w:rPr>
            </w:pPr>
          </w:p>
          <w:p w14:paraId="163E5E2E" w14:textId="77777777" w:rsidR="00DE241D" w:rsidRPr="0097258B" w:rsidRDefault="00DE241D" w:rsidP="00E20250">
            <w:pPr>
              <w:pStyle w:val="TableParagraph"/>
              <w:ind w:left="57" w:right="217"/>
              <w:jc w:val="both"/>
              <w:rPr>
                <w:color w:val="000000" w:themeColor="text1"/>
                <w:sz w:val="20"/>
                <w:szCs w:val="20"/>
                <w:lang w:val="fr-FR"/>
              </w:rPr>
            </w:pPr>
          </w:p>
          <w:p w14:paraId="71AFD928" w14:textId="77777777" w:rsidR="00DE241D" w:rsidRPr="0097258B" w:rsidRDefault="00DE241D" w:rsidP="00E20250">
            <w:pPr>
              <w:pStyle w:val="TableParagraph"/>
              <w:ind w:left="57" w:right="217"/>
              <w:jc w:val="both"/>
              <w:rPr>
                <w:color w:val="000000" w:themeColor="text1"/>
                <w:sz w:val="20"/>
                <w:szCs w:val="20"/>
                <w:lang w:val="fr-FR"/>
              </w:rPr>
            </w:pPr>
          </w:p>
          <w:p w14:paraId="022ADA8E" w14:textId="77777777" w:rsidR="00DE241D" w:rsidRPr="0097258B" w:rsidRDefault="00DE241D" w:rsidP="00E20250">
            <w:pPr>
              <w:pStyle w:val="TableParagraph"/>
              <w:ind w:left="57" w:right="217"/>
              <w:jc w:val="both"/>
              <w:rPr>
                <w:color w:val="000000" w:themeColor="text1"/>
                <w:sz w:val="20"/>
                <w:szCs w:val="20"/>
                <w:lang w:val="fr-FR"/>
              </w:rPr>
            </w:pPr>
          </w:p>
          <w:p w14:paraId="410F395A" w14:textId="77777777" w:rsidR="00DE241D" w:rsidRPr="0097258B" w:rsidRDefault="00DE241D" w:rsidP="00E20250">
            <w:pPr>
              <w:pStyle w:val="TableParagraph"/>
              <w:ind w:left="57" w:right="217"/>
              <w:jc w:val="both"/>
              <w:rPr>
                <w:color w:val="000000" w:themeColor="text1"/>
                <w:sz w:val="20"/>
                <w:szCs w:val="20"/>
                <w:lang w:val="fr-FR"/>
              </w:rPr>
            </w:pPr>
          </w:p>
          <w:p w14:paraId="0017FB48" w14:textId="77777777" w:rsidR="00DE241D" w:rsidRPr="0097258B" w:rsidRDefault="00DE241D" w:rsidP="00E20250">
            <w:pPr>
              <w:pStyle w:val="TableParagraph"/>
              <w:ind w:left="57" w:right="217"/>
              <w:jc w:val="both"/>
              <w:rPr>
                <w:color w:val="000000" w:themeColor="text1"/>
                <w:sz w:val="20"/>
                <w:szCs w:val="20"/>
                <w:lang w:val="fr-FR"/>
              </w:rPr>
            </w:pPr>
            <w:proofErr w:type="spellStart"/>
            <w:r w:rsidRPr="0097258B">
              <w:rPr>
                <w:color w:val="000000" w:themeColor="text1"/>
                <w:sz w:val="20"/>
                <w:szCs w:val="20"/>
              </w:rPr>
              <w:t>Mesures</w:t>
            </w:r>
            <w:proofErr w:type="spellEnd"/>
            <w:r w:rsidRPr="0097258B">
              <w:rPr>
                <w:color w:val="000000" w:themeColor="text1"/>
                <w:sz w:val="20"/>
                <w:szCs w:val="20"/>
              </w:rPr>
              <w:t xml:space="preserve"> </w:t>
            </w:r>
            <w:proofErr w:type="spellStart"/>
            <w:r w:rsidRPr="0097258B">
              <w:rPr>
                <w:color w:val="000000" w:themeColor="text1"/>
                <w:sz w:val="20"/>
                <w:szCs w:val="20"/>
              </w:rPr>
              <w:t>d'atténuation</w:t>
            </w:r>
            <w:proofErr w:type="spellEnd"/>
          </w:p>
        </w:tc>
        <w:tc>
          <w:tcPr>
            <w:tcW w:w="4121" w:type="pct"/>
            <w:gridSpan w:val="5"/>
          </w:tcPr>
          <w:p w14:paraId="330FAB82" w14:textId="77777777" w:rsidR="00DE241D" w:rsidRPr="0097258B" w:rsidRDefault="00DE241D" w:rsidP="001748C6">
            <w:pPr>
              <w:pStyle w:val="Paragraphedeliste"/>
              <w:widowControl/>
              <w:numPr>
                <w:ilvl w:val="0"/>
                <w:numId w:val="325"/>
              </w:numPr>
              <w:spacing w:after="120" w:line="240" w:lineRule="auto"/>
              <w:ind w:right="57"/>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Privilégier la réduction à la source de bruits et vibrations en optant pour les équipements les plus performants en termes de réduction des émissions sonores ;</w:t>
            </w:r>
          </w:p>
          <w:p w14:paraId="7B337676" w14:textId="77777777" w:rsidR="00DE241D" w:rsidRPr="0097258B" w:rsidRDefault="00DE241D" w:rsidP="001748C6">
            <w:pPr>
              <w:pStyle w:val="Paragraphedeliste"/>
              <w:widowControl/>
              <w:numPr>
                <w:ilvl w:val="0"/>
                <w:numId w:val="325"/>
              </w:numPr>
              <w:spacing w:after="120" w:line="240" w:lineRule="auto"/>
              <w:ind w:right="57"/>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 xml:space="preserve">Limiter le temps d’exposition du personnel aux bruits ; </w:t>
            </w:r>
          </w:p>
          <w:p w14:paraId="00548B5A" w14:textId="77777777" w:rsidR="00DE241D" w:rsidRPr="0097258B" w:rsidRDefault="00DE241D" w:rsidP="001748C6">
            <w:pPr>
              <w:pStyle w:val="Paragraphedeliste"/>
              <w:widowControl/>
              <w:numPr>
                <w:ilvl w:val="0"/>
                <w:numId w:val="325"/>
              </w:numPr>
              <w:spacing w:after="120" w:line="240" w:lineRule="auto"/>
              <w:ind w:right="57"/>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 xml:space="preserve">Assurer l’entretien régulier des équipements, en particulier des équipements de transport ; </w:t>
            </w:r>
          </w:p>
          <w:p w14:paraId="4672A02F" w14:textId="77777777" w:rsidR="00DE241D" w:rsidRPr="0097258B" w:rsidRDefault="00DE241D" w:rsidP="001748C6">
            <w:pPr>
              <w:pStyle w:val="Paragraphedeliste"/>
              <w:widowControl/>
              <w:numPr>
                <w:ilvl w:val="0"/>
                <w:numId w:val="325"/>
              </w:numPr>
              <w:spacing w:after="120" w:line="240" w:lineRule="auto"/>
              <w:ind w:right="57"/>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Installation de dispositifs d’insonorisation appropriés sur le pot d’échappement des moteurs ;</w:t>
            </w:r>
          </w:p>
          <w:p w14:paraId="36781686" w14:textId="77777777" w:rsidR="00DE241D" w:rsidRPr="0097258B" w:rsidRDefault="00DE241D" w:rsidP="001748C6">
            <w:pPr>
              <w:pStyle w:val="Paragraphedeliste"/>
              <w:widowControl/>
              <w:numPr>
                <w:ilvl w:val="0"/>
                <w:numId w:val="325"/>
              </w:numPr>
              <w:spacing w:after="120" w:line="240" w:lineRule="auto"/>
              <w:ind w:right="57"/>
              <w:jc w:val="both"/>
              <w:rPr>
                <w:rFonts w:ascii="Times New Roman" w:eastAsiaTheme="minorHAnsi" w:hAnsi="Times New Roman"/>
                <w:color w:val="000000" w:themeColor="text1"/>
                <w:sz w:val="20"/>
                <w:szCs w:val="20"/>
                <w:lang w:val="fr-FR"/>
              </w:rPr>
            </w:pPr>
            <w:r w:rsidRPr="00301AF6">
              <w:rPr>
                <w:rFonts w:ascii="Times New Roman" w:hAnsi="Times New Roman"/>
                <w:color w:val="000000" w:themeColor="text1"/>
                <w:sz w:val="20"/>
                <w:szCs w:val="20"/>
                <w:lang w:val="fr-FR"/>
              </w:rPr>
              <w:t>Sensibiliser les travailleurs aux risques liés à l’exposition prolongée aux bruits,</w:t>
            </w:r>
          </w:p>
          <w:p w14:paraId="3804E6AD" w14:textId="3287C60C" w:rsidR="00DE241D" w:rsidRPr="0097258B" w:rsidRDefault="00DE241D" w:rsidP="001748C6">
            <w:pPr>
              <w:pStyle w:val="Paragraphedeliste"/>
              <w:widowControl/>
              <w:numPr>
                <w:ilvl w:val="0"/>
                <w:numId w:val="325"/>
              </w:numPr>
              <w:spacing w:after="120" w:line="240" w:lineRule="auto"/>
              <w:ind w:right="57"/>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Doter les travailleurs d’EPI appropriés (bouchon, casque antibruit) et en exiger le port partout où les conditions de travail et/ou les règles de sécurité l’exigent ;</w:t>
            </w:r>
          </w:p>
          <w:p w14:paraId="2F124614" w14:textId="77777777" w:rsidR="00DE241D" w:rsidRPr="0097258B" w:rsidRDefault="00DE241D" w:rsidP="001748C6">
            <w:pPr>
              <w:pStyle w:val="Paragraphedeliste"/>
              <w:widowControl/>
              <w:numPr>
                <w:ilvl w:val="0"/>
                <w:numId w:val="325"/>
              </w:numPr>
              <w:spacing w:after="120" w:line="240" w:lineRule="auto"/>
              <w:ind w:right="57"/>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Assurer un suivi médical spécial des travailleurs exposés aux bruits ;</w:t>
            </w:r>
          </w:p>
          <w:p w14:paraId="6B172ED3" w14:textId="1DC59686" w:rsidR="00DE241D" w:rsidRPr="0097258B" w:rsidRDefault="00E221B6" w:rsidP="001748C6">
            <w:pPr>
              <w:pStyle w:val="Paragraphedeliste"/>
              <w:widowControl/>
              <w:numPr>
                <w:ilvl w:val="0"/>
                <w:numId w:val="325"/>
              </w:numPr>
              <w:spacing w:after="100" w:afterAutospacing="1" w:line="240" w:lineRule="auto"/>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É</w:t>
            </w:r>
            <w:r w:rsidR="00DE241D" w:rsidRPr="00301AF6">
              <w:rPr>
                <w:rFonts w:ascii="Times New Roman" w:hAnsi="Times New Roman"/>
                <w:color w:val="000000" w:themeColor="text1"/>
                <w:sz w:val="20"/>
                <w:szCs w:val="20"/>
                <w:lang w:val="fr-FR"/>
              </w:rPr>
              <w:t xml:space="preserve">viter le travail de nuit et aux heures de prière et de repos de populations ; et maintenir les niveaux sonores en dessous de 60dB(A) le jour. </w:t>
            </w:r>
          </w:p>
          <w:p w14:paraId="736C5261" w14:textId="77777777" w:rsidR="00DE241D" w:rsidRPr="0097258B" w:rsidRDefault="00DE241D" w:rsidP="001748C6">
            <w:pPr>
              <w:pStyle w:val="TableParagraph"/>
              <w:numPr>
                <w:ilvl w:val="0"/>
                <w:numId w:val="325"/>
              </w:numPr>
              <w:tabs>
                <w:tab w:val="left" w:pos="467"/>
                <w:tab w:val="left" w:pos="468"/>
              </w:tabs>
              <w:ind w:right="100"/>
              <w:rPr>
                <w:color w:val="000000" w:themeColor="text1"/>
                <w:sz w:val="20"/>
                <w:szCs w:val="20"/>
                <w:lang w:val="fr-FR"/>
              </w:rPr>
            </w:pPr>
            <w:r w:rsidRPr="00301AF6">
              <w:rPr>
                <w:color w:val="000000" w:themeColor="text1"/>
                <w:sz w:val="20"/>
                <w:szCs w:val="20"/>
                <w:lang w:val="fr-FR"/>
              </w:rPr>
              <w:t>Informer</w:t>
            </w:r>
            <w:r w:rsidRPr="00301AF6">
              <w:rPr>
                <w:color w:val="000000" w:themeColor="text1"/>
                <w:spacing w:val="-9"/>
                <w:sz w:val="20"/>
                <w:szCs w:val="20"/>
                <w:lang w:val="fr-FR"/>
              </w:rPr>
              <w:t xml:space="preserve"> </w:t>
            </w:r>
            <w:r w:rsidRPr="00301AF6">
              <w:rPr>
                <w:color w:val="000000" w:themeColor="text1"/>
                <w:sz w:val="20"/>
                <w:szCs w:val="20"/>
                <w:lang w:val="fr-FR"/>
              </w:rPr>
              <w:t>les</w:t>
            </w:r>
            <w:r w:rsidRPr="00301AF6">
              <w:rPr>
                <w:color w:val="000000" w:themeColor="text1"/>
                <w:spacing w:val="-7"/>
                <w:sz w:val="20"/>
                <w:szCs w:val="20"/>
                <w:lang w:val="fr-FR"/>
              </w:rPr>
              <w:t xml:space="preserve"> </w:t>
            </w:r>
            <w:r w:rsidRPr="00301AF6">
              <w:rPr>
                <w:color w:val="000000" w:themeColor="text1"/>
                <w:sz w:val="20"/>
                <w:szCs w:val="20"/>
                <w:lang w:val="fr-FR"/>
              </w:rPr>
              <w:t>riverains</w:t>
            </w:r>
            <w:r w:rsidRPr="00301AF6">
              <w:rPr>
                <w:color w:val="000000" w:themeColor="text1"/>
                <w:spacing w:val="-6"/>
                <w:sz w:val="20"/>
                <w:szCs w:val="20"/>
                <w:lang w:val="fr-FR"/>
              </w:rPr>
              <w:t xml:space="preserve"> </w:t>
            </w:r>
            <w:r w:rsidRPr="00301AF6">
              <w:rPr>
                <w:color w:val="000000" w:themeColor="text1"/>
                <w:sz w:val="20"/>
                <w:szCs w:val="20"/>
                <w:lang w:val="fr-FR"/>
              </w:rPr>
              <w:t>avant</w:t>
            </w:r>
            <w:r w:rsidRPr="00301AF6">
              <w:rPr>
                <w:color w:val="000000" w:themeColor="text1"/>
                <w:spacing w:val="-7"/>
                <w:sz w:val="20"/>
                <w:szCs w:val="20"/>
                <w:lang w:val="fr-FR"/>
              </w:rPr>
              <w:t xml:space="preserve"> </w:t>
            </w:r>
            <w:r w:rsidRPr="00301AF6">
              <w:rPr>
                <w:color w:val="000000" w:themeColor="text1"/>
                <w:sz w:val="20"/>
                <w:szCs w:val="20"/>
                <w:lang w:val="fr-FR"/>
              </w:rPr>
              <w:t>le</w:t>
            </w:r>
            <w:r w:rsidRPr="00301AF6">
              <w:rPr>
                <w:color w:val="000000" w:themeColor="text1"/>
                <w:spacing w:val="-6"/>
                <w:sz w:val="20"/>
                <w:szCs w:val="20"/>
                <w:lang w:val="fr-FR"/>
              </w:rPr>
              <w:t xml:space="preserve"> </w:t>
            </w:r>
            <w:r w:rsidRPr="00301AF6">
              <w:rPr>
                <w:color w:val="000000" w:themeColor="text1"/>
                <w:sz w:val="20"/>
                <w:szCs w:val="20"/>
                <w:lang w:val="fr-FR"/>
              </w:rPr>
              <w:t>démarrage</w:t>
            </w:r>
            <w:r w:rsidRPr="00301AF6">
              <w:rPr>
                <w:color w:val="000000" w:themeColor="text1"/>
                <w:spacing w:val="-9"/>
                <w:sz w:val="20"/>
                <w:szCs w:val="20"/>
                <w:lang w:val="fr-FR"/>
              </w:rPr>
              <w:t xml:space="preserve"> </w:t>
            </w:r>
            <w:r w:rsidRPr="00301AF6">
              <w:rPr>
                <w:color w:val="000000" w:themeColor="text1"/>
                <w:sz w:val="20"/>
                <w:szCs w:val="20"/>
                <w:lang w:val="fr-FR"/>
              </w:rPr>
              <w:t>des</w:t>
            </w:r>
            <w:r w:rsidRPr="00301AF6">
              <w:rPr>
                <w:color w:val="000000" w:themeColor="text1"/>
                <w:spacing w:val="-7"/>
                <w:sz w:val="20"/>
                <w:szCs w:val="20"/>
                <w:lang w:val="fr-FR"/>
              </w:rPr>
              <w:t xml:space="preserve"> </w:t>
            </w:r>
            <w:r w:rsidRPr="00301AF6">
              <w:rPr>
                <w:color w:val="000000" w:themeColor="text1"/>
                <w:spacing w:val="-2"/>
                <w:sz w:val="20"/>
                <w:szCs w:val="20"/>
                <w:lang w:val="fr-FR"/>
              </w:rPr>
              <w:t>travaux</w:t>
            </w:r>
          </w:p>
        </w:tc>
      </w:tr>
      <w:tr w:rsidR="00BD1A2F" w:rsidRPr="00632C4D" w14:paraId="5F2264D3" w14:textId="77777777" w:rsidTr="003A0E4A">
        <w:trPr>
          <w:trHeight w:val="460"/>
        </w:trPr>
        <w:tc>
          <w:tcPr>
            <w:tcW w:w="879" w:type="pct"/>
          </w:tcPr>
          <w:p w14:paraId="4FDFF53F" w14:textId="77777777" w:rsidR="00DE241D" w:rsidRPr="0097258B" w:rsidRDefault="00DE241D" w:rsidP="00E20250">
            <w:pPr>
              <w:pStyle w:val="TableParagraph"/>
              <w:ind w:left="57" w:right="217"/>
              <w:jc w:val="both"/>
              <w:rPr>
                <w:bCs/>
                <w:color w:val="000000" w:themeColor="text1"/>
                <w:spacing w:val="-2"/>
                <w:sz w:val="20"/>
                <w:szCs w:val="20"/>
                <w:lang w:val="fr-FR"/>
              </w:rPr>
            </w:pPr>
            <w:r w:rsidRPr="0097258B">
              <w:rPr>
                <w:bCs/>
                <w:color w:val="000000" w:themeColor="text1"/>
                <w:spacing w:val="-2"/>
                <w:sz w:val="20"/>
                <w:szCs w:val="20"/>
              </w:rPr>
              <w:t xml:space="preserve">Avec </w:t>
            </w:r>
            <w:proofErr w:type="spellStart"/>
            <w:r w:rsidRPr="0097258B">
              <w:rPr>
                <w:bCs/>
                <w:color w:val="000000" w:themeColor="text1"/>
                <w:spacing w:val="-2"/>
                <w:sz w:val="20"/>
                <w:szCs w:val="20"/>
              </w:rPr>
              <w:t>atténuation</w:t>
            </w:r>
            <w:proofErr w:type="spellEnd"/>
          </w:p>
        </w:tc>
        <w:tc>
          <w:tcPr>
            <w:tcW w:w="822" w:type="pct"/>
          </w:tcPr>
          <w:p w14:paraId="5DD058D6" w14:textId="77777777" w:rsidR="00DE241D" w:rsidRPr="0097258B" w:rsidRDefault="00DE241D" w:rsidP="00E20250">
            <w:pPr>
              <w:pStyle w:val="TableParagraph"/>
              <w:ind w:left="294" w:right="290"/>
              <w:jc w:val="center"/>
              <w:rPr>
                <w:b/>
                <w:color w:val="000000" w:themeColor="text1"/>
                <w:sz w:val="20"/>
                <w:szCs w:val="20"/>
                <w:lang w:val="fr-FR"/>
              </w:rPr>
            </w:pPr>
            <w:proofErr w:type="spellStart"/>
            <w:r w:rsidRPr="0097258B">
              <w:rPr>
                <w:b/>
                <w:color w:val="000000" w:themeColor="text1"/>
                <w:spacing w:val="-2"/>
                <w:sz w:val="20"/>
                <w:szCs w:val="20"/>
              </w:rPr>
              <w:t>Faible</w:t>
            </w:r>
            <w:proofErr w:type="spellEnd"/>
          </w:p>
        </w:tc>
        <w:tc>
          <w:tcPr>
            <w:tcW w:w="821" w:type="pct"/>
          </w:tcPr>
          <w:p w14:paraId="1CECF99D" w14:textId="77777777" w:rsidR="00DE241D" w:rsidRPr="0097258B" w:rsidRDefault="00DE241D" w:rsidP="00E20250">
            <w:pPr>
              <w:pStyle w:val="TableParagraph"/>
              <w:ind w:left="225" w:right="219"/>
              <w:jc w:val="center"/>
              <w:rPr>
                <w:b/>
                <w:color w:val="000000" w:themeColor="text1"/>
                <w:sz w:val="20"/>
                <w:szCs w:val="20"/>
                <w:lang w:val="fr-FR"/>
              </w:rPr>
            </w:pPr>
            <w:proofErr w:type="spellStart"/>
            <w:r w:rsidRPr="0097258B">
              <w:rPr>
                <w:b/>
                <w:color w:val="000000" w:themeColor="text1"/>
                <w:spacing w:val="-2"/>
                <w:sz w:val="20"/>
                <w:szCs w:val="20"/>
              </w:rPr>
              <w:t>Ponctuelle</w:t>
            </w:r>
            <w:proofErr w:type="spellEnd"/>
          </w:p>
        </w:tc>
        <w:tc>
          <w:tcPr>
            <w:tcW w:w="821" w:type="pct"/>
          </w:tcPr>
          <w:p w14:paraId="4A30B6C7" w14:textId="77777777" w:rsidR="00DE241D" w:rsidRPr="0097258B" w:rsidRDefault="00DE241D" w:rsidP="00E20250">
            <w:pPr>
              <w:pStyle w:val="TableParagraph"/>
              <w:ind w:left="225" w:right="216"/>
              <w:jc w:val="center"/>
              <w:rPr>
                <w:b/>
                <w:color w:val="000000" w:themeColor="text1"/>
                <w:sz w:val="20"/>
                <w:szCs w:val="20"/>
                <w:lang w:val="fr-FR"/>
              </w:rPr>
            </w:pPr>
            <w:r w:rsidRPr="0097258B">
              <w:rPr>
                <w:b/>
                <w:color w:val="000000" w:themeColor="text1"/>
                <w:spacing w:val="-2"/>
                <w:sz w:val="20"/>
                <w:szCs w:val="20"/>
              </w:rPr>
              <w:t>Courte</w:t>
            </w:r>
          </w:p>
        </w:tc>
        <w:tc>
          <w:tcPr>
            <w:tcW w:w="825" w:type="pct"/>
            <w:shd w:val="clear" w:color="auto" w:fill="FFFF00"/>
          </w:tcPr>
          <w:p w14:paraId="49E0D9B7" w14:textId="77777777" w:rsidR="00DE241D" w:rsidRPr="0097258B" w:rsidRDefault="00DE241D" w:rsidP="00E20250">
            <w:pPr>
              <w:pStyle w:val="TableParagraph"/>
              <w:ind w:left="123" w:right="114"/>
              <w:jc w:val="center"/>
              <w:rPr>
                <w:b/>
                <w:color w:val="000000" w:themeColor="text1"/>
                <w:sz w:val="20"/>
                <w:szCs w:val="20"/>
                <w:lang w:val="fr-FR"/>
              </w:rPr>
            </w:pPr>
            <w:proofErr w:type="spellStart"/>
            <w:r w:rsidRPr="0097258B">
              <w:rPr>
                <w:b/>
                <w:color w:val="000000" w:themeColor="text1"/>
                <w:spacing w:val="-2"/>
                <w:sz w:val="20"/>
                <w:szCs w:val="20"/>
              </w:rPr>
              <w:t>Mineure</w:t>
            </w:r>
            <w:proofErr w:type="spellEnd"/>
          </w:p>
        </w:tc>
        <w:tc>
          <w:tcPr>
            <w:tcW w:w="833" w:type="pct"/>
          </w:tcPr>
          <w:p w14:paraId="520D311F" w14:textId="77777777" w:rsidR="00DE241D" w:rsidRPr="0097258B" w:rsidRDefault="00DE241D" w:rsidP="00E20250">
            <w:pPr>
              <w:pStyle w:val="TableParagraph"/>
              <w:rPr>
                <w:color w:val="000000" w:themeColor="text1"/>
                <w:sz w:val="20"/>
                <w:szCs w:val="20"/>
                <w:lang w:val="fr-FR"/>
              </w:rPr>
            </w:pPr>
          </w:p>
        </w:tc>
      </w:tr>
    </w:tbl>
    <w:p w14:paraId="4582E871" w14:textId="77777777" w:rsidR="00DE241D" w:rsidRPr="00260790" w:rsidRDefault="00DE241D" w:rsidP="00E20250">
      <w:pPr>
        <w:pStyle w:val="Tramemoyenne1-Accent21"/>
        <w:rPr>
          <w:rFonts w:ascii="Times New Roman" w:hAnsi="Times New Roman"/>
          <w:color w:val="000000" w:themeColor="text1"/>
        </w:rPr>
      </w:pPr>
    </w:p>
    <w:p w14:paraId="2F1A6B06" w14:textId="77777777" w:rsidR="00DE241D" w:rsidRPr="00260790" w:rsidRDefault="00DE241D" w:rsidP="00E20250">
      <w:pPr>
        <w:pStyle w:val="Paragraphedeliste"/>
        <w:numPr>
          <w:ilvl w:val="4"/>
          <w:numId w:val="0"/>
        </w:numPr>
        <w:spacing w:after="0" w:line="240" w:lineRule="auto"/>
        <w:ind w:left="1080" w:hanging="1080"/>
        <w:jc w:val="both"/>
        <w:rPr>
          <w:rFonts w:ascii="Times New Roman" w:hAnsi="Times New Roman"/>
          <w:b/>
          <w:bCs/>
          <w:color w:val="000000" w:themeColor="text1"/>
        </w:rPr>
      </w:pPr>
      <w:r w:rsidRPr="00260790">
        <w:rPr>
          <w:rFonts w:ascii="Times New Roman" w:hAnsi="Times New Roman"/>
          <w:b/>
          <w:bCs/>
          <w:color w:val="000000" w:themeColor="text1"/>
        </w:rPr>
        <w:t>Impacts négatifs et risques communs à l’aménagement des bassins et des collecteurs</w:t>
      </w:r>
    </w:p>
    <w:p w14:paraId="238885B2" w14:textId="77777777" w:rsidR="00DE241D" w:rsidRPr="00260790" w:rsidRDefault="00DE241D" w:rsidP="001748C6">
      <w:pPr>
        <w:pStyle w:val="Paragraphedeliste"/>
        <w:numPr>
          <w:ilvl w:val="0"/>
          <w:numId w:val="334"/>
        </w:numPr>
        <w:spacing w:after="0" w:line="240" w:lineRule="auto"/>
        <w:rPr>
          <w:rFonts w:ascii="Times New Roman" w:hAnsi="Times New Roman"/>
          <w:i/>
          <w:iCs/>
          <w:color w:val="000000" w:themeColor="text1"/>
          <w:u w:val="single"/>
        </w:rPr>
      </w:pPr>
      <w:r w:rsidRPr="00260790">
        <w:rPr>
          <w:rFonts w:ascii="Times New Roman" w:hAnsi="Times New Roman"/>
          <w:i/>
          <w:iCs/>
          <w:color w:val="000000" w:themeColor="text1"/>
          <w:u w:val="single"/>
        </w:rPr>
        <w:t>Impacts négatifs et risques sur le milieu humain</w:t>
      </w:r>
    </w:p>
    <w:p w14:paraId="477DC033" w14:textId="77777777" w:rsidR="00DE241D" w:rsidRPr="00260790" w:rsidRDefault="00DE241D" w:rsidP="00E20250">
      <w:pPr>
        <w:pStyle w:val="Paragraphedeliste"/>
        <w:spacing w:line="240" w:lineRule="auto"/>
        <w:rPr>
          <w:rFonts w:ascii="Times New Roman" w:hAnsi="Times New Roman"/>
          <w:i/>
          <w:iCs/>
          <w:color w:val="000000" w:themeColor="text1"/>
          <w:u w:val="single"/>
        </w:rPr>
      </w:pPr>
    </w:p>
    <w:p w14:paraId="3E4349C2" w14:textId="77777777" w:rsidR="00DE241D" w:rsidRPr="00260790" w:rsidRDefault="00DE241D" w:rsidP="001748C6">
      <w:pPr>
        <w:pStyle w:val="Paragraphedeliste"/>
        <w:numPr>
          <w:ilvl w:val="0"/>
          <w:numId w:val="316"/>
        </w:numPr>
        <w:spacing w:after="0"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IN-5. Pertes définitives d’accès à des aires de sport</w:t>
      </w:r>
    </w:p>
    <w:p w14:paraId="359CCA0F" w14:textId="4023C10E"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Cinq aires de jeu réparties comme suit ont été recensées dans les emprises. </w:t>
      </w:r>
    </w:p>
    <w:tbl>
      <w:tblPr>
        <w:tblStyle w:val="Grilledutableau"/>
        <w:tblW w:w="0" w:type="auto"/>
        <w:jc w:val="center"/>
        <w:tblLook w:val="04A0" w:firstRow="1" w:lastRow="0" w:firstColumn="1" w:lastColumn="0" w:noHBand="0" w:noVBand="1"/>
      </w:tblPr>
      <w:tblGrid>
        <w:gridCol w:w="3510"/>
        <w:gridCol w:w="2122"/>
      </w:tblGrid>
      <w:tr w:rsidR="00BD1A2F" w:rsidRPr="00632C4D" w14:paraId="220573CF" w14:textId="77777777" w:rsidTr="003A0E4A">
        <w:trPr>
          <w:jc w:val="center"/>
        </w:trPr>
        <w:tc>
          <w:tcPr>
            <w:tcW w:w="0" w:type="auto"/>
          </w:tcPr>
          <w:p w14:paraId="5B008241" w14:textId="77777777" w:rsidR="00DE241D" w:rsidRPr="0097258B" w:rsidRDefault="00DE241D" w:rsidP="00E20250">
            <w:pPr>
              <w:spacing w:line="240" w:lineRule="auto"/>
              <w:jc w:val="center"/>
              <w:rPr>
                <w:rFonts w:ascii="Times New Roman" w:hAnsi="Times New Roman"/>
                <w:b/>
                <w:bCs/>
                <w:color w:val="000000" w:themeColor="text1"/>
                <w:lang w:val="fr-FR"/>
              </w:rPr>
            </w:pPr>
            <w:proofErr w:type="spellStart"/>
            <w:r w:rsidRPr="00632C4D">
              <w:rPr>
                <w:rFonts w:ascii="Times New Roman" w:hAnsi="Times New Roman"/>
                <w:b/>
                <w:bCs/>
                <w:color w:val="000000" w:themeColor="text1"/>
              </w:rPr>
              <w:t>Ouvrages</w:t>
            </w:r>
            <w:proofErr w:type="spellEnd"/>
          </w:p>
        </w:tc>
        <w:tc>
          <w:tcPr>
            <w:tcW w:w="0" w:type="auto"/>
          </w:tcPr>
          <w:p w14:paraId="3D91EB87" w14:textId="77777777" w:rsidR="00DE241D" w:rsidRPr="0097258B" w:rsidRDefault="00DE241D" w:rsidP="00E20250">
            <w:pPr>
              <w:spacing w:line="240" w:lineRule="auto"/>
              <w:rPr>
                <w:rFonts w:ascii="Times New Roman" w:hAnsi="Times New Roman"/>
                <w:b/>
                <w:bCs/>
                <w:color w:val="000000" w:themeColor="text1"/>
                <w:lang w:val="fr-FR"/>
              </w:rPr>
            </w:pPr>
            <w:r w:rsidRPr="00632C4D">
              <w:rPr>
                <w:rFonts w:ascii="Times New Roman" w:hAnsi="Times New Roman"/>
                <w:b/>
                <w:bCs/>
                <w:color w:val="000000" w:themeColor="text1"/>
              </w:rPr>
              <w:t xml:space="preserve">Nombre </w:t>
            </w:r>
            <w:proofErr w:type="spellStart"/>
            <w:r w:rsidRPr="00632C4D">
              <w:rPr>
                <w:rFonts w:ascii="Times New Roman" w:hAnsi="Times New Roman"/>
                <w:b/>
                <w:bCs/>
                <w:color w:val="000000" w:themeColor="text1"/>
              </w:rPr>
              <w:t>d’aires</w:t>
            </w:r>
            <w:proofErr w:type="spellEnd"/>
            <w:r w:rsidRPr="00632C4D">
              <w:rPr>
                <w:rFonts w:ascii="Times New Roman" w:hAnsi="Times New Roman"/>
                <w:b/>
                <w:bCs/>
                <w:color w:val="000000" w:themeColor="text1"/>
              </w:rPr>
              <w:t xml:space="preserve"> de jeu</w:t>
            </w:r>
          </w:p>
        </w:tc>
      </w:tr>
      <w:tr w:rsidR="00BD1A2F" w:rsidRPr="00632C4D" w14:paraId="5ACABECF" w14:textId="77777777" w:rsidTr="003A0E4A">
        <w:trPr>
          <w:jc w:val="center"/>
        </w:trPr>
        <w:tc>
          <w:tcPr>
            <w:tcW w:w="0" w:type="auto"/>
          </w:tcPr>
          <w:p w14:paraId="463896E7" w14:textId="77777777" w:rsidR="00DE241D" w:rsidRPr="0097258B" w:rsidRDefault="00DE241D" w:rsidP="00E20250">
            <w:pPr>
              <w:spacing w:line="240" w:lineRule="auto"/>
              <w:rPr>
                <w:rFonts w:ascii="Times New Roman" w:hAnsi="Times New Roman"/>
                <w:color w:val="000000" w:themeColor="text1"/>
                <w:lang w:val="fr-FR"/>
              </w:rPr>
            </w:pPr>
            <w:r w:rsidRPr="00632C4D">
              <w:rPr>
                <w:rFonts w:ascii="Times New Roman" w:hAnsi="Times New Roman"/>
                <w:bCs/>
                <w:color w:val="000000" w:themeColor="text1"/>
              </w:rPr>
              <w:t>BR_NC 03d</w:t>
            </w:r>
          </w:p>
        </w:tc>
        <w:tc>
          <w:tcPr>
            <w:tcW w:w="0" w:type="auto"/>
          </w:tcPr>
          <w:p w14:paraId="0401F96F" w14:textId="77777777" w:rsidR="00DE241D" w:rsidRPr="0097258B" w:rsidRDefault="00DE241D" w:rsidP="00E20250">
            <w:pPr>
              <w:spacing w:line="240" w:lineRule="auto"/>
              <w:jc w:val="center"/>
              <w:rPr>
                <w:rFonts w:ascii="Times New Roman" w:hAnsi="Times New Roman"/>
                <w:bCs/>
                <w:color w:val="000000" w:themeColor="text1"/>
                <w:lang w:val="fr-FR"/>
              </w:rPr>
            </w:pPr>
            <w:r w:rsidRPr="00632C4D">
              <w:rPr>
                <w:rFonts w:ascii="Times New Roman" w:hAnsi="Times New Roman"/>
                <w:bCs/>
                <w:color w:val="000000" w:themeColor="text1"/>
              </w:rPr>
              <w:t>1</w:t>
            </w:r>
          </w:p>
        </w:tc>
      </w:tr>
      <w:tr w:rsidR="00BD1A2F" w:rsidRPr="00632C4D" w14:paraId="3DD83929" w14:textId="77777777" w:rsidTr="003A0E4A">
        <w:trPr>
          <w:jc w:val="center"/>
        </w:trPr>
        <w:tc>
          <w:tcPr>
            <w:tcW w:w="0" w:type="auto"/>
          </w:tcPr>
          <w:p w14:paraId="2F0700D7" w14:textId="77777777" w:rsidR="00DE241D" w:rsidRPr="0097258B" w:rsidRDefault="00DE241D" w:rsidP="00E20250">
            <w:pPr>
              <w:spacing w:line="240" w:lineRule="auto"/>
              <w:rPr>
                <w:rFonts w:ascii="Times New Roman" w:hAnsi="Times New Roman"/>
                <w:color w:val="000000" w:themeColor="text1"/>
                <w:lang w:val="fr-FR"/>
              </w:rPr>
            </w:pPr>
            <w:r w:rsidRPr="00632C4D">
              <w:rPr>
                <w:rFonts w:ascii="Times New Roman" w:hAnsi="Times New Roman"/>
                <w:color w:val="000000" w:themeColor="text1"/>
              </w:rPr>
              <w:t>P1</w:t>
            </w:r>
          </w:p>
        </w:tc>
        <w:tc>
          <w:tcPr>
            <w:tcW w:w="0" w:type="auto"/>
          </w:tcPr>
          <w:p w14:paraId="3AB7F253" w14:textId="3B782E0A" w:rsidR="00DE241D" w:rsidRPr="0097258B" w:rsidRDefault="00DE241D" w:rsidP="00E20250">
            <w:pPr>
              <w:spacing w:line="240" w:lineRule="auto"/>
              <w:jc w:val="center"/>
              <w:rPr>
                <w:rFonts w:ascii="Times New Roman" w:hAnsi="Times New Roman"/>
                <w:color w:val="000000" w:themeColor="text1"/>
                <w:lang w:val="fr-FR"/>
              </w:rPr>
            </w:pPr>
            <w:r w:rsidRPr="00632C4D">
              <w:rPr>
                <w:rFonts w:ascii="Times New Roman" w:hAnsi="Times New Roman"/>
                <w:bCs/>
                <w:color w:val="000000" w:themeColor="text1"/>
              </w:rPr>
              <w:t>3</w:t>
            </w:r>
          </w:p>
        </w:tc>
      </w:tr>
      <w:tr w:rsidR="00BD1A2F" w:rsidRPr="00632C4D" w14:paraId="19F04D8E" w14:textId="77777777" w:rsidTr="003A0E4A">
        <w:trPr>
          <w:jc w:val="center"/>
        </w:trPr>
        <w:tc>
          <w:tcPr>
            <w:tcW w:w="0" w:type="auto"/>
          </w:tcPr>
          <w:p w14:paraId="2B15C006" w14:textId="77777777" w:rsidR="00DE241D" w:rsidRPr="0097258B" w:rsidRDefault="00DE241D" w:rsidP="00E20250">
            <w:pPr>
              <w:spacing w:line="240" w:lineRule="auto"/>
              <w:rPr>
                <w:rFonts w:ascii="Times New Roman" w:hAnsi="Times New Roman"/>
                <w:color w:val="000000" w:themeColor="text1"/>
                <w:lang w:val="fr-FR"/>
              </w:rPr>
            </w:pPr>
            <w:r w:rsidRPr="00632C4D">
              <w:rPr>
                <w:rFonts w:ascii="Times New Roman" w:hAnsi="Times New Roman"/>
                <w:bCs/>
                <w:color w:val="000000" w:themeColor="text1"/>
              </w:rPr>
              <w:t>BR_NA 16g</w:t>
            </w:r>
          </w:p>
        </w:tc>
        <w:tc>
          <w:tcPr>
            <w:tcW w:w="0" w:type="auto"/>
          </w:tcPr>
          <w:p w14:paraId="7C746FC2" w14:textId="77777777" w:rsidR="00DE241D" w:rsidRPr="0097258B" w:rsidRDefault="00DE241D" w:rsidP="00E20250">
            <w:pPr>
              <w:spacing w:line="240" w:lineRule="auto"/>
              <w:jc w:val="center"/>
              <w:rPr>
                <w:rFonts w:ascii="Times New Roman" w:hAnsi="Times New Roman"/>
                <w:color w:val="000000" w:themeColor="text1"/>
                <w:lang w:val="fr-FR"/>
              </w:rPr>
            </w:pPr>
            <w:r w:rsidRPr="00632C4D">
              <w:rPr>
                <w:rFonts w:ascii="Times New Roman" w:hAnsi="Times New Roman"/>
                <w:color w:val="000000" w:themeColor="text1"/>
              </w:rPr>
              <w:t>1</w:t>
            </w:r>
          </w:p>
        </w:tc>
      </w:tr>
      <w:tr w:rsidR="00BD1A2F" w:rsidRPr="00632C4D" w14:paraId="6602B099" w14:textId="77777777" w:rsidTr="003A0E4A">
        <w:trPr>
          <w:jc w:val="center"/>
        </w:trPr>
        <w:tc>
          <w:tcPr>
            <w:tcW w:w="0" w:type="auto"/>
          </w:tcPr>
          <w:p w14:paraId="32DBFF9A" w14:textId="77777777" w:rsidR="00DE241D" w:rsidRPr="0097258B" w:rsidRDefault="00DE241D" w:rsidP="00E20250">
            <w:pPr>
              <w:spacing w:line="240" w:lineRule="auto"/>
              <w:rPr>
                <w:rFonts w:ascii="Times New Roman" w:hAnsi="Times New Roman"/>
                <w:color w:val="000000" w:themeColor="text1"/>
                <w:lang w:val="fr-FR"/>
              </w:rPr>
            </w:pPr>
            <w:r w:rsidRPr="00632C4D">
              <w:rPr>
                <w:rFonts w:ascii="Times New Roman" w:hAnsi="Times New Roman"/>
                <w:bCs/>
                <w:color w:val="000000" w:themeColor="text1"/>
              </w:rPr>
              <w:t>Bassin R</w:t>
            </w:r>
          </w:p>
        </w:tc>
        <w:tc>
          <w:tcPr>
            <w:tcW w:w="0" w:type="auto"/>
          </w:tcPr>
          <w:p w14:paraId="3CE98792" w14:textId="77777777" w:rsidR="00DE241D" w:rsidRPr="0097258B" w:rsidRDefault="00DE241D" w:rsidP="00E20250">
            <w:pPr>
              <w:spacing w:line="240" w:lineRule="auto"/>
              <w:jc w:val="center"/>
              <w:rPr>
                <w:rFonts w:ascii="Times New Roman" w:hAnsi="Times New Roman"/>
                <w:color w:val="000000" w:themeColor="text1"/>
                <w:lang w:val="fr-FR"/>
              </w:rPr>
            </w:pPr>
            <w:r w:rsidRPr="00632C4D">
              <w:rPr>
                <w:rFonts w:ascii="Times New Roman" w:hAnsi="Times New Roman"/>
                <w:color w:val="000000" w:themeColor="text1"/>
              </w:rPr>
              <w:t>1</w:t>
            </w:r>
          </w:p>
        </w:tc>
      </w:tr>
      <w:tr w:rsidR="00BD1A2F" w:rsidRPr="00632C4D" w14:paraId="7A9CE768" w14:textId="77777777" w:rsidTr="003A0E4A">
        <w:trPr>
          <w:jc w:val="center"/>
        </w:trPr>
        <w:tc>
          <w:tcPr>
            <w:tcW w:w="0" w:type="auto"/>
          </w:tcPr>
          <w:p w14:paraId="103DBF24" w14:textId="77777777" w:rsidR="00DE241D" w:rsidRPr="0097258B" w:rsidRDefault="00DE241D" w:rsidP="00E20250">
            <w:pPr>
              <w:spacing w:line="240" w:lineRule="auto"/>
              <w:rPr>
                <w:rFonts w:ascii="Times New Roman" w:hAnsi="Times New Roman"/>
                <w:bCs/>
                <w:color w:val="000000" w:themeColor="text1"/>
                <w:lang w:val="fr-FR"/>
              </w:rPr>
            </w:pPr>
            <w:r w:rsidRPr="00301AF6">
              <w:rPr>
                <w:rFonts w:ascii="Times New Roman" w:hAnsi="Times New Roman"/>
                <w:bCs/>
                <w:color w:val="000000" w:themeColor="text1"/>
                <w:lang w:val="fr-FR"/>
              </w:rPr>
              <w:t>Collecteur K4_4 vers Marigot de MBAO</w:t>
            </w:r>
          </w:p>
        </w:tc>
        <w:tc>
          <w:tcPr>
            <w:tcW w:w="0" w:type="auto"/>
          </w:tcPr>
          <w:p w14:paraId="2BDA8E96" w14:textId="77777777" w:rsidR="00DE241D" w:rsidRPr="0097258B" w:rsidRDefault="00DE241D" w:rsidP="00E20250">
            <w:pPr>
              <w:spacing w:line="240" w:lineRule="auto"/>
              <w:jc w:val="center"/>
              <w:rPr>
                <w:rFonts w:ascii="Times New Roman" w:hAnsi="Times New Roman"/>
                <w:color w:val="000000" w:themeColor="text1"/>
                <w:lang w:val="fr-FR"/>
              </w:rPr>
            </w:pPr>
            <w:r w:rsidRPr="00632C4D">
              <w:rPr>
                <w:rFonts w:ascii="Times New Roman" w:hAnsi="Times New Roman"/>
                <w:color w:val="000000" w:themeColor="text1"/>
              </w:rPr>
              <w:t>1</w:t>
            </w:r>
          </w:p>
        </w:tc>
      </w:tr>
    </w:tbl>
    <w:p w14:paraId="70667598" w14:textId="77777777" w:rsidR="00DE241D" w:rsidRPr="00260790" w:rsidRDefault="00DE241D" w:rsidP="00A92B22">
      <w:pPr>
        <w:spacing w:after="0" w:line="240" w:lineRule="auto"/>
        <w:jc w:val="both"/>
        <w:rPr>
          <w:rFonts w:ascii="Times New Roman" w:hAnsi="Times New Roman"/>
          <w:color w:val="000000" w:themeColor="text1"/>
        </w:rPr>
      </w:pPr>
    </w:p>
    <w:p w14:paraId="25BA28F4"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Ci-dessous le résumé de l’analyse des pertes définitives d’accès à des aires de sport.</w:t>
      </w:r>
    </w:p>
    <w:p w14:paraId="71C1DF4C" w14:textId="3DBBECC6" w:rsidR="00DE241D" w:rsidRPr="00260790" w:rsidRDefault="00DE241D" w:rsidP="00E20250">
      <w:pPr>
        <w:pStyle w:val="Lgende"/>
        <w:keepNext/>
        <w:spacing w:line="240" w:lineRule="auto"/>
        <w:rPr>
          <w:color w:val="000000" w:themeColor="text1"/>
          <w:sz w:val="22"/>
          <w:szCs w:val="22"/>
        </w:rPr>
      </w:pPr>
      <w:bookmarkStart w:id="619" w:name="_Toc207781877"/>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36</w:t>
      </w:r>
      <w:r w:rsidRPr="00260790">
        <w:rPr>
          <w:color w:val="000000" w:themeColor="text1"/>
          <w:sz w:val="22"/>
          <w:szCs w:val="22"/>
        </w:rPr>
        <w:fldChar w:fldCharType="end"/>
      </w:r>
      <w:r w:rsidRPr="00260790">
        <w:rPr>
          <w:color w:val="000000" w:themeColor="text1"/>
          <w:sz w:val="22"/>
          <w:szCs w:val="22"/>
        </w:rPr>
        <w:t> : résumé de l’analyse des pertes définitives d’accès à des aires de sport</w:t>
      </w:r>
      <w:bookmarkEnd w:id="619"/>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24"/>
        <w:gridCol w:w="1330"/>
        <w:gridCol w:w="236"/>
        <w:gridCol w:w="953"/>
        <w:gridCol w:w="227"/>
        <w:gridCol w:w="1174"/>
        <w:gridCol w:w="82"/>
        <w:gridCol w:w="1489"/>
        <w:gridCol w:w="129"/>
        <w:gridCol w:w="1616"/>
      </w:tblGrid>
      <w:tr w:rsidR="00BD1A2F" w:rsidRPr="00632C4D" w14:paraId="617BDA96" w14:textId="77777777" w:rsidTr="003A0E4A">
        <w:trPr>
          <w:trHeight w:val="234"/>
        </w:trPr>
        <w:tc>
          <w:tcPr>
            <w:tcW w:w="5000" w:type="pct"/>
            <w:gridSpan w:val="10"/>
            <w:shd w:val="clear" w:color="auto" w:fill="D9E2F3" w:themeFill="accent5" w:themeFillTint="33"/>
          </w:tcPr>
          <w:p w14:paraId="35A04B77" w14:textId="77777777" w:rsidR="00DE241D" w:rsidRPr="0097258B" w:rsidRDefault="00DE241D" w:rsidP="00E20250">
            <w:pPr>
              <w:spacing w:line="240" w:lineRule="auto"/>
              <w:rPr>
                <w:rFonts w:ascii="Times New Roman" w:hAnsi="Times New Roman"/>
                <w:b/>
                <w:bCs/>
                <w:i/>
                <w:iCs/>
                <w:color w:val="000000" w:themeColor="text1"/>
                <w:sz w:val="20"/>
                <w:szCs w:val="20"/>
                <w:lang w:val="fr-FR"/>
              </w:rPr>
            </w:pPr>
            <w:r w:rsidRPr="00301AF6">
              <w:rPr>
                <w:rFonts w:ascii="Times New Roman" w:hAnsi="Times New Roman"/>
                <w:b/>
                <w:bCs/>
                <w:i/>
                <w:iCs/>
                <w:color w:val="000000" w:themeColor="text1"/>
                <w:sz w:val="20"/>
                <w:szCs w:val="20"/>
                <w:lang w:val="fr-FR"/>
              </w:rPr>
              <w:t>IN-5. Perte définitive d’accès à cinq aires de sport</w:t>
            </w:r>
          </w:p>
        </w:tc>
      </w:tr>
      <w:tr w:rsidR="00BD1A2F" w:rsidRPr="00632C4D" w14:paraId="58D0376F" w14:textId="77777777" w:rsidTr="003A0E4A">
        <w:trPr>
          <w:trHeight w:val="58"/>
        </w:trPr>
        <w:tc>
          <w:tcPr>
            <w:tcW w:w="5000" w:type="pct"/>
            <w:gridSpan w:val="10"/>
          </w:tcPr>
          <w:p w14:paraId="677D9BD5"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b/>
                <w:bCs/>
                <w:color w:val="000000" w:themeColor="text1"/>
                <w:sz w:val="20"/>
                <w:szCs w:val="20"/>
                <w:lang w:val="fr-FR"/>
              </w:rPr>
              <w:t>Source d’impacts :</w:t>
            </w:r>
            <w:r w:rsidRPr="00301AF6">
              <w:rPr>
                <w:rFonts w:ascii="Times New Roman" w:hAnsi="Times New Roman" w:cs="Times New Roman"/>
                <w:color w:val="000000" w:themeColor="text1"/>
                <w:sz w:val="20"/>
                <w:szCs w:val="20"/>
                <w:lang w:val="fr-FR"/>
              </w:rPr>
              <w:t xml:space="preserve"> Aménagement des bassins</w:t>
            </w:r>
          </w:p>
        </w:tc>
      </w:tr>
      <w:tr w:rsidR="00BD1A2F" w:rsidRPr="00632C4D" w14:paraId="2A4D01C0" w14:textId="77777777" w:rsidTr="003A0E4A">
        <w:trPr>
          <w:trHeight w:val="58"/>
        </w:trPr>
        <w:tc>
          <w:tcPr>
            <w:tcW w:w="1007" w:type="pct"/>
          </w:tcPr>
          <w:p w14:paraId="46EB7D3B"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Critère</w:t>
            </w:r>
            <w:proofErr w:type="spellEnd"/>
          </w:p>
        </w:tc>
        <w:tc>
          <w:tcPr>
            <w:tcW w:w="864" w:type="pct"/>
            <w:gridSpan w:val="2"/>
          </w:tcPr>
          <w:p w14:paraId="53302D74"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Intensité</w:t>
            </w:r>
            <w:proofErr w:type="spellEnd"/>
          </w:p>
        </w:tc>
        <w:tc>
          <w:tcPr>
            <w:tcW w:w="651" w:type="pct"/>
            <w:gridSpan w:val="2"/>
          </w:tcPr>
          <w:p w14:paraId="7A4C9FFE" w14:textId="402C5631" w:rsidR="00DE241D" w:rsidRPr="0097258B" w:rsidRDefault="00E23E20"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É</w:t>
            </w:r>
            <w:r w:rsidR="00DE241D" w:rsidRPr="0097258B">
              <w:rPr>
                <w:rFonts w:ascii="Times New Roman" w:hAnsi="Times New Roman" w:cs="Times New Roman"/>
                <w:b/>
                <w:bCs/>
                <w:color w:val="000000" w:themeColor="text1"/>
                <w:sz w:val="20"/>
                <w:szCs w:val="20"/>
              </w:rPr>
              <w:t>tendue</w:t>
            </w:r>
            <w:proofErr w:type="spellEnd"/>
          </w:p>
        </w:tc>
        <w:tc>
          <w:tcPr>
            <w:tcW w:w="648" w:type="pct"/>
          </w:tcPr>
          <w:p w14:paraId="68A2BFD8"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Durée</w:t>
            </w:r>
          </w:p>
        </w:tc>
        <w:tc>
          <w:tcPr>
            <w:tcW w:w="867" w:type="pct"/>
            <w:gridSpan w:val="2"/>
          </w:tcPr>
          <w:p w14:paraId="46A6A2F3"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Importance</w:t>
            </w:r>
          </w:p>
        </w:tc>
        <w:tc>
          <w:tcPr>
            <w:tcW w:w="963" w:type="pct"/>
            <w:gridSpan w:val="2"/>
          </w:tcPr>
          <w:p w14:paraId="01C62A2F" w14:textId="77777777" w:rsidR="00DE241D" w:rsidRPr="0097258B" w:rsidRDefault="00DE241D" w:rsidP="00E20250">
            <w:pPr>
              <w:pStyle w:val="Normaltableau0"/>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Réversibilité</w:t>
            </w:r>
            <w:proofErr w:type="spellEnd"/>
          </w:p>
        </w:tc>
      </w:tr>
      <w:tr w:rsidR="00BD1A2F" w:rsidRPr="00632C4D" w14:paraId="77D61738" w14:textId="77777777" w:rsidTr="003A0E4A">
        <w:trPr>
          <w:trHeight w:val="58"/>
        </w:trPr>
        <w:tc>
          <w:tcPr>
            <w:tcW w:w="1007" w:type="pct"/>
          </w:tcPr>
          <w:p w14:paraId="6748F0D3"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Sans </w:t>
            </w:r>
            <w:proofErr w:type="spellStart"/>
            <w:r w:rsidRPr="0097258B">
              <w:rPr>
                <w:rFonts w:ascii="Times New Roman" w:hAnsi="Times New Roman" w:cs="Times New Roman"/>
                <w:color w:val="000000" w:themeColor="text1"/>
                <w:sz w:val="20"/>
                <w:szCs w:val="20"/>
              </w:rPr>
              <w:t>atténuation</w:t>
            </w:r>
            <w:proofErr w:type="spellEnd"/>
          </w:p>
        </w:tc>
        <w:tc>
          <w:tcPr>
            <w:tcW w:w="864" w:type="pct"/>
            <w:gridSpan w:val="2"/>
          </w:tcPr>
          <w:p w14:paraId="744BC9D5"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Moyenne</w:t>
            </w:r>
          </w:p>
        </w:tc>
        <w:tc>
          <w:tcPr>
            <w:tcW w:w="651" w:type="pct"/>
            <w:gridSpan w:val="2"/>
          </w:tcPr>
          <w:p w14:paraId="1A8AE1E6"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Locale</w:t>
            </w:r>
          </w:p>
        </w:tc>
        <w:tc>
          <w:tcPr>
            <w:tcW w:w="648" w:type="pct"/>
          </w:tcPr>
          <w:p w14:paraId="5D08EF39"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Longue</w:t>
            </w:r>
          </w:p>
        </w:tc>
        <w:tc>
          <w:tcPr>
            <w:tcW w:w="867" w:type="pct"/>
            <w:gridSpan w:val="2"/>
            <w:shd w:val="clear" w:color="auto" w:fill="FF0000"/>
          </w:tcPr>
          <w:p w14:paraId="3ACE402A"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Majeure</w:t>
            </w:r>
          </w:p>
        </w:tc>
        <w:tc>
          <w:tcPr>
            <w:tcW w:w="963" w:type="pct"/>
            <w:gridSpan w:val="2"/>
          </w:tcPr>
          <w:p w14:paraId="158058A9" w14:textId="77777777" w:rsidR="00DE241D" w:rsidRPr="0097258B" w:rsidRDefault="00DE241D" w:rsidP="00E20250">
            <w:pPr>
              <w:pStyle w:val="Normaltableau0"/>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Réversible</w:t>
            </w:r>
            <w:proofErr w:type="spellEnd"/>
          </w:p>
        </w:tc>
      </w:tr>
      <w:tr w:rsidR="00BD1A2F" w:rsidRPr="00632C4D" w14:paraId="1B6FD085" w14:textId="77777777" w:rsidTr="003A0E4A">
        <w:trPr>
          <w:trHeight w:val="365"/>
        </w:trPr>
        <w:tc>
          <w:tcPr>
            <w:tcW w:w="1007" w:type="pct"/>
          </w:tcPr>
          <w:p w14:paraId="6B45B8A6"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d’atténuation</w:t>
            </w:r>
            <w:proofErr w:type="spellEnd"/>
          </w:p>
        </w:tc>
        <w:tc>
          <w:tcPr>
            <w:tcW w:w="3993" w:type="pct"/>
            <w:gridSpan w:val="9"/>
          </w:tcPr>
          <w:p w14:paraId="6CC9BB80" w14:textId="77777777" w:rsidR="00DE241D" w:rsidRPr="0097258B" w:rsidRDefault="00DE241D" w:rsidP="001748C6">
            <w:pPr>
              <w:pStyle w:val="Default"/>
              <w:numPr>
                <w:ilvl w:val="0"/>
                <w:numId w:val="326"/>
              </w:numPr>
              <w:overflowPunct w:val="0"/>
              <w:ind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Respecter la procédure d’expropriation pour utilité publique ;</w:t>
            </w:r>
          </w:p>
          <w:p w14:paraId="122B1FCE" w14:textId="77777777" w:rsidR="00DE241D" w:rsidRPr="0097258B" w:rsidRDefault="00DE241D" w:rsidP="001748C6">
            <w:pPr>
              <w:pStyle w:val="Default"/>
              <w:numPr>
                <w:ilvl w:val="0"/>
                <w:numId w:val="326"/>
              </w:numPr>
              <w:overflowPunct w:val="0"/>
              <w:ind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Aménager des aires de sport aux normes pour les riverains.</w:t>
            </w:r>
          </w:p>
        </w:tc>
      </w:tr>
      <w:tr w:rsidR="00BD1A2F" w:rsidRPr="00632C4D" w14:paraId="3F4B8BC8" w14:textId="77777777" w:rsidTr="003A0E4A">
        <w:trPr>
          <w:trHeight w:val="101"/>
        </w:trPr>
        <w:tc>
          <w:tcPr>
            <w:tcW w:w="1007" w:type="pct"/>
          </w:tcPr>
          <w:p w14:paraId="2B9F3803"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Avec </w:t>
            </w:r>
            <w:proofErr w:type="spellStart"/>
            <w:r w:rsidRPr="0097258B">
              <w:rPr>
                <w:rFonts w:ascii="Times New Roman" w:hAnsi="Times New Roman" w:cs="Times New Roman"/>
                <w:color w:val="000000" w:themeColor="text1"/>
                <w:sz w:val="20"/>
                <w:szCs w:val="20"/>
              </w:rPr>
              <w:t>atténuation</w:t>
            </w:r>
            <w:proofErr w:type="spellEnd"/>
          </w:p>
        </w:tc>
        <w:tc>
          <w:tcPr>
            <w:tcW w:w="734" w:type="pct"/>
          </w:tcPr>
          <w:p w14:paraId="16349FB0"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Faible</w:t>
            </w:r>
            <w:proofErr w:type="spellEnd"/>
          </w:p>
        </w:tc>
        <w:tc>
          <w:tcPr>
            <w:tcW w:w="656" w:type="pct"/>
            <w:gridSpan w:val="2"/>
          </w:tcPr>
          <w:p w14:paraId="7BDED92F"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Ponctuelle</w:t>
            </w:r>
            <w:proofErr w:type="spellEnd"/>
          </w:p>
        </w:tc>
        <w:tc>
          <w:tcPr>
            <w:tcW w:w="818" w:type="pct"/>
            <w:gridSpan w:val="3"/>
          </w:tcPr>
          <w:p w14:paraId="2F3ECD65"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Courte</w:t>
            </w:r>
          </w:p>
        </w:tc>
        <w:tc>
          <w:tcPr>
            <w:tcW w:w="893" w:type="pct"/>
            <w:gridSpan w:val="2"/>
            <w:shd w:val="clear" w:color="auto" w:fill="FFFF00"/>
          </w:tcPr>
          <w:p w14:paraId="175A7622"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Mineure</w:t>
            </w:r>
            <w:proofErr w:type="spellEnd"/>
            <w:r w:rsidRPr="0097258B">
              <w:rPr>
                <w:rFonts w:ascii="Times New Roman" w:hAnsi="Times New Roman" w:cs="Times New Roman"/>
                <w:b/>
                <w:bCs/>
                <w:color w:val="000000" w:themeColor="text1"/>
                <w:sz w:val="20"/>
                <w:szCs w:val="20"/>
              </w:rPr>
              <w:t xml:space="preserve"> </w:t>
            </w:r>
          </w:p>
        </w:tc>
        <w:tc>
          <w:tcPr>
            <w:tcW w:w="892" w:type="pct"/>
          </w:tcPr>
          <w:p w14:paraId="0472B30C" w14:textId="77777777" w:rsidR="00DE241D" w:rsidRPr="0097258B" w:rsidRDefault="00DE241D" w:rsidP="00E20250">
            <w:pPr>
              <w:pStyle w:val="TableParagraph"/>
              <w:rPr>
                <w:color w:val="000000" w:themeColor="text1"/>
                <w:sz w:val="20"/>
                <w:szCs w:val="20"/>
                <w:lang w:val="fr-FR"/>
              </w:rPr>
            </w:pPr>
          </w:p>
        </w:tc>
      </w:tr>
    </w:tbl>
    <w:p w14:paraId="503E48E1" w14:textId="77777777" w:rsidR="00DE241D" w:rsidRPr="00260790" w:rsidRDefault="00DE241D" w:rsidP="00E20250">
      <w:pPr>
        <w:pStyle w:val="Default"/>
        <w:overflowPunct w:val="0"/>
        <w:jc w:val="both"/>
        <w:textAlignment w:val="baseline"/>
        <w:rPr>
          <w:rFonts w:ascii="Times New Roman" w:hAnsi="Times New Roman" w:cs="Times New Roman"/>
          <w:color w:val="000000" w:themeColor="text1"/>
          <w:sz w:val="22"/>
          <w:szCs w:val="22"/>
        </w:rPr>
      </w:pPr>
    </w:p>
    <w:p w14:paraId="65D1518E" w14:textId="77777777" w:rsidR="00A92B22" w:rsidRPr="00260790" w:rsidRDefault="00A92B22">
      <w:pPr>
        <w:spacing w:line="259" w:lineRule="auto"/>
        <w:rPr>
          <w:rFonts w:ascii="Times New Roman" w:hAnsi="Times New Roman"/>
          <w:b/>
          <w:bCs/>
          <w:i/>
          <w:iCs/>
          <w:color w:val="000000" w:themeColor="text1"/>
        </w:rPr>
      </w:pPr>
      <w:r w:rsidRPr="00260790">
        <w:rPr>
          <w:rFonts w:ascii="Times New Roman" w:hAnsi="Times New Roman"/>
          <w:b/>
          <w:bCs/>
          <w:i/>
          <w:iCs/>
          <w:color w:val="000000" w:themeColor="text1"/>
        </w:rPr>
        <w:br w:type="page"/>
      </w:r>
    </w:p>
    <w:p w14:paraId="007EB5AF" w14:textId="0322B6F4" w:rsidR="00DE241D" w:rsidRPr="00260790" w:rsidRDefault="00DE241D" w:rsidP="001748C6">
      <w:pPr>
        <w:pStyle w:val="Default"/>
        <w:numPr>
          <w:ilvl w:val="0"/>
          <w:numId w:val="324"/>
        </w:numPr>
        <w:overflowPunct w:val="0"/>
        <w:jc w:val="both"/>
        <w:textAlignment w:val="baseline"/>
        <w:rPr>
          <w:rFonts w:ascii="Times New Roman" w:hAnsi="Times New Roman" w:cs="Times New Roman"/>
          <w:b/>
          <w:bCs/>
          <w:i/>
          <w:iCs/>
          <w:color w:val="000000" w:themeColor="text1"/>
          <w:sz w:val="22"/>
          <w:szCs w:val="22"/>
        </w:rPr>
      </w:pPr>
      <w:r w:rsidRPr="00260790">
        <w:rPr>
          <w:rFonts w:ascii="Times New Roman" w:hAnsi="Times New Roman" w:cs="Times New Roman"/>
          <w:b/>
          <w:bCs/>
          <w:i/>
          <w:iCs/>
          <w:color w:val="000000" w:themeColor="text1"/>
          <w:sz w:val="22"/>
          <w:szCs w:val="22"/>
        </w:rPr>
        <w:lastRenderedPageBreak/>
        <w:t>RI-5. Risque de découvertes fortuites de vestiges culturels</w:t>
      </w:r>
    </w:p>
    <w:p w14:paraId="180CBB2A" w14:textId="77777777" w:rsidR="00DE241D" w:rsidRPr="00260790" w:rsidRDefault="00DE241D" w:rsidP="00E20250">
      <w:pPr>
        <w:pStyle w:val="Default"/>
        <w:overflowPunct w:val="0"/>
        <w:jc w:val="both"/>
        <w:textAlignment w:val="baseline"/>
        <w:rPr>
          <w:rFonts w:ascii="Times New Roman" w:hAnsi="Times New Roman" w:cs="Times New Roman"/>
          <w:color w:val="000000" w:themeColor="text1"/>
          <w:sz w:val="22"/>
          <w:szCs w:val="22"/>
        </w:rPr>
      </w:pPr>
    </w:p>
    <w:p w14:paraId="3B7503C4" w14:textId="2C816E0E" w:rsidR="00DE241D" w:rsidRPr="00260790" w:rsidRDefault="00DE241D" w:rsidP="00E20250">
      <w:pPr>
        <w:pStyle w:val="Default"/>
        <w:overflowPunct w:val="0"/>
        <w:jc w:val="both"/>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 xml:space="preserve">Les travaux de fouilles/excavations dans le cadre du projet (décapage du sol des emprises, curage et des bassins, ouverture de tranchées…), comporteront un risque de découvertes fortuites de vestiges culturels. L’Entreprise adjudicataire des travaux devra veiller à ce que la procédure légale en cas </w:t>
      </w:r>
      <w:r w:rsidR="0062123B" w:rsidRPr="00260790">
        <w:rPr>
          <w:rFonts w:ascii="Times New Roman" w:hAnsi="Times New Roman" w:cs="Times New Roman"/>
          <w:color w:val="000000" w:themeColor="text1"/>
          <w:sz w:val="22"/>
          <w:szCs w:val="22"/>
        </w:rPr>
        <w:t xml:space="preserve">de </w:t>
      </w:r>
      <w:r w:rsidRPr="00260790">
        <w:rPr>
          <w:rFonts w:ascii="Times New Roman" w:hAnsi="Times New Roman" w:cs="Times New Roman"/>
          <w:color w:val="000000" w:themeColor="text1"/>
          <w:sz w:val="22"/>
          <w:szCs w:val="22"/>
        </w:rPr>
        <w:t>découverte fortuite de vestige culturel soit connue, maîtrisée et respectée par les travailleurs.</w:t>
      </w:r>
    </w:p>
    <w:p w14:paraId="131E3C74" w14:textId="77777777" w:rsidR="00DE241D" w:rsidRPr="00260790" w:rsidRDefault="00DE241D" w:rsidP="00E20250">
      <w:pPr>
        <w:pStyle w:val="Default"/>
        <w:overflowPunct w:val="0"/>
        <w:jc w:val="both"/>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Ci-dessous le résumé de l’analyse du risque de découvertes fortuites de vestiges culturels.</w:t>
      </w:r>
    </w:p>
    <w:p w14:paraId="0A01D974" w14:textId="0873D39A" w:rsidR="00DE241D" w:rsidRPr="00260790" w:rsidRDefault="00DE241D" w:rsidP="00E20250">
      <w:pPr>
        <w:pStyle w:val="Lgende"/>
        <w:keepNext/>
        <w:spacing w:line="240" w:lineRule="auto"/>
        <w:rPr>
          <w:color w:val="000000" w:themeColor="text1"/>
          <w:sz w:val="22"/>
          <w:szCs w:val="22"/>
        </w:rPr>
      </w:pPr>
      <w:bookmarkStart w:id="620" w:name="_Toc207781878"/>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37</w:t>
      </w:r>
      <w:r w:rsidRPr="00260790">
        <w:rPr>
          <w:color w:val="000000" w:themeColor="text1"/>
          <w:sz w:val="22"/>
          <w:szCs w:val="22"/>
        </w:rPr>
        <w:fldChar w:fldCharType="end"/>
      </w:r>
      <w:r w:rsidRPr="00260790">
        <w:rPr>
          <w:color w:val="000000" w:themeColor="text1"/>
          <w:sz w:val="22"/>
          <w:szCs w:val="22"/>
        </w:rPr>
        <w:t> : résumé de l’analyse du risque de découvertes fortuites de vestiges culturels</w:t>
      </w:r>
      <w:bookmarkEnd w:id="620"/>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99"/>
        <w:gridCol w:w="1855"/>
        <w:gridCol w:w="1187"/>
        <w:gridCol w:w="852"/>
        <w:gridCol w:w="913"/>
        <w:gridCol w:w="2754"/>
      </w:tblGrid>
      <w:tr w:rsidR="00BD1A2F" w:rsidRPr="00632C4D" w14:paraId="0BC741DA" w14:textId="77777777" w:rsidTr="003A0E4A">
        <w:trPr>
          <w:trHeight w:val="230"/>
        </w:trPr>
        <w:tc>
          <w:tcPr>
            <w:tcW w:w="5000" w:type="pct"/>
            <w:gridSpan w:val="6"/>
            <w:shd w:val="clear" w:color="auto" w:fill="B4C6E7" w:themeFill="accent5" w:themeFillTint="66"/>
          </w:tcPr>
          <w:p w14:paraId="03FFEA2C" w14:textId="77777777" w:rsidR="00DE241D" w:rsidRPr="0097258B" w:rsidRDefault="00DE241D" w:rsidP="00E20250">
            <w:pPr>
              <w:spacing w:line="240" w:lineRule="auto"/>
              <w:rPr>
                <w:rFonts w:ascii="Times New Roman" w:hAnsi="Times New Roman"/>
                <w:b/>
                <w:bCs/>
                <w:sz w:val="20"/>
                <w:szCs w:val="20"/>
                <w:lang w:val="fr-FR"/>
              </w:rPr>
            </w:pPr>
            <w:r w:rsidRPr="00301AF6">
              <w:rPr>
                <w:rFonts w:ascii="Times New Roman" w:hAnsi="Times New Roman"/>
                <w:b/>
                <w:bCs/>
                <w:sz w:val="20"/>
                <w:szCs w:val="20"/>
                <w:lang w:val="fr-FR"/>
              </w:rPr>
              <w:t>RI-5. Risque de découvertes fortuites de vestiges culturels</w:t>
            </w:r>
          </w:p>
        </w:tc>
      </w:tr>
      <w:tr w:rsidR="00BD1A2F" w:rsidRPr="00632C4D" w14:paraId="0DE85F79" w14:textId="77777777" w:rsidTr="003A0E4A">
        <w:trPr>
          <w:trHeight w:val="230"/>
        </w:trPr>
        <w:tc>
          <w:tcPr>
            <w:tcW w:w="5000" w:type="pct"/>
            <w:gridSpan w:val="6"/>
          </w:tcPr>
          <w:p w14:paraId="7635ED95" w14:textId="1AA8B781" w:rsidR="00DE241D" w:rsidRPr="0097258B" w:rsidRDefault="00DE241D" w:rsidP="00E20250">
            <w:pPr>
              <w:spacing w:line="240" w:lineRule="auto"/>
              <w:rPr>
                <w:rFonts w:ascii="Times New Roman" w:hAnsi="Times New Roman"/>
                <w:sz w:val="20"/>
                <w:szCs w:val="20"/>
                <w:lang w:val="fr-FR"/>
              </w:rPr>
            </w:pPr>
            <w:proofErr w:type="spellStart"/>
            <w:proofErr w:type="gramStart"/>
            <w:r w:rsidRPr="0097258B">
              <w:rPr>
                <w:rFonts w:ascii="Times New Roman" w:hAnsi="Times New Roman"/>
                <w:b/>
                <w:bCs/>
                <w:sz w:val="20"/>
                <w:szCs w:val="20"/>
              </w:rPr>
              <w:t>Activités</w:t>
            </w:r>
            <w:proofErr w:type="spellEnd"/>
            <w:r w:rsidRPr="0097258B">
              <w:rPr>
                <w:rFonts w:ascii="Times New Roman" w:hAnsi="Times New Roman"/>
                <w:sz w:val="20"/>
                <w:szCs w:val="20"/>
              </w:rPr>
              <w:t xml:space="preserve"> :</w:t>
            </w:r>
            <w:proofErr w:type="gramEnd"/>
            <w:r w:rsidRPr="0097258B">
              <w:rPr>
                <w:rFonts w:ascii="Times New Roman" w:hAnsi="Times New Roman"/>
                <w:sz w:val="20"/>
                <w:szCs w:val="20"/>
              </w:rPr>
              <w:t xml:space="preserve"> </w:t>
            </w:r>
            <w:proofErr w:type="spellStart"/>
            <w:r w:rsidRPr="0097258B">
              <w:rPr>
                <w:rFonts w:ascii="Times New Roman" w:hAnsi="Times New Roman"/>
                <w:sz w:val="20"/>
                <w:szCs w:val="20"/>
              </w:rPr>
              <w:t>Fouilles</w:t>
            </w:r>
            <w:proofErr w:type="spellEnd"/>
            <w:r w:rsidR="002C0071" w:rsidRPr="0097258B">
              <w:rPr>
                <w:rFonts w:ascii="Times New Roman" w:hAnsi="Times New Roman"/>
                <w:sz w:val="20"/>
                <w:szCs w:val="20"/>
              </w:rPr>
              <w:t xml:space="preserve"> </w:t>
            </w:r>
            <w:r w:rsidRPr="0097258B">
              <w:rPr>
                <w:rFonts w:ascii="Times New Roman" w:hAnsi="Times New Roman"/>
                <w:sz w:val="20"/>
                <w:szCs w:val="20"/>
              </w:rPr>
              <w:t>/</w:t>
            </w:r>
            <w:r w:rsidR="002C0071" w:rsidRPr="0097258B">
              <w:rPr>
                <w:rFonts w:ascii="Times New Roman" w:hAnsi="Times New Roman"/>
                <w:sz w:val="20"/>
                <w:szCs w:val="20"/>
              </w:rPr>
              <w:t xml:space="preserve"> </w:t>
            </w:r>
            <w:r w:rsidRPr="0097258B">
              <w:rPr>
                <w:rFonts w:ascii="Times New Roman" w:hAnsi="Times New Roman"/>
                <w:sz w:val="20"/>
                <w:szCs w:val="20"/>
              </w:rPr>
              <w:t>excavations</w:t>
            </w:r>
          </w:p>
        </w:tc>
      </w:tr>
      <w:tr w:rsidR="00BD1A2F" w:rsidRPr="00632C4D" w14:paraId="3713E9EA" w14:textId="77777777" w:rsidTr="003A0E4A">
        <w:trPr>
          <w:trHeight w:val="230"/>
        </w:trPr>
        <w:tc>
          <w:tcPr>
            <w:tcW w:w="827" w:type="pct"/>
          </w:tcPr>
          <w:p w14:paraId="26A35FA1" w14:textId="77777777" w:rsidR="00DE241D" w:rsidRPr="0097258B" w:rsidRDefault="00DE241D" w:rsidP="00E20250">
            <w:pPr>
              <w:spacing w:line="240" w:lineRule="auto"/>
              <w:rPr>
                <w:rFonts w:ascii="Times New Roman" w:hAnsi="Times New Roman"/>
                <w:sz w:val="20"/>
                <w:szCs w:val="20"/>
                <w:lang w:val="fr-FR"/>
              </w:rPr>
            </w:pPr>
          </w:p>
        </w:tc>
        <w:tc>
          <w:tcPr>
            <w:tcW w:w="1024" w:type="pct"/>
          </w:tcPr>
          <w:p w14:paraId="64985F94" w14:textId="77777777" w:rsidR="00DE241D" w:rsidRPr="0097258B" w:rsidRDefault="00DE241D" w:rsidP="00E20250">
            <w:pPr>
              <w:spacing w:line="240" w:lineRule="auto"/>
              <w:rPr>
                <w:rFonts w:ascii="Times New Roman" w:hAnsi="Times New Roman"/>
                <w:b/>
                <w:bCs/>
                <w:sz w:val="20"/>
                <w:szCs w:val="20"/>
                <w:lang w:val="fr-FR"/>
              </w:rPr>
            </w:pPr>
            <w:r w:rsidRPr="0097258B">
              <w:rPr>
                <w:rFonts w:ascii="Times New Roman" w:hAnsi="Times New Roman"/>
                <w:b/>
                <w:bCs/>
                <w:sz w:val="20"/>
                <w:szCs w:val="20"/>
              </w:rPr>
              <w:t>Risque initial</w:t>
            </w:r>
          </w:p>
        </w:tc>
        <w:tc>
          <w:tcPr>
            <w:tcW w:w="655" w:type="pct"/>
          </w:tcPr>
          <w:p w14:paraId="4497A488"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Probabilité</w:t>
            </w:r>
            <w:proofErr w:type="spellEnd"/>
          </w:p>
        </w:tc>
        <w:tc>
          <w:tcPr>
            <w:tcW w:w="470" w:type="pct"/>
          </w:tcPr>
          <w:p w14:paraId="088FC13D"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Gravité</w:t>
            </w:r>
            <w:proofErr w:type="spellEnd"/>
          </w:p>
        </w:tc>
        <w:tc>
          <w:tcPr>
            <w:tcW w:w="504" w:type="pct"/>
          </w:tcPr>
          <w:p w14:paraId="0DF4EDBF"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Criticité</w:t>
            </w:r>
            <w:proofErr w:type="spellEnd"/>
          </w:p>
        </w:tc>
        <w:tc>
          <w:tcPr>
            <w:tcW w:w="1520" w:type="pct"/>
          </w:tcPr>
          <w:p w14:paraId="08516ECA"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Dommage</w:t>
            </w:r>
            <w:proofErr w:type="spellEnd"/>
          </w:p>
        </w:tc>
      </w:tr>
      <w:tr w:rsidR="00BD1A2F" w:rsidRPr="00632C4D" w14:paraId="553E1487" w14:textId="77777777" w:rsidTr="003A0E4A">
        <w:trPr>
          <w:trHeight w:val="135"/>
        </w:trPr>
        <w:tc>
          <w:tcPr>
            <w:tcW w:w="827" w:type="pct"/>
          </w:tcPr>
          <w:p w14:paraId="12018822" w14:textId="77777777" w:rsidR="00DE241D" w:rsidRPr="0097258B" w:rsidRDefault="00DE241D" w:rsidP="00E20250">
            <w:pPr>
              <w:spacing w:line="240" w:lineRule="auto"/>
              <w:rPr>
                <w:rFonts w:ascii="Times New Roman" w:hAnsi="Times New Roman"/>
                <w:sz w:val="20"/>
                <w:szCs w:val="20"/>
                <w:lang w:val="fr-FR"/>
              </w:rPr>
            </w:pPr>
            <w:r w:rsidRPr="0097258B">
              <w:rPr>
                <w:rFonts w:ascii="Times New Roman" w:hAnsi="Times New Roman"/>
                <w:sz w:val="20"/>
                <w:szCs w:val="20"/>
              </w:rPr>
              <w:t xml:space="preserve">Avant </w:t>
            </w:r>
            <w:proofErr w:type="spellStart"/>
            <w:r w:rsidRPr="0097258B">
              <w:rPr>
                <w:rFonts w:ascii="Times New Roman" w:hAnsi="Times New Roman"/>
                <w:sz w:val="20"/>
                <w:szCs w:val="20"/>
              </w:rPr>
              <w:t>prévention</w:t>
            </w:r>
            <w:proofErr w:type="spellEnd"/>
          </w:p>
        </w:tc>
        <w:tc>
          <w:tcPr>
            <w:tcW w:w="1024" w:type="pct"/>
          </w:tcPr>
          <w:p w14:paraId="5FD036D3" w14:textId="462FFE0C" w:rsidR="00DE241D" w:rsidRPr="0051750F" w:rsidRDefault="00FB3BF2" w:rsidP="00E20250">
            <w:pPr>
              <w:spacing w:line="240" w:lineRule="auto"/>
              <w:rPr>
                <w:rFonts w:ascii="Times New Roman" w:hAnsi="Times New Roman"/>
                <w:sz w:val="20"/>
                <w:szCs w:val="20"/>
                <w:lang w:val="fr-FR"/>
              </w:rPr>
            </w:pPr>
            <w:r w:rsidRPr="00301AF6">
              <w:rPr>
                <w:rFonts w:ascii="Times New Roman" w:hAnsi="Times New Roman"/>
                <w:sz w:val="20"/>
                <w:szCs w:val="20"/>
                <w:lang w:val="fr-FR"/>
              </w:rPr>
              <w:t>D</w:t>
            </w:r>
            <w:r w:rsidR="0058019C" w:rsidRPr="00301AF6">
              <w:rPr>
                <w:rFonts w:ascii="Times New Roman" w:hAnsi="Times New Roman"/>
                <w:sz w:val="20"/>
                <w:szCs w:val="20"/>
                <w:lang w:val="fr-FR"/>
              </w:rPr>
              <w:t>écouverte fort</w:t>
            </w:r>
            <w:r w:rsidRPr="00301AF6">
              <w:rPr>
                <w:rFonts w:ascii="Times New Roman" w:hAnsi="Times New Roman"/>
                <w:sz w:val="20"/>
                <w:szCs w:val="20"/>
                <w:lang w:val="fr-FR"/>
              </w:rPr>
              <w:t>uite</w:t>
            </w:r>
            <w:r w:rsidR="00870764" w:rsidRPr="00301AF6">
              <w:rPr>
                <w:rFonts w:ascii="Times New Roman" w:hAnsi="Times New Roman"/>
                <w:sz w:val="20"/>
                <w:szCs w:val="20"/>
                <w:lang w:val="fr-FR"/>
              </w:rPr>
              <w:t xml:space="preserve"> lors des travaux de fouilles et d’excavations</w:t>
            </w:r>
          </w:p>
        </w:tc>
        <w:tc>
          <w:tcPr>
            <w:tcW w:w="655" w:type="pct"/>
          </w:tcPr>
          <w:p w14:paraId="51D41883" w14:textId="77777777" w:rsidR="00DE241D" w:rsidRPr="0097258B" w:rsidRDefault="00DE241D" w:rsidP="00A92B22">
            <w:pPr>
              <w:spacing w:line="240" w:lineRule="auto"/>
              <w:jc w:val="center"/>
              <w:rPr>
                <w:rFonts w:ascii="Times New Roman" w:hAnsi="Times New Roman"/>
                <w:b/>
                <w:bCs/>
                <w:sz w:val="20"/>
                <w:szCs w:val="20"/>
                <w:lang w:val="fr-FR"/>
              </w:rPr>
            </w:pPr>
            <w:r w:rsidRPr="0097258B">
              <w:rPr>
                <w:rFonts w:ascii="Times New Roman" w:hAnsi="Times New Roman"/>
                <w:b/>
                <w:bCs/>
                <w:sz w:val="20"/>
                <w:szCs w:val="20"/>
              </w:rPr>
              <w:t>2</w:t>
            </w:r>
          </w:p>
        </w:tc>
        <w:tc>
          <w:tcPr>
            <w:tcW w:w="470" w:type="pct"/>
          </w:tcPr>
          <w:p w14:paraId="50BD4DF4" w14:textId="77777777" w:rsidR="00DE241D" w:rsidRPr="0097258B" w:rsidRDefault="00DE241D" w:rsidP="00A92B22">
            <w:pPr>
              <w:spacing w:line="240" w:lineRule="auto"/>
              <w:jc w:val="center"/>
              <w:rPr>
                <w:rFonts w:ascii="Times New Roman" w:hAnsi="Times New Roman"/>
                <w:b/>
                <w:bCs/>
                <w:sz w:val="20"/>
                <w:szCs w:val="20"/>
                <w:lang w:val="fr-FR"/>
              </w:rPr>
            </w:pPr>
            <w:r w:rsidRPr="0097258B">
              <w:rPr>
                <w:rFonts w:ascii="Times New Roman" w:hAnsi="Times New Roman"/>
                <w:b/>
                <w:bCs/>
                <w:sz w:val="20"/>
                <w:szCs w:val="20"/>
              </w:rPr>
              <w:t>3</w:t>
            </w:r>
          </w:p>
        </w:tc>
        <w:tc>
          <w:tcPr>
            <w:tcW w:w="504" w:type="pct"/>
            <w:shd w:val="clear" w:color="auto" w:fill="FFFF00"/>
          </w:tcPr>
          <w:p w14:paraId="096466DB" w14:textId="77777777" w:rsidR="00DE241D" w:rsidRPr="0097258B" w:rsidRDefault="00DE241D" w:rsidP="00A92B22">
            <w:pPr>
              <w:spacing w:line="240" w:lineRule="auto"/>
              <w:jc w:val="center"/>
              <w:rPr>
                <w:rFonts w:ascii="Times New Roman" w:hAnsi="Times New Roman"/>
                <w:b/>
                <w:bCs/>
                <w:sz w:val="20"/>
                <w:szCs w:val="20"/>
                <w:lang w:val="fr-FR"/>
              </w:rPr>
            </w:pPr>
            <w:r w:rsidRPr="0097258B">
              <w:rPr>
                <w:rFonts w:ascii="Times New Roman" w:hAnsi="Times New Roman"/>
                <w:b/>
                <w:bCs/>
                <w:sz w:val="20"/>
                <w:szCs w:val="20"/>
              </w:rPr>
              <w:t>32</w:t>
            </w:r>
          </w:p>
        </w:tc>
        <w:tc>
          <w:tcPr>
            <w:tcW w:w="1520" w:type="pct"/>
          </w:tcPr>
          <w:p w14:paraId="6BCA9189" w14:textId="77777777" w:rsidR="00DE241D" w:rsidRPr="0097258B" w:rsidRDefault="00DE241D" w:rsidP="00E20250">
            <w:pPr>
              <w:spacing w:line="240" w:lineRule="auto"/>
              <w:rPr>
                <w:rFonts w:ascii="Times New Roman" w:hAnsi="Times New Roman"/>
                <w:sz w:val="20"/>
                <w:szCs w:val="20"/>
                <w:lang w:val="fr-FR"/>
              </w:rPr>
            </w:pPr>
            <w:proofErr w:type="spellStart"/>
            <w:r w:rsidRPr="0097258B">
              <w:rPr>
                <w:rFonts w:ascii="Times New Roman" w:hAnsi="Times New Roman"/>
                <w:sz w:val="20"/>
                <w:szCs w:val="20"/>
              </w:rPr>
              <w:t>Pertes</w:t>
            </w:r>
            <w:proofErr w:type="spellEnd"/>
            <w:r w:rsidRPr="0097258B">
              <w:rPr>
                <w:rFonts w:ascii="Times New Roman" w:hAnsi="Times New Roman"/>
                <w:sz w:val="20"/>
                <w:szCs w:val="20"/>
              </w:rPr>
              <w:t xml:space="preserve"> de </w:t>
            </w:r>
            <w:proofErr w:type="spellStart"/>
            <w:r w:rsidRPr="0097258B">
              <w:rPr>
                <w:rFonts w:ascii="Times New Roman" w:hAnsi="Times New Roman"/>
                <w:sz w:val="20"/>
                <w:szCs w:val="20"/>
              </w:rPr>
              <w:t>patrimoines</w:t>
            </w:r>
            <w:proofErr w:type="spellEnd"/>
            <w:r w:rsidRPr="0097258B">
              <w:rPr>
                <w:rFonts w:ascii="Times New Roman" w:hAnsi="Times New Roman"/>
                <w:sz w:val="20"/>
                <w:szCs w:val="20"/>
              </w:rPr>
              <w:t xml:space="preserve"> </w:t>
            </w:r>
            <w:proofErr w:type="spellStart"/>
            <w:r w:rsidRPr="0097258B">
              <w:rPr>
                <w:rFonts w:ascii="Times New Roman" w:hAnsi="Times New Roman"/>
                <w:sz w:val="20"/>
                <w:szCs w:val="20"/>
              </w:rPr>
              <w:t>culturels</w:t>
            </w:r>
            <w:proofErr w:type="spellEnd"/>
          </w:p>
        </w:tc>
      </w:tr>
      <w:tr w:rsidR="00BD1A2F" w:rsidRPr="00632C4D" w14:paraId="6889616F" w14:textId="77777777" w:rsidTr="003A0E4A">
        <w:trPr>
          <w:trHeight w:val="58"/>
        </w:trPr>
        <w:tc>
          <w:tcPr>
            <w:tcW w:w="827" w:type="pct"/>
          </w:tcPr>
          <w:p w14:paraId="49A65E47" w14:textId="77777777" w:rsidR="00DE241D" w:rsidRPr="0097258B" w:rsidRDefault="00DE241D" w:rsidP="00E20250">
            <w:pPr>
              <w:spacing w:line="240" w:lineRule="auto"/>
              <w:rPr>
                <w:rFonts w:ascii="Times New Roman" w:hAnsi="Times New Roman"/>
                <w:sz w:val="20"/>
                <w:szCs w:val="20"/>
                <w:lang w:val="fr-FR"/>
              </w:rPr>
            </w:pPr>
            <w:proofErr w:type="spellStart"/>
            <w:r w:rsidRPr="0097258B">
              <w:rPr>
                <w:rFonts w:ascii="Times New Roman" w:hAnsi="Times New Roman"/>
                <w:sz w:val="20"/>
                <w:szCs w:val="20"/>
              </w:rPr>
              <w:t>Mesures</w:t>
            </w:r>
            <w:proofErr w:type="spellEnd"/>
            <w:r w:rsidRPr="0097258B">
              <w:rPr>
                <w:rFonts w:ascii="Times New Roman" w:hAnsi="Times New Roman"/>
                <w:sz w:val="20"/>
                <w:szCs w:val="20"/>
              </w:rPr>
              <w:t xml:space="preserve"> de </w:t>
            </w:r>
            <w:proofErr w:type="spellStart"/>
            <w:r w:rsidRPr="0097258B">
              <w:rPr>
                <w:rFonts w:ascii="Times New Roman" w:hAnsi="Times New Roman"/>
                <w:sz w:val="20"/>
                <w:szCs w:val="20"/>
              </w:rPr>
              <w:t>prévention</w:t>
            </w:r>
            <w:proofErr w:type="spellEnd"/>
          </w:p>
        </w:tc>
        <w:tc>
          <w:tcPr>
            <w:tcW w:w="4173" w:type="pct"/>
            <w:gridSpan w:val="5"/>
          </w:tcPr>
          <w:p w14:paraId="0E7B9E77" w14:textId="77777777" w:rsidR="00DE241D" w:rsidRPr="0097258B" w:rsidRDefault="00DE241D" w:rsidP="001748C6">
            <w:pPr>
              <w:pStyle w:val="Default"/>
              <w:numPr>
                <w:ilvl w:val="0"/>
                <w:numId w:val="326"/>
              </w:numPr>
              <w:overflowPunct w:val="0"/>
              <w:ind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Former les travailleurs sur la procédure à adopter en cas de découverte fortuite de vestiges culturels ;</w:t>
            </w:r>
          </w:p>
          <w:p w14:paraId="377AF873" w14:textId="77777777" w:rsidR="00DE241D" w:rsidRPr="0097258B" w:rsidRDefault="00DE241D" w:rsidP="001748C6">
            <w:pPr>
              <w:pStyle w:val="Default"/>
              <w:numPr>
                <w:ilvl w:val="0"/>
                <w:numId w:val="326"/>
              </w:numPr>
              <w:overflowPunct w:val="0"/>
              <w:ind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En cas de découverte fortuite de vestiges culturels :</w:t>
            </w:r>
          </w:p>
          <w:p w14:paraId="039A169E" w14:textId="77777777" w:rsidR="00DE241D" w:rsidRPr="0097258B" w:rsidRDefault="00DE241D" w:rsidP="001748C6">
            <w:pPr>
              <w:pStyle w:val="Default"/>
              <w:numPr>
                <w:ilvl w:val="0"/>
                <w:numId w:val="369"/>
              </w:numPr>
              <w:overflowPunct w:val="0"/>
              <w:ind w:left="1055"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Arrêter</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immédiatement</w:t>
            </w:r>
            <w:proofErr w:type="spellEnd"/>
            <w:r w:rsidRPr="0097258B">
              <w:rPr>
                <w:rFonts w:ascii="Times New Roman" w:hAnsi="Times New Roman" w:cs="Times New Roman"/>
                <w:color w:val="000000" w:themeColor="text1"/>
                <w:sz w:val="20"/>
                <w:szCs w:val="20"/>
              </w:rPr>
              <w:t xml:space="preserve"> les </w:t>
            </w:r>
            <w:proofErr w:type="gramStart"/>
            <w:r w:rsidRPr="0097258B">
              <w:rPr>
                <w:rFonts w:ascii="Times New Roman" w:hAnsi="Times New Roman" w:cs="Times New Roman"/>
                <w:color w:val="000000" w:themeColor="text1"/>
                <w:sz w:val="20"/>
                <w:szCs w:val="20"/>
              </w:rPr>
              <w:t>travaux ;</w:t>
            </w:r>
            <w:proofErr w:type="gramEnd"/>
          </w:p>
          <w:p w14:paraId="49625FC6" w14:textId="77777777" w:rsidR="00DE241D" w:rsidRPr="0097258B" w:rsidRDefault="00DE241D" w:rsidP="001748C6">
            <w:pPr>
              <w:pStyle w:val="Default"/>
              <w:numPr>
                <w:ilvl w:val="0"/>
                <w:numId w:val="369"/>
              </w:numPr>
              <w:overflowPunct w:val="0"/>
              <w:ind w:left="1055"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Circonscrire la zone de découverte ;</w:t>
            </w:r>
          </w:p>
          <w:p w14:paraId="5E01077E" w14:textId="19AFBE64" w:rsidR="00DE241D" w:rsidRPr="0097258B" w:rsidRDefault="00DE241D" w:rsidP="001748C6">
            <w:pPr>
              <w:pStyle w:val="Default"/>
              <w:numPr>
                <w:ilvl w:val="0"/>
                <w:numId w:val="369"/>
              </w:numPr>
              <w:overflowPunct w:val="0"/>
              <w:ind w:left="1055" w:right="57"/>
              <w:jc w:val="both"/>
              <w:textAlignment w:val="baseline"/>
              <w:rPr>
                <w:rFonts w:ascii="Times New Roman" w:hAnsi="Times New Roman" w:cs="Times New Roman"/>
                <w:sz w:val="20"/>
                <w:szCs w:val="20"/>
                <w:lang w:val="fr-FR"/>
              </w:rPr>
            </w:pPr>
            <w:r w:rsidRPr="0097258B">
              <w:rPr>
                <w:rFonts w:ascii="Times New Roman" w:hAnsi="Times New Roman" w:cs="Times New Roman"/>
                <w:color w:val="000000" w:themeColor="text1"/>
                <w:sz w:val="20"/>
                <w:szCs w:val="20"/>
                <w:lang w:val="fr-SN"/>
              </w:rPr>
              <w:t>Informer les autorités</w:t>
            </w:r>
            <w:r w:rsidR="00BA21A6" w:rsidRPr="00301AF6">
              <w:rPr>
                <w:rFonts w:ascii="Times New Roman" w:hAnsi="Times New Roman" w:cs="Times New Roman"/>
                <w:color w:val="000000" w:themeColor="text1"/>
                <w:sz w:val="20"/>
                <w:szCs w:val="20"/>
                <w:lang w:val="fr-FR"/>
              </w:rPr>
              <w:t xml:space="preserve"> compétentes</w:t>
            </w:r>
            <w:r w:rsidRPr="0097258B">
              <w:rPr>
                <w:rFonts w:ascii="Times New Roman" w:hAnsi="Times New Roman" w:cs="Times New Roman"/>
                <w:color w:val="000000" w:themeColor="text1"/>
                <w:sz w:val="20"/>
                <w:szCs w:val="20"/>
                <w:lang w:val="fr-SN"/>
              </w:rPr>
              <w:t xml:space="preserve"> et appliquer strictement leurs consignes</w:t>
            </w:r>
            <w:r w:rsidR="00BA21A6" w:rsidRPr="00301AF6">
              <w:rPr>
                <w:rFonts w:ascii="Times New Roman" w:hAnsi="Times New Roman" w:cs="Times New Roman"/>
                <w:color w:val="000000" w:themeColor="text1"/>
                <w:sz w:val="20"/>
                <w:szCs w:val="20"/>
                <w:lang w:val="fr-FR"/>
              </w:rPr>
              <w:t>.</w:t>
            </w:r>
          </w:p>
        </w:tc>
      </w:tr>
      <w:tr w:rsidR="00BD1A2F" w:rsidRPr="00632C4D" w14:paraId="3C0A1520" w14:textId="77777777" w:rsidTr="003A0E4A">
        <w:trPr>
          <w:trHeight w:val="230"/>
        </w:trPr>
        <w:tc>
          <w:tcPr>
            <w:tcW w:w="827" w:type="pct"/>
          </w:tcPr>
          <w:p w14:paraId="796BD868" w14:textId="77777777" w:rsidR="00DE241D" w:rsidRPr="0097258B" w:rsidRDefault="00DE241D" w:rsidP="00E20250">
            <w:pPr>
              <w:spacing w:line="240" w:lineRule="auto"/>
              <w:rPr>
                <w:rFonts w:ascii="Times New Roman" w:hAnsi="Times New Roman"/>
                <w:sz w:val="20"/>
                <w:szCs w:val="20"/>
                <w:lang w:val="fr-FR"/>
              </w:rPr>
            </w:pPr>
          </w:p>
        </w:tc>
        <w:tc>
          <w:tcPr>
            <w:tcW w:w="1024" w:type="pct"/>
          </w:tcPr>
          <w:p w14:paraId="3959FC00" w14:textId="77777777" w:rsidR="00DE241D" w:rsidRPr="0097258B" w:rsidRDefault="00DE241D" w:rsidP="00E20250">
            <w:pPr>
              <w:spacing w:line="240" w:lineRule="auto"/>
              <w:rPr>
                <w:rFonts w:ascii="Times New Roman" w:hAnsi="Times New Roman"/>
                <w:b/>
                <w:bCs/>
                <w:sz w:val="20"/>
                <w:szCs w:val="20"/>
                <w:lang w:val="fr-FR"/>
              </w:rPr>
            </w:pPr>
            <w:r w:rsidRPr="0097258B">
              <w:rPr>
                <w:rFonts w:ascii="Times New Roman" w:hAnsi="Times New Roman"/>
                <w:b/>
                <w:bCs/>
                <w:sz w:val="20"/>
                <w:szCs w:val="20"/>
              </w:rPr>
              <w:t>Risque final</w:t>
            </w:r>
          </w:p>
        </w:tc>
        <w:tc>
          <w:tcPr>
            <w:tcW w:w="655" w:type="pct"/>
          </w:tcPr>
          <w:p w14:paraId="4C256D55"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Probabilité</w:t>
            </w:r>
            <w:proofErr w:type="spellEnd"/>
          </w:p>
        </w:tc>
        <w:tc>
          <w:tcPr>
            <w:tcW w:w="470" w:type="pct"/>
          </w:tcPr>
          <w:p w14:paraId="52E02DD8"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Gravité</w:t>
            </w:r>
            <w:proofErr w:type="spellEnd"/>
          </w:p>
        </w:tc>
        <w:tc>
          <w:tcPr>
            <w:tcW w:w="504" w:type="pct"/>
          </w:tcPr>
          <w:p w14:paraId="7D4B9ABF"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Criticité</w:t>
            </w:r>
            <w:proofErr w:type="spellEnd"/>
          </w:p>
        </w:tc>
        <w:tc>
          <w:tcPr>
            <w:tcW w:w="1520" w:type="pct"/>
          </w:tcPr>
          <w:p w14:paraId="587C8513"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Dommage</w:t>
            </w:r>
            <w:proofErr w:type="spellEnd"/>
            <w:r w:rsidRPr="0097258B">
              <w:rPr>
                <w:rFonts w:ascii="Times New Roman" w:hAnsi="Times New Roman"/>
                <w:b/>
                <w:bCs/>
                <w:sz w:val="20"/>
                <w:szCs w:val="20"/>
              </w:rPr>
              <w:t xml:space="preserve"> </w:t>
            </w:r>
            <w:proofErr w:type="spellStart"/>
            <w:r w:rsidRPr="0097258B">
              <w:rPr>
                <w:rFonts w:ascii="Times New Roman" w:hAnsi="Times New Roman"/>
                <w:b/>
                <w:bCs/>
                <w:sz w:val="20"/>
                <w:szCs w:val="20"/>
              </w:rPr>
              <w:t>résiduel</w:t>
            </w:r>
            <w:proofErr w:type="spellEnd"/>
          </w:p>
        </w:tc>
      </w:tr>
      <w:tr w:rsidR="00BD1A2F" w:rsidRPr="00632C4D" w14:paraId="311ED427" w14:textId="77777777" w:rsidTr="003A0E4A">
        <w:trPr>
          <w:trHeight w:val="458"/>
        </w:trPr>
        <w:tc>
          <w:tcPr>
            <w:tcW w:w="827" w:type="pct"/>
          </w:tcPr>
          <w:p w14:paraId="69D943B0" w14:textId="77777777" w:rsidR="00DE241D" w:rsidRPr="0097258B" w:rsidRDefault="00DE241D" w:rsidP="00E20250">
            <w:pPr>
              <w:spacing w:line="240" w:lineRule="auto"/>
              <w:rPr>
                <w:rFonts w:ascii="Times New Roman" w:hAnsi="Times New Roman"/>
                <w:sz w:val="20"/>
                <w:szCs w:val="20"/>
                <w:lang w:val="fr-FR"/>
              </w:rPr>
            </w:pPr>
            <w:r w:rsidRPr="0097258B">
              <w:rPr>
                <w:rFonts w:ascii="Times New Roman" w:hAnsi="Times New Roman"/>
                <w:sz w:val="20"/>
                <w:szCs w:val="20"/>
              </w:rPr>
              <w:t xml:space="preserve">Après </w:t>
            </w:r>
            <w:proofErr w:type="spellStart"/>
            <w:r w:rsidRPr="0097258B">
              <w:rPr>
                <w:rFonts w:ascii="Times New Roman" w:hAnsi="Times New Roman"/>
                <w:sz w:val="20"/>
                <w:szCs w:val="20"/>
              </w:rPr>
              <w:t>prévention</w:t>
            </w:r>
            <w:proofErr w:type="spellEnd"/>
          </w:p>
        </w:tc>
        <w:tc>
          <w:tcPr>
            <w:tcW w:w="1024" w:type="pct"/>
          </w:tcPr>
          <w:p w14:paraId="4F06B9B0" w14:textId="3A31FEB5" w:rsidR="00DE241D" w:rsidRPr="0097258B" w:rsidRDefault="009E47A7" w:rsidP="00E20250">
            <w:pPr>
              <w:spacing w:line="240" w:lineRule="auto"/>
              <w:rPr>
                <w:rFonts w:ascii="Times New Roman" w:hAnsi="Times New Roman"/>
                <w:sz w:val="20"/>
                <w:szCs w:val="20"/>
                <w:lang w:val="fr-FR"/>
              </w:rPr>
            </w:pPr>
            <w:proofErr w:type="spellStart"/>
            <w:r w:rsidRPr="0097258B">
              <w:rPr>
                <w:rFonts w:ascii="Times New Roman" w:hAnsi="Times New Roman"/>
                <w:sz w:val="20"/>
                <w:szCs w:val="20"/>
              </w:rPr>
              <w:t>Altération</w:t>
            </w:r>
            <w:proofErr w:type="spellEnd"/>
            <w:r w:rsidRPr="0097258B">
              <w:rPr>
                <w:rFonts w:ascii="Times New Roman" w:hAnsi="Times New Roman"/>
                <w:sz w:val="20"/>
                <w:szCs w:val="20"/>
              </w:rPr>
              <w:t xml:space="preserve"> de vestiges </w:t>
            </w:r>
            <w:proofErr w:type="spellStart"/>
            <w:r w:rsidRPr="0097258B">
              <w:rPr>
                <w:rFonts w:ascii="Times New Roman" w:hAnsi="Times New Roman"/>
                <w:sz w:val="20"/>
                <w:szCs w:val="20"/>
              </w:rPr>
              <w:t>culturels</w:t>
            </w:r>
            <w:proofErr w:type="spellEnd"/>
          </w:p>
        </w:tc>
        <w:tc>
          <w:tcPr>
            <w:tcW w:w="655" w:type="pct"/>
          </w:tcPr>
          <w:p w14:paraId="500E6D5A" w14:textId="77777777" w:rsidR="00DE241D" w:rsidRPr="0097258B" w:rsidRDefault="00DE241D" w:rsidP="00A92B22">
            <w:pPr>
              <w:spacing w:line="240" w:lineRule="auto"/>
              <w:jc w:val="center"/>
              <w:rPr>
                <w:rFonts w:ascii="Times New Roman" w:hAnsi="Times New Roman"/>
                <w:b/>
                <w:bCs/>
                <w:sz w:val="20"/>
                <w:szCs w:val="20"/>
                <w:lang w:val="fr-FR"/>
              </w:rPr>
            </w:pPr>
            <w:r w:rsidRPr="0097258B">
              <w:rPr>
                <w:rFonts w:ascii="Times New Roman" w:hAnsi="Times New Roman"/>
                <w:b/>
                <w:bCs/>
                <w:sz w:val="20"/>
                <w:szCs w:val="20"/>
              </w:rPr>
              <w:t>1</w:t>
            </w:r>
          </w:p>
        </w:tc>
        <w:tc>
          <w:tcPr>
            <w:tcW w:w="470" w:type="pct"/>
          </w:tcPr>
          <w:p w14:paraId="5485FC6C" w14:textId="77777777" w:rsidR="00DE241D" w:rsidRPr="0097258B" w:rsidRDefault="00DE241D" w:rsidP="00A92B22">
            <w:pPr>
              <w:spacing w:line="240" w:lineRule="auto"/>
              <w:jc w:val="center"/>
              <w:rPr>
                <w:rFonts w:ascii="Times New Roman" w:hAnsi="Times New Roman"/>
                <w:b/>
                <w:bCs/>
                <w:sz w:val="20"/>
                <w:szCs w:val="20"/>
                <w:lang w:val="fr-FR"/>
              </w:rPr>
            </w:pPr>
            <w:r w:rsidRPr="0097258B">
              <w:rPr>
                <w:rFonts w:ascii="Times New Roman" w:hAnsi="Times New Roman"/>
                <w:b/>
                <w:bCs/>
                <w:sz w:val="20"/>
                <w:szCs w:val="20"/>
              </w:rPr>
              <w:t>2</w:t>
            </w:r>
          </w:p>
        </w:tc>
        <w:tc>
          <w:tcPr>
            <w:tcW w:w="504" w:type="pct"/>
            <w:shd w:val="clear" w:color="auto" w:fill="92D050"/>
          </w:tcPr>
          <w:p w14:paraId="33319633" w14:textId="77777777" w:rsidR="00DE241D" w:rsidRPr="0097258B" w:rsidRDefault="00DE241D" w:rsidP="00A92B22">
            <w:pPr>
              <w:spacing w:line="240" w:lineRule="auto"/>
              <w:jc w:val="center"/>
              <w:rPr>
                <w:rFonts w:ascii="Times New Roman" w:hAnsi="Times New Roman"/>
                <w:b/>
                <w:bCs/>
                <w:sz w:val="20"/>
                <w:szCs w:val="20"/>
                <w:lang w:val="fr-FR"/>
              </w:rPr>
            </w:pPr>
            <w:r w:rsidRPr="0097258B">
              <w:rPr>
                <w:rFonts w:ascii="Times New Roman" w:hAnsi="Times New Roman"/>
                <w:b/>
                <w:bCs/>
                <w:sz w:val="20"/>
                <w:szCs w:val="20"/>
              </w:rPr>
              <w:t>21</w:t>
            </w:r>
          </w:p>
        </w:tc>
        <w:tc>
          <w:tcPr>
            <w:tcW w:w="1520" w:type="pct"/>
          </w:tcPr>
          <w:p w14:paraId="105BE9A3" w14:textId="77777777" w:rsidR="00DE241D" w:rsidRPr="0097258B" w:rsidRDefault="00DE241D" w:rsidP="00E20250">
            <w:pPr>
              <w:spacing w:line="240" w:lineRule="auto"/>
              <w:rPr>
                <w:rFonts w:ascii="Times New Roman" w:hAnsi="Times New Roman"/>
                <w:sz w:val="20"/>
                <w:szCs w:val="20"/>
                <w:lang w:val="fr-FR"/>
              </w:rPr>
            </w:pPr>
            <w:proofErr w:type="spellStart"/>
            <w:r w:rsidRPr="0097258B">
              <w:rPr>
                <w:rFonts w:ascii="Times New Roman" w:hAnsi="Times New Roman"/>
                <w:sz w:val="20"/>
                <w:szCs w:val="20"/>
              </w:rPr>
              <w:t>Endommagement</w:t>
            </w:r>
            <w:proofErr w:type="spellEnd"/>
            <w:r w:rsidRPr="0097258B">
              <w:rPr>
                <w:rFonts w:ascii="Times New Roman" w:hAnsi="Times New Roman"/>
                <w:sz w:val="20"/>
                <w:szCs w:val="20"/>
              </w:rPr>
              <w:t xml:space="preserve"> de </w:t>
            </w:r>
            <w:proofErr w:type="spellStart"/>
            <w:r w:rsidRPr="0097258B">
              <w:rPr>
                <w:rFonts w:ascii="Times New Roman" w:hAnsi="Times New Roman"/>
                <w:sz w:val="20"/>
                <w:szCs w:val="20"/>
              </w:rPr>
              <w:t>patrimoines</w:t>
            </w:r>
            <w:proofErr w:type="spellEnd"/>
            <w:r w:rsidRPr="0097258B">
              <w:rPr>
                <w:rFonts w:ascii="Times New Roman" w:hAnsi="Times New Roman"/>
                <w:sz w:val="20"/>
                <w:szCs w:val="20"/>
              </w:rPr>
              <w:t xml:space="preserve"> </w:t>
            </w:r>
            <w:proofErr w:type="spellStart"/>
            <w:r w:rsidRPr="0097258B">
              <w:rPr>
                <w:rFonts w:ascii="Times New Roman" w:hAnsi="Times New Roman"/>
                <w:sz w:val="20"/>
                <w:szCs w:val="20"/>
              </w:rPr>
              <w:t>culturels</w:t>
            </w:r>
            <w:proofErr w:type="spellEnd"/>
          </w:p>
        </w:tc>
      </w:tr>
    </w:tbl>
    <w:p w14:paraId="06BDB004" w14:textId="77777777" w:rsidR="00DE241D" w:rsidRPr="00260790" w:rsidRDefault="00DE241D" w:rsidP="00F83414">
      <w:pPr>
        <w:spacing w:after="0" w:line="240" w:lineRule="auto"/>
        <w:rPr>
          <w:rFonts w:ascii="Times New Roman" w:hAnsi="Times New Roman"/>
          <w:color w:val="000000" w:themeColor="text1"/>
        </w:rPr>
      </w:pPr>
    </w:p>
    <w:p w14:paraId="361646BF" w14:textId="77777777" w:rsidR="00DE241D" w:rsidRPr="00260790" w:rsidRDefault="00DE241D" w:rsidP="00E20250">
      <w:pPr>
        <w:pStyle w:val="Paragraphedeliste"/>
        <w:numPr>
          <w:ilvl w:val="4"/>
          <w:numId w:val="0"/>
        </w:numPr>
        <w:spacing w:after="0" w:line="240" w:lineRule="auto"/>
        <w:ind w:left="1080" w:hanging="1080"/>
        <w:jc w:val="both"/>
        <w:rPr>
          <w:rFonts w:ascii="Times New Roman" w:hAnsi="Times New Roman"/>
          <w:b/>
          <w:bCs/>
          <w:color w:val="000000" w:themeColor="text1"/>
        </w:rPr>
      </w:pPr>
      <w:r w:rsidRPr="00260790">
        <w:rPr>
          <w:rFonts w:ascii="Times New Roman" w:hAnsi="Times New Roman"/>
          <w:b/>
          <w:bCs/>
          <w:color w:val="000000" w:themeColor="text1"/>
        </w:rPr>
        <w:t>Impacts négatifs et risques associés à l’installation et au fonctionnement de la base de chantier</w:t>
      </w:r>
    </w:p>
    <w:p w14:paraId="0FA4D732" w14:textId="77777777" w:rsidR="00DE241D" w:rsidRPr="00260790" w:rsidRDefault="00DE241D" w:rsidP="00E20250">
      <w:pPr>
        <w:pStyle w:val="Paragraphedeliste"/>
        <w:spacing w:line="240" w:lineRule="auto"/>
        <w:ind w:left="1080"/>
        <w:jc w:val="both"/>
        <w:rPr>
          <w:rFonts w:ascii="Times New Roman" w:hAnsi="Times New Roman"/>
          <w:b/>
          <w:bCs/>
          <w:color w:val="000000" w:themeColor="text1"/>
        </w:rPr>
      </w:pPr>
    </w:p>
    <w:p w14:paraId="546D66CF" w14:textId="76009F5B" w:rsidR="00DE241D" w:rsidRPr="00260790" w:rsidRDefault="00DE241D" w:rsidP="001748C6">
      <w:pPr>
        <w:pStyle w:val="Paragraphedeliste"/>
        <w:numPr>
          <w:ilvl w:val="0"/>
          <w:numId w:val="334"/>
        </w:numPr>
        <w:spacing w:after="0" w:line="240" w:lineRule="auto"/>
        <w:jc w:val="both"/>
        <w:rPr>
          <w:rFonts w:ascii="Times New Roman" w:hAnsi="Times New Roman"/>
          <w:i/>
          <w:iCs/>
          <w:color w:val="000000" w:themeColor="text1"/>
          <w:u w:val="single"/>
        </w:rPr>
      </w:pPr>
      <w:r w:rsidRPr="00260790">
        <w:rPr>
          <w:rFonts w:ascii="Times New Roman" w:hAnsi="Times New Roman"/>
          <w:i/>
          <w:iCs/>
          <w:color w:val="000000" w:themeColor="text1"/>
          <w:u w:val="single"/>
        </w:rPr>
        <w:t>Impacts négatifs et risques sur le milieu humain</w:t>
      </w:r>
    </w:p>
    <w:p w14:paraId="20DC57DF" w14:textId="77777777" w:rsidR="005645DC" w:rsidRPr="00260790" w:rsidRDefault="005645DC" w:rsidP="00E20250">
      <w:pPr>
        <w:pStyle w:val="Paragraphedeliste"/>
        <w:spacing w:after="0" w:line="240" w:lineRule="auto"/>
        <w:jc w:val="both"/>
        <w:rPr>
          <w:rFonts w:ascii="Times New Roman" w:hAnsi="Times New Roman"/>
          <w:i/>
          <w:iCs/>
          <w:color w:val="000000" w:themeColor="text1"/>
          <w:u w:val="single"/>
        </w:rPr>
      </w:pPr>
    </w:p>
    <w:p w14:paraId="040E0458" w14:textId="77777777" w:rsidR="00DE241D" w:rsidRPr="00260790" w:rsidRDefault="00DE241D" w:rsidP="001748C6">
      <w:pPr>
        <w:pStyle w:val="Corpsdetexte"/>
        <w:widowControl w:val="0"/>
        <w:numPr>
          <w:ilvl w:val="0"/>
          <w:numId w:val="308"/>
        </w:numPr>
        <w:pBdr>
          <w:top w:val="none" w:sz="0" w:space="0" w:color="auto"/>
          <w:left w:val="none" w:sz="0" w:space="0" w:color="auto"/>
          <w:bottom w:val="none" w:sz="0" w:space="0" w:color="auto"/>
          <w:right w:val="none" w:sz="0" w:space="0" w:color="auto"/>
        </w:pBdr>
        <w:shd w:val="clear" w:color="auto" w:fill="auto"/>
        <w:tabs>
          <w:tab w:val="clear" w:pos="4393"/>
        </w:tabs>
        <w:autoSpaceDE w:val="0"/>
        <w:autoSpaceDN w:val="0"/>
        <w:spacing w:before="1"/>
        <w:ind w:right="340"/>
        <w:jc w:val="both"/>
        <w:rPr>
          <w:b w:val="0"/>
          <w:i/>
          <w:color w:val="000000" w:themeColor="text1"/>
          <w:sz w:val="22"/>
          <w:szCs w:val="22"/>
        </w:rPr>
      </w:pPr>
      <w:r w:rsidRPr="00260790">
        <w:rPr>
          <w:i/>
          <w:color w:val="000000" w:themeColor="text1"/>
          <w:sz w:val="22"/>
          <w:szCs w:val="22"/>
        </w:rPr>
        <w:t xml:space="preserve">RI-6. Risque d’EAS/HS-VCE </w:t>
      </w:r>
    </w:p>
    <w:p w14:paraId="28C96216" w14:textId="77777777" w:rsidR="00DE241D" w:rsidRPr="00260790" w:rsidRDefault="00DE241D" w:rsidP="00E20250">
      <w:pPr>
        <w:pStyle w:val="Normaltableau0"/>
        <w:jc w:val="both"/>
        <w:rPr>
          <w:rFonts w:ascii="Times New Roman" w:hAnsi="Times New Roman"/>
          <w:color w:val="000000" w:themeColor="text1"/>
          <w:sz w:val="22"/>
          <w:szCs w:val="22"/>
        </w:rPr>
      </w:pPr>
      <w:r w:rsidRPr="00260790">
        <w:rPr>
          <w:rFonts w:ascii="Times New Roman" w:hAnsi="Times New Roman"/>
          <w:color w:val="000000" w:themeColor="text1"/>
          <w:sz w:val="22"/>
          <w:szCs w:val="22"/>
        </w:rPr>
        <w:t xml:space="preserve">Ce risque renvoie aux discriminations notamment à l’emploi et basées sur le genre, aux exploitation-abus sexuels/harcèlements sexuels y compris les tentatives d'abus de position de vulnérabilité, de pouvoir différentiel ou de confiance à des fins sexuelles ; les avances sexuelles, les demandes de faveurs sexuelles et tout autre comportement verbal ou physique répréhensible de nature sexuelle avec d'autres membres du personnel, des postulants aux emplois qui seront créés ou avec des riverains des aires de travail. Ce risque englobe aussi le travail des enfants. </w:t>
      </w:r>
    </w:p>
    <w:p w14:paraId="50C4AFB9" w14:textId="5618474A" w:rsidR="00DE241D" w:rsidRPr="00260790" w:rsidRDefault="00DE241D" w:rsidP="00E20250">
      <w:pPr>
        <w:pStyle w:val="Normaltableau0"/>
        <w:jc w:val="both"/>
        <w:rPr>
          <w:rFonts w:ascii="Times New Roman" w:hAnsi="Times New Roman"/>
          <w:color w:val="000000" w:themeColor="text1"/>
          <w:spacing w:val="-2"/>
          <w:sz w:val="22"/>
          <w:szCs w:val="22"/>
        </w:rPr>
      </w:pPr>
      <w:r w:rsidRPr="00260790">
        <w:rPr>
          <w:rFonts w:ascii="Times New Roman" w:hAnsi="Times New Roman"/>
          <w:color w:val="000000" w:themeColor="text1"/>
          <w:sz w:val="22"/>
          <w:szCs w:val="22"/>
        </w:rPr>
        <w:t>Toute discrimination et tout abus/harcèlements sexuel</w:t>
      </w:r>
      <w:r w:rsidR="0062123B" w:rsidRPr="00260790">
        <w:rPr>
          <w:rFonts w:ascii="Times New Roman" w:hAnsi="Times New Roman"/>
          <w:color w:val="000000" w:themeColor="text1"/>
          <w:sz w:val="22"/>
          <w:szCs w:val="22"/>
        </w:rPr>
        <w:t>s</w:t>
      </w:r>
      <w:r w:rsidRPr="00260790">
        <w:rPr>
          <w:rFonts w:ascii="Times New Roman" w:hAnsi="Times New Roman"/>
          <w:color w:val="000000" w:themeColor="text1"/>
          <w:sz w:val="22"/>
          <w:szCs w:val="22"/>
        </w:rPr>
        <w:t xml:space="preserve"> devront être proscrits dans le cadre du projet</w:t>
      </w:r>
      <w:r w:rsidRPr="00260790">
        <w:rPr>
          <w:rFonts w:ascii="Times New Roman" w:hAnsi="Times New Roman"/>
          <w:color w:val="000000" w:themeColor="text1"/>
          <w:spacing w:val="-2"/>
          <w:sz w:val="22"/>
          <w:szCs w:val="22"/>
        </w:rPr>
        <w:t>.</w:t>
      </w:r>
    </w:p>
    <w:p w14:paraId="24961BDC" w14:textId="40736307" w:rsidR="00DE241D" w:rsidRDefault="00DE241D" w:rsidP="00E20250">
      <w:pPr>
        <w:pStyle w:val="Normaltableau0"/>
        <w:jc w:val="both"/>
        <w:rPr>
          <w:rFonts w:ascii="Times New Roman" w:hAnsi="Times New Roman"/>
          <w:b/>
          <w:color w:val="000000" w:themeColor="text1"/>
          <w:spacing w:val="-5"/>
          <w:sz w:val="22"/>
          <w:szCs w:val="22"/>
        </w:rPr>
      </w:pPr>
      <w:r w:rsidRPr="00260790">
        <w:rPr>
          <w:rFonts w:ascii="Times New Roman" w:hAnsi="Times New Roman"/>
          <w:color w:val="000000" w:themeColor="text1"/>
          <w:spacing w:val="-2"/>
          <w:sz w:val="22"/>
          <w:szCs w:val="22"/>
        </w:rPr>
        <w:t xml:space="preserve">Ci-dessous le résumé de l’analyse du risque </w:t>
      </w:r>
      <w:r w:rsidRPr="00260790">
        <w:rPr>
          <w:rFonts w:ascii="Times New Roman" w:hAnsi="Times New Roman"/>
          <w:bCs/>
          <w:color w:val="000000" w:themeColor="text1"/>
          <w:sz w:val="22"/>
          <w:szCs w:val="22"/>
        </w:rPr>
        <w:t>d’</w:t>
      </w:r>
      <w:r w:rsidRPr="00260790">
        <w:rPr>
          <w:rFonts w:ascii="Times New Roman" w:hAnsi="Times New Roman"/>
          <w:bCs/>
          <w:color w:val="000000" w:themeColor="text1"/>
          <w:spacing w:val="-5"/>
          <w:sz w:val="22"/>
          <w:szCs w:val="22"/>
        </w:rPr>
        <w:t>EAS/HS-VCE</w:t>
      </w:r>
      <w:r w:rsidRPr="00260790">
        <w:rPr>
          <w:rFonts w:ascii="Times New Roman" w:hAnsi="Times New Roman"/>
          <w:b/>
          <w:color w:val="000000" w:themeColor="text1"/>
          <w:spacing w:val="-5"/>
          <w:sz w:val="22"/>
          <w:szCs w:val="22"/>
        </w:rPr>
        <w:t>.</w:t>
      </w:r>
    </w:p>
    <w:p w14:paraId="25AAE361" w14:textId="77777777" w:rsidR="00D23949" w:rsidRPr="0097258B" w:rsidRDefault="00D23949" w:rsidP="00E20250">
      <w:pPr>
        <w:pStyle w:val="Normaltableau0"/>
        <w:jc w:val="both"/>
        <w:rPr>
          <w:rFonts w:ascii="Times New Roman" w:hAnsi="Times New Roman"/>
          <w:i/>
          <w:color w:val="000000" w:themeColor="text1"/>
          <w:sz w:val="22"/>
          <w:szCs w:val="22"/>
        </w:rPr>
      </w:pPr>
    </w:p>
    <w:p w14:paraId="2DB77D9F" w14:textId="2B053242" w:rsidR="00DE241D" w:rsidRPr="0097258B" w:rsidRDefault="00DE241D" w:rsidP="00E20250">
      <w:pPr>
        <w:spacing w:line="240" w:lineRule="auto"/>
        <w:rPr>
          <w:rFonts w:ascii="Times New Roman" w:hAnsi="Times New Roman"/>
          <w:i/>
          <w:color w:val="000000" w:themeColor="text1"/>
        </w:rPr>
      </w:pPr>
      <w:bookmarkStart w:id="621" w:name="_Toc207781879"/>
      <w:r w:rsidRPr="0097258B">
        <w:rPr>
          <w:rFonts w:ascii="Times New Roman" w:hAnsi="Times New Roman"/>
          <w:i/>
          <w:color w:val="000000" w:themeColor="text1"/>
        </w:rPr>
        <w:t xml:space="preserve">Tableau </w:t>
      </w:r>
      <w:r w:rsidRPr="0097258B">
        <w:rPr>
          <w:rFonts w:ascii="Times New Roman" w:hAnsi="Times New Roman"/>
          <w:i/>
          <w:color w:val="000000" w:themeColor="text1"/>
        </w:rPr>
        <w:fldChar w:fldCharType="begin"/>
      </w:r>
      <w:r w:rsidRPr="0097258B">
        <w:rPr>
          <w:rFonts w:ascii="Times New Roman" w:hAnsi="Times New Roman"/>
          <w:i/>
          <w:color w:val="000000" w:themeColor="text1"/>
        </w:rPr>
        <w:instrText xml:space="preserve"> SEQ Tableau \* ARABIC </w:instrText>
      </w:r>
      <w:r w:rsidRPr="0097258B">
        <w:rPr>
          <w:rFonts w:ascii="Times New Roman" w:hAnsi="Times New Roman"/>
          <w:i/>
          <w:color w:val="000000" w:themeColor="text1"/>
        </w:rPr>
        <w:fldChar w:fldCharType="separate"/>
      </w:r>
      <w:r w:rsidR="003C783E">
        <w:rPr>
          <w:rFonts w:ascii="Times New Roman" w:hAnsi="Times New Roman"/>
          <w:i/>
          <w:noProof/>
          <w:color w:val="000000" w:themeColor="text1"/>
        </w:rPr>
        <w:t>38</w:t>
      </w:r>
      <w:r w:rsidRPr="0097258B">
        <w:rPr>
          <w:rFonts w:ascii="Times New Roman" w:hAnsi="Times New Roman"/>
          <w:i/>
          <w:color w:val="000000" w:themeColor="text1"/>
        </w:rPr>
        <w:fldChar w:fldCharType="end"/>
      </w:r>
      <w:r w:rsidRPr="0097258B">
        <w:rPr>
          <w:rFonts w:ascii="Times New Roman" w:hAnsi="Times New Roman"/>
          <w:i/>
          <w:color w:val="000000" w:themeColor="text1"/>
        </w:rPr>
        <w:t> :</w:t>
      </w:r>
      <w:r w:rsidRPr="0097258B">
        <w:rPr>
          <w:rFonts w:ascii="Times New Roman" w:hAnsi="Times New Roman"/>
          <w:i/>
          <w:color w:val="000000" w:themeColor="text1"/>
          <w:spacing w:val="44"/>
        </w:rPr>
        <w:t xml:space="preserve"> </w:t>
      </w:r>
      <w:r w:rsidRPr="0097258B">
        <w:rPr>
          <w:rFonts w:ascii="Times New Roman" w:hAnsi="Times New Roman"/>
          <w:i/>
          <w:color w:val="000000" w:themeColor="text1"/>
        </w:rPr>
        <w:t>résumé</w:t>
      </w:r>
      <w:r w:rsidRPr="0097258B">
        <w:rPr>
          <w:rFonts w:ascii="Times New Roman" w:hAnsi="Times New Roman"/>
          <w:i/>
          <w:color w:val="000000" w:themeColor="text1"/>
          <w:spacing w:val="51"/>
        </w:rPr>
        <w:t xml:space="preserve"> </w:t>
      </w:r>
      <w:r w:rsidRPr="0097258B">
        <w:rPr>
          <w:rFonts w:ascii="Times New Roman" w:hAnsi="Times New Roman"/>
          <w:i/>
          <w:color w:val="000000" w:themeColor="text1"/>
        </w:rPr>
        <w:t>de</w:t>
      </w:r>
      <w:r w:rsidRPr="0097258B">
        <w:rPr>
          <w:rFonts w:ascii="Times New Roman" w:hAnsi="Times New Roman"/>
          <w:i/>
          <w:color w:val="000000" w:themeColor="text1"/>
          <w:spacing w:val="51"/>
        </w:rPr>
        <w:t xml:space="preserve"> </w:t>
      </w:r>
      <w:r w:rsidRPr="0097258B">
        <w:rPr>
          <w:rFonts w:ascii="Times New Roman" w:hAnsi="Times New Roman"/>
          <w:i/>
          <w:color w:val="000000" w:themeColor="text1"/>
        </w:rPr>
        <w:t>l’évaluation</w:t>
      </w:r>
      <w:r w:rsidRPr="0097258B">
        <w:rPr>
          <w:rFonts w:ascii="Times New Roman" w:hAnsi="Times New Roman"/>
          <w:i/>
          <w:color w:val="000000" w:themeColor="text1"/>
          <w:spacing w:val="53"/>
        </w:rPr>
        <w:t xml:space="preserve"> </w:t>
      </w:r>
      <w:r w:rsidRPr="0097258B">
        <w:rPr>
          <w:rFonts w:ascii="Times New Roman" w:hAnsi="Times New Roman"/>
          <w:i/>
          <w:color w:val="000000" w:themeColor="text1"/>
        </w:rPr>
        <w:t>du</w:t>
      </w:r>
      <w:r w:rsidRPr="0097258B">
        <w:rPr>
          <w:rFonts w:ascii="Times New Roman" w:hAnsi="Times New Roman"/>
          <w:i/>
          <w:color w:val="000000" w:themeColor="text1"/>
          <w:spacing w:val="54"/>
        </w:rPr>
        <w:t xml:space="preserve"> </w:t>
      </w:r>
      <w:r w:rsidRPr="0097258B">
        <w:rPr>
          <w:rFonts w:ascii="Times New Roman" w:hAnsi="Times New Roman"/>
          <w:i/>
          <w:color w:val="000000" w:themeColor="text1"/>
        </w:rPr>
        <w:t>risque d’</w:t>
      </w:r>
      <w:r w:rsidRPr="0097258B">
        <w:rPr>
          <w:rFonts w:ascii="Times New Roman" w:hAnsi="Times New Roman"/>
          <w:i/>
          <w:color w:val="000000" w:themeColor="text1"/>
          <w:spacing w:val="-5"/>
        </w:rPr>
        <w:t>EAS/HS-VCE</w:t>
      </w:r>
      <w:bookmarkEnd w:id="621"/>
      <w:r w:rsidRPr="0097258B">
        <w:rPr>
          <w:rFonts w:ascii="Times New Roman" w:hAnsi="Times New Roman"/>
          <w:i/>
          <w:color w:val="000000" w:themeColor="text1"/>
          <w:spacing w:val="-5"/>
        </w:rPr>
        <w:t xml:space="preserve"> </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1"/>
        <w:gridCol w:w="1892"/>
        <w:gridCol w:w="1424"/>
        <w:gridCol w:w="1142"/>
        <w:gridCol w:w="1140"/>
        <w:gridCol w:w="1941"/>
      </w:tblGrid>
      <w:tr w:rsidR="00BD1A2F" w:rsidRPr="00632C4D" w14:paraId="062EBE43" w14:textId="77777777" w:rsidTr="003A0E4A">
        <w:trPr>
          <w:trHeight w:val="230"/>
        </w:trPr>
        <w:tc>
          <w:tcPr>
            <w:tcW w:w="5000" w:type="pct"/>
            <w:gridSpan w:val="6"/>
            <w:shd w:val="clear" w:color="auto" w:fill="B4C6E7" w:themeFill="accent5" w:themeFillTint="66"/>
          </w:tcPr>
          <w:p w14:paraId="735B072A" w14:textId="77777777" w:rsidR="00DE241D" w:rsidRPr="0097258B" w:rsidRDefault="00DE241D" w:rsidP="00E20250">
            <w:pPr>
              <w:spacing w:line="240" w:lineRule="auto"/>
              <w:rPr>
                <w:rFonts w:ascii="Times New Roman" w:hAnsi="Times New Roman"/>
                <w:b/>
                <w:bCs/>
                <w:sz w:val="20"/>
                <w:szCs w:val="20"/>
                <w:lang w:val="fr-FR"/>
              </w:rPr>
            </w:pPr>
            <w:r w:rsidRPr="00301AF6">
              <w:rPr>
                <w:rFonts w:ascii="Times New Roman" w:hAnsi="Times New Roman"/>
                <w:b/>
                <w:bCs/>
                <w:sz w:val="20"/>
                <w:szCs w:val="20"/>
                <w:lang w:val="fr-FR"/>
              </w:rPr>
              <w:t>RI-6. Risque d’</w:t>
            </w:r>
            <w:r w:rsidRPr="00301AF6">
              <w:rPr>
                <w:rFonts w:ascii="Times New Roman" w:hAnsi="Times New Roman"/>
                <w:b/>
                <w:bCs/>
                <w:spacing w:val="-5"/>
                <w:sz w:val="20"/>
                <w:szCs w:val="20"/>
                <w:lang w:val="fr-FR"/>
              </w:rPr>
              <w:t>EAS/HS-VCE</w:t>
            </w:r>
          </w:p>
        </w:tc>
      </w:tr>
      <w:tr w:rsidR="00BD1A2F" w:rsidRPr="00632C4D" w14:paraId="722272D6" w14:textId="77777777" w:rsidTr="003A0E4A">
        <w:trPr>
          <w:trHeight w:val="230"/>
        </w:trPr>
        <w:tc>
          <w:tcPr>
            <w:tcW w:w="5000" w:type="pct"/>
            <w:gridSpan w:val="6"/>
          </w:tcPr>
          <w:p w14:paraId="4A45C850" w14:textId="77777777" w:rsidR="00DE241D" w:rsidRPr="0097258B" w:rsidRDefault="00DE241D" w:rsidP="00E20250">
            <w:pPr>
              <w:spacing w:line="240" w:lineRule="auto"/>
              <w:rPr>
                <w:rFonts w:ascii="Times New Roman" w:hAnsi="Times New Roman"/>
                <w:sz w:val="20"/>
                <w:szCs w:val="20"/>
                <w:lang w:val="fr-FR"/>
              </w:rPr>
            </w:pPr>
            <w:r w:rsidRPr="00301AF6">
              <w:rPr>
                <w:rFonts w:ascii="Times New Roman" w:hAnsi="Times New Roman"/>
                <w:b/>
                <w:bCs/>
                <w:sz w:val="20"/>
                <w:szCs w:val="20"/>
                <w:lang w:val="fr-FR"/>
              </w:rPr>
              <w:t>Activités concernées</w:t>
            </w:r>
            <w:r w:rsidRPr="00301AF6">
              <w:rPr>
                <w:rFonts w:ascii="Times New Roman" w:hAnsi="Times New Roman"/>
                <w:sz w:val="20"/>
                <w:szCs w:val="20"/>
                <w:lang w:val="fr-FR"/>
              </w:rPr>
              <w:t xml:space="preserve"> : installation et fonctionnement de la base de chantier</w:t>
            </w:r>
          </w:p>
        </w:tc>
      </w:tr>
      <w:tr w:rsidR="00BD1A2F" w:rsidRPr="00632C4D" w14:paraId="61FE2162" w14:textId="77777777" w:rsidTr="003A0E4A">
        <w:trPr>
          <w:trHeight w:val="230"/>
        </w:trPr>
        <w:tc>
          <w:tcPr>
            <w:tcW w:w="840" w:type="pct"/>
          </w:tcPr>
          <w:p w14:paraId="2E9C6A6A" w14:textId="77777777" w:rsidR="00DE241D" w:rsidRPr="0097258B" w:rsidRDefault="00DE241D" w:rsidP="00E20250">
            <w:pPr>
              <w:spacing w:line="240" w:lineRule="auto"/>
              <w:rPr>
                <w:rFonts w:ascii="Times New Roman" w:hAnsi="Times New Roman"/>
                <w:sz w:val="20"/>
                <w:szCs w:val="20"/>
                <w:lang w:val="fr-FR"/>
              </w:rPr>
            </w:pPr>
          </w:p>
        </w:tc>
        <w:tc>
          <w:tcPr>
            <w:tcW w:w="1044" w:type="pct"/>
          </w:tcPr>
          <w:p w14:paraId="41AB22EC"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Risques</w:t>
            </w:r>
            <w:proofErr w:type="spellEnd"/>
            <w:r w:rsidRPr="0097258B">
              <w:rPr>
                <w:rFonts w:ascii="Times New Roman" w:hAnsi="Times New Roman"/>
                <w:b/>
                <w:bCs/>
                <w:sz w:val="20"/>
                <w:szCs w:val="20"/>
              </w:rPr>
              <w:t xml:space="preserve"> </w:t>
            </w:r>
            <w:proofErr w:type="spellStart"/>
            <w:r w:rsidRPr="0097258B">
              <w:rPr>
                <w:rFonts w:ascii="Times New Roman" w:hAnsi="Times New Roman"/>
                <w:b/>
                <w:bCs/>
                <w:sz w:val="20"/>
                <w:szCs w:val="20"/>
              </w:rPr>
              <w:t>initiaux</w:t>
            </w:r>
            <w:proofErr w:type="spellEnd"/>
          </w:p>
        </w:tc>
        <w:tc>
          <w:tcPr>
            <w:tcW w:w="786" w:type="pct"/>
          </w:tcPr>
          <w:p w14:paraId="5D679D56"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Probabilité</w:t>
            </w:r>
            <w:proofErr w:type="spellEnd"/>
          </w:p>
        </w:tc>
        <w:tc>
          <w:tcPr>
            <w:tcW w:w="630" w:type="pct"/>
          </w:tcPr>
          <w:p w14:paraId="6B0BD1C5"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Gravité</w:t>
            </w:r>
            <w:proofErr w:type="spellEnd"/>
          </w:p>
        </w:tc>
        <w:tc>
          <w:tcPr>
            <w:tcW w:w="629" w:type="pct"/>
          </w:tcPr>
          <w:p w14:paraId="3F7B5120"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Criticité</w:t>
            </w:r>
            <w:proofErr w:type="spellEnd"/>
          </w:p>
        </w:tc>
        <w:tc>
          <w:tcPr>
            <w:tcW w:w="1071" w:type="pct"/>
          </w:tcPr>
          <w:p w14:paraId="78E41B74"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Dommage</w:t>
            </w:r>
            <w:proofErr w:type="spellEnd"/>
            <w:r w:rsidRPr="0097258B">
              <w:rPr>
                <w:rFonts w:ascii="Times New Roman" w:hAnsi="Times New Roman"/>
                <w:b/>
                <w:bCs/>
                <w:sz w:val="20"/>
                <w:szCs w:val="20"/>
              </w:rPr>
              <w:t xml:space="preserve"> initial</w:t>
            </w:r>
          </w:p>
        </w:tc>
      </w:tr>
      <w:tr w:rsidR="00BD1A2F" w:rsidRPr="00632C4D" w14:paraId="0A0466CA" w14:textId="77777777" w:rsidTr="003A0E4A">
        <w:trPr>
          <w:trHeight w:val="274"/>
        </w:trPr>
        <w:tc>
          <w:tcPr>
            <w:tcW w:w="840" w:type="pct"/>
            <w:vAlign w:val="center"/>
          </w:tcPr>
          <w:p w14:paraId="6D538A56" w14:textId="77777777" w:rsidR="00DE241D" w:rsidRPr="0097258B" w:rsidRDefault="00DE241D" w:rsidP="00E20250">
            <w:pPr>
              <w:spacing w:line="240" w:lineRule="auto"/>
              <w:rPr>
                <w:rFonts w:ascii="Times New Roman" w:hAnsi="Times New Roman"/>
                <w:sz w:val="20"/>
                <w:szCs w:val="20"/>
                <w:lang w:val="fr-FR"/>
              </w:rPr>
            </w:pPr>
            <w:r w:rsidRPr="0097258B">
              <w:rPr>
                <w:rFonts w:ascii="Times New Roman" w:hAnsi="Times New Roman"/>
                <w:sz w:val="20"/>
                <w:szCs w:val="20"/>
              </w:rPr>
              <w:t xml:space="preserve">Avant </w:t>
            </w:r>
            <w:proofErr w:type="spellStart"/>
            <w:r w:rsidRPr="0097258B">
              <w:rPr>
                <w:rFonts w:ascii="Times New Roman" w:hAnsi="Times New Roman"/>
                <w:sz w:val="20"/>
                <w:szCs w:val="20"/>
              </w:rPr>
              <w:t>prévention</w:t>
            </w:r>
            <w:proofErr w:type="spellEnd"/>
          </w:p>
        </w:tc>
        <w:tc>
          <w:tcPr>
            <w:tcW w:w="1044" w:type="pct"/>
            <w:vAlign w:val="center"/>
          </w:tcPr>
          <w:p w14:paraId="38EEE800" w14:textId="77777777" w:rsidR="00DE241D" w:rsidRPr="0097258B" w:rsidRDefault="00DE241D" w:rsidP="00E20250">
            <w:pPr>
              <w:spacing w:line="240" w:lineRule="auto"/>
              <w:rPr>
                <w:rFonts w:ascii="Times New Roman" w:hAnsi="Times New Roman"/>
                <w:sz w:val="20"/>
                <w:szCs w:val="20"/>
                <w:lang w:val="fr-FR"/>
              </w:rPr>
            </w:pPr>
            <w:r w:rsidRPr="00301AF6">
              <w:rPr>
                <w:rFonts w:ascii="Times New Roman" w:hAnsi="Times New Roman"/>
                <w:sz w:val="20"/>
                <w:szCs w:val="20"/>
                <w:lang w:val="fr-FR"/>
              </w:rPr>
              <w:t>Absence de code de conduite EAS/HS-VCE ;</w:t>
            </w:r>
          </w:p>
          <w:p w14:paraId="40470B10" w14:textId="77777777" w:rsidR="00DE241D" w:rsidRPr="0097258B" w:rsidRDefault="00DE241D" w:rsidP="00E20250">
            <w:pPr>
              <w:spacing w:line="240" w:lineRule="auto"/>
              <w:rPr>
                <w:rFonts w:ascii="Times New Roman" w:hAnsi="Times New Roman"/>
                <w:sz w:val="20"/>
                <w:szCs w:val="20"/>
                <w:lang w:val="fr-FR"/>
              </w:rPr>
            </w:pPr>
            <w:r w:rsidRPr="00301AF6">
              <w:rPr>
                <w:rFonts w:ascii="Times New Roman" w:hAnsi="Times New Roman"/>
                <w:sz w:val="20"/>
                <w:szCs w:val="20"/>
                <w:lang w:val="fr-FR"/>
              </w:rPr>
              <w:t>Non-signature de code de conduite EAS/HS-VCE par les travailleurs ;</w:t>
            </w:r>
          </w:p>
          <w:p w14:paraId="00802E19" w14:textId="77777777" w:rsidR="00DE241D" w:rsidRPr="0097258B" w:rsidRDefault="00DE241D" w:rsidP="00E20250">
            <w:pPr>
              <w:spacing w:line="240" w:lineRule="auto"/>
              <w:rPr>
                <w:rFonts w:ascii="Times New Roman" w:hAnsi="Times New Roman"/>
                <w:sz w:val="20"/>
                <w:szCs w:val="20"/>
                <w:lang w:val="fr-FR"/>
              </w:rPr>
            </w:pPr>
            <w:r w:rsidRPr="00301AF6">
              <w:rPr>
                <w:rFonts w:ascii="Times New Roman" w:hAnsi="Times New Roman"/>
                <w:sz w:val="20"/>
                <w:szCs w:val="20"/>
                <w:lang w:val="fr-FR"/>
              </w:rPr>
              <w:t xml:space="preserve">Défaut de sensibilisation de travailleurs ; </w:t>
            </w:r>
          </w:p>
          <w:p w14:paraId="50751AEC" w14:textId="77777777" w:rsidR="00DE241D" w:rsidRPr="0097258B" w:rsidRDefault="00DE241D" w:rsidP="00E20250">
            <w:pPr>
              <w:spacing w:line="240" w:lineRule="auto"/>
              <w:rPr>
                <w:rFonts w:ascii="Times New Roman" w:hAnsi="Times New Roman"/>
                <w:sz w:val="20"/>
                <w:szCs w:val="20"/>
                <w:lang w:val="fr-FR"/>
              </w:rPr>
            </w:pPr>
            <w:r w:rsidRPr="00301AF6">
              <w:rPr>
                <w:rFonts w:ascii="Times New Roman" w:hAnsi="Times New Roman"/>
                <w:sz w:val="20"/>
                <w:szCs w:val="20"/>
                <w:lang w:val="fr-FR"/>
              </w:rPr>
              <w:t xml:space="preserve">Absence de mesures </w:t>
            </w:r>
            <w:r w:rsidRPr="00301AF6">
              <w:rPr>
                <w:rFonts w:ascii="Times New Roman" w:hAnsi="Times New Roman"/>
                <w:sz w:val="20"/>
                <w:szCs w:val="20"/>
                <w:lang w:val="fr-FR"/>
              </w:rPr>
              <w:lastRenderedPageBreak/>
              <w:t>dissuasives ;</w:t>
            </w:r>
          </w:p>
          <w:p w14:paraId="37969F29" w14:textId="77777777" w:rsidR="00DE241D" w:rsidRPr="0097258B" w:rsidRDefault="00DE241D" w:rsidP="00E20250">
            <w:pPr>
              <w:spacing w:line="240" w:lineRule="auto"/>
              <w:rPr>
                <w:rFonts w:ascii="Times New Roman" w:hAnsi="Times New Roman"/>
                <w:sz w:val="20"/>
                <w:szCs w:val="20"/>
                <w:lang w:val="fr-FR"/>
              </w:rPr>
            </w:pPr>
            <w:r w:rsidRPr="00301AF6">
              <w:rPr>
                <w:rFonts w:ascii="Times New Roman" w:hAnsi="Times New Roman"/>
                <w:sz w:val="20"/>
                <w:szCs w:val="20"/>
                <w:lang w:val="fr-FR"/>
              </w:rPr>
              <w:t>Absence de surveillance de la base de chantier</w:t>
            </w:r>
          </w:p>
        </w:tc>
        <w:tc>
          <w:tcPr>
            <w:tcW w:w="786" w:type="pct"/>
            <w:vAlign w:val="center"/>
          </w:tcPr>
          <w:p w14:paraId="2864BB84" w14:textId="77777777" w:rsidR="00DE241D" w:rsidRPr="0097258B" w:rsidRDefault="00DE241D" w:rsidP="00A92B22">
            <w:pPr>
              <w:spacing w:line="240" w:lineRule="auto"/>
              <w:jc w:val="center"/>
              <w:rPr>
                <w:rFonts w:ascii="Times New Roman" w:hAnsi="Times New Roman"/>
                <w:b/>
                <w:bCs/>
                <w:sz w:val="20"/>
                <w:szCs w:val="20"/>
                <w:lang w:val="fr-FR"/>
              </w:rPr>
            </w:pPr>
            <w:r w:rsidRPr="0097258B">
              <w:rPr>
                <w:rFonts w:ascii="Times New Roman" w:hAnsi="Times New Roman"/>
                <w:b/>
                <w:bCs/>
                <w:sz w:val="20"/>
                <w:szCs w:val="20"/>
              </w:rPr>
              <w:lastRenderedPageBreak/>
              <w:t>3</w:t>
            </w:r>
          </w:p>
        </w:tc>
        <w:tc>
          <w:tcPr>
            <w:tcW w:w="630" w:type="pct"/>
            <w:vAlign w:val="center"/>
          </w:tcPr>
          <w:p w14:paraId="3B7A85B4" w14:textId="77777777" w:rsidR="00DE241D" w:rsidRPr="0097258B" w:rsidRDefault="00DE241D" w:rsidP="00A92B22">
            <w:pPr>
              <w:spacing w:line="240" w:lineRule="auto"/>
              <w:jc w:val="center"/>
              <w:rPr>
                <w:rFonts w:ascii="Times New Roman" w:hAnsi="Times New Roman"/>
                <w:b/>
                <w:bCs/>
                <w:sz w:val="20"/>
                <w:szCs w:val="20"/>
                <w:lang w:val="fr-FR"/>
              </w:rPr>
            </w:pPr>
            <w:r w:rsidRPr="0097258B">
              <w:rPr>
                <w:rFonts w:ascii="Times New Roman" w:hAnsi="Times New Roman"/>
                <w:b/>
                <w:bCs/>
                <w:sz w:val="20"/>
                <w:szCs w:val="20"/>
              </w:rPr>
              <w:t>4</w:t>
            </w:r>
          </w:p>
        </w:tc>
        <w:tc>
          <w:tcPr>
            <w:tcW w:w="629" w:type="pct"/>
            <w:shd w:val="clear" w:color="auto" w:fill="FF0000"/>
            <w:vAlign w:val="center"/>
          </w:tcPr>
          <w:p w14:paraId="6668208E" w14:textId="77777777" w:rsidR="00DE241D" w:rsidRPr="0097258B" w:rsidRDefault="00DE241D" w:rsidP="00A92B22">
            <w:pPr>
              <w:spacing w:line="240" w:lineRule="auto"/>
              <w:jc w:val="center"/>
              <w:rPr>
                <w:rFonts w:ascii="Times New Roman" w:hAnsi="Times New Roman"/>
                <w:b/>
                <w:bCs/>
                <w:sz w:val="20"/>
                <w:szCs w:val="20"/>
                <w:lang w:val="fr-FR"/>
              </w:rPr>
            </w:pPr>
            <w:r w:rsidRPr="0097258B">
              <w:rPr>
                <w:rFonts w:ascii="Times New Roman" w:hAnsi="Times New Roman"/>
                <w:b/>
                <w:bCs/>
                <w:sz w:val="20"/>
                <w:szCs w:val="20"/>
              </w:rPr>
              <w:t>43</w:t>
            </w:r>
          </w:p>
        </w:tc>
        <w:tc>
          <w:tcPr>
            <w:tcW w:w="1071" w:type="pct"/>
          </w:tcPr>
          <w:p w14:paraId="43B5E371" w14:textId="77777777" w:rsidR="00DE241D" w:rsidRPr="0097258B" w:rsidRDefault="00DE241D" w:rsidP="00E20250">
            <w:pPr>
              <w:spacing w:line="240" w:lineRule="auto"/>
              <w:rPr>
                <w:rFonts w:ascii="Times New Roman" w:hAnsi="Times New Roman"/>
                <w:sz w:val="20"/>
                <w:szCs w:val="20"/>
                <w:lang w:val="fr-FR"/>
              </w:rPr>
            </w:pPr>
            <w:r w:rsidRPr="00301AF6">
              <w:rPr>
                <w:rFonts w:ascii="Times New Roman" w:hAnsi="Times New Roman"/>
                <w:sz w:val="20"/>
                <w:szCs w:val="20"/>
                <w:lang w:val="fr-FR"/>
              </w:rPr>
              <w:t>Traumatisme ; grossesses non désirées,</w:t>
            </w:r>
          </w:p>
          <w:p w14:paraId="33E3498E" w14:textId="77777777" w:rsidR="00DE241D" w:rsidRPr="0097258B" w:rsidRDefault="00DE241D" w:rsidP="00E20250">
            <w:pPr>
              <w:spacing w:line="240" w:lineRule="auto"/>
              <w:rPr>
                <w:rFonts w:ascii="Times New Roman" w:hAnsi="Times New Roman"/>
                <w:sz w:val="20"/>
                <w:szCs w:val="20"/>
                <w:lang w:val="fr-FR"/>
              </w:rPr>
            </w:pPr>
            <w:r w:rsidRPr="00301AF6">
              <w:rPr>
                <w:rFonts w:ascii="Times New Roman" w:hAnsi="Times New Roman"/>
                <w:sz w:val="20"/>
                <w:szCs w:val="20"/>
                <w:lang w:val="fr-FR"/>
              </w:rPr>
              <w:t>IST/VIH-SIDA</w:t>
            </w:r>
          </w:p>
          <w:p w14:paraId="3189AED1" w14:textId="6F34EC81" w:rsidR="00DE241D" w:rsidRPr="0097258B" w:rsidRDefault="00DE241D" w:rsidP="00E20250">
            <w:pPr>
              <w:spacing w:line="240" w:lineRule="auto"/>
              <w:rPr>
                <w:rFonts w:ascii="Times New Roman" w:hAnsi="Times New Roman"/>
                <w:sz w:val="20"/>
                <w:szCs w:val="20"/>
                <w:lang w:val="fr-FR"/>
              </w:rPr>
            </w:pPr>
            <w:proofErr w:type="spellStart"/>
            <w:r w:rsidRPr="0097258B">
              <w:rPr>
                <w:rFonts w:ascii="Times New Roman" w:hAnsi="Times New Roman"/>
                <w:sz w:val="20"/>
                <w:szCs w:val="20"/>
              </w:rPr>
              <w:t>Traumatismes</w:t>
            </w:r>
            <w:proofErr w:type="spellEnd"/>
            <w:r w:rsidR="001A5354" w:rsidRPr="0097258B">
              <w:rPr>
                <w:rFonts w:ascii="Times New Roman" w:hAnsi="Times New Roman"/>
                <w:sz w:val="20"/>
                <w:szCs w:val="20"/>
              </w:rPr>
              <w:t>,</w:t>
            </w:r>
            <w:r w:rsidRPr="0097258B">
              <w:rPr>
                <w:rFonts w:ascii="Times New Roman" w:hAnsi="Times New Roman"/>
                <w:sz w:val="20"/>
                <w:szCs w:val="20"/>
              </w:rPr>
              <w:t xml:space="preserve"> etc.</w:t>
            </w:r>
          </w:p>
        </w:tc>
      </w:tr>
      <w:tr w:rsidR="00BD1A2F" w:rsidRPr="00632C4D" w14:paraId="5B81B2C8" w14:textId="77777777" w:rsidTr="003A0E4A">
        <w:trPr>
          <w:trHeight w:val="2150"/>
        </w:trPr>
        <w:tc>
          <w:tcPr>
            <w:tcW w:w="840" w:type="pct"/>
          </w:tcPr>
          <w:p w14:paraId="65E80535" w14:textId="77777777" w:rsidR="00DE241D" w:rsidRPr="0097258B" w:rsidRDefault="00DE241D" w:rsidP="00E20250">
            <w:pPr>
              <w:spacing w:line="240" w:lineRule="auto"/>
              <w:rPr>
                <w:rFonts w:ascii="Times New Roman" w:hAnsi="Times New Roman"/>
                <w:sz w:val="20"/>
                <w:szCs w:val="20"/>
                <w:lang w:val="fr-FR"/>
              </w:rPr>
            </w:pPr>
          </w:p>
          <w:p w14:paraId="111CBA71" w14:textId="77777777" w:rsidR="00DE241D" w:rsidRPr="0097258B" w:rsidRDefault="00DE241D" w:rsidP="00E20250">
            <w:pPr>
              <w:spacing w:line="240" w:lineRule="auto"/>
              <w:rPr>
                <w:rFonts w:ascii="Times New Roman" w:hAnsi="Times New Roman"/>
                <w:sz w:val="20"/>
                <w:szCs w:val="20"/>
                <w:lang w:val="fr-FR"/>
              </w:rPr>
            </w:pPr>
          </w:p>
          <w:p w14:paraId="16294204" w14:textId="77777777" w:rsidR="00DE241D" w:rsidRPr="0097258B" w:rsidRDefault="00DE241D" w:rsidP="00E20250">
            <w:pPr>
              <w:spacing w:line="240" w:lineRule="auto"/>
              <w:rPr>
                <w:rFonts w:ascii="Times New Roman" w:hAnsi="Times New Roman"/>
                <w:sz w:val="20"/>
                <w:szCs w:val="20"/>
                <w:lang w:val="fr-FR"/>
              </w:rPr>
            </w:pPr>
          </w:p>
          <w:p w14:paraId="47D65970" w14:textId="77777777" w:rsidR="00DE241D" w:rsidRPr="0097258B" w:rsidRDefault="00DE241D" w:rsidP="00E20250">
            <w:pPr>
              <w:spacing w:line="240" w:lineRule="auto"/>
              <w:rPr>
                <w:rFonts w:ascii="Times New Roman" w:hAnsi="Times New Roman"/>
                <w:sz w:val="20"/>
                <w:szCs w:val="20"/>
                <w:lang w:val="fr-FR"/>
              </w:rPr>
            </w:pPr>
            <w:proofErr w:type="spellStart"/>
            <w:r w:rsidRPr="0097258B">
              <w:rPr>
                <w:rFonts w:ascii="Times New Roman" w:hAnsi="Times New Roman"/>
                <w:sz w:val="20"/>
                <w:szCs w:val="20"/>
              </w:rPr>
              <w:t>Mesures</w:t>
            </w:r>
            <w:proofErr w:type="spellEnd"/>
            <w:r w:rsidRPr="0097258B">
              <w:rPr>
                <w:rFonts w:ascii="Times New Roman" w:hAnsi="Times New Roman"/>
                <w:sz w:val="20"/>
                <w:szCs w:val="20"/>
              </w:rPr>
              <w:t xml:space="preserve"> de </w:t>
            </w:r>
            <w:proofErr w:type="spellStart"/>
            <w:r w:rsidRPr="0097258B">
              <w:rPr>
                <w:rFonts w:ascii="Times New Roman" w:hAnsi="Times New Roman"/>
                <w:sz w:val="20"/>
                <w:szCs w:val="20"/>
              </w:rPr>
              <w:t>prévention</w:t>
            </w:r>
            <w:proofErr w:type="spellEnd"/>
          </w:p>
        </w:tc>
        <w:tc>
          <w:tcPr>
            <w:tcW w:w="4160" w:type="pct"/>
            <w:gridSpan w:val="5"/>
          </w:tcPr>
          <w:p w14:paraId="0531EA31" w14:textId="77777777" w:rsidR="00DE241D" w:rsidRPr="0097258B" w:rsidRDefault="00DE241D" w:rsidP="001748C6">
            <w:pPr>
              <w:pStyle w:val="Default"/>
              <w:numPr>
                <w:ilvl w:val="0"/>
                <w:numId w:val="326"/>
              </w:numPr>
              <w:overflowPunct w:val="0"/>
              <w:ind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Sensibiliser les travailleurs aux risques ;</w:t>
            </w:r>
          </w:p>
          <w:p w14:paraId="66F21EBC" w14:textId="77777777" w:rsidR="00DE241D" w:rsidRPr="0097258B" w:rsidRDefault="00DE241D" w:rsidP="001748C6">
            <w:pPr>
              <w:pStyle w:val="Default"/>
              <w:numPr>
                <w:ilvl w:val="0"/>
                <w:numId w:val="326"/>
              </w:numPr>
              <w:overflowPunct w:val="0"/>
              <w:ind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Aménager des toilettes séparées pour hommes et femmes ;</w:t>
            </w:r>
          </w:p>
          <w:p w14:paraId="7191F054" w14:textId="77777777" w:rsidR="00DE241D" w:rsidRPr="0097258B" w:rsidRDefault="00DE241D" w:rsidP="001748C6">
            <w:pPr>
              <w:pStyle w:val="Default"/>
              <w:numPr>
                <w:ilvl w:val="0"/>
                <w:numId w:val="326"/>
              </w:numPr>
              <w:overflowPunct w:val="0"/>
              <w:ind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Assurer la collecte et le traitement systématiques des plaintes des victimes d’abus/harcèlements/sexuels ;</w:t>
            </w:r>
          </w:p>
          <w:p w14:paraId="06BDC526" w14:textId="77777777" w:rsidR="00DE241D" w:rsidRPr="0097258B" w:rsidRDefault="00DE241D" w:rsidP="001748C6">
            <w:pPr>
              <w:pStyle w:val="Default"/>
              <w:numPr>
                <w:ilvl w:val="0"/>
                <w:numId w:val="326"/>
              </w:numPr>
              <w:overflowPunct w:val="0"/>
              <w:ind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Prévoir des sanctions pour les auteurs d’abus/harcèlements sexuels ;</w:t>
            </w:r>
          </w:p>
          <w:p w14:paraId="3940F562" w14:textId="77777777" w:rsidR="00DE241D" w:rsidRPr="0097258B" w:rsidRDefault="00DE241D" w:rsidP="001748C6">
            <w:pPr>
              <w:pStyle w:val="Default"/>
              <w:numPr>
                <w:ilvl w:val="0"/>
                <w:numId w:val="326"/>
              </w:numPr>
              <w:overflowPunct w:val="0"/>
              <w:ind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Prévoir un système d’accompagnement social, sanitaire et judiciaire si besoin, des victimes d’abus/harcèlements sexuels ;</w:t>
            </w:r>
          </w:p>
          <w:p w14:paraId="0C127B62" w14:textId="77777777" w:rsidR="00DE241D" w:rsidRPr="0097258B" w:rsidRDefault="00DE241D" w:rsidP="001748C6">
            <w:pPr>
              <w:pStyle w:val="Default"/>
              <w:numPr>
                <w:ilvl w:val="0"/>
                <w:numId w:val="326"/>
              </w:numPr>
              <w:overflowPunct w:val="0"/>
              <w:ind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 xml:space="preserve">Former les ouvriers, les maîtres d'ouvrage et l'ingénieur superviseur sur le référencement des cas d’EAHS et la prise en charge des victimes ; </w:t>
            </w:r>
          </w:p>
          <w:p w14:paraId="3C141CB8" w14:textId="77777777" w:rsidR="00DE241D" w:rsidRPr="0097258B" w:rsidRDefault="00DE241D" w:rsidP="001748C6">
            <w:pPr>
              <w:pStyle w:val="Default"/>
              <w:numPr>
                <w:ilvl w:val="0"/>
                <w:numId w:val="326"/>
              </w:numPr>
              <w:overflowPunct w:val="0"/>
              <w:ind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Interdire le recrutement et le travail des enfants de moins de 15 ans ;</w:t>
            </w:r>
          </w:p>
          <w:p w14:paraId="6A9E8892" w14:textId="77777777" w:rsidR="00DE241D" w:rsidRPr="0097258B" w:rsidRDefault="00DE241D" w:rsidP="001748C6">
            <w:pPr>
              <w:pStyle w:val="Default"/>
              <w:numPr>
                <w:ilvl w:val="0"/>
                <w:numId w:val="326"/>
              </w:numPr>
              <w:overflowPunct w:val="0"/>
              <w:ind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lang w:val="fr-SN"/>
              </w:rPr>
              <w:t>Promouvoir l’équité et l’égalité dans l’accès aux emplois ;</w:t>
            </w:r>
          </w:p>
          <w:p w14:paraId="5EEA3F0D" w14:textId="77777777" w:rsidR="00DE241D" w:rsidRPr="0097258B" w:rsidRDefault="00DE241D" w:rsidP="001748C6">
            <w:pPr>
              <w:pStyle w:val="Default"/>
              <w:numPr>
                <w:ilvl w:val="0"/>
                <w:numId w:val="326"/>
              </w:numPr>
              <w:overflowPunct w:val="0"/>
              <w:ind w:right="57"/>
              <w:jc w:val="both"/>
              <w:textAlignment w:val="baseline"/>
              <w:rPr>
                <w:rFonts w:ascii="Times New Roman" w:hAnsi="Times New Roman" w:cs="Times New Roman"/>
                <w:sz w:val="20"/>
                <w:szCs w:val="20"/>
                <w:lang w:val="fr-FR" w:eastAsia="fr-FR"/>
              </w:rPr>
            </w:pPr>
            <w:r w:rsidRPr="0097258B">
              <w:rPr>
                <w:rFonts w:ascii="Times New Roman" w:hAnsi="Times New Roman" w:cs="Times New Roman"/>
                <w:color w:val="000000" w:themeColor="text1"/>
                <w:sz w:val="20"/>
                <w:szCs w:val="20"/>
                <w:lang w:val="fr-SN"/>
              </w:rPr>
              <w:t>Réserver des quotas d’emplois aux femmes et aux jeunes.</w:t>
            </w:r>
          </w:p>
        </w:tc>
      </w:tr>
      <w:tr w:rsidR="00BD1A2F" w:rsidRPr="00632C4D" w14:paraId="30EFE3B2" w14:textId="77777777" w:rsidTr="003A0E4A">
        <w:trPr>
          <w:trHeight w:val="230"/>
        </w:trPr>
        <w:tc>
          <w:tcPr>
            <w:tcW w:w="840" w:type="pct"/>
            <w:vMerge w:val="restart"/>
          </w:tcPr>
          <w:p w14:paraId="19B4936D" w14:textId="77777777" w:rsidR="00DE241D" w:rsidRPr="0097258B" w:rsidRDefault="00DE241D" w:rsidP="00E20250">
            <w:pPr>
              <w:spacing w:line="240" w:lineRule="auto"/>
              <w:rPr>
                <w:rFonts w:ascii="Times New Roman" w:hAnsi="Times New Roman"/>
                <w:sz w:val="20"/>
                <w:szCs w:val="20"/>
                <w:lang w:val="fr-FR"/>
              </w:rPr>
            </w:pPr>
            <w:r w:rsidRPr="0097258B">
              <w:rPr>
                <w:rFonts w:ascii="Times New Roman" w:hAnsi="Times New Roman"/>
                <w:sz w:val="20"/>
                <w:szCs w:val="20"/>
              </w:rPr>
              <w:t xml:space="preserve">Après </w:t>
            </w:r>
            <w:proofErr w:type="spellStart"/>
            <w:r w:rsidRPr="0097258B">
              <w:rPr>
                <w:rFonts w:ascii="Times New Roman" w:hAnsi="Times New Roman"/>
                <w:sz w:val="20"/>
                <w:szCs w:val="20"/>
              </w:rPr>
              <w:t>prévention</w:t>
            </w:r>
            <w:proofErr w:type="spellEnd"/>
          </w:p>
        </w:tc>
        <w:tc>
          <w:tcPr>
            <w:tcW w:w="1044" w:type="pct"/>
          </w:tcPr>
          <w:p w14:paraId="3F887E3C"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Risques</w:t>
            </w:r>
            <w:proofErr w:type="spellEnd"/>
            <w:r w:rsidRPr="0097258B">
              <w:rPr>
                <w:rFonts w:ascii="Times New Roman" w:hAnsi="Times New Roman"/>
                <w:b/>
                <w:bCs/>
                <w:sz w:val="20"/>
                <w:szCs w:val="20"/>
              </w:rPr>
              <w:t xml:space="preserve"> </w:t>
            </w:r>
            <w:proofErr w:type="spellStart"/>
            <w:r w:rsidRPr="0097258B">
              <w:rPr>
                <w:rFonts w:ascii="Times New Roman" w:hAnsi="Times New Roman"/>
                <w:b/>
                <w:bCs/>
                <w:sz w:val="20"/>
                <w:szCs w:val="20"/>
              </w:rPr>
              <w:t>résiduels</w:t>
            </w:r>
            <w:proofErr w:type="spellEnd"/>
          </w:p>
        </w:tc>
        <w:tc>
          <w:tcPr>
            <w:tcW w:w="786" w:type="pct"/>
          </w:tcPr>
          <w:p w14:paraId="725FA221"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Probabilité</w:t>
            </w:r>
            <w:proofErr w:type="spellEnd"/>
          </w:p>
        </w:tc>
        <w:tc>
          <w:tcPr>
            <w:tcW w:w="630" w:type="pct"/>
          </w:tcPr>
          <w:p w14:paraId="59DBC020"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Gravité</w:t>
            </w:r>
            <w:proofErr w:type="spellEnd"/>
          </w:p>
        </w:tc>
        <w:tc>
          <w:tcPr>
            <w:tcW w:w="629" w:type="pct"/>
          </w:tcPr>
          <w:p w14:paraId="5E667A71"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Criticité</w:t>
            </w:r>
            <w:proofErr w:type="spellEnd"/>
          </w:p>
        </w:tc>
        <w:tc>
          <w:tcPr>
            <w:tcW w:w="1071" w:type="pct"/>
          </w:tcPr>
          <w:p w14:paraId="1C7433B2" w14:textId="77777777" w:rsidR="00DE241D" w:rsidRPr="0097258B" w:rsidRDefault="00DE241D" w:rsidP="00E20250">
            <w:pPr>
              <w:spacing w:line="240" w:lineRule="auto"/>
              <w:rPr>
                <w:rFonts w:ascii="Times New Roman" w:hAnsi="Times New Roman"/>
                <w:b/>
                <w:bCs/>
                <w:sz w:val="20"/>
                <w:szCs w:val="20"/>
                <w:lang w:val="fr-FR"/>
              </w:rPr>
            </w:pPr>
            <w:proofErr w:type="spellStart"/>
            <w:r w:rsidRPr="0097258B">
              <w:rPr>
                <w:rFonts w:ascii="Times New Roman" w:hAnsi="Times New Roman"/>
                <w:b/>
                <w:bCs/>
                <w:sz w:val="20"/>
                <w:szCs w:val="20"/>
              </w:rPr>
              <w:t>Dommage</w:t>
            </w:r>
            <w:proofErr w:type="spellEnd"/>
            <w:r w:rsidRPr="0097258B">
              <w:rPr>
                <w:rFonts w:ascii="Times New Roman" w:hAnsi="Times New Roman"/>
                <w:b/>
                <w:bCs/>
                <w:sz w:val="20"/>
                <w:szCs w:val="20"/>
              </w:rPr>
              <w:t xml:space="preserve"> final</w:t>
            </w:r>
          </w:p>
        </w:tc>
      </w:tr>
      <w:tr w:rsidR="00BD1A2F" w:rsidRPr="00632C4D" w14:paraId="45C20444" w14:textId="77777777" w:rsidTr="003A0E4A">
        <w:trPr>
          <w:trHeight w:val="460"/>
        </w:trPr>
        <w:tc>
          <w:tcPr>
            <w:tcW w:w="840" w:type="pct"/>
            <w:vMerge/>
            <w:tcBorders>
              <w:top w:val="nil"/>
            </w:tcBorders>
          </w:tcPr>
          <w:p w14:paraId="7DFEE7B2" w14:textId="77777777" w:rsidR="00DE241D" w:rsidRPr="0097258B" w:rsidRDefault="00DE241D" w:rsidP="00E20250">
            <w:pPr>
              <w:spacing w:line="240" w:lineRule="auto"/>
              <w:rPr>
                <w:rFonts w:ascii="Times New Roman" w:hAnsi="Times New Roman"/>
                <w:sz w:val="20"/>
                <w:szCs w:val="20"/>
                <w:lang w:val="fr-FR"/>
              </w:rPr>
            </w:pPr>
          </w:p>
        </w:tc>
        <w:tc>
          <w:tcPr>
            <w:tcW w:w="1044" w:type="pct"/>
          </w:tcPr>
          <w:p w14:paraId="370B952B" w14:textId="77777777" w:rsidR="00DE241D" w:rsidRPr="0097258B" w:rsidRDefault="00DE241D" w:rsidP="00E20250">
            <w:pPr>
              <w:spacing w:line="240" w:lineRule="auto"/>
              <w:rPr>
                <w:rFonts w:ascii="Times New Roman" w:hAnsi="Times New Roman"/>
                <w:sz w:val="20"/>
                <w:szCs w:val="20"/>
                <w:lang w:val="fr-FR"/>
              </w:rPr>
            </w:pPr>
            <w:r w:rsidRPr="00301AF6">
              <w:rPr>
                <w:rFonts w:ascii="Times New Roman" w:hAnsi="Times New Roman"/>
                <w:sz w:val="20"/>
                <w:szCs w:val="20"/>
                <w:lang w:val="fr-FR"/>
              </w:rPr>
              <w:t>Absence de mesures de dissuasion</w:t>
            </w:r>
          </w:p>
        </w:tc>
        <w:tc>
          <w:tcPr>
            <w:tcW w:w="786" w:type="pct"/>
          </w:tcPr>
          <w:p w14:paraId="5266760D" w14:textId="77777777" w:rsidR="00DE241D" w:rsidRPr="0097258B" w:rsidRDefault="00DE241D" w:rsidP="00E20250">
            <w:pPr>
              <w:spacing w:line="240" w:lineRule="auto"/>
              <w:rPr>
                <w:rFonts w:ascii="Times New Roman" w:hAnsi="Times New Roman"/>
                <w:b/>
                <w:bCs/>
                <w:sz w:val="20"/>
                <w:szCs w:val="20"/>
                <w:lang w:val="fr-FR"/>
              </w:rPr>
            </w:pPr>
            <w:r w:rsidRPr="0097258B">
              <w:rPr>
                <w:rFonts w:ascii="Times New Roman" w:hAnsi="Times New Roman"/>
                <w:b/>
                <w:bCs/>
                <w:sz w:val="20"/>
                <w:szCs w:val="20"/>
              </w:rPr>
              <w:t>1</w:t>
            </w:r>
          </w:p>
        </w:tc>
        <w:tc>
          <w:tcPr>
            <w:tcW w:w="630" w:type="pct"/>
          </w:tcPr>
          <w:p w14:paraId="3FCBABFC" w14:textId="77777777" w:rsidR="00DE241D" w:rsidRPr="0097258B" w:rsidRDefault="00DE241D" w:rsidP="00E20250">
            <w:pPr>
              <w:spacing w:line="240" w:lineRule="auto"/>
              <w:rPr>
                <w:rFonts w:ascii="Times New Roman" w:hAnsi="Times New Roman"/>
                <w:b/>
                <w:bCs/>
                <w:sz w:val="20"/>
                <w:szCs w:val="20"/>
                <w:lang w:val="fr-FR"/>
              </w:rPr>
            </w:pPr>
            <w:r w:rsidRPr="0097258B">
              <w:rPr>
                <w:rFonts w:ascii="Times New Roman" w:hAnsi="Times New Roman"/>
                <w:b/>
                <w:bCs/>
                <w:sz w:val="20"/>
                <w:szCs w:val="20"/>
              </w:rPr>
              <w:t>3</w:t>
            </w:r>
          </w:p>
        </w:tc>
        <w:tc>
          <w:tcPr>
            <w:tcW w:w="629" w:type="pct"/>
            <w:shd w:val="clear" w:color="auto" w:fill="92D050"/>
          </w:tcPr>
          <w:p w14:paraId="0391C588" w14:textId="77777777" w:rsidR="00DE241D" w:rsidRPr="0097258B" w:rsidRDefault="00DE241D" w:rsidP="00E20250">
            <w:pPr>
              <w:spacing w:line="240" w:lineRule="auto"/>
              <w:rPr>
                <w:rFonts w:ascii="Times New Roman" w:hAnsi="Times New Roman"/>
                <w:b/>
                <w:bCs/>
                <w:sz w:val="20"/>
                <w:szCs w:val="20"/>
                <w:lang w:val="fr-FR"/>
              </w:rPr>
            </w:pPr>
            <w:r w:rsidRPr="0097258B">
              <w:rPr>
                <w:rFonts w:ascii="Times New Roman" w:hAnsi="Times New Roman"/>
                <w:b/>
                <w:bCs/>
                <w:sz w:val="20"/>
                <w:szCs w:val="20"/>
              </w:rPr>
              <w:t>31</w:t>
            </w:r>
          </w:p>
        </w:tc>
        <w:tc>
          <w:tcPr>
            <w:tcW w:w="1071" w:type="pct"/>
          </w:tcPr>
          <w:p w14:paraId="0A53A3DD" w14:textId="77777777" w:rsidR="00DE241D" w:rsidRPr="0097258B" w:rsidRDefault="00DE241D" w:rsidP="00E20250">
            <w:pPr>
              <w:spacing w:line="240" w:lineRule="auto"/>
              <w:rPr>
                <w:rFonts w:ascii="Times New Roman" w:hAnsi="Times New Roman"/>
                <w:sz w:val="20"/>
                <w:szCs w:val="20"/>
                <w:lang w:val="fr-FR"/>
              </w:rPr>
            </w:pPr>
            <w:r w:rsidRPr="0097258B">
              <w:rPr>
                <w:rFonts w:ascii="Times New Roman" w:hAnsi="Times New Roman"/>
                <w:sz w:val="20"/>
                <w:szCs w:val="20"/>
              </w:rPr>
              <w:t xml:space="preserve">Frustration des </w:t>
            </w:r>
            <w:proofErr w:type="spellStart"/>
            <w:r w:rsidRPr="0097258B">
              <w:rPr>
                <w:rFonts w:ascii="Times New Roman" w:hAnsi="Times New Roman"/>
                <w:sz w:val="20"/>
                <w:szCs w:val="20"/>
              </w:rPr>
              <w:t>victimes</w:t>
            </w:r>
            <w:proofErr w:type="spellEnd"/>
          </w:p>
        </w:tc>
      </w:tr>
    </w:tbl>
    <w:p w14:paraId="3F2A7A46" w14:textId="77777777" w:rsidR="00DE241D" w:rsidRPr="00260790" w:rsidRDefault="00DE241D" w:rsidP="00A92B22">
      <w:pPr>
        <w:autoSpaceDE w:val="0"/>
        <w:autoSpaceDN w:val="0"/>
        <w:adjustRightInd w:val="0"/>
        <w:spacing w:after="0" w:line="240" w:lineRule="auto"/>
        <w:jc w:val="both"/>
        <w:rPr>
          <w:rFonts w:ascii="Times New Roman" w:hAnsi="Times New Roman"/>
          <w:b/>
          <w:bCs/>
          <w:i/>
          <w:iCs/>
          <w:color w:val="000000" w:themeColor="text1"/>
        </w:rPr>
      </w:pPr>
    </w:p>
    <w:p w14:paraId="5BA1938A" w14:textId="77777777" w:rsidR="00DE241D" w:rsidRPr="00260790" w:rsidRDefault="00DE241D" w:rsidP="001748C6">
      <w:pPr>
        <w:pStyle w:val="Paragraphedeliste"/>
        <w:numPr>
          <w:ilvl w:val="0"/>
          <w:numId w:val="308"/>
        </w:numPr>
        <w:autoSpaceDE w:val="0"/>
        <w:autoSpaceDN w:val="0"/>
        <w:adjustRightInd w:val="0"/>
        <w:spacing w:after="0"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RI-7. Risque d’IST/VIH-SIDA</w:t>
      </w:r>
    </w:p>
    <w:p w14:paraId="597170C2" w14:textId="77777777" w:rsidR="00DE241D" w:rsidRPr="00260790" w:rsidRDefault="00DE241D" w:rsidP="00E20250">
      <w:pPr>
        <w:autoSpaceDE w:val="0"/>
        <w:autoSpaceDN w:val="0"/>
        <w:adjustRightInd w:val="0"/>
        <w:spacing w:line="240" w:lineRule="auto"/>
        <w:jc w:val="both"/>
        <w:rPr>
          <w:rFonts w:ascii="Times New Roman" w:hAnsi="Times New Roman"/>
          <w:bCs/>
          <w:iCs/>
          <w:color w:val="000000" w:themeColor="text1"/>
        </w:rPr>
      </w:pPr>
      <w:r w:rsidRPr="00260790">
        <w:rPr>
          <w:rFonts w:ascii="Times New Roman" w:hAnsi="Times New Roman"/>
          <w:bCs/>
          <w:iCs/>
          <w:color w:val="000000" w:themeColor="text1"/>
        </w:rPr>
        <w:t>Le séjour prolongé des travailleurs étrangers loin de chez eux, favorise les comportements sexuels à risque qui constituent un terreau pour la propagation des IST/VIH-SIDA. Pour y parer, les entreprises devront sensibiliser leurs travailleurs et les riverains sur le risque. Ci-dessous le résumé du risque d’IST/VIH-SIDA.</w:t>
      </w:r>
    </w:p>
    <w:p w14:paraId="6FFF9725" w14:textId="58B0362C" w:rsidR="00DE241D" w:rsidRPr="00260790" w:rsidRDefault="00DE241D" w:rsidP="00E20250">
      <w:pPr>
        <w:pStyle w:val="Lgende"/>
        <w:spacing w:line="240" w:lineRule="auto"/>
        <w:rPr>
          <w:color w:val="000000" w:themeColor="text1"/>
          <w:sz w:val="22"/>
          <w:szCs w:val="22"/>
        </w:rPr>
      </w:pPr>
      <w:bookmarkStart w:id="622" w:name="_Toc207781880"/>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39</w:t>
      </w:r>
      <w:r w:rsidRPr="00260790">
        <w:rPr>
          <w:color w:val="000000" w:themeColor="text1"/>
          <w:sz w:val="22"/>
          <w:szCs w:val="22"/>
        </w:rPr>
        <w:fldChar w:fldCharType="end"/>
      </w:r>
      <w:r w:rsidRPr="00260790">
        <w:rPr>
          <w:color w:val="000000" w:themeColor="text1"/>
          <w:sz w:val="22"/>
          <w:szCs w:val="22"/>
        </w:rPr>
        <w:t> : résumé de l’évaluation du risque d’IST/VIH-SIDA</w:t>
      </w:r>
      <w:bookmarkEnd w:id="6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572"/>
        <w:gridCol w:w="2269"/>
        <w:gridCol w:w="1140"/>
        <w:gridCol w:w="1046"/>
        <w:gridCol w:w="971"/>
        <w:gridCol w:w="2062"/>
      </w:tblGrid>
      <w:tr w:rsidR="00BD1A2F" w:rsidRPr="00632C4D" w14:paraId="78628B16" w14:textId="77777777" w:rsidTr="003A0E4A">
        <w:trPr>
          <w:cantSplit/>
        </w:trPr>
        <w:tc>
          <w:tcPr>
            <w:tcW w:w="5000" w:type="pct"/>
            <w:gridSpan w:val="6"/>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3B564A06"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RI-7. Risque d’IST/VIH-SIDA</w:t>
            </w:r>
          </w:p>
        </w:tc>
      </w:tr>
      <w:tr w:rsidR="00BD1A2F" w:rsidRPr="00632C4D" w14:paraId="5773E141" w14:textId="77777777" w:rsidTr="003A0E4A">
        <w:trPr>
          <w:cantSplit/>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hideMark/>
          </w:tcPr>
          <w:p w14:paraId="777ED30F" w14:textId="77777777" w:rsidR="00DE241D" w:rsidRPr="0097258B" w:rsidRDefault="00DE241D" w:rsidP="00E20250">
            <w:pPr>
              <w:spacing w:line="240" w:lineRule="auto"/>
              <w:rPr>
                <w:rFonts w:ascii="Times New Roman" w:hAnsi="Times New Roman"/>
                <w:sz w:val="20"/>
                <w:szCs w:val="20"/>
              </w:rPr>
            </w:pPr>
            <w:r w:rsidRPr="0097258B">
              <w:rPr>
                <w:rFonts w:ascii="Times New Roman" w:hAnsi="Times New Roman"/>
                <w:b/>
                <w:bCs/>
                <w:sz w:val="20"/>
                <w:szCs w:val="20"/>
              </w:rPr>
              <w:t>Activités</w:t>
            </w:r>
            <w:r w:rsidRPr="0097258B">
              <w:rPr>
                <w:rFonts w:ascii="Times New Roman" w:hAnsi="Times New Roman"/>
                <w:sz w:val="20"/>
                <w:szCs w:val="20"/>
              </w:rPr>
              <w:t> : fonctionnement de la base de chantier</w:t>
            </w:r>
          </w:p>
        </w:tc>
      </w:tr>
      <w:tr w:rsidR="00BD1A2F" w:rsidRPr="00632C4D" w14:paraId="3BCBBFCC" w14:textId="77777777" w:rsidTr="003A0E4A">
        <w:trPr>
          <w:cantSplit/>
        </w:trPr>
        <w:tc>
          <w:tcPr>
            <w:tcW w:w="868" w:type="pct"/>
            <w:tcBorders>
              <w:top w:val="single" w:sz="4" w:space="0" w:color="auto"/>
              <w:left w:val="single" w:sz="4" w:space="0" w:color="auto"/>
              <w:bottom w:val="single" w:sz="4" w:space="0" w:color="auto"/>
              <w:right w:val="single" w:sz="4" w:space="0" w:color="auto"/>
            </w:tcBorders>
            <w:shd w:val="clear" w:color="auto" w:fill="FFFFFF"/>
          </w:tcPr>
          <w:p w14:paraId="13956FBB" w14:textId="77777777" w:rsidR="00DE241D" w:rsidRPr="0097258B" w:rsidRDefault="00DE241D" w:rsidP="00E20250">
            <w:pPr>
              <w:spacing w:line="240" w:lineRule="auto"/>
              <w:rPr>
                <w:rFonts w:ascii="Times New Roman" w:hAnsi="Times New Roman"/>
                <w:sz w:val="20"/>
                <w:szCs w:val="20"/>
              </w:rPr>
            </w:pPr>
          </w:p>
        </w:tc>
        <w:tc>
          <w:tcPr>
            <w:tcW w:w="125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6EC08BC"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Risques initiaux</w:t>
            </w:r>
          </w:p>
        </w:tc>
        <w:tc>
          <w:tcPr>
            <w:tcW w:w="62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181028"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Probabilité</w:t>
            </w: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308BAD"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Gravité</w:t>
            </w:r>
          </w:p>
        </w:tc>
        <w:tc>
          <w:tcPr>
            <w:tcW w:w="5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6B27B7"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Criticité</w:t>
            </w:r>
          </w:p>
        </w:tc>
        <w:tc>
          <w:tcPr>
            <w:tcW w:w="113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4DF7656"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Dommage initial</w:t>
            </w:r>
          </w:p>
        </w:tc>
      </w:tr>
      <w:tr w:rsidR="00BD1A2F" w:rsidRPr="00632C4D" w14:paraId="69053DC2" w14:textId="77777777" w:rsidTr="003A0E4A">
        <w:tc>
          <w:tcPr>
            <w:tcW w:w="868" w:type="pct"/>
            <w:tcBorders>
              <w:top w:val="single" w:sz="4" w:space="0" w:color="auto"/>
              <w:left w:val="single" w:sz="4" w:space="0" w:color="auto"/>
              <w:bottom w:val="single" w:sz="4" w:space="0" w:color="auto"/>
              <w:right w:val="single" w:sz="4" w:space="0" w:color="auto"/>
            </w:tcBorders>
            <w:vAlign w:val="center"/>
            <w:hideMark/>
          </w:tcPr>
          <w:p w14:paraId="1289C702" w14:textId="77777777" w:rsidR="00DE241D" w:rsidRPr="0097258B" w:rsidRDefault="00DE241D" w:rsidP="00E20250">
            <w:pPr>
              <w:spacing w:line="240" w:lineRule="auto"/>
              <w:rPr>
                <w:rFonts w:ascii="Times New Roman" w:hAnsi="Times New Roman"/>
                <w:sz w:val="20"/>
                <w:szCs w:val="20"/>
              </w:rPr>
            </w:pPr>
            <w:r w:rsidRPr="0097258B">
              <w:rPr>
                <w:rFonts w:ascii="Times New Roman" w:hAnsi="Times New Roman"/>
                <w:sz w:val="20"/>
                <w:szCs w:val="20"/>
              </w:rPr>
              <w:t xml:space="preserve">Avant prévention </w:t>
            </w:r>
          </w:p>
        </w:tc>
        <w:tc>
          <w:tcPr>
            <w:tcW w:w="1252" w:type="pct"/>
            <w:tcBorders>
              <w:top w:val="single" w:sz="4" w:space="0" w:color="auto"/>
              <w:left w:val="single" w:sz="4" w:space="0" w:color="auto"/>
              <w:bottom w:val="single" w:sz="4" w:space="0" w:color="auto"/>
              <w:right w:val="single" w:sz="4" w:space="0" w:color="auto"/>
            </w:tcBorders>
            <w:vAlign w:val="center"/>
            <w:hideMark/>
          </w:tcPr>
          <w:p w14:paraId="4AA45FA8" w14:textId="77777777" w:rsidR="00DE241D" w:rsidRPr="0097258B" w:rsidRDefault="00DE241D" w:rsidP="00E20250">
            <w:pPr>
              <w:spacing w:line="240" w:lineRule="auto"/>
              <w:rPr>
                <w:rFonts w:ascii="Times New Roman" w:hAnsi="Times New Roman"/>
                <w:sz w:val="20"/>
                <w:szCs w:val="20"/>
              </w:rPr>
            </w:pPr>
            <w:r w:rsidRPr="0097258B">
              <w:rPr>
                <w:rFonts w:ascii="Times New Roman" w:hAnsi="Times New Roman"/>
                <w:sz w:val="20"/>
                <w:szCs w:val="20"/>
              </w:rPr>
              <w:t>Séjour prolongé des travailleurs loin de chez eux ;</w:t>
            </w:r>
          </w:p>
          <w:p w14:paraId="1EF69842" w14:textId="77777777" w:rsidR="00DE241D" w:rsidRPr="0097258B" w:rsidRDefault="00DE241D" w:rsidP="00E20250">
            <w:pPr>
              <w:spacing w:line="240" w:lineRule="auto"/>
              <w:rPr>
                <w:rFonts w:ascii="Times New Roman" w:hAnsi="Times New Roman"/>
                <w:sz w:val="20"/>
                <w:szCs w:val="20"/>
              </w:rPr>
            </w:pPr>
            <w:r w:rsidRPr="0097258B">
              <w:rPr>
                <w:rFonts w:ascii="Times New Roman" w:hAnsi="Times New Roman"/>
                <w:sz w:val="20"/>
                <w:szCs w:val="20"/>
              </w:rPr>
              <w:t>Comportements sexuels à risque</w:t>
            </w:r>
          </w:p>
        </w:tc>
        <w:tc>
          <w:tcPr>
            <w:tcW w:w="629" w:type="pct"/>
            <w:tcBorders>
              <w:top w:val="single" w:sz="4" w:space="0" w:color="auto"/>
              <w:left w:val="single" w:sz="4" w:space="0" w:color="auto"/>
              <w:bottom w:val="single" w:sz="4" w:space="0" w:color="auto"/>
              <w:right w:val="single" w:sz="4" w:space="0" w:color="auto"/>
            </w:tcBorders>
            <w:vAlign w:val="center"/>
            <w:hideMark/>
          </w:tcPr>
          <w:p w14:paraId="753BE8DA" w14:textId="77777777" w:rsidR="00DE241D" w:rsidRPr="0097258B" w:rsidRDefault="00DE241D" w:rsidP="00A92B22">
            <w:pPr>
              <w:spacing w:line="240" w:lineRule="auto"/>
              <w:jc w:val="center"/>
              <w:rPr>
                <w:rFonts w:ascii="Times New Roman" w:hAnsi="Times New Roman"/>
                <w:b/>
                <w:bCs/>
                <w:sz w:val="20"/>
                <w:szCs w:val="20"/>
              </w:rPr>
            </w:pPr>
            <w:r w:rsidRPr="0097258B">
              <w:rPr>
                <w:rFonts w:ascii="Times New Roman" w:hAnsi="Times New Roman"/>
                <w:b/>
                <w:bCs/>
                <w:sz w:val="20"/>
                <w:szCs w:val="20"/>
              </w:rPr>
              <w:t>2</w:t>
            </w:r>
          </w:p>
        </w:tc>
        <w:tc>
          <w:tcPr>
            <w:tcW w:w="577" w:type="pct"/>
            <w:tcBorders>
              <w:top w:val="single" w:sz="4" w:space="0" w:color="auto"/>
              <w:left w:val="single" w:sz="4" w:space="0" w:color="auto"/>
              <w:bottom w:val="single" w:sz="4" w:space="0" w:color="auto"/>
              <w:right w:val="single" w:sz="4" w:space="0" w:color="auto"/>
            </w:tcBorders>
            <w:vAlign w:val="center"/>
            <w:hideMark/>
          </w:tcPr>
          <w:p w14:paraId="1660DAF9" w14:textId="77777777" w:rsidR="00DE241D" w:rsidRPr="0097258B" w:rsidRDefault="00DE241D" w:rsidP="00A92B22">
            <w:pPr>
              <w:spacing w:line="240" w:lineRule="auto"/>
              <w:jc w:val="center"/>
              <w:rPr>
                <w:rFonts w:ascii="Times New Roman" w:hAnsi="Times New Roman"/>
                <w:b/>
                <w:bCs/>
                <w:sz w:val="20"/>
                <w:szCs w:val="20"/>
              </w:rPr>
            </w:pPr>
            <w:r w:rsidRPr="0097258B">
              <w:rPr>
                <w:rFonts w:ascii="Times New Roman" w:hAnsi="Times New Roman"/>
                <w:b/>
                <w:bCs/>
                <w:sz w:val="20"/>
                <w:szCs w:val="20"/>
              </w:rPr>
              <w:t>4</w:t>
            </w:r>
          </w:p>
        </w:tc>
        <w:tc>
          <w:tcPr>
            <w:tcW w:w="536"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1CBD4BF7" w14:textId="77777777" w:rsidR="00DE241D" w:rsidRPr="0097258B" w:rsidRDefault="00DE241D" w:rsidP="00A92B22">
            <w:pPr>
              <w:spacing w:line="240" w:lineRule="auto"/>
              <w:jc w:val="center"/>
              <w:rPr>
                <w:rFonts w:ascii="Times New Roman" w:hAnsi="Times New Roman"/>
                <w:b/>
                <w:bCs/>
                <w:sz w:val="20"/>
                <w:szCs w:val="20"/>
              </w:rPr>
            </w:pPr>
            <w:r w:rsidRPr="0097258B">
              <w:rPr>
                <w:rFonts w:ascii="Times New Roman" w:hAnsi="Times New Roman"/>
                <w:b/>
                <w:bCs/>
                <w:sz w:val="20"/>
                <w:szCs w:val="20"/>
              </w:rPr>
              <w:t>42</w:t>
            </w:r>
          </w:p>
        </w:tc>
        <w:tc>
          <w:tcPr>
            <w:tcW w:w="1138" w:type="pct"/>
            <w:tcBorders>
              <w:top w:val="single" w:sz="4" w:space="0" w:color="auto"/>
              <w:left w:val="single" w:sz="4" w:space="0" w:color="auto"/>
              <w:bottom w:val="single" w:sz="4" w:space="0" w:color="auto"/>
              <w:right w:val="single" w:sz="4" w:space="0" w:color="auto"/>
            </w:tcBorders>
            <w:vAlign w:val="center"/>
            <w:hideMark/>
          </w:tcPr>
          <w:p w14:paraId="2517FD7A" w14:textId="77777777" w:rsidR="00DE241D" w:rsidRPr="0097258B" w:rsidRDefault="00DE241D" w:rsidP="00A92B22">
            <w:pPr>
              <w:spacing w:after="0" w:line="240" w:lineRule="auto"/>
              <w:rPr>
                <w:rFonts w:ascii="Times New Roman" w:hAnsi="Times New Roman"/>
                <w:sz w:val="20"/>
                <w:szCs w:val="20"/>
              </w:rPr>
            </w:pPr>
            <w:r w:rsidRPr="0097258B">
              <w:rPr>
                <w:rFonts w:ascii="Times New Roman" w:hAnsi="Times New Roman"/>
                <w:sz w:val="20"/>
                <w:szCs w:val="20"/>
              </w:rPr>
              <w:t xml:space="preserve">Absentéisme au travail ; </w:t>
            </w:r>
          </w:p>
          <w:p w14:paraId="2463F462" w14:textId="77777777" w:rsidR="00DE241D" w:rsidRPr="0097258B" w:rsidRDefault="00DE241D" w:rsidP="00A92B22">
            <w:pPr>
              <w:spacing w:after="0" w:line="240" w:lineRule="auto"/>
              <w:rPr>
                <w:rFonts w:ascii="Times New Roman" w:hAnsi="Times New Roman"/>
                <w:sz w:val="20"/>
                <w:szCs w:val="20"/>
              </w:rPr>
            </w:pPr>
            <w:r w:rsidRPr="0097258B">
              <w:rPr>
                <w:rFonts w:ascii="Times New Roman" w:hAnsi="Times New Roman"/>
                <w:sz w:val="20"/>
                <w:szCs w:val="20"/>
              </w:rPr>
              <w:t xml:space="preserve">Baisse de rendement des travailleurs ; </w:t>
            </w:r>
          </w:p>
          <w:p w14:paraId="29A31CE2" w14:textId="77777777" w:rsidR="00DE241D" w:rsidRPr="0097258B" w:rsidRDefault="00DE241D" w:rsidP="00A92B22">
            <w:pPr>
              <w:spacing w:after="0" w:line="240" w:lineRule="auto"/>
              <w:rPr>
                <w:rFonts w:ascii="Times New Roman" w:hAnsi="Times New Roman"/>
                <w:sz w:val="20"/>
                <w:szCs w:val="20"/>
              </w:rPr>
            </w:pPr>
            <w:r w:rsidRPr="0097258B">
              <w:rPr>
                <w:rFonts w:ascii="Times New Roman" w:hAnsi="Times New Roman"/>
                <w:sz w:val="20"/>
                <w:szCs w:val="20"/>
              </w:rPr>
              <w:t>Frais de prise en charge des malades.</w:t>
            </w:r>
          </w:p>
          <w:p w14:paraId="7197D64D" w14:textId="77777777" w:rsidR="00DE241D" w:rsidRPr="0097258B" w:rsidRDefault="00DE241D" w:rsidP="00A92B22">
            <w:pPr>
              <w:spacing w:after="0" w:line="240" w:lineRule="auto"/>
              <w:rPr>
                <w:rFonts w:ascii="Times New Roman" w:hAnsi="Times New Roman"/>
                <w:sz w:val="20"/>
                <w:szCs w:val="20"/>
              </w:rPr>
            </w:pPr>
            <w:r w:rsidRPr="0097258B">
              <w:rPr>
                <w:rFonts w:ascii="Times New Roman" w:hAnsi="Times New Roman"/>
                <w:sz w:val="20"/>
                <w:szCs w:val="20"/>
              </w:rPr>
              <w:t>Décès</w:t>
            </w:r>
          </w:p>
        </w:tc>
      </w:tr>
      <w:tr w:rsidR="00BD1A2F" w:rsidRPr="00632C4D" w14:paraId="3F184F2C" w14:textId="77777777" w:rsidTr="003A0E4A">
        <w:tc>
          <w:tcPr>
            <w:tcW w:w="868" w:type="pct"/>
            <w:tcBorders>
              <w:top w:val="single" w:sz="4" w:space="0" w:color="auto"/>
              <w:left w:val="single" w:sz="4" w:space="0" w:color="auto"/>
              <w:bottom w:val="single" w:sz="4" w:space="0" w:color="auto"/>
              <w:right w:val="single" w:sz="4" w:space="0" w:color="auto"/>
            </w:tcBorders>
            <w:vAlign w:val="center"/>
            <w:hideMark/>
          </w:tcPr>
          <w:p w14:paraId="091F2A00" w14:textId="77777777" w:rsidR="00DE241D" w:rsidRPr="0097258B" w:rsidRDefault="00DE241D" w:rsidP="00E20250">
            <w:pPr>
              <w:spacing w:line="240" w:lineRule="auto"/>
              <w:rPr>
                <w:rFonts w:ascii="Times New Roman" w:hAnsi="Times New Roman"/>
                <w:sz w:val="20"/>
                <w:szCs w:val="20"/>
              </w:rPr>
            </w:pPr>
            <w:r w:rsidRPr="0097258B">
              <w:rPr>
                <w:rFonts w:ascii="Times New Roman" w:hAnsi="Times New Roman"/>
                <w:sz w:val="20"/>
                <w:szCs w:val="20"/>
              </w:rPr>
              <w:t xml:space="preserve">Mesures de prévention </w:t>
            </w:r>
          </w:p>
        </w:tc>
        <w:tc>
          <w:tcPr>
            <w:tcW w:w="4132" w:type="pct"/>
            <w:gridSpan w:val="5"/>
            <w:tcBorders>
              <w:top w:val="single" w:sz="4" w:space="0" w:color="auto"/>
              <w:left w:val="single" w:sz="4" w:space="0" w:color="auto"/>
              <w:bottom w:val="single" w:sz="4" w:space="0" w:color="auto"/>
              <w:right w:val="single" w:sz="4" w:space="0" w:color="auto"/>
            </w:tcBorders>
            <w:vAlign w:val="center"/>
            <w:hideMark/>
          </w:tcPr>
          <w:p w14:paraId="0B9AF268"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Sensibiliser les travailleurs sur les risques d’IST/VIH-SIDA ;</w:t>
            </w:r>
          </w:p>
          <w:p w14:paraId="5252404B" w14:textId="40A35B5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 xml:space="preserve">Procéder à des visites préembauches pour établir le statut médical de chaque travailleur ; </w:t>
            </w:r>
          </w:p>
          <w:p w14:paraId="38796626"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Faire des provisions de préservatifs et les déposer dans les toilettes afin que les travailleurs puissent se servir dans l’anonymat ;</w:t>
            </w:r>
          </w:p>
          <w:p w14:paraId="24507EAC"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sz w:val="20"/>
                <w:szCs w:val="20"/>
              </w:rPr>
            </w:pPr>
            <w:r w:rsidRPr="0097258B">
              <w:rPr>
                <w:rFonts w:ascii="Times New Roman" w:hAnsi="Times New Roman" w:cs="Times New Roman"/>
                <w:color w:val="000000" w:themeColor="text1"/>
                <w:sz w:val="20"/>
                <w:szCs w:val="20"/>
              </w:rPr>
              <w:t>Signer des conventions avec les structures sanitaires pour le dépistage IST/VIH-SIDA et la prise en charge des malades.</w:t>
            </w:r>
          </w:p>
        </w:tc>
      </w:tr>
      <w:tr w:rsidR="00BD1A2F" w:rsidRPr="00632C4D" w14:paraId="691875F9" w14:textId="77777777" w:rsidTr="003A0E4A">
        <w:trPr>
          <w:trHeight w:val="210"/>
        </w:trPr>
        <w:tc>
          <w:tcPr>
            <w:tcW w:w="868" w:type="pct"/>
            <w:vMerge w:val="restart"/>
            <w:tcBorders>
              <w:top w:val="single" w:sz="4" w:space="0" w:color="auto"/>
              <w:left w:val="single" w:sz="4" w:space="0" w:color="auto"/>
              <w:bottom w:val="single" w:sz="4" w:space="0" w:color="auto"/>
              <w:right w:val="single" w:sz="4" w:space="0" w:color="auto"/>
            </w:tcBorders>
            <w:vAlign w:val="center"/>
            <w:hideMark/>
          </w:tcPr>
          <w:p w14:paraId="22A217CA" w14:textId="77777777" w:rsidR="00DE241D" w:rsidRPr="0097258B" w:rsidRDefault="00DE241D" w:rsidP="00E20250">
            <w:pPr>
              <w:spacing w:line="240" w:lineRule="auto"/>
              <w:rPr>
                <w:rFonts w:ascii="Times New Roman" w:hAnsi="Times New Roman"/>
                <w:sz w:val="20"/>
                <w:szCs w:val="20"/>
              </w:rPr>
            </w:pPr>
            <w:r w:rsidRPr="0097258B">
              <w:rPr>
                <w:rFonts w:ascii="Times New Roman" w:hAnsi="Times New Roman"/>
                <w:sz w:val="20"/>
                <w:szCs w:val="20"/>
              </w:rPr>
              <w:t>Après prévention</w:t>
            </w:r>
          </w:p>
        </w:tc>
        <w:tc>
          <w:tcPr>
            <w:tcW w:w="1252" w:type="pct"/>
            <w:tcBorders>
              <w:top w:val="single" w:sz="4" w:space="0" w:color="auto"/>
              <w:left w:val="single" w:sz="4" w:space="0" w:color="auto"/>
              <w:bottom w:val="single" w:sz="4" w:space="0" w:color="auto"/>
              <w:right w:val="single" w:sz="4" w:space="0" w:color="auto"/>
            </w:tcBorders>
            <w:vAlign w:val="center"/>
            <w:hideMark/>
          </w:tcPr>
          <w:p w14:paraId="3F775AD4"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Risques résiduels</w:t>
            </w:r>
          </w:p>
        </w:tc>
        <w:tc>
          <w:tcPr>
            <w:tcW w:w="629" w:type="pct"/>
            <w:tcBorders>
              <w:top w:val="single" w:sz="4" w:space="0" w:color="auto"/>
              <w:left w:val="single" w:sz="4" w:space="0" w:color="auto"/>
              <w:bottom w:val="single" w:sz="4" w:space="0" w:color="auto"/>
              <w:right w:val="single" w:sz="4" w:space="0" w:color="auto"/>
            </w:tcBorders>
            <w:vAlign w:val="center"/>
            <w:hideMark/>
          </w:tcPr>
          <w:p w14:paraId="60E44491"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Probabilité</w:t>
            </w:r>
          </w:p>
        </w:tc>
        <w:tc>
          <w:tcPr>
            <w:tcW w:w="577" w:type="pct"/>
            <w:tcBorders>
              <w:top w:val="single" w:sz="4" w:space="0" w:color="auto"/>
              <w:left w:val="single" w:sz="4" w:space="0" w:color="auto"/>
              <w:bottom w:val="single" w:sz="4" w:space="0" w:color="auto"/>
              <w:right w:val="single" w:sz="4" w:space="0" w:color="auto"/>
            </w:tcBorders>
            <w:vAlign w:val="center"/>
            <w:hideMark/>
          </w:tcPr>
          <w:p w14:paraId="30274871"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Gravité</w:t>
            </w:r>
          </w:p>
        </w:tc>
        <w:tc>
          <w:tcPr>
            <w:tcW w:w="536" w:type="pct"/>
            <w:tcBorders>
              <w:top w:val="single" w:sz="4" w:space="0" w:color="auto"/>
              <w:left w:val="single" w:sz="4" w:space="0" w:color="auto"/>
              <w:bottom w:val="single" w:sz="4" w:space="0" w:color="auto"/>
              <w:right w:val="single" w:sz="4" w:space="0" w:color="auto"/>
            </w:tcBorders>
            <w:vAlign w:val="center"/>
            <w:hideMark/>
          </w:tcPr>
          <w:p w14:paraId="6E12E1C0"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Criticité</w:t>
            </w:r>
          </w:p>
        </w:tc>
        <w:tc>
          <w:tcPr>
            <w:tcW w:w="1138" w:type="pct"/>
            <w:tcBorders>
              <w:top w:val="single" w:sz="4" w:space="0" w:color="auto"/>
              <w:left w:val="single" w:sz="4" w:space="0" w:color="auto"/>
              <w:bottom w:val="single" w:sz="4" w:space="0" w:color="auto"/>
              <w:right w:val="single" w:sz="4" w:space="0" w:color="auto"/>
            </w:tcBorders>
            <w:vAlign w:val="center"/>
            <w:hideMark/>
          </w:tcPr>
          <w:p w14:paraId="656B869F"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Dommage final</w:t>
            </w:r>
          </w:p>
        </w:tc>
      </w:tr>
      <w:tr w:rsidR="00BD1A2F" w:rsidRPr="00632C4D" w14:paraId="29C1FC0C" w14:textId="77777777" w:rsidTr="003A0E4A">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72C718" w14:textId="77777777" w:rsidR="00DE241D" w:rsidRPr="0097258B" w:rsidRDefault="00DE241D" w:rsidP="00E20250">
            <w:pPr>
              <w:spacing w:line="240" w:lineRule="auto"/>
              <w:rPr>
                <w:rFonts w:ascii="Times New Roman" w:hAnsi="Times New Roman"/>
                <w:i/>
                <w:sz w:val="20"/>
                <w:szCs w:val="20"/>
              </w:rPr>
            </w:pPr>
          </w:p>
        </w:tc>
        <w:tc>
          <w:tcPr>
            <w:tcW w:w="1252" w:type="pct"/>
            <w:tcBorders>
              <w:top w:val="single" w:sz="4" w:space="0" w:color="auto"/>
              <w:left w:val="single" w:sz="4" w:space="0" w:color="auto"/>
              <w:bottom w:val="single" w:sz="4" w:space="0" w:color="auto"/>
              <w:right w:val="single" w:sz="4" w:space="0" w:color="auto"/>
            </w:tcBorders>
            <w:vAlign w:val="center"/>
            <w:hideMark/>
          </w:tcPr>
          <w:p w14:paraId="504CC44D" w14:textId="77777777" w:rsidR="00DE241D" w:rsidRPr="0097258B" w:rsidRDefault="00DE241D" w:rsidP="00E20250">
            <w:pPr>
              <w:spacing w:line="240" w:lineRule="auto"/>
              <w:rPr>
                <w:rFonts w:ascii="Times New Roman" w:hAnsi="Times New Roman"/>
                <w:sz w:val="20"/>
                <w:szCs w:val="20"/>
              </w:rPr>
            </w:pPr>
            <w:r w:rsidRPr="0097258B">
              <w:rPr>
                <w:rFonts w:ascii="Times New Roman" w:hAnsi="Times New Roman"/>
                <w:sz w:val="20"/>
                <w:szCs w:val="20"/>
              </w:rPr>
              <w:t>Comportements sexuels à risque</w:t>
            </w:r>
          </w:p>
        </w:tc>
        <w:tc>
          <w:tcPr>
            <w:tcW w:w="629" w:type="pct"/>
            <w:tcBorders>
              <w:top w:val="single" w:sz="4" w:space="0" w:color="auto"/>
              <w:left w:val="single" w:sz="4" w:space="0" w:color="auto"/>
              <w:bottom w:val="single" w:sz="4" w:space="0" w:color="auto"/>
              <w:right w:val="single" w:sz="4" w:space="0" w:color="auto"/>
            </w:tcBorders>
            <w:vAlign w:val="center"/>
            <w:hideMark/>
          </w:tcPr>
          <w:p w14:paraId="2C139CFC" w14:textId="77777777" w:rsidR="00DE241D" w:rsidRPr="0097258B" w:rsidRDefault="00DE241D" w:rsidP="00A92B22">
            <w:pPr>
              <w:spacing w:line="240" w:lineRule="auto"/>
              <w:jc w:val="center"/>
              <w:rPr>
                <w:rFonts w:ascii="Times New Roman" w:hAnsi="Times New Roman"/>
                <w:b/>
                <w:bCs/>
                <w:sz w:val="20"/>
                <w:szCs w:val="20"/>
              </w:rPr>
            </w:pPr>
            <w:r w:rsidRPr="0097258B">
              <w:rPr>
                <w:rFonts w:ascii="Times New Roman" w:hAnsi="Times New Roman"/>
                <w:b/>
                <w:bCs/>
                <w:sz w:val="20"/>
                <w:szCs w:val="20"/>
              </w:rPr>
              <w:t>1</w:t>
            </w:r>
          </w:p>
        </w:tc>
        <w:tc>
          <w:tcPr>
            <w:tcW w:w="577" w:type="pct"/>
            <w:tcBorders>
              <w:top w:val="single" w:sz="4" w:space="0" w:color="auto"/>
              <w:left w:val="single" w:sz="4" w:space="0" w:color="auto"/>
              <w:bottom w:val="single" w:sz="4" w:space="0" w:color="auto"/>
              <w:right w:val="single" w:sz="4" w:space="0" w:color="auto"/>
            </w:tcBorders>
            <w:vAlign w:val="center"/>
            <w:hideMark/>
          </w:tcPr>
          <w:p w14:paraId="077A2F51" w14:textId="77777777" w:rsidR="00DE241D" w:rsidRPr="0097258B" w:rsidRDefault="00DE241D" w:rsidP="00A92B22">
            <w:pPr>
              <w:spacing w:line="240" w:lineRule="auto"/>
              <w:jc w:val="center"/>
              <w:rPr>
                <w:rFonts w:ascii="Times New Roman" w:hAnsi="Times New Roman"/>
                <w:b/>
                <w:bCs/>
                <w:sz w:val="20"/>
                <w:szCs w:val="20"/>
              </w:rPr>
            </w:pPr>
            <w:r w:rsidRPr="0097258B">
              <w:rPr>
                <w:rFonts w:ascii="Times New Roman" w:hAnsi="Times New Roman"/>
                <w:b/>
                <w:bCs/>
                <w:sz w:val="20"/>
                <w:szCs w:val="20"/>
              </w:rPr>
              <w:t>3</w:t>
            </w:r>
          </w:p>
        </w:tc>
        <w:tc>
          <w:tcPr>
            <w:tcW w:w="536"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575D9A4" w14:textId="77777777" w:rsidR="00DE241D" w:rsidRPr="0097258B" w:rsidRDefault="00DE241D" w:rsidP="00A92B22">
            <w:pPr>
              <w:spacing w:line="240" w:lineRule="auto"/>
              <w:jc w:val="center"/>
              <w:rPr>
                <w:rFonts w:ascii="Times New Roman" w:hAnsi="Times New Roman"/>
                <w:b/>
                <w:bCs/>
                <w:sz w:val="20"/>
                <w:szCs w:val="20"/>
              </w:rPr>
            </w:pPr>
            <w:r w:rsidRPr="0097258B">
              <w:rPr>
                <w:rFonts w:ascii="Times New Roman" w:hAnsi="Times New Roman"/>
                <w:b/>
                <w:bCs/>
                <w:sz w:val="20"/>
                <w:szCs w:val="20"/>
              </w:rPr>
              <w:t>31</w:t>
            </w:r>
          </w:p>
        </w:tc>
        <w:tc>
          <w:tcPr>
            <w:tcW w:w="1138" w:type="pct"/>
            <w:tcBorders>
              <w:top w:val="single" w:sz="4" w:space="0" w:color="auto"/>
              <w:left w:val="single" w:sz="4" w:space="0" w:color="auto"/>
              <w:bottom w:val="single" w:sz="4" w:space="0" w:color="auto"/>
              <w:right w:val="single" w:sz="4" w:space="0" w:color="auto"/>
            </w:tcBorders>
            <w:vAlign w:val="center"/>
            <w:hideMark/>
          </w:tcPr>
          <w:p w14:paraId="452B50A7" w14:textId="77777777" w:rsidR="00DE241D" w:rsidRPr="0097258B" w:rsidRDefault="00DE241D" w:rsidP="00A92B22">
            <w:pPr>
              <w:spacing w:line="240" w:lineRule="auto"/>
              <w:jc w:val="center"/>
              <w:rPr>
                <w:rFonts w:ascii="Times New Roman" w:hAnsi="Times New Roman"/>
                <w:sz w:val="20"/>
                <w:szCs w:val="20"/>
              </w:rPr>
            </w:pPr>
            <w:r w:rsidRPr="0097258B">
              <w:rPr>
                <w:rFonts w:ascii="Times New Roman" w:hAnsi="Times New Roman"/>
                <w:sz w:val="20"/>
                <w:szCs w:val="20"/>
              </w:rPr>
              <w:t>IST</w:t>
            </w:r>
          </w:p>
        </w:tc>
      </w:tr>
    </w:tbl>
    <w:p w14:paraId="0BDC3DA9" w14:textId="5B419421" w:rsidR="00F83414" w:rsidRPr="00260790" w:rsidRDefault="00F83414">
      <w:pPr>
        <w:spacing w:line="259" w:lineRule="auto"/>
        <w:rPr>
          <w:rFonts w:ascii="Times New Roman" w:hAnsi="Times New Roman"/>
          <w:b/>
          <w:bCs/>
          <w:i/>
          <w:iCs/>
          <w:color w:val="000000" w:themeColor="text1"/>
        </w:rPr>
      </w:pPr>
    </w:p>
    <w:p w14:paraId="1F04101C" w14:textId="16606A57" w:rsidR="00DE241D" w:rsidRPr="00260790" w:rsidRDefault="00DE241D" w:rsidP="001748C6">
      <w:pPr>
        <w:pStyle w:val="Paragraphedeliste"/>
        <w:numPr>
          <w:ilvl w:val="0"/>
          <w:numId w:val="309"/>
        </w:numPr>
        <w:autoSpaceDE w:val="0"/>
        <w:autoSpaceDN w:val="0"/>
        <w:adjustRightInd w:val="0"/>
        <w:spacing w:after="0"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 xml:space="preserve">RI-8. Risque de maladies liées à l’hygiène </w:t>
      </w:r>
    </w:p>
    <w:p w14:paraId="79EABD5D" w14:textId="77777777" w:rsidR="00DE241D" w:rsidRPr="00260790" w:rsidRDefault="00DE241D" w:rsidP="00E20250">
      <w:pPr>
        <w:autoSpaceDE w:val="0"/>
        <w:autoSpaceDN w:val="0"/>
        <w:adjustRightInd w:val="0"/>
        <w:spacing w:line="240" w:lineRule="auto"/>
        <w:jc w:val="both"/>
        <w:rPr>
          <w:rFonts w:ascii="Times New Roman" w:hAnsi="Times New Roman"/>
          <w:bCs/>
          <w:iCs/>
          <w:color w:val="000000" w:themeColor="text1"/>
        </w:rPr>
      </w:pPr>
      <w:r w:rsidRPr="00260790">
        <w:rPr>
          <w:rFonts w:ascii="Times New Roman" w:hAnsi="Times New Roman"/>
          <w:bCs/>
          <w:iCs/>
          <w:color w:val="000000" w:themeColor="text1"/>
        </w:rPr>
        <w:t>Un défaut d’hygiène sur la base vie, l’absence de toilettes ou des toilettes en nombre insuffisant et/ou sans vestiaires et eau courante, tout comme la promiscuité, les échanges d’EPI… peuvent être sources de dermatoses et de maladies du péril fécal.</w:t>
      </w:r>
    </w:p>
    <w:p w14:paraId="3D6F85A8" w14:textId="77777777" w:rsidR="00DE241D" w:rsidRPr="00260790" w:rsidRDefault="00DE241D" w:rsidP="00E20250">
      <w:pPr>
        <w:autoSpaceDE w:val="0"/>
        <w:autoSpaceDN w:val="0"/>
        <w:adjustRightInd w:val="0"/>
        <w:spacing w:line="240" w:lineRule="auto"/>
        <w:jc w:val="both"/>
        <w:rPr>
          <w:rFonts w:ascii="Times New Roman" w:hAnsi="Times New Roman"/>
          <w:bCs/>
          <w:iCs/>
          <w:color w:val="000000" w:themeColor="text1"/>
        </w:rPr>
      </w:pPr>
      <w:r w:rsidRPr="00260790">
        <w:rPr>
          <w:rFonts w:ascii="Times New Roman" w:hAnsi="Times New Roman"/>
          <w:bCs/>
          <w:iCs/>
          <w:color w:val="000000" w:themeColor="text1"/>
        </w:rPr>
        <w:lastRenderedPageBreak/>
        <w:t>En l’absence de toilettes, les travailleurs peuvent être contraints à aller faire leurs besoins dans la nature, ce qui favorise la propagation des maladies du péril fécal. La promiscuité et les échanges d’EPI favorisent la propagation des dermatoses comme les mycoses. Ci-dessous le résumé de l’analyse du risque.</w:t>
      </w:r>
    </w:p>
    <w:p w14:paraId="7A675505" w14:textId="62182BA4" w:rsidR="00DE241D" w:rsidRPr="00260790" w:rsidRDefault="00DE241D" w:rsidP="00E20250">
      <w:pPr>
        <w:pStyle w:val="Lgende"/>
        <w:spacing w:line="240" w:lineRule="auto"/>
        <w:rPr>
          <w:color w:val="000000" w:themeColor="text1"/>
          <w:sz w:val="22"/>
          <w:szCs w:val="22"/>
        </w:rPr>
      </w:pPr>
      <w:bookmarkStart w:id="623" w:name="_Toc207781881"/>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40</w:t>
      </w:r>
      <w:r w:rsidRPr="00260790">
        <w:rPr>
          <w:color w:val="000000" w:themeColor="text1"/>
          <w:sz w:val="22"/>
          <w:szCs w:val="22"/>
        </w:rPr>
        <w:fldChar w:fldCharType="end"/>
      </w:r>
      <w:r w:rsidRPr="00260790">
        <w:rPr>
          <w:color w:val="000000" w:themeColor="text1"/>
          <w:sz w:val="22"/>
          <w:szCs w:val="22"/>
        </w:rPr>
        <w:t> : résumé de l’évaluation du risque de maladies liées à l’hygiène et la salubrité</w:t>
      </w:r>
      <w:bookmarkEnd w:id="6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597"/>
        <w:gridCol w:w="2230"/>
        <w:gridCol w:w="1270"/>
        <w:gridCol w:w="16"/>
        <w:gridCol w:w="969"/>
        <w:gridCol w:w="16"/>
        <w:gridCol w:w="1152"/>
        <w:gridCol w:w="1810"/>
      </w:tblGrid>
      <w:tr w:rsidR="00BD1A2F" w:rsidRPr="00632C4D" w14:paraId="48C5761E" w14:textId="77777777" w:rsidTr="003A0E4A">
        <w:trPr>
          <w:tblHeader/>
        </w:trPr>
        <w:tc>
          <w:tcPr>
            <w:tcW w:w="5000" w:type="pct"/>
            <w:gridSpan w:val="8"/>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69359C99"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RI-8. Risque de maladies liées à l’hygiène et la salubrité</w:t>
            </w:r>
          </w:p>
        </w:tc>
      </w:tr>
      <w:tr w:rsidR="00BD1A2F" w:rsidRPr="00632C4D" w14:paraId="7A8DCCBB" w14:textId="77777777" w:rsidTr="003A0E4A">
        <w:trPr>
          <w:tblHeader/>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hideMark/>
          </w:tcPr>
          <w:p w14:paraId="5A514340" w14:textId="77777777" w:rsidR="00DE241D" w:rsidRPr="0097258B" w:rsidRDefault="00DE241D" w:rsidP="00E20250">
            <w:pPr>
              <w:spacing w:line="240" w:lineRule="auto"/>
              <w:rPr>
                <w:rFonts w:ascii="Times New Roman" w:hAnsi="Times New Roman"/>
                <w:sz w:val="20"/>
                <w:szCs w:val="20"/>
              </w:rPr>
            </w:pPr>
            <w:r w:rsidRPr="0097258B">
              <w:rPr>
                <w:rFonts w:ascii="Times New Roman" w:hAnsi="Times New Roman"/>
                <w:b/>
                <w:bCs/>
                <w:sz w:val="20"/>
                <w:szCs w:val="20"/>
              </w:rPr>
              <w:t>Activités</w:t>
            </w:r>
            <w:r w:rsidRPr="0097258B">
              <w:rPr>
                <w:rFonts w:ascii="Times New Roman" w:hAnsi="Times New Roman"/>
                <w:sz w:val="20"/>
                <w:szCs w:val="20"/>
              </w:rPr>
              <w:t> : fonctionnement des bases-vie</w:t>
            </w:r>
          </w:p>
        </w:tc>
      </w:tr>
      <w:tr w:rsidR="001F185B" w:rsidRPr="00632C4D" w14:paraId="109C9187" w14:textId="77777777" w:rsidTr="003A0E4A">
        <w:trPr>
          <w:tblHeader/>
        </w:trPr>
        <w:tc>
          <w:tcPr>
            <w:tcW w:w="881" w:type="pct"/>
            <w:tcBorders>
              <w:top w:val="single" w:sz="4" w:space="0" w:color="auto"/>
              <w:left w:val="single" w:sz="4" w:space="0" w:color="auto"/>
              <w:bottom w:val="single" w:sz="4" w:space="0" w:color="auto"/>
              <w:right w:val="single" w:sz="4" w:space="0" w:color="auto"/>
            </w:tcBorders>
            <w:shd w:val="clear" w:color="auto" w:fill="FFFFFF"/>
          </w:tcPr>
          <w:p w14:paraId="2CF42403" w14:textId="77777777" w:rsidR="00DE241D" w:rsidRPr="0097258B" w:rsidRDefault="00DE241D" w:rsidP="00E20250">
            <w:pPr>
              <w:spacing w:line="240" w:lineRule="auto"/>
              <w:rPr>
                <w:rFonts w:ascii="Times New Roman" w:hAnsi="Times New Roman"/>
                <w:sz w:val="20"/>
                <w:szCs w:val="20"/>
              </w:rPr>
            </w:pPr>
          </w:p>
        </w:tc>
        <w:tc>
          <w:tcPr>
            <w:tcW w:w="123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164728"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Risques initiaux</w:t>
            </w:r>
          </w:p>
        </w:tc>
        <w:tc>
          <w:tcPr>
            <w:tcW w:w="71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AB4889F"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Probabilité</w:t>
            </w:r>
          </w:p>
        </w:tc>
        <w:tc>
          <w:tcPr>
            <w:tcW w:w="544"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AEA135B"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Gravité</w:t>
            </w:r>
          </w:p>
        </w:tc>
        <w:tc>
          <w:tcPr>
            <w:tcW w:w="6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0F54A7F"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Criticité</w:t>
            </w:r>
          </w:p>
        </w:tc>
        <w:tc>
          <w:tcPr>
            <w:tcW w:w="103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D37CC11"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Dommage initial</w:t>
            </w:r>
          </w:p>
        </w:tc>
      </w:tr>
      <w:tr w:rsidR="001F185B" w:rsidRPr="00632C4D" w14:paraId="1FF6DC9E" w14:textId="77777777" w:rsidTr="003A0E4A">
        <w:tc>
          <w:tcPr>
            <w:tcW w:w="881" w:type="pct"/>
            <w:tcBorders>
              <w:top w:val="single" w:sz="4" w:space="0" w:color="auto"/>
              <w:left w:val="single" w:sz="4" w:space="0" w:color="auto"/>
              <w:bottom w:val="single" w:sz="4" w:space="0" w:color="auto"/>
              <w:right w:val="single" w:sz="4" w:space="0" w:color="auto"/>
            </w:tcBorders>
            <w:vAlign w:val="center"/>
            <w:hideMark/>
          </w:tcPr>
          <w:p w14:paraId="6187AA81" w14:textId="77777777" w:rsidR="00DE241D" w:rsidRPr="0097258B" w:rsidRDefault="00DE241D" w:rsidP="00E20250">
            <w:pPr>
              <w:spacing w:line="240" w:lineRule="auto"/>
              <w:rPr>
                <w:rFonts w:ascii="Times New Roman" w:hAnsi="Times New Roman"/>
                <w:sz w:val="20"/>
                <w:szCs w:val="20"/>
              </w:rPr>
            </w:pPr>
            <w:r w:rsidRPr="0097258B">
              <w:rPr>
                <w:rFonts w:ascii="Times New Roman" w:hAnsi="Times New Roman"/>
                <w:sz w:val="20"/>
                <w:szCs w:val="20"/>
              </w:rPr>
              <w:t xml:space="preserve">Avant prévention </w:t>
            </w:r>
          </w:p>
        </w:tc>
        <w:tc>
          <w:tcPr>
            <w:tcW w:w="1230" w:type="pct"/>
            <w:tcBorders>
              <w:top w:val="single" w:sz="4" w:space="0" w:color="auto"/>
              <w:left w:val="single" w:sz="4" w:space="0" w:color="auto"/>
              <w:bottom w:val="single" w:sz="4" w:space="0" w:color="auto"/>
              <w:right w:val="single" w:sz="4" w:space="0" w:color="auto"/>
            </w:tcBorders>
            <w:vAlign w:val="center"/>
            <w:hideMark/>
          </w:tcPr>
          <w:p w14:paraId="2D90D5C1" w14:textId="4327D3E6" w:rsidR="00DE241D" w:rsidRPr="0051750F" w:rsidRDefault="00814301" w:rsidP="00E20250">
            <w:pPr>
              <w:spacing w:line="240" w:lineRule="auto"/>
              <w:rPr>
                <w:rFonts w:ascii="Times New Roman" w:hAnsi="Times New Roman"/>
                <w:sz w:val="20"/>
                <w:szCs w:val="20"/>
              </w:rPr>
            </w:pPr>
            <w:r w:rsidRPr="0051750F">
              <w:rPr>
                <w:rFonts w:ascii="Times New Roman" w:hAnsi="Times New Roman"/>
                <w:sz w:val="20"/>
                <w:szCs w:val="20"/>
              </w:rPr>
              <w:t>Maladies liées à la dé</w:t>
            </w:r>
            <w:r w:rsidR="004F4179" w:rsidRPr="0051750F">
              <w:rPr>
                <w:rFonts w:ascii="Times New Roman" w:hAnsi="Times New Roman"/>
                <w:sz w:val="20"/>
                <w:szCs w:val="20"/>
              </w:rPr>
              <w:t>gradation des conditions</w:t>
            </w:r>
            <w:r w:rsidR="001F4392" w:rsidRPr="0051750F">
              <w:rPr>
                <w:rFonts w:ascii="Times New Roman" w:hAnsi="Times New Roman"/>
                <w:sz w:val="20"/>
                <w:szCs w:val="20"/>
              </w:rPr>
              <w:t xml:space="preserve"> d’hygiène</w:t>
            </w:r>
          </w:p>
        </w:tc>
        <w:tc>
          <w:tcPr>
            <w:tcW w:w="710" w:type="pct"/>
            <w:gridSpan w:val="2"/>
            <w:tcBorders>
              <w:top w:val="single" w:sz="4" w:space="0" w:color="auto"/>
              <w:left w:val="single" w:sz="4" w:space="0" w:color="auto"/>
              <w:bottom w:val="single" w:sz="4" w:space="0" w:color="auto"/>
              <w:right w:val="single" w:sz="4" w:space="0" w:color="auto"/>
            </w:tcBorders>
            <w:vAlign w:val="center"/>
            <w:hideMark/>
          </w:tcPr>
          <w:p w14:paraId="28650B15" w14:textId="77777777" w:rsidR="00DE241D" w:rsidRPr="0097258B" w:rsidRDefault="00DE241D" w:rsidP="00A92B22">
            <w:pPr>
              <w:spacing w:line="240" w:lineRule="auto"/>
              <w:jc w:val="center"/>
              <w:rPr>
                <w:rFonts w:ascii="Times New Roman" w:hAnsi="Times New Roman"/>
                <w:b/>
                <w:bCs/>
                <w:sz w:val="20"/>
                <w:szCs w:val="20"/>
              </w:rPr>
            </w:pPr>
            <w:r w:rsidRPr="0097258B">
              <w:rPr>
                <w:rFonts w:ascii="Times New Roman" w:hAnsi="Times New Roman"/>
                <w:b/>
                <w:bCs/>
                <w:sz w:val="20"/>
                <w:szCs w:val="20"/>
              </w:rPr>
              <w:t>2</w:t>
            </w: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4766E06C" w14:textId="77777777" w:rsidR="00DE241D" w:rsidRPr="0097258B" w:rsidRDefault="00DE241D" w:rsidP="00A92B22">
            <w:pPr>
              <w:spacing w:line="240" w:lineRule="auto"/>
              <w:jc w:val="center"/>
              <w:rPr>
                <w:rFonts w:ascii="Times New Roman" w:hAnsi="Times New Roman"/>
                <w:b/>
                <w:bCs/>
                <w:sz w:val="20"/>
                <w:szCs w:val="20"/>
              </w:rPr>
            </w:pPr>
            <w:r w:rsidRPr="0097258B">
              <w:rPr>
                <w:rFonts w:ascii="Times New Roman" w:hAnsi="Times New Roman"/>
                <w:b/>
                <w:bCs/>
                <w:sz w:val="20"/>
                <w:szCs w:val="20"/>
              </w:rPr>
              <w:t>3</w:t>
            </w:r>
          </w:p>
        </w:tc>
        <w:tc>
          <w:tcPr>
            <w:tcW w:w="604"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50BC6720" w14:textId="77777777" w:rsidR="00DE241D" w:rsidRPr="0097258B" w:rsidRDefault="00DE241D" w:rsidP="00A92B22">
            <w:pPr>
              <w:spacing w:line="240" w:lineRule="auto"/>
              <w:jc w:val="center"/>
              <w:rPr>
                <w:rFonts w:ascii="Times New Roman" w:hAnsi="Times New Roman"/>
                <w:b/>
                <w:bCs/>
                <w:sz w:val="20"/>
                <w:szCs w:val="20"/>
              </w:rPr>
            </w:pPr>
            <w:r w:rsidRPr="0097258B">
              <w:rPr>
                <w:rFonts w:ascii="Times New Roman" w:hAnsi="Times New Roman"/>
                <w:b/>
                <w:bCs/>
                <w:sz w:val="20"/>
                <w:szCs w:val="20"/>
              </w:rPr>
              <w:t>32</w:t>
            </w:r>
          </w:p>
        </w:tc>
        <w:tc>
          <w:tcPr>
            <w:tcW w:w="1031" w:type="pct"/>
            <w:tcBorders>
              <w:top w:val="single" w:sz="4" w:space="0" w:color="auto"/>
              <w:left w:val="single" w:sz="4" w:space="0" w:color="auto"/>
              <w:bottom w:val="single" w:sz="4" w:space="0" w:color="auto"/>
              <w:right w:val="single" w:sz="4" w:space="0" w:color="auto"/>
            </w:tcBorders>
            <w:vAlign w:val="center"/>
            <w:hideMark/>
          </w:tcPr>
          <w:p w14:paraId="1D5F7864" w14:textId="72B8906B" w:rsidR="00250B25" w:rsidRPr="0097258B" w:rsidRDefault="0016654C" w:rsidP="00E20250">
            <w:pPr>
              <w:spacing w:line="240" w:lineRule="auto"/>
              <w:rPr>
                <w:rFonts w:ascii="Times New Roman" w:hAnsi="Times New Roman"/>
                <w:sz w:val="20"/>
                <w:szCs w:val="20"/>
              </w:rPr>
            </w:pPr>
            <w:r w:rsidRPr="0097258B">
              <w:rPr>
                <w:rFonts w:ascii="Times New Roman" w:hAnsi="Times New Roman"/>
                <w:sz w:val="20"/>
                <w:szCs w:val="20"/>
              </w:rPr>
              <w:t>Prolifération de maladies</w:t>
            </w:r>
          </w:p>
          <w:p w14:paraId="66CD12EF" w14:textId="69F90175" w:rsidR="00DE241D" w:rsidRPr="0097258B" w:rsidRDefault="001F185B" w:rsidP="00E20250">
            <w:pPr>
              <w:spacing w:line="240" w:lineRule="auto"/>
              <w:rPr>
                <w:rFonts w:ascii="Times New Roman" w:hAnsi="Times New Roman"/>
                <w:sz w:val="20"/>
                <w:szCs w:val="20"/>
              </w:rPr>
            </w:pPr>
            <w:r w:rsidRPr="0097258B">
              <w:rPr>
                <w:rFonts w:ascii="Times New Roman" w:hAnsi="Times New Roman"/>
                <w:sz w:val="20"/>
                <w:szCs w:val="20"/>
              </w:rPr>
              <w:t>Incapacité pouvant conduire à l’a</w:t>
            </w:r>
            <w:r w:rsidR="00DE241D" w:rsidRPr="0097258B">
              <w:rPr>
                <w:rFonts w:ascii="Times New Roman" w:hAnsi="Times New Roman"/>
                <w:sz w:val="20"/>
                <w:szCs w:val="20"/>
              </w:rPr>
              <w:t>bsentéisme au travail ;</w:t>
            </w:r>
          </w:p>
          <w:p w14:paraId="645C52A2" w14:textId="77777777" w:rsidR="00DE241D" w:rsidRPr="0097258B" w:rsidRDefault="00DE241D" w:rsidP="00E20250">
            <w:pPr>
              <w:spacing w:line="240" w:lineRule="auto"/>
              <w:rPr>
                <w:rFonts w:ascii="Times New Roman" w:hAnsi="Times New Roman"/>
                <w:sz w:val="20"/>
                <w:szCs w:val="20"/>
              </w:rPr>
            </w:pPr>
            <w:r w:rsidRPr="0097258B">
              <w:rPr>
                <w:rFonts w:ascii="Times New Roman" w:hAnsi="Times New Roman"/>
                <w:sz w:val="20"/>
                <w:szCs w:val="20"/>
              </w:rPr>
              <w:t>Dépenses de prise en charge des malades ;</w:t>
            </w:r>
          </w:p>
          <w:p w14:paraId="44DAFBB3" w14:textId="10B9DCB8" w:rsidR="00DE241D" w:rsidRPr="0097258B" w:rsidRDefault="00DE241D" w:rsidP="00E20250">
            <w:pPr>
              <w:spacing w:line="240" w:lineRule="auto"/>
              <w:rPr>
                <w:rFonts w:ascii="Times New Roman" w:hAnsi="Times New Roman"/>
                <w:sz w:val="20"/>
                <w:szCs w:val="20"/>
              </w:rPr>
            </w:pPr>
          </w:p>
        </w:tc>
      </w:tr>
      <w:tr w:rsidR="001F185B" w:rsidRPr="00632C4D" w14:paraId="173EF6C4" w14:textId="77777777" w:rsidTr="003A0E4A">
        <w:tc>
          <w:tcPr>
            <w:tcW w:w="881" w:type="pct"/>
            <w:tcBorders>
              <w:top w:val="single" w:sz="4" w:space="0" w:color="auto"/>
              <w:left w:val="single" w:sz="4" w:space="0" w:color="auto"/>
              <w:bottom w:val="single" w:sz="4" w:space="0" w:color="auto"/>
              <w:right w:val="single" w:sz="4" w:space="0" w:color="auto"/>
            </w:tcBorders>
            <w:vAlign w:val="center"/>
            <w:hideMark/>
          </w:tcPr>
          <w:p w14:paraId="5C7A6407" w14:textId="77777777" w:rsidR="00DE241D" w:rsidRPr="0097258B" w:rsidRDefault="00DE241D" w:rsidP="00E20250">
            <w:pPr>
              <w:spacing w:line="240" w:lineRule="auto"/>
              <w:rPr>
                <w:rFonts w:ascii="Times New Roman" w:hAnsi="Times New Roman"/>
                <w:sz w:val="20"/>
                <w:szCs w:val="20"/>
              </w:rPr>
            </w:pPr>
            <w:r w:rsidRPr="0097258B">
              <w:rPr>
                <w:rFonts w:ascii="Times New Roman" w:hAnsi="Times New Roman"/>
                <w:sz w:val="20"/>
                <w:szCs w:val="20"/>
              </w:rPr>
              <w:t xml:space="preserve">Mesures de prévention </w:t>
            </w:r>
          </w:p>
        </w:tc>
        <w:tc>
          <w:tcPr>
            <w:tcW w:w="4119" w:type="pct"/>
            <w:gridSpan w:val="7"/>
            <w:tcBorders>
              <w:top w:val="single" w:sz="4" w:space="0" w:color="auto"/>
              <w:left w:val="single" w:sz="4" w:space="0" w:color="auto"/>
              <w:bottom w:val="single" w:sz="4" w:space="0" w:color="auto"/>
              <w:right w:val="single" w:sz="4" w:space="0" w:color="auto"/>
            </w:tcBorders>
            <w:vAlign w:val="center"/>
            <w:hideMark/>
          </w:tcPr>
          <w:p w14:paraId="5E5C3715" w14:textId="080B0F39"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Procéder à des visites préembauches pour établir le statut médical des travailleurs ;</w:t>
            </w:r>
          </w:p>
          <w:p w14:paraId="12BA18F8"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Sensibiliser les travailleurs sur les risques de dermatoses et de maladies du péril fécal ;</w:t>
            </w:r>
          </w:p>
          <w:p w14:paraId="085C8AA2"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Assurer un approvisionnement fiable des travailleurs en eau potable (citernes/réservoirs/forages) ;</w:t>
            </w:r>
          </w:p>
          <w:p w14:paraId="613F2697"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Aménager des toilettes séparées pour homme et femme, en nombre suffisant, avec vestiaire et eau courante et équipées de fosses septiques ;</w:t>
            </w:r>
          </w:p>
          <w:p w14:paraId="4EB86278"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Faire des provisions de produits de soins (savons, détergents) et les mettre à la disposition des travailleurs ;</w:t>
            </w:r>
          </w:p>
          <w:p w14:paraId="12A679DA"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Assurer la propreté des toilettes ;</w:t>
            </w:r>
          </w:p>
          <w:p w14:paraId="179D5506"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Signer un contrat avec un prestataire agréé ou la municipalité pour la vidange des fosses septiques ;</w:t>
            </w:r>
          </w:p>
          <w:p w14:paraId="09D37CD5"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Doter les travailleurs d’EPI en nombre suffisant ;</w:t>
            </w:r>
          </w:p>
          <w:p w14:paraId="1168ACF5"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Interdire les échanges d’EPI entre travailleurs ;</w:t>
            </w:r>
          </w:p>
          <w:p w14:paraId="77BFE19B" w14:textId="2B53B1DC" w:rsidR="00DE241D" w:rsidRPr="0097258B" w:rsidRDefault="00E60FA9" w:rsidP="001748C6">
            <w:pPr>
              <w:pStyle w:val="Default"/>
              <w:widowControl w:val="0"/>
              <w:numPr>
                <w:ilvl w:val="0"/>
                <w:numId w:val="326"/>
              </w:numPr>
              <w:overflowPunct w:val="0"/>
              <w:ind w:right="57"/>
              <w:jc w:val="both"/>
              <w:textAlignment w:val="baseline"/>
              <w:rPr>
                <w:rFonts w:ascii="Times New Roman" w:hAnsi="Times New Roman" w:cs="Times New Roman"/>
                <w:sz w:val="20"/>
                <w:szCs w:val="20"/>
              </w:rPr>
            </w:pPr>
            <w:r w:rsidRPr="0097258B">
              <w:rPr>
                <w:rFonts w:ascii="Times New Roman" w:hAnsi="Times New Roman" w:cs="Times New Roman"/>
                <w:color w:val="000000" w:themeColor="text1"/>
                <w:sz w:val="20"/>
                <w:szCs w:val="20"/>
              </w:rPr>
              <w:t>É</w:t>
            </w:r>
            <w:r w:rsidR="00DE241D" w:rsidRPr="0097258B">
              <w:rPr>
                <w:rFonts w:ascii="Times New Roman" w:hAnsi="Times New Roman" w:cs="Times New Roman"/>
                <w:color w:val="000000" w:themeColor="text1"/>
                <w:sz w:val="20"/>
                <w:szCs w:val="20"/>
              </w:rPr>
              <w:t>laborer des procédures d’intervention en cas de maladies du péril fécal.</w:t>
            </w:r>
          </w:p>
        </w:tc>
      </w:tr>
      <w:tr w:rsidR="001F185B" w:rsidRPr="00632C4D" w14:paraId="6B06A12B" w14:textId="77777777" w:rsidTr="003A0E4A">
        <w:trPr>
          <w:trHeight w:val="210"/>
        </w:trPr>
        <w:tc>
          <w:tcPr>
            <w:tcW w:w="881" w:type="pct"/>
            <w:vMerge w:val="restart"/>
            <w:tcBorders>
              <w:top w:val="single" w:sz="4" w:space="0" w:color="auto"/>
              <w:left w:val="single" w:sz="4" w:space="0" w:color="auto"/>
              <w:bottom w:val="single" w:sz="4" w:space="0" w:color="auto"/>
              <w:right w:val="single" w:sz="4" w:space="0" w:color="auto"/>
            </w:tcBorders>
            <w:vAlign w:val="center"/>
            <w:hideMark/>
          </w:tcPr>
          <w:p w14:paraId="658D6FA1" w14:textId="77777777" w:rsidR="00DE241D" w:rsidRPr="0097258B" w:rsidRDefault="00DE241D" w:rsidP="00E20250">
            <w:pPr>
              <w:spacing w:line="240" w:lineRule="auto"/>
              <w:rPr>
                <w:rFonts w:ascii="Times New Roman" w:hAnsi="Times New Roman"/>
                <w:sz w:val="20"/>
                <w:szCs w:val="20"/>
              </w:rPr>
            </w:pPr>
            <w:r w:rsidRPr="0097258B">
              <w:rPr>
                <w:rFonts w:ascii="Times New Roman" w:hAnsi="Times New Roman"/>
                <w:sz w:val="20"/>
                <w:szCs w:val="20"/>
              </w:rPr>
              <w:t>Après prévention</w:t>
            </w:r>
          </w:p>
        </w:tc>
        <w:tc>
          <w:tcPr>
            <w:tcW w:w="1230" w:type="pct"/>
            <w:tcBorders>
              <w:top w:val="single" w:sz="4" w:space="0" w:color="auto"/>
              <w:left w:val="single" w:sz="4" w:space="0" w:color="auto"/>
              <w:bottom w:val="single" w:sz="4" w:space="0" w:color="auto"/>
              <w:right w:val="single" w:sz="4" w:space="0" w:color="auto"/>
            </w:tcBorders>
            <w:vAlign w:val="center"/>
            <w:hideMark/>
          </w:tcPr>
          <w:p w14:paraId="7E0056B1"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Risques résiduels</w:t>
            </w:r>
          </w:p>
        </w:tc>
        <w:tc>
          <w:tcPr>
            <w:tcW w:w="701" w:type="pct"/>
            <w:tcBorders>
              <w:top w:val="single" w:sz="4" w:space="0" w:color="auto"/>
              <w:left w:val="single" w:sz="4" w:space="0" w:color="auto"/>
              <w:bottom w:val="single" w:sz="4" w:space="0" w:color="auto"/>
              <w:right w:val="single" w:sz="4" w:space="0" w:color="auto"/>
            </w:tcBorders>
            <w:vAlign w:val="center"/>
            <w:hideMark/>
          </w:tcPr>
          <w:p w14:paraId="6E0AB105"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Probabilité</w:t>
            </w:r>
          </w:p>
        </w:tc>
        <w:tc>
          <w:tcPr>
            <w:tcW w:w="544"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B35FC3D"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Gravité</w:t>
            </w:r>
          </w:p>
        </w:tc>
        <w:tc>
          <w:tcPr>
            <w:tcW w:w="645" w:type="pct"/>
            <w:gridSpan w:val="2"/>
            <w:tcBorders>
              <w:top w:val="single" w:sz="4" w:space="0" w:color="auto"/>
              <w:left w:val="single" w:sz="4" w:space="0" w:color="auto"/>
              <w:bottom w:val="single" w:sz="4" w:space="0" w:color="auto"/>
              <w:right w:val="single" w:sz="4" w:space="0" w:color="auto"/>
            </w:tcBorders>
            <w:vAlign w:val="center"/>
            <w:hideMark/>
          </w:tcPr>
          <w:p w14:paraId="511A6788"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Criticité</w:t>
            </w:r>
          </w:p>
        </w:tc>
        <w:tc>
          <w:tcPr>
            <w:tcW w:w="999" w:type="pct"/>
            <w:tcBorders>
              <w:top w:val="single" w:sz="4" w:space="0" w:color="auto"/>
              <w:left w:val="single" w:sz="4" w:space="0" w:color="auto"/>
              <w:bottom w:val="single" w:sz="4" w:space="0" w:color="auto"/>
              <w:right w:val="single" w:sz="4" w:space="0" w:color="auto"/>
            </w:tcBorders>
            <w:vAlign w:val="center"/>
            <w:hideMark/>
          </w:tcPr>
          <w:p w14:paraId="7D02AF29"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Dommage final</w:t>
            </w:r>
          </w:p>
        </w:tc>
      </w:tr>
      <w:tr w:rsidR="001F185B" w:rsidRPr="00632C4D" w14:paraId="532C266B" w14:textId="77777777" w:rsidTr="003A0E4A">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61D066" w14:textId="77777777" w:rsidR="00DE241D" w:rsidRPr="0097258B" w:rsidRDefault="00DE241D" w:rsidP="00E20250">
            <w:pPr>
              <w:spacing w:line="240" w:lineRule="auto"/>
              <w:rPr>
                <w:rFonts w:ascii="Times New Roman" w:hAnsi="Times New Roman"/>
                <w:i/>
                <w:sz w:val="20"/>
                <w:szCs w:val="20"/>
              </w:rPr>
            </w:pPr>
          </w:p>
        </w:tc>
        <w:tc>
          <w:tcPr>
            <w:tcW w:w="1230" w:type="pct"/>
            <w:tcBorders>
              <w:top w:val="single" w:sz="4" w:space="0" w:color="auto"/>
              <w:left w:val="single" w:sz="4" w:space="0" w:color="auto"/>
              <w:bottom w:val="single" w:sz="4" w:space="0" w:color="auto"/>
              <w:right w:val="single" w:sz="4" w:space="0" w:color="auto"/>
            </w:tcBorders>
            <w:vAlign w:val="center"/>
            <w:hideMark/>
          </w:tcPr>
          <w:p w14:paraId="5B84DAE7" w14:textId="455531F2" w:rsidR="00DE241D" w:rsidRPr="0097258B" w:rsidRDefault="001E5622" w:rsidP="00E20250">
            <w:pPr>
              <w:spacing w:line="240" w:lineRule="auto"/>
              <w:rPr>
                <w:rFonts w:ascii="Times New Roman" w:hAnsi="Times New Roman"/>
                <w:sz w:val="20"/>
                <w:szCs w:val="20"/>
              </w:rPr>
            </w:pPr>
            <w:r w:rsidRPr="0097258B">
              <w:rPr>
                <w:rFonts w:ascii="Times New Roman" w:hAnsi="Times New Roman"/>
                <w:sz w:val="20"/>
                <w:szCs w:val="20"/>
              </w:rPr>
              <w:t>Hygiène sanitaire</w:t>
            </w:r>
          </w:p>
        </w:tc>
        <w:tc>
          <w:tcPr>
            <w:tcW w:w="701" w:type="pct"/>
            <w:tcBorders>
              <w:top w:val="single" w:sz="4" w:space="0" w:color="auto"/>
              <w:left w:val="single" w:sz="4" w:space="0" w:color="auto"/>
              <w:bottom w:val="single" w:sz="4" w:space="0" w:color="auto"/>
              <w:right w:val="single" w:sz="4" w:space="0" w:color="auto"/>
            </w:tcBorders>
            <w:vAlign w:val="center"/>
            <w:hideMark/>
          </w:tcPr>
          <w:p w14:paraId="12CEC7E2"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1</w:t>
            </w: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21D6D529"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2</w:t>
            </w:r>
          </w:p>
        </w:tc>
        <w:tc>
          <w:tcPr>
            <w:tcW w:w="645" w:type="pct"/>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49BC583E"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21</w:t>
            </w:r>
          </w:p>
        </w:tc>
        <w:tc>
          <w:tcPr>
            <w:tcW w:w="999" w:type="pct"/>
            <w:tcBorders>
              <w:top w:val="single" w:sz="4" w:space="0" w:color="auto"/>
              <w:left w:val="single" w:sz="4" w:space="0" w:color="auto"/>
              <w:bottom w:val="single" w:sz="4" w:space="0" w:color="auto"/>
              <w:right w:val="single" w:sz="4" w:space="0" w:color="auto"/>
            </w:tcBorders>
            <w:vAlign w:val="center"/>
            <w:hideMark/>
          </w:tcPr>
          <w:p w14:paraId="59920DE6" w14:textId="7069E61B" w:rsidR="00DE241D" w:rsidRPr="0097258B" w:rsidRDefault="007E2661" w:rsidP="00E20250">
            <w:pPr>
              <w:spacing w:line="240" w:lineRule="auto"/>
              <w:rPr>
                <w:rFonts w:ascii="Times New Roman" w:hAnsi="Times New Roman"/>
                <w:sz w:val="20"/>
                <w:szCs w:val="20"/>
              </w:rPr>
            </w:pPr>
            <w:r w:rsidRPr="0097258B">
              <w:rPr>
                <w:rFonts w:ascii="Times New Roman" w:hAnsi="Times New Roman"/>
                <w:sz w:val="20"/>
                <w:szCs w:val="20"/>
              </w:rPr>
              <w:t>Meilleure hygiène</w:t>
            </w:r>
          </w:p>
        </w:tc>
      </w:tr>
    </w:tbl>
    <w:p w14:paraId="5FCAA5FE" w14:textId="77777777" w:rsidR="00DE241D" w:rsidRPr="00260790" w:rsidRDefault="00DE241D" w:rsidP="00F83414">
      <w:pPr>
        <w:autoSpaceDE w:val="0"/>
        <w:autoSpaceDN w:val="0"/>
        <w:adjustRightInd w:val="0"/>
        <w:spacing w:after="0" w:line="240" w:lineRule="auto"/>
        <w:jc w:val="both"/>
        <w:rPr>
          <w:rFonts w:ascii="Times New Roman" w:hAnsi="Times New Roman"/>
          <w:bCs/>
          <w:iCs/>
          <w:color w:val="000000" w:themeColor="text1"/>
        </w:rPr>
      </w:pPr>
    </w:p>
    <w:p w14:paraId="7C4EFA47" w14:textId="77777777" w:rsidR="00DE241D" w:rsidRPr="00260790" w:rsidRDefault="00DE241D" w:rsidP="001748C6">
      <w:pPr>
        <w:pStyle w:val="Paragraphedeliste"/>
        <w:numPr>
          <w:ilvl w:val="0"/>
          <w:numId w:val="309"/>
        </w:numPr>
        <w:autoSpaceDE w:val="0"/>
        <w:autoSpaceDN w:val="0"/>
        <w:adjustRightInd w:val="0"/>
        <w:spacing w:after="0"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RI-9. Risque d’incendie/explosion</w:t>
      </w:r>
    </w:p>
    <w:p w14:paraId="7CE48367" w14:textId="21E516CB" w:rsidR="00DE241D" w:rsidRPr="00260790" w:rsidRDefault="00DE241D" w:rsidP="00E20250">
      <w:pPr>
        <w:autoSpaceDE w:val="0"/>
        <w:autoSpaceDN w:val="0"/>
        <w:adjustRightInd w:val="0"/>
        <w:spacing w:line="240" w:lineRule="auto"/>
        <w:jc w:val="both"/>
        <w:rPr>
          <w:rFonts w:ascii="Times New Roman" w:hAnsi="Times New Roman"/>
          <w:bCs/>
          <w:iCs/>
          <w:color w:val="000000" w:themeColor="text1"/>
        </w:rPr>
      </w:pPr>
      <w:r w:rsidRPr="00260790">
        <w:rPr>
          <w:rFonts w:ascii="Times New Roman" w:hAnsi="Times New Roman"/>
          <w:bCs/>
          <w:iCs/>
          <w:color w:val="000000" w:themeColor="text1"/>
        </w:rPr>
        <w:t xml:space="preserve">Le fonctionnement des bases de chantier comporte un risque d’incendie/explosions. Le principal facteur d’exposition à ce risque sera le stockage de substances inflammables telles que les hydrocarbures. </w:t>
      </w:r>
    </w:p>
    <w:p w14:paraId="6592124F" w14:textId="77777777" w:rsidR="00DE241D" w:rsidRPr="00260790" w:rsidRDefault="00DE241D" w:rsidP="00E20250">
      <w:pPr>
        <w:autoSpaceDE w:val="0"/>
        <w:autoSpaceDN w:val="0"/>
        <w:adjustRightInd w:val="0"/>
        <w:spacing w:line="240" w:lineRule="auto"/>
        <w:jc w:val="both"/>
        <w:rPr>
          <w:rFonts w:ascii="Times New Roman" w:hAnsi="Times New Roman"/>
          <w:bCs/>
          <w:iCs/>
          <w:color w:val="000000" w:themeColor="text1"/>
        </w:rPr>
      </w:pPr>
      <w:r w:rsidRPr="00260790">
        <w:rPr>
          <w:rFonts w:ascii="Times New Roman" w:hAnsi="Times New Roman"/>
          <w:bCs/>
          <w:iCs/>
          <w:color w:val="000000" w:themeColor="text1"/>
        </w:rPr>
        <w:t>Les conditions d’un départ de feu sont la présence simultanée d’un combustible, d’un comburant et d’une source de chaleur qui peut être un mégot de cigarette.</w:t>
      </w:r>
    </w:p>
    <w:p w14:paraId="2FD53F56" w14:textId="77777777" w:rsidR="00DE241D" w:rsidRPr="00260790" w:rsidRDefault="00DE241D" w:rsidP="00E20250">
      <w:pPr>
        <w:autoSpaceDE w:val="0"/>
        <w:autoSpaceDN w:val="0"/>
        <w:adjustRightInd w:val="0"/>
        <w:spacing w:line="240" w:lineRule="auto"/>
        <w:jc w:val="both"/>
        <w:rPr>
          <w:rFonts w:ascii="Times New Roman" w:hAnsi="Times New Roman"/>
          <w:color w:val="000000" w:themeColor="text1"/>
        </w:rPr>
      </w:pPr>
      <w:r w:rsidRPr="00260790">
        <w:rPr>
          <w:rFonts w:ascii="Times New Roman" w:hAnsi="Times New Roman"/>
          <w:bCs/>
          <w:iCs/>
          <w:color w:val="000000" w:themeColor="text1"/>
        </w:rPr>
        <w:t>Les principaux combustibles attendus dans le cadre du projet sont</w:t>
      </w:r>
      <w:r w:rsidRPr="00260790">
        <w:rPr>
          <w:rFonts w:ascii="Times New Roman" w:hAnsi="Times New Roman"/>
          <w:color w:val="000000" w:themeColor="text1"/>
        </w:rPr>
        <w:t xml:space="preserve"> le gasoil, le fuel, le gaz de ville pour les travailleurs.</w:t>
      </w:r>
    </w:p>
    <w:p w14:paraId="22EB8988" w14:textId="77777777" w:rsidR="00DE241D" w:rsidRPr="00260790" w:rsidRDefault="00DE241D" w:rsidP="00E20250">
      <w:pPr>
        <w:autoSpaceDE w:val="0"/>
        <w:autoSpaceDN w:val="0"/>
        <w:adjustRightInd w:val="0"/>
        <w:spacing w:line="240" w:lineRule="auto"/>
        <w:jc w:val="both"/>
        <w:rPr>
          <w:rFonts w:ascii="Times New Roman" w:hAnsi="Times New Roman"/>
          <w:color w:val="000000" w:themeColor="text1"/>
        </w:rPr>
      </w:pPr>
      <w:r w:rsidRPr="00260790">
        <w:rPr>
          <w:rFonts w:ascii="Times New Roman" w:hAnsi="Times New Roman"/>
          <w:color w:val="000000" w:themeColor="text1"/>
        </w:rPr>
        <w:t>En cas d'incendie, peu importe son étendue, il y a dégagement de fumées contenant des substances polluantes dont la quantité et la toxicité seront liées d’une part à l'étendue de l'incendie et d'autre part aux produits et matières qui seront brûlés.</w:t>
      </w:r>
    </w:p>
    <w:p w14:paraId="4107DE3A" w14:textId="6CA83B57" w:rsidR="00DE241D" w:rsidRPr="00260790" w:rsidRDefault="00DE241D" w:rsidP="00E20250">
      <w:pPr>
        <w:autoSpaceDE w:val="0"/>
        <w:autoSpaceDN w:val="0"/>
        <w:adjustRightInd w:val="0"/>
        <w:spacing w:line="240" w:lineRule="auto"/>
        <w:jc w:val="both"/>
        <w:rPr>
          <w:rFonts w:ascii="Times New Roman" w:hAnsi="Times New Roman"/>
          <w:color w:val="000000" w:themeColor="text1"/>
        </w:rPr>
      </w:pPr>
      <w:r w:rsidRPr="00260790">
        <w:rPr>
          <w:rFonts w:ascii="Times New Roman" w:hAnsi="Times New Roman"/>
          <w:color w:val="000000" w:themeColor="text1"/>
        </w:rPr>
        <w:t>Le transfert vers le milieu ambiant des substances polluantes contenues sous forme gazeuse ou sous forme de particules fines dans les fumées d'incendie se fait d'une part par voie aérienne et d'autre part avec les eaux d'extinction, si ces dernières ne sont pas retenues de façon adéquate sur le site. Ci-dessous le résumé de l’analyse du risque.</w:t>
      </w:r>
    </w:p>
    <w:p w14:paraId="65E53D45" w14:textId="683C4F67" w:rsidR="00DE241D" w:rsidRPr="00260790" w:rsidRDefault="00DE241D" w:rsidP="00E20250">
      <w:pPr>
        <w:pStyle w:val="Lgende"/>
        <w:spacing w:line="240" w:lineRule="auto"/>
        <w:rPr>
          <w:color w:val="000000" w:themeColor="text1"/>
          <w:sz w:val="22"/>
          <w:szCs w:val="22"/>
        </w:rPr>
      </w:pPr>
      <w:bookmarkStart w:id="624" w:name="_Toc207781882"/>
      <w:r w:rsidRPr="00260790">
        <w:rPr>
          <w:color w:val="000000" w:themeColor="text1"/>
          <w:sz w:val="22"/>
          <w:szCs w:val="22"/>
        </w:rPr>
        <w:lastRenderedPageBreak/>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41</w:t>
      </w:r>
      <w:r w:rsidRPr="00260790">
        <w:rPr>
          <w:color w:val="000000" w:themeColor="text1"/>
          <w:sz w:val="22"/>
          <w:szCs w:val="22"/>
        </w:rPr>
        <w:fldChar w:fldCharType="end"/>
      </w:r>
      <w:r w:rsidRPr="00260790">
        <w:rPr>
          <w:color w:val="000000" w:themeColor="text1"/>
          <w:sz w:val="22"/>
          <w:szCs w:val="22"/>
        </w:rPr>
        <w:t> : Résumé de l’évaluation du risque d’incendie/explosion</w:t>
      </w:r>
      <w:bookmarkEnd w:id="6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526"/>
        <w:gridCol w:w="2174"/>
        <w:gridCol w:w="1218"/>
        <w:gridCol w:w="906"/>
        <w:gridCol w:w="971"/>
        <w:gridCol w:w="524"/>
        <w:gridCol w:w="1741"/>
      </w:tblGrid>
      <w:tr w:rsidR="00BD1A2F" w:rsidRPr="00632C4D" w14:paraId="2A1D38C7" w14:textId="77777777" w:rsidTr="003A0E4A">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266C76FB"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RI-9. Risque d’incendie/explosion</w:t>
            </w:r>
          </w:p>
        </w:tc>
      </w:tr>
      <w:tr w:rsidR="00BD1A2F" w:rsidRPr="00632C4D" w14:paraId="3669CBCE" w14:textId="77777777" w:rsidTr="003A0E4A">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hideMark/>
          </w:tcPr>
          <w:p w14:paraId="3E17E99C" w14:textId="77777777" w:rsidR="00DE241D" w:rsidRPr="0097258B" w:rsidRDefault="00DE241D" w:rsidP="00E20250">
            <w:pPr>
              <w:spacing w:line="240" w:lineRule="auto"/>
              <w:rPr>
                <w:rFonts w:ascii="Times New Roman" w:hAnsi="Times New Roman"/>
                <w:sz w:val="20"/>
                <w:szCs w:val="20"/>
              </w:rPr>
            </w:pPr>
            <w:r w:rsidRPr="0097258B">
              <w:rPr>
                <w:rFonts w:ascii="Times New Roman" w:hAnsi="Times New Roman"/>
                <w:b/>
                <w:bCs/>
                <w:sz w:val="20"/>
                <w:szCs w:val="20"/>
              </w:rPr>
              <w:t>Activités concernées</w:t>
            </w:r>
            <w:r w:rsidRPr="0097258B">
              <w:rPr>
                <w:rFonts w:ascii="Times New Roman" w:hAnsi="Times New Roman"/>
                <w:sz w:val="20"/>
                <w:szCs w:val="20"/>
              </w:rPr>
              <w:t> : Fonctionnement de la base de chantier</w:t>
            </w:r>
          </w:p>
        </w:tc>
      </w:tr>
      <w:tr w:rsidR="00BD1A2F" w:rsidRPr="00632C4D" w14:paraId="1BFE4961" w14:textId="77777777" w:rsidTr="003A0E4A">
        <w:trPr>
          <w:cantSplit/>
        </w:trPr>
        <w:tc>
          <w:tcPr>
            <w:tcW w:w="842" w:type="pct"/>
            <w:tcBorders>
              <w:top w:val="single" w:sz="4" w:space="0" w:color="auto"/>
              <w:left w:val="single" w:sz="4" w:space="0" w:color="auto"/>
              <w:bottom w:val="single" w:sz="4" w:space="0" w:color="auto"/>
              <w:right w:val="single" w:sz="4" w:space="0" w:color="auto"/>
            </w:tcBorders>
            <w:shd w:val="clear" w:color="auto" w:fill="FFFFFF"/>
          </w:tcPr>
          <w:p w14:paraId="13BC7847" w14:textId="77777777" w:rsidR="00DE241D" w:rsidRPr="0097258B" w:rsidRDefault="00DE241D" w:rsidP="00E20250">
            <w:pPr>
              <w:spacing w:line="240" w:lineRule="auto"/>
              <w:rPr>
                <w:rFonts w:ascii="Times New Roman" w:hAnsi="Times New Roman"/>
                <w:sz w:val="20"/>
                <w:szCs w:val="20"/>
              </w:rPr>
            </w:pPr>
          </w:p>
        </w:tc>
        <w:tc>
          <w:tcPr>
            <w:tcW w:w="12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5EF87C"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Risques initiaux</w:t>
            </w:r>
          </w:p>
        </w:tc>
        <w:tc>
          <w:tcPr>
            <w:tcW w:w="67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66F8BD6"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Probabilité</w:t>
            </w:r>
          </w:p>
        </w:tc>
        <w:tc>
          <w:tcPr>
            <w:tcW w:w="5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0543B9A"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Gravité</w:t>
            </w:r>
          </w:p>
        </w:tc>
        <w:tc>
          <w:tcPr>
            <w:tcW w:w="5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A7F58E3"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Criticité</w:t>
            </w:r>
          </w:p>
        </w:tc>
        <w:tc>
          <w:tcPr>
            <w:tcW w:w="1251"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281E36B"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Dommage initial</w:t>
            </w:r>
          </w:p>
        </w:tc>
      </w:tr>
      <w:tr w:rsidR="00BD1A2F" w:rsidRPr="00632C4D" w14:paraId="374CDD1A" w14:textId="77777777" w:rsidTr="003A0E4A">
        <w:tc>
          <w:tcPr>
            <w:tcW w:w="842" w:type="pct"/>
            <w:tcBorders>
              <w:top w:val="single" w:sz="4" w:space="0" w:color="auto"/>
              <w:left w:val="single" w:sz="4" w:space="0" w:color="auto"/>
              <w:bottom w:val="single" w:sz="4" w:space="0" w:color="auto"/>
              <w:right w:val="single" w:sz="4" w:space="0" w:color="auto"/>
            </w:tcBorders>
            <w:vAlign w:val="center"/>
            <w:hideMark/>
          </w:tcPr>
          <w:p w14:paraId="0551C8FC" w14:textId="77777777" w:rsidR="00DE241D" w:rsidRPr="0097258B" w:rsidRDefault="00DE241D" w:rsidP="00E20250">
            <w:pPr>
              <w:spacing w:line="240" w:lineRule="auto"/>
              <w:rPr>
                <w:rFonts w:ascii="Times New Roman" w:hAnsi="Times New Roman"/>
                <w:i/>
                <w:sz w:val="20"/>
                <w:szCs w:val="20"/>
              </w:rPr>
            </w:pPr>
            <w:r w:rsidRPr="0097258B">
              <w:rPr>
                <w:rFonts w:ascii="Times New Roman" w:hAnsi="Times New Roman"/>
                <w:i/>
                <w:sz w:val="20"/>
                <w:szCs w:val="20"/>
              </w:rPr>
              <w:t xml:space="preserve">Avant prévention </w:t>
            </w:r>
          </w:p>
        </w:tc>
        <w:tc>
          <w:tcPr>
            <w:tcW w:w="1200" w:type="pct"/>
            <w:tcBorders>
              <w:top w:val="single" w:sz="4" w:space="0" w:color="auto"/>
              <w:left w:val="single" w:sz="4" w:space="0" w:color="auto"/>
              <w:bottom w:val="single" w:sz="4" w:space="0" w:color="auto"/>
              <w:right w:val="single" w:sz="4" w:space="0" w:color="auto"/>
            </w:tcBorders>
            <w:vAlign w:val="center"/>
            <w:hideMark/>
          </w:tcPr>
          <w:p w14:paraId="2D982E9C" w14:textId="013FB631" w:rsidR="00DE241D" w:rsidRPr="0097258B" w:rsidRDefault="003D4D90" w:rsidP="00A92B22">
            <w:pPr>
              <w:spacing w:after="0" w:line="240" w:lineRule="auto"/>
              <w:rPr>
                <w:rFonts w:ascii="Times New Roman" w:hAnsi="Times New Roman"/>
                <w:sz w:val="20"/>
                <w:szCs w:val="20"/>
              </w:rPr>
            </w:pPr>
            <w:r w:rsidRPr="0097258B">
              <w:rPr>
                <w:rFonts w:ascii="Times New Roman" w:hAnsi="Times New Roman"/>
                <w:sz w:val="20"/>
                <w:szCs w:val="20"/>
              </w:rPr>
              <w:t>Risque d’incendie / explosion lié</w:t>
            </w:r>
            <w:r w:rsidR="00A45366" w:rsidRPr="0097258B">
              <w:rPr>
                <w:rFonts w:ascii="Times New Roman" w:hAnsi="Times New Roman"/>
                <w:sz w:val="20"/>
                <w:szCs w:val="20"/>
              </w:rPr>
              <w:t xml:space="preserve"> au n</w:t>
            </w:r>
            <w:r w:rsidR="00DE241D" w:rsidRPr="0097258B">
              <w:rPr>
                <w:rFonts w:ascii="Times New Roman" w:hAnsi="Times New Roman"/>
                <w:sz w:val="20"/>
                <w:szCs w:val="20"/>
              </w:rPr>
              <w:t>on-respect des règles de stockage des substances inflammables ou combustibles </w:t>
            </w:r>
            <w:r w:rsidR="00F769C6" w:rsidRPr="0097258B">
              <w:rPr>
                <w:rFonts w:ascii="Times New Roman" w:hAnsi="Times New Roman"/>
                <w:sz w:val="20"/>
                <w:szCs w:val="20"/>
              </w:rPr>
              <w:t>et de</w:t>
            </w:r>
          </w:p>
          <w:p w14:paraId="4240DFF4" w14:textId="39EC7463" w:rsidR="00DE241D" w:rsidRPr="0097258B" w:rsidRDefault="00F769C6" w:rsidP="00A92B22">
            <w:pPr>
              <w:spacing w:after="0" w:line="240" w:lineRule="auto"/>
              <w:rPr>
                <w:rFonts w:ascii="Times New Roman" w:hAnsi="Times New Roman"/>
                <w:sz w:val="20"/>
                <w:szCs w:val="20"/>
              </w:rPr>
            </w:pPr>
            <w:proofErr w:type="gramStart"/>
            <w:r w:rsidRPr="0097258B">
              <w:rPr>
                <w:rFonts w:ascii="Times New Roman" w:hAnsi="Times New Roman"/>
                <w:sz w:val="20"/>
                <w:szCs w:val="20"/>
              </w:rPr>
              <w:t>r</w:t>
            </w:r>
            <w:r w:rsidR="00DE241D" w:rsidRPr="0097258B">
              <w:rPr>
                <w:rFonts w:ascii="Times New Roman" w:hAnsi="Times New Roman"/>
                <w:sz w:val="20"/>
                <w:szCs w:val="20"/>
              </w:rPr>
              <w:t>avitaillement</w:t>
            </w:r>
            <w:proofErr w:type="gramEnd"/>
            <w:r w:rsidR="00DE241D" w:rsidRPr="0097258B">
              <w:rPr>
                <w:rFonts w:ascii="Times New Roman" w:hAnsi="Times New Roman"/>
                <w:sz w:val="20"/>
                <w:szCs w:val="20"/>
              </w:rPr>
              <w:t xml:space="preserve"> en </w:t>
            </w:r>
            <w:proofErr w:type="gramStart"/>
            <w:r w:rsidR="00DE241D" w:rsidRPr="0097258B">
              <w:rPr>
                <w:rFonts w:ascii="Times New Roman" w:hAnsi="Times New Roman"/>
                <w:sz w:val="20"/>
                <w:szCs w:val="20"/>
              </w:rPr>
              <w:t>carburant</w:t>
            </w:r>
            <w:r w:rsidR="003473EF" w:rsidRPr="0097258B">
              <w:rPr>
                <w:rFonts w:ascii="Times New Roman" w:hAnsi="Times New Roman"/>
                <w:sz w:val="20"/>
                <w:szCs w:val="20"/>
              </w:rPr>
              <w:t>,</w:t>
            </w:r>
            <w:r w:rsidR="00DE241D" w:rsidRPr="0097258B">
              <w:rPr>
                <w:rFonts w:ascii="Times New Roman" w:hAnsi="Times New Roman"/>
                <w:sz w:val="20"/>
                <w:szCs w:val="20"/>
              </w:rPr>
              <w:t> </w:t>
            </w:r>
            <w:r w:rsidR="003473EF" w:rsidRPr="0097258B">
              <w:rPr>
                <w:rFonts w:ascii="Times New Roman" w:hAnsi="Times New Roman"/>
                <w:sz w:val="20"/>
                <w:szCs w:val="20"/>
              </w:rPr>
              <w:t xml:space="preserve"> aux</w:t>
            </w:r>
            <w:proofErr w:type="gramEnd"/>
            <w:r w:rsidR="003473EF" w:rsidRPr="0097258B">
              <w:rPr>
                <w:rFonts w:ascii="Times New Roman" w:hAnsi="Times New Roman"/>
                <w:sz w:val="20"/>
                <w:szCs w:val="20"/>
              </w:rPr>
              <w:t xml:space="preserve"> </w:t>
            </w:r>
          </w:p>
          <w:p w14:paraId="4DDC5FD8" w14:textId="29DF77B4" w:rsidR="00DE241D" w:rsidRPr="0097258B" w:rsidRDefault="003473EF" w:rsidP="00A92B22">
            <w:pPr>
              <w:spacing w:after="0" w:line="240" w:lineRule="auto"/>
              <w:rPr>
                <w:rFonts w:ascii="Times New Roman" w:hAnsi="Times New Roman"/>
                <w:sz w:val="20"/>
                <w:szCs w:val="20"/>
              </w:rPr>
            </w:pPr>
            <w:proofErr w:type="gramStart"/>
            <w:r w:rsidRPr="0097258B">
              <w:rPr>
                <w:rFonts w:ascii="Times New Roman" w:hAnsi="Times New Roman"/>
                <w:sz w:val="20"/>
                <w:szCs w:val="20"/>
              </w:rPr>
              <w:t>accidents</w:t>
            </w:r>
            <w:proofErr w:type="gramEnd"/>
            <w:r w:rsidR="00DE241D" w:rsidRPr="0097258B">
              <w:rPr>
                <w:rFonts w:ascii="Times New Roman" w:hAnsi="Times New Roman"/>
                <w:sz w:val="20"/>
                <w:szCs w:val="20"/>
              </w:rPr>
              <w:t xml:space="preserve"> </w:t>
            </w:r>
            <w:r w:rsidR="003767B7" w:rsidRPr="0097258B">
              <w:rPr>
                <w:rFonts w:ascii="Times New Roman" w:hAnsi="Times New Roman"/>
                <w:sz w:val="20"/>
                <w:szCs w:val="20"/>
              </w:rPr>
              <w:t xml:space="preserve">ou à la </w:t>
            </w:r>
            <w:r w:rsidR="00DE241D" w:rsidRPr="0097258B">
              <w:rPr>
                <w:rFonts w:ascii="Times New Roman" w:hAnsi="Times New Roman"/>
                <w:sz w:val="20"/>
                <w:szCs w:val="20"/>
              </w:rPr>
              <w:t>négligence</w:t>
            </w:r>
          </w:p>
        </w:tc>
        <w:tc>
          <w:tcPr>
            <w:tcW w:w="672" w:type="pct"/>
            <w:tcBorders>
              <w:top w:val="single" w:sz="4" w:space="0" w:color="auto"/>
              <w:left w:val="single" w:sz="4" w:space="0" w:color="auto"/>
              <w:bottom w:val="single" w:sz="4" w:space="0" w:color="auto"/>
              <w:right w:val="single" w:sz="4" w:space="0" w:color="auto"/>
            </w:tcBorders>
            <w:vAlign w:val="center"/>
            <w:hideMark/>
          </w:tcPr>
          <w:p w14:paraId="1A55B0E5" w14:textId="77777777" w:rsidR="00DE241D" w:rsidRPr="0097258B" w:rsidRDefault="00DE241D" w:rsidP="00A92B22">
            <w:pPr>
              <w:spacing w:line="240" w:lineRule="auto"/>
              <w:jc w:val="center"/>
              <w:rPr>
                <w:rFonts w:ascii="Times New Roman" w:hAnsi="Times New Roman"/>
                <w:b/>
                <w:bCs/>
                <w:sz w:val="20"/>
                <w:szCs w:val="20"/>
              </w:rPr>
            </w:pPr>
            <w:r w:rsidRPr="0097258B">
              <w:rPr>
                <w:rFonts w:ascii="Times New Roman" w:hAnsi="Times New Roman"/>
                <w:b/>
                <w:bCs/>
                <w:sz w:val="20"/>
                <w:szCs w:val="20"/>
              </w:rPr>
              <w:t>2</w:t>
            </w:r>
          </w:p>
        </w:tc>
        <w:tc>
          <w:tcPr>
            <w:tcW w:w="500" w:type="pct"/>
            <w:tcBorders>
              <w:top w:val="single" w:sz="4" w:space="0" w:color="auto"/>
              <w:left w:val="single" w:sz="4" w:space="0" w:color="auto"/>
              <w:bottom w:val="single" w:sz="4" w:space="0" w:color="auto"/>
              <w:right w:val="single" w:sz="4" w:space="0" w:color="auto"/>
            </w:tcBorders>
            <w:vAlign w:val="center"/>
            <w:hideMark/>
          </w:tcPr>
          <w:p w14:paraId="64700958" w14:textId="77777777" w:rsidR="00DE241D" w:rsidRPr="0097258B" w:rsidRDefault="00DE241D" w:rsidP="00A92B22">
            <w:pPr>
              <w:spacing w:line="240" w:lineRule="auto"/>
              <w:jc w:val="center"/>
              <w:rPr>
                <w:rFonts w:ascii="Times New Roman" w:hAnsi="Times New Roman"/>
                <w:b/>
                <w:bCs/>
                <w:sz w:val="20"/>
                <w:szCs w:val="20"/>
              </w:rPr>
            </w:pPr>
            <w:r w:rsidRPr="0097258B">
              <w:rPr>
                <w:rFonts w:ascii="Times New Roman" w:hAnsi="Times New Roman"/>
                <w:b/>
                <w:bCs/>
                <w:sz w:val="20"/>
                <w:szCs w:val="20"/>
              </w:rPr>
              <w:t>4</w:t>
            </w:r>
          </w:p>
        </w:tc>
        <w:tc>
          <w:tcPr>
            <w:tcW w:w="536"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3923721A" w14:textId="77777777" w:rsidR="00DE241D" w:rsidRPr="0097258B" w:rsidRDefault="00DE241D" w:rsidP="00A92B22">
            <w:pPr>
              <w:spacing w:line="240" w:lineRule="auto"/>
              <w:jc w:val="center"/>
              <w:rPr>
                <w:rFonts w:ascii="Times New Roman" w:hAnsi="Times New Roman"/>
                <w:b/>
                <w:bCs/>
                <w:sz w:val="20"/>
                <w:szCs w:val="20"/>
              </w:rPr>
            </w:pPr>
            <w:r w:rsidRPr="0097258B">
              <w:rPr>
                <w:rFonts w:ascii="Times New Roman" w:hAnsi="Times New Roman"/>
                <w:b/>
                <w:bCs/>
                <w:sz w:val="20"/>
                <w:szCs w:val="20"/>
              </w:rPr>
              <w:t>42</w:t>
            </w:r>
          </w:p>
        </w:tc>
        <w:tc>
          <w:tcPr>
            <w:tcW w:w="1251" w:type="pct"/>
            <w:gridSpan w:val="2"/>
            <w:tcBorders>
              <w:top w:val="single" w:sz="4" w:space="0" w:color="auto"/>
              <w:left w:val="single" w:sz="4" w:space="0" w:color="auto"/>
              <w:bottom w:val="single" w:sz="4" w:space="0" w:color="auto"/>
              <w:right w:val="single" w:sz="4" w:space="0" w:color="auto"/>
            </w:tcBorders>
            <w:vAlign w:val="center"/>
            <w:hideMark/>
          </w:tcPr>
          <w:p w14:paraId="1FDD0FF6" w14:textId="77777777" w:rsidR="00DE241D" w:rsidRPr="0097258B" w:rsidRDefault="00DE241D" w:rsidP="00A92B22">
            <w:pPr>
              <w:spacing w:after="0" w:line="240" w:lineRule="auto"/>
              <w:rPr>
                <w:rFonts w:ascii="Times New Roman" w:hAnsi="Times New Roman"/>
                <w:sz w:val="20"/>
                <w:szCs w:val="20"/>
              </w:rPr>
            </w:pPr>
            <w:r w:rsidRPr="0097258B">
              <w:rPr>
                <w:rFonts w:ascii="Times New Roman" w:hAnsi="Times New Roman"/>
                <w:sz w:val="20"/>
                <w:szCs w:val="20"/>
              </w:rPr>
              <w:t>Dégâts matériels ;</w:t>
            </w:r>
          </w:p>
          <w:p w14:paraId="7EBA12E6" w14:textId="77777777" w:rsidR="00DE241D" w:rsidRPr="0097258B" w:rsidRDefault="00DE241D" w:rsidP="00A92B22">
            <w:pPr>
              <w:spacing w:after="0" w:line="240" w:lineRule="auto"/>
              <w:rPr>
                <w:rFonts w:ascii="Times New Roman" w:hAnsi="Times New Roman"/>
                <w:sz w:val="20"/>
                <w:szCs w:val="20"/>
              </w:rPr>
            </w:pPr>
            <w:r w:rsidRPr="0097258B">
              <w:rPr>
                <w:rFonts w:ascii="Times New Roman" w:hAnsi="Times New Roman"/>
                <w:sz w:val="20"/>
                <w:szCs w:val="20"/>
              </w:rPr>
              <w:t>Dommages corporels ;</w:t>
            </w:r>
          </w:p>
          <w:p w14:paraId="43740D25" w14:textId="77777777" w:rsidR="00DE241D" w:rsidRPr="0097258B" w:rsidRDefault="00DE241D" w:rsidP="00A92B22">
            <w:pPr>
              <w:spacing w:after="0" w:line="240" w:lineRule="auto"/>
              <w:rPr>
                <w:rFonts w:ascii="Times New Roman" w:hAnsi="Times New Roman"/>
                <w:sz w:val="20"/>
                <w:szCs w:val="20"/>
              </w:rPr>
            </w:pPr>
            <w:r w:rsidRPr="0097258B">
              <w:rPr>
                <w:rFonts w:ascii="Times New Roman" w:hAnsi="Times New Roman"/>
                <w:sz w:val="20"/>
                <w:szCs w:val="20"/>
              </w:rPr>
              <w:t>Pertes en vie humaine ;</w:t>
            </w:r>
          </w:p>
          <w:p w14:paraId="56292D91" w14:textId="77777777" w:rsidR="00DE241D" w:rsidRPr="0097258B" w:rsidRDefault="00DE241D" w:rsidP="00A92B22">
            <w:pPr>
              <w:spacing w:after="0" w:line="240" w:lineRule="auto"/>
              <w:rPr>
                <w:rFonts w:ascii="Times New Roman" w:hAnsi="Times New Roman"/>
                <w:sz w:val="20"/>
                <w:szCs w:val="20"/>
              </w:rPr>
            </w:pPr>
            <w:r w:rsidRPr="0097258B">
              <w:rPr>
                <w:rFonts w:ascii="Times New Roman" w:hAnsi="Times New Roman"/>
                <w:sz w:val="20"/>
                <w:szCs w:val="20"/>
              </w:rPr>
              <w:t>Pollution de l’air ;</w:t>
            </w:r>
          </w:p>
          <w:p w14:paraId="04C5E773" w14:textId="77777777" w:rsidR="00DE241D" w:rsidRPr="0097258B" w:rsidRDefault="00DE241D" w:rsidP="00A92B22">
            <w:pPr>
              <w:spacing w:after="0" w:line="240" w:lineRule="auto"/>
              <w:rPr>
                <w:rFonts w:ascii="Times New Roman" w:hAnsi="Times New Roman"/>
                <w:sz w:val="20"/>
                <w:szCs w:val="20"/>
              </w:rPr>
            </w:pPr>
            <w:r w:rsidRPr="0097258B">
              <w:rPr>
                <w:rFonts w:ascii="Times New Roman" w:hAnsi="Times New Roman"/>
                <w:sz w:val="20"/>
                <w:szCs w:val="20"/>
              </w:rPr>
              <w:t>Pollution des ressources des eaux d’extinction des incendies</w:t>
            </w:r>
          </w:p>
        </w:tc>
      </w:tr>
      <w:tr w:rsidR="00BD1A2F" w:rsidRPr="00632C4D" w14:paraId="4612527C" w14:textId="77777777" w:rsidTr="003A0E4A">
        <w:tc>
          <w:tcPr>
            <w:tcW w:w="842" w:type="pct"/>
            <w:tcBorders>
              <w:top w:val="single" w:sz="4" w:space="0" w:color="auto"/>
              <w:left w:val="single" w:sz="4" w:space="0" w:color="auto"/>
              <w:bottom w:val="single" w:sz="4" w:space="0" w:color="auto"/>
              <w:right w:val="single" w:sz="4" w:space="0" w:color="auto"/>
            </w:tcBorders>
            <w:vAlign w:val="center"/>
            <w:hideMark/>
          </w:tcPr>
          <w:p w14:paraId="1ACAFC60" w14:textId="77777777" w:rsidR="00DE241D" w:rsidRPr="0097258B" w:rsidRDefault="00DE241D" w:rsidP="00E20250">
            <w:pPr>
              <w:spacing w:line="240" w:lineRule="auto"/>
              <w:rPr>
                <w:rFonts w:ascii="Times New Roman" w:hAnsi="Times New Roman"/>
                <w:i/>
                <w:sz w:val="20"/>
                <w:szCs w:val="20"/>
              </w:rPr>
            </w:pPr>
            <w:r w:rsidRPr="0097258B">
              <w:rPr>
                <w:rFonts w:ascii="Times New Roman" w:hAnsi="Times New Roman"/>
                <w:i/>
                <w:sz w:val="20"/>
                <w:szCs w:val="20"/>
              </w:rPr>
              <w:t xml:space="preserve">Mesures de prévention </w:t>
            </w:r>
          </w:p>
        </w:tc>
        <w:tc>
          <w:tcPr>
            <w:tcW w:w="4158" w:type="pct"/>
            <w:gridSpan w:val="6"/>
            <w:tcBorders>
              <w:top w:val="single" w:sz="4" w:space="0" w:color="auto"/>
              <w:left w:val="single" w:sz="4" w:space="0" w:color="auto"/>
              <w:bottom w:val="single" w:sz="4" w:space="0" w:color="auto"/>
              <w:right w:val="single" w:sz="4" w:space="0" w:color="auto"/>
            </w:tcBorders>
            <w:vAlign w:val="center"/>
            <w:hideMark/>
          </w:tcPr>
          <w:p w14:paraId="78409EC0" w14:textId="0CF97165"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Sensibiliser les travailleurs sur les risques d’incendie/explosions ;</w:t>
            </w:r>
          </w:p>
          <w:p w14:paraId="62172E93" w14:textId="587FDBAC"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Privilégier les ravitaillements en carburant des véhicules et engins aux stations-service existantes ;</w:t>
            </w:r>
          </w:p>
          <w:p w14:paraId="2E629CF0"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Respecter les règles de stockage des substances inflammables ;</w:t>
            </w:r>
          </w:p>
          <w:p w14:paraId="182B6D5F" w14:textId="33735C82"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Prévoir des aires de stockage séparé</w:t>
            </w:r>
            <w:r w:rsidR="00355058" w:rsidRPr="0097258B">
              <w:rPr>
                <w:rFonts w:ascii="Times New Roman" w:hAnsi="Times New Roman" w:cs="Times New Roman"/>
                <w:color w:val="000000" w:themeColor="text1"/>
                <w:sz w:val="20"/>
                <w:szCs w:val="20"/>
              </w:rPr>
              <w:t>e</w:t>
            </w:r>
            <w:r w:rsidRPr="0097258B">
              <w:rPr>
                <w:rFonts w:ascii="Times New Roman" w:hAnsi="Times New Roman" w:cs="Times New Roman"/>
                <w:color w:val="000000" w:themeColor="text1"/>
                <w:sz w:val="20"/>
                <w:szCs w:val="20"/>
              </w:rPr>
              <w:t>s pour le fuel et le gasoil ;</w:t>
            </w:r>
          </w:p>
          <w:p w14:paraId="550F823E"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Mettre en place des moyens de détection précoce des départs de feu tels que les détecteurs de fumée ; et d’alarme.</w:t>
            </w:r>
          </w:p>
          <w:p w14:paraId="4F046F39" w14:textId="3C1B473A" w:rsidR="00DE241D" w:rsidRPr="0097258B" w:rsidRDefault="00F11A3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Élaborer</w:t>
            </w:r>
            <w:r w:rsidR="00DE241D" w:rsidRPr="0097258B">
              <w:rPr>
                <w:rFonts w:ascii="Times New Roman" w:hAnsi="Times New Roman" w:cs="Times New Roman"/>
                <w:color w:val="000000" w:themeColor="text1"/>
                <w:sz w:val="20"/>
                <w:szCs w:val="20"/>
              </w:rPr>
              <w:t xml:space="preserve"> des plans d’intervention et d’évacuation d’urgence ;</w:t>
            </w:r>
          </w:p>
          <w:p w14:paraId="782BAA5B"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 xml:space="preserve">Prévoir des extincteurs adaptés et des </w:t>
            </w:r>
            <w:proofErr w:type="spellStart"/>
            <w:r w:rsidRPr="0097258B">
              <w:rPr>
                <w:rFonts w:ascii="Times New Roman" w:hAnsi="Times New Roman" w:cs="Times New Roman"/>
                <w:color w:val="000000" w:themeColor="text1"/>
                <w:sz w:val="20"/>
                <w:szCs w:val="20"/>
              </w:rPr>
              <w:t>RIAs</w:t>
            </w:r>
            <w:proofErr w:type="spellEnd"/>
            <w:r w:rsidRPr="0097258B">
              <w:rPr>
                <w:rFonts w:ascii="Times New Roman" w:hAnsi="Times New Roman" w:cs="Times New Roman"/>
                <w:color w:val="000000" w:themeColor="text1"/>
                <w:sz w:val="20"/>
                <w:szCs w:val="20"/>
              </w:rPr>
              <w:t xml:space="preserve"> en nombre suffisant ; </w:t>
            </w:r>
          </w:p>
          <w:p w14:paraId="3E335E4B" w14:textId="7D884B91" w:rsidR="00DE241D" w:rsidRPr="0097258B" w:rsidRDefault="00F11A3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Équiper</w:t>
            </w:r>
            <w:r w:rsidR="00DE241D" w:rsidRPr="0097258B">
              <w:rPr>
                <w:rFonts w:ascii="Times New Roman" w:hAnsi="Times New Roman" w:cs="Times New Roman"/>
                <w:color w:val="000000" w:themeColor="text1"/>
                <w:sz w:val="20"/>
                <w:szCs w:val="20"/>
              </w:rPr>
              <w:t xml:space="preserve"> les véhicules et engins d’extincteurs fonctionnels ;</w:t>
            </w:r>
          </w:p>
          <w:p w14:paraId="53B53930"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Former le personnel et l’entraîner à la gestion des départs de feu ;</w:t>
            </w:r>
          </w:p>
          <w:p w14:paraId="50585C8E" w14:textId="412EF0E7" w:rsidR="00BA21A6"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sz w:val="20"/>
                <w:szCs w:val="20"/>
              </w:rPr>
            </w:pPr>
            <w:r w:rsidRPr="0097258B">
              <w:rPr>
                <w:rFonts w:ascii="Times New Roman" w:hAnsi="Times New Roman" w:cs="Times New Roman"/>
                <w:color w:val="000000" w:themeColor="text1"/>
                <w:sz w:val="20"/>
                <w:szCs w:val="20"/>
              </w:rPr>
              <w:t>Interdire les sources de chaleur aux aires de stockage des substances inflammables</w:t>
            </w:r>
            <w:r w:rsidRPr="0097258B">
              <w:rPr>
                <w:rFonts w:ascii="Times New Roman" w:hAnsi="Times New Roman" w:cs="Times New Roman"/>
                <w:sz w:val="20"/>
                <w:szCs w:val="20"/>
              </w:rPr>
              <w:t> ;</w:t>
            </w:r>
          </w:p>
          <w:p w14:paraId="78573ED4"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sz w:val="20"/>
                <w:szCs w:val="20"/>
              </w:rPr>
            </w:pPr>
            <w:r w:rsidRPr="0097258B">
              <w:rPr>
                <w:rFonts w:ascii="Times New Roman" w:hAnsi="Times New Roman" w:cs="Times New Roman"/>
                <w:sz w:val="20"/>
                <w:szCs w:val="20"/>
              </w:rPr>
              <w:t xml:space="preserve">Renforcer les mesures de surveillance </w:t>
            </w:r>
          </w:p>
        </w:tc>
      </w:tr>
      <w:tr w:rsidR="00BD1A2F" w:rsidRPr="00632C4D" w14:paraId="439A067C" w14:textId="77777777" w:rsidTr="003A0E4A">
        <w:trPr>
          <w:trHeight w:val="210"/>
        </w:trPr>
        <w:tc>
          <w:tcPr>
            <w:tcW w:w="842" w:type="pct"/>
            <w:vMerge w:val="restart"/>
            <w:tcBorders>
              <w:top w:val="single" w:sz="4" w:space="0" w:color="auto"/>
              <w:left w:val="single" w:sz="4" w:space="0" w:color="auto"/>
              <w:bottom w:val="single" w:sz="4" w:space="0" w:color="auto"/>
              <w:right w:val="single" w:sz="4" w:space="0" w:color="auto"/>
            </w:tcBorders>
            <w:vAlign w:val="center"/>
            <w:hideMark/>
          </w:tcPr>
          <w:p w14:paraId="47F34879" w14:textId="77777777" w:rsidR="00DE241D" w:rsidRPr="0097258B" w:rsidRDefault="00DE241D" w:rsidP="00E20250">
            <w:pPr>
              <w:spacing w:line="240" w:lineRule="auto"/>
              <w:rPr>
                <w:rFonts w:ascii="Times New Roman" w:hAnsi="Times New Roman"/>
                <w:i/>
                <w:sz w:val="20"/>
                <w:szCs w:val="20"/>
              </w:rPr>
            </w:pPr>
            <w:r w:rsidRPr="0097258B">
              <w:rPr>
                <w:rFonts w:ascii="Times New Roman" w:hAnsi="Times New Roman"/>
                <w:i/>
                <w:sz w:val="20"/>
                <w:szCs w:val="20"/>
              </w:rPr>
              <w:t>Après prévention</w:t>
            </w:r>
          </w:p>
        </w:tc>
        <w:tc>
          <w:tcPr>
            <w:tcW w:w="1200" w:type="pct"/>
            <w:tcBorders>
              <w:top w:val="single" w:sz="4" w:space="0" w:color="auto"/>
              <w:left w:val="single" w:sz="4" w:space="0" w:color="auto"/>
              <w:bottom w:val="single" w:sz="4" w:space="0" w:color="auto"/>
              <w:right w:val="single" w:sz="4" w:space="0" w:color="auto"/>
            </w:tcBorders>
            <w:vAlign w:val="center"/>
            <w:hideMark/>
          </w:tcPr>
          <w:p w14:paraId="5B30133C"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Risques résiduels</w:t>
            </w:r>
          </w:p>
        </w:tc>
        <w:tc>
          <w:tcPr>
            <w:tcW w:w="672" w:type="pct"/>
            <w:tcBorders>
              <w:top w:val="single" w:sz="4" w:space="0" w:color="auto"/>
              <w:left w:val="single" w:sz="4" w:space="0" w:color="auto"/>
              <w:bottom w:val="single" w:sz="4" w:space="0" w:color="auto"/>
              <w:right w:val="single" w:sz="4" w:space="0" w:color="auto"/>
            </w:tcBorders>
            <w:vAlign w:val="center"/>
            <w:hideMark/>
          </w:tcPr>
          <w:p w14:paraId="5E5ED75C"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Probabilité</w:t>
            </w:r>
          </w:p>
        </w:tc>
        <w:tc>
          <w:tcPr>
            <w:tcW w:w="500" w:type="pct"/>
            <w:tcBorders>
              <w:top w:val="single" w:sz="4" w:space="0" w:color="auto"/>
              <w:left w:val="single" w:sz="4" w:space="0" w:color="auto"/>
              <w:bottom w:val="single" w:sz="4" w:space="0" w:color="auto"/>
              <w:right w:val="single" w:sz="4" w:space="0" w:color="auto"/>
            </w:tcBorders>
            <w:vAlign w:val="center"/>
            <w:hideMark/>
          </w:tcPr>
          <w:p w14:paraId="7778DA35"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Gravité</w:t>
            </w:r>
          </w:p>
        </w:tc>
        <w:tc>
          <w:tcPr>
            <w:tcW w:w="825" w:type="pct"/>
            <w:gridSpan w:val="2"/>
            <w:tcBorders>
              <w:top w:val="single" w:sz="4" w:space="0" w:color="auto"/>
              <w:left w:val="single" w:sz="4" w:space="0" w:color="auto"/>
              <w:bottom w:val="single" w:sz="4" w:space="0" w:color="auto"/>
              <w:right w:val="single" w:sz="4" w:space="0" w:color="auto"/>
            </w:tcBorders>
            <w:vAlign w:val="center"/>
            <w:hideMark/>
          </w:tcPr>
          <w:p w14:paraId="725811C5"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Criticité</w:t>
            </w:r>
          </w:p>
        </w:tc>
        <w:tc>
          <w:tcPr>
            <w:tcW w:w="962" w:type="pct"/>
            <w:tcBorders>
              <w:top w:val="single" w:sz="4" w:space="0" w:color="auto"/>
              <w:left w:val="single" w:sz="4" w:space="0" w:color="auto"/>
              <w:bottom w:val="single" w:sz="4" w:space="0" w:color="auto"/>
              <w:right w:val="single" w:sz="4" w:space="0" w:color="auto"/>
            </w:tcBorders>
            <w:vAlign w:val="center"/>
            <w:hideMark/>
          </w:tcPr>
          <w:p w14:paraId="37AEAFC6"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Dommage final</w:t>
            </w:r>
          </w:p>
        </w:tc>
      </w:tr>
      <w:tr w:rsidR="00BD1A2F" w:rsidRPr="00632C4D" w14:paraId="57CDEF25" w14:textId="77777777" w:rsidTr="003A0E4A">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F7AECC" w14:textId="77777777" w:rsidR="00DE241D" w:rsidRPr="0097258B" w:rsidRDefault="00DE241D" w:rsidP="00E20250">
            <w:pPr>
              <w:spacing w:line="240" w:lineRule="auto"/>
              <w:rPr>
                <w:rFonts w:ascii="Times New Roman" w:hAnsi="Times New Roman"/>
                <w:i/>
                <w:sz w:val="20"/>
                <w:szCs w:val="20"/>
              </w:rPr>
            </w:pPr>
          </w:p>
        </w:tc>
        <w:tc>
          <w:tcPr>
            <w:tcW w:w="1200" w:type="pct"/>
            <w:tcBorders>
              <w:top w:val="single" w:sz="4" w:space="0" w:color="auto"/>
              <w:left w:val="single" w:sz="4" w:space="0" w:color="auto"/>
              <w:bottom w:val="single" w:sz="4" w:space="0" w:color="auto"/>
              <w:right w:val="single" w:sz="4" w:space="0" w:color="auto"/>
            </w:tcBorders>
            <w:vAlign w:val="center"/>
            <w:hideMark/>
          </w:tcPr>
          <w:p w14:paraId="66F9833A" w14:textId="7D000B27" w:rsidR="00DE241D" w:rsidRPr="0097258B" w:rsidRDefault="00684722" w:rsidP="00E20250">
            <w:pPr>
              <w:spacing w:line="240" w:lineRule="auto"/>
              <w:rPr>
                <w:rFonts w:ascii="Times New Roman" w:hAnsi="Times New Roman"/>
                <w:sz w:val="20"/>
                <w:szCs w:val="20"/>
              </w:rPr>
            </w:pPr>
            <w:r w:rsidRPr="0097258B">
              <w:rPr>
                <w:rFonts w:ascii="Times New Roman" w:hAnsi="Times New Roman"/>
                <w:sz w:val="20"/>
                <w:szCs w:val="20"/>
              </w:rPr>
              <w:t>Faible a</w:t>
            </w:r>
            <w:r w:rsidR="00DE241D" w:rsidRPr="0097258B">
              <w:rPr>
                <w:rFonts w:ascii="Times New Roman" w:hAnsi="Times New Roman"/>
                <w:sz w:val="20"/>
                <w:szCs w:val="20"/>
              </w:rPr>
              <w:t>ccidents</w:t>
            </w:r>
          </w:p>
        </w:tc>
        <w:tc>
          <w:tcPr>
            <w:tcW w:w="672" w:type="pct"/>
            <w:tcBorders>
              <w:top w:val="single" w:sz="4" w:space="0" w:color="auto"/>
              <w:left w:val="single" w:sz="4" w:space="0" w:color="auto"/>
              <w:bottom w:val="single" w:sz="4" w:space="0" w:color="auto"/>
              <w:right w:val="single" w:sz="4" w:space="0" w:color="auto"/>
            </w:tcBorders>
            <w:vAlign w:val="center"/>
            <w:hideMark/>
          </w:tcPr>
          <w:p w14:paraId="0D2C2DFA" w14:textId="77777777" w:rsidR="00DE241D" w:rsidRPr="0097258B" w:rsidRDefault="00DE241D" w:rsidP="00A92B22">
            <w:pPr>
              <w:spacing w:line="240" w:lineRule="auto"/>
              <w:jc w:val="center"/>
              <w:rPr>
                <w:rFonts w:ascii="Times New Roman" w:hAnsi="Times New Roman"/>
                <w:b/>
                <w:bCs/>
                <w:sz w:val="20"/>
                <w:szCs w:val="20"/>
              </w:rPr>
            </w:pPr>
            <w:r w:rsidRPr="0097258B">
              <w:rPr>
                <w:rFonts w:ascii="Times New Roman" w:hAnsi="Times New Roman"/>
                <w:b/>
                <w:bCs/>
                <w:sz w:val="20"/>
                <w:szCs w:val="20"/>
              </w:rPr>
              <w:t>1</w:t>
            </w:r>
          </w:p>
        </w:tc>
        <w:tc>
          <w:tcPr>
            <w:tcW w:w="500" w:type="pct"/>
            <w:tcBorders>
              <w:top w:val="single" w:sz="4" w:space="0" w:color="auto"/>
              <w:left w:val="single" w:sz="4" w:space="0" w:color="auto"/>
              <w:bottom w:val="single" w:sz="4" w:space="0" w:color="auto"/>
              <w:right w:val="single" w:sz="4" w:space="0" w:color="auto"/>
            </w:tcBorders>
            <w:vAlign w:val="center"/>
            <w:hideMark/>
          </w:tcPr>
          <w:p w14:paraId="72EC847E" w14:textId="77777777" w:rsidR="00DE241D" w:rsidRPr="0097258B" w:rsidRDefault="00DE241D" w:rsidP="00A92B22">
            <w:pPr>
              <w:spacing w:line="240" w:lineRule="auto"/>
              <w:jc w:val="center"/>
              <w:rPr>
                <w:rFonts w:ascii="Times New Roman" w:hAnsi="Times New Roman"/>
                <w:b/>
                <w:bCs/>
                <w:sz w:val="20"/>
                <w:szCs w:val="20"/>
              </w:rPr>
            </w:pPr>
            <w:r w:rsidRPr="0097258B">
              <w:rPr>
                <w:rFonts w:ascii="Times New Roman" w:hAnsi="Times New Roman"/>
                <w:b/>
                <w:bCs/>
                <w:sz w:val="20"/>
                <w:szCs w:val="20"/>
              </w:rPr>
              <w:t>1</w:t>
            </w:r>
          </w:p>
        </w:tc>
        <w:tc>
          <w:tcPr>
            <w:tcW w:w="825" w:type="pct"/>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76A3CA36" w14:textId="77777777" w:rsidR="00DE241D" w:rsidRPr="0097258B" w:rsidRDefault="00DE241D" w:rsidP="00A92B22">
            <w:pPr>
              <w:spacing w:line="240" w:lineRule="auto"/>
              <w:jc w:val="center"/>
              <w:rPr>
                <w:rFonts w:ascii="Times New Roman" w:hAnsi="Times New Roman"/>
                <w:b/>
                <w:bCs/>
                <w:sz w:val="20"/>
                <w:szCs w:val="20"/>
              </w:rPr>
            </w:pPr>
            <w:r w:rsidRPr="0097258B">
              <w:rPr>
                <w:rFonts w:ascii="Times New Roman" w:hAnsi="Times New Roman"/>
                <w:b/>
                <w:bCs/>
                <w:sz w:val="20"/>
                <w:szCs w:val="20"/>
              </w:rPr>
              <w:t>11</w:t>
            </w:r>
          </w:p>
        </w:tc>
        <w:tc>
          <w:tcPr>
            <w:tcW w:w="962" w:type="pct"/>
            <w:tcBorders>
              <w:top w:val="single" w:sz="4" w:space="0" w:color="auto"/>
              <w:left w:val="single" w:sz="4" w:space="0" w:color="auto"/>
              <w:bottom w:val="single" w:sz="4" w:space="0" w:color="auto"/>
              <w:right w:val="single" w:sz="4" w:space="0" w:color="auto"/>
            </w:tcBorders>
            <w:vAlign w:val="center"/>
            <w:hideMark/>
          </w:tcPr>
          <w:p w14:paraId="04915DF3" w14:textId="211F52C2" w:rsidR="00DE241D" w:rsidRPr="0097258B" w:rsidRDefault="00684722" w:rsidP="00E20250">
            <w:pPr>
              <w:spacing w:line="240" w:lineRule="auto"/>
              <w:rPr>
                <w:rFonts w:ascii="Times New Roman" w:hAnsi="Times New Roman"/>
                <w:sz w:val="20"/>
                <w:szCs w:val="20"/>
              </w:rPr>
            </w:pPr>
            <w:r w:rsidRPr="0097258B">
              <w:rPr>
                <w:rFonts w:ascii="Times New Roman" w:hAnsi="Times New Roman"/>
                <w:sz w:val="20"/>
                <w:szCs w:val="20"/>
              </w:rPr>
              <w:t>Faible e</w:t>
            </w:r>
            <w:r w:rsidR="00DE241D" w:rsidRPr="0097258B">
              <w:rPr>
                <w:rFonts w:ascii="Times New Roman" w:hAnsi="Times New Roman"/>
                <w:sz w:val="20"/>
                <w:szCs w:val="20"/>
              </w:rPr>
              <w:t xml:space="preserve">xposition des travailleurs à des </w:t>
            </w:r>
            <w:r w:rsidR="00B266F8" w:rsidRPr="0097258B">
              <w:rPr>
                <w:rFonts w:ascii="Times New Roman" w:hAnsi="Times New Roman"/>
                <w:sz w:val="20"/>
                <w:szCs w:val="20"/>
              </w:rPr>
              <w:t>risques d’incendie</w:t>
            </w:r>
          </w:p>
        </w:tc>
      </w:tr>
    </w:tbl>
    <w:p w14:paraId="125C3D4E" w14:textId="77777777" w:rsidR="00DE241D" w:rsidRPr="00260790" w:rsidRDefault="00DE241D" w:rsidP="00A92B22">
      <w:pPr>
        <w:autoSpaceDE w:val="0"/>
        <w:autoSpaceDN w:val="0"/>
        <w:adjustRightInd w:val="0"/>
        <w:spacing w:after="0" w:line="240" w:lineRule="auto"/>
        <w:jc w:val="both"/>
        <w:rPr>
          <w:rFonts w:ascii="Times New Roman" w:hAnsi="Times New Roman"/>
          <w:b/>
          <w:bCs/>
          <w:i/>
          <w:iCs/>
          <w:color w:val="000000" w:themeColor="text1"/>
        </w:rPr>
      </w:pPr>
    </w:p>
    <w:p w14:paraId="77A88B29" w14:textId="77777777" w:rsidR="00DE241D" w:rsidRPr="00260790" w:rsidRDefault="00DE241D" w:rsidP="001748C6">
      <w:pPr>
        <w:pStyle w:val="Paragraphedeliste"/>
        <w:numPr>
          <w:ilvl w:val="0"/>
          <w:numId w:val="309"/>
        </w:numPr>
        <w:autoSpaceDE w:val="0"/>
        <w:autoSpaceDN w:val="0"/>
        <w:adjustRightInd w:val="0"/>
        <w:spacing w:after="0"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RI-10. Risque de chutes de plain-pied</w:t>
      </w:r>
    </w:p>
    <w:p w14:paraId="17EF9C15" w14:textId="77777777" w:rsidR="00DE241D" w:rsidRPr="00260790" w:rsidRDefault="00DE241D" w:rsidP="00E20250">
      <w:pPr>
        <w:autoSpaceDE w:val="0"/>
        <w:autoSpaceDN w:val="0"/>
        <w:adjustRightInd w:val="0"/>
        <w:spacing w:line="240" w:lineRule="auto"/>
        <w:jc w:val="both"/>
        <w:rPr>
          <w:rFonts w:ascii="Times New Roman" w:hAnsi="Times New Roman"/>
          <w:color w:val="000000" w:themeColor="text1"/>
        </w:rPr>
      </w:pPr>
      <w:r w:rsidRPr="00260790">
        <w:rPr>
          <w:rFonts w:ascii="Times New Roman" w:hAnsi="Times New Roman"/>
          <w:color w:val="000000" w:themeColor="text1"/>
        </w:rPr>
        <w:t>Le fonctionnement d’une base de chantier comporte des risques de chute de plain-pied avec des blessures pouvant résulter de la chute elle-même ou de heurts d’une partie de machine.</w:t>
      </w:r>
    </w:p>
    <w:p w14:paraId="5E439297" w14:textId="6C44D039" w:rsidR="00DE241D" w:rsidRPr="00260790" w:rsidRDefault="00DE241D" w:rsidP="00E20250">
      <w:pPr>
        <w:autoSpaceDE w:val="0"/>
        <w:autoSpaceDN w:val="0"/>
        <w:adjustRightInd w:val="0"/>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Une chute de plain-pied est une chute sur une surface plane </w:t>
      </w:r>
      <w:r w:rsidR="00F83414" w:rsidRPr="00260790">
        <w:rPr>
          <w:rFonts w:ascii="Times New Roman" w:hAnsi="Times New Roman"/>
          <w:color w:val="000000" w:themeColor="text1"/>
        </w:rPr>
        <w:t>à la suite d’une</w:t>
      </w:r>
      <w:r w:rsidRPr="00260790">
        <w:rPr>
          <w:rFonts w:ascii="Times New Roman" w:hAnsi="Times New Roman"/>
          <w:color w:val="000000" w:themeColor="text1"/>
        </w:rPr>
        <w:t xml:space="preserve"> glissade, un trébuchement, un faux</w:t>
      </w:r>
      <w:r w:rsidR="00355058" w:rsidRPr="00260790">
        <w:rPr>
          <w:rFonts w:ascii="Times New Roman" w:hAnsi="Times New Roman"/>
          <w:color w:val="000000" w:themeColor="text1"/>
        </w:rPr>
        <w:t xml:space="preserve"> </w:t>
      </w:r>
      <w:r w:rsidRPr="00260790">
        <w:rPr>
          <w:rFonts w:ascii="Times New Roman" w:hAnsi="Times New Roman"/>
          <w:color w:val="000000" w:themeColor="text1"/>
        </w:rPr>
        <w:t xml:space="preserve">pas ou autres pertes d’équilibres. Les principaux facteurs de risques de chute de plain-pied dans le cadre du projet sont :  </w:t>
      </w:r>
    </w:p>
    <w:p w14:paraId="615B9733" w14:textId="6E21F7DE" w:rsidR="00DE241D" w:rsidRPr="00260790" w:rsidRDefault="00DE241D" w:rsidP="001748C6">
      <w:pPr>
        <w:pStyle w:val="Paragraphedeliste"/>
        <w:numPr>
          <w:ilvl w:val="0"/>
          <w:numId w:val="310"/>
        </w:numPr>
        <w:autoSpaceDE w:val="0"/>
        <w:autoSpaceDN w:val="0"/>
        <w:adjustRightInd w:val="0"/>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Les sols rendus glissants </w:t>
      </w:r>
      <w:r w:rsidR="00BA21A6" w:rsidRPr="00260790">
        <w:rPr>
          <w:rFonts w:ascii="Times New Roman" w:hAnsi="Times New Roman"/>
          <w:color w:val="000000" w:themeColor="text1"/>
        </w:rPr>
        <w:t>par suite d’un</w:t>
      </w:r>
      <w:r w:rsidRPr="00260790">
        <w:rPr>
          <w:rFonts w:ascii="Times New Roman" w:hAnsi="Times New Roman"/>
          <w:color w:val="000000" w:themeColor="text1"/>
        </w:rPr>
        <w:t xml:space="preserve"> déversement de produit (gluant) ;</w:t>
      </w:r>
    </w:p>
    <w:p w14:paraId="11C47265" w14:textId="77777777" w:rsidR="00DE241D" w:rsidRPr="00260790" w:rsidRDefault="00DE241D" w:rsidP="001748C6">
      <w:pPr>
        <w:pStyle w:val="Paragraphedeliste"/>
        <w:numPr>
          <w:ilvl w:val="0"/>
          <w:numId w:val="310"/>
        </w:numPr>
        <w:autoSpaceDE w:val="0"/>
        <w:autoSpaceDN w:val="0"/>
        <w:adjustRightInd w:val="0"/>
        <w:spacing w:after="0" w:line="240" w:lineRule="auto"/>
        <w:jc w:val="both"/>
        <w:rPr>
          <w:rFonts w:ascii="Times New Roman" w:hAnsi="Times New Roman"/>
          <w:color w:val="000000" w:themeColor="text1"/>
        </w:rPr>
      </w:pPr>
      <w:r w:rsidRPr="00260790">
        <w:rPr>
          <w:rFonts w:ascii="Times New Roman" w:hAnsi="Times New Roman"/>
          <w:color w:val="000000" w:themeColor="text1"/>
        </w:rPr>
        <w:t>Un mauvais éclairage (surtout en cas de travail de nuit) ;</w:t>
      </w:r>
    </w:p>
    <w:p w14:paraId="386551A0" w14:textId="77777777" w:rsidR="00DE241D" w:rsidRPr="00260790" w:rsidRDefault="00DE241D" w:rsidP="001748C6">
      <w:pPr>
        <w:pStyle w:val="Paragraphedeliste"/>
        <w:numPr>
          <w:ilvl w:val="0"/>
          <w:numId w:val="310"/>
        </w:numPr>
        <w:autoSpaceDE w:val="0"/>
        <w:autoSpaceDN w:val="0"/>
        <w:adjustRightInd w:val="0"/>
        <w:spacing w:after="0" w:line="240" w:lineRule="auto"/>
        <w:jc w:val="both"/>
        <w:rPr>
          <w:rFonts w:ascii="Times New Roman" w:hAnsi="Times New Roman"/>
          <w:color w:val="000000" w:themeColor="text1"/>
        </w:rPr>
      </w:pPr>
      <w:r w:rsidRPr="00260790">
        <w:rPr>
          <w:rFonts w:ascii="Times New Roman" w:hAnsi="Times New Roman"/>
          <w:color w:val="000000" w:themeColor="text1"/>
        </w:rPr>
        <w:t>Une mauvaise organisation des aires de travail ;</w:t>
      </w:r>
    </w:p>
    <w:p w14:paraId="21F9452A" w14:textId="77777777" w:rsidR="00DE241D" w:rsidRPr="00260790" w:rsidRDefault="00DE241D" w:rsidP="001748C6">
      <w:pPr>
        <w:pStyle w:val="Paragraphedeliste"/>
        <w:numPr>
          <w:ilvl w:val="0"/>
          <w:numId w:val="310"/>
        </w:numPr>
        <w:autoSpaceDE w:val="0"/>
        <w:autoSpaceDN w:val="0"/>
        <w:adjustRightInd w:val="0"/>
        <w:spacing w:after="0" w:line="240" w:lineRule="auto"/>
        <w:jc w:val="both"/>
        <w:rPr>
          <w:rFonts w:ascii="Times New Roman" w:hAnsi="Times New Roman"/>
          <w:color w:val="000000" w:themeColor="text1"/>
        </w:rPr>
      </w:pPr>
      <w:r w:rsidRPr="00260790">
        <w:rPr>
          <w:rFonts w:ascii="Times New Roman" w:hAnsi="Times New Roman"/>
          <w:color w:val="000000" w:themeColor="text1"/>
        </w:rPr>
        <w:t>Un encombrement des allées piétonnes</w:t>
      </w:r>
    </w:p>
    <w:p w14:paraId="72DF0E28" w14:textId="77777777" w:rsidR="00DE241D" w:rsidRDefault="00DE241D" w:rsidP="00E20250">
      <w:pPr>
        <w:autoSpaceDE w:val="0"/>
        <w:autoSpaceDN w:val="0"/>
        <w:adjustRightInd w:val="0"/>
        <w:spacing w:line="240" w:lineRule="auto"/>
        <w:jc w:val="both"/>
        <w:rPr>
          <w:rFonts w:ascii="Times New Roman" w:hAnsi="Times New Roman"/>
          <w:color w:val="000000" w:themeColor="text1"/>
        </w:rPr>
      </w:pPr>
      <w:r w:rsidRPr="00260790">
        <w:rPr>
          <w:rFonts w:ascii="Times New Roman" w:hAnsi="Times New Roman"/>
          <w:color w:val="000000" w:themeColor="text1"/>
        </w:rPr>
        <w:t>Ci-dessous le résumé de l’analyse du risque de chute de plain-pied.</w:t>
      </w:r>
    </w:p>
    <w:p w14:paraId="3FE8BB3D" w14:textId="77777777" w:rsidR="0095190F" w:rsidRDefault="0095190F" w:rsidP="00E20250">
      <w:pPr>
        <w:autoSpaceDE w:val="0"/>
        <w:autoSpaceDN w:val="0"/>
        <w:adjustRightInd w:val="0"/>
        <w:spacing w:line="240" w:lineRule="auto"/>
        <w:jc w:val="both"/>
        <w:rPr>
          <w:rFonts w:ascii="Times New Roman" w:hAnsi="Times New Roman"/>
          <w:color w:val="000000" w:themeColor="text1"/>
        </w:rPr>
      </w:pPr>
    </w:p>
    <w:p w14:paraId="37409070" w14:textId="77777777" w:rsidR="0095190F" w:rsidRDefault="0095190F" w:rsidP="00E20250">
      <w:pPr>
        <w:autoSpaceDE w:val="0"/>
        <w:autoSpaceDN w:val="0"/>
        <w:adjustRightInd w:val="0"/>
        <w:spacing w:line="240" w:lineRule="auto"/>
        <w:jc w:val="both"/>
        <w:rPr>
          <w:rFonts w:ascii="Times New Roman" w:hAnsi="Times New Roman"/>
          <w:color w:val="000000" w:themeColor="text1"/>
        </w:rPr>
      </w:pPr>
    </w:p>
    <w:p w14:paraId="21EBD2DC" w14:textId="77777777" w:rsidR="0095190F" w:rsidRDefault="0095190F" w:rsidP="00E20250">
      <w:pPr>
        <w:autoSpaceDE w:val="0"/>
        <w:autoSpaceDN w:val="0"/>
        <w:adjustRightInd w:val="0"/>
        <w:spacing w:line="240" w:lineRule="auto"/>
        <w:jc w:val="both"/>
        <w:rPr>
          <w:rFonts w:ascii="Times New Roman" w:hAnsi="Times New Roman"/>
          <w:color w:val="000000" w:themeColor="text1"/>
        </w:rPr>
      </w:pPr>
    </w:p>
    <w:p w14:paraId="33DEAA02" w14:textId="77777777" w:rsidR="0095190F" w:rsidRPr="00260790" w:rsidRDefault="0095190F" w:rsidP="00E20250">
      <w:pPr>
        <w:autoSpaceDE w:val="0"/>
        <w:autoSpaceDN w:val="0"/>
        <w:adjustRightInd w:val="0"/>
        <w:spacing w:line="240" w:lineRule="auto"/>
        <w:jc w:val="both"/>
        <w:rPr>
          <w:rFonts w:ascii="Times New Roman" w:hAnsi="Times New Roman"/>
          <w:color w:val="000000" w:themeColor="text1"/>
        </w:rPr>
      </w:pPr>
    </w:p>
    <w:p w14:paraId="722F13AF" w14:textId="2B02471F" w:rsidR="00DE241D" w:rsidRPr="0095190F" w:rsidRDefault="00DE241D" w:rsidP="00E20250">
      <w:pPr>
        <w:spacing w:line="240" w:lineRule="auto"/>
        <w:rPr>
          <w:rFonts w:ascii="Times New Roman" w:hAnsi="Times New Roman"/>
          <w:i/>
          <w:iCs/>
          <w:color w:val="000000" w:themeColor="text1"/>
        </w:rPr>
      </w:pPr>
      <w:bookmarkStart w:id="625" w:name="_Toc207781883"/>
      <w:r w:rsidRPr="0095190F">
        <w:rPr>
          <w:rFonts w:ascii="Times New Roman" w:hAnsi="Times New Roman"/>
          <w:i/>
          <w:iCs/>
          <w:color w:val="000000" w:themeColor="text1"/>
        </w:rPr>
        <w:lastRenderedPageBreak/>
        <w:t xml:space="preserve">Tableau </w:t>
      </w:r>
      <w:r w:rsidRPr="0095190F">
        <w:rPr>
          <w:rFonts w:ascii="Times New Roman" w:hAnsi="Times New Roman"/>
          <w:i/>
          <w:iCs/>
          <w:color w:val="000000" w:themeColor="text1"/>
        </w:rPr>
        <w:fldChar w:fldCharType="begin"/>
      </w:r>
      <w:r w:rsidRPr="0095190F">
        <w:rPr>
          <w:rFonts w:ascii="Times New Roman" w:hAnsi="Times New Roman"/>
          <w:i/>
          <w:iCs/>
          <w:color w:val="000000" w:themeColor="text1"/>
        </w:rPr>
        <w:instrText xml:space="preserve"> SEQ Tableau \* ARABIC </w:instrText>
      </w:r>
      <w:r w:rsidRPr="0095190F">
        <w:rPr>
          <w:rFonts w:ascii="Times New Roman" w:hAnsi="Times New Roman"/>
          <w:i/>
          <w:iCs/>
          <w:color w:val="000000" w:themeColor="text1"/>
        </w:rPr>
        <w:fldChar w:fldCharType="separate"/>
      </w:r>
      <w:r w:rsidR="003C783E" w:rsidRPr="0095190F">
        <w:rPr>
          <w:rFonts w:ascii="Times New Roman" w:hAnsi="Times New Roman"/>
          <w:i/>
          <w:iCs/>
          <w:noProof/>
          <w:color w:val="000000" w:themeColor="text1"/>
        </w:rPr>
        <w:t>42</w:t>
      </w:r>
      <w:r w:rsidRPr="0095190F">
        <w:rPr>
          <w:rFonts w:ascii="Times New Roman" w:hAnsi="Times New Roman"/>
          <w:i/>
          <w:iCs/>
          <w:color w:val="000000" w:themeColor="text1"/>
        </w:rPr>
        <w:fldChar w:fldCharType="end"/>
      </w:r>
      <w:r w:rsidRPr="0095190F">
        <w:rPr>
          <w:rFonts w:ascii="Times New Roman" w:hAnsi="Times New Roman"/>
          <w:i/>
          <w:iCs/>
          <w:color w:val="000000" w:themeColor="text1"/>
        </w:rPr>
        <w:t> : résumé de l’évaluation du risque de chute de plain-pied</w:t>
      </w:r>
      <w:bookmarkEnd w:id="6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594"/>
        <w:gridCol w:w="2231"/>
        <w:gridCol w:w="1276"/>
        <w:gridCol w:w="1161"/>
        <w:gridCol w:w="968"/>
        <w:gridCol w:w="1830"/>
      </w:tblGrid>
      <w:tr w:rsidR="00BD1A2F" w:rsidRPr="00260790" w14:paraId="5B87B5F5" w14:textId="77777777" w:rsidTr="003A0E4A">
        <w:trPr>
          <w:tblHeader/>
        </w:trPr>
        <w:tc>
          <w:tcPr>
            <w:tcW w:w="5000" w:type="pct"/>
            <w:gridSpan w:val="6"/>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131303DB"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RI-10. Risque de chutes de plain-pied</w:t>
            </w:r>
          </w:p>
        </w:tc>
      </w:tr>
      <w:tr w:rsidR="00BD1A2F" w:rsidRPr="00260790" w14:paraId="7462D31B" w14:textId="77777777" w:rsidTr="003A0E4A">
        <w:trPr>
          <w:tblHead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hideMark/>
          </w:tcPr>
          <w:p w14:paraId="005C6A33" w14:textId="77777777" w:rsidR="00DE241D" w:rsidRPr="0097258B" w:rsidRDefault="00DE241D" w:rsidP="00E20250">
            <w:pPr>
              <w:spacing w:line="240" w:lineRule="auto"/>
              <w:rPr>
                <w:rFonts w:ascii="Times New Roman" w:hAnsi="Times New Roman"/>
                <w:sz w:val="20"/>
                <w:szCs w:val="20"/>
              </w:rPr>
            </w:pPr>
            <w:r w:rsidRPr="0097258B">
              <w:rPr>
                <w:rFonts w:ascii="Times New Roman" w:hAnsi="Times New Roman"/>
                <w:b/>
                <w:bCs/>
                <w:sz w:val="20"/>
                <w:szCs w:val="20"/>
              </w:rPr>
              <w:t>Activités concernées</w:t>
            </w:r>
            <w:r w:rsidRPr="0097258B">
              <w:rPr>
                <w:rFonts w:ascii="Times New Roman" w:hAnsi="Times New Roman"/>
                <w:sz w:val="20"/>
                <w:szCs w:val="20"/>
              </w:rPr>
              <w:t> : fonctionnement de la base de chantier</w:t>
            </w:r>
          </w:p>
        </w:tc>
      </w:tr>
      <w:tr w:rsidR="00BD1A2F" w:rsidRPr="00260790" w14:paraId="63E26799" w14:textId="77777777" w:rsidTr="003A0E4A">
        <w:trPr>
          <w:tblHeader/>
        </w:trPr>
        <w:tc>
          <w:tcPr>
            <w:tcW w:w="880" w:type="pct"/>
            <w:tcBorders>
              <w:top w:val="single" w:sz="4" w:space="0" w:color="auto"/>
              <w:left w:val="single" w:sz="4" w:space="0" w:color="auto"/>
              <w:bottom w:val="single" w:sz="4" w:space="0" w:color="auto"/>
              <w:right w:val="single" w:sz="4" w:space="0" w:color="auto"/>
            </w:tcBorders>
            <w:shd w:val="clear" w:color="auto" w:fill="FFFFFF"/>
          </w:tcPr>
          <w:p w14:paraId="0E49B5F0" w14:textId="77777777" w:rsidR="00DE241D" w:rsidRPr="0097258B" w:rsidRDefault="00DE241D" w:rsidP="00E20250">
            <w:pPr>
              <w:spacing w:line="240" w:lineRule="auto"/>
              <w:rPr>
                <w:rFonts w:ascii="Times New Roman" w:hAnsi="Times New Roman"/>
                <w:sz w:val="20"/>
                <w:szCs w:val="20"/>
              </w:rPr>
            </w:pPr>
          </w:p>
        </w:tc>
        <w:tc>
          <w:tcPr>
            <w:tcW w:w="123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D5751B"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Risques initiaux</w:t>
            </w:r>
          </w:p>
        </w:tc>
        <w:tc>
          <w:tcPr>
            <w:tcW w:w="7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3FA5A22"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Probabilité</w:t>
            </w:r>
          </w:p>
        </w:tc>
        <w:tc>
          <w:tcPr>
            <w:tcW w:w="64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660B594"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Gravité</w:t>
            </w:r>
          </w:p>
        </w:tc>
        <w:tc>
          <w:tcPr>
            <w:tcW w:w="5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229F79"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Criticité</w:t>
            </w:r>
          </w:p>
        </w:tc>
        <w:tc>
          <w:tcPr>
            <w:tcW w:w="10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4C9AFB"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Dommage initial</w:t>
            </w:r>
          </w:p>
        </w:tc>
      </w:tr>
      <w:tr w:rsidR="00BD1A2F" w:rsidRPr="00260790" w14:paraId="228CD507" w14:textId="77777777" w:rsidTr="00A92B22">
        <w:trPr>
          <w:trHeight w:val="1321"/>
        </w:trPr>
        <w:tc>
          <w:tcPr>
            <w:tcW w:w="880" w:type="pct"/>
            <w:tcBorders>
              <w:top w:val="single" w:sz="4" w:space="0" w:color="auto"/>
              <w:left w:val="single" w:sz="4" w:space="0" w:color="auto"/>
              <w:bottom w:val="single" w:sz="4" w:space="0" w:color="auto"/>
              <w:right w:val="single" w:sz="4" w:space="0" w:color="auto"/>
            </w:tcBorders>
            <w:vAlign w:val="center"/>
            <w:hideMark/>
          </w:tcPr>
          <w:p w14:paraId="7FAD3F4E" w14:textId="77777777" w:rsidR="00DE241D" w:rsidRPr="0097258B" w:rsidRDefault="00DE241D" w:rsidP="00E20250">
            <w:pPr>
              <w:spacing w:line="240" w:lineRule="auto"/>
              <w:rPr>
                <w:rFonts w:ascii="Times New Roman" w:hAnsi="Times New Roman"/>
                <w:sz w:val="20"/>
                <w:szCs w:val="20"/>
              </w:rPr>
            </w:pPr>
            <w:r w:rsidRPr="0097258B">
              <w:rPr>
                <w:rFonts w:ascii="Times New Roman" w:hAnsi="Times New Roman"/>
                <w:sz w:val="20"/>
                <w:szCs w:val="20"/>
              </w:rPr>
              <w:t xml:space="preserve">Avant prévention </w:t>
            </w:r>
          </w:p>
        </w:tc>
        <w:tc>
          <w:tcPr>
            <w:tcW w:w="1231" w:type="pct"/>
            <w:tcBorders>
              <w:top w:val="single" w:sz="4" w:space="0" w:color="auto"/>
              <w:left w:val="single" w:sz="4" w:space="0" w:color="auto"/>
              <w:bottom w:val="single" w:sz="4" w:space="0" w:color="auto"/>
              <w:right w:val="single" w:sz="4" w:space="0" w:color="auto"/>
            </w:tcBorders>
            <w:vAlign w:val="center"/>
            <w:hideMark/>
          </w:tcPr>
          <w:p w14:paraId="44EE0504" w14:textId="383D3CFE" w:rsidR="00DE241D" w:rsidRPr="0097258B" w:rsidRDefault="00D45AD6" w:rsidP="00A92B22">
            <w:pPr>
              <w:spacing w:after="0" w:line="240" w:lineRule="auto"/>
              <w:rPr>
                <w:rFonts w:ascii="Times New Roman" w:hAnsi="Times New Roman"/>
                <w:sz w:val="20"/>
                <w:szCs w:val="20"/>
              </w:rPr>
            </w:pPr>
            <w:r w:rsidRPr="0097258B">
              <w:rPr>
                <w:rFonts w:ascii="Times New Roman" w:hAnsi="Times New Roman"/>
                <w:sz w:val="20"/>
                <w:szCs w:val="20"/>
              </w:rPr>
              <w:t xml:space="preserve">Chute due </w:t>
            </w:r>
            <w:proofErr w:type="gramStart"/>
            <w:r w:rsidRPr="0097258B">
              <w:rPr>
                <w:rFonts w:ascii="Times New Roman" w:hAnsi="Times New Roman"/>
                <w:sz w:val="20"/>
                <w:szCs w:val="20"/>
              </w:rPr>
              <w:t>au s</w:t>
            </w:r>
            <w:r w:rsidR="00DE241D" w:rsidRPr="0097258B">
              <w:rPr>
                <w:rFonts w:ascii="Times New Roman" w:hAnsi="Times New Roman"/>
                <w:sz w:val="20"/>
                <w:szCs w:val="20"/>
              </w:rPr>
              <w:t>ols glissants</w:t>
            </w:r>
            <w:proofErr w:type="gramEnd"/>
            <w:r w:rsidRPr="0097258B">
              <w:rPr>
                <w:rFonts w:ascii="Times New Roman" w:hAnsi="Times New Roman"/>
                <w:sz w:val="20"/>
                <w:szCs w:val="20"/>
              </w:rPr>
              <w:t>,</w:t>
            </w:r>
            <w:r w:rsidR="00DE241D" w:rsidRPr="0097258B">
              <w:rPr>
                <w:rFonts w:ascii="Times New Roman" w:hAnsi="Times New Roman"/>
                <w:sz w:val="20"/>
                <w:szCs w:val="20"/>
              </w:rPr>
              <w:t> </w:t>
            </w:r>
            <w:r w:rsidRPr="0097258B">
              <w:rPr>
                <w:rFonts w:ascii="Times New Roman" w:hAnsi="Times New Roman"/>
                <w:sz w:val="20"/>
                <w:szCs w:val="20"/>
              </w:rPr>
              <w:t>à l’</w:t>
            </w:r>
            <w:r w:rsidR="00454008" w:rsidRPr="0097258B">
              <w:rPr>
                <w:rFonts w:ascii="Times New Roman" w:hAnsi="Times New Roman"/>
                <w:sz w:val="20"/>
                <w:szCs w:val="20"/>
              </w:rPr>
              <w:t>e</w:t>
            </w:r>
            <w:r w:rsidR="00DE241D" w:rsidRPr="0097258B">
              <w:rPr>
                <w:rFonts w:ascii="Times New Roman" w:hAnsi="Times New Roman"/>
                <w:sz w:val="20"/>
                <w:szCs w:val="20"/>
              </w:rPr>
              <w:t xml:space="preserve">ncombrement et </w:t>
            </w:r>
            <w:r w:rsidR="00454008" w:rsidRPr="0097258B">
              <w:rPr>
                <w:rFonts w:ascii="Times New Roman" w:hAnsi="Times New Roman"/>
                <w:sz w:val="20"/>
                <w:szCs w:val="20"/>
              </w:rPr>
              <w:t xml:space="preserve">au </w:t>
            </w:r>
            <w:r w:rsidR="00DE241D" w:rsidRPr="0097258B">
              <w:rPr>
                <w:rFonts w:ascii="Times New Roman" w:hAnsi="Times New Roman"/>
                <w:sz w:val="20"/>
                <w:szCs w:val="20"/>
              </w:rPr>
              <w:t xml:space="preserve">mauvais éclairage des lieux de travail et des allées piétonnes </w:t>
            </w:r>
            <w:r w:rsidR="00454008" w:rsidRPr="0097258B">
              <w:rPr>
                <w:rFonts w:ascii="Times New Roman" w:hAnsi="Times New Roman"/>
                <w:sz w:val="20"/>
                <w:szCs w:val="20"/>
              </w:rPr>
              <w:t>et au</w:t>
            </w:r>
          </w:p>
          <w:p w14:paraId="7A433A53" w14:textId="2059A674" w:rsidR="00DE241D" w:rsidRPr="0097258B" w:rsidRDefault="00454008" w:rsidP="00A92B22">
            <w:pPr>
              <w:spacing w:after="0" w:line="240" w:lineRule="auto"/>
              <w:rPr>
                <w:rFonts w:ascii="Times New Roman" w:hAnsi="Times New Roman"/>
                <w:sz w:val="20"/>
                <w:szCs w:val="20"/>
              </w:rPr>
            </w:pPr>
            <w:proofErr w:type="gramStart"/>
            <w:r w:rsidRPr="0097258B">
              <w:rPr>
                <w:rFonts w:ascii="Times New Roman" w:hAnsi="Times New Roman"/>
                <w:sz w:val="20"/>
                <w:szCs w:val="20"/>
              </w:rPr>
              <w:t>n</w:t>
            </w:r>
            <w:r w:rsidR="00DE241D" w:rsidRPr="0097258B">
              <w:rPr>
                <w:rFonts w:ascii="Times New Roman" w:hAnsi="Times New Roman"/>
                <w:sz w:val="20"/>
                <w:szCs w:val="20"/>
              </w:rPr>
              <w:t>on</w:t>
            </w:r>
            <w:proofErr w:type="gramEnd"/>
            <w:r w:rsidR="00DE241D" w:rsidRPr="0097258B">
              <w:rPr>
                <w:rFonts w:ascii="Times New Roman" w:hAnsi="Times New Roman"/>
                <w:sz w:val="20"/>
                <w:szCs w:val="20"/>
              </w:rPr>
              <w:t>-respect du port des EPI</w:t>
            </w:r>
          </w:p>
        </w:tc>
        <w:tc>
          <w:tcPr>
            <w:tcW w:w="704" w:type="pct"/>
            <w:tcBorders>
              <w:top w:val="single" w:sz="4" w:space="0" w:color="auto"/>
              <w:left w:val="single" w:sz="4" w:space="0" w:color="auto"/>
              <w:bottom w:val="single" w:sz="4" w:space="0" w:color="auto"/>
              <w:right w:val="single" w:sz="4" w:space="0" w:color="auto"/>
            </w:tcBorders>
            <w:vAlign w:val="center"/>
            <w:hideMark/>
          </w:tcPr>
          <w:p w14:paraId="0021741F" w14:textId="77777777" w:rsidR="00DE241D" w:rsidRPr="0097258B" w:rsidRDefault="00DE241D" w:rsidP="00A92B22">
            <w:pPr>
              <w:spacing w:line="240" w:lineRule="auto"/>
              <w:jc w:val="center"/>
              <w:rPr>
                <w:rFonts w:ascii="Times New Roman" w:hAnsi="Times New Roman"/>
                <w:b/>
                <w:bCs/>
                <w:sz w:val="20"/>
                <w:szCs w:val="20"/>
              </w:rPr>
            </w:pPr>
            <w:r w:rsidRPr="0097258B">
              <w:rPr>
                <w:rFonts w:ascii="Times New Roman" w:hAnsi="Times New Roman"/>
                <w:b/>
                <w:bCs/>
                <w:sz w:val="20"/>
                <w:szCs w:val="20"/>
              </w:rPr>
              <w:t>2</w:t>
            </w:r>
          </w:p>
        </w:tc>
        <w:tc>
          <w:tcPr>
            <w:tcW w:w="641" w:type="pct"/>
            <w:tcBorders>
              <w:top w:val="single" w:sz="4" w:space="0" w:color="auto"/>
              <w:left w:val="single" w:sz="4" w:space="0" w:color="auto"/>
              <w:bottom w:val="single" w:sz="4" w:space="0" w:color="auto"/>
              <w:right w:val="single" w:sz="4" w:space="0" w:color="auto"/>
            </w:tcBorders>
            <w:vAlign w:val="center"/>
            <w:hideMark/>
          </w:tcPr>
          <w:p w14:paraId="1E708761" w14:textId="77777777" w:rsidR="00DE241D" w:rsidRPr="0097258B" w:rsidRDefault="00DE241D" w:rsidP="00A92B22">
            <w:pPr>
              <w:spacing w:line="240" w:lineRule="auto"/>
              <w:jc w:val="center"/>
              <w:rPr>
                <w:rFonts w:ascii="Times New Roman" w:hAnsi="Times New Roman"/>
                <w:b/>
                <w:bCs/>
                <w:sz w:val="20"/>
                <w:szCs w:val="20"/>
              </w:rPr>
            </w:pPr>
            <w:r w:rsidRPr="0097258B">
              <w:rPr>
                <w:rFonts w:ascii="Times New Roman" w:hAnsi="Times New Roman"/>
                <w:b/>
                <w:bCs/>
                <w:sz w:val="20"/>
                <w:szCs w:val="20"/>
              </w:rPr>
              <w:t>3</w:t>
            </w:r>
          </w:p>
        </w:tc>
        <w:tc>
          <w:tcPr>
            <w:tcW w:w="534"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5E065DF8" w14:textId="77777777" w:rsidR="00DE241D" w:rsidRPr="0097258B" w:rsidRDefault="00DE241D" w:rsidP="00A92B22">
            <w:pPr>
              <w:spacing w:line="240" w:lineRule="auto"/>
              <w:jc w:val="center"/>
              <w:rPr>
                <w:rFonts w:ascii="Times New Roman" w:hAnsi="Times New Roman"/>
                <w:b/>
                <w:bCs/>
                <w:sz w:val="20"/>
                <w:szCs w:val="20"/>
              </w:rPr>
            </w:pPr>
            <w:r w:rsidRPr="0097258B">
              <w:rPr>
                <w:rFonts w:ascii="Times New Roman" w:hAnsi="Times New Roman"/>
                <w:b/>
                <w:bCs/>
                <w:sz w:val="20"/>
                <w:szCs w:val="20"/>
              </w:rPr>
              <w:t>32</w:t>
            </w:r>
          </w:p>
        </w:tc>
        <w:tc>
          <w:tcPr>
            <w:tcW w:w="1010" w:type="pct"/>
            <w:tcBorders>
              <w:top w:val="single" w:sz="4" w:space="0" w:color="auto"/>
              <w:left w:val="single" w:sz="4" w:space="0" w:color="auto"/>
              <w:bottom w:val="single" w:sz="4" w:space="0" w:color="auto"/>
              <w:right w:val="single" w:sz="4" w:space="0" w:color="auto"/>
            </w:tcBorders>
            <w:vAlign w:val="center"/>
          </w:tcPr>
          <w:p w14:paraId="354FD121" w14:textId="77777777" w:rsidR="00DE241D" w:rsidRPr="0097258B" w:rsidRDefault="00DE241D" w:rsidP="00A92B22">
            <w:pPr>
              <w:spacing w:after="0" w:line="240" w:lineRule="auto"/>
              <w:rPr>
                <w:rFonts w:ascii="Times New Roman" w:hAnsi="Times New Roman"/>
                <w:sz w:val="20"/>
                <w:szCs w:val="20"/>
              </w:rPr>
            </w:pPr>
            <w:r w:rsidRPr="0097258B">
              <w:rPr>
                <w:rFonts w:ascii="Times New Roman" w:hAnsi="Times New Roman"/>
                <w:sz w:val="20"/>
                <w:szCs w:val="20"/>
              </w:rPr>
              <w:t>Dommages corporels</w:t>
            </w:r>
          </w:p>
          <w:p w14:paraId="327DE37C" w14:textId="3647D1BB" w:rsidR="00DE241D" w:rsidRPr="0097258B" w:rsidRDefault="00DE241D" w:rsidP="00A92B22">
            <w:pPr>
              <w:spacing w:after="0" w:line="240" w:lineRule="auto"/>
              <w:rPr>
                <w:rFonts w:ascii="Times New Roman" w:hAnsi="Times New Roman"/>
                <w:sz w:val="20"/>
                <w:szCs w:val="20"/>
              </w:rPr>
            </w:pPr>
            <w:r w:rsidRPr="0097258B">
              <w:rPr>
                <w:rFonts w:ascii="Times New Roman" w:hAnsi="Times New Roman"/>
                <w:sz w:val="20"/>
                <w:szCs w:val="20"/>
              </w:rPr>
              <w:t>Décès</w:t>
            </w:r>
          </w:p>
        </w:tc>
      </w:tr>
      <w:tr w:rsidR="00BD1A2F" w:rsidRPr="00260790" w14:paraId="09E3E7AE" w14:textId="77777777" w:rsidTr="003A0E4A">
        <w:tc>
          <w:tcPr>
            <w:tcW w:w="880" w:type="pct"/>
            <w:tcBorders>
              <w:top w:val="single" w:sz="4" w:space="0" w:color="auto"/>
              <w:left w:val="single" w:sz="4" w:space="0" w:color="auto"/>
              <w:bottom w:val="single" w:sz="4" w:space="0" w:color="auto"/>
              <w:right w:val="single" w:sz="4" w:space="0" w:color="auto"/>
            </w:tcBorders>
            <w:vAlign w:val="center"/>
            <w:hideMark/>
          </w:tcPr>
          <w:p w14:paraId="0FD5443D" w14:textId="77777777" w:rsidR="00DE241D" w:rsidRPr="0097258B" w:rsidRDefault="00DE241D" w:rsidP="00E20250">
            <w:pPr>
              <w:spacing w:line="240" w:lineRule="auto"/>
              <w:rPr>
                <w:rFonts w:ascii="Times New Roman" w:hAnsi="Times New Roman"/>
                <w:sz w:val="20"/>
                <w:szCs w:val="20"/>
              </w:rPr>
            </w:pPr>
            <w:r w:rsidRPr="0097258B">
              <w:rPr>
                <w:rFonts w:ascii="Times New Roman" w:hAnsi="Times New Roman"/>
                <w:sz w:val="20"/>
                <w:szCs w:val="20"/>
              </w:rPr>
              <w:t xml:space="preserve">Mesures de prévention </w:t>
            </w:r>
          </w:p>
        </w:tc>
        <w:tc>
          <w:tcPr>
            <w:tcW w:w="4120" w:type="pct"/>
            <w:gridSpan w:val="5"/>
            <w:tcBorders>
              <w:top w:val="single" w:sz="4" w:space="0" w:color="auto"/>
              <w:left w:val="single" w:sz="4" w:space="0" w:color="auto"/>
              <w:bottom w:val="single" w:sz="4" w:space="0" w:color="auto"/>
              <w:right w:val="single" w:sz="4" w:space="0" w:color="auto"/>
            </w:tcBorders>
            <w:vAlign w:val="center"/>
            <w:hideMark/>
          </w:tcPr>
          <w:p w14:paraId="03A791B6"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Sensibiliser les travailleurs sur le risque de chute ;</w:t>
            </w:r>
          </w:p>
          <w:p w14:paraId="4E8D9369"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Organiser la circulation des personnes (circulations horizontale et verticale) ;</w:t>
            </w:r>
          </w:p>
          <w:p w14:paraId="285D0800"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Assurer la propreté des sols des aires de travail ;</w:t>
            </w:r>
          </w:p>
          <w:p w14:paraId="1408AE36" w14:textId="67B897D0" w:rsidR="00DE241D" w:rsidRPr="0097258B" w:rsidRDefault="00E221B6"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É</w:t>
            </w:r>
            <w:r w:rsidR="00DE241D" w:rsidRPr="0097258B">
              <w:rPr>
                <w:rFonts w:ascii="Times New Roman" w:hAnsi="Times New Roman" w:cs="Times New Roman"/>
                <w:color w:val="000000" w:themeColor="text1"/>
                <w:sz w:val="20"/>
                <w:szCs w:val="20"/>
              </w:rPr>
              <w:t xml:space="preserve">viter l’encombrement des aires de travail et des allées et les éclairer convenablement </w:t>
            </w:r>
          </w:p>
          <w:p w14:paraId="2C1008AA"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Doter les travailleurs de chaussures antidérapantes et en exiger le port ;</w:t>
            </w:r>
          </w:p>
          <w:p w14:paraId="7E291A53" w14:textId="2FA4F9A7" w:rsidR="00DE241D" w:rsidRPr="0097258B" w:rsidRDefault="00E60FA9" w:rsidP="001748C6">
            <w:pPr>
              <w:pStyle w:val="Default"/>
              <w:widowControl w:val="0"/>
              <w:numPr>
                <w:ilvl w:val="0"/>
                <w:numId w:val="326"/>
              </w:numPr>
              <w:overflowPunct w:val="0"/>
              <w:ind w:right="57"/>
              <w:jc w:val="both"/>
              <w:textAlignment w:val="baseline"/>
              <w:rPr>
                <w:rFonts w:ascii="Times New Roman" w:hAnsi="Times New Roman" w:cs="Times New Roman"/>
                <w:sz w:val="20"/>
                <w:szCs w:val="20"/>
              </w:rPr>
            </w:pPr>
            <w:r w:rsidRPr="0097258B">
              <w:rPr>
                <w:rFonts w:ascii="Times New Roman" w:hAnsi="Times New Roman" w:cs="Times New Roman"/>
                <w:color w:val="000000" w:themeColor="text1"/>
                <w:sz w:val="20"/>
                <w:szCs w:val="20"/>
              </w:rPr>
              <w:t>É</w:t>
            </w:r>
            <w:r w:rsidR="00DE241D" w:rsidRPr="0097258B">
              <w:rPr>
                <w:rFonts w:ascii="Times New Roman" w:hAnsi="Times New Roman" w:cs="Times New Roman"/>
                <w:color w:val="000000" w:themeColor="text1"/>
                <w:sz w:val="20"/>
                <w:szCs w:val="20"/>
              </w:rPr>
              <w:t>laborer les procédures d’intervention d’urgence</w:t>
            </w:r>
          </w:p>
        </w:tc>
      </w:tr>
      <w:tr w:rsidR="00BD1A2F" w:rsidRPr="00260790" w14:paraId="047E49E0" w14:textId="77777777" w:rsidTr="003A0E4A">
        <w:trPr>
          <w:trHeight w:val="210"/>
        </w:trPr>
        <w:tc>
          <w:tcPr>
            <w:tcW w:w="880" w:type="pct"/>
            <w:vMerge w:val="restart"/>
            <w:tcBorders>
              <w:top w:val="single" w:sz="4" w:space="0" w:color="auto"/>
              <w:left w:val="single" w:sz="4" w:space="0" w:color="auto"/>
              <w:bottom w:val="single" w:sz="4" w:space="0" w:color="auto"/>
              <w:right w:val="single" w:sz="4" w:space="0" w:color="auto"/>
            </w:tcBorders>
            <w:vAlign w:val="center"/>
            <w:hideMark/>
          </w:tcPr>
          <w:p w14:paraId="073BA5B4" w14:textId="77777777" w:rsidR="00DE241D" w:rsidRPr="0097258B" w:rsidRDefault="00DE241D" w:rsidP="00E20250">
            <w:pPr>
              <w:spacing w:line="240" w:lineRule="auto"/>
              <w:rPr>
                <w:rFonts w:ascii="Times New Roman" w:hAnsi="Times New Roman"/>
                <w:sz w:val="20"/>
                <w:szCs w:val="20"/>
              </w:rPr>
            </w:pPr>
            <w:r w:rsidRPr="0097258B">
              <w:rPr>
                <w:rFonts w:ascii="Times New Roman" w:hAnsi="Times New Roman"/>
                <w:sz w:val="20"/>
                <w:szCs w:val="20"/>
              </w:rPr>
              <w:t>Après prévention</w:t>
            </w:r>
          </w:p>
        </w:tc>
        <w:tc>
          <w:tcPr>
            <w:tcW w:w="1231" w:type="pct"/>
            <w:tcBorders>
              <w:top w:val="single" w:sz="4" w:space="0" w:color="auto"/>
              <w:left w:val="single" w:sz="4" w:space="0" w:color="auto"/>
              <w:bottom w:val="single" w:sz="4" w:space="0" w:color="auto"/>
              <w:right w:val="single" w:sz="4" w:space="0" w:color="auto"/>
            </w:tcBorders>
            <w:vAlign w:val="center"/>
            <w:hideMark/>
          </w:tcPr>
          <w:p w14:paraId="1650934E"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Risques résiduels</w:t>
            </w:r>
          </w:p>
        </w:tc>
        <w:tc>
          <w:tcPr>
            <w:tcW w:w="704" w:type="pct"/>
            <w:tcBorders>
              <w:top w:val="single" w:sz="4" w:space="0" w:color="auto"/>
              <w:left w:val="single" w:sz="4" w:space="0" w:color="auto"/>
              <w:bottom w:val="single" w:sz="4" w:space="0" w:color="auto"/>
              <w:right w:val="single" w:sz="4" w:space="0" w:color="auto"/>
            </w:tcBorders>
            <w:vAlign w:val="center"/>
            <w:hideMark/>
          </w:tcPr>
          <w:p w14:paraId="2C2FD18F"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Probabilité</w:t>
            </w:r>
          </w:p>
        </w:tc>
        <w:tc>
          <w:tcPr>
            <w:tcW w:w="641" w:type="pct"/>
            <w:tcBorders>
              <w:top w:val="single" w:sz="4" w:space="0" w:color="auto"/>
              <w:left w:val="single" w:sz="4" w:space="0" w:color="auto"/>
              <w:bottom w:val="single" w:sz="4" w:space="0" w:color="auto"/>
              <w:right w:val="single" w:sz="4" w:space="0" w:color="auto"/>
            </w:tcBorders>
            <w:vAlign w:val="center"/>
            <w:hideMark/>
          </w:tcPr>
          <w:p w14:paraId="41871398"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Gravité</w:t>
            </w:r>
          </w:p>
        </w:tc>
        <w:tc>
          <w:tcPr>
            <w:tcW w:w="534" w:type="pct"/>
            <w:tcBorders>
              <w:top w:val="single" w:sz="4" w:space="0" w:color="auto"/>
              <w:left w:val="single" w:sz="4" w:space="0" w:color="auto"/>
              <w:bottom w:val="single" w:sz="4" w:space="0" w:color="auto"/>
              <w:right w:val="single" w:sz="4" w:space="0" w:color="auto"/>
            </w:tcBorders>
            <w:vAlign w:val="center"/>
            <w:hideMark/>
          </w:tcPr>
          <w:p w14:paraId="76079458"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Criticité</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BD2E3EA"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Dommage final</w:t>
            </w:r>
          </w:p>
        </w:tc>
      </w:tr>
      <w:tr w:rsidR="00BD1A2F" w:rsidRPr="00260790" w14:paraId="03CD6981" w14:textId="77777777" w:rsidTr="003A0E4A">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E4BCE3" w14:textId="77777777" w:rsidR="00DE241D" w:rsidRPr="0097258B" w:rsidRDefault="00DE241D" w:rsidP="00E20250">
            <w:pPr>
              <w:spacing w:line="240" w:lineRule="auto"/>
              <w:rPr>
                <w:rFonts w:ascii="Times New Roman" w:hAnsi="Times New Roman"/>
                <w:sz w:val="20"/>
                <w:szCs w:val="20"/>
              </w:rPr>
            </w:pPr>
          </w:p>
        </w:tc>
        <w:tc>
          <w:tcPr>
            <w:tcW w:w="1231" w:type="pct"/>
            <w:tcBorders>
              <w:top w:val="single" w:sz="4" w:space="0" w:color="auto"/>
              <w:left w:val="single" w:sz="4" w:space="0" w:color="auto"/>
              <w:bottom w:val="single" w:sz="4" w:space="0" w:color="auto"/>
              <w:right w:val="single" w:sz="4" w:space="0" w:color="auto"/>
            </w:tcBorders>
            <w:vAlign w:val="center"/>
            <w:hideMark/>
          </w:tcPr>
          <w:p w14:paraId="5B8D6C07" w14:textId="42A7D341" w:rsidR="00DE241D" w:rsidRPr="0097258B" w:rsidRDefault="00CB406C" w:rsidP="00E20250">
            <w:pPr>
              <w:spacing w:line="240" w:lineRule="auto"/>
              <w:rPr>
                <w:rFonts w:ascii="Times New Roman" w:hAnsi="Times New Roman"/>
                <w:sz w:val="20"/>
                <w:szCs w:val="20"/>
              </w:rPr>
            </w:pPr>
            <w:r w:rsidRPr="0097258B">
              <w:rPr>
                <w:rFonts w:ascii="Times New Roman" w:hAnsi="Times New Roman"/>
                <w:sz w:val="20"/>
                <w:szCs w:val="20"/>
              </w:rPr>
              <w:t xml:space="preserve">Faible </w:t>
            </w:r>
            <w:r w:rsidR="009B536A" w:rsidRPr="0097258B">
              <w:rPr>
                <w:rFonts w:ascii="Times New Roman" w:hAnsi="Times New Roman"/>
                <w:sz w:val="20"/>
                <w:szCs w:val="20"/>
              </w:rPr>
              <w:t>accident lié au chute</w:t>
            </w:r>
          </w:p>
        </w:tc>
        <w:tc>
          <w:tcPr>
            <w:tcW w:w="704" w:type="pct"/>
            <w:tcBorders>
              <w:top w:val="single" w:sz="4" w:space="0" w:color="auto"/>
              <w:left w:val="single" w:sz="4" w:space="0" w:color="auto"/>
              <w:bottom w:val="single" w:sz="4" w:space="0" w:color="auto"/>
              <w:right w:val="single" w:sz="4" w:space="0" w:color="auto"/>
            </w:tcBorders>
            <w:vAlign w:val="center"/>
            <w:hideMark/>
          </w:tcPr>
          <w:p w14:paraId="5B7629A6" w14:textId="77777777" w:rsidR="00DE241D" w:rsidRPr="0097258B" w:rsidRDefault="00DE241D" w:rsidP="00A92B22">
            <w:pPr>
              <w:spacing w:line="240" w:lineRule="auto"/>
              <w:jc w:val="center"/>
              <w:rPr>
                <w:rFonts w:ascii="Times New Roman" w:hAnsi="Times New Roman"/>
                <w:b/>
                <w:bCs/>
                <w:sz w:val="20"/>
                <w:szCs w:val="20"/>
              </w:rPr>
            </w:pPr>
            <w:r w:rsidRPr="0097258B">
              <w:rPr>
                <w:rFonts w:ascii="Times New Roman" w:hAnsi="Times New Roman"/>
                <w:b/>
                <w:bCs/>
                <w:sz w:val="20"/>
                <w:szCs w:val="20"/>
              </w:rPr>
              <w:t>1</w:t>
            </w:r>
          </w:p>
        </w:tc>
        <w:tc>
          <w:tcPr>
            <w:tcW w:w="641" w:type="pct"/>
            <w:tcBorders>
              <w:top w:val="single" w:sz="4" w:space="0" w:color="auto"/>
              <w:left w:val="single" w:sz="4" w:space="0" w:color="auto"/>
              <w:bottom w:val="single" w:sz="4" w:space="0" w:color="auto"/>
              <w:right w:val="single" w:sz="4" w:space="0" w:color="auto"/>
            </w:tcBorders>
            <w:vAlign w:val="center"/>
            <w:hideMark/>
          </w:tcPr>
          <w:p w14:paraId="5F28AEBA" w14:textId="77777777" w:rsidR="00DE241D" w:rsidRPr="0097258B" w:rsidRDefault="00DE241D" w:rsidP="00A92B22">
            <w:pPr>
              <w:spacing w:line="240" w:lineRule="auto"/>
              <w:jc w:val="center"/>
              <w:rPr>
                <w:rFonts w:ascii="Times New Roman" w:hAnsi="Times New Roman"/>
                <w:b/>
                <w:bCs/>
                <w:sz w:val="20"/>
                <w:szCs w:val="20"/>
              </w:rPr>
            </w:pPr>
            <w:r w:rsidRPr="0097258B">
              <w:rPr>
                <w:rFonts w:ascii="Times New Roman" w:hAnsi="Times New Roman"/>
                <w:b/>
                <w:bCs/>
                <w:sz w:val="20"/>
                <w:szCs w:val="20"/>
              </w:rPr>
              <w:t>2</w:t>
            </w:r>
          </w:p>
        </w:tc>
        <w:tc>
          <w:tcPr>
            <w:tcW w:w="534"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6C40537" w14:textId="77777777" w:rsidR="00DE241D" w:rsidRPr="0097258B" w:rsidRDefault="00DE241D" w:rsidP="00A92B22">
            <w:pPr>
              <w:spacing w:line="240" w:lineRule="auto"/>
              <w:jc w:val="center"/>
              <w:rPr>
                <w:rFonts w:ascii="Times New Roman" w:hAnsi="Times New Roman"/>
                <w:b/>
                <w:bCs/>
                <w:sz w:val="20"/>
                <w:szCs w:val="20"/>
              </w:rPr>
            </w:pPr>
            <w:r w:rsidRPr="0097258B">
              <w:rPr>
                <w:rFonts w:ascii="Times New Roman" w:hAnsi="Times New Roman"/>
                <w:b/>
                <w:bCs/>
                <w:sz w:val="20"/>
                <w:szCs w:val="20"/>
              </w:rPr>
              <w:t>21</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908DB2F" w14:textId="77777777" w:rsidR="00DE241D" w:rsidRPr="0097258B" w:rsidRDefault="00DE241D" w:rsidP="00E20250">
            <w:pPr>
              <w:spacing w:line="240" w:lineRule="auto"/>
              <w:rPr>
                <w:rFonts w:ascii="Times New Roman" w:hAnsi="Times New Roman"/>
                <w:sz w:val="20"/>
                <w:szCs w:val="20"/>
              </w:rPr>
            </w:pPr>
            <w:r w:rsidRPr="0097258B">
              <w:rPr>
                <w:rFonts w:ascii="Times New Roman" w:hAnsi="Times New Roman"/>
                <w:sz w:val="20"/>
                <w:szCs w:val="20"/>
              </w:rPr>
              <w:t>Traumatisme</w:t>
            </w:r>
          </w:p>
        </w:tc>
      </w:tr>
    </w:tbl>
    <w:p w14:paraId="7A551BA7" w14:textId="77777777" w:rsidR="00DE241D" w:rsidRPr="00260790" w:rsidRDefault="00DE241D" w:rsidP="00F83414">
      <w:pPr>
        <w:autoSpaceDE w:val="0"/>
        <w:autoSpaceDN w:val="0"/>
        <w:adjustRightInd w:val="0"/>
        <w:spacing w:after="0" w:line="240" w:lineRule="auto"/>
        <w:jc w:val="both"/>
        <w:rPr>
          <w:rFonts w:ascii="Times New Roman" w:hAnsi="Times New Roman"/>
          <w:b/>
          <w:bCs/>
          <w:i/>
          <w:iCs/>
          <w:color w:val="000000" w:themeColor="text1"/>
        </w:rPr>
      </w:pPr>
    </w:p>
    <w:p w14:paraId="2E12D2CD" w14:textId="77777777" w:rsidR="00DE241D" w:rsidRPr="00260790" w:rsidRDefault="00DE241D" w:rsidP="001748C6">
      <w:pPr>
        <w:pStyle w:val="Paragraphedeliste"/>
        <w:numPr>
          <w:ilvl w:val="0"/>
          <w:numId w:val="311"/>
        </w:numPr>
        <w:autoSpaceDE w:val="0"/>
        <w:autoSpaceDN w:val="0"/>
        <w:adjustRightInd w:val="0"/>
        <w:spacing w:after="0" w:line="240" w:lineRule="auto"/>
        <w:jc w:val="both"/>
        <w:rPr>
          <w:rFonts w:ascii="Times New Roman" w:hAnsi="Times New Roman"/>
          <w:color w:val="000000" w:themeColor="text1"/>
        </w:rPr>
      </w:pPr>
      <w:r w:rsidRPr="00260790">
        <w:rPr>
          <w:rFonts w:ascii="Times New Roman" w:hAnsi="Times New Roman"/>
          <w:b/>
          <w:bCs/>
          <w:i/>
          <w:color w:val="000000" w:themeColor="text1"/>
        </w:rPr>
        <w:t>RI-11. Risque d’accidents</w:t>
      </w:r>
      <w:r w:rsidRPr="00260790">
        <w:rPr>
          <w:rFonts w:ascii="Times New Roman" w:hAnsi="Times New Roman"/>
          <w:b/>
          <w:i/>
          <w:color w:val="000000" w:themeColor="text1"/>
        </w:rPr>
        <w:t xml:space="preserve"> et de maladies professionnelles</w:t>
      </w:r>
      <w:r w:rsidRPr="00260790">
        <w:rPr>
          <w:rFonts w:ascii="Times New Roman" w:hAnsi="Times New Roman"/>
          <w:b/>
          <w:bCs/>
          <w:i/>
          <w:color w:val="000000" w:themeColor="text1"/>
        </w:rPr>
        <w:t xml:space="preserve"> lié à la manutention manuelle </w:t>
      </w:r>
    </w:p>
    <w:p w14:paraId="71406A72" w14:textId="12DF4357" w:rsidR="00EE75D3" w:rsidRDefault="00DE241D" w:rsidP="00E20250">
      <w:pPr>
        <w:autoSpaceDE w:val="0"/>
        <w:autoSpaceDN w:val="0"/>
        <w:adjustRightInd w:val="0"/>
        <w:spacing w:line="240" w:lineRule="auto"/>
        <w:jc w:val="both"/>
        <w:rPr>
          <w:rFonts w:ascii="Times New Roman" w:hAnsi="Times New Roman"/>
          <w:color w:val="000000" w:themeColor="text1"/>
        </w:rPr>
      </w:pPr>
      <w:r w:rsidRPr="00260790">
        <w:rPr>
          <w:rFonts w:ascii="Times New Roman" w:hAnsi="Times New Roman"/>
          <w:color w:val="000000" w:themeColor="text1"/>
        </w:rPr>
        <w:t>Ce risque renvoie aux blessures et maladies professionnelles liées aux mauvaises postures lors de la manutention manuelle de charges telles des sacs de ciment, des tuyaux. Aussi, l’usage d’aides à la manutention devra être privilégié. Ci-dessous le résumé de l’analyse du risque.</w:t>
      </w:r>
    </w:p>
    <w:p w14:paraId="2DA3E630" w14:textId="0EF37057" w:rsidR="00DE241D" w:rsidRPr="00260790" w:rsidRDefault="00DE241D" w:rsidP="00177E44">
      <w:pPr>
        <w:pStyle w:val="Lgende"/>
        <w:spacing w:line="240" w:lineRule="auto"/>
        <w:jc w:val="both"/>
        <w:rPr>
          <w:color w:val="000000" w:themeColor="text1"/>
          <w:sz w:val="22"/>
          <w:szCs w:val="22"/>
        </w:rPr>
      </w:pPr>
      <w:bookmarkStart w:id="626" w:name="_Toc207781884"/>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43</w:t>
      </w:r>
      <w:r w:rsidRPr="00260790">
        <w:rPr>
          <w:color w:val="000000" w:themeColor="text1"/>
          <w:sz w:val="22"/>
          <w:szCs w:val="22"/>
        </w:rPr>
        <w:fldChar w:fldCharType="end"/>
      </w:r>
      <w:r w:rsidRPr="00260790">
        <w:rPr>
          <w:color w:val="000000" w:themeColor="text1"/>
          <w:sz w:val="22"/>
          <w:szCs w:val="22"/>
        </w:rPr>
        <w:t> : Résumé de l’évaluation du risque de blessures et maladies professionnelles liées à la manutention manuelle de charge</w:t>
      </w:r>
      <w:bookmarkEnd w:id="6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596"/>
        <w:gridCol w:w="2236"/>
        <w:gridCol w:w="1267"/>
        <w:gridCol w:w="16"/>
        <w:gridCol w:w="968"/>
        <w:gridCol w:w="16"/>
        <w:gridCol w:w="1093"/>
        <w:gridCol w:w="58"/>
        <w:gridCol w:w="1810"/>
      </w:tblGrid>
      <w:tr w:rsidR="00BD1A2F" w:rsidRPr="00632C4D" w14:paraId="5BF7C508" w14:textId="77777777" w:rsidTr="003A0E4A">
        <w:trPr>
          <w:cantSplit/>
        </w:trPr>
        <w:tc>
          <w:tcPr>
            <w:tcW w:w="5000" w:type="pct"/>
            <w:gridSpan w:val="9"/>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03C29C6D"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RI-11. Risque de blessures et maladies professionnelles liées à la manutention manuelle de charge</w:t>
            </w:r>
          </w:p>
        </w:tc>
      </w:tr>
      <w:tr w:rsidR="00BD1A2F" w:rsidRPr="00632C4D" w14:paraId="24C3DA81" w14:textId="77777777" w:rsidTr="003A0E4A">
        <w:trPr>
          <w:cantSplit/>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hideMark/>
          </w:tcPr>
          <w:p w14:paraId="4B4EB007" w14:textId="77777777" w:rsidR="00DE241D" w:rsidRPr="0097258B" w:rsidRDefault="00DE241D" w:rsidP="00E20250">
            <w:pPr>
              <w:spacing w:line="240" w:lineRule="auto"/>
              <w:rPr>
                <w:rFonts w:ascii="Times New Roman" w:hAnsi="Times New Roman"/>
                <w:sz w:val="20"/>
                <w:szCs w:val="20"/>
              </w:rPr>
            </w:pPr>
            <w:r w:rsidRPr="0097258B">
              <w:rPr>
                <w:rFonts w:ascii="Times New Roman" w:hAnsi="Times New Roman"/>
                <w:b/>
                <w:bCs/>
                <w:sz w:val="20"/>
                <w:szCs w:val="20"/>
              </w:rPr>
              <w:t>Activités</w:t>
            </w:r>
            <w:r w:rsidRPr="0097258B">
              <w:rPr>
                <w:rFonts w:ascii="Times New Roman" w:hAnsi="Times New Roman"/>
                <w:sz w:val="20"/>
                <w:szCs w:val="20"/>
              </w:rPr>
              <w:t> : Manutention de charges</w:t>
            </w:r>
          </w:p>
        </w:tc>
      </w:tr>
      <w:tr w:rsidR="00BD1A2F" w:rsidRPr="00632C4D" w14:paraId="50872837" w14:textId="77777777" w:rsidTr="003A0E4A">
        <w:trPr>
          <w:tblHeader/>
        </w:trPr>
        <w:tc>
          <w:tcPr>
            <w:tcW w:w="881" w:type="pct"/>
            <w:tcBorders>
              <w:top w:val="single" w:sz="4" w:space="0" w:color="auto"/>
              <w:left w:val="single" w:sz="4" w:space="0" w:color="auto"/>
              <w:bottom w:val="single" w:sz="4" w:space="0" w:color="auto"/>
              <w:right w:val="single" w:sz="4" w:space="0" w:color="auto"/>
            </w:tcBorders>
            <w:shd w:val="clear" w:color="auto" w:fill="FFFFFF"/>
          </w:tcPr>
          <w:p w14:paraId="08A2582A" w14:textId="77777777" w:rsidR="00DE241D" w:rsidRPr="0097258B" w:rsidRDefault="00DE241D" w:rsidP="00E20250">
            <w:pPr>
              <w:spacing w:line="240" w:lineRule="auto"/>
              <w:rPr>
                <w:rFonts w:ascii="Times New Roman" w:hAnsi="Times New Roman"/>
                <w:sz w:val="20"/>
                <w:szCs w:val="20"/>
              </w:rPr>
            </w:pPr>
          </w:p>
        </w:tc>
        <w:tc>
          <w:tcPr>
            <w:tcW w:w="12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1CF9CE"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Risques initiaux</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DA836AB"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Probabilité</w:t>
            </w:r>
          </w:p>
        </w:tc>
        <w:tc>
          <w:tcPr>
            <w:tcW w:w="54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9460801"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Gravité</w:t>
            </w:r>
          </w:p>
        </w:tc>
        <w:tc>
          <w:tcPr>
            <w:tcW w:w="60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ADC595"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Criticité</w:t>
            </w:r>
          </w:p>
        </w:tc>
        <w:tc>
          <w:tcPr>
            <w:tcW w:w="1031"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B81E050"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Dommage initial</w:t>
            </w:r>
          </w:p>
        </w:tc>
      </w:tr>
      <w:tr w:rsidR="00BD1A2F" w:rsidRPr="00632C4D" w14:paraId="3A325C75" w14:textId="77777777" w:rsidTr="003A0E4A">
        <w:tc>
          <w:tcPr>
            <w:tcW w:w="881" w:type="pct"/>
            <w:tcBorders>
              <w:top w:val="single" w:sz="4" w:space="0" w:color="auto"/>
              <w:left w:val="single" w:sz="4" w:space="0" w:color="auto"/>
              <w:bottom w:val="single" w:sz="4" w:space="0" w:color="auto"/>
              <w:right w:val="single" w:sz="4" w:space="0" w:color="auto"/>
            </w:tcBorders>
            <w:vAlign w:val="center"/>
            <w:hideMark/>
          </w:tcPr>
          <w:p w14:paraId="6C1EA6EF" w14:textId="77777777" w:rsidR="00DE241D" w:rsidRPr="0097258B" w:rsidRDefault="00DE241D" w:rsidP="00E20250">
            <w:pPr>
              <w:spacing w:line="240" w:lineRule="auto"/>
              <w:rPr>
                <w:rFonts w:ascii="Times New Roman" w:hAnsi="Times New Roman"/>
                <w:iCs/>
                <w:sz w:val="20"/>
                <w:szCs w:val="20"/>
              </w:rPr>
            </w:pPr>
            <w:r w:rsidRPr="0097258B">
              <w:rPr>
                <w:rFonts w:ascii="Times New Roman" w:hAnsi="Times New Roman"/>
                <w:iCs/>
                <w:sz w:val="20"/>
                <w:szCs w:val="20"/>
              </w:rPr>
              <w:t xml:space="preserve">Avant prévention </w:t>
            </w:r>
          </w:p>
        </w:tc>
        <w:tc>
          <w:tcPr>
            <w:tcW w:w="1234" w:type="pct"/>
            <w:tcBorders>
              <w:top w:val="single" w:sz="4" w:space="0" w:color="auto"/>
              <w:left w:val="single" w:sz="4" w:space="0" w:color="auto"/>
              <w:bottom w:val="single" w:sz="4" w:space="0" w:color="auto"/>
              <w:right w:val="single" w:sz="4" w:space="0" w:color="auto"/>
            </w:tcBorders>
            <w:vAlign w:val="center"/>
            <w:hideMark/>
          </w:tcPr>
          <w:p w14:paraId="6EF720AC" w14:textId="6B6D7671" w:rsidR="00DE241D" w:rsidRPr="0097258B" w:rsidRDefault="00C13EC2" w:rsidP="00F83414">
            <w:pPr>
              <w:spacing w:after="0" w:line="240" w:lineRule="auto"/>
              <w:rPr>
                <w:rFonts w:ascii="Times New Roman" w:hAnsi="Times New Roman"/>
                <w:sz w:val="20"/>
                <w:szCs w:val="20"/>
              </w:rPr>
            </w:pPr>
            <w:r w:rsidRPr="0097258B">
              <w:rPr>
                <w:rFonts w:ascii="Times New Roman" w:hAnsi="Times New Roman"/>
                <w:color w:val="000000" w:themeColor="text1"/>
                <w:sz w:val="20"/>
                <w:szCs w:val="20"/>
              </w:rPr>
              <w:t xml:space="preserve">Risque de blessures et de maladies professionnelles liées aux </w:t>
            </w:r>
            <w:r w:rsidR="005967F3" w:rsidRPr="0097258B">
              <w:rPr>
                <w:rFonts w:ascii="Times New Roman" w:hAnsi="Times New Roman"/>
                <w:sz w:val="20"/>
                <w:szCs w:val="20"/>
              </w:rPr>
              <w:t>m</w:t>
            </w:r>
            <w:r w:rsidR="00DE241D" w:rsidRPr="0097258B">
              <w:rPr>
                <w:rFonts w:ascii="Times New Roman" w:hAnsi="Times New Roman"/>
                <w:sz w:val="20"/>
                <w:szCs w:val="20"/>
              </w:rPr>
              <w:t>anutentions effectuées de façon répétitive et à cadence élevée</w:t>
            </w:r>
            <w:r w:rsidR="005967F3" w:rsidRPr="0097258B">
              <w:rPr>
                <w:rFonts w:ascii="Times New Roman" w:hAnsi="Times New Roman"/>
                <w:sz w:val="20"/>
                <w:szCs w:val="20"/>
              </w:rPr>
              <w:t>,</w:t>
            </w:r>
            <w:r w:rsidR="00DE241D" w:rsidRPr="0097258B">
              <w:rPr>
                <w:rFonts w:ascii="Times New Roman" w:hAnsi="Times New Roman"/>
                <w:sz w:val="20"/>
                <w:szCs w:val="20"/>
              </w:rPr>
              <w:t> </w:t>
            </w:r>
            <w:r w:rsidR="005967F3" w:rsidRPr="0097258B">
              <w:rPr>
                <w:rFonts w:ascii="Times New Roman" w:hAnsi="Times New Roman"/>
                <w:sz w:val="20"/>
                <w:szCs w:val="20"/>
              </w:rPr>
              <w:t xml:space="preserve">ou à la </w:t>
            </w:r>
          </w:p>
          <w:p w14:paraId="19AD5E72" w14:textId="6165B533" w:rsidR="00DE241D" w:rsidRPr="0097258B" w:rsidRDefault="005967F3" w:rsidP="00F83414">
            <w:pPr>
              <w:spacing w:after="0" w:line="240" w:lineRule="auto"/>
              <w:rPr>
                <w:rFonts w:ascii="Times New Roman" w:hAnsi="Times New Roman"/>
                <w:sz w:val="20"/>
                <w:szCs w:val="20"/>
              </w:rPr>
            </w:pPr>
            <w:proofErr w:type="gramStart"/>
            <w:r w:rsidRPr="0097258B">
              <w:rPr>
                <w:rFonts w:ascii="Times New Roman" w:hAnsi="Times New Roman"/>
                <w:sz w:val="20"/>
                <w:szCs w:val="20"/>
              </w:rPr>
              <w:t>m</w:t>
            </w:r>
            <w:r w:rsidR="00DE241D" w:rsidRPr="0097258B">
              <w:rPr>
                <w:rFonts w:ascii="Times New Roman" w:hAnsi="Times New Roman"/>
                <w:sz w:val="20"/>
                <w:szCs w:val="20"/>
              </w:rPr>
              <w:t>auvaise</w:t>
            </w:r>
            <w:proofErr w:type="gramEnd"/>
            <w:r w:rsidR="00DE241D" w:rsidRPr="0097258B">
              <w:rPr>
                <w:rFonts w:ascii="Times New Roman" w:hAnsi="Times New Roman"/>
                <w:sz w:val="20"/>
                <w:szCs w:val="20"/>
              </w:rPr>
              <w:t xml:space="preserve"> posture de manutention manuelle (charges éloignées, dos courbé)</w:t>
            </w:r>
          </w:p>
        </w:tc>
        <w:tc>
          <w:tcPr>
            <w:tcW w:w="708" w:type="pct"/>
            <w:gridSpan w:val="2"/>
            <w:tcBorders>
              <w:top w:val="single" w:sz="4" w:space="0" w:color="auto"/>
              <w:left w:val="single" w:sz="4" w:space="0" w:color="auto"/>
              <w:bottom w:val="single" w:sz="4" w:space="0" w:color="auto"/>
              <w:right w:val="single" w:sz="4" w:space="0" w:color="auto"/>
            </w:tcBorders>
            <w:vAlign w:val="center"/>
            <w:hideMark/>
          </w:tcPr>
          <w:p w14:paraId="2B0D0DE9" w14:textId="77777777" w:rsidR="00DE241D" w:rsidRPr="0097258B" w:rsidRDefault="00DE241D" w:rsidP="00304699">
            <w:pPr>
              <w:spacing w:line="240" w:lineRule="auto"/>
              <w:jc w:val="center"/>
              <w:rPr>
                <w:rFonts w:ascii="Times New Roman" w:hAnsi="Times New Roman"/>
                <w:b/>
                <w:bCs/>
                <w:sz w:val="20"/>
                <w:szCs w:val="20"/>
              </w:rPr>
            </w:pPr>
            <w:r w:rsidRPr="0097258B">
              <w:rPr>
                <w:rFonts w:ascii="Times New Roman" w:hAnsi="Times New Roman"/>
                <w:b/>
                <w:bCs/>
                <w:sz w:val="20"/>
                <w:szCs w:val="20"/>
              </w:rPr>
              <w:t>2</w:t>
            </w:r>
          </w:p>
        </w:tc>
        <w:tc>
          <w:tcPr>
            <w:tcW w:w="543" w:type="pct"/>
            <w:gridSpan w:val="2"/>
            <w:tcBorders>
              <w:top w:val="single" w:sz="4" w:space="0" w:color="auto"/>
              <w:left w:val="single" w:sz="4" w:space="0" w:color="auto"/>
              <w:bottom w:val="single" w:sz="4" w:space="0" w:color="auto"/>
              <w:right w:val="single" w:sz="4" w:space="0" w:color="auto"/>
            </w:tcBorders>
            <w:vAlign w:val="center"/>
            <w:hideMark/>
          </w:tcPr>
          <w:p w14:paraId="2EDB7CF6" w14:textId="77777777" w:rsidR="00DE241D" w:rsidRPr="0097258B" w:rsidRDefault="00DE241D" w:rsidP="00304699">
            <w:pPr>
              <w:spacing w:line="240" w:lineRule="auto"/>
              <w:jc w:val="center"/>
              <w:rPr>
                <w:rFonts w:ascii="Times New Roman" w:hAnsi="Times New Roman"/>
                <w:b/>
                <w:bCs/>
                <w:sz w:val="20"/>
                <w:szCs w:val="20"/>
              </w:rPr>
            </w:pPr>
            <w:r w:rsidRPr="0097258B">
              <w:rPr>
                <w:rFonts w:ascii="Times New Roman" w:hAnsi="Times New Roman"/>
                <w:b/>
                <w:bCs/>
                <w:sz w:val="20"/>
                <w:szCs w:val="20"/>
              </w:rPr>
              <w:t>3</w:t>
            </w:r>
          </w:p>
        </w:tc>
        <w:tc>
          <w:tcPr>
            <w:tcW w:w="603" w:type="pct"/>
            <w:tcBorders>
              <w:top w:val="single" w:sz="4" w:space="0" w:color="auto"/>
              <w:left w:val="single" w:sz="4" w:space="0" w:color="auto"/>
              <w:bottom w:val="single" w:sz="4" w:space="0" w:color="auto"/>
              <w:right w:val="single" w:sz="4" w:space="0" w:color="auto"/>
            </w:tcBorders>
            <w:shd w:val="clear" w:color="auto" w:fill="FFFF00"/>
            <w:vAlign w:val="center"/>
          </w:tcPr>
          <w:p w14:paraId="3365BA00" w14:textId="77777777" w:rsidR="00DE241D" w:rsidRPr="0097258B" w:rsidRDefault="00DE241D" w:rsidP="00304699">
            <w:pPr>
              <w:spacing w:line="240" w:lineRule="auto"/>
              <w:jc w:val="center"/>
              <w:rPr>
                <w:rFonts w:ascii="Times New Roman" w:hAnsi="Times New Roman"/>
                <w:b/>
                <w:bCs/>
                <w:sz w:val="20"/>
                <w:szCs w:val="20"/>
              </w:rPr>
            </w:pPr>
            <w:r w:rsidRPr="0097258B">
              <w:rPr>
                <w:rFonts w:ascii="Times New Roman" w:hAnsi="Times New Roman"/>
                <w:b/>
                <w:bCs/>
                <w:sz w:val="20"/>
                <w:szCs w:val="20"/>
              </w:rPr>
              <w:t>32</w:t>
            </w:r>
          </w:p>
        </w:tc>
        <w:tc>
          <w:tcPr>
            <w:tcW w:w="1031" w:type="pct"/>
            <w:gridSpan w:val="2"/>
            <w:tcBorders>
              <w:top w:val="single" w:sz="4" w:space="0" w:color="auto"/>
              <w:left w:val="single" w:sz="4" w:space="0" w:color="auto"/>
              <w:bottom w:val="single" w:sz="4" w:space="0" w:color="auto"/>
              <w:right w:val="single" w:sz="4" w:space="0" w:color="auto"/>
            </w:tcBorders>
            <w:vAlign w:val="center"/>
            <w:hideMark/>
          </w:tcPr>
          <w:p w14:paraId="609D5D9A" w14:textId="77777777" w:rsidR="00DE241D" w:rsidRPr="0097258B" w:rsidRDefault="00DE241D" w:rsidP="00E20250">
            <w:pPr>
              <w:spacing w:line="240" w:lineRule="auto"/>
              <w:rPr>
                <w:rFonts w:ascii="Times New Roman" w:hAnsi="Times New Roman"/>
                <w:sz w:val="20"/>
                <w:szCs w:val="20"/>
              </w:rPr>
            </w:pPr>
            <w:r w:rsidRPr="0097258B">
              <w:rPr>
                <w:rFonts w:ascii="Times New Roman" w:hAnsi="Times New Roman"/>
                <w:sz w:val="20"/>
                <w:szCs w:val="20"/>
              </w:rPr>
              <w:t>Blessures ;</w:t>
            </w:r>
          </w:p>
          <w:p w14:paraId="101CC15A" w14:textId="15E551CD" w:rsidR="00DE241D" w:rsidRPr="0097258B" w:rsidRDefault="00DE241D" w:rsidP="00E20250">
            <w:pPr>
              <w:spacing w:line="240" w:lineRule="auto"/>
              <w:rPr>
                <w:rFonts w:ascii="Times New Roman" w:hAnsi="Times New Roman"/>
                <w:sz w:val="20"/>
                <w:szCs w:val="20"/>
              </w:rPr>
            </w:pPr>
            <w:r w:rsidRPr="0097258B">
              <w:rPr>
                <w:rFonts w:ascii="Times New Roman" w:hAnsi="Times New Roman"/>
                <w:sz w:val="20"/>
                <w:szCs w:val="20"/>
              </w:rPr>
              <w:t xml:space="preserve">Maladies professionnelles </w:t>
            </w:r>
          </w:p>
        </w:tc>
      </w:tr>
      <w:tr w:rsidR="00BD1A2F" w:rsidRPr="00632C4D" w14:paraId="0B206BCD" w14:textId="77777777" w:rsidTr="003A0E4A">
        <w:tc>
          <w:tcPr>
            <w:tcW w:w="881" w:type="pct"/>
            <w:tcBorders>
              <w:top w:val="single" w:sz="4" w:space="0" w:color="auto"/>
              <w:left w:val="single" w:sz="4" w:space="0" w:color="auto"/>
              <w:bottom w:val="single" w:sz="4" w:space="0" w:color="auto"/>
              <w:right w:val="single" w:sz="4" w:space="0" w:color="auto"/>
            </w:tcBorders>
            <w:vAlign w:val="center"/>
            <w:hideMark/>
          </w:tcPr>
          <w:p w14:paraId="3911C846" w14:textId="77777777" w:rsidR="00DE241D" w:rsidRPr="0097258B" w:rsidRDefault="00DE241D" w:rsidP="00E20250">
            <w:pPr>
              <w:spacing w:line="240" w:lineRule="auto"/>
              <w:rPr>
                <w:rFonts w:ascii="Times New Roman" w:hAnsi="Times New Roman"/>
                <w:iCs/>
                <w:sz w:val="20"/>
                <w:szCs w:val="20"/>
              </w:rPr>
            </w:pPr>
            <w:r w:rsidRPr="0097258B">
              <w:rPr>
                <w:rFonts w:ascii="Times New Roman" w:hAnsi="Times New Roman"/>
                <w:iCs/>
                <w:sz w:val="20"/>
                <w:szCs w:val="20"/>
              </w:rPr>
              <w:t xml:space="preserve">Mesures de prévention </w:t>
            </w:r>
          </w:p>
        </w:tc>
        <w:tc>
          <w:tcPr>
            <w:tcW w:w="4119" w:type="pct"/>
            <w:gridSpan w:val="8"/>
            <w:tcBorders>
              <w:top w:val="single" w:sz="4" w:space="0" w:color="auto"/>
              <w:left w:val="single" w:sz="4" w:space="0" w:color="auto"/>
              <w:bottom w:val="single" w:sz="4" w:space="0" w:color="auto"/>
              <w:right w:val="single" w:sz="4" w:space="0" w:color="auto"/>
            </w:tcBorders>
            <w:vAlign w:val="center"/>
            <w:hideMark/>
          </w:tcPr>
          <w:p w14:paraId="7A3D021D"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Organiser les postes de travail de manière à minimiser les manutentions manuelles ;</w:t>
            </w:r>
          </w:p>
          <w:p w14:paraId="118706D4"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Utiliser des aides à la manutention ;</w:t>
            </w:r>
          </w:p>
          <w:p w14:paraId="041DA2E6" w14:textId="127F2DE7" w:rsidR="00DE241D" w:rsidRPr="0097258B" w:rsidRDefault="00E221B6"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É</w:t>
            </w:r>
            <w:r w:rsidR="00DE241D" w:rsidRPr="0097258B">
              <w:rPr>
                <w:rFonts w:ascii="Times New Roman" w:hAnsi="Times New Roman" w:cs="Times New Roman"/>
                <w:color w:val="000000" w:themeColor="text1"/>
                <w:sz w:val="20"/>
                <w:szCs w:val="20"/>
              </w:rPr>
              <w:t>quiper les charges de moyens de préhension (poignée par exemple) ;</w:t>
            </w:r>
          </w:p>
          <w:p w14:paraId="7FFF07A6"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Former le personnel aux meilleurs gestes et postures de travail ;</w:t>
            </w:r>
          </w:p>
          <w:p w14:paraId="75D5710C"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Doter les travailleurs d’équipements de protection individuelle (chaussures, gants...) et en exiger le port ;</w:t>
            </w:r>
          </w:p>
          <w:p w14:paraId="185EE268"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sz w:val="20"/>
                <w:szCs w:val="20"/>
              </w:rPr>
            </w:pPr>
            <w:r w:rsidRPr="0097258B">
              <w:rPr>
                <w:rFonts w:ascii="Times New Roman" w:hAnsi="Times New Roman" w:cs="Times New Roman"/>
                <w:color w:val="000000" w:themeColor="text1"/>
                <w:sz w:val="20"/>
                <w:szCs w:val="20"/>
              </w:rPr>
              <w:t>Prévoir des pauses pour réduire la durée des travaux répétés.</w:t>
            </w:r>
          </w:p>
        </w:tc>
      </w:tr>
      <w:tr w:rsidR="00BD1A2F" w:rsidRPr="00632C4D" w14:paraId="6C21D8A0" w14:textId="77777777" w:rsidTr="003A0E4A">
        <w:trPr>
          <w:trHeight w:val="210"/>
        </w:trPr>
        <w:tc>
          <w:tcPr>
            <w:tcW w:w="881" w:type="pct"/>
            <w:vMerge w:val="restart"/>
            <w:tcBorders>
              <w:top w:val="single" w:sz="4" w:space="0" w:color="auto"/>
              <w:left w:val="single" w:sz="4" w:space="0" w:color="auto"/>
              <w:bottom w:val="single" w:sz="4" w:space="0" w:color="auto"/>
              <w:right w:val="single" w:sz="4" w:space="0" w:color="auto"/>
            </w:tcBorders>
            <w:vAlign w:val="center"/>
            <w:hideMark/>
          </w:tcPr>
          <w:p w14:paraId="75D45DE7" w14:textId="77777777" w:rsidR="00DE241D" w:rsidRPr="0097258B" w:rsidRDefault="00DE241D" w:rsidP="00E20250">
            <w:pPr>
              <w:spacing w:line="240" w:lineRule="auto"/>
              <w:rPr>
                <w:rFonts w:ascii="Times New Roman" w:hAnsi="Times New Roman"/>
                <w:iCs/>
                <w:sz w:val="20"/>
                <w:szCs w:val="20"/>
              </w:rPr>
            </w:pPr>
            <w:r w:rsidRPr="0097258B">
              <w:rPr>
                <w:rFonts w:ascii="Times New Roman" w:hAnsi="Times New Roman"/>
                <w:iCs/>
                <w:sz w:val="20"/>
                <w:szCs w:val="20"/>
              </w:rPr>
              <w:t>Après prévention</w:t>
            </w:r>
          </w:p>
        </w:tc>
        <w:tc>
          <w:tcPr>
            <w:tcW w:w="1234" w:type="pct"/>
            <w:tcBorders>
              <w:top w:val="single" w:sz="4" w:space="0" w:color="auto"/>
              <w:left w:val="single" w:sz="4" w:space="0" w:color="auto"/>
              <w:bottom w:val="single" w:sz="4" w:space="0" w:color="auto"/>
              <w:right w:val="single" w:sz="4" w:space="0" w:color="auto"/>
            </w:tcBorders>
            <w:vAlign w:val="center"/>
            <w:hideMark/>
          </w:tcPr>
          <w:p w14:paraId="6F235D3A"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Risques résiduels</w:t>
            </w:r>
          </w:p>
        </w:tc>
        <w:tc>
          <w:tcPr>
            <w:tcW w:w="699" w:type="pct"/>
            <w:tcBorders>
              <w:top w:val="single" w:sz="4" w:space="0" w:color="auto"/>
              <w:left w:val="single" w:sz="4" w:space="0" w:color="auto"/>
              <w:bottom w:val="single" w:sz="4" w:space="0" w:color="auto"/>
              <w:right w:val="single" w:sz="4" w:space="0" w:color="auto"/>
            </w:tcBorders>
            <w:vAlign w:val="center"/>
            <w:hideMark/>
          </w:tcPr>
          <w:p w14:paraId="3ABC7315"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Probabilité</w:t>
            </w:r>
          </w:p>
        </w:tc>
        <w:tc>
          <w:tcPr>
            <w:tcW w:w="543" w:type="pct"/>
            <w:gridSpan w:val="2"/>
            <w:tcBorders>
              <w:top w:val="single" w:sz="4" w:space="0" w:color="auto"/>
              <w:left w:val="single" w:sz="4" w:space="0" w:color="auto"/>
              <w:bottom w:val="single" w:sz="4" w:space="0" w:color="auto"/>
              <w:right w:val="single" w:sz="4" w:space="0" w:color="auto"/>
            </w:tcBorders>
            <w:vAlign w:val="center"/>
            <w:hideMark/>
          </w:tcPr>
          <w:p w14:paraId="6A97AD97"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Gravité</w:t>
            </w:r>
          </w:p>
        </w:tc>
        <w:tc>
          <w:tcPr>
            <w:tcW w:w="644" w:type="pct"/>
            <w:gridSpan w:val="3"/>
            <w:tcBorders>
              <w:top w:val="single" w:sz="4" w:space="0" w:color="auto"/>
              <w:left w:val="single" w:sz="4" w:space="0" w:color="auto"/>
              <w:bottom w:val="single" w:sz="4" w:space="0" w:color="auto"/>
              <w:right w:val="single" w:sz="4" w:space="0" w:color="auto"/>
            </w:tcBorders>
            <w:vAlign w:val="center"/>
            <w:hideMark/>
          </w:tcPr>
          <w:p w14:paraId="57EB6633"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Criticité</w:t>
            </w:r>
          </w:p>
        </w:tc>
        <w:tc>
          <w:tcPr>
            <w:tcW w:w="999" w:type="pct"/>
            <w:tcBorders>
              <w:top w:val="single" w:sz="4" w:space="0" w:color="auto"/>
              <w:left w:val="single" w:sz="4" w:space="0" w:color="auto"/>
              <w:bottom w:val="single" w:sz="4" w:space="0" w:color="auto"/>
              <w:right w:val="single" w:sz="4" w:space="0" w:color="auto"/>
            </w:tcBorders>
            <w:vAlign w:val="center"/>
            <w:hideMark/>
          </w:tcPr>
          <w:p w14:paraId="7CBCA564"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Dommage final</w:t>
            </w:r>
          </w:p>
        </w:tc>
      </w:tr>
      <w:tr w:rsidR="00BD1A2F" w:rsidRPr="00632C4D" w14:paraId="3DF4CF25" w14:textId="77777777" w:rsidTr="003A0E4A">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805028" w14:textId="77777777" w:rsidR="00DE241D" w:rsidRPr="0097258B" w:rsidRDefault="00DE241D" w:rsidP="00E20250">
            <w:pPr>
              <w:spacing w:line="240" w:lineRule="auto"/>
              <w:rPr>
                <w:rFonts w:ascii="Times New Roman" w:hAnsi="Times New Roman"/>
                <w:iCs/>
                <w:sz w:val="20"/>
                <w:szCs w:val="20"/>
              </w:rPr>
            </w:pPr>
          </w:p>
        </w:tc>
        <w:tc>
          <w:tcPr>
            <w:tcW w:w="1234" w:type="pct"/>
            <w:tcBorders>
              <w:top w:val="single" w:sz="4" w:space="0" w:color="auto"/>
              <w:left w:val="single" w:sz="4" w:space="0" w:color="auto"/>
              <w:bottom w:val="single" w:sz="4" w:space="0" w:color="auto"/>
              <w:right w:val="single" w:sz="4" w:space="0" w:color="auto"/>
            </w:tcBorders>
            <w:vAlign w:val="center"/>
            <w:hideMark/>
          </w:tcPr>
          <w:p w14:paraId="7A900D3B" w14:textId="5B6774C8" w:rsidR="00DE241D" w:rsidRPr="0097258B" w:rsidRDefault="00C81EEE" w:rsidP="00F83414">
            <w:pPr>
              <w:spacing w:after="0" w:line="240" w:lineRule="auto"/>
              <w:rPr>
                <w:rFonts w:ascii="Times New Roman" w:hAnsi="Times New Roman"/>
                <w:sz w:val="20"/>
                <w:szCs w:val="20"/>
              </w:rPr>
            </w:pPr>
            <w:r w:rsidRPr="0097258B">
              <w:rPr>
                <w:rFonts w:ascii="Times New Roman" w:hAnsi="Times New Roman"/>
                <w:sz w:val="20"/>
                <w:szCs w:val="20"/>
              </w:rPr>
              <w:t>Accident de m</w:t>
            </w:r>
            <w:r w:rsidR="00DE241D" w:rsidRPr="0097258B">
              <w:rPr>
                <w:rFonts w:ascii="Times New Roman" w:hAnsi="Times New Roman"/>
                <w:sz w:val="20"/>
                <w:szCs w:val="20"/>
              </w:rPr>
              <w:t xml:space="preserve">anutentions </w:t>
            </w:r>
          </w:p>
        </w:tc>
        <w:tc>
          <w:tcPr>
            <w:tcW w:w="699" w:type="pct"/>
            <w:tcBorders>
              <w:top w:val="single" w:sz="4" w:space="0" w:color="auto"/>
              <w:left w:val="single" w:sz="4" w:space="0" w:color="auto"/>
              <w:bottom w:val="single" w:sz="4" w:space="0" w:color="auto"/>
              <w:right w:val="single" w:sz="4" w:space="0" w:color="auto"/>
            </w:tcBorders>
            <w:vAlign w:val="center"/>
            <w:hideMark/>
          </w:tcPr>
          <w:p w14:paraId="0358968F" w14:textId="77777777" w:rsidR="00DE241D" w:rsidRPr="0097258B" w:rsidRDefault="00DE241D" w:rsidP="00304699">
            <w:pPr>
              <w:spacing w:line="240" w:lineRule="auto"/>
              <w:jc w:val="center"/>
              <w:rPr>
                <w:rFonts w:ascii="Times New Roman" w:hAnsi="Times New Roman"/>
                <w:b/>
                <w:bCs/>
                <w:sz w:val="20"/>
                <w:szCs w:val="20"/>
              </w:rPr>
            </w:pPr>
            <w:r w:rsidRPr="0097258B">
              <w:rPr>
                <w:rFonts w:ascii="Times New Roman" w:hAnsi="Times New Roman"/>
                <w:b/>
                <w:bCs/>
                <w:sz w:val="20"/>
                <w:szCs w:val="20"/>
              </w:rPr>
              <w:t>1</w:t>
            </w:r>
          </w:p>
        </w:tc>
        <w:tc>
          <w:tcPr>
            <w:tcW w:w="543" w:type="pct"/>
            <w:gridSpan w:val="2"/>
            <w:tcBorders>
              <w:top w:val="single" w:sz="4" w:space="0" w:color="auto"/>
              <w:left w:val="single" w:sz="4" w:space="0" w:color="auto"/>
              <w:bottom w:val="single" w:sz="4" w:space="0" w:color="auto"/>
              <w:right w:val="single" w:sz="4" w:space="0" w:color="auto"/>
            </w:tcBorders>
            <w:vAlign w:val="center"/>
            <w:hideMark/>
          </w:tcPr>
          <w:p w14:paraId="7894A4D1" w14:textId="77777777" w:rsidR="00DE241D" w:rsidRPr="0097258B" w:rsidRDefault="00DE241D" w:rsidP="00304699">
            <w:pPr>
              <w:spacing w:line="240" w:lineRule="auto"/>
              <w:jc w:val="center"/>
              <w:rPr>
                <w:rFonts w:ascii="Times New Roman" w:hAnsi="Times New Roman"/>
                <w:b/>
                <w:bCs/>
                <w:sz w:val="20"/>
                <w:szCs w:val="20"/>
              </w:rPr>
            </w:pPr>
            <w:r w:rsidRPr="0097258B">
              <w:rPr>
                <w:rFonts w:ascii="Times New Roman" w:hAnsi="Times New Roman"/>
                <w:b/>
                <w:bCs/>
                <w:sz w:val="20"/>
                <w:szCs w:val="20"/>
              </w:rPr>
              <w:t>1</w:t>
            </w:r>
          </w:p>
        </w:tc>
        <w:tc>
          <w:tcPr>
            <w:tcW w:w="644" w:type="pct"/>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7983E0F4" w14:textId="77777777" w:rsidR="00DE241D" w:rsidRPr="0097258B" w:rsidRDefault="00DE241D" w:rsidP="00304699">
            <w:pPr>
              <w:spacing w:line="240" w:lineRule="auto"/>
              <w:jc w:val="center"/>
              <w:rPr>
                <w:rFonts w:ascii="Times New Roman" w:hAnsi="Times New Roman"/>
                <w:b/>
                <w:bCs/>
                <w:sz w:val="20"/>
                <w:szCs w:val="20"/>
              </w:rPr>
            </w:pPr>
            <w:r w:rsidRPr="0097258B">
              <w:rPr>
                <w:rFonts w:ascii="Times New Roman" w:hAnsi="Times New Roman"/>
                <w:b/>
                <w:bCs/>
                <w:sz w:val="20"/>
                <w:szCs w:val="20"/>
              </w:rPr>
              <w:t>11</w:t>
            </w:r>
          </w:p>
        </w:tc>
        <w:tc>
          <w:tcPr>
            <w:tcW w:w="999" w:type="pct"/>
            <w:tcBorders>
              <w:top w:val="single" w:sz="4" w:space="0" w:color="auto"/>
              <w:left w:val="single" w:sz="4" w:space="0" w:color="auto"/>
              <w:bottom w:val="single" w:sz="4" w:space="0" w:color="auto"/>
              <w:right w:val="single" w:sz="4" w:space="0" w:color="auto"/>
            </w:tcBorders>
            <w:vAlign w:val="center"/>
            <w:hideMark/>
          </w:tcPr>
          <w:p w14:paraId="5359FABC" w14:textId="2AF7FA51" w:rsidR="00DE241D" w:rsidRPr="0097258B" w:rsidRDefault="00450748" w:rsidP="00E20250">
            <w:pPr>
              <w:spacing w:line="240" w:lineRule="auto"/>
              <w:rPr>
                <w:rFonts w:ascii="Times New Roman" w:hAnsi="Times New Roman"/>
                <w:sz w:val="20"/>
                <w:szCs w:val="20"/>
              </w:rPr>
            </w:pPr>
            <w:r w:rsidRPr="0097258B">
              <w:rPr>
                <w:rFonts w:ascii="Times New Roman" w:hAnsi="Times New Roman"/>
                <w:sz w:val="20"/>
                <w:szCs w:val="20"/>
              </w:rPr>
              <w:t>Blessures</w:t>
            </w:r>
          </w:p>
        </w:tc>
      </w:tr>
    </w:tbl>
    <w:p w14:paraId="7EBF7479" w14:textId="77777777" w:rsidR="00DE241D" w:rsidRPr="00260790" w:rsidRDefault="00DE241D" w:rsidP="001748C6">
      <w:pPr>
        <w:pStyle w:val="Paragraphedeliste"/>
        <w:numPr>
          <w:ilvl w:val="0"/>
          <w:numId w:val="312"/>
        </w:numPr>
        <w:autoSpaceDE w:val="0"/>
        <w:autoSpaceDN w:val="0"/>
        <w:adjustRightInd w:val="0"/>
        <w:spacing w:after="0" w:line="240" w:lineRule="auto"/>
        <w:jc w:val="both"/>
        <w:rPr>
          <w:rFonts w:ascii="Times New Roman" w:hAnsi="Times New Roman"/>
          <w:b/>
          <w:bCs/>
          <w:i/>
          <w:color w:val="000000" w:themeColor="text1"/>
        </w:rPr>
      </w:pPr>
      <w:r w:rsidRPr="00260790">
        <w:rPr>
          <w:rFonts w:ascii="Times New Roman" w:hAnsi="Times New Roman"/>
          <w:b/>
          <w:bCs/>
          <w:i/>
          <w:color w:val="000000" w:themeColor="text1"/>
        </w:rPr>
        <w:t>RI-12. Risques d’effondrements/chutes d’objets</w:t>
      </w:r>
    </w:p>
    <w:p w14:paraId="11E43408" w14:textId="77777777" w:rsidR="00DE241D" w:rsidRPr="00260790" w:rsidRDefault="00DE241D" w:rsidP="00E20250">
      <w:pPr>
        <w:autoSpaceDE w:val="0"/>
        <w:autoSpaceDN w:val="0"/>
        <w:adjustRightInd w:val="0"/>
        <w:spacing w:line="240" w:lineRule="auto"/>
        <w:jc w:val="both"/>
        <w:rPr>
          <w:rFonts w:ascii="Times New Roman" w:hAnsi="Times New Roman"/>
          <w:color w:val="000000" w:themeColor="text1"/>
        </w:rPr>
      </w:pPr>
      <w:r w:rsidRPr="00260790">
        <w:rPr>
          <w:rFonts w:ascii="Times New Roman" w:hAnsi="Times New Roman"/>
          <w:color w:val="000000" w:themeColor="text1"/>
        </w:rPr>
        <w:t>Ce risque renvoie aux chutes d’objets (tuyauterie…) en cours de manutention ou empilés. Les conséquences peuvent être des dommages corporels ou même des pertes en vies humaines. Ci-dessous le résumé de l’analyse du risque.</w:t>
      </w:r>
    </w:p>
    <w:p w14:paraId="7AACC3EF" w14:textId="109BB5B2" w:rsidR="00DE241D" w:rsidRPr="00260790" w:rsidRDefault="00DE241D" w:rsidP="00E20250">
      <w:pPr>
        <w:pStyle w:val="Lgende"/>
        <w:spacing w:line="240" w:lineRule="auto"/>
        <w:rPr>
          <w:color w:val="000000" w:themeColor="text1"/>
          <w:sz w:val="22"/>
          <w:szCs w:val="22"/>
        </w:rPr>
      </w:pPr>
      <w:bookmarkStart w:id="627" w:name="_Toc207781885"/>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44</w:t>
      </w:r>
      <w:r w:rsidRPr="00260790">
        <w:rPr>
          <w:color w:val="000000" w:themeColor="text1"/>
          <w:sz w:val="22"/>
          <w:szCs w:val="22"/>
        </w:rPr>
        <w:fldChar w:fldCharType="end"/>
      </w:r>
      <w:r w:rsidRPr="00260790">
        <w:rPr>
          <w:color w:val="000000" w:themeColor="text1"/>
          <w:sz w:val="22"/>
          <w:szCs w:val="22"/>
        </w:rPr>
        <w:t> : résumé du risque d’effondrement et de chutes d’objets</w:t>
      </w:r>
      <w:bookmarkEnd w:id="6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595"/>
        <w:gridCol w:w="2513"/>
        <w:gridCol w:w="1277"/>
        <w:gridCol w:w="993"/>
        <w:gridCol w:w="993"/>
        <w:gridCol w:w="1689"/>
      </w:tblGrid>
      <w:tr w:rsidR="00BD1A2F" w:rsidRPr="00632C4D" w14:paraId="16603B3A" w14:textId="77777777" w:rsidTr="003A0E4A">
        <w:trPr>
          <w:cantSplit/>
        </w:trPr>
        <w:tc>
          <w:tcPr>
            <w:tcW w:w="5000" w:type="pct"/>
            <w:gridSpan w:val="6"/>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50E5AE65"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RI-12. Risques d’effondrements/chutes d’objets</w:t>
            </w:r>
          </w:p>
        </w:tc>
      </w:tr>
      <w:tr w:rsidR="00BD1A2F" w:rsidRPr="00632C4D" w14:paraId="400A9CF9" w14:textId="77777777" w:rsidTr="003A0E4A">
        <w:trPr>
          <w:cantSplit/>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hideMark/>
          </w:tcPr>
          <w:p w14:paraId="04CCCE15" w14:textId="77777777" w:rsidR="00DE241D" w:rsidRPr="0097258B" w:rsidRDefault="00DE241D" w:rsidP="00E20250">
            <w:pPr>
              <w:spacing w:line="240" w:lineRule="auto"/>
              <w:rPr>
                <w:rFonts w:ascii="Times New Roman" w:hAnsi="Times New Roman"/>
                <w:sz w:val="20"/>
                <w:szCs w:val="20"/>
              </w:rPr>
            </w:pPr>
            <w:r w:rsidRPr="0097258B">
              <w:rPr>
                <w:rFonts w:ascii="Times New Roman" w:hAnsi="Times New Roman"/>
                <w:sz w:val="20"/>
                <w:szCs w:val="20"/>
              </w:rPr>
              <w:t>Activités concernées : Manutention de charges ; stockage des matériaux et équipements</w:t>
            </w:r>
          </w:p>
        </w:tc>
      </w:tr>
      <w:tr w:rsidR="00BD1A2F" w:rsidRPr="00632C4D" w14:paraId="5C758FCD" w14:textId="77777777" w:rsidTr="003A0E4A">
        <w:trPr>
          <w:cantSplit/>
        </w:trPr>
        <w:tc>
          <w:tcPr>
            <w:tcW w:w="880" w:type="pct"/>
            <w:tcBorders>
              <w:top w:val="single" w:sz="4" w:space="0" w:color="auto"/>
              <w:left w:val="single" w:sz="4" w:space="0" w:color="auto"/>
              <w:bottom w:val="single" w:sz="4" w:space="0" w:color="auto"/>
              <w:right w:val="single" w:sz="4" w:space="0" w:color="auto"/>
            </w:tcBorders>
            <w:shd w:val="clear" w:color="auto" w:fill="FFFFFF"/>
          </w:tcPr>
          <w:p w14:paraId="7234CFC6" w14:textId="77777777" w:rsidR="00DE241D" w:rsidRPr="0097258B" w:rsidRDefault="00DE241D" w:rsidP="00E20250">
            <w:pPr>
              <w:spacing w:line="240" w:lineRule="auto"/>
              <w:rPr>
                <w:rFonts w:ascii="Times New Roman" w:hAnsi="Times New Roman"/>
                <w:sz w:val="20"/>
                <w:szCs w:val="20"/>
              </w:rPr>
            </w:pPr>
          </w:p>
        </w:tc>
        <w:tc>
          <w:tcPr>
            <w:tcW w:w="138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13DE88"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Risques initiaux</w:t>
            </w:r>
          </w:p>
        </w:tc>
        <w:tc>
          <w:tcPr>
            <w:tcW w:w="7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84CEE21"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Probabilité</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A586963"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Gravité</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CCFEF67"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Criticité</w:t>
            </w:r>
          </w:p>
        </w:tc>
        <w:tc>
          <w:tcPr>
            <w:tcW w:w="9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0202699"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Dommage initial</w:t>
            </w:r>
          </w:p>
        </w:tc>
      </w:tr>
      <w:tr w:rsidR="00BD1A2F" w:rsidRPr="00632C4D" w14:paraId="330956F2" w14:textId="77777777" w:rsidTr="003A0E4A">
        <w:tc>
          <w:tcPr>
            <w:tcW w:w="880" w:type="pct"/>
            <w:tcBorders>
              <w:top w:val="single" w:sz="4" w:space="0" w:color="auto"/>
              <w:left w:val="single" w:sz="4" w:space="0" w:color="auto"/>
              <w:bottom w:val="single" w:sz="4" w:space="0" w:color="auto"/>
              <w:right w:val="single" w:sz="4" w:space="0" w:color="auto"/>
            </w:tcBorders>
            <w:vAlign w:val="center"/>
            <w:hideMark/>
          </w:tcPr>
          <w:p w14:paraId="251A8B9C" w14:textId="77777777" w:rsidR="00DE241D" w:rsidRPr="0097258B" w:rsidRDefault="00DE241D" w:rsidP="00177E44">
            <w:pPr>
              <w:spacing w:line="240" w:lineRule="auto"/>
              <w:jc w:val="both"/>
              <w:rPr>
                <w:rFonts w:ascii="Times New Roman" w:hAnsi="Times New Roman"/>
                <w:iCs/>
                <w:sz w:val="20"/>
                <w:szCs w:val="20"/>
              </w:rPr>
            </w:pPr>
            <w:r w:rsidRPr="0097258B">
              <w:rPr>
                <w:rFonts w:ascii="Times New Roman" w:hAnsi="Times New Roman"/>
                <w:iCs/>
                <w:sz w:val="20"/>
                <w:szCs w:val="20"/>
              </w:rPr>
              <w:t xml:space="preserve">Avant prévention </w:t>
            </w:r>
          </w:p>
        </w:tc>
        <w:tc>
          <w:tcPr>
            <w:tcW w:w="1387" w:type="pct"/>
            <w:tcBorders>
              <w:top w:val="single" w:sz="4" w:space="0" w:color="auto"/>
              <w:left w:val="single" w:sz="4" w:space="0" w:color="auto"/>
              <w:bottom w:val="single" w:sz="4" w:space="0" w:color="auto"/>
              <w:right w:val="single" w:sz="4" w:space="0" w:color="auto"/>
            </w:tcBorders>
            <w:vAlign w:val="center"/>
            <w:hideMark/>
          </w:tcPr>
          <w:p w14:paraId="7DD2A731" w14:textId="57CE0DB2" w:rsidR="00DE241D" w:rsidRPr="0097258B" w:rsidRDefault="00450748" w:rsidP="00177E44">
            <w:pPr>
              <w:spacing w:after="0" w:line="240" w:lineRule="auto"/>
              <w:jc w:val="both"/>
              <w:rPr>
                <w:rFonts w:ascii="Times New Roman" w:hAnsi="Times New Roman"/>
                <w:sz w:val="20"/>
                <w:szCs w:val="20"/>
              </w:rPr>
            </w:pPr>
            <w:r w:rsidRPr="0097258B">
              <w:rPr>
                <w:rFonts w:ascii="Times New Roman" w:hAnsi="Times New Roman"/>
                <w:sz w:val="20"/>
                <w:szCs w:val="20"/>
              </w:rPr>
              <w:t xml:space="preserve">Risque d’effondrement et de chutes lié </w:t>
            </w:r>
            <w:r w:rsidR="00D71364" w:rsidRPr="0097258B">
              <w:rPr>
                <w:rFonts w:ascii="Times New Roman" w:hAnsi="Times New Roman"/>
                <w:sz w:val="20"/>
                <w:szCs w:val="20"/>
              </w:rPr>
              <w:t>à l’e</w:t>
            </w:r>
            <w:r w:rsidR="00DE241D" w:rsidRPr="0097258B">
              <w:rPr>
                <w:rFonts w:ascii="Times New Roman" w:hAnsi="Times New Roman"/>
                <w:sz w:val="20"/>
                <w:szCs w:val="20"/>
              </w:rPr>
              <w:t xml:space="preserve">mpilement </w:t>
            </w:r>
            <w:r w:rsidR="000E41EE" w:rsidRPr="0097258B">
              <w:rPr>
                <w:rFonts w:ascii="Times New Roman" w:hAnsi="Times New Roman"/>
                <w:sz w:val="20"/>
                <w:szCs w:val="20"/>
              </w:rPr>
              <w:t>d’objet</w:t>
            </w:r>
            <w:r w:rsidR="00DE241D" w:rsidRPr="0097258B">
              <w:rPr>
                <w:rFonts w:ascii="Times New Roman" w:hAnsi="Times New Roman"/>
                <w:sz w:val="20"/>
                <w:szCs w:val="20"/>
              </w:rPr>
              <w:t> sur de grandes hauteurs</w:t>
            </w:r>
            <w:r w:rsidR="00010551" w:rsidRPr="0097258B">
              <w:rPr>
                <w:rFonts w:ascii="Times New Roman" w:hAnsi="Times New Roman"/>
                <w:sz w:val="20"/>
                <w:szCs w:val="20"/>
              </w:rPr>
              <w:t>,</w:t>
            </w:r>
            <w:r w:rsidR="00DE241D" w:rsidRPr="0097258B">
              <w:rPr>
                <w:rFonts w:ascii="Times New Roman" w:hAnsi="Times New Roman"/>
                <w:sz w:val="20"/>
                <w:szCs w:val="20"/>
              </w:rPr>
              <w:t xml:space="preserve"> </w:t>
            </w:r>
            <w:r w:rsidR="00010551" w:rsidRPr="0097258B">
              <w:rPr>
                <w:rFonts w:ascii="Times New Roman" w:hAnsi="Times New Roman"/>
                <w:sz w:val="20"/>
                <w:szCs w:val="20"/>
              </w:rPr>
              <w:t>ou à l’u</w:t>
            </w:r>
            <w:r w:rsidR="00DE241D" w:rsidRPr="0097258B">
              <w:rPr>
                <w:rFonts w:ascii="Times New Roman" w:hAnsi="Times New Roman"/>
                <w:sz w:val="20"/>
                <w:szCs w:val="20"/>
              </w:rPr>
              <w:t>tilisation d’engins de manutention inadaptés ou défectueux</w:t>
            </w:r>
            <w:r w:rsidR="00010551" w:rsidRPr="0097258B">
              <w:rPr>
                <w:rFonts w:ascii="Times New Roman" w:hAnsi="Times New Roman"/>
                <w:sz w:val="20"/>
                <w:szCs w:val="20"/>
              </w:rPr>
              <w:t xml:space="preserve">, </w:t>
            </w:r>
            <w:r w:rsidR="00BC5A46" w:rsidRPr="0097258B">
              <w:rPr>
                <w:rFonts w:ascii="Times New Roman" w:hAnsi="Times New Roman"/>
                <w:sz w:val="20"/>
                <w:szCs w:val="20"/>
              </w:rPr>
              <w:t>ou un d</w:t>
            </w:r>
            <w:r w:rsidR="00DE241D" w:rsidRPr="0097258B">
              <w:rPr>
                <w:rFonts w:ascii="Times New Roman" w:hAnsi="Times New Roman"/>
                <w:sz w:val="20"/>
                <w:szCs w:val="20"/>
              </w:rPr>
              <w:t>éfaut de qualification des opérateurs d’engins ;</w:t>
            </w:r>
          </w:p>
          <w:p w14:paraId="15650002" w14:textId="16F05768" w:rsidR="00DE241D" w:rsidRPr="0097258B" w:rsidRDefault="00DE241D" w:rsidP="00177E44">
            <w:pPr>
              <w:spacing w:after="0" w:line="240" w:lineRule="auto"/>
              <w:jc w:val="both"/>
              <w:rPr>
                <w:rFonts w:ascii="Times New Roman" w:hAnsi="Times New Roman"/>
                <w:sz w:val="20"/>
                <w:szCs w:val="20"/>
              </w:rPr>
            </w:pPr>
          </w:p>
        </w:tc>
        <w:tc>
          <w:tcPr>
            <w:tcW w:w="705" w:type="pct"/>
            <w:tcBorders>
              <w:top w:val="single" w:sz="4" w:space="0" w:color="auto"/>
              <w:left w:val="single" w:sz="4" w:space="0" w:color="auto"/>
              <w:bottom w:val="single" w:sz="4" w:space="0" w:color="auto"/>
              <w:right w:val="single" w:sz="4" w:space="0" w:color="auto"/>
            </w:tcBorders>
            <w:vAlign w:val="center"/>
            <w:hideMark/>
          </w:tcPr>
          <w:p w14:paraId="5EBE1448" w14:textId="77777777" w:rsidR="00DE241D" w:rsidRPr="0097258B" w:rsidRDefault="00DE241D" w:rsidP="00177E44">
            <w:pPr>
              <w:spacing w:line="240" w:lineRule="auto"/>
              <w:jc w:val="center"/>
              <w:rPr>
                <w:rFonts w:ascii="Times New Roman" w:hAnsi="Times New Roman"/>
                <w:b/>
                <w:bCs/>
                <w:sz w:val="20"/>
                <w:szCs w:val="20"/>
              </w:rPr>
            </w:pPr>
            <w:r w:rsidRPr="0097258B">
              <w:rPr>
                <w:rFonts w:ascii="Times New Roman" w:hAnsi="Times New Roman"/>
                <w:b/>
                <w:bCs/>
                <w:sz w:val="20"/>
                <w:szCs w:val="20"/>
              </w:rPr>
              <w:t>2</w:t>
            </w:r>
          </w:p>
        </w:tc>
        <w:tc>
          <w:tcPr>
            <w:tcW w:w="548" w:type="pct"/>
            <w:tcBorders>
              <w:top w:val="single" w:sz="4" w:space="0" w:color="auto"/>
              <w:left w:val="single" w:sz="4" w:space="0" w:color="auto"/>
              <w:bottom w:val="single" w:sz="4" w:space="0" w:color="auto"/>
              <w:right w:val="single" w:sz="4" w:space="0" w:color="auto"/>
            </w:tcBorders>
            <w:vAlign w:val="center"/>
            <w:hideMark/>
          </w:tcPr>
          <w:p w14:paraId="3D1CF9E7" w14:textId="77777777" w:rsidR="00DE241D" w:rsidRPr="0097258B" w:rsidRDefault="00DE241D" w:rsidP="00177E44">
            <w:pPr>
              <w:spacing w:line="240" w:lineRule="auto"/>
              <w:jc w:val="center"/>
              <w:rPr>
                <w:rFonts w:ascii="Times New Roman" w:hAnsi="Times New Roman"/>
                <w:b/>
                <w:bCs/>
                <w:sz w:val="20"/>
                <w:szCs w:val="20"/>
              </w:rPr>
            </w:pPr>
            <w:r w:rsidRPr="0097258B">
              <w:rPr>
                <w:rFonts w:ascii="Times New Roman" w:hAnsi="Times New Roman"/>
                <w:b/>
                <w:bCs/>
                <w:sz w:val="20"/>
                <w:szCs w:val="20"/>
              </w:rPr>
              <w:t>3</w:t>
            </w:r>
          </w:p>
        </w:tc>
        <w:tc>
          <w:tcPr>
            <w:tcW w:w="548"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1BABF467" w14:textId="77777777" w:rsidR="00DE241D" w:rsidRPr="0097258B" w:rsidRDefault="00DE241D" w:rsidP="00177E44">
            <w:pPr>
              <w:spacing w:line="240" w:lineRule="auto"/>
              <w:jc w:val="center"/>
              <w:rPr>
                <w:rFonts w:ascii="Times New Roman" w:hAnsi="Times New Roman"/>
                <w:b/>
                <w:bCs/>
                <w:sz w:val="20"/>
                <w:szCs w:val="20"/>
              </w:rPr>
            </w:pPr>
            <w:r w:rsidRPr="0097258B">
              <w:rPr>
                <w:rFonts w:ascii="Times New Roman" w:hAnsi="Times New Roman"/>
                <w:b/>
                <w:bCs/>
                <w:sz w:val="20"/>
                <w:szCs w:val="20"/>
              </w:rPr>
              <w:t>32</w:t>
            </w:r>
          </w:p>
        </w:tc>
        <w:tc>
          <w:tcPr>
            <w:tcW w:w="932" w:type="pct"/>
            <w:tcBorders>
              <w:top w:val="single" w:sz="4" w:space="0" w:color="auto"/>
              <w:left w:val="single" w:sz="4" w:space="0" w:color="auto"/>
              <w:bottom w:val="single" w:sz="4" w:space="0" w:color="auto"/>
              <w:right w:val="single" w:sz="4" w:space="0" w:color="auto"/>
            </w:tcBorders>
            <w:vAlign w:val="center"/>
          </w:tcPr>
          <w:p w14:paraId="2ECBD2F5" w14:textId="77777777" w:rsidR="00DE241D" w:rsidRPr="0097258B" w:rsidRDefault="00DE241D" w:rsidP="00177E44">
            <w:pPr>
              <w:spacing w:line="240" w:lineRule="auto"/>
              <w:jc w:val="both"/>
              <w:rPr>
                <w:rFonts w:ascii="Times New Roman" w:hAnsi="Times New Roman"/>
                <w:sz w:val="20"/>
                <w:szCs w:val="20"/>
              </w:rPr>
            </w:pPr>
            <w:r w:rsidRPr="0097258B">
              <w:rPr>
                <w:rFonts w:ascii="Times New Roman" w:hAnsi="Times New Roman"/>
                <w:sz w:val="20"/>
                <w:szCs w:val="20"/>
              </w:rPr>
              <w:t>Dégâts matériels,</w:t>
            </w:r>
          </w:p>
          <w:p w14:paraId="5C68DC0A" w14:textId="77777777" w:rsidR="00DE241D" w:rsidRPr="0097258B" w:rsidRDefault="00DE241D" w:rsidP="00177E44">
            <w:pPr>
              <w:spacing w:line="240" w:lineRule="auto"/>
              <w:jc w:val="both"/>
              <w:rPr>
                <w:rFonts w:ascii="Times New Roman" w:hAnsi="Times New Roman"/>
                <w:sz w:val="20"/>
                <w:szCs w:val="20"/>
              </w:rPr>
            </w:pPr>
            <w:r w:rsidRPr="0097258B">
              <w:rPr>
                <w:rFonts w:ascii="Times New Roman" w:hAnsi="Times New Roman"/>
                <w:sz w:val="20"/>
                <w:szCs w:val="20"/>
              </w:rPr>
              <w:t>Dommages corporels ;</w:t>
            </w:r>
          </w:p>
          <w:p w14:paraId="3DCE6012" w14:textId="77777777" w:rsidR="00DE241D" w:rsidRPr="0097258B" w:rsidRDefault="00DE241D" w:rsidP="00177E44">
            <w:pPr>
              <w:spacing w:line="240" w:lineRule="auto"/>
              <w:jc w:val="both"/>
              <w:rPr>
                <w:rFonts w:ascii="Times New Roman" w:hAnsi="Times New Roman"/>
                <w:sz w:val="20"/>
                <w:szCs w:val="20"/>
              </w:rPr>
            </w:pPr>
            <w:r w:rsidRPr="0097258B">
              <w:rPr>
                <w:rFonts w:ascii="Times New Roman" w:hAnsi="Times New Roman"/>
                <w:sz w:val="20"/>
                <w:szCs w:val="20"/>
              </w:rPr>
              <w:t>Pertes en vies humaines ;</w:t>
            </w:r>
          </w:p>
          <w:p w14:paraId="43FF4510" w14:textId="26F4FE5D" w:rsidR="00DE241D" w:rsidRPr="0097258B" w:rsidRDefault="00DE241D" w:rsidP="00177E44">
            <w:pPr>
              <w:spacing w:line="240" w:lineRule="auto"/>
              <w:jc w:val="both"/>
              <w:rPr>
                <w:rFonts w:ascii="Times New Roman" w:hAnsi="Times New Roman"/>
                <w:sz w:val="20"/>
                <w:szCs w:val="20"/>
              </w:rPr>
            </w:pPr>
            <w:r w:rsidRPr="0097258B">
              <w:rPr>
                <w:rFonts w:ascii="Times New Roman" w:hAnsi="Times New Roman"/>
                <w:sz w:val="20"/>
                <w:szCs w:val="20"/>
              </w:rPr>
              <w:t>Arrêt des travaux ;</w:t>
            </w:r>
          </w:p>
        </w:tc>
      </w:tr>
      <w:tr w:rsidR="00BD1A2F" w:rsidRPr="00632C4D" w14:paraId="1AED8E08" w14:textId="77777777" w:rsidTr="003A0E4A">
        <w:tc>
          <w:tcPr>
            <w:tcW w:w="880" w:type="pct"/>
            <w:tcBorders>
              <w:top w:val="single" w:sz="4" w:space="0" w:color="auto"/>
              <w:left w:val="single" w:sz="4" w:space="0" w:color="auto"/>
              <w:bottom w:val="single" w:sz="4" w:space="0" w:color="auto"/>
              <w:right w:val="single" w:sz="4" w:space="0" w:color="auto"/>
            </w:tcBorders>
            <w:vAlign w:val="center"/>
            <w:hideMark/>
          </w:tcPr>
          <w:p w14:paraId="08595D7B" w14:textId="77777777" w:rsidR="00DE241D" w:rsidRPr="0097258B" w:rsidRDefault="00DE241D" w:rsidP="00177E44">
            <w:pPr>
              <w:spacing w:line="240" w:lineRule="auto"/>
              <w:jc w:val="both"/>
              <w:rPr>
                <w:rFonts w:ascii="Times New Roman" w:hAnsi="Times New Roman"/>
                <w:iCs/>
                <w:sz w:val="20"/>
                <w:szCs w:val="20"/>
              </w:rPr>
            </w:pPr>
            <w:r w:rsidRPr="0097258B">
              <w:rPr>
                <w:rFonts w:ascii="Times New Roman" w:hAnsi="Times New Roman"/>
                <w:iCs/>
                <w:sz w:val="20"/>
                <w:szCs w:val="20"/>
              </w:rPr>
              <w:t xml:space="preserve">Mesures de prévention </w:t>
            </w:r>
          </w:p>
        </w:tc>
        <w:tc>
          <w:tcPr>
            <w:tcW w:w="4120" w:type="pct"/>
            <w:gridSpan w:val="5"/>
            <w:tcBorders>
              <w:top w:val="single" w:sz="4" w:space="0" w:color="auto"/>
              <w:left w:val="single" w:sz="4" w:space="0" w:color="auto"/>
              <w:bottom w:val="single" w:sz="4" w:space="0" w:color="auto"/>
              <w:right w:val="single" w:sz="4" w:space="0" w:color="auto"/>
            </w:tcBorders>
            <w:vAlign w:val="center"/>
            <w:hideMark/>
          </w:tcPr>
          <w:p w14:paraId="6763E9CF" w14:textId="77777777" w:rsidR="00DE241D" w:rsidRPr="0097258B" w:rsidRDefault="00DE241D" w:rsidP="00177E44">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Sensibiliser les travailleurs aux risques de chutes/ effondrement d’objets ;</w:t>
            </w:r>
          </w:p>
          <w:p w14:paraId="7F0D97E4" w14:textId="77777777" w:rsidR="00DE241D" w:rsidRPr="0097258B" w:rsidRDefault="00DE241D" w:rsidP="00177E44">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Sécuriser et organiser les stockages (emplacements réservés, modes de stockage adaptés aux objets, largeur des allées compatibles avec les moyens de manutention utilisés) ;</w:t>
            </w:r>
          </w:p>
          <w:p w14:paraId="47890308" w14:textId="77777777" w:rsidR="00DE241D" w:rsidRPr="0097258B" w:rsidRDefault="00DE241D" w:rsidP="00177E44">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Faire faire les manutentions par des spécialistes ;</w:t>
            </w:r>
          </w:p>
          <w:p w14:paraId="6E4637D3" w14:textId="77777777" w:rsidR="00DE241D" w:rsidRPr="0097258B" w:rsidRDefault="00DE241D" w:rsidP="00177E44">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Utiliser des engins de manutention adaptés et les entretenir régulièrement ;</w:t>
            </w:r>
          </w:p>
          <w:p w14:paraId="16D88567" w14:textId="77777777" w:rsidR="00DE241D" w:rsidRPr="0097258B" w:rsidRDefault="00DE241D" w:rsidP="00177E44">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Limiter les hauteurs des piles ;</w:t>
            </w:r>
          </w:p>
          <w:p w14:paraId="0B827BB1" w14:textId="3410A9F2" w:rsidR="00DE241D" w:rsidRPr="0097258B" w:rsidRDefault="00E221B6" w:rsidP="00177E44">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É</w:t>
            </w:r>
            <w:r w:rsidR="00DE241D" w:rsidRPr="0097258B">
              <w:rPr>
                <w:rFonts w:ascii="Times New Roman" w:hAnsi="Times New Roman" w:cs="Times New Roman"/>
                <w:color w:val="000000" w:themeColor="text1"/>
                <w:sz w:val="20"/>
                <w:szCs w:val="20"/>
              </w:rPr>
              <w:t>viter les déplacements sous les charges en cours de manutention ;</w:t>
            </w:r>
          </w:p>
          <w:p w14:paraId="27CFDC6A" w14:textId="77777777" w:rsidR="00DE241D" w:rsidRPr="0097258B" w:rsidRDefault="00DE241D" w:rsidP="00177E44">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Baliser les aires de manutention ;</w:t>
            </w:r>
          </w:p>
          <w:p w14:paraId="6C47A14D" w14:textId="77777777" w:rsidR="00DE241D" w:rsidRPr="0097258B" w:rsidRDefault="00DE241D" w:rsidP="00177E44">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Bien arrimer les charges à déplacer ;</w:t>
            </w:r>
          </w:p>
          <w:p w14:paraId="1303FC2A" w14:textId="7E547723" w:rsidR="00DE241D" w:rsidRPr="0097258B" w:rsidRDefault="00E60FA9" w:rsidP="00177E44">
            <w:pPr>
              <w:pStyle w:val="Default"/>
              <w:widowControl w:val="0"/>
              <w:numPr>
                <w:ilvl w:val="0"/>
                <w:numId w:val="326"/>
              </w:numPr>
              <w:overflowPunct w:val="0"/>
              <w:ind w:right="57"/>
              <w:jc w:val="both"/>
              <w:textAlignment w:val="baseline"/>
              <w:rPr>
                <w:rFonts w:ascii="Times New Roman" w:hAnsi="Times New Roman" w:cs="Times New Roman"/>
                <w:sz w:val="20"/>
                <w:szCs w:val="20"/>
              </w:rPr>
            </w:pPr>
            <w:r w:rsidRPr="0097258B">
              <w:rPr>
                <w:rFonts w:ascii="Times New Roman" w:hAnsi="Times New Roman" w:cs="Times New Roman"/>
                <w:color w:val="000000" w:themeColor="text1"/>
                <w:sz w:val="20"/>
                <w:szCs w:val="20"/>
              </w:rPr>
              <w:t>É</w:t>
            </w:r>
            <w:r w:rsidR="00DE241D" w:rsidRPr="0097258B">
              <w:rPr>
                <w:rFonts w:ascii="Times New Roman" w:hAnsi="Times New Roman" w:cs="Times New Roman"/>
                <w:color w:val="000000" w:themeColor="text1"/>
                <w:sz w:val="20"/>
                <w:szCs w:val="20"/>
              </w:rPr>
              <w:t>laborer des procédures d’intervention d’urgence</w:t>
            </w:r>
          </w:p>
        </w:tc>
      </w:tr>
      <w:tr w:rsidR="00BD1A2F" w:rsidRPr="00632C4D" w14:paraId="3DEE4B72" w14:textId="77777777" w:rsidTr="003A0E4A">
        <w:trPr>
          <w:trHeight w:val="210"/>
        </w:trPr>
        <w:tc>
          <w:tcPr>
            <w:tcW w:w="880" w:type="pct"/>
            <w:vMerge w:val="restart"/>
            <w:tcBorders>
              <w:top w:val="single" w:sz="4" w:space="0" w:color="auto"/>
              <w:left w:val="single" w:sz="4" w:space="0" w:color="auto"/>
              <w:bottom w:val="single" w:sz="4" w:space="0" w:color="auto"/>
              <w:right w:val="single" w:sz="4" w:space="0" w:color="auto"/>
            </w:tcBorders>
            <w:vAlign w:val="center"/>
            <w:hideMark/>
          </w:tcPr>
          <w:p w14:paraId="266E9A48" w14:textId="77777777" w:rsidR="00DE241D" w:rsidRPr="0097258B" w:rsidRDefault="00DE241D" w:rsidP="00E20250">
            <w:pPr>
              <w:spacing w:line="240" w:lineRule="auto"/>
              <w:rPr>
                <w:rFonts w:ascii="Times New Roman" w:hAnsi="Times New Roman"/>
                <w:iCs/>
                <w:sz w:val="20"/>
                <w:szCs w:val="20"/>
              </w:rPr>
            </w:pPr>
            <w:r w:rsidRPr="0097258B">
              <w:rPr>
                <w:rFonts w:ascii="Times New Roman" w:hAnsi="Times New Roman"/>
                <w:iCs/>
                <w:sz w:val="20"/>
                <w:szCs w:val="20"/>
              </w:rPr>
              <w:t>Après prévention</w:t>
            </w:r>
          </w:p>
        </w:tc>
        <w:tc>
          <w:tcPr>
            <w:tcW w:w="1387" w:type="pct"/>
            <w:tcBorders>
              <w:top w:val="single" w:sz="4" w:space="0" w:color="auto"/>
              <w:left w:val="single" w:sz="4" w:space="0" w:color="auto"/>
              <w:bottom w:val="single" w:sz="4" w:space="0" w:color="auto"/>
              <w:right w:val="single" w:sz="4" w:space="0" w:color="auto"/>
            </w:tcBorders>
            <w:vAlign w:val="center"/>
            <w:hideMark/>
          </w:tcPr>
          <w:p w14:paraId="7C2179AB"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Risques résiduels</w:t>
            </w:r>
          </w:p>
        </w:tc>
        <w:tc>
          <w:tcPr>
            <w:tcW w:w="705" w:type="pct"/>
            <w:tcBorders>
              <w:top w:val="single" w:sz="4" w:space="0" w:color="auto"/>
              <w:left w:val="single" w:sz="4" w:space="0" w:color="auto"/>
              <w:bottom w:val="single" w:sz="4" w:space="0" w:color="auto"/>
              <w:right w:val="single" w:sz="4" w:space="0" w:color="auto"/>
            </w:tcBorders>
            <w:vAlign w:val="center"/>
            <w:hideMark/>
          </w:tcPr>
          <w:p w14:paraId="2B459A32"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Probabilité</w:t>
            </w:r>
          </w:p>
        </w:tc>
        <w:tc>
          <w:tcPr>
            <w:tcW w:w="548" w:type="pct"/>
            <w:tcBorders>
              <w:top w:val="single" w:sz="4" w:space="0" w:color="auto"/>
              <w:left w:val="single" w:sz="4" w:space="0" w:color="auto"/>
              <w:bottom w:val="single" w:sz="4" w:space="0" w:color="auto"/>
              <w:right w:val="single" w:sz="4" w:space="0" w:color="auto"/>
            </w:tcBorders>
            <w:vAlign w:val="center"/>
            <w:hideMark/>
          </w:tcPr>
          <w:p w14:paraId="28393A6B"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Gravité</w:t>
            </w:r>
          </w:p>
        </w:tc>
        <w:tc>
          <w:tcPr>
            <w:tcW w:w="548" w:type="pct"/>
            <w:tcBorders>
              <w:top w:val="single" w:sz="4" w:space="0" w:color="auto"/>
              <w:left w:val="single" w:sz="4" w:space="0" w:color="auto"/>
              <w:bottom w:val="single" w:sz="4" w:space="0" w:color="auto"/>
              <w:right w:val="single" w:sz="4" w:space="0" w:color="auto"/>
            </w:tcBorders>
            <w:vAlign w:val="center"/>
            <w:hideMark/>
          </w:tcPr>
          <w:p w14:paraId="3682F4F0"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Criticité</w:t>
            </w:r>
          </w:p>
        </w:tc>
        <w:tc>
          <w:tcPr>
            <w:tcW w:w="932" w:type="pct"/>
            <w:tcBorders>
              <w:top w:val="single" w:sz="4" w:space="0" w:color="auto"/>
              <w:left w:val="single" w:sz="4" w:space="0" w:color="auto"/>
              <w:bottom w:val="single" w:sz="4" w:space="0" w:color="auto"/>
              <w:right w:val="single" w:sz="4" w:space="0" w:color="auto"/>
            </w:tcBorders>
            <w:vAlign w:val="center"/>
            <w:hideMark/>
          </w:tcPr>
          <w:p w14:paraId="58FB5B66"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Dommage final</w:t>
            </w:r>
          </w:p>
        </w:tc>
      </w:tr>
      <w:tr w:rsidR="00BD1A2F" w:rsidRPr="00632C4D" w14:paraId="18830140" w14:textId="77777777" w:rsidTr="003A0E4A">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D123C3" w14:textId="77777777" w:rsidR="00DE241D" w:rsidRPr="0097258B" w:rsidRDefault="00DE241D" w:rsidP="00E20250">
            <w:pPr>
              <w:spacing w:line="240" w:lineRule="auto"/>
              <w:rPr>
                <w:rFonts w:ascii="Times New Roman" w:hAnsi="Times New Roman"/>
                <w:i/>
                <w:sz w:val="20"/>
                <w:szCs w:val="20"/>
              </w:rPr>
            </w:pPr>
          </w:p>
        </w:tc>
        <w:tc>
          <w:tcPr>
            <w:tcW w:w="1387" w:type="pct"/>
            <w:tcBorders>
              <w:top w:val="single" w:sz="4" w:space="0" w:color="auto"/>
              <w:left w:val="single" w:sz="4" w:space="0" w:color="auto"/>
              <w:bottom w:val="single" w:sz="4" w:space="0" w:color="auto"/>
              <w:right w:val="single" w:sz="4" w:space="0" w:color="auto"/>
            </w:tcBorders>
            <w:vAlign w:val="center"/>
            <w:hideMark/>
          </w:tcPr>
          <w:p w14:paraId="6755D764" w14:textId="1D560048" w:rsidR="00DE241D" w:rsidRPr="0097258B" w:rsidRDefault="008F6FD6" w:rsidP="00E20250">
            <w:pPr>
              <w:spacing w:line="240" w:lineRule="auto"/>
              <w:rPr>
                <w:rFonts w:ascii="Times New Roman" w:hAnsi="Times New Roman"/>
                <w:sz w:val="20"/>
                <w:szCs w:val="20"/>
              </w:rPr>
            </w:pPr>
            <w:r w:rsidRPr="0097258B">
              <w:rPr>
                <w:rFonts w:ascii="Times New Roman" w:hAnsi="Times New Roman"/>
                <w:sz w:val="20"/>
                <w:szCs w:val="20"/>
              </w:rPr>
              <w:t xml:space="preserve">Accidents </w:t>
            </w:r>
            <w:r w:rsidR="00DE241D" w:rsidRPr="0097258B">
              <w:rPr>
                <w:rFonts w:ascii="Times New Roman" w:hAnsi="Times New Roman"/>
                <w:sz w:val="20"/>
                <w:szCs w:val="20"/>
              </w:rPr>
              <w:t>opératoires</w:t>
            </w:r>
          </w:p>
        </w:tc>
        <w:tc>
          <w:tcPr>
            <w:tcW w:w="705" w:type="pct"/>
            <w:tcBorders>
              <w:top w:val="single" w:sz="4" w:space="0" w:color="auto"/>
              <w:left w:val="single" w:sz="4" w:space="0" w:color="auto"/>
              <w:bottom w:val="single" w:sz="4" w:space="0" w:color="auto"/>
              <w:right w:val="single" w:sz="4" w:space="0" w:color="auto"/>
            </w:tcBorders>
            <w:vAlign w:val="center"/>
            <w:hideMark/>
          </w:tcPr>
          <w:p w14:paraId="6334F25D" w14:textId="77777777" w:rsidR="00DE241D" w:rsidRPr="0097258B" w:rsidRDefault="00DE241D" w:rsidP="00304699">
            <w:pPr>
              <w:spacing w:line="240" w:lineRule="auto"/>
              <w:jc w:val="center"/>
              <w:rPr>
                <w:rFonts w:ascii="Times New Roman" w:hAnsi="Times New Roman"/>
                <w:b/>
                <w:bCs/>
                <w:sz w:val="20"/>
                <w:szCs w:val="20"/>
              </w:rPr>
            </w:pPr>
            <w:r w:rsidRPr="0097258B">
              <w:rPr>
                <w:rFonts w:ascii="Times New Roman" w:hAnsi="Times New Roman"/>
                <w:b/>
                <w:bCs/>
                <w:sz w:val="20"/>
                <w:szCs w:val="20"/>
              </w:rPr>
              <w:t>1</w:t>
            </w:r>
          </w:p>
        </w:tc>
        <w:tc>
          <w:tcPr>
            <w:tcW w:w="548" w:type="pct"/>
            <w:tcBorders>
              <w:top w:val="single" w:sz="4" w:space="0" w:color="auto"/>
              <w:left w:val="single" w:sz="4" w:space="0" w:color="auto"/>
              <w:bottom w:val="single" w:sz="4" w:space="0" w:color="auto"/>
              <w:right w:val="single" w:sz="4" w:space="0" w:color="auto"/>
            </w:tcBorders>
            <w:vAlign w:val="center"/>
            <w:hideMark/>
          </w:tcPr>
          <w:p w14:paraId="0142CE3A" w14:textId="77777777" w:rsidR="00DE241D" w:rsidRPr="0097258B" w:rsidRDefault="00DE241D" w:rsidP="00304699">
            <w:pPr>
              <w:spacing w:line="240" w:lineRule="auto"/>
              <w:jc w:val="center"/>
              <w:rPr>
                <w:rFonts w:ascii="Times New Roman" w:hAnsi="Times New Roman"/>
                <w:b/>
                <w:bCs/>
                <w:sz w:val="20"/>
                <w:szCs w:val="20"/>
              </w:rPr>
            </w:pPr>
            <w:r w:rsidRPr="0097258B">
              <w:rPr>
                <w:rFonts w:ascii="Times New Roman" w:hAnsi="Times New Roman"/>
                <w:b/>
                <w:bCs/>
                <w:sz w:val="20"/>
                <w:szCs w:val="20"/>
              </w:rPr>
              <w:t>2</w:t>
            </w:r>
          </w:p>
        </w:tc>
        <w:tc>
          <w:tcPr>
            <w:tcW w:w="548"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AEE44E2" w14:textId="77777777" w:rsidR="00DE241D" w:rsidRPr="0097258B" w:rsidRDefault="00DE241D" w:rsidP="00304699">
            <w:pPr>
              <w:spacing w:line="240" w:lineRule="auto"/>
              <w:jc w:val="center"/>
              <w:rPr>
                <w:rFonts w:ascii="Times New Roman" w:hAnsi="Times New Roman"/>
                <w:b/>
                <w:bCs/>
                <w:sz w:val="20"/>
                <w:szCs w:val="20"/>
              </w:rPr>
            </w:pPr>
            <w:r w:rsidRPr="0097258B">
              <w:rPr>
                <w:rFonts w:ascii="Times New Roman" w:hAnsi="Times New Roman"/>
                <w:b/>
                <w:bCs/>
                <w:sz w:val="20"/>
                <w:szCs w:val="20"/>
              </w:rPr>
              <w:t>21</w:t>
            </w:r>
          </w:p>
        </w:tc>
        <w:tc>
          <w:tcPr>
            <w:tcW w:w="932" w:type="pct"/>
            <w:tcBorders>
              <w:top w:val="single" w:sz="4" w:space="0" w:color="auto"/>
              <w:left w:val="single" w:sz="4" w:space="0" w:color="auto"/>
              <w:bottom w:val="single" w:sz="4" w:space="0" w:color="auto"/>
              <w:right w:val="single" w:sz="4" w:space="0" w:color="auto"/>
            </w:tcBorders>
            <w:vAlign w:val="center"/>
          </w:tcPr>
          <w:p w14:paraId="01E94544" w14:textId="77777777" w:rsidR="008179C0" w:rsidRPr="0097258B" w:rsidRDefault="008179C0" w:rsidP="00E20250">
            <w:pPr>
              <w:spacing w:line="240" w:lineRule="auto"/>
              <w:rPr>
                <w:rFonts w:ascii="Times New Roman" w:hAnsi="Times New Roman"/>
                <w:sz w:val="20"/>
                <w:szCs w:val="20"/>
              </w:rPr>
            </w:pPr>
            <w:r w:rsidRPr="0097258B">
              <w:rPr>
                <w:rFonts w:ascii="Times New Roman" w:hAnsi="Times New Roman"/>
                <w:sz w:val="20"/>
                <w:szCs w:val="20"/>
              </w:rPr>
              <w:t xml:space="preserve">Dommages corporels </w:t>
            </w:r>
          </w:p>
          <w:p w14:paraId="21D58CB0" w14:textId="2BF21A57" w:rsidR="00DE241D" w:rsidRPr="0097258B" w:rsidRDefault="00DE241D" w:rsidP="00E20250">
            <w:pPr>
              <w:spacing w:line="240" w:lineRule="auto"/>
              <w:rPr>
                <w:rFonts w:ascii="Times New Roman" w:hAnsi="Times New Roman"/>
                <w:sz w:val="20"/>
                <w:szCs w:val="20"/>
              </w:rPr>
            </w:pPr>
            <w:r w:rsidRPr="0097258B">
              <w:rPr>
                <w:rFonts w:ascii="Times New Roman" w:hAnsi="Times New Roman"/>
                <w:sz w:val="20"/>
                <w:szCs w:val="20"/>
              </w:rPr>
              <w:t>Arrêt de travail</w:t>
            </w:r>
          </w:p>
        </w:tc>
      </w:tr>
    </w:tbl>
    <w:p w14:paraId="74D3A866" w14:textId="77777777" w:rsidR="00DE241D" w:rsidRPr="00260790" w:rsidRDefault="00DE241D" w:rsidP="00304699">
      <w:pPr>
        <w:autoSpaceDE w:val="0"/>
        <w:autoSpaceDN w:val="0"/>
        <w:adjustRightInd w:val="0"/>
        <w:spacing w:after="0" w:line="240" w:lineRule="auto"/>
        <w:jc w:val="both"/>
        <w:rPr>
          <w:rFonts w:ascii="Times New Roman" w:hAnsi="Times New Roman"/>
          <w:color w:val="000000" w:themeColor="text1"/>
        </w:rPr>
      </w:pPr>
    </w:p>
    <w:p w14:paraId="76F03B13" w14:textId="77777777" w:rsidR="00DE241D" w:rsidRPr="00260790" w:rsidRDefault="00DE241D" w:rsidP="001748C6">
      <w:pPr>
        <w:pStyle w:val="Paragraphedeliste"/>
        <w:numPr>
          <w:ilvl w:val="0"/>
          <w:numId w:val="312"/>
        </w:numPr>
        <w:autoSpaceDE w:val="0"/>
        <w:autoSpaceDN w:val="0"/>
        <w:adjustRightInd w:val="0"/>
        <w:spacing w:after="0"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RI-13. Risque d’actes de vandalisme</w:t>
      </w:r>
    </w:p>
    <w:p w14:paraId="0D588402" w14:textId="7914966E" w:rsidR="00DE241D" w:rsidRPr="00260790" w:rsidRDefault="00DE241D" w:rsidP="00E20250">
      <w:pPr>
        <w:autoSpaceDE w:val="0"/>
        <w:autoSpaceDN w:val="0"/>
        <w:adjustRightInd w:val="0"/>
        <w:spacing w:line="240" w:lineRule="auto"/>
        <w:jc w:val="both"/>
        <w:rPr>
          <w:rFonts w:ascii="Times New Roman" w:hAnsi="Times New Roman"/>
          <w:bCs/>
          <w:iCs/>
          <w:color w:val="000000" w:themeColor="text1"/>
        </w:rPr>
      </w:pPr>
      <w:r w:rsidRPr="00260790">
        <w:rPr>
          <w:rFonts w:ascii="Times New Roman" w:hAnsi="Times New Roman"/>
          <w:bCs/>
          <w:iCs/>
          <w:color w:val="000000" w:themeColor="text1"/>
        </w:rPr>
        <w:t>Les actes de vandalisme sont monnaie courante sur les chantiers. Ils peuvent être perpétrés par des employés véreux (Vols, vente frauduleuse de carburant, d’EPI…), ou par des personnes étrangères au chantier. Ils peuvent cibler les biens de l’entreprise tout comme ceux des travailleurs.</w:t>
      </w:r>
    </w:p>
    <w:p w14:paraId="5FEC4F02" w14:textId="77777777" w:rsidR="00177E44" w:rsidRDefault="00DE241D" w:rsidP="00E20250">
      <w:pPr>
        <w:autoSpaceDE w:val="0"/>
        <w:autoSpaceDN w:val="0"/>
        <w:adjustRightInd w:val="0"/>
        <w:spacing w:line="240" w:lineRule="auto"/>
        <w:jc w:val="both"/>
        <w:rPr>
          <w:rFonts w:ascii="Times New Roman" w:hAnsi="Times New Roman"/>
          <w:bCs/>
          <w:iCs/>
          <w:color w:val="000000" w:themeColor="text1"/>
        </w:rPr>
      </w:pPr>
      <w:r w:rsidRPr="00260790">
        <w:rPr>
          <w:rFonts w:ascii="Times New Roman" w:hAnsi="Times New Roman"/>
          <w:bCs/>
          <w:iCs/>
          <w:color w:val="000000" w:themeColor="text1"/>
        </w:rPr>
        <w:t xml:space="preserve">La prévention du risque passera par la sécurisation du chantier au moyen d’une barrière efficace, le filtrage des entrées et le gardiennage des locaux. </w:t>
      </w:r>
    </w:p>
    <w:p w14:paraId="17CCEFB6" w14:textId="79FFA866" w:rsidR="00DE241D" w:rsidRPr="00260790" w:rsidRDefault="00DE241D" w:rsidP="00E20250">
      <w:pPr>
        <w:autoSpaceDE w:val="0"/>
        <w:autoSpaceDN w:val="0"/>
        <w:adjustRightInd w:val="0"/>
        <w:spacing w:line="240" w:lineRule="auto"/>
        <w:jc w:val="both"/>
        <w:rPr>
          <w:rFonts w:ascii="Times New Roman" w:hAnsi="Times New Roman"/>
          <w:bCs/>
          <w:iCs/>
          <w:color w:val="000000" w:themeColor="text1"/>
        </w:rPr>
      </w:pPr>
      <w:r w:rsidRPr="00260790">
        <w:rPr>
          <w:rFonts w:ascii="Times New Roman" w:hAnsi="Times New Roman"/>
          <w:bCs/>
          <w:iCs/>
          <w:color w:val="000000" w:themeColor="text1"/>
        </w:rPr>
        <w:t>Ci-dessous le résumé de l’analyse du risque.</w:t>
      </w:r>
    </w:p>
    <w:p w14:paraId="3455DC43" w14:textId="58E90FA2" w:rsidR="00DE241D" w:rsidRPr="00260790" w:rsidRDefault="00DE241D" w:rsidP="00E20250">
      <w:pPr>
        <w:pStyle w:val="Lgende"/>
        <w:spacing w:line="240" w:lineRule="auto"/>
        <w:rPr>
          <w:color w:val="000000" w:themeColor="text1"/>
          <w:sz w:val="22"/>
          <w:szCs w:val="22"/>
        </w:rPr>
      </w:pPr>
      <w:bookmarkStart w:id="628" w:name="_Toc207781886"/>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45</w:t>
      </w:r>
      <w:r w:rsidRPr="00260790">
        <w:rPr>
          <w:color w:val="000000" w:themeColor="text1"/>
          <w:sz w:val="22"/>
          <w:szCs w:val="22"/>
        </w:rPr>
        <w:fldChar w:fldCharType="end"/>
      </w:r>
      <w:r w:rsidRPr="00260790">
        <w:rPr>
          <w:color w:val="000000" w:themeColor="text1"/>
          <w:sz w:val="22"/>
          <w:szCs w:val="22"/>
        </w:rPr>
        <w:t> : résumé de l’évaluation du risque d’acte de vandalisme</w:t>
      </w:r>
      <w:bookmarkEnd w:id="6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596"/>
        <w:gridCol w:w="1799"/>
        <w:gridCol w:w="1276"/>
        <w:gridCol w:w="993"/>
        <w:gridCol w:w="993"/>
        <w:gridCol w:w="593"/>
        <w:gridCol w:w="1810"/>
      </w:tblGrid>
      <w:tr w:rsidR="00BD1A2F" w:rsidRPr="00632C4D" w14:paraId="77B61F02" w14:textId="77777777" w:rsidTr="003A0E4A">
        <w:trPr>
          <w:tblHeader/>
        </w:trPr>
        <w:tc>
          <w:tcPr>
            <w:tcW w:w="5000" w:type="pct"/>
            <w:gridSpan w:val="7"/>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5CEFD473"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RI-13. Risque d’actes de vandalisme</w:t>
            </w:r>
          </w:p>
        </w:tc>
      </w:tr>
      <w:tr w:rsidR="00BD1A2F" w:rsidRPr="00632C4D" w14:paraId="7B681834" w14:textId="77777777" w:rsidTr="003A0E4A">
        <w:trPr>
          <w:tblHeader/>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hideMark/>
          </w:tcPr>
          <w:p w14:paraId="20D08AC3" w14:textId="77777777" w:rsidR="00DE241D" w:rsidRPr="0097258B" w:rsidRDefault="00DE241D" w:rsidP="00E20250">
            <w:pPr>
              <w:spacing w:line="240" w:lineRule="auto"/>
              <w:rPr>
                <w:rFonts w:ascii="Times New Roman" w:hAnsi="Times New Roman"/>
                <w:sz w:val="20"/>
                <w:szCs w:val="20"/>
              </w:rPr>
            </w:pPr>
            <w:r w:rsidRPr="0097258B">
              <w:rPr>
                <w:rFonts w:ascii="Times New Roman" w:hAnsi="Times New Roman"/>
                <w:sz w:val="20"/>
                <w:szCs w:val="20"/>
              </w:rPr>
              <w:t>Activités concernées : Fonctionnement des bases de chantier</w:t>
            </w:r>
          </w:p>
        </w:tc>
      </w:tr>
      <w:tr w:rsidR="00BD1A2F" w:rsidRPr="00632C4D" w14:paraId="7C4608B6" w14:textId="77777777" w:rsidTr="003A0E4A">
        <w:trPr>
          <w:tblHeader/>
        </w:trPr>
        <w:tc>
          <w:tcPr>
            <w:tcW w:w="881" w:type="pct"/>
            <w:tcBorders>
              <w:top w:val="single" w:sz="4" w:space="0" w:color="auto"/>
              <w:left w:val="single" w:sz="4" w:space="0" w:color="auto"/>
              <w:bottom w:val="single" w:sz="4" w:space="0" w:color="auto"/>
              <w:right w:val="single" w:sz="4" w:space="0" w:color="auto"/>
            </w:tcBorders>
            <w:shd w:val="clear" w:color="auto" w:fill="FFFFFF"/>
          </w:tcPr>
          <w:p w14:paraId="63757A06" w14:textId="77777777" w:rsidR="00DE241D" w:rsidRPr="0097258B" w:rsidRDefault="00DE241D" w:rsidP="00E20250">
            <w:pPr>
              <w:spacing w:line="240" w:lineRule="auto"/>
              <w:rPr>
                <w:rFonts w:ascii="Times New Roman" w:hAnsi="Times New Roman"/>
                <w:sz w:val="20"/>
                <w:szCs w:val="20"/>
              </w:rPr>
            </w:pPr>
          </w:p>
        </w:tc>
        <w:tc>
          <w:tcPr>
            <w:tcW w:w="99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CD73131"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Risques initiaux</w:t>
            </w:r>
          </w:p>
        </w:tc>
        <w:tc>
          <w:tcPr>
            <w:tcW w:w="7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686E5B0"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Probabilité</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0267652"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Gravité</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95D20D"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Criticité</w:t>
            </w:r>
          </w:p>
        </w:tc>
        <w:tc>
          <w:tcPr>
            <w:tcW w:w="1326"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4A80148"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Dommage initial</w:t>
            </w:r>
          </w:p>
        </w:tc>
      </w:tr>
      <w:tr w:rsidR="00BD1A2F" w:rsidRPr="00632C4D" w14:paraId="36982B27" w14:textId="77777777" w:rsidTr="003A0E4A">
        <w:tc>
          <w:tcPr>
            <w:tcW w:w="881" w:type="pct"/>
            <w:tcBorders>
              <w:top w:val="single" w:sz="4" w:space="0" w:color="auto"/>
              <w:left w:val="single" w:sz="4" w:space="0" w:color="auto"/>
              <w:bottom w:val="single" w:sz="4" w:space="0" w:color="auto"/>
              <w:right w:val="single" w:sz="4" w:space="0" w:color="auto"/>
            </w:tcBorders>
            <w:vAlign w:val="center"/>
            <w:hideMark/>
          </w:tcPr>
          <w:p w14:paraId="25C91AFD" w14:textId="77777777" w:rsidR="00DE241D" w:rsidRPr="0097258B" w:rsidRDefault="00DE241D" w:rsidP="00E20250">
            <w:pPr>
              <w:spacing w:line="240" w:lineRule="auto"/>
              <w:rPr>
                <w:rFonts w:ascii="Times New Roman" w:hAnsi="Times New Roman"/>
                <w:sz w:val="20"/>
                <w:szCs w:val="20"/>
              </w:rPr>
            </w:pPr>
            <w:r w:rsidRPr="0097258B">
              <w:rPr>
                <w:rFonts w:ascii="Times New Roman" w:hAnsi="Times New Roman"/>
                <w:sz w:val="20"/>
                <w:szCs w:val="20"/>
              </w:rPr>
              <w:t xml:space="preserve">Avant prévention </w:t>
            </w:r>
          </w:p>
        </w:tc>
        <w:tc>
          <w:tcPr>
            <w:tcW w:w="993" w:type="pct"/>
            <w:tcBorders>
              <w:top w:val="single" w:sz="4" w:space="0" w:color="auto"/>
              <w:left w:val="single" w:sz="4" w:space="0" w:color="auto"/>
              <w:bottom w:val="single" w:sz="4" w:space="0" w:color="auto"/>
              <w:right w:val="single" w:sz="4" w:space="0" w:color="auto"/>
            </w:tcBorders>
            <w:vAlign w:val="center"/>
            <w:hideMark/>
          </w:tcPr>
          <w:p w14:paraId="2F1D32E7" w14:textId="2A84DA96" w:rsidR="00DE241D" w:rsidRPr="0097258B" w:rsidRDefault="000B4DE8" w:rsidP="00E20250">
            <w:pPr>
              <w:spacing w:line="240" w:lineRule="auto"/>
              <w:rPr>
                <w:rFonts w:ascii="Times New Roman" w:hAnsi="Times New Roman"/>
                <w:sz w:val="20"/>
                <w:szCs w:val="20"/>
              </w:rPr>
            </w:pPr>
            <w:proofErr w:type="gramStart"/>
            <w:r w:rsidRPr="0097258B">
              <w:rPr>
                <w:rFonts w:ascii="Times New Roman" w:hAnsi="Times New Roman"/>
                <w:sz w:val="20"/>
                <w:szCs w:val="20"/>
              </w:rPr>
              <w:t>Actes  de</w:t>
            </w:r>
            <w:proofErr w:type="gramEnd"/>
            <w:r w:rsidRPr="0097258B">
              <w:rPr>
                <w:rFonts w:ascii="Times New Roman" w:hAnsi="Times New Roman"/>
                <w:sz w:val="20"/>
                <w:szCs w:val="20"/>
              </w:rPr>
              <w:t xml:space="preserve"> vandalisme </w:t>
            </w:r>
            <w:r w:rsidR="00F364B7" w:rsidRPr="0097258B">
              <w:rPr>
                <w:rFonts w:ascii="Times New Roman" w:hAnsi="Times New Roman"/>
                <w:sz w:val="20"/>
                <w:szCs w:val="20"/>
              </w:rPr>
              <w:t xml:space="preserve">en cas </w:t>
            </w:r>
            <w:r w:rsidR="00F364B7" w:rsidRPr="0097258B">
              <w:rPr>
                <w:rFonts w:ascii="Times New Roman" w:hAnsi="Times New Roman"/>
                <w:sz w:val="20"/>
                <w:szCs w:val="20"/>
              </w:rPr>
              <w:lastRenderedPageBreak/>
              <w:t>de d</w:t>
            </w:r>
            <w:r w:rsidR="00DE241D" w:rsidRPr="0097258B">
              <w:rPr>
                <w:rFonts w:ascii="Times New Roman" w:hAnsi="Times New Roman"/>
                <w:sz w:val="20"/>
                <w:szCs w:val="20"/>
              </w:rPr>
              <w:t>éfaut de surveillance de la base chantier</w:t>
            </w:r>
          </w:p>
        </w:tc>
        <w:tc>
          <w:tcPr>
            <w:tcW w:w="704" w:type="pct"/>
            <w:tcBorders>
              <w:top w:val="single" w:sz="4" w:space="0" w:color="auto"/>
              <w:left w:val="single" w:sz="4" w:space="0" w:color="auto"/>
              <w:bottom w:val="single" w:sz="4" w:space="0" w:color="auto"/>
              <w:right w:val="single" w:sz="4" w:space="0" w:color="auto"/>
            </w:tcBorders>
            <w:vAlign w:val="center"/>
            <w:hideMark/>
          </w:tcPr>
          <w:p w14:paraId="0E369D57" w14:textId="77777777" w:rsidR="00DE241D" w:rsidRPr="0097258B" w:rsidRDefault="00DE241D" w:rsidP="00304699">
            <w:pPr>
              <w:spacing w:line="240" w:lineRule="auto"/>
              <w:jc w:val="center"/>
              <w:rPr>
                <w:rFonts w:ascii="Times New Roman" w:hAnsi="Times New Roman"/>
                <w:b/>
                <w:bCs/>
                <w:sz w:val="20"/>
                <w:szCs w:val="20"/>
              </w:rPr>
            </w:pPr>
            <w:r w:rsidRPr="0097258B">
              <w:rPr>
                <w:rFonts w:ascii="Times New Roman" w:hAnsi="Times New Roman"/>
                <w:b/>
                <w:bCs/>
                <w:sz w:val="20"/>
                <w:szCs w:val="20"/>
              </w:rPr>
              <w:lastRenderedPageBreak/>
              <w:t>2</w:t>
            </w:r>
          </w:p>
        </w:tc>
        <w:tc>
          <w:tcPr>
            <w:tcW w:w="548" w:type="pct"/>
            <w:tcBorders>
              <w:top w:val="single" w:sz="4" w:space="0" w:color="auto"/>
              <w:left w:val="single" w:sz="4" w:space="0" w:color="auto"/>
              <w:bottom w:val="single" w:sz="4" w:space="0" w:color="auto"/>
              <w:right w:val="single" w:sz="4" w:space="0" w:color="auto"/>
            </w:tcBorders>
            <w:vAlign w:val="center"/>
            <w:hideMark/>
          </w:tcPr>
          <w:p w14:paraId="603EC8C7" w14:textId="77777777" w:rsidR="00DE241D" w:rsidRPr="0097258B" w:rsidRDefault="00DE241D" w:rsidP="00304699">
            <w:pPr>
              <w:spacing w:line="240" w:lineRule="auto"/>
              <w:jc w:val="center"/>
              <w:rPr>
                <w:rFonts w:ascii="Times New Roman" w:hAnsi="Times New Roman"/>
                <w:b/>
                <w:bCs/>
                <w:sz w:val="20"/>
                <w:szCs w:val="20"/>
              </w:rPr>
            </w:pPr>
            <w:r w:rsidRPr="0097258B">
              <w:rPr>
                <w:rFonts w:ascii="Times New Roman" w:hAnsi="Times New Roman"/>
                <w:b/>
                <w:bCs/>
                <w:sz w:val="20"/>
                <w:szCs w:val="20"/>
              </w:rPr>
              <w:t>3</w:t>
            </w:r>
          </w:p>
        </w:tc>
        <w:tc>
          <w:tcPr>
            <w:tcW w:w="548"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63A960A5" w14:textId="77777777" w:rsidR="00DE241D" w:rsidRPr="0097258B" w:rsidRDefault="00DE241D" w:rsidP="00304699">
            <w:pPr>
              <w:spacing w:line="240" w:lineRule="auto"/>
              <w:jc w:val="center"/>
              <w:rPr>
                <w:rFonts w:ascii="Times New Roman" w:hAnsi="Times New Roman"/>
                <w:b/>
                <w:bCs/>
                <w:sz w:val="20"/>
                <w:szCs w:val="20"/>
              </w:rPr>
            </w:pPr>
            <w:r w:rsidRPr="0097258B">
              <w:rPr>
                <w:rFonts w:ascii="Times New Roman" w:hAnsi="Times New Roman"/>
                <w:b/>
                <w:bCs/>
                <w:sz w:val="20"/>
                <w:szCs w:val="20"/>
              </w:rPr>
              <w:t>32</w:t>
            </w:r>
          </w:p>
        </w:tc>
        <w:tc>
          <w:tcPr>
            <w:tcW w:w="1326" w:type="pct"/>
            <w:gridSpan w:val="2"/>
            <w:tcBorders>
              <w:top w:val="single" w:sz="4" w:space="0" w:color="auto"/>
              <w:left w:val="single" w:sz="4" w:space="0" w:color="auto"/>
              <w:bottom w:val="single" w:sz="4" w:space="0" w:color="auto"/>
              <w:right w:val="single" w:sz="4" w:space="0" w:color="auto"/>
            </w:tcBorders>
            <w:vAlign w:val="center"/>
            <w:hideMark/>
          </w:tcPr>
          <w:p w14:paraId="73ED786C" w14:textId="77777777" w:rsidR="00DE241D" w:rsidRPr="0097258B" w:rsidRDefault="00DE241D" w:rsidP="00F83414">
            <w:pPr>
              <w:spacing w:after="0" w:line="240" w:lineRule="auto"/>
              <w:rPr>
                <w:rFonts w:ascii="Times New Roman" w:hAnsi="Times New Roman"/>
                <w:sz w:val="20"/>
                <w:szCs w:val="20"/>
              </w:rPr>
            </w:pPr>
            <w:r w:rsidRPr="0097258B">
              <w:rPr>
                <w:rFonts w:ascii="Times New Roman" w:hAnsi="Times New Roman"/>
                <w:sz w:val="20"/>
                <w:szCs w:val="20"/>
              </w:rPr>
              <w:t>Dépassements de budget ;</w:t>
            </w:r>
          </w:p>
          <w:p w14:paraId="7831C94F" w14:textId="77777777" w:rsidR="00DE241D" w:rsidRPr="0097258B" w:rsidRDefault="00DE241D" w:rsidP="00F83414">
            <w:pPr>
              <w:spacing w:after="0" w:line="240" w:lineRule="auto"/>
              <w:rPr>
                <w:rFonts w:ascii="Times New Roman" w:hAnsi="Times New Roman"/>
                <w:sz w:val="20"/>
                <w:szCs w:val="20"/>
              </w:rPr>
            </w:pPr>
            <w:r w:rsidRPr="0097258B">
              <w:rPr>
                <w:rFonts w:ascii="Times New Roman" w:hAnsi="Times New Roman"/>
                <w:sz w:val="20"/>
                <w:szCs w:val="20"/>
              </w:rPr>
              <w:t>Pertes de biens privés ;</w:t>
            </w:r>
          </w:p>
          <w:p w14:paraId="2904C221" w14:textId="77777777" w:rsidR="00DE241D" w:rsidRPr="0097258B" w:rsidRDefault="00DE241D" w:rsidP="00F83414">
            <w:pPr>
              <w:spacing w:after="0" w:line="240" w:lineRule="auto"/>
              <w:rPr>
                <w:rFonts w:ascii="Times New Roman" w:hAnsi="Times New Roman"/>
                <w:sz w:val="20"/>
                <w:szCs w:val="20"/>
              </w:rPr>
            </w:pPr>
            <w:r w:rsidRPr="0097258B">
              <w:rPr>
                <w:rFonts w:ascii="Times New Roman" w:hAnsi="Times New Roman"/>
                <w:sz w:val="20"/>
                <w:szCs w:val="20"/>
              </w:rPr>
              <w:lastRenderedPageBreak/>
              <w:t>Altération du climat social ;</w:t>
            </w:r>
          </w:p>
        </w:tc>
      </w:tr>
      <w:tr w:rsidR="00BD1A2F" w:rsidRPr="00632C4D" w14:paraId="4B295B42" w14:textId="77777777" w:rsidTr="003A0E4A">
        <w:tc>
          <w:tcPr>
            <w:tcW w:w="881" w:type="pct"/>
            <w:tcBorders>
              <w:top w:val="single" w:sz="4" w:space="0" w:color="auto"/>
              <w:left w:val="single" w:sz="4" w:space="0" w:color="auto"/>
              <w:bottom w:val="single" w:sz="4" w:space="0" w:color="auto"/>
              <w:right w:val="single" w:sz="4" w:space="0" w:color="auto"/>
            </w:tcBorders>
            <w:vAlign w:val="center"/>
            <w:hideMark/>
          </w:tcPr>
          <w:p w14:paraId="06BC55BB" w14:textId="77777777" w:rsidR="00DE241D" w:rsidRPr="0097258B" w:rsidRDefault="00DE241D" w:rsidP="00E20250">
            <w:pPr>
              <w:spacing w:line="240" w:lineRule="auto"/>
              <w:rPr>
                <w:rFonts w:ascii="Times New Roman" w:hAnsi="Times New Roman"/>
                <w:sz w:val="20"/>
                <w:szCs w:val="20"/>
              </w:rPr>
            </w:pPr>
            <w:r w:rsidRPr="0097258B">
              <w:rPr>
                <w:rFonts w:ascii="Times New Roman" w:hAnsi="Times New Roman"/>
                <w:sz w:val="20"/>
                <w:szCs w:val="20"/>
              </w:rPr>
              <w:t xml:space="preserve">Mesures de prévention </w:t>
            </w:r>
          </w:p>
        </w:tc>
        <w:tc>
          <w:tcPr>
            <w:tcW w:w="4119" w:type="pct"/>
            <w:gridSpan w:val="6"/>
            <w:tcBorders>
              <w:top w:val="single" w:sz="4" w:space="0" w:color="auto"/>
              <w:left w:val="single" w:sz="4" w:space="0" w:color="auto"/>
              <w:bottom w:val="single" w:sz="4" w:space="0" w:color="auto"/>
              <w:right w:val="single" w:sz="4" w:space="0" w:color="auto"/>
            </w:tcBorders>
            <w:vAlign w:val="center"/>
            <w:hideMark/>
          </w:tcPr>
          <w:p w14:paraId="0231A341"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Clôturer la base pour en empêcher l’accès aux tiers ;</w:t>
            </w:r>
          </w:p>
          <w:p w14:paraId="4550B08E"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Recruter un gardien pour le filtrage des entrées et la surveillance des locaux ;</w:t>
            </w:r>
          </w:p>
          <w:p w14:paraId="43921D6A"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color w:val="000000" w:themeColor="text1"/>
                <w:sz w:val="20"/>
                <w:szCs w:val="20"/>
              </w:rPr>
            </w:pPr>
            <w:r w:rsidRPr="0097258B">
              <w:rPr>
                <w:rFonts w:ascii="Times New Roman" w:hAnsi="Times New Roman" w:cs="Times New Roman"/>
                <w:color w:val="000000" w:themeColor="text1"/>
                <w:sz w:val="20"/>
                <w:szCs w:val="20"/>
              </w:rPr>
              <w:t>Sensibiliser les travailleurs ;</w:t>
            </w:r>
          </w:p>
          <w:p w14:paraId="577F5694" w14:textId="77777777" w:rsidR="00DE241D" w:rsidRPr="0097258B" w:rsidRDefault="00DE241D" w:rsidP="001748C6">
            <w:pPr>
              <w:pStyle w:val="Default"/>
              <w:widowControl w:val="0"/>
              <w:numPr>
                <w:ilvl w:val="0"/>
                <w:numId w:val="326"/>
              </w:numPr>
              <w:overflowPunct w:val="0"/>
              <w:ind w:right="57"/>
              <w:jc w:val="both"/>
              <w:textAlignment w:val="baseline"/>
              <w:rPr>
                <w:rFonts w:ascii="Times New Roman" w:hAnsi="Times New Roman" w:cs="Times New Roman"/>
                <w:sz w:val="20"/>
                <w:szCs w:val="20"/>
              </w:rPr>
            </w:pPr>
            <w:r w:rsidRPr="0097258B">
              <w:rPr>
                <w:rFonts w:ascii="Times New Roman" w:hAnsi="Times New Roman" w:cs="Times New Roman"/>
                <w:color w:val="000000" w:themeColor="text1"/>
                <w:sz w:val="20"/>
                <w:szCs w:val="20"/>
              </w:rPr>
              <w:t>Prévoir des sanctions pour les auteurs d’actes de vandalisme</w:t>
            </w:r>
          </w:p>
        </w:tc>
      </w:tr>
      <w:tr w:rsidR="00BD1A2F" w:rsidRPr="00632C4D" w14:paraId="1DFFEEE6" w14:textId="77777777" w:rsidTr="003A0E4A">
        <w:trPr>
          <w:trHeight w:val="210"/>
        </w:trPr>
        <w:tc>
          <w:tcPr>
            <w:tcW w:w="881" w:type="pct"/>
            <w:vMerge w:val="restart"/>
            <w:tcBorders>
              <w:top w:val="single" w:sz="4" w:space="0" w:color="auto"/>
              <w:left w:val="single" w:sz="4" w:space="0" w:color="auto"/>
              <w:bottom w:val="single" w:sz="4" w:space="0" w:color="auto"/>
              <w:right w:val="single" w:sz="4" w:space="0" w:color="auto"/>
            </w:tcBorders>
            <w:vAlign w:val="center"/>
            <w:hideMark/>
          </w:tcPr>
          <w:p w14:paraId="0C9ED79C" w14:textId="77777777" w:rsidR="00DE241D" w:rsidRPr="0097258B" w:rsidRDefault="00DE241D" w:rsidP="00E20250">
            <w:pPr>
              <w:spacing w:line="240" w:lineRule="auto"/>
              <w:rPr>
                <w:rFonts w:ascii="Times New Roman" w:hAnsi="Times New Roman"/>
                <w:sz w:val="20"/>
                <w:szCs w:val="20"/>
              </w:rPr>
            </w:pPr>
            <w:r w:rsidRPr="0097258B">
              <w:rPr>
                <w:rFonts w:ascii="Times New Roman" w:hAnsi="Times New Roman"/>
                <w:sz w:val="20"/>
                <w:szCs w:val="20"/>
              </w:rPr>
              <w:t>Après prévention</w:t>
            </w:r>
          </w:p>
        </w:tc>
        <w:tc>
          <w:tcPr>
            <w:tcW w:w="993" w:type="pct"/>
            <w:tcBorders>
              <w:top w:val="single" w:sz="4" w:space="0" w:color="auto"/>
              <w:left w:val="single" w:sz="4" w:space="0" w:color="auto"/>
              <w:bottom w:val="single" w:sz="4" w:space="0" w:color="auto"/>
              <w:right w:val="single" w:sz="4" w:space="0" w:color="auto"/>
            </w:tcBorders>
            <w:vAlign w:val="center"/>
            <w:hideMark/>
          </w:tcPr>
          <w:p w14:paraId="44C22CFA"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Risques résiduels</w:t>
            </w:r>
          </w:p>
        </w:tc>
        <w:tc>
          <w:tcPr>
            <w:tcW w:w="704" w:type="pct"/>
            <w:tcBorders>
              <w:top w:val="single" w:sz="4" w:space="0" w:color="auto"/>
              <w:left w:val="single" w:sz="4" w:space="0" w:color="auto"/>
              <w:bottom w:val="single" w:sz="4" w:space="0" w:color="auto"/>
              <w:right w:val="single" w:sz="4" w:space="0" w:color="auto"/>
            </w:tcBorders>
            <w:vAlign w:val="center"/>
            <w:hideMark/>
          </w:tcPr>
          <w:p w14:paraId="68443A3A"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Probabilité</w:t>
            </w:r>
          </w:p>
        </w:tc>
        <w:tc>
          <w:tcPr>
            <w:tcW w:w="548" w:type="pct"/>
            <w:tcBorders>
              <w:top w:val="single" w:sz="4" w:space="0" w:color="auto"/>
              <w:left w:val="single" w:sz="4" w:space="0" w:color="auto"/>
              <w:bottom w:val="single" w:sz="4" w:space="0" w:color="auto"/>
              <w:right w:val="single" w:sz="4" w:space="0" w:color="auto"/>
            </w:tcBorders>
            <w:vAlign w:val="center"/>
            <w:hideMark/>
          </w:tcPr>
          <w:p w14:paraId="1C7AA0E2"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Gravité</w:t>
            </w:r>
          </w:p>
        </w:tc>
        <w:tc>
          <w:tcPr>
            <w:tcW w:w="875" w:type="pct"/>
            <w:gridSpan w:val="2"/>
            <w:tcBorders>
              <w:top w:val="single" w:sz="4" w:space="0" w:color="auto"/>
              <w:left w:val="single" w:sz="4" w:space="0" w:color="auto"/>
              <w:bottom w:val="single" w:sz="4" w:space="0" w:color="auto"/>
              <w:right w:val="single" w:sz="4" w:space="0" w:color="auto"/>
            </w:tcBorders>
            <w:vAlign w:val="center"/>
            <w:hideMark/>
          </w:tcPr>
          <w:p w14:paraId="277AC177"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Criticité</w:t>
            </w:r>
          </w:p>
        </w:tc>
        <w:tc>
          <w:tcPr>
            <w:tcW w:w="999" w:type="pct"/>
            <w:tcBorders>
              <w:top w:val="single" w:sz="4" w:space="0" w:color="auto"/>
              <w:left w:val="single" w:sz="4" w:space="0" w:color="auto"/>
              <w:bottom w:val="single" w:sz="4" w:space="0" w:color="auto"/>
              <w:right w:val="single" w:sz="4" w:space="0" w:color="auto"/>
            </w:tcBorders>
            <w:vAlign w:val="center"/>
            <w:hideMark/>
          </w:tcPr>
          <w:p w14:paraId="2B5CB106" w14:textId="77777777" w:rsidR="00DE241D" w:rsidRPr="0097258B" w:rsidRDefault="00DE241D" w:rsidP="00E20250">
            <w:pPr>
              <w:spacing w:line="240" w:lineRule="auto"/>
              <w:rPr>
                <w:rFonts w:ascii="Times New Roman" w:hAnsi="Times New Roman"/>
                <w:b/>
                <w:bCs/>
                <w:sz w:val="20"/>
                <w:szCs w:val="20"/>
              </w:rPr>
            </w:pPr>
            <w:r w:rsidRPr="0097258B">
              <w:rPr>
                <w:rFonts w:ascii="Times New Roman" w:hAnsi="Times New Roman"/>
                <w:b/>
                <w:bCs/>
                <w:sz w:val="20"/>
                <w:szCs w:val="20"/>
              </w:rPr>
              <w:t>Dommage final</w:t>
            </w:r>
          </w:p>
        </w:tc>
      </w:tr>
      <w:tr w:rsidR="00BD1A2F" w:rsidRPr="00632C4D" w14:paraId="4B791619" w14:textId="77777777" w:rsidTr="003A0E4A">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7CBE79" w14:textId="77777777" w:rsidR="00DE241D" w:rsidRPr="0097258B" w:rsidRDefault="00DE241D" w:rsidP="00E20250">
            <w:pPr>
              <w:spacing w:line="240" w:lineRule="auto"/>
              <w:rPr>
                <w:rFonts w:ascii="Times New Roman" w:hAnsi="Times New Roman"/>
                <w:sz w:val="20"/>
                <w:szCs w:val="20"/>
              </w:rPr>
            </w:pPr>
          </w:p>
        </w:tc>
        <w:tc>
          <w:tcPr>
            <w:tcW w:w="993" w:type="pct"/>
            <w:tcBorders>
              <w:top w:val="single" w:sz="4" w:space="0" w:color="auto"/>
              <w:left w:val="single" w:sz="4" w:space="0" w:color="auto"/>
              <w:bottom w:val="single" w:sz="4" w:space="0" w:color="auto"/>
              <w:right w:val="single" w:sz="4" w:space="0" w:color="auto"/>
            </w:tcBorders>
            <w:vAlign w:val="center"/>
            <w:hideMark/>
          </w:tcPr>
          <w:p w14:paraId="12A42EC2" w14:textId="45C27D1D" w:rsidR="00DE241D" w:rsidRPr="0097258B" w:rsidRDefault="00A60D7E" w:rsidP="00304699">
            <w:pPr>
              <w:spacing w:after="0" w:line="240" w:lineRule="auto"/>
              <w:rPr>
                <w:rFonts w:ascii="Times New Roman" w:hAnsi="Times New Roman"/>
                <w:sz w:val="20"/>
                <w:szCs w:val="20"/>
              </w:rPr>
            </w:pPr>
            <w:r w:rsidRPr="0097258B">
              <w:rPr>
                <w:rFonts w:ascii="Times New Roman" w:hAnsi="Times New Roman"/>
                <w:sz w:val="20"/>
                <w:szCs w:val="20"/>
              </w:rPr>
              <w:t>Sécurité des biens sur</w:t>
            </w:r>
            <w:r w:rsidR="00DE241D" w:rsidRPr="0097258B">
              <w:rPr>
                <w:rFonts w:ascii="Times New Roman" w:hAnsi="Times New Roman"/>
                <w:sz w:val="20"/>
                <w:szCs w:val="20"/>
              </w:rPr>
              <w:t xml:space="preserve"> la base de chantier</w:t>
            </w:r>
          </w:p>
        </w:tc>
        <w:tc>
          <w:tcPr>
            <w:tcW w:w="704" w:type="pct"/>
            <w:tcBorders>
              <w:top w:val="single" w:sz="4" w:space="0" w:color="auto"/>
              <w:left w:val="single" w:sz="4" w:space="0" w:color="auto"/>
              <w:bottom w:val="single" w:sz="4" w:space="0" w:color="auto"/>
              <w:right w:val="single" w:sz="4" w:space="0" w:color="auto"/>
            </w:tcBorders>
            <w:vAlign w:val="center"/>
            <w:hideMark/>
          </w:tcPr>
          <w:p w14:paraId="3FA27343" w14:textId="77777777" w:rsidR="00DE241D" w:rsidRPr="0097258B" w:rsidRDefault="00DE241D" w:rsidP="00304699">
            <w:pPr>
              <w:spacing w:line="240" w:lineRule="auto"/>
              <w:jc w:val="center"/>
              <w:rPr>
                <w:rFonts w:ascii="Times New Roman" w:hAnsi="Times New Roman"/>
                <w:b/>
                <w:bCs/>
                <w:sz w:val="20"/>
                <w:szCs w:val="20"/>
              </w:rPr>
            </w:pPr>
            <w:r w:rsidRPr="0097258B">
              <w:rPr>
                <w:rFonts w:ascii="Times New Roman" w:hAnsi="Times New Roman"/>
                <w:b/>
                <w:bCs/>
                <w:sz w:val="20"/>
                <w:szCs w:val="20"/>
              </w:rPr>
              <w:t>1</w:t>
            </w:r>
          </w:p>
        </w:tc>
        <w:tc>
          <w:tcPr>
            <w:tcW w:w="548" w:type="pct"/>
            <w:tcBorders>
              <w:top w:val="single" w:sz="4" w:space="0" w:color="auto"/>
              <w:left w:val="single" w:sz="4" w:space="0" w:color="auto"/>
              <w:bottom w:val="single" w:sz="4" w:space="0" w:color="auto"/>
              <w:right w:val="single" w:sz="4" w:space="0" w:color="auto"/>
            </w:tcBorders>
            <w:vAlign w:val="center"/>
            <w:hideMark/>
          </w:tcPr>
          <w:p w14:paraId="562CA050" w14:textId="77777777" w:rsidR="00DE241D" w:rsidRPr="0097258B" w:rsidRDefault="00DE241D" w:rsidP="00304699">
            <w:pPr>
              <w:spacing w:line="240" w:lineRule="auto"/>
              <w:jc w:val="center"/>
              <w:rPr>
                <w:rFonts w:ascii="Times New Roman" w:hAnsi="Times New Roman"/>
                <w:b/>
                <w:bCs/>
                <w:sz w:val="20"/>
                <w:szCs w:val="20"/>
              </w:rPr>
            </w:pPr>
            <w:r w:rsidRPr="0097258B">
              <w:rPr>
                <w:rFonts w:ascii="Times New Roman" w:hAnsi="Times New Roman"/>
                <w:b/>
                <w:bCs/>
                <w:sz w:val="20"/>
                <w:szCs w:val="20"/>
              </w:rPr>
              <w:t>2</w:t>
            </w:r>
          </w:p>
        </w:tc>
        <w:tc>
          <w:tcPr>
            <w:tcW w:w="875" w:type="pct"/>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090F0824" w14:textId="77777777" w:rsidR="00DE241D" w:rsidRPr="0097258B" w:rsidRDefault="00DE241D" w:rsidP="00304699">
            <w:pPr>
              <w:spacing w:line="240" w:lineRule="auto"/>
              <w:jc w:val="center"/>
              <w:rPr>
                <w:rFonts w:ascii="Times New Roman" w:hAnsi="Times New Roman"/>
                <w:b/>
                <w:bCs/>
                <w:sz w:val="20"/>
                <w:szCs w:val="20"/>
              </w:rPr>
            </w:pPr>
            <w:r w:rsidRPr="0097258B">
              <w:rPr>
                <w:rFonts w:ascii="Times New Roman" w:hAnsi="Times New Roman"/>
                <w:b/>
                <w:bCs/>
                <w:sz w:val="20"/>
                <w:szCs w:val="20"/>
              </w:rPr>
              <w:t>21</w:t>
            </w:r>
          </w:p>
        </w:tc>
        <w:tc>
          <w:tcPr>
            <w:tcW w:w="999" w:type="pct"/>
            <w:tcBorders>
              <w:top w:val="single" w:sz="4" w:space="0" w:color="auto"/>
              <w:left w:val="single" w:sz="4" w:space="0" w:color="auto"/>
              <w:bottom w:val="single" w:sz="4" w:space="0" w:color="auto"/>
              <w:right w:val="single" w:sz="4" w:space="0" w:color="auto"/>
            </w:tcBorders>
            <w:vAlign w:val="center"/>
          </w:tcPr>
          <w:p w14:paraId="20B7EFD9" w14:textId="5146AC75" w:rsidR="00DE241D" w:rsidRPr="0097258B" w:rsidRDefault="00A033DC" w:rsidP="00E20250">
            <w:pPr>
              <w:spacing w:line="240" w:lineRule="auto"/>
              <w:rPr>
                <w:rFonts w:ascii="Times New Roman" w:hAnsi="Times New Roman"/>
                <w:sz w:val="20"/>
                <w:szCs w:val="20"/>
              </w:rPr>
            </w:pPr>
            <w:r w:rsidRPr="0097258B">
              <w:rPr>
                <w:rFonts w:ascii="Times New Roman" w:hAnsi="Times New Roman"/>
                <w:sz w:val="20"/>
                <w:szCs w:val="20"/>
              </w:rPr>
              <w:t>Sécuri</w:t>
            </w:r>
            <w:r w:rsidR="007614C9" w:rsidRPr="0097258B">
              <w:rPr>
                <w:rFonts w:ascii="Times New Roman" w:hAnsi="Times New Roman"/>
                <w:sz w:val="20"/>
                <w:szCs w:val="20"/>
              </w:rPr>
              <w:t>sation</w:t>
            </w:r>
            <w:r w:rsidRPr="0097258B">
              <w:rPr>
                <w:rFonts w:ascii="Times New Roman" w:hAnsi="Times New Roman"/>
                <w:sz w:val="20"/>
                <w:szCs w:val="20"/>
              </w:rPr>
              <w:t xml:space="preserve"> du climat social</w:t>
            </w:r>
          </w:p>
        </w:tc>
      </w:tr>
    </w:tbl>
    <w:p w14:paraId="7F5194BF" w14:textId="77777777" w:rsidR="00DE241D" w:rsidRPr="00260790" w:rsidRDefault="00DE241D" w:rsidP="00F83414">
      <w:pPr>
        <w:spacing w:after="0" w:line="240" w:lineRule="auto"/>
        <w:rPr>
          <w:rFonts w:ascii="Times New Roman" w:hAnsi="Times New Roman"/>
          <w:i/>
          <w:iCs/>
          <w:color w:val="000000" w:themeColor="text1"/>
        </w:rPr>
      </w:pPr>
    </w:p>
    <w:p w14:paraId="77C45127" w14:textId="77777777" w:rsidR="00DE241D" w:rsidRPr="00260790" w:rsidRDefault="00DE241D" w:rsidP="00E20250">
      <w:pPr>
        <w:pStyle w:val="Paragraphedeliste"/>
        <w:numPr>
          <w:ilvl w:val="4"/>
          <w:numId w:val="0"/>
        </w:numPr>
        <w:spacing w:after="0" w:line="240" w:lineRule="auto"/>
        <w:ind w:left="1080" w:hanging="1080"/>
        <w:jc w:val="both"/>
        <w:rPr>
          <w:rFonts w:ascii="Times New Roman" w:hAnsi="Times New Roman"/>
          <w:b/>
          <w:bCs/>
          <w:color w:val="000000" w:themeColor="text1"/>
        </w:rPr>
      </w:pPr>
      <w:r w:rsidRPr="00260790">
        <w:rPr>
          <w:rFonts w:ascii="Times New Roman" w:hAnsi="Times New Roman"/>
          <w:b/>
          <w:bCs/>
          <w:color w:val="000000" w:themeColor="text1"/>
        </w:rPr>
        <w:t>Impacts négatifs et risques spécifiques à l’occupation et la libération des emprises</w:t>
      </w:r>
    </w:p>
    <w:p w14:paraId="416A496B" w14:textId="77777777" w:rsidR="00DE241D" w:rsidRPr="00260790" w:rsidRDefault="00DE241D" w:rsidP="001748C6">
      <w:pPr>
        <w:pStyle w:val="Normaltableau0"/>
        <w:numPr>
          <w:ilvl w:val="0"/>
          <w:numId w:val="300"/>
        </w:numPr>
        <w:rPr>
          <w:rFonts w:ascii="Times New Roman" w:hAnsi="Times New Roman"/>
          <w:i/>
          <w:iCs/>
          <w:color w:val="000000" w:themeColor="text1"/>
          <w:sz w:val="22"/>
          <w:szCs w:val="22"/>
          <w:u w:val="single"/>
        </w:rPr>
      </w:pPr>
      <w:r w:rsidRPr="00260790">
        <w:rPr>
          <w:rFonts w:ascii="Times New Roman" w:hAnsi="Times New Roman"/>
          <w:i/>
          <w:iCs/>
          <w:color w:val="000000" w:themeColor="text1"/>
          <w:sz w:val="22"/>
          <w:szCs w:val="22"/>
          <w:u w:val="single"/>
        </w:rPr>
        <w:t>Impacts négatifs et risques sur le milieu biologique</w:t>
      </w:r>
    </w:p>
    <w:p w14:paraId="073A5D6F" w14:textId="77777777" w:rsidR="00DE241D" w:rsidRPr="00260790" w:rsidRDefault="00DE241D" w:rsidP="001748C6">
      <w:pPr>
        <w:pStyle w:val="Paragraphedeliste"/>
        <w:numPr>
          <w:ilvl w:val="0"/>
          <w:numId w:val="301"/>
        </w:numPr>
        <w:spacing w:after="0" w:line="240" w:lineRule="auto"/>
        <w:rPr>
          <w:rFonts w:ascii="Times New Roman" w:hAnsi="Times New Roman"/>
          <w:b/>
          <w:bCs/>
          <w:i/>
          <w:iCs/>
          <w:color w:val="000000" w:themeColor="text1"/>
        </w:rPr>
      </w:pPr>
      <w:r w:rsidRPr="00260790">
        <w:rPr>
          <w:rFonts w:ascii="Times New Roman" w:hAnsi="Times New Roman"/>
          <w:b/>
          <w:bCs/>
          <w:i/>
          <w:iCs/>
          <w:color w:val="000000" w:themeColor="text1"/>
        </w:rPr>
        <w:t>IN-6. Destruction de la végétation</w:t>
      </w:r>
    </w:p>
    <w:p w14:paraId="651F234B" w14:textId="77777777" w:rsidR="00DE241D" w:rsidRPr="00260790" w:rsidRDefault="00DE241D" w:rsidP="00E20250">
      <w:pPr>
        <w:pStyle w:val="Normaltableau0"/>
        <w:jc w:val="both"/>
        <w:rPr>
          <w:rFonts w:ascii="Times New Roman" w:hAnsi="Times New Roman"/>
          <w:color w:val="000000" w:themeColor="text1"/>
          <w:sz w:val="22"/>
          <w:szCs w:val="22"/>
        </w:rPr>
      </w:pPr>
      <w:r w:rsidRPr="00260790">
        <w:rPr>
          <w:rFonts w:ascii="Times New Roman" w:hAnsi="Times New Roman"/>
          <w:color w:val="000000" w:themeColor="text1"/>
          <w:sz w:val="22"/>
          <w:szCs w:val="22"/>
        </w:rPr>
        <w:t>La flore n’est pas un enjeu majeur dans le cadre du projet. Les espèces susceptibles d’être affectées par le projet sont les suivantes.</w:t>
      </w:r>
    </w:p>
    <w:p w14:paraId="7699E862" w14:textId="4FBD3ACC" w:rsidR="00DE241D" w:rsidRPr="00260790" w:rsidRDefault="00DE241D" w:rsidP="00E20250">
      <w:pPr>
        <w:pStyle w:val="Lgende"/>
        <w:spacing w:line="240" w:lineRule="auto"/>
        <w:rPr>
          <w:b/>
          <w:color w:val="000000" w:themeColor="text1"/>
          <w:sz w:val="22"/>
          <w:szCs w:val="22"/>
        </w:rPr>
      </w:pPr>
      <w:bookmarkStart w:id="629" w:name="_Toc207781887"/>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46</w:t>
      </w:r>
      <w:r w:rsidRPr="00260790">
        <w:rPr>
          <w:color w:val="000000" w:themeColor="text1"/>
          <w:sz w:val="22"/>
          <w:szCs w:val="22"/>
        </w:rPr>
        <w:fldChar w:fldCharType="end"/>
      </w:r>
      <w:r w:rsidRPr="00260790">
        <w:rPr>
          <w:color w:val="000000" w:themeColor="text1"/>
          <w:sz w:val="22"/>
          <w:szCs w:val="22"/>
        </w:rPr>
        <w:t> : Espèces végétales susceptibles d’être affectées par le projet.</w:t>
      </w:r>
      <w:bookmarkEnd w:id="629"/>
    </w:p>
    <w:tbl>
      <w:tblPr>
        <w:tblStyle w:val="Grilledutableau"/>
        <w:tblW w:w="5000" w:type="pct"/>
        <w:tblLook w:val="04A0" w:firstRow="1" w:lastRow="0" w:firstColumn="1" w:lastColumn="0" w:noHBand="0" w:noVBand="1"/>
      </w:tblPr>
      <w:tblGrid>
        <w:gridCol w:w="2198"/>
        <w:gridCol w:w="6862"/>
      </w:tblGrid>
      <w:tr w:rsidR="00BD1A2F" w:rsidRPr="00632C4D" w14:paraId="39F64912" w14:textId="77777777" w:rsidTr="003A0E4A">
        <w:tc>
          <w:tcPr>
            <w:tcW w:w="1213" w:type="pct"/>
          </w:tcPr>
          <w:p w14:paraId="0974E646" w14:textId="77777777" w:rsidR="00DE241D" w:rsidRPr="0097258B" w:rsidRDefault="00DE241D" w:rsidP="00E20250">
            <w:pPr>
              <w:spacing w:line="240" w:lineRule="auto"/>
              <w:jc w:val="center"/>
              <w:rPr>
                <w:rFonts w:ascii="Times New Roman" w:hAnsi="Times New Roman"/>
                <w:b/>
                <w:bCs/>
                <w:color w:val="000000" w:themeColor="text1"/>
                <w:lang w:val="fr-FR"/>
              </w:rPr>
            </w:pPr>
            <w:proofErr w:type="spellStart"/>
            <w:r w:rsidRPr="00632C4D">
              <w:rPr>
                <w:rFonts w:ascii="Times New Roman" w:hAnsi="Times New Roman"/>
                <w:b/>
                <w:bCs/>
                <w:color w:val="000000" w:themeColor="text1"/>
              </w:rPr>
              <w:t>Ouvrages</w:t>
            </w:r>
            <w:proofErr w:type="spellEnd"/>
            <w:r w:rsidRPr="00632C4D">
              <w:rPr>
                <w:rFonts w:ascii="Times New Roman" w:hAnsi="Times New Roman"/>
                <w:b/>
                <w:bCs/>
                <w:color w:val="000000" w:themeColor="text1"/>
              </w:rPr>
              <w:t xml:space="preserve"> </w:t>
            </w:r>
            <w:proofErr w:type="spellStart"/>
            <w:r w:rsidRPr="00632C4D">
              <w:rPr>
                <w:rFonts w:ascii="Times New Roman" w:hAnsi="Times New Roman"/>
                <w:b/>
                <w:bCs/>
                <w:color w:val="000000" w:themeColor="text1"/>
              </w:rPr>
              <w:t>projetés</w:t>
            </w:r>
            <w:proofErr w:type="spellEnd"/>
          </w:p>
        </w:tc>
        <w:tc>
          <w:tcPr>
            <w:tcW w:w="3787" w:type="pct"/>
          </w:tcPr>
          <w:p w14:paraId="64B2C9D8" w14:textId="77777777" w:rsidR="00DE241D" w:rsidRPr="0097258B" w:rsidRDefault="00DE241D" w:rsidP="00E20250">
            <w:pPr>
              <w:spacing w:line="240" w:lineRule="auto"/>
              <w:jc w:val="center"/>
              <w:rPr>
                <w:rFonts w:ascii="Times New Roman" w:hAnsi="Times New Roman"/>
                <w:b/>
                <w:bCs/>
                <w:color w:val="000000" w:themeColor="text1"/>
                <w:lang w:val="fr-FR"/>
              </w:rPr>
            </w:pPr>
            <w:r w:rsidRPr="00632C4D">
              <w:rPr>
                <w:rFonts w:ascii="Times New Roman" w:hAnsi="Times New Roman"/>
                <w:b/>
                <w:bCs/>
                <w:color w:val="000000" w:themeColor="text1"/>
              </w:rPr>
              <w:t>Flore</w:t>
            </w:r>
          </w:p>
        </w:tc>
      </w:tr>
      <w:tr w:rsidR="00BD1A2F" w:rsidRPr="00632C4D" w14:paraId="4F0B3A20" w14:textId="77777777" w:rsidTr="003A0E4A">
        <w:tc>
          <w:tcPr>
            <w:tcW w:w="1213" w:type="pct"/>
          </w:tcPr>
          <w:p w14:paraId="385E1D11" w14:textId="77777777" w:rsidR="00DE241D" w:rsidRPr="0097258B" w:rsidRDefault="00DE241D" w:rsidP="00E20250">
            <w:pPr>
              <w:spacing w:line="240" w:lineRule="auto"/>
              <w:rPr>
                <w:rFonts w:ascii="Times New Roman" w:hAnsi="Times New Roman"/>
                <w:color w:val="000000" w:themeColor="text1"/>
                <w:lang w:val="fr-FR"/>
              </w:rPr>
            </w:pPr>
          </w:p>
          <w:p w14:paraId="0D8DF3BD" w14:textId="77777777" w:rsidR="00DE241D" w:rsidRPr="0097258B" w:rsidRDefault="00DE241D" w:rsidP="00E20250">
            <w:pPr>
              <w:spacing w:line="240" w:lineRule="auto"/>
              <w:rPr>
                <w:rFonts w:ascii="Times New Roman" w:hAnsi="Times New Roman"/>
                <w:color w:val="000000" w:themeColor="text1"/>
                <w:lang w:val="fr-FR"/>
              </w:rPr>
            </w:pPr>
            <w:r w:rsidRPr="00632C4D">
              <w:rPr>
                <w:rFonts w:ascii="Times New Roman" w:hAnsi="Times New Roman"/>
                <w:color w:val="000000" w:themeColor="text1"/>
              </w:rPr>
              <w:t>BR_NC 10 </w:t>
            </w:r>
          </w:p>
        </w:tc>
        <w:tc>
          <w:tcPr>
            <w:tcW w:w="3787" w:type="pct"/>
          </w:tcPr>
          <w:p w14:paraId="19CC55FB" w14:textId="77777777" w:rsidR="00DE241D" w:rsidRPr="0097258B" w:rsidRDefault="00DE241D" w:rsidP="00177E44">
            <w:pPr>
              <w:spacing w:line="240" w:lineRule="auto"/>
              <w:jc w:val="both"/>
              <w:rPr>
                <w:rFonts w:ascii="Times New Roman" w:hAnsi="Times New Roman"/>
                <w:color w:val="000000" w:themeColor="text1"/>
                <w:lang w:val="fr-FR"/>
              </w:rPr>
            </w:pPr>
            <w:r w:rsidRPr="00301AF6">
              <w:rPr>
                <w:rFonts w:ascii="Times New Roman" w:hAnsi="Times New Roman"/>
                <w:color w:val="000000" w:themeColor="text1"/>
                <w:lang w:val="fr-FR"/>
              </w:rPr>
              <w:t xml:space="preserve">Peuplement de </w:t>
            </w:r>
            <w:r w:rsidRPr="00301AF6">
              <w:rPr>
                <w:rFonts w:ascii="Times New Roman" w:hAnsi="Times New Roman"/>
                <w:i/>
                <w:iCs/>
                <w:color w:val="000000" w:themeColor="text1"/>
                <w:lang w:val="fr-FR"/>
              </w:rPr>
              <w:t>Typha australis</w:t>
            </w:r>
            <w:r w:rsidRPr="00301AF6">
              <w:rPr>
                <w:rFonts w:ascii="Times New Roman" w:hAnsi="Times New Roman"/>
                <w:color w:val="000000" w:themeColor="text1"/>
                <w:lang w:val="fr-FR"/>
              </w:rPr>
              <w:t xml:space="preserve">, 17 corossoliers, 1 </w:t>
            </w:r>
            <w:r w:rsidRPr="00301AF6">
              <w:rPr>
                <w:rFonts w:ascii="Times New Roman" w:hAnsi="Times New Roman"/>
                <w:i/>
                <w:iCs/>
                <w:color w:val="000000" w:themeColor="text1"/>
                <w:lang w:val="fr-FR"/>
              </w:rPr>
              <w:t xml:space="preserve">Ziziphus </w:t>
            </w:r>
            <w:proofErr w:type="spellStart"/>
            <w:r w:rsidRPr="00301AF6">
              <w:rPr>
                <w:rFonts w:ascii="Times New Roman" w:hAnsi="Times New Roman"/>
                <w:i/>
                <w:iCs/>
                <w:color w:val="000000" w:themeColor="text1"/>
                <w:lang w:val="fr-FR"/>
              </w:rPr>
              <w:t>mauritiana</w:t>
            </w:r>
            <w:proofErr w:type="spellEnd"/>
            <w:r w:rsidRPr="00301AF6">
              <w:rPr>
                <w:rFonts w:ascii="Times New Roman" w:hAnsi="Times New Roman"/>
                <w:i/>
                <w:iCs/>
                <w:color w:val="000000" w:themeColor="text1"/>
                <w:lang w:val="fr-FR"/>
              </w:rPr>
              <w:t>,</w:t>
            </w:r>
            <w:r w:rsidRPr="00301AF6">
              <w:rPr>
                <w:rFonts w:ascii="Times New Roman" w:hAnsi="Times New Roman"/>
                <w:color w:val="000000" w:themeColor="text1"/>
                <w:lang w:val="fr-FR"/>
              </w:rPr>
              <w:t xml:space="preserve"> 6 </w:t>
            </w:r>
            <w:r w:rsidRPr="00301AF6">
              <w:rPr>
                <w:rFonts w:ascii="Times New Roman" w:hAnsi="Times New Roman"/>
                <w:i/>
                <w:iCs/>
                <w:color w:val="000000" w:themeColor="text1"/>
                <w:lang w:val="fr-FR"/>
              </w:rPr>
              <w:t xml:space="preserve">Citrus </w:t>
            </w:r>
            <w:proofErr w:type="spellStart"/>
            <w:r w:rsidRPr="00301AF6">
              <w:rPr>
                <w:rFonts w:ascii="Times New Roman" w:hAnsi="Times New Roman"/>
                <w:i/>
                <w:iCs/>
                <w:color w:val="000000" w:themeColor="text1"/>
                <w:lang w:val="fr-FR"/>
              </w:rPr>
              <w:t>sp</w:t>
            </w:r>
            <w:proofErr w:type="spellEnd"/>
            <w:r w:rsidRPr="00301AF6">
              <w:rPr>
                <w:rFonts w:ascii="Times New Roman" w:hAnsi="Times New Roman"/>
                <w:color w:val="000000" w:themeColor="text1"/>
                <w:lang w:val="fr-FR"/>
              </w:rPr>
              <w:t xml:space="preserve">., 7 </w:t>
            </w:r>
            <w:r w:rsidRPr="00301AF6">
              <w:rPr>
                <w:rFonts w:ascii="Times New Roman" w:hAnsi="Times New Roman"/>
                <w:i/>
                <w:iCs/>
                <w:color w:val="000000" w:themeColor="text1"/>
                <w:lang w:val="fr-FR"/>
              </w:rPr>
              <w:t xml:space="preserve">Cocos </w:t>
            </w:r>
            <w:proofErr w:type="spellStart"/>
            <w:r w:rsidRPr="00301AF6">
              <w:rPr>
                <w:rFonts w:ascii="Times New Roman" w:hAnsi="Times New Roman"/>
                <w:i/>
                <w:iCs/>
                <w:color w:val="000000" w:themeColor="text1"/>
                <w:lang w:val="fr-FR"/>
              </w:rPr>
              <w:t>nucifera</w:t>
            </w:r>
            <w:proofErr w:type="spellEnd"/>
            <w:r w:rsidRPr="00301AF6">
              <w:rPr>
                <w:rFonts w:ascii="Times New Roman" w:hAnsi="Times New Roman"/>
                <w:i/>
                <w:iCs/>
                <w:color w:val="000000" w:themeColor="text1"/>
                <w:lang w:val="fr-FR"/>
              </w:rPr>
              <w:t xml:space="preserve">, 2 Phoenix </w:t>
            </w:r>
            <w:proofErr w:type="spellStart"/>
            <w:r w:rsidRPr="00301AF6">
              <w:rPr>
                <w:rFonts w:ascii="Times New Roman" w:hAnsi="Times New Roman"/>
                <w:i/>
                <w:iCs/>
                <w:color w:val="000000" w:themeColor="text1"/>
                <w:lang w:val="fr-FR"/>
              </w:rPr>
              <w:t>dactylifera</w:t>
            </w:r>
            <w:proofErr w:type="spellEnd"/>
            <w:r w:rsidRPr="00301AF6">
              <w:rPr>
                <w:rFonts w:ascii="Times New Roman" w:hAnsi="Times New Roman"/>
                <w:i/>
                <w:iCs/>
                <w:color w:val="000000" w:themeColor="text1"/>
                <w:lang w:val="fr-FR"/>
              </w:rPr>
              <w:t xml:space="preserve">, 1 Eucalyptus </w:t>
            </w:r>
            <w:proofErr w:type="spellStart"/>
            <w:r w:rsidRPr="00301AF6">
              <w:rPr>
                <w:rFonts w:ascii="Times New Roman" w:hAnsi="Times New Roman"/>
                <w:i/>
                <w:iCs/>
                <w:color w:val="000000" w:themeColor="text1"/>
                <w:lang w:val="fr-FR"/>
              </w:rPr>
              <w:t>sp</w:t>
            </w:r>
            <w:proofErr w:type="spellEnd"/>
            <w:r w:rsidRPr="00301AF6">
              <w:rPr>
                <w:rFonts w:ascii="Times New Roman" w:hAnsi="Times New Roman"/>
                <w:i/>
                <w:iCs/>
                <w:color w:val="000000" w:themeColor="text1"/>
                <w:lang w:val="fr-FR"/>
              </w:rPr>
              <w:t xml:space="preserve">., 2 Moringa </w:t>
            </w:r>
            <w:proofErr w:type="spellStart"/>
            <w:r w:rsidRPr="00301AF6">
              <w:rPr>
                <w:rFonts w:ascii="Times New Roman" w:hAnsi="Times New Roman"/>
                <w:i/>
                <w:iCs/>
                <w:color w:val="000000" w:themeColor="text1"/>
                <w:lang w:val="fr-FR"/>
              </w:rPr>
              <w:t>oleifera</w:t>
            </w:r>
            <w:proofErr w:type="spellEnd"/>
            <w:r w:rsidRPr="00301AF6">
              <w:rPr>
                <w:rFonts w:ascii="Times New Roman" w:hAnsi="Times New Roman"/>
                <w:i/>
                <w:iCs/>
                <w:color w:val="000000" w:themeColor="text1"/>
                <w:lang w:val="fr-FR"/>
              </w:rPr>
              <w:t xml:space="preserve">, 3 Ricin </w:t>
            </w:r>
            <w:proofErr w:type="spellStart"/>
            <w:r w:rsidRPr="00301AF6">
              <w:rPr>
                <w:rFonts w:ascii="Times New Roman" w:hAnsi="Times New Roman"/>
                <w:i/>
                <w:iCs/>
                <w:color w:val="000000" w:themeColor="text1"/>
                <w:lang w:val="fr-FR"/>
              </w:rPr>
              <w:t>communis</w:t>
            </w:r>
            <w:proofErr w:type="spellEnd"/>
            <w:r w:rsidRPr="00301AF6">
              <w:rPr>
                <w:rFonts w:ascii="Times New Roman" w:hAnsi="Times New Roman"/>
                <w:color w:val="000000" w:themeColor="text1"/>
                <w:lang w:val="fr-FR"/>
              </w:rPr>
              <w:t xml:space="preserve">, 2 goyaves, un peuplement de </w:t>
            </w:r>
            <w:r w:rsidRPr="00301AF6">
              <w:rPr>
                <w:rFonts w:ascii="Times New Roman" w:hAnsi="Times New Roman"/>
                <w:i/>
                <w:iCs/>
                <w:color w:val="000000" w:themeColor="text1"/>
                <w:lang w:val="fr-FR"/>
              </w:rPr>
              <w:t>Tamarix senegalensis</w:t>
            </w:r>
          </w:p>
        </w:tc>
      </w:tr>
      <w:tr w:rsidR="00BD1A2F" w:rsidRPr="00632C4D" w14:paraId="6F2BA2F6" w14:textId="77777777" w:rsidTr="003A0E4A">
        <w:tc>
          <w:tcPr>
            <w:tcW w:w="1213" w:type="pct"/>
          </w:tcPr>
          <w:p w14:paraId="7CC1C373" w14:textId="77777777" w:rsidR="00DE241D" w:rsidRPr="0097258B" w:rsidRDefault="00DE241D" w:rsidP="00E20250">
            <w:pPr>
              <w:spacing w:line="240" w:lineRule="auto"/>
              <w:rPr>
                <w:rFonts w:ascii="Times New Roman" w:hAnsi="Times New Roman"/>
                <w:color w:val="000000" w:themeColor="text1"/>
                <w:lang w:val="fr-FR"/>
              </w:rPr>
            </w:pPr>
            <w:r w:rsidRPr="00632C4D">
              <w:rPr>
                <w:rFonts w:ascii="Times New Roman" w:hAnsi="Times New Roman"/>
                <w:color w:val="000000" w:themeColor="text1"/>
              </w:rPr>
              <w:t>BR_NC 03d </w:t>
            </w:r>
          </w:p>
        </w:tc>
        <w:tc>
          <w:tcPr>
            <w:tcW w:w="3787" w:type="pct"/>
          </w:tcPr>
          <w:p w14:paraId="30740D36" w14:textId="77777777" w:rsidR="00DE241D" w:rsidRPr="0097258B" w:rsidRDefault="00DE241D" w:rsidP="00177E44">
            <w:pPr>
              <w:spacing w:line="240" w:lineRule="auto"/>
              <w:jc w:val="both"/>
              <w:rPr>
                <w:rFonts w:ascii="Times New Roman" w:hAnsi="Times New Roman"/>
                <w:color w:val="000000" w:themeColor="text1"/>
                <w:lang w:val="fr-FR"/>
              </w:rPr>
            </w:pPr>
            <w:r w:rsidRPr="00301AF6">
              <w:rPr>
                <w:rFonts w:ascii="Times New Roman" w:hAnsi="Times New Roman"/>
                <w:color w:val="000000" w:themeColor="text1"/>
                <w:lang w:val="fr-FR"/>
              </w:rPr>
              <w:t xml:space="preserve"> Des pieds de </w:t>
            </w:r>
            <w:proofErr w:type="spellStart"/>
            <w:r w:rsidRPr="00301AF6">
              <w:rPr>
                <w:rFonts w:ascii="Times New Roman" w:hAnsi="Times New Roman"/>
                <w:color w:val="000000" w:themeColor="text1"/>
                <w:lang w:val="fr-FR"/>
              </w:rPr>
              <w:t>Calotropis</w:t>
            </w:r>
            <w:proofErr w:type="spellEnd"/>
            <w:r w:rsidRPr="00301AF6">
              <w:rPr>
                <w:rFonts w:ascii="Times New Roman" w:hAnsi="Times New Roman"/>
                <w:color w:val="000000" w:themeColor="text1"/>
                <w:lang w:val="fr-FR"/>
              </w:rPr>
              <w:t xml:space="preserve"> </w:t>
            </w:r>
            <w:proofErr w:type="spellStart"/>
            <w:r w:rsidRPr="00301AF6">
              <w:rPr>
                <w:rFonts w:ascii="Times New Roman" w:hAnsi="Times New Roman"/>
                <w:color w:val="000000" w:themeColor="text1"/>
                <w:lang w:val="fr-FR"/>
              </w:rPr>
              <w:t>procera</w:t>
            </w:r>
            <w:proofErr w:type="spellEnd"/>
            <w:r w:rsidRPr="00301AF6">
              <w:rPr>
                <w:rFonts w:ascii="Times New Roman" w:hAnsi="Times New Roman"/>
                <w:color w:val="000000" w:themeColor="text1"/>
                <w:lang w:val="fr-FR"/>
              </w:rPr>
              <w:t xml:space="preserve"> et de Tamarix senegalensis</w:t>
            </w:r>
          </w:p>
        </w:tc>
      </w:tr>
      <w:tr w:rsidR="00BD1A2F" w:rsidRPr="00632C4D" w14:paraId="4FD8636D" w14:textId="77777777" w:rsidTr="003A0E4A">
        <w:tc>
          <w:tcPr>
            <w:tcW w:w="1213" w:type="pct"/>
          </w:tcPr>
          <w:p w14:paraId="7817A91B" w14:textId="77777777" w:rsidR="00DE241D" w:rsidRPr="0097258B" w:rsidRDefault="00DE241D" w:rsidP="00E20250">
            <w:pPr>
              <w:spacing w:line="240" w:lineRule="auto"/>
              <w:rPr>
                <w:rFonts w:ascii="Times New Roman" w:hAnsi="Times New Roman"/>
                <w:color w:val="000000" w:themeColor="text1"/>
                <w:lang w:val="fr-FR"/>
              </w:rPr>
            </w:pPr>
            <w:r w:rsidRPr="00632C4D">
              <w:rPr>
                <w:rFonts w:ascii="Times New Roman" w:hAnsi="Times New Roman"/>
                <w:color w:val="000000" w:themeColor="text1"/>
              </w:rPr>
              <w:t>BR_NC 09a </w:t>
            </w:r>
          </w:p>
        </w:tc>
        <w:tc>
          <w:tcPr>
            <w:tcW w:w="3787" w:type="pct"/>
          </w:tcPr>
          <w:p w14:paraId="3EBF66D2" w14:textId="77777777" w:rsidR="00DE241D" w:rsidRPr="0097258B" w:rsidRDefault="00DE241D" w:rsidP="00177E44">
            <w:pPr>
              <w:spacing w:line="240" w:lineRule="auto"/>
              <w:jc w:val="both"/>
              <w:rPr>
                <w:rFonts w:ascii="Times New Roman" w:hAnsi="Times New Roman"/>
                <w:color w:val="000000" w:themeColor="text1"/>
                <w:lang w:val="fr-FR"/>
              </w:rPr>
            </w:pPr>
            <w:r w:rsidRPr="00301AF6">
              <w:rPr>
                <w:rFonts w:ascii="Times New Roman" w:hAnsi="Times New Roman"/>
                <w:color w:val="000000" w:themeColor="text1"/>
                <w:lang w:val="fr-FR"/>
              </w:rPr>
              <w:t xml:space="preserve"> Peuplement de Typha australis et de Tamarix senegalensis</w:t>
            </w:r>
          </w:p>
        </w:tc>
      </w:tr>
      <w:tr w:rsidR="00BD1A2F" w:rsidRPr="00632C4D" w14:paraId="48D1AD2B" w14:textId="77777777" w:rsidTr="003A0E4A">
        <w:tc>
          <w:tcPr>
            <w:tcW w:w="1213" w:type="pct"/>
          </w:tcPr>
          <w:p w14:paraId="3B6B1DF8" w14:textId="77777777" w:rsidR="00DE241D" w:rsidRPr="0097258B" w:rsidRDefault="00DE241D" w:rsidP="00E20250">
            <w:pPr>
              <w:spacing w:line="240" w:lineRule="auto"/>
              <w:rPr>
                <w:rFonts w:ascii="Times New Roman" w:hAnsi="Times New Roman"/>
                <w:color w:val="000000" w:themeColor="text1"/>
                <w:lang w:val="fr-FR"/>
              </w:rPr>
            </w:pPr>
            <w:r w:rsidRPr="00632C4D">
              <w:rPr>
                <w:rFonts w:ascii="Times New Roman" w:hAnsi="Times New Roman"/>
                <w:color w:val="000000" w:themeColor="text1"/>
              </w:rPr>
              <w:t>BR_ND 11 </w:t>
            </w:r>
          </w:p>
        </w:tc>
        <w:tc>
          <w:tcPr>
            <w:tcW w:w="3787" w:type="pct"/>
          </w:tcPr>
          <w:p w14:paraId="176996FA" w14:textId="77777777" w:rsidR="00DE241D" w:rsidRPr="0097258B" w:rsidRDefault="00DE241D" w:rsidP="00177E44">
            <w:pPr>
              <w:spacing w:line="240" w:lineRule="auto"/>
              <w:jc w:val="both"/>
              <w:rPr>
                <w:rFonts w:ascii="Times New Roman" w:hAnsi="Times New Roman"/>
                <w:color w:val="000000" w:themeColor="text1"/>
                <w:lang w:val="fr-FR"/>
              </w:rPr>
            </w:pPr>
            <w:r w:rsidRPr="00301AF6">
              <w:rPr>
                <w:rFonts w:ascii="Times New Roman" w:hAnsi="Times New Roman"/>
                <w:color w:val="000000" w:themeColor="text1"/>
                <w:lang w:val="fr-FR"/>
              </w:rPr>
              <w:t xml:space="preserve"> </w:t>
            </w:r>
            <w:proofErr w:type="spellStart"/>
            <w:r w:rsidRPr="00301AF6">
              <w:rPr>
                <w:rFonts w:ascii="Times New Roman" w:hAnsi="Times New Roman"/>
                <w:i/>
                <w:iCs/>
                <w:color w:val="000000" w:themeColor="text1"/>
                <w:lang w:val="fr-FR"/>
              </w:rPr>
              <w:t>Ricinus</w:t>
            </w:r>
            <w:proofErr w:type="spellEnd"/>
            <w:r w:rsidRPr="00301AF6">
              <w:rPr>
                <w:rFonts w:ascii="Times New Roman" w:hAnsi="Times New Roman"/>
                <w:i/>
                <w:iCs/>
                <w:color w:val="000000" w:themeColor="text1"/>
                <w:lang w:val="fr-FR"/>
              </w:rPr>
              <w:t xml:space="preserve"> </w:t>
            </w:r>
            <w:proofErr w:type="spellStart"/>
            <w:r w:rsidRPr="00301AF6">
              <w:rPr>
                <w:rFonts w:ascii="Times New Roman" w:hAnsi="Times New Roman"/>
                <w:i/>
                <w:iCs/>
                <w:color w:val="000000" w:themeColor="text1"/>
                <w:lang w:val="fr-FR"/>
              </w:rPr>
              <w:t>communis</w:t>
            </w:r>
            <w:proofErr w:type="spellEnd"/>
            <w:r w:rsidRPr="00301AF6">
              <w:rPr>
                <w:rFonts w:ascii="Times New Roman" w:hAnsi="Times New Roman"/>
                <w:i/>
                <w:iCs/>
                <w:color w:val="000000" w:themeColor="text1"/>
                <w:lang w:val="fr-FR"/>
              </w:rPr>
              <w:t>, Typha australis</w:t>
            </w:r>
            <w:r w:rsidRPr="00301AF6">
              <w:rPr>
                <w:rFonts w:ascii="Times New Roman" w:hAnsi="Times New Roman"/>
                <w:color w:val="000000" w:themeColor="text1"/>
                <w:lang w:val="fr-FR"/>
              </w:rPr>
              <w:t xml:space="preserve">, plantation de papayer et de </w:t>
            </w:r>
            <w:r w:rsidRPr="00301AF6">
              <w:rPr>
                <w:rFonts w:ascii="Times New Roman" w:hAnsi="Times New Roman"/>
                <w:i/>
                <w:iCs/>
                <w:color w:val="000000" w:themeColor="text1"/>
                <w:lang w:val="fr-FR"/>
              </w:rPr>
              <w:t xml:space="preserve">Moringa </w:t>
            </w:r>
            <w:proofErr w:type="spellStart"/>
            <w:r w:rsidRPr="00301AF6">
              <w:rPr>
                <w:rFonts w:ascii="Times New Roman" w:hAnsi="Times New Roman"/>
                <w:i/>
                <w:iCs/>
                <w:color w:val="000000" w:themeColor="text1"/>
                <w:lang w:val="fr-FR"/>
              </w:rPr>
              <w:t>oleifera</w:t>
            </w:r>
            <w:proofErr w:type="spellEnd"/>
            <w:r w:rsidRPr="00301AF6">
              <w:rPr>
                <w:rFonts w:ascii="Times New Roman" w:hAnsi="Times New Roman"/>
                <w:i/>
                <w:iCs/>
                <w:color w:val="000000" w:themeColor="text1"/>
                <w:lang w:val="fr-FR"/>
              </w:rPr>
              <w:t xml:space="preserve">, un </w:t>
            </w:r>
            <w:proofErr w:type="spellStart"/>
            <w:r w:rsidRPr="00301AF6">
              <w:rPr>
                <w:rFonts w:ascii="Times New Roman" w:hAnsi="Times New Roman"/>
                <w:i/>
                <w:iCs/>
                <w:color w:val="000000" w:themeColor="text1"/>
                <w:lang w:val="fr-FR"/>
              </w:rPr>
              <w:t>Adansonia</w:t>
            </w:r>
            <w:proofErr w:type="spellEnd"/>
            <w:r w:rsidRPr="00301AF6">
              <w:rPr>
                <w:rFonts w:ascii="Times New Roman" w:hAnsi="Times New Roman"/>
                <w:i/>
                <w:iCs/>
                <w:color w:val="000000" w:themeColor="text1"/>
                <w:lang w:val="fr-FR"/>
              </w:rPr>
              <w:t xml:space="preserve"> </w:t>
            </w:r>
            <w:proofErr w:type="spellStart"/>
            <w:r w:rsidRPr="00301AF6">
              <w:rPr>
                <w:rFonts w:ascii="Times New Roman" w:hAnsi="Times New Roman"/>
                <w:i/>
                <w:iCs/>
                <w:color w:val="000000" w:themeColor="text1"/>
                <w:lang w:val="fr-FR"/>
              </w:rPr>
              <w:t>digitata</w:t>
            </w:r>
            <w:proofErr w:type="spellEnd"/>
            <w:r w:rsidRPr="00301AF6">
              <w:rPr>
                <w:rFonts w:ascii="Times New Roman" w:hAnsi="Times New Roman"/>
                <w:i/>
                <w:iCs/>
                <w:color w:val="000000" w:themeColor="text1"/>
                <w:lang w:val="fr-FR"/>
              </w:rPr>
              <w:t xml:space="preserve">, 2 </w:t>
            </w:r>
            <w:proofErr w:type="spellStart"/>
            <w:r w:rsidRPr="00301AF6">
              <w:rPr>
                <w:rFonts w:ascii="Times New Roman" w:hAnsi="Times New Roman"/>
                <w:i/>
                <w:iCs/>
                <w:color w:val="000000" w:themeColor="text1"/>
                <w:lang w:val="fr-FR"/>
              </w:rPr>
              <w:t>Mangifera</w:t>
            </w:r>
            <w:proofErr w:type="spellEnd"/>
            <w:r w:rsidRPr="00301AF6">
              <w:rPr>
                <w:rFonts w:ascii="Times New Roman" w:hAnsi="Times New Roman"/>
                <w:i/>
                <w:iCs/>
                <w:color w:val="000000" w:themeColor="text1"/>
                <w:lang w:val="fr-FR"/>
              </w:rPr>
              <w:t xml:space="preserve"> </w:t>
            </w:r>
            <w:proofErr w:type="spellStart"/>
            <w:r w:rsidRPr="00301AF6">
              <w:rPr>
                <w:rFonts w:ascii="Times New Roman" w:hAnsi="Times New Roman"/>
                <w:i/>
                <w:iCs/>
                <w:color w:val="000000" w:themeColor="text1"/>
                <w:lang w:val="fr-FR"/>
              </w:rPr>
              <w:t>indica</w:t>
            </w:r>
            <w:proofErr w:type="spellEnd"/>
            <w:r w:rsidRPr="00301AF6">
              <w:rPr>
                <w:rFonts w:ascii="Times New Roman" w:hAnsi="Times New Roman"/>
                <w:i/>
                <w:iCs/>
                <w:color w:val="000000" w:themeColor="text1"/>
                <w:lang w:val="fr-FR"/>
              </w:rPr>
              <w:t xml:space="preserve"> et Eucalyptus </w:t>
            </w:r>
            <w:proofErr w:type="spellStart"/>
            <w:r w:rsidRPr="00301AF6">
              <w:rPr>
                <w:rFonts w:ascii="Times New Roman" w:hAnsi="Times New Roman"/>
                <w:i/>
                <w:iCs/>
                <w:color w:val="000000" w:themeColor="text1"/>
                <w:lang w:val="fr-FR"/>
              </w:rPr>
              <w:t>sp</w:t>
            </w:r>
            <w:proofErr w:type="spellEnd"/>
            <w:proofErr w:type="gramStart"/>
            <w:r w:rsidRPr="00301AF6">
              <w:rPr>
                <w:rFonts w:ascii="Times New Roman" w:hAnsi="Times New Roman"/>
                <w:color w:val="000000" w:themeColor="text1"/>
                <w:lang w:val="fr-FR"/>
              </w:rPr>
              <w:t>.;</w:t>
            </w:r>
            <w:proofErr w:type="gramEnd"/>
          </w:p>
        </w:tc>
      </w:tr>
      <w:tr w:rsidR="00BD1A2F" w:rsidRPr="00632C4D" w14:paraId="2AC54244" w14:textId="77777777" w:rsidTr="003A0E4A">
        <w:tc>
          <w:tcPr>
            <w:tcW w:w="1213" w:type="pct"/>
          </w:tcPr>
          <w:p w14:paraId="2EED14E0" w14:textId="77777777" w:rsidR="00DE241D" w:rsidRPr="0097258B" w:rsidRDefault="00DE241D" w:rsidP="00E20250">
            <w:pPr>
              <w:spacing w:line="240" w:lineRule="auto"/>
              <w:rPr>
                <w:rFonts w:ascii="Times New Roman" w:hAnsi="Times New Roman"/>
                <w:color w:val="000000" w:themeColor="text1"/>
                <w:lang w:val="fr-FR"/>
              </w:rPr>
            </w:pPr>
            <w:r w:rsidRPr="00632C4D">
              <w:rPr>
                <w:rFonts w:ascii="Times New Roman" w:hAnsi="Times New Roman"/>
                <w:color w:val="000000" w:themeColor="text1"/>
              </w:rPr>
              <w:t>BR_ND 20 </w:t>
            </w:r>
          </w:p>
        </w:tc>
        <w:tc>
          <w:tcPr>
            <w:tcW w:w="3787" w:type="pct"/>
          </w:tcPr>
          <w:p w14:paraId="5846AF70" w14:textId="77777777" w:rsidR="00DE241D" w:rsidRPr="0097258B" w:rsidRDefault="00DE241D" w:rsidP="00177E44">
            <w:pPr>
              <w:spacing w:line="240" w:lineRule="auto"/>
              <w:jc w:val="both"/>
              <w:rPr>
                <w:rFonts w:ascii="Times New Roman" w:hAnsi="Times New Roman"/>
                <w:color w:val="000000" w:themeColor="text1"/>
                <w:lang w:val="fr-FR"/>
              </w:rPr>
            </w:pPr>
            <w:r w:rsidRPr="00301AF6">
              <w:rPr>
                <w:rFonts w:ascii="Times New Roman" w:hAnsi="Times New Roman"/>
                <w:color w:val="000000" w:themeColor="text1"/>
                <w:lang w:val="fr-FR"/>
              </w:rPr>
              <w:t xml:space="preserve"> Tapis herbacé et peuplement de </w:t>
            </w:r>
            <w:proofErr w:type="spellStart"/>
            <w:r w:rsidRPr="00301AF6">
              <w:rPr>
                <w:rFonts w:ascii="Times New Roman" w:hAnsi="Times New Roman"/>
                <w:i/>
                <w:iCs/>
                <w:color w:val="000000" w:themeColor="text1"/>
                <w:lang w:val="fr-FR"/>
              </w:rPr>
              <w:t>Ricinus</w:t>
            </w:r>
            <w:proofErr w:type="spellEnd"/>
            <w:r w:rsidRPr="00301AF6">
              <w:rPr>
                <w:rFonts w:ascii="Times New Roman" w:hAnsi="Times New Roman"/>
                <w:i/>
                <w:iCs/>
                <w:color w:val="000000" w:themeColor="text1"/>
                <w:lang w:val="fr-FR"/>
              </w:rPr>
              <w:t xml:space="preserve"> </w:t>
            </w:r>
            <w:proofErr w:type="spellStart"/>
            <w:r w:rsidRPr="00301AF6">
              <w:rPr>
                <w:rFonts w:ascii="Times New Roman" w:hAnsi="Times New Roman"/>
                <w:i/>
                <w:iCs/>
                <w:color w:val="000000" w:themeColor="text1"/>
                <w:lang w:val="fr-FR"/>
              </w:rPr>
              <w:t>communis</w:t>
            </w:r>
            <w:proofErr w:type="spellEnd"/>
            <w:r w:rsidRPr="00301AF6">
              <w:rPr>
                <w:rFonts w:ascii="Times New Roman" w:hAnsi="Times New Roman"/>
                <w:color w:val="000000" w:themeColor="text1"/>
                <w:lang w:val="fr-FR"/>
              </w:rPr>
              <w:t> ;</w:t>
            </w:r>
          </w:p>
        </w:tc>
      </w:tr>
      <w:tr w:rsidR="00BD1A2F" w:rsidRPr="00632C4D" w14:paraId="60CB01C8" w14:textId="77777777" w:rsidTr="003A0E4A">
        <w:tc>
          <w:tcPr>
            <w:tcW w:w="1213" w:type="pct"/>
          </w:tcPr>
          <w:p w14:paraId="6C8BF7BA" w14:textId="77777777" w:rsidR="00DE241D" w:rsidRPr="0097258B" w:rsidRDefault="00DE241D" w:rsidP="00E20250">
            <w:pPr>
              <w:spacing w:line="240" w:lineRule="auto"/>
              <w:rPr>
                <w:rFonts w:ascii="Times New Roman" w:hAnsi="Times New Roman"/>
                <w:color w:val="000000" w:themeColor="text1"/>
                <w:lang w:val="fr-FR"/>
              </w:rPr>
            </w:pPr>
            <w:r w:rsidRPr="00632C4D">
              <w:rPr>
                <w:rFonts w:ascii="Times New Roman" w:hAnsi="Times New Roman"/>
                <w:color w:val="000000" w:themeColor="text1"/>
              </w:rPr>
              <w:t>P1 </w:t>
            </w:r>
          </w:p>
        </w:tc>
        <w:tc>
          <w:tcPr>
            <w:tcW w:w="3787" w:type="pct"/>
          </w:tcPr>
          <w:p w14:paraId="50AB9048" w14:textId="77777777" w:rsidR="00DE241D" w:rsidRPr="0097258B" w:rsidRDefault="00DE241D" w:rsidP="00177E44">
            <w:pPr>
              <w:spacing w:line="240" w:lineRule="auto"/>
              <w:jc w:val="both"/>
              <w:rPr>
                <w:rFonts w:ascii="Times New Roman" w:hAnsi="Times New Roman"/>
                <w:i/>
                <w:iCs/>
                <w:color w:val="000000" w:themeColor="text1"/>
                <w:lang w:val="fr-FR"/>
              </w:rPr>
            </w:pPr>
            <w:r w:rsidRPr="00301AF6">
              <w:rPr>
                <w:rFonts w:ascii="Times New Roman" w:hAnsi="Times New Roman"/>
                <w:color w:val="000000" w:themeColor="text1"/>
                <w:lang w:val="fr-FR"/>
              </w:rPr>
              <w:t xml:space="preserve"> </w:t>
            </w:r>
            <w:r w:rsidRPr="00301AF6">
              <w:rPr>
                <w:rFonts w:ascii="Times New Roman" w:hAnsi="Times New Roman"/>
                <w:i/>
                <w:iCs/>
                <w:color w:val="000000" w:themeColor="text1"/>
                <w:lang w:val="fr-FR"/>
              </w:rPr>
              <w:t xml:space="preserve">Typha australis, </w:t>
            </w:r>
            <w:proofErr w:type="spellStart"/>
            <w:r w:rsidRPr="00301AF6">
              <w:rPr>
                <w:rFonts w:ascii="Times New Roman" w:hAnsi="Times New Roman"/>
                <w:i/>
                <w:iCs/>
                <w:color w:val="000000" w:themeColor="text1"/>
                <w:lang w:val="fr-FR"/>
              </w:rPr>
              <w:t>Calotropis</w:t>
            </w:r>
            <w:proofErr w:type="spellEnd"/>
            <w:r w:rsidRPr="00301AF6">
              <w:rPr>
                <w:rFonts w:ascii="Times New Roman" w:hAnsi="Times New Roman"/>
                <w:i/>
                <w:iCs/>
                <w:color w:val="000000" w:themeColor="text1"/>
                <w:lang w:val="fr-FR"/>
              </w:rPr>
              <w:t xml:space="preserve"> </w:t>
            </w:r>
            <w:proofErr w:type="spellStart"/>
            <w:r w:rsidRPr="00301AF6">
              <w:rPr>
                <w:rFonts w:ascii="Times New Roman" w:hAnsi="Times New Roman"/>
                <w:i/>
                <w:iCs/>
                <w:color w:val="000000" w:themeColor="text1"/>
                <w:lang w:val="fr-FR"/>
              </w:rPr>
              <w:t>procera</w:t>
            </w:r>
            <w:proofErr w:type="spellEnd"/>
            <w:r w:rsidRPr="00301AF6">
              <w:rPr>
                <w:rFonts w:ascii="Times New Roman" w:hAnsi="Times New Roman"/>
                <w:i/>
                <w:iCs/>
                <w:color w:val="000000" w:themeColor="text1"/>
                <w:lang w:val="fr-FR"/>
              </w:rPr>
              <w:t xml:space="preserve">, Tamarix Senegalensis, Ricin </w:t>
            </w:r>
            <w:proofErr w:type="spellStart"/>
            <w:r w:rsidRPr="00301AF6">
              <w:rPr>
                <w:rFonts w:ascii="Times New Roman" w:hAnsi="Times New Roman"/>
                <w:i/>
                <w:iCs/>
                <w:color w:val="000000" w:themeColor="text1"/>
                <w:lang w:val="fr-FR"/>
              </w:rPr>
              <w:t>communis</w:t>
            </w:r>
            <w:proofErr w:type="spellEnd"/>
          </w:p>
        </w:tc>
      </w:tr>
      <w:tr w:rsidR="00BD1A2F" w:rsidRPr="00632C4D" w14:paraId="36C9DCE4" w14:textId="77777777" w:rsidTr="003A0E4A">
        <w:tc>
          <w:tcPr>
            <w:tcW w:w="1213" w:type="pct"/>
          </w:tcPr>
          <w:p w14:paraId="67103783" w14:textId="77777777" w:rsidR="00DE241D" w:rsidRPr="0097258B" w:rsidRDefault="00DE241D" w:rsidP="00E20250">
            <w:pPr>
              <w:spacing w:line="240" w:lineRule="auto"/>
              <w:rPr>
                <w:rFonts w:ascii="Times New Roman" w:hAnsi="Times New Roman"/>
                <w:color w:val="000000" w:themeColor="text1"/>
                <w:lang w:val="fr-FR"/>
              </w:rPr>
            </w:pPr>
            <w:r w:rsidRPr="00632C4D">
              <w:rPr>
                <w:rFonts w:ascii="Times New Roman" w:hAnsi="Times New Roman"/>
                <w:color w:val="000000" w:themeColor="text1"/>
              </w:rPr>
              <w:t>E2-TER </w:t>
            </w:r>
          </w:p>
        </w:tc>
        <w:tc>
          <w:tcPr>
            <w:tcW w:w="3787" w:type="pct"/>
          </w:tcPr>
          <w:p w14:paraId="742E7EF8" w14:textId="77777777" w:rsidR="00DE241D" w:rsidRPr="0097258B" w:rsidRDefault="00DE241D" w:rsidP="00177E44">
            <w:pPr>
              <w:spacing w:line="240" w:lineRule="auto"/>
              <w:jc w:val="both"/>
              <w:rPr>
                <w:rFonts w:ascii="Times New Roman" w:hAnsi="Times New Roman"/>
                <w:i/>
                <w:iCs/>
                <w:color w:val="000000" w:themeColor="text1"/>
                <w:lang w:val="fr-FR"/>
              </w:rPr>
            </w:pPr>
            <w:r w:rsidRPr="00632C4D">
              <w:rPr>
                <w:rFonts w:ascii="Times New Roman" w:hAnsi="Times New Roman"/>
                <w:color w:val="000000" w:themeColor="text1"/>
              </w:rPr>
              <w:t xml:space="preserve"> </w:t>
            </w:r>
            <w:proofErr w:type="spellStart"/>
            <w:r w:rsidRPr="00632C4D">
              <w:rPr>
                <w:rFonts w:ascii="Times New Roman" w:hAnsi="Times New Roman"/>
                <w:i/>
                <w:iCs/>
                <w:color w:val="000000" w:themeColor="text1"/>
              </w:rPr>
              <w:t>Typhas</w:t>
            </w:r>
            <w:proofErr w:type="spellEnd"/>
            <w:r w:rsidRPr="00632C4D">
              <w:rPr>
                <w:rFonts w:ascii="Times New Roman" w:hAnsi="Times New Roman"/>
                <w:i/>
                <w:iCs/>
                <w:color w:val="000000" w:themeColor="text1"/>
              </w:rPr>
              <w:t xml:space="preserve"> </w:t>
            </w:r>
            <w:r w:rsidRPr="00632C4D">
              <w:rPr>
                <w:rFonts w:ascii="Times New Roman" w:hAnsi="Times New Roman"/>
                <w:color w:val="000000" w:themeColor="text1"/>
              </w:rPr>
              <w:t>et</w:t>
            </w:r>
            <w:r w:rsidRPr="00632C4D">
              <w:rPr>
                <w:rFonts w:ascii="Times New Roman" w:hAnsi="Times New Roman"/>
                <w:i/>
                <w:iCs/>
                <w:color w:val="000000" w:themeColor="text1"/>
              </w:rPr>
              <w:t xml:space="preserve"> </w:t>
            </w:r>
            <w:proofErr w:type="spellStart"/>
            <w:r w:rsidRPr="00632C4D">
              <w:rPr>
                <w:rFonts w:ascii="Times New Roman" w:hAnsi="Times New Roman"/>
                <w:i/>
                <w:iCs/>
                <w:color w:val="000000" w:themeColor="text1"/>
              </w:rPr>
              <w:t>tamarix</w:t>
            </w:r>
            <w:proofErr w:type="spellEnd"/>
          </w:p>
        </w:tc>
      </w:tr>
      <w:tr w:rsidR="00BD1A2F" w:rsidRPr="00632C4D" w14:paraId="744928B7" w14:textId="77777777" w:rsidTr="003A0E4A">
        <w:tc>
          <w:tcPr>
            <w:tcW w:w="1213" w:type="pct"/>
          </w:tcPr>
          <w:p w14:paraId="792BE6C6" w14:textId="77777777" w:rsidR="00DE241D" w:rsidRPr="0097258B" w:rsidRDefault="00DE241D" w:rsidP="00E20250">
            <w:pPr>
              <w:spacing w:line="240" w:lineRule="auto"/>
              <w:rPr>
                <w:rFonts w:ascii="Times New Roman" w:hAnsi="Times New Roman"/>
                <w:color w:val="000000" w:themeColor="text1"/>
                <w:lang w:val="fr-FR"/>
              </w:rPr>
            </w:pPr>
            <w:r w:rsidRPr="00632C4D">
              <w:rPr>
                <w:rFonts w:ascii="Times New Roman" w:hAnsi="Times New Roman"/>
                <w:color w:val="000000" w:themeColor="text1"/>
              </w:rPr>
              <w:t>BR_NA 16g </w:t>
            </w:r>
          </w:p>
        </w:tc>
        <w:tc>
          <w:tcPr>
            <w:tcW w:w="3787" w:type="pct"/>
          </w:tcPr>
          <w:p w14:paraId="244132DE" w14:textId="77777777" w:rsidR="00DE241D" w:rsidRPr="0097258B" w:rsidRDefault="00DE241D" w:rsidP="00177E44">
            <w:pPr>
              <w:spacing w:line="240" w:lineRule="auto"/>
              <w:jc w:val="both"/>
              <w:rPr>
                <w:rFonts w:ascii="Times New Roman" w:hAnsi="Times New Roman"/>
                <w:i/>
                <w:iCs/>
                <w:color w:val="000000" w:themeColor="text1"/>
                <w:lang w:val="fr-FR"/>
              </w:rPr>
            </w:pPr>
            <w:r w:rsidRPr="00632C4D">
              <w:rPr>
                <w:rFonts w:ascii="Times New Roman" w:hAnsi="Times New Roman"/>
                <w:color w:val="000000" w:themeColor="text1"/>
              </w:rPr>
              <w:t xml:space="preserve"> </w:t>
            </w:r>
            <w:r w:rsidRPr="00632C4D">
              <w:rPr>
                <w:rFonts w:ascii="Times New Roman" w:hAnsi="Times New Roman"/>
                <w:i/>
                <w:iCs/>
                <w:color w:val="000000" w:themeColor="text1"/>
              </w:rPr>
              <w:t xml:space="preserve">Prosopis sp., Anacardium occidentalis, </w:t>
            </w:r>
            <w:proofErr w:type="spellStart"/>
            <w:r w:rsidRPr="00632C4D">
              <w:rPr>
                <w:rFonts w:ascii="Times New Roman" w:hAnsi="Times New Roman"/>
                <w:i/>
                <w:iCs/>
                <w:color w:val="000000" w:themeColor="text1"/>
              </w:rPr>
              <w:t>Faidherbia</w:t>
            </w:r>
            <w:proofErr w:type="spellEnd"/>
            <w:r w:rsidRPr="00632C4D">
              <w:rPr>
                <w:rFonts w:ascii="Times New Roman" w:hAnsi="Times New Roman"/>
                <w:i/>
                <w:iCs/>
                <w:color w:val="000000" w:themeColor="text1"/>
              </w:rPr>
              <w:t xml:space="preserve"> albida, </w:t>
            </w:r>
            <w:proofErr w:type="spellStart"/>
            <w:r w:rsidRPr="00632C4D">
              <w:rPr>
                <w:rFonts w:ascii="Times New Roman" w:hAnsi="Times New Roman"/>
                <w:i/>
                <w:iCs/>
                <w:color w:val="000000" w:themeColor="text1"/>
              </w:rPr>
              <w:t>Eucalyotus</w:t>
            </w:r>
            <w:proofErr w:type="spellEnd"/>
            <w:r w:rsidRPr="00632C4D">
              <w:rPr>
                <w:rFonts w:ascii="Times New Roman" w:hAnsi="Times New Roman"/>
                <w:i/>
                <w:iCs/>
                <w:color w:val="000000" w:themeColor="text1"/>
              </w:rPr>
              <w:t xml:space="preserve"> </w:t>
            </w:r>
            <w:proofErr w:type="spellStart"/>
            <w:r w:rsidRPr="00632C4D">
              <w:rPr>
                <w:rFonts w:ascii="Times New Roman" w:hAnsi="Times New Roman"/>
                <w:i/>
                <w:iCs/>
                <w:color w:val="000000" w:themeColor="text1"/>
              </w:rPr>
              <w:t>sp</w:t>
            </w:r>
            <w:proofErr w:type="spellEnd"/>
          </w:p>
        </w:tc>
      </w:tr>
      <w:tr w:rsidR="00BD1A2F" w:rsidRPr="00632C4D" w14:paraId="00E537D0" w14:textId="77777777" w:rsidTr="003A0E4A">
        <w:tc>
          <w:tcPr>
            <w:tcW w:w="1213" w:type="pct"/>
          </w:tcPr>
          <w:p w14:paraId="35ABEBEB" w14:textId="77777777" w:rsidR="00DE241D" w:rsidRPr="0097258B" w:rsidRDefault="00DE241D" w:rsidP="00E20250">
            <w:pPr>
              <w:spacing w:line="240" w:lineRule="auto"/>
              <w:rPr>
                <w:rFonts w:ascii="Times New Roman" w:hAnsi="Times New Roman"/>
                <w:color w:val="000000" w:themeColor="text1"/>
                <w:lang w:val="fr-FR"/>
              </w:rPr>
            </w:pPr>
            <w:r w:rsidRPr="00632C4D">
              <w:rPr>
                <w:rFonts w:ascii="Times New Roman" w:hAnsi="Times New Roman"/>
                <w:color w:val="000000" w:themeColor="text1"/>
              </w:rPr>
              <w:t>BR_NA 09 </w:t>
            </w:r>
          </w:p>
        </w:tc>
        <w:tc>
          <w:tcPr>
            <w:tcW w:w="3787" w:type="pct"/>
          </w:tcPr>
          <w:p w14:paraId="1F865E88" w14:textId="77777777" w:rsidR="00DE241D" w:rsidRPr="0097258B" w:rsidRDefault="00DE241D" w:rsidP="00177E44">
            <w:pPr>
              <w:spacing w:line="240" w:lineRule="auto"/>
              <w:jc w:val="both"/>
              <w:rPr>
                <w:rFonts w:ascii="Times New Roman" w:hAnsi="Times New Roman"/>
                <w:i/>
                <w:iCs/>
                <w:color w:val="000000" w:themeColor="text1"/>
                <w:lang w:val="fr-FR"/>
              </w:rPr>
            </w:pPr>
            <w:r w:rsidRPr="00301AF6">
              <w:rPr>
                <w:rFonts w:ascii="Times New Roman" w:hAnsi="Times New Roman"/>
                <w:i/>
                <w:iCs/>
                <w:color w:val="000000" w:themeColor="text1"/>
                <w:lang w:val="fr-FR"/>
              </w:rPr>
              <w:t xml:space="preserve"> Phoenix </w:t>
            </w:r>
            <w:proofErr w:type="spellStart"/>
            <w:r w:rsidRPr="00301AF6">
              <w:rPr>
                <w:rFonts w:ascii="Times New Roman" w:hAnsi="Times New Roman"/>
                <w:i/>
                <w:iCs/>
                <w:color w:val="000000" w:themeColor="text1"/>
                <w:lang w:val="fr-FR"/>
              </w:rPr>
              <w:t>dactylifera</w:t>
            </w:r>
            <w:proofErr w:type="spellEnd"/>
            <w:r w:rsidRPr="00301AF6">
              <w:rPr>
                <w:rFonts w:ascii="Times New Roman" w:hAnsi="Times New Roman"/>
                <w:i/>
                <w:iCs/>
                <w:color w:val="000000" w:themeColor="text1"/>
                <w:lang w:val="fr-FR"/>
              </w:rPr>
              <w:t xml:space="preserve">, Faidherbia </w:t>
            </w:r>
            <w:proofErr w:type="spellStart"/>
            <w:r w:rsidRPr="00301AF6">
              <w:rPr>
                <w:rFonts w:ascii="Times New Roman" w:hAnsi="Times New Roman"/>
                <w:i/>
                <w:iCs/>
                <w:color w:val="000000" w:themeColor="text1"/>
                <w:lang w:val="fr-FR"/>
              </w:rPr>
              <w:t>albida</w:t>
            </w:r>
            <w:proofErr w:type="spellEnd"/>
            <w:r w:rsidRPr="00301AF6">
              <w:rPr>
                <w:rFonts w:ascii="Times New Roman" w:hAnsi="Times New Roman"/>
                <w:i/>
                <w:iCs/>
                <w:color w:val="000000" w:themeColor="text1"/>
                <w:lang w:val="fr-FR"/>
              </w:rPr>
              <w:t xml:space="preserve">, Ricin </w:t>
            </w:r>
            <w:proofErr w:type="spellStart"/>
            <w:r w:rsidRPr="00301AF6">
              <w:rPr>
                <w:rFonts w:ascii="Times New Roman" w:hAnsi="Times New Roman"/>
                <w:i/>
                <w:iCs/>
                <w:color w:val="000000" w:themeColor="text1"/>
                <w:lang w:val="fr-FR"/>
              </w:rPr>
              <w:t>communis</w:t>
            </w:r>
            <w:proofErr w:type="spellEnd"/>
            <w:r w:rsidRPr="00301AF6">
              <w:rPr>
                <w:rFonts w:ascii="Times New Roman" w:hAnsi="Times New Roman"/>
                <w:i/>
                <w:iCs/>
                <w:color w:val="000000" w:themeColor="text1"/>
                <w:lang w:val="fr-FR"/>
              </w:rPr>
              <w:t xml:space="preserve"> </w:t>
            </w:r>
            <w:r w:rsidRPr="00301AF6">
              <w:rPr>
                <w:rFonts w:ascii="Times New Roman" w:hAnsi="Times New Roman"/>
                <w:color w:val="000000" w:themeColor="text1"/>
                <w:lang w:val="fr-FR"/>
              </w:rPr>
              <w:t>et</w:t>
            </w:r>
            <w:r w:rsidRPr="00301AF6">
              <w:rPr>
                <w:rFonts w:ascii="Times New Roman" w:hAnsi="Times New Roman"/>
                <w:i/>
                <w:iCs/>
                <w:color w:val="000000" w:themeColor="text1"/>
                <w:lang w:val="fr-FR"/>
              </w:rPr>
              <w:t xml:space="preserve"> Acacias </w:t>
            </w:r>
            <w:proofErr w:type="spellStart"/>
            <w:r w:rsidRPr="00301AF6">
              <w:rPr>
                <w:rFonts w:ascii="Times New Roman" w:hAnsi="Times New Roman"/>
                <w:i/>
                <w:iCs/>
                <w:color w:val="000000" w:themeColor="text1"/>
                <w:lang w:val="fr-FR"/>
              </w:rPr>
              <w:t>sp</w:t>
            </w:r>
            <w:proofErr w:type="spellEnd"/>
            <w:r w:rsidRPr="00301AF6">
              <w:rPr>
                <w:rFonts w:ascii="Times New Roman" w:hAnsi="Times New Roman"/>
                <w:i/>
                <w:iCs/>
                <w:color w:val="000000" w:themeColor="text1"/>
                <w:lang w:val="fr-FR"/>
              </w:rPr>
              <w:t>.</w:t>
            </w:r>
          </w:p>
        </w:tc>
      </w:tr>
      <w:tr w:rsidR="00BD1A2F" w:rsidRPr="00632C4D" w14:paraId="09B5253E" w14:textId="77777777" w:rsidTr="003A0E4A">
        <w:tc>
          <w:tcPr>
            <w:tcW w:w="1213" w:type="pct"/>
          </w:tcPr>
          <w:p w14:paraId="749AE713" w14:textId="77777777" w:rsidR="00DE241D" w:rsidRPr="0097258B" w:rsidRDefault="00DE241D" w:rsidP="00E20250">
            <w:pPr>
              <w:spacing w:line="240" w:lineRule="auto"/>
              <w:rPr>
                <w:rFonts w:ascii="Times New Roman" w:hAnsi="Times New Roman"/>
                <w:color w:val="000000" w:themeColor="text1"/>
                <w:lang w:val="fr-FR"/>
              </w:rPr>
            </w:pPr>
            <w:r w:rsidRPr="00632C4D">
              <w:rPr>
                <w:rFonts w:ascii="Times New Roman" w:hAnsi="Times New Roman"/>
                <w:color w:val="000000" w:themeColor="text1"/>
              </w:rPr>
              <w:t xml:space="preserve">Bassin </w:t>
            </w:r>
            <w:proofErr w:type="spellStart"/>
            <w:r w:rsidRPr="00632C4D">
              <w:rPr>
                <w:rFonts w:ascii="Times New Roman" w:hAnsi="Times New Roman"/>
                <w:color w:val="000000" w:themeColor="text1"/>
              </w:rPr>
              <w:t>éventuel</w:t>
            </w:r>
            <w:proofErr w:type="spellEnd"/>
            <w:r w:rsidRPr="00632C4D">
              <w:rPr>
                <w:rFonts w:ascii="Times New Roman" w:hAnsi="Times New Roman"/>
                <w:color w:val="000000" w:themeColor="text1"/>
              </w:rPr>
              <w:t> </w:t>
            </w:r>
          </w:p>
        </w:tc>
        <w:tc>
          <w:tcPr>
            <w:tcW w:w="3787" w:type="pct"/>
          </w:tcPr>
          <w:p w14:paraId="759FACCD" w14:textId="77777777" w:rsidR="00DE241D" w:rsidRPr="0097258B" w:rsidRDefault="00DE241D" w:rsidP="00177E44">
            <w:pPr>
              <w:spacing w:line="240" w:lineRule="auto"/>
              <w:jc w:val="both"/>
              <w:rPr>
                <w:rFonts w:ascii="Times New Roman" w:hAnsi="Times New Roman"/>
                <w:i/>
                <w:iCs/>
                <w:color w:val="000000" w:themeColor="text1"/>
                <w:lang w:val="fr-FR"/>
              </w:rPr>
            </w:pPr>
            <w:r w:rsidRPr="00632C4D">
              <w:rPr>
                <w:rFonts w:ascii="Times New Roman" w:hAnsi="Times New Roman"/>
                <w:i/>
                <w:iCs/>
                <w:color w:val="000000" w:themeColor="text1"/>
              </w:rPr>
              <w:t xml:space="preserve">  </w:t>
            </w:r>
            <w:proofErr w:type="spellStart"/>
            <w:r w:rsidRPr="00632C4D">
              <w:rPr>
                <w:rFonts w:ascii="Times New Roman" w:hAnsi="Times New Roman"/>
                <w:i/>
                <w:iCs/>
                <w:color w:val="000000" w:themeColor="text1"/>
              </w:rPr>
              <w:t>Tamarix</w:t>
            </w:r>
            <w:proofErr w:type="spellEnd"/>
            <w:r w:rsidRPr="00632C4D">
              <w:rPr>
                <w:rFonts w:ascii="Times New Roman" w:hAnsi="Times New Roman"/>
                <w:i/>
                <w:iCs/>
                <w:color w:val="000000" w:themeColor="text1"/>
              </w:rPr>
              <w:t xml:space="preserve"> senegalensis </w:t>
            </w:r>
          </w:p>
        </w:tc>
      </w:tr>
      <w:tr w:rsidR="00BD1A2F" w:rsidRPr="00632C4D" w14:paraId="65534B19" w14:textId="77777777" w:rsidTr="003A0E4A">
        <w:tc>
          <w:tcPr>
            <w:tcW w:w="1213" w:type="pct"/>
          </w:tcPr>
          <w:p w14:paraId="05627D3D"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Collecteur BR_NA 09 vers BR_NA 16g </w:t>
            </w:r>
          </w:p>
        </w:tc>
        <w:tc>
          <w:tcPr>
            <w:tcW w:w="3787" w:type="pct"/>
          </w:tcPr>
          <w:p w14:paraId="2E6B4C1A" w14:textId="77777777" w:rsidR="00DE241D" w:rsidRPr="0097258B" w:rsidRDefault="00DE241D" w:rsidP="00177E44">
            <w:pPr>
              <w:spacing w:line="240" w:lineRule="auto"/>
              <w:jc w:val="both"/>
              <w:rPr>
                <w:rFonts w:ascii="Times New Roman" w:hAnsi="Times New Roman"/>
                <w:color w:val="000000" w:themeColor="text1"/>
                <w:lang w:val="fr-FR"/>
              </w:rPr>
            </w:pPr>
            <w:r w:rsidRPr="00301AF6">
              <w:rPr>
                <w:rFonts w:ascii="Times New Roman" w:hAnsi="Times New Roman"/>
                <w:color w:val="000000" w:themeColor="text1"/>
                <w:lang w:val="fr-FR"/>
              </w:rPr>
              <w:t xml:space="preserve"> Deux pieds de </w:t>
            </w:r>
            <w:r w:rsidRPr="00301AF6">
              <w:rPr>
                <w:rFonts w:ascii="Times New Roman" w:hAnsi="Times New Roman"/>
                <w:i/>
                <w:iCs/>
                <w:color w:val="000000" w:themeColor="text1"/>
                <w:lang w:val="fr-FR"/>
              </w:rPr>
              <w:t xml:space="preserve">Hura </w:t>
            </w:r>
            <w:proofErr w:type="spellStart"/>
            <w:r w:rsidRPr="00301AF6">
              <w:rPr>
                <w:rFonts w:ascii="Times New Roman" w:hAnsi="Times New Roman"/>
                <w:i/>
                <w:iCs/>
                <w:color w:val="000000" w:themeColor="text1"/>
                <w:lang w:val="fr-FR"/>
              </w:rPr>
              <w:t>crepitens</w:t>
            </w:r>
            <w:proofErr w:type="spellEnd"/>
            <w:r w:rsidRPr="00301AF6">
              <w:rPr>
                <w:rFonts w:ascii="Times New Roman" w:hAnsi="Times New Roman"/>
                <w:i/>
                <w:iCs/>
                <w:color w:val="000000" w:themeColor="text1"/>
                <w:lang w:val="fr-FR"/>
              </w:rPr>
              <w:t xml:space="preserve">, 1 </w:t>
            </w:r>
            <w:r w:rsidRPr="00301AF6">
              <w:rPr>
                <w:rFonts w:ascii="Times New Roman" w:hAnsi="Times New Roman"/>
                <w:color w:val="000000" w:themeColor="text1"/>
                <w:lang w:val="fr-FR"/>
              </w:rPr>
              <w:t>pied de</w:t>
            </w:r>
            <w:r w:rsidRPr="00301AF6">
              <w:rPr>
                <w:rFonts w:ascii="Times New Roman" w:hAnsi="Times New Roman"/>
                <w:i/>
                <w:iCs/>
                <w:color w:val="000000" w:themeColor="text1"/>
                <w:lang w:val="fr-FR"/>
              </w:rPr>
              <w:t xml:space="preserve"> </w:t>
            </w:r>
            <w:proofErr w:type="spellStart"/>
            <w:r w:rsidRPr="00301AF6">
              <w:rPr>
                <w:rFonts w:ascii="Times New Roman" w:hAnsi="Times New Roman"/>
                <w:i/>
                <w:iCs/>
                <w:color w:val="000000" w:themeColor="text1"/>
                <w:lang w:val="fr-FR"/>
              </w:rPr>
              <w:t>Terminalia</w:t>
            </w:r>
            <w:proofErr w:type="spellEnd"/>
            <w:r w:rsidRPr="00301AF6">
              <w:rPr>
                <w:rFonts w:ascii="Times New Roman" w:hAnsi="Times New Roman"/>
                <w:i/>
                <w:iCs/>
                <w:color w:val="000000" w:themeColor="text1"/>
                <w:lang w:val="fr-FR"/>
              </w:rPr>
              <w:t xml:space="preserve"> </w:t>
            </w:r>
            <w:proofErr w:type="spellStart"/>
            <w:r w:rsidRPr="00301AF6">
              <w:rPr>
                <w:rFonts w:ascii="Times New Roman" w:hAnsi="Times New Roman"/>
                <w:i/>
                <w:iCs/>
                <w:color w:val="000000" w:themeColor="text1"/>
                <w:lang w:val="fr-FR"/>
              </w:rPr>
              <w:t>mentali</w:t>
            </w:r>
            <w:proofErr w:type="spellEnd"/>
            <w:r w:rsidRPr="00301AF6">
              <w:rPr>
                <w:rFonts w:ascii="Times New Roman" w:hAnsi="Times New Roman"/>
                <w:i/>
                <w:iCs/>
                <w:color w:val="000000" w:themeColor="text1"/>
                <w:lang w:val="fr-FR"/>
              </w:rPr>
              <w:t xml:space="preserve">, 3 Cocos </w:t>
            </w:r>
            <w:proofErr w:type="spellStart"/>
            <w:r w:rsidRPr="00301AF6">
              <w:rPr>
                <w:rFonts w:ascii="Times New Roman" w:hAnsi="Times New Roman"/>
                <w:i/>
                <w:iCs/>
                <w:color w:val="000000" w:themeColor="text1"/>
                <w:lang w:val="fr-FR"/>
              </w:rPr>
              <w:t>nucifera</w:t>
            </w:r>
            <w:proofErr w:type="spellEnd"/>
            <w:r w:rsidRPr="00301AF6">
              <w:rPr>
                <w:rFonts w:ascii="Times New Roman" w:hAnsi="Times New Roman"/>
                <w:color w:val="000000" w:themeColor="text1"/>
                <w:lang w:val="fr-FR"/>
              </w:rPr>
              <w:t xml:space="preserve">, un bananier, </w:t>
            </w:r>
            <w:r w:rsidRPr="00301AF6">
              <w:rPr>
                <w:rFonts w:ascii="Times New Roman" w:hAnsi="Times New Roman"/>
                <w:i/>
                <w:iCs/>
                <w:color w:val="000000" w:themeColor="text1"/>
                <w:lang w:val="fr-FR"/>
              </w:rPr>
              <w:t xml:space="preserve">Ricin </w:t>
            </w:r>
            <w:proofErr w:type="spellStart"/>
            <w:r w:rsidRPr="00301AF6">
              <w:rPr>
                <w:rFonts w:ascii="Times New Roman" w:hAnsi="Times New Roman"/>
                <w:i/>
                <w:iCs/>
                <w:color w:val="000000" w:themeColor="text1"/>
                <w:lang w:val="fr-FR"/>
              </w:rPr>
              <w:t>communis</w:t>
            </w:r>
            <w:proofErr w:type="spellEnd"/>
            <w:r w:rsidRPr="00301AF6">
              <w:rPr>
                <w:rFonts w:ascii="Times New Roman" w:hAnsi="Times New Roman"/>
                <w:i/>
                <w:iCs/>
                <w:color w:val="000000" w:themeColor="text1"/>
                <w:lang w:val="fr-FR"/>
              </w:rPr>
              <w:t xml:space="preserve"> ; Cordia </w:t>
            </w:r>
            <w:proofErr w:type="spellStart"/>
            <w:r w:rsidRPr="00301AF6">
              <w:rPr>
                <w:rFonts w:ascii="Times New Roman" w:hAnsi="Times New Roman"/>
                <w:i/>
                <w:iCs/>
                <w:color w:val="000000" w:themeColor="text1"/>
                <w:lang w:val="fr-FR"/>
              </w:rPr>
              <w:t>sebestina</w:t>
            </w:r>
            <w:proofErr w:type="spellEnd"/>
            <w:r w:rsidRPr="00301AF6">
              <w:rPr>
                <w:rFonts w:ascii="Times New Roman" w:hAnsi="Times New Roman"/>
                <w:color w:val="000000" w:themeColor="text1"/>
                <w:lang w:val="fr-FR"/>
              </w:rPr>
              <w:t xml:space="preserve"> et un pied de </w:t>
            </w:r>
            <w:r w:rsidRPr="00301AF6">
              <w:rPr>
                <w:rFonts w:ascii="Times New Roman" w:hAnsi="Times New Roman"/>
                <w:i/>
                <w:iCs/>
                <w:color w:val="000000" w:themeColor="text1"/>
                <w:lang w:val="fr-FR"/>
              </w:rPr>
              <w:t xml:space="preserve">Cocos </w:t>
            </w:r>
            <w:proofErr w:type="spellStart"/>
            <w:r w:rsidRPr="00301AF6">
              <w:rPr>
                <w:rFonts w:ascii="Times New Roman" w:hAnsi="Times New Roman"/>
                <w:i/>
                <w:iCs/>
                <w:color w:val="000000" w:themeColor="text1"/>
                <w:lang w:val="fr-FR"/>
              </w:rPr>
              <w:t>nucifera</w:t>
            </w:r>
            <w:proofErr w:type="spellEnd"/>
            <w:r w:rsidRPr="00301AF6">
              <w:rPr>
                <w:rFonts w:ascii="Times New Roman" w:hAnsi="Times New Roman"/>
                <w:color w:val="000000" w:themeColor="text1"/>
                <w:lang w:val="fr-FR"/>
              </w:rPr>
              <w:t xml:space="preserve"> </w:t>
            </w:r>
          </w:p>
        </w:tc>
      </w:tr>
      <w:tr w:rsidR="00BD1A2F" w:rsidRPr="00632C4D" w14:paraId="50E6603A" w14:textId="77777777" w:rsidTr="003A0E4A">
        <w:tc>
          <w:tcPr>
            <w:tcW w:w="1213" w:type="pct"/>
          </w:tcPr>
          <w:p w14:paraId="4774ED20" w14:textId="77777777" w:rsidR="00DE241D" w:rsidRPr="0097258B" w:rsidRDefault="00DE241D" w:rsidP="00E20250">
            <w:pPr>
              <w:spacing w:line="240" w:lineRule="auto"/>
              <w:rPr>
                <w:rFonts w:ascii="Times New Roman" w:hAnsi="Times New Roman"/>
                <w:color w:val="000000" w:themeColor="text1"/>
                <w:lang w:val="fr-FR"/>
              </w:rPr>
            </w:pPr>
            <w:r w:rsidRPr="00632C4D">
              <w:rPr>
                <w:rFonts w:ascii="Times New Roman" w:hAnsi="Times New Roman"/>
                <w:color w:val="000000" w:themeColor="text1"/>
              </w:rPr>
              <w:t>MARIGOT DE MBAO </w:t>
            </w:r>
          </w:p>
        </w:tc>
        <w:tc>
          <w:tcPr>
            <w:tcW w:w="3787" w:type="pct"/>
          </w:tcPr>
          <w:p w14:paraId="6BB9C5CE" w14:textId="77777777" w:rsidR="00DE241D" w:rsidRPr="0097258B" w:rsidRDefault="00DE241D" w:rsidP="00177E44">
            <w:pPr>
              <w:spacing w:line="240" w:lineRule="auto"/>
              <w:jc w:val="both"/>
              <w:rPr>
                <w:rFonts w:ascii="Times New Roman" w:hAnsi="Times New Roman"/>
                <w:color w:val="000000" w:themeColor="text1"/>
                <w:lang w:val="fr-FR"/>
              </w:rPr>
            </w:pPr>
            <w:r w:rsidRPr="00301AF6">
              <w:rPr>
                <w:rFonts w:ascii="Times New Roman" w:hAnsi="Times New Roman"/>
                <w:color w:val="000000" w:themeColor="text1"/>
                <w:lang w:val="fr-FR"/>
              </w:rPr>
              <w:t xml:space="preserve"> </w:t>
            </w:r>
            <w:r w:rsidRPr="00301AF6">
              <w:rPr>
                <w:rFonts w:ascii="Times New Roman" w:hAnsi="Times New Roman"/>
                <w:i/>
                <w:iCs/>
                <w:color w:val="000000" w:themeColor="text1"/>
                <w:lang w:val="fr-FR"/>
              </w:rPr>
              <w:t xml:space="preserve">Tamarix senegalensis, Prosopis juliflora, </w:t>
            </w:r>
            <w:proofErr w:type="spellStart"/>
            <w:r w:rsidRPr="00301AF6">
              <w:rPr>
                <w:rFonts w:ascii="Times New Roman" w:hAnsi="Times New Roman"/>
                <w:i/>
                <w:iCs/>
                <w:color w:val="000000" w:themeColor="text1"/>
                <w:lang w:val="fr-FR"/>
              </w:rPr>
              <w:t>Anacardium</w:t>
            </w:r>
            <w:proofErr w:type="spellEnd"/>
            <w:r w:rsidRPr="00301AF6">
              <w:rPr>
                <w:rFonts w:ascii="Times New Roman" w:hAnsi="Times New Roman"/>
                <w:i/>
                <w:iCs/>
                <w:color w:val="000000" w:themeColor="text1"/>
                <w:lang w:val="fr-FR"/>
              </w:rPr>
              <w:t xml:space="preserve"> occidentalis</w:t>
            </w:r>
            <w:r w:rsidRPr="00301AF6">
              <w:rPr>
                <w:rFonts w:ascii="Times New Roman" w:hAnsi="Times New Roman"/>
                <w:color w:val="000000" w:themeColor="text1"/>
                <w:lang w:val="fr-FR"/>
              </w:rPr>
              <w:t xml:space="preserve"> et </w:t>
            </w:r>
            <w:r w:rsidRPr="00301AF6">
              <w:rPr>
                <w:rFonts w:ascii="Times New Roman" w:hAnsi="Times New Roman"/>
                <w:i/>
                <w:iCs/>
                <w:color w:val="000000" w:themeColor="text1"/>
                <w:lang w:val="fr-FR"/>
              </w:rPr>
              <w:t xml:space="preserve">Typha australis, </w:t>
            </w:r>
            <w:proofErr w:type="spellStart"/>
            <w:r w:rsidRPr="00301AF6">
              <w:rPr>
                <w:rFonts w:ascii="Times New Roman" w:hAnsi="Times New Roman"/>
                <w:i/>
                <w:iCs/>
                <w:color w:val="000000" w:themeColor="text1"/>
                <w:lang w:val="fr-FR"/>
              </w:rPr>
              <w:t>Avicennia</w:t>
            </w:r>
            <w:proofErr w:type="spellEnd"/>
          </w:p>
        </w:tc>
      </w:tr>
    </w:tbl>
    <w:p w14:paraId="31067C98" w14:textId="77777777" w:rsidR="00DE241D" w:rsidRPr="00260790" w:rsidRDefault="00DE241D" w:rsidP="00F83414">
      <w:pPr>
        <w:spacing w:after="0" w:line="240" w:lineRule="auto"/>
        <w:rPr>
          <w:rFonts w:ascii="Times New Roman" w:hAnsi="Times New Roman"/>
          <w:b/>
          <w:color w:val="000000" w:themeColor="text1"/>
        </w:rPr>
      </w:pPr>
    </w:p>
    <w:p w14:paraId="60E69FCB" w14:textId="77777777" w:rsidR="00DE241D" w:rsidRPr="00260790" w:rsidRDefault="00DE241D" w:rsidP="00E20250">
      <w:pPr>
        <w:spacing w:line="240" w:lineRule="auto"/>
        <w:rPr>
          <w:rFonts w:ascii="Times New Roman" w:hAnsi="Times New Roman"/>
          <w:bCs/>
          <w:color w:val="000000" w:themeColor="text1"/>
        </w:rPr>
      </w:pPr>
      <w:r w:rsidRPr="00260790">
        <w:rPr>
          <w:rFonts w:ascii="Times New Roman" w:hAnsi="Times New Roman"/>
          <w:bCs/>
          <w:color w:val="000000" w:themeColor="text1"/>
        </w:rPr>
        <w:t>Ci-dessous le résumé de l’analyse de la destruction de la végétation.</w:t>
      </w:r>
    </w:p>
    <w:p w14:paraId="485AB6CB" w14:textId="77777777" w:rsidR="004600EA" w:rsidRDefault="004600EA">
      <w:pPr>
        <w:spacing w:line="259" w:lineRule="auto"/>
        <w:rPr>
          <w:rFonts w:ascii="Times New Roman" w:eastAsia="Times New Roman" w:hAnsi="Times New Roman"/>
          <w:i/>
          <w:iCs/>
          <w:color w:val="000000" w:themeColor="text1"/>
          <w:lang w:eastAsia="fr-FR"/>
        </w:rPr>
      </w:pPr>
      <w:bookmarkStart w:id="630" w:name="_Toc207781888"/>
      <w:r>
        <w:rPr>
          <w:color w:val="000000" w:themeColor="text1"/>
        </w:rPr>
        <w:br w:type="page"/>
      </w:r>
    </w:p>
    <w:p w14:paraId="0A8D2104" w14:textId="0C342ACD" w:rsidR="00DE241D" w:rsidRPr="00260790" w:rsidRDefault="00DE241D" w:rsidP="00E20250">
      <w:pPr>
        <w:pStyle w:val="Lgende"/>
        <w:keepNext/>
        <w:spacing w:line="240" w:lineRule="auto"/>
        <w:rPr>
          <w:color w:val="000000" w:themeColor="text1"/>
          <w:sz w:val="22"/>
          <w:szCs w:val="22"/>
        </w:rPr>
      </w:pPr>
      <w:r w:rsidRPr="00260790">
        <w:rPr>
          <w:color w:val="000000" w:themeColor="text1"/>
          <w:sz w:val="22"/>
          <w:szCs w:val="22"/>
        </w:rPr>
        <w:lastRenderedPageBreak/>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47</w:t>
      </w:r>
      <w:r w:rsidRPr="00260790">
        <w:rPr>
          <w:noProof/>
          <w:color w:val="000000" w:themeColor="text1"/>
          <w:sz w:val="22"/>
          <w:szCs w:val="22"/>
        </w:rPr>
        <w:fldChar w:fldCharType="end"/>
      </w:r>
      <w:r w:rsidRPr="00260790">
        <w:rPr>
          <w:color w:val="000000" w:themeColor="text1"/>
          <w:sz w:val="22"/>
          <w:szCs w:val="22"/>
        </w:rPr>
        <w:t> : résumé de l’évaluation de la destruction de la végétation</w:t>
      </w:r>
      <w:bookmarkEnd w:id="630"/>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24"/>
        <w:gridCol w:w="1330"/>
        <w:gridCol w:w="236"/>
        <w:gridCol w:w="953"/>
        <w:gridCol w:w="227"/>
        <w:gridCol w:w="884"/>
        <w:gridCol w:w="290"/>
        <w:gridCol w:w="1571"/>
        <w:gridCol w:w="129"/>
        <w:gridCol w:w="1616"/>
      </w:tblGrid>
      <w:tr w:rsidR="00BD1A2F" w:rsidRPr="00260790" w14:paraId="017BE102" w14:textId="77777777" w:rsidTr="003A0E4A">
        <w:trPr>
          <w:trHeight w:val="234"/>
        </w:trPr>
        <w:tc>
          <w:tcPr>
            <w:tcW w:w="5000" w:type="pct"/>
            <w:gridSpan w:val="10"/>
            <w:shd w:val="clear" w:color="auto" w:fill="D9E2F3" w:themeFill="accent5" w:themeFillTint="33"/>
          </w:tcPr>
          <w:p w14:paraId="63384A01" w14:textId="77777777" w:rsidR="00DE241D" w:rsidRPr="0097258B" w:rsidRDefault="00DE241D" w:rsidP="00E20250">
            <w:pPr>
              <w:spacing w:line="240" w:lineRule="auto"/>
              <w:rPr>
                <w:rFonts w:ascii="Times New Roman" w:hAnsi="Times New Roman"/>
                <w:b/>
                <w:bCs/>
                <w:i/>
                <w:iCs/>
                <w:color w:val="000000" w:themeColor="text1"/>
                <w:sz w:val="20"/>
                <w:szCs w:val="20"/>
                <w:lang w:val="fr-FR"/>
              </w:rPr>
            </w:pPr>
            <w:r w:rsidRPr="00301AF6">
              <w:rPr>
                <w:rFonts w:ascii="Times New Roman" w:hAnsi="Times New Roman"/>
                <w:b/>
                <w:bCs/>
                <w:i/>
                <w:iCs/>
                <w:color w:val="000000" w:themeColor="text1"/>
                <w:sz w:val="20"/>
                <w:szCs w:val="20"/>
                <w:lang w:val="fr-FR"/>
              </w:rPr>
              <w:t>IN-6. Destruction de la végétation</w:t>
            </w:r>
          </w:p>
        </w:tc>
      </w:tr>
      <w:tr w:rsidR="00BD1A2F" w:rsidRPr="00260790" w14:paraId="5A7EED74" w14:textId="77777777" w:rsidTr="003A0E4A">
        <w:trPr>
          <w:trHeight w:val="58"/>
        </w:trPr>
        <w:tc>
          <w:tcPr>
            <w:tcW w:w="5000" w:type="pct"/>
            <w:gridSpan w:val="10"/>
          </w:tcPr>
          <w:p w14:paraId="0873B8A3"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b/>
                <w:bCs/>
                <w:color w:val="000000" w:themeColor="text1"/>
                <w:sz w:val="20"/>
                <w:szCs w:val="20"/>
                <w:lang w:val="fr-FR"/>
              </w:rPr>
              <w:t xml:space="preserve">Source d’impacts : </w:t>
            </w:r>
            <w:r w:rsidRPr="00301AF6">
              <w:rPr>
                <w:rFonts w:ascii="Times New Roman" w:hAnsi="Times New Roman" w:cs="Times New Roman"/>
                <w:color w:val="000000" w:themeColor="text1"/>
                <w:sz w:val="20"/>
                <w:szCs w:val="20"/>
                <w:lang w:val="fr-FR"/>
              </w:rPr>
              <w:t>libération des emprises</w:t>
            </w:r>
            <w:r w:rsidRPr="00301AF6">
              <w:rPr>
                <w:rFonts w:ascii="Times New Roman" w:hAnsi="Times New Roman" w:cs="Times New Roman"/>
                <w:b/>
                <w:bCs/>
                <w:color w:val="000000" w:themeColor="text1"/>
                <w:sz w:val="20"/>
                <w:szCs w:val="20"/>
                <w:lang w:val="fr-FR"/>
              </w:rPr>
              <w:t xml:space="preserve">, </w:t>
            </w:r>
            <w:r w:rsidRPr="00301AF6">
              <w:rPr>
                <w:rFonts w:ascii="Times New Roman" w:hAnsi="Times New Roman" w:cs="Times New Roman"/>
                <w:color w:val="000000" w:themeColor="text1"/>
                <w:sz w:val="20"/>
                <w:szCs w:val="20"/>
                <w:lang w:val="fr-FR"/>
              </w:rPr>
              <w:t>circulation, fonctionnement de la machinerie</w:t>
            </w:r>
          </w:p>
        </w:tc>
      </w:tr>
      <w:tr w:rsidR="00BD1A2F" w:rsidRPr="00260790" w14:paraId="5427F6B7" w14:textId="77777777" w:rsidTr="003A0E4A">
        <w:trPr>
          <w:trHeight w:val="58"/>
        </w:trPr>
        <w:tc>
          <w:tcPr>
            <w:tcW w:w="1007" w:type="pct"/>
          </w:tcPr>
          <w:p w14:paraId="52684EDF"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Critère</w:t>
            </w:r>
            <w:proofErr w:type="spellEnd"/>
          </w:p>
        </w:tc>
        <w:tc>
          <w:tcPr>
            <w:tcW w:w="864" w:type="pct"/>
            <w:gridSpan w:val="2"/>
          </w:tcPr>
          <w:p w14:paraId="06A6AD5D"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Intensité</w:t>
            </w:r>
            <w:proofErr w:type="spellEnd"/>
          </w:p>
        </w:tc>
        <w:tc>
          <w:tcPr>
            <w:tcW w:w="651" w:type="pct"/>
            <w:gridSpan w:val="2"/>
          </w:tcPr>
          <w:p w14:paraId="43556EEC" w14:textId="25DBE1D0" w:rsidR="00DE241D" w:rsidRPr="0097258B" w:rsidRDefault="00E23E20"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É</w:t>
            </w:r>
            <w:r w:rsidR="00DE241D" w:rsidRPr="0097258B">
              <w:rPr>
                <w:rFonts w:ascii="Times New Roman" w:hAnsi="Times New Roman" w:cs="Times New Roman"/>
                <w:b/>
                <w:bCs/>
                <w:color w:val="000000" w:themeColor="text1"/>
                <w:sz w:val="20"/>
                <w:szCs w:val="20"/>
              </w:rPr>
              <w:t>tendue</w:t>
            </w:r>
            <w:proofErr w:type="spellEnd"/>
          </w:p>
        </w:tc>
        <w:tc>
          <w:tcPr>
            <w:tcW w:w="648" w:type="pct"/>
            <w:gridSpan w:val="2"/>
          </w:tcPr>
          <w:p w14:paraId="3F8D3F08"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Durée</w:t>
            </w:r>
          </w:p>
        </w:tc>
        <w:tc>
          <w:tcPr>
            <w:tcW w:w="867" w:type="pct"/>
          </w:tcPr>
          <w:p w14:paraId="28B7F3F1"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Importance</w:t>
            </w:r>
          </w:p>
        </w:tc>
        <w:tc>
          <w:tcPr>
            <w:tcW w:w="962" w:type="pct"/>
            <w:gridSpan w:val="2"/>
          </w:tcPr>
          <w:p w14:paraId="34163CD1" w14:textId="77777777" w:rsidR="00DE241D" w:rsidRPr="0097258B" w:rsidRDefault="00DE241D" w:rsidP="00E20250">
            <w:pPr>
              <w:pStyle w:val="Normaltableau0"/>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Réversibilité</w:t>
            </w:r>
            <w:proofErr w:type="spellEnd"/>
          </w:p>
        </w:tc>
      </w:tr>
      <w:tr w:rsidR="00BD1A2F" w:rsidRPr="00260790" w14:paraId="3017F174" w14:textId="77777777" w:rsidTr="003A0E4A">
        <w:trPr>
          <w:trHeight w:val="58"/>
        </w:trPr>
        <w:tc>
          <w:tcPr>
            <w:tcW w:w="1007" w:type="pct"/>
          </w:tcPr>
          <w:p w14:paraId="1C30ADB0"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Sans </w:t>
            </w:r>
            <w:proofErr w:type="spellStart"/>
            <w:r w:rsidRPr="0097258B">
              <w:rPr>
                <w:rFonts w:ascii="Times New Roman" w:hAnsi="Times New Roman" w:cs="Times New Roman"/>
                <w:color w:val="000000" w:themeColor="text1"/>
                <w:sz w:val="20"/>
                <w:szCs w:val="20"/>
              </w:rPr>
              <w:t>atténuation</w:t>
            </w:r>
            <w:proofErr w:type="spellEnd"/>
          </w:p>
        </w:tc>
        <w:tc>
          <w:tcPr>
            <w:tcW w:w="864" w:type="pct"/>
            <w:gridSpan w:val="2"/>
          </w:tcPr>
          <w:p w14:paraId="1283FF4C"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Faible</w:t>
            </w:r>
            <w:proofErr w:type="spellEnd"/>
          </w:p>
        </w:tc>
        <w:tc>
          <w:tcPr>
            <w:tcW w:w="651" w:type="pct"/>
            <w:gridSpan w:val="2"/>
          </w:tcPr>
          <w:p w14:paraId="6CE5CF96"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Locale</w:t>
            </w:r>
          </w:p>
        </w:tc>
        <w:tc>
          <w:tcPr>
            <w:tcW w:w="648" w:type="pct"/>
            <w:gridSpan w:val="2"/>
          </w:tcPr>
          <w:p w14:paraId="4759AA8C"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Longue</w:t>
            </w:r>
          </w:p>
        </w:tc>
        <w:tc>
          <w:tcPr>
            <w:tcW w:w="867" w:type="pct"/>
            <w:shd w:val="clear" w:color="auto" w:fill="FFFF00"/>
          </w:tcPr>
          <w:p w14:paraId="55F09CD7"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Mineure</w:t>
            </w:r>
            <w:proofErr w:type="spellEnd"/>
            <w:r w:rsidRPr="0097258B">
              <w:rPr>
                <w:rFonts w:ascii="Times New Roman" w:hAnsi="Times New Roman" w:cs="Times New Roman"/>
                <w:b/>
                <w:bCs/>
                <w:color w:val="000000" w:themeColor="text1"/>
                <w:sz w:val="20"/>
                <w:szCs w:val="20"/>
              </w:rPr>
              <w:t xml:space="preserve"> </w:t>
            </w:r>
          </w:p>
        </w:tc>
        <w:tc>
          <w:tcPr>
            <w:tcW w:w="962" w:type="pct"/>
            <w:gridSpan w:val="2"/>
          </w:tcPr>
          <w:p w14:paraId="0ABDD819" w14:textId="77777777" w:rsidR="00DE241D" w:rsidRPr="0097258B" w:rsidRDefault="00DE241D" w:rsidP="00E20250">
            <w:pPr>
              <w:pStyle w:val="Normaltableau0"/>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Réversible</w:t>
            </w:r>
            <w:proofErr w:type="spellEnd"/>
          </w:p>
        </w:tc>
      </w:tr>
      <w:tr w:rsidR="00BD1A2F" w:rsidRPr="00260790" w14:paraId="587D2E6B" w14:textId="77777777" w:rsidTr="003A0E4A">
        <w:trPr>
          <w:trHeight w:val="365"/>
        </w:trPr>
        <w:tc>
          <w:tcPr>
            <w:tcW w:w="1007" w:type="pct"/>
          </w:tcPr>
          <w:p w14:paraId="2196B5BA"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
          <w:p w14:paraId="2DC65818"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d’atténuation</w:t>
            </w:r>
            <w:proofErr w:type="spellEnd"/>
          </w:p>
        </w:tc>
        <w:tc>
          <w:tcPr>
            <w:tcW w:w="3993" w:type="pct"/>
            <w:gridSpan w:val="9"/>
          </w:tcPr>
          <w:p w14:paraId="2D2E5B0D" w14:textId="77777777" w:rsidR="00DE241D" w:rsidRPr="0097258B" w:rsidRDefault="00DE241D" w:rsidP="001748C6">
            <w:pPr>
              <w:pStyle w:val="Default"/>
              <w:numPr>
                <w:ilvl w:val="0"/>
                <w:numId w:val="327"/>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 xml:space="preserve">Limiter les coupes aux seules emprises ; </w:t>
            </w:r>
          </w:p>
          <w:p w14:paraId="6667BC64" w14:textId="6F2E8B62" w:rsidR="00DE241D" w:rsidRPr="0097258B" w:rsidRDefault="00DE241D" w:rsidP="001748C6">
            <w:pPr>
              <w:pStyle w:val="Default"/>
              <w:numPr>
                <w:ilvl w:val="0"/>
                <w:numId w:val="327"/>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 xml:space="preserve">Procéder à un reboisement en aménageant des </w:t>
            </w:r>
            <w:r w:rsidR="00F72ECE" w:rsidRPr="00301AF6">
              <w:rPr>
                <w:rFonts w:ascii="Times New Roman" w:hAnsi="Times New Roman" w:cs="Times New Roman"/>
                <w:color w:val="000000" w:themeColor="text1"/>
                <w:sz w:val="20"/>
                <w:szCs w:val="20"/>
                <w:lang w:val="fr-FR"/>
              </w:rPr>
              <w:t xml:space="preserve">espaces </w:t>
            </w:r>
            <w:r w:rsidRPr="00301AF6">
              <w:rPr>
                <w:rFonts w:ascii="Times New Roman" w:hAnsi="Times New Roman" w:cs="Times New Roman"/>
                <w:color w:val="000000" w:themeColor="text1"/>
                <w:sz w:val="20"/>
                <w:szCs w:val="20"/>
                <w:lang w:val="fr-FR"/>
              </w:rPr>
              <w:t>verts au profit des municipalités ;</w:t>
            </w:r>
          </w:p>
          <w:p w14:paraId="34B32AC9" w14:textId="1F52E610" w:rsidR="00DE241D" w:rsidRPr="0097258B" w:rsidRDefault="00DE241D" w:rsidP="001748C6">
            <w:pPr>
              <w:pStyle w:val="Default"/>
              <w:numPr>
                <w:ilvl w:val="0"/>
                <w:numId w:val="327"/>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Recenser les arbres des tiers susceptibles d’être impactés et les indemniser avant le démarrage des travaux</w:t>
            </w:r>
            <w:r w:rsidR="00A435E1" w:rsidRPr="00301AF6">
              <w:rPr>
                <w:rFonts w:ascii="Times New Roman" w:hAnsi="Times New Roman" w:cs="Times New Roman"/>
                <w:color w:val="000000" w:themeColor="text1"/>
                <w:sz w:val="20"/>
                <w:szCs w:val="20"/>
                <w:lang w:val="fr-FR"/>
              </w:rPr>
              <w:t xml:space="preserve"> à travers un PAR</w:t>
            </w:r>
            <w:r w:rsidRPr="00301AF6">
              <w:rPr>
                <w:rFonts w:ascii="Times New Roman" w:hAnsi="Times New Roman" w:cs="Times New Roman"/>
                <w:color w:val="000000" w:themeColor="text1"/>
                <w:sz w:val="20"/>
                <w:szCs w:val="20"/>
                <w:lang w:val="fr-FR"/>
              </w:rPr>
              <w:t>.</w:t>
            </w:r>
          </w:p>
        </w:tc>
      </w:tr>
      <w:tr w:rsidR="00BD1A2F" w:rsidRPr="00260790" w14:paraId="45CE64A0" w14:textId="77777777" w:rsidTr="003A0E4A">
        <w:trPr>
          <w:trHeight w:val="101"/>
        </w:trPr>
        <w:tc>
          <w:tcPr>
            <w:tcW w:w="1007" w:type="pct"/>
          </w:tcPr>
          <w:p w14:paraId="556AB110"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Avec </w:t>
            </w:r>
            <w:proofErr w:type="spellStart"/>
            <w:r w:rsidRPr="0097258B">
              <w:rPr>
                <w:rFonts w:ascii="Times New Roman" w:hAnsi="Times New Roman" w:cs="Times New Roman"/>
                <w:color w:val="000000" w:themeColor="text1"/>
                <w:sz w:val="20"/>
                <w:szCs w:val="20"/>
              </w:rPr>
              <w:t>atténuation</w:t>
            </w:r>
            <w:proofErr w:type="spellEnd"/>
          </w:p>
        </w:tc>
        <w:tc>
          <w:tcPr>
            <w:tcW w:w="734" w:type="pct"/>
          </w:tcPr>
          <w:p w14:paraId="791785C1"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Faible</w:t>
            </w:r>
            <w:proofErr w:type="spellEnd"/>
          </w:p>
        </w:tc>
        <w:tc>
          <w:tcPr>
            <w:tcW w:w="656" w:type="pct"/>
            <w:gridSpan w:val="2"/>
          </w:tcPr>
          <w:p w14:paraId="1673403E"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Ponctuelle</w:t>
            </w:r>
            <w:proofErr w:type="spellEnd"/>
          </w:p>
        </w:tc>
        <w:tc>
          <w:tcPr>
            <w:tcW w:w="613" w:type="pct"/>
            <w:gridSpan w:val="2"/>
          </w:tcPr>
          <w:p w14:paraId="5E743934"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Courte</w:t>
            </w:r>
          </w:p>
        </w:tc>
        <w:tc>
          <w:tcPr>
            <w:tcW w:w="1098" w:type="pct"/>
            <w:gridSpan w:val="3"/>
          </w:tcPr>
          <w:p w14:paraId="2BC35FF3"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Mineure</w:t>
            </w:r>
            <w:proofErr w:type="spellEnd"/>
            <w:r w:rsidRPr="0097258B">
              <w:rPr>
                <w:rFonts w:ascii="Times New Roman" w:hAnsi="Times New Roman" w:cs="Times New Roman"/>
                <w:b/>
                <w:bCs/>
                <w:color w:val="000000" w:themeColor="text1"/>
                <w:sz w:val="20"/>
                <w:szCs w:val="20"/>
              </w:rPr>
              <w:t xml:space="preserve"> </w:t>
            </w:r>
          </w:p>
        </w:tc>
        <w:tc>
          <w:tcPr>
            <w:tcW w:w="891" w:type="pct"/>
          </w:tcPr>
          <w:p w14:paraId="0144C1E0" w14:textId="77777777" w:rsidR="00DE241D" w:rsidRPr="0097258B" w:rsidRDefault="00DE241D" w:rsidP="00E20250">
            <w:pPr>
              <w:pStyle w:val="TableParagraph"/>
              <w:rPr>
                <w:color w:val="000000" w:themeColor="text1"/>
                <w:sz w:val="20"/>
                <w:szCs w:val="20"/>
                <w:lang w:val="fr-FR"/>
              </w:rPr>
            </w:pPr>
          </w:p>
        </w:tc>
      </w:tr>
    </w:tbl>
    <w:p w14:paraId="19F71516" w14:textId="77777777" w:rsidR="00DE241D" w:rsidRPr="00260790" w:rsidRDefault="00DE241D" w:rsidP="00F83414">
      <w:pPr>
        <w:spacing w:after="0" w:line="240" w:lineRule="auto"/>
        <w:rPr>
          <w:rFonts w:ascii="Times New Roman" w:hAnsi="Times New Roman"/>
          <w:b/>
          <w:color w:val="000000" w:themeColor="text1"/>
        </w:rPr>
      </w:pPr>
    </w:p>
    <w:p w14:paraId="36F0AC75" w14:textId="77777777" w:rsidR="00DE241D" w:rsidRPr="00260790" w:rsidRDefault="00DE241D" w:rsidP="001748C6">
      <w:pPr>
        <w:pStyle w:val="Paragraphedeliste"/>
        <w:numPr>
          <w:ilvl w:val="0"/>
          <w:numId w:val="303"/>
        </w:numPr>
        <w:spacing w:after="0" w:line="240" w:lineRule="auto"/>
        <w:rPr>
          <w:rFonts w:ascii="Times New Roman" w:hAnsi="Times New Roman"/>
          <w:b/>
          <w:i/>
          <w:iCs/>
          <w:color w:val="000000" w:themeColor="text1"/>
        </w:rPr>
      </w:pPr>
      <w:r w:rsidRPr="00260790">
        <w:rPr>
          <w:rFonts w:ascii="Times New Roman" w:hAnsi="Times New Roman"/>
          <w:b/>
          <w:i/>
          <w:iCs/>
          <w:color w:val="000000" w:themeColor="text1"/>
        </w:rPr>
        <w:t>IN-7. Dérangement de la faune</w:t>
      </w:r>
    </w:p>
    <w:p w14:paraId="4A14D893" w14:textId="77777777" w:rsidR="00DE241D" w:rsidRPr="00260790" w:rsidRDefault="00DE241D" w:rsidP="00E20250">
      <w:pPr>
        <w:spacing w:line="240" w:lineRule="auto"/>
        <w:jc w:val="both"/>
        <w:rPr>
          <w:rFonts w:ascii="Times New Roman" w:hAnsi="Times New Roman"/>
          <w:bCs/>
          <w:color w:val="000000" w:themeColor="text1"/>
        </w:rPr>
      </w:pPr>
      <w:r w:rsidRPr="00260790">
        <w:rPr>
          <w:rFonts w:ascii="Times New Roman" w:hAnsi="Times New Roman"/>
          <w:bCs/>
          <w:color w:val="000000" w:themeColor="text1"/>
        </w:rPr>
        <w:t xml:space="preserve">Le site est un milieu converti et donc un piètre habitat faunique. Les seuls animaux observés durant les visites de caractérisation des emprises sont des oiseaux et quelques insectes qui du fait de leur grande mobilité, ne sont pas menacés outre mesure dans le cadre du projet. </w:t>
      </w:r>
    </w:p>
    <w:tbl>
      <w:tblPr>
        <w:tblStyle w:val="Grilledutableau"/>
        <w:tblW w:w="5000" w:type="pct"/>
        <w:tblLook w:val="04A0" w:firstRow="1" w:lastRow="0" w:firstColumn="1" w:lastColumn="0" w:noHBand="0" w:noVBand="1"/>
      </w:tblPr>
      <w:tblGrid>
        <w:gridCol w:w="1591"/>
        <w:gridCol w:w="7469"/>
      </w:tblGrid>
      <w:tr w:rsidR="00BD1A2F" w:rsidRPr="00632C4D" w14:paraId="7ADE33B4" w14:textId="77777777" w:rsidTr="003A0E4A">
        <w:tc>
          <w:tcPr>
            <w:tcW w:w="878" w:type="pct"/>
          </w:tcPr>
          <w:p w14:paraId="1CC5519A" w14:textId="77777777" w:rsidR="00DE241D" w:rsidRPr="0097258B" w:rsidRDefault="00DE241D" w:rsidP="00E20250">
            <w:pPr>
              <w:spacing w:line="240" w:lineRule="auto"/>
              <w:jc w:val="center"/>
              <w:rPr>
                <w:rFonts w:ascii="Times New Roman" w:hAnsi="Times New Roman"/>
                <w:b/>
                <w:color w:val="000000" w:themeColor="text1"/>
                <w:lang w:val="fr-FR"/>
              </w:rPr>
            </w:pPr>
            <w:proofErr w:type="spellStart"/>
            <w:r w:rsidRPr="00632C4D">
              <w:rPr>
                <w:rFonts w:ascii="Times New Roman" w:hAnsi="Times New Roman"/>
                <w:b/>
                <w:color w:val="000000" w:themeColor="text1"/>
              </w:rPr>
              <w:t>Ouvrages</w:t>
            </w:r>
            <w:proofErr w:type="spellEnd"/>
          </w:p>
        </w:tc>
        <w:tc>
          <w:tcPr>
            <w:tcW w:w="4122" w:type="pct"/>
          </w:tcPr>
          <w:p w14:paraId="58D83E63" w14:textId="77777777" w:rsidR="00DE241D" w:rsidRPr="0097258B" w:rsidRDefault="00DE241D" w:rsidP="00E20250">
            <w:pPr>
              <w:spacing w:line="240" w:lineRule="auto"/>
              <w:jc w:val="center"/>
              <w:rPr>
                <w:rFonts w:ascii="Times New Roman" w:hAnsi="Times New Roman"/>
                <w:b/>
                <w:color w:val="000000" w:themeColor="text1"/>
                <w:lang w:val="fr-FR"/>
              </w:rPr>
            </w:pPr>
            <w:proofErr w:type="spellStart"/>
            <w:r w:rsidRPr="00632C4D">
              <w:rPr>
                <w:rFonts w:ascii="Times New Roman" w:hAnsi="Times New Roman"/>
                <w:b/>
                <w:color w:val="000000" w:themeColor="text1"/>
              </w:rPr>
              <w:t>Espèces</w:t>
            </w:r>
            <w:proofErr w:type="spellEnd"/>
            <w:r w:rsidRPr="00632C4D">
              <w:rPr>
                <w:rFonts w:ascii="Times New Roman" w:hAnsi="Times New Roman"/>
                <w:b/>
                <w:color w:val="000000" w:themeColor="text1"/>
              </w:rPr>
              <w:t xml:space="preserve"> </w:t>
            </w:r>
            <w:proofErr w:type="spellStart"/>
            <w:r w:rsidRPr="00632C4D">
              <w:rPr>
                <w:rFonts w:ascii="Times New Roman" w:hAnsi="Times New Roman"/>
                <w:b/>
                <w:color w:val="000000" w:themeColor="text1"/>
              </w:rPr>
              <w:t>animales</w:t>
            </w:r>
            <w:proofErr w:type="spellEnd"/>
          </w:p>
        </w:tc>
      </w:tr>
      <w:tr w:rsidR="00BD1A2F" w:rsidRPr="00632C4D" w14:paraId="7B0432AF" w14:textId="77777777" w:rsidTr="003A0E4A">
        <w:tc>
          <w:tcPr>
            <w:tcW w:w="878" w:type="pct"/>
          </w:tcPr>
          <w:p w14:paraId="39727521" w14:textId="77777777" w:rsidR="00DE241D" w:rsidRPr="0097258B" w:rsidRDefault="00DE241D" w:rsidP="00E20250">
            <w:pPr>
              <w:spacing w:line="240" w:lineRule="auto"/>
              <w:rPr>
                <w:rFonts w:ascii="Times New Roman" w:hAnsi="Times New Roman"/>
                <w:bCs/>
                <w:color w:val="000000" w:themeColor="text1"/>
                <w:lang w:val="fr-FR"/>
              </w:rPr>
            </w:pPr>
            <w:r w:rsidRPr="00632C4D">
              <w:rPr>
                <w:rFonts w:ascii="Times New Roman" w:hAnsi="Times New Roman"/>
                <w:bCs/>
                <w:color w:val="000000" w:themeColor="text1"/>
              </w:rPr>
              <w:t>BR_NC 10 </w:t>
            </w:r>
          </w:p>
        </w:tc>
        <w:tc>
          <w:tcPr>
            <w:tcW w:w="4122" w:type="pct"/>
          </w:tcPr>
          <w:p w14:paraId="77044CD3" w14:textId="77777777" w:rsidR="00DE241D" w:rsidRPr="0097258B" w:rsidRDefault="00DE241D" w:rsidP="00E20250">
            <w:pPr>
              <w:spacing w:line="240" w:lineRule="auto"/>
              <w:rPr>
                <w:rFonts w:ascii="Times New Roman" w:hAnsi="Times New Roman"/>
                <w:bCs/>
                <w:color w:val="000000" w:themeColor="text1"/>
                <w:lang w:val="fr-FR"/>
              </w:rPr>
            </w:pPr>
            <w:r w:rsidRPr="00301AF6">
              <w:rPr>
                <w:rFonts w:ascii="Times New Roman" w:hAnsi="Times New Roman"/>
                <w:bCs/>
                <w:color w:val="000000" w:themeColor="text1"/>
                <w:lang w:val="fr-FR"/>
              </w:rPr>
              <w:t>Milan, corbeau pie, vanneau, tourterelle maillée, bulbul des jardins, moineau domestique et libellule </w:t>
            </w:r>
          </w:p>
        </w:tc>
      </w:tr>
      <w:tr w:rsidR="00BD1A2F" w:rsidRPr="00632C4D" w14:paraId="46D00781" w14:textId="77777777" w:rsidTr="003A0E4A">
        <w:tc>
          <w:tcPr>
            <w:tcW w:w="878" w:type="pct"/>
          </w:tcPr>
          <w:p w14:paraId="6B196379" w14:textId="77777777" w:rsidR="00DE241D" w:rsidRPr="0097258B" w:rsidRDefault="00DE241D" w:rsidP="00E20250">
            <w:pPr>
              <w:spacing w:line="240" w:lineRule="auto"/>
              <w:rPr>
                <w:rFonts w:ascii="Times New Roman" w:hAnsi="Times New Roman"/>
                <w:bCs/>
                <w:color w:val="000000" w:themeColor="text1"/>
                <w:lang w:val="fr-FR"/>
              </w:rPr>
            </w:pPr>
            <w:r w:rsidRPr="00632C4D">
              <w:rPr>
                <w:rFonts w:ascii="Times New Roman" w:hAnsi="Times New Roman"/>
                <w:bCs/>
                <w:color w:val="000000" w:themeColor="text1"/>
              </w:rPr>
              <w:t>BR_NC 09a </w:t>
            </w:r>
          </w:p>
        </w:tc>
        <w:tc>
          <w:tcPr>
            <w:tcW w:w="4122" w:type="pct"/>
          </w:tcPr>
          <w:p w14:paraId="480A1B8F" w14:textId="77777777" w:rsidR="00DE241D" w:rsidRPr="0097258B" w:rsidRDefault="00DE241D" w:rsidP="00E20250">
            <w:pPr>
              <w:spacing w:line="240" w:lineRule="auto"/>
              <w:rPr>
                <w:rFonts w:ascii="Times New Roman" w:hAnsi="Times New Roman"/>
                <w:bCs/>
                <w:color w:val="000000" w:themeColor="text1"/>
                <w:lang w:val="fr-FR"/>
              </w:rPr>
            </w:pPr>
            <w:r w:rsidRPr="00301AF6">
              <w:rPr>
                <w:rFonts w:ascii="Times New Roman" w:hAnsi="Times New Roman"/>
                <w:bCs/>
                <w:color w:val="000000" w:themeColor="text1"/>
                <w:lang w:val="fr-FR"/>
              </w:rPr>
              <w:t>Tourterelle, milan noir à bec jaune d’insectes (papillons) </w:t>
            </w:r>
          </w:p>
        </w:tc>
      </w:tr>
      <w:tr w:rsidR="00BD1A2F" w:rsidRPr="00632C4D" w14:paraId="69B9942E" w14:textId="77777777" w:rsidTr="003A0E4A">
        <w:tc>
          <w:tcPr>
            <w:tcW w:w="878" w:type="pct"/>
          </w:tcPr>
          <w:p w14:paraId="35BCAF70" w14:textId="77777777" w:rsidR="00DE241D" w:rsidRPr="0097258B" w:rsidRDefault="00DE241D" w:rsidP="00E20250">
            <w:pPr>
              <w:spacing w:line="240" w:lineRule="auto"/>
              <w:rPr>
                <w:rFonts w:ascii="Times New Roman" w:hAnsi="Times New Roman"/>
                <w:bCs/>
                <w:color w:val="000000" w:themeColor="text1"/>
                <w:lang w:val="fr-FR"/>
              </w:rPr>
            </w:pPr>
            <w:r w:rsidRPr="00632C4D">
              <w:rPr>
                <w:rFonts w:ascii="Times New Roman" w:hAnsi="Times New Roman"/>
                <w:bCs/>
                <w:color w:val="000000" w:themeColor="text1"/>
              </w:rPr>
              <w:t>E2-TER </w:t>
            </w:r>
          </w:p>
        </w:tc>
        <w:tc>
          <w:tcPr>
            <w:tcW w:w="4122" w:type="pct"/>
          </w:tcPr>
          <w:p w14:paraId="22A331C8" w14:textId="67A61C85" w:rsidR="00DE241D" w:rsidRPr="0097258B" w:rsidRDefault="00DE241D" w:rsidP="00E20250">
            <w:pPr>
              <w:spacing w:line="240" w:lineRule="auto"/>
              <w:rPr>
                <w:rFonts w:ascii="Times New Roman" w:hAnsi="Times New Roman"/>
                <w:bCs/>
                <w:color w:val="000000" w:themeColor="text1"/>
                <w:lang w:val="fr-FR"/>
              </w:rPr>
            </w:pPr>
            <w:r w:rsidRPr="00301AF6">
              <w:rPr>
                <w:rFonts w:ascii="Times New Roman" w:hAnsi="Times New Roman"/>
                <w:bCs/>
                <w:color w:val="000000" w:themeColor="text1"/>
                <w:lang w:val="fr-FR"/>
              </w:rPr>
              <w:t>Héron garde</w:t>
            </w:r>
            <w:r w:rsidR="00A55C9E" w:rsidRPr="00301AF6">
              <w:rPr>
                <w:rFonts w:ascii="Times New Roman" w:hAnsi="Times New Roman"/>
                <w:bCs/>
                <w:color w:val="000000" w:themeColor="text1"/>
                <w:lang w:val="fr-FR"/>
              </w:rPr>
              <w:t>-</w:t>
            </w:r>
            <w:r w:rsidRPr="00301AF6">
              <w:rPr>
                <w:rFonts w:ascii="Times New Roman" w:hAnsi="Times New Roman"/>
                <w:bCs/>
                <w:color w:val="000000" w:themeColor="text1"/>
                <w:lang w:val="fr-FR"/>
              </w:rPr>
              <w:t>bœuf, moineau domestique et tourterelle maillée </w:t>
            </w:r>
          </w:p>
        </w:tc>
      </w:tr>
      <w:tr w:rsidR="00BD1A2F" w:rsidRPr="00632C4D" w14:paraId="63124276" w14:textId="77777777" w:rsidTr="003A0E4A">
        <w:tc>
          <w:tcPr>
            <w:tcW w:w="878" w:type="pct"/>
          </w:tcPr>
          <w:p w14:paraId="0F769057" w14:textId="77777777" w:rsidR="00DE241D" w:rsidRPr="0097258B" w:rsidRDefault="00DE241D" w:rsidP="00E20250">
            <w:pPr>
              <w:spacing w:line="240" w:lineRule="auto"/>
              <w:rPr>
                <w:rFonts w:ascii="Times New Roman" w:hAnsi="Times New Roman"/>
                <w:bCs/>
                <w:color w:val="000000" w:themeColor="text1"/>
                <w:lang w:val="fr-FR"/>
              </w:rPr>
            </w:pPr>
            <w:r w:rsidRPr="00632C4D">
              <w:rPr>
                <w:rFonts w:ascii="Times New Roman" w:hAnsi="Times New Roman"/>
                <w:bCs/>
                <w:color w:val="000000" w:themeColor="text1"/>
              </w:rPr>
              <w:t>BR_NA 16g </w:t>
            </w:r>
          </w:p>
        </w:tc>
        <w:tc>
          <w:tcPr>
            <w:tcW w:w="4122" w:type="pct"/>
          </w:tcPr>
          <w:p w14:paraId="528C1519" w14:textId="6AA10623" w:rsidR="00DE241D" w:rsidRPr="0097258B" w:rsidRDefault="00DE241D" w:rsidP="00E20250">
            <w:pPr>
              <w:spacing w:line="240" w:lineRule="auto"/>
              <w:rPr>
                <w:rFonts w:ascii="Times New Roman" w:hAnsi="Times New Roman"/>
                <w:bCs/>
                <w:color w:val="000000" w:themeColor="text1"/>
                <w:lang w:val="fr-FR"/>
              </w:rPr>
            </w:pPr>
            <w:r w:rsidRPr="00301AF6">
              <w:rPr>
                <w:rFonts w:ascii="Times New Roman" w:hAnsi="Times New Roman"/>
                <w:bCs/>
                <w:color w:val="000000" w:themeColor="text1"/>
                <w:lang w:val="fr-FR"/>
              </w:rPr>
              <w:t>Corbeau pie, héron garde</w:t>
            </w:r>
            <w:r w:rsidR="00A55C9E" w:rsidRPr="00301AF6">
              <w:rPr>
                <w:rFonts w:ascii="Times New Roman" w:hAnsi="Times New Roman"/>
                <w:bCs/>
                <w:color w:val="000000" w:themeColor="text1"/>
                <w:lang w:val="fr-FR"/>
              </w:rPr>
              <w:t>-</w:t>
            </w:r>
            <w:r w:rsidRPr="00301AF6">
              <w:rPr>
                <w:rFonts w:ascii="Times New Roman" w:hAnsi="Times New Roman"/>
                <w:bCs/>
                <w:color w:val="000000" w:themeColor="text1"/>
                <w:lang w:val="fr-FR"/>
              </w:rPr>
              <w:t>bœuf, milan à bec jaune et vanneau éperonné </w:t>
            </w:r>
          </w:p>
        </w:tc>
      </w:tr>
    </w:tbl>
    <w:p w14:paraId="4E8C95AA" w14:textId="77777777" w:rsidR="00DE241D" w:rsidRPr="00260790" w:rsidRDefault="00DE241D" w:rsidP="00F83414">
      <w:pPr>
        <w:spacing w:after="0" w:line="240" w:lineRule="auto"/>
        <w:jc w:val="both"/>
        <w:rPr>
          <w:rFonts w:ascii="Times New Roman" w:hAnsi="Times New Roman"/>
          <w:bCs/>
          <w:color w:val="000000" w:themeColor="text1"/>
        </w:rPr>
      </w:pPr>
    </w:p>
    <w:p w14:paraId="02566AB6" w14:textId="33776635" w:rsidR="00DE241D" w:rsidRPr="00260790" w:rsidRDefault="00DE241D" w:rsidP="00E20250">
      <w:pPr>
        <w:pStyle w:val="Lgende"/>
        <w:keepNext/>
        <w:spacing w:line="240" w:lineRule="auto"/>
        <w:rPr>
          <w:color w:val="000000" w:themeColor="text1"/>
          <w:sz w:val="22"/>
          <w:szCs w:val="22"/>
        </w:rPr>
      </w:pPr>
      <w:bookmarkStart w:id="631" w:name="_Toc207781889"/>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48</w:t>
      </w:r>
      <w:r w:rsidRPr="00260790">
        <w:rPr>
          <w:color w:val="000000" w:themeColor="text1"/>
          <w:sz w:val="22"/>
          <w:szCs w:val="22"/>
        </w:rPr>
        <w:fldChar w:fldCharType="end"/>
      </w:r>
      <w:r w:rsidRPr="00260790">
        <w:rPr>
          <w:color w:val="000000" w:themeColor="text1"/>
          <w:sz w:val="22"/>
          <w:szCs w:val="22"/>
        </w:rPr>
        <w:t> : résumé de l’évaluation du dérangement de la faune</w:t>
      </w:r>
      <w:bookmarkEnd w:id="631"/>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22"/>
        <w:gridCol w:w="1330"/>
        <w:gridCol w:w="236"/>
        <w:gridCol w:w="953"/>
        <w:gridCol w:w="227"/>
        <w:gridCol w:w="884"/>
        <w:gridCol w:w="290"/>
        <w:gridCol w:w="1571"/>
        <w:gridCol w:w="129"/>
        <w:gridCol w:w="1618"/>
      </w:tblGrid>
      <w:tr w:rsidR="00BD1A2F" w:rsidRPr="00632C4D" w14:paraId="1EA37471" w14:textId="77777777" w:rsidTr="003A0E4A">
        <w:trPr>
          <w:trHeight w:val="234"/>
        </w:trPr>
        <w:tc>
          <w:tcPr>
            <w:tcW w:w="5000" w:type="pct"/>
            <w:gridSpan w:val="10"/>
            <w:shd w:val="clear" w:color="auto" w:fill="D9E2F3" w:themeFill="accent5" w:themeFillTint="33"/>
          </w:tcPr>
          <w:p w14:paraId="48487453" w14:textId="3E75552A" w:rsidR="00DE241D" w:rsidRPr="0097258B" w:rsidRDefault="00DE241D" w:rsidP="00E20250">
            <w:pPr>
              <w:spacing w:line="240" w:lineRule="auto"/>
              <w:rPr>
                <w:rFonts w:ascii="Times New Roman" w:hAnsi="Times New Roman"/>
                <w:b/>
                <w:bCs/>
                <w:i/>
                <w:iCs/>
                <w:color w:val="000000" w:themeColor="text1"/>
                <w:sz w:val="20"/>
                <w:szCs w:val="20"/>
                <w:lang w:val="fr-FR"/>
              </w:rPr>
            </w:pPr>
            <w:r w:rsidRPr="00301AF6">
              <w:rPr>
                <w:rFonts w:ascii="Times New Roman" w:hAnsi="Times New Roman"/>
                <w:b/>
                <w:bCs/>
                <w:i/>
                <w:iCs/>
                <w:color w:val="000000" w:themeColor="text1"/>
                <w:sz w:val="20"/>
                <w:szCs w:val="20"/>
                <w:lang w:val="fr-FR"/>
              </w:rPr>
              <w:t xml:space="preserve">IN-7. </w:t>
            </w:r>
            <w:r w:rsidR="00F11A3D" w:rsidRPr="00301AF6">
              <w:rPr>
                <w:rFonts w:ascii="Times New Roman" w:hAnsi="Times New Roman"/>
                <w:b/>
                <w:i/>
                <w:iCs/>
                <w:color w:val="000000" w:themeColor="text1"/>
                <w:sz w:val="20"/>
                <w:szCs w:val="20"/>
                <w:lang w:val="fr-FR"/>
              </w:rPr>
              <w:t>Dérangement</w:t>
            </w:r>
            <w:r w:rsidRPr="0097258B">
              <w:rPr>
                <w:rFonts w:ascii="Times New Roman" w:hAnsi="Times New Roman"/>
                <w:b/>
                <w:i/>
                <w:iCs/>
                <w:color w:val="000000" w:themeColor="text1"/>
                <w:sz w:val="20"/>
                <w:szCs w:val="20"/>
                <w:lang w:val="fr-SN"/>
              </w:rPr>
              <w:t xml:space="preserve"> de la faune</w:t>
            </w:r>
          </w:p>
        </w:tc>
      </w:tr>
      <w:tr w:rsidR="00BD1A2F" w:rsidRPr="00632C4D" w14:paraId="21F67A33" w14:textId="77777777" w:rsidTr="003A0E4A">
        <w:trPr>
          <w:trHeight w:val="58"/>
        </w:trPr>
        <w:tc>
          <w:tcPr>
            <w:tcW w:w="5000" w:type="pct"/>
            <w:gridSpan w:val="10"/>
          </w:tcPr>
          <w:p w14:paraId="7FB6C6D3" w14:textId="448BC448"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b/>
                <w:bCs/>
                <w:color w:val="000000" w:themeColor="text1"/>
                <w:sz w:val="20"/>
                <w:szCs w:val="20"/>
                <w:lang w:val="fr-FR"/>
              </w:rPr>
              <w:t>Source d’impacts :</w:t>
            </w:r>
            <w:r w:rsidRPr="00301AF6">
              <w:rPr>
                <w:rFonts w:ascii="Times New Roman" w:hAnsi="Times New Roman" w:cs="Times New Roman"/>
                <w:color w:val="000000" w:themeColor="text1"/>
                <w:sz w:val="20"/>
                <w:szCs w:val="20"/>
                <w:lang w:val="fr-FR"/>
              </w:rPr>
              <w:t xml:space="preserve"> libération des emprise</w:t>
            </w:r>
            <w:r w:rsidR="007F1D21" w:rsidRPr="00301AF6">
              <w:rPr>
                <w:rFonts w:ascii="Times New Roman" w:hAnsi="Times New Roman" w:cs="Times New Roman"/>
                <w:color w:val="000000" w:themeColor="text1"/>
                <w:sz w:val="20"/>
                <w:szCs w:val="20"/>
                <w:lang w:val="fr-FR"/>
              </w:rPr>
              <w:t>s</w:t>
            </w:r>
            <w:r w:rsidRPr="00301AF6">
              <w:rPr>
                <w:rFonts w:ascii="Times New Roman" w:hAnsi="Times New Roman" w:cs="Times New Roman"/>
                <w:color w:val="000000" w:themeColor="text1"/>
                <w:sz w:val="20"/>
                <w:szCs w:val="20"/>
                <w:lang w:val="fr-FR"/>
              </w:rPr>
              <w:t>, circulation, fonctionnement de la machinerie, génie civil</w:t>
            </w:r>
          </w:p>
        </w:tc>
      </w:tr>
      <w:tr w:rsidR="00BD1A2F" w:rsidRPr="00632C4D" w14:paraId="2D0B9ED4" w14:textId="77777777" w:rsidTr="003A0E4A">
        <w:trPr>
          <w:trHeight w:val="58"/>
        </w:trPr>
        <w:tc>
          <w:tcPr>
            <w:tcW w:w="1006" w:type="pct"/>
          </w:tcPr>
          <w:p w14:paraId="07BABF96"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Critère</w:t>
            </w:r>
            <w:proofErr w:type="spellEnd"/>
          </w:p>
        </w:tc>
        <w:tc>
          <w:tcPr>
            <w:tcW w:w="864" w:type="pct"/>
            <w:gridSpan w:val="2"/>
          </w:tcPr>
          <w:p w14:paraId="225494CB"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Intensité</w:t>
            </w:r>
            <w:proofErr w:type="spellEnd"/>
          </w:p>
        </w:tc>
        <w:tc>
          <w:tcPr>
            <w:tcW w:w="651" w:type="pct"/>
            <w:gridSpan w:val="2"/>
          </w:tcPr>
          <w:p w14:paraId="21DCE52C" w14:textId="36510E0A" w:rsidR="00DE241D" w:rsidRPr="0097258B" w:rsidRDefault="00F11A3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Étendue</w:t>
            </w:r>
            <w:proofErr w:type="spellEnd"/>
          </w:p>
        </w:tc>
        <w:tc>
          <w:tcPr>
            <w:tcW w:w="648" w:type="pct"/>
            <w:gridSpan w:val="2"/>
          </w:tcPr>
          <w:p w14:paraId="32509004"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Durée</w:t>
            </w:r>
          </w:p>
        </w:tc>
        <w:tc>
          <w:tcPr>
            <w:tcW w:w="867" w:type="pct"/>
          </w:tcPr>
          <w:p w14:paraId="57B1CAC9"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Importance</w:t>
            </w:r>
          </w:p>
        </w:tc>
        <w:tc>
          <w:tcPr>
            <w:tcW w:w="963" w:type="pct"/>
            <w:gridSpan w:val="2"/>
          </w:tcPr>
          <w:p w14:paraId="5ABD58FC" w14:textId="77777777" w:rsidR="00DE241D" w:rsidRPr="0097258B" w:rsidRDefault="00DE241D" w:rsidP="00E20250">
            <w:pPr>
              <w:pStyle w:val="Normaltableau0"/>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Réversibilité</w:t>
            </w:r>
            <w:proofErr w:type="spellEnd"/>
          </w:p>
        </w:tc>
      </w:tr>
      <w:tr w:rsidR="00BD1A2F" w:rsidRPr="00632C4D" w14:paraId="23D277FD" w14:textId="77777777" w:rsidTr="003A0E4A">
        <w:trPr>
          <w:trHeight w:val="58"/>
        </w:trPr>
        <w:tc>
          <w:tcPr>
            <w:tcW w:w="1006" w:type="pct"/>
          </w:tcPr>
          <w:p w14:paraId="31D8F858"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Sans </w:t>
            </w:r>
            <w:proofErr w:type="spellStart"/>
            <w:r w:rsidRPr="0097258B">
              <w:rPr>
                <w:rFonts w:ascii="Times New Roman" w:hAnsi="Times New Roman" w:cs="Times New Roman"/>
                <w:color w:val="000000" w:themeColor="text1"/>
                <w:sz w:val="20"/>
                <w:szCs w:val="20"/>
              </w:rPr>
              <w:t>atténuation</w:t>
            </w:r>
            <w:proofErr w:type="spellEnd"/>
          </w:p>
        </w:tc>
        <w:tc>
          <w:tcPr>
            <w:tcW w:w="864" w:type="pct"/>
            <w:gridSpan w:val="2"/>
          </w:tcPr>
          <w:p w14:paraId="6BBC0CD3"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Faible</w:t>
            </w:r>
            <w:proofErr w:type="spellEnd"/>
          </w:p>
        </w:tc>
        <w:tc>
          <w:tcPr>
            <w:tcW w:w="651" w:type="pct"/>
            <w:gridSpan w:val="2"/>
          </w:tcPr>
          <w:p w14:paraId="2844F816"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Locale</w:t>
            </w:r>
          </w:p>
        </w:tc>
        <w:tc>
          <w:tcPr>
            <w:tcW w:w="648" w:type="pct"/>
            <w:gridSpan w:val="2"/>
          </w:tcPr>
          <w:p w14:paraId="78EE1A2A"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Longue</w:t>
            </w:r>
          </w:p>
        </w:tc>
        <w:tc>
          <w:tcPr>
            <w:tcW w:w="867" w:type="pct"/>
            <w:shd w:val="clear" w:color="auto" w:fill="FFFF00"/>
          </w:tcPr>
          <w:p w14:paraId="616EA39C"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Mineure</w:t>
            </w:r>
            <w:proofErr w:type="spellEnd"/>
            <w:r w:rsidRPr="0097258B">
              <w:rPr>
                <w:rFonts w:ascii="Times New Roman" w:hAnsi="Times New Roman" w:cs="Times New Roman"/>
                <w:b/>
                <w:bCs/>
                <w:color w:val="000000" w:themeColor="text1"/>
                <w:sz w:val="20"/>
                <w:szCs w:val="20"/>
              </w:rPr>
              <w:t xml:space="preserve"> </w:t>
            </w:r>
          </w:p>
        </w:tc>
        <w:tc>
          <w:tcPr>
            <w:tcW w:w="963" w:type="pct"/>
            <w:gridSpan w:val="2"/>
          </w:tcPr>
          <w:p w14:paraId="6C87764E" w14:textId="77777777" w:rsidR="00DE241D" w:rsidRPr="0097258B" w:rsidRDefault="00DE241D" w:rsidP="00E20250">
            <w:pPr>
              <w:pStyle w:val="Normaltableau0"/>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Réversible</w:t>
            </w:r>
            <w:proofErr w:type="spellEnd"/>
          </w:p>
        </w:tc>
      </w:tr>
      <w:tr w:rsidR="00BD1A2F" w:rsidRPr="00632C4D" w14:paraId="00C846AA" w14:textId="77777777" w:rsidTr="003A0E4A">
        <w:trPr>
          <w:trHeight w:val="365"/>
        </w:trPr>
        <w:tc>
          <w:tcPr>
            <w:tcW w:w="1006" w:type="pct"/>
          </w:tcPr>
          <w:p w14:paraId="5C51DCE1"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
          <w:p w14:paraId="4B9397E0"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d’atténuation</w:t>
            </w:r>
            <w:proofErr w:type="spellEnd"/>
          </w:p>
        </w:tc>
        <w:tc>
          <w:tcPr>
            <w:tcW w:w="3994" w:type="pct"/>
            <w:gridSpan w:val="9"/>
          </w:tcPr>
          <w:p w14:paraId="78365B0A" w14:textId="77777777" w:rsidR="00DE241D" w:rsidRPr="0097258B" w:rsidRDefault="00DE241D" w:rsidP="001748C6">
            <w:pPr>
              <w:pStyle w:val="Default"/>
              <w:numPr>
                <w:ilvl w:val="0"/>
                <w:numId w:val="327"/>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 xml:space="preserve">Limiter les coupes aux seules emprises ; </w:t>
            </w:r>
          </w:p>
          <w:p w14:paraId="584F99B3" w14:textId="42BA1795" w:rsidR="00DE241D" w:rsidRPr="0097258B" w:rsidRDefault="00DE241D" w:rsidP="001748C6">
            <w:pPr>
              <w:pStyle w:val="Default"/>
              <w:numPr>
                <w:ilvl w:val="0"/>
                <w:numId w:val="327"/>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Procéder à un reboisement en aménageant des esp</w:t>
            </w:r>
            <w:r w:rsidR="00A435E1" w:rsidRPr="00301AF6">
              <w:rPr>
                <w:rFonts w:ascii="Times New Roman" w:hAnsi="Times New Roman" w:cs="Times New Roman"/>
                <w:color w:val="000000" w:themeColor="text1"/>
                <w:sz w:val="20"/>
                <w:szCs w:val="20"/>
                <w:lang w:val="fr-FR"/>
              </w:rPr>
              <w:t>a</w:t>
            </w:r>
            <w:r w:rsidRPr="00301AF6">
              <w:rPr>
                <w:rFonts w:ascii="Times New Roman" w:hAnsi="Times New Roman" w:cs="Times New Roman"/>
                <w:color w:val="000000" w:themeColor="text1"/>
                <w:sz w:val="20"/>
                <w:szCs w:val="20"/>
                <w:lang w:val="fr-FR"/>
              </w:rPr>
              <w:t>ces verts au profit des municipalités</w:t>
            </w:r>
            <w:r w:rsidR="00A435E1" w:rsidRPr="00301AF6">
              <w:rPr>
                <w:rFonts w:ascii="Times New Roman" w:hAnsi="Times New Roman" w:cs="Times New Roman"/>
                <w:color w:val="000000" w:themeColor="text1"/>
                <w:sz w:val="20"/>
                <w:szCs w:val="20"/>
                <w:lang w:val="fr-FR"/>
              </w:rPr>
              <w:t>.</w:t>
            </w:r>
          </w:p>
        </w:tc>
      </w:tr>
      <w:tr w:rsidR="00BD1A2F" w:rsidRPr="00632C4D" w14:paraId="2F6A2C9C" w14:textId="77777777" w:rsidTr="003A0E4A">
        <w:trPr>
          <w:trHeight w:val="101"/>
        </w:trPr>
        <w:tc>
          <w:tcPr>
            <w:tcW w:w="1006" w:type="pct"/>
          </w:tcPr>
          <w:p w14:paraId="1E4BAB0C"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Avec </w:t>
            </w:r>
            <w:proofErr w:type="spellStart"/>
            <w:r w:rsidRPr="0097258B">
              <w:rPr>
                <w:rFonts w:ascii="Times New Roman" w:hAnsi="Times New Roman" w:cs="Times New Roman"/>
                <w:color w:val="000000" w:themeColor="text1"/>
                <w:sz w:val="20"/>
                <w:szCs w:val="20"/>
              </w:rPr>
              <w:t>atténuation</w:t>
            </w:r>
            <w:proofErr w:type="spellEnd"/>
          </w:p>
        </w:tc>
        <w:tc>
          <w:tcPr>
            <w:tcW w:w="734" w:type="pct"/>
          </w:tcPr>
          <w:p w14:paraId="57EDA32E"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Faible</w:t>
            </w:r>
            <w:proofErr w:type="spellEnd"/>
          </w:p>
        </w:tc>
        <w:tc>
          <w:tcPr>
            <w:tcW w:w="656" w:type="pct"/>
            <w:gridSpan w:val="2"/>
          </w:tcPr>
          <w:p w14:paraId="529A0D6A"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Ponctuelle</w:t>
            </w:r>
            <w:proofErr w:type="spellEnd"/>
          </w:p>
        </w:tc>
        <w:tc>
          <w:tcPr>
            <w:tcW w:w="613" w:type="pct"/>
            <w:gridSpan w:val="2"/>
          </w:tcPr>
          <w:p w14:paraId="7B017AAA"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Courte</w:t>
            </w:r>
          </w:p>
        </w:tc>
        <w:tc>
          <w:tcPr>
            <w:tcW w:w="1098" w:type="pct"/>
            <w:gridSpan w:val="3"/>
          </w:tcPr>
          <w:p w14:paraId="02CBBFD3"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Mineure</w:t>
            </w:r>
            <w:proofErr w:type="spellEnd"/>
            <w:r w:rsidRPr="0097258B">
              <w:rPr>
                <w:rFonts w:ascii="Times New Roman" w:hAnsi="Times New Roman" w:cs="Times New Roman"/>
                <w:b/>
                <w:bCs/>
                <w:color w:val="000000" w:themeColor="text1"/>
                <w:sz w:val="20"/>
                <w:szCs w:val="20"/>
              </w:rPr>
              <w:t xml:space="preserve"> </w:t>
            </w:r>
          </w:p>
        </w:tc>
        <w:tc>
          <w:tcPr>
            <w:tcW w:w="892" w:type="pct"/>
          </w:tcPr>
          <w:p w14:paraId="5D8AC310" w14:textId="77777777" w:rsidR="00DE241D" w:rsidRPr="0097258B" w:rsidRDefault="00DE241D" w:rsidP="00E20250">
            <w:pPr>
              <w:pStyle w:val="TableParagraph"/>
              <w:rPr>
                <w:color w:val="000000" w:themeColor="text1"/>
                <w:sz w:val="20"/>
                <w:szCs w:val="20"/>
                <w:lang w:val="fr-FR"/>
              </w:rPr>
            </w:pPr>
          </w:p>
        </w:tc>
      </w:tr>
    </w:tbl>
    <w:p w14:paraId="173E2774" w14:textId="77777777" w:rsidR="00DE241D" w:rsidRPr="00260790" w:rsidRDefault="00DE241D" w:rsidP="00F83414">
      <w:pPr>
        <w:spacing w:after="0" w:line="240" w:lineRule="auto"/>
        <w:jc w:val="both"/>
        <w:rPr>
          <w:rFonts w:ascii="Times New Roman" w:hAnsi="Times New Roman"/>
          <w:bCs/>
          <w:color w:val="000000" w:themeColor="text1"/>
        </w:rPr>
      </w:pPr>
    </w:p>
    <w:p w14:paraId="467C4B42" w14:textId="77777777" w:rsidR="00DE241D" w:rsidRPr="00260790" w:rsidRDefault="00DE241D" w:rsidP="001748C6">
      <w:pPr>
        <w:pStyle w:val="Paragraphedeliste"/>
        <w:numPr>
          <w:ilvl w:val="0"/>
          <w:numId w:val="304"/>
        </w:numPr>
        <w:spacing w:after="0" w:line="240" w:lineRule="auto"/>
        <w:ind w:right="113"/>
        <w:jc w:val="both"/>
        <w:rPr>
          <w:rFonts w:ascii="Times New Roman" w:hAnsi="Times New Roman"/>
          <w:bCs/>
          <w:i/>
          <w:iCs/>
          <w:color w:val="000000" w:themeColor="text1"/>
          <w:u w:val="single"/>
        </w:rPr>
      </w:pPr>
      <w:r w:rsidRPr="00260790">
        <w:rPr>
          <w:rFonts w:ascii="Times New Roman" w:hAnsi="Times New Roman"/>
          <w:bCs/>
          <w:i/>
          <w:iCs/>
          <w:color w:val="000000" w:themeColor="text1"/>
          <w:u w:val="single"/>
        </w:rPr>
        <w:t>Impacts négatifs et risques sur le milieu humain et socioéconomique</w:t>
      </w:r>
    </w:p>
    <w:p w14:paraId="295FECB5" w14:textId="77777777" w:rsidR="00DE241D" w:rsidRPr="00260790" w:rsidRDefault="00DE241D" w:rsidP="00E20250">
      <w:pPr>
        <w:pStyle w:val="Paragraphedeliste"/>
        <w:spacing w:line="240" w:lineRule="auto"/>
        <w:ind w:right="113"/>
        <w:jc w:val="both"/>
        <w:rPr>
          <w:rFonts w:ascii="Times New Roman" w:hAnsi="Times New Roman"/>
          <w:b/>
          <w:color w:val="000000" w:themeColor="text1"/>
        </w:rPr>
      </w:pPr>
    </w:p>
    <w:p w14:paraId="6008AB67" w14:textId="77777777" w:rsidR="00DE241D" w:rsidRPr="00260790" w:rsidRDefault="00DE241D" w:rsidP="001748C6">
      <w:pPr>
        <w:pStyle w:val="Paragraphedeliste"/>
        <w:numPr>
          <w:ilvl w:val="0"/>
          <w:numId w:val="303"/>
        </w:numPr>
        <w:spacing w:after="0" w:line="240" w:lineRule="auto"/>
        <w:ind w:right="113"/>
        <w:jc w:val="both"/>
        <w:rPr>
          <w:rFonts w:ascii="Times New Roman" w:hAnsi="Times New Roman"/>
          <w:b/>
          <w:color w:val="000000" w:themeColor="text1"/>
        </w:rPr>
      </w:pPr>
      <w:r w:rsidRPr="00260790">
        <w:rPr>
          <w:rFonts w:ascii="Times New Roman" w:hAnsi="Times New Roman"/>
          <w:b/>
          <w:i/>
          <w:color w:val="000000" w:themeColor="text1"/>
        </w:rPr>
        <w:t>IN-8. Pertes/restriction d’accès temporaires ou définitives à des biens privés et des moyens d’existence des populations</w:t>
      </w:r>
    </w:p>
    <w:p w14:paraId="58827E55" w14:textId="6C27E38C" w:rsidR="00F83414" w:rsidRPr="00260790" w:rsidRDefault="00DE241D" w:rsidP="0097258B">
      <w:pPr>
        <w:spacing w:line="240" w:lineRule="auto"/>
        <w:jc w:val="both"/>
        <w:rPr>
          <w:rFonts w:ascii="Times New Roman" w:hAnsi="Times New Roman"/>
          <w:color w:val="000000" w:themeColor="text1"/>
        </w:rPr>
      </w:pPr>
      <w:r w:rsidRPr="00260790">
        <w:rPr>
          <w:rFonts w:ascii="Times New Roman" w:hAnsi="Times New Roman"/>
          <w:color w:val="000000" w:themeColor="text1"/>
        </w:rPr>
        <w:t>L’occupation et la libération des emprises se traduiront par des pertes/restrictions d’accès temporaires ou définitive</w:t>
      </w:r>
      <w:r w:rsidR="007F1D21" w:rsidRPr="00260790">
        <w:rPr>
          <w:rFonts w:ascii="Times New Roman" w:hAnsi="Times New Roman"/>
          <w:color w:val="000000" w:themeColor="text1"/>
        </w:rPr>
        <w:t>s</w:t>
      </w:r>
      <w:r w:rsidRPr="00260790">
        <w:rPr>
          <w:rFonts w:ascii="Times New Roman" w:hAnsi="Times New Roman"/>
          <w:color w:val="000000" w:themeColor="text1"/>
        </w:rPr>
        <w:t xml:space="preserve"> à des biens privés qui s’y trouvent et des usages qu’en font les populations. </w:t>
      </w:r>
    </w:p>
    <w:p w14:paraId="09BC1817" w14:textId="47746CE6"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tableau qui suit présente les occupations des emprises des bassins. </w:t>
      </w:r>
    </w:p>
    <w:p w14:paraId="7541372C" w14:textId="77777777" w:rsidR="004600EA" w:rsidRDefault="004600EA">
      <w:pPr>
        <w:spacing w:line="259" w:lineRule="auto"/>
        <w:rPr>
          <w:rFonts w:ascii="Times New Roman" w:eastAsia="Times New Roman" w:hAnsi="Times New Roman"/>
          <w:i/>
          <w:iCs/>
          <w:color w:val="000000" w:themeColor="text1"/>
          <w:lang w:eastAsia="fr-FR"/>
        </w:rPr>
      </w:pPr>
      <w:bookmarkStart w:id="632" w:name="_Toc207781890"/>
      <w:r>
        <w:rPr>
          <w:color w:val="000000" w:themeColor="text1"/>
        </w:rPr>
        <w:br w:type="page"/>
      </w:r>
    </w:p>
    <w:p w14:paraId="0FF4EBFF" w14:textId="5B235358" w:rsidR="00DE241D" w:rsidRPr="00260790" w:rsidRDefault="00DE241D" w:rsidP="00E20250">
      <w:pPr>
        <w:pStyle w:val="Lgende"/>
        <w:spacing w:line="240" w:lineRule="auto"/>
        <w:rPr>
          <w:color w:val="000000" w:themeColor="text1"/>
          <w:sz w:val="22"/>
          <w:szCs w:val="22"/>
          <w:highlight w:val="yellow"/>
        </w:rPr>
      </w:pPr>
      <w:r w:rsidRPr="00260790">
        <w:rPr>
          <w:color w:val="000000" w:themeColor="text1"/>
          <w:sz w:val="22"/>
          <w:szCs w:val="22"/>
        </w:rPr>
        <w:lastRenderedPageBreak/>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49</w:t>
      </w:r>
      <w:r w:rsidRPr="00260790">
        <w:rPr>
          <w:color w:val="000000" w:themeColor="text1"/>
          <w:sz w:val="22"/>
          <w:szCs w:val="22"/>
        </w:rPr>
        <w:fldChar w:fldCharType="end"/>
      </w:r>
      <w:r w:rsidRPr="00260790">
        <w:rPr>
          <w:color w:val="000000" w:themeColor="text1"/>
          <w:sz w:val="22"/>
          <w:szCs w:val="22"/>
        </w:rPr>
        <w:t> : occupations actuelles des emprises des bassins</w:t>
      </w:r>
      <w:bookmarkEnd w:id="632"/>
    </w:p>
    <w:tbl>
      <w:tblPr>
        <w:tblStyle w:val="Grilledutableau"/>
        <w:tblW w:w="5000" w:type="pct"/>
        <w:tblLook w:val="04A0" w:firstRow="1" w:lastRow="0" w:firstColumn="1" w:lastColumn="0" w:noHBand="0" w:noVBand="1"/>
      </w:tblPr>
      <w:tblGrid>
        <w:gridCol w:w="1747"/>
        <w:gridCol w:w="7313"/>
      </w:tblGrid>
      <w:tr w:rsidR="00BD1A2F" w:rsidRPr="00632C4D" w14:paraId="352A2F16" w14:textId="77777777" w:rsidTr="003A0E4A">
        <w:tc>
          <w:tcPr>
            <w:tcW w:w="964" w:type="pct"/>
          </w:tcPr>
          <w:p w14:paraId="420E4D9C" w14:textId="77777777" w:rsidR="00DE241D" w:rsidRPr="0097258B" w:rsidRDefault="00DE241D" w:rsidP="00E20250">
            <w:pPr>
              <w:spacing w:line="240" w:lineRule="auto"/>
              <w:jc w:val="center"/>
              <w:rPr>
                <w:rFonts w:ascii="Times New Roman" w:hAnsi="Times New Roman"/>
                <w:b/>
                <w:bCs/>
                <w:color w:val="000000" w:themeColor="text1"/>
                <w:lang w:val="fr-FR"/>
              </w:rPr>
            </w:pPr>
            <w:r w:rsidRPr="00632C4D">
              <w:rPr>
                <w:rFonts w:ascii="Times New Roman" w:hAnsi="Times New Roman"/>
                <w:b/>
                <w:bCs/>
                <w:color w:val="000000" w:themeColor="text1"/>
              </w:rPr>
              <w:t>Bassins</w:t>
            </w:r>
          </w:p>
        </w:tc>
        <w:tc>
          <w:tcPr>
            <w:tcW w:w="4036" w:type="pct"/>
          </w:tcPr>
          <w:p w14:paraId="39C42773" w14:textId="77777777" w:rsidR="00DE241D" w:rsidRPr="0097258B" w:rsidRDefault="00DE241D" w:rsidP="00E20250">
            <w:pPr>
              <w:spacing w:line="240" w:lineRule="auto"/>
              <w:jc w:val="center"/>
              <w:rPr>
                <w:rFonts w:ascii="Times New Roman" w:hAnsi="Times New Roman"/>
                <w:b/>
                <w:bCs/>
                <w:color w:val="000000" w:themeColor="text1"/>
                <w:lang w:val="fr-FR"/>
              </w:rPr>
            </w:pPr>
            <w:r w:rsidRPr="00632C4D">
              <w:rPr>
                <w:rFonts w:ascii="Times New Roman" w:hAnsi="Times New Roman"/>
                <w:b/>
                <w:bCs/>
                <w:color w:val="000000" w:themeColor="text1"/>
              </w:rPr>
              <w:t>Occupations</w:t>
            </w:r>
          </w:p>
        </w:tc>
      </w:tr>
      <w:tr w:rsidR="00BD1A2F" w:rsidRPr="00632C4D" w14:paraId="08F49F3E" w14:textId="77777777" w:rsidTr="003A0E4A">
        <w:tc>
          <w:tcPr>
            <w:tcW w:w="964" w:type="pct"/>
          </w:tcPr>
          <w:p w14:paraId="2E5D1D55" w14:textId="77777777" w:rsidR="00DE241D" w:rsidRPr="0097258B" w:rsidRDefault="00DE241D" w:rsidP="00E20250">
            <w:pPr>
              <w:spacing w:line="240" w:lineRule="auto"/>
              <w:rPr>
                <w:rFonts w:ascii="Times New Roman" w:hAnsi="Times New Roman"/>
                <w:bCs/>
                <w:color w:val="000000" w:themeColor="text1"/>
                <w:lang w:val="fr-FR"/>
              </w:rPr>
            </w:pPr>
            <w:r w:rsidRPr="00632C4D">
              <w:rPr>
                <w:rFonts w:ascii="Times New Roman" w:hAnsi="Times New Roman"/>
                <w:bCs/>
                <w:color w:val="000000" w:themeColor="text1"/>
              </w:rPr>
              <w:t>BR_NC 10</w:t>
            </w:r>
          </w:p>
        </w:tc>
        <w:tc>
          <w:tcPr>
            <w:tcW w:w="4036" w:type="pct"/>
          </w:tcPr>
          <w:p w14:paraId="453B2483" w14:textId="77777777" w:rsidR="00DE241D" w:rsidRPr="0097258B" w:rsidRDefault="00DE241D" w:rsidP="00E20250">
            <w:pPr>
              <w:spacing w:line="240" w:lineRule="auto"/>
              <w:rPr>
                <w:rFonts w:ascii="Times New Roman" w:hAnsi="Times New Roman"/>
                <w:bCs/>
                <w:color w:val="000000" w:themeColor="text1"/>
                <w:lang w:val="fr-FR"/>
              </w:rPr>
            </w:pPr>
            <w:r w:rsidRPr="00301AF6">
              <w:rPr>
                <w:rFonts w:ascii="Times New Roman" w:hAnsi="Times New Roman"/>
                <w:bCs/>
                <w:color w:val="000000" w:themeColor="text1"/>
                <w:lang w:val="fr-FR"/>
              </w:rPr>
              <w:t>2 terrains clôturés, séparés par une ruelle et un espace non clôturé avec un bâtiment en construction</w:t>
            </w:r>
          </w:p>
        </w:tc>
      </w:tr>
      <w:tr w:rsidR="00BD1A2F" w:rsidRPr="00632C4D" w14:paraId="2A921389" w14:textId="77777777" w:rsidTr="003A0E4A">
        <w:tc>
          <w:tcPr>
            <w:tcW w:w="964" w:type="pct"/>
          </w:tcPr>
          <w:p w14:paraId="2B8DC559" w14:textId="77777777" w:rsidR="00DE241D" w:rsidRPr="0097258B" w:rsidRDefault="00DE241D" w:rsidP="00E20250">
            <w:pPr>
              <w:spacing w:line="240" w:lineRule="auto"/>
              <w:rPr>
                <w:rFonts w:ascii="Times New Roman" w:hAnsi="Times New Roman"/>
                <w:bCs/>
                <w:color w:val="000000" w:themeColor="text1"/>
                <w:lang w:val="fr-FR"/>
              </w:rPr>
            </w:pPr>
            <w:r w:rsidRPr="00632C4D">
              <w:rPr>
                <w:rFonts w:ascii="Times New Roman" w:hAnsi="Times New Roman"/>
                <w:bCs/>
                <w:color w:val="000000" w:themeColor="text1"/>
              </w:rPr>
              <w:t>BR_NC 03d</w:t>
            </w:r>
          </w:p>
        </w:tc>
        <w:tc>
          <w:tcPr>
            <w:tcW w:w="4036" w:type="pct"/>
          </w:tcPr>
          <w:p w14:paraId="78D8A72B" w14:textId="77777777" w:rsidR="00DE241D" w:rsidRPr="0097258B" w:rsidRDefault="00DE241D" w:rsidP="00E20250">
            <w:pPr>
              <w:spacing w:line="240" w:lineRule="auto"/>
              <w:rPr>
                <w:rFonts w:ascii="Times New Roman" w:hAnsi="Times New Roman"/>
                <w:bCs/>
                <w:color w:val="000000" w:themeColor="text1"/>
                <w:lang w:val="fr-FR"/>
              </w:rPr>
            </w:pPr>
            <w:r w:rsidRPr="00301AF6">
              <w:rPr>
                <w:rFonts w:ascii="Times New Roman" w:hAnsi="Times New Roman"/>
                <w:bCs/>
                <w:color w:val="000000" w:themeColor="text1"/>
                <w:lang w:val="fr-FR"/>
              </w:rPr>
              <w:t xml:space="preserve">1 aire de jeu, un lotissement, des lignes </w:t>
            </w:r>
            <w:proofErr w:type="spellStart"/>
            <w:r w:rsidRPr="00301AF6">
              <w:rPr>
                <w:rFonts w:ascii="Times New Roman" w:hAnsi="Times New Roman"/>
                <w:bCs/>
                <w:color w:val="000000" w:themeColor="text1"/>
                <w:lang w:val="fr-FR"/>
              </w:rPr>
              <w:t>Bt</w:t>
            </w:r>
            <w:proofErr w:type="spellEnd"/>
            <w:r w:rsidRPr="00301AF6">
              <w:rPr>
                <w:rFonts w:ascii="Times New Roman" w:hAnsi="Times New Roman"/>
                <w:bCs/>
                <w:color w:val="000000" w:themeColor="text1"/>
                <w:lang w:val="fr-FR"/>
              </w:rPr>
              <w:t>, une piste en terre, un enclos, une zone de pâturage et un périmètre clôturé en bois et grillage.</w:t>
            </w:r>
          </w:p>
        </w:tc>
      </w:tr>
      <w:tr w:rsidR="00BD1A2F" w:rsidRPr="00632C4D" w14:paraId="4CC53478" w14:textId="77777777" w:rsidTr="003A0E4A">
        <w:tc>
          <w:tcPr>
            <w:tcW w:w="964" w:type="pct"/>
          </w:tcPr>
          <w:p w14:paraId="41042C70" w14:textId="77777777" w:rsidR="00DE241D" w:rsidRPr="0097258B" w:rsidRDefault="00DE241D" w:rsidP="00E20250">
            <w:pPr>
              <w:spacing w:line="240" w:lineRule="auto"/>
              <w:rPr>
                <w:rFonts w:ascii="Times New Roman" w:hAnsi="Times New Roman"/>
                <w:bCs/>
                <w:color w:val="000000" w:themeColor="text1"/>
                <w:lang w:val="fr-FR"/>
              </w:rPr>
            </w:pPr>
            <w:r w:rsidRPr="00632C4D">
              <w:rPr>
                <w:rFonts w:ascii="Times New Roman" w:hAnsi="Times New Roman"/>
                <w:bCs/>
                <w:color w:val="000000" w:themeColor="text1"/>
              </w:rPr>
              <w:t>BR_NC 09a</w:t>
            </w:r>
          </w:p>
        </w:tc>
        <w:tc>
          <w:tcPr>
            <w:tcW w:w="4036" w:type="pct"/>
          </w:tcPr>
          <w:p w14:paraId="58298AF8" w14:textId="77777777" w:rsidR="00DE241D" w:rsidRPr="0097258B" w:rsidRDefault="00DE241D" w:rsidP="00E20250">
            <w:pPr>
              <w:spacing w:line="240" w:lineRule="auto"/>
              <w:rPr>
                <w:rFonts w:ascii="Times New Roman" w:hAnsi="Times New Roman"/>
                <w:bCs/>
                <w:color w:val="000000" w:themeColor="text1"/>
                <w:lang w:val="fr-FR"/>
              </w:rPr>
            </w:pPr>
            <w:r w:rsidRPr="00301AF6">
              <w:rPr>
                <w:rFonts w:ascii="Times New Roman" w:hAnsi="Times New Roman"/>
                <w:bCs/>
                <w:color w:val="000000" w:themeColor="text1"/>
                <w:lang w:val="fr-FR"/>
              </w:rPr>
              <w:t>Zone inondable servant de décharge non autorisée</w:t>
            </w:r>
          </w:p>
        </w:tc>
      </w:tr>
      <w:tr w:rsidR="00BD1A2F" w:rsidRPr="00632C4D" w14:paraId="537B789B" w14:textId="77777777" w:rsidTr="003A0E4A">
        <w:tc>
          <w:tcPr>
            <w:tcW w:w="964" w:type="pct"/>
          </w:tcPr>
          <w:p w14:paraId="447ABA68" w14:textId="77777777" w:rsidR="00DE241D" w:rsidRPr="0097258B" w:rsidRDefault="00DE241D" w:rsidP="00E20250">
            <w:pPr>
              <w:spacing w:line="240" w:lineRule="auto"/>
              <w:rPr>
                <w:rFonts w:ascii="Times New Roman" w:hAnsi="Times New Roman"/>
                <w:bCs/>
                <w:color w:val="000000" w:themeColor="text1"/>
                <w:lang w:val="fr-FR"/>
              </w:rPr>
            </w:pPr>
            <w:r w:rsidRPr="00632C4D">
              <w:rPr>
                <w:rFonts w:ascii="Times New Roman" w:hAnsi="Times New Roman"/>
                <w:bCs/>
                <w:color w:val="000000" w:themeColor="text1"/>
              </w:rPr>
              <w:t>BR_ND 11</w:t>
            </w:r>
          </w:p>
        </w:tc>
        <w:tc>
          <w:tcPr>
            <w:tcW w:w="4036" w:type="pct"/>
          </w:tcPr>
          <w:p w14:paraId="334E0751" w14:textId="77777777" w:rsidR="00DE241D" w:rsidRPr="0097258B" w:rsidRDefault="00DE241D" w:rsidP="00E20250">
            <w:pPr>
              <w:spacing w:line="240" w:lineRule="auto"/>
              <w:rPr>
                <w:rFonts w:ascii="Times New Roman" w:hAnsi="Times New Roman"/>
                <w:bCs/>
                <w:color w:val="000000" w:themeColor="text1"/>
                <w:lang w:val="fr-FR"/>
              </w:rPr>
            </w:pPr>
            <w:r w:rsidRPr="00301AF6">
              <w:rPr>
                <w:rFonts w:ascii="Times New Roman" w:hAnsi="Times New Roman"/>
                <w:bCs/>
                <w:color w:val="000000" w:themeColor="text1"/>
                <w:lang w:val="fr-FR"/>
              </w:rPr>
              <w:t xml:space="preserve">Verger avec un bassin destiné au stockage de l’eau </w:t>
            </w:r>
          </w:p>
        </w:tc>
      </w:tr>
      <w:tr w:rsidR="00BD1A2F" w:rsidRPr="00632C4D" w14:paraId="48CA8A8D" w14:textId="77777777" w:rsidTr="003A0E4A">
        <w:tc>
          <w:tcPr>
            <w:tcW w:w="964" w:type="pct"/>
          </w:tcPr>
          <w:p w14:paraId="42CEA567" w14:textId="77777777" w:rsidR="00DE241D" w:rsidRPr="0097258B" w:rsidRDefault="00DE241D" w:rsidP="00E20250">
            <w:pPr>
              <w:spacing w:line="240" w:lineRule="auto"/>
              <w:rPr>
                <w:rFonts w:ascii="Times New Roman" w:hAnsi="Times New Roman"/>
                <w:bCs/>
                <w:color w:val="000000" w:themeColor="text1"/>
                <w:lang w:val="fr-FR"/>
              </w:rPr>
            </w:pPr>
            <w:r w:rsidRPr="00632C4D">
              <w:rPr>
                <w:rFonts w:ascii="Times New Roman" w:hAnsi="Times New Roman"/>
                <w:bCs/>
                <w:color w:val="000000" w:themeColor="text1"/>
              </w:rPr>
              <w:t>BR_ND 20</w:t>
            </w:r>
          </w:p>
        </w:tc>
        <w:tc>
          <w:tcPr>
            <w:tcW w:w="4036" w:type="pct"/>
          </w:tcPr>
          <w:p w14:paraId="0CAC4B1F" w14:textId="77777777" w:rsidR="00DE241D" w:rsidRPr="0097258B" w:rsidRDefault="00DE241D" w:rsidP="00E20250">
            <w:pPr>
              <w:spacing w:line="240" w:lineRule="auto"/>
              <w:rPr>
                <w:rFonts w:ascii="Times New Roman" w:hAnsi="Times New Roman"/>
                <w:bCs/>
                <w:color w:val="000000" w:themeColor="text1"/>
                <w:lang w:val="fr-FR"/>
              </w:rPr>
            </w:pPr>
            <w:r w:rsidRPr="00301AF6">
              <w:rPr>
                <w:rFonts w:ascii="Times New Roman" w:hAnsi="Times New Roman"/>
                <w:bCs/>
                <w:color w:val="000000" w:themeColor="text1"/>
                <w:lang w:val="fr-FR"/>
              </w:rPr>
              <w:t>Une aire de jeu, un espace nu colonisé par un tapis herbacé et de ricin</w:t>
            </w:r>
          </w:p>
        </w:tc>
      </w:tr>
      <w:tr w:rsidR="00BD1A2F" w:rsidRPr="00632C4D" w14:paraId="30FDB69B" w14:textId="77777777" w:rsidTr="003A0E4A">
        <w:tc>
          <w:tcPr>
            <w:tcW w:w="964" w:type="pct"/>
          </w:tcPr>
          <w:p w14:paraId="1D321619" w14:textId="77777777" w:rsidR="00DE241D" w:rsidRPr="0097258B" w:rsidRDefault="00DE241D" w:rsidP="00E20250">
            <w:pPr>
              <w:spacing w:line="240" w:lineRule="auto"/>
              <w:rPr>
                <w:rFonts w:ascii="Times New Roman" w:hAnsi="Times New Roman"/>
                <w:bCs/>
                <w:color w:val="000000" w:themeColor="text1"/>
                <w:lang w:val="fr-FR"/>
              </w:rPr>
            </w:pPr>
            <w:r w:rsidRPr="00632C4D">
              <w:rPr>
                <w:rFonts w:ascii="Times New Roman" w:hAnsi="Times New Roman"/>
                <w:bCs/>
                <w:color w:val="000000" w:themeColor="text1"/>
              </w:rPr>
              <w:t>BR_ND 41</w:t>
            </w:r>
          </w:p>
        </w:tc>
        <w:tc>
          <w:tcPr>
            <w:tcW w:w="4036" w:type="pct"/>
          </w:tcPr>
          <w:p w14:paraId="25866C83" w14:textId="77777777" w:rsidR="00DE241D" w:rsidRPr="0097258B" w:rsidRDefault="00DE241D" w:rsidP="00E20250">
            <w:pPr>
              <w:spacing w:line="240" w:lineRule="auto"/>
              <w:rPr>
                <w:rFonts w:ascii="Times New Roman" w:hAnsi="Times New Roman"/>
                <w:bCs/>
                <w:color w:val="000000" w:themeColor="text1"/>
                <w:lang w:val="fr-FR"/>
              </w:rPr>
            </w:pPr>
            <w:r w:rsidRPr="00301AF6">
              <w:rPr>
                <w:rFonts w:ascii="Times New Roman" w:hAnsi="Times New Roman"/>
                <w:bCs/>
                <w:color w:val="000000" w:themeColor="text1"/>
                <w:lang w:val="fr-FR"/>
              </w:rPr>
              <w:t>Peuplement de Typha et de Tamarix, une station de pompage</w:t>
            </w:r>
          </w:p>
        </w:tc>
      </w:tr>
      <w:tr w:rsidR="00BD1A2F" w:rsidRPr="00632C4D" w14:paraId="35D24E85" w14:textId="77777777" w:rsidTr="003A0E4A">
        <w:tc>
          <w:tcPr>
            <w:tcW w:w="964" w:type="pct"/>
          </w:tcPr>
          <w:p w14:paraId="10532A0F" w14:textId="77777777" w:rsidR="00DE241D" w:rsidRPr="0097258B" w:rsidRDefault="00DE241D" w:rsidP="00E20250">
            <w:pPr>
              <w:spacing w:line="240" w:lineRule="auto"/>
              <w:rPr>
                <w:rFonts w:ascii="Times New Roman" w:hAnsi="Times New Roman"/>
                <w:bCs/>
                <w:color w:val="000000" w:themeColor="text1"/>
                <w:lang w:val="fr-FR"/>
              </w:rPr>
            </w:pPr>
            <w:r w:rsidRPr="00632C4D">
              <w:rPr>
                <w:rFonts w:ascii="Times New Roman" w:hAnsi="Times New Roman"/>
                <w:bCs/>
                <w:color w:val="000000" w:themeColor="text1"/>
              </w:rPr>
              <w:t>P1</w:t>
            </w:r>
          </w:p>
        </w:tc>
        <w:tc>
          <w:tcPr>
            <w:tcW w:w="4036" w:type="pct"/>
          </w:tcPr>
          <w:p w14:paraId="61813B71" w14:textId="77777777" w:rsidR="00DE241D" w:rsidRPr="0097258B" w:rsidRDefault="00DE241D" w:rsidP="00E20250">
            <w:pPr>
              <w:spacing w:line="240" w:lineRule="auto"/>
              <w:rPr>
                <w:rFonts w:ascii="Times New Roman" w:hAnsi="Times New Roman"/>
                <w:bCs/>
                <w:color w:val="000000" w:themeColor="text1"/>
                <w:lang w:val="fr-FR"/>
              </w:rPr>
            </w:pPr>
            <w:r w:rsidRPr="00301AF6">
              <w:rPr>
                <w:rFonts w:ascii="Times New Roman" w:hAnsi="Times New Roman"/>
                <w:bCs/>
                <w:color w:val="000000" w:themeColor="text1"/>
                <w:lang w:val="fr-FR"/>
              </w:rPr>
              <w:t>3 terrains de football, un bâtiment en construction, une place d’affaire (dépôt brique), un enclos de bétail, un lotissement, de la végétation</w:t>
            </w:r>
          </w:p>
        </w:tc>
      </w:tr>
      <w:tr w:rsidR="00BD1A2F" w:rsidRPr="00632C4D" w14:paraId="43E5104A" w14:textId="77777777" w:rsidTr="003A0E4A">
        <w:tc>
          <w:tcPr>
            <w:tcW w:w="964" w:type="pct"/>
          </w:tcPr>
          <w:p w14:paraId="601B1071" w14:textId="77777777" w:rsidR="00DE241D" w:rsidRPr="0097258B" w:rsidRDefault="00DE241D" w:rsidP="00E20250">
            <w:pPr>
              <w:spacing w:line="240" w:lineRule="auto"/>
              <w:rPr>
                <w:rFonts w:ascii="Times New Roman" w:hAnsi="Times New Roman"/>
                <w:bCs/>
                <w:color w:val="000000" w:themeColor="text1"/>
                <w:lang w:val="fr-FR"/>
              </w:rPr>
            </w:pPr>
            <w:r w:rsidRPr="00632C4D">
              <w:rPr>
                <w:rFonts w:ascii="Times New Roman" w:hAnsi="Times New Roman"/>
                <w:bCs/>
                <w:color w:val="000000" w:themeColor="text1"/>
              </w:rPr>
              <w:t>E2-TER</w:t>
            </w:r>
          </w:p>
        </w:tc>
        <w:tc>
          <w:tcPr>
            <w:tcW w:w="4036" w:type="pct"/>
          </w:tcPr>
          <w:p w14:paraId="0952ADE0" w14:textId="77777777" w:rsidR="00DE241D" w:rsidRPr="0097258B" w:rsidRDefault="00DE241D" w:rsidP="00E20250">
            <w:pPr>
              <w:spacing w:line="240" w:lineRule="auto"/>
              <w:rPr>
                <w:rFonts w:ascii="Times New Roman" w:hAnsi="Times New Roman"/>
                <w:bCs/>
                <w:color w:val="000000" w:themeColor="text1"/>
                <w:lang w:val="fr-FR"/>
              </w:rPr>
            </w:pPr>
            <w:r w:rsidRPr="00301AF6">
              <w:rPr>
                <w:rFonts w:ascii="Times New Roman" w:hAnsi="Times New Roman"/>
                <w:bCs/>
                <w:color w:val="000000" w:themeColor="text1"/>
                <w:lang w:val="fr-FR"/>
              </w:rPr>
              <w:t xml:space="preserve">Places d’affaires, zone de pâturage, végétation et deux maisons en construction </w:t>
            </w:r>
          </w:p>
        </w:tc>
      </w:tr>
      <w:tr w:rsidR="00BD1A2F" w:rsidRPr="00632C4D" w14:paraId="26B26C29" w14:textId="77777777" w:rsidTr="003A0E4A">
        <w:tc>
          <w:tcPr>
            <w:tcW w:w="964" w:type="pct"/>
          </w:tcPr>
          <w:p w14:paraId="45AEBD46" w14:textId="77777777" w:rsidR="00DE241D" w:rsidRPr="0097258B" w:rsidRDefault="00DE241D" w:rsidP="00E20250">
            <w:pPr>
              <w:spacing w:line="240" w:lineRule="auto"/>
              <w:rPr>
                <w:rFonts w:ascii="Times New Roman" w:hAnsi="Times New Roman"/>
                <w:bCs/>
                <w:color w:val="000000" w:themeColor="text1"/>
                <w:lang w:val="fr-FR"/>
              </w:rPr>
            </w:pPr>
            <w:r w:rsidRPr="00632C4D">
              <w:rPr>
                <w:rFonts w:ascii="Times New Roman" w:hAnsi="Times New Roman"/>
                <w:bCs/>
                <w:color w:val="000000" w:themeColor="text1"/>
              </w:rPr>
              <w:t>BR_NA 16g</w:t>
            </w:r>
          </w:p>
        </w:tc>
        <w:tc>
          <w:tcPr>
            <w:tcW w:w="4036" w:type="pct"/>
          </w:tcPr>
          <w:p w14:paraId="5BA010D4" w14:textId="77777777" w:rsidR="00DE241D" w:rsidRPr="0097258B" w:rsidRDefault="00DE241D" w:rsidP="00E20250">
            <w:pPr>
              <w:spacing w:line="240" w:lineRule="auto"/>
              <w:rPr>
                <w:rFonts w:ascii="Times New Roman" w:hAnsi="Times New Roman"/>
                <w:bCs/>
                <w:color w:val="000000" w:themeColor="text1"/>
                <w:lang w:val="fr-FR"/>
              </w:rPr>
            </w:pPr>
            <w:r w:rsidRPr="00301AF6">
              <w:rPr>
                <w:rFonts w:ascii="Times New Roman" w:hAnsi="Times New Roman"/>
                <w:bCs/>
                <w:color w:val="000000" w:themeColor="text1"/>
                <w:lang w:val="fr-FR"/>
              </w:rPr>
              <w:t>Un verger d’anacarde, un jardin maraicher et un terrain de football ; de la végétation</w:t>
            </w:r>
          </w:p>
        </w:tc>
      </w:tr>
      <w:tr w:rsidR="00BD1A2F" w:rsidRPr="00632C4D" w14:paraId="2A0A3694" w14:textId="77777777" w:rsidTr="003A0E4A">
        <w:tc>
          <w:tcPr>
            <w:tcW w:w="964" w:type="pct"/>
          </w:tcPr>
          <w:p w14:paraId="25EC1DE3" w14:textId="77777777" w:rsidR="00DE241D" w:rsidRPr="0097258B" w:rsidRDefault="00DE241D" w:rsidP="00E20250">
            <w:pPr>
              <w:spacing w:line="240" w:lineRule="auto"/>
              <w:rPr>
                <w:rFonts w:ascii="Times New Roman" w:hAnsi="Times New Roman"/>
                <w:bCs/>
                <w:color w:val="000000" w:themeColor="text1"/>
                <w:lang w:val="fr-FR"/>
              </w:rPr>
            </w:pPr>
            <w:r w:rsidRPr="00632C4D">
              <w:rPr>
                <w:rFonts w:ascii="Times New Roman" w:hAnsi="Times New Roman"/>
                <w:bCs/>
                <w:color w:val="000000" w:themeColor="text1"/>
              </w:rPr>
              <w:t>BR_NA 09</w:t>
            </w:r>
          </w:p>
        </w:tc>
        <w:tc>
          <w:tcPr>
            <w:tcW w:w="4036" w:type="pct"/>
          </w:tcPr>
          <w:p w14:paraId="6E4361C2" w14:textId="77777777" w:rsidR="00DE241D" w:rsidRPr="0097258B" w:rsidRDefault="00DE241D" w:rsidP="00E20250">
            <w:pPr>
              <w:spacing w:line="240" w:lineRule="auto"/>
              <w:rPr>
                <w:rFonts w:ascii="Times New Roman" w:hAnsi="Times New Roman"/>
                <w:bCs/>
                <w:color w:val="000000" w:themeColor="text1"/>
                <w:lang w:val="fr-FR"/>
              </w:rPr>
            </w:pPr>
            <w:r w:rsidRPr="00301AF6">
              <w:rPr>
                <w:rFonts w:ascii="Times New Roman" w:hAnsi="Times New Roman"/>
                <w:bCs/>
                <w:color w:val="000000" w:themeColor="text1"/>
                <w:lang w:val="fr-FR"/>
              </w:rPr>
              <w:t>Terrain clôturé et un plan d’eau.</w:t>
            </w:r>
          </w:p>
        </w:tc>
      </w:tr>
      <w:tr w:rsidR="00BD1A2F" w:rsidRPr="00632C4D" w14:paraId="3A2DC613" w14:textId="77777777" w:rsidTr="003A0E4A">
        <w:tc>
          <w:tcPr>
            <w:tcW w:w="964" w:type="pct"/>
          </w:tcPr>
          <w:p w14:paraId="64DCA334" w14:textId="77777777" w:rsidR="00DE241D" w:rsidRPr="0097258B" w:rsidRDefault="00DE241D" w:rsidP="00E20250">
            <w:pPr>
              <w:spacing w:line="240" w:lineRule="auto"/>
              <w:rPr>
                <w:rFonts w:ascii="Times New Roman" w:hAnsi="Times New Roman"/>
                <w:bCs/>
                <w:color w:val="000000" w:themeColor="text1"/>
                <w:lang w:val="fr-FR"/>
              </w:rPr>
            </w:pPr>
            <w:r w:rsidRPr="00632C4D">
              <w:rPr>
                <w:rFonts w:ascii="Times New Roman" w:hAnsi="Times New Roman"/>
                <w:bCs/>
                <w:color w:val="000000" w:themeColor="text1"/>
              </w:rPr>
              <w:t xml:space="preserve">Bassin </w:t>
            </w:r>
            <w:proofErr w:type="spellStart"/>
            <w:r w:rsidRPr="00632C4D">
              <w:rPr>
                <w:rFonts w:ascii="Times New Roman" w:hAnsi="Times New Roman"/>
                <w:bCs/>
                <w:color w:val="000000" w:themeColor="text1"/>
              </w:rPr>
              <w:t>éventuel</w:t>
            </w:r>
            <w:proofErr w:type="spellEnd"/>
            <w:r w:rsidRPr="00632C4D">
              <w:rPr>
                <w:rFonts w:ascii="Times New Roman" w:hAnsi="Times New Roman"/>
                <w:bCs/>
                <w:color w:val="000000" w:themeColor="text1"/>
              </w:rPr>
              <w:t xml:space="preserve"> commissariat</w:t>
            </w:r>
          </w:p>
        </w:tc>
        <w:tc>
          <w:tcPr>
            <w:tcW w:w="4036" w:type="pct"/>
          </w:tcPr>
          <w:p w14:paraId="7F6E011E" w14:textId="78278538" w:rsidR="00DE241D" w:rsidRPr="0097258B" w:rsidRDefault="00DE241D" w:rsidP="00E20250">
            <w:pPr>
              <w:spacing w:line="240" w:lineRule="auto"/>
              <w:rPr>
                <w:rFonts w:ascii="Times New Roman" w:hAnsi="Times New Roman"/>
                <w:bCs/>
                <w:color w:val="000000" w:themeColor="text1"/>
                <w:lang w:val="fr-FR"/>
              </w:rPr>
            </w:pPr>
            <w:r w:rsidRPr="00301AF6">
              <w:rPr>
                <w:rFonts w:ascii="Times New Roman" w:hAnsi="Times New Roman"/>
                <w:bCs/>
                <w:color w:val="000000" w:themeColor="text1"/>
                <w:lang w:val="fr-FR"/>
              </w:rPr>
              <w:t>Tapis herbacé, des poteaux électriques BT non fonctionnel</w:t>
            </w:r>
            <w:r w:rsidR="007F1D21" w:rsidRPr="00301AF6">
              <w:rPr>
                <w:rFonts w:ascii="Times New Roman" w:hAnsi="Times New Roman"/>
                <w:bCs/>
                <w:color w:val="000000" w:themeColor="text1"/>
                <w:lang w:val="fr-FR"/>
              </w:rPr>
              <w:t>s</w:t>
            </w:r>
            <w:r w:rsidRPr="00301AF6">
              <w:rPr>
                <w:rFonts w:ascii="Times New Roman" w:hAnsi="Times New Roman"/>
                <w:bCs/>
                <w:color w:val="000000" w:themeColor="text1"/>
                <w:lang w:val="fr-FR"/>
              </w:rPr>
              <w:t>, dépôt de parpaings et un parking automobile</w:t>
            </w:r>
          </w:p>
        </w:tc>
      </w:tr>
      <w:tr w:rsidR="00BD1A2F" w:rsidRPr="00632C4D" w14:paraId="7A286FB7" w14:textId="77777777" w:rsidTr="003A0E4A">
        <w:tc>
          <w:tcPr>
            <w:tcW w:w="964" w:type="pct"/>
          </w:tcPr>
          <w:p w14:paraId="09148938" w14:textId="77777777" w:rsidR="00DE241D" w:rsidRPr="0097258B" w:rsidRDefault="00DE241D" w:rsidP="00E20250">
            <w:pPr>
              <w:spacing w:line="240" w:lineRule="auto"/>
              <w:rPr>
                <w:rFonts w:ascii="Times New Roman" w:hAnsi="Times New Roman"/>
                <w:bCs/>
                <w:color w:val="000000" w:themeColor="text1"/>
                <w:lang w:val="fr-FR"/>
              </w:rPr>
            </w:pPr>
            <w:r w:rsidRPr="00632C4D">
              <w:rPr>
                <w:rFonts w:ascii="Times New Roman" w:hAnsi="Times New Roman"/>
                <w:bCs/>
                <w:color w:val="000000" w:themeColor="text1"/>
              </w:rPr>
              <w:t>Bassin de Mbao (K4-4)</w:t>
            </w:r>
          </w:p>
        </w:tc>
        <w:tc>
          <w:tcPr>
            <w:tcW w:w="4036" w:type="pct"/>
          </w:tcPr>
          <w:p w14:paraId="73E0D34D" w14:textId="404C0894" w:rsidR="00DE241D" w:rsidRPr="0097258B" w:rsidRDefault="00DE241D" w:rsidP="00E20250">
            <w:pPr>
              <w:spacing w:line="240" w:lineRule="auto"/>
              <w:rPr>
                <w:rFonts w:ascii="Times New Roman" w:hAnsi="Times New Roman"/>
                <w:bCs/>
                <w:color w:val="000000" w:themeColor="text1"/>
                <w:lang w:val="fr-FR"/>
              </w:rPr>
            </w:pPr>
            <w:r w:rsidRPr="00301AF6">
              <w:rPr>
                <w:rFonts w:ascii="Times New Roman" w:hAnsi="Times New Roman"/>
                <w:bCs/>
                <w:color w:val="000000" w:themeColor="text1"/>
                <w:lang w:val="fr-FR"/>
              </w:rPr>
              <w:t>9 bâtiments</w:t>
            </w:r>
            <w:r w:rsidR="007F1D21" w:rsidRPr="00301AF6">
              <w:rPr>
                <w:rFonts w:ascii="Times New Roman" w:hAnsi="Times New Roman"/>
                <w:bCs/>
                <w:color w:val="000000" w:themeColor="text1"/>
                <w:lang w:val="fr-FR"/>
              </w:rPr>
              <w:t>,</w:t>
            </w:r>
            <w:r w:rsidRPr="00301AF6">
              <w:rPr>
                <w:rFonts w:ascii="Times New Roman" w:hAnsi="Times New Roman"/>
                <w:bCs/>
                <w:color w:val="000000" w:themeColor="text1"/>
                <w:lang w:val="fr-FR"/>
              </w:rPr>
              <w:t xml:space="preserve"> dont un servant d’école privée ;</w:t>
            </w:r>
          </w:p>
          <w:p w14:paraId="13172663" w14:textId="77777777" w:rsidR="00DE241D" w:rsidRPr="0097258B" w:rsidRDefault="00DE241D" w:rsidP="00E20250">
            <w:pPr>
              <w:spacing w:line="240" w:lineRule="auto"/>
              <w:rPr>
                <w:rFonts w:ascii="Times New Roman" w:hAnsi="Times New Roman"/>
                <w:bCs/>
                <w:color w:val="000000" w:themeColor="text1"/>
                <w:lang w:val="fr-FR"/>
              </w:rPr>
            </w:pPr>
            <w:r w:rsidRPr="00301AF6">
              <w:rPr>
                <w:rFonts w:ascii="Times New Roman" w:hAnsi="Times New Roman"/>
                <w:bCs/>
                <w:color w:val="000000" w:themeColor="text1"/>
                <w:lang w:val="fr-FR"/>
              </w:rPr>
              <w:t xml:space="preserve">Réseau ONAS, une ligne BT, un dépôt de gravats et des rues </w:t>
            </w:r>
          </w:p>
        </w:tc>
      </w:tr>
      <w:tr w:rsidR="00BD1A2F" w:rsidRPr="00632C4D" w14:paraId="48057A52" w14:textId="77777777" w:rsidTr="003A0E4A">
        <w:tc>
          <w:tcPr>
            <w:tcW w:w="964" w:type="pct"/>
          </w:tcPr>
          <w:p w14:paraId="7C52B1D1" w14:textId="77777777" w:rsidR="00DE241D" w:rsidRPr="0097258B" w:rsidRDefault="00DE241D" w:rsidP="00E20250">
            <w:pPr>
              <w:spacing w:line="240" w:lineRule="auto"/>
              <w:rPr>
                <w:rFonts w:ascii="Times New Roman" w:hAnsi="Times New Roman"/>
                <w:bCs/>
                <w:color w:val="000000" w:themeColor="text1"/>
                <w:lang w:val="fr-FR"/>
              </w:rPr>
            </w:pPr>
            <w:r w:rsidRPr="00632C4D">
              <w:rPr>
                <w:rFonts w:ascii="Times New Roman" w:hAnsi="Times New Roman"/>
                <w:bCs/>
                <w:color w:val="000000" w:themeColor="text1"/>
              </w:rPr>
              <w:t xml:space="preserve">Bassin </w:t>
            </w:r>
            <w:proofErr w:type="spellStart"/>
            <w:r w:rsidRPr="00632C4D">
              <w:rPr>
                <w:rFonts w:ascii="Times New Roman" w:hAnsi="Times New Roman"/>
                <w:bCs/>
                <w:color w:val="000000" w:themeColor="text1"/>
              </w:rPr>
              <w:t>éventuel</w:t>
            </w:r>
            <w:proofErr w:type="spellEnd"/>
          </w:p>
        </w:tc>
        <w:tc>
          <w:tcPr>
            <w:tcW w:w="4036" w:type="pct"/>
          </w:tcPr>
          <w:p w14:paraId="0B7CA653" w14:textId="77777777" w:rsidR="00DE241D" w:rsidRPr="0097258B" w:rsidRDefault="00DE241D" w:rsidP="00E20250">
            <w:pPr>
              <w:spacing w:line="240" w:lineRule="auto"/>
              <w:rPr>
                <w:rFonts w:ascii="Times New Roman" w:hAnsi="Times New Roman"/>
                <w:bCs/>
                <w:color w:val="000000" w:themeColor="text1"/>
                <w:lang w:val="fr-FR"/>
              </w:rPr>
            </w:pPr>
            <w:r w:rsidRPr="00301AF6">
              <w:rPr>
                <w:rFonts w:ascii="Times New Roman" w:hAnsi="Times New Roman"/>
                <w:bCs/>
                <w:color w:val="000000" w:themeColor="text1"/>
                <w:lang w:val="fr-FR"/>
              </w:rPr>
              <w:t>Dépôt de parpaings et de ferraille ; de la végétation</w:t>
            </w:r>
          </w:p>
        </w:tc>
      </w:tr>
      <w:tr w:rsidR="00BD1A2F" w:rsidRPr="00632C4D" w14:paraId="31559344" w14:textId="77777777" w:rsidTr="003A0E4A">
        <w:tc>
          <w:tcPr>
            <w:tcW w:w="964" w:type="pct"/>
          </w:tcPr>
          <w:p w14:paraId="15327029" w14:textId="77777777" w:rsidR="00DE241D" w:rsidRPr="0097258B" w:rsidRDefault="00DE241D" w:rsidP="00E20250">
            <w:pPr>
              <w:spacing w:line="240" w:lineRule="auto"/>
              <w:rPr>
                <w:rFonts w:ascii="Times New Roman" w:hAnsi="Times New Roman"/>
                <w:bCs/>
                <w:color w:val="000000" w:themeColor="text1"/>
                <w:lang w:val="fr-FR"/>
              </w:rPr>
            </w:pPr>
            <w:r w:rsidRPr="00632C4D">
              <w:rPr>
                <w:rFonts w:ascii="Times New Roman" w:hAnsi="Times New Roman"/>
                <w:bCs/>
                <w:color w:val="000000" w:themeColor="text1"/>
              </w:rPr>
              <w:t>Bassin B1</w:t>
            </w:r>
          </w:p>
        </w:tc>
        <w:tc>
          <w:tcPr>
            <w:tcW w:w="4036" w:type="pct"/>
          </w:tcPr>
          <w:p w14:paraId="4B059C9A" w14:textId="77777777" w:rsidR="00DE241D" w:rsidRPr="0097258B" w:rsidRDefault="00DE241D" w:rsidP="00E20250">
            <w:pPr>
              <w:spacing w:line="240" w:lineRule="auto"/>
              <w:rPr>
                <w:rFonts w:ascii="Times New Roman" w:hAnsi="Times New Roman"/>
                <w:bCs/>
                <w:color w:val="000000" w:themeColor="text1"/>
                <w:lang w:val="fr-FR"/>
              </w:rPr>
            </w:pPr>
            <w:r w:rsidRPr="00301AF6">
              <w:rPr>
                <w:rFonts w:ascii="Times New Roman" w:hAnsi="Times New Roman"/>
                <w:bCs/>
                <w:color w:val="000000" w:themeColor="text1"/>
                <w:lang w:val="fr-FR"/>
              </w:rPr>
              <w:t>Bâtiments en construction, des fondations, des terrains nus, un mur de clôture et des ruelles</w:t>
            </w:r>
          </w:p>
        </w:tc>
      </w:tr>
      <w:tr w:rsidR="00BD1A2F" w:rsidRPr="00632C4D" w14:paraId="3ABA02E3" w14:textId="77777777" w:rsidTr="003A0E4A">
        <w:tc>
          <w:tcPr>
            <w:tcW w:w="964" w:type="pct"/>
          </w:tcPr>
          <w:p w14:paraId="3AFF70F1" w14:textId="77777777" w:rsidR="00DE241D" w:rsidRPr="0097258B" w:rsidRDefault="00DE241D" w:rsidP="00E20250">
            <w:pPr>
              <w:spacing w:line="240" w:lineRule="auto"/>
              <w:rPr>
                <w:rFonts w:ascii="Times New Roman" w:hAnsi="Times New Roman"/>
                <w:bCs/>
                <w:color w:val="000000" w:themeColor="text1"/>
                <w:lang w:val="fr-FR"/>
              </w:rPr>
            </w:pPr>
            <w:r w:rsidRPr="00632C4D">
              <w:rPr>
                <w:rFonts w:ascii="Times New Roman" w:hAnsi="Times New Roman"/>
                <w:bCs/>
                <w:color w:val="000000" w:themeColor="text1"/>
              </w:rPr>
              <w:t>Bassin R</w:t>
            </w:r>
          </w:p>
        </w:tc>
        <w:tc>
          <w:tcPr>
            <w:tcW w:w="4036" w:type="pct"/>
          </w:tcPr>
          <w:p w14:paraId="749CB433" w14:textId="77777777" w:rsidR="00DE241D" w:rsidRPr="0097258B" w:rsidRDefault="00DE241D" w:rsidP="00E20250">
            <w:pPr>
              <w:spacing w:line="240" w:lineRule="auto"/>
              <w:rPr>
                <w:rFonts w:ascii="Times New Roman" w:hAnsi="Times New Roman"/>
                <w:bCs/>
                <w:color w:val="000000" w:themeColor="text1"/>
                <w:lang w:val="fr-FR"/>
              </w:rPr>
            </w:pPr>
            <w:r w:rsidRPr="00632C4D">
              <w:rPr>
                <w:rFonts w:ascii="Times New Roman" w:hAnsi="Times New Roman"/>
                <w:bCs/>
                <w:color w:val="000000" w:themeColor="text1"/>
              </w:rPr>
              <w:t>Un terrain de football</w:t>
            </w:r>
          </w:p>
        </w:tc>
      </w:tr>
    </w:tbl>
    <w:p w14:paraId="0D0D89C5" w14:textId="77777777" w:rsidR="00DE241D" w:rsidRPr="00260790" w:rsidRDefault="00DE241D" w:rsidP="00F83414">
      <w:pPr>
        <w:spacing w:after="0" w:line="240" w:lineRule="auto"/>
        <w:jc w:val="both"/>
        <w:rPr>
          <w:rFonts w:ascii="Times New Roman" w:hAnsi="Times New Roman"/>
          <w:color w:val="000000" w:themeColor="text1"/>
        </w:rPr>
      </w:pPr>
    </w:p>
    <w:p w14:paraId="5B6B1318" w14:textId="77777777" w:rsidR="00DE241D" w:rsidRPr="00260790" w:rsidRDefault="00DE241D" w:rsidP="00E20250">
      <w:pPr>
        <w:spacing w:line="240" w:lineRule="auto"/>
        <w:jc w:val="both"/>
        <w:rPr>
          <w:rFonts w:ascii="Times New Roman" w:hAnsi="Times New Roman"/>
          <w:bCs/>
          <w:iCs/>
          <w:color w:val="000000" w:themeColor="text1"/>
        </w:rPr>
      </w:pPr>
      <w:r w:rsidRPr="00260790">
        <w:rPr>
          <w:rFonts w:ascii="Times New Roman" w:hAnsi="Times New Roman"/>
          <w:color w:val="000000" w:themeColor="text1"/>
        </w:rPr>
        <w:t xml:space="preserve">Ci-dessous le résumé des </w:t>
      </w:r>
      <w:r w:rsidRPr="00260790">
        <w:rPr>
          <w:rFonts w:ascii="Times New Roman" w:hAnsi="Times New Roman"/>
          <w:bCs/>
          <w:iCs/>
          <w:color w:val="000000" w:themeColor="text1"/>
        </w:rPr>
        <w:t>pertes/restriction d’accès temporaires ou définitives à des biens privés et des moyens d’existence des populations.</w:t>
      </w:r>
    </w:p>
    <w:p w14:paraId="35C87954" w14:textId="13C6BB63" w:rsidR="00DE241D" w:rsidRPr="00260790" w:rsidRDefault="00DE241D" w:rsidP="00E20250">
      <w:pPr>
        <w:pStyle w:val="Lgende"/>
        <w:keepNext/>
        <w:spacing w:line="240" w:lineRule="auto"/>
        <w:rPr>
          <w:color w:val="000000" w:themeColor="text1"/>
          <w:sz w:val="22"/>
          <w:szCs w:val="22"/>
        </w:rPr>
      </w:pPr>
      <w:bookmarkStart w:id="633" w:name="_Toc207781891"/>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50</w:t>
      </w:r>
      <w:r w:rsidRPr="00260790">
        <w:rPr>
          <w:noProof/>
          <w:color w:val="000000" w:themeColor="text1"/>
          <w:sz w:val="22"/>
          <w:szCs w:val="22"/>
        </w:rPr>
        <w:fldChar w:fldCharType="end"/>
      </w:r>
      <w:r w:rsidRPr="00260790">
        <w:rPr>
          <w:color w:val="000000" w:themeColor="text1"/>
          <w:sz w:val="22"/>
          <w:szCs w:val="22"/>
        </w:rPr>
        <w:t> : résumé de l’évaluation des Pertes/restriction d’accès temporaires ou définitives à des biens privés et des moyens d’existence des populations</w:t>
      </w:r>
      <w:bookmarkEnd w:id="633"/>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22"/>
        <w:gridCol w:w="1330"/>
        <w:gridCol w:w="236"/>
        <w:gridCol w:w="953"/>
        <w:gridCol w:w="227"/>
        <w:gridCol w:w="884"/>
        <w:gridCol w:w="290"/>
        <w:gridCol w:w="1571"/>
        <w:gridCol w:w="129"/>
        <w:gridCol w:w="1618"/>
      </w:tblGrid>
      <w:tr w:rsidR="00BD1A2F" w:rsidRPr="00632C4D" w14:paraId="3B91D2CB" w14:textId="77777777" w:rsidTr="003A0E4A">
        <w:trPr>
          <w:trHeight w:val="234"/>
        </w:trPr>
        <w:tc>
          <w:tcPr>
            <w:tcW w:w="5000" w:type="pct"/>
            <w:gridSpan w:val="10"/>
            <w:shd w:val="clear" w:color="auto" w:fill="D9E2F3" w:themeFill="accent5" w:themeFillTint="33"/>
          </w:tcPr>
          <w:p w14:paraId="66E35DC9" w14:textId="77777777" w:rsidR="00DE241D" w:rsidRPr="0097258B" w:rsidRDefault="00DE241D" w:rsidP="00E20250">
            <w:pPr>
              <w:spacing w:line="240" w:lineRule="auto"/>
              <w:jc w:val="both"/>
              <w:rPr>
                <w:rFonts w:ascii="Times New Roman" w:hAnsi="Times New Roman"/>
                <w:b/>
                <w:color w:val="000000" w:themeColor="text1"/>
                <w:sz w:val="20"/>
                <w:szCs w:val="20"/>
                <w:lang w:val="fr-FR"/>
              </w:rPr>
            </w:pPr>
            <w:r w:rsidRPr="00301AF6">
              <w:rPr>
                <w:rFonts w:ascii="Times New Roman" w:hAnsi="Times New Roman"/>
                <w:b/>
                <w:i/>
                <w:color w:val="000000" w:themeColor="text1"/>
                <w:sz w:val="20"/>
                <w:szCs w:val="20"/>
                <w:lang w:val="fr-FR"/>
              </w:rPr>
              <w:t>IN-8. Pertes/restriction d’accès temporaires ou définitives à des biens privés et des moyens d’existence des populations</w:t>
            </w:r>
          </w:p>
        </w:tc>
      </w:tr>
      <w:tr w:rsidR="00BD1A2F" w:rsidRPr="00632C4D" w14:paraId="00B2A9E7" w14:textId="77777777" w:rsidTr="003A0E4A">
        <w:trPr>
          <w:trHeight w:val="58"/>
        </w:trPr>
        <w:tc>
          <w:tcPr>
            <w:tcW w:w="5000" w:type="pct"/>
            <w:gridSpan w:val="10"/>
          </w:tcPr>
          <w:p w14:paraId="6450895D" w14:textId="77777777" w:rsidR="00DE241D" w:rsidRPr="0097258B" w:rsidRDefault="00DE241D" w:rsidP="00E20250">
            <w:pPr>
              <w:pStyle w:val="Default"/>
              <w:overflowPunct w:val="0"/>
              <w:ind w:lef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b/>
                <w:bCs/>
                <w:color w:val="000000" w:themeColor="text1"/>
                <w:sz w:val="20"/>
                <w:szCs w:val="20"/>
                <w:lang w:val="fr-FR"/>
              </w:rPr>
              <w:t>Source d’impacts :</w:t>
            </w:r>
            <w:r w:rsidRPr="00301AF6">
              <w:rPr>
                <w:rFonts w:ascii="Times New Roman" w:hAnsi="Times New Roman" w:cs="Times New Roman"/>
                <w:color w:val="000000" w:themeColor="text1"/>
                <w:sz w:val="20"/>
                <w:szCs w:val="20"/>
                <w:lang w:val="fr-FR"/>
              </w:rPr>
              <w:t xml:space="preserve"> Acquisition et libération des emprises</w:t>
            </w:r>
          </w:p>
        </w:tc>
      </w:tr>
      <w:tr w:rsidR="00BD1A2F" w:rsidRPr="00632C4D" w14:paraId="2303D800" w14:textId="77777777" w:rsidTr="003A0E4A">
        <w:trPr>
          <w:trHeight w:val="58"/>
        </w:trPr>
        <w:tc>
          <w:tcPr>
            <w:tcW w:w="1006" w:type="pct"/>
          </w:tcPr>
          <w:p w14:paraId="612CB2B8" w14:textId="77777777" w:rsidR="00DE241D" w:rsidRPr="0097258B" w:rsidRDefault="00DE241D" w:rsidP="00E20250">
            <w:pPr>
              <w:pStyle w:val="Default"/>
              <w:overflowPunct w:val="0"/>
              <w:ind w:lef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Critère</w:t>
            </w:r>
            <w:proofErr w:type="spellEnd"/>
          </w:p>
        </w:tc>
        <w:tc>
          <w:tcPr>
            <w:tcW w:w="864" w:type="pct"/>
            <w:gridSpan w:val="2"/>
          </w:tcPr>
          <w:p w14:paraId="0AD138B4" w14:textId="77777777" w:rsidR="00DE241D" w:rsidRPr="0097258B" w:rsidRDefault="00DE241D" w:rsidP="00E20250">
            <w:pPr>
              <w:pStyle w:val="Default"/>
              <w:overflowPunct w:val="0"/>
              <w:ind w:lef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Intensité</w:t>
            </w:r>
            <w:proofErr w:type="spellEnd"/>
          </w:p>
        </w:tc>
        <w:tc>
          <w:tcPr>
            <w:tcW w:w="651" w:type="pct"/>
            <w:gridSpan w:val="2"/>
          </w:tcPr>
          <w:p w14:paraId="17791A00" w14:textId="1F2EAA3C" w:rsidR="00DE241D" w:rsidRPr="0097258B" w:rsidRDefault="00F11A3D" w:rsidP="00E20250">
            <w:pPr>
              <w:pStyle w:val="Default"/>
              <w:overflowPunct w:val="0"/>
              <w:ind w:lef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Étendue</w:t>
            </w:r>
            <w:proofErr w:type="spellEnd"/>
          </w:p>
        </w:tc>
        <w:tc>
          <w:tcPr>
            <w:tcW w:w="648" w:type="pct"/>
            <w:gridSpan w:val="2"/>
          </w:tcPr>
          <w:p w14:paraId="1BE725DA" w14:textId="77777777" w:rsidR="00DE241D" w:rsidRPr="0097258B" w:rsidRDefault="00DE241D" w:rsidP="00E20250">
            <w:pPr>
              <w:pStyle w:val="Default"/>
              <w:overflowPunct w:val="0"/>
              <w:ind w:lef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Durée</w:t>
            </w:r>
          </w:p>
        </w:tc>
        <w:tc>
          <w:tcPr>
            <w:tcW w:w="867" w:type="pct"/>
          </w:tcPr>
          <w:p w14:paraId="0DA3EA59" w14:textId="77777777" w:rsidR="00DE241D" w:rsidRPr="0097258B" w:rsidRDefault="00DE241D" w:rsidP="00E20250">
            <w:pPr>
              <w:pStyle w:val="Default"/>
              <w:overflowPunct w:val="0"/>
              <w:ind w:lef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Importance</w:t>
            </w:r>
          </w:p>
        </w:tc>
        <w:tc>
          <w:tcPr>
            <w:tcW w:w="963" w:type="pct"/>
            <w:gridSpan w:val="2"/>
          </w:tcPr>
          <w:p w14:paraId="64621D1D" w14:textId="77777777" w:rsidR="00DE241D" w:rsidRPr="0097258B" w:rsidRDefault="00DE241D" w:rsidP="00E20250">
            <w:pPr>
              <w:pStyle w:val="Normaltableau0"/>
              <w:ind w:left="57"/>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Réversibilité</w:t>
            </w:r>
            <w:proofErr w:type="spellEnd"/>
          </w:p>
        </w:tc>
      </w:tr>
      <w:tr w:rsidR="00BD1A2F" w:rsidRPr="00632C4D" w14:paraId="717534E7" w14:textId="77777777" w:rsidTr="003A0E4A">
        <w:trPr>
          <w:trHeight w:val="58"/>
        </w:trPr>
        <w:tc>
          <w:tcPr>
            <w:tcW w:w="1006" w:type="pct"/>
          </w:tcPr>
          <w:p w14:paraId="65823224" w14:textId="77777777" w:rsidR="00DE241D" w:rsidRPr="0097258B" w:rsidRDefault="00DE241D" w:rsidP="00E20250">
            <w:pPr>
              <w:pStyle w:val="Default"/>
              <w:overflowPunct w:val="0"/>
              <w:ind w:lef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Sans </w:t>
            </w:r>
            <w:proofErr w:type="spellStart"/>
            <w:r w:rsidRPr="0097258B">
              <w:rPr>
                <w:rFonts w:ascii="Times New Roman" w:hAnsi="Times New Roman" w:cs="Times New Roman"/>
                <w:color w:val="000000" w:themeColor="text1"/>
                <w:sz w:val="20"/>
                <w:szCs w:val="20"/>
              </w:rPr>
              <w:t>atténuation</w:t>
            </w:r>
            <w:proofErr w:type="spellEnd"/>
          </w:p>
        </w:tc>
        <w:tc>
          <w:tcPr>
            <w:tcW w:w="864" w:type="pct"/>
            <w:gridSpan w:val="2"/>
          </w:tcPr>
          <w:p w14:paraId="4ECA8D7B" w14:textId="77777777" w:rsidR="00DE241D" w:rsidRPr="0097258B" w:rsidRDefault="00DE241D" w:rsidP="00E20250">
            <w:pPr>
              <w:pStyle w:val="Default"/>
              <w:overflowPunct w:val="0"/>
              <w:ind w:lef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Moyenne</w:t>
            </w:r>
          </w:p>
        </w:tc>
        <w:tc>
          <w:tcPr>
            <w:tcW w:w="651" w:type="pct"/>
            <w:gridSpan w:val="2"/>
          </w:tcPr>
          <w:p w14:paraId="4BA291EE" w14:textId="77777777" w:rsidR="00DE241D" w:rsidRPr="0097258B" w:rsidRDefault="00DE241D" w:rsidP="00E20250">
            <w:pPr>
              <w:pStyle w:val="Default"/>
              <w:overflowPunct w:val="0"/>
              <w:ind w:lef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Locale</w:t>
            </w:r>
          </w:p>
        </w:tc>
        <w:tc>
          <w:tcPr>
            <w:tcW w:w="648" w:type="pct"/>
            <w:gridSpan w:val="2"/>
          </w:tcPr>
          <w:p w14:paraId="36C54708" w14:textId="77777777" w:rsidR="00DE241D" w:rsidRPr="0097258B" w:rsidRDefault="00DE241D" w:rsidP="00E20250">
            <w:pPr>
              <w:pStyle w:val="Default"/>
              <w:overflowPunct w:val="0"/>
              <w:ind w:lef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Moyenne</w:t>
            </w:r>
          </w:p>
        </w:tc>
        <w:tc>
          <w:tcPr>
            <w:tcW w:w="867" w:type="pct"/>
            <w:shd w:val="clear" w:color="auto" w:fill="F4B083" w:themeFill="accent2" w:themeFillTint="99"/>
          </w:tcPr>
          <w:p w14:paraId="4942C324" w14:textId="77777777" w:rsidR="00DE241D" w:rsidRPr="0097258B" w:rsidRDefault="00DE241D" w:rsidP="00E20250">
            <w:pPr>
              <w:pStyle w:val="Default"/>
              <w:overflowPunct w:val="0"/>
              <w:ind w:lef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Moyenne</w:t>
            </w:r>
          </w:p>
        </w:tc>
        <w:tc>
          <w:tcPr>
            <w:tcW w:w="963" w:type="pct"/>
            <w:gridSpan w:val="2"/>
          </w:tcPr>
          <w:p w14:paraId="21450FA0" w14:textId="77777777" w:rsidR="00DE241D" w:rsidRPr="0097258B" w:rsidRDefault="00DE241D" w:rsidP="00E20250">
            <w:pPr>
              <w:pStyle w:val="Normaltableau0"/>
              <w:ind w:left="57"/>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Réversible</w:t>
            </w:r>
            <w:proofErr w:type="spellEnd"/>
          </w:p>
        </w:tc>
      </w:tr>
      <w:tr w:rsidR="00BD1A2F" w:rsidRPr="00632C4D" w14:paraId="2FE72D19" w14:textId="77777777" w:rsidTr="003A0E4A">
        <w:trPr>
          <w:trHeight w:val="365"/>
        </w:trPr>
        <w:tc>
          <w:tcPr>
            <w:tcW w:w="1006" w:type="pct"/>
          </w:tcPr>
          <w:p w14:paraId="387B8292" w14:textId="77777777" w:rsidR="00DE241D" w:rsidRPr="0097258B" w:rsidRDefault="00DE241D" w:rsidP="00E20250">
            <w:pPr>
              <w:pStyle w:val="Default"/>
              <w:overflowPunct w:val="0"/>
              <w:ind w:left="57"/>
              <w:jc w:val="both"/>
              <w:textAlignment w:val="baseline"/>
              <w:rPr>
                <w:rFonts w:ascii="Times New Roman" w:hAnsi="Times New Roman" w:cs="Times New Roman"/>
                <w:color w:val="000000" w:themeColor="text1"/>
                <w:sz w:val="20"/>
                <w:szCs w:val="20"/>
                <w:lang w:val="fr-FR"/>
              </w:rPr>
            </w:pPr>
          </w:p>
          <w:p w14:paraId="754CF03B" w14:textId="77777777" w:rsidR="00DE241D" w:rsidRPr="0097258B" w:rsidRDefault="00DE241D" w:rsidP="00E20250">
            <w:pPr>
              <w:pStyle w:val="Default"/>
              <w:overflowPunct w:val="0"/>
              <w:ind w:left="57"/>
              <w:jc w:val="both"/>
              <w:textAlignment w:val="baseline"/>
              <w:rPr>
                <w:rFonts w:ascii="Times New Roman" w:hAnsi="Times New Roman" w:cs="Times New Roman"/>
                <w:color w:val="000000" w:themeColor="text1"/>
                <w:sz w:val="20"/>
                <w:szCs w:val="20"/>
                <w:lang w:val="fr-FR"/>
              </w:rPr>
            </w:pPr>
          </w:p>
          <w:p w14:paraId="23A8F56E" w14:textId="77777777" w:rsidR="00DE241D" w:rsidRPr="0097258B" w:rsidRDefault="00DE241D" w:rsidP="00E20250">
            <w:pPr>
              <w:pStyle w:val="Default"/>
              <w:overflowPunct w:val="0"/>
              <w:ind w:left="57"/>
              <w:jc w:val="both"/>
              <w:textAlignment w:val="baseline"/>
              <w:rPr>
                <w:rFonts w:ascii="Times New Roman" w:hAnsi="Times New Roman" w:cs="Times New Roman"/>
                <w:color w:val="000000" w:themeColor="text1"/>
                <w:sz w:val="20"/>
                <w:szCs w:val="20"/>
                <w:lang w:val="fr-FR"/>
              </w:rPr>
            </w:pPr>
          </w:p>
          <w:p w14:paraId="23DC4951" w14:textId="77777777" w:rsidR="00DE241D" w:rsidRPr="0097258B" w:rsidRDefault="00DE241D" w:rsidP="00E20250">
            <w:pPr>
              <w:pStyle w:val="Default"/>
              <w:overflowPunct w:val="0"/>
              <w:ind w:left="57"/>
              <w:jc w:val="both"/>
              <w:textAlignment w:val="baseline"/>
              <w:rPr>
                <w:rFonts w:ascii="Times New Roman" w:hAnsi="Times New Roman" w:cs="Times New Roman"/>
                <w:color w:val="000000" w:themeColor="text1"/>
                <w:sz w:val="20"/>
                <w:szCs w:val="20"/>
                <w:lang w:val="fr-FR"/>
              </w:rPr>
            </w:pPr>
          </w:p>
          <w:p w14:paraId="54F55F6C" w14:textId="77777777" w:rsidR="00DE241D" w:rsidRPr="0097258B" w:rsidRDefault="00DE241D" w:rsidP="00E20250">
            <w:pPr>
              <w:pStyle w:val="Default"/>
              <w:overflowPunct w:val="0"/>
              <w:ind w:left="57"/>
              <w:jc w:val="both"/>
              <w:textAlignment w:val="baseline"/>
              <w:rPr>
                <w:rFonts w:ascii="Times New Roman" w:hAnsi="Times New Roman" w:cs="Times New Roman"/>
                <w:color w:val="000000" w:themeColor="text1"/>
                <w:sz w:val="20"/>
                <w:szCs w:val="20"/>
                <w:lang w:val="fr-FR"/>
              </w:rPr>
            </w:pPr>
          </w:p>
          <w:p w14:paraId="645A9882" w14:textId="77777777" w:rsidR="00DE241D" w:rsidRPr="0097258B" w:rsidRDefault="00DE241D" w:rsidP="00E20250">
            <w:pPr>
              <w:pStyle w:val="Default"/>
              <w:overflowPunct w:val="0"/>
              <w:ind w:lef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d’atténuation</w:t>
            </w:r>
            <w:proofErr w:type="spellEnd"/>
          </w:p>
        </w:tc>
        <w:tc>
          <w:tcPr>
            <w:tcW w:w="3994" w:type="pct"/>
            <w:gridSpan w:val="9"/>
          </w:tcPr>
          <w:p w14:paraId="0299B11C" w14:textId="5C45810F" w:rsidR="00DE241D" w:rsidRPr="0097258B" w:rsidRDefault="00F11A3D" w:rsidP="001748C6">
            <w:pPr>
              <w:pStyle w:val="TableParagraph"/>
              <w:numPr>
                <w:ilvl w:val="0"/>
                <w:numId w:val="302"/>
              </w:numPr>
              <w:tabs>
                <w:tab w:val="left" w:pos="467"/>
                <w:tab w:val="left" w:pos="468"/>
              </w:tabs>
              <w:ind w:left="417" w:right="100"/>
              <w:jc w:val="both"/>
              <w:rPr>
                <w:color w:val="000000" w:themeColor="text1"/>
                <w:sz w:val="20"/>
                <w:szCs w:val="20"/>
                <w:lang w:val="fr-FR"/>
              </w:rPr>
            </w:pPr>
            <w:r w:rsidRPr="00301AF6">
              <w:rPr>
                <w:color w:val="000000" w:themeColor="text1"/>
                <w:sz w:val="20"/>
                <w:szCs w:val="20"/>
                <w:lang w:val="fr-FR"/>
              </w:rPr>
              <w:t>Élaborer</w:t>
            </w:r>
            <w:r w:rsidR="00DE241D" w:rsidRPr="00301AF6">
              <w:rPr>
                <w:color w:val="000000" w:themeColor="text1"/>
                <w:sz w:val="20"/>
                <w:szCs w:val="20"/>
                <w:lang w:val="fr-FR"/>
              </w:rPr>
              <w:t xml:space="preserve"> un PAR/plan de restauration de moyens de subsistance et indemniser les personnes affectées avant le démarrage des travaux ;</w:t>
            </w:r>
          </w:p>
          <w:p w14:paraId="5D2C38A4" w14:textId="77777777" w:rsidR="00DE241D" w:rsidRPr="0097258B" w:rsidRDefault="00DE241D" w:rsidP="001748C6">
            <w:pPr>
              <w:pStyle w:val="TableParagraph"/>
              <w:numPr>
                <w:ilvl w:val="0"/>
                <w:numId w:val="302"/>
              </w:numPr>
              <w:tabs>
                <w:tab w:val="left" w:pos="467"/>
                <w:tab w:val="left" w:pos="468"/>
              </w:tabs>
              <w:ind w:left="417" w:right="100"/>
              <w:jc w:val="both"/>
              <w:rPr>
                <w:color w:val="000000" w:themeColor="text1"/>
                <w:sz w:val="20"/>
                <w:szCs w:val="20"/>
                <w:lang w:val="fr-FR"/>
              </w:rPr>
            </w:pPr>
            <w:r w:rsidRPr="00301AF6">
              <w:rPr>
                <w:color w:val="000000" w:themeColor="text1"/>
                <w:sz w:val="20"/>
                <w:szCs w:val="20"/>
                <w:lang w:val="fr-FR"/>
              </w:rPr>
              <w:t xml:space="preserve">Travailler en collaboration avec les élus, les </w:t>
            </w:r>
            <w:proofErr w:type="spellStart"/>
            <w:r w:rsidRPr="00301AF6">
              <w:rPr>
                <w:color w:val="000000" w:themeColor="text1"/>
                <w:sz w:val="20"/>
                <w:szCs w:val="20"/>
                <w:lang w:val="fr-FR"/>
              </w:rPr>
              <w:t>PAPs</w:t>
            </w:r>
            <w:proofErr w:type="spellEnd"/>
            <w:r w:rsidRPr="00301AF6">
              <w:rPr>
                <w:color w:val="000000" w:themeColor="text1"/>
                <w:sz w:val="20"/>
                <w:szCs w:val="20"/>
                <w:lang w:val="fr-FR"/>
              </w:rPr>
              <w:t xml:space="preserve"> et la CDREI pour assurer un recensement exhaustif des pertes ;</w:t>
            </w:r>
          </w:p>
          <w:p w14:paraId="0485D1A3" w14:textId="77777777" w:rsidR="00DE241D" w:rsidRPr="0097258B" w:rsidRDefault="00DE241D" w:rsidP="001748C6">
            <w:pPr>
              <w:pStyle w:val="TableParagraph"/>
              <w:numPr>
                <w:ilvl w:val="0"/>
                <w:numId w:val="302"/>
              </w:numPr>
              <w:tabs>
                <w:tab w:val="left" w:pos="467"/>
                <w:tab w:val="left" w:pos="468"/>
              </w:tabs>
              <w:ind w:left="417" w:right="100"/>
              <w:jc w:val="both"/>
              <w:rPr>
                <w:color w:val="000000" w:themeColor="text1"/>
                <w:sz w:val="20"/>
                <w:szCs w:val="20"/>
                <w:lang w:val="fr-FR"/>
              </w:rPr>
            </w:pPr>
            <w:r w:rsidRPr="00301AF6">
              <w:rPr>
                <w:color w:val="000000" w:themeColor="text1"/>
                <w:sz w:val="20"/>
                <w:szCs w:val="20"/>
                <w:lang w:val="fr-FR"/>
              </w:rPr>
              <w:t>S’assurer que les barèmes adoptés sont les plus favorables aux personnes affectées ;</w:t>
            </w:r>
          </w:p>
          <w:p w14:paraId="1CC80D78" w14:textId="77777777" w:rsidR="00DE241D" w:rsidRPr="0097258B" w:rsidRDefault="00DE241D" w:rsidP="001748C6">
            <w:pPr>
              <w:pStyle w:val="TableParagraph"/>
              <w:numPr>
                <w:ilvl w:val="0"/>
                <w:numId w:val="302"/>
              </w:numPr>
              <w:tabs>
                <w:tab w:val="left" w:pos="467"/>
                <w:tab w:val="left" w:pos="468"/>
              </w:tabs>
              <w:ind w:left="417" w:right="100"/>
              <w:jc w:val="both"/>
              <w:rPr>
                <w:color w:val="000000" w:themeColor="text1"/>
                <w:sz w:val="20"/>
                <w:szCs w:val="20"/>
                <w:lang w:val="fr-FR"/>
              </w:rPr>
            </w:pPr>
            <w:r w:rsidRPr="00301AF6">
              <w:rPr>
                <w:color w:val="000000" w:themeColor="text1"/>
                <w:sz w:val="20"/>
                <w:szCs w:val="20"/>
                <w:lang w:val="fr-FR"/>
              </w:rPr>
              <w:t>Mettre en place un mécanisme de traitement des plaintes et réclamations des populations ;</w:t>
            </w:r>
          </w:p>
          <w:p w14:paraId="41B9715C" w14:textId="77777777" w:rsidR="00DE241D" w:rsidRPr="0097258B" w:rsidRDefault="00DE241D" w:rsidP="001748C6">
            <w:pPr>
              <w:pStyle w:val="TableParagraph"/>
              <w:numPr>
                <w:ilvl w:val="0"/>
                <w:numId w:val="305"/>
              </w:numPr>
              <w:tabs>
                <w:tab w:val="left" w:pos="467"/>
                <w:tab w:val="left" w:pos="468"/>
              </w:tabs>
              <w:ind w:left="417" w:right="100"/>
              <w:jc w:val="both"/>
              <w:rPr>
                <w:color w:val="000000" w:themeColor="text1"/>
                <w:sz w:val="20"/>
                <w:szCs w:val="20"/>
                <w:lang w:val="fr-FR"/>
              </w:rPr>
            </w:pPr>
            <w:r w:rsidRPr="00301AF6">
              <w:rPr>
                <w:color w:val="000000" w:themeColor="text1"/>
                <w:sz w:val="20"/>
                <w:szCs w:val="20"/>
                <w:lang w:val="fr-FR"/>
              </w:rPr>
              <w:t>Mettre en œuvre des mesures d’accompagnement profit des personnes affectées et des mesures sociales au profit des communautés affectées ;</w:t>
            </w:r>
          </w:p>
          <w:p w14:paraId="023EBC2E" w14:textId="77777777" w:rsidR="00DE241D" w:rsidRPr="0097258B" w:rsidRDefault="00DE241D" w:rsidP="001748C6">
            <w:pPr>
              <w:pStyle w:val="Default"/>
              <w:numPr>
                <w:ilvl w:val="0"/>
                <w:numId w:val="302"/>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Aménager des espaces verts et des aires de jeu pour les riverains ;</w:t>
            </w:r>
          </w:p>
          <w:p w14:paraId="3BC5D773" w14:textId="77777777" w:rsidR="00DE241D" w:rsidRPr="0097258B" w:rsidRDefault="00DE241D" w:rsidP="001748C6">
            <w:pPr>
              <w:pStyle w:val="Default"/>
              <w:numPr>
                <w:ilvl w:val="0"/>
                <w:numId w:val="302"/>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Former les éleveurs dont les animaux fréquentent les sites, à l’embouche et leur faire des dotations d’aliments de bétails le temps qu’ils s’habituent à la nouvelle donne.</w:t>
            </w:r>
          </w:p>
        </w:tc>
      </w:tr>
      <w:tr w:rsidR="00BD1A2F" w:rsidRPr="00632C4D" w14:paraId="10A2D897" w14:textId="77777777" w:rsidTr="003A0E4A">
        <w:trPr>
          <w:trHeight w:val="101"/>
        </w:trPr>
        <w:tc>
          <w:tcPr>
            <w:tcW w:w="1006" w:type="pct"/>
          </w:tcPr>
          <w:p w14:paraId="52B9EC27" w14:textId="77777777" w:rsidR="00DE241D" w:rsidRPr="0097258B" w:rsidRDefault="00DE241D" w:rsidP="00E20250">
            <w:pPr>
              <w:pStyle w:val="Default"/>
              <w:overflowPunct w:val="0"/>
              <w:ind w:lef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Avec </w:t>
            </w:r>
            <w:proofErr w:type="spellStart"/>
            <w:r w:rsidRPr="0097258B">
              <w:rPr>
                <w:rFonts w:ascii="Times New Roman" w:hAnsi="Times New Roman" w:cs="Times New Roman"/>
                <w:color w:val="000000" w:themeColor="text1"/>
                <w:sz w:val="20"/>
                <w:szCs w:val="20"/>
              </w:rPr>
              <w:t>atténuation</w:t>
            </w:r>
            <w:proofErr w:type="spellEnd"/>
          </w:p>
        </w:tc>
        <w:tc>
          <w:tcPr>
            <w:tcW w:w="734" w:type="pct"/>
          </w:tcPr>
          <w:p w14:paraId="41A5665D"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Faible</w:t>
            </w:r>
            <w:proofErr w:type="spellEnd"/>
          </w:p>
        </w:tc>
        <w:tc>
          <w:tcPr>
            <w:tcW w:w="656" w:type="pct"/>
            <w:gridSpan w:val="2"/>
          </w:tcPr>
          <w:p w14:paraId="0154E198"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Ponctuelle</w:t>
            </w:r>
            <w:proofErr w:type="spellEnd"/>
          </w:p>
        </w:tc>
        <w:tc>
          <w:tcPr>
            <w:tcW w:w="613" w:type="pct"/>
            <w:gridSpan w:val="2"/>
          </w:tcPr>
          <w:p w14:paraId="305F3599"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Courte</w:t>
            </w:r>
          </w:p>
        </w:tc>
        <w:tc>
          <w:tcPr>
            <w:tcW w:w="1098" w:type="pct"/>
            <w:gridSpan w:val="3"/>
            <w:shd w:val="clear" w:color="auto" w:fill="FFFF00"/>
          </w:tcPr>
          <w:p w14:paraId="4F97FCF5"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Mineure</w:t>
            </w:r>
            <w:proofErr w:type="spellEnd"/>
          </w:p>
        </w:tc>
        <w:tc>
          <w:tcPr>
            <w:tcW w:w="892" w:type="pct"/>
          </w:tcPr>
          <w:p w14:paraId="14D02833" w14:textId="77777777" w:rsidR="00DE241D" w:rsidRPr="0097258B" w:rsidRDefault="00DE241D" w:rsidP="00E20250">
            <w:pPr>
              <w:pStyle w:val="TableParagraph"/>
              <w:rPr>
                <w:color w:val="000000" w:themeColor="text1"/>
                <w:sz w:val="20"/>
                <w:szCs w:val="20"/>
                <w:lang w:val="fr-FR"/>
              </w:rPr>
            </w:pPr>
          </w:p>
        </w:tc>
      </w:tr>
    </w:tbl>
    <w:p w14:paraId="259B377C" w14:textId="77777777" w:rsidR="00DE241D" w:rsidRPr="00260790" w:rsidRDefault="00DE241D" w:rsidP="001748C6">
      <w:pPr>
        <w:pStyle w:val="Default"/>
        <w:numPr>
          <w:ilvl w:val="0"/>
          <w:numId w:val="320"/>
        </w:numPr>
        <w:overflowPunct w:val="0"/>
        <w:jc w:val="both"/>
        <w:textAlignment w:val="baseline"/>
        <w:rPr>
          <w:rFonts w:ascii="Times New Roman" w:hAnsi="Times New Roman" w:cs="Times New Roman"/>
          <w:b/>
          <w:bCs/>
          <w:i/>
          <w:iCs/>
          <w:color w:val="000000" w:themeColor="text1"/>
          <w:sz w:val="22"/>
          <w:szCs w:val="22"/>
        </w:rPr>
      </w:pPr>
      <w:r w:rsidRPr="00260790">
        <w:rPr>
          <w:rFonts w:ascii="Times New Roman" w:hAnsi="Times New Roman" w:cs="Times New Roman"/>
          <w:b/>
          <w:bCs/>
          <w:i/>
          <w:iCs/>
          <w:color w:val="000000" w:themeColor="text1"/>
          <w:sz w:val="22"/>
          <w:szCs w:val="22"/>
        </w:rPr>
        <w:t xml:space="preserve">RI-14. Risque de destruction des réseaux des concessionnaires et d’altération de la qualité de leurs services </w:t>
      </w:r>
    </w:p>
    <w:p w14:paraId="4EAC5F8C" w14:textId="7174FE4E" w:rsidR="00DE241D" w:rsidRPr="00260790" w:rsidRDefault="00DE241D" w:rsidP="00304699">
      <w:pPr>
        <w:pStyle w:val="Default"/>
        <w:overflowPunct w:val="0"/>
        <w:spacing w:after="240"/>
        <w:jc w:val="both"/>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L’aménagement des bassins et collecteurs comporte un risque de destruction de réseaux électriques BT de la SENELEC, de réseau d’assainissement de l’ONAS, de regards et d’une conduite AEP de SEN’EAU</w:t>
      </w:r>
      <w:r w:rsidR="00C51B66" w:rsidRPr="00260790">
        <w:rPr>
          <w:rFonts w:ascii="Times New Roman" w:hAnsi="Times New Roman" w:cs="Times New Roman"/>
          <w:color w:val="000000" w:themeColor="text1"/>
          <w:sz w:val="22"/>
          <w:szCs w:val="22"/>
        </w:rPr>
        <w:t xml:space="preserve"> et le réseau de télécommunication (SONATEL, YAS</w:t>
      </w:r>
      <w:r w:rsidR="0014060C" w:rsidRPr="00260790">
        <w:rPr>
          <w:rFonts w:ascii="Times New Roman" w:hAnsi="Times New Roman" w:cs="Times New Roman"/>
          <w:color w:val="000000" w:themeColor="text1"/>
          <w:sz w:val="22"/>
          <w:szCs w:val="22"/>
        </w:rPr>
        <w:t>, EXPRESSO, etc.)</w:t>
      </w:r>
      <w:r w:rsidRPr="00260790">
        <w:rPr>
          <w:rFonts w:ascii="Times New Roman" w:hAnsi="Times New Roman" w:cs="Times New Roman"/>
          <w:color w:val="000000" w:themeColor="text1"/>
          <w:sz w:val="22"/>
          <w:szCs w:val="22"/>
        </w:rPr>
        <w:t xml:space="preserve">. </w:t>
      </w:r>
    </w:p>
    <w:p w14:paraId="45DA4CFC" w14:textId="77777777" w:rsidR="00DE241D" w:rsidRPr="00260790" w:rsidRDefault="00DE241D" w:rsidP="00304699">
      <w:pPr>
        <w:pStyle w:val="Default"/>
        <w:overflowPunct w:val="0"/>
        <w:spacing w:after="240"/>
        <w:jc w:val="both"/>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 xml:space="preserve">Une destruction de ces infrastructures pourrait entrainer une altération de la qualité des services des concessionnaires et des désagréments et frustrations des usagers. </w:t>
      </w:r>
    </w:p>
    <w:p w14:paraId="62C83231" w14:textId="77777777" w:rsidR="00DE241D" w:rsidRPr="00260790" w:rsidRDefault="00DE241D" w:rsidP="00304699">
      <w:pPr>
        <w:pStyle w:val="Default"/>
        <w:overflowPunct w:val="0"/>
        <w:spacing w:after="240"/>
        <w:jc w:val="both"/>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lastRenderedPageBreak/>
        <w:t>Ci-dessous le résumé du risque</w:t>
      </w:r>
      <w:r w:rsidRPr="00260790">
        <w:rPr>
          <w:rFonts w:ascii="Times New Roman" w:hAnsi="Times New Roman" w:cs="Times New Roman"/>
          <w:b/>
          <w:bCs/>
          <w:color w:val="000000" w:themeColor="text1"/>
          <w:sz w:val="22"/>
          <w:szCs w:val="22"/>
        </w:rPr>
        <w:t xml:space="preserve"> </w:t>
      </w:r>
      <w:r w:rsidRPr="00260790">
        <w:rPr>
          <w:rFonts w:ascii="Times New Roman" w:hAnsi="Times New Roman" w:cs="Times New Roman"/>
          <w:color w:val="000000" w:themeColor="text1"/>
          <w:sz w:val="22"/>
          <w:szCs w:val="22"/>
        </w:rPr>
        <w:t>de destruction des réseaux des concessionnaires et d’altération de la qualité de leurs services.</w:t>
      </w:r>
    </w:p>
    <w:p w14:paraId="353A690E" w14:textId="0148A5FA" w:rsidR="00DE241D" w:rsidRPr="00260790" w:rsidRDefault="00DE241D" w:rsidP="00304699">
      <w:pPr>
        <w:pStyle w:val="Lgende"/>
        <w:keepNext/>
        <w:spacing w:line="240" w:lineRule="auto"/>
        <w:rPr>
          <w:color w:val="000000" w:themeColor="text1"/>
          <w:sz w:val="22"/>
          <w:szCs w:val="22"/>
        </w:rPr>
      </w:pPr>
      <w:bookmarkStart w:id="634" w:name="_Toc207781892"/>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51</w:t>
      </w:r>
      <w:r w:rsidRPr="00260790">
        <w:rPr>
          <w:color w:val="000000" w:themeColor="text1"/>
          <w:sz w:val="22"/>
          <w:szCs w:val="22"/>
        </w:rPr>
        <w:fldChar w:fldCharType="end"/>
      </w:r>
      <w:r w:rsidRPr="00260790">
        <w:rPr>
          <w:color w:val="000000" w:themeColor="text1"/>
          <w:sz w:val="22"/>
          <w:szCs w:val="22"/>
        </w:rPr>
        <w:t> : résumé du risque de destruction des réseaux des concessionnaires et d’altération de la qualité de leurs services</w:t>
      </w:r>
      <w:bookmarkEnd w:id="634"/>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52"/>
        <w:gridCol w:w="1754"/>
        <w:gridCol w:w="1277"/>
        <w:gridCol w:w="915"/>
        <w:gridCol w:w="982"/>
        <w:gridCol w:w="2680"/>
      </w:tblGrid>
      <w:tr w:rsidR="00BD1A2F" w:rsidRPr="00632C4D" w14:paraId="64E69F11" w14:textId="77777777" w:rsidTr="003A0E4A">
        <w:trPr>
          <w:trHeight w:val="230"/>
        </w:trPr>
        <w:tc>
          <w:tcPr>
            <w:tcW w:w="5000" w:type="pct"/>
            <w:gridSpan w:val="6"/>
            <w:shd w:val="clear" w:color="auto" w:fill="D9E2F3" w:themeFill="accent5" w:themeFillTint="33"/>
          </w:tcPr>
          <w:p w14:paraId="1CDCFD1A" w14:textId="77777777" w:rsidR="00DE241D" w:rsidRPr="0097258B" w:rsidRDefault="00DE241D" w:rsidP="00E20250">
            <w:pPr>
              <w:pStyle w:val="Default"/>
              <w:overflowPunct w:val="0"/>
              <w:ind w:left="57" w:right="57"/>
              <w:jc w:val="both"/>
              <w:textAlignment w:val="baseline"/>
              <w:rPr>
                <w:rFonts w:ascii="Times New Roman" w:hAnsi="Times New Roman" w:cs="Times New Roman"/>
                <w:b/>
                <w:bCs/>
                <w:color w:val="000000" w:themeColor="text1"/>
                <w:sz w:val="20"/>
                <w:szCs w:val="20"/>
                <w:lang w:val="fr-FR"/>
              </w:rPr>
            </w:pPr>
            <w:r w:rsidRPr="00301AF6">
              <w:rPr>
                <w:rFonts w:ascii="Times New Roman" w:hAnsi="Times New Roman" w:cs="Times New Roman"/>
                <w:b/>
                <w:bCs/>
                <w:color w:val="000000" w:themeColor="text1"/>
                <w:sz w:val="20"/>
                <w:szCs w:val="20"/>
                <w:lang w:val="fr-FR"/>
              </w:rPr>
              <w:t xml:space="preserve">RI-14. Risque de destruction des réseaux des concessionnaires et altération de la qualité de leurs services </w:t>
            </w:r>
          </w:p>
        </w:tc>
      </w:tr>
      <w:tr w:rsidR="00BD1A2F" w:rsidRPr="00632C4D" w14:paraId="58CEB2A3" w14:textId="77777777" w:rsidTr="003A0E4A">
        <w:trPr>
          <w:trHeight w:val="230"/>
        </w:trPr>
        <w:tc>
          <w:tcPr>
            <w:tcW w:w="5000" w:type="pct"/>
            <w:gridSpan w:val="6"/>
          </w:tcPr>
          <w:p w14:paraId="7E713A18"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proofErr w:type="gramStart"/>
            <w:r w:rsidRPr="0097258B">
              <w:rPr>
                <w:rFonts w:ascii="Times New Roman" w:hAnsi="Times New Roman" w:cs="Times New Roman"/>
                <w:b/>
                <w:bCs/>
                <w:color w:val="000000" w:themeColor="text1"/>
                <w:sz w:val="20"/>
                <w:szCs w:val="20"/>
              </w:rPr>
              <w:t>Activités</w:t>
            </w:r>
            <w:proofErr w:type="spellEnd"/>
            <w:r w:rsidRPr="0097258B">
              <w:rPr>
                <w:rFonts w:ascii="Times New Roman" w:hAnsi="Times New Roman" w:cs="Times New Roman"/>
                <w:b/>
                <w:bCs/>
                <w:color w:val="000000" w:themeColor="text1"/>
                <w:sz w:val="20"/>
                <w:szCs w:val="20"/>
              </w:rPr>
              <w:t xml:space="preserve"> :</w:t>
            </w:r>
            <w:proofErr w:type="gram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libération</w:t>
            </w:r>
            <w:proofErr w:type="spellEnd"/>
            <w:r w:rsidRPr="0097258B">
              <w:rPr>
                <w:rFonts w:ascii="Times New Roman" w:hAnsi="Times New Roman" w:cs="Times New Roman"/>
                <w:color w:val="000000" w:themeColor="text1"/>
                <w:sz w:val="20"/>
                <w:szCs w:val="20"/>
              </w:rPr>
              <w:t xml:space="preserve"> des emprises</w:t>
            </w:r>
          </w:p>
        </w:tc>
      </w:tr>
      <w:tr w:rsidR="00BD1A2F" w:rsidRPr="00632C4D" w14:paraId="551DFA06" w14:textId="77777777" w:rsidTr="003A0E4A">
        <w:trPr>
          <w:trHeight w:val="230"/>
        </w:trPr>
        <w:tc>
          <w:tcPr>
            <w:tcW w:w="801" w:type="pct"/>
          </w:tcPr>
          <w:p w14:paraId="0CA8043D"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
        </w:tc>
        <w:tc>
          <w:tcPr>
            <w:tcW w:w="968" w:type="pct"/>
          </w:tcPr>
          <w:p w14:paraId="24B756A7"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initial</w:t>
            </w:r>
          </w:p>
        </w:tc>
        <w:tc>
          <w:tcPr>
            <w:tcW w:w="705" w:type="pct"/>
          </w:tcPr>
          <w:p w14:paraId="28840AE1"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05" w:type="pct"/>
          </w:tcPr>
          <w:p w14:paraId="6CA214C8"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42" w:type="pct"/>
          </w:tcPr>
          <w:p w14:paraId="21041B98"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479" w:type="pct"/>
          </w:tcPr>
          <w:p w14:paraId="35A34F17"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p>
        </w:tc>
      </w:tr>
      <w:tr w:rsidR="00BD1A2F" w:rsidRPr="00632C4D" w14:paraId="01335A31" w14:textId="77777777" w:rsidTr="003A0E4A">
        <w:trPr>
          <w:trHeight w:val="896"/>
        </w:trPr>
        <w:tc>
          <w:tcPr>
            <w:tcW w:w="801" w:type="pct"/>
          </w:tcPr>
          <w:p w14:paraId="7A0D9BC2"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Avant </w:t>
            </w:r>
            <w:proofErr w:type="spellStart"/>
            <w:r w:rsidRPr="0097258B">
              <w:rPr>
                <w:rFonts w:ascii="Times New Roman" w:hAnsi="Times New Roman" w:cs="Times New Roman"/>
                <w:color w:val="000000" w:themeColor="text1"/>
                <w:sz w:val="20"/>
                <w:szCs w:val="20"/>
              </w:rPr>
              <w:t>prévention</w:t>
            </w:r>
            <w:proofErr w:type="spellEnd"/>
          </w:p>
        </w:tc>
        <w:tc>
          <w:tcPr>
            <w:tcW w:w="968" w:type="pct"/>
          </w:tcPr>
          <w:p w14:paraId="771D4AAC" w14:textId="515157D6" w:rsidR="00DE241D" w:rsidRPr="0097258B" w:rsidRDefault="00222034"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Risque</w:t>
            </w:r>
            <w:r w:rsidR="0095700D" w:rsidRPr="00301AF6">
              <w:rPr>
                <w:rFonts w:ascii="Times New Roman" w:hAnsi="Times New Roman" w:cs="Times New Roman"/>
                <w:color w:val="000000" w:themeColor="text1"/>
                <w:sz w:val="20"/>
                <w:szCs w:val="20"/>
                <w:lang w:val="fr-FR"/>
              </w:rPr>
              <w:t xml:space="preserve"> </w:t>
            </w:r>
            <w:r w:rsidRPr="00301AF6">
              <w:rPr>
                <w:rFonts w:ascii="Times New Roman" w:hAnsi="Times New Roman" w:cs="Times New Roman"/>
                <w:color w:val="000000" w:themeColor="text1"/>
                <w:sz w:val="20"/>
                <w:szCs w:val="20"/>
                <w:lang w:val="fr-FR"/>
              </w:rPr>
              <w:t>de destruction des réseaux de concessionnaires et d’altération d</w:t>
            </w:r>
            <w:r w:rsidR="00646F57" w:rsidRPr="00301AF6">
              <w:rPr>
                <w:rFonts w:ascii="Times New Roman" w:hAnsi="Times New Roman" w:cs="Times New Roman"/>
                <w:color w:val="000000" w:themeColor="text1"/>
                <w:sz w:val="20"/>
                <w:szCs w:val="20"/>
                <w:lang w:val="fr-FR"/>
              </w:rPr>
              <w:t>u</w:t>
            </w:r>
            <w:r w:rsidRPr="00301AF6">
              <w:rPr>
                <w:rFonts w:ascii="Times New Roman" w:hAnsi="Times New Roman" w:cs="Times New Roman"/>
                <w:color w:val="000000" w:themeColor="text1"/>
                <w:sz w:val="20"/>
                <w:szCs w:val="20"/>
                <w:lang w:val="fr-FR"/>
              </w:rPr>
              <w:t xml:space="preserve"> service</w:t>
            </w:r>
            <w:r w:rsidR="00DC1505" w:rsidRPr="00301AF6">
              <w:rPr>
                <w:rFonts w:ascii="Times New Roman" w:hAnsi="Times New Roman" w:cs="Times New Roman"/>
                <w:color w:val="000000" w:themeColor="text1"/>
                <w:sz w:val="20"/>
                <w:szCs w:val="20"/>
                <w:lang w:val="fr-FR"/>
              </w:rPr>
              <w:t xml:space="preserve"> lors du n</w:t>
            </w:r>
            <w:r w:rsidR="00DE241D" w:rsidRPr="00301AF6">
              <w:rPr>
                <w:rFonts w:ascii="Times New Roman" w:hAnsi="Times New Roman" w:cs="Times New Roman"/>
                <w:color w:val="000000" w:themeColor="text1"/>
                <w:sz w:val="20"/>
                <w:szCs w:val="20"/>
                <w:lang w:val="fr-FR"/>
              </w:rPr>
              <w:t>ettoyage des emprises</w:t>
            </w:r>
          </w:p>
        </w:tc>
        <w:tc>
          <w:tcPr>
            <w:tcW w:w="705" w:type="pct"/>
          </w:tcPr>
          <w:p w14:paraId="39C6A996" w14:textId="77777777" w:rsidR="00DE241D" w:rsidRPr="0097258B" w:rsidRDefault="00DE241D" w:rsidP="00E20250">
            <w:pPr>
              <w:pStyle w:val="Default"/>
              <w:overflowPunct w:val="0"/>
              <w:ind w:left="57" w:right="57"/>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05" w:type="pct"/>
          </w:tcPr>
          <w:p w14:paraId="1564B823" w14:textId="77777777" w:rsidR="00DE241D" w:rsidRPr="0097258B" w:rsidRDefault="00DE241D" w:rsidP="00E20250">
            <w:pPr>
              <w:pStyle w:val="Default"/>
              <w:overflowPunct w:val="0"/>
              <w:ind w:left="57" w:right="57"/>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w:t>
            </w:r>
          </w:p>
        </w:tc>
        <w:tc>
          <w:tcPr>
            <w:tcW w:w="542" w:type="pct"/>
            <w:shd w:val="clear" w:color="auto" w:fill="FFFF00"/>
          </w:tcPr>
          <w:p w14:paraId="53F8C59E" w14:textId="77777777" w:rsidR="00DE241D" w:rsidRPr="0097258B" w:rsidRDefault="00DE241D" w:rsidP="00E20250">
            <w:pPr>
              <w:pStyle w:val="Default"/>
              <w:overflowPunct w:val="0"/>
              <w:ind w:left="57" w:right="57"/>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32</w:t>
            </w:r>
          </w:p>
        </w:tc>
        <w:tc>
          <w:tcPr>
            <w:tcW w:w="1479" w:type="pct"/>
          </w:tcPr>
          <w:p w14:paraId="09C2335D"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Altération de la qualité des services des concessionnaires ;</w:t>
            </w:r>
          </w:p>
          <w:p w14:paraId="7A393F03"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Frustration des </w:t>
            </w:r>
            <w:proofErr w:type="spellStart"/>
            <w:r w:rsidRPr="0097258B">
              <w:rPr>
                <w:rFonts w:ascii="Times New Roman" w:hAnsi="Times New Roman" w:cs="Times New Roman"/>
                <w:color w:val="000000" w:themeColor="text1"/>
                <w:sz w:val="20"/>
                <w:szCs w:val="20"/>
              </w:rPr>
              <w:t>usagers</w:t>
            </w:r>
            <w:proofErr w:type="spellEnd"/>
          </w:p>
        </w:tc>
      </w:tr>
      <w:tr w:rsidR="00BD1A2F" w:rsidRPr="00632C4D" w14:paraId="39DF28F7" w14:textId="77777777" w:rsidTr="003A0E4A">
        <w:trPr>
          <w:trHeight w:val="837"/>
        </w:trPr>
        <w:tc>
          <w:tcPr>
            <w:tcW w:w="801" w:type="pct"/>
          </w:tcPr>
          <w:p w14:paraId="2A17C645"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prévention</w:t>
            </w:r>
            <w:proofErr w:type="spellEnd"/>
          </w:p>
        </w:tc>
        <w:tc>
          <w:tcPr>
            <w:tcW w:w="4199" w:type="pct"/>
            <w:gridSpan w:val="5"/>
          </w:tcPr>
          <w:p w14:paraId="6D1E0EF2" w14:textId="77777777" w:rsidR="00DE241D" w:rsidRPr="0097258B" w:rsidRDefault="00DE241D" w:rsidP="001748C6">
            <w:pPr>
              <w:pStyle w:val="Default"/>
              <w:numPr>
                <w:ilvl w:val="0"/>
                <w:numId w:val="306"/>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Se rapprocher des concessionnaires pour disposer d’une cartographie de leurs réseaux et déterminer les modalités de dévoiements de ceux-ci ;</w:t>
            </w:r>
          </w:p>
          <w:p w14:paraId="3965BAAA" w14:textId="77777777" w:rsidR="00C34C0F" w:rsidRPr="0097258B" w:rsidRDefault="00C34C0F" w:rsidP="00C34C0F">
            <w:pPr>
              <w:pStyle w:val="Default"/>
              <w:numPr>
                <w:ilvl w:val="0"/>
                <w:numId w:val="306"/>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Faire des sondages au besoin pour confirmer les traces</w:t>
            </w:r>
            <w:r w:rsidRPr="0097258B">
              <w:rPr>
                <w:rFonts w:ascii="Times New Roman" w:hAnsi="Times New Roman" w:cs="Times New Roman"/>
                <w:color w:val="000000" w:themeColor="text1"/>
                <w:sz w:val="20"/>
                <w:szCs w:val="20"/>
                <w:lang w:val="fr-CA"/>
              </w:rPr>
              <w:t xml:space="preserve"> des </w:t>
            </w:r>
            <w:r w:rsidRPr="00301AF6">
              <w:rPr>
                <w:rFonts w:ascii="Times New Roman" w:hAnsi="Times New Roman" w:cs="Times New Roman"/>
                <w:color w:val="000000" w:themeColor="text1"/>
                <w:sz w:val="20"/>
                <w:szCs w:val="20"/>
                <w:lang w:val="fr-FR"/>
              </w:rPr>
              <w:t>réseaux ;</w:t>
            </w:r>
          </w:p>
          <w:p w14:paraId="35304301" w14:textId="77777777" w:rsidR="00DE241D" w:rsidRPr="0097258B" w:rsidRDefault="00DE241D" w:rsidP="001748C6">
            <w:pPr>
              <w:pStyle w:val="Default"/>
              <w:numPr>
                <w:ilvl w:val="0"/>
                <w:numId w:val="306"/>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Prévoir un système alternatif d’approvisionnement en eau pour pallier les effets d’éventuelles interruptions du service AEP liée aux travaux ;</w:t>
            </w:r>
          </w:p>
          <w:p w14:paraId="17873A95" w14:textId="77777777" w:rsidR="00DE241D" w:rsidRPr="0097258B" w:rsidRDefault="00DE241D" w:rsidP="001748C6">
            <w:pPr>
              <w:pStyle w:val="Default"/>
              <w:numPr>
                <w:ilvl w:val="0"/>
                <w:numId w:val="306"/>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Diligenter les travaux pour minimiser les désagréments aux usagers.</w:t>
            </w:r>
          </w:p>
        </w:tc>
      </w:tr>
      <w:tr w:rsidR="00BD1A2F" w:rsidRPr="00632C4D" w14:paraId="317DE590" w14:textId="77777777" w:rsidTr="003A0E4A">
        <w:trPr>
          <w:trHeight w:val="230"/>
        </w:trPr>
        <w:tc>
          <w:tcPr>
            <w:tcW w:w="801" w:type="pct"/>
          </w:tcPr>
          <w:p w14:paraId="41336678"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
        </w:tc>
        <w:tc>
          <w:tcPr>
            <w:tcW w:w="968" w:type="pct"/>
          </w:tcPr>
          <w:p w14:paraId="6BEEE228" w14:textId="77777777" w:rsidR="00DE241D" w:rsidRPr="0097258B" w:rsidRDefault="00DE241D" w:rsidP="00E20250">
            <w:pPr>
              <w:pStyle w:val="Default"/>
              <w:overflowPunct w:val="0"/>
              <w:ind w:left="57"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final</w:t>
            </w:r>
          </w:p>
        </w:tc>
        <w:tc>
          <w:tcPr>
            <w:tcW w:w="705" w:type="pct"/>
          </w:tcPr>
          <w:p w14:paraId="46670D32" w14:textId="77777777" w:rsidR="00DE241D" w:rsidRPr="0097258B" w:rsidRDefault="00DE241D" w:rsidP="00E20250">
            <w:pPr>
              <w:pStyle w:val="Default"/>
              <w:overflowPunct w:val="0"/>
              <w:ind w:left="57"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05" w:type="pct"/>
          </w:tcPr>
          <w:p w14:paraId="7A7209F5" w14:textId="77777777" w:rsidR="00DE241D" w:rsidRPr="0097258B" w:rsidRDefault="00DE241D" w:rsidP="00E20250">
            <w:pPr>
              <w:pStyle w:val="Default"/>
              <w:overflowPunct w:val="0"/>
              <w:ind w:left="57"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42" w:type="pct"/>
          </w:tcPr>
          <w:p w14:paraId="03F4F132" w14:textId="77777777" w:rsidR="00DE241D" w:rsidRPr="0097258B" w:rsidRDefault="00DE241D" w:rsidP="00E20250">
            <w:pPr>
              <w:pStyle w:val="Default"/>
              <w:overflowPunct w:val="0"/>
              <w:ind w:left="57"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479" w:type="pct"/>
          </w:tcPr>
          <w:p w14:paraId="66D5C1EF" w14:textId="77777777" w:rsidR="00DE241D" w:rsidRPr="0097258B" w:rsidRDefault="00DE241D" w:rsidP="00E20250">
            <w:pPr>
              <w:pStyle w:val="Default"/>
              <w:overflowPunct w:val="0"/>
              <w:ind w:left="57"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r w:rsidRPr="0097258B">
              <w:rPr>
                <w:rFonts w:ascii="Times New Roman" w:hAnsi="Times New Roman" w:cs="Times New Roman"/>
                <w:b/>
                <w:bCs/>
                <w:color w:val="000000" w:themeColor="text1"/>
                <w:sz w:val="20"/>
                <w:szCs w:val="20"/>
              </w:rPr>
              <w:t xml:space="preserve"> </w:t>
            </w:r>
            <w:proofErr w:type="spellStart"/>
            <w:r w:rsidRPr="0097258B">
              <w:rPr>
                <w:rFonts w:ascii="Times New Roman" w:hAnsi="Times New Roman" w:cs="Times New Roman"/>
                <w:b/>
                <w:bCs/>
                <w:color w:val="000000" w:themeColor="text1"/>
                <w:sz w:val="20"/>
                <w:szCs w:val="20"/>
              </w:rPr>
              <w:t>résiduel</w:t>
            </w:r>
            <w:proofErr w:type="spellEnd"/>
          </w:p>
        </w:tc>
      </w:tr>
      <w:tr w:rsidR="00BD1A2F" w:rsidRPr="00632C4D" w14:paraId="464D88AB" w14:textId="77777777" w:rsidTr="003A0E4A">
        <w:trPr>
          <w:trHeight w:val="458"/>
        </w:trPr>
        <w:tc>
          <w:tcPr>
            <w:tcW w:w="801" w:type="pct"/>
          </w:tcPr>
          <w:p w14:paraId="45DC82D4"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Après </w:t>
            </w:r>
            <w:proofErr w:type="spellStart"/>
            <w:r w:rsidRPr="0097258B">
              <w:rPr>
                <w:rFonts w:ascii="Times New Roman" w:hAnsi="Times New Roman" w:cs="Times New Roman"/>
                <w:color w:val="000000" w:themeColor="text1"/>
                <w:sz w:val="20"/>
                <w:szCs w:val="20"/>
              </w:rPr>
              <w:t>prévention</w:t>
            </w:r>
            <w:proofErr w:type="spellEnd"/>
          </w:p>
        </w:tc>
        <w:tc>
          <w:tcPr>
            <w:tcW w:w="968" w:type="pct"/>
          </w:tcPr>
          <w:p w14:paraId="3793DDBA" w14:textId="173A8BCE" w:rsidR="00DE241D" w:rsidRPr="0097258B" w:rsidRDefault="00433011"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Préservation</w:t>
            </w:r>
            <w:r w:rsidR="00BE3D56" w:rsidRPr="00301AF6">
              <w:rPr>
                <w:rFonts w:ascii="Times New Roman" w:hAnsi="Times New Roman" w:cs="Times New Roman"/>
                <w:color w:val="000000" w:themeColor="text1"/>
                <w:sz w:val="20"/>
                <w:szCs w:val="20"/>
                <w:lang w:val="fr-FR"/>
              </w:rPr>
              <w:t xml:space="preserve"> </w:t>
            </w:r>
            <w:r w:rsidR="00DE241D" w:rsidRPr="00301AF6">
              <w:rPr>
                <w:rFonts w:ascii="Times New Roman" w:hAnsi="Times New Roman" w:cs="Times New Roman"/>
                <w:color w:val="000000" w:themeColor="text1"/>
                <w:sz w:val="20"/>
                <w:szCs w:val="20"/>
                <w:lang w:val="fr-FR"/>
              </w:rPr>
              <w:t xml:space="preserve">des </w:t>
            </w:r>
            <w:r w:rsidRPr="00301AF6">
              <w:rPr>
                <w:rFonts w:ascii="Times New Roman" w:hAnsi="Times New Roman" w:cs="Times New Roman"/>
                <w:color w:val="000000" w:themeColor="text1"/>
                <w:sz w:val="20"/>
                <w:szCs w:val="20"/>
                <w:lang w:val="fr-FR"/>
              </w:rPr>
              <w:t xml:space="preserve">réseaux de </w:t>
            </w:r>
            <w:r w:rsidR="00DE241D" w:rsidRPr="00301AF6">
              <w:rPr>
                <w:rFonts w:ascii="Times New Roman" w:hAnsi="Times New Roman" w:cs="Times New Roman"/>
                <w:color w:val="000000" w:themeColor="text1"/>
                <w:sz w:val="20"/>
                <w:szCs w:val="20"/>
                <w:lang w:val="fr-FR"/>
              </w:rPr>
              <w:t>concessionnaires</w:t>
            </w:r>
            <w:r w:rsidRPr="00301AF6">
              <w:rPr>
                <w:rFonts w:ascii="Times New Roman" w:hAnsi="Times New Roman" w:cs="Times New Roman"/>
                <w:color w:val="000000" w:themeColor="text1"/>
                <w:sz w:val="20"/>
                <w:szCs w:val="20"/>
                <w:lang w:val="fr-FR"/>
              </w:rPr>
              <w:t xml:space="preserve"> </w:t>
            </w:r>
            <w:r w:rsidR="00646F57" w:rsidRPr="00301AF6">
              <w:rPr>
                <w:rFonts w:ascii="Times New Roman" w:hAnsi="Times New Roman" w:cs="Times New Roman"/>
                <w:color w:val="000000" w:themeColor="text1"/>
                <w:sz w:val="20"/>
                <w:szCs w:val="20"/>
                <w:lang w:val="fr-FR"/>
              </w:rPr>
              <w:t xml:space="preserve">et </w:t>
            </w:r>
            <w:r w:rsidR="00390F2B" w:rsidRPr="00301AF6">
              <w:rPr>
                <w:rFonts w:ascii="Times New Roman" w:hAnsi="Times New Roman" w:cs="Times New Roman"/>
                <w:color w:val="000000" w:themeColor="text1"/>
                <w:sz w:val="20"/>
                <w:szCs w:val="20"/>
                <w:lang w:val="fr-FR"/>
              </w:rPr>
              <w:t>des services</w:t>
            </w:r>
          </w:p>
        </w:tc>
        <w:tc>
          <w:tcPr>
            <w:tcW w:w="705" w:type="pct"/>
          </w:tcPr>
          <w:p w14:paraId="3EADF2D3"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05" w:type="pct"/>
          </w:tcPr>
          <w:p w14:paraId="324962B8"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42" w:type="pct"/>
            <w:shd w:val="clear" w:color="auto" w:fill="92D050"/>
          </w:tcPr>
          <w:p w14:paraId="445CED0F"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11</w:t>
            </w:r>
          </w:p>
        </w:tc>
        <w:tc>
          <w:tcPr>
            <w:tcW w:w="1479" w:type="pct"/>
          </w:tcPr>
          <w:p w14:paraId="3BFF257A" w14:textId="3C12228C" w:rsidR="00DE241D" w:rsidRPr="0097258B" w:rsidRDefault="00AE4695"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gramStart"/>
            <w:r w:rsidRPr="00301AF6">
              <w:rPr>
                <w:rFonts w:ascii="Times New Roman" w:hAnsi="Times New Roman" w:cs="Times New Roman"/>
                <w:color w:val="000000" w:themeColor="text1"/>
                <w:sz w:val="20"/>
                <w:szCs w:val="20"/>
                <w:lang w:val="fr-FR"/>
              </w:rPr>
              <w:t>continuité</w:t>
            </w:r>
            <w:proofErr w:type="gramEnd"/>
            <w:r w:rsidR="00DE241D" w:rsidRPr="00301AF6">
              <w:rPr>
                <w:rFonts w:ascii="Times New Roman" w:hAnsi="Times New Roman" w:cs="Times New Roman"/>
                <w:color w:val="000000" w:themeColor="text1"/>
                <w:sz w:val="20"/>
                <w:szCs w:val="20"/>
                <w:lang w:val="fr-FR"/>
              </w:rPr>
              <w:t xml:space="preserve"> des services des concessionnaires</w:t>
            </w:r>
          </w:p>
        </w:tc>
      </w:tr>
    </w:tbl>
    <w:p w14:paraId="2780EFAC" w14:textId="77777777" w:rsidR="00DE241D" w:rsidRPr="00260790" w:rsidRDefault="00DE241D" w:rsidP="00F83414">
      <w:pPr>
        <w:spacing w:after="0" w:line="240" w:lineRule="auto"/>
        <w:jc w:val="both"/>
        <w:rPr>
          <w:rFonts w:ascii="Times New Roman" w:hAnsi="Times New Roman"/>
          <w:color w:val="000000" w:themeColor="text1"/>
          <w:highlight w:val="yellow"/>
        </w:rPr>
      </w:pPr>
    </w:p>
    <w:p w14:paraId="18777460" w14:textId="77777777" w:rsidR="00DE241D" w:rsidRPr="00260790" w:rsidRDefault="00DE241D" w:rsidP="00E20250">
      <w:pPr>
        <w:pStyle w:val="Paragraphedeliste"/>
        <w:numPr>
          <w:ilvl w:val="4"/>
          <w:numId w:val="0"/>
        </w:numPr>
        <w:spacing w:after="120" w:line="240" w:lineRule="auto"/>
        <w:ind w:left="1080" w:hanging="1080"/>
        <w:jc w:val="both"/>
        <w:rPr>
          <w:rFonts w:ascii="Times New Roman" w:hAnsi="Times New Roman"/>
          <w:b/>
          <w:bCs/>
          <w:color w:val="000000" w:themeColor="text1"/>
        </w:rPr>
      </w:pPr>
      <w:r w:rsidRPr="00260790">
        <w:rPr>
          <w:rFonts w:ascii="Times New Roman" w:hAnsi="Times New Roman"/>
          <w:b/>
          <w:bCs/>
          <w:color w:val="000000" w:themeColor="text1"/>
        </w:rPr>
        <w:t xml:space="preserve">Impacts négatifs et risques associés à l’aménagement des bassins et de l’exutoire (marigot de Mbao) </w:t>
      </w:r>
    </w:p>
    <w:p w14:paraId="39B84704" w14:textId="77777777" w:rsidR="00DE241D" w:rsidRPr="00260790" w:rsidRDefault="00DE241D" w:rsidP="00E20250">
      <w:pPr>
        <w:pStyle w:val="Paragraphedeliste"/>
        <w:spacing w:after="120" w:line="240" w:lineRule="auto"/>
        <w:ind w:left="1080"/>
        <w:rPr>
          <w:rFonts w:ascii="Times New Roman" w:hAnsi="Times New Roman"/>
          <w:b/>
          <w:bCs/>
          <w:color w:val="000000" w:themeColor="text1"/>
        </w:rPr>
      </w:pPr>
    </w:p>
    <w:p w14:paraId="6D892A82" w14:textId="77777777" w:rsidR="00DE241D" w:rsidRPr="00260790" w:rsidRDefault="00DE241D" w:rsidP="001748C6">
      <w:pPr>
        <w:pStyle w:val="Paragraphedeliste"/>
        <w:numPr>
          <w:ilvl w:val="0"/>
          <w:numId w:val="335"/>
        </w:numPr>
        <w:spacing w:after="120" w:line="240" w:lineRule="auto"/>
        <w:rPr>
          <w:rFonts w:ascii="Times New Roman" w:hAnsi="Times New Roman"/>
          <w:i/>
          <w:iCs/>
          <w:color w:val="000000" w:themeColor="text1"/>
          <w:u w:val="single"/>
        </w:rPr>
      </w:pPr>
      <w:r w:rsidRPr="00260790">
        <w:rPr>
          <w:rFonts w:ascii="Times New Roman" w:hAnsi="Times New Roman"/>
          <w:i/>
          <w:iCs/>
          <w:color w:val="000000" w:themeColor="text1"/>
          <w:u w:val="single"/>
        </w:rPr>
        <w:t>Impacts négatifs et risques sur le milieu physique</w:t>
      </w:r>
    </w:p>
    <w:p w14:paraId="4230B70F" w14:textId="77777777" w:rsidR="00DE241D" w:rsidRPr="00260790" w:rsidRDefault="00DE241D" w:rsidP="00E20250">
      <w:pPr>
        <w:pStyle w:val="Paragraphedeliste"/>
        <w:spacing w:after="120" w:line="240" w:lineRule="auto"/>
        <w:ind w:left="1080"/>
        <w:rPr>
          <w:rFonts w:ascii="Times New Roman" w:hAnsi="Times New Roman"/>
          <w:i/>
          <w:iCs/>
          <w:color w:val="000000" w:themeColor="text1"/>
        </w:rPr>
      </w:pPr>
    </w:p>
    <w:p w14:paraId="61EBA1C6" w14:textId="77777777" w:rsidR="00DE241D" w:rsidRPr="00260790" w:rsidRDefault="00DE241D" w:rsidP="001748C6">
      <w:pPr>
        <w:pStyle w:val="Paragraphedeliste"/>
        <w:widowControl w:val="0"/>
        <w:numPr>
          <w:ilvl w:val="0"/>
          <w:numId w:val="268"/>
        </w:numPr>
        <w:autoSpaceDE w:val="0"/>
        <w:autoSpaceDN w:val="0"/>
        <w:spacing w:after="120" w:line="240" w:lineRule="auto"/>
        <w:contextualSpacing w:val="0"/>
        <w:rPr>
          <w:rFonts w:ascii="Times New Roman" w:hAnsi="Times New Roman"/>
          <w:b/>
          <w:i/>
          <w:color w:val="000000" w:themeColor="text1"/>
        </w:rPr>
      </w:pPr>
      <w:r w:rsidRPr="00260790">
        <w:rPr>
          <w:rFonts w:ascii="Times New Roman" w:hAnsi="Times New Roman"/>
          <w:b/>
          <w:i/>
          <w:color w:val="000000" w:themeColor="text1"/>
        </w:rPr>
        <w:t xml:space="preserve">RI-15. Risque de pollution des eaux de surface  </w:t>
      </w:r>
    </w:p>
    <w:p w14:paraId="27AA1547" w14:textId="77777777" w:rsidR="00DE241D" w:rsidRPr="00260790" w:rsidRDefault="00DE241D" w:rsidP="00E20250">
      <w:pPr>
        <w:widowControl w:val="0"/>
        <w:autoSpaceDE w:val="0"/>
        <w:autoSpaceDN w:val="0"/>
        <w:spacing w:line="240" w:lineRule="auto"/>
        <w:jc w:val="both"/>
        <w:rPr>
          <w:rFonts w:ascii="Times New Roman" w:hAnsi="Times New Roman"/>
          <w:bCs/>
          <w:iCs/>
          <w:color w:val="000000" w:themeColor="text1"/>
        </w:rPr>
      </w:pPr>
      <w:r w:rsidRPr="00260790">
        <w:rPr>
          <w:rFonts w:ascii="Times New Roman" w:hAnsi="Times New Roman"/>
          <w:bCs/>
          <w:iCs/>
          <w:color w:val="000000" w:themeColor="text1"/>
        </w:rPr>
        <w:t xml:space="preserve">L’aménagement des bassins comporte un risque de pollution des eaux de surface. En effet, la plupart des sites pressentis sont des zones inondables en attestent les peuplements de Typha et Tamarix qui s’y développent. </w:t>
      </w:r>
    </w:p>
    <w:p w14:paraId="42FF114B" w14:textId="304CD8B8" w:rsidR="00DE241D" w:rsidRPr="00260790" w:rsidRDefault="00DE241D" w:rsidP="00E20250">
      <w:pPr>
        <w:widowControl w:val="0"/>
        <w:autoSpaceDE w:val="0"/>
        <w:autoSpaceDN w:val="0"/>
        <w:spacing w:line="240" w:lineRule="auto"/>
        <w:jc w:val="both"/>
        <w:rPr>
          <w:rFonts w:ascii="Times New Roman" w:hAnsi="Times New Roman"/>
          <w:bCs/>
          <w:iCs/>
          <w:color w:val="000000" w:themeColor="text1"/>
        </w:rPr>
      </w:pPr>
      <w:r w:rsidRPr="00260790">
        <w:rPr>
          <w:rFonts w:ascii="Times New Roman" w:hAnsi="Times New Roman"/>
          <w:bCs/>
          <w:iCs/>
          <w:color w:val="000000" w:themeColor="text1"/>
        </w:rPr>
        <w:t>La pollution des eaux de surface résultera de fuites et/ou déversements de substances dangereuses tels</w:t>
      </w:r>
      <w:r w:rsidR="000C0B5E" w:rsidRPr="00260790">
        <w:rPr>
          <w:rFonts w:ascii="Times New Roman" w:hAnsi="Times New Roman"/>
          <w:bCs/>
          <w:iCs/>
          <w:color w:val="000000" w:themeColor="text1"/>
        </w:rPr>
        <w:t xml:space="preserve"> que</w:t>
      </w:r>
      <w:r w:rsidRPr="00260790">
        <w:rPr>
          <w:rFonts w:ascii="Times New Roman" w:hAnsi="Times New Roman"/>
          <w:bCs/>
          <w:iCs/>
          <w:color w:val="000000" w:themeColor="text1"/>
        </w:rPr>
        <w:t xml:space="preserve"> le carburant, les huiles neuves ou usées, la laitance de béton, les eaux de lavage des engins…</w:t>
      </w:r>
    </w:p>
    <w:p w14:paraId="4E47558B" w14:textId="0F22D15B" w:rsidR="00DE241D" w:rsidRPr="00260790" w:rsidRDefault="009965A6" w:rsidP="00E20250">
      <w:pPr>
        <w:widowControl w:val="0"/>
        <w:autoSpaceDE w:val="0"/>
        <w:autoSpaceDN w:val="0"/>
        <w:spacing w:line="240" w:lineRule="auto"/>
        <w:jc w:val="both"/>
        <w:rPr>
          <w:rFonts w:ascii="Times New Roman" w:hAnsi="Times New Roman"/>
          <w:bCs/>
          <w:iCs/>
          <w:color w:val="000000" w:themeColor="text1"/>
        </w:rPr>
      </w:pPr>
      <w:r w:rsidRPr="00260790">
        <w:rPr>
          <w:rFonts w:ascii="Times New Roman" w:hAnsi="Times New Roman"/>
          <w:bCs/>
          <w:iCs/>
          <w:color w:val="000000" w:themeColor="text1"/>
        </w:rPr>
        <w:t>À</w:t>
      </w:r>
      <w:r w:rsidR="00DE241D" w:rsidRPr="00260790">
        <w:rPr>
          <w:rFonts w:ascii="Times New Roman" w:hAnsi="Times New Roman"/>
          <w:bCs/>
          <w:iCs/>
          <w:color w:val="000000" w:themeColor="text1"/>
        </w:rPr>
        <w:t xml:space="preserve"> noter que les interventions projetées sur le marigot de Mbao comprennent des travaux de curage et de faucardage qui se traduiront par une mise en suspension de sédiments et une modification de la turbidité des eaux.</w:t>
      </w:r>
    </w:p>
    <w:p w14:paraId="3E84EDD1" w14:textId="368D1FE1" w:rsidR="00F83414" w:rsidRPr="00260790" w:rsidRDefault="00DE241D" w:rsidP="0097258B">
      <w:pPr>
        <w:widowControl w:val="0"/>
        <w:autoSpaceDE w:val="0"/>
        <w:autoSpaceDN w:val="0"/>
        <w:spacing w:line="240" w:lineRule="auto"/>
        <w:jc w:val="both"/>
        <w:rPr>
          <w:rFonts w:ascii="Times New Roman" w:hAnsi="Times New Roman"/>
          <w:b/>
          <w:color w:val="000000" w:themeColor="text1"/>
        </w:rPr>
      </w:pPr>
      <w:r w:rsidRPr="00260790">
        <w:rPr>
          <w:rFonts w:ascii="Times New Roman" w:hAnsi="Times New Roman"/>
          <w:bCs/>
          <w:iCs/>
          <w:color w:val="000000" w:themeColor="text1"/>
        </w:rPr>
        <w:t>Ci-dessous le résumé de l’analyse du risque.</w:t>
      </w:r>
    </w:p>
    <w:p w14:paraId="19DEDB2F" w14:textId="77777777" w:rsidR="004600EA" w:rsidRDefault="004600EA">
      <w:pPr>
        <w:spacing w:line="259" w:lineRule="auto"/>
        <w:rPr>
          <w:rFonts w:ascii="Times New Roman" w:hAnsi="Times New Roman"/>
          <w:bCs/>
          <w:i/>
          <w:iCs/>
          <w:color w:val="000000" w:themeColor="text1"/>
        </w:rPr>
      </w:pPr>
      <w:bookmarkStart w:id="635" w:name="_Toc207781893"/>
      <w:r>
        <w:rPr>
          <w:rFonts w:ascii="Times New Roman" w:hAnsi="Times New Roman"/>
          <w:bCs/>
          <w:i/>
          <w:iCs/>
          <w:color w:val="000000" w:themeColor="text1"/>
        </w:rPr>
        <w:br w:type="page"/>
      </w:r>
    </w:p>
    <w:p w14:paraId="018DA0AD" w14:textId="61EE9BE0" w:rsidR="00DE241D" w:rsidRPr="00260790" w:rsidRDefault="00DE241D" w:rsidP="00304699">
      <w:pPr>
        <w:spacing w:after="3" w:line="360" w:lineRule="auto"/>
        <w:jc w:val="both"/>
        <w:rPr>
          <w:rFonts w:ascii="Times New Roman" w:hAnsi="Times New Roman"/>
          <w:bCs/>
          <w:i/>
          <w:iCs/>
          <w:color w:val="000000" w:themeColor="text1"/>
        </w:rPr>
      </w:pPr>
      <w:r w:rsidRPr="00260790">
        <w:rPr>
          <w:rFonts w:ascii="Times New Roman" w:hAnsi="Times New Roman"/>
          <w:bCs/>
          <w:i/>
          <w:iCs/>
          <w:color w:val="000000" w:themeColor="text1"/>
        </w:rPr>
        <w:lastRenderedPageBreak/>
        <w:t xml:space="preserve">Tableau </w:t>
      </w:r>
      <w:r w:rsidRPr="00260790">
        <w:rPr>
          <w:rFonts w:ascii="Times New Roman" w:hAnsi="Times New Roman"/>
          <w:bCs/>
          <w:i/>
          <w:iCs/>
          <w:color w:val="000000" w:themeColor="text1"/>
        </w:rPr>
        <w:fldChar w:fldCharType="begin"/>
      </w:r>
      <w:r w:rsidRPr="00260790">
        <w:rPr>
          <w:rFonts w:ascii="Times New Roman" w:hAnsi="Times New Roman"/>
          <w:bCs/>
          <w:i/>
          <w:iCs/>
          <w:color w:val="000000" w:themeColor="text1"/>
        </w:rPr>
        <w:instrText xml:space="preserve"> SEQ Tableau \* ARABIC </w:instrText>
      </w:r>
      <w:r w:rsidRPr="00260790">
        <w:rPr>
          <w:rFonts w:ascii="Times New Roman" w:hAnsi="Times New Roman"/>
          <w:bCs/>
          <w:i/>
          <w:iCs/>
          <w:color w:val="000000" w:themeColor="text1"/>
        </w:rPr>
        <w:fldChar w:fldCharType="separate"/>
      </w:r>
      <w:r w:rsidR="003C783E">
        <w:rPr>
          <w:rFonts w:ascii="Times New Roman" w:hAnsi="Times New Roman"/>
          <w:bCs/>
          <w:i/>
          <w:iCs/>
          <w:noProof/>
          <w:color w:val="000000" w:themeColor="text1"/>
        </w:rPr>
        <w:t>52</w:t>
      </w:r>
      <w:r w:rsidRPr="00260790">
        <w:rPr>
          <w:rFonts w:ascii="Times New Roman" w:hAnsi="Times New Roman"/>
          <w:bCs/>
          <w:i/>
          <w:iCs/>
          <w:color w:val="000000" w:themeColor="text1"/>
        </w:rPr>
        <w:fldChar w:fldCharType="end"/>
      </w:r>
      <w:r w:rsidRPr="00260790">
        <w:rPr>
          <w:rFonts w:ascii="Times New Roman" w:hAnsi="Times New Roman"/>
          <w:bCs/>
          <w:i/>
          <w:iCs/>
          <w:color w:val="000000" w:themeColor="text1"/>
        </w:rPr>
        <w:t> :</w:t>
      </w:r>
      <w:r w:rsidRPr="00260790">
        <w:rPr>
          <w:rFonts w:ascii="Times New Roman" w:hAnsi="Times New Roman"/>
          <w:bCs/>
          <w:i/>
          <w:iCs/>
          <w:color w:val="000000" w:themeColor="text1"/>
          <w:spacing w:val="38"/>
        </w:rPr>
        <w:t xml:space="preserve"> </w:t>
      </w:r>
      <w:r w:rsidRPr="00260790">
        <w:rPr>
          <w:rFonts w:ascii="Times New Roman" w:hAnsi="Times New Roman"/>
          <w:bCs/>
          <w:i/>
          <w:iCs/>
          <w:color w:val="000000" w:themeColor="text1"/>
        </w:rPr>
        <w:t>résumé</w:t>
      </w:r>
      <w:r w:rsidRPr="00260790">
        <w:rPr>
          <w:rFonts w:ascii="Times New Roman" w:hAnsi="Times New Roman"/>
          <w:bCs/>
          <w:i/>
          <w:iCs/>
          <w:color w:val="000000" w:themeColor="text1"/>
          <w:spacing w:val="46"/>
        </w:rPr>
        <w:t xml:space="preserve"> </w:t>
      </w:r>
      <w:r w:rsidRPr="00260790">
        <w:rPr>
          <w:rFonts w:ascii="Times New Roman" w:hAnsi="Times New Roman"/>
          <w:bCs/>
          <w:i/>
          <w:iCs/>
          <w:color w:val="000000" w:themeColor="text1"/>
        </w:rPr>
        <w:t>du</w:t>
      </w:r>
      <w:r w:rsidRPr="00260790">
        <w:rPr>
          <w:rFonts w:ascii="Times New Roman" w:hAnsi="Times New Roman"/>
          <w:bCs/>
          <w:i/>
          <w:iCs/>
          <w:color w:val="000000" w:themeColor="text1"/>
          <w:spacing w:val="46"/>
        </w:rPr>
        <w:t xml:space="preserve"> </w:t>
      </w:r>
      <w:r w:rsidRPr="00260790">
        <w:rPr>
          <w:rFonts w:ascii="Times New Roman" w:hAnsi="Times New Roman"/>
          <w:bCs/>
          <w:i/>
          <w:iCs/>
          <w:color w:val="000000" w:themeColor="text1"/>
        </w:rPr>
        <w:t>risque</w:t>
      </w:r>
      <w:r w:rsidRPr="00260790">
        <w:rPr>
          <w:rFonts w:ascii="Times New Roman" w:hAnsi="Times New Roman"/>
          <w:bCs/>
          <w:i/>
          <w:iCs/>
          <w:color w:val="000000" w:themeColor="text1"/>
          <w:spacing w:val="49"/>
        </w:rPr>
        <w:t xml:space="preserve"> </w:t>
      </w:r>
      <w:r w:rsidRPr="00260790">
        <w:rPr>
          <w:rFonts w:ascii="Times New Roman" w:hAnsi="Times New Roman"/>
          <w:bCs/>
          <w:i/>
          <w:iCs/>
          <w:color w:val="000000" w:themeColor="text1"/>
        </w:rPr>
        <w:t>de</w:t>
      </w:r>
      <w:r w:rsidRPr="00260790">
        <w:rPr>
          <w:rFonts w:ascii="Times New Roman" w:hAnsi="Times New Roman"/>
          <w:bCs/>
          <w:i/>
          <w:iCs/>
          <w:color w:val="000000" w:themeColor="text1"/>
          <w:spacing w:val="51"/>
        </w:rPr>
        <w:t xml:space="preserve"> </w:t>
      </w:r>
      <w:r w:rsidRPr="00260790">
        <w:rPr>
          <w:rFonts w:ascii="Times New Roman" w:hAnsi="Times New Roman"/>
          <w:bCs/>
          <w:i/>
          <w:iCs/>
          <w:color w:val="000000" w:themeColor="text1"/>
        </w:rPr>
        <w:t>pollution</w:t>
      </w:r>
      <w:r w:rsidRPr="00260790">
        <w:rPr>
          <w:rFonts w:ascii="Times New Roman" w:hAnsi="Times New Roman"/>
          <w:bCs/>
          <w:i/>
          <w:iCs/>
          <w:color w:val="000000" w:themeColor="text1"/>
          <w:spacing w:val="46"/>
        </w:rPr>
        <w:t xml:space="preserve"> </w:t>
      </w:r>
      <w:r w:rsidRPr="00260790">
        <w:rPr>
          <w:rFonts w:ascii="Times New Roman" w:hAnsi="Times New Roman"/>
          <w:bCs/>
          <w:i/>
          <w:iCs/>
          <w:color w:val="000000" w:themeColor="text1"/>
        </w:rPr>
        <w:t>des</w:t>
      </w:r>
      <w:r w:rsidRPr="00260790">
        <w:rPr>
          <w:rFonts w:ascii="Times New Roman" w:hAnsi="Times New Roman"/>
          <w:bCs/>
          <w:i/>
          <w:iCs/>
          <w:color w:val="000000" w:themeColor="text1"/>
          <w:spacing w:val="48"/>
        </w:rPr>
        <w:t xml:space="preserve"> </w:t>
      </w:r>
      <w:r w:rsidRPr="00260790">
        <w:rPr>
          <w:rFonts w:ascii="Times New Roman" w:hAnsi="Times New Roman"/>
          <w:bCs/>
          <w:i/>
          <w:iCs/>
          <w:color w:val="000000" w:themeColor="text1"/>
          <w:spacing w:val="-4"/>
        </w:rPr>
        <w:t>eaux de surface</w:t>
      </w:r>
      <w:bookmarkEnd w:id="635"/>
      <w:r w:rsidRPr="00260790">
        <w:rPr>
          <w:rFonts w:ascii="Times New Roman" w:hAnsi="Times New Roman"/>
          <w:bCs/>
          <w:i/>
          <w:iCs/>
          <w:color w:val="000000" w:themeColor="text1"/>
          <w:spacing w:val="-4"/>
        </w:rPr>
        <w:t xml:space="preserve"> </w:t>
      </w:r>
    </w:p>
    <w:tbl>
      <w:tblPr>
        <w:tblStyle w:val="TableNormal1"/>
        <w:tblW w:w="516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91"/>
        <w:gridCol w:w="2540"/>
        <w:gridCol w:w="1277"/>
        <w:gridCol w:w="915"/>
        <w:gridCol w:w="982"/>
        <w:gridCol w:w="2147"/>
      </w:tblGrid>
      <w:tr w:rsidR="00BD1A2F" w:rsidRPr="00260790" w14:paraId="5B0BC3A2" w14:textId="77777777" w:rsidTr="004600EA">
        <w:trPr>
          <w:trHeight w:val="230"/>
        </w:trPr>
        <w:tc>
          <w:tcPr>
            <w:tcW w:w="5000" w:type="pct"/>
            <w:gridSpan w:val="6"/>
            <w:shd w:val="clear" w:color="auto" w:fill="D9E2F3" w:themeFill="accent5" w:themeFillTint="33"/>
          </w:tcPr>
          <w:p w14:paraId="3159BF47" w14:textId="77777777" w:rsidR="00DE241D" w:rsidRPr="0097258B" w:rsidRDefault="00DE241D" w:rsidP="00E20250">
            <w:pPr>
              <w:pStyle w:val="Default"/>
              <w:overflowPunct w:val="0"/>
              <w:ind w:left="57"/>
              <w:jc w:val="both"/>
              <w:textAlignment w:val="baseline"/>
              <w:rPr>
                <w:rFonts w:ascii="Times New Roman" w:hAnsi="Times New Roman" w:cs="Times New Roman"/>
                <w:b/>
                <w:bCs/>
                <w:color w:val="000000" w:themeColor="text1"/>
                <w:sz w:val="20"/>
                <w:szCs w:val="20"/>
                <w:lang w:val="fr-FR"/>
              </w:rPr>
            </w:pPr>
            <w:r w:rsidRPr="00301AF6">
              <w:rPr>
                <w:rFonts w:ascii="Times New Roman" w:hAnsi="Times New Roman" w:cs="Times New Roman"/>
                <w:b/>
                <w:bCs/>
                <w:color w:val="000000" w:themeColor="text1"/>
                <w:sz w:val="20"/>
                <w:szCs w:val="20"/>
                <w:lang w:val="fr-FR"/>
              </w:rPr>
              <w:t xml:space="preserve">RI-15. Risque de pollutions des eaux de surface </w:t>
            </w:r>
          </w:p>
        </w:tc>
      </w:tr>
      <w:tr w:rsidR="00BD1A2F" w:rsidRPr="00260790" w14:paraId="2724AE92" w14:textId="77777777" w:rsidTr="004600EA">
        <w:trPr>
          <w:trHeight w:val="230"/>
        </w:trPr>
        <w:tc>
          <w:tcPr>
            <w:tcW w:w="5000" w:type="pct"/>
            <w:gridSpan w:val="6"/>
          </w:tcPr>
          <w:p w14:paraId="6D5D1612" w14:textId="77777777" w:rsidR="00DE241D" w:rsidRPr="0097258B" w:rsidRDefault="00DE241D" w:rsidP="00E20250">
            <w:pPr>
              <w:pStyle w:val="Default"/>
              <w:overflowPunct w:val="0"/>
              <w:ind w:lef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b/>
                <w:bCs/>
                <w:color w:val="000000" w:themeColor="text1"/>
                <w:sz w:val="20"/>
                <w:szCs w:val="20"/>
                <w:lang w:val="fr-FR"/>
              </w:rPr>
              <w:t>Activités</w:t>
            </w:r>
            <w:r w:rsidRPr="00301AF6">
              <w:rPr>
                <w:rFonts w:ascii="Times New Roman" w:hAnsi="Times New Roman" w:cs="Times New Roman"/>
                <w:color w:val="000000" w:themeColor="text1"/>
                <w:sz w:val="20"/>
                <w:szCs w:val="20"/>
                <w:lang w:val="fr-FR"/>
              </w:rPr>
              <w:t xml:space="preserve"> : aménagement des bassins et de l’exutoire</w:t>
            </w:r>
          </w:p>
        </w:tc>
      </w:tr>
      <w:tr w:rsidR="00BD1A2F" w:rsidRPr="00260790" w14:paraId="24E03888" w14:textId="77777777" w:rsidTr="004600EA">
        <w:trPr>
          <w:trHeight w:val="230"/>
        </w:trPr>
        <w:tc>
          <w:tcPr>
            <w:tcW w:w="797" w:type="pct"/>
          </w:tcPr>
          <w:p w14:paraId="4549DE98" w14:textId="77777777" w:rsidR="00DE241D" w:rsidRPr="0097258B" w:rsidRDefault="00DE241D" w:rsidP="00E20250">
            <w:pPr>
              <w:pStyle w:val="Default"/>
              <w:overflowPunct w:val="0"/>
              <w:ind w:left="57"/>
              <w:jc w:val="both"/>
              <w:textAlignment w:val="baseline"/>
              <w:rPr>
                <w:rFonts w:ascii="Times New Roman" w:hAnsi="Times New Roman" w:cs="Times New Roman"/>
                <w:color w:val="000000" w:themeColor="text1"/>
                <w:sz w:val="20"/>
                <w:szCs w:val="20"/>
                <w:lang w:val="fr-FR"/>
              </w:rPr>
            </w:pPr>
          </w:p>
        </w:tc>
        <w:tc>
          <w:tcPr>
            <w:tcW w:w="1358" w:type="pct"/>
          </w:tcPr>
          <w:p w14:paraId="3DED58F7" w14:textId="77777777" w:rsidR="00DE241D" w:rsidRPr="0097258B" w:rsidRDefault="00DE241D" w:rsidP="00E20250">
            <w:pPr>
              <w:pStyle w:val="Default"/>
              <w:overflowPunct w:val="0"/>
              <w:ind w:lef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De Risque initial</w:t>
            </w:r>
          </w:p>
        </w:tc>
        <w:tc>
          <w:tcPr>
            <w:tcW w:w="683" w:type="pct"/>
          </w:tcPr>
          <w:p w14:paraId="557ADD36" w14:textId="77777777" w:rsidR="00DE241D" w:rsidRPr="0097258B" w:rsidRDefault="00DE241D" w:rsidP="00E20250">
            <w:pPr>
              <w:pStyle w:val="Default"/>
              <w:overflowPunct w:val="0"/>
              <w:ind w:lef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489" w:type="pct"/>
          </w:tcPr>
          <w:p w14:paraId="65854685" w14:textId="77777777" w:rsidR="00DE241D" w:rsidRPr="0097258B" w:rsidRDefault="00DE241D" w:rsidP="00E20250">
            <w:pPr>
              <w:pStyle w:val="Default"/>
              <w:overflowPunct w:val="0"/>
              <w:ind w:lef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25" w:type="pct"/>
          </w:tcPr>
          <w:p w14:paraId="44EF375B" w14:textId="77777777" w:rsidR="00DE241D" w:rsidRPr="0097258B" w:rsidRDefault="00DE241D" w:rsidP="00E20250">
            <w:pPr>
              <w:pStyle w:val="Default"/>
              <w:overflowPunct w:val="0"/>
              <w:ind w:lef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149" w:type="pct"/>
          </w:tcPr>
          <w:p w14:paraId="282B6C23" w14:textId="77777777" w:rsidR="00DE241D" w:rsidRPr="0097258B" w:rsidRDefault="00DE241D" w:rsidP="00E20250">
            <w:pPr>
              <w:pStyle w:val="Default"/>
              <w:overflowPunct w:val="0"/>
              <w:ind w:lef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p>
        </w:tc>
      </w:tr>
      <w:tr w:rsidR="00BD1A2F" w:rsidRPr="00260790" w14:paraId="4431C4E4" w14:textId="77777777" w:rsidTr="004600EA">
        <w:trPr>
          <w:trHeight w:val="1379"/>
        </w:trPr>
        <w:tc>
          <w:tcPr>
            <w:tcW w:w="797" w:type="pct"/>
          </w:tcPr>
          <w:p w14:paraId="48E58DA0" w14:textId="77777777" w:rsidR="00DE241D" w:rsidRPr="0097258B" w:rsidRDefault="00DE241D" w:rsidP="00E20250">
            <w:pPr>
              <w:pStyle w:val="Default"/>
              <w:overflowPunct w:val="0"/>
              <w:ind w:left="113"/>
              <w:jc w:val="both"/>
              <w:textAlignment w:val="baseline"/>
              <w:rPr>
                <w:rFonts w:ascii="Times New Roman" w:hAnsi="Times New Roman" w:cs="Times New Roman"/>
                <w:color w:val="000000" w:themeColor="text1"/>
                <w:sz w:val="20"/>
                <w:szCs w:val="20"/>
                <w:lang w:val="fr-FR"/>
              </w:rPr>
            </w:pPr>
          </w:p>
          <w:p w14:paraId="29771342" w14:textId="77777777" w:rsidR="00DE241D" w:rsidRPr="0097258B" w:rsidRDefault="00DE241D" w:rsidP="00E20250">
            <w:pPr>
              <w:pStyle w:val="Default"/>
              <w:overflowPunct w:val="0"/>
              <w:ind w:left="113"/>
              <w:jc w:val="both"/>
              <w:textAlignment w:val="baseline"/>
              <w:rPr>
                <w:rFonts w:ascii="Times New Roman" w:hAnsi="Times New Roman" w:cs="Times New Roman"/>
                <w:color w:val="000000" w:themeColor="text1"/>
                <w:sz w:val="20"/>
                <w:szCs w:val="20"/>
                <w:lang w:val="fr-FR"/>
              </w:rPr>
            </w:pPr>
          </w:p>
          <w:p w14:paraId="582AA68A" w14:textId="77777777" w:rsidR="00DE241D" w:rsidRPr="0097258B" w:rsidRDefault="00DE241D" w:rsidP="00E20250">
            <w:pPr>
              <w:pStyle w:val="Default"/>
              <w:overflowPunct w:val="0"/>
              <w:ind w:left="113"/>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Avant </w:t>
            </w:r>
            <w:proofErr w:type="spellStart"/>
            <w:r w:rsidRPr="0097258B">
              <w:rPr>
                <w:rFonts w:ascii="Times New Roman" w:hAnsi="Times New Roman" w:cs="Times New Roman"/>
                <w:color w:val="000000" w:themeColor="text1"/>
                <w:sz w:val="20"/>
                <w:szCs w:val="20"/>
              </w:rPr>
              <w:t>prévention</w:t>
            </w:r>
            <w:proofErr w:type="spellEnd"/>
          </w:p>
        </w:tc>
        <w:tc>
          <w:tcPr>
            <w:tcW w:w="1358" w:type="pct"/>
          </w:tcPr>
          <w:p w14:paraId="4FE3F058" w14:textId="08A81810" w:rsidR="00DE241D" w:rsidRPr="0097258B" w:rsidRDefault="00FC4C30"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olor w:val="000000" w:themeColor="text1"/>
                <w:sz w:val="20"/>
                <w:szCs w:val="20"/>
                <w:lang w:val="fr-FR"/>
              </w:rPr>
              <w:t>Pollution par f</w:t>
            </w:r>
            <w:r w:rsidR="00DE241D" w:rsidRPr="00301AF6">
              <w:rPr>
                <w:rFonts w:ascii="Times New Roman" w:hAnsi="Times New Roman"/>
                <w:color w:val="000000" w:themeColor="text1"/>
                <w:sz w:val="20"/>
                <w:szCs w:val="20"/>
                <w:lang w:val="fr-FR"/>
              </w:rPr>
              <w:t>uite et/ou déversement de polluants</w:t>
            </w:r>
            <w:r w:rsidRPr="00301AF6">
              <w:rPr>
                <w:rFonts w:ascii="Times New Roman" w:hAnsi="Times New Roman"/>
                <w:color w:val="000000" w:themeColor="text1"/>
                <w:sz w:val="20"/>
                <w:szCs w:val="20"/>
                <w:lang w:val="fr-FR"/>
              </w:rPr>
              <w:t>,</w:t>
            </w:r>
            <w:r w:rsidR="00DE241D" w:rsidRPr="00301AF6">
              <w:rPr>
                <w:rFonts w:ascii="Times New Roman" w:hAnsi="Times New Roman"/>
                <w:color w:val="000000" w:themeColor="text1"/>
                <w:sz w:val="20"/>
                <w:szCs w:val="20"/>
                <w:lang w:val="fr-FR"/>
              </w:rPr>
              <w:t xml:space="preserve"> </w:t>
            </w:r>
            <w:r w:rsidR="00D935C3" w:rsidRPr="00301AF6">
              <w:rPr>
                <w:rFonts w:ascii="Times New Roman" w:hAnsi="Times New Roman"/>
                <w:color w:val="000000" w:themeColor="text1"/>
                <w:sz w:val="20"/>
                <w:szCs w:val="20"/>
                <w:lang w:val="fr-FR"/>
              </w:rPr>
              <w:t>m</w:t>
            </w:r>
            <w:r w:rsidR="00DE241D" w:rsidRPr="00301AF6">
              <w:rPr>
                <w:rFonts w:ascii="Times New Roman" w:hAnsi="Times New Roman"/>
                <w:color w:val="000000" w:themeColor="text1"/>
                <w:sz w:val="20"/>
                <w:szCs w:val="20"/>
                <w:lang w:val="fr-FR"/>
              </w:rPr>
              <w:t xml:space="preserve">auvaise gestion des déchets </w:t>
            </w:r>
            <w:r w:rsidR="00D935C3" w:rsidRPr="00301AF6">
              <w:rPr>
                <w:rFonts w:ascii="Times New Roman" w:hAnsi="Times New Roman"/>
                <w:color w:val="000000" w:themeColor="text1"/>
                <w:sz w:val="20"/>
                <w:szCs w:val="20"/>
                <w:lang w:val="fr-FR"/>
              </w:rPr>
              <w:t>(</w:t>
            </w:r>
            <w:r w:rsidR="00DE241D" w:rsidRPr="00301AF6">
              <w:rPr>
                <w:rFonts w:ascii="Times New Roman" w:hAnsi="Times New Roman"/>
                <w:color w:val="000000" w:themeColor="text1"/>
                <w:sz w:val="20"/>
                <w:szCs w:val="20"/>
                <w:lang w:val="fr-FR"/>
              </w:rPr>
              <w:t>effluents des sanitaires, laitance de ciment, eaux de lavage de la machinerie</w:t>
            </w:r>
            <w:r w:rsidR="00D935C3" w:rsidRPr="00301AF6">
              <w:rPr>
                <w:rFonts w:ascii="Times New Roman" w:hAnsi="Times New Roman"/>
                <w:color w:val="000000" w:themeColor="text1"/>
                <w:sz w:val="20"/>
                <w:szCs w:val="20"/>
                <w:lang w:val="fr-FR"/>
              </w:rPr>
              <w:t>,</w:t>
            </w:r>
            <w:r w:rsidR="00DE241D" w:rsidRPr="00301AF6">
              <w:rPr>
                <w:rFonts w:ascii="Times New Roman" w:hAnsi="Times New Roman"/>
                <w:color w:val="000000" w:themeColor="text1"/>
                <w:sz w:val="20"/>
                <w:szCs w:val="20"/>
                <w:lang w:val="fr-FR"/>
              </w:rPr>
              <w:t> </w:t>
            </w:r>
            <w:r w:rsidR="00D935C3" w:rsidRPr="00301AF6">
              <w:rPr>
                <w:rFonts w:ascii="Times New Roman" w:hAnsi="Times New Roman" w:cs="Times New Roman"/>
                <w:color w:val="000000" w:themeColor="text1"/>
                <w:sz w:val="20"/>
                <w:szCs w:val="20"/>
                <w:lang w:val="fr-FR"/>
              </w:rPr>
              <w:t>l</w:t>
            </w:r>
            <w:r w:rsidR="00DE241D" w:rsidRPr="00301AF6">
              <w:rPr>
                <w:rFonts w:ascii="Times New Roman" w:hAnsi="Times New Roman" w:cs="Times New Roman"/>
                <w:color w:val="000000" w:themeColor="text1"/>
                <w:sz w:val="20"/>
                <w:szCs w:val="20"/>
                <w:lang w:val="fr-FR"/>
              </w:rPr>
              <w:t>ixiviat</w:t>
            </w:r>
            <w:r w:rsidR="00D935C3" w:rsidRPr="00301AF6">
              <w:rPr>
                <w:rFonts w:ascii="Times New Roman" w:hAnsi="Times New Roman" w:cs="Times New Roman"/>
                <w:color w:val="000000" w:themeColor="text1"/>
                <w:sz w:val="20"/>
                <w:szCs w:val="20"/>
                <w:lang w:val="fr-FR"/>
              </w:rPr>
              <w:t>, etc.)</w:t>
            </w:r>
          </w:p>
        </w:tc>
        <w:tc>
          <w:tcPr>
            <w:tcW w:w="683" w:type="pct"/>
            <w:vAlign w:val="center"/>
          </w:tcPr>
          <w:p w14:paraId="76884DD0"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661E17BA"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489" w:type="pct"/>
            <w:vAlign w:val="center"/>
          </w:tcPr>
          <w:p w14:paraId="2B811B74"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130705AA"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25" w:type="pct"/>
            <w:shd w:val="clear" w:color="auto" w:fill="FFFF00"/>
            <w:vAlign w:val="center"/>
          </w:tcPr>
          <w:p w14:paraId="0F70FA0A"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7C351CB5"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22</w:t>
            </w:r>
          </w:p>
        </w:tc>
        <w:tc>
          <w:tcPr>
            <w:tcW w:w="1149" w:type="pct"/>
          </w:tcPr>
          <w:p w14:paraId="1C9B4C1C"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p w14:paraId="0CC3877F" w14:textId="21AD6A30"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Pollution des eaux ; Destruction de la faune des bassins et du marigot de Mbao</w:t>
            </w:r>
          </w:p>
        </w:tc>
      </w:tr>
      <w:tr w:rsidR="00BD1A2F" w:rsidRPr="00260790" w14:paraId="0ED15D07" w14:textId="77777777" w:rsidTr="004600EA">
        <w:trPr>
          <w:trHeight w:val="416"/>
        </w:trPr>
        <w:tc>
          <w:tcPr>
            <w:tcW w:w="797" w:type="pct"/>
          </w:tcPr>
          <w:p w14:paraId="445B29AE" w14:textId="77777777" w:rsidR="00DE241D" w:rsidRPr="0097258B" w:rsidRDefault="00DE241D" w:rsidP="00E20250">
            <w:pPr>
              <w:pStyle w:val="Default"/>
              <w:overflowPunct w:val="0"/>
              <w:ind w:lef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ab/>
              <w:t xml:space="preserve">de </w:t>
            </w:r>
            <w:proofErr w:type="spellStart"/>
            <w:r w:rsidRPr="0097258B">
              <w:rPr>
                <w:rFonts w:ascii="Times New Roman" w:hAnsi="Times New Roman" w:cs="Times New Roman"/>
                <w:color w:val="000000" w:themeColor="text1"/>
                <w:sz w:val="20"/>
                <w:szCs w:val="20"/>
              </w:rPr>
              <w:t>prévention</w:t>
            </w:r>
            <w:proofErr w:type="spellEnd"/>
          </w:p>
        </w:tc>
        <w:tc>
          <w:tcPr>
            <w:tcW w:w="4203" w:type="pct"/>
            <w:gridSpan w:val="5"/>
          </w:tcPr>
          <w:p w14:paraId="785AE3A8" w14:textId="77777777" w:rsidR="00DE241D" w:rsidRPr="0097258B" w:rsidRDefault="00DE241D" w:rsidP="001748C6">
            <w:pPr>
              <w:pStyle w:val="Default"/>
              <w:numPr>
                <w:ilvl w:val="0"/>
                <w:numId w:val="313"/>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Aménager une aire étanche pour le stockage des substances dangereuses ;</w:t>
            </w:r>
          </w:p>
          <w:p w14:paraId="51DC9001" w14:textId="77777777" w:rsidR="00DE241D" w:rsidRPr="0097258B" w:rsidRDefault="00DE241D" w:rsidP="001748C6">
            <w:pPr>
              <w:pStyle w:val="Default"/>
              <w:numPr>
                <w:ilvl w:val="0"/>
                <w:numId w:val="313"/>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Installer un barrage flottant pour contenir d’éventuels polluants déversés lors du curage et du faucardage du marigot de Mbao ;</w:t>
            </w:r>
          </w:p>
          <w:p w14:paraId="158D4677" w14:textId="77777777" w:rsidR="00DE241D" w:rsidRPr="0097258B" w:rsidRDefault="00DE241D" w:rsidP="001748C6">
            <w:pPr>
              <w:pStyle w:val="Default"/>
              <w:numPr>
                <w:ilvl w:val="0"/>
                <w:numId w:val="313"/>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Prévoir un système de prétraitement des eaux de lavage des engins ;</w:t>
            </w:r>
          </w:p>
          <w:p w14:paraId="67D4FD5F" w14:textId="77777777" w:rsidR="00DE241D" w:rsidRPr="0097258B" w:rsidRDefault="00DE241D" w:rsidP="001748C6">
            <w:pPr>
              <w:pStyle w:val="Default"/>
              <w:numPr>
                <w:ilvl w:val="0"/>
                <w:numId w:val="313"/>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Aménager une station d’entretien muni d’un séparateur d’hydrocarbures (déshuileur) avec débourbeur, pour la maintenance des engins et véhicules,</w:t>
            </w:r>
          </w:p>
          <w:p w14:paraId="710923EA" w14:textId="45C6409D" w:rsidR="00DE241D" w:rsidRPr="0097258B" w:rsidRDefault="00DE241D" w:rsidP="001748C6">
            <w:pPr>
              <w:pStyle w:val="Default"/>
              <w:numPr>
                <w:ilvl w:val="0"/>
                <w:numId w:val="313"/>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Privilégier les ravitaillements en carburant aux stations-service existantes ;</w:t>
            </w:r>
          </w:p>
          <w:p w14:paraId="06B3B243" w14:textId="77777777" w:rsidR="00DE241D" w:rsidRPr="0097258B" w:rsidRDefault="00DE241D" w:rsidP="001748C6">
            <w:pPr>
              <w:pStyle w:val="Default"/>
              <w:numPr>
                <w:ilvl w:val="0"/>
                <w:numId w:val="313"/>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Assurer la prise en charge des déchets solides par un prestataire agréé ;</w:t>
            </w:r>
          </w:p>
          <w:p w14:paraId="36CA5755" w14:textId="77777777" w:rsidR="00DE241D" w:rsidRPr="0097258B" w:rsidRDefault="00DE241D" w:rsidP="001748C6">
            <w:pPr>
              <w:pStyle w:val="Default"/>
              <w:numPr>
                <w:ilvl w:val="0"/>
                <w:numId w:val="313"/>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Faire des provisions de substances absorbant pour la récupération d’éventuelles substances dangereuses déversées</w:t>
            </w:r>
          </w:p>
          <w:p w14:paraId="0B852B0E" w14:textId="61A9957C" w:rsidR="00DE241D" w:rsidRPr="0097258B" w:rsidRDefault="00E60FA9" w:rsidP="001748C6">
            <w:pPr>
              <w:pStyle w:val="Default"/>
              <w:numPr>
                <w:ilvl w:val="0"/>
                <w:numId w:val="313"/>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É</w:t>
            </w:r>
            <w:r w:rsidR="00DE241D" w:rsidRPr="00301AF6">
              <w:rPr>
                <w:rFonts w:ascii="Times New Roman" w:hAnsi="Times New Roman" w:cs="Times New Roman"/>
                <w:color w:val="000000" w:themeColor="text1"/>
                <w:sz w:val="20"/>
                <w:szCs w:val="20"/>
                <w:lang w:val="fr-FR"/>
              </w:rPr>
              <w:t>laborer une procédure d’intervention d’urgence.</w:t>
            </w:r>
          </w:p>
        </w:tc>
      </w:tr>
      <w:tr w:rsidR="00BD1A2F" w:rsidRPr="00260790" w14:paraId="276E6523" w14:textId="77777777" w:rsidTr="004600EA">
        <w:trPr>
          <w:trHeight w:val="230"/>
        </w:trPr>
        <w:tc>
          <w:tcPr>
            <w:tcW w:w="797" w:type="pct"/>
          </w:tcPr>
          <w:p w14:paraId="10EA9E14" w14:textId="77777777" w:rsidR="00DE241D" w:rsidRPr="0097258B" w:rsidRDefault="00DE241D" w:rsidP="00E20250">
            <w:pPr>
              <w:pStyle w:val="Default"/>
              <w:overflowPunct w:val="0"/>
              <w:ind w:left="57"/>
              <w:jc w:val="both"/>
              <w:textAlignment w:val="baseline"/>
              <w:rPr>
                <w:rFonts w:ascii="Times New Roman" w:hAnsi="Times New Roman" w:cs="Times New Roman"/>
                <w:color w:val="000000" w:themeColor="text1"/>
                <w:sz w:val="20"/>
                <w:szCs w:val="20"/>
                <w:lang w:val="fr-FR"/>
              </w:rPr>
            </w:pPr>
          </w:p>
        </w:tc>
        <w:tc>
          <w:tcPr>
            <w:tcW w:w="1358" w:type="pct"/>
          </w:tcPr>
          <w:p w14:paraId="13BF1227"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final</w:t>
            </w:r>
          </w:p>
        </w:tc>
        <w:tc>
          <w:tcPr>
            <w:tcW w:w="683" w:type="pct"/>
          </w:tcPr>
          <w:p w14:paraId="24280E14"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489" w:type="pct"/>
          </w:tcPr>
          <w:p w14:paraId="2FB0D9AD"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25" w:type="pct"/>
          </w:tcPr>
          <w:p w14:paraId="2E9B9578"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149" w:type="pct"/>
          </w:tcPr>
          <w:p w14:paraId="21C1EB58" w14:textId="77777777" w:rsidR="00DE241D" w:rsidRPr="0097258B" w:rsidRDefault="00DE241D" w:rsidP="00E20250">
            <w:pPr>
              <w:pStyle w:val="Default"/>
              <w:overflowPunct w:val="0"/>
              <w:ind w:left="57" w:right="57"/>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r w:rsidRPr="0097258B">
              <w:rPr>
                <w:rFonts w:ascii="Times New Roman" w:hAnsi="Times New Roman" w:cs="Times New Roman"/>
                <w:b/>
                <w:bCs/>
                <w:color w:val="000000" w:themeColor="text1"/>
                <w:sz w:val="20"/>
                <w:szCs w:val="20"/>
              </w:rPr>
              <w:t xml:space="preserve"> </w:t>
            </w:r>
            <w:proofErr w:type="spellStart"/>
            <w:r w:rsidRPr="0097258B">
              <w:rPr>
                <w:rFonts w:ascii="Times New Roman" w:hAnsi="Times New Roman" w:cs="Times New Roman"/>
                <w:b/>
                <w:bCs/>
                <w:color w:val="000000" w:themeColor="text1"/>
                <w:sz w:val="20"/>
                <w:szCs w:val="20"/>
              </w:rPr>
              <w:t>résiduel</w:t>
            </w:r>
            <w:proofErr w:type="spellEnd"/>
          </w:p>
        </w:tc>
      </w:tr>
      <w:tr w:rsidR="00BD1A2F" w:rsidRPr="00260790" w14:paraId="5C22DE5B" w14:textId="77777777" w:rsidTr="004600EA">
        <w:trPr>
          <w:trHeight w:val="230"/>
        </w:trPr>
        <w:tc>
          <w:tcPr>
            <w:tcW w:w="797" w:type="pct"/>
          </w:tcPr>
          <w:p w14:paraId="512AC535" w14:textId="77777777" w:rsidR="00DE241D" w:rsidRPr="0097258B" w:rsidRDefault="00DE241D" w:rsidP="00E20250">
            <w:pPr>
              <w:pStyle w:val="Default"/>
              <w:overflowPunct w:val="0"/>
              <w:ind w:lef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Après </w:t>
            </w:r>
            <w:proofErr w:type="spellStart"/>
            <w:r w:rsidRPr="0097258B">
              <w:rPr>
                <w:rFonts w:ascii="Times New Roman" w:hAnsi="Times New Roman" w:cs="Times New Roman"/>
                <w:color w:val="000000" w:themeColor="text1"/>
                <w:sz w:val="20"/>
                <w:szCs w:val="20"/>
              </w:rPr>
              <w:t>prévention</w:t>
            </w:r>
            <w:proofErr w:type="spellEnd"/>
          </w:p>
        </w:tc>
        <w:tc>
          <w:tcPr>
            <w:tcW w:w="1358" w:type="pct"/>
          </w:tcPr>
          <w:p w14:paraId="70DC65C2" w14:textId="33AFD9D5" w:rsidR="00DE241D" w:rsidRPr="0097258B" w:rsidRDefault="00CF587E" w:rsidP="00E20250">
            <w:pPr>
              <w:pStyle w:val="Default"/>
              <w:overflowPunct w:val="0"/>
              <w:ind w:left="57" w:right="57"/>
              <w:textAlignment w:val="baseline"/>
              <w:rPr>
                <w:rFonts w:ascii="Times New Roman" w:hAnsi="Times New Roman" w:cs="Times New Roman"/>
                <w:b/>
                <w:bCs/>
                <w:color w:val="000000" w:themeColor="text1"/>
                <w:sz w:val="20"/>
                <w:szCs w:val="20"/>
                <w:lang w:val="fr-FR"/>
              </w:rPr>
            </w:pPr>
            <w:r w:rsidRPr="00301AF6">
              <w:rPr>
                <w:rFonts w:ascii="Times New Roman" w:hAnsi="Times New Roman" w:cs="Times New Roman"/>
                <w:color w:val="000000" w:themeColor="text1"/>
                <w:sz w:val="20"/>
                <w:szCs w:val="20"/>
                <w:lang w:val="fr-FR"/>
              </w:rPr>
              <w:t>Préservation de la qualité des eaux de su</w:t>
            </w:r>
            <w:r w:rsidR="00D43B78" w:rsidRPr="00301AF6">
              <w:rPr>
                <w:rFonts w:ascii="Times New Roman" w:hAnsi="Times New Roman" w:cs="Times New Roman"/>
                <w:color w:val="000000" w:themeColor="text1"/>
                <w:sz w:val="20"/>
                <w:szCs w:val="20"/>
                <w:lang w:val="fr-FR"/>
              </w:rPr>
              <w:t>r</w:t>
            </w:r>
            <w:r w:rsidRPr="00301AF6">
              <w:rPr>
                <w:rFonts w:ascii="Times New Roman" w:hAnsi="Times New Roman" w:cs="Times New Roman"/>
                <w:color w:val="000000" w:themeColor="text1"/>
                <w:sz w:val="20"/>
                <w:szCs w:val="20"/>
                <w:lang w:val="fr-FR"/>
              </w:rPr>
              <w:t>face</w:t>
            </w:r>
          </w:p>
        </w:tc>
        <w:tc>
          <w:tcPr>
            <w:tcW w:w="683" w:type="pct"/>
          </w:tcPr>
          <w:p w14:paraId="5238A5B5"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489" w:type="pct"/>
          </w:tcPr>
          <w:p w14:paraId="6239EFB0"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25" w:type="pct"/>
            <w:shd w:val="clear" w:color="auto" w:fill="92D050"/>
          </w:tcPr>
          <w:p w14:paraId="63AD1218" w14:textId="77777777" w:rsidR="00DE241D" w:rsidRPr="0097258B" w:rsidRDefault="00DE241D" w:rsidP="00E20250">
            <w:pPr>
              <w:pStyle w:val="Default"/>
              <w:overflowPunct w:val="0"/>
              <w:ind w:left="57"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21</w:t>
            </w:r>
          </w:p>
        </w:tc>
        <w:tc>
          <w:tcPr>
            <w:tcW w:w="1149" w:type="pct"/>
          </w:tcPr>
          <w:p w14:paraId="019C16C9" w14:textId="7C4486CF" w:rsidR="00DE241D" w:rsidRPr="0097258B" w:rsidRDefault="0026249C" w:rsidP="00E20250">
            <w:pPr>
              <w:pStyle w:val="Default"/>
              <w:overflowPunct w:val="0"/>
              <w:ind w:left="57" w:right="57"/>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color w:val="000000" w:themeColor="text1"/>
                <w:sz w:val="20"/>
                <w:szCs w:val="20"/>
              </w:rPr>
              <w:t>Préservation</w:t>
            </w:r>
            <w:proofErr w:type="spellEnd"/>
            <w:r w:rsidRPr="0097258B">
              <w:rPr>
                <w:rFonts w:ascii="Times New Roman" w:hAnsi="Times New Roman" w:cs="Times New Roman"/>
                <w:color w:val="000000" w:themeColor="text1"/>
                <w:sz w:val="20"/>
                <w:szCs w:val="20"/>
              </w:rPr>
              <w:t xml:space="preserve"> de la </w:t>
            </w:r>
            <w:proofErr w:type="spellStart"/>
            <w:r w:rsidRPr="0097258B">
              <w:rPr>
                <w:rFonts w:ascii="Times New Roman" w:hAnsi="Times New Roman" w:cs="Times New Roman"/>
                <w:color w:val="000000" w:themeColor="text1"/>
                <w:sz w:val="20"/>
                <w:szCs w:val="20"/>
              </w:rPr>
              <w:t>biodiversité</w:t>
            </w:r>
            <w:proofErr w:type="spellEnd"/>
          </w:p>
        </w:tc>
      </w:tr>
    </w:tbl>
    <w:p w14:paraId="40B931E2" w14:textId="77777777" w:rsidR="00DE241D" w:rsidRPr="00260790" w:rsidRDefault="00DE241D" w:rsidP="00F83414">
      <w:pPr>
        <w:spacing w:after="0" w:line="240" w:lineRule="auto"/>
        <w:rPr>
          <w:rFonts w:ascii="Times New Roman" w:hAnsi="Times New Roman"/>
          <w:b/>
          <w:color w:val="000000" w:themeColor="text1"/>
        </w:rPr>
      </w:pPr>
    </w:p>
    <w:p w14:paraId="1BBB94D4" w14:textId="77777777" w:rsidR="00DE241D" w:rsidRPr="00260790" w:rsidRDefault="00DE241D" w:rsidP="001748C6">
      <w:pPr>
        <w:pStyle w:val="Paragraphedeliste"/>
        <w:widowControl w:val="0"/>
        <w:numPr>
          <w:ilvl w:val="0"/>
          <w:numId w:val="314"/>
        </w:numPr>
        <w:autoSpaceDE w:val="0"/>
        <w:autoSpaceDN w:val="0"/>
        <w:spacing w:after="0" w:line="240" w:lineRule="auto"/>
        <w:contextualSpacing w:val="0"/>
        <w:rPr>
          <w:rFonts w:ascii="Times New Roman" w:hAnsi="Times New Roman"/>
          <w:b/>
          <w:i/>
          <w:color w:val="000000" w:themeColor="text1"/>
        </w:rPr>
      </w:pPr>
      <w:r w:rsidRPr="00260790">
        <w:rPr>
          <w:rFonts w:ascii="Times New Roman" w:hAnsi="Times New Roman"/>
          <w:b/>
          <w:i/>
          <w:color w:val="000000" w:themeColor="text1"/>
        </w:rPr>
        <w:t xml:space="preserve">RI-16. Risque de pollution des eaux souterraines </w:t>
      </w:r>
    </w:p>
    <w:p w14:paraId="44548BEB" w14:textId="0F83DABF" w:rsidR="00DE241D" w:rsidRPr="00260790" w:rsidRDefault="00DE241D" w:rsidP="004600EA">
      <w:pPr>
        <w:pStyle w:val="Default"/>
        <w:overflowPunct w:val="0"/>
        <w:spacing w:after="240"/>
        <w:ind w:right="57"/>
        <w:jc w:val="both"/>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 xml:space="preserve">La principale nappe de la zone d’étude est celle des sables </w:t>
      </w:r>
      <w:r w:rsidR="00D92335">
        <w:rPr>
          <w:rFonts w:ascii="Times New Roman" w:hAnsi="Times New Roman" w:cs="Times New Roman"/>
          <w:color w:val="000000" w:themeColor="text1"/>
          <w:sz w:val="22"/>
          <w:szCs w:val="22"/>
        </w:rPr>
        <w:t>du</w:t>
      </w:r>
      <w:r w:rsidR="00D92335" w:rsidRPr="00260790">
        <w:rPr>
          <w:rFonts w:ascii="Times New Roman" w:hAnsi="Times New Roman" w:cs="Times New Roman"/>
          <w:color w:val="000000" w:themeColor="text1"/>
          <w:sz w:val="22"/>
          <w:szCs w:val="22"/>
        </w:rPr>
        <w:t xml:space="preserve"> </w:t>
      </w:r>
      <w:r w:rsidRPr="00260790">
        <w:rPr>
          <w:rFonts w:ascii="Times New Roman" w:hAnsi="Times New Roman" w:cs="Times New Roman"/>
          <w:color w:val="000000" w:themeColor="text1"/>
          <w:sz w:val="22"/>
          <w:szCs w:val="22"/>
        </w:rPr>
        <w:t xml:space="preserve">Quaternaire qui est </w:t>
      </w:r>
      <w:proofErr w:type="spellStart"/>
      <w:r w:rsidRPr="00260790">
        <w:rPr>
          <w:rFonts w:ascii="Times New Roman" w:hAnsi="Times New Roman" w:cs="Times New Roman"/>
          <w:color w:val="000000" w:themeColor="text1"/>
          <w:sz w:val="22"/>
          <w:szCs w:val="22"/>
        </w:rPr>
        <w:t>sub</w:t>
      </w:r>
      <w:r w:rsidR="000C0B5E" w:rsidRPr="00260790">
        <w:rPr>
          <w:rFonts w:ascii="Times New Roman" w:hAnsi="Times New Roman" w:cs="Times New Roman"/>
          <w:color w:val="000000" w:themeColor="text1"/>
          <w:sz w:val="22"/>
          <w:szCs w:val="22"/>
        </w:rPr>
        <w:t>affleurant</w:t>
      </w:r>
      <w:proofErr w:type="spellEnd"/>
      <w:r w:rsidRPr="00260790">
        <w:rPr>
          <w:rFonts w:ascii="Times New Roman" w:hAnsi="Times New Roman" w:cs="Times New Roman"/>
          <w:color w:val="000000" w:themeColor="text1"/>
          <w:sz w:val="22"/>
          <w:szCs w:val="22"/>
        </w:rPr>
        <w:t xml:space="preserve"> et affleurante dans les zones basses comme les sites des bassins et les couloirs </w:t>
      </w:r>
      <w:proofErr w:type="spellStart"/>
      <w:r w:rsidRPr="00260790">
        <w:rPr>
          <w:rFonts w:ascii="Times New Roman" w:hAnsi="Times New Roman" w:cs="Times New Roman"/>
          <w:color w:val="000000" w:themeColor="text1"/>
          <w:sz w:val="22"/>
          <w:szCs w:val="22"/>
        </w:rPr>
        <w:t>inter</w:t>
      </w:r>
      <w:r w:rsidR="000B33B5">
        <w:rPr>
          <w:rFonts w:ascii="Times New Roman" w:hAnsi="Times New Roman" w:cs="Times New Roman"/>
          <w:color w:val="000000" w:themeColor="text1"/>
          <w:sz w:val="22"/>
          <w:szCs w:val="22"/>
        </w:rPr>
        <w:t>d</w:t>
      </w:r>
      <w:r w:rsidRPr="00260790">
        <w:rPr>
          <w:rFonts w:ascii="Times New Roman" w:hAnsi="Times New Roman" w:cs="Times New Roman"/>
          <w:color w:val="000000" w:themeColor="text1"/>
          <w:sz w:val="22"/>
          <w:szCs w:val="22"/>
        </w:rPr>
        <w:t>unaires</w:t>
      </w:r>
      <w:proofErr w:type="spellEnd"/>
      <w:r w:rsidRPr="00260790">
        <w:rPr>
          <w:rFonts w:ascii="Times New Roman" w:hAnsi="Times New Roman" w:cs="Times New Roman"/>
          <w:color w:val="000000" w:themeColor="text1"/>
          <w:sz w:val="22"/>
          <w:szCs w:val="22"/>
        </w:rPr>
        <w:t xml:space="preserve"> des Niayes.</w:t>
      </w:r>
      <w:r w:rsidR="004600EA">
        <w:rPr>
          <w:rFonts w:ascii="Times New Roman" w:hAnsi="Times New Roman" w:cs="Times New Roman"/>
          <w:color w:val="000000" w:themeColor="text1"/>
          <w:sz w:val="22"/>
          <w:szCs w:val="22"/>
        </w:rPr>
        <w:t xml:space="preserve"> </w:t>
      </w:r>
      <w:r w:rsidRPr="00260790">
        <w:rPr>
          <w:rFonts w:ascii="Times New Roman" w:hAnsi="Times New Roman" w:cs="Times New Roman"/>
          <w:color w:val="000000" w:themeColor="text1"/>
          <w:sz w:val="22"/>
          <w:szCs w:val="22"/>
        </w:rPr>
        <w:t xml:space="preserve">Une pollution de cette nappe par contact direct avec des polluants ou par infiltration d’eaux de surface souillées n’est pas </w:t>
      </w:r>
      <w:r w:rsidR="000B33B5">
        <w:rPr>
          <w:rFonts w:ascii="Times New Roman" w:hAnsi="Times New Roman" w:cs="Times New Roman"/>
          <w:color w:val="000000" w:themeColor="text1"/>
          <w:sz w:val="22"/>
          <w:szCs w:val="22"/>
        </w:rPr>
        <w:t xml:space="preserve">à </w:t>
      </w:r>
      <w:r w:rsidRPr="00260790">
        <w:rPr>
          <w:rFonts w:ascii="Times New Roman" w:hAnsi="Times New Roman" w:cs="Times New Roman"/>
          <w:color w:val="000000" w:themeColor="text1"/>
          <w:sz w:val="22"/>
          <w:szCs w:val="22"/>
        </w:rPr>
        <w:t xml:space="preserve">exclure dans le cadre du projet. </w:t>
      </w:r>
    </w:p>
    <w:p w14:paraId="7A88874A" w14:textId="77777777" w:rsidR="00DE241D" w:rsidRPr="00260790" w:rsidRDefault="00DE241D" w:rsidP="00304699">
      <w:pPr>
        <w:pStyle w:val="Default"/>
        <w:widowControl w:val="0"/>
        <w:overflowPunct w:val="0"/>
        <w:spacing w:after="240"/>
        <w:ind w:right="57"/>
        <w:jc w:val="both"/>
        <w:textAlignment w:val="baseline"/>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 xml:space="preserve">Ci-dessous le résumé de l’analyse du risque de pollutions des eaux souterraines. </w:t>
      </w:r>
    </w:p>
    <w:p w14:paraId="62BB28AD" w14:textId="106EE541" w:rsidR="00DE241D" w:rsidRPr="00260790" w:rsidRDefault="00DE241D" w:rsidP="00304699">
      <w:pPr>
        <w:pStyle w:val="Default"/>
        <w:widowControl w:val="0"/>
        <w:overflowPunct w:val="0"/>
        <w:spacing w:after="240"/>
        <w:ind w:right="57"/>
        <w:jc w:val="both"/>
        <w:textAlignment w:val="baseline"/>
        <w:rPr>
          <w:rFonts w:ascii="Times New Roman" w:hAnsi="Times New Roman" w:cs="Times New Roman"/>
          <w:i/>
          <w:iCs/>
          <w:color w:val="000000" w:themeColor="text1"/>
          <w:sz w:val="22"/>
          <w:szCs w:val="22"/>
        </w:rPr>
      </w:pPr>
      <w:bookmarkStart w:id="636" w:name="_Toc207781894"/>
      <w:r w:rsidRPr="00260790">
        <w:rPr>
          <w:rFonts w:ascii="Times New Roman" w:hAnsi="Times New Roman" w:cs="Times New Roman"/>
          <w:i/>
          <w:iCs/>
          <w:color w:val="000000" w:themeColor="text1"/>
          <w:sz w:val="22"/>
          <w:szCs w:val="22"/>
        </w:rPr>
        <w:t xml:space="preserve">Tableau </w:t>
      </w:r>
      <w:r w:rsidRPr="00260790">
        <w:rPr>
          <w:rFonts w:ascii="Times New Roman" w:hAnsi="Times New Roman" w:cs="Times New Roman"/>
          <w:i/>
          <w:iCs/>
          <w:color w:val="000000" w:themeColor="text1"/>
          <w:sz w:val="22"/>
          <w:szCs w:val="22"/>
        </w:rPr>
        <w:fldChar w:fldCharType="begin"/>
      </w:r>
      <w:r w:rsidRPr="00260790">
        <w:rPr>
          <w:rFonts w:ascii="Times New Roman" w:hAnsi="Times New Roman" w:cs="Times New Roman"/>
          <w:i/>
          <w:iCs/>
          <w:color w:val="000000" w:themeColor="text1"/>
          <w:sz w:val="22"/>
          <w:szCs w:val="22"/>
        </w:rPr>
        <w:instrText xml:space="preserve"> SEQ Tableau \* ARABIC </w:instrText>
      </w:r>
      <w:r w:rsidRPr="00260790">
        <w:rPr>
          <w:rFonts w:ascii="Times New Roman" w:hAnsi="Times New Roman" w:cs="Times New Roman"/>
          <w:i/>
          <w:iCs/>
          <w:color w:val="000000" w:themeColor="text1"/>
          <w:sz w:val="22"/>
          <w:szCs w:val="22"/>
        </w:rPr>
        <w:fldChar w:fldCharType="separate"/>
      </w:r>
      <w:r w:rsidR="003C783E">
        <w:rPr>
          <w:rFonts w:ascii="Times New Roman" w:hAnsi="Times New Roman" w:cs="Times New Roman"/>
          <w:i/>
          <w:iCs/>
          <w:noProof/>
          <w:color w:val="000000" w:themeColor="text1"/>
          <w:sz w:val="22"/>
          <w:szCs w:val="22"/>
        </w:rPr>
        <w:t>53</w:t>
      </w:r>
      <w:r w:rsidRPr="00260790">
        <w:rPr>
          <w:rFonts w:ascii="Times New Roman" w:hAnsi="Times New Roman" w:cs="Times New Roman"/>
          <w:i/>
          <w:iCs/>
          <w:color w:val="000000" w:themeColor="text1"/>
          <w:sz w:val="22"/>
          <w:szCs w:val="22"/>
        </w:rPr>
        <w:fldChar w:fldCharType="end"/>
      </w:r>
      <w:r w:rsidRPr="00260790">
        <w:rPr>
          <w:rFonts w:ascii="Times New Roman" w:hAnsi="Times New Roman" w:cs="Times New Roman"/>
          <w:i/>
          <w:iCs/>
          <w:color w:val="000000" w:themeColor="text1"/>
          <w:sz w:val="22"/>
          <w:szCs w:val="22"/>
        </w:rPr>
        <w:t> : résumé du risque de pollution des eaux souterraines</w:t>
      </w:r>
      <w:bookmarkEnd w:id="636"/>
      <w:r w:rsidRPr="00260790">
        <w:rPr>
          <w:rFonts w:ascii="Times New Roman" w:hAnsi="Times New Roman" w:cs="Times New Roman"/>
          <w:i/>
          <w:iCs/>
          <w:color w:val="000000" w:themeColor="text1"/>
          <w:sz w:val="22"/>
          <w:szCs w:val="22"/>
        </w:rPr>
        <w:t xml:space="preserve"> </w:t>
      </w:r>
    </w:p>
    <w:tbl>
      <w:tblPr>
        <w:tblStyle w:val="TableNormal1"/>
        <w:tblW w:w="516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5"/>
        <w:gridCol w:w="2484"/>
        <w:gridCol w:w="1136"/>
        <w:gridCol w:w="903"/>
        <w:gridCol w:w="963"/>
        <w:gridCol w:w="2301"/>
      </w:tblGrid>
      <w:tr w:rsidR="00BD1A2F" w:rsidRPr="00632C4D" w14:paraId="478DD465" w14:textId="77777777" w:rsidTr="004600EA">
        <w:trPr>
          <w:trHeight w:val="230"/>
        </w:trPr>
        <w:tc>
          <w:tcPr>
            <w:tcW w:w="5000" w:type="pct"/>
            <w:gridSpan w:val="6"/>
            <w:shd w:val="clear" w:color="auto" w:fill="D9E2F3" w:themeFill="accent5" w:themeFillTint="33"/>
          </w:tcPr>
          <w:p w14:paraId="41146C5C"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301AF6">
              <w:rPr>
                <w:rFonts w:ascii="Times New Roman" w:hAnsi="Times New Roman" w:cs="Times New Roman"/>
                <w:b/>
                <w:bCs/>
                <w:color w:val="000000" w:themeColor="text1"/>
                <w:sz w:val="20"/>
                <w:szCs w:val="20"/>
                <w:lang w:val="fr-FR"/>
              </w:rPr>
              <w:t xml:space="preserve">RI-16. Risque de pollutions des eaux souterraines </w:t>
            </w:r>
          </w:p>
        </w:tc>
      </w:tr>
      <w:tr w:rsidR="00BD1A2F" w:rsidRPr="00632C4D" w14:paraId="2E285556" w14:textId="77777777" w:rsidTr="004600EA">
        <w:trPr>
          <w:trHeight w:val="230"/>
        </w:trPr>
        <w:tc>
          <w:tcPr>
            <w:tcW w:w="5000" w:type="pct"/>
            <w:gridSpan w:val="6"/>
          </w:tcPr>
          <w:p w14:paraId="271A11C4"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roofErr w:type="spellStart"/>
            <w:proofErr w:type="gramStart"/>
            <w:r w:rsidRPr="0097258B">
              <w:rPr>
                <w:rFonts w:ascii="Times New Roman" w:hAnsi="Times New Roman" w:cs="Times New Roman"/>
                <w:b/>
                <w:bCs/>
                <w:color w:val="000000" w:themeColor="text1"/>
                <w:sz w:val="20"/>
                <w:szCs w:val="20"/>
              </w:rPr>
              <w:t>Activités</w:t>
            </w:r>
            <w:proofErr w:type="spellEnd"/>
            <w:r w:rsidRPr="0097258B">
              <w:rPr>
                <w:rFonts w:ascii="Times New Roman" w:hAnsi="Times New Roman" w:cs="Times New Roman"/>
                <w:b/>
                <w:bCs/>
                <w:color w:val="000000" w:themeColor="text1"/>
                <w:sz w:val="20"/>
                <w:szCs w:val="20"/>
              </w:rPr>
              <w:t xml:space="preserve"> :</w:t>
            </w:r>
            <w:proofErr w:type="gram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Aménagement</w:t>
            </w:r>
            <w:proofErr w:type="spellEnd"/>
            <w:r w:rsidRPr="0097258B">
              <w:rPr>
                <w:rFonts w:ascii="Times New Roman" w:hAnsi="Times New Roman" w:cs="Times New Roman"/>
                <w:color w:val="000000" w:themeColor="text1"/>
                <w:sz w:val="20"/>
                <w:szCs w:val="20"/>
              </w:rPr>
              <w:t xml:space="preserve"> des </w:t>
            </w:r>
            <w:proofErr w:type="spellStart"/>
            <w:r w:rsidRPr="0097258B">
              <w:rPr>
                <w:rFonts w:ascii="Times New Roman" w:hAnsi="Times New Roman" w:cs="Times New Roman"/>
                <w:color w:val="000000" w:themeColor="text1"/>
                <w:sz w:val="20"/>
                <w:szCs w:val="20"/>
              </w:rPr>
              <w:t>bassins</w:t>
            </w:r>
            <w:proofErr w:type="spellEnd"/>
          </w:p>
        </w:tc>
      </w:tr>
      <w:tr w:rsidR="00BD1A2F" w:rsidRPr="00632C4D" w14:paraId="00964F76" w14:textId="77777777" w:rsidTr="004600EA">
        <w:trPr>
          <w:trHeight w:val="230"/>
        </w:trPr>
        <w:tc>
          <w:tcPr>
            <w:tcW w:w="837" w:type="pct"/>
          </w:tcPr>
          <w:p w14:paraId="5C5E8282"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328" w:type="pct"/>
          </w:tcPr>
          <w:p w14:paraId="30C18CE5"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initial</w:t>
            </w:r>
          </w:p>
        </w:tc>
        <w:tc>
          <w:tcPr>
            <w:tcW w:w="607" w:type="pct"/>
          </w:tcPr>
          <w:p w14:paraId="0C46F49A"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483" w:type="pct"/>
          </w:tcPr>
          <w:p w14:paraId="19226F65"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15" w:type="pct"/>
          </w:tcPr>
          <w:p w14:paraId="5918390D"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229" w:type="pct"/>
          </w:tcPr>
          <w:p w14:paraId="11518CE1"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p>
        </w:tc>
      </w:tr>
      <w:tr w:rsidR="004600EA" w:rsidRPr="00632C4D" w14:paraId="515C2FD0" w14:textId="77777777" w:rsidTr="004600EA">
        <w:trPr>
          <w:trHeight w:val="693"/>
        </w:trPr>
        <w:tc>
          <w:tcPr>
            <w:tcW w:w="837" w:type="pct"/>
          </w:tcPr>
          <w:p w14:paraId="21730C6E"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p w14:paraId="55B09208"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p w14:paraId="71DF197A"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Avant </w:t>
            </w:r>
            <w:proofErr w:type="spellStart"/>
            <w:r w:rsidRPr="0097258B">
              <w:rPr>
                <w:rFonts w:ascii="Times New Roman" w:hAnsi="Times New Roman" w:cs="Times New Roman"/>
                <w:color w:val="000000" w:themeColor="text1"/>
                <w:sz w:val="20"/>
                <w:szCs w:val="20"/>
              </w:rPr>
              <w:t>prévention</w:t>
            </w:r>
            <w:proofErr w:type="spellEnd"/>
          </w:p>
        </w:tc>
        <w:tc>
          <w:tcPr>
            <w:tcW w:w="1328" w:type="pct"/>
          </w:tcPr>
          <w:p w14:paraId="5E5214E9" w14:textId="1635526B" w:rsidR="00DE241D" w:rsidRPr="0097258B" w:rsidRDefault="00DC5176"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olor w:val="000000" w:themeColor="text1"/>
                <w:sz w:val="20"/>
                <w:szCs w:val="20"/>
                <w:lang w:val="fr-FR"/>
              </w:rPr>
              <w:t xml:space="preserve">Pollution de la nappe </w:t>
            </w:r>
            <w:r w:rsidR="00D36293" w:rsidRPr="00301AF6">
              <w:rPr>
                <w:rFonts w:ascii="Times New Roman" w:hAnsi="Times New Roman"/>
                <w:color w:val="000000" w:themeColor="text1"/>
                <w:sz w:val="20"/>
                <w:szCs w:val="20"/>
                <w:lang w:val="fr-FR"/>
              </w:rPr>
              <w:t>en cas de f</w:t>
            </w:r>
            <w:r w:rsidR="00DE241D" w:rsidRPr="00301AF6">
              <w:rPr>
                <w:rFonts w:ascii="Times New Roman" w:hAnsi="Times New Roman"/>
                <w:color w:val="000000" w:themeColor="text1"/>
                <w:sz w:val="20"/>
                <w:szCs w:val="20"/>
                <w:lang w:val="fr-FR"/>
              </w:rPr>
              <w:t xml:space="preserve">uite et/ou </w:t>
            </w:r>
            <w:r w:rsidR="00D36293" w:rsidRPr="00301AF6">
              <w:rPr>
                <w:rFonts w:ascii="Times New Roman" w:hAnsi="Times New Roman"/>
                <w:color w:val="000000" w:themeColor="text1"/>
                <w:sz w:val="20"/>
                <w:szCs w:val="20"/>
                <w:lang w:val="fr-FR"/>
              </w:rPr>
              <w:t xml:space="preserve">de </w:t>
            </w:r>
            <w:r w:rsidR="00DE241D" w:rsidRPr="00301AF6">
              <w:rPr>
                <w:rFonts w:ascii="Times New Roman" w:hAnsi="Times New Roman"/>
                <w:color w:val="000000" w:themeColor="text1"/>
                <w:sz w:val="20"/>
                <w:szCs w:val="20"/>
                <w:lang w:val="fr-FR"/>
              </w:rPr>
              <w:t xml:space="preserve">déversement de </w:t>
            </w:r>
            <w:proofErr w:type="gramStart"/>
            <w:r w:rsidR="00DE241D" w:rsidRPr="00301AF6">
              <w:rPr>
                <w:rFonts w:ascii="Times New Roman" w:hAnsi="Times New Roman"/>
                <w:color w:val="000000" w:themeColor="text1"/>
                <w:sz w:val="20"/>
                <w:szCs w:val="20"/>
                <w:lang w:val="fr-FR"/>
              </w:rPr>
              <w:t>polluants</w:t>
            </w:r>
            <w:r w:rsidR="00D36293" w:rsidRPr="00301AF6">
              <w:rPr>
                <w:rFonts w:ascii="Times New Roman" w:hAnsi="Times New Roman"/>
                <w:color w:val="000000" w:themeColor="text1"/>
                <w:sz w:val="20"/>
                <w:szCs w:val="20"/>
                <w:lang w:val="fr-FR"/>
              </w:rPr>
              <w:t>,</w:t>
            </w:r>
            <w:r w:rsidR="00DE241D" w:rsidRPr="00301AF6">
              <w:rPr>
                <w:rFonts w:ascii="Times New Roman" w:hAnsi="Times New Roman"/>
                <w:color w:val="000000" w:themeColor="text1"/>
                <w:sz w:val="20"/>
                <w:szCs w:val="20"/>
                <w:lang w:val="fr-FR"/>
              </w:rPr>
              <w:t xml:space="preserve"> </w:t>
            </w:r>
            <w:r w:rsidR="00D36293" w:rsidRPr="00301AF6">
              <w:rPr>
                <w:rFonts w:ascii="Times New Roman" w:hAnsi="Times New Roman"/>
                <w:color w:val="000000" w:themeColor="text1"/>
                <w:sz w:val="20"/>
                <w:szCs w:val="20"/>
                <w:lang w:val="fr-FR"/>
              </w:rPr>
              <w:t xml:space="preserve"> de</w:t>
            </w:r>
            <w:proofErr w:type="gramEnd"/>
            <w:r w:rsidR="00D36293" w:rsidRPr="00301AF6">
              <w:rPr>
                <w:rFonts w:ascii="Times New Roman" w:hAnsi="Times New Roman"/>
                <w:color w:val="000000" w:themeColor="text1"/>
                <w:sz w:val="20"/>
                <w:szCs w:val="20"/>
                <w:lang w:val="fr-FR"/>
              </w:rPr>
              <w:t xml:space="preserve"> </w:t>
            </w:r>
            <w:r w:rsidR="00D36293" w:rsidRPr="00301AF6">
              <w:rPr>
                <w:rFonts w:ascii="Times New Roman" w:hAnsi="Times New Roman" w:cs="Times New Roman"/>
                <w:color w:val="000000" w:themeColor="text1"/>
                <w:sz w:val="20"/>
                <w:szCs w:val="20"/>
                <w:lang w:val="fr-FR"/>
              </w:rPr>
              <w:t>m</w:t>
            </w:r>
            <w:r w:rsidR="00DE241D" w:rsidRPr="00301AF6">
              <w:rPr>
                <w:rFonts w:ascii="Times New Roman" w:hAnsi="Times New Roman" w:cs="Times New Roman"/>
                <w:color w:val="000000" w:themeColor="text1"/>
                <w:sz w:val="20"/>
                <w:szCs w:val="20"/>
                <w:lang w:val="fr-FR"/>
              </w:rPr>
              <w:t xml:space="preserve">auvaise gestion des déchets, </w:t>
            </w:r>
            <w:r w:rsidR="00D36293" w:rsidRPr="00301AF6">
              <w:rPr>
                <w:rFonts w:ascii="Times New Roman" w:hAnsi="Times New Roman" w:cs="Times New Roman"/>
                <w:color w:val="000000" w:themeColor="text1"/>
                <w:sz w:val="20"/>
                <w:szCs w:val="20"/>
                <w:lang w:val="fr-FR"/>
              </w:rPr>
              <w:t>(</w:t>
            </w:r>
            <w:r w:rsidR="00DE241D" w:rsidRPr="00301AF6">
              <w:rPr>
                <w:rFonts w:ascii="Times New Roman" w:hAnsi="Times New Roman" w:cs="Times New Roman"/>
                <w:color w:val="000000" w:themeColor="text1"/>
                <w:sz w:val="20"/>
                <w:szCs w:val="20"/>
                <w:lang w:val="fr-FR"/>
              </w:rPr>
              <w:t>effluents des sanitaires, laitance de ciment, eaux de lavage de la machinerie</w:t>
            </w:r>
            <w:r w:rsidR="00D36293" w:rsidRPr="00301AF6">
              <w:rPr>
                <w:rFonts w:ascii="Times New Roman" w:hAnsi="Times New Roman" w:cs="Times New Roman"/>
                <w:color w:val="000000" w:themeColor="text1"/>
                <w:sz w:val="20"/>
                <w:szCs w:val="20"/>
                <w:lang w:val="fr-FR"/>
              </w:rPr>
              <w:t>, etc.)</w:t>
            </w:r>
          </w:p>
        </w:tc>
        <w:tc>
          <w:tcPr>
            <w:tcW w:w="607" w:type="pct"/>
            <w:vAlign w:val="center"/>
          </w:tcPr>
          <w:p w14:paraId="0DF91FCA"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29454680"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483" w:type="pct"/>
            <w:vAlign w:val="center"/>
          </w:tcPr>
          <w:p w14:paraId="61AE663A"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7A94B514"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w:t>
            </w:r>
          </w:p>
        </w:tc>
        <w:tc>
          <w:tcPr>
            <w:tcW w:w="515" w:type="pct"/>
            <w:shd w:val="clear" w:color="auto" w:fill="FFFF00"/>
            <w:vAlign w:val="center"/>
          </w:tcPr>
          <w:p w14:paraId="35F3C3B1"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63A727DA"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32</w:t>
            </w:r>
          </w:p>
        </w:tc>
        <w:tc>
          <w:tcPr>
            <w:tcW w:w="1229" w:type="pct"/>
          </w:tcPr>
          <w:p w14:paraId="1EB0CC23"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p w14:paraId="7F940A71"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Pollution des nappes </w:t>
            </w:r>
          </w:p>
          <w:p w14:paraId="6D6185F0"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r>
      <w:tr w:rsidR="00BD1A2F" w:rsidRPr="00632C4D" w14:paraId="32CFEEF3" w14:textId="77777777" w:rsidTr="004600EA">
        <w:trPr>
          <w:trHeight w:val="132"/>
        </w:trPr>
        <w:tc>
          <w:tcPr>
            <w:tcW w:w="837" w:type="pct"/>
          </w:tcPr>
          <w:p w14:paraId="58A3207E"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p w14:paraId="05226B20"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p w14:paraId="14746CF1"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p w14:paraId="51840383"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prévention</w:t>
            </w:r>
            <w:proofErr w:type="spellEnd"/>
          </w:p>
        </w:tc>
        <w:tc>
          <w:tcPr>
            <w:tcW w:w="4163" w:type="pct"/>
            <w:gridSpan w:val="5"/>
          </w:tcPr>
          <w:p w14:paraId="508787A3" w14:textId="13DA95E5"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 xml:space="preserve">Interdire formellement le lavage des engins et </w:t>
            </w:r>
            <w:proofErr w:type="spellStart"/>
            <w:r w:rsidRPr="00301AF6">
              <w:rPr>
                <w:rFonts w:ascii="Times New Roman" w:hAnsi="Times New Roman" w:cs="Times New Roman"/>
                <w:color w:val="000000" w:themeColor="text1"/>
                <w:sz w:val="20"/>
                <w:szCs w:val="20"/>
                <w:lang w:val="fr-FR"/>
              </w:rPr>
              <w:t>équipementsà</w:t>
            </w:r>
            <w:proofErr w:type="spellEnd"/>
            <w:r w:rsidRPr="00301AF6">
              <w:rPr>
                <w:rFonts w:ascii="Times New Roman" w:hAnsi="Times New Roman" w:cs="Times New Roman"/>
                <w:color w:val="000000" w:themeColor="text1"/>
                <w:sz w:val="20"/>
                <w:szCs w:val="20"/>
                <w:lang w:val="fr-FR"/>
              </w:rPr>
              <w:t xml:space="preserve"> proximité des plans d’eau ;</w:t>
            </w:r>
          </w:p>
          <w:p w14:paraId="7A6B6A41"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Récupérer et recycler la laitance de ciment ;</w:t>
            </w:r>
          </w:p>
          <w:p w14:paraId="05D82AFD"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Stocker les déchets dans des contenants adaptés, sur une aire étanche et à l’abri des précipitations ;</w:t>
            </w:r>
          </w:p>
          <w:p w14:paraId="50F5EAA0" w14:textId="5C431071"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Assurer la collecte systématique des déchets dangereux et prise en charge par un prestataire agréé ;</w:t>
            </w:r>
          </w:p>
          <w:p w14:paraId="0536D73E"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Faire des provisions de substances absorbant pour la récupération d’éventuelles substances dangereuses déversées ;</w:t>
            </w:r>
          </w:p>
          <w:p w14:paraId="23EC1435" w14:textId="2D1A5D5F" w:rsidR="00DE241D" w:rsidRPr="0097258B" w:rsidRDefault="00F11A3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Élaborer</w:t>
            </w:r>
            <w:r w:rsidR="00DE241D" w:rsidRPr="00301AF6">
              <w:rPr>
                <w:rFonts w:ascii="Times New Roman" w:hAnsi="Times New Roman" w:cs="Times New Roman"/>
                <w:color w:val="000000" w:themeColor="text1"/>
                <w:sz w:val="20"/>
                <w:szCs w:val="20"/>
                <w:lang w:val="fr-FR"/>
              </w:rPr>
              <w:t xml:space="preserve"> des procédures d’intervention en cas de déversement de polluants.</w:t>
            </w:r>
          </w:p>
        </w:tc>
      </w:tr>
      <w:tr w:rsidR="00BD1A2F" w:rsidRPr="00632C4D" w14:paraId="54650A5D" w14:textId="77777777" w:rsidTr="004600EA">
        <w:trPr>
          <w:trHeight w:val="230"/>
        </w:trPr>
        <w:tc>
          <w:tcPr>
            <w:tcW w:w="837" w:type="pct"/>
          </w:tcPr>
          <w:p w14:paraId="6E0EB4DE"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328" w:type="pct"/>
          </w:tcPr>
          <w:p w14:paraId="453DABA0"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final</w:t>
            </w:r>
          </w:p>
        </w:tc>
        <w:tc>
          <w:tcPr>
            <w:tcW w:w="607" w:type="pct"/>
          </w:tcPr>
          <w:p w14:paraId="69EDE014"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483" w:type="pct"/>
          </w:tcPr>
          <w:p w14:paraId="65BA5FFE"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15" w:type="pct"/>
          </w:tcPr>
          <w:p w14:paraId="3A016F5C"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229" w:type="pct"/>
          </w:tcPr>
          <w:p w14:paraId="6419FF53"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r w:rsidRPr="0097258B">
              <w:rPr>
                <w:rFonts w:ascii="Times New Roman" w:hAnsi="Times New Roman" w:cs="Times New Roman"/>
                <w:b/>
                <w:bCs/>
                <w:color w:val="000000" w:themeColor="text1"/>
                <w:sz w:val="20"/>
                <w:szCs w:val="20"/>
              </w:rPr>
              <w:t xml:space="preserve"> </w:t>
            </w:r>
            <w:proofErr w:type="spellStart"/>
            <w:r w:rsidRPr="0097258B">
              <w:rPr>
                <w:rFonts w:ascii="Times New Roman" w:hAnsi="Times New Roman" w:cs="Times New Roman"/>
                <w:b/>
                <w:bCs/>
                <w:color w:val="000000" w:themeColor="text1"/>
                <w:sz w:val="20"/>
                <w:szCs w:val="20"/>
              </w:rPr>
              <w:t>résiduel</w:t>
            </w:r>
            <w:proofErr w:type="spellEnd"/>
          </w:p>
        </w:tc>
      </w:tr>
      <w:tr w:rsidR="00BD1A2F" w:rsidRPr="00632C4D" w14:paraId="085ACA1A" w14:textId="77777777" w:rsidTr="004600EA">
        <w:trPr>
          <w:trHeight w:val="458"/>
        </w:trPr>
        <w:tc>
          <w:tcPr>
            <w:tcW w:w="837" w:type="pct"/>
          </w:tcPr>
          <w:p w14:paraId="434B6B40"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Après </w:t>
            </w:r>
            <w:proofErr w:type="spellStart"/>
            <w:r w:rsidRPr="0097258B">
              <w:rPr>
                <w:rFonts w:ascii="Times New Roman" w:hAnsi="Times New Roman" w:cs="Times New Roman"/>
                <w:color w:val="000000" w:themeColor="text1"/>
                <w:sz w:val="20"/>
                <w:szCs w:val="20"/>
              </w:rPr>
              <w:t>prévention</w:t>
            </w:r>
            <w:proofErr w:type="spellEnd"/>
          </w:p>
        </w:tc>
        <w:tc>
          <w:tcPr>
            <w:tcW w:w="1328" w:type="pct"/>
          </w:tcPr>
          <w:p w14:paraId="3F5E4B72" w14:textId="16A797BC" w:rsidR="00DE241D" w:rsidRPr="0097258B" w:rsidRDefault="00A47292"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Préservation de la qualité des eaux souterraines</w:t>
            </w:r>
            <w:r w:rsidR="00DE241D" w:rsidRPr="00301AF6">
              <w:rPr>
                <w:rFonts w:ascii="Times New Roman" w:hAnsi="Times New Roman" w:cs="Times New Roman"/>
                <w:color w:val="000000" w:themeColor="text1"/>
                <w:sz w:val="20"/>
                <w:szCs w:val="20"/>
                <w:lang w:val="fr-FR"/>
              </w:rPr>
              <w:t xml:space="preserve"> </w:t>
            </w:r>
          </w:p>
        </w:tc>
        <w:tc>
          <w:tcPr>
            <w:tcW w:w="607" w:type="pct"/>
          </w:tcPr>
          <w:p w14:paraId="1F811C0C" w14:textId="77777777" w:rsidR="00DE241D" w:rsidRPr="0097258B" w:rsidRDefault="00DE241D" w:rsidP="0097258B">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483" w:type="pct"/>
          </w:tcPr>
          <w:p w14:paraId="371DC4B6" w14:textId="77777777" w:rsidR="00DE241D" w:rsidRPr="0097258B" w:rsidRDefault="00DE241D" w:rsidP="0097258B">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15" w:type="pct"/>
            <w:shd w:val="clear" w:color="auto" w:fill="A8D08D" w:themeFill="accent6" w:themeFillTint="99"/>
          </w:tcPr>
          <w:p w14:paraId="0C10577B" w14:textId="77777777" w:rsidR="00DE241D" w:rsidRPr="0097258B" w:rsidRDefault="00DE241D" w:rsidP="0097258B">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11</w:t>
            </w:r>
          </w:p>
        </w:tc>
        <w:tc>
          <w:tcPr>
            <w:tcW w:w="1229" w:type="pct"/>
          </w:tcPr>
          <w:p w14:paraId="69F8C998" w14:textId="3674B800" w:rsidR="00DE241D" w:rsidRPr="0097258B" w:rsidRDefault="00A47292"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Qualité</w:t>
            </w:r>
            <w:proofErr w:type="spellEnd"/>
            <w:r w:rsidR="00DE241D" w:rsidRPr="0097258B">
              <w:rPr>
                <w:rFonts w:ascii="Times New Roman" w:hAnsi="Times New Roman" w:cs="Times New Roman"/>
                <w:color w:val="000000" w:themeColor="text1"/>
                <w:sz w:val="20"/>
                <w:szCs w:val="20"/>
              </w:rPr>
              <w:t xml:space="preserve"> des eaux</w:t>
            </w:r>
          </w:p>
        </w:tc>
      </w:tr>
    </w:tbl>
    <w:p w14:paraId="1E0800EB" w14:textId="77777777" w:rsidR="00DE241D" w:rsidRPr="00260790" w:rsidRDefault="00DE241D" w:rsidP="00F83414">
      <w:pPr>
        <w:spacing w:after="0" w:line="240" w:lineRule="auto"/>
        <w:rPr>
          <w:rFonts w:ascii="Times New Roman" w:hAnsi="Times New Roman"/>
          <w:i/>
          <w:iCs/>
          <w:color w:val="000000" w:themeColor="text1"/>
        </w:rPr>
      </w:pPr>
    </w:p>
    <w:p w14:paraId="3417F710" w14:textId="77777777" w:rsidR="00DE241D" w:rsidRPr="00260790" w:rsidRDefault="00DE241D" w:rsidP="001748C6">
      <w:pPr>
        <w:pStyle w:val="Paragraphedeliste"/>
        <w:numPr>
          <w:ilvl w:val="0"/>
          <w:numId w:val="354"/>
        </w:numPr>
        <w:spacing w:line="240" w:lineRule="auto"/>
        <w:rPr>
          <w:rFonts w:ascii="Times New Roman" w:hAnsi="Times New Roman"/>
          <w:i/>
          <w:iCs/>
          <w:color w:val="000000" w:themeColor="text1"/>
        </w:rPr>
      </w:pPr>
      <w:r w:rsidRPr="00260790">
        <w:rPr>
          <w:rFonts w:ascii="Times New Roman" w:hAnsi="Times New Roman"/>
          <w:i/>
          <w:iCs/>
          <w:color w:val="000000" w:themeColor="text1"/>
        </w:rPr>
        <w:t>Sur le milieu biologique</w:t>
      </w:r>
    </w:p>
    <w:p w14:paraId="166DE36D" w14:textId="77777777" w:rsidR="00DE241D" w:rsidRPr="00260790" w:rsidRDefault="00DE241D" w:rsidP="00E20250">
      <w:pPr>
        <w:pStyle w:val="Paragraphedeliste"/>
        <w:spacing w:line="240" w:lineRule="auto"/>
        <w:rPr>
          <w:rFonts w:ascii="Times New Roman" w:hAnsi="Times New Roman"/>
          <w:i/>
          <w:iCs/>
          <w:color w:val="000000" w:themeColor="text1"/>
        </w:rPr>
      </w:pPr>
    </w:p>
    <w:p w14:paraId="10BA926F" w14:textId="77777777" w:rsidR="00DE241D" w:rsidRPr="00260790" w:rsidRDefault="00DE241D" w:rsidP="001748C6">
      <w:pPr>
        <w:pStyle w:val="Paragraphedeliste"/>
        <w:numPr>
          <w:ilvl w:val="0"/>
          <w:numId w:val="314"/>
        </w:numPr>
        <w:spacing w:line="240" w:lineRule="auto"/>
        <w:rPr>
          <w:rFonts w:ascii="Times New Roman" w:hAnsi="Times New Roman"/>
          <w:b/>
          <w:bCs/>
          <w:i/>
          <w:iCs/>
          <w:color w:val="000000" w:themeColor="text1"/>
        </w:rPr>
      </w:pPr>
      <w:r w:rsidRPr="00260790">
        <w:rPr>
          <w:rFonts w:ascii="Times New Roman" w:hAnsi="Times New Roman"/>
          <w:b/>
          <w:bCs/>
          <w:i/>
          <w:iCs/>
          <w:color w:val="000000" w:themeColor="text1"/>
        </w:rPr>
        <w:t>IN-9. Entrave de l’accès des animaux au marigot de Mbao</w:t>
      </w:r>
    </w:p>
    <w:p w14:paraId="60906AE3" w14:textId="0E8BDCE5" w:rsidR="00DE241D" w:rsidRPr="00177E44" w:rsidRDefault="00DE241D" w:rsidP="00E20250">
      <w:pPr>
        <w:spacing w:line="240" w:lineRule="auto"/>
        <w:jc w:val="both"/>
        <w:rPr>
          <w:rFonts w:ascii="Times New Roman" w:hAnsi="Times New Roman"/>
          <w:color w:val="000000" w:themeColor="text1"/>
        </w:rPr>
      </w:pPr>
      <w:r w:rsidRPr="00177E44">
        <w:rPr>
          <w:rFonts w:ascii="Times New Roman" w:hAnsi="Times New Roman"/>
          <w:color w:val="000000" w:themeColor="text1"/>
        </w:rPr>
        <w:t>La sécurisation des bassins au moyen de</w:t>
      </w:r>
      <w:r w:rsidRPr="00177E44">
        <w:rPr>
          <w:rStyle w:val="Lienhypertexte"/>
          <w:rFonts w:ascii="Times New Roman" w:hAnsi="Times New Roman"/>
          <w:color w:val="000000" w:themeColor="text1"/>
          <w:u w:val="none"/>
        </w:rPr>
        <w:t xml:space="preserve"> </w:t>
      </w:r>
      <w:r w:rsidRPr="00177E44">
        <w:rPr>
          <w:rFonts w:ascii="Times New Roman" w:hAnsi="Times New Roman"/>
          <w:color w:val="000000" w:themeColor="text1"/>
          <w:lang w:eastAsia="fr-FR"/>
        </w:rPr>
        <w:t xml:space="preserve">murets en dur ou en grillage </w:t>
      </w:r>
      <w:r w:rsidRPr="00177E44">
        <w:rPr>
          <w:rStyle w:val="Lienhypertexte"/>
          <w:rFonts w:ascii="Times New Roman" w:hAnsi="Times New Roman"/>
          <w:color w:val="000000" w:themeColor="text1"/>
          <w:u w:val="none"/>
        </w:rPr>
        <w:t>entravera l’accès de la faune, mais aussi du cheptel au marigot. L’ampleur de l’impact sera néanmoins minime</w:t>
      </w:r>
      <w:r w:rsidR="006F7A0B" w:rsidRPr="00177E44">
        <w:rPr>
          <w:rStyle w:val="Lienhypertexte"/>
          <w:rFonts w:ascii="Times New Roman" w:hAnsi="Times New Roman"/>
          <w:color w:val="000000" w:themeColor="text1"/>
          <w:u w:val="none"/>
        </w:rPr>
        <w:t>,</w:t>
      </w:r>
      <w:r w:rsidRPr="00177E44">
        <w:rPr>
          <w:rStyle w:val="Lienhypertexte"/>
          <w:rFonts w:ascii="Times New Roman" w:hAnsi="Times New Roman"/>
          <w:color w:val="000000" w:themeColor="text1"/>
          <w:u w:val="none"/>
        </w:rPr>
        <w:t xml:space="preserve"> car seuls des oiseaux et des insectes ont été recensés dans les emprises.</w:t>
      </w:r>
    </w:p>
    <w:p w14:paraId="1F617A02" w14:textId="77777777" w:rsidR="00DE241D" w:rsidRPr="00260790" w:rsidRDefault="00DE241D" w:rsidP="001748C6">
      <w:pPr>
        <w:pStyle w:val="Paragraphedeliste"/>
        <w:numPr>
          <w:ilvl w:val="0"/>
          <w:numId w:val="335"/>
        </w:numPr>
        <w:spacing w:line="240" w:lineRule="auto"/>
        <w:rPr>
          <w:rFonts w:ascii="Times New Roman" w:hAnsi="Times New Roman"/>
          <w:i/>
          <w:iCs/>
          <w:color w:val="000000" w:themeColor="text1"/>
          <w:u w:val="single"/>
        </w:rPr>
      </w:pPr>
      <w:r w:rsidRPr="00260790">
        <w:rPr>
          <w:rFonts w:ascii="Times New Roman" w:hAnsi="Times New Roman"/>
          <w:i/>
          <w:iCs/>
          <w:color w:val="000000" w:themeColor="text1"/>
          <w:u w:val="single"/>
        </w:rPr>
        <w:t>Impacts négatifs et risques sur le milieu humain et socioéconomique</w:t>
      </w:r>
    </w:p>
    <w:p w14:paraId="799255A5" w14:textId="77777777" w:rsidR="00DE241D" w:rsidRPr="00260790" w:rsidRDefault="00DE241D" w:rsidP="00E20250">
      <w:pPr>
        <w:pStyle w:val="Paragraphedeliste"/>
        <w:spacing w:line="240" w:lineRule="auto"/>
        <w:rPr>
          <w:rFonts w:ascii="Times New Roman" w:hAnsi="Times New Roman"/>
          <w:i/>
          <w:iCs/>
          <w:color w:val="000000" w:themeColor="text1"/>
        </w:rPr>
      </w:pPr>
    </w:p>
    <w:p w14:paraId="7DECA09C" w14:textId="77777777" w:rsidR="00DE241D" w:rsidRPr="00260790" w:rsidRDefault="00DE241D" w:rsidP="001748C6">
      <w:pPr>
        <w:pStyle w:val="Paragraphedeliste"/>
        <w:numPr>
          <w:ilvl w:val="2"/>
          <w:numId w:val="304"/>
        </w:numPr>
        <w:spacing w:after="0" w:line="240" w:lineRule="auto"/>
        <w:jc w:val="both"/>
        <w:rPr>
          <w:rFonts w:ascii="Times New Roman" w:hAnsi="Times New Roman"/>
          <w:b/>
          <w:i/>
          <w:iCs/>
          <w:color w:val="000000" w:themeColor="text1"/>
        </w:rPr>
      </w:pPr>
      <w:r w:rsidRPr="00260790">
        <w:rPr>
          <w:rFonts w:ascii="Times New Roman" w:hAnsi="Times New Roman"/>
          <w:b/>
          <w:i/>
          <w:iCs/>
          <w:color w:val="000000" w:themeColor="text1"/>
        </w:rPr>
        <w:t xml:space="preserve">IN-10. Changement d’affectation des emprises </w:t>
      </w:r>
    </w:p>
    <w:p w14:paraId="79DA82AB" w14:textId="7A653F90" w:rsidR="00DE241D" w:rsidRPr="00260790" w:rsidRDefault="00DE241D" w:rsidP="00E20250">
      <w:pPr>
        <w:spacing w:line="240" w:lineRule="auto"/>
        <w:jc w:val="both"/>
        <w:rPr>
          <w:rFonts w:ascii="Times New Roman" w:hAnsi="Times New Roman"/>
          <w:bCs/>
          <w:color w:val="000000" w:themeColor="text1"/>
        </w:rPr>
      </w:pPr>
      <w:r w:rsidRPr="00260790">
        <w:rPr>
          <w:rFonts w:ascii="Times New Roman" w:hAnsi="Times New Roman"/>
          <w:bCs/>
          <w:color w:val="000000" w:themeColor="text1"/>
        </w:rPr>
        <w:t xml:space="preserve">L’occupation des emprises des bassins soustraira celles-ci de leurs usages habituels. La répartition des superficies en jeu qui sont estimées à </w:t>
      </w:r>
      <w:r w:rsidR="00FA5A02" w:rsidRPr="00260790">
        <w:rPr>
          <w:rFonts w:ascii="Times New Roman" w:hAnsi="Times New Roman"/>
          <w:bCs/>
          <w:color w:val="000000" w:themeColor="text1"/>
        </w:rPr>
        <w:t xml:space="preserve">20,387 </w:t>
      </w:r>
      <w:r w:rsidRPr="00260790">
        <w:rPr>
          <w:rFonts w:ascii="Times New Roman" w:hAnsi="Times New Roman"/>
          <w:bCs/>
          <w:color w:val="000000" w:themeColor="text1"/>
        </w:rPr>
        <w:t>ha est présentée au tableau.</w:t>
      </w:r>
    </w:p>
    <w:p w14:paraId="4ED3E004" w14:textId="346E2FA0" w:rsidR="00DE241D" w:rsidRPr="00260790" w:rsidRDefault="00DE241D" w:rsidP="00E20250">
      <w:pPr>
        <w:pStyle w:val="Lgende"/>
        <w:spacing w:line="240" w:lineRule="auto"/>
        <w:jc w:val="center"/>
        <w:rPr>
          <w:bCs/>
          <w:color w:val="000000" w:themeColor="text1"/>
          <w:sz w:val="22"/>
          <w:szCs w:val="22"/>
        </w:rPr>
      </w:pPr>
      <w:bookmarkStart w:id="637" w:name="_Toc207781895"/>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54</w:t>
      </w:r>
      <w:r w:rsidRPr="00260790">
        <w:rPr>
          <w:color w:val="000000" w:themeColor="text1"/>
          <w:sz w:val="22"/>
          <w:szCs w:val="22"/>
        </w:rPr>
        <w:fldChar w:fldCharType="end"/>
      </w:r>
      <w:r w:rsidRPr="00260790">
        <w:rPr>
          <w:color w:val="000000" w:themeColor="text1"/>
          <w:sz w:val="22"/>
          <w:szCs w:val="22"/>
        </w:rPr>
        <w:t> : Emprises des bassins prévus</w:t>
      </w:r>
      <w:bookmarkEnd w:id="637"/>
    </w:p>
    <w:tbl>
      <w:tblPr>
        <w:tblStyle w:val="Grilledutableau"/>
        <w:tblW w:w="0" w:type="auto"/>
        <w:jc w:val="center"/>
        <w:tblLook w:val="04A0" w:firstRow="1" w:lastRow="0" w:firstColumn="1" w:lastColumn="0" w:noHBand="0" w:noVBand="1"/>
      </w:tblPr>
      <w:tblGrid>
        <w:gridCol w:w="2100"/>
        <w:gridCol w:w="1477"/>
      </w:tblGrid>
      <w:tr w:rsidR="00BD1A2F" w:rsidRPr="004600EA" w14:paraId="22389086" w14:textId="77777777" w:rsidTr="003A0E4A">
        <w:trPr>
          <w:jc w:val="center"/>
        </w:trPr>
        <w:tc>
          <w:tcPr>
            <w:tcW w:w="0" w:type="auto"/>
          </w:tcPr>
          <w:p w14:paraId="3145EA12" w14:textId="77777777" w:rsidR="00DE241D" w:rsidRPr="004600EA" w:rsidRDefault="00DE241D" w:rsidP="00E20250">
            <w:pPr>
              <w:spacing w:line="240" w:lineRule="auto"/>
              <w:jc w:val="center"/>
              <w:rPr>
                <w:rFonts w:ascii="Times New Roman" w:hAnsi="Times New Roman"/>
                <w:b/>
                <w:bCs/>
                <w:color w:val="000000" w:themeColor="text1"/>
                <w:lang w:val="fr-FR"/>
              </w:rPr>
            </w:pPr>
            <w:r w:rsidRPr="004600EA">
              <w:rPr>
                <w:rFonts w:ascii="Times New Roman" w:hAnsi="Times New Roman"/>
                <w:b/>
                <w:bCs/>
                <w:color w:val="000000" w:themeColor="text1"/>
              </w:rPr>
              <w:t>Bassins</w:t>
            </w:r>
          </w:p>
        </w:tc>
        <w:tc>
          <w:tcPr>
            <w:tcW w:w="0" w:type="auto"/>
          </w:tcPr>
          <w:p w14:paraId="62318E9A" w14:textId="77777777" w:rsidR="00DE241D" w:rsidRPr="004600EA" w:rsidRDefault="00DE241D" w:rsidP="00E20250">
            <w:pPr>
              <w:spacing w:line="240" w:lineRule="auto"/>
              <w:jc w:val="center"/>
              <w:rPr>
                <w:rFonts w:ascii="Times New Roman" w:hAnsi="Times New Roman"/>
                <w:b/>
                <w:bCs/>
                <w:color w:val="000000" w:themeColor="text1"/>
                <w:lang w:val="fr-FR"/>
              </w:rPr>
            </w:pPr>
            <w:proofErr w:type="spellStart"/>
            <w:r w:rsidRPr="004600EA">
              <w:rPr>
                <w:rFonts w:ascii="Times New Roman" w:hAnsi="Times New Roman"/>
                <w:b/>
                <w:bCs/>
                <w:color w:val="000000" w:themeColor="text1"/>
              </w:rPr>
              <w:t>Superficie</w:t>
            </w:r>
            <w:proofErr w:type="spellEnd"/>
            <w:r w:rsidRPr="004600EA">
              <w:rPr>
                <w:rFonts w:ascii="Times New Roman" w:hAnsi="Times New Roman"/>
                <w:b/>
                <w:bCs/>
                <w:color w:val="000000" w:themeColor="text1"/>
              </w:rPr>
              <w:t xml:space="preserve"> (ha)</w:t>
            </w:r>
          </w:p>
        </w:tc>
      </w:tr>
      <w:tr w:rsidR="00BD1A2F" w:rsidRPr="004600EA" w14:paraId="63951912" w14:textId="77777777" w:rsidTr="003A0E4A">
        <w:trPr>
          <w:jc w:val="center"/>
        </w:trPr>
        <w:tc>
          <w:tcPr>
            <w:tcW w:w="0" w:type="auto"/>
          </w:tcPr>
          <w:p w14:paraId="6F0D31B4" w14:textId="77777777" w:rsidR="00DE241D" w:rsidRPr="004600EA" w:rsidRDefault="00DE241D" w:rsidP="00E20250">
            <w:pPr>
              <w:spacing w:line="240" w:lineRule="auto"/>
              <w:rPr>
                <w:rFonts w:ascii="Times New Roman" w:hAnsi="Times New Roman"/>
                <w:bCs/>
                <w:color w:val="000000" w:themeColor="text1"/>
                <w:lang w:val="fr-FR"/>
              </w:rPr>
            </w:pPr>
            <w:r w:rsidRPr="004600EA">
              <w:rPr>
                <w:rFonts w:ascii="Times New Roman" w:hAnsi="Times New Roman"/>
                <w:bCs/>
                <w:color w:val="000000" w:themeColor="text1"/>
              </w:rPr>
              <w:t>BR_NC 10</w:t>
            </w:r>
          </w:p>
        </w:tc>
        <w:tc>
          <w:tcPr>
            <w:tcW w:w="0" w:type="auto"/>
          </w:tcPr>
          <w:p w14:paraId="6838BC1A" w14:textId="77777777" w:rsidR="00DE241D" w:rsidRPr="004600EA" w:rsidRDefault="00DE241D" w:rsidP="00E20250">
            <w:pPr>
              <w:spacing w:line="240" w:lineRule="auto"/>
              <w:jc w:val="center"/>
              <w:rPr>
                <w:rFonts w:ascii="Times New Roman" w:hAnsi="Times New Roman"/>
                <w:bCs/>
                <w:color w:val="000000" w:themeColor="text1"/>
                <w:lang w:val="fr-FR"/>
              </w:rPr>
            </w:pPr>
            <w:r w:rsidRPr="004600EA">
              <w:rPr>
                <w:rFonts w:ascii="Times New Roman" w:hAnsi="Times New Roman"/>
                <w:bCs/>
                <w:color w:val="000000" w:themeColor="text1"/>
              </w:rPr>
              <w:t>0,561</w:t>
            </w:r>
          </w:p>
        </w:tc>
      </w:tr>
      <w:tr w:rsidR="00BD1A2F" w:rsidRPr="004600EA" w14:paraId="50EC2156" w14:textId="77777777" w:rsidTr="003A0E4A">
        <w:trPr>
          <w:jc w:val="center"/>
        </w:trPr>
        <w:tc>
          <w:tcPr>
            <w:tcW w:w="0" w:type="auto"/>
          </w:tcPr>
          <w:p w14:paraId="69EFA965" w14:textId="77777777" w:rsidR="00DE241D" w:rsidRPr="004600EA" w:rsidRDefault="00DE241D" w:rsidP="00E20250">
            <w:pPr>
              <w:spacing w:line="240" w:lineRule="auto"/>
              <w:rPr>
                <w:rFonts w:ascii="Times New Roman" w:hAnsi="Times New Roman"/>
                <w:bCs/>
                <w:color w:val="000000" w:themeColor="text1"/>
                <w:lang w:val="fr-FR"/>
              </w:rPr>
            </w:pPr>
            <w:r w:rsidRPr="004600EA">
              <w:rPr>
                <w:rFonts w:ascii="Times New Roman" w:hAnsi="Times New Roman"/>
                <w:bCs/>
                <w:color w:val="000000" w:themeColor="text1"/>
              </w:rPr>
              <w:t>BR_NC 03d</w:t>
            </w:r>
          </w:p>
        </w:tc>
        <w:tc>
          <w:tcPr>
            <w:tcW w:w="0" w:type="auto"/>
          </w:tcPr>
          <w:p w14:paraId="2A426A13" w14:textId="77777777" w:rsidR="00DE241D" w:rsidRPr="004600EA" w:rsidRDefault="00DE241D" w:rsidP="00E20250">
            <w:pPr>
              <w:spacing w:line="240" w:lineRule="auto"/>
              <w:jc w:val="center"/>
              <w:rPr>
                <w:rFonts w:ascii="Times New Roman" w:hAnsi="Times New Roman"/>
                <w:bCs/>
                <w:color w:val="000000" w:themeColor="text1"/>
                <w:lang w:val="fr-FR"/>
              </w:rPr>
            </w:pPr>
            <w:r w:rsidRPr="004600EA">
              <w:rPr>
                <w:rFonts w:ascii="Times New Roman" w:hAnsi="Times New Roman"/>
                <w:bCs/>
                <w:color w:val="000000" w:themeColor="text1"/>
              </w:rPr>
              <w:t>1,866</w:t>
            </w:r>
          </w:p>
        </w:tc>
      </w:tr>
      <w:tr w:rsidR="00BD1A2F" w:rsidRPr="004600EA" w14:paraId="7E638ECB" w14:textId="77777777" w:rsidTr="003A0E4A">
        <w:trPr>
          <w:jc w:val="center"/>
        </w:trPr>
        <w:tc>
          <w:tcPr>
            <w:tcW w:w="0" w:type="auto"/>
          </w:tcPr>
          <w:p w14:paraId="0DC7B032" w14:textId="77777777" w:rsidR="00DE241D" w:rsidRPr="004600EA" w:rsidRDefault="00DE241D" w:rsidP="00E20250">
            <w:pPr>
              <w:spacing w:line="240" w:lineRule="auto"/>
              <w:rPr>
                <w:rFonts w:ascii="Times New Roman" w:hAnsi="Times New Roman"/>
                <w:bCs/>
                <w:color w:val="000000" w:themeColor="text1"/>
                <w:lang w:val="fr-FR"/>
              </w:rPr>
            </w:pPr>
            <w:r w:rsidRPr="004600EA">
              <w:rPr>
                <w:rFonts w:ascii="Times New Roman" w:hAnsi="Times New Roman"/>
                <w:bCs/>
                <w:color w:val="000000" w:themeColor="text1"/>
              </w:rPr>
              <w:t>BR_NC 09a</w:t>
            </w:r>
          </w:p>
        </w:tc>
        <w:tc>
          <w:tcPr>
            <w:tcW w:w="0" w:type="auto"/>
          </w:tcPr>
          <w:p w14:paraId="40BF1A5F" w14:textId="77777777" w:rsidR="00DE241D" w:rsidRPr="004600EA" w:rsidRDefault="00DE241D" w:rsidP="00E20250">
            <w:pPr>
              <w:spacing w:line="240" w:lineRule="auto"/>
              <w:jc w:val="center"/>
              <w:rPr>
                <w:rFonts w:ascii="Times New Roman" w:hAnsi="Times New Roman"/>
                <w:bCs/>
                <w:color w:val="000000" w:themeColor="text1"/>
                <w:lang w:val="fr-FR"/>
              </w:rPr>
            </w:pPr>
            <w:r w:rsidRPr="004600EA">
              <w:rPr>
                <w:rFonts w:ascii="Times New Roman" w:hAnsi="Times New Roman"/>
                <w:bCs/>
                <w:color w:val="000000" w:themeColor="text1"/>
              </w:rPr>
              <w:t>0,497</w:t>
            </w:r>
          </w:p>
        </w:tc>
      </w:tr>
      <w:tr w:rsidR="00BD1A2F" w:rsidRPr="004600EA" w14:paraId="467626CC" w14:textId="77777777" w:rsidTr="003A0E4A">
        <w:trPr>
          <w:jc w:val="center"/>
        </w:trPr>
        <w:tc>
          <w:tcPr>
            <w:tcW w:w="0" w:type="auto"/>
          </w:tcPr>
          <w:p w14:paraId="4C69EB3F" w14:textId="77777777" w:rsidR="00DE241D" w:rsidRPr="004600EA" w:rsidRDefault="00DE241D" w:rsidP="00E20250">
            <w:pPr>
              <w:spacing w:line="240" w:lineRule="auto"/>
              <w:rPr>
                <w:rFonts w:ascii="Times New Roman" w:hAnsi="Times New Roman"/>
                <w:bCs/>
                <w:color w:val="000000" w:themeColor="text1"/>
                <w:lang w:val="fr-FR"/>
              </w:rPr>
            </w:pPr>
            <w:r w:rsidRPr="004600EA">
              <w:rPr>
                <w:rFonts w:ascii="Times New Roman" w:hAnsi="Times New Roman"/>
                <w:bCs/>
                <w:color w:val="000000" w:themeColor="text1"/>
              </w:rPr>
              <w:t>BR_ND 11</w:t>
            </w:r>
          </w:p>
        </w:tc>
        <w:tc>
          <w:tcPr>
            <w:tcW w:w="0" w:type="auto"/>
          </w:tcPr>
          <w:p w14:paraId="1672A023" w14:textId="77777777" w:rsidR="00DE241D" w:rsidRPr="004600EA" w:rsidRDefault="00DE241D" w:rsidP="00E20250">
            <w:pPr>
              <w:spacing w:line="240" w:lineRule="auto"/>
              <w:jc w:val="center"/>
              <w:rPr>
                <w:rFonts w:ascii="Times New Roman" w:hAnsi="Times New Roman"/>
                <w:bCs/>
                <w:color w:val="000000" w:themeColor="text1"/>
                <w:lang w:val="fr-FR"/>
              </w:rPr>
            </w:pPr>
            <w:r w:rsidRPr="004600EA">
              <w:rPr>
                <w:rFonts w:ascii="Times New Roman" w:hAnsi="Times New Roman"/>
                <w:bCs/>
                <w:color w:val="000000" w:themeColor="text1"/>
              </w:rPr>
              <w:t>1,180</w:t>
            </w:r>
          </w:p>
        </w:tc>
      </w:tr>
      <w:tr w:rsidR="00BD1A2F" w:rsidRPr="004600EA" w14:paraId="4A0F0651" w14:textId="77777777" w:rsidTr="003A0E4A">
        <w:trPr>
          <w:jc w:val="center"/>
        </w:trPr>
        <w:tc>
          <w:tcPr>
            <w:tcW w:w="0" w:type="auto"/>
          </w:tcPr>
          <w:p w14:paraId="3DBB2FE9" w14:textId="77777777" w:rsidR="00DE241D" w:rsidRPr="004600EA" w:rsidRDefault="00DE241D" w:rsidP="00E20250">
            <w:pPr>
              <w:spacing w:line="240" w:lineRule="auto"/>
              <w:rPr>
                <w:rFonts w:ascii="Times New Roman" w:hAnsi="Times New Roman"/>
                <w:bCs/>
                <w:color w:val="000000" w:themeColor="text1"/>
                <w:lang w:val="fr-FR"/>
              </w:rPr>
            </w:pPr>
            <w:r w:rsidRPr="004600EA">
              <w:rPr>
                <w:rFonts w:ascii="Times New Roman" w:hAnsi="Times New Roman"/>
                <w:bCs/>
                <w:color w:val="000000" w:themeColor="text1"/>
              </w:rPr>
              <w:t>BR_ND 20</w:t>
            </w:r>
          </w:p>
        </w:tc>
        <w:tc>
          <w:tcPr>
            <w:tcW w:w="0" w:type="auto"/>
          </w:tcPr>
          <w:p w14:paraId="5129C247" w14:textId="77777777" w:rsidR="00DE241D" w:rsidRPr="004600EA" w:rsidRDefault="00DE241D" w:rsidP="00E20250">
            <w:pPr>
              <w:spacing w:line="240" w:lineRule="auto"/>
              <w:jc w:val="center"/>
              <w:rPr>
                <w:rFonts w:ascii="Times New Roman" w:hAnsi="Times New Roman"/>
                <w:bCs/>
                <w:color w:val="000000" w:themeColor="text1"/>
                <w:lang w:val="fr-FR"/>
              </w:rPr>
            </w:pPr>
            <w:r w:rsidRPr="004600EA">
              <w:rPr>
                <w:rFonts w:ascii="Times New Roman" w:hAnsi="Times New Roman"/>
                <w:bCs/>
                <w:color w:val="000000" w:themeColor="text1"/>
              </w:rPr>
              <w:t>0,912</w:t>
            </w:r>
          </w:p>
        </w:tc>
      </w:tr>
      <w:tr w:rsidR="00BD1A2F" w:rsidRPr="004600EA" w14:paraId="32E20982" w14:textId="77777777" w:rsidTr="003A0E4A">
        <w:trPr>
          <w:jc w:val="center"/>
        </w:trPr>
        <w:tc>
          <w:tcPr>
            <w:tcW w:w="0" w:type="auto"/>
          </w:tcPr>
          <w:p w14:paraId="3D723A2D" w14:textId="77777777" w:rsidR="00DE241D" w:rsidRPr="004600EA" w:rsidRDefault="00DE241D" w:rsidP="00E20250">
            <w:pPr>
              <w:spacing w:line="240" w:lineRule="auto"/>
              <w:rPr>
                <w:rFonts w:ascii="Times New Roman" w:hAnsi="Times New Roman"/>
                <w:bCs/>
                <w:color w:val="000000" w:themeColor="text1"/>
                <w:lang w:val="fr-FR"/>
              </w:rPr>
            </w:pPr>
            <w:r w:rsidRPr="004600EA">
              <w:rPr>
                <w:rFonts w:ascii="Times New Roman" w:hAnsi="Times New Roman"/>
                <w:bCs/>
                <w:color w:val="000000" w:themeColor="text1"/>
              </w:rPr>
              <w:t>BR_ND 41</w:t>
            </w:r>
          </w:p>
        </w:tc>
        <w:tc>
          <w:tcPr>
            <w:tcW w:w="0" w:type="auto"/>
          </w:tcPr>
          <w:p w14:paraId="622EA7A3" w14:textId="77777777" w:rsidR="00DE241D" w:rsidRPr="004600EA" w:rsidRDefault="00DE241D" w:rsidP="00E20250">
            <w:pPr>
              <w:spacing w:line="240" w:lineRule="auto"/>
              <w:jc w:val="center"/>
              <w:rPr>
                <w:rFonts w:ascii="Times New Roman" w:hAnsi="Times New Roman"/>
                <w:bCs/>
                <w:color w:val="000000" w:themeColor="text1"/>
                <w:lang w:val="fr-FR"/>
              </w:rPr>
            </w:pPr>
            <w:r w:rsidRPr="004600EA">
              <w:rPr>
                <w:rFonts w:ascii="Times New Roman" w:hAnsi="Times New Roman"/>
                <w:bCs/>
                <w:color w:val="000000" w:themeColor="text1"/>
              </w:rPr>
              <w:t>0,3</w:t>
            </w:r>
          </w:p>
        </w:tc>
      </w:tr>
      <w:tr w:rsidR="00BD1A2F" w:rsidRPr="004600EA" w14:paraId="0B89F558" w14:textId="77777777" w:rsidTr="003A0E4A">
        <w:trPr>
          <w:jc w:val="center"/>
        </w:trPr>
        <w:tc>
          <w:tcPr>
            <w:tcW w:w="0" w:type="auto"/>
          </w:tcPr>
          <w:p w14:paraId="24938C48" w14:textId="77777777" w:rsidR="00DE241D" w:rsidRPr="004600EA" w:rsidRDefault="00DE241D" w:rsidP="00E20250">
            <w:pPr>
              <w:spacing w:line="240" w:lineRule="auto"/>
              <w:rPr>
                <w:rFonts w:ascii="Times New Roman" w:hAnsi="Times New Roman"/>
                <w:bCs/>
                <w:color w:val="000000" w:themeColor="text1"/>
                <w:lang w:val="fr-FR"/>
              </w:rPr>
            </w:pPr>
            <w:r w:rsidRPr="004600EA">
              <w:rPr>
                <w:rFonts w:ascii="Times New Roman" w:hAnsi="Times New Roman"/>
                <w:bCs/>
                <w:color w:val="000000" w:themeColor="text1"/>
              </w:rPr>
              <w:t>P1</w:t>
            </w:r>
          </w:p>
        </w:tc>
        <w:tc>
          <w:tcPr>
            <w:tcW w:w="0" w:type="auto"/>
          </w:tcPr>
          <w:p w14:paraId="4B7967A5" w14:textId="77777777" w:rsidR="00DE241D" w:rsidRPr="004600EA" w:rsidRDefault="00DE241D" w:rsidP="00E20250">
            <w:pPr>
              <w:spacing w:line="240" w:lineRule="auto"/>
              <w:jc w:val="center"/>
              <w:rPr>
                <w:rFonts w:ascii="Times New Roman" w:hAnsi="Times New Roman"/>
                <w:bCs/>
                <w:color w:val="000000" w:themeColor="text1"/>
                <w:lang w:val="fr-FR"/>
              </w:rPr>
            </w:pPr>
            <w:r w:rsidRPr="004600EA">
              <w:rPr>
                <w:rFonts w:ascii="Times New Roman" w:hAnsi="Times New Roman"/>
                <w:bCs/>
                <w:color w:val="000000" w:themeColor="text1"/>
              </w:rPr>
              <w:t>5,12</w:t>
            </w:r>
          </w:p>
        </w:tc>
      </w:tr>
      <w:tr w:rsidR="00BD1A2F" w:rsidRPr="004600EA" w14:paraId="1E33FBF6" w14:textId="77777777" w:rsidTr="003A0E4A">
        <w:trPr>
          <w:jc w:val="center"/>
        </w:trPr>
        <w:tc>
          <w:tcPr>
            <w:tcW w:w="0" w:type="auto"/>
          </w:tcPr>
          <w:p w14:paraId="4695E0A0" w14:textId="77777777" w:rsidR="00DE241D" w:rsidRPr="004600EA" w:rsidRDefault="00DE241D" w:rsidP="00E20250">
            <w:pPr>
              <w:spacing w:line="240" w:lineRule="auto"/>
              <w:rPr>
                <w:rFonts w:ascii="Times New Roman" w:hAnsi="Times New Roman"/>
                <w:bCs/>
                <w:color w:val="000000" w:themeColor="text1"/>
                <w:lang w:val="fr-FR"/>
              </w:rPr>
            </w:pPr>
            <w:r w:rsidRPr="004600EA">
              <w:rPr>
                <w:rFonts w:ascii="Times New Roman" w:hAnsi="Times New Roman"/>
                <w:bCs/>
                <w:color w:val="000000" w:themeColor="text1"/>
              </w:rPr>
              <w:t>E2-TER</w:t>
            </w:r>
          </w:p>
        </w:tc>
        <w:tc>
          <w:tcPr>
            <w:tcW w:w="0" w:type="auto"/>
          </w:tcPr>
          <w:p w14:paraId="7ED721AE" w14:textId="77777777" w:rsidR="00DE241D" w:rsidRPr="004600EA" w:rsidRDefault="00DE241D" w:rsidP="00E20250">
            <w:pPr>
              <w:spacing w:line="240" w:lineRule="auto"/>
              <w:jc w:val="center"/>
              <w:rPr>
                <w:rFonts w:ascii="Times New Roman" w:hAnsi="Times New Roman"/>
                <w:bCs/>
                <w:color w:val="000000" w:themeColor="text1"/>
                <w:lang w:val="fr-FR"/>
              </w:rPr>
            </w:pPr>
            <w:r w:rsidRPr="004600EA">
              <w:rPr>
                <w:rFonts w:ascii="Times New Roman" w:hAnsi="Times New Roman"/>
                <w:bCs/>
                <w:color w:val="000000" w:themeColor="text1"/>
              </w:rPr>
              <w:t>1,221</w:t>
            </w:r>
          </w:p>
        </w:tc>
      </w:tr>
      <w:tr w:rsidR="00BD1A2F" w:rsidRPr="004600EA" w14:paraId="718DAA18" w14:textId="77777777" w:rsidTr="003A0E4A">
        <w:trPr>
          <w:jc w:val="center"/>
        </w:trPr>
        <w:tc>
          <w:tcPr>
            <w:tcW w:w="0" w:type="auto"/>
          </w:tcPr>
          <w:p w14:paraId="4B55C7A3" w14:textId="77777777" w:rsidR="00DE241D" w:rsidRPr="004600EA" w:rsidRDefault="00DE241D" w:rsidP="00E20250">
            <w:pPr>
              <w:spacing w:line="240" w:lineRule="auto"/>
              <w:rPr>
                <w:rFonts w:ascii="Times New Roman" w:hAnsi="Times New Roman"/>
                <w:bCs/>
                <w:color w:val="000000" w:themeColor="text1"/>
                <w:lang w:val="fr-FR"/>
              </w:rPr>
            </w:pPr>
            <w:r w:rsidRPr="004600EA">
              <w:rPr>
                <w:rFonts w:ascii="Times New Roman" w:hAnsi="Times New Roman"/>
                <w:bCs/>
                <w:color w:val="000000" w:themeColor="text1"/>
              </w:rPr>
              <w:t>BR_NA 16g</w:t>
            </w:r>
          </w:p>
        </w:tc>
        <w:tc>
          <w:tcPr>
            <w:tcW w:w="0" w:type="auto"/>
          </w:tcPr>
          <w:p w14:paraId="34D885B1" w14:textId="77777777" w:rsidR="00DE241D" w:rsidRPr="004600EA" w:rsidRDefault="00DE241D" w:rsidP="00E20250">
            <w:pPr>
              <w:spacing w:line="240" w:lineRule="auto"/>
              <w:jc w:val="center"/>
              <w:rPr>
                <w:rFonts w:ascii="Times New Roman" w:hAnsi="Times New Roman"/>
                <w:bCs/>
                <w:color w:val="000000" w:themeColor="text1"/>
                <w:lang w:val="fr-FR"/>
              </w:rPr>
            </w:pPr>
            <w:r w:rsidRPr="004600EA">
              <w:rPr>
                <w:rFonts w:ascii="Times New Roman" w:hAnsi="Times New Roman"/>
                <w:bCs/>
                <w:color w:val="000000" w:themeColor="text1"/>
              </w:rPr>
              <w:t>2,26</w:t>
            </w:r>
          </w:p>
        </w:tc>
      </w:tr>
      <w:tr w:rsidR="00BD1A2F" w:rsidRPr="004600EA" w14:paraId="3AFC5E3E" w14:textId="77777777" w:rsidTr="003A0E4A">
        <w:trPr>
          <w:jc w:val="center"/>
        </w:trPr>
        <w:tc>
          <w:tcPr>
            <w:tcW w:w="0" w:type="auto"/>
          </w:tcPr>
          <w:p w14:paraId="62C34FE8" w14:textId="77777777" w:rsidR="00DE241D" w:rsidRPr="004600EA" w:rsidRDefault="00DE241D" w:rsidP="00E20250">
            <w:pPr>
              <w:spacing w:line="240" w:lineRule="auto"/>
              <w:rPr>
                <w:rFonts w:ascii="Times New Roman" w:hAnsi="Times New Roman"/>
                <w:bCs/>
                <w:color w:val="000000" w:themeColor="text1"/>
                <w:lang w:val="fr-FR"/>
              </w:rPr>
            </w:pPr>
            <w:r w:rsidRPr="004600EA">
              <w:rPr>
                <w:rFonts w:ascii="Times New Roman" w:hAnsi="Times New Roman"/>
                <w:bCs/>
                <w:color w:val="000000" w:themeColor="text1"/>
              </w:rPr>
              <w:t>BR_NA 09</w:t>
            </w:r>
          </w:p>
        </w:tc>
        <w:tc>
          <w:tcPr>
            <w:tcW w:w="0" w:type="auto"/>
          </w:tcPr>
          <w:p w14:paraId="79DD546A" w14:textId="77777777" w:rsidR="00DE241D" w:rsidRPr="004600EA" w:rsidRDefault="00DE241D" w:rsidP="00E20250">
            <w:pPr>
              <w:spacing w:line="240" w:lineRule="auto"/>
              <w:jc w:val="center"/>
              <w:rPr>
                <w:rFonts w:ascii="Times New Roman" w:hAnsi="Times New Roman"/>
                <w:bCs/>
                <w:color w:val="000000" w:themeColor="text1"/>
                <w:lang w:val="fr-FR"/>
              </w:rPr>
            </w:pPr>
            <w:r w:rsidRPr="004600EA">
              <w:rPr>
                <w:rFonts w:ascii="Times New Roman" w:hAnsi="Times New Roman"/>
                <w:bCs/>
                <w:color w:val="000000" w:themeColor="text1"/>
              </w:rPr>
              <w:t>5,381</w:t>
            </w:r>
          </w:p>
        </w:tc>
      </w:tr>
      <w:tr w:rsidR="00BD1A2F" w:rsidRPr="004600EA" w14:paraId="2B6F1100" w14:textId="77777777" w:rsidTr="003A0E4A">
        <w:trPr>
          <w:jc w:val="center"/>
        </w:trPr>
        <w:tc>
          <w:tcPr>
            <w:tcW w:w="0" w:type="auto"/>
          </w:tcPr>
          <w:p w14:paraId="3116B2BD" w14:textId="77777777" w:rsidR="00DE241D" w:rsidRPr="004600EA" w:rsidRDefault="00DE241D" w:rsidP="00E20250">
            <w:pPr>
              <w:spacing w:line="240" w:lineRule="auto"/>
              <w:rPr>
                <w:rFonts w:ascii="Times New Roman" w:hAnsi="Times New Roman"/>
                <w:bCs/>
                <w:color w:val="000000" w:themeColor="text1"/>
                <w:lang w:val="fr-FR"/>
              </w:rPr>
            </w:pPr>
            <w:r w:rsidRPr="004600EA">
              <w:rPr>
                <w:rFonts w:ascii="Times New Roman" w:hAnsi="Times New Roman"/>
                <w:bCs/>
                <w:color w:val="000000" w:themeColor="text1"/>
              </w:rPr>
              <w:t>Bassin de Mbao (K4-4)</w:t>
            </w:r>
          </w:p>
        </w:tc>
        <w:tc>
          <w:tcPr>
            <w:tcW w:w="0" w:type="auto"/>
          </w:tcPr>
          <w:p w14:paraId="4ED3B90D" w14:textId="77777777" w:rsidR="00DE241D" w:rsidRPr="004600EA" w:rsidRDefault="00DE241D" w:rsidP="00E20250">
            <w:pPr>
              <w:spacing w:line="240" w:lineRule="auto"/>
              <w:jc w:val="center"/>
              <w:rPr>
                <w:rFonts w:ascii="Times New Roman" w:hAnsi="Times New Roman"/>
                <w:bCs/>
                <w:color w:val="000000" w:themeColor="text1"/>
                <w:lang w:val="fr-FR"/>
              </w:rPr>
            </w:pPr>
            <w:r w:rsidRPr="004600EA">
              <w:rPr>
                <w:rFonts w:ascii="Times New Roman" w:hAnsi="Times New Roman"/>
                <w:bCs/>
                <w:color w:val="000000" w:themeColor="text1"/>
              </w:rPr>
              <w:t>0,538</w:t>
            </w:r>
          </w:p>
        </w:tc>
      </w:tr>
      <w:tr w:rsidR="00BD1A2F" w:rsidRPr="004600EA" w14:paraId="3571CF21" w14:textId="77777777" w:rsidTr="003A0E4A">
        <w:trPr>
          <w:jc w:val="center"/>
        </w:trPr>
        <w:tc>
          <w:tcPr>
            <w:tcW w:w="0" w:type="auto"/>
          </w:tcPr>
          <w:p w14:paraId="0F02D347" w14:textId="77777777" w:rsidR="00DE241D" w:rsidRPr="004600EA" w:rsidRDefault="00DE241D" w:rsidP="00E20250">
            <w:pPr>
              <w:spacing w:line="240" w:lineRule="auto"/>
              <w:rPr>
                <w:rFonts w:ascii="Times New Roman" w:hAnsi="Times New Roman"/>
                <w:bCs/>
                <w:color w:val="000000" w:themeColor="text1"/>
                <w:lang w:val="fr-FR"/>
              </w:rPr>
            </w:pPr>
            <w:r w:rsidRPr="004600EA">
              <w:rPr>
                <w:rFonts w:ascii="Times New Roman" w:hAnsi="Times New Roman"/>
                <w:bCs/>
                <w:color w:val="000000" w:themeColor="text1"/>
              </w:rPr>
              <w:t>Bassin B1</w:t>
            </w:r>
          </w:p>
        </w:tc>
        <w:tc>
          <w:tcPr>
            <w:tcW w:w="0" w:type="auto"/>
          </w:tcPr>
          <w:p w14:paraId="7A6FFE0A" w14:textId="77777777" w:rsidR="00DE241D" w:rsidRPr="004600EA" w:rsidRDefault="00DE241D" w:rsidP="00E20250">
            <w:pPr>
              <w:spacing w:line="240" w:lineRule="auto"/>
              <w:jc w:val="center"/>
              <w:rPr>
                <w:rFonts w:ascii="Times New Roman" w:hAnsi="Times New Roman"/>
                <w:bCs/>
                <w:color w:val="000000" w:themeColor="text1"/>
                <w:lang w:val="fr-FR"/>
              </w:rPr>
            </w:pPr>
            <w:r w:rsidRPr="004600EA">
              <w:rPr>
                <w:rFonts w:ascii="Times New Roman" w:hAnsi="Times New Roman"/>
                <w:bCs/>
                <w:color w:val="000000" w:themeColor="text1"/>
              </w:rPr>
              <w:t>0,399</w:t>
            </w:r>
          </w:p>
        </w:tc>
      </w:tr>
      <w:tr w:rsidR="00BD1A2F" w:rsidRPr="004600EA" w14:paraId="62948BD0" w14:textId="77777777" w:rsidTr="003A0E4A">
        <w:trPr>
          <w:jc w:val="center"/>
        </w:trPr>
        <w:tc>
          <w:tcPr>
            <w:tcW w:w="0" w:type="auto"/>
          </w:tcPr>
          <w:p w14:paraId="6A23E473" w14:textId="77777777" w:rsidR="00DE241D" w:rsidRPr="004600EA" w:rsidRDefault="00DE241D" w:rsidP="00E20250">
            <w:pPr>
              <w:spacing w:line="240" w:lineRule="auto"/>
              <w:rPr>
                <w:rFonts w:ascii="Times New Roman" w:hAnsi="Times New Roman"/>
                <w:bCs/>
                <w:color w:val="000000" w:themeColor="text1"/>
                <w:lang w:val="fr-FR"/>
              </w:rPr>
            </w:pPr>
            <w:r w:rsidRPr="004600EA">
              <w:rPr>
                <w:rFonts w:ascii="Times New Roman" w:hAnsi="Times New Roman"/>
                <w:bCs/>
                <w:color w:val="000000" w:themeColor="text1"/>
              </w:rPr>
              <w:t>Bassin R</w:t>
            </w:r>
          </w:p>
        </w:tc>
        <w:tc>
          <w:tcPr>
            <w:tcW w:w="0" w:type="auto"/>
          </w:tcPr>
          <w:p w14:paraId="7E000A35" w14:textId="77777777" w:rsidR="00DE241D" w:rsidRPr="004600EA" w:rsidRDefault="00DE241D" w:rsidP="00E20250">
            <w:pPr>
              <w:spacing w:line="240" w:lineRule="auto"/>
              <w:jc w:val="center"/>
              <w:rPr>
                <w:rFonts w:ascii="Times New Roman" w:hAnsi="Times New Roman"/>
                <w:bCs/>
                <w:color w:val="000000" w:themeColor="text1"/>
                <w:lang w:val="fr-FR"/>
              </w:rPr>
            </w:pPr>
            <w:r w:rsidRPr="004600EA">
              <w:rPr>
                <w:rFonts w:ascii="Times New Roman" w:hAnsi="Times New Roman"/>
                <w:bCs/>
                <w:color w:val="000000" w:themeColor="text1"/>
              </w:rPr>
              <w:t>0,152</w:t>
            </w:r>
          </w:p>
        </w:tc>
      </w:tr>
      <w:tr w:rsidR="00BD1A2F" w:rsidRPr="00632C4D" w14:paraId="7994FA17" w14:textId="77777777" w:rsidTr="003A0E4A">
        <w:trPr>
          <w:jc w:val="center"/>
        </w:trPr>
        <w:tc>
          <w:tcPr>
            <w:tcW w:w="0" w:type="auto"/>
          </w:tcPr>
          <w:p w14:paraId="77C48E70" w14:textId="77777777" w:rsidR="00DE241D" w:rsidRPr="004600EA" w:rsidRDefault="00DE241D" w:rsidP="00E20250">
            <w:pPr>
              <w:spacing w:line="240" w:lineRule="auto"/>
              <w:rPr>
                <w:rFonts w:ascii="Times New Roman" w:hAnsi="Times New Roman"/>
                <w:b/>
                <w:color w:val="000000" w:themeColor="text1"/>
                <w:lang w:val="fr-FR"/>
              </w:rPr>
            </w:pPr>
            <w:proofErr w:type="spellStart"/>
            <w:r w:rsidRPr="004600EA">
              <w:rPr>
                <w:rFonts w:ascii="Times New Roman" w:hAnsi="Times New Roman"/>
                <w:b/>
                <w:color w:val="000000" w:themeColor="text1"/>
              </w:rPr>
              <w:t>Superficie</w:t>
            </w:r>
            <w:proofErr w:type="spellEnd"/>
            <w:r w:rsidRPr="004600EA">
              <w:rPr>
                <w:rFonts w:ascii="Times New Roman" w:hAnsi="Times New Roman"/>
                <w:b/>
                <w:color w:val="000000" w:themeColor="text1"/>
              </w:rPr>
              <w:t xml:space="preserve"> </w:t>
            </w:r>
            <w:proofErr w:type="spellStart"/>
            <w:r w:rsidRPr="004600EA">
              <w:rPr>
                <w:rFonts w:ascii="Times New Roman" w:hAnsi="Times New Roman"/>
                <w:b/>
                <w:color w:val="000000" w:themeColor="text1"/>
              </w:rPr>
              <w:t>totale</w:t>
            </w:r>
            <w:proofErr w:type="spellEnd"/>
          </w:p>
        </w:tc>
        <w:tc>
          <w:tcPr>
            <w:tcW w:w="0" w:type="auto"/>
          </w:tcPr>
          <w:p w14:paraId="4A9963C3" w14:textId="0B6430A6" w:rsidR="00DE241D" w:rsidRPr="0097258B" w:rsidRDefault="0010352B" w:rsidP="00E20250">
            <w:pPr>
              <w:spacing w:line="240" w:lineRule="auto"/>
              <w:jc w:val="center"/>
              <w:rPr>
                <w:rFonts w:ascii="Times New Roman" w:hAnsi="Times New Roman"/>
                <w:b/>
                <w:color w:val="000000" w:themeColor="text1"/>
                <w:lang w:val="fr-FR"/>
              </w:rPr>
            </w:pPr>
            <w:r w:rsidRPr="004600EA">
              <w:rPr>
                <w:rFonts w:ascii="Times New Roman" w:hAnsi="Times New Roman"/>
                <w:b/>
                <w:color w:val="000000" w:themeColor="text1"/>
              </w:rPr>
              <w:fldChar w:fldCharType="begin"/>
            </w:r>
            <w:r w:rsidRPr="004600EA">
              <w:rPr>
                <w:rFonts w:ascii="Times New Roman" w:hAnsi="Times New Roman"/>
                <w:b/>
                <w:color w:val="000000" w:themeColor="text1"/>
              </w:rPr>
              <w:instrText xml:space="preserve"> =SUM(ABOVE) </w:instrText>
            </w:r>
            <w:r w:rsidRPr="004600EA">
              <w:rPr>
                <w:rFonts w:ascii="Times New Roman" w:hAnsi="Times New Roman"/>
                <w:b/>
                <w:color w:val="000000" w:themeColor="text1"/>
              </w:rPr>
              <w:fldChar w:fldCharType="separate"/>
            </w:r>
            <w:r w:rsidR="006C7666" w:rsidRPr="004600EA">
              <w:rPr>
                <w:rFonts w:ascii="Times New Roman" w:hAnsi="Times New Roman"/>
                <w:b/>
                <w:noProof/>
                <w:color w:val="000000" w:themeColor="text1"/>
              </w:rPr>
              <w:t>20,387</w:t>
            </w:r>
            <w:r w:rsidRPr="004600EA">
              <w:rPr>
                <w:rFonts w:ascii="Times New Roman" w:hAnsi="Times New Roman"/>
                <w:b/>
                <w:color w:val="000000" w:themeColor="text1"/>
              </w:rPr>
              <w:fldChar w:fldCharType="end"/>
            </w:r>
          </w:p>
        </w:tc>
      </w:tr>
    </w:tbl>
    <w:p w14:paraId="11BFA0E3" w14:textId="77777777" w:rsidR="004600EA" w:rsidRDefault="004600EA" w:rsidP="0097258B">
      <w:pPr>
        <w:spacing w:line="240" w:lineRule="auto"/>
        <w:jc w:val="both"/>
        <w:rPr>
          <w:rFonts w:ascii="Times New Roman" w:hAnsi="Times New Roman"/>
          <w:bCs/>
          <w:color w:val="000000" w:themeColor="text1"/>
        </w:rPr>
      </w:pPr>
    </w:p>
    <w:p w14:paraId="737CBDDC" w14:textId="7F8BE892" w:rsidR="002E053E" w:rsidRPr="00260790" w:rsidRDefault="00DE241D" w:rsidP="0097258B">
      <w:pPr>
        <w:spacing w:line="240" w:lineRule="auto"/>
        <w:jc w:val="both"/>
        <w:rPr>
          <w:rFonts w:ascii="Times New Roman" w:eastAsia="Times New Roman" w:hAnsi="Times New Roman"/>
          <w:i/>
          <w:iCs/>
          <w:color w:val="000000" w:themeColor="text1"/>
          <w:lang w:eastAsia="fr-FR"/>
        </w:rPr>
      </w:pPr>
      <w:r w:rsidRPr="00260790">
        <w:rPr>
          <w:rFonts w:ascii="Times New Roman" w:hAnsi="Times New Roman"/>
          <w:bCs/>
          <w:color w:val="000000" w:themeColor="text1"/>
        </w:rPr>
        <w:t>Ci-dessous le résumé de l’analyse des changements d’affectation des emprises des bassins.</w:t>
      </w:r>
    </w:p>
    <w:p w14:paraId="599A9362" w14:textId="1E5DA014" w:rsidR="00DE241D" w:rsidRPr="00260790" w:rsidRDefault="00DE241D" w:rsidP="00E20250">
      <w:pPr>
        <w:pStyle w:val="Lgende"/>
        <w:keepNext/>
        <w:tabs>
          <w:tab w:val="left" w:pos="2130"/>
        </w:tabs>
        <w:spacing w:line="240" w:lineRule="auto"/>
        <w:rPr>
          <w:color w:val="000000" w:themeColor="text1"/>
          <w:sz w:val="22"/>
          <w:szCs w:val="22"/>
        </w:rPr>
      </w:pPr>
      <w:bookmarkStart w:id="638" w:name="_Toc207781896"/>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55</w:t>
      </w:r>
      <w:r w:rsidRPr="00260790">
        <w:rPr>
          <w:color w:val="000000" w:themeColor="text1"/>
          <w:sz w:val="22"/>
          <w:szCs w:val="22"/>
        </w:rPr>
        <w:fldChar w:fldCharType="end"/>
      </w:r>
      <w:r w:rsidRPr="00260790">
        <w:rPr>
          <w:color w:val="000000" w:themeColor="text1"/>
          <w:sz w:val="22"/>
          <w:szCs w:val="22"/>
        </w:rPr>
        <w:t> : résumé de l’analyse des changements d’affectation des emprises des bassins</w:t>
      </w:r>
      <w:bookmarkEnd w:id="638"/>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24"/>
        <w:gridCol w:w="1330"/>
        <w:gridCol w:w="236"/>
        <w:gridCol w:w="953"/>
        <w:gridCol w:w="227"/>
        <w:gridCol w:w="884"/>
        <w:gridCol w:w="290"/>
        <w:gridCol w:w="1571"/>
        <w:gridCol w:w="129"/>
        <w:gridCol w:w="1616"/>
      </w:tblGrid>
      <w:tr w:rsidR="00BD1A2F" w:rsidRPr="00632C4D" w14:paraId="30840EC9" w14:textId="77777777" w:rsidTr="003A0E4A">
        <w:trPr>
          <w:trHeight w:val="234"/>
        </w:trPr>
        <w:tc>
          <w:tcPr>
            <w:tcW w:w="5000" w:type="pct"/>
            <w:gridSpan w:val="10"/>
            <w:shd w:val="clear" w:color="auto" w:fill="D9E2F3" w:themeFill="accent5" w:themeFillTint="33"/>
          </w:tcPr>
          <w:p w14:paraId="1A14F191" w14:textId="77777777" w:rsidR="00DE241D" w:rsidRPr="0097258B" w:rsidRDefault="00DE241D" w:rsidP="00E20250">
            <w:pPr>
              <w:spacing w:line="240" w:lineRule="auto"/>
              <w:rPr>
                <w:rFonts w:ascii="Times New Roman" w:hAnsi="Times New Roman"/>
                <w:b/>
                <w:bCs/>
                <w:i/>
                <w:iCs/>
                <w:color w:val="000000" w:themeColor="text1"/>
                <w:sz w:val="20"/>
                <w:szCs w:val="20"/>
                <w:lang w:val="fr-FR"/>
              </w:rPr>
            </w:pPr>
            <w:r w:rsidRPr="00301AF6">
              <w:rPr>
                <w:rFonts w:ascii="Times New Roman" w:hAnsi="Times New Roman"/>
                <w:b/>
                <w:bCs/>
                <w:i/>
                <w:iCs/>
                <w:color w:val="000000" w:themeColor="text1"/>
                <w:sz w:val="20"/>
                <w:szCs w:val="20"/>
                <w:lang w:val="fr-FR"/>
              </w:rPr>
              <w:t>IN-10. Changement d’affectation des emprises des bassins</w:t>
            </w:r>
          </w:p>
        </w:tc>
      </w:tr>
      <w:tr w:rsidR="00BD1A2F" w:rsidRPr="00632C4D" w14:paraId="5F09E8D9" w14:textId="77777777" w:rsidTr="003A0E4A">
        <w:trPr>
          <w:trHeight w:val="58"/>
        </w:trPr>
        <w:tc>
          <w:tcPr>
            <w:tcW w:w="5000" w:type="pct"/>
            <w:gridSpan w:val="10"/>
          </w:tcPr>
          <w:p w14:paraId="5537F6F5"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b/>
                <w:bCs/>
                <w:color w:val="000000" w:themeColor="text1"/>
                <w:sz w:val="20"/>
                <w:szCs w:val="20"/>
                <w:lang w:val="fr-FR"/>
              </w:rPr>
              <w:t>Source d’impacts :</w:t>
            </w:r>
            <w:r w:rsidRPr="00301AF6">
              <w:rPr>
                <w:rFonts w:ascii="Times New Roman" w:hAnsi="Times New Roman" w:cs="Times New Roman"/>
                <w:color w:val="000000" w:themeColor="text1"/>
                <w:sz w:val="20"/>
                <w:szCs w:val="20"/>
                <w:lang w:val="fr-FR"/>
              </w:rPr>
              <w:t xml:space="preserve"> Acquisition et libération des emprises</w:t>
            </w:r>
          </w:p>
        </w:tc>
      </w:tr>
      <w:tr w:rsidR="00BD1A2F" w:rsidRPr="00632C4D" w14:paraId="458F6347" w14:textId="77777777" w:rsidTr="003A0E4A">
        <w:trPr>
          <w:trHeight w:val="58"/>
        </w:trPr>
        <w:tc>
          <w:tcPr>
            <w:tcW w:w="1007" w:type="pct"/>
          </w:tcPr>
          <w:p w14:paraId="1A36B07D"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Critère</w:t>
            </w:r>
            <w:proofErr w:type="spellEnd"/>
          </w:p>
        </w:tc>
        <w:tc>
          <w:tcPr>
            <w:tcW w:w="864" w:type="pct"/>
            <w:gridSpan w:val="2"/>
          </w:tcPr>
          <w:p w14:paraId="3F1D7537"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Intensité</w:t>
            </w:r>
            <w:proofErr w:type="spellEnd"/>
          </w:p>
        </w:tc>
        <w:tc>
          <w:tcPr>
            <w:tcW w:w="651" w:type="pct"/>
            <w:gridSpan w:val="2"/>
          </w:tcPr>
          <w:p w14:paraId="68269598" w14:textId="677CC127" w:rsidR="00DE241D" w:rsidRPr="0097258B" w:rsidRDefault="00E23E20"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É</w:t>
            </w:r>
            <w:r w:rsidR="00DE241D" w:rsidRPr="0097258B">
              <w:rPr>
                <w:rFonts w:ascii="Times New Roman" w:hAnsi="Times New Roman" w:cs="Times New Roman"/>
                <w:b/>
                <w:bCs/>
                <w:color w:val="000000" w:themeColor="text1"/>
                <w:sz w:val="20"/>
                <w:szCs w:val="20"/>
              </w:rPr>
              <w:t>tendue</w:t>
            </w:r>
            <w:proofErr w:type="spellEnd"/>
          </w:p>
        </w:tc>
        <w:tc>
          <w:tcPr>
            <w:tcW w:w="648" w:type="pct"/>
            <w:gridSpan w:val="2"/>
          </w:tcPr>
          <w:p w14:paraId="2B45E786"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Durée</w:t>
            </w:r>
          </w:p>
        </w:tc>
        <w:tc>
          <w:tcPr>
            <w:tcW w:w="867" w:type="pct"/>
          </w:tcPr>
          <w:p w14:paraId="33CFCA76"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Importance</w:t>
            </w:r>
          </w:p>
        </w:tc>
        <w:tc>
          <w:tcPr>
            <w:tcW w:w="962" w:type="pct"/>
            <w:gridSpan w:val="2"/>
          </w:tcPr>
          <w:p w14:paraId="4596CEFC" w14:textId="77777777" w:rsidR="00DE241D" w:rsidRPr="0097258B" w:rsidRDefault="00DE241D" w:rsidP="00E20250">
            <w:pPr>
              <w:pStyle w:val="Normaltableau0"/>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Réversibilité</w:t>
            </w:r>
            <w:proofErr w:type="spellEnd"/>
          </w:p>
        </w:tc>
      </w:tr>
      <w:tr w:rsidR="00BD1A2F" w:rsidRPr="00632C4D" w14:paraId="55A8D6EE" w14:textId="77777777" w:rsidTr="003A0E4A">
        <w:trPr>
          <w:trHeight w:val="58"/>
        </w:trPr>
        <w:tc>
          <w:tcPr>
            <w:tcW w:w="1007" w:type="pct"/>
          </w:tcPr>
          <w:p w14:paraId="28E06A72"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Sans </w:t>
            </w:r>
            <w:proofErr w:type="spellStart"/>
            <w:r w:rsidRPr="0097258B">
              <w:rPr>
                <w:rFonts w:ascii="Times New Roman" w:hAnsi="Times New Roman" w:cs="Times New Roman"/>
                <w:color w:val="000000" w:themeColor="text1"/>
                <w:sz w:val="20"/>
                <w:szCs w:val="20"/>
              </w:rPr>
              <w:t>atténuation</w:t>
            </w:r>
            <w:proofErr w:type="spellEnd"/>
          </w:p>
        </w:tc>
        <w:tc>
          <w:tcPr>
            <w:tcW w:w="864" w:type="pct"/>
            <w:gridSpan w:val="2"/>
          </w:tcPr>
          <w:p w14:paraId="44604E1D"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Moyenne</w:t>
            </w:r>
          </w:p>
        </w:tc>
        <w:tc>
          <w:tcPr>
            <w:tcW w:w="651" w:type="pct"/>
            <w:gridSpan w:val="2"/>
          </w:tcPr>
          <w:p w14:paraId="3DA178F0"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Locale</w:t>
            </w:r>
          </w:p>
        </w:tc>
        <w:tc>
          <w:tcPr>
            <w:tcW w:w="648" w:type="pct"/>
            <w:gridSpan w:val="2"/>
          </w:tcPr>
          <w:p w14:paraId="76A9772F"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Longue</w:t>
            </w:r>
          </w:p>
        </w:tc>
        <w:tc>
          <w:tcPr>
            <w:tcW w:w="867" w:type="pct"/>
            <w:shd w:val="clear" w:color="auto" w:fill="FF0000"/>
          </w:tcPr>
          <w:p w14:paraId="5E4E4AC5"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Majeure</w:t>
            </w:r>
          </w:p>
        </w:tc>
        <w:tc>
          <w:tcPr>
            <w:tcW w:w="962" w:type="pct"/>
            <w:gridSpan w:val="2"/>
          </w:tcPr>
          <w:p w14:paraId="7C975BC7" w14:textId="77777777" w:rsidR="00DE241D" w:rsidRPr="0097258B" w:rsidRDefault="00DE241D" w:rsidP="00E20250">
            <w:pPr>
              <w:pStyle w:val="Normaltableau0"/>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Réversible</w:t>
            </w:r>
            <w:proofErr w:type="spellEnd"/>
          </w:p>
        </w:tc>
      </w:tr>
      <w:tr w:rsidR="00BD1A2F" w:rsidRPr="00632C4D" w14:paraId="61E1EDAE" w14:textId="77777777" w:rsidTr="003A0E4A">
        <w:trPr>
          <w:trHeight w:val="365"/>
        </w:trPr>
        <w:tc>
          <w:tcPr>
            <w:tcW w:w="1007" w:type="pct"/>
          </w:tcPr>
          <w:p w14:paraId="494A4931"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d’atténuation</w:t>
            </w:r>
            <w:proofErr w:type="spellEnd"/>
          </w:p>
        </w:tc>
        <w:tc>
          <w:tcPr>
            <w:tcW w:w="3993" w:type="pct"/>
            <w:gridSpan w:val="9"/>
          </w:tcPr>
          <w:p w14:paraId="41E6C9BF" w14:textId="77777777" w:rsidR="00DE241D" w:rsidRPr="0097258B" w:rsidRDefault="00DE241D" w:rsidP="001748C6">
            <w:pPr>
              <w:pStyle w:val="Default"/>
              <w:numPr>
                <w:ilvl w:val="0"/>
                <w:numId w:val="302"/>
              </w:numPr>
              <w:overflowPunct w:val="0"/>
              <w:ind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Respecter la procédure d’expropriation pour utilité publique ;</w:t>
            </w:r>
          </w:p>
          <w:p w14:paraId="4DD68245" w14:textId="77777777" w:rsidR="00DE241D" w:rsidRPr="0097258B" w:rsidRDefault="00DE241D" w:rsidP="001748C6">
            <w:pPr>
              <w:pStyle w:val="Default"/>
              <w:numPr>
                <w:ilvl w:val="0"/>
                <w:numId w:val="302"/>
              </w:numPr>
              <w:overflowPunct w:val="0"/>
              <w:ind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Aménager des aires de jeu et des espaces verts pour les jeunes qui auraient perdu leurs terrains ;</w:t>
            </w:r>
          </w:p>
          <w:p w14:paraId="395081C2" w14:textId="380AE57C" w:rsidR="00DE241D" w:rsidRPr="0097258B" w:rsidRDefault="00E60FA9" w:rsidP="001748C6">
            <w:pPr>
              <w:pStyle w:val="Default"/>
              <w:numPr>
                <w:ilvl w:val="0"/>
                <w:numId w:val="302"/>
              </w:numPr>
              <w:overflowPunct w:val="0"/>
              <w:ind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É</w:t>
            </w:r>
            <w:r w:rsidR="00DE241D" w:rsidRPr="0097258B">
              <w:rPr>
                <w:rFonts w:ascii="Times New Roman" w:hAnsi="Times New Roman" w:cs="Times New Roman"/>
                <w:color w:val="000000" w:themeColor="text1"/>
                <w:sz w:val="20"/>
                <w:szCs w:val="20"/>
              </w:rPr>
              <w:t>laborer</w:t>
            </w:r>
            <w:proofErr w:type="spellEnd"/>
            <w:r w:rsidR="00DE241D" w:rsidRPr="0097258B">
              <w:rPr>
                <w:rFonts w:ascii="Times New Roman" w:hAnsi="Times New Roman" w:cs="Times New Roman"/>
                <w:color w:val="000000" w:themeColor="text1"/>
                <w:sz w:val="20"/>
                <w:szCs w:val="20"/>
              </w:rPr>
              <w:t xml:space="preserve"> un </w:t>
            </w:r>
            <w:proofErr w:type="gramStart"/>
            <w:r w:rsidR="00DE241D" w:rsidRPr="0097258B">
              <w:rPr>
                <w:rFonts w:ascii="Times New Roman" w:hAnsi="Times New Roman" w:cs="Times New Roman"/>
                <w:color w:val="000000" w:themeColor="text1"/>
                <w:sz w:val="20"/>
                <w:szCs w:val="20"/>
              </w:rPr>
              <w:t>PAR ;</w:t>
            </w:r>
            <w:proofErr w:type="gramEnd"/>
          </w:p>
          <w:p w14:paraId="608ED082" w14:textId="77777777" w:rsidR="00DE241D" w:rsidRPr="0097258B" w:rsidRDefault="00DE241D" w:rsidP="001748C6">
            <w:pPr>
              <w:pStyle w:val="Default"/>
              <w:numPr>
                <w:ilvl w:val="0"/>
                <w:numId w:val="302"/>
              </w:numPr>
              <w:overflowPunct w:val="0"/>
              <w:ind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Former les éleveurs locaux à l’embouche et leur faire des dotations d’aliments de bétail le temps qu’ils s’habituent à la nouvelle donne.</w:t>
            </w:r>
          </w:p>
        </w:tc>
      </w:tr>
      <w:tr w:rsidR="00BD1A2F" w:rsidRPr="00632C4D" w14:paraId="10B2E4F6" w14:textId="77777777" w:rsidTr="003A0E4A">
        <w:trPr>
          <w:trHeight w:val="101"/>
        </w:trPr>
        <w:tc>
          <w:tcPr>
            <w:tcW w:w="1007" w:type="pct"/>
          </w:tcPr>
          <w:p w14:paraId="33681FFA"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Avec </w:t>
            </w:r>
            <w:proofErr w:type="spellStart"/>
            <w:r w:rsidRPr="0097258B">
              <w:rPr>
                <w:rFonts w:ascii="Times New Roman" w:hAnsi="Times New Roman" w:cs="Times New Roman"/>
                <w:color w:val="000000" w:themeColor="text1"/>
                <w:sz w:val="20"/>
                <w:szCs w:val="20"/>
              </w:rPr>
              <w:t>atténuation</w:t>
            </w:r>
            <w:proofErr w:type="spellEnd"/>
          </w:p>
        </w:tc>
        <w:tc>
          <w:tcPr>
            <w:tcW w:w="734" w:type="pct"/>
          </w:tcPr>
          <w:p w14:paraId="3C9F85A6"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Faible</w:t>
            </w:r>
            <w:proofErr w:type="spellEnd"/>
          </w:p>
        </w:tc>
        <w:tc>
          <w:tcPr>
            <w:tcW w:w="656" w:type="pct"/>
            <w:gridSpan w:val="2"/>
          </w:tcPr>
          <w:p w14:paraId="4ED70440"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Ponctuelle</w:t>
            </w:r>
            <w:proofErr w:type="spellEnd"/>
          </w:p>
        </w:tc>
        <w:tc>
          <w:tcPr>
            <w:tcW w:w="613" w:type="pct"/>
            <w:gridSpan w:val="2"/>
          </w:tcPr>
          <w:p w14:paraId="29CAE803"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Courte</w:t>
            </w:r>
          </w:p>
        </w:tc>
        <w:tc>
          <w:tcPr>
            <w:tcW w:w="1098" w:type="pct"/>
            <w:gridSpan w:val="3"/>
            <w:shd w:val="clear" w:color="auto" w:fill="FFFF00"/>
          </w:tcPr>
          <w:p w14:paraId="68338FFB"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Mineure</w:t>
            </w:r>
            <w:proofErr w:type="spellEnd"/>
          </w:p>
        </w:tc>
        <w:tc>
          <w:tcPr>
            <w:tcW w:w="891" w:type="pct"/>
          </w:tcPr>
          <w:p w14:paraId="1D2788AC" w14:textId="77777777" w:rsidR="00DE241D" w:rsidRPr="0097258B" w:rsidRDefault="00DE241D" w:rsidP="00E20250">
            <w:pPr>
              <w:pStyle w:val="TableParagraph"/>
              <w:rPr>
                <w:color w:val="000000" w:themeColor="text1"/>
                <w:sz w:val="20"/>
                <w:szCs w:val="20"/>
                <w:lang w:val="fr-FR"/>
              </w:rPr>
            </w:pPr>
          </w:p>
        </w:tc>
      </w:tr>
    </w:tbl>
    <w:p w14:paraId="3A0666DE" w14:textId="77777777" w:rsidR="00DE241D" w:rsidRPr="00260790" w:rsidRDefault="00DE241D" w:rsidP="00F83414">
      <w:pPr>
        <w:spacing w:after="0" w:line="240" w:lineRule="auto"/>
        <w:jc w:val="both"/>
        <w:rPr>
          <w:rFonts w:ascii="Times New Roman" w:hAnsi="Times New Roman"/>
          <w:bCs/>
          <w:iCs/>
          <w:color w:val="000000" w:themeColor="text1"/>
        </w:rPr>
      </w:pPr>
    </w:p>
    <w:p w14:paraId="22A520A7" w14:textId="77777777" w:rsidR="00DE241D" w:rsidRPr="00260790" w:rsidRDefault="00DE241D" w:rsidP="001748C6">
      <w:pPr>
        <w:pStyle w:val="Paragraphedeliste"/>
        <w:numPr>
          <w:ilvl w:val="0"/>
          <w:numId w:val="317"/>
        </w:numPr>
        <w:spacing w:after="0" w:line="240" w:lineRule="auto"/>
        <w:jc w:val="both"/>
        <w:rPr>
          <w:rFonts w:ascii="Times New Roman" w:hAnsi="Times New Roman"/>
          <w:b/>
          <w:i/>
          <w:color w:val="000000" w:themeColor="text1"/>
        </w:rPr>
      </w:pPr>
      <w:r w:rsidRPr="00260790">
        <w:rPr>
          <w:rFonts w:ascii="Times New Roman" w:hAnsi="Times New Roman"/>
          <w:b/>
          <w:i/>
          <w:color w:val="000000" w:themeColor="text1"/>
        </w:rPr>
        <w:t>IN-11. Destruction d’ouvrages d’irrigation</w:t>
      </w:r>
    </w:p>
    <w:p w14:paraId="33E25D84" w14:textId="1512AA9B"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site du bassin </w:t>
      </w:r>
      <w:r w:rsidRPr="00260790">
        <w:rPr>
          <w:rFonts w:ascii="Times New Roman" w:hAnsi="Times New Roman"/>
          <w:bCs/>
          <w:color w:val="000000" w:themeColor="text1"/>
        </w:rPr>
        <w:t>BR_NA 16g</w:t>
      </w:r>
      <w:r w:rsidRPr="00260790">
        <w:rPr>
          <w:rFonts w:ascii="Times New Roman" w:hAnsi="Times New Roman"/>
          <w:color w:val="000000" w:themeColor="text1"/>
        </w:rPr>
        <w:t xml:space="preserve"> renferme des ouvrages (bacs) d’irrigation de périmètres maraîchers. L’aménagement de ce site entrainera dont la destruction de ces ouvrages. Ci-dessous le résumé de l’analyse de la destruction des ouvrages d’irrigation.</w:t>
      </w:r>
    </w:p>
    <w:p w14:paraId="0C164202" w14:textId="474E6760" w:rsidR="00DE241D" w:rsidRPr="00260790" w:rsidRDefault="00DE241D" w:rsidP="00E20250">
      <w:pPr>
        <w:pStyle w:val="Lgende"/>
        <w:keepNext/>
        <w:spacing w:line="240" w:lineRule="auto"/>
        <w:rPr>
          <w:color w:val="000000" w:themeColor="text1"/>
          <w:sz w:val="22"/>
          <w:szCs w:val="22"/>
        </w:rPr>
      </w:pPr>
      <w:bookmarkStart w:id="639" w:name="_Toc207781897"/>
      <w:r w:rsidRPr="00260790">
        <w:rPr>
          <w:color w:val="000000" w:themeColor="text1"/>
          <w:sz w:val="22"/>
          <w:szCs w:val="22"/>
        </w:rPr>
        <w:lastRenderedPageBreak/>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56</w:t>
      </w:r>
      <w:r w:rsidRPr="00260790">
        <w:rPr>
          <w:color w:val="000000" w:themeColor="text1"/>
          <w:sz w:val="22"/>
          <w:szCs w:val="22"/>
        </w:rPr>
        <w:fldChar w:fldCharType="end"/>
      </w:r>
      <w:r w:rsidRPr="00260790">
        <w:rPr>
          <w:color w:val="000000" w:themeColor="text1"/>
          <w:sz w:val="22"/>
          <w:szCs w:val="22"/>
        </w:rPr>
        <w:t> : résumé de l’analyse de la destruction des ouvrages d’irrigation</w:t>
      </w:r>
      <w:bookmarkEnd w:id="639"/>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24"/>
        <w:gridCol w:w="1330"/>
        <w:gridCol w:w="236"/>
        <w:gridCol w:w="953"/>
        <w:gridCol w:w="227"/>
        <w:gridCol w:w="884"/>
        <w:gridCol w:w="290"/>
        <w:gridCol w:w="1571"/>
        <w:gridCol w:w="129"/>
        <w:gridCol w:w="1616"/>
      </w:tblGrid>
      <w:tr w:rsidR="00BD1A2F" w:rsidRPr="00632C4D" w14:paraId="07CAA583" w14:textId="77777777" w:rsidTr="003A0E4A">
        <w:trPr>
          <w:trHeight w:val="234"/>
        </w:trPr>
        <w:tc>
          <w:tcPr>
            <w:tcW w:w="5000" w:type="pct"/>
            <w:gridSpan w:val="10"/>
            <w:shd w:val="clear" w:color="auto" w:fill="D9E2F3" w:themeFill="accent5" w:themeFillTint="33"/>
          </w:tcPr>
          <w:p w14:paraId="4CEEFF72" w14:textId="77777777" w:rsidR="00DE241D" w:rsidRPr="0097258B" w:rsidRDefault="00DE241D" w:rsidP="00E20250">
            <w:pPr>
              <w:spacing w:line="240" w:lineRule="auto"/>
              <w:jc w:val="both"/>
              <w:rPr>
                <w:rFonts w:ascii="Times New Roman" w:hAnsi="Times New Roman"/>
                <w:b/>
                <w:i/>
                <w:color w:val="000000" w:themeColor="text1"/>
                <w:sz w:val="20"/>
                <w:szCs w:val="20"/>
                <w:lang w:val="fr-FR"/>
              </w:rPr>
            </w:pPr>
            <w:r w:rsidRPr="0097258B">
              <w:rPr>
                <w:rFonts w:ascii="Times New Roman" w:hAnsi="Times New Roman"/>
                <w:b/>
                <w:i/>
                <w:color w:val="000000" w:themeColor="text1"/>
                <w:sz w:val="20"/>
                <w:szCs w:val="20"/>
              </w:rPr>
              <w:t xml:space="preserve">IN-.11 Destruction </w:t>
            </w:r>
            <w:proofErr w:type="spellStart"/>
            <w:r w:rsidRPr="0097258B">
              <w:rPr>
                <w:rFonts w:ascii="Times New Roman" w:hAnsi="Times New Roman"/>
                <w:b/>
                <w:i/>
                <w:color w:val="000000" w:themeColor="text1"/>
                <w:sz w:val="20"/>
                <w:szCs w:val="20"/>
              </w:rPr>
              <w:t>d’ouvrages</w:t>
            </w:r>
            <w:proofErr w:type="spellEnd"/>
            <w:r w:rsidRPr="0097258B">
              <w:rPr>
                <w:rFonts w:ascii="Times New Roman" w:hAnsi="Times New Roman"/>
                <w:b/>
                <w:i/>
                <w:color w:val="000000" w:themeColor="text1"/>
                <w:sz w:val="20"/>
                <w:szCs w:val="20"/>
              </w:rPr>
              <w:t xml:space="preserve"> irrigation</w:t>
            </w:r>
          </w:p>
        </w:tc>
      </w:tr>
      <w:tr w:rsidR="00BD1A2F" w:rsidRPr="00632C4D" w14:paraId="1A0AACD0" w14:textId="77777777" w:rsidTr="003A0E4A">
        <w:trPr>
          <w:trHeight w:val="58"/>
        </w:trPr>
        <w:tc>
          <w:tcPr>
            <w:tcW w:w="5000" w:type="pct"/>
            <w:gridSpan w:val="10"/>
          </w:tcPr>
          <w:p w14:paraId="043C580D"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b/>
                <w:bCs/>
                <w:color w:val="000000" w:themeColor="text1"/>
                <w:sz w:val="20"/>
                <w:szCs w:val="20"/>
                <w:lang w:val="fr-FR"/>
              </w:rPr>
              <w:t>Source d’impacts :</w:t>
            </w:r>
            <w:r w:rsidRPr="00301AF6">
              <w:rPr>
                <w:rFonts w:ascii="Times New Roman" w:hAnsi="Times New Roman" w:cs="Times New Roman"/>
                <w:color w:val="000000" w:themeColor="text1"/>
                <w:sz w:val="20"/>
                <w:szCs w:val="20"/>
                <w:lang w:val="fr-FR"/>
              </w:rPr>
              <w:t xml:space="preserve"> Aménagement des bassins</w:t>
            </w:r>
          </w:p>
        </w:tc>
      </w:tr>
      <w:tr w:rsidR="00BD1A2F" w:rsidRPr="00632C4D" w14:paraId="119E7061" w14:textId="77777777" w:rsidTr="003A0E4A">
        <w:trPr>
          <w:trHeight w:val="58"/>
        </w:trPr>
        <w:tc>
          <w:tcPr>
            <w:tcW w:w="1007" w:type="pct"/>
          </w:tcPr>
          <w:p w14:paraId="269462FC"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Critère</w:t>
            </w:r>
            <w:proofErr w:type="spellEnd"/>
          </w:p>
        </w:tc>
        <w:tc>
          <w:tcPr>
            <w:tcW w:w="864" w:type="pct"/>
            <w:gridSpan w:val="2"/>
          </w:tcPr>
          <w:p w14:paraId="25A61299"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Intensité</w:t>
            </w:r>
            <w:proofErr w:type="spellEnd"/>
          </w:p>
        </w:tc>
        <w:tc>
          <w:tcPr>
            <w:tcW w:w="651" w:type="pct"/>
            <w:gridSpan w:val="2"/>
          </w:tcPr>
          <w:p w14:paraId="6F244222" w14:textId="0827A6A6" w:rsidR="00DE241D" w:rsidRPr="0097258B" w:rsidRDefault="00E23E20"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É</w:t>
            </w:r>
            <w:r w:rsidR="00DE241D" w:rsidRPr="0097258B">
              <w:rPr>
                <w:rFonts w:ascii="Times New Roman" w:hAnsi="Times New Roman" w:cs="Times New Roman"/>
                <w:b/>
                <w:bCs/>
                <w:color w:val="000000" w:themeColor="text1"/>
                <w:sz w:val="20"/>
                <w:szCs w:val="20"/>
              </w:rPr>
              <w:t>tendue</w:t>
            </w:r>
            <w:proofErr w:type="spellEnd"/>
          </w:p>
        </w:tc>
        <w:tc>
          <w:tcPr>
            <w:tcW w:w="648" w:type="pct"/>
            <w:gridSpan w:val="2"/>
          </w:tcPr>
          <w:p w14:paraId="5D0A084A"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Durée</w:t>
            </w:r>
          </w:p>
        </w:tc>
        <w:tc>
          <w:tcPr>
            <w:tcW w:w="867" w:type="pct"/>
          </w:tcPr>
          <w:p w14:paraId="64ECD520"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Importance</w:t>
            </w:r>
          </w:p>
        </w:tc>
        <w:tc>
          <w:tcPr>
            <w:tcW w:w="962" w:type="pct"/>
            <w:gridSpan w:val="2"/>
          </w:tcPr>
          <w:p w14:paraId="6CB90916" w14:textId="77777777" w:rsidR="00DE241D" w:rsidRPr="0097258B" w:rsidRDefault="00DE241D" w:rsidP="00E20250">
            <w:pPr>
              <w:pStyle w:val="Normaltableau0"/>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Réversibilité</w:t>
            </w:r>
            <w:proofErr w:type="spellEnd"/>
          </w:p>
        </w:tc>
      </w:tr>
      <w:tr w:rsidR="00BD1A2F" w:rsidRPr="00632C4D" w14:paraId="64036857" w14:textId="77777777" w:rsidTr="003A0E4A">
        <w:trPr>
          <w:trHeight w:val="58"/>
        </w:trPr>
        <w:tc>
          <w:tcPr>
            <w:tcW w:w="1007" w:type="pct"/>
          </w:tcPr>
          <w:p w14:paraId="0649F58F"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Sans </w:t>
            </w:r>
            <w:proofErr w:type="spellStart"/>
            <w:r w:rsidRPr="0097258B">
              <w:rPr>
                <w:rFonts w:ascii="Times New Roman" w:hAnsi="Times New Roman" w:cs="Times New Roman"/>
                <w:color w:val="000000" w:themeColor="text1"/>
                <w:sz w:val="20"/>
                <w:szCs w:val="20"/>
              </w:rPr>
              <w:t>atténuation</w:t>
            </w:r>
            <w:proofErr w:type="spellEnd"/>
          </w:p>
        </w:tc>
        <w:tc>
          <w:tcPr>
            <w:tcW w:w="864" w:type="pct"/>
            <w:gridSpan w:val="2"/>
          </w:tcPr>
          <w:p w14:paraId="5E5E2AE4"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Faible</w:t>
            </w:r>
            <w:proofErr w:type="spellEnd"/>
          </w:p>
        </w:tc>
        <w:tc>
          <w:tcPr>
            <w:tcW w:w="651" w:type="pct"/>
            <w:gridSpan w:val="2"/>
          </w:tcPr>
          <w:p w14:paraId="5DA052A7"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Locale</w:t>
            </w:r>
          </w:p>
        </w:tc>
        <w:tc>
          <w:tcPr>
            <w:tcW w:w="648" w:type="pct"/>
            <w:gridSpan w:val="2"/>
          </w:tcPr>
          <w:p w14:paraId="6A8FCB19"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Longue</w:t>
            </w:r>
          </w:p>
        </w:tc>
        <w:tc>
          <w:tcPr>
            <w:tcW w:w="867" w:type="pct"/>
            <w:shd w:val="clear" w:color="auto" w:fill="FFFF00"/>
          </w:tcPr>
          <w:p w14:paraId="296F76A5"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Mineure</w:t>
            </w:r>
            <w:proofErr w:type="spellEnd"/>
            <w:r w:rsidRPr="0097258B">
              <w:rPr>
                <w:rFonts w:ascii="Times New Roman" w:hAnsi="Times New Roman" w:cs="Times New Roman"/>
                <w:b/>
                <w:bCs/>
                <w:color w:val="000000" w:themeColor="text1"/>
                <w:sz w:val="20"/>
                <w:szCs w:val="20"/>
              </w:rPr>
              <w:t xml:space="preserve"> </w:t>
            </w:r>
          </w:p>
        </w:tc>
        <w:tc>
          <w:tcPr>
            <w:tcW w:w="962" w:type="pct"/>
            <w:gridSpan w:val="2"/>
          </w:tcPr>
          <w:p w14:paraId="34275562" w14:textId="77777777" w:rsidR="00DE241D" w:rsidRPr="0097258B" w:rsidRDefault="00DE241D" w:rsidP="00E20250">
            <w:pPr>
              <w:pStyle w:val="Normaltableau0"/>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Réversible</w:t>
            </w:r>
            <w:proofErr w:type="spellEnd"/>
          </w:p>
        </w:tc>
      </w:tr>
      <w:tr w:rsidR="00BD1A2F" w:rsidRPr="00632C4D" w14:paraId="0BFCFD92" w14:textId="77777777" w:rsidTr="003A0E4A">
        <w:trPr>
          <w:trHeight w:val="365"/>
        </w:trPr>
        <w:tc>
          <w:tcPr>
            <w:tcW w:w="1007" w:type="pct"/>
          </w:tcPr>
          <w:p w14:paraId="71C6C657"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d’atténuation</w:t>
            </w:r>
            <w:proofErr w:type="spellEnd"/>
          </w:p>
        </w:tc>
        <w:tc>
          <w:tcPr>
            <w:tcW w:w="3993" w:type="pct"/>
            <w:gridSpan w:val="9"/>
          </w:tcPr>
          <w:p w14:paraId="71B3F7A8" w14:textId="77777777" w:rsidR="00DE241D" w:rsidRPr="0097258B" w:rsidRDefault="00DE241D" w:rsidP="001748C6">
            <w:pPr>
              <w:pStyle w:val="Default"/>
              <w:numPr>
                <w:ilvl w:val="0"/>
                <w:numId w:val="302"/>
              </w:numPr>
              <w:overflowPunct w:val="0"/>
              <w:ind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Respecter la procédure d’expropriation pour utilité publique ;</w:t>
            </w:r>
          </w:p>
          <w:p w14:paraId="2030D235" w14:textId="77777777" w:rsidR="00DE241D" w:rsidRPr="0097258B" w:rsidRDefault="00DE241D" w:rsidP="001748C6">
            <w:pPr>
              <w:pStyle w:val="Default"/>
              <w:numPr>
                <w:ilvl w:val="0"/>
                <w:numId w:val="302"/>
              </w:numPr>
              <w:overflowPunct w:val="0"/>
              <w:ind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Compenser les bassins selon les barèmes les plus favorables aux propriétaires</w:t>
            </w:r>
          </w:p>
        </w:tc>
      </w:tr>
      <w:tr w:rsidR="00BD1A2F" w:rsidRPr="00632C4D" w14:paraId="41FB3698" w14:textId="77777777" w:rsidTr="003A0E4A">
        <w:trPr>
          <w:trHeight w:val="101"/>
        </w:trPr>
        <w:tc>
          <w:tcPr>
            <w:tcW w:w="1007" w:type="pct"/>
          </w:tcPr>
          <w:p w14:paraId="03987401"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Avec </w:t>
            </w:r>
            <w:proofErr w:type="spellStart"/>
            <w:r w:rsidRPr="0097258B">
              <w:rPr>
                <w:rFonts w:ascii="Times New Roman" w:hAnsi="Times New Roman" w:cs="Times New Roman"/>
                <w:color w:val="000000" w:themeColor="text1"/>
                <w:sz w:val="20"/>
                <w:szCs w:val="20"/>
              </w:rPr>
              <w:t>atténuation</w:t>
            </w:r>
            <w:proofErr w:type="spellEnd"/>
          </w:p>
        </w:tc>
        <w:tc>
          <w:tcPr>
            <w:tcW w:w="734" w:type="pct"/>
          </w:tcPr>
          <w:p w14:paraId="0AA6F30E"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Faible</w:t>
            </w:r>
            <w:proofErr w:type="spellEnd"/>
          </w:p>
        </w:tc>
        <w:tc>
          <w:tcPr>
            <w:tcW w:w="656" w:type="pct"/>
            <w:gridSpan w:val="2"/>
          </w:tcPr>
          <w:p w14:paraId="41C70567"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Ponctuelle</w:t>
            </w:r>
            <w:proofErr w:type="spellEnd"/>
          </w:p>
        </w:tc>
        <w:tc>
          <w:tcPr>
            <w:tcW w:w="613" w:type="pct"/>
            <w:gridSpan w:val="2"/>
          </w:tcPr>
          <w:p w14:paraId="0B27056E"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Courte</w:t>
            </w:r>
          </w:p>
        </w:tc>
        <w:tc>
          <w:tcPr>
            <w:tcW w:w="1098" w:type="pct"/>
            <w:gridSpan w:val="3"/>
            <w:shd w:val="clear" w:color="auto" w:fill="FFFFFF" w:themeFill="background1"/>
          </w:tcPr>
          <w:p w14:paraId="73080B99"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Négligeable</w:t>
            </w:r>
            <w:proofErr w:type="spellEnd"/>
            <w:r w:rsidRPr="0097258B">
              <w:rPr>
                <w:rFonts w:ascii="Times New Roman" w:hAnsi="Times New Roman" w:cs="Times New Roman"/>
                <w:b/>
                <w:bCs/>
                <w:color w:val="000000" w:themeColor="text1"/>
                <w:sz w:val="20"/>
                <w:szCs w:val="20"/>
              </w:rPr>
              <w:t xml:space="preserve">  </w:t>
            </w:r>
          </w:p>
        </w:tc>
        <w:tc>
          <w:tcPr>
            <w:tcW w:w="891" w:type="pct"/>
          </w:tcPr>
          <w:p w14:paraId="16B1E718" w14:textId="77777777" w:rsidR="00DE241D" w:rsidRPr="0097258B" w:rsidRDefault="00DE241D" w:rsidP="00E20250">
            <w:pPr>
              <w:pStyle w:val="TableParagraph"/>
              <w:rPr>
                <w:color w:val="000000" w:themeColor="text1"/>
                <w:sz w:val="20"/>
                <w:szCs w:val="20"/>
                <w:lang w:val="fr-FR"/>
              </w:rPr>
            </w:pPr>
          </w:p>
        </w:tc>
      </w:tr>
    </w:tbl>
    <w:p w14:paraId="5D6A4BDE" w14:textId="77777777" w:rsidR="00DE241D" w:rsidRPr="00260790" w:rsidRDefault="00DE241D" w:rsidP="00E20250">
      <w:pPr>
        <w:spacing w:after="0" w:line="240" w:lineRule="auto"/>
        <w:jc w:val="both"/>
        <w:rPr>
          <w:rFonts w:ascii="Times New Roman" w:hAnsi="Times New Roman"/>
          <w:color w:val="000000" w:themeColor="text1"/>
          <w:highlight w:val="yellow"/>
        </w:rPr>
      </w:pPr>
    </w:p>
    <w:p w14:paraId="1F07DDF5" w14:textId="77777777" w:rsidR="00DE241D" w:rsidRPr="00260790" w:rsidRDefault="00DE241D" w:rsidP="001748C6">
      <w:pPr>
        <w:pStyle w:val="Paragraphedeliste"/>
        <w:numPr>
          <w:ilvl w:val="0"/>
          <w:numId w:val="316"/>
        </w:numPr>
        <w:spacing w:after="0"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IN-12. Perte d’accès à des terres à vocation résidentielle (lotissement) et destruction du bâti</w:t>
      </w:r>
    </w:p>
    <w:p w14:paraId="0BDAC192" w14:textId="58960A6A"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La mise en œuvre entrainera la perte d’accès à des lotissement</w:t>
      </w:r>
      <w:r w:rsidR="004E43D7" w:rsidRPr="00260790">
        <w:rPr>
          <w:rFonts w:ascii="Times New Roman" w:hAnsi="Times New Roman"/>
          <w:color w:val="000000" w:themeColor="text1"/>
        </w:rPr>
        <w:t>s</w:t>
      </w:r>
      <w:r w:rsidRPr="00260790">
        <w:rPr>
          <w:rFonts w:ascii="Times New Roman" w:hAnsi="Times New Roman"/>
          <w:color w:val="000000" w:themeColor="text1"/>
        </w:rPr>
        <w:t xml:space="preserve"> et des destructions de bâtiments, de fondations de bâtiments et de clôtures.</w:t>
      </w:r>
    </w:p>
    <w:p w14:paraId="6240AF0A"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Les sites concernés sont présentés ci-dessous :</w:t>
      </w:r>
    </w:p>
    <w:tbl>
      <w:tblPr>
        <w:tblStyle w:val="Grilledutableau"/>
        <w:tblW w:w="0" w:type="auto"/>
        <w:tblLook w:val="04A0" w:firstRow="1" w:lastRow="0" w:firstColumn="1" w:lastColumn="0" w:noHBand="0" w:noVBand="1"/>
      </w:tblPr>
      <w:tblGrid>
        <w:gridCol w:w="2404"/>
        <w:gridCol w:w="6656"/>
      </w:tblGrid>
      <w:tr w:rsidR="00BD1A2F" w:rsidRPr="00632C4D" w14:paraId="56559449" w14:textId="77777777" w:rsidTr="003A0E4A">
        <w:tc>
          <w:tcPr>
            <w:tcW w:w="2547" w:type="dxa"/>
          </w:tcPr>
          <w:p w14:paraId="66880AE4" w14:textId="77777777" w:rsidR="00DE241D" w:rsidRPr="0097258B" w:rsidRDefault="00DE241D" w:rsidP="00E20250">
            <w:pPr>
              <w:spacing w:line="240" w:lineRule="auto"/>
              <w:rPr>
                <w:rFonts w:ascii="Times New Roman" w:hAnsi="Times New Roman"/>
                <w:color w:val="000000" w:themeColor="text1"/>
                <w:highlight w:val="yellow"/>
                <w:lang w:val="fr-FR"/>
              </w:rPr>
            </w:pPr>
            <w:r w:rsidRPr="00632C4D">
              <w:rPr>
                <w:rFonts w:ascii="Times New Roman" w:hAnsi="Times New Roman"/>
                <w:bCs/>
                <w:color w:val="000000" w:themeColor="text1"/>
              </w:rPr>
              <w:t>BR_NC 10</w:t>
            </w:r>
          </w:p>
        </w:tc>
        <w:tc>
          <w:tcPr>
            <w:tcW w:w="7153" w:type="dxa"/>
          </w:tcPr>
          <w:p w14:paraId="0C16BB20" w14:textId="77777777" w:rsidR="00DE241D" w:rsidRPr="0097258B" w:rsidRDefault="00DE241D" w:rsidP="00E20250">
            <w:pPr>
              <w:spacing w:line="240" w:lineRule="auto"/>
              <w:rPr>
                <w:rFonts w:ascii="Times New Roman" w:hAnsi="Times New Roman"/>
                <w:bCs/>
                <w:color w:val="000000" w:themeColor="text1"/>
                <w:lang w:val="fr-FR"/>
              </w:rPr>
            </w:pPr>
            <w:r w:rsidRPr="00301AF6">
              <w:rPr>
                <w:rFonts w:ascii="Times New Roman" w:hAnsi="Times New Roman"/>
                <w:bCs/>
                <w:color w:val="000000" w:themeColor="text1"/>
                <w:lang w:val="fr-FR"/>
              </w:rPr>
              <w:t>2 parcelles clôturées ;</w:t>
            </w:r>
          </w:p>
          <w:p w14:paraId="5F157C7C" w14:textId="77777777" w:rsidR="00DE241D" w:rsidRPr="0097258B" w:rsidRDefault="00DE241D" w:rsidP="00E20250">
            <w:pPr>
              <w:spacing w:line="240" w:lineRule="auto"/>
              <w:rPr>
                <w:rFonts w:ascii="Times New Roman" w:hAnsi="Times New Roman"/>
                <w:color w:val="000000" w:themeColor="text1"/>
                <w:highlight w:val="yellow"/>
                <w:lang w:val="fr-FR"/>
              </w:rPr>
            </w:pPr>
            <w:r w:rsidRPr="00301AF6">
              <w:rPr>
                <w:rFonts w:ascii="Times New Roman" w:hAnsi="Times New Roman"/>
                <w:bCs/>
                <w:color w:val="000000" w:themeColor="text1"/>
                <w:lang w:val="fr-FR"/>
              </w:rPr>
              <w:t>1 bâtiment en construction</w:t>
            </w:r>
          </w:p>
        </w:tc>
      </w:tr>
      <w:tr w:rsidR="00BD1A2F" w:rsidRPr="00632C4D" w14:paraId="19012EC6" w14:textId="77777777" w:rsidTr="003A0E4A">
        <w:tc>
          <w:tcPr>
            <w:tcW w:w="2547" w:type="dxa"/>
          </w:tcPr>
          <w:p w14:paraId="2C269C4C" w14:textId="77777777" w:rsidR="00DE241D" w:rsidRPr="0097258B" w:rsidRDefault="00DE241D" w:rsidP="00E20250">
            <w:pPr>
              <w:spacing w:line="240" w:lineRule="auto"/>
              <w:rPr>
                <w:rFonts w:ascii="Times New Roman" w:hAnsi="Times New Roman"/>
                <w:color w:val="000000" w:themeColor="text1"/>
                <w:highlight w:val="yellow"/>
                <w:lang w:val="fr-FR"/>
              </w:rPr>
            </w:pPr>
            <w:r w:rsidRPr="00632C4D">
              <w:rPr>
                <w:rFonts w:ascii="Times New Roman" w:hAnsi="Times New Roman"/>
                <w:bCs/>
                <w:color w:val="000000" w:themeColor="text1"/>
              </w:rPr>
              <w:t>BR_NC 03d</w:t>
            </w:r>
          </w:p>
        </w:tc>
        <w:tc>
          <w:tcPr>
            <w:tcW w:w="7153" w:type="dxa"/>
          </w:tcPr>
          <w:p w14:paraId="6046D90A" w14:textId="77777777" w:rsidR="00DE241D" w:rsidRPr="0097258B" w:rsidRDefault="00DE241D" w:rsidP="00E20250">
            <w:pPr>
              <w:spacing w:line="240" w:lineRule="auto"/>
              <w:rPr>
                <w:rFonts w:ascii="Times New Roman" w:hAnsi="Times New Roman"/>
                <w:color w:val="000000" w:themeColor="text1"/>
                <w:highlight w:val="yellow"/>
                <w:lang w:val="fr-FR"/>
              </w:rPr>
            </w:pPr>
            <w:r w:rsidRPr="00632C4D">
              <w:rPr>
                <w:rFonts w:ascii="Times New Roman" w:hAnsi="Times New Roman"/>
                <w:bCs/>
                <w:color w:val="000000" w:themeColor="text1"/>
              </w:rPr>
              <w:t xml:space="preserve">1 </w:t>
            </w:r>
            <w:proofErr w:type="spellStart"/>
            <w:r w:rsidRPr="00632C4D">
              <w:rPr>
                <w:rFonts w:ascii="Times New Roman" w:hAnsi="Times New Roman"/>
                <w:bCs/>
                <w:color w:val="000000" w:themeColor="text1"/>
              </w:rPr>
              <w:t>lotissement</w:t>
            </w:r>
            <w:proofErr w:type="spellEnd"/>
          </w:p>
        </w:tc>
      </w:tr>
      <w:tr w:rsidR="00BD1A2F" w:rsidRPr="00632C4D" w14:paraId="02214BF7" w14:textId="77777777" w:rsidTr="003A0E4A">
        <w:tc>
          <w:tcPr>
            <w:tcW w:w="2547" w:type="dxa"/>
          </w:tcPr>
          <w:p w14:paraId="5D6C291C" w14:textId="77777777" w:rsidR="00DE241D" w:rsidRPr="0097258B" w:rsidRDefault="00DE241D" w:rsidP="00E20250">
            <w:pPr>
              <w:spacing w:line="240" w:lineRule="auto"/>
              <w:rPr>
                <w:rFonts w:ascii="Times New Roman" w:hAnsi="Times New Roman"/>
                <w:color w:val="000000" w:themeColor="text1"/>
                <w:highlight w:val="yellow"/>
                <w:lang w:val="fr-FR"/>
              </w:rPr>
            </w:pPr>
            <w:r w:rsidRPr="00632C4D">
              <w:rPr>
                <w:rFonts w:ascii="Times New Roman" w:hAnsi="Times New Roman"/>
                <w:bCs/>
                <w:color w:val="000000" w:themeColor="text1"/>
              </w:rPr>
              <w:t>P1</w:t>
            </w:r>
          </w:p>
        </w:tc>
        <w:tc>
          <w:tcPr>
            <w:tcW w:w="7153" w:type="dxa"/>
          </w:tcPr>
          <w:p w14:paraId="19720671" w14:textId="77777777" w:rsidR="00DE241D" w:rsidRPr="0097258B" w:rsidRDefault="00DE241D" w:rsidP="00E20250">
            <w:pPr>
              <w:spacing w:line="240" w:lineRule="auto"/>
              <w:rPr>
                <w:rFonts w:ascii="Times New Roman" w:hAnsi="Times New Roman"/>
                <w:bCs/>
                <w:color w:val="000000" w:themeColor="text1"/>
                <w:lang w:val="fr-FR"/>
              </w:rPr>
            </w:pPr>
            <w:r w:rsidRPr="00632C4D">
              <w:rPr>
                <w:rFonts w:ascii="Times New Roman" w:hAnsi="Times New Roman"/>
                <w:bCs/>
                <w:color w:val="000000" w:themeColor="text1"/>
              </w:rPr>
              <w:t xml:space="preserve">1 </w:t>
            </w:r>
            <w:proofErr w:type="spellStart"/>
            <w:r w:rsidRPr="00632C4D">
              <w:rPr>
                <w:rFonts w:ascii="Times New Roman" w:hAnsi="Times New Roman"/>
                <w:bCs/>
                <w:color w:val="000000" w:themeColor="text1"/>
              </w:rPr>
              <w:t>bâtiment</w:t>
            </w:r>
            <w:proofErr w:type="spellEnd"/>
            <w:r w:rsidRPr="00632C4D">
              <w:rPr>
                <w:rFonts w:ascii="Times New Roman" w:hAnsi="Times New Roman"/>
                <w:bCs/>
                <w:color w:val="000000" w:themeColor="text1"/>
              </w:rPr>
              <w:t xml:space="preserve"> </w:t>
            </w:r>
            <w:proofErr w:type="spellStart"/>
            <w:r w:rsidRPr="00632C4D">
              <w:rPr>
                <w:rFonts w:ascii="Times New Roman" w:hAnsi="Times New Roman"/>
                <w:bCs/>
                <w:color w:val="000000" w:themeColor="text1"/>
              </w:rPr>
              <w:t>en</w:t>
            </w:r>
            <w:proofErr w:type="spellEnd"/>
            <w:r w:rsidRPr="00632C4D">
              <w:rPr>
                <w:rFonts w:ascii="Times New Roman" w:hAnsi="Times New Roman"/>
                <w:bCs/>
                <w:color w:val="000000" w:themeColor="text1"/>
              </w:rPr>
              <w:t xml:space="preserve"> </w:t>
            </w:r>
            <w:proofErr w:type="gramStart"/>
            <w:r w:rsidRPr="00632C4D">
              <w:rPr>
                <w:rFonts w:ascii="Times New Roman" w:hAnsi="Times New Roman"/>
                <w:bCs/>
                <w:color w:val="000000" w:themeColor="text1"/>
              </w:rPr>
              <w:t>construction ;</w:t>
            </w:r>
            <w:proofErr w:type="gramEnd"/>
          </w:p>
          <w:p w14:paraId="466DECC6" w14:textId="77777777" w:rsidR="00DE241D" w:rsidRPr="0097258B" w:rsidRDefault="00DE241D" w:rsidP="00E20250">
            <w:pPr>
              <w:spacing w:line="240" w:lineRule="auto"/>
              <w:rPr>
                <w:rFonts w:ascii="Times New Roman" w:hAnsi="Times New Roman"/>
                <w:color w:val="000000" w:themeColor="text1"/>
                <w:highlight w:val="yellow"/>
                <w:lang w:val="fr-FR"/>
              </w:rPr>
            </w:pPr>
            <w:r w:rsidRPr="00632C4D">
              <w:rPr>
                <w:rFonts w:ascii="Times New Roman" w:hAnsi="Times New Roman"/>
                <w:color w:val="000000" w:themeColor="text1"/>
              </w:rPr>
              <w:t>1</w:t>
            </w:r>
            <w:r w:rsidRPr="00632C4D">
              <w:rPr>
                <w:rFonts w:ascii="Times New Roman" w:hAnsi="Times New Roman"/>
                <w:bCs/>
                <w:color w:val="000000" w:themeColor="text1"/>
              </w:rPr>
              <w:t xml:space="preserve"> </w:t>
            </w:r>
            <w:proofErr w:type="spellStart"/>
            <w:r w:rsidRPr="00632C4D">
              <w:rPr>
                <w:rFonts w:ascii="Times New Roman" w:hAnsi="Times New Roman"/>
                <w:bCs/>
                <w:color w:val="000000" w:themeColor="text1"/>
              </w:rPr>
              <w:t>lotissement</w:t>
            </w:r>
            <w:proofErr w:type="spellEnd"/>
          </w:p>
        </w:tc>
      </w:tr>
      <w:tr w:rsidR="00BD1A2F" w:rsidRPr="00632C4D" w14:paraId="0E1F1F08" w14:textId="77777777" w:rsidTr="003A0E4A">
        <w:tc>
          <w:tcPr>
            <w:tcW w:w="2547" w:type="dxa"/>
          </w:tcPr>
          <w:p w14:paraId="526BE2A6" w14:textId="77777777" w:rsidR="00DE241D" w:rsidRPr="0097258B" w:rsidRDefault="00DE241D" w:rsidP="00E20250">
            <w:pPr>
              <w:spacing w:line="240" w:lineRule="auto"/>
              <w:rPr>
                <w:rFonts w:ascii="Times New Roman" w:hAnsi="Times New Roman"/>
                <w:bCs/>
                <w:color w:val="000000" w:themeColor="text1"/>
                <w:lang w:val="fr-FR"/>
              </w:rPr>
            </w:pPr>
            <w:r w:rsidRPr="00632C4D">
              <w:rPr>
                <w:rFonts w:ascii="Times New Roman" w:hAnsi="Times New Roman"/>
                <w:bCs/>
                <w:color w:val="000000" w:themeColor="text1"/>
              </w:rPr>
              <w:t>E2-TER</w:t>
            </w:r>
          </w:p>
        </w:tc>
        <w:tc>
          <w:tcPr>
            <w:tcW w:w="7153" w:type="dxa"/>
          </w:tcPr>
          <w:p w14:paraId="0FE2E2AF" w14:textId="77777777" w:rsidR="00DE241D" w:rsidRPr="0097258B" w:rsidRDefault="00DE241D" w:rsidP="00E20250">
            <w:pPr>
              <w:spacing w:line="240" w:lineRule="auto"/>
              <w:rPr>
                <w:rFonts w:ascii="Times New Roman" w:hAnsi="Times New Roman"/>
                <w:bCs/>
                <w:color w:val="000000" w:themeColor="text1"/>
                <w:lang w:val="fr-FR"/>
              </w:rPr>
            </w:pPr>
            <w:r w:rsidRPr="00632C4D">
              <w:rPr>
                <w:rFonts w:ascii="Times New Roman" w:hAnsi="Times New Roman"/>
                <w:bCs/>
                <w:color w:val="000000" w:themeColor="text1"/>
              </w:rPr>
              <w:t xml:space="preserve">Deux maisons </w:t>
            </w:r>
            <w:proofErr w:type="spellStart"/>
            <w:r w:rsidRPr="00632C4D">
              <w:rPr>
                <w:rFonts w:ascii="Times New Roman" w:hAnsi="Times New Roman"/>
                <w:bCs/>
                <w:color w:val="000000" w:themeColor="text1"/>
              </w:rPr>
              <w:t>en</w:t>
            </w:r>
            <w:proofErr w:type="spellEnd"/>
            <w:r w:rsidRPr="00632C4D">
              <w:rPr>
                <w:rFonts w:ascii="Times New Roman" w:hAnsi="Times New Roman"/>
                <w:bCs/>
                <w:color w:val="000000" w:themeColor="text1"/>
              </w:rPr>
              <w:t xml:space="preserve"> construction</w:t>
            </w:r>
          </w:p>
        </w:tc>
      </w:tr>
      <w:tr w:rsidR="00BD1A2F" w:rsidRPr="00632C4D" w14:paraId="6565C7BD" w14:textId="77777777" w:rsidTr="003A0E4A">
        <w:tc>
          <w:tcPr>
            <w:tcW w:w="2547" w:type="dxa"/>
          </w:tcPr>
          <w:p w14:paraId="5AF62602" w14:textId="77777777" w:rsidR="00DE241D" w:rsidRPr="0097258B" w:rsidRDefault="00DE241D" w:rsidP="00E20250">
            <w:pPr>
              <w:spacing w:line="240" w:lineRule="auto"/>
              <w:rPr>
                <w:rFonts w:ascii="Times New Roman" w:hAnsi="Times New Roman"/>
                <w:bCs/>
                <w:color w:val="000000" w:themeColor="text1"/>
                <w:lang w:val="fr-FR"/>
              </w:rPr>
            </w:pPr>
            <w:r w:rsidRPr="00632C4D">
              <w:rPr>
                <w:rFonts w:ascii="Times New Roman" w:hAnsi="Times New Roman"/>
                <w:bCs/>
                <w:color w:val="000000" w:themeColor="text1"/>
              </w:rPr>
              <w:t>Bassin de Mbao (K4-4)</w:t>
            </w:r>
          </w:p>
        </w:tc>
        <w:tc>
          <w:tcPr>
            <w:tcW w:w="7153" w:type="dxa"/>
          </w:tcPr>
          <w:p w14:paraId="301D0C18" w14:textId="04F804A9" w:rsidR="00DE241D" w:rsidRPr="0097258B" w:rsidRDefault="00DE241D" w:rsidP="00E20250">
            <w:pPr>
              <w:spacing w:line="240" w:lineRule="auto"/>
              <w:rPr>
                <w:rFonts w:ascii="Times New Roman" w:hAnsi="Times New Roman"/>
                <w:bCs/>
                <w:color w:val="000000" w:themeColor="text1"/>
                <w:lang w:val="fr-FR"/>
              </w:rPr>
            </w:pPr>
            <w:r w:rsidRPr="00301AF6">
              <w:rPr>
                <w:rFonts w:ascii="Times New Roman" w:hAnsi="Times New Roman"/>
                <w:bCs/>
                <w:color w:val="000000" w:themeColor="text1"/>
                <w:lang w:val="fr-FR"/>
              </w:rPr>
              <w:t>9 bâtiments</w:t>
            </w:r>
            <w:r w:rsidR="004E43D7" w:rsidRPr="00301AF6">
              <w:rPr>
                <w:rFonts w:ascii="Times New Roman" w:hAnsi="Times New Roman"/>
                <w:bCs/>
                <w:color w:val="000000" w:themeColor="text1"/>
                <w:lang w:val="fr-FR"/>
              </w:rPr>
              <w:t>,</w:t>
            </w:r>
            <w:r w:rsidRPr="00301AF6">
              <w:rPr>
                <w:rFonts w:ascii="Times New Roman" w:hAnsi="Times New Roman"/>
                <w:bCs/>
                <w:color w:val="000000" w:themeColor="text1"/>
                <w:lang w:val="fr-FR"/>
              </w:rPr>
              <w:t xml:space="preserve"> dont un</w:t>
            </w:r>
            <w:r w:rsidR="004E43D7" w:rsidRPr="00301AF6">
              <w:rPr>
                <w:rFonts w:ascii="Times New Roman" w:hAnsi="Times New Roman"/>
                <w:bCs/>
                <w:color w:val="000000" w:themeColor="text1"/>
                <w:lang w:val="fr-FR"/>
              </w:rPr>
              <w:t>,</w:t>
            </w:r>
            <w:r w:rsidRPr="00301AF6">
              <w:rPr>
                <w:rFonts w:ascii="Times New Roman" w:hAnsi="Times New Roman"/>
                <w:bCs/>
                <w:color w:val="000000" w:themeColor="text1"/>
                <w:lang w:val="fr-FR"/>
              </w:rPr>
              <w:t xml:space="preserve"> servant d’école privée </w:t>
            </w:r>
          </w:p>
        </w:tc>
      </w:tr>
      <w:tr w:rsidR="00BD1A2F" w:rsidRPr="00632C4D" w14:paraId="224679F2" w14:textId="77777777" w:rsidTr="003A0E4A">
        <w:tc>
          <w:tcPr>
            <w:tcW w:w="2547" w:type="dxa"/>
          </w:tcPr>
          <w:p w14:paraId="0CAC8165" w14:textId="77777777" w:rsidR="00DE241D" w:rsidRPr="0097258B" w:rsidRDefault="00DE241D" w:rsidP="00E20250">
            <w:pPr>
              <w:spacing w:line="240" w:lineRule="auto"/>
              <w:rPr>
                <w:rFonts w:ascii="Times New Roman" w:hAnsi="Times New Roman"/>
                <w:bCs/>
                <w:color w:val="000000" w:themeColor="text1"/>
                <w:lang w:val="fr-FR"/>
              </w:rPr>
            </w:pPr>
            <w:r w:rsidRPr="00632C4D">
              <w:rPr>
                <w:rFonts w:ascii="Times New Roman" w:hAnsi="Times New Roman"/>
                <w:bCs/>
                <w:color w:val="000000" w:themeColor="text1"/>
              </w:rPr>
              <w:t>Bassin B1</w:t>
            </w:r>
          </w:p>
        </w:tc>
        <w:tc>
          <w:tcPr>
            <w:tcW w:w="7153" w:type="dxa"/>
          </w:tcPr>
          <w:p w14:paraId="50ECAA1A" w14:textId="77777777" w:rsidR="00DE241D" w:rsidRPr="0097258B" w:rsidRDefault="00DE241D" w:rsidP="00E20250">
            <w:pPr>
              <w:spacing w:line="240" w:lineRule="auto"/>
              <w:rPr>
                <w:rFonts w:ascii="Times New Roman" w:hAnsi="Times New Roman"/>
                <w:bCs/>
                <w:color w:val="000000" w:themeColor="text1"/>
                <w:lang w:val="fr-FR"/>
              </w:rPr>
            </w:pPr>
            <w:r w:rsidRPr="00301AF6">
              <w:rPr>
                <w:rFonts w:ascii="Times New Roman" w:hAnsi="Times New Roman"/>
                <w:bCs/>
                <w:color w:val="000000" w:themeColor="text1"/>
                <w:lang w:val="fr-FR"/>
              </w:rPr>
              <w:t>Bâtiments en construction, des fondations, des terrains nus, un mur de clôture</w:t>
            </w:r>
          </w:p>
        </w:tc>
      </w:tr>
    </w:tbl>
    <w:p w14:paraId="12D21409" w14:textId="40A10730" w:rsidR="002E053E" w:rsidRPr="00260790" w:rsidRDefault="00DE241D" w:rsidP="0097258B">
      <w:pPr>
        <w:spacing w:line="240" w:lineRule="auto"/>
        <w:jc w:val="both"/>
        <w:rPr>
          <w:rFonts w:ascii="Times New Roman" w:eastAsia="Times New Roman" w:hAnsi="Times New Roman"/>
          <w:i/>
          <w:iCs/>
          <w:color w:val="000000" w:themeColor="text1"/>
          <w:lang w:eastAsia="fr-FR"/>
        </w:rPr>
      </w:pPr>
      <w:r w:rsidRPr="00260790">
        <w:rPr>
          <w:rFonts w:ascii="Times New Roman" w:hAnsi="Times New Roman"/>
          <w:color w:val="000000" w:themeColor="text1"/>
        </w:rPr>
        <w:t>Ci-dessous le résumé de l’analyse de la perte d’accès à des terres à vocation résidentielle (lotissement) et destruction du bâti.</w:t>
      </w:r>
    </w:p>
    <w:p w14:paraId="63E3E059" w14:textId="77777777" w:rsidR="004600EA" w:rsidRDefault="004600EA">
      <w:pPr>
        <w:spacing w:line="259" w:lineRule="auto"/>
        <w:rPr>
          <w:rFonts w:ascii="Times New Roman" w:eastAsia="Times New Roman" w:hAnsi="Times New Roman"/>
          <w:i/>
          <w:iCs/>
          <w:color w:val="000000" w:themeColor="text1"/>
          <w:lang w:eastAsia="fr-FR"/>
        </w:rPr>
      </w:pPr>
      <w:bookmarkStart w:id="640" w:name="_Toc207781898"/>
      <w:r>
        <w:rPr>
          <w:color w:val="000000" w:themeColor="text1"/>
        </w:rPr>
        <w:br w:type="page"/>
      </w:r>
    </w:p>
    <w:p w14:paraId="78256AE7" w14:textId="537C555E" w:rsidR="00DE241D" w:rsidRPr="00260790" w:rsidRDefault="00DE241D" w:rsidP="00E20250">
      <w:pPr>
        <w:pStyle w:val="Lgende"/>
        <w:keepNext/>
        <w:spacing w:line="240" w:lineRule="auto"/>
        <w:rPr>
          <w:color w:val="000000" w:themeColor="text1"/>
          <w:sz w:val="22"/>
          <w:szCs w:val="22"/>
        </w:rPr>
      </w:pPr>
      <w:r w:rsidRPr="00260790">
        <w:rPr>
          <w:color w:val="000000" w:themeColor="text1"/>
          <w:sz w:val="22"/>
          <w:szCs w:val="22"/>
        </w:rPr>
        <w:lastRenderedPageBreak/>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57</w:t>
      </w:r>
      <w:r w:rsidRPr="00260790">
        <w:rPr>
          <w:color w:val="000000" w:themeColor="text1"/>
          <w:sz w:val="22"/>
          <w:szCs w:val="22"/>
        </w:rPr>
        <w:fldChar w:fldCharType="end"/>
      </w:r>
      <w:r w:rsidRPr="00260790">
        <w:rPr>
          <w:color w:val="000000" w:themeColor="text1"/>
          <w:sz w:val="22"/>
          <w:szCs w:val="22"/>
        </w:rPr>
        <w:t> : résumé de l’analyse de la perte d’accès à des terres à vocation résidentielle (lotissement) et destruction du bâti</w:t>
      </w:r>
      <w:bookmarkEnd w:id="640"/>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13"/>
        <w:gridCol w:w="1439"/>
        <w:gridCol w:w="236"/>
        <w:gridCol w:w="953"/>
        <w:gridCol w:w="227"/>
        <w:gridCol w:w="1174"/>
        <w:gridCol w:w="83"/>
        <w:gridCol w:w="1488"/>
        <w:gridCol w:w="129"/>
        <w:gridCol w:w="1618"/>
      </w:tblGrid>
      <w:tr w:rsidR="00BD1A2F" w:rsidRPr="00632C4D" w14:paraId="15F5C849" w14:textId="77777777" w:rsidTr="003A0E4A">
        <w:trPr>
          <w:trHeight w:val="234"/>
        </w:trPr>
        <w:tc>
          <w:tcPr>
            <w:tcW w:w="5000" w:type="pct"/>
            <w:gridSpan w:val="10"/>
            <w:shd w:val="clear" w:color="auto" w:fill="D9E2F3" w:themeFill="accent5" w:themeFillTint="33"/>
          </w:tcPr>
          <w:p w14:paraId="4E831627" w14:textId="77777777" w:rsidR="00DE241D" w:rsidRPr="0097258B" w:rsidRDefault="00DE241D" w:rsidP="00E20250">
            <w:pPr>
              <w:spacing w:line="240" w:lineRule="auto"/>
              <w:jc w:val="both"/>
              <w:rPr>
                <w:rFonts w:ascii="Times New Roman" w:hAnsi="Times New Roman"/>
                <w:b/>
                <w:bCs/>
                <w:i/>
                <w:iCs/>
                <w:color w:val="000000" w:themeColor="text1"/>
                <w:sz w:val="20"/>
                <w:szCs w:val="20"/>
                <w:lang w:val="fr-FR"/>
              </w:rPr>
            </w:pPr>
            <w:r w:rsidRPr="00301AF6">
              <w:rPr>
                <w:rFonts w:ascii="Times New Roman" w:hAnsi="Times New Roman"/>
                <w:b/>
                <w:bCs/>
                <w:i/>
                <w:iCs/>
                <w:color w:val="000000" w:themeColor="text1"/>
                <w:sz w:val="20"/>
                <w:szCs w:val="20"/>
                <w:lang w:val="fr-FR"/>
              </w:rPr>
              <w:t>IN-12. Perte d’accès à des terres à vocation résidentielle (lotissement) et destruction de bâtiments</w:t>
            </w:r>
          </w:p>
        </w:tc>
      </w:tr>
      <w:tr w:rsidR="00BD1A2F" w:rsidRPr="00632C4D" w14:paraId="63493D04" w14:textId="77777777" w:rsidTr="003A0E4A">
        <w:trPr>
          <w:trHeight w:val="58"/>
        </w:trPr>
        <w:tc>
          <w:tcPr>
            <w:tcW w:w="5000" w:type="pct"/>
            <w:gridSpan w:val="10"/>
          </w:tcPr>
          <w:p w14:paraId="11116480"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b/>
                <w:bCs/>
                <w:color w:val="000000" w:themeColor="text1"/>
                <w:sz w:val="20"/>
                <w:szCs w:val="20"/>
                <w:lang w:val="fr-FR"/>
              </w:rPr>
              <w:t>Source d’impacts :</w:t>
            </w:r>
            <w:r w:rsidRPr="00301AF6">
              <w:rPr>
                <w:rFonts w:ascii="Times New Roman" w:hAnsi="Times New Roman" w:cs="Times New Roman"/>
                <w:color w:val="000000" w:themeColor="text1"/>
                <w:sz w:val="20"/>
                <w:szCs w:val="20"/>
                <w:lang w:val="fr-FR"/>
              </w:rPr>
              <w:t xml:space="preserve"> Aménagement des bassins</w:t>
            </w:r>
          </w:p>
        </w:tc>
      </w:tr>
      <w:tr w:rsidR="00BD1A2F" w:rsidRPr="00632C4D" w14:paraId="33F3E018" w14:textId="77777777" w:rsidTr="003A0E4A">
        <w:trPr>
          <w:trHeight w:val="58"/>
        </w:trPr>
        <w:tc>
          <w:tcPr>
            <w:tcW w:w="946" w:type="pct"/>
          </w:tcPr>
          <w:p w14:paraId="0BB6BD57"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Critère</w:t>
            </w:r>
            <w:proofErr w:type="spellEnd"/>
          </w:p>
        </w:tc>
        <w:tc>
          <w:tcPr>
            <w:tcW w:w="924" w:type="pct"/>
            <w:gridSpan w:val="2"/>
          </w:tcPr>
          <w:p w14:paraId="7C8A61E2"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Intensité</w:t>
            </w:r>
            <w:proofErr w:type="spellEnd"/>
          </w:p>
        </w:tc>
        <w:tc>
          <w:tcPr>
            <w:tcW w:w="651" w:type="pct"/>
            <w:gridSpan w:val="2"/>
          </w:tcPr>
          <w:p w14:paraId="63DA0C8B" w14:textId="7430D377" w:rsidR="00DE241D" w:rsidRPr="0097258B" w:rsidRDefault="00E23E20"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É</w:t>
            </w:r>
            <w:r w:rsidR="00DE241D" w:rsidRPr="0097258B">
              <w:rPr>
                <w:rFonts w:ascii="Times New Roman" w:hAnsi="Times New Roman" w:cs="Times New Roman"/>
                <w:b/>
                <w:bCs/>
                <w:color w:val="000000" w:themeColor="text1"/>
                <w:sz w:val="20"/>
                <w:szCs w:val="20"/>
              </w:rPr>
              <w:t>tendue</w:t>
            </w:r>
            <w:proofErr w:type="spellEnd"/>
          </w:p>
        </w:tc>
        <w:tc>
          <w:tcPr>
            <w:tcW w:w="648" w:type="pct"/>
          </w:tcPr>
          <w:p w14:paraId="3F200AA3"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Durée</w:t>
            </w:r>
          </w:p>
        </w:tc>
        <w:tc>
          <w:tcPr>
            <w:tcW w:w="867" w:type="pct"/>
            <w:gridSpan w:val="2"/>
          </w:tcPr>
          <w:p w14:paraId="4B44D665"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Importance</w:t>
            </w:r>
          </w:p>
        </w:tc>
        <w:tc>
          <w:tcPr>
            <w:tcW w:w="964" w:type="pct"/>
            <w:gridSpan w:val="2"/>
          </w:tcPr>
          <w:p w14:paraId="2AE1CFF6" w14:textId="77777777" w:rsidR="00DE241D" w:rsidRPr="0097258B" w:rsidRDefault="00DE241D" w:rsidP="00E20250">
            <w:pPr>
              <w:pStyle w:val="Normaltableau0"/>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Réversibilité</w:t>
            </w:r>
            <w:proofErr w:type="spellEnd"/>
          </w:p>
        </w:tc>
      </w:tr>
      <w:tr w:rsidR="00BD1A2F" w:rsidRPr="00632C4D" w14:paraId="64748E22" w14:textId="77777777" w:rsidTr="003A0E4A">
        <w:trPr>
          <w:trHeight w:val="58"/>
        </w:trPr>
        <w:tc>
          <w:tcPr>
            <w:tcW w:w="946" w:type="pct"/>
          </w:tcPr>
          <w:p w14:paraId="2DE8B663"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Sans </w:t>
            </w:r>
            <w:proofErr w:type="spellStart"/>
            <w:r w:rsidRPr="0097258B">
              <w:rPr>
                <w:rFonts w:ascii="Times New Roman" w:hAnsi="Times New Roman" w:cs="Times New Roman"/>
                <w:color w:val="000000" w:themeColor="text1"/>
                <w:sz w:val="20"/>
                <w:szCs w:val="20"/>
              </w:rPr>
              <w:t>atténuation</w:t>
            </w:r>
            <w:proofErr w:type="spellEnd"/>
          </w:p>
        </w:tc>
        <w:tc>
          <w:tcPr>
            <w:tcW w:w="924" w:type="pct"/>
            <w:gridSpan w:val="2"/>
          </w:tcPr>
          <w:p w14:paraId="53A9BA3F"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Moyenne</w:t>
            </w:r>
          </w:p>
        </w:tc>
        <w:tc>
          <w:tcPr>
            <w:tcW w:w="651" w:type="pct"/>
            <w:gridSpan w:val="2"/>
          </w:tcPr>
          <w:p w14:paraId="315AEB43"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Locale</w:t>
            </w:r>
          </w:p>
        </w:tc>
        <w:tc>
          <w:tcPr>
            <w:tcW w:w="648" w:type="pct"/>
          </w:tcPr>
          <w:p w14:paraId="08004428"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Longue</w:t>
            </w:r>
          </w:p>
        </w:tc>
        <w:tc>
          <w:tcPr>
            <w:tcW w:w="867" w:type="pct"/>
            <w:gridSpan w:val="2"/>
            <w:shd w:val="clear" w:color="auto" w:fill="FF0000"/>
          </w:tcPr>
          <w:p w14:paraId="0D436BB4"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Majeure</w:t>
            </w:r>
          </w:p>
        </w:tc>
        <w:tc>
          <w:tcPr>
            <w:tcW w:w="964" w:type="pct"/>
            <w:gridSpan w:val="2"/>
          </w:tcPr>
          <w:p w14:paraId="6E87A291" w14:textId="77777777" w:rsidR="00DE241D" w:rsidRPr="0097258B" w:rsidRDefault="00DE241D" w:rsidP="00E20250">
            <w:pPr>
              <w:pStyle w:val="Normaltableau0"/>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Réversible</w:t>
            </w:r>
            <w:proofErr w:type="spellEnd"/>
          </w:p>
        </w:tc>
      </w:tr>
      <w:tr w:rsidR="00BD1A2F" w:rsidRPr="00632C4D" w14:paraId="5EC8FA75" w14:textId="77777777" w:rsidTr="003A0E4A">
        <w:trPr>
          <w:trHeight w:val="365"/>
        </w:trPr>
        <w:tc>
          <w:tcPr>
            <w:tcW w:w="946" w:type="pct"/>
          </w:tcPr>
          <w:p w14:paraId="667D991F"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d’atténuation</w:t>
            </w:r>
            <w:proofErr w:type="spellEnd"/>
          </w:p>
        </w:tc>
        <w:tc>
          <w:tcPr>
            <w:tcW w:w="4054" w:type="pct"/>
            <w:gridSpan w:val="9"/>
          </w:tcPr>
          <w:p w14:paraId="7B68343E" w14:textId="77777777" w:rsidR="00DE241D" w:rsidRPr="0097258B" w:rsidRDefault="00DE241D" w:rsidP="001748C6">
            <w:pPr>
              <w:pStyle w:val="Default"/>
              <w:numPr>
                <w:ilvl w:val="0"/>
                <w:numId w:val="318"/>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Respecter la procédure d’expropriation pour utilité publique ;</w:t>
            </w:r>
          </w:p>
          <w:p w14:paraId="67A923A2" w14:textId="1B74AD3A" w:rsidR="00DE241D" w:rsidRPr="0097258B" w:rsidRDefault="00DE241D" w:rsidP="001748C6">
            <w:pPr>
              <w:pStyle w:val="Default"/>
              <w:numPr>
                <w:ilvl w:val="0"/>
                <w:numId w:val="318"/>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Indemniser les personnes affectées selon les barèmes les plus favorables</w:t>
            </w:r>
            <w:r w:rsidR="008A1823" w:rsidRPr="00301AF6">
              <w:rPr>
                <w:rFonts w:ascii="Times New Roman" w:hAnsi="Times New Roman" w:cs="Times New Roman"/>
                <w:color w:val="000000" w:themeColor="text1"/>
                <w:sz w:val="20"/>
                <w:szCs w:val="20"/>
                <w:lang w:val="fr-FR"/>
              </w:rPr>
              <w:t>.</w:t>
            </w:r>
          </w:p>
        </w:tc>
      </w:tr>
      <w:tr w:rsidR="00BD1A2F" w:rsidRPr="00632C4D" w14:paraId="58E2EA3E" w14:textId="77777777" w:rsidTr="003A0E4A">
        <w:trPr>
          <w:trHeight w:val="101"/>
        </w:trPr>
        <w:tc>
          <w:tcPr>
            <w:tcW w:w="946" w:type="pct"/>
          </w:tcPr>
          <w:p w14:paraId="5F3D36F7"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Avec </w:t>
            </w:r>
            <w:proofErr w:type="spellStart"/>
            <w:r w:rsidRPr="0097258B">
              <w:rPr>
                <w:rFonts w:ascii="Times New Roman" w:hAnsi="Times New Roman" w:cs="Times New Roman"/>
                <w:color w:val="000000" w:themeColor="text1"/>
                <w:sz w:val="20"/>
                <w:szCs w:val="20"/>
              </w:rPr>
              <w:t>atténuation</w:t>
            </w:r>
            <w:proofErr w:type="spellEnd"/>
          </w:p>
        </w:tc>
        <w:tc>
          <w:tcPr>
            <w:tcW w:w="794" w:type="pct"/>
          </w:tcPr>
          <w:p w14:paraId="4A72811D"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Faible</w:t>
            </w:r>
            <w:proofErr w:type="spellEnd"/>
          </w:p>
        </w:tc>
        <w:tc>
          <w:tcPr>
            <w:tcW w:w="656" w:type="pct"/>
            <w:gridSpan w:val="2"/>
          </w:tcPr>
          <w:p w14:paraId="25D01825"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Ponctuelle</w:t>
            </w:r>
            <w:proofErr w:type="spellEnd"/>
          </w:p>
        </w:tc>
        <w:tc>
          <w:tcPr>
            <w:tcW w:w="819" w:type="pct"/>
            <w:gridSpan w:val="3"/>
          </w:tcPr>
          <w:p w14:paraId="3B3AF86B"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Courte</w:t>
            </w:r>
          </w:p>
        </w:tc>
        <w:tc>
          <w:tcPr>
            <w:tcW w:w="892" w:type="pct"/>
            <w:gridSpan w:val="2"/>
            <w:shd w:val="clear" w:color="auto" w:fill="FFFF00"/>
          </w:tcPr>
          <w:p w14:paraId="6058E474"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Mineure</w:t>
            </w:r>
            <w:proofErr w:type="spellEnd"/>
          </w:p>
        </w:tc>
        <w:tc>
          <w:tcPr>
            <w:tcW w:w="893" w:type="pct"/>
          </w:tcPr>
          <w:p w14:paraId="4D413033" w14:textId="77777777" w:rsidR="00DE241D" w:rsidRPr="0097258B" w:rsidRDefault="00DE241D" w:rsidP="00E20250">
            <w:pPr>
              <w:pStyle w:val="TableParagraph"/>
              <w:rPr>
                <w:color w:val="000000" w:themeColor="text1"/>
                <w:sz w:val="20"/>
                <w:szCs w:val="20"/>
                <w:lang w:val="fr-FR"/>
              </w:rPr>
            </w:pPr>
          </w:p>
        </w:tc>
      </w:tr>
    </w:tbl>
    <w:p w14:paraId="144144F0" w14:textId="77777777" w:rsidR="00DE241D" w:rsidRPr="00260790" w:rsidRDefault="00DE241D" w:rsidP="00F83414">
      <w:pPr>
        <w:spacing w:after="0" w:line="240" w:lineRule="auto"/>
        <w:jc w:val="both"/>
        <w:rPr>
          <w:rFonts w:ascii="Times New Roman" w:hAnsi="Times New Roman"/>
          <w:color w:val="000000" w:themeColor="text1"/>
          <w:highlight w:val="yellow"/>
        </w:rPr>
      </w:pPr>
    </w:p>
    <w:p w14:paraId="26FE5AB2" w14:textId="77777777" w:rsidR="00DE241D" w:rsidRPr="00260790" w:rsidRDefault="00DE241D" w:rsidP="001748C6">
      <w:pPr>
        <w:pStyle w:val="Paragraphedeliste"/>
        <w:numPr>
          <w:ilvl w:val="0"/>
          <w:numId w:val="319"/>
        </w:numPr>
        <w:spacing w:after="0"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IN-13. Perte d’accès définitive à une infrastructure scolaire</w:t>
      </w:r>
    </w:p>
    <w:p w14:paraId="06EA184A" w14:textId="77777777" w:rsidR="00DE241D" w:rsidRPr="00260790" w:rsidRDefault="00DE241D" w:rsidP="00F83414">
      <w:pPr>
        <w:spacing w:after="0" w:line="240" w:lineRule="auto"/>
        <w:jc w:val="both"/>
        <w:rPr>
          <w:rFonts w:ascii="Times New Roman" w:hAnsi="Times New Roman"/>
          <w:color w:val="000000" w:themeColor="text1"/>
          <w:highlight w:val="yellow"/>
        </w:rPr>
      </w:pPr>
    </w:p>
    <w:p w14:paraId="5DB27625" w14:textId="102D8008" w:rsidR="00DE241D" w:rsidRPr="00260790" w:rsidRDefault="00DE241D" w:rsidP="00E20250">
      <w:pPr>
        <w:spacing w:line="240" w:lineRule="auto"/>
        <w:jc w:val="both"/>
        <w:rPr>
          <w:rFonts w:ascii="Times New Roman" w:hAnsi="Times New Roman"/>
          <w:bCs/>
          <w:color w:val="000000" w:themeColor="text1"/>
        </w:rPr>
      </w:pPr>
      <w:r w:rsidRPr="00260790">
        <w:rPr>
          <w:rFonts w:ascii="Times New Roman" w:hAnsi="Times New Roman"/>
          <w:bCs/>
          <w:color w:val="000000" w:themeColor="text1"/>
        </w:rPr>
        <w:t xml:space="preserve">L’un des bâtiments du </w:t>
      </w:r>
      <w:r w:rsidR="004E43D7" w:rsidRPr="00260790">
        <w:rPr>
          <w:rFonts w:ascii="Times New Roman" w:hAnsi="Times New Roman"/>
          <w:bCs/>
          <w:color w:val="000000" w:themeColor="text1"/>
        </w:rPr>
        <w:t>b</w:t>
      </w:r>
      <w:r w:rsidRPr="00260790">
        <w:rPr>
          <w:rFonts w:ascii="Times New Roman" w:hAnsi="Times New Roman"/>
          <w:bCs/>
          <w:color w:val="000000" w:themeColor="text1"/>
        </w:rPr>
        <w:t>assin de Mbao (K4-4) sert d’école privée. L’aménagement de ce bassin entrainera une perte définitive d’accès à cette infrastructure éducative.</w:t>
      </w:r>
    </w:p>
    <w:p w14:paraId="226B4A2D" w14:textId="77777777" w:rsidR="00DE241D" w:rsidRPr="00260790" w:rsidRDefault="00DE241D" w:rsidP="00E20250">
      <w:pPr>
        <w:spacing w:line="240" w:lineRule="auto"/>
        <w:jc w:val="both"/>
        <w:rPr>
          <w:rFonts w:ascii="Times New Roman" w:hAnsi="Times New Roman"/>
          <w:bCs/>
          <w:color w:val="000000" w:themeColor="text1"/>
        </w:rPr>
      </w:pPr>
      <w:r w:rsidRPr="00260790">
        <w:rPr>
          <w:rFonts w:ascii="Times New Roman" w:hAnsi="Times New Roman"/>
          <w:bCs/>
          <w:color w:val="000000" w:themeColor="text1"/>
        </w:rPr>
        <w:t xml:space="preserve">Ci-dessous le résumé de l’analyse de la perte d’accès définitive </w:t>
      </w:r>
      <w:r w:rsidRPr="00260790">
        <w:rPr>
          <w:rFonts w:ascii="Times New Roman" w:hAnsi="Times New Roman"/>
          <w:color w:val="000000" w:themeColor="text1"/>
        </w:rPr>
        <w:t>à une infrastructure scolaire</w:t>
      </w:r>
      <w:r w:rsidRPr="00260790">
        <w:rPr>
          <w:rFonts w:ascii="Times New Roman" w:hAnsi="Times New Roman"/>
          <w:bCs/>
          <w:color w:val="000000" w:themeColor="text1"/>
        </w:rPr>
        <w:t>.</w:t>
      </w:r>
    </w:p>
    <w:p w14:paraId="090966EF" w14:textId="23BF0DF7" w:rsidR="00DE241D" w:rsidRPr="00260790" w:rsidRDefault="00DE241D" w:rsidP="00E20250">
      <w:pPr>
        <w:pStyle w:val="Lgende"/>
        <w:keepNext/>
        <w:tabs>
          <w:tab w:val="left" w:pos="2090"/>
        </w:tabs>
        <w:spacing w:line="240" w:lineRule="auto"/>
        <w:rPr>
          <w:color w:val="000000" w:themeColor="text1"/>
          <w:sz w:val="22"/>
          <w:szCs w:val="22"/>
        </w:rPr>
      </w:pPr>
      <w:bookmarkStart w:id="641" w:name="_Toc207781899"/>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58</w:t>
      </w:r>
      <w:r w:rsidRPr="00260790">
        <w:rPr>
          <w:color w:val="000000" w:themeColor="text1"/>
          <w:sz w:val="22"/>
          <w:szCs w:val="22"/>
        </w:rPr>
        <w:fldChar w:fldCharType="end"/>
      </w:r>
      <w:r w:rsidRPr="00260790">
        <w:rPr>
          <w:color w:val="000000" w:themeColor="text1"/>
          <w:sz w:val="22"/>
          <w:szCs w:val="22"/>
        </w:rPr>
        <w:t> : résumé de l’analyse de la perte d’accès définitive à une infrastructure scolaire</w:t>
      </w:r>
      <w:bookmarkEnd w:id="641"/>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13"/>
        <w:gridCol w:w="1439"/>
        <w:gridCol w:w="236"/>
        <w:gridCol w:w="953"/>
        <w:gridCol w:w="227"/>
        <w:gridCol w:w="884"/>
        <w:gridCol w:w="290"/>
        <w:gridCol w:w="1571"/>
        <w:gridCol w:w="129"/>
        <w:gridCol w:w="1618"/>
      </w:tblGrid>
      <w:tr w:rsidR="00BD1A2F" w:rsidRPr="00632C4D" w14:paraId="529A9EA9" w14:textId="77777777" w:rsidTr="003A0E4A">
        <w:trPr>
          <w:cantSplit/>
          <w:trHeight w:val="234"/>
        </w:trPr>
        <w:tc>
          <w:tcPr>
            <w:tcW w:w="5000" w:type="pct"/>
            <w:gridSpan w:val="10"/>
            <w:shd w:val="clear" w:color="auto" w:fill="D9E2F3" w:themeFill="accent5" w:themeFillTint="33"/>
          </w:tcPr>
          <w:p w14:paraId="48BE9659" w14:textId="77777777" w:rsidR="00DE241D" w:rsidRPr="0097258B" w:rsidRDefault="00DE241D" w:rsidP="00E20250">
            <w:pPr>
              <w:spacing w:line="240" w:lineRule="auto"/>
              <w:jc w:val="both"/>
              <w:rPr>
                <w:rFonts w:ascii="Times New Roman" w:hAnsi="Times New Roman"/>
                <w:b/>
                <w:bCs/>
                <w:i/>
                <w:iCs/>
                <w:color w:val="000000" w:themeColor="text1"/>
                <w:sz w:val="20"/>
                <w:szCs w:val="20"/>
                <w:lang w:val="fr-FR"/>
              </w:rPr>
            </w:pPr>
            <w:r w:rsidRPr="00301AF6">
              <w:rPr>
                <w:rFonts w:ascii="Times New Roman" w:hAnsi="Times New Roman"/>
                <w:b/>
                <w:bCs/>
                <w:i/>
                <w:iCs/>
                <w:color w:val="000000" w:themeColor="text1"/>
                <w:sz w:val="20"/>
                <w:szCs w:val="20"/>
                <w:lang w:val="fr-FR"/>
              </w:rPr>
              <w:t>IN-13. Perte d’accès définitive à une infrastructure scolaire</w:t>
            </w:r>
          </w:p>
        </w:tc>
      </w:tr>
      <w:tr w:rsidR="00BD1A2F" w:rsidRPr="00632C4D" w14:paraId="07C22A0F" w14:textId="77777777" w:rsidTr="003A0E4A">
        <w:trPr>
          <w:cantSplit/>
          <w:trHeight w:val="58"/>
        </w:trPr>
        <w:tc>
          <w:tcPr>
            <w:tcW w:w="5000" w:type="pct"/>
            <w:gridSpan w:val="10"/>
          </w:tcPr>
          <w:p w14:paraId="10C59A6E"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b/>
                <w:bCs/>
                <w:color w:val="000000" w:themeColor="text1"/>
                <w:sz w:val="20"/>
                <w:szCs w:val="20"/>
                <w:lang w:val="fr-FR"/>
              </w:rPr>
              <w:t>Source d’impacts :</w:t>
            </w:r>
            <w:r w:rsidRPr="00301AF6">
              <w:rPr>
                <w:rFonts w:ascii="Times New Roman" w:hAnsi="Times New Roman" w:cs="Times New Roman"/>
                <w:color w:val="000000" w:themeColor="text1"/>
                <w:sz w:val="20"/>
                <w:szCs w:val="20"/>
                <w:lang w:val="fr-FR"/>
              </w:rPr>
              <w:t xml:space="preserve"> Aménagement des bassins</w:t>
            </w:r>
          </w:p>
        </w:tc>
      </w:tr>
      <w:tr w:rsidR="00BD1A2F" w:rsidRPr="00632C4D" w14:paraId="36CEC3B7" w14:textId="77777777" w:rsidTr="003A0E4A">
        <w:trPr>
          <w:cantSplit/>
          <w:trHeight w:val="58"/>
        </w:trPr>
        <w:tc>
          <w:tcPr>
            <w:tcW w:w="946" w:type="pct"/>
          </w:tcPr>
          <w:p w14:paraId="3ED4287D"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Critère</w:t>
            </w:r>
            <w:proofErr w:type="spellEnd"/>
          </w:p>
        </w:tc>
        <w:tc>
          <w:tcPr>
            <w:tcW w:w="924" w:type="pct"/>
            <w:gridSpan w:val="2"/>
          </w:tcPr>
          <w:p w14:paraId="6C220F3C"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Intensité</w:t>
            </w:r>
            <w:proofErr w:type="spellEnd"/>
          </w:p>
        </w:tc>
        <w:tc>
          <w:tcPr>
            <w:tcW w:w="651" w:type="pct"/>
            <w:gridSpan w:val="2"/>
          </w:tcPr>
          <w:p w14:paraId="71AF6A1A" w14:textId="3C9579DD" w:rsidR="00DE241D" w:rsidRPr="0097258B" w:rsidRDefault="00E23E20"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É</w:t>
            </w:r>
            <w:r w:rsidR="00DE241D" w:rsidRPr="0097258B">
              <w:rPr>
                <w:rFonts w:ascii="Times New Roman" w:hAnsi="Times New Roman" w:cs="Times New Roman"/>
                <w:b/>
                <w:bCs/>
                <w:color w:val="000000" w:themeColor="text1"/>
                <w:sz w:val="20"/>
                <w:szCs w:val="20"/>
              </w:rPr>
              <w:t>tendue</w:t>
            </w:r>
            <w:proofErr w:type="spellEnd"/>
          </w:p>
        </w:tc>
        <w:tc>
          <w:tcPr>
            <w:tcW w:w="648" w:type="pct"/>
            <w:gridSpan w:val="2"/>
          </w:tcPr>
          <w:p w14:paraId="71866AA4"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Durée</w:t>
            </w:r>
          </w:p>
        </w:tc>
        <w:tc>
          <w:tcPr>
            <w:tcW w:w="867" w:type="pct"/>
          </w:tcPr>
          <w:p w14:paraId="4CB617E1"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Importance</w:t>
            </w:r>
          </w:p>
        </w:tc>
        <w:tc>
          <w:tcPr>
            <w:tcW w:w="963" w:type="pct"/>
            <w:gridSpan w:val="2"/>
          </w:tcPr>
          <w:p w14:paraId="00BEE7C9" w14:textId="77777777" w:rsidR="00DE241D" w:rsidRPr="0097258B" w:rsidRDefault="00DE241D" w:rsidP="00E20250">
            <w:pPr>
              <w:pStyle w:val="Normaltableau0"/>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Réversibilité</w:t>
            </w:r>
            <w:proofErr w:type="spellEnd"/>
          </w:p>
        </w:tc>
      </w:tr>
      <w:tr w:rsidR="00BD1A2F" w:rsidRPr="00632C4D" w14:paraId="5718B6F1" w14:textId="77777777" w:rsidTr="003A0E4A">
        <w:trPr>
          <w:trHeight w:val="58"/>
        </w:trPr>
        <w:tc>
          <w:tcPr>
            <w:tcW w:w="946" w:type="pct"/>
          </w:tcPr>
          <w:p w14:paraId="35371814"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Sans </w:t>
            </w:r>
            <w:proofErr w:type="spellStart"/>
            <w:r w:rsidRPr="0097258B">
              <w:rPr>
                <w:rFonts w:ascii="Times New Roman" w:hAnsi="Times New Roman" w:cs="Times New Roman"/>
                <w:color w:val="000000" w:themeColor="text1"/>
                <w:sz w:val="20"/>
                <w:szCs w:val="20"/>
              </w:rPr>
              <w:t>atténuation</w:t>
            </w:r>
            <w:proofErr w:type="spellEnd"/>
          </w:p>
        </w:tc>
        <w:tc>
          <w:tcPr>
            <w:tcW w:w="924" w:type="pct"/>
            <w:gridSpan w:val="2"/>
          </w:tcPr>
          <w:p w14:paraId="1DA378FB"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Moyenne</w:t>
            </w:r>
          </w:p>
        </w:tc>
        <w:tc>
          <w:tcPr>
            <w:tcW w:w="651" w:type="pct"/>
            <w:gridSpan w:val="2"/>
          </w:tcPr>
          <w:p w14:paraId="2364F420"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Locale</w:t>
            </w:r>
          </w:p>
        </w:tc>
        <w:tc>
          <w:tcPr>
            <w:tcW w:w="648" w:type="pct"/>
            <w:gridSpan w:val="2"/>
          </w:tcPr>
          <w:p w14:paraId="72F63947"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Longue</w:t>
            </w:r>
          </w:p>
        </w:tc>
        <w:tc>
          <w:tcPr>
            <w:tcW w:w="867" w:type="pct"/>
            <w:shd w:val="clear" w:color="auto" w:fill="FF0000"/>
          </w:tcPr>
          <w:p w14:paraId="6B0047D6"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 xml:space="preserve">Majeure </w:t>
            </w:r>
          </w:p>
        </w:tc>
        <w:tc>
          <w:tcPr>
            <w:tcW w:w="963" w:type="pct"/>
            <w:gridSpan w:val="2"/>
          </w:tcPr>
          <w:p w14:paraId="04D0BE14" w14:textId="77777777" w:rsidR="00DE241D" w:rsidRPr="0097258B" w:rsidRDefault="00DE241D" w:rsidP="00E20250">
            <w:pPr>
              <w:pStyle w:val="Normaltableau0"/>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Réversible</w:t>
            </w:r>
            <w:proofErr w:type="spellEnd"/>
          </w:p>
        </w:tc>
      </w:tr>
      <w:tr w:rsidR="00BD1A2F" w:rsidRPr="00632C4D" w14:paraId="558362F5" w14:textId="77777777" w:rsidTr="003A0E4A">
        <w:trPr>
          <w:trHeight w:val="365"/>
        </w:trPr>
        <w:tc>
          <w:tcPr>
            <w:tcW w:w="946" w:type="pct"/>
          </w:tcPr>
          <w:p w14:paraId="6A2F25CC"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d’atténuation</w:t>
            </w:r>
            <w:proofErr w:type="spellEnd"/>
          </w:p>
        </w:tc>
        <w:tc>
          <w:tcPr>
            <w:tcW w:w="4054" w:type="pct"/>
            <w:gridSpan w:val="9"/>
          </w:tcPr>
          <w:p w14:paraId="2DC9F2AE" w14:textId="77777777" w:rsidR="00DE241D" w:rsidRPr="0097258B" w:rsidRDefault="00DE241D" w:rsidP="001748C6">
            <w:pPr>
              <w:pStyle w:val="Default"/>
              <w:numPr>
                <w:ilvl w:val="0"/>
                <w:numId w:val="318"/>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 xml:space="preserve">Trouver durant les grandes vacances, des locaux pour délocalisation l’école </w:t>
            </w:r>
          </w:p>
          <w:p w14:paraId="376FC272" w14:textId="77777777" w:rsidR="00DE241D" w:rsidRPr="0097258B" w:rsidRDefault="00DE241D" w:rsidP="001748C6">
            <w:pPr>
              <w:pStyle w:val="Default"/>
              <w:numPr>
                <w:ilvl w:val="0"/>
                <w:numId w:val="318"/>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 xml:space="preserve">Indemniser le propriétaire de l’école </w:t>
            </w:r>
          </w:p>
        </w:tc>
      </w:tr>
      <w:tr w:rsidR="00BD1A2F" w:rsidRPr="00632C4D" w14:paraId="538E2132" w14:textId="77777777" w:rsidTr="003A0E4A">
        <w:trPr>
          <w:trHeight w:val="101"/>
        </w:trPr>
        <w:tc>
          <w:tcPr>
            <w:tcW w:w="946" w:type="pct"/>
          </w:tcPr>
          <w:p w14:paraId="2C783F26"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Avec </w:t>
            </w:r>
            <w:proofErr w:type="spellStart"/>
            <w:r w:rsidRPr="0097258B">
              <w:rPr>
                <w:rFonts w:ascii="Times New Roman" w:hAnsi="Times New Roman" w:cs="Times New Roman"/>
                <w:color w:val="000000" w:themeColor="text1"/>
                <w:sz w:val="20"/>
                <w:szCs w:val="20"/>
              </w:rPr>
              <w:t>atténuation</w:t>
            </w:r>
            <w:proofErr w:type="spellEnd"/>
          </w:p>
        </w:tc>
        <w:tc>
          <w:tcPr>
            <w:tcW w:w="794" w:type="pct"/>
          </w:tcPr>
          <w:p w14:paraId="1C1B6F19"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Faible</w:t>
            </w:r>
            <w:proofErr w:type="spellEnd"/>
          </w:p>
        </w:tc>
        <w:tc>
          <w:tcPr>
            <w:tcW w:w="656" w:type="pct"/>
            <w:gridSpan w:val="2"/>
          </w:tcPr>
          <w:p w14:paraId="6381C0D6"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Ponctuelle</w:t>
            </w:r>
            <w:proofErr w:type="spellEnd"/>
          </w:p>
        </w:tc>
        <w:tc>
          <w:tcPr>
            <w:tcW w:w="613" w:type="pct"/>
            <w:gridSpan w:val="2"/>
          </w:tcPr>
          <w:p w14:paraId="03CFB8C6"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Courte</w:t>
            </w:r>
          </w:p>
        </w:tc>
        <w:tc>
          <w:tcPr>
            <w:tcW w:w="1098" w:type="pct"/>
            <w:gridSpan w:val="3"/>
            <w:shd w:val="clear" w:color="auto" w:fill="FFFF00"/>
          </w:tcPr>
          <w:p w14:paraId="52F02E0A"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Mineure</w:t>
            </w:r>
            <w:proofErr w:type="spellEnd"/>
            <w:r w:rsidRPr="0097258B">
              <w:rPr>
                <w:rFonts w:ascii="Times New Roman" w:hAnsi="Times New Roman" w:cs="Times New Roman"/>
                <w:b/>
                <w:bCs/>
                <w:color w:val="000000" w:themeColor="text1"/>
                <w:sz w:val="20"/>
                <w:szCs w:val="20"/>
              </w:rPr>
              <w:t xml:space="preserve"> </w:t>
            </w:r>
          </w:p>
        </w:tc>
        <w:tc>
          <w:tcPr>
            <w:tcW w:w="892" w:type="pct"/>
          </w:tcPr>
          <w:p w14:paraId="6323129E" w14:textId="77777777" w:rsidR="00DE241D" w:rsidRPr="0097258B" w:rsidRDefault="00DE241D" w:rsidP="00E20250">
            <w:pPr>
              <w:pStyle w:val="TableParagraph"/>
              <w:rPr>
                <w:color w:val="000000" w:themeColor="text1"/>
                <w:sz w:val="20"/>
                <w:szCs w:val="20"/>
                <w:lang w:val="fr-FR"/>
              </w:rPr>
            </w:pPr>
          </w:p>
        </w:tc>
      </w:tr>
    </w:tbl>
    <w:p w14:paraId="0E9C674A" w14:textId="77777777" w:rsidR="00DE241D" w:rsidRPr="00260790" w:rsidRDefault="00DE241D" w:rsidP="00F83414">
      <w:pPr>
        <w:spacing w:after="0" w:line="240" w:lineRule="auto"/>
        <w:jc w:val="both"/>
        <w:rPr>
          <w:rFonts w:ascii="Times New Roman" w:hAnsi="Times New Roman"/>
          <w:color w:val="000000" w:themeColor="text1"/>
          <w:highlight w:val="yellow"/>
        </w:rPr>
      </w:pPr>
    </w:p>
    <w:p w14:paraId="2133397B" w14:textId="77777777" w:rsidR="00DE241D" w:rsidRPr="00260790" w:rsidRDefault="00DE241D" w:rsidP="00E20250">
      <w:pPr>
        <w:pStyle w:val="Paragraphedeliste"/>
        <w:numPr>
          <w:ilvl w:val="4"/>
          <w:numId w:val="0"/>
        </w:numPr>
        <w:spacing w:after="120" w:line="240" w:lineRule="auto"/>
        <w:ind w:left="1080" w:hanging="1080"/>
        <w:rPr>
          <w:rFonts w:ascii="Times New Roman" w:hAnsi="Times New Roman"/>
          <w:b/>
          <w:bCs/>
          <w:color w:val="000000" w:themeColor="text1"/>
        </w:rPr>
      </w:pPr>
      <w:r w:rsidRPr="00260790">
        <w:rPr>
          <w:rFonts w:ascii="Times New Roman" w:hAnsi="Times New Roman"/>
          <w:b/>
          <w:bCs/>
          <w:color w:val="000000" w:themeColor="text1"/>
        </w:rPr>
        <w:t>Impacts négatifs et risques associés à l’aménagement des collecteurs</w:t>
      </w:r>
    </w:p>
    <w:p w14:paraId="4530F4FB" w14:textId="77777777" w:rsidR="00DE241D" w:rsidRPr="00260790" w:rsidRDefault="00DE241D" w:rsidP="00E20250">
      <w:pPr>
        <w:pStyle w:val="Paragraphedeliste"/>
        <w:spacing w:after="120" w:line="240" w:lineRule="auto"/>
        <w:ind w:left="1080"/>
        <w:rPr>
          <w:rFonts w:ascii="Times New Roman" w:hAnsi="Times New Roman"/>
          <w:b/>
          <w:bCs/>
          <w:color w:val="000000" w:themeColor="text1"/>
        </w:rPr>
      </w:pPr>
    </w:p>
    <w:p w14:paraId="02331E19" w14:textId="77777777" w:rsidR="00DE241D" w:rsidRPr="00260790" w:rsidRDefault="00DE241D" w:rsidP="001748C6">
      <w:pPr>
        <w:pStyle w:val="Paragraphedeliste"/>
        <w:numPr>
          <w:ilvl w:val="0"/>
          <w:numId w:val="332"/>
        </w:numPr>
        <w:spacing w:after="120" w:line="240" w:lineRule="auto"/>
        <w:rPr>
          <w:rFonts w:ascii="Times New Roman" w:hAnsi="Times New Roman"/>
          <w:i/>
          <w:iCs/>
          <w:color w:val="000000" w:themeColor="text1"/>
          <w:u w:val="single"/>
        </w:rPr>
      </w:pPr>
      <w:r w:rsidRPr="00260790">
        <w:rPr>
          <w:rFonts w:ascii="Times New Roman" w:hAnsi="Times New Roman"/>
          <w:i/>
          <w:iCs/>
          <w:color w:val="000000" w:themeColor="text1"/>
          <w:u w:val="single"/>
        </w:rPr>
        <w:t>Impacts négatifs et risques sur le milieu physique</w:t>
      </w:r>
    </w:p>
    <w:p w14:paraId="7E16618C" w14:textId="77777777" w:rsidR="00DE241D" w:rsidRPr="00260790" w:rsidRDefault="00DE241D" w:rsidP="00E20250">
      <w:pPr>
        <w:pStyle w:val="Paragraphedeliste"/>
        <w:spacing w:after="120" w:line="240" w:lineRule="auto"/>
        <w:rPr>
          <w:rFonts w:ascii="Times New Roman" w:hAnsi="Times New Roman"/>
          <w:b/>
          <w:bCs/>
          <w:color w:val="000000" w:themeColor="text1"/>
        </w:rPr>
      </w:pPr>
    </w:p>
    <w:p w14:paraId="3BA9281B" w14:textId="77777777" w:rsidR="00DE241D" w:rsidRPr="00260790" w:rsidRDefault="00DE241D" w:rsidP="001748C6">
      <w:pPr>
        <w:pStyle w:val="Paragraphedeliste"/>
        <w:numPr>
          <w:ilvl w:val="0"/>
          <w:numId w:val="321"/>
        </w:numPr>
        <w:spacing w:after="120"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RI-17. Risque d’interception et de pollution de la nappe des sables du Quaternaire</w:t>
      </w:r>
    </w:p>
    <w:p w14:paraId="6374621B" w14:textId="2CE4CAA8"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L’ouverture de tranchée </w:t>
      </w:r>
      <w:r w:rsidR="000079AF">
        <w:rPr>
          <w:rFonts w:ascii="Times New Roman" w:hAnsi="Times New Roman"/>
          <w:color w:val="000000" w:themeColor="text1"/>
        </w:rPr>
        <w:t>dans le</w:t>
      </w:r>
      <w:r w:rsidRPr="00260790">
        <w:rPr>
          <w:rFonts w:ascii="Times New Roman" w:hAnsi="Times New Roman"/>
          <w:color w:val="000000" w:themeColor="text1"/>
        </w:rPr>
        <w:t xml:space="preserve"> cadre de l’aménagement des collecteurs comporte un risque d’interception de la nappe. La conséquence d’une telle interception serait l’inondation des tranchées, ce qui ralentirait les travaux</w:t>
      </w:r>
      <w:r w:rsidR="006F7A0B" w:rsidRPr="00260790">
        <w:rPr>
          <w:rFonts w:ascii="Times New Roman" w:hAnsi="Times New Roman"/>
          <w:color w:val="000000" w:themeColor="text1"/>
        </w:rPr>
        <w:t>,</w:t>
      </w:r>
      <w:r w:rsidRPr="00260790">
        <w:rPr>
          <w:rFonts w:ascii="Times New Roman" w:hAnsi="Times New Roman"/>
          <w:color w:val="000000" w:themeColor="text1"/>
        </w:rPr>
        <w:t xml:space="preserve"> car les eaux devront être drainées, mais aussi la pollution de la nappe.</w:t>
      </w:r>
    </w:p>
    <w:p w14:paraId="02E49EE6" w14:textId="4D70EDA6"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Pour rappel la principale nappe de la zone d’étude est celle des sables de Quaternaire qui est en subsurface. </w:t>
      </w:r>
    </w:p>
    <w:p w14:paraId="17B07F0D"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Ci-dessous le résumé de l’analyse du</w:t>
      </w:r>
      <w:r w:rsidRPr="00260790">
        <w:rPr>
          <w:rFonts w:ascii="Times New Roman" w:hAnsi="Times New Roman"/>
          <w:b/>
          <w:bCs/>
          <w:color w:val="000000" w:themeColor="text1"/>
        </w:rPr>
        <w:t xml:space="preserve"> </w:t>
      </w:r>
      <w:r w:rsidRPr="00260790">
        <w:rPr>
          <w:rFonts w:ascii="Times New Roman" w:hAnsi="Times New Roman"/>
          <w:color w:val="000000" w:themeColor="text1"/>
        </w:rPr>
        <w:t>risque d’interception et de pollution de la nappe des sables du Quaternaire.</w:t>
      </w:r>
    </w:p>
    <w:p w14:paraId="52DB08E0" w14:textId="77777777" w:rsidR="002E053E" w:rsidRPr="00260790" w:rsidRDefault="002E053E">
      <w:pPr>
        <w:spacing w:line="259" w:lineRule="auto"/>
        <w:rPr>
          <w:rFonts w:ascii="Times New Roman" w:eastAsia="Times New Roman" w:hAnsi="Times New Roman"/>
          <w:i/>
          <w:iCs/>
          <w:color w:val="000000" w:themeColor="text1"/>
          <w:lang w:eastAsia="fr-FR"/>
        </w:rPr>
      </w:pPr>
      <w:r w:rsidRPr="00260790">
        <w:rPr>
          <w:rFonts w:ascii="Times New Roman" w:hAnsi="Times New Roman"/>
          <w:color w:val="000000" w:themeColor="text1"/>
        </w:rPr>
        <w:br w:type="page"/>
      </w:r>
    </w:p>
    <w:p w14:paraId="457E2566" w14:textId="1D214DE7" w:rsidR="00DE241D" w:rsidRPr="00260790" w:rsidRDefault="00DE241D" w:rsidP="00E20250">
      <w:pPr>
        <w:pStyle w:val="Lgende"/>
        <w:keepNext/>
        <w:spacing w:line="240" w:lineRule="auto"/>
        <w:rPr>
          <w:color w:val="000000" w:themeColor="text1"/>
          <w:sz w:val="22"/>
          <w:szCs w:val="22"/>
        </w:rPr>
      </w:pPr>
      <w:bookmarkStart w:id="642" w:name="_Toc207781900"/>
      <w:r w:rsidRPr="00260790">
        <w:rPr>
          <w:color w:val="000000" w:themeColor="text1"/>
          <w:sz w:val="22"/>
          <w:szCs w:val="22"/>
        </w:rPr>
        <w:lastRenderedPageBreak/>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59</w:t>
      </w:r>
      <w:r w:rsidRPr="00260790">
        <w:rPr>
          <w:color w:val="000000" w:themeColor="text1"/>
          <w:sz w:val="22"/>
          <w:szCs w:val="22"/>
        </w:rPr>
        <w:fldChar w:fldCharType="end"/>
      </w:r>
      <w:r w:rsidRPr="00260790">
        <w:rPr>
          <w:color w:val="000000" w:themeColor="text1"/>
          <w:sz w:val="22"/>
          <w:szCs w:val="22"/>
        </w:rPr>
        <w:t> : Risque d’interception et de pollution de la nappe des sables du Quaternaire</w:t>
      </w:r>
      <w:bookmarkEnd w:id="642"/>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0"/>
        <w:gridCol w:w="1740"/>
        <w:gridCol w:w="1326"/>
        <w:gridCol w:w="930"/>
        <w:gridCol w:w="1060"/>
        <w:gridCol w:w="2444"/>
      </w:tblGrid>
      <w:tr w:rsidR="00BD1A2F" w:rsidRPr="00632C4D" w14:paraId="6E7C021A" w14:textId="77777777" w:rsidTr="003A0E4A">
        <w:trPr>
          <w:trHeight w:val="230"/>
        </w:trPr>
        <w:tc>
          <w:tcPr>
            <w:tcW w:w="5000" w:type="pct"/>
            <w:gridSpan w:val="6"/>
            <w:shd w:val="clear" w:color="auto" w:fill="D9E2F3" w:themeFill="accent5" w:themeFillTint="33"/>
          </w:tcPr>
          <w:p w14:paraId="136D9864" w14:textId="77777777" w:rsidR="00DE241D" w:rsidRPr="0097258B" w:rsidRDefault="00DE241D" w:rsidP="00E20250">
            <w:pPr>
              <w:spacing w:line="240" w:lineRule="auto"/>
              <w:jc w:val="both"/>
              <w:rPr>
                <w:rFonts w:ascii="Times New Roman" w:hAnsi="Times New Roman"/>
                <w:b/>
                <w:bCs/>
                <w:color w:val="000000" w:themeColor="text1"/>
                <w:sz w:val="20"/>
                <w:szCs w:val="20"/>
                <w:lang w:val="fr-FR"/>
              </w:rPr>
            </w:pPr>
            <w:r w:rsidRPr="00301AF6">
              <w:rPr>
                <w:rFonts w:ascii="Times New Roman" w:hAnsi="Times New Roman"/>
                <w:b/>
                <w:bCs/>
                <w:color w:val="000000" w:themeColor="text1"/>
                <w:sz w:val="20"/>
                <w:szCs w:val="20"/>
                <w:lang w:val="fr-FR"/>
              </w:rPr>
              <w:t>RI-17. Risque d’interception et de pollution de la nappe des sables du Quaternaire</w:t>
            </w:r>
          </w:p>
        </w:tc>
      </w:tr>
      <w:tr w:rsidR="00BD1A2F" w:rsidRPr="00632C4D" w14:paraId="3A7DD350" w14:textId="77777777" w:rsidTr="003A0E4A">
        <w:trPr>
          <w:trHeight w:val="230"/>
        </w:trPr>
        <w:tc>
          <w:tcPr>
            <w:tcW w:w="5000" w:type="pct"/>
            <w:gridSpan w:val="6"/>
          </w:tcPr>
          <w:p w14:paraId="26698E1E"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roofErr w:type="spellStart"/>
            <w:proofErr w:type="gramStart"/>
            <w:r w:rsidRPr="0097258B">
              <w:rPr>
                <w:rFonts w:ascii="Times New Roman" w:hAnsi="Times New Roman" w:cs="Times New Roman"/>
                <w:b/>
                <w:bCs/>
                <w:color w:val="000000" w:themeColor="text1"/>
                <w:sz w:val="20"/>
                <w:szCs w:val="20"/>
              </w:rPr>
              <w:t>Activités</w:t>
            </w:r>
            <w:proofErr w:type="spellEnd"/>
            <w:r w:rsidRPr="0097258B">
              <w:rPr>
                <w:rFonts w:ascii="Times New Roman" w:hAnsi="Times New Roman" w:cs="Times New Roman"/>
                <w:b/>
                <w:bCs/>
                <w:color w:val="000000" w:themeColor="text1"/>
                <w:sz w:val="20"/>
                <w:szCs w:val="20"/>
              </w:rPr>
              <w:t xml:space="preserve"> :</w:t>
            </w:r>
            <w:proofErr w:type="gram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Aménagement</w:t>
            </w:r>
            <w:proofErr w:type="spellEnd"/>
            <w:r w:rsidRPr="0097258B">
              <w:rPr>
                <w:rFonts w:ascii="Times New Roman" w:hAnsi="Times New Roman" w:cs="Times New Roman"/>
                <w:color w:val="000000" w:themeColor="text1"/>
                <w:sz w:val="20"/>
                <w:szCs w:val="20"/>
              </w:rPr>
              <w:t xml:space="preserve"> des </w:t>
            </w:r>
            <w:proofErr w:type="spellStart"/>
            <w:r w:rsidRPr="0097258B">
              <w:rPr>
                <w:rFonts w:ascii="Times New Roman" w:hAnsi="Times New Roman" w:cs="Times New Roman"/>
                <w:color w:val="000000" w:themeColor="text1"/>
                <w:sz w:val="20"/>
                <w:szCs w:val="20"/>
              </w:rPr>
              <w:t>collecteurs</w:t>
            </w:r>
            <w:proofErr w:type="spellEnd"/>
          </w:p>
        </w:tc>
      </w:tr>
      <w:tr w:rsidR="00BD1A2F" w:rsidRPr="00632C4D" w14:paraId="5607EA70" w14:textId="77777777" w:rsidTr="003A0E4A">
        <w:trPr>
          <w:trHeight w:val="230"/>
        </w:trPr>
        <w:tc>
          <w:tcPr>
            <w:tcW w:w="861" w:type="pct"/>
          </w:tcPr>
          <w:p w14:paraId="082089AB"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960" w:type="pct"/>
          </w:tcPr>
          <w:p w14:paraId="634E2449"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initial</w:t>
            </w:r>
          </w:p>
        </w:tc>
        <w:tc>
          <w:tcPr>
            <w:tcW w:w="732" w:type="pct"/>
          </w:tcPr>
          <w:p w14:paraId="47D2E314"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13" w:type="pct"/>
          </w:tcPr>
          <w:p w14:paraId="005E58F3"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85" w:type="pct"/>
          </w:tcPr>
          <w:p w14:paraId="3E871E38"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349" w:type="pct"/>
          </w:tcPr>
          <w:p w14:paraId="609F302C"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p>
        </w:tc>
      </w:tr>
      <w:tr w:rsidR="00BD1A2F" w:rsidRPr="00632C4D" w14:paraId="0A670B95" w14:textId="77777777" w:rsidTr="003A0E4A">
        <w:trPr>
          <w:trHeight w:val="330"/>
        </w:trPr>
        <w:tc>
          <w:tcPr>
            <w:tcW w:w="861" w:type="pct"/>
          </w:tcPr>
          <w:p w14:paraId="08B9BE75"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Avant </w:t>
            </w:r>
            <w:proofErr w:type="spellStart"/>
            <w:r w:rsidRPr="0097258B">
              <w:rPr>
                <w:rFonts w:ascii="Times New Roman" w:hAnsi="Times New Roman" w:cs="Times New Roman"/>
                <w:color w:val="000000" w:themeColor="text1"/>
                <w:sz w:val="20"/>
                <w:szCs w:val="20"/>
              </w:rPr>
              <w:t>prévention</w:t>
            </w:r>
            <w:proofErr w:type="spellEnd"/>
          </w:p>
        </w:tc>
        <w:tc>
          <w:tcPr>
            <w:tcW w:w="960" w:type="pct"/>
          </w:tcPr>
          <w:p w14:paraId="58CC33F8" w14:textId="603F4D72" w:rsidR="00DE241D" w:rsidRPr="0097258B" w:rsidRDefault="00F218CC"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 xml:space="preserve">Interception et pollution de la nappe du Quaternaire </w:t>
            </w:r>
          </w:p>
        </w:tc>
        <w:tc>
          <w:tcPr>
            <w:tcW w:w="732" w:type="pct"/>
            <w:vAlign w:val="center"/>
          </w:tcPr>
          <w:p w14:paraId="2CF2840A"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13" w:type="pct"/>
            <w:vAlign w:val="center"/>
          </w:tcPr>
          <w:p w14:paraId="6EC05064"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85" w:type="pct"/>
            <w:shd w:val="clear" w:color="auto" w:fill="FFFF00"/>
            <w:vAlign w:val="center"/>
          </w:tcPr>
          <w:p w14:paraId="62D90795"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32</w:t>
            </w:r>
          </w:p>
        </w:tc>
        <w:tc>
          <w:tcPr>
            <w:tcW w:w="1349" w:type="pct"/>
          </w:tcPr>
          <w:p w14:paraId="3B04D7B0"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Inondation des tranchées ;</w:t>
            </w:r>
          </w:p>
          <w:p w14:paraId="43D35EBE"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Pollution des eaux souterraines ;</w:t>
            </w:r>
          </w:p>
          <w:p w14:paraId="1EE676C4"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Retard des travaux </w:t>
            </w:r>
          </w:p>
        </w:tc>
      </w:tr>
      <w:tr w:rsidR="00BD1A2F" w:rsidRPr="00632C4D" w14:paraId="1182D43A" w14:textId="77777777" w:rsidTr="003A0E4A">
        <w:trPr>
          <w:trHeight w:val="132"/>
        </w:trPr>
        <w:tc>
          <w:tcPr>
            <w:tcW w:w="861" w:type="pct"/>
          </w:tcPr>
          <w:p w14:paraId="2E340675"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prévention</w:t>
            </w:r>
            <w:proofErr w:type="spellEnd"/>
          </w:p>
        </w:tc>
        <w:tc>
          <w:tcPr>
            <w:tcW w:w="4139" w:type="pct"/>
            <w:gridSpan w:val="5"/>
          </w:tcPr>
          <w:p w14:paraId="1CE87A3E"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Procéder à des études hydrogéologiques pour déterminer la profondeur de la nappe avant le démarrage ;</w:t>
            </w:r>
          </w:p>
          <w:p w14:paraId="1DA657CB" w14:textId="0059D565"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En cas d’interception de la nappe, procéder à un drainage des eaux en prenant les dispositions nécessaires pour éviter leur pollution (</w:t>
            </w:r>
            <w:r w:rsidR="00C539DD" w:rsidRPr="00301AF6">
              <w:rPr>
                <w:rFonts w:ascii="Times New Roman" w:hAnsi="Times New Roman" w:cs="Times New Roman"/>
                <w:color w:val="000000" w:themeColor="text1"/>
                <w:sz w:val="20"/>
                <w:szCs w:val="20"/>
                <w:lang w:val="fr-FR"/>
              </w:rPr>
              <w:t>l</w:t>
            </w:r>
            <w:r w:rsidRPr="00301AF6">
              <w:rPr>
                <w:rFonts w:ascii="Times New Roman" w:hAnsi="Times New Roman" w:cs="Times New Roman"/>
                <w:color w:val="000000" w:themeColor="text1"/>
                <w:sz w:val="20"/>
                <w:szCs w:val="20"/>
                <w:lang w:val="fr-FR"/>
              </w:rPr>
              <w:t>es eaux pourront être injectée</w:t>
            </w:r>
            <w:r w:rsidR="00C539DD" w:rsidRPr="00301AF6">
              <w:rPr>
                <w:rFonts w:ascii="Times New Roman" w:hAnsi="Times New Roman" w:cs="Times New Roman"/>
                <w:color w:val="000000" w:themeColor="text1"/>
                <w:sz w:val="20"/>
                <w:szCs w:val="20"/>
                <w:lang w:val="fr-FR"/>
              </w:rPr>
              <w:t>s</w:t>
            </w:r>
            <w:r w:rsidRPr="00301AF6">
              <w:rPr>
                <w:rFonts w:ascii="Times New Roman" w:hAnsi="Times New Roman" w:cs="Times New Roman"/>
                <w:color w:val="000000" w:themeColor="text1"/>
                <w:sz w:val="20"/>
                <w:szCs w:val="20"/>
                <w:lang w:val="fr-FR"/>
              </w:rPr>
              <w:t xml:space="preserve"> plus loin dans la nappe à travers des puits aménagés à cet effet.)</w:t>
            </w:r>
          </w:p>
        </w:tc>
      </w:tr>
      <w:tr w:rsidR="00BD1A2F" w:rsidRPr="00632C4D" w14:paraId="796D432D" w14:textId="77777777" w:rsidTr="003A0E4A">
        <w:trPr>
          <w:trHeight w:val="230"/>
        </w:trPr>
        <w:tc>
          <w:tcPr>
            <w:tcW w:w="861" w:type="pct"/>
          </w:tcPr>
          <w:p w14:paraId="63146180"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960" w:type="pct"/>
          </w:tcPr>
          <w:p w14:paraId="1FED60B1"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final</w:t>
            </w:r>
          </w:p>
        </w:tc>
        <w:tc>
          <w:tcPr>
            <w:tcW w:w="732" w:type="pct"/>
          </w:tcPr>
          <w:p w14:paraId="70A31D12"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13" w:type="pct"/>
          </w:tcPr>
          <w:p w14:paraId="3C9F3346"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85" w:type="pct"/>
          </w:tcPr>
          <w:p w14:paraId="427EE876"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349" w:type="pct"/>
          </w:tcPr>
          <w:p w14:paraId="19A8BD27"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r w:rsidRPr="0097258B">
              <w:rPr>
                <w:rFonts w:ascii="Times New Roman" w:hAnsi="Times New Roman" w:cs="Times New Roman"/>
                <w:b/>
                <w:bCs/>
                <w:color w:val="000000" w:themeColor="text1"/>
                <w:sz w:val="20"/>
                <w:szCs w:val="20"/>
              </w:rPr>
              <w:t xml:space="preserve"> </w:t>
            </w:r>
            <w:proofErr w:type="spellStart"/>
            <w:r w:rsidRPr="0097258B">
              <w:rPr>
                <w:rFonts w:ascii="Times New Roman" w:hAnsi="Times New Roman" w:cs="Times New Roman"/>
                <w:b/>
                <w:bCs/>
                <w:color w:val="000000" w:themeColor="text1"/>
                <w:sz w:val="20"/>
                <w:szCs w:val="20"/>
              </w:rPr>
              <w:t>résiduel</w:t>
            </w:r>
            <w:proofErr w:type="spellEnd"/>
          </w:p>
        </w:tc>
      </w:tr>
      <w:tr w:rsidR="00BD1A2F" w:rsidRPr="00632C4D" w14:paraId="2B264C65" w14:textId="77777777" w:rsidTr="003A0E4A">
        <w:trPr>
          <w:trHeight w:val="458"/>
        </w:trPr>
        <w:tc>
          <w:tcPr>
            <w:tcW w:w="861" w:type="pct"/>
          </w:tcPr>
          <w:p w14:paraId="6FB71685"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Après </w:t>
            </w:r>
            <w:proofErr w:type="spellStart"/>
            <w:r w:rsidRPr="0097258B">
              <w:rPr>
                <w:rFonts w:ascii="Times New Roman" w:hAnsi="Times New Roman" w:cs="Times New Roman"/>
                <w:color w:val="000000" w:themeColor="text1"/>
                <w:sz w:val="20"/>
                <w:szCs w:val="20"/>
              </w:rPr>
              <w:t>prévention</w:t>
            </w:r>
            <w:proofErr w:type="spellEnd"/>
          </w:p>
        </w:tc>
        <w:tc>
          <w:tcPr>
            <w:tcW w:w="960" w:type="pct"/>
          </w:tcPr>
          <w:p w14:paraId="5DE7F236" w14:textId="778AF404" w:rsidR="00DE241D" w:rsidRPr="0097258B" w:rsidRDefault="00994157"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 xml:space="preserve">Préservation de la qualité des eaux souterraines </w:t>
            </w:r>
          </w:p>
        </w:tc>
        <w:tc>
          <w:tcPr>
            <w:tcW w:w="732" w:type="pct"/>
          </w:tcPr>
          <w:p w14:paraId="2643F23C"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13" w:type="pct"/>
          </w:tcPr>
          <w:p w14:paraId="17B0C1DD"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85" w:type="pct"/>
            <w:shd w:val="clear" w:color="auto" w:fill="A8D08D" w:themeFill="accent6" w:themeFillTint="99"/>
          </w:tcPr>
          <w:p w14:paraId="7309FB7F"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11</w:t>
            </w:r>
          </w:p>
        </w:tc>
        <w:tc>
          <w:tcPr>
            <w:tcW w:w="1349" w:type="pct"/>
          </w:tcPr>
          <w:p w14:paraId="61022A86" w14:textId="28C022FC" w:rsidR="00DE241D" w:rsidRPr="0097258B" w:rsidRDefault="00994157"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Qualité</w:t>
            </w:r>
            <w:proofErr w:type="spellEnd"/>
            <w:r w:rsidRPr="0097258B">
              <w:rPr>
                <w:rFonts w:ascii="Times New Roman" w:hAnsi="Times New Roman" w:cs="Times New Roman"/>
                <w:color w:val="000000" w:themeColor="text1"/>
                <w:sz w:val="20"/>
                <w:szCs w:val="20"/>
              </w:rPr>
              <w:t xml:space="preserve"> des eaux </w:t>
            </w:r>
            <w:proofErr w:type="spellStart"/>
            <w:r w:rsidRPr="0097258B">
              <w:rPr>
                <w:rFonts w:ascii="Times New Roman" w:hAnsi="Times New Roman" w:cs="Times New Roman"/>
                <w:color w:val="000000" w:themeColor="text1"/>
                <w:sz w:val="20"/>
                <w:szCs w:val="20"/>
              </w:rPr>
              <w:t>souterraines</w:t>
            </w:r>
            <w:proofErr w:type="spellEnd"/>
            <w:r w:rsidRPr="0097258B" w:rsidDel="00994157">
              <w:rPr>
                <w:rFonts w:ascii="Times New Roman" w:hAnsi="Times New Roman" w:cs="Times New Roman"/>
                <w:color w:val="000000" w:themeColor="text1"/>
                <w:sz w:val="20"/>
                <w:szCs w:val="20"/>
              </w:rPr>
              <w:t xml:space="preserve"> </w:t>
            </w:r>
            <w:r w:rsidR="00DE241D" w:rsidRPr="0097258B">
              <w:rPr>
                <w:rFonts w:ascii="Times New Roman" w:hAnsi="Times New Roman" w:cs="Times New Roman"/>
                <w:color w:val="000000" w:themeColor="text1"/>
                <w:sz w:val="20"/>
                <w:szCs w:val="20"/>
              </w:rPr>
              <w:t> </w:t>
            </w:r>
          </w:p>
        </w:tc>
      </w:tr>
    </w:tbl>
    <w:p w14:paraId="774D7FE0" w14:textId="77777777" w:rsidR="00DE241D" w:rsidRPr="00260790" w:rsidRDefault="00DE241D" w:rsidP="00F83414">
      <w:pPr>
        <w:spacing w:after="0" w:line="240" w:lineRule="auto"/>
        <w:jc w:val="both"/>
        <w:rPr>
          <w:rFonts w:ascii="Times New Roman" w:hAnsi="Times New Roman"/>
          <w:color w:val="000000" w:themeColor="text1"/>
          <w:highlight w:val="yellow"/>
        </w:rPr>
      </w:pPr>
    </w:p>
    <w:p w14:paraId="732FB5A0" w14:textId="77777777" w:rsidR="00DE241D" w:rsidRPr="00260790" w:rsidRDefault="00DE241D" w:rsidP="001748C6">
      <w:pPr>
        <w:pStyle w:val="Paragraphedeliste"/>
        <w:numPr>
          <w:ilvl w:val="0"/>
          <w:numId w:val="336"/>
        </w:numPr>
        <w:spacing w:after="0" w:line="240" w:lineRule="auto"/>
        <w:jc w:val="both"/>
        <w:rPr>
          <w:rFonts w:ascii="Times New Roman" w:hAnsi="Times New Roman"/>
          <w:i/>
          <w:iCs/>
          <w:color w:val="000000" w:themeColor="text1"/>
          <w:u w:val="single"/>
        </w:rPr>
      </w:pPr>
      <w:r w:rsidRPr="00260790">
        <w:rPr>
          <w:rFonts w:ascii="Times New Roman" w:hAnsi="Times New Roman"/>
          <w:i/>
          <w:iCs/>
          <w:color w:val="000000" w:themeColor="text1"/>
          <w:u w:val="single"/>
        </w:rPr>
        <w:t>Impacts négatifs et risques sur le milieu humain et socioéconomique</w:t>
      </w:r>
    </w:p>
    <w:p w14:paraId="0857A1B5" w14:textId="77777777" w:rsidR="00DE241D" w:rsidRPr="00260790" w:rsidRDefault="00DE241D" w:rsidP="00F83414">
      <w:pPr>
        <w:spacing w:after="0" w:line="240" w:lineRule="auto"/>
        <w:jc w:val="both"/>
        <w:rPr>
          <w:rFonts w:ascii="Times New Roman" w:hAnsi="Times New Roman"/>
          <w:color w:val="000000" w:themeColor="text1"/>
          <w:highlight w:val="yellow"/>
        </w:rPr>
      </w:pPr>
    </w:p>
    <w:p w14:paraId="24E3437E" w14:textId="77777777" w:rsidR="00DE241D" w:rsidRPr="00260790" w:rsidRDefault="00DE241D" w:rsidP="001748C6">
      <w:pPr>
        <w:pStyle w:val="Paragraphedeliste"/>
        <w:numPr>
          <w:ilvl w:val="0"/>
          <w:numId w:val="322"/>
        </w:numPr>
        <w:spacing w:after="0"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IN-14. Perturbation des déplacements des personnes et des biens</w:t>
      </w:r>
    </w:p>
    <w:p w14:paraId="66CCC8C9"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tracés de la plupart des collecteurs sont choisis dans des rues et ruelles. L’ouverture de tranchées et l’aménagement de collecteurs ou la pose de conduites dans ces rues se traduiront par une perturbation des déplacements des usagers notamment des automobilistes et les charretiers. </w:t>
      </w:r>
    </w:p>
    <w:p w14:paraId="593FA248"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Ci-dessous le résumé de l’analyse de la perturbation des déplacements des personnes et des biens. </w:t>
      </w:r>
    </w:p>
    <w:p w14:paraId="79418722" w14:textId="1C42B188" w:rsidR="00DE241D" w:rsidRPr="00260790" w:rsidRDefault="00DE241D" w:rsidP="00E20250">
      <w:pPr>
        <w:pStyle w:val="Lgende"/>
        <w:keepNext/>
        <w:spacing w:line="240" w:lineRule="auto"/>
        <w:rPr>
          <w:color w:val="000000" w:themeColor="text1"/>
          <w:sz w:val="22"/>
          <w:szCs w:val="22"/>
        </w:rPr>
      </w:pPr>
      <w:bookmarkStart w:id="643" w:name="_Toc207781901"/>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60</w:t>
      </w:r>
      <w:r w:rsidRPr="00260790">
        <w:rPr>
          <w:color w:val="000000" w:themeColor="text1"/>
          <w:sz w:val="22"/>
          <w:szCs w:val="22"/>
        </w:rPr>
        <w:fldChar w:fldCharType="end"/>
      </w:r>
      <w:r w:rsidRPr="00260790">
        <w:rPr>
          <w:color w:val="000000" w:themeColor="text1"/>
          <w:sz w:val="22"/>
          <w:szCs w:val="22"/>
        </w:rPr>
        <w:t> : résumé de l’analyse de la perturbation des déplacements des personnes et des biens</w:t>
      </w:r>
      <w:bookmarkEnd w:id="643"/>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13"/>
        <w:gridCol w:w="1439"/>
        <w:gridCol w:w="236"/>
        <w:gridCol w:w="953"/>
        <w:gridCol w:w="227"/>
        <w:gridCol w:w="884"/>
        <w:gridCol w:w="290"/>
        <w:gridCol w:w="1571"/>
        <w:gridCol w:w="129"/>
        <w:gridCol w:w="1618"/>
      </w:tblGrid>
      <w:tr w:rsidR="00BD1A2F" w:rsidRPr="00632C4D" w14:paraId="6E1533BF" w14:textId="77777777" w:rsidTr="003A0E4A">
        <w:trPr>
          <w:cantSplit/>
          <w:trHeight w:val="234"/>
        </w:trPr>
        <w:tc>
          <w:tcPr>
            <w:tcW w:w="5000" w:type="pct"/>
            <w:gridSpan w:val="10"/>
            <w:shd w:val="clear" w:color="auto" w:fill="D9E2F3" w:themeFill="accent5" w:themeFillTint="33"/>
          </w:tcPr>
          <w:p w14:paraId="61EA2187" w14:textId="77777777" w:rsidR="00DE241D" w:rsidRPr="0097258B" w:rsidRDefault="00DE241D" w:rsidP="00E20250">
            <w:pPr>
              <w:spacing w:line="240" w:lineRule="auto"/>
              <w:jc w:val="both"/>
              <w:rPr>
                <w:rFonts w:ascii="Times New Roman" w:hAnsi="Times New Roman"/>
                <w:b/>
                <w:bCs/>
                <w:i/>
                <w:iCs/>
                <w:color w:val="000000" w:themeColor="text1"/>
                <w:sz w:val="20"/>
                <w:szCs w:val="20"/>
                <w:lang w:val="fr-FR"/>
              </w:rPr>
            </w:pPr>
            <w:r w:rsidRPr="00301AF6">
              <w:rPr>
                <w:rFonts w:ascii="Times New Roman" w:hAnsi="Times New Roman"/>
                <w:b/>
                <w:bCs/>
                <w:i/>
                <w:iCs/>
                <w:color w:val="000000" w:themeColor="text1"/>
                <w:sz w:val="20"/>
                <w:szCs w:val="20"/>
                <w:lang w:val="fr-FR"/>
              </w:rPr>
              <w:t>IN-14. Perturbation des déplacements des personnes et des biens</w:t>
            </w:r>
          </w:p>
        </w:tc>
      </w:tr>
      <w:tr w:rsidR="00BD1A2F" w:rsidRPr="00632C4D" w14:paraId="4884680C" w14:textId="77777777" w:rsidTr="003A0E4A">
        <w:trPr>
          <w:cantSplit/>
          <w:trHeight w:val="58"/>
        </w:trPr>
        <w:tc>
          <w:tcPr>
            <w:tcW w:w="5000" w:type="pct"/>
            <w:gridSpan w:val="10"/>
          </w:tcPr>
          <w:p w14:paraId="3E6F2252"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b/>
                <w:bCs/>
                <w:color w:val="000000" w:themeColor="text1"/>
                <w:sz w:val="20"/>
                <w:szCs w:val="20"/>
                <w:lang w:val="fr-FR"/>
              </w:rPr>
              <w:t>Source d’impacts :</w:t>
            </w:r>
            <w:r w:rsidRPr="00301AF6">
              <w:rPr>
                <w:rFonts w:ascii="Times New Roman" w:hAnsi="Times New Roman" w:cs="Times New Roman"/>
                <w:color w:val="000000" w:themeColor="text1"/>
                <w:sz w:val="20"/>
                <w:szCs w:val="20"/>
                <w:lang w:val="fr-FR"/>
              </w:rPr>
              <w:t xml:space="preserve"> Aménagement des collecteurs</w:t>
            </w:r>
          </w:p>
        </w:tc>
      </w:tr>
      <w:tr w:rsidR="00BD1A2F" w:rsidRPr="00632C4D" w14:paraId="5770A0C2" w14:textId="77777777" w:rsidTr="003A0E4A">
        <w:trPr>
          <w:cantSplit/>
          <w:trHeight w:val="58"/>
        </w:trPr>
        <w:tc>
          <w:tcPr>
            <w:tcW w:w="946" w:type="pct"/>
          </w:tcPr>
          <w:p w14:paraId="1A988069"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Critère</w:t>
            </w:r>
            <w:proofErr w:type="spellEnd"/>
          </w:p>
        </w:tc>
        <w:tc>
          <w:tcPr>
            <w:tcW w:w="924" w:type="pct"/>
            <w:gridSpan w:val="2"/>
          </w:tcPr>
          <w:p w14:paraId="6782ECC5"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Intensité</w:t>
            </w:r>
            <w:proofErr w:type="spellEnd"/>
          </w:p>
        </w:tc>
        <w:tc>
          <w:tcPr>
            <w:tcW w:w="651" w:type="pct"/>
            <w:gridSpan w:val="2"/>
          </w:tcPr>
          <w:p w14:paraId="24C23D5A" w14:textId="115C403D" w:rsidR="00DE241D" w:rsidRPr="0097258B" w:rsidRDefault="00E23E20"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É</w:t>
            </w:r>
            <w:r w:rsidR="00DE241D" w:rsidRPr="0097258B">
              <w:rPr>
                <w:rFonts w:ascii="Times New Roman" w:hAnsi="Times New Roman" w:cs="Times New Roman"/>
                <w:b/>
                <w:bCs/>
                <w:color w:val="000000" w:themeColor="text1"/>
                <w:sz w:val="20"/>
                <w:szCs w:val="20"/>
              </w:rPr>
              <w:t>tendue</w:t>
            </w:r>
            <w:proofErr w:type="spellEnd"/>
          </w:p>
        </w:tc>
        <w:tc>
          <w:tcPr>
            <w:tcW w:w="648" w:type="pct"/>
            <w:gridSpan w:val="2"/>
          </w:tcPr>
          <w:p w14:paraId="4AB85BDE"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Durée</w:t>
            </w:r>
          </w:p>
        </w:tc>
        <w:tc>
          <w:tcPr>
            <w:tcW w:w="867" w:type="pct"/>
          </w:tcPr>
          <w:p w14:paraId="1DA93A01"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Importance</w:t>
            </w:r>
          </w:p>
        </w:tc>
        <w:tc>
          <w:tcPr>
            <w:tcW w:w="963" w:type="pct"/>
            <w:gridSpan w:val="2"/>
          </w:tcPr>
          <w:p w14:paraId="0022F07D" w14:textId="77777777" w:rsidR="00DE241D" w:rsidRPr="0097258B" w:rsidRDefault="00DE241D" w:rsidP="00E20250">
            <w:pPr>
              <w:pStyle w:val="Normaltableau0"/>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Réversibilité</w:t>
            </w:r>
            <w:proofErr w:type="spellEnd"/>
          </w:p>
        </w:tc>
      </w:tr>
      <w:tr w:rsidR="00BD1A2F" w:rsidRPr="00632C4D" w14:paraId="34EF5424" w14:textId="77777777" w:rsidTr="003A0E4A">
        <w:trPr>
          <w:trHeight w:val="58"/>
        </w:trPr>
        <w:tc>
          <w:tcPr>
            <w:tcW w:w="946" w:type="pct"/>
          </w:tcPr>
          <w:p w14:paraId="16D418E8"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Sans </w:t>
            </w:r>
            <w:proofErr w:type="spellStart"/>
            <w:r w:rsidRPr="0097258B">
              <w:rPr>
                <w:rFonts w:ascii="Times New Roman" w:hAnsi="Times New Roman" w:cs="Times New Roman"/>
                <w:color w:val="000000" w:themeColor="text1"/>
                <w:sz w:val="20"/>
                <w:szCs w:val="20"/>
              </w:rPr>
              <w:t>atténuation</w:t>
            </w:r>
            <w:proofErr w:type="spellEnd"/>
          </w:p>
        </w:tc>
        <w:tc>
          <w:tcPr>
            <w:tcW w:w="924" w:type="pct"/>
            <w:gridSpan w:val="2"/>
          </w:tcPr>
          <w:p w14:paraId="61CC49C1"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Moyenne</w:t>
            </w:r>
          </w:p>
        </w:tc>
        <w:tc>
          <w:tcPr>
            <w:tcW w:w="651" w:type="pct"/>
            <w:gridSpan w:val="2"/>
          </w:tcPr>
          <w:p w14:paraId="75366A45"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Locale</w:t>
            </w:r>
          </w:p>
        </w:tc>
        <w:tc>
          <w:tcPr>
            <w:tcW w:w="648" w:type="pct"/>
            <w:gridSpan w:val="2"/>
          </w:tcPr>
          <w:p w14:paraId="4397CE41"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Courte</w:t>
            </w:r>
          </w:p>
        </w:tc>
        <w:tc>
          <w:tcPr>
            <w:tcW w:w="867" w:type="pct"/>
            <w:shd w:val="clear" w:color="auto" w:fill="FFFF00"/>
          </w:tcPr>
          <w:p w14:paraId="31D070C0"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Mineure</w:t>
            </w:r>
            <w:proofErr w:type="spellEnd"/>
            <w:r w:rsidRPr="0097258B">
              <w:rPr>
                <w:rFonts w:ascii="Times New Roman" w:hAnsi="Times New Roman" w:cs="Times New Roman"/>
                <w:b/>
                <w:bCs/>
                <w:color w:val="000000" w:themeColor="text1"/>
                <w:sz w:val="20"/>
                <w:szCs w:val="20"/>
              </w:rPr>
              <w:t xml:space="preserve"> </w:t>
            </w:r>
          </w:p>
        </w:tc>
        <w:tc>
          <w:tcPr>
            <w:tcW w:w="963" w:type="pct"/>
            <w:gridSpan w:val="2"/>
          </w:tcPr>
          <w:p w14:paraId="24824720" w14:textId="77777777" w:rsidR="00DE241D" w:rsidRPr="0097258B" w:rsidRDefault="00DE241D" w:rsidP="00E20250">
            <w:pPr>
              <w:pStyle w:val="Normaltableau0"/>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Réversible</w:t>
            </w:r>
            <w:proofErr w:type="spellEnd"/>
          </w:p>
        </w:tc>
      </w:tr>
      <w:tr w:rsidR="00BD1A2F" w:rsidRPr="00632C4D" w14:paraId="7681AC89" w14:textId="77777777" w:rsidTr="003A0E4A">
        <w:trPr>
          <w:trHeight w:val="365"/>
        </w:trPr>
        <w:tc>
          <w:tcPr>
            <w:tcW w:w="946" w:type="pct"/>
          </w:tcPr>
          <w:p w14:paraId="5C7BC7C9"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d’atténuation</w:t>
            </w:r>
            <w:proofErr w:type="spellEnd"/>
          </w:p>
        </w:tc>
        <w:tc>
          <w:tcPr>
            <w:tcW w:w="4054" w:type="pct"/>
            <w:gridSpan w:val="9"/>
          </w:tcPr>
          <w:p w14:paraId="13AC5AA4" w14:textId="77777777" w:rsidR="00DE241D" w:rsidRPr="0097258B" w:rsidRDefault="00DE241D" w:rsidP="001748C6">
            <w:pPr>
              <w:pStyle w:val="Default"/>
              <w:numPr>
                <w:ilvl w:val="0"/>
                <w:numId w:val="318"/>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Informer les populations avant le démarrage des travaux ;</w:t>
            </w:r>
          </w:p>
          <w:p w14:paraId="561DF947" w14:textId="1B190EA6" w:rsidR="00DE241D" w:rsidRPr="0097258B" w:rsidRDefault="00E60FA9" w:rsidP="001748C6">
            <w:pPr>
              <w:pStyle w:val="Default"/>
              <w:numPr>
                <w:ilvl w:val="0"/>
                <w:numId w:val="318"/>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É</w:t>
            </w:r>
            <w:r w:rsidR="00DE241D" w:rsidRPr="00301AF6">
              <w:rPr>
                <w:rFonts w:ascii="Times New Roman" w:hAnsi="Times New Roman" w:cs="Times New Roman"/>
                <w:color w:val="000000" w:themeColor="text1"/>
                <w:sz w:val="20"/>
                <w:szCs w:val="20"/>
                <w:lang w:val="fr-FR"/>
              </w:rPr>
              <w:t>laborer un plan de circulation ;</w:t>
            </w:r>
          </w:p>
          <w:p w14:paraId="56F0FF5E" w14:textId="77777777" w:rsidR="00DE241D" w:rsidRPr="0097258B" w:rsidRDefault="00DE241D" w:rsidP="001748C6">
            <w:pPr>
              <w:pStyle w:val="Default"/>
              <w:numPr>
                <w:ilvl w:val="0"/>
                <w:numId w:val="318"/>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 xml:space="preserve">Installer des panneaux d’approche et baliser les tranchées pour éviter des accidents </w:t>
            </w:r>
          </w:p>
        </w:tc>
      </w:tr>
      <w:tr w:rsidR="00BD1A2F" w:rsidRPr="00632C4D" w14:paraId="56B4E8D8" w14:textId="77777777" w:rsidTr="003A0E4A">
        <w:trPr>
          <w:trHeight w:val="101"/>
        </w:trPr>
        <w:tc>
          <w:tcPr>
            <w:tcW w:w="946" w:type="pct"/>
          </w:tcPr>
          <w:p w14:paraId="67C4F97B"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Avec </w:t>
            </w:r>
            <w:proofErr w:type="spellStart"/>
            <w:r w:rsidRPr="0097258B">
              <w:rPr>
                <w:rFonts w:ascii="Times New Roman" w:hAnsi="Times New Roman" w:cs="Times New Roman"/>
                <w:color w:val="000000" w:themeColor="text1"/>
                <w:sz w:val="20"/>
                <w:szCs w:val="20"/>
              </w:rPr>
              <w:t>atténuation</w:t>
            </w:r>
            <w:proofErr w:type="spellEnd"/>
          </w:p>
        </w:tc>
        <w:tc>
          <w:tcPr>
            <w:tcW w:w="794" w:type="pct"/>
          </w:tcPr>
          <w:p w14:paraId="0AA3CB50"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Faible</w:t>
            </w:r>
            <w:proofErr w:type="spellEnd"/>
          </w:p>
        </w:tc>
        <w:tc>
          <w:tcPr>
            <w:tcW w:w="656" w:type="pct"/>
            <w:gridSpan w:val="2"/>
          </w:tcPr>
          <w:p w14:paraId="48BB778E"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Ponctuelle</w:t>
            </w:r>
            <w:proofErr w:type="spellEnd"/>
          </w:p>
        </w:tc>
        <w:tc>
          <w:tcPr>
            <w:tcW w:w="613" w:type="pct"/>
            <w:gridSpan w:val="2"/>
          </w:tcPr>
          <w:p w14:paraId="5AE664F7"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Courte</w:t>
            </w:r>
          </w:p>
        </w:tc>
        <w:tc>
          <w:tcPr>
            <w:tcW w:w="1098" w:type="pct"/>
            <w:gridSpan w:val="3"/>
          </w:tcPr>
          <w:p w14:paraId="53BC4487"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Négligeable</w:t>
            </w:r>
            <w:proofErr w:type="spellEnd"/>
          </w:p>
        </w:tc>
        <w:tc>
          <w:tcPr>
            <w:tcW w:w="892" w:type="pct"/>
          </w:tcPr>
          <w:p w14:paraId="789DBEFD" w14:textId="77777777" w:rsidR="00DE241D" w:rsidRPr="0097258B" w:rsidRDefault="00DE241D" w:rsidP="00E20250">
            <w:pPr>
              <w:pStyle w:val="TableParagraph"/>
              <w:rPr>
                <w:color w:val="000000" w:themeColor="text1"/>
                <w:sz w:val="20"/>
                <w:szCs w:val="20"/>
                <w:lang w:val="fr-FR"/>
              </w:rPr>
            </w:pPr>
          </w:p>
        </w:tc>
      </w:tr>
    </w:tbl>
    <w:p w14:paraId="755586E6" w14:textId="77777777" w:rsidR="00DE241D" w:rsidRPr="00260790" w:rsidRDefault="00DE241D" w:rsidP="00F83414">
      <w:pPr>
        <w:spacing w:after="0" w:line="240" w:lineRule="auto"/>
        <w:jc w:val="both"/>
        <w:rPr>
          <w:rFonts w:ascii="Times New Roman" w:hAnsi="Times New Roman"/>
          <w:color w:val="000000" w:themeColor="text1"/>
        </w:rPr>
      </w:pPr>
    </w:p>
    <w:p w14:paraId="6D251CFD" w14:textId="77777777" w:rsidR="00DE241D" w:rsidRPr="00260790" w:rsidRDefault="00DE241D" w:rsidP="001748C6">
      <w:pPr>
        <w:pStyle w:val="Paragraphedeliste"/>
        <w:numPr>
          <w:ilvl w:val="0"/>
          <w:numId w:val="323"/>
        </w:numPr>
        <w:spacing w:after="0"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 xml:space="preserve">IN-15. Entrave d’accès à des habitations, des infrastructures scolaires, une unité industrielle, un service public, des parkings et d’une mosquée </w:t>
      </w:r>
    </w:p>
    <w:p w14:paraId="0474C6CF" w14:textId="45BDFF32" w:rsidR="00DE241D" w:rsidRPr="00260790" w:rsidRDefault="00DE241D" w:rsidP="00E20250">
      <w:pPr>
        <w:spacing w:line="240" w:lineRule="auto"/>
        <w:jc w:val="both"/>
        <w:rPr>
          <w:rFonts w:ascii="Times New Roman" w:hAnsi="Times New Roman"/>
          <w:bCs/>
          <w:color w:val="000000" w:themeColor="text1"/>
        </w:rPr>
      </w:pPr>
      <w:r w:rsidRPr="00260790">
        <w:rPr>
          <w:rFonts w:ascii="Times New Roman" w:hAnsi="Times New Roman"/>
          <w:color w:val="000000" w:themeColor="text1"/>
        </w:rPr>
        <w:t>Les tracés de certains des collecteurs sont bordés d’habitations, d’infrastructures scolaires (franco</w:t>
      </w:r>
      <w:r w:rsidR="00692054" w:rsidRPr="00260790">
        <w:rPr>
          <w:rFonts w:ascii="Times New Roman" w:hAnsi="Times New Roman"/>
          <w:color w:val="000000" w:themeColor="text1"/>
        </w:rPr>
        <w:t>-</w:t>
      </w:r>
      <w:r w:rsidRPr="00260790">
        <w:rPr>
          <w:rFonts w:ascii="Times New Roman" w:hAnsi="Times New Roman"/>
          <w:color w:val="000000" w:themeColor="text1"/>
        </w:rPr>
        <w:t xml:space="preserve">arabe Darou Tafsir et école Madiba le long du </w:t>
      </w:r>
      <w:r w:rsidRPr="00260790">
        <w:rPr>
          <w:rFonts w:ascii="Times New Roman" w:hAnsi="Times New Roman"/>
          <w:bCs/>
          <w:color w:val="000000" w:themeColor="text1"/>
        </w:rPr>
        <w:t>Collecteur BR_NC 09a), d’un marché (Collecteur BR_ND 11) ;</w:t>
      </w:r>
      <w:r w:rsidRPr="00260790">
        <w:rPr>
          <w:rFonts w:ascii="Times New Roman" w:hAnsi="Times New Roman"/>
          <w:b/>
          <w:color w:val="000000" w:themeColor="text1"/>
        </w:rPr>
        <w:t xml:space="preserve"> </w:t>
      </w:r>
      <w:r w:rsidRPr="00260790">
        <w:rPr>
          <w:rFonts w:ascii="Times New Roman" w:hAnsi="Times New Roman"/>
          <w:bCs/>
          <w:color w:val="000000" w:themeColor="text1"/>
        </w:rPr>
        <w:t>d’un service public</w:t>
      </w:r>
      <w:r w:rsidRPr="00260790">
        <w:rPr>
          <w:rFonts w:ascii="Times New Roman" w:hAnsi="Times New Roman"/>
          <w:b/>
          <w:color w:val="000000" w:themeColor="text1"/>
        </w:rPr>
        <w:t xml:space="preserve"> (</w:t>
      </w:r>
      <w:r w:rsidRPr="00260790">
        <w:rPr>
          <w:rFonts w:ascii="Times New Roman" w:hAnsi="Times New Roman"/>
          <w:color w:val="000000" w:themeColor="text1"/>
        </w:rPr>
        <w:t xml:space="preserve">commissariat de police de </w:t>
      </w:r>
      <w:proofErr w:type="spellStart"/>
      <w:r w:rsidRPr="00260790">
        <w:rPr>
          <w:rFonts w:ascii="Times New Roman" w:hAnsi="Times New Roman"/>
          <w:color w:val="000000" w:themeColor="text1"/>
        </w:rPr>
        <w:t>Jaxaay</w:t>
      </w:r>
      <w:proofErr w:type="spellEnd"/>
      <w:r w:rsidRPr="00260790">
        <w:rPr>
          <w:rFonts w:ascii="Times New Roman" w:hAnsi="Times New Roman"/>
          <w:color w:val="000000" w:themeColor="text1"/>
        </w:rPr>
        <w:t>), d’une unité industrielle (</w:t>
      </w:r>
      <w:r w:rsidRPr="00260790">
        <w:rPr>
          <w:rFonts w:ascii="Times New Roman" w:hAnsi="Times New Roman"/>
          <w:bCs/>
          <w:color w:val="000000" w:themeColor="text1"/>
        </w:rPr>
        <w:t>Collecteur BR_NA 09), de parkings (Collecteur BR_NA 09 vers BR_NA 16g)</w:t>
      </w:r>
      <w:r w:rsidR="000F56B2" w:rsidRPr="00260790">
        <w:rPr>
          <w:rFonts w:ascii="Times New Roman" w:hAnsi="Times New Roman"/>
          <w:bCs/>
          <w:color w:val="000000" w:themeColor="text1"/>
        </w:rPr>
        <w:t>.</w:t>
      </w:r>
    </w:p>
    <w:p w14:paraId="0EFB9452" w14:textId="77777777" w:rsidR="00DE241D" w:rsidRPr="00260790" w:rsidRDefault="00DE241D" w:rsidP="00E20250">
      <w:pPr>
        <w:spacing w:line="240" w:lineRule="auto"/>
        <w:jc w:val="both"/>
        <w:rPr>
          <w:rFonts w:ascii="Times New Roman" w:hAnsi="Times New Roman"/>
          <w:bCs/>
          <w:color w:val="000000" w:themeColor="text1"/>
        </w:rPr>
      </w:pPr>
      <w:r w:rsidRPr="00260790">
        <w:rPr>
          <w:rFonts w:ascii="Times New Roman" w:hAnsi="Times New Roman"/>
          <w:bCs/>
          <w:color w:val="000000" w:themeColor="text1"/>
        </w:rPr>
        <w:t xml:space="preserve">L’ouverture de tranchées pour l’aménagement de collecteurs et la pose des conduites entravera temporairement l’accès à ces lieux. </w:t>
      </w:r>
    </w:p>
    <w:p w14:paraId="6475CC34"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bCs/>
          <w:color w:val="000000" w:themeColor="text1"/>
        </w:rPr>
        <w:t>Ci-dessous le résumé de l’analyse des entraves d’accès.</w:t>
      </w:r>
    </w:p>
    <w:p w14:paraId="5FF765A2" w14:textId="77777777" w:rsidR="002E053E" w:rsidRPr="00260790" w:rsidRDefault="002E053E">
      <w:pPr>
        <w:spacing w:line="259" w:lineRule="auto"/>
        <w:rPr>
          <w:rFonts w:ascii="Times New Roman" w:eastAsia="Times New Roman" w:hAnsi="Times New Roman"/>
          <w:i/>
          <w:iCs/>
          <w:color w:val="000000" w:themeColor="text1"/>
          <w:lang w:eastAsia="fr-FR"/>
        </w:rPr>
      </w:pPr>
      <w:r w:rsidRPr="00260790">
        <w:rPr>
          <w:rFonts w:ascii="Times New Roman" w:hAnsi="Times New Roman"/>
          <w:color w:val="000000" w:themeColor="text1"/>
        </w:rPr>
        <w:br w:type="page"/>
      </w:r>
    </w:p>
    <w:p w14:paraId="1627CC7F" w14:textId="6569D700" w:rsidR="00DE241D" w:rsidRPr="00260790" w:rsidRDefault="00DE241D" w:rsidP="00E20250">
      <w:pPr>
        <w:pStyle w:val="Lgende"/>
        <w:keepNext/>
        <w:spacing w:line="240" w:lineRule="auto"/>
        <w:rPr>
          <w:color w:val="000000" w:themeColor="text1"/>
          <w:sz w:val="22"/>
          <w:szCs w:val="22"/>
        </w:rPr>
      </w:pPr>
      <w:bookmarkStart w:id="644" w:name="_Toc207781902"/>
      <w:r w:rsidRPr="00260790">
        <w:rPr>
          <w:color w:val="000000" w:themeColor="text1"/>
          <w:sz w:val="22"/>
          <w:szCs w:val="22"/>
        </w:rPr>
        <w:lastRenderedPageBreak/>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61</w:t>
      </w:r>
      <w:r w:rsidRPr="00260790">
        <w:rPr>
          <w:color w:val="000000" w:themeColor="text1"/>
          <w:sz w:val="22"/>
          <w:szCs w:val="22"/>
        </w:rPr>
        <w:fldChar w:fldCharType="end"/>
      </w:r>
      <w:r w:rsidRPr="00260790">
        <w:rPr>
          <w:color w:val="000000" w:themeColor="text1"/>
          <w:sz w:val="22"/>
          <w:szCs w:val="22"/>
        </w:rPr>
        <w:t> : résumé de l’analyse des entraves d’accès</w:t>
      </w:r>
      <w:bookmarkEnd w:id="644"/>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13"/>
        <w:gridCol w:w="1439"/>
        <w:gridCol w:w="236"/>
        <w:gridCol w:w="953"/>
        <w:gridCol w:w="227"/>
        <w:gridCol w:w="884"/>
        <w:gridCol w:w="290"/>
        <w:gridCol w:w="1571"/>
        <w:gridCol w:w="129"/>
        <w:gridCol w:w="1618"/>
      </w:tblGrid>
      <w:tr w:rsidR="00BD1A2F" w:rsidRPr="00632C4D" w14:paraId="2808DF89" w14:textId="77777777" w:rsidTr="003A0E4A">
        <w:trPr>
          <w:cantSplit/>
          <w:trHeight w:val="234"/>
        </w:trPr>
        <w:tc>
          <w:tcPr>
            <w:tcW w:w="5000" w:type="pct"/>
            <w:gridSpan w:val="10"/>
            <w:shd w:val="clear" w:color="auto" w:fill="D9E2F3" w:themeFill="accent5" w:themeFillTint="33"/>
          </w:tcPr>
          <w:p w14:paraId="0FDCE34E" w14:textId="77777777" w:rsidR="00DE241D" w:rsidRPr="0097258B" w:rsidRDefault="00DE241D" w:rsidP="00E20250">
            <w:pPr>
              <w:spacing w:line="240" w:lineRule="auto"/>
              <w:ind w:left="57" w:right="57"/>
              <w:jc w:val="both"/>
              <w:rPr>
                <w:rFonts w:ascii="Times New Roman" w:hAnsi="Times New Roman"/>
                <w:b/>
                <w:bCs/>
                <w:i/>
                <w:iCs/>
                <w:color w:val="000000" w:themeColor="text1"/>
                <w:sz w:val="20"/>
                <w:szCs w:val="20"/>
                <w:lang w:val="fr-FR"/>
              </w:rPr>
            </w:pPr>
            <w:r w:rsidRPr="00301AF6">
              <w:rPr>
                <w:rFonts w:ascii="Times New Roman" w:hAnsi="Times New Roman"/>
                <w:b/>
                <w:bCs/>
                <w:i/>
                <w:iCs/>
                <w:color w:val="000000" w:themeColor="text1"/>
                <w:sz w:val="20"/>
                <w:szCs w:val="20"/>
                <w:lang w:val="fr-FR"/>
              </w:rPr>
              <w:t xml:space="preserve">IN-15. Entrave d’accès à des habitations, des infrastructures scolaires, une unité industrielle, un service public, des parkings et d’une mosquée </w:t>
            </w:r>
          </w:p>
        </w:tc>
      </w:tr>
      <w:tr w:rsidR="00BD1A2F" w:rsidRPr="00632C4D" w14:paraId="42D7F94C" w14:textId="77777777" w:rsidTr="003A0E4A">
        <w:trPr>
          <w:cantSplit/>
          <w:trHeight w:val="58"/>
        </w:trPr>
        <w:tc>
          <w:tcPr>
            <w:tcW w:w="5000" w:type="pct"/>
            <w:gridSpan w:val="10"/>
          </w:tcPr>
          <w:p w14:paraId="77744715"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b/>
                <w:bCs/>
                <w:color w:val="000000" w:themeColor="text1"/>
                <w:sz w:val="20"/>
                <w:szCs w:val="20"/>
                <w:lang w:val="fr-FR"/>
              </w:rPr>
              <w:t>Source d’impacts :</w:t>
            </w:r>
            <w:r w:rsidRPr="00301AF6">
              <w:rPr>
                <w:rFonts w:ascii="Times New Roman" w:hAnsi="Times New Roman" w:cs="Times New Roman"/>
                <w:color w:val="000000" w:themeColor="text1"/>
                <w:sz w:val="20"/>
                <w:szCs w:val="20"/>
                <w:lang w:val="fr-FR"/>
              </w:rPr>
              <w:t xml:space="preserve"> Aménagement des collecteurs</w:t>
            </w:r>
          </w:p>
        </w:tc>
      </w:tr>
      <w:tr w:rsidR="00BD1A2F" w:rsidRPr="00632C4D" w14:paraId="2FA88CE0" w14:textId="77777777" w:rsidTr="003A0E4A">
        <w:trPr>
          <w:cantSplit/>
          <w:trHeight w:val="58"/>
        </w:trPr>
        <w:tc>
          <w:tcPr>
            <w:tcW w:w="946" w:type="pct"/>
          </w:tcPr>
          <w:p w14:paraId="7283BE6F"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Critère</w:t>
            </w:r>
            <w:proofErr w:type="spellEnd"/>
          </w:p>
        </w:tc>
        <w:tc>
          <w:tcPr>
            <w:tcW w:w="924" w:type="pct"/>
            <w:gridSpan w:val="2"/>
          </w:tcPr>
          <w:p w14:paraId="432DA2C2"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Intensité</w:t>
            </w:r>
            <w:proofErr w:type="spellEnd"/>
          </w:p>
        </w:tc>
        <w:tc>
          <w:tcPr>
            <w:tcW w:w="651" w:type="pct"/>
            <w:gridSpan w:val="2"/>
          </w:tcPr>
          <w:p w14:paraId="48C9BED3" w14:textId="24F3F9F5" w:rsidR="00DE241D" w:rsidRPr="0097258B" w:rsidRDefault="00E23E20"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É</w:t>
            </w:r>
            <w:r w:rsidR="00DE241D" w:rsidRPr="0097258B">
              <w:rPr>
                <w:rFonts w:ascii="Times New Roman" w:hAnsi="Times New Roman" w:cs="Times New Roman"/>
                <w:b/>
                <w:bCs/>
                <w:color w:val="000000" w:themeColor="text1"/>
                <w:sz w:val="20"/>
                <w:szCs w:val="20"/>
              </w:rPr>
              <w:t>tendue</w:t>
            </w:r>
            <w:proofErr w:type="spellEnd"/>
          </w:p>
        </w:tc>
        <w:tc>
          <w:tcPr>
            <w:tcW w:w="648" w:type="pct"/>
            <w:gridSpan w:val="2"/>
          </w:tcPr>
          <w:p w14:paraId="7EAA7007"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Durée</w:t>
            </w:r>
          </w:p>
        </w:tc>
        <w:tc>
          <w:tcPr>
            <w:tcW w:w="867" w:type="pct"/>
          </w:tcPr>
          <w:p w14:paraId="6B98B267"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Importance</w:t>
            </w:r>
          </w:p>
        </w:tc>
        <w:tc>
          <w:tcPr>
            <w:tcW w:w="963" w:type="pct"/>
            <w:gridSpan w:val="2"/>
          </w:tcPr>
          <w:p w14:paraId="5C010EFB" w14:textId="77777777" w:rsidR="00DE241D" w:rsidRPr="0097258B" w:rsidRDefault="00DE241D" w:rsidP="00E20250">
            <w:pPr>
              <w:pStyle w:val="Normaltableau0"/>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Réversibilité</w:t>
            </w:r>
            <w:proofErr w:type="spellEnd"/>
          </w:p>
        </w:tc>
      </w:tr>
      <w:tr w:rsidR="00BD1A2F" w:rsidRPr="00632C4D" w14:paraId="0C56F894" w14:textId="77777777" w:rsidTr="003A0E4A">
        <w:trPr>
          <w:trHeight w:val="58"/>
        </w:trPr>
        <w:tc>
          <w:tcPr>
            <w:tcW w:w="946" w:type="pct"/>
          </w:tcPr>
          <w:p w14:paraId="7031311C"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Sans </w:t>
            </w:r>
            <w:proofErr w:type="spellStart"/>
            <w:r w:rsidRPr="0097258B">
              <w:rPr>
                <w:rFonts w:ascii="Times New Roman" w:hAnsi="Times New Roman" w:cs="Times New Roman"/>
                <w:color w:val="000000" w:themeColor="text1"/>
                <w:sz w:val="20"/>
                <w:szCs w:val="20"/>
              </w:rPr>
              <w:t>atténuation</w:t>
            </w:r>
            <w:proofErr w:type="spellEnd"/>
          </w:p>
        </w:tc>
        <w:tc>
          <w:tcPr>
            <w:tcW w:w="924" w:type="pct"/>
            <w:gridSpan w:val="2"/>
          </w:tcPr>
          <w:p w14:paraId="2A35E0CE"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Moyenne</w:t>
            </w:r>
          </w:p>
        </w:tc>
        <w:tc>
          <w:tcPr>
            <w:tcW w:w="651" w:type="pct"/>
            <w:gridSpan w:val="2"/>
          </w:tcPr>
          <w:p w14:paraId="6FFE0C62"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Locale</w:t>
            </w:r>
          </w:p>
        </w:tc>
        <w:tc>
          <w:tcPr>
            <w:tcW w:w="648" w:type="pct"/>
            <w:gridSpan w:val="2"/>
          </w:tcPr>
          <w:p w14:paraId="002E0BBC"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Courte</w:t>
            </w:r>
          </w:p>
        </w:tc>
        <w:tc>
          <w:tcPr>
            <w:tcW w:w="867" w:type="pct"/>
            <w:shd w:val="clear" w:color="auto" w:fill="FFFF00"/>
          </w:tcPr>
          <w:p w14:paraId="0184CFCB"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Mineure</w:t>
            </w:r>
            <w:proofErr w:type="spellEnd"/>
            <w:r w:rsidRPr="0097258B">
              <w:rPr>
                <w:rFonts w:ascii="Times New Roman" w:hAnsi="Times New Roman" w:cs="Times New Roman"/>
                <w:b/>
                <w:bCs/>
                <w:color w:val="000000" w:themeColor="text1"/>
                <w:sz w:val="20"/>
                <w:szCs w:val="20"/>
              </w:rPr>
              <w:t xml:space="preserve"> </w:t>
            </w:r>
          </w:p>
        </w:tc>
        <w:tc>
          <w:tcPr>
            <w:tcW w:w="963" w:type="pct"/>
            <w:gridSpan w:val="2"/>
          </w:tcPr>
          <w:p w14:paraId="5F243D77" w14:textId="77777777" w:rsidR="00DE241D" w:rsidRPr="0097258B" w:rsidRDefault="00DE241D" w:rsidP="00E20250">
            <w:pPr>
              <w:pStyle w:val="Normaltableau0"/>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Réversible</w:t>
            </w:r>
            <w:proofErr w:type="spellEnd"/>
          </w:p>
        </w:tc>
      </w:tr>
      <w:tr w:rsidR="00BD1A2F" w:rsidRPr="00632C4D" w14:paraId="5367AB2B" w14:textId="77777777" w:rsidTr="003A0E4A">
        <w:trPr>
          <w:trHeight w:val="365"/>
        </w:trPr>
        <w:tc>
          <w:tcPr>
            <w:tcW w:w="946" w:type="pct"/>
          </w:tcPr>
          <w:p w14:paraId="7F8B059A"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d’atténuation</w:t>
            </w:r>
            <w:proofErr w:type="spellEnd"/>
          </w:p>
        </w:tc>
        <w:tc>
          <w:tcPr>
            <w:tcW w:w="4054" w:type="pct"/>
            <w:gridSpan w:val="9"/>
          </w:tcPr>
          <w:p w14:paraId="1362DBDC" w14:textId="77777777" w:rsidR="00DE241D" w:rsidRPr="0097258B" w:rsidRDefault="00DE241D" w:rsidP="001748C6">
            <w:pPr>
              <w:pStyle w:val="Default"/>
              <w:numPr>
                <w:ilvl w:val="0"/>
                <w:numId w:val="318"/>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Informer les populations avant le démarrage des travaux ;</w:t>
            </w:r>
          </w:p>
          <w:p w14:paraId="52994496" w14:textId="77777777" w:rsidR="00DE241D" w:rsidRPr="0097258B" w:rsidRDefault="00DE241D" w:rsidP="001748C6">
            <w:pPr>
              <w:pStyle w:val="Default"/>
              <w:numPr>
                <w:ilvl w:val="0"/>
                <w:numId w:val="318"/>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Installer des panneaux d’approche et baliser les tranchées pour éviter des accidents ;</w:t>
            </w:r>
          </w:p>
          <w:p w14:paraId="5CE91B23" w14:textId="77777777" w:rsidR="00DE241D" w:rsidRPr="0097258B" w:rsidRDefault="00DE241D" w:rsidP="001748C6">
            <w:pPr>
              <w:pStyle w:val="Default"/>
              <w:numPr>
                <w:ilvl w:val="0"/>
                <w:numId w:val="318"/>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Aménager des passerelles suffisamment larges et les plus basses possibles pour faciliter le franchissement des tranchées ;</w:t>
            </w:r>
          </w:p>
          <w:p w14:paraId="75C2F616" w14:textId="77777777" w:rsidR="00DE241D" w:rsidRPr="0097258B" w:rsidRDefault="00DE241D" w:rsidP="001748C6">
            <w:pPr>
              <w:pStyle w:val="Default"/>
              <w:numPr>
                <w:ilvl w:val="0"/>
                <w:numId w:val="318"/>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Diligenter les travaux pour respecter les délais et minimiser les désagréments aux populations ;</w:t>
            </w:r>
          </w:p>
        </w:tc>
      </w:tr>
      <w:tr w:rsidR="00BD1A2F" w:rsidRPr="00632C4D" w14:paraId="19C25983" w14:textId="77777777" w:rsidTr="003A0E4A">
        <w:trPr>
          <w:trHeight w:val="101"/>
        </w:trPr>
        <w:tc>
          <w:tcPr>
            <w:tcW w:w="946" w:type="pct"/>
          </w:tcPr>
          <w:p w14:paraId="4B1E7028"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Avec </w:t>
            </w:r>
            <w:proofErr w:type="spellStart"/>
            <w:r w:rsidRPr="0097258B">
              <w:rPr>
                <w:rFonts w:ascii="Times New Roman" w:hAnsi="Times New Roman" w:cs="Times New Roman"/>
                <w:color w:val="000000" w:themeColor="text1"/>
                <w:sz w:val="20"/>
                <w:szCs w:val="20"/>
              </w:rPr>
              <w:t>atténuation</w:t>
            </w:r>
            <w:proofErr w:type="spellEnd"/>
          </w:p>
        </w:tc>
        <w:tc>
          <w:tcPr>
            <w:tcW w:w="794" w:type="pct"/>
          </w:tcPr>
          <w:p w14:paraId="69C178B5"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Faible</w:t>
            </w:r>
            <w:proofErr w:type="spellEnd"/>
          </w:p>
        </w:tc>
        <w:tc>
          <w:tcPr>
            <w:tcW w:w="656" w:type="pct"/>
            <w:gridSpan w:val="2"/>
          </w:tcPr>
          <w:p w14:paraId="3E40B137"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Ponctuelle</w:t>
            </w:r>
            <w:proofErr w:type="spellEnd"/>
          </w:p>
        </w:tc>
        <w:tc>
          <w:tcPr>
            <w:tcW w:w="613" w:type="pct"/>
            <w:gridSpan w:val="2"/>
          </w:tcPr>
          <w:p w14:paraId="52DB4F50"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Courte</w:t>
            </w:r>
          </w:p>
        </w:tc>
        <w:tc>
          <w:tcPr>
            <w:tcW w:w="1098" w:type="pct"/>
            <w:gridSpan w:val="3"/>
          </w:tcPr>
          <w:p w14:paraId="427EA314"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Négligeable</w:t>
            </w:r>
            <w:proofErr w:type="spellEnd"/>
          </w:p>
        </w:tc>
        <w:tc>
          <w:tcPr>
            <w:tcW w:w="892" w:type="pct"/>
          </w:tcPr>
          <w:p w14:paraId="0F430924" w14:textId="77777777" w:rsidR="00DE241D" w:rsidRPr="0097258B" w:rsidRDefault="00DE241D" w:rsidP="00E20250">
            <w:pPr>
              <w:pStyle w:val="TableParagraph"/>
              <w:rPr>
                <w:color w:val="000000" w:themeColor="text1"/>
                <w:sz w:val="20"/>
                <w:szCs w:val="20"/>
                <w:lang w:val="fr-FR"/>
              </w:rPr>
            </w:pPr>
          </w:p>
        </w:tc>
      </w:tr>
    </w:tbl>
    <w:p w14:paraId="5E54CB6F" w14:textId="77777777" w:rsidR="00F83414" w:rsidRPr="00260790" w:rsidRDefault="00F83414" w:rsidP="00F83414">
      <w:pPr>
        <w:spacing w:after="0" w:line="240" w:lineRule="auto"/>
        <w:jc w:val="both"/>
        <w:rPr>
          <w:rFonts w:ascii="Times New Roman" w:hAnsi="Times New Roman"/>
          <w:b/>
          <w:bCs/>
          <w:i/>
          <w:iCs/>
          <w:color w:val="000000" w:themeColor="text1"/>
        </w:rPr>
      </w:pPr>
    </w:p>
    <w:p w14:paraId="5E998145" w14:textId="019F7B96" w:rsidR="00DE241D" w:rsidRPr="00260790" w:rsidRDefault="00DE241D" w:rsidP="001748C6">
      <w:pPr>
        <w:pStyle w:val="Paragraphedeliste"/>
        <w:numPr>
          <w:ilvl w:val="0"/>
          <w:numId w:val="328"/>
        </w:numPr>
        <w:spacing w:after="0"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IN-16. Destruction de rampes d’accès d’habitations</w:t>
      </w:r>
    </w:p>
    <w:p w14:paraId="3E7963B4" w14:textId="77777777" w:rsidR="00DE241D" w:rsidRPr="00260790" w:rsidRDefault="00DE241D" w:rsidP="00E20250">
      <w:pPr>
        <w:spacing w:line="240" w:lineRule="auto"/>
        <w:jc w:val="both"/>
        <w:rPr>
          <w:rFonts w:ascii="Times New Roman" w:hAnsi="Times New Roman"/>
          <w:bCs/>
          <w:color w:val="000000" w:themeColor="text1"/>
        </w:rPr>
      </w:pPr>
      <w:r w:rsidRPr="00260790">
        <w:rPr>
          <w:rFonts w:ascii="Times New Roman" w:hAnsi="Times New Roman"/>
          <w:color w:val="000000" w:themeColor="text1"/>
        </w:rPr>
        <w:t xml:space="preserve">L’ouverture de tranchées pour la pose des conduites des collecteurs </w:t>
      </w:r>
      <w:r w:rsidRPr="00260790">
        <w:rPr>
          <w:rFonts w:ascii="Times New Roman" w:hAnsi="Times New Roman"/>
          <w:bCs/>
          <w:color w:val="000000" w:themeColor="text1"/>
        </w:rPr>
        <w:t>BR_NC 10 vers BR_NC 09a</w:t>
      </w:r>
      <w:r w:rsidRPr="00260790">
        <w:rPr>
          <w:rFonts w:ascii="Times New Roman" w:hAnsi="Times New Roman"/>
          <w:b/>
          <w:color w:val="000000" w:themeColor="text1"/>
        </w:rPr>
        <w:t xml:space="preserve"> </w:t>
      </w:r>
      <w:r w:rsidRPr="00260790">
        <w:rPr>
          <w:rFonts w:ascii="Times New Roman" w:hAnsi="Times New Roman"/>
          <w:bCs/>
          <w:color w:val="000000" w:themeColor="text1"/>
        </w:rPr>
        <w:t>; BR_NC 09a vers BR_NC 03d et BR_ND 11 vers BR_ND 20, entrainera la destruction de rampes d’accès à des habitations.</w:t>
      </w:r>
    </w:p>
    <w:p w14:paraId="51F2BC84"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bCs/>
          <w:color w:val="000000" w:themeColor="text1"/>
        </w:rPr>
        <w:t>Ci-dessous le résumé de l’analyse des destructions de rampes d’accès à des habitations.</w:t>
      </w:r>
    </w:p>
    <w:p w14:paraId="683702C5" w14:textId="59D9C4B8" w:rsidR="00DE241D" w:rsidRPr="00260790" w:rsidRDefault="00DE241D" w:rsidP="00E20250">
      <w:pPr>
        <w:pStyle w:val="Lgende"/>
        <w:keepNext/>
        <w:spacing w:line="240" w:lineRule="auto"/>
        <w:rPr>
          <w:color w:val="000000" w:themeColor="text1"/>
          <w:sz w:val="22"/>
          <w:szCs w:val="22"/>
        </w:rPr>
      </w:pPr>
      <w:bookmarkStart w:id="645" w:name="_Toc207781903"/>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62</w:t>
      </w:r>
      <w:r w:rsidRPr="00260790">
        <w:rPr>
          <w:color w:val="000000" w:themeColor="text1"/>
          <w:sz w:val="22"/>
          <w:szCs w:val="22"/>
        </w:rPr>
        <w:fldChar w:fldCharType="end"/>
      </w:r>
      <w:r w:rsidRPr="00260790">
        <w:rPr>
          <w:color w:val="000000" w:themeColor="text1"/>
          <w:sz w:val="22"/>
          <w:szCs w:val="22"/>
        </w:rPr>
        <w:t> :</w:t>
      </w:r>
      <w:r w:rsidRPr="00260790">
        <w:rPr>
          <w:bCs/>
          <w:color w:val="000000" w:themeColor="text1"/>
          <w:sz w:val="22"/>
          <w:szCs w:val="22"/>
        </w:rPr>
        <w:t xml:space="preserve"> </w:t>
      </w:r>
      <w:r w:rsidRPr="00260790">
        <w:rPr>
          <w:color w:val="000000" w:themeColor="text1"/>
          <w:sz w:val="22"/>
          <w:szCs w:val="22"/>
        </w:rPr>
        <w:t>résumé de l’analyse des destructions de rampes d’accès à des habitations</w:t>
      </w:r>
      <w:bookmarkEnd w:id="645"/>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13"/>
        <w:gridCol w:w="1439"/>
        <w:gridCol w:w="236"/>
        <w:gridCol w:w="953"/>
        <w:gridCol w:w="227"/>
        <w:gridCol w:w="884"/>
        <w:gridCol w:w="290"/>
        <w:gridCol w:w="1571"/>
        <w:gridCol w:w="129"/>
        <w:gridCol w:w="1618"/>
      </w:tblGrid>
      <w:tr w:rsidR="00BD1A2F" w:rsidRPr="00632C4D" w14:paraId="34FCF1A6" w14:textId="77777777" w:rsidTr="003A0E4A">
        <w:trPr>
          <w:cantSplit/>
          <w:trHeight w:val="234"/>
        </w:trPr>
        <w:tc>
          <w:tcPr>
            <w:tcW w:w="5000" w:type="pct"/>
            <w:gridSpan w:val="10"/>
            <w:shd w:val="clear" w:color="auto" w:fill="D9E2F3" w:themeFill="accent5" w:themeFillTint="33"/>
          </w:tcPr>
          <w:p w14:paraId="21723235" w14:textId="77777777" w:rsidR="00DE241D" w:rsidRPr="0097258B" w:rsidRDefault="00DE241D" w:rsidP="00E20250">
            <w:pPr>
              <w:spacing w:line="240" w:lineRule="auto"/>
              <w:jc w:val="both"/>
              <w:rPr>
                <w:rFonts w:ascii="Times New Roman" w:hAnsi="Times New Roman"/>
                <w:b/>
                <w:bCs/>
                <w:color w:val="000000" w:themeColor="text1"/>
                <w:sz w:val="20"/>
                <w:szCs w:val="20"/>
                <w:lang w:val="fr-FR"/>
              </w:rPr>
            </w:pPr>
            <w:r w:rsidRPr="00301AF6">
              <w:rPr>
                <w:rFonts w:ascii="Times New Roman" w:hAnsi="Times New Roman"/>
                <w:b/>
                <w:bCs/>
                <w:color w:val="000000" w:themeColor="text1"/>
                <w:sz w:val="20"/>
                <w:szCs w:val="20"/>
                <w:lang w:val="fr-FR"/>
              </w:rPr>
              <w:t>IN-16. Destruction de rampes d’accès d’habitations</w:t>
            </w:r>
          </w:p>
        </w:tc>
      </w:tr>
      <w:tr w:rsidR="00BD1A2F" w:rsidRPr="00632C4D" w14:paraId="35A4ADBF" w14:textId="77777777" w:rsidTr="003A0E4A">
        <w:trPr>
          <w:cantSplit/>
          <w:trHeight w:val="58"/>
        </w:trPr>
        <w:tc>
          <w:tcPr>
            <w:tcW w:w="5000" w:type="pct"/>
            <w:gridSpan w:val="10"/>
          </w:tcPr>
          <w:p w14:paraId="66CF3156"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b/>
                <w:bCs/>
                <w:color w:val="000000" w:themeColor="text1"/>
                <w:sz w:val="20"/>
                <w:szCs w:val="20"/>
                <w:lang w:val="fr-FR"/>
              </w:rPr>
              <w:t>Source d’impacts :</w:t>
            </w:r>
            <w:r w:rsidRPr="00301AF6">
              <w:rPr>
                <w:rFonts w:ascii="Times New Roman" w:hAnsi="Times New Roman" w:cs="Times New Roman"/>
                <w:color w:val="000000" w:themeColor="text1"/>
                <w:sz w:val="20"/>
                <w:szCs w:val="20"/>
                <w:lang w:val="fr-FR"/>
              </w:rPr>
              <w:t xml:space="preserve"> Aménagement des collecteurs</w:t>
            </w:r>
          </w:p>
        </w:tc>
      </w:tr>
      <w:tr w:rsidR="00BD1A2F" w:rsidRPr="00632C4D" w14:paraId="7FB18386" w14:textId="77777777" w:rsidTr="003A0E4A">
        <w:trPr>
          <w:cantSplit/>
          <w:trHeight w:val="58"/>
        </w:trPr>
        <w:tc>
          <w:tcPr>
            <w:tcW w:w="946" w:type="pct"/>
          </w:tcPr>
          <w:p w14:paraId="09AA5BBF"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Critère</w:t>
            </w:r>
            <w:proofErr w:type="spellEnd"/>
          </w:p>
        </w:tc>
        <w:tc>
          <w:tcPr>
            <w:tcW w:w="924" w:type="pct"/>
            <w:gridSpan w:val="2"/>
          </w:tcPr>
          <w:p w14:paraId="678E5C51"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Intensité</w:t>
            </w:r>
            <w:proofErr w:type="spellEnd"/>
          </w:p>
        </w:tc>
        <w:tc>
          <w:tcPr>
            <w:tcW w:w="651" w:type="pct"/>
            <w:gridSpan w:val="2"/>
          </w:tcPr>
          <w:p w14:paraId="5B787687" w14:textId="3EC8E8D9" w:rsidR="00DE241D" w:rsidRPr="0097258B" w:rsidRDefault="00E23E20"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É</w:t>
            </w:r>
            <w:r w:rsidR="00DE241D" w:rsidRPr="0097258B">
              <w:rPr>
                <w:rFonts w:ascii="Times New Roman" w:hAnsi="Times New Roman" w:cs="Times New Roman"/>
                <w:b/>
                <w:bCs/>
                <w:color w:val="000000" w:themeColor="text1"/>
                <w:sz w:val="20"/>
                <w:szCs w:val="20"/>
              </w:rPr>
              <w:t>tendue</w:t>
            </w:r>
            <w:proofErr w:type="spellEnd"/>
          </w:p>
        </w:tc>
        <w:tc>
          <w:tcPr>
            <w:tcW w:w="648" w:type="pct"/>
            <w:gridSpan w:val="2"/>
          </w:tcPr>
          <w:p w14:paraId="3767F07C"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Durée</w:t>
            </w:r>
          </w:p>
        </w:tc>
        <w:tc>
          <w:tcPr>
            <w:tcW w:w="867" w:type="pct"/>
          </w:tcPr>
          <w:p w14:paraId="29819DEA"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Importance</w:t>
            </w:r>
          </w:p>
        </w:tc>
        <w:tc>
          <w:tcPr>
            <w:tcW w:w="963" w:type="pct"/>
            <w:gridSpan w:val="2"/>
          </w:tcPr>
          <w:p w14:paraId="6C93DDD1" w14:textId="77777777" w:rsidR="00DE241D" w:rsidRPr="0097258B" w:rsidRDefault="00DE241D" w:rsidP="00E20250">
            <w:pPr>
              <w:pStyle w:val="Normaltableau0"/>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Réversibilité</w:t>
            </w:r>
            <w:proofErr w:type="spellEnd"/>
          </w:p>
        </w:tc>
      </w:tr>
      <w:tr w:rsidR="00BD1A2F" w:rsidRPr="00632C4D" w14:paraId="5643FC22" w14:textId="77777777" w:rsidTr="003A0E4A">
        <w:trPr>
          <w:trHeight w:val="58"/>
        </w:trPr>
        <w:tc>
          <w:tcPr>
            <w:tcW w:w="946" w:type="pct"/>
          </w:tcPr>
          <w:p w14:paraId="580F9B66"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Sans </w:t>
            </w:r>
            <w:proofErr w:type="spellStart"/>
            <w:r w:rsidRPr="0097258B">
              <w:rPr>
                <w:rFonts w:ascii="Times New Roman" w:hAnsi="Times New Roman" w:cs="Times New Roman"/>
                <w:color w:val="000000" w:themeColor="text1"/>
                <w:sz w:val="20"/>
                <w:szCs w:val="20"/>
              </w:rPr>
              <w:t>atténuation</w:t>
            </w:r>
            <w:proofErr w:type="spellEnd"/>
          </w:p>
        </w:tc>
        <w:tc>
          <w:tcPr>
            <w:tcW w:w="924" w:type="pct"/>
            <w:gridSpan w:val="2"/>
          </w:tcPr>
          <w:p w14:paraId="69C96B4C"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Moyenne</w:t>
            </w:r>
          </w:p>
        </w:tc>
        <w:tc>
          <w:tcPr>
            <w:tcW w:w="651" w:type="pct"/>
            <w:gridSpan w:val="2"/>
          </w:tcPr>
          <w:p w14:paraId="6F263B3E"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Locale</w:t>
            </w:r>
          </w:p>
        </w:tc>
        <w:tc>
          <w:tcPr>
            <w:tcW w:w="648" w:type="pct"/>
            <w:gridSpan w:val="2"/>
          </w:tcPr>
          <w:p w14:paraId="28BBA44C"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Courte</w:t>
            </w:r>
          </w:p>
        </w:tc>
        <w:tc>
          <w:tcPr>
            <w:tcW w:w="867" w:type="pct"/>
            <w:shd w:val="clear" w:color="auto" w:fill="FFFF00"/>
          </w:tcPr>
          <w:p w14:paraId="419ACB4E"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Mineure</w:t>
            </w:r>
            <w:proofErr w:type="spellEnd"/>
            <w:r w:rsidRPr="0097258B">
              <w:rPr>
                <w:rFonts w:ascii="Times New Roman" w:hAnsi="Times New Roman" w:cs="Times New Roman"/>
                <w:b/>
                <w:bCs/>
                <w:color w:val="000000" w:themeColor="text1"/>
                <w:sz w:val="20"/>
                <w:szCs w:val="20"/>
              </w:rPr>
              <w:t xml:space="preserve"> </w:t>
            </w:r>
          </w:p>
        </w:tc>
        <w:tc>
          <w:tcPr>
            <w:tcW w:w="963" w:type="pct"/>
            <w:gridSpan w:val="2"/>
          </w:tcPr>
          <w:p w14:paraId="6A76450D" w14:textId="77777777" w:rsidR="00DE241D" w:rsidRPr="0097258B" w:rsidRDefault="00DE241D" w:rsidP="00E20250">
            <w:pPr>
              <w:pStyle w:val="Normaltableau0"/>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Réversible</w:t>
            </w:r>
            <w:proofErr w:type="spellEnd"/>
          </w:p>
        </w:tc>
      </w:tr>
      <w:tr w:rsidR="00BD1A2F" w:rsidRPr="00632C4D" w14:paraId="57DC62D8" w14:textId="77777777" w:rsidTr="003A0E4A">
        <w:trPr>
          <w:trHeight w:val="365"/>
        </w:trPr>
        <w:tc>
          <w:tcPr>
            <w:tcW w:w="946" w:type="pct"/>
          </w:tcPr>
          <w:p w14:paraId="092C7A39"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d’atténuation</w:t>
            </w:r>
            <w:proofErr w:type="spellEnd"/>
          </w:p>
        </w:tc>
        <w:tc>
          <w:tcPr>
            <w:tcW w:w="4054" w:type="pct"/>
            <w:gridSpan w:val="9"/>
          </w:tcPr>
          <w:p w14:paraId="0A599655" w14:textId="77777777" w:rsidR="00DE241D" w:rsidRPr="0097258B" w:rsidRDefault="00DE241D" w:rsidP="001748C6">
            <w:pPr>
              <w:pStyle w:val="Default"/>
              <w:numPr>
                <w:ilvl w:val="0"/>
                <w:numId w:val="318"/>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Informer les populations avant le démarrage des travaux ;</w:t>
            </w:r>
          </w:p>
          <w:p w14:paraId="29E8E225" w14:textId="77777777" w:rsidR="00DE241D" w:rsidRPr="0097258B" w:rsidRDefault="00DE241D" w:rsidP="001748C6">
            <w:pPr>
              <w:pStyle w:val="Default"/>
              <w:numPr>
                <w:ilvl w:val="0"/>
                <w:numId w:val="318"/>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Installer des panneaux d’approche et baliser les tranchées pour éviter des accidents ;</w:t>
            </w:r>
          </w:p>
          <w:p w14:paraId="66385FCF" w14:textId="77777777" w:rsidR="00DE241D" w:rsidRPr="0097258B" w:rsidRDefault="00DE241D" w:rsidP="001748C6">
            <w:pPr>
              <w:pStyle w:val="Default"/>
              <w:numPr>
                <w:ilvl w:val="0"/>
                <w:numId w:val="318"/>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Aménager des passerelles suffisamment larges et les plus basses possibles pour faciliter le franchissement des tranchées et l’accès aux habitations durant les travaux ;</w:t>
            </w:r>
          </w:p>
          <w:p w14:paraId="1BC07526" w14:textId="77777777" w:rsidR="00DE241D" w:rsidRPr="0097258B" w:rsidRDefault="00DE241D" w:rsidP="001748C6">
            <w:pPr>
              <w:pStyle w:val="Default"/>
              <w:numPr>
                <w:ilvl w:val="0"/>
                <w:numId w:val="318"/>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Diligenter les travaux pour respecter les délais et minimiser les désagréments aux populations ;</w:t>
            </w:r>
          </w:p>
          <w:p w14:paraId="415AEA54" w14:textId="77777777" w:rsidR="00DE241D" w:rsidRPr="0097258B" w:rsidRDefault="00DE241D" w:rsidP="001748C6">
            <w:pPr>
              <w:pStyle w:val="Default"/>
              <w:numPr>
                <w:ilvl w:val="0"/>
                <w:numId w:val="318"/>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Réaménager les rampes d’accès endommager</w:t>
            </w:r>
          </w:p>
        </w:tc>
      </w:tr>
      <w:tr w:rsidR="00BD1A2F" w:rsidRPr="00632C4D" w14:paraId="59F23BCB" w14:textId="77777777" w:rsidTr="003A0E4A">
        <w:trPr>
          <w:trHeight w:val="101"/>
        </w:trPr>
        <w:tc>
          <w:tcPr>
            <w:tcW w:w="946" w:type="pct"/>
          </w:tcPr>
          <w:p w14:paraId="3CC8D980"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Avec </w:t>
            </w:r>
            <w:proofErr w:type="spellStart"/>
            <w:r w:rsidRPr="0097258B">
              <w:rPr>
                <w:rFonts w:ascii="Times New Roman" w:hAnsi="Times New Roman" w:cs="Times New Roman"/>
                <w:color w:val="000000" w:themeColor="text1"/>
                <w:sz w:val="20"/>
                <w:szCs w:val="20"/>
              </w:rPr>
              <w:t>atténuation</w:t>
            </w:r>
            <w:proofErr w:type="spellEnd"/>
          </w:p>
        </w:tc>
        <w:tc>
          <w:tcPr>
            <w:tcW w:w="794" w:type="pct"/>
          </w:tcPr>
          <w:p w14:paraId="004CE5F6"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Faible</w:t>
            </w:r>
            <w:proofErr w:type="spellEnd"/>
          </w:p>
        </w:tc>
        <w:tc>
          <w:tcPr>
            <w:tcW w:w="656" w:type="pct"/>
            <w:gridSpan w:val="2"/>
          </w:tcPr>
          <w:p w14:paraId="211EB568"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Ponctuelle</w:t>
            </w:r>
            <w:proofErr w:type="spellEnd"/>
          </w:p>
        </w:tc>
        <w:tc>
          <w:tcPr>
            <w:tcW w:w="613" w:type="pct"/>
            <w:gridSpan w:val="2"/>
          </w:tcPr>
          <w:p w14:paraId="3222229C"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Courte</w:t>
            </w:r>
          </w:p>
        </w:tc>
        <w:tc>
          <w:tcPr>
            <w:tcW w:w="1098" w:type="pct"/>
            <w:gridSpan w:val="3"/>
          </w:tcPr>
          <w:p w14:paraId="62969C00"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Négligeable</w:t>
            </w:r>
            <w:proofErr w:type="spellEnd"/>
          </w:p>
        </w:tc>
        <w:tc>
          <w:tcPr>
            <w:tcW w:w="892" w:type="pct"/>
          </w:tcPr>
          <w:p w14:paraId="46EBAA54" w14:textId="77777777" w:rsidR="00DE241D" w:rsidRPr="0097258B" w:rsidRDefault="00DE241D" w:rsidP="00E20250">
            <w:pPr>
              <w:pStyle w:val="TableParagraph"/>
              <w:rPr>
                <w:color w:val="000000" w:themeColor="text1"/>
                <w:sz w:val="20"/>
                <w:szCs w:val="20"/>
                <w:lang w:val="fr-FR"/>
              </w:rPr>
            </w:pPr>
          </w:p>
        </w:tc>
      </w:tr>
    </w:tbl>
    <w:p w14:paraId="3CECCE70" w14:textId="77777777" w:rsidR="00DE241D" w:rsidRPr="00260790" w:rsidRDefault="00DE241D" w:rsidP="00F83414">
      <w:pPr>
        <w:spacing w:after="0" w:line="240" w:lineRule="auto"/>
        <w:jc w:val="both"/>
        <w:rPr>
          <w:rFonts w:ascii="Times New Roman" w:hAnsi="Times New Roman"/>
          <w:color w:val="000000" w:themeColor="text1"/>
          <w:highlight w:val="yellow"/>
        </w:rPr>
      </w:pPr>
    </w:p>
    <w:p w14:paraId="63B8638B" w14:textId="77777777" w:rsidR="00DE241D" w:rsidRPr="00260790" w:rsidRDefault="00DE241D" w:rsidP="001748C6">
      <w:pPr>
        <w:pStyle w:val="Paragraphedeliste"/>
        <w:numPr>
          <w:ilvl w:val="0"/>
          <w:numId w:val="328"/>
        </w:numPr>
        <w:spacing w:after="0"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IN-17. Destruction d’un ouvrage d’assainissement autonome (fosse septique)</w:t>
      </w:r>
    </w:p>
    <w:p w14:paraId="455C087C" w14:textId="6E0AD5D1" w:rsidR="00DE241D" w:rsidRPr="00260790" w:rsidRDefault="00DE241D" w:rsidP="00E20250">
      <w:pPr>
        <w:spacing w:line="240" w:lineRule="auto"/>
        <w:jc w:val="both"/>
        <w:rPr>
          <w:rFonts w:ascii="Times New Roman" w:hAnsi="Times New Roman"/>
          <w:bCs/>
          <w:color w:val="000000" w:themeColor="text1"/>
        </w:rPr>
      </w:pPr>
      <w:r w:rsidRPr="00260790">
        <w:rPr>
          <w:rFonts w:ascii="Times New Roman" w:hAnsi="Times New Roman"/>
          <w:bCs/>
          <w:color w:val="000000" w:themeColor="text1"/>
        </w:rPr>
        <w:t>Sur le tracé du collecteur BR_NC 09a vers BR_NC 03d figure une fosse septique qui sera affectée par les travaux. Aussi, afin de minimiser les désagrément</w:t>
      </w:r>
      <w:r w:rsidR="00C539DD" w:rsidRPr="00260790">
        <w:rPr>
          <w:rFonts w:ascii="Times New Roman" w:hAnsi="Times New Roman"/>
          <w:bCs/>
          <w:color w:val="000000" w:themeColor="text1"/>
        </w:rPr>
        <w:t>s</w:t>
      </w:r>
      <w:r w:rsidRPr="00260790">
        <w:rPr>
          <w:rFonts w:ascii="Times New Roman" w:hAnsi="Times New Roman"/>
          <w:bCs/>
          <w:color w:val="000000" w:themeColor="text1"/>
        </w:rPr>
        <w:t>, l’Entreprise devra construire une toilette conforme pour les usagers de cette fosse en guise de mesure de compensation et de bonification du projet.</w:t>
      </w:r>
    </w:p>
    <w:p w14:paraId="76BE5576" w14:textId="77777777" w:rsidR="00DE241D" w:rsidRPr="00260790" w:rsidRDefault="00DE241D" w:rsidP="00E20250">
      <w:pPr>
        <w:spacing w:line="240" w:lineRule="auto"/>
        <w:jc w:val="both"/>
        <w:rPr>
          <w:rFonts w:ascii="Times New Roman" w:hAnsi="Times New Roman"/>
          <w:bCs/>
          <w:color w:val="000000" w:themeColor="text1"/>
        </w:rPr>
      </w:pPr>
      <w:r w:rsidRPr="00260790">
        <w:rPr>
          <w:rFonts w:ascii="Times New Roman" w:hAnsi="Times New Roman"/>
          <w:bCs/>
          <w:color w:val="000000" w:themeColor="text1"/>
        </w:rPr>
        <w:t xml:space="preserve">Ci-dessous le résumé de l’analyse de la </w:t>
      </w:r>
      <w:r w:rsidRPr="00260790">
        <w:rPr>
          <w:rFonts w:ascii="Times New Roman" w:hAnsi="Times New Roman"/>
          <w:color w:val="000000" w:themeColor="text1"/>
        </w:rPr>
        <w:t>destruction d’un ouvrage d’assainissement autonome (fosse septique).</w:t>
      </w:r>
    </w:p>
    <w:p w14:paraId="555877C8" w14:textId="77777777" w:rsidR="002E053E" w:rsidRPr="00260790" w:rsidRDefault="002E053E">
      <w:pPr>
        <w:spacing w:line="259" w:lineRule="auto"/>
        <w:rPr>
          <w:rFonts w:ascii="Times New Roman" w:eastAsia="Times New Roman" w:hAnsi="Times New Roman"/>
          <w:i/>
          <w:iCs/>
          <w:color w:val="000000" w:themeColor="text1"/>
          <w:lang w:eastAsia="fr-FR"/>
        </w:rPr>
      </w:pPr>
      <w:r w:rsidRPr="00260790">
        <w:rPr>
          <w:rFonts w:ascii="Times New Roman" w:hAnsi="Times New Roman"/>
          <w:color w:val="000000" w:themeColor="text1"/>
        </w:rPr>
        <w:br w:type="page"/>
      </w:r>
    </w:p>
    <w:p w14:paraId="2A8F8042" w14:textId="1E6154A9" w:rsidR="00DE241D" w:rsidRPr="00260790" w:rsidRDefault="00DE241D" w:rsidP="00E20250">
      <w:pPr>
        <w:pStyle w:val="Lgende"/>
        <w:keepNext/>
        <w:spacing w:line="240" w:lineRule="auto"/>
        <w:rPr>
          <w:color w:val="000000" w:themeColor="text1"/>
          <w:sz w:val="22"/>
          <w:szCs w:val="22"/>
        </w:rPr>
      </w:pPr>
      <w:bookmarkStart w:id="646" w:name="_Toc207781904"/>
      <w:r w:rsidRPr="00260790">
        <w:rPr>
          <w:color w:val="000000" w:themeColor="text1"/>
          <w:sz w:val="22"/>
          <w:szCs w:val="22"/>
        </w:rPr>
        <w:lastRenderedPageBreak/>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63</w:t>
      </w:r>
      <w:r w:rsidRPr="00260790">
        <w:rPr>
          <w:color w:val="000000" w:themeColor="text1"/>
          <w:sz w:val="22"/>
          <w:szCs w:val="22"/>
        </w:rPr>
        <w:fldChar w:fldCharType="end"/>
      </w:r>
      <w:r w:rsidRPr="00260790">
        <w:rPr>
          <w:color w:val="000000" w:themeColor="text1"/>
          <w:sz w:val="22"/>
          <w:szCs w:val="22"/>
        </w:rPr>
        <w:t> :</w:t>
      </w:r>
      <w:r w:rsidRPr="00260790">
        <w:rPr>
          <w:bCs/>
          <w:color w:val="000000" w:themeColor="text1"/>
          <w:sz w:val="22"/>
          <w:szCs w:val="22"/>
        </w:rPr>
        <w:t xml:space="preserve"> </w:t>
      </w:r>
      <w:r w:rsidRPr="00260790">
        <w:rPr>
          <w:color w:val="000000" w:themeColor="text1"/>
          <w:sz w:val="22"/>
          <w:szCs w:val="22"/>
        </w:rPr>
        <w:t>résumé de l’analyse de la destruction d’un ouvrage d’assainissement autonome (fosse septique)</w:t>
      </w:r>
      <w:bookmarkEnd w:id="646"/>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15"/>
        <w:gridCol w:w="1439"/>
        <w:gridCol w:w="236"/>
        <w:gridCol w:w="953"/>
        <w:gridCol w:w="227"/>
        <w:gridCol w:w="884"/>
        <w:gridCol w:w="290"/>
        <w:gridCol w:w="1571"/>
        <w:gridCol w:w="129"/>
        <w:gridCol w:w="1616"/>
      </w:tblGrid>
      <w:tr w:rsidR="00BD1A2F" w:rsidRPr="00632C4D" w14:paraId="2CE7E0C6" w14:textId="77777777" w:rsidTr="003A0E4A">
        <w:trPr>
          <w:cantSplit/>
          <w:trHeight w:val="234"/>
        </w:trPr>
        <w:tc>
          <w:tcPr>
            <w:tcW w:w="5000" w:type="pct"/>
            <w:gridSpan w:val="10"/>
            <w:shd w:val="clear" w:color="auto" w:fill="D9E2F3" w:themeFill="accent5" w:themeFillTint="33"/>
          </w:tcPr>
          <w:p w14:paraId="5E383220" w14:textId="77777777" w:rsidR="00DE241D" w:rsidRPr="0097258B" w:rsidRDefault="00DE241D" w:rsidP="00E20250">
            <w:pPr>
              <w:spacing w:line="240" w:lineRule="auto"/>
              <w:jc w:val="both"/>
              <w:rPr>
                <w:rFonts w:ascii="Times New Roman" w:hAnsi="Times New Roman"/>
                <w:b/>
                <w:bCs/>
                <w:i/>
                <w:iCs/>
                <w:color w:val="000000" w:themeColor="text1"/>
                <w:sz w:val="20"/>
                <w:szCs w:val="20"/>
                <w:lang w:val="fr-FR"/>
              </w:rPr>
            </w:pPr>
            <w:r w:rsidRPr="00301AF6">
              <w:rPr>
                <w:rFonts w:ascii="Times New Roman" w:hAnsi="Times New Roman"/>
                <w:b/>
                <w:bCs/>
                <w:i/>
                <w:iCs/>
                <w:color w:val="000000" w:themeColor="text1"/>
                <w:sz w:val="20"/>
                <w:szCs w:val="20"/>
                <w:lang w:val="fr-FR"/>
              </w:rPr>
              <w:t>IN-17. Destruction d’un ouvrage d’assainissement autonome (fosse septique)</w:t>
            </w:r>
          </w:p>
        </w:tc>
      </w:tr>
      <w:tr w:rsidR="00BD1A2F" w:rsidRPr="00632C4D" w14:paraId="5A53D90D" w14:textId="77777777" w:rsidTr="003A0E4A">
        <w:trPr>
          <w:cantSplit/>
          <w:trHeight w:val="58"/>
        </w:trPr>
        <w:tc>
          <w:tcPr>
            <w:tcW w:w="5000" w:type="pct"/>
            <w:gridSpan w:val="10"/>
          </w:tcPr>
          <w:p w14:paraId="56A6DC07"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b/>
                <w:bCs/>
                <w:color w:val="000000" w:themeColor="text1"/>
                <w:sz w:val="20"/>
                <w:szCs w:val="20"/>
                <w:lang w:val="fr-FR"/>
              </w:rPr>
              <w:t>Source d’impacts :</w:t>
            </w:r>
            <w:r w:rsidRPr="00301AF6">
              <w:rPr>
                <w:rFonts w:ascii="Times New Roman" w:hAnsi="Times New Roman" w:cs="Times New Roman"/>
                <w:color w:val="000000" w:themeColor="text1"/>
                <w:sz w:val="20"/>
                <w:szCs w:val="20"/>
                <w:lang w:val="fr-FR"/>
              </w:rPr>
              <w:t xml:space="preserve"> Aménagement des collecteurs</w:t>
            </w:r>
          </w:p>
        </w:tc>
      </w:tr>
      <w:tr w:rsidR="00BD1A2F" w:rsidRPr="00632C4D" w14:paraId="1C2FCB9B" w14:textId="77777777" w:rsidTr="003A0E4A">
        <w:trPr>
          <w:cantSplit/>
          <w:trHeight w:val="58"/>
        </w:trPr>
        <w:tc>
          <w:tcPr>
            <w:tcW w:w="947" w:type="pct"/>
          </w:tcPr>
          <w:p w14:paraId="5DBA9FC3"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Critère</w:t>
            </w:r>
            <w:proofErr w:type="spellEnd"/>
          </w:p>
        </w:tc>
        <w:tc>
          <w:tcPr>
            <w:tcW w:w="924" w:type="pct"/>
            <w:gridSpan w:val="2"/>
          </w:tcPr>
          <w:p w14:paraId="5B8FE616"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Intensité</w:t>
            </w:r>
            <w:proofErr w:type="spellEnd"/>
          </w:p>
        </w:tc>
        <w:tc>
          <w:tcPr>
            <w:tcW w:w="651" w:type="pct"/>
            <w:gridSpan w:val="2"/>
          </w:tcPr>
          <w:p w14:paraId="3A7AC990" w14:textId="3C999331" w:rsidR="00DE241D" w:rsidRPr="0097258B" w:rsidRDefault="00E23E20"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É</w:t>
            </w:r>
            <w:r w:rsidR="00DE241D" w:rsidRPr="0097258B">
              <w:rPr>
                <w:rFonts w:ascii="Times New Roman" w:hAnsi="Times New Roman" w:cs="Times New Roman"/>
                <w:b/>
                <w:bCs/>
                <w:color w:val="000000" w:themeColor="text1"/>
                <w:sz w:val="20"/>
                <w:szCs w:val="20"/>
              </w:rPr>
              <w:t>tendue</w:t>
            </w:r>
            <w:proofErr w:type="spellEnd"/>
          </w:p>
        </w:tc>
        <w:tc>
          <w:tcPr>
            <w:tcW w:w="648" w:type="pct"/>
            <w:gridSpan w:val="2"/>
          </w:tcPr>
          <w:p w14:paraId="13935E8D"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Durée</w:t>
            </w:r>
          </w:p>
        </w:tc>
        <w:tc>
          <w:tcPr>
            <w:tcW w:w="867" w:type="pct"/>
          </w:tcPr>
          <w:p w14:paraId="179EF468"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Importance</w:t>
            </w:r>
          </w:p>
        </w:tc>
        <w:tc>
          <w:tcPr>
            <w:tcW w:w="962" w:type="pct"/>
            <w:gridSpan w:val="2"/>
          </w:tcPr>
          <w:p w14:paraId="48130190" w14:textId="77777777" w:rsidR="00DE241D" w:rsidRPr="0097258B" w:rsidRDefault="00DE241D" w:rsidP="00E20250">
            <w:pPr>
              <w:pStyle w:val="Normaltableau0"/>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Réversibilité</w:t>
            </w:r>
            <w:proofErr w:type="spellEnd"/>
          </w:p>
        </w:tc>
      </w:tr>
      <w:tr w:rsidR="00BD1A2F" w:rsidRPr="00632C4D" w14:paraId="050BC584" w14:textId="77777777" w:rsidTr="003A0E4A">
        <w:trPr>
          <w:trHeight w:val="58"/>
        </w:trPr>
        <w:tc>
          <w:tcPr>
            <w:tcW w:w="947" w:type="pct"/>
          </w:tcPr>
          <w:p w14:paraId="70A2A810"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Sans </w:t>
            </w:r>
            <w:proofErr w:type="spellStart"/>
            <w:r w:rsidRPr="0097258B">
              <w:rPr>
                <w:rFonts w:ascii="Times New Roman" w:hAnsi="Times New Roman" w:cs="Times New Roman"/>
                <w:color w:val="000000" w:themeColor="text1"/>
                <w:sz w:val="20"/>
                <w:szCs w:val="20"/>
              </w:rPr>
              <w:t>atténuation</w:t>
            </w:r>
            <w:proofErr w:type="spellEnd"/>
          </w:p>
        </w:tc>
        <w:tc>
          <w:tcPr>
            <w:tcW w:w="924" w:type="pct"/>
            <w:gridSpan w:val="2"/>
          </w:tcPr>
          <w:p w14:paraId="2B1654D7"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Faible</w:t>
            </w:r>
            <w:proofErr w:type="spellEnd"/>
          </w:p>
        </w:tc>
        <w:tc>
          <w:tcPr>
            <w:tcW w:w="651" w:type="pct"/>
            <w:gridSpan w:val="2"/>
          </w:tcPr>
          <w:p w14:paraId="12C18CA8"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Locale</w:t>
            </w:r>
          </w:p>
        </w:tc>
        <w:tc>
          <w:tcPr>
            <w:tcW w:w="648" w:type="pct"/>
            <w:gridSpan w:val="2"/>
          </w:tcPr>
          <w:p w14:paraId="263DC6A0"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Longue</w:t>
            </w:r>
          </w:p>
        </w:tc>
        <w:tc>
          <w:tcPr>
            <w:tcW w:w="867" w:type="pct"/>
            <w:shd w:val="clear" w:color="auto" w:fill="FFFF00"/>
          </w:tcPr>
          <w:p w14:paraId="2AF9A771"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Mineure</w:t>
            </w:r>
            <w:proofErr w:type="spellEnd"/>
            <w:r w:rsidRPr="0097258B">
              <w:rPr>
                <w:rFonts w:ascii="Times New Roman" w:hAnsi="Times New Roman" w:cs="Times New Roman"/>
                <w:b/>
                <w:bCs/>
                <w:color w:val="000000" w:themeColor="text1"/>
                <w:sz w:val="20"/>
                <w:szCs w:val="20"/>
              </w:rPr>
              <w:t xml:space="preserve"> </w:t>
            </w:r>
          </w:p>
        </w:tc>
        <w:tc>
          <w:tcPr>
            <w:tcW w:w="962" w:type="pct"/>
            <w:gridSpan w:val="2"/>
          </w:tcPr>
          <w:p w14:paraId="4699602F" w14:textId="77777777" w:rsidR="00DE241D" w:rsidRPr="0097258B" w:rsidRDefault="00DE241D" w:rsidP="00E20250">
            <w:pPr>
              <w:pStyle w:val="Normaltableau0"/>
              <w:jc w:val="center"/>
              <w:rPr>
                <w:rFonts w:ascii="Times New Roman" w:hAnsi="Times New Roman"/>
                <w:b/>
                <w:bCs/>
                <w:color w:val="000000" w:themeColor="text1"/>
                <w:sz w:val="20"/>
                <w:lang w:val="fr-FR"/>
              </w:rPr>
            </w:pPr>
            <w:proofErr w:type="spellStart"/>
            <w:r w:rsidRPr="0097258B">
              <w:rPr>
                <w:rFonts w:ascii="Times New Roman" w:hAnsi="Times New Roman"/>
                <w:b/>
                <w:bCs/>
                <w:color w:val="000000" w:themeColor="text1"/>
                <w:sz w:val="20"/>
              </w:rPr>
              <w:t>Réversible</w:t>
            </w:r>
            <w:proofErr w:type="spellEnd"/>
          </w:p>
        </w:tc>
      </w:tr>
      <w:tr w:rsidR="00BD1A2F" w:rsidRPr="00632C4D" w14:paraId="3270F2B1" w14:textId="77777777" w:rsidTr="003A0E4A">
        <w:trPr>
          <w:trHeight w:val="365"/>
        </w:trPr>
        <w:tc>
          <w:tcPr>
            <w:tcW w:w="947" w:type="pct"/>
          </w:tcPr>
          <w:p w14:paraId="2FA515A5"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d’atténuation</w:t>
            </w:r>
            <w:proofErr w:type="spellEnd"/>
          </w:p>
        </w:tc>
        <w:tc>
          <w:tcPr>
            <w:tcW w:w="4053" w:type="pct"/>
            <w:gridSpan w:val="9"/>
          </w:tcPr>
          <w:p w14:paraId="6B3C39B9" w14:textId="77777777" w:rsidR="00DE241D" w:rsidRPr="0097258B" w:rsidRDefault="00DE241D" w:rsidP="001748C6">
            <w:pPr>
              <w:pStyle w:val="Default"/>
              <w:numPr>
                <w:ilvl w:val="0"/>
                <w:numId w:val="318"/>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Informer et sensibiliser les populations sur les avantages du projet avant le démarrage des travaux ;</w:t>
            </w:r>
          </w:p>
          <w:p w14:paraId="007F65CC" w14:textId="77777777" w:rsidR="00DE241D" w:rsidRPr="0097258B" w:rsidRDefault="00DE241D" w:rsidP="001748C6">
            <w:pPr>
              <w:pStyle w:val="Default"/>
              <w:numPr>
                <w:ilvl w:val="0"/>
                <w:numId w:val="318"/>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bCs/>
                <w:color w:val="000000" w:themeColor="text1"/>
                <w:sz w:val="20"/>
                <w:szCs w:val="20"/>
                <w:lang w:val="fr-FR"/>
              </w:rPr>
              <w:t>Aménager une toilette conforme pour les usagers de la fosse impactée en guise de mesure de compensation et de bonification du projet</w:t>
            </w:r>
          </w:p>
        </w:tc>
      </w:tr>
      <w:tr w:rsidR="00BD1A2F" w:rsidRPr="00632C4D" w14:paraId="12C887C0" w14:textId="77777777" w:rsidTr="003A0E4A">
        <w:trPr>
          <w:trHeight w:val="101"/>
        </w:trPr>
        <w:tc>
          <w:tcPr>
            <w:tcW w:w="947" w:type="pct"/>
          </w:tcPr>
          <w:p w14:paraId="321B30E4" w14:textId="77777777" w:rsidR="00DE241D" w:rsidRPr="0097258B" w:rsidRDefault="00DE241D" w:rsidP="00E20250">
            <w:pPr>
              <w:pStyle w:val="Default"/>
              <w:overflowPunct w:val="0"/>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Avec </w:t>
            </w:r>
            <w:proofErr w:type="spellStart"/>
            <w:r w:rsidRPr="0097258B">
              <w:rPr>
                <w:rFonts w:ascii="Times New Roman" w:hAnsi="Times New Roman" w:cs="Times New Roman"/>
                <w:color w:val="000000" w:themeColor="text1"/>
                <w:sz w:val="20"/>
                <w:szCs w:val="20"/>
              </w:rPr>
              <w:t>atténuation</w:t>
            </w:r>
            <w:proofErr w:type="spellEnd"/>
          </w:p>
        </w:tc>
        <w:tc>
          <w:tcPr>
            <w:tcW w:w="794" w:type="pct"/>
          </w:tcPr>
          <w:p w14:paraId="582F6FD5"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Faible</w:t>
            </w:r>
            <w:proofErr w:type="spellEnd"/>
          </w:p>
        </w:tc>
        <w:tc>
          <w:tcPr>
            <w:tcW w:w="656" w:type="pct"/>
            <w:gridSpan w:val="2"/>
          </w:tcPr>
          <w:p w14:paraId="2EE22E23"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Ponctuelle</w:t>
            </w:r>
            <w:proofErr w:type="spellEnd"/>
          </w:p>
        </w:tc>
        <w:tc>
          <w:tcPr>
            <w:tcW w:w="613" w:type="pct"/>
            <w:gridSpan w:val="2"/>
          </w:tcPr>
          <w:p w14:paraId="3610B827"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Courte</w:t>
            </w:r>
          </w:p>
        </w:tc>
        <w:tc>
          <w:tcPr>
            <w:tcW w:w="1098" w:type="pct"/>
            <w:gridSpan w:val="3"/>
          </w:tcPr>
          <w:p w14:paraId="3A7575ED" w14:textId="77777777" w:rsidR="00DE241D" w:rsidRPr="0097258B" w:rsidRDefault="00DE241D" w:rsidP="00E20250">
            <w:pPr>
              <w:pStyle w:val="Default"/>
              <w:overflowPunct w:val="0"/>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Négligeable</w:t>
            </w:r>
            <w:proofErr w:type="spellEnd"/>
          </w:p>
        </w:tc>
        <w:tc>
          <w:tcPr>
            <w:tcW w:w="891" w:type="pct"/>
          </w:tcPr>
          <w:p w14:paraId="4739E30F" w14:textId="77777777" w:rsidR="00DE241D" w:rsidRPr="0097258B" w:rsidRDefault="00DE241D" w:rsidP="00E20250">
            <w:pPr>
              <w:pStyle w:val="TableParagraph"/>
              <w:rPr>
                <w:color w:val="000000" w:themeColor="text1"/>
                <w:sz w:val="20"/>
                <w:szCs w:val="20"/>
                <w:lang w:val="fr-FR"/>
              </w:rPr>
            </w:pPr>
          </w:p>
        </w:tc>
      </w:tr>
    </w:tbl>
    <w:p w14:paraId="320C874D" w14:textId="77777777" w:rsidR="00DE241D" w:rsidRPr="00260790" w:rsidRDefault="00DE241D" w:rsidP="00F83414">
      <w:pPr>
        <w:spacing w:after="0" w:line="240" w:lineRule="auto"/>
        <w:jc w:val="both"/>
        <w:rPr>
          <w:rFonts w:ascii="Times New Roman" w:hAnsi="Times New Roman"/>
          <w:b/>
          <w:bCs/>
          <w:color w:val="000000" w:themeColor="text1"/>
        </w:rPr>
      </w:pPr>
    </w:p>
    <w:p w14:paraId="25AF5171" w14:textId="0ECE87B4" w:rsidR="00DE241D" w:rsidRPr="00260790" w:rsidRDefault="00DE241D" w:rsidP="001748C6">
      <w:pPr>
        <w:pStyle w:val="Paragraphedeliste"/>
        <w:numPr>
          <w:ilvl w:val="0"/>
          <w:numId w:val="333"/>
        </w:numPr>
        <w:spacing w:after="0"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RI-18. Risque d’accidents liés aux tranchées</w:t>
      </w:r>
    </w:p>
    <w:p w14:paraId="52BFF90C"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Des risques de chutes de passants et/ou de véhicules dans les tranchées ne sont pas à écarter dans le cadre des travaux. Les conséquences pourraient être des dégâts matériels, des dommages corporels ou même des pertes en vies humaines. Pour y parer, les zones de travail devront être systématique balisées.</w:t>
      </w:r>
    </w:p>
    <w:p w14:paraId="29C2162E" w14:textId="6AB087C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Des effondrements de tranchées et des ensevelissements de travailleurs sont également à considér</w:t>
      </w:r>
      <w:r w:rsidR="00C539DD" w:rsidRPr="00260790">
        <w:rPr>
          <w:rFonts w:ascii="Times New Roman" w:hAnsi="Times New Roman"/>
          <w:color w:val="000000" w:themeColor="text1"/>
        </w:rPr>
        <w:t>er</w:t>
      </w:r>
      <w:r w:rsidRPr="00260790">
        <w:rPr>
          <w:rFonts w:ascii="Times New Roman" w:hAnsi="Times New Roman"/>
          <w:color w:val="000000" w:themeColor="text1"/>
        </w:rPr>
        <w:t>.</w:t>
      </w:r>
    </w:p>
    <w:p w14:paraId="15D9ADDE"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Ci-dessous le résumé de l’analyse du risque d’accidents liés aux tranchées.</w:t>
      </w:r>
    </w:p>
    <w:p w14:paraId="5AEFD83E" w14:textId="723CB562" w:rsidR="00DE241D" w:rsidRPr="00260790" w:rsidRDefault="00DE241D" w:rsidP="00E20250">
      <w:pPr>
        <w:pStyle w:val="Lgende"/>
        <w:keepNext/>
        <w:spacing w:line="240" w:lineRule="auto"/>
        <w:rPr>
          <w:color w:val="000000" w:themeColor="text1"/>
          <w:sz w:val="22"/>
          <w:szCs w:val="22"/>
        </w:rPr>
      </w:pPr>
      <w:bookmarkStart w:id="647" w:name="_Toc207781905"/>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64</w:t>
      </w:r>
      <w:r w:rsidRPr="00260790">
        <w:rPr>
          <w:color w:val="000000" w:themeColor="text1"/>
          <w:sz w:val="22"/>
          <w:szCs w:val="22"/>
        </w:rPr>
        <w:fldChar w:fldCharType="end"/>
      </w:r>
      <w:r w:rsidRPr="00260790">
        <w:rPr>
          <w:color w:val="000000" w:themeColor="text1"/>
          <w:sz w:val="22"/>
          <w:szCs w:val="22"/>
        </w:rPr>
        <w:t> : résumé de l’analyse du risque d’accidents liés aux tranchées</w:t>
      </w:r>
      <w:bookmarkEnd w:id="647"/>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0"/>
        <w:gridCol w:w="1740"/>
        <w:gridCol w:w="1326"/>
        <w:gridCol w:w="930"/>
        <w:gridCol w:w="1060"/>
        <w:gridCol w:w="2444"/>
      </w:tblGrid>
      <w:tr w:rsidR="00BD1A2F" w:rsidRPr="009B46E2" w14:paraId="5C85AA9C" w14:textId="77777777" w:rsidTr="003A0E4A">
        <w:trPr>
          <w:trHeight w:val="230"/>
        </w:trPr>
        <w:tc>
          <w:tcPr>
            <w:tcW w:w="5000" w:type="pct"/>
            <w:gridSpan w:val="6"/>
            <w:shd w:val="clear" w:color="auto" w:fill="D9E2F3" w:themeFill="accent5" w:themeFillTint="33"/>
          </w:tcPr>
          <w:p w14:paraId="3E479E03" w14:textId="77777777" w:rsidR="00DE241D" w:rsidRPr="0097258B" w:rsidRDefault="00DE241D" w:rsidP="00E20250">
            <w:pPr>
              <w:spacing w:line="240" w:lineRule="auto"/>
              <w:jc w:val="both"/>
              <w:rPr>
                <w:rFonts w:ascii="Times New Roman" w:hAnsi="Times New Roman"/>
                <w:b/>
                <w:bCs/>
                <w:color w:val="000000" w:themeColor="text1"/>
                <w:sz w:val="20"/>
                <w:szCs w:val="20"/>
                <w:lang w:val="fr-FR"/>
              </w:rPr>
            </w:pPr>
            <w:r w:rsidRPr="00301AF6">
              <w:rPr>
                <w:rFonts w:ascii="Times New Roman" w:hAnsi="Times New Roman"/>
                <w:b/>
                <w:bCs/>
                <w:color w:val="000000" w:themeColor="text1"/>
                <w:sz w:val="20"/>
                <w:szCs w:val="20"/>
                <w:lang w:val="fr-FR"/>
              </w:rPr>
              <w:t>RI-18. Risque d’accidents liés aux tranchées</w:t>
            </w:r>
          </w:p>
        </w:tc>
      </w:tr>
      <w:tr w:rsidR="00BD1A2F" w:rsidRPr="009B46E2" w14:paraId="04F1D5E2" w14:textId="77777777" w:rsidTr="003A0E4A">
        <w:trPr>
          <w:trHeight w:val="230"/>
        </w:trPr>
        <w:tc>
          <w:tcPr>
            <w:tcW w:w="5000" w:type="pct"/>
            <w:gridSpan w:val="6"/>
          </w:tcPr>
          <w:p w14:paraId="0EEF147E"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roofErr w:type="spellStart"/>
            <w:proofErr w:type="gramStart"/>
            <w:r w:rsidRPr="0097258B">
              <w:rPr>
                <w:rFonts w:ascii="Times New Roman" w:hAnsi="Times New Roman" w:cs="Times New Roman"/>
                <w:b/>
                <w:bCs/>
                <w:color w:val="000000" w:themeColor="text1"/>
                <w:sz w:val="20"/>
                <w:szCs w:val="20"/>
              </w:rPr>
              <w:t>Activités</w:t>
            </w:r>
            <w:proofErr w:type="spellEnd"/>
            <w:r w:rsidRPr="0097258B">
              <w:rPr>
                <w:rFonts w:ascii="Times New Roman" w:hAnsi="Times New Roman" w:cs="Times New Roman"/>
                <w:b/>
                <w:bCs/>
                <w:color w:val="000000" w:themeColor="text1"/>
                <w:sz w:val="20"/>
                <w:szCs w:val="20"/>
              </w:rPr>
              <w:t xml:space="preserve"> :</w:t>
            </w:r>
            <w:proofErr w:type="gram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Aménagement</w:t>
            </w:r>
            <w:proofErr w:type="spellEnd"/>
            <w:r w:rsidRPr="0097258B">
              <w:rPr>
                <w:rFonts w:ascii="Times New Roman" w:hAnsi="Times New Roman" w:cs="Times New Roman"/>
                <w:color w:val="000000" w:themeColor="text1"/>
                <w:sz w:val="20"/>
                <w:szCs w:val="20"/>
              </w:rPr>
              <w:t xml:space="preserve"> des </w:t>
            </w:r>
            <w:proofErr w:type="spellStart"/>
            <w:r w:rsidRPr="0097258B">
              <w:rPr>
                <w:rFonts w:ascii="Times New Roman" w:hAnsi="Times New Roman" w:cs="Times New Roman"/>
                <w:color w:val="000000" w:themeColor="text1"/>
                <w:sz w:val="20"/>
                <w:szCs w:val="20"/>
              </w:rPr>
              <w:t>collecteurs</w:t>
            </w:r>
            <w:proofErr w:type="spellEnd"/>
          </w:p>
        </w:tc>
      </w:tr>
      <w:tr w:rsidR="00BD1A2F" w:rsidRPr="009B46E2" w14:paraId="12105A1F" w14:textId="77777777" w:rsidTr="003A0E4A">
        <w:trPr>
          <w:trHeight w:val="230"/>
        </w:trPr>
        <w:tc>
          <w:tcPr>
            <w:tcW w:w="861" w:type="pct"/>
          </w:tcPr>
          <w:p w14:paraId="4CA6E3BE"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960" w:type="pct"/>
          </w:tcPr>
          <w:p w14:paraId="397BC30B"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initial</w:t>
            </w:r>
          </w:p>
        </w:tc>
        <w:tc>
          <w:tcPr>
            <w:tcW w:w="732" w:type="pct"/>
          </w:tcPr>
          <w:p w14:paraId="5BF660B9"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13" w:type="pct"/>
          </w:tcPr>
          <w:p w14:paraId="15E99059"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85" w:type="pct"/>
          </w:tcPr>
          <w:p w14:paraId="3C535277"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349" w:type="pct"/>
          </w:tcPr>
          <w:p w14:paraId="638F788B"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p>
        </w:tc>
      </w:tr>
      <w:tr w:rsidR="00BD1A2F" w:rsidRPr="009B46E2" w14:paraId="03528B24" w14:textId="77777777" w:rsidTr="003A0E4A">
        <w:trPr>
          <w:trHeight w:val="330"/>
        </w:trPr>
        <w:tc>
          <w:tcPr>
            <w:tcW w:w="861" w:type="pct"/>
          </w:tcPr>
          <w:p w14:paraId="185E00C6"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Avant </w:t>
            </w:r>
            <w:proofErr w:type="spellStart"/>
            <w:r w:rsidRPr="0097258B">
              <w:rPr>
                <w:rFonts w:ascii="Times New Roman" w:hAnsi="Times New Roman" w:cs="Times New Roman"/>
                <w:color w:val="000000" w:themeColor="text1"/>
                <w:sz w:val="20"/>
                <w:szCs w:val="20"/>
              </w:rPr>
              <w:t>prévention</w:t>
            </w:r>
            <w:proofErr w:type="spellEnd"/>
          </w:p>
        </w:tc>
        <w:tc>
          <w:tcPr>
            <w:tcW w:w="960" w:type="pct"/>
          </w:tcPr>
          <w:p w14:paraId="4F0680CF" w14:textId="5A045BB7" w:rsidR="00DE241D" w:rsidRPr="0097258B" w:rsidRDefault="00994157" w:rsidP="00F83414">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olor w:val="000000" w:themeColor="text1"/>
                <w:sz w:val="20"/>
                <w:szCs w:val="20"/>
                <w:lang w:val="fr-FR"/>
              </w:rPr>
              <w:t>Risque d’acci</w:t>
            </w:r>
            <w:r w:rsidR="00212749" w:rsidRPr="00301AF6">
              <w:rPr>
                <w:rFonts w:ascii="Times New Roman" w:hAnsi="Times New Roman"/>
                <w:color w:val="000000" w:themeColor="text1"/>
                <w:sz w:val="20"/>
                <w:szCs w:val="20"/>
                <w:lang w:val="fr-FR"/>
              </w:rPr>
              <w:t>dent lié à l’a</w:t>
            </w:r>
            <w:r w:rsidR="00DE241D" w:rsidRPr="00301AF6">
              <w:rPr>
                <w:rFonts w:ascii="Times New Roman" w:hAnsi="Times New Roman"/>
                <w:color w:val="000000" w:themeColor="text1"/>
                <w:sz w:val="20"/>
                <w:szCs w:val="20"/>
                <w:lang w:val="fr-FR"/>
              </w:rPr>
              <w:t>bsence de signalisation des travaux</w:t>
            </w:r>
            <w:r w:rsidR="00212749" w:rsidRPr="00301AF6">
              <w:rPr>
                <w:rFonts w:ascii="Times New Roman" w:hAnsi="Times New Roman"/>
                <w:color w:val="000000" w:themeColor="text1"/>
                <w:sz w:val="20"/>
                <w:szCs w:val="20"/>
                <w:lang w:val="fr-FR"/>
              </w:rPr>
              <w:t xml:space="preserve">, </w:t>
            </w:r>
            <w:r w:rsidR="004D1765" w:rsidRPr="00301AF6">
              <w:rPr>
                <w:rFonts w:ascii="Times New Roman" w:hAnsi="Times New Roman"/>
                <w:color w:val="000000" w:themeColor="text1"/>
                <w:sz w:val="20"/>
                <w:szCs w:val="20"/>
                <w:lang w:val="fr-FR"/>
              </w:rPr>
              <w:t>à l’</w:t>
            </w:r>
            <w:proofErr w:type="spellStart"/>
            <w:r w:rsidR="004D1765" w:rsidRPr="00301AF6">
              <w:rPr>
                <w:rFonts w:ascii="Times New Roman" w:hAnsi="Times New Roman"/>
                <w:color w:val="000000" w:themeColor="text1"/>
                <w:sz w:val="20"/>
                <w:szCs w:val="20"/>
                <w:lang w:val="fr-FR"/>
              </w:rPr>
              <w:t>e</w:t>
            </w:r>
            <w:r w:rsidR="00DE241D" w:rsidRPr="00301AF6">
              <w:rPr>
                <w:rFonts w:ascii="Times New Roman" w:hAnsi="Times New Roman" w:cs="Times New Roman"/>
                <w:color w:val="000000" w:themeColor="text1"/>
                <w:sz w:val="20"/>
                <w:szCs w:val="20"/>
                <w:lang w:val="fr-FR"/>
              </w:rPr>
              <w:t>nfo</w:t>
            </w:r>
            <w:r w:rsidR="00C539DD" w:rsidRPr="00301AF6">
              <w:rPr>
                <w:rFonts w:ascii="Times New Roman" w:hAnsi="Times New Roman" w:cs="Times New Roman"/>
                <w:color w:val="000000" w:themeColor="text1"/>
                <w:sz w:val="20"/>
                <w:szCs w:val="20"/>
                <w:lang w:val="fr-FR"/>
              </w:rPr>
              <w:t>rc</w:t>
            </w:r>
            <w:r w:rsidR="00DE241D" w:rsidRPr="00301AF6">
              <w:rPr>
                <w:rFonts w:ascii="Times New Roman" w:hAnsi="Times New Roman" w:cs="Times New Roman"/>
                <w:color w:val="000000" w:themeColor="text1"/>
                <w:sz w:val="20"/>
                <w:szCs w:val="20"/>
                <w:lang w:val="fr-FR"/>
              </w:rPr>
              <w:t>ements</w:t>
            </w:r>
            <w:proofErr w:type="spellEnd"/>
            <w:r w:rsidR="00DE241D" w:rsidRPr="00301AF6">
              <w:rPr>
                <w:rFonts w:ascii="Times New Roman" w:hAnsi="Times New Roman" w:cs="Times New Roman"/>
                <w:color w:val="000000" w:themeColor="text1"/>
                <w:sz w:val="20"/>
                <w:szCs w:val="20"/>
                <w:lang w:val="fr-FR"/>
              </w:rPr>
              <w:t xml:space="preserve"> de tranchées</w:t>
            </w:r>
            <w:r w:rsidR="004D1765" w:rsidRPr="00301AF6">
              <w:rPr>
                <w:rFonts w:ascii="Times New Roman" w:hAnsi="Times New Roman" w:cs="Times New Roman"/>
                <w:color w:val="000000" w:themeColor="text1"/>
                <w:sz w:val="20"/>
                <w:szCs w:val="20"/>
                <w:lang w:val="fr-FR"/>
              </w:rPr>
              <w:t>, etc.</w:t>
            </w:r>
          </w:p>
        </w:tc>
        <w:tc>
          <w:tcPr>
            <w:tcW w:w="732" w:type="pct"/>
            <w:vAlign w:val="center"/>
          </w:tcPr>
          <w:p w14:paraId="47886E53"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w:t>
            </w:r>
          </w:p>
        </w:tc>
        <w:tc>
          <w:tcPr>
            <w:tcW w:w="513" w:type="pct"/>
            <w:vAlign w:val="center"/>
          </w:tcPr>
          <w:p w14:paraId="57FD39EC"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w:t>
            </w:r>
          </w:p>
        </w:tc>
        <w:tc>
          <w:tcPr>
            <w:tcW w:w="585" w:type="pct"/>
            <w:shd w:val="clear" w:color="auto" w:fill="FF0000"/>
            <w:vAlign w:val="center"/>
          </w:tcPr>
          <w:p w14:paraId="28A3EF6C"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33</w:t>
            </w:r>
          </w:p>
        </w:tc>
        <w:tc>
          <w:tcPr>
            <w:tcW w:w="1349" w:type="pct"/>
          </w:tcPr>
          <w:p w14:paraId="3424D029"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Dégâts matériels ; Dommages corporels ; Pertes en vies humaines</w:t>
            </w:r>
          </w:p>
        </w:tc>
      </w:tr>
      <w:tr w:rsidR="00BD1A2F" w:rsidRPr="009B46E2" w14:paraId="7CA899F9" w14:textId="77777777" w:rsidTr="003A0E4A">
        <w:trPr>
          <w:trHeight w:val="132"/>
        </w:trPr>
        <w:tc>
          <w:tcPr>
            <w:tcW w:w="861" w:type="pct"/>
          </w:tcPr>
          <w:p w14:paraId="10B09A2E"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prévention</w:t>
            </w:r>
            <w:proofErr w:type="spellEnd"/>
          </w:p>
        </w:tc>
        <w:tc>
          <w:tcPr>
            <w:tcW w:w="4139" w:type="pct"/>
            <w:gridSpan w:val="5"/>
          </w:tcPr>
          <w:p w14:paraId="62178FBB"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Informer les populations avant le démarrage des travaux ;</w:t>
            </w:r>
          </w:p>
          <w:p w14:paraId="3CF1F28B"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Installer des panneaux d’approche et de position pour signaler les tranchées ;</w:t>
            </w:r>
          </w:p>
          <w:p w14:paraId="7121CF71" w14:textId="77777777" w:rsidR="00DE241D" w:rsidRPr="0097258B" w:rsidRDefault="00E60FA9"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É</w:t>
            </w:r>
            <w:r w:rsidR="00DE241D" w:rsidRPr="00301AF6">
              <w:rPr>
                <w:rFonts w:ascii="Times New Roman" w:hAnsi="Times New Roman" w:cs="Times New Roman"/>
                <w:color w:val="000000" w:themeColor="text1"/>
                <w:sz w:val="20"/>
                <w:szCs w:val="20"/>
                <w:lang w:val="fr-FR"/>
              </w:rPr>
              <w:t>laborer un plan de circulation et aménager des passerelles adaptées pour le franchissement des tranchées.</w:t>
            </w:r>
          </w:p>
          <w:p w14:paraId="28F290C5" w14:textId="722A4320" w:rsidR="00DE7536" w:rsidRPr="0097258B" w:rsidRDefault="00731EE8"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 xml:space="preserve">Mettre un blindage adéquat des tranchées à chaque fois que nécessaires </w:t>
            </w:r>
            <w:r w:rsidR="00873A5E" w:rsidRPr="00301AF6">
              <w:rPr>
                <w:rFonts w:ascii="Times New Roman" w:hAnsi="Times New Roman" w:cs="Times New Roman"/>
                <w:color w:val="000000" w:themeColor="text1"/>
                <w:sz w:val="20"/>
                <w:szCs w:val="20"/>
                <w:lang w:val="fr-FR"/>
              </w:rPr>
              <w:t>pour éviter les risques d’éboulement</w:t>
            </w:r>
          </w:p>
        </w:tc>
      </w:tr>
      <w:tr w:rsidR="00BD1A2F" w:rsidRPr="009B46E2" w14:paraId="2C51A081" w14:textId="77777777" w:rsidTr="003A0E4A">
        <w:trPr>
          <w:trHeight w:val="230"/>
        </w:trPr>
        <w:tc>
          <w:tcPr>
            <w:tcW w:w="861" w:type="pct"/>
          </w:tcPr>
          <w:p w14:paraId="6B27DF70"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960" w:type="pct"/>
          </w:tcPr>
          <w:p w14:paraId="73B3C0CC"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final</w:t>
            </w:r>
          </w:p>
        </w:tc>
        <w:tc>
          <w:tcPr>
            <w:tcW w:w="732" w:type="pct"/>
          </w:tcPr>
          <w:p w14:paraId="51F84EB7"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13" w:type="pct"/>
          </w:tcPr>
          <w:p w14:paraId="3DF09F04"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85" w:type="pct"/>
          </w:tcPr>
          <w:p w14:paraId="531142CE"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349" w:type="pct"/>
          </w:tcPr>
          <w:p w14:paraId="583CB752"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r w:rsidRPr="0097258B">
              <w:rPr>
                <w:rFonts w:ascii="Times New Roman" w:hAnsi="Times New Roman" w:cs="Times New Roman"/>
                <w:b/>
                <w:bCs/>
                <w:color w:val="000000" w:themeColor="text1"/>
                <w:sz w:val="20"/>
                <w:szCs w:val="20"/>
              </w:rPr>
              <w:t xml:space="preserve"> </w:t>
            </w:r>
            <w:proofErr w:type="spellStart"/>
            <w:r w:rsidRPr="0097258B">
              <w:rPr>
                <w:rFonts w:ascii="Times New Roman" w:hAnsi="Times New Roman" w:cs="Times New Roman"/>
                <w:b/>
                <w:bCs/>
                <w:color w:val="000000" w:themeColor="text1"/>
                <w:sz w:val="20"/>
                <w:szCs w:val="20"/>
              </w:rPr>
              <w:t>résiduel</w:t>
            </w:r>
            <w:proofErr w:type="spellEnd"/>
          </w:p>
        </w:tc>
      </w:tr>
      <w:tr w:rsidR="00BD1A2F" w:rsidRPr="009B46E2" w14:paraId="1A9DC2B1" w14:textId="77777777" w:rsidTr="003A0E4A">
        <w:trPr>
          <w:trHeight w:val="458"/>
        </w:trPr>
        <w:tc>
          <w:tcPr>
            <w:tcW w:w="861" w:type="pct"/>
          </w:tcPr>
          <w:p w14:paraId="528734ED"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Après </w:t>
            </w:r>
            <w:proofErr w:type="spellStart"/>
            <w:r w:rsidRPr="0097258B">
              <w:rPr>
                <w:rFonts w:ascii="Times New Roman" w:hAnsi="Times New Roman" w:cs="Times New Roman"/>
                <w:color w:val="000000" w:themeColor="text1"/>
                <w:sz w:val="20"/>
                <w:szCs w:val="20"/>
              </w:rPr>
              <w:t>prévention</w:t>
            </w:r>
            <w:proofErr w:type="spellEnd"/>
          </w:p>
        </w:tc>
        <w:tc>
          <w:tcPr>
            <w:tcW w:w="960" w:type="pct"/>
          </w:tcPr>
          <w:p w14:paraId="28064D8D" w14:textId="743F67F9" w:rsidR="00DE241D" w:rsidRPr="0097258B" w:rsidRDefault="009F4921"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Faible</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risque</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d’accident</w:t>
            </w:r>
            <w:proofErr w:type="spellEnd"/>
          </w:p>
        </w:tc>
        <w:tc>
          <w:tcPr>
            <w:tcW w:w="732" w:type="pct"/>
          </w:tcPr>
          <w:p w14:paraId="14D9F1D1"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13" w:type="pct"/>
          </w:tcPr>
          <w:p w14:paraId="081E9F5E"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85" w:type="pct"/>
            <w:shd w:val="clear" w:color="auto" w:fill="A8D08D" w:themeFill="accent6" w:themeFillTint="99"/>
          </w:tcPr>
          <w:p w14:paraId="19D494B8"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21</w:t>
            </w:r>
          </w:p>
        </w:tc>
        <w:tc>
          <w:tcPr>
            <w:tcW w:w="1349" w:type="pct"/>
          </w:tcPr>
          <w:p w14:paraId="0B5A19D5" w14:textId="3F84BC42" w:rsidR="00DE241D" w:rsidRPr="0097258B" w:rsidRDefault="004749F1"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Sécurisation</w:t>
            </w:r>
            <w:proofErr w:type="spellEnd"/>
            <w:r w:rsidRPr="0097258B">
              <w:rPr>
                <w:rFonts w:ascii="Times New Roman" w:hAnsi="Times New Roman" w:cs="Times New Roman"/>
                <w:color w:val="000000" w:themeColor="text1"/>
                <w:sz w:val="20"/>
                <w:szCs w:val="20"/>
              </w:rPr>
              <w:t xml:space="preserve"> du </w:t>
            </w:r>
            <w:proofErr w:type="spellStart"/>
            <w:r w:rsidRPr="0097258B">
              <w:rPr>
                <w:rFonts w:ascii="Times New Roman" w:hAnsi="Times New Roman" w:cs="Times New Roman"/>
                <w:color w:val="000000" w:themeColor="text1"/>
                <w:sz w:val="20"/>
                <w:szCs w:val="20"/>
              </w:rPr>
              <w:t>chantier</w:t>
            </w:r>
            <w:proofErr w:type="spellEnd"/>
            <w:r w:rsidR="00DE241D" w:rsidRPr="0097258B">
              <w:rPr>
                <w:rFonts w:ascii="Times New Roman" w:hAnsi="Times New Roman" w:cs="Times New Roman"/>
                <w:color w:val="000000" w:themeColor="text1"/>
                <w:sz w:val="20"/>
                <w:szCs w:val="20"/>
              </w:rPr>
              <w:t> </w:t>
            </w:r>
          </w:p>
        </w:tc>
      </w:tr>
    </w:tbl>
    <w:p w14:paraId="3142D0A0" w14:textId="77777777" w:rsidR="00DE241D" w:rsidRPr="00260790" w:rsidRDefault="00DE241D" w:rsidP="00E20250">
      <w:pPr>
        <w:spacing w:line="240" w:lineRule="auto"/>
        <w:jc w:val="both"/>
        <w:rPr>
          <w:rFonts w:ascii="Times New Roman" w:hAnsi="Times New Roman"/>
          <w:color w:val="000000" w:themeColor="text1"/>
        </w:rPr>
      </w:pPr>
    </w:p>
    <w:p w14:paraId="6B4A592C" w14:textId="20EE25D6" w:rsidR="00DE241D" w:rsidRPr="0097258B" w:rsidRDefault="00DE241D" w:rsidP="0097258B">
      <w:pPr>
        <w:pStyle w:val="CHAPITRE1"/>
        <w:numPr>
          <w:ilvl w:val="2"/>
          <w:numId w:val="380"/>
        </w:numPr>
        <w:rPr>
          <w:rFonts w:cs="Times New Roman"/>
          <w:i/>
          <w:iCs/>
        </w:rPr>
      </w:pPr>
      <w:bookmarkStart w:id="648" w:name="_Toc212725137"/>
      <w:r w:rsidRPr="0097258B">
        <w:rPr>
          <w:rFonts w:cs="Times New Roman"/>
          <w:i/>
          <w:iCs/>
        </w:rPr>
        <w:t>Impacts négatifs et risques associés aux aménagements urbains (voirie, éclairage public par lampadaires photovoltaïques)</w:t>
      </w:r>
      <w:bookmarkEnd w:id="648"/>
    </w:p>
    <w:p w14:paraId="1E4BDF07" w14:textId="77777777" w:rsidR="00DE241D" w:rsidRPr="00260790" w:rsidRDefault="00DE241D" w:rsidP="00E20250">
      <w:pPr>
        <w:spacing w:after="120" w:line="240" w:lineRule="auto"/>
        <w:jc w:val="both"/>
        <w:rPr>
          <w:rFonts w:ascii="Times New Roman" w:hAnsi="Times New Roman"/>
          <w:color w:val="000000" w:themeColor="text1"/>
        </w:rPr>
      </w:pPr>
      <w:r w:rsidRPr="00260790">
        <w:rPr>
          <w:rFonts w:ascii="Times New Roman" w:hAnsi="Times New Roman"/>
          <w:color w:val="000000" w:themeColor="text1"/>
        </w:rPr>
        <w:t>Les aménagements urbains prévus dans le cadre du PROGEP II comprennent :</w:t>
      </w:r>
    </w:p>
    <w:p w14:paraId="5FB7D4B3" w14:textId="77777777" w:rsidR="00DE241D" w:rsidRPr="00260790" w:rsidRDefault="00DE241D" w:rsidP="001748C6">
      <w:pPr>
        <w:pStyle w:val="Paragraphedeliste"/>
        <w:numPr>
          <w:ilvl w:val="0"/>
          <w:numId w:val="142"/>
        </w:numPr>
        <w:spacing w:line="240" w:lineRule="auto"/>
        <w:jc w:val="both"/>
        <w:rPr>
          <w:rFonts w:ascii="Times New Roman" w:hAnsi="Times New Roman"/>
          <w:color w:val="000000" w:themeColor="text1"/>
        </w:rPr>
      </w:pPr>
      <w:r w:rsidRPr="00260790">
        <w:rPr>
          <w:rFonts w:ascii="Times New Roman" w:hAnsi="Times New Roman"/>
          <w:color w:val="000000" w:themeColor="text1"/>
        </w:rPr>
        <w:t>L’aménagement de chemins piétonniers en pavés autour des 15 bassins ;</w:t>
      </w:r>
    </w:p>
    <w:p w14:paraId="2A67C9F8" w14:textId="09E6E615" w:rsidR="00DE241D" w:rsidRPr="00260790" w:rsidRDefault="00DE241D" w:rsidP="001748C6">
      <w:pPr>
        <w:pStyle w:val="Paragraphedeliste"/>
        <w:numPr>
          <w:ilvl w:val="0"/>
          <w:numId w:val="142"/>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 construction de voiries en pavés en accompagnement du projet hydraulique de drainage sur un linéaire </w:t>
      </w:r>
      <w:r w:rsidR="00077AC8" w:rsidRPr="00260790">
        <w:rPr>
          <w:rFonts w:ascii="Times New Roman" w:hAnsi="Times New Roman"/>
          <w:color w:val="000000" w:themeColor="text1"/>
        </w:rPr>
        <w:t>de près de 20</w:t>
      </w:r>
      <w:r w:rsidRPr="00260790">
        <w:rPr>
          <w:rFonts w:ascii="Times New Roman" w:hAnsi="Times New Roman"/>
          <w:color w:val="000000" w:themeColor="text1"/>
        </w:rPr>
        <w:t xml:space="preserve"> km.</w:t>
      </w:r>
    </w:p>
    <w:p w14:paraId="6ABBFAFE" w14:textId="77777777" w:rsidR="00DE241D" w:rsidRPr="00260790" w:rsidRDefault="00DE241D" w:rsidP="001748C6">
      <w:pPr>
        <w:pStyle w:val="Paragraphedeliste"/>
        <w:numPr>
          <w:ilvl w:val="0"/>
          <w:numId w:val="355"/>
        </w:numPr>
        <w:spacing w:after="120" w:line="240" w:lineRule="auto"/>
        <w:jc w:val="both"/>
        <w:rPr>
          <w:rFonts w:ascii="Times New Roman" w:hAnsi="Times New Roman"/>
          <w:i/>
          <w:iCs/>
          <w:color w:val="000000" w:themeColor="text1"/>
          <w:u w:val="single"/>
        </w:rPr>
      </w:pPr>
      <w:r w:rsidRPr="00260790">
        <w:rPr>
          <w:rFonts w:ascii="Times New Roman" w:hAnsi="Times New Roman"/>
          <w:i/>
          <w:iCs/>
          <w:color w:val="000000" w:themeColor="text1"/>
          <w:u w:val="single"/>
        </w:rPr>
        <w:t>Impacts et risque sur le milieu physique</w:t>
      </w:r>
    </w:p>
    <w:p w14:paraId="4898E28D" w14:textId="77777777" w:rsidR="00DE241D" w:rsidRPr="00260790" w:rsidRDefault="00DE241D" w:rsidP="00E20250">
      <w:pPr>
        <w:pStyle w:val="Paragraphedeliste"/>
        <w:spacing w:line="240" w:lineRule="auto"/>
        <w:jc w:val="both"/>
        <w:rPr>
          <w:rFonts w:ascii="Times New Roman" w:hAnsi="Times New Roman"/>
          <w:b/>
          <w:bCs/>
          <w:i/>
          <w:iCs/>
          <w:color w:val="000000" w:themeColor="text1"/>
        </w:rPr>
      </w:pPr>
    </w:p>
    <w:p w14:paraId="2C3813DD" w14:textId="3B0D9E91" w:rsidR="00DE241D" w:rsidRPr="00260790" w:rsidRDefault="00DE241D" w:rsidP="001748C6">
      <w:pPr>
        <w:pStyle w:val="Paragraphedeliste"/>
        <w:numPr>
          <w:ilvl w:val="0"/>
          <w:numId w:val="333"/>
        </w:numPr>
        <w:spacing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RI-19. Risque d’érosion des sols et de recul du trait de côte associé aux emprunts de sable</w:t>
      </w:r>
    </w:p>
    <w:p w14:paraId="7E5EDA8D" w14:textId="4F8F8A4C"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Le pavage de</w:t>
      </w:r>
      <w:r w:rsidRPr="00260790">
        <w:rPr>
          <w:rFonts w:ascii="Times New Roman" w:hAnsi="Times New Roman"/>
          <w:b/>
          <w:bCs/>
          <w:i/>
          <w:iCs/>
          <w:color w:val="000000" w:themeColor="text1"/>
        </w:rPr>
        <w:t xml:space="preserve"> </w:t>
      </w:r>
      <w:r w:rsidRPr="00260790">
        <w:rPr>
          <w:rFonts w:ascii="Times New Roman" w:hAnsi="Times New Roman"/>
          <w:color w:val="000000" w:themeColor="text1"/>
        </w:rPr>
        <w:t>18.9km de voies requerra des quantités substantielles de sable dont l’approvisionnement pourrait se traduire par l’érosion des sols aux site</w:t>
      </w:r>
      <w:r w:rsidR="007C0734" w:rsidRPr="00260790">
        <w:rPr>
          <w:rFonts w:ascii="Times New Roman" w:hAnsi="Times New Roman"/>
          <w:color w:val="000000" w:themeColor="text1"/>
        </w:rPr>
        <w:t>s</w:t>
      </w:r>
      <w:r w:rsidRPr="00260790">
        <w:rPr>
          <w:rFonts w:ascii="Times New Roman" w:hAnsi="Times New Roman"/>
          <w:color w:val="000000" w:themeColor="text1"/>
        </w:rPr>
        <w:t xml:space="preserve"> d’emprunt. </w:t>
      </w:r>
    </w:p>
    <w:p w14:paraId="17F34830" w14:textId="1488E6E3" w:rsidR="00DE241D" w:rsidRPr="00260790" w:rsidRDefault="009965A6"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lastRenderedPageBreak/>
        <w:t>À</w:t>
      </w:r>
      <w:r w:rsidR="00DE241D" w:rsidRPr="00260790">
        <w:rPr>
          <w:rFonts w:ascii="Times New Roman" w:hAnsi="Times New Roman"/>
          <w:color w:val="000000" w:themeColor="text1"/>
        </w:rPr>
        <w:t xml:space="preserve"> noter par ailleurs que la probabilité d’érosion côtière et de recul du trait de côte associés aux emprunts de matériaux de construction est significative quand on sait que certains fournisseurs pourraient être tentés par l’exploitation de sable de plage quoique celle-ci soit interdite.</w:t>
      </w:r>
    </w:p>
    <w:p w14:paraId="6B2521BE" w14:textId="7A1578C9"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L’Entreprise devra par conséquent éviter tout usage de sable de plage et s’</w:t>
      </w:r>
      <w:r w:rsidR="00657D0F">
        <w:rPr>
          <w:rFonts w:ascii="Times New Roman" w:hAnsi="Times New Roman"/>
          <w:color w:val="000000" w:themeColor="text1"/>
        </w:rPr>
        <w:t xml:space="preserve">assurer de son </w:t>
      </w:r>
      <w:r w:rsidRPr="00260790">
        <w:rPr>
          <w:rFonts w:ascii="Times New Roman" w:hAnsi="Times New Roman"/>
          <w:color w:val="000000" w:themeColor="text1"/>
        </w:rPr>
        <w:t xml:space="preserve">approvisionnement </w:t>
      </w:r>
      <w:r w:rsidR="00657D0F">
        <w:rPr>
          <w:rFonts w:ascii="Times New Roman" w:hAnsi="Times New Roman"/>
          <w:color w:val="000000" w:themeColor="text1"/>
        </w:rPr>
        <w:t>avec les</w:t>
      </w:r>
      <w:r w:rsidR="00657D0F" w:rsidRPr="00260790">
        <w:rPr>
          <w:rFonts w:ascii="Times New Roman" w:hAnsi="Times New Roman"/>
          <w:color w:val="000000" w:themeColor="text1"/>
        </w:rPr>
        <w:t xml:space="preserve"> </w:t>
      </w:r>
      <w:r w:rsidRPr="00260790">
        <w:rPr>
          <w:rFonts w:ascii="Times New Roman" w:hAnsi="Times New Roman"/>
          <w:color w:val="000000" w:themeColor="text1"/>
        </w:rPr>
        <w:t xml:space="preserve">carrières existantes. En cas d’approvisionnement auprès de fournisseurs, il devra établir la traçabilité du sable. </w:t>
      </w:r>
    </w:p>
    <w:p w14:paraId="0A8C5ABB"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Ci-dessous le résumé de l’analyse du risque d’érosion des sols et de retrait du trait de côte associé aux emprunts de sable.</w:t>
      </w:r>
    </w:p>
    <w:p w14:paraId="45817034" w14:textId="6C0ED857" w:rsidR="00DE241D" w:rsidRPr="00260790" w:rsidRDefault="00DE241D" w:rsidP="00E20250">
      <w:pPr>
        <w:pStyle w:val="Lgende"/>
        <w:spacing w:line="240" w:lineRule="auto"/>
        <w:rPr>
          <w:color w:val="000000" w:themeColor="text1"/>
          <w:sz w:val="22"/>
          <w:szCs w:val="22"/>
        </w:rPr>
      </w:pPr>
      <w:bookmarkStart w:id="649" w:name="_Toc207781906"/>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65</w:t>
      </w:r>
      <w:r w:rsidRPr="00260790">
        <w:rPr>
          <w:color w:val="000000" w:themeColor="text1"/>
          <w:sz w:val="22"/>
          <w:szCs w:val="22"/>
        </w:rPr>
        <w:fldChar w:fldCharType="end"/>
      </w:r>
      <w:r w:rsidRPr="00260790">
        <w:rPr>
          <w:color w:val="000000" w:themeColor="text1"/>
          <w:sz w:val="22"/>
          <w:szCs w:val="22"/>
        </w:rPr>
        <w:t> : résumé de l’analyse du risque d’érosion des sols et de recul du trait de côte associé aux emprunts de sable</w:t>
      </w:r>
      <w:bookmarkEnd w:id="649"/>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0"/>
        <w:gridCol w:w="1740"/>
        <w:gridCol w:w="1326"/>
        <w:gridCol w:w="930"/>
        <w:gridCol w:w="1060"/>
        <w:gridCol w:w="2444"/>
      </w:tblGrid>
      <w:tr w:rsidR="00BD1A2F" w:rsidRPr="001E0D80" w14:paraId="36AFE052" w14:textId="77777777" w:rsidTr="003A0E4A">
        <w:trPr>
          <w:trHeight w:val="230"/>
        </w:trPr>
        <w:tc>
          <w:tcPr>
            <w:tcW w:w="5000" w:type="pct"/>
            <w:gridSpan w:val="6"/>
            <w:shd w:val="clear" w:color="auto" w:fill="D9E2F3" w:themeFill="accent5" w:themeFillTint="33"/>
          </w:tcPr>
          <w:p w14:paraId="11BA648B"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301AF6">
              <w:rPr>
                <w:rFonts w:ascii="Times New Roman" w:hAnsi="Times New Roman" w:cs="Times New Roman"/>
                <w:b/>
                <w:bCs/>
                <w:color w:val="000000" w:themeColor="text1"/>
                <w:sz w:val="20"/>
                <w:szCs w:val="20"/>
                <w:lang w:val="fr-FR"/>
              </w:rPr>
              <w:t>RI-19. Risque d’érosion des sols et de recul du trait de côte associé aux emprunts de sable</w:t>
            </w:r>
          </w:p>
        </w:tc>
      </w:tr>
      <w:tr w:rsidR="00BD1A2F" w:rsidRPr="001E0D80" w14:paraId="130A160A" w14:textId="77777777" w:rsidTr="003A0E4A">
        <w:trPr>
          <w:trHeight w:val="230"/>
        </w:trPr>
        <w:tc>
          <w:tcPr>
            <w:tcW w:w="5000" w:type="pct"/>
            <w:gridSpan w:val="6"/>
          </w:tcPr>
          <w:p w14:paraId="143D69A2"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b/>
                <w:bCs/>
                <w:color w:val="000000" w:themeColor="text1"/>
                <w:sz w:val="20"/>
                <w:szCs w:val="20"/>
                <w:lang w:val="fr-FR"/>
              </w:rPr>
              <w:t>Activités :</w:t>
            </w:r>
            <w:r w:rsidRPr="00301AF6">
              <w:rPr>
                <w:rFonts w:ascii="Times New Roman" w:hAnsi="Times New Roman" w:cs="Times New Roman"/>
                <w:color w:val="000000" w:themeColor="text1"/>
                <w:sz w:val="20"/>
                <w:szCs w:val="20"/>
                <w:lang w:val="fr-FR"/>
              </w:rPr>
              <w:t xml:space="preserve"> Aménagement de la voirie</w:t>
            </w:r>
          </w:p>
        </w:tc>
      </w:tr>
      <w:tr w:rsidR="00BD1A2F" w:rsidRPr="001E0D80" w14:paraId="4BDDA8A6" w14:textId="77777777" w:rsidTr="003A0E4A">
        <w:trPr>
          <w:trHeight w:val="230"/>
        </w:trPr>
        <w:tc>
          <w:tcPr>
            <w:tcW w:w="861" w:type="pct"/>
          </w:tcPr>
          <w:p w14:paraId="04FC3B3A"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960" w:type="pct"/>
          </w:tcPr>
          <w:p w14:paraId="5B78DF62"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initial</w:t>
            </w:r>
          </w:p>
        </w:tc>
        <w:tc>
          <w:tcPr>
            <w:tcW w:w="732" w:type="pct"/>
          </w:tcPr>
          <w:p w14:paraId="471E9F19"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13" w:type="pct"/>
          </w:tcPr>
          <w:p w14:paraId="7CCA5C84"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85" w:type="pct"/>
          </w:tcPr>
          <w:p w14:paraId="7A4C3D5E"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349" w:type="pct"/>
          </w:tcPr>
          <w:p w14:paraId="59DB4472"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p>
        </w:tc>
      </w:tr>
      <w:tr w:rsidR="00BD1A2F" w:rsidRPr="001E0D80" w14:paraId="08FC3306" w14:textId="77777777" w:rsidTr="003A0E4A">
        <w:trPr>
          <w:trHeight w:val="330"/>
        </w:trPr>
        <w:tc>
          <w:tcPr>
            <w:tcW w:w="861" w:type="pct"/>
          </w:tcPr>
          <w:p w14:paraId="119BBCFA"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Avant </w:t>
            </w:r>
            <w:proofErr w:type="spellStart"/>
            <w:r w:rsidRPr="0097258B">
              <w:rPr>
                <w:rFonts w:ascii="Times New Roman" w:hAnsi="Times New Roman" w:cs="Times New Roman"/>
                <w:color w:val="000000" w:themeColor="text1"/>
                <w:sz w:val="20"/>
                <w:szCs w:val="20"/>
              </w:rPr>
              <w:t>prévention</w:t>
            </w:r>
            <w:proofErr w:type="spellEnd"/>
          </w:p>
        </w:tc>
        <w:tc>
          <w:tcPr>
            <w:tcW w:w="960" w:type="pct"/>
          </w:tcPr>
          <w:p w14:paraId="1EAD800A" w14:textId="3B374D88"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roofErr w:type="spellStart"/>
            <w:r w:rsidRPr="00301AF6">
              <w:rPr>
                <w:rFonts w:ascii="Times New Roman" w:hAnsi="Times New Roman" w:cs="Times New Roman"/>
                <w:color w:val="000000" w:themeColor="text1"/>
                <w:sz w:val="20"/>
                <w:szCs w:val="20"/>
                <w:lang w:val="fr-FR"/>
              </w:rPr>
              <w:t>E</w:t>
            </w:r>
            <w:r w:rsidR="00A37743" w:rsidRPr="00301AF6">
              <w:rPr>
                <w:rFonts w:ascii="Times New Roman" w:hAnsi="Times New Roman" w:cs="Times New Roman"/>
                <w:color w:val="000000" w:themeColor="text1"/>
                <w:sz w:val="20"/>
                <w:szCs w:val="20"/>
                <w:lang w:val="fr-FR"/>
              </w:rPr>
              <w:t>rosion</w:t>
            </w:r>
            <w:proofErr w:type="spellEnd"/>
            <w:r w:rsidR="00A37743" w:rsidRPr="00301AF6">
              <w:rPr>
                <w:rFonts w:ascii="Times New Roman" w:hAnsi="Times New Roman" w:cs="Times New Roman"/>
                <w:color w:val="000000" w:themeColor="text1"/>
                <w:sz w:val="20"/>
                <w:szCs w:val="20"/>
                <w:lang w:val="fr-FR"/>
              </w:rPr>
              <w:t xml:space="preserve"> liée à l’e</w:t>
            </w:r>
            <w:r w:rsidRPr="00301AF6">
              <w:rPr>
                <w:rFonts w:ascii="Times New Roman" w:hAnsi="Times New Roman" w:cs="Times New Roman"/>
                <w:color w:val="000000" w:themeColor="text1"/>
                <w:sz w:val="20"/>
                <w:szCs w:val="20"/>
                <w:lang w:val="fr-FR"/>
              </w:rPr>
              <w:t>mprunt de sable </w:t>
            </w:r>
          </w:p>
        </w:tc>
        <w:tc>
          <w:tcPr>
            <w:tcW w:w="732" w:type="pct"/>
            <w:vAlign w:val="center"/>
          </w:tcPr>
          <w:p w14:paraId="0115C279"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13" w:type="pct"/>
            <w:vAlign w:val="center"/>
          </w:tcPr>
          <w:p w14:paraId="3AD25055"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w:t>
            </w:r>
          </w:p>
        </w:tc>
        <w:tc>
          <w:tcPr>
            <w:tcW w:w="585" w:type="pct"/>
            <w:shd w:val="clear" w:color="auto" w:fill="FFFF00"/>
            <w:vAlign w:val="center"/>
          </w:tcPr>
          <w:p w14:paraId="3160A572"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32</w:t>
            </w:r>
          </w:p>
        </w:tc>
        <w:tc>
          <w:tcPr>
            <w:tcW w:w="1349" w:type="pct"/>
          </w:tcPr>
          <w:p w14:paraId="63B7E02D" w14:textId="36C05329" w:rsidR="00DE241D" w:rsidRPr="0097258B" w:rsidRDefault="007C0734"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É</w:t>
            </w:r>
            <w:r w:rsidR="00DE241D" w:rsidRPr="00301AF6">
              <w:rPr>
                <w:rFonts w:ascii="Times New Roman" w:hAnsi="Times New Roman" w:cs="Times New Roman"/>
                <w:color w:val="000000" w:themeColor="text1"/>
                <w:sz w:val="20"/>
                <w:szCs w:val="20"/>
                <w:lang w:val="fr-FR"/>
              </w:rPr>
              <w:t>rosion des sols ;</w:t>
            </w:r>
          </w:p>
          <w:p w14:paraId="20200F6B" w14:textId="0B432B0F" w:rsidR="00DE241D" w:rsidRPr="0097258B" w:rsidRDefault="007C0734"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É</w:t>
            </w:r>
            <w:r w:rsidR="00DE241D" w:rsidRPr="00301AF6">
              <w:rPr>
                <w:rFonts w:ascii="Times New Roman" w:hAnsi="Times New Roman" w:cs="Times New Roman"/>
                <w:color w:val="000000" w:themeColor="text1"/>
                <w:sz w:val="20"/>
                <w:szCs w:val="20"/>
                <w:lang w:val="fr-FR"/>
              </w:rPr>
              <w:t>rosion côtière et recul du trait de côte</w:t>
            </w:r>
          </w:p>
        </w:tc>
      </w:tr>
      <w:tr w:rsidR="00BD1A2F" w:rsidRPr="001E0D80" w14:paraId="04A9F4D2" w14:textId="77777777" w:rsidTr="003A0E4A">
        <w:trPr>
          <w:trHeight w:val="132"/>
        </w:trPr>
        <w:tc>
          <w:tcPr>
            <w:tcW w:w="861" w:type="pct"/>
          </w:tcPr>
          <w:p w14:paraId="4E3E14AB"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prévention</w:t>
            </w:r>
            <w:proofErr w:type="spellEnd"/>
          </w:p>
        </w:tc>
        <w:tc>
          <w:tcPr>
            <w:tcW w:w="4139" w:type="pct"/>
            <w:gridSpan w:val="5"/>
          </w:tcPr>
          <w:p w14:paraId="3EABB365"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Proscrire tout usage de sable de plage dans le cadre du projet ;</w:t>
            </w:r>
          </w:p>
          <w:p w14:paraId="5C0E0A46"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Privilégier l’approvisionnement aux carrières existantes ;</w:t>
            </w:r>
          </w:p>
          <w:p w14:paraId="21ACFE71"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En cas d’approvisionnement auprès de fournisseurs, établir la traçabilité du sable.</w:t>
            </w:r>
          </w:p>
        </w:tc>
      </w:tr>
      <w:tr w:rsidR="00BD1A2F" w:rsidRPr="001E0D80" w14:paraId="232CB0DF" w14:textId="77777777" w:rsidTr="003A0E4A">
        <w:trPr>
          <w:trHeight w:val="230"/>
        </w:trPr>
        <w:tc>
          <w:tcPr>
            <w:tcW w:w="861" w:type="pct"/>
          </w:tcPr>
          <w:p w14:paraId="0721BF82"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960" w:type="pct"/>
          </w:tcPr>
          <w:p w14:paraId="34BC9FF1"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final</w:t>
            </w:r>
          </w:p>
        </w:tc>
        <w:tc>
          <w:tcPr>
            <w:tcW w:w="732" w:type="pct"/>
          </w:tcPr>
          <w:p w14:paraId="43509F7E"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13" w:type="pct"/>
          </w:tcPr>
          <w:p w14:paraId="07036E6F"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85" w:type="pct"/>
          </w:tcPr>
          <w:p w14:paraId="29B03AA5"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349" w:type="pct"/>
          </w:tcPr>
          <w:p w14:paraId="68C686C2"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r w:rsidRPr="0097258B">
              <w:rPr>
                <w:rFonts w:ascii="Times New Roman" w:hAnsi="Times New Roman" w:cs="Times New Roman"/>
                <w:b/>
                <w:bCs/>
                <w:color w:val="000000" w:themeColor="text1"/>
                <w:sz w:val="20"/>
                <w:szCs w:val="20"/>
              </w:rPr>
              <w:t xml:space="preserve"> </w:t>
            </w:r>
            <w:proofErr w:type="spellStart"/>
            <w:r w:rsidRPr="0097258B">
              <w:rPr>
                <w:rFonts w:ascii="Times New Roman" w:hAnsi="Times New Roman" w:cs="Times New Roman"/>
                <w:b/>
                <w:bCs/>
                <w:color w:val="000000" w:themeColor="text1"/>
                <w:sz w:val="20"/>
                <w:szCs w:val="20"/>
              </w:rPr>
              <w:t>résiduel</w:t>
            </w:r>
            <w:proofErr w:type="spellEnd"/>
          </w:p>
        </w:tc>
      </w:tr>
      <w:tr w:rsidR="00BD1A2F" w:rsidRPr="001E0D80" w14:paraId="632626E7" w14:textId="77777777" w:rsidTr="003A0E4A">
        <w:trPr>
          <w:trHeight w:val="458"/>
        </w:trPr>
        <w:tc>
          <w:tcPr>
            <w:tcW w:w="861" w:type="pct"/>
          </w:tcPr>
          <w:p w14:paraId="048A202D"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Après </w:t>
            </w:r>
            <w:proofErr w:type="spellStart"/>
            <w:r w:rsidRPr="0097258B">
              <w:rPr>
                <w:rFonts w:ascii="Times New Roman" w:hAnsi="Times New Roman" w:cs="Times New Roman"/>
                <w:color w:val="000000" w:themeColor="text1"/>
                <w:sz w:val="20"/>
                <w:szCs w:val="20"/>
              </w:rPr>
              <w:t>prévention</w:t>
            </w:r>
            <w:proofErr w:type="spellEnd"/>
          </w:p>
        </w:tc>
        <w:tc>
          <w:tcPr>
            <w:tcW w:w="960" w:type="pct"/>
          </w:tcPr>
          <w:p w14:paraId="42010490" w14:textId="24C7A9F6" w:rsidR="00DE241D" w:rsidRPr="0097258B" w:rsidRDefault="00F606D0"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Altération de la qualité ses sols</w:t>
            </w:r>
          </w:p>
        </w:tc>
        <w:tc>
          <w:tcPr>
            <w:tcW w:w="732" w:type="pct"/>
          </w:tcPr>
          <w:p w14:paraId="3C18D437"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13" w:type="pct"/>
          </w:tcPr>
          <w:p w14:paraId="1F921BE6"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85" w:type="pct"/>
            <w:shd w:val="clear" w:color="auto" w:fill="A8D08D" w:themeFill="accent6" w:themeFillTint="99"/>
          </w:tcPr>
          <w:p w14:paraId="4344F8D5"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21</w:t>
            </w:r>
          </w:p>
        </w:tc>
        <w:tc>
          <w:tcPr>
            <w:tcW w:w="1349" w:type="pct"/>
          </w:tcPr>
          <w:p w14:paraId="480AD8A6"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Défiguration</w:t>
            </w:r>
            <w:proofErr w:type="spellEnd"/>
            <w:r w:rsidRPr="0097258B">
              <w:rPr>
                <w:rFonts w:ascii="Times New Roman" w:hAnsi="Times New Roman" w:cs="Times New Roman"/>
                <w:color w:val="000000" w:themeColor="text1"/>
                <w:sz w:val="20"/>
                <w:szCs w:val="20"/>
              </w:rPr>
              <w:t xml:space="preserve"> du </w:t>
            </w:r>
            <w:proofErr w:type="spellStart"/>
            <w:r w:rsidRPr="0097258B">
              <w:rPr>
                <w:rFonts w:ascii="Times New Roman" w:hAnsi="Times New Roman" w:cs="Times New Roman"/>
                <w:color w:val="000000" w:themeColor="text1"/>
                <w:sz w:val="20"/>
                <w:szCs w:val="20"/>
              </w:rPr>
              <w:t>paysage</w:t>
            </w:r>
            <w:proofErr w:type="spellEnd"/>
            <w:r w:rsidRPr="0097258B">
              <w:rPr>
                <w:rFonts w:ascii="Times New Roman" w:hAnsi="Times New Roman" w:cs="Times New Roman"/>
                <w:color w:val="000000" w:themeColor="text1"/>
                <w:sz w:val="20"/>
                <w:szCs w:val="20"/>
              </w:rPr>
              <w:t> </w:t>
            </w:r>
          </w:p>
        </w:tc>
      </w:tr>
    </w:tbl>
    <w:p w14:paraId="49AF5A83" w14:textId="77777777" w:rsidR="00DE241D" w:rsidRPr="00260790" w:rsidRDefault="00DE241D" w:rsidP="00F83414">
      <w:pPr>
        <w:spacing w:after="0" w:line="240" w:lineRule="auto"/>
        <w:jc w:val="both"/>
        <w:rPr>
          <w:rFonts w:ascii="Times New Roman" w:hAnsi="Times New Roman"/>
          <w:color w:val="000000" w:themeColor="text1"/>
        </w:rPr>
      </w:pPr>
    </w:p>
    <w:p w14:paraId="67303153" w14:textId="77777777" w:rsidR="00DE241D" w:rsidRPr="00260790" w:rsidRDefault="00DE241D" w:rsidP="001748C6">
      <w:pPr>
        <w:pStyle w:val="Paragraphedeliste"/>
        <w:numPr>
          <w:ilvl w:val="0"/>
          <w:numId w:val="360"/>
        </w:numPr>
        <w:spacing w:line="240" w:lineRule="auto"/>
        <w:jc w:val="both"/>
        <w:rPr>
          <w:rFonts w:ascii="Times New Roman" w:hAnsi="Times New Roman"/>
          <w:i/>
          <w:iCs/>
          <w:color w:val="000000" w:themeColor="text1"/>
          <w:u w:val="single"/>
        </w:rPr>
      </w:pPr>
      <w:r w:rsidRPr="00260790">
        <w:rPr>
          <w:rFonts w:ascii="Times New Roman" w:hAnsi="Times New Roman"/>
          <w:i/>
          <w:iCs/>
          <w:color w:val="000000" w:themeColor="text1"/>
          <w:u w:val="single"/>
        </w:rPr>
        <w:t>Impacts négatifs et risques sur le milieu humain</w:t>
      </w:r>
    </w:p>
    <w:p w14:paraId="3EE11FE9" w14:textId="77777777" w:rsidR="00DE241D" w:rsidRPr="00260790" w:rsidRDefault="00DE241D" w:rsidP="00E20250">
      <w:pPr>
        <w:pStyle w:val="Paragraphedeliste"/>
        <w:spacing w:line="240" w:lineRule="auto"/>
        <w:jc w:val="both"/>
        <w:rPr>
          <w:rFonts w:ascii="Times New Roman" w:hAnsi="Times New Roman"/>
          <w:i/>
          <w:iCs/>
          <w:color w:val="000000" w:themeColor="text1"/>
        </w:rPr>
      </w:pPr>
    </w:p>
    <w:p w14:paraId="5D91F08E" w14:textId="77777777" w:rsidR="00DE241D" w:rsidRPr="00260790" w:rsidRDefault="00DE241D" w:rsidP="001748C6">
      <w:pPr>
        <w:pStyle w:val="Paragraphedeliste"/>
        <w:numPr>
          <w:ilvl w:val="0"/>
          <w:numId w:val="356"/>
        </w:numPr>
        <w:spacing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RI-20. Risque de perte de terres arables associé à l’approvisionnement en sable</w:t>
      </w:r>
    </w:p>
    <w:p w14:paraId="42C6594B"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L’approvisionnement en sable du projet comporte un risque de pertes de terres arables au site d’emprunt. Aussi, l’Entreprise chargée du pavage devra privilégier les carrières autorisées existantes. </w:t>
      </w:r>
    </w:p>
    <w:p w14:paraId="4E5C66B1"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Ci-dessous le résumé de l'analyse du risque de perte de terres arables associé à l’approvisionnement en sable.</w:t>
      </w:r>
    </w:p>
    <w:p w14:paraId="49DC62FA" w14:textId="1CFE0C00" w:rsidR="00DE241D" w:rsidRPr="00260790" w:rsidRDefault="00DE241D" w:rsidP="00E20250">
      <w:pPr>
        <w:pStyle w:val="Lgende"/>
        <w:spacing w:line="240" w:lineRule="auto"/>
        <w:rPr>
          <w:color w:val="000000" w:themeColor="text1"/>
          <w:sz w:val="22"/>
          <w:szCs w:val="22"/>
        </w:rPr>
      </w:pPr>
      <w:bookmarkStart w:id="650" w:name="_Toc207781907"/>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66</w:t>
      </w:r>
      <w:r w:rsidRPr="00260790">
        <w:rPr>
          <w:color w:val="000000" w:themeColor="text1"/>
          <w:sz w:val="22"/>
          <w:szCs w:val="22"/>
        </w:rPr>
        <w:fldChar w:fldCharType="end"/>
      </w:r>
      <w:r w:rsidRPr="00260790">
        <w:rPr>
          <w:color w:val="000000" w:themeColor="text1"/>
          <w:sz w:val="22"/>
          <w:szCs w:val="22"/>
        </w:rPr>
        <w:t> : résumé de l'analyse du risque de perte de terres arables associé à l’approvisionnement en sable</w:t>
      </w:r>
      <w:bookmarkEnd w:id="650"/>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49"/>
        <w:gridCol w:w="2434"/>
        <w:gridCol w:w="1406"/>
        <w:gridCol w:w="971"/>
        <w:gridCol w:w="1042"/>
        <w:gridCol w:w="1658"/>
      </w:tblGrid>
      <w:tr w:rsidR="00BD1A2F" w:rsidRPr="009B46E2" w14:paraId="4317F96E" w14:textId="77777777" w:rsidTr="003A0E4A">
        <w:trPr>
          <w:trHeight w:val="230"/>
        </w:trPr>
        <w:tc>
          <w:tcPr>
            <w:tcW w:w="5000" w:type="pct"/>
            <w:gridSpan w:val="6"/>
            <w:shd w:val="clear" w:color="auto" w:fill="D9E2F3" w:themeFill="accent5" w:themeFillTint="33"/>
          </w:tcPr>
          <w:p w14:paraId="26CDE005" w14:textId="77777777" w:rsidR="00DE241D" w:rsidRPr="0097258B" w:rsidRDefault="00DE241D" w:rsidP="00E20250">
            <w:pPr>
              <w:pStyle w:val="Default"/>
              <w:overflowPunct w:val="0"/>
              <w:ind w:left="113" w:right="57"/>
              <w:jc w:val="both"/>
              <w:textAlignment w:val="baseline"/>
              <w:rPr>
                <w:rFonts w:ascii="Times New Roman" w:eastAsia="SimSun" w:hAnsi="Times New Roman" w:cs="Times New Roman"/>
                <w:b/>
                <w:bCs/>
                <w:color w:val="000000" w:themeColor="text1"/>
                <w:sz w:val="20"/>
                <w:szCs w:val="20"/>
                <w:lang w:val="fr-FR"/>
              </w:rPr>
            </w:pPr>
            <w:r w:rsidRPr="00301AF6">
              <w:rPr>
                <w:rFonts w:ascii="Times New Roman" w:hAnsi="Times New Roman" w:cs="Times New Roman"/>
                <w:b/>
                <w:bCs/>
                <w:color w:val="000000" w:themeColor="text1"/>
                <w:sz w:val="20"/>
                <w:szCs w:val="20"/>
                <w:lang w:val="fr-FR"/>
              </w:rPr>
              <w:t>RI-20. Risque de perte de terres arables associé à l’approvisionnement en sable</w:t>
            </w:r>
          </w:p>
        </w:tc>
      </w:tr>
      <w:tr w:rsidR="00BD1A2F" w:rsidRPr="009B46E2" w14:paraId="787D5C1B" w14:textId="77777777" w:rsidTr="003A0E4A">
        <w:trPr>
          <w:trHeight w:val="230"/>
        </w:trPr>
        <w:tc>
          <w:tcPr>
            <w:tcW w:w="5000" w:type="pct"/>
            <w:gridSpan w:val="6"/>
          </w:tcPr>
          <w:p w14:paraId="09C8D418"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b/>
                <w:bCs/>
                <w:color w:val="000000" w:themeColor="text1"/>
                <w:sz w:val="20"/>
                <w:szCs w:val="20"/>
                <w:lang w:val="fr-FR"/>
              </w:rPr>
              <w:t>Activités :</w:t>
            </w:r>
            <w:r w:rsidRPr="00301AF6">
              <w:rPr>
                <w:rFonts w:ascii="Times New Roman" w:hAnsi="Times New Roman" w:cs="Times New Roman"/>
                <w:color w:val="000000" w:themeColor="text1"/>
                <w:sz w:val="20"/>
                <w:szCs w:val="20"/>
                <w:lang w:val="fr-FR"/>
              </w:rPr>
              <w:t xml:space="preserve"> Aménagement de la voirie</w:t>
            </w:r>
          </w:p>
        </w:tc>
      </w:tr>
      <w:tr w:rsidR="00BD1A2F" w:rsidRPr="009B46E2" w14:paraId="70BAB08E" w14:textId="77777777" w:rsidTr="003A0E4A">
        <w:trPr>
          <w:trHeight w:val="230"/>
        </w:trPr>
        <w:tc>
          <w:tcPr>
            <w:tcW w:w="855" w:type="pct"/>
          </w:tcPr>
          <w:p w14:paraId="7C436B45"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343" w:type="pct"/>
          </w:tcPr>
          <w:p w14:paraId="417732D2"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initial</w:t>
            </w:r>
          </w:p>
        </w:tc>
        <w:tc>
          <w:tcPr>
            <w:tcW w:w="776" w:type="pct"/>
          </w:tcPr>
          <w:p w14:paraId="14E58CC4"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36" w:type="pct"/>
          </w:tcPr>
          <w:p w14:paraId="4555F2F3"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75" w:type="pct"/>
          </w:tcPr>
          <w:p w14:paraId="0D563384"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914" w:type="pct"/>
          </w:tcPr>
          <w:p w14:paraId="3F02FD42"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p>
        </w:tc>
      </w:tr>
      <w:tr w:rsidR="00BD1A2F" w:rsidRPr="009B46E2" w14:paraId="12A6B688" w14:textId="77777777" w:rsidTr="003A0E4A">
        <w:trPr>
          <w:trHeight w:val="330"/>
        </w:trPr>
        <w:tc>
          <w:tcPr>
            <w:tcW w:w="855" w:type="pct"/>
          </w:tcPr>
          <w:p w14:paraId="451420C9"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Avant </w:t>
            </w:r>
            <w:proofErr w:type="spellStart"/>
            <w:r w:rsidRPr="0097258B">
              <w:rPr>
                <w:rFonts w:ascii="Times New Roman" w:hAnsi="Times New Roman" w:cs="Times New Roman"/>
                <w:color w:val="000000" w:themeColor="text1"/>
                <w:sz w:val="20"/>
                <w:szCs w:val="20"/>
              </w:rPr>
              <w:t>prévention</w:t>
            </w:r>
            <w:proofErr w:type="spellEnd"/>
          </w:p>
        </w:tc>
        <w:tc>
          <w:tcPr>
            <w:tcW w:w="1343" w:type="pct"/>
          </w:tcPr>
          <w:p w14:paraId="303A99C2" w14:textId="3AC046FB" w:rsidR="00DE241D" w:rsidRPr="0097258B" w:rsidRDefault="00E948CE"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Perte de terre arable en cas d’e</w:t>
            </w:r>
            <w:r w:rsidR="00DE241D" w:rsidRPr="00301AF6">
              <w:rPr>
                <w:rFonts w:ascii="Times New Roman" w:hAnsi="Times New Roman" w:cs="Times New Roman"/>
                <w:color w:val="000000" w:themeColor="text1"/>
                <w:sz w:val="20"/>
                <w:szCs w:val="20"/>
                <w:lang w:val="fr-FR"/>
              </w:rPr>
              <w:t>xploitation clandestine de sable </w:t>
            </w:r>
            <w:proofErr w:type="gramStart"/>
            <w:r w:rsidRPr="00301AF6">
              <w:rPr>
                <w:rFonts w:ascii="Times New Roman" w:hAnsi="Times New Roman" w:cs="Times New Roman"/>
                <w:color w:val="000000" w:themeColor="text1"/>
                <w:sz w:val="20"/>
                <w:szCs w:val="20"/>
                <w:lang w:val="fr-FR"/>
              </w:rPr>
              <w:t>ou</w:t>
            </w:r>
            <w:proofErr w:type="gramEnd"/>
          </w:p>
          <w:p w14:paraId="5329800A" w14:textId="7D6FE3D2"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de </w:t>
            </w:r>
            <w:proofErr w:type="spellStart"/>
            <w:r w:rsidRPr="0097258B">
              <w:rPr>
                <w:rFonts w:ascii="Times New Roman" w:hAnsi="Times New Roman" w:cs="Times New Roman"/>
                <w:color w:val="000000" w:themeColor="text1"/>
                <w:sz w:val="20"/>
                <w:szCs w:val="20"/>
              </w:rPr>
              <w:t>carrière</w:t>
            </w:r>
            <w:proofErr w:type="spellEnd"/>
            <w:r w:rsidRPr="0097258B">
              <w:rPr>
                <w:rFonts w:ascii="Times New Roman" w:hAnsi="Times New Roman" w:cs="Times New Roman"/>
                <w:color w:val="000000" w:themeColor="text1"/>
                <w:sz w:val="20"/>
                <w:szCs w:val="20"/>
              </w:rPr>
              <w:t xml:space="preserve"> non </w:t>
            </w:r>
            <w:proofErr w:type="spellStart"/>
            <w:r w:rsidRPr="0097258B">
              <w:rPr>
                <w:rFonts w:ascii="Times New Roman" w:hAnsi="Times New Roman" w:cs="Times New Roman"/>
                <w:color w:val="000000" w:themeColor="text1"/>
                <w:sz w:val="20"/>
                <w:szCs w:val="20"/>
              </w:rPr>
              <w:t>autorisée</w:t>
            </w:r>
            <w:proofErr w:type="spellEnd"/>
          </w:p>
        </w:tc>
        <w:tc>
          <w:tcPr>
            <w:tcW w:w="776" w:type="pct"/>
            <w:vAlign w:val="center"/>
          </w:tcPr>
          <w:p w14:paraId="7A21F44B"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36" w:type="pct"/>
            <w:vAlign w:val="center"/>
          </w:tcPr>
          <w:p w14:paraId="03A5DA56"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75" w:type="pct"/>
            <w:shd w:val="clear" w:color="auto" w:fill="FFFF00"/>
            <w:vAlign w:val="center"/>
          </w:tcPr>
          <w:p w14:paraId="0CB5B6BD"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22</w:t>
            </w:r>
          </w:p>
        </w:tc>
        <w:tc>
          <w:tcPr>
            <w:tcW w:w="914" w:type="pct"/>
          </w:tcPr>
          <w:p w14:paraId="32302B8E" w14:textId="2AD785CA" w:rsidR="00DE241D" w:rsidRPr="0097258B" w:rsidRDefault="007C0734"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É</w:t>
            </w:r>
            <w:r w:rsidR="00DE241D" w:rsidRPr="00301AF6">
              <w:rPr>
                <w:rFonts w:ascii="Times New Roman" w:hAnsi="Times New Roman" w:cs="Times New Roman"/>
                <w:color w:val="000000" w:themeColor="text1"/>
                <w:sz w:val="20"/>
                <w:szCs w:val="20"/>
                <w:lang w:val="fr-FR"/>
              </w:rPr>
              <w:t>rosion des sols ;</w:t>
            </w:r>
          </w:p>
          <w:p w14:paraId="7D03B794"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Pertes de terres arables</w:t>
            </w:r>
          </w:p>
        </w:tc>
      </w:tr>
      <w:tr w:rsidR="00BD1A2F" w:rsidRPr="009B46E2" w14:paraId="73184EF4" w14:textId="77777777" w:rsidTr="003A0E4A">
        <w:trPr>
          <w:trHeight w:val="132"/>
        </w:trPr>
        <w:tc>
          <w:tcPr>
            <w:tcW w:w="855" w:type="pct"/>
          </w:tcPr>
          <w:p w14:paraId="20B54C5C"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prévention</w:t>
            </w:r>
            <w:proofErr w:type="spellEnd"/>
          </w:p>
        </w:tc>
        <w:tc>
          <w:tcPr>
            <w:tcW w:w="4145" w:type="pct"/>
            <w:gridSpan w:val="5"/>
          </w:tcPr>
          <w:p w14:paraId="663F2DCD"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Privilégier l’approvisionnement aux carrières autorisées existantes ;</w:t>
            </w:r>
          </w:p>
          <w:p w14:paraId="20CCFD26"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En cas d’approvisionnement auprès de fournisseurs, établir la traçabilité du sable.</w:t>
            </w:r>
          </w:p>
        </w:tc>
      </w:tr>
      <w:tr w:rsidR="00BD1A2F" w:rsidRPr="009B46E2" w14:paraId="630A2886" w14:textId="77777777" w:rsidTr="003A0E4A">
        <w:trPr>
          <w:trHeight w:val="230"/>
        </w:trPr>
        <w:tc>
          <w:tcPr>
            <w:tcW w:w="855" w:type="pct"/>
          </w:tcPr>
          <w:p w14:paraId="0699D0AB"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343" w:type="pct"/>
          </w:tcPr>
          <w:p w14:paraId="55E6E47F"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final</w:t>
            </w:r>
          </w:p>
        </w:tc>
        <w:tc>
          <w:tcPr>
            <w:tcW w:w="776" w:type="pct"/>
          </w:tcPr>
          <w:p w14:paraId="15D8B4B4"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36" w:type="pct"/>
          </w:tcPr>
          <w:p w14:paraId="35992BB1"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75" w:type="pct"/>
          </w:tcPr>
          <w:p w14:paraId="502DF805"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914" w:type="pct"/>
          </w:tcPr>
          <w:p w14:paraId="0E90C60A"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r w:rsidRPr="0097258B">
              <w:rPr>
                <w:rFonts w:ascii="Times New Roman" w:hAnsi="Times New Roman" w:cs="Times New Roman"/>
                <w:b/>
                <w:bCs/>
                <w:color w:val="000000" w:themeColor="text1"/>
                <w:sz w:val="20"/>
                <w:szCs w:val="20"/>
              </w:rPr>
              <w:t xml:space="preserve"> </w:t>
            </w:r>
            <w:proofErr w:type="spellStart"/>
            <w:r w:rsidRPr="0097258B">
              <w:rPr>
                <w:rFonts w:ascii="Times New Roman" w:hAnsi="Times New Roman" w:cs="Times New Roman"/>
                <w:b/>
                <w:bCs/>
                <w:color w:val="000000" w:themeColor="text1"/>
                <w:sz w:val="20"/>
                <w:szCs w:val="20"/>
              </w:rPr>
              <w:t>résiduel</w:t>
            </w:r>
            <w:proofErr w:type="spellEnd"/>
          </w:p>
        </w:tc>
      </w:tr>
      <w:tr w:rsidR="00BD1A2F" w:rsidRPr="009B46E2" w14:paraId="2E5E7809" w14:textId="77777777" w:rsidTr="003A0E4A">
        <w:trPr>
          <w:trHeight w:val="458"/>
        </w:trPr>
        <w:tc>
          <w:tcPr>
            <w:tcW w:w="855" w:type="pct"/>
          </w:tcPr>
          <w:p w14:paraId="17C1940B"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Après </w:t>
            </w:r>
            <w:proofErr w:type="spellStart"/>
            <w:r w:rsidRPr="0097258B">
              <w:rPr>
                <w:rFonts w:ascii="Times New Roman" w:hAnsi="Times New Roman" w:cs="Times New Roman"/>
                <w:color w:val="000000" w:themeColor="text1"/>
                <w:sz w:val="20"/>
                <w:szCs w:val="20"/>
              </w:rPr>
              <w:t>prévention</w:t>
            </w:r>
            <w:proofErr w:type="spellEnd"/>
          </w:p>
        </w:tc>
        <w:tc>
          <w:tcPr>
            <w:tcW w:w="1343" w:type="pct"/>
          </w:tcPr>
          <w:p w14:paraId="78592B08" w14:textId="4883EAEC" w:rsidR="00DE241D" w:rsidRPr="0097258B" w:rsidRDefault="00E948CE"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Préservation de la qualité des sols</w:t>
            </w:r>
          </w:p>
        </w:tc>
        <w:tc>
          <w:tcPr>
            <w:tcW w:w="776" w:type="pct"/>
          </w:tcPr>
          <w:p w14:paraId="0FD4C539"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36" w:type="pct"/>
          </w:tcPr>
          <w:p w14:paraId="709EE429"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75" w:type="pct"/>
            <w:shd w:val="clear" w:color="auto" w:fill="A8D08D" w:themeFill="accent6" w:themeFillTint="99"/>
          </w:tcPr>
          <w:p w14:paraId="1AA3EB8A"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12</w:t>
            </w:r>
          </w:p>
        </w:tc>
        <w:tc>
          <w:tcPr>
            <w:tcW w:w="914" w:type="pct"/>
          </w:tcPr>
          <w:p w14:paraId="1D8FBD50" w14:textId="0B76617A" w:rsidR="00DE241D" w:rsidRPr="0097258B" w:rsidRDefault="00E948CE"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Qualité</w:t>
            </w:r>
            <w:proofErr w:type="spellEnd"/>
            <w:r w:rsidRPr="0097258B">
              <w:rPr>
                <w:rFonts w:ascii="Times New Roman" w:hAnsi="Times New Roman" w:cs="Times New Roman"/>
                <w:color w:val="000000" w:themeColor="text1"/>
                <w:sz w:val="20"/>
                <w:szCs w:val="20"/>
              </w:rPr>
              <w:t xml:space="preserve"> </w:t>
            </w:r>
            <w:r w:rsidR="00DE241D" w:rsidRPr="0097258B">
              <w:rPr>
                <w:rFonts w:ascii="Times New Roman" w:hAnsi="Times New Roman" w:cs="Times New Roman"/>
                <w:color w:val="000000" w:themeColor="text1"/>
                <w:sz w:val="20"/>
                <w:szCs w:val="20"/>
              </w:rPr>
              <w:t>des sols </w:t>
            </w:r>
          </w:p>
        </w:tc>
      </w:tr>
    </w:tbl>
    <w:p w14:paraId="705890BD" w14:textId="68A7435C" w:rsidR="002E053E" w:rsidRPr="00260790" w:rsidRDefault="002E053E">
      <w:pPr>
        <w:spacing w:line="259" w:lineRule="auto"/>
        <w:rPr>
          <w:rFonts w:ascii="Times New Roman" w:hAnsi="Times New Roman"/>
          <w:b/>
          <w:bCs/>
          <w:i/>
          <w:iCs/>
          <w:color w:val="000000" w:themeColor="text1"/>
        </w:rPr>
      </w:pPr>
    </w:p>
    <w:p w14:paraId="2124381B" w14:textId="77777777" w:rsidR="004600EA" w:rsidRDefault="004600EA">
      <w:pPr>
        <w:spacing w:line="259" w:lineRule="auto"/>
        <w:rPr>
          <w:rFonts w:ascii="Times New Roman" w:hAnsi="Times New Roman"/>
          <w:b/>
          <w:bCs/>
          <w:i/>
          <w:iCs/>
          <w:color w:val="000000" w:themeColor="text1"/>
        </w:rPr>
      </w:pPr>
      <w:r>
        <w:rPr>
          <w:rFonts w:ascii="Times New Roman" w:hAnsi="Times New Roman"/>
          <w:b/>
          <w:bCs/>
          <w:i/>
          <w:iCs/>
          <w:color w:val="000000" w:themeColor="text1"/>
        </w:rPr>
        <w:br w:type="page"/>
      </w:r>
    </w:p>
    <w:p w14:paraId="37EC15BA" w14:textId="38229112" w:rsidR="00DE241D" w:rsidRPr="00260790" w:rsidRDefault="00DE241D" w:rsidP="001748C6">
      <w:pPr>
        <w:pStyle w:val="Paragraphedeliste"/>
        <w:numPr>
          <w:ilvl w:val="0"/>
          <w:numId w:val="356"/>
        </w:numPr>
        <w:spacing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lastRenderedPageBreak/>
        <w:t>RI-21. Risque de chute de hauteur</w:t>
      </w:r>
    </w:p>
    <w:p w14:paraId="770A4DD1"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Les interventions en hauteur nécessaires dans le cadre du montage des lampadaires photovoltaïques comporteront un risque de chute de hauteur. Elles devront pour cette raison, être exécutées par des spécialistes bien équipés.</w:t>
      </w:r>
    </w:p>
    <w:p w14:paraId="6158558B" w14:textId="77777777" w:rsidR="00DE241D" w:rsidRPr="00260790" w:rsidRDefault="00DE241D" w:rsidP="00E20250">
      <w:pPr>
        <w:spacing w:line="240" w:lineRule="auto"/>
        <w:jc w:val="both"/>
        <w:rPr>
          <w:rFonts w:ascii="Times New Roman" w:hAnsi="Times New Roman"/>
          <w:b/>
          <w:bCs/>
          <w:color w:val="000000" w:themeColor="text1"/>
        </w:rPr>
      </w:pPr>
      <w:r w:rsidRPr="00260790">
        <w:rPr>
          <w:rFonts w:ascii="Times New Roman" w:hAnsi="Times New Roman"/>
          <w:color w:val="000000" w:themeColor="text1"/>
        </w:rPr>
        <w:t>Ci-dessous le résumé de l’analyse risque de chute de hauteur.</w:t>
      </w:r>
    </w:p>
    <w:p w14:paraId="14D690D6" w14:textId="0953F3C5" w:rsidR="00DE241D" w:rsidRPr="00260790" w:rsidRDefault="00DE241D" w:rsidP="00E20250">
      <w:pPr>
        <w:pStyle w:val="Lgende"/>
        <w:spacing w:line="240" w:lineRule="auto"/>
        <w:rPr>
          <w:color w:val="000000" w:themeColor="text1"/>
          <w:sz w:val="22"/>
          <w:szCs w:val="22"/>
        </w:rPr>
      </w:pPr>
      <w:bookmarkStart w:id="651" w:name="_Toc207781908"/>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67</w:t>
      </w:r>
      <w:r w:rsidRPr="00260790">
        <w:rPr>
          <w:color w:val="000000" w:themeColor="text1"/>
          <w:sz w:val="22"/>
          <w:szCs w:val="22"/>
        </w:rPr>
        <w:fldChar w:fldCharType="end"/>
      </w:r>
      <w:r w:rsidRPr="00260790">
        <w:rPr>
          <w:color w:val="000000" w:themeColor="text1"/>
          <w:sz w:val="22"/>
          <w:szCs w:val="22"/>
        </w:rPr>
        <w:t> : résumé de l’analyse risque de chute de hauteur</w:t>
      </w:r>
      <w:bookmarkEnd w:id="651"/>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49"/>
        <w:gridCol w:w="2434"/>
        <w:gridCol w:w="1406"/>
        <w:gridCol w:w="971"/>
        <w:gridCol w:w="1042"/>
        <w:gridCol w:w="1658"/>
      </w:tblGrid>
      <w:tr w:rsidR="00BD1A2F" w:rsidRPr="009B46E2" w14:paraId="56C7DB36" w14:textId="77777777" w:rsidTr="003A0E4A">
        <w:trPr>
          <w:trHeight w:val="230"/>
        </w:trPr>
        <w:tc>
          <w:tcPr>
            <w:tcW w:w="5000" w:type="pct"/>
            <w:gridSpan w:val="6"/>
            <w:shd w:val="clear" w:color="auto" w:fill="D9E2F3" w:themeFill="accent5" w:themeFillTint="33"/>
          </w:tcPr>
          <w:p w14:paraId="067F2555" w14:textId="77777777" w:rsidR="00DE241D" w:rsidRPr="0097258B" w:rsidRDefault="00DE241D" w:rsidP="00E20250">
            <w:pPr>
              <w:pStyle w:val="Default"/>
              <w:overflowPunct w:val="0"/>
              <w:ind w:left="113" w:right="57"/>
              <w:jc w:val="both"/>
              <w:textAlignment w:val="baseline"/>
              <w:rPr>
                <w:rFonts w:ascii="Times New Roman" w:eastAsia="SimSun" w:hAnsi="Times New Roman" w:cs="Times New Roman"/>
                <w:b/>
                <w:bCs/>
                <w:i/>
                <w:iCs/>
                <w:color w:val="000000" w:themeColor="text1"/>
                <w:sz w:val="20"/>
                <w:szCs w:val="20"/>
                <w:lang w:val="fr-FR"/>
              </w:rPr>
            </w:pPr>
            <w:r w:rsidRPr="00301AF6">
              <w:rPr>
                <w:rFonts w:ascii="Times New Roman" w:hAnsi="Times New Roman" w:cs="Times New Roman"/>
                <w:b/>
                <w:bCs/>
                <w:color w:val="000000" w:themeColor="text1"/>
                <w:sz w:val="20"/>
                <w:szCs w:val="20"/>
                <w:lang w:val="fr-FR"/>
              </w:rPr>
              <w:t>RI-21. Risque de chute de hauteur</w:t>
            </w:r>
          </w:p>
        </w:tc>
      </w:tr>
      <w:tr w:rsidR="00BD1A2F" w:rsidRPr="009B46E2" w14:paraId="217BC14A" w14:textId="77777777" w:rsidTr="003A0E4A">
        <w:trPr>
          <w:trHeight w:val="230"/>
        </w:trPr>
        <w:tc>
          <w:tcPr>
            <w:tcW w:w="5000" w:type="pct"/>
            <w:gridSpan w:val="6"/>
          </w:tcPr>
          <w:p w14:paraId="4C317C56"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b/>
                <w:bCs/>
                <w:color w:val="000000" w:themeColor="text1"/>
                <w:sz w:val="20"/>
                <w:szCs w:val="20"/>
                <w:lang w:val="fr-FR"/>
              </w:rPr>
              <w:t>Activités :</w:t>
            </w:r>
            <w:r w:rsidRPr="00301AF6">
              <w:rPr>
                <w:rFonts w:ascii="Times New Roman" w:hAnsi="Times New Roman" w:cs="Times New Roman"/>
                <w:color w:val="000000" w:themeColor="text1"/>
                <w:sz w:val="20"/>
                <w:szCs w:val="20"/>
                <w:lang w:val="fr-FR"/>
              </w:rPr>
              <w:t xml:space="preserve"> Aménagement de la voirie ; installation des lampadaires</w:t>
            </w:r>
          </w:p>
        </w:tc>
      </w:tr>
      <w:tr w:rsidR="00BD1A2F" w:rsidRPr="009B46E2" w14:paraId="3546E720" w14:textId="77777777" w:rsidTr="003A0E4A">
        <w:trPr>
          <w:trHeight w:val="230"/>
        </w:trPr>
        <w:tc>
          <w:tcPr>
            <w:tcW w:w="855" w:type="pct"/>
          </w:tcPr>
          <w:p w14:paraId="23B309C1"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343" w:type="pct"/>
          </w:tcPr>
          <w:p w14:paraId="2689EABC"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initial</w:t>
            </w:r>
          </w:p>
        </w:tc>
        <w:tc>
          <w:tcPr>
            <w:tcW w:w="776" w:type="pct"/>
          </w:tcPr>
          <w:p w14:paraId="13FEFBED"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36" w:type="pct"/>
          </w:tcPr>
          <w:p w14:paraId="38136D78"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75" w:type="pct"/>
          </w:tcPr>
          <w:p w14:paraId="5C5B5B2D"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914" w:type="pct"/>
          </w:tcPr>
          <w:p w14:paraId="37C5AB3C"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p>
        </w:tc>
      </w:tr>
      <w:tr w:rsidR="00BD1A2F" w:rsidRPr="009B46E2" w14:paraId="6C3D8E44" w14:textId="77777777" w:rsidTr="003A0E4A">
        <w:trPr>
          <w:trHeight w:val="330"/>
        </w:trPr>
        <w:tc>
          <w:tcPr>
            <w:tcW w:w="855" w:type="pct"/>
          </w:tcPr>
          <w:p w14:paraId="7C1D97A7"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Avant </w:t>
            </w:r>
            <w:proofErr w:type="spellStart"/>
            <w:r w:rsidRPr="0097258B">
              <w:rPr>
                <w:rFonts w:ascii="Times New Roman" w:hAnsi="Times New Roman" w:cs="Times New Roman"/>
                <w:color w:val="000000" w:themeColor="text1"/>
                <w:sz w:val="20"/>
                <w:szCs w:val="20"/>
              </w:rPr>
              <w:t>prévention</w:t>
            </w:r>
            <w:proofErr w:type="spellEnd"/>
          </w:p>
        </w:tc>
        <w:tc>
          <w:tcPr>
            <w:tcW w:w="1343" w:type="pct"/>
          </w:tcPr>
          <w:p w14:paraId="3E56D922" w14:textId="159ADA4F" w:rsidR="00DE241D" w:rsidRPr="0097258B" w:rsidRDefault="00DE241D" w:rsidP="00473BAA">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olor w:val="000000" w:themeColor="text1"/>
                <w:sz w:val="20"/>
                <w:szCs w:val="20"/>
                <w:lang w:val="fr-FR"/>
              </w:rPr>
              <w:t>R</w:t>
            </w:r>
            <w:r w:rsidR="00473BAA" w:rsidRPr="00301AF6">
              <w:rPr>
                <w:rFonts w:ascii="Times New Roman" w:hAnsi="Times New Roman" w:cs="Times New Roman"/>
                <w:color w:val="000000" w:themeColor="text1"/>
                <w:sz w:val="20"/>
                <w:szCs w:val="20"/>
                <w:lang w:val="fr-FR"/>
              </w:rPr>
              <w:t>isque de chute de hauteur</w:t>
            </w:r>
            <w:r w:rsidR="00473BAA" w:rsidRPr="00301AF6">
              <w:rPr>
                <w:rFonts w:ascii="Times New Roman" w:hAnsi="Times New Roman"/>
                <w:color w:val="000000" w:themeColor="text1"/>
                <w:sz w:val="20"/>
                <w:szCs w:val="20"/>
                <w:lang w:val="fr-FR"/>
              </w:rPr>
              <w:t xml:space="preserve"> lors de la r</w:t>
            </w:r>
            <w:r w:rsidRPr="00301AF6">
              <w:rPr>
                <w:rFonts w:ascii="Times New Roman" w:hAnsi="Times New Roman"/>
                <w:color w:val="000000" w:themeColor="text1"/>
                <w:sz w:val="20"/>
                <w:szCs w:val="20"/>
                <w:lang w:val="fr-FR"/>
              </w:rPr>
              <w:t>éalisation des travaux en hauteur par des personnes non qualifiées</w:t>
            </w:r>
            <w:r w:rsidR="00473BAA" w:rsidRPr="00301AF6">
              <w:rPr>
                <w:rFonts w:ascii="Times New Roman" w:hAnsi="Times New Roman"/>
                <w:color w:val="000000" w:themeColor="text1"/>
                <w:sz w:val="20"/>
                <w:szCs w:val="20"/>
                <w:lang w:val="fr-FR"/>
              </w:rPr>
              <w:t xml:space="preserve">, ou </w:t>
            </w:r>
            <w:proofErr w:type="spellStart"/>
            <w:r w:rsidR="00473BAA" w:rsidRPr="00301AF6">
              <w:rPr>
                <w:rFonts w:ascii="Times New Roman" w:hAnsi="Times New Roman"/>
                <w:color w:val="000000" w:themeColor="text1"/>
                <w:sz w:val="20"/>
                <w:szCs w:val="20"/>
                <w:lang w:val="fr-FR"/>
              </w:rPr>
              <w:t>ens</w:t>
            </w:r>
            <w:proofErr w:type="spellEnd"/>
            <w:r w:rsidR="00473BAA" w:rsidRPr="00301AF6">
              <w:rPr>
                <w:rFonts w:ascii="Times New Roman" w:hAnsi="Times New Roman"/>
                <w:color w:val="000000" w:themeColor="text1"/>
                <w:sz w:val="20"/>
                <w:szCs w:val="20"/>
                <w:lang w:val="fr-FR"/>
              </w:rPr>
              <w:t xml:space="preserve"> cas de n</w:t>
            </w:r>
            <w:r w:rsidRPr="00301AF6">
              <w:rPr>
                <w:rFonts w:ascii="Times New Roman" w:hAnsi="Times New Roman"/>
                <w:color w:val="000000" w:themeColor="text1"/>
                <w:sz w:val="20"/>
                <w:szCs w:val="20"/>
                <w:lang w:val="fr-FR"/>
              </w:rPr>
              <w:t>on-respect des règles de sécurité </w:t>
            </w:r>
          </w:p>
        </w:tc>
        <w:tc>
          <w:tcPr>
            <w:tcW w:w="776" w:type="pct"/>
            <w:vAlign w:val="center"/>
          </w:tcPr>
          <w:p w14:paraId="24D4B80F"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36" w:type="pct"/>
            <w:vAlign w:val="center"/>
          </w:tcPr>
          <w:p w14:paraId="0FA5CE9A"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4</w:t>
            </w:r>
          </w:p>
        </w:tc>
        <w:tc>
          <w:tcPr>
            <w:tcW w:w="575" w:type="pct"/>
            <w:shd w:val="clear" w:color="auto" w:fill="FFFF00"/>
            <w:vAlign w:val="center"/>
          </w:tcPr>
          <w:p w14:paraId="66F3916E"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42</w:t>
            </w:r>
          </w:p>
        </w:tc>
        <w:tc>
          <w:tcPr>
            <w:tcW w:w="914" w:type="pct"/>
          </w:tcPr>
          <w:p w14:paraId="291F1E9A"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Dommages corporels ;</w:t>
            </w:r>
          </w:p>
          <w:p w14:paraId="29E5B42B"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Pertes en vies humaines</w:t>
            </w:r>
          </w:p>
        </w:tc>
      </w:tr>
      <w:tr w:rsidR="00BD1A2F" w:rsidRPr="009B46E2" w14:paraId="51DC95E5" w14:textId="77777777" w:rsidTr="003A0E4A">
        <w:trPr>
          <w:trHeight w:val="132"/>
        </w:trPr>
        <w:tc>
          <w:tcPr>
            <w:tcW w:w="855" w:type="pct"/>
          </w:tcPr>
          <w:p w14:paraId="1087ACD5"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prévention</w:t>
            </w:r>
            <w:proofErr w:type="spellEnd"/>
          </w:p>
        </w:tc>
        <w:tc>
          <w:tcPr>
            <w:tcW w:w="4145" w:type="pct"/>
            <w:gridSpan w:val="5"/>
          </w:tcPr>
          <w:p w14:paraId="3FFE3109" w14:textId="3C87B55F"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Sensibiliser</w:t>
            </w:r>
            <w:r w:rsidR="00EA25C8" w:rsidRPr="00301AF6">
              <w:rPr>
                <w:rFonts w:ascii="Times New Roman" w:hAnsi="Times New Roman" w:cs="Times New Roman"/>
                <w:color w:val="000000" w:themeColor="text1"/>
                <w:sz w:val="20"/>
                <w:szCs w:val="20"/>
                <w:lang w:val="fr-FR"/>
              </w:rPr>
              <w:t xml:space="preserve"> et former</w:t>
            </w:r>
            <w:r w:rsidRPr="00301AF6">
              <w:rPr>
                <w:rFonts w:ascii="Times New Roman" w:hAnsi="Times New Roman" w:cs="Times New Roman"/>
                <w:color w:val="000000" w:themeColor="text1"/>
                <w:sz w:val="20"/>
                <w:szCs w:val="20"/>
                <w:lang w:val="fr-FR"/>
              </w:rPr>
              <w:t xml:space="preserve"> les travailleurs aux risques ;</w:t>
            </w:r>
          </w:p>
          <w:p w14:paraId="15ABEEF4" w14:textId="62707C61" w:rsidR="00DE241D" w:rsidRPr="0097258B" w:rsidRDefault="008C5839"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Effectuer</w:t>
            </w:r>
            <w:r w:rsidR="00DE241D" w:rsidRPr="00301AF6">
              <w:rPr>
                <w:rFonts w:ascii="Times New Roman" w:hAnsi="Times New Roman" w:cs="Times New Roman"/>
                <w:color w:val="000000" w:themeColor="text1"/>
                <w:sz w:val="20"/>
                <w:szCs w:val="20"/>
                <w:lang w:val="fr-FR"/>
              </w:rPr>
              <w:t xml:space="preserve"> les travaux en hauteur par des spécialistes ;</w:t>
            </w:r>
          </w:p>
          <w:p w14:paraId="7FFAC175" w14:textId="708E7CA2"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 xml:space="preserve">Doter les travailleurs d’équipement de protection </w:t>
            </w:r>
            <w:r w:rsidR="008C5839" w:rsidRPr="00301AF6">
              <w:rPr>
                <w:rFonts w:ascii="Times New Roman" w:hAnsi="Times New Roman" w:cs="Times New Roman"/>
                <w:color w:val="000000" w:themeColor="text1"/>
                <w:sz w:val="20"/>
                <w:szCs w:val="20"/>
                <w:lang w:val="fr-FR"/>
              </w:rPr>
              <w:t xml:space="preserve">collectif et </w:t>
            </w:r>
            <w:r w:rsidRPr="00301AF6">
              <w:rPr>
                <w:rFonts w:ascii="Times New Roman" w:hAnsi="Times New Roman" w:cs="Times New Roman"/>
                <w:color w:val="000000" w:themeColor="text1"/>
                <w:sz w:val="20"/>
                <w:szCs w:val="20"/>
                <w:lang w:val="fr-FR"/>
              </w:rPr>
              <w:t>individuel</w:t>
            </w:r>
            <w:r w:rsidR="00E56ECC" w:rsidRPr="00301AF6">
              <w:rPr>
                <w:rFonts w:ascii="Times New Roman" w:hAnsi="Times New Roman" w:cs="Times New Roman"/>
                <w:color w:val="000000" w:themeColor="text1"/>
                <w:sz w:val="20"/>
                <w:szCs w:val="20"/>
                <w:lang w:val="fr-FR"/>
              </w:rPr>
              <w:t xml:space="preserve"> approprié aux activités à réaliser</w:t>
            </w:r>
            <w:r w:rsidR="008C5839" w:rsidRPr="00301AF6">
              <w:rPr>
                <w:rFonts w:ascii="Times New Roman" w:hAnsi="Times New Roman" w:cs="Times New Roman"/>
                <w:color w:val="000000" w:themeColor="text1"/>
                <w:sz w:val="20"/>
                <w:szCs w:val="20"/>
                <w:lang w:val="fr-FR"/>
              </w:rPr>
              <w:t>.</w:t>
            </w:r>
          </w:p>
        </w:tc>
      </w:tr>
      <w:tr w:rsidR="00BD1A2F" w:rsidRPr="009B46E2" w14:paraId="21C1197B" w14:textId="77777777" w:rsidTr="003A0E4A">
        <w:trPr>
          <w:trHeight w:val="230"/>
        </w:trPr>
        <w:tc>
          <w:tcPr>
            <w:tcW w:w="855" w:type="pct"/>
          </w:tcPr>
          <w:p w14:paraId="166F5DB7"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343" w:type="pct"/>
          </w:tcPr>
          <w:p w14:paraId="496B020F"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final</w:t>
            </w:r>
          </w:p>
        </w:tc>
        <w:tc>
          <w:tcPr>
            <w:tcW w:w="776" w:type="pct"/>
          </w:tcPr>
          <w:p w14:paraId="293AC55A"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36" w:type="pct"/>
          </w:tcPr>
          <w:p w14:paraId="4EB1E79C"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75" w:type="pct"/>
          </w:tcPr>
          <w:p w14:paraId="1A0F2451"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914" w:type="pct"/>
          </w:tcPr>
          <w:p w14:paraId="51F0E655"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r w:rsidRPr="0097258B">
              <w:rPr>
                <w:rFonts w:ascii="Times New Roman" w:hAnsi="Times New Roman" w:cs="Times New Roman"/>
                <w:b/>
                <w:bCs/>
                <w:color w:val="000000" w:themeColor="text1"/>
                <w:sz w:val="20"/>
                <w:szCs w:val="20"/>
              </w:rPr>
              <w:t xml:space="preserve"> </w:t>
            </w:r>
            <w:proofErr w:type="spellStart"/>
            <w:r w:rsidRPr="0097258B">
              <w:rPr>
                <w:rFonts w:ascii="Times New Roman" w:hAnsi="Times New Roman" w:cs="Times New Roman"/>
                <w:b/>
                <w:bCs/>
                <w:color w:val="000000" w:themeColor="text1"/>
                <w:sz w:val="20"/>
                <w:szCs w:val="20"/>
              </w:rPr>
              <w:t>résiduel</w:t>
            </w:r>
            <w:proofErr w:type="spellEnd"/>
          </w:p>
        </w:tc>
      </w:tr>
      <w:tr w:rsidR="00BD1A2F" w:rsidRPr="009B46E2" w14:paraId="11EDA60A" w14:textId="77777777" w:rsidTr="003A0E4A">
        <w:trPr>
          <w:trHeight w:val="458"/>
        </w:trPr>
        <w:tc>
          <w:tcPr>
            <w:tcW w:w="855" w:type="pct"/>
          </w:tcPr>
          <w:p w14:paraId="07FB4BEB"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Après </w:t>
            </w:r>
            <w:proofErr w:type="spellStart"/>
            <w:r w:rsidRPr="0097258B">
              <w:rPr>
                <w:rFonts w:ascii="Times New Roman" w:hAnsi="Times New Roman" w:cs="Times New Roman"/>
                <w:color w:val="000000" w:themeColor="text1"/>
                <w:sz w:val="20"/>
                <w:szCs w:val="20"/>
              </w:rPr>
              <w:t>prévention</w:t>
            </w:r>
            <w:proofErr w:type="spellEnd"/>
          </w:p>
        </w:tc>
        <w:tc>
          <w:tcPr>
            <w:tcW w:w="1343" w:type="pct"/>
          </w:tcPr>
          <w:p w14:paraId="4E9C2DBE"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Erreur</w:t>
            </w:r>
            <w:proofErr w:type="spellEnd"/>
            <w:r w:rsidRPr="0097258B">
              <w:rPr>
                <w:rFonts w:ascii="Times New Roman" w:hAnsi="Times New Roman" w:cs="Times New Roman"/>
                <w:color w:val="000000" w:themeColor="text1"/>
                <w:sz w:val="20"/>
                <w:szCs w:val="20"/>
              </w:rPr>
              <w:t xml:space="preserve"> humaine</w:t>
            </w:r>
          </w:p>
        </w:tc>
        <w:tc>
          <w:tcPr>
            <w:tcW w:w="776" w:type="pct"/>
          </w:tcPr>
          <w:p w14:paraId="5893B4C7"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36" w:type="pct"/>
          </w:tcPr>
          <w:p w14:paraId="358B1F91"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75" w:type="pct"/>
            <w:shd w:val="clear" w:color="auto" w:fill="A8D08D" w:themeFill="accent6" w:themeFillTint="99"/>
          </w:tcPr>
          <w:p w14:paraId="3546DF62"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21</w:t>
            </w:r>
          </w:p>
        </w:tc>
        <w:tc>
          <w:tcPr>
            <w:tcW w:w="914" w:type="pct"/>
          </w:tcPr>
          <w:p w14:paraId="7AF4870B"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Traumatisme</w:t>
            </w:r>
            <w:proofErr w:type="spellEnd"/>
            <w:r w:rsidRPr="0097258B">
              <w:rPr>
                <w:rFonts w:ascii="Times New Roman" w:hAnsi="Times New Roman" w:cs="Times New Roman"/>
                <w:color w:val="000000" w:themeColor="text1"/>
                <w:sz w:val="20"/>
                <w:szCs w:val="20"/>
              </w:rPr>
              <w:t> </w:t>
            </w:r>
          </w:p>
        </w:tc>
      </w:tr>
    </w:tbl>
    <w:p w14:paraId="6507769E" w14:textId="77777777" w:rsidR="00DE241D" w:rsidRPr="00260790" w:rsidRDefault="00DE241D" w:rsidP="00E20250">
      <w:pPr>
        <w:spacing w:after="0" w:line="240" w:lineRule="auto"/>
        <w:jc w:val="both"/>
        <w:rPr>
          <w:rFonts w:ascii="Times New Roman" w:hAnsi="Times New Roman"/>
          <w:b/>
          <w:bCs/>
          <w:i/>
          <w:iCs/>
          <w:color w:val="000000" w:themeColor="text1"/>
        </w:rPr>
      </w:pPr>
    </w:p>
    <w:p w14:paraId="6A5E72F2" w14:textId="0A1198B8" w:rsidR="00DE241D" w:rsidRPr="00260790" w:rsidRDefault="001E0D80" w:rsidP="001748C6">
      <w:pPr>
        <w:pStyle w:val="CHAPITRE1"/>
        <w:numPr>
          <w:ilvl w:val="3"/>
          <w:numId w:val="139"/>
        </w:numPr>
        <w:rPr>
          <w:rFonts w:cs="Times New Roman"/>
          <w:i/>
          <w:iCs/>
        </w:rPr>
      </w:pPr>
      <w:bookmarkStart w:id="652" w:name="_Toc212725138"/>
      <w:r>
        <w:rPr>
          <w:rFonts w:cs="Times New Roman"/>
          <w:i/>
          <w:iCs/>
        </w:rPr>
        <w:t>R</w:t>
      </w:r>
      <w:r w:rsidR="00DE241D" w:rsidRPr="00260790">
        <w:rPr>
          <w:rFonts w:cs="Times New Roman"/>
          <w:i/>
          <w:iCs/>
        </w:rPr>
        <w:t>epli de chantier</w:t>
      </w:r>
      <w:bookmarkEnd w:id="652"/>
    </w:p>
    <w:p w14:paraId="1888C4C3" w14:textId="74D3E2C7" w:rsidR="00DE241D" w:rsidRPr="00260790" w:rsidRDefault="00DE241D" w:rsidP="001748C6">
      <w:pPr>
        <w:pStyle w:val="Paragraphedeliste"/>
        <w:numPr>
          <w:ilvl w:val="0"/>
          <w:numId w:val="356"/>
        </w:numPr>
        <w:spacing w:before="120" w:after="120"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 xml:space="preserve">RI-22. Risque de </w:t>
      </w:r>
      <w:r w:rsidR="00A00912">
        <w:rPr>
          <w:rFonts w:ascii="Times New Roman" w:hAnsi="Times New Roman"/>
          <w:b/>
          <w:bCs/>
          <w:i/>
          <w:iCs/>
          <w:color w:val="000000" w:themeColor="text1"/>
        </w:rPr>
        <w:t>non remise en l’état</w:t>
      </w:r>
      <w:r w:rsidRPr="00260790">
        <w:rPr>
          <w:rFonts w:ascii="Times New Roman" w:hAnsi="Times New Roman"/>
          <w:b/>
          <w:bCs/>
          <w:i/>
          <w:iCs/>
          <w:color w:val="000000" w:themeColor="text1"/>
        </w:rPr>
        <w:t xml:space="preserve"> du site</w:t>
      </w:r>
    </w:p>
    <w:p w14:paraId="51F132E6" w14:textId="1B19356C"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lang w:eastAsia="fr-FR"/>
        </w:rPr>
        <w:t xml:space="preserve">Les refus/négligences de réhabilitation ou de réhabilitation partielle de site de base de chantier sont fréquents dans le cadre des projets de développement. </w:t>
      </w:r>
      <w:r w:rsidRPr="00260790">
        <w:rPr>
          <w:rFonts w:ascii="Times New Roman" w:hAnsi="Times New Roman"/>
          <w:color w:val="000000" w:themeColor="text1"/>
        </w:rPr>
        <w:t>P</w:t>
      </w:r>
      <w:r w:rsidR="00455F4B">
        <w:rPr>
          <w:rFonts w:ascii="Times New Roman" w:hAnsi="Times New Roman"/>
          <w:color w:val="000000" w:themeColor="text1"/>
        </w:rPr>
        <w:t>our</w:t>
      </w:r>
      <w:r w:rsidRPr="00260790">
        <w:rPr>
          <w:rFonts w:ascii="Times New Roman" w:hAnsi="Times New Roman"/>
          <w:color w:val="000000" w:themeColor="text1"/>
        </w:rPr>
        <w:t xml:space="preserve"> y parer, le PROGE</w:t>
      </w:r>
      <w:r w:rsidR="007C0734" w:rsidRPr="00260790">
        <w:rPr>
          <w:rFonts w:ascii="Times New Roman" w:hAnsi="Times New Roman"/>
          <w:color w:val="000000" w:themeColor="text1"/>
        </w:rPr>
        <w:t>P</w:t>
      </w:r>
      <w:r w:rsidRPr="00260790">
        <w:rPr>
          <w:rFonts w:ascii="Times New Roman" w:hAnsi="Times New Roman"/>
          <w:color w:val="000000" w:themeColor="text1"/>
        </w:rPr>
        <w:t xml:space="preserve"> </w:t>
      </w:r>
      <w:r w:rsidR="00177E44">
        <w:rPr>
          <w:rFonts w:ascii="Times New Roman" w:hAnsi="Times New Roman"/>
          <w:color w:val="000000" w:themeColor="text1"/>
        </w:rPr>
        <w:t xml:space="preserve">II </w:t>
      </w:r>
      <w:r w:rsidRPr="00260790">
        <w:rPr>
          <w:rFonts w:ascii="Times New Roman" w:hAnsi="Times New Roman"/>
          <w:color w:val="000000" w:themeColor="text1"/>
        </w:rPr>
        <w:t xml:space="preserve">devra conditionner la réception des ouvrages au respect strict par l’Entreprise, de la clause de </w:t>
      </w:r>
      <w:r w:rsidR="00A00912">
        <w:rPr>
          <w:rFonts w:ascii="Times New Roman" w:hAnsi="Times New Roman"/>
          <w:color w:val="000000" w:themeColor="text1"/>
        </w:rPr>
        <w:t>remise en l’état</w:t>
      </w:r>
      <w:r w:rsidR="00A00912" w:rsidRPr="00260790">
        <w:rPr>
          <w:rFonts w:ascii="Times New Roman" w:hAnsi="Times New Roman"/>
          <w:color w:val="000000" w:themeColor="text1"/>
        </w:rPr>
        <w:t xml:space="preserve"> </w:t>
      </w:r>
      <w:r w:rsidRPr="00260790">
        <w:rPr>
          <w:rFonts w:ascii="Times New Roman" w:hAnsi="Times New Roman"/>
          <w:color w:val="000000" w:themeColor="text1"/>
        </w:rPr>
        <w:t>du site.</w:t>
      </w:r>
    </w:p>
    <w:p w14:paraId="2D3A7507" w14:textId="60A46B61" w:rsidR="00DE241D" w:rsidRPr="00260790" w:rsidRDefault="00DE241D"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 xml:space="preserve">Ci-dessous le résumé de l’analyse du risque de </w:t>
      </w:r>
      <w:r w:rsidR="00E95E8B">
        <w:rPr>
          <w:rFonts w:ascii="Times New Roman" w:hAnsi="Times New Roman"/>
          <w:color w:val="000000" w:themeColor="text1"/>
          <w:lang w:eastAsia="fr-FR"/>
        </w:rPr>
        <w:t>non remise en l’état</w:t>
      </w:r>
      <w:r w:rsidRPr="00260790">
        <w:rPr>
          <w:rFonts w:ascii="Times New Roman" w:hAnsi="Times New Roman"/>
          <w:color w:val="000000" w:themeColor="text1"/>
          <w:lang w:eastAsia="fr-FR"/>
        </w:rPr>
        <w:t xml:space="preserve"> du site de la base de chantier.</w:t>
      </w:r>
    </w:p>
    <w:p w14:paraId="36A84E5B" w14:textId="1EB84381" w:rsidR="00DE241D" w:rsidRPr="00260790" w:rsidRDefault="00DE241D" w:rsidP="00E20250">
      <w:pPr>
        <w:pStyle w:val="Lgende"/>
        <w:spacing w:line="240" w:lineRule="auto"/>
        <w:rPr>
          <w:color w:val="000000" w:themeColor="text1"/>
          <w:sz w:val="22"/>
          <w:szCs w:val="22"/>
        </w:rPr>
      </w:pPr>
      <w:bookmarkStart w:id="653" w:name="_Toc207781909"/>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68</w:t>
      </w:r>
      <w:r w:rsidRPr="00260790">
        <w:rPr>
          <w:color w:val="000000" w:themeColor="text1"/>
          <w:sz w:val="22"/>
          <w:szCs w:val="22"/>
        </w:rPr>
        <w:fldChar w:fldCharType="end"/>
      </w:r>
      <w:r w:rsidRPr="00260790">
        <w:rPr>
          <w:color w:val="000000" w:themeColor="text1"/>
          <w:sz w:val="22"/>
          <w:szCs w:val="22"/>
        </w:rPr>
        <w:t xml:space="preserve"> : résumé de l’analyse du risque de </w:t>
      </w:r>
      <w:r w:rsidR="00E95E8B">
        <w:rPr>
          <w:color w:val="000000" w:themeColor="text1"/>
          <w:sz w:val="22"/>
          <w:szCs w:val="22"/>
        </w:rPr>
        <w:t>non remise en l’état</w:t>
      </w:r>
      <w:r w:rsidRPr="00260790">
        <w:rPr>
          <w:color w:val="000000" w:themeColor="text1"/>
          <w:sz w:val="22"/>
          <w:szCs w:val="22"/>
        </w:rPr>
        <w:t xml:space="preserve"> du site de la base de chantier</w:t>
      </w:r>
      <w:bookmarkEnd w:id="653"/>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49"/>
        <w:gridCol w:w="2149"/>
        <w:gridCol w:w="1334"/>
        <w:gridCol w:w="971"/>
        <w:gridCol w:w="1116"/>
        <w:gridCol w:w="1941"/>
      </w:tblGrid>
      <w:tr w:rsidR="00BD1A2F" w:rsidRPr="009B46E2" w14:paraId="40A0EB57" w14:textId="77777777" w:rsidTr="003A0E4A">
        <w:trPr>
          <w:trHeight w:val="230"/>
        </w:trPr>
        <w:tc>
          <w:tcPr>
            <w:tcW w:w="5000" w:type="pct"/>
            <w:gridSpan w:val="6"/>
            <w:shd w:val="clear" w:color="auto" w:fill="D9E2F3" w:themeFill="accent5" w:themeFillTint="33"/>
          </w:tcPr>
          <w:p w14:paraId="71D2D777" w14:textId="4F3BDB4E" w:rsidR="00DE241D" w:rsidRPr="0097258B" w:rsidRDefault="00DE241D" w:rsidP="00E20250">
            <w:pPr>
              <w:pStyle w:val="Default"/>
              <w:overflowPunct w:val="0"/>
              <w:ind w:left="113" w:right="57"/>
              <w:jc w:val="both"/>
              <w:textAlignment w:val="baseline"/>
              <w:rPr>
                <w:rFonts w:ascii="Times New Roman" w:eastAsia="SimSun" w:hAnsi="Times New Roman" w:cs="Times New Roman"/>
                <w:b/>
                <w:bCs/>
                <w:i/>
                <w:iCs/>
                <w:color w:val="000000" w:themeColor="text1"/>
                <w:sz w:val="20"/>
                <w:szCs w:val="20"/>
                <w:lang w:val="fr-FR"/>
              </w:rPr>
            </w:pPr>
            <w:r w:rsidRPr="00301AF6">
              <w:rPr>
                <w:rFonts w:ascii="Times New Roman" w:hAnsi="Times New Roman" w:cs="Times New Roman"/>
                <w:b/>
                <w:bCs/>
                <w:color w:val="000000" w:themeColor="text1"/>
                <w:sz w:val="20"/>
                <w:szCs w:val="20"/>
                <w:lang w:val="fr-FR"/>
              </w:rPr>
              <w:t>RI-22. Risque de ref</w:t>
            </w:r>
            <w:r w:rsidR="005237E4" w:rsidRPr="00301AF6">
              <w:rPr>
                <w:rFonts w:ascii="Times New Roman" w:hAnsi="Times New Roman" w:cs="Times New Roman"/>
                <w:b/>
                <w:bCs/>
                <w:color w:val="000000" w:themeColor="text1"/>
                <w:sz w:val="20"/>
                <w:szCs w:val="20"/>
                <w:lang w:val="fr-FR"/>
              </w:rPr>
              <w:t>u</w:t>
            </w:r>
            <w:r w:rsidRPr="00301AF6">
              <w:rPr>
                <w:rFonts w:ascii="Times New Roman" w:hAnsi="Times New Roman" w:cs="Times New Roman"/>
                <w:b/>
                <w:bCs/>
                <w:color w:val="000000" w:themeColor="text1"/>
                <w:sz w:val="20"/>
                <w:szCs w:val="20"/>
                <w:lang w:val="fr-FR"/>
              </w:rPr>
              <w:t>s/négligence de réhabilitation ou de réhabilitation partielle du site de la base de chantier</w:t>
            </w:r>
          </w:p>
        </w:tc>
      </w:tr>
      <w:tr w:rsidR="00BD1A2F" w:rsidRPr="009B46E2" w14:paraId="28D30655" w14:textId="77777777" w:rsidTr="003A0E4A">
        <w:trPr>
          <w:trHeight w:val="230"/>
        </w:trPr>
        <w:tc>
          <w:tcPr>
            <w:tcW w:w="5000" w:type="pct"/>
            <w:gridSpan w:val="6"/>
          </w:tcPr>
          <w:p w14:paraId="78712CDD"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roofErr w:type="spellStart"/>
            <w:proofErr w:type="gramStart"/>
            <w:r w:rsidRPr="0097258B">
              <w:rPr>
                <w:rFonts w:ascii="Times New Roman" w:hAnsi="Times New Roman" w:cs="Times New Roman"/>
                <w:b/>
                <w:bCs/>
                <w:color w:val="000000" w:themeColor="text1"/>
                <w:sz w:val="20"/>
                <w:szCs w:val="20"/>
              </w:rPr>
              <w:t>Activités</w:t>
            </w:r>
            <w:proofErr w:type="spellEnd"/>
            <w:r w:rsidRPr="0097258B">
              <w:rPr>
                <w:rFonts w:ascii="Times New Roman" w:hAnsi="Times New Roman" w:cs="Times New Roman"/>
                <w:b/>
                <w:bCs/>
                <w:color w:val="000000" w:themeColor="text1"/>
                <w:sz w:val="20"/>
                <w:szCs w:val="20"/>
              </w:rPr>
              <w:t xml:space="preserve"> :</w:t>
            </w:r>
            <w:proofErr w:type="gram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repli</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chantier</w:t>
            </w:r>
            <w:proofErr w:type="spellEnd"/>
          </w:p>
        </w:tc>
      </w:tr>
      <w:tr w:rsidR="00BD1A2F" w:rsidRPr="009B46E2" w14:paraId="329EB8A8" w14:textId="77777777" w:rsidTr="003A0E4A">
        <w:trPr>
          <w:trHeight w:val="230"/>
        </w:trPr>
        <w:tc>
          <w:tcPr>
            <w:tcW w:w="855" w:type="pct"/>
          </w:tcPr>
          <w:p w14:paraId="42A6C205"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186" w:type="pct"/>
          </w:tcPr>
          <w:p w14:paraId="126E1D2D"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initial</w:t>
            </w:r>
          </w:p>
        </w:tc>
        <w:tc>
          <w:tcPr>
            <w:tcW w:w="736" w:type="pct"/>
          </w:tcPr>
          <w:p w14:paraId="2561F548"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36" w:type="pct"/>
          </w:tcPr>
          <w:p w14:paraId="3A0B8BE5"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616" w:type="pct"/>
          </w:tcPr>
          <w:p w14:paraId="6802A7A1"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072" w:type="pct"/>
          </w:tcPr>
          <w:p w14:paraId="48E5CAB7"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p>
        </w:tc>
      </w:tr>
      <w:tr w:rsidR="00BD1A2F" w:rsidRPr="009B46E2" w14:paraId="29E5F5CF" w14:textId="77777777" w:rsidTr="003A0E4A">
        <w:trPr>
          <w:trHeight w:val="330"/>
        </w:trPr>
        <w:tc>
          <w:tcPr>
            <w:tcW w:w="855" w:type="pct"/>
          </w:tcPr>
          <w:p w14:paraId="0E1EC745"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Avant </w:t>
            </w:r>
            <w:proofErr w:type="spellStart"/>
            <w:r w:rsidRPr="0097258B">
              <w:rPr>
                <w:rFonts w:ascii="Times New Roman" w:hAnsi="Times New Roman" w:cs="Times New Roman"/>
                <w:color w:val="000000" w:themeColor="text1"/>
                <w:sz w:val="20"/>
                <w:szCs w:val="20"/>
              </w:rPr>
              <w:t>prévention</w:t>
            </w:r>
            <w:proofErr w:type="spellEnd"/>
          </w:p>
        </w:tc>
        <w:tc>
          <w:tcPr>
            <w:tcW w:w="1186" w:type="pct"/>
          </w:tcPr>
          <w:p w14:paraId="4DCF6B6C" w14:textId="24BDE42C"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Non-</w:t>
            </w:r>
            <w:r w:rsidR="00E95E8B" w:rsidRPr="00301AF6">
              <w:rPr>
                <w:rFonts w:ascii="Times New Roman" w:hAnsi="Times New Roman" w:cs="Times New Roman"/>
                <w:color w:val="000000" w:themeColor="text1"/>
                <w:sz w:val="20"/>
                <w:szCs w:val="20"/>
                <w:lang w:val="fr-FR"/>
              </w:rPr>
              <w:t>remise en l’état</w:t>
            </w:r>
            <w:r w:rsidRPr="00301AF6">
              <w:rPr>
                <w:rFonts w:ascii="Times New Roman" w:hAnsi="Times New Roman" w:cs="Times New Roman"/>
                <w:color w:val="000000" w:themeColor="text1"/>
                <w:sz w:val="20"/>
                <w:szCs w:val="20"/>
                <w:lang w:val="fr-FR"/>
              </w:rPr>
              <w:t xml:space="preserve"> du site </w:t>
            </w:r>
            <w:r w:rsidR="00E95E8B" w:rsidRPr="00301AF6">
              <w:rPr>
                <w:rFonts w:ascii="Times New Roman" w:hAnsi="Times New Roman" w:cs="Times New Roman"/>
                <w:color w:val="000000" w:themeColor="text1"/>
                <w:sz w:val="20"/>
                <w:szCs w:val="20"/>
                <w:lang w:val="fr-FR"/>
              </w:rPr>
              <w:t>de la base chantier</w:t>
            </w:r>
            <w:r w:rsidRPr="00301AF6">
              <w:rPr>
                <w:rFonts w:ascii="Times New Roman" w:hAnsi="Times New Roman" w:cs="Times New Roman"/>
                <w:color w:val="000000" w:themeColor="text1"/>
                <w:sz w:val="20"/>
                <w:szCs w:val="20"/>
                <w:lang w:val="fr-FR"/>
              </w:rPr>
              <w:t xml:space="preserve"> ;</w:t>
            </w:r>
          </w:p>
          <w:p w14:paraId="51CC1E15" w14:textId="5C623D91"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 xml:space="preserve"> </w:t>
            </w:r>
          </w:p>
        </w:tc>
        <w:tc>
          <w:tcPr>
            <w:tcW w:w="736" w:type="pct"/>
            <w:vAlign w:val="center"/>
          </w:tcPr>
          <w:p w14:paraId="1EAAFA86"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w:t>
            </w:r>
          </w:p>
        </w:tc>
        <w:tc>
          <w:tcPr>
            <w:tcW w:w="536" w:type="pct"/>
            <w:vAlign w:val="center"/>
          </w:tcPr>
          <w:p w14:paraId="2059B9ED"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w:t>
            </w:r>
          </w:p>
        </w:tc>
        <w:tc>
          <w:tcPr>
            <w:tcW w:w="616" w:type="pct"/>
            <w:shd w:val="clear" w:color="auto" w:fill="FF0000"/>
            <w:vAlign w:val="center"/>
          </w:tcPr>
          <w:p w14:paraId="2D3E8B5F"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33</w:t>
            </w:r>
          </w:p>
        </w:tc>
        <w:tc>
          <w:tcPr>
            <w:tcW w:w="1072" w:type="pct"/>
          </w:tcPr>
          <w:p w14:paraId="5DB9545A"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Défiguration du paysage et altération du cadre de vie par les déchets et les ruines les d’installations fixes</w:t>
            </w:r>
          </w:p>
        </w:tc>
      </w:tr>
      <w:tr w:rsidR="00BD1A2F" w:rsidRPr="009B46E2" w14:paraId="25724D9F" w14:textId="77777777" w:rsidTr="003A0E4A">
        <w:trPr>
          <w:trHeight w:val="132"/>
        </w:trPr>
        <w:tc>
          <w:tcPr>
            <w:tcW w:w="855" w:type="pct"/>
          </w:tcPr>
          <w:p w14:paraId="7613DC5D"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prévention</w:t>
            </w:r>
            <w:proofErr w:type="spellEnd"/>
          </w:p>
        </w:tc>
        <w:tc>
          <w:tcPr>
            <w:tcW w:w="4145" w:type="pct"/>
            <w:gridSpan w:val="5"/>
          </w:tcPr>
          <w:p w14:paraId="72F9D7A4"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Insérer la réhabilitation des emprises dans les clauses contractuelles ;</w:t>
            </w:r>
          </w:p>
          <w:p w14:paraId="75D29228"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Assurer la surveillance de l’exécution des clauses contractuelles ;</w:t>
            </w:r>
          </w:p>
          <w:p w14:paraId="7052AE69" w14:textId="7E03B550"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Conditionner la réception des ouvrages à la réhabilitation des emprises</w:t>
            </w:r>
            <w:r w:rsidR="001E0D80" w:rsidRPr="00301AF6">
              <w:rPr>
                <w:rFonts w:ascii="Times New Roman" w:hAnsi="Times New Roman" w:cs="Times New Roman"/>
                <w:color w:val="000000" w:themeColor="text1"/>
                <w:sz w:val="20"/>
                <w:szCs w:val="20"/>
                <w:lang w:val="fr-FR"/>
              </w:rPr>
              <w:t> ;</w:t>
            </w:r>
          </w:p>
          <w:p w14:paraId="2A3DF1CF" w14:textId="5E73960B" w:rsidR="00261919" w:rsidRPr="0097258B" w:rsidRDefault="001E0D80"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Faire un pro</w:t>
            </w:r>
            <w:proofErr w:type="spellStart"/>
            <w:r w:rsidRPr="0097258B">
              <w:rPr>
                <w:rFonts w:ascii="Times New Roman" w:hAnsi="Times New Roman" w:cs="Times New Roman"/>
                <w:color w:val="000000" w:themeColor="text1"/>
                <w:sz w:val="20"/>
                <w:szCs w:val="20"/>
                <w:lang w:val="fr-CA"/>
              </w:rPr>
              <w:t>cès</w:t>
            </w:r>
            <w:proofErr w:type="spellEnd"/>
            <w:r w:rsidRPr="00301AF6">
              <w:rPr>
                <w:rFonts w:ascii="Times New Roman" w:hAnsi="Times New Roman" w:cs="Times New Roman"/>
                <w:color w:val="000000" w:themeColor="text1"/>
                <w:sz w:val="20"/>
                <w:szCs w:val="20"/>
                <w:lang w:val="fr-FR"/>
              </w:rPr>
              <w:t xml:space="preserve"> verbal de réception environnementale et sociale des activités avant la réception technique des travaux.</w:t>
            </w:r>
          </w:p>
        </w:tc>
      </w:tr>
      <w:tr w:rsidR="00BD1A2F" w:rsidRPr="009B46E2" w14:paraId="4FCDE172" w14:textId="77777777" w:rsidTr="003A0E4A">
        <w:trPr>
          <w:trHeight w:val="230"/>
        </w:trPr>
        <w:tc>
          <w:tcPr>
            <w:tcW w:w="855" w:type="pct"/>
          </w:tcPr>
          <w:p w14:paraId="2D1881D0"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186" w:type="pct"/>
          </w:tcPr>
          <w:p w14:paraId="2038D31E"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final</w:t>
            </w:r>
          </w:p>
        </w:tc>
        <w:tc>
          <w:tcPr>
            <w:tcW w:w="736" w:type="pct"/>
          </w:tcPr>
          <w:p w14:paraId="3F07F579"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36" w:type="pct"/>
          </w:tcPr>
          <w:p w14:paraId="2F60F90D"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616" w:type="pct"/>
          </w:tcPr>
          <w:p w14:paraId="363F3640"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072" w:type="pct"/>
          </w:tcPr>
          <w:p w14:paraId="3210F684"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r w:rsidRPr="0097258B">
              <w:rPr>
                <w:rFonts w:ascii="Times New Roman" w:hAnsi="Times New Roman" w:cs="Times New Roman"/>
                <w:b/>
                <w:bCs/>
                <w:color w:val="000000" w:themeColor="text1"/>
                <w:sz w:val="20"/>
                <w:szCs w:val="20"/>
              </w:rPr>
              <w:t xml:space="preserve"> </w:t>
            </w:r>
            <w:proofErr w:type="spellStart"/>
            <w:r w:rsidRPr="0097258B">
              <w:rPr>
                <w:rFonts w:ascii="Times New Roman" w:hAnsi="Times New Roman" w:cs="Times New Roman"/>
                <w:b/>
                <w:bCs/>
                <w:color w:val="000000" w:themeColor="text1"/>
                <w:sz w:val="20"/>
                <w:szCs w:val="20"/>
              </w:rPr>
              <w:t>résiduel</w:t>
            </w:r>
            <w:proofErr w:type="spellEnd"/>
          </w:p>
        </w:tc>
      </w:tr>
      <w:tr w:rsidR="00BD1A2F" w:rsidRPr="009B46E2" w14:paraId="120BF64C" w14:textId="77777777" w:rsidTr="003A0E4A">
        <w:trPr>
          <w:trHeight w:val="458"/>
        </w:trPr>
        <w:tc>
          <w:tcPr>
            <w:tcW w:w="855" w:type="pct"/>
          </w:tcPr>
          <w:p w14:paraId="284EB4CC"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Après </w:t>
            </w:r>
            <w:proofErr w:type="spellStart"/>
            <w:r w:rsidRPr="0097258B">
              <w:rPr>
                <w:rFonts w:ascii="Times New Roman" w:hAnsi="Times New Roman" w:cs="Times New Roman"/>
                <w:color w:val="000000" w:themeColor="text1"/>
                <w:sz w:val="20"/>
                <w:szCs w:val="20"/>
              </w:rPr>
              <w:t>prévention</w:t>
            </w:r>
            <w:proofErr w:type="spellEnd"/>
          </w:p>
        </w:tc>
        <w:tc>
          <w:tcPr>
            <w:tcW w:w="1186" w:type="pct"/>
          </w:tcPr>
          <w:p w14:paraId="6E7ABC8A" w14:textId="13501A9C" w:rsidR="00DE241D" w:rsidRPr="0097258B" w:rsidRDefault="00B1117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Réhabilitation du site de la base chantier</w:t>
            </w:r>
          </w:p>
        </w:tc>
        <w:tc>
          <w:tcPr>
            <w:tcW w:w="736" w:type="pct"/>
          </w:tcPr>
          <w:p w14:paraId="759FF071"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36" w:type="pct"/>
          </w:tcPr>
          <w:p w14:paraId="13D81810"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616" w:type="pct"/>
            <w:shd w:val="clear" w:color="auto" w:fill="A8D08D" w:themeFill="accent6" w:themeFillTint="99"/>
          </w:tcPr>
          <w:p w14:paraId="641FDEC6"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21</w:t>
            </w:r>
          </w:p>
        </w:tc>
        <w:tc>
          <w:tcPr>
            <w:tcW w:w="1072" w:type="pct"/>
          </w:tcPr>
          <w:p w14:paraId="35B23E47" w14:textId="03199AC2" w:rsidR="00DE241D" w:rsidRPr="0097258B" w:rsidRDefault="004940D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 xml:space="preserve">Amélioration du paysage et </w:t>
            </w:r>
            <w:r w:rsidR="007811D5" w:rsidRPr="00301AF6">
              <w:rPr>
                <w:rFonts w:ascii="Times New Roman" w:hAnsi="Times New Roman" w:cs="Times New Roman"/>
                <w:color w:val="000000" w:themeColor="text1"/>
                <w:sz w:val="20"/>
                <w:szCs w:val="20"/>
                <w:lang w:val="fr-FR"/>
              </w:rPr>
              <w:t>cadre de vie</w:t>
            </w:r>
          </w:p>
        </w:tc>
      </w:tr>
    </w:tbl>
    <w:p w14:paraId="12DA6089" w14:textId="77777777" w:rsidR="00DE241D" w:rsidRPr="00260790" w:rsidRDefault="00DE241D" w:rsidP="001748C6">
      <w:pPr>
        <w:pStyle w:val="Paragraphedeliste"/>
        <w:numPr>
          <w:ilvl w:val="0"/>
          <w:numId w:val="356"/>
        </w:numPr>
        <w:spacing w:before="240"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lastRenderedPageBreak/>
        <w:t>RI-23. Risque d’abandon de déchets et de contamination de l’environnement et des ressources</w:t>
      </w:r>
    </w:p>
    <w:p w14:paraId="5EB619BF" w14:textId="60BC5CCD"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Le repli de chantier comporte un risque d’abandon de déchets y compris dangereux et de pollution de l’environnement et des ressources. Aussi, le PROGEP</w:t>
      </w:r>
      <w:r w:rsidR="004C0BC9" w:rsidRPr="00260790">
        <w:rPr>
          <w:rFonts w:ascii="Times New Roman" w:hAnsi="Times New Roman"/>
          <w:color w:val="000000" w:themeColor="text1"/>
        </w:rPr>
        <w:t xml:space="preserve"> 2</w:t>
      </w:r>
      <w:r w:rsidRPr="00260790">
        <w:rPr>
          <w:rFonts w:ascii="Times New Roman" w:hAnsi="Times New Roman"/>
          <w:color w:val="000000" w:themeColor="text1"/>
        </w:rPr>
        <w:t xml:space="preserve"> devra conditionner la réception à la réhabilitation des sites.</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49"/>
        <w:gridCol w:w="2434"/>
        <w:gridCol w:w="1406"/>
        <w:gridCol w:w="971"/>
        <w:gridCol w:w="1042"/>
        <w:gridCol w:w="1658"/>
      </w:tblGrid>
      <w:tr w:rsidR="00BD1A2F" w:rsidRPr="009B46E2" w14:paraId="166E2E87" w14:textId="77777777" w:rsidTr="003A0E4A">
        <w:trPr>
          <w:trHeight w:val="230"/>
        </w:trPr>
        <w:tc>
          <w:tcPr>
            <w:tcW w:w="5000" w:type="pct"/>
            <w:gridSpan w:val="6"/>
            <w:shd w:val="clear" w:color="auto" w:fill="D9E2F3" w:themeFill="accent5" w:themeFillTint="33"/>
          </w:tcPr>
          <w:p w14:paraId="0B069426" w14:textId="77777777" w:rsidR="00DE241D" w:rsidRPr="0097258B" w:rsidRDefault="00DE241D" w:rsidP="00E20250">
            <w:pPr>
              <w:pStyle w:val="Default"/>
              <w:overflowPunct w:val="0"/>
              <w:ind w:left="113" w:right="57"/>
              <w:jc w:val="both"/>
              <w:textAlignment w:val="baseline"/>
              <w:rPr>
                <w:rFonts w:ascii="Times New Roman" w:eastAsia="SimSun" w:hAnsi="Times New Roman" w:cs="Times New Roman"/>
                <w:b/>
                <w:bCs/>
                <w:i/>
                <w:iCs/>
                <w:color w:val="000000" w:themeColor="text1"/>
                <w:sz w:val="20"/>
                <w:szCs w:val="20"/>
                <w:lang w:val="fr-FR"/>
              </w:rPr>
            </w:pPr>
            <w:r w:rsidRPr="00301AF6">
              <w:rPr>
                <w:rFonts w:ascii="Times New Roman" w:hAnsi="Times New Roman" w:cs="Times New Roman"/>
                <w:b/>
                <w:bCs/>
                <w:color w:val="000000" w:themeColor="text1"/>
                <w:sz w:val="20"/>
                <w:szCs w:val="20"/>
                <w:lang w:val="fr-FR"/>
              </w:rPr>
              <w:t>RI-23. Risque d’abandon de déchets sur le site et de contamination de l’environnement et des ressources</w:t>
            </w:r>
          </w:p>
        </w:tc>
      </w:tr>
      <w:tr w:rsidR="00BD1A2F" w:rsidRPr="009B46E2" w14:paraId="22C612C1" w14:textId="77777777" w:rsidTr="003A0E4A">
        <w:trPr>
          <w:trHeight w:val="230"/>
        </w:trPr>
        <w:tc>
          <w:tcPr>
            <w:tcW w:w="5000" w:type="pct"/>
            <w:gridSpan w:val="6"/>
          </w:tcPr>
          <w:p w14:paraId="1BFBB7C7"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roofErr w:type="spellStart"/>
            <w:proofErr w:type="gramStart"/>
            <w:r w:rsidRPr="0097258B">
              <w:rPr>
                <w:rFonts w:ascii="Times New Roman" w:hAnsi="Times New Roman" w:cs="Times New Roman"/>
                <w:b/>
                <w:bCs/>
                <w:color w:val="000000" w:themeColor="text1"/>
                <w:sz w:val="20"/>
                <w:szCs w:val="20"/>
              </w:rPr>
              <w:t>Activités</w:t>
            </w:r>
            <w:proofErr w:type="spellEnd"/>
            <w:r w:rsidRPr="0097258B">
              <w:rPr>
                <w:rFonts w:ascii="Times New Roman" w:hAnsi="Times New Roman" w:cs="Times New Roman"/>
                <w:b/>
                <w:bCs/>
                <w:color w:val="000000" w:themeColor="text1"/>
                <w:sz w:val="20"/>
                <w:szCs w:val="20"/>
              </w:rPr>
              <w:t xml:space="preserve"> :</w:t>
            </w:r>
            <w:proofErr w:type="gram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repli</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chantier</w:t>
            </w:r>
            <w:proofErr w:type="spellEnd"/>
          </w:p>
        </w:tc>
      </w:tr>
      <w:tr w:rsidR="00BD1A2F" w:rsidRPr="009B46E2" w14:paraId="1C9D261D" w14:textId="77777777" w:rsidTr="003A0E4A">
        <w:trPr>
          <w:trHeight w:val="230"/>
        </w:trPr>
        <w:tc>
          <w:tcPr>
            <w:tcW w:w="855" w:type="pct"/>
          </w:tcPr>
          <w:p w14:paraId="23CA3834"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343" w:type="pct"/>
          </w:tcPr>
          <w:p w14:paraId="1FDADE50"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initial</w:t>
            </w:r>
          </w:p>
        </w:tc>
        <w:tc>
          <w:tcPr>
            <w:tcW w:w="776" w:type="pct"/>
          </w:tcPr>
          <w:p w14:paraId="2A8F581D"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36" w:type="pct"/>
          </w:tcPr>
          <w:p w14:paraId="58341B16"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75" w:type="pct"/>
          </w:tcPr>
          <w:p w14:paraId="620010ED"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914" w:type="pct"/>
          </w:tcPr>
          <w:p w14:paraId="3796508E"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p>
        </w:tc>
      </w:tr>
      <w:tr w:rsidR="00BD1A2F" w:rsidRPr="009B46E2" w14:paraId="4F4DE350" w14:textId="77777777" w:rsidTr="003A0E4A">
        <w:trPr>
          <w:trHeight w:val="330"/>
        </w:trPr>
        <w:tc>
          <w:tcPr>
            <w:tcW w:w="855" w:type="pct"/>
          </w:tcPr>
          <w:p w14:paraId="53CBE7CC"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Avant </w:t>
            </w:r>
            <w:proofErr w:type="spellStart"/>
            <w:r w:rsidRPr="0097258B">
              <w:rPr>
                <w:rFonts w:ascii="Times New Roman" w:hAnsi="Times New Roman" w:cs="Times New Roman"/>
                <w:color w:val="000000" w:themeColor="text1"/>
                <w:sz w:val="20"/>
                <w:szCs w:val="20"/>
              </w:rPr>
              <w:t>prévention</w:t>
            </w:r>
            <w:proofErr w:type="spellEnd"/>
          </w:p>
        </w:tc>
        <w:tc>
          <w:tcPr>
            <w:tcW w:w="1343" w:type="pct"/>
          </w:tcPr>
          <w:p w14:paraId="6ECD7AF7" w14:textId="671637A9" w:rsidR="00DE241D" w:rsidRPr="0097258B" w:rsidRDefault="00BF19E3"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Pollution et contamination de</w:t>
            </w:r>
            <w:r w:rsidR="0020023B" w:rsidRPr="00301AF6">
              <w:rPr>
                <w:rFonts w:ascii="Times New Roman" w:hAnsi="Times New Roman" w:cs="Times New Roman"/>
                <w:color w:val="000000" w:themeColor="text1"/>
                <w:sz w:val="20"/>
                <w:szCs w:val="20"/>
                <w:lang w:val="fr-FR"/>
              </w:rPr>
              <w:t xml:space="preserve"> l’environnement par les déchets abandonnés sur le site</w:t>
            </w:r>
          </w:p>
        </w:tc>
        <w:tc>
          <w:tcPr>
            <w:tcW w:w="776" w:type="pct"/>
            <w:vAlign w:val="center"/>
          </w:tcPr>
          <w:p w14:paraId="5BF34C0A"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36" w:type="pct"/>
            <w:vAlign w:val="center"/>
          </w:tcPr>
          <w:p w14:paraId="1FB914A5"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75" w:type="pct"/>
            <w:shd w:val="clear" w:color="auto" w:fill="FFFF00"/>
            <w:vAlign w:val="center"/>
          </w:tcPr>
          <w:p w14:paraId="1A59BED5"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22</w:t>
            </w:r>
          </w:p>
        </w:tc>
        <w:tc>
          <w:tcPr>
            <w:tcW w:w="914" w:type="pct"/>
          </w:tcPr>
          <w:p w14:paraId="7FFAB064"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Pollution des ressources hydriques et pédologiques</w:t>
            </w:r>
          </w:p>
        </w:tc>
      </w:tr>
      <w:tr w:rsidR="00BD1A2F" w:rsidRPr="009B46E2" w14:paraId="60E605EF" w14:textId="77777777" w:rsidTr="003A0E4A">
        <w:trPr>
          <w:trHeight w:val="132"/>
        </w:trPr>
        <w:tc>
          <w:tcPr>
            <w:tcW w:w="855" w:type="pct"/>
          </w:tcPr>
          <w:p w14:paraId="7A165EFB"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prévention</w:t>
            </w:r>
            <w:proofErr w:type="spellEnd"/>
          </w:p>
        </w:tc>
        <w:tc>
          <w:tcPr>
            <w:tcW w:w="4145" w:type="pct"/>
            <w:gridSpan w:val="5"/>
          </w:tcPr>
          <w:p w14:paraId="4746CB1A"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Insérer la réhabilitation des emprises dans les clauses contractuelles ;</w:t>
            </w:r>
          </w:p>
          <w:p w14:paraId="01EA9178"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Assurer la surveillance de l’exécution des clauses contractuelles ;</w:t>
            </w:r>
          </w:p>
          <w:p w14:paraId="1EDB6716"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Assurer la collecte et l’évacuation des déchets par un prestataire agréé ;</w:t>
            </w:r>
          </w:p>
          <w:p w14:paraId="620E7D33"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Conditionner la réception des ouvrages à la réhabilitation des emprises.</w:t>
            </w:r>
          </w:p>
        </w:tc>
      </w:tr>
      <w:tr w:rsidR="00BD1A2F" w:rsidRPr="009B46E2" w14:paraId="23CE9A1D" w14:textId="77777777" w:rsidTr="003A0E4A">
        <w:trPr>
          <w:trHeight w:val="230"/>
        </w:trPr>
        <w:tc>
          <w:tcPr>
            <w:tcW w:w="855" w:type="pct"/>
          </w:tcPr>
          <w:p w14:paraId="737E9E0D"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343" w:type="pct"/>
          </w:tcPr>
          <w:p w14:paraId="5B825F11"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final</w:t>
            </w:r>
          </w:p>
        </w:tc>
        <w:tc>
          <w:tcPr>
            <w:tcW w:w="776" w:type="pct"/>
          </w:tcPr>
          <w:p w14:paraId="3386033E"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36" w:type="pct"/>
          </w:tcPr>
          <w:p w14:paraId="373722DD"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75" w:type="pct"/>
          </w:tcPr>
          <w:p w14:paraId="59413ABF"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914" w:type="pct"/>
          </w:tcPr>
          <w:p w14:paraId="36778FA6"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r w:rsidRPr="0097258B">
              <w:rPr>
                <w:rFonts w:ascii="Times New Roman" w:hAnsi="Times New Roman" w:cs="Times New Roman"/>
                <w:b/>
                <w:bCs/>
                <w:color w:val="000000" w:themeColor="text1"/>
                <w:sz w:val="20"/>
                <w:szCs w:val="20"/>
              </w:rPr>
              <w:t xml:space="preserve"> </w:t>
            </w:r>
            <w:proofErr w:type="spellStart"/>
            <w:r w:rsidRPr="0097258B">
              <w:rPr>
                <w:rFonts w:ascii="Times New Roman" w:hAnsi="Times New Roman" w:cs="Times New Roman"/>
                <w:b/>
                <w:bCs/>
                <w:color w:val="000000" w:themeColor="text1"/>
                <w:sz w:val="20"/>
                <w:szCs w:val="20"/>
              </w:rPr>
              <w:t>résiduel</w:t>
            </w:r>
            <w:proofErr w:type="spellEnd"/>
          </w:p>
        </w:tc>
      </w:tr>
      <w:tr w:rsidR="00BD1A2F" w:rsidRPr="009B46E2" w14:paraId="174539FA" w14:textId="77777777" w:rsidTr="003A0E4A">
        <w:trPr>
          <w:trHeight w:val="458"/>
        </w:trPr>
        <w:tc>
          <w:tcPr>
            <w:tcW w:w="855" w:type="pct"/>
          </w:tcPr>
          <w:p w14:paraId="47FB16F6"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Après </w:t>
            </w:r>
            <w:proofErr w:type="spellStart"/>
            <w:r w:rsidRPr="0097258B">
              <w:rPr>
                <w:rFonts w:ascii="Times New Roman" w:hAnsi="Times New Roman" w:cs="Times New Roman"/>
                <w:color w:val="000000" w:themeColor="text1"/>
                <w:sz w:val="20"/>
                <w:szCs w:val="20"/>
              </w:rPr>
              <w:t>prévention</w:t>
            </w:r>
            <w:proofErr w:type="spellEnd"/>
          </w:p>
        </w:tc>
        <w:tc>
          <w:tcPr>
            <w:tcW w:w="1343" w:type="pct"/>
          </w:tcPr>
          <w:p w14:paraId="06ACBFB3" w14:textId="5A622FE0" w:rsidR="00DE241D" w:rsidRPr="0097258B" w:rsidRDefault="00FE5B5C"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Gestion des déchets sur le site</w:t>
            </w:r>
          </w:p>
        </w:tc>
        <w:tc>
          <w:tcPr>
            <w:tcW w:w="776" w:type="pct"/>
          </w:tcPr>
          <w:p w14:paraId="2C42F1D2"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36" w:type="pct"/>
          </w:tcPr>
          <w:p w14:paraId="1F43DD2F"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75" w:type="pct"/>
            <w:shd w:val="clear" w:color="auto" w:fill="A8D08D" w:themeFill="accent6" w:themeFillTint="99"/>
          </w:tcPr>
          <w:p w14:paraId="09890A07"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11</w:t>
            </w:r>
          </w:p>
        </w:tc>
        <w:tc>
          <w:tcPr>
            <w:tcW w:w="914" w:type="pct"/>
          </w:tcPr>
          <w:p w14:paraId="695259A0" w14:textId="03D38A48" w:rsidR="00DE241D" w:rsidRPr="0097258B" w:rsidRDefault="00FE5B5C"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Qualité</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l'environnement</w:t>
            </w:r>
            <w:proofErr w:type="spellEnd"/>
            <w:r w:rsidR="00DE241D" w:rsidRPr="0097258B">
              <w:rPr>
                <w:rFonts w:ascii="Times New Roman" w:hAnsi="Times New Roman" w:cs="Times New Roman"/>
                <w:color w:val="000000" w:themeColor="text1"/>
                <w:sz w:val="20"/>
                <w:szCs w:val="20"/>
              </w:rPr>
              <w:t> </w:t>
            </w:r>
          </w:p>
        </w:tc>
      </w:tr>
    </w:tbl>
    <w:p w14:paraId="55CDE00B" w14:textId="77777777" w:rsidR="00DE241D" w:rsidRPr="00260790" w:rsidRDefault="00DE241D" w:rsidP="00E20250">
      <w:pPr>
        <w:spacing w:after="0" w:line="240" w:lineRule="auto"/>
        <w:jc w:val="both"/>
        <w:rPr>
          <w:rFonts w:ascii="Times New Roman" w:hAnsi="Times New Roman"/>
          <w:color w:val="000000" w:themeColor="text1"/>
        </w:rPr>
      </w:pPr>
    </w:p>
    <w:p w14:paraId="5618F6FD" w14:textId="77777777" w:rsidR="00DE241D" w:rsidRPr="00260790" w:rsidRDefault="00DE241D" w:rsidP="001748C6">
      <w:pPr>
        <w:pStyle w:val="Paragraphedeliste"/>
        <w:numPr>
          <w:ilvl w:val="0"/>
          <w:numId w:val="357"/>
        </w:numPr>
        <w:spacing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RI-24. Risque de défiguration du paysage et d’altération du cadre de vie par des ruines d’installation fixes</w:t>
      </w:r>
    </w:p>
    <w:p w14:paraId="16C81E75"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En phase de repli des chantiers, certaines entreprises se contentent de démonter les parties métalliques ou en bois (portes, fenêtres…) des bâtiments, laissant sur les places les murs qui du coup, défigurent l’environnement et altèrent le cadre de vie. La probabilité de ce risque est significative dans le cadre du projet.</w:t>
      </w:r>
    </w:p>
    <w:p w14:paraId="029BAD32" w14:textId="0D4DED03" w:rsidR="002E053E" w:rsidRPr="00260790" w:rsidRDefault="00DE241D" w:rsidP="0097258B">
      <w:pPr>
        <w:spacing w:line="240" w:lineRule="auto"/>
        <w:jc w:val="both"/>
        <w:rPr>
          <w:rFonts w:ascii="Times New Roman" w:eastAsia="Times New Roman" w:hAnsi="Times New Roman"/>
          <w:i/>
          <w:iCs/>
          <w:color w:val="000000" w:themeColor="text1"/>
          <w:lang w:eastAsia="fr-FR"/>
        </w:rPr>
      </w:pPr>
      <w:r w:rsidRPr="00260790">
        <w:rPr>
          <w:rFonts w:ascii="Times New Roman" w:hAnsi="Times New Roman"/>
          <w:color w:val="000000" w:themeColor="text1"/>
        </w:rPr>
        <w:t>Ci-dessous le résumé de l’analyse du risque de défiguration du paysage et d’altération du cadre de vie par des ruines d’installations fixes.</w:t>
      </w:r>
    </w:p>
    <w:p w14:paraId="7407996F" w14:textId="6FFF86D5" w:rsidR="00DE241D" w:rsidRPr="00260790" w:rsidRDefault="00DE241D" w:rsidP="00E20250">
      <w:pPr>
        <w:pStyle w:val="Lgende"/>
        <w:spacing w:line="240" w:lineRule="auto"/>
        <w:rPr>
          <w:color w:val="000000" w:themeColor="text1"/>
          <w:sz w:val="22"/>
          <w:szCs w:val="22"/>
        </w:rPr>
      </w:pPr>
      <w:bookmarkStart w:id="654" w:name="_Toc207781910"/>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69</w:t>
      </w:r>
      <w:r w:rsidRPr="00260790">
        <w:rPr>
          <w:color w:val="000000" w:themeColor="text1"/>
          <w:sz w:val="22"/>
          <w:szCs w:val="22"/>
        </w:rPr>
        <w:fldChar w:fldCharType="end"/>
      </w:r>
      <w:r w:rsidRPr="00260790">
        <w:rPr>
          <w:color w:val="000000" w:themeColor="text1"/>
          <w:sz w:val="22"/>
          <w:szCs w:val="22"/>
        </w:rPr>
        <w:t> : résumé de l’analyse du risque de défiguration du paysage et d’altération du cadre de vie par des ruines d’installations fixes</w:t>
      </w:r>
      <w:bookmarkEnd w:id="654"/>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49"/>
        <w:gridCol w:w="2434"/>
        <w:gridCol w:w="1406"/>
        <w:gridCol w:w="971"/>
        <w:gridCol w:w="1042"/>
        <w:gridCol w:w="1658"/>
      </w:tblGrid>
      <w:tr w:rsidR="00BD1A2F" w:rsidRPr="009B46E2" w14:paraId="33A71837" w14:textId="77777777" w:rsidTr="003A0E4A">
        <w:trPr>
          <w:trHeight w:val="230"/>
        </w:trPr>
        <w:tc>
          <w:tcPr>
            <w:tcW w:w="5000" w:type="pct"/>
            <w:gridSpan w:val="6"/>
            <w:shd w:val="clear" w:color="auto" w:fill="D9E2F3" w:themeFill="accent5" w:themeFillTint="33"/>
          </w:tcPr>
          <w:p w14:paraId="62961B6D" w14:textId="77777777" w:rsidR="00DE241D" w:rsidRPr="0097258B" w:rsidRDefault="00DE241D" w:rsidP="00E20250">
            <w:pPr>
              <w:pStyle w:val="Default"/>
              <w:overflowPunct w:val="0"/>
              <w:ind w:left="113" w:right="57"/>
              <w:jc w:val="both"/>
              <w:textAlignment w:val="baseline"/>
              <w:rPr>
                <w:rFonts w:ascii="Times New Roman" w:eastAsia="SimSun" w:hAnsi="Times New Roman" w:cs="Times New Roman"/>
                <w:b/>
                <w:bCs/>
                <w:i/>
                <w:iCs/>
                <w:color w:val="000000" w:themeColor="text1"/>
                <w:sz w:val="20"/>
                <w:szCs w:val="20"/>
                <w:lang w:val="fr-FR"/>
              </w:rPr>
            </w:pPr>
            <w:r w:rsidRPr="00301AF6">
              <w:rPr>
                <w:rFonts w:ascii="Times New Roman" w:hAnsi="Times New Roman" w:cs="Times New Roman"/>
                <w:b/>
                <w:bCs/>
                <w:color w:val="000000" w:themeColor="text1"/>
                <w:sz w:val="20"/>
                <w:szCs w:val="20"/>
                <w:lang w:val="fr-FR"/>
              </w:rPr>
              <w:t>RI-24. Risque de défiguration du paysage et d’altération du cadre de vie par des ruines d’installations fixes</w:t>
            </w:r>
          </w:p>
        </w:tc>
      </w:tr>
      <w:tr w:rsidR="00BD1A2F" w:rsidRPr="009B46E2" w14:paraId="61F94D33" w14:textId="77777777" w:rsidTr="003A0E4A">
        <w:trPr>
          <w:trHeight w:val="230"/>
        </w:trPr>
        <w:tc>
          <w:tcPr>
            <w:tcW w:w="5000" w:type="pct"/>
            <w:gridSpan w:val="6"/>
          </w:tcPr>
          <w:p w14:paraId="2C58B3DF"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roofErr w:type="spellStart"/>
            <w:proofErr w:type="gramStart"/>
            <w:r w:rsidRPr="0097258B">
              <w:rPr>
                <w:rFonts w:ascii="Times New Roman" w:hAnsi="Times New Roman" w:cs="Times New Roman"/>
                <w:b/>
                <w:bCs/>
                <w:color w:val="000000" w:themeColor="text1"/>
                <w:sz w:val="20"/>
                <w:szCs w:val="20"/>
              </w:rPr>
              <w:t>Activités</w:t>
            </w:r>
            <w:proofErr w:type="spellEnd"/>
            <w:r w:rsidRPr="0097258B">
              <w:rPr>
                <w:rFonts w:ascii="Times New Roman" w:hAnsi="Times New Roman" w:cs="Times New Roman"/>
                <w:b/>
                <w:bCs/>
                <w:color w:val="000000" w:themeColor="text1"/>
                <w:sz w:val="20"/>
                <w:szCs w:val="20"/>
              </w:rPr>
              <w:t xml:space="preserve"> :</w:t>
            </w:r>
            <w:proofErr w:type="gram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repli</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chantier</w:t>
            </w:r>
            <w:proofErr w:type="spellEnd"/>
          </w:p>
        </w:tc>
      </w:tr>
      <w:tr w:rsidR="00BD1A2F" w:rsidRPr="009B46E2" w14:paraId="5E2C3ECB" w14:textId="77777777" w:rsidTr="003A0E4A">
        <w:trPr>
          <w:trHeight w:val="230"/>
        </w:trPr>
        <w:tc>
          <w:tcPr>
            <w:tcW w:w="855" w:type="pct"/>
          </w:tcPr>
          <w:p w14:paraId="3413798A"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343" w:type="pct"/>
          </w:tcPr>
          <w:p w14:paraId="6A2A7F11"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initial</w:t>
            </w:r>
          </w:p>
        </w:tc>
        <w:tc>
          <w:tcPr>
            <w:tcW w:w="776" w:type="pct"/>
          </w:tcPr>
          <w:p w14:paraId="7B59AA81"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36" w:type="pct"/>
          </w:tcPr>
          <w:p w14:paraId="39EF1651"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75" w:type="pct"/>
          </w:tcPr>
          <w:p w14:paraId="2437FA38"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914" w:type="pct"/>
          </w:tcPr>
          <w:p w14:paraId="1286F330"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p>
        </w:tc>
      </w:tr>
      <w:tr w:rsidR="00BD1A2F" w:rsidRPr="009B46E2" w14:paraId="1CADFDBD" w14:textId="77777777" w:rsidTr="003A0E4A">
        <w:trPr>
          <w:trHeight w:val="330"/>
        </w:trPr>
        <w:tc>
          <w:tcPr>
            <w:tcW w:w="855" w:type="pct"/>
          </w:tcPr>
          <w:p w14:paraId="6271E116"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Avant </w:t>
            </w:r>
            <w:proofErr w:type="spellStart"/>
            <w:r w:rsidRPr="0097258B">
              <w:rPr>
                <w:rFonts w:ascii="Times New Roman" w:hAnsi="Times New Roman" w:cs="Times New Roman"/>
                <w:color w:val="000000" w:themeColor="text1"/>
                <w:sz w:val="20"/>
                <w:szCs w:val="20"/>
              </w:rPr>
              <w:t>prévention</w:t>
            </w:r>
            <w:proofErr w:type="spellEnd"/>
          </w:p>
        </w:tc>
        <w:tc>
          <w:tcPr>
            <w:tcW w:w="1343" w:type="pct"/>
          </w:tcPr>
          <w:p w14:paraId="30A34FBA" w14:textId="758B9DAF" w:rsidR="00DE241D" w:rsidRPr="0097258B" w:rsidRDefault="00FE5B5C" w:rsidP="00FE5B5C">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olor w:val="000000" w:themeColor="text1"/>
                <w:sz w:val="20"/>
                <w:szCs w:val="20"/>
                <w:lang w:val="fr-FR"/>
              </w:rPr>
              <w:t xml:space="preserve">Défiguration du paysage et d’altération du cadre de vie </w:t>
            </w:r>
          </w:p>
        </w:tc>
        <w:tc>
          <w:tcPr>
            <w:tcW w:w="776" w:type="pct"/>
            <w:vAlign w:val="center"/>
          </w:tcPr>
          <w:p w14:paraId="04365111"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36" w:type="pct"/>
            <w:vAlign w:val="center"/>
          </w:tcPr>
          <w:p w14:paraId="32D09905"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w:t>
            </w:r>
          </w:p>
        </w:tc>
        <w:tc>
          <w:tcPr>
            <w:tcW w:w="575" w:type="pct"/>
            <w:shd w:val="clear" w:color="auto" w:fill="FFFF00"/>
            <w:vAlign w:val="center"/>
          </w:tcPr>
          <w:p w14:paraId="078B363A"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23</w:t>
            </w:r>
          </w:p>
        </w:tc>
        <w:tc>
          <w:tcPr>
            <w:tcW w:w="914" w:type="pct"/>
          </w:tcPr>
          <w:p w14:paraId="02AC07A5"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Défiguration du paysage et altération du cadre de vie par les déchets et les ruines les d’installations fixes</w:t>
            </w:r>
          </w:p>
        </w:tc>
      </w:tr>
      <w:tr w:rsidR="00BD1A2F" w:rsidRPr="009B46E2" w14:paraId="397440AC" w14:textId="77777777" w:rsidTr="003A0E4A">
        <w:trPr>
          <w:trHeight w:val="132"/>
        </w:trPr>
        <w:tc>
          <w:tcPr>
            <w:tcW w:w="855" w:type="pct"/>
          </w:tcPr>
          <w:p w14:paraId="59EC095D"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prévention</w:t>
            </w:r>
            <w:proofErr w:type="spellEnd"/>
          </w:p>
        </w:tc>
        <w:tc>
          <w:tcPr>
            <w:tcW w:w="4145" w:type="pct"/>
            <w:gridSpan w:val="5"/>
          </w:tcPr>
          <w:p w14:paraId="4F300D20"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Insérer la réhabilitation des emprises dans les clauses contractuelles ;</w:t>
            </w:r>
          </w:p>
          <w:p w14:paraId="01746463"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Assurer la surveillance de l’exécution des clauses contractuelles ;</w:t>
            </w:r>
          </w:p>
          <w:p w14:paraId="693BE2AF"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Conditionner la réception des ouvrages à la réhabilitation des emprises.</w:t>
            </w:r>
          </w:p>
        </w:tc>
      </w:tr>
      <w:tr w:rsidR="00BD1A2F" w:rsidRPr="009B46E2" w14:paraId="039F0DFA" w14:textId="77777777" w:rsidTr="003A0E4A">
        <w:trPr>
          <w:trHeight w:val="230"/>
        </w:trPr>
        <w:tc>
          <w:tcPr>
            <w:tcW w:w="855" w:type="pct"/>
          </w:tcPr>
          <w:p w14:paraId="3BE1D768"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343" w:type="pct"/>
          </w:tcPr>
          <w:p w14:paraId="62119136"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final</w:t>
            </w:r>
          </w:p>
        </w:tc>
        <w:tc>
          <w:tcPr>
            <w:tcW w:w="776" w:type="pct"/>
          </w:tcPr>
          <w:p w14:paraId="56FCBC0D"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36" w:type="pct"/>
          </w:tcPr>
          <w:p w14:paraId="38C72D18"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75" w:type="pct"/>
          </w:tcPr>
          <w:p w14:paraId="4C19BA8C"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914" w:type="pct"/>
          </w:tcPr>
          <w:p w14:paraId="12167BFB"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r w:rsidRPr="0097258B">
              <w:rPr>
                <w:rFonts w:ascii="Times New Roman" w:hAnsi="Times New Roman" w:cs="Times New Roman"/>
                <w:b/>
                <w:bCs/>
                <w:color w:val="000000" w:themeColor="text1"/>
                <w:sz w:val="20"/>
                <w:szCs w:val="20"/>
              </w:rPr>
              <w:t xml:space="preserve"> </w:t>
            </w:r>
            <w:proofErr w:type="spellStart"/>
            <w:r w:rsidRPr="0097258B">
              <w:rPr>
                <w:rFonts w:ascii="Times New Roman" w:hAnsi="Times New Roman" w:cs="Times New Roman"/>
                <w:b/>
                <w:bCs/>
                <w:color w:val="000000" w:themeColor="text1"/>
                <w:sz w:val="20"/>
                <w:szCs w:val="20"/>
              </w:rPr>
              <w:t>résiduel</w:t>
            </w:r>
            <w:proofErr w:type="spellEnd"/>
          </w:p>
        </w:tc>
      </w:tr>
      <w:tr w:rsidR="00BD1A2F" w:rsidRPr="009B46E2" w14:paraId="1D125196" w14:textId="77777777" w:rsidTr="003A0E4A">
        <w:trPr>
          <w:trHeight w:val="458"/>
        </w:trPr>
        <w:tc>
          <w:tcPr>
            <w:tcW w:w="855" w:type="pct"/>
          </w:tcPr>
          <w:p w14:paraId="07E7CF5E"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Après </w:t>
            </w:r>
            <w:proofErr w:type="spellStart"/>
            <w:r w:rsidRPr="0097258B">
              <w:rPr>
                <w:rFonts w:ascii="Times New Roman" w:hAnsi="Times New Roman" w:cs="Times New Roman"/>
                <w:color w:val="000000" w:themeColor="text1"/>
                <w:sz w:val="20"/>
                <w:szCs w:val="20"/>
              </w:rPr>
              <w:t>prévention</w:t>
            </w:r>
            <w:proofErr w:type="spellEnd"/>
          </w:p>
        </w:tc>
        <w:tc>
          <w:tcPr>
            <w:tcW w:w="1343" w:type="pct"/>
          </w:tcPr>
          <w:p w14:paraId="630B0EAE" w14:textId="082D46C0" w:rsidR="00DE241D" w:rsidRPr="0097258B" w:rsidRDefault="00A9535A"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Dégradation du cadre de vie</w:t>
            </w:r>
            <w:r w:rsidR="00DE241D" w:rsidRPr="00301AF6">
              <w:rPr>
                <w:rFonts w:ascii="Times New Roman" w:hAnsi="Times New Roman" w:cs="Times New Roman"/>
                <w:color w:val="000000" w:themeColor="text1"/>
                <w:sz w:val="20"/>
                <w:szCs w:val="20"/>
                <w:lang w:val="fr-FR"/>
              </w:rPr>
              <w:t xml:space="preserve"> </w:t>
            </w:r>
          </w:p>
        </w:tc>
        <w:tc>
          <w:tcPr>
            <w:tcW w:w="776" w:type="pct"/>
          </w:tcPr>
          <w:p w14:paraId="3A3F18A1"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36" w:type="pct"/>
          </w:tcPr>
          <w:p w14:paraId="21A0B627"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75" w:type="pct"/>
            <w:shd w:val="clear" w:color="auto" w:fill="A8D08D" w:themeFill="accent6" w:themeFillTint="99"/>
          </w:tcPr>
          <w:p w14:paraId="2D78AB98"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11</w:t>
            </w:r>
          </w:p>
        </w:tc>
        <w:tc>
          <w:tcPr>
            <w:tcW w:w="914" w:type="pct"/>
          </w:tcPr>
          <w:p w14:paraId="095BAD41" w14:textId="4BFFF71C" w:rsidR="00DE241D" w:rsidRPr="0097258B" w:rsidRDefault="00E70955"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Préservation</w:t>
            </w:r>
            <w:proofErr w:type="spellEnd"/>
            <w:r w:rsidRPr="0097258B">
              <w:rPr>
                <w:rFonts w:ascii="Times New Roman" w:hAnsi="Times New Roman" w:cs="Times New Roman"/>
                <w:color w:val="000000" w:themeColor="text1"/>
                <w:sz w:val="20"/>
                <w:szCs w:val="20"/>
              </w:rPr>
              <w:t xml:space="preserve"> du </w:t>
            </w:r>
            <w:proofErr w:type="spellStart"/>
            <w:r w:rsidRPr="0097258B">
              <w:rPr>
                <w:rFonts w:ascii="Times New Roman" w:hAnsi="Times New Roman" w:cs="Times New Roman"/>
                <w:color w:val="000000" w:themeColor="text1"/>
                <w:sz w:val="20"/>
                <w:szCs w:val="20"/>
              </w:rPr>
              <w:t>paysage</w:t>
            </w:r>
            <w:proofErr w:type="spellEnd"/>
          </w:p>
        </w:tc>
      </w:tr>
    </w:tbl>
    <w:p w14:paraId="62D09918" w14:textId="77777777" w:rsidR="00DE241D" w:rsidRPr="00260790" w:rsidRDefault="00DE241D" w:rsidP="00F83414">
      <w:pPr>
        <w:spacing w:after="0" w:line="240" w:lineRule="auto"/>
        <w:jc w:val="both"/>
        <w:rPr>
          <w:rFonts w:ascii="Times New Roman" w:hAnsi="Times New Roman"/>
          <w:color w:val="000000" w:themeColor="text1"/>
        </w:rPr>
      </w:pPr>
    </w:p>
    <w:p w14:paraId="7B542EE4" w14:textId="77777777" w:rsidR="004600EA" w:rsidRDefault="004600EA">
      <w:pPr>
        <w:spacing w:line="259" w:lineRule="auto"/>
        <w:rPr>
          <w:rFonts w:ascii="Times New Roman" w:hAnsi="Times New Roman"/>
          <w:b/>
          <w:bCs/>
          <w:i/>
          <w:iCs/>
          <w:color w:val="000000" w:themeColor="text1"/>
        </w:rPr>
      </w:pPr>
      <w:r>
        <w:rPr>
          <w:rFonts w:ascii="Times New Roman" w:hAnsi="Times New Roman"/>
          <w:b/>
          <w:bCs/>
          <w:i/>
          <w:iCs/>
          <w:color w:val="000000" w:themeColor="text1"/>
        </w:rPr>
        <w:br w:type="page"/>
      </w:r>
    </w:p>
    <w:p w14:paraId="778E10FF" w14:textId="0589321D" w:rsidR="00DE241D" w:rsidRPr="00260790" w:rsidRDefault="00DE241D" w:rsidP="001748C6">
      <w:pPr>
        <w:pStyle w:val="Paragraphedeliste"/>
        <w:numPr>
          <w:ilvl w:val="0"/>
          <w:numId w:val="358"/>
        </w:numPr>
        <w:spacing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lastRenderedPageBreak/>
        <w:t>RI-25. Risque d’entrave/retard du retour à la nature des sites des bases de chantier</w:t>
      </w:r>
    </w:p>
    <w:p w14:paraId="202EFA54"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Un éventuel non-démantèlement des surfaces imperméabilisées (planchers de bâtiments, aires de stockage ou d’entretien dallées…) entravera leur recolonisation par la végétation et donc leur retour à la nature. </w:t>
      </w:r>
    </w:p>
    <w:p w14:paraId="45462D60"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Ci-dessous le résumé de l’analyse du risque d’entrave/retard du retour à la nature des sites des bases de chantier.</w:t>
      </w:r>
    </w:p>
    <w:p w14:paraId="304792F1" w14:textId="05B44E24" w:rsidR="00DE241D" w:rsidRPr="00260790" w:rsidRDefault="00DE241D" w:rsidP="00E20250">
      <w:pPr>
        <w:pStyle w:val="Lgende"/>
        <w:spacing w:line="240" w:lineRule="auto"/>
        <w:rPr>
          <w:color w:val="000000" w:themeColor="text1"/>
          <w:sz w:val="22"/>
          <w:szCs w:val="22"/>
        </w:rPr>
      </w:pPr>
      <w:bookmarkStart w:id="655" w:name="_Toc207781911"/>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70</w:t>
      </w:r>
      <w:r w:rsidRPr="00260790">
        <w:rPr>
          <w:color w:val="000000" w:themeColor="text1"/>
          <w:sz w:val="22"/>
          <w:szCs w:val="22"/>
        </w:rPr>
        <w:fldChar w:fldCharType="end"/>
      </w:r>
      <w:r w:rsidRPr="00260790">
        <w:rPr>
          <w:color w:val="000000" w:themeColor="text1"/>
          <w:sz w:val="22"/>
          <w:szCs w:val="22"/>
        </w:rPr>
        <w:t> : résumé de l’analyse du risque d’entrave/retard du retour à la nature des sites des bases de chantier</w:t>
      </w:r>
      <w:bookmarkEnd w:id="655"/>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49"/>
        <w:gridCol w:w="2434"/>
        <w:gridCol w:w="1406"/>
        <w:gridCol w:w="971"/>
        <w:gridCol w:w="1042"/>
        <w:gridCol w:w="1658"/>
      </w:tblGrid>
      <w:tr w:rsidR="00BD1A2F" w:rsidRPr="009B46E2" w14:paraId="6DECE69A" w14:textId="77777777" w:rsidTr="003A0E4A">
        <w:trPr>
          <w:trHeight w:val="230"/>
        </w:trPr>
        <w:tc>
          <w:tcPr>
            <w:tcW w:w="5000" w:type="pct"/>
            <w:gridSpan w:val="6"/>
            <w:shd w:val="clear" w:color="auto" w:fill="D9E2F3" w:themeFill="accent5" w:themeFillTint="33"/>
          </w:tcPr>
          <w:p w14:paraId="44DD03F0"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301AF6">
              <w:rPr>
                <w:rFonts w:ascii="Times New Roman" w:hAnsi="Times New Roman" w:cs="Times New Roman"/>
                <w:b/>
                <w:bCs/>
                <w:color w:val="000000" w:themeColor="text1"/>
                <w:sz w:val="20"/>
                <w:szCs w:val="20"/>
                <w:lang w:val="fr-FR"/>
              </w:rPr>
              <w:t>RI-25. Risque d’entrave/retard du retour à la nature des sites des bases de chantier</w:t>
            </w:r>
          </w:p>
        </w:tc>
      </w:tr>
      <w:tr w:rsidR="00BD1A2F" w:rsidRPr="009B46E2" w14:paraId="1D230986" w14:textId="77777777" w:rsidTr="003A0E4A">
        <w:trPr>
          <w:trHeight w:val="230"/>
        </w:trPr>
        <w:tc>
          <w:tcPr>
            <w:tcW w:w="5000" w:type="pct"/>
            <w:gridSpan w:val="6"/>
          </w:tcPr>
          <w:p w14:paraId="345788AC"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roofErr w:type="spellStart"/>
            <w:proofErr w:type="gramStart"/>
            <w:r w:rsidRPr="0097258B">
              <w:rPr>
                <w:rFonts w:ascii="Times New Roman" w:hAnsi="Times New Roman" w:cs="Times New Roman"/>
                <w:b/>
                <w:bCs/>
                <w:color w:val="000000" w:themeColor="text1"/>
                <w:sz w:val="20"/>
                <w:szCs w:val="20"/>
              </w:rPr>
              <w:t>Activités</w:t>
            </w:r>
            <w:proofErr w:type="spellEnd"/>
            <w:r w:rsidRPr="0097258B">
              <w:rPr>
                <w:rFonts w:ascii="Times New Roman" w:hAnsi="Times New Roman" w:cs="Times New Roman"/>
                <w:b/>
                <w:bCs/>
                <w:color w:val="000000" w:themeColor="text1"/>
                <w:sz w:val="20"/>
                <w:szCs w:val="20"/>
              </w:rPr>
              <w:t xml:space="preserve"> :</w:t>
            </w:r>
            <w:proofErr w:type="gram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repli</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chantier</w:t>
            </w:r>
            <w:proofErr w:type="spellEnd"/>
          </w:p>
        </w:tc>
      </w:tr>
      <w:tr w:rsidR="00BD1A2F" w:rsidRPr="009B46E2" w14:paraId="32DC47FC" w14:textId="77777777" w:rsidTr="003A0E4A">
        <w:trPr>
          <w:trHeight w:val="230"/>
        </w:trPr>
        <w:tc>
          <w:tcPr>
            <w:tcW w:w="855" w:type="pct"/>
          </w:tcPr>
          <w:p w14:paraId="643127C1"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343" w:type="pct"/>
          </w:tcPr>
          <w:p w14:paraId="4CCEFB4B"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initial</w:t>
            </w:r>
          </w:p>
        </w:tc>
        <w:tc>
          <w:tcPr>
            <w:tcW w:w="776" w:type="pct"/>
          </w:tcPr>
          <w:p w14:paraId="3B8B4077"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36" w:type="pct"/>
          </w:tcPr>
          <w:p w14:paraId="6834F55D"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75" w:type="pct"/>
          </w:tcPr>
          <w:p w14:paraId="52B5CC59"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914" w:type="pct"/>
          </w:tcPr>
          <w:p w14:paraId="236D4AD3"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p>
        </w:tc>
      </w:tr>
      <w:tr w:rsidR="00BD1A2F" w:rsidRPr="009B46E2" w14:paraId="06D0A3E4" w14:textId="77777777" w:rsidTr="003A0E4A">
        <w:trPr>
          <w:trHeight w:val="330"/>
        </w:trPr>
        <w:tc>
          <w:tcPr>
            <w:tcW w:w="855" w:type="pct"/>
          </w:tcPr>
          <w:p w14:paraId="47C26563"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Avant </w:t>
            </w:r>
            <w:proofErr w:type="spellStart"/>
            <w:r w:rsidRPr="0097258B">
              <w:rPr>
                <w:rFonts w:ascii="Times New Roman" w:hAnsi="Times New Roman" w:cs="Times New Roman"/>
                <w:color w:val="000000" w:themeColor="text1"/>
                <w:sz w:val="20"/>
                <w:szCs w:val="20"/>
              </w:rPr>
              <w:t>prévention</w:t>
            </w:r>
            <w:proofErr w:type="spellEnd"/>
          </w:p>
        </w:tc>
        <w:tc>
          <w:tcPr>
            <w:tcW w:w="1343" w:type="pct"/>
          </w:tcPr>
          <w:p w14:paraId="07B874D0" w14:textId="35B7D253" w:rsidR="00DE241D" w:rsidRPr="0097258B" w:rsidRDefault="006C62C4"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Risque d’entrave/retard du retour à la nature en cas d’a</w:t>
            </w:r>
            <w:r w:rsidR="00DE241D" w:rsidRPr="00301AF6">
              <w:rPr>
                <w:rFonts w:ascii="Times New Roman" w:hAnsi="Times New Roman" w:cs="Times New Roman"/>
                <w:color w:val="000000" w:themeColor="text1"/>
                <w:sz w:val="20"/>
                <w:szCs w:val="20"/>
                <w:lang w:val="fr-FR"/>
              </w:rPr>
              <w:t xml:space="preserve">bandon sur site </w:t>
            </w:r>
            <w:r w:rsidRPr="00301AF6">
              <w:rPr>
                <w:rFonts w:ascii="Times New Roman" w:hAnsi="Times New Roman" w:cs="Times New Roman"/>
                <w:color w:val="000000" w:themeColor="text1"/>
                <w:sz w:val="20"/>
                <w:szCs w:val="20"/>
                <w:lang w:val="fr-FR"/>
              </w:rPr>
              <w:t xml:space="preserve">des bases de chantier </w:t>
            </w:r>
            <w:r w:rsidR="00DE241D" w:rsidRPr="00301AF6">
              <w:rPr>
                <w:rFonts w:ascii="Times New Roman" w:hAnsi="Times New Roman" w:cs="Times New Roman"/>
                <w:color w:val="000000" w:themeColor="text1"/>
                <w:sz w:val="20"/>
                <w:szCs w:val="20"/>
                <w:lang w:val="fr-FR"/>
              </w:rPr>
              <w:t>de surface imperméabilisée</w:t>
            </w:r>
          </w:p>
        </w:tc>
        <w:tc>
          <w:tcPr>
            <w:tcW w:w="776" w:type="pct"/>
            <w:vAlign w:val="center"/>
          </w:tcPr>
          <w:p w14:paraId="4A660DFA"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36" w:type="pct"/>
            <w:vAlign w:val="center"/>
          </w:tcPr>
          <w:p w14:paraId="4833156C"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75" w:type="pct"/>
            <w:shd w:val="clear" w:color="auto" w:fill="FFFF00"/>
            <w:vAlign w:val="center"/>
          </w:tcPr>
          <w:p w14:paraId="6AC9B5C3"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22</w:t>
            </w:r>
          </w:p>
        </w:tc>
        <w:tc>
          <w:tcPr>
            <w:tcW w:w="914" w:type="pct"/>
          </w:tcPr>
          <w:p w14:paraId="574ED866"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Entrave à la recolonisation du site par la végétation</w:t>
            </w:r>
          </w:p>
        </w:tc>
      </w:tr>
      <w:tr w:rsidR="00BD1A2F" w:rsidRPr="009B46E2" w14:paraId="7ABF4B24" w14:textId="77777777" w:rsidTr="003A0E4A">
        <w:trPr>
          <w:trHeight w:val="132"/>
        </w:trPr>
        <w:tc>
          <w:tcPr>
            <w:tcW w:w="855" w:type="pct"/>
          </w:tcPr>
          <w:p w14:paraId="0D2C0559"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prévention</w:t>
            </w:r>
            <w:proofErr w:type="spellEnd"/>
          </w:p>
        </w:tc>
        <w:tc>
          <w:tcPr>
            <w:tcW w:w="4145" w:type="pct"/>
            <w:gridSpan w:val="5"/>
          </w:tcPr>
          <w:p w14:paraId="6CD5DE8D" w14:textId="4698FA7C"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Insérer la réhabilitation des emprises dans les clauses contractuelles ;</w:t>
            </w:r>
          </w:p>
          <w:p w14:paraId="76E18C58" w14:textId="601A97DB" w:rsidR="00C11C6A" w:rsidRPr="0097258B" w:rsidRDefault="00C11C6A" w:rsidP="00C11C6A">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Faire l’état de référence des sites devant être réhabilités à la fin des travaux</w:t>
            </w:r>
          </w:p>
          <w:p w14:paraId="63C7C267"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Assurer la surveillance de l’exécution des clauses contractuelles ;</w:t>
            </w:r>
          </w:p>
          <w:p w14:paraId="0179DAF0"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Végétaliser le site si possible ;</w:t>
            </w:r>
          </w:p>
          <w:p w14:paraId="3AD0E3C8"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Conditionner la réception des ouvrages à la réhabilitation des emprises.</w:t>
            </w:r>
          </w:p>
        </w:tc>
      </w:tr>
      <w:tr w:rsidR="00BD1A2F" w:rsidRPr="009B46E2" w14:paraId="54F55CAB" w14:textId="77777777" w:rsidTr="003A0E4A">
        <w:trPr>
          <w:trHeight w:val="230"/>
        </w:trPr>
        <w:tc>
          <w:tcPr>
            <w:tcW w:w="855" w:type="pct"/>
          </w:tcPr>
          <w:p w14:paraId="17B2A76E"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343" w:type="pct"/>
          </w:tcPr>
          <w:p w14:paraId="3BCDEA79"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final</w:t>
            </w:r>
          </w:p>
        </w:tc>
        <w:tc>
          <w:tcPr>
            <w:tcW w:w="776" w:type="pct"/>
          </w:tcPr>
          <w:p w14:paraId="65A8F0AE"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36" w:type="pct"/>
          </w:tcPr>
          <w:p w14:paraId="1D26436A"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75" w:type="pct"/>
          </w:tcPr>
          <w:p w14:paraId="5FF50B2E"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914" w:type="pct"/>
          </w:tcPr>
          <w:p w14:paraId="56BABD19"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r w:rsidRPr="0097258B">
              <w:rPr>
                <w:rFonts w:ascii="Times New Roman" w:hAnsi="Times New Roman" w:cs="Times New Roman"/>
                <w:b/>
                <w:bCs/>
                <w:color w:val="000000" w:themeColor="text1"/>
                <w:sz w:val="20"/>
                <w:szCs w:val="20"/>
              </w:rPr>
              <w:t xml:space="preserve"> </w:t>
            </w:r>
            <w:proofErr w:type="spellStart"/>
            <w:r w:rsidRPr="0097258B">
              <w:rPr>
                <w:rFonts w:ascii="Times New Roman" w:hAnsi="Times New Roman" w:cs="Times New Roman"/>
                <w:b/>
                <w:bCs/>
                <w:color w:val="000000" w:themeColor="text1"/>
                <w:sz w:val="20"/>
                <w:szCs w:val="20"/>
              </w:rPr>
              <w:t>résiduel</w:t>
            </w:r>
            <w:proofErr w:type="spellEnd"/>
          </w:p>
        </w:tc>
      </w:tr>
      <w:tr w:rsidR="00BD1A2F" w:rsidRPr="009B46E2" w14:paraId="70428F4F" w14:textId="77777777" w:rsidTr="003A0E4A">
        <w:trPr>
          <w:trHeight w:val="458"/>
        </w:trPr>
        <w:tc>
          <w:tcPr>
            <w:tcW w:w="855" w:type="pct"/>
          </w:tcPr>
          <w:p w14:paraId="63F0FE3C"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Après </w:t>
            </w:r>
            <w:proofErr w:type="spellStart"/>
            <w:r w:rsidRPr="0097258B">
              <w:rPr>
                <w:rFonts w:ascii="Times New Roman" w:hAnsi="Times New Roman" w:cs="Times New Roman"/>
                <w:color w:val="000000" w:themeColor="text1"/>
                <w:sz w:val="20"/>
                <w:szCs w:val="20"/>
              </w:rPr>
              <w:t>prévention</w:t>
            </w:r>
            <w:proofErr w:type="spellEnd"/>
          </w:p>
        </w:tc>
        <w:tc>
          <w:tcPr>
            <w:tcW w:w="1343" w:type="pct"/>
          </w:tcPr>
          <w:p w14:paraId="2F563624" w14:textId="680C9C3B" w:rsidR="00DE241D" w:rsidRPr="0097258B" w:rsidRDefault="00C438E3"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Régénérescence du site des bases de chantier</w:t>
            </w:r>
          </w:p>
        </w:tc>
        <w:tc>
          <w:tcPr>
            <w:tcW w:w="776" w:type="pct"/>
          </w:tcPr>
          <w:p w14:paraId="1967BD9A"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36" w:type="pct"/>
          </w:tcPr>
          <w:p w14:paraId="3BE16B1A"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75" w:type="pct"/>
            <w:shd w:val="clear" w:color="auto" w:fill="A8D08D" w:themeFill="accent6" w:themeFillTint="99"/>
          </w:tcPr>
          <w:p w14:paraId="51D69A16"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11</w:t>
            </w:r>
          </w:p>
        </w:tc>
        <w:tc>
          <w:tcPr>
            <w:tcW w:w="914" w:type="pct"/>
          </w:tcPr>
          <w:p w14:paraId="30E22F6F" w14:textId="46D27AB8" w:rsidR="00DE241D" w:rsidRPr="0097258B" w:rsidRDefault="00777EBF"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Restauration de la </w:t>
            </w:r>
            <w:proofErr w:type="spellStart"/>
            <w:r w:rsidRPr="0097258B">
              <w:rPr>
                <w:rFonts w:ascii="Times New Roman" w:hAnsi="Times New Roman" w:cs="Times New Roman"/>
                <w:color w:val="000000" w:themeColor="text1"/>
                <w:sz w:val="20"/>
                <w:szCs w:val="20"/>
              </w:rPr>
              <w:t>biodiversité</w:t>
            </w:r>
            <w:proofErr w:type="spellEnd"/>
          </w:p>
        </w:tc>
      </w:tr>
    </w:tbl>
    <w:p w14:paraId="4480CFAC" w14:textId="77777777" w:rsidR="00DE241D" w:rsidRPr="00260790" w:rsidRDefault="00DE241D" w:rsidP="00F83414">
      <w:pPr>
        <w:spacing w:after="0" w:line="240" w:lineRule="auto"/>
        <w:jc w:val="both"/>
        <w:rPr>
          <w:rFonts w:ascii="Times New Roman" w:hAnsi="Times New Roman"/>
          <w:color w:val="000000" w:themeColor="text1"/>
        </w:rPr>
      </w:pPr>
    </w:p>
    <w:p w14:paraId="1CABCAA2" w14:textId="77777777" w:rsidR="00DE241D" w:rsidRPr="00260790" w:rsidRDefault="00DE241D" w:rsidP="001748C6">
      <w:pPr>
        <w:pStyle w:val="Paragraphedeliste"/>
        <w:numPr>
          <w:ilvl w:val="0"/>
          <w:numId w:val="359"/>
        </w:numPr>
        <w:spacing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RI-26. Risque sécuritaire associé à l’abandon sur site de bâtiments et/ou ruines de bâtiments</w:t>
      </w:r>
    </w:p>
    <w:p w14:paraId="058977D4"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En milieux urbains et périurbains, les bâtiments non occupés et les ruines de bâtiments sont souvent squattés par les délinquants et les toxicomanes. Ils sont également susceptibles d’abriter des animaux dangereux tels que les rats, chiens errants, serpents, scorpions. L’abandon sur place de telles installations pourrait hypothéquer la sécurité publique. </w:t>
      </w:r>
    </w:p>
    <w:p w14:paraId="05C6C4BB"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Ci-dessous le résumé de l’analyse du</w:t>
      </w:r>
      <w:r w:rsidRPr="00260790">
        <w:rPr>
          <w:rFonts w:ascii="Times New Roman" w:hAnsi="Times New Roman"/>
          <w:b/>
          <w:bCs/>
          <w:i/>
          <w:iCs/>
          <w:color w:val="000000" w:themeColor="text1"/>
        </w:rPr>
        <w:t xml:space="preserve"> </w:t>
      </w:r>
      <w:r w:rsidRPr="00260790">
        <w:rPr>
          <w:rFonts w:ascii="Times New Roman" w:hAnsi="Times New Roman"/>
          <w:color w:val="000000" w:themeColor="text1"/>
        </w:rPr>
        <w:t>risque sécuritaire associé à l’abandon sur site de bâtiments et ruines de bâtiments.</w:t>
      </w:r>
    </w:p>
    <w:p w14:paraId="3575DCB4" w14:textId="3792A1B9" w:rsidR="00DE241D" w:rsidRPr="00260790" w:rsidRDefault="00DE241D" w:rsidP="00E20250">
      <w:pPr>
        <w:pStyle w:val="Lgende"/>
        <w:spacing w:line="240" w:lineRule="auto"/>
        <w:rPr>
          <w:color w:val="000000" w:themeColor="text1"/>
          <w:sz w:val="22"/>
          <w:szCs w:val="22"/>
        </w:rPr>
      </w:pPr>
      <w:bookmarkStart w:id="656" w:name="_Toc207781912"/>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71</w:t>
      </w:r>
      <w:r w:rsidRPr="00260790">
        <w:rPr>
          <w:color w:val="000000" w:themeColor="text1"/>
          <w:sz w:val="22"/>
          <w:szCs w:val="22"/>
        </w:rPr>
        <w:fldChar w:fldCharType="end"/>
      </w:r>
      <w:r w:rsidRPr="00260790">
        <w:rPr>
          <w:color w:val="000000" w:themeColor="text1"/>
          <w:sz w:val="22"/>
          <w:szCs w:val="22"/>
        </w:rPr>
        <w:t> : résumé de l’analyse du risque sécuritaire associé à l’abandon sur site de bâtiments et ruines de bâtiments</w:t>
      </w:r>
      <w:bookmarkEnd w:id="656"/>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28"/>
        <w:gridCol w:w="2401"/>
        <w:gridCol w:w="1323"/>
        <w:gridCol w:w="960"/>
        <w:gridCol w:w="892"/>
        <w:gridCol w:w="2356"/>
      </w:tblGrid>
      <w:tr w:rsidR="00BD1A2F" w:rsidRPr="00260790" w14:paraId="7EB33BB2" w14:textId="77777777" w:rsidTr="003A0E4A">
        <w:trPr>
          <w:trHeight w:val="230"/>
        </w:trPr>
        <w:tc>
          <w:tcPr>
            <w:tcW w:w="5000" w:type="pct"/>
            <w:gridSpan w:val="6"/>
            <w:shd w:val="clear" w:color="auto" w:fill="D9E2F3" w:themeFill="accent5" w:themeFillTint="33"/>
          </w:tcPr>
          <w:p w14:paraId="05A0A3A9"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301AF6">
              <w:rPr>
                <w:rFonts w:ascii="Times New Roman" w:hAnsi="Times New Roman" w:cs="Times New Roman"/>
                <w:b/>
                <w:bCs/>
                <w:color w:val="000000" w:themeColor="text1"/>
                <w:sz w:val="20"/>
                <w:szCs w:val="20"/>
                <w:lang w:val="fr-FR"/>
              </w:rPr>
              <w:t>RI-26. Risque sécuritaire à l’abandon sur site de bâtiments et/ou ruines de bâtiments</w:t>
            </w:r>
          </w:p>
        </w:tc>
      </w:tr>
      <w:tr w:rsidR="00BD1A2F" w:rsidRPr="00260790" w14:paraId="2BA4C536" w14:textId="77777777" w:rsidTr="003A0E4A">
        <w:trPr>
          <w:trHeight w:val="230"/>
        </w:trPr>
        <w:tc>
          <w:tcPr>
            <w:tcW w:w="5000" w:type="pct"/>
            <w:gridSpan w:val="6"/>
          </w:tcPr>
          <w:p w14:paraId="3D06096F"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roofErr w:type="spellStart"/>
            <w:proofErr w:type="gramStart"/>
            <w:r w:rsidRPr="0097258B">
              <w:rPr>
                <w:rFonts w:ascii="Times New Roman" w:hAnsi="Times New Roman" w:cs="Times New Roman"/>
                <w:b/>
                <w:bCs/>
                <w:color w:val="000000" w:themeColor="text1"/>
                <w:sz w:val="20"/>
                <w:szCs w:val="20"/>
              </w:rPr>
              <w:t>Activités</w:t>
            </w:r>
            <w:proofErr w:type="spellEnd"/>
            <w:r w:rsidRPr="0097258B">
              <w:rPr>
                <w:rFonts w:ascii="Times New Roman" w:hAnsi="Times New Roman" w:cs="Times New Roman"/>
                <w:b/>
                <w:bCs/>
                <w:color w:val="000000" w:themeColor="text1"/>
                <w:sz w:val="20"/>
                <w:szCs w:val="20"/>
              </w:rPr>
              <w:t xml:space="preserve"> :</w:t>
            </w:r>
            <w:proofErr w:type="gram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repli</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chantier</w:t>
            </w:r>
            <w:proofErr w:type="spellEnd"/>
          </w:p>
        </w:tc>
      </w:tr>
      <w:tr w:rsidR="00BD1A2F" w:rsidRPr="00260790" w14:paraId="744B9D58" w14:textId="77777777" w:rsidTr="00150E6B">
        <w:trPr>
          <w:trHeight w:val="230"/>
        </w:trPr>
        <w:tc>
          <w:tcPr>
            <w:tcW w:w="623" w:type="pct"/>
          </w:tcPr>
          <w:p w14:paraId="6B2E72F2"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325" w:type="pct"/>
          </w:tcPr>
          <w:p w14:paraId="6FFC8EF2"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initial</w:t>
            </w:r>
          </w:p>
        </w:tc>
        <w:tc>
          <w:tcPr>
            <w:tcW w:w="730" w:type="pct"/>
          </w:tcPr>
          <w:p w14:paraId="4704BC72"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30" w:type="pct"/>
          </w:tcPr>
          <w:p w14:paraId="1BBE35DC"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492" w:type="pct"/>
          </w:tcPr>
          <w:p w14:paraId="6B250798"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301" w:type="pct"/>
          </w:tcPr>
          <w:p w14:paraId="06A147C9"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p>
        </w:tc>
      </w:tr>
      <w:tr w:rsidR="00BD1A2F" w:rsidRPr="00260790" w14:paraId="53357DE7" w14:textId="77777777" w:rsidTr="00150E6B">
        <w:trPr>
          <w:trHeight w:val="330"/>
        </w:trPr>
        <w:tc>
          <w:tcPr>
            <w:tcW w:w="623" w:type="pct"/>
          </w:tcPr>
          <w:p w14:paraId="13E02312"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Avant </w:t>
            </w:r>
            <w:proofErr w:type="spellStart"/>
            <w:r w:rsidRPr="0097258B">
              <w:rPr>
                <w:rFonts w:ascii="Times New Roman" w:hAnsi="Times New Roman" w:cs="Times New Roman"/>
                <w:color w:val="000000" w:themeColor="text1"/>
                <w:sz w:val="20"/>
                <w:szCs w:val="20"/>
              </w:rPr>
              <w:t>prévention</w:t>
            </w:r>
            <w:proofErr w:type="spellEnd"/>
          </w:p>
        </w:tc>
        <w:tc>
          <w:tcPr>
            <w:tcW w:w="1325" w:type="pct"/>
          </w:tcPr>
          <w:p w14:paraId="18AE24CF" w14:textId="13BAC548" w:rsidR="00DE241D" w:rsidRPr="0097258B" w:rsidRDefault="00777EBF"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Risque sécuritaire lié à l’o</w:t>
            </w:r>
            <w:r w:rsidR="00DE241D" w:rsidRPr="00301AF6">
              <w:rPr>
                <w:rFonts w:ascii="Times New Roman" w:hAnsi="Times New Roman" w:cs="Times New Roman"/>
                <w:color w:val="000000" w:themeColor="text1"/>
                <w:sz w:val="20"/>
                <w:szCs w:val="20"/>
                <w:lang w:val="fr-FR"/>
              </w:rPr>
              <w:t xml:space="preserve">ccupation des bâtiments abandonnés et </w:t>
            </w:r>
            <w:r w:rsidRPr="00301AF6">
              <w:rPr>
                <w:rFonts w:ascii="Times New Roman" w:hAnsi="Times New Roman" w:cs="Times New Roman"/>
                <w:color w:val="000000" w:themeColor="text1"/>
                <w:sz w:val="20"/>
                <w:szCs w:val="20"/>
                <w:lang w:val="fr-FR"/>
              </w:rPr>
              <w:t xml:space="preserve">en </w:t>
            </w:r>
            <w:r w:rsidR="00DE241D" w:rsidRPr="00301AF6">
              <w:rPr>
                <w:rFonts w:ascii="Times New Roman" w:hAnsi="Times New Roman" w:cs="Times New Roman"/>
                <w:color w:val="000000" w:themeColor="text1"/>
                <w:sz w:val="20"/>
                <w:szCs w:val="20"/>
                <w:lang w:val="fr-FR"/>
              </w:rPr>
              <w:t>ruines par des malfaiteurs et des animaux dangereux</w:t>
            </w:r>
            <w:r w:rsidRPr="00301AF6">
              <w:rPr>
                <w:rFonts w:ascii="Times New Roman" w:hAnsi="Times New Roman" w:cs="Times New Roman"/>
                <w:color w:val="000000" w:themeColor="text1"/>
                <w:sz w:val="20"/>
                <w:szCs w:val="20"/>
                <w:lang w:val="fr-FR"/>
              </w:rPr>
              <w:t xml:space="preserve"> (reptiles)</w:t>
            </w:r>
          </w:p>
        </w:tc>
        <w:tc>
          <w:tcPr>
            <w:tcW w:w="730" w:type="pct"/>
            <w:vAlign w:val="center"/>
          </w:tcPr>
          <w:p w14:paraId="6BC6E6AC"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w:t>
            </w:r>
          </w:p>
        </w:tc>
        <w:tc>
          <w:tcPr>
            <w:tcW w:w="530" w:type="pct"/>
            <w:vAlign w:val="center"/>
          </w:tcPr>
          <w:p w14:paraId="488C4DA5"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4</w:t>
            </w:r>
          </w:p>
        </w:tc>
        <w:tc>
          <w:tcPr>
            <w:tcW w:w="492" w:type="pct"/>
            <w:shd w:val="clear" w:color="auto" w:fill="FF0000"/>
            <w:vAlign w:val="center"/>
          </w:tcPr>
          <w:p w14:paraId="498B81D7"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43</w:t>
            </w:r>
          </w:p>
        </w:tc>
        <w:tc>
          <w:tcPr>
            <w:tcW w:w="1301" w:type="pct"/>
          </w:tcPr>
          <w:p w14:paraId="0800F937"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Vols et agressions des populations par des malfrats ;</w:t>
            </w:r>
          </w:p>
          <w:p w14:paraId="286559DF"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Blessures par des animaux dangereux</w:t>
            </w:r>
          </w:p>
        </w:tc>
      </w:tr>
      <w:tr w:rsidR="00BD1A2F" w:rsidRPr="00260790" w14:paraId="3223FFB9" w14:textId="77777777" w:rsidTr="00150E6B">
        <w:trPr>
          <w:trHeight w:val="132"/>
        </w:trPr>
        <w:tc>
          <w:tcPr>
            <w:tcW w:w="623" w:type="pct"/>
          </w:tcPr>
          <w:p w14:paraId="462BE21B"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prévention</w:t>
            </w:r>
            <w:proofErr w:type="spellEnd"/>
          </w:p>
        </w:tc>
        <w:tc>
          <w:tcPr>
            <w:tcW w:w="4377" w:type="pct"/>
            <w:gridSpan w:val="5"/>
          </w:tcPr>
          <w:p w14:paraId="1C8E01D3" w14:textId="4FCBC90C"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 xml:space="preserve">Insérer la réhabilitation des emprises dans les clauses contractuelles notamment le démantèlement du </w:t>
            </w:r>
            <w:r w:rsidR="004C0BC9" w:rsidRPr="00301AF6">
              <w:rPr>
                <w:rFonts w:ascii="Times New Roman" w:hAnsi="Times New Roman" w:cs="Times New Roman"/>
                <w:color w:val="000000" w:themeColor="text1"/>
                <w:sz w:val="20"/>
                <w:szCs w:val="20"/>
                <w:lang w:val="fr-FR"/>
              </w:rPr>
              <w:t>bâti ;</w:t>
            </w:r>
          </w:p>
          <w:p w14:paraId="0EE8B13B"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Assurer la surveillance de l’exécution des clauses contractuelles ;</w:t>
            </w:r>
          </w:p>
          <w:p w14:paraId="0FE3D30B"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Conditionner la réception des ouvrages à la réhabilitation des emprises.</w:t>
            </w:r>
          </w:p>
        </w:tc>
      </w:tr>
      <w:tr w:rsidR="00BD1A2F" w:rsidRPr="00260790" w14:paraId="41ECCD2D" w14:textId="77777777" w:rsidTr="00150E6B">
        <w:trPr>
          <w:trHeight w:val="230"/>
        </w:trPr>
        <w:tc>
          <w:tcPr>
            <w:tcW w:w="623" w:type="pct"/>
          </w:tcPr>
          <w:p w14:paraId="2A1634EC"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325" w:type="pct"/>
          </w:tcPr>
          <w:p w14:paraId="30F91DF9"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final</w:t>
            </w:r>
          </w:p>
        </w:tc>
        <w:tc>
          <w:tcPr>
            <w:tcW w:w="730" w:type="pct"/>
          </w:tcPr>
          <w:p w14:paraId="5FFFA3EF"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30" w:type="pct"/>
          </w:tcPr>
          <w:p w14:paraId="6D40F6CA"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492" w:type="pct"/>
          </w:tcPr>
          <w:p w14:paraId="7048A3F5"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301" w:type="pct"/>
          </w:tcPr>
          <w:p w14:paraId="2DC6E285"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r w:rsidRPr="0097258B">
              <w:rPr>
                <w:rFonts w:ascii="Times New Roman" w:hAnsi="Times New Roman" w:cs="Times New Roman"/>
                <w:b/>
                <w:bCs/>
                <w:color w:val="000000" w:themeColor="text1"/>
                <w:sz w:val="20"/>
                <w:szCs w:val="20"/>
              </w:rPr>
              <w:t xml:space="preserve"> </w:t>
            </w:r>
            <w:proofErr w:type="spellStart"/>
            <w:r w:rsidRPr="0097258B">
              <w:rPr>
                <w:rFonts w:ascii="Times New Roman" w:hAnsi="Times New Roman" w:cs="Times New Roman"/>
                <w:b/>
                <w:bCs/>
                <w:color w:val="000000" w:themeColor="text1"/>
                <w:sz w:val="20"/>
                <w:szCs w:val="20"/>
              </w:rPr>
              <w:t>résiduel</w:t>
            </w:r>
            <w:proofErr w:type="spellEnd"/>
          </w:p>
        </w:tc>
      </w:tr>
      <w:tr w:rsidR="00BD1A2F" w:rsidRPr="00260790" w14:paraId="3F03F038" w14:textId="77777777" w:rsidTr="00150E6B">
        <w:trPr>
          <w:trHeight w:val="458"/>
        </w:trPr>
        <w:tc>
          <w:tcPr>
            <w:tcW w:w="623" w:type="pct"/>
          </w:tcPr>
          <w:p w14:paraId="34880E6A"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Après </w:t>
            </w:r>
            <w:proofErr w:type="spellStart"/>
            <w:r w:rsidRPr="0097258B">
              <w:rPr>
                <w:rFonts w:ascii="Times New Roman" w:hAnsi="Times New Roman" w:cs="Times New Roman"/>
                <w:color w:val="000000" w:themeColor="text1"/>
                <w:sz w:val="20"/>
                <w:szCs w:val="20"/>
              </w:rPr>
              <w:t>prévention</w:t>
            </w:r>
            <w:proofErr w:type="spellEnd"/>
          </w:p>
        </w:tc>
        <w:tc>
          <w:tcPr>
            <w:tcW w:w="1325" w:type="pct"/>
          </w:tcPr>
          <w:p w14:paraId="629DD4E5" w14:textId="7F2F05DD" w:rsidR="00DE241D" w:rsidRPr="0097258B" w:rsidRDefault="00202EF4"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S</w:t>
            </w:r>
            <w:r w:rsidR="00777EBF" w:rsidRPr="0097258B">
              <w:rPr>
                <w:rFonts w:ascii="Times New Roman" w:hAnsi="Times New Roman" w:cs="Times New Roman"/>
                <w:color w:val="000000" w:themeColor="text1"/>
                <w:sz w:val="20"/>
                <w:szCs w:val="20"/>
              </w:rPr>
              <w:t>écurité de</w:t>
            </w:r>
            <w:r w:rsidRPr="0097258B">
              <w:rPr>
                <w:rFonts w:ascii="Times New Roman" w:hAnsi="Times New Roman" w:cs="Times New Roman"/>
                <w:color w:val="000000" w:themeColor="text1"/>
                <w:sz w:val="20"/>
                <w:szCs w:val="20"/>
              </w:rPr>
              <w:t>s populations</w:t>
            </w:r>
          </w:p>
        </w:tc>
        <w:tc>
          <w:tcPr>
            <w:tcW w:w="730" w:type="pct"/>
          </w:tcPr>
          <w:p w14:paraId="5BFD2D9B"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30" w:type="pct"/>
          </w:tcPr>
          <w:p w14:paraId="1ACB7A0A"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492" w:type="pct"/>
            <w:shd w:val="clear" w:color="auto" w:fill="A8D08D" w:themeFill="accent6" w:themeFillTint="99"/>
          </w:tcPr>
          <w:p w14:paraId="0B15863C"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21</w:t>
            </w:r>
          </w:p>
        </w:tc>
        <w:tc>
          <w:tcPr>
            <w:tcW w:w="1301" w:type="pct"/>
          </w:tcPr>
          <w:p w14:paraId="53CB72E7" w14:textId="4A00DDA7" w:rsidR="00DE241D" w:rsidRPr="0097258B" w:rsidRDefault="00C70745"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Conflits</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sociaux</w:t>
            </w:r>
            <w:proofErr w:type="spellEnd"/>
            <w:r w:rsidRPr="0097258B">
              <w:rPr>
                <w:rFonts w:ascii="Times New Roman" w:hAnsi="Times New Roman" w:cs="Times New Roman"/>
                <w:color w:val="000000" w:themeColor="text1"/>
                <w:sz w:val="20"/>
                <w:szCs w:val="20"/>
              </w:rPr>
              <w:t> </w:t>
            </w:r>
          </w:p>
        </w:tc>
      </w:tr>
    </w:tbl>
    <w:p w14:paraId="0A60DD19" w14:textId="3B2F4CE9" w:rsidR="00DE241D" w:rsidRPr="00260790" w:rsidRDefault="001E0D80" w:rsidP="001748C6">
      <w:pPr>
        <w:pStyle w:val="CHAPITRE1"/>
        <w:numPr>
          <w:ilvl w:val="3"/>
          <w:numId w:val="139"/>
        </w:numPr>
        <w:rPr>
          <w:rFonts w:cs="Times New Roman"/>
          <w:i/>
          <w:iCs/>
        </w:rPr>
      </w:pPr>
      <w:bookmarkStart w:id="657" w:name="_Toc212725139"/>
      <w:r>
        <w:rPr>
          <w:rFonts w:cs="Times New Roman"/>
          <w:i/>
          <w:iCs/>
        </w:rPr>
        <w:lastRenderedPageBreak/>
        <w:t>E</w:t>
      </w:r>
      <w:r w:rsidR="00DE241D" w:rsidRPr="00260790">
        <w:rPr>
          <w:rFonts w:cs="Times New Roman"/>
          <w:i/>
          <w:iCs/>
        </w:rPr>
        <w:t>n phase exploitation</w:t>
      </w:r>
      <w:bookmarkEnd w:id="657"/>
    </w:p>
    <w:p w14:paraId="410EAB86" w14:textId="77777777" w:rsidR="00DE241D" w:rsidRPr="00260790" w:rsidRDefault="00DE241D" w:rsidP="00E20250">
      <w:pPr>
        <w:pStyle w:val="Paragraphedeliste"/>
        <w:numPr>
          <w:ilvl w:val="4"/>
          <w:numId w:val="0"/>
        </w:numPr>
        <w:spacing w:before="120" w:after="120" w:line="240" w:lineRule="auto"/>
        <w:ind w:left="1080" w:hanging="1080"/>
        <w:jc w:val="both"/>
        <w:rPr>
          <w:rFonts w:ascii="Times New Roman" w:hAnsi="Times New Roman"/>
          <w:b/>
          <w:bCs/>
          <w:color w:val="000000" w:themeColor="text1"/>
        </w:rPr>
      </w:pPr>
      <w:r w:rsidRPr="00260790">
        <w:rPr>
          <w:rFonts w:ascii="Times New Roman" w:hAnsi="Times New Roman"/>
          <w:b/>
          <w:bCs/>
          <w:color w:val="000000" w:themeColor="text1"/>
        </w:rPr>
        <w:t>Impacts négatifs communs au fonctionnement des collecteurs, des bassins et de l’exutoire (marigot de Mbao)</w:t>
      </w:r>
    </w:p>
    <w:p w14:paraId="56B2DE8C" w14:textId="77777777" w:rsidR="00DE241D" w:rsidRPr="00260790" w:rsidRDefault="00DE241D" w:rsidP="001748C6">
      <w:pPr>
        <w:pStyle w:val="Paragraphedeliste"/>
        <w:numPr>
          <w:ilvl w:val="0"/>
          <w:numId w:val="361"/>
        </w:numPr>
        <w:spacing w:after="0" w:line="240" w:lineRule="auto"/>
        <w:jc w:val="both"/>
        <w:rPr>
          <w:rFonts w:ascii="Times New Roman" w:hAnsi="Times New Roman"/>
          <w:bCs/>
          <w:i/>
          <w:iCs/>
          <w:color w:val="000000" w:themeColor="text1"/>
          <w:u w:val="single"/>
        </w:rPr>
      </w:pPr>
      <w:r w:rsidRPr="00260790">
        <w:rPr>
          <w:rFonts w:ascii="Times New Roman" w:hAnsi="Times New Roman"/>
          <w:bCs/>
          <w:i/>
          <w:iCs/>
          <w:color w:val="000000" w:themeColor="text1"/>
          <w:u w:val="single"/>
        </w:rPr>
        <w:t>Impacts négatifs et risques sur le milieu biologique</w:t>
      </w:r>
    </w:p>
    <w:p w14:paraId="27109214" w14:textId="77777777" w:rsidR="00DE241D" w:rsidRPr="00260790" w:rsidRDefault="00DE241D" w:rsidP="00E20250">
      <w:pPr>
        <w:spacing w:after="0" w:line="240" w:lineRule="auto"/>
        <w:jc w:val="both"/>
        <w:rPr>
          <w:rFonts w:ascii="Times New Roman" w:hAnsi="Times New Roman"/>
          <w:b/>
          <w:i/>
          <w:iCs/>
          <w:color w:val="000000" w:themeColor="text1"/>
        </w:rPr>
      </w:pPr>
    </w:p>
    <w:p w14:paraId="41C0CE5A" w14:textId="77777777" w:rsidR="00DE241D" w:rsidRPr="00260790" w:rsidRDefault="00DE241D" w:rsidP="001748C6">
      <w:pPr>
        <w:pStyle w:val="Paragraphedeliste"/>
        <w:numPr>
          <w:ilvl w:val="0"/>
          <w:numId w:val="328"/>
        </w:numPr>
        <w:spacing w:after="0" w:line="240" w:lineRule="auto"/>
        <w:jc w:val="both"/>
        <w:rPr>
          <w:rFonts w:ascii="Times New Roman" w:hAnsi="Times New Roman"/>
          <w:b/>
          <w:i/>
          <w:iCs/>
          <w:color w:val="000000" w:themeColor="text1"/>
        </w:rPr>
      </w:pPr>
      <w:r w:rsidRPr="00260790">
        <w:rPr>
          <w:rFonts w:ascii="Times New Roman" w:hAnsi="Times New Roman"/>
          <w:b/>
          <w:i/>
          <w:iCs/>
          <w:color w:val="000000" w:themeColor="text1"/>
        </w:rPr>
        <w:t>RI-27. Risque de prolifération de plantes aquatiques dans les collecteurs à ciel couvert, les bassins et l’exutoire</w:t>
      </w:r>
    </w:p>
    <w:p w14:paraId="1CB9184E" w14:textId="77777777" w:rsidR="00DE241D" w:rsidRPr="00260790" w:rsidRDefault="00DE241D" w:rsidP="00E20250">
      <w:pPr>
        <w:spacing w:line="240" w:lineRule="auto"/>
        <w:jc w:val="both"/>
        <w:rPr>
          <w:rFonts w:ascii="Times New Roman" w:hAnsi="Times New Roman"/>
          <w:bCs/>
          <w:color w:val="000000" w:themeColor="text1"/>
        </w:rPr>
      </w:pPr>
      <w:r w:rsidRPr="00260790">
        <w:rPr>
          <w:rFonts w:ascii="Times New Roman" w:hAnsi="Times New Roman"/>
          <w:bCs/>
          <w:color w:val="000000" w:themeColor="text1"/>
        </w:rPr>
        <w:t>Un risque fort probable associé à la mise en service des ouvrages est la prolifération de plantes aquatiques (</w:t>
      </w:r>
      <w:r w:rsidRPr="00260790">
        <w:rPr>
          <w:rFonts w:ascii="Times New Roman" w:hAnsi="Times New Roman"/>
          <w:bCs/>
          <w:i/>
          <w:iCs/>
          <w:color w:val="000000" w:themeColor="text1"/>
        </w:rPr>
        <w:t xml:space="preserve">Typha australis, Phragmites </w:t>
      </w:r>
      <w:proofErr w:type="spellStart"/>
      <w:r w:rsidRPr="00260790">
        <w:rPr>
          <w:rFonts w:ascii="Times New Roman" w:hAnsi="Times New Roman"/>
          <w:bCs/>
          <w:i/>
          <w:iCs/>
          <w:color w:val="000000" w:themeColor="text1"/>
        </w:rPr>
        <w:t>sp</w:t>
      </w:r>
      <w:proofErr w:type="spellEnd"/>
      <w:r w:rsidRPr="00260790">
        <w:rPr>
          <w:rFonts w:ascii="Times New Roman" w:hAnsi="Times New Roman"/>
          <w:bCs/>
          <w:i/>
          <w:iCs/>
          <w:color w:val="000000" w:themeColor="text1"/>
        </w:rPr>
        <w:t xml:space="preserve">., </w:t>
      </w:r>
      <w:proofErr w:type="spellStart"/>
      <w:r w:rsidRPr="00260790">
        <w:rPr>
          <w:rFonts w:ascii="Times New Roman" w:hAnsi="Times New Roman"/>
          <w:bCs/>
          <w:i/>
          <w:iCs/>
          <w:color w:val="000000" w:themeColor="text1"/>
        </w:rPr>
        <w:t>Nymphea</w:t>
      </w:r>
      <w:proofErr w:type="spellEnd"/>
      <w:r w:rsidRPr="00260790">
        <w:rPr>
          <w:rFonts w:ascii="Times New Roman" w:hAnsi="Times New Roman"/>
          <w:bCs/>
          <w:i/>
          <w:iCs/>
          <w:color w:val="000000" w:themeColor="text1"/>
        </w:rPr>
        <w:t xml:space="preserve"> lotus</w:t>
      </w:r>
      <w:r w:rsidRPr="00260790">
        <w:rPr>
          <w:rFonts w:ascii="Times New Roman" w:hAnsi="Times New Roman"/>
          <w:bCs/>
          <w:color w:val="000000" w:themeColor="text1"/>
        </w:rPr>
        <w:t>…) dans les collecteurs à ciel ouvert et les bassins. Une telle situation réduira la capacité des bassins et hypothéquera par conséquent la durabilité du projet.</w:t>
      </w:r>
    </w:p>
    <w:p w14:paraId="03E6385D" w14:textId="77777777" w:rsidR="00DE241D" w:rsidRPr="00260790" w:rsidRDefault="00DE241D" w:rsidP="00E20250">
      <w:pPr>
        <w:spacing w:line="240" w:lineRule="auto"/>
        <w:jc w:val="both"/>
        <w:rPr>
          <w:rFonts w:ascii="Times New Roman" w:hAnsi="Times New Roman"/>
          <w:bCs/>
          <w:color w:val="000000" w:themeColor="text1"/>
        </w:rPr>
      </w:pPr>
      <w:r w:rsidRPr="00260790">
        <w:rPr>
          <w:rFonts w:ascii="Times New Roman" w:hAnsi="Times New Roman"/>
          <w:bCs/>
          <w:color w:val="000000" w:themeColor="text1"/>
        </w:rPr>
        <w:t>Ci-dessous le résumé de l’analyse du risque</w:t>
      </w:r>
      <w:r w:rsidRPr="00260790">
        <w:rPr>
          <w:rFonts w:ascii="Times New Roman" w:hAnsi="Times New Roman"/>
          <w:b/>
          <w:i/>
          <w:iCs/>
          <w:color w:val="000000" w:themeColor="text1"/>
        </w:rPr>
        <w:t xml:space="preserve"> </w:t>
      </w:r>
      <w:r w:rsidRPr="00260790">
        <w:rPr>
          <w:rFonts w:ascii="Times New Roman" w:hAnsi="Times New Roman"/>
          <w:bCs/>
          <w:color w:val="000000" w:themeColor="text1"/>
        </w:rPr>
        <w:t>de prolifération de plantes aquatiques dans les bassins, les collecteurs à ciel ouvert et l’exutoire.</w:t>
      </w:r>
    </w:p>
    <w:p w14:paraId="320CFAF6" w14:textId="561D1D2E" w:rsidR="00DE241D" w:rsidRPr="00260790" w:rsidRDefault="00DE241D" w:rsidP="00E20250">
      <w:pPr>
        <w:pStyle w:val="Lgende"/>
        <w:spacing w:line="240" w:lineRule="auto"/>
        <w:rPr>
          <w:bCs/>
          <w:color w:val="000000" w:themeColor="text1"/>
          <w:sz w:val="22"/>
          <w:szCs w:val="22"/>
        </w:rPr>
      </w:pPr>
      <w:bookmarkStart w:id="658" w:name="_Toc207781913"/>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72</w:t>
      </w:r>
      <w:r w:rsidRPr="00260790">
        <w:rPr>
          <w:color w:val="000000" w:themeColor="text1"/>
          <w:sz w:val="22"/>
          <w:szCs w:val="22"/>
        </w:rPr>
        <w:fldChar w:fldCharType="end"/>
      </w:r>
      <w:r w:rsidRPr="00260790">
        <w:rPr>
          <w:color w:val="000000" w:themeColor="text1"/>
          <w:sz w:val="22"/>
          <w:szCs w:val="22"/>
        </w:rPr>
        <w:t> : résumé de l’analyse du risque de prolifération de plantes aquatiques dans les bassins, les collecteurs à ciel ouvert et l’exutoire</w:t>
      </w:r>
      <w:bookmarkEnd w:id="658"/>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0"/>
        <w:gridCol w:w="1740"/>
        <w:gridCol w:w="1326"/>
        <w:gridCol w:w="930"/>
        <w:gridCol w:w="1060"/>
        <w:gridCol w:w="2444"/>
      </w:tblGrid>
      <w:tr w:rsidR="00BD1A2F" w:rsidRPr="009B46E2" w14:paraId="4469A3EB" w14:textId="77777777" w:rsidTr="003A0E4A">
        <w:trPr>
          <w:trHeight w:val="230"/>
        </w:trPr>
        <w:tc>
          <w:tcPr>
            <w:tcW w:w="5000" w:type="pct"/>
            <w:gridSpan w:val="6"/>
            <w:shd w:val="clear" w:color="auto" w:fill="D9E2F3" w:themeFill="accent5" w:themeFillTint="33"/>
          </w:tcPr>
          <w:p w14:paraId="37048B88" w14:textId="77777777" w:rsidR="00DE241D" w:rsidRPr="0097258B" w:rsidRDefault="00DE241D" w:rsidP="00E20250">
            <w:pPr>
              <w:spacing w:line="240" w:lineRule="auto"/>
              <w:ind w:left="57" w:right="57"/>
              <w:jc w:val="both"/>
              <w:rPr>
                <w:rFonts w:ascii="Times New Roman" w:hAnsi="Times New Roman"/>
                <w:b/>
                <w:i/>
                <w:iCs/>
                <w:color w:val="000000" w:themeColor="text1"/>
                <w:sz w:val="20"/>
                <w:szCs w:val="20"/>
                <w:lang w:val="fr-FR"/>
              </w:rPr>
            </w:pPr>
            <w:r w:rsidRPr="00301AF6">
              <w:rPr>
                <w:rFonts w:ascii="Times New Roman" w:hAnsi="Times New Roman"/>
                <w:b/>
                <w:i/>
                <w:iCs/>
                <w:color w:val="000000" w:themeColor="text1"/>
                <w:sz w:val="20"/>
                <w:szCs w:val="20"/>
                <w:lang w:val="fr-FR"/>
              </w:rPr>
              <w:t>RI-27. Risque de prolifération de plantes aquatiques dans les bassins, les collecteurs à ciel ouvert et l’exutoire</w:t>
            </w:r>
          </w:p>
        </w:tc>
      </w:tr>
      <w:tr w:rsidR="00BD1A2F" w:rsidRPr="009B46E2" w14:paraId="6D6207EB" w14:textId="77777777" w:rsidTr="003A0E4A">
        <w:trPr>
          <w:trHeight w:val="230"/>
        </w:trPr>
        <w:tc>
          <w:tcPr>
            <w:tcW w:w="5000" w:type="pct"/>
            <w:gridSpan w:val="6"/>
          </w:tcPr>
          <w:p w14:paraId="23C23B1A"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b/>
                <w:bCs/>
                <w:color w:val="000000" w:themeColor="text1"/>
                <w:sz w:val="20"/>
                <w:szCs w:val="20"/>
                <w:lang w:val="fr-FR"/>
              </w:rPr>
              <w:t>Activités :</w:t>
            </w:r>
            <w:r w:rsidRPr="00301AF6">
              <w:rPr>
                <w:rFonts w:ascii="Times New Roman" w:hAnsi="Times New Roman" w:cs="Times New Roman"/>
                <w:color w:val="000000" w:themeColor="text1"/>
                <w:sz w:val="20"/>
                <w:szCs w:val="20"/>
                <w:lang w:val="fr-FR"/>
              </w:rPr>
              <w:t xml:space="preserve"> Fonctionnement des </w:t>
            </w:r>
            <w:r w:rsidRPr="00301AF6">
              <w:rPr>
                <w:rFonts w:ascii="Times New Roman" w:hAnsi="Times New Roman" w:cs="Times New Roman"/>
                <w:bCs/>
                <w:color w:val="000000" w:themeColor="text1"/>
                <w:sz w:val="20"/>
                <w:szCs w:val="20"/>
                <w:lang w:val="fr-FR"/>
              </w:rPr>
              <w:t>bassins, collecteurs à ciel ouvert et exutoire</w:t>
            </w:r>
          </w:p>
        </w:tc>
      </w:tr>
      <w:tr w:rsidR="00BD1A2F" w:rsidRPr="009B46E2" w14:paraId="66392DA7" w14:textId="77777777" w:rsidTr="003A0E4A">
        <w:trPr>
          <w:trHeight w:val="230"/>
        </w:trPr>
        <w:tc>
          <w:tcPr>
            <w:tcW w:w="861" w:type="pct"/>
          </w:tcPr>
          <w:p w14:paraId="64D6BA68"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960" w:type="pct"/>
          </w:tcPr>
          <w:p w14:paraId="1CBA0153"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initial</w:t>
            </w:r>
          </w:p>
        </w:tc>
        <w:tc>
          <w:tcPr>
            <w:tcW w:w="732" w:type="pct"/>
          </w:tcPr>
          <w:p w14:paraId="26D182F4"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13" w:type="pct"/>
          </w:tcPr>
          <w:p w14:paraId="4E998E27"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85" w:type="pct"/>
          </w:tcPr>
          <w:p w14:paraId="73EF3AE4"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349" w:type="pct"/>
          </w:tcPr>
          <w:p w14:paraId="3BB33D08"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p>
        </w:tc>
      </w:tr>
      <w:tr w:rsidR="00BD1A2F" w:rsidRPr="009B46E2" w14:paraId="0697A741" w14:textId="77777777" w:rsidTr="003A0E4A">
        <w:trPr>
          <w:trHeight w:val="330"/>
        </w:trPr>
        <w:tc>
          <w:tcPr>
            <w:tcW w:w="861" w:type="pct"/>
          </w:tcPr>
          <w:p w14:paraId="3A994007"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Avant </w:t>
            </w:r>
            <w:proofErr w:type="spellStart"/>
            <w:r w:rsidRPr="0097258B">
              <w:rPr>
                <w:rFonts w:ascii="Times New Roman" w:hAnsi="Times New Roman" w:cs="Times New Roman"/>
                <w:color w:val="000000" w:themeColor="text1"/>
                <w:sz w:val="20"/>
                <w:szCs w:val="20"/>
              </w:rPr>
              <w:t>prévention</w:t>
            </w:r>
            <w:proofErr w:type="spellEnd"/>
          </w:p>
        </w:tc>
        <w:tc>
          <w:tcPr>
            <w:tcW w:w="960" w:type="pct"/>
          </w:tcPr>
          <w:p w14:paraId="243A16A6" w14:textId="47CE0B53" w:rsidR="00DE241D" w:rsidRPr="0097258B" w:rsidRDefault="00331261"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Prolifération de plantes aquatiques</w:t>
            </w:r>
            <w:r w:rsidRPr="00301AF6">
              <w:rPr>
                <w:rFonts w:ascii="Times New Roman" w:hAnsi="Times New Roman"/>
                <w:b/>
                <w:i/>
                <w:iCs/>
                <w:color w:val="000000" w:themeColor="text1"/>
                <w:sz w:val="20"/>
                <w:szCs w:val="20"/>
                <w:lang w:val="fr-FR"/>
              </w:rPr>
              <w:t xml:space="preserve"> </w:t>
            </w:r>
            <w:r w:rsidRPr="00301AF6">
              <w:rPr>
                <w:rFonts w:ascii="Times New Roman" w:hAnsi="Times New Roman"/>
                <w:bCs/>
                <w:color w:val="000000" w:themeColor="text1"/>
                <w:sz w:val="20"/>
                <w:szCs w:val="20"/>
                <w:lang w:val="fr-FR"/>
              </w:rPr>
              <w:t>par</w:t>
            </w:r>
            <w:r w:rsidRPr="00301AF6">
              <w:rPr>
                <w:rFonts w:ascii="Times New Roman" w:hAnsi="Times New Roman"/>
                <w:b/>
                <w:i/>
                <w:iCs/>
                <w:color w:val="000000" w:themeColor="text1"/>
                <w:sz w:val="20"/>
                <w:szCs w:val="20"/>
                <w:lang w:val="fr-FR"/>
              </w:rPr>
              <w:t xml:space="preserve"> </w:t>
            </w:r>
            <w:r w:rsidRPr="00301AF6">
              <w:rPr>
                <w:rFonts w:ascii="Times New Roman" w:hAnsi="Times New Roman" w:cs="Times New Roman"/>
                <w:color w:val="000000" w:themeColor="text1"/>
                <w:sz w:val="20"/>
                <w:szCs w:val="20"/>
                <w:lang w:val="fr-FR"/>
              </w:rPr>
              <w:t>d</w:t>
            </w:r>
            <w:r w:rsidR="00DE241D" w:rsidRPr="00301AF6">
              <w:rPr>
                <w:rFonts w:ascii="Times New Roman" w:hAnsi="Times New Roman" w:cs="Times New Roman"/>
                <w:color w:val="000000" w:themeColor="text1"/>
                <w:sz w:val="20"/>
                <w:szCs w:val="20"/>
                <w:lang w:val="fr-FR"/>
              </w:rPr>
              <w:t xml:space="preserve">éfaut d’entretien des </w:t>
            </w:r>
            <w:r w:rsidRPr="00301AF6">
              <w:rPr>
                <w:rFonts w:ascii="Times New Roman" w:hAnsi="Times New Roman" w:cs="Times New Roman"/>
                <w:color w:val="000000" w:themeColor="text1"/>
                <w:sz w:val="20"/>
                <w:szCs w:val="20"/>
                <w:lang w:val="fr-FR"/>
              </w:rPr>
              <w:t>ouvrages</w:t>
            </w:r>
          </w:p>
        </w:tc>
        <w:tc>
          <w:tcPr>
            <w:tcW w:w="732" w:type="pct"/>
            <w:vAlign w:val="center"/>
          </w:tcPr>
          <w:p w14:paraId="6383AA6E"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w:t>
            </w:r>
          </w:p>
        </w:tc>
        <w:tc>
          <w:tcPr>
            <w:tcW w:w="513" w:type="pct"/>
            <w:vAlign w:val="center"/>
          </w:tcPr>
          <w:p w14:paraId="4D2E2CC8"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w:t>
            </w:r>
          </w:p>
        </w:tc>
        <w:tc>
          <w:tcPr>
            <w:tcW w:w="585" w:type="pct"/>
            <w:shd w:val="clear" w:color="auto" w:fill="FF0000"/>
            <w:vAlign w:val="center"/>
          </w:tcPr>
          <w:p w14:paraId="7F78C0EE"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33</w:t>
            </w:r>
          </w:p>
        </w:tc>
        <w:tc>
          <w:tcPr>
            <w:tcW w:w="1349" w:type="pct"/>
          </w:tcPr>
          <w:p w14:paraId="568E6737"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Diminution de la capacité des bassins ;</w:t>
            </w:r>
          </w:p>
          <w:p w14:paraId="301A9374" w14:textId="57ECBC35" w:rsidR="00DE241D" w:rsidRPr="0097258B" w:rsidRDefault="00AB5509"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É</w:t>
            </w:r>
            <w:r w:rsidR="00DE241D" w:rsidRPr="0097258B">
              <w:rPr>
                <w:rFonts w:ascii="Times New Roman" w:hAnsi="Times New Roman" w:cs="Times New Roman"/>
                <w:color w:val="000000" w:themeColor="text1"/>
                <w:sz w:val="20"/>
                <w:szCs w:val="20"/>
              </w:rPr>
              <w:t>chec</w:t>
            </w:r>
            <w:proofErr w:type="spellEnd"/>
            <w:r w:rsidR="00DE241D" w:rsidRPr="0097258B">
              <w:rPr>
                <w:rFonts w:ascii="Times New Roman" w:hAnsi="Times New Roman" w:cs="Times New Roman"/>
                <w:color w:val="000000" w:themeColor="text1"/>
                <w:sz w:val="20"/>
                <w:szCs w:val="20"/>
              </w:rPr>
              <w:t xml:space="preserve"> du </w:t>
            </w:r>
            <w:proofErr w:type="spellStart"/>
            <w:r w:rsidR="00DE241D" w:rsidRPr="0097258B">
              <w:rPr>
                <w:rFonts w:ascii="Times New Roman" w:hAnsi="Times New Roman" w:cs="Times New Roman"/>
                <w:color w:val="000000" w:themeColor="text1"/>
                <w:sz w:val="20"/>
                <w:szCs w:val="20"/>
              </w:rPr>
              <w:t>projet</w:t>
            </w:r>
            <w:proofErr w:type="spellEnd"/>
          </w:p>
        </w:tc>
      </w:tr>
      <w:tr w:rsidR="00BD1A2F" w:rsidRPr="009B46E2" w14:paraId="636365A4" w14:textId="77777777" w:rsidTr="003A0E4A">
        <w:trPr>
          <w:trHeight w:val="132"/>
        </w:trPr>
        <w:tc>
          <w:tcPr>
            <w:tcW w:w="861" w:type="pct"/>
          </w:tcPr>
          <w:p w14:paraId="02F8217D"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prévention</w:t>
            </w:r>
            <w:proofErr w:type="spellEnd"/>
          </w:p>
        </w:tc>
        <w:tc>
          <w:tcPr>
            <w:tcW w:w="4139" w:type="pct"/>
            <w:gridSpan w:val="5"/>
          </w:tcPr>
          <w:p w14:paraId="042966B8"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Procéder à des entretiens pré hivernal réguliers des bassins ;</w:t>
            </w:r>
          </w:p>
          <w:p w14:paraId="43565E10"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Mettre en place un comité local de suivi périodique du développement des plantes aquatiques dans les bassins</w:t>
            </w:r>
          </w:p>
        </w:tc>
      </w:tr>
      <w:tr w:rsidR="00BD1A2F" w:rsidRPr="009B46E2" w14:paraId="5F0D26CD" w14:textId="77777777" w:rsidTr="003A0E4A">
        <w:trPr>
          <w:trHeight w:val="230"/>
        </w:trPr>
        <w:tc>
          <w:tcPr>
            <w:tcW w:w="861" w:type="pct"/>
          </w:tcPr>
          <w:p w14:paraId="773F2D53"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960" w:type="pct"/>
          </w:tcPr>
          <w:p w14:paraId="4DBAC6CE"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final</w:t>
            </w:r>
          </w:p>
        </w:tc>
        <w:tc>
          <w:tcPr>
            <w:tcW w:w="732" w:type="pct"/>
          </w:tcPr>
          <w:p w14:paraId="1169BE35"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13" w:type="pct"/>
          </w:tcPr>
          <w:p w14:paraId="20B2A3EA"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85" w:type="pct"/>
          </w:tcPr>
          <w:p w14:paraId="00470561"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349" w:type="pct"/>
          </w:tcPr>
          <w:p w14:paraId="3FA604A6"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r w:rsidRPr="0097258B">
              <w:rPr>
                <w:rFonts w:ascii="Times New Roman" w:hAnsi="Times New Roman" w:cs="Times New Roman"/>
                <w:b/>
                <w:bCs/>
                <w:color w:val="000000" w:themeColor="text1"/>
                <w:sz w:val="20"/>
                <w:szCs w:val="20"/>
              </w:rPr>
              <w:t xml:space="preserve"> </w:t>
            </w:r>
            <w:proofErr w:type="spellStart"/>
            <w:r w:rsidRPr="0097258B">
              <w:rPr>
                <w:rFonts w:ascii="Times New Roman" w:hAnsi="Times New Roman" w:cs="Times New Roman"/>
                <w:b/>
                <w:bCs/>
                <w:color w:val="000000" w:themeColor="text1"/>
                <w:sz w:val="20"/>
                <w:szCs w:val="20"/>
              </w:rPr>
              <w:t>résiduel</w:t>
            </w:r>
            <w:proofErr w:type="spellEnd"/>
          </w:p>
        </w:tc>
      </w:tr>
      <w:tr w:rsidR="00BD1A2F" w:rsidRPr="009B46E2" w14:paraId="4A524CA2" w14:textId="77777777" w:rsidTr="003A0E4A">
        <w:trPr>
          <w:trHeight w:val="458"/>
        </w:trPr>
        <w:tc>
          <w:tcPr>
            <w:tcW w:w="861" w:type="pct"/>
          </w:tcPr>
          <w:p w14:paraId="16966E2D"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Après </w:t>
            </w:r>
            <w:proofErr w:type="spellStart"/>
            <w:r w:rsidRPr="0097258B">
              <w:rPr>
                <w:rFonts w:ascii="Times New Roman" w:hAnsi="Times New Roman" w:cs="Times New Roman"/>
                <w:color w:val="000000" w:themeColor="text1"/>
                <w:sz w:val="20"/>
                <w:szCs w:val="20"/>
              </w:rPr>
              <w:t>prévention</w:t>
            </w:r>
            <w:proofErr w:type="spellEnd"/>
          </w:p>
        </w:tc>
        <w:tc>
          <w:tcPr>
            <w:tcW w:w="960" w:type="pct"/>
          </w:tcPr>
          <w:p w14:paraId="240D76D0" w14:textId="46955847" w:rsidR="00DE241D" w:rsidRPr="0097258B" w:rsidRDefault="00EC004C"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Assainissement</w:t>
            </w:r>
            <w:proofErr w:type="spellEnd"/>
            <w:r w:rsidRPr="0097258B">
              <w:rPr>
                <w:rFonts w:ascii="Times New Roman" w:hAnsi="Times New Roman" w:cs="Times New Roman"/>
                <w:color w:val="000000" w:themeColor="text1"/>
                <w:sz w:val="20"/>
                <w:szCs w:val="20"/>
              </w:rPr>
              <w:t xml:space="preserve"> des </w:t>
            </w:r>
            <w:proofErr w:type="spellStart"/>
            <w:r w:rsidRPr="0097258B">
              <w:rPr>
                <w:rFonts w:ascii="Times New Roman" w:hAnsi="Times New Roman" w:cs="Times New Roman"/>
                <w:color w:val="000000" w:themeColor="text1"/>
                <w:sz w:val="20"/>
                <w:szCs w:val="20"/>
              </w:rPr>
              <w:t>oouvrages</w:t>
            </w:r>
            <w:proofErr w:type="spellEnd"/>
          </w:p>
        </w:tc>
        <w:tc>
          <w:tcPr>
            <w:tcW w:w="732" w:type="pct"/>
          </w:tcPr>
          <w:p w14:paraId="3393C176"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13" w:type="pct"/>
          </w:tcPr>
          <w:p w14:paraId="467192AD"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85" w:type="pct"/>
            <w:shd w:val="clear" w:color="auto" w:fill="A8D08D" w:themeFill="accent6" w:themeFillTint="99"/>
          </w:tcPr>
          <w:p w14:paraId="0E14C347"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12</w:t>
            </w:r>
          </w:p>
        </w:tc>
        <w:tc>
          <w:tcPr>
            <w:tcW w:w="1349" w:type="pct"/>
          </w:tcPr>
          <w:p w14:paraId="4D9438C2" w14:textId="6A686F8F" w:rsidR="00DE241D" w:rsidRPr="0097258B" w:rsidRDefault="00D756BE"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fonctionnement</w:t>
            </w:r>
            <w:proofErr w:type="spellEnd"/>
            <w:r w:rsidRPr="0097258B">
              <w:rPr>
                <w:rFonts w:ascii="Times New Roman" w:hAnsi="Times New Roman" w:cs="Times New Roman"/>
                <w:color w:val="000000" w:themeColor="text1"/>
                <w:sz w:val="20"/>
                <w:szCs w:val="20"/>
              </w:rPr>
              <w:t xml:space="preserve"> des </w:t>
            </w:r>
            <w:proofErr w:type="spellStart"/>
            <w:r w:rsidRPr="0097258B">
              <w:rPr>
                <w:rFonts w:ascii="Times New Roman" w:hAnsi="Times New Roman" w:cs="Times New Roman"/>
                <w:color w:val="000000" w:themeColor="text1"/>
                <w:sz w:val="20"/>
                <w:szCs w:val="20"/>
              </w:rPr>
              <w:t>ouvrages</w:t>
            </w:r>
            <w:proofErr w:type="spellEnd"/>
            <w:r w:rsidR="00DE241D" w:rsidRPr="0097258B">
              <w:rPr>
                <w:rFonts w:ascii="Times New Roman" w:hAnsi="Times New Roman" w:cs="Times New Roman"/>
                <w:color w:val="000000" w:themeColor="text1"/>
                <w:sz w:val="20"/>
                <w:szCs w:val="20"/>
              </w:rPr>
              <w:t> </w:t>
            </w:r>
          </w:p>
        </w:tc>
      </w:tr>
    </w:tbl>
    <w:p w14:paraId="5252BABE" w14:textId="77777777" w:rsidR="00DE241D" w:rsidRPr="00260790" w:rsidRDefault="00DE241D" w:rsidP="00F83414">
      <w:pPr>
        <w:spacing w:after="0" w:line="240" w:lineRule="auto"/>
        <w:jc w:val="both"/>
        <w:rPr>
          <w:rFonts w:ascii="Times New Roman" w:hAnsi="Times New Roman"/>
          <w:color w:val="000000" w:themeColor="text1"/>
        </w:rPr>
      </w:pPr>
    </w:p>
    <w:p w14:paraId="4AD2E756" w14:textId="77777777" w:rsidR="00DE241D" w:rsidRPr="00260790" w:rsidRDefault="00DE241D" w:rsidP="001748C6">
      <w:pPr>
        <w:pStyle w:val="Paragraphedeliste"/>
        <w:numPr>
          <w:ilvl w:val="0"/>
          <w:numId w:val="329"/>
        </w:numPr>
        <w:spacing w:after="0"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RI-28. Risque de prolifération d’animaux nuisibles dans les bassins, les collecteurs à ciel ouvert et l’exutoire</w:t>
      </w:r>
    </w:p>
    <w:p w14:paraId="18019FB1" w14:textId="2FFD17D8"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fonctionnement des bassins, </w:t>
      </w:r>
      <w:r w:rsidRPr="00260790">
        <w:rPr>
          <w:rFonts w:ascii="Times New Roman" w:hAnsi="Times New Roman"/>
          <w:bCs/>
          <w:color w:val="000000" w:themeColor="text1"/>
        </w:rPr>
        <w:t>collecteur</w:t>
      </w:r>
      <w:r w:rsidR="00AB5509" w:rsidRPr="00260790">
        <w:rPr>
          <w:rFonts w:ascii="Times New Roman" w:hAnsi="Times New Roman"/>
          <w:bCs/>
          <w:color w:val="000000" w:themeColor="text1"/>
        </w:rPr>
        <w:t>s</w:t>
      </w:r>
      <w:r w:rsidRPr="00260790">
        <w:rPr>
          <w:rFonts w:ascii="Times New Roman" w:hAnsi="Times New Roman"/>
          <w:bCs/>
          <w:color w:val="000000" w:themeColor="text1"/>
        </w:rPr>
        <w:t xml:space="preserve"> à ciel ouvert et exutoire</w:t>
      </w:r>
      <w:r w:rsidRPr="00260790">
        <w:rPr>
          <w:rFonts w:ascii="Times New Roman" w:hAnsi="Times New Roman"/>
          <w:color w:val="000000" w:themeColor="text1"/>
        </w:rPr>
        <w:t xml:space="preserve"> comporte un risque élevé de prolifération des moustiques dont les larves se développent en milieu aquatique. Un éventuel envahissement des bassins pour les plantes aquatiques pourrait également résulter en leur colonisation par les reptiles (varans, boas…).</w:t>
      </w:r>
    </w:p>
    <w:p w14:paraId="11580DCA" w14:textId="77777777" w:rsidR="00DE241D" w:rsidRPr="00260790" w:rsidRDefault="00DE241D" w:rsidP="00E20250">
      <w:pPr>
        <w:spacing w:line="240" w:lineRule="auto"/>
        <w:jc w:val="both"/>
        <w:rPr>
          <w:rFonts w:ascii="Times New Roman" w:hAnsi="Times New Roman"/>
          <w:b/>
          <w:bCs/>
          <w:i/>
          <w:iCs/>
          <w:color w:val="000000" w:themeColor="text1"/>
        </w:rPr>
      </w:pPr>
      <w:r w:rsidRPr="00260790">
        <w:rPr>
          <w:rFonts w:ascii="Times New Roman" w:hAnsi="Times New Roman"/>
          <w:color w:val="000000" w:themeColor="text1"/>
        </w:rPr>
        <w:t>Ci-dessous le résumé de l’analyse de risque de prolifération d’animaux nuisibles dans les bassins, les collecteurs à ciel ouvert et l’exutoire.</w:t>
      </w:r>
    </w:p>
    <w:p w14:paraId="7A15B29B" w14:textId="15C87927" w:rsidR="00DE241D" w:rsidRPr="00260790" w:rsidRDefault="00DE241D" w:rsidP="00E20250">
      <w:pPr>
        <w:pStyle w:val="Lgende"/>
        <w:spacing w:line="240" w:lineRule="auto"/>
        <w:rPr>
          <w:color w:val="000000" w:themeColor="text1"/>
          <w:sz w:val="22"/>
          <w:szCs w:val="22"/>
        </w:rPr>
      </w:pPr>
      <w:bookmarkStart w:id="659" w:name="_Toc207781914"/>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73</w:t>
      </w:r>
      <w:r w:rsidRPr="00260790">
        <w:rPr>
          <w:color w:val="000000" w:themeColor="text1"/>
          <w:sz w:val="22"/>
          <w:szCs w:val="22"/>
        </w:rPr>
        <w:fldChar w:fldCharType="end"/>
      </w:r>
      <w:r w:rsidRPr="00260790">
        <w:rPr>
          <w:color w:val="000000" w:themeColor="text1"/>
          <w:sz w:val="22"/>
          <w:szCs w:val="22"/>
        </w:rPr>
        <w:t> : résumé de l’analyse de risque de prolifération d’animaux nuisibles dans les bassins, les collecteurs à ciel ouvert et l’exutoire</w:t>
      </w:r>
      <w:bookmarkEnd w:id="659"/>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88"/>
        <w:gridCol w:w="1486"/>
        <w:gridCol w:w="1334"/>
        <w:gridCol w:w="971"/>
        <w:gridCol w:w="1125"/>
        <w:gridCol w:w="2656"/>
      </w:tblGrid>
      <w:tr w:rsidR="00BD1A2F" w:rsidRPr="009B46E2" w14:paraId="0310C185" w14:textId="77777777" w:rsidTr="003A0E4A">
        <w:trPr>
          <w:trHeight w:val="230"/>
        </w:trPr>
        <w:tc>
          <w:tcPr>
            <w:tcW w:w="5000" w:type="pct"/>
            <w:gridSpan w:val="6"/>
            <w:shd w:val="clear" w:color="auto" w:fill="D9E2F3" w:themeFill="accent5" w:themeFillTint="33"/>
          </w:tcPr>
          <w:p w14:paraId="2D71D54D" w14:textId="77777777" w:rsidR="00DE241D" w:rsidRPr="0097258B" w:rsidRDefault="00DE241D" w:rsidP="00E20250">
            <w:pPr>
              <w:spacing w:line="240" w:lineRule="auto"/>
              <w:ind w:left="57" w:right="57"/>
              <w:jc w:val="both"/>
              <w:rPr>
                <w:rFonts w:ascii="Times New Roman" w:hAnsi="Times New Roman"/>
                <w:b/>
                <w:bCs/>
                <w:color w:val="000000" w:themeColor="text1"/>
                <w:sz w:val="20"/>
                <w:szCs w:val="20"/>
                <w:lang w:val="fr-FR"/>
              </w:rPr>
            </w:pPr>
            <w:r w:rsidRPr="00301AF6">
              <w:rPr>
                <w:rFonts w:ascii="Times New Roman" w:hAnsi="Times New Roman"/>
                <w:b/>
                <w:bCs/>
                <w:color w:val="000000" w:themeColor="text1"/>
                <w:sz w:val="20"/>
                <w:szCs w:val="20"/>
                <w:lang w:val="fr-FR"/>
              </w:rPr>
              <w:t>RI-28. Risque de prolifération d’animaux nuisibles dans les bassins, les collecteurs à ciel ouvert et l’exutoire</w:t>
            </w:r>
          </w:p>
        </w:tc>
      </w:tr>
      <w:tr w:rsidR="00BD1A2F" w:rsidRPr="009B46E2" w14:paraId="12627101" w14:textId="77777777" w:rsidTr="003A0E4A">
        <w:trPr>
          <w:trHeight w:val="230"/>
        </w:trPr>
        <w:tc>
          <w:tcPr>
            <w:tcW w:w="5000" w:type="pct"/>
            <w:gridSpan w:val="6"/>
          </w:tcPr>
          <w:p w14:paraId="34DCB6ED"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b/>
                <w:bCs/>
                <w:color w:val="000000" w:themeColor="text1"/>
                <w:sz w:val="20"/>
                <w:szCs w:val="20"/>
                <w:lang w:val="fr-FR"/>
              </w:rPr>
              <w:t>Activités :</w:t>
            </w:r>
            <w:r w:rsidRPr="00301AF6">
              <w:rPr>
                <w:rFonts w:ascii="Times New Roman" w:hAnsi="Times New Roman" w:cs="Times New Roman"/>
                <w:color w:val="000000" w:themeColor="text1"/>
                <w:sz w:val="20"/>
                <w:szCs w:val="20"/>
                <w:lang w:val="fr-FR"/>
              </w:rPr>
              <w:t xml:space="preserve"> Fonctionnement des </w:t>
            </w:r>
            <w:r w:rsidRPr="00301AF6">
              <w:rPr>
                <w:rFonts w:ascii="Times New Roman" w:hAnsi="Times New Roman" w:cs="Times New Roman"/>
                <w:bCs/>
                <w:color w:val="000000" w:themeColor="text1"/>
                <w:sz w:val="20"/>
                <w:szCs w:val="20"/>
                <w:lang w:val="fr-FR"/>
              </w:rPr>
              <w:t>bassins, collecteurs à ciel ouvert et exutoire</w:t>
            </w:r>
          </w:p>
        </w:tc>
      </w:tr>
      <w:tr w:rsidR="00BD1A2F" w:rsidRPr="009B46E2" w14:paraId="733538BC" w14:textId="77777777" w:rsidTr="003A0E4A">
        <w:trPr>
          <w:trHeight w:val="230"/>
        </w:trPr>
        <w:tc>
          <w:tcPr>
            <w:tcW w:w="821" w:type="pct"/>
          </w:tcPr>
          <w:p w14:paraId="6595E1BE"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820" w:type="pct"/>
          </w:tcPr>
          <w:p w14:paraId="42022092"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initial</w:t>
            </w:r>
          </w:p>
        </w:tc>
        <w:tc>
          <w:tcPr>
            <w:tcW w:w="736" w:type="pct"/>
          </w:tcPr>
          <w:p w14:paraId="66A8661E"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36" w:type="pct"/>
          </w:tcPr>
          <w:p w14:paraId="65626802"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621" w:type="pct"/>
          </w:tcPr>
          <w:p w14:paraId="0B3D1023"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465" w:type="pct"/>
          </w:tcPr>
          <w:p w14:paraId="40A0C869"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r w:rsidRPr="0097258B">
              <w:rPr>
                <w:rFonts w:ascii="Times New Roman" w:hAnsi="Times New Roman" w:cs="Times New Roman"/>
                <w:b/>
                <w:bCs/>
                <w:color w:val="000000" w:themeColor="text1"/>
                <w:sz w:val="20"/>
                <w:szCs w:val="20"/>
              </w:rPr>
              <w:t xml:space="preserve"> initial </w:t>
            </w:r>
          </w:p>
        </w:tc>
      </w:tr>
      <w:tr w:rsidR="00BD1A2F" w:rsidRPr="009B46E2" w14:paraId="054DBD80" w14:textId="77777777" w:rsidTr="003A0E4A">
        <w:trPr>
          <w:trHeight w:val="271"/>
        </w:trPr>
        <w:tc>
          <w:tcPr>
            <w:tcW w:w="821" w:type="pct"/>
          </w:tcPr>
          <w:p w14:paraId="5BCE8745"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Avant </w:t>
            </w:r>
            <w:proofErr w:type="spellStart"/>
            <w:r w:rsidRPr="0097258B">
              <w:rPr>
                <w:rFonts w:ascii="Times New Roman" w:hAnsi="Times New Roman" w:cs="Times New Roman"/>
                <w:color w:val="000000" w:themeColor="text1"/>
                <w:sz w:val="20"/>
                <w:szCs w:val="20"/>
              </w:rPr>
              <w:t>prévention</w:t>
            </w:r>
            <w:proofErr w:type="spellEnd"/>
          </w:p>
        </w:tc>
        <w:tc>
          <w:tcPr>
            <w:tcW w:w="820" w:type="pct"/>
          </w:tcPr>
          <w:p w14:paraId="1D284F64" w14:textId="438CC400" w:rsidR="00DE241D" w:rsidRPr="0097258B" w:rsidRDefault="00D756BE"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Prolifération d’animaux nuisibles par d</w:t>
            </w:r>
            <w:r w:rsidR="00DE241D" w:rsidRPr="00301AF6">
              <w:rPr>
                <w:rFonts w:ascii="Times New Roman" w:hAnsi="Times New Roman" w:cs="Times New Roman"/>
                <w:color w:val="000000" w:themeColor="text1"/>
                <w:sz w:val="20"/>
                <w:szCs w:val="20"/>
                <w:lang w:val="fr-FR"/>
              </w:rPr>
              <w:t>éfaut d’entretien des ouvrages</w:t>
            </w:r>
          </w:p>
        </w:tc>
        <w:tc>
          <w:tcPr>
            <w:tcW w:w="736" w:type="pct"/>
            <w:vAlign w:val="center"/>
          </w:tcPr>
          <w:p w14:paraId="2E7A6354"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w:t>
            </w:r>
          </w:p>
        </w:tc>
        <w:tc>
          <w:tcPr>
            <w:tcW w:w="536" w:type="pct"/>
            <w:vAlign w:val="center"/>
          </w:tcPr>
          <w:p w14:paraId="2841699B"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w:t>
            </w:r>
          </w:p>
        </w:tc>
        <w:tc>
          <w:tcPr>
            <w:tcW w:w="621" w:type="pct"/>
            <w:shd w:val="clear" w:color="auto" w:fill="FF0000"/>
            <w:vAlign w:val="center"/>
          </w:tcPr>
          <w:p w14:paraId="707D1BD9"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33</w:t>
            </w:r>
          </w:p>
        </w:tc>
        <w:tc>
          <w:tcPr>
            <w:tcW w:w="1465" w:type="pct"/>
          </w:tcPr>
          <w:p w14:paraId="0AA24B0C"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Altération du bien-être des populations par les moustiques ;</w:t>
            </w:r>
          </w:p>
          <w:p w14:paraId="0F25BE8A"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Morbidité des riverains ;</w:t>
            </w:r>
          </w:p>
          <w:p w14:paraId="360B69EF"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Attaques de la volaille par les boas et varans</w:t>
            </w:r>
          </w:p>
          <w:p w14:paraId="6EEBB955"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Psychose chez les riverains ;</w:t>
            </w:r>
          </w:p>
          <w:p w14:paraId="6431E4F8"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Morsures de serpents ;</w:t>
            </w:r>
          </w:p>
          <w:p w14:paraId="6929D7EE"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lastRenderedPageBreak/>
              <w:t>Attaques d’enfants en bas âge par les boas</w:t>
            </w:r>
          </w:p>
        </w:tc>
      </w:tr>
      <w:tr w:rsidR="00BD1A2F" w:rsidRPr="009B46E2" w14:paraId="7C496F94" w14:textId="77777777" w:rsidTr="003A0E4A">
        <w:trPr>
          <w:trHeight w:val="132"/>
        </w:trPr>
        <w:tc>
          <w:tcPr>
            <w:tcW w:w="821" w:type="pct"/>
          </w:tcPr>
          <w:p w14:paraId="126B8A87"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prévention</w:t>
            </w:r>
            <w:proofErr w:type="spellEnd"/>
          </w:p>
        </w:tc>
        <w:tc>
          <w:tcPr>
            <w:tcW w:w="4179" w:type="pct"/>
            <w:gridSpan w:val="5"/>
          </w:tcPr>
          <w:p w14:paraId="42AE2B45" w14:textId="77777777" w:rsidR="00DE241D" w:rsidRPr="0097258B" w:rsidRDefault="00DE241D" w:rsidP="001748C6">
            <w:pPr>
              <w:pStyle w:val="Default"/>
              <w:numPr>
                <w:ilvl w:val="0"/>
                <w:numId w:val="315"/>
              </w:numPr>
              <w:overflowPunct w:val="0"/>
              <w:ind w:left="417" w:right="113"/>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Assurer un entretien régulier des bassins ;</w:t>
            </w:r>
          </w:p>
          <w:p w14:paraId="2EBEC1D2" w14:textId="77777777" w:rsidR="00DE241D" w:rsidRPr="0097258B" w:rsidRDefault="00DE241D" w:rsidP="001748C6">
            <w:pPr>
              <w:pStyle w:val="Default"/>
              <w:numPr>
                <w:ilvl w:val="0"/>
                <w:numId w:val="315"/>
              </w:numPr>
              <w:overflowPunct w:val="0"/>
              <w:ind w:left="417" w:right="113"/>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Procéder à une démoustication biologique régulière des bassins en y introduisant :</w:t>
            </w:r>
          </w:p>
          <w:p w14:paraId="671E6144" w14:textId="1B88841A" w:rsidR="00DE241D" w:rsidRPr="0097258B" w:rsidRDefault="00DE241D" w:rsidP="001748C6">
            <w:pPr>
              <w:pStyle w:val="Paragraphedeliste"/>
              <w:numPr>
                <w:ilvl w:val="1"/>
                <w:numId w:val="315"/>
              </w:numPr>
              <w:tabs>
                <w:tab w:val="left" w:pos="1305"/>
              </w:tabs>
              <w:spacing w:line="240" w:lineRule="auto"/>
              <w:ind w:right="113"/>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Des poissons larvivores comme la gambusie (</w:t>
            </w:r>
            <w:r w:rsidRPr="00301AF6">
              <w:rPr>
                <w:rFonts w:ascii="Times New Roman" w:hAnsi="Times New Roman"/>
                <w:i/>
                <w:color w:val="000000" w:themeColor="text1"/>
                <w:sz w:val="20"/>
                <w:szCs w:val="20"/>
                <w:lang w:val="fr-FR"/>
              </w:rPr>
              <w:t xml:space="preserve">Gambusia </w:t>
            </w:r>
            <w:proofErr w:type="spellStart"/>
            <w:r w:rsidRPr="00301AF6">
              <w:rPr>
                <w:rFonts w:ascii="Times New Roman" w:hAnsi="Times New Roman"/>
                <w:i/>
                <w:color w:val="000000" w:themeColor="text1"/>
                <w:sz w:val="20"/>
                <w:szCs w:val="20"/>
                <w:lang w:val="fr-FR"/>
              </w:rPr>
              <w:t>af</w:t>
            </w:r>
            <w:proofErr w:type="spellEnd"/>
            <w:r w:rsidRPr="0097258B">
              <w:rPr>
                <w:rFonts w:ascii="Times New Roman" w:hAnsi="Times New Roman"/>
                <w:i/>
                <w:color w:val="000000" w:themeColor="text1"/>
                <w:sz w:val="20"/>
                <w:szCs w:val="20"/>
              </w:rPr>
              <w:t>ﬁ</w:t>
            </w:r>
            <w:proofErr w:type="spellStart"/>
            <w:r w:rsidRPr="00301AF6">
              <w:rPr>
                <w:rFonts w:ascii="Times New Roman" w:hAnsi="Times New Roman"/>
                <w:i/>
                <w:color w:val="000000" w:themeColor="text1"/>
                <w:sz w:val="20"/>
                <w:szCs w:val="20"/>
                <w:lang w:val="fr-FR"/>
              </w:rPr>
              <w:t>nis</w:t>
            </w:r>
            <w:proofErr w:type="spellEnd"/>
            <w:r w:rsidRPr="00301AF6">
              <w:rPr>
                <w:rFonts w:ascii="Times New Roman" w:hAnsi="Times New Roman"/>
                <w:color w:val="000000" w:themeColor="text1"/>
                <w:sz w:val="20"/>
                <w:szCs w:val="20"/>
                <w:lang w:val="fr-FR"/>
              </w:rPr>
              <w:t>), le poisson</w:t>
            </w:r>
            <w:r w:rsidR="00260AFC" w:rsidRPr="00301AF6">
              <w:rPr>
                <w:rFonts w:ascii="Times New Roman" w:hAnsi="Times New Roman"/>
                <w:color w:val="000000" w:themeColor="text1"/>
                <w:sz w:val="20"/>
                <w:szCs w:val="20"/>
                <w:lang w:val="fr-FR"/>
              </w:rPr>
              <w:t>-</w:t>
            </w:r>
            <w:r w:rsidRPr="00301AF6">
              <w:rPr>
                <w:rFonts w:ascii="Times New Roman" w:hAnsi="Times New Roman"/>
                <w:color w:val="000000" w:themeColor="text1"/>
                <w:sz w:val="20"/>
                <w:szCs w:val="20"/>
                <w:lang w:val="fr-FR"/>
              </w:rPr>
              <w:t>perle d’Argentine (</w:t>
            </w:r>
            <w:proofErr w:type="spellStart"/>
            <w:r w:rsidRPr="00301AF6">
              <w:rPr>
                <w:rFonts w:ascii="Times New Roman" w:hAnsi="Times New Roman"/>
                <w:i/>
                <w:color w:val="000000" w:themeColor="text1"/>
                <w:sz w:val="20"/>
                <w:szCs w:val="20"/>
                <w:lang w:val="fr-FR"/>
              </w:rPr>
              <w:t>Cynolebias</w:t>
            </w:r>
            <w:proofErr w:type="spellEnd"/>
            <w:r w:rsidRPr="00301AF6">
              <w:rPr>
                <w:rFonts w:ascii="Times New Roman" w:hAnsi="Times New Roman"/>
                <w:i/>
                <w:color w:val="000000" w:themeColor="text1"/>
                <w:sz w:val="20"/>
                <w:szCs w:val="20"/>
                <w:lang w:val="fr-FR"/>
              </w:rPr>
              <w:t xml:space="preserve"> </w:t>
            </w:r>
            <w:proofErr w:type="spellStart"/>
            <w:r w:rsidRPr="00301AF6">
              <w:rPr>
                <w:rFonts w:ascii="Times New Roman" w:hAnsi="Times New Roman"/>
                <w:i/>
                <w:color w:val="000000" w:themeColor="text1"/>
                <w:sz w:val="20"/>
                <w:szCs w:val="20"/>
                <w:lang w:val="fr-FR"/>
              </w:rPr>
              <w:t>bellotii</w:t>
            </w:r>
            <w:proofErr w:type="spellEnd"/>
            <w:r w:rsidRPr="00301AF6">
              <w:rPr>
                <w:rFonts w:ascii="Times New Roman" w:hAnsi="Times New Roman"/>
                <w:color w:val="000000" w:themeColor="text1"/>
                <w:sz w:val="20"/>
                <w:szCs w:val="20"/>
                <w:lang w:val="fr-FR"/>
              </w:rPr>
              <w:t>), le tilapia (</w:t>
            </w:r>
            <w:proofErr w:type="spellStart"/>
            <w:r w:rsidRPr="00301AF6">
              <w:rPr>
                <w:rFonts w:ascii="Times New Roman" w:hAnsi="Times New Roman"/>
                <w:i/>
                <w:color w:val="000000" w:themeColor="text1"/>
                <w:sz w:val="20"/>
                <w:szCs w:val="20"/>
                <w:lang w:val="fr-FR"/>
              </w:rPr>
              <w:t>Oreochromis</w:t>
            </w:r>
            <w:proofErr w:type="spellEnd"/>
            <w:r w:rsidRPr="00301AF6">
              <w:rPr>
                <w:rFonts w:ascii="Times New Roman" w:hAnsi="Times New Roman"/>
                <w:i/>
                <w:color w:val="000000" w:themeColor="text1"/>
                <w:sz w:val="20"/>
                <w:szCs w:val="20"/>
                <w:lang w:val="fr-FR"/>
              </w:rPr>
              <w:t xml:space="preserve"> (Tilapia) </w:t>
            </w:r>
            <w:proofErr w:type="spellStart"/>
            <w:r w:rsidRPr="00301AF6">
              <w:rPr>
                <w:rFonts w:ascii="Times New Roman" w:hAnsi="Times New Roman"/>
                <w:i/>
                <w:color w:val="000000" w:themeColor="text1"/>
                <w:sz w:val="20"/>
                <w:szCs w:val="20"/>
                <w:lang w:val="fr-FR"/>
              </w:rPr>
              <w:t>mossambicus</w:t>
            </w:r>
            <w:proofErr w:type="spellEnd"/>
            <w:r w:rsidRPr="00301AF6">
              <w:rPr>
                <w:rFonts w:ascii="Times New Roman" w:hAnsi="Times New Roman"/>
                <w:i/>
                <w:color w:val="000000" w:themeColor="text1"/>
                <w:sz w:val="20"/>
                <w:szCs w:val="20"/>
                <w:lang w:val="fr-FR"/>
              </w:rPr>
              <w:t>)</w:t>
            </w:r>
            <w:r w:rsidRPr="00301AF6">
              <w:rPr>
                <w:rFonts w:ascii="Times New Roman" w:hAnsi="Times New Roman"/>
                <w:color w:val="000000" w:themeColor="text1"/>
                <w:sz w:val="20"/>
                <w:szCs w:val="20"/>
                <w:lang w:val="fr-FR"/>
              </w:rPr>
              <w:t xml:space="preserve"> …</w:t>
            </w:r>
          </w:p>
          <w:p w14:paraId="13864E97" w14:textId="77777777" w:rsidR="00DE241D" w:rsidRPr="0097258B" w:rsidRDefault="00DE241D" w:rsidP="001748C6">
            <w:pPr>
              <w:pStyle w:val="Paragraphedeliste"/>
              <w:numPr>
                <w:ilvl w:val="1"/>
                <w:numId w:val="315"/>
              </w:numPr>
              <w:tabs>
                <w:tab w:val="left" w:pos="1305"/>
              </w:tabs>
              <w:spacing w:line="240" w:lineRule="auto"/>
              <w:ind w:right="113"/>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 xml:space="preserve">Des moustiques prédateurs du genre </w:t>
            </w:r>
            <w:proofErr w:type="spellStart"/>
            <w:r w:rsidRPr="00301AF6">
              <w:rPr>
                <w:rFonts w:ascii="Times New Roman" w:hAnsi="Times New Roman"/>
                <w:i/>
                <w:color w:val="000000" w:themeColor="text1"/>
                <w:sz w:val="20"/>
                <w:szCs w:val="20"/>
                <w:lang w:val="fr-FR"/>
              </w:rPr>
              <w:t>Toxorhynchites</w:t>
            </w:r>
            <w:proofErr w:type="spellEnd"/>
            <w:r w:rsidRPr="00301AF6">
              <w:rPr>
                <w:rFonts w:ascii="Times New Roman" w:hAnsi="Times New Roman"/>
                <w:color w:val="000000" w:themeColor="text1"/>
                <w:sz w:val="20"/>
                <w:szCs w:val="20"/>
                <w:lang w:val="fr-FR"/>
              </w:rPr>
              <w:t xml:space="preserve">, dont les larves se nourrissent de celles d’autres moustiques ; </w:t>
            </w:r>
          </w:p>
          <w:p w14:paraId="2281A503" w14:textId="77777777" w:rsidR="00DE241D" w:rsidRPr="0097258B" w:rsidRDefault="00DE241D" w:rsidP="001748C6">
            <w:pPr>
              <w:pStyle w:val="Paragraphedeliste"/>
              <w:numPr>
                <w:ilvl w:val="1"/>
                <w:numId w:val="315"/>
              </w:numPr>
              <w:tabs>
                <w:tab w:val="left" w:pos="1305"/>
              </w:tabs>
              <w:spacing w:line="240" w:lineRule="auto"/>
              <w:ind w:right="113"/>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 xml:space="preserve">Des libellules dont les larves se nourrissent de celles des moustiques ; </w:t>
            </w:r>
          </w:p>
          <w:p w14:paraId="62A439BB" w14:textId="77777777" w:rsidR="00DE241D" w:rsidRPr="0097258B" w:rsidRDefault="00DE241D" w:rsidP="001748C6">
            <w:pPr>
              <w:pStyle w:val="Paragraphedeliste"/>
              <w:numPr>
                <w:ilvl w:val="1"/>
                <w:numId w:val="315"/>
              </w:numPr>
              <w:tabs>
                <w:tab w:val="left" w:pos="1305"/>
              </w:tabs>
              <w:spacing w:line="240" w:lineRule="auto"/>
              <w:ind w:right="113"/>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 xml:space="preserve">Des copépodes </w:t>
            </w:r>
            <w:proofErr w:type="spellStart"/>
            <w:r w:rsidRPr="00301AF6">
              <w:rPr>
                <w:rFonts w:ascii="Times New Roman" w:hAnsi="Times New Roman"/>
                <w:color w:val="000000" w:themeColor="text1"/>
                <w:sz w:val="20"/>
                <w:szCs w:val="20"/>
                <w:lang w:val="fr-FR"/>
              </w:rPr>
              <w:t>cyclopoïdes</w:t>
            </w:r>
            <w:proofErr w:type="spellEnd"/>
            <w:r w:rsidRPr="00301AF6">
              <w:rPr>
                <w:rFonts w:ascii="Times New Roman" w:hAnsi="Times New Roman"/>
                <w:color w:val="000000" w:themeColor="text1"/>
                <w:sz w:val="20"/>
                <w:szCs w:val="20"/>
                <w:lang w:val="fr-FR"/>
              </w:rPr>
              <w:t xml:space="preserve"> qui s’attaquent aux larves de moustiques du premier et du deuxième stade ;</w:t>
            </w:r>
          </w:p>
          <w:p w14:paraId="5147AC60" w14:textId="77777777" w:rsidR="00DE241D" w:rsidRPr="0097258B" w:rsidRDefault="00DE241D" w:rsidP="001748C6">
            <w:pPr>
              <w:pStyle w:val="Paragraphedeliste"/>
              <w:numPr>
                <w:ilvl w:val="1"/>
                <w:numId w:val="315"/>
              </w:numPr>
              <w:tabs>
                <w:tab w:val="left" w:pos="1305"/>
              </w:tabs>
              <w:spacing w:line="240" w:lineRule="auto"/>
              <w:ind w:right="113"/>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Des nématodes parasites des larves de moustiques ;</w:t>
            </w:r>
          </w:p>
          <w:p w14:paraId="45ACB8DD" w14:textId="77777777" w:rsidR="00DE241D" w:rsidRPr="0097258B" w:rsidRDefault="00DE241D" w:rsidP="001748C6">
            <w:pPr>
              <w:pStyle w:val="Paragraphedeliste"/>
              <w:numPr>
                <w:ilvl w:val="1"/>
                <w:numId w:val="315"/>
              </w:numPr>
              <w:tabs>
                <w:tab w:val="left" w:pos="1305"/>
              </w:tabs>
              <w:spacing w:line="240" w:lineRule="auto"/>
              <w:ind w:right="113"/>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 xml:space="preserve">Des champignons se développant dans l’organisme des larves de moustiques ;  </w:t>
            </w:r>
          </w:p>
          <w:p w14:paraId="0E3CD5E6" w14:textId="77777777" w:rsidR="00DE241D" w:rsidRPr="0097258B" w:rsidRDefault="00DE241D" w:rsidP="001748C6">
            <w:pPr>
              <w:pStyle w:val="Paragraphedeliste"/>
              <w:numPr>
                <w:ilvl w:val="1"/>
                <w:numId w:val="315"/>
              </w:numPr>
              <w:tabs>
                <w:tab w:val="left" w:pos="1305"/>
              </w:tabs>
              <w:spacing w:line="240" w:lineRule="auto"/>
              <w:ind w:right="113"/>
              <w:jc w:val="both"/>
              <w:rPr>
                <w:rFonts w:ascii="Times New Roman" w:hAnsi="Times New Roman"/>
                <w:color w:val="000000" w:themeColor="text1"/>
                <w:sz w:val="20"/>
                <w:szCs w:val="20"/>
                <w:lang w:val="fr-FR"/>
              </w:rPr>
            </w:pPr>
            <w:r w:rsidRPr="0097258B">
              <w:rPr>
                <w:rFonts w:ascii="Times New Roman" w:hAnsi="Times New Roman"/>
                <w:color w:val="000000" w:themeColor="text1"/>
                <w:sz w:val="20"/>
                <w:szCs w:val="20"/>
              </w:rPr>
              <w:t>Etc.</w:t>
            </w:r>
          </w:p>
          <w:p w14:paraId="387DAD01" w14:textId="77777777" w:rsidR="00DE241D" w:rsidRPr="0097258B" w:rsidRDefault="00DE241D" w:rsidP="001748C6">
            <w:pPr>
              <w:pStyle w:val="Paragraphedeliste"/>
              <w:numPr>
                <w:ilvl w:val="0"/>
                <w:numId w:val="315"/>
              </w:numPr>
              <w:tabs>
                <w:tab w:val="left" w:pos="1305"/>
              </w:tabs>
              <w:spacing w:after="160" w:line="240" w:lineRule="auto"/>
              <w:ind w:left="417" w:right="113"/>
              <w:jc w:val="both"/>
              <w:rPr>
                <w:rFonts w:ascii="Times New Roman" w:hAnsi="Times New Roman"/>
                <w:color w:val="000000" w:themeColor="text1"/>
                <w:sz w:val="20"/>
                <w:szCs w:val="20"/>
                <w:lang w:val="fr-FR"/>
              </w:rPr>
            </w:pPr>
            <w:r w:rsidRPr="00301AF6">
              <w:rPr>
                <w:rFonts w:ascii="Times New Roman" w:eastAsia="Times New Roman" w:hAnsi="Times New Roman"/>
                <w:color w:val="000000" w:themeColor="text1"/>
                <w:sz w:val="20"/>
                <w:szCs w:val="20"/>
                <w:lang w:val="fr-FR" w:eastAsia="fr-FR"/>
              </w:rPr>
              <w:t>S’assurer que ces organismes ne sont pas invasifs et qu’ils ne s’attaquent à la faune</w:t>
            </w:r>
            <w:r w:rsidRPr="00301AF6">
              <w:rPr>
                <w:rFonts w:ascii="Times New Roman" w:hAnsi="Times New Roman"/>
                <w:color w:val="000000" w:themeColor="text1"/>
                <w:sz w:val="20"/>
                <w:szCs w:val="20"/>
                <w:lang w:val="fr-FR"/>
              </w:rPr>
              <w:t xml:space="preserve"> des bassins avant leur introduction</w:t>
            </w:r>
            <w:r w:rsidR="00224D07" w:rsidRPr="00301AF6">
              <w:rPr>
                <w:rFonts w:ascii="Times New Roman" w:hAnsi="Times New Roman"/>
                <w:color w:val="000000" w:themeColor="text1"/>
                <w:sz w:val="20"/>
                <w:szCs w:val="20"/>
                <w:lang w:val="fr-FR"/>
              </w:rPr>
              <w:t> ;</w:t>
            </w:r>
          </w:p>
          <w:p w14:paraId="4EE68357" w14:textId="010ABD5B" w:rsidR="00224D07" w:rsidRPr="0097258B" w:rsidRDefault="00224D07" w:rsidP="001748C6">
            <w:pPr>
              <w:pStyle w:val="Paragraphedeliste"/>
              <w:numPr>
                <w:ilvl w:val="0"/>
                <w:numId w:val="315"/>
              </w:numPr>
              <w:tabs>
                <w:tab w:val="left" w:pos="1305"/>
              </w:tabs>
              <w:spacing w:after="160" w:line="240" w:lineRule="auto"/>
              <w:ind w:left="417" w:right="113"/>
              <w:jc w:val="both"/>
              <w:rPr>
                <w:rFonts w:ascii="Times New Roman" w:hAnsi="Times New Roman"/>
                <w:color w:val="000000" w:themeColor="text1"/>
                <w:sz w:val="20"/>
                <w:szCs w:val="20"/>
                <w:lang w:val="fr-FR"/>
              </w:rPr>
            </w:pPr>
            <w:r w:rsidRPr="00301AF6">
              <w:rPr>
                <w:rFonts w:ascii="Times New Roman" w:eastAsia="Times New Roman" w:hAnsi="Times New Roman"/>
                <w:color w:val="000000" w:themeColor="text1"/>
                <w:sz w:val="20"/>
                <w:szCs w:val="20"/>
                <w:lang w:val="fr-FR" w:eastAsia="fr-FR"/>
              </w:rPr>
              <w:t>Assurer un suivi de la qualité de l’eau</w:t>
            </w:r>
            <w:r w:rsidRPr="0097258B">
              <w:rPr>
                <w:rFonts w:ascii="Times New Roman" w:hAnsi="Times New Roman"/>
                <w:color w:val="000000" w:themeColor="text1"/>
                <w:sz w:val="20"/>
                <w:szCs w:val="20"/>
                <w:lang w:val="fr-SN"/>
              </w:rPr>
              <w:t>.</w:t>
            </w:r>
          </w:p>
        </w:tc>
      </w:tr>
      <w:tr w:rsidR="00BD1A2F" w:rsidRPr="009B46E2" w14:paraId="7845B7D0" w14:textId="77777777" w:rsidTr="003A0E4A">
        <w:trPr>
          <w:trHeight w:val="230"/>
        </w:trPr>
        <w:tc>
          <w:tcPr>
            <w:tcW w:w="821" w:type="pct"/>
          </w:tcPr>
          <w:p w14:paraId="284A6BD7"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820" w:type="pct"/>
          </w:tcPr>
          <w:p w14:paraId="4A17E04F"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final</w:t>
            </w:r>
          </w:p>
        </w:tc>
        <w:tc>
          <w:tcPr>
            <w:tcW w:w="736" w:type="pct"/>
          </w:tcPr>
          <w:p w14:paraId="1105224D"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36" w:type="pct"/>
          </w:tcPr>
          <w:p w14:paraId="0D019128"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621" w:type="pct"/>
          </w:tcPr>
          <w:p w14:paraId="102A7351"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465" w:type="pct"/>
          </w:tcPr>
          <w:p w14:paraId="47969E5A"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r w:rsidRPr="0097258B">
              <w:rPr>
                <w:rFonts w:ascii="Times New Roman" w:hAnsi="Times New Roman" w:cs="Times New Roman"/>
                <w:b/>
                <w:bCs/>
                <w:color w:val="000000" w:themeColor="text1"/>
                <w:sz w:val="20"/>
                <w:szCs w:val="20"/>
              </w:rPr>
              <w:t xml:space="preserve"> </w:t>
            </w:r>
            <w:proofErr w:type="spellStart"/>
            <w:r w:rsidRPr="0097258B">
              <w:rPr>
                <w:rFonts w:ascii="Times New Roman" w:hAnsi="Times New Roman" w:cs="Times New Roman"/>
                <w:b/>
                <w:bCs/>
                <w:color w:val="000000" w:themeColor="text1"/>
                <w:sz w:val="20"/>
                <w:szCs w:val="20"/>
              </w:rPr>
              <w:t>résiduel</w:t>
            </w:r>
            <w:proofErr w:type="spellEnd"/>
          </w:p>
        </w:tc>
      </w:tr>
      <w:tr w:rsidR="00BD1A2F" w:rsidRPr="009B46E2" w14:paraId="487A40CD" w14:textId="77777777" w:rsidTr="003A0E4A">
        <w:trPr>
          <w:trHeight w:val="230"/>
        </w:trPr>
        <w:tc>
          <w:tcPr>
            <w:tcW w:w="821" w:type="pct"/>
          </w:tcPr>
          <w:p w14:paraId="25A98D97"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Après </w:t>
            </w:r>
            <w:proofErr w:type="spellStart"/>
            <w:r w:rsidRPr="0097258B">
              <w:rPr>
                <w:rFonts w:ascii="Times New Roman" w:hAnsi="Times New Roman" w:cs="Times New Roman"/>
                <w:color w:val="000000" w:themeColor="text1"/>
                <w:sz w:val="20"/>
                <w:szCs w:val="20"/>
              </w:rPr>
              <w:t>prévention</w:t>
            </w:r>
            <w:proofErr w:type="spellEnd"/>
          </w:p>
        </w:tc>
        <w:tc>
          <w:tcPr>
            <w:tcW w:w="820" w:type="pct"/>
          </w:tcPr>
          <w:p w14:paraId="74A9AA67" w14:textId="0A4801EE" w:rsidR="00DE241D" w:rsidRPr="0097258B" w:rsidRDefault="00D756BE"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color w:val="000000" w:themeColor="text1"/>
                <w:sz w:val="20"/>
                <w:szCs w:val="20"/>
              </w:rPr>
              <w:t>E</w:t>
            </w:r>
            <w:r w:rsidR="00DE241D" w:rsidRPr="0097258B">
              <w:rPr>
                <w:rFonts w:ascii="Times New Roman" w:hAnsi="Times New Roman" w:cs="Times New Roman"/>
                <w:color w:val="000000" w:themeColor="text1"/>
                <w:sz w:val="20"/>
                <w:szCs w:val="20"/>
              </w:rPr>
              <w:t xml:space="preserve">ntretien des </w:t>
            </w:r>
            <w:proofErr w:type="spellStart"/>
            <w:r w:rsidR="00DE241D" w:rsidRPr="0097258B">
              <w:rPr>
                <w:rFonts w:ascii="Times New Roman" w:hAnsi="Times New Roman" w:cs="Times New Roman"/>
                <w:color w:val="000000" w:themeColor="text1"/>
                <w:sz w:val="20"/>
                <w:szCs w:val="20"/>
              </w:rPr>
              <w:t>ouvrages</w:t>
            </w:r>
            <w:proofErr w:type="spellEnd"/>
          </w:p>
        </w:tc>
        <w:tc>
          <w:tcPr>
            <w:tcW w:w="736" w:type="pct"/>
          </w:tcPr>
          <w:p w14:paraId="2BFB1560"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36" w:type="pct"/>
          </w:tcPr>
          <w:p w14:paraId="5A6FC357"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621" w:type="pct"/>
            <w:shd w:val="clear" w:color="auto" w:fill="92D050"/>
          </w:tcPr>
          <w:p w14:paraId="0CA5B4AE"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11</w:t>
            </w:r>
          </w:p>
        </w:tc>
        <w:tc>
          <w:tcPr>
            <w:tcW w:w="1465" w:type="pct"/>
          </w:tcPr>
          <w:p w14:paraId="4C11230B" w14:textId="077EB758" w:rsidR="00DE241D" w:rsidRPr="0097258B" w:rsidRDefault="00D756BE"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color w:val="000000" w:themeColor="text1"/>
                <w:sz w:val="20"/>
                <w:szCs w:val="20"/>
              </w:rPr>
              <w:t>Assainissement</w:t>
            </w:r>
            <w:proofErr w:type="spellEnd"/>
            <w:r w:rsidRPr="0097258B">
              <w:rPr>
                <w:rFonts w:ascii="Times New Roman" w:hAnsi="Times New Roman" w:cs="Times New Roman"/>
                <w:color w:val="000000" w:themeColor="text1"/>
                <w:sz w:val="20"/>
                <w:szCs w:val="20"/>
              </w:rPr>
              <w:t xml:space="preserve"> des </w:t>
            </w:r>
            <w:proofErr w:type="spellStart"/>
            <w:r w:rsidRPr="0097258B">
              <w:rPr>
                <w:rFonts w:ascii="Times New Roman" w:hAnsi="Times New Roman" w:cs="Times New Roman"/>
                <w:color w:val="000000" w:themeColor="text1"/>
                <w:sz w:val="20"/>
                <w:szCs w:val="20"/>
              </w:rPr>
              <w:t>ouvrages</w:t>
            </w:r>
            <w:proofErr w:type="spellEnd"/>
          </w:p>
        </w:tc>
      </w:tr>
    </w:tbl>
    <w:p w14:paraId="1514D037" w14:textId="77777777" w:rsidR="00DE241D" w:rsidRPr="00260790" w:rsidRDefault="00DE241D" w:rsidP="00F83414">
      <w:pPr>
        <w:spacing w:after="0" w:line="240" w:lineRule="auto"/>
        <w:jc w:val="both"/>
        <w:rPr>
          <w:rFonts w:ascii="Times New Roman" w:hAnsi="Times New Roman"/>
          <w:b/>
          <w:bCs/>
          <w:i/>
          <w:iCs/>
          <w:color w:val="000000" w:themeColor="text1"/>
        </w:rPr>
      </w:pPr>
    </w:p>
    <w:p w14:paraId="5A849C5B" w14:textId="77777777" w:rsidR="00DE241D" w:rsidRPr="00260790" w:rsidRDefault="00DE241D" w:rsidP="001748C6">
      <w:pPr>
        <w:pStyle w:val="Paragraphedeliste"/>
        <w:numPr>
          <w:ilvl w:val="0"/>
          <w:numId w:val="329"/>
        </w:numPr>
        <w:spacing w:after="0"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 xml:space="preserve">RI-29. Risque d’altération du cadre de vie et de défiguration du paysage par des déchets d’entretien des ouvrages </w:t>
      </w:r>
    </w:p>
    <w:p w14:paraId="2C6F28C0"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succès du projet et la durabilité des ouvrages nécessiteront des curages et faucardages réguliers des bassins et de curages pré hivernal des collecteurs. De telles opérations généreront des quantités substantielles de boues et de matière végétale qui devront être gérées avec soin sous peine d’altérer le cadre et de défigurer le paysage. </w:t>
      </w:r>
    </w:p>
    <w:p w14:paraId="3F7B117C"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Ci-dessous, le résumé de l’analyse du risque d’altération du cadre de vie et de défiguration du paysage par des déchets d’entretien des ouvrages</w:t>
      </w:r>
      <w:r w:rsidRPr="00260790">
        <w:rPr>
          <w:rFonts w:ascii="Times New Roman" w:hAnsi="Times New Roman"/>
          <w:b/>
          <w:bCs/>
          <w:i/>
          <w:iCs/>
          <w:color w:val="000000" w:themeColor="text1"/>
        </w:rPr>
        <w:t>.</w:t>
      </w:r>
    </w:p>
    <w:p w14:paraId="6F5AA3AD" w14:textId="0BE03241" w:rsidR="00DE241D" w:rsidRPr="00260790" w:rsidRDefault="00DE241D" w:rsidP="00E20250">
      <w:pPr>
        <w:pStyle w:val="Lgende"/>
        <w:spacing w:line="240" w:lineRule="auto"/>
        <w:rPr>
          <w:color w:val="000000" w:themeColor="text1"/>
          <w:sz w:val="22"/>
          <w:szCs w:val="22"/>
        </w:rPr>
      </w:pPr>
      <w:bookmarkStart w:id="660" w:name="_Toc207781915"/>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74</w:t>
      </w:r>
      <w:r w:rsidRPr="00260790">
        <w:rPr>
          <w:color w:val="000000" w:themeColor="text1"/>
          <w:sz w:val="22"/>
          <w:szCs w:val="22"/>
        </w:rPr>
        <w:fldChar w:fldCharType="end"/>
      </w:r>
      <w:r w:rsidRPr="00260790">
        <w:rPr>
          <w:color w:val="000000" w:themeColor="text1"/>
          <w:sz w:val="22"/>
          <w:szCs w:val="22"/>
        </w:rPr>
        <w:t> : résumé de l’analyse du risque d’altération du cadre de vie et de défiguration du paysage par des déchets d’entretien des ouvrages</w:t>
      </w:r>
      <w:bookmarkEnd w:id="660"/>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95"/>
        <w:gridCol w:w="2057"/>
        <w:gridCol w:w="1334"/>
        <w:gridCol w:w="971"/>
        <w:gridCol w:w="1038"/>
        <w:gridCol w:w="2165"/>
      </w:tblGrid>
      <w:tr w:rsidR="00BD1A2F" w:rsidRPr="009B46E2" w14:paraId="33078DE2" w14:textId="77777777" w:rsidTr="003A0E4A">
        <w:trPr>
          <w:trHeight w:val="230"/>
        </w:trPr>
        <w:tc>
          <w:tcPr>
            <w:tcW w:w="5000" w:type="pct"/>
            <w:gridSpan w:val="6"/>
            <w:shd w:val="clear" w:color="auto" w:fill="D9E2F3" w:themeFill="accent5" w:themeFillTint="33"/>
          </w:tcPr>
          <w:p w14:paraId="034617B1" w14:textId="77777777" w:rsidR="00DE241D" w:rsidRPr="0097258B" w:rsidRDefault="00DE241D" w:rsidP="00E20250">
            <w:pPr>
              <w:spacing w:line="240" w:lineRule="auto"/>
              <w:jc w:val="both"/>
              <w:rPr>
                <w:rFonts w:ascii="Times New Roman" w:hAnsi="Times New Roman"/>
                <w:b/>
                <w:bCs/>
                <w:color w:val="000000" w:themeColor="text1"/>
                <w:sz w:val="20"/>
                <w:szCs w:val="20"/>
                <w:lang w:val="fr-FR"/>
              </w:rPr>
            </w:pPr>
            <w:r w:rsidRPr="00301AF6">
              <w:rPr>
                <w:rFonts w:ascii="Times New Roman" w:hAnsi="Times New Roman"/>
                <w:b/>
                <w:bCs/>
                <w:color w:val="000000" w:themeColor="text1"/>
                <w:sz w:val="20"/>
                <w:szCs w:val="20"/>
                <w:lang w:val="fr-FR"/>
              </w:rPr>
              <w:t xml:space="preserve">RI-29. Risque d’altération du cadre de vie et de défiguration du paysage par des déchets d’entretien des ouvrages </w:t>
            </w:r>
          </w:p>
        </w:tc>
      </w:tr>
      <w:tr w:rsidR="00BD1A2F" w:rsidRPr="009B46E2" w14:paraId="41CA512F" w14:textId="77777777" w:rsidTr="003A0E4A">
        <w:trPr>
          <w:trHeight w:val="230"/>
        </w:trPr>
        <w:tc>
          <w:tcPr>
            <w:tcW w:w="5000" w:type="pct"/>
            <w:gridSpan w:val="6"/>
          </w:tcPr>
          <w:p w14:paraId="43DAF3DD"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roofErr w:type="spellStart"/>
            <w:proofErr w:type="gramStart"/>
            <w:r w:rsidRPr="0097258B">
              <w:rPr>
                <w:rFonts w:ascii="Times New Roman" w:hAnsi="Times New Roman" w:cs="Times New Roman"/>
                <w:b/>
                <w:bCs/>
                <w:color w:val="000000" w:themeColor="text1"/>
                <w:sz w:val="20"/>
                <w:szCs w:val="20"/>
              </w:rPr>
              <w:t>Activités</w:t>
            </w:r>
            <w:proofErr w:type="spellEnd"/>
            <w:r w:rsidRPr="0097258B">
              <w:rPr>
                <w:rFonts w:ascii="Times New Roman" w:hAnsi="Times New Roman" w:cs="Times New Roman"/>
                <w:b/>
                <w:bCs/>
                <w:color w:val="000000" w:themeColor="text1"/>
                <w:sz w:val="20"/>
                <w:szCs w:val="20"/>
              </w:rPr>
              <w:t xml:space="preserve"> :</w:t>
            </w:r>
            <w:proofErr w:type="gram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Fonctionnement</w:t>
            </w:r>
            <w:proofErr w:type="spellEnd"/>
            <w:r w:rsidRPr="0097258B">
              <w:rPr>
                <w:rFonts w:ascii="Times New Roman" w:hAnsi="Times New Roman" w:cs="Times New Roman"/>
                <w:color w:val="000000" w:themeColor="text1"/>
                <w:sz w:val="20"/>
                <w:szCs w:val="20"/>
              </w:rPr>
              <w:t xml:space="preserve"> des </w:t>
            </w:r>
            <w:proofErr w:type="spellStart"/>
            <w:r w:rsidRPr="0097258B">
              <w:rPr>
                <w:rFonts w:ascii="Times New Roman" w:hAnsi="Times New Roman" w:cs="Times New Roman"/>
                <w:color w:val="000000" w:themeColor="text1"/>
                <w:sz w:val="20"/>
                <w:szCs w:val="20"/>
              </w:rPr>
              <w:t>ouvrages</w:t>
            </w:r>
            <w:proofErr w:type="spellEnd"/>
          </w:p>
        </w:tc>
      </w:tr>
      <w:tr w:rsidR="00BD1A2F" w:rsidRPr="009B46E2" w14:paraId="02C405A7" w14:textId="77777777" w:rsidTr="003A0E4A">
        <w:trPr>
          <w:trHeight w:val="230"/>
        </w:trPr>
        <w:tc>
          <w:tcPr>
            <w:tcW w:w="825" w:type="pct"/>
          </w:tcPr>
          <w:p w14:paraId="09994122"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135" w:type="pct"/>
          </w:tcPr>
          <w:p w14:paraId="57646CA6"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initial</w:t>
            </w:r>
          </w:p>
        </w:tc>
        <w:tc>
          <w:tcPr>
            <w:tcW w:w="736" w:type="pct"/>
          </w:tcPr>
          <w:p w14:paraId="42A8F818"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36" w:type="pct"/>
          </w:tcPr>
          <w:p w14:paraId="674277C0"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73" w:type="pct"/>
          </w:tcPr>
          <w:p w14:paraId="7BF8E214"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196" w:type="pct"/>
          </w:tcPr>
          <w:p w14:paraId="16061799"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p>
        </w:tc>
      </w:tr>
      <w:tr w:rsidR="00BD1A2F" w:rsidRPr="009B46E2" w14:paraId="7EBA6C6C" w14:textId="77777777" w:rsidTr="003A0E4A">
        <w:trPr>
          <w:trHeight w:val="271"/>
        </w:trPr>
        <w:tc>
          <w:tcPr>
            <w:tcW w:w="825" w:type="pct"/>
          </w:tcPr>
          <w:p w14:paraId="35198C91"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Avant </w:t>
            </w:r>
            <w:proofErr w:type="spellStart"/>
            <w:r w:rsidRPr="0097258B">
              <w:rPr>
                <w:rFonts w:ascii="Times New Roman" w:hAnsi="Times New Roman" w:cs="Times New Roman"/>
                <w:color w:val="000000" w:themeColor="text1"/>
                <w:sz w:val="20"/>
                <w:szCs w:val="20"/>
              </w:rPr>
              <w:t>prévention</w:t>
            </w:r>
            <w:proofErr w:type="spellEnd"/>
          </w:p>
        </w:tc>
        <w:tc>
          <w:tcPr>
            <w:tcW w:w="1135" w:type="pct"/>
          </w:tcPr>
          <w:p w14:paraId="303279A9" w14:textId="4434A88F" w:rsidR="00DE241D" w:rsidRPr="0097258B" w:rsidRDefault="00FE0BF7"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 xml:space="preserve">Altération du cadre de vie et défiguration du paysage </w:t>
            </w:r>
            <w:r w:rsidR="00D70026" w:rsidRPr="00301AF6">
              <w:rPr>
                <w:rFonts w:ascii="Times New Roman" w:hAnsi="Times New Roman" w:cs="Times New Roman"/>
                <w:color w:val="000000" w:themeColor="text1"/>
                <w:sz w:val="20"/>
                <w:szCs w:val="20"/>
                <w:lang w:val="fr-FR"/>
              </w:rPr>
              <w:t>en cas de rejet de déchets</w:t>
            </w:r>
            <w:r w:rsidR="00D70026" w:rsidRPr="00301AF6">
              <w:rPr>
                <w:rFonts w:ascii="Times New Roman" w:hAnsi="Times New Roman"/>
                <w:color w:val="000000" w:themeColor="text1"/>
                <w:sz w:val="20"/>
                <w:szCs w:val="20"/>
                <w:lang w:val="fr-FR"/>
              </w:rPr>
              <w:t xml:space="preserve"> </w:t>
            </w:r>
            <w:r w:rsidR="00DE241D" w:rsidRPr="00301AF6">
              <w:rPr>
                <w:rFonts w:ascii="Times New Roman" w:hAnsi="Times New Roman" w:cs="Times New Roman"/>
                <w:color w:val="000000" w:themeColor="text1"/>
                <w:sz w:val="20"/>
                <w:szCs w:val="20"/>
                <w:lang w:val="fr-FR"/>
              </w:rPr>
              <w:t>d’entretien des ouvrages </w:t>
            </w:r>
            <w:r w:rsidR="002827B0" w:rsidRPr="00301AF6">
              <w:rPr>
                <w:rFonts w:ascii="Times New Roman" w:hAnsi="Times New Roman" w:cs="Times New Roman"/>
                <w:color w:val="000000" w:themeColor="text1"/>
                <w:sz w:val="20"/>
                <w:szCs w:val="20"/>
                <w:lang w:val="fr-FR"/>
              </w:rPr>
              <w:t>sur le site</w:t>
            </w:r>
          </w:p>
        </w:tc>
        <w:tc>
          <w:tcPr>
            <w:tcW w:w="736" w:type="pct"/>
            <w:vAlign w:val="center"/>
          </w:tcPr>
          <w:p w14:paraId="1B7210DA"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36" w:type="pct"/>
            <w:vAlign w:val="center"/>
          </w:tcPr>
          <w:p w14:paraId="01FD477A"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w:t>
            </w:r>
          </w:p>
        </w:tc>
        <w:tc>
          <w:tcPr>
            <w:tcW w:w="573" w:type="pct"/>
            <w:shd w:val="clear" w:color="auto" w:fill="FFFF00"/>
            <w:vAlign w:val="center"/>
          </w:tcPr>
          <w:p w14:paraId="6CABC359"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32</w:t>
            </w:r>
          </w:p>
        </w:tc>
        <w:tc>
          <w:tcPr>
            <w:tcW w:w="1196" w:type="pct"/>
          </w:tcPr>
          <w:p w14:paraId="147217BC"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Altération du cadre de vie ;</w:t>
            </w:r>
          </w:p>
          <w:p w14:paraId="78054F26"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Défiguration</w:t>
            </w:r>
            <w:proofErr w:type="spellEnd"/>
            <w:r w:rsidRPr="0097258B">
              <w:rPr>
                <w:rFonts w:ascii="Times New Roman" w:hAnsi="Times New Roman" w:cs="Times New Roman"/>
                <w:color w:val="000000" w:themeColor="text1"/>
                <w:sz w:val="20"/>
                <w:szCs w:val="20"/>
              </w:rPr>
              <w:t xml:space="preserve"> du </w:t>
            </w:r>
            <w:proofErr w:type="spellStart"/>
            <w:r w:rsidRPr="0097258B">
              <w:rPr>
                <w:rFonts w:ascii="Times New Roman" w:hAnsi="Times New Roman" w:cs="Times New Roman"/>
                <w:color w:val="000000" w:themeColor="text1"/>
                <w:sz w:val="20"/>
                <w:szCs w:val="20"/>
              </w:rPr>
              <w:t>paysage</w:t>
            </w:r>
            <w:proofErr w:type="spellEnd"/>
          </w:p>
        </w:tc>
      </w:tr>
      <w:tr w:rsidR="00BD1A2F" w:rsidRPr="009B46E2" w14:paraId="1D2305D9" w14:textId="77777777" w:rsidTr="003A0E4A">
        <w:trPr>
          <w:trHeight w:val="1282"/>
        </w:trPr>
        <w:tc>
          <w:tcPr>
            <w:tcW w:w="825" w:type="pct"/>
          </w:tcPr>
          <w:p w14:paraId="50DE62BF"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prévention</w:t>
            </w:r>
            <w:proofErr w:type="spellEnd"/>
          </w:p>
        </w:tc>
        <w:tc>
          <w:tcPr>
            <w:tcW w:w="4175" w:type="pct"/>
            <w:gridSpan w:val="5"/>
          </w:tcPr>
          <w:p w14:paraId="7E7F086F"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Assurer un entretien régulier des bassins ;</w:t>
            </w:r>
          </w:p>
          <w:p w14:paraId="6A737C5D" w14:textId="03FC8CE3"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Former les riverains à la vannerie qui valorise les typha</w:t>
            </w:r>
            <w:r w:rsidR="00AB5509" w:rsidRPr="00301AF6">
              <w:rPr>
                <w:rFonts w:ascii="Times New Roman" w:hAnsi="Times New Roman" w:cs="Times New Roman"/>
                <w:color w:val="000000" w:themeColor="text1"/>
                <w:sz w:val="20"/>
                <w:szCs w:val="20"/>
                <w:lang w:val="fr-FR"/>
              </w:rPr>
              <w:t>s</w:t>
            </w:r>
            <w:r w:rsidRPr="00301AF6">
              <w:rPr>
                <w:rFonts w:ascii="Times New Roman" w:hAnsi="Times New Roman" w:cs="Times New Roman"/>
                <w:color w:val="000000" w:themeColor="text1"/>
                <w:sz w:val="20"/>
                <w:szCs w:val="20"/>
                <w:lang w:val="fr-FR"/>
              </w:rPr>
              <w:t xml:space="preserve"> et phragmites ;</w:t>
            </w:r>
          </w:p>
          <w:p w14:paraId="6B76E74E" w14:textId="5F40899F" w:rsidR="00DE241D" w:rsidRPr="0097258B" w:rsidRDefault="00AB5509" w:rsidP="001748C6">
            <w:pPr>
              <w:pStyle w:val="Paragraphedeliste"/>
              <w:numPr>
                <w:ilvl w:val="0"/>
                <w:numId w:val="315"/>
              </w:numPr>
              <w:tabs>
                <w:tab w:val="left" w:pos="1305"/>
              </w:tabs>
              <w:spacing w:line="240" w:lineRule="auto"/>
              <w:ind w:left="417" w:right="57"/>
              <w:jc w:val="both"/>
              <w:rPr>
                <w:rFonts w:ascii="Times New Roman" w:eastAsia="Times New Roman" w:hAnsi="Times New Roman"/>
                <w:color w:val="000000" w:themeColor="text1"/>
                <w:sz w:val="20"/>
                <w:szCs w:val="20"/>
                <w:lang w:val="fr-FR" w:eastAsia="fr-FR"/>
              </w:rPr>
            </w:pPr>
            <w:r w:rsidRPr="00301AF6">
              <w:rPr>
                <w:rFonts w:ascii="Times New Roman" w:eastAsia="Times New Roman" w:hAnsi="Times New Roman"/>
                <w:color w:val="000000" w:themeColor="text1"/>
                <w:sz w:val="20"/>
                <w:szCs w:val="20"/>
                <w:lang w:val="fr-FR" w:eastAsia="fr-FR"/>
              </w:rPr>
              <w:t>É</w:t>
            </w:r>
            <w:r w:rsidR="00DE241D" w:rsidRPr="00301AF6">
              <w:rPr>
                <w:rFonts w:ascii="Times New Roman" w:eastAsia="Times New Roman" w:hAnsi="Times New Roman"/>
                <w:color w:val="000000" w:themeColor="text1"/>
                <w:sz w:val="20"/>
                <w:szCs w:val="20"/>
                <w:lang w:val="fr-FR" w:eastAsia="fr-FR"/>
              </w:rPr>
              <w:t>vacuer les boues vers des sites de valorisation (zone à remblayer) ;</w:t>
            </w:r>
          </w:p>
          <w:p w14:paraId="4B948E47"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S’assurer avant qu’elles ne présentent pas de risque. Sinon les décontaminer au préalable.</w:t>
            </w:r>
          </w:p>
        </w:tc>
      </w:tr>
      <w:tr w:rsidR="00BD1A2F" w:rsidRPr="009B46E2" w14:paraId="609B7DD8" w14:textId="77777777" w:rsidTr="003A0E4A">
        <w:trPr>
          <w:trHeight w:val="230"/>
        </w:trPr>
        <w:tc>
          <w:tcPr>
            <w:tcW w:w="825" w:type="pct"/>
          </w:tcPr>
          <w:p w14:paraId="63A41751"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135" w:type="pct"/>
          </w:tcPr>
          <w:p w14:paraId="291F7530"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final</w:t>
            </w:r>
          </w:p>
        </w:tc>
        <w:tc>
          <w:tcPr>
            <w:tcW w:w="736" w:type="pct"/>
          </w:tcPr>
          <w:p w14:paraId="36DF8875"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36" w:type="pct"/>
          </w:tcPr>
          <w:p w14:paraId="3882B810"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73" w:type="pct"/>
          </w:tcPr>
          <w:p w14:paraId="09DC0333"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196" w:type="pct"/>
          </w:tcPr>
          <w:p w14:paraId="587376A5"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r w:rsidRPr="0097258B">
              <w:rPr>
                <w:rFonts w:ascii="Times New Roman" w:hAnsi="Times New Roman" w:cs="Times New Roman"/>
                <w:b/>
                <w:bCs/>
                <w:color w:val="000000" w:themeColor="text1"/>
                <w:sz w:val="20"/>
                <w:szCs w:val="20"/>
              </w:rPr>
              <w:t xml:space="preserve"> </w:t>
            </w:r>
            <w:proofErr w:type="spellStart"/>
            <w:r w:rsidRPr="0097258B">
              <w:rPr>
                <w:rFonts w:ascii="Times New Roman" w:hAnsi="Times New Roman" w:cs="Times New Roman"/>
                <w:b/>
                <w:bCs/>
                <w:color w:val="000000" w:themeColor="text1"/>
                <w:sz w:val="20"/>
                <w:szCs w:val="20"/>
              </w:rPr>
              <w:t>résiduel</w:t>
            </w:r>
            <w:proofErr w:type="spellEnd"/>
          </w:p>
        </w:tc>
      </w:tr>
      <w:tr w:rsidR="00BD1A2F" w:rsidRPr="009B46E2" w14:paraId="5FA8FB6E" w14:textId="77777777" w:rsidTr="003A0E4A">
        <w:trPr>
          <w:trHeight w:val="230"/>
        </w:trPr>
        <w:tc>
          <w:tcPr>
            <w:tcW w:w="825" w:type="pct"/>
          </w:tcPr>
          <w:p w14:paraId="4837A282"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Après </w:t>
            </w:r>
            <w:proofErr w:type="spellStart"/>
            <w:r w:rsidRPr="0097258B">
              <w:rPr>
                <w:rFonts w:ascii="Times New Roman" w:hAnsi="Times New Roman" w:cs="Times New Roman"/>
                <w:color w:val="000000" w:themeColor="text1"/>
                <w:sz w:val="20"/>
                <w:szCs w:val="20"/>
              </w:rPr>
              <w:t>prévention</w:t>
            </w:r>
            <w:proofErr w:type="spellEnd"/>
          </w:p>
        </w:tc>
        <w:tc>
          <w:tcPr>
            <w:tcW w:w="1135" w:type="pct"/>
          </w:tcPr>
          <w:p w14:paraId="1962234E" w14:textId="3333588E" w:rsidR="00DE241D" w:rsidRPr="0097258B" w:rsidRDefault="00F2151A"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color w:val="000000" w:themeColor="text1"/>
                <w:sz w:val="20"/>
                <w:szCs w:val="20"/>
              </w:rPr>
              <w:t xml:space="preserve">Gestion des </w:t>
            </w:r>
            <w:proofErr w:type="spellStart"/>
            <w:r w:rsidRPr="0097258B">
              <w:rPr>
                <w:rFonts w:ascii="Times New Roman" w:hAnsi="Times New Roman" w:cs="Times New Roman"/>
                <w:color w:val="000000" w:themeColor="text1"/>
                <w:sz w:val="20"/>
                <w:szCs w:val="20"/>
              </w:rPr>
              <w:t>déchets</w:t>
            </w:r>
            <w:proofErr w:type="spellEnd"/>
          </w:p>
        </w:tc>
        <w:tc>
          <w:tcPr>
            <w:tcW w:w="736" w:type="pct"/>
          </w:tcPr>
          <w:p w14:paraId="64F12526"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36" w:type="pct"/>
          </w:tcPr>
          <w:p w14:paraId="122B1D64"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73" w:type="pct"/>
            <w:shd w:val="clear" w:color="auto" w:fill="92D050"/>
          </w:tcPr>
          <w:p w14:paraId="1B133F1A"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11</w:t>
            </w:r>
          </w:p>
        </w:tc>
        <w:tc>
          <w:tcPr>
            <w:tcW w:w="1196" w:type="pct"/>
          </w:tcPr>
          <w:p w14:paraId="4C687DA5" w14:textId="53D91AEC" w:rsidR="00DE241D" w:rsidRPr="0097258B" w:rsidRDefault="00F2151A"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301AF6">
              <w:rPr>
                <w:rFonts w:ascii="Times New Roman" w:hAnsi="Times New Roman" w:cs="Times New Roman"/>
                <w:color w:val="000000" w:themeColor="text1"/>
                <w:sz w:val="20"/>
                <w:szCs w:val="20"/>
                <w:lang w:val="fr-FR"/>
              </w:rPr>
              <w:t>Pollution et n</w:t>
            </w:r>
            <w:r w:rsidR="00DE241D" w:rsidRPr="00301AF6">
              <w:rPr>
                <w:rFonts w:ascii="Times New Roman" w:hAnsi="Times New Roman" w:cs="Times New Roman"/>
                <w:color w:val="000000" w:themeColor="text1"/>
                <w:sz w:val="20"/>
                <w:szCs w:val="20"/>
                <w:lang w:val="fr-FR"/>
              </w:rPr>
              <w:t>uisances pour les riverains</w:t>
            </w:r>
          </w:p>
        </w:tc>
      </w:tr>
    </w:tbl>
    <w:p w14:paraId="70C298A7" w14:textId="6C37EFE4" w:rsidR="00DE241D" w:rsidRDefault="00DE241D" w:rsidP="00E20250">
      <w:pPr>
        <w:spacing w:after="0" w:line="240" w:lineRule="auto"/>
        <w:jc w:val="both"/>
        <w:rPr>
          <w:rFonts w:ascii="Times New Roman" w:hAnsi="Times New Roman"/>
          <w:color w:val="000000" w:themeColor="text1"/>
        </w:rPr>
      </w:pPr>
    </w:p>
    <w:p w14:paraId="0CDD69F8" w14:textId="77777777" w:rsidR="00041856" w:rsidRPr="00260790" w:rsidRDefault="00041856" w:rsidP="00E20250">
      <w:pPr>
        <w:spacing w:after="0" w:line="240" w:lineRule="auto"/>
        <w:jc w:val="both"/>
        <w:rPr>
          <w:rFonts w:ascii="Times New Roman" w:hAnsi="Times New Roman"/>
          <w:color w:val="000000" w:themeColor="text1"/>
        </w:rPr>
      </w:pPr>
    </w:p>
    <w:p w14:paraId="6E3D362A" w14:textId="77777777" w:rsidR="00150E6B" w:rsidRDefault="00150E6B">
      <w:pPr>
        <w:spacing w:line="259" w:lineRule="auto"/>
        <w:rPr>
          <w:rFonts w:ascii="Times New Roman" w:hAnsi="Times New Roman"/>
          <w:b/>
          <w:bCs/>
          <w:i/>
          <w:iCs/>
          <w:color w:val="000000" w:themeColor="text1"/>
        </w:rPr>
      </w:pPr>
      <w:r>
        <w:rPr>
          <w:rFonts w:ascii="Times New Roman" w:hAnsi="Times New Roman"/>
          <w:b/>
          <w:bCs/>
          <w:i/>
          <w:iCs/>
          <w:color w:val="000000" w:themeColor="text1"/>
        </w:rPr>
        <w:br w:type="page"/>
      </w:r>
    </w:p>
    <w:p w14:paraId="74673BDF" w14:textId="48D9FFF5" w:rsidR="00DE241D" w:rsidRPr="00260790" w:rsidRDefault="00DE241D" w:rsidP="001748C6">
      <w:pPr>
        <w:pStyle w:val="Paragraphedeliste"/>
        <w:numPr>
          <w:ilvl w:val="0"/>
          <w:numId w:val="329"/>
        </w:numPr>
        <w:spacing w:after="0"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lastRenderedPageBreak/>
        <w:t>RI-30. Risque de délabrement précoce des ouvrages</w:t>
      </w:r>
    </w:p>
    <w:p w14:paraId="3770C7EF" w14:textId="45EE934A"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Un non-respect des normes techniques de construction ou un défaut d’entretien des bassins et collecteurs pourrait entrainer un délabrement précoce des ouvrages. </w:t>
      </w:r>
      <w:r w:rsidR="008A43B5" w:rsidRPr="00260790">
        <w:rPr>
          <w:rFonts w:ascii="Times New Roman" w:hAnsi="Times New Roman"/>
          <w:color w:val="000000" w:themeColor="text1"/>
        </w:rPr>
        <w:t>À</w:t>
      </w:r>
      <w:r w:rsidRPr="00260790">
        <w:rPr>
          <w:rFonts w:ascii="Times New Roman" w:hAnsi="Times New Roman"/>
          <w:color w:val="000000" w:themeColor="text1"/>
        </w:rPr>
        <w:t xml:space="preserve"> titre d’exemple, un non-respect de la quantité de ciment requis pour un m</w:t>
      </w:r>
      <w:r w:rsidRPr="00260790">
        <w:rPr>
          <w:rFonts w:ascii="Times New Roman" w:hAnsi="Times New Roman"/>
          <w:color w:val="000000" w:themeColor="text1"/>
          <w:vertAlign w:val="superscript"/>
        </w:rPr>
        <w:t>3</w:t>
      </w:r>
      <w:r w:rsidRPr="00260790">
        <w:rPr>
          <w:rFonts w:ascii="Times New Roman" w:hAnsi="Times New Roman"/>
          <w:color w:val="000000" w:themeColor="text1"/>
        </w:rPr>
        <w:t xml:space="preserve"> de béton armé facilitera la fissuration des parois qui à terme constitueront des menaces pour la structure de celles-ci. De même, un envasement des bassins et collecteurs du fait d’un défaut de curage limitera la capacité de stockage des premiers, et de drainage des seconds.</w:t>
      </w:r>
    </w:p>
    <w:p w14:paraId="7CB2E148" w14:textId="77777777" w:rsidR="00DE241D" w:rsidRPr="00260790" w:rsidRDefault="00DE241D" w:rsidP="00E20250">
      <w:pPr>
        <w:spacing w:line="240" w:lineRule="auto"/>
        <w:jc w:val="both"/>
        <w:rPr>
          <w:rFonts w:ascii="Times New Roman" w:hAnsi="Times New Roman"/>
          <w:b/>
          <w:bCs/>
          <w:i/>
          <w:iCs/>
          <w:color w:val="000000" w:themeColor="text1"/>
        </w:rPr>
      </w:pPr>
      <w:r w:rsidRPr="00260790">
        <w:rPr>
          <w:rFonts w:ascii="Times New Roman" w:hAnsi="Times New Roman"/>
          <w:color w:val="000000" w:themeColor="text1"/>
        </w:rPr>
        <w:t>Ci-dessous le résumé de l’analyse du risque de délabrement précoce des ouvrages</w:t>
      </w:r>
      <w:r w:rsidRPr="00260790">
        <w:rPr>
          <w:rFonts w:ascii="Times New Roman" w:hAnsi="Times New Roman"/>
          <w:b/>
          <w:bCs/>
          <w:i/>
          <w:iCs/>
          <w:color w:val="000000" w:themeColor="text1"/>
        </w:rPr>
        <w:t>.</w:t>
      </w:r>
    </w:p>
    <w:p w14:paraId="75796F9A" w14:textId="0800ED6A" w:rsidR="00DE241D" w:rsidRPr="00260790" w:rsidRDefault="00DE241D" w:rsidP="00E20250">
      <w:pPr>
        <w:pStyle w:val="Lgende"/>
        <w:spacing w:line="240" w:lineRule="auto"/>
        <w:rPr>
          <w:color w:val="000000" w:themeColor="text1"/>
          <w:sz w:val="22"/>
          <w:szCs w:val="22"/>
        </w:rPr>
      </w:pPr>
      <w:bookmarkStart w:id="661" w:name="_Toc207781916"/>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75</w:t>
      </w:r>
      <w:r w:rsidRPr="00260790">
        <w:rPr>
          <w:color w:val="000000" w:themeColor="text1"/>
          <w:sz w:val="22"/>
          <w:szCs w:val="22"/>
        </w:rPr>
        <w:fldChar w:fldCharType="end"/>
      </w:r>
      <w:r w:rsidRPr="00260790">
        <w:rPr>
          <w:color w:val="000000" w:themeColor="text1"/>
          <w:sz w:val="22"/>
          <w:szCs w:val="22"/>
        </w:rPr>
        <w:t> : résumé de l’analyse du risque de délabrement précoce des ouvrages</w:t>
      </w:r>
      <w:bookmarkEnd w:id="661"/>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95"/>
        <w:gridCol w:w="2057"/>
        <w:gridCol w:w="1334"/>
        <w:gridCol w:w="971"/>
        <w:gridCol w:w="1038"/>
        <w:gridCol w:w="2165"/>
      </w:tblGrid>
      <w:tr w:rsidR="00BD1A2F" w:rsidRPr="009B46E2" w14:paraId="07A76097" w14:textId="77777777" w:rsidTr="003A0E4A">
        <w:trPr>
          <w:trHeight w:val="230"/>
        </w:trPr>
        <w:tc>
          <w:tcPr>
            <w:tcW w:w="5000" w:type="pct"/>
            <w:gridSpan w:val="6"/>
            <w:shd w:val="clear" w:color="auto" w:fill="D9E2F3" w:themeFill="accent5" w:themeFillTint="33"/>
          </w:tcPr>
          <w:p w14:paraId="4EBB6F3D" w14:textId="77777777" w:rsidR="00DE241D" w:rsidRPr="0097258B" w:rsidRDefault="00DE241D" w:rsidP="00E20250">
            <w:pPr>
              <w:spacing w:line="240" w:lineRule="auto"/>
              <w:jc w:val="both"/>
              <w:rPr>
                <w:rFonts w:ascii="Times New Roman" w:hAnsi="Times New Roman"/>
                <w:b/>
                <w:bCs/>
                <w:i/>
                <w:iCs/>
                <w:color w:val="000000" w:themeColor="text1"/>
                <w:sz w:val="20"/>
                <w:szCs w:val="20"/>
                <w:lang w:val="fr-FR"/>
              </w:rPr>
            </w:pPr>
            <w:r w:rsidRPr="00301AF6">
              <w:rPr>
                <w:rFonts w:ascii="Times New Roman" w:hAnsi="Times New Roman"/>
                <w:b/>
                <w:bCs/>
                <w:i/>
                <w:iCs/>
                <w:color w:val="000000" w:themeColor="text1"/>
                <w:sz w:val="20"/>
                <w:szCs w:val="20"/>
                <w:lang w:val="fr-FR"/>
              </w:rPr>
              <w:t>RI-30. Risque de délabrement précoce des ouvrages</w:t>
            </w:r>
          </w:p>
        </w:tc>
      </w:tr>
      <w:tr w:rsidR="00BD1A2F" w:rsidRPr="009B46E2" w14:paraId="67362F21" w14:textId="77777777" w:rsidTr="003A0E4A">
        <w:trPr>
          <w:trHeight w:val="230"/>
        </w:trPr>
        <w:tc>
          <w:tcPr>
            <w:tcW w:w="5000" w:type="pct"/>
            <w:gridSpan w:val="6"/>
          </w:tcPr>
          <w:p w14:paraId="3B3123C6"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roofErr w:type="spellStart"/>
            <w:proofErr w:type="gramStart"/>
            <w:r w:rsidRPr="0097258B">
              <w:rPr>
                <w:rFonts w:ascii="Times New Roman" w:hAnsi="Times New Roman" w:cs="Times New Roman"/>
                <w:b/>
                <w:bCs/>
                <w:color w:val="000000" w:themeColor="text1"/>
                <w:sz w:val="20"/>
                <w:szCs w:val="20"/>
              </w:rPr>
              <w:t>Activités</w:t>
            </w:r>
            <w:proofErr w:type="spellEnd"/>
            <w:r w:rsidRPr="0097258B">
              <w:rPr>
                <w:rFonts w:ascii="Times New Roman" w:hAnsi="Times New Roman" w:cs="Times New Roman"/>
                <w:b/>
                <w:bCs/>
                <w:color w:val="000000" w:themeColor="text1"/>
                <w:sz w:val="20"/>
                <w:szCs w:val="20"/>
              </w:rPr>
              <w:t xml:space="preserve"> :</w:t>
            </w:r>
            <w:proofErr w:type="gram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Fonctionnement</w:t>
            </w:r>
            <w:proofErr w:type="spellEnd"/>
            <w:r w:rsidRPr="0097258B">
              <w:rPr>
                <w:rFonts w:ascii="Times New Roman" w:hAnsi="Times New Roman" w:cs="Times New Roman"/>
                <w:color w:val="000000" w:themeColor="text1"/>
                <w:sz w:val="20"/>
                <w:szCs w:val="20"/>
              </w:rPr>
              <w:t xml:space="preserve"> des </w:t>
            </w:r>
            <w:proofErr w:type="spellStart"/>
            <w:r w:rsidRPr="0097258B">
              <w:rPr>
                <w:rFonts w:ascii="Times New Roman" w:hAnsi="Times New Roman" w:cs="Times New Roman"/>
                <w:color w:val="000000" w:themeColor="text1"/>
                <w:sz w:val="20"/>
                <w:szCs w:val="20"/>
              </w:rPr>
              <w:t>ouvrages</w:t>
            </w:r>
            <w:proofErr w:type="spellEnd"/>
          </w:p>
        </w:tc>
      </w:tr>
      <w:tr w:rsidR="00BD1A2F" w:rsidRPr="009B46E2" w14:paraId="207F0490" w14:textId="77777777" w:rsidTr="003A0E4A">
        <w:trPr>
          <w:trHeight w:val="230"/>
        </w:trPr>
        <w:tc>
          <w:tcPr>
            <w:tcW w:w="825" w:type="pct"/>
          </w:tcPr>
          <w:p w14:paraId="24BAFAC7"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135" w:type="pct"/>
          </w:tcPr>
          <w:p w14:paraId="34336C73"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initial</w:t>
            </w:r>
          </w:p>
        </w:tc>
        <w:tc>
          <w:tcPr>
            <w:tcW w:w="736" w:type="pct"/>
          </w:tcPr>
          <w:p w14:paraId="33D44E8C"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36" w:type="pct"/>
          </w:tcPr>
          <w:p w14:paraId="72D6115F"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73" w:type="pct"/>
          </w:tcPr>
          <w:p w14:paraId="1965526A"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196" w:type="pct"/>
          </w:tcPr>
          <w:p w14:paraId="5F176B5F"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p>
        </w:tc>
      </w:tr>
      <w:tr w:rsidR="00BD1A2F" w:rsidRPr="009B46E2" w14:paraId="00DB3AFD" w14:textId="77777777" w:rsidTr="003A0E4A">
        <w:trPr>
          <w:trHeight w:val="271"/>
        </w:trPr>
        <w:tc>
          <w:tcPr>
            <w:tcW w:w="825" w:type="pct"/>
          </w:tcPr>
          <w:p w14:paraId="43DED51D"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Avant </w:t>
            </w:r>
            <w:proofErr w:type="spellStart"/>
            <w:r w:rsidRPr="0097258B">
              <w:rPr>
                <w:rFonts w:ascii="Times New Roman" w:hAnsi="Times New Roman" w:cs="Times New Roman"/>
                <w:color w:val="000000" w:themeColor="text1"/>
                <w:sz w:val="20"/>
                <w:szCs w:val="20"/>
              </w:rPr>
              <w:t>prévention</w:t>
            </w:r>
            <w:proofErr w:type="spellEnd"/>
          </w:p>
        </w:tc>
        <w:tc>
          <w:tcPr>
            <w:tcW w:w="1135" w:type="pct"/>
          </w:tcPr>
          <w:p w14:paraId="56A29A57" w14:textId="0E7DBF12" w:rsidR="00DE241D" w:rsidRPr="0097258B" w:rsidRDefault="00F2151A"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 xml:space="preserve">Délabrement précoce des ouvrages en cas de </w:t>
            </w:r>
            <w:r w:rsidR="00DE241D" w:rsidRPr="00301AF6">
              <w:rPr>
                <w:rFonts w:ascii="Times New Roman" w:hAnsi="Times New Roman" w:cs="Times New Roman"/>
                <w:color w:val="000000" w:themeColor="text1"/>
                <w:sz w:val="20"/>
                <w:szCs w:val="20"/>
                <w:lang w:val="fr-FR"/>
              </w:rPr>
              <w:t>Non-respect des normes de construction </w:t>
            </w:r>
            <w:r w:rsidRPr="00301AF6">
              <w:rPr>
                <w:rFonts w:ascii="Times New Roman" w:hAnsi="Times New Roman" w:cs="Times New Roman"/>
                <w:color w:val="000000" w:themeColor="text1"/>
                <w:sz w:val="20"/>
                <w:szCs w:val="20"/>
                <w:lang w:val="fr-FR"/>
              </w:rPr>
              <w:t>et par d</w:t>
            </w:r>
            <w:r w:rsidR="00DE241D" w:rsidRPr="00301AF6">
              <w:rPr>
                <w:rFonts w:ascii="Times New Roman" w:hAnsi="Times New Roman" w:cs="Times New Roman"/>
                <w:color w:val="000000" w:themeColor="text1"/>
                <w:sz w:val="20"/>
                <w:szCs w:val="20"/>
                <w:lang w:val="fr-FR"/>
              </w:rPr>
              <w:t xml:space="preserve">éfaut d’entretien </w:t>
            </w:r>
          </w:p>
        </w:tc>
        <w:tc>
          <w:tcPr>
            <w:tcW w:w="736" w:type="pct"/>
            <w:vAlign w:val="center"/>
          </w:tcPr>
          <w:p w14:paraId="3707EF85"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36" w:type="pct"/>
            <w:vAlign w:val="center"/>
          </w:tcPr>
          <w:p w14:paraId="467C9B15"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w:t>
            </w:r>
          </w:p>
        </w:tc>
        <w:tc>
          <w:tcPr>
            <w:tcW w:w="573" w:type="pct"/>
            <w:shd w:val="clear" w:color="auto" w:fill="FFFF00"/>
            <w:vAlign w:val="center"/>
          </w:tcPr>
          <w:p w14:paraId="35563F55"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32</w:t>
            </w:r>
          </w:p>
        </w:tc>
        <w:tc>
          <w:tcPr>
            <w:tcW w:w="1196" w:type="pct"/>
          </w:tcPr>
          <w:p w14:paraId="48C87D64"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Inondations du cadre de vie ;</w:t>
            </w:r>
          </w:p>
          <w:p w14:paraId="4E7F332E"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Nuisances pour les </w:t>
            </w:r>
            <w:proofErr w:type="spellStart"/>
            <w:r w:rsidRPr="0097258B">
              <w:rPr>
                <w:rFonts w:ascii="Times New Roman" w:hAnsi="Times New Roman" w:cs="Times New Roman"/>
                <w:color w:val="000000" w:themeColor="text1"/>
                <w:sz w:val="20"/>
                <w:szCs w:val="20"/>
              </w:rPr>
              <w:t>riverains</w:t>
            </w:r>
            <w:proofErr w:type="spellEnd"/>
          </w:p>
        </w:tc>
      </w:tr>
      <w:tr w:rsidR="00BD1A2F" w:rsidRPr="009B46E2" w14:paraId="1797DEDF" w14:textId="77777777" w:rsidTr="001F68D3">
        <w:trPr>
          <w:trHeight w:val="672"/>
        </w:trPr>
        <w:tc>
          <w:tcPr>
            <w:tcW w:w="825" w:type="pct"/>
          </w:tcPr>
          <w:p w14:paraId="7572B620"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prévention</w:t>
            </w:r>
            <w:proofErr w:type="spellEnd"/>
          </w:p>
        </w:tc>
        <w:tc>
          <w:tcPr>
            <w:tcW w:w="4175" w:type="pct"/>
            <w:gridSpan w:val="5"/>
          </w:tcPr>
          <w:p w14:paraId="4CC1EF00" w14:textId="77777777" w:rsidR="00DE241D" w:rsidRPr="0097258B" w:rsidRDefault="00DE241D" w:rsidP="001748C6">
            <w:pPr>
              <w:pStyle w:val="Default"/>
              <w:numPr>
                <w:ilvl w:val="0"/>
                <w:numId w:val="331"/>
              </w:numPr>
              <w:overflowPunct w:val="0"/>
              <w:ind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S’assurer au moment de la réception des ouvrages, de leur conformité aux clauses techniques et de leurs performances ;</w:t>
            </w:r>
          </w:p>
          <w:p w14:paraId="46FA9E4E" w14:textId="74FCA874" w:rsidR="00DE241D" w:rsidRPr="0097258B" w:rsidRDefault="00DE241D" w:rsidP="001748C6">
            <w:pPr>
              <w:pStyle w:val="Default"/>
              <w:numPr>
                <w:ilvl w:val="0"/>
                <w:numId w:val="331"/>
              </w:numPr>
              <w:overflowPunct w:val="0"/>
              <w:ind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Assurer un entretien régulier des ouvrages pour éviter leur délabrement précoce</w:t>
            </w:r>
            <w:r w:rsidR="00224D07" w:rsidRPr="00301AF6">
              <w:rPr>
                <w:rFonts w:ascii="Times New Roman" w:hAnsi="Times New Roman" w:cs="Times New Roman"/>
                <w:color w:val="000000" w:themeColor="text1"/>
                <w:sz w:val="20"/>
                <w:szCs w:val="20"/>
                <w:lang w:val="fr-FR"/>
              </w:rPr>
              <w:t>.</w:t>
            </w:r>
          </w:p>
        </w:tc>
      </w:tr>
      <w:tr w:rsidR="00BD1A2F" w:rsidRPr="009B46E2" w14:paraId="3CDFBADC" w14:textId="77777777" w:rsidTr="003A0E4A">
        <w:trPr>
          <w:trHeight w:val="230"/>
        </w:trPr>
        <w:tc>
          <w:tcPr>
            <w:tcW w:w="825" w:type="pct"/>
          </w:tcPr>
          <w:p w14:paraId="384DBDE5"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135" w:type="pct"/>
          </w:tcPr>
          <w:p w14:paraId="197ACC77"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final</w:t>
            </w:r>
          </w:p>
        </w:tc>
        <w:tc>
          <w:tcPr>
            <w:tcW w:w="736" w:type="pct"/>
          </w:tcPr>
          <w:p w14:paraId="1702B5A5"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36" w:type="pct"/>
          </w:tcPr>
          <w:p w14:paraId="5DFF2832"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73" w:type="pct"/>
          </w:tcPr>
          <w:p w14:paraId="20B5FB47"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196" w:type="pct"/>
          </w:tcPr>
          <w:p w14:paraId="0075A8F7"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r w:rsidRPr="0097258B">
              <w:rPr>
                <w:rFonts w:ascii="Times New Roman" w:hAnsi="Times New Roman" w:cs="Times New Roman"/>
                <w:b/>
                <w:bCs/>
                <w:color w:val="000000" w:themeColor="text1"/>
                <w:sz w:val="20"/>
                <w:szCs w:val="20"/>
              </w:rPr>
              <w:t xml:space="preserve"> </w:t>
            </w:r>
            <w:proofErr w:type="spellStart"/>
            <w:r w:rsidRPr="0097258B">
              <w:rPr>
                <w:rFonts w:ascii="Times New Roman" w:hAnsi="Times New Roman" w:cs="Times New Roman"/>
                <w:b/>
                <w:bCs/>
                <w:color w:val="000000" w:themeColor="text1"/>
                <w:sz w:val="20"/>
                <w:szCs w:val="20"/>
              </w:rPr>
              <w:t>résiduel</w:t>
            </w:r>
            <w:proofErr w:type="spellEnd"/>
          </w:p>
        </w:tc>
      </w:tr>
      <w:tr w:rsidR="00BD1A2F" w:rsidRPr="009B46E2" w14:paraId="3F5D06E6" w14:textId="77777777" w:rsidTr="003A0E4A">
        <w:trPr>
          <w:trHeight w:val="230"/>
        </w:trPr>
        <w:tc>
          <w:tcPr>
            <w:tcW w:w="825" w:type="pct"/>
          </w:tcPr>
          <w:p w14:paraId="6E106D6D"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Après </w:t>
            </w:r>
            <w:proofErr w:type="spellStart"/>
            <w:r w:rsidRPr="0097258B">
              <w:rPr>
                <w:rFonts w:ascii="Times New Roman" w:hAnsi="Times New Roman" w:cs="Times New Roman"/>
                <w:color w:val="000000" w:themeColor="text1"/>
                <w:sz w:val="20"/>
                <w:szCs w:val="20"/>
              </w:rPr>
              <w:t>prévention</w:t>
            </w:r>
            <w:proofErr w:type="spellEnd"/>
          </w:p>
        </w:tc>
        <w:tc>
          <w:tcPr>
            <w:tcW w:w="1135" w:type="pct"/>
          </w:tcPr>
          <w:p w14:paraId="0742DC4C" w14:textId="0917C50C" w:rsidR="00DE241D" w:rsidRPr="0097258B" w:rsidRDefault="0004538A"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color w:val="000000" w:themeColor="text1"/>
                <w:sz w:val="20"/>
                <w:szCs w:val="20"/>
              </w:rPr>
              <w:t>Qualité</w:t>
            </w:r>
            <w:proofErr w:type="spellEnd"/>
            <w:r w:rsidRPr="0097258B">
              <w:rPr>
                <w:rFonts w:ascii="Times New Roman" w:hAnsi="Times New Roman" w:cs="Times New Roman"/>
                <w:color w:val="000000" w:themeColor="text1"/>
                <w:sz w:val="20"/>
                <w:szCs w:val="20"/>
              </w:rPr>
              <w:t xml:space="preserve"> des </w:t>
            </w:r>
            <w:proofErr w:type="spellStart"/>
            <w:r w:rsidRPr="0097258B">
              <w:rPr>
                <w:rFonts w:ascii="Times New Roman" w:hAnsi="Times New Roman" w:cs="Times New Roman"/>
                <w:color w:val="000000" w:themeColor="text1"/>
                <w:sz w:val="20"/>
                <w:szCs w:val="20"/>
              </w:rPr>
              <w:t>ouvrages</w:t>
            </w:r>
            <w:proofErr w:type="spellEnd"/>
          </w:p>
        </w:tc>
        <w:tc>
          <w:tcPr>
            <w:tcW w:w="736" w:type="pct"/>
          </w:tcPr>
          <w:p w14:paraId="2B0A0017"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36" w:type="pct"/>
          </w:tcPr>
          <w:p w14:paraId="39B239D6"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73" w:type="pct"/>
            <w:shd w:val="clear" w:color="auto" w:fill="92D050"/>
          </w:tcPr>
          <w:p w14:paraId="0561AB86"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11</w:t>
            </w:r>
          </w:p>
        </w:tc>
        <w:tc>
          <w:tcPr>
            <w:tcW w:w="1196" w:type="pct"/>
          </w:tcPr>
          <w:p w14:paraId="0EFDF2EC" w14:textId="6FEF16FA" w:rsidR="00DE241D" w:rsidRPr="0097258B" w:rsidRDefault="00F03D9F"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gramStart"/>
            <w:r w:rsidRPr="00301AF6">
              <w:rPr>
                <w:rFonts w:ascii="Times New Roman" w:hAnsi="Times New Roman" w:cs="Times New Roman"/>
                <w:color w:val="000000" w:themeColor="text1"/>
                <w:sz w:val="20"/>
                <w:szCs w:val="20"/>
                <w:lang w:val="fr-FR"/>
              </w:rPr>
              <w:t>efficacité</w:t>
            </w:r>
            <w:proofErr w:type="gramEnd"/>
            <w:r w:rsidRPr="00301AF6">
              <w:rPr>
                <w:rFonts w:ascii="Times New Roman" w:hAnsi="Times New Roman" w:cs="Times New Roman"/>
                <w:color w:val="000000" w:themeColor="text1"/>
                <w:sz w:val="20"/>
                <w:szCs w:val="20"/>
                <w:lang w:val="fr-FR"/>
              </w:rPr>
              <w:t xml:space="preserve"> du système de drainage </w:t>
            </w:r>
          </w:p>
        </w:tc>
      </w:tr>
    </w:tbl>
    <w:p w14:paraId="6EDE841D" w14:textId="77777777" w:rsidR="00DE241D" w:rsidRPr="00260790" w:rsidRDefault="00DE241D" w:rsidP="00F83414">
      <w:pPr>
        <w:spacing w:after="0" w:line="240" w:lineRule="auto"/>
        <w:jc w:val="both"/>
        <w:rPr>
          <w:rFonts w:ascii="Times New Roman" w:hAnsi="Times New Roman"/>
          <w:b/>
          <w:bCs/>
          <w:i/>
          <w:iCs/>
          <w:color w:val="000000" w:themeColor="text1"/>
        </w:rPr>
      </w:pPr>
    </w:p>
    <w:p w14:paraId="697F2F37" w14:textId="77777777" w:rsidR="00DE241D" w:rsidRPr="00260790" w:rsidRDefault="00DE241D" w:rsidP="001748C6">
      <w:pPr>
        <w:pStyle w:val="Paragraphedeliste"/>
        <w:numPr>
          <w:ilvl w:val="0"/>
          <w:numId w:val="330"/>
        </w:numPr>
        <w:spacing w:after="0"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RI-31. Risque d’inondation du cadre de vie suite des bris de bassins et/ou collecteurs ou de débordements de ceux-ci du fait de leur sous-dimensionnement</w:t>
      </w:r>
    </w:p>
    <w:p w14:paraId="4F43335C" w14:textId="6C954B22"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Un non-respect des normes de construction et/ou un sous dimensionnement des ouvrages pourrait entrainer des bris et/ou débordements de ceux-ci et des inondations des cadre</w:t>
      </w:r>
      <w:r w:rsidR="008A43B5" w:rsidRPr="00260790">
        <w:rPr>
          <w:rFonts w:ascii="Times New Roman" w:hAnsi="Times New Roman"/>
          <w:color w:val="000000" w:themeColor="text1"/>
        </w:rPr>
        <w:t>s</w:t>
      </w:r>
      <w:r w:rsidRPr="00260790">
        <w:rPr>
          <w:rFonts w:ascii="Times New Roman" w:hAnsi="Times New Roman"/>
          <w:color w:val="000000" w:themeColor="text1"/>
        </w:rPr>
        <w:t xml:space="preserve"> de vie des populations, ce qui hypothéquerait le succès du projet. </w:t>
      </w:r>
    </w:p>
    <w:p w14:paraId="60163D37"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Ci-dessous le résumé de l’analyse du risque d’inondation du cadre de vie suite des bris de bassins et/ou collecteurs ou de débordements de ceux-ci du fait de leur sous-dimensionnement.</w:t>
      </w:r>
    </w:p>
    <w:p w14:paraId="50375D4B" w14:textId="7F79ABDE" w:rsidR="00DE241D" w:rsidRPr="00260790" w:rsidRDefault="00DE241D" w:rsidP="00E20250">
      <w:pPr>
        <w:pStyle w:val="Lgende"/>
        <w:spacing w:line="240" w:lineRule="auto"/>
        <w:rPr>
          <w:color w:val="000000" w:themeColor="text1"/>
          <w:sz w:val="22"/>
          <w:szCs w:val="22"/>
        </w:rPr>
      </w:pPr>
      <w:bookmarkStart w:id="662" w:name="_Toc207781917"/>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76</w:t>
      </w:r>
      <w:r w:rsidRPr="00260790">
        <w:rPr>
          <w:color w:val="000000" w:themeColor="text1"/>
          <w:sz w:val="22"/>
          <w:szCs w:val="22"/>
        </w:rPr>
        <w:fldChar w:fldCharType="end"/>
      </w:r>
      <w:r w:rsidRPr="00260790">
        <w:rPr>
          <w:color w:val="000000" w:themeColor="text1"/>
          <w:sz w:val="22"/>
          <w:szCs w:val="22"/>
        </w:rPr>
        <w:t> : résumé de l’analyse du risque d’inondation du cadre de vie suite des bris de bassins et/ou collecteurs ou de débordements de ceux-ci du fait de leur sous-dimensionnement</w:t>
      </w:r>
      <w:bookmarkEnd w:id="662"/>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95"/>
        <w:gridCol w:w="2057"/>
        <w:gridCol w:w="1334"/>
        <w:gridCol w:w="971"/>
        <w:gridCol w:w="1038"/>
        <w:gridCol w:w="2165"/>
      </w:tblGrid>
      <w:tr w:rsidR="00BD1A2F" w:rsidRPr="009B46E2" w14:paraId="4344AA35" w14:textId="77777777" w:rsidTr="003A0E4A">
        <w:trPr>
          <w:trHeight w:val="230"/>
        </w:trPr>
        <w:tc>
          <w:tcPr>
            <w:tcW w:w="5000" w:type="pct"/>
            <w:gridSpan w:val="6"/>
            <w:shd w:val="clear" w:color="auto" w:fill="D9E2F3" w:themeFill="accent5" w:themeFillTint="33"/>
          </w:tcPr>
          <w:p w14:paraId="7702D8D0" w14:textId="77777777" w:rsidR="00DE241D" w:rsidRPr="0097258B" w:rsidRDefault="00DE241D" w:rsidP="00E20250">
            <w:pPr>
              <w:spacing w:line="240" w:lineRule="auto"/>
              <w:jc w:val="both"/>
              <w:rPr>
                <w:rFonts w:ascii="Times New Roman" w:hAnsi="Times New Roman"/>
                <w:b/>
                <w:bCs/>
                <w:i/>
                <w:iCs/>
                <w:color w:val="000000" w:themeColor="text1"/>
                <w:sz w:val="20"/>
                <w:szCs w:val="20"/>
                <w:lang w:val="fr-FR"/>
              </w:rPr>
            </w:pPr>
            <w:r w:rsidRPr="00301AF6">
              <w:rPr>
                <w:rFonts w:ascii="Times New Roman" w:hAnsi="Times New Roman"/>
                <w:b/>
                <w:bCs/>
                <w:i/>
                <w:iCs/>
                <w:color w:val="000000" w:themeColor="text1"/>
                <w:sz w:val="20"/>
                <w:szCs w:val="20"/>
                <w:lang w:val="fr-FR"/>
              </w:rPr>
              <w:t>RI-31. Risque d’inondation du cadre de vie suite des bris de bassins et/ou collecteurs ou de débordements de ceux-ci du fait de leur sous-dimensionnement</w:t>
            </w:r>
          </w:p>
        </w:tc>
      </w:tr>
      <w:tr w:rsidR="00BD1A2F" w:rsidRPr="009B46E2" w14:paraId="6287483B" w14:textId="77777777" w:rsidTr="003A0E4A">
        <w:trPr>
          <w:trHeight w:val="230"/>
        </w:trPr>
        <w:tc>
          <w:tcPr>
            <w:tcW w:w="5000" w:type="pct"/>
            <w:gridSpan w:val="6"/>
          </w:tcPr>
          <w:p w14:paraId="3C429CD4"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roofErr w:type="spellStart"/>
            <w:proofErr w:type="gramStart"/>
            <w:r w:rsidRPr="0097258B">
              <w:rPr>
                <w:rFonts w:ascii="Times New Roman" w:hAnsi="Times New Roman" w:cs="Times New Roman"/>
                <w:b/>
                <w:bCs/>
                <w:color w:val="000000" w:themeColor="text1"/>
                <w:sz w:val="20"/>
                <w:szCs w:val="20"/>
              </w:rPr>
              <w:t>Activités</w:t>
            </w:r>
            <w:proofErr w:type="spellEnd"/>
            <w:r w:rsidRPr="0097258B">
              <w:rPr>
                <w:rFonts w:ascii="Times New Roman" w:hAnsi="Times New Roman" w:cs="Times New Roman"/>
                <w:b/>
                <w:bCs/>
                <w:color w:val="000000" w:themeColor="text1"/>
                <w:sz w:val="20"/>
                <w:szCs w:val="20"/>
              </w:rPr>
              <w:t xml:space="preserve"> :</w:t>
            </w:r>
            <w:proofErr w:type="gram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Fonctionnement</w:t>
            </w:r>
            <w:proofErr w:type="spellEnd"/>
            <w:r w:rsidRPr="0097258B">
              <w:rPr>
                <w:rFonts w:ascii="Times New Roman" w:hAnsi="Times New Roman" w:cs="Times New Roman"/>
                <w:color w:val="000000" w:themeColor="text1"/>
                <w:sz w:val="20"/>
                <w:szCs w:val="20"/>
              </w:rPr>
              <w:t xml:space="preserve"> des </w:t>
            </w:r>
            <w:proofErr w:type="spellStart"/>
            <w:r w:rsidRPr="0097258B">
              <w:rPr>
                <w:rFonts w:ascii="Times New Roman" w:hAnsi="Times New Roman" w:cs="Times New Roman"/>
                <w:color w:val="000000" w:themeColor="text1"/>
                <w:sz w:val="20"/>
                <w:szCs w:val="20"/>
              </w:rPr>
              <w:t>ouvrages</w:t>
            </w:r>
            <w:proofErr w:type="spellEnd"/>
          </w:p>
        </w:tc>
      </w:tr>
      <w:tr w:rsidR="00BD1A2F" w:rsidRPr="009B46E2" w14:paraId="564CC495" w14:textId="77777777" w:rsidTr="003A0E4A">
        <w:trPr>
          <w:trHeight w:val="230"/>
        </w:trPr>
        <w:tc>
          <w:tcPr>
            <w:tcW w:w="825" w:type="pct"/>
          </w:tcPr>
          <w:p w14:paraId="7AEAE9C1"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135" w:type="pct"/>
          </w:tcPr>
          <w:p w14:paraId="211687A7"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initial</w:t>
            </w:r>
          </w:p>
        </w:tc>
        <w:tc>
          <w:tcPr>
            <w:tcW w:w="736" w:type="pct"/>
          </w:tcPr>
          <w:p w14:paraId="785ED2ED"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36" w:type="pct"/>
          </w:tcPr>
          <w:p w14:paraId="68CED651"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73" w:type="pct"/>
          </w:tcPr>
          <w:p w14:paraId="6200C3F4"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196" w:type="pct"/>
          </w:tcPr>
          <w:p w14:paraId="526A625F"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p>
        </w:tc>
      </w:tr>
      <w:tr w:rsidR="00BD1A2F" w:rsidRPr="009B46E2" w14:paraId="397B3051" w14:textId="77777777" w:rsidTr="003A0E4A">
        <w:trPr>
          <w:trHeight w:val="271"/>
        </w:trPr>
        <w:tc>
          <w:tcPr>
            <w:tcW w:w="825" w:type="pct"/>
          </w:tcPr>
          <w:p w14:paraId="5A1E5B73"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Avant </w:t>
            </w:r>
            <w:proofErr w:type="spellStart"/>
            <w:r w:rsidRPr="0097258B">
              <w:rPr>
                <w:rFonts w:ascii="Times New Roman" w:hAnsi="Times New Roman" w:cs="Times New Roman"/>
                <w:color w:val="000000" w:themeColor="text1"/>
                <w:sz w:val="20"/>
                <w:szCs w:val="20"/>
              </w:rPr>
              <w:t>prévention</w:t>
            </w:r>
            <w:proofErr w:type="spellEnd"/>
          </w:p>
        </w:tc>
        <w:tc>
          <w:tcPr>
            <w:tcW w:w="1135" w:type="pct"/>
          </w:tcPr>
          <w:p w14:paraId="7C1D941A" w14:textId="678C23AA" w:rsidR="00DE241D" w:rsidRPr="0097258B" w:rsidRDefault="008C61B3"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Risque d’inondations</w:t>
            </w:r>
            <w:r w:rsidR="00E22F50" w:rsidRPr="00301AF6">
              <w:rPr>
                <w:rFonts w:ascii="Times New Roman" w:hAnsi="Times New Roman" w:cs="Times New Roman"/>
                <w:color w:val="000000" w:themeColor="text1"/>
                <w:sz w:val="20"/>
                <w:szCs w:val="20"/>
                <w:lang w:val="fr-FR"/>
              </w:rPr>
              <w:t xml:space="preserve"> en cas de sous-dimensionnement des </w:t>
            </w:r>
            <w:proofErr w:type="spellStart"/>
            <w:r w:rsidR="00E22F50" w:rsidRPr="00301AF6">
              <w:rPr>
                <w:rFonts w:ascii="Times New Roman" w:hAnsi="Times New Roman" w:cs="Times New Roman"/>
                <w:color w:val="000000" w:themeColor="text1"/>
                <w:sz w:val="20"/>
                <w:szCs w:val="20"/>
                <w:lang w:val="fr-FR"/>
              </w:rPr>
              <w:t>bbassins</w:t>
            </w:r>
            <w:proofErr w:type="spellEnd"/>
            <w:r w:rsidR="00E22F50" w:rsidRPr="00301AF6">
              <w:rPr>
                <w:rFonts w:ascii="Times New Roman" w:hAnsi="Times New Roman" w:cs="Times New Roman"/>
                <w:color w:val="000000" w:themeColor="text1"/>
                <w:sz w:val="20"/>
                <w:szCs w:val="20"/>
                <w:lang w:val="fr-FR"/>
              </w:rPr>
              <w:t xml:space="preserve"> et canaux</w:t>
            </w:r>
          </w:p>
        </w:tc>
        <w:tc>
          <w:tcPr>
            <w:tcW w:w="736" w:type="pct"/>
            <w:vAlign w:val="center"/>
          </w:tcPr>
          <w:p w14:paraId="15C7A3CE"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36" w:type="pct"/>
            <w:vAlign w:val="center"/>
          </w:tcPr>
          <w:p w14:paraId="26E3E124"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w:t>
            </w:r>
          </w:p>
        </w:tc>
        <w:tc>
          <w:tcPr>
            <w:tcW w:w="573" w:type="pct"/>
            <w:shd w:val="clear" w:color="auto" w:fill="FFFF00"/>
            <w:vAlign w:val="center"/>
          </w:tcPr>
          <w:p w14:paraId="0F40EA9D"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32</w:t>
            </w:r>
          </w:p>
        </w:tc>
        <w:tc>
          <w:tcPr>
            <w:tcW w:w="1196" w:type="pct"/>
          </w:tcPr>
          <w:p w14:paraId="487535EB"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Prolifération des moustiques ;</w:t>
            </w:r>
          </w:p>
          <w:p w14:paraId="53A24AA4"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Propagation du paludisme ;</w:t>
            </w:r>
          </w:p>
          <w:p w14:paraId="1416605B"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Altération du cadre de vie</w:t>
            </w:r>
          </w:p>
        </w:tc>
      </w:tr>
      <w:tr w:rsidR="00BD1A2F" w:rsidRPr="009B46E2" w14:paraId="68571FEB" w14:textId="77777777" w:rsidTr="003A0E4A">
        <w:trPr>
          <w:trHeight w:val="999"/>
        </w:trPr>
        <w:tc>
          <w:tcPr>
            <w:tcW w:w="825" w:type="pct"/>
          </w:tcPr>
          <w:p w14:paraId="45F9622D"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prévention</w:t>
            </w:r>
            <w:proofErr w:type="spellEnd"/>
          </w:p>
        </w:tc>
        <w:tc>
          <w:tcPr>
            <w:tcW w:w="4175" w:type="pct"/>
            <w:gridSpan w:val="5"/>
          </w:tcPr>
          <w:p w14:paraId="0B382E85" w14:textId="77777777" w:rsidR="00DE241D" w:rsidRPr="0097258B" w:rsidRDefault="00DE241D" w:rsidP="001748C6">
            <w:pPr>
              <w:pStyle w:val="Paragraphedeliste"/>
              <w:numPr>
                <w:ilvl w:val="0"/>
                <w:numId w:val="315"/>
              </w:numPr>
              <w:tabs>
                <w:tab w:val="left" w:pos="1305"/>
              </w:tabs>
              <w:spacing w:after="160" w:line="240" w:lineRule="auto"/>
              <w:ind w:left="417" w:right="113"/>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S’assurer au moment de la réception des ouvrages, de leur conformité aux clauses techniques et de leurs performances ;</w:t>
            </w:r>
          </w:p>
          <w:p w14:paraId="055D5373" w14:textId="76132628" w:rsidR="00DE241D" w:rsidRPr="0097258B" w:rsidRDefault="00DE241D" w:rsidP="001748C6">
            <w:pPr>
              <w:pStyle w:val="Paragraphedeliste"/>
              <w:numPr>
                <w:ilvl w:val="0"/>
                <w:numId w:val="315"/>
              </w:numPr>
              <w:tabs>
                <w:tab w:val="left" w:pos="1305"/>
              </w:tabs>
              <w:spacing w:after="160" w:line="240" w:lineRule="auto"/>
              <w:ind w:left="417" w:right="113"/>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Assurer un entretien régulier des ouvrages pour prévenir leur délabrement précoce</w:t>
            </w:r>
            <w:r w:rsidR="00B870B2" w:rsidRPr="00301AF6">
              <w:rPr>
                <w:rFonts w:ascii="Times New Roman" w:hAnsi="Times New Roman"/>
                <w:color w:val="000000" w:themeColor="text1"/>
                <w:sz w:val="20"/>
                <w:szCs w:val="20"/>
                <w:lang w:val="fr-FR"/>
              </w:rPr>
              <w:t>.</w:t>
            </w:r>
          </w:p>
        </w:tc>
      </w:tr>
      <w:tr w:rsidR="00BD1A2F" w:rsidRPr="009B46E2" w14:paraId="242D9BA7" w14:textId="77777777" w:rsidTr="003A0E4A">
        <w:trPr>
          <w:trHeight w:val="230"/>
        </w:trPr>
        <w:tc>
          <w:tcPr>
            <w:tcW w:w="825" w:type="pct"/>
          </w:tcPr>
          <w:p w14:paraId="71705C99"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135" w:type="pct"/>
          </w:tcPr>
          <w:p w14:paraId="7E9D5ECD"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final</w:t>
            </w:r>
          </w:p>
        </w:tc>
        <w:tc>
          <w:tcPr>
            <w:tcW w:w="736" w:type="pct"/>
          </w:tcPr>
          <w:p w14:paraId="764ADD2C"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36" w:type="pct"/>
          </w:tcPr>
          <w:p w14:paraId="3113E72F"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73" w:type="pct"/>
          </w:tcPr>
          <w:p w14:paraId="6398B5D6"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196" w:type="pct"/>
          </w:tcPr>
          <w:p w14:paraId="7484C2AF"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r w:rsidRPr="0097258B">
              <w:rPr>
                <w:rFonts w:ascii="Times New Roman" w:hAnsi="Times New Roman" w:cs="Times New Roman"/>
                <w:b/>
                <w:bCs/>
                <w:color w:val="000000" w:themeColor="text1"/>
                <w:sz w:val="20"/>
                <w:szCs w:val="20"/>
              </w:rPr>
              <w:t xml:space="preserve"> </w:t>
            </w:r>
            <w:proofErr w:type="spellStart"/>
            <w:r w:rsidRPr="0097258B">
              <w:rPr>
                <w:rFonts w:ascii="Times New Roman" w:hAnsi="Times New Roman" w:cs="Times New Roman"/>
                <w:b/>
                <w:bCs/>
                <w:color w:val="000000" w:themeColor="text1"/>
                <w:sz w:val="20"/>
                <w:szCs w:val="20"/>
              </w:rPr>
              <w:t>résiduel</w:t>
            </w:r>
            <w:proofErr w:type="spellEnd"/>
          </w:p>
        </w:tc>
      </w:tr>
      <w:tr w:rsidR="00BD1A2F" w:rsidRPr="009B46E2" w14:paraId="400794A5" w14:textId="77777777" w:rsidTr="003A0E4A">
        <w:trPr>
          <w:trHeight w:val="230"/>
        </w:trPr>
        <w:tc>
          <w:tcPr>
            <w:tcW w:w="825" w:type="pct"/>
          </w:tcPr>
          <w:p w14:paraId="04B914B0"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Après </w:t>
            </w:r>
            <w:proofErr w:type="spellStart"/>
            <w:r w:rsidRPr="0097258B">
              <w:rPr>
                <w:rFonts w:ascii="Times New Roman" w:hAnsi="Times New Roman" w:cs="Times New Roman"/>
                <w:color w:val="000000" w:themeColor="text1"/>
                <w:sz w:val="20"/>
                <w:szCs w:val="20"/>
              </w:rPr>
              <w:t>prévention</w:t>
            </w:r>
            <w:proofErr w:type="spellEnd"/>
          </w:p>
        </w:tc>
        <w:tc>
          <w:tcPr>
            <w:tcW w:w="1135" w:type="pct"/>
          </w:tcPr>
          <w:p w14:paraId="4B5B4E32" w14:textId="06412174" w:rsidR="00DE241D" w:rsidRPr="0097258B" w:rsidRDefault="00E22F50"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dé</w:t>
            </w:r>
            <w:r w:rsidR="001C239E" w:rsidRPr="0097258B">
              <w:rPr>
                <w:rFonts w:ascii="Times New Roman" w:hAnsi="Times New Roman" w:cs="Times New Roman"/>
                <w:color w:val="000000" w:themeColor="text1"/>
                <w:sz w:val="20"/>
                <w:szCs w:val="20"/>
              </w:rPr>
              <w:t>bordement</w:t>
            </w:r>
            <w:proofErr w:type="spellEnd"/>
            <w:r w:rsidR="001C239E" w:rsidRPr="0097258B">
              <w:rPr>
                <w:rFonts w:ascii="Times New Roman" w:hAnsi="Times New Roman" w:cs="Times New Roman"/>
                <w:color w:val="000000" w:themeColor="text1"/>
                <w:sz w:val="20"/>
                <w:szCs w:val="20"/>
              </w:rPr>
              <w:t xml:space="preserve"> des </w:t>
            </w:r>
            <w:proofErr w:type="spellStart"/>
            <w:r w:rsidR="001C239E" w:rsidRPr="0097258B">
              <w:rPr>
                <w:rFonts w:ascii="Times New Roman" w:hAnsi="Times New Roman" w:cs="Times New Roman"/>
                <w:color w:val="000000" w:themeColor="text1"/>
                <w:sz w:val="20"/>
                <w:szCs w:val="20"/>
              </w:rPr>
              <w:t>ouvrages</w:t>
            </w:r>
            <w:proofErr w:type="spellEnd"/>
          </w:p>
        </w:tc>
        <w:tc>
          <w:tcPr>
            <w:tcW w:w="736" w:type="pct"/>
          </w:tcPr>
          <w:p w14:paraId="08D3BF17"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36" w:type="pct"/>
          </w:tcPr>
          <w:p w14:paraId="3E56908D"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73" w:type="pct"/>
            <w:shd w:val="clear" w:color="auto" w:fill="92D050"/>
          </w:tcPr>
          <w:p w14:paraId="19F437BC"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11</w:t>
            </w:r>
          </w:p>
        </w:tc>
        <w:tc>
          <w:tcPr>
            <w:tcW w:w="1196" w:type="pct"/>
          </w:tcPr>
          <w:p w14:paraId="490AD7DA" w14:textId="0BAD19D0" w:rsidR="00DE241D" w:rsidRPr="0097258B" w:rsidRDefault="001C239E"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color w:val="000000" w:themeColor="text1"/>
                <w:sz w:val="20"/>
                <w:szCs w:val="20"/>
              </w:rPr>
              <w:t>inondations</w:t>
            </w:r>
            <w:proofErr w:type="spellEnd"/>
            <w:r w:rsidRPr="0097258B">
              <w:rPr>
                <w:rFonts w:ascii="Times New Roman" w:hAnsi="Times New Roman" w:cs="Times New Roman"/>
                <w:color w:val="000000" w:themeColor="text1"/>
                <w:sz w:val="20"/>
                <w:szCs w:val="20"/>
              </w:rPr>
              <w:t xml:space="preserve"> des </w:t>
            </w:r>
            <w:proofErr w:type="spellStart"/>
            <w:r w:rsidRPr="0097258B">
              <w:rPr>
                <w:rFonts w:ascii="Times New Roman" w:hAnsi="Times New Roman" w:cs="Times New Roman"/>
                <w:color w:val="000000" w:themeColor="text1"/>
                <w:sz w:val="20"/>
                <w:szCs w:val="20"/>
              </w:rPr>
              <w:t>riverains</w:t>
            </w:r>
            <w:proofErr w:type="spellEnd"/>
          </w:p>
        </w:tc>
      </w:tr>
    </w:tbl>
    <w:p w14:paraId="411E9C2A" w14:textId="77777777" w:rsidR="00150E6B" w:rsidRDefault="00150E6B" w:rsidP="00E20250">
      <w:pPr>
        <w:pStyle w:val="Paragraphedeliste"/>
        <w:numPr>
          <w:ilvl w:val="4"/>
          <w:numId w:val="0"/>
        </w:numPr>
        <w:spacing w:before="120" w:after="120" w:line="240" w:lineRule="auto"/>
        <w:ind w:left="1080" w:hanging="1080"/>
        <w:jc w:val="both"/>
        <w:rPr>
          <w:rFonts w:ascii="Times New Roman" w:hAnsi="Times New Roman"/>
          <w:b/>
          <w:bCs/>
          <w:color w:val="000000" w:themeColor="text1"/>
        </w:rPr>
      </w:pPr>
    </w:p>
    <w:p w14:paraId="64675865" w14:textId="77777777" w:rsidR="00150E6B" w:rsidRDefault="00150E6B">
      <w:pPr>
        <w:spacing w:line="259" w:lineRule="auto"/>
        <w:rPr>
          <w:rFonts w:ascii="Times New Roman" w:hAnsi="Times New Roman"/>
          <w:b/>
          <w:bCs/>
          <w:color w:val="000000" w:themeColor="text1"/>
        </w:rPr>
      </w:pPr>
      <w:r>
        <w:rPr>
          <w:rFonts w:ascii="Times New Roman" w:hAnsi="Times New Roman"/>
          <w:b/>
          <w:bCs/>
          <w:color w:val="000000" w:themeColor="text1"/>
        </w:rPr>
        <w:br w:type="page"/>
      </w:r>
    </w:p>
    <w:p w14:paraId="56DFF98F" w14:textId="4E59C1A9" w:rsidR="00DE241D" w:rsidRPr="00260790" w:rsidRDefault="00DE241D" w:rsidP="00E20250">
      <w:pPr>
        <w:pStyle w:val="Paragraphedeliste"/>
        <w:numPr>
          <w:ilvl w:val="4"/>
          <w:numId w:val="0"/>
        </w:numPr>
        <w:spacing w:before="120" w:after="120" w:line="240" w:lineRule="auto"/>
        <w:ind w:left="1080" w:hanging="1080"/>
        <w:jc w:val="both"/>
        <w:rPr>
          <w:rFonts w:ascii="Times New Roman" w:hAnsi="Times New Roman"/>
          <w:b/>
          <w:bCs/>
          <w:color w:val="000000" w:themeColor="text1"/>
        </w:rPr>
      </w:pPr>
      <w:r w:rsidRPr="00260790">
        <w:rPr>
          <w:rFonts w:ascii="Times New Roman" w:hAnsi="Times New Roman"/>
          <w:b/>
          <w:bCs/>
          <w:color w:val="000000" w:themeColor="text1"/>
        </w:rPr>
        <w:lastRenderedPageBreak/>
        <w:t>Impacts négatifs et risques spécifiques au fonctionnement des collecteurs</w:t>
      </w:r>
    </w:p>
    <w:p w14:paraId="661494D4" w14:textId="77777777" w:rsidR="00DE241D" w:rsidRPr="00260790" w:rsidRDefault="00DE241D" w:rsidP="001748C6">
      <w:pPr>
        <w:pStyle w:val="Paragraphedeliste"/>
        <w:numPr>
          <w:ilvl w:val="0"/>
          <w:numId w:val="330"/>
        </w:numPr>
        <w:spacing w:after="0"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 xml:space="preserve">RI-32. Risque de branchements clandestins d’ouvrages d’assainissement individuels sur les collecteurs </w:t>
      </w:r>
    </w:p>
    <w:p w14:paraId="3E9E6973" w14:textId="3A6413F8"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 probabilité que certains riverains branchent des ouvrages d’assainissement autonome sur les collecteurs est réelle. Une des conséquences d’une telle situation serait une pollution des </w:t>
      </w:r>
      <w:r w:rsidR="008059DA">
        <w:rPr>
          <w:rFonts w:ascii="Times New Roman" w:hAnsi="Times New Roman"/>
          <w:color w:val="000000" w:themeColor="text1"/>
        </w:rPr>
        <w:t xml:space="preserve">eaux </w:t>
      </w:r>
      <w:r w:rsidRPr="00260790">
        <w:rPr>
          <w:rFonts w:ascii="Times New Roman" w:hAnsi="Times New Roman"/>
          <w:color w:val="000000" w:themeColor="text1"/>
        </w:rPr>
        <w:t>à l’exutoire.</w:t>
      </w:r>
    </w:p>
    <w:p w14:paraId="5E4031D9" w14:textId="36703B9B"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Ci-dessous le résumé de l’analyse du risque de branchements clandestins d’ouvrage d’assainissement individuel sur les collecteurs.</w:t>
      </w:r>
    </w:p>
    <w:p w14:paraId="5FC54033" w14:textId="0CEC4D6A" w:rsidR="00DE241D" w:rsidRPr="00260790" w:rsidRDefault="00DE241D" w:rsidP="00E20250">
      <w:pPr>
        <w:pStyle w:val="Lgende"/>
        <w:spacing w:line="240" w:lineRule="auto"/>
        <w:rPr>
          <w:color w:val="000000" w:themeColor="text1"/>
          <w:sz w:val="22"/>
          <w:szCs w:val="22"/>
        </w:rPr>
      </w:pPr>
      <w:bookmarkStart w:id="663" w:name="_Toc207781918"/>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77</w:t>
      </w:r>
      <w:r w:rsidRPr="00260790">
        <w:rPr>
          <w:color w:val="000000" w:themeColor="text1"/>
          <w:sz w:val="22"/>
          <w:szCs w:val="22"/>
        </w:rPr>
        <w:fldChar w:fldCharType="end"/>
      </w:r>
      <w:r w:rsidRPr="00260790">
        <w:rPr>
          <w:color w:val="000000" w:themeColor="text1"/>
          <w:sz w:val="22"/>
          <w:szCs w:val="22"/>
        </w:rPr>
        <w:t> : risque de branchements clandestins d’ouvrage d’assainissement individuel sur les collecteurs</w:t>
      </w:r>
      <w:bookmarkEnd w:id="663"/>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75"/>
        <w:gridCol w:w="2575"/>
        <w:gridCol w:w="1334"/>
        <w:gridCol w:w="980"/>
        <w:gridCol w:w="1138"/>
        <w:gridCol w:w="1658"/>
      </w:tblGrid>
      <w:tr w:rsidR="00BD1A2F" w:rsidRPr="009B46E2" w14:paraId="119328F7" w14:textId="77777777" w:rsidTr="003A0E4A">
        <w:trPr>
          <w:trHeight w:val="230"/>
        </w:trPr>
        <w:tc>
          <w:tcPr>
            <w:tcW w:w="5000" w:type="pct"/>
            <w:gridSpan w:val="6"/>
            <w:shd w:val="clear" w:color="auto" w:fill="D9E2F3" w:themeFill="accent5" w:themeFillTint="33"/>
          </w:tcPr>
          <w:p w14:paraId="2D3CD3B9" w14:textId="0E62D515" w:rsidR="00DE241D" w:rsidRPr="0097258B" w:rsidRDefault="00DE241D" w:rsidP="00E20250">
            <w:pPr>
              <w:spacing w:line="240" w:lineRule="auto"/>
              <w:jc w:val="both"/>
              <w:rPr>
                <w:rFonts w:ascii="Times New Roman" w:hAnsi="Times New Roman"/>
                <w:b/>
                <w:bCs/>
                <w:i/>
                <w:iCs/>
                <w:color w:val="000000" w:themeColor="text1"/>
                <w:sz w:val="20"/>
                <w:szCs w:val="20"/>
                <w:lang w:val="fr-FR"/>
              </w:rPr>
            </w:pPr>
            <w:r w:rsidRPr="00301AF6">
              <w:rPr>
                <w:rFonts w:ascii="Times New Roman" w:hAnsi="Times New Roman"/>
                <w:b/>
                <w:bCs/>
                <w:i/>
                <w:iCs/>
                <w:color w:val="000000" w:themeColor="text1"/>
                <w:sz w:val="20"/>
                <w:szCs w:val="20"/>
                <w:lang w:val="fr-FR"/>
              </w:rPr>
              <w:t xml:space="preserve">RI-32. Risque de branchements clandestins d’ouvrage d’assainissement individuel aux collecteurs </w:t>
            </w:r>
          </w:p>
        </w:tc>
      </w:tr>
      <w:tr w:rsidR="00BD1A2F" w:rsidRPr="009B46E2" w14:paraId="2885AD3A" w14:textId="77777777" w:rsidTr="003A0E4A">
        <w:trPr>
          <w:trHeight w:val="230"/>
        </w:trPr>
        <w:tc>
          <w:tcPr>
            <w:tcW w:w="5000" w:type="pct"/>
            <w:gridSpan w:val="6"/>
          </w:tcPr>
          <w:p w14:paraId="55974D84"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roofErr w:type="spellStart"/>
            <w:proofErr w:type="gramStart"/>
            <w:r w:rsidRPr="0097258B">
              <w:rPr>
                <w:rFonts w:ascii="Times New Roman" w:hAnsi="Times New Roman" w:cs="Times New Roman"/>
                <w:b/>
                <w:bCs/>
                <w:color w:val="000000" w:themeColor="text1"/>
                <w:sz w:val="20"/>
                <w:szCs w:val="20"/>
              </w:rPr>
              <w:t>Activités</w:t>
            </w:r>
            <w:proofErr w:type="spellEnd"/>
            <w:r w:rsidRPr="0097258B">
              <w:rPr>
                <w:rFonts w:ascii="Times New Roman" w:hAnsi="Times New Roman" w:cs="Times New Roman"/>
                <w:b/>
                <w:bCs/>
                <w:color w:val="000000" w:themeColor="text1"/>
                <w:sz w:val="20"/>
                <w:szCs w:val="20"/>
              </w:rPr>
              <w:t xml:space="preserve"> :</w:t>
            </w:r>
            <w:proofErr w:type="gram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Fonctionnement</w:t>
            </w:r>
            <w:proofErr w:type="spellEnd"/>
            <w:r w:rsidRPr="0097258B">
              <w:rPr>
                <w:rFonts w:ascii="Times New Roman" w:hAnsi="Times New Roman" w:cs="Times New Roman"/>
                <w:color w:val="000000" w:themeColor="text1"/>
                <w:sz w:val="20"/>
                <w:szCs w:val="20"/>
              </w:rPr>
              <w:t xml:space="preserve"> des </w:t>
            </w:r>
            <w:proofErr w:type="spellStart"/>
            <w:r w:rsidRPr="0097258B">
              <w:rPr>
                <w:rFonts w:ascii="Times New Roman" w:hAnsi="Times New Roman" w:cs="Times New Roman"/>
                <w:color w:val="000000" w:themeColor="text1"/>
                <w:sz w:val="20"/>
                <w:szCs w:val="20"/>
              </w:rPr>
              <w:t>ouvrages</w:t>
            </w:r>
            <w:proofErr w:type="spellEnd"/>
          </w:p>
        </w:tc>
      </w:tr>
      <w:tr w:rsidR="00BD1A2F" w:rsidRPr="009B46E2" w14:paraId="713AB024" w14:textId="77777777" w:rsidTr="003A0E4A">
        <w:trPr>
          <w:trHeight w:val="230"/>
        </w:trPr>
        <w:tc>
          <w:tcPr>
            <w:tcW w:w="759" w:type="pct"/>
          </w:tcPr>
          <w:p w14:paraId="2B534F9B"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421" w:type="pct"/>
          </w:tcPr>
          <w:p w14:paraId="3621B65D"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initial</w:t>
            </w:r>
          </w:p>
        </w:tc>
        <w:tc>
          <w:tcPr>
            <w:tcW w:w="736" w:type="pct"/>
          </w:tcPr>
          <w:p w14:paraId="465DEB72"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41" w:type="pct"/>
          </w:tcPr>
          <w:p w14:paraId="1C1E5034"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628" w:type="pct"/>
          </w:tcPr>
          <w:p w14:paraId="51F7A1EC"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915" w:type="pct"/>
          </w:tcPr>
          <w:p w14:paraId="240BBC11"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p>
        </w:tc>
      </w:tr>
      <w:tr w:rsidR="00BD1A2F" w:rsidRPr="009B46E2" w14:paraId="245315D3" w14:textId="77777777" w:rsidTr="003A0E4A">
        <w:trPr>
          <w:trHeight w:val="271"/>
        </w:trPr>
        <w:tc>
          <w:tcPr>
            <w:tcW w:w="759" w:type="pct"/>
          </w:tcPr>
          <w:p w14:paraId="7384385B"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Avant </w:t>
            </w:r>
            <w:proofErr w:type="spellStart"/>
            <w:r w:rsidRPr="0097258B">
              <w:rPr>
                <w:rFonts w:ascii="Times New Roman" w:hAnsi="Times New Roman" w:cs="Times New Roman"/>
                <w:color w:val="000000" w:themeColor="text1"/>
                <w:sz w:val="20"/>
                <w:szCs w:val="20"/>
              </w:rPr>
              <w:t>prévention</w:t>
            </w:r>
            <w:proofErr w:type="spellEnd"/>
          </w:p>
        </w:tc>
        <w:tc>
          <w:tcPr>
            <w:tcW w:w="1421" w:type="pct"/>
          </w:tcPr>
          <w:p w14:paraId="19F38181" w14:textId="0864E98B" w:rsidR="00DE241D" w:rsidRPr="0097258B" w:rsidRDefault="000079CC" w:rsidP="000079CC">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Branchements clandestins sur les ouvrages</w:t>
            </w:r>
            <w:r w:rsidRPr="00301AF6">
              <w:rPr>
                <w:rFonts w:ascii="Times New Roman" w:hAnsi="Times New Roman"/>
                <w:b/>
                <w:bCs/>
                <w:i/>
                <w:iCs/>
                <w:color w:val="000000" w:themeColor="text1"/>
                <w:sz w:val="20"/>
                <w:szCs w:val="20"/>
                <w:lang w:val="fr-FR"/>
              </w:rPr>
              <w:t xml:space="preserve"> </w:t>
            </w:r>
          </w:p>
        </w:tc>
        <w:tc>
          <w:tcPr>
            <w:tcW w:w="736" w:type="pct"/>
            <w:vAlign w:val="center"/>
          </w:tcPr>
          <w:p w14:paraId="2DBBE424"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41" w:type="pct"/>
            <w:vAlign w:val="center"/>
          </w:tcPr>
          <w:p w14:paraId="1C2C0E59"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w:t>
            </w:r>
          </w:p>
        </w:tc>
        <w:tc>
          <w:tcPr>
            <w:tcW w:w="628" w:type="pct"/>
            <w:shd w:val="clear" w:color="auto" w:fill="FFFF00"/>
            <w:vAlign w:val="center"/>
          </w:tcPr>
          <w:p w14:paraId="612F3AEE"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32</w:t>
            </w:r>
          </w:p>
        </w:tc>
        <w:tc>
          <w:tcPr>
            <w:tcW w:w="915" w:type="pct"/>
          </w:tcPr>
          <w:p w14:paraId="6BF4AB0E"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Pollution des eaux à l’exutoire</w:t>
            </w:r>
          </w:p>
        </w:tc>
      </w:tr>
      <w:tr w:rsidR="00BD1A2F" w:rsidRPr="009B46E2" w14:paraId="16EA07EC" w14:textId="77777777" w:rsidTr="003A0E4A">
        <w:trPr>
          <w:trHeight w:val="509"/>
        </w:trPr>
        <w:tc>
          <w:tcPr>
            <w:tcW w:w="759" w:type="pct"/>
          </w:tcPr>
          <w:p w14:paraId="2278FC1F"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prévention</w:t>
            </w:r>
            <w:proofErr w:type="spellEnd"/>
          </w:p>
        </w:tc>
        <w:tc>
          <w:tcPr>
            <w:tcW w:w="4241" w:type="pct"/>
            <w:gridSpan w:val="5"/>
          </w:tcPr>
          <w:p w14:paraId="166CFB25" w14:textId="00953B02" w:rsidR="00DE241D" w:rsidRPr="0097258B" w:rsidRDefault="00DE241D" w:rsidP="001748C6">
            <w:pPr>
              <w:pStyle w:val="Paragraphedeliste"/>
              <w:numPr>
                <w:ilvl w:val="0"/>
                <w:numId w:val="315"/>
              </w:numPr>
              <w:tabs>
                <w:tab w:val="left" w:pos="1305"/>
              </w:tabs>
              <w:spacing w:line="240" w:lineRule="auto"/>
              <w:ind w:left="417" w:right="113"/>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Sensibiliser les populations sur les risques associés aux rejets d’eaux usées dans les réseaux eaux pluviales ;</w:t>
            </w:r>
          </w:p>
          <w:p w14:paraId="366136A0" w14:textId="34D9F286" w:rsidR="00C239BD" w:rsidRPr="0097258B" w:rsidRDefault="007A5F7C" w:rsidP="001748C6">
            <w:pPr>
              <w:pStyle w:val="Paragraphedeliste"/>
              <w:numPr>
                <w:ilvl w:val="0"/>
                <w:numId w:val="315"/>
              </w:numPr>
              <w:tabs>
                <w:tab w:val="left" w:pos="1305"/>
              </w:tabs>
              <w:spacing w:line="240" w:lineRule="auto"/>
              <w:ind w:left="417" w:right="113"/>
              <w:jc w:val="both"/>
              <w:rPr>
                <w:rFonts w:ascii="Times New Roman" w:hAnsi="Times New Roman"/>
                <w:color w:val="000000" w:themeColor="text1"/>
                <w:sz w:val="20"/>
                <w:szCs w:val="20"/>
                <w:lang w:val="fr-FR"/>
              </w:rPr>
            </w:pPr>
            <w:proofErr w:type="spellStart"/>
            <w:r w:rsidRPr="00301AF6">
              <w:rPr>
                <w:rFonts w:ascii="Times New Roman" w:hAnsi="Times New Roman"/>
                <w:color w:val="000000" w:themeColor="text1"/>
                <w:sz w:val="20"/>
                <w:szCs w:val="20"/>
                <w:lang w:val="fr-FR"/>
              </w:rPr>
              <w:t>S</w:t>
            </w:r>
            <w:r w:rsidR="00DE241D" w:rsidRPr="00301AF6">
              <w:rPr>
                <w:rFonts w:ascii="Times New Roman" w:hAnsi="Times New Roman"/>
                <w:color w:val="000000" w:themeColor="text1"/>
                <w:sz w:val="20"/>
                <w:szCs w:val="20"/>
                <w:lang w:val="fr-FR"/>
              </w:rPr>
              <w:t>nction</w:t>
            </w:r>
            <w:r w:rsidRPr="00301AF6">
              <w:rPr>
                <w:rFonts w:ascii="Times New Roman" w:hAnsi="Times New Roman"/>
                <w:color w:val="000000" w:themeColor="text1"/>
                <w:sz w:val="20"/>
                <w:szCs w:val="20"/>
                <w:lang w:val="fr-FR"/>
              </w:rPr>
              <w:t>ne</w:t>
            </w:r>
            <w:r w:rsidR="00DE241D" w:rsidRPr="00301AF6">
              <w:rPr>
                <w:rFonts w:ascii="Times New Roman" w:hAnsi="Times New Roman"/>
                <w:color w:val="000000" w:themeColor="text1"/>
                <w:sz w:val="20"/>
                <w:szCs w:val="20"/>
                <w:lang w:val="fr-FR"/>
              </w:rPr>
              <w:t>r</w:t>
            </w:r>
            <w:proofErr w:type="spellEnd"/>
            <w:r w:rsidR="00DE241D" w:rsidRPr="00301AF6">
              <w:rPr>
                <w:rFonts w:ascii="Times New Roman" w:hAnsi="Times New Roman"/>
                <w:color w:val="000000" w:themeColor="text1"/>
                <w:sz w:val="20"/>
                <w:szCs w:val="20"/>
                <w:lang w:val="fr-FR"/>
              </w:rPr>
              <w:t xml:space="preserve"> ceux qui violeraient l’interdiction des branchement</w:t>
            </w:r>
            <w:r w:rsidR="00CC5926" w:rsidRPr="00301AF6">
              <w:rPr>
                <w:rFonts w:ascii="Times New Roman" w:hAnsi="Times New Roman"/>
                <w:color w:val="000000" w:themeColor="text1"/>
                <w:sz w:val="20"/>
                <w:szCs w:val="20"/>
                <w:lang w:val="fr-FR"/>
              </w:rPr>
              <w:t>s</w:t>
            </w:r>
            <w:r w:rsidR="00DE241D" w:rsidRPr="00301AF6">
              <w:rPr>
                <w:rFonts w:ascii="Times New Roman" w:hAnsi="Times New Roman"/>
                <w:color w:val="000000" w:themeColor="text1"/>
                <w:sz w:val="20"/>
                <w:szCs w:val="20"/>
                <w:lang w:val="fr-FR"/>
              </w:rPr>
              <w:t xml:space="preserve"> </w:t>
            </w:r>
            <w:proofErr w:type="spellStart"/>
            <w:proofErr w:type="gramStart"/>
            <w:r w:rsidR="00DE241D" w:rsidRPr="00301AF6">
              <w:rPr>
                <w:rFonts w:ascii="Times New Roman" w:hAnsi="Times New Roman"/>
                <w:color w:val="000000" w:themeColor="text1"/>
                <w:sz w:val="20"/>
                <w:szCs w:val="20"/>
                <w:lang w:val="fr-FR"/>
              </w:rPr>
              <w:t>clandestins</w:t>
            </w:r>
            <w:r w:rsidRPr="00301AF6">
              <w:rPr>
                <w:rFonts w:ascii="Times New Roman" w:hAnsi="Times New Roman"/>
                <w:color w:val="000000" w:themeColor="text1"/>
                <w:sz w:val="20"/>
                <w:szCs w:val="20"/>
                <w:lang w:val="fr-FR"/>
              </w:rPr>
              <w:t>.</w:t>
            </w:r>
            <w:r w:rsidR="00C239BD" w:rsidRPr="00301AF6">
              <w:rPr>
                <w:rFonts w:ascii="Times New Roman" w:hAnsi="Times New Roman"/>
                <w:color w:val="000000" w:themeColor="text1"/>
                <w:sz w:val="20"/>
                <w:szCs w:val="20"/>
                <w:lang w:val="fr-FR"/>
              </w:rPr>
              <w:t>Effectuer</w:t>
            </w:r>
            <w:proofErr w:type="spellEnd"/>
            <w:proofErr w:type="gramEnd"/>
            <w:r w:rsidR="00C239BD" w:rsidRPr="00301AF6">
              <w:rPr>
                <w:rFonts w:ascii="Times New Roman" w:hAnsi="Times New Roman"/>
                <w:color w:val="000000" w:themeColor="text1"/>
                <w:sz w:val="20"/>
                <w:szCs w:val="20"/>
                <w:lang w:val="fr-FR"/>
              </w:rPr>
              <w:t xml:space="preserve"> des contrôles et inspections périodiques des collecteurs pour </w:t>
            </w:r>
            <w:r w:rsidR="00D024FE" w:rsidRPr="00301AF6">
              <w:rPr>
                <w:rFonts w:ascii="Times New Roman" w:hAnsi="Times New Roman"/>
                <w:color w:val="000000" w:themeColor="text1"/>
                <w:sz w:val="20"/>
                <w:szCs w:val="20"/>
                <w:lang w:val="fr-FR"/>
              </w:rPr>
              <w:t>prévenir</w:t>
            </w:r>
            <w:r w:rsidR="00C239BD" w:rsidRPr="00301AF6">
              <w:rPr>
                <w:rFonts w:ascii="Times New Roman" w:hAnsi="Times New Roman"/>
                <w:color w:val="000000" w:themeColor="text1"/>
                <w:sz w:val="20"/>
                <w:szCs w:val="20"/>
                <w:lang w:val="fr-FR"/>
              </w:rPr>
              <w:t xml:space="preserve"> tout branchement </w:t>
            </w:r>
            <w:r w:rsidR="00D024FE" w:rsidRPr="00301AF6">
              <w:rPr>
                <w:rFonts w:ascii="Times New Roman" w:hAnsi="Times New Roman"/>
                <w:color w:val="000000" w:themeColor="text1"/>
                <w:sz w:val="20"/>
                <w:szCs w:val="20"/>
                <w:lang w:val="fr-FR"/>
              </w:rPr>
              <w:t>clandestin ;</w:t>
            </w:r>
          </w:p>
          <w:p w14:paraId="7C745B93" w14:textId="4C73CC2A" w:rsidR="00DE241D" w:rsidRPr="0097258B" w:rsidRDefault="00DE241D" w:rsidP="007A5F7C">
            <w:pPr>
              <w:pStyle w:val="Paragraphedeliste"/>
              <w:numPr>
                <w:ilvl w:val="0"/>
                <w:numId w:val="315"/>
              </w:numPr>
              <w:tabs>
                <w:tab w:val="left" w:pos="1305"/>
              </w:tabs>
              <w:spacing w:line="240" w:lineRule="auto"/>
              <w:ind w:left="417" w:right="113"/>
              <w:jc w:val="both"/>
              <w:rPr>
                <w:rFonts w:ascii="Times New Roman" w:hAnsi="Times New Roman"/>
                <w:color w:val="000000" w:themeColor="text1"/>
                <w:sz w:val="20"/>
                <w:szCs w:val="20"/>
                <w:lang w:val="fr-FR"/>
              </w:rPr>
            </w:pPr>
          </w:p>
        </w:tc>
      </w:tr>
      <w:tr w:rsidR="00BD1A2F" w:rsidRPr="009B46E2" w14:paraId="1BB23859" w14:textId="77777777" w:rsidTr="003A0E4A">
        <w:trPr>
          <w:trHeight w:val="230"/>
        </w:trPr>
        <w:tc>
          <w:tcPr>
            <w:tcW w:w="759" w:type="pct"/>
          </w:tcPr>
          <w:p w14:paraId="2B3EA368"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421" w:type="pct"/>
          </w:tcPr>
          <w:p w14:paraId="1D0F88E0"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final</w:t>
            </w:r>
          </w:p>
        </w:tc>
        <w:tc>
          <w:tcPr>
            <w:tcW w:w="736" w:type="pct"/>
          </w:tcPr>
          <w:p w14:paraId="7802C6C6"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41" w:type="pct"/>
          </w:tcPr>
          <w:p w14:paraId="1D908C1F"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628" w:type="pct"/>
          </w:tcPr>
          <w:p w14:paraId="4D5C5435"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915" w:type="pct"/>
          </w:tcPr>
          <w:p w14:paraId="6A175203"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r w:rsidRPr="0097258B">
              <w:rPr>
                <w:rFonts w:ascii="Times New Roman" w:hAnsi="Times New Roman" w:cs="Times New Roman"/>
                <w:b/>
                <w:bCs/>
                <w:color w:val="000000" w:themeColor="text1"/>
                <w:sz w:val="20"/>
                <w:szCs w:val="20"/>
              </w:rPr>
              <w:t xml:space="preserve"> </w:t>
            </w:r>
            <w:proofErr w:type="spellStart"/>
            <w:r w:rsidRPr="0097258B">
              <w:rPr>
                <w:rFonts w:ascii="Times New Roman" w:hAnsi="Times New Roman" w:cs="Times New Roman"/>
                <w:b/>
                <w:bCs/>
                <w:color w:val="000000" w:themeColor="text1"/>
                <w:sz w:val="20"/>
                <w:szCs w:val="20"/>
              </w:rPr>
              <w:t>résiduel</w:t>
            </w:r>
            <w:proofErr w:type="spellEnd"/>
          </w:p>
        </w:tc>
      </w:tr>
      <w:tr w:rsidR="00BD1A2F" w:rsidRPr="009B46E2" w14:paraId="36F6C778" w14:textId="77777777" w:rsidTr="003A0E4A">
        <w:trPr>
          <w:trHeight w:val="230"/>
        </w:trPr>
        <w:tc>
          <w:tcPr>
            <w:tcW w:w="759" w:type="pct"/>
          </w:tcPr>
          <w:p w14:paraId="1F288075"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Après </w:t>
            </w:r>
            <w:proofErr w:type="spellStart"/>
            <w:r w:rsidRPr="0097258B">
              <w:rPr>
                <w:rFonts w:ascii="Times New Roman" w:hAnsi="Times New Roman" w:cs="Times New Roman"/>
                <w:color w:val="000000" w:themeColor="text1"/>
                <w:sz w:val="20"/>
                <w:szCs w:val="20"/>
              </w:rPr>
              <w:t>prévention</w:t>
            </w:r>
            <w:proofErr w:type="spellEnd"/>
          </w:p>
        </w:tc>
        <w:tc>
          <w:tcPr>
            <w:tcW w:w="1421" w:type="pct"/>
          </w:tcPr>
          <w:p w14:paraId="6FD4BEF9" w14:textId="7F947E90" w:rsidR="00DE241D" w:rsidRPr="0097258B" w:rsidRDefault="00873E37"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301AF6">
              <w:rPr>
                <w:rFonts w:ascii="Times New Roman" w:hAnsi="Times New Roman" w:cs="Times New Roman"/>
                <w:color w:val="000000" w:themeColor="text1"/>
                <w:sz w:val="20"/>
                <w:szCs w:val="20"/>
                <w:lang w:val="fr-FR"/>
              </w:rPr>
              <w:t>Gestion et maintenance des ouvrage</w:t>
            </w:r>
          </w:p>
        </w:tc>
        <w:tc>
          <w:tcPr>
            <w:tcW w:w="736" w:type="pct"/>
          </w:tcPr>
          <w:p w14:paraId="4FAF58AF"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14E9FFBA"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41" w:type="pct"/>
          </w:tcPr>
          <w:p w14:paraId="7004475A"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6F323E28"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628" w:type="pct"/>
            <w:shd w:val="clear" w:color="auto" w:fill="92D050"/>
          </w:tcPr>
          <w:p w14:paraId="7587651C"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663EE89E"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11</w:t>
            </w:r>
          </w:p>
        </w:tc>
        <w:tc>
          <w:tcPr>
            <w:tcW w:w="915" w:type="pct"/>
          </w:tcPr>
          <w:p w14:paraId="166EE292" w14:textId="7EC858B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301AF6">
              <w:rPr>
                <w:rFonts w:ascii="Times New Roman" w:hAnsi="Times New Roman" w:cs="Times New Roman"/>
                <w:color w:val="000000" w:themeColor="text1"/>
                <w:sz w:val="20"/>
                <w:szCs w:val="20"/>
                <w:lang w:val="fr-FR"/>
              </w:rPr>
              <w:t>Pollution des eaux pluviales drainées</w:t>
            </w:r>
          </w:p>
        </w:tc>
      </w:tr>
    </w:tbl>
    <w:p w14:paraId="344F048F" w14:textId="77777777" w:rsidR="00DE241D" w:rsidRPr="00260790" w:rsidRDefault="00DE241D" w:rsidP="00E20250">
      <w:pPr>
        <w:spacing w:after="0" w:line="240" w:lineRule="auto"/>
        <w:jc w:val="both"/>
        <w:rPr>
          <w:rFonts w:ascii="Times New Roman" w:hAnsi="Times New Roman"/>
          <w:color w:val="000000" w:themeColor="text1"/>
        </w:rPr>
      </w:pPr>
    </w:p>
    <w:p w14:paraId="566EC41B" w14:textId="67004ECD" w:rsidR="00DE241D" w:rsidRPr="00260790" w:rsidRDefault="00DE241D" w:rsidP="001748C6">
      <w:pPr>
        <w:pStyle w:val="Paragraphedeliste"/>
        <w:numPr>
          <w:ilvl w:val="0"/>
          <w:numId w:val="362"/>
        </w:numPr>
        <w:spacing w:after="0"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RI-33. Risque d’obstruction des collecteurs par des déchets solides et/ou la végétation</w:t>
      </w:r>
    </w:p>
    <w:p w14:paraId="726617B2" w14:textId="11DC0516"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Le dépotage des déchets solides et/ou le développement d’hydrophytes dans les collecteurs à ciel ouvert sont courants au Sénégal. De telles situations finissent par obstruer les collecteurs. Pour y parer, le PROGE</w:t>
      </w:r>
      <w:r w:rsidR="00177E44">
        <w:rPr>
          <w:rFonts w:ascii="Times New Roman" w:hAnsi="Times New Roman"/>
          <w:color w:val="000000" w:themeColor="text1"/>
        </w:rPr>
        <w:t>P II</w:t>
      </w:r>
      <w:r w:rsidRPr="00260790">
        <w:rPr>
          <w:rFonts w:ascii="Times New Roman" w:hAnsi="Times New Roman"/>
          <w:color w:val="000000" w:themeColor="text1"/>
        </w:rPr>
        <w:t xml:space="preserve"> devra sensibiliser les populations sur les risques associés à l’obstruction des collecteurs et assurer un entretien régulier des ouvrages.</w:t>
      </w:r>
    </w:p>
    <w:p w14:paraId="51A80A57"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Ci-dessous le résumé de l’analyse du risque d’obstruction des collecteurs à ciel ouvert par des déchets solides et/ou la végétation.</w:t>
      </w:r>
    </w:p>
    <w:p w14:paraId="36A17D0E" w14:textId="1F6169CE" w:rsidR="00DE241D" w:rsidRPr="00260790" w:rsidRDefault="00DE241D" w:rsidP="00E20250">
      <w:pPr>
        <w:pStyle w:val="Lgende"/>
        <w:spacing w:line="240" w:lineRule="auto"/>
        <w:rPr>
          <w:color w:val="000000" w:themeColor="text1"/>
          <w:sz w:val="22"/>
          <w:szCs w:val="22"/>
        </w:rPr>
      </w:pPr>
      <w:bookmarkStart w:id="664" w:name="_Toc207781919"/>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78</w:t>
      </w:r>
      <w:r w:rsidRPr="00260790">
        <w:rPr>
          <w:color w:val="000000" w:themeColor="text1"/>
          <w:sz w:val="22"/>
          <w:szCs w:val="22"/>
        </w:rPr>
        <w:fldChar w:fldCharType="end"/>
      </w:r>
      <w:r w:rsidRPr="00260790">
        <w:rPr>
          <w:color w:val="000000" w:themeColor="text1"/>
          <w:sz w:val="22"/>
          <w:szCs w:val="22"/>
        </w:rPr>
        <w:t> : résumé de l’analyse du risque d’obstruction des collecteurs à ciel ouvert par des déchets solides et/ou la végétation</w:t>
      </w:r>
      <w:bookmarkEnd w:id="664"/>
    </w:p>
    <w:tbl>
      <w:tblPr>
        <w:tblStyle w:val="TableNormal1"/>
        <w:tblW w:w="531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95"/>
        <w:gridCol w:w="2058"/>
        <w:gridCol w:w="1333"/>
        <w:gridCol w:w="971"/>
        <w:gridCol w:w="1039"/>
        <w:gridCol w:w="2738"/>
      </w:tblGrid>
      <w:tr w:rsidR="00BD1A2F" w:rsidRPr="009B46E2" w14:paraId="056B29A2" w14:textId="77777777" w:rsidTr="00150E6B">
        <w:trPr>
          <w:trHeight w:val="230"/>
        </w:trPr>
        <w:tc>
          <w:tcPr>
            <w:tcW w:w="5000" w:type="pct"/>
            <w:gridSpan w:val="6"/>
            <w:shd w:val="clear" w:color="auto" w:fill="D9E2F3" w:themeFill="accent5" w:themeFillTint="33"/>
          </w:tcPr>
          <w:p w14:paraId="6C474691" w14:textId="77777777" w:rsidR="00DE241D" w:rsidRPr="0097258B" w:rsidRDefault="00DE241D" w:rsidP="00E20250">
            <w:pPr>
              <w:spacing w:line="240" w:lineRule="auto"/>
              <w:jc w:val="both"/>
              <w:rPr>
                <w:rFonts w:ascii="Times New Roman" w:hAnsi="Times New Roman"/>
                <w:color w:val="000000" w:themeColor="text1"/>
                <w:sz w:val="20"/>
                <w:szCs w:val="20"/>
                <w:lang w:val="fr-FR"/>
              </w:rPr>
            </w:pPr>
            <w:r w:rsidRPr="00301AF6">
              <w:rPr>
                <w:rFonts w:ascii="Times New Roman" w:hAnsi="Times New Roman"/>
                <w:b/>
                <w:bCs/>
                <w:color w:val="000000" w:themeColor="text1"/>
                <w:sz w:val="20"/>
                <w:szCs w:val="20"/>
                <w:lang w:val="fr-FR"/>
              </w:rPr>
              <w:t>RI-33.</w:t>
            </w:r>
            <w:r w:rsidRPr="00301AF6">
              <w:rPr>
                <w:rFonts w:ascii="Times New Roman" w:hAnsi="Times New Roman"/>
                <w:b/>
                <w:bCs/>
                <w:i/>
                <w:iCs/>
                <w:color w:val="000000" w:themeColor="text1"/>
                <w:sz w:val="20"/>
                <w:szCs w:val="20"/>
                <w:lang w:val="fr-FR"/>
              </w:rPr>
              <w:t xml:space="preserve"> </w:t>
            </w:r>
            <w:r w:rsidRPr="00301AF6">
              <w:rPr>
                <w:rFonts w:ascii="Times New Roman" w:hAnsi="Times New Roman"/>
                <w:b/>
                <w:bCs/>
                <w:color w:val="000000" w:themeColor="text1"/>
                <w:sz w:val="20"/>
                <w:szCs w:val="20"/>
                <w:lang w:val="fr-FR"/>
              </w:rPr>
              <w:t>Risque d’obstruction des collecteurs à ciel ouvert par des déchets solides et/la végétation</w:t>
            </w:r>
          </w:p>
        </w:tc>
      </w:tr>
      <w:tr w:rsidR="00BD1A2F" w:rsidRPr="009B46E2" w14:paraId="67C7C54F" w14:textId="77777777" w:rsidTr="00150E6B">
        <w:trPr>
          <w:trHeight w:val="230"/>
        </w:trPr>
        <w:tc>
          <w:tcPr>
            <w:tcW w:w="5000" w:type="pct"/>
            <w:gridSpan w:val="6"/>
          </w:tcPr>
          <w:p w14:paraId="7B28D030"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roofErr w:type="spellStart"/>
            <w:proofErr w:type="gramStart"/>
            <w:r w:rsidRPr="0097258B">
              <w:rPr>
                <w:rFonts w:ascii="Times New Roman" w:hAnsi="Times New Roman" w:cs="Times New Roman"/>
                <w:b/>
                <w:bCs/>
                <w:color w:val="000000" w:themeColor="text1"/>
                <w:sz w:val="20"/>
                <w:szCs w:val="20"/>
              </w:rPr>
              <w:t>Activités</w:t>
            </w:r>
            <w:proofErr w:type="spellEnd"/>
            <w:r w:rsidRPr="0097258B">
              <w:rPr>
                <w:rFonts w:ascii="Times New Roman" w:hAnsi="Times New Roman" w:cs="Times New Roman"/>
                <w:b/>
                <w:bCs/>
                <w:color w:val="000000" w:themeColor="text1"/>
                <w:sz w:val="20"/>
                <w:szCs w:val="20"/>
              </w:rPr>
              <w:t xml:space="preserve"> :</w:t>
            </w:r>
            <w:proofErr w:type="gram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Fonctionnement</w:t>
            </w:r>
            <w:proofErr w:type="spellEnd"/>
            <w:r w:rsidRPr="0097258B">
              <w:rPr>
                <w:rFonts w:ascii="Times New Roman" w:hAnsi="Times New Roman" w:cs="Times New Roman"/>
                <w:color w:val="000000" w:themeColor="text1"/>
                <w:sz w:val="20"/>
                <w:szCs w:val="20"/>
              </w:rPr>
              <w:t xml:space="preserve"> des </w:t>
            </w:r>
            <w:proofErr w:type="spellStart"/>
            <w:r w:rsidRPr="0097258B">
              <w:rPr>
                <w:rFonts w:ascii="Times New Roman" w:hAnsi="Times New Roman" w:cs="Times New Roman"/>
                <w:color w:val="000000" w:themeColor="text1"/>
                <w:sz w:val="20"/>
                <w:szCs w:val="20"/>
              </w:rPr>
              <w:t>collecteurs</w:t>
            </w:r>
            <w:proofErr w:type="spellEnd"/>
          </w:p>
        </w:tc>
      </w:tr>
      <w:tr w:rsidR="00BD1A2F" w:rsidRPr="009B46E2" w14:paraId="035673D5" w14:textId="77777777" w:rsidTr="00150E6B">
        <w:trPr>
          <w:trHeight w:val="230"/>
        </w:trPr>
        <w:tc>
          <w:tcPr>
            <w:tcW w:w="776" w:type="pct"/>
          </w:tcPr>
          <w:p w14:paraId="75E95BE9"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068" w:type="pct"/>
          </w:tcPr>
          <w:p w14:paraId="1477EF49"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initial</w:t>
            </w:r>
          </w:p>
        </w:tc>
        <w:tc>
          <w:tcPr>
            <w:tcW w:w="692" w:type="pct"/>
          </w:tcPr>
          <w:p w14:paraId="58237DE3"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04" w:type="pct"/>
          </w:tcPr>
          <w:p w14:paraId="64A15A69"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39" w:type="pct"/>
          </w:tcPr>
          <w:p w14:paraId="1D164C08"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422" w:type="pct"/>
          </w:tcPr>
          <w:p w14:paraId="7B6F993B"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p>
        </w:tc>
      </w:tr>
      <w:tr w:rsidR="00BD1A2F" w:rsidRPr="009B46E2" w14:paraId="3805CD2D" w14:textId="77777777" w:rsidTr="00150E6B">
        <w:trPr>
          <w:trHeight w:val="271"/>
        </w:trPr>
        <w:tc>
          <w:tcPr>
            <w:tcW w:w="776" w:type="pct"/>
          </w:tcPr>
          <w:p w14:paraId="26A66E8C"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Avant </w:t>
            </w:r>
            <w:proofErr w:type="spellStart"/>
            <w:r w:rsidRPr="0097258B">
              <w:rPr>
                <w:rFonts w:ascii="Times New Roman" w:hAnsi="Times New Roman" w:cs="Times New Roman"/>
                <w:color w:val="000000" w:themeColor="text1"/>
                <w:sz w:val="20"/>
                <w:szCs w:val="20"/>
              </w:rPr>
              <w:t>prévention</w:t>
            </w:r>
            <w:proofErr w:type="spellEnd"/>
          </w:p>
        </w:tc>
        <w:tc>
          <w:tcPr>
            <w:tcW w:w="1068" w:type="pct"/>
          </w:tcPr>
          <w:p w14:paraId="4D15A866" w14:textId="3C734094" w:rsidR="00DE241D" w:rsidRPr="0097258B" w:rsidRDefault="00987C98"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Obstruction des collecteurs</w:t>
            </w:r>
            <w:r w:rsidRPr="00301AF6">
              <w:rPr>
                <w:rFonts w:ascii="Times New Roman" w:hAnsi="Times New Roman"/>
                <w:color w:val="000000" w:themeColor="text1"/>
                <w:sz w:val="20"/>
                <w:szCs w:val="20"/>
                <w:lang w:val="fr-FR"/>
              </w:rPr>
              <w:t xml:space="preserve"> </w:t>
            </w:r>
            <w:r w:rsidR="00A430A0" w:rsidRPr="00301AF6">
              <w:rPr>
                <w:rFonts w:ascii="Times New Roman" w:hAnsi="Times New Roman"/>
                <w:color w:val="000000" w:themeColor="text1"/>
                <w:sz w:val="20"/>
                <w:szCs w:val="20"/>
                <w:lang w:val="fr-FR"/>
              </w:rPr>
              <w:t xml:space="preserve">en cas de rejet de déchets </w:t>
            </w:r>
          </w:p>
        </w:tc>
        <w:tc>
          <w:tcPr>
            <w:tcW w:w="692" w:type="pct"/>
            <w:vAlign w:val="center"/>
          </w:tcPr>
          <w:p w14:paraId="52EA2A4B"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04" w:type="pct"/>
            <w:vAlign w:val="center"/>
          </w:tcPr>
          <w:p w14:paraId="7C6565E5"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w:t>
            </w:r>
          </w:p>
        </w:tc>
        <w:tc>
          <w:tcPr>
            <w:tcW w:w="539" w:type="pct"/>
            <w:shd w:val="clear" w:color="auto" w:fill="FFFF00"/>
            <w:vAlign w:val="center"/>
          </w:tcPr>
          <w:p w14:paraId="5902FC8C"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32</w:t>
            </w:r>
          </w:p>
        </w:tc>
        <w:tc>
          <w:tcPr>
            <w:tcW w:w="1422" w:type="pct"/>
          </w:tcPr>
          <w:p w14:paraId="629F7886"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
          <w:p w14:paraId="1ADF9B93"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
          <w:p w14:paraId="0F6029A7"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Inondation du cadre de vie ;</w:t>
            </w:r>
          </w:p>
          <w:p w14:paraId="772A9793"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Altération du bien-être des populations</w:t>
            </w:r>
          </w:p>
        </w:tc>
      </w:tr>
      <w:tr w:rsidR="00BD1A2F" w:rsidRPr="009B46E2" w14:paraId="7242B030" w14:textId="77777777" w:rsidTr="00150E6B">
        <w:trPr>
          <w:trHeight w:val="509"/>
        </w:trPr>
        <w:tc>
          <w:tcPr>
            <w:tcW w:w="776" w:type="pct"/>
          </w:tcPr>
          <w:p w14:paraId="519D0B0B"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prévention</w:t>
            </w:r>
            <w:proofErr w:type="spellEnd"/>
          </w:p>
        </w:tc>
        <w:tc>
          <w:tcPr>
            <w:tcW w:w="4224" w:type="pct"/>
            <w:gridSpan w:val="5"/>
          </w:tcPr>
          <w:p w14:paraId="10BD7AB8" w14:textId="035711C4" w:rsidR="00DE241D" w:rsidRPr="0097258B" w:rsidRDefault="00DE241D" w:rsidP="001748C6">
            <w:pPr>
              <w:pStyle w:val="Paragraphedeliste"/>
              <w:numPr>
                <w:ilvl w:val="0"/>
                <w:numId w:val="315"/>
              </w:numPr>
              <w:tabs>
                <w:tab w:val="left" w:pos="1305"/>
              </w:tabs>
              <w:spacing w:after="160" w:line="240" w:lineRule="auto"/>
              <w:ind w:left="417" w:right="113"/>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Sensibiliser les populations sur les risques associés à l’obstruction des collecteurs à ciel ouvert ;</w:t>
            </w:r>
          </w:p>
          <w:p w14:paraId="50199087" w14:textId="77777777" w:rsidR="00DE241D" w:rsidRPr="0097258B" w:rsidRDefault="00DE241D" w:rsidP="001748C6">
            <w:pPr>
              <w:pStyle w:val="Paragraphedeliste"/>
              <w:numPr>
                <w:ilvl w:val="0"/>
                <w:numId w:val="315"/>
              </w:numPr>
              <w:tabs>
                <w:tab w:val="left" w:pos="1305"/>
              </w:tabs>
              <w:spacing w:after="160" w:line="240" w:lineRule="auto"/>
              <w:ind w:left="417" w:right="113"/>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Prévoir des sanctions pour ceux qui violeraient l’interdiction de rejet de déchets solides dans les collecteurs ;</w:t>
            </w:r>
          </w:p>
          <w:p w14:paraId="7FCA60E8" w14:textId="77777777" w:rsidR="00DE241D" w:rsidRPr="0097258B" w:rsidRDefault="00DE241D" w:rsidP="001748C6">
            <w:pPr>
              <w:pStyle w:val="Paragraphedeliste"/>
              <w:numPr>
                <w:ilvl w:val="0"/>
                <w:numId w:val="315"/>
              </w:numPr>
              <w:tabs>
                <w:tab w:val="left" w:pos="1305"/>
              </w:tabs>
              <w:spacing w:after="160" w:line="240" w:lineRule="auto"/>
              <w:ind w:left="417" w:right="113"/>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Mettre en place un système de collecte et d’évacuation des déchets solides ;</w:t>
            </w:r>
          </w:p>
          <w:p w14:paraId="11F4AAA1" w14:textId="77777777" w:rsidR="00DE241D" w:rsidRPr="0097258B" w:rsidRDefault="00DE241D" w:rsidP="001748C6">
            <w:pPr>
              <w:pStyle w:val="Paragraphedeliste"/>
              <w:numPr>
                <w:ilvl w:val="0"/>
                <w:numId w:val="315"/>
              </w:numPr>
              <w:tabs>
                <w:tab w:val="left" w:pos="1305"/>
              </w:tabs>
              <w:spacing w:after="160" w:line="240" w:lineRule="auto"/>
              <w:ind w:left="417" w:right="113"/>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Assurer l’entretien régulier des collecteurs</w:t>
            </w:r>
          </w:p>
        </w:tc>
      </w:tr>
      <w:tr w:rsidR="00BD1A2F" w:rsidRPr="009B46E2" w14:paraId="6F9C1EC0" w14:textId="77777777" w:rsidTr="00150E6B">
        <w:trPr>
          <w:trHeight w:val="230"/>
        </w:trPr>
        <w:tc>
          <w:tcPr>
            <w:tcW w:w="776" w:type="pct"/>
          </w:tcPr>
          <w:p w14:paraId="036E0924"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068" w:type="pct"/>
          </w:tcPr>
          <w:p w14:paraId="2F616C8A"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final</w:t>
            </w:r>
          </w:p>
        </w:tc>
        <w:tc>
          <w:tcPr>
            <w:tcW w:w="692" w:type="pct"/>
          </w:tcPr>
          <w:p w14:paraId="478DC864"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04" w:type="pct"/>
          </w:tcPr>
          <w:p w14:paraId="254D9180"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39" w:type="pct"/>
          </w:tcPr>
          <w:p w14:paraId="2BD3A7EE"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422" w:type="pct"/>
          </w:tcPr>
          <w:p w14:paraId="71DE136D"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r w:rsidRPr="0097258B">
              <w:rPr>
                <w:rFonts w:ascii="Times New Roman" w:hAnsi="Times New Roman" w:cs="Times New Roman"/>
                <w:b/>
                <w:bCs/>
                <w:color w:val="000000" w:themeColor="text1"/>
                <w:sz w:val="20"/>
                <w:szCs w:val="20"/>
              </w:rPr>
              <w:t xml:space="preserve"> </w:t>
            </w:r>
            <w:proofErr w:type="spellStart"/>
            <w:r w:rsidRPr="0097258B">
              <w:rPr>
                <w:rFonts w:ascii="Times New Roman" w:hAnsi="Times New Roman" w:cs="Times New Roman"/>
                <w:b/>
                <w:bCs/>
                <w:color w:val="000000" w:themeColor="text1"/>
                <w:sz w:val="20"/>
                <w:szCs w:val="20"/>
              </w:rPr>
              <w:t>résiduel</w:t>
            </w:r>
            <w:proofErr w:type="spellEnd"/>
          </w:p>
        </w:tc>
      </w:tr>
      <w:tr w:rsidR="00BD1A2F" w:rsidRPr="009B46E2" w14:paraId="53F548D3" w14:textId="77777777" w:rsidTr="00150E6B">
        <w:trPr>
          <w:trHeight w:val="230"/>
        </w:trPr>
        <w:tc>
          <w:tcPr>
            <w:tcW w:w="776" w:type="pct"/>
          </w:tcPr>
          <w:p w14:paraId="5354AA27"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Après </w:t>
            </w:r>
            <w:proofErr w:type="spellStart"/>
            <w:r w:rsidRPr="0097258B">
              <w:rPr>
                <w:rFonts w:ascii="Times New Roman" w:hAnsi="Times New Roman" w:cs="Times New Roman"/>
                <w:color w:val="000000" w:themeColor="text1"/>
                <w:sz w:val="20"/>
                <w:szCs w:val="20"/>
              </w:rPr>
              <w:t>prévention</w:t>
            </w:r>
            <w:proofErr w:type="spellEnd"/>
          </w:p>
        </w:tc>
        <w:tc>
          <w:tcPr>
            <w:tcW w:w="1068" w:type="pct"/>
          </w:tcPr>
          <w:p w14:paraId="7210847D" w14:textId="2C814249" w:rsidR="00DE241D" w:rsidRPr="0097258B" w:rsidRDefault="000B1995"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color w:val="000000" w:themeColor="text1"/>
                <w:sz w:val="20"/>
                <w:szCs w:val="20"/>
              </w:rPr>
              <w:t>Viabilité</w:t>
            </w:r>
            <w:proofErr w:type="spellEnd"/>
            <w:r w:rsidRPr="0097258B">
              <w:rPr>
                <w:rFonts w:ascii="Times New Roman" w:hAnsi="Times New Roman" w:cs="Times New Roman"/>
                <w:color w:val="000000" w:themeColor="text1"/>
                <w:sz w:val="20"/>
                <w:szCs w:val="20"/>
              </w:rPr>
              <w:t xml:space="preserve"> d</w:t>
            </w:r>
            <w:r w:rsidR="000D7F9F" w:rsidRPr="0097258B">
              <w:rPr>
                <w:rFonts w:ascii="Times New Roman" w:hAnsi="Times New Roman" w:cs="Times New Roman"/>
                <w:color w:val="000000" w:themeColor="text1"/>
                <w:sz w:val="20"/>
                <w:szCs w:val="20"/>
              </w:rPr>
              <w:t xml:space="preserve">es </w:t>
            </w:r>
            <w:proofErr w:type="spellStart"/>
            <w:r w:rsidR="000D7F9F" w:rsidRPr="0097258B">
              <w:rPr>
                <w:rFonts w:ascii="Times New Roman" w:hAnsi="Times New Roman" w:cs="Times New Roman"/>
                <w:color w:val="000000" w:themeColor="text1"/>
                <w:sz w:val="20"/>
                <w:szCs w:val="20"/>
              </w:rPr>
              <w:t>ouvrages</w:t>
            </w:r>
            <w:proofErr w:type="spellEnd"/>
            <w:r w:rsidR="00DE241D" w:rsidRPr="0097258B">
              <w:rPr>
                <w:rFonts w:ascii="Times New Roman" w:hAnsi="Times New Roman" w:cs="Times New Roman"/>
                <w:color w:val="000000" w:themeColor="text1"/>
                <w:sz w:val="20"/>
                <w:szCs w:val="20"/>
              </w:rPr>
              <w:t xml:space="preserve"> </w:t>
            </w:r>
          </w:p>
        </w:tc>
        <w:tc>
          <w:tcPr>
            <w:tcW w:w="692" w:type="pct"/>
          </w:tcPr>
          <w:p w14:paraId="7EB7A5F1"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66661C8A"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04" w:type="pct"/>
          </w:tcPr>
          <w:p w14:paraId="7661BC10"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1E789B2A"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39" w:type="pct"/>
            <w:shd w:val="clear" w:color="auto" w:fill="92D050"/>
          </w:tcPr>
          <w:p w14:paraId="13E55CB9"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6122DD1A"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11</w:t>
            </w:r>
          </w:p>
        </w:tc>
        <w:tc>
          <w:tcPr>
            <w:tcW w:w="1422" w:type="pct"/>
          </w:tcPr>
          <w:p w14:paraId="11891B9E" w14:textId="75D8C029" w:rsidR="00DE241D" w:rsidRPr="0097258B" w:rsidRDefault="000D7F9F"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gramStart"/>
            <w:r w:rsidRPr="00301AF6">
              <w:rPr>
                <w:rFonts w:ascii="Times New Roman" w:hAnsi="Times New Roman" w:cs="Times New Roman"/>
                <w:color w:val="000000" w:themeColor="text1"/>
                <w:sz w:val="20"/>
                <w:szCs w:val="20"/>
                <w:lang w:val="fr-FR"/>
              </w:rPr>
              <w:t>efficacité</w:t>
            </w:r>
            <w:proofErr w:type="gramEnd"/>
            <w:r w:rsidRPr="00301AF6">
              <w:rPr>
                <w:rFonts w:ascii="Times New Roman" w:hAnsi="Times New Roman" w:cs="Times New Roman"/>
                <w:color w:val="000000" w:themeColor="text1"/>
                <w:sz w:val="20"/>
                <w:szCs w:val="20"/>
                <w:lang w:val="fr-FR"/>
              </w:rPr>
              <w:t xml:space="preserve"> su système de drainage</w:t>
            </w:r>
          </w:p>
        </w:tc>
      </w:tr>
    </w:tbl>
    <w:p w14:paraId="4F674157" w14:textId="77777777" w:rsidR="00DE241D" w:rsidRPr="00260790" w:rsidRDefault="00DE241D" w:rsidP="00E20250">
      <w:pPr>
        <w:pStyle w:val="Paragraphedeliste"/>
        <w:numPr>
          <w:ilvl w:val="4"/>
          <w:numId w:val="0"/>
        </w:numPr>
        <w:spacing w:before="120" w:after="120" w:line="240" w:lineRule="auto"/>
        <w:ind w:left="1080" w:hanging="1080"/>
        <w:jc w:val="both"/>
        <w:rPr>
          <w:rFonts w:ascii="Times New Roman" w:hAnsi="Times New Roman"/>
          <w:b/>
          <w:bCs/>
          <w:color w:val="000000" w:themeColor="text1"/>
        </w:rPr>
      </w:pPr>
      <w:r w:rsidRPr="00260790">
        <w:rPr>
          <w:rFonts w:ascii="Times New Roman" w:hAnsi="Times New Roman"/>
          <w:b/>
          <w:bCs/>
          <w:color w:val="000000" w:themeColor="text1"/>
        </w:rPr>
        <w:lastRenderedPageBreak/>
        <w:t>Impacts négatifs et risques spécifiques aux bassins et à l’exutoire</w:t>
      </w:r>
    </w:p>
    <w:p w14:paraId="47427E7F" w14:textId="77777777" w:rsidR="00DE241D" w:rsidRPr="00260790" w:rsidRDefault="00DE241D" w:rsidP="00E20250">
      <w:pPr>
        <w:pStyle w:val="Paragraphedeliste"/>
        <w:spacing w:before="120" w:after="120" w:line="240" w:lineRule="auto"/>
        <w:ind w:left="1080"/>
        <w:jc w:val="both"/>
        <w:rPr>
          <w:rFonts w:ascii="Times New Roman" w:hAnsi="Times New Roman"/>
          <w:b/>
          <w:bCs/>
          <w:color w:val="000000" w:themeColor="text1"/>
        </w:rPr>
      </w:pPr>
    </w:p>
    <w:p w14:paraId="5CFBAA72" w14:textId="77777777" w:rsidR="00DE241D" w:rsidRPr="00260790" w:rsidRDefault="00DE241D" w:rsidP="001748C6">
      <w:pPr>
        <w:pStyle w:val="Paragraphedeliste"/>
        <w:numPr>
          <w:ilvl w:val="0"/>
          <w:numId w:val="337"/>
        </w:numPr>
        <w:spacing w:after="0" w:line="240" w:lineRule="auto"/>
        <w:rPr>
          <w:rFonts w:ascii="Times New Roman" w:hAnsi="Times New Roman"/>
          <w:i/>
          <w:iCs/>
          <w:color w:val="000000" w:themeColor="text1"/>
          <w:u w:val="single"/>
          <w:lang w:eastAsia="fr-FR"/>
        </w:rPr>
      </w:pPr>
      <w:r w:rsidRPr="00260790">
        <w:rPr>
          <w:rFonts w:ascii="Times New Roman" w:hAnsi="Times New Roman"/>
          <w:i/>
          <w:iCs/>
          <w:color w:val="000000" w:themeColor="text1"/>
          <w:u w:val="single"/>
          <w:lang w:eastAsia="fr-FR"/>
        </w:rPr>
        <w:t xml:space="preserve">Impacts négatifs et risques sur le milieu physique </w:t>
      </w:r>
    </w:p>
    <w:p w14:paraId="3DC6CF3A" w14:textId="77777777" w:rsidR="00DE241D" w:rsidRPr="00260790" w:rsidRDefault="00DE241D" w:rsidP="00F83414">
      <w:pPr>
        <w:spacing w:after="0" w:line="240" w:lineRule="auto"/>
        <w:rPr>
          <w:rFonts w:ascii="Times New Roman" w:hAnsi="Times New Roman"/>
          <w:color w:val="000000" w:themeColor="text1"/>
          <w:lang w:eastAsia="fr-FR"/>
        </w:rPr>
      </w:pPr>
    </w:p>
    <w:p w14:paraId="0F08A88F" w14:textId="77777777" w:rsidR="00DE241D" w:rsidRPr="00260790" w:rsidRDefault="00DE241D" w:rsidP="001748C6">
      <w:pPr>
        <w:pStyle w:val="Paragraphedeliste"/>
        <w:numPr>
          <w:ilvl w:val="0"/>
          <w:numId w:val="363"/>
        </w:numPr>
        <w:spacing w:after="0"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RI-34. Risque pollution et/ou d’aggravation de la pollution des eaux de surface (bassins et de l’exutoire)</w:t>
      </w:r>
    </w:p>
    <w:p w14:paraId="5A372A2C" w14:textId="77777777" w:rsidR="00DE241D" w:rsidRPr="00177E44"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Les eaux pluviales reflètent naturellement la qualité de l’air ambiant. Cependant, elles</w:t>
      </w:r>
      <w:r w:rsidRPr="00260790">
        <w:rPr>
          <w:rStyle w:val="lev"/>
          <w:rFonts w:ascii="Times New Roman" w:hAnsi="Times New Roman"/>
          <w:color w:val="000000" w:themeColor="text1"/>
        </w:rPr>
        <w:t xml:space="preserve"> </w:t>
      </w:r>
      <w:r w:rsidRPr="00177E44">
        <w:rPr>
          <w:rStyle w:val="lev"/>
          <w:rFonts w:ascii="Times New Roman" w:hAnsi="Times New Roman"/>
          <w:b w:val="0"/>
          <w:color w:val="000000" w:themeColor="text1"/>
        </w:rPr>
        <w:t>se chargent aussi en polluants</w:t>
      </w:r>
      <w:r w:rsidRPr="00177E44">
        <w:rPr>
          <w:rFonts w:ascii="Times New Roman" w:hAnsi="Times New Roman"/>
          <w:color w:val="000000" w:themeColor="text1"/>
        </w:rPr>
        <w:t xml:space="preserve"> (hydrocarbure, huile de moteur…) au contact des surfaces sur lesquelles elles s’écoulent. </w:t>
      </w:r>
    </w:p>
    <w:p w14:paraId="1159CAFB" w14:textId="1750D657" w:rsidR="00DE241D" w:rsidRPr="00260790" w:rsidRDefault="00DE241D" w:rsidP="00E20250">
      <w:pPr>
        <w:spacing w:line="240" w:lineRule="auto"/>
        <w:jc w:val="both"/>
        <w:rPr>
          <w:rFonts w:ascii="Times New Roman" w:hAnsi="Times New Roman"/>
          <w:color w:val="000000" w:themeColor="text1"/>
        </w:rPr>
      </w:pPr>
      <w:r w:rsidRPr="00177E44">
        <w:rPr>
          <w:rFonts w:ascii="Times New Roman" w:hAnsi="Times New Roman"/>
          <w:color w:val="000000" w:themeColor="text1"/>
        </w:rPr>
        <w:t xml:space="preserve">Le drainage de telles eaux vers l’exutoire </w:t>
      </w:r>
      <w:r w:rsidR="00E257D3">
        <w:rPr>
          <w:rFonts w:ascii="Times New Roman" w:hAnsi="Times New Roman"/>
          <w:color w:val="000000" w:themeColor="text1"/>
        </w:rPr>
        <w:t>peut</w:t>
      </w:r>
      <w:r w:rsidR="00E257D3" w:rsidRPr="00177E44">
        <w:rPr>
          <w:rFonts w:ascii="Times New Roman" w:hAnsi="Times New Roman"/>
          <w:color w:val="000000" w:themeColor="text1"/>
        </w:rPr>
        <w:t xml:space="preserve"> </w:t>
      </w:r>
      <w:r w:rsidRPr="00177E44">
        <w:rPr>
          <w:rFonts w:ascii="Times New Roman" w:hAnsi="Times New Roman"/>
          <w:color w:val="000000" w:themeColor="text1"/>
        </w:rPr>
        <w:t>entrainer ou aggraver la pollution des ressources hydriques de celui-ci. Ci-dessous le résumé de l’analyse du risque de pollution et/ou d’aggravation</w:t>
      </w:r>
      <w:r w:rsidRPr="00260790">
        <w:rPr>
          <w:rFonts w:ascii="Times New Roman" w:hAnsi="Times New Roman"/>
          <w:color w:val="000000" w:themeColor="text1"/>
        </w:rPr>
        <w:t xml:space="preserve"> de la pollution des eaux de surface (bassins et de l’exutoire).</w:t>
      </w:r>
    </w:p>
    <w:p w14:paraId="3CCCAF5D" w14:textId="0ACD34B4" w:rsidR="00DE241D" w:rsidRPr="00260790" w:rsidRDefault="00DE241D" w:rsidP="00E20250">
      <w:pPr>
        <w:pStyle w:val="Lgende"/>
        <w:spacing w:line="240" w:lineRule="auto"/>
        <w:rPr>
          <w:color w:val="000000" w:themeColor="text1"/>
          <w:sz w:val="22"/>
          <w:szCs w:val="22"/>
        </w:rPr>
      </w:pPr>
      <w:bookmarkStart w:id="665" w:name="_Toc207781920"/>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79</w:t>
      </w:r>
      <w:r w:rsidRPr="00260790">
        <w:rPr>
          <w:color w:val="000000" w:themeColor="text1"/>
          <w:sz w:val="22"/>
          <w:szCs w:val="22"/>
        </w:rPr>
        <w:fldChar w:fldCharType="end"/>
      </w:r>
      <w:r w:rsidRPr="00260790">
        <w:rPr>
          <w:color w:val="000000" w:themeColor="text1"/>
          <w:sz w:val="22"/>
          <w:szCs w:val="22"/>
        </w:rPr>
        <w:t> : résumé de l’analyse du risque de pollution et/ou d’aggravation de la pollution des eaux de surface (bassins et de l’exutoire)</w:t>
      </w:r>
      <w:bookmarkEnd w:id="665"/>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76"/>
        <w:gridCol w:w="3511"/>
        <w:gridCol w:w="1136"/>
        <w:gridCol w:w="859"/>
        <w:gridCol w:w="924"/>
        <w:gridCol w:w="1254"/>
      </w:tblGrid>
      <w:tr w:rsidR="00BD1A2F" w:rsidRPr="009B46E2" w14:paraId="57706560" w14:textId="77777777" w:rsidTr="003A0E4A">
        <w:trPr>
          <w:trHeight w:val="230"/>
        </w:trPr>
        <w:tc>
          <w:tcPr>
            <w:tcW w:w="5000" w:type="pct"/>
            <w:gridSpan w:val="6"/>
            <w:shd w:val="clear" w:color="auto" w:fill="D9E2F3" w:themeFill="accent5" w:themeFillTint="33"/>
          </w:tcPr>
          <w:p w14:paraId="137054C2" w14:textId="77777777" w:rsidR="00DE241D" w:rsidRPr="0097258B" w:rsidRDefault="00DE241D" w:rsidP="00E20250">
            <w:pPr>
              <w:spacing w:line="240" w:lineRule="auto"/>
              <w:jc w:val="both"/>
              <w:rPr>
                <w:rFonts w:ascii="Times New Roman" w:hAnsi="Times New Roman"/>
                <w:b/>
                <w:bCs/>
                <w:color w:val="000000" w:themeColor="text1"/>
                <w:sz w:val="20"/>
                <w:szCs w:val="20"/>
                <w:lang w:val="fr-FR"/>
              </w:rPr>
            </w:pPr>
            <w:r w:rsidRPr="00301AF6">
              <w:rPr>
                <w:rFonts w:ascii="Times New Roman" w:hAnsi="Times New Roman"/>
                <w:b/>
                <w:bCs/>
                <w:color w:val="000000" w:themeColor="text1"/>
                <w:sz w:val="20"/>
                <w:szCs w:val="20"/>
                <w:lang w:val="fr-FR"/>
              </w:rPr>
              <w:t>RI-34. Risque pollution et/ou d’aggravation de la pollution des eaux de surface (bassins et de l’exutoire)</w:t>
            </w:r>
          </w:p>
        </w:tc>
      </w:tr>
      <w:tr w:rsidR="00BD1A2F" w:rsidRPr="009B46E2" w14:paraId="7D4F256E" w14:textId="77777777" w:rsidTr="003A0E4A">
        <w:trPr>
          <w:trHeight w:val="58"/>
        </w:trPr>
        <w:tc>
          <w:tcPr>
            <w:tcW w:w="5000" w:type="pct"/>
            <w:gridSpan w:val="6"/>
          </w:tcPr>
          <w:p w14:paraId="0DEDF7FC"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roofErr w:type="spellStart"/>
            <w:proofErr w:type="gramStart"/>
            <w:r w:rsidRPr="0097258B">
              <w:rPr>
                <w:rFonts w:ascii="Times New Roman" w:hAnsi="Times New Roman" w:cs="Times New Roman"/>
                <w:b/>
                <w:bCs/>
                <w:color w:val="000000" w:themeColor="text1"/>
                <w:sz w:val="20"/>
                <w:szCs w:val="20"/>
              </w:rPr>
              <w:t>Activités</w:t>
            </w:r>
            <w:proofErr w:type="spellEnd"/>
            <w:r w:rsidRPr="0097258B">
              <w:rPr>
                <w:rFonts w:ascii="Times New Roman" w:hAnsi="Times New Roman" w:cs="Times New Roman"/>
                <w:b/>
                <w:bCs/>
                <w:color w:val="000000" w:themeColor="text1"/>
                <w:sz w:val="20"/>
                <w:szCs w:val="20"/>
              </w:rPr>
              <w:t xml:space="preserve"> :</w:t>
            </w:r>
            <w:proofErr w:type="gram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Fonctionnement</w:t>
            </w:r>
            <w:proofErr w:type="spellEnd"/>
            <w:r w:rsidRPr="0097258B">
              <w:rPr>
                <w:rFonts w:ascii="Times New Roman" w:hAnsi="Times New Roman" w:cs="Times New Roman"/>
                <w:color w:val="000000" w:themeColor="text1"/>
                <w:sz w:val="20"/>
                <w:szCs w:val="20"/>
              </w:rPr>
              <w:t xml:space="preserve"> des </w:t>
            </w:r>
            <w:proofErr w:type="spellStart"/>
            <w:r w:rsidRPr="0097258B">
              <w:rPr>
                <w:rFonts w:ascii="Times New Roman" w:hAnsi="Times New Roman" w:cs="Times New Roman"/>
                <w:color w:val="000000" w:themeColor="text1"/>
                <w:sz w:val="20"/>
                <w:szCs w:val="20"/>
              </w:rPr>
              <w:t>ouvrages</w:t>
            </w:r>
            <w:proofErr w:type="spellEnd"/>
          </w:p>
        </w:tc>
      </w:tr>
      <w:tr w:rsidR="00BD1A2F" w:rsidRPr="009B46E2" w14:paraId="5B1B68C7" w14:textId="77777777" w:rsidTr="003A0E4A">
        <w:trPr>
          <w:trHeight w:val="230"/>
        </w:trPr>
        <w:tc>
          <w:tcPr>
            <w:tcW w:w="825" w:type="pct"/>
          </w:tcPr>
          <w:p w14:paraId="605BF794"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2003" w:type="pct"/>
          </w:tcPr>
          <w:p w14:paraId="4335C41A"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initial</w:t>
            </w:r>
          </w:p>
        </w:tc>
        <w:tc>
          <w:tcPr>
            <w:tcW w:w="301" w:type="pct"/>
          </w:tcPr>
          <w:p w14:paraId="00B10366"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39" w:type="pct"/>
          </w:tcPr>
          <w:p w14:paraId="21DC0D63"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75" w:type="pct"/>
          </w:tcPr>
          <w:p w14:paraId="11FA64B0"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758" w:type="pct"/>
          </w:tcPr>
          <w:p w14:paraId="4DF56B1F"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p>
        </w:tc>
      </w:tr>
      <w:tr w:rsidR="00BD1A2F" w:rsidRPr="009B46E2" w14:paraId="7CA39637" w14:textId="77777777" w:rsidTr="003A0E4A">
        <w:trPr>
          <w:trHeight w:val="330"/>
        </w:trPr>
        <w:tc>
          <w:tcPr>
            <w:tcW w:w="825" w:type="pct"/>
          </w:tcPr>
          <w:p w14:paraId="458F7AA7"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Avant </w:t>
            </w:r>
            <w:proofErr w:type="spellStart"/>
            <w:r w:rsidRPr="0097258B">
              <w:rPr>
                <w:rFonts w:ascii="Times New Roman" w:hAnsi="Times New Roman" w:cs="Times New Roman"/>
                <w:color w:val="000000" w:themeColor="text1"/>
                <w:sz w:val="20"/>
                <w:szCs w:val="20"/>
              </w:rPr>
              <w:t>prévention</w:t>
            </w:r>
            <w:proofErr w:type="spellEnd"/>
          </w:p>
        </w:tc>
        <w:tc>
          <w:tcPr>
            <w:tcW w:w="2003" w:type="pct"/>
          </w:tcPr>
          <w:p w14:paraId="33AA51E8" w14:textId="0B5ACA82" w:rsidR="00DE241D" w:rsidRPr="0097258B" w:rsidRDefault="006F5910"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olor w:val="000000" w:themeColor="text1"/>
                <w:sz w:val="20"/>
                <w:szCs w:val="20"/>
                <w:lang w:val="fr-FR"/>
              </w:rPr>
              <w:t>P</w:t>
            </w:r>
            <w:r w:rsidRPr="00301AF6">
              <w:rPr>
                <w:rFonts w:ascii="Times New Roman" w:hAnsi="Times New Roman" w:cs="Times New Roman"/>
                <w:color w:val="000000" w:themeColor="text1"/>
                <w:sz w:val="20"/>
                <w:szCs w:val="20"/>
                <w:lang w:val="fr-FR"/>
              </w:rPr>
              <w:t>ollution des eaux de surface</w:t>
            </w:r>
            <w:r w:rsidR="0009768C" w:rsidRPr="00301AF6">
              <w:rPr>
                <w:rFonts w:ascii="Times New Roman" w:hAnsi="Times New Roman"/>
                <w:color w:val="000000" w:themeColor="text1"/>
                <w:sz w:val="20"/>
                <w:szCs w:val="20"/>
                <w:lang w:val="fr-FR"/>
              </w:rPr>
              <w:t xml:space="preserve"> par les polluants</w:t>
            </w:r>
          </w:p>
        </w:tc>
        <w:tc>
          <w:tcPr>
            <w:tcW w:w="301" w:type="pct"/>
            <w:vAlign w:val="center"/>
          </w:tcPr>
          <w:p w14:paraId="2814FD8F"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w:t>
            </w:r>
          </w:p>
        </w:tc>
        <w:tc>
          <w:tcPr>
            <w:tcW w:w="539" w:type="pct"/>
            <w:vAlign w:val="center"/>
          </w:tcPr>
          <w:p w14:paraId="48502D57"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w:t>
            </w:r>
          </w:p>
        </w:tc>
        <w:tc>
          <w:tcPr>
            <w:tcW w:w="575" w:type="pct"/>
            <w:shd w:val="clear" w:color="auto" w:fill="FF0000"/>
            <w:vAlign w:val="center"/>
          </w:tcPr>
          <w:p w14:paraId="46E84D01"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33</w:t>
            </w:r>
          </w:p>
        </w:tc>
        <w:tc>
          <w:tcPr>
            <w:tcW w:w="758" w:type="pct"/>
          </w:tcPr>
          <w:p w14:paraId="58DEF681" w14:textId="351781F1"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 xml:space="preserve">Pollution des eaux et de la baie de </w:t>
            </w:r>
            <w:proofErr w:type="spellStart"/>
            <w:r w:rsidRPr="00301AF6">
              <w:rPr>
                <w:rFonts w:ascii="Times New Roman" w:hAnsi="Times New Roman" w:cs="Times New Roman"/>
                <w:color w:val="000000" w:themeColor="text1"/>
                <w:sz w:val="20"/>
                <w:szCs w:val="20"/>
                <w:lang w:val="fr-FR"/>
              </w:rPr>
              <w:t>Hann</w:t>
            </w:r>
            <w:proofErr w:type="spellEnd"/>
          </w:p>
        </w:tc>
      </w:tr>
      <w:tr w:rsidR="00BD1A2F" w:rsidRPr="009B46E2" w14:paraId="2078E8F8" w14:textId="77777777" w:rsidTr="003A0E4A">
        <w:trPr>
          <w:trHeight w:val="132"/>
        </w:trPr>
        <w:tc>
          <w:tcPr>
            <w:tcW w:w="825" w:type="pct"/>
          </w:tcPr>
          <w:p w14:paraId="2AC6B6A4"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prévention</w:t>
            </w:r>
            <w:proofErr w:type="spellEnd"/>
          </w:p>
        </w:tc>
        <w:tc>
          <w:tcPr>
            <w:tcW w:w="4175" w:type="pct"/>
            <w:gridSpan w:val="5"/>
          </w:tcPr>
          <w:p w14:paraId="24597265"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Sensibiliser les populations sur l’hygiène publique ;</w:t>
            </w:r>
          </w:p>
          <w:p w14:paraId="168644BE"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Repenser le système d’assainissement de la zone d’étude en y intégrant un dispositif de gestion des déchets solides et un réseau collectif de gestion des eaux usées ;</w:t>
            </w:r>
          </w:p>
          <w:p w14:paraId="2C5E6011" w14:textId="77777777" w:rsidR="00144D58"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Sensibiliser les entreprises locales de vidange à la protection de l’environnement et les orienter vers les déposantes autorisées existantes</w:t>
            </w:r>
            <w:r w:rsidR="00144D58" w:rsidRPr="00301AF6">
              <w:rPr>
                <w:rFonts w:ascii="Times New Roman" w:hAnsi="Times New Roman" w:cs="Times New Roman"/>
                <w:color w:val="000000" w:themeColor="text1"/>
                <w:sz w:val="20"/>
                <w:szCs w:val="20"/>
                <w:lang w:val="fr-FR"/>
              </w:rPr>
              <w:t> ;</w:t>
            </w:r>
          </w:p>
          <w:p w14:paraId="5B5C2438" w14:textId="77777777" w:rsidR="00BA7071" w:rsidRPr="0097258B" w:rsidRDefault="00BA7071" w:rsidP="00BA7071">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Interdire le rejet direct de déchets solides, liquides ou chimiques dans les bassins et exutoires ;</w:t>
            </w:r>
          </w:p>
          <w:p w14:paraId="78E6674F" w14:textId="77777777" w:rsidR="00BA7071" w:rsidRPr="0097258B" w:rsidRDefault="00BA7071" w:rsidP="00BA7071">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Exiger le traitement physico-chimique et biologique des eaux usées avant au niveau de l’exutoire ;</w:t>
            </w:r>
          </w:p>
          <w:p w14:paraId="3A164247" w14:textId="77777777" w:rsidR="00BA7071" w:rsidRPr="0097258B" w:rsidRDefault="00BA7071" w:rsidP="00BA7071">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Installer à défaut des systèmes de prétraitement (décanteurs, filtres, bassins tampons) pour les effluents avant rejet ;</w:t>
            </w:r>
            <w:r w:rsidRPr="00301AF6">
              <w:rPr>
                <w:rFonts w:ascii="Times New Roman" w:hAnsi="Times New Roman" w:cs="Times New Roman"/>
                <w:sz w:val="20"/>
                <w:szCs w:val="20"/>
                <w:lang w:val="fr-FR"/>
              </w:rPr>
              <w:t xml:space="preserve"> </w:t>
            </w:r>
          </w:p>
          <w:p w14:paraId="3807DB68" w14:textId="37F8C04C" w:rsidR="00DE241D" w:rsidRPr="0097258B" w:rsidRDefault="00BA7071" w:rsidP="00BA7071">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olor w:val="000000" w:themeColor="text1"/>
                <w:sz w:val="20"/>
                <w:szCs w:val="20"/>
                <w:lang w:val="fr-FR"/>
              </w:rPr>
              <w:t xml:space="preserve">Stabiliser les sols autour des bassins pour limiter l’érosion et l’apport en </w:t>
            </w:r>
            <w:r w:rsidR="0060559A" w:rsidRPr="00301AF6">
              <w:rPr>
                <w:rFonts w:ascii="Times New Roman" w:hAnsi="Times New Roman"/>
                <w:color w:val="000000" w:themeColor="text1"/>
                <w:sz w:val="20"/>
                <w:szCs w:val="20"/>
                <w:lang w:val="fr-FR"/>
              </w:rPr>
              <w:t>sédiments</w:t>
            </w:r>
            <w:r w:rsidRPr="00301AF6">
              <w:rPr>
                <w:rFonts w:ascii="Times New Roman" w:hAnsi="Times New Roman"/>
                <w:color w:val="000000" w:themeColor="text1"/>
                <w:sz w:val="20"/>
                <w:szCs w:val="20"/>
                <w:lang w:val="fr-FR"/>
              </w:rPr>
              <w:t>.</w:t>
            </w:r>
          </w:p>
        </w:tc>
      </w:tr>
      <w:tr w:rsidR="00BD1A2F" w:rsidRPr="009B46E2" w14:paraId="643DEAAC" w14:textId="77777777" w:rsidTr="003A0E4A">
        <w:trPr>
          <w:trHeight w:val="230"/>
        </w:trPr>
        <w:tc>
          <w:tcPr>
            <w:tcW w:w="825" w:type="pct"/>
          </w:tcPr>
          <w:p w14:paraId="598E30CF"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2003" w:type="pct"/>
          </w:tcPr>
          <w:p w14:paraId="3EF35050"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final</w:t>
            </w:r>
          </w:p>
        </w:tc>
        <w:tc>
          <w:tcPr>
            <w:tcW w:w="301" w:type="pct"/>
          </w:tcPr>
          <w:p w14:paraId="175CE21C"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39" w:type="pct"/>
          </w:tcPr>
          <w:p w14:paraId="615B05DD"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75" w:type="pct"/>
          </w:tcPr>
          <w:p w14:paraId="7BFCEA3D"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758" w:type="pct"/>
          </w:tcPr>
          <w:p w14:paraId="30B32923"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r w:rsidRPr="0097258B">
              <w:rPr>
                <w:rFonts w:ascii="Times New Roman" w:hAnsi="Times New Roman" w:cs="Times New Roman"/>
                <w:b/>
                <w:bCs/>
                <w:color w:val="000000" w:themeColor="text1"/>
                <w:sz w:val="20"/>
                <w:szCs w:val="20"/>
              </w:rPr>
              <w:t xml:space="preserve"> </w:t>
            </w:r>
          </w:p>
        </w:tc>
      </w:tr>
      <w:tr w:rsidR="00BD1A2F" w:rsidRPr="009B46E2" w14:paraId="49827688" w14:textId="77777777" w:rsidTr="003A0E4A">
        <w:trPr>
          <w:trHeight w:val="230"/>
        </w:trPr>
        <w:tc>
          <w:tcPr>
            <w:tcW w:w="825" w:type="pct"/>
          </w:tcPr>
          <w:p w14:paraId="3660A2D9"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Après </w:t>
            </w:r>
            <w:proofErr w:type="spellStart"/>
            <w:r w:rsidRPr="0097258B">
              <w:rPr>
                <w:rFonts w:ascii="Times New Roman" w:hAnsi="Times New Roman" w:cs="Times New Roman"/>
                <w:color w:val="000000" w:themeColor="text1"/>
                <w:sz w:val="20"/>
                <w:szCs w:val="20"/>
              </w:rPr>
              <w:t>prévention</w:t>
            </w:r>
            <w:proofErr w:type="spellEnd"/>
          </w:p>
        </w:tc>
        <w:tc>
          <w:tcPr>
            <w:tcW w:w="2003" w:type="pct"/>
          </w:tcPr>
          <w:p w14:paraId="34543AEC" w14:textId="094691BF" w:rsidR="00DE241D" w:rsidRPr="0097258B" w:rsidRDefault="00F77B63"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301AF6">
              <w:rPr>
                <w:rFonts w:ascii="Times New Roman" w:hAnsi="Times New Roman" w:cs="Times New Roman"/>
                <w:color w:val="000000" w:themeColor="text1"/>
                <w:sz w:val="20"/>
                <w:szCs w:val="20"/>
                <w:lang w:val="fr-FR"/>
              </w:rPr>
              <w:t>Qualité des eaux de surface</w:t>
            </w:r>
            <w:r w:rsidR="00DE241D" w:rsidRPr="00301AF6">
              <w:rPr>
                <w:rFonts w:ascii="Times New Roman" w:hAnsi="Times New Roman" w:cs="Times New Roman"/>
                <w:color w:val="000000" w:themeColor="text1"/>
                <w:sz w:val="20"/>
                <w:szCs w:val="20"/>
                <w:lang w:val="fr-FR"/>
              </w:rPr>
              <w:t> </w:t>
            </w:r>
          </w:p>
        </w:tc>
        <w:tc>
          <w:tcPr>
            <w:tcW w:w="301" w:type="pct"/>
          </w:tcPr>
          <w:p w14:paraId="1E652C47"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2A6070A4"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39" w:type="pct"/>
          </w:tcPr>
          <w:p w14:paraId="50CE1D0B"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0E3D0431"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75" w:type="pct"/>
            <w:shd w:val="clear" w:color="auto" w:fill="FFFF00"/>
          </w:tcPr>
          <w:p w14:paraId="55D6936E"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23E2D5AE"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22</w:t>
            </w:r>
          </w:p>
        </w:tc>
        <w:tc>
          <w:tcPr>
            <w:tcW w:w="758" w:type="pct"/>
          </w:tcPr>
          <w:p w14:paraId="502C2B35" w14:textId="7351F72B"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Pollution des eaux</w:t>
            </w:r>
            <w:r w:rsidR="00F77B63" w:rsidRPr="00301AF6">
              <w:rPr>
                <w:rFonts w:ascii="Times New Roman" w:hAnsi="Times New Roman" w:cs="Times New Roman"/>
                <w:color w:val="000000" w:themeColor="text1"/>
                <w:sz w:val="20"/>
                <w:szCs w:val="20"/>
                <w:lang w:val="fr-FR"/>
              </w:rPr>
              <w:t xml:space="preserve"> de surface</w:t>
            </w:r>
          </w:p>
        </w:tc>
      </w:tr>
    </w:tbl>
    <w:p w14:paraId="2D0A16ED" w14:textId="77777777" w:rsidR="00DE241D" w:rsidRPr="00260790" w:rsidRDefault="00DE241D" w:rsidP="00E20250">
      <w:pPr>
        <w:spacing w:after="0" w:line="240" w:lineRule="auto"/>
        <w:jc w:val="both"/>
        <w:rPr>
          <w:rFonts w:ascii="Times New Roman" w:hAnsi="Times New Roman"/>
          <w:color w:val="000000" w:themeColor="text1"/>
        </w:rPr>
      </w:pPr>
    </w:p>
    <w:p w14:paraId="771E3B91" w14:textId="77777777" w:rsidR="00DE241D" w:rsidRPr="00260790" w:rsidRDefault="00DE241D" w:rsidP="001748C6">
      <w:pPr>
        <w:pStyle w:val="Paragraphedeliste"/>
        <w:numPr>
          <w:ilvl w:val="0"/>
          <w:numId w:val="364"/>
        </w:numPr>
        <w:spacing w:after="0"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RI-35. Risque de pollution des nappes</w:t>
      </w:r>
    </w:p>
    <w:p w14:paraId="5DE00FBA" w14:textId="77777777" w:rsidR="00DE241D" w:rsidRPr="00260790" w:rsidRDefault="00DE241D" w:rsidP="00E20250">
      <w:pPr>
        <w:spacing w:after="0" w:line="240" w:lineRule="auto"/>
        <w:jc w:val="both"/>
        <w:rPr>
          <w:rFonts w:ascii="Times New Roman" w:hAnsi="Times New Roman"/>
          <w:color w:val="000000" w:themeColor="text1"/>
        </w:rPr>
      </w:pPr>
    </w:p>
    <w:p w14:paraId="77C83BB1"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Comme mentionné plus haut, les eaux pluviales en plus de se charger de polluants atmosphériques, </w:t>
      </w:r>
      <w:r w:rsidRPr="00177E44">
        <w:rPr>
          <w:rStyle w:val="lev"/>
          <w:rFonts w:ascii="Times New Roman" w:hAnsi="Times New Roman"/>
          <w:b w:val="0"/>
          <w:color w:val="000000" w:themeColor="text1"/>
        </w:rPr>
        <w:t>charrier des contaminants</w:t>
      </w:r>
      <w:r w:rsidRPr="00260790">
        <w:rPr>
          <w:rFonts w:ascii="Times New Roman" w:hAnsi="Times New Roman"/>
          <w:color w:val="000000" w:themeColor="text1"/>
        </w:rPr>
        <w:t xml:space="preserve"> (hydrocarbure, huile de moteur…) au contact des surfaces sur lesquelles elles s’écoulent. </w:t>
      </w:r>
    </w:p>
    <w:p w14:paraId="57A6EF6F" w14:textId="2469002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L’absence de système d’assainissement adéquat dans le bassin versant de Mbao, la présence à Mbao d’un foirail, de dépôts sauvages d’ordures et de multiples garages </w:t>
      </w:r>
      <w:r w:rsidR="00B870B2" w:rsidRPr="00260790">
        <w:rPr>
          <w:rFonts w:ascii="Times New Roman" w:hAnsi="Times New Roman"/>
          <w:color w:val="000000" w:themeColor="text1"/>
        </w:rPr>
        <w:t>automobiles et motos</w:t>
      </w:r>
      <w:r w:rsidRPr="00260790">
        <w:rPr>
          <w:rFonts w:ascii="Times New Roman" w:hAnsi="Times New Roman"/>
          <w:color w:val="000000" w:themeColor="text1"/>
        </w:rPr>
        <w:t xml:space="preserve">, rend très probable la pollution des eaux de ruissellement de la zone. </w:t>
      </w:r>
    </w:p>
    <w:p w14:paraId="3A3C5229" w14:textId="6B3795C2"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Une infiltration de telles eaux sur de courtes distances (nappes </w:t>
      </w:r>
      <w:proofErr w:type="spellStart"/>
      <w:r w:rsidRPr="00260790">
        <w:rPr>
          <w:rFonts w:ascii="Times New Roman" w:hAnsi="Times New Roman"/>
          <w:color w:val="000000" w:themeColor="text1"/>
        </w:rPr>
        <w:t>subaffleurantes</w:t>
      </w:r>
      <w:proofErr w:type="spellEnd"/>
      <w:r w:rsidRPr="00260790">
        <w:rPr>
          <w:rFonts w:ascii="Times New Roman" w:hAnsi="Times New Roman"/>
          <w:color w:val="000000" w:themeColor="text1"/>
        </w:rPr>
        <w:t xml:space="preserve"> à affleurantes) comportera un risque significatif de pollution des nappes même si la capacité épuratrice du sol est censée réduire un tant soit peu le phénomène. </w:t>
      </w:r>
    </w:p>
    <w:p w14:paraId="3728CAC2" w14:textId="4E791927" w:rsidR="00DE241D" w:rsidRPr="00260790" w:rsidRDefault="009965A6"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À</w:t>
      </w:r>
      <w:r w:rsidR="00DE241D" w:rsidRPr="00260790">
        <w:rPr>
          <w:rFonts w:ascii="Times New Roman" w:hAnsi="Times New Roman"/>
          <w:color w:val="000000" w:themeColor="text1"/>
        </w:rPr>
        <w:t xml:space="preserve"> noter que la situation serait aggravée en cas de branchements clandestins d’ouvrages d’assainissement individuel sur les collecteurs, de dépotages directs de boues de vidange ou d’huiles de vidange de véhicules et d’engins, ou de rejet de déchets solides dans les bassins et l’exutoire (marigot de Mbao). </w:t>
      </w:r>
    </w:p>
    <w:p w14:paraId="32F7427A"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Ci-dessous le résumé de l’analyse du risque du risque de pollution des nappes.</w:t>
      </w:r>
    </w:p>
    <w:p w14:paraId="52BE1F88" w14:textId="073736FB" w:rsidR="00DE241D" w:rsidRPr="00260790" w:rsidRDefault="00DE241D" w:rsidP="00E20250">
      <w:pPr>
        <w:pStyle w:val="Lgende"/>
        <w:spacing w:line="240" w:lineRule="auto"/>
        <w:rPr>
          <w:color w:val="000000" w:themeColor="text1"/>
          <w:sz w:val="22"/>
          <w:szCs w:val="22"/>
        </w:rPr>
      </w:pPr>
      <w:bookmarkStart w:id="666" w:name="_Toc207781921"/>
      <w:r w:rsidRPr="00260790">
        <w:rPr>
          <w:color w:val="000000" w:themeColor="text1"/>
          <w:sz w:val="22"/>
          <w:szCs w:val="22"/>
        </w:rPr>
        <w:lastRenderedPageBreak/>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80</w:t>
      </w:r>
      <w:r w:rsidRPr="00260790">
        <w:rPr>
          <w:color w:val="000000" w:themeColor="text1"/>
          <w:sz w:val="22"/>
          <w:szCs w:val="22"/>
        </w:rPr>
        <w:fldChar w:fldCharType="end"/>
      </w:r>
      <w:r w:rsidRPr="00260790">
        <w:rPr>
          <w:color w:val="000000" w:themeColor="text1"/>
          <w:sz w:val="22"/>
          <w:szCs w:val="22"/>
        </w:rPr>
        <w:t> : résumé de l’analyse du risque du risque de pollution des nappes</w:t>
      </w:r>
      <w:bookmarkEnd w:id="666"/>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76"/>
        <w:gridCol w:w="3511"/>
        <w:gridCol w:w="1136"/>
        <w:gridCol w:w="859"/>
        <w:gridCol w:w="924"/>
        <w:gridCol w:w="1254"/>
      </w:tblGrid>
      <w:tr w:rsidR="00BD1A2F" w:rsidRPr="00260790" w14:paraId="59DA8B25" w14:textId="77777777" w:rsidTr="003A0E4A">
        <w:trPr>
          <w:trHeight w:val="230"/>
        </w:trPr>
        <w:tc>
          <w:tcPr>
            <w:tcW w:w="5000" w:type="pct"/>
            <w:gridSpan w:val="6"/>
            <w:shd w:val="clear" w:color="auto" w:fill="D9E2F3" w:themeFill="accent5" w:themeFillTint="33"/>
          </w:tcPr>
          <w:p w14:paraId="62CC7CBF" w14:textId="77777777" w:rsidR="00DE241D" w:rsidRPr="0097258B" w:rsidRDefault="00DE241D" w:rsidP="00E20250">
            <w:pPr>
              <w:spacing w:line="240" w:lineRule="auto"/>
              <w:jc w:val="both"/>
              <w:rPr>
                <w:rFonts w:ascii="Times New Roman" w:hAnsi="Times New Roman"/>
                <w:b/>
                <w:bCs/>
                <w:i/>
                <w:iCs/>
                <w:color w:val="000000" w:themeColor="text1"/>
                <w:sz w:val="20"/>
                <w:szCs w:val="20"/>
                <w:lang w:val="fr-FR"/>
              </w:rPr>
            </w:pPr>
            <w:r w:rsidRPr="00301AF6">
              <w:rPr>
                <w:rFonts w:ascii="Times New Roman" w:hAnsi="Times New Roman"/>
                <w:b/>
                <w:bCs/>
                <w:i/>
                <w:iCs/>
                <w:color w:val="000000" w:themeColor="text1"/>
                <w:sz w:val="20"/>
                <w:szCs w:val="20"/>
                <w:lang w:val="fr-FR"/>
              </w:rPr>
              <w:t>RI-35. Risque de pollution des nappes</w:t>
            </w:r>
          </w:p>
        </w:tc>
      </w:tr>
      <w:tr w:rsidR="00BD1A2F" w:rsidRPr="00260790" w14:paraId="46C3A6C6" w14:textId="77777777" w:rsidTr="003A0E4A">
        <w:trPr>
          <w:trHeight w:val="58"/>
        </w:trPr>
        <w:tc>
          <w:tcPr>
            <w:tcW w:w="5000" w:type="pct"/>
            <w:gridSpan w:val="6"/>
          </w:tcPr>
          <w:p w14:paraId="3018E987"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roofErr w:type="spellStart"/>
            <w:proofErr w:type="gramStart"/>
            <w:r w:rsidRPr="0097258B">
              <w:rPr>
                <w:rFonts w:ascii="Times New Roman" w:hAnsi="Times New Roman" w:cs="Times New Roman"/>
                <w:b/>
                <w:bCs/>
                <w:color w:val="000000" w:themeColor="text1"/>
                <w:sz w:val="20"/>
                <w:szCs w:val="20"/>
              </w:rPr>
              <w:t>Activités</w:t>
            </w:r>
            <w:proofErr w:type="spellEnd"/>
            <w:r w:rsidRPr="0097258B">
              <w:rPr>
                <w:rFonts w:ascii="Times New Roman" w:hAnsi="Times New Roman" w:cs="Times New Roman"/>
                <w:b/>
                <w:bCs/>
                <w:color w:val="000000" w:themeColor="text1"/>
                <w:sz w:val="20"/>
                <w:szCs w:val="20"/>
              </w:rPr>
              <w:t xml:space="preserve"> :</w:t>
            </w:r>
            <w:proofErr w:type="gram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Fonctionnement</w:t>
            </w:r>
            <w:proofErr w:type="spellEnd"/>
            <w:r w:rsidRPr="0097258B">
              <w:rPr>
                <w:rFonts w:ascii="Times New Roman" w:hAnsi="Times New Roman" w:cs="Times New Roman"/>
                <w:color w:val="000000" w:themeColor="text1"/>
                <w:sz w:val="20"/>
                <w:szCs w:val="20"/>
              </w:rPr>
              <w:t xml:space="preserve"> des </w:t>
            </w:r>
            <w:proofErr w:type="spellStart"/>
            <w:r w:rsidRPr="0097258B">
              <w:rPr>
                <w:rFonts w:ascii="Times New Roman" w:hAnsi="Times New Roman" w:cs="Times New Roman"/>
                <w:color w:val="000000" w:themeColor="text1"/>
                <w:sz w:val="20"/>
                <w:szCs w:val="20"/>
              </w:rPr>
              <w:t>ouvrages</w:t>
            </w:r>
            <w:proofErr w:type="spellEnd"/>
          </w:p>
        </w:tc>
      </w:tr>
      <w:tr w:rsidR="00BD1A2F" w:rsidRPr="00260790" w14:paraId="6CBDEB8D" w14:textId="77777777" w:rsidTr="003A0E4A">
        <w:trPr>
          <w:trHeight w:val="230"/>
        </w:trPr>
        <w:tc>
          <w:tcPr>
            <w:tcW w:w="825" w:type="pct"/>
          </w:tcPr>
          <w:p w14:paraId="5AE1E5C0"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2003" w:type="pct"/>
          </w:tcPr>
          <w:p w14:paraId="2737DF34"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initial</w:t>
            </w:r>
          </w:p>
        </w:tc>
        <w:tc>
          <w:tcPr>
            <w:tcW w:w="301" w:type="pct"/>
          </w:tcPr>
          <w:p w14:paraId="257A8950"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39" w:type="pct"/>
          </w:tcPr>
          <w:p w14:paraId="68F2771C"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75" w:type="pct"/>
          </w:tcPr>
          <w:p w14:paraId="38D05E17"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758" w:type="pct"/>
          </w:tcPr>
          <w:p w14:paraId="2CB667EE"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p>
        </w:tc>
      </w:tr>
      <w:tr w:rsidR="00BD1A2F" w:rsidRPr="00260790" w14:paraId="03DF7B52" w14:textId="77777777" w:rsidTr="003A0E4A">
        <w:trPr>
          <w:trHeight w:val="330"/>
        </w:trPr>
        <w:tc>
          <w:tcPr>
            <w:tcW w:w="825" w:type="pct"/>
          </w:tcPr>
          <w:p w14:paraId="4D02751C"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Avant </w:t>
            </w:r>
            <w:proofErr w:type="spellStart"/>
            <w:r w:rsidRPr="0097258B">
              <w:rPr>
                <w:rFonts w:ascii="Times New Roman" w:hAnsi="Times New Roman" w:cs="Times New Roman"/>
                <w:color w:val="000000" w:themeColor="text1"/>
                <w:sz w:val="20"/>
                <w:szCs w:val="20"/>
              </w:rPr>
              <w:t>prévention</w:t>
            </w:r>
            <w:proofErr w:type="spellEnd"/>
          </w:p>
        </w:tc>
        <w:tc>
          <w:tcPr>
            <w:tcW w:w="2003" w:type="pct"/>
          </w:tcPr>
          <w:p w14:paraId="0C6665F8" w14:textId="31EDDEF2" w:rsidR="00DE241D" w:rsidRPr="0097258B" w:rsidRDefault="00A340E3"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olor w:val="000000" w:themeColor="text1"/>
                <w:sz w:val="20"/>
                <w:szCs w:val="20"/>
                <w:lang w:val="fr-FR"/>
              </w:rPr>
              <w:t xml:space="preserve">Pollution de la nappe </w:t>
            </w:r>
            <w:r w:rsidR="00313FF6" w:rsidRPr="00301AF6">
              <w:rPr>
                <w:rFonts w:ascii="Times New Roman" w:hAnsi="Times New Roman"/>
                <w:color w:val="000000" w:themeColor="text1"/>
                <w:sz w:val="20"/>
                <w:szCs w:val="20"/>
                <w:lang w:val="fr-FR"/>
              </w:rPr>
              <w:t>en cas d’i</w:t>
            </w:r>
            <w:r w:rsidR="00DE241D" w:rsidRPr="00301AF6">
              <w:rPr>
                <w:rFonts w:ascii="Times New Roman" w:hAnsi="Times New Roman"/>
                <w:color w:val="000000" w:themeColor="text1"/>
                <w:sz w:val="20"/>
                <w:szCs w:val="20"/>
                <w:lang w:val="fr-FR"/>
              </w:rPr>
              <w:t>nfiltration d’eau de ruissellement souillée </w:t>
            </w:r>
            <w:r w:rsidR="00FC1FAA" w:rsidRPr="00301AF6">
              <w:rPr>
                <w:rFonts w:ascii="Times New Roman" w:hAnsi="Times New Roman"/>
                <w:color w:val="000000" w:themeColor="text1"/>
                <w:sz w:val="20"/>
                <w:szCs w:val="20"/>
                <w:lang w:val="fr-FR"/>
              </w:rPr>
              <w:t xml:space="preserve">ou </w:t>
            </w:r>
            <w:r w:rsidR="00313FF6" w:rsidRPr="00301AF6">
              <w:rPr>
                <w:rFonts w:ascii="Times New Roman" w:hAnsi="Times New Roman"/>
                <w:color w:val="000000" w:themeColor="text1"/>
                <w:sz w:val="20"/>
                <w:szCs w:val="20"/>
                <w:lang w:val="fr-FR"/>
              </w:rPr>
              <w:t xml:space="preserve">de </w:t>
            </w:r>
            <w:r w:rsidR="00313FF6" w:rsidRPr="00301AF6">
              <w:rPr>
                <w:rFonts w:ascii="Times New Roman" w:hAnsi="Times New Roman" w:cs="Times New Roman"/>
                <w:color w:val="000000" w:themeColor="text1"/>
                <w:sz w:val="20"/>
                <w:szCs w:val="20"/>
                <w:lang w:val="fr-FR"/>
              </w:rPr>
              <w:t>d</w:t>
            </w:r>
            <w:r w:rsidR="00DE241D" w:rsidRPr="00301AF6">
              <w:rPr>
                <w:rFonts w:ascii="Times New Roman" w:hAnsi="Times New Roman" w:cs="Times New Roman"/>
                <w:color w:val="000000" w:themeColor="text1"/>
                <w:sz w:val="20"/>
                <w:szCs w:val="20"/>
                <w:lang w:val="fr-FR"/>
              </w:rPr>
              <w:t>épotage de déchets solides et liquides dans les bassins et l’exutoire</w:t>
            </w:r>
          </w:p>
        </w:tc>
        <w:tc>
          <w:tcPr>
            <w:tcW w:w="301" w:type="pct"/>
            <w:vAlign w:val="center"/>
          </w:tcPr>
          <w:p w14:paraId="4F629743"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w:t>
            </w:r>
          </w:p>
        </w:tc>
        <w:tc>
          <w:tcPr>
            <w:tcW w:w="539" w:type="pct"/>
            <w:vAlign w:val="center"/>
          </w:tcPr>
          <w:p w14:paraId="1451B9B6"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w:t>
            </w:r>
          </w:p>
        </w:tc>
        <w:tc>
          <w:tcPr>
            <w:tcW w:w="575" w:type="pct"/>
            <w:shd w:val="clear" w:color="auto" w:fill="FF0000"/>
            <w:vAlign w:val="center"/>
          </w:tcPr>
          <w:p w14:paraId="1E4E42D3"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33</w:t>
            </w:r>
          </w:p>
        </w:tc>
        <w:tc>
          <w:tcPr>
            <w:tcW w:w="758" w:type="pct"/>
          </w:tcPr>
          <w:p w14:paraId="3B666BF9"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Pollution des nappes ;</w:t>
            </w:r>
          </w:p>
          <w:p w14:paraId="634908B2"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Intoxication des usagers</w:t>
            </w:r>
          </w:p>
        </w:tc>
      </w:tr>
      <w:tr w:rsidR="00BD1A2F" w:rsidRPr="00260790" w14:paraId="415B8F4D" w14:textId="77777777" w:rsidTr="003A0E4A">
        <w:trPr>
          <w:trHeight w:val="132"/>
        </w:trPr>
        <w:tc>
          <w:tcPr>
            <w:tcW w:w="825" w:type="pct"/>
          </w:tcPr>
          <w:p w14:paraId="2F8AA66C"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prévention</w:t>
            </w:r>
            <w:proofErr w:type="spellEnd"/>
          </w:p>
        </w:tc>
        <w:tc>
          <w:tcPr>
            <w:tcW w:w="4175" w:type="pct"/>
            <w:gridSpan w:val="5"/>
          </w:tcPr>
          <w:p w14:paraId="751F4876"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Sensibiliser les populations sur l’hygiène ;</w:t>
            </w:r>
          </w:p>
          <w:p w14:paraId="4C2BBECB"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Repenser le système d’assainissement de la zone d’étude en y intégrant un dispositif de gestion des déchets solides et un réseau collectif de gestion des eaux usées ;</w:t>
            </w:r>
          </w:p>
          <w:p w14:paraId="45434930" w14:textId="77777777" w:rsidR="00DE241D" w:rsidRPr="0097258B" w:rsidRDefault="00DE241D" w:rsidP="001748C6">
            <w:pPr>
              <w:pStyle w:val="Default"/>
              <w:numPr>
                <w:ilvl w:val="0"/>
                <w:numId w:val="315"/>
              </w:numPr>
              <w:overflowPunct w:val="0"/>
              <w:ind w:left="41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 xml:space="preserve">Sensibiliser les entreprises locales de vidange à la protection de l’environnement et les orienter vers les déposantes existantes </w:t>
            </w:r>
          </w:p>
        </w:tc>
      </w:tr>
      <w:tr w:rsidR="00BD1A2F" w:rsidRPr="00260790" w14:paraId="2AAD243B" w14:textId="77777777" w:rsidTr="003A0E4A">
        <w:trPr>
          <w:trHeight w:val="230"/>
        </w:trPr>
        <w:tc>
          <w:tcPr>
            <w:tcW w:w="825" w:type="pct"/>
          </w:tcPr>
          <w:p w14:paraId="70956725"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2003" w:type="pct"/>
          </w:tcPr>
          <w:p w14:paraId="2EA2DF0B"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final</w:t>
            </w:r>
          </w:p>
        </w:tc>
        <w:tc>
          <w:tcPr>
            <w:tcW w:w="301" w:type="pct"/>
          </w:tcPr>
          <w:p w14:paraId="3953725A"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39" w:type="pct"/>
          </w:tcPr>
          <w:p w14:paraId="5156B9DD"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75" w:type="pct"/>
          </w:tcPr>
          <w:p w14:paraId="072544F5"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758" w:type="pct"/>
          </w:tcPr>
          <w:p w14:paraId="3BD30D2C"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r w:rsidRPr="0097258B">
              <w:rPr>
                <w:rFonts w:ascii="Times New Roman" w:hAnsi="Times New Roman" w:cs="Times New Roman"/>
                <w:b/>
                <w:bCs/>
                <w:color w:val="000000" w:themeColor="text1"/>
                <w:sz w:val="20"/>
                <w:szCs w:val="20"/>
              </w:rPr>
              <w:t xml:space="preserve"> </w:t>
            </w:r>
          </w:p>
        </w:tc>
      </w:tr>
      <w:tr w:rsidR="00BD1A2F" w:rsidRPr="00260790" w14:paraId="78D3D21E" w14:textId="77777777" w:rsidTr="003A0E4A">
        <w:trPr>
          <w:trHeight w:val="230"/>
        </w:trPr>
        <w:tc>
          <w:tcPr>
            <w:tcW w:w="825" w:type="pct"/>
          </w:tcPr>
          <w:p w14:paraId="4F53BDB4"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Après </w:t>
            </w:r>
            <w:proofErr w:type="spellStart"/>
            <w:r w:rsidRPr="0097258B">
              <w:rPr>
                <w:rFonts w:ascii="Times New Roman" w:hAnsi="Times New Roman" w:cs="Times New Roman"/>
                <w:color w:val="000000" w:themeColor="text1"/>
                <w:sz w:val="20"/>
                <w:szCs w:val="20"/>
              </w:rPr>
              <w:t>prévention</w:t>
            </w:r>
            <w:proofErr w:type="spellEnd"/>
          </w:p>
        </w:tc>
        <w:tc>
          <w:tcPr>
            <w:tcW w:w="2003" w:type="pct"/>
          </w:tcPr>
          <w:p w14:paraId="5AA18D2A" w14:textId="6E050274" w:rsidR="00DE241D" w:rsidRPr="0097258B" w:rsidRDefault="00FC1FAA"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301AF6">
              <w:rPr>
                <w:rFonts w:ascii="Times New Roman" w:hAnsi="Times New Roman" w:cs="Times New Roman"/>
                <w:color w:val="000000" w:themeColor="text1"/>
                <w:sz w:val="20"/>
                <w:szCs w:val="20"/>
                <w:lang w:val="fr-FR"/>
              </w:rPr>
              <w:t>Qualité de</w:t>
            </w:r>
            <w:r w:rsidR="00F62061" w:rsidRPr="00301AF6">
              <w:rPr>
                <w:rFonts w:ascii="Times New Roman" w:hAnsi="Times New Roman" w:cs="Times New Roman"/>
                <w:color w:val="000000" w:themeColor="text1"/>
                <w:sz w:val="20"/>
                <w:szCs w:val="20"/>
                <w:lang w:val="fr-FR"/>
              </w:rPr>
              <w:t xml:space="preserve"> l’eau de la nappa</w:t>
            </w:r>
            <w:r w:rsidR="00DE241D" w:rsidRPr="00301AF6">
              <w:rPr>
                <w:rFonts w:ascii="Times New Roman" w:hAnsi="Times New Roman" w:cs="Times New Roman"/>
                <w:color w:val="000000" w:themeColor="text1"/>
                <w:sz w:val="20"/>
                <w:szCs w:val="20"/>
                <w:lang w:val="fr-FR"/>
              </w:rPr>
              <w:t> </w:t>
            </w:r>
          </w:p>
        </w:tc>
        <w:tc>
          <w:tcPr>
            <w:tcW w:w="301" w:type="pct"/>
          </w:tcPr>
          <w:p w14:paraId="02B157E2"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6885217C"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39" w:type="pct"/>
          </w:tcPr>
          <w:p w14:paraId="56628E94"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1E04B044"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75" w:type="pct"/>
            <w:shd w:val="clear" w:color="auto" w:fill="92D050"/>
          </w:tcPr>
          <w:p w14:paraId="34EAD4C7"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2FF1B959"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21</w:t>
            </w:r>
          </w:p>
        </w:tc>
        <w:tc>
          <w:tcPr>
            <w:tcW w:w="758" w:type="pct"/>
          </w:tcPr>
          <w:p w14:paraId="67606A1D"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Pollution </w:t>
            </w:r>
            <w:proofErr w:type="spellStart"/>
            <w:r w:rsidRPr="0097258B">
              <w:rPr>
                <w:rFonts w:ascii="Times New Roman" w:hAnsi="Times New Roman" w:cs="Times New Roman"/>
                <w:color w:val="000000" w:themeColor="text1"/>
                <w:sz w:val="20"/>
                <w:szCs w:val="20"/>
              </w:rPr>
              <w:t>mineure</w:t>
            </w:r>
            <w:proofErr w:type="spellEnd"/>
            <w:r w:rsidRPr="0097258B">
              <w:rPr>
                <w:rFonts w:ascii="Times New Roman" w:hAnsi="Times New Roman" w:cs="Times New Roman"/>
                <w:color w:val="000000" w:themeColor="text1"/>
                <w:sz w:val="20"/>
                <w:szCs w:val="20"/>
              </w:rPr>
              <w:t xml:space="preserve"> des eaux</w:t>
            </w:r>
          </w:p>
        </w:tc>
      </w:tr>
    </w:tbl>
    <w:p w14:paraId="7130C534" w14:textId="77777777" w:rsidR="00DE241D" w:rsidRPr="00260790" w:rsidRDefault="00DE241D" w:rsidP="00F83414">
      <w:pPr>
        <w:spacing w:after="0" w:line="240" w:lineRule="auto"/>
        <w:jc w:val="both"/>
        <w:rPr>
          <w:rFonts w:ascii="Times New Roman" w:hAnsi="Times New Roman"/>
          <w:b/>
          <w:bCs/>
          <w:color w:val="000000" w:themeColor="text1"/>
        </w:rPr>
      </w:pPr>
    </w:p>
    <w:p w14:paraId="770A42EA" w14:textId="77777777" w:rsidR="00DE241D" w:rsidRPr="00260790" w:rsidRDefault="00DE241D" w:rsidP="001748C6">
      <w:pPr>
        <w:pStyle w:val="Paragraphedeliste"/>
        <w:numPr>
          <w:ilvl w:val="0"/>
          <w:numId w:val="337"/>
        </w:numPr>
        <w:spacing w:after="0" w:line="240" w:lineRule="auto"/>
        <w:rPr>
          <w:rFonts w:ascii="Times New Roman" w:hAnsi="Times New Roman"/>
          <w:i/>
          <w:iCs/>
          <w:color w:val="000000" w:themeColor="text1"/>
          <w:u w:val="single"/>
          <w:lang w:eastAsia="fr-FR"/>
        </w:rPr>
      </w:pPr>
      <w:r w:rsidRPr="00260790">
        <w:rPr>
          <w:rFonts w:ascii="Times New Roman" w:hAnsi="Times New Roman"/>
          <w:i/>
          <w:iCs/>
          <w:color w:val="000000" w:themeColor="text1"/>
          <w:u w:val="single"/>
          <w:lang w:eastAsia="fr-FR"/>
        </w:rPr>
        <w:t>Impacts négatifs et risques sur le milieu humain</w:t>
      </w:r>
    </w:p>
    <w:p w14:paraId="5FB601EB" w14:textId="77777777" w:rsidR="00DE241D" w:rsidRPr="00260790" w:rsidRDefault="00DE241D" w:rsidP="00E20250">
      <w:pPr>
        <w:pStyle w:val="Paragraphedeliste"/>
        <w:spacing w:line="240" w:lineRule="auto"/>
        <w:rPr>
          <w:rFonts w:ascii="Times New Roman" w:hAnsi="Times New Roman"/>
          <w:i/>
          <w:iCs/>
          <w:color w:val="000000" w:themeColor="text1"/>
          <w:u w:val="single"/>
          <w:lang w:eastAsia="fr-FR"/>
        </w:rPr>
      </w:pPr>
    </w:p>
    <w:p w14:paraId="64747866" w14:textId="77777777" w:rsidR="00DE241D" w:rsidRPr="00260790" w:rsidRDefault="00DE241D" w:rsidP="001748C6">
      <w:pPr>
        <w:pStyle w:val="Paragraphedeliste"/>
        <w:numPr>
          <w:ilvl w:val="0"/>
          <w:numId w:val="330"/>
        </w:numPr>
        <w:spacing w:after="0"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 xml:space="preserve">RI-36. Risques d’occupation anarchique des terres récupérées </w:t>
      </w:r>
    </w:p>
    <w:p w14:paraId="633BCDB3"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Le drainage des eaux et le rabattement des nappes que le projet est censé assurer permettront à coup sûr l’assèchement de certains plans. Certaines populations pourraient être tentées d’occuper sans autorisation, les terres qui seront récupérées.</w:t>
      </w:r>
    </w:p>
    <w:p w14:paraId="084F3468"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Ci-dessous le résumé de l’analyse du risque d’occupation anarchique des terres récupérées par les populations.</w:t>
      </w:r>
    </w:p>
    <w:p w14:paraId="619A2E3B" w14:textId="75C417FB" w:rsidR="00DE241D" w:rsidRPr="00260790" w:rsidRDefault="00DE241D" w:rsidP="00E20250">
      <w:pPr>
        <w:pStyle w:val="Lgende"/>
        <w:spacing w:line="240" w:lineRule="auto"/>
        <w:rPr>
          <w:color w:val="000000" w:themeColor="text1"/>
          <w:sz w:val="22"/>
          <w:szCs w:val="22"/>
        </w:rPr>
      </w:pPr>
      <w:bookmarkStart w:id="667" w:name="_Toc207781922"/>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81</w:t>
      </w:r>
      <w:r w:rsidRPr="00260790">
        <w:rPr>
          <w:color w:val="000000" w:themeColor="text1"/>
          <w:sz w:val="22"/>
          <w:szCs w:val="22"/>
        </w:rPr>
        <w:fldChar w:fldCharType="end"/>
      </w:r>
      <w:r w:rsidRPr="00260790">
        <w:rPr>
          <w:color w:val="000000" w:themeColor="text1"/>
          <w:sz w:val="22"/>
          <w:szCs w:val="22"/>
        </w:rPr>
        <w:t> : résumé de l’analyse du risque d’occupation anarchique des terres récupérées par les populations</w:t>
      </w:r>
      <w:bookmarkEnd w:id="667"/>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95"/>
        <w:gridCol w:w="2057"/>
        <w:gridCol w:w="1334"/>
        <w:gridCol w:w="971"/>
        <w:gridCol w:w="1038"/>
        <w:gridCol w:w="2165"/>
      </w:tblGrid>
      <w:tr w:rsidR="00BD1A2F" w:rsidRPr="009B46E2" w14:paraId="731D3045" w14:textId="77777777" w:rsidTr="003A0E4A">
        <w:trPr>
          <w:trHeight w:val="230"/>
        </w:trPr>
        <w:tc>
          <w:tcPr>
            <w:tcW w:w="5000" w:type="pct"/>
            <w:gridSpan w:val="6"/>
            <w:shd w:val="clear" w:color="auto" w:fill="D9E2F3" w:themeFill="accent5" w:themeFillTint="33"/>
          </w:tcPr>
          <w:p w14:paraId="72EC6CF7" w14:textId="77777777" w:rsidR="00DE241D" w:rsidRPr="0097258B" w:rsidRDefault="00DE241D" w:rsidP="00E20250">
            <w:pPr>
              <w:spacing w:line="240" w:lineRule="auto"/>
              <w:jc w:val="both"/>
              <w:rPr>
                <w:rFonts w:ascii="Times New Roman" w:hAnsi="Times New Roman"/>
                <w:b/>
                <w:bCs/>
                <w:i/>
                <w:iCs/>
                <w:color w:val="000000" w:themeColor="text1"/>
                <w:sz w:val="20"/>
                <w:szCs w:val="20"/>
                <w:lang w:val="fr-FR"/>
              </w:rPr>
            </w:pPr>
            <w:r w:rsidRPr="00301AF6">
              <w:rPr>
                <w:rFonts w:ascii="Times New Roman" w:hAnsi="Times New Roman"/>
                <w:b/>
                <w:bCs/>
                <w:i/>
                <w:iCs/>
                <w:color w:val="000000" w:themeColor="text1"/>
                <w:sz w:val="20"/>
                <w:szCs w:val="20"/>
                <w:lang w:val="fr-FR"/>
              </w:rPr>
              <w:t xml:space="preserve">RI-36. Risques d’occupation anarchique des terres récupérées par les populations </w:t>
            </w:r>
          </w:p>
        </w:tc>
      </w:tr>
      <w:tr w:rsidR="00BD1A2F" w:rsidRPr="009B46E2" w14:paraId="26D97F32" w14:textId="77777777" w:rsidTr="003A0E4A">
        <w:trPr>
          <w:trHeight w:val="230"/>
        </w:trPr>
        <w:tc>
          <w:tcPr>
            <w:tcW w:w="5000" w:type="pct"/>
            <w:gridSpan w:val="6"/>
          </w:tcPr>
          <w:p w14:paraId="41D1C0AD"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roofErr w:type="spellStart"/>
            <w:proofErr w:type="gramStart"/>
            <w:r w:rsidRPr="0097258B">
              <w:rPr>
                <w:rFonts w:ascii="Times New Roman" w:hAnsi="Times New Roman" w:cs="Times New Roman"/>
                <w:b/>
                <w:bCs/>
                <w:color w:val="000000" w:themeColor="text1"/>
                <w:sz w:val="20"/>
                <w:szCs w:val="20"/>
              </w:rPr>
              <w:t>Activités</w:t>
            </w:r>
            <w:proofErr w:type="spellEnd"/>
            <w:r w:rsidRPr="0097258B">
              <w:rPr>
                <w:rFonts w:ascii="Times New Roman" w:hAnsi="Times New Roman" w:cs="Times New Roman"/>
                <w:b/>
                <w:bCs/>
                <w:color w:val="000000" w:themeColor="text1"/>
                <w:sz w:val="20"/>
                <w:szCs w:val="20"/>
              </w:rPr>
              <w:t xml:space="preserve"> :</w:t>
            </w:r>
            <w:proofErr w:type="gram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Fonctionnement</w:t>
            </w:r>
            <w:proofErr w:type="spellEnd"/>
            <w:r w:rsidRPr="0097258B">
              <w:rPr>
                <w:rFonts w:ascii="Times New Roman" w:hAnsi="Times New Roman" w:cs="Times New Roman"/>
                <w:color w:val="000000" w:themeColor="text1"/>
                <w:sz w:val="20"/>
                <w:szCs w:val="20"/>
              </w:rPr>
              <w:t xml:space="preserve"> des </w:t>
            </w:r>
            <w:proofErr w:type="spellStart"/>
            <w:r w:rsidRPr="0097258B">
              <w:rPr>
                <w:rFonts w:ascii="Times New Roman" w:hAnsi="Times New Roman" w:cs="Times New Roman"/>
                <w:color w:val="000000" w:themeColor="text1"/>
                <w:sz w:val="20"/>
                <w:szCs w:val="20"/>
              </w:rPr>
              <w:t>ouvrages</w:t>
            </w:r>
            <w:proofErr w:type="spellEnd"/>
          </w:p>
        </w:tc>
      </w:tr>
      <w:tr w:rsidR="00BD1A2F" w:rsidRPr="009B46E2" w14:paraId="5C4764DA" w14:textId="77777777" w:rsidTr="003A0E4A">
        <w:trPr>
          <w:trHeight w:val="230"/>
        </w:trPr>
        <w:tc>
          <w:tcPr>
            <w:tcW w:w="825" w:type="pct"/>
          </w:tcPr>
          <w:p w14:paraId="00F16C8C"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135" w:type="pct"/>
          </w:tcPr>
          <w:p w14:paraId="48DDDFFF"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initial</w:t>
            </w:r>
          </w:p>
        </w:tc>
        <w:tc>
          <w:tcPr>
            <w:tcW w:w="736" w:type="pct"/>
          </w:tcPr>
          <w:p w14:paraId="02E708C4"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36" w:type="pct"/>
          </w:tcPr>
          <w:p w14:paraId="7447FEF2"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73" w:type="pct"/>
          </w:tcPr>
          <w:p w14:paraId="090C8F84"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196" w:type="pct"/>
          </w:tcPr>
          <w:p w14:paraId="41EA8043"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p>
        </w:tc>
      </w:tr>
      <w:tr w:rsidR="00BD1A2F" w:rsidRPr="009B46E2" w14:paraId="0C42AB7E" w14:textId="77777777" w:rsidTr="003A0E4A">
        <w:trPr>
          <w:trHeight w:val="271"/>
        </w:trPr>
        <w:tc>
          <w:tcPr>
            <w:tcW w:w="825" w:type="pct"/>
          </w:tcPr>
          <w:p w14:paraId="39F4E938"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Avant </w:t>
            </w:r>
            <w:proofErr w:type="spellStart"/>
            <w:r w:rsidRPr="0097258B">
              <w:rPr>
                <w:rFonts w:ascii="Times New Roman" w:hAnsi="Times New Roman" w:cs="Times New Roman"/>
                <w:color w:val="000000" w:themeColor="text1"/>
                <w:sz w:val="20"/>
                <w:szCs w:val="20"/>
              </w:rPr>
              <w:t>prévention</w:t>
            </w:r>
            <w:proofErr w:type="spellEnd"/>
          </w:p>
        </w:tc>
        <w:tc>
          <w:tcPr>
            <w:tcW w:w="1135" w:type="pct"/>
          </w:tcPr>
          <w:p w14:paraId="03A3E403" w14:textId="513C05DD" w:rsidR="00DE241D" w:rsidRPr="0097258B" w:rsidRDefault="00947F82"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 xml:space="preserve">Occupation </w:t>
            </w:r>
            <w:r w:rsidR="00C477C3" w:rsidRPr="00301AF6">
              <w:rPr>
                <w:rFonts w:ascii="Times New Roman" w:hAnsi="Times New Roman" w:cs="Times New Roman"/>
                <w:color w:val="000000" w:themeColor="text1"/>
                <w:sz w:val="20"/>
                <w:szCs w:val="20"/>
                <w:lang w:val="fr-FR"/>
              </w:rPr>
              <w:t>des terrains récupérés des eaux par les populations</w:t>
            </w:r>
          </w:p>
        </w:tc>
        <w:tc>
          <w:tcPr>
            <w:tcW w:w="736" w:type="pct"/>
            <w:vAlign w:val="center"/>
          </w:tcPr>
          <w:p w14:paraId="416EF253"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w:t>
            </w:r>
          </w:p>
        </w:tc>
        <w:tc>
          <w:tcPr>
            <w:tcW w:w="536" w:type="pct"/>
            <w:vAlign w:val="center"/>
          </w:tcPr>
          <w:p w14:paraId="58532C93"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w:t>
            </w:r>
          </w:p>
        </w:tc>
        <w:tc>
          <w:tcPr>
            <w:tcW w:w="573" w:type="pct"/>
            <w:shd w:val="clear" w:color="auto" w:fill="FF0000"/>
            <w:vAlign w:val="center"/>
          </w:tcPr>
          <w:p w14:paraId="09E1D5C1"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33</w:t>
            </w:r>
          </w:p>
        </w:tc>
        <w:tc>
          <w:tcPr>
            <w:tcW w:w="1196" w:type="pct"/>
          </w:tcPr>
          <w:p w14:paraId="37D1F221" w14:textId="77777777" w:rsidR="00DE241D" w:rsidRPr="0097258B" w:rsidRDefault="00DE241D" w:rsidP="00E20250">
            <w:pPr>
              <w:pStyle w:val="Default"/>
              <w:overflowPunct w:val="0"/>
              <w:ind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 xml:space="preserve">Développent d’habitat spontané (non planifié) </w:t>
            </w:r>
          </w:p>
        </w:tc>
      </w:tr>
      <w:tr w:rsidR="00BD1A2F" w:rsidRPr="009B46E2" w14:paraId="38212CD6" w14:textId="77777777" w:rsidTr="003A0E4A">
        <w:trPr>
          <w:trHeight w:val="509"/>
        </w:trPr>
        <w:tc>
          <w:tcPr>
            <w:tcW w:w="825" w:type="pct"/>
          </w:tcPr>
          <w:p w14:paraId="74B9A988"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prévention</w:t>
            </w:r>
            <w:proofErr w:type="spellEnd"/>
          </w:p>
        </w:tc>
        <w:tc>
          <w:tcPr>
            <w:tcW w:w="4175" w:type="pct"/>
            <w:gridSpan w:val="5"/>
          </w:tcPr>
          <w:p w14:paraId="4AF91035" w14:textId="1CC6E2C4" w:rsidR="002A5F1B" w:rsidRPr="0097258B" w:rsidRDefault="002A5F1B" w:rsidP="001748C6">
            <w:pPr>
              <w:pStyle w:val="Paragraphedeliste"/>
              <w:numPr>
                <w:ilvl w:val="0"/>
                <w:numId w:val="365"/>
              </w:numPr>
              <w:tabs>
                <w:tab w:val="left" w:pos="1305"/>
              </w:tabs>
              <w:spacing w:after="160" w:line="240" w:lineRule="auto"/>
              <w:ind w:right="113"/>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 xml:space="preserve">Informer et impliquer les autorités administratives et </w:t>
            </w:r>
            <w:r w:rsidR="0060559A" w:rsidRPr="00301AF6">
              <w:rPr>
                <w:rFonts w:ascii="Times New Roman" w:hAnsi="Times New Roman"/>
                <w:color w:val="000000" w:themeColor="text1"/>
                <w:sz w:val="20"/>
                <w:szCs w:val="20"/>
                <w:lang w:val="fr-FR"/>
              </w:rPr>
              <w:t>locales, et</w:t>
            </w:r>
            <w:r w:rsidRPr="00301AF6">
              <w:rPr>
                <w:rFonts w:ascii="Times New Roman" w:hAnsi="Times New Roman"/>
                <w:color w:val="000000" w:themeColor="text1"/>
                <w:sz w:val="20"/>
                <w:szCs w:val="20"/>
                <w:lang w:val="fr-FR"/>
              </w:rPr>
              <w:t xml:space="preserve"> les Services des Domaines et du Cadastre pour la gestion et la sécurisation </w:t>
            </w:r>
            <w:r w:rsidR="00FD5CC8" w:rsidRPr="00301AF6">
              <w:rPr>
                <w:rFonts w:ascii="Times New Roman" w:hAnsi="Times New Roman"/>
                <w:color w:val="000000" w:themeColor="text1"/>
                <w:sz w:val="20"/>
                <w:szCs w:val="20"/>
                <w:lang w:val="fr-FR"/>
              </w:rPr>
              <w:t>des espaces libérés par le Projet</w:t>
            </w:r>
          </w:p>
          <w:p w14:paraId="11A9BF6B" w14:textId="23C40483" w:rsidR="00DE241D" w:rsidRPr="0097258B" w:rsidRDefault="00DE241D" w:rsidP="002A5F1B">
            <w:pPr>
              <w:pStyle w:val="Paragraphedeliste"/>
              <w:numPr>
                <w:ilvl w:val="0"/>
                <w:numId w:val="365"/>
              </w:numPr>
              <w:tabs>
                <w:tab w:val="left" w:pos="1305"/>
              </w:tabs>
              <w:spacing w:after="160" w:line="240" w:lineRule="auto"/>
              <w:ind w:right="113"/>
              <w:jc w:val="both"/>
              <w:rPr>
                <w:rFonts w:ascii="Times New Roman" w:hAnsi="Times New Roman"/>
                <w:color w:val="000000" w:themeColor="text1"/>
                <w:sz w:val="20"/>
                <w:szCs w:val="20"/>
                <w:lang w:val="fr-FR"/>
              </w:rPr>
            </w:pPr>
            <w:r w:rsidRPr="00301AF6">
              <w:rPr>
                <w:rFonts w:ascii="Times New Roman" w:eastAsia="Times New Roman" w:hAnsi="Times New Roman"/>
                <w:color w:val="000000" w:themeColor="text1"/>
                <w:sz w:val="20"/>
                <w:szCs w:val="20"/>
                <w:lang w:val="fr-FR" w:eastAsia="fr-FR"/>
              </w:rPr>
              <w:t>Créer un cadre de collaboration</w:t>
            </w:r>
            <w:r w:rsidR="002A5F1B" w:rsidRPr="00301AF6">
              <w:rPr>
                <w:rFonts w:ascii="Times New Roman" w:eastAsia="Times New Roman" w:hAnsi="Times New Roman"/>
                <w:color w:val="000000" w:themeColor="text1"/>
                <w:sz w:val="20"/>
                <w:szCs w:val="20"/>
                <w:lang w:val="fr-FR" w:eastAsia="fr-FR"/>
              </w:rPr>
              <w:t xml:space="preserve"> entre</w:t>
            </w:r>
            <w:r w:rsidRPr="00301AF6">
              <w:rPr>
                <w:rFonts w:ascii="Times New Roman" w:eastAsia="Times New Roman" w:hAnsi="Times New Roman"/>
                <w:color w:val="000000" w:themeColor="text1"/>
                <w:sz w:val="20"/>
                <w:szCs w:val="20"/>
                <w:lang w:val="fr-FR" w:eastAsia="fr-FR"/>
              </w:rPr>
              <w:t xml:space="preserve"> </w:t>
            </w:r>
            <w:r w:rsidR="002A5F1B" w:rsidRPr="00301AF6">
              <w:rPr>
                <w:rFonts w:ascii="Times New Roman" w:eastAsia="Times New Roman" w:hAnsi="Times New Roman"/>
                <w:color w:val="000000" w:themeColor="text1"/>
                <w:sz w:val="20"/>
                <w:szCs w:val="20"/>
                <w:lang w:val="fr-FR" w:eastAsia="fr-FR"/>
              </w:rPr>
              <w:t xml:space="preserve">le </w:t>
            </w:r>
            <w:proofErr w:type="spellStart"/>
            <w:r w:rsidR="002A5F1B" w:rsidRPr="00301AF6">
              <w:rPr>
                <w:rFonts w:ascii="Times New Roman" w:eastAsia="Times New Roman" w:hAnsi="Times New Roman"/>
                <w:color w:val="000000" w:themeColor="text1"/>
                <w:sz w:val="20"/>
                <w:szCs w:val="20"/>
                <w:lang w:val="fr-FR" w:eastAsia="fr-FR"/>
              </w:rPr>
              <w:t>Prefet</w:t>
            </w:r>
            <w:proofErr w:type="spellEnd"/>
            <w:r w:rsidR="002A5F1B" w:rsidRPr="00301AF6">
              <w:rPr>
                <w:rFonts w:ascii="Times New Roman" w:eastAsia="Times New Roman" w:hAnsi="Times New Roman"/>
                <w:color w:val="000000" w:themeColor="text1"/>
                <w:sz w:val="20"/>
                <w:szCs w:val="20"/>
                <w:lang w:val="fr-FR" w:eastAsia="fr-FR"/>
              </w:rPr>
              <w:t xml:space="preserve">, la </w:t>
            </w:r>
            <w:r w:rsidR="0060559A" w:rsidRPr="00301AF6">
              <w:rPr>
                <w:rFonts w:ascii="Times New Roman" w:eastAsia="Times New Roman" w:hAnsi="Times New Roman"/>
                <w:color w:val="000000" w:themeColor="text1"/>
                <w:sz w:val="20"/>
                <w:szCs w:val="20"/>
                <w:lang w:val="fr-FR" w:eastAsia="fr-FR"/>
              </w:rPr>
              <w:t>Commune</w:t>
            </w:r>
            <w:r w:rsidR="0060559A">
              <w:rPr>
                <w:rFonts w:ascii="Times New Roman" w:eastAsia="Times New Roman" w:hAnsi="Times New Roman"/>
                <w:color w:val="000000" w:themeColor="text1"/>
                <w:sz w:val="20"/>
                <w:szCs w:val="20"/>
                <w:lang w:val="fr-FR" w:eastAsia="fr-FR"/>
              </w:rPr>
              <w:t>,</w:t>
            </w:r>
            <w:r w:rsidR="0060559A" w:rsidRPr="00301AF6">
              <w:rPr>
                <w:rFonts w:ascii="Times New Roman" w:eastAsia="Times New Roman" w:hAnsi="Times New Roman"/>
                <w:color w:val="000000" w:themeColor="text1"/>
                <w:sz w:val="20"/>
                <w:szCs w:val="20"/>
                <w:lang w:val="fr-FR" w:eastAsia="fr-FR"/>
              </w:rPr>
              <w:t xml:space="preserve"> les</w:t>
            </w:r>
            <w:r w:rsidRPr="00301AF6">
              <w:rPr>
                <w:rFonts w:ascii="Times New Roman" w:eastAsia="Times New Roman" w:hAnsi="Times New Roman"/>
                <w:color w:val="000000" w:themeColor="text1"/>
                <w:sz w:val="20"/>
                <w:szCs w:val="20"/>
                <w:lang w:val="fr-FR" w:eastAsia="fr-FR"/>
              </w:rPr>
              <w:t xml:space="preserve"> Commissions communale</w:t>
            </w:r>
            <w:r w:rsidR="00BE4E2A" w:rsidRPr="00301AF6">
              <w:rPr>
                <w:rFonts w:ascii="Times New Roman" w:eastAsia="Times New Roman" w:hAnsi="Times New Roman"/>
                <w:color w:val="000000" w:themeColor="text1"/>
                <w:sz w:val="20"/>
                <w:szCs w:val="20"/>
                <w:lang w:val="fr-FR" w:eastAsia="fr-FR"/>
              </w:rPr>
              <w:t>s</w:t>
            </w:r>
            <w:r w:rsidRPr="00301AF6">
              <w:rPr>
                <w:rFonts w:ascii="Times New Roman" w:eastAsia="Times New Roman" w:hAnsi="Times New Roman"/>
                <w:color w:val="000000" w:themeColor="text1"/>
                <w:sz w:val="20"/>
                <w:szCs w:val="20"/>
                <w:lang w:val="fr-FR" w:eastAsia="fr-FR"/>
              </w:rPr>
              <w:t xml:space="preserve"> de gestion de l’environnement et la DSCOS pour assurer une surveillance stricte de l’occupation des sols</w:t>
            </w:r>
            <w:r w:rsidRPr="00301AF6">
              <w:rPr>
                <w:rFonts w:ascii="Times New Roman" w:hAnsi="Times New Roman"/>
                <w:color w:val="000000" w:themeColor="text1"/>
                <w:sz w:val="20"/>
                <w:szCs w:val="20"/>
                <w:lang w:val="fr-FR"/>
              </w:rPr>
              <w:t>.</w:t>
            </w:r>
          </w:p>
        </w:tc>
      </w:tr>
      <w:tr w:rsidR="00BD1A2F" w:rsidRPr="009B46E2" w14:paraId="687AA43B" w14:textId="77777777" w:rsidTr="003A0E4A">
        <w:trPr>
          <w:trHeight w:val="230"/>
        </w:trPr>
        <w:tc>
          <w:tcPr>
            <w:tcW w:w="825" w:type="pct"/>
          </w:tcPr>
          <w:p w14:paraId="6BC1D3B9"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135" w:type="pct"/>
          </w:tcPr>
          <w:p w14:paraId="05E45313"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final</w:t>
            </w:r>
          </w:p>
        </w:tc>
        <w:tc>
          <w:tcPr>
            <w:tcW w:w="736" w:type="pct"/>
          </w:tcPr>
          <w:p w14:paraId="2353C4EA"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36" w:type="pct"/>
          </w:tcPr>
          <w:p w14:paraId="5FB603A5"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573" w:type="pct"/>
          </w:tcPr>
          <w:p w14:paraId="64B6CB72"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196" w:type="pct"/>
          </w:tcPr>
          <w:p w14:paraId="53A7D3F1"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r w:rsidRPr="0097258B">
              <w:rPr>
                <w:rFonts w:ascii="Times New Roman" w:hAnsi="Times New Roman" w:cs="Times New Roman"/>
                <w:b/>
                <w:bCs/>
                <w:color w:val="000000" w:themeColor="text1"/>
                <w:sz w:val="20"/>
                <w:szCs w:val="20"/>
              </w:rPr>
              <w:t xml:space="preserve"> </w:t>
            </w:r>
            <w:proofErr w:type="spellStart"/>
            <w:r w:rsidRPr="0097258B">
              <w:rPr>
                <w:rFonts w:ascii="Times New Roman" w:hAnsi="Times New Roman" w:cs="Times New Roman"/>
                <w:b/>
                <w:bCs/>
                <w:color w:val="000000" w:themeColor="text1"/>
                <w:sz w:val="20"/>
                <w:szCs w:val="20"/>
              </w:rPr>
              <w:t>résiduel</w:t>
            </w:r>
            <w:proofErr w:type="spellEnd"/>
          </w:p>
        </w:tc>
      </w:tr>
      <w:tr w:rsidR="00BD1A2F" w:rsidRPr="009B46E2" w14:paraId="70D9201C" w14:textId="77777777" w:rsidTr="003A0E4A">
        <w:trPr>
          <w:trHeight w:val="230"/>
        </w:trPr>
        <w:tc>
          <w:tcPr>
            <w:tcW w:w="825" w:type="pct"/>
          </w:tcPr>
          <w:p w14:paraId="43FB69EA"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Après </w:t>
            </w:r>
            <w:proofErr w:type="spellStart"/>
            <w:r w:rsidRPr="0097258B">
              <w:rPr>
                <w:rFonts w:ascii="Times New Roman" w:hAnsi="Times New Roman" w:cs="Times New Roman"/>
                <w:color w:val="000000" w:themeColor="text1"/>
                <w:sz w:val="20"/>
                <w:szCs w:val="20"/>
              </w:rPr>
              <w:t>prévention</w:t>
            </w:r>
            <w:proofErr w:type="spellEnd"/>
          </w:p>
        </w:tc>
        <w:tc>
          <w:tcPr>
            <w:tcW w:w="1135" w:type="pct"/>
          </w:tcPr>
          <w:p w14:paraId="1F1B00DD" w14:textId="221A8EA4" w:rsidR="00DE241D" w:rsidRPr="0097258B" w:rsidRDefault="00C6108E"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color w:val="000000" w:themeColor="text1"/>
                <w:sz w:val="20"/>
                <w:szCs w:val="20"/>
              </w:rPr>
              <w:t xml:space="preserve"> occupation </w:t>
            </w:r>
            <w:proofErr w:type="spellStart"/>
            <w:r w:rsidR="00AF670D" w:rsidRPr="0097258B">
              <w:rPr>
                <w:rFonts w:ascii="Times New Roman" w:hAnsi="Times New Roman" w:cs="Times New Roman"/>
                <w:color w:val="000000" w:themeColor="text1"/>
                <w:sz w:val="20"/>
                <w:szCs w:val="20"/>
              </w:rPr>
              <w:t>anarchique</w:t>
            </w:r>
            <w:proofErr w:type="spellEnd"/>
          </w:p>
        </w:tc>
        <w:tc>
          <w:tcPr>
            <w:tcW w:w="736" w:type="pct"/>
          </w:tcPr>
          <w:p w14:paraId="69FCE35E"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25AB791F"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36" w:type="pct"/>
          </w:tcPr>
          <w:p w14:paraId="3E526A49"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7AC44C0E"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73" w:type="pct"/>
            <w:shd w:val="clear" w:color="auto" w:fill="92D050"/>
          </w:tcPr>
          <w:p w14:paraId="57A6B79C"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31DEC5B2"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11</w:t>
            </w:r>
          </w:p>
        </w:tc>
        <w:tc>
          <w:tcPr>
            <w:tcW w:w="1196" w:type="pct"/>
          </w:tcPr>
          <w:p w14:paraId="32C5FFAD" w14:textId="1C8F49DC" w:rsidR="00213007" w:rsidRPr="0097258B" w:rsidRDefault="0047272E"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Retour des </w:t>
            </w:r>
            <w:proofErr w:type="spellStart"/>
            <w:r w:rsidRPr="0097258B">
              <w:rPr>
                <w:rFonts w:ascii="Times New Roman" w:hAnsi="Times New Roman" w:cs="Times New Roman"/>
                <w:color w:val="000000" w:themeColor="text1"/>
                <w:sz w:val="20"/>
                <w:szCs w:val="20"/>
              </w:rPr>
              <w:t>i</w:t>
            </w:r>
            <w:r w:rsidR="008357CC" w:rsidRPr="0097258B">
              <w:rPr>
                <w:rFonts w:ascii="Times New Roman" w:hAnsi="Times New Roman" w:cs="Times New Roman"/>
                <w:color w:val="000000" w:themeColor="text1"/>
                <w:sz w:val="20"/>
                <w:szCs w:val="20"/>
              </w:rPr>
              <w:t>nondation</w:t>
            </w:r>
            <w:r w:rsidRPr="0097258B">
              <w:rPr>
                <w:rFonts w:ascii="Times New Roman" w:hAnsi="Times New Roman" w:cs="Times New Roman"/>
                <w:color w:val="000000" w:themeColor="text1"/>
                <w:sz w:val="20"/>
                <w:szCs w:val="20"/>
              </w:rPr>
              <w:t>s</w:t>
            </w:r>
            <w:proofErr w:type="spellEnd"/>
          </w:p>
          <w:p w14:paraId="4A531854" w14:textId="6FDEF661"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r>
    </w:tbl>
    <w:p w14:paraId="5FEF3C17" w14:textId="57866168" w:rsidR="001F68D3" w:rsidRPr="00260790" w:rsidRDefault="001F68D3" w:rsidP="00E20250">
      <w:pPr>
        <w:spacing w:line="240" w:lineRule="auto"/>
        <w:rPr>
          <w:rFonts w:ascii="Times New Roman" w:hAnsi="Times New Roman"/>
          <w:color w:val="000000" w:themeColor="text1"/>
        </w:rPr>
      </w:pPr>
    </w:p>
    <w:p w14:paraId="43C3EB5A" w14:textId="77777777" w:rsidR="00DE241D" w:rsidRPr="00260790" w:rsidRDefault="00DE241D" w:rsidP="001748C6">
      <w:pPr>
        <w:pStyle w:val="Paragraphedeliste"/>
        <w:numPr>
          <w:ilvl w:val="0"/>
          <w:numId w:val="330"/>
        </w:numPr>
        <w:spacing w:after="0"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RI-37. Risques de noyades dans les bassins et le marigot</w:t>
      </w:r>
    </w:p>
    <w:p w14:paraId="4E28A713"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fonctionnement des bassins comporte un risque de noyade notamment pour les enfants en bas âge. La prévention de ce risque passe par un entretien régulier des clôtures et une surveillance des sites. </w:t>
      </w:r>
    </w:p>
    <w:p w14:paraId="089E5368"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Ci-dessous le résumé de l’analyse du risque de noyade.</w:t>
      </w:r>
    </w:p>
    <w:p w14:paraId="3A43A5E2" w14:textId="77777777" w:rsidR="00150E6B" w:rsidRDefault="00150E6B">
      <w:pPr>
        <w:spacing w:line="259" w:lineRule="auto"/>
        <w:rPr>
          <w:rFonts w:ascii="Times New Roman" w:eastAsia="Times New Roman" w:hAnsi="Times New Roman"/>
          <w:i/>
          <w:iCs/>
          <w:color w:val="000000" w:themeColor="text1"/>
          <w:lang w:eastAsia="fr-FR"/>
        </w:rPr>
      </w:pPr>
      <w:bookmarkStart w:id="668" w:name="_Toc207781923"/>
      <w:r>
        <w:rPr>
          <w:color w:val="000000" w:themeColor="text1"/>
        </w:rPr>
        <w:br w:type="page"/>
      </w:r>
    </w:p>
    <w:p w14:paraId="3CF2658B" w14:textId="6E4A7A53" w:rsidR="00DE241D" w:rsidRPr="00260790" w:rsidRDefault="00DE241D" w:rsidP="00E20250">
      <w:pPr>
        <w:pStyle w:val="Lgende"/>
        <w:spacing w:line="240" w:lineRule="auto"/>
        <w:rPr>
          <w:color w:val="000000" w:themeColor="text1"/>
          <w:sz w:val="22"/>
          <w:szCs w:val="22"/>
        </w:rPr>
      </w:pPr>
      <w:r w:rsidRPr="00260790">
        <w:rPr>
          <w:color w:val="000000" w:themeColor="text1"/>
          <w:sz w:val="22"/>
          <w:szCs w:val="22"/>
        </w:rPr>
        <w:lastRenderedPageBreak/>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82</w:t>
      </w:r>
      <w:r w:rsidRPr="00260790">
        <w:rPr>
          <w:color w:val="000000" w:themeColor="text1"/>
          <w:sz w:val="22"/>
          <w:szCs w:val="22"/>
        </w:rPr>
        <w:fldChar w:fldCharType="end"/>
      </w:r>
      <w:r w:rsidRPr="00260790">
        <w:rPr>
          <w:color w:val="000000" w:themeColor="text1"/>
          <w:sz w:val="22"/>
          <w:szCs w:val="22"/>
        </w:rPr>
        <w:t> : résumé de l’analyse du risque de noyade</w:t>
      </w:r>
      <w:bookmarkEnd w:id="668"/>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6"/>
        <w:gridCol w:w="2631"/>
        <w:gridCol w:w="1424"/>
        <w:gridCol w:w="998"/>
        <w:gridCol w:w="1138"/>
        <w:gridCol w:w="1373"/>
      </w:tblGrid>
      <w:tr w:rsidR="00BD1A2F" w:rsidRPr="009B46E2" w14:paraId="1EF84455" w14:textId="77777777" w:rsidTr="003A0E4A">
        <w:trPr>
          <w:trHeight w:val="230"/>
        </w:trPr>
        <w:tc>
          <w:tcPr>
            <w:tcW w:w="5000" w:type="pct"/>
            <w:gridSpan w:val="6"/>
            <w:shd w:val="clear" w:color="auto" w:fill="D9E2F3" w:themeFill="accent5" w:themeFillTint="33"/>
          </w:tcPr>
          <w:p w14:paraId="3A2E5825" w14:textId="77777777" w:rsidR="00DE241D" w:rsidRPr="0097258B" w:rsidRDefault="00DE241D" w:rsidP="00E20250">
            <w:pPr>
              <w:spacing w:line="240" w:lineRule="auto"/>
              <w:jc w:val="both"/>
              <w:rPr>
                <w:rFonts w:ascii="Times New Roman" w:hAnsi="Times New Roman"/>
                <w:b/>
                <w:bCs/>
                <w:i/>
                <w:iCs/>
                <w:color w:val="000000" w:themeColor="text1"/>
                <w:sz w:val="20"/>
                <w:szCs w:val="20"/>
                <w:lang w:val="fr-FR"/>
              </w:rPr>
            </w:pPr>
            <w:r w:rsidRPr="00301AF6">
              <w:rPr>
                <w:rFonts w:ascii="Times New Roman" w:hAnsi="Times New Roman"/>
                <w:b/>
                <w:bCs/>
                <w:i/>
                <w:iCs/>
                <w:color w:val="000000" w:themeColor="text1"/>
                <w:sz w:val="20"/>
                <w:szCs w:val="20"/>
                <w:lang w:val="fr-FR"/>
              </w:rPr>
              <w:t>RI-37. Risque de noyade dans les bassins</w:t>
            </w:r>
          </w:p>
        </w:tc>
      </w:tr>
      <w:tr w:rsidR="00BD1A2F" w:rsidRPr="009B46E2" w14:paraId="12D434D1" w14:textId="77777777" w:rsidTr="003A0E4A">
        <w:trPr>
          <w:trHeight w:val="230"/>
        </w:trPr>
        <w:tc>
          <w:tcPr>
            <w:tcW w:w="5000" w:type="pct"/>
            <w:gridSpan w:val="6"/>
          </w:tcPr>
          <w:p w14:paraId="35622FE5"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b/>
                <w:bCs/>
                <w:color w:val="000000" w:themeColor="text1"/>
                <w:sz w:val="20"/>
                <w:szCs w:val="20"/>
                <w:lang w:val="fr-FR"/>
              </w:rPr>
              <w:t>Activités :</w:t>
            </w:r>
            <w:r w:rsidRPr="00301AF6">
              <w:rPr>
                <w:rFonts w:ascii="Times New Roman" w:hAnsi="Times New Roman" w:cs="Times New Roman"/>
                <w:color w:val="000000" w:themeColor="text1"/>
                <w:sz w:val="20"/>
                <w:szCs w:val="20"/>
                <w:lang w:val="fr-FR"/>
              </w:rPr>
              <w:t xml:space="preserve"> Fonctionnement des bassins et de l’exutoire</w:t>
            </w:r>
          </w:p>
        </w:tc>
      </w:tr>
      <w:tr w:rsidR="00BD1A2F" w:rsidRPr="009B46E2" w14:paraId="09C42931" w14:textId="77777777" w:rsidTr="003A0E4A">
        <w:trPr>
          <w:trHeight w:val="230"/>
        </w:trPr>
        <w:tc>
          <w:tcPr>
            <w:tcW w:w="825" w:type="pct"/>
          </w:tcPr>
          <w:p w14:paraId="71FAFA7C"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452" w:type="pct"/>
          </w:tcPr>
          <w:p w14:paraId="4468489B"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initial</w:t>
            </w:r>
          </w:p>
        </w:tc>
        <w:tc>
          <w:tcPr>
            <w:tcW w:w="786" w:type="pct"/>
          </w:tcPr>
          <w:p w14:paraId="6FB628F7"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51" w:type="pct"/>
          </w:tcPr>
          <w:p w14:paraId="3A4E7096"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628" w:type="pct"/>
          </w:tcPr>
          <w:p w14:paraId="6E41F0D9"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758" w:type="pct"/>
          </w:tcPr>
          <w:p w14:paraId="72C1A42C"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p>
        </w:tc>
      </w:tr>
      <w:tr w:rsidR="00BD1A2F" w:rsidRPr="009B46E2" w14:paraId="181BA141" w14:textId="77777777" w:rsidTr="003A0E4A">
        <w:trPr>
          <w:trHeight w:val="271"/>
        </w:trPr>
        <w:tc>
          <w:tcPr>
            <w:tcW w:w="825" w:type="pct"/>
          </w:tcPr>
          <w:p w14:paraId="456D045B"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Avant </w:t>
            </w:r>
            <w:proofErr w:type="spellStart"/>
            <w:r w:rsidRPr="0097258B">
              <w:rPr>
                <w:rFonts w:ascii="Times New Roman" w:hAnsi="Times New Roman" w:cs="Times New Roman"/>
                <w:color w:val="000000" w:themeColor="text1"/>
                <w:sz w:val="20"/>
                <w:szCs w:val="20"/>
              </w:rPr>
              <w:t>prévention</w:t>
            </w:r>
            <w:proofErr w:type="spellEnd"/>
          </w:p>
        </w:tc>
        <w:tc>
          <w:tcPr>
            <w:tcW w:w="1452" w:type="pct"/>
          </w:tcPr>
          <w:p w14:paraId="5F717A51" w14:textId="15373AD6" w:rsidR="00DE241D" w:rsidRPr="0097258B" w:rsidRDefault="006160C4"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Risque de noyade</w:t>
            </w:r>
            <w:r w:rsidR="008173ED" w:rsidRPr="00301AF6">
              <w:rPr>
                <w:rFonts w:ascii="Times New Roman" w:hAnsi="Times New Roman" w:cs="Times New Roman"/>
                <w:color w:val="000000" w:themeColor="text1"/>
                <w:sz w:val="20"/>
                <w:szCs w:val="20"/>
                <w:lang w:val="fr-FR"/>
              </w:rPr>
              <w:t xml:space="preserve"> dans les bassins et le </w:t>
            </w:r>
            <w:proofErr w:type="spellStart"/>
            <w:r w:rsidR="008173ED" w:rsidRPr="00301AF6">
              <w:rPr>
                <w:rFonts w:ascii="Times New Roman" w:hAnsi="Times New Roman" w:cs="Times New Roman"/>
                <w:color w:val="000000" w:themeColor="text1"/>
                <w:sz w:val="20"/>
                <w:szCs w:val="20"/>
                <w:lang w:val="fr-FR"/>
              </w:rPr>
              <w:t>marigiot</w:t>
            </w:r>
            <w:proofErr w:type="spellEnd"/>
            <w:r w:rsidR="008173ED" w:rsidRPr="00301AF6">
              <w:rPr>
                <w:rFonts w:ascii="Times New Roman" w:hAnsi="Times New Roman" w:cs="Times New Roman"/>
                <w:color w:val="000000" w:themeColor="text1"/>
                <w:sz w:val="20"/>
                <w:szCs w:val="20"/>
                <w:lang w:val="fr-FR"/>
              </w:rPr>
              <w:t xml:space="preserve"> de Mbao</w:t>
            </w:r>
          </w:p>
        </w:tc>
        <w:tc>
          <w:tcPr>
            <w:tcW w:w="786" w:type="pct"/>
            <w:vAlign w:val="center"/>
          </w:tcPr>
          <w:p w14:paraId="1F6E5B55"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51" w:type="pct"/>
            <w:vAlign w:val="center"/>
          </w:tcPr>
          <w:p w14:paraId="67B2978E"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4</w:t>
            </w:r>
          </w:p>
        </w:tc>
        <w:tc>
          <w:tcPr>
            <w:tcW w:w="628" w:type="pct"/>
            <w:shd w:val="clear" w:color="auto" w:fill="FFFF00"/>
            <w:vAlign w:val="center"/>
          </w:tcPr>
          <w:p w14:paraId="496D0DF5"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42</w:t>
            </w:r>
          </w:p>
        </w:tc>
        <w:tc>
          <w:tcPr>
            <w:tcW w:w="758" w:type="pct"/>
          </w:tcPr>
          <w:p w14:paraId="77BD5501"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Blessures ;</w:t>
            </w:r>
          </w:p>
          <w:p w14:paraId="357301DF"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Pertes en vies humaines</w:t>
            </w:r>
          </w:p>
        </w:tc>
      </w:tr>
      <w:tr w:rsidR="00BD1A2F" w:rsidRPr="009B46E2" w14:paraId="72EF4580" w14:textId="77777777" w:rsidTr="003A0E4A">
        <w:trPr>
          <w:trHeight w:val="509"/>
        </w:trPr>
        <w:tc>
          <w:tcPr>
            <w:tcW w:w="825" w:type="pct"/>
          </w:tcPr>
          <w:p w14:paraId="7705FAE6"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prévention</w:t>
            </w:r>
            <w:proofErr w:type="spellEnd"/>
          </w:p>
        </w:tc>
        <w:tc>
          <w:tcPr>
            <w:tcW w:w="4175" w:type="pct"/>
            <w:gridSpan w:val="5"/>
          </w:tcPr>
          <w:p w14:paraId="3B7743EA" w14:textId="77777777" w:rsidR="00DE241D" w:rsidRPr="0097258B" w:rsidRDefault="00DE241D" w:rsidP="001748C6">
            <w:pPr>
              <w:pStyle w:val="Paragraphedeliste"/>
              <w:numPr>
                <w:ilvl w:val="0"/>
                <w:numId w:val="315"/>
              </w:numPr>
              <w:tabs>
                <w:tab w:val="left" w:pos="1305"/>
              </w:tabs>
              <w:spacing w:line="240" w:lineRule="auto"/>
              <w:ind w:left="417" w:right="113"/>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Sensibiliser les riverains sur le risque de noyade ;</w:t>
            </w:r>
          </w:p>
          <w:p w14:paraId="6975334F" w14:textId="77777777" w:rsidR="00DE241D" w:rsidRPr="0097258B" w:rsidRDefault="00DE241D" w:rsidP="001748C6">
            <w:pPr>
              <w:pStyle w:val="Paragraphedeliste"/>
              <w:numPr>
                <w:ilvl w:val="0"/>
                <w:numId w:val="315"/>
              </w:numPr>
              <w:tabs>
                <w:tab w:val="left" w:pos="1305"/>
              </w:tabs>
              <w:spacing w:line="240" w:lineRule="auto"/>
              <w:ind w:left="417" w:right="113"/>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Assurer un entretien régulier du dispositif de sécurisation des bassins (muret, grillage) ;</w:t>
            </w:r>
          </w:p>
          <w:p w14:paraId="503E4C98" w14:textId="77777777" w:rsidR="00DE241D" w:rsidRPr="0097258B" w:rsidRDefault="00DE241D" w:rsidP="001748C6">
            <w:pPr>
              <w:pStyle w:val="Paragraphedeliste"/>
              <w:numPr>
                <w:ilvl w:val="0"/>
                <w:numId w:val="315"/>
              </w:numPr>
              <w:tabs>
                <w:tab w:val="left" w:pos="1305"/>
              </w:tabs>
              <w:spacing w:line="240" w:lineRule="auto"/>
              <w:ind w:left="417" w:right="113"/>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Doter le personnel d’entretien de gilets de sauvetage et en exiger le port durant les travaux ;</w:t>
            </w:r>
          </w:p>
          <w:p w14:paraId="010D3678" w14:textId="028D2EF5" w:rsidR="00DE241D" w:rsidRPr="0097258B" w:rsidRDefault="00DE241D" w:rsidP="001748C6">
            <w:pPr>
              <w:pStyle w:val="Paragraphedeliste"/>
              <w:numPr>
                <w:ilvl w:val="0"/>
                <w:numId w:val="315"/>
              </w:numPr>
              <w:tabs>
                <w:tab w:val="left" w:pos="1305"/>
              </w:tabs>
              <w:spacing w:line="240" w:lineRule="auto"/>
              <w:ind w:left="417" w:right="113"/>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Assurer une surveillance stricte des sites</w:t>
            </w:r>
            <w:r w:rsidR="006E3279" w:rsidRPr="00301AF6">
              <w:rPr>
                <w:rFonts w:ascii="Times New Roman" w:hAnsi="Times New Roman"/>
                <w:color w:val="000000" w:themeColor="text1"/>
                <w:sz w:val="20"/>
                <w:szCs w:val="20"/>
                <w:lang w:val="fr-FR"/>
              </w:rPr>
              <w:t>.</w:t>
            </w:r>
          </w:p>
        </w:tc>
      </w:tr>
      <w:tr w:rsidR="00BD1A2F" w:rsidRPr="009B46E2" w14:paraId="44155726" w14:textId="77777777" w:rsidTr="003A0E4A">
        <w:trPr>
          <w:trHeight w:val="230"/>
        </w:trPr>
        <w:tc>
          <w:tcPr>
            <w:tcW w:w="825" w:type="pct"/>
          </w:tcPr>
          <w:p w14:paraId="604A2A46"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452" w:type="pct"/>
          </w:tcPr>
          <w:p w14:paraId="18449EAB"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final</w:t>
            </w:r>
          </w:p>
        </w:tc>
        <w:tc>
          <w:tcPr>
            <w:tcW w:w="786" w:type="pct"/>
          </w:tcPr>
          <w:p w14:paraId="1B87B46E"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51" w:type="pct"/>
          </w:tcPr>
          <w:p w14:paraId="40219D2D"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628" w:type="pct"/>
          </w:tcPr>
          <w:p w14:paraId="6497B08C"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758" w:type="pct"/>
          </w:tcPr>
          <w:p w14:paraId="2A5CC599"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r w:rsidRPr="0097258B">
              <w:rPr>
                <w:rFonts w:ascii="Times New Roman" w:hAnsi="Times New Roman" w:cs="Times New Roman"/>
                <w:b/>
                <w:bCs/>
                <w:color w:val="000000" w:themeColor="text1"/>
                <w:sz w:val="20"/>
                <w:szCs w:val="20"/>
              </w:rPr>
              <w:t xml:space="preserve"> </w:t>
            </w:r>
            <w:proofErr w:type="spellStart"/>
            <w:r w:rsidRPr="0097258B">
              <w:rPr>
                <w:rFonts w:ascii="Times New Roman" w:hAnsi="Times New Roman" w:cs="Times New Roman"/>
                <w:b/>
                <w:bCs/>
                <w:color w:val="000000" w:themeColor="text1"/>
                <w:sz w:val="20"/>
                <w:szCs w:val="20"/>
              </w:rPr>
              <w:t>résiduel</w:t>
            </w:r>
            <w:proofErr w:type="spellEnd"/>
          </w:p>
        </w:tc>
      </w:tr>
      <w:tr w:rsidR="00BD1A2F" w:rsidRPr="009B46E2" w14:paraId="3FECA4E9" w14:textId="77777777" w:rsidTr="003A0E4A">
        <w:trPr>
          <w:trHeight w:val="230"/>
        </w:trPr>
        <w:tc>
          <w:tcPr>
            <w:tcW w:w="825" w:type="pct"/>
          </w:tcPr>
          <w:p w14:paraId="01BD1B1C"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Après </w:t>
            </w:r>
            <w:proofErr w:type="spellStart"/>
            <w:r w:rsidRPr="0097258B">
              <w:rPr>
                <w:rFonts w:ascii="Times New Roman" w:hAnsi="Times New Roman" w:cs="Times New Roman"/>
                <w:color w:val="000000" w:themeColor="text1"/>
                <w:sz w:val="20"/>
                <w:szCs w:val="20"/>
              </w:rPr>
              <w:t>prévention</w:t>
            </w:r>
            <w:proofErr w:type="spellEnd"/>
          </w:p>
        </w:tc>
        <w:tc>
          <w:tcPr>
            <w:tcW w:w="1452" w:type="pct"/>
          </w:tcPr>
          <w:p w14:paraId="4EC5AD87" w14:textId="02D8F0EC" w:rsidR="00DE241D" w:rsidRPr="0097258B" w:rsidRDefault="00880269" w:rsidP="00E20250">
            <w:pPr>
              <w:pStyle w:val="Default"/>
              <w:overflowPunct w:val="0"/>
              <w:ind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color w:val="000000" w:themeColor="text1"/>
                <w:sz w:val="20"/>
                <w:szCs w:val="20"/>
              </w:rPr>
              <w:t>Sécurisation</w:t>
            </w:r>
            <w:proofErr w:type="spellEnd"/>
            <w:r w:rsidRPr="0097258B">
              <w:rPr>
                <w:rFonts w:ascii="Times New Roman" w:hAnsi="Times New Roman" w:cs="Times New Roman"/>
                <w:color w:val="000000" w:themeColor="text1"/>
                <w:sz w:val="20"/>
                <w:szCs w:val="20"/>
              </w:rPr>
              <w:t xml:space="preserve"> </w:t>
            </w:r>
            <w:r w:rsidR="00164D6C" w:rsidRPr="0097258B">
              <w:rPr>
                <w:rFonts w:ascii="Times New Roman" w:hAnsi="Times New Roman" w:cs="Times New Roman"/>
                <w:color w:val="000000" w:themeColor="text1"/>
                <w:sz w:val="20"/>
                <w:szCs w:val="20"/>
              </w:rPr>
              <w:t>d</w:t>
            </w:r>
            <w:r w:rsidRPr="0097258B">
              <w:rPr>
                <w:rFonts w:ascii="Times New Roman" w:hAnsi="Times New Roman" w:cs="Times New Roman"/>
                <w:color w:val="000000" w:themeColor="text1"/>
                <w:sz w:val="20"/>
                <w:szCs w:val="20"/>
              </w:rPr>
              <w:t>es population</w:t>
            </w:r>
            <w:r w:rsidR="006B0FE1" w:rsidRPr="0097258B">
              <w:rPr>
                <w:rFonts w:ascii="Times New Roman" w:hAnsi="Times New Roman" w:cs="Times New Roman"/>
                <w:color w:val="000000" w:themeColor="text1"/>
                <w:sz w:val="20"/>
                <w:szCs w:val="20"/>
              </w:rPr>
              <w:t xml:space="preserve">s </w:t>
            </w:r>
            <w:proofErr w:type="spellStart"/>
            <w:r w:rsidR="006B0FE1" w:rsidRPr="0097258B">
              <w:rPr>
                <w:rFonts w:ascii="Times New Roman" w:hAnsi="Times New Roman" w:cs="Times New Roman"/>
                <w:color w:val="000000" w:themeColor="text1"/>
                <w:sz w:val="20"/>
                <w:szCs w:val="20"/>
              </w:rPr>
              <w:t>rivraines</w:t>
            </w:r>
            <w:proofErr w:type="spellEnd"/>
          </w:p>
        </w:tc>
        <w:tc>
          <w:tcPr>
            <w:tcW w:w="786" w:type="pct"/>
          </w:tcPr>
          <w:p w14:paraId="109F0245"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3F26BC9A"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51" w:type="pct"/>
          </w:tcPr>
          <w:p w14:paraId="4C1E27E0"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3BECA49A"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628" w:type="pct"/>
            <w:shd w:val="clear" w:color="auto" w:fill="92D050"/>
          </w:tcPr>
          <w:p w14:paraId="007374D3"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68558410"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21</w:t>
            </w:r>
          </w:p>
        </w:tc>
        <w:tc>
          <w:tcPr>
            <w:tcW w:w="758" w:type="pct"/>
          </w:tcPr>
          <w:p w14:paraId="33B8499C" w14:textId="32E489F2" w:rsidR="00DE241D" w:rsidRPr="0097258B" w:rsidRDefault="0062106A"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Risque </w:t>
            </w:r>
            <w:proofErr w:type="spellStart"/>
            <w:r w:rsidRPr="0097258B">
              <w:rPr>
                <w:rFonts w:ascii="Times New Roman" w:hAnsi="Times New Roman" w:cs="Times New Roman"/>
                <w:color w:val="000000" w:themeColor="text1"/>
                <w:sz w:val="20"/>
                <w:szCs w:val="20"/>
              </w:rPr>
              <w:t>d’accident</w:t>
            </w:r>
            <w:proofErr w:type="spellEnd"/>
          </w:p>
        </w:tc>
      </w:tr>
    </w:tbl>
    <w:p w14:paraId="747F642B" w14:textId="77777777" w:rsidR="00DE241D" w:rsidRPr="00260790" w:rsidRDefault="00DE241D" w:rsidP="00E20250">
      <w:pPr>
        <w:spacing w:line="240" w:lineRule="auto"/>
        <w:jc w:val="both"/>
        <w:rPr>
          <w:rFonts w:ascii="Times New Roman" w:hAnsi="Times New Roman"/>
          <w:b/>
          <w:bCs/>
          <w:i/>
          <w:iCs/>
          <w:color w:val="000000" w:themeColor="text1"/>
        </w:rPr>
      </w:pPr>
    </w:p>
    <w:p w14:paraId="5632CA8B" w14:textId="77777777" w:rsidR="00DE241D" w:rsidRPr="00260790" w:rsidRDefault="00DE241D" w:rsidP="00E20250">
      <w:pPr>
        <w:pStyle w:val="Paragraphedeliste"/>
        <w:numPr>
          <w:ilvl w:val="4"/>
          <w:numId w:val="0"/>
        </w:numPr>
        <w:spacing w:before="120" w:after="120" w:line="240" w:lineRule="auto"/>
        <w:ind w:left="1080" w:hanging="1080"/>
        <w:jc w:val="both"/>
        <w:rPr>
          <w:rFonts w:ascii="Times New Roman" w:hAnsi="Times New Roman"/>
          <w:b/>
          <w:bCs/>
          <w:color w:val="000000" w:themeColor="text1"/>
        </w:rPr>
      </w:pPr>
      <w:r w:rsidRPr="00260790">
        <w:rPr>
          <w:rFonts w:ascii="Times New Roman" w:hAnsi="Times New Roman"/>
          <w:b/>
          <w:bCs/>
          <w:color w:val="000000" w:themeColor="text1"/>
        </w:rPr>
        <w:t xml:space="preserve">Impacts négatifs et risques spécifiques au fonctionnement de la </w:t>
      </w:r>
      <w:r w:rsidRPr="00260790">
        <w:rPr>
          <w:rFonts w:ascii="Times New Roman" w:hAnsi="Times New Roman"/>
          <w:b/>
          <w:color w:val="000000" w:themeColor="text1"/>
        </w:rPr>
        <w:t>station de pompage</w:t>
      </w:r>
    </w:p>
    <w:p w14:paraId="75911953" w14:textId="77777777" w:rsidR="00DE241D" w:rsidRPr="00260790" w:rsidRDefault="00DE241D" w:rsidP="001748C6">
      <w:pPr>
        <w:pStyle w:val="Paragraphedeliste"/>
        <w:numPr>
          <w:ilvl w:val="0"/>
          <w:numId w:val="337"/>
        </w:numPr>
        <w:spacing w:before="120" w:after="120" w:line="240" w:lineRule="auto"/>
        <w:jc w:val="both"/>
        <w:rPr>
          <w:rFonts w:ascii="Times New Roman" w:hAnsi="Times New Roman"/>
          <w:i/>
          <w:iCs/>
          <w:color w:val="000000" w:themeColor="text1"/>
          <w:u w:val="single"/>
        </w:rPr>
      </w:pPr>
      <w:r w:rsidRPr="00260790">
        <w:rPr>
          <w:rFonts w:ascii="Times New Roman" w:hAnsi="Times New Roman"/>
          <w:i/>
          <w:iCs/>
          <w:color w:val="000000" w:themeColor="text1"/>
          <w:u w:val="single"/>
        </w:rPr>
        <w:t>RI-. Impacts négatifs et risques sur le milieu physique</w:t>
      </w:r>
    </w:p>
    <w:p w14:paraId="5A857565" w14:textId="77777777" w:rsidR="00DE241D" w:rsidRPr="00260790" w:rsidRDefault="00DE241D" w:rsidP="00E20250">
      <w:pPr>
        <w:pStyle w:val="Paragraphedeliste"/>
        <w:spacing w:before="120" w:after="120" w:line="240" w:lineRule="auto"/>
        <w:jc w:val="both"/>
        <w:rPr>
          <w:rFonts w:ascii="Times New Roman" w:hAnsi="Times New Roman"/>
          <w:b/>
          <w:bCs/>
          <w:i/>
          <w:iCs/>
          <w:color w:val="000000" w:themeColor="text1"/>
        </w:rPr>
      </w:pPr>
    </w:p>
    <w:p w14:paraId="4CF5816D" w14:textId="2E14B01D" w:rsidR="00DE241D" w:rsidRPr="00260790" w:rsidRDefault="00DE241D" w:rsidP="001748C6">
      <w:pPr>
        <w:pStyle w:val="Paragraphedeliste"/>
        <w:numPr>
          <w:ilvl w:val="0"/>
          <w:numId w:val="366"/>
        </w:numPr>
        <w:spacing w:before="120" w:after="120"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 xml:space="preserve">RI-38. Risque de pollution des eaux </w:t>
      </w:r>
      <w:proofErr w:type="gramStart"/>
      <w:r w:rsidRPr="00260790">
        <w:rPr>
          <w:rFonts w:ascii="Times New Roman" w:hAnsi="Times New Roman"/>
          <w:b/>
          <w:bCs/>
          <w:i/>
          <w:iCs/>
          <w:color w:val="000000" w:themeColor="text1"/>
        </w:rPr>
        <w:t>suite à des</w:t>
      </w:r>
      <w:proofErr w:type="gramEnd"/>
      <w:r w:rsidRPr="00260790">
        <w:rPr>
          <w:rFonts w:ascii="Times New Roman" w:hAnsi="Times New Roman"/>
          <w:b/>
          <w:bCs/>
          <w:i/>
          <w:iCs/>
          <w:color w:val="000000" w:themeColor="text1"/>
        </w:rPr>
        <w:t xml:space="preserve"> fuites et/ou déversements de carburants et d’huiles usées</w:t>
      </w:r>
    </w:p>
    <w:p w14:paraId="0173155B" w14:textId="77777777" w:rsidR="00DE241D" w:rsidRPr="00260790" w:rsidRDefault="00DE241D" w:rsidP="00E20250">
      <w:pPr>
        <w:spacing w:before="120" w:after="120" w:line="240" w:lineRule="auto"/>
        <w:jc w:val="both"/>
        <w:rPr>
          <w:rFonts w:ascii="Times New Roman" w:hAnsi="Times New Roman"/>
          <w:color w:val="000000" w:themeColor="text1"/>
        </w:rPr>
      </w:pPr>
      <w:r w:rsidRPr="00260790">
        <w:rPr>
          <w:rFonts w:ascii="Times New Roman" w:hAnsi="Times New Roman"/>
          <w:color w:val="000000" w:themeColor="text1"/>
        </w:rPr>
        <w:t xml:space="preserve">L’usage de pompe fonctionnant aux énergies fossiles comportera un risque de fuites et/ou déversement de carburants qui altérerait la qualité des eaux à l’exutoire. Les huiles provenant des entretiens de la pompe devront également être prises en charge sous peine de polluer les eaux. </w:t>
      </w:r>
    </w:p>
    <w:p w14:paraId="370706F8" w14:textId="77777777" w:rsidR="00DE241D" w:rsidRPr="00260790" w:rsidRDefault="00DE241D" w:rsidP="00E20250">
      <w:pPr>
        <w:spacing w:before="120" w:after="120" w:line="240" w:lineRule="auto"/>
        <w:jc w:val="both"/>
        <w:rPr>
          <w:rFonts w:ascii="Times New Roman" w:hAnsi="Times New Roman"/>
          <w:color w:val="000000" w:themeColor="text1"/>
        </w:rPr>
      </w:pPr>
      <w:r w:rsidRPr="00260790">
        <w:rPr>
          <w:rFonts w:ascii="Times New Roman" w:hAnsi="Times New Roman"/>
          <w:color w:val="000000" w:themeColor="text1"/>
        </w:rPr>
        <w:t>Ci-dessous le résumé de l’analyse du risque de pollution des eaux.</w:t>
      </w:r>
    </w:p>
    <w:p w14:paraId="23A339CE" w14:textId="01B5EE1D" w:rsidR="00DE241D" w:rsidRPr="00260790" w:rsidRDefault="00DE241D" w:rsidP="00E20250">
      <w:pPr>
        <w:pStyle w:val="Lgende"/>
        <w:spacing w:line="240" w:lineRule="auto"/>
        <w:rPr>
          <w:color w:val="000000" w:themeColor="text1"/>
          <w:sz w:val="22"/>
          <w:szCs w:val="22"/>
        </w:rPr>
      </w:pPr>
      <w:bookmarkStart w:id="669" w:name="_Toc207781924"/>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83</w:t>
      </w:r>
      <w:r w:rsidRPr="00260790">
        <w:rPr>
          <w:color w:val="000000" w:themeColor="text1"/>
          <w:sz w:val="22"/>
          <w:szCs w:val="22"/>
        </w:rPr>
        <w:fldChar w:fldCharType="end"/>
      </w:r>
      <w:r w:rsidRPr="00260790">
        <w:rPr>
          <w:color w:val="000000" w:themeColor="text1"/>
          <w:sz w:val="22"/>
          <w:szCs w:val="22"/>
        </w:rPr>
        <w:t xml:space="preserve"> : résumé de l’analyse du risque de pollution des eaux </w:t>
      </w:r>
      <w:proofErr w:type="gramStart"/>
      <w:r w:rsidRPr="00260790">
        <w:rPr>
          <w:color w:val="000000" w:themeColor="text1"/>
          <w:sz w:val="22"/>
          <w:szCs w:val="22"/>
        </w:rPr>
        <w:t>suite à des</w:t>
      </w:r>
      <w:proofErr w:type="gramEnd"/>
      <w:r w:rsidRPr="00260790">
        <w:rPr>
          <w:color w:val="000000" w:themeColor="text1"/>
          <w:sz w:val="22"/>
          <w:szCs w:val="22"/>
        </w:rPr>
        <w:t xml:space="preserve"> fuites et/ou déversements de polluant dans la station de pompage.</w:t>
      </w:r>
      <w:bookmarkEnd w:id="669"/>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5"/>
        <w:gridCol w:w="2060"/>
        <w:gridCol w:w="1426"/>
        <w:gridCol w:w="997"/>
        <w:gridCol w:w="1140"/>
        <w:gridCol w:w="1942"/>
      </w:tblGrid>
      <w:tr w:rsidR="00BD1A2F" w:rsidRPr="009B46E2" w14:paraId="75BE6F42" w14:textId="77777777" w:rsidTr="003A0E4A">
        <w:trPr>
          <w:trHeight w:val="230"/>
        </w:trPr>
        <w:tc>
          <w:tcPr>
            <w:tcW w:w="5000" w:type="pct"/>
            <w:gridSpan w:val="6"/>
            <w:shd w:val="clear" w:color="auto" w:fill="D9E2F3" w:themeFill="accent5" w:themeFillTint="33"/>
          </w:tcPr>
          <w:p w14:paraId="47ED4D61" w14:textId="77777777" w:rsidR="00DE241D" w:rsidRPr="0097258B" w:rsidRDefault="00DE241D" w:rsidP="00E20250">
            <w:pPr>
              <w:spacing w:line="240" w:lineRule="auto"/>
              <w:jc w:val="both"/>
              <w:rPr>
                <w:rFonts w:ascii="Times New Roman" w:hAnsi="Times New Roman"/>
                <w:b/>
                <w:bCs/>
                <w:color w:val="000000" w:themeColor="text1"/>
                <w:sz w:val="20"/>
                <w:szCs w:val="20"/>
                <w:lang w:val="fr-FR"/>
              </w:rPr>
            </w:pPr>
            <w:r w:rsidRPr="00301AF6">
              <w:rPr>
                <w:rFonts w:ascii="Times New Roman" w:hAnsi="Times New Roman"/>
                <w:b/>
                <w:bCs/>
                <w:color w:val="000000" w:themeColor="text1"/>
                <w:sz w:val="20"/>
                <w:szCs w:val="20"/>
                <w:lang w:val="fr-FR"/>
              </w:rPr>
              <w:t xml:space="preserve">RI-38. Risque de pollution des eaux </w:t>
            </w:r>
            <w:proofErr w:type="gramStart"/>
            <w:r w:rsidRPr="00301AF6">
              <w:rPr>
                <w:rFonts w:ascii="Times New Roman" w:hAnsi="Times New Roman"/>
                <w:b/>
                <w:bCs/>
                <w:color w:val="000000" w:themeColor="text1"/>
                <w:sz w:val="20"/>
                <w:szCs w:val="20"/>
                <w:lang w:val="fr-FR"/>
              </w:rPr>
              <w:t>suite à des</w:t>
            </w:r>
            <w:proofErr w:type="gramEnd"/>
            <w:r w:rsidRPr="00301AF6">
              <w:rPr>
                <w:rFonts w:ascii="Times New Roman" w:hAnsi="Times New Roman"/>
                <w:b/>
                <w:bCs/>
                <w:color w:val="000000" w:themeColor="text1"/>
                <w:sz w:val="20"/>
                <w:szCs w:val="20"/>
                <w:lang w:val="fr-FR"/>
              </w:rPr>
              <w:t xml:space="preserve"> fuites et/ou déversements de polluant dans la station de pompage</w:t>
            </w:r>
          </w:p>
        </w:tc>
      </w:tr>
      <w:tr w:rsidR="00BD1A2F" w:rsidRPr="009B46E2" w14:paraId="2F9B80BD" w14:textId="77777777" w:rsidTr="003A0E4A">
        <w:trPr>
          <w:trHeight w:val="230"/>
        </w:trPr>
        <w:tc>
          <w:tcPr>
            <w:tcW w:w="5000" w:type="pct"/>
            <w:gridSpan w:val="6"/>
          </w:tcPr>
          <w:p w14:paraId="25BF1BD5"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b/>
                <w:bCs/>
                <w:color w:val="000000" w:themeColor="text1"/>
                <w:sz w:val="20"/>
                <w:szCs w:val="20"/>
                <w:lang w:val="fr-FR"/>
              </w:rPr>
              <w:t>Activités :</w:t>
            </w:r>
            <w:r w:rsidRPr="00301AF6">
              <w:rPr>
                <w:rFonts w:ascii="Times New Roman" w:hAnsi="Times New Roman" w:cs="Times New Roman"/>
                <w:color w:val="000000" w:themeColor="text1"/>
                <w:sz w:val="20"/>
                <w:szCs w:val="20"/>
                <w:lang w:val="fr-FR"/>
              </w:rPr>
              <w:t xml:space="preserve"> Fonctionnement de la station de pompage</w:t>
            </w:r>
          </w:p>
        </w:tc>
      </w:tr>
      <w:tr w:rsidR="00BD1A2F" w:rsidRPr="009B46E2" w14:paraId="2325D55D" w14:textId="77777777" w:rsidTr="003A0E4A">
        <w:trPr>
          <w:trHeight w:val="230"/>
        </w:trPr>
        <w:tc>
          <w:tcPr>
            <w:tcW w:w="825" w:type="pct"/>
          </w:tcPr>
          <w:p w14:paraId="7BA69BA3"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137" w:type="pct"/>
          </w:tcPr>
          <w:p w14:paraId="41ADB945"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initial</w:t>
            </w:r>
          </w:p>
        </w:tc>
        <w:tc>
          <w:tcPr>
            <w:tcW w:w="787" w:type="pct"/>
          </w:tcPr>
          <w:p w14:paraId="40A96C0D"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50" w:type="pct"/>
          </w:tcPr>
          <w:p w14:paraId="3EA2FC59"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629" w:type="pct"/>
          </w:tcPr>
          <w:p w14:paraId="0DB7C311"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072" w:type="pct"/>
          </w:tcPr>
          <w:p w14:paraId="5DC329C2"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p>
        </w:tc>
      </w:tr>
      <w:tr w:rsidR="00BD1A2F" w:rsidRPr="009B46E2" w14:paraId="5B8A830D" w14:textId="77777777" w:rsidTr="003A0E4A">
        <w:trPr>
          <w:trHeight w:val="271"/>
        </w:trPr>
        <w:tc>
          <w:tcPr>
            <w:tcW w:w="825" w:type="pct"/>
          </w:tcPr>
          <w:p w14:paraId="7D771B1C"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Avant </w:t>
            </w:r>
            <w:proofErr w:type="spellStart"/>
            <w:r w:rsidRPr="0097258B">
              <w:rPr>
                <w:rFonts w:ascii="Times New Roman" w:hAnsi="Times New Roman" w:cs="Times New Roman"/>
                <w:color w:val="000000" w:themeColor="text1"/>
                <w:sz w:val="20"/>
                <w:szCs w:val="20"/>
              </w:rPr>
              <w:t>prévention</w:t>
            </w:r>
            <w:proofErr w:type="spellEnd"/>
          </w:p>
        </w:tc>
        <w:tc>
          <w:tcPr>
            <w:tcW w:w="1137" w:type="pct"/>
          </w:tcPr>
          <w:p w14:paraId="154D8536" w14:textId="59E69347" w:rsidR="00DE241D" w:rsidRPr="0097258B" w:rsidRDefault="001D209A"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Pollution des eaux</w:t>
            </w:r>
            <w:r w:rsidR="0097186F" w:rsidRPr="00301AF6">
              <w:rPr>
                <w:rFonts w:ascii="Times New Roman" w:hAnsi="Times New Roman" w:cs="Times New Roman"/>
                <w:color w:val="000000" w:themeColor="text1"/>
                <w:sz w:val="20"/>
                <w:szCs w:val="20"/>
                <w:lang w:val="fr-FR"/>
              </w:rPr>
              <w:t xml:space="preserve"> de surface</w:t>
            </w:r>
          </w:p>
        </w:tc>
        <w:tc>
          <w:tcPr>
            <w:tcW w:w="787" w:type="pct"/>
            <w:vAlign w:val="center"/>
          </w:tcPr>
          <w:p w14:paraId="59FC169F"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50" w:type="pct"/>
            <w:vAlign w:val="center"/>
          </w:tcPr>
          <w:p w14:paraId="36FCBFD5"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4</w:t>
            </w:r>
          </w:p>
        </w:tc>
        <w:tc>
          <w:tcPr>
            <w:tcW w:w="629" w:type="pct"/>
            <w:shd w:val="clear" w:color="auto" w:fill="FFFF00"/>
            <w:vAlign w:val="center"/>
          </w:tcPr>
          <w:p w14:paraId="195821B4"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42</w:t>
            </w:r>
          </w:p>
        </w:tc>
        <w:tc>
          <w:tcPr>
            <w:tcW w:w="1072" w:type="pct"/>
          </w:tcPr>
          <w:p w14:paraId="6511A944"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Pollution des eaux ;</w:t>
            </w:r>
          </w:p>
          <w:p w14:paraId="71977C5A"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Destruction de la faune aquatique </w:t>
            </w:r>
          </w:p>
        </w:tc>
      </w:tr>
      <w:tr w:rsidR="00BD1A2F" w:rsidRPr="009B46E2" w14:paraId="378D4DE5" w14:textId="77777777" w:rsidTr="003A0E4A">
        <w:trPr>
          <w:trHeight w:val="509"/>
        </w:trPr>
        <w:tc>
          <w:tcPr>
            <w:tcW w:w="825" w:type="pct"/>
          </w:tcPr>
          <w:p w14:paraId="6BD27B63"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prévention</w:t>
            </w:r>
            <w:proofErr w:type="spellEnd"/>
          </w:p>
        </w:tc>
        <w:tc>
          <w:tcPr>
            <w:tcW w:w="4175" w:type="pct"/>
            <w:gridSpan w:val="5"/>
          </w:tcPr>
          <w:p w14:paraId="04D473DD" w14:textId="77777777" w:rsidR="00DE241D" w:rsidRPr="0097258B" w:rsidRDefault="00DE241D" w:rsidP="001748C6">
            <w:pPr>
              <w:pStyle w:val="Paragraphedeliste"/>
              <w:numPr>
                <w:ilvl w:val="0"/>
                <w:numId w:val="315"/>
              </w:numPr>
              <w:tabs>
                <w:tab w:val="left" w:pos="1305"/>
              </w:tabs>
              <w:spacing w:line="240" w:lineRule="auto"/>
              <w:ind w:left="417" w:right="113"/>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Prévoir une pompe de secours qui prendrait la relève en cas de panne ;</w:t>
            </w:r>
          </w:p>
          <w:p w14:paraId="656D922A" w14:textId="77777777" w:rsidR="00DE241D" w:rsidRPr="0097258B" w:rsidRDefault="00DE241D" w:rsidP="001748C6">
            <w:pPr>
              <w:pStyle w:val="Paragraphedeliste"/>
              <w:numPr>
                <w:ilvl w:val="0"/>
                <w:numId w:val="315"/>
              </w:numPr>
              <w:tabs>
                <w:tab w:val="left" w:pos="1305"/>
              </w:tabs>
              <w:spacing w:line="240" w:lineRule="auto"/>
              <w:ind w:left="417" w:right="113"/>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Assurer un entretien régulier des pompes</w:t>
            </w:r>
          </w:p>
        </w:tc>
      </w:tr>
      <w:tr w:rsidR="00BD1A2F" w:rsidRPr="009B46E2" w14:paraId="0D2AD927" w14:textId="77777777" w:rsidTr="003A0E4A">
        <w:trPr>
          <w:trHeight w:val="230"/>
        </w:trPr>
        <w:tc>
          <w:tcPr>
            <w:tcW w:w="825" w:type="pct"/>
          </w:tcPr>
          <w:p w14:paraId="42F20E9A"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137" w:type="pct"/>
          </w:tcPr>
          <w:p w14:paraId="5B26FD90"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final</w:t>
            </w:r>
          </w:p>
        </w:tc>
        <w:tc>
          <w:tcPr>
            <w:tcW w:w="787" w:type="pct"/>
          </w:tcPr>
          <w:p w14:paraId="01DA726E"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50" w:type="pct"/>
          </w:tcPr>
          <w:p w14:paraId="346495C4"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629" w:type="pct"/>
          </w:tcPr>
          <w:p w14:paraId="11D255B4"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072" w:type="pct"/>
          </w:tcPr>
          <w:p w14:paraId="4D2E882C"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r w:rsidRPr="0097258B">
              <w:rPr>
                <w:rFonts w:ascii="Times New Roman" w:hAnsi="Times New Roman" w:cs="Times New Roman"/>
                <w:b/>
                <w:bCs/>
                <w:color w:val="000000" w:themeColor="text1"/>
                <w:sz w:val="20"/>
                <w:szCs w:val="20"/>
              </w:rPr>
              <w:t xml:space="preserve"> </w:t>
            </w:r>
            <w:proofErr w:type="spellStart"/>
            <w:r w:rsidRPr="0097258B">
              <w:rPr>
                <w:rFonts w:ascii="Times New Roman" w:hAnsi="Times New Roman" w:cs="Times New Roman"/>
                <w:b/>
                <w:bCs/>
                <w:color w:val="000000" w:themeColor="text1"/>
                <w:sz w:val="20"/>
                <w:szCs w:val="20"/>
              </w:rPr>
              <w:t>résiduel</w:t>
            </w:r>
            <w:proofErr w:type="spellEnd"/>
          </w:p>
        </w:tc>
      </w:tr>
      <w:tr w:rsidR="00BD1A2F" w:rsidRPr="009B46E2" w14:paraId="3973CA53" w14:textId="77777777" w:rsidTr="003A0E4A">
        <w:trPr>
          <w:trHeight w:val="230"/>
        </w:trPr>
        <w:tc>
          <w:tcPr>
            <w:tcW w:w="825" w:type="pct"/>
          </w:tcPr>
          <w:p w14:paraId="3FD9667D"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Après </w:t>
            </w:r>
            <w:proofErr w:type="spellStart"/>
            <w:r w:rsidRPr="0097258B">
              <w:rPr>
                <w:rFonts w:ascii="Times New Roman" w:hAnsi="Times New Roman" w:cs="Times New Roman"/>
                <w:color w:val="000000" w:themeColor="text1"/>
                <w:sz w:val="20"/>
                <w:szCs w:val="20"/>
              </w:rPr>
              <w:t>prévention</w:t>
            </w:r>
            <w:proofErr w:type="spellEnd"/>
          </w:p>
        </w:tc>
        <w:tc>
          <w:tcPr>
            <w:tcW w:w="1137" w:type="pct"/>
          </w:tcPr>
          <w:p w14:paraId="123DA187" w14:textId="7DACF530" w:rsidR="00DE241D" w:rsidRPr="0097258B" w:rsidRDefault="0097186F"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301AF6">
              <w:rPr>
                <w:rFonts w:ascii="Times New Roman" w:hAnsi="Times New Roman" w:cs="Times New Roman"/>
                <w:color w:val="000000" w:themeColor="text1"/>
                <w:sz w:val="20"/>
                <w:szCs w:val="20"/>
                <w:lang w:val="fr-FR"/>
              </w:rPr>
              <w:t xml:space="preserve">Qualité des eaux de surface </w:t>
            </w:r>
          </w:p>
        </w:tc>
        <w:tc>
          <w:tcPr>
            <w:tcW w:w="787" w:type="pct"/>
          </w:tcPr>
          <w:p w14:paraId="616A82E5"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4E2C76A3"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50" w:type="pct"/>
          </w:tcPr>
          <w:p w14:paraId="1AD03730"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40E1FC76"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629" w:type="pct"/>
            <w:shd w:val="clear" w:color="auto" w:fill="92D050"/>
          </w:tcPr>
          <w:p w14:paraId="389F1468"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49DEB5F1"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21</w:t>
            </w:r>
          </w:p>
        </w:tc>
        <w:tc>
          <w:tcPr>
            <w:tcW w:w="1072" w:type="pct"/>
          </w:tcPr>
          <w:p w14:paraId="7FF6C86C" w14:textId="475BFF51"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Pollutions </w:t>
            </w:r>
            <w:proofErr w:type="spellStart"/>
            <w:r w:rsidRPr="0097258B">
              <w:rPr>
                <w:rFonts w:ascii="Times New Roman" w:hAnsi="Times New Roman" w:cs="Times New Roman"/>
                <w:color w:val="000000" w:themeColor="text1"/>
                <w:sz w:val="20"/>
                <w:szCs w:val="20"/>
              </w:rPr>
              <w:t>mineures</w:t>
            </w:r>
            <w:proofErr w:type="spellEnd"/>
          </w:p>
        </w:tc>
      </w:tr>
    </w:tbl>
    <w:p w14:paraId="2A25ABFE" w14:textId="77777777" w:rsidR="00DE241D" w:rsidRPr="00260790" w:rsidRDefault="00DE241D" w:rsidP="00E20250">
      <w:pPr>
        <w:spacing w:before="120" w:after="120" w:line="240" w:lineRule="auto"/>
        <w:jc w:val="both"/>
        <w:rPr>
          <w:rFonts w:ascii="Times New Roman" w:hAnsi="Times New Roman"/>
          <w:b/>
          <w:bCs/>
          <w:color w:val="000000" w:themeColor="text1"/>
        </w:rPr>
      </w:pPr>
    </w:p>
    <w:p w14:paraId="024400F3" w14:textId="77777777" w:rsidR="00DE241D" w:rsidRPr="00260790" w:rsidRDefault="00DE241D" w:rsidP="001748C6">
      <w:pPr>
        <w:pStyle w:val="Paragraphedeliste"/>
        <w:numPr>
          <w:ilvl w:val="0"/>
          <w:numId w:val="330"/>
        </w:numPr>
        <w:spacing w:after="0" w:line="240" w:lineRule="auto"/>
        <w:jc w:val="both"/>
        <w:rPr>
          <w:rFonts w:ascii="Times New Roman" w:hAnsi="Times New Roman"/>
          <w:b/>
          <w:bCs/>
          <w:i/>
          <w:iCs/>
          <w:color w:val="000000" w:themeColor="text1"/>
        </w:rPr>
      </w:pPr>
      <w:r w:rsidRPr="00260790">
        <w:rPr>
          <w:rFonts w:ascii="Times New Roman" w:hAnsi="Times New Roman"/>
          <w:b/>
          <w:bCs/>
          <w:i/>
          <w:iCs/>
          <w:color w:val="000000" w:themeColor="text1"/>
        </w:rPr>
        <w:t>RI-39. Risque de pannes intempestives de la pompe</w:t>
      </w:r>
    </w:p>
    <w:p w14:paraId="05E51D4F" w14:textId="193EE7EA"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Le fonctionnement de la station de pompage comporte des risques de pannes de pompe susceptibles d’hypothéquer le système d’assainissement eaux pluviales prévu.</w:t>
      </w:r>
    </w:p>
    <w:p w14:paraId="41A20790" w14:textId="6A386B43"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Pour y parer, le PROGEP</w:t>
      </w:r>
      <w:r w:rsidR="001A020A">
        <w:rPr>
          <w:rFonts w:ascii="Times New Roman" w:hAnsi="Times New Roman"/>
          <w:color w:val="000000" w:themeColor="text1"/>
        </w:rPr>
        <w:t xml:space="preserve"> II</w:t>
      </w:r>
      <w:r w:rsidRPr="00260790">
        <w:rPr>
          <w:rFonts w:ascii="Times New Roman" w:hAnsi="Times New Roman"/>
          <w:color w:val="000000" w:themeColor="text1"/>
        </w:rPr>
        <w:t xml:space="preserve"> devra prévoir une pompe de secours.</w:t>
      </w:r>
    </w:p>
    <w:p w14:paraId="00090210"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Ci-dessous le résumé de l’analyse du risque de pannes intempestives de la pompe.</w:t>
      </w:r>
    </w:p>
    <w:p w14:paraId="33E806BE" w14:textId="77777777" w:rsidR="00150E6B" w:rsidRDefault="00150E6B">
      <w:pPr>
        <w:spacing w:line="259" w:lineRule="auto"/>
        <w:rPr>
          <w:rFonts w:ascii="Times New Roman" w:eastAsia="Times New Roman" w:hAnsi="Times New Roman"/>
          <w:i/>
          <w:iCs/>
          <w:color w:val="000000" w:themeColor="text1"/>
          <w:lang w:eastAsia="fr-FR"/>
        </w:rPr>
      </w:pPr>
      <w:bookmarkStart w:id="670" w:name="_Toc207781925"/>
      <w:r>
        <w:rPr>
          <w:color w:val="000000" w:themeColor="text1"/>
        </w:rPr>
        <w:br w:type="page"/>
      </w:r>
    </w:p>
    <w:p w14:paraId="74A0D36F" w14:textId="503F9FF3" w:rsidR="00DE241D" w:rsidRPr="00260790" w:rsidRDefault="00DE241D" w:rsidP="00E20250">
      <w:pPr>
        <w:pStyle w:val="Lgende"/>
        <w:spacing w:line="240" w:lineRule="auto"/>
        <w:rPr>
          <w:color w:val="000000" w:themeColor="text1"/>
          <w:sz w:val="22"/>
          <w:szCs w:val="22"/>
        </w:rPr>
      </w:pPr>
      <w:r w:rsidRPr="00260790">
        <w:rPr>
          <w:color w:val="000000" w:themeColor="text1"/>
          <w:sz w:val="22"/>
          <w:szCs w:val="22"/>
        </w:rPr>
        <w:lastRenderedPageBreak/>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84</w:t>
      </w:r>
      <w:r w:rsidRPr="00260790">
        <w:rPr>
          <w:color w:val="000000" w:themeColor="text1"/>
          <w:sz w:val="22"/>
          <w:szCs w:val="22"/>
        </w:rPr>
        <w:fldChar w:fldCharType="end"/>
      </w:r>
      <w:r w:rsidRPr="00260790">
        <w:rPr>
          <w:color w:val="000000" w:themeColor="text1"/>
          <w:sz w:val="22"/>
          <w:szCs w:val="22"/>
        </w:rPr>
        <w:t> : résumé de l’analyse du risque de pannes intempestives de la pompe</w:t>
      </w:r>
      <w:bookmarkEnd w:id="670"/>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5"/>
        <w:gridCol w:w="2060"/>
        <w:gridCol w:w="1426"/>
        <w:gridCol w:w="997"/>
        <w:gridCol w:w="1140"/>
        <w:gridCol w:w="1942"/>
      </w:tblGrid>
      <w:tr w:rsidR="00BD1A2F" w:rsidRPr="009B46E2" w14:paraId="16DAF58C" w14:textId="77777777" w:rsidTr="003A0E4A">
        <w:trPr>
          <w:trHeight w:val="230"/>
        </w:trPr>
        <w:tc>
          <w:tcPr>
            <w:tcW w:w="5000" w:type="pct"/>
            <w:gridSpan w:val="6"/>
            <w:shd w:val="clear" w:color="auto" w:fill="D9E2F3" w:themeFill="accent5" w:themeFillTint="33"/>
          </w:tcPr>
          <w:p w14:paraId="58DC4F4C" w14:textId="77777777" w:rsidR="00DE241D" w:rsidRPr="0097258B" w:rsidRDefault="00DE241D" w:rsidP="00E20250">
            <w:pPr>
              <w:spacing w:line="240" w:lineRule="auto"/>
              <w:jc w:val="both"/>
              <w:rPr>
                <w:rFonts w:ascii="Times New Roman" w:hAnsi="Times New Roman"/>
                <w:b/>
                <w:bCs/>
                <w:i/>
                <w:iCs/>
                <w:color w:val="000000" w:themeColor="text1"/>
                <w:sz w:val="20"/>
                <w:szCs w:val="20"/>
                <w:lang w:val="fr-FR"/>
              </w:rPr>
            </w:pPr>
            <w:r w:rsidRPr="00301AF6">
              <w:rPr>
                <w:rFonts w:ascii="Times New Roman" w:hAnsi="Times New Roman"/>
                <w:b/>
                <w:bCs/>
                <w:i/>
                <w:iCs/>
                <w:color w:val="000000" w:themeColor="text1"/>
                <w:sz w:val="20"/>
                <w:szCs w:val="20"/>
                <w:lang w:val="fr-FR"/>
              </w:rPr>
              <w:t>RI-39. Risque de pannes intempestives de la pompe</w:t>
            </w:r>
          </w:p>
        </w:tc>
      </w:tr>
      <w:tr w:rsidR="00BD1A2F" w:rsidRPr="009B46E2" w14:paraId="5AC15EBB" w14:textId="77777777" w:rsidTr="003A0E4A">
        <w:trPr>
          <w:trHeight w:val="230"/>
        </w:trPr>
        <w:tc>
          <w:tcPr>
            <w:tcW w:w="5000" w:type="pct"/>
            <w:gridSpan w:val="6"/>
          </w:tcPr>
          <w:p w14:paraId="690AB4A7"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b/>
                <w:bCs/>
                <w:color w:val="000000" w:themeColor="text1"/>
                <w:sz w:val="20"/>
                <w:szCs w:val="20"/>
                <w:lang w:val="fr-FR"/>
              </w:rPr>
              <w:t>Activités :</w:t>
            </w:r>
            <w:r w:rsidRPr="00301AF6">
              <w:rPr>
                <w:rFonts w:ascii="Times New Roman" w:hAnsi="Times New Roman" w:cs="Times New Roman"/>
                <w:color w:val="000000" w:themeColor="text1"/>
                <w:sz w:val="20"/>
                <w:szCs w:val="20"/>
                <w:lang w:val="fr-FR"/>
              </w:rPr>
              <w:t xml:space="preserve"> Fonctionnement de la station de pompage</w:t>
            </w:r>
          </w:p>
        </w:tc>
      </w:tr>
      <w:tr w:rsidR="00BD1A2F" w:rsidRPr="009B46E2" w14:paraId="225D5528" w14:textId="77777777" w:rsidTr="003A0E4A">
        <w:trPr>
          <w:trHeight w:val="230"/>
        </w:trPr>
        <w:tc>
          <w:tcPr>
            <w:tcW w:w="825" w:type="pct"/>
          </w:tcPr>
          <w:p w14:paraId="475C13A2"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137" w:type="pct"/>
          </w:tcPr>
          <w:p w14:paraId="326A16AD"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initial</w:t>
            </w:r>
          </w:p>
        </w:tc>
        <w:tc>
          <w:tcPr>
            <w:tcW w:w="787" w:type="pct"/>
          </w:tcPr>
          <w:p w14:paraId="2AF4C91C"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50" w:type="pct"/>
          </w:tcPr>
          <w:p w14:paraId="0BD3FDFC"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629" w:type="pct"/>
          </w:tcPr>
          <w:p w14:paraId="5EC3529C"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072" w:type="pct"/>
          </w:tcPr>
          <w:p w14:paraId="06450F01"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p>
        </w:tc>
      </w:tr>
      <w:tr w:rsidR="00BD1A2F" w:rsidRPr="009B46E2" w14:paraId="13942347" w14:textId="77777777" w:rsidTr="003A0E4A">
        <w:trPr>
          <w:trHeight w:val="271"/>
        </w:trPr>
        <w:tc>
          <w:tcPr>
            <w:tcW w:w="825" w:type="pct"/>
          </w:tcPr>
          <w:p w14:paraId="7198B76B"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Avant </w:t>
            </w:r>
            <w:proofErr w:type="spellStart"/>
            <w:r w:rsidRPr="0097258B">
              <w:rPr>
                <w:rFonts w:ascii="Times New Roman" w:hAnsi="Times New Roman" w:cs="Times New Roman"/>
                <w:color w:val="000000" w:themeColor="text1"/>
                <w:sz w:val="20"/>
                <w:szCs w:val="20"/>
              </w:rPr>
              <w:t>prévention</w:t>
            </w:r>
            <w:proofErr w:type="spellEnd"/>
          </w:p>
        </w:tc>
        <w:tc>
          <w:tcPr>
            <w:tcW w:w="1137" w:type="pct"/>
          </w:tcPr>
          <w:p w14:paraId="3D537A4F" w14:textId="1A87DB1F" w:rsidR="00DE241D" w:rsidRPr="0097258B" w:rsidRDefault="00CF55A2" w:rsidP="00AC1E38">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Pannes intempestives de la pompe</w:t>
            </w:r>
            <w:r w:rsidRPr="00301AF6">
              <w:rPr>
                <w:rFonts w:ascii="Times New Roman" w:hAnsi="Times New Roman"/>
                <w:color w:val="000000" w:themeColor="text1"/>
                <w:sz w:val="20"/>
                <w:szCs w:val="20"/>
                <w:lang w:val="fr-FR"/>
              </w:rPr>
              <w:t xml:space="preserve"> par défaut </w:t>
            </w:r>
            <w:r w:rsidR="00DE241D" w:rsidRPr="00301AF6">
              <w:rPr>
                <w:rFonts w:ascii="Times New Roman" w:hAnsi="Times New Roman"/>
                <w:color w:val="000000" w:themeColor="text1"/>
                <w:sz w:val="20"/>
                <w:szCs w:val="20"/>
                <w:lang w:val="fr-FR"/>
              </w:rPr>
              <w:t>d’entretien</w:t>
            </w:r>
            <w:r w:rsidR="0095130B" w:rsidRPr="00301AF6">
              <w:rPr>
                <w:rFonts w:ascii="Times New Roman" w:hAnsi="Times New Roman"/>
                <w:color w:val="000000" w:themeColor="text1"/>
                <w:sz w:val="20"/>
                <w:szCs w:val="20"/>
                <w:lang w:val="fr-FR"/>
              </w:rPr>
              <w:t xml:space="preserve"> ou défaillance du système de pompage</w:t>
            </w:r>
          </w:p>
        </w:tc>
        <w:tc>
          <w:tcPr>
            <w:tcW w:w="787" w:type="pct"/>
            <w:vAlign w:val="center"/>
          </w:tcPr>
          <w:p w14:paraId="4687ED2F"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550" w:type="pct"/>
            <w:vAlign w:val="center"/>
          </w:tcPr>
          <w:p w14:paraId="67A2FEA9"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4</w:t>
            </w:r>
          </w:p>
        </w:tc>
        <w:tc>
          <w:tcPr>
            <w:tcW w:w="629" w:type="pct"/>
            <w:shd w:val="clear" w:color="auto" w:fill="FFFF00"/>
            <w:vAlign w:val="center"/>
          </w:tcPr>
          <w:p w14:paraId="73108A62" w14:textId="77777777" w:rsidR="00DE241D" w:rsidRPr="0097258B" w:rsidRDefault="00DE241D" w:rsidP="00E20250">
            <w:pPr>
              <w:pStyle w:val="Default"/>
              <w:overflowPunct w:val="0"/>
              <w:ind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42</w:t>
            </w:r>
          </w:p>
        </w:tc>
        <w:tc>
          <w:tcPr>
            <w:tcW w:w="1072" w:type="pct"/>
          </w:tcPr>
          <w:p w14:paraId="5C99CE81"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r w:rsidRPr="00301AF6">
              <w:rPr>
                <w:rFonts w:ascii="Times New Roman" w:hAnsi="Times New Roman" w:cs="Times New Roman"/>
                <w:color w:val="000000" w:themeColor="text1"/>
                <w:sz w:val="20"/>
                <w:szCs w:val="20"/>
                <w:lang w:val="fr-FR"/>
              </w:rPr>
              <w:t>Débordement du bassin et inondation du voisinage </w:t>
            </w:r>
          </w:p>
        </w:tc>
      </w:tr>
      <w:tr w:rsidR="00BD1A2F" w:rsidRPr="009B46E2" w14:paraId="0AE7D034" w14:textId="77777777" w:rsidTr="003A0E4A">
        <w:trPr>
          <w:trHeight w:val="509"/>
        </w:trPr>
        <w:tc>
          <w:tcPr>
            <w:tcW w:w="825" w:type="pct"/>
          </w:tcPr>
          <w:p w14:paraId="351A0A4C" w14:textId="77777777" w:rsidR="00DE241D" w:rsidRPr="0097258B" w:rsidRDefault="00DE241D" w:rsidP="00E20250">
            <w:pPr>
              <w:pStyle w:val="Default"/>
              <w:overflowPunct w:val="0"/>
              <w:ind w:left="57"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Mesures</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prévention</w:t>
            </w:r>
            <w:proofErr w:type="spellEnd"/>
          </w:p>
        </w:tc>
        <w:tc>
          <w:tcPr>
            <w:tcW w:w="4175" w:type="pct"/>
            <w:gridSpan w:val="5"/>
          </w:tcPr>
          <w:p w14:paraId="23AD6F62" w14:textId="77777777" w:rsidR="00275B5D" w:rsidRPr="0097258B" w:rsidRDefault="00275B5D" w:rsidP="00275B5D">
            <w:pPr>
              <w:pStyle w:val="Paragraphedeliste"/>
              <w:numPr>
                <w:ilvl w:val="0"/>
                <w:numId w:val="315"/>
              </w:numPr>
              <w:tabs>
                <w:tab w:val="left" w:pos="1305"/>
              </w:tabs>
              <w:spacing w:line="240" w:lineRule="auto"/>
              <w:ind w:right="113"/>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 xml:space="preserve">Inspecter les bassins, regards et vannes pour détecter fuites ou blocages ; </w:t>
            </w:r>
          </w:p>
          <w:p w14:paraId="06CE2E1F" w14:textId="77777777" w:rsidR="00275B5D" w:rsidRPr="0097258B" w:rsidRDefault="00275B5D" w:rsidP="00275B5D">
            <w:pPr>
              <w:pStyle w:val="Paragraphedeliste"/>
              <w:numPr>
                <w:ilvl w:val="0"/>
                <w:numId w:val="315"/>
              </w:numPr>
              <w:tabs>
                <w:tab w:val="left" w:pos="1305"/>
              </w:tabs>
              <w:spacing w:after="160" w:line="240" w:lineRule="auto"/>
              <w:ind w:right="113"/>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Mettre en place un plan d’entretien préventif régulier des pompes et équipements associés ;</w:t>
            </w:r>
          </w:p>
          <w:p w14:paraId="4309E598" w14:textId="3D2D1D6A" w:rsidR="00DE241D" w:rsidRPr="0097258B" w:rsidRDefault="00DE241D" w:rsidP="00275B5D">
            <w:pPr>
              <w:pStyle w:val="Paragraphedeliste"/>
              <w:numPr>
                <w:ilvl w:val="0"/>
                <w:numId w:val="315"/>
              </w:numPr>
              <w:tabs>
                <w:tab w:val="left" w:pos="1305"/>
              </w:tabs>
              <w:spacing w:after="160" w:line="240" w:lineRule="auto"/>
              <w:ind w:right="113"/>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Prévoir une pompe de secours qui prendrait la relève en cas de panne ;</w:t>
            </w:r>
          </w:p>
          <w:p w14:paraId="6C70ACC4" w14:textId="02F9685A" w:rsidR="00E647B7" w:rsidRPr="0097258B" w:rsidRDefault="00E647B7" w:rsidP="00275B5D">
            <w:pPr>
              <w:pStyle w:val="Paragraphedeliste"/>
              <w:numPr>
                <w:ilvl w:val="0"/>
                <w:numId w:val="315"/>
              </w:numPr>
              <w:tabs>
                <w:tab w:val="left" w:pos="1305"/>
              </w:tabs>
              <w:spacing w:after="160" w:line="240" w:lineRule="auto"/>
              <w:ind w:right="113"/>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 xml:space="preserve">Former le personnel à la surveillance, à la maintenance et au </w:t>
            </w:r>
            <w:r w:rsidR="002C5740" w:rsidRPr="00301AF6">
              <w:rPr>
                <w:rFonts w:ascii="Times New Roman" w:hAnsi="Times New Roman"/>
                <w:color w:val="000000" w:themeColor="text1"/>
                <w:sz w:val="20"/>
                <w:szCs w:val="20"/>
                <w:lang w:val="fr-FR"/>
              </w:rPr>
              <w:t>fonctionnement des</w:t>
            </w:r>
            <w:r w:rsidRPr="00301AF6">
              <w:rPr>
                <w:rFonts w:ascii="Times New Roman" w:hAnsi="Times New Roman"/>
                <w:color w:val="000000" w:themeColor="text1"/>
                <w:sz w:val="20"/>
                <w:szCs w:val="20"/>
                <w:lang w:val="fr-FR"/>
              </w:rPr>
              <w:t xml:space="preserve"> pompes ;</w:t>
            </w:r>
          </w:p>
          <w:p w14:paraId="36DB7962" w14:textId="02C8CD17" w:rsidR="00E647B7" w:rsidRPr="0097258B" w:rsidRDefault="00E647B7" w:rsidP="00275B5D">
            <w:pPr>
              <w:pStyle w:val="Paragraphedeliste"/>
              <w:numPr>
                <w:ilvl w:val="0"/>
                <w:numId w:val="315"/>
              </w:numPr>
              <w:tabs>
                <w:tab w:val="left" w:pos="1305"/>
              </w:tabs>
              <w:spacing w:after="160" w:line="240" w:lineRule="auto"/>
              <w:ind w:right="113"/>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Prévoir un entretien et un suivi régulier de l’état des pompes et de leurs composants critiques (roulements, joints, moteur</w:t>
            </w:r>
            <w:proofErr w:type="gramStart"/>
            <w:r w:rsidRPr="00301AF6">
              <w:rPr>
                <w:rFonts w:ascii="Times New Roman" w:hAnsi="Times New Roman"/>
                <w:color w:val="000000" w:themeColor="text1"/>
                <w:sz w:val="20"/>
                <w:szCs w:val="20"/>
                <w:lang w:val="fr-FR"/>
              </w:rPr>
              <w:t>);</w:t>
            </w:r>
            <w:proofErr w:type="gramEnd"/>
          </w:p>
          <w:p w14:paraId="6DB9C5D8" w14:textId="68EE01E3" w:rsidR="00DE241D" w:rsidRPr="0097258B" w:rsidRDefault="00DE241D" w:rsidP="00275B5D">
            <w:pPr>
              <w:pStyle w:val="Paragraphedeliste"/>
              <w:numPr>
                <w:ilvl w:val="0"/>
                <w:numId w:val="315"/>
              </w:numPr>
              <w:tabs>
                <w:tab w:val="left" w:pos="1305"/>
              </w:tabs>
              <w:spacing w:after="160" w:line="240" w:lineRule="auto"/>
              <w:ind w:right="113"/>
              <w:jc w:val="both"/>
              <w:rPr>
                <w:rFonts w:ascii="Times New Roman" w:hAnsi="Times New Roman"/>
                <w:color w:val="000000" w:themeColor="text1"/>
                <w:sz w:val="20"/>
                <w:szCs w:val="20"/>
                <w:lang w:val="fr-FR"/>
              </w:rPr>
            </w:pPr>
            <w:r w:rsidRPr="00301AF6">
              <w:rPr>
                <w:rFonts w:ascii="Times New Roman" w:hAnsi="Times New Roman"/>
                <w:color w:val="000000" w:themeColor="text1"/>
                <w:sz w:val="20"/>
                <w:szCs w:val="20"/>
                <w:lang w:val="fr-FR"/>
              </w:rPr>
              <w:t xml:space="preserve">Assurer un entretien régulier </w:t>
            </w:r>
            <w:r w:rsidR="005C0490" w:rsidRPr="00301AF6">
              <w:rPr>
                <w:rFonts w:ascii="Times New Roman" w:hAnsi="Times New Roman"/>
                <w:color w:val="000000" w:themeColor="text1"/>
                <w:sz w:val="20"/>
                <w:szCs w:val="20"/>
                <w:lang w:val="fr-FR"/>
              </w:rPr>
              <w:t>du système énergétique</w:t>
            </w:r>
            <w:r w:rsidR="009849C3" w:rsidRPr="00301AF6">
              <w:rPr>
                <w:rFonts w:ascii="Times New Roman" w:hAnsi="Times New Roman"/>
                <w:color w:val="000000" w:themeColor="text1"/>
                <w:sz w:val="20"/>
                <w:szCs w:val="20"/>
                <w:lang w:val="fr-FR"/>
              </w:rPr>
              <w:t>.</w:t>
            </w:r>
          </w:p>
        </w:tc>
      </w:tr>
      <w:tr w:rsidR="00BD1A2F" w:rsidRPr="009B46E2" w14:paraId="168BA5B5" w14:textId="77777777" w:rsidTr="003A0E4A">
        <w:trPr>
          <w:trHeight w:val="230"/>
        </w:trPr>
        <w:tc>
          <w:tcPr>
            <w:tcW w:w="825" w:type="pct"/>
          </w:tcPr>
          <w:p w14:paraId="7A2B218B"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
        </w:tc>
        <w:tc>
          <w:tcPr>
            <w:tcW w:w="1137" w:type="pct"/>
          </w:tcPr>
          <w:p w14:paraId="63B2DCB6"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Risque final</w:t>
            </w:r>
          </w:p>
        </w:tc>
        <w:tc>
          <w:tcPr>
            <w:tcW w:w="787" w:type="pct"/>
          </w:tcPr>
          <w:p w14:paraId="5FCA1ED6"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Probabilité</w:t>
            </w:r>
            <w:proofErr w:type="spellEnd"/>
          </w:p>
        </w:tc>
        <w:tc>
          <w:tcPr>
            <w:tcW w:w="550" w:type="pct"/>
          </w:tcPr>
          <w:p w14:paraId="680DE715"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Gravité</w:t>
            </w:r>
            <w:proofErr w:type="spellEnd"/>
          </w:p>
        </w:tc>
        <w:tc>
          <w:tcPr>
            <w:tcW w:w="629" w:type="pct"/>
          </w:tcPr>
          <w:p w14:paraId="78670DAE"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Criticité</w:t>
            </w:r>
            <w:proofErr w:type="spellEnd"/>
          </w:p>
        </w:tc>
        <w:tc>
          <w:tcPr>
            <w:tcW w:w="1072" w:type="pct"/>
          </w:tcPr>
          <w:p w14:paraId="2484D27C"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roofErr w:type="spellStart"/>
            <w:r w:rsidRPr="0097258B">
              <w:rPr>
                <w:rFonts w:ascii="Times New Roman" w:hAnsi="Times New Roman" w:cs="Times New Roman"/>
                <w:b/>
                <w:bCs/>
                <w:color w:val="000000" w:themeColor="text1"/>
                <w:sz w:val="20"/>
                <w:szCs w:val="20"/>
              </w:rPr>
              <w:t>Dommage</w:t>
            </w:r>
            <w:proofErr w:type="spellEnd"/>
            <w:r w:rsidRPr="0097258B">
              <w:rPr>
                <w:rFonts w:ascii="Times New Roman" w:hAnsi="Times New Roman" w:cs="Times New Roman"/>
                <w:b/>
                <w:bCs/>
                <w:color w:val="000000" w:themeColor="text1"/>
                <w:sz w:val="20"/>
                <w:szCs w:val="20"/>
              </w:rPr>
              <w:t xml:space="preserve"> </w:t>
            </w:r>
            <w:proofErr w:type="spellStart"/>
            <w:r w:rsidRPr="0097258B">
              <w:rPr>
                <w:rFonts w:ascii="Times New Roman" w:hAnsi="Times New Roman" w:cs="Times New Roman"/>
                <w:b/>
                <w:bCs/>
                <w:color w:val="000000" w:themeColor="text1"/>
                <w:sz w:val="20"/>
                <w:szCs w:val="20"/>
              </w:rPr>
              <w:t>résiduel</w:t>
            </w:r>
            <w:proofErr w:type="spellEnd"/>
          </w:p>
        </w:tc>
      </w:tr>
      <w:tr w:rsidR="00BD1A2F" w:rsidRPr="009B46E2" w14:paraId="17E869D4" w14:textId="77777777" w:rsidTr="003A0E4A">
        <w:trPr>
          <w:trHeight w:val="230"/>
        </w:trPr>
        <w:tc>
          <w:tcPr>
            <w:tcW w:w="825" w:type="pct"/>
          </w:tcPr>
          <w:p w14:paraId="0660CF3F"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r w:rsidRPr="0097258B">
              <w:rPr>
                <w:rFonts w:ascii="Times New Roman" w:hAnsi="Times New Roman" w:cs="Times New Roman"/>
                <w:color w:val="000000" w:themeColor="text1"/>
                <w:sz w:val="20"/>
                <w:szCs w:val="20"/>
              </w:rPr>
              <w:t xml:space="preserve">Après </w:t>
            </w:r>
            <w:proofErr w:type="spellStart"/>
            <w:r w:rsidRPr="0097258B">
              <w:rPr>
                <w:rFonts w:ascii="Times New Roman" w:hAnsi="Times New Roman" w:cs="Times New Roman"/>
                <w:color w:val="000000" w:themeColor="text1"/>
                <w:sz w:val="20"/>
                <w:szCs w:val="20"/>
              </w:rPr>
              <w:t>prévention</w:t>
            </w:r>
            <w:proofErr w:type="spellEnd"/>
          </w:p>
        </w:tc>
        <w:tc>
          <w:tcPr>
            <w:tcW w:w="1137" w:type="pct"/>
          </w:tcPr>
          <w:p w14:paraId="4AFB6A18" w14:textId="0DCB4233" w:rsidR="00DE241D" w:rsidRPr="0097258B" w:rsidRDefault="00607573"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Défaut</w:t>
            </w:r>
            <w:proofErr w:type="spellEnd"/>
            <w:r w:rsidRPr="0097258B">
              <w:rPr>
                <w:rFonts w:ascii="Times New Roman" w:hAnsi="Times New Roman" w:cs="Times New Roman"/>
                <w:color w:val="000000" w:themeColor="text1"/>
                <w:sz w:val="20"/>
                <w:szCs w:val="20"/>
              </w:rPr>
              <w:t xml:space="preserve"> de </w:t>
            </w:r>
            <w:proofErr w:type="spellStart"/>
            <w:r w:rsidRPr="0097258B">
              <w:rPr>
                <w:rFonts w:ascii="Times New Roman" w:hAnsi="Times New Roman" w:cs="Times New Roman"/>
                <w:color w:val="000000" w:themeColor="text1"/>
                <w:sz w:val="20"/>
                <w:szCs w:val="20"/>
              </w:rPr>
              <w:t>p</w:t>
            </w:r>
            <w:r w:rsidR="00AC1E38" w:rsidRPr="0097258B">
              <w:rPr>
                <w:rFonts w:ascii="Times New Roman" w:hAnsi="Times New Roman" w:cs="Times New Roman"/>
                <w:color w:val="000000" w:themeColor="text1"/>
                <w:sz w:val="20"/>
                <w:szCs w:val="20"/>
              </w:rPr>
              <w:t>ompage</w:t>
            </w:r>
            <w:proofErr w:type="spellEnd"/>
            <w:r w:rsidR="00AC1E38" w:rsidRPr="0097258B">
              <w:rPr>
                <w:rFonts w:ascii="Times New Roman" w:hAnsi="Times New Roman" w:cs="Times New Roman"/>
                <w:color w:val="000000" w:themeColor="text1"/>
                <w:sz w:val="20"/>
                <w:szCs w:val="20"/>
              </w:rPr>
              <w:t xml:space="preserve"> des eaux</w:t>
            </w:r>
          </w:p>
          <w:p w14:paraId="2A21FC21" w14:textId="77777777" w:rsidR="00DE241D" w:rsidRPr="0097258B" w:rsidRDefault="00DE241D" w:rsidP="00E20250">
            <w:pPr>
              <w:pStyle w:val="Default"/>
              <w:overflowPunct w:val="0"/>
              <w:ind w:left="113" w:right="57"/>
              <w:jc w:val="both"/>
              <w:textAlignment w:val="baseline"/>
              <w:rPr>
                <w:rFonts w:ascii="Times New Roman" w:hAnsi="Times New Roman" w:cs="Times New Roman"/>
                <w:b/>
                <w:bCs/>
                <w:color w:val="000000" w:themeColor="text1"/>
                <w:sz w:val="20"/>
                <w:szCs w:val="20"/>
                <w:lang w:val="fr-FR"/>
              </w:rPr>
            </w:pPr>
          </w:p>
        </w:tc>
        <w:tc>
          <w:tcPr>
            <w:tcW w:w="787" w:type="pct"/>
          </w:tcPr>
          <w:p w14:paraId="74D2368E"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3F83EB1C"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1</w:t>
            </w:r>
          </w:p>
        </w:tc>
        <w:tc>
          <w:tcPr>
            <w:tcW w:w="550" w:type="pct"/>
          </w:tcPr>
          <w:p w14:paraId="42DF5F06"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0E4D3875"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w:t>
            </w:r>
          </w:p>
        </w:tc>
        <w:tc>
          <w:tcPr>
            <w:tcW w:w="629" w:type="pct"/>
            <w:shd w:val="clear" w:color="auto" w:fill="92D050"/>
          </w:tcPr>
          <w:p w14:paraId="437B9AB9"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p>
          <w:p w14:paraId="77EB8A37" w14:textId="77777777" w:rsidR="00DE241D" w:rsidRPr="0097258B" w:rsidRDefault="00DE241D" w:rsidP="00E20250">
            <w:pPr>
              <w:pStyle w:val="Default"/>
              <w:overflowPunct w:val="0"/>
              <w:ind w:left="113" w:right="57"/>
              <w:jc w:val="center"/>
              <w:textAlignment w:val="baseline"/>
              <w:rPr>
                <w:rFonts w:ascii="Times New Roman" w:hAnsi="Times New Roman" w:cs="Times New Roman"/>
                <w:b/>
                <w:bCs/>
                <w:color w:val="000000" w:themeColor="text1"/>
                <w:sz w:val="20"/>
                <w:szCs w:val="20"/>
                <w:lang w:val="fr-FR"/>
              </w:rPr>
            </w:pPr>
            <w:r w:rsidRPr="0097258B">
              <w:rPr>
                <w:rFonts w:ascii="Times New Roman" w:hAnsi="Times New Roman" w:cs="Times New Roman"/>
                <w:b/>
                <w:bCs/>
                <w:color w:val="000000" w:themeColor="text1"/>
                <w:sz w:val="20"/>
                <w:szCs w:val="20"/>
              </w:rPr>
              <w:t>21</w:t>
            </w:r>
          </w:p>
        </w:tc>
        <w:tc>
          <w:tcPr>
            <w:tcW w:w="1072" w:type="pct"/>
          </w:tcPr>
          <w:p w14:paraId="2222461C" w14:textId="77777777" w:rsidR="00DE241D" w:rsidRPr="0097258B" w:rsidRDefault="00DE241D" w:rsidP="00E20250">
            <w:pPr>
              <w:pStyle w:val="Default"/>
              <w:overflowPunct w:val="0"/>
              <w:ind w:left="113" w:right="57"/>
              <w:jc w:val="both"/>
              <w:textAlignment w:val="baseline"/>
              <w:rPr>
                <w:rFonts w:ascii="Times New Roman" w:hAnsi="Times New Roman" w:cs="Times New Roman"/>
                <w:color w:val="000000" w:themeColor="text1"/>
                <w:sz w:val="20"/>
                <w:szCs w:val="20"/>
                <w:lang w:val="fr-FR"/>
              </w:rPr>
            </w:pPr>
            <w:proofErr w:type="spellStart"/>
            <w:r w:rsidRPr="0097258B">
              <w:rPr>
                <w:rFonts w:ascii="Times New Roman" w:hAnsi="Times New Roman" w:cs="Times New Roman"/>
                <w:color w:val="000000" w:themeColor="text1"/>
                <w:sz w:val="20"/>
                <w:szCs w:val="20"/>
              </w:rPr>
              <w:t>Débordements</w:t>
            </w:r>
            <w:proofErr w:type="spellEnd"/>
            <w:r w:rsidRPr="0097258B">
              <w:rPr>
                <w:rFonts w:ascii="Times New Roman" w:hAnsi="Times New Roman" w:cs="Times New Roman"/>
                <w:color w:val="000000" w:themeColor="text1"/>
                <w:sz w:val="20"/>
                <w:szCs w:val="20"/>
              </w:rPr>
              <w:t xml:space="preserve"> </w:t>
            </w:r>
            <w:proofErr w:type="spellStart"/>
            <w:r w:rsidRPr="0097258B">
              <w:rPr>
                <w:rFonts w:ascii="Times New Roman" w:hAnsi="Times New Roman" w:cs="Times New Roman"/>
                <w:color w:val="000000" w:themeColor="text1"/>
                <w:sz w:val="20"/>
                <w:szCs w:val="20"/>
              </w:rPr>
              <w:t>mineurs</w:t>
            </w:r>
            <w:proofErr w:type="spellEnd"/>
            <w:r w:rsidRPr="0097258B">
              <w:rPr>
                <w:rFonts w:ascii="Times New Roman" w:hAnsi="Times New Roman" w:cs="Times New Roman"/>
                <w:color w:val="000000" w:themeColor="text1"/>
                <w:sz w:val="20"/>
                <w:szCs w:val="20"/>
              </w:rPr>
              <w:t xml:space="preserve"> du </w:t>
            </w:r>
            <w:proofErr w:type="spellStart"/>
            <w:r w:rsidRPr="0097258B">
              <w:rPr>
                <w:rFonts w:ascii="Times New Roman" w:hAnsi="Times New Roman" w:cs="Times New Roman"/>
                <w:color w:val="000000" w:themeColor="text1"/>
                <w:sz w:val="20"/>
                <w:szCs w:val="20"/>
              </w:rPr>
              <w:t>bassin</w:t>
            </w:r>
            <w:proofErr w:type="spellEnd"/>
          </w:p>
        </w:tc>
      </w:tr>
    </w:tbl>
    <w:p w14:paraId="4A30B2B2" w14:textId="77777777" w:rsidR="00DE241D" w:rsidRPr="00AA01BC" w:rsidRDefault="00DE241D" w:rsidP="00E20250">
      <w:pPr>
        <w:spacing w:line="240" w:lineRule="auto"/>
        <w:jc w:val="both"/>
        <w:rPr>
          <w:rFonts w:ascii="Times New Roman" w:hAnsi="Times New Roman"/>
          <w:color w:val="000000" w:themeColor="text1"/>
        </w:rPr>
      </w:pPr>
    </w:p>
    <w:p w14:paraId="494437D9" w14:textId="168255E0" w:rsidR="00DE241D" w:rsidRPr="00260790" w:rsidRDefault="00DE241D" w:rsidP="00E20250">
      <w:pPr>
        <w:pStyle w:val="Lgende"/>
        <w:spacing w:line="240" w:lineRule="auto"/>
        <w:rPr>
          <w:color w:val="000000" w:themeColor="text1"/>
          <w:sz w:val="22"/>
          <w:szCs w:val="22"/>
        </w:rPr>
      </w:pPr>
      <w:bookmarkStart w:id="671" w:name="_Toc207781926"/>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85</w:t>
      </w:r>
      <w:r w:rsidRPr="00260790">
        <w:rPr>
          <w:color w:val="000000" w:themeColor="text1"/>
          <w:sz w:val="22"/>
          <w:szCs w:val="22"/>
        </w:rPr>
        <w:fldChar w:fldCharType="end"/>
      </w:r>
      <w:r w:rsidRPr="00260790">
        <w:rPr>
          <w:color w:val="000000" w:themeColor="text1"/>
          <w:sz w:val="22"/>
          <w:szCs w:val="22"/>
        </w:rPr>
        <w:t>: Synthèse des impacts environnementaux et sociaux</w:t>
      </w:r>
      <w:bookmarkEnd w:id="671"/>
    </w:p>
    <w:tbl>
      <w:tblPr>
        <w:tblStyle w:val="Grilledutableau"/>
        <w:tblW w:w="10028" w:type="dxa"/>
        <w:tblLook w:val="04A0" w:firstRow="1" w:lastRow="0" w:firstColumn="1" w:lastColumn="0" w:noHBand="0" w:noVBand="1"/>
      </w:tblPr>
      <w:tblGrid>
        <w:gridCol w:w="8516"/>
        <w:gridCol w:w="1512"/>
      </w:tblGrid>
      <w:tr w:rsidR="00BD1A2F" w:rsidRPr="009B46E2" w14:paraId="53F0A9FD" w14:textId="77777777" w:rsidTr="001F68D3">
        <w:tc>
          <w:tcPr>
            <w:tcW w:w="8516" w:type="dxa"/>
          </w:tcPr>
          <w:p w14:paraId="591F49DC" w14:textId="77777777" w:rsidR="00DE241D" w:rsidRPr="0097258B" w:rsidRDefault="00DE241D" w:rsidP="00E20250">
            <w:pPr>
              <w:spacing w:line="240" w:lineRule="auto"/>
              <w:jc w:val="center"/>
              <w:rPr>
                <w:rFonts w:ascii="Times New Roman" w:hAnsi="Times New Roman"/>
                <w:b/>
                <w:bCs/>
                <w:color w:val="000000" w:themeColor="text1"/>
                <w:lang w:val="fr-FR"/>
              </w:rPr>
            </w:pPr>
            <w:r w:rsidRPr="009B46E2">
              <w:rPr>
                <w:rFonts w:ascii="Times New Roman" w:hAnsi="Times New Roman"/>
                <w:b/>
                <w:bCs/>
                <w:color w:val="000000" w:themeColor="text1"/>
              </w:rPr>
              <w:t>Impacts</w:t>
            </w:r>
          </w:p>
        </w:tc>
        <w:tc>
          <w:tcPr>
            <w:tcW w:w="1508" w:type="dxa"/>
          </w:tcPr>
          <w:p w14:paraId="20616872"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Importance</w:t>
            </w:r>
          </w:p>
        </w:tc>
      </w:tr>
      <w:tr w:rsidR="00BD1A2F" w:rsidRPr="009B46E2" w14:paraId="34EF3543" w14:textId="77777777" w:rsidTr="001F68D3">
        <w:tc>
          <w:tcPr>
            <w:tcW w:w="10028" w:type="dxa"/>
            <w:gridSpan w:val="2"/>
            <w:shd w:val="clear" w:color="auto" w:fill="BDD6EE" w:themeFill="accent1" w:themeFillTint="66"/>
          </w:tcPr>
          <w:p w14:paraId="52B6412D" w14:textId="77777777" w:rsidR="00DE241D" w:rsidRPr="0097258B" w:rsidRDefault="00DE241D" w:rsidP="00E20250">
            <w:pPr>
              <w:spacing w:line="240" w:lineRule="auto"/>
              <w:jc w:val="center"/>
              <w:rPr>
                <w:rFonts w:ascii="Times New Roman" w:hAnsi="Times New Roman"/>
                <w:b/>
                <w:bCs/>
                <w:color w:val="000000" w:themeColor="text1"/>
                <w:lang w:val="fr-FR"/>
              </w:rPr>
            </w:pPr>
            <w:r w:rsidRPr="009B46E2">
              <w:rPr>
                <w:rFonts w:ascii="Times New Roman" w:hAnsi="Times New Roman"/>
                <w:b/>
                <w:bCs/>
                <w:color w:val="000000" w:themeColor="text1"/>
              </w:rPr>
              <w:t>Phase travaux</w:t>
            </w:r>
          </w:p>
        </w:tc>
      </w:tr>
      <w:tr w:rsidR="00BD1A2F" w:rsidRPr="009B46E2" w14:paraId="0D002975" w14:textId="77777777" w:rsidTr="001F68D3">
        <w:tc>
          <w:tcPr>
            <w:tcW w:w="10028" w:type="dxa"/>
            <w:gridSpan w:val="2"/>
            <w:shd w:val="clear" w:color="auto" w:fill="E2EFD9" w:themeFill="accent6" w:themeFillTint="33"/>
          </w:tcPr>
          <w:p w14:paraId="57DB23FB" w14:textId="77777777" w:rsidR="00DE241D" w:rsidRPr="0097258B" w:rsidRDefault="00DE241D" w:rsidP="00E20250">
            <w:pPr>
              <w:spacing w:line="240" w:lineRule="auto"/>
              <w:jc w:val="center"/>
              <w:rPr>
                <w:rFonts w:ascii="Times New Roman" w:hAnsi="Times New Roman"/>
                <w:b/>
                <w:bCs/>
                <w:color w:val="000000" w:themeColor="text1"/>
                <w:lang w:val="fr-FR"/>
              </w:rPr>
            </w:pPr>
            <w:r w:rsidRPr="00301AF6">
              <w:rPr>
                <w:rFonts w:ascii="Times New Roman" w:hAnsi="Times New Roman"/>
                <w:b/>
                <w:bCs/>
                <w:color w:val="000000" w:themeColor="text1"/>
                <w:lang w:val="fr-FR"/>
              </w:rPr>
              <w:t>Impacts négatifs communs à toutes les activités</w:t>
            </w:r>
          </w:p>
        </w:tc>
      </w:tr>
      <w:tr w:rsidR="00BD1A2F" w:rsidRPr="009B46E2" w14:paraId="28E5B55A" w14:textId="77777777" w:rsidTr="001F68D3">
        <w:tc>
          <w:tcPr>
            <w:tcW w:w="8516" w:type="dxa"/>
          </w:tcPr>
          <w:p w14:paraId="5A4315BD"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IN-1. Pollution atmosphérique et émission de gaz à effets de serre</w:t>
            </w:r>
          </w:p>
        </w:tc>
        <w:tc>
          <w:tcPr>
            <w:tcW w:w="1508" w:type="dxa"/>
          </w:tcPr>
          <w:p w14:paraId="5AA5E241" w14:textId="77777777" w:rsidR="00DE241D" w:rsidRPr="0097258B" w:rsidRDefault="00DE241D" w:rsidP="00E20250">
            <w:pPr>
              <w:spacing w:line="240" w:lineRule="auto"/>
              <w:rPr>
                <w:rFonts w:ascii="Times New Roman" w:hAnsi="Times New Roman"/>
                <w:color w:val="000000" w:themeColor="text1"/>
                <w:lang w:val="fr-FR"/>
              </w:rPr>
            </w:pPr>
            <w:r w:rsidRPr="009B46E2">
              <w:rPr>
                <w:rFonts w:ascii="Times New Roman" w:hAnsi="Times New Roman"/>
                <w:color w:val="000000" w:themeColor="text1"/>
              </w:rPr>
              <w:t>Moyenne</w:t>
            </w:r>
          </w:p>
        </w:tc>
      </w:tr>
      <w:tr w:rsidR="00BD1A2F" w:rsidRPr="009B46E2" w14:paraId="73689D68" w14:textId="77777777" w:rsidTr="001F68D3">
        <w:tc>
          <w:tcPr>
            <w:tcW w:w="8516" w:type="dxa"/>
          </w:tcPr>
          <w:p w14:paraId="0F6AFA17"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IN-2. Modification de l’ambiance sonore</w:t>
            </w:r>
          </w:p>
        </w:tc>
        <w:tc>
          <w:tcPr>
            <w:tcW w:w="1508" w:type="dxa"/>
          </w:tcPr>
          <w:p w14:paraId="16090745" w14:textId="77777777" w:rsidR="00DE241D" w:rsidRPr="0097258B" w:rsidRDefault="00DE241D" w:rsidP="00E20250">
            <w:pPr>
              <w:spacing w:line="240" w:lineRule="auto"/>
              <w:rPr>
                <w:rFonts w:ascii="Times New Roman" w:hAnsi="Times New Roman"/>
                <w:color w:val="000000" w:themeColor="text1"/>
                <w:lang w:val="fr-FR"/>
              </w:rPr>
            </w:pPr>
            <w:r w:rsidRPr="009B46E2">
              <w:rPr>
                <w:rFonts w:ascii="Times New Roman" w:hAnsi="Times New Roman"/>
                <w:color w:val="000000" w:themeColor="text1"/>
              </w:rPr>
              <w:t>Moyenne</w:t>
            </w:r>
          </w:p>
        </w:tc>
      </w:tr>
      <w:tr w:rsidR="00BD1A2F" w:rsidRPr="009B46E2" w14:paraId="6BED8479" w14:textId="77777777" w:rsidTr="001F68D3">
        <w:tc>
          <w:tcPr>
            <w:tcW w:w="8516" w:type="dxa"/>
          </w:tcPr>
          <w:p w14:paraId="0F6B9998" w14:textId="77777777" w:rsidR="00DE241D" w:rsidRPr="0097258B" w:rsidRDefault="00DE241D" w:rsidP="00E20250">
            <w:pPr>
              <w:spacing w:line="240" w:lineRule="auto"/>
              <w:rPr>
                <w:rFonts w:ascii="Times New Roman" w:hAnsi="Times New Roman"/>
                <w:color w:val="000000" w:themeColor="text1"/>
                <w:lang w:val="fr-FR"/>
              </w:rPr>
            </w:pPr>
            <w:r w:rsidRPr="009B46E2">
              <w:rPr>
                <w:rFonts w:ascii="Times New Roman" w:hAnsi="Times New Roman"/>
                <w:color w:val="000000" w:themeColor="text1"/>
              </w:rPr>
              <w:t xml:space="preserve">IN-3. Modification du </w:t>
            </w:r>
            <w:proofErr w:type="spellStart"/>
            <w:r w:rsidRPr="009B46E2">
              <w:rPr>
                <w:rFonts w:ascii="Times New Roman" w:hAnsi="Times New Roman"/>
                <w:color w:val="000000" w:themeColor="text1"/>
              </w:rPr>
              <w:t>paysage</w:t>
            </w:r>
            <w:proofErr w:type="spellEnd"/>
          </w:p>
        </w:tc>
        <w:tc>
          <w:tcPr>
            <w:tcW w:w="1508" w:type="dxa"/>
          </w:tcPr>
          <w:p w14:paraId="2DF0049B" w14:textId="77777777" w:rsidR="00DE241D" w:rsidRPr="0097258B" w:rsidRDefault="00DE241D" w:rsidP="00E20250">
            <w:pPr>
              <w:spacing w:line="240" w:lineRule="auto"/>
              <w:rPr>
                <w:rFonts w:ascii="Times New Roman" w:hAnsi="Times New Roman"/>
                <w:color w:val="000000" w:themeColor="text1"/>
                <w:lang w:val="fr-FR"/>
              </w:rPr>
            </w:pPr>
            <w:r w:rsidRPr="009B46E2">
              <w:rPr>
                <w:rFonts w:ascii="Times New Roman" w:hAnsi="Times New Roman"/>
                <w:color w:val="000000" w:themeColor="text1"/>
              </w:rPr>
              <w:t>Moyenne</w:t>
            </w:r>
          </w:p>
        </w:tc>
      </w:tr>
      <w:tr w:rsidR="00BD1A2F" w:rsidRPr="009B46E2" w14:paraId="61E81A47" w14:textId="77777777" w:rsidTr="001F68D3">
        <w:tc>
          <w:tcPr>
            <w:tcW w:w="8516" w:type="dxa"/>
          </w:tcPr>
          <w:p w14:paraId="120011D1" w14:textId="77777777" w:rsidR="00DE241D" w:rsidRPr="0097258B" w:rsidRDefault="00DE241D" w:rsidP="00E20250">
            <w:pPr>
              <w:spacing w:line="240" w:lineRule="auto"/>
              <w:rPr>
                <w:rFonts w:ascii="Times New Roman" w:hAnsi="Times New Roman"/>
                <w:color w:val="000000" w:themeColor="text1"/>
                <w:lang w:val="fr-FR"/>
              </w:rPr>
            </w:pPr>
            <w:r w:rsidRPr="009B46E2">
              <w:rPr>
                <w:rFonts w:ascii="Times New Roman" w:hAnsi="Times New Roman"/>
                <w:color w:val="000000" w:themeColor="text1"/>
              </w:rPr>
              <w:t xml:space="preserve">IN-4. Nuisances </w:t>
            </w:r>
            <w:proofErr w:type="spellStart"/>
            <w:r w:rsidRPr="009B46E2">
              <w:rPr>
                <w:rFonts w:ascii="Times New Roman" w:hAnsi="Times New Roman"/>
                <w:color w:val="000000" w:themeColor="text1"/>
              </w:rPr>
              <w:t>sonores</w:t>
            </w:r>
            <w:proofErr w:type="spellEnd"/>
          </w:p>
        </w:tc>
        <w:tc>
          <w:tcPr>
            <w:tcW w:w="1508" w:type="dxa"/>
          </w:tcPr>
          <w:p w14:paraId="27B83C25" w14:textId="77777777" w:rsidR="00DE241D" w:rsidRPr="0097258B" w:rsidRDefault="00DE241D" w:rsidP="00E20250">
            <w:pPr>
              <w:spacing w:line="240" w:lineRule="auto"/>
              <w:rPr>
                <w:rFonts w:ascii="Times New Roman" w:hAnsi="Times New Roman"/>
                <w:color w:val="000000" w:themeColor="text1"/>
                <w:lang w:val="fr-FR"/>
              </w:rPr>
            </w:pPr>
            <w:proofErr w:type="spellStart"/>
            <w:r w:rsidRPr="009B46E2">
              <w:rPr>
                <w:rFonts w:ascii="Times New Roman" w:hAnsi="Times New Roman"/>
                <w:color w:val="000000" w:themeColor="text1"/>
              </w:rPr>
              <w:t>Mineure</w:t>
            </w:r>
            <w:proofErr w:type="spellEnd"/>
          </w:p>
        </w:tc>
      </w:tr>
      <w:tr w:rsidR="00BD1A2F" w:rsidRPr="009B46E2" w14:paraId="0FCC69FA" w14:textId="77777777" w:rsidTr="001F68D3">
        <w:tc>
          <w:tcPr>
            <w:tcW w:w="10028" w:type="dxa"/>
            <w:gridSpan w:val="2"/>
            <w:shd w:val="clear" w:color="auto" w:fill="E2EFD9" w:themeFill="accent6" w:themeFillTint="33"/>
          </w:tcPr>
          <w:p w14:paraId="2044F089" w14:textId="77777777" w:rsidR="00DE241D" w:rsidRPr="0097258B" w:rsidRDefault="00DE241D" w:rsidP="00E20250">
            <w:pPr>
              <w:spacing w:line="240" w:lineRule="auto"/>
              <w:jc w:val="center"/>
              <w:rPr>
                <w:rFonts w:ascii="Times New Roman" w:hAnsi="Times New Roman"/>
                <w:color w:val="000000" w:themeColor="text1"/>
                <w:lang w:val="fr-FR"/>
              </w:rPr>
            </w:pPr>
            <w:r w:rsidRPr="00301AF6">
              <w:rPr>
                <w:rFonts w:ascii="Times New Roman" w:hAnsi="Times New Roman"/>
                <w:b/>
                <w:bCs/>
                <w:color w:val="000000" w:themeColor="text1"/>
                <w:lang w:val="fr-FR"/>
              </w:rPr>
              <w:t>Impacts négatifs communs à l’aménagement des bassins et des collecteurs</w:t>
            </w:r>
          </w:p>
        </w:tc>
      </w:tr>
      <w:tr w:rsidR="00BD1A2F" w:rsidRPr="009B46E2" w14:paraId="79D03861" w14:textId="77777777" w:rsidTr="001F68D3">
        <w:trPr>
          <w:trHeight w:val="58"/>
        </w:trPr>
        <w:tc>
          <w:tcPr>
            <w:tcW w:w="8516" w:type="dxa"/>
          </w:tcPr>
          <w:p w14:paraId="300A43C2"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IN-5. Perte définitive d’accès à cinq aires de sport</w:t>
            </w:r>
          </w:p>
        </w:tc>
        <w:tc>
          <w:tcPr>
            <w:tcW w:w="1508" w:type="dxa"/>
          </w:tcPr>
          <w:p w14:paraId="14D63C33" w14:textId="77777777" w:rsidR="00DE241D" w:rsidRPr="0097258B" w:rsidRDefault="00DE241D" w:rsidP="00E20250">
            <w:pPr>
              <w:spacing w:line="240" w:lineRule="auto"/>
              <w:rPr>
                <w:rFonts w:ascii="Times New Roman" w:hAnsi="Times New Roman"/>
                <w:color w:val="000000" w:themeColor="text1"/>
                <w:lang w:val="fr-FR"/>
              </w:rPr>
            </w:pPr>
            <w:r w:rsidRPr="009B46E2">
              <w:rPr>
                <w:rFonts w:ascii="Times New Roman" w:hAnsi="Times New Roman"/>
                <w:color w:val="000000" w:themeColor="text1"/>
              </w:rPr>
              <w:t xml:space="preserve">Majeure </w:t>
            </w:r>
          </w:p>
        </w:tc>
      </w:tr>
      <w:tr w:rsidR="00BD1A2F" w:rsidRPr="009B46E2" w14:paraId="31651112" w14:textId="77777777" w:rsidTr="001F68D3">
        <w:trPr>
          <w:trHeight w:val="58"/>
        </w:trPr>
        <w:tc>
          <w:tcPr>
            <w:tcW w:w="10028" w:type="dxa"/>
            <w:gridSpan w:val="2"/>
            <w:shd w:val="clear" w:color="auto" w:fill="E2EFD9" w:themeFill="accent6" w:themeFillTint="33"/>
          </w:tcPr>
          <w:p w14:paraId="440FE8DC" w14:textId="77777777" w:rsidR="00DE241D" w:rsidRPr="0097258B" w:rsidRDefault="00DE241D" w:rsidP="00E20250">
            <w:pPr>
              <w:spacing w:line="240" w:lineRule="auto"/>
              <w:jc w:val="center"/>
              <w:rPr>
                <w:rFonts w:ascii="Times New Roman" w:hAnsi="Times New Roman"/>
                <w:b/>
                <w:bCs/>
                <w:color w:val="000000" w:themeColor="text1"/>
                <w:lang w:val="fr-FR"/>
              </w:rPr>
            </w:pPr>
            <w:r w:rsidRPr="00301AF6">
              <w:rPr>
                <w:rFonts w:ascii="Times New Roman" w:hAnsi="Times New Roman"/>
                <w:b/>
                <w:bCs/>
                <w:color w:val="000000" w:themeColor="text1"/>
                <w:lang w:val="fr-FR"/>
              </w:rPr>
              <w:t>Impacts négatifs spécifiques à l’occupation et la libération des emprises</w:t>
            </w:r>
          </w:p>
        </w:tc>
      </w:tr>
      <w:tr w:rsidR="00BD1A2F" w:rsidRPr="009B46E2" w14:paraId="2A6BBCE4" w14:textId="77777777" w:rsidTr="001F68D3">
        <w:tc>
          <w:tcPr>
            <w:tcW w:w="8516" w:type="dxa"/>
          </w:tcPr>
          <w:p w14:paraId="0D4CAE84"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IN-6. Destruction de la végétation</w:t>
            </w:r>
          </w:p>
        </w:tc>
        <w:tc>
          <w:tcPr>
            <w:tcW w:w="1508" w:type="dxa"/>
          </w:tcPr>
          <w:p w14:paraId="51CFC2A9" w14:textId="77777777" w:rsidR="00DE241D" w:rsidRPr="0097258B" w:rsidRDefault="00DE241D" w:rsidP="00E20250">
            <w:pPr>
              <w:spacing w:line="240" w:lineRule="auto"/>
              <w:rPr>
                <w:rFonts w:ascii="Times New Roman" w:hAnsi="Times New Roman"/>
                <w:color w:val="000000" w:themeColor="text1"/>
                <w:lang w:val="fr-FR"/>
              </w:rPr>
            </w:pPr>
            <w:proofErr w:type="spellStart"/>
            <w:r w:rsidRPr="009B46E2">
              <w:rPr>
                <w:rFonts w:ascii="Times New Roman" w:hAnsi="Times New Roman"/>
                <w:color w:val="000000" w:themeColor="text1"/>
              </w:rPr>
              <w:t>Mineure</w:t>
            </w:r>
            <w:proofErr w:type="spellEnd"/>
            <w:r w:rsidRPr="009B46E2">
              <w:rPr>
                <w:rFonts w:ascii="Times New Roman" w:hAnsi="Times New Roman"/>
                <w:color w:val="000000" w:themeColor="text1"/>
              </w:rPr>
              <w:t xml:space="preserve"> </w:t>
            </w:r>
          </w:p>
        </w:tc>
      </w:tr>
      <w:tr w:rsidR="00BD1A2F" w:rsidRPr="009B46E2" w14:paraId="2488EA60" w14:textId="77777777" w:rsidTr="001F68D3">
        <w:tc>
          <w:tcPr>
            <w:tcW w:w="8516" w:type="dxa"/>
          </w:tcPr>
          <w:p w14:paraId="023A3519"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IN-7. Dérangement de la faune</w:t>
            </w:r>
          </w:p>
        </w:tc>
        <w:tc>
          <w:tcPr>
            <w:tcW w:w="1508" w:type="dxa"/>
          </w:tcPr>
          <w:p w14:paraId="0E13B163" w14:textId="77777777" w:rsidR="00DE241D" w:rsidRPr="0097258B" w:rsidRDefault="00DE241D" w:rsidP="00E20250">
            <w:pPr>
              <w:spacing w:line="240" w:lineRule="auto"/>
              <w:rPr>
                <w:rFonts w:ascii="Times New Roman" w:hAnsi="Times New Roman"/>
                <w:color w:val="000000" w:themeColor="text1"/>
                <w:lang w:val="fr-FR"/>
              </w:rPr>
            </w:pPr>
            <w:proofErr w:type="spellStart"/>
            <w:r w:rsidRPr="009B46E2">
              <w:rPr>
                <w:rFonts w:ascii="Times New Roman" w:hAnsi="Times New Roman"/>
                <w:color w:val="000000" w:themeColor="text1"/>
              </w:rPr>
              <w:t>Mineure</w:t>
            </w:r>
            <w:proofErr w:type="spellEnd"/>
            <w:r w:rsidRPr="009B46E2">
              <w:rPr>
                <w:rFonts w:ascii="Times New Roman" w:hAnsi="Times New Roman"/>
                <w:color w:val="000000" w:themeColor="text1"/>
              </w:rPr>
              <w:t xml:space="preserve"> </w:t>
            </w:r>
          </w:p>
        </w:tc>
      </w:tr>
      <w:tr w:rsidR="00BD1A2F" w:rsidRPr="009B46E2" w14:paraId="2B41062E" w14:textId="77777777" w:rsidTr="001F68D3">
        <w:tc>
          <w:tcPr>
            <w:tcW w:w="8516" w:type="dxa"/>
          </w:tcPr>
          <w:p w14:paraId="33943353"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IN-8. Pertes/restriction d’accès temporaires ou définitives à des biens privés et des moyens d’existence des populations</w:t>
            </w:r>
          </w:p>
        </w:tc>
        <w:tc>
          <w:tcPr>
            <w:tcW w:w="1508" w:type="dxa"/>
          </w:tcPr>
          <w:p w14:paraId="5781D7CF" w14:textId="77777777" w:rsidR="00DE241D" w:rsidRPr="0097258B" w:rsidRDefault="00DE241D" w:rsidP="00E20250">
            <w:pPr>
              <w:spacing w:line="240" w:lineRule="auto"/>
              <w:rPr>
                <w:rFonts w:ascii="Times New Roman" w:hAnsi="Times New Roman"/>
                <w:color w:val="000000" w:themeColor="text1"/>
                <w:lang w:val="fr-FR"/>
              </w:rPr>
            </w:pPr>
            <w:r w:rsidRPr="009B46E2">
              <w:rPr>
                <w:rFonts w:ascii="Times New Roman" w:hAnsi="Times New Roman"/>
                <w:color w:val="000000" w:themeColor="text1"/>
              </w:rPr>
              <w:t>Moyenne</w:t>
            </w:r>
          </w:p>
        </w:tc>
      </w:tr>
      <w:tr w:rsidR="00BD1A2F" w:rsidRPr="009B46E2" w14:paraId="4C774303" w14:textId="77777777" w:rsidTr="001F68D3">
        <w:tc>
          <w:tcPr>
            <w:tcW w:w="10028" w:type="dxa"/>
            <w:gridSpan w:val="2"/>
            <w:shd w:val="clear" w:color="auto" w:fill="E2EFD9" w:themeFill="accent6" w:themeFillTint="33"/>
          </w:tcPr>
          <w:p w14:paraId="7896CE5A" w14:textId="77777777" w:rsidR="00DE241D" w:rsidRPr="0097258B" w:rsidRDefault="00DE241D" w:rsidP="00E20250">
            <w:pPr>
              <w:spacing w:line="240" w:lineRule="auto"/>
              <w:jc w:val="center"/>
              <w:rPr>
                <w:rFonts w:ascii="Times New Roman" w:hAnsi="Times New Roman"/>
                <w:b/>
                <w:bCs/>
                <w:color w:val="000000" w:themeColor="text1"/>
                <w:lang w:val="fr-FR"/>
              </w:rPr>
            </w:pPr>
            <w:r w:rsidRPr="00301AF6">
              <w:rPr>
                <w:rFonts w:ascii="Times New Roman" w:hAnsi="Times New Roman"/>
                <w:b/>
                <w:bCs/>
                <w:color w:val="000000" w:themeColor="text1"/>
                <w:lang w:val="fr-FR"/>
              </w:rPr>
              <w:t>Impacts négatifs spécifiques à l’aménagement des bassins et de l’exutoire</w:t>
            </w:r>
          </w:p>
        </w:tc>
      </w:tr>
      <w:tr w:rsidR="00BD1A2F" w:rsidRPr="009B46E2" w14:paraId="5BEB88FF" w14:textId="77777777" w:rsidTr="001F68D3">
        <w:tc>
          <w:tcPr>
            <w:tcW w:w="8516" w:type="dxa"/>
          </w:tcPr>
          <w:p w14:paraId="1652AEB9"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IN-9. Entrave de l’accès des animaux au marigot de Mbao</w:t>
            </w:r>
          </w:p>
        </w:tc>
        <w:tc>
          <w:tcPr>
            <w:tcW w:w="1508" w:type="dxa"/>
          </w:tcPr>
          <w:p w14:paraId="7D05A082" w14:textId="77777777" w:rsidR="00DE241D" w:rsidRPr="0097258B" w:rsidRDefault="00DE241D" w:rsidP="00E20250">
            <w:pPr>
              <w:spacing w:line="240" w:lineRule="auto"/>
              <w:rPr>
                <w:rFonts w:ascii="Times New Roman" w:hAnsi="Times New Roman"/>
                <w:color w:val="000000" w:themeColor="text1"/>
                <w:lang w:val="fr-FR"/>
              </w:rPr>
            </w:pPr>
          </w:p>
        </w:tc>
      </w:tr>
      <w:tr w:rsidR="00BD1A2F" w:rsidRPr="009B46E2" w14:paraId="39D08CC2" w14:textId="77777777" w:rsidTr="001F68D3">
        <w:tc>
          <w:tcPr>
            <w:tcW w:w="8516" w:type="dxa"/>
          </w:tcPr>
          <w:p w14:paraId="75F37C85"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IN-10. Changement d’affectation des emprises des bassins</w:t>
            </w:r>
          </w:p>
        </w:tc>
        <w:tc>
          <w:tcPr>
            <w:tcW w:w="1508" w:type="dxa"/>
          </w:tcPr>
          <w:p w14:paraId="18FCEB03" w14:textId="77777777" w:rsidR="00DE241D" w:rsidRPr="0097258B" w:rsidRDefault="00DE241D" w:rsidP="00E20250">
            <w:pPr>
              <w:spacing w:line="240" w:lineRule="auto"/>
              <w:rPr>
                <w:rFonts w:ascii="Times New Roman" w:hAnsi="Times New Roman"/>
                <w:color w:val="000000" w:themeColor="text1"/>
                <w:lang w:val="fr-FR"/>
              </w:rPr>
            </w:pPr>
            <w:r w:rsidRPr="009B46E2">
              <w:rPr>
                <w:rFonts w:ascii="Times New Roman" w:hAnsi="Times New Roman"/>
                <w:color w:val="000000" w:themeColor="text1"/>
              </w:rPr>
              <w:t xml:space="preserve">Majeure </w:t>
            </w:r>
          </w:p>
        </w:tc>
      </w:tr>
      <w:tr w:rsidR="00BD1A2F" w:rsidRPr="009B46E2" w14:paraId="7EBA32E5" w14:textId="77777777" w:rsidTr="001F68D3">
        <w:tc>
          <w:tcPr>
            <w:tcW w:w="8516" w:type="dxa"/>
          </w:tcPr>
          <w:p w14:paraId="10B4D0F0" w14:textId="77777777" w:rsidR="00DE241D" w:rsidRPr="0097258B" w:rsidRDefault="00DE241D" w:rsidP="00E20250">
            <w:pPr>
              <w:spacing w:line="240" w:lineRule="auto"/>
              <w:rPr>
                <w:rFonts w:ascii="Times New Roman" w:hAnsi="Times New Roman"/>
                <w:color w:val="000000" w:themeColor="text1"/>
                <w:lang w:val="fr-FR"/>
              </w:rPr>
            </w:pPr>
            <w:r w:rsidRPr="009B46E2">
              <w:rPr>
                <w:rFonts w:ascii="Times New Roman" w:hAnsi="Times New Roman"/>
                <w:color w:val="000000" w:themeColor="text1"/>
              </w:rPr>
              <w:t xml:space="preserve">IN-11. Destruction </w:t>
            </w:r>
            <w:proofErr w:type="spellStart"/>
            <w:r w:rsidRPr="009B46E2">
              <w:rPr>
                <w:rFonts w:ascii="Times New Roman" w:hAnsi="Times New Roman"/>
                <w:color w:val="000000" w:themeColor="text1"/>
              </w:rPr>
              <w:t>d’ouvrages</w:t>
            </w:r>
            <w:proofErr w:type="spellEnd"/>
            <w:r w:rsidRPr="009B46E2">
              <w:rPr>
                <w:rFonts w:ascii="Times New Roman" w:hAnsi="Times New Roman"/>
                <w:color w:val="000000" w:themeColor="text1"/>
              </w:rPr>
              <w:t xml:space="preserve"> irrigation</w:t>
            </w:r>
          </w:p>
        </w:tc>
        <w:tc>
          <w:tcPr>
            <w:tcW w:w="1508" w:type="dxa"/>
          </w:tcPr>
          <w:p w14:paraId="03C02E3B" w14:textId="77777777" w:rsidR="00DE241D" w:rsidRPr="0097258B" w:rsidRDefault="00DE241D" w:rsidP="00E20250">
            <w:pPr>
              <w:spacing w:line="240" w:lineRule="auto"/>
              <w:rPr>
                <w:rFonts w:ascii="Times New Roman" w:hAnsi="Times New Roman"/>
                <w:color w:val="000000" w:themeColor="text1"/>
                <w:lang w:val="fr-FR"/>
              </w:rPr>
            </w:pPr>
            <w:proofErr w:type="spellStart"/>
            <w:r w:rsidRPr="009B46E2">
              <w:rPr>
                <w:rFonts w:ascii="Times New Roman" w:hAnsi="Times New Roman"/>
                <w:color w:val="000000" w:themeColor="text1"/>
              </w:rPr>
              <w:t>Mineure</w:t>
            </w:r>
            <w:proofErr w:type="spellEnd"/>
            <w:r w:rsidRPr="009B46E2">
              <w:rPr>
                <w:rFonts w:ascii="Times New Roman" w:hAnsi="Times New Roman"/>
                <w:color w:val="000000" w:themeColor="text1"/>
              </w:rPr>
              <w:t xml:space="preserve"> </w:t>
            </w:r>
          </w:p>
        </w:tc>
      </w:tr>
      <w:tr w:rsidR="00BD1A2F" w:rsidRPr="009B46E2" w14:paraId="55D5D21A" w14:textId="77777777" w:rsidTr="001F68D3">
        <w:tc>
          <w:tcPr>
            <w:tcW w:w="8516" w:type="dxa"/>
          </w:tcPr>
          <w:p w14:paraId="483F7480"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IN-11. Perte d’accès à des terres à vocation résidentielle (lotissement) et destruction de bâtiments</w:t>
            </w:r>
          </w:p>
        </w:tc>
        <w:tc>
          <w:tcPr>
            <w:tcW w:w="1508" w:type="dxa"/>
          </w:tcPr>
          <w:p w14:paraId="45652F56" w14:textId="77777777" w:rsidR="00DE241D" w:rsidRPr="0097258B" w:rsidRDefault="00DE241D" w:rsidP="00E20250">
            <w:pPr>
              <w:spacing w:line="240" w:lineRule="auto"/>
              <w:rPr>
                <w:rFonts w:ascii="Times New Roman" w:hAnsi="Times New Roman"/>
                <w:color w:val="000000" w:themeColor="text1"/>
                <w:lang w:val="fr-FR"/>
              </w:rPr>
            </w:pPr>
            <w:r w:rsidRPr="009B46E2">
              <w:rPr>
                <w:rFonts w:ascii="Times New Roman" w:hAnsi="Times New Roman"/>
                <w:color w:val="000000" w:themeColor="text1"/>
              </w:rPr>
              <w:t>Majeure</w:t>
            </w:r>
          </w:p>
        </w:tc>
      </w:tr>
      <w:tr w:rsidR="00BD1A2F" w:rsidRPr="009B46E2" w14:paraId="6446297C" w14:textId="77777777" w:rsidTr="001F68D3">
        <w:tc>
          <w:tcPr>
            <w:tcW w:w="8516" w:type="dxa"/>
          </w:tcPr>
          <w:p w14:paraId="06EA23D0"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IN-12. Perte d’accès définitive à une infrastructure scolaire</w:t>
            </w:r>
          </w:p>
        </w:tc>
        <w:tc>
          <w:tcPr>
            <w:tcW w:w="1508" w:type="dxa"/>
          </w:tcPr>
          <w:p w14:paraId="5F6C9969" w14:textId="77777777" w:rsidR="00DE241D" w:rsidRPr="0097258B" w:rsidRDefault="00DE241D" w:rsidP="00E20250">
            <w:pPr>
              <w:spacing w:line="240" w:lineRule="auto"/>
              <w:rPr>
                <w:rFonts w:ascii="Times New Roman" w:hAnsi="Times New Roman"/>
                <w:color w:val="000000" w:themeColor="text1"/>
                <w:lang w:val="fr-FR"/>
              </w:rPr>
            </w:pPr>
            <w:r w:rsidRPr="009B46E2">
              <w:rPr>
                <w:rFonts w:ascii="Times New Roman" w:hAnsi="Times New Roman"/>
                <w:color w:val="000000" w:themeColor="text1"/>
              </w:rPr>
              <w:t>Majeure</w:t>
            </w:r>
          </w:p>
        </w:tc>
      </w:tr>
      <w:tr w:rsidR="00BD1A2F" w:rsidRPr="009B46E2" w14:paraId="3F2C12EC" w14:textId="77777777" w:rsidTr="001F68D3">
        <w:tc>
          <w:tcPr>
            <w:tcW w:w="10028" w:type="dxa"/>
            <w:gridSpan w:val="2"/>
            <w:shd w:val="clear" w:color="auto" w:fill="E2EFD9" w:themeFill="accent6" w:themeFillTint="33"/>
          </w:tcPr>
          <w:p w14:paraId="72B259CD" w14:textId="77777777" w:rsidR="00DE241D" w:rsidRPr="0097258B" w:rsidRDefault="00DE241D" w:rsidP="00E20250">
            <w:pPr>
              <w:spacing w:line="240" w:lineRule="auto"/>
              <w:jc w:val="center"/>
              <w:rPr>
                <w:rFonts w:ascii="Times New Roman" w:hAnsi="Times New Roman"/>
                <w:b/>
                <w:bCs/>
                <w:color w:val="000000" w:themeColor="text1"/>
                <w:lang w:val="fr-FR"/>
              </w:rPr>
            </w:pPr>
            <w:r w:rsidRPr="00301AF6">
              <w:rPr>
                <w:rFonts w:ascii="Times New Roman" w:hAnsi="Times New Roman"/>
                <w:b/>
                <w:bCs/>
                <w:color w:val="000000" w:themeColor="text1"/>
                <w:lang w:val="fr-FR"/>
              </w:rPr>
              <w:t>Impacts négatifs associés à l’aménagement des collecteurs</w:t>
            </w:r>
          </w:p>
        </w:tc>
      </w:tr>
      <w:tr w:rsidR="00BD1A2F" w:rsidRPr="009B46E2" w14:paraId="33740010" w14:textId="77777777" w:rsidTr="001F68D3">
        <w:tc>
          <w:tcPr>
            <w:tcW w:w="8516" w:type="dxa"/>
          </w:tcPr>
          <w:p w14:paraId="18DEAE8B"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IN-13. Perturbation des déplacements des personnes et des biens</w:t>
            </w:r>
          </w:p>
        </w:tc>
        <w:tc>
          <w:tcPr>
            <w:tcW w:w="1508" w:type="dxa"/>
          </w:tcPr>
          <w:p w14:paraId="31DAD6ED" w14:textId="77777777" w:rsidR="00DE241D" w:rsidRPr="0097258B" w:rsidRDefault="00DE241D" w:rsidP="00E20250">
            <w:pPr>
              <w:spacing w:line="240" w:lineRule="auto"/>
              <w:rPr>
                <w:rFonts w:ascii="Times New Roman" w:hAnsi="Times New Roman"/>
                <w:color w:val="000000" w:themeColor="text1"/>
                <w:lang w:val="fr-FR"/>
              </w:rPr>
            </w:pPr>
            <w:r w:rsidRPr="009B46E2">
              <w:rPr>
                <w:rFonts w:ascii="Times New Roman" w:hAnsi="Times New Roman"/>
                <w:color w:val="000000" w:themeColor="text1"/>
              </w:rPr>
              <w:t>Moyenne</w:t>
            </w:r>
          </w:p>
        </w:tc>
      </w:tr>
      <w:tr w:rsidR="00BD1A2F" w:rsidRPr="009B46E2" w14:paraId="0930BBDD" w14:textId="77777777" w:rsidTr="001F68D3">
        <w:tc>
          <w:tcPr>
            <w:tcW w:w="8516" w:type="dxa"/>
          </w:tcPr>
          <w:p w14:paraId="043347F9"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IN-14. Entrave d’accès à des habitations, des infrastructures scolaires, une unité industrielle, un service public, des parkings et d’une mosquée</w:t>
            </w:r>
          </w:p>
        </w:tc>
        <w:tc>
          <w:tcPr>
            <w:tcW w:w="1508" w:type="dxa"/>
          </w:tcPr>
          <w:p w14:paraId="3E5CCCFC" w14:textId="77777777" w:rsidR="00DE241D" w:rsidRPr="0097258B" w:rsidRDefault="00DE241D" w:rsidP="00E20250">
            <w:pPr>
              <w:spacing w:line="240" w:lineRule="auto"/>
              <w:rPr>
                <w:rFonts w:ascii="Times New Roman" w:hAnsi="Times New Roman"/>
                <w:color w:val="000000" w:themeColor="text1"/>
                <w:lang w:val="fr-FR"/>
              </w:rPr>
            </w:pPr>
            <w:proofErr w:type="spellStart"/>
            <w:r w:rsidRPr="009B46E2">
              <w:rPr>
                <w:rFonts w:ascii="Times New Roman" w:hAnsi="Times New Roman"/>
                <w:color w:val="000000" w:themeColor="text1"/>
              </w:rPr>
              <w:t>Mineure</w:t>
            </w:r>
            <w:proofErr w:type="spellEnd"/>
            <w:r w:rsidRPr="009B46E2">
              <w:rPr>
                <w:rFonts w:ascii="Times New Roman" w:hAnsi="Times New Roman"/>
                <w:color w:val="000000" w:themeColor="text1"/>
              </w:rPr>
              <w:t xml:space="preserve"> </w:t>
            </w:r>
          </w:p>
        </w:tc>
      </w:tr>
      <w:tr w:rsidR="00BD1A2F" w:rsidRPr="009B46E2" w14:paraId="72658939" w14:textId="77777777" w:rsidTr="001F68D3">
        <w:tc>
          <w:tcPr>
            <w:tcW w:w="8516" w:type="dxa"/>
          </w:tcPr>
          <w:p w14:paraId="2DA3B85F"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IN-15. Destruction de rampes d’accès d’habitations</w:t>
            </w:r>
          </w:p>
        </w:tc>
        <w:tc>
          <w:tcPr>
            <w:tcW w:w="1508" w:type="dxa"/>
          </w:tcPr>
          <w:p w14:paraId="7CE4D8FE" w14:textId="77777777" w:rsidR="00DE241D" w:rsidRPr="0097258B" w:rsidRDefault="00DE241D" w:rsidP="00E20250">
            <w:pPr>
              <w:spacing w:line="240" w:lineRule="auto"/>
              <w:rPr>
                <w:rFonts w:ascii="Times New Roman" w:hAnsi="Times New Roman"/>
                <w:color w:val="000000" w:themeColor="text1"/>
                <w:lang w:val="fr-FR"/>
              </w:rPr>
            </w:pPr>
            <w:proofErr w:type="spellStart"/>
            <w:r w:rsidRPr="009B46E2">
              <w:rPr>
                <w:rFonts w:ascii="Times New Roman" w:hAnsi="Times New Roman"/>
                <w:color w:val="000000" w:themeColor="text1"/>
              </w:rPr>
              <w:t>Mineure</w:t>
            </w:r>
            <w:proofErr w:type="spellEnd"/>
            <w:r w:rsidRPr="009B46E2">
              <w:rPr>
                <w:rFonts w:ascii="Times New Roman" w:hAnsi="Times New Roman"/>
                <w:color w:val="000000" w:themeColor="text1"/>
              </w:rPr>
              <w:t xml:space="preserve"> </w:t>
            </w:r>
          </w:p>
        </w:tc>
      </w:tr>
      <w:tr w:rsidR="00BD1A2F" w:rsidRPr="009B46E2" w14:paraId="289AA1C6" w14:textId="77777777" w:rsidTr="001F68D3">
        <w:tc>
          <w:tcPr>
            <w:tcW w:w="8516" w:type="dxa"/>
          </w:tcPr>
          <w:p w14:paraId="3C4E40C6"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IN-16. Destruction d’un ouvrage d’assainissement autonome (fosse septique)</w:t>
            </w:r>
          </w:p>
        </w:tc>
        <w:tc>
          <w:tcPr>
            <w:tcW w:w="1508" w:type="dxa"/>
          </w:tcPr>
          <w:p w14:paraId="2117C984" w14:textId="77777777" w:rsidR="00DE241D" w:rsidRPr="0097258B" w:rsidRDefault="00DE241D" w:rsidP="00E20250">
            <w:pPr>
              <w:spacing w:line="240" w:lineRule="auto"/>
              <w:rPr>
                <w:rFonts w:ascii="Times New Roman" w:hAnsi="Times New Roman"/>
                <w:color w:val="000000" w:themeColor="text1"/>
                <w:lang w:val="fr-FR"/>
              </w:rPr>
            </w:pPr>
            <w:proofErr w:type="spellStart"/>
            <w:r w:rsidRPr="009B46E2">
              <w:rPr>
                <w:rFonts w:ascii="Times New Roman" w:hAnsi="Times New Roman"/>
                <w:color w:val="000000" w:themeColor="text1"/>
              </w:rPr>
              <w:t>Mineure</w:t>
            </w:r>
            <w:proofErr w:type="spellEnd"/>
            <w:r w:rsidRPr="009B46E2">
              <w:rPr>
                <w:rFonts w:ascii="Times New Roman" w:hAnsi="Times New Roman"/>
                <w:color w:val="000000" w:themeColor="text1"/>
              </w:rPr>
              <w:t xml:space="preserve"> </w:t>
            </w:r>
          </w:p>
        </w:tc>
      </w:tr>
    </w:tbl>
    <w:p w14:paraId="4F3CF415" w14:textId="77777777" w:rsidR="00DE241D" w:rsidRPr="00260790" w:rsidRDefault="00DE241D" w:rsidP="00E20250">
      <w:pPr>
        <w:spacing w:line="240" w:lineRule="auto"/>
        <w:rPr>
          <w:rFonts w:ascii="Times New Roman" w:hAnsi="Times New Roman"/>
          <w:color w:val="000000" w:themeColor="text1"/>
        </w:rPr>
      </w:pPr>
    </w:p>
    <w:p w14:paraId="224537FA" w14:textId="77777777" w:rsidR="00150E6B" w:rsidRDefault="00150E6B">
      <w:pPr>
        <w:spacing w:line="259" w:lineRule="auto"/>
        <w:rPr>
          <w:rFonts w:ascii="Times New Roman" w:eastAsia="Times New Roman" w:hAnsi="Times New Roman"/>
          <w:i/>
          <w:iCs/>
          <w:color w:val="000000" w:themeColor="text1"/>
          <w:lang w:eastAsia="fr-FR"/>
        </w:rPr>
      </w:pPr>
      <w:bookmarkStart w:id="672" w:name="_Toc207781927"/>
      <w:r>
        <w:rPr>
          <w:color w:val="000000" w:themeColor="text1"/>
        </w:rPr>
        <w:br w:type="page"/>
      </w:r>
    </w:p>
    <w:p w14:paraId="706CAA95" w14:textId="67577C37" w:rsidR="00DE241D" w:rsidRPr="00260790" w:rsidRDefault="00DE241D" w:rsidP="00E20250">
      <w:pPr>
        <w:pStyle w:val="Lgende"/>
        <w:spacing w:line="240" w:lineRule="auto"/>
        <w:rPr>
          <w:color w:val="000000" w:themeColor="text1"/>
          <w:sz w:val="22"/>
          <w:szCs w:val="22"/>
        </w:rPr>
      </w:pPr>
      <w:r w:rsidRPr="00260790">
        <w:rPr>
          <w:color w:val="000000" w:themeColor="text1"/>
          <w:sz w:val="22"/>
          <w:szCs w:val="22"/>
        </w:rPr>
        <w:lastRenderedPageBreak/>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86</w:t>
      </w:r>
      <w:r w:rsidRPr="00260790">
        <w:rPr>
          <w:color w:val="000000" w:themeColor="text1"/>
          <w:sz w:val="22"/>
          <w:szCs w:val="22"/>
        </w:rPr>
        <w:fldChar w:fldCharType="end"/>
      </w:r>
      <w:r w:rsidRPr="00260790">
        <w:rPr>
          <w:color w:val="000000" w:themeColor="text1"/>
          <w:sz w:val="22"/>
          <w:szCs w:val="22"/>
        </w:rPr>
        <w:t> : Synthèse des risques environnementaux et sociaux</w:t>
      </w:r>
      <w:bookmarkEnd w:id="672"/>
    </w:p>
    <w:tbl>
      <w:tblPr>
        <w:tblStyle w:val="Grilledutableau"/>
        <w:tblW w:w="9918" w:type="dxa"/>
        <w:tblLayout w:type="fixed"/>
        <w:tblLook w:val="04A0" w:firstRow="1" w:lastRow="0" w:firstColumn="1" w:lastColumn="0" w:noHBand="0" w:noVBand="1"/>
      </w:tblPr>
      <w:tblGrid>
        <w:gridCol w:w="8374"/>
        <w:gridCol w:w="567"/>
        <w:gridCol w:w="426"/>
        <w:gridCol w:w="551"/>
      </w:tblGrid>
      <w:tr w:rsidR="00BD1A2F" w:rsidRPr="009B46E2" w14:paraId="2ECA8F7D" w14:textId="77777777" w:rsidTr="003B6588">
        <w:trPr>
          <w:tblHeader/>
        </w:trPr>
        <w:tc>
          <w:tcPr>
            <w:tcW w:w="8374" w:type="dxa"/>
            <w:shd w:val="clear" w:color="auto" w:fill="FFFF00"/>
          </w:tcPr>
          <w:p w14:paraId="13D917FC" w14:textId="77777777" w:rsidR="00DE241D" w:rsidRPr="0097258B" w:rsidRDefault="00DE241D" w:rsidP="00E20250">
            <w:pPr>
              <w:spacing w:line="240" w:lineRule="auto"/>
              <w:jc w:val="center"/>
              <w:rPr>
                <w:rFonts w:ascii="Times New Roman" w:hAnsi="Times New Roman"/>
                <w:b/>
                <w:bCs/>
                <w:color w:val="000000" w:themeColor="text1"/>
                <w:lang w:val="fr-FR"/>
              </w:rPr>
            </w:pPr>
            <w:proofErr w:type="spellStart"/>
            <w:r w:rsidRPr="009B46E2">
              <w:rPr>
                <w:rFonts w:ascii="Times New Roman" w:hAnsi="Times New Roman"/>
                <w:b/>
                <w:bCs/>
                <w:color w:val="000000" w:themeColor="text1"/>
              </w:rPr>
              <w:t>Risques</w:t>
            </w:r>
            <w:proofErr w:type="spellEnd"/>
            <w:r w:rsidRPr="009B46E2">
              <w:rPr>
                <w:rFonts w:ascii="Times New Roman" w:hAnsi="Times New Roman"/>
                <w:b/>
                <w:bCs/>
                <w:color w:val="000000" w:themeColor="text1"/>
              </w:rPr>
              <w:t xml:space="preserve"> </w:t>
            </w:r>
            <w:proofErr w:type="spellStart"/>
            <w:r w:rsidRPr="009B46E2">
              <w:rPr>
                <w:rFonts w:ascii="Times New Roman" w:hAnsi="Times New Roman"/>
                <w:b/>
                <w:bCs/>
                <w:color w:val="000000" w:themeColor="text1"/>
              </w:rPr>
              <w:t>environnementaux</w:t>
            </w:r>
            <w:proofErr w:type="spellEnd"/>
            <w:r w:rsidRPr="009B46E2">
              <w:rPr>
                <w:rFonts w:ascii="Times New Roman" w:hAnsi="Times New Roman"/>
                <w:b/>
                <w:bCs/>
                <w:color w:val="000000" w:themeColor="text1"/>
              </w:rPr>
              <w:t xml:space="preserve"> et </w:t>
            </w:r>
            <w:proofErr w:type="spellStart"/>
            <w:r w:rsidRPr="009B46E2">
              <w:rPr>
                <w:rFonts w:ascii="Times New Roman" w:hAnsi="Times New Roman"/>
                <w:b/>
                <w:bCs/>
                <w:color w:val="000000" w:themeColor="text1"/>
              </w:rPr>
              <w:t>sociaux</w:t>
            </w:r>
            <w:proofErr w:type="spellEnd"/>
          </w:p>
        </w:tc>
        <w:tc>
          <w:tcPr>
            <w:tcW w:w="567" w:type="dxa"/>
            <w:shd w:val="clear" w:color="auto" w:fill="FFFF00"/>
          </w:tcPr>
          <w:p w14:paraId="0A79C9C9"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P</w:t>
            </w:r>
          </w:p>
        </w:tc>
        <w:tc>
          <w:tcPr>
            <w:tcW w:w="426" w:type="dxa"/>
            <w:shd w:val="clear" w:color="auto" w:fill="FFFF00"/>
          </w:tcPr>
          <w:p w14:paraId="7D3ED013"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G</w:t>
            </w:r>
          </w:p>
        </w:tc>
        <w:tc>
          <w:tcPr>
            <w:tcW w:w="551" w:type="dxa"/>
            <w:shd w:val="clear" w:color="auto" w:fill="FFFF00"/>
          </w:tcPr>
          <w:p w14:paraId="6DC1619C"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C</w:t>
            </w:r>
          </w:p>
        </w:tc>
      </w:tr>
      <w:tr w:rsidR="00BD1A2F" w:rsidRPr="009B46E2" w14:paraId="1ECC569D" w14:textId="77777777" w:rsidTr="003B6588">
        <w:tc>
          <w:tcPr>
            <w:tcW w:w="9918" w:type="dxa"/>
            <w:gridSpan w:val="4"/>
            <w:shd w:val="clear" w:color="auto" w:fill="BDD6EE" w:themeFill="accent1" w:themeFillTint="66"/>
          </w:tcPr>
          <w:p w14:paraId="2BEF84F4" w14:textId="77777777" w:rsidR="00DE241D" w:rsidRPr="0097258B" w:rsidRDefault="00DE241D" w:rsidP="00E20250">
            <w:pPr>
              <w:spacing w:line="240" w:lineRule="auto"/>
              <w:jc w:val="center"/>
              <w:rPr>
                <w:rFonts w:ascii="Times New Roman" w:hAnsi="Times New Roman"/>
                <w:b/>
                <w:bCs/>
                <w:color w:val="000000" w:themeColor="text1"/>
                <w:lang w:val="fr-FR"/>
              </w:rPr>
            </w:pPr>
            <w:r w:rsidRPr="009B46E2">
              <w:rPr>
                <w:rFonts w:ascii="Times New Roman" w:hAnsi="Times New Roman"/>
                <w:b/>
                <w:bCs/>
                <w:color w:val="000000" w:themeColor="text1"/>
              </w:rPr>
              <w:t>Phase travaux</w:t>
            </w:r>
          </w:p>
        </w:tc>
      </w:tr>
      <w:tr w:rsidR="00BD1A2F" w:rsidRPr="009B46E2" w14:paraId="0FEF1BEF" w14:textId="77777777" w:rsidTr="003B6588">
        <w:tc>
          <w:tcPr>
            <w:tcW w:w="9918" w:type="dxa"/>
            <w:gridSpan w:val="4"/>
            <w:shd w:val="clear" w:color="auto" w:fill="E2EFD9" w:themeFill="accent6" w:themeFillTint="33"/>
          </w:tcPr>
          <w:p w14:paraId="202393F0" w14:textId="77777777" w:rsidR="00DE241D" w:rsidRPr="0097258B" w:rsidRDefault="00DE241D" w:rsidP="00E20250">
            <w:pPr>
              <w:spacing w:line="240" w:lineRule="auto"/>
              <w:jc w:val="center"/>
              <w:rPr>
                <w:rFonts w:ascii="Times New Roman" w:hAnsi="Times New Roman"/>
                <w:b/>
                <w:bCs/>
                <w:color w:val="000000" w:themeColor="text1"/>
                <w:lang w:val="fr-FR"/>
              </w:rPr>
            </w:pPr>
            <w:r w:rsidRPr="00301AF6">
              <w:rPr>
                <w:rFonts w:ascii="Times New Roman" w:hAnsi="Times New Roman"/>
                <w:b/>
                <w:bCs/>
                <w:color w:val="000000" w:themeColor="text1"/>
                <w:lang w:val="fr-FR"/>
              </w:rPr>
              <w:t>Risques communs à toutes les activités</w:t>
            </w:r>
          </w:p>
        </w:tc>
      </w:tr>
      <w:tr w:rsidR="00BD1A2F" w:rsidRPr="009B46E2" w14:paraId="18EDF593" w14:textId="77777777" w:rsidTr="003B6588">
        <w:tc>
          <w:tcPr>
            <w:tcW w:w="8374" w:type="dxa"/>
          </w:tcPr>
          <w:p w14:paraId="630F46B6"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RI-1. Risque de pollutions des sols</w:t>
            </w:r>
          </w:p>
        </w:tc>
        <w:tc>
          <w:tcPr>
            <w:tcW w:w="567" w:type="dxa"/>
          </w:tcPr>
          <w:p w14:paraId="5C18985F"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369A4FB3"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551" w:type="dxa"/>
          </w:tcPr>
          <w:p w14:paraId="58F0620A"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22</w:t>
            </w:r>
          </w:p>
        </w:tc>
      </w:tr>
      <w:tr w:rsidR="00BD1A2F" w:rsidRPr="009B46E2" w14:paraId="3F26F34C" w14:textId="77777777" w:rsidTr="003B6588">
        <w:tc>
          <w:tcPr>
            <w:tcW w:w="8374" w:type="dxa"/>
          </w:tcPr>
          <w:p w14:paraId="7BF2B701"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RI-2. Risque de frustrations et conflits</w:t>
            </w:r>
          </w:p>
        </w:tc>
        <w:tc>
          <w:tcPr>
            <w:tcW w:w="567" w:type="dxa"/>
          </w:tcPr>
          <w:p w14:paraId="2963A0D1"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6E1D4AB7"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w:t>
            </w:r>
          </w:p>
        </w:tc>
        <w:tc>
          <w:tcPr>
            <w:tcW w:w="551" w:type="dxa"/>
          </w:tcPr>
          <w:p w14:paraId="74C831AF"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32</w:t>
            </w:r>
          </w:p>
        </w:tc>
      </w:tr>
      <w:tr w:rsidR="00BD1A2F" w:rsidRPr="009B46E2" w14:paraId="1E7E42EF" w14:textId="77777777" w:rsidTr="003B6588">
        <w:tc>
          <w:tcPr>
            <w:tcW w:w="8374" w:type="dxa"/>
          </w:tcPr>
          <w:p w14:paraId="545073AA"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RI-3. Risque d’accidents liés au matériel roulant</w:t>
            </w:r>
          </w:p>
        </w:tc>
        <w:tc>
          <w:tcPr>
            <w:tcW w:w="567" w:type="dxa"/>
          </w:tcPr>
          <w:p w14:paraId="2D721E6B"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w:t>
            </w:r>
          </w:p>
        </w:tc>
        <w:tc>
          <w:tcPr>
            <w:tcW w:w="426" w:type="dxa"/>
          </w:tcPr>
          <w:p w14:paraId="0E05CAA9"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w:t>
            </w:r>
          </w:p>
        </w:tc>
        <w:tc>
          <w:tcPr>
            <w:tcW w:w="551" w:type="dxa"/>
          </w:tcPr>
          <w:p w14:paraId="0F3C7C6E"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33</w:t>
            </w:r>
          </w:p>
        </w:tc>
      </w:tr>
      <w:tr w:rsidR="00BD1A2F" w:rsidRPr="009B46E2" w14:paraId="5837C83A" w14:textId="77777777" w:rsidTr="003B6588">
        <w:tc>
          <w:tcPr>
            <w:tcW w:w="8374" w:type="dxa"/>
          </w:tcPr>
          <w:p w14:paraId="6CDA7C6D" w14:textId="77777777" w:rsidR="00DE241D" w:rsidRPr="0097258B" w:rsidRDefault="00DE241D" w:rsidP="00E20250">
            <w:pPr>
              <w:spacing w:line="240" w:lineRule="auto"/>
              <w:rPr>
                <w:rFonts w:ascii="Times New Roman" w:hAnsi="Times New Roman"/>
                <w:color w:val="000000" w:themeColor="text1"/>
                <w:lang w:val="fr-FR"/>
              </w:rPr>
            </w:pPr>
            <w:r w:rsidRPr="009B46E2">
              <w:rPr>
                <w:rFonts w:ascii="Times New Roman" w:hAnsi="Times New Roman"/>
                <w:color w:val="000000" w:themeColor="text1"/>
              </w:rPr>
              <w:t xml:space="preserve">RI-4. Risque </w:t>
            </w:r>
            <w:proofErr w:type="spellStart"/>
            <w:r w:rsidRPr="009B46E2">
              <w:rPr>
                <w:rFonts w:ascii="Times New Roman" w:hAnsi="Times New Roman"/>
                <w:color w:val="000000" w:themeColor="text1"/>
              </w:rPr>
              <w:t>d’IRA</w:t>
            </w:r>
            <w:proofErr w:type="spellEnd"/>
          </w:p>
        </w:tc>
        <w:tc>
          <w:tcPr>
            <w:tcW w:w="567" w:type="dxa"/>
          </w:tcPr>
          <w:p w14:paraId="14E444E1"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14333924"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551" w:type="dxa"/>
          </w:tcPr>
          <w:p w14:paraId="0C23E5E9"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22</w:t>
            </w:r>
          </w:p>
        </w:tc>
      </w:tr>
      <w:tr w:rsidR="00BD1A2F" w:rsidRPr="009B46E2" w14:paraId="4F630146" w14:textId="77777777" w:rsidTr="003B6588">
        <w:tc>
          <w:tcPr>
            <w:tcW w:w="9918" w:type="dxa"/>
            <w:gridSpan w:val="4"/>
            <w:shd w:val="clear" w:color="auto" w:fill="E2EFD9" w:themeFill="accent6" w:themeFillTint="33"/>
          </w:tcPr>
          <w:p w14:paraId="6F0935D4" w14:textId="77777777" w:rsidR="00DE241D" w:rsidRPr="0097258B" w:rsidRDefault="00DE241D" w:rsidP="00E20250">
            <w:pPr>
              <w:spacing w:line="240" w:lineRule="auto"/>
              <w:jc w:val="center"/>
              <w:rPr>
                <w:rFonts w:ascii="Times New Roman" w:hAnsi="Times New Roman"/>
                <w:b/>
                <w:bCs/>
                <w:color w:val="000000" w:themeColor="text1"/>
                <w:lang w:val="fr-FR"/>
              </w:rPr>
            </w:pPr>
            <w:r w:rsidRPr="00301AF6">
              <w:rPr>
                <w:rFonts w:ascii="Times New Roman" w:hAnsi="Times New Roman"/>
                <w:b/>
                <w:bCs/>
                <w:color w:val="000000" w:themeColor="text1"/>
                <w:lang w:val="fr-FR"/>
              </w:rPr>
              <w:t>Risques communs à l’aménagement des bassins et des collecteurs</w:t>
            </w:r>
          </w:p>
        </w:tc>
      </w:tr>
      <w:tr w:rsidR="00BD1A2F" w:rsidRPr="009B46E2" w14:paraId="62ED6E64" w14:textId="77777777" w:rsidTr="003B6588">
        <w:tc>
          <w:tcPr>
            <w:tcW w:w="8374" w:type="dxa"/>
          </w:tcPr>
          <w:p w14:paraId="2434ACA1"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RI-5. Risque de découvertes fortuites de vestiges culturels</w:t>
            </w:r>
          </w:p>
        </w:tc>
        <w:tc>
          <w:tcPr>
            <w:tcW w:w="567" w:type="dxa"/>
          </w:tcPr>
          <w:p w14:paraId="13CF59EF"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14B9D734"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w:t>
            </w:r>
          </w:p>
        </w:tc>
        <w:tc>
          <w:tcPr>
            <w:tcW w:w="551" w:type="dxa"/>
          </w:tcPr>
          <w:p w14:paraId="3881B444"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32</w:t>
            </w:r>
          </w:p>
        </w:tc>
      </w:tr>
      <w:tr w:rsidR="00BD1A2F" w:rsidRPr="009B46E2" w14:paraId="2105233B" w14:textId="77777777" w:rsidTr="003B6588">
        <w:tc>
          <w:tcPr>
            <w:tcW w:w="9918" w:type="dxa"/>
            <w:gridSpan w:val="4"/>
            <w:shd w:val="clear" w:color="auto" w:fill="E2EFD9" w:themeFill="accent6" w:themeFillTint="33"/>
          </w:tcPr>
          <w:p w14:paraId="49B0DC6D" w14:textId="77777777" w:rsidR="00DE241D" w:rsidRPr="0097258B" w:rsidRDefault="00DE241D" w:rsidP="00E20250">
            <w:pPr>
              <w:spacing w:line="240" w:lineRule="auto"/>
              <w:jc w:val="center"/>
              <w:rPr>
                <w:rFonts w:ascii="Times New Roman" w:hAnsi="Times New Roman"/>
                <w:b/>
                <w:bCs/>
                <w:color w:val="000000" w:themeColor="text1"/>
                <w:lang w:val="fr-FR"/>
              </w:rPr>
            </w:pPr>
            <w:r w:rsidRPr="00301AF6">
              <w:rPr>
                <w:rFonts w:ascii="Times New Roman" w:hAnsi="Times New Roman"/>
                <w:b/>
                <w:bCs/>
                <w:color w:val="000000" w:themeColor="text1"/>
                <w:lang w:val="fr-FR"/>
              </w:rPr>
              <w:t>Risques spécifiques à l’installation et au fonctionnement de la base de chantier</w:t>
            </w:r>
          </w:p>
        </w:tc>
      </w:tr>
      <w:tr w:rsidR="00BD1A2F" w:rsidRPr="009B46E2" w14:paraId="2EE7C9F7" w14:textId="77777777" w:rsidTr="003B6588">
        <w:tc>
          <w:tcPr>
            <w:tcW w:w="8374" w:type="dxa"/>
          </w:tcPr>
          <w:p w14:paraId="5D255BE8"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RI-6. Risque d’EAS/HS-VCE</w:t>
            </w:r>
          </w:p>
        </w:tc>
        <w:tc>
          <w:tcPr>
            <w:tcW w:w="567" w:type="dxa"/>
          </w:tcPr>
          <w:p w14:paraId="7D43CC70"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w:t>
            </w:r>
          </w:p>
        </w:tc>
        <w:tc>
          <w:tcPr>
            <w:tcW w:w="426" w:type="dxa"/>
          </w:tcPr>
          <w:p w14:paraId="2D06D9E0"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4</w:t>
            </w:r>
          </w:p>
        </w:tc>
        <w:tc>
          <w:tcPr>
            <w:tcW w:w="551" w:type="dxa"/>
          </w:tcPr>
          <w:p w14:paraId="7AE14382"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43</w:t>
            </w:r>
          </w:p>
        </w:tc>
      </w:tr>
      <w:tr w:rsidR="00BD1A2F" w:rsidRPr="009B46E2" w14:paraId="1564B327" w14:textId="77777777" w:rsidTr="003B6588">
        <w:tc>
          <w:tcPr>
            <w:tcW w:w="8374" w:type="dxa"/>
          </w:tcPr>
          <w:p w14:paraId="0D3BC666"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bCs/>
                <w:iCs/>
                <w:color w:val="000000" w:themeColor="text1"/>
                <w:lang w:val="fr-FR"/>
              </w:rPr>
              <w:t>RI-7. Risque d’IST/VIH-SIDA</w:t>
            </w:r>
          </w:p>
        </w:tc>
        <w:tc>
          <w:tcPr>
            <w:tcW w:w="567" w:type="dxa"/>
          </w:tcPr>
          <w:p w14:paraId="4936FD56" w14:textId="77777777" w:rsidR="00DE241D" w:rsidRPr="0097258B" w:rsidRDefault="00DE241D" w:rsidP="00E20250">
            <w:pPr>
              <w:spacing w:line="240" w:lineRule="auto"/>
              <w:rPr>
                <w:rFonts w:ascii="Times New Roman" w:hAnsi="Times New Roman"/>
                <w:bCs/>
                <w:color w:val="000000" w:themeColor="text1"/>
                <w:lang w:val="fr-FR"/>
              </w:rPr>
            </w:pPr>
            <w:r w:rsidRPr="009B46E2">
              <w:rPr>
                <w:rFonts w:ascii="Times New Roman" w:hAnsi="Times New Roman"/>
                <w:bCs/>
                <w:color w:val="000000" w:themeColor="text1"/>
              </w:rPr>
              <w:t>2</w:t>
            </w:r>
          </w:p>
        </w:tc>
        <w:tc>
          <w:tcPr>
            <w:tcW w:w="426" w:type="dxa"/>
          </w:tcPr>
          <w:p w14:paraId="5DA1B49E" w14:textId="77777777" w:rsidR="00DE241D" w:rsidRPr="0097258B" w:rsidRDefault="00DE241D" w:rsidP="00E20250">
            <w:pPr>
              <w:spacing w:line="240" w:lineRule="auto"/>
              <w:rPr>
                <w:rFonts w:ascii="Times New Roman" w:hAnsi="Times New Roman"/>
                <w:bCs/>
                <w:color w:val="000000" w:themeColor="text1"/>
                <w:lang w:val="fr-FR"/>
              </w:rPr>
            </w:pPr>
            <w:r w:rsidRPr="009B46E2">
              <w:rPr>
                <w:rFonts w:ascii="Times New Roman" w:hAnsi="Times New Roman"/>
                <w:bCs/>
                <w:color w:val="000000" w:themeColor="text1"/>
              </w:rPr>
              <w:t>4</w:t>
            </w:r>
          </w:p>
        </w:tc>
        <w:tc>
          <w:tcPr>
            <w:tcW w:w="551" w:type="dxa"/>
          </w:tcPr>
          <w:p w14:paraId="1F9AEC37" w14:textId="77777777" w:rsidR="00DE241D" w:rsidRPr="0097258B" w:rsidRDefault="00DE241D" w:rsidP="00E20250">
            <w:pPr>
              <w:spacing w:line="240" w:lineRule="auto"/>
              <w:rPr>
                <w:rFonts w:ascii="Times New Roman" w:hAnsi="Times New Roman"/>
                <w:bCs/>
                <w:color w:val="000000" w:themeColor="text1"/>
                <w:lang w:val="fr-FR"/>
              </w:rPr>
            </w:pPr>
            <w:r w:rsidRPr="009B46E2">
              <w:rPr>
                <w:rFonts w:ascii="Times New Roman" w:hAnsi="Times New Roman"/>
                <w:bCs/>
                <w:color w:val="000000" w:themeColor="text1"/>
              </w:rPr>
              <w:t>42</w:t>
            </w:r>
          </w:p>
        </w:tc>
      </w:tr>
      <w:tr w:rsidR="00BD1A2F" w:rsidRPr="009B46E2" w14:paraId="33D45336" w14:textId="77777777" w:rsidTr="003B6588">
        <w:tc>
          <w:tcPr>
            <w:tcW w:w="8374" w:type="dxa"/>
            <w:vAlign w:val="center"/>
          </w:tcPr>
          <w:p w14:paraId="5339A959"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 xml:space="preserve">RI-8. Risque de maladies liées à l’hygiène </w:t>
            </w:r>
          </w:p>
        </w:tc>
        <w:tc>
          <w:tcPr>
            <w:tcW w:w="567" w:type="dxa"/>
          </w:tcPr>
          <w:p w14:paraId="66228E6D"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56BED64B"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w:t>
            </w:r>
          </w:p>
        </w:tc>
        <w:tc>
          <w:tcPr>
            <w:tcW w:w="551" w:type="dxa"/>
          </w:tcPr>
          <w:p w14:paraId="722FEE42"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32</w:t>
            </w:r>
          </w:p>
        </w:tc>
      </w:tr>
      <w:tr w:rsidR="00BD1A2F" w:rsidRPr="009B46E2" w14:paraId="611C4DAE" w14:textId="77777777" w:rsidTr="003B6588">
        <w:tc>
          <w:tcPr>
            <w:tcW w:w="8374" w:type="dxa"/>
            <w:vAlign w:val="center"/>
          </w:tcPr>
          <w:p w14:paraId="7389148F" w14:textId="77777777" w:rsidR="00DE241D" w:rsidRPr="0097258B" w:rsidRDefault="00DE241D" w:rsidP="00E20250">
            <w:pPr>
              <w:spacing w:line="240" w:lineRule="auto"/>
              <w:rPr>
                <w:rFonts w:ascii="Times New Roman" w:hAnsi="Times New Roman"/>
                <w:color w:val="000000" w:themeColor="text1"/>
                <w:lang w:val="fr-FR"/>
              </w:rPr>
            </w:pPr>
            <w:r w:rsidRPr="009B46E2">
              <w:rPr>
                <w:rFonts w:ascii="Times New Roman" w:hAnsi="Times New Roman"/>
                <w:color w:val="000000" w:themeColor="text1"/>
              </w:rPr>
              <w:t xml:space="preserve">RI-9. Risque </w:t>
            </w:r>
            <w:proofErr w:type="spellStart"/>
            <w:r w:rsidRPr="009B46E2">
              <w:rPr>
                <w:rFonts w:ascii="Times New Roman" w:hAnsi="Times New Roman"/>
                <w:color w:val="000000" w:themeColor="text1"/>
              </w:rPr>
              <w:t>d’incendie</w:t>
            </w:r>
            <w:proofErr w:type="spellEnd"/>
            <w:r w:rsidRPr="009B46E2">
              <w:rPr>
                <w:rFonts w:ascii="Times New Roman" w:hAnsi="Times New Roman"/>
                <w:color w:val="000000" w:themeColor="text1"/>
              </w:rPr>
              <w:t>/explosion</w:t>
            </w:r>
          </w:p>
        </w:tc>
        <w:tc>
          <w:tcPr>
            <w:tcW w:w="567" w:type="dxa"/>
          </w:tcPr>
          <w:p w14:paraId="6CE698E6"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65849F92"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4</w:t>
            </w:r>
          </w:p>
        </w:tc>
        <w:tc>
          <w:tcPr>
            <w:tcW w:w="551" w:type="dxa"/>
          </w:tcPr>
          <w:p w14:paraId="2BEA9329"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42</w:t>
            </w:r>
          </w:p>
        </w:tc>
      </w:tr>
      <w:tr w:rsidR="00BD1A2F" w:rsidRPr="009B46E2" w14:paraId="38EA4F3C" w14:textId="77777777" w:rsidTr="003B6588">
        <w:tc>
          <w:tcPr>
            <w:tcW w:w="8374" w:type="dxa"/>
            <w:vAlign w:val="center"/>
          </w:tcPr>
          <w:p w14:paraId="15DCF87C"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RI-10. Risque de chutes de plain-pied</w:t>
            </w:r>
          </w:p>
        </w:tc>
        <w:tc>
          <w:tcPr>
            <w:tcW w:w="567" w:type="dxa"/>
          </w:tcPr>
          <w:p w14:paraId="59357294"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7279872E"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w:t>
            </w:r>
          </w:p>
        </w:tc>
        <w:tc>
          <w:tcPr>
            <w:tcW w:w="551" w:type="dxa"/>
          </w:tcPr>
          <w:p w14:paraId="3B43F3BC"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32</w:t>
            </w:r>
          </w:p>
        </w:tc>
      </w:tr>
      <w:tr w:rsidR="00BD1A2F" w:rsidRPr="009B46E2" w14:paraId="5AE463C9" w14:textId="77777777" w:rsidTr="003B6588">
        <w:tc>
          <w:tcPr>
            <w:tcW w:w="8374" w:type="dxa"/>
            <w:vAlign w:val="center"/>
          </w:tcPr>
          <w:p w14:paraId="0FEE85C5"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RI-11. Risque de blessures et maladies professionnelles liées à la manutention manuelle de charge</w:t>
            </w:r>
          </w:p>
        </w:tc>
        <w:tc>
          <w:tcPr>
            <w:tcW w:w="567" w:type="dxa"/>
          </w:tcPr>
          <w:p w14:paraId="4C8E894B"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1335DAF7"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w:t>
            </w:r>
          </w:p>
        </w:tc>
        <w:tc>
          <w:tcPr>
            <w:tcW w:w="551" w:type="dxa"/>
          </w:tcPr>
          <w:p w14:paraId="141DEB9B"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32</w:t>
            </w:r>
          </w:p>
        </w:tc>
      </w:tr>
      <w:tr w:rsidR="00BD1A2F" w:rsidRPr="009B46E2" w14:paraId="375AE35D" w14:textId="77777777" w:rsidTr="003B6588">
        <w:tc>
          <w:tcPr>
            <w:tcW w:w="8374" w:type="dxa"/>
            <w:vAlign w:val="center"/>
          </w:tcPr>
          <w:p w14:paraId="06D504FE"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RI-12. Risques d’effondrements/chutes d’objets</w:t>
            </w:r>
          </w:p>
        </w:tc>
        <w:tc>
          <w:tcPr>
            <w:tcW w:w="567" w:type="dxa"/>
          </w:tcPr>
          <w:p w14:paraId="352D3820"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22CEF1C7"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w:t>
            </w:r>
          </w:p>
        </w:tc>
        <w:tc>
          <w:tcPr>
            <w:tcW w:w="551" w:type="dxa"/>
          </w:tcPr>
          <w:p w14:paraId="781E2413"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32</w:t>
            </w:r>
          </w:p>
        </w:tc>
      </w:tr>
      <w:tr w:rsidR="00BD1A2F" w:rsidRPr="009B46E2" w14:paraId="28B62889" w14:textId="77777777" w:rsidTr="003B6588">
        <w:tc>
          <w:tcPr>
            <w:tcW w:w="8374" w:type="dxa"/>
            <w:vAlign w:val="center"/>
          </w:tcPr>
          <w:p w14:paraId="34D1475E"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RI-13. Risque d’actes de vandalisme</w:t>
            </w:r>
          </w:p>
        </w:tc>
        <w:tc>
          <w:tcPr>
            <w:tcW w:w="567" w:type="dxa"/>
          </w:tcPr>
          <w:p w14:paraId="5BABC028"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66F7A4A8"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w:t>
            </w:r>
          </w:p>
        </w:tc>
        <w:tc>
          <w:tcPr>
            <w:tcW w:w="551" w:type="dxa"/>
          </w:tcPr>
          <w:p w14:paraId="4574B0F9"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32</w:t>
            </w:r>
          </w:p>
        </w:tc>
      </w:tr>
      <w:tr w:rsidR="00BD1A2F" w:rsidRPr="009B46E2" w14:paraId="312FE5C6" w14:textId="77777777" w:rsidTr="003B6588">
        <w:tc>
          <w:tcPr>
            <w:tcW w:w="9918" w:type="dxa"/>
            <w:gridSpan w:val="4"/>
            <w:shd w:val="clear" w:color="auto" w:fill="E2EFD9" w:themeFill="accent6" w:themeFillTint="33"/>
            <w:vAlign w:val="center"/>
          </w:tcPr>
          <w:p w14:paraId="6F3DCEB5" w14:textId="77777777" w:rsidR="00DE241D" w:rsidRPr="0097258B" w:rsidRDefault="00DE241D" w:rsidP="00E20250">
            <w:pPr>
              <w:spacing w:line="240" w:lineRule="auto"/>
              <w:jc w:val="center"/>
              <w:rPr>
                <w:rFonts w:ascii="Times New Roman" w:hAnsi="Times New Roman"/>
                <w:b/>
                <w:bCs/>
                <w:color w:val="000000" w:themeColor="text1"/>
                <w:lang w:val="fr-FR"/>
              </w:rPr>
            </w:pPr>
            <w:r w:rsidRPr="00301AF6">
              <w:rPr>
                <w:rFonts w:ascii="Times New Roman" w:hAnsi="Times New Roman"/>
                <w:b/>
                <w:bCs/>
                <w:color w:val="000000" w:themeColor="text1"/>
                <w:lang w:val="fr-FR"/>
              </w:rPr>
              <w:t>Risques spécifiques à l’occupation et la libération des emprises</w:t>
            </w:r>
          </w:p>
        </w:tc>
      </w:tr>
      <w:tr w:rsidR="00BD1A2F" w:rsidRPr="009B46E2" w14:paraId="7140F865" w14:textId="77777777" w:rsidTr="003B6588">
        <w:tc>
          <w:tcPr>
            <w:tcW w:w="8374" w:type="dxa"/>
            <w:vAlign w:val="center"/>
          </w:tcPr>
          <w:p w14:paraId="158EA5B0"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RI-14. Risque de destruction des réseaux des concessionnaires et altération de la qualité de leurs services</w:t>
            </w:r>
          </w:p>
        </w:tc>
        <w:tc>
          <w:tcPr>
            <w:tcW w:w="567" w:type="dxa"/>
          </w:tcPr>
          <w:p w14:paraId="1C7712BA"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1F162F7B"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w:t>
            </w:r>
          </w:p>
        </w:tc>
        <w:tc>
          <w:tcPr>
            <w:tcW w:w="551" w:type="dxa"/>
          </w:tcPr>
          <w:p w14:paraId="31284738"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32</w:t>
            </w:r>
          </w:p>
        </w:tc>
      </w:tr>
      <w:tr w:rsidR="00BD1A2F" w:rsidRPr="009B46E2" w14:paraId="0D20CE6C" w14:textId="77777777" w:rsidTr="003B6588">
        <w:tc>
          <w:tcPr>
            <w:tcW w:w="9918" w:type="dxa"/>
            <w:gridSpan w:val="4"/>
            <w:shd w:val="clear" w:color="auto" w:fill="E2EFD9" w:themeFill="accent6" w:themeFillTint="33"/>
            <w:vAlign w:val="center"/>
          </w:tcPr>
          <w:p w14:paraId="64863EB7" w14:textId="77777777" w:rsidR="00DE241D" w:rsidRPr="0097258B" w:rsidRDefault="00DE241D" w:rsidP="00E20250">
            <w:pPr>
              <w:spacing w:line="240" w:lineRule="auto"/>
              <w:jc w:val="center"/>
              <w:rPr>
                <w:rFonts w:ascii="Times New Roman" w:hAnsi="Times New Roman"/>
                <w:b/>
                <w:bCs/>
                <w:color w:val="000000" w:themeColor="text1"/>
                <w:lang w:val="fr-FR"/>
              </w:rPr>
            </w:pPr>
            <w:r w:rsidRPr="00301AF6">
              <w:rPr>
                <w:rFonts w:ascii="Times New Roman" w:hAnsi="Times New Roman"/>
                <w:b/>
                <w:bCs/>
                <w:color w:val="000000" w:themeColor="text1"/>
                <w:lang w:val="fr-FR"/>
              </w:rPr>
              <w:t>Risques spécifiques à l’aménagement des bassins et de l’exutoire</w:t>
            </w:r>
          </w:p>
        </w:tc>
      </w:tr>
      <w:tr w:rsidR="00BD1A2F" w:rsidRPr="009B46E2" w14:paraId="37B0A64D" w14:textId="77777777" w:rsidTr="003B6588">
        <w:tc>
          <w:tcPr>
            <w:tcW w:w="8374" w:type="dxa"/>
            <w:vAlign w:val="center"/>
          </w:tcPr>
          <w:p w14:paraId="3E9BB3D7"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RI-15. Risque de pollutions des eaux de surface</w:t>
            </w:r>
          </w:p>
        </w:tc>
        <w:tc>
          <w:tcPr>
            <w:tcW w:w="567" w:type="dxa"/>
          </w:tcPr>
          <w:p w14:paraId="764F1831"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53600EE1"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551" w:type="dxa"/>
          </w:tcPr>
          <w:p w14:paraId="2727A9FA"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22</w:t>
            </w:r>
          </w:p>
        </w:tc>
      </w:tr>
      <w:tr w:rsidR="00BD1A2F" w:rsidRPr="009B46E2" w14:paraId="1956AACB" w14:textId="77777777" w:rsidTr="003B6588">
        <w:tc>
          <w:tcPr>
            <w:tcW w:w="8374" w:type="dxa"/>
            <w:vAlign w:val="center"/>
          </w:tcPr>
          <w:p w14:paraId="0EE8A095"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RI-16. Risque de pollutions des eaux souterraines</w:t>
            </w:r>
          </w:p>
        </w:tc>
        <w:tc>
          <w:tcPr>
            <w:tcW w:w="567" w:type="dxa"/>
          </w:tcPr>
          <w:p w14:paraId="0D6527FC"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7CBB9655"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551" w:type="dxa"/>
          </w:tcPr>
          <w:p w14:paraId="43832607"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22</w:t>
            </w:r>
          </w:p>
        </w:tc>
      </w:tr>
      <w:tr w:rsidR="00BD1A2F" w:rsidRPr="009B46E2" w14:paraId="19FD95D1" w14:textId="77777777" w:rsidTr="003B6588">
        <w:tc>
          <w:tcPr>
            <w:tcW w:w="9918" w:type="dxa"/>
            <w:gridSpan w:val="4"/>
            <w:shd w:val="clear" w:color="auto" w:fill="E2EFD9" w:themeFill="accent6" w:themeFillTint="33"/>
            <w:vAlign w:val="center"/>
          </w:tcPr>
          <w:p w14:paraId="2CE2F5D4" w14:textId="77777777" w:rsidR="00DE241D" w:rsidRPr="0097258B" w:rsidRDefault="00DE241D" w:rsidP="00E20250">
            <w:pPr>
              <w:spacing w:line="240" w:lineRule="auto"/>
              <w:jc w:val="center"/>
              <w:rPr>
                <w:rFonts w:ascii="Times New Roman" w:hAnsi="Times New Roman"/>
                <w:b/>
                <w:bCs/>
                <w:color w:val="000000" w:themeColor="text1"/>
                <w:lang w:val="fr-FR"/>
              </w:rPr>
            </w:pPr>
            <w:r w:rsidRPr="00301AF6">
              <w:rPr>
                <w:rFonts w:ascii="Times New Roman" w:hAnsi="Times New Roman"/>
                <w:b/>
                <w:bCs/>
                <w:color w:val="000000" w:themeColor="text1"/>
                <w:lang w:val="fr-FR"/>
              </w:rPr>
              <w:t>Risques spécifiques à l’aménagement des collecteurs</w:t>
            </w:r>
          </w:p>
        </w:tc>
      </w:tr>
      <w:tr w:rsidR="00BD1A2F" w:rsidRPr="009B46E2" w14:paraId="0AE0C14B" w14:textId="77777777" w:rsidTr="003B6588">
        <w:tc>
          <w:tcPr>
            <w:tcW w:w="8374" w:type="dxa"/>
            <w:vAlign w:val="center"/>
          </w:tcPr>
          <w:p w14:paraId="30693790"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RI-17. Risque d’interception et de pollution de la nappe des sables du Quaternaire</w:t>
            </w:r>
          </w:p>
        </w:tc>
        <w:tc>
          <w:tcPr>
            <w:tcW w:w="567" w:type="dxa"/>
          </w:tcPr>
          <w:p w14:paraId="4F855179"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489377B5"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w:t>
            </w:r>
          </w:p>
        </w:tc>
        <w:tc>
          <w:tcPr>
            <w:tcW w:w="551" w:type="dxa"/>
          </w:tcPr>
          <w:p w14:paraId="5C64320B"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32</w:t>
            </w:r>
          </w:p>
        </w:tc>
      </w:tr>
      <w:tr w:rsidR="00BD1A2F" w:rsidRPr="009B46E2" w14:paraId="131DD97E" w14:textId="77777777" w:rsidTr="003B6588">
        <w:tc>
          <w:tcPr>
            <w:tcW w:w="8374" w:type="dxa"/>
            <w:vAlign w:val="center"/>
          </w:tcPr>
          <w:p w14:paraId="6B63FFEF"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RI-18. Risque d’accidents liés aux tranchées</w:t>
            </w:r>
          </w:p>
        </w:tc>
        <w:tc>
          <w:tcPr>
            <w:tcW w:w="567" w:type="dxa"/>
          </w:tcPr>
          <w:p w14:paraId="765E5BAC"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1CEFCC66"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4</w:t>
            </w:r>
          </w:p>
        </w:tc>
        <w:tc>
          <w:tcPr>
            <w:tcW w:w="551" w:type="dxa"/>
          </w:tcPr>
          <w:p w14:paraId="368122B9"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42</w:t>
            </w:r>
          </w:p>
        </w:tc>
      </w:tr>
      <w:tr w:rsidR="00BD1A2F" w:rsidRPr="009B46E2" w14:paraId="1A7F91D6" w14:textId="77777777" w:rsidTr="003B6588">
        <w:tc>
          <w:tcPr>
            <w:tcW w:w="9918" w:type="dxa"/>
            <w:gridSpan w:val="4"/>
            <w:shd w:val="clear" w:color="auto" w:fill="E2EFD9" w:themeFill="accent6" w:themeFillTint="33"/>
            <w:vAlign w:val="center"/>
          </w:tcPr>
          <w:p w14:paraId="7B2D78C8" w14:textId="77777777" w:rsidR="00DE241D" w:rsidRPr="0097258B" w:rsidRDefault="00DE241D" w:rsidP="00E20250">
            <w:pPr>
              <w:spacing w:line="240" w:lineRule="auto"/>
              <w:rPr>
                <w:rFonts w:ascii="Times New Roman" w:hAnsi="Times New Roman"/>
                <w:b/>
                <w:bCs/>
                <w:color w:val="000000" w:themeColor="text1"/>
                <w:lang w:val="fr-FR"/>
              </w:rPr>
            </w:pPr>
            <w:r w:rsidRPr="00301AF6">
              <w:rPr>
                <w:rFonts w:ascii="Times New Roman" w:hAnsi="Times New Roman"/>
                <w:b/>
                <w:bCs/>
                <w:color w:val="000000" w:themeColor="text1"/>
                <w:lang w:val="fr-FR"/>
              </w:rPr>
              <w:t>Risques spécifiques aux aménagements urbains (voirie, éclairage public par lampadaires photovoltaïques)</w:t>
            </w:r>
          </w:p>
        </w:tc>
      </w:tr>
      <w:tr w:rsidR="00BD1A2F" w:rsidRPr="009B46E2" w14:paraId="12900677" w14:textId="77777777" w:rsidTr="003B6588">
        <w:tc>
          <w:tcPr>
            <w:tcW w:w="8374" w:type="dxa"/>
            <w:vAlign w:val="center"/>
          </w:tcPr>
          <w:p w14:paraId="2B0A77EA"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RI-19. Risque d’érosion des sols et de recul du trait de côte associé aux emprunts de sable</w:t>
            </w:r>
          </w:p>
        </w:tc>
        <w:tc>
          <w:tcPr>
            <w:tcW w:w="567" w:type="dxa"/>
          </w:tcPr>
          <w:p w14:paraId="4BA71630"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640B0288"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w:t>
            </w:r>
          </w:p>
        </w:tc>
        <w:tc>
          <w:tcPr>
            <w:tcW w:w="551" w:type="dxa"/>
          </w:tcPr>
          <w:p w14:paraId="156D061B"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32</w:t>
            </w:r>
          </w:p>
        </w:tc>
      </w:tr>
      <w:tr w:rsidR="00BD1A2F" w:rsidRPr="009B46E2" w14:paraId="15B20E3B" w14:textId="77777777" w:rsidTr="003B6588">
        <w:tc>
          <w:tcPr>
            <w:tcW w:w="8374" w:type="dxa"/>
            <w:vAlign w:val="center"/>
          </w:tcPr>
          <w:p w14:paraId="3A54AFBD"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RI-20. Risque de perte de terres arables associé à l’approvisionnement en sable</w:t>
            </w:r>
          </w:p>
        </w:tc>
        <w:tc>
          <w:tcPr>
            <w:tcW w:w="567" w:type="dxa"/>
          </w:tcPr>
          <w:p w14:paraId="5DE6BB74"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77B22A27"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551" w:type="dxa"/>
          </w:tcPr>
          <w:p w14:paraId="09081248"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22</w:t>
            </w:r>
          </w:p>
        </w:tc>
      </w:tr>
      <w:tr w:rsidR="00BD1A2F" w:rsidRPr="009B46E2" w14:paraId="545167A3" w14:textId="77777777" w:rsidTr="003B6588">
        <w:tc>
          <w:tcPr>
            <w:tcW w:w="8374" w:type="dxa"/>
            <w:vAlign w:val="center"/>
          </w:tcPr>
          <w:p w14:paraId="6AD89824"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RI-21. Risque de chute de hauteur</w:t>
            </w:r>
          </w:p>
        </w:tc>
        <w:tc>
          <w:tcPr>
            <w:tcW w:w="567" w:type="dxa"/>
          </w:tcPr>
          <w:p w14:paraId="12518B73"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5D5F83AE"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4</w:t>
            </w:r>
          </w:p>
        </w:tc>
        <w:tc>
          <w:tcPr>
            <w:tcW w:w="551" w:type="dxa"/>
          </w:tcPr>
          <w:p w14:paraId="344BA04D"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42</w:t>
            </w:r>
          </w:p>
        </w:tc>
      </w:tr>
      <w:tr w:rsidR="00BD1A2F" w:rsidRPr="009B46E2" w14:paraId="28EA144C" w14:textId="77777777" w:rsidTr="003B6588">
        <w:tc>
          <w:tcPr>
            <w:tcW w:w="9918" w:type="dxa"/>
            <w:gridSpan w:val="4"/>
            <w:shd w:val="clear" w:color="auto" w:fill="A8D08D" w:themeFill="accent6" w:themeFillTint="99"/>
            <w:vAlign w:val="center"/>
          </w:tcPr>
          <w:p w14:paraId="5201C4DC" w14:textId="5F65B743" w:rsidR="00DE241D" w:rsidRPr="0097258B" w:rsidRDefault="00DE241D" w:rsidP="00E20250">
            <w:pPr>
              <w:spacing w:line="240" w:lineRule="auto"/>
              <w:jc w:val="center"/>
              <w:rPr>
                <w:rFonts w:ascii="Times New Roman" w:hAnsi="Times New Roman"/>
                <w:b/>
                <w:bCs/>
                <w:color w:val="000000" w:themeColor="text1"/>
                <w:lang w:val="fr-FR"/>
              </w:rPr>
            </w:pPr>
            <w:r w:rsidRPr="00301AF6">
              <w:rPr>
                <w:rFonts w:ascii="Times New Roman" w:hAnsi="Times New Roman"/>
                <w:b/>
                <w:bCs/>
                <w:color w:val="000000" w:themeColor="text1"/>
                <w:lang w:val="fr-FR"/>
              </w:rPr>
              <w:t xml:space="preserve">Risques environnementaux et phase </w:t>
            </w:r>
            <w:r w:rsidR="000C0794" w:rsidRPr="00301AF6">
              <w:rPr>
                <w:rFonts w:ascii="Times New Roman" w:hAnsi="Times New Roman"/>
                <w:b/>
                <w:bCs/>
                <w:color w:val="000000" w:themeColor="text1"/>
                <w:lang w:val="fr-FR"/>
              </w:rPr>
              <w:t xml:space="preserve">de </w:t>
            </w:r>
            <w:r w:rsidRPr="00301AF6">
              <w:rPr>
                <w:rFonts w:ascii="Times New Roman" w:hAnsi="Times New Roman"/>
                <w:b/>
                <w:bCs/>
                <w:color w:val="000000" w:themeColor="text1"/>
                <w:lang w:val="fr-FR"/>
              </w:rPr>
              <w:t>repli de chantier</w:t>
            </w:r>
          </w:p>
        </w:tc>
      </w:tr>
      <w:tr w:rsidR="00BD1A2F" w:rsidRPr="009B46E2" w14:paraId="65473261" w14:textId="77777777" w:rsidTr="003B6588">
        <w:tc>
          <w:tcPr>
            <w:tcW w:w="8374" w:type="dxa"/>
            <w:vAlign w:val="center"/>
          </w:tcPr>
          <w:p w14:paraId="3719826C" w14:textId="3D00E794"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RI-22. Risque</w:t>
            </w:r>
            <w:r w:rsidRPr="00301AF6">
              <w:rPr>
                <w:rFonts w:ascii="Times New Roman" w:hAnsi="Times New Roman"/>
                <w:color w:val="000000" w:themeColor="text1"/>
                <w:lang w:val="fr-FR" w:eastAsia="fr-FR"/>
              </w:rPr>
              <w:t xml:space="preserve"> de ref</w:t>
            </w:r>
            <w:r w:rsidR="005237E4" w:rsidRPr="00301AF6">
              <w:rPr>
                <w:rFonts w:ascii="Times New Roman" w:hAnsi="Times New Roman"/>
                <w:color w:val="000000" w:themeColor="text1"/>
                <w:lang w:val="fr-FR" w:eastAsia="fr-FR"/>
              </w:rPr>
              <w:t>u</w:t>
            </w:r>
            <w:r w:rsidRPr="00301AF6">
              <w:rPr>
                <w:rFonts w:ascii="Times New Roman" w:hAnsi="Times New Roman"/>
                <w:color w:val="000000" w:themeColor="text1"/>
                <w:lang w:val="fr-FR" w:eastAsia="fr-FR"/>
              </w:rPr>
              <w:t>s/négligence de réhabilitation ou de réhabilitation partielle du site de la base de chantier</w:t>
            </w:r>
          </w:p>
        </w:tc>
        <w:tc>
          <w:tcPr>
            <w:tcW w:w="567" w:type="dxa"/>
          </w:tcPr>
          <w:p w14:paraId="68AD48C4"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w:t>
            </w:r>
          </w:p>
        </w:tc>
        <w:tc>
          <w:tcPr>
            <w:tcW w:w="426" w:type="dxa"/>
          </w:tcPr>
          <w:p w14:paraId="5ACD77BE"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w:t>
            </w:r>
          </w:p>
        </w:tc>
        <w:tc>
          <w:tcPr>
            <w:tcW w:w="551" w:type="dxa"/>
          </w:tcPr>
          <w:p w14:paraId="1777AD7C"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33</w:t>
            </w:r>
          </w:p>
        </w:tc>
      </w:tr>
      <w:tr w:rsidR="00BD1A2F" w:rsidRPr="009B46E2" w14:paraId="2A58E7AA" w14:textId="77777777" w:rsidTr="003B6588">
        <w:tc>
          <w:tcPr>
            <w:tcW w:w="8374" w:type="dxa"/>
            <w:vAlign w:val="center"/>
          </w:tcPr>
          <w:p w14:paraId="7764A640"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RI-23. Risque d’abandon de déchets sur le site et de contamination de l’environnement et des ressources</w:t>
            </w:r>
          </w:p>
        </w:tc>
        <w:tc>
          <w:tcPr>
            <w:tcW w:w="567" w:type="dxa"/>
          </w:tcPr>
          <w:p w14:paraId="6B4ADE7B"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324610FE"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551" w:type="dxa"/>
          </w:tcPr>
          <w:p w14:paraId="4506A0F0"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22</w:t>
            </w:r>
          </w:p>
        </w:tc>
      </w:tr>
      <w:tr w:rsidR="00BD1A2F" w:rsidRPr="009B46E2" w14:paraId="2287912F" w14:textId="77777777" w:rsidTr="003B6588">
        <w:tc>
          <w:tcPr>
            <w:tcW w:w="8374" w:type="dxa"/>
            <w:vAlign w:val="center"/>
          </w:tcPr>
          <w:p w14:paraId="2FBC1B62"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RI-24. Risque de défiguration du paysage et d’altération du cadre de vie par des ruines d’installations fixes</w:t>
            </w:r>
          </w:p>
        </w:tc>
        <w:tc>
          <w:tcPr>
            <w:tcW w:w="567" w:type="dxa"/>
          </w:tcPr>
          <w:p w14:paraId="5E734209"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06B93F65"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w:t>
            </w:r>
          </w:p>
        </w:tc>
        <w:tc>
          <w:tcPr>
            <w:tcW w:w="551" w:type="dxa"/>
          </w:tcPr>
          <w:p w14:paraId="0BC1BD4B"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32</w:t>
            </w:r>
          </w:p>
        </w:tc>
      </w:tr>
      <w:tr w:rsidR="00BD1A2F" w:rsidRPr="009B46E2" w14:paraId="20FD55F1" w14:textId="77777777" w:rsidTr="003B6588">
        <w:tc>
          <w:tcPr>
            <w:tcW w:w="8374" w:type="dxa"/>
            <w:vAlign w:val="center"/>
          </w:tcPr>
          <w:p w14:paraId="45D96E9F"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RI-25. Risque d’entrave/retard du retour à la nature des sites des bases de chantier</w:t>
            </w:r>
          </w:p>
        </w:tc>
        <w:tc>
          <w:tcPr>
            <w:tcW w:w="567" w:type="dxa"/>
          </w:tcPr>
          <w:p w14:paraId="4175AC98"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5A6B0D19"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551" w:type="dxa"/>
          </w:tcPr>
          <w:p w14:paraId="57E255AB"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22</w:t>
            </w:r>
          </w:p>
        </w:tc>
      </w:tr>
      <w:tr w:rsidR="00BD1A2F" w:rsidRPr="009B46E2" w14:paraId="4D265004" w14:textId="77777777" w:rsidTr="003B6588">
        <w:tc>
          <w:tcPr>
            <w:tcW w:w="8374" w:type="dxa"/>
            <w:vAlign w:val="center"/>
          </w:tcPr>
          <w:p w14:paraId="31D6C9B4"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RI-26. Risque sécuritaire à l’abandon sur site de bâtiments et/ou ruines de bâtiments</w:t>
            </w:r>
          </w:p>
        </w:tc>
        <w:tc>
          <w:tcPr>
            <w:tcW w:w="567" w:type="dxa"/>
          </w:tcPr>
          <w:p w14:paraId="1804DF5A"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w:t>
            </w:r>
          </w:p>
        </w:tc>
        <w:tc>
          <w:tcPr>
            <w:tcW w:w="426" w:type="dxa"/>
          </w:tcPr>
          <w:p w14:paraId="0DF934D3"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4</w:t>
            </w:r>
          </w:p>
        </w:tc>
        <w:tc>
          <w:tcPr>
            <w:tcW w:w="551" w:type="dxa"/>
          </w:tcPr>
          <w:p w14:paraId="2C6C2DD0"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43</w:t>
            </w:r>
          </w:p>
        </w:tc>
      </w:tr>
      <w:tr w:rsidR="00BD1A2F" w:rsidRPr="009B46E2" w14:paraId="79B04BBC" w14:textId="77777777" w:rsidTr="003B6588">
        <w:tc>
          <w:tcPr>
            <w:tcW w:w="9918" w:type="dxa"/>
            <w:gridSpan w:val="4"/>
            <w:shd w:val="clear" w:color="auto" w:fill="BDD6EE" w:themeFill="accent1" w:themeFillTint="66"/>
            <w:vAlign w:val="center"/>
          </w:tcPr>
          <w:p w14:paraId="51D87FEB" w14:textId="77777777" w:rsidR="00DE241D" w:rsidRPr="0097258B" w:rsidRDefault="00DE241D" w:rsidP="00E20250">
            <w:pPr>
              <w:spacing w:line="240" w:lineRule="auto"/>
              <w:jc w:val="center"/>
              <w:rPr>
                <w:rFonts w:ascii="Times New Roman" w:hAnsi="Times New Roman"/>
                <w:b/>
                <w:bCs/>
                <w:color w:val="000000" w:themeColor="text1"/>
                <w:lang w:val="fr-FR"/>
              </w:rPr>
            </w:pPr>
            <w:r w:rsidRPr="009B46E2">
              <w:rPr>
                <w:rFonts w:ascii="Times New Roman" w:hAnsi="Times New Roman"/>
                <w:b/>
                <w:bCs/>
                <w:color w:val="000000" w:themeColor="text1"/>
              </w:rPr>
              <w:t>Phase exploitation</w:t>
            </w:r>
          </w:p>
        </w:tc>
      </w:tr>
      <w:tr w:rsidR="00BD1A2F" w:rsidRPr="009B46E2" w14:paraId="3C614AF1" w14:textId="77777777" w:rsidTr="003B6588">
        <w:tc>
          <w:tcPr>
            <w:tcW w:w="9918" w:type="dxa"/>
            <w:gridSpan w:val="4"/>
            <w:shd w:val="clear" w:color="auto" w:fill="E2EFD9" w:themeFill="accent6" w:themeFillTint="33"/>
            <w:vAlign w:val="center"/>
          </w:tcPr>
          <w:p w14:paraId="7B5664AD" w14:textId="77777777" w:rsidR="00DE241D" w:rsidRPr="0097258B" w:rsidRDefault="00DE241D" w:rsidP="00E20250">
            <w:pPr>
              <w:spacing w:line="240" w:lineRule="auto"/>
              <w:jc w:val="center"/>
              <w:rPr>
                <w:rFonts w:ascii="Times New Roman" w:hAnsi="Times New Roman"/>
                <w:b/>
                <w:bCs/>
                <w:color w:val="000000" w:themeColor="text1"/>
                <w:lang w:val="fr-FR"/>
              </w:rPr>
            </w:pPr>
            <w:r w:rsidRPr="00301AF6">
              <w:rPr>
                <w:rFonts w:ascii="Times New Roman" w:hAnsi="Times New Roman"/>
                <w:b/>
                <w:bCs/>
                <w:color w:val="000000" w:themeColor="text1"/>
                <w:lang w:val="fr-FR"/>
              </w:rPr>
              <w:t>Risques communs aux collecteurs, bassins et exutoire</w:t>
            </w:r>
          </w:p>
        </w:tc>
      </w:tr>
      <w:tr w:rsidR="00BD1A2F" w:rsidRPr="009B46E2" w14:paraId="6AE8E4D7" w14:textId="77777777" w:rsidTr="003B6588">
        <w:tc>
          <w:tcPr>
            <w:tcW w:w="8374" w:type="dxa"/>
            <w:vAlign w:val="center"/>
          </w:tcPr>
          <w:p w14:paraId="7B84D065" w14:textId="77777777" w:rsidR="00DE241D" w:rsidRPr="0097258B" w:rsidRDefault="00DE241D" w:rsidP="00E20250">
            <w:pPr>
              <w:spacing w:line="240" w:lineRule="auto"/>
              <w:rPr>
                <w:rFonts w:ascii="Times New Roman" w:hAnsi="Times New Roman"/>
                <w:bCs/>
                <w:color w:val="000000" w:themeColor="text1"/>
                <w:lang w:val="fr-FR"/>
              </w:rPr>
            </w:pPr>
            <w:r w:rsidRPr="00301AF6">
              <w:rPr>
                <w:rFonts w:ascii="Times New Roman" w:hAnsi="Times New Roman"/>
                <w:bCs/>
                <w:color w:val="000000" w:themeColor="text1"/>
                <w:lang w:val="fr-FR"/>
              </w:rPr>
              <w:t>RI-27. Risque de prolifération de plantes aquatiques dans les bassins, les collecteurs à ciel ouvert et l’exutoire</w:t>
            </w:r>
          </w:p>
        </w:tc>
        <w:tc>
          <w:tcPr>
            <w:tcW w:w="567" w:type="dxa"/>
          </w:tcPr>
          <w:p w14:paraId="313BB285"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w:t>
            </w:r>
          </w:p>
        </w:tc>
        <w:tc>
          <w:tcPr>
            <w:tcW w:w="426" w:type="dxa"/>
          </w:tcPr>
          <w:p w14:paraId="5A3C6DA9"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w:t>
            </w:r>
          </w:p>
        </w:tc>
        <w:tc>
          <w:tcPr>
            <w:tcW w:w="551" w:type="dxa"/>
          </w:tcPr>
          <w:p w14:paraId="5B47C1F6"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33</w:t>
            </w:r>
          </w:p>
        </w:tc>
      </w:tr>
      <w:tr w:rsidR="00BD1A2F" w:rsidRPr="009B46E2" w14:paraId="4C735B4D" w14:textId="77777777" w:rsidTr="003B6588">
        <w:tc>
          <w:tcPr>
            <w:tcW w:w="8374" w:type="dxa"/>
            <w:vAlign w:val="center"/>
          </w:tcPr>
          <w:p w14:paraId="039FEA38"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RI-28. Risque de prolifération de plantes aquatiques dans les bassins</w:t>
            </w:r>
          </w:p>
        </w:tc>
        <w:tc>
          <w:tcPr>
            <w:tcW w:w="567" w:type="dxa"/>
          </w:tcPr>
          <w:p w14:paraId="28E91F37"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w:t>
            </w:r>
          </w:p>
        </w:tc>
        <w:tc>
          <w:tcPr>
            <w:tcW w:w="426" w:type="dxa"/>
          </w:tcPr>
          <w:p w14:paraId="125F55A7"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551" w:type="dxa"/>
          </w:tcPr>
          <w:p w14:paraId="6E65A4E2"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23</w:t>
            </w:r>
          </w:p>
        </w:tc>
      </w:tr>
      <w:tr w:rsidR="00BD1A2F" w:rsidRPr="009B46E2" w14:paraId="1A490F20" w14:textId="77777777" w:rsidTr="003B6588">
        <w:tc>
          <w:tcPr>
            <w:tcW w:w="8374" w:type="dxa"/>
            <w:vAlign w:val="center"/>
          </w:tcPr>
          <w:p w14:paraId="008273B7"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RI-29. Risque d’altération du cadre de vie et de défiguration du paysage par des déchets d’entretien des ouvrages</w:t>
            </w:r>
          </w:p>
        </w:tc>
        <w:tc>
          <w:tcPr>
            <w:tcW w:w="567" w:type="dxa"/>
          </w:tcPr>
          <w:p w14:paraId="279DE5AF"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6F8138DF"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w:t>
            </w:r>
          </w:p>
        </w:tc>
        <w:tc>
          <w:tcPr>
            <w:tcW w:w="551" w:type="dxa"/>
          </w:tcPr>
          <w:p w14:paraId="4B6FC799"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32</w:t>
            </w:r>
          </w:p>
        </w:tc>
      </w:tr>
      <w:tr w:rsidR="00BD1A2F" w:rsidRPr="009B46E2" w14:paraId="4AA43CFF" w14:textId="77777777" w:rsidTr="003B6588">
        <w:tc>
          <w:tcPr>
            <w:tcW w:w="8374" w:type="dxa"/>
            <w:vAlign w:val="center"/>
          </w:tcPr>
          <w:p w14:paraId="7FD61098"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RI-30. Risque de délabrement précoce des ouvrages</w:t>
            </w:r>
          </w:p>
        </w:tc>
        <w:tc>
          <w:tcPr>
            <w:tcW w:w="567" w:type="dxa"/>
          </w:tcPr>
          <w:p w14:paraId="52478C7B"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1DE52EDD"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w:t>
            </w:r>
          </w:p>
        </w:tc>
        <w:tc>
          <w:tcPr>
            <w:tcW w:w="551" w:type="dxa"/>
          </w:tcPr>
          <w:p w14:paraId="7C43A880"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32</w:t>
            </w:r>
          </w:p>
        </w:tc>
      </w:tr>
      <w:tr w:rsidR="00BD1A2F" w:rsidRPr="009B46E2" w14:paraId="07981F92" w14:textId="77777777" w:rsidTr="003B6588">
        <w:tc>
          <w:tcPr>
            <w:tcW w:w="8374" w:type="dxa"/>
            <w:vAlign w:val="center"/>
          </w:tcPr>
          <w:p w14:paraId="19C4DE47" w14:textId="77777777" w:rsidR="00DE241D" w:rsidRPr="0097258B" w:rsidRDefault="00DE241D" w:rsidP="00E20250">
            <w:pPr>
              <w:autoSpaceDE w:val="0"/>
              <w:autoSpaceDN w:val="0"/>
              <w:adjustRightInd w:val="0"/>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RI-31. Risque d’inondation du cadre de vie suite des bris de bassins et/ou collecteurs ou de débordements de ceux-ci du fait de leur sous-dimensionnement</w:t>
            </w:r>
          </w:p>
        </w:tc>
        <w:tc>
          <w:tcPr>
            <w:tcW w:w="567" w:type="dxa"/>
          </w:tcPr>
          <w:p w14:paraId="309002E4" w14:textId="77777777" w:rsidR="00DE241D" w:rsidRPr="0097258B" w:rsidRDefault="00DE241D" w:rsidP="00E20250">
            <w:pPr>
              <w:spacing w:line="240" w:lineRule="auto"/>
              <w:rPr>
                <w:rFonts w:ascii="Times New Roman" w:hAnsi="Times New Roman"/>
                <w:b/>
                <w:bCs/>
                <w:color w:val="000000" w:themeColor="text1"/>
                <w:lang w:val="fr-FR"/>
              </w:rPr>
            </w:pPr>
          </w:p>
          <w:p w14:paraId="1FCBA80B"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62FA5ED9" w14:textId="77777777" w:rsidR="00DE241D" w:rsidRPr="0097258B" w:rsidRDefault="00DE241D" w:rsidP="00E20250">
            <w:pPr>
              <w:spacing w:line="240" w:lineRule="auto"/>
              <w:rPr>
                <w:rFonts w:ascii="Times New Roman" w:hAnsi="Times New Roman"/>
                <w:b/>
                <w:bCs/>
                <w:color w:val="000000" w:themeColor="text1"/>
                <w:lang w:val="fr-FR"/>
              </w:rPr>
            </w:pPr>
          </w:p>
          <w:p w14:paraId="3A159528"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w:t>
            </w:r>
          </w:p>
        </w:tc>
        <w:tc>
          <w:tcPr>
            <w:tcW w:w="551" w:type="dxa"/>
          </w:tcPr>
          <w:p w14:paraId="6907EFB4" w14:textId="77777777" w:rsidR="00DE241D" w:rsidRPr="0097258B" w:rsidRDefault="00DE241D" w:rsidP="00E20250">
            <w:pPr>
              <w:spacing w:line="240" w:lineRule="auto"/>
              <w:rPr>
                <w:rFonts w:ascii="Times New Roman" w:hAnsi="Times New Roman"/>
                <w:b/>
                <w:bCs/>
                <w:color w:val="000000" w:themeColor="text1"/>
                <w:lang w:val="fr-FR"/>
              </w:rPr>
            </w:pPr>
          </w:p>
          <w:p w14:paraId="7083B3DD"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32</w:t>
            </w:r>
          </w:p>
        </w:tc>
      </w:tr>
      <w:tr w:rsidR="00BD1A2F" w:rsidRPr="009B46E2" w14:paraId="017F97A9" w14:textId="77777777" w:rsidTr="003B6588">
        <w:tc>
          <w:tcPr>
            <w:tcW w:w="9918" w:type="dxa"/>
            <w:gridSpan w:val="4"/>
            <w:shd w:val="clear" w:color="auto" w:fill="E2EFD9" w:themeFill="accent6" w:themeFillTint="33"/>
            <w:vAlign w:val="center"/>
          </w:tcPr>
          <w:p w14:paraId="71FFE84C" w14:textId="77777777" w:rsidR="00DE241D" w:rsidRPr="0097258B" w:rsidRDefault="00DE241D" w:rsidP="00E20250">
            <w:pPr>
              <w:spacing w:line="240" w:lineRule="auto"/>
              <w:jc w:val="center"/>
              <w:rPr>
                <w:rFonts w:ascii="Times New Roman" w:hAnsi="Times New Roman"/>
                <w:b/>
                <w:bCs/>
                <w:color w:val="000000" w:themeColor="text1"/>
                <w:lang w:val="fr-FR"/>
              </w:rPr>
            </w:pPr>
            <w:r w:rsidRPr="00301AF6">
              <w:rPr>
                <w:rFonts w:ascii="Times New Roman" w:hAnsi="Times New Roman"/>
                <w:b/>
                <w:bCs/>
                <w:color w:val="000000" w:themeColor="text1"/>
                <w:lang w:val="fr-FR"/>
              </w:rPr>
              <w:t>Risques spécifiques au fonctionnement des collecteurs</w:t>
            </w:r>
          </w:p>
        </w:tc>
      </w:tr>
      <w:tr w:rsidR="00BD1A2F" w:rsidRPr="009B46E2" w14:paraId="3320A3A7" w14:textId="77777777" w:rsidTr="003B6588">
        <w:tc>
          <w:tcPr>
            <w:tcW w:w="8374" w:type="dxa"/>
            <w:vAlign w:val="center"/>
          </w:tcPr>
          <w:p w14:paraId="16E9DF2D" w14:textId="66C100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RI-25. Risque de branchements clandestins d’ouvrage d’assainissement individuel aux collecteurs</w:t>
            </w:r>
          </w:p>
        </w:tc>
        <w:tc>
          <w:tcPr>
            <w:tcW w:w="567" w:type="dxa"/>
          </w:tcPr>
          <w:p w14:paraId="25237E58"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5DB2AF66"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w:t>
            </w:r>
          </w:p>
        </w:tc>
        <w:tc>
          <w:tcPr>
            <w:tcW w:w="551" w:type="dxa"/>
          </w:tcPr>
          <w:p w14:paraId="2AFFD1CE"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32</w:t>
            </w:r>
          </w:p>
        </w:tc>
      </w:tr>
      <w:tr w:rsidR="00BD1A2F" w:rsidRPr="009B46E2" w14:paraId="12103391" w14:textId="77777777" w:rsidTr="003B6588">
        <w:tc>
          <w:tcPr>
            <w:tcW w:w="8374" w:type="dxa"/>
            <w:vAlign w:val="center"/>
          </w:tcPr>
          <w:p w14:paraId="06331304"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RI-33.</w:t>
            </w:r>
            <w:r w:rsidRPr="00301AF6">
              <w:rPr>
                <w:rFonts w:ascii="Times New Roman" w:hAnsi="Times New Roman"/>
                <w:i/>
                <w:iCs/>
                <w:color w:val="000000" w:themeColor="text1"/>
                <w:lang w:val="fr-FR"/>
              </w:rPr>
              <w:t xml:space="preserve"> </w:t>
            </w:r>
            <w:r w:rsidRPr="00301AF6">
              <w:rPr>
                <w:rFonts w:ascii="Times New Roman" w:hAnsi="Times New Roman"/>
                <w:color w:val="000000" w:themeColor="text1"/>
                <w:lang w:val="fr-FR"/>
              </w:rPr>
              <w:t>Risque d’obstruction des collecteurs à ciel ouvert par des déchets solides et/la végétation</w:t>
            </w:r>
          </w:p>
        </w:tc>
        <w:tc>
          <w:tcPr>
            <w:tcW w:w="567" w:type="dxa"/>
          </w:tcPr>
          <w:p w14:paraId="706D2FA8"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27CA2A82"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w:t>
            </w:r>
          </w:p>
        </w:tc>
        <w:tc>
          <w:tcPr>
            <w:tcW w:w="551" w:type="dxa"/>
          </w:tcPr>
          <w:p w14:paraId="11CD750D"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32</w:t>
            </w:r>
          </w:p>
        </w:tc>
      </w:tr>
      <w:tr w:rsidR="00BD1A2F" w:rsidRPr="009B46E2" w14:paraId="42E33AE0" w14:textId="77777777" w:rsidTr="003B6588">
        <w:tc>
          <w:tcPr>
            <w:tcW w:w="9918" w:type="dxa"/>
            <w:gridSpan w:val="4"/>
            <w:shd w:val="clear" w:color="auto" w:fill="E2EFD9" w:themeFill="accent6" w:themeFillTint="33"/>
            <w:vAlign w:val="center"/>
          </w:tcPr>
          <w:p w14:paraId="1296EBDD" w14:textId="77777777" w:rsidR="00DE241D" w:rsidRPr="0097258B" w:rsidRDefault="00DE241D" w:rsidP="00E20250">
            <w:pPr>
              <w:spacing w:line="240" w:lineRule="auto"/>
              <w:jc w:val="center"/>
              <w:rPr>
                <w:rFonts w:ascii="Times New Roman" w:hAnsi="Times New Roman"/>
                <w:b/>
                <w:bCs/>
                <w:color w:val="000000" w:themeColor="text1"/>
                <w:lang w:val="fr-FR"/>
              </w:rPr>
            </w:pPr>
            <w:r w:rsidRPr="00301AF6">
              <w:rPr>
                <w:rFonts w:ascii="Times New Roman" w:hAnsi="Times New Roman"/>
                <w:b/>
                <w:bCs/>
                <w:color w:val="000000" w:themeColor="text1"/>
                <w:lang w:val="fr-FR"/>
              </w:rPr>
              <w:t>Risques spécifiques aux bassins et à l’exutoire</w:t>
            </w:r>
          </w:p>
        </w:tc>
      </w:tr>
      <w:tr w:rsidR="00BD1A2F" w:rsidRPr="009B46E2" w14:paraId="76F975C5" w14:textId="77777777" w:rsidTr="003B6588">
        <w:trPr>
          <w:trHeight w:val="221"/>
        </w:trPr>
        <w:tc>
          <w:tcPr>
            <w:tcW w:w="8374" w:type="dxa"/>
            <w:vAlign w:val="center"/>
          </w:tcPr>
          <w:p w14:paraId="2256890E"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RI-34. Risque pollution et/ou d’aggravation de la pollution des eaux de surface (bassins et de l’exutoire)</w:t>
            </w:r>
          </w:p>
        </w:tc>
        <w:tc>
          <w:tcPr>
            <w:tcW w:w="567" w:type="dxa"/>
          </w:tcPr>
          <w:p w14:paraId="6CD4A437"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w:t>
            </w:r>
          </w:p>
        </w:tc>
        <w:tc>
          <w:tcPr>
            <w:tcW w:w="426" w:type="dxa"/>
          </w:tcPr>
          <w:p w14:paraId="34ACD2C9"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w:t>
            </w:r>
          </w:p>
        </w:tc>
        <w:tc>
          <w:tcPr>
            <w:tcW w:w="551" w:type="dxa"/>
          </w:tcPr>
          <w:p w14:paraId="651F25C9"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33</w:t>
            </w:r>
          </w:p>
        </w:tc>
      </w:tr>
      <w:tr w:rsidR="00BD1A2F" w:rsidRPr="009B46E2" w14:paraId="76586400" w14:textId="77777777" w:rsidTr="003B6588">
        <w:tc>
          <w:tcPr>
            <w:tcW w:w="8374" w:type="dxa"/>
            <w:vAlign w:val="center"/>
          </w:tcPr>
          <w:p w14:paraId="5B27FA08" w14:textId="77777777" w:rsidR="00DE241D" w:rsidRPr="0097258B" w:rsidRDefault="00DE241D" w:rsidP="00E20250">
            <w:pPr>
              <w:spacing w:line="240" w:lineRule="auto"/>
              <w:rPr>
                <w:rFonts w:ascii="Times New Roman" w:hAnsi="Times New Roman"/>
                <w:bCs/>
                <w:color w:val="000000" w:themeColor="text1"/>
                <w:lang w:val="fr-FR"/>
              </w:rPr>
            </w:pPr>
            <w:r w:rsidRPr="00301AF6">
              <w:rPr>
                <w:rFonts w:ascii="Times New Roman" w:hAnsi="Times New Roman"/>
                <w:bCs/>
                <w:iCs/>
                <w:color w:val="000000" w:themeColor="text1"/>
                <w:lang w:val="fr-FR"/>
              </w:rPr>
              <w:lastRenderedPageBreak/>
              <w:t>RI-35. Risque de pollution des nappes</w:t>
            </w:r>
          </w:p>
        </w:tc>
        <w:tc>
          <w:tcPr>
            <w:tcW w:w="567" w:type="dxa"/>
          </w:tcPr>
          <w:p w14:paraId="27AFDB4D" w14:textId="77777777" w:rsidR="00DE241D" w:rsidRPr="0097258B" w:rsidRDefault="00DE241D" w:rsidP="00E20250">
            <w:pPr>
              <w:spacing w:line="240" w:lineRule="auto"/>
              <w:rPr>
                <w:rFonts w:ascii="Times New Roman" w:hAnsi="Times New Roman"/>
                <w:bCs/>
                <w:color w:val="000000" w:themeColor="text1"/>
                <w:lang w:val="fr-FR"/>
              </w:rPr>
            </w:pPr>
            <w:r w:rsidRPr="009B46E2">
              <w:rPr>
                <w:rFonts w:ascii="Times New Roman" w:hAnsi="Times New Roman"/>
                <w:bCs/>
                <w:color w:val="000000" w:themeColor="text1"/>
              </w:rPr>
              <w:t>3</w:t>
            </w:r>
          </w:p>
        </w:tc>
        <w:tc>
          <w:tcPr>
            <w:tcW w:w="426" w:type="dxa"/>
          </w:tcPr>
          <w:p w14:paraId="207CDD03" w14:textId="77777777" w:rsidR="00DE241D" w:rsidRPr="0097258B" w:rsidRDefault="00DE241D" w:rsidP="00E20250">
            <w:pPr>
              <w:spacing w:line="240" w:lineRule="auto"/>
              <w:rPr>
                <w:rFonts w:ascii="Times New Roman" w:hAnsi="Times New Roman"/>
                <w:bCs/>
                <w:color w:val="000000" w:themeColor="text1"/>
                <w:lang w:val="fr-FR"/>
              </w:rPr>
            </w:pPr>
            <w:r w:rsidRPr="009B46E2">
              <w:rPr>
                <w:rFonts w:ascii="Times New Roman" w:hAnsi="Times New Roman"/>
                <w:bCs/>
                <w:color w:val="000000" w:themeColor="text1"/>
              </w:rPr>
              <w:t>3</w:t>
            </w:r>
          </w:p>
        </w:tc>
        <w:tc>
          <w:tcPr>
            <w:tcW w:w="551" w:type="dxa"/>
          </w:tcPr>
          <w:p w14:paraId="71376CDE" w14:textId="77777777" w:rsidR="00DE241D" w:rsidRPr="0097258B" w:rsidRDefault="00DE241D" w:rsidP="00E20250">
            <w:pPr>
              <w:spacing w:line="240" w:lineRule="auto"/>
              <w:rPr>
                <w:rFonts w:ascii="Times New Roman" w:hAnsi="Times New Roman"/>
                <w:bCs/>
                <w:color w:val="000000" w:themeColor="text1"/>
                <w:lang w:val="fr-FR"/>
              </w:rPr>
            </w:pPr>
            <w:r w:rsidRPr="009B46E2">
              <w:rPr>
                <w:rFonts w:ascii="Times New Roman" w:hAnsi="Times New Roman"/>
                <w:bCs/>
                <w:color w:val="000000" w:themeColor="text1"/>
              </w:rPr>
              <w:t>33</w:t>
            </w:r>
          </w:p>
        </w:tc>
      </w:tr>
      <w:tr w:rsidR="00BD1A2F" w:rsidRPr="009B46E2" w14:paraId="08DAB6CA" w14:textId="77777777" w:rsidTr="003B6588">
        <w:tc>
          <w:tcPr>
            <w:tcW w:w="8374" w:type="dxa"/>
            <w:vAlign w:val="center"/>
          </w:tcPr>
          <w:p w14:paraId="38014ECF"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RI-36. Risques d’occupation anarchique des terres récupérées par les populations</w:t>
            </w:r>
          </w:p>
        </w:tc>
        <w:tc>
          <w:tcPr>
            <w:tcW w:w="567" w:type="dxa"/>
          </w:tcPr>
          <w:p w14:paraId="253929F3"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1D0B2573"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w:t>
            </w:r>
          </w:p>
        </w:tc>
        <w:tc>
          <w:tcPr>
            <w:tcW w:w="551" w:type="dxa"/>
          </w:tcPr>
          <w:p w14:paraId="4FA85BE8"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32</w:t>
            </w:r>
          </w:p>
        </w:tc>
      </w:tr>
      <w:tr w:rsidR="00BD1A2F" w:rsidRPr="009B46E2" w14:paraId="2C8AB5A3" w14:textId="77777777" w:rsidTr="003B6588">
        <w:tc>
          <w:tcPr>
            <w:tcW w:w="8374" w:type="dxa"/>
            <w:vAlign w:val="center"/>
          </w:tcPr>
          <w:p w14:paraId="49A31F40"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RI-37. Risque de noyades dans les bassins</w:t>
            </w:r>
          </w:p>
        </w:tc>
        <w:tc>
          <w:tcPr>
            <w:tcW w:w="567" w:type="dxa"/>
          </w:tcPr>
          <w:p w14:paraId="11F2B91D"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27B43F5D"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4</w:t>
            </w:r>
          </w:p>
        </w:tc>
        <w:tc>
          <w:tcPr>
            <w:tcW w:w="551" w:type="dxa"/>
          </w:tcPr>
          <w:p w14:paraId="48EFA49B"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42</w:t>
            </w:r>
          </w:p>
        </w:tc>
      </w:tr>
      <w:tr w:rsidR="00BD1A2F" w:rsidRPr="009B46E2" w14:paraId="68B31507" w14:textId="77777777" w:rsidTr="003B6588">
        <w:tc>
          <w:tcPr>
            <w:tcW w:w="9918" w:type="dxa"/>
            <w:gridSpan w:val="4"/>
            <w:shd w:val="clear" w:color="auto" w:fill="E2EFD9" w:themeFill="accent6" w:themeFillTint="33"/>
            <w:vAlign w:val="center"/>
          </w:tcPr>
          <w:p w14:paraId="6066F432" w14:textId="77777777" w:rsidR="00DE241D" w:rsidRPr="0097258B" w:rsidRDefault="00DE241D" w:rsidP="00E20250">
            <w:pPr>
              <w:spacing w:line="240" w:lineRule="auto"/>
              <w:jc w:val="center"/>
              <w:rPr>
                <w:rFonts w:ascii="Times New Roman" w:hAnsi="Times New Roman"/>
                <w:b/>
                <w:bCs/>
                <w:color w:val="000000" w:themeColor="text1"/>
                <w:lang w:val="fr-FR"/>
              </w:rPr>
            </w:pPr>
            <w:r w:rsidRPr="00301AF6">
              <w:rPr>
                <w:rFonts w:ascii="Times New Roman" w:hAnsi="Times New Roman"/>
                <w:b/>
                <w:bCs/>
                <w:color w:val="000000" w:themeColor="text1"/>
                <w:lang w:val="fr-FR"/>
              </w:rPr>
              <w:t>Risques spécifiques au fonctionnement de la station de pompage</w:t>
            </w:r>
          </w:p>
        </w:tc>
      </w:tr>
      <w:tr w:rsidR="00BD1A2F" w:rsidRPr="009B46E2" w14:paraId="3B3948AF" w14:textId="77777777" w:rsidTr="003B6588">
        <w:tc>
          <w:tcPr>
            <w:tcW w:w="8374" w:type="dxa"/>
            <w:vAlign w:val="center"/>
          </w:tcPr>
          <w:p w14:paraId="393A98D7"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color w:val="000000" w:themeColor="text1"/>
                <w:lang w:val="fr-FR"/>
              </w:rPr>
              <w:t xml:space="preserve">RI-38. Risque de pollution des eaux </w:t>
            </w:r>
            <w:proofErr w:type="gramStart"/>
            <w:r w:rsidRPr="00301AF6">
              <w:rPr>
                <w:rFonts w:ascii="Times New Roman" w:hAnsi="Times New Roman"/>
                <w:color w:val="000000" w:themeColor="text1"/>
                <w:lang w:val="fr-FR"/>
              </w:rPr>
              <w:t>suite à des</w:t>
            </w:r>
            <w:proofErr w:type="gramEnd"/>
            <w:r w:rsidRPr="00301AF6">
              <w:rPr>
                <w:rFonts w:ascii="Times New Roman" w:hAnsi="Times New Roman"/>
                <w:color w:val="000000" w:themeColor="text1"/>
                <w:lang w:val="fr-FR"/>
              </w:rPr>
              <w:t xml:space="preserve"> fuites et/ou déversements de polluant dans la station de pompage</w:t>
            </w:r>
          </w:p>
        </w:tc>
        <w:tc>
          <w:tcPr>
            <w:tcW w:w="567" w:type="dxa"/>
          </w:tcPr>
          <w:p w14:paraId="18064E25"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44F09358"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4</w:t>
            </w:r>
          </w:p>
        </w:tc>
        <w:tc>
          <w:tcPr>
            <w:tcW w:w="551" w:type="dxa"/>
          </w:tcPr>
          <w:p w14:paraId="5C516FC2"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42</w:t>
            </w:r>
          </w:p>
        </w:tc>
      </w:tr>
      <w:tr w:rsidR="00BD1A2F" w:rsidRPr="009B46E2" w14:paraId="2FD7BA4D" w14:textId="77777777" w:rsidTr="003B6588">
        <w:tc>
          <w:tcPr>
            <w:tcW w:w="8374" w:type="dxa"/>
            <w:vAlign w:val="center"/>
          </w:tcPr>
          <w:p w14:paraId="1FA627EF" w14:textId="77777777" w:rsidR="00DE241D" w:rsidRPr="0097258B" w:rsidRDefault="00DE241D" w:rsidP="00E20250">
            <w:pPr>
              <w:spacing w:line="240" w:lineRule="auto"/>
              <w:rPr>
                <w:rFonts w:ascii="Times New Roman" w:hAnsi="Times New Roman"/>
                <w:color w:val="000000" w:themeColor="text1"/>
                <w:lang w:val="fr-FR"/>
              </w:rPr>
            </w:pPr>
            <w:r w:rsidRPr="00301AF6">
              <w:rPr>
                <w:rFonts w:ascii="Times New Roman" w:hAnsi="Times New Roman"/>
                <w:iCs/>
                <w:color w:val="000000" w:themeColor="text1"/>
                <w:lang w:val="fr-FR"/>
              </w:rPr>
              <w:t>RI-39. Risque de pannes intempestives de la pompe</w:t>
            </w:r>
          </w:p>
        </w:tc>
        <w:tc>
          <w:tcPr>
            <w:tcW w:w="567" w:type="dxa"/>
          </w:tcPr>
          <w:p w14:paraId="4456C4CE"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2</w:t>
            </w:r>
          </w:p>
        </w:tc>
        <w:tc>
          <w:tcPr>
            <w:tcW w:w="426" w:type="dxa"/>
          </w:tcPr>
          <w:p w14:paraId="4FC8E987"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4</w:t>
            </w:r>
          </w:p>
        </w:tc>
        <w:tc>
          <w:tcPr>
            <w:tcW w:w="551" w:type="dxa"/>
          </w:tcPr>
          <w:p w14:paraId="69B3BFF3" w14:textId="77777777" w:rsidR="00DE241D" w:rsidRPr="0097258B" w:rsidRDefault="00DE241D" w:rsidP="00E20250">
            <w:pPr>
              <w:spacing w:line="240" w:lineRule="auto"/>
              <w:rPr>
                <w:rFonts w:ascii="Times New Roman" w:hAnsi="Times New Roman"/>
                <w:b/>
                <w:bCs/>
                <w:color w:val="000000" w:themeColor="text1"/>
                <w:lang w:val="fr-FR"/>
              </w:rPr>
            </w:pPr>
            <w:r w:rsidRPr="009B46E2">
              <w:rPr>
                <w:rFonts w:ascii="Times New Roman" w:hAnsi="Times New Roman"/>
                <w:b/>
                <w:bCs/>
                <w:color w:val="000000" w:themeColor="text1"/>
              </w:rPr>
              <w:t>42</w:t>
            </w:r>
          </w:p>
        </w:tc>
      </w:tr>
    </w:tbl>
    <w:p w14:paraId="0212DA78" w14:textId="77777777" w:rsidR="00DE241D" w:rsidRPr="00260790" w:rsidRDefault="00DE241D" w:rsidP="00E20250">
      <w:pPr>
        <w:spacing w:line="240" w:lineRule="auto"/>
        <w:jc w:val="both"/>
        <w:rPr>
          <w:rFonts w:ascii="Times New Roman" w:hAnsi="Times New Roman"/>
          <w:b/>
          <w:bCs/>
          <w:i/>
          <w:iCs/>
          <w:color w:val="000000" w:themeColor="text1"/>
        </w:rPr>
      </w:pPr>
    </w:p>
    <w:p w14:paraId="2853CD71" w14:textId="38EBE18E" w:rsidR="00DE241D" w:rsidRPr="0097258B" w:rsidRDefault="00DE241D" w:rsidP="0097258B">
      <w:pPr>
        <w:pStyle w:val="CHAPITRE1"/>
        <w:numPr>
          <w:ilvl w:val="2"/>
          <w:numId w:val="381"/>
        </w:numPr>
        <w:rPr>
          <w:rFonts w:cs="Times New Roman"/>
          <w:i/>
          <w:iCs/>
        </w:rPr>
      </w:pPr>
      <w:bookmarkStart w:id="673" w:name="_Toc212725140"/>
      <w:r w:rsidRPr="0097258B">
        <w:rPr>
          <w:rFonts w:cs="Times New Roman"/>
          <w:i/>
          <w:iCs/>
        </w:rPr>
        <w:t>Vulnérabilité du projet aux changements climatique</w:t>
      </w:r>
      <w:r w:rsidR="00C62870" w:rsidRPr="0097258B">
        <w:rPr>
          <w:rFonts w:cs="Times New Roman"/>
          <w:i/>
          <w:iCs/>
        </w:rPr>
        <w:t>s</w:t>
      </w:r>
      <w:r w:rsidRPr="0097258B">
        <w:rPr>
          <w:rFonts w:cs="Times New Roman"/>
          <w:i/>
          <w:iCs/>
        </w:rPr>
        <w:t xml:space="preserve"> et des risques associés</w:t>
      </w:r>
      <w:bookmarkEnd w:id="673"/>
    </w:p>
    <w:p w14:paraId="31FD2319"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Selon le rapport du Groupe d’experts intergouvernemental sur l’évolution (GIEC-2007), le réchauffement climatique est sans équivoque à l’échelle du globe. Il se manifeste par une hausse des températures moyennes de l’atmosphère et de l’océan, une fonte massive de la neige et de la glace, et une élévation du niveau moyen de la mer.</w:t>
      </w:r>
    </w:p>
    <w:p w14:paraId="573845A8" w14:textId="1E96D39B"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Selon le GTZ, en réponse à l’augmentation des concentrations en gaz à effet de serre (GES), la température de l’air devrait augmenter au Sénégal de l’ordre 1,8 °C à 3,6 °C (fourchette très probable) d’ici à 2080 par rapport à l’année 1876, en fonction des différents scénarios d’émissions de GES considérés par l’Agence (GTZ) pour dresser le profil des risques climatiques au Sénégal. La médiane des hausses de température des modèles climatiques du pays par rapport aux niveaux préindustriels devrait atteindre environ 1,7 °C en 2030 ; 2,1 °C en 2050 et 2,2 °C en 2080 en vertu du scénario de réduction des émissions (RCP</w:t>
      </w:r>
      <w:r w:rsidRPr="00260790">
        <w:rPr>
          <w:rStyle w:val="Appelnotedebasdep"/>
          <w:rFonts w:ascii="Times New Roman" w:hAnsi="Times New Roman"/>
          <w:color w:val="000000" w:themeColor="text1"/>
        </w:rPr>
        <w:footnoteReference w:id="4"/>
      </w:r>
      <w:r w:rsidRPr="00260790">
        <w:rPr>
          <w:rFonts w:ascii="Times New Roman" w:hAnsi="Times New Roman"/>
          <w:color w:val="000000" w:themeColor="text1"/>
        </w:rPr>
        <w:t>2.6). Pour le scénario d’émissions moyennes à élev</w:t>
      </w:r>
      <w:r w:rsidR="00C62870" w:rsidRPr="00260790">
        <w:rPr>
          <w:rFonts w:ascii="Times New Roman" w:hAnsi="Times New Roman"/>
          <w:color w:val="000000" w:themeColor="text1"/>
        </w:rPr>
        <w:t>ées</w:t>
      </w:r>
      <w:r w:rsidRPr="00260790">
        <w:rPr>
          <w:rFonts w:ascii="Times New Roman" w:hAnsi="Times New Roman"/>
          <w:color w:val="000000" w:themeColor="text1"/>
        </w:rPr>
        <w:t xml:space="preserve"> (RCP6.0), la médiane des hausses de température des modèles climatiques atteindra à 1,8 °C en 2030, à 2,2 °C en 2050 et à 3,3 °C.</w:t>
      </w:r>
    </w:p>
    <w:p w14:paraId="24D51420"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Corrélativement à la hausse des températures moyennes annuelles, le nombre de journées très chaudes par an (température maximale dépassant 35 °C) devrait augmenter fortement, un degré de certitude élevé en particulier dans les parties ouest et sud du Sénégal. La médiane de l’ensemble des modèles prévoit 31 journées très chaudes supplémentaires par an en 2030 par rapport à 2000, 47 en 2050 et 82 en 2080. </w:t>
      </w:r>
    </w:p>
    <w:p w14:paraId="5B5388D8" w14:textId="26C9EBF2" w:rsidR="00F83414" w:rsidRPr="00260790" w:rsidRDefault="00DE241D" w:rsidP="0097258B">
      <w:pPr>
        <w:spacing w:line="240" w:lineRule="auto"/>
        <w:jc w:val="both"/>
        <w:rPr>
          <w:rStyle w:val="markedcontent"/>
          <w:rFonts w:ascii="Times New Roman" w:hAnsi="Times New Roman"/>
          <w:b/>
          <w:i/>
          <w:iCs/>
          <w:color w:val="000000" w:themeColor="text1"/>
        </w:rPr>
      </w:pPr>
      <w:r w:rsidRPr="00260790">
        <w:rPr>
          <w:rFonts w:ascii="Times New Roman" w:hAnsi="Times New Roman"/>
          <w:color w:val="000000" w:themeColor="text1"/>
        </w:rPr>
        <w:t xml:space="preserve">Pour ce qui est précipitations au Sénégal, sur les quatre modèles climatiques utilisés par le GTZ, trois prévoient une baisse des précipitations moyennes annuelles ; et un, une hausse. La médiane des projections des modèles table sur une baisse de 105 mm vers 2065, suivie d’une hausse et d’une baisse générale de 53 mm d’ici à 2080, par rapport à l’an 2000 (RCP6.0). En vertu du RCP2.6, la médiane des projections indique une tendance à la hausse vers 2028 à la suite de laquelle les niveaux de précipitations commenceront à décliner pour atteindre une baisse de 33 mm à la fin du siècle et par rapport à l’an 2000. </w:t>
      </w:r>
    </w:p>
    <w:p w14:paraId="04E240D2" w14:textId="2AF3F84E" w:rsidR="00DE241D" w:rsidRPr="00260790" w:rsidRDefault="00DE241D" w:rsidP="001748C6">
      <w:pPr>
        <w:pStyle w:val="Paragraphedeliste"/>
        <w:numPr>
          <w:ilvl w:val="0"/>
          <w:numId w:val="274"/>
        </w:numPr>
        <w:spacing w:before="160" w:line="240" w:lineRule="auto"/>
        <w:contextualSpacing w:val="0"/>
        <w:jc w:val="both"/>
        <w:rPr>
          <w:rStyle w:val="markedcontent"/>
          <w:rFonts w:ascii="Times New Roman" w:hAnsi="Times New Roman"/>
          <w:i/>
          <w:iCs/>
          <w:color w:val="000000" w:themeColor="text1"/>
        </w:rPr>
      </w:pPr>
      <w:r w:rsidRPr="00260790">
        <w:rPr>
          <w:rStyle w:val="markedcontent"/>
          <w:rFonts w:ascii="Times New Roman" w:hAnsi="Times New Roman"/>
          <w:b/>
          <w:i/>
          <w:iCs/>
          <w:color w:val="000000" w:themeColor="text1"/>
        </w:rPr>
        <w:t xml:space="preserve">RI-29. Risque d’augmentation du volume d’eaux pluviales à drainer </w:t>
      </w:r>
    </w:p>
    <w:p w14:paraId="76DD744E" w14:textId="77777777" w:rsidR="00DE241D" w:rsidRPr="00260790" w:rsidRDefault="00DE241D" w:rsidP="00E20250">
      <w:pPr>
        <w:spacing w:before="160" w:line="240" w:lineRule="auto"/>
        <w:jc w:val="both"/>
        <w:rPr>
          <w:rFonts w:ascii="Times New Roman" w:hAnsi="Times New Roman"/>
          <w:color w:val="000000" w:themeColor="text1"/>
        </w:rPr>
      </w:pPr>
      <w:r w:rsidRPr="00260790">
        <w:rPr>
          <w:rStyle w:val="markedcontent"/>
          <w:rFonts w:ascii="Times New Roman" w:hAnsi="Times New Roman"/>
          <w:color w:val="000000" w:themeColor="text1"/>
        </w:rPr>
        <w:t xml:space="preserve">Comme mentionné plus haut, </w:t>
      </w:r>
      <w:r w:rsidRPr="00260790">
        <w:rPr>
          <w:rFonts w:ascii="Times New Roman" w:hAnsi="Times New Roman"/>
          <w:color w:val="000000" w:themeColor="text1"/>
        </w:rPr>
        <w:t xml:space="preserve">en vertu du RCP2.6, la médiane des projections indique une tendance à la hausse des précipitations vers 2028. Une telle situation aura comme implication, de pluies importantes d’eau à drainer par les collecteurs et à stocker dans les bassins. </w:t>
      </w:r>
    </w:p>
    <w:p w14:paraId="28C3C122" w14:textId="1B40A413" w:rsidR="00DE241D" w:rsidRPr="00260790" w:rsidRDefault="00DE241D" w:rsidP="00E20250">
      <w:pPr>
        <w:spacing w:before="160" w:line="240" w:lineRule="auto"/>
        <w:jc w:val="both"/>
        <w:rPr>
          <w:rFonts w:ascii="Times New Roman" w:hAnsi="Times New Roman"/>
          <w:color w:val="000000" w:themeColor="text1"/>
        </w:rPr>
      </w:pPr>
      <w:r w:rsidRPr="00260790">
        <w:rPr>
          <w:rFonts w:ascii="Times New Roman" w:hAnsi="Times New Roman"/>
          <w:color w:val="000000" w:themeColor="text1"/>
        </w:rPr>
        <w:t xml:space="preserve">Ce scénario devra donc être pris en compte dans le dimensionnement des ouvrages. </w:t>
      </w:r>
      <w:r w:rsidR="009965A6" w:rsidRPr="00260790">
        <w:rPr>
          <w:rFonts w:ascii="Times New Roman" w:hAnsi="Times New Roman"/>
          <w:color w:val="000000" w:themeColor="text1"/>
        </w:rPr>
        <w:t>À</w:t>
      </w:r>
      <w:r w:rsidRPr="00260790">
        <w:rPr>
          <w:rFonts w:ascii="Times New Roman" w:hAnsi="Times New Roman"/>
          <w:color w:val="000000" w:themeColor="text1"/>
        </w:rPr>
        <w:t xml:space="preserve"> défaut on pourrait assister à des dépassements de capacité des ouvrages et des inondations du cadre de vie, ce qui serait contraire aux objectifs visés par le PROGEP.</w:t>
      </w:r>
    </w:p>
    <w:p w14:paraId="78D5054C" w14:textId="54813E2C" w:rsidR="00DE241D" w:rsidRPr="00260790" w:rsidRDefault="00DE241D" w:rsidP="001A020A">
      <w:pPr>
        <w:pStyle w:val="Lgende"/>
        <w:spacing w:line="240" w:lineRule="auto"/>
        <w:jc w:val="both"/>
        <w:rPr>
          <w:rStyle w:val="markedcontent"/>
          <w:color w:val="000000" w:themeColor="text1"/>
          <w:sz w:val="22"/>
          <w:szCs w:val="22"/>
        </w:rPr>
      </w:pPr>
      <w:bookmarkStart w:id="674" w:name="_Toc207781928"/>
      <w:r w:rsidRPr="00260790">
        <w:rPr>
          <w:color w:val="000000" w:themeColor="text1"/>
          <w:sz w:val="22"/>
          <w:szCs w:val="22"/>
        </w:rPr>
        <w:t xml:space="preserve">Tableau </w:t>
      </w:r>
      <w:r w:rsidRPr="00260790">
        <w:rPr>
          <w:b/>
          <w:i w:val="0"/>
          <w:color w:val="000000" w:themeColor="text1"/>
          <w:sz w:val="22"/>
          <w:szCs w:val="22"/>
        </w:rPr>
        <w:fldChar w:fldCharType="begin"/>
      </w:r>
      <w:r w:rsidRPr="00260790">
        <w:rPr>
          <w:color w:val="000000" w:themeColor="text1"/>
          <w:sz w:val="22"/>
          <w:szCs w:val="22"/>
        </w:rPr>
        <w:instrText xml:space="preserve"> SEQ Tableau \* ARABIC </w:instrText>
      </w:r>
      <w:r w:rsidRPr="00260790">
        <w:rPr>
          <w:b/>
          <w:i w:val="0"/>
          <w:color w:val="000000" w:themeColor="text1"/>
          <w:sz w:val="22"/>
          <w:szCs w:val="22"/>
        </w:rPr>
        <w:fldChar w:fldCharType="separate"/>
      </w:r>
      <w:r w:rsidR="003C783E">
        <w:rPr>
          <w:noProof/>
          <w:color w:val="000000" w:themeColor="text1"/>
          <w:sz w:val="22"/>
          <w:szCs w:val="22"/>
        </w:rPr>
        <w:t>87</w:t>
      </w:r>
      <w:r w:rsidRPr="00260790">
        <w:rPr>
          <w:b/>
          <w:i w:val="0"/>
          <w:color w:val="000000" w:themeColor="text1"/>
          <w:sz w:val="22"/>
          <w:szCs w:val="22"/>
        </w:rPr>
        <w:fldChar w:fldCharType="end"/>
      </w:r>
      <w:r w:rsidRPr="00260790">
        <w:rPr>
          <w:color w:val="000000" w:themeColor="text1"/>
          <w:sz w:val="22"/>
          <w:szCs w:val="22"/>
        </w:rPr>
        <w:t xml:space="preserve"> : </w:t>
      </w:r>
      <w:r w:rsidRPr="00260790">
        <w:rPr>
          <w:rStyle w:val="markedcontent"/>
          <w:color w:val="000000" w:themeColor="text1"/>
          <w:sz w:val="22"/>
          <w:szCs w:val="22"/>
        </w:rPr>
        <w:t>Résumé de l’évaluation du risque d’augmentation du volume d’eau à drainer et de débordement des ouvrages</w:t>
      </w:r>
      <w:bookmarkEnd w:id="6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453"/>
        <w:gridCol w:w="1660"/>
        <w:gridCol w:w="1276"/>
        <w:gridCol w:w="991"/>
        <w:gridCol w:w="993"/>
        <w:gridCol w:w="2687"/>
      </w:tblGrid>
      <w:tr w:rsidR="00BD1A2F" w:rsidRPr="009B46E2" w14:paraId="6F950DED" w14:textId="77777777" w:rsidTr="003A0E4A">
        <w:trPr>
          <w:trHeight w:val="87"/>
          <w:tblHeader/>
        </w:trPr>
        <w:tc>
          <w:tcPr>
            <w:tcW w:w="5000" w:type="pct"/>
            <w:gridSpan w:val="6"/>
            <w:shd w:val="clear" w:color="auto" w:fill="E2EFD9"/>
          </w:tcPr>
          <w:p w14:paraId="1F392D8C" w14:textId="77777777" w:rsidR="00DE241D" w:rsidRPr="0097258B" w:rsidRDefault="00DE241D" w:rsidP="00E20250">
            <w:pPr>
              <w:spacing w:line="240" w:lineRule="auto"/>
              <w:jc w:val="both"/>
              <w:rPr>
                <w:rFonts w:ascii="Times New Roman" w:hAnsi="Times New Roman"/>
                <w:color w:val="000000" w:themeColor="text1"/>
                <w:sz w:val="20"/>
                <w:szCs w:val="20"/>
              </w:rPr>
            </w:pPr>
            <w:r w:rsidRPr="0097258B">
              <w:rPr>
                <w:rStyle w:val="markedcontent"/>
                <w:rFonts w:ascii="Times New Roman" w:hAnsi="Times New Roman"/>
                <w:b/>
                <w:color w:val="000000" w:themeColor="text1"/>
                <w:sz w:val="20"/>
                <w:szCs w:val="20"/>
              </w:rPr>
              <w:lastRenderedPageBreak/>
              <w:t>RI-28. Risque d’augmentation du volume d’eau à drainer et de débordement des ouvrages</w:t>
            </w:r>
          </w:p>
        </w:tc>
      </w:tr>
      <w:tr w:rsidR="00BD1A2F" w:rsidRPr="009B46E2" w14:paraId="4D9D4882" w14:textId="77777777" w:rsidTr="003A0E4A">
        <w:trPr>
          <w:tblHeader/>
        </w:trPr>
        <w:tc>
          <w:tcPr>
            <w:tcW w:w="802" w:type="pct"/>
            <w:vMerge w:val="restart"/>
          </w:tcPr>
          <w:p w14:paraId="44443489" w14:textId="77777777" w:rsidR="00DE241D" w:rsidRPr="0097258B" w:rsidRDefault="00DE241D" w:rsidP="00E20250">
            <w:pPr>
              <w:spacing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Avant prévention </w:t>
            </w:r>
          </w:p>
        </w:tc>
        <w:tc>
          <w:tcPr>
            <w:tcW w:w="916" w:type="pct"/>
            <w:vAlign w:val="center"/>
          </w:tcPr>
          <w:p w14:paraId="07A033EE" w14:textId="77777777" w:rsidR="00DE241D" w:rsidRPr="0097258B" w:rsidRDefault="00DE241D" w:rsidP="00E20250">
            <w:pPr>
              <w:spacing w:line="240" w:lineRule="auto"/>
              <w:jc w:val="both"/>
              <w:rPr>
                <w:rFonts w:ascii="Times New Roman" w:hAnsi="Times New Roman"/>
                <w:b/>
                <w:bCs/>
                <w:color w:val="000000" w:themeColor="text1"/>
                <w:sz w:val="20"/>
                <w:szCs w:val="20"/>
              </w:rPr>
            </w:pPr>
            <w:r w:rsidRPr="0097258B">
              <w:rPr>
                <w:rFonts w:ascii="Times New Roman" w:hAnsi="Times New Roman"/>
                <w:b/>
                <w:bCs/>
                <w:color w:val="000000" w:themeColor="text1"/>
                <w:sz w:val="20"/>
                <w:szCs w:val="20"/>
              </w:rPr>
              <w:t>Risques initial</w:t>
            </w:r>
          </w:p>
        </w:tc>
        <w:tc>
          <w:tcPr>
            <w:tcW w:w="704" w:type="pct"/>
            <w:vAlign w:val="center"/>
          </w:tcPr>
          <w:p w14:paraId="27F4E1DE" w14:textId="77777777" w:rsidR="00DE241D" w:rsidRPr="0097258B" w:rsidRDefault="00DE241D" w:rsidP="00E20250">
            <w:pPr>
              <w:spacing w:line="240" w:lineRule="auto"/>
              <w:jc w:val="both"/>
              <w:rPr>
                <w:rFonts w:ascii="Times New Roman" w:hAnsi="Times New Roman"/>
                <w:b/>
                <w:bCs/>
                <w:color w:val="000000" w:themeColor="text1"/>
                <w:sz w:val="20"/>
                <w:szCs w:val="20"/>
              </w:rPr>
            </w:pPr>
            <w:r w:rsidRPr="0097258B">
              <w:rPr>
                <w:rFonts w:ascii="Times New Roman" w:hAnsi="Times New Roman"/>
                <w:b/>
                <w:bCs/>
                <w:color w:val="000000" w:themeColor="text1"/>
                <w:sz w:val="20"/>
                <w:szCs w:val="20"/>
              </w:rPr>
              <w:t>Probabilité</w:t>
            </w:r>
          </w:p>
        </w:tc>
        <w:tc>
          <w:tcPr>
            <w:tcW w:w="547" w:type="pct"/>
            <w:vAlign w:val="center"/>
          </w:tcPr>
          <w:p w14:paraId="7889C229" w14:textId="77777777" w:rsidR="00DE241D" w:rsidRPr="0097258B" w:rsidRDefault="00DE241D" w:rsidP="00E20250">
            <w:pPr>
              <w:spacing w:line="240" w:lineRule="auto"/>
              <w:jc w:val="both"/>
              <w:rPr>
                <w:rFonts w:ascii="Times New Roman" w:hAnsi="Times New Roman"/>
                <w:b/>
                <w:bCs/>
                <w:color w:val="000000" w:themeColor="text1"/>
                <w:sz w:val="20"/>
                <w:szCs w:val="20"/>
              </w:rPr>
            </w:pPr>
            <w:r w:rsidRPr="0097258B">
              <w:rPr>
                <w:rFonts w:ascii="Times New Roman" w:hAnsi="Times New Roman"/>
                <w:b/>
                <w:bCs/>
                <w:color w:val="000000" w:themeColor="text1"/>
                <w:sz w:val="20"/>
                <w:szCs w:val="20"/>
              </w:rPr>
              <w:t>Gravité</w:t>
            </w:r>
          </w:p>
        </w:tc>
        <w:tc>
          <w:tcPr>
            <w:tcW w:w="548" w:type="pct"/>
            <w:vAlign w:val="center"/>
          </w:tcPr>
          <w:p w14:paraId="57EA87CB" w14:textId="77777777" w:rsidR="00DE241D" w:rsidRPr="0097258B" w:rsidRDefault="00DE241D" w:rsidP="00E20250">
            <w:pPr>
              <w:spacing w:line="240" w:lineRule="auto"/>
              <w:jc w:val="both"/>
              <w:rPr>
                <w:rFonts w:ascii="Times New Roman" w:hAnsi="Times New Roman"/>
                <w:b/>
                <w:bCs/>
                <w:color w:val="000000" w:themeColor="text1"/>
                <w:sz w:val="20"/>
                <w:szCs w:val="20"/>
              </w:rPr>
            </w:pPr>
            <w:r w:rsidRPr="0097258B">
              <w:rPr>
                <w:rFonts w:ascii="Times New Roman" w:hAnsi="Times New Roman"/>
                <w:b/>
                <w:bCs/>
                <w:color w:val="000000" w:themeColor="text1"/>
                <w:sz w:val="20"/>
                <w:szCs w:val="20"/>
              </w:rPr>
              <w:t>Criticité</w:t>
            </w:r>
          </w:p>
        </w:tc>
        <w:tc>
          <w:tcPr>
            <w:tcW w:w="1483" w:type="pct"/>
            <w:vAlign w:val="center"/>
          </w:tcPr>
          <w:p w14:paraId="5B685BF9" w14:textId="77777777" w:rsidR="00DE241D" w:rsidRPr="0097258B" w:rsidRDefault="00DE241D" w:rsidP="00E20250">
            <w:pPr>
              <w:spacing w:line="240" w:lineRule="auto"/>
              <w:jc w:val="both"/>
              <w:rPr>
                <w:rFonts w:ascii="Times New Roman" w:hAnsi="Times New Roman"/>
                <w:b/>
                <w:bCs/>
                <w:color w:val="000000" w:themeColor="text1"/>
                <w:sz w:val="20"/>
                <w:szCs w:val="20"/>
              </w:rPr>
            </w:pPr>
            <w:r w:rsidRPr="0097258B">
              <w:rPr>
                <w:rFonts w:ascii="Times New Roman" w:hAnsi="Times New Roman"/>
                <w:b/>
                <w:bCs/>
                <w:color w:val="000000" w:themeColor="text1"/>
                <w:sz w:val="20"/>
                <w:szCs w:val="20"/>
              </w:rPr>
              <w:t>Dommage</w:t>
            </w:r>
          </w:p>
        </w:tc>
      </w:tr>
      <w:tr w:rsidR="00BD1A2F" w:rsidRPr="009B46E2" w14:paraId="45A09012" w14:textId="77777777" w:rsidTr="003A0E4A">
        <w:tc>
          <w:tcPr>
            <w:tcW w:w="802" w:type="pct"/>
            <w:vMerge/>
            <w:vAlign w:val="center"/>
          </w:tcPr>
          <w:p w14:paraId="25F37008" w14:textId="77777777" w:rsidR="00DE241D" w:rsidRPr="0097258B" w:rsidRDefault="00DE241D" w:rsidP="00E20250">
            <w:pPr>
              <w:spacing w:line="240" w:lineRule="auto"/>
              <w:jc w:val="both"/>
              <w:rPr>
                <w:rFonts w:ascii="Times New Roman" w:hAnsi="Times New Roman"/>
                <w:color w:val="000000" w:themeColor="text1"/>
                <w:sz w:val="20"/>
                <w:szCs w:val="20"/>
              </w:rPr>
            </w:pPr>
          </w:p>
        </w:tc>
        <w:tc>
          <w:tcPr>
            <w:tcW w:w="916" w:type="pct"/>
            <w:vAlign w:val="center"/>
          </w:tcPr>
          <w:p w14:paraId="071D9D5B" w14:textId="77777777" w:rsidR="00DE241D" w:rsidRPr="0097258B" w:rsidRDefault="00DE241D" w:rsidP="002E053E">
            <w:pPr>
              <w:spacing w:after="0" w:line="240" w:lineRule="auto"/>
              <w:jc w:val="both"/>
              <w:rPr>
                <w:rFonts w:ascii="Times New Roman" w:hAnsi="Times New Roman"/>
                <w:color w:val="000000" w:themeColor="text1"/>
                <w:sz w:val="20"/>
                <w:szCs w:val="20"/>
              </w:rPr>
            </w:pPr>
            <w:r w:rsidRPr="0097258B">
              <w:rPr>
                <w:rStyle w:val="markedcontent"/>
                <w:rFonts w:ascii="Times New Roman" w:hAnsi="Times New Roman"/>
                <w:color w:val="000000" w:themeColor="text1"/>
                <w:sz w:val="20"/>
                <w:szCs w:val="20"/>
              </w:rPr>
              <w:t>Augmentation générale de la précipitation</w:t>
            </w:r>
          </w:p>
        </w:tc>
        <w:tc>
          <w:tcPr>
            <w:tcW w:w="704" w:type="pct"/>
            <w:vAlign w:val="center"/>
          </w:tcPr>
          <w:p w14:paraId="162A5340" w14:textId="77777777" w:rsidR="00DE241D" w:rsidRPr="0097258B" w:rsidRDefault="00DE241D" w:rsidP="00E20250">
            <w:pPr>
              <w:spacing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547" w:type="pct"/>
            <w:vAlign w:val="center"/>
          </w:tcPr>
          <w:p w14:paraId="70C871A6" w14:textId="77777777" w:rsidR="00DE241D" w:rsidRPr="0097258B" w:rsidRDefault="00DE241D" w:rsidP="00E20250">
            <w:pPr>
              <w:spacing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w:t>
            </w:r>
          </w:p>
        </w:tc>
        <w:tc>
          <w:tcPr>
            <w:tcW w:w="548" w:type="pct"/>
            <w:shd w:val="clear" w:color="auto" w:fill="FFFF00"/>
            <w:vAlign w:val="center"/>
          </w:tcPr>
          <w:p w14:paraId="54BCDE5F" w14:textId="77777777" w:rsidR="00DE241D" w:rsidRPr="0097258B" w:rsidRDefault="00DE241D" w:rsidP="00E20250">
            <w:pPr>
              <w:spacing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32</w:t>
            </w:r>
          </w:p>
        </w:tc>
        <w:tc>
          <w:tcPr>
            <w:tcW w:w="1483" w:type="pct"/>
            <w:vAlign w:val="center"/>
          </w:tcPr>
          <w:p w14:paraId="6CABC018" w14:textId="77777777" w:rsidR="00DE241D" w:rsidRPr="0097258B" w:rsidRDefault="00DE241D" w:rsidP="002E053E">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Inondation du cadre de vie ;</w:t>
            </w:r>
          </w:p>
          <w:p w14:paraId="13F553E7" w14:textId="7D602A7B" w:rsidR="00DE241D" w:rsidRPr="0097258B" w:rsidRDefault="00DE241D" w:rsidP="002E053E">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Altération du bien</w:t>
            </w:r>
            <w:r w:rsidR="00C62870" w:rsidRPr="0097258B">
              <w:rPr>
                <w:rFonts w:ascii="Times New Roman" w:hAnsi="Times New Roman"/>
                <w:color w:val="000000" w:themeColor="text1"/>
                <w:sz w:val="20"/>
                <w:szCs w:val="20"/>
              </w:rPr>
              <w:t>-</w:t>
            </w:r>
            <w:r w:rsidRPr="0097258B">
              <w:rPr>
                <w:rFonts w:ascii="Times New Roman" w:hAnsi="Times New Roman"/>
                <w:color w:val="000000" w:themeColor="text1"/>
                <w:sz w:val="20"/>
                <w:szCs w:val="20"/>
              </w:rPr>
              <w:t>être des populations</w:t>
            </w:r>
          </w:p>
        </w:tc>
      </w:tr>
      <w:tr w:rsidR="00BD1A2F" w:rsidRPr="009B46E2" w14:paraId="19D07DA6" w14:textId="77777777" w:rsidTr="003A0E4A">
        <w:tc>
          <w:tcPr>
            <w:tcW w:w="802" w:type="pct"/>
            <w:vAlign w:val="center"/>
          </w:tcPr>
          <w:p w14:paraId="3BC3E37F" w14:textId="77777777" w:rsidR="00DE241D" w:rsidRPr="0097258B" w:rsidRDefault="00DE241D" w:rsidP="00E20250">
            <w:pPr>
              <w:spacing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Mesures de prévention </w:t>
            </w:r>
          </w:p>
        </w:tc>
        <w:tc>
          <w:tcPr>
            <w:tcW w:w="4198" w:type="pct"/>
            <w:gridSpan w:val="5"/>
            <w:vAlign w:val="center"/>
          </w:tcPr>
          <w:p w14:paraId="64FB5A9F" w14:textId="77777777" w:rsidR="00DE241D" w:rsidRPr="0097258B" w:rsidRDefault="00DE241D" w:rsidP="00E20250">
            <w:pPr>
              <w:spacing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Prendre en compte le scénario de l’augmentation des précipitations dans le dimensionnement des ouvrages </w:t>
            </w:r>
          </w:p>
        </w:tc>
      </w:tr>
      <w:tr w:rsidR="00BD1A2F" w:rsidRPr="009B46E2" w14:paraId="1BC91461" w14:textId="77777777" w:rsidTr="003A0E4A">
        <w:trPr>
          <w:trHeight w:val="127"/>
        </w:trPr>
        <w:tc>
          <w:tcPr>
            <w:tcW w:w="802" w:type="pct"/>
            <w:vMerge w:val="restart"/>
            <w:vAlign w:val="center"/>
          </w:tcPr>
          <w:p w14:paraId="6E7114C1" w14:textId="77777777" w:rsidR="00DE241D" w:rsidRPr="0097258B" w:rsidRDefault="00DE241D" w:rsidP="00E20250">
            <w:pPr>
              <w:spacing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Après prévention</w:t>
            </w:r>
          </w:p>
        </w:tc>
        <w:tc>
          <w:tcPr>
            <w:tcW w:w="916" w:type="pct"/>
            <w:vAlign w:val="center"/>
          </w:tcPr>
          <w:p w14:paraId="03362CF3" w14:textId="77777777" w:rsidR="00DE241D" w:rsidRPr="0097258B" w:rsidRDefault="00DE241D" w:rsidP="00E20250">
            <w:pPr>
              <w:spacing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Risques initial</w:t>
            </w:r>
          </w:p>
        </w:tc>
        <w:tc>
          <w:tcPr>
            <w:tcW w:w="704" w:type="pct"/>
            <w:vAlign w:val="center"/>
          </w:tcPr>
          <w:p w14:paraId="50670B11" w14:textId="77777777" w:rsidR="00DE241D" w:rsidRPr="0097258B" w:rsidRDefault="00DE241D" w:rsidP="00E20250">
            <w:pPr>
              <w:spacing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Probabilité</w:t>
            </w:r>
          </w:p>
        </w:tc>
        <w:tc>
          <w:tcPr>
            <w:tcW w:w="547" w:type="pct"/>
            <w:vAlign w:val="center"/>
          </w:tcPr>
          <w:p w14:paraId="1C206C23" w14:textId="77777777" w:rsidR="00DE241D" w:rsidRPr="0097258B" w:rsidRDefault="00DE241D" w:rsidP="00E20250">
            <w:pPr>
              <w:spacing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Gravité</w:t>
            </w:r>
          </w:p>
        </w:tc>
        <w:tc>
          <w:tcPr>
            <w:tcW w:w="548" w:type="pct"/>
            <w:shd w:val="clear" w:color="auto" w:fill="FFFFFF"/>
            <w:vAlign w:val="center"/>
          </w:tcPr>
          <w:p w14:paraId="22E146D8" w14:textId="77777777" w:rsidR="00DE241D" w:rsidRPr="0097258B" w:rsidRDefault="00DE241D" w:rsidP="00E20250">
            <w:pPr>
              <w:spacing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Criticité</w:t>
            </w:r>
          </w:p>
        </w:tc>
        <w:tc>
          <w:tcPr>
            <w:tcW w:w="1483" w:type="pct"/>
            <w:vAlign w:val="center"/>
          </w:tcPr>
          <w:p w14:paraId="376794ED" w14:textId="77777777" w:rsidR="00DE241D" w:rsidRPr="0097258B" w:rsidRDefault="00DE241D" w:rsidP="00E20250">
            <w:pPr>
              <w:spacing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Dommage</w:t>
            </w:r>
          </w:p>
        </w:tc>
      </w:tr>
      <w:tr w:rsidR="00BD1A2F" w:rsidRPr="009B46E2" w14:paraId="08D3C304" w14:textId="77777777" w:rsidTr="003A0E4A">
        <w:tc>
          <w:tcPr>
            <w:tcW w:w="802" w:type="pct"/>
            <w:vMerge/>
            <w:vAlign w:val="center"/>
          </w:tcPr>
          <w:p w14:paraId="0C1F7D45" w14:textId="77777777" w:rsidR="00DE241D" w:rsidRPr="0097258B" w:rsidRDefault="00DE241D" w:rsidP="00E20250">
            <w:pPr>
              <w:spacing w:line="240" w:lineRule="auto"/>
              <w:jc w:val="both"/>
              <w:rPr>
                <w:rFonts w:ascii="Times New Roman" w:hAnsi="Times New Roman"/>
                <w:color w:val="000000" w:themeColor="text1"/>
                <w:sz w:val="20"/>
                <w:szCs w:val="20"/>
              </w:rPr>
            </w:pPr>
          </w:p>
        </w:tc>
        <w:tc>
          <w:tcPr>
            <w:tcW w:w="916" w:type="pct"/>
            <w:vAlign w:val="center"/>
          </w:tcPr>
          <w:p w14:paraId="2F15841A" w14:textId="4254751C" w:rsidR="00DE241D" w:rsidRPr="0097258B" w:rsidRDefault="00DE241D" w:rsidP="00E20250">
            <w:pPr>
              <w:spacing w:line="240" w:lineRule="auto"/>
              <w:jc w:val="both"/>
              <w:rPr>
                <w:rFonts w:ascii="Times New Roman" w:hAnsi="Times New Roman"/>
                <w:color w:val="000000" w:themeColor="text1"/>
                <w:sz w:val="20"/>
                <w:szCs w:val="20"/>
              </w:rPr>
            </w:pPr>
            <w:r w:rsidRPr="0097258B">
              <w:rPr>
                <w:rStyle w:val="markedcontent"/>
                <w:rFonts w:ascii="Times New Roman" w:hAnsi="Times New Roman"/>
                <w:color w:val="000000" w:themeColor="text1"/>
                <w:sz w:val="20"/>
                <w:szCs w:val="20"/>
              </w:rPr>
              <w:t>Pluies exceptionnelle</w:t>
            </w:r>
            <w:r w:rsidR="00C62870" w:rsidRPr="0097258B">
              <w:rPr>
                <w:rStyle w:val="markedcontent"/>
                <w:rFonts w:ascii="Times New Roman" w:hAnsi="Times New Roman"/>
                <w:color w:val="000000" w:themeColor="text1"/>
                <w:sz w:val="20"/>
                <w:szCs w:val="20"/>
              </w:rPr>
              <w:t>s</w:t>
            </w:r>
          </w:p>
        </w:tc>
        <w:tc>
          <w:tcPr>
            <w:tcW w:w="704" w:type="pct"/>
            <w:vAlign w:val="center"/>
          </w:tcPr>
          <w:p w14:paraId="6779B096" w14:textId="77777777" w:rsidR="00DE241D" w:rsidRPr="0097258B" w:rsidRDefault="00DE241D" w:rsidP="00E20250">
            <w:pPr>
              <w:spacing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547" w:type="pct"/>
            <w:vAlign w:val="center"/>
          </w:tcPr>
          <w:p w14:paraId="42784DD9" w14:textId="77777777" w:rsidR="00DE241D" w:rsidRPr="0097258B" w:rsidRDefault="00DE241D" w:rsidP="00E20250">
            <w:pPr>
              <w:spacing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1</w:t>
            </w:r>
          </w:p>
        </w:tc>
        <w:tc>
          <w:tcPr>
            <w:tcW w:w="548" w:type="pct"/>
            <w:shd w:val="clear" w:color="auto" w:fill="92D050"/>
            <w:vAlign w:val="center"/>
          </w:tcPr>
          <w:p w14:paraId="1C4F5221" w14:textId="77777777" w:rsidR="00DE241D" w:rsidRPr="0097258B" w:rsidRDefault="00DE241D" w:rsidP="00E20250">
            <w:pPr>
              <w:spacing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12</w:t>
            </w:r>
          </w:p>
        </w:tc>
        <w:tc>
          <w:tcPr>
            <w:tcW w:w="1483" w:type="pct"/>
            <w:vAlign w:val="center"/>
          </w:tcPr>
          <w:p w14:paraId="2A0E7CBA" w14:textId="77777777" w:rsidR="00DE241D" w:rsidRPr="0097258B" w:rsidRDefault="00DE241D" w:rsidP="00E20250">
            <w:pPr>
              <w:spacing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 Inondation épisodique du cadre de vie</w:t>
            </w:r>
          </w:p>
        </w:tc>
      </w:tr>
    </w:tbl>
    <w:p w14:paraId="3EED22F5" w14:textId="77777777" w:rsidR="00DE241D" w:rsidRPr="00260790" w:rsidRDefault="00DE241D" w:rsidP="00E20250">
      <w:pPr>
        <w:spacing w:after="0" w:line="240" w:lineRule="auto"/>
        <w:rPr>
          <w:rFonts w:ascii="Times New Roman" w:hAnsi="Times New Roman"/>
          <w:color w:val="000000" w:themeColor="text1"/>
        </w:rPr>
      </w:pPr>
    </w:p>
    <w:p w14:paraId="2A62D4D1" w14:textId="59636E82" w:rsidR="00DE241D" w:rsidRPr="0097258B" w:rsidRDefault="001E0D80" w:rsidP="0097258B">
      <w:pPr>
        <w:pStyle w:val="CHAPITRE1"/>
        <w:numPr>
          <w:ilvl w:val="2"/>
          <w:numId w:val="381"/>
        </w:numPr>
        <w:rPr>
          <w:rFonts w:cs="Times New Roman"/>
          <w:i/>
          <w:iCs/>
        </w:rPr>
      </w:pPr>
      <w:r>
        <w:rPr>
          <w:rFonts w:cs="Times New Roman"/>
          <w:i/>
          <w:iCs/>
        </w:rPr>
        <w:t xml:space="preserve"> </w:t>
      </w:r>
      <w:bookmarkStart w:id="675" w:name="_Toc212725141"/>
      <w:r w:rsidR="00DE241D" w:rsidRPr="0097258B">
        <w:rPr>
          <w:rFonts w:cs="Times New Roman"/>
          <w:i/>
          <w:iCs/>
        </w:rPr>
        <w:t>Impacts cumulatifs</w:t>
      </w:r>
      <w:bookmarkEnd w:id="675"/>
    </w:p>
    <w:p w14:paraId="2C8B182A"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La prise en compte des incidences environnementales cumulatives est essentielle dans l’évaluation environnementale et sociale.</w:t>
      </w:r>
    </w:p>
    <w:p w14:paraId="6F2ACC9C" w14:textId="72F99522"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L’Agence </w:t>
      </w:r>
      <w:r w:rsidR="00553D59" w:rsidRPr="00260790">
        <w:rPr>
          <w:rFonts w:ascii="Times New Roman" w:hAnsi="Times New Roman"/>
          <w:color w:val="000000" w:themeColor="text1"/>
        </w:rPr>
        <w:t>C</w:t>
      </w:r>
      <w:r w:rsidRPr="00260790">
        <w:rPr>
          <w:rFonts w:ascii="Times New Roman" w:hAnsi="Times New Roman"/>
          <w:color w:val="000000" w:themeColor="text1"/>
        </w:rPr>
        <w:t>anadienne d'</w:t>
      </w:r>
      <w:r w:rsidR="0000071A" w:rsidRPr="00260790">
        <w:rPr>
          <w:rFonts w:ascii="Times New Roman" w:hAnsi="Times New Roman"/>
          <w:color w:val="000000" w:themeColor="text1"/>
        </w:rPr>
        <w:t>Évaluation</w:t>
      </w:r>
      <w:r w:rsidRPr="00260790">
        <w:rPr>
          <w:rFonts w:ascii="Times New Roman" w:hAnsi="Times New Roman"/>
          <w:color w:val="000000" w:themeColor="text1"/>
        </w:rPr>
        <w:t xml:space="preserve"> </w:t>
      </w:r>
      <w:r w:rsidR="00553D59" w:rsidRPr="00260790">
        <w:rPr>
          <w:rFonts w:ascii="Times New Roman" w:hAnsi="Times New Roman"/>
          <w:color w:val="000000" w:themeColor="text1"/>
        </w:rPr>
        <w:t>E</w:t>
      </w:r>
      <w:r w:rsidRPr="00260790">
        <w:rPr>
          <w:rFonts w:ascii="Times New Roman" w:hAnsi="Times New Roman"/>
          <w:color w:val="000000" w:themeColor="text1"/>
        </w:rPr>
        <w:t xml:space="preserve">nvironnementale (ACEE), définit les effets environnementaux cumulatifs comme l’ensemble « </w:t>
      </w:r>
      <w:r w:rsidRPr="00260790">
        <w:rPr>
          <w:rFonts w:ascii="Times New Roman" w:hAnsi="Times New Roman"/>
          <w:i/>
          <w:color w:val="000000" w:themeColor="text1"/>
        </w:rPr>
        <w:t>des changements subis par l'environnement en raison d'une action combinée avec d'autres actions humaines passées, présentes et futures. Les actions humaines comprennent à la fois les projets et activités de nature anthropique</w:t>
      </w:r>
      <w:r w:rsidRPr="00260790">
        <w:rPr>
          <w:rFonts w:ascii="Times New Roman" w:hAnsi="Times New Roman"/>
          <w:color w:val="000000" w:themeColor="text1"/>
        </w:rPr>
        <w:t xml:space="preserve"> » (Hegmann </w:t>
      </w:r>
      <w:r w:rsidRPr="00260790">
        <w:rPr>
          <w:rFonts w:ascii="Times New Roman" w:hAnsi="Times New Roman"/>
          <w:i/>
          <w:iCs/>
          <w:color w:val="000000" w:themeColor="text1"/>
        </w:rPr>
        <w:t>et al.</w:t>
      </w:r>
      <w:r w:rsidRPr="00260790">
        <w:rPr>
          <w:rFonts w:ascii="Times New Roman" w:hAnsi="Times New Roman"/>
          <w:color w:val="000000" w:themeColor="text1"/>
        </w:rPr>
        <w:t xml:space="preserve"> 1999). Les effets d'un projet donné peuvent interférer avec ceux causés par un autre projet passé, en cours ou à venir et engendrer des conséquences directes ou indirectes additionnelles sur les composantes de l'environnement. Une bonne gestion de ces impacts permet de réduire leurs incidences sur les composantes environnementales.</w:t>
      </w:r>
    </w:p>
    <w:p w14:paraId="57F87634" w14:textId="77777777" w:rsidR="00DE241D" w:rsidRPr="00260790" w:rsidRDefault="00DE241D" w:rsidP="001748C6">
      <w:pPr>
        <w:pStyle w:val="Normaltableau0"/>
        <w:numPr>
          <w:ilvl w:val="0"/>
          <w:numId w:val="340"/>
        </w:numPr>
        <w:rPr>
          <w:rFonts w:ascii="Times New Roman" w:eastAsia="SimSun" w:hAnsi="Times New Roman"/>
          <w:b/>
          <w:bCs/>
          <w:i/>
          <w:color w:val="000000" w:themeColor="text1"/>
          <w:sz w:val="22"/>
          <w:szCs w:val="22"/>
        </w:rPr>
      </w:pPr>
      <w:r w:rsidRPr="00260790">
        <w:rPr>
          <w:rFonts w:ascii="Times New Roman" w:eastAsia="SimSun" w:hAnsi="Times New Roman"/>
          <w:b/>
          <w:bCs/>
          <w:color w:val="000000" w:themeColor="text1"/>
          <w:sz w:val="22"/>
          <w:szCs w:val="22"/>
        </w:rPr>
        <w:t>Limites et portée de l’analyse des effets cumulatifs</w:t>
      </w:r>
    </w:p>
    <w:p w14:paraId="71DB9AB4" w14:textId="22DB252A"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Les limites géographiques de l’analyse des effets cumulatifs sont celles des principaux projets comportant des aménagements d’infrastructure d’assainissement eaux pluviales (Projet d’assainissement ou de voirie nécessitant l’aménage</w:t>
      </w:r>
      <w:r w:rsidR="00A85C3A">
        <w:rPr>
          <w:rFonts w:ascii="Times New Roman" w:hAnsi="Times New Roman"/>
          <w:color w:val="000000" w:themeColor="text1"/>
        </w:rPr>
        <w:t>ment</w:t>
      </w:r>
      <w:r w:rsidRPr="00260790">
        <w:rPr>
          <w:rFonts w:ascii="Times New Roman" w:hAnsi="Times New Roman"/>
          <w:color w:val="000000" w:themeColor="text1"/>
        </w:rPr>
        <w:t xml:space="preserve"> de réseau eaux pluviales)</w:t>
      </w:r>
    </w:p>
    <w:p w14:paraId="10CAE839"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L’analyse des effets cumulatifs devrait être basée sur les études environnementales et sociales réalisées en prélude à l’implantation de ces projets. Cependant, faute de données environnementales précises disponibles, les effets environnementaux ont été estimés grâce au retour d’expérience (effets d’installations similaires). </w:t>
      </w:r>
    </w:p>
    <w:p w14:paraId="533B9DDC"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Le critère qui a présidé au ciblage des projets à prendre en compte dans le cadre de l’analyse est le potentiel de chevauchement spatio-temporel de leurs effets. Les projets retenus sont :</w:t>
      </w:r>
    </w:p>
    <w:p w14:paraId="3123E1E1" w14:textId="491C1E07" w:rsidR="00DE241D" w:rsidRPr="00260790" w:rsidRDefault="00DE241D" w:rsidP="001748C6">
      <w:pPr>
        <w:pStyle w:val="Paragraphedeliste"/>
        <w:numPr>
          <w:ilvl w:val="0"/>
          <w:numId w:val="339"/>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L’Autoroute à péage</w:t>
      </w:r>
      <w:r w:rsidR="00F11A3D" w:rsidRPr="00260790">
        <w:rPr>
          <w:rFonts w:ascii="Times New Roman" w:hAnsi="Times New Roman"/>
          <w:color w:val="000000" w:themeColor="text1"/>
        </w:rPr>
        <w:t> ;</w:t>
      </w:r>
    </w:p>
    <w:p w14:paraId="489D503A" w14:textId="77777777" w:rsidR="00DE241D" w:rsidRPr="00260790" w:rsidRDefault="00DE241D" w:rsidP="001748C6">
      <w:pPr>
        <w:pStyle w:val="Paragraphedeliste"/>
        <w:numPr>
          <w:ilvl w:val="0"/>
          <w:numId w:val="339"/>
        </w:numPr>
        <w:spacing w:after="0" w:line="240" w:lineRule="auto"/>
        <w:jc w:val="both"/>
        <w:rPr>
          <w:rStyle w:val="hgkelc"/>
          <w:rFonts w:ascii="Times New Roman" w:hAnsi="Times New Roman"/>
          <w:color w:val="000000" w:themeColor="text1"/>
        </w:rPr>
      </w:pPr>
      <w:r w:rsidRPr="00260790">
        <w:rPr>
          <w:rStyle w:val="markedcontent"/>
          <w:rFonts w:ascii="Times New Roman" w:hAnsi="Times New Roman"/>
          <w:color w:val="000000" w:themeColor="text1"/>
        </w:rPr>
        <w:t>Le</w:t>
      </w:r>
      <w:r w:rsidRPr="00260790">
        <w:rPr>
          <w:rStyle w:val="hgkelc"/>
          <w:rFonts w:ascii="Times New Roman" w:hAnsi="Times New Roman"/>
          <w:color w:val="000000" w:themeColor="text1"/>
        </w:rPr>
        <w:t xml:space="preserve"> TER ;</w:t>
      </w:r>
    </w:p>
    <w:p w14:paraId="561B9297" w14:textId="19F3274E" w:rsidR="00DE241D" w:rsidRPr="001A020A" w:rsidRDefault="00DE241D" w:rsidP="001748C6">
      <w:pPr>
        <w:pStyle w:val="Paragraphedeliste"/>
        <w:numPr>
          <w:ilvl w:val="0"/>
          <w:numId w:val="339"/>
        </w:numPr>
        <w:spacing w:after="0" w:line="240" w:lineRule="auto"/>
        <w:jc w:val="both"/>
        <w:rPr>
          <w:rStyle w:val="hgkelc"/>
          <w:rFonts w:ascii="Times New Roman" w:hAnsi="Times New Roman"/>
        </w:rPr>
      </w:pPr>
      <w:r w:rsidRPr="001A020A">
        <w:rPr>
          <w:rStyle w:val="hgkelc"/>
          <w:rFonts w:ascii="Times New Roman" w:hAnsi="Times New Roman"/>
        </w:rPr>
        <w:t>Le PROMOGED</w:t>
      </w:r>
      <w:r w:rsidR="00FD5CC8">
        <w:rPr>
          <w:rStyle w:val="hgkelc"/>
          <w:rFonts w:ascii="Times New Roman" w:hAnsi="Times New Roman"/>
        </w:rPr>
        <w:t xml:space="preserve"> (Décharge de </w:t>
      </w:r>
      <w:proofErr w:type="spellStart"/>
      <w:r w:rsidR="00FD5CC8">
        <w:rPr>
          <w:rStyle w:val="hgkelc"/>
          <w:rFonts w:ascii="Times New Roman" w:hAnsi="Times New Roman"/>
        </w:rPr>
        <w:t>Mbeubeuss</w:t>
      </w:r>
      <w:proofErr w:type="spellEnd"/>
      <w:r w:rsidR="00FD5CC8">
        <w:rPr>
          <w:rStyle w:val="hgkelc"/>
          <w:rFonts w:ascii="Times New Roman" w:hAnsi="Times New Roman"/>
        </w:rPr>
        <w:t>)</w:t>
      </w:r>
      <w:r w:rsidRPr="001A020A">
        <w:rPr>
          <w:rStyle w:val="hgkelc"/>
          <w:rFonts w:ascii="Times New Roman" w:hAnsi="Times New Roman"/>
        </w:rPr>
        <w:t> ;</w:t>
      </w:r>
    </w:p>
    <w:p w14:paraId="7AD39CAB" w14:textId="0E3526D1" w:rsidR="00DE241D" w:rsidRPr="00260790" w:rsidRDefault="00DE241D" w:rsidP="001748C6">
      <w:pPr>
        <w:pStyle w:val="Paragraphedeliste"/>
        <w:numPr>
          <w:ilvl w:val="0"/>
          <w:numId w:val="339"/>
        </w:numPr>
        <w:spacing w:after="0" w:line="240" w:lineRule="auto"/>
        <w:jc w:val="both"/>
        <w:rPr>
          <w:rFonts w:ascii="Times New Roman" w:hAnsi="Times New Roman"/>
          <w:b/>
          <w:color w:val="000000" w:themeColor="text1"/>
        </w:rPr>
      </w:pPr>
      <w:r w:rsidRPr="00260790">
        <w:rPr>
          <w:rStyle w:val="hgkelc"/>
          <w:rFonts w:ascii="Times New Roman" w:hAnsi="Times New Roman"/>
          <w:color w:val="000000" w:themeColor="text1"/>
        </w:rPr>
        <w:t>Le PROG</w:t>
      </w:r>
      <w:r w:rsidR="00F11A3D" w:rsidRPr="00260790">
        <w:rPr>
          <w:rStyle w:val="hgkelc"/>
          <w:rFonts w:ascii="Times New Roman" w:hAnsi="Times New Roman"/>
          <w:color w:val="000000" w:themeColor="text1"/>
        </w:rPr>
        <w:t>E</w:t>
      </w:r>
      <w:r w:rsidRPr="00260790">
        <w:rPr>
          <w:rStyle w:val="hgkelc"/>
          <w:rFonts w:ascii="Times New Roman" w:hAnsi="Times New Roman"/>
          <w:color w:val="000000" w:themeColor="text1"/>
        </w:rPr>
        <w:t>P</w:t>
      </w:r>
      <w:r w:rsidR="00F11A3D" w:rsidRPr="00260790">
        <w:rPr>
          <w:rStyle w:val="hgkelc"/>
          <w:rFonts w:ascii="Times New Roman" w:hAnsi="Times New Roman"/>
          <w:color w:val="000000" w:themeColor="text1"/>
        </w:rPr>
        <w:t>.</w:t>
      </w:r>
    </w:p>
    <w:p w14:paraId="232E48F4" w14:textId="77777777" w:rsidR="00DE241D" w:rsidRPr="00260790" w:rsidRDefault="00DE241D"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Ces projets ont ou auront en communs des effets sur : </w:t>
      </w:r>
    </w:p>
    <w:p w14:paraId="41B183CB" w14:textId="77777777" w:rsidR="00DE241D" w:rsidRPr="00260790" w:rsidRDefault="00DE241D" w:rsidP="001748C6">
      <w:pPr>
        <w:pStyle w:val="Paragraphedeliste"/>
        <w:numPr>
          <w:ilvl w:val="0"/>
          <w:numId w:val="338"/>
        </w:numPr>
        <w:spacing w:line="240" w:lineRule="auto"/>
        <w:jc w:val="both"/>
        <w:rPr>
          <w:rFonts w:ascii="Times New Roman" w:hAnsi="Times New Roman"/>
          <w:color w:val="000000" w:themeColor="text1"/>
        </w:rPr>
      </w:pPr>
      <w:r w:rsidRPr="00260790">
        <w:rPr>
          <w:rFonts w:ascii="Times New Roman" w:hAnsi="Times New Roman"/>
          <w:color w:val="000000" w:themeColor="text1"/>
        </w:rPr>
        <w:t>Les changements d’affectation des terres ;</w:t>
      </w:r>
    </w:p>
    <w:p w14:paraId="5219E3B4" w14:textId="77777777" w:rsidR="00DE241D" w:rsidRPr="00260790" w:rsidRDefault="00DE241D" w:rsidP="001748C6">
      <w:pPr>
        <w:pStyle w:val="Paragraphedeliste"/>
        <w:numPr>
          <w:ilvl w:val="0"/>
          <w:numId w:val="338"/>
        </w:numPr>
        <w:spacing w:line="240" w:lineRule="auto"/>
        <w:jc w:val="both"/>
        <w:rPr>
          <w:rFonts w:ascii="Times New Roman" w:hAnsi="Times New Roman"/>
          <w:color w:val="000000" w:themeColor="text1"/>
        </w:rPr>
      </w:pPr>
      <w:r w:rsidRPr="00260790">
        <w:rPr>
          <w:rFonts w:ascii="Times New Roman" w:hAnsi="Times New Roman"/>
          <w:color w:val="000000" w:themeColor="text1"/>
        </w:rPr>
        <w:t>Les déplacements des personnes et des biens ;</w:t>
      </w:r>
    </w:p>
    <w:p w14:paraId="46414BE1" w14:textId="77777777" w:rsidR="00DE241D" w:rsidRPr="00260790" w:rsidRDefault="00DE241D" w:rsidP="001748C6">
      <w:pPr>
        <w:pStyle w:val="Paragraphedeliste"/>
        <w:numPr>
          <w:ilvl w:val="0"/>
          <w:numId w:val="338"/>
        </w:numPr>
        <w:spacing w:line="240" w:lineRule="auto"/>
        <w:jc w:val="both"/>
        <w:rPr>
          <w:rFonts w:ascii="Times New Roman" w:hAnsi="Times New Roman"/>
          <w:color w:val="000000" w:themeColor="text1"/>
        </w:rPr>
      </w:pPr>
      <w:r w:rsidRPr="00260790">
        <w:rPr>
          <w:rFonts w:ascii="Times New Roman" w:hAnsi="Times New Roman"/>
          <w:color w:val="000000" w:themeColor="text1"/>
        </w:rPr>
        <w:t>Les moyens d’existence ou de subsistance des populations (déplacements économiques : pertes de biens/actifs et d’AGR…) ;</w:t>
      </w:r>
    </w:p>
    <w:p w14:paraId="5208C842" w14:textId="77777777" w:rsidR="00DE241D" w:rsidRPr="00260790" w:rsidRDefault="00DE241D" w:rsidP="001748C6">
      <w:pPr>
        <w:pStyle w:val="Paragraphedeliste"/>
        <w:numPr>
          <w:ilvl w:val="0"/>
          <w:numId w:val="338"/>
        </w:numPr>
        <w:spacing w:line="240" w:lineRule="auto"/>
        <w:jc w:val="both"/>
        <w:rPr>
          <w:rFonts w:ascii="Times New Roman" w:hAnsi="Times New Roman"/>
          <w:color w:val="000000" w:themeColor="text1"/>
        </w:rPr>
      </w:pPr>
      <w:r w:rsidRPr="00260790">
        <w:rPr>
          <w:rFonts w:ascii="Times New Roman" w:hAnsi="Times New Roman"/>
          <w:color w:val="000000" w:themeColor="text1"/>
        </w:rPr>
        <w:t>Des déplacements physiques (déplacement de populations) ;</w:t>
      </w:r>
    </w:p>
    <w:p w14:paraId="35F77DCB" w14:textId="77777777" w:rsidR="00DE241D" w:rsidRPr="00260790" w:rsidRDefault="00DE241D" w:rsidP="001748C6">
      <w:pPr>
        <w:pStyle w:val="Paragraphedeliste"/>
        <w:numPr>
          <w:ilvl w:val="0"/>
          <w:numId w:val="338"/>
        </w:numPr>
        <w:spacing w:line="240" w:lineRule="auto"/>
        <w:jc w:val="both"/>
        <w:rPr>
          <w:rFonts w:ascii="Times New Roman" w:hAnsi="Times New Roman"/>
          <w:color w:val="000000" w:themeColor="text1"/>
        </w:rPr>
      </w:pPr>
      <w:r w:rsidRPr="00260790">
        <w:rPr>
          <w:rFonts w:ascii="Times New Roman" w:hAnsi="Times New Roman"/>
          <w:color w:val="000000" w:themeColor="text1"/>
        </w:rPr>
        <w:t>Les aires classées ;</w:t>
      </w:r>
    </w:p>
    <w:p w14:paraId="72A1AB36" w14:textId="77777777" w:rsidR="00DE241D" w:rsidRPr="00260790" w:rsidRDefault="00DE241D" w:rsidP="001748C6">
      <w:pPr>
        <w:pStyle w:val="Paragraphedeliste"/>
        <w:numPr>
          <w:ilvl w:val="0"/>
          <w:numId w:val="338"/>
        </w:numPr>
        <w:spacing w:line="240" w:lineRule="auto"/>
        <w:jc w:val="both"/>
        <w:rPr>
          <w:rFonts w:ascii="Times New Roman" w:hAnsi="Times New Roman"/>
          <w:color w:val="000000" w:themeColor="text1"/>
        </w:rPr>
      </w:pPr>
      <w:r w:rsidRPr="00260790">
        <w:rPr>
          <w:rFonts w:ascii="Times New Roman" w:hAnsi="Times New Roman"/>
          <w:color w:val="000000" w:themeColor="text1"/>
        </w:rPr>
        <w:t>La faune et la flore ;</w:t>
      </w:r>
    </w:p>
    <w:p w14:paraId="3F3227FC" w14:textId="77777777" w:rsidR="00DE241D" w:rsidRPr="00260790" w:rsidRDefault="00DE241D" w:rsidP="001748C6">
      <w:pPr>
        <w:pStyle w:val="Paragraphedeliste"/>
        <w:numPr>
          <w:ilvl w:val="0"/>
          <w:numId w:val="338"/>
        </w:numPr>
        <w:spacing w:line="240" w:lineRule="auto"/>
        <w:jc w:val="both"/>
        <w:rPr>
          <w:rFonts w:ascii="Times New Roman" w:hAnsi="Times New Roman"/>
          <w:color w:val="000000" w:themeColor="text1"/>
        </w:rPr>
      </w:pPr>
      <w:r w:rsidRPr="00260790">
        <w:rPr>
          <w:rFonts w:ascii="Times New Roman" w:hAnsi="Times New Roman"/>
          <w:color w:val="000000" w:themeColor="text1"/>
        </w:rPr>
        <w:t>La qualité de l’air et le climat ;</w:t>
      </w:r>
    </w:p>
    <w:p w14:paraId="0234C1A5" w14:textId="77777777" w:rsidR="00DE241D" w:rsidRPr="00260790" w:rsidRDefault="00DE241D" w:rsidP="001748C6">
      <w:pPr>
        <w:pStyle w:val="Paragraphedeliste"/>
        <w:numPr>
          <w:ilvl w:val="0"/>
          <w:numId w:val="338"/>
        </w:numPr>
        <w:spacing w:line="240" w:lineRule="auto"/>
        <w:jc w:val="both"/>
        <w:rPr>
          <w:rFonts w:ascii="Times New Roman" w:hAnsi="Times New Roman"/>
          <w:color w:val="000000" w:themeColor="text1"/>
        </w:rPr>
      </w:pPr>
      <w:r w:rsidRPr="00260790">
        <w:rPr>
          <w:rFonts w:ascii="Times New Roman" w:hAnsi="Times New Roman"/>
          <w:color w:val="000000" w:themeColor="text1"/>
        </w:rPr>
        <w:t>La santé et la sécurité des travailleurs et des riverains</w:t>
      </w:r>
    </w:p>
    <w:p w14:paraId="3552BF73" w14:textId="5CE66482" w:rsidR="00DE241D" w:rsidRPr="00260790" w:rsidRDefault="00DE241D" w:rsidP="001108C4">
      <w:pPr>
        <w:spacing w:line="240" w:lineRule="auto"/>
        <w:jc w:val="both"/>
        <w:rPr>
          <w:rFonts w:ascii="Times New Roman" w:hAnsi="Times New Roman"/>
          <w:b/>
          <w:color w:val="000000" w:themeColor="text1"/>
        </w:rPr>
      </w:pPr>
      <w:r w:rsidRPr="00260790">
        <w:rPr>
          <w:rFonts w:ascii="Times New Roman" w:hAnsi="Times New Roman"/>
          <w:color w:val="000000" w:themeColor="text1"/>
        </w:rPr>
        <w:lastRenderedPageBreak/>
        <w:t>Une sommation de leurs effets est donc plus que probable et se traduira par de dépassement de seuil ou de capacité de résilience de la population et/du milieu.</w:t>
      </w:r>
    </w:p>
    <w:p w14:paraId="4287624A" w14:textId="77777777" w:rsidR="00DE241D" w:rsidRPr="00260790" w:rsidRDefault="00DE241D" w:rsidP="00E20250">
      <w:pPr>
        <w:pStyle w:val="Paragraphedeliste"/>
        <w:spacing w:line="240" w:lineRule="auto"/>
        <w:rPr>
          <w:rFonts w:ascii="Times New Roman" w:hAnsi="Times New Roman"/>
          <w:b/>
          <w:color w:val="000000" w:themeColor="text1"/>
        </w:rPr>
        <w:sectPr w:rsidR="00DE241D" w:rsidRPr="00260790" w:rsidSect="007903CC">
          <w:pgSz w:w="11906" w:h="16838"/>
          <w:pgMar w:top="1418" w:right="1418" w:bottom="1418" w:left="1418" w:header="709" w:footer="454" w:gutter="0"/>
          <w:cols w:space="720"/>
          <w:docGrid w:linePitch="326"/>
        </w:sectPr>
      </w:pPr>
    </w:p>
    <w:p w14:paraId="4C29A383" w14:textId="173837E9" w:rsidR="00DE241D" w:rsidRPr="00260790" w:rsidRDefault="00DE241D" w:rsidP="00E20250">
      <w:pPr>
        <w:tabs>
          <w:tab w:val="left" w:pos="8232"/>
        </w:tabs>
        <w:spacing w:line="240" w:lineRule="auto"/>
        <w:rPr>
          <w:rFonts w:ascii="Times New Roman" w:hAnsi="Times New Roman"/>
          <w:i/>
          <w:iCs/>
          <w:color w:val="000000" w:themeColor="text1"/>
        </w:rPr>
      </w:pPr>
      <w:bookmarkStart w:id="676" w:name="_Toc207781929"/>
      <w:r w:rsidRPr="00260790">
        <w:rPr>
          <w:rFonts w:ascii="Times New Roman" w:hAnsi="Times New Roman"/>
          <w:i/>
          <w:iCs/>
          <w:color w:val="000000" w:themeColor="text1"/>
        </w:rPr>
        <w:lastRenderedPageBreak/>
        <w:t xml:space="preserve">Tableau </w:t>
      </w:r>
      <w:r w:rsidRPr="00260790">
        <w:rPr>
          <w:rFonts w:ascii="Times New Roman" w:hAnsi="Times New Roman"/>
          <w:i/>
          <w:iCs/>
          <w:color w:val="000000" w:themeColor="text1"/>
        </w:rPr>
        <w:fldChar w:fldCharType="begin"/>
      </w:r>
      <w:r w:rsidRPr="00260790">
        <w:rPr>
          <w:rFonts w:ascii="Times New Roman" w:hAnsi="Times New Roman"/>
          <w:i/>
          <w:iCs/>
          <w:color w:val="000000" w:themeColor="text1"/>
        </w:rPr>
        <w:instrText xml:space="preserve"> SEQ Tableau \* ARABIC </w:instrText>
      </w:r>
      <w:r w:rsidRPr="00260790">
        <w:rPr>
          <w:rFonts w:ascii="Times New Roman" w:hAnsi="Times New Roman"/>
          <w:i/>
          <w:iCs/>
          <w:color w:val="000000" w:themeColor="text1"/>
        </w:rPr>
        <w:fldChar w:fldCharType="separate"/>
      </w:r>
      <w:r w:rsidR="003C783E">
        <w:rPr>
          <w:rFonts w:ascii="Times New Roman" w:hAnsi="Times New Roman"/>
          <w:i/>
          <w:iCs/>
          <w:noProof/>
          <w:color w:val="000000" w:themeColor="text1"/>
        </w:rPr>
        <w:t>88</w:t>
      </w:r>
      <w:r w:rsidRPr="00260790">
        <w:rPr>
          <w:rFonts w:ascii="Times New Roman" w:hAnsi="Times New Roman"/>
          <w:i/>
          <w:iCs/>
          <w:color w:val="000000" w:themeColor="text1"/>
        </w:rPr>
        <w:fldChar w:fldCharType="end"/>
      </w:r>
      <w:r w:rsidRPr="00260790">
        <w:rPr>
          <w:rFonts w:ascii="Times New Roman" w:hAnsi="Times New Roman"/>
          <w:i/>
          <w:iCs/>
          <w:color w:val="000000" w:themeColor="text1"/>
        </w:rPr>
        <w:t> : Bilan de l’analyse des impacts cumulatifs</w:t>
      </w:r>
      <w:bookmarkEnd w:id="676"/>
    </w:p>
    <w:tbl>
      <w:tblPr>
        <w:tblW w:w="542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1805"/>
        <w:gridCol w:w="2288"/>
        <w:gridCol w:w="3547"/>
        <w:gridCol w:w="2124"/>
        <w:gridCol w:w="2181"/>
        <w:gridCol w:w="1508"/>
      </w:tblGrid>
      <w:tr w:rsidR="00C01E4A" w:rsidRPr="009B46E2" w14:paraId="7AC33C15" w14:textId="77777777" w:rsidTr="00E30CAF">
        <w:trPr>
          <w:tblHeader/>
        </w:trPr>
        <w:tc>
          <w:tcPr>
            <w:tcW w:w="566" w:type="pct"/>
            <w:shd w:val="clear" w:color="auto" w:fill="FFE599" w:themeFill="accent4" w:themeFillTint="66"/>
            <w:vAlign w:val="center"/>
          </w:tcPr>
          <w:p w14:paraId="7472AA42" w14:textId="77777777" w:rsidR="00DE241D" w:rsidRPr="0097258B" w:rsidRDefault="00DE241D" w:rsidP="00691329">
            <w:pPr>
              <w:spacing w:after="0" w:line="240" w:lineRule="auto"/>
              <w:jc w:val="both"/>
              <w:rPr>
                <w:rFonts w:ascii="Times New Roman" w:eastAsia="Cambria" w:hAnsi="Times New Roman"/>
                <w:b/>
                <w:color w:val="000000" w:themeColor="text1"/>
                <w:sz w:val="20"/>
                <w:szCs w:val="20"/>
              </w:rPr>
            </w:pPr>
            <w:r w:rsidRPr="0097258B">
              <w:rPr>
                <w:rFonts w:ascii="Times New Roman" w:eastAsia="Times New Roman" w:hAnsi="Times New Roman"/>
                <w:b/>
                <w:color w:val="000000" w:themeColor="text1"/>
                <w:sz w:val="20"/>
                <w:szCs w:val="20"/>
              </w:rPr>
              <w:t>Composantes</w:t>
            </w:r>
          </w:p>
        </w:tc>
        <w:tc>
          <w:tcPr>
            <w:tcW w:w="595" w:type="pct"/>
            <w:shd w:val="clear" w:color="auto" w:fill="FFE599" w:themeFill="accent4" w:themeFillTint="66"/>
            <w:vAlign w:val="center"/>
          </w:tcPr>
          <w:p w14:paraId="6DFAA5BA" w14:textId="77777777" w:rsidR="00DE241D" w:rsidRPr="0097258B" w:rsidRDefault="00DE241D" w:rsidP="00691329">
            <w:pPr>
              <w:spacing w:after="0" w:line="240" w:lineRule="auto"/>
              <w:jc w:val="both"/>
              <w:rPr>
                <w:rFonts w:ascii="Times New Roman" w:eastAsia="Cambria" w:hAnsi="Times New Roman"/>
                <w:b/>
                <w:color w:val="000000" w:themeColor="text1"/>
                <w:sz w:val="20"/>
                <w:szCs w:val="20"/>
              </w:rPr>
            </w:pPr>
            <w:r w:rsidRPr="0097258B">
              <w:rPr>
                <w:rFonts w:ascii="Times New Roman" w:eastAsia="Times New Roman" w:hAnsi="Times New Roman"/>
                <w:b/>
                <w:color w:val="000000" w:themeColor="text1"/>
                <w:sz w:val="20"/>
                <w:szCs w:val="20"/>
              </w:rPr>
              <w:t>Indicateurs</w:t>
            </w:r>
          </w:p>
        </w:tc>
        <w:tc>
          <w:tcPr>
            <w:tcW w:w="754" w:type="pct"/>
            <w:shd w:val="clear" w:color="auto" w:fill="FFE599" w:themeFill="accent4" w:themeFillTint="66"/>
            <w:vAlign w:val="center"/>
          </w:tcPr>
          <w:p w14:paraId="43B4C53C" w14:textId="77777777" w:rsidR="00DE241D" w:rsidRPr="0097258B" w:rsidRDefault="00DE241D" w:rsidP="00691329">
            <w:pPr>
              <w:spacing w:after="0" w:line="240" w:lineRule="auto"/>
              <w:jc w:val="center"/>
              <w:rPr>
                <w:rFonts w:ascii="Times New Roman" w:eastAsia="Cambria" w:hAnsi="Times New Roman"/>
                <w:b/>
                <w:color w:val="000000" w:themeColor="text1"/>
                <w:sz w:val="20"/>
                <w:szCs w:val="20"/>
              </w:rPr>
            </w:pPr>
            <w:r w:rsidRPr="0097258B">
              <w:rPr>
                <w:rFonts w:ascii="Times New Roman" w:eastAsia="Times New Roman" w:hAnsi="Times New Roman"/>
                <w:b/>
                <w:color w:val="000000" w:themeColor="text1"/>
                <w:sz w:val="20"/>
                <w:szCs w:val="20"/>
              </w:rPr>
              <w:t>Impact des unités</w:t>
            </w:r>
          </w:p>
        </w:tc>
        <w:tc>
          <w:tcPr>
            <w:tcW w:w="1169" w:type="pct"/>
            <w:shd w:val="clear" w:color="auto" w:fill="FFE599" w:themeFill="accent4" w:themeFillTint="66"/>
            <w:vAlign w:val="center"/>
          </w:tcPr>
          <w:p w14:paraId="08FF6199" w14:textId="77777777" w:rsidR="00DE241D" w:rsidRPr="0097258B" w:rsidRDefault="00DE241D" w:rsidP="00691329">
            <w:pPr>
              <w:spacing w:after="0" w:line="240" w:lineRule="auto"/>
              <w:jc w:val="center"/>
              <w:rPr>
                <w:rFonts w:ascii="Times New Roman" w:eastAsia="Cambria" w:hAnsi="Times New Roman"/>
                <w:b/>
                <w:color w:val="000000" w:themeColor="text1"/>
                <w:sz w:val="20"/>
                <w:szCs w:val="20"/>
              </w:rPr>
            </w:pPr>
            <w:r w:rsidRPr="0097258B">
              <w:rPr>
                <w:rFonts w:ascii="Times New Roman" w:eastAsia="Times New Roman" w:hAnsi="Times New Roman"/>
                <w:b/>
                <w:color w:val="000000" w:themeColor="text1"/>
                <w:sz w:val="20"/>
                <w:szCs w:val="20"/>
              </w:rPr>
              <w:t>Impacts cumulatifs</w:t>
            </w:r>
          </w:p>
        </w:tc>
        <w:tc>
          <w:tcPr>
            <w:tcW w:w="700" w:type="pct"/>
            <w:shd w:val="clear" w:color="auto" w:fill="FFE599" w:themeFill="accent4" w:themeFillTint="66"/>
            <w:vAlign w:val="center"/>
          </w:tcPr>
          <w:p w14:paraId="484FD30B" w14:textId="77777777" w:rsidR="00DE241D" w:rsidRPr="0097258B" w:rsidRDefault="00DE241D" w:rsidP="00691329">
            <w:pPr>
              <w:spacing w:after="0" w:line="240" w:lineRule="auto"/>
              <w:jc w:val="center"/>
              <w:rPr>
                <w:rFonts w:ascii="Times New Roman" w:eastAsia="Times New Roman" w:hAnsi="Times New Roman"/>
                <w:b/>
                <w:color w:val="000000" w:themeColor="text1"/>
                <w:sz w:val="20"/>
                <w:szCs w:val="20"/>
              </w:rPr>
            </w:pPr>
            <w:r w:rsidRPr="0097258B">
              <w:rPr>
                <w:rFonts w:ascii="Times New Roman" w:eastAsia="Times New Roman" w:hAnsi="Times New Roman"/>
                <w:b/>
                <w:color w:val="000000" w:themeColor="text1"/>
                <w:sz w:val="20"/>
                <w:szCs w:val="20"/>
              </w:rPr>
              <w:t>Importance de l’impact cumulatif</w:t>
            </w:r>
          </w:p>
        </w:tc>
        <w:tc>
          <w:tcPr>
            <w:tcW w:w="719" w:type="pct"/>
            <w:shd w:val="clear" w:color="auto" w:fill="FFE599" w:themeFill="accent4" w:themeFillTint="66"/>
            <w:vAlign w:val="center"/>
          </w:tcPr>
          <w:p w14:paraId="39602A22" w14:textId="77777777" w:rsidR="00DE241D" w:rsidRPr="0097258B" w:rsidRDefault="00DE241D" w:rsidP="00691329">
            <w:pPr>
              <w:spacing w:after="0" w:line="240" w:lineRule="auto"/>
              <w:jc w:val="center"/>
              <w:rPr>
                <w:rFonts w:ascii="Times New Roman" w:eastAsia="Times New Roman" w:hAnsi="Times New Roman"/>
                <w:b/>
                <w:color w:val="000000" w:themeColor="text1"/>
                <w:sz w:val="20"/>
                <w:szCs w:val="20"/>
              </w:rPr>
            </w:pPr>
            <w:r w:rsidRPr="0097258B">
              <w:rPr>
                <w:rFonts w:ascii="Times New Roman" w:eastAsia="Times New Roman" w:hAnsi="Times New Roman"/>
                <w:b/>
                <w:color w:val="000000" w:themeColor="text1"/>
                <w:sz w:val="20"/>
                <w:szCs w:val="20"/>
              </w:rPr>
              <w:t xml:space="preserve">Mesures d’atténuation </w:t>
            </w:r>
          </w:p>
        </w:tc>
        <w:tc>
          <w:tcPr>
            <w:tcW w:w="497" w:type="pct"/>
            <w:shd w:val="clear" w:color="auto" w:fill="FFE599" w:themeFill="accent4" w:themeFillTint="66"/>
            <w:vAlign w:val="center"/>
          </w:tcPr>
          <w:p w14:paraId="393D2BB9" w14:textId="0BAB58F8" w:rsidR="00DE241D" w:rsidRPr="0097258B" w:rsidRDefault="00DE241D" w:rsidP="00691329">
            <w:pPr>
              <w:spacing w:after="0" w:line="240" w:lineRule="auto"/>
              <w:jc w:val="center"/>
              <w:rPr>
                <w:rFonts w:ascii="Times New Roman" w:eastAsia="Times New Roman" w:hAnsi="Times New Roman"/>
                <w:b/>
                <w:color w:val="000000" w:themeColor="text1"/>
                <w:sz w:val="20"/>
                <w:szCs w:val="20"/>
              </w:rPr>
            </w:pPr>
            <w:r w:rsidRPr="0097258B">
              <w:rPr>
                <w:rFonts w:ascii="Times New Roman" w:eastAsia="Times New Roman" w:hAnsi="Times New Roman"/>
                <w:b/>
                <w:color w:val="000000" w:themeColor="text1"/>
                <w:sz w:val="20"/>
                <w:szCs w:val="20"/>
              </w:rPr>
              <w:t>Impacts résiduel</w:t>
            </w:r>
            <w:r w:rsidR="00BA6943" w:rsidRPr="0097258B">
              <w:rPr>
                <w:rFonts w:ascii="Times New Roman" w:eastAsia="Times New Roman" w:hAnsi="Times New Roman"/>
                <w:b/>
                <w:color w:val="000000" w:themeColor="text1"/>
                <w:sz w:val="20"/>
                <w:szCs w:val="20"/>
              </w:rPr>
              <w:t>s</w:t>
            </w:r>
          </w:p>
        </w:tc>
      </w:tr>
      <w:tr w:rsidR="00C01E4A" w:rsidRPr="009B46E2" w14:paraId="61903345" w14:textId="77777777" w:rsidTr="00E30CAF">
        <w:trPr>
          <w:trHeight w:val="511"/>
        </w:trPr>
        <w:tc>
          <w:tcPr>
            <w:tcW w:w="566" w:type="pct"/>
            <w:vAlign w:val="center"/>
          </w:tcPr>
          <w:p w14:paraId="4283B9F1" w14:textId="77777777" w:rsidR="00DE241D" w:rsidRPr="0097258B" w:rsidRDefault="00DE241D" w:rsidP="00691329">
            <w:pPr>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Affectation des terres </w:t>
            </w:r>
          </w:p>
        </w:tc>
        <w:tc>
          <w:tcPr>
            <w:tcW w:w="595" w:type="pct"/>
            <w:vAlign w:val="center"/>
          </w:tcPr>
          <w:p w14:paraId="4F34CC95" w14:textId="77777777" w:rsidR="00DE241D" w:rsidRPr="0097258B" w:rsidRDefault="00DE241D" w:rsidP="00691329">
            <w:pPr>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Surface occupée</w:t>
            </w:r>
          </w:p>
        </w:tc>
        <w:tc>
          <w:tcPr>
            <w:tcW w:w="754" w:type="pct"/>
            <w:vAlign w:val="center"/>
          </w:tcPr>
          <w:p w14:paraId="0DC32BC3" w14:textId="7EB04FD7"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Soustraction des emprises de leurs usages habituels</w:t>
            </w:r>
          </w:p>
        </w:tc>
        <w:tc>
          <w:tcPr>
            <w:tcW w:w="1169" w:type="pct"/>
            <w:vAlign w:val="center"/>
          </w:tcPr>
          <w:p w14:paraId="2D06CC36" w14:textId="3BDBEA17"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Pression accrue sur les ressources</w:t>
            </w:r>
          </w:p>
        </w:tc>
        <w:tc>
          <w:tcPr>
            <w:tcW w:w="700" w:type="pct"/>
            <w:vAlign w:val="center"/>
          </w:tcPr>
          <w:p w14:paraId="7F253C27" w14:textId="2DE8178B" w:rsidR="00DE241D" w:rsidRPr="0097258B" w:rsidRDefault="00DE241D" w:rsidP="00691329">
            <w:pPr>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color w:val="000000" w:themeColor="text1"/>
                <w:sz w:val="20"/>
                <w:szCs w:val="20"/>
              </w:rPr>
              <w:t xml:space="preserve">Les pertes cumulées de terre seront </w:t>
            </w:r>
            <w:r w:rsidRPr="0097258B">
              <w:rPr>
                <w:rFonts w:ascii="Times New Roman" w:eastAsia="Cambria" w:hAnsi="Times New Roman"/>
                <w:b/>
                <w:color w:val="000000" w:themeColor="text1"/>
                <w:sz w:val="20"/>
                <w:szCs w:val="20"/>
              </w:rPr>
              <w:t xml:space="preserve">négligeables </w:t>
            </w:r>
          </w:p>
        </w:tc>
        <w:tc>
          <w:tcPr>
            <w:tcW w:w="719" w:type="pct"/>
            <w:vAlign w:val="center"/>
          </w:tcPr>
          <w:p w14:paraId="5281A678" w14:textId="6084A000" w:rsidR="00DE241D" w:rsidRPr="0097258B" w:rsidRDefault="00E60FA9"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É</w:t>
            </w:r>
            <w:r w:rsidR="00DE241D" w:rsidRPr="0097258B">
              <w:rPr>
                <w:rFonts w:ascii="Times New Roman" w:eastAsia="Cambria" w:hAnsi="Times New Roman"/>
                <w:color w:val="000000" w:themeColor="text1"/>
                <w:sz w:val="20"/>
                <w:szCs w:val="20"/>
              </w:rPr>
              <w:t>laborer un PAR pour recenser et indemniser les pertes de terre</w:t>
            </w:r>
          </w:p>
        </w:tc>
        <w:tc>
          <w:tcPr>
            <w:tcW w:w="497" w:type="pct"/>
            <w:vAlign w:val="center"/>
          </w:tcPr>
          <w:p w14:paraId="52DC1EA3" w14:textId="5AFB0AEC"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Déplacement d’occupants et d’activités qui autrement, seraient restés sur place</w:t>
            </w:r>
          </w:p>
        </w:tc>
      </w:tr>
      <w:tr w:rsidR="00C01E4A" w:rsidRPr="009B46E2" w14:paraId="5E09BD45" w14:textId="77777777" w:rsidTr="00E30CAF">
        <w:tc>
          <w:tcPr>
            <w:tcW w:w="566" w:type="pct"/>
            <w:vAlign w:val="center"/>
          </w:tcPr>
          <w:p w14:paraId="3797A433" w14:textId="77777777" w:rsidR="00DE241D" w:rsidRPr="0097258B" w:rsidRDefault="00DE241D" w:rsidP="00691329">
            <w:pPr>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Transport/Circulation</w:t>
            </w:r>
          </w:p>
        </w:tc>
        <w:tc>
          <w:tcPr>
            <w:tcW w:w="595" w:type="pct"/>
            <w:vAlign w:val="center"/>
          </w:tcPr>
          <w:p w14:paraId="64A1F01E" w14:textId="77777777" w:rsidR="00DE241D" w:rsidRPr="0097258B" w:rsidRDefault="00DE241D" w:rsidP="00691329">
            <w:pPr>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Embouteillages</w:t>
            </w:r>
          </w:p>
        </w:tc>
        <w:tc>
          <w:tcPr>
            <w:tcW w:w="754" w:type="pct"/>
            <w:vAlign w:val="center"/>
          </w:tcPr>
          <w:p w14:paraId="3385AAD5"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hAnsi="Times New Roman"/>
                <w:color w:val="000000" w:themeColor="text1"/>
                <w:sz w:val="20"/>
                <w:szCs w:val="20"/>
              </w:rPr>
              <w:t>Perturbation du trafic liée aux travaux en cours dans le cadre du BRT, à ceux envisagés dans le cadre du PROGEP.</w:t>
            </w:r>
          </w:p>
        </w:tc>
        <w:tc>
          <w:tcPr>
            <w:tcW w:w="1169" w:type="pct"/>
            <w:vAlign w:val="center"/>
          </w:tcPr>
          <w:p w14:paraId="29F7717E"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 xml:space="preserve">La sommation des effets des différents projets se traduira par une perturbation du trafic et des pertes de temps pour les populations. </w:t>
            </w:r>
          </w:p>
          <w:p w14:paraId="14C9A686" w14:textId="77777777" w:rsidR="00DE241D" w:rsidRPr="0097258B" w:rsidRDefault="00DE241D" w:rsidP="00691329">
            <w:pPr>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color w:val="000000" w:themeColor="text1"/>
                <w:sz w:val="20"/>
                <w:szCs w:val="20"/>
              </w:rPr>
              <w:t>L’impact cessera néanmoins à la fin des travaux.</w:t>
            </w:r>
          </w:p>
        </w:tc>
        <w:tc>
          <w:tcPr>
            <w:tcW w:w="700" w:type="pct"/>
            <w:vAlign w:val="center"/>
          </w:tcPr>
          <w:p w14:paraId="17061B8E" w14:textId="6BDEE14A"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 xml:space="preserve">Vu les embouteillages constatés à l’état actuel aux heures de pointe dans certains axes routiers de la banlieue, on peut raisonnablement affirmer que l’importance de l’impact cumulé sera </w:t>
            </w:r>
            <w:r w:rsidRPr="0097258B">
              <w:rPr>
                <w:rFonts w:ascii="Times New Roman" w:eastAsia="Cambria" w:hAnsi="Times New Roman"/>
                <w:b/>
                <w:color w:val="000000" w:themeColor="text1"/>
                <w:sz w:val="20"/>
                <w:szCs w:val="20"/>
              </w:rPr>
              <w:t>forte</w:t>
            </w:r>
          </w:p>
        </w:tc>
        <w:tc>
          <w:tcPr>
            <w:tcW w:w="719" w:type="pct"/>
            <w:vAlign w:val="center"/>
          </w:tcPr>
          <w:p w14:paraId="605BC4E4" w14:textId="77777777" w:rsidR="00DE241D" w:rsidRPr="0097258B" w:rsidRDefault="00DE241D" w:rsidP="00691329">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Avis à la population concernant le début des travaux et les horaires de travail ;</w:t>
            </w:r>
          </w:p>
          <w:p w14:paraId="3B9D4269" w14:textId="77777777" w:rsidR="00DE241D" w:rsidRPr="0097258B" w:rsidRDefault="00DE241D" w:rsidP="00691329">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Aménagement de voies de déviation et large diffusion de l’information pour les faire connaître au public ;</w:t>
            </w:r>
          </w:p>
          <w:p w14:paraId="1B0978FC"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hAnsi="Times New Roman"/>
                <w:color w:val="000000" w:themeColor="text1"/>
                <w:sz w:val="20"/>
                <w:szCs w:val="20"/>
              </w:rPr>
              <w:t xml:space="preserve">Respect des délais prévus </w:t>
            </w:r>
          </w:p>
        </w:tc>
        <w:tc>
          <w:tcPr>
            <w:tcW w:w="497" w:type="pct"/>
            <w:vAlign w:val="center"/>
          </w:tcPr>
          <w:p w14:paraId="55730FEC" w14:textId="77777777" w:rsidR="00DE241D" w:rsidRPr="0097258B" w:rsidRDefault="00DE241D" w:rsidP="00691329">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Faible si toutes les mesures sont mises en œuvre et suivies.</w:t>
            </w:r>
          </w:p>
          <w:p w14:paraId="3A36A94D" w14:textId="6075C0C1" w:rsidR="00DE241D" w:rsidRPr="0097258B" w:rsidRDefault="009965A6" w:rsidP="00691329">
            <w:pPr>
              <w:spacing w:after="0" w:line="240" w:lineRule="auto"/>
              <w:jc w:val="both"/>
              <w:rPr>
                <w:rFonts w:ascii="Times New Roman" w:eastAsia="Cambria" w:hAnsi="Times New Roman"/>
                <w:color w:val="000000" w:themeColor="text1"/>
                <w:sz w:val="20"/>
                <w:szCs w:val="20"/>
              </w:rPr>
            </w:pPr>
            <w:r w:rsidRPr="0097258B">
              <w:rPr>
                <w:rFonts w:ascii="Times New Roman" w:hAnsi="Times New Roman"/>
                <w:color w:val="000000" w:themeColor="text1"/>
                <w:sz w:val="20"/>
                <w:szCs w:val="20"/>
              </w:rPr>
              <w:t>À</w:t>
            </w:r>
            <w:r w:rsidR="00DE241D" w:rsidRPr="0097258B">
              <w:rPr>
                <w:rFonts w:ascii="Times New Roman" w:hAnsi="Times New Roman"/>
                <w:color w:val="000000" w:themeColor="text1"/>
                <w:sz w:val="20"/>
                <w:szCs w:val="20"/>
              </w:rPr>
              <w:t xml:space="preserve"> noter que l’ouverture des différentes voies améliorera significativement la mobilité des populations</w:t>
            </w:r>
          </w:p>
        </w:tc>
      </w:tr>
      <w:tr w:rsidR="00C01E4A" w:rsidRPr="009B46E2" w14:paraId="5C446AA6" w14:textId="77777777" w:rsidTr="00E30CAF">
        <w:tc>
          <w:tcPr>
            <w:tcW w:w="566" w:type="pct"/>
            <w:vAlign w:val="center"/>
          </w:tcPr>
          <w:p w14:paraId="36AEF927" w14:textId="77777777" w:rsidR="00DE241D" w:rsidRPr="0097258B" w:rsidRDefault="00DE241D" w:rsidP="00691329">
            <w:pPr>
              <w:spacing w:after="0" w:line="240" w:lineRule="auto"/>
              <w:jc w:val="both"/>
              <w:rPr>
                <w:rFonts w:ascii="Times New Roman" w:eastAsia="Cambria" w:hAnsi="Times New Roman"/>
                <w:b/>
                <w:color w:val="000000" w:themeColor="text1"/>
                <w:sz w:val="20"/>
                <w:szCs w:val="20"/>
              </w:rPr>
            </w:pPr>
          </w:p>
          <w:p w14:paraId="71991506" w14:textId="2070831B" w:rsidR="00DE241D" w:rsidRPr="0097258B" w:rsidRDefault="00BA6943" w:rsidP="00691329">
            <w:pPr>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É</w:t>
            </w:r>
            <w:r w:rsidR="00DE241D" w:rsidRPr="0097258B">
              <w:rPr>
                <w:rFonts w:ascii="Times New Roman" w:eastAsia="Cambria" w:hAnsi="Times New Roman"/>
                <w:b/>
                <w:color w:val="000000" w:themeColor="text1"/>
                <w:sz w:val="20"/>
                <w:szCs w:val="20"/>
              </w:rPr>
              <w:t>conom</w:t>
            </w:r>
            <w:r w:rsidR="00874DDA" w:rsidRPr="0097258B">
              <w:rPr>
                <w:rFonts w:ascii="Times New Roman" w:eastAsia="Cambria" w:hAnsi="Times New Roman"/>
                <w:b/>
                <w:color w:val="000000" w:themeColor="text1"/>
                <w:sz w:val="20"/>
                <w:szCs w:val="20"/>
              </w:rPr>
              <w:t>ie</w:t>
            </w:r>
            <w:r w:rsidR="00DE241D" w:rsidRPr="0097258B">
              <w:rPr>
                <w:rFonts w:ascii="Times New Roman" w:eastAsia="Cambria" w:hAnsi="Times New Roman"/>
                <w:b/>
                <w:color w:val="000000" w:themeColor="text1"/>
                <w:sz w:val="20"/>
                <w:szCs w:val="20"/>
              </w:rPr>
              <w:t> locale (pertes d’actifs et d’AGR)</w:t>
            </w:r>
          </w:p>
        </w:tc>
        <w:tc>
          <w:tcPr>
            <w:tcW w:w="595" w:type="pct"/>
            <w:vAlign w:val="center"/>
          </w:tcPr>
          <w:p w14:paraId="18C86870"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p>
          <w:p w14:paraId="5B5B61D5"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Nombre de places d’affaires affectées par le projet</w:t>
            </w:r>
          </w:p>
        </w:tc>
        <w:tc>
          <w:tcPr>
            <w:tcW w:w="754" w:type="pct"/>
            <w:vAlign w:val="center"/>
          </w:tcPr>
          <w:p w14:paraId="5BC51DB7" w14:textId="77777777" w:rsidR="00DE241D" w:rsidRPr="0097258B" w:rsidRDefault="00DE241D" w:rsidP="00691329">
            <w:pPr>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color w:val="000000" w:themeColor="text1"/>
                <w:sz w:val="20"/>
                <w:szCs w:val="20"/>
              </w:rPr>
              <w:t>Pertes/restrictions d’accès à des moyens de subsistance ou des activités génératrices de revenus</w:t>
            </w:r>
          </w:p>
        </w:tc>
        <w:tc>
          <w:tcPr>
            <w:tcW w:w="1169" w:type="pct"/>
            <w:vAlign w:val="center"/>
          </w:tcPr>
          <w:p w14:paraId="3411E08E"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Les différents projets concernés affectent des places d’affaire et de terres agricoles.</w:t>
            </w:r>
          </w:p>
          <w:p w14:paraId="2CE070B8" w14:textId="77777777" w:rsidR="00DE241D" w:rsidRPr="0097258B" w:rsidRDefault="00DE241D" w:rsidP="00691329">
            <w:pPr>
              <w:spacing w:after="0" w:line="240" w:lineRule="auto"/>
              <w:jc w:val="both"/>
              <w:rPr>
                <w:rFonts w:ascii="Times New Roman" w:eastAsia="Cambria" w:hAnsi="Times New Roman"/>
                <w:b/>
                <w:color w:val="000000" w:themeColor="text1"/>
                <w:sz w:val="20"/>
                <w:szCs w:val="20"/>
              </w:rPr>
            </w:pPr>
          </w:p>
        </w:tc>
        <w:tc>
          <w:tcPr>
            <w:tcW w:w="700" w:type="pct"/>
            <w:vAlign w:val="center"/>
          </w:tcPr>
          <w:p w14:paraId="3951011C"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Style w:val="markedcontent"/>
                <w:rFonts w:ascii="Times New Roman" w:eastAsia="Cambria" w:hAnsi="Times New Roman"/>
                <w:color w:val="000000" w:themeColor="text1"/>
                <w:sz w:val="20"/>
                <w:szCs w:val="20"/>
              </w:rPr>
              <w:t>La mise en œuvre des différents projets affectera donc sensiblement l’économie locale.</w:t>
            </w:r>
          </w:p>
        </w:tc>
        <w:tc>
          <w:tcPr>
            <w:tcW w:w="719" w:type="pct"/>
            <w:vAlign w:val="center"/>
          </w:tcPr>
          <w:p w14:paraId="73A466D6" w14:textId="1762783B" w:rsidR="00DE241D" w:rsidRPr="0097258B" w:rsidRDefault="00BA6943"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É</w:t>
            </w:r>
            <w:r w:rsidR="00DE241D" w:rsidRPr="0097258B">
              <w:rPr>
                <w:rFonts w:ascii="Times New Roman" w:eastAsia="Cambria" w:hAnsi="Times New Roman"/>
                <w:color w:val="000000" w:themeColor="text1"/>
                <w:sz w:val="20"/>
                <w:szCs w:val="20"/>
              </w:rPr>
              <w:t>laboration d’un PAR pour recenser et indemniser les pertes de biens et les manques à gagner ;</w:t>
            </w:r>
          </w:p>
          <w:p w14:paraId="050A0D84"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Mettre en œuvre des mesures d’accompagnement et de restauration de moyens de subsistance.</w:t>
            </w:r>
          </w:p>
        </w:tc>
        <w:tc>
          <w:tcPr>
            <w:tcW w:w="497" w:type="pct"/>
            <w:vAlign w:val="center"/>
          </w:tcPr>
          <w:p w14:paraId="6DB53879"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Déplacement d’acteurs et d’activités économiques qui autrement, seraient restés sur place.</w:t>
            </w:r>
          </w:p>
        </w:tc>
      </w:tr>
      <w:tr w:rsidR="00C01E4A" w:rsidRPr="009B46E2" w14:paraId="0A2B5EA5" w14:textId="77777777" w:rsidTr="00E30CAF">
        <w:tc>
          <w:tcPr>
            <w:tcW w:w="566" w:type="pct"/>
            <w:vAlign w:val="center"/>
          </w:tcPr>
          <w:p w14:paraId="47BC4356" w14:textId="77777777" w:rsidR="00DE241D" w:rsidRPr="0097258B" w:rsidRDefault="00DE241D" w:rsidP="00691329">
            <w:pPr>
              <w:spacing w:after="0" w:line="240" w:lineRule="auto"/>
              <w:jc w:val="both"/>
              <w:rPr>
                <w:rFonts w:ascii="Times New Roman" w:eastAsia="Cambria" w:hAnsi="Times New Roman"/>
                <w:b/>
                <w:color w:val="000000" w:themeColor="text1"/>
                <w:sz w:val="20"/>
                <w:szCs w:val="20"/>
              </w:rPr>
            </w:pPr>
          </w:p>
          <w:p w14:paraId="1C701CB3" w14:textId="77777777" w:rsidR="00DE241D" w:rsidRPr="0097258B" w:rsidRDefault="00DE241D" w:rsidP="00691329">
            <w:pPr>
              <w:spacing w:after="0" w:line="240" w:lineRule="auto"/>
              <w:jc w:val="both"/>
              <w:rPr>
                <w:rFonts w:ascii="Times New Roman" w:eastAsia="Cambria" w:hAnsi="Times New Roman"/>
                <w:b/>
                <w:color w:val="000000" w:themeColor="text1"/>
                <w:sz w:val="20"/>
                <w:szCs w:val="20"/>
              </w:rPr>
            </w:pPr>
          </w:p>
          <w:p w14:paraId="1409CC6E" w14:textId="77777777" w:rsidR="00DE241D" w:rsidRPr="0097258B" w:rsidRDefault="00DE241D" w:rsidP="00691329">
            <w:pPr>
              <w:spacing w:after="0" w:line="240" w:lineRule="auto"/>
              <w:jc w:val="both"/>
              <w:rPr>
                <w:rFonts w:ascii="Times New Roman" w:eastAsia="Cambria" w:hAnsi="Times New Roman"/>
                <w:b/>
                <w:color w:val="000000" w:themeColor="text1"/>
                <w:sz w:val="20"/>
                <w:szCs w:val="20"/>
              </w:rPr>
            </w:pPr>
          </w:p>
          <w:p w14:paraId="56F463CA" w14:textId="77777777" w:rsidR="00DE241D" w:rsidRPr="0097258B" w:rsidRDefault="00DE241D" w:rsidP="00691329">
            <w:pPr>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Habitat </w:t>
            </w:r>
          </w:p>
        </w:tc>
        <w:tc>
          <w:tcPr>
            <w:tcW w:w="595" w:type="pct"/>
            <w:vAlign w:val="center"/>
          </w:tcPr>
          <w:p w14:paraId="78A50F53"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p>
          <w:p w14:paraId="6F49E646"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p>
          <w:p w14:paraId="011406D7"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Nombre de personnes affectées par les pertes d’habitations</w:t>
            </w:r>
          </w:p>
        </w:tc>
        <w:tc>
          <w:tcPr>
            <w:tcW w:w="754" w:type="pct"/>
            <w:vAlign w:val="center"/>
          </w:tcPr>
          <w:p w14:paraId="78571FDF" w14:textId="77777777" w:rsidR="00DE241D" w:rsidRPr="0097258B" w:rsidRDefault="00DE241D" w:rsidP="00691329">
            <w:pPr>
              <w:spacing w:after="0" w:line="240" w:lineRule="auto"/>
              <w:jc w:val="both"/>
              <w:rPr>
                <w:rFonts w:ascii="Times New Roman" w:eastAsia="Cambria" w:hAnsi="Times New Roman"/>
                <w:b/>
                <w:color w:val="000000" w:themeColor="text1"/>
                <w:sz w:val="20"/>
                <w:szCs w:val="20"/>
              </w:rPr>
            </w:pPr>
          </w:p>
          <w:p w14:paraId="416EAFF0"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p>
          <w:p w14:paraId="4E606E37"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p>
          <w:p w14:paraId="647120A0"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p>
          <w:p w14:paraId="62FD8280"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Démolition d’habitations</w:t>
            </w:r>
          </w:p>
        </w:tc>
        <w:tc>
          <w:tcPr>
            <w:tcW w:w="1169" w:type="pct"/>
            <w:vAlign w:val="center"/>
          </w:tcPr>
          <w:p w14:paraId="32844350"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Les différents projets d’infrastructures considérés entrainent à des degrés divers des déplacements de populations.</w:t>
            </w:r>
          </w:p>
          <w:p w14:paraId="17173399" w14:textId="77777777" w:rsidR="00DE241D" w:rsidRPr="0097258B" w:rsidRDefault="00DE241D" w:rsidP="00691329">
            <w:pPr>
              <w:spacing w:after="0" w:line="240" w:lineRule="auto"/>
              <w:jc w:val="both"/>
              <w:rPr>
                <w:rFonts w:ascii="Times New Roman" w:eastAsia="Cambria" w:hAnsi="Times New Roman"/>
                <w:b/>
                <w:color w:val="000000" w:themeColor="text1"/>
                <w:sz w:val="20"/>
                <w:szCs w:val="20"/>
              </w:rPr>
            </w:pPr>
          </w:p>
        </w:tc>
        <w:tc>
          <w:tcPr>
            <w:tcW w:w="700" w:type="pct"/>
            <w:vAlign w:val="center"/>
          </w:tcPr>
          <w:p w14:paraId="70233EC2"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 xml:space="preserve">L’importance de l’impact jugée </w:t>
            </w:r>
            <w:r w:rsidRPr="0097258B">
              <w:rPr>
                <w:rFonts w:ascii="Times New Roman" w:eastAsia="Cambria" w:hAnsi="Times New Roman"/>
                <w:b/>
                <w:color w:val="000000" w:themeColor="text1"/>
                <w:sz w:val="20"/>
                <w:szCs w:val="20"/>
              </w:rPr>
              <w:t xml:space="preserve">moyenne </w:t>
            </w:r>
            <w:r w:rsidRPr="0097258B">
              <w:rPr>
                <w:rFonts w:ascii="Times New Roman" w:eastAsia="Cambria" w:hAnsi="Times New Roman"/>
                <w:color w:val="000000" w:themeColor="text1"/>
                <w:sz w:val="20"/>
                <w:szCs w:val="20"/>
              </w:rPr>
              <w:t xml:space="preserve">à </w:t>
            </w:r>
            <w:r w:rsidRPr="0097258B">
              <w:rPr>
                <w:rFonts w:ascii="Times New Roman" w:eastAsia="Cambria" w:hAnsi="Times New Roman"/>
                <w:b/>
                <w:color w:val="000000" w:themeColor="text1"/>
                <w:sz w:val="20"/>
                <w:szCs w:val="20"/>
              </w:rPr>
              <w:t>forte</w:t>
            </w:r>
            <w:r w:rsidRPr="0097258B">
              <w:rPr>
                <w:rFonts w:ascii="Times New Roman" w:eastAsia="Cambria" w:hAnsi="Times New Roman"/>
                <w:color w:val="000000" w:themeColor="text1"/>
                <w:sz w:val="20"/>
                <w:szCs w:val="20"/>
              </w:rPr>
              <w:t xml:space="preserve"> vue la sensibilité des problèmes de déplacements physiques de personnes </w:t>
            </w:r>
            <w:r w:rsidRPr="0097258B">
              <w:rPr>
                <w:rFonts w:ascii="Times New Roman" w:eastAsia="Cambria" w:hAnsi="Times New Roman"/>
                <w:color w:val="000000" w:themeColor="text1"/>
                <w:sz w:val="20"/>
                <w:szCs w:val="20"/>
              </w:rPr>
              <w:lastRenderedPageBreak/>
              <w:t>et des situations de vulnérabilités auxquelles ils peuvent exposer les personnes affectées.</w:t>
            </w:r>
          </w:p>
        </w:tc>
        <w:tc>
          <w:tcPr>
            <w:tcW w:w="719" w:type="pct"/>
            <w:vAlign w:val="center"/>
          </w:tcPr>
          <w:p w14:paraId="132B91F0" w14:textId="37AB259C" w:rsidR="00DE241D" w:rsidRPr="0097258B" w:rsidRDefault="00BA6943"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lastRenderedPageBreak/>
              <w:t>É</w:t>
            </w:r>
            <w:r w:rsidR="00DE241D" w:rsidRPr="0097258B">
              <w:rPr>
                <w:rFonts w:ascii="Times New Roman" w:eastAsia="Cambria" w:hAnsi="Times New Roman"/>
                <w:color w:val="000000" w:themeColor="text1"/>
                <w:sz w:val="20"/>
                <w:szCs w:val="20"/>
              </w:rPr>
              <w:t>laboration d’un PAR pour recenser et indemniser les pertes de biens et les manques à gagner ;</w:t>
            </w:r>
          </w:p>
          <w:p w14:paraId="098A689A"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 xml:space="preserve">Mettre en œuvre des mesures </w:t>
            </w:r>
            <w:r w:rsidRPr="0097258B">
              <w:rPr>
                <w:rFonts w:ascii="Times New Roman" w:eastAsia="Cambria" w:hAnsi="Times New Roman"/>
                <w:color w:val="000000" w:themeColor="text1"/>
                <w:sz w:val="20"/>
                <w:szCs w:val="20"/>
              </w:rPr>
              <w:lastRenderedPageBreak/>
              <w:t>d’accompagnement et de restauration de moyens de subsistance.</w:t>
            </w:r>
          </w:p>
        </w:tc>
        <w:tc>
          <w:tcPr>
            <w:tcW w:w="497" w:type="pct"/>
            <w:vAlign w:val="center"/>
          </w:tcPr>
          <w:p w14:paraId="1DDB8934"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lastRenderedPageBreak/>
              <w:t>Déplacement de résidents qui autrement seraient restés sur place.</w:t>
            </w:r>
          </w:p>
        </w:tc>
      </w:tr>
      <w:tr w:rsidR="00C01E4A" w:rsidRPr="009B46E2" w14:paraId="4A691725" w14:textId="77777777" w:rsidTr="00E30CAF">
        <w:tc>
          <w:tcPr>
            <w:tcW w:w="566" w:type="pct"/>
            <w:vAlign w:val="center"/>
          </w:tcPr>
          <w:p w14:paraId="3CDA8FBF" w14:textId="77777777" w:rsidR="00DE241D" w:rsidRPr="0097258B" w:rsidRDefault="00DE241D" w:rsidP="00691329">
            <w:pPr>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Aires classées de Mbao</w:t>
            </w:r>
          </w:p>
        </w:tc>
        <w:tc>
          <w:tcPr>
            <w:tcW w:w="595" w:type="pct"/>
            <w:vAlign w:val="center"/>
          </w:tcPr>
          <w:p w14:paraId="27C967E2"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Superficie déclassée</w:t>
            </w:r>
          </w:p>
        </w:tc>
        <w:tc>
          <w:tcPr>
            <w:tcW w:w="754" w:type="pct"/>
            <w:vAlign w:val="center"/>
          </w:tcPr>
          <w:p w14:paraId="74A3063D"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Réduction de la superficie de la forêt déclassée</w:t>
            </w:r>
          </w:p>
          <w:p w14:paraId="2D335AC2" w14:textId="77777777" w:rsidR="00DE241D" w:rsidRPr="0097258B" w:rsidRDefault="00DE241D" w:rsidP="00691329">
            <w:pPr>
              <w:spacing w:after="0" w:line="240" w:lineRule="auto"/>
              <w:jc w:val="both"/>
              <w:rPr>
                <w:rFonts w:ascii="Times New Roman" w:eastAsia="Cambria" w:hAnsi="Times New Roman"/>
                <w:b/>
                <w:color w:val="000000" w:themeColor="text1"/>
                <w:sz w:val="20"/>
                <w:szCs w:val="20"/>
              </w:rPr>
            </w:pPr>
          </w:p>
        </w:tc>
        <w:tc>
          <w:tcPr>
            <w:tcW w:w="1169" w:type="pct"/>
            <w:vAlign w:val="center"/>
          </w:tcPr>
          <w:p w14:paraId="262D7D0D" w14:textId="48913973" w:rsidR="00DE241D" w:rsidRPr="0097258B" w:rsidRDefault="00DE241D" w:rsidP="00691329">
            <w:pPr>
              <w:spacing w:after="0" w:line="240" w:lineRule="auto"/>
              <w:jc w:val="both"/>
              <w:rPr>
                <w:rFonts w:ascii="Times New Roman" w:hAnsi="Times New Roman"/>
                <w:color w:val="000000" w:themeColor="text1"/>
                <w:sz w:val="20"/>
                <w:szCs w:val="20"/>
              </w:rPr>
            </w:pPr>
            <w:r w:rsidRPr="0097258B">
              <w:rPr>
                <w:rFonts w:ascii="Times New Roman" w:eastAsia="Cambria" w:hAnsi="Times New Roman"/>
                <w:color w:val="000000" w:themeColor="text1"/>
                <w:sz w:val="20"/>
                <w:szCs w:val="20"/>
              </w:rPr>
              <w:t xml:space="preserve">Les trois projets que sont le TER, l’autoroute Malick SY-Diamniadio et </w:t>
            </w:r>
            <w:r w:rsidRPr="0097258B">
              <w:rPr>
                <w:rFonts w:ascii="Times New Roman" w:hAnsi="Times New Roman"/>
                <w:bCs/>
                <w:color w:val="000000" w:themeColor="text1"/>
                <w:sz w:val="20"/>
                <w:szCs w:val="20"/>
              </w:rPr>
              <w:t>P</w:t>
            </w:r>
            <w:r w:rsidR="00277DD2" w:rsidRPr="0097258B">
              <w:rPr>
                <w:rFonts w:ascii="Times New Roman" w:eastAsia="Cambria" w:hAnsi="Times New Roman"/>
                <w:color w:val="000000" w:themeColor="text1"/>
                <w:sz w:val="20"/>
                <w:szCs w:val="20"/>
              </w:rPr>
              <w:t>R</w:t>
            </w:r>
            <w:r w:rsidR="00306789" w:rsidRPr="0097258B">
              <w:rPr>
                <w:rFonts w:ascii="Times New Roman" w:eastAsia="Cambria" w:hAnsi="Times New Roman"/>
                <w:color w:val="000000" w:themeColor="text1"/>
                <w:sz w:val="20"/>
                <w:szCs w:val="20"/>
              </w:rPr>
              <w:t>OGEP 2 empiète</w:t>
            </w:r>
            <w:r w:rsidR="00121632" w:rsidRPr="0097258B">
              <w:rPr>
                <w:rFonts w:ascii="Times New Roman" w:eastAsia="Cambria" w:hAnsi="Times New Roman"/>
                <w:color w:val="000000" w:themeColor="text1"/>
                <w:sz w:val="20"/>
                <w:szCs w:val="20"/>
              </w:rPr>
              <w:t>nt</w:t>
            </w:r>
            <w:r w:rsidRPr="0097258B">
              <w:rPr>
                <w:rFonts w:ascii="Times New Roman" w:eastAsia="Cambria" w:hAnsi="Times New Roman"/>
                <w:color w:val="000000" w:themeColor="text1"/>
                <w:sz w:val="20"/>
                <w:szCs w:val="20"/>
              </w:rPr>
              <w:t xml:space="preserve"> sur la forêt classée de Mbao.</w:t>
            </w:r>
          </w:p>
          <w:p w14:paraId="3A231485"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 xml:space="preserve">L’actuel plan d’aménagement de la forêt de Mbao datant de 2008 est jugé caduc aux yeux du nouveau responsable des Eaux et Forêts, le Colonel Sidiki Diop qui souhaite mettre à jour ce plan au regard des importants empiètements qui sont survenus dans cette forêt. </w:t>
            </w:r>
          </w:p>
          <w:p w14:paraId="6ED70004"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 xml:space="preserve">Pour M. DIOP, la réalisation de projets comme le TER (Train Express Régional) ont contribué à modifier la physionomie de la forêt et sa structuration. Et les principales conséquences sont l’inondation de 150 ha de la forêt, l’obstruction des chenaux d’écoulement des eaux vers la mer, la perturbation des activités de maraichage et d’apiculture et le rétrécissement des espaces végétalisés. </w:t>
            </w:r>
          </w:p>
        </w:tc>
        <w:tc>
          <w:tcPr>
            <w:tcW w:w="700" w:type="pct"/>
            <w:vAlign w:val="center"/>
          </w:tcPr>
          <w:p w14:paraId="49288127"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La sommation des effets des projets affectera donc sensiblement le patrimoine forestier et le taux de classement de la région de Dakar.</w:t>
            </w:r>
          </w:p>
          <w:p w14:paraId="31EF9DFE"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p>
        </w:tc>
        <w:tc>
          <w:tcPr>
            <w:tcW w:w="719" w:type="pct"/>
            <w:vAlign w:val="center"/>
          </w:tcPr>
          <w:p w14:paraId="508CF788"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Mettre en œuvre le plan de reboisement compensatoire en adoptant un facteur de remplacement de 4 (arbres plantés) pour 1 abattu ;</w:t>
            </w:r>
          </w:p>
          <w:p w14:paraId="4B010994"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Appuyer l’actualisation du plan d’aménagement de la forêt.</w:t>
            </w:r>
          </w:p>
          <w:p w14:paraId="01D93F32" w14:textId="0655D735" w:rsidR="00DE241D" w:rsidRPr="0097258B" w:rsidRDefault="00E60FA9"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É</w:t>
            </w:r>
            <w:r w:rsidR="00DE241D" w:rsidRPr="0097258B">
              <w:rPr>
                <w:rFonts w:ascii="Times New Roman" w:eastAsia="Cambria" w:hAnsi="Times New Roman"/>
                <w:color w:val="000000" w:themeColor="text1"/>
                <w:sz w:val="20"/>
                <w:szCs w:val="20"/>
              </w:rPr>
              <w:t>laborer un PAR et mettre en œuvre des mesures de restauration des moyens de subsistance.</w:t>
            </w:r>
          </w:p>
        </w:tc>
        <w:tc>
          <w:tcPr>
            <w:tcW w:w="497" w:type="pct"/>
            <w:vAlign w:val="center"/>
          </w:tcPr>
          <w:p w14:paraId="065A1F22" w14:textId="69CA0574"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Réduction de la superficie originelle de la forêt (722</w:t>
            </w:r>
            <w:r w:rsidR="00277DD2" w:rsidRPr="0097258B">
              <w:rPr>
                <w:rFonts w:ascii="Times New Roman" w:eastAsia="Cambria" w:hAnsi="Times New Roman"/>
                <w:color w:val="000000" w:themeColor="text1"/>
                <w:sz w:val="20"/>
                <w:szCs w:val="20"/>
              </w:rPr>
              <w:t xml:space="preserve"> </w:t>
            </w:r>
            <w:r w:rsidRPr="0097258B">
              <w:rPr>
                <w:rFonts w:ascii="Times New Roman" w:eastAsia="Cambria" w:hAnsi="Times New Roman"/>
                <w:color w:val="000000" w:themeColor="text1"/>
                <w:sz w:val="20"/>
                <w:szCs w:val="20"/>
              </w:rPr>
              <w:t>ha) et du taux de classement régional.</w:t>
            </w:r>
          </w:p>
        </w:tc>
      </w:tr>
      <w:tr w:rsidR="00C01E4A" w:rsidRPr="009B46E2" w14:paraId="58E06ED9" w14:textId="77777777" w:rsidTr="00E30CAF">
        <w:tc>
          <w:tcPr>
            <w:tcW w:w="566" w:type="pct"/>
            <w:vAlign w:val="center"/>
          </w:tcPr>
          <w:p w14:paraId="3CA9D554" w14:textId="77777777" w:rsidR="00DE241D" w:rsidRPr="0097258B" w:rsidRDefault="00DE241D" w:rsidP="00691329">
            <w:pPr>
              <w:spacing w:after="0" w:line="240" w:lineRule="auto"/>
              <w:jc w:val="both"/>
              <w:rPr>
                <w:rFonts w:ascii="Times New Roman" w:eastAsia="Cambria" w:hAnsi="Times New Roman"/>
                <w:b/>
                <w:color w:val="000000" w:themeColor="text1"/>
                <w:sz w:val="20"/>
                <w:szCs w:val="20"/>
              </w:rPr>
            </w:pPr>
          </w:p>
          <w:p w14:paraId="5A69BB79" w14:textId="77777777" w:rsidR="00DE241D" w:rsidRPr="0097258B" w:rsidRDefault="00DE241D" w:rsidP="00691329">
            <w:pPr>
              <w:spacing w:after="0" w:line="240" w:lineRule="auto"/>
              <w:jc w:val="both"/>
              <w:rPr>
                <w:rFonts w:ascii="Times New Roman" w:eastAsia="Cambria" w:hAnsi="Times New Roman"/>
                <w:b/>
                <w:color w:val="000000" w:themeColor="text1"/>
                <w:sz w:val="20"/>
                <w:szCs w:val="20"/>
              </w:rPr>
            </w:pPr>
          </w:p>
          <w:p w14:paraId="254A077F" w14:textId="77777777" w:rsidR="00DE241D" w:rsidRPr="0097258B" w:rsidRDefault="00DE241D" w:rsidP="00691329">
            <w:pPr>
              <w:spacing w:after="0" w:line="240" w:lineRule="auto"/>
              <w:jc w:val="both"/>
              <w:rPr>
                <w:rFonts w:ascii="Times New Roman" w:eastAsia="Cambria" w:hAnsi="Times New Roman"/>
                <w:b/>
                <w:color w:val="000000" w:themeColor="text1"/>
                <w:sz w:val="20"/>
                <w:szCs w:val="20"/>
              </w:rPr>
            </w:pPr>
          </w:p>
          <w:p w14:paraId="240E5440" w14:textId="77777777" w:rsidR="00DE241D" w:rsidRPr="0097258B" w:rsidRDefault="00DE241D" w:rsidP="00691329">
            <w:pPr>
              <w:spacing w:after="0" w:line="240" w:lineRule="auto"/>
              <w:jc w:val="both"/>
              <w:rPr>
                <w:rFonts w:ascii="Times New Roman" w:eastAsia="Cambria" w:hAnsi="Times New Roman"/>
                <w:b/>
                <w:color w:val="000000" w:themeColor="text1"/>
                <w:sz w:val="20"/>
                <w:szCs w:val="20"/>
              </w:rPr>
            </w:pPr>
          </w:p>
          <w:p w14:paraId="54C2EF2B" w14:textId="77777777" w:rsidR="00DE241D" w:rsidRPr="0097258B" w:rsidRDefault="00DE241D" w:rsidP="00691329">
            <w:pPr>
              <w:spacing w:after="0" w:line="240" w:lineRule="auto"/>
              <w:jc w:val="both"/>
              <w:rPr>
                <w:rFonts w:ascii="Times New Roman" w:eastAsia="Cambria" w:hAnsi="Times New Roman"/>
                <w:b/>
                <w:color w:val="000000" w:themeColor="text1"/>
                <w:sz w:val="20"/>
                <w:szCs w:val="20"/>
              </w:rPr>
            </w:pPr>
          </w:p>
          <w:p w14:paraId="555E2F3E" w14:textId="77777777" w:rsidR="00DE241D" w:rsidRPr="0097258B" w:rsidRDefault="00DE241D" w:rsidP="00691329">
            <w:pPr>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Qualité de l’air et climat </w:t>
            </w:r>
          </w:p>
        </w:tc>
        <w:tc>
          <w:tcPr>
            <w:tcW w:w="595" w:type="pct"/>
            <w:vAlign w:val="center"/>
          </w:tcPr>
          <w:p w14:paraId="19474993"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p>
          <w:p w14:paraId="5EDE3D07"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p>
          <w:p w14:paraId="0ED83154"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p>
          <w:p w14:paraId="16E919B1"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p>
          <w:p w14:paraId="078B5B4B"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p>
          <w:p w14:paraId="083A045F"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Qualité de l’air</w:t>
            </w:r>
          </w:p>
          <w:p w14:paraId="34C665DD" w14:textId="262DCB58" w:rsidR="00DE241D" w:rsidRPr="0097258B" w:rsidRDefault="00D04A07"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É</w:t>
            </w:r>
            <w:r w:rsidR="00DE241D" w:rsidRPr="0097258B">
              <w:rPr>
                <w:rFonts w:ascii="Times New Roman" w:eastAsia="Cambria" w:hAnsi="Times New Roman"/>
                <w:color w:val="000000" w:themeColor="text1"/>
                <w:sz w:val="20"/>
                <w:szCs w:val="20"/>
              </w:rPr>
              <w:t>missions de GES</w:t>
            </w:r>
          </w:p>
        </w:tc>
        <w:tc>
          <w:tcPr>
            <w:tcW w:w="754" w:type="pct"/>
            <w:vAlign w:val="center"/>
          </w:tcPr>
          <w:p w14:paraId="3A3E8F59" w14:textId="45DEC68F" w:rsidR="00DE241D" w:rsidRPr="0097258B" w:rsidRDefault="00D04A07"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É</w:t>
            </w:r>
            <w:r w:rsidR="00DE241D" w:rsidRPr="0097258B">
              <w:rPr>
                <w:rFonts w:ascii="Times New Roman" w:eastAsia="Cambria" w:hAnsi="Times New Roman"/>
                <w:color w:val="000000" w:themeColor="text1"/>
                <w:sz w:val="20"/>
                <w:szCs w:val="20"/>
              </w:rPr>
              <w:t>missions de polluants atmosphériques et de GES (Poussières, NO</w:t>
            </w:r>
            <w:r w:rsidR="00DE241D" w:rsidRPr="0097258B">
              <w:rPr>
                <w:rFonts w:ascii="Times New Roman" w:eastAsia="Cambria" w:hAnsi="Times New Roman"/>
                <w:color w:val="000000" w:themeColor="text1"/>
                <w:sz w:val="20"/>
                <w:szCs w:val="20"/>
                <w:vertAlign w:val="subscript"/>
              </w:rPr>
              <w:t>2</w:t>
            </w:r>
            <w:r w:rsidR="00DE241D" w:rsidRPr="0097258B">
              <w:rPr>
                <w:rFonts w:ascii="Times New Roman" w:eastAsia="Cambria" w:hAnsi="Times New Roman"/>
                <w:color w:val="000000" w:themeColor="text1"/>
                <w:sz w:val="20"/>
                <w:szCs w:val="20"/>
              </w:rPr>
              <w:t xml:space="preserve"> ; SO</w:t>
            </w:r>
            <w:r w:rsidR="00DE241D" w:rsidRPr="0097258B">
              <w:rPr>
                <w:rFonts w:ascii="Times New Roman" w:eastAsia="Cambria" w:hAnsi="Times New Roman"/>
                <w:color w:val="000000" w:themeColor="text1"/>
                <w:sz w:val="20"/>
                <w:szCs w:val="20"/>
                <w:vertAlign w:val="subscript"/>
              </w:rPr>
              <w:t>2</w:t>
            </w:r>
            <w:r w:rsidR="00DE241D" w:rsidRPr="0097258B">
              <w:rPr>
                <w:rFonts w:ascii="Times New Roman" w:eastAsia="Cambria" w:hAnsi="Times New Roman"/>
                <w:color w:val="000000" w:themeColor="text1"/>
                <w:spacing w:val="-1"/>
                <w:sz w:val="20"/>
                <w:szCs w:val="20"/>
              </w:rPr>
              <w:t xml:space="preserve"> </w:t>
            </w:r>
            <w:r w:rsidR="00DE241D" w:rsidRPr="0097258B">
              <w:rPr>
                <w:rFonts w:ascii="Times New Roman" w:eastAsia="Cambria" w:hAnsi="Times New Roman"/>
                <w:color w:val="000000" w:themeColor="text1"/>
                <w:sz w:val="20"/>
                <w:szCs w:val="20"/>
              </w:rPr>
              <w:t>; CO</w:t>
            </w:r>
            <w:r w:rsidR="00DE241D" w:rsidRPr="0097258B">
              <w:rPr>
                <w:rFonts w:ascii="Times New Roman" w:eastAsia="Cambria" w:hAnsi="Times New Roman"/>
                <w:color w:val="000000" w:themeColor="text1"/>
                <w:spacing w:val="-1"/>
                <w:sz w:val="20"/>
                <w:szCs w:val="20"/>
              </w:rPr>
              <w:t xml:space="preserve"> </w:t>
            </w:r>
            <w:r w:rsidR="00DE241D" w:rsidRPr="0097258B">
              <w:rPr>
                <w:rFonts w:ascii="Times New Roman" w:eastAsia="Cambria" w:hAnsi="Times New Roman"/>
                <w:color w:val="000000" w:themeColor="text1"/>
                <w:sz w:val="20"/>
                <w:szCs w:val="20"/>
              </w:rPr>
              <w:t>; PM</w:t>
            </w:r>
            <w:r w:rsidR="00DE241D" w:rsidRPr="0097258B">
              <w:rPr>
                <w:rFonts w:ascii="Times New Roman" w:eastAsia="Cambria" w:hAnsi="Times New Roman"/>
                <w:color w:val="000000" w:themeColor="text1"/>
                <w:sz w:val="20"/>
                <w:szCs w:val="20"/>
                <w:vertAlign w:val="subscript"/>
              </w:rPr>
              <w:t>10</w:t>
            </w:r>
            <w:r w:rsidR="00DE241D" w:rsidRPr="0097258B">
              <w:rPr>
                <w:rFonts w:ascii="Times New Roman" w:eastAsia="Cambria" w:hAnsi="Times New Roman"/>
                <w:color w:val="000000" w:themeColor="text1"/>
                <w:sz w:val="20"/>
                <w:szCs w:val="20"/>
              </w:rPr>
              <w:t>, PM</w:t>
            </w:r>
            <w:r w:rsidR="00DE241D" w:rsidRPr="0097258B">
              <w:rPr>
                <w:rFonts w:ascii="Times New Roman" w:eastAsia="Cambria" w:hAnsi="Times New Roman"/>
                <w:color w:val="000000" w:themeColor="text1"/>
                <w:sz w:val="20"/>
                <w:szCs w:val="20"/>
                <w:vertAlign w:val="subscript"/>
              </w:rPr>
              <w:t>2,5</w:t>
            </w:r>
            <w:r w:rsidR="00DE241D" w:rsidRPr="0097258B">
              <w:rPr>
                <w:rFonts w:ascii="Times New Roman" w:eastAsia="Cambria" w:hAnsi="Times New Roman"/>
                <w:color w:val="000000" w:themeColor="text1"/>
                <w:spacing w:val="-1"/>
                <w:sz w:val="20"/>
                <w:szCs w:val="20"/>
              </w:rPr>
              <w:t xml:space="preserve"> </w:t>
            </w:r>
            <w:r w:rsidR="00DE241D" w:rsidRPr="0097258B">
              <w:rPr>
                <w:rFonts w:ascii="Times New Roman" w:eastAsia="Cambria" w:hAnsi="Times New Roman"/>
                <w:color w:val="000000" w:themeColor="text1"/>
                <w:sz w:val="20"/>
                <w:szCs w:val="20"/>
              </w:rPr>
              <w:t>; ozone ; COV)</w:t>
            </w:r>
            <w:r w:rsidR="00DE241D" w:rsidRPr="0097258B">
              <w:rPr>
                <w:rFonts w:ascii="Times New Roman" w:eastAsia="Cambria" w:hAnsi="Times New Roman"/>
                <w:color w:val="000000" w:themeColor="text1"/>
                <w:spacing w:val="-2"/>
                <w:sz w:val="20"/>
                <w:szCs w:val="20"/>
              </w:rPr>
              <w:t xml:space="preserve"> </w:t>
            </w:r>
            <w:r w:rsidR="00DE241D" w:rsidRPr="0097258B">
              <w:rPr>
                <w:rFonts w:ascii="Times New Roman" w:eastAsia="Cambria" w:hAnsi="Times New Roman"/>
                <w:color w:val="000000" w:themeColor="text1"/>
                <w:sz w:val="20"/>
                <w:szCs w:val="20"/>
              </w:rPr>
              <w:t>; d’hydrocarbures aromatiques polycycliques (HAP)</w:t>
            </w:r>
            <w:r w:rsidR="00DE241D" w:rsidRPr="0097258B">
              <w:rPr>
                <w:rFonts w:ascii="Times New Roman" w:eastAsia="Cambria" w:hAnsi="Times New Roman"/>
                <w:color w:val="000000" w:themeColor="text1"/>
                <w:spacing w:val="-1"/>
                <w:sz w:val="20"/>
                <w:szCs w:val="20"/>
              </w:rPr>
              <w:t xml:space="preserve"> </w:t>
            </w:r>
            <w:r w:rsidR="00DE241D" w:rsidRPr="0097258B">
              <w:rPr>
                <w:rFonts w:ascii="Times New Roman" w:eastAsia="Cambria" w:hAnsi="Times New Roman"/>
                <w:color w:val="000000" w:themeColor="text1"/>
                <w:sz w:val="20"/>
                <w:szCs w:val="20"/>
              </w:rPr>
              <w:t>; d’hydrocarbures (HC)</w:t>
            </w:r>
            <w:r w:rsidR="00DE241D" w:rsidRPr="0097258B">
              <w:rPr>
                <w:rFonts w:ascii="Times New Roman" w:eastAsia="Cambria" w:hAnsi="Times New Roman"/>
                <w:color w:val="000000" w:themeColor="text1"/>
                <w:spacing w:val="-1"/>
                <w:sz w:val="20"/>
                <w:szCs w:val="20"/>
              </w:rPr>
              <w:t xml:space="preserve"> </w:t>
            </w:r>
            <w:r w:rsidR="00DE241D" w:rsidRPr="0097258B">
              <w:rPr>
                <w:rFonts w:ascii="Times New Roman" w:eastAsia="Cambria" w:hAnsi="Times New Roman"/>
                <w:color w:val="000000" w:themeColor="text1"/>
                <w:sz w:val="20"/>
                <w:szCs w:val="20"/>
              </w:rPr>
              <w:t>; de plomb.</w:t>
            </w:r>
          </w:p>
        </w:tc>
        <w:tc>
          <w:tcPr>
            <w:tcW w:w="1169" w:type="pct"/>
            <w:vAlign w:val="center"/>
          </w:tcPr>
          <w:p w14:paraId="0D0E2ECA"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p>
          <w:p w14:paraId="7425AC9C"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p>
          <w:p w14:paraId="645BC379"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p>
          <w:p w14:paraId="2F66DAE4"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p>
          <w:p w14:paraId="17E81FD1"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Les émissions combinées des différents projets entraineront une modification sensible de la qualité de l’air d’autant plus qu’on assiste à une réduction de la couverture végétale.</w:t>
            </w:r>
          </w:p>
        </w:tc>
        <w:tc>
          <w:tcPr>
            <w:tcW w:w="700" w:type="pct"/>
            <w:vAlign w:val="center"/>
          </w:tcPr>
          <w:p w14:paraId="3F19573D"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 xml:space="preserve">L’importance de l’impact sera moyenne à forte </w:t>
            </w:r>
          </w:p>
        </w:tc>
        <w:tc>
          <w:tcPr>
            <w:tcW w:w="719" w:type="pct"/>
            <w:vAlign w:val="center"/>
          </w:tcPr>
          <w:p w14:paraId="4A348F7C" w14:textId="77777777" w:rsidR="00DE241D" w:rsidRPr="0097258B" w:rsidRDefault="00DE241D" w:rsidP="00691329">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Intégrer les aspects environnementaux dans la procédure d’inspection des véhicules et engins de chantier</w:t>
            </w:r>
          </w:p>
          <w:p w14:paraId="5D715718"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hAnsi="Times New Roman"/>
                <w:color w:val="000000" w:themeColor="text1"/>
                <w:sz w:val="20"/>
                <w:szCs w:val="20"/>
              </w:rPr>
              <w:t>.</w:t>
            </w:r>
          </w:p>
        </w:tc>
        <w:tc>
          <w:tcPr>
            <w:tcW w:w="497" w:type="pct"/>
            <w:vAlign w:val="center"/>
          </w:tcPr>
          <w:p w14:paraId="602725C2" w14:textId="77777777" w:rsidR="00DE241D" w:rsidRPr="0097258B" w:rsidRDefault="00DE241D" w:rsidP="00691329">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Faible pollution atmosphérique</w:t>
            </w:r>
          </w:p>
        </w:tc>
      </w:tr>
    </w:tbl>
    <w:p w14:paraId="35095FD6" w14:textId="77777777" w:rsidR="00DE241D" w:rsidRPr="00260790" w:rsidRDefault="00DE241D" w:rsidP="00E20250">
      <w:pPr>
        <w:spacing w:line="240" w:lineRule="auto"/>
        <w:rPr>
          <w:rFonts w:ascii="Times New Roman" w:hAnsi="Times New Roman"/>
          <w:b/>
          <w:color w:val="000000" w:themeColor="text1"/>
          <w:sz w:val="24"/>
          <w:szCs w:val="24"/>
        </w:rPr>
        <w:sectPr w:rsidR="00DE241D" w:rsidRPr="00260790" w:rsidSect="00691329">
          <w:pgSz w:w="16817" w:h="11901" w:orient="landscape"/>
          <w:pgMar w:top="1418" w:right="1418" w:bottom="1418" w:left="1418" w:header="709" w:footer="454" w:gutter="0"/>
          <w:cols w:space="720"/>
          <w:docGrid w:linePitch="326"/>
        </w:sectPr>
      </w:pPr>
    </w:p>
    <w:p w14:paraId="3FEC6E94" w14:textId="19B6D400" w:rsidR="0010720F" w:rsidRPr="00260790" w:rsidRDefault="00656F1F" w:rsidP="00E20250">
      <w:pPr>
        <w:pStyle w:val="Titre1"/>
        <w:rPr>
          <w:rFonts w:ascii="Times New Roman" w:hAnsi="Times New Roman"/>
          <w:sz w:val="22"/>
          <w:szCs w:val="22"/>
        </w:rPr>
      </w:pPr>
      <w:bookmarkStart w:id="677" w:name="_Toc40788117"/>
      <w:bookmarkStart w:id="678" w:name="_Toc84372519"/>
      <w:bookmarkStart w:id="679" w:name="_Toc212725142"/>
      <w:bookmarkStart w:id="680" w:name="_Toc56160201"/>
      <w:r w:rsidRPr="00260790">
        <w:rPr>
          <w:rFonts w:ascii="Times New Roman" w:hAnsi="Times New Roman"/>
          <w:sz w:val="22"/>
          <w:szCs w:val="22"/>
        </w:rPr>
        <w:lastRenderedPageBreak/>
        <w:t>É</w:t>
      </w:r>
      <w:r w:rsidR="0010720F" w:rsidRPr="00260790">
        <w:rPr>
          <w:rFonts w:ascii="Times New Roman" w:hAnsi="Times New Roman"/>
          <w:sz w:val="22"/>
          <w:szCs w:val="22"/>
        </w:rPr>
        <w:t xml:space="preserve">TUDE DE DANGER ET ANALYSE DES </w:t>
      </w:r>
      <w:bookmarkEnd w:id="677"/>
      <w:r w:rsidR="0010720F" w:rsidRPr="00260790">
        <w:rPr>
          <w:rFonts w:ascii="Times New Roman" w:hAnsi="Times New Roman"/>
          <w:sz w:val="22"/>
          <w:szCs w:val="22"/>
        </w:rPr>
        <w:t>RISQUES TECHNOLOGIQUES ET PROFESSIONNELS</w:t>
      </w:r>
      <w:bookmarkEnd w:id="678"/>
      <w:bookmarkEnd w:id="679"/>
      <w:r w:rsidR="0010720F" w:rsidRPr="00260790">
        <w:rPr>
          <w:rFonts w:ascii="Times New Roman" w:hAnsi="Times New Roman"/>
          <w:sz w:val="22"/>
          <w:szCs w:val="22"/>
        </w:rPr>
        <w:t xml:space="preserve"> </w:t>
      </w:r>
    </w:p>
    <w:p w14:paraId="03AEB566"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Dans ce chapitre, seront analysés les risques technologiques et les risques professionnels liés au projet. </w:t>
      </w:r>
    </w:p>
    <w:p w14:paraId="6071AE9F" w14:textId="77777777" w:rsidR="00DB0460" w:rsidRPr="00260790" w:rsidRDefault="00DB0460" w:rsidP="00E20250">
      <w:pPr>
        <w:spacing w:after="24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Cette étude de dangers est réalisée conformément au "guide méthodologique d’étude de dangers" du Sénégal, nous allons identifier les éléments dangereux du site pour en décrire (i) les dysfonctionnements pouvant engendrer un risque entraînant des conséquences significatives sur l’environnement (naturel et humain) (ii) de justifier les mesures prises enfin (iii) d’en limiter les effets. L’étude va s’intéresser aux dangers liés aux différents produits manipulés ou stockés sur site, les équipements/installations et les procédés.</w:t>
      </w:r>
    </w:p>
    <w:p w14:paraId="0444ECD0"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L’EDD va comporter une analyse de risques identifiés susceptibles de se produire sur l’installation ; ces accidents sont caractérisés par leur probabilité d’occurrence, leur cinétique et leur gravité. </w:t>
      </w:r>
    </w:p>
    <w:p w14:paraId="633D90B2" w14:textId="77777777" w:rsidR="00DB0460" w:rsidRPr="00260790" w:rsidRDefault="00DB0460" w:rsidP="00E20250">
      <w:pPr>
        <w:spacing w:after="24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risques liés à ce projet peuvent être classés en deux catégories :</w:t>
      </w:r>
    </w:p>
    <w:p w14:paraId="4BE4F227" w14:textId="77777777" w:rsidR="00DB0460" w:rsidRPr="00260790" w:rsidRDefault="00DB0460" w:rsidP="001748C6">
      <w:pPr>
        <w:pStyle w:val="Paragraphedeliste"/>
        <w:numPr>
          <w:ilvl w:val="0"/>
          <w:numId w:val="186"/>
        </w:numPr>
        <w:spacing w:after="24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risques durant les travaux de réalisation ;</w:t>
      </w:r>
    </w:p>
    <w:p w14:paraId="292A94D1" w14:textId="77777777" w:rsidR="00DB0460" w:rsidRPr="00260790" w:rsidRDefault="00DB0460" w:rsidP="001748C6">
      <w:pPr>
        <w:pStyle w:val="Paragraphedeliste"/>
        <w:numPr>
          <w:ilvl w:val="0"/>
          <w:numId w:val="186"/>
        </w:numPr>
        <w:spacing w:after="24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Les risques durant la phase d’exploitation </w:t>
      </w:r>
    </w:p>
    <w:p w14:paraId="222A45E0" w14:textId="77777777" w:rsidR="00DB0460" w:rsidRPr="00260790" w:rsidRDefault="00DB0460" w:rsidP="00E20250">
      <w:pPr>
        <w:tabs>
          <w:tab w:val="left" w:pos="1280"/>
        </w:tabs>
        <w:spacing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L’analyse des risques concerne la phase construction ainsi que la phase exploitation.</w:t>
      </w:r>
    </w:p>
    <w:p w14:paraId="328CCEF1" w14:textId="76D181EF" w:rsidR="00DB0460" w:rsidRPr="00260790" w:rsidRDefault="00DB0460" w:rsidP="001748C6">
      <w:pPr>
        <w:pStyle w:val="Normaltableau0"/>
        <w:numPr>
          <w:ilvl w:val="1"/>
          <w:numId w:val="139"/>
        </w:numPr>
        <w:outlineLvl w:val="1"/>
        <w:rPr>
          <w:rFonts w:ascii="Times New Roman" w:hAnsi="Times New Roman"/>
          <w:b/>
          <w:bCs/>
          <w:sz w:val="22"/>
          <w:szCs w:val="22"/>
        </w:rPr>
      </w:pPr>
      <w:bookmarkStart w:id="681" w:name="_Toc212725143"/>
      <w:bookmarkStart w:id="682" w:name="_Hlk188817890"/>
      <w:r w:rsidRPr="00260790">
        <w:rPr>
          <w:rFonts w:ascii="Times New Roman" w:hAnsi="Times New Roman"/>
          <w:b/>
          <w:bCs/>
          <w:sz w:val="22"/>
          <w:szCs w:val="22"/>
        </w:rPr>
        <w:t>Analyse des risques d’accident technologiques</w:t>
      </w:r>
      <w:bookmarkEnd w:id="681"/>
    </w:p>
    <w:bookmarkEnd w:id="682"/>
    <w:p w14:paraId="5EEBC42C" w14:textId="77777777" w:rsidR="00DB0460" w:rsidRPr="00260790" w:rsidRDefault="00DB0460" w:rsidP="00E20250">
      <w:pPr>
        <w:spacing w:before="240"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L’analyse des risques a pour objectif, d’une part, d’identifier les situations qui peuvent être à l’origine d’un accident, et d’autre part, d’analyser les barrières de sécurité (mesures de prévention, moyens de protection et d’intervention) qui y sont associées. Il s’agit en définitive d’examiner :</w:t>
      </w:r>
    </w:p>
    <w:p w14:paraId="15D1B6E9" w14:textId="1D31A1AF" w:rsidR="00DB0460" w:rsidRPr="00260790" w:rsidRDefault="00DB0460" w:rsidP="001748C6">
      <w:pPr>
        <w:numPr>
          <w:ilvl w:val="0"/>
          <w:numId w:val="153"/>
        </w:numPr>
        <w:spacing w:after="200" w:line="240" w:lineRule="auto"/>
        <w:contextualSpacing/>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défaillances d’origine interne : dangers liés aux produits, défaillances intrinsèques liées au dysfonctionnement des installations, mauvaise conception ou exploitation du matériel…</w:t>
      </w:r>
    </w:p>
    <w:p w14:paraId="2962C3D7" w14:textId="77777777" w:rsidR="00DB0460" w:rsidRPr="00260790" w:rsidRDefault="00DB0460" w:rsidP="001748C6">
      <w:pPr>
        <w:numPr>
          <w:ilvl w:val="0"/>
          <w:numId w:val="153"/>
        </w:numPr>
        <w:spacing w:after="200" w:line="240" w:lineRule="auto"/>
        <w:contextualSpacing/>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défaillances d’origine externe, qui résultent de la défaillance du matériel, elle-même consécutive à une agression externe (autres activités extérieures, risques naturels…).</w:t>
      </w:r>
    </w:p>
    <w:p w14:paraId="4CFFD59D"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L’objectif de la démarche retenue est de passer en revue l’ensemble des installations dangereuses susceptibles d’être à l’origine d’un accident. Les installations les plus dangereuses et/ou celles nécessitant le plus grand niveau de maîtrise du fait de la proximité de cibles particulièrement vulnérables sont examinées à l’aide d’un outil systématique d’analyse de risques.</w:t>
      </w:r>
    </w:p>
    <w:p w14:paraId="0DB2BEF5"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choix de ces installations est ainsi lié à l’identification des potentiels de dangers et des cibles, l’objectif étant de déterminer les scénarios d’accidents à caractère « majeur », pouvant concerner les différents maillons de la chaîne. L’analyse des risques doit intégrer les étapes préalables suivantes :</w:t>
      </w:r>
    </w:p>
    <w:p w14:paraId="1D546518" w14:textId="77777777" w:rsidR="00DB0460" w:rsidRPr="00260790" w:rsidRDefault="00DB0460" w:rsidP="001748C6">
      <w:pPr>
        <w:numPr>
          <w:ilvl w:val="0"/>
          <w:numId w:val="152"/>
        </w:numPr>
        <w:spacing w:after="200" w:line="240" w:lineRule="auto"/>
        <w:contextualSpacing/>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Identification des enjeux humains,</w:t>
      </w:r>
    </w:p>
    <w:p w14:paraId="49B70403" w14:textId="77777777" w:rsidR="00DB0460" w:rsidRPr="00260790" w:rsidRDefault="00DB0460" w:rsidP="001748C6">
      <w:pPr>
        <w:numPr>
          <w:ilvl w:val="0"/>
          <w:numId w:val="152"/>
        </w:numPr>
        <w:spacing w:after="200" w:line="240" w:lineRule="auto"/>
        <w:contextualSpacing/>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Identification des potentiels de dangers,</w:t>
      </w:r>
    </w:p>
    <w:p w14:paraId="0D21CD12" w14:textId="77777777" w:rsidR="00DB0460" w:rsidRPr="00260790" w:rsidRDefault="00DB0460" w:rsidP="001748C6">
      <w:pPr>
        <w:numPr>
          <w:ilvl w:val="0"/>
          <w:numId w:val="152"/>
        </w:numPr>
        <w:spacing w:after="200" w:line="240" w:lineRule="auto"/>
        <w:contextualSpacing/>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Analyse du retour d’expérience et notamment des accidents et incidents répertoriés.</w:t>
      </w:r>
    </w:p>
    <w:p w14:paraId="64C4E72E" w14:textId="4B5995E2" w:rsidR="00DB0460" w:rsidRPr="00260790" w:rsidRDefault="00DB0460" w:rsidP="003B6588">
      <w:pPr>
        <w:pStyle w:val="CHAPITRE1"/>
        <w:rPr>
          <w:rFonts w:cs="Times New Roman"/>
        </w:rPr>
      </w:pPr>
      <w:bookmarkStart w:id="683" w:name="_Toc212725144"/>
      <w:r w:rsidRPr="00260790">
        <w:rPr>
          <w:rFonts w:cs="Times New Roman"/>
        </w:rPr>
        <w:t>Description et caractérisation de l’environnement</w:t>
      </w:r>
      <w:bookmarkEnd w:id="683"/>
      <w:r w:rsidRPr="00260790">
        <w:rPr>
          <w:rFonts w:cs="Times New Roman"/>
        </w:rPr>
        <w:t xml:space="preserve"> </w:t>
      </w:r>
    </w:p>
    <w:p w14:paraId="70E5C007" w14:textId="77777777" w:rsidR="00DB0460" w:rsidRPr="00260790" w:rsidRDefault="00DB0460"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Les principaux éléments sensibles aux dangers sont décrits au chapitre portant description des conditions environnementales de base et au chapitre présentation du projet.</w:t>
      </w:r>
    </w:p>
    <w:p w14:paraId="3904B119" w14:textId="717183AF" w:rsidR="00DB0460" w:rsidRPr="00260790" w:rsidRDefault="00DB0460" w:rsidP="003B6588">
      <w:pPr>
        <w:pStyle w:val="CHAPITRE1"/>
        <w:rPr>
          <w:rFonts w:cs="Times New Roman"/>
        </w:rPr>
      </w:pPr>
      <w:bookmarkStart w:id="684" w:name="_Toc212725145"/>
      <w:r w:rsidRPr="00260790">
        <w:rPr>
          <w:rFonts w:cs="Times New Roman"/>
        </w:rPr>
        <w:t>Analyse préliminaire des risques</w:t>
      </w:r>
      <w:bookmarkEnd w:id="684"/>
    </w:p>
    <w:p w14:paraId="040ADCEF" w14:textId="67DCBD38" w:rsidR="00DB0460" w:rsidRPr="00260790" w:rsidRDefault="001E0D80" w:rsidP="003B6588">
      <w:pPr>
        <w:pStyle w:val="CHAPITRE1"/>
        <w:rPr>
          <w:rFonts w:cs="Times New Roman"/>
        </w:rPr>
      </w:pPr>
      <w:bookmarkStart w:id="685" w:name="_Toc212725146"/>
      <w:r>
        <w:rPr>
          <w:rFonts w:cs="Times New Roman"/>
        </w:rPr>
        <w:t>S</w:t>
      </w:r>
      <w:r w:rsidR="00DB0460" w:rsidRPr="00260790">
        <w:rPr>
          <w:rFonts w:cs="Times New Roman"/>
        </w:rPr>
        <w:t>ources de dangers internes</w:t>
      </w:r>
      <w:bookmarkEnd w:id="685"/>
    </w:p>
    <w:p w14:paraId="07292378" w14:textId="77777777" w:rsidR="004E0569" w:rsidRPr="00260790" w:rsidRDefault="004E0569">
      <w:pPr>
        <w:spacing w:line="259" w:lineRule="auto"/>
        <w:rPr>
          <w:rFonts w:ascii="Times New Roman" w:hAnsi="Times New Roman"/>
          <w:b/>
          <w:color w:val="000000" w:themeColor="text1"/>
        </w:rPr>
      </w:pPr>
      <w:r w:rsidRPr="00260790">
        <w:rPr>
          <w:rFonts w:ascii="Times New Roman" w:hAnsi="Times New Roman"/>
          <w:b/>
          <w:color w:val="000000" w:themeColor="text1"/>
        </w:rPr>
        <w:br w:type="page"/>
      </w:r>
    </w:p>
    <w:p w14:paraId="2FCA6FED" w14:textId="73EA8625" w:rsidR="00DB0460" w:rsidRPr="00260790" w:rsidRDefault="00DB0460" w:rsidP="001748C6">
      <w:pPr>
        <w:pStyle w:val="CHAPITRE1"/>
        <w:numPr>
          <w:ilvl w:val="3"/>
          <w:numId w:val="139"/>
        </w:numPr>
        <w:rPr>
          <w:rFonts w:cs="Times New Roman"/>
          <w:i/>
          <w:iCs/>
        </w:rPr>
      </w:pPr>
      <w:bookmarkStart w:id="686" w:name="_Toc212725147"/>
      <w:r w:rsidRPr="00260790">
        <w:rPr>
          <w:rFonts w:cs="Times New Roman"/>
          <w:i/>
          <w:iCs/>
        </w:rPr>
        <w:lastRenderedPageBreak/>
        <w:t>Dangers liés aux produits utilisés lors de la phase construction</w:t>
      </w:r>
      <w:bookmarkEnd w:id="686"/>
      <w:r w:rsidRPr="00260790">
        <w:rPr>
          <w:rFonts w:cs="Times New Roman"/>
          <w:i/>
          <w:iCs/>
        </w:rPr>
        <w:t xml:space="preserve">   </w:t>
      </w:r>
    </w:p>
    <w:p w14:paraId="0434AC4C" w14:textId="4199B762" w:rsidR="00DB0460" w:rsidRPr="00260790" w:rsidRDefault="00DB0460" w:rsidP="004C5B8E">
      <w:pPr>
        <w:spacing w:beforeLines="120" w:before="288" w:afterLines="120" w:after="288"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L'objectif de ce paragraphe est de présenter les dangers liés aux produits, et notamment les caractéristiques intrinsèques des produits stockés, utilisés ou susceptibles d’être présents durant les travaux pouvant conduire in fine à un accident majeur. Les produits principaux suivants sont à considérer</w:t>
      </w:r>
      <w:r w:rsidR="001A020A">
        <w:rPr>
          <w:rFonts w:ascii="Times New Roman" w:eastAsia="Times New Roman" w:hAnsi="Times New Roman"/>
          <w:color w:val="000000" w:themeColor="text1"/>
          <w:lang w:eastAsia="fr-FR"/>
        </w:rPr>
        <w:t xml:space="preserve"> </w:t>
      </w:r>
      <w:r w:rsidRPr="00260790">
        <w:rPr>
          <w:rFonts w:ascii="Times New Roman" w:eastAsia="Times New Roman" w:hAnsi="Times New Roman"/>
          <w:color w:val="000000" w:themeColor="text1"/>
          <w:lang w:eastAsia="fr-FR"/>
        </w:rPr>
        <w:t>:</w:t>
      </w:r>
    </w:p>
    <w:p w14:paraId="73C280E0" w14:textId="77777777" w:rsidR="00DB0460" w:rsidRPr="00260790" w:rsidRDefault="00DB0460" w:rsidP="001748C6">
      <w:pPr>
        <w:numPr>
          <w:ilvl w:val="0"/>
          <w:numId w:val="160"/>
        </w:numPr>
        <w:spacing w:after="0" w:line="240" w:lineRule="auto"/>
        <w:contextualSpacing/>
        <w:jc w:val="both"/>
        <w:rPr>
          <w:rFonts w:ascii="Times New Roman" w:hAnsi="Times New Roman"/>
          <w:color w:val="000000" w:themeColor="text1"/>
        </w:rPr>
      </w:pPr>
      <w:r w:rsidRPr="00260790">
        <w:rPr>
          <w:rFonts w:ascii="Times New Roman" w:hAnsi="Times New Roman"/>
          <w:color w:val="000000" w:themeColor="text1"/>
        </w:rPr>
        <w:t>Gasoil (pour l’alimentation des engins et véhicules de chantier) ;</w:t>
      </w:r>
    </w:p>
    <w:p w14:paraId="07D70418" w14:textId="77777777" w:rsidR="00DB0460" w:rsidRPr="00260790" w:rsidRDefault="00DB0460" w:rsidP="001748C6">
      <w:pPr>
        <w:numPr>
          <w:ilvl w:val="0"/>
          <w:numId w:val="160"/>
        </w:numPr>
        <w:spacing w:after="0" w:line="240" w:lineRule="auto"/>
        <w:contextualSpacing/>
        <w:jc w:val="both"/>
        <w:rPr>
          <w:rFonts w:ascii="Times New Roman" w:hAnsi="Times New Roman"/>
          <w:color w:val="000000" w:themeColor="text1"/>
        </w:rPr>
      </w:pPr>
      <w:r w:rsidRPr="00260790">
        <w:rPr>
          <w:rFonts w:ascii="Times New Roman" w:hAnsi="Times New Roman"/>
          <w:color w:val="000000" w:themeColor="text1"/>
        </w:rPr>
        <w:t>Huile de lubrification pour l’entretien des équipements ;</w:t>
      </w:r>
    </w:p>
    <w:p w14:paraId="5EC4C3CA" w14:textId="77777777" w:rsidR="00DB0460" w:rsidRPr="00260790" w:rsidRDefault="00DB0460" w:rsidP="001748C6">
      <w:pPr>
        <w:numPr>
          <w:ilvl w:val="0"/>
          <w:numId w:val="160"/>
        </w:numPr>
        <w:spacing w:after="0" w:line="240" w:lineRule="auto"/>
        <w:contextualSpacing/>
        <w:jc w:val="both"/>
        <w:rPr>
          <w:rFonts w:ascii="Times New Roman" w:hAnsi="Times New Roman"/>
          <w:color w:val="000000" w:themeColor="text1"/>
        </w:rPr>
      </w:pPr>
      <w:r w:rsidRPr="00260790">
        <w:rPr>
          <w:rFonts w:ascii="Times New Roman" w:hAnsi="Times New Roman"/>
          <w:color w:val="000000" w:themeColor="text1"/>
        </w:rPr>
        <w:t>Huiles usagées issues de l’entretien des engins ;</w:t>
      </w:r>
    </w:p>
    <w:p w14:paraId="3D9809A1" w14:textId="77777777" w:rsidR="00DB0460" w:rsidRPr="00260790" w:rsidRDefault="00DB0460" w:rsidP="001748C6">
      <w:pPr>
        <w:numPr>
          <w:ilvl w:val="0"/>
          <w:numId w:val="160"/>
        </w:numPr>
        <w:spacing w:after="0" w:line="240" w:lineRule="auto"/>
        <w:contextualSpacing/>
        <w:jc w:val="both"/>
        <w:rPr>
          <w:rFonts w:ascii="Times New Roman" w:hAnsi="Times New Roman"/>
          <w:color w:val="000000" w:themeColor="text1"/>
        </w:rPr>
      </w:pPr>
      <w:r w:rsidRPr="00260790">
        <w:rPr>
          <w:rFonts w:ascii="Times New Roman" w:hAnsi="Times New Roman"/>
          <w:color w:val="000000" w:themeColor="text1"/>
        </w:rPr>
        <w:t>Ciment pour la construction des fondations ;</w:t>
      </w:r>
    </w:p>
    <w:p w14:paraId="0CB638E3" w14:textId="77777777" w:rsidR="00DB0460" w:rsidRPr="00260790" w:rsidRDefault="00DB0460" w:rsidP="001748C6">
      <w:pPr>
        <w:numPr>
          <w:ilvl w:val="0"/>
          <w:numId w:val="160"/>
        </w:numPr>
        <w:spacing w:after="0" w:line="240" w:lineRule="auto"/>
        <w:contextualSpacing/>
        <w:jc w:val="both"/>
        <w:rPr>
          <w:rFonts w:ascii="Times New Roman" w:hAnsi="Times New Roman"/>
          <w:color w:val="000000" w:themeColor="text1"/>
        </w:rPr>
      </w:pPr>
      <w:r w:rsidRPr="00260790">
        <w:rPr>
          <w:rFonts w:ascii="Times New Roman" w:hAnsi="Times New Roman"/>
          <w:color w:val="000000" w:themeColor="text1"/>
        </w:rPr>
        <w:t>Adjuvants ;</w:t>
      </w:r>
    </w:p>
    <w:p w14:paraId="45B1164F" w14:textId="77777777" w:rsidR="00DB0460" w:rsidRPr="00260790" w:rsidRDefault="00DB0460" w:rsidP="001748C6">
      <w:pPr>
        <w:numPr>
          <w:ilvl w:val="0"/>
          <w:numId w:val="160"/>
        </w:numPr>
        <w:spacing w:after="0" w:line="240" w:lineRule="auto"/>
        <w:contextualSpacing/>
        <w:jc w:val="both"/>
        <w:rPr>
          <w:rFonts w:ascii="Times New Roman" w:hAnsi="Times New Roman"/>
          <w:color w:val="000000" w:themeColor="text1"/>
        </w:rPr>
      </w:pPr>
      <w:r w:rsidRPr="00260790">
        <w:rPr>
          <w:rFonts w:ascii="Times New Roman" w:hAnsi="Times New Roman"/>
          <w:color w:val="000000" w:themeColor="text1"/>
        </w:rPr>
        <w:t>Peintures ;</w:t>
      </w:r>
    </w:p>
    <w:p w14:paraId="35B1B73B" w14:textId="77777777" w:rsidR="00DB0460" w:rsidRPr="00260790" w:rsidRDefault="00DB0460" w:rsidP="001748C6">
      <w:pPr>
        <w:numPr>
          <w:ilvl w:val="0"/>
          <w:numId w:val="160"/>
        </w:numPr>
        <w:spacing w:after="0" w:line="240" w:lineRule="auto"/>
        <w:contextualSpacing/>
        <w:jc w:val="both"/>
        <w:rPr>
          <w:rFonts w:ascii="Times New Roman" w:hAnsi="Times New Roman"/>
          <w:color w:val="000000" w:themeColor="text1"/>
        </w:rPr>
      </w:pPr>
      <w:r w:rsidRPr="00260790">
        <w:rPr>
          <w:rFonts w:ascii="Times New Roman" w:hAnsi="Times New Roman"/>
          <w:color w:val="000000" w:themeColor="text1"/>
        </w:rPr>
        <w:t>Gaz de soudure (oxygène et acétylène)</w:t>
      </w:r>
    </w:p>
    <w:p w14:paraId="7DCF26CD" w14:textId="77777777" w:rsidR="00DB0460" w:rsidRPr="00260790" w:rsidRDefault="00DB0460" w:rsidP="001748C6">
      <w:pPr>
        <w:numPr>
          <w:ilvl w:val="0"/>
          <w:numId w:val="160"/>
        </w:numPr>
        <w:spacing w:after="0" w:line="240" w:lineRule="auto"/>
        <w:contextualSpacing/>
        <w:jc w:val="both"/>
        <w:rPr>
          <w:rFonts w:ascii="Times New Roman" w:hAnsi="Times New Roman"/>
          <w:color w:val="000000" w:themeColor="text1"/>
        </w:rPr>
      </w:pPr>
      <w:r w:rsidRPr="00260790">
        <w:rPr>
          <w:rFonts w:ascii="Times New Roman" w:hAnsi="Times New Roman"/>
          <w:color w:val="000000" w:themeColor="text1"/>
        </w:rPr>
        <w:t>Le gravier</w:t>
      </w:r>
    </w:p>
    <w:p w14:paraId="0F10748C" w14:textId="77777777" w:rsidR="00DB0460" w:rsidRPr="00260790" w:rsidRDefault="00DB0460" w:rsidP="001748C6">
      <w:pPr>
        <w:numPr>
          <w:ilvl w:val="0"/>
          <w:numId w:val="160"/>
        </w:numPr>
        <w:spacing w:after="0" w:line="240" w:lineRule="auto"/>
        <w:contextualSpacing/>
        <w:jc w:val="both"/>
        <w:rPr>
          <w:rFonts w:ascii="Times New Roman" w:hAnsi="Times New Roman"/>
          <w:color w:val="000000" w:themeColor="text1"/>
        </w:rPr>
      </w:pPr>
      <w:r w:rsidRPr="00260790">
        <w:rPr>
          <w:rFonts w:ascii="Times New Roman" w:hAnsi="Times New Roman"/>
          <w:color w:val="000000" w:themeColor="text1"/>
        </w:rPr>
        <w:t>Le béton</w:t>
      </w:r>
    </w:p>
    <w:p w14:paraId="0553CBE5" w14:textId="77777777" w:rsidR="00DB0460" w:rsidRPr="00260790" w:rsidRDefault="00DB0460" w:rsidP="00E20250">
      <w:pPr>
        <w:spacing w:line="240" w:lineRule="auto"/>
        <w:ind w:left="1440"/>
        <w:contextualSpacing/>
        <w:jc w:val="both"/>
        <w:rPr>
          <w:rFonts w:ascii="Times New Roman" w:hAnsi="Times New Roman"/>
          <w:color w:val="000000" w:themeColor="text1"/>
        </w:rPr>
      </w:pPr>
    </w:p>
    <w:p w14:paraId="7AC1CA08" w14:textId="77777777" w:rsidR="00DB0460" w:rsidRPr="00260790" w:rsidRDefault="00DB0460" w:rsidP="001748C6">
      <w:pPr>
        <w:keepNext/>
        <w:keepLines/>
        <w:numPr>
          <w:ilvl w:val="0"/>
          <w:numId w:val="159"/>
        </w:numPr>
        <w:spacing w:before="120" w:after="60" w:line="240" w:lineRule="auto"/>
        <w:contextualSpacing/>
        <w:jc w:val="both"/>
        <w:rPr>
          <w:rFonts w:ascii="Times New Roman" w:hAnsi="Times New Roman"/>
          <w:b/>
          <w:bCs/>
          <w:i/>
          <w:iCs/>
          <w:color w:val="000000" w:themeColor="text1"/>
          <w:lang w:eastAsia="fr-CA"/>
        </w:rPr>
      </w:pPr>
      <w:r w:rsidRPr="00260790">
        <w:rPr>
          <w:rFonts w:ascii="Times New Roman" w:hAnsi="Times New Roman"/>
          <w:b/>
          <w:bCs/>
          <w:i/>
          <w:iCs/>
          <w:color w:val="000000" w:themeColor="text1"/>
          <w:lang w:eastAsia="fr-CA"/>
        </w:rPr>
        <w:t>Dangers liés au gasoil </w:t>
      </w:r>
    </w:p>
    <w:p w14:paraId="77709DCC" w14:textId="77777777" w:rsidR="00DB0460" w:rsidRPr="00260790" w:rsidRDefault="00DB0460" w:rsidP="00E20250">
      <w:pPr>
        <w:spacing w:before="100" w:beforeAutospacing="1"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 gazole est constitué d’hydrocarbures paraffiniques, naphténiques, aromatiques et oléfiniques, avec principalement des hydrocarbures de C10 à C22. Il peut contenir éventuellement des esters méthyliques d’huiles végétales telles que l’ester méthylique d’huile de colza et des biocides. </w:t>
      </w:r>
    </w:p>
    <w:p w14:paraId="366295EB" w14:textId="77777777" w:rsidR="00DB0460" w:rsidRPr="00260790" w:rsidRDefault="00DB0460" w:rsidP="001748C6">
      <w:pPr>
        <w:numPr>
          <w:ilvl w:val="0"/>
          <w:numId w:val="158"/>
        </w:numPr>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Propriétés physico-chimiques</w:t>
      </w:r>
    </w:p>
    <w:p w14:paraId="7F1E271E" w14:textId="77777777" w:rsidR="00DB0460" w:rsidRPr="00260790" w:rsidRDefault="00DB0460" w:rsidP="00E20250">
      <w:pPr>
        <w:spacing w:before="100" w:beforeAutospacing="1"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Les caractéristiques physico-chimiques sont présentées dans le tableau ci-dessous. </w:t>
      </w:r>
    </w:p>
    <w:p w14:paraId="42CFA66E" w14:textId="0C6998E2" w:rsidR="00DB0460" w:rsidRPr="00260790" w:rsidRDefault="00DB0460" w:rsidP="00E20250">
      <w:pPr>
        <w:pStyle w:val="Lgende"/>
        <w:keepNext/>
        <w:spacing w:line="240" w:lineRule="auto"/>
        <w:rPr>
          <w:b/>
          <w:color w:val="000000" w:themeColor="text1"/>
          <w:sz w:val="22"/>
          <w:szCs w:val="22"/>
        </w:rPr>
      </w:pPr>
      <w:bookmarkStart w:id="687" w:name="_Toc207781930"/>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89</w:t>
      </w:r>
      <w:r w:rsidRPr="00260790">
        <w:rPr>
          <w:color w:val="000000" w:themeColor="text1"/>
          <w:sz w:val="22"/>
          <w:szCs w:val="22"/>
        </w:rPr>
        <w:fldChar w:fldCharType="end"/>
      </w:r>
      <w:r w:rsidRPr="00260790">
        <w:rPr>
          <w:color w:val="000000" w:themeColor="text1"/>
          <w:sz w:val="22"/>
          <w:szCs w:val="22"/>
        </w:rPr>
        <w:t> : Les caractéristiques physico-chimiques du gasoil</w:t>
      </w:r>
      <w:bookmarkEnd w:id="68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7"/>
        <w:gridCol w:w="2479"/>
        <w:gridCol w:w="5014"/>
      </w:tblGrid>
      <w:tr w:rsidR="00BD1A2F" w:rsidRPr="00260790" w14:paraId="3B5E0B53" w14:textId="77777777" w:rsidTr="003A0E4A">
        <w:trPr>
          <w:trHeight w:val="431"/>
          <w:jc w:val="center"/>
        </w:trPr>
        <w:tc>
          <w:tcPr>
            <w:tcW w:w="865" w:type="pct"/>
            <w:tcBorders>
              <w:bottom w:val="single" w:sz="4" w:space="0" w:color="auto"/>
            </w:tcBorders>
            <w:shd w:val="clear" w:color="auto" w:fill="FFFFFF"/>
            <w:vAlign w:val="center"/>
          </w:tcPr>
          <w:p w14:paraId="33309F9B"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color w:val="000000" w:themeColor="text1"/>
                <w:lang w:eastAsia="fr-FR"/>
              </w:rPr>
              <w:t xml:space="preserve">Couleur : </w:t>
            </w:r>
            <w:r w:rsidRPr="00260790">
              <w:rPr>
                <w:rFonts w:ascii="Times New Roman" w:eastAsia="Times New Roman" w:hAnsi="Times New Roman"/>
                <w:color w:val="000000" w:themeColor="text1"/>
                <w:lang w:eastAsia="fr-FR"/>
              </w:rPr>
              <w:t>jaune</w:t>
            </w:r>
          </w:p>
        </w:tc>
        <w:tc>
          <w:tcPr>
            <w:tcW w:w="1368" w:type="pct"/>
            <w:tcBorders>
              <w:bottom w:val="single" w:sz="4" w:space="0" w:color="auto"/>
            </w:tcBorders>
            <w:shd w:val="clear" w:color="auto" w:fill="FFFFFF"/>
            <w:vAlign w:val="center"/>
          </w:tcPr>
          <w:p w14:paraId="6B67C862" w14:textId="14147990" w:rsidR="00DB0460" w:rsidRPr="00260790" w:rsidRDefault="005865F2" w:rsidP="00E20250">
            <w:pPr>
              <w:autoSpaceDE w:val="0"/>
              <w:autoSpaceDN w:val="0"/>
              <w:adjustRightInd w:val="0"/>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É</w:t>
            </w:r>
            <w:r w:rsidR="00DB0460" w:rsidRPr="00260790">
              <w:rPr>
                <w:rFonts w:ascii="Times New Roman" w:eastAsia="Times New Roman" w:hAnsi="Times New Roman"/>
                <w:b/>
                <w:color w:val="000000" w:themeColor="text1"/>
                <w:lang w:eastAsia="fr-FR"/>
              </w:rPr>
              <w:t xml:space="preserve">tat physique : </w:t>
            </w:r>
            <w:r w:rsidR="00DB0460" w:rsidRPr="00260790">
              <w:rPr>
                <w:rFonts w:ascii="Times New Roman" w:eastAsia="Times New Roman" w:hAnsi="Times New Roman"/>
                <w:color w:val="000000" w:themeColor="text1"/>
                <w:lang w:eastAsia="fr-FR"/>
              </w:rPr>
              <w:t>liquide à 20°C</w:t>
            </w:r>
          </w:p>
        </w:tc>
        <w:tc>
          <w:tcPr>
            <w:tcW w:w="2767" w:type="pct"/>
            <w:tcBorders>
              <w:bottom w:val="single" w:sz="4" w:space="0" w:color="auto"/>
            </w:tcBorders>
            <w:shd w:val="clear" w:color="auto" w:fill="FFFFFF"/>
            <w:vAlign w:val="center"/>
          </w:tcPr>
          <w:p w14:paraId="077F57F5"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color w:val="000000" w:themeColor="text1"/>
                <w:lang w:eastAsia="fr-FR"/>
              </w:rPr>
              <w:t>Odeur </w:t>
            </w:r>
            <w:r w:rsidRPr="00260790">
              <w:rPr>
                <w:rFonts w:ascii="Times New Roman" w:eastAsia="Times New Roman" w:hAnsi="Times New Roman"/>
                <w:color w:val="000000" w:themeColor="text1"/>
                <w:lang w:eastAsia="fr-FR"/>
              </w:rPr>
              <w:t>: caractéristique</w:t>
            </w:r>
          </w:p>
        </w:tc>
      </w:tr>
      <w:tr w:rsidR="00BD1A2F" w:rsidRPr="00260790" w14:paraId="3CECDED2" w14:textId="77777777" w:rsidTr="003A0E4A">
        <w:trPr>
          <w:cantSplit/>
          <w:trHeight w:val="345"/>
          <w:jc w:val="center"/>
        </w:trPr>
        <w:tc>
          <w:tcPr>
            <w:tcW w:w="2233" w:type="pct"/>
            <w:gridSpan w:val="2"/>
            <w:tcBorders>
              <w:top w:val="single" w:sz="4" w:space="0" w:color="auto"/>
              <w:left w:val="single" w:sz="4" w:space="0" w:color="auto"/>
              <w:bottom w:val="single" w:sz="4" w:space="0" w:color="auto"/>
              <w:right w:val="nil"/>
            </w:tcBorders>
            <w:shd w:val="clear" w:color="auto" w:fill="FFFFFF"/>
            <w:vAlign w:val="center"/>
          </w:tcPr>
          <w:p w14:paraId="21E54745" w14:textId="77777777" w:rsidR="00DB0460" w:rsidRPr="00260790" w:rsidRDefault="00DB0460" w:rsidP="00E20250">
            <w:pPr>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Informations relatives à la sécurité :</w:t>
            </w:r>
          </w:p>
        </w:tc>
        <w:tc>
          <w:tcPr>
            <w:tcW w:w="2767" w:type="pct"/>
            <w:tcBorders>
              <w:top w:val="single" w:sz="4" w:space="0" w:color="auto"/>
              <w:left w:val="nil"/>
              <w:bottom w:val="single" w:sz="4" w:space="0" w:color="auto"/>
              <w:right w:val="single" w:sz="4" w:space="0" w:color="auto"/>
            </w:tcBorders>
            <w:shd w:val="clear" w:color="auto" w:fill="FFFFFF"/>
            <w:vAlign w:val="center"/>
          </w:tcPr>
          <w:p w14:paraId="73EBECEB" w14:textId="77777777" w:rsidR="00DB0460" w:rsidRPr="00260790" w:rsidRDefault="00DB0460" w:rsidP="00E20250">
            <w:pPr>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Valeur</w:t>
            </w:r>
          </w:p>
        </w:tc>
      </w:tr>
      <w:tr w:rsidR="00BD1A2F" w:rsidRPr="00260790" w14:paraId="163BE117" w14:textId="77777777" w:rsidTr="003A0E4A">
        <w:trPr>
          <w:cantSplit/>
          <w:trHeight w:val="284"/>
          <w:jc w:val="center"/>
        </w:trPr>
        <w:tc>
          <w:tcPr>
            <w:tcW w:w="2233" w:type="pct"/>
            <w:gridSpan w:val="2"/>
            <w:tcBorders>
              <w:top w:val="single" w:sz="4" w:space="0" w:color="auto"/>
              <w:left w:val="single" w:sz="4" w:space="0" w:color="auto"/>
              <w:bottom w:val="nil"/>
              <w:right w:val="nil"/>
            </w:tcBorders>
            <w:vAlign w:val="center"/>
          </w:tcPr>
          <w:p w14:paraId="662CE40C"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Pression de vapeur</w:t>
            </w:r>
          </w:p>
        </w:tc>
        <w:tc>
          <w:tcPr>
            <w:tcW w:w="2767" w:type="pct"/>
            <w:tcBorders>
              <w:top w:val="single" w:sz="4" w:space="0" w:color="auto"/>
              <w:left w:val="nil"/>
              <w:bottom w:val="nil"/>
              <w:right w:val="single" w:sz="4" w:space="0" w:color="auto"/>
            </w:tcBorders>
            <w:vAlign w:val="center"/>
          </w:tcPr>
          <w:p w14:paraId="63357E51"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&lt; 10 hPa à 40°C</w:t>
            </w:r>
          </w:p>
        </w:tc>
      </w:tr>
      <w:tr w:rsidR="00BD1A2F" w:rsidRPr="00260790" w14:paraId="3795DCA1" w14:textId="77777777" w:rsidTr="003A0E4A">
        <w:trPr>
          <w:cantSplit/>
          <w:trHeight w:val="284"/>
          <w:jc w:val="center"/>
        </w:trPr>
        <w:tc>
          <w:tcPr>
            <w:tcW w:w="2233" w:type="pct"/>
            <w:gridSpan w:val="2"/>
            <w:tcBorders>
              <w:top w:val="nil"/>
              <w:left w:val="single" w:sz="4" w:space="0" w:color="auto"/>
              <w:bottom w:val="nil"/>
              <w:right w:val="nil"/>
            </w:tcBorders>
            <w:vAlign w:val="center"/>
          </w:tcPr>
          <w:p w14:paraId="1236E5E8"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Point -éclair</w:t>
            </w:r>
          </w:p>
        </w:tc>
        <w:tc>
          <w:tcPr>
            <w:tcW w:w="2767" w:type="pct"/>
            <w:tcBorders>
              <w:top w:val="nil"/>
              <w:left w:val="nil"/>
              <w:bottom w:val="nil"/>
              <w:right w:val="single" w:sz="4" w:space="0" w:color="auto"/>
            </w:tcBorders>
            <w:vAlign w:val="center"/>
          </w:tcPr>
          <w:p w14:paraId="5F1EB1BF"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&gt; 55°C</w:t>
            </w:r>
          </w:p>
        </w:tc>
      </w:tr>
      <w:tr w:rsidR="00BD1A2F" w:rsidRPr="00260790" w14:paraId="62E7175C" w14:textId="77777777" w:rsidTr="003A0E4A">
        <w:trPr>
          <w:cantSplit/>
          <w:trHeight w:val="558"/>
          <w:jc w:val="center"/>
        </w:trPr>
        <w:tc>
          <w:tcPr>
            <w:tcW w:w="2233" w:type="pct"/>
            <w:gridSpan w:val="2"/>
            <w:tcBorders>
              <w:top w:val="nil"/>
              <w:left w:val="single" w:sz="4" w:space="0" w:color="auto"/>
              <w:bottom w:val="nil"/>
              <w:right w:val="nil"/>
            </w:tcBorders>
            <w:vAlign w:val="center"/>
          </w:tcPr>
          <w:p w14:paraId="0B3DEA14"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Limites d’inflammabilité </w:t>
            </w:r>
          </w:p>
        </w:tc>
        <w:tc>
          <w:tcPr>
            <w:tcW w:w="2767" w:type="pct"/>
            <w:tcBorders>
              <w:top w:val="nil"/>
              <w:left w:val="nil"/>
              <w:bottom w:val="nil"/>
              <w:right w:val="single" w:sz="4" w:space="0" w:color="auto"/>
            </w:tcBorders>
            <w:vAlign w:val="center"/>
          </w:tcPr>
          <w:p w14:paraId="6149AFB8"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Environ 0,5 et 5% de volume de vapeur dans l’air</w:t>
            </w:r>
          </w:p>
        </w:tc>
      </w:tr>
      <w:tr w:rsidR="00BD1A2F" w:rsidRPr="00260790" w14:paraId="3FE0F218" w14:textId="77777777" w:rsidTr="003A0E4A">
        <w:trPr>
          <w:cantSplit/>
          <w:trHeight w:val="284"/>
          <w:jc w:val="center"/>
        </w:trPr>
        <w:tc>
          <w:tcPr>
            <w:tcW w:w="2233" w:type="pct"/>
            <w:gridSpan w:val="2"/>
            <w:tcBorders>
              <w:top w:val="nil"/>
              <w:left w:val="single" w:sz="4" w:space="0" w:color="auto"/>
              <w:bottom w:val="nil"/>
              <w:right w:val="nil"/>
            </w:tcBorders>
            <w:vAlign w:val="center"/>
          </w:tcPr>
          <w:p w14:paraId="56780561"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Densité relative </w:t>
            </w:r>
          </w:p>
        </w:tc>
        <w:tc>
          <w:tcPr>
            <w:tcW w:w="2767" w:type="pct"/>
            <w:tcBorders>
              <w:top w:val="nil"/>
              <w:left w:val="nil"/>
              <w:bottom w:val="nil"/>
              <w:right w:val="single" w:sz="4" w:space="0" w:color="auto"/>
            </w:tcBorders>
            <w:vAlign w:val="center"/>
          </w:tcPr>
          <w:p w14:paraId="557335BA"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0,82 à 0,845 à 15°C</w:t>
            </w:r>
          </w:p>
        </w:tc>
      </w:tr>
      <w:tr w:rsidR="00BD1A2F" w:rsidRPr="00260790" w14:paraId="3BA86125" w14:textId="77777777" w:rsidTr="003A0E4A">
        <w:trPr>
          <w:cantSplit/>
          <w:trHeight w:val="284"/>
          <w:jc w:val="center"/>
        </w:trPr>
        <w:tc>
          <w:tcPr>
            <w:tcW w:w="2233" w:type="pct"/>
            <w:gridSpan w:val="2"/>
            <w:tcBorders>
              <w:top w:val="nil"/>
              <w:left w:val="single" w:sz="4" w:space="0" w:color="auto"/>
              <w:bottom w:val="single" w:sz="4" w:space="0" w:color="auto"/>
              <w:right w:val="nil"/>
            </w:tcBorders>
            <w:vAlign w:val="center"/>
          </w:tcPr>
          <w:p w14:paraId="33B44E2C"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Solubilité dans l’eau</w:t>
            </w:r>
          </w:p>
        </w:tc>
        <w:tc>
          <w:tcPr>
            <w:tcW w:w="2767" w:type="pct"/>
            <w:tcBorders>
              <w:top w:val="nil"/>
              <w:left w:val="nil"/>
              <w:bottom w:val="single" w:sz="4" w:space="0" w:color="auto"/>
              <w:right w:val="single" w:sz="4" w:space="0" w:color="auto"/>
            </w:tcBorders>
            <w:vAlign w:val="center"/>
          </w:tcPr>
          <w:p w14:paraId="2727C474"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Pratiquement non miscible</w:t>
            </w:r>
          </w:p>
        </w:tc>
      </w:tr>
      <w:tr w:rsidR="00BD1A2F" w:rsidRPr="00260790" w14:paraId="1ACE7B5B" w14:textId="77777777" w:rsidTr="003A0E4A">
        <w:trPr>
          <w:cantSplit/>
          <w:trHeight w:val="284"/>
          <w:jc w:val="center"/>
        </w:trPr>
        <w:tc>
          <w:tcPr>
            <w:tcW w:w="2233" w:type="pct"/>
            <w:gridSpan w:val="2"/>
            <w:tcBorders>
              <w:top w:val="single" w:sz="4" w:space="0" w:color="auto"/>
              <w:left w:val="single" w:sz="4" w:space="0" w:color="auto"/>
              <w:bottom w:val="single" w:sz="4" w:space="0" w:color="auto"/>
              <w:right w:val="nil"/>
            </w:tcBorders>
            <w:shd w:val="clear" w:color="auto" w:fill="FFFFFF"/>
            <w:vAlign w:val="center"/>
          </w:tcPr>
          <w:p w14:paraId="45A39B76" w14:textId="77777777" w:rsidR="00DB0460" w:rsidRPr="00260790" w:rsidRDefault="00DB0460" w:rsidP="00E20250">
            <w:pPr>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Phrases de risque :</w:t>
            </w:r>
          </w:p>
        </w:tc>
        <w:tc>
          <w:tcPr>
            <w:tcW w:w="2767" w:type="pct"/>
            <w:tcBorders>
              <w:top w:val="single" w:sz="4" w:space="0" w:color="auto"/>
              <w:left w:val="nil"/>
              <w:bottom w:val="single" w:sz="4" w:space="0" w:color="auto"/>
              <w:right w:val="single" w:sz="4" w:space="0" w:color="auto"/>
            </w:tcBorders>
            <w:shd w:val="clear" w:color="auto" w:fill="FFFFFF"/>
            <w:vAlign w:val="center"/>
          </w:tcPr>
          <w:p w14:paraId="308FE199" w14:textId="77777777" w:rsidR="00DB0460" w:rsidRPr="00260790" w:rsidRDefault="00DB0460" w:rsidP="00E20250">
            <w:pPr>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Description</w:t>
            </w:r>
          </w:p>
        </w:tc>
      </w:tr>
      <w:tr w:rsidR="00BD1A2F" w:rsidRPr="00260790" w14:paraId="599C492C" w14:textId="77777777" w:rsidTr="003A0E4A">
        <w:trPr>
          <w:cantSplit/>
          <w:trHeight w:val="309"/>
          <w:jc w:val="center"/>
        </w:trPr>
        <w:tc>
          <w:tcPr>
            <w:tcW w:w="2233" w:type="pct"/>
            <w:gridSpan w:val="2"/>
            <w:tcBorders>
              <w:top w:val="single" w:sz="4" w:space="0" w:color="auto"/>
              <w:left w:val="single" w:sz="4" w:space="0" w:color="auto"/>
              <w:bottom w:val="nil"/>
              <w:right w:val="nil"/>
            </w:tcBorders>
          </w:tcPr>
          <w:p w14:paraId="7E5F248D"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R40</w:t>
            </w:r>
          </w:p>
        </w:tc>
        <w:tc>
          <w:tcPr>
            <w:tcW w:w="2767" w:type="pct"/>
            <w:tcBorders>
              <w:top w:val="single" w:sz="4" w:space="0" w:color="auto"/>
              <w:left w:val="nil"/>
              <w:bottom w:val="nil"/>
              <w:right w:val="single" w:sz="4" w:space="0" w:color="auto"/>
            </w:tcBorders>
          </w:tcPr>
          <w:p w14:paraId="230A34E7"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Effet cancérigène peu probable</w:t>
            </w:r>
          </w:p>
        </w:tc>
      </w:tr>
      <w:tr w:rsidR="00BD1A2F" w:rsidRPr="00260790" w14:paraId="44E2E41A" w14:textId="77777777" w:rsidTr="003A0E4A">
        <w:trPr>
          <w:cantSplit/>
          <w:trHeight w:val="551"/>
          <w:jc w:val="center"/>
        </w:trPr>
        <w:tc>
          <w:tcPr>
            <w:tcW w:w="2233" w:type="pct"/>
            <w:gridSpan w:val="2"/>
            <w:tcBorders>
              <w:top w:val="nil"/>
              <w:left w:val="single" w:sz="4" w:space="0" w:color="auto"/>
              <w:bottom w:val="nil"/>
              <w:right w:val="nil"/>
            </w:tcBorders>
          </w:tcPr>
          <w:p w14:paraId="5BB01338"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R65</w:t>
            </w:r>
          </w:p>
        </w:tc>
        <w:tc>
          <w:tcPr>
            <w:tcW w:w="2767" w:type="pct"/>
            <w:tcBorders>
              <w:top w:val="nil"/>
              <w:left w:val="nil"/>
              <w:bottom w:val="nil"/>
              <w:right w:val="single" w:sz="4" w:space="0" w:color="auto"/>
            </w:tcBorders>
          </w:tcPr>
          <w:p w14:paraId="0CDE3D50"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Nocif : peut provoquer une atteinte des poumons en cas d’ingestion</w:t>
            </w:r>
          </w:p>
        </w:tc>
      </w:tr>
      <w:tr w:rsidR="00BD1A2F" w:rsidRPr="00260790" w14:paraId="7E5577E2" w14:textId="77777777" w:rsidTr="003A0E4A">
        <w:trPr>
          <w:cantSplit/>
          <w:trHeight w:val="531"/>
          <w:jc w:val="center"/>
        </w:trPr>
        <w:tc>
          <w:tcPr>
            <w:tcW w:w="2233" w:type="pct"/>
            <w:gridSpan w:val="2"/>
            <w:tcBorders>
              <w:top w:val="nil"/>
              <w:left w:val="single" w:sz="4" w:space="0" w:color="auto"/>
              <w:bottom w:val="nil"/>
              <w:right w:val="nil"/>
            </w:tcBorders>
          </w:tcPr>
          <w:p w14:paraId="4F55A292"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R66</w:t>
            </w:r>
          </w:p>
        </w:tc>
        <w:tc>
          <w:tcPr>
            <w:tcW w:w="2767" w:type="pct"/>
            <w:tcBorders>
              <w:top w:val="nil"/>
              <w:left w:val="nil"/>
              <w:bottom w:val="nil"/>
              <w:right w:val="single" w:sz="4" w:space="0" w:color="auto"/>
            </w:tcBorders>
          </w:tcPr>
          <w:p w14:paraId="234A8ED0"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L’exposition répétée peut provoquer des assèchements de la peau</w:t>
            </w:r>
          </w:p>
        </w:tc>
      </w:tr>
      <w:tr w:rsidR="00DB0460" w:rsidRPr="00260790" w14:paraId="7DDA3C7F" w14:textId="77777777" w:rsidTr="003A0E4A">
        <w:trPr>
          <w:cantSplit/>
          <w:trHeight w:val="718"/>
          <w:jc w:val="center"/>
        </w:trPr>
        <w:tc>
          <w:tcPr>
            <w:tcW w:w="2233" w:type="pct"/>
            <w:gridSpan w:val="2"/>
            <w:tcBorders>
              <w:top w:val="nil"/>
              <w:left w:val="single" w:sz="4" w:space="0" w:color="auto"/>
              <w:bottom w:val="single" w:sz="4" w:space="0" w:color="auto"/>
              <w:right w:val="nil"/>
            </w:tcBorders>
          </w:tcPr>
          <w:p w14:paraId="2FE50D64"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R51/53</w:t>
            </w:r>
          </w:p>
        </w:tc>
        <w:tc>
          <w:tcPr>
            <w:tcW w:w="2767" w:type="pct"/>
            <w:tcBorders>
              <w:top w:val="nil"/>
              <w:left w:val="nil"/>
              <w:bottom w:val="single" w:sz="4" w:space="0" w:color="auto"/>
              <w:right w:val="single" w:sz="4" w:space="0" w:color="auto"/>
            </w:tcBorders>
          </w:tcPr>
          <w:p w14:paraId="013F8B93"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Toxique pour les organismes aquatiques, peut entraîner des effets néfastes à long terme pour l’environnement aquatique</w:t>
            </w:r>
          </w:p>
        </w:tc>
      </w:tr>
    </w:tbl>
    <w:p w14:paraId="384FD9E3" w14:textId="77777777" w:rsidR="00DB0460" w:rsidRPr="00260790" w:rsidRDefault="00DB0460" w:rsidP="00E20250">
      <w:pPr>
        <w:spacing w:after="0" w:line="240" w:lineRule="auto"/>
        <w:ind w:left="720"/>
        <w:jc w:val="both"/>
        <w:rPr>
          <w:rFonts w:ascii="Times New Roman" w:eastAsia="Times New Roman" w:hAnsi="Times New Roman"/>
          <w:b/>
          <w:color w:val="000000" w:themeColor="text1"/>
          <w:lang w:eastAsia="fr-FR"/>
        </w:rPr>
      </w:pPr>
    </w:p>
    <w:p w14:paraId="6A66A152" w14:textId="77777777" w:rsidR="00DB0460" w:rsidRPr="00260790" w:rsidRDefault="00DB0460" w:rsidP="001748C6">
      <w:pPr>
        <w:numPr>
          <w:ilvl w:val="0"/>
          <w:numId w:val="150"/>
        </w:numPr>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Risque incendie / explosion</w:t>
      </w:r>
    </w:p>
    <w:p w14:paraId="1E06A55C" w14:textId="77777777" w:rsidR="00DB0460" w:rsidRPr="00260790" w:rsidRDefault="00DB0460" w:rsidP="00E202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gazole est un produit inflammable de 2e catégorie (ou catégorie C selon le terme utilisé dans la nomenclature des ICPE). C’est un produit peu volatil, ce qui lui confère un faible risque d’inflammation dans les conditions normales de stockage.</w:t>
      </w:r>
    </w:p>
    <w:p w14:paraId="389A61B7" w14:textId="77777777" w:rsidR="002E053E" w:rsidRPr="00260790" w:rsidRDefault="002E053E">
      <w:pPr>
        <w:spacing w:line="259"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br w:type="page"/>
      </w:r>
    </w:p>
    <w:p w14:paraId="00027B8A" w14:textId="014469C5" w:rsidR="00DB0460" w:rsidRPr="00260790" w:rsidRDefault="00DB0460" w:rsidP="009359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lastRenderedPageBreak/>
        <w:t>La combustion incomplète peut produire des gaz plus ou moins toxiques tels que CO, CO2, hydrocarbures aromatiques polycycliques, des suies, etc. Leur présence dans l’atmosphère favorise la détérioration de la qualité de l’air et par conséquent des risques sanitaires pour la population.</w:t>
      </w:r>
    </w:p>
    <w:p w14:paraId="0588EC91" w14:textId="77777777" w:rsidR="00DB0460" w:rsidRPr="00260790" w:rsidRDefault="00DB0460" w:rsidP="001748C6">
      <w:pPr>
        <w:numPr>
          <w:ilvl w:val="0"/>
          <w:numId w:val="150"/>
        </w:numPr>
        <w:spacing w:line="240" w:lineRule="auto"/>
        <w:jc w:val="both"/>
        <w:rPr>
          <w:rFonts w:ascii="Times New Roman" w:eastAsia="Times New Roman" w:hAnsi="Times New Roman"/>
          <w:b/>
          <w:color w:val="000000" w:themeColor="text1"/>
          <w:lang w:eastAsia="fr-FR"/>
        </w:rPr>
      </w:pPr>
      <w:bookmarkStart w:id="688" w:name="_Toc215300498"/>
      <w:bookmarkStart w:id="689" w:name="_Toc217137216"/>
      <w:r w:rsidRPr="00260790">
        <w:rPr>
          <w:rFonts w:ascii="Times New Roman" w:eastAsia="Times New Roman" w:hAnsi="Times New Roman"/>
          <w:b/>
          <w:color w:val="000000" w:themeColor="text1"/>
          <w:lang w:eastAsia="fr-FR"/>
        </w:rPr>
        <w:t>Risque toxique</w:t>
      </w:r>
      <w:bookmarkEnd w:id="688"/>
      <w:bookmarkEnd w:id="689"/>
    </w:p>
    <w:p w14:paraId="14B476B5" w14:textId="77777777" w:rsidR="00DB0460" w:rsidRPr="00260790" w:rsidRDefault="00DB0460" w:rsidP="009359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Toxicité aiguë – effets locaux : De fortes concentrations de vapeurs ou d’aérosols peuvent être irritantes pour les voies respiratoires et les muqueuses.</w:t>
      </w:r>
    </w:p>
    <w:p w14:paraId="6A3AB1D4" w14:textId="77777777" w:rsidR="00DB0460" w:rsidRPr="00260790" w:rsidRDefault="00DB0460" w:rsidP="009359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contact du gazole avec les yeux provoque des sensations de brûlure et des rougeurs temporaires. En cas d’ingestion accidentelle, le produit peut être aspiré dans les poumons en raison de sa faible viscosité et donner naissance à une pneumopathie d’inhalation se développant dans les heures qui suivent (surveillance médicale indispensable pendant 48 h).</w:t>
      </w:r>
    </w:p>
    <w:p w14:paraId="68C4F512" w14:textId="77777777" w:rsidR="00DB0460" w:rsidRPr="00260790" w:rsidRDefault="00DB0460" w:rsidP="001748C6">
      <w:pPr>
        <w:numPr>
          <w:ilvl w:val="0"/>
          <w:numId w:val="150"/>
        </w:numPr>
        <w:spacing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Toxicité chronique ou à long terme </w:t>
      </w:r>
    </w:p>
    <w:p w14:paraId="66FA9252" w14:textId="77777777" w:rsidR="00DB0460" w:rsidRPr="00260790" w:rsidRDefault="00DB0460" w:rsidP="00935981">
      <w:pPr>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contact fréquent ou prolongé avec la peau détruit l’enduit cutané et peut provoquer des dermatoses avec risque d’allergie secondaire. Un effet cancérigène a été suspecté, mais les preuves demeurent insuffisantes. Certains essais d’application sur animaux ont montré un développement de tumeurs malignes.</w:t>
      </w:r>
    </w:p>
    <w:p w14:paraId="35CC4B60" w14:textId="77777777" w:rsidR="00DB0460" w:rsidRPr="00260790" w:rsidRDefault="00DB0460" w:rsidP="001748C6">
      <w:pPr>
        <w:numPr>
          <w:ilvl w:val="0"/>
          <w:numId w:val="150"/>
        </w:numPr>
        <w:spacing w:line="240" w:lineRule="auto"/>
        <w:jc w:val="both"/>
        <w:rPr>
          <w:rFonts w:ascii="Times New Roman" w:eastAsia="Times New Roman" w:hAnsi="Times New Roman"/>
          <w:b/>
          <w:color w:val="000000" w:themeColor="text1"/>
          <w:lang w:eastAsia="fr-FR"/>
        </w:rPr>
      </w:pPr>
      <w:bookmarkStart w:id="690" w:name="_Toc215300499"/>
      <w:bookmarkStart w:id="691" w:name="_Toc217137217"/>
      <w:r w:rsidRPr="00260790">
        <w:rPr>
          <w:rFonts w:ascii="Times New Roman" w:eastAsia="Times New Roman" w:hAnsi="Times New Roman"/>
          <w:b/>
          <w:color w:val="000000" w:themeColor="text1"/>
          <w:lang w:eastAsia="fr-FR"/>
        </w:rPr>
        <w:t>Risque écotoxique</w:t>
      </w:r>
      <w:bookmarkEnd w:id="690"/>
      <w:bookmarkEnd w:id="691"/>
    </w:p>
    <w:p w14:paraId="797477D1" w14:textId="77777777" w:rsidR="00DB0460" w:rsidRPr="00260790" w:rsidRDefault="00DB0460" w:rsidP="00935981">
      <w:pPr>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produit est intrinsèquement biodégradable. Il est toxique pour les organismes aquatiques et peut entraîner des effets néfastes à long terme pour l’environnement aquatique.</w:t>
      </w:r>
    </w:p>
    <w:p w14:paraId="042573E2" w14:textId="77777777" w:rsidR="00DB0460" w:rsidRPr="00260790" w:rsidRDefault="00DB0460" w:rsidP="001748C6">
      <w:pPr>
        <w:keepNext/>
        <w:keepLines/>
        <w:numPr>
          <w:ilvl w:val="0"/>
          <w:numId w:val="159"/>
        </w:numPr>
        <w:spacing w:before="120" w:line="240" w:lineRule="auto"/>
        <w:contextualSpacing/>
        <w:jc w:val="both"/>
        <w:rPr>
          <w:rFonts w:ascii="Times New Roman" w:hAnsi="Times New Roman"/>
          <w:b/>
          <w:bCs/>
          <w:i/>
          <w:iCs/>
          <w:color w:val="000000" w:themeColor="text1"/>
          <w:lang w:eastAsia="fr-CA"/>
        </w:rPr>
      </w:pPr>
      <w:r w:rsidRPr="00260790">
        <w:rPr>
          <w:rFonts w:ascii="Times New Roman" w:hAnsi="Times New Roman"/>
          <w:b/>
          <w:bCs/>
          <w:i/>
          <w:iCs/>
          <w:color w:val="000000" w:themeColor="text1"/>
          <w:lang w:eastAsia="fr-CA"/>
        </w:rPr>
        <w:t xml:space="preserve">Dangers liés à l'huile de lubrification </w:t>
      </w:r>
    </w:p>
    <w:p w14:paraId="2BDB4865" w14:textId="77777777" w:rsidR="00DB0460" w:rsidRPr="00260790" w:rsidRDefault="00DB0460" w:rsidP="001748C6">
      <w:pPr>
        <w:numPr>
          <w:ilvl w:val="0"/>
          <w:numId w:val="150"/>
        </w:numPr>
        <w:spacing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 xml:space="preserve">Description du produit </w:t>
      </w:r>
    </w:p>
    <w:p w14:paraId="16751360" w14:textId="77777777" w:rsidR="00DB0460" w:rsidRPr="00260790" w:rsidRDefault="00DB0460" w:rsidP="00935981">
      <w:pPr>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huiles de lubrification des pièces rotatives sont composées d’huiles minérales sévèrement raffinées et d’additifs dont la teneur en hydrocarbures aliphatiques polycycliques (cancérigène) des huiles minérales est inférieure à 3 % ou constituée d'hydrocarbures paraffiniques.</w:t>
      </w:r>
    </w:p>
    <w:p w14:paraId="3841EAB2" w14:textId="6B840F9D" w:rsidR="00DB0460" w:rsidRPr="00260790" w:rsidRDefault="00DB0460" w:rsidP="001748C6">
      <w:pPr>
        <w:numPr>
          <w:ilvl w:val="0"/>
          <w:numId w:val="150"/>
        </w:numPr>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 xml:space="preserve">Incompatibilité, stabilité et réactivité </w:t>
      </w:r>
    </w:p>
    <w:p w14:paraId="53D573D2" w14:textId="70884B9F" w:rsidR="00DB0460" w:rsidRPr="00260790" w:rsidRDefault="00D04A07"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À</w:t>
      </w:r>
      <w:r w:rsidR="00DB0460" w:rsidRPr="00260790">
        <w:rPr>
          <w:rFonts w:ascii="Times New Roman" w:eastAsia="Times New Roman" w:hAnsi="Times New Roman"/>
          <w:color w:val="000000" w:themeColor="text1"/>
          <w:lang w:eastAsia="fr-FR"/>
        </w:rPr>
        <w:t xml:space="preserve"> ce jour, aucune étude spécifique n’a été réalisée sur la stabilité et la réactivité des huiles et lubrifiants mis en jeu. </w:t>
      </w:r>
    </w:p>
    <w:p w14:paraId="3EC9323B" w14:textId="77777777" w:rsidR="00DB0460" w:rsidRPr="00260790" w:rsidRDefault="00DB0460" w:rsidP="00E20250">
      <w:pPr>
        <w:spacing w:after="0" w:line="240" w:lineRule="auto"/>
        <w:ind w:left="720"/>
        <w:contextualSpacing/>
        <w:jc w:val="both"/>
        <w:rPr>
          <w:rFonts w:ascii="Times New Roman" w:hAnsi="Times New Roman"/>
          <w:b/>
          <w:color w:val="000000" w:themeColor="text1"/>
        </w:rPr>
      </w:pPr>
    </w:p>
    <w:p w14:paraId="4798CD56" w14:textId="77777777" w:rsidR="00DB0460" w:rsidRPr="00260790" w:rsidRDefault="00DB0460" w:rsidP="001748C6">
      <w:pPr>
        <w:numPr>
          <w:ilvl w:val="0"/>
          <w:numId w:val="150"/>
        </w:numPr>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 xml:space="preserve">Risque incendie / explosion </w:t>
      </w:r>
    </w:p>
    <w:p w14:paraId="4C0A3628"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Dans les conditions normales d'utilisation, cette huile ne présente pas de risque particulier d'inflammation ou d'explosion. Toutefois, dans des conditions de température et de pression particulières, la formation de brouillard explosif est possible. Un rappel des conditions d'inflammation de l'huile de lubrification est fait ci-dessous. </w:t>
      </w:r>
    </w:p>
    <w:p w14:paraId="3ECC752C"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p w14:paraId="44B7EE41" w14:textId="09094EC7" w:rsidR="00DB0460" w:rsidRPr="00260790" w:rsidRDefault="00DB0460" w:rsidP="00E20250">
      <w:pPr>
        <w:pStyle w:val="Lgende"/>
        <w:keepNext/>
        <w:spacing w:line="240" w:lineRule="auto"/>
        <w:rPr>
          <w:color w:val="000000" w:themeColor="text1"/>
          <w:sz w:val="22"/>
          <w:szCs w:val="22"/>
        </w:rPr>
      </w:pPr>
      <w:bookmarkStart w:id="692" w:name="_Toc207781931"/>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90</w:t>
      </w:r>
      <w:r w:rsidRPr="00260790">
        <w:rPr>
          <w:color w:val="000000" w:themeColor="text1"/>
          <w:sz w:val="22"/>
          <w:szCs w:val="22"/>
        </w:rPr>
        <w:fldChar w:fldCharType="end"/>
      </w:r>
      <w:r w:rsidRPr="00260790">
        <w:rPr>
          <w:color w:val="000000" w:themeColor="text1"/>
          <w:sz w:val="22"/>
          <w:szCs w:val="22"/>
        </w:rPr>
        <w:t>: Risque incendie / explosion lié à l'huile de lubrification</w:t>
      </w:r>
      <w:bookmarkEnd w:id="69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28"/>
        <w:gridCol w:w="4532"/>
      </w:tblGrid>
      <w:tr w:rsidR="00BD1A2F" w:rsidRPr="00260790" w14:paraId="2233B55B" w14:textId="77777777" w:rsidTr="003A0E4A">
        <w:tc>
          <w:tcPr>
            <w:tcW w:w="4603" w:type="dxa"/>
            <w:shd w:val="clear" w:color="auto" w:fill="FFFFFF"/>
          </w:tcPr>
          <w:p w14:paraId="5F3C0236" w14:textId="77777777" w:rsidR="00DB0460" w:rsidRPr="00260790" w:rsidRDefault="00DB0460" w:rsidP="00E202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Produit</w:t>
            </w:r>
          </w:p>
        </w:tc>
        <w:tc>
          <w:tcPr>
            <w:tcW w:w="4603" w:type="dxa"/>
            <w:shd w:val="clear" w:color="auto" w:fill="FFFFFF"/>
          </w:tcPr>
          <w:p w14:paraId="1C2DC037" w14:textId="77777777" w:rsidR="00DB0460" w:rsidRPr="00260790" w:rsidRDefault="00DB0460" w:rsidP="00E202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bCs/>
                <w:color w:val="000000" w:themeColor="text1"/>
                <w:lang w:eastAsia="fr-FR"/>
              </w:rPr>
              <w:t>Risque incendie</w:t>
            </w:r>
          </w:p>
        </w:tc>
      </w:tr>
      <w:tr w:rsidR="00DB0460" w:rsidRPr="00260790" w14:paraId="2025FB87" w14:textId="77777777" w:rsidTr="003A0E4A">
        <w:tc>
          <w:tcPr>
            <w:tcW w:w="4603" w:type="dxa"/>
            <w:vAlign w:val="center"/>
          </w:tcPr>
          <w:p w14:paraId="34C12074" w14:textId="77777777" w:rsidR="00DB0460" w:rsidRPr="00260790" w:rsidRDefault="00DB0460" w:rsidP="00E202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Huile de lubrification</w:t>
            </w:r>
          </w:p>
          <w:p w14:paraId="7006C50D" w14:textId="77777777" w:rsidR="00DB0460" w:rsidRPr="00260790" w:rsidRDefault="00DB0460" w:rsidP="00E202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olor w:val="000000" w:themeColor="text1"/>
                <w:lang w:eastAsia="fr-FR"/>
              </w:rPr>
            </w:pPr>
          </w:p>
        </w:tc>
        <w:tc>
          <w:tcPr>
            <w:tcW w:w="4603" w:type="dxa"/>
          </w:tcPr>
          <w:p w14:paraId="4EC2656E" w14:textId="77777777" w:rsidR="00DB0460" w:rsidRPr="00260790" w:rsidRDefault="00DB0460" w:rsidP="00E202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 Point d'ébullition : donnée non disponible </w:t>
            </w:r>
          </w:p>
          <w:p w14:paraId="12BA0169" w14:textId="77777777" w:rsidR="00DB0460" w:rsidRPr="00260790" w:rsidRDefault="00DB0460" w:rsidP="00E202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 Point éclair : 210°C </w:t>
            </w:r>
          </w:p>
          <w:p w14:paraId="04D4C176" w14:textId="5A670004" w:rsidR="00DB0460" w:rsidRPr="00260790" w:rsidRDefault="00DB0460" w:rsidP="00E202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 Pression de vapeur : donnée non disponible température </w:t>
            </w:r>
            <w:r w:rsidR="00874DDA" w:rsidRPr="00260790">
              <w:rPr>
                <w:rFonts w:ascii="Times New Roman" w:eastAsia="Times New Roman" w:hAnsi="Times New Roman"/>
                <w:color w:val="000000" w:themeColor="text1"/>
                <w:lang w:eastAsia="fr-FR"/>
              </w:rPr>
              <w:t>d’auto-inflammation</w:t>
            </w:r>
            <w:r w:rsidRPr="00260790">
              <w:rPr>
                <w:rFonts w:ascii="Times New Roman" w:eastAsia="Times New Roman" w:hAnsi="Times New Roman"/>
                <w:color w:val="000000" w:themeColor="text1"/>
                <w:lang w:eastAsia="fr-FR"/>
              </w:rPr>
              <w:t xml:space="preserve"> : 250°C </w:t>
            </w:r>
          </w:p>
          <w:p w14:paraId="529FF701" w14:textId="7B75E6F1" w:rsidR="00DB0460" w:rsidRPr="00260790" w:rsidRDefault="00DB0460" w:rsidP="00E202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 LIE (Limite Inférieure d'explosivité) : 45 g/m3 (brouillard d’huile) </w:t>
            </w:r>
          </w:p>
          <w:p w14:paraId="5DD3C47E" w14:textId="77777777" w:rsidR="00DB0460" w:rsidRPr="00260790" w:rsidRDefault="00DB0460" w:rsidP="00E202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 LES (Limite Supérieure d'Explosivité) : donnée non disponible </w:t>
            </w:r>
          </w:p>
        </w:tc>
      </w:tr>
    </w:tbl>
    <w:p w14:paraId="6C2F3724" w14:textId="77777777" w:rsidR="00DB0460" w:rsidRPr="00260790" w:rsidRDefault="00DB0460" w:rsidP="00E202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b/>
          <w:bCs/>
          <w:color w:val="000000" w:themeColor="text1"/>
          <w:lang w:eastAsia="fr-FR"/>
        </w:rPr>
      </w:pPr>
    </w:p>
    <w:p w14:paraId="6DAEA2D5" w14:textId="77777777" w:rsidR="00E30CAF" w:rsidRDefault="00E30CAF">
      <w:pPr>
        <w:spacing w:line="259" w:lineRule="auto"/>
        <w:rPr>
          <w:rFonts w:ascii="Times New Roman" w:hAnsi="Times New Roman"/>
          <w:b/>
          <w:color w:val="000000" w:themeColor="text1"/>
        </w:rPr>
      </w:pPr>
      <w:r>
        <w:rPr>
          <w:rFonts w:ascii="Times New Roman" w:hAnsi="Times New Roman"/>
          <w:b/>
          <w:color w:val="000000" w:themeColor="text1"/>
        </w:rPr>
        <w:br w:type="page"/>
      </w:r>
    </w:p>
    <w:p w14:paraId="6A635CC2" w14:textId="6D6C4562" w:rsidR="00DB0460" w:rsidRPr="00260790" w:rsidRDefault="00DB0460" w:rsidP="001748C6">
      <w:pPr>
        <w:numPr>
          <w:ilvl w:val="0"/>
          <w:numId w:val="150"/>
        </w:numPr>
        <w:spacing w:after="0" w:line="240" w:lineRule="auto"/>
        <w:jc w:val="both"/>
        <w:rPr>
          <w:rFonts w:ascii="Times New Roman" w:hAnsi="Times New Roman"/>
          <w:b/>
          <w:color w:val="000000" w:themeColor="text1"/>
        </w:rPr>
      </w:pPr>
      <w:r w:rsidRPr="00260790">
        <w:rPr>
          <w:rFonts w:ascii="Times New Roman" w:hAnsi="Times New Roman"/>
          <w:b/>
          <w:color w:val="000000" w:themeColor="text1"/>
        </w:rPr>
        <w:lastRenderedPageBreak/>
        <w:t xml:space="preserve">Risque toxique - Toxicité aiguë – effets locaux </w:t>
      </w:r>
    </w:p>
    <w:p w14:paraId="00EA61E9"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Bien que classé comme non dangereux pour l'homme, ce produit peut néanmoins présenter des caractéristiques toxiques. Ces caractéristiques sont présentées ci-dessous. </w:t>
      </w:r>
    </w:p>
    <w:p w14:paraId="5DE198AA" w14:textId="77777777" w:rsidR="00DB0460" w:rsidRPr="00260790" w:rsidRDefault="00DB0460" w:rsidP="00E20250">
      <w:pPr>
        <w:spacing w:after="0" w:line="240" w:lineRule="auto"/>
        <w:jc w:val="both"/>
        <w:rPr>
          <w:rFonts w:ascii="Times New Roman" w:eastAsia="Times New Roman" w:hAnsi="Times New Roman"/>
          <w:b/>
          <w:color w:val="000000" w:themeColor="text1"/>
          <w:lang w:eastAsia="fr-FR"/>
        </w:rPr>
      </w:pPr>
    </w:p>
    <w:p w14:paraId="32AAA12D" w14:textId="5919EB73" w:rsidR="00DB0460" w:rsidRPr="00260790" w:rsidRDefault="00DB0460" w:rsidP="00E20250">
      <w:pPr>
        <w:pStyle w:val="Lgende"/>
        <w:keepNext/>
        <w:spacing w:line="240" w:lineRule="auto"/>
        <w:rPr>
          <w:b/>
          <w:color w:val="000000" w:themeColor="text1"/>
          <w:sz w:val="22"/>
          <w:szCs w:val="22"/>
        </w:rPr>
      </w:pPr>
      <w:r w:rsidRPr="00260790">
        <w:rPr>
          <w:color w:val="000000" w:themeColor="text1"/>
          <w:sz w:val="22"/>
          <w:szCs w:val="22"/>
        </w:rPr>
        <w:t> </w:t>
      </w:r>
      <w:bookmarkStart w:id="693" w:name="_Toc207781932"/>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91</w:t>
      </w:r>
      <w:r w:rsidRPr="00260790">
        <w:rPr>
          <w:color w:val="000000" w:themeColor="text1"/>
          <w:sz w:val="22"/>
          <w:szCs w:val="22"/>
        </w:rPr>
        <w:fldChar w:fldCharType="end"/>
      </w:r>
      <w:r w:rsidRPr="00260790">
        <w:rPr>
          <w:color w:val="000000" w:themeColor="text1"/>
          <w:sz w:val="22"/>
          <w:szCs w:val="22"/>
        </w:rPr>
        <w:t>: Toxicité aiguë de l'huile de lubrification</w:t>
      </w:r>
      <w:bookmarkEnd w:id="69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29"/>
        <w:gridCol w:w="4531"/>
      </w:tblGrid>
      <w:tr w:rsidR="00BD1A2F" w:rsidRPr="00260790" w14:paraId="0186B7FD" w14:textId="77777777" w:rsidTr="003A0E4A">
        <w:tc>
          <w:tcPr>
            <w:tcW w:w="4603" w:type="dxa"/>
            <w:shd w:val="clear" w:color="auto" w:fill="FFFFFF"/>
          </w:tcPr>
          <w:p w14:paraId="56F61902" w14:textId="77777777" w:rsidR="00DB0460" w:rsidRPr="00260790" w:rsidRDefault="00DB0460" w:rsidP="00E202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bCs/>
                <w:color w:val="000000" w:themeColor="text1"/>
                <w:lang w:eastAsia="fr-FR"/>
              </w:rPr>
              <w:t>Produit</w:t>
            </w:r>
          </w:p>
        </w:tc>
        <w:tc>
          <w:tcPr>
            <w:tcW w:w="4603" w:type="dxa"/>
            <w:shd w:val="clear" w:color="auto" w:fill="FFFFFF"/>
          </w:tcPr>
          <w:p w14:paraId="3A2A3D84" w14:textId="77777777" w:rsidR="00DB0460" w:rsidRPr="00260790" w:rsidRDefault="00DB0460" w:rsidP="00E202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bCs/>
                <w:color w:val="000000" w:themeColor="text1"/>
                <w:lang w:eastAsia="fr-FR"/>
              </w:rPr>
              <w:t>Toxicité aiguë - effets locaux</w:t>
            </w:r>
          </w:p>
        </w:tc>
      </w:tr>
      <w:tr w:rsidR="00DB0460" w:rsidRPr="00260790" w14:paraId="03227678" w14:textId="77777777" w:rsidTr="003A0E4A">
        <w:trPr>
          <w:trHeight w:val="1691"/>
        </w:trPr>
        <w:tc>
          <w:tcPr>
            <w:tcW w:w="4603" w:type="dxa"/>
            <w:vAlign w:val="center"/>
          </w:tcPr>
          <w:p w14:paraId="284D1FE1" w14:textId="77777777" w:rsidR="00DB0460" w:rsidRPr="00260790" w:rsidRDefault="00DB0460" w:rsidP="00E202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Huile de lubrification</w:t>
            </w:r>
          </w:p>
          <w:p w14:paraId="31CCD2B5" w14:textId="77777777" w:rsidR="00DB0460" w:rsidRPr="00260790" w:rsidRDefault="00DB0460" w:rsidP="00E202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olor w:val="000000" w:themeColor="text1"/>
                <w:lang w:eastAsia="fr-FR"/>
              </w:rPr>
            </w:pPr>
          </w:p>
        </w:tc>
        <w:tc>
          <w:tcPr>
            <w:tcW w:w="4603" w:type="dxa"/>
          </w:tcPr>
          <w:p w14:paraId="19BC322D" w14:textId="77777777" w:rsidR="00DB0460" w:rsidRPr="00260790" w:rsidRDefault="00DB0460" w:rsidP="00E202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 Un contact oculaire ou de la peau peut provoquer une irritation (sensation de brûlure, rougeur)  </w:t>
            </w:r>
          </w:p>
          <w:p w14:paraId="63DD9DF5" w14:textId="77777777" w:rsidR="00DB0460" w:rsidRPr="00260790" w:rsidRDefault="00DB0460" w:rsidP="00E202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 L'ingestion de quantités importantes peut entraîner des nausées ou des diarrhées   </w:t>
            </w:r>
          </w:p>
          <w:p w14:paraId="4801ABA3" w14:textId="77777777" w:rsidR="00DB0460" w:rsidRPr="00260790" w:rsidRDefault="00DB0460" w:rsidP="00E202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 La combustion complète ou incomplète de l’huile de lubrification produit des suies et des gaz plus ou moins toxiques tels que le monoxyde de carbone, le dioxyde de carbone, le sulfure d’hydrogène, les oxydes de phosphore, les oxydes d’azote, les oxydes de soufre, les amines aromatiques, etc. dont l'inhalation est très dangereuse   </w:t>
            </w:r>
          </w:p>
        </w:tc>
      </w:tr>
    </w:tbl>
    <w:p w14:paraId="71DD99EC" w14:textId="77777777" w:rsidR="00DB0460" w:rsidRPr="00260790" w:rsidRDefault="00DB0460" w:rsidP="001748C6">
      <w:pPr>
        <w:pStyle w:val="Paragraphedeliste"/>
        <w:numPr>
          <w:ilvl w:val="0"/>
          <w:numId w:val="150"/>
        </w:numPr>
        <w:spacing w:before="240" w:after="200" w:line="240" w:lineRule="auto"/>
        <w:jc w:val="both"/>
        <w:rPr>
          <w:rFonts w:ascii="Times New Roman" w:hAnsi="Times New Roman"/>
          <w:b/>
          <w:color w:val="000000" w:themeColor="text1"/>
        </w:rPr>
      </w:pPr>
      <w:r w:rsidRPr="00260790">
        <w:rPr>
          <w:rFonts w:ascii="Times New Roman" w:hAnsi="Times New Roman"/>
          <w:b/>
          <w:color w:val="000000" w:themeColor="text1"/>
        </w:rPr>
        <w:t xml:space="preserve">Risque écotoxique </w:t>
      </w:r>
    </w:p>
    <w:p w14:paraId="5D66DD48" w14:textId="44B13AB9" w:rsidR="00DB0460" w:rsidRPr="00260790" w:rsidRDefault="00DB0460" w:rsidP="00E20250">
      <w:pPr>
        <w:spacing w:after="0" w:line="240" w:lineRule="auto"/>
        <w:jc w:val="both"/>
        <w:rPr>
          <w:rFonts w:ascii="Times New Roman" w:hAnsi="Times New Roman"/>
          <w:color w:val="000000" w:themeColor="text1"/>
          <w:lang w:eastAsia="fr-FR"/>
        </w:rPr>
      </w:pPr>
      <w:r w:rsidRPr="00260790">
        <w:rPr>
          <w:rFonts w:ascii="Times New Roman" w:eastAsia="Times New Roman" w:hAnsi="Times New Roman"/>
          <w:color w:val="000000" w:themeColor="text1"/>
          <w:lang w:eastAsia="fr-FR"/>
        </w:rPr>
        <w:t>Le risque écotoxique de l'huile ISO 320 n'étant pas abordé dans la fiche de donnée de sécurité, d'autres fiches de données de sécurité présentant les effets écotoxiques de produits similaires ont été étudié</w:t>
      </w:r>
      <w:r w:rsidR="00D04A07" w:rsidRPr="00260790">
        <w:rPr>
          <w:rFonts w:ascii="Times New Roman" w:eastAsia="Times New Roman" w:hAnsi="Times New Roman"/>
          <w:color w:val="000000" w:themeColor="text1"/>
          <w:lang w:eastAsia="fr-FR"/>
        </w:rPr>
        <w:t>e</w:t>
      </w:r>
      <w:r w:rsidRPr="00260790">
        <w:rPr>
          <w:rFonts w:ascii="Times New Roman" w:eastAsia="Times New Roman" w:hAnsi="Times New Roman"/>
          <w:color w:val="000000" w:themeColor="text1"/>
          <w:lang w:eastAsia="fr-FR"/>
        </w:rPr>
        <w:t>s.</w:t>
      </w:r>
    </w:p>
    <w:p w14:paraId="4E43F862" w14:textId="7F4F8074" w:rsidR="00DB0460" w:rsidRPr="00260790" w:rsidRDefault="00DB0460" w:rsidP="00E20250">
      <w:pPr>
        <w:pStyle w:val="Lgende"/>
        <w:keepNext/>
        <w:spacing w:line="240" w:lineRule="auto"/>
        <w:rPr>
          <w:b/>
          <w:color w:val="000000" w:themeColor="text1"/>
          <w:sz w:val="22"/>
          <w:szCs w:val="22"/>
        </w:rPr>
      </w:pPr>
      <w:bookmarkStart w:id="694" w:name="_Toc207781933"/>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92</w:t>
      </w:r>
      <w:r w:rsidRPr="00260790">
        <w:rPr>
          <w:color w:val="000000" w:themeColor="text1"/>
          <w:sz w:val="22"/>
          <w:szCs w:val="22"/>
        </w:rPr>
        <w:fldChar w:fldCharType="end"/>
      </w:r>
      <w:r w:rsidRPr="00260790">
        <w:rPr>
          <w:color w:val="000000" w:themeColor="text1"/>
          <w:sz w:val="22"/>
          <w:szCs w:val="22"/>
        </w:rPr>
        <w:t> : écotoxicité de l'huile de lubrification</w:t>
      </w:r>
      <w:bookmarkEnd w:id="69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37"/>
        <w:gridCol w:w="5323"/>
      </w:tblGrid>
      <w:tr w:rsidR="00BD1A2F" w:rsidRPr="00260790" w14:paraId="2E24B367" w14:textId="77777777" w:rsidTr="003A0E4A">
        <w:trPr>
          <w:trHeight w:val="415"/>
        </w:trPr>
        <w:tc>
          <w:tcPr>
            <w:tcW w:w="3739" w:type="dxa"/>
            <w:shd w:val="clear" w:color="auto" w:fill="FFFFFF"/>
          </w:tcPr>
          <w:p w14:paraId="209CB0A7" w14:textId="77777777" w:rsidR="00DB0460" w:rsidRPr="00260790" w:rsidRDefault="00DB0460" w:rsidP="00E202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
                <w:bCs/>
                <w:color w:val="000000" w:themeColor="text1"/>
                <w:lang w:eastAsia="fr-FR"/>
              </w:rPr>
              <w:t>Produit</w:t>
            </w:r>
          </w:p>
        </w:tc>
        <w:tc>
          <w:tcPr>
            <w:tcW w:w="5327" w:type="dxa"/>
            <w:shd w:val="clear" w:color="auto" w:fill="FFFFFF"/>
          </w:tcPr>
          <w:p w14:paraId="3631C378" w14:textId="77777777" w:rsidR="00DB0460" w:rsidRPr="00260790" w:rsidRDefault="00DB0460" w:rsidP="00E202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Écotoxicité</w:t>
            </w:r>
          </w:p>
        </w:tc>
      </w:tr>
      <w:tr w:rsidR="00DB0460" w:rsidRPr="00260790" w14:paraId="21EF596F" w14:textId="77777777" w:rsidTr="003A0E4A">
        <w:tc>
          <w:tcPr>
            <w:tcW w:w="3739" w:type="dxa"/>
            <w:vAlign w:val="center"/>
          </w:tcPr>
          <w:p w14:paraId="510343F8" w14:textId="77777777" w:rsidR="00DB0460" w:rsidRPr="00260790" w:rsidRDefault="00DB0460" w:rsidP="00E202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Huile de lubrification</w:t>
            </w:r>
          </w:p>
          <w:p w14:paraId="05535ADD" w14:textId="77777777" w:rsidR="00DB0460" w:rsidRPr="00260790" w:rsidRDefault="00DB0460" w:rsidP="00E202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b/>
                <w:bCs/>
                <w:color w:val="000000" w:themeColor="text1"/>
                <w:lang w:eastAsia="fr-FR"/>
              </w:rPr>
            </w:pPr>
          </w:p>
        </w:tc>
        <w:tc>
          <w:tcPr>
            <w:tcW w:w="5327" w:type="dxa"/>
          </w:tcPr>
          <w:p w14:paraId="69D174A0" w14:textId="77777777" w:rsidR="00DB0460" w:rsidRPr="00260790" w:rsidRDefault="00DB0460" w:rsidP="00E202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 L'huile de lubrification est très lentement biodégradable en milieu aérien, </w:t>
            </w:r>
          </w:p>
          <w:p w14:paraId="2373FBA3" w14:textId="77777777" w:rsidR="00DB0460" w:rsidRPr="00260790" w:rsidRDefault="00DB0460" w:rsidP="00E202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 Le produit s’étale à la surface de l’eau pouvant ainsi perturber les transferts d’oxygènes des organismes aquatiques,  </w:t>
            </w:r>
          </w:p>
          <w:p w14:paraId="33896A11" w14:textId="77777777" w:rsidR="00DB0460" w:rsidRPr="00260790" w:rsidRDefault="00DB0460" w:rsidP="00E202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 Compte tenu de ses caractéristiques physico-chimiques, le produit est en général peu mobile dans le sol, </w:t>
            </w:r>
          </w:p>
          <w:p w14:paraId="39B6DD73" w14:textId="77777777" w:rsidR="00DB0460" w:rsidRPr="00260790" w:rsidRDefault="00DB0460" w:rsidP="00E202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 Le produit neuf n’est pas considéré comme dangereux pour les plantes terrestres, il est considéré comme peu dangereux pour les organismes aquatiques. </w:t>
            </w:r>
          </w:p>
          <w:p w14:paraId="375A655C" w14:textId="77777777" w:rsidR="00DB0460" w:rsidRPr="00260790" w:rsidRDefault="00DB0460" w:rsidP="00E202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DL50 chez le rat &gt; 2000 mg/kg </w:t>
            </w:r>
          </w:p>
        </w:tc>
      </w:tr>
    </w:tbl>
    <w:p w14:paraId="7646B716"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p w14:paraId="263612D2" w14:textId="77777777" w:rsidR="00935981" w:rsidRPr="00260790" w:rsidRDefault="00935981">
      <w:pPr>
        <w:spacing w:line="259"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br w:type="page"/>
      </w:r>
    </w:p>
    <w:p w14:paraId="7478D70C" w14:textId="7B55D0BE" w:rsidR="00DB0460" w:rsidRPr="00260790" w:rsidRDefault="00DB0460" w:rsidP="001748C6">
      <w:pPr>
        <w:numPr>
          <w:ilvl w:val="0"/>
          <w:numId w:val="159"/>
        </w:numPr>
        <w:spacing w:after="200" w:line="240" w:lineRule="auto"/>
        <w:contextualSpacing/>
        <w:jc w:val="both"/>
        <w:rPr>
          <w:rFonts w:ascii="Times New Roman" w:hAnsi="Times New Roman"/>
          <w:b/>
          <w:i/>
          <w:color w:val="000000" w:themeColor="text1"/>
        </w:rPr>
      </w:pPr>
      <w:r w:rsidRPr="00260790">
        <w:rPr>
          <w:rFonts w:ascii="Times New Roman" w:hAnsi="Times New Roman"/>
          <w:b/>
          <w:i/>
          <w:color w:val="000000" w:themeColor="text1"/>
        </w:rPr>
        <w:lastRenderedPageBreak/>
        <w:t>Dangers liés aux huiles usagées</w:t>
      </w:r>
    </w:p>
    <w:p w14:paraId="5ADEDA99"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La composition moyenne des huiles usagées est donnée par le graphe suivant (source Total </w:t>
      </w:r>
      <w:proofErr w:type="gramStart"/>
      <w:r w:rsidRPr="00260790">
        <w:rPr>
          <w:rFonts w:ascii="Times New Roman" w:eastAsia="Times New Roman" w:hAnsi="Times New Roman"/>
          <w:color w:val="000000" w:themeColor="text1"/>
          <w:lang w:eastAsia="fr-FR"/>
        </w:rPr>
        <w:t>France  2</w:t>
      </w:r>
      <w:proofErr w:type="gramEnd"/>
      <w:r w:rsidRPr="00260790">
        <w:rPr>
          <w:rFonts w:ascii="Times New Roman" w:eastAsia="Times New Roman" w:hAnsi="Times New Roman"/>
          <w:color w:val="000000" w:themeColor="text1"/>
          <w:lang w:eastAsia="fr-FR"/>
        </w:rPr>
        <w:t>O15) :</w:t>
      </w:r>
    </w:p>
    <w:p w14:paraId="32750782"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bl>
      <w:tblPr>
        <w:tblW w:w="5000" w:type="pct"/>
        <w:tblCellMar>
          <w:left w:w="70" w:type="dxa"/>
          <w:right w:w="70" w:type="dxa"/>
        </w:tblCellMar>
        <w:tblLook w:val="04A0" w:firstRow="1" w:lastRow="0" w:firstColumn="1" w:lastColumn="0" w:noHBand="0" w:noVBand="1"/>
      </w:tblPr>
      <w:tblGrid>
        <w:gridCol w:w="815"/>
        <w:gridCol w:w="815"/>
        <w:gridCol w:w="816"/>
        <w:gridCol w:w="406"/>
        <w:gridCol w:w="1884"/>
        <w:gridCol w:w="1886"/>
        <w:gridCol w:w="816"/>
        <w:gridCol w:w="816"/>
        <w:gridCol w:w="816"/>
      </w:tblGrid>
      <w:tr w:rsidR="00BD1A2F" w:rsidRPr="00260790" w14:paraId="2D34794A" w14:textId="77777777" w:rsidTr="003A0E4A">
        <w:trPr>
          <w:trHeight w:val="300"/>
        </w:trPr>
        <w:tc>
          <w:tcPr>
            <w:tcW w:w="521" w:type="pct"/>
            <w:tcBorders>
              <w:top w:val="nil"/>
              <w:left w:val="nil"/>
              <w:bottom w:val="nil"/>
              <w:right w:val="nil"/>
            </w:tcBorders>
            <w:noWrap/>
            <w:vAlign w:val="bottom"/>
          </w:tcPr>
          <w:p w14:paraId="4EADDD98"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w:t>
            </w:r>
          </w:p>
        </w:tc>
        <w:tc>
          <w:tcPr>
            <w:tcW w:w="521" w:type="pct"/>
            <w:tcBorders>
              <w:top w:val="nil"/>
              <w:left w:val="nil"/>
              <w:bottom w:val="nil"/>
              <w:right w:val="nil"/>
            </w:tcBorders>
            <w:noWrap/>
            <w:vAlign w:val="bottom"/>
          </w:tcPr>
          <w:p w14:paraId="7F1AE21D"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456160D4"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295" w:type="pct"/>
            <w:tcBorders>
              <w:top w:val="nil"/>
              <w:left w:val="nil"/>
              <w:bottom w:val="nil"/>
              <w:right w:val="nil"/>
            </w:tcBorders>
            <w:noWrap/>
            <w:vAlign w:val="bottom"/>
          </w:tcPr>
          <w:p w14:paraId="43CC8D3E"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788" w:type="pct"/>
            <w:tcBorders>
              <w:top w:val="nil"/>
              <w:left w:val="nil"/>
              <w:bottom w:val="nil"/>
              <w:right w:val="nil"/>
            </w:tcBorders>
            <w:noWrap/>
            <w:vAlign w:val="bottom"/>
          </w:tcPr>
          <w:p w14:paraId="19535067" w14:textId="77777777" w:rsidR="00DB0460" w:rsidRPr="00260790" w:rsidRDefault="00DB0460" w:rsidP="00E20250">
            <w:pPr>
              <w:spacing w:after="0" w:line="240" w:lineRule="auto"/>
              <w:jc w:val="both"/>
              <w:rPr>
                <w:rFonts w:ascii="Times New Roman" w:eastAsia="Times New Roman" w:hAnsi="Times New Roman"/>
                <w:b/>
                <w:bCs/>
                <w:color w:val="000000" w:themeColor="text1"/>
                <w:lang w:eastAsia="fr-FR"/>
              </w:rPr>
            </w:pPr>
          </w:p>
        </w:tc>
        <w:tc>
          <w:tcPr>
            <w:tcW w:w="788" w:type="pct"/>
            <w:tcBorders>
              <w:top w:val="nil"/>
              <w:left w:val="nil"/>
              <w:bottom w:val="nil"/>
              <w:right w:val="nil"/>
            </w:tcBorders>
            <w:noWrap/>
            <w:vAlign w:val="bottom"/>
          </w:tcPr>
          <w:p w14:paraId="2C4040D5"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3803F4CF"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0AD38357"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6F6267C9"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r>
      <w:tr w:rsidR="00BD1A2F" w:rsidRPr="00260790" w14:paraId="64E14CFD" w14:textId="77777777" w:rsidTr="003A0E4A">
        <w:trPr>
          <w:trHeight w:val="300"/>
        </w:trPr>
        <w:tc>
          <w:tcPr>
            <w:tcW w:w="521" w:type="pct"/>
            <w:tcBorders>
              <w:top w:val="nil"/>
              <w:left w:val="nil"/>
              <w:bottom w:val="nil"/>
              <w:right w:val="single" w:sz="4" w:space="0" w:color="auto"/>
            </w:tcBorders>
            <w:noWrap/>
            <w:vAlign w:val="bottom"/>
          </w:tcPr>
          <w:p w14:paraId="511DDBAE"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100</w:t>
            </w:r>
          </w:p>
        </w:tc>
        <w:tc>
          <w:tcPr>
            <w:tcW w:w="521" w:type="pct"/>
            <w:tcBorders>
              <w:top w:val="nil"/>
              <w:left w:val="nil"/>
              <w:bottom w:val="nil"/>
              <w:right w:val="nil"/>
            </w:tcBorders>
            <w:noWrap/>
            <w:vAlign w:val="bottom"/>
          </w:tcPr>
          <w:p w14:paraId="01818D36"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521" w:type="pct"/>
            <w:tcBorders>
              <w:top w:val="nil"/>
              <w:left w:val="nil"/>
              <w:bottom w:val="single" w:sz="4" w:space="0" w:color="auto"/>
              <w:right w:val="nil"/>
            </w:tcBorders>
            <w:noWrap/>
            <w:vAlign w:val="bottom"/>
          </w:tcPr>
          <w:p w14:paraId="621312C7"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295" w:type="pct"/>
            <w:tcBorders>
              <w:top w:val="nil"/>
              <w:left w:val="nil"/>
              <w:bottom w:val="single" w:sz="4" w:space="0" w:color="auto"/>
              <w:right w:val="nil"/>
            </w:tcBorders>
            <w:noWrap/>
            <w:vAlign w:val="bottom"/>
          </w:tcPr>
          <w:p w14:paraId="10C4450C"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788" w:type="pct"/>
            <w:tcBorders>
              <w:top w:val="nil"/>
              <w:left w:val="nil"/>
              <w:bottom w:val="nil"/>
              <w:right w:val="nil"/>
            </w:tcBorders>
            <w:noWrap/>
            <w:vAlign w:val="bottom"/>
          </w:tcPr>
          <w:p w14:paraId="549999C0" w14:textId="77777777" w:rsidR="00DB0460" w:rsidRPr="00260790" w:rsidRDefault="00DB0460" w:rsidP="00E20250">
            <w:pPr>
              <w:spacing w:after="0" w:line="240" w:lineRule="auto"/>
              <w:jc w:val="both"/>
              <w:rPr>
                <w:rFonts w:ascii="Times New Roman" w:eastAsia="Times New Roman" w:hAnsi="Times New Roman"/>
                <w:b/>
                <w:bCs/>
                <w:color w:val="000000" w:themeColor="text1"/>
                <w:lang w:eastAsia="fr-FR"/>
              </w:rPr>
            </w:pPr>
          </w:p>
        </w:tc>
        <w:tc>
          <w:tcPr>
            <w:tcW w:w="788" w:type="pct"/>
            <w:tcBorders>
              <w:top w:val="nil"/>
              <w:left w:val="nil"/>
              <w:bottom w:val="nil"/>
              <w:right w:val="nil"/>
            </w:tcBorders>
            <w:noWrap/>
            <w:vAlign w:val="bottom"/>
          </w:tcPr>
          <w:p w14:paraId="23AC4407"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22BA7BE3"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672F87E8"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257DC452"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r>
      <w:tr w:rsidR="00BD1A2F" w:rsidRPr="00260790" w14:paraId="2DED4AC8" w14:textId="77777777" w:rsidTr="003A0E4A">
        <w:trPr>
          <w:trHeight w:val="780"/>
        </w:trPr>
        <w:tc>
          <w:tcPr>
            <w:tcW w:w="521" w:type="pct"/>
            <w:tcBorders>
              <w:top w:val="nil"/>
              <w:left w:val="nil"/>
              <w:bottom w:val="nil"/>
              <w:right w:val="single" w:sz="4" w:space="0" w:color="auto"/>
            </w:tcBorders>
            <w:noWrap/>
            <w:vAlign w:val="bottom"/>
          </w:tcPr>
          <w:p w14:paraId="32535F87"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521" w:type="pct"/>
            <w:tcBorders>
              <w:top w:val="single" w:sz="4" w:space="0" w:color="00B0F0"/>
              <w:left w:val="nil"/>
              <w:bottom w:val="nil"/>
              <w:right w:val="nil"/>
            </w:tcBorders>
            <w:noWrap/>
            <w:vAlign w:val="bottom"/>
          </w:tcPr>
          <w:p w14:paraId="43847ACF"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521" w:type="pct"/>
            <w:tcBorders>
              <w:top w:val="nil"/>
              <w:left w:val="nil"/>
              <w:bottom w:val="nil"/>
              <w:right w:val="nil"/>
            </w:tcBorders>
            <w:shd w:val="clear" w:color="000000" w:fill="953735"/>
            <w:noWrap/>
            <w:vAlign w:val="bottom"/>
          </w:tcPr>
          <w:p w14:paraId="4C683CF4"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295" w:type="pct"/>
            <w:tcBorders>
              <w:top w:val="nil"/>
              <w:left w:val="nil"/>
              <w:bottom w:val="nil"/>
              <w:right w:val="nil"/>
            </w:tcBorders>
            <w:shd w:val="clear" w:color="000000" w:fill="953735"/>
            <w:noWrap/>
            <w:vAlign w:val="bottom"/>
          </w:tcPr>
          <w:p w14:paraId="55F729BE"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1577" w:type="pct"/>
            <w:gridSpan w:val="2"/>
            <w:tcBorders>
              <w:top w:val="single" w:sz="4" w:space="0" w:color="00B0F0"/>
              <w:left w:val="nil"/>
              <w:bottom w:val="nil"/>
              <w:right w:val="nil"/>
            </w:tcBorders>
            <w:noWrap/>
            <w:vAlign w:val="center"/>
          </w:tcPr>
          <w:p w14:paraId="06093458" w14:textId="77777777" w:rsidR="00DB0460" w:rsidRPr="00260790" w:rsidRDefault="00DB0460" w:rsidP="00E20250">
            <w:pPr>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Hydrocarbures légers (2 à 15%)</w:t>
            </w:r>
          </w:p>
        </w:tc>
        <w:tc>
          <w:tcPr>
            <w:tcW w:w="521" w:type="pct"/>
            <w:tcBorders>
              <w:top w:val="nil"/>
              <w:left w:val="nil"/>
              <w:bottom w:val="nil"/>
              <w:right w:val="nil"/>
            </w:tcBorders>
            <w:noWrap/>
            <w:vAlign w:val="bottom"/>
          </w:tcPr>
          <w:p w14:paraId="2A29D109"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21452189"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74244162"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r>
      <w:tr w:rsidR="00BD1A2F" w:rsidRPr="00260790" w14:paraId="2CC4F22A" w14:textId="77777777" w:rsidTr="003A0E4A">
        <w:trPr>
          <w:trHeight w:val="210"/>
        </w:trPr>
        <w:tc>
          <w:tcPr>
            <w:tcW w:w="521" w:type="pct"/>
            <w:tcBorders>
              <w:top w:val="nil"/>
              <w:left w:val="nil"/>
              <w:bottom w:val="nil"/>
              <w:right w:val="single" w:sz="4" w:space="0" w:color="auto"/>
            </w:tcBorders>
            <w:noWrap/>
            <w:vAlign w:val="bottom"/>
          </w:tcPr>
          <w:p w14:paraId="035AB001"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80</w:t>
            </w:r>
          </w:p>
        </w:tc>
        <w:tc>
          <w:tcPr>
            <w:tcW w:w="521" w:type="pct"/>
            <w:tcBorders>
              <w:top w:val="nil"/>
              <w:left w:val="nil"/>
              <w:bottom w:val="single" w:sz="4" w:space="0" w:color="00B0F0"/>
              <w:right w:val="nil"/>
            </w:tcBorders>
            <w:noWrap/>
            <w:vAlign w:val="bottom"/>
          </w:tcPr>
          <w:p w14:paraId="491EC591"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521" w:type="pct"/>
            <w:tcBorders>
              <w:top w:val="nil"/>
              <w:left w:val="nil"/>
              <w:bottom w:val="nil"/>
              <w:right w:val="nil"/>
            </w:tcBorders>
            <w:shd w:val="clear" w:color="000000" w:fill="92D050"/>
            <w:noWrap/>
            <w:vAlign w:val="bottom"/>
          </w:tcPr>
          <w:p w14:paraId="3C8E3626"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295" w:type="pct"/>
            <w:tcBorders>
              <w:top w:val="nil"/>
              <w:left w:val="nil"/>
              <w:bottom w:val="nil"/>
              <w:right w:val="nil"/>
            </w:tcBorders>
            <w:shd w:val="clear" w:color="000000" w:fill="92D050"/>
            <w:noWrap/>
            <w:vAlign w:val="bottom"/>
          </w:tcPr>
          <w:p w14:paraId="36C02DEA"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788" w:type="pct"/>
            <w:tcBorders>
              <w:top w:val="nil"/>
              <w:left w:val="nil"/>
              <w:bottom w:val="single" w:sz="4" w:space="0" w:color="00B0F0"/>
              <w:right w:val="nil"/>
            </w:tcBorders>
            <w:noWrap/>
            <w:vAlign w:val="bottom"/>
          </w:tcPr>
          <w:p w14:paraId="05AE493F" w14:textId="77777777" w:rsidR="00DB0460" w:rsidRPr="00260790" w:rsidRDefault="00DB0460" w:rsidP="00E20250">
            <w:pPr>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 </w:t>
            </w:r>
          </w:p>
        </w:tc>
        <w:tc>
          <w:tcPr>
            <w:tcW w:w="788" w:type="pct"/>
            <w:tcBorders>
              <w:top w:val="nil"/>
              <w:left w:val="nil"/>
              <w:bottom w:val="single" w:sz="4" w:space="0" w:color="00B0F0"/>
              <w:right w:val="nil"/>
            </w:tcBorders>
            <w:noWrap/>
            <w:vAlign w:val="bottom"/>
          </w:tcPr>
          <w:p w14:paraId="0A3CA432"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521" w:type="pct"/>
            <w:tcBorders>
              <w:top w:val="nil"/>
              <w:left w:val="nil"/>
              <w:bottom w:val="nil"/>
              <w:right w:val="nil"/>
            </w:tcBorders>
            <w:noWrap/>
            <w:vAlign w:val="bottom"/>
          </w:tcPr>
          <w:p w14:paraId="5373CF61"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1CE7A571"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7DC2946C"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r>
      <w:tr w:rsidR="00BD1A2F" w:rsidRPr="00260790" w14:paraId="744D23B1" w14:textId="77777777" w:rsidTr="003A0E4A">
        <w:trPr>
          <w:trHeight w:val="300"/>
        </w:trPr>
        <w:tc>
          <w:tcPr>
            <w:tcW w:w="521" w:type="pct"/>
            <w:tcBorders>
              <w:top w:val="nil"/>
              <w:left w:val="nil"/>
              <w:bottom w:val="nil"/>
              <w:right w:val="single" w:sz="4" w:space="0" w:color="auto"/>
            </w:tcBorders>
            <w:noWrap/>
            <w:vAlign w:val="bottom"/>
          </w:tcPr>
          <w:p w14:paraId="1A8B03B6"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521" w:type="pct"/>
            <w:tcBorders>
              <w:top w:val="nil"/>
              <w:left w:val="nil"/>
              <w:bottom w:val="nil"/>
              <w:right w:val="nil"/>
            </w:tcBorders>
            <w:noWrap/>
            <w:vAlign w:val="bottom"/>
          </w:tcPr>
          <w:p w14:paraId="621A1769"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521" w:type="pct"/>
            <w:tcBorders>
              <w:top w:val="nil"/>
              <w:left w:val="nil"/>
              <w:bottom w:val="nil"/>
              <w:right w:val="nil"/>
            </w:tcBorders>
            <w:shd w:val="clear" w:color="000000" w:fill="92D050"/>
            <w:noWrap/>
            <w:vAlign w:val="bottom"/>
          </w:tcPr>
          <w:p w14:paraId="1E00FD20"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295" w:type="pct"/>
            <w:tcBorders>
              <w:top w:val="nil"/>
              <w:left w:val="nil"/>
              <w:bottom w:val="nil"/>
              <w:right w:val="nil"/>
            </w:tcBorders>
            <w:shd w:val="clear" w:color="000000" w:fill="92D050"/>
            <w:noWrap/>
            <w:vAlign w:val="bottom"/>
          </w:tcPr>
          <w:p w14:paraId="26FB7045"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788" w:type="pct"/>
            <w:tcBorders>
              <w:top w:val="nil"/>
              <w:left w:val="nil"/>
              <w:bottom w:val="nil"/>
              <w:right w:val="nil"/>
            </w:tcBorders>
            <w:noWrap/>
            <w:vAlign w:val="bottom"/>
          </w:tcPr>
          <w:p w14:paraId="170ED106" w14:textId="77777777" w:rsidR="00DB0460" w:rsidRPr="00260790" w:rsidRDefault="00DB0460" w:rsidP="00E20250">
            <w:pPr>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 </w:t>
            </w:r>
          </w:p>
        </w:tc>
        <w:tc>
          <w:tcPr>
            <w:tcW w:w="788" w:type="pct"/>
            <w:tcBorders>
              <w:top w:val="nil"/>
              <w:left w:val="nil"/>
              <w:bottom w:val="nil"/>
              <w:right w:val="nil"/>
            </w:tcBorders>
            <w:noWrap/>
            <w:vAlign w:val="bottom"/>
          </w:tcPr>
          <w:p w14:paraId="2E75915F"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521" w:type="pct"/>
            <w:tcBorders>
              <w:top w:val="nil"/>
              <w:left w:val="nil"/>
              <w:bottom w:val="nil"/>
              <w:right w:val="nil"/>
            </w:tcBorders>
            <w:noWrap/>
            <w:vAlign w:val="bottom"/>
          </w:tcPr>
          <w:p w14:paraId="6F56BA35"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6D327524"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43C4E9E1"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r>
      <w:tr w:rsidR="00BD1A2F" w:rsidRPr="00260790" w14:paraId="05B82B5F" w14:textId="77777777" w:rsidTr="003A0E4A">
        <w:trPr>
          <w:trHeight w:val="690"/>
        </w:trPr>
        <w:tc>
          <w:tcPr>
            <w:tcW w:w="521" w:type="pct"/>
            <w:tcBorders>
              <w:top w:val="nil"/>
              <w:left w:val="nil"/>
              <w:bottom w:val="nil"/>
              <w:right w:val="single" w:sz="4" w:space="0" w:color="auto"/>
            </w:tcBorders>
            <w:noWrap/>
            <w:vAlign w:val="bottom"/>
          </w:tcPr>
          <w:p w14:paraId="4E5F3E07"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60</w:t>
            </w:r>
          </w:p>
        </w:tc>
        <w:tc>
          <w:tcPr>
            <w:tcW w:w="521" w:type="pct"/>
            <w:tcBorders>
              <w:top w:val="nil"/>
              <w:left w:val="nil"/>
              <w:bottom w:val="single" w:sz="4" w:space="0" w:color="00B0F0"/>
              <w:right w:val="nil"/>
            </w:tcBorders>
            <w:noWrap/>
            <w:vAlign w:val="bottom"/>
          </w:tcPr>
          <w:p w14:paraId="36DB6EC8"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521" w:type="pct"/>
            <w:tcBorders>
              <w:top w:val="nil"/>
              <w:left w:val="nil"/>
              <w:bottom w:val="nil"/>
              <w:right w:val="nil"/>
            </w:tcBorders>
            <w:shd w:val="clear" w:color="000000" w:fill="92D050"/>
            <w:noWrap/>
            <w:vAlign w:val="bottom"/>
          </w:tcPr>
          <w:p w14:paraId="1B35B923"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295" w:type="pct"/>
            <w:tcBorders>
              <w:top w:val="nil"/>
              <w:left w:val="nil"/>
              <w:bottom w:val="nil"/>
              <w:right w:val="nil"/>
            </w:tcBorders>
            <w:shd w:val="clear" w:color="000000" w:fill="92D050"/>
            <w:noWrap/>
            <w:vAlign w:val="bottom"/>
          </w:tcPr>
          <w:p w14:paraId="770C3C51"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788" w:type="pct"/>
            <w:tcBorders>
              <w:top w:val="nil"/>
              <w:left w:val="nil"/>
              <w:bottom w:val="single" w:sz="4" w:space="0" w:color="00B0F0"/>
              <w:right w:val="nil"/>
            </w:tcBorders>
            <w:noWrap/>
            <w:vAlign w:val="bottom"/>
          </w:tcPr>
          <w:p w14:paraId="2B72F001" w14:textId="77777777" w:rsidR="00DB0460" w:rsidRPr="00260790" w:rsidRDefault="00DB0460" w:rsidP="00E20250">
            <w:pPr>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 </w:t>
            </w:r>
          </w:p>
        </w:tc>
        <w:tc>
          <w:tcPr>
            <w:tcW w:w="788" w:type="pct"/>
            <w:tcBorders>
              <w:top w:val="nil"/>
              <w:left w:val="nil"/>
              <w:bottom w:val="single" w:sz="4" w:space="0" w:color="00B0F0"/>
              <w:right w:val="nil"/>
            </w:tcBorders>
            <w:noWrap/>
            <w:vAlign w:val="bottom"/>
          </w:tcPr>
          <w:p w14:paraId="736E2483"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521" w:type="pct"/>
            <w:tcBorders>
              <w:top w:val="nil"/>
              <w:left w:val="nil"/>
              <w:bottom w:val="nil"/>
              <w:right w:val="nil"/>
            </w:tcBorders>
            <w:noWrap/>
            <w:vAlign w:val="bottom"/>
          </w:tcPr>
          <w:p w14:paraId="637BA0BC"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18D242E9"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555DACB9"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r>
      <w:tr w:rsidR="00BD1A2F" w:rsidRPr="00260790" w14:paraId="74B44372" w14:textId="77777777" w:rsidTr="003A0E4A">
        <w:trPr>
          <w:trHeight w:val="300"/>
        </w:trPr>
        <w:tc>
          <w:tcPr>
            <w:tcW w:w="521" w:type="pct"/>
            <w:tcBorders>
              <w:top w:val="nil"/>
              <w:left w:val="nil"/>
              <w:bottom w:val="nil"/>
              <w:right w:val="single" w:sz="4" w:space="0" w:color="auto"/>
            </w:tcBorders>
            <w:noWrap/>
            <w:vAlign w:val="bottom"/>
          </w:tcPr>
          <w:p w14:paraId="0564A026"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521" w:type="pct"/>
            <w:tcBorders>
              <w:top w:val="nil"/>
              <w:left w:val="nil"/>
              <w:bottom w:val="nil"/>
              <w:right w:val="nil"/>
            </w:tcBorders>
            <w:noWrap/>
            <w:vAlign w:val="bottom"/>
          </w:tcPr>
          <w:p w14:paraId="006093F8"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521" w:type="pct"/>
            <w:tcBorders>
              <w:top w:val="nil"/>
              <w:left w:val="nil"/>
              <w:bottom w:val="nil"/>
              <w:right w:val="nil"/>
            </w:tcBorders>
            <w:shd w:val="clear" w:color="000000" w:fill="92D050"/>
            <w:noWrap/>
            <w:vAlign w:val="bottom"/>
          </w:tcPr>
          <w:p w14:paraId="1419537C"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295" w:type="pct"/>
            <w:tcBorders>
              <w:top w:val="nil"/>
              <w:left w:val="nil"/>
              <w:bottom w:val="nil"/>
              <w:right w:val="nil"/>
            </w:tcBorders>
            <w:shd w:val="clear" w:color="000000" w:fill="92D050"/>
            <w:noWrap/>
            <w:vAlign w:val="bottom"/>
          </w:tcPr>
          <w:p w14:paraId="2AA46CFA"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788" w:type="pct"/>
            <w:tcBorders>
              <w:top w:val="nil"/>
              <w:left w:val="nil"/>
              <w:bottom w:val="nil"/>
              <w:right w:val="nil"/>
            </w:tcBorders>
            <w:noWrap/>
            <w:vAlign w:val="bottom"/>
          </w:tcPr>
          <w:p w14:paraId="00F58C1F" w14:textId="77777777" w:rsidR="00DB0460" w:rsidRPr="00260790" w:rsidRDefault="00DB0460" w:rsidP="00E20250">
            <w:pPr>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 </w:t>
            </w:r>
          </w:p>
        </w:tc>
        <w:tc>
          <w:tcPr>
            <w:tcW w:w="788" w:type="pct"/>
            <w:tcBorders>
              <w:top w:val="nil"/>
              <w:left w:val="nil"/>
              <w:bottom w:val="nil"/>
              <w:right w:val="nil"/>
            </w:tcBorders>
            <w:noWrap/>
            <w:vAlign w:val="bottom"/>
          </w:tcPr>
          <w:p w14:paraId="670D2A05"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521" w:type="pct"/>
            <w:tcBorders>
              <w:top w:val="nil"/>
              <w:left w:val="nil"/>
              <w:bottom w:val="nil"/>
              <w:right w:val="nil"/>
            </w:tcBorders>
            <w:noWrap/>
            <w:vAlign w:val="bottom"/>
          </w:tcPr>
          <w:p w14:paraId="7F11FAD3"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6FD0635D"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2880EA96"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r>
      <w:tr w:rsidR="00BD1A2F" w:rsidRPr="00260790" w14:paraId="69980638" w14:textId="77777777" w:rsidTr="003A0E4A">
        <w:trPr>
          <w:trHeight w:val="690"/>
        </w:trPr>
        <w:tc>
          <w:tcPr>
            <w:tcW w:w="521" w:type="pct"/>
            <w:tcBorders>
              <w:top w:val="nil"/>
              <w:left w:val="nil"/>
              <w:bottom w:val="nil"/>
              <w:right w:val="single" w:sz="4" w:space="0" w:color="auto"/>
            </w:tcBorders>
            <w:noWrap/>
            <w:vAlign w:val="bottom"/>
          </w:tcPr>
          <w:p w14:paraId="428C6D24"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40</w:t>
            </w:r>
          </w:p>
        </w:tc>
        <w:tc>
          <w:tcPr>
            <w:tcW w:w="521" w:type="pct"/>
            <w:tcBorders>
              <w:top w:val="nil"/>
              <w:left w:val="nil"/>
              <w:bottom w:val="single" w:sz="4" w:space="0" w:color="00B0F0"/>
              <w:right w:val="nil"/>
            </w:tcBorders>
            <w:noWrap/>
            <w:vAlign w:val="bottom"/>
          </w:tcPr>
          <w:p w14:paraId="2043DA51"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521" w:type="pct"/>
            <w:tcBorders>
              <w:top w:val="nil"/>
              <w:left w:val="nil"/>
              <w:bottom w:val="nil"/>
              <w:right w:val="nil"/>
            </w:tcBorders>
            <w:shd w:val="clear" w:color="000000" w:fill="92D050"/>
            <w:noWrap/>
            <w:vAlign w:val="bottom"/>
          </w:tcPr>
          <w:p w14:paraId="661B1FE7"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295" w:type="pct"/>
            <w:tcBorders>
              <w:top w:val="nil"/>
              <w:left w:val="nil"/>
              <w:bottom w:val="nil"/>
              <w:right w:val="nil"/>
            </w:tcBorders>
            <w:shd w:val="clear" w:color="000000" w:fill="92D050"/>
            <w:noWrap/>
            <w:vAlign w:val="bottom"/>
          </w:tcPr>
          <w:p w14:paraId="39A3CFE3"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1577" w:type="pct"/>
            <w:gridSpan w:val="2"/>
            <w:tcBorders>
              <w:top w:val="nil"/>
              <w:left w:val="nil"/>
              <w:bottom w:val="single" w:sz="4" w:space="0" w:color="00B0F0"/>
              <w:right w:val="nil"/>
            </w:tcBorders>
            <w:noWrap/>
            <w:vAlign w:val="center"/>
          </w:tcPr>
          <w:p w14:paraId="5C6B11AD" w14:textId="77777777" w:rsidR="00DB0460" w:rsidRPr="00260790" w:rsidRDefault="00DB0460" w:rsidP="00E20250">
            <w:pPr>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Hydrocarbures lourds (moins de 80%)</w:t>
            </w:r>
          </w:p>
        </w:tc>
        <w:tc>
          <w:tcPr>
            <w:tcW w:w="521" w:type="pct"/>
            <w:tcBorders>
              <w:top w:val="nil"/>
              <w:left w:val="nil"/>
              <w:bottom w:val="nil"/>
              <w:right w:val="nil"/>
            </w:tcBorders>
            <w:noWrap/>
            <w:vAlign w:val="bottom"/>
          </w:tcPr>
          <w:p w14:paraId="12920E5D"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083DCA93"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45911323"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r>
      <w:tr w:rsidR="00BD1A2F" w:rsidRPr="00260790" w14:paraId="52B8D7A0" w14:textId="77777777" w:rsidTr="003A0E4A">
        <w:trPr>
          <w:trHeight w:val="300"/>
        </w:trPr>
        <w:tc>
          <w:tcPr>
            <w:tcW w:w="521" w:type="pct"/>
            <w:tcBorders>
              <w:top w:val="nil"/>
              <w:left w:val="nil"/>
              <w:bottom w:val="nil"/>
              <w:right w:val="single" w:sz="4" w:space="0" w:color="auto"/>
            </w:tcBorders>
            <w:noWrap/>
            <w:vAlign w:val="bottom"/>
          </w:tcPr>
          <w:p w14:paraId="083390C0"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521" w:type="pct"/>
            <w:tcBorders>
              <w:top w:val="nil"/>
              <w:left w:val="nil"/>
              <w:bottom w:val="nil"/>
              <w:right w:val="nil"/>
            </w:tcBorders>
            <w:noWrap/>
            <w:vAlign w:val="bottom"/>
          </w:tcPr>
          <w:p w14:paraId="3D44D9A3"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521" w:type="pct"/>
            <w:tcBorders>
              <w:top w:val="nil"/>
              <w:left w:val="nil"/>
              <w:bottom w:val="nil"/>
              <w:right w:val="nil"/>
            </w:tcBorders>
            <w:shd w:val="clear" w:color="000000" w:fill="92D050"/>
            <w:noWrap/>
            <w:vAlign w:val="bottom"/>
          </w:tcPr>
          <w:p w14:paraId="155E0B6C"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295" w:type="pct"/>
            <w:tcBorders>
              <w:top w:val="nil"/>
              <w:left w:val="nil"/>
              <w:bottom w:val="nil"/>
              <w:right w:val="nil"/>
            </w:tcBorders>
            <w:shd w:val="clear" w:color="000000" w:fill="92D050"/>
            <w:noWrap/>
            <w:vAlign w:val="bottom"/>
          </w:tcPr>
          <w:p w14:paraId="53E8F378"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788" w:type="pct"/>
            <w:tcBorders>
              <w:top w:val="nil"/>
              <w:left w:val="nil"/>
              <w:bottom w:val="nil"/>
              <w:right w:val="nil"/>
            </w:tcBorders>
            <w:noWrap/>
            <w:vAlign w:val="bottom"/>
          </w:tcPr>
          <w:p w14:paraId="2AD11624" w14:textId="77777777" w:rsidR="00DB0460" w:rsidRPr="00260790" w:rsidRDefault="00DB0460" w:rsidP="00E20250">
            <w:pPr>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 </w:t>
            </w:r>
          </w:p>
        </w:tc>
        <w:tc>
          <w:tcPr>
            <w:tcW w:w="788" w:type="pct"/>
            <w:tcBorders>
              <w:top w:val="nil"/>
              <w:left w:val="nil"/>
              <w:bottom w:val="nil"/>
              <w:right w:val="nil"/>
            </w:tcBorders>
            <w:noWrap/>
            <w:vAlign w:val="bottom"/>
          </w:tcPr>
          <w:p w14:paraId="324B2ADC"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521" w:type="pct"/>
            <w:tcBorders>
              <w:top w:val="nil"/>
              <w:left w:val="nil"/>
              <w:bottom w:val="nil"/>
              <w:right w:val="nil"/>
            </w:tcBorders>
            <w:noWrap/>
            <w:vAlign w:val="bottom"/>
          </w:tcPr>
          <w:p w14:paraId="08B81437"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18EC30BD"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38168353"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r>
      <w:tr w:rsidR="00BD1A2F" w:rsidRPr="00260790" w14:paraId="4CC63740" w14:textId="77777777" w:rsidTr="003A0E4A">
        <w:trPr>
          <w:trHeight w:val="660"/>
        </w:trPr>
        <w:tc>
          <w:tcPr>
            <w:tcW w:w="521" w:type="pct"/>
            <w:tcBorders>
              <w:top w:val="nil"/>
              <w:left w:val="nil"/>
              <w:bottom w:val="nil"/>
              <w:right w:val="single" w:sz="4" w:space="0" w:color="auto"/>
            </w:tcBorders>
            <w:noWrap/>
            <w:vAlign w:val="bottom"/>
          </w:tcPr>
          <w:p w14:paraId="1834F21D"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20</w:t>
            </w:r>
          </w:p>
        </w:tc>
        <w:tc>
          <w:tcPr>
            <w:tcW w:w="521" w:type="pct"/>
            <w:tcBorders>
              <w:top w:val="nil"/>
              <w:left w:val="nil"/>
              <w:bottom w:val="single" w:sz="4" w:space="0" w:color="00B0F0"/>
              <w:right w:val="nil"/>
            </w:tcBorders>
            <w:noWrap/>
            <w:vAlign w:val="bottom"/>
          </w:tcPr>
          <w:p w14:paraId="423905F9"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521" w:type="pct"/>
            <w:tcBorders>
              <w:top w:val="nil"/>
              <w:left w:val="nil"/>
              <w:bottom w:val="nil"/>
              <w:right w:val="nil"/>
            </w:tcBorders>
            <w:shd w:val="clear" w:color="000000" w:fill="92D050"/>
            <w:noWrap/>
            <w:vAlign w:val="bottom"/>
          </w:tcPr>
          <w:p w14:paraId="20A6E738"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295" w:type="pct"/>
            <w:tcBorders>
              <w:top w:val="nil"/>
              <w:left w:val="nil"/>
              <w:bottom w:val="nil"/>
              <w:right w:val="nil"/>
            </w:tcBorders>
            <w:shd w:val="clear" w:color="000000" w:fill="92D050"/>
            <w:noWrap/>
            <w:vAlign w:val="bottom"/>
          </w:tcPr>
          <w:p w14:paraId="3E0106F1"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788" w:type="pct"/>
            <w:tcBorders>
              <w:top w:val="nil"/>
              <w:left w:val="nil"/>
              <w:bottom w:val="single" w:sz="4" w:space="0" w:color="00B0F0"/>
              <w:right w:val="nil"/>
            </w:tcBorders>
            <w:noWrap/>
            <w:vAlign w:val="bottom"/>
          </w:tcPr>
          <w:p w14:paraId="48741CD9" w14:textId="77777777" w:rsidR="00DB0460" w:rsidRPr="00260790" w:rsidRDefault="00DB0460" w:rsidP="00E20250">
            <w:pPr>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 </w:t>
            </w:r>
          </w:p>
        </w:tc>
        <w:tc>
          <w:tcPr>
            <w:tcW w:w="788" w:type="pct"/>
            <w:tcBorders>
              <w:top w:val="nil"/>
              <w:left w:val="nil"/>
              <w:bottom w:val="single" w:sz="4" w:space="0" w:color="00B0F0"/>
              <w:right w:val="nil"/>
            </w:tcBorders>
            <w:noWrap/>
            <w:vAlign w:val="bottom"/>
          </w:tcPr>
          <w:p w14:paraId="29838DBF"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521" w:type="pct"/>
            <w:tcBorders>
              <w:top w:val="nil"/>
              <w:left w:val="nil"/>
              <w:bottom w:val="nil"/>
              <w:right w:val="nil"/>
            </w:tcBorders>
            <w:noWrap/>
            <w:vAlign w:val="bottom"/>
          </w:tcPr>
          <w:p w14:paraId="36E194DB"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07185F71"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4D122946"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r>
      <w:tr w:rsidR="00BD1A2F" w:rsidRPr="00260790" w14:paraId="00770F6A" w14:textId="77777777" w:rsidTr="003A0E4A">
        <w:trPr>
          <w:trHeight w:val="300"/>
        </w:trPr>
        <w:tc>
          <w:tcPr>
            <w:tcW w:w="521" w:type="pct"/>
            <w:tcBorders>
              <w:top w:val="nil"/>
              <w:left w:val="nil"/>
              <w:bottom w:val="nil"/>
              <w:right w:val="single" w:sz="4" w:space="0" w:color="auto"/>
            </w:tcBorders>
            <w:noWrap/>
            <w:vAlign w:val="bottom"/>
          </w:tcPr>
          <w:p w14:paraId="6B425D67"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521" w:type="pct"/>
            <w:tcBorders>
              <w:top w:val="nil"/>
              <w:left w:val="nil"/>
              <w:bottom w:val="nil"/>
              <w:right w:val="nil"/>
            </w:tcBorders>
            <w:noWrap/>
            <w:vAlign w:val="bottom"/>
          </w:tcPr>
          <w:p w14:paraId="6C06195F"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521" w:type="pct"/>
            <w:tcBorders>
              <w:top w:val="nil"/>
              <w:left w:val="nil"/>
              <w:bottom w:val="nil"/>
              <w:right w:val="nil"/>
            </w:tcBorders>
            <w:shd w:val="clear" w:color="000000" w:fill="92D050"/>
            <w:noWrap/>
            <w:vAlign w:val="bottom"/>
          </w:tcPr>
          <w:p w14:paraId="41085383"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295" w:type="pct"/>
            <w:tcBorders>
              <w:top w:val="nil"/>
              <w:left w:val="nil"/>
              <w:bottom w:val="nil"/>
              <w:right w:val="nil"/>
            </w:tcBorders>
            <w:shd w:val="clear" w:color="000000" w:fill="92D050"/>
            <w:noWrap/>
            <w:vAlign w:val="bottom"/>
          </w:tcPr>
          <w:p w14:paraId="7778A81F"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788" w:type="pct"/>
            <w:tcBorders>
              <w:top w:val="nil"/>
              <w:left w:val="nil"/>
              <w:bottom w:val="nil"/>
              <w:right w:val="nil"/>
            </w:tcBorders>
            <w:noWrap/>
            <w:vAlign w:val="bottom"/>
          </w:tcPr>
          <w:p w14:paraId="6AD69DCD" w14:textId="77777777" w:rsidR="00DB0460" w:rsidRPr="00260790" w:rsidRDefault="00DB0460" w:rsidP="00E20250">
            <w:pPr>
              <w:spacing w:after="0" w:line="240" w:lineRule="auto"/>
              <w:jc w:val="both"/>
              <w:rPr>
                <w:rFonts w:ascii="Times New Roman" w:eastAsia="Times New Roman" w:hAnsi="Times New Roman"/>
                <w:b/>
                <w:bCs/>
                <w:color w:val="000000" w:themeColor="text1"/>
                <w:lang w:eastAsia="fr-FR"/>
              </w:rPr>
            </w:pPr>
          </w:p>
        </w:tc>
        <w:tc>
          <w:tcPr>
            <w:tcW w:w="788" w:type="pct"/>
            <w:tcBorders>
              <w:top w:val="nil"/>
              <w:left w:val="nil"/>
              <w:bottom w:val="nil"/>
              <w:right w:val="nil"/>
            </w:tcBorders>
            <w:noWrap/>
            <w:vAlign w:val="bottom"/>
          </w:tcPr>
          <w:p w14:paraId="4670BB15"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6DC5E6F9"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5C3AD032"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5752042D"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r>
      <w:tr w:rsidR="00BD1A2F" w:rsidRPr="00260790" w14:paraId="5D00C782" w14:textId="77777777" w:rsidTr="003A0E4A">
        <w:trPr>
          <w:trHeight w:val="225"/>
        </w:trPr>
        <w:tc>
          <w:tcPr>
            <w:tcW w:w="521" w:type="pct"/>
            <w:tcBorders>
              <w:top w:val="nil"/>
              <w:left w:val="nil"/>
              <w:bottom w:val="nil"/>
              <w:right w:val="single" w:sz="4" w:space="0" w:color="auto"/>
            </w:tcBorders>
            <w:noWrap/>
            <w:vAlign w:val="bottom"/>
          </w:tcPr>
          <w:p w14:paraId="7296F98C"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521" w:type="pct"/>
            <w:tcBorders>
              <w:top w:val="nil"/>
              <w:left w:val="nil"/>
              <w:bottom w:val="nil"/>
              <w:right w:val="nil"/>
            </w:tcBorders>
            <w:noWrap/>
            <w:vAlign w:val="bottom"/>
          </w:tcPr>
          <w:p w14:paraId="24F057DD"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521" w:type="pct"/>
            <w:tcBorders>
              <w:top w:val="nil"/>
              <w:left w:val="nil"/>
              <w:bottom w:val="nil"/>
              <w:right w:val="nil"/>
            </w:tcBorders>
            <w:shd w:val="clear" w:color="000000" w:fill="538ED5"/>
            <w:noWrap/>
            <w:vAlign w:val="bottom"/>
          </w:tcPr>
          <w:p w14:paraId="33677CCC"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295" w:type="pct"/>
            <w:tcBorders>
              <w:top w:val="nil"/>
              <w:left w:val="nil"/>
              <w:bottom w:val="nil"/>
              <w:right w:val="nil"/>
            </w:tcBorders>
            <w:shd w:val="clear" w:color="000000" w:fill="538ED5"/>
            <w:noWrap/>
            <w:vAlign w:val="bottom"/>
          </w:tcPr>
          <w:p w14:paraId="242B6AD7"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2098" w:type="pct"/>
            <w:gridSpan w:val="3"/>
            <w:tcBorders>
              <w:top w:val="nil"/>
              <w:left w:val="nil"/>
              <w:bottom w:val="nil"/>
              <w:right w:val="nil"/>
            </w:tcBorders>
            <w:noWrap/>
            <w:vAlign w:val="center"/>
          </w:tcPr>
          <w:p w14:paraId="30AE6D95" w14:textId="77777777" w:rsidR="00DB0460" w:rsidRPr="00260790" w:rsidRDefault="00DB0460" w:rsidP="00E20250">
            <w:pPr>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Eau (0 à 10</w:t>
            </w:r>
            <w:proofErr w:type="gramStart"/>
            <w:r w:rsidRPr="00260790">
              <w:rPr>
                <w:rFonts w:ascii="Times New Roman" w:eastAsia="Times New Roman" w:hAnsi="Times New Roman"/>
                <w:b/>
                <w:bCs/>
                <w:color w:val="000000" w:themeColor="text1"/>
                <w:lang w:eastAsia="fr-FR"/>
              </w:rPr>
              <w:t>%)-</w:t>
            </w:r>
            <w:proofErr w:type="gramEnd"/>
            <w:r w:rsidRPr="00260790">
              <w:rPr>
                <w:rFonts w:ascii="Times New Roman" w:eastAsia="Times New Roman" w:hAnsi="Times New Roman"/>
                <w:b/>
                <w:bCs/>
                <w:color w:val="000000" w:themeColor="text1"/>
                <w:lang w:eastAsia="fr-FR"/>
              </w:rPr>
              <w:t>combustion, pollution-</w:t>
            </w:r>
          </w:p>
        </w:tc>
        <w:tc>
          <w:tcPr>
            <w:tcW w:w="521" w:type="pct"/>
            <w:tcBorders>
              <w:top w:val="nil"/>
              <w:left w:val="nil"/>
              <w:bottom w:val="nil"/>
              <w:right w:val="nil"/>
            </w:tcBorders>
            <w:noWrap/>
            <w:vAlign w:val="bottom"/>
          </w:tcPr>
          <w:p w14:paraId="2EAEBECD"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00DA97DE"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r>
      <w:tr w:rsidR="00BD1A2F" w:rsidRPr="00260790" w14:paraId="182C3321" w14:textId="77777777" w:rsidTr="003A0E4A">
        <w:trPr>
          <w:trHeight w:val="375"/>
        </w:trPr>
        <w:tc>
          <w:tcPr>
            <w:tcW w:w="521" w:type="pct"/>
            <w:tcBorders>
              <w:top w:val="nil"/>
              <w:left w:val="nil"/>
              <w:bottom w:val="nil"/>
              <w:right w:val="single" w:sz="4" w:space="0" w:color="auto"/>
            </w:tcBorders>
            <w:noWrap/>
            <w:vAlign w:val="bottom"/>
          </w:tcPr>
          <w:p w14:paraId="01F2B859"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0</w:t>
            </w:r>
          </w:p>
        </w:tc>
        <w:tc>
          <w:tcPr>
            <w:tcW w:w="521" w:type="pct"/>
            <w:tcBorders>
              <w:top w:val="nil"/>
              <w:left w:val="nil"/>
              <w:bottom w:val="single" w:sz="4" w:space="0" w:color="auto"/>
              <w:right w:val="nil"/>
            </w:tcBorders>
            <w:noWrap/>
            <w:vAlign w:val="bottom"/>
          </w:tcPr>
          <w:p w14:paraId="5796DF69"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521" w:type="pct"/>
            <w:tcBorders>
              <w:top w:val="nil"/>
              <w:left w:val="nil"/>
              <w:bottom w:val="single" w:sz="4" w:space="0" w:color="auto"/>
              <w:right w:val="nil"/>
            </w:tcBorders>
            <w:shd w:val="clear" w:color="000000" w:fill="FFFF00"/>
            <w:noWrap/>
            <w:vAlign w:val="bottom"/>
          </w:tcPr>
          <w:p w14:paraId="52059803"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295" w:type="pct"/>
            <w:tcBorders>
              <w:top w:val="nil"/>
              <w:left w:val="nil"/>
              <w:bottom w:val="single" w:sz="4" w:space="0" w:color="auto"/>
              <w:right w:val="nil"/>
            </w:tcBorders>
            <w:shd w:val="clear" w:color="000000" w:fill="FFFF00"/>
            <w:noWrap/>
            <w:vAlign w:val="bottom"/>
          </w:tcPr>
          <w:p w14:paraId="3BA585E7"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1577" w:type="pct"/>
            <w:gridSpan w:val="2"/>
            <w:tcBorders>
              <w:top w:val="nil"/>
              <w:left w:val="nil"/>
              <w:bottom w:val="single" w:sz="4" w:space="0" w:color="auto"/>
              <w:right w:val="nil"/>
            </w:tcBorders>
            <w:noWrap/>
            <w:vAlign w:val="center"/>
          </w:tcPr>
          <w:p w14:paraId="580ECE73" w14:textId="77777777" w:rsidR="00DB0460" w:rsidRPr="00260790" w:rsidRDefault="00DB0460" w:rsidP="00E20250">
            <w:pPr>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Additifs, métaux, sédiments (0 à 10%)</w:t>
            </w:r>
          </w:p>
        </w:tc>
        <w:tc>
          <w:tcPr>
            <w:tcW w:w="521" w:type="pct"/>
            <w:tcBorders>
              <w:top w:val="nil"/>
              <w:left w:val="nil"/>
              <w:bottom w:val="nil"/>
              <w:right w:val="nil"/>
            </w:tcBorders>
            <w:noWrap/>
            <w:vAlign w:val="bottom"/>
          </w:tcPr>
          <w:p w14:paraId="4B130252"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334CD6E3"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c>
          <w:tcPr>
            <w:tcW w:w="521" w:type="pct"/>
            <w:tcBorders>
              <w:top w:val="nil"/>
              <w:left w:val="nil"/>
              <w:bottom w:val="nil"/>
              <w:right w:val="nil"/>
            </w:tcBorders>
            <w:noWrap/>
            <w:vAlign w:val="bottom"/>
          </w:tcPr>
          <w:p w14:paraId="25DC86CD" w14:textId="77777777" w:rsidR="00DB0460" w:rsidRPr="00260790" w:rsidRDefault="00DB0460" w:rsidP="00E20250">
            <w:pPr>
              <w:keepNext/>
              <w:spacing w:after="0" w:line="240" w:lineRule="auto"/>
              <w:jc w:val="both"/>
              <w:rPr>
                <w:rFonts w:ascii="Times New Roman" w:eastAsia="Times New Roman" w:hAnsi="Times New Roman"/>
                <w:color w:val="000000" w:themeColor="text1"/>
                <w:lang w:eastAsia="fr-FR"/>
              </w:rPr>
            </w:pPr>
          </w:p>
        </w:tc>
      </w:tr>
    </w:tbl>
    <w:p w14:paraId="72B2257E" w14:textId="77777777" w:rsidR="00DB0460" w:rsidRPr="00260790" w:rsidRDefault="00DB0460" w:rsidP="00E20250">
      <w:pPr>
        <w:pStyle w:val="Lgende"/>
        <w:spacing w:line="240" w:lineRule="auto"/>
        <w:rPr>
          <w:color w:val="000000" w:themeColor="text1"/>
          <w:sz w:val="22"/>
          <w:szCs w:val="22"/>
        </w:rPr>
      </w:pPr>
    </w:p>
    <w:p w14:paraId="37554EEE" w14:textId="6AA76B41" w:rsidR="00DB0460" w:rsidRPr="00260790" w:rsidRDefault="00DB0460" w:rsidP="00E20250">
      <w:pPr>
        <w:pStyle w:val="Lgende"/>
        <w:spacing w:line="240" w:lineRule="auto"/>
        <w:rPr>
          <w:color w:val="000000" w:themeColor="text1"/>
          <w:sz w:val="22"/>
          <w:szCs w:val="22"/>
        </w:rPr>
      </w:pPr>
      <w:bookmarkStart w:id="695" w:name="_Toc207781979"/>
      <w:bookmarkStart w:id="696" w:name="_Toc228877408"/>
      <w:r w:rsidRPr="00260790">
        <w:rPr>
          <w:color w:val="000000" w:themeColor="text1"/>
          <w:sz w:val="22"/>
          <w:szCs w:val="22"/>
        </w:rPr>
        <w:t xml:space="preserve">Figure </w:t>
      </w:r>
      <w:r w:rsidRPr="00260790">
        <w:rPr>
          <w:color w:val="000000" w:themeColor="text1"/>
          <w:sz w:val="22"/>
          <w:szCs w:val="22"/>
        </w:rPr>
        <w:fldChar w:fldCharType="begin"/>
      </w:r>
      <w:r w:rsidRPr="00260790">
        <w:rPr>
          <w:color w:val="000000" w:themeColor="text1"/>
          <w:sz w:val="22"/>
          <w:szCs w:val="22"/>
        </w:rPr>
        <w:instrText xml:space="preserve"> SEQ Figure \* ARABIC </w:instrText>
      </w:r>
      <w:r w:rsidRPr="00260790">
        <w:rPr>
          <w:color w:val="000000" w:themeColor="text1"/>
          <w:sz w:val="22"/>
          <w:szCs w:val="22"/>
        </w:rPr>
        <w:fldChar w:fldCharType="separate"/>
      </w:r>
      <w:r w:rsidR="008A50C4">
        <w:rPr>
          <w:noProof/>
          <w:color w:val="000000" w:themeColor="text1"/>
          <w:sz w:val="22"/>
          <w:szCs w:val="22"/>
        </w:rPr>
        <w:t>17</w:t>
      </w:r>
      <w:r w:rsidRPr="00260790">
        <w:rPr>
          <w:color w:val="000000" w:themeColor="text1"/>
          <w:sz w:val="22"/>
          <w:szCs w:val="22"/>
        </w:rPr>
        <w:fldChar w:fldCharType="end"/>
      </w:r>
      <w:r w:rsidRPr="00260790">
        <w:rPr>
          <w:color w:val="000000" w:themeColor="text1"/>
          <w:sz w:val="22"/>
          <w:szCs w:val="22"/>
        </w:rPr>
        <w:t> : Composition moyenne d’une huile usagée</w:t>
      </w:r>
      <w:bookmarkEnd w:id="695"/>
      <w:bookmarkEnd w:id="696"/>
    </w:p>
    <w:p w14:paraId="5EC1D98D"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D’autres données quant à la nature des produits sont disponibles :</w:t>
      </w:r>
    </w:p>
    <w:p w14:paraId="4DC3CEF0"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p w14:paraId="6BE6A96C" w14:textId="4B8ECC4E" w:rsidR="00DB0460" w:rsidRPr="00260790" w:rsidRDefault="00DB0460" w:rsidP="00E20250">
      <w:pPr>
        <w:pStyle w:val="Lgende"/>
        <w:keepNext/>
        <w:spacing w:line="240" w:lineRule="auto"/>
        <w:rPr>
          <w:b/>
          <w:color w:val="000000" w:themeColor="text1"/>
          <w:sz w:val="22"/>
          <w:szCs w:val="22"/>
        </w:rPr>
      </w:pPr>
      <w:bookmarkStart w:id="697" w:name="_Toc207781934"/>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93</w:t>
      </w:r>
      <w:r w:rsidRPr="00260790">
        <w:rPr>
          <w:color w:val="000000" w:themeColor="text1"/>
          <w:sz w:val="22"/>
          <w:szCs w:val="22"/>
        </w:rPr>
        <w:fldChar w:fldCharType="end"/>
      </w:r>
      <w:r w:rsidRPr="00260790">
        <w:rPr>
          <w:color w:val="000000" w:themeColor="text1"/>
          <w:sz w:val="22"/>
          <w:szCs w:val="22"/>
        </w:rPr>
        <w:t> : propriétés physico-chimiques de l’huile usagée</w:t>
      </w:r>
      <w:bookmarkEnd w:id="697"/>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4542"/>
        <w:gridCol w:w="4518"/>
      </w:tblGrid>
      <w:tr w:rsidR="00BD1A2F" w:rsidRPr="00260790" w14:paraId="0C80BCF8" w14:textId="77777777" w:rsidTr="003A0E4A">
        <w:tc>
          <w:tcPr>
            <w:tcW w:w="4606" w:type="dxa"/>
            <w:tcBorders>
              <w:top w:val="single" w:sz="4" w:space="0" w:color="auto"/>
              <w:left w:val="single" w:sz="4" w:space="0" w:color="auto"/>
              <w:bottom w:val="single" w:sz="4" w:space="0" w:color="auto"/>
              <w:right w:val="single" w:sz="4" w:space="0" w:color="auto"/>
            </w:tcBorders>
            <w:shd w:val="clear" w:color="auto" w:fill="FFFFFF"/>
          </w:tcPr>
          <w:p w14:paraId="0AFE8514"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ÉTAT PHYSIQUE, APPARENCE ET ODEUR</w:t>
            </w:r>
          </w:p>
        </w:tc>
        <w:tc>
          <w:tcPr>
            <w:tcW w:w="4606" w:type="dxa"/>
            <w:tcBorders>
              <w:top w:val="single" w:sz="4" w:space="0" w:color="auto"/>
              <w:left w:val="single" w:sz="4" w:space="0" w:color="auto"/>
              <w:bottom w:val="single" w:sz="4" w:space="0" w:color="auto"/>
              <w:right w:val="single" w:sz="4" w:space="0" w:color="auto"/>
            </w:tcBorders>
            <w:shd w:val="clear" w:color="auto" w:fill="FFFFFF"/>
          </w:tcPr>
          <w:p w14:paraId="61441905"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Liquide, noir et visqueux (épais), odeur de pétrole</w:t>
            </w:r>
          </w:p>
        </w:tc>
      </w:tr>
      <w:tr w:rsidR="00BD1A2F" w:rsidRPr="00260790" w14:paraId="678BBB9C" w14:textId="77777777" w:rsidTr="003A0E4A">
        <w:tc>
          <w:tcPr>
            <w:tcW w:w="4606" w:type="dxa"/>
            <w:tcBorders>
              <w:top w:val="single" w:sz="4" w:space="0" w:color="auto"/>
              <w:left w:val="single" w:sz="4" w:space="0" w:color="auto"/>
              <w:bottom w:val="single" w:sz="4" w:space="0" w:color="auto"/>
              <w:right w:val="single" w:sz="4" w:space="0" w:color="auto"/>
            </w:tcBorders>
            <w:shd w:val="clear" w:color="auto" w:fill="FFFFFF"/>
          </w:tcPr>
          <w:p w14:paraId="41DE3C01"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DENSITÉ RELATIVE</w:t>
            </w:r>
          </w:p>
        </w:tc>
        <w:tc>
          <w:tcPr>
            <w:tcW w:w="4606" w:type="dxa"/>
            <w:tcBorders>
              <w:top w:val="single" w:sz="4" w:space="0" w:color="auto"/>
              <w:left w:val="single" w:sz="4" w:space="0" w:color="auto"/>
              <w:bottom w:val="single" w:sz="4" w:space="0" w:color="auto"/>
              <w:right w:val="single" w:sz="4" w:space="0" w:color="auto"/>
            </w:tcBorders>
            <w:shd w:val="clear" w:color="auto" w:fill="FFFFFF"/>
          </w:tcPr>
          <w:p w14:paraId="05B0B7E7"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0,8 à 1,0 à 60°F (15,6°C) (eau = 1)</w:t>
            </w:r>
          </w:p>
        </w:tc>
      </w:tr>
      <w:tr w:rsidR="00BD1A2F" w:rsidRPr="00260790" w14:paraId="640FF43A" w14:textId="77777777" w:rsidTr="003A0E4A">
        <w:tc>
          <w:tcPr>
            <w:tcW w:w="4606" w:type="dxa"/>
            <w:tcBorders>
              <w:top w:val="single" w:sz="4" w:space="0" w:color="auto"/>
              <w:left w:val="single" w:sz="4" w:space="0" w:color="auto"/>
              <w:bottom w:val="single" w:sz="4" w:space="0" w:color="auto"/>
              <w:right w:val="single" w:sz="4" w:space="0" w:color="auto"/>
            </w:tcBorders>
            <w:shd w:val="clear" w:color="auto" w:fill="FFFFFF"/>
          </w:tcPr>
          <w:p w14:paraId="76A92D54"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MASSE VOLUMIQUE</w:t>
            </w:r>
          </w:p>
        </w:tc>
        <w:tc>
          <w:tcPr>
            <w:tcW w:w="4606" w:type="dxa"/>
            <w:tcBorders>
              <w:top w:val="single" w:sz="4" w:space="0" w:color="auto"/>
              <w:left w:val="single" w:sz="4" w:space="0" w:color="auto"/>
              <w:bottom w:val="single" w:sz="4" w:space="0" w:color="auto"/>
              <w:right w:val="single" w:sz="4" w:space="0" w:color="auto"/>
            </w:tcBorders>
            <w:shd w:val="clear" w:color="auto" w:fill="FFFFFF"/>
          </w:tcPr>
          <w:p w14:paraId="533CF1AA"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6,7 à 8,3 lb/gal US (800 à 1000 g/l) (environ)</w:t>
            </w:r>
          </w:p>
        </w:tc>
      </w:tr>
      <w:tr w:rsidR="00BD1A2F" w:rsidRPr="00260790" w14:paraId="5C293BB6" w14:textId="77777777" w:rsidTr="003A0E4A">
        <w:tc>
          <w:tcPr>
            <w:tcW w:w="4606" w:type="dxa"/>
            <w:tcBorders>
              <w:top w:val="single" w:sz="4" w:space="0" w:color="auto"/>
              <w:left w:val="single" w:sz="4" w:space="0" w:color="auto"/>
              <w:bottom w:val="single" w:sz="4" w:space="0" w:color="auto"/>
              <w:right w:val="single" w:sz="4" w:space="0" w:color="auto"/>
            </w:tcBorders>
            <w:shd w:val="clear" w:color="auto" w:fill="FFFFFF"/>
          </w:tcPr>
          <w:p w14:paraId="53193D5F"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DENSITÉ DE VAPEUR</w:t>
            </w:r>
          </w:p>
        </w:tc>
        <w:tc>
          <w:tcPr>
            <w:tcW w:w="4606" w:type="dxa"/>
            <w:tcBorders>
              <w:top w:val="single" w:sz="4" w:space="0" w:color="auto"/>
              <w:left w:val="single" w:sz="4" w:space="0" w:color="auto"/>
              <w:bottom w:val="single" w:sz="4" w:space="0" w:color="auto"/>
              <w:right w:val="single" w:sz="4" w:space="0" w:color="auto"/>
            </w:tcBorders>
            <w:shd w:val="clear" w:color="auto" w:fill="FFFFFF"/>
          </w:tcPr>
          <w:p w14:paraId="0A54395C"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Supérieure à 1 (air = 1) (basé sur le kérosène)</w:t>
            </w:r>
          </w:p>
        </w:tc>
      </w:tr>
      <w:tr w:rsidR="00BD1A2F" w:rsidRPr="00260790" w14:paraId="6A95EFA7" w14:textId="77777777" w:rsidTr="003A0E4A">
        <w:tc>
          <w:tcPr>
            <w:tcW w:w="4606" w:type="dxa"/>
            <w:tcBorders>
              <w:top w:val="single" w:sz="4" w:space="0" w:color="auto"/>
              <w:left w:val="single" w:sz="4" w:space="0" w:color="auto"/>
              <w:bottom w:val="single" w:sz="4" w:space="0" w:color="auto"/>
              <w:right w:val="single" w:sz="4" w:space="0" w:color="auto"/>
            </w:tcBorders>
            <w:shd w:val="clear" w:color="auto" w:fill="FFFFFF"/>
          </w:tcPr>
          <w:p w14:paraId="34E4A549"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VITESSE D’ÉVAPORATION</w:t>
            </w:r>
          </w:p>
        </w:tc>
        <w:tc>
          <w:tcPr>
            <w:tcW w:w="4606" w:type="dxa"/>
            <w:tcBorders>
              <w:top w:val="single" w:sz="4" w:space="0" w:color="auto"/>
              <w:left w:val="single" w:sz="4" w:space="0" w:color="auto"/>
              <w:bottom w:val="single" w:sz="4" w:space="0" w:color="auto"/>
              <w:right w:val="single" w:sz="4" w:space="0" w:color="auto"/>
            </w:tcBorders>
            <w:shd w:val="clear" w:color="auto" w:fill="FFFFFF"/>
          </w:tcPr>
          <w:p w14:paraId="42A5B823"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Inférieure à 1 (acétate de butyle = 1)</w:t>
            </w:r>
          </w:p>
        </w:tc>
      </w:tr>
      <w:tr w:rsidR="00BD1A2F" w:rsidRPr="00260790" w14:paraId="54801BF0" w14:textId="77777777" w:rsidTr="003A0E4A">
        <w:tc>
          <w:tcPr>
            <w:tcW w:w="4606" w:type="dxa"/>
            <w:tcBorders>
              <w:top w:val="single" w:sz="4" w:space="0" w:color="auto"/>
              <w:left w:val="single" w:sz="4" w:space="0" w:color="auto"/>
              <w:bottom w:val="single" w:sz="4" w:space="0" w:color="auto"/>
              <w:right w:val="single" w:sz="4" w:space="0" w:color="auto"/>
            </w:tcBorders>
            <w:shd w:val="clear" w:color="auto" w:fill="FFFFFF"/>
          </w:tcPr>
          <w:p w14:paraId="1517CAD0"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POINT D’ÉCLAIR</w:t>
            </w:r>
          </w:p>
        </w:tc>
        <w:tc>
          <w:tcPr>
            <w:tcW w:w="4606" w:type="dxa"/>
            <w:tcBorders>
              <w:top w:val="single" w:sz="4" w:space="0" w:color="auto"/>
              <w:left w:val="single" w:sz="4" w:space="0" w:color="auto"/>
              <w:bottom w:val="single" w:sz="4" w:space="0" w:color="auto"/>
              <w:right w:val="single" w:sz="4" w:space="0" w:color="auto"/>
            </w:tcBorders>
            <w:shd w:val="clear" w:color="auto" w:fill="FFFFFF"/>
          </w:tcPr>
          <w:p w14:paraId="4CCC4BAD"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&gt;200°F (93°C)</w:t>
            </w:r>
          </w:p>
        </w:tc>
      </w:tr>
    </w:tbl>
    <w:p w14:paraId="51BCBC33" w14:textId="77777777" w:rsidR="00DB0460" w:rsidRPr="00260790" w:rsidRDefault="00DB0460" w:rsidP="00E20250">
      <w:pPr>
        <w:spacing w:after="0" w:line="240" w:lineRule="auto"/>
        <w:jc w:val="both"/>
        <w:rPr>
          <w:rFonts w:ascii="Times New Roman" w:eastAsia="Times New Roman" w:hAnsi="Times New Roman"/>
          <w:b/>
          <w:color w:val="000000" w:themeColor="text1"/>
          <w:lang w:eastAsia="fr-FR"/>
        </w:rPr>
      </w:pPr>
    </w:p>
    <w:p w14:paraId="508CCD96" w14:textId="77777777" w:rsidR="00DB0460" w:rsidRPr="00260790" w:rsidRDefault="00DB0460" w:rsidP="001748C6">
      <w:pPr>
        <w:pStyle w:val="Paragraphedeliste"/>
        <w:numPr>
          <w:ilvl w:val="0"/>
          <w:numId w:val="150"/>
        </w:numPr>
        <w:spacing w:after="200" w:line="240" w:lineRule="auto"/>
        <w:jc w:val="both"/>
        <w:rPr>
          <w:rFonts w:ascii="Times New Roman" w:hAnsi="Times New Roman"/>
          <w:b/>
          <w:color w:val="000000" w:themeColor="text1"/>
        </w:rPr>
      </w:pPr>
      <w:r w:rsidRPr="00260790">
        <w:rPr>
          <w:rFonts w:ascii="Times New Roman" w:hAnsi="Times New Roman"/>
          <w:b/>
          <w:color w:val="000000" w:themeColor="text1"/>
        </w:rPr>
        <w:t>Risque incendie / explosion</w:t>
      </w:r>
    </w:p>
    <w:p w14:paraId="44B7E442" w14:textId="77777777" w:rsidR="00DB0460" w:rsidRPr="00260790" w:rsidRDefault="00DB0460" w:rsidP="00E20250">
      <w:pPr>
        <w:spacing w:after="0" w:line="240" w:lineRule="auto"/>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CONDITIONSD’INFLAMMABILITÉ : Chaleur, étincelles ou flammes. Le produit peut brûler, mais ne s'enflamme pas facilement.</w:t>
      </w:r>
    </w:p>
    <w:p w14:paraId="5DBC9FFA" w14:textId="77777777" w:rsidR="00DB0460" w:rsidRPr="00260790" w:rsidRDefault="00DB0460" w:rsidP="00E20250">
      <w:pPr>
        <w:spacing w:after="0" w:line="240" w:lineRule="auto"/>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CONDITIONS D’INFLAMMABILITÉ : Chaleur, étincelles ou flammes. Le produit peut brûler, mais ne s'enflamme pas facilement.</w:t>
      </w:r>
    </w:p>
    <w:p w14:paraId="28521828" w14:textId="77777777" w:rsidR="00DB0460" w:rsidRPr="00260790" w:rsidRDefault="00DB0460" w:rsidP="00E20250">
      <w:pPr>
        <w:spacing w:after="0" w:line="240" w:lineRule="auto"/>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AGENTS D’EXTINCTION : Gaz carbonique, mousse classique, poudre extinctrice, eau pulvérisée ou brouillard d'eau.</w:t>
      </w:r>
    </w:p>
    <w:p w14:paraId="7075844E" w14:textId="77777777" w:rsidR="00DB0460" w:rsidRPr="00260790" w:rsidRDefault="00DB0460" w:rsidP="00E20250">
      <w:pPr>
        <w:spacing w:after="0" w:line="240" w:lineRule="auto"/>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Autres RISQUES D’INCENDIE ET D’EXPLOSION : Les contenants chauffés peuvent se rompre. Les contenants « vides » peuvent contenir des résidus et peuvent être dangereux. Le produit n'est pas sensible aux chocs mécaniques. Le produit peut être sensible aux décharges d'électricité statique, qui pourraient entraîner un incendie ou une explosion.</w:t>
      </w:r>
    </w:p>
    <w:p w14:paraId="67619301" w14:textId="77777777" w:rsidR="00DB0460" w:rsidRPr="00260790" w:rsidRDefault="00DB0460" w:rsidP="00E20250">
      <w:pPr>
        <w:spacing w:after="0" w:line="240" w:lineRule="auto"/>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lastRenderedPageBreak/>
        <w:t>PRODUITS DE COMBUSTION DANGEREUX : Les produits de décomposition et de combustion peuvent être toxiques. La combustion peut dégager du gaz phosgène, des oxydes d’azote, de l’oxyde de carbone et produire des composés organiques non identifiés qualifiés parfois de cancérigènes.</w:t>
      </w:r>
    </w:p>
    <w:p w14:paraId="25517225" w14:textId="77777777" w:rsidR="00DB0460" w:rsidRPr="00260790" w:rsidRDefault="00DB0460" w:rsidP="001748C6">
      <w:pPr>
        <w:pStyle w:val="Paragraphedeliste"/>
        <w:numPr>
          <w:ilvl w:val="0"/>
          <w:numId w:val="150"/>
        </w:numPr>
        <w:spacing w:after="200" w:line="240" w:lineRule="auto"/>
        <w:jc w:val="both"/>
        <w:rPr>
          <w:rFonts w:ascii="Times New Roman" w:hAnsi="Times New Roman"/>
          <w:b/>
          <w:color w:val="000000" w:themeColor="text1"/>
        </w:rPr>
      </w:pPr>
      <w:r w:rsidRPr="00260790">
        <w:rPr>
          <w:rFonts w:ascii="Times New Roman" w:hAnsi="Times New Roman"/>
          <w:b/>
          <w:color w:val="000000" w:themeColor="text1"/>
        </w:rPr>
        <w:t>Risque toxique</w:t>
      </w:r>
    </w:p>
    <w:p w14:paraId="4094B4AE" w14:textId="77777777" w:rsidR="00DB0460" w:rsidRPr="00260790" w:rsidRDefault="00DB0460" w:rsidP="00E20250">
      <w:pPr>
        <w:spacing w:after="0" w:line="240" w:lineRule="auto"/>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L'inhalation peut être nocive.</w:t>
      </w:r>
    </w:p>
    <w:p w14:paraId="23E45CBE" w14:textId="77777777" w:rsidR="00DB0460" w:rsidRPr="00260790" w:rsidRDefault="00DB0460" w:rsidP="00E20250">
      <w:pPr>
        <w:spacing w:after="0" w:line="240" w:lineRule="auto"/>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L'absorption par la peau peut être nocive.</w:t>
      </w:r>
    </w:p>
    <w:p w14:paraId="0AC69D39" w14:textId="77777777" w:rsidR="00DB0460" w:rsidRPr="00260790" w:rsidRDefault="00DB0460" w:rsidP="00E20250">
      <w:pPr>
        <w:spacing w:after="0" w:line="240" w:lineRule="auto"/>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L'ingestion peut être nocive ou fatale.</w:t>
      </w:r>
    </w:p>
    <w:p w14:paraId="008A5007" w14:textId="77777777" w:rsidR="00DB0460" w:rsidRPr="00260790" w:rsidRDefault="00DB0460" w:rsidP="00E20250">
      <w:pPr>
        <w:spacing w:after="0" w:line="240" w:lineRule="auto"/>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Peut irriter les voies respiratoires (nez, gorge et poumons), les yeux et la peau.</w:t>
      </w:r>
    </w:p>
    <w:p w14:paraId="552CD87C" w14:textId="77777777" w:rsidR="00DB0460" w:rsidRPr="00260790" w:rsidRDefault="00DB0460" w:rsidP="00E20250">
      <w:pPr>
        <w:spacing w:after="0" w:line="240" w:lineRule="auto"/>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Danger présumé de cancer. Contient une matière qui peut causer le cancer. Le risque de cancer est fonction de la durée et du niveau d'exposition.</w:t>
      </w:r>
    </w:p>
    <w:p w14:paraId="3479F2E0" w14:textId="77777777" w:rsidR="00DB0460" w:rsidRPr="00260790" w:rsidRDefault="00DB0460" w:rsidP="00E20250">
      <w:pPr>
        <w:spacing w:after="0" w:line="240" w:lineRule="auto"/>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Contient une matière qui peut causer des anomalies congénitales.</w:t>
      </w:r>
    </w:p>
    <w:p w14:paraId="45675AE9" w14:textId="77777777" w:rsidR="00DB0460" w:rsidRPr="00260790" w:rsidRDefault="00DB0460" w:rsidP="00E20250">
      <w:pPr>
        <w:spacing w:after="0" w:line="240" w:lineRule="auto"/>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Contient une matière qui peut causer des lésions au système nerveux central.</w:t>
      </w:r>
    </w:p>
    <w:p w14:paraId="291766D3" w14:textId="77777777" w:rsidR="00DB0460" w:rsidRPr="00260790" w:rsidRDefault="00DB0460" w:rsidP="00E20250">
      <w:pPr>
        <w:spacing w:after="0" w:line="240" w:lineRule="auto"/>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DANGERS POUR L'ENVIRONNEMENT : Le produit peut être toxique pour les poissons, les plantes, la faune et les animaux domestiques.</w:t>
      </w:r>
    </w:p>
    <w:p w14:paraId="01D07FC0" w14:textId="77777777" w:rsidR="00DB0460" w:rsidRPr="00260790" w:rsidRDefault="00DB0460" w:rsidP="00E20250">
      <w:pPr>
        <w:pStyle w:val="Paragraphedeliste"/>
        <w:spacing w:line="240" w:lineRule="auto"/>
        <w:ind w:left="0"/>
        <w:rPr>
          <w:rFonts w:ascii="Times New Roman" w:hAnsi="Times New Roman"/>
          <w:b/>
          <w:color w:val="000000" w:themeColor="text1"/>
        </w:rPr>
      </w:pPr>
    </w:p>
    <w:p w14:paraId="36C1AD16" w14:textId="77777777" w:rsidR="00DB0460" w:rsidRPr="00260790" w:rsidRDefault="00DB0460" w:rsidP="001748C6">
      <w:pPr>
        <w:pStyle w:val="Paragraphedeliste"/>
        <w:numPr>
          <w:ilvl w:val="0"/>
          <w:numId w:val="150"/>
        </w:numPr>
        <w:spacing w:after="200" w:line="240" w:lineRule="auto"/>
        <w:jc w:val="both"/>
        <w:rPr>
          <w:rFonts w:ascii="Times New Roman" w:hAnsi="Times New Roman"/>
          <w:b/>
          <w:color w:val="000000" w:themeColor="text1"/>
        </w:rPr>
      </w:pPr>
      <w:r w:rsidRPr="00260790">
        <w:rPr>
          <w:rFonts w:ascii="Times New Roman" w:hAnsi="Times New Roman"/>
          <w:b/>
          <w:color w:val="000000" w:themeColor="text1"/>
        </w:rPr>
        <w:t>Risque écotoxique</w:t>
      </w:r>
    </w:p>
    <w:p w14:paraId="3F19F1A6" w14:textId="77777777" w:rsidR="00DB0460" w:rsidRPr="00260790" w:rsidRDefault="00DB0460" w:rsidP="00E20250">
      <w:pPr>
        <w:spacing w:after="0" w:line="240" w:lineRule="auto"/>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Le produit peut être toxique pour les poissons, les plantes, la faune et les animaux domestiques. Le produit n’est pas biodégradable.</w:t>
      </w:r>
    </w:p>
    <w:p w14:paraId="615830D0" w14:textId="77777777" w:rsidR="00DB0460" w:rsidRPr="00260790" w:rsidRDefault="00DB0460" w:rsidP="00E20250">
      <w:pPr>
        <w:spacing w:after="0" w:line="240" w:lineRule="auto"/>
        <w:jc w:val="both"/>
        <w:rPr>
          <w:rFonts w:ascii="Times New Roman" w:eastAsia="Times New Roman" w:hAnsi="Times New Roman"/>
          <w:bCs/>
          <w:color w:val="000000" w:themeColor="text1"/>
          <w:lang w:eastAsia="fr-FR"/>
        </w:rPr>
      </w:pPr>
    </w:p>
    <w:p w14:paraId="0F558EA8" w14:textId="77777777" w:rsidR="00DB0460" w:rsidRPr="00260790" w:rsidRDefault="00DB0460" w:rsidP="001748C6">
      <w:pPr>
        <w:numPr>
          <w:ilvl w:val="0"/>
          <w:numId w:val="155"/>
        </w:numPr>
        <w:spacing w:beforeLines="120" w:before="288" w:afterLines="120" w:after="288" w:line="240" w:lineRule="auto"/>
        <w:contextualSpacing/>
        <w:jc w:val="both"/>
        <w:rPr>
          <w:rFonts w:ascii="Times New Roman" w:eastAsia="Times New Roman" w:hAnsi="Times New Roman"/>
          <w:b/>
          <w:i/>
          <w:color w:val="000000" w:themeColor="text1"/>
          <w:lang w:eastAsia="fr-FR"/>
        </w:rPr>
      </w:pPr>
      <w:r w:rsidRPr="00260790">
        <w:rPr>
          <w:rFonts w:ascii="Times New Roman" w:eastAsia="Times New Roman" w:hAnsi="Times New Roman"/>
          <w:b/>
          <w:i/>
          <w:color w:val="000000" w:themeColor="text1"/>
          <w:lang w:eastAsia="fr-FR"/>
        </w:rPr>
        <w:t xml:space="preserve">Dangers liés au ciment </w:t>
      </w:r>
    </w:p>
    <w:p w14:paraId="604E7681" w14:textId="77777777" w:rsidR="00DB0460" w:rsidRPr="00260790" w:rsidRDefault="00DB0460" w:rsidP="001748C6">
      <w:pPr>
        <w:numPr>
          <w:ilvl w:val="0"/>
          <w:numId w:val="156"/>
        </w:numPr>
        <w:spacing w:beforeLines="120" w:before="288" w:afterLines="120" w:after="288" w:line="240" w:lineRule="auto"/>
        <w:contextualSpacing/>
        <w:jc w:val="both"/>
        <w:rPr>
          <w:rFonts w:ascii="Times New Roman" w:hAnsi="Times New Roman"/>
          <w:b/>
          <w:color w:val="000000" w:themeColor="text1"/>
        </w:rPr>
      </w:pPr>
      <w:r w:rsidRPr="00260790">
        <w:rPr>
          <w:rFonts w:ascii="Times New Roman" w:hAnsi="Times New Roman"/>
          <w:b/>
          <w:color w:val="000000" w:themeColor="text1"/>
        </w:rPr>
        <w:t>Description</w:t>
      </w:r>
    </w:p>
    <w:p w14:paraId="3D252AE6" w14:textId="77777777" w:rsidR="00DB0460" w:rsidRPr="00260790" w:rsidRDefault="00DB0460" w:rsidP="00E20250">
      <w:pPr>
        <w:spacing w:beforeLines="120" w:before="288" w:afterLines="120" w:after="288"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ciment est utilisé dans le bâtiment et les travaux publics pour lier des matériaux durs. Il se présente sous l’aspect d’une poudre fine provenant du broyage du clinker, matière obtenue par la calcination à haute température d’un mélange de matériaux argileux et calcaires. Lorsqu’on y incorpore de l’eau, le ciment se transforme en une boue qui durcit progressivement jusqu’à pétrification complète. On peut le mélanger avec du sable pour obtenir du mortier, ou avec du sable et du gravier pour obtenir du béton. Les ciments se répartissent en deux catégories : ciments naturels et ciments artificiels. Les premiers sont tirés de matériaux naturels dont la structure s’apparente à celle du ciment et qu’il suffit de calciner et de broyer pour les transformer en poudre de ciment hydraulique. Quant aux ciments artificiels, il en existe des variétés multiples dont le nombre va croissant ; chacune d’elles diffère des autres par sa composition et sa structure mécanique, ses qualités propres et ses applications. On peut distinguer deux grandes classes de ciments artificiels : les ciments Portland (du nom de la ville de Portland en Grande-Bretagne) et les alumineux.</w:t>
      </w:r>
    </w:p>
    <w:p w14:paraId="55EB92F1" w14:textId="77777777" w:rsidR="00DB0460" w:rsidRPr="00260790" w:rsidRDefault="00DB0460" w:rsidP="00E20250">
      <w:pPr>
        <w:spacing w:beforeLines="120" w:before="288" w:afterLines="120" w:after="288"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En modifiant le procédé de production ou en introduisant divers additifs, on peut obtenir, avec une même variété de ciment, des qualités différentes de béton (normal, argileux, bitumineux, asphalte-goudron, à prise rapide, porophore, hydrophobe, microporeux, armé, précontraint, centrifugé, etc.). </w:t>
      </w:r>
    </w:p>
    <w:p w14:paraId="49711C24" w14:textId="77777777" w:rsidR="00DB0460" w:rsidRPr="00260790" w:rsidRDefault="00DB0460" w:rsidP="00E30CAF">
      <w:pPr>
        <w:spacing w:beforeLines="120" w:before="288" w:afterLines="120" w:after="288"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choix du type de ciment et son dosage dépendent entre autres :</w:t>
      </w:r>
    </w:p>
    <w:p w14:paraId="13515CD5" w14:textId="77777777" w:rsidR="00DB0460" w:rsidRPr="00260790" w:rsidRDefault="00DB0460" w:rsidP="001748C6">
      <w:pPr>
        <w:numPr>
          <w:ilvl w:val="0"/>
          <w:numId w:val="374"/>
        </w:numPr>
        <w:spacing w:beforeLines="120" w:before="288" w:afterLines="120" w:after="288" w:line="240" w:lineRule="auto"/>
        <w:contextualSpacing/>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De la résistance mécanique ;</w:t>
      </w:r>
    </w:p>
    <w:p w14:paraId="3363235B" w14:textId="77777777" w:rsidR="00DB0460" w:rsidRPr="00260790" w:rsidRDefault="00DB0460" w:rsidP="001748C6">
      <w:pPr>
        <w:numPr>
          <w:ilvl w:val="0"/>
          <w:numId w:val="374"/>
        </w:numPr>
        <w:spacing w:beforeLines="120" w:before="288" w:afterLines="120" w:after="288" w:line="240" w:lineRule="auto"/>
        <w:contextualSpacing/>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De la résistance aux agents agressifs ;</w:t>
      </w:r>
    </w:p>
    <w:p w14:paraId="7D503AF0" w14:textId="77777777" w:rsidR="00DB0460" w:rsidRPr="00260790" w:rsidRDefault="00DB0460" w:rsidP="001748C6">
      <w:pPr>
        <w:numPr>
          <w:ilvl w:val="0"/>
          <w:numId w:val="374"/>
        </w:numPr>
        <w:spacing w:beforeLines="120" w:before="288" w:afterLines="120" w:after="288" w:line="240" w:lineRule="auto"/>
        <w:contextualSpacing/>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De l’apparence ;</w:t>
      </w:r>
    </w:p>
    <w:p w14:paraId="09F20413" w14:textId="77777777" w:rsidR="00DB0460" w:rsidRPr="00260790" w:rsidRDefault="00DB0460" w:rsidP="001748C6">
      <w:pPr>
        <w:numPr>
          <w:ilvl w:val="0"/>
          <w:numId w:val="374"/>
        </w:numPr>
        <w:spacing w:beforeLines="120" w:before="288" w:afterLines="120" w:after="288" w:line="240" w:lineRule="auto"/>
        <w:contextualSpacing/>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Des conditions d’environnement (durabilité) ;</w:t>
      </w:r>
    </w:p>
    <w:p w14:paraId="2492FC2F" w14:textId="77777777" w:rsidR="00DB0460" w:rsidRPr="00260790" w:rsidRDefault="00DB0460" w:rsidP="001748C6">
      <w:pPr>
        <w:numPr>
          <w:ilvl w:val="0"/>
          <w:numId w:val="374"/>
        </w:numPr>
        <w:spacing w:beforeLines="120" w:before="288" w:afterLines="120" w:after="288" w:line="240" w:lineRule="auto"/>
        <w:contextualSpacing/>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De la nature et de la dimension des granulats ;</w:t>
      </w:r>
    </w:p>
    <w:p w14:paraId="35E16227" w14:textId="77777777" w:rsidR="00DB0460" w:rsidRPr="00260790" w:rsidRDefault="00DB0460" w:rsidP="00E20250">
      <w:pPr>
        <w:spacing w:beforeLines="120" w:before="288" w:afterLines="120" w:after="288" w:line="240" w:lineRule="auto"/>
        <w:ind w:left="720"/>
        <w:contextualSpacing/>
        <w:jc w:val="both"/>
        <w:rPr>
          <w:rFonts w:ascii="Times New Roman" w:eastAsia="Times New Roman" w:hAnsi="Times New Roman"/>
          <w:color w:val="000000" w:themeColor="text1"/>
          <w:lang w:eastAsia="fr-FR"/>
        </w:rPr>
      </w:pPr>
    </w:p>
    <w:p w14:paraId="227F4C29" w14:textId="77777777" w:rsidR="00DB0460" w:rsidRPr="00260790" w:rsidRDefault="00DB0460" w:rsidP="001748C6">
      <w:pPr>
        <w:numPr>
          <w:ilvl w:val="0"/>
          <w:numId w:val="156"/>
        </w:numPr>
        <w:spacing w:beforeLines="120" w:before="288" w:afterLines="120" w:after="288" w:line="240" w:lineRule="auto"/>
        <w:contextualSpacing/>
        <w:jc w:val="both"/>
        <w:rPr>
          <w:rFonts w:ascii="Times New Roman" w:hAnsi="Times New Roman"/>
          <w:b/>
          <w:color w:val="000000" w:themeColor="text1"/>
        </w:rPr>
      </w:pPr>
      <w:r w:rsidRPr="00260790">
        <w:rPr>
          <w:rFonts w:ascii="Times New Roman" w:hAnsi="Times New Roman"/>
          <w:b/>
          <w:color w:val="000000" w:themeColor="text1"/>
        </w:rPr>
        <w:t>Présentation des risques</w:t>
      </w:r>
    </w:p>
    <w:p w14:paraId="0A11704D" w14:textId="77777777" w:rsidR="00E30CAF" w:rsidRPr="00E30CAF" w:rsidRDefault="00DB0460" w:rsidP="00E30CAF">
      <w:pPr>
        <w:spacing w:beforeLines="120" w:before="288" w:afterLines="120" w:after="288" w:line="240" w:lineRule="auto"/>
        <w:contextualSpacing/>
        <w:jc w:val="both"/>
        <w:rPr>
          <w:rFonts w:ascii="Times New Roman" w:hAnsi="Times New Roman"/>
          <w:b/>
          <w:color w:val="000000" w:themeColor="text1"/>
        </w:rPr>
      </w:pPr>
      <w:r w:rsidRPr="00260790">
        <w:rPr>
          <w:rFonts w:ascii="Times New Roman" w:eastAsia="Times New Roman" w:hAnsi="Times New Roman"/>
          <w:color w:val="000000" w:themeColor="text1"/>
          <w:lang w:eastAsia="fr-FR"/>
        </w:rPr>
        <w:t>Le ciment de maçonnerie est corrosif. Une exposition de courte durée à la poudre sèche présente peu de risque. Toutefois, une exposition d’une durée suffisante au ciment de maçonnerie sec ou humide peut provoquer de graves lésions potentiellement irréversibles des tissus (peau et yeux) sous forme de brûlures chimiques (caustiques) jusqu’au troisième degré.</w:t>
      </w:r>
    </w:p>
    <w:p w14:paraId="02EF883B" w14:textId="5FA9A450" w:rsidR="00DB0460" w:rsidRPr="00260790" w:rsidRDefault="00DB0460" w:rsidP="001748C6">
      <w:pPr>
        <w:numPr>
          <w:ilvl w:val="0"/>
          <w:numId w:val="156"/>
        </w:numPr>
        <w:spacing w:beforeLines="120" w:before="288" w:afterLines="120" w:after="288" w:line="240" w:lineRule="auto"/>
        <w:contextualSpacing/>
        <w:jc w:val="both"/>
        <w:rPr>
          <w:rFonts w:ascii="Times New Roman" w:hAnsi="Times New Roman"/>
          <w:b/>
          <w:color w:val="000000" w:themeColor="text1"/>
        </w:rPr>
      </w:pPr>
      <w:r w:rsidRPr="00260790">
        <w:rPr>
          <w:rFonts w:ascii="Times New Roman" w:hAnsi="Times New Roman"/>
          <w:b/>
          <w:color w:val="000000" w:themeColor="text1"/>
        </w:rPr>
        <w:lastRenderedPageBreak/>
        <w:t>Effets potentiels sur la santé</w:t>
      </w:r>
    </w:p>
    <w:p w14:paraId="3A49E80C" w14:textId="77777777" w:rsidR="00DB0460" w:rsidRPr="00260790" w:rsidRDefault="00DB0460" w:rsidP="00E20250">
      <w:pPr>
        <w:spacing w:beforeLines="120" w:before="288" w:afterLines="120" w:after="288"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Voies d’exposition possibles : contact oculaire, contact cutané, inhalation et ingestion.</w:t>
      </w:r>
    </w:p>
    <w:p w14:paraId="4057D912" w14:textId="77777777" w:rsidR="00DB0460" w:rsidRPr="00260790" w:rsidRDefault="00DB0460" w:rsidP="001748C6">
      <w:pPr>
        <w:numPr>
          <w:ilvl w:val="0"/>
          <w:numId w:val="156"/>
        </w:numPr>
        <w:spacing w:beforeLines="120" w:before="288" w:afterLines="120" w:after="288" w:line="240" w:lineRule="auto"/>
        <w:contextualSpacing/>
        <w:jc w:val="both"/>
        <w:rPr>
          <w:rFonts w:ascii="Times New Roman" w:hAnsi="Times New Roman"/>
          <w:b/>
          <w:color w:val="000000" w:themeColor="text1"/>
        </w:rPr>
      </w:pPr>
      <w:r w:rsidRPr="00260790">
        <w:rPr>
          <w:rFonts w:ascii="Times New Roman" w:hAnsi="Times New Roman"/>
          <w:b/>
          <w:color w:val="000000" w:themeColor="text1"/>
        </w:rPr>
        <w:t>Effets nocifs d’un contact oculaire :</w:t>
      </w:r>
    </w:p>
    <w:p w14:paraId="052F67AD" w14:textId="77777777" w:rsidR="00DB0460" w:rsidRPr="00260790" w:rsidRDefault="00DB0460" w:rsidP="00E20250">
      <w:pPr>
        <w:spacing w:beforeLines="120" w:before="288" w:afterLines="120" w:after="288"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Une exposition aux poussières aéroportées peut provoquer une irritation ou une inflammation immédiate ou latente. Un contact oculaire avec une quantité importante de poudre sèche ou des éclaboussures de ciment de maçonnerie humide peut entraîner des effets allant d’une irritation modérée des yeux à des brûlures chimiques pouvant causer la cécité. Une telle exposition nécessite des premiers soins immédiats et des soins médicaux afin de prévenir d’importantes lésions aux yeux.</w:t>
      </w:r>
    </w:p>
    <w:p w14:paraId="06A90D0D" w14:textId="77777777" w:rsidR="00DB0460" w:rsidRPr="00260790" w:rsidRDefault="00DB0460" w:rsidP="001748C6">
      <w:pPr>
        <w:numPr>
          <w:ilvl w:val="0"/>
          <w:numId w:val="156"/>
        </w:numPr>
        <w:spacing w:beforeLines="120" w:before="288" w:afterLines="120" w:after="288" w:line="240" w:lineRule="auto"/>
        <w:contextualSpacing/>
        <w:jc w:val="both"/>
        <w:rPr>
          <w:rFonts w:ascii="Times New Roman" w:hAnsi="Times New Roman"/>
          <w:b/>
          <w:color w:val="000000" w:themeColor="text1"/>
        </w:rPr>
      </w:pPr>
      <w:r w:rsidRPr="00260790">
        <w:rPr>
          <w:rFonts w:ascii="Times New Roman" w:hAnsi="Times New Roman"/>
          <w:b/>
          <w:color w:val="000000" w:themeColor="text1"/>
        </w:rPr>
        <w:t>Effets nocifs d’un contact cutané :</w:t>
      </w:r>
    </w:p>
    <w:p w14:paraId="1E665DDA" w14:textId="77777777" w:rsidR="00DB0460" w:rsidRPr="00260790" w:rsidRDefault="00DB0460" w:rsidP="00E20250">
      <w:pPr>
        <w:spacing w:beforeLines="120" w:before="288" w:afterLines="120" w:after="288"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Une exposition au ciment de maçonnerie sec peut provoquer un dessèchement de la peau suivi d’une irritation légère ou des effets plus importants attribuables à l’aggravation d’autres conditions. Un contact cutané avec des produits cimentaires secs ou humides peut entraîner des effets plus graves comme l’épaississement de la peau et l’apparition de crevasses ou de fissures. Un contact prolongé avec la peau peut entraîner de graves brûlures chimiques.</w:t>
      </w:r>
    </w:p>
    <w:p w14:paraId="582B3B87" w14:textId="77777777" w:rsidR="00DB0460" w:rsidRPr="00260790" w:rsidRDefault="00DB0460" w:rsidP="001748C6">
      <w:pPr>
        <w:numPr>
          <w:ilvl w:val="0"/>
          <w:numId w:val="156"/>
        </w:numPr>
        <w:spacing w:beforeLines="120" w:before="288" w:afterLines="120" w:after="288" w:line="240" w:lineRule="auto"/>
        <w:contextualSpacing/>
        <w:jc w:val="both"/>
        <w:rPr>
          <w:rFonts w:ascii="Times New Roman" w:hAnsi="Times New Roman"/>
          <w:b/>
          <w:color w:val="000000" w:themeColor="text1"/>
        </w:rPr>
      </w:pPr>
      <w:r w:rsidRPr="00260790">
        <w:rPr>
          <w:rFonts w:ascii="Times New Roman" w:hAnsi="Times New Roman"/>
          <w:b/>
          <w:color w:val="000000" w:themeColor="text1"/>
        </w:rPr>
        <w:t>Effets nocifs de l’inhalation :</w:t>
      </w:r>
    </w:p>
    <w:p w14:paraId="0D9780E3" w14:textId="77777777" w:rsidR="00DB0460" w:rsidRPr="00260790" w:rsidRDefault="00DB0460" w:rsidP="00E20250">
      <w:pPr>
        <w:spacing w:beforeLines="120" w:before="288" w:afterLines="120" w:after="288"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ciment de maçonnerie peut contenir de petites quantités de silice cristalline libre. Une exposition prolongée à la silice cristalline inhalable peut aggraver d’autres conditions pulmonaires. Elle peut également entraîner des maladies pulmonaires latentes, dont la silicose, une maladie invalidante et potentiellement mortelle des poumons, et d’autres maladies.</w:t>
      </w:r>
    </w:p>
    <w:p w14:paraId="08384BF3" w14:textId="77777777" w:rsidR="00DB0460" w:rsidRPr="00260790" w:rsidRDefault="00DB0460" w:rsidP="001748C6">
      <w:pPr>
        <w:numPr>
          <w:ilvl w:val="0"/>
          <w:numId w:val="157"/>
        </w:numPr>
        <w:autoSpaceDE w:val="0"/>
        <w:autoSpaceDN w:val="0"/>
        <w:adjustRightInd w:val="0"/>
        <w:spacing w:after="200" w:line="240" w:lineRule="auto"/>
        <w:contextualSpacing/>
        <w:jc w:val="both"/>
        <w:rPr>
          <w:rFonts w:ascii="Times New Roman" w:hAnsi="Times New Roman"/>
          <w:b/>
          <w:i/>
          <w:color w:val="000000" w:themeColor="text1"/>
        </w:rPr>
      </w:pPr>
      <w:r w:rsidRPr="00260790">
        <w:rPr>
          <w:rFonts w:ascii="Times New Roman" w:hAnsi="Times New Roman"/>
          <w:b/>
          <w:i/>
          <w:color w:val="000000" w:themeColor="text1"/>
        </w:rPr>
        <w:t>Dangers liés aux peintures</w:t>
      </w:r>
    </w:p>
    <w:p w14:paraId="72C667B1" w14:textId="77777777" w:rsidR="00DB0460" w:rsidRPr="00260790" w:rsidRDefault="00DB0460" w:rsidP="00E20250">
      <w:pPr>
        <w:spacing w:before="100" w:beforeAutospacing="1" w:after="100" w:afterAutospacing="1"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peinture est une substance liquide qui sert de revêtement décoratif ou de protection pour un support. Une peinture est composée de divers éléments (liant, diluant ou solvant, pigments (ou charges), adjuvants et additifs divers.</w:t>
      </w:r>
    </w:p>
    <w:p w14:paraId="4084D6E7" w14:textId="77777777" w:rsidR="00DB0460" w:rsidRPr="00260790" w:rsidRDefault="00DB0460" w:rsidP="001748C6">
      <w:pPr>
        <w:numPr>
          <w:ilvl w:val="0"/>
          <w:numId w:val="162"/>
        </w:numPr>
        <w:spacing w:after="200" w:line="240" w:lineRule="auto"/>
        <w:contextualSpacing/>
        <w:jc w:val="both"/>
        <w:rPr>
          <w:rFonts w:ascii="Times New Roman" w:hAnsi="Times New Roman"/>
          <w:b/>
          <w:color w:val="000000" w:themeColor="text1"/>
        </w:rPr>
      </w:pPr>
      <w:r w:rsidRPr="00260790">
        <w:rPr>
          <w:rFonts w:ascii="Times New Roman" w:hAnsi="Times New Roman"/>
          <w:b/>
          <w:color w:val="000000" w:themeColor="text1"/>
        </w:rPr>
        <w:t>Propriétés physico-chimiques des peintures</w:t>
      </w:r>
    </w:p>
    <w:p w14:paraId="43354172"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Les caractéristiques physico-chimiques sont présentées dans le tableau ci-dessous. </w:t>
      </w:r>
    </w:p>
    <w:p w14:paraId="6D1C90F9" w14:textId="7AB6B6C5" w:rsidR="00DB0460" w:rsidRPr="00260790" w:rsidRDefault="00DB0460" w:rsidP="00E20250">
      <w:pPr>
        <w:pStyle w:val="Lgende"/>
        <w:keepNext/>
        <w:spacing w:line="240" w:lineRule="auto"/>
        <w:rPr>
          <w:color w:val="000000" w:themeColor="text1"/>
          <w:sz w:val="22"/>
          <w:szCs w:val="22"/>
        </w:rPr>
      </w:pPr>
      <w:bookmarkStart w:id="698" w:name="_Toc207781935"/>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94</w:t>
      </w:r>
      <w:r w:rsidRPr="00260790">
        <w:rPr>
          <w:color w:val="000000" w:themeColor="text1"/>
          <w:sz w:val="22"/>
          <w:szCs w:val="22"/>
        </w:rPr>
        <w:fldChar w:fldCharType="end"/>
      </w:r>
      <w:r w:rsidRPr="00260790">
        <w:rPr>
          <w:color w:val="000000" w:themeColor="text1"/>
          <w:sz w:val="22"/>
          <w:szCs w:val="22"/>
        </w:rPr>
        <w:t>: Les caractéristiques physico-chimiques de la peinture</w:t>
      </w:r>
      <w:bookmarkEnd w:id="69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0"/>
      </w:tblGrid>
      <w:tr w:rsidR="00BD1A2F" w:rsidRPr="00260790" w14:paraId="219DB819" w14:textId="77777777" w:rsidTr="003A0E4A">
        <w:tc>
          <w:tcPr>
            <w:tcW w:w="9210" w:type="dxa"/>
          </w:tcPr>
          <w:p w14:paraId="7BF28322" w14:textId="77777777" w:rsidR="00DB0460" w:rsidRPr="00260790" w:rsidRDefault="00DB0460" w:rsidP="00E20250">
            <w:pPr>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Peinture</w:t>
            </w:r>
          </w:p>
        </w:tc>
      </w:tr>
      <w:tr w:rsidR="00BD1A2F" w:rsidRPr="00260790" w14:paraId="018F40C7" w14:textId="77777777" w:rsidTr="003A0E4A">
        <w:tc>
          <w:tcPr>
            <w:tcW w:w="9210" w:type="dxa"/>
          </w:tcPr>
          <w:p w14:paraId="3AAC5D97" w14:textId="37CA0973" w:rsidR="00DB0460" w:rsidRPr="00260790" w:rsidRDefault="005865F2"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É</w:t>
            </w:r>
            <w:r w:rsidR="00DB0460" w:rsidRPr="00260790">
              <w:rPr>
                <w:rFonts w:ascii="Times New Roman" w:eastAsia="Times New Roman" w:hAnsi="Times New Roman"/>
                <w:color w:val="000000" w:themeColor="text1"/>
                <w:lang w:eastAsia="fr-FR"/>
              </w:rPr>
              <w:t>tat physique : liquide</w:t>
            </w:r>
          </w:p>
        </w:tc>
      </w:tr>
      <w:tr w:rsidR="00BD1A2F" w:rsidRPr="00260790" w14:paraId="6DF271B5" w14:textId="77777777" w:rsidTr="003A0E4A">
        <w:tc>
          <w:tcPr>
            <w:tcW w:w="9210" w:type="dxa"/>
          </w:tcPr>
          <w:p w14:paraId="6FB4BA61"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Couleur : varie avec les produits</w:t>
            </w:r>
          </w:p>
          <w:p w14:paraId="035EFBE7"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tc>
      </w:tr>
      <w:tr w:rsidR="00BD1A2F" w:rsidRPr="00260790" w14:paraId="0877DAC2" w14:textId="77777777" w:rsidTr="003A0E4A">
        <w:trPr>
          <w:trHeight w:val="587"/>
        </w:trPr>
        <w:tc>
          <w:tcPr>
            <w:tcW w:w="9210" w:type="dxa"/>
          </w:tcPr>
          <w:p w14:paraId="09010DB7" w14:textId="77777777" w:rsidR="00DB0460" w:rsidRPr="00260790" w:rsidRDefault="00DB0460" w:rsidP="00E20250">
            <w:pPr>
              <w:spacing w:before="100" w:beforeAutospacing="1"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Solubilité dans l’eau : mis à part les peintures à l'eau, la plupart du temps les peintures sont peu solubles dans l'eau et nécessitent l'emploi de solvants spéciaux et souvent toxiques ou polluants.</w:t>
            </w:r>
          </w:p>
        </w:tc>
      </w:tr>
      <w:tr w:rsidR="00DB0460" w:rsidRPr="00260790" w14:paraId="529DF23B" w14:textId="77777777" w:rsidTr="003A0E4A">
        <w:trPr>
          <w:trHeight w:val="1161"/>
        </w:trPr>
        <w:tc>
          <w:tcPr>
            <w:tcW w:w="9210" w:type="dxa"/>
          </w:tcPr>
          <w:p w14:paraId="790FFD92"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i/>
                <w:color w:val="000000" w:themeColor="text1"/>
                <w:u w:val="single"/>
                <w:lang w:eastAsia="fr-FR"/>
              </w:rPr>
              <w:t>Phrases de risques</w:t>
            </w:r>
            <w:r w:rsidRPr="00260790">
              <w:rPr>
                <w:rFonts w:ascii="Times New Roman" w:eastAsia="Times New Roman" w:hAnsi="Times New Roman"/>
                <w:color w:val="000000" w:themeColor="text1"/>
                <w:lang w:eastAsia="fr-FR"/>
              </w:rPr>
              <w:t> :</w:t>
            </w:r>
          </w:p>
          <w:p w14:paraId="757FB39C" w14:textId="77777777" w:rsidR="00DB0460" w:rsidRPr="00260790" w:rsidRDefault="00DB0460" w:rsidP="001748C6">
            <w:pPr>
              <w:numPr>
                <w:ilvl w:val="0"/>
                <w:numId w:val="154"/>
              </w:num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R11 : Facilement inflammable</w:t>
            </w:r>
          </w:p>
          <w:p w14:paraId="3F1A6554" w14:textId="77777777" w:rsidR="00DB0460" w:rsidRPr="00260790" w:rsidRDefault="00DB0460" w:rsidP="001748C6">
            <w:pPr>
              <w:numPr>
                <w:ilvl w:val="0"/>
                <w:numId w:val="154"/>
              </w:num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R66 : L’exposition répétée peut provoquer dessèchement ou gerçures de la peau.</w:t>
            </w:r>
          </w:p>
          <w:p w14:paraId="72AE1284" w14:textId="77777777" w:rsidR="00DB0460" w:rsidRPr="00260790" w:rsidRDefault="00DB0460" w:rsidP="001748C6">
            <w:pPr>
              <w:numPr>
                <w:ilvl w:val="0"/>
                <w:numId w:val="154"/>
              </w:num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R67 : L’inhalation de vapeurs peut provoquer somnolence et vertiges.</w:t>
            </w:r>
          </w:p>
          <w:p w14:paraId="1B094B57" w14:textId="77777777" w:rsidR="00DB0460" w:rsidRPr="00260790" w:rsidRDefault="00DB0460" w:rsidP="001748C6">
            <w:pPr>
              <w:numPr>
                <w:ilvl w:val="0"/>
                <w:numId w:val="154"/>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R20/21 : Nocif par inhalation et par contact avec la peau</w:t>
            </w:r>
          </w:p>
          <w:p w14:paraId="4E9C05F9" w14:textId="77777777" w:rsidR="00DB0460" w:rsidRPr="00260790" w:rsidRDefault="00DB0460" w:rsidP="001748C6">
            <w:pPr>
              <w:numPr>
                <w:ilvl w:val="0"/>
                <w:numId w:val="154"/>
              </w:num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R36/38 Irritant pour les yeux et la peau</w:t>
            </w:r>
          </w:p>
        </w:tc>
      </w:tr>
    </w:tbl>
    <w:p w14:paraId="106293EF"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b/>
          <w:color w:val="000000" w:themeColor="text1"/>
          <w:lang w:eastAsia="fr-FR"/>
        </w:rPr>
      </w:pPr>
    </w:p>
    <w:p w14:paraId="30D1EAC7" w14:textId="77777777" w:rsidR="00DB0460" w:rsidRPr="00260790" w:rsidRDefault="00DB0460" w:rsidP="001748C6">
      <w:pPr>
        <w:numPr>
          <w:ilvl w:val="0"/>
          <w:numId w:val="163"/>
        </w:numPr>
        <w:spacing w:after="200" w:line="240" w:lineRule="auto"/>
        <w:contextualSpacing/>
        <w:jc w:val="both"/>
        <w:rPr>
          <w:rFonts w:ascii="Times New Roman" w:hAnsi="Times New Roman"/>
          <w:b/>
          <w:color w:val="000000" w:themeColor="text1"/>
        </w:rPr>
      </w:pPr>
      <w:r w:rsidRPr="00260790">
        <w:rPr>
          <w:rFonts w:ascii="Times New Roman" w:hAnsi="Times New Roman"/>
          <w:b/>
          <w:color w:val="000000" w:themeColor="text1"/>
        </w:rPr>
        <w:t>Risque incendie / explosion</w:t>
      </w:r>
    </w:p>
    <w:p w14:paraId="00289B8E"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produit est stable dans des conditions normales. C’est un liquide inflammable.  Les vapeurs sont plus lourdes que l'air, elles peuvent former des mélanges explosifs avec l'air. Exposé à des températures élevées, le mélange peut dégager des produits de décomposition dangereux, tels que monoxyde et dioxyde de carbone, fumées, oxyde d'azote.</w:t>
      </w:r>
    </w:p>
    <w:p w14:paraId="77CE692B" w14:textId="64A520A5" w:rsidR="00874DDA" w:rsidRPr="00260790" w:rsidRDefault="00874DDA" w:rsidP="00E20250">
      <w:pPr>
        <w:spacing w:line="240" w:lineRule="auto"/>
        <w:rPr>
          <w:rFonts w:ascii="Times New Roman" w:hAnsi="Times New Roman"/>
          <w:b/>
          <w:color w:val="000000" w:themeColor="text1"/>
        </w:rPr>
      </w:pPr>
    </w:p>
    <w:p w14:paraId="3F7BCAB0" w14:textId="3C788D38" w:rsidR="00DB0460" w:rsidRPr="00260790" w:rsidRDefault="00DB0460" w:rsidP="001748C6">
      <w:pPr>
        <w:numPr>
          <w:ilvl w:val="0"/>
          <w:numId w:val="164"/>
        </w:numPr>
        <w:spacing w:after="200" w:line="240" w:lineRule="auto"/>
        <w:contextualSpacing/>
        <w:jc w:val="both"/>
        <w:rPr>
          <w:rFonts w:ascii="Times New Roman" w:hAnsi="Times New Roman"/>
          <w:b/>
          <w:color w:val="000000" w:themeColor="text1"/>
        </w:rPr>
      </w:pPr>
      <w:r w:rsidRPr="00260790">
        <w:rPr>
          <w:rFonts w:ascii="Times New Roman" w:hAnsi="Times New Roman"/>
          <w:b/>
          <w:color w:val="000000" w:themeColor="text1"/>
        </w:rPr>
        <w:lastRenderedPageBreak/>
        <w:t>Risque toxicologique</w:t>
      </w:r>
    </w:p>
    <w:p w14:paraId="0B1B8E5E"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L'exposition répétée aux vapeurs de solvants contenus dans le mélange peut conduire à des effets néfastes pour la santé, tels que l'irritation des muqueuses et du système respiratoire, affection des reins, du foie et du système nerveux central. Les symptômes se produiront entre autres sous forme de céphalées, étourdissements, vertiges, fatigue, asthénie musculaire, et dans les cas extrêmes, perte de conscience.</w:t>
      </w:r>
    </w:p>
    <w:p w14:paraId="3B316A1D"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contacts prolongés ou répétés avec le mélange peuvent enlever la graisse naturelle de la peau et provoquer ainsi des dermatites non allergiques de contact et une absorption à travers l'épiderme.</w:t>
      </w:r>
    </w:p>
    <w:p w14:paraId="71C0BCB0"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Des éclaboussures dans les yeux peuvent provoquer des irritations et des dommages réversibles. Des effets narcotiques peuvent se manifester, tels que la somnolence, une diminution de la vigilance, la perte de réflexes, le manque de coordination ou le vertige.  Ils peuvent également se manifester sous la forme de violents maux de tête ou de nausées et entraîner des troubles du jugement, des étourdissements, de l'irritabilité, de la fatigue ou des troubles de la mémoire.</w:t>
      </w:r>
    </w:p>
    <w:p w14:paraId="2F74F630" w14:textId="77777777" w:rsidR="00DB0460" w:rsidRPr="00260790" w:rsidRDefault="00DB0460" w:rsidP="001748C6">
      <w:pPr>
        <w:numPr>
          <w:ilvl w:val="0"/>
          <w:numId w:val="165"/>
        </w:numPr>
        <w:spacing w:after="200" w:line="240" w:lineRule="auto"/>
        <w:contextualSpacing/>
        <w:jc w:val="both"/>
        <w:rPr>
          <w:rFonts w:ascii="Times New Roman" w:hAnsi="Times New Roman"/>
          <w:b/>
          <w:color w:val="000000" w:themeColor="text1"/>
        </w:rPr>
      </w:pPr>
      <w:r w:rsidRPr="00260790">
        <w:rPr>
          <w:rFonts w:ascii="Times New Roman" w:hAnsi="Times New Roman"/>
          <w:b/>
          <w:color w:val="000000" w:themeColor="text1"/>
        </w:rPr>
        <w:t xml:space="preserve">Risque </w:t>
      </w:r>
      <w:proofErr w:type="spellStart"/>
      <w:r w:rsidRPr="00260790">
        <w:rPr>
          <w:rFonts w:ascii="Times New Roman" w:hAnsi="Times New Roman"/>
          <w:b/>
          <w:color w:val="000000" w:themeColor="text1"/>
        </w:rPr>
        <w:t>écotoxicologique</w:t>
      </w:r>
      <w:proofErr w:type="spellEnd"/>
    </w:p>
    <w:p w14:paraId="351567DB"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produit est nocif pour les organismes aquatiques, entraîne des effets néfastes à long terme.</w:t>
      </w:r>
    </w:p>
    <w:p w14:paraId="113DFCED"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p>
    <w:p w14:paraId="121CC4B3" w14:textId="77777777" w:rsidR="00DB0460" w:rsidRPr="00260790" w:rsidRDefault="00DB0460" w:rsidP="001748C6">
      <w:pPr>
        <w:numPr>
          <w:ilvl w:val="0"/>
          <w:numId w:val="157"/>
        </w:numPr>
        <w:spacing w:before="100" w:beforeAutospacing="1" w:after="100" w:afterAutospacing="1" w:line="240" w:lineRule="auto"/>
        <w:contextualSpacing/>
        <w:jc w:val="both"/>
        <w:rPr>
          <w:rFonts w:ascii="Times New Roman" w:hAnsi="Times New Roman"/>
          <w:b/>
          <w:color w:val="000000" w:themeColor="text1"/>
        </w:rPr>
      </w:pPr>
      <w:r w:rsidRPr="00260790">
        <w:rPr>
          <w:rFonts w:ascii="Times New Roman" w:hAnsi="Times New Roman"/>
          <w:b/>
          <w:i/>
          <w:color w:val="000000" w:themeColor="text1"/>
        </w:rPr>
        <w:t>Dangers liés aux adjuvants</w:t>
      </w:r>
      <w:r w:rsidRPr="00260790">
        <w:rPr>
          <w:rFonts w:ascii="Times New Roman" w:hAnsi="Times New Roman"/>
          <w:b/>
          <w:color w:val="000000" w:themeColor="text1"/>
        </w:rPr>
        <w:t> :</w:t>
      </w:r>
    </w:p>
    <w:p w14:paraId="74B2CE22" w14:textId="77777777" w:rsidR="00DB0460" w:rsidRPr="00260790" w:rsidRDefault="00DB0460" w:rsidP="00E20250">
      <w:pPr>
        <w:spacing w:line="240" w:lineRule="auto"/>
        <w:ind w:left="720"/>
        <w:contextualSpacing/>
        <w:jc w:val="both"/>
        <w:rPr>
          <w:rFonts w:ascii="Times New Roman" w:hAnsi="Times New Roman"/>
          <w:b/>
          <w:color w:val="000000" w:themeColor="text1"/>
        </w:rPr>
      </w:pPr>
      <w:r w:rsidRPr="00260790">
        <w:rPr>
          <w:rFonts w:ascii="Times New Roman" w:hAnsi="Times New Roman"/>
          <w:b/>
          <w:color w:val="000000" w:themeColor="text1"/>
        </w:rPr>
        <w:t>Description</w:t>
      </w:r>
    </w:p>
    <w:p w14:paraId="0A9AD6A8" w14:textId="77777777" w:rsidR="00DB0460" w:rsidRPr="00260790" w:rsidRDefault="00DB0460" w:rsidP="00E20250">
      <w:pPr>
        <w:spacing w:after="0" w:line="240" w:lineRule="auto"/>
        <w:jc w:val="both"/>
        <w:rPr>
          <w:rFonts w:ascii="Times New Roman" w:eastAsia="Cambria" w:hAnsi="Times New Roman"/>
          <w:color w:val="000000" w:themeColor="text1"/>
          <w:lang w:eastAsia="fr-FR"/>
        </w:rPr>
      </w:pPr>
      <w:r w:rsidRPr="00260790">
        <w:rPr>
          <w:rFonts w:ascii="Times New Roman" w:eastAsia="Cambria" w:hAnsi="Times New Roman"/>
          <w:color w:val="000000" w:themeColor="text1"/>
          <w:lang w:eastAsia="fr-FR"/>
        </w:rPr>
        <w:t>Les adjuvants sont des produits chimiques qui sont, soit ajoutés lors du processus de malaxage, soit avant la mise en œuvre du béton frais en faibles quantités (inférieure à 5% de la masse du Ciment) afin d’en améliorer certaines propriétés du béton.</w:t>
      </w:r>
    </w:p>
    <w:p w14:paraId="71299883" w14:textId="5CD94FD3" w:rsidR="00DB0460" w:rsidRPr="00260790" w:rsidRDefault="00DB0460" w:rsidP="00E20250">
      <w:pPr>
        <w:spacing w:before="240" w:line="240" w:lineRule="auto"/>
        <w:ind w:left="720"/>
        <w:contextualSpacing/>
        <w:jc w:val="both"/>
        <w:rPr>
          <w:rFonts w:ascii="Times New Roman" w:eastAsia="Cambria" w:hAnsi="Times New Roman"/>
          <w:b/>
          <w:color w:val="000000" w:themeColor="text1"/>
        </w:rPr>
      </w:pPr>
      <w:r w:rsidRPr="00260790">
        <w:rPr>
          <w:rFonts w:ascii="Times New Roman" w:eastAsia="Cambria" w:hAnsi="Times New Roman"/>
          <w:b/>
          <w:color w:val="000000" w:themeColor="text1"/>
        </w:rPr>
        <w:t xml:space="preserve">Les principaux adjuvants </w:t>
      </w:r>
      <w:r w:rsidR="00E53FAB" w:rsidRPr="00260790">
        <w:rPr>
          <w:rFonts w:ascii="Times New Roman" w:eastAsia="Cambria" w:hAnsi="Times New Roman"/>
          <w:b/>
          <w:color w:val="000000" w:themeColor="text1"/>
        </w:rPr>
        <w:t>sont :</w:t>
      </w:r>
    </w:p>
    <w:p w14:paraId="63CCBD3E" w14:textId="17D843B2" w:rsidR="00DB0460" w:rsidRPr="00260790" w:rsidRDefault="00DB0460" w:rsidP="001748C6">
      <w:pPr>
        <w:numPr>
          <w:ilvl w:val="0"/>
          <w:numId w:val="161"/>
        </w:numPr>
        <w:tabs>
          <w:tab w:val="left" w:pos="1276"/>
        </w:tabs>
        <w:spacing w:after="200" w:line="240" w:lineRule="auto"/>
        <w:contextualSpacing/>
        <w:jc w:val="both"/>
        <w:rPr>
          <w:rFonts w:ascii="Times New Roman" w:eastAsia="Cambria" w:hAnsi="Times New Roman"/>
          <w:color w:val="000000" w:themeColor="text1"/>
        </w:rPr>
      </w:pPr>
      <w:r w:rsidRPr="00260790">
        <w:rPr>
          <w:rFonts w:ascii="Times New Roman" w:eastAsia="Cambria" w:hAnsi="Times New Roman"/>
          <w:color w:val="000000" w:themeColor="text1"/>
        </w:rPr>
        <w:t xml:space="preserve">Les plastifiants et les fluidifiants réducteurs d’eau, qui permettent d’une part, d’obtenir des bétons frais à </w:t>
      </w:r>
      <w:r w:rsidRPr="00FA66F0">
        <w:rPr>
          <w:rFonts w:ascii="Times New Roman" w:eastAsia="Cambria" w:hAnsi="Times New Roman"/>
          <w:color w:val="000000" w:themeColor="text1"/>
        </w:rPr>
        <w:t>consistance</w:t>
      </w:r>
      <w:r w:rsidRPr="00260790">
        <w:rPr>
          <w:rFonts w:ascii="Times New Roman" w:eastAsia="Cambria" w:hAnsi="Times New Roman"/>
          <w:color w:val="000000" w:themeColor="text1"/>
        </w:rPr>
        <w:t xml:space="preserve"> parfaitement liquide, donc très maniable et d’autre part, la possibilité de réduire la quantité d’eau nécessaire à la fabrication et à la mise en place du béton. La résistance du béton durci peut ainsi être notablement augmentée.</w:t>
      </w:r>
    </w:p>
    <w:p w14:paraId="4084E3D7" w14:textId="77777777" w:rsidR="00DB0460" w:rsidRPr="00260790" w:rsidRDefault="00DB0460" w:rsidP="001748C6">
      <w:pPr>
        <w:numPr>
          <w:ilvl w:val="0"/>
          <w:numId w:val="161"/>
        </w:numPr>
        <w:tabs>
          <w:tab w:val="left" w:pos="1276"/>
        </w:tabs>
        <w:spacing w:after="200" w:line="240" w:lineRule="auto"/>
        <w:contextualSpacing/>
        <w:jc w:val="both"/>
        <w:rPr>
          <w:rFonts w:ascii="Times New Roman" w:eastAsia="Cambria" w:hAnsi="Times New Roman"/>
          <w:color w:val="000000" w:themeColor="text1"/>
        </w:rPr>
      </w:pPr>
      <w:r w:rsidRPr="00260790">
        <w:rPr>
          <w:rFonts w:ascii="Times New Roman" w:eastAsia="Cambria" w:hAnsi="Times New Roman"/>
          <w:color w:val="000000" w:themeColor="text1"/>
        </w:rPr>
        <w:t>Les retardateurs de prise du ciment, qui prolongent la durée de vie du béton frais. Ils trouvent leur utilisation dans le transport du béton sur de grandes distances ou la mise en place par pompage, en particulier par temps chaud.</w:t>
      </w:r>
    </w:p>
    <w:p w14:paraId="452593A9" w14:textId="77777777" w:rsidR="00DB0460" w:rsidRPr="00260790" w:rsidRDefault="00DB0460" w:rsidP="001748C6">
      <w:pPr>
        <w:numPr>
          <w:ilvl w:val="0"/>
          <w:numId w:val="161"/>
        </w:numPr>
        <w:tabs>
          <w:tab w:val="left" w:pos="1276"/>
        </w:tabs>
        <w:spacing w:after="200" w:line="240" w:lineRule="auto"/>
        <w:contextualSpacing/>
        <w:jc w:val="both"/>
        <w:rPr>
          <w:rFonts w:ascii="Times New Roman" w:eastAsia="Cambria" w:hAnsi="Times New Roman"/>
          <w:color w:val="000000" w:themeColor="text1"/>
        </w:rPr>
      </w:pPr>
      <w:r w:rsidRPr="00260790">
        <w:rPr>
          <w:rFonts w:ascii="Times New Roman" w:eastAsia="Cambria" w:hAnsi="Times New Roman"/>
          <w:color w:val="000000" w:themeColor="text1"/>
        </w:rPr>
        <w:t>Les accélérateurs de prise et du durcissement, qui permettent la réalisation de scellements ou d’étanchements et une acquisition plus rapide de résistance au béton durci.</w:t>
      </w:r>
    </w:p>
    <w:p w14:paraId="4D9E8B18" w14:textId="5EA9C8AC" w:rsidR="00DB0460" w:rsidRPr="00260790" w:rsidRDefault="00DB0460" w:rsidP="001748C6">
      <w:pPr>
        <w:numPr>
          <w:ilvl w:val="0"/>
          <w:numId w:val="161"/>
        </w:numPr>
        <w:tabs>
          <w:tab w:val="left" w:pos="1276"/>
        </w:tabs>
        <w:spacing w:after="200" w:line="240" w:lineRule="auto"/>
        <w:contextualSpacing/>
        <w:jc w:val="both"/>
        <w:rPr>
          <w:rFonts w:ascii="Times New Roman" w:eastAsia="Cambria" w:hAnsi="Times New Roman"/>
          <w:color w:val="000000" w:themeColor="text1"/>
        </w:rPr>
      </w:pPr>
      <w:r w:rsidRPr="00260790">
        <w:rPr>
          <w:rFonts w:ascii="Times New Roman" w:eastAsia="Cambria" w:hAnsi="Times New Roman"/>
          <w:color w:val="000000" w:themeColor="text1"/>
        </w:rPr>
        <w:t>Les entraîneurs d’air, qui confèrent au béton durci la capacité de résister aux effets de gels et de dégels successifs en favorisant la formation de microb</w:t>
      </w:r>
      <w:r w:rsidR="00A57255" w:rsidRPr="00260790">
        <w:rPr>
          <w:rFonts w:ascii="Times New Roman" w:eastAsia="Cambria" w:hAnsi="Times New Roman"/>
          <w:color w:val="000000" w:themeColor="text1"/>
        </w:rPr>
        <w:t>u</w:t>
      </w:r>
      <w:r w:rsidRPr="00260790">
        <w:rPr>
          <w:rFonts w:ascii="Times New Roman" w:eastAsia="Cambria" w:hAnsi="Times New Roman"/>
          <w:color w:val="000000" w:themeColor="text1"/>
        </w:rPr>
        <w:t>lles d’air réparties de façon homogène.</w:t>
      </w:r>
    </w:p>
    <w:p w14:paraId="564AE33F" w14:textId="77777777" w:rsidR="00DB0460" w:rsidRPr="00260790" w:rsidRDefault="00DB0460" w:rsidP="00E20250">
      <w:pPr>
        <w:tabs>
          <w:tab w:val="left" w:pos="1276"/>
        </w:tabs>
        <w:spacing w:line="240" w:lineRule="auto"/>
        <w:ind w:left="720"/>
        <w:contextualSpacing/>
        <w:jc w:val="both"/>
        <w:rPr>
          <w:rFonts w:ascii="Times New Roman" w:eastAsia="Cambria" w:hAnsi="Times New Roman"/>
          <w:color w:val="000000" w:themeColor="text1"/>
        </w:rPr>
      </w:pPr>
    </w:p>
    <w:p w14:paraId="11FCC553" w14:textId="44A58FEE" w:rsidR="00DB0460" w:rsidRPr="00260790" w:rsidRDefault="00DB0460" w:rsidP="001748C6">
      <w:pPr>
        <w:numPr>
          <w:ilvl w:val="0"/>
          <w:numId w:val="175"/>
        </w:numPr>
        <w:spacing w:after="0" w:line="240" w:lineRule="auto"/>
        <w:ind w:left="714" w:hanging="357"/>
        <w:contextualSpacing/>
        <w:jc w:val="both"/>
        <w:rPr>
          <w:rFonts w:ascii="Times New Roman" w:eastAsia="Times New Roman" w:hAnsi="Times New Roman"/>
          <w:b/>
          <w:i/>
          <w:color w:val="000000" w:themeColor="text1"/>
          <w:lang w:eastAsia="fr-FR"/>
        </w:rPr>
      </w:pPr>
      <w:r w:rsidRPr="00260790">
        <w:rPr>
          <w:rFonts w:ascii="Times New Roman" w:eastAsia="Times New Roman" w:hAnsi="Times New Roman"/>
          <w:b/>
          <w:i/>
          <w:color w:val="000000" w:themeColor="text1"/>
          <w:lang w:eastAsia="fr-FR"/>
        </w:rPr>
        <w:t>Dangers liés aux gaz de soudure (oxygène)</w:t>
      </w:r>
    </w:p>
    <w:p w14:paraId="292AC809" w14:textId="77777777" w:rsidR="00DB0460" w:rsidRPr="00260790" w:rsidRDefault="00DB0460" w:rsidP="00E20250">
      <w:pPr>
        <w:autoSpaceDE w:val="0"/>
        <w:autoSpaceDN w:val="0"/>
        <w:adjustRightInd w:val="0"/>
        <w:spacing w:after="24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L’oxygène est un </w:t>
      </w:r>
      <w:hyperlink r:id="rId114" w:tooltip="Élément chimique" w:history="1">
        <w:r w:rsidRPr="00260790">
          <w:rPr>
            <w:rFonts w:ascii="Times New Roman" w:eastAsia="Times New Roman" w:hAnsi="Times New Roman"/>
            <w:color w:val="000000" w:themeColor="text1"/>
            <w:lang w:eastAsia="fr-FR"/>
          </w:rPr>
          <w:t>élément chimique</w:t>
        </w:r>
      </w:hyperlink>
      <w:r w:rsidRPr="00260790">
        <w:rPr>
          <w:rFonts w:ascii="Times New Roman" w:eastAsia="Times New Roman" w:hAnsi="Times New Roman"/>
          <w:color w:val="000000" w:themeColor="text1"/>
          <w:lang w:eastAsia="fr-FR"/>
        </w:rPr>
        <w:t xml:space="preserve"> de </w:t>
      </w:r>
      <w:hyperlink r:id="rId115" w:tooltip="Liste des éléments par symbole" w:history="1">
        <w:r w:rsidRPr="00260790">
          <w:rPr>
            <w:rFonts w:ascii="Times New Roman" w:eastAsia="Times New Roman" w:hAnsi="Times New Roman"/>
            <w:color w:val="000000" w:themeColor="text1"/>
            <w:lang w:eastAsia="fr-FR"/>
          </w:rPr>
          <w:t>symbole</w:t>
        </w:r>
      </w:hyperlink>
      <w:r w:rsidRPr="00260790">
        <w:rPr>
          <w:rFonts w:ascii="Times New Roman" w:eastAsia="Times New Roman" w:hAnsi="Times New Roman"/>
          <w:color w:val="000000" w:themeColor="text1"/>
          <w:lang w:eastAsia="fr-FR"/>
        </w:rPr>
        <w:t xml:space="preserve"> O et de </w:t>
      </w:r>
      <w:hyperlink r:id="rId116" w:tooltip="Numéro atomique" w:history="1">
        <w:r w:rsidRPr="00260790">
          <w:rPr>
            <w:rFonts w:ascii="Times New Roman" w:eastAsia="Times New Roman" w:hAnsi="Times New Roman"/>
            <w:color w:val="000000" w:themeColor="text1"/>
            <w:lang w:eastAsia="fr-FR"/>
          </w:rPr>
          <w:t>numéro atomique</w:t>
        </w:r>
      </w:hyperlink>
      <w:r w:rsidRPr="00260790">
        <w:rPr>
          <w:rFonts w:ascii="Times New Roman" w:eastAsia="Times New Roman" w:hAnsi="Times New Roman"/>
          <w:color w:val="000000" w:themeColor="text1"/>
          <w:lang w:eastAsia="fr-FR"/>
        </w:rPr>
        <w:t xml:space="preserve"> 8. L'oxygène est un </w:t>
      </w:r>
      <w:hyperlink r:id="rId117" w:tooltip="Non-métal" w:history="1">
        <w:r w:rsidRPr="00260790">
          <w:rPr>
            <w:rFonts w:ascii="Times New Roman" w:eastAsia="Times New Roman" w:hAnsi="Times New Roman"/>
            <w:color w:val="000000" w:themeColor="text1"/>
            <w:lang w:eastAsia="fr-FR"/>
          </w:rPr>
          <w:t>non-métal</w:t>
        </w:r>
      </w:hyperlink>
      <w:r w:rsidRPr="00260790">
        <w:rPr>
          <w:rFonts w:ascii="Times New Roman" w:eastAsia="Times New Roman" w:hAnsi="Times New Roman"/>
          <w:color w:val="000000" w:themeColor="text1"/>
          <w:lang w:eastAsia="fr-FR"/>
        </w:rPr>
        <w:t xml:space="preserve"> qui forme très facilement des </w:t>
      </w:r>
      <w:hyperlink r:id="rId118" w:tooltip="Composé chimique" w:history="1">
        <w:r w:rsidRPr="00260790">
          <w:rPr>
            <w:rFonts w:ascii="Times New Roman" w:eastAsia="Times New Roman" w:hAnsi="Times New Roman"/>
            <w:color w:val="000000" w:themeColor="text1"/>
            <w:lang w:eastAsia="fr-FR"/>
          </w:rPr>
          <w:t>composés</w:t>
        </w:r>
      </w:hyperlink>
      <w:r w:rsidRPr="00260790">
        <w:rPr>
          <w:rFonts w:ascii="Times New Roman" w:eastAsia="Times New Roman" w:hAnsi="Times New Roman"/>
          <w:color w:val="000000" w:themeColor="text1"/>
          <w:lang w:eastAsia="fr-FR"/>
        </w:rPr>
        <w:t xml:space="preserve">, notamment des </w:t>
      </w:r>
      <w:hyperlink r:id="rId119" w:tooltip="Oxyde" w:history="1">
        <w:r w:rsidRPr="00260790">
          <w:rPr>
            <w:rFonts w:ascii="Times New Roman" w:eastAsia="Times New Roman" w:hAnsi="Times New Roman"/>
            <w:color w:val="000000" w:themeColor="text1"/>
            <w:lang w:eastAsia="fr-FR"/>
          </w:rPr>
          <w:t>oxydes</w:t>
        </w:r>
      </w:hyperlink>
      <w:r w:rsidRPr="00260790">
        <w:rPr>
          <w:rFonts w:ascii="Times New Roman" w:eastAsia="Times New Roman" w:hAnsi="Times New Roman"/>
          <w:color w:val="000000" w:themeColor="text1"/>
          <w:lang w:eastAsia="fr-FR"/>
        </w:rPr>
        <w:t>, avec pratiquement tous les autres éléments chimiques.</w:t>
      </w:r>
    </w:p>
    <w:p w14:paraId="6948D4AA" w14:textId="77777777" w:rsidR="00DB0460" w:rsidRPr="00260790" w:rsidRDefault="00DB0460" w:rsidP="001748C6">
      <w:pPr>
        <w:numPr>
          <w:ilvl w:val="0"/>
          <w:numId w:val="174"/>
        </w:numPr>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Propriétés physico-chimiques de l’oxygène</w:t>
      </w:r>
    </w:p>
    <w:p w14:paraId="2A135DF8" w14:textId="77777777" w:rsidR="00DB0460" w:rsidRPr="00260790" w:rsidRDefault="00DB0460" w:rsidP="00E20250">
      <w:pPr>
        <w:spacing w:after="0" w:line="240" w:lineRule="auto"/>
        <w:jc w:val="both"/>
        <w:rPr>
          <w:rFonts w:ascii="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Les caractéristiques physico-chimiques sont présentées dans le tableau ci-dessous. </w:t>
      </w:r>
    </w:p>
    <w:p w14:paraId="4408AF43" w14:textId="4B8E556D" w:rsidR="00DB0460" w:rsidRPr="00260790" w:rsidRDefault="00DB0460" w:rsidP="00E20250">
      <w:pPr>
        <w:pStyle w:val="Lgende"/>
        <w:keepNext/>
        <w:spacing w:line="240" w:lineRule="auto"/>
        <w:rPr>
          <w:b/>
          <w:color w:val="000000" w:themeColor="text1"/>
          <w:sz w:val="22"/>
          <w:szCs w:val="22"/>
        </w:rPr>
      </w:pPr>
      <w:bookmarkStart w:id="699" w:name="_Toc207781936"/>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95</w:t>
      </w:r>
      <w:r w:rsidRPr="00260790">
        <w:rPr>
          <w:color w:val="000000" w:themeColor="text1"/>
          <w:sz w:val="22"/>
          <w:szCs w:val="22"/>
        </w:rPr>
        <w:fldChar w:fldCharType="end"/>
      </w:r>
      <w:r w:rsidRPr="00260790">
        <w:rPr>
          <w:color w:val="000000" w:themeColor="text1"/>
          <w:sz w:val="22"/>
          <w:szCs w:val="22"/>
        </w:rPr>
        <w:t>: Les caractéristiques physico-chimiques de l’oxygène</w:t>
      </w:r>
      <w:bookmarkEnd w:id="69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2"/>
        <w:gridCol w:w="4528"/>
      </w:tblGrid>
      <w:tr w:rsidR="00BD1A2F" w:rsidRPr="00260790" w14:paraId="3C6F1AD3" w14:textId="77777777" w:rsidTr="003A0E4A">
        <w:tc>
          <w:tcPr>
            <w:tcW w:w="9210" w:type="dxa"/>
            <w:gridSpan w:val="2"/>
            <w:tcBorders>
              <w:top w:val="single" w:sz="4" w:space="0" w:color="000000"/>
              <w:left w:val="single" w:sz="4" w:space="0" w:color="000000"/>
              <w:bottom w:val="single" w:sz="4" w:space="0" w:color="000000"/>
              <w:right w:val="single" w:sz="4" w:space="0" w:color="000000"/>
            </w:tcBorders>
            <w:hideMark/>
          </w:tcPr>
          <w:p w14:paraId="1C3871B6" w14:textId="77777777" w:rsidR="00DB0460" w:rsidRPr="00260790" w:rsidRDefault="00DB0460" w:rsidP="00E20250">
            <w:pPr>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Oxygène</w:t>
            </w:r>
          </w:p>
        </w:tc>
      </w:tr>
      <w:tr w:rsidR="00BD1A2F" w:rsidRPr="00260790" w14:paraId="728AA0B2" w14:textId="77777777" w:rsidTr="003A0E4A">
        <w:tc>
          <w:tcPr>
            <w:tcW w:w="9210" w:type="dxa"/>
            <w:gridSpan w:val="2"/>
            <w:tcBorders>
              <w:top w:val="single" w:sz="4" w:space="0" w:color="000000"/>
              <w:left w:val="single" w:sz="4" w:space="0" w:color="000000"/>
              <w:bottom w:val="single" w:sz="4" w:space="0" w:color="000000"/>
              <w:right w:val="single" w:sz="4" w:space="0" w:color="000000"/>
            </w:tcBorders>
            <w:hideMark/>
          </w:tcPr>
          <w:p w14:paraId="0D64E3FA" w14:textId="3284537D" w:rsidR="00DB0460" w:rsidRPr="00260790" w:rsidRDefault="005865F2"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É</w:t>
            </w:r>
            <w:r w:rsidR="00DB0460" w:rsidRPr="00260790">
              <w:rPr>
                <w:rFonts w:ascii="Times New Roman" w:eastAsia="Times New Roman" w:hAnsi="Times New Roman"/>
                <w:color w:val="000000" w:themeColor="text1"/>
                <w:lang w:eastAsia="fr-FR"/>
              </w:rPr>
              <w:t>tat physique</w:t>
            </w:r>
            <w:r w:rsidR="00DB0460" w:rsidRPr="00260790">
              <w:rPr>
                <w:rFonts w:ascii="Times New Roman" w:eastAsia="Times New Roman" w:hAnsi="Times New Roman"/>
                <w:b/>
                <w:color w:val="000000" w:themeColor="text1"/>
                <w:lang w:eastAsia="fr-FR"/>
              </w:rPr>
              <w:t> :</w:t>
            </w:r>
            <w:r w:rsidR="00DB0460" w:rsidRPr="00260790">
              <w:rPr>
                <w:rFonts w:ascii="Times New Roman" w:eastAsia="Times New Roman" w:hAnsi="Times New Roman"/>
                <w:color w:val="000000" w:themeColor="text1"/>
                <w:lang w:eastAsia="fr-FR"/>
              </w:rPr>
              <w:t xml:space="preserve"> gazeux</w:t>
            </w:r>
          </w:p>
        </w:tc>
      </w:tr>
      <w:tr w:rsidR="00BD1A2F" w:rsidRPr="00260790" w14:paraId="482D0034" w14:textId="77777777" w:rsidTr="003A0E4A">
        <w:tc>
          <w:tcPr>
            <w:tcW w:w="4605" w:type="dxa"/>
            <w:tcBorders>
              <w:top w:val="single" w:sz="4" w:space="0" w:color="000000"/>
              <w:left w:val="single" w:sz="4" w:space="0" w:color="000000"/>
              <w:bottom w:val="single" w:sz="4" w:space="0" w:color="000000"/>
              <w:right w:val="single" w:sz="4" w:space="0" w:color="000000"/>
            </w:tcBorders>
            <w:hideMark/>
          </w:tcPr>
          <w:p w14:paraId="4B43B351"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Couleur : incolore</w:t>
            </w:r>
          </w:p>
        </w:tc>
        <w:tc>
          <w:tcPr>
            <w:tcW w:w="4605" w:type="dxa"/>
            <w:tcBorders>
              <w:top w:val="single" w:sz="4" w:space="0" w:color="000000"/>
              <w:left w:val="single" w:sz="4" w:space="0" w:color="000000"/>
              <w:bottom w:val="single" w:sz="4" w:space="0" w:color="000000"/>
              <w:right w:val="single" w:sz="4" w:space="0" w:color="000000"/>
            </w:tcBorders>
            <w:hideMark/>
          </w:tcPr>
          <w:p w14:paraId="7F42FE91"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Odeur : inodore</w:t>
            </w:r>
          </w:p>
        </w:tc>
      </w:tr>
      <w:tr w:rsidR="00BD1A2F" w:rsidRPr="00260790" w14:paraId="673B6142" w14:textId="77777777" w:rsidTr="003A0E4A">
        <w:tc>
          <w:tcPr>
            <w:tcW w:w="9210" w:type="dxa"/>
            <w:gridSpan w:val="2"/>
            <w:tcBorders>
              <w:top w:val="single" w:sz="4" w:space="0" w:color="000000"/>
              <w:left w:val="single" w:sz="4" w:space="0" w:color="000000"/>
              <w:bottom w:val="single" w:sz="4" w:space="0" w:color="000000"/>
              <w:right w:val="single" w:sz="4" w:space="0" w:color="000000"/>
            </w:tcBorders>
            <w:hideMark/>
          </w:tcPr>
          <w:p w14:paraId="016DAABA"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Cs/>
                <w:color w:val="000000" w:themeColor="text1"/>
                <w:lang w:eastAsia="fr-FR"/>
              </w:rPr>
              <w:t xml:space="preserve">Inflammabilité : </w:t>
            </w:r>
            <w:r w:rsidRPr="00260790">
              <w:rPr>
                <w:rFonts w:ascii="Times New Roman" w:eastAsia="Times New Roman" w:hAnsi="Times New Roman"/>
                <w:color w:val="000000" w:themeColor="text1"/>
                <w:lang w:eastAsia="fr-FR"/>
              </w:rPr>
              <w:t>Favorise l'inflammation des matières combustibles.</w:t>
            </w:r>
          </w:p>
        </w:tc>
      </w:tr>
      <w:tr w:rsidR="00DB0460" w:rsidRPr="00260790" w14:paraId="78FA222C" w14:textId="77777777" w:rsidTr="003E7451">
        <w:trPr>
          <w:trHeight w:val="67"/>
        </w:trPr>
        <w:tc>
          <w:tcPr>
            <w:tcW w:w="9210" w:type="dxa"/>
            <w:gridSpan w:val="2"/>
            <w:tcBorders>
              <w:top w:val="single" w:sz="4" w:space="0" w:color="000000"/>
              <w:left w:val="single" w:sz="4" w:space="0" w:color="000000"/>
              <w:bottom w:val="single" w:sz="4" w:space="0" w:color="000000"/>
              <w:right w:val="single" w:sz="4" w:space="0" w:color="000000"/>
            </w:tcBorders>
            <w:hideMark/>
          </w:tcPr>
          <w:p w14:paraId="6C0F09F3" w14:textId="77777777" w:rsidR="00DB0460" w:rsidRPr="00260790" w:rsidRDefault="00DB0460" w:rsidP="00E20250">
            <w:pPr>
              <w:spacing w:after="0" w:line="240" w:lineRule="auto"/>
              <w:jc w:val="both"/>
              <w:rPr>
                <w:rFonts w:ascii="Times New Roman" w:eastAsia="Times New Roman" w:hAnsi="Times New Roman"/>
                <w:color w:val="000000" w:themeColor="text1"/>
                <w:lang w:eastAsia="es-ES"/>
              </w:rPr>
            </w:pPr>
            <w:r w:rsidRPr="00260790">
              <w:rPr>
                <w:rFonts w:ascii="Times New Roman" w:eastAsia="Times New Roman" w:hAnsi="Times New Roman"/>
                <w:color w:val="000000" w:themeColor="text1"/>
                <w:lang w:eastAsia="es-ES"/>
              </w:rPr>
              <w:t>Phrases de risques :</w:t>
            </w:r>
          </w:p>
          <w:p w14:paraId="17FDA6F1"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es-ES"/>
              </w:rPr>
            </w:pPr>
            <w:r w:rsidRPr="00260790">
              <w:rPr>
                <w:rFonts w:ascii="Times New Roman" w:eastAsia="Times New Roman" w:hAnsi="Times New Roman"/>
                <w:color w:val="000000" w:themeColor="text1"/>
                <w:lang w:eastAsia="fr-FR"/>
              </w:rPr>
              <w:t>R8 : Favorise l'inflammation des matières combustibles</w:t>
            </w:r>
          </w:p>
        </w:tc>
      </w:tr>
    </w:tbl>
    <w:p w14:paraId="2EFDDBC9" w14:textId="51B409C7" w:rsidR="00DB0460" w:rsidRDefault="00DB0460" w:rsidP="00E20250">
      <w:pPr>
        <w:spacing w:after="0" w:line="240" w:lineRule="auto"/>
        <w:ind w:left="720"/>
        <w:contextualSpacing/>
        <w:jc w:val="both"/>
        <w:rPr>
          <w:rFonts w:ascii="Times New Roman" w:eastAsia="Times New Roman" w:hAnsi="Times New Roman"/>
          <w:b/>
          <w:color w:val="000000" w:themeColor="text1"/>
          <w:lang w:eastAsia="fr-FR"/>
        </w:rPr>
      </w:pPr>
    </w:p>
    <w:p w14:paraId="02E7E572" w14:textId="18B90221" w:rsidR="002A0371" w:rsidRDefault="002A0371" w:rsidP="00E20250">
      <w:pPr>
        <w:spacing w:after="0" w:line="240" w:lineRule="auto"/>
        <w:ind w:left="720"/>
        <w:contextualSpacing/>
        <w:jc w:val="both"/>
        <w:rPr>
          <w:rFonts w:ascii="Times New Roman" w:eastAsia="Times New Roman" w:hAnsi="Times New Roman"/>
          <w:b/>
          <w:color w:val="000000" w:themeColor="text1"/>
          <w:lang w:eastAsia="fr-FR"/>
        </w:rPr>
      </w:pPr>
    </w:p>
    <w:p w14:paraId="0C9369A8" w14:textId="7F3DD8BA" w:rsidR="002A0371" w:rsidRDefault="002A0371" w:rsidP="00E20250">
      <w:pPr>
        <w:spacing w:after="0" w:line="240" w:lineRule="auto"/>
        <w:ind w:left="720"/>
        <w:contextualSpacing/>
        <w:jc w:val="both"/>
        <w:rPr>
          <w:rFonts w:ascii="Times New Roman" w:eastAsia="Times New Roman" w:hAnsi="Times New Roman"/>
          <w:b/>
          <w:color w:val="000000" w:themeColor="text1"/>
          <w:lang w:eastAsia="fr-FR"/>
        </w:rPr>
      </w:pPr>
    </w:p>
    <w:p w14:paraId="02B05262" w14:textId="77777777" w:rsidR="002A0371" w:rsidRPr="00260790" w:rsidRDefault="002A0371" w:rsidP="00E20250">
      <w:pPr>
        <w:spacing w:after="0" w:line="240" w:lineRule="auto"/>
        <w:ind w:left="720"/>
        <w:contextualSpacing/>
        <w:jc w:val="both"/>
        <w:rPr>
          <w:rFonts w:ascii="Times New Roman" w:eastAsia="Times New Roman" w:hAnsi="Times New Roman"/>
          <w:b/>
          <w:color w:val="000000" w:themeColor="text1"/>
          <w:lang w:eastAsia="fr-FR"/>
        </w:rPr>
      </w:pPr>
    </w:p>
    <w:p w14:paraId="5BE573C7" w14:textId="77777777" w:rsidR="00DB0460" w:rsidRPr="00260790" w:rsidRDefault="00DB0460" w:rsidP="001748C6">
      <w:pPr>
        <w:numPr>
          <w:ilvl w:val="0"/>
          <w:numId w:val="174"/>
        </w:numPr>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lastRenderedPageBreak/>
        <w:t>Risque incendie / explosion</w:t>
      </w:r>
    </w:p>
    <w:p w14:paraId="0C977742"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 produit peut réagir violemment avec les matières combustibles, avec les réducteurs. Il peut exploser en mélange avec des matières combustibles. Il favorise la combustion et l’exposition prolongée au feu peut entraîner la rupture et l'explosion des récipients. </w:t>
      </w:r>
    </w:p>
    <w:p w14:paraId="4A3CCC8E" w14:textId="77777777" w:rsidR="00DB0460" w:rsidRPr="00260790" w:rsidRDefault="00DB0460" w:rsidP="001748C6">
      <w:pPr>
        <w:numPr>
          <w:ilvl w:val="0"/>
          <w:numId w:val="174"/>
        </w:numPr>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Risque toxicologique</w:t>
      </w:r>
    </w:p>
    <w:p w14:paraId="1980466B"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Ce produit n'a pas d'effet toxicologique. Toutefois l'inhalation de fortes concentrations peut causer des nausées, des étourdissements, des difficultés respiratoires et des convulsions.</w:t>
      </w:r>
    </w:p>
    <w:p w14:paraId="2F32E356" w14:textId="77777777" w:rsidR="00DB0460" w:rsidRPr="00260790" w:rsidRDefault="00DB0460" w:rsidP="001748C6">
      <w:pPr>
        <w:numPr>
          <w:ilvl w:val="0"/>
          <w:numId w:val="174"/>
        </w:numPr>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Risque éco toxicologique</w:t>
      </w:r>
    </w:p>
    <w:p w14:paraId="4E482F0F"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Ce produit est sans risque pour l’environnement.</w:t>
      </w:r>
    </w:p>
    <w:p w14:paraId="424243F7"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p>
    <w:p w14:paraId="03363BB1" w14:textId="77777777" w:rsidR="00DB0460" w:rsidRPr="00260790" w:rsidRDefault="00DB0460" w:rsidP="001748C6">
      <w:pPr>
        <w:numPr>
          <w:ilvl w:val="0"/>
          <w:numId w:val="175"/>
        </w:numPr>
        <w:spacing w:after="0" w:line="240" w:lineRule="auto"/>
        <w:ind w:left="714" w:hanging="357"/>
        <w:contextualSpacing/>
        <w:jc w:val="both"/>
        <w:rPr>
          <w:rFonts w:ascii="Times New Roman" w:eastAsia="Times New Roman" w:hAnsi="Times New Roman"/>
          <w:b/>
          <w:i/>
          <w:color w:val="000000" w:themeColor="text1"/>
          <w:lang w:eastAsia="fr-FR"/>
        </w:rPr>
      </w:pPr>
      <w:r w:rsidRPr="00260790">
        <w:rPr>
          <w:rFonts w:ascii="Times New Roman" w:eastAsia="Times New Roman" w:hAnsi="Times New Roman"/>
          <w:b/>
          <w:i/>
          <w:color w:val="000000" w:themeColor="text1"/>
          <w:lang w:eastAsia="fr-FR"/>
        </w:rPr>
        <w:t>Dangers liés au gaz de soudure (acétylène)</w:t>
      </w:r>
    </w:p>
    <w:p w14:paraId="529CAA6D"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L’acétylène  est un </w:t>
      </w:r>
      <w:hyperlink r:id="rId120" w:tooltip="Composé chimique" w:history="1">
        <w:r w:rsidRPr="00260790">
          <w:rPr>
            <w:rFonts w:ascii="Times New Roman" w:eastAsia="Times New Roman" w:hAnsi="Times New Roman"/>
            <w:color w:val="000000" w:themeColor="text1"/>
            <w:lang w:eastAsia="fr-FR"/>
          </w:rPr>
          <w:t>composé chimique</w:t>
        </w:r>
      </w:hyperlink>
      <w:r w:rsidRPr="00260790">
        <w:rPr>
          <w:rFonts w:ascii="Times New Roman" w:eastAsia="Times New Roman" w:hAnsi="Times New Roman"/>
          <w:color w:val="000000" w:themeColor="text1"/>
          <w:lang w:eastAsia="fr-FR"/>
        </w:rPr>
        <w:t xml:space="preserve">, </w:t>
      </w:r>
      <w:hyperlink r:id="rId121" w:tooltip="Hydrocarbure" w:history="1">
        <w:r w:rsidRPr="00260790">
          <w:rPr>
            <w:rFonts w:ascii="Times New Roman" w:eastAsia="Times New Roman" w:hAnsi="Times New Roman"/>
            <w:color w:val="000000" w:themeColor="text1"/>
            <w:lang w:eastAsia="fr-FR"/>
          </w:rPr>
          <w:t>hydrocarbure</w:t>
        </w:r>
      </w:hyperlink>
      <w:r w:rsidRPr="00260790">
        <w:rPr>
          <w:rFonts w:ascii="Times New Roman" w:eastAsia="Times New Roman" w:hAnsi="Times New Roman"/>
          <w:color w:val="000000" w:themeColor="text1"/>
          <w:lang w:eastAsia="fr-FR"/>
        </w:rPr>
        <w:t xml:space="preserve"> de la classe des </w:t>
      </w:r>
      <w:hyperlink r:id="rId122" w:tooltip="Alcyne" w:history="1">
        <w:r w:rsidRPr="00260790">
          <w:rPr>
            <w:rFonts w:ascii="Times New Roman" w:eastAsia="Times New Roman" w:hAnsi="Times New Roman"/>
            <w:color w:val="000000" w:themeColor="text1"/>
            <w:lang w:eastAsia="fr-FR"/>
          </w:rPr>
          <w:t>alcynes</w:t>
        </w:r>
      </w:hyperlink>
      <w:r w:rsidRPr="00260790">
        <w:rPr>
          <w:rFonts w:ascii="Times New Roman" w:eastAsia="Times New Roman" w:hAnsi="Times New Roman"/>
          <w:color w:val="000000" w:themeColor="text1"/>
          <w:lang w:eastAsia="fr-FR"/>
        </w:rPr>
        <w:t xml:space="preserve"> de </w:t>
      </w:r>
      <w:hyperlink r:id="rId123" w:tooltip="Formule brute" w:history="1">
        <w:r w:rsidRPr="00260790">
          <w:rPr>
            <w:rFonts w:ascii="Times New Roman" w:eastAsia="Times New Roman" w:hAnsi="Times New Roman"/>
            <w:color w:val="000000" w:themeColor="text1"/>
            <w:lang w:eastAsia="fr-FR"/>
          </w:rPr>
          <w:t>formule brute</w:t>
        </w:r>
      </w:hyperlink>
      <w:hyperlink r:id="rId124" w:tooltip="Carbone" w:history="1">
        <w:r w:rsidRPr="00260790">
          <w:rPr>
            <w:rFonts w:ascii="Times New Roman" w:eastAsia="Times New Roman" w:hAnsi="Times New Roman"/>
            <w:color w:val="000000" w:themeColor="text1"/>
            <w:lang w:eastAsia="fr-FR"/>
          </w:rPr>
          <w:t>C</w:t>
        </w:r>
      </w:hyperlink>
      <w:r w:rsidRPr="00260790">
        <w:rPr>
          <w:rFonts w:ascii="Times New Roman" w:eastAsia="Times New Roman" w:hAnsi="Times New Roman"/>
          <w:color w:val="000000" w:themeColor="text1"/>
          <w:lang w:eastAsia="fr-FR"/>
        </w:rPr>
        <w:t>2</w:t>
      </w:r>
      <w:hyperlink r:id="rId125" w:tooltip="Hydrogène" w:history="1">
        <w:r w:rsidRPr="00260790">
          <w:rPr>
            <w:rFonts w:ascii="Times New Roman" w:eastAsia="Times New Roman" w:hAnsi="Times New Roman"/>
            <w:color w:val="000000" w:themeColor="text1"/>
            <w:lang w:eastAsia="fr-FR"/>
          </w:rPr>
          <w:t>H</w:t>
        </w:r>
      </w:hyperlink>
      <w:r w:rsidRPr="00260790">
        <w:rPr>
          <w:rFonts w:ascii="Times New Roman" w:eastAsia="Times New Roman" w:hAnsi="Times New Roman"/>
          <w:color w:val="000000" w:themeColor="text1"/>
          <w:lang w:eastAsia="fr-FR"/>
        </w:rPr>
        <w:t xml:space="preserve">2. L’acétylène est un </w:t>
      </w:r>
      <w:hyperlink r:id="rId126" w:tooltip="Gaz" w:history="1">
        <w:r w:rsidRPr="00260790">
          <w:rPr>
            <w:rFonts w:ascii="Times New Roman" w:eastAsia="Times New Roman" w:hAnsi="Times New Roman"/>
            <w:color w:val="000000" w:themeColor="text1"/>
            <w:lang w:eastAsia="fr-FR"/>
          </w:rPr>
          <w:t>gaz</w:t>
        </w:r>
      </w:hyperlink>
      <w:r w:rsidRPr="00260790">
        <w:rPr>
          <w:rFonts w:ascii="Times New Roman" w:eastAsia="Times New Roman" w:hAnsi="Times New Roman"/>
          <w:color w:val="000000" w:themeColor="text1"/>
          <w:lang w:eastAsia="fr-FR"/>
        </w:rPr>
        <w:t xml:space="preserve"> incolore, inflammable, pratiquement inodore quand il est pur (mais on lui attribue généralement une odeur d'ail caractéristique qui provient des impuretés, notamment la </w:t>
      </w:r>
      <w:hyperlink r:id="rId127" w:tooltip="Phosphine" w:history="1">
        <w:r w:rsidRPr="00260790">
          <w:rPr>
            <w:rFonts w:ascii="Times New Roman" w:eastAsia="Times New Roman" w:hAnsi="Times New Roman"/>
            <w:color w:val="000000" w:themeColor="text1"/>
            <w:lang w:eastAsia="fr-FR"/>
          </w:rPr>
          <w:t>phosphine</w:t>
        </w:r>
      </w:hyperlink>
      <w:r w:rsidRPr="00260790">
        <w:rPr>
          <w:rFonts w:ascii="Times New Roman" w:eastAsia="Times New Roman" w:hAnsi="Times New Roman"/>
          <w:color w:val="000000" w:themeColor="text1"/>
          <w:lang w:eastAsia="fr-FR"/>
        </w:rPr>
        <w:t xml:space="preserve"> lorsqu'il est produit à partir du </w:t>
      </w:r>
      <w:hyperlink r:id="rId128" w:tooltip="Carbure de calcium" w:history="1">
        <w:r w:rsidRPr="00260790">
          <w:rPr>
            <w:rFonts w:ascii="Times New Roman" w:eastAsia="Times New Roman" w:hAnsi="Times New Roman"/>
            <w:color w:val="000000" w:themeColor="text1"/>
            <w:lang w:eastAsia="fr-FR"/>
          </w:rPr>
          <w:t>carbure de calcium</w:t>
        </w:r>
      </w:hyperlink>
      <w:r w:rsidRPr="00260790">
        <w:rPr>
          <w:rFonts w:ascii="Times New Roman" w:eastAsia="Times New Roman" w:hAnsi="Times New Roman"/>
          <w:color w:val="000000" w:themeColor="text1"/>
          <w:lang w:eastAsia="fr-FR"/>
        </w:rPr>
        <w:t>).</w:t>
      </w:r>
    </w:p>
    <w:p w14:paraId="5F42E91F"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p>
    <w:p w14:paraId="24F62CB8" w14:textId="77777777" w:rsidR="00DB0460" w:rsidRPr="00260790" w:rsidRDefault="00DB0460" w:rsidP="001748C6">
      <w:pPr>
        <w:numPr>
          <w:ilvl w:val="0"/>
          <w:numId w:val="174"/>
        </w:numPr>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Propriétés physico-chimiques de l’acétylène</w:t>
      </w:r>
    </w:p>
    <w:p w14:paraId="131E5C3F"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Les caractéristiques physico-chimiques sont présentées dans le tableau ci-dessous. </w:t>
      </w:r>
    </w:p>
    <w:p w14:paraId="0EC5A8B8"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p>
    <w:p w14:paraId="4FE6476D" w14:textId="392067B9" w:rsidR="00DB0460" w:rsidRPr="00260790" w:rsidRDefault="00DB0460" w:rsidP="00E20250">
      <w:pPr>
        <w:pStyle w:val="Lgende"/>
        <w:keepNext/>
        <w:spacing w:line="240" w:lineRule="auto"/>
        <w:rPr>
          <w:b/>
          <w:color w:val="000000" w:themeColor="text1"/>
          <w:sz w:val="22"/>
          <w:szCs w:val="22"/>
        </w:rPr>
      </w:pPr>
      <w:bookmarkStart w:id="700" w:name="_Toc207781937"/>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96</w:t>
      </w:r>
      <w:r w:rsidRPr="00260790">
        <w:rPr>
          <w:color w:val="000000" w:themeColor="text1"/>
          <w:sz w:val="22"/>
          <w:szCs w:val="22"/>
        </w:rPr>
        <w:fldChar w:fldCharType="end"/>
      </w:r>
      <w:r w:rsidRPr="00260790">
        <w:rPr>
          <w:color w:val="000000" w:themeColor="text1"/>
          <w:sz w:val="22"/>
          <w:szCs w:val="22"/>
        </w:rPr>
        <w:t> : Les caractéristiques physico-chimiques de l’acétylène</w:t>
      </w:r>
      <w:bookmarkEnd w:id="70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0"/>
      </w:tblGrid>
      <w:tr w:rsidR="00BD1A2F" w:rsidRPr="00260790" w14:paraId="015A8752" w14:textId="77777777" w:rsidTr="003A0E4A">
        <w:trPr>
          <w:tblHeader/>
        </w:trPr>
        <w:tc>
          <w:tcPr>
            <w:tcW w:w="9210" w:type="dxa"/>
            <w:tcBorders>
              <w:top w:val="single" w:sz="4" w:space="0" w:color="000000"/>
              <w:left w:val="single" w:sz="4" w:space="0" w:color="000000"/>
              <w:bottom w:val="single" w:sz="4" w:space="0" w:color="000000"/>
              <w:right w:val="single" w:sz="4" w:space="0" w:color="000000"/>
            </w:tcBorders>
            <w:hideMark/>
          </w:tcPr>
          <w:p w14:paraId="504EFD5C" w14:textId="77777777" w:rsidR="00DB0460" w:rsidRPr="00260790" w:rsidRDefault="00DB0460" w:rsidP="00E20250">
            <w:pPr>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Acétylène</w:t>
            </w:r>
          </w:p>
        </w:tc>
      </w:tr>
      <w:tr w:rsidR="00BD1A2F" w:rsidRPr="00260790" w14:paraId="464FD7B2" w14:textId="77777777" w:rsidTr="003A0E4A">
        <w:tc>
          <w:tcPr>
            <w:tcW w:w="9210" w:type="dxa"/>
            <w:tcBorders>
              <w:top w:val="single" w:sz="4" w:space="0" w:color="000000"/>
              <w:left w:val="single" w:sz="4" w:space="0" w:color="000000"/>
              <w:bottom w:val="single" w:sz="4" w:space="0" w:color="000000"/>
              <w:right w:val="single" w:sz="4" w:space="0" w:color="000000"/>
            </w:tcBorders>
            <w:hideMark/>
          </w:tcPr>
          <w:p w14:paraId="0906008D" w14:textId="1983B68F" w:rsidR="00DB0460" w:rsidRPr="00260790" w:rsidRDefault="005865F2"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É</w:t>
            </w:r>
            <w:r w:rsidR="00DB0460" w:rsidRPr="00260790">
              <w:rPr>
                <w:rFonts w:ascii="Times New Roman" w:eastAsia="Times New Roman" w:hAnsi="Times New Roman"/>
                <w:color w:val="000000" w:themeColor="text1"/>
                <w:lang w:eastAsia="fr-FR"/>
              </w:rPr>
              <w:t>tat physique</w:t>
            </w:r>
            <w:r w:rsidR="00DB0460" w:rsidRPr="00260790">
              <w:rPr>
                <w:rFonts w:ascii="Times New Roman" w:eastAsia="Times New Roman" w:hAnsi="Times New Roman"/>
                <w:b/>
                <w:color w:val="000000" w:themeColor="text1"/>
                <w:lang w:eastAsia="fr-FR"/>
              </w:rPr>
              <w:t> :</w:t>
            </w:r>
            <w:r w:rsidR="00DB0460" w:rsidRPr="00260790">
              <w:rPr>
                <w:rFonts w:ascii="Times New Roman" w:eastAsia="Times New Roman" w:hAnsi="Times New Roman"/>
                <w:color w:val="000000" w:themeColor="text1"/>
                <w:lang w:eastAsia="fr-FR"/>
              </w:rPr>
              <w:t xml:space="preserve"> gazeux</w:t>
            </w:r>
          </w:p>
        </w:tc>
      </w:tr>
      <w:tr w:rsidR="00BD1A2F" w:rsidRPr="00260790" w14:paraId="67D17C27" w14:textId="77777777" w:rsidTr="003A0E4A">
        <w:tc>
          <w:tcPr>
            <w:tcW w:w="9210" w:type="dxa"/>
            <w:tcBorders>
              <w:top w:val="single" w:sz="4" w:space="0" w:color="000000"/>
              <w:left w:val="single" w:sz="4" w:space="0" w:color="000000"/>
              <w:bottom w:val="single" w:sz="4" w:space="0" w:color="000000"/>
              <w:right w:val="single" w:sz="4" w:space="0" w:color="000000"/>
            </w:tcBorders>
            <w:hideMark/>
          </w:tcPr>
          <w:p w14:paraId="0012AF08"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Couleur : Incolore</w:t>
            </w:r>
          </w:p>
        </w:tc>
      </w:tr>
      <w:tr w:rsidR="00BD1A2F" w:rsidRPr="00260790" w14:paraId="6A359069" w14:textId="77777777" w:rsidTr="003A0E4A">
        <w:tc>
          <w:tcPr>
            <w:tcW w:w="9210" w:type="dxa"/>
            <w:tcBorders>
              <w:top w:val="single" w:sz="4" w:space="0" w:color="000000"/>
              <w:left w:val="single" w:sz="4" w:space="0" w:color="000000"/>
              <w:bottom w:val="single" w:sz="4" w:space="0" w:color="000000"/>
              <w:right w:val="single" w:sz="4" w:space="0" w:color="000000"/>
            </w:tcBorders>
            <w:hideMark/>
          </w:tcPr>
          <w:p w14:paraId="6A94D17D"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bCs/>
                <w:color w:val="000000" w:themeColor="text1"/>
                <w:lang w:eastAsia="fr-FR"/>
              </w:rPr>
              <w:t>Température d'inflammation</w:t>
            </w:r>
            <w:r w:rsidRPr="00260790">
              <w:rPr>
                <w:rFonts w:ascii="Times New Roman" w:eastAsia="Times New Roman" w:hAnsi="Times New Roman"/>
                <w:b/>
                <w:bCs/>
                <w:color w:val="000000" w:themeColor="text1"/>
                <w:lang w:eastAsia="fr-FR"/>
              </w:rPr>
              <w:t xml:space="preserve"> : </w:t>
            </w:r>
            <w:r w:rsidRPr="00260790">
              <w:rPr>
                <w:rFonts w:ascii="Times New Roman" w:eastAsia="Times New Roman" w:hAnsi="Times New Roman"/>
                <w:color w:val="000000" w:themeColor="text1"/>
                <w:lang w:eastAsia="fr-FR"/>
              </w:rPr>
              <w:t>325°C</w:t>
            </w:r>
          </w:p>
        </w:tc>
      </w:tr>
      <w:tr w:rsidR="00DB0460" w:rsidRPr="00260790" w14:paraId="0111FD2D" w14:textId="77777777" w:rsidTr="00935981">
        <w:trPr>
          <w:trHeight w:val="179"/>
        </w:trPr>
        <w:tc>
          <w:tcPr>
            <w:tcW w:w="9210" w:type="dxa"/>
            <w:tcBorders>
              <w:top w:val="single" w:sz="4" w:space="0" w:color="000000"/>
              <w:left w:val="single" w:sz="4" w:space="0" w:color="000000"/>
              <w:bottom w:val="single" w:sz="4" w:space="0" w:color="000000"/>
              <w:right w:val="single" w:sz="4" w:space="0" w:color="000000"/>
            </w:tcBorders>
            <w:hideMark/>
          </w:tcPr>
          <w:p w14:paraId="12BD3E76" w14:textId="6896335B" w:rsidR="00DB0460" w:rsidRPr="00260790" w:rsidRDefault="00DB0460" w:rsidP="00935981">
            <w:pPr>
              <w:spacing w:after="0" w:line="240" w:lineRule="auto"/>
              <w:jc w:val="both"/>
              <w:rPr>
                <w:rFonts w:ascii="Times New Roman" w:eastAsia="Times New Roman" w:hAnsi="Times New Roman"/>
                <w:color w:val="000000" w:themeColor="text1"/>
                <w:lang w:eastAsia="es-ES"/>
              </w:rPr>
            </w:pPr>
            <w:r w:rsidRPr="00260790">
              <w:rPr>
                <w:rFonts w:ascii="Times New Roman" w:eastAsia="Times New Roman" w:hAnsi="Times New Roman"/>
                <w:color w:val="000000" w:themeColor="text1"/>
                <w:lang w:eastAsia="es-ES"/>
              </w:rPr>
              <w:t>Phrases de risques :</w:t>
            </w:r>
            <w:r w:rsidR="00935981" w:rsidRPr="00260790">
              <w:rPr>
                <w:rFonts w:ascii="Times New Roman" w:eastAsia="Times New Roman" w:hAnsi="Times New Roman"/>
                <w:color w:val="000000" w:themeColor="text1"/>
                <w:lang w:eastAsia="es-ES"/>
              </w:rPr>
              <w:t xml:space="preserve"> </w:t>
            </w:r>
            <w:r w:rsidRPr="00260790">
              <w:rPr>
                <w:rFonts w:ascii="Times New Roman" w:eastAsia="Times New Roman" w:hAnsi="Times New Roman"/>
                <w:color w:val="000000" w:themeColor="text1"/>
                <w:lang w:eastAsia="fr-FR"/>
              </w:rPr>
              <w:t>R11 : Facilement inflammable</w:t>
            </w:r>
          </w:p>
        </w:tc>
      </w:tr>
    </w:tbl>
    <w:p w14:paraId="2A2A65B1" w14:textId="77777777" w:rsidR="00DB0460" w:rsidRPr="00260790" w:rsidRDefault="00DB0460" w:rsidP="00E20250">
      <w:pPr>
        <w:spacing w:after="0" w:line="240" w:lineRule="auto"/>
        <w:jc w:val="both"/>
        <w:rPr>
          <w:rFonts w:ascii="Times New Roman" w:eastAsia="Times New Roman" w:hAnsi="Times New Roman"/>
          <w:b/>
          <w:color w:val="000000" w:themeColor="text1"/>
          <w:lang w:eastAsia="fr-FR"/>
        </w:rPr>
      </w:pPr>
    </w:p>
    <w:p w14:paraId="378BEF93" w14:textId="77777777" w:rsidR="00DB0460" w:rsidRPr="00260790" w:rsidRDefault="00DB0460" w:rsidP="001748C6">
      <w:pPr>
        <w:numPr>
          <w:ilvl w:val="0"/>
          <w:numId w:val="174"/>
        </w:numPr>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Risque incendie / explosion</w:t>
      </w:r>
    </w:p>
    <w:p w14:paraId="0E72A931"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Lors de l’utilisation, la formation de mélange vapeur-air inflammable/ explosif est possible. Il peut réagir avec les agents d'oxydation.  Il y a également risque d’explosion sous l'action de la chaleur.  </w:t>
      </w:r>
    </w:p>
    <w:p w14:paraId="03A464C0" w14:textId="6F6B25A4" w:rsidR="00DB0460" w:rsidRPr="00260790" w:rsidRDefault="00DB0460" w:rsidP="001748C6">
      <w:pPr>
        <w:numPr>
          <w:ilvl w:val="0"/>
          <w:numId w:val="174"/>
        </w:numPr>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Risque toxicologique</w:t>
      </w:r>
    </w:p>
    <w:p w14:paraId="54B9C5F5"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L’inhalation peut causer l’asphyxie à concentration élevée. Les symptômes peuvent être une perte de connaissance ou de motricité. La victime peut ne pas être consciente de l’asphyxie, peut avoir des effets narcotiques à faible concentration. Les symptômes peuvent être des étourdissements, des maux de tête, des nausées.</w:t>
      </w:r>
    </w:p>
    <w:p w14:paraId="7FD26204" w14:textId="77777777" w:rsidR="00DB0460" w:rsidRPr="00260790" w:rsidRDefault="00DB0460" w:rsidP="001748C6">
      <w:pPr>
        <w:numPr>
          <w:ilvl w:val="0"/>
          <w:numId w:val="174"/>
        </w:numPr>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Risque éco toxicologique</w:t>
      </w:r>
    </w:p>
    <w:p w14:paraId="45072A11"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Généralement le produit n’est pas dangereux pour les organismes aquatiques et pour l’environnement.</w:t>
      </w:r>
    </w:p>
    <w:p w14:paraId="3EE59655"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p>
    <w:p w14:paraId="08C511A6" w14:textId="77777777" w:rsidR="00DB0460" w:rsidRPr="00260790" w:rsidRDefault="00DB0460" w:rsidP="001748C6">
      <w:pPr>
        <w:numPr>
          <w:ilvl w:val="0"/>
          <w:numId w:val="155"/>
        </w:numPr>
        <w:autoSpaceDE w:val="0"/>
        <w:autoSpaceDN w:val="0"/>
        <w:adjustRightInd w:val="0"/>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Dangers liés au gravier</w:t>
      </w:r>
    </w:p>
    <w:p w14:paraId="0B42CDD2"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 gravier est un agrégat sans consistance de pierres provenant d’un gisement de surface, draguées sur le fond d’une rivière ou extraites d’une carrière et concassées au calibre requis. Après extraction, le gravier et lavé, concassé puis calibré. Une grande partie du gravier est utilisée par l'industrie de la construction et du bâtiment pour la fabrication du béton, mais il trouve aussi une utilisation comme matériau pour la construction de routes, de revêtements de sols ou encore pour la décoration grâce aux graviers colorés. </w:t>
      </w:r>
    </w:p>
    <w:p w14:paraId="1CDEB3D4" w14:textId="77777777" w:rsidR="00DB0460" w:rsidRPr="00260790" w:rsidRDefault="00DB0460" w:rsidP="001748C6">
      <w:pPr>
        <w:numPr>
          <w:ilvl w:val="0"/>
          <w:numId w:val="189"/>
        </w:numPr>
        <w:autoSpaceDE w:val="0"/>
        <w:autoSpaceDN w:val="0"/>
        <w:adjustRightInd w:val="0"/>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Risque incendie / explosion</w:t>
      </w:r>
    </w:p>
    <w:p w14:paraId="26A58AE2"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gravier est un composé ininflammable et non explosif.</w:t>
      </w:r>
    </w:p>
    <w:p w14:paraId="33698AB9" w14:textId="77777777" w:rsidR="003E7451" w:rsidRDefault="003E7451">
      <w:pPr>
        <w:spacing w:line="259" w:lineRule="auto"/>
        <w:rPr>
          <w:rFonts w:ascii="Times New Roman" w:eastAsia="Times New Roman" w:hAnsi="Times New Roman"/>
          <w:b/>
          <w:color w:val="000000" w:themeColor="text1"/>
          <w:lang w:eastAsia="fr-FR"/>
        </w:rPr>
      </w:pPr>
      <w:r>
        <w:rPr>
          <w:rFonts w:ascii="Times New Roman" w:eastAsia="Times New Roman" w:hAnsi="Times New Roman"/>
          <w:b/>
          <w:color w:val="000000" w:themeColor="text1"/>
          <w:lang w:eastAsia="fr-FR"/>
        </w:rPr>
        <w:br w:type="page"/>
      </w:r>
    </w:p>
    <w:p w14:paraId="37CDC2CA" w14:textId="3D9C6207" w:rsidR="00DB0460" w:rsidRPr="00260790" w:rsidRDefault="00DB0460" w:rsidP="001748C6">
      <w:pPr>
        <w:numPr>
          <w:ilvl w:val="0"/>
          <w:numId w:val="189"/>
        </w:numPr>
        <w:autoSpaceDE w:val="0"/>
        <w:autoSpaceDN w:val="0"/>
        <w:adjustRightInd w:val="0"/>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lastRenderedPageBreak/>
        <w:t>Risques sanitaires</w:t>
      </w:r>
    </w:p>
    <w:p w14:paraId="6BB68C2F" w14:textId="7E009CF4"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Les risques </w:t>
      </w:r>
      <w:r w:rsidR="00874DDA" w:rsidRPr="00260790">
        <w:rPr>
          <w:rFonts w:ascii="Times New Roman" w:eastAsia="Times New Roman" w:hAnsi="Times New Roman"/>
          <w:color w:val="000000" w:themeColor="text1"/>
          <w:lang w:eastAsia="fr-FR"/>
        </w:rPr>
        <w:t>sanitaires présentés</w:t>
      </w:r>
      <w:r w:rsidRPr="00260790">
        <w:rPr>
          <w:rFonts w:ascii="Times New Roman" w:eastAsia="Times New Roman" w:hAnsi="Times New Roman"/>
          <w:color w:val="000000" w:themeColor="text1"/>
          <w:lang w:eastAsia="fr-FR"/>
        </w:rPr>
        <w:t xml:space="preserve"> par le gravier sont les poussières de silice mises en suspension dans l’air. La silice libre cristallisée se trouve à l’état naturel dans bon nombre de sols dont on extrait du gravier. La teneur en silice est variable et ne constitue pas un indicateur fiable de la teneur de poussières de silice en suspension dans l’air. Le granit contient environ 30% de son poids en silice, alors que le calcaire et le marbre en contiennent beaucoup moins. </w:t>
      </w:r>
    </w:p>
    <w:p w14:paraId="552CC7E1" w14:textId="1DB661DD"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On peut, en général, empêcher la mise en suspension de la silice par pulvérisation ou jets d’eau, ou par un système d’aspiration localisée. Les </w:t>
      </w:r>
      <w:r w:rsidR="00874DDA" w:rsidRPr="00260790">
        <w:rPr>
          <w:rFonts w:ascii="Times New Roman" w:eastAsia="Times New Roman" w:hAnsi="Times New Roman"/>
          <w:color w:val="000000" w:themeColor="text1"/>
          <w:lang w:eastAsia="fr-FR"/>
        </w:rPr>
        <w:t>travailleurs peuvent</w:t>
      </w:r>
      <w:r w:rsidRPr="00260790">
        <w:rPr>
          <w:rFonts w:ascii="Times New Roman" w:eastAsia="Times New Roman" w:hAnsi="Times New Roman"/>
          <w:color w:val="000000" w:themeColor="text1"/>
          <w:lang w:eastAsia="fr-FR"/>
        </w:rPr>
        <w:t xml:space="preserve"> être exposés à la silice. La silicose est plus répandue chez les carriers et les opérateurs des installations de concassage que chez les travailleurs de chantier qui utilisent le gravier comme produit fini.</w:t>
      </w:r>
    </w:p>
    <w:p w14:paraId="508F3E6E" w14:textId="77777777" w:rsidR="00DB0460" w:rsidRPr="00260790" w:rsidRDefault="00DB0460" w:rsidP="00E20250">
      <w:pPr>
        <w:autoSpaceDE w:val="0"/>
        <w:autoSpaceDN w:val="0"/>
        <w:adjustRightInd w:val="0"/>
        <w:spacing w:after="0" w:line="240" w:lineRule="auto"/>
        <w:jc w:val="both"/>
        <w:rPr>
          <w:rFonts w:ascii="Times New Roman" w:hAnsi="Times New Roman"/>
          <w:color w:val="000000" w:themeColor="text1"/>
        </w:rPr>
        <w:sectPr w:rsidR="00DB0460" w:rsidRPr="00260790" w:rsidSect="00FA5A02">
          <w:footerReference w:type="even" r:id="rId129"/>
          <w:footerReference w:type="default" r:id="rId130"/>
          <w:footerReference w:type="first" r:id="rId131"/>
          <w:pgSz w:w="11906" w:h="16838"/>
          <w:pgMar w:top="1418" w:right="1418" w:bottom="1418" w:left="1418" w:header="709" w:footer="454" w:gutter="0"/>
          <w:cols w:space="708"/>
          <w:docGrid w:linePitch="360"/>
        </w:sectPr>
      </w:pPr>
    </w:p>
    <w:p w14:paraId="162A310E" w14:textId="44342FD3" w:rsidR="00DB0460" w:rsidRPr="00260790" w:rsidRDefault="00DB0460" w:rsidP="00E20250">
      <w:pPr>
        <w:pStyle w:val="Lgende"/>
        <w:keepNext/>
        <w:spacing w:line="240" w:lineRule="auto"/>
        <w:rPr>
          <w:b/>
          <w:color w:val="auto"/>
          <w:sz w:val="22"/>
          <w:szCs w:val="22"/>
        </w:rPr>
      </w:pPr>
      <w:r w:rsidRPr="00260790">
        <w:rPr>
          <w:color w:val="auto"/>
          <w:sz w:val="22"/>
          <w:szCs w:val="22"/>
        </w:rPr>
        <w:lastRenderedPageBreak/>
        <w:t> </w:t>
      </w:r>
      <w:bookmarkStart w:id="701" w:name="_Toc207781938"/>
      <w:r w:rsidRPr="00260790">
        <w:rPr>
          <w:color w:val="auto"/>
          <w:sz w:val="22"/>
          <w:szCs w:val="22"/>
        </w:rPr>
        <w:t xml:space="preserve">Tableau </w:t>
      </w:r>
      <w:r w:rsidRPr="00260790">
        <w:rPr>
          <w:color w:val="auto"/>
          <w:sz w:val="22"/>
          <w:szCs w:val="22"/>
        </w:rPr>
        <w:fldChar w:fldCharType="begin"/>
      </w:r>
      <w:r w:rsidRPr="00260790">
        <w:rPr>
          <w:color w:val="auto"/>
          <w:sz w:val="22"/>
          <w:szCs w:val="22"/>
        </w:rPr>
        <w:instrText xml:space="preserve"> SEQ Tableau \* ARABIC </w:instrText>
      </w:r>
      <w:r w:rsidRPr="00260790">
        <w:rPr>
          <w:color w:val="auto"/>
          <w:sz w:val="22"/>
          <w:szCs w:val="22"/>
        </w:rPr>
        <w:fldChar w:fldCharType="separate"/>
      </w:r>
      <w:r w:rsidR="003C783E">
        <w:rPr>
          <w:noProof/>
          <w:color w:val="auto"/>
          <w:sz w:val="22"/>
          <w:szCs w:val="22"/>
        </w:rPr>
        <w:t>97</w:t>
      </w:r>
      <w:r w:rsidRPr="00260790">
        <w:rPr>
          <w:color w:val="auto"/>
          <w:sz w:val="22"/>
          <w:szCs w:val="22"/>
        </w:rPr>
        <w:fldChar w:fldCharType="end"/>
      </w:r>
      <w:r w:rsidRPr="00260790">
        <w:rPr>
          <w:color w:val="auto"/>
          <w:sz w:val="22"/>
          <w:szCs w:val="22"/>
        </w:rPr>
        <w:t>: Synthèse des dangers liés aux produits et moyens de protection du personnel</w:t>
      </w:r>
      <w:bookmarkEnd w:id="701"/>
    </w:p>
    <w:tbl>
      <w:tblPr>
        <w:tblpPr w:leftFromText="141" w:rightFromText="141" w:vertAnchor="text" w:tblpX="-289" w:tblpY="1"/>
        <w:tblOverlap w:val="neve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413"/>
        <w:gridCol w:w="1276"/>
        <w:gridCol w:w="2551"/>
        <w:gridCol w:w="1701"/>
        <w:gridCol w:w="2268"/>
        <w:gridCol w:w="2920"/>
        <w:gridCol w:w="3034"/>
      </w:tblGrid>
      <w:tr w:rsidR="00EA1906" w:rsidRPr="00260790" w14:paraId="57F4F942" w14:textId="77777777" w:rsidTr="00EA1906">
        <w:trPr>
          <w:cantSplit/>
          <w:tblHeader/>
        </w:trPr>
        <w:tc>
          <w:tcPr>
            <w:tcW w:w="1413" w:type="dxa"/>
            <w:shd w:val="clear" w:color="auto" w:fill="F7CAAC" w:themeFill="accent2" w:themeFillTint="66"/>
            <w:tcMar>
              <w:left w:w="57" w:type="dxa"/>
              <w:right w:w="57" w:type="dxa"/>
            </w:tcMar>
            <w:vAlign w:val="center"/>
          </w:tcPr>
          <w:p w14:paraId="6BA8B3EF" w14:textId="77777777" w:rsidR="00DB0460" w:rsidRPr="00260790" w:rsidRDefault="00DB0460" w:rsidP="00EA1906">
            <w:pPr>
              <w:spacing w:after="0" w:line="240" w:lineRule="auto"/>
              <w:jc w:val="both"/>
              <w:rPr>
                <w:rFonts w:ascii="Times New Roman" w:eastAsia="Times New Roman" w:hAnsi="Times New Roman"/>
                <w:b/>
                <w:color w:val="000000" w:themeColor="text1"/>
                <w:sz w:val="21"/>
                <w:szCs w:val="21"/>
              </w:rPr>
            </w:pPr>
            <w:r w:rsidRPr="00260790">
              <w:rPr>
                <w:rFonts w:ascii="Times New Roman" w:eastAsia="Times New Roman" w:hAnsi="Times New Roman"/>
                <w:b/>
                <w:color w:val="000000" w:themeColor="text1"/>
                <w:sz w:val="21"/>
                <w:szCs w:val="21"/>
              </w:rPr>
              <w:t>Produit</w:t>
            </w:r>
          </w:p>
        </w:tc>
        <w:tc>
          <w:tcPr>
            <w:tcW w:w="1276" w:type="dxa"/>
            <w:shd w:val="clear" w:color="auto" w:fill="F7CAAC" w:themeFill="accent2" w:themeFillTint="66"/>
            <w:tcMar>
              <w:left w:w="57" w:type="dxa"/>
              <w:right w:w="57" w:type="dxa"/>
            </w:tcMar>
            <w:vAlign w:val="center"/>
          </w:tcPr>
          <w:p w14:paraId="420BCD76" w14:textId="77777777" w:rsidR="00DB0460" w:rsidRPr="00260790" w:rsidRDefault="00DB0460" w:rsidP="00EA1906">
            <w:pPr>
              <w:spacing w:after="0" w:line="240" w:lineRule="auto"/>
              <w:jc w:val="both"/>
              <w:rPr>
                <w:rFonts w:ascii="Times New Roman" w:eastAsia="Times New Roman" w:hAnsi="Times New Roman"/>
                <w:b/>
                <w:color w:val="000000" w:themeColor="text1"/>
                <w:sz w:val="21"/>
                <w:szCs w:val="21"/>
              </w:rPr>
            </w:pPr>
            <w:r w:rsidRPr="00260790">
              <w:rPr>
                <w:rFonts w:ascii="Times New Roman" w:eastAsia="Times New Roman" w:hAnsi="Times New Roman"/>
                <w:b/>
                <w:color w:val="000000" w:themeColor="text1"/>
                <w:sz w:val="21"/>
                <w:szCs w:val="21"/>
              </w:rPr>
              <w:t>Mentions de danger</w:t>
            </w:r>
          </w:p>
        </w:tc>
        <w:tc>
          <w:tcPr>
            <w:tcW w:w="2551" w:type="dxa"/>
            <w:shd w:val="clear" w:color="auto" w:fill="F7CAAC" w:themeFill="accent2" w:themeFillTint="66"/>
            <w:tcMar>
              <w:left w:w="57" w:type="dxa"/>
              <w:right w:w="57" w:type="dxa"/>
            </w:tcMar>
            <w:vAlign w:val="center"/>
          </w:tcPr>
          <w:p w14:paraId="59D60899" w14:textId="77777777" w:rsidR="00DB0460" w:rsidRPr="00260790" w:rsidRDefault="00DB0460" w:rsidP="00EA1906">
            <w:pPr>
              <w:spacing w:after="0" w:line="240" w:lineRule="auto"/>
              <w:jc w:val="both"/>
              <w:rPr>
                <w:rFonts w:ascii="Times New Roman" w:eastAsia="Times New Roman" w:hAnsi="Times New Roman"/>
                <w:b/>
                <w:color w:val="000000" w:themeColor="text1"/>
                <w:sz w:val="21"/>
                <w:szCs w:val="21"/>
              </w:rPr>
            </w:pPr>
            <w:r w:rsidRPr="00260790">
              <w:rPr>
                <w:rFonts w:ascii="Times New Roman" w:eastAsia="Times New Roman" w:hAnsi="Times New Roman"/>
                <w:b/>
                <w:color w:val="000000" w:themeColor="text1"/>
                <w:sz w:val="21"/>
                <w:szCs w:val="21"/>
              </w:rPr>
              <w:t>Conseils de prudence</w:t>
            </w:r>
          </w:p>
        </w:tc>
        <w:tc>
          <w:tcPr>
            <w:tcW w:w="1701" w:type="dxa"/>
            <w:shd w:val="clear" w:color="auto" w:fill="F7CAAC" w:themeFill="accent2" w:themeFillTint="66"/>
            <w:tcMar>
              <w:left w:w="57" w:type="dxa"/>
              <w:right w:w="57" w:type="dxa"/>
            </w:tcMar>
            <w:vAlign w:val="center"/>
          </w:tcPr>
          <w:p w14:paraId="0314C288" w14:textId="77777777" w:rsidR="00DB0460" w:rsidRPr="00260790" w:rsidRDefault="00DB0460" w:rsidP="00EA1906">
            <w:pPr>
              <w:spacing w:after="0" w:line="240" w:lineRule="auto"/>
              <w:jc w:val="both"/>
              <w:rPr>
                <w:rFonts w:ascii="Times New Roman" w:eastAsia="Times New Roman" w:hAnsi="Times New Roman"/>
                <w:b/>
                <w:color w:val="000000" w:themeColor="text1"/>
                <w:sz w:val="21"/>
                <w:szCs w:val="21"/>
              </w:rPr>
            </w:pPr>
            <w:r w:rsidRPr="00260790">
              <w:rPr>
                <w:rFonts w:ascii="Times New Roman" w:eastAsia="Times New Roman" w:hAnsi="Times New Roman"/>
                <w:b/>
                <w:color w:val="000000" w:themeColor="text1"/>
                <w:sz w:val="21"/>
                <w:szCs w:val="21"/>
              </w:rPr>
              <w:t>Pictogramme de danger</w:t>
            </w:r>
          </w:p>
        </w:tc>
        <w:tc>
          <w:tcPr>
            <w:tcW w:w="2268" w:type="dxa"/>
            <w:shd w:val="clear" w:color="auto" w:fill="F7CAAC" w:themeFill="accent2" w:themeFillTint="66"/>
            <w:tcMar>
              <w:left w:w="57" w:type="dxa"/>
              <w:right w:w="57" w:type="dxa"/>
            </w:tcMar>
            <w:vAlign w:val="center"/>
          </w:tcPr>
          <w:p w14:paraId="4E7792ED" w14:textId="77777777" w:rsidR="00DB0460" w:rsidRPr="00260790" w:rsidRDefault="00DB0460" w:rsidP="00EA1906">
            <w:pPr>
              <w:spacing w:after="0" w:line="240" w:lineRule="auto"/>
              <w:jc w:val="both"/>
              <w:rPr>
                <w:rFonts w:ascii="Times New Roman" w:eastAsia="Times New Roman" w:hAnsi="Times New Roman"/>
                <w:b/>
                <w:color w:val="000000" w:themeColor="text1"/>
                <w:sz w:val="21"/>
                <w:szCs w:val="21"/>
              </w:rPr>
            </w:pPr>
            <w:r w:rsidRPr="00260790">
              <w:rPr>
                <w:rFonts w:ascii="Times New Roman" w:eastAsia="Times New Roman" w:hAnsi="Times New Roman"/>
                <w:b/>
                <w:color w:val="000000" w:themeColor="text1"/>
                <w:sz w:val="21"/>
                <w:szCs w:val="21"/>
              </w:rPr>
              <w:t>Réactivité Inflammabilité</w:t>
            </w:r>
          </w:p>
        </w:tc>
        <w:tc>
          <w:tcPr>
            <w:tcW w:w="2920" w:type="dxa"/>
            <w:shd w:val="clear" w:color="auto" w:fill="F7CAAC" w:themeFill="accent2" w:themeFillTint="66"/>
            <w:tcMar>
              <w:left w:w="57" w:type="dxa"/>
              <w:right w:w="57" w:type="dxa"/>
            </w:tcMar>
            <w:vAlign w:val="center"/>
          </w:tcPr>
          <w:p w14:paraId="5C4C7ECA" w14:textId="6CFF3EC0" w:rsidR="00DB0460" w:rsidRPr="00260790" w:rsidRDefault="00DB0460" w:rsidP="00EA1906">
            <w:pPr>
              <w:spacing w:after="0" w:line="240" w:lineRule="auto"/>
              <w:jc w:val="both"/>
              <w:rPr>
                <w:rFonts w:ascii="Times New Roman" w:eastAsia="Times New Roman" w:hAnsi="Times New Roman"/>
                <w:b/>
                <w:color w:val="000000" w:themeColor="text1"/>
                <w:sz w:val="21"/>
                <w:szCs w:val="21"/>
              </w:rPr>
            </w:pPr>
            <w:r w:rsidRPr="00260790">
              <w:rPr>
                <w:rFonts w:ascii="Times New Roman" w:eastAsia="Times New Roman" w:hAnsi="Times New Roman"/>
                <w:b/>
                <w:color w:val="000000" w:themeColor="text1"/>
                <w:sz w:val="21"/>
                <w:szCs w:val="21"/>
              </w:rPr>
              <w:t xml:space="preserve">Toxicité et effets locaux / </w:t>
            </w:r>
            <w:r w:rsidR="00E53FAB" w:rsidRPr="00260790">
              <w:rPr>
                <w:rFonts w:ascii="Times New Roman" w:eastAsia="Times New Roman" w:hAnsi="Times New Roman"/>
                <w:b/>
                <w:color w:val="000000" w:themeColor="text1"/>
                <w:sz w:val="21"/>
                <w:szCs w:val="21"/>
              </w:rPr>
              <w:t>Écotoxicité</w:t>
            </w:r>
          </w:p>
        </w:tc>
        <w:tc>
          <w:tcPr>
            <w:tcW w:w="3034" w:type="dxa"/>
            <w:shd w:val="clear" w:color="auto" w:fill="F7CAAC" w:themeFill="accent2" w:themeFillTint="66"/>
            <w:tcMar>
              <w:left w:w="57" w:type="dxa"/>
              <w:right w:w="57" w:type="dxa"/>
            </w:tcMar>
            <w:vAlign w:val="center"/>
          </w:tcPr>
          <w:p w14:paraId="7DA9036A" w14:textId="77777777" w:rsidR="00DB0460" w:rsidRPr="00260790" w:rsidRDefault="00DB0460" w:rsidP="00EA1906">
            <w:pPr>
              <w:spacing w:after="0" w:line="240" w:lineRule="auto"/>
              <w:jc w:val="both"/>
              <w:rPr>
                <w:rFonts w:ascii="Times New Roman" w:eastAsia="Times New Roman" w:hAnsi="Times New Roman"/>
                <w:b/>
                <w:color w:val="000000" w:themeColor="text1"/>
                <w:sz w:val="21"/>
                <w:szCs w:val="21"/>
              </w:rPr>
            </w:pPr>
            <w:r w:rsidRPr="00260790">
              <w:rPr>
                <w:rFonts w:ascii="Times New Roman" w:eastAsia="Times New Roman" w:hAnsi="Times New Roman"/>
                <w:b/>
                <w:color w:val="000000" w:themeColor="text1"/>
                <w:sz w:val="21"/>
                <w:szCs w:val="21"/>
              </w:rPr>
              <w:t>Mesures et moyens de prévention et de protection du personnel</w:t>
            </w:r>
          </w:p>
        </w:tc>
      </w:tr>
      <w:tr w:rsidR="00EA1906" w:rsidRPr="00260790" w14:paraId="2A9F03FA" w14:textId="77777777" w:rsidTr="00EA1906">
        <w:trPr>
          <w:trHeight w:val="145"/>
        </w:trPr>
        <w:tc>
          <w:tcPr>
            <w:tcW w:w="1413" w:type="dxa"/>
            <w:tcMar>
              <w:left w:w="57" w:type="dxa"/>
              <w:right w:w="57" w:type="dxa"/>
            </w:tcMar>
            <w:vAlign w:val="center"/>
          </w:tcPr>
          <w:p w14:paraId="6C0B4DA3" w14:textId="77777777" w:rsidR="00DB0460" w:rsidRPr="00260790" w:rsidRDefault="00DB0460" w:rsidP="00EA1906">
            <w:pPr>
              <w:spacing w:after="0" w:line="240" w:lineRule="auto"/>
              <w:jc w:val="both"/>
              <w:rPr>
                <w:rFonts w:ascii="Times New Roman" w:eastAsia="Times New Roman" w:hAnsi="Times New Roman"/>
                <w:b/>
                <w:color w:val="000000" w:themeColor="text1"/>
                <w:sz w:val="21"/>
                <w:szCs w:val="21"/>
              </w:rPr>
            </w:pPr>
            <w:r w:rsidRPr="00260790">
              <w:rPr>
                <w:rFonts w:ascii="Times New Roman" w:eastAsia="Times New Roman" w:hAnsi="Times New Roman"/>
                <w:b/>
                <w:color w:val="000000" w:themeColor="text1"/>
                <w:sz w:val="21"/>
                <w:szCs w:val="21"/>
              </w:rPr>
              <w:t xml:space="preserve">Gasoil </w:t>
            </w:r>
          </w:p>
        </w:tc>
        <w:tc>
          <w:tcPr>
            <w:tcW w:w="1276" w:type="dxa"/>
            <w:tcMar>
              <w:left w:w="57" w:type="dxa"/>
              <w:right w:w="57" w:type="dxa"/>
            </w:tcMar>
          </w:tcPr>
          <w:p w14:paraId="08AE5F4D" w14:textId="77777777" w:rsidR="00DB0460" w:rsidRPr="00260790" w:rsidRDefault="00DB0460" w:rsidP="00EA1906">
            <w:pPr>
              <w:spacing w:after="0" w:line="240" w:lineRule="auto"/>
              <w:jc w:val="both"/>
              <w:rPr>
                <w:rFonts w:ascii="Times New Roman" w:eastAsia="Times New Roman" w:hAnsi="Times New Roman"/>
                <w:color w:val="000000" w:themeColor="text1"/>
                <w:sz w:val="21"/>
                <w:szCs w:val="21"/>
              </w:rPr>
            </w:pPr>
            <w:r w:rsidRPr="00260790">
              <w:rPr>
                <w:rFonts w:ascii="Times New Roman" w:eastAsia="Times New Roman" w:hAnsi="Times New Roman"/>
                <w:color w:val="000000" w:themeColor="text1"/>
                <w:sz w:val="21"/>
                <w:szCs w:val="21"/>
              </w:rPr>
              <w:t>SGH07 : provoque des irritations en cas                         d’ingestion ou d’inhalation des vapeurs</w:t>
            </w:r>
          </w:p>
          <w:p w14:paraId="248AD4D5" w14:textId="77777777" w:rsidR="00DB0460" w:rsidRPr="00260790" w:rsidRDefault="00DB0460" w:rsidP="00EA1906">
            <w:pPr>
              <w:spacing w:after="0" w:line="240" w:lineRule="auto"/>
              <w:jc w:val="both"/>
              <w:rPr>
                <w:rFonts w:ascii="Times New Roman" w:eastAsia="Times New Roman" w:hAnsi="Times New Roman"/>
                <w:b/>
                <w:color w:val="000000" w:themeColor="text1"/>
                <w:sz w:val="21"/>
                <w:szCs w:val="21"/>
              </w:rPr>
            </w:pPr>
          </w:p>
          <w:p w14:paraId="7D13AA45" w14:textId="77777777" w:rsidR="00DB0460" w:rsidRPr="00260790" w:rsidRDefault="00DB0460" w:rsidP="00EA1906">
            <w:pPr>
              <w:spacing w:after="0" w:line="240" w:lineRule="auto"/>
              <w:jc w:val="both"/>
              <w:rPr>
                <w:rFonts w:ascii="Times New Roman" w:eastAsia="Times New Roman" w:hAnsi="Times New Roman"/>
                <w:b/>
                <w:color w:val="000000" w:themeColor="text1"/>
                <w:sz w:val="21"/>
                <w:szCs w:val="21"/>
              </w:rPr>
            </w:pPr>
          </w:p>
          <w:p w14:paraId="7678106D" w14:textId="77777777" w:rsidR="00DB0460" w:rsidRPr="00260790" w:rsidRDefault="00DB0460" w:rsidP="00EA1906">
            <w:pPr>
              <w:spacing w:after="0" w:line="240" w:lineRule="auto"/>
              <w:jc w:val="both"/>
              <w:rPr>
                <w:rFonts w:ascii="Times New Roman" w:eastAsia="Times New Roman" w:hAnsi="Times New Roman"/>
                <w:color w:val="000000" w:themeColor="text1"/>
                <w:sz w:val="21"/>
                <w:szCs w:val="21"/>
              </w:rPr>
            </w:pPr>
            <w:r w:rsidRPr="00260790">
              <w:rPr>
                <w:rFonts w:ascii="Times New Roman" w:eastAsia="Times New Roman" w:hAnsi="Times New Roman"/>
                <w:color w:val="000000" w:themeColor="text1"/>
                <w:sz w:val="21"/>
                <w:szCs w:val="21"/>
              </w:rPr>
              <w:t>SGH09 : Dangers pour le milieu aquatique</w:t>
            </w:r>
          </w:p>
          <w:p w14:paraId="771B0D12" w14:textId="77777777" w:rsidR="00DB0460" w:rsidRPr="00260790" w:rsidRDefault="00DB0460" w:rsidP="00EA1906">
            <w:pPr>
              <w:autoSpaceDE w:val="0"/>
              <w:autoSpaceDN w:val="0"/>
              <w:adjustRightInd w:val="0"/>
              <w:spacing w:after="0" w:line="240" w:lineRule="auto"/>
              <w:jc w:val="both"/>
              <w:rPr>
                <w:rFonts w:ascii="Times New Roman" w:eastAsia="Times New Roman" w:hAnsi="Times New Roman"/>
                <w:color w:val="000000" w:themeColor="text1"/>
                <w:sz w:val="21"/>
                <w:szCs w:val="21"/>
              </w:rPr>
            </w:pPr>
          </w:p>
          <w:p w14:paraId="63D165E5" w14:textId="77777777" w:rsidR="00DB0460" w:rsidRPr="00260790" w:rsidRDefault="00DB0460" w:rsidP="00EA1906">
            <w:pPr>
              <w:autoSpaceDE w:val="0"/>
              <w:autoSpaceDN w:val="0"/>
              <w:adjustRightInd w:val="0"/>
              <w:spacing w:after="0" w:line="240" w:lineRule="auto"/>
              <w:jc w:val="both"/>
              <w:rPr>
                <w:rFonts w:ascii="Times New Roman" w:eastAsia="Times New Roman" w:hAnsi="Times New Roman"/>
                <w:color w:val="000000" w:themeColor="text1"/>
                <w:sz w:val="21"/>
                <w:szCs w:val="21"/>
              </w:rPr>
            </w:pPr>
          </w:p>
          <w:p w14:paraId="733EF3DB" w14:textId="77777777" w:rsidR="00DB0460" w:rsidRPr="00260790" w:rsidRDefault="00DB0460" w:rsidP="00EA1906">
            <w:pPr>
              <w:spacing w:after="0" w:line="240" w:lineRule="auto"/>
              <w:jc w:val="both"/>
              <w:rPr>
                <w:rFonts w:ascii="Times New Roman" w:eastAsia="Times New Roman" w:hAnsi="Times New Roman"/>
                <w:color w:val="000000" w:themeColor="text1"/>
                <w:sz w:val="21"/>
                <w:szCs w:val="21"/>
              </w:rPr>
            </w:pPr>
            <w:r w:rsidRPr="00260790">
              <w:rPr>
                <w:rFonts w:ascii="Times New Roman" w:eastAsia="Times New Roman" w:hAnsi="Times New Roman"/>
                <w:color w:val="000000" w:themeColor="text1"/>
                <w:sz w:val="21"/>
                <w:szCs w:val="21"/>
              </w:rPr>
              <w:t>SGH02 : Inflammable</w:t>
            </w:r>
          </w:p>
        </w:tc>
        <w:tc>
          <w:tcPr>
            <w:tcW w:w="2551" w:type="dxa"/>
            <w:tcMar>
              <w:left w:w="57" w:type="dxa"/>
              <w:right w:w="57" w:type="dxa"/>
            </w:tcMar>
            <w:vAlign w:val="center"/>
          </w:tcPr>
          <w:p w14:paraId="511E0774" w14:textId="77777777" w:rsidR="00DB0460" w:rsidRPr="00260790" w:rsidRDefault="00DB0460" w:rsidP="00EA1906">
            <w:pPr>
              <w:autoSpaceDE w:val="0"/>
              <w:autoSpaceDN w:val="0"/>
              <w:adjustRightInd w:val="0"/>
              <w:spacing w:after="0" w:line="240" w:lineRule="auto"/>
              <w:jc w:val="both"/>
              <w:rPr>
                <w:rFonts w:ascii="Times New Roman" w:eastAsia="Times New Roman" w:hAnsi="Times New Roman"/>
                <w:color w:val="000000" w:themeColor="text1"/>
                <w:sz w:val="21"/>
                <w:szCs w:val="21"/>
              </w:rPr>
            </w:pPr>
            <w:r w:rsidRPr="00260790">
              <w:rPr>
                <w:rFonts w:ascii="Times New Roman" w:eastAsia="Times New Roman" w:hAnsi="Times New Roman"/>
                <w:color w:val="000000" w:themeColor="text1"/>
                <w:sz w:val="21"/>
                <w:szCs w:val="21"/>
              </w:rPr>
              <w:t>P260 - Ne pas respirer les /gaz/brouillards/vapeurs/aérosols.</w:t>
            </w:r>
          </w:p>
          <w:p w14:paraId="0810C064" w14:textId="77777777" w:rsidR="00DB0460" w:rsidRPr="00260790" w:rsidRDefault="00DB0460" w:rsidP="00EA1906">
            <w:pPr>
              <w:autoSpaceDE w:val="0"/>
              <w:autoSpaceDN w:val="0"/>
              <w:adjustRightInd w:val="0"/>
              <w:spacing w:after="0" w:line="240" w:lineRule="auto"/>
              <w:jc w:val="both"/>
              <w:rPr>
                <w:rFonts w:ascii="Times New Roman" w:eastAsia="Times New Roman" w:hAnsi="Times New Roman"/>
                <w:color w:val="000000" w:themeColor="text1"/>
                <w:sz w:val="21"/>
                <w:szCs w:val="21"/>
              </w:rPr>
            </w:pPr>
            <w:r w:rsidRPr="00260790">
              <w:rPr>
                <w:rFonts w:ascii="Times New Roman" w:eastAsia="Times New Roman" w:hAnsi="Times New Roman"/>
                <w:color w:val="000000" w:themeColor="text1"/>
                <w:sz w:val="21"/>
                <w:szCs w:val="21"/>
              </w:rPr>
              <w:t>P264 - Se laver … soigneusement après manipulation.</w:t>
            </w:r>
          </w:p>
          <w:p w14:paraId="05B1683D" w14:textId="77777777" w:rsidR="00DB0460" w:rsidRPr="00260790" w:rsidRDefault="00DB0460" w:rsidP="00EA1906">
            <w:pPr>
              <w:autoSpaceDE w:val="0"/>
              <w:autoSpaceDN w:val="0"/>
              <w:adjustRightInd w:val="0"/>
              <w:spacing w:after="0" w:line="240" w:lineRule="auto"/>
              <w:jc w:val="both"/>
              <w:rPr>
                <w:rFonts w:ascii="Times New Roman" w:eastAsia="Times New Roman" w:hAnsi="Times New Roman"/>
                <w:color w:val="000000" w:themeColor="text1"/>
                <w:sz w:val="21"/>
                <w:szCs w:val="21"/>
              </w:rPr>
            </w:pPr>
            <w:r w:rsidRPr="00260790">
              <w:rPr>
                <w:rFonts w:ascii="Times New Roman" w:eastAsia="Times New Roman" w:hAnsi="Times New Roman"/>
                <w:color w:val="000000" w:themeColor="text1"/>
                <w:sz w:val="21"/>
                <w:szCs w:val="21"/>
              </w:rPr>
              <w:t>P280 - Porter des gants de protection/des vêtements de protection/un équipement</w:t>
            </w:r>
          </w:p>
          <w:p w14:paraId="01F8B093" w14:textId="77777777" w:rsidR="00DB0460" w:rsidRPr="00260790" w:rsidRDefault="00DB0460" w:rsidP="00EA1906">
            <w:pPr>
              <w:spacing w:after="0" w:line="240" w:lineRule="auto"/>
              <w:jc w:val="both"/>
              <w:rPr>
                <w:rFonts w:ascii="Times New Roman" w:eastAsia="Times New Roman" w:hAnsi="Times New Roman"/>
                <w:color w:val="000000" w:themeColor="text1"/>
                <w:sz w:val="21"/>
                <w:szCs w:val="21"/>
              </w:rPr>
            </w:pPr>
            <w:proofErr w:type="gramStart"/>
            <w:r w:rsidRPr="00260790">
              <w:rPr>
                <w:rFonts w:ascii="Times New Roman" w:eastAsia="Times New Roman" w:hAnsi="Times New Roman"/>
                <w:color w:val="000000" w:themeColor="text1"/>
                <w:sz w:val="21"/>
                <w:szCs w:val="21"/>
              </w:rPr>
              <w:t>de</w:t>
            </w:r>
            <w:proofErr w:type="gramEnd"/>
            <w:r w:rsidRPr="00260790">
              <w:rPr>
                <w:rFonts w:ascii="Times New Roman" w:eastAsia="Times New Roman" w:hAnsi="Times New Roman"/>
                <w:color w:val="000000" w:themeColor="text1"/>
                <w:sz w:val="21"/>
                <w:szCs w:val="21"/>
              </w:rPr>
              <w:t xml:space="preserve"> protection des yeux/du visage.</w:t>
            </w:r>
          </w:p>
        </w:tc>
        <w:tc>
          <w:tcPr>
            <w:tcW w:w="1701" w:type="dxa"/>
            <w:tcMar>
              <w:left w:w="57" w:type="dxa"/>
              <w:right w:w="57" w:type="dxa"/>
            </w:tcMar>
            <w:vAlign w:val="center"/>
          </w:tcPr>
          <w:p w14:paraId="3C9AA4A9" w14:textId="77777777" w:rsidR="00DB0460" w:rsidRPr="00260790" w:rsidRDefault="00DB0460" w:rsidP="00EA1906">
            <w:pPr>
              <w:spacing w:after="0" w:line="240" w:lineRule="auto"/>
              <w:jc w:val="both"/>
              <w:rPr>
                <w:rFonts w:ascii="Times New Roman" w:eastAsia="Times New Roman" w:hAnsi="Times New Roman"/>
                <w:color w:val="000000" w:themeColor="text1"/>
                <w:sz w:val="21"/>
                <w:szCs w:val="21"/>
              </w:rPr>
            </w:pPr>
            <w:r w:rsidRPr="00260790">
              <w:rPr>
                <w:rFonts w:ascii="Times New Roman" w:eastAsia="Times New Roman" w:hAnsi="Times New Roman"/>
                <w:color w:val="000000" w:themeColor="text1"/>
                <w:sz w:val="21"/>
                <w:szCs w:val="21"/>
              </w:rPr>
              <w:t>Irritant</w:t>
            </w:r>
          </w:p>
          <w:p w14:paraId="13ABB626" w14:textId="77777777" w:rsidR="00DB0460" w:rsidRPr="00260790" w:rsidRDefault="00DB0460" w:rsidP="00EA1906">
            <w:pPr>
              <w:spacing w:after="0" w:line="240" w:lineRule="auto"/>
              <w:jc w:val="both"/>
              <w:rPr>
                <w:rFonts w:ascii="Times New Roman" w:eastAsia="Times New Roman" w:hAnsi="Times New Roman"/>
                <w:color w:val="000000" w:themeColor="text1"/>
                <w:sz w:val="21"/>
                <w:szCs w:val="21"/>
              </w:rPr>
            </w:pPr>
            <w:r w:rsidRPr="00260790">
              <w:rPr>
                <w:rFonts w:ascii="Times New Roman" w:eastAsia="Times New Roman" w:hAnsi="Times New Roman"/>
                <w:noProof/>
                <w:color w:val="000000" w:themeColor="text1"/>
                <w:sz w:val="21"/>
                <w:szCs w:val="21"/>
                <w:lang w:val="en-US"/>
              </w:rPr>
              <w:drawing>
                <wp:inline distT="0" distB="0" distL="0" distR="0" wp14:anchorId="0154FE70" wp14:editId="45B2964A">
                  <wp:extent cx="831850" cy="914400"/>
                  <wp:effectExtent l="0" t="0" r="6350" b="0"/>
                  <wp:docPr id="370159105" name="Image 370159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32">
                            <a:extLst>
                              <a:ext uri="{28A0092B-C50C-407E-A947-70E740481C1C}">
                                <a14:useLocalDpi xmlns:a14="http://schemas.microsoft.com/office/drawing/2010/main"/>
                              </a:ext>
                            </a:extLst>
                          </a:blip>
                          <a:srcRect/>
                          <a:stretch>
                            <a:fillRect/>
                          </a:stretch>
                        </pic:blipFill>
                        <pic:spPr bwMode="auto">
                          <a:xfrm>
                            <a:off x="0" y="0"/>
                            <a:ext cx="831850" cy="914400"/>
                          </a:xfrm>
                          <a:prstGeom prst="rect">
                            <a:avLst/>
                          </a:prstGeom>
                          <a:noFill/>
                          <a:ln>
                            <a:noFill/>
                          </a:ln>
                        </pic:spPr>
                      </pic:pic>
                    </a:graphicData>
                  </a:graphic>
                </wp:inline>
              </w:drawing>
            </w:r>
          </w:p>
          <w:p w14:paraId="3D77969D" w14:textId="77777777" w:rsidR="00DB0460" w:rsidRPr="00260790" w:rsidRDefault="00DB0460" w:rsidP="00EA1906">
            <w:pPr>
              <w:spacing w:after="0" w:line="240" w:lineRule="auto"/>
              <w:jc w:val="both"/>
              <w:rPr>
                <w:rFonts w:ascii="Times New Roman" w:eastAsia="Times New Roman" w:hAnsi="Times New Roman"/>
                <w:color w:val="000000" w:themeColor="text1"/>
                <w:sz w:val="21"/>
                <w:szCs w:val="21"/>
              </w:rPr>
            </w:pPr>
            <w:r w:rsidRPr="00260790">
              <w:rPr>
                <w:rFonts w:ascii="Times New Roman" w:eastAsia="Times New Roman" w:hAnsi="Times New Roman"/>
                <w:color w:val="000000" w:themeColor="text1"/>
                <w:sz w:val="21"/>
                <w:szCs w:val="21"/>
              </w:rPr>
              <w:t>Dangereux pour l’environnement</w:t>
            </w:r>
          </w:p>
          <w:p w14:paraId="2FD9D177" w14:textId="77777777" w:rsidR="00DB0460" w:rsidRPr="00260790" w:rsidRDefault="00DB0460" w:rsidP="00EA1906">
            <w:pPr>
              <w:spacing w:after="0" w:line="240" w:lineRule="auto"/>
              <w:jc w:val="both"/>
              <w:rPr>
                <w:rFonts w:ascii="Times New Roman" w:eastAsia="Times New Roman" w:hAnsi="Times New Roman"/>
                <w:color w:val="000000" w:themeColor="text1"/>
                <w:sz w:val="21"/>
                <w:szCs w:val="21"/>
              </w:rPr>
            </w:pPr>
            <w:r w:rsidRPr="00260790">
              <w:rPr>
                <w:rFonts w:ascii="Times New Roman" w:eastAsia="Times New Roman" w:hAnsi="Times New Roman"/>
                <w:noProof/>
                <w:color w:val="000000" w:themeColor="text1"/>
                <w:sz w:val="21"/>
                <w:szCs w:val="21"/>
                <w:lang w:val="en-US"/>
              </w:rPr>
              <w:drawing>
                <wp:inline distT="0" distB="0" distL="0" distR="0" wp14:anchorId="20A98B7F" wp14:editId="1188BC75">
                  <wp:extent cx="996950" cy="91440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33">
                            <a:extLst>
                              <a:ext uri="{28A0092B-C50C-407E-A947-70E740481C1C}">
                                <a14:useLocalDpi xmlns:a14="http://schemas.microsoft.com/office/drawing/2010/main"/>
                              </a:ext>
                            </a:extLst>
                          </a:blip>
                          <a:srcRect/>
                          <a:stretch>
                            <a:fillRect/>
                          </a:stretch>
                        </pic:blipFill>
                        <pic:spPr bwMode="auto">
                          <a:xfrm>
                            <a:off x="0" y="0"/>
                            <a:ext cx="996950" cy="914400"/>
                          </a:xfrm>
                          <a:prstGeom prst="rect">
                            <a:avLst/>
                          </a:prstGeom>
                          <a:noFill/>
                          <a:ln>
                            <a:noFill/>
                          </a:ln>
                        </pic:spPr>
                      </pic:pic>
                    </a:graphicData>
                  </a:graphic>
                </wp:inline>
              </w:drawing>
            </w:r>
          </w:p>
          <w:p w14:paraId="52458032" w14:textId="77777777" w:rsidR="00DB0460" w:rsidRPr="00260790" w:rsidRDefault="00DB0460" w:rsidP="00EA1906">
            <w:pPr>
              <w:spacing w:after="0" w:line="240" w:lineRule="auto"/>
              <w:jc w:val="both"/>
              <w:rPr>
                <w:rFonts w:ascii="Times New Roman" w:eastAsia="Times New Roman" w:hAnsi="Times New Roman"/>
                <w:color w:val="000000" w:themeColor="text1"/>
                <w:sz w:val="21"/>
                <w:szCs w:val="21"/>
              </w:rPr>
            </w:pPr>
          </w:p>
          <w:p w14:paraId="4F53E052" w14:textId="77777777" w:rsidR="00DB0460" w:rsidRPr="00260790" w:rsidRDefault="00DB0460" w:rsidP="00EA1906">
            <w:pPr>
              <w:spacing w:after="0" w:line="240" w:lineRule="auto"/>
              <w:jc w:val="both"/>
              <w:rPr>
                <w:rFonts w:ascii="Times New Roman" w:eastAsia="Times New Roman" w:hAnsi="Times New Roman"/>
                <w:color w:val="000000" w:themeColor="text1"/>
                <w:sz w:val="21"/>
                <w:szCs w:val="21"/>
              </w:rPr>
            </w:pPr>
          </w:p>
          <w:p w14:paraId="5FD181AE" w14:textId="77777777" w:rsidR="00DB0460" w:rsidRPr="00260790" w:rsidRDefault="00DB0460" w:rsidP="00EA1906">
            <w:pPr>
              <w:spacing w:after="0" w:line="240" w:lineRule="auto"/>
              <w:jc w:val="both"/>
              <w:rPr>
                <w:rFonts w:ascii="Times New Roman" w:eastAsia="Times New Roman" w:hAnsi="Times New Roman"/>
                <w:color w:val="000000" w:themeColor="text1"/>
                <w:sz w:val="21"/>
                <w:szCs w:val="21"/>
              </w:rPr>
            </w:pPr>
            <w:r w:rsidRPr="00260790">
              <w:rPr>
                <w:rFonts w:ascii="Times New Roman" w:eastAsia="Times New Roman" w:hAnsi="Times New Roman"/>
                <w:color w:val="000000" w:themeColor="text1"/>
                <w:sz w:val="21"/>
                <w:szCs w:val="21"/>
              </w:rPr>
              <w:t>Inflammable</w:t>
            </w:r>
          </w:p>
          <w:p w14:paraId="0368CC87" w14:textId="77777777" w:rsidR="00DB0460" w:rsidRPr="00260790" w:rsidRDefault="00DB0460" w:rsidP="00EA1906">
            <w:pPr>
              <w:spacing w:after="0" w:line="240" w:lineRule="auto"/>
              <w:jc w:val="both"/>
              <w:rPr>
                <w:rFonts w:ascii="Times New Roman" w:eastAsia="Times New Roman" w:hAnsi="Times New Roman"/>
                <w:color w:val="000000" w:themeColor="text1"/>
                <w:sz w:val="21"/>
                <w:szCs w:val="21"/>
              </w:rPr>
            </w:pPr>
            <w:r w:rsidRPr="00260790">
              <w:rPr>
                <w:rFonts w:ascii="Times New Roman" w:eastAsia="Times New Roman" w:hAnsi="Times New Roman"/>
                <w:noProof/>
                <w:color w:val="000000" w:themeColor="text1"/>
                <w:sz w:val="21"/>
                <w:szCs w:val="21"/>
                <w:lang w:val="en-US"/>
              </w:rPr>
              <w:drawing>
                <wp:inline distT="0" distB="0" distL="0" distR="0" wp14:anchorId="33484255" wp14:editId="0080483F">
                  <wp:extent cx="914400" cy="831850"/>
                  <wp:effectExtent l="0" t="0" r="0" b="635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34" cstate="email">
                            <a:extLst>
                              <a:ext uri="{28A0092B-C50C-407E-A947-70E740481C1C}">
                                <a14:useLocalDpi xmlns:a14="http://schemas.microsoft.com/office/drawing/2010/main"/>
                              </a:ext>
                            </a:extLst>
                          </a:blip>
                          <a:srcRect/>
                          <a:stretch>
                            <a:fillRect/>
                          </a:stretch>
                        </pic:blipFill>
                        <pic:spPr bwMode="auto">
                          <a:xfrm>
                            <a:off x="0" y="0"/>
                            <a:ext cx="914400" cy="831850"/>
                          </a:xfrm>
                          <a:prstGeom prst="rect">
                            <a:avLst/>
                          </a:prstGeom>
                          <a:noFill/>
                          <a:ln>
                            <a:noFill/>
                          </a:ln>
                        </pic:spPr>
                      </pic:pic>
                    </a:graphicData>
                  </a:graphic>
                </wp:inline>
              </w:drawing>
            </w:r>
          </w:p>
          <w:p w14:paraId="667B0220" w14:textId="77777777" w:rsidR="00DB0460" w:rsidRPr="00260790" w:rsidRDefault="00DB0460" w:rsidP="00EA1906">
            <w:pPr>
              <w:spacing w:after="0" w:line="240" w:lineRule="auto"/>
              <w:jc w:val="both"/>
              <w:rPr>
                <w:rFonts w:ascii="Times New Roman" w:eastAsia="Times New Roman" w:hAnsi="Times New Roman"/>
                <w:color w:val="000000" w:themeColor="text1"/>
                <w:sz w:val="21"/>
                <w:szCs w:val="21"/>
              </w:rPr>
            </w:pPr>
          </w:p>
        </w:tc>
        <w:tc>
          <w:tcPr>
            <w:tcW w:w="2268" w:type="dxa"/>
            <w:tcMar>
              <w:left w:w="57" w:type="dxa"/>
              <w:right w:w="57" w:type="dxa"/>
            </w:tcMar>
            <w:vAlign w:val="center"/>
          </w:tcPr>
          <w:p w14:paraId="180D707A" w14:textId="17172B70" w:rsidR="00DB0460" w:rsidRPr="00260790" w:rsidRDefault="00DB0460" w:rsidP="00EA1906">
            <w:pPr>
              <w:spacing w:after="0" w:line="240" w:lineRule="auto"/>
              <w:jc w:val="both"/>
              <w:rPr>
                <w:rFonts w:ascii="Times New Roman" w:eastAsia="Times New Roman" w:hAnsi="Times New Roman"/>
                <w:color w:val="000000" w:themeColor="text1"/>
                <w:sz w:val="21"/>
                <w:szCs w:val="21"/>
              </w:rPr>
            </w:pPr>
            <w:r w:rsidRPr="00260790">
              <w:rPr>
                <w:rFonts w:ascii="Times New Roman" w:eastAsia="Times New Roman" w:hAnsi="Times New Roman"/>
                <w:color w:val="000000" w:themeColor="text1"/>
                <w:sz w:val="21"/>
                <w:szCs w:val="21"/>
              </w:rPr>
              <w:t>Le gazole est un produit inflammable de 2e catégorie (ou catégorie C selon le terme utilisé dans la nomenclature des ICPE). C’est un produit peu volatil, ce qui lui confère un faible risque d’inflammation dans les conditions normales de stockage.</w:t>
            </w:r>
          </w:p>
        </w:tc>
        <w:tc>
          <w:tcPr>
            <w:tcW w:w="2920" w:type="dxa"/>
            <w:tcMar>
              <w:left w:w="57" w:type="dxa"/>
              <w:right w:w="57" w:type="dxa"/>
            </w:tcMar>
            <w:vAlign w:val="center"/>
          </w:tcPr>
          <w:p w14:paraId="56A0AC8B" w14:textId="77777777" w:rsidR="00DB0460" w:rsidRPr="00260790" w:rsidRDefault="00DB0460" w:rsidP="00EA1906">
            <w:pPr>
              <w:spacing w:after="0" w:line="240" w:lineRule="auto"/>
              <w:jc w:val="both"/>
              <w:rPr>
                <w:rFonts w:ascii="Times New Roman" w:eastAsia="Times New Roman" w:hAnsi="Times New Roman"/>
                <w:color w:val="000000" w:themeColor="text1"/>
                <w:sz w:val="21"/>
                <w:szCs w:val="21"/>
              </w:rPr>
            </w:pPr>
            <w:r w:rsidRPr="00260790">
              <w:rPr>
                <w:rFonts w:ascii="Times New Roman" w:eastAsia="Times New Roman" w:hAnsi="Times New Roman"/>
                <w:color w:val="000000" w:themeColor="text1"/>
                <w:sz w:val="21"/>
                <w:szCs w:val="21"/>
              </w:rPr>
              <w:t>De fortes concentrations de vapeurs ou d’aérosols peuvent être irritantes pour les voies respiratoires et les muqueuses.</w:t>
            </w:r>
          </w:p>
          <w:p w14:paraId="6D08417C" w14:textId="77777777" w:rsidR="00DB0460" w:rsidRPr="00260790" w:rsidRDefault="00DB0460" w:rsidP="00EA1906">
            <w:pPr>
              <w:spacing w:after="0" w:line="240" w:lineRule="auto"/>
              <w:jc w:val="both"/>
              <w:rPr>
                <w:rFonts w:ascii="Times New Roman" w:eastAsia="Times New Roman" w:hAnsi="Times New Roman"/>
                <w:color w:val="000000" w:themeColor="text1"/>
                <w:sz w:val="21"/>
                <w:szCs w:val="21"/>
              </w:rPr>
            </w:pPr>
            <w:r w:rsidRPr="00260790">
              <w:rPr>
                <w:rFonts w:ascii="Times New Roman" w:eastAsia="Times New Roman" w:hAnsi="Times New Roman"/>
                <w:color w:val="000000" w:themeColor="text1"/>
                <w:sz w:val="21"/>
                <w:szCs w:val="21"/>
              </w:rPr>
              <w:t>Le contact du gazole avec les yeux provoque des sensations de brûlure et des rougeurs temporaires. En cas d’ingestion accidentelle, le produit peut être aspiré dans les poumons en raison de sa faible viscosité et donner naissance à une pneumopathie d’inhalation se développant dans les heures qui suivent (surveillance médicale indispensable pendant 48 h).</w:t>
            </w:r>
          </w:p>
          <w:p w14:paraId="70C52EF3" w14:textId="77777777" w:rsidR="00DB0460" w:rsidRPr="00260790" w:rsidRDefault="00DB0460" w:rsidP="00EA1906">
            <w:pPr>
              <w:spacing w:after="0" w:line="240" w:lineRule="auto"/>
              <w:jc w:val="both"/>
              <w:rPr>
                <w:rFonts w:ascii="Times New Roman" w:eastAsia="Times New Roman" w:hAnsi="Times New Roman"/>
                <w:color w:val="000000" w:themeColor="text1"/>
                <w:sz w:val="21"/>
                <w:szCs w:val="21"/>
              </w:rPr>
            </w:pPr>
            <w:r w:rsidRPr="00260790">
              <w:rPr>
                <w:rFonts w:ascii="Times New Roman" w:eastAsia="Times New Roman" w:hAnsi="Times New Roman"/>
                <w:color w:val="000000" w:themeColor="text1"/>
                <w:sz w:val="21"/>
                <w:szCs w:val="21"/>
              </w:rPr>
              <w:t>Un effet cancérigène a été suspecté, mais les preuves demeurent insuffisantes.</w:t>
            </w:r>
          </w:p>
          <w:p w14:paraId="57A718B0" w14:textId="77777777" w:rsidR="00DB0460" w:rsidRPr="00260790" w:rsidRDefault="00DB0460" w:rsidP="00EA1906">
            <w:pPr>
              <w:spacing w:after="0" w:line="240" w:lineRule="auto"/>
              <w:jc w:val="both"/>
              <w:rPr>
                <w:rFonts w:ascii="Times New Roman" w:eastAsia="Times New Roman" w:hAnsi="Times New Roman"/>
                <w:color w:val="000000" w:themeColor="text1"/>
                <w:sz w:val="21"/>
                <w:szCs w:val="21"/>
              </w:rPr>
            </w:pPr>
            <w:r w:rsidRPr="00260790">
              <w:rPr>
                <w:rFonts w:ascii="Times New Roman" w:eastAsia="Times New Roman" w:hAnsi="Times New Roman"/>
                <w:color w:val="000000" w:themeColor="text1"/>
                <w:sz w:val="21"/>
                <w:szCs w:val="21"/>
              </w:rPr>
              <w:t>Le produit est intrinsèquement biodégradable. Il est toxique pour les organismes aquatiques et peut entraîner des effets néfastes à long terme pour l’environnement aquatique.</w:t>
            </w:r>
          </w:p>
        </w:tc>
        <w:tc>
          <w:tcPr>
            <w:tcW w:w="3034" w:type="dxa"/>
            <w:tcMar>
              <w:left w:w="57" w:type="dxa"/>
              <w:right w:w="57" w:type="dxa"/>
            </w:tcMar>
            <w:vAlign w:val="center"/>
          </w:tcPr>
          <w:p w14:paraId="406AEDE1" w14:textId="77777777" w:rsidR="00DB0460" w:rsidRPr="00260790" w:rsidRDefault="00DB0460" w:rsidP="00EA1906">
            <w:pPr>
              <w:spacing w:after="0" w:line="240" w:lineRule="auto"/>
              <w:jc w:val="both"/>
              <w:rPr>
                <w:rFonts w:ascii="Times New Roman" w:eastAsia="Times New Roman" w:hAnsi="Times New Roman"/>
                <w:color w:val="000000" w:themeColor="text1"/>
                <w:sz w:val="21"/>
                <w:szCs w:val="21"/>
              </w:rPr>
            </w:pPr>
            <w:r w:rsidRPr="00260790">
              <w:rPr>
                <w:rFonts w:ascii="Times New Roman" w:eastAsia="Times New Roman" w:hAnsi="Times New Roman"/>
                <w:color w:val="000000" w:themeColor="text1"/>
                <w:sz w:val="21"/>
                <w:szCs w:val="21"/>
              </w:rPr>
              <w:t>-Manipuler le produit dans des endroits aérés ;</w:t>
            </w:r>
          </w:p>
          <w:p w14:paraId="6134B7B0" w14:textId="77777777" w:rsidR="00DB0460" w:rsidRPr="00260790" w:rsidRDefault="00DB0460" w:rsidP="00EA1906">
            <w:pPr>
              <w:spacing w:after="0" w:line="240" w:lineRule="auto"/>
              <w:jc w:val="both"/>
              <w:rPr>
                <w:rFonts w:ascii="Times New Roman" w:eastAsia="Times New Roman" w:hAnsi="Times New Roman"/>
                <w:color w:val="000000" w:themeColor="text1"/>
                <w:sz w:val="21"/>
                <w:szCs w:val="21"/>
              </w:rPr>
            </w:pPr>
            <w:r w:rsidRPr="00260790">
              <w:rPr>
                <w:rFonts w:ascii="Times New Roman" w:eastAsia="Times New Roman" w:hAnsi="Times New Roman"/>
                <w:color w:val="000000" w:themeColor="text1"/>
                <w:sz w:val="21"/>
                <w:szCs w:val="21"/>
              </w:rPr>
              <w:t>-Porter des EPI adaptés (gants, masques anti-gaz, Vêtements de protection ;</w:t>
            </w:r>
          </w:p>
          <w:p w14:paraId="3E77CACE" w14:textId="6EEA1983" w:rsidR="00DB0460" w:rsidRPr="00260790" w:rsidRDefault="00DB0460" w:rsidP="00EA1906">
            <w:pPr>
              <w:spacing w:after="0" w:line="240" w:lineRule="auto"/>
              <w:jc w:val="both"/>
              <w:rPr>
                <w:rFonts w:ascii="Times New Roman" w:eastAsia="Times New Roman" w:hAnsi="Times New Roman"/>
                <w:color w:val="000000" w:themeColor="text1"/>
                <w:sz w:val="21"/>
                <w:szCs w:val="21"/>
              </w:rPr>
            </w:pPr>
            <w:r w:rsidRPr="00260790">
              <w:rPr>
                <w:rFonts w:ascii="Times New Roman" w:eastAsia="Times New Roman" w:hAnsi="Times New Roman"/>
                <w:color w:val="000000" w:themeColor="text1"/>
                <w:sz w:val="21"/>
                <w:szCs w:val="21"/>
              </w:rPr>
              <w:t xml:space="preserve"> -</w:t>
            </w:r>
            <w:r w:rsidR="00E221B6" w:rsidRPr="00260790">
              <w:rPr>
                <w:rFonts w:ascii="Times New Roman" w:eastAsia="Times New Roman" w:hAnsi="Times New Roman"/>
                <w:color w:val="000000" w:themeColor="text1"/>
                <w:sz w:val="21"/>
                <w:szCs w:val="21"/>
              </w:rPr>
              <w:t xml:space="preserve">Éviter </w:t>
            </w:r>
            <w:r w:rsidRPr="00260790">
              <w:rPr>
                <w:rFonts w:ascii="Times New Roman" w:eastAsia="Times New Roman" w:hAnsi="Times New Roman"/>
                <w:color w:val="000000" w:themeColor="text1"/>
                <w:sz w:val="21"/>
                <w:szCs w:val="21"/>
              </w:rPr>
              <w:t>de déverser dans les égouts et l’environnement.</w:t>
            </w:r>
          </w:p>
          <w:p w14:paraId="14AC21F2" w14:textId="77777777" w:rsidR="00DB0460" w:rsidRPr="00260790" w:rsidRDefault="00DB0460" w:rsidP="00EA1906">
            <w:pPr>
              <w:spacing w:after="0" w:line="240" w:lineRule="auto"/>
              <w:jc w:val="both"/>
              <w:rPr>
                <w:rFonts w:ascii="Times New Roman" w:eastAsia="Times New Roman" w:hAnsi="Times New Roman"/>
                <w:color w:val="000000" w:themeColor="text1"/>
                <w:sz w:val="21"/>
                <w:szCs w:val="21"/>
              </w:rPr>
            </w:pPr>
          </w:p>
        </w:tc>
      </w:tr>
      <w:tr w:rsidR="00EA1906" w:rsidRPr="00260790" w14:paraId="107D6B29" w14:textId="77777777" w:rsidTr="00EA1906">
        <w:trPr>
          <w:trHeight w:val="133"/>
        </w:trPr>
        <w:tc>
          <w:tcPr>
            <w:tcW w:w="1413" w:type="dxa"/>
            <w:tcMar>
              <w:left w:w="57" w:type="dxa"/>
              <w:right w:w="57" w:type="dxa"/>
            </w:tcMar>
            <w:vAlign w:val="center"/>
          </w:tcPr>
          <w:p w14:paraId="3168571A" w14:textId="77777777" w:rsidR="00DB0460" w:rsidRPr="00260790" w:rsidRDefault="00DB0460" w:rsidP="00EA1906">
            <w:pPr>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Huiles de lubrification</w:t>
            </w:r>
          </w:p>
        </w:tc>
        <w:tc>
          <w:tcPr>
            <w:tcW w:w="1276" w:type="dxa"/>
            <w:tcMar>
              <w:left w:w="57" w:type="dxa"/>
              <w:right w:w="57" w:type="dxa"/>
            </w:tcMar>
            <w:vAlign w:val="center"/>
          </w:tcPr>
          <w:p w14:paraId="0AE24CA7" w14:textId="77777777" w:rsidR="00DB0460" w:rsidRPr="00260790" w:rsidRDefault="00DB0460" w:rsidP="00EA1906">
            <w:pPr>
              <w:spacing w:after="0" w:line="240" w:lineRule="auto"/>
              <w:jc w:val="both"/>
              <w:rPr>
                <w:rFonts w:ascii="Times New Roman" w:hAnsi="Times New Roman"/>
                <w:b/>
                <w:color w:val="000000" w:themeColor="text1"/>
                <w:sz w:val="21"/>
                <w:szCs w:val="21"/>
              </w:rPr>
            </w:pPr>
            <w:r w:rsidRPr="00260790">
              <w:rPr>
                <w:rFonts w:ascii="Times New Roman" w:hAnsi="Times New Roman"/>
                <w:b/>
                <w:color w:val="000000" w:themeColor="text1"/>
                <w:sz w:val="21"/>
                <w:szCs w:val="21"/>
              </w:rPr>
              <w:t>52/53 :</w:t>
            </w:r>
            <w:r w:rsidRPr="00260790">
              <w:rPr>
                <w:rFonts w:ascii="Times New Roman" w:hAnsi="Times New Roman"/>
                <w:color w:val="000000" w:themeColor="text1"/>
                <w:sz w:val="21"/>
                <w:szCs w:val="21"/>
              </w:rPr>
              <w:t xml:space="preserve"> Nocif pour les organismes aquatiques, peut entraîner des effets </w:t>
            </w:r>
            <w:r w:rsidRPr="00260790">
              <w:rPr>
                <w:rFonts w:ascii="Times New Roman" w:hAnsi="Times New Roman"/>
                <w:color w:val="000000" w:themeColor="text1"/>
                <w:sz w:val="21"/>
                <w:szCs w:val="21"/>
              </w:rPr>
              <w:lastRenderedPageBreak/>
              <w:t>néfastes à long terme pour l'environnement aquatique</w:t>
            </w:r>
          </w:p>
        </w:tc>
        <w:tc>
          <w:tcPr>
            <w:tcW w:w="2551" w:type="dxa"/>
            <w:tcMar>
              <w:left w:w="57" w:type="dxa"/>
              <w:right w:w="57" w:type="dxa"/>
            </w:tcMar>
            <w:vAlign w:val="center"/>
          </w:tcPr>
          <w:p w14:paraId="26A34BBB" w14:textId="77777777" w:rsidR="00DB0460" w:rsidRPr="00260790" w:rsidRDefault="00DB0460" w:rsidP="00EA1906">
            <w:pPr>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lastRenderedPageBreak/>
              <w:t>Aucune</w:t>
            </w:r>
          </w:p>
        </w:tc>
        <w:tc>
          <w:tcPr>
            <w:tcW w:w="1701" w:type="dxa"/>
            <w:tcMar>
              <w:left w:w="57" w:type="dxa"/>
              <w:right w:w="57" w:type="dxa"/>
            </w:tcMar>
            <w:vAlign w:val="center"/>
          </w:tcPr>
          <w:p w14:paraId="619D0D16" w14:textId="77777777" w:rsidR="00DB0460" w:rsidRPr="00260790" w:rsidRDefault="00DB0460" w:rsidP="00EA1906">
            <w:pPr>
              <w:spacing w:after="0" w:line="240" w:lineRule="auto"/>
              <w:jc w:val="both"/>
              <w:rPr>
                <w:rFonts w:ascii="Times New Roman" w:hAnsi="Times New Roman"/>
                <w:color w:val="000000" w:themeColor="text1"/>
                <w:sz w:val="21"/>
                <w:szCs w:val="21"/>
              </w:rPr>
            </w:pPr>
            <w:r w:rsidRPr="00260790">
              <w:rPr>
                <w:rFonts w:ascii="Times New Roman" w:hAnsi="Times New Roman"/>
                <w:noProof/>
                <w:color w:val="000000" w:themeColor="text1"/>
                <w:sz w:val="21"/>
                <w:szCs w:val="21"/>
                <w:lang w:val="en-US"/>
              </w:rPr>
              <w:drawing>
                <wp:inline distT="0" distB="0" distL="0" distR="0" wp14:anchorId="15CE16E4" wp14:editId="2B9C1EC2">
                  <wp:extent cx="742950" cy="742950"/>
                  <wp:effectExtent l="0" t="0" r="0" b="0"/>
                  <wp:docPr id="7" name="Image 7" descr="http://www.inrs.fr/inrs-pub/inrs01.nsf/IntranetObject-accesParReference/Dossier%20SGH%202009/$FILE/polluten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http://www.inrs.fr/inrs-pub/inrs01.nsf/IntranetObject-accesParReference/Dossier%20SGH%202009/$FILE/polluten170.jpg"/>
                          <pic:cNvPicPr>
                            <a:picLocks noChangeAspect="1" noChangeArrowheads="1"/>
                          </pic:cNvPicPr>
                        </pic:nvPicPr>
                        <pic:blipFill>
                          <a:blip r:embed="rId135" cstate="email">
                            <a:extLst>
                              <a:ext uri="{28A0092B-C50C-407E-A947-70E740481C1C}">
                                <a14:useLocalDpi xmlns:a14="http://schemas.microsoft.com/office/drawing/2010/main"/>
                              </a:ext>
                            </a:extLst>
                          </a:blip>
                          <a:srcRect/>
                          <a:stretch>
                            <a:fillRect/>
                          </a:stretch>
                        </pic:blipFill>
                        <pic:spPr bwMode="auto">
                          <a:xfrm>
                            <a:off x="0" y="0"/>
                            <a:ext cx="742950" cy="742950"/>
                          </a:xfrm>
                          <a:prstGeom prst="rect">
                            <a:avLst/>
                          </a:prstGeom>
                          <a:noFill/>
                          <a:ln>
                            <a:noFill/>
                          </a:ln>
                        </pic:spPr>
                      </pic:pic>
                    </a:graphicData>
                  </a:graphic>
                </wp:inline>
              </w:drawing>
            </w:r>
          </w:p>
          <w:p w14:paraId="610C021F" w14:textId="77777777" w:rsidR="00DB0460" w:rsidRPr="00260790" w:rsidRDefault="00DB0460" w:rsidP="00EA1906">
            <w:pPr>
              <w:spacing w:after="0" w:line="240" w:lineRule="auto"/>
              <w:jc w:val="both"/>
              <w:rPr>
                <w:rFonts w:ascii="Times New Roman" w:hAnsi="Times New Roman"/>
                <w:color w:val="000000" w:themeColor="text1"/>
                <w:sz w:val="21"/>
                <w:szCs w:val="21"/>
              </w:rPr>
            </w:pPr>
            <w:r w:rsidRPr="00260790">
              <w:rPr>
                <w:rFonts w:ascii="Times New Roman" w:hAnsi="Times New Roman"/>
                <w:b/>
                <w:color w:val="000000" w:themeColor="text1"/>
                <w:sz w:val="21"/>
                <w:szCs w:val="21"/>
              </w:rPr>
              <w:lastRenderedPageBreak/>
              <w:t>Dangereux pour l’environnement</w:t>
            </w:r>
          </w:p>
        </w:tc>
        <w:tc>
          <w:tcPr>
            <w:tcW w:w="2268" w:type="dxa"/>
            <w:tcMar>
              <w:left w:w="57" w:type="dxa"/>
              <w:right w:w="57" w:type="dxa"/>
            </w:tcMar>
            <w:vAlign w:val="center"/>
          </w:tcPr>
          <w:p w14:paraId="24BA4624" w14:textId="77777777" w:rsidR="00DB0460" w:rsidRPr="00260790" w:rsidRDefault="00DB0460" w:rsidP="00EA1906">
            <w:pPr>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lastRenderedPageBreak/>
              <w:t>Faible inflammabilité</w:t>
            </w:r>
          </w:p>
        </w:tc>
        <w:tc>
          <w:tcPr>
            <w:tcW w:w="2920" w:type="dxa"/>
            <w:tcMar>
              <w:left w:w="57" w:type="dxa"/>
              <w:right w:w="57" w:type="dxa"/>
            </w:tcMar>
            <w:vAlign w:val="center"/>
          </w:tcPr>
          <w:p w14:paraId="38758D44" w14:textId="1C76C060" w:rsidR="00DB0460" w:rsidRPr="00260790" w:rsidRDefault="00874DDA" w:rsidP="00EA19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Classé</w:t>
            </w:r>
            <w:r w:rsidR="00DB0460" w:rsidRPr="00260790">
              <w:rPr>
                <w:rFonts w:ascii="Times New Roman" w:hAnsi="Times New Roman"/>
                <w:color w:val="000000" w:themeColor="text1"/>
                <w:sz w:val="21"/>
                <w:szCs w:val="21"/>
              </w:rPr>
              <w:t xml:space="preserve"> comme non dangereux pour l'homme, ce produit peut néanmoins présenter des caractéristiques toxiques : une irritation (sensation de brûlure, rougeur) en cas de contact</w:t>
            </w:r>
          </w:p>
          <w:p w14:paraId="10B92C64" w14:textId="77777777" w:rsidR="00DB0460" w:rsidRPr="00260790" w:rsidRDefault="00DB0460" w:rsidP="00EA19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lastRenderedPageBreak/>
              <w:t xml:space="preserve"> - L'ingestion de quantités importantes peut entraîner des nausées ou des diarrhées  </w:t>
            </w:r>
          </w:p>
        </w:tc>
        <w:tc>
          <w:tcPr>
            <w:tcW w:w="3034" w:type="dxa"/>
            <w:tcMar>
              <w:left w:w="57" w:type="dxa"/>
              <w:right w:w="57" w:type="dxa"/>
            </w:tcMar>
            <w:vAlign w:val="center"/>
          </w:tcPr>
          <w:p w14:paraId="2AE8C522" w14:textId="25E1AEC7" w:rsidR="00DB0460" w:rsidRPr="00260790" w:rsidRDefault="00E221B6" w:rsidP="001748C6">
            <w:pPr>
              <w:numPr>
                <w:ilvl w:val="0"/>
                <w:numId w:val="187"/>
              </w:numPr>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lastRenderedPageBreak/>
              <w:t xml:space="preserve">Éviter </w:t>
            </w:r>
            <w:r w:rsidR="00DB0460" w:rsidRPr="00260790">
              <w:rPr>
                <w:rFonts w:ascii="Times New Roman" w:hAnsi="Times New Roman"/>
                <w:color w:val="000000" w:themeColor="text1"/>
                <w:sz w:val="21"/>
                <w:szCs w:val="21"/>
              </w:rPr>
              <w:t>le contact avec la peau et les muqueuses.</w:t>
            </w:r>
          </w:p>
          <w:p w14:paraId="3EDF63CC" w14:textId="77777777" w:rsidR="00DB0460" w:rsidRPr="00260790" w:rsidRDefault="00DB0460" w:rsidP="001748C6">
            <w:pPr>
              <w:numPr>
                <w:ilvl w:val="0"/>
                <w:numId w:val="187"/>
              </w:numPr>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Limiter les manipulations de produit</w:t>
            </w:r>
          </w:p>
          <w:p w14:paraId="1B0456AA" w14:textId="77777777" w:rsidR="00DB0460" w:rsidRPr="00260790" w:rsidRDefault="00DB0460" w:rsidP="00EA1906">
            <w:pPr>
              <w:autoSpaceDE w:val="0"/>
              <w:autoSpaceDN w:val="0"/>
              <w:adjustRightInd w:val="0"/>
              <w:spacing w:after="0" w:line="240" w:lineRule="auto"/>
              <w:jc w:val="both"/>
              <w:rPr>
                <w:rFonts w:ascii="Times New Roman" w:hAnsi="Times New Roman"/>
                <w:color w:val="000000" w:themeColor="text1"/>
                <w:sz w:val="21"/>
                <w:szCs w:val="21"/>
              </w:rPr>
            </w:pPr>
          </w:p>
        </w:tc>
      </w:tr>
      <w:tr w:rsidR="00EA1906" w:rsidRPr="00260790" w14:paraId="40E22388" w14:textId="77777777" w:rsidTr="00EA1906">
        <w:trPr>
          <w:trHeight w:val="2117"/>
        </w:trPr>
        <w:tc>
          <w:tcPr>
            <w:tcW w:w="1413" w:type="dxa"/>
            <w:tcMar>
              <w:left w:w="57" w:type="dxa"/>
              <w:right w:w="57" w:type="dxa"/>
            </w:tcMar>
            <w:vAlign w:val="center"/>
          </w:tcPr>
          <w:p w14:paraId="3684CE99" w14:textId="77777777" w:rsidR="00DB0460" w:rsidRPr="00260790" w:rsidRDefault="00DB0460" w:rsidP="00EA1906">
            <w:pPr>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Huiles usées</w:t>
            </w:r>
          </w:p>
        </w:tc>
        <w:tc>
          <w:tcPr>
            <w:tcW w:w="1276" w:type="dxa"/>
            <w:tcMar>
              <w:left w:w="57" w:type="dxa"/>
              <w:right w:w="57" w:type="dxa"/>
            </w:tcMar>
            <w:vAlign w:val="center"/>
          </w:tcPr>
          <w:p w14:paraId="1FF6A118" w14:textId="77777777" w:rsidR="00DB0460" w:rsidRPr="00260790" w:rsidRDefault="00DB0460" w:rsidP="00EA1906">
            <w:pPr>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Aucune</w:t>
            </w:r>
          </w:p>
        </w:tc>
        <w:tc>
          <w:tcPr>
            <w:tcW w:w="2551" w:type="dxa"/>
            <w:tcMar>
              <w:left w:w="57" w:type="dxa"/>
              <w:right w:w="57" w:type="dxa"/>
            </w:tcMar>
            <w:vAlign w:val="center"/>
          </w:tcPr>
          <w:p w14:paraId="538EE392" w14:textId="77777777" w:rsidR="00DB0460" w:rsidRPr="00260790" w:rsidRDefault="00DB0460" w:rsidP="00EA1906">
            <w:pPr>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Aucune</w:t>
            </w:r>
          </w:p>
        </w:tc>
        <w:tc>
          <w:tcPr>
            <w:tcW w:w="1701" w:type="dxa"/>
            <w:tcMar>
              <w:left w:w="57" w:type="dxa"/>
              <w:right w:w="57" w:type="dxa"/>
            </w:tcMar>
            <w:vAlign w:val="center"/>
          </w:tcPr>
          <w:p w14:paraId="2BBD2751" w14:textId="77777777" w:rsidR="00DB0460" w:rsidRPr="00260790" w:rsidRDefault="00DB0460" w:rsidP="00EA1906">
            <w:pPr>
              <w:spacing w:after="0" w:line="240" w:lineRule="auto"/>
              <w:jc w:val="both"/>
              <w:rPr>
                <w:rFonts w:ascii="Times New Roman" w:hAnsi="Times New Roman"/>
                <w:color w:val="000000" w:themeColor="text1"/>
                <w:sz w:val="21"/>
                <w:szCs w:val="21"/>
              </w:rPr>
            </w:pPr>
            <w:r w:rsidRPr="00260790">
              <w:rPr>
                <w:rFonts w:ascii="Times New Roman" w:hAnsi="Times New Roman"/>
                <w:noProof/>
                <w:color w:val="000000" w:themeColor="text1"/>
                <w:sz w:val="21"/>
                <w:szCs w:val="21"/>
                <w:lang w:val="en-US"/>
              </w:rPr>
              <w:drawing>
                <wp:inline distT="0" distB="0" distL="0" distR="0" wp14:anchorId="21091806" wp14:editId="15D1C5C0">
                  <wp:extent cx="742950" cy="742950"/>
                  <wp:effectExtent l="0" t="0" r="0" b="0"/>
                  <wp:docPr id="6" name="Image 6" descr="http://www.inrs.fr/inrs-pub/inrs01.nsf/IntranetObject-accesParReference/Dossier%20SGH%202009/$FILE/polluten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http://www.inrs.fr/inrs-pub/inrs01.nsf/IntranetObject-accesParReference/Dossier%20SGH%202009/$FILE/polluten170.jpg"/>
                          <pic:cNvPicPr>
                            <a:picLocks noChangeAspect="1" noChangeArrowheads="1"/>
                          </pic:cNvPicPr>
                        </pic:nvPicPr>
                        <pic:blipFill>
                          <a:blip r:embed="rId135" cstate="email">
                            <a:extLst>
                              <a:ext uri="{28A0092B-C50C-407E-A947-70E740481C1C}">
                                <a14:useLocalDpi xmlns:a14="http://schemas.microsoft.com/office/drawing/2010/main"/>
                              </a:ext>
                            </a:extLst>
                          </a:blip>
                          <a:srcRect/>
                          <a:stretch>
                            <a:fillRect/>
                          </a:stretch>
                        </pic:blipFill>
                        <pic:spPr bwMode="auto">
                          <a:xfrm>
                            <a:off x="0" y="0"/>
                            <a:ext cx="742950" cy="742950"/>
                          </a:xfrm>
                          <a:prstGeom prst="rect">
                            <a:avLst/>
                          </a:prstGeom>
                          <a:noFill/>
                          <a:ln>
                            <a:noFill/>
                          </a:ln>
                        </pic:spPr>
                      </pic:pic>
                    </a:graphicData>
                  </a:graphic>
                </wp:inline>
              </w:drawing>
            </w:r>
          </w:p>
          <w:p w14:paraId="129A08A6" w14:textId="77777777" w:rsidR="00DB0460" w:rsidRPr="00260790" w:rsidRDefault="00DB0460" w:rsidP="00EA1906">
            <w:pPr>
              <w:spacing w:after="0" w:line="240" w:lineRule="auto"/>
              <w:jc w:val="both"/>
              <w:rPr>
                <w:rFonts w:ascii="Times New Roman" w:hAnsi="Times New Roman"/>
                <w:b/>
                <w:color w:val="000000" w:themeColor="text1"/>
                <w:sz w:val="21"/>
                <w:szCs w:val="21"/>
              </w:rPr>
            </w:pPr>
            <w:r w:rsidRPr="00260790">
              <w:rPr>
                <w:rFonts w:ascii="Times New Roman" w:hAnsi="Times New Roman"/>
                <w:b/>
                <w:color w:val="000000" w:themeColor="text1"/>
                <w:sz w:val="21"/>
                <w:szCs w:val="21"/>
              </w:rPr>
              <w:t>Dangereux pour l’environnement</w:t>
            </w:r>
          </w:p>
        </w:tc>
        <w:tc>
          <w:tcPr>
            <w:tcW w:w="2268" w:type="dxa"/>
            <w:tcMar>
              <w:left w:w="57" w:type="dxa"/>
              <w:right w:w="57" w:type="dxa"/>
            </w:tcMar>
            <w:vAlign w:val="center"/>
          </w:tcPr>
          <w:p w14:paraId="3A4A80F3" w14:textId="1C6B6488" w:rsidR="00DB0460" w:rsidRPr="00260790" w:rsidRDefault="00DB0460" w:rsidP="00EA1906">
            <w:pPr>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Chaleur, étincelles ou flammes. Le produit peut brûler</w:t>
            </w:r>
            <w:r w:rsidR="005C5B32" w:rsidRPr="00260790">
              <w:rPr>
                <w:rFonts w:ascii="Times New Roman" w:hAnsi="Times New Roman"/>
                <w:color w:val="000000" w:themeColor="text1"/>
                <w:sz w:val="21"/>
                <w:szCs w:val="21"/>
              </w:rPr>
              <w:t>,</w:t>
            </w:r>
            <w:r w:rsidRPr="00260790">
              <w:rPr>
                <w:rFonts w:ascii="Times New Roman" w:hAnsi="Times New Roman"/>
                <w:color w:val="000000" w:themeColor="text1"/>
                <w:sz w:val="21"/>
                <w:szCs w:val="21"/>
              </w:rPr>
              <w:t xml:space="preserve"> mais ne s'enflamme pas facilement.</w:t>
            </w:r>
          </w:p>
          <w:p w14:paraId="5741D067" w14:textId="1961DD5C" w:rsidR="00DB0460" w:rsidRPr="00260790" w:rsidRDefault="00DB0460" w:rsidP="00EA19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Les contenants chauffés peuvent se rompre. Les contenants « vides » peuvent contenir des résidus et peuvent être dangereux. Le produit n'est pas sensible aux chocs mécaniques. Le produit peut être sensible aux décharges d'électricité statique, qui pourraient entraîner un incendie ou une explosion</w:t>
            </w:r>
            <w:r w:rsidR="00A57255" w:rsidRPr="00260790">
              <w:rPr>
                <w:rFonts w:ascii="Times New Roman" w:hAnsi="Times New Roman"/>
                <w:color w:val="000000" w:themeColor="text1"/>
                <w:sz w:val="21"/>
                <w:szCs w:val="21"/>
              </w:rPr>
              <w:t>.</w:t>
            </w:r>
          </w:p>
        </w:tc>
        <w:tc>
          <w:tcPr>
            <w:tcW w:w="2920" w:type="dxa"/>
            <w:tcMar>
              <w:left w:w="57" w:type="dxa"/>
              <w:right w:w="57" w:type="dxa"/>
            </w:tcMar>
            <w:vAlign w:val="center"/>
          </w:tcPr>
          <w:p w14:paraId="12E4EF5D" w14:textId="77777777" w:rsidR="00DB0460" w:rsidRPr="00260790" w:rsidRDefault="00DB0460" w:rsidP="00EA1906">
            <w:pPr>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L'inhalation peut être nocive.</w:t>
            </w:r>
          </w:p>
          <w:p w14:paraId="73BF847F" w14:textId="77777777" w:rsidR="00DB0460" w:rsidRPr="00260790" w:rsidRDefault="00DB0460" w:rsidP="00EA1906">
            <w:pPr>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L'absorption par la peau peut être nocive.</w:t>
            </w:r>
          </w:p>
          <w:p w14:paraId="154AE171" w14:textId="77777777" w:rsidR="00DB0460" w:rsidRPr="00260790" w:rsidRDefault="00DB0460" w:rsidP="00EA1906">
            <w:pPr>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L'ingestion peut être nocive ou fatale.</w:t>
            </w:r>
          </w:p>
          <w:p w14:paraId="74B775B4" w14:textId="77777777" w:rsidR="00DB0460" w:rsidRPr="00260790" w:rsidRDefault="00DB0460" w:rsidP="00EA1906">
            <w:pPr>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Peut irriter les voies respiratoires (nez, gorge et poumons), les yeux et la peau.</w:t>
            </w:r>
          </w:p>
          <w:p w14:paraId="3D2B696F" w14:textId="77777777" w:rsidR="00DB0460" w:rsidRPr="00260790" w:rsidRDefault="00DB0460" w:rsidP="00EA1906">
            <w:pPr>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Danger présumé de cancer. Contient une matière qui peut causer le cancer. Le risque de cancer est fonction de la durée et du niveau d'exposition.</w:t>
            </w:r>
          </w:p>
          <w:p w14:paraId="4578A8A8" w14:textId="77777777" w:rsidR="00DB0460" w:rsidRPr="00260790" w:rsidRDefault="00DB0460" w:rsidP="00EA1906">
            <w:pPr>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Contient une matière qui peut causer des anomalies congénitales.</w:t>
            </w:r>
          </w:p>
          <w:p w14:paraId="40EB0CFF" w14:textId="77777777" w:rsidR="00DB0460" w:rsidRPr="00260790" w:rsidRDefault="00DB0460" w:rsidP="00EA1906">
            <w:pPr>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Contient une matière qui peut causer des lésions au système nerveux central</w:t>
            </w:r>
          </w:p>
        </w:tc>
        <w:tc>
          <w:tcPr>
            <w:tcW w:w="3034" w:type="dxa"/>
            <w:tcMar>
              <w:left w:w="57" w:type="dxa"/>
              <w:right w:w="57" w:type="dxa"/>
            </w:tcMar>
            <w:vAlign w:val="center"/>
          </w:tcPr>
          <w:p w14:paraId="145E75EB" w14:textId="77777777" w:rsidR="00DB0460" w:rsidRPr="00260790" w:rsidRDefault="00DB0460" w:rsidP="001748C6">
            <w:pPr>
              <w:numPr>
                <w:ilvl w:val="0"/>
                <w:numId w:val="187"/>
              </w:numPr>
              <w:autoSpaceDE w:val="0"/>
              <w:autoSpaceDN w:val="0"/>
              <w:adjustRightInd w:val="0"/>
              <w:spacing w:after="0" w:line="240" w:lineRule="auto"/>
              <w:jc w:val="both"/>
              <w:rPr>
                <w:rFonts w:ascii="Times New Roman" w:hAnsi="Times New Roman"/>
                <w:color w:val="000000" w:themeColor="text1"/>
                <w:sz w:val="21"/>
                <w:szCs w:val="21"/>
              </w:rPr>
            </w:pPr>
            <w:proofErr w:type="gramStart"/>
            <w:r w:rsidRPr="00260790">
              <w:rPr>
                <w:rFonts w:ascii="Times New Roman" w:hAnsi="Times New Roman"/>
                <w:color w:val="000000" w:themeColor="text1"/>
                <w:sz w:val="21"/>
                <w:szCs w:val="21"/>
              </w:rPr>
              <w:t>éviter</w:t>
            </w:r>
            <w:proofErr w:type="gramEnd"/>
            <w:r w:rsidRPr="00260790">
              <w:rPr>
                <w:rFonts w:ascii="Times New Roman" w:hAnsi="Times New Roman"/>
                <w:color w:val="000000" w:themeColor="text1"/>
                <w:sz w:val="21"/>
                <w:szCs w:val="21"/>
              </w:rPr>
              <w:t xml:space="preserve"> tout contact prolongé et répété avec la peau. Laver au savon et à l'eau.</w:t>
            </w:r>
          </w:p>
          <w:p w14:paraId="06DE85B3" w14:textId="77777777" w:rsidR="00DB0460" w:rsidRPr="00260790" w:rsidRDefault="00DB0460" w:rsidP="001748C6">
            <w:pPr>
              <w:numPr>
                <w:ilvl w:val="0"/>
                <w:numId w:val="187"/>
              </w:numPr>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 xml:space="preserve">Protégez l’environnement - ne pas polluer les égouts, les cours d'eau ou la terre. </w:t>
            </w:r>
          </w:p>
          <w:p w14:paraId="21BBE8E3" w14:textId="77777777" w:rsidR="00DB0460" w:rsidRPr="00260790" w:rsidRDefault="00DB0460" w:rsidP="001748C6">
            <w:pPr>
              <w:numPr>
                <w:ilvl w:val="0"/>
                <w:numId w:val="187"/>
              </w:numPr>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Contacter les autorités locales pour le stockage et l'enlèvement des huiles usagées</w:t>
            </w:r>
          </w:p>
        </w:tc>
      </w:tr>
      <w:tr w:rsidR="00EA1906" w:rsidRPr="00260790" w14:paraId="39F5A7F9" w14:textId="77777777" w:rsidTr="00EA1906">
        <w:trPr>
          <w:trHeight w:val="1846"/>
        </w:trPr>
        <w:tc>
          <w:tcPr>
            <w:tcW w:w="1413" w:type="dxa"/>
            <w:tcMar>
              <w:left w:w="57" w:type="dxa"/>
              <w:right w:w="57" w:type="dxa"/>
            </w:tcMar>
            <w:vAlign w:val="center"/>
          </w:tcPr>
          <w:p w14:paraId="3E79F4CB" w14:textId="5DFAC941" w:rsidR="00DB0460" w:rsidRPr="00260790" w:rsidRDefault="00DB0460" w:rsidP="00EA1906">
            <w:pPr>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 xml:space="preserve">Sulfure </w:t>
            </w:r>
            <w:r w:rsidR="00A57255" w:rsidRPr="00260790">
              <w:rPr>
                <w:rFonts w:ascii="Times New Roman" w:hAnsi="Times New Roman"/>
                <w:color w:val="000000" w:themeColor="text1"/>
                <w:sz w:val="21"/>
                <w:szCs w:val="21"/>
              </w:rPr>
              <w:t>d’hydrogène</w:t>
            </w:r>
          </w:p>
        </w:tc>
        <w:tc>
          <w:tcPr>
            <w:tcW w:w="1276" w:type="dxa"/>
            <w:tcMar>
              <w:left w:w="57" w:type="dxa"/>
              <w:right w:w="57" w:type="dxa"/>
            </w:tcMar>
            <w:vAlign w:val="center"/>
          </w:tcPr>
          <w:p w14:paraId="67B0E829" w14:textId="77777777" w:rsidR="00DB0460" w:rsidRPr="00260790" w:rsidRDefault="00DB0460" w:rsidP="00EA1906">
            <w:pPr>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b/>
                <w:color w:val="000000" w:themeColor="text1"/>
                <w:sz w:val="21"/>
                <w:szCs w:val="21"/>
              </w:rPr>
              <w:t>R12</w:t>
            </w:r>
            <w:r w:rsidRPr="00260790">
              <w:rPr>
                <w:rFonts w:ascii="Times New Roman" w:hAnsi="Times New Roman"/>
                <w:color w:val="000000" w:themeColor="text1"/>
                <w:sz w:val="21"/>
                <w:szCs w:val="21"/>
              </w:rPr>
              <w:t>Extrêmement inflammable</w:t>
            </w:r>
          </w:p>
          <w:p w14:paraId="08C753A0" w14:textId="77777777" w:rsidR="00DB0460" w:rsidRPr="00260790" w:rsidRDefault="00DB0460" w:rsidP="00EA1906">
            <w:pPr>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b/>
                <w:color w:val="000000" w:themeColor="text1"/>
                <w:sz w:val="21"/>
                <w:szCs w:val="21"/>
              </w:rPr>
              <w:t>R26</w:t>
            </w:r>
            <w:r w:rsidRPr="00260790">
              <w:rPr>
                <w:rFonts w:ascii="Times New Roman" w:hAnsi="Times New Roman"/>
                <w:color w:val="000000" w:themeColor="text1"/>
                <w:sz w:val="21"/>
                <w:szCs w:val="21"/>
              </w:rPr>
              <w:t>Très toxique par inhalation</w:t>
            </w:r>
          </w:p>
          <w:p w14:paraId="61DFD5B9" w14:textId="77777777" w:rsidR="00DB0460" w:rsidRPr="00260790" w:rsidRDefault="00DB0460" w:rsidP="00EA1906">
            <w:pPr>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b/>
                <w:color w:val="000000" w:themeColor="text1"/>
                <w:sz w:val="21"/>
                <w:szCs w:val="21"/>
              </w:rPr>
              <w:t>R50</w:t>
            </w:r>
            <w:r w:rsidRPr="00260790">
              <w:rPr>
                <w:rFonts w:ascii="Times New Roman" w:hAnsi="Times New Roman"/>
                <w:color w:val="000000" w:themeColor="text1"/>
                <w:sz w:val="21"/>
                <w:szCs w:val="21"/>
              </w:rPr>
              <w:t xml:space="preserve">Très toxique pour </w:t>
            </w:r>
            <w:r w:rsidRPr="00260790">
              <w:rPr>
                <w:rFonts w:ascii="Times New Roman" w:hAnsi="Times New Roman"/>
                <w:color w:val="000000" w:themeColor="text1"/>
                <w:sz w:val="21"/>
                <w:szCs w:val="21"/>
              </w:rPr>
              <w:lastRenderedPageBreak/>
              <w:t>les organismes aquatiques</w:t>
            </w:r>
          </w:p>
        </w:tc>
        <w:tc>
          <w:tcPr>
            <w:tcW w:w="2551" w:type="dxa"/>
            <w:tcMar>
              <w:left w:w="57" w:type="dxa"/>
              <w:right w:w="57" w:type="dxa"/>
            </w:tcMar>
            <w:vAlign w:val="center"/>
          </w:tcPr>
          <w:p w14:paraId="058E6027" w14:textId="6A492719" w:rsidR="00DB0460" w:rsidRPr="00260790" w:rsidRDefault="00DB0460" w:rsidP="00EA1906">
            <w:pPr>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lastRenderedPageBreak/>
              <w:t>S1/2 : Conserver sous clé et hors de portée de</w:t>
            </w:r>
            <w:r w:rsidR="00874DDA" w:rsidRPr="00260790">
              <w:rPr>
                <w:rFonts w:ascii="Times New Roman" w:hAnsi="Times New Roman"/>
                <w:color w:val="000000" w:themeColor="text1"/>
                <w:sz w:val="21"/>
                <w:szCs w:val="21"/>
              </w:rPr>
              <w:t xml:space="preserve"> </w:t>
            </w:r>
            <w:r w:rsidRPr="00260790">
              <w:rPr>
                <w:rFonts w:ascii="Times New Roman" w:hAnsi="Times New Roman"/>
                <w:color w:val="000000" w:themeColor="text1"/>
                <w:sz w:val="21"/>
                <w:szCs w:val="21"/>
              </w:rPr>
              <w:t>S9 Conserver le récipient dans un endroit bien ventilé.</w:t>
            </w:r>
            <w:r w:rsidR="00874DDA" w:rsidRPr="00260790">
              <w:rPr>
                <w:rFonts w:ascii="Times New Roman" w:hAnsi="Times New Roman"/>
                <w:color w:val="000000" w:themeColor="text1"/>
                <w:sz w:val="21"/>
                <w:szCs w:val="21"/>
              </w:rPr>
              <w:t xml:space="preserve"> </w:t>
            </w:r>
          </w:p>
          <w:p w14:paraId="420B65A6" w14:textId="77777777" w:rsidR="00DB0460" w:rsidRPr="00260790" w:rsidRDefault="00DB0460" w:rsidP="00EA1906">
            <w:pPr>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S16 Conserver à l’écart de toute flamme ou source d’étincelles. Ne pas fumer.</w:t>
            </w:r>
          </w:p>
          <w:p w14:paraId="4A4774F6" w14:textId="77777777" w:rsidR="00DB0460" w:rsidRPr="00260790" w:rsidRDefault="00DB0460" w:rsidP="00EA1906">
            <w:pPr>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lastRenderedPageBreak/>
              <w:t>S36 Porter un vêtement de protection approprié</w:t>
            </w:r>
          </w:p>
          <w:p w14:paraId="325ECB2C" w14:textId="77777777" w:rsidR="00DB0460" w:rsidRPr="00260790" w:rsidRDefault="00DB0460" w:rsidP="00EA1906">
            <w:pPr>
              <w:spacing w:after="0" w:line="240" w:lineRule="auto"/>
              <w:jc w:val="both"/>
              <w:rPr>
                <w:rFonts w:ascii="Times New Roman" w:hAnsi="Times New Roman"/>
                <w:color w:val="000000" w:themeColor="text1"/>
                <w:sz w:val="21"/>
                <w:szCs w:val="21"/>
              </w:rPr>
            </w:pPr>
          </w:p>
        </w:tc>
        <w:tc>
          <w:tcPr>
            <w:tcW w:w="1701" w:type="dxa"/>
            <w:tcMar>
              <w:left w:w="57" w:type="dxa"/>
              <w:right w:w="57" w:type="dxa"/>
            </w:tcMar>
            <w:vAlign w:val="center"/>
          </w:tcPr>
          <w:p w14:paraId="79A52D99" w14:textId="77777777" w:rsidR="00DB0460" w:rsidRPr="00260790" w:rsidRDefault="00DB0460" w:rsidP="00EA1906">
            <w:pPr>
              <w:spacing w:after="0" w:line="240" w:lineRule="auto"/>
              <w:jc w:val="both"/>
              <w:rPr>
                <w:rFonts w:ascii="Times New Roman" w:eastAsia="Times New Roman" w:hAnsi="Times New Roman"/>
                <w:color w:val="000000" w:themeColor="text1"/>
                <w:sz w:val="21"/>
                <w:szCs w:val="21"/>
              </w:rPr>
            </w:pPr>
            <w:r w:rsidRPr="00260790">
              <w:rPr>
                <w:rFonts w:ascii="Times New Roman" w:eastAsia="Times New Roman" w:hAnsi="Times New Roman"/>
                <w:color w:val="000000" w:themeColor="text1"/>
                <w:sz w:val="21"/>
                <w:szCs w:val="21"/>
              </w:rPr>
              <w:lastRenderedPageBreak/>
              <w:t>Inflammable</w:t>
            </w:r>
          </w:p>
          <w:p w14:paraId="50D345E2" w14:textId="77777777" w:rsidR="00DB0460" w:rsidRPr="00260790" w:rsidRDefault="00DB0460" w:rsidP="00EA1906">
            <w:pPr>
              <w:spacing w:after="0" w:line="240" w:lineRule="auto"/>
              <w:jc w:val="both"/>
              <w:rPr>
                <w:rFonts w:ascii="Times New Roman" w:hAnsi="Times New Roman"/>
                <w:noProof/>
                <w:color w:val="000000" w:themeColor="text1"/>
                <w:sz w:val="21"/>
                <w:szCs w:val="21"/>
              </w:rPr>
            </w:pPr>
            <w:r w:rsidRPr="00260790">
              <w:rPr>
                <w:rFonts w:ascii="Times New Roman" w:hAnsi="Times New Roman"/>
                <w:noProof/>
                <w:color w:val="000000" w:themeColor="text1"/>
                <w:sz w:val="21"/>
                <w:szCs w:val="21"/>
                <w:lang w:val="en-US"/>
              </w:rPr>
              <w:drawing>
                <wp:anchor distT="0" distB="0" distL="114300" distR="114300" simplePos="0" relativeHeight="251716608" behindDoc="1" locked="0" layoutInCell="1" allowOverlap="1" wp14:anchorId="06D5BB99" wp14:editId="3D79B0CC">
                  <wp:simplePos x="0" y="0"/>
                  <wp:positionH relativeFrom="column">
                    <wp:posOffset>72390</wp:posOffset>
                  </wp:positionH>
                  <wp:positionV relativeFrom="paragraph">
                    <wp:posOffset>147320</wp:posOffset>
                  </wp:positionV>
                  <wp:extent cx="771525" cy="676275"/>
                  <wp:effectExtent l="0" t="0" r="9525" b="9525"/>
                  <wp:wrapTight wrapText="bothSides">
                    <wp:wrapPolygon edited="0">
                      <wp:start x="0" y="0"/>
                      <wp:lineTo x="0" y="21296"/>
                      <wp:lineTo x="21333" y="21296"/>
                      <wp:lineTo x="21333" y="0"/>
                      <wp:lineTo x="0" y="0"/>
                    </wp:wrapPolygon>
                  </wp:wrapTight>
                  <wp:docPr id="1368963706" name="Image 1368963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34" cstate="email">
                            <a:extLst>
                              <a:ext uri="{28A0092B-C50C-407E-A947-70E740481C1C}">
                                <a14:useLocalDpi xmlns:a14="http://schemas.microsoft.com/office/drawing/2010/main"/>
                              </a:ext>
                            </a:extLst>
                          </a:blip>
                          <a:srcRect/>
                          <a:stretch>
                            <a:fillRect/>
                          </a:stretch>
                        </pic:blipFill>
                        <pic:spPr bwMode="auto">
                          <a:xfrm>
                            <a:off x="0" y="0"/>
                            <a:ext cx="771525"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2CE051" w14:textId="77777777" w:rsidR="00DB0460" w:rsidRPr="00260790" w:rsidRDefault="00DB0460" w:rsidP="00EA1906">
            <w:pPr>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lastRenderedPageBreak/>
              <w:t>Toxique</w:t>
            </w:r>
          </w:p>
          <w:p w14:paraId="58A66EDF" w14:textId="77777777" w:rsidR="00DB0460" w:rsidRPr="00260790" w:rsidRDefault="00DB0460" w:rsidP="00EA1906">
            <w:pPr>
              <w:spacing w:after="0" w:line="240" w:lineRule="auto"/>
              <w:jc w:val="both"/>
              <w:rPr>
                <w:rFonts w:ascii="Times New Roman" w:hAnsi="Times New Roman"/>
                <w:color w:val="000000" w:themeColor="text1"/>
                <w:sz w:val="21"/>
                <w:szCs w:val="21"/>
              </w:rPr>
            </w:pPr>
            <w:r w:rsidRPr="00260790">
              <w:rPr>
                <w:rFonts w:ascii="Times New Roman" w:hAnsi="Times New Roman"/>
                <w:noProof/>
                <w:color w:val="000000" w:themeColor="text1"/>
                <w:sz w:val="21"/>
                <w:szCs w:val="21"/>
                <w:lang w:val="en-US"/>
              </w:rPr>
              <w:drawing>
                <wp:anchor distT="0" distB="0" distL="114300" distR="114300" simplePos="0" relativeHeight="251715584" behindDoc="1" locked="0" layoutInCell="1" allowOverlap="1" wp14:anchorId="6EF35F0D" wp14:editId="2D97848B">
                  <wp:simplePos x="0" y="0"/>
                  <wp:positionH relativeFrom="column">
                    <wp:posOffset>118745</wp:posOffset>
                  </wp:positionH>
                  <wp:positionV relativeFrom="paragraph">
                    <wp:posOffset>71120</wp:posOffset>
                  </wp:positionV>
                  <wp:extent cx="723900" cy="771525"/>
                  <wp:effectExtent l="0" t="0" r="0" b="9525"/>
                  <wp:wrapTight wrapText="bothSides">
                    <wp:wrapPolygon edited="0">
                      <wp:start x="9095" y="0"/>
                      <wp:lineTo x="568" y="8533"/>
                      <wp:lineTo x="0" y="10133"/>
                      <wp:lineTo x="0" y="11733"/>
                      <wp:lineTo x="8526" y="21333"/>
                      <wp:lineTo x="9095" y="21333"/>
                      <wp:lineTo x="11937" y="21333"/>
                      <wp:lineTo x="12505" y="21333"/>
                      <wp:lineTo x="21032" y="11733"/>
                      <wp:lineTo x="21032" y="10133"/>
                      <wp:lineTo x="20463" y="8533"/>
                      <wp:lineTo x="11937" y="0"/>
                      <wp:lineTo x="9095" y="0"/>
                    </wp:wrapPolygon>
                  </wp:wrapTight>
                  <wp:docPr id="726885302" name="Image 726885302" descr="File:GHS-pictogram-skull.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2121" descr="File:GHS-pictogram-skull.svg"/>
                          <pic:cNvPicPr>
                            <a:picLocks noChangeAspect="1" noChangeArrowheads="1"/>
                          </pic:cNvPicPr>
                        </pic:nvPicPr>
                        <pic:blipFill>
                          <a:blip r:embed="rId136" cstate="email">
                            <a:extLst>
                              <a:ext uri="{28A0092B-C50C-407E-A947-70E740481C1C}">
                                <a14:useLocalDpi xmlns:a14="http://schemas.microsoft.com/office/drawing/2010/main"/>
                              </a:ext>
                            </a:extLst>
                          </a:blip>
                          <a:srcRect/>
                          <a:stretch>
                            <a:fillRect/>
                          </a:stretch>
                        </pic:blipFill>
                        <pic:spPr bwMode="auto">
                          <a:xfrm>
                            <a:off x="0" y="0"/>
                            <a:ext cx="723900" cy="771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Mar>
              <w:left w:w="57" w:type="dxa"/>
              <w:right w:w="57" w:type="dxa"/>
            </w:tcMar>
            <w:vAlign w:val="center"/>
          </w:tcPr>
          <w:p w14:paraId="03F84CFD" w14:textId="67DB2DF0" w:rsidR="00DB0460" w:rsidRPr="00260790" w:rsidRDefault="00DB0460" w:rsidP="00EA1906">
            <w:pPr>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lastRenderedPageBreak/>
              <w:t xml:space="preserve">Le sulfure d'hydrogène est un gaz inflammable qui brûle en produisant une flamme bleu pâle et des gaz toxiques d'oxydes de soufre, principalement du dioxyde de soufre. Sous l'action d'une source </w:t>
            </w:r>
            <w:r w:rsidRPr="00260790">
              <w:rPr>
                <w:rFonts w:ascii="Times New Roman" w:hAnsi="Times New Roman"/>
                <w:color w:val="000000" w:themeColor="text1"/>
                <w:sz w:val="21"/>
                <w:szCs w:val="21"/>
              </w:rPr>
              <w:lastRenderedPageBreak/>
              <w:t>d'ignition, une explosion peut même survenir s'il est présent dans l'air à des concentrations se situant entre 4,3 et 46 %</w:t>
            </w:r>
            <w:r w:rsidR="0049088E" w:rsidRPr="00260790">
              <w:rPr>
                <w:rFonts w:ascii="Times New Roman" w:hAnsi="Times New Roman"/>
                <w:color w:val="000000" w:themeColor="text1"/>
                <w:sz w:val="21"/>
                <w:szCs w:val="21"/>
              </w:rPr>
              <w:t>.</w:t>
            </w:r>
          </w:p>
        </w:tc>
        <w:tc>
          <w:tcPr>
            <w:tcW w:w="2920" w:type="dxa"/>
            <w:tcMar>
              <w:left w:w="57" w:type="dxa"/>
              <w:right w:w="57" w:type="dxa"/>
            </w:tcMar>
            <w:vAlign w:val="center"/>
          </w:tcPr>
          <w:p w14:paraId="67AE2F91" w14:textId="77777777" w:rsidR="00DB0460" w:rsidRPr="00260790" w:rsidRDefault="00DB0460" w:rsidP="00EA1906">
            <w:pPr>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lastRenderedPageBreak/>
              <w:t xml:space="preserve">Le sulfure d'hydrogène agit sur le système nerveux central et en particulier sur les centres respiratoires. Les symptômes rencontrés varient selon les concentrations inhalées. Ce sont entre autres des maux de tête, des nausées, des vertiges, une </w:t>
            </w:r>
            <w:r w:rsidRPr="00260790">
              <w:rPr>
                <w:rFonts w:ascii="Times New Roman" w:hAnsi="Times New Roman"/>
                <w:color w:val="000000" w:themeColor="text1"/>
                <w:sz w:val="21"/>
                <w:szCs w:val="21"/>
              </w:rPr>
              <w:lastRenderedPageBreak/>
              <w:t>respiration plus rapide, des étourdissements, de l'agitation, une démarche titubante, des convulsions et une perte subite de conscience (aussi appelée coup de plomb). Une exposition à des concentrations supérieures à 1 000 ppm entraîne la mort en quelques minutes, par paralysie des centres respiratoires.</w:t>
            </w:r>
          </w:p>
        </w:tc>
        <w:tc>
          <w:tcPr>
            <w:tcW w:w="3034" w:type="dxa"/>
            <w:tcMar>
              <w:left w:w="57" w:type="dxa"/>
              <w:right w:w="57" w:type="dxa"/>
            </w:tcMar>
            <w:vAlign w:val="center"/>
          </w:tcPr>
          <w:p w14:paraId="2063CD95" w14:textId="77777777" w:rsidR="00DB0460" w:rsidRPr="00260790" w:rsidRDefault="00DB0460" w:rsidP="001748C6">
            <w:pPr>
              <w:numPr>
                <w:ilvl w:val="0"/>
                <w:numId w:val="187"/>
              </w:numPr>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lastRenderedPageBreak/>
              <w:t>Porter un appareil de protection de la peau. La sélection d'un équipement de protection de la peau dépend de la nature du travail à effectuer.</w:t>
            </w:r>
          </w:p>
          <w:p w14:paraId="2FD282EE" w14:textId="77777777" w:rsidR="00DB0460" w:rsidRPr="00260790" w:rsidRDefault="00DB0460" w:rsidP="001748C6">
            <w:pPr>
              <w:numPr>
                <w:ilvl w:val="0"/>
                <w:numId w:val="187"/>
              </w:numPr>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 xml:space="preserve">Porter un appareil de protection des yeux s'il y a </w:t>
            </w:r>
            <w:r w:rsidRPr="00260790">
              <w:rPr>
                <w:rFonts w:ascii="Times New Roman" w:hAnsi="Times New Roman"/>
                <w:color w:val="000000" w:themeColor="text1"/>
                <w:sz w:val="21"/>
                <w:szCs w:val="21"/>
              </w:rPr>
              <w:lastRenderedPageBreak/>
              <w:t>risque d'éclaboussures avec le gaz liquéfié ou s'il y a risque de contact avec des concentrations irritantes. La sélection d'un protecteur oculaire dépend de la nature du travail à effectuer et, s'il y a lieu, du type d'appareil de protection respiratoire utilisé.</w:t>
            </w:r>
          </w:p>
        </w:tc>
      </w:tr>
      <w:tr w:rsidR="00EA1906" w:rsidRPr="00260790" w14:paraId="59C9EB3F" w14:textId="77777777" w:rsidTr="00EA1906">
        <w:trPr>
          <w:trHeight w:hRule="exact" w:val="10"/>
        </w:trPr>
        <w:tc>
          <w:tcPr>
            <w:tcW w:w="1413" w:type="dxa"/>
            <w:tcMar>
              <w:left w:w="57" w:type="dxa"/>
              <w:right w:w="57" w:type="dxa"/>
            </w:tcMar>
            <w:vAlign w:val="center"/>
          </w:tcPr>
          <w:p w14:paraId="2039C830" w14:textId="77777777" w:rsidR="00DB0460" w:rsidRPr="00260790" w:rsidRDefault="00DB0460" w:rsidP="00EA1906">
            <w:pPr>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Boues d’épuration</w:t>
            </w:r>
          </w:p>
        </w:tc>
        <w:tc>
          <w:tcPr>
            <w:tcW w:w="1276" w:type="dxa"/>
            <w:tcMar>
              <w:left w:w="57" w:type="dxa"/>
              <w:right w:w="57" w:type="dxa"/>
            </w:tcMar>
            <w:vAlign w:val="center"/>
          </w:tcPr>
          <w:p w14:paraId="63C18CE9" w14:textId="77777777" w:rsidR="00DB0460" w:rsidRPr="00260790" w:rsidRDefault="00DB0460" w:rsidP="00EA1906">
            <w:pPr>
              <w:spacing w:after="0" w:line="240" w:lineRule="auto"/>
              <w:jc w:val="both"/>
              <w:rPr>
                <w:rFonts w:ascii="Times New Roman" w:hAnsi="Times New Roman"/>
                <w:b/>
                <w:color w:val="000000" w:themeColor="text1"/>
                <w:sz w:val="21"/>
                <w:szCs w:val="21"/>
              </w:rPr>
            </w:pPr>
            <w:r w:rsidRPr="00260790">
              <w:rPr>
                <w:rFonts w:ascii="Times New Roman" w:hAnsi="Times New Roman"/>
                <w:b/>
                <w:color w:val="000000" w:themeColor="text1"/>
                <w:sz w:val="21"/>
                <w:szCs w:val="21"/>
              </w:rPr>
              <w:t>Sans objet</w:t>
            </w:r>
          </w:p>
        </w:tc>
        <w:tc>
          <w:tcPr>
            <w:tcW w:w="2551" w:type="dxa"/>
            <w:tcMar>
              <w:left w:w="57" w:type="dxa"/>
              <w:right w:w="57" w:type="dxa"/>
            </w:tcMar>
            <w:vAlign w:val="center"/>
          </w:tcPr>
          <w:p w14:paraId="1347BEAF" w14:textId="77777777" w:rsidR="00DB0460" w:rsidRPr="00260790" w:rsidRDefault="00DB0460" w:rsidP="00EA1906">
            <w:pPr>
              <w:spacing w:after="0" w:line="240" w:lineRule="auto"/>
              <w:jc w:val="both"/>
              <w:rPr>
                <w:rFonts w:ascii="Times New Roman" w:hAnsi="Times New Roman"/>
                <w:b/>
                <w:color w:val="000000" w:themeColor="text1"/>
                <w:sz w:val="21"/>
                <w:szCs w:val="21"/>
              </w:rPr>
            </w:pPr>
            <w:r w:rsidRPr="00260790">
              <w:rPr>
                <w:rFonts w:ascii="Times New Roman" w:hAnsi="Times New Roman"/>
                <w:b/>
                <w:color w:val="000000" w:themeColor="text1"/>
                <w:sz w:val="21"/>
                <w:szCs w:val="21"/>
              </w:rPr>
              <w:t>Sans objet</w:t>
            </w:r>
          </w:p>
        </w:tc>
        <w:tc>
          <w:tcPr>
            <w:tcW w:w="1701" w:type="dxa"/>
            <w:tcMar>
              <w:left w:w="57" w:type="dxa"/>
              <w:right w:w="57" w:type="dxa"/>
            </w:tcMar>
            <w:vAlign w:val="center"/>
          </w:tcPr>
          <w:p w14:paraId="426AF29A" w14:textId="77777777" w:rsidR="00DB0460" w:rsidRPr="00260790" w:rsidRDefault="00DB0460" w:rsidP="00EA1906">
            <w:pPr>
              <w:spacing w:after="0" w:line="240" w:lineRule="auto"/>
              <w:jc w:val="both"/>
              <w:rPr>
                <w:rFonts w:ascii="Times New Roman" w:hAnsi="Times New Roman"/>
                <w:noProof/>
                <w:color w:val="000000" w:themeColor="text1"/>
                <w:sz w:val="21"/>
                <w:szCs w:val="21"/>
              </w:rPr>
            </w:pPr>
            <w:r w:rsidRPr="00260790">
              <w:rPr>
                <w:rFonts w:ascii="Times New Roman" w:hAnsi="Times New Roman"/>
                <w:noProof/>
                <w:color w:val="000000" w:themeColor="text1"/>
                <w:sz w:val="21"/>
                <w:szCs w:val="21"/>
              </w:rPr>
              <w:t>Sans objet</w:t>
            </w:r>
          </w:p>
        </w:tc>
        <w:tc>
          <w:tcPr>
            <w:tcW w:w="2268" w:type="dxa"/>
            <w:tcMar>
              <w:left w:w="57" w:type="dxa"/>
              <w:right w:w="57" w:type="dxa"/>
            </w:tcMar>
            <w:vAlign w:val="center"/>
          </w:tcPr>
          <w:p w14:paraId="1BE9CC2C" w14:textId="77777777" w:rsidR="00DB0460" w:rsidRPr="00260790" w:rsidRDefault="00DB0460" w:rsidP="00EA1906">
            <w:pPr>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Sans objet</w:t>
            </w:r>
          </w:p>
        </w:tc>
        <w:tc>
          <w:tcPr>
            <w:tcW w:w="2920" w:type="dxa"/>
            <w:tcMar>
              <w:left w:w="57" w:type="dxa"/>
              <w:right w:w="57" w:type="dxa"/>
            </w:tcMar>
            <w:vAlign w:val="center"/>
          </w:tcPr>
          <w:p w14:paraId="734A7FBC" w14:textId="77777777" w:rsidR="00DB0460" w:rsidRPr="00260790" w:rsidRDefault="00DB0460" w:rsidP="00EA1906">
            <w:pPr>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Sans objet</w:t>
            </w:r>
          </w:p>
        </w:tc>
        <w:tc>
          <w:tcPr>
            <w:tcW w:w="3034" w:type="dxa"/>
            <w:tcMar>
              <w:left w:w="57" w:type="dxa"/>
              <w:right w:w="57" w:type="dxa"/>
            </w:tcMar>
            <w:vAlign w:val="center"/>
          </w:tcPr>
          <w:p w14:paraId="0C1341A4" w14:textId="77777777" w:rsidR="00DB0460" w:rsidRPr="00260790" w:rsidRDefault="00DB0460" w:rsidP="00EA1906">
            <w:pPr>
              <w:autoSpaceDE w:val="0"/>
              <w:autoSpaceDN w:val="0"/>
              <w:adjustRightInd w:val="0"/>
              <w:spacing w:after="0" w:line="240" w:lineRule="auto"/>
              <w:jc w:val="both"/>
              <w:rPr>
                <w:rFonts w:ascii="Times New Roman" w:hAnsi="Times New Roman"/>
                <w:color w:val="000000" w:themeColor="text1"/>
                <w:sz w:val="21"/>
                <w:szCs w:val="21"/>
              </w:rPr>
            </w:pPr>
            <w:proofErr w:type="gramStart"/>
            <w:r w:rsidRPr="00260790">
              <w:rPr>
                <w:rFonts w:ascii="Times New Roman" w:hAnsi="Times New Roman"/>
                <w:color w:val="000000" w:themeColor="text1"/>
                <w:sz w:val="21"/>
                <w:szCs w:val="21"/>
              </w:rPr>
              <w:t>.Les</w:t>
            </w:r>
            <w:proofErr w:type="gramEnd"/>
            <w:r w:rsidRPr="00260790">
              <w:rPr>
                <w:rFonts w:ascii="Times New Roman" w:hAnsi="Times New Roman"/>
                <w:color w:val="000000" w:themeColor="text1"/>
                <w:sz w:val="21"/>
                <w:szCs w:val="21"/>
              </w:rPr>
              <w:t xml:space="preserve"> vêtements de travail et les équipements de protection individuelle (chaussures, lunettes…) sont nécessaires</w:t>
            </w:r>
          </w:p>
        </w:tc>
      </w:tr>
      <w:tr w:rsidR="00EA1906" w:rsidRPr="00260790" w14:paraId="4421A2CC" w14:textId="77777777" w:rsidTr="00EA1906">
        <w:trPr>
          <w:trHeight w:val="3446"/>
        </w:trPr>
        <w:tc>
          <w:tcPr>
            <w:tcW w:w="1413" w:type="dxa"/>
            <w:tcMar>
              <w:left w:w="57" w:type="dxa"/>
              <w:right w:w="57" w:type="dxa"/>
            </w:tcMar>
            <w:vAlign w:val="center"/>
          </w:tcPr>
          <w:p w14:paraId="3252B258" w14:textId="77777777" w:rsidR="00DB0460" w:rsidRPr="00260790" w:rsidRDefault="00DB0460" w:rsidP="00EA1906">
            <w:pPr>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Ciment</w:t>
            </w:r>
          </w:p>
        </w:tc>
        <w:tc>
          <w:tcPr>
            <w:tcW w:w="1276" w:type="dxa"/>
            <w:tcMar>
              <w:left w:w="57" w:type="dxa"/>
              <w:right w:w="57" w:type="dxa"/>
            </w:tcMar>
            <w:vAlign w:val="center"/>
          </w:tcPr>
          <w:p w14:paraId="2990A75F" w14:textId="77777777" w:rsidR="00DB0460" w:rsidRPr="00260790" w:rsidRDefault="00DB0460" w:rsidP="00EA1906">
            <w:pPr>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Sans objet</w:t>
            </w:r>
          </w:p>
        </w:tc>
        <w:tc>
          <w:tcPr>
            <w:tcW w:w="2551" w:type="dxa"/>
            <w:tcMar>
              <w:left w:w="57" w:type="dxa"/>
              <w:right w:w="57" w:type="dxa"/>
            </w:tcMar>
            <w:vAlign w:val="center"/>
          </w:tcPr>
          <w:p w14:paraId="2D71B357" w14:textId="77777777" w:rsidR="00DB0460" w:rsidRPr="00260790" w:rsidRDefault="00DB0460" w:rsidP="00EA1906">
            <w:pPr>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Conserver le ciment de maçonnerie au sec jusqu’à son utilisation. Les températures normales n’affectent pas le produit. Enlever rapidement les vêtements poussiéreux ou tachés de matériaux liquides cimentaires et les laver avant de les remettre. Laver soigneusement toute zone exposée à la poussière, aux mélanges de ciment humide ou aux liquides.</w:t>
            </w:r>
          </w:p>
        </w:tc>
        <w:tc>
          <w:tcPr>
            <w:tcW w:w="1701" w:type="dxa"/>
            <w:tcMar>
              <w:left w:w="57" w:type="dxa"/>
              <w:right w:w="57" w:type="dxa"/>
            </w:tcMar>
            <w:vAlign w:val="center"/>
          </w:tcPr>
          <w:p w14:paraId="7DF9E38C" w14:textId="77777777" w:rsidR="00DB0460" w:rsidRPr="00260790" w:rsidRDefault="00DB0460" w:rsidP="00EA1906">
            <w:pPr>
              <w:spacing w:after="0" w:line="240" w:lineRule="auto"/>
              <w:jc w:val="both"/>
              <w:rPr>
                <w:rFonts w:ascii="Times New Roman" w:hAnsi="Times New Roman"/>
                <w:noProof/>
                <w:color w:val="000000" w:themeColor="text1"/>
                <w:sz w:val="21"/>
                <w:szCs w:val="21"/>
              </w:rPr>
            </w:pPr>
            <w:r w:rsidRPr="00260790">
              <w:rPr>
                <w:rFonts w:ascii="Times New Roman" w:hAnsi="Times New Roman"/>
                <w:noProof/>
                <w:color w:val="000000" w:themeColor="text1"/>
                <w:sz w:val="21"/>
                <w:szCs w:val="21"/>
              </w:rPr>
              <w:t>corrosif</w:t>
            </w:r>
            <w:r w:rsidRPr="00260790">
              <w:rPr>
                <w:rFonts w:ascii="Times New Roman" w:hAnsi="Times New Roman"/>
                <w:noProof/>
                <w:color w:val="000000" w:themeColor="text1"/>
                <w:sz w:val="21"/>
                <w:szCs w:val="21"/>
                <w:lang w:val="en-US"/>
              </w:rPr>
              <w:drawing>
                <wp:inline distT="0" distB="0" distL="0" distR="0" wp14:anchorId="4E8FC736" wp14:editId="70815B46">
                  <wp:extent cx="742950" cy="742950"/>
                  <wp:effectExtent l="0" t="0" r="0" b="0"/>
                  <wp:docPr id="1893712271" name="Image 1893712271" descr="http://www.inrs.fr/inrs-pub/inrs01.nsf/IntranetObject-accesParReference/Dossier%20SGH%202009/$FILE/aciden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2123" descr="http://www.inrs.fr/inrs-pub/inrs01.nsf/IntranetObject-accesParReference/Dossier%20SGH%202009/$FILE/aciden170.jpg"/>
                          <pic:cNvPicPr>
                            <a:picLocks noChangeAspect="1" noChangeArrowheads="1"/>
                          </pic:cNvPicPr>
                        </pic:nvPicPr>
                        <pic:blipFill>
                          <a:blip r:embed="rId137" cstate="email">
                            <a:extLst>
                              <a:ext uri="{28A0092B-C50C-407E-A947-70E740481C1C}">
                                <a14:useLocalDpi xmlns:a14="http://schemas.microsoft.com/office/drawing/2010/main"/>
                              </a:ext>
                            </a:extLst>
                          </a:blip>
                          <a:srcRect/>
                          <a:stretch>
                            <a:fillRect/>
                          </a:stretch>
                        </pic:blipFill>
                        <pic:spPr bwMode="auto">
                          <a:xfrm>
                            <a:off x="0" y="0"/>
                            <a:ext cx="742950" cy="742950"/>
                          </a:xfrm>
                          <a:prstGeom prst="rect">
                            <a:avLst/>
                          </a:prstGeom>
                          <a:noFill/>
                          <a:ln>
                            <a:noFill/>
                          </a:ln>
                        </pic:spPr>
                      </pic:pic>
                    </a:graphicData>
                  </a:graphic>
                </wp:inline>
              </w:drawing>
            </w:r>
          </w:p>
        </w:tc>
        <w:tc>
          <w:tcPr>
            <w:tcW w:w="2268" w:type="dxa"/>
            <w:tcMar>
              <w:left w:w="57" w:type="dxa"/>
              <w:right w:w="57" w:type="dxa"/>
            </w:tcMar>
            <w:vAlign w:val="center"/>
          </w:tcPr>
          <w:p w14:paraId="769B74FB" w14:textId="77777777" w:rsidR="00DB0460" w:rsidRPr="00260790" w:rsidRDefault="00DB0460" w:rsidP="00EA1906">
            <w:pPr>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 xml:space="preserve">             Sans objet</w:t>
            </w:r>
          </w:p>
        </w:tc>
        <w:tc>
          <w:tcPr>
            <w:tcW w:w="2920" w:type="dxa"/>
            <w:tcMar>
              <w:left w:w="57" w:type="dxa"/>
              <w:right w:w="57" w:type="dxa"/>
            </w:tcMar>
            <w:vAlign w:val="center"/>
          </w:tcPr>
          <w:p w14:paraId="44E3BC97" w14:textId="77777777" w:rsidR="00DB0460" w:rsidRPr="00260790" w:rsidRDefault="00DB0460" w:rsidP="00EA1906">
            <w:pPr>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Une exposition au ciment de maçonnerie sec peut provoquer un dessèchement de la peau suivi d’une irritation légère ou des effets plus importants attribuables à l’aggravation d’autres conditions.</w:t>
            </w:r>
          </w:p>
        </w:tc>
        <w:tc>
          <w:tcPr>
            <w:tcW w:w="3034" w:type="dxa"/>
            <w:tcMar>
              <w:left w:w="57" w:type="dxa"/>
              <w:right w:w="57" w:type="dxa"/>
            </w:tcMar>
            <w:vAlign w:val="center"/>
          </w:tcPr>
          <w:p w14:paraId="38B2E179" w14:textId="0204D674" w:rsidR="00DB0460" w:rsidRPr="00260790" w:rsidRDefault="00DB0460" w:rsidP="00EA1906">
            <w:pPr>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Éviter toute action qui disperse la poussière dans l’air (aéroportée). Pour maintenir la concentration de</w:t>
            </w:r>
            <w:r w:rsidR="00874DDA" w:rsidRPr="00260790">
              <w:rPr>
                <w:rFonts w:ascii="Times New Roman" w:hAnsi="Times New Roman"/>
                <w:color w:val="000000" w:themeColor="text1"/>
                <w:sz w:val="21"/>
                <w:szCs w:val="21"/>
              </w:rPr>
              <w:t xml:space="preserve"> </w:t>
            </w:r>
            <w:r w:rsidRPr="00260790">
              <w:rPr>
                <w:rFonts w:ascii="Times New Roman" w:hAnsi="Times New Roman"/>
                <w:color w:val="000000" w:themeColor="text1"/>
                <w:sz w:val="21"/>
                <w:szCs w:val="21"/>
              </w:rPr>
              <w:t>poussières sous la limite d’exposition, utiliser un système de ventilation locale ou générale.</w:t>
            </w:r>
          </w:p>
          <w:p w14:paraId="4180B799" w14:textId="3FB1F249" w:rsidR="00DB0460" w:rsidRPr="00260790" w:rsidRDefault="00DB0460" w:rsidP="00EA1906">
            <w:pPr>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Porter des lunettes de sécurité munies d’</w:t>
            </w:r>
            <w:r w:rsidR="00874DDA" w:rsidRPr="00260790">
              <w:rPr>
                <w:rFonts w:ascii="Times New Roman" w:hAnsi="Times New Roman"/>
                <w:color w:val="000000" w:themeColor="text1"/>
                <w:sz w:val="21"/>
                <w:szCs w:val="21"/>
              </w:rPr>
              <w:t>œillères</w:t>
            </w:r>
            <w:r w:rsidRPr="00260790">
              <w:rPr>
                <w:rFonts w:ascii="Times New Roman" w:hAnsi="Times New Roman"/>
                <w:color w:val="000000" w:themeColor="text1"/>
                <w:sz w:val="21"/>
                <w:szCs w:val="21"/>
              </w:rPr>
              <w:t xml:space="preserve"> ou des lunettes étanches approuvées par ANSI ou CSA.</w:t>
            </w:r>
          </w:p>
          <w:p w14:paraId="02103DDB" w14:textId="77777777" w:rsidR="00DB0460" w:rsidRPr="00260790" w:rsidRDefault="00DB0460" w:rsidP="00EA1906">
            <w:pPr>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Fournir des douches oculaires d’urgence.</w:t>
            </w:r>
          </w:p>
        </w:tc>
      </w:tr>
      <w:tr w:rsidR="00EA1906" w:rsidRPr="00260790" w14:paraId="1DA599D5" w14:textId="77777777" w:rsidTr="00EA1906">
        <w:trPr>
          <w:trHeight w:val="81"/>
        </w:trPr>
        <w:tc>
          <w:tcPr>
            <w:tcW w:w="1413" w:type="dxa"/>
            <w:tcMar>
              <w:left w:w="57" w:type="dxa"/>
              <w:right w:w="57" w:type="dxa"/>
            </w:tcMar>
            <w:vAlign w:val="center"/>
          </w:tcPr>
          <w:p w14:paraId="596F3457" w14:textId="77777777" w:rsidR="00DB0460" w:rsidRPr="00260790" w:rsidRDefault="00DB0460" w:rsidP="00EA1906">
            <w:pPr>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Gravier</w:t>
            </w:r>
          </w:p>
        </w:tc>
        <w:tc>
          <w:tcPr>
            <w:tcW w:w="1276" w:type="dxa"/>
            <w:tcMar>
              <w:left w:w="57" w:type="dxa"/>
              <w:right w:w="57" w:type="dxa"/>
            </w:tcMar>
            <w:vAlign w:val="center"/>
          </w:tcPr>
          <w:p w14:paraId="1A37E259" w14:textId="77777777" w:rsidR="00DB0460" w:rsidRPr="00260790" w:rsidRDefault="00DB0460" w:rsidP="00EA1906">
            <w:pPr>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Sans objet</w:t>
            </w:r>
          </w:p>
        </w:tc>
        <w:tc>
          <w:tcPr>
            <w:tcW w:w="2551" w:type="dxa"/>
            <w:tcMar>
              <w:left w:w="57" w:type="dxa"/>
              <w:right w:w="57" w:type="dxa"/>
            </w:tcMar>
            <w:vAlign w:val="center"/>
          </w:tcPr>
          <w:p w14:paraId="6CF323A8" w14:textId="77777777" w:rsidR="00DB0460" w:rsidRPr="00260790" w:rsidRDefault="00DB0460" w:rsidP="00EA1906">
            <w:pPr>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Sans objet</w:t>
            </w:r>
          </w:p>
        </w:tc>
        <w:tc>
          <w:tcPr>
            <w:tcW w:w="1701" w:type="dxa"/>
            <w:tcMar>
              <w:left w:w="57" w:type="dxa"/>
              <w:right w:w="57" w:type="dxa"/>
            </w:tcMar>
            <w:vAlign w:val="center"/>
          </w:tcPr>
          <w:p w14:paraId="46ABCE21" w14:textId="77777777" w:rsidR="00DB0460" w:rsidRPr="00260790" w:rsidRDefault="00DB0460" w:rsidP="00EA1906">
            <w:pPr>
              <w:spacing w:after="0" w:line="240" w:lineRule="auto"/>
              <w:jc w:val="both"/>
              <w:rPr>
                <w:rFonts w:ascii="Times New Roman" w:hAnsi="Times New Roman"/>
                <w:noProof/>
                <w:color w:val="000000" w:themeColor="text1"/>
                <w:sz w:val="21"/>
                <w:szCs w:val="21"/>
              </w:rPr>
            </w:pPr>
            <w:r w:rsidRPr="00260790">
              <w:rPr>
                <w:rFonts w:ascii="Times New Roman" w:hAnsi="Times New Roman"/>
                <w:color w:val="000000" w:themeColor="text1"/>
                <w:sz w:val="21"/>
                <w:szCs w:val="21"/>
              </w:rPr>
              <w:t>Sans objet</w:t>
            </w:r>
          </w:p>
        </w:tc>
        <w:tc>
          <w:tcPr>
            <w:tcW w:w="2268" w:type="dxa"/>
            <w:tcMar>
              <w:left w:w="57" w:type="dxa"/>
              <w:right w:w="57" w:type="dxa"/>
            </w:tcMar>
            <w:vAlign w:val="center"/>
          </w:tcPr>
          <w:p w14:paraId="480FA99F" w14:textId="164EF1A2" w:rsidR="00DB0460" w:rsidRPr="00260790" w:rsidRDefault="00DB0460" w:rsidP="00EA1906">
            <w:pPr>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Sans objet</w:t>
            </w:r>
          </w:p>
        </w:tc>
        <w:tc>
          <w:tcPr>
            <w:tcW w:w="2920" w:type="dxa"/>
            <w:tcMar>
              <w:left w:w="57" w:type="dxa"/>
              <w:right w:w="57" w:type="dxa"/>
            </w:tcMar>
            <w:vAlign w:val="center"/>
          </w:tcPr>
          <w:p w14:paraId="1BEB063D" w14:textId="77777777" w:rsidR="00DB0460" w:rsidRPr="00260790" w:rsidRDefault="00DB0460" w:rsidP="00EA1906">
            <w:pPr>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 xml:space="preserve">                         Sans objet  </w:t>
            </w:r>
          </w:p>
        </w:tc>
        <w:tc>
          <w:tcPr>
            <w:tcW w:w="3034" w:type="dxa"/>
            <w:tcMar>
              <w:left w:w="57" w:type="dxa"/>
              <w:right w:w="57" w:type="dxa"/>
            </w:tcMar>
            <w:vAlign w:val="center"/>
          </w:tcPr>
          <w:p w14:paraId="225B24F5" w14:textId="77777777" w:rsidR="00DB0460" w:rsidRPr="00260790" w:rsidRDefault="00DB0460" w:rsidP="001748C6">
            <w:pPr>
              <w:numPr>
                <w:ilvl w:val="0"/>
                <w:numId w:val="187"/>
              </w:numPr>
              <w:autoSpaceDE w:val="0"/>
              <w:autoSpaceDN w:val="0"/>
              <w:adjustRightInd w:val="0"/>
              <w:spacing w:after="0" w:line="240" w:lineRule="auto"/>
              <w:jc w:val="both"/>
              <w:rPr>
                <w:rFonts w:ascii="Times New Roman" w:hAnsi="Times New Roman"/>
                <w:color w:val="000000" w:themeColor="text1"/>
                <w:sz w:val="21"/>
                <w:szCs w:val="21"/>
              </w:rPr>
            </w:pPr>
            <w:r w:rsidRPr="00260790">
              <w:rPr>
                <w:rFonts w:ascii="Times New Roman" w:hAnsi="Times New Roman"/>
                <w:color w:val="000000" w:themeColor="text1"/>
                <w:sz w:val="21"/>
                <w:szCs w:val="21"/>
              </w:rPr>
              <w:t>Les vêtements de travail et les équipements de protection individuelle (chaussures, lunettes…) sont nécessaires</w:t>
            </w:r>
          </w:p>
        </w:tc>
      </w:tr>
    </w:tbl>
    <w:p w14:paraId="750B3726" w14:textId="77777777" w:rsidR="00DB0460" w:rsidRPr="00260790" w:rsidRDefault="00DB0460" w:rsidP="00E20250">
      <w:pPr>
        <w:spacing w:after="0" w:line="240" w:lineRule="auto"/>
        <w:jc w:val="both"/>
        <w:rPr>
          <w:rFonts w:ascii="Times New Roman" w:eastAsia="Times New Roman" w:hAnsi="Times New Roman"/>
          <w:color w:val="000000" w:themeColor="text1"/>
          <w:sz w:val="24"/>
          <w:szCs w:val="24"/>
          <w:lang w:eastAsia="fr-CA"/>
        </w:rPr>
        <w:sectPr w:rsidR="00DB0460" w:rsidRPr="00260790" w:rsidSect="00935981">
          <w:pgSz w:w="16817" w:h="11901" w:orient="landscape"/>
          <w:pgMar w:top="1418" w:right="1418" w:bottom="1418" w:left="1418" w:header="709" w:footer="454" w:gutter="0"/>
          <w:cols w:space="708"/>
          <w:docGrid w:linePitch="360"/>
        </w:sectPr>
      </w:pPr>
    </w:p>
    <w:p w14:paraId="4A4FA48A" w14:textId="77777777" w:rsidR="00DB0460" w:rsidRPr="00260790" w:rsidRDefault="00DB0460" w:rsidP="001748C6">
      <w:pPr>
        <w:pStyle w:val="CHAPITRE1"/>
        <w:numPr>
          <w:ilvl w:val="3"/>
          <w:numId w:val="139"/>
        </w:numPr>
        <w:rPr>
          <w:rFonts w:cs="Times New Roman"/>
          <w:i/>
          <w:iCs/>
        </w:rPr>
      </w:pPr>
      <w:bookmarkStart w:id="702" w:name="_Toc212725148"/>
      <w:r w:rsidRPr="00260790">
        <w:rPr>
          <w:rFonts w:cs="Times New Roman"/>
          <w:i/>
          <w:iCs/>
        </w:rPr>
        <w:lastRenderedPageBreak/>
        <w:t>Dangers liés aux équipements/procédés en phase chantier</w:t>
      </w:r>
      <w:bookmarkEnd w:id="702"/>
    </w:p>
    <w:p w14:paraId="6C682629" w14:textId="77777777" w:rsidR="00DB0460" w:rsidRPr="00260790" w:rsidRDefault="00DB0460" w:rsidP="00E20250">
      <w:pPr>
        <w:spacing w:line="240" w:lineRule="auto"/>
        <w:jc w:val="both"/>
        <w:rPr>
          <w:rFonts w:ascii="Times New Roman" w:hAnsi="Times New Roman"/>
          <w:b/>
          <w:bCs/>
          <w:color w:val="000000" w:themeColor="text1"/>
        </w:rPr>
      </w:pPr>
      <w:r w:rsidRPr="00260790">
        <w:rPr>
          <w:rFonts w:ascii="Times New Roman" w:hAnsi="Times New Roman"/>
          <w:b/>
          <w:bCs/>
          <w:color w:val="000000" w:themeColor="text1"/>
        </w:rPr>
        <w:t>Selon les milieux les principaux équipements utilisés en phase chantier sont :</w:t>
      </w:r>
    </w:p>
    <w:p w14:paraId="728CDF8A" w14:textId="77777777" w:rsidR="00DB0460" w:rsidRPr="00260790" w:rsidRDefault="00DB0460" w:rsidP="00E20250">
      <w:pPr>
        <w:spacing w:before="240" w:after="60" w:line="240" w:lineRule="auto"/>
        <w:ind w:left="360"/>
        <w:jc w:val="both"/>
        <w:rPr>
          <w:rFonts w:ascii="Times New Roman" w:eastAsia="Times New Roman" w:hAnsi="Times New Roman"/>
          <w:b/>
          <w:color w:val="000000" w:themeColor="text1"/>
        </w:rPr>
      </w:pPr>
      <w:r w:rsidRPr="00260790">
        <w:rPr>
          <w:rFonts w:ascii="Times New Roman" w:eastAsia="Times New Roman" w:hAnsi="Times New Roman"/>
          <w:b/>
          <w:color w:val="000000" w:themeColor="text1"/>
        </w:rPr>
        <w:t>Les équipements seront analysés selon l’usage :</w:t>
      </w:r>
    </w:p>
    <w:p w14:paraId="216899A9" w14:textId="77777777" w:rsidR="00DB0460" w:rsidRPr="00260790" w:rsidRDefault="00DB0460" w:rsidP="001748C6">
      <w:pPr>
        <w:pStyle w:val="Paragraphedeliste"/>
        <w:numPr>
          <w:ilvl w:val="0"/>
          <w:numId w:val="150"/>
        </w:numPr>
        <w:autoSpaceDE w:val="0"/>
        <w:autoSpaceDN w:val="0"/>
        <w:adjustRightInd w:val="0"/>
        <w:spacing w:after="200" w:line="240" w:lineRule="auto"/>
        <w:jc w:val="both"/>
        <w:rPr>
          <w:rFonts w:ascii="Times New Roman" w:hAnsi="Times New Roman"/>
          <w:b/>
          <w:color w:val="000000" w:themeColor="text1"/>
        </w:rPr>
      </w:pPr>
      <w:r w:rsidRPr="00260790">
        <w:rPr>
          <w:rFonts w:ascii="Times New Roman" w:hAnsi="Times New Roman"/>
          <w:b/>
          <w:color w:val="000000" w:themeColor="text1"/>
        </w:rPr>
        <w:t>Risques liés aux engins de chantier</w:t>
      </w:r>
    </w:p>
    <w:p w14:paraId="44DBAADB"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Les engins de transports, de levage et d’excavation sont constitués de différents types de systèmes mécaniques et hydrauliques dont leur dysfonctionnement peut présenter un potentiel de dangers. Ces systèmes hydrauliques fonctionnent grâce à de très grandes pressions de fluides.  Une fuite d’air, d’huile ou une rupture de flexibles au niveau de ces engins peut entrainer des dommages collatéraux. Un dysfonctionnement du système de freinage ou une absence de maintenance au niveau des parties mécaniques en rotation des engins tels que les pneus présente un potentiel de dangers. </w:t>
      </w:r>
    </w:p>
    <w:p w14:paraId="3A3671D2"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Ces engins de levage et de manutention devront subir des tests de conformité.</w:t>
      </w:r>
    </w:p>
    <w:p w14:paraId="55B94C18"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accessoires de levage (câbles, élingues, sangles, manilles, crochets) seront inspectés avant utilisation.</w:t>
      </w:r>
    </w:p>
    <w:p w14:paraId="40A92782"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p w14:paraId="345D8A8E" w14:textId="77777777" w:rsidR="00DB0460" w:rsidRPr="00260790" w:rsidRDefault="00DB0460" w:rsidP="00E20250">
      <w:pPr>
        <w:spacing w:after="0" w:line="240" w:lineRule="auto"/>
        <w:jc w:val="both"/>
        <w:rPr>
          <w:rFonts w:ascii="Times New Roman" w:eastAsia="Times New Roman" w:hAnsi="Times New Roman"/>
          <w:iCs/>
          <w:color w:val="000000" w:themeColor="text1"/>
          <w:lang w:eastAsia="fr-FR" w:bidi="en-US"/>
        </w:rPr>
      </w:pPr>
      <w:r w:rsidRPr="00260790">
        <w:rPr>
          <w:rFonts w:ascii="Times New Roman" w:eastAsia="Times New Roman" w:hAnsi="Times New Roman"/>
          <w:iCs/>
          <w:color w:val="000000" w:themeColor="text1"/>
          <w:lang w:eastAsia="fr-FR" w:bidi="en-US"/>
        </w:rPr>
        <w:t>Les principaux risques liés à l’utilisation des engins sont :</w:t>
      </w:r>
    </w:p>
    <w:p w14:paraId="03994BBF" w14:textId="7907AEF5" w:rsidR="00DB0460" w:rsidRPr="00260790" w:rsidRDefault="00DB0460" w:rsidP="001748C6">
      <w:pPr>
        <w:numPr>
          <w:ilvl w:val="0"/>
          <w:numId w:val="171"/>
        </w:numPr>
        <w:spacing w:after="0" w:line="240" w:lineRule="auto"/>
        <w:contextualSpacing/>
        <w:jc w:val="both"/>
        <w:rPr>
          <w:rFonts w:ascii="Times New Roman" w:hAnsi="Times New Roman"/>
          <w:iCs/>
          <w:color w:val="000000" w:themeColor="text1"/>
          <w:lang w:bidi="en-US"/>
        </w:rPr>
      </w:pPr>
      <w:proofErr w:type="gramStart"/>
      <w:r w:rsidRPr="00260790">
        <w:rPr>
          <w:rFonts w:ascii="Times New Roman" w:hAnsi="Times New Roman"/>
          <w:iCs/>
          <w:color w:val="000000" w:themeColor="text1"/>
          <w:lang w:bidi="en-US"/>
        </w:rPr>
        <w:t>le</w:t>
      </w:r>
      <w:proofErr w:type="gramEnd"/>
      <w:r w:rsidRPr="00260790">
        <w:rPr>
          <w:rFonts w:ascii="Times New Roman" w:hAnsi="Times New Roman"/>
          <w:iCs/>
          <w:color w:val="000000" w:themeColor="text1"/>
          <w:lang w:bidi="en-US"/>
        </w:rPr>
        <w:t xml:space="preserve"> risque de heurt d’une personne par l’engin : circulation en marche arrière, visibilité vers l’avant ou les côtés insuffisant</w:t>
      </w:r>
      <w:r w:rsidR="00E956AE" w:rsidRPr="00260790">
        <w:rPr>
          <w:rFonts w:ascii="Times New Roman" w:hAnsi="Times New Roman"/>
          <w:iCs/>
          <w:color w:val="000000" w:themeColor="text1"/>
          <w:lang w:bidi="en-US"/>
        </w:rPr>
        <w:t>s</w:t>
      </w:r>
      <w:r w:rsidRPr="00260790">
        <w:rPr>
          <w:rFonts w:ascii="Times New Roman" w:hAnsi="Times New Roman"/>
          <w:iCs/>
          <w:color w:val="000000" w:themeColor="text1"/>
          <w:lang w:bidi="en-US"/>
        </w:rPr>
        <w:t xml:space="preserve"> (charge encombrante)</w:t>
      </w:r>
    </w:p>
    <w:p w14:paraId="2AFB8FEA" w14:textId="77777777" w:rsidR="00DB0460" w:rsidRPr="00260790" w:rsidRDefault="00DB0460" w:rsidP="001748C6">
      <w:pPr>
        <w:numPr>
          <w:ilvl w:val="0"/>
          <w:numId w:val="171"/>
        </w:numPr>
        <w:spacing w:after="0" w:line="240" w:lineRule="auto"/>
        <w:contextualSpacing/>
        <w:jc w:val="both"/>
        <w:rPr>
          <w:rFonts w:ascii="Times New Roman" w:hAnsi="Times New Roman"/>
          <w:iCs/>
          <w:color w:val="000000" w:themeColor="text1"/>
          <w:lang w:bidi="en-US"/>
        </w:rPr>
      </w:pPr>
      <w:proofErr w:type="gramStart"/>
      <w:r w:rsidRPr="00260790">
        <w:rPr>
          <w:rFonts w:ascii="Times New Roman" w:hAnsi="Times New Roman"/>
          <w:iCs/>
          <w:color w:val="000000" w:themeColor="text1"/>
          <w:lang w:bidi="en-US"/>
        </w:rPr>
        <w:t>le</w:t>
      </w:r>
      <w:proofErr w:type="gramEnd"/>
      <w:r w:rsidRPr="00260790">
        <w:rPr>
          <w:rFonts w:ascii="Times New Roman" w:hAnsi="Times New Roman"/>
          <w:iCs/>
          <w:color w:val="000000" w:themeColor="text1"/>
          <w:lang w:bidi="en-US"/>
        </w:rPr>
        <w:t xml:space="preserve"> risque de renversement ou de basculement de l’engin : vitesse excessive, en courbe notamment, circulation charge haute, sol en pente ou en dévers,</w:t>
      </w:r>
    </w:p>
    <w:p w14:paraId="0FCCE053" w14:textId="77777777" w:rsidR="00DB0460" w:rsidRPr="00260790" w:rsidRDefault="00DB0460" w:rsidP="001748C6">
      <w:pPr>
        <w:numPr>
          <w:ilvl w:val="0"/>
          <w:numId w:val="171"/>
        </w:numPr>
        <w:spacing w:after="0" w:line="240" w:lineRule="auto"/>
        <w:contextualSpacing/>
        <w:jc w:val="both"/>
        <w:rPr>
          <w:rFonts w:ascii="Times New Roman" w:hAnsi="Times New Roman"/>
          <w:iCs/>
          <w:color w:val="000000" w:themeColor="text1"/>
          <w:lang w:bidi="en-US"/>
        </w:rPr>
      </w:pPr>
      <w:proofErr w:type="gramStart"/>
      <w:r w:rsidRPr="00260790">
        <w:rPr>
          <w:rFonts w:ascii="Times New Roman" w:hAnsi="Times New Roman"/>
          <w:iCs/>
          <w:color w:val="000000" w:themeColor="text1"/>
          <w:lang w:bidi="en-US"/>
        </w:rPr>
        <w:t>le</w:t>
      </w:r>
      <w:proofErr w:type="gramEnd"/>
      <w:r w:rsidRPr="00260790">
        <w:rPr>
          <w:rFonts w:ascii="Times New Roman" w:hAnsi="Times New Roman"/>
          <w:iCs/>
          <w:color w:val="000000" w:themeColor="text1"/>
          <w:lang w:bidi="en-US"/>
        </w:rPr>
        <w:t xml:space="preserve"> risque de chute de la charge : instabilité de la charge, mauvais positionnement de la charge sur les bras de fourche,</w:t>
      </w:r>
    </w:p>
    <w:p w14:paraId="41C67B3D" w14:textId="77777777" w:rsidR="00DB0460" w:rsidRPr="00260790" w:rsidRDefault="00DB0460" w:rsidP="001748C6">
      <w:pPr>
        <w:numPr>
          <w:ilvl w:val="0"/>
          <w:numId w:val="171"/>
        </w:numPr>
        <w:spacing w:after="0" w:line="240" w:lineRule="auto"/>
        <w:contextualSpacing/>
        <w:jc w:val="both"/>
        <w:rPr>
          <w:rFonts w:ascii="Times New Roman" w:hAnsi="Times New Roman"/>
          <w:iCs/>
          <w:color w:val="000000" w:themeColor="text1"/>
          <w:lang w:bidi="en-US"/>
        </w:rPr>
      </w:pPr>
      <w:r w:rsidRPr="00260790">
        <w:rPr>
          <w:rFonts w:ascii="Times New Roman" w:hAnsi="Times New Roman"/>
          <w:iCs/>
          <w:color w:val="000000" w:themeColor="text1"/>
          <w:lang w:bidi="en-US"/>
        </w:rPr>
        <w:t>Le risque d’envol de poussières</w:t>
      </w:r>
    </w:p>
    <w:p w14:paraId="767297A4" w14:textId="77777777" w:rsidR="00DB0460" w:rsidRPr="00260790" w:rsidRDefault="00DB0460" w:rsidP="00E20250">
      <w:pPr>
        <w:spacing w:after="0" w:line="240" w:lineRule="auto"/>
        <w:jc w:val="both"/>
        <w:rPr>
          <w:rFonts w:ascii="Times New Roman" w:eastAsia="Times New Roman" w:hAnsi="Times New Roman"/>
          <w:iCs/>
          <w:color w:val="000000" w:themeColor="text1"/>
          <w:lang w:eastAsia="fr-FR" w:bidi="en-US"/>
        </w:rPr>
      </w:pPr>
      <w:r w:rsidRPr="00260790">
        <w:rPr>
          <w:rFonts w:ascii="Times New Roman" w:eastAsia="Times New Roman" w:hAnsi="Times New Roman"/>
          <w:iCs/>
          <w:color w:val="000000" w:themeColor="text1"/>
          <w:lang w:eastAsia="fr-FR" w:bidi="en-US"/>
        </w:rPr>
        <w:t>Pour prévenir ces risques liés aux équipements de manutention, il faut nécessairement :</w:t>
      </w:r>
    </w:p>
    <w:p w14:paraId="25306F88" w14:textId="77777777" w:rsidR="00DB0460" w:rsidRPr="00260790" w:rsidRDefault="00DB0460" w:rsidP="001748C6">
      <w:pPr>
        <w:numPr>
          <w:ilvl w:val="0"/>
          <w:numId w:val="172"/>
        </w:numPr>
        <w:spacing w:after="0" w:line="240" w:lineRule="auto"/>
        <w:contextualSpacing/>
        <w:jc w:val="both"/>
        <w:rPr>
          <w:rFonts w:ascii="Times New Roman" w:hAnsi="Times New Roman"/>
          <w:iCs/>
          <w:color w:val="000000" w:themeColor="text1"/>
          <w:lang w:bidi="en-US"/>
        </w:rPr>
      </w:pPr>
      <w:r w:rsidRPr="00260790">
        <w:rPr>
          <w:rFonts w:ascii="Times New Roman" w:hAnsi="Times New Roman"/>
          <w:iCs/>
          <w:color w:val="000000" w:themeColor="text1"/>
          <w:lang w:bidi="en-US"/>
        </w:rPr>
        <w:t>Former le personnel sur l’utilisation des engins,</w:t>
      </w:r>
    </w:p>
    <w:p w14:paraId="4E337F1C" w14:textId="77777777" w:rsidR="00DB0460" w:rsidRPr="00260790" w:rsidRDefault="00DB0460" w:rsidP="001748C6">
      <w:pPr>
        <w:numPr>
          <w:ilvl w:val="0"/>
          <w:numId w:val="172"/>
        </w:numPr>
        <w:spacing w:after="0" w:line="240" w:lineRule="auto"/>
        <w:contextualSpacing/>
        <w:jc w:val="both"/>
        <w:rPr>
          <w:rFonts w:ascii="Times New Roman" w:hAnsi="Times New Roman"/>
          <w:iCs/>
          <w:color w:val="000000" w:themeColor="text1"/>
          <w:lang w:bidi="en-US"/>
        </w:rPr>
      </w:pPr>
      <w:r w:rsidRPr="00260790">
        <w:rPr>
          <w:rFonts w:ascii="Times New Roman" w:hAnsi="Times New Roman"/>
          <w:iCs/>
          <w:color w:val="000000" w:themeColor="text1"/>
          <w:lang w:bidi="en-US"/>
        </w:rPr>
        <w:t>Utiliser des moyens de manutention adaptés aux charges,</w:t>
      </w:r>
    </w:p>
    <w:p w14:paraId="28A032AF" w14:textId="77777777" w:rsidR="00DB0460" w:rsidRPr="00260790" w:rsidRDefault="00DB0460" w:rsidP="001748C6">
      <w:pPr>
        <w:numPr>
          <w:ilvl w:val="0"/>
          <w:numId w:val="172"/>
        </w:numPr>
        <w:spacing w:after="0" w:line="240" w:lineRule="auto"/>
        <w:contextualSpacing/>
        <w:jc w:val="both"/>
        <w:rPr>
          <w:rFonts w:ascii="Times New Roman" w:hAnsi="Times New Roman"/>
          <w:iCs/>
          <w:color w:val="000000" w:themeColor="text1"/>
          <w:lang w:bidi="en-US"/>
        </w:rPr>
      </w:pPr>
      <w:r w:rsidRPr="00260790">
        <w:rPr>
          <w:rFonts w:ascii="Times New Roman" w:hAnsi="Times New Roman"/>
          <w:iCs/>
          <w:color w:val="000000" w:themeColor="text1"/>
          <w:lang w:bidi="en-US"/>
        </w:rPr>
        <w:t>Utiliser des engins conformes à la réglementation,</w:t>
      </w:r>
    </w:p>
    <w:p w14:paraId="24C5316D" w14:textId="77777777" w:rsidR="00DB0460" w:rsidRPr="00260790" w:rsidRDefault="00DB0460" w:rsidP="001748C6">
      <w:pPr>
        <w:numPr>
          <w:ilvl w:val="0"/>
          <w:numId w:val="172"/>
        </w:numPr>
        <w:spacing w:after="0" w:line="240" w:lineRule="auto"/>
        <w:contextualSpacing/>
        <w:jc w:val="both"/>
        <w:rPr>
          <w:rFonts w:ascii="Times New Roman" w:hAnsi="Times New Roman"/>
          <w:iCs/>
          <w:color w:val="000000" w:themeColor="text1"/>
          <w:lang w:bidi="en-US"/>
        </w:rPr>
      </w:pPr>
      <w:r w:rsidRPr="00260790">
        <w:rPr>
          <w:rFonts w:ascii="Times New Roman" w:hAnsi="Times New Roman"/>
          <w:iCs/>
          <w:color w:val="000000" w:themeColor="text1"/>
          <w:lang w:bidi="en-US"/>
        </w:rPr>
        <w:t>Arroser régulièrement les pistes de circulation,</w:t>
      </w:r>
    </w:p>
    <w:p w14:paraId="3C05F1DF" w14:textId="77777777" w:rsidR="00DB0460" w:rsidRPr="00260790" w:rsidRDefault="00DB0460" w:rsidP="001748C6">
      <w:pPr>
        <w:numPr>
          <w:ilvl w:val="0"/>
          <w:numId w:val="172"/>
        </w:numPr>
        <w:spacing w:after="0" w:line="240" w:lineRule="auto"/>
        <w:contextualSpacing/>
        <w:jc w:val="both"/>
        <w:rPr>
          <w:rFonts w:ascii="Times New Roman" w:hAnsi="Times New Roman"/>
          <w:iCs/>
          <w:color w:val="000000" w:themeColor="text1"/>
          <w:lang w:bidi="en-US"/>
        </w:rPr>
      </w:pPr>
      <w:r w:rsidRPr="00260790">
        <w:rPr>
          <w:rFonts w:ascii="Times New Roman" w:hAnsi="Times New Roman"/>
          <w:iCs/>
          <w:color w:val="000000" w:themeColor="text1"/>
          <w:lang w:bidi="en-US"/>
        </w:rPr>
        <w:t>Mettre en place des règles de circulation,</w:t>
      </w:r>
    </w:p>
    <w:p w14:paraId="4B1CD898" w14:textId="77777777" w:rsidR="00DB0460" w:rsidRPr="00260790" w:rsidRDefault="00DB0460" w:rsidP="001748C6">
      <w:pPr>
        <w:numPr>
          <w:ilvl w:val="0"/>
          <w:numId w:val="172"/>
        </w:numPr>
        <w:spacing w:after="0" w:line="240" w:lineRule="auto"/>
        <w:contextualSpacing/>
        <w:jc w:val="both"/>
        <w:rPr>
          <w:rFonts w:ascii="Times New Roman" w:hAnsi="Times New Roman"/>
          <w:iCs/>
          <w:color w:val="000000" w:themeColor="text1"/>
          <w:lang w:bidi="en-US"/>
        </w:rPr>
      </w:pPr>
      <w:r w:rsidRPr="00260790">
        <w:rPr>
          <w:rFonts w:ascii="Times New Roman" w:hAnsi="Times New Roman"/>
          <w:iCs/>
          <w:color w:val="000000" w:themeColor="text1"/>
          <w:lang w:bidi="en-US"/>
        </w:rPr>
        <w:t>Faire l’entretien préventif des engins (les accessoires de levage).</w:t>
      </w:r>
    </w:p>
    <w:p w14:paraId="2CAE1E3B" w14:textId="6D989A48" w:rsidR="00DB0460" w:rsidRPr="00260790" w:rsidRDefault="00DB0460" w:rsidP="001748C6">
      <w:pPr>
        <w:pStyle w:val="Paragraphedeliste"/>
        <w:numPr>
          <w:ilvl w:val="0"/>
          <w:numId w:val="150"/>
        </w:numPr>
        <w:autoSpaceDE w:val="0"/>
        <w:autoSpaceDN w:val="0"/>
        <w:adjustRightInd w:val="0"/>
        <w:spacing w:after="200" w:line="240" w:lineRule="auto"/>
        <w:jc w:val="both"/>
        <w:rPr>
          <w:rFonts w:ascii="Times New Roman" w:hAnsi="Times New Roman"/>
          <w:b/>
          <w:color w:val="000000" w:themeColor="text1"/>
        </w:rPr>
      </w:pPr>
      <w:r w:rsidRPr="00260790">
        <w:rPr>
          <w:rFonts w:ascii="Times New Roman" w:hAnsi="Times New Roman"/>
          <w:b/>
          <w:color w:val="000000" w:themeColor="text1"/>
        </w:rPr>
        <w:t xml:space="preserve">Risques liés aux bétonnières </w:t>
      </w:r>
    </w:p>
    <w:p w14:paraId="2ECA7D33"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La bétonnière est une machine qui sert à fabriquer des mortiers et des bétons </w:t>
      </w:r>
      <w:proofErr w:type="gramStart"/>
      <w:r w:rsidRPr="00260790">
        <w:rPr>
          <w:rFonts w:ascii="Times New Roman" w:eastAsia="Times New Roman" w:hAnsi="Times New Roman"/>
          <w:color w:val="000000" w:themeColor="text1"/>
          <w:lang w:eastAsia="fr-FR"/>
        </w:rPr>
        <w:t>suite au</w:t>
      </w:r>
      <w:proofErr w:type="gramEnd"/>
      <w:r w:rsidRPr="00260790">
        <w:rPr>
          <w:rFonts w:ascii="Times New Roman" w:eastAsia="Times New Roman" w:hAnsi="Times New Roman"/>
          <w:color w:val="000000" w:themeColor="text1"/>
          <w:lang w:eastAsia="fr-FR"/>
        </w:rPr>
        <w:t xml:space="preserve"> mélange de différentes composantes telles que ciment, chaux, sable, eau.  Elle est composée d’un châssis, et d’un récipient cylindrique que l’on fait tourner à l’aide de la force que transmet un moteur électrique ou thermique. Les principaux risques liés aux bétonnières sont les suivants :</w:t>
      </w:r>
    </w:p>
    <w:p w14:paraId="2931D71C" w14:textId="36CFDFDF" w:rsidR="00DB0460" w:rsidRPr="00260790" w:rsidRDefault="00046EA0" w:rsidP="001748C6">
      <w:pPr>
        <w:numPr>
          <w:ilvl w:val="0"/>
          <w:numId w:val="170"/>
        </w:num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É</w:t>
      </w:r>
      <w:r w:rsidR="00DB0460" w:rsidRPr="00260790">
        <w:rPr>
          <w:rFonts w:ascii="Times New Roman" w:eastAsia="Times New Roman" w:hAnsi="Times New Roman"/>
          <w:color w:val="000000" w:themeColor="text1"/>
          <w:lang w:eastAsia="fr-FR"/>
        </w:rPr>
        <w:t>crasement en cas de protection insuffisante de la carcasse</w:t>
      </w:r>
    </w:p>
    <w:p w14:paraId="78160EE2" w14:textId="77777777" w:rsidR="00DB0460" w:rsidRPr="00260790" w:rsidRDefault="00DB0460" w:rsidP="001748C6">
      <w:pPr>
        <w:numPr>
          <w:ilvl w:val="0"/>
          <w:numId w:val="170"/>
        </w:num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Décharges électriques</w:t>
      </w:r>
    </w:p>
    <w:p w14:paraId="0145D969" w14:textId="77777777" w:rsidR="00DB0460" w:rsidRPr="00260790" w:rsidRDefault="00DB0460" w:rsidP="001748C6">
      <w:pPr>
        <w:numPr>
          <w:ilvl w:val="0"/>
          <w:numId w:val="170"/>
        </w:num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Efforts excessifs</w:t>
      </w:r>
    </w:p>
    <w:p w14:paraId="6FB2346F" w14:textId="77777777" w:rsidR="00DB0460" w:rsidRPr="00260790" w:rsidRDefault="00DB0460" w:rsidP="001748C6">
      <w:pPr>
        <w:numPr>
          <w:ilvl w:val="0"/>
          <w:numId w:val="170"/>
        </w:num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Coups portés par éléments mobiles</w:t>
      </w:r>
    </w:p>
    <w:p w14:paraId="2292755F" w14:textId="77777777" w:rsidR="00DB0460" w:rsidRPr="00260790" w:rsidRDefault="00DB0460" w:rsidP="001748C6">
      <w:pPr>
        <w:numPr>
          <w:ilvl w:val="0"/>
          <w:numId w:val="170"/>
        </w:num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Poussière dans l’atmosphère</w:t>
      </w:r>
    </w:p>
    <w:p w14:paraId="67AD83DE" w14:textId="77777777" w:rsidR="00DB0460" w:rsidRPr="00260790" w:rsidRDefault="00DB0460" w:rsidP="001748C6">
      <w:pPr>
        <w:numPr>
          <w:ilvl w:val="0"/>
          <w:numId w:val="170"/>
        </w:num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Retournement et écrasement lors de son transport.</w:t>
      </w:r>
    </w:p>
    <w:p w14:paraId="06A8CAFF" w14:textId="77777777" w:rsidR="00DB0460" w:rsidRPr="00260790" w:rsidRDefault="00DB0460" w:rsidP="00E20250">
      <w:pPr>
        <w:autoSpaceDE w:val="0"/>
        <w:autoSpaceDN w:val="0"/>
        <w:adjustRightInd w:val="0"/>
        <w:spacing w:after="0" w:line="240" w:lineRule="auto"/>
        <w:ind w:left="720"/>
        <w:jc w:val="both"/>
        <w:rPr>
          <w:rFonts w:ascii="Times New Roman" w:eastAsia="Times New Roman" w:hAnsi="Times New Roman"/>
          <w:color w:val="000000" w:themeColor="text1"/>
          <w:lang w:eastAsia="fr-FR"/>
        </w:rPr>
      </w:pPr>
    </w:p>
    <w:p w14:paraId="148048F8" w14:textId="77777777" w:rsidR="00DB0460" w:rsidRPr="00260790" w:rsidRDefault="00DB0460" w:rsidP="001748C6">
      <w:pPr>
        <w:numPr>
          <w:ilvl w:val="0"/>
          <w:numId w:val="166"/>
        </w:numPr>
        <w:spacing w:after="200" w:line="240" w:lineRule="auto"/>
        <w:contextualSpacing/>
        <w:jc w:val="both"/>
        <w:rPr>
          <w:rFonts w:ascii="Times New Roman" w:hAnsi="Times New Roman"/>
          <w:b/>
          <w:color w:val="000000" w:themeColor="text1"/>
        </w:rPr>
      </w:pPr>
      <w:r w:rsidRPr="00260790">
        <w:rPr>
          <w:rFonts w:ascii="Times New Roman" w:hAnsi="Times New Roman"/>
          <w:b/>
          <w:color w:val="000000" w:themeColor="text1"/>
        </w:rPr>
        <w:t xml:space="preserve">Risques liés aux travaux de génie civil </w:t>
      </w:r>
    </w:p>
    <w:p w14:paraId="187C0BA4"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principaux risques liés aux travaux de génie civil sont les suivants :</w:t>
      </w:r>
    </w:p>
    <w:p w14:paraId="69D7593C" w14:textId="77777777" w:rsidR="00DB0460" w:rsidRPr="00260790" w:rsidRDefault="00DB0460" w:rsidP="001748C6">
      <w:pPr>
        <w:numPr>
          <w:ilvl w:val="0"/>
          <w:numId w:val="173"/>
        </w:numPr>
        <w:spacing w:after="200" w:line="240" w:lineRule="auto"/>
        <w:contextualSpacing/>
        <w:jc w:val="both"/>
        <w:rPr>
          <w:rFonts w:ascii="Times New Roman" w:hAnsi="Times New Roman"/>
          <w:b/>
          <w:color w:val="000000" w:themeColor="text1"/>
        </w:rPr>
      </w:pPr>
      <w:r w:rsidRPr="00260790">
        <w:rPr>
          <w:rFonts w:ascii="Times New Roman" w:hAnsi="Times New Roman"/>
          <w:b/>
          <w:color w:val="000000" w:themeColor="text1"/>
        </w:rPr>
        <w:t>Risques liés aux travaux (terrassement, creusement…)</w:t>
      </w:r>
    </w:p>
    <w:p w14:paraId="058737A7" w14:textId="55C68E8C"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opérations de terrassement et creusé</w:t>
      </w:r>
      <w:r w:rsidR="00046EA0" w:rsidRPr="00260790">
        <w:rPr>
          <w:rFonts w:ascii="Times New Roman" w:eastAsia="Times New Roman" w:hAnsi="Times New Roman"/>
          <w:color w:val="000000" w:themeColor="text1"/>
          <w:lang w:eastAsia="fr-FR"/>
        </w:rPr>
        <w:t>e</w:t>
      </w:r>
      <w:r w:rsidRPr="00260790">
        <w:rPr>
          <w:rFonts w:ascii="Times New Roman" w:eastAsia="Times New Roman" w:hAnsi="Times New Roman"/>
          <w:color w:val="000000" w:themeColor="text1"/>
          <w:lang w:eastAsia="fr-FR"/>
        </w:rPr>
        <w:t xml:space="preserve">s présentent souvent des risques.   </w:t>
      </w:r>
    </w:p>
    <w:p w14:paraId="2F6EC7E1" w14:textId="77777777" w:rsidR="00DB0460" w:rsidRPr="00260790" w:rsidRDefault="00DB0460" w:rsidP="00E20250">
      <w:pPr>
        <w:spacing w:after="6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Au moment des opérations, des engins se trouvent généralement dans des positions de déséquilibre pouvant entrainer leur renversement par la même occasion des blessures chez les piétons qui circulent à proximité. Le risque de chute d’objet est aussi à prendre en compte lors des déplacements des charges par les engins.</w:t>
      </w:r>
    </w:p>
    <w:p w14:paraId="354E9B18" w14:textId="77777777" w:rsidR="00EA1906" w:rsidRPr="00260790" w:rsidRDefault="00EA1906">
      <w:pPr>
        <w:spacing w:line="259"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br w:type="page"/>
      </w:r>
    </w:p>
    <w:p w14:paraId="47F6BDC8" w14:textId="4AEE5C0F"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lastRenderedPageBreak/>
        <w:t>Les travaux de terrassement et construction sont généralement associés à des risques tels que :</w:t>
      </w:r>
    </w:p>
    <w:p w14:paraId="5FDB8097" w14:textId="77777777" w:rsidR="00DB0460" w:rsidRPr="00260790" w:rsidRDefault="00DB0460" w:rsidP="001748C6">
      <w:pPr>
        <w:numPr>
          <w:ilvl w:val="0"/>
          <w:numId w:val="169"/>
        </w:numPr>
        <w:spacing w:after="0" w:line="240" w:lineRule="auto"/>
        <w:contextualSpacing/>
        <w:jc w:val="both"/>
        <w:rPr>
          <w:rFonts w:ascii="Times New Roman" w:hAnsi="Times New Roman"/>
          <w:color w:val="000000" w:themeColor="text1"/>
        </w:rPr>
      </w:pPr>
      <w:r w:rsidRPr="00260790">
        <w:rPr>
          <w:rFonts w:ascii="Times New Roman" w:hAnsi="Times New Roman"/>
          <w:color w:val="000000" w:themeColor="text1"/>
        </w:rPr>
        <w:t>Renversement d’engins ;</w:t>
      </w:r>
    </w:p>
    <w:p w14:paraId="02E10005" w14:textId="77777777" w:rsidR="00DB0460" w:rsidRPr="00260790" w:rsidRDefault="00DB0460" w:rsidP="001748C6">
      <w:pPr>
        <w:numPr>
          <w:ilvl w:val="0"/>
          <w:numId w:val="169"/>
        </w:numPr>
        <w:spacing w:after="0" w:line="240" w:lineRule="auto"/>
        <w:contextualSpacing/>
        <w:jc w:val="both"/>
        <w:rPr>
          <w:rFonts w:ascii="Times New Roman" w:hAnsi="Times New Roman"/>
          <w:color w:val="000000" w:themeColor="text1"/>
        </w:rPr>
      </w:pPr>
      <w:r w:rsidRPr="00260790">
        <w:rPr>
          <w:rFonts w:ascii="Times New Roman" w:hAnsi="Times New Roman"/>
          <w:color w:val="000000" w:themeColor="text1"/>
        </w:rPr>
        <w:t>Heurt de piéton par engin ;</w:t>
      </w:r>
    </w:p>
    <w:p w14:paraId="0CCA6728" w14:textId="77777777" w:rsidR="00DB0460" w:rsidRPr="00260790" w:rsidRDefault="00DB0460" w:rsidP="001748C6">
      <w:pPr>
        <w:numPr>
          <w:ilvl w:val="0"/>
          <w:numId w:val="169"/>
        </w:numPr>
        <w:spacing w:after="0" w:line="240" w:lineRule="auto"/>
        <w:contextualSpacing/>
        <w:jc w:val="both"/>
        <w:rPr>
          <w:rFonts w:ascii="Times New Roman" w:hAnsi="Times New Roman"/>
          <w:color w:val="000000" w:themeColor="text1"/>
        </w:rPr>
      </w:pPr>
      <w:r w:rsidRPr="00260790">
        <w:rPr>
          <w:rFonts w:ascii="Times New Roman" w:hAnsi="Times New Roman"/>
          <w:color w:val="000000" w:themeColor="text1"/>
        </w:rPr>
        <w:t>Envol de poussières ;</w:t>
      </w:r>
    </w:p>
    <w:p w14:paraId="4BE42ADF" w14:textId="77777777" w:rsidR="00DB0460" w:rsidRPr="00260790" w:rsidRDefault="00DB0460" w:rsidP="001748C6">
      <w:pPr>
        <w:numPr>
          <w:ilvl w:val="0"/>
          <w:numId w:val="169"/>
        </w:numPr>
        <w:spacing w:after="0" w:line="240" w:lineRule="auto"/>
        <w:contextualSpacing/>
        <w:jc w:val="both"/>
        <w:rPr>
          <w:rFonts w:ascii="Times New Roman" w:hAnsi="Times New Roman"/>
          <w:color w:val="000000" w:themeColor="text1"/>
        </w:rPr>
      </w:pPr>
      <w:r w:rsidRPr="00260790">
        <w:rPr>
          <w:rFonts w:ascii="Times New Roman" w:hAnsi="Times New Roman"/>
          <w:color w:val="000000" w:themeColor="text1"/>
        </w:rPr>
        <w:t>Chute de plain –pied liée à l’encombrement du site ;</w:t>
      </w:r>
    </w:p>
    <w:p w14:paraId="0B4D8678" w14:textId="77777777" w:rsidR="00DB0460" w:rsidRPr="00260790" w:rsidRDefault="00DB0460" w:rsidP="001748C6">
      <w:pPr>
        <w:numPr>
          <w:ilvl w:val="0"/>
          <w:numId w:val="169"/>
        </w:numPr>
        <w:spacing w:after="0" w:line="240" w:lineRule="auto"/>
        <w:contextualSpacing/>
        <w:jc w:val="both"/>
        <w:rPr>
          <w:rFonts w:ascii="Times New Roman" w:hAnsi="Times New Roman"/>
          <w:color w:val="000000" w:themeColor="text1"/>
        </w:rPr>
      </w:pPr>
      <w:r w:rsidRPr="00260790">
        <w:rPr>
          <w:rFonts w:ascii="Times New Roman" w:hAnsi="Times New Roman"/>
          <w:color w:val="000000" w:themeColor="text1"/>
        </w:rPr>
        <w:t>Contact avec outil coupant ou machine en mouvement ;</w:t>
      </w:r>
    </w:p>
    <w:p w14:paraId="382C6F81" w14:textId="77777777" w:rsidR="00DB0460" w:rsidRPr="00260790" w:rsidRDefault="00DB0460" w:rsidP="001748C6">
      <w:pPr>
        <w:numPr>
          <w:ilvl w:val="0"/>
          <w:numId w:val="169"/>
        </w:numPr>
        <w:spacing w:after="0" w:line="240" w:lineRule="auto"/>
        <w:contextualSpacing/>
        <w:jc w:val="both"/>
        <w:rPr>
          <w:rFonts w:ascii="Times New Roman" w:hAnsi="Times New Roman"/>
          <w:color w:val="000000" w:themeColor="text1"/>
        </w:rPr>
      </w:pPr>
      <w:r w:rsidRPr="00260790">
        <w:rPr>
          <w:rFonts w:ascii="Times New Roman" w:hAnsi="Times New Roman"/>
          <w:color w:val="000000" w:themeColor="text1"/>
        </w:rPr>
        <w:t>Chute de hauteur …</w:t>
      </w:r>
    </w:p>
    <w:p w14:paraId="1BBE6D66" w14:textId="77777777" w:rsidR="00DB0460" w:rsidRPr="00260790" w:rsidRDefault="00DB0460" w:rsidP="001748C6">
      <w:pPr>
        <w:numPr>
          <w:ilvl w:val="0"/>
          <w:numId w:val="167"/>
        </w:numPr>
        <w:spacing w:after="120" w:line="240" w:lineRule="auto"/>
        <w:jc w:val="both"/>
        <w:rPr>
          <w:rFonts w:ascii="Times New Roman" w:hAnsi="Times New Roman"/>
          <w:b/>
          <w:bCs/>
          <w:color w:val="000000" w:themeColor="text1"/>
        </w:rPr>
      </w:pPr>
      <w:r w:rsidRPr="00260790">
        <w:rPr>
          <w:rFonts w:ascii="Times New Roman" w:hAnsi="Times New Roman"/>
          <w:b/>
          <w:bCs/>
          <w:color w:val="000000" w:themeColor="text1"/>
        </w:rPr>
        <w:t xml:space="preserve">Risques liés à la réalisation de tranchées </w:t>
      </w:r>
    </w:p>
    <w:p w14:paraId="7377AB1B" w14:textId="77777777" w:rsidR="00DB0460" w:rsidRPr="00260790" w:rsidRDefault="00DB0460" w:rsidP="00E20250">
      <w:pPr>
        <w:autoSpaceDE w:val="0"/>
        <w:autoSpaceDN w:val="0"/>
        <w:adjustRightInd w:val="0"/>
        <w:spacing w:after="12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risques associés à la réalisation des tranchées sont les suivants :</w:t>
      </w:r>
    </w:p>
    <w:p w14:paraId="50EC2ED5" w14:textId="77777777" w:rsidR="00DB0460" w:rsidRPr="00260790" w:rsidRDefault="00DB0460" w:rsidP="001748C6">
      <w:pPr>
        <w:numPr>
          <w:ilvl w:val="0"/>
          <w:numId w:val="168"/>
        </w:numPr>
        <w:spacing w:after="12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Au renversement par des véhicules circulant au voisinage des lieux de travail ;</w:t>
      </w:r>
    </w:p>
    <w:p w14:paraId="0FCD7D52" w14:textId="77777777" w:rsidR="00DB0460" w:rsidRPr="00260790" w:rsidRDefault="00DB0460" w:rsidP="001748C6">
      <w:pPr>
        <w:numPr>
          <w:ilvl w:val="0"/>
          <w:numId w:val="168"/>
        </w:numPr>
        <w:autoSpaceDE w:val="0"/>
        <w:autoSpaceDN w:val="0"/>
        <w:adjustRightInd w:val="0"/>
        <w:spacing w:after="12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À l’électrisation ou électrocution par contact accidentel avec un conducteur électrique enterré.</w:t>
      </w:r>
    </w:p>
    <w:p w14:paraId="594D6165" w14:textId="77777777" w:rsidR="00DB0460" w:rsidRPr="00260790" w:rsidRDefault="00DB0460" w:rsidP="001748C6">
      <w:pPr>
        <w:numPr>
          <w:ilvl w:val="0"/>
          <w:numId w:val="168"/>
        </w:numPr>
        <w:spacing w:after="12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À l’éboulement de la tranchée entraînant l’ensevelissement ou l’écrasement de l’opérateur.</w:t>
      </w:r>
    </w:p>
    <w:p w14:paraId="089E38C9" w14:textId="77777777" w:rsidR="00DB0460" w:rsidRPr="00260790" w:rsidRDefault="00DB0460" w:rsidP="001748C6">
      <w:pPr>
        <w:numPr>
          <w:ilvl w:val="0"/>
          <w:numId w:val="168"/>
        </w:numPr>
        <w:spacing w:after="12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À la chute de l’ouvrier ou d’une tierce personne dans la tranchée.</w:t>
      </w:r>
    </w:p>
    <w:p w14:paraId="38F5295F" w14:textId="77777777" w:rsidR="00DB0460" w:rsidRPr="00260790" w:rsidRDefault="00DB0460" w:rsidP="001748C6">
      <w:pPr>
        <w:numPr>
          <w:ilvl w:val="0"/>
          <w:numId w:val="168"/>
        </w:numPr>
        <w:spacing w:after="12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À la chute d’objets sur l’ouvrier situé au fond de la tranchée.</w:t>
      </w:r>
    </w:p>
    <w:p w14:paraId="3040FDC0" w14:textId="37CE2BD2" w:rsidR="00DB0460" w:rsidRPr="00260790" w:rsidRDefault="009965A6" w:rsidP="001748C6">
      <w:pPr>
        <w:numPr>
          <w:ilvl w:val="0"/>
          <w:numId w:val="168"/>
        </w:numPr>
        <w:spacing w:after="12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À</w:t>
      </w:r>
      <w:r w:rsidR="00DB0460" w:rsidRPr="00260790">
        <w:rPr>
          <w:rFonts w:ascii="Times New Roman" w:eastAsia="Times New Roman" w:hAnsi="Times New Roman"/>
          <w:color w:val="000000" w:themeColor="text1"/>
          <w:lang w:eastAsia="fr-FR"/>
        </w:rPr>
        <w:t xml:space="preserve"> l’électrocution ou le départ d’incendie, d</w:t>
      </w:r>
      <w:r w:rsidR="00046EA0" w:rsidRPr="00260790">
        <w:rPr>
          <w:rFonts w:ascii="Times New Roman" w:eastAsia="Times New Roman" w:hAnsi="Times New Roman"/>
          <w:color w:val="000000" w:themeColor="text1"/>
          <w:lang w:eastAsia="fr-FR"/>
        </w:rPr>
        <w:t>us</w:t>
      </w:r>
      <w:r w:rsidR="00DB0460" w:rsidRPr="00260790">
        <w:rPr>
          <w:rFonts w:ascii="Times New Roman" w:eastAsia="Times New Roman" w:hAnsi="Times New Roman"/>
          <w:color w:val="000000" w:themeColor="text1"/>
          <w:lang w:eastAsia="fr-FR"/>
        </w:rPr>
        <w:t xml:space="preserve"> à la présence de matériaux inflammables à proximité d’aires d’installations de lasers à forte puissance.</w:t>
      </w:r>
    </w:p>
    <w:p w14:paraId="4853793B" w14:textId="77777777" w:rsidR="00DB0460" w:rsidRPr="00260790" w:rsidRDefault="00DB0460" w:rsidP="001748C6">
      <w:pPr>
        <w:numPr>
          <w:ilvl w:val="0"/>
          <w:numId w:val="166"/>
        </w:numPr>
        <w:spacing w:after="200" w:line="240" w:lineRule="auto"/>
        <w:contextualSpacing/>
        <w:jc w:val="both"/>
        <w:rPr>
          <w:rFonts w:ascii="Times New Roman" w:hAnsi="Times New Roman"/>
          <w:b/>
          <w:color w:val="000000" w:themeColor="text1"/>
        </w:rPr>
      </w:pPr>
      <w:r w:rsidRPr="00260790">
        <w:rPr>
          <w:rFonts w:ascii="Times New Roman" w:hAnsi="Times New Roman"/>
          <w:b/>
          <w:color w:val="000000" w:themeColor="text1"/>
        </w:rPr>
        <w:t>Risques liés à l’assemblage et à la pose des éléments préfabriqués</w:t>
      </w:r>
    </w:p>
    <w:p w14:paraId="455E950A" w14:textId="77777777" w:rsidR="00DB0460" w:rsidRPr="00260790" w:rsidRDefault="00DB0460" w:rsidP="00E20250">
      <w:pPr>
        <w:spacing w:line="240" w:lineRule="auto"/>
        <w:ind w:left="720"/>
        <w:contextualSpacing/>
        <w:jc w:val="both"/>
        <w:rPr>
          <w:rFonts w:ascii="Times New Roman" w:hAnsi="Times New Roman"/>
          <w:b/>
          <w:color w:val="000000" w:themeColor="text1"/>
        </w:rPr>
      </w:pPr>
    </w:p>
    <w:p w14:paraId="58887AD8"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risques les plus fréquemment rencontrés lors de la pose d’éléments préfabriqués sont les chutes de charges et les chutes depuis les équipements de travail en hauteur. Lors des travaux, les chutes se produisent depuis les échafaudages modulaires et les appareils d’élévation. Viennent ensuite dans la liste des risques, les chutes à même le sol, les chutes d’objets lors de leur manipulation, les coups et les coupures par les outils/équipements, les projections de fragments et de particules, les coinçages et les excès d’effort lors de la manipulation éléments. Il y’a aussi le risque de renversement d’engin ou de heurt de piéton par les engins.</w:t>
      </w:r>
    </w:p>
    <w:p w14:paraId="06DDA4FC" w14:textId="77777777" w:rsidR="00DB0460" w:rsidRPr="00260790" w:rsidRDefault="00DB0460" w:rsidP="001748C6">
      <w:pPr>
        <w:numPr>
          <w:ilvl w:val="0"/>
          <w:numId w:val="178"/>
        </w:numPr>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Risque lié aux circulations des engins de chantier</w:t>
      </w:r>
    </w:p>
    <w:p w14:paraId="000F1C56"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trafic induit par la circulation des engins de chantier et des véhicules constitue un facteur de risque important durant les travaux.</w:t>
      </w:r>
    </w:p>
    <w:p w14:paraId="5EBEB8FA"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risques les plus importants demeurent toutefois, l’accident résultant du heurt d’une personne par un engin de chantier (voiture, camion, engins de chantier, etc.) ou le renversement d’un engin ou camion.</w:t>
      </w:r>
    </w:p>
    <w:p w14:paraId="55CB2F54"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p>
    <w:p w14:paraId="6EE38F31" w14:textId="77777777" w:rsidR="00DB0460" w:rsidRPr="00260790" w:rsidRDefault="00DB0460" w:rsidP="001748C6">
      <w:pPr>
        <w:numPr>
          <w:ilvl w:val="0"/>
          <w:numId w:val="178"/>
        </w:numPr>
        <w:spacing w:after="0" w:line="240" w:lineRule="auto"/>
        <w:contextualSpacing/>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Risques liés aux travaux de soudure</w:t>
      </w:r>
    </w:p>
    <w:p w14:paraId="2AF9374C"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travaux de soudures avec l’utilisation de postes de soudure et/ou de bouteilles oxygène/acétylène, des meules et autres matériels peuvent générer divers risques :</w:t>
      </w:r>
    </w:p>
    <w:p w14:paraId="35CB390C" w14:textId="77777777" w:rsidR="00DB0460" w:rsidRPr="00260790" w:rsidRDefault="00DB0460" w:rsidP="001748C6">
      <w:pPr>
        <w:numPr>
          <w:ilvl w:val="0"/>
          <w:numId w:val="177"/>
        </w:numPr>
        <w:spacing w:after="0" w:line="240" w:lineRule="auto"/>
        <w:contextualSpacing/>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Production d’étincelle lors du meulage pouvant provoquer des brûlures,</w:t>
      </w:r>
    </w:p>
    <w:p w14:paraId="5058646A" w14:textId="4CBCE54F" w:rsidR="00DB0460" w:rsidRPr="00260790" w:rsidRDefault="00DB0460" w:rsidP="001748C6">
      <w:pPr>
        <w:numPr>
          <w:ilvl w:val="0"/>
          <w:numId w:val="177"/>
        </w:numPr>
        <w:spacing w:after="0" w:line="240" w:lineRule="auto"/>
        <w:contextualSpacing/>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Présence de gaz comprimés extrêmement inflammable</w:t>
      </w:r>
      <w:r w:rsidR="00046EA0" w:rsidRPr="00260790">
        <w:rPr>
          <w:rFonts w:ascii="Times New Roman" w:eastAsia="Times New Roman" w:hAnsi="Times New Roman"/>
          <w:color w:val="000000" w:themeColor="text1"/>
          <w:lang w:eastAsia="fr-FR"/>
        </w:rPr>
        <w:t>s</w:t>
      </w:r>
      <w:r w:rsidRPr="00260790">
        <w:rPr>
          <w:rFonts w:ascii="Times New Roman" w:eastAsia="Times New Roman" w:hAnsi="Times New Roman"/>
          <w:color w:val="000000" w:themeColor="text1"/>
          <w:lang w:eastAsia="fr-FR"/>
        </w:rPr>
        <w:t xml:space="preserve"> (acétylène) pouvant être à l’origine d’incendies ;</w:t>
      </w:r>
    </w:p>
    <w:p w14:paraId="6A11154A" w14:textId="77777777" w:rsidR="00DB0460" w:rsidRPr="00260790" w:rsidRDefault="00DB0460" w:rsidP="001748C6">
      <w:pPr>
        <w:numPr>
          <w:ilvl w:val="0"/>
          <w:numId w:val="177"/>
        </w:numPr>
        <w:spacing w:after="0" w:line="240" w:lineRule="auto"/>
        <w:contextualSpacing/>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L’explosion des bouteilles de gaz…</w:t>
      </w:r>
    </w:p>
    <w:p w14:paraId="2C6AAF78"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p w14:paraId="13DA648A" w14:textId="7B73EB6E"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Ces matériels et procédés utilisés lors des travaux peuvent créer des points chauds pour certains équipements à proximité et constituent par ailleurs des sources d’ignition pouvant entrainer un incendie.</w:t>
      </w:r>
    </w:p>
    <w:p w14:paraId="3C4FC2B9"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Il faut également souligner le risque lié aux rayonnements émis lors des soudures au chalumeau et à l’arc électrique (troubles visuels).</w:t>
      </w:r>
    </w:p>
    <w:p w14:paraId="5AEDFCB6"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L’assemblage des structures métalliques nécessitera l’utilisation de procédés de soudage (arc ou chalumeau) susceptibles d’engendrer des rayonnements nocifs aux ouvriers. Les rayonnements émis dépendent du métal soudé et de l’intensité du courant de soudage. Les rayonnements tels que les ultraviolets peuvent provoquer des coups d’arcs ou des érythèmes et les infrarouges des brûlures de la cornée et, par effet cumulatif, une opacité du cristallin, entre autres.</w:t>
      </w:r>
    </w:p>
    <w:p w14:paraId="7704B339"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Ainsi des dispositions particulières seront prises par l’entrepreneur lors des travaux avec la mise en place de dispositifs de sécurité tels que :</w:t>
      </w:r>
    </w:p>
    <w:p w14:paraId="0A5C7B22" w14:textId="291BDA7E" w:rsidR="00DB0460" w:rsidRPr="00260790" w:rsidRDefault="00DB0460" w:rsidP="001748C6">
      <w:pPr>
        <w:numPr>
          <w:ilvl w:val="0"/>
          <w:numId w:val="176"/>
        </w:numPr>
        <w:spacing w:before="100" w:beforeAutospacing="1" w:after="100" w:afterAutospacing="1" w:line="240" w:lineRule="auto"/>
        <w:contextualSpacing/>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lastRenderedPageBreak/>
        <w:t>Un fourgon</w:t>
      </w:r>
      <w:r w:rsidR="00046EA0" w:rsidRPr="00260790">
        <w:rPr>
          <w:rFonts w:ascii="Times New Roman" w:eastAsia="Times New Roman" w:hAnsi="Times New Roman"/>
          <w:color w:val="000000" w:themeColor="text1"/>
          <w:lang w:eastAsia="fr-FR"/>
        </w:rPr>
        <w:t>-</w:t>
      </w:r>
      <w:r w:rsidRPr="00260790">
        <w:rPr>
          <w:rFonts w:ascii="Times New Roman" w:eastAsia="Times New Roman" w:hAnsi="Times New Roman"/>
          <w:color w:val="000000" w:themeColor="text1"/>
          <w:lang w:eastAsia="fr-FR"/>
        </w:rPr>
        <w:t>pompe tonne avec son équipage ;</w:t>
      </w:r>
    </w:p>
    <w:p w14:paraId="18EC90B6" w14:textId="77777777" w:rsidR="00DB0460" w:rsidRPr="00260790" w:rsidRDefault="00DB0460" w:rsidP="001748C6">
      <w:pPr>
        <w:numPr>
          <w:ilvl w:val="0"/>
          <w:numId w:val="176"/>
        </w:numPr>
        <w:spacing w:before="100" w:beforeAutospacing="1" w:after="100" w:afterAutospacing="1" w:line="240" w:lineRule="auto"/>
        <w:contextualSpacing/>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Deux lances 40/14 en attente ;</w:t>
      </w:r>
    </w:p>
    <w:p w14:paraId="467842ED" w14:textId="77777777" w:rsidR="00DB0460" w:rsidRPr="00260790" w:rsidRDefault="00DB0460" w:rsidP="001748C6">
      <w:pPr>
        <w:numPr>
          <w:ilvl w:val="0"/>
          <w:numId w:val="176"/>
        </w:numPr>
        <w:spacing w:before="100" w:beforeAutospacing="1" w:after="100" w:afterAutospacing="1" w:line="240" w:lineRule="auto"/>
        <w:contextualSpacing/>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Explosimètre ;</w:t>
      </w:r>
    </w:p>
    <w:p w14:paraId="0EAC4967" w14:textId="77777777" w:rsidR="00DB0460" w:rsidRPr="00260790" w:rsidRDefault="00DB0460" w:rsidP="001748C6">
      <w:pPr>
        <w:numPr>
          <w:ilvl w:val="0"/>
          <w:numId w:val="176"/>
        </w:numPr>
        <w:spacing w:before="100" w:beforeAutospacing="1" w:after="100" w:afterAutospacing="1" w:line="240" w:lineRule="auto"/>
        <w:contextualSpacing/>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Extincteur : 01 - 50 kg ;</w:t>
      </w:r>
    </w:p>
    <w:p w14:paraId="0288BCF4" w14:textId="77777777" w:rsidR="00DB0460" w:rsidRPr="00260790" w:rsidRDefault="00DB0460" w:rsidP="001748C6">
      <w:pPr>
        <w:numPr>
          <w:ilvl w:val="0"/>
          <w:numId w:val="176"/>
        </w:numPr>
        <w:spacing w:before="100" w:beforeAutospacing="1" w:after="100" w:afterAutospacing="1" w:line="240" w:lineRule="auto"/>
        <w:contextualSpacing/>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Extincteurs : 04 – 9 kg ;</w:t>
      </w:r>
    </w:p>
    <w:p w14:paraId="52C58986" w14:textId="608BA369" w:rsidR="00DB0460" w:rsidRPr="00260790" w:rsidRDefault="00DB0460" w:rsidP="001748C6">
      <w:pPr>
        <w:numPr>
          <w:ilvl w:val="0"/>
          <w:numId w:val="176"/>
        </w:numPr>
        <w:spacing w:before="100" w:beforeAutospacing="1" w:after="100" w:afterAutospacing="1" w:line="240" w:lineRule="auto"/>
        <w:contextualSpacing/>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Couvertures </w:t>
      </w:r>
      <w:r w:rsidR="00874DDA" w:rsidRPr="00260790">
        <w:rPr>
          <w:rFonts w:ascii="Times New Roman" w:eastAsia="Times New Roman" w:hAnsi="Times New Roman"/>
          <w:color w:val="000000" w:themeColor="text1"/>
          <w:lang w:eastAsia="fr-FR"/>
        </w:rPr>
        <w:t>anti-feu</w:t>
      </w:r>
      <w:r w:rsidRPr="00260790">
        <w:rPr>
          <w:rFonts w:ascii="Times New Roman" w:eastAsia="Times New Roman" w:hAnsi="Times New Roman"/>
          <w:color w:val="000000" w:themeColor="text1"/>
          <w:lang w:eastAsia="fr-FR"/>
        </w:rPr>
        <w:t> ;</w:t>
      </w:r>
    </w:p>
    <w:p w14:paraId="7F39ABF3" w14:textId="77777777" w:rsidR="00DB0460" w:rsidRPr="00260790" w:rsidRDefault="00DB0460" w:rsidP="001748C6">
      <w:pPr>
        <w:numPr>
          <w:ilvl w:val="0"/>
          <w:numId w:val="176"/>
        </w:numPr>
        <w:spacing w:before="100" w:beforeAutospacing="1" w:after="100" w:afterAutospacing="1" w:line="240" w:lineRule="auto"/>
        <w:contextualSpacing/>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Plan de prévention en rapport avec les entreprises concernées tout le long du tracé ;</w:t>
      </w:r>
    </w:p>
    <w:p w14:paraId="62868B0D" w14:textId="77777777" w:rsidR="00DB0460" w:rsidRPr="00260790" w:rsidRDefault="00DB0460" w:rsidP="001748C6">
      <w:pPr>
        <w:numPr>
          <w:ilvl w:val="0"/>
          <w:numId w:val="176"/>
        </w:numPr>
        <w:spacing w:before="100" w:beforeAutospacing="1" w:after="100" w:afterAutospacing="1" w:line="240" w:lineRule="auto"/>
        <w:contextualSpacing/>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Permis de feu ;</w:t>
      </w:r>
    </w:p>
    <w:p w14:paraId="5E9162A3" w14:textId="77777777" w:rsidR="00DB0460" w:rsidRPr="00260790" w:rsidRDefault="00DB0460" w:rsidP="001748C6">
      <w:pPr>
        <w:numPr>
          <w:ilvl w:val="0"/>
          <w:numId w:val="176"/>
        </w:numPr>
        <w:spacing w:before="100" w:beforeAutospacing="1" w:after="100" w:afterAutospacing="1" w:line="240" w:lineRule="auto"/>
        <w:contextualSpacing/>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Permis de fouille ;</w:t>
      </w:r>
    </w:p>
    <w:p w14:paraId="0A81FD28" w14:textId="77777777" w:rsidR="00DB0460" w:rsidRPr="00260790" w:rsidRDefault="00DB0460" w:rsidP="001748C6">
      <w:pPr>
        <w:numPr>
          <w:ilvl w:val="0"/>
          <w:numId w:val="176"/>
        </w:numPr>
        <w:spacing w:before="100" w:beforeAutospacing="1" w:after="100" w:afterAutospacing="1" w:line="240" w:lineRule="auto"/>
        <w:contextualSpacing/>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Point sécurité chaque matin avant démarrage des travaux ;</w:t>
      </w:r>
    </w:p>
    <w:p w14:paraId="37D99743" w14:textId="77777777" w:rsidR="00DB0460" w:rsidRPr="00260790" w:rsidRDefault="00DB0460" w:rsidP="001748C6">
      <w:pPr>
        <w:numPr>
          <w:ilvl w:val="0"/>
          <w:numId w:val="176"/>
        </w:numPr>
        <w:spacing w:before="100" w:beforeAutospacing="1" w:after="100" w:afterAutospacing="1" w:line="240" w:lineRule="auto"/>
        <w:contextualSpacing/>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Boite à pharmacie ;</w:t>
      </w:r>
    </w:p>
    <w:p w14:paraId="318CB3DE" w14:textId="77777777" w:rsidR="00DB0460" w:rsidRPr="00260790" w:rsidRDefault="00DB0460" w:rsidP="001748C6">
      <w:pPr>
        <w:numPr>
          <w:ilvl w:val="0"/>
          <w:numId w:val="176"/>
        </w:numPr>
        <w:spacing w:before="100" w:beforeAutospacing="1" w:after="100" w:afterAutospacing="1" w:line="240" w:lineRule="auto"/>
        <w:contextualSpacing/>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Radios VHF en relation avec l’équipe d’extinction ; </w:t>
      </w:r>
    </w:p>
    <w:p w14:paraId="7DDD0CE8" w14:textId="77777777" w:rsidR="00DB0460" w:rsidRPr="00260790" w:rsidRDefault="00DB0460" w:rsidP="001748C6">
      <w:pPr>
        <w:numPr>
          <w:ilvl w:val="0"/>
          <w:numId w:val="176"/>
        </w:numPr>
        <w:spacing w:before="100" w:beforeAutospacing="1" w:after="100" w:afterAutospacing="1" w:line="240" w:lineRule="auto"/>
        <w:contextualSpacing/>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Etc.</w:t>
      </w:r>
    </w:p>
    <w:p w14:paraId="24452881"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p w14:paraId="0C2F9909" w14:textId="77777777" w:rsidR="00DB0460" w:rsidRPr="00260790" w:rsidRDefault="00DB0460" w:rsidP="001748C6">
      <w:pPr>
        <w:numPr>
          <w:ilvl w:val="0"/>
          <w:numId w:val="179"/>
        </w:numPr>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Risques liés au transport des matériaux sur site</w:t>
      </w:r>
    </w:p>
    <w:p w14:paraId="190E9C47"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L’acheminement des matériaux sur site comporte des risques liés à la circulation routière. On peut noter :</w:t>
      </w:r>
    </w:p>
    <w:p w14:paraId="608E177F" w14:textId="77777777" w:rsidR="00DB0460" w:rsidRPr="00260790" w:rsidRDefault="00DB0460" w:rsidP="001748C6">
      <w:pPr>
        <w:numPr>
          <w:ilvl w:val="0"/>
          <w:numId w:val="180"/>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renversement des camions ;</w:t>
      </w:r>
    </w:p>
    <w:p w14:paraId="46285CD2" w14:textId="54A64483" w:rsidR="00DB0460" w:rsidRPr="00260790" w:rsidRDefault="00DB0460" w:rsidP="001748C6">
      <w:pPr>
        <w:numPr>
          <w:ilvl w:val="0"/>
          <w:numId w:val="180"/>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 risque de collision </w:t>
      </w:r>
      <w:r w:rsidR="00874DDA" w:rsidRPr="00260790">
        <w:rPr>
          <w:rFonts w:ascii="Times New Roman" w:eastAsia="Times New Roman" w:hAnsi="Times New Roman"/>
          <w:color w:val="000000" w:themeColor="text1"/>
          <w:lang w:eastAsia="fr-FR"/>
        </w:rPr>
        <w:t xml:space="preserve">de </w:t>
      </w:r>
      <w:r w:rsidRPr="00260790">
        <w:rPr>
          <w:rFonts w:ascii="Times New Roman" w:eastAsia="Times New Roman" w:hAnsi="Times New Roman"/>
          <w:color w:val="000000" w:themeColor="text1"/>
          <w:lang w:eastAsia="fr-FR"/>
        </w:rPr>
        <w:t>camions et véhicules avec des tiers ;</w:t>
      </w:r>
    </w:p>
    <w:p w14:paraId="157DBD88" w14:textId="77777777" w:rsidR="00DB0460" w:rsidRPr="00260790" w:rsidRDefault="00DB0460" w:rsidP="001748C6">
      <w:pPr>
        <w:numPr>
          <w:ilvl w:val="0"/>
          <w:numId w:val="180"/>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risque de chute de matériel ;</w:t>
      </w:r>
    </w:p>
    <w:p w14:paraId="13DCCAB3" w14:textId="77777777" w:rsidR="00DB0460" w:rsidRPr="00260790" w:rsidRDefault="00DB0460" w:rsidP="001748C6">
      <w:pPr>
        <w:numPr>
          <w:ilvl w:val="0"/>
          <w:numId w:val="180"/>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risque de heurt des tiers sur le trajet ;</w:t>
      </w:r>
    </w:p>
    <w:p w14:paraId="1858E2A9" w14:textId="77777777" w:rsidR="00DB0460" w:rsidRPr="00260790" w:rsidRDefault="00DB0460" w:rsidP="001748C6">
      <w:pPr>
        <w:numPr>
          <w:ilvl w:val="0"/>
          <w:numId w:val="180"/>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risque d’envol de poussières lors de la circulation ;</w:t>
      </w:r>
    </w:p>
    <w:p w14:paraId="24FC38A0" w14:textId="77777777" w:rsidR="00DB0460" w:rsidRPr="00260790" w:rsidRDefault="00DB0460" w:rsidP="001748C6">
      <w:pPr>
        <w:numPr>
          <w:ilvl w:val="0"/>
          <w:numId w:val="180"/>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risque de panne mécanique en cours de route.</w:t>
      </w:r>
    </w:p>
    <w:p w14:paraId="7B1513AF" w14:textId="2C99CD18"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prévention de ces risques présentés ci</w:t>
      </w:r>
      <w:r w:rsidR="00046EA0" w:rsidRPr="00260790">
        <w:rPr>
          <w:rFonts w:ascii="Times New Roman" w:eastAsia="Times New Roman" w:hAnsi="Times New Roman"/>
          <w:color w:val="000000" w:themeColor="text1"/>
          <w:lang w:eastAsia="fr-FR"/>
        </w:rPr>
        <w:t>-</w:t>
      </w:r>
      <w:r w:rsidRPr="00260790">
        <w:rPr>
          <w:rFonts w:ascii="Times New Roman" w:eastAsia="Times New Roman" w:hAnsi="Times New Roman"/>
          <w:color w:val="000000" w:themeColor="text1"/>
          <w:lang w:eastAsia="fr-FR"/>
        </w:rPr>
        <w:t>haut nécessite la mise en place des mesures suivantes :</w:t>
      </w:r>
    </w:p>
    <w:p w14:paraId="72A11E4D" w14:textId="77777777" w:rsidR="00DB0460" w:rsidRPr="00260790" w:rsidRDefault="00DB0460" w:rsidP="001748C6">
      <w:pPr>
        <w:numPr>
          <w:ilvl w:val="0"/>
          <w:numId w:val="181"/>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L’utilisation de camions en bon état, adaptés et certifiés ;</w:t>
      </w:r>
    </w:p>
    <w:p w14:paraId="2A146862" w14:textId="77777777" w:rsidR="00DB0460" w:rsidRPr="00260790" w:rsidRDefault="00DB0460" w:rsidP="001748C6">
      <w:pPr>
        <w:numPr>
          <w:ilvl w:val="0"/>
          <w:numId w:val="181"/>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L’aptitude médicale des conducteurs ;</w:t>
      </w:r>
    </w:p>
    <w:p w14:paraId="6BF54D8B" w14:textId="77777777" w:rsidR="00DB0460" w:rsidRPr="00260790" w:rsidRDefault="00DB0460" w:rsidP="001748C6">
      <w:pPr>
        <w:numPr>
          <w:ilvl w:val="0"/>
          <w:numId w:val="181"/>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formation des conducteurs sur les règles de conduite ;</w:t>
      </w:r>
    </w:p>
    <w:p w14:paraId="3CACB473" w14:textId="77777777" w:rsidR="00DB0460" w:rsidRPr="00260790" w:rsidRDefault="00DB0460" w:rsidP="001748C6">
      <w:pPr>
        <w:numPr>
          <w:ilvl w:val="0"/>
          <w:numId w:val="181"/>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L’entretien périodique des camions ;</w:t>
      </w:r>
    </w:p>
    <w:p w14:paraId="4893696F" w14:textId="77777777" w:rsidR="00DB0460" w:rsidRPr="00260790" w:rsidRDefault="00DB0460" w:rsidP="001748C6">
      <w:pPr>
        <w:numPr>
          <w:ilvl w:val="0"/>
          <w:numId w:val="181"/>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vérification (inspection visuelle) des camions avant utilisation afin de détecter certaines défaillances ;</w:t>
      </w:r>
    </w:p>
    <w:p w14:paraId="5A409001" w14:textId="77777777" w:rsidR="00DB0460" w:rsidRPr="00260790" w:rsidRDefault="00DB0460" w:rsidP="001748C6">
      <w:pPr>
        <w:numPr>
          <w:ilvl w:val="0"/>
          <w:numId w:val="181"/>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contrôle périodique de l’état de santé des conducteurs et veiller à ce qu’ils se reposent ;</w:t>
      </w:r>
    </w:p>
    <w:p w14:paraId="79E1578B" w14:textId="77777777" w:rsidR="00DB0460" w:rsidRPr="00260790" w:rsidRDefault="00DB0460" w:rsidP="001748C6">
      <w:pPr>
        <w:numPr>
          <w:ilvl w:val="0"/>
          <w:numId w:val="181"/>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Limitation des vitesses dans les agglomérations ;</w:t>
      </w:r>
    </w:p>
    <w:p w14:paraId="54E85FE3" w14:textId="77777777" w:rsidR="00DB0460" w:rsidRPr="00260790" w:rsidRDefault="00DB0460" w:rsidP="001748C6">
      <w:pPr>
        <w:numPr>
          <w:ilvl w:val="0"/>
          <w:numId w:val="181"/>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Bâchage des camions</w:t>
      </w:r>
    </w:p>
    <w:p w14:paraId="71B372FC" w14:textId="77777777" w:rsidR="00DB0460" w:rsidRPr="00260790" w:rsidRDefault="00DB0460" w:rsidP="00E20250">
      <w:pPr>
        <w:spacing w:after="0" w:line="240" w:lineRule="auto"/>
        <w:ind w:left="720"/>
        <w:jc w:val="both"/>
        <w:rPr>
          <w:rFonts w:ascii="Times New Roman" w:eastAsia="Times New Roman" w:hAnsi="Times New Roman"/>
          <w:color w:val="000000" w:themeColor="text1"/>
          <w:lang w:eastAsia="fr-FR"/>
        </w:rPr>
      </w:pPr>
    </w:p>
    <w:p w14:paraId="0C4F207E" w14:textId="77777777" w:rsidR="00DB0460" w:rsidRPr="00260790" w:rsidRDefault="00DB0460" w:rsidP="001748C6">
      <w:pPr>
        <w:pStyle w:val="Paragraphedeliste"/>
        <w:numPr>
          <w:ilvl w:val="0"/>
          <w:numId w:val="184"/>
        </w:numPr>
        <w:spacing w:after="0" w:line="240" w:lineRule="auto"/>
        <w:jc w:val="both"/>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Risques liés aux groupes électrogènes</w:t>
      </w:r>
    </w:p>
    <w:p w14:paraId="529E2776"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groupes électrogènes sont constitués d’une partie mécanique et d’une partie électrique</w:t>
      </w:r>
    </w:p>
    <w:p w14:paraId="185CC1B8"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La partie mécanique est un moteur thermique avec des éléments mécaniques en rotation grâce à une combustion interne de gasoil ou de fioul lourd. Un mauvais fonctionnement de cette partie peut provoquer des incendies voire une explosion de l’ensemble. </w:t>
      </w:r>
    </w:p>
    <w:p w14:paraId="3980803E" w14:textId="7574D798"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partie électrique constituée d’un alternateur est entrainée par le moteur thermique, elle fournit une tension électrique élevée source d’électrocution</w:t>
      </w:r>
      <w:r w:rsidR="005C5B32" w:rsidRPr="00260790">
        <w:rPr>
          <w:rFonts w:ascii="Times New Roman" w:eastAsia="Times New Roman" w:hAnsi="Times New Roman"/>
          <w:color w:val="000000" w:themeColor="text1"/>
          <w:lang w:eastAsia="fr-FR"/>
        </w:rPr>
        <w:t>,</w:t>
      </w:r>
      <w:r w:rsidRPr="00260790">
        <w:rPr>
          <w:rFonts w:ascii="Times New Roman" w:eastAsia="Times New Roman" w:hAnsi="Times New Roman"/>
          <w:color w:val="000000" w:themeColor="text1"/>
          <w:lang w:eastAsia="fr-FR"/>
        </w:rPr>
        <w:t xml:space="preserve"> mais aussi de court-circuit pouvant entrainer un incendie.</w:t>
      </w:r>
    </w:p>
    <w:p w14:paraId="11C4A08B"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Des contraintes sur ces équipements peuvent potentiellement engendrer un risque d’échauffement.</w:t>
      </w:r>
    </w:p>
    <w:p w14:paraId="3F4FBC0E"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p w14:paraId="70EE2A78" w14:textId="77777777" w:rsidR="00DB0460" w:rsidRPr="00260790" w:rsidRDefault="00DB0460" w:rsidP="001748C6">
      <w:pPr>
        <w:pStyle w:val="CHAPITRE1"/>
        <w:numPr>
          <w:ilvl w:val="3"/>
          <w:numId w:val="139"/>
        </w:numPr>
        <w:rPr>
          <w:rFonts w:cs="Times New Roman"/>
          <w:i/>
          <w:iCs/>
        </w:rPr>
      </w:pPr>
      <w:bookmarkStart w:id="703" w:name="_Toc212725149"/>
      <w:r w:rsidRPr="00260790">
        <w:rPr>
          <w:rFonts w:cs="Times New Roman"/>
          <w:i/>
          <w:iCs/>
        </w:rPr>
        <w:t>Dangers liés aux installations et à leur exploitation</w:t>
      </w:r>
      <w:bookmarkEnd w:id="703"/>
    </w:p>
    <w:p w14:paraId="7BE01F12" w14:textId="77777777" w:rsidR="00DB0460" w:rsidRPr="00260790" w:rsidRDefault="00DB0460" w:rsidP="00E20250">
      <w:pPr>
        <w:spacing w:after="0" w:line="240" w:lineRule="auto"/>
        <w:jc w:val="both"/>
        <w:rPr>
          <w:rFonts w:ascii="Times New Roman" w:hAnsi="Times New Roman"/>
          <w:bCs/>
          <w:iCs/>
          <w:color w:val="000000" w:themeColor="text1"/>
        </w:rPr>
      </w:pPr>
      <w:r w:rsidRPr="00260790">
        <w:rPr>
          <w:rFonts w:ascii="Times New Roman" w:hAnsi="Times New Roman"/>
          <w:bCs/>
          <w:iCs/>
          <w:color w:val="000000" w:themeColor="text1"/>
        </w:rPr>
        <w:t xml:space="preserve">Cette partie traite les risques liés aux équipements présents au niveau des installations </w:t>
      </w:r>
    </w:p>
    <w:p w14:paraId="601501E1" w14:textId="77777777" w:rsidR="00DB0460" w:rsidRPr="00260790" w:rsidRDefault="00DB0460" w:rsidP="00E20250">
      <w:pPr>
        <w:spacing w:line="240" w:lineRule="auto"/>
        <w:jc w:val="both"/>
        <w:rPr>
          <w:rFonts w:ascii="Times New Roman" w:hAnsi="Times New Roman"/>
          <w:bCs/>
          <w:iCs/>
          <w:color w:val="000000" w:themeColor="text1"/>
        </w:rPr>
      </w:pPr>
      <w:r w:rsidRPr="00260790">
        <w:rPr>
          <w:rFonts w:ascii="Times New Roman" w:hAnsi="Times New Roman"/>
          <w:bCs/>
          <w:iCs/>
          <w:color w:val="000000" w:themeColor="text1"/>
        </w:rPr>
        <w:t>Les équipements présentant des risques sont détaillés ci-après :</w:t>
      </w:r>
    </w:p>
    <w:p w14:paraId="20F5F6D2" w14:textId="77777777" w:rsidR="00DB0460" w:rsidRPr="00260790" w:rsidRDefault="00DB0460" w:rsidP="001748C6">
      <w:pPr>
        <w:numPr>
          <w:ilvl w:val="0"/>
          <w:numId w:val="155"/>
        </w:numPr>
        <w:spacing w:after="200" w:line="240" w:lineRule="auto"/>
        <w:jc w:val="both"/>
        <w:rPr>
          <w:rFonts w:ascii="Times New Roman" w:hAnsi="Times New Roman"/>
          <w:b/>
          <w:bCs/>
          <w:iCs/>
          <w:color w:val="000000" w:themeColor="text1"/>
        </w:rPr>
      </w:pPr>
      <w:r w:rsidRPr="00260790">
        <w:rPr>
          <w:rFonts w:ascii="Times New Roman" w:hAnsi="Times New Roman"/>
          <w:b/>
          <w:bCs/>
          <w:iCs/>
          <w:color w:val="000000" w:themeColor="text1"/>
        </w:rPr>
        <w:t>Dangers liés aux bassins</w:t>
      </w:r>
    </w:p>
    <w:p w14:paraId="170AA737" w14:textId="235DE9D6" w:rsidR="00DB0460" w:rsidRPr="00260790" w:rsidRDefault="00DB0460" w:rsidP="00E20250">
      <w:pPr>
        <w:spacing w:after="0" w:line="240" w:lineRule="auto"/>
        <w:jc w:val="both"/>
        <w:rPr>
          <w:rFonts w:ascii="Times New Roman" w:hAnsi="Times New Roman"/>
          <w:bCs/>
          <w:iCs/>
          <w:color w:val="000000" w:themeColor="text1"/>
        </w:rPr>
      </w:pPr>
      <w:r w:rsidRPr="00260790">
        <w:rPr>
          <w:rFonts w:ascii="Times New Roman" w:hAnsi="Times New Roman"/>
          <w:bCs/>
          <w:iCs/>
          <w:color w:val="000000" w:themeColor="text1"/>
        </w:rPr>
        <w:t>Les bassins sont des espaces semi</w:t>
      </w:r>
      <w:r w:rsidR="00FC0256" w:rsidRPr="00260790">
        <w:rPr>
          <w:rFonts w:ascii="Times New Roman" w:hAnsi="Times New Roman"/>
          <w:bCs/>
          <w:iCs/>
          <w:color w:val="000000" w:themeColor="text1"/>
        </w:rPr>
        <w:t>-</w:t>
      </w:r>
      <w:r w:rsidRPr="00260790">
        <w:rPr>
          <w:rFonts w:ascii="Times New Roman" w:hAnsi="Times New Roman"/>
          <w:bCs/>
          <w:iCs/>
          <w:color w:val="000000" w:themeColor="text1"/>
        </w:rPr>
        <w:t xml:space="preserve">confinés. Un espace confiné est défini comme un espace fermé, totalement ou partiellement avec les caractéristiques suivantes ; </w:t>
      </w:r>
    </w:p>
    <w:p w14:paraId="0EBDA30E" w14:textId="047420D1" w:rsidR="00DB0460" w:rsidRPr="00260790" w:rsidRDefault="00DB0460" w:rsidP="00E20250">
      <w:pPr>
        <w:spacing w:after="0" w:line="240" w:lineRule="auto"/>
        <w:jc w:val="both"/>
        <w:rPr>
          <w:rFonts w:ascii="Times New Roman" w:hAnsi="Times New Roman"/>
          <w:bCs/>
          <w:iCs/>
          <w:color w:val="000000" w:themeColor="text1"/>
        </w:rPr>
      </w:pPr>
      <w:r w:rsidRPr="00260790">
        <w:rPr>
          <w:rFonts w:ascii="Times New Roman" w:hAnsi="Times New Roman"/>
          <w:bCs/>
          <w:iCs/>
          <w:color w:val="000000" w:themeColor="text1"/>
        </w:rPr>
        <w:t>Cet espace n’est pas au préalable conçu ni destiné à être occupé par du personnel</w:t>
      </w:r>
      <w:r w:rsidR="001E0A5F" w:rsidRPr="00260790">
        <w:rPr>
          <w:rFonts w:ascii="Times New Roman" w:hAnsi="Times New Roman"/>
          <w:bCs/>
          <w:iCs/>
          <w:color w:val="000000" w:themeColor="text1"/>
        </w:rPr>
        <w:t>.</w:t>
      </w:r>
    </w:p>
    <w:p w14:paraId="1C24FACC" w14:textId="77777777" w:rsidR="00DB0460" w:rsidRPr="00260790" w:rsidRDefault="00DB0460" w:rsidP="00E20250">
      <w:pPr>
        <w:spacing w:after="0" w:line="240" w:lineRule="auto"/>
        <w:jc w:val="both"/>
        <w:rPr>
          <w:rFonts w:ascii="Times New Roman" w:hAnsi="Times New Roman"/>
          <w:bCs/>
          <w:iCs/>
          <w:color w:val="000000" w:themeColor="text1"/>
        </w:rPr>
      </w:pPr>
      <w:r w:rsidRPr="00260790">
        <w:rPr>
          <w:rFonts w:ascii="Times New Roman" w:hAnsi="Times New Roman"/>
          <w:bCs/>
          <w:iCs/>
          <w:color w:val="000000" w:themeColor="text1"/>
        </w:rPr>
        <w:lastRenderedPageBreak/>
        <w:t xml:space="preserve">Les opérations qui s’y déroulent sont alors définies comme exceptionnelles, que ce soit au stade de la fabrication de ces espaces, de leur entretien (nettoyages en particulier) ou de leur maintenance (vérifications périodiques, réparations). </w:t>
      </w:r>
    </w:p>
    <w:p w14:paraId="51B62C1D" w14:textId="3B52E771" w:rsidR="00DB0460" w:rsidRPr="00260790" w:rsidRDefault="00DB0460" w:rsidP="00E20250">
      <w:pPr>
        <w:spacing w:after="0" w:line="240" w:lineRule="auto"/>
        <w:jc w:val="both"/>
        <w:rPr>
          <w:rFonts w:ascii="Times New Roman" w:hAnsi="Times New Roman"/>
          <w:bCs/>
          <w:iCs/>
          <w:color w:val="000000" w:themeColor="text1"/>
        </w:rPr>
      </w:pPr>
      <w:r w:rsidRPr="00260790">
        <w:rPr>
          <w:rFonts w:ascii="Times New Roman" w:hAnsi="Times New Roman"/>
          <w:bCs/>
          <w:iCs/>
          <w:color w:val="000000" w:themeColor="text1"/>
        </w:rPr>
        <w:t xml:space="preserve">Les moyens d’accès à l’intérieur doivent </w:t>
      </w:r>
      <w:r w:rsidR="00874DDA" w:rsidRPr="00260790">
        <w:rPr>
          <w:rFonts w:ascii="Times New Roman" w:hAnsi="Times New Roman"/>
          <w:bCs/>
          <w:iCs/>
          <w:color w:val="000000" w:themeColor="text1"/>
        </w:rPr>
        <w:t>être restreints</w:t>
      </w:r>
      <w:r w:rsidRPr="00260790">
        <w:rPr>
          <w:rFonts w:ascii="Times New Roman" w:hAnsi="Times New Roman"/>
          <w:bCs/>
          <w:iCs/>
          <w:color w:val="000000" w:themeColor="text1"/>
        </w:rPr>
        <w:t xml:space="preserve">, </w:t>
      </w:r>
    </w:p>
    <w:p w14:paraId="54C743BA" w14:textId="64E08198" w:rsidR="00DB0460" w:rsidRPr="00260790" w:rsidRDefault="00DB0460" w:rsidP="00E20250">
      <w:pPr>
        <w:spacing w:after="0" w:line="240" w:lineRule="auto"/>
        <w:jc w:val="both"/>
        <w:rPr>
          <w:rFonts w:ascii="Times New Roman" w:hAnsi="Times New Roman"/>
          <w:bCs/>
          <w:iCs/>
          <w:color w:val="000000" w:themeColor="text1"/>
        </w:rPr>
      </w:pPr>
      <w:r w:rsidRPr="00260790">
        <w:rPr>
          <w:rFonts w:ascii="Times New Roman" w:hAnsi="Times New Roman"/>
          <w:bCs/>
          <w:iCs/>
          <w:color w:val="000000" w:themeColor="text1"/>
        </w:rPr>
        <w:t>Lors de la pénétration dans ces espaces, les opérateurs peuvent être exposés à un nombre important de risques qu’il convient de maîtriser.</w:t>
      </w:r>
    </w:p>
    <w:p w14:paraId="7B7E25B0" w14:textId="0B0E551D" w:rsidR="00DB0460" w:rsidRPr="00260790" w:rsidRDefault="00DB0460" w:rsidP="00E20250">
      <w:pPr>
        <w:spacing w:after="0" w:line="240" w:lineRule="auto"/>
        <w:jc w:val="both"/>
        <w:rPr>
          <w:rFonts w:ascii="Times New Roman" w:hAnsi="Times New Roman"/>
          <w:bCs/>
          <w:iCs/>
          <w:color w:val="000000" w:themeColor="text1"/>
        </w:rPr>
      </w:pPr>
      <w:r w:rsidRPr="00260790">
        <w:rPr>
          <w:rFonts w:ascii="Times New Roman" w:hAnsi="Times New Roman"/>
          <w:bCs/>
          <w:iCs/>
          <w:color w:val="000000" w:themeColor="text1"/>
        </w:rPr>
        <w:t>Par rapport à l’environnement naturel</w:t>
      </w:r>
      <w:r w:rsidR="00FC0256" w:rsidRPr="00260790">
        <w:rPr>
          <w:rFonts w:ascii="Times New Roman" w:hAnsi="Times New Roman"/>
          <w:bCs/>
          <w:iCs/>
          <w:color w:val="000000" w:themeColor="text1"/>
        </w:rPr>
        <w:t>,</w:t>
      </w:r>
      <w:r w:rsidRPr="00260790">
        <w:rPr>
          <w:rFonts w:ascii="Times New Roman" w:hAnsi="Times New Roman"/>
          <w:bCs/>
          <w:iCs/>
          <w:color w:val="000000" w:themeColor="text1"/>
        </w:rPr>
        <w:t xml:space="preserve"> les risques associés aux basins sont les suivants : </w:t>
      </w:r>
    </w:p>
    <w:p w14:paraId="3178B917" w14:textId="77777777" w:rsidR="00DB0460" w:rsidRPr="00260790" w:rsidRDefault="00DB0460" w:rsidP="001748C6">
      <w:pPr>
        <w:numPr>
          <w:ilvl w:val="0"/>
          <w:numId w:val="195"/>
        </w:numPr>
        <w:spacing w:after="0" w:line="240" w:lineRule="auto"/>
        <w:jc w:val="both"/>
        <w:rPr>
          <w:rFonts w:ascii="Times New Roman" w:hAnsi="Times New Roman"/>
          <w:bCs/>
          <w:iCs/>
          <w:color w:val="000000" w:themeColor="text1"/>
        </w:rPr>
      </w:pPr>
      <w:r w:rsidRPr="00260790">
        <w:rPr>
          <w:rFonts w:ascii="Times New Roman" w:hAnsi="Times New Roman"/>
          <w:bCs/>
          <w:iCs/>
          <w:color w:val="000000" w:themeColor="text1"/>
        </w:rPr>
        <w:t>Pollution de la nappe ;</w:t>
      </w:r>
    </w:p>
    <w:p w14:paraId="7F616D69" w14:textId="2DE24C49" w:rsidR="00DB0460" w:rsidRPr="00260790" w:rsidRDefault="00DB0460" w:rsidP="001748C6">
      <w:pPr>
        <w:numPr>
          <w:ilvl w:val="0"/>
          <w:numId w:val="195"/>
        </w:numPr>
        <w:spacing w:after="0" w:line="240" w:lineRule="auto"/>
        <w:jc w:val="both"/>
        <w:rPr>
          <w:rFonts w:ascii="Times New Roman" w:hAnsi="Times New Roman"/>
          <w:bCs/>
          <w:iCs/>
          <w:color w:val="000000" w:themeColor="text1"/>
        </w:rPr>
      </w:pPr>
      <w:r w:rsidRPr="00260790">
        <w:rPr>
          <w:rFonts w:ascii="Times New Roman" w:hAnsi="Times New Roman"/>
          <w:bCs/>
          <w:iCs/>
          <w:color w:val="000000" w:themeColor="text1"/>
        </w:rPr>
        <w:t xml:space="preserve">Risques de </w:t>
      </w:r>
      <w:r w:rsidR="001D22B7">
        <w:rPr>
          <w:rFonts w:ascii="Times New Roman" w:hAnsi="Times New Roman"/>
          <w:bCs/>
          <w:iCs/>
          <w:color w:val="000000" w:themeColor="text1"/>
        </w:rPr>
        <w:t>noyade</w:t>
      </w:r>
    </w:p>
    <w:p w14:paraId="57AF4EFA" w14:textId="77777777" w:rsidR="00DB0460" w:rsidRPr="00260790" w:rsidRDefault="00DB0460" w:rsidP="001748C6">
      <w:pPr>
        <w:numPr>
          <w:ilvl w:val="0"/>
          <w:numId w:val="195"/>
        </w:numPr>
        <w:spacing w:after="0" w:line="240" w:lineRule="auto"/>
        <w:jc w:val="both"/>
        <w:rPr>
          <w:rFonts w:ascii="Times New Roman" w:hAnsi="Times New Roman"/>
          <w:bCs/>
          <w:iCs/>
          <w:color w:val="000000" w:themeColor="text1"/>
        </w:rPr>
      </w:pPr>
      <w:r w:rsidRPr="00260790">
        <w:rPr>
          <w:rFonts w:ascii="Times New Roman" w:hAnsi="Times New Roman"/>
          <w:bCs/>
          <w:iCs/>
          <w:color w:val="000000" w:themeColor="text1"/>
        </w:rPr>
        <w:t xml:space="preserve">Prolifération des plantes envahissantes ; </w:t>
      </w:r>
    </w:p>
    <w:p w14:paraId="7B75B425" w14:textId="77777777" w:rsidR="00DB0460" w:rsidRPr="00260790" w:rsidRDefault="00DB0460" w:rsidP="001748C6">
      <w:pPr>
        <w:numPr>
          <w:ilvl w:val="0"/>
          <w:numId w:val="195"/>
        </w:numPr>
        <w:spacing w:after="0" w:line="240" w:lineRule="auto"/>
        <w:jc w:val="both"/>
        <w:rPr>
          <w:rFonts w:ascii="Times New Roman" w:hAnsi="Times New Roman"/>
          <w:bCs/>
          <w:iCs/>
          <w:color w:val="000000" w:themeColor="text1"/>
        </w:rPr>
      </w:pPr>
      <w:r w:rsidRPr="00260790">
        <w:rPr>
          <w:rFonts w:ascii="Times New Roman" w:hAnsi="Times New Roman"/>
          <w:bCs/>
          <w:iCs/>
          <w:color w:val="000000" w:themeColor="text1"/>
        </w:rPr>
        <w:t xml:space="preserve">Prolifération des animaux nuisibles ; </w:t>
      </w:r>
    </w:p>
    <w:p w14:paraId="6D8CDBC9" w14:textId="77777777" w:rsidR="00DB0460" w:rsidRPr="00260790" w:rsidRDefault="00DB0460" w:rsidP="001748C6">
      <w:pPr>
        <w:numPr>
          <w:ilvl w:val="0"/>
          <w:numId w:val="195"/>
        </w:numPr>
        <w:spacing w:after="0" w:line="240" w:lineRule="auto"/>
        <w:jc w:val="both"/>
        <w:rPr>
          <w:rFonts w:ascii="Times New Roman" w:hAnsi="Times New Roman"/>
          <w:bCs/>
          <w:iCs/>
          <w:color w:val="000000" w:themeColor="text1"/>
        </w:rPr>
      </w:pPr>
      <w:r w:rsidRPr="00260790">
        <w:rPr>
          <w:rFonts w:ascii="Times New Roman" w:hAnsi="Times New Roman"/>
          <w:bCs/>
          <w:iCs/>
          <w:color w:val="000000" w:themeColor="text1"/>
        </w:rPr>
        <w:t>Phénomènes d'eutrophisation</w:t>
      </w:r>
    </w:p>
    <w:p w14:paraId="4FD8A109" w14:textId="7A0A1532" w:rsidR="00DB0460" w:rsidRPr="00260790" w:rsidRDefault="00DB0460" w:rsidP="001748C6">
      <w:pPr>
        <w:numPr>
          <w:ilvl w:val="0"/>
          <w:numId w:val="195"/>
        </w:numPr>
        <w:spacing w:after="0" w:line="240" w:lineRule="auto"/>
        <w:jc w:val="both"/>
        <w:rPr>
          <w:rFonts w:ascii="Times New Roman" w:hAnsi="Times New Roman"/>
          <w:bCs/>
          <w:iCs/>
          <w:color w:val="000000" w:themeColor="text1"/>
        </w:rPr>
      </w:pPr>
      <w:r w:rsidRPr="00260790">
        <w:rPr>
          <w:rFonts w:ascii="Times New Roman" w:hAnsi="Times New Roman"/>
          <w:bCs/>
          <w:iCs/>
          <w:color w:val="000000" w:themeColor="text1"/>
        </w:rPr>
        <w:t xml:space="preserve">Risques </w:t>
      </w:r>
      <w:r w:rsidR="001E11CF">
        <w:rPr>
          <w:rFonts w:ascii="Times New Roman" w:hAnsi="Times New Roman"/>
          <w:bCs/>
          <w:iCs/>
          <w:color w:val="000000" w:themeColor="text1"/>
        </w:rPr>
        <w:t xml:space="preserve">de </w:t>
      </w:r>
      <w:r w:rsidRPr="00260790">
        <w:rPr>
          <w:rFonts w:ascii="Times New Roman" w:hAnsi="Times New Roman"/>
          <w:bCs/>
          <w:iCs/>
          <w:color w:val="000000" w:themeColor="text1"/>
        </w:rPr>
        <w:t>développement des vecteurs de maladies ;</w:t>
      </w:r>
    </w:p>
    <w:p w14:paraId="44A6A937" w14:textId="62DC7716" w:rsidR="00DB0460" w:rsidRPr="00260790" w:rsidRDefault="00DB0460" w:rsidP="001748C6">
      <w:pPr>
        <w:numPr>
          <w:ilvl w:val="0"/>
          <w:numId w:val="195"/>
        </w:numPr>
        <w:spacing w:after="0" w:line="240" w:lineRule="auto"/>
        <w:jc w:val="both"/>
        <w:rPr>
          <w:rFonts w:ascii="Times New Roman" w:hAnsi="Times New Roman"/>
          <w:bCs/>
          <w:iCs/>
          <w:color w:val="000000" w:themeColor="text1"/>
        </w:rPr>
      </w:pPr>
      <w:r w:rsidRPr="00260790">
        <w:rPr>
          <w:rFonts w:ascii="Times New Roman" w:hAnsi="Times New Roman"/>
          <w:bCs/>
          <w:iCs/>
          <w:color w:val="000000" w:themeColor="text1"/>
        </w:rPr>
        <w:t>Risques de développe</w:t>
      </w:r>
      <w:r w:rsidR="001E11CF">
        <w:rPr>
          <w:rFonts w:ascii="Times New Roman" w:hAnsi="Times New Roman"/>
          <w:bCs/>
          <w:iCs/>
          <w:color w:val="000000" w:themeColor="text1"/>
        </w:rPr>
        <w:t>me</w:t>
      </w:r>
      <w:r w:rsidRPr="00260790">
        <w:rPr>
          <w:rFonts w:ascii="Times New Roman" w:hAnsi="Times New Roman"/>
          <w:bCs/>
          <w:iCs/>
          <w:color w:val="000000" w:themeColor="text1"/>
        </w:rPr>
        <w:t>nt des moustiques (niche écologique) ;</w:t>
      </w:r>
    </w:p>
    <w:p w14:paraId="48B67FBE" w14:textId="77777777" w:rsidR="00DB0460" w:rsidRPr="00260790" w:rsidRDefault="00DB0460" w:rsidP="001748C6">
      <w:pPr>
        <w:numPr>
          <w:ilvl w:val="0"/>
          <w:numId w:val="195"/>
        </w:numPr>
        <w:spacing w:after="0" w:line="240" w:lineRule="auto"/>
        <w:jc w:val="both"/>
        <w:rPr>
          <w:rFonts w:ascii="Times New Roman" w:hAnsi="Times New Roman"/>
          <w:bCs/>
          <w:iCs/>
          <w:color w:val="000000" w:themeColor="text1"/>
        </w:rPr>
      </w:pPr>
      <w:r w:rsidRPr="00260790">
        <w:rPr>
          <w:rFonts w:ascii="Times New Roman" w:hAnsi="Times New Roman"/>
          <w:bCs/>
          <w:iCs/>
          <w:color w:val="000000" w:themeColor="text1"/>
        </w:rPr>
        <w:t>Présence d’Odeurs nauséabondes</w:t>
      </w:r>
    </w:p>
    <w:p w14:paraId="1C4F70EB" w14:textId="77777777" w:rsidR="00DB0460" w:rsidRPr="00260790" w:rsidRDefault="00DB0460" w:rsidP="001748C6">
      <w:pPr>
        <w:pStyle w:val="Paragraphedeliste"/>
        <w:numPr>
          <w:ilvl w:val="0"/>
          <w:numId w:val="196"/>
        </w:numPr>
        <w:spacing w:before="120" w:after="120" w:line="240" w:lineRule="auto"/>
        <w:contextualSpacing w:val="0"/>
        <w:jc w:val="both"/>
        <w:rPr>
          <w:rFonts w:ascii="Times New Roman" w:hAnsi="Times New Roman"/>
          <w:bCs/>
          <w:iCs/>
          <w:color w:val="000000" w:themeColor="text1"/>
        </w:rPr>
      </w:pPr>
      <w:r w:rsidRPr="00260790">
        <w:rPr>
          <w:rFonts w:ascii="Times New Roman" w:hAnsi="Times New Roman"/>
          <w:bCs/>
          <w:iCs/>
          <w:color w:val="000000" w:themeColor="text1"/>
        </w:rPr>
        <w:t>Autres risques et nuisances </w:t>
      </w:r>
    </w:p>
    <w:p w14:paraId="2EABB97E" w14:textId="01D1A953" w:rsidR="00DB0460" w:rsidRPr="00260790" w:rsidRDefault="00DB0460" w:rsidP="00E20250">
      <w:pPr>
        <w:spacing w:line="240" w:lineRule="auto"/>
        <w:jc w:val="both"/>
        <w:rPr>
          <w:rFonts w:ascii="Times New Roman" w:hAnsi="Times New Roman"/>
          <w:bCs/>
          <w:iCs/>
          <w:color w:val="000000" w:themeColor="text1"/>
        </w:rPr>
      </w:pPr>
      <w:r w:rsidRPr="00260790">
        <w:rPr>
          <w:rFonts w:ascii="Times New Roman" w:hAnsi="Times New Roman"/>
          <w:bCs/>
          <w:iCs/>
          <w:color w:val="000000" w:themeColor="text1"/>
        </w:rPr>
        <w:t xml:space="preserve">Les </w:t>
      </w:r>
      <w:r w:rsidR="00874DDA" w:rsidRPr="00260790">
        <w:rPr>
          <w:rFonts w:ascii="Times New Roman" w:hAnsi="Times New Roman"/>
          <w:bCs/>
          <w:iCs/>
          <w:color w:val="000000" w:themeColor="text1"/>
        </w:rPr>
        <w:t>basins peuvent</w:t>
      </w:r>
      <w:r w:rsidRPr="00260790">
        <w:rPr>
          <w:rFonts w:ascii="Times New Roman" w:hAnsi="Times New Roman"/>
          <w:bCs/>
          <w:iCs/>
          <w:color w:val="000000" w:themeColor="text1"/>
        </w:rPr>
        <w:t xml:space="preserve"> aussi générer des nuisances olfactives pour les riverains s’ils ne sont pas entretenus.</w:t>
      </w:r>
    </w:p>
    <w:p w14:paraId="0CF7F39D" w14:textId="7CC47FC9" w:rsidR="00DB0460" w:rsidRPr="00260790" w:rsidRDefault="00DB0460" w:rsidP="001748C6">
      <w:pPr>
        <w:numPr>
          <w:ilvl w:val="0"/>
          <w:numId w:val="155"/>
        </w:numPr>
        <w:spacing w:after="200" w:line="240" w:lineRule="auto"/>
        <w:jc w:val="both"/>
        <w:rPr>
          <w:rFonts w:ascii="Times New Roman" w:hAnsi="Times New Roman"/>
          <w:b/>
          <w:bCs/>
          <w:iCs/>
          <w:color w:val="000000" w:themeColor="text1"/>
        </w:rPr>
      </w:pPr>
      <w:r w:rsidRPr="00260790">
        <w:rPr>
          <w:rFonts w:ascii="Times New Roman" w:hAnsi="Times New Roman"/>
          <w:b/>
          <w:bCs/>
          <w:iCs/>
          <w:color w:val="000000" w:themeColor="text1"/>
        </w:rPr>
        <w:t xml:space="preserve">Les risques de chutes ou </w:t>
      </w:r>
      <w:r w:rsidR="004D7B97" w:rsidRPr="00260790">
        <w:rPr>
          <w:rFonts w:ascii="Times New Roman" w:hAnsi="Times New Roman"/>
          <w:b/>
          <w:bCs/>
          <w:iCs/>
          <w:color w:val="000000" w:themeColor="text1"/>
        </w:rPr>
        <w:t xml:space="preserve">de </w:t>
      </w:r>
      <w:r w:rsidRPr="00260790">
        <w:rPr>
          <w:rFonts w:ascii="Times New Roman" w:hAnsi="Times New Roman"/>
          <w:b/>
          <w:bCs/>
          <w:iCs/>
          <w:color w:val="000000" w:themeColor="text1"/>
        </w:rPr>
        <w:t>glissades</w:t>
      </w:r>
    </w:p>
    <w:p w14:paraId="1F498389" w14:textId="77777777" w:rsidR="00DB0460" w:rsidRPr="00260790" w:rsidRDefault="00DB0460" w:rsidP="00E20250">
      <w:pPr>
        <w:spacing w:line="240" w:lineRule="auto"/>
        <w:jc w:val="both"/>
        <w:rPr>
          <w:rFonts w:ascii="Times New Roman" w:hAnsi="Times New Roman"/>
          <w:bCs/>
          <w:iCs/>
          <w:color w:val="000000" w:themeColor="text1"/>
        </w:rPr>
      </w:pPr>
      <w:r w:rsidRPr="00260790">
        <w:rPr>
          <w:rFonts w:ascii="Times New Roman" w:hAnsi="Times New Roman"/>
          <w:bCs/>
          <w:iCs/>
          <w:color w:val="000000" w:themeColor="text1"/>
        </w:rPr>
        <w:t>Ils constituent le type de risque le plus fréquent. Le risque de glissade aux abords d’un bassin ou d’une fosse peut s’accompagner d’un risque de noyade. Les glissades peuvent être prévenues en évitant la stagnation d’eaux sur les sols (nettoyage régulier des abords de bassins, drainage des eaux de lavage et de pluie) par installation de sols anti dérapant sur les zones fréquemment humides, par le port de chaussures anti dérapant.</w:t>
      </w:r>
    </w:p>
    <w:p w14:paraId="7C531EC6" w14:textId="77777777" w:rsidR="00DB0460" w:rsidRPr="00260790" w:rsidRDefault="00DB0460" w:rsidP="001748C6">
      <w:pPr>
        <w:numPr>
          <w:ilvl w:val="0"/>
          <w:numId w:val="155"/>
        </w:numPr>
        <w:spacing w:line="240" w:lineRule="auto"/>
        <w:jc w:val="both"/>
        <w:rPr>
          <w:rFonts w:ascii="Times New Roman" w:hAnsi="Times New Roman"/>
          <w:b/>
          <w:iCs/>
          <w:color w:val="000000" w:themeColor="text1"/>
        </w:rPr>
      </w:pPr>
      <w:r w:rsidRPr="00260790">
        <w:rPr>
          <w:rFonts w:ascii="Times New Roman" w:hAnsi="Times New Roman"/>
          <w:b/>
          <w:iCs/>
          <w:color w:val="000000" w:themeColor="text1"/>
        </w:rPr>
        <w:t>Dangers liés aux canalisations /canaux de drainage</w:t>
      </w:r>
    </w:p>
    <w:p w14:paraId="1BD090A3" w14:textId="2F1CD492" w:rsidR="00DB0460" w:rsidRPr="00260790" w:rsidRDefault="00874DDA" w:rsidP="00E20250">
      <w:pPr>
        <w:spacing w:after="0" w:line="240" w:lineRule="auto"/>
        <w:jc w:val="both"/>
        <w:rPr>
          <w:rFonts w:ascii="Times New Roman" w:hAnsi="Times New Roman"/>
          <w:iCs/>
          <w:color w:val="000000" w:themeColor="text1"/>
        </w:rPr>
      </w:pPr>
      <w:r w:rsidRPr="00260790">
        <w:rPr>
          <w:rFonts w:ascii="Times New Roman" w:hAnsi="Times New Roman"/>
          <w:iCs/>
          <w:color w:val="000000" w:themeColor="text1"/>
        </w:rPr>
        <w:t>La canalisation est</w:t>
      </w:r>
      <w:r w:rsidR="00DB0460" w:rsidRPr="00260790">
        <w:rPr>
          <w:rFonts w:ascii="Times New Roman" w:hAnsi="Times New Roman"/>
          <w:iCs/>
          <w:color w:val="000000" w:themeColor="text1"/>
        </w:rPr>
        <w:t xml:space="preserve"> une </w:t>
      </w:r>
      <w:r w:rsidRPr="00260790">
        <w:rPr>
          <w:rFonts w:ascii="Times New Roman" w:hAnsi="Times New Roman"/>
          <w:iCs/>
          <w:color w:val="000000" w:themeColor="text1"/>
        </w:rPr>
        <w:t>conduite souterraine</w:t>
      </w:r>
      <w:r w:rsidR="00DB0460" w:rsidRPr="00260790">
        <w:rPr>
          <w:rFonts w:ascii="Times New Roman" w:hAnsi="Times New Roman"/>
          <w:iCs/>
          <w:color w:val="000000" w:themeColor="text1"/>
        </w:rPr>
        <w:t>, qui recueille les eaux pluviales d'une agglomération et les évacue dans le milieu extérieur ou vers réceptacle.</w:t>
      </w:r>
    </w:p>
    <w:p w14:paraId="2B4976B0" w14:textId="77777777" w:rsidR="00DB0460" w:rsidRPr="00260790" w:rsidRDefault="00DB0460" w:rsidP="00EA1906">
      <w:pPr>
        <w:spacing w:after="0" w:line="240" w:lineRule="auto"/>
        <w:jc w:val="both"/>
        <w:rPr>
          <w:rFonts w:ascii="Times New Roman" w:hAnsi="Times New Roman"/>
          <w:iCs/>
          <w:color w:val="000000" w:themeColor="text1"/>
        </w:rPr>
      </w:pPr>
      <w:r w:rsidRPr="00260790">
        <w:rPr>
          <w:rFonts w:ascii="Times New Roman" w:hAnsi="Times New Roman"/>
          <w:iCs/>
          <w:color w:val="000000" w:themeColor="text1"/>
        </w:rPr>
        <w:t xml:space="preserve"> Les risques associés à l’exploitation des canalisations sont les suivants :</w:t>
      </w:r>
    </w:p>
    <w:p w14:paraId="3C5AFDA1" w14:textId="68AB74F6" w:rsidR="00DB0460" w:rsidRPr="00260790" w:rsidRDefault="00DB0460" w:rsidP="001748C6">
      <w:pPr>
        <w:numPr>
          <w:ilvl w:val="0"/>
          <w:numId w:val="190"/>
        </w:numPr>
        <w:spacing w:after="0" w:line="240" w:lineRule="auto"/>
        <w:jc w:val="both"/>
        <w:rPr>
          <w:rFonts w:ascii="Times New Roman" w:hAnsi="Times New Roman"/>
          <w:iCs/>
          <w:color w:val="000000" w:themeColor="text1"/>
        </w:rPr>
      </w:pPr>
      <w:r w:rsidRPr="00260790">
        <w:rPr>
          <w:rFonts w:ascii="Times New Roman" w:hAnsi="Times New Roman"/>
          <w:iCs/>
          <w:color w:val="000000" w:themeColor="text1"/>
        </w:rPr>
        <w:t xml:space="preserve">Pollution de l'air et dégagements d’odeurs </w:t>
      </w:r>
      <w:r w:rsidR="00874DDA" w:rsidRPr="00260790">
        <w:rPr>
          <w:rFonts w:ascii="Times New Roman" w:hAnsi="Times New Roman"/>
          <w:iCs/>
          <w:color w:val="000000" w:themeColor="text1"/>
        </w:rPr>
        <w:t>nauséabondes liés à</w:t>
      </w:r>
      <w:r w:rsidRPr="00260790">
        <w:rPr>
          <w:rFonts w:ascii="Times New Roman" w:hAnsi="Times New Roman"/>
          <w:iCs/>
          <w:color w:val="000000" w:themeColor="text1"/>
        </w:rPr>
        <w:t xml:space="preserve"> l’émanation de gaz toxiques, dioxyde de carbone ;</w:t>
      </w:r>
    </w:p>
    <w:p w14:paraId="09C0CC1A" w14:textId="77777777" w:rsidR="00DB0460" w:rsidRPr="00260790" w:rsidRDefault="00DB0460" w:rsidP="001748C6">
      <w:pPr>
        <w:numPr>
          <w:ilvl w:val="0"/>
          <w:numId w:val="190"/>
        </w:numPr>
        <w:spacing w:after="0" w:line="240" w:lineRule="auto"/>
        <w:jc w:val="both"/>
        <w:rPr>
          <w:rFonts w:ascii="Times New Roman" w:hAnsi="Times New Roman"/>
          <w:iCs/>
          <w:color w:val="000000" w:themeColor="text1"/>
        </w:rPr>
      </w:pPr>
      <w:r w:rsidRPr="00260790">
        <w:rPr>
          <w:rFonts w:ascii="Times New Roman" w:hAnsi="Times New Roman"/>
          <w:iCs/>
          <w:color w:val="000000" w:themeColor="text1"/>
        </w:rPr>
        <w:t>Pollution des sols/eaux si la conduite n’est pas étanche ou en cas de débordement ;</w:t>
      </w:r>
    </w:p>
    <w:p w14:paraId="4462C747" w14:textId="564A90BB" w:rsidR="00DB0460" w:rsidRPr="00260790" w:rsidRDefault="00874DDA" w:rsidP="001748C6">
      <w:pPr>
        <w:numPr>
          <w:ilvl w:val="0"/>
          <w:numId w:val="190"/>
        </w:numPr>
        <w:spacing w:line="240" w:lineRule="auto"/>
        <w:jc w:val="both"/>
        <w:rPr>
          <w:rFonts w:ascii="Times New Roman" w:hAnsi="Times New Roman"/>
          <w:iCs/>
          <w:color w:val="000000" w:themeColor="text1"/>
        </w:rPr>
      </w:pPr>
      <w:r w:rsidRPr="00260790">
        <w:rPr>
          <w:rFonts w:ascii="Times New Roman" w:hAnsi="Times New Roman"/>
          <w:iCs/>
          <w:color w:val="000000" w:themeColor="text1"/>
        </w:rPr>
        <w:t>Prolifération microbienne en</w:t>
      </w:r>
      <w:r w:rsidR="00DB0460" w:rsidRPr="00260790">
        <w:rPr>
          <w:rFonts w:ascii="Times New Roman" w:hAnsi="Times New Roman"/>
          <w:iCs/>
          <w:color w:val="000000" w:themeColor="text1"/>
        </w:rPr>
        <w:t xml:space="preserve"> cas d'entretien défectueux ; </w:t>
      </w:r>
    </w:p>
    <w:p w14:paraId="1C83D3B9" w14:textId="77777777" w:rsidR="00DB0460" w:rsidRPr="00260790" w:rsidRDefault="00DB0460" w:rsidP="00EA1906">
      <w:pPr>
        <w:spacing w:after="0" w:line="240" w:lineRule="auto"/>
        <w:jc w:val="both"/>
        <w:rPr>
          <w:rFonts w:ascii="Times New Roman" w:hAnsi="Times New Roman"/>
          <w:iCs/>
          <w:color w:val="000000" w:themeColor="text1"/>
        </w:rPr>
      </w:pPr>
      <w:r w:rsidRPr="00260790">
        <w:rPr>
          <w:rFonts w:ascii="Times New Roman" w:hAnsi="Times New Roman"/>
          <w:iCs/>
          <w:color w:val="000000" w:themeColor="text1"/>
        </w:rPr>
        <w:t>La maîtrise de ces différents risques passe par les mesures ci-après :</w:t>
      </w:r>
    </w:p>
    <w:p w14:paraId="085E2D63" w14:textId="77777777" w:rsidR="00DB0460" w:rsidRPr="00260790" w:rsidRDefault="00DB0460" w:rsidP="001748C6">
      <w:pPr>
        <w:numPr>
          <w:ilvl w:val="0"/>
          <w:numId w:val="190"/>
        </w:numPr>
        <w:spacing w:after="0" w:line="240" w:lineRule="auto"/>
        <w:jc w:val="both"/>
        <w:rPr>
          <w:rFonts w:ascii="Times New Roman" w:hAnsi="Times New Roman"/>
          <w:iCs/>
          <w:color w:val="000000" w:themeColor="text1"/>
        </w:rPr>
      </w:pPr>
      <w:r w:rsidRPr="00260790">
        <w:rPr>
          <w:rFonts w:ascii="Times New Roman" w:hAnsi="Times New Roman"/>
          <w:iCs/>
          <w:color w:val="000000" w:themeColor="text1"/>
        </w:rPr>
        <w:t>Visiter le réseau dans le but de détecter des anomalies (obstructions, débordements)</w:t>
      </w:r>
    </w:p>
    <w:p w14:paraId="1FFFE5E4" w14:textId="77777777" w:rsidR="00DB0460" w:rsidRPr="00260790" w:rsidRDefault="00DB0460" w:rsidP="001748C6">
      <w:pPr>
        <w:numPr>
          <w:ilvl w:val="0"/>
          <w:numId w:val="190"/>
        </w:numPr>
        <w:spacing w:after="0" w:line="240" w:lineRule="auto"/>
        <w:jc w:val="both"/>
        <w:rPr>
          <w:rFonts w:ascii="Times New Roman" w:hAnsi="Times New Roman"/>
          <w:iCs/>
          <w:color w:val="000000" w:themeColor="text1"/>
        </w:rPr>
      </w:pPr>
      <w:r w:rsidRPr="00260790">
        <w:rPr>
          <w:rFonts w:ascii="Times New Roman" w:hAnsi="Times New Roman"/>
          <w:iCs/>
          <w:color w:val="000000" w:themeColor="text1"/>
        </w:rPr>
        <w:t>Assurer l'entretien, la surveillance, le curage et le nettoyage du réseau d'évacuation (canalisations et regards)</w:t>
      </w:r>
    </w:p>
    <w:p w14:paraId="372314C6" w14:textId="77777777" w:rsidR="00DB0460" w:rsidRPr="00260790" w:rsidRDefault="00DB0460" w:rsidP="001748C6">
      <w:pPr>
        <w:numPr>
          <w:ilvl w:val="0"/>
          <w:numId w:val="190"/>
        </w:numPr>
        <w:spacing w:after="0" w:line="240" w:lineRule="auto"/>
        <w:jc w:val="both"/>
        <w:rPr>
          <w:rFonts w:ascii="Times New Roman" w:hAnsi="Times New Roman"/>
          <w:iCs/>
          <w:color w:val="000000" w:themeColor="text1"/>
        </w:rPr>
      </w:pPr>
      <w:r w:rsidRPr="00260790">
        <w:rPr>
          <w:rFonts w:ascii="Times New Roman" w:hAnsi="Times New Roman"/>
          <w:iCs/>
          <w:color w:val="000000" w:themeColor="text1"/>
        </w:rPr>
        <w:t xml:space="preserve">Déboucher les canalisations à l'aide d'une pelle, d'une raclette, d'un godet, </w:t>
      </w:r>
    </w:p>
    <w:p w14:paraId="57E0CB91" w14:textId="77777777" w:rsidR="00DB0460" w:rsidRPr="00260790" w:rsidRDefault="00DB0460" w:rsidP="001748C6">
      <w:pPr>
        <w:numPr>
          <w:ilvl w:val="0"/>
          <w:numId w:val="190"/>
        </w:numPr>
        <w:spacing w:line="240" w:lineRule="auto"/>
        <w:jc w:val="both"/>
        <w:rPr>
          <w:rFonts w:ascii="Times New Roman" w:hAnsi="Times New Roman"/>
          <w:iCs/>
          <w:color w:val="000000" w:themeColor="text1"/>
        </w:rPr>
      </w:pPr>
      <w:r w:rsidRPr="00260790">
        <w:rPr>
          <w:rFonts w:ascii="Times New Roman" w:hAnsi="Times New Roman"/>
          <w:iCs/>
          <w:color w:val="000000" w:themeColor="text1"/>
        </w:rPr>
        <w:t xml:space="preserve">Colmater les fuites sur les conduites et si nécessaire effectuer les réparations courantes des ouvrages et des réseaux d'assainissement. </w:t>
      </w:r>
    </w:p>
    <w:p w14:paraId="65EE5922" w14:textId="13D88FAB" w:rsidR="00DB0460" w:rsidRPr="00260790" w:rsidRDefault="00DB0460" w:rsidP="00EA1906">
      <w:pPr>
        <w:spacing w:after="0" w:line="240" w:lineRule="auto"/>
        <w:jc w:val="both"/>
        <w:rPr>
          <w:rFonts w:ascii="Times New Roman" w:hAnsi="Times New Roman"/>
          <w:iCs/>
          <w:color w:val="000000" w:themeColor="text1"/>
        </w:rPr>
      </w:pPr>
      <w:r w:rsidRPr="00260790">
        <w:rPr>
          <w:rFonts w:ascii="Times New Roman" w:hAnsi="Times New Roman"/>
          <w:iCs/>
          <w:color w:val="000000" w:themeColor="text1"/>
        </w:rPr>
        <w:t>L’entretien des canalisations expose aussi les agents aux risques suivants :</w:t>
      </w:r>
    </w:p>
    <w:p w14:paraId="03DE56EE" w14:textId="77777777" w:rsidR="00DB0460" w:rsidRPr="00260790" w:rsidRDefault="00DB0460" w:rsidP="001748C6">
      <w:pPr>
        <w:numPr>
          <w:ilvl w:val="0"/>
          <w:numId w:val="191"/>
        </w:numPr>
        <w:spacing w:after="0" w:line="240" w:lineRule="auto"/>
        <w:jc w:val="both"/>
        <w:rPr>
          <w:rFonts w:ascii="Times New Roman" w:hAnsi="Times New Roman"/>
          <w:iCs/>
          <w:color w:val="000000" w:themeColor="text1"/>
        </w:rPr>
      </w:pPr>
      <w:r w:rsidRPr="00260790">
        <w:rPr>
          <w:rFonts w:ascii="Times New Roman" w:hAnsi="Times New Roman"/>
          <w:iCs/>
          <w:color w:val="000000" w:themeColor="text1"/>
        </w:rPr>
        <w:t>Chute ;</w:t>
      </w:r>
    </w:p>
    <w:p w14:paraId="03B99951" w14:textId="77777777" w:rsidR="00DB0460" w:rsidRPr="00260790" w:rsidRDefault="00DB0460" w:rsidP="001748C6">
      <w:pPr>
        <w:numPr>
          <w:ilvl w:val="0"/>
          <w:numId w:val="191"/>
        </w:numPr>
        <w:spacing w:after="0" w:line="240" w:lineRule="auto"/>
        <w:jc w:val="both"/>
        <w:rPr>
          <w:rFonts w:ascii="Times New Roman" w:hAnsi="Times New Roman"/>
          <w:iCs/>
          <w:color w:val="000000" w:themeColor="text1"/>
        </w:rPr>
      </w:pPr>
      <w:r w:rsidRPr="00260790">
        <w:rPr>
          <w:rFonts w:ascii="Times New Roman" w:hAnsi="Times New Roman"/>
          <w:iCs/>
          <w:color w:val="000000" w:themeColor="text1"/>
        </w:rPr>
        <w:t>Noyade ;</w:t>
      </w:r>
    </w:p>
    <w:p w14:paraId="023B7C64" w14:textId="77777777" w:rsidR="00DB0460" w:rsidRPr="00260790" w:rsidRDefault="00DB0460" w:rsidP="001748C6">
      <w:pPr>
        <w:numPr>
          <w:ilvl w:val="0"/>
          <w:numId w:val="191"/>
        </w:numPr>
        <w:spacing w:after="0" w:line="240" w:lineRule="auto"/>
        <w:jc w:val="both"/>
        <w:rPr>
          <w:rFonts w:ascii="Times New Roman" w:hAnsi="Times New Roman"/>
          <w:iCs/>
          <w:color w:val="000000" w:themeColor="text1"/>
        </w:rPr>
      </w:pPr>
      <w:r w:rsidRPr="00260790">
        <w:rPr>
          <w:rFonts w:ascii="Times New Roman" w:hAnsi="Times New Roman"/>
          <w:iCs/>
          <w:color w:val="000000" w:themeColor="text1"/>
        </w:rPr>
        <w:t>Intoxication ;</w:t>
      </w:r>
    </w:p>
    <w:p w14:paraId="3F1FB223" w14:textId="77777777" w:rsidR="00DB0460" w:rsidRPr="00260790" w:rsidRDefault="00DB0460" w:rsidP="001748C6">
      <w:pPr>
        <w:numPr>
          <w:ilvl w:val="0"/>
          <w:numId w:val="191"/>
        </w:numPr>
        <w:spacing w:after="0" w:line="240" w:lineRule="auto"/>
        <w:jc w:val="both"/>
        <w:rPr>
          <w:rFonts w:ascii="Times New Roman" w:hAnsi="Times New Roman"/>
          <w:iCs/>
          <w:color w:val="000000" w:themeColor="text1"/>
        </w:rPr>
      </w:pPr>
      <w:r w:rsidRPr="00260790">
        <w:rPr>
          <w:rFonts w:ascii="Times New Roman" w:hAnsi="Times New Roman"/>
          <w:iCs/>
          <w:color w:val="000000" w:themeColor="text1"/>
        </w:rPr>
        <w:t>Infections ;</w:t>
      </w:r>
    </w:p>
    <w:p w14:paraId="3E01D032" w14:textId="77777777" w:rsidR="00DB0460" w:rsidRPr="00260790" w:rsidRDefault="00DB0460" w:rsidP="001748C6">
      <w:pPr>
        <w:numPr>
          <w:ilvl w:val="0"/>
          <w:numId w:val="191"/>
        </w:numPr>
        <w:spacing w:line="240" w:lineRule="auto"/>
        <w:jc w:val="both"/>
        <w:rPr>
          <w:rFonts w:ascii="Times New Roman" w:hAnsi="Times New Roman"/>
          <w:iCs/>
          <w:color w:val="000000" w:themeColor="text1"/>
        </w:rPr>
      </w:pPr>
      <w:r w:rsidRPr="00260790">
        <w:rPr>
          <w:rFonts w:ascii="Times New Roman" w:hAnsi="Times New Roman"/>
          <w:iCs/>
          <w:color w:val="000000" w:themeColor="text1"/>
        </w:rPr>
        <w:t>Affections cutanées.</w:t>
      </w:r>
    </w:p>
    <w:p w14:paraId="3A33A1E2" w14:textId="77777777" w:rsidR="00E3321E" w:rsidRPr="00260790" w:rsidRDefault="00E3321E">
      <w:pPr>
        <w:spacing w:line="259" w:lineRule="auto"/>
        <w:rPr>
          <w:rFonts w:ascii="Times New Roman" w:eastAsia="Cambria" w:hAnsi="Times New Roman"/>
          <w:lang w:eastAsia="fr-FR" w:bidi="en-US"/>
        </w:rPr>
      </w:pPr>
      <w:r w:rsidRPr="00260790">
        <w:rPr>
          <w:rFonts w:ascii="Times New Roman" w:hAnsi="Times New Roman"/>
        </w:rPr>
        <w:br w:type="page"/>
      </w:r>
    </w:p>
    <w:p w14:paraId="669CD2B9" w14:textId="5D954709" w:rsidR="00DB0460" w:rsidRPr="00260790" w:rsidRDefault="001E0D80" w:rsidP="003B6588">
      <w:pPr>
        <w:pStyle w:val="CHAPITRE1"/>
        <w:rPr>
          <w:rFonts w:cs="Times New Roman"/>
        </w:rPr>
      </w:pPr>
      <w:bookmarkStart w:id="704" w:name="_Toc212725150"/>
      <w:r>
        <w:rPr>
          <w:rFonts w:cs="Times New Roman"/>
        </w:rPr>
        <w:lastRenderedPageBreak/>
        <w:t>S</w:t>
      </w:r>
      <w:r w:rsidR="00DB0460" w:rsidRPr="00260790">
        <w:rPr>
          <w:rFonts w:cs="Times New Roman"/>
        </w:rPr>
        <w:t>ources de dangers externes</w:t>
      </w:r>
      <w:bookmarkEnd w:id="704"/>
      <w:r w:rsidR="00DB0460" w:rsidRPr="00260790">
        <w:rPr>
          <w:rFonts w:cs="Times New Roman"/>
        </w:rPr>
        <w:t xml:space="preserve"> </w:t>
      </w:r>
    </w:p>
    <w:p w14:paraId="294CE4C4" w14:textId="17C960AA" w:rsidR="00DB0460" w:rsidRPr="00260790" w:rsidRDefault="00DB0460" w:rsidP="001748C6">
      <w:pPr>
        <w:numPr>
          <w:ilvl w:val="0"/>
          <w:numId w:val="344"/>
        </w:numPr>
        <w:spacing w:after="200" w:line="240" w:lineRule="auto"/>
        <w:jc w:val="both"/>
        <w:rPr>
          <w:rFonts w:ascii="Times New Roman" w:hAnsi="Times New Roman"/>
          <w:b/>
          <w:color w:val="000000" w:themeColor="text1"/>
        </w:rPr>
      </w:pPr>
      <w:r w:rsidRPr="00260790">
        <w:rPr>
          <w:rFonts w:ascii="Times New Roman" w:hAnsi="Times New Roman"/>
          <w:b/>
          <w:color w:val="000000" w:themeColor="text1"/>
        </w:rPr>
        <w:t xml:space="preserve">Dangers liés aux conditions naturelles </w:t>
      </w:r>
    </w:p>
    <w:p w14:paraId="05F0F9B7"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Nous entendons par conditions naturelles, tous les événements non contrôlés par l’activité humaine. Ces éléments peuvent présenter, dans certaines conditions, un risque notable vis-à-vis des installations.</w:t>
      </w:r>
    </w:p>
    <w:p w14:paraId="08A8920A" w14:textId="77777777" w:rsidR="00DB0460" w:rsidRPr="00260790" w:rsidRDefault="00DB0460" w:rsidP="00E20250">
      <w:pPr>
        <w:spacing w:after="24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conditions météorologiques peuvent agir comme agresseur des équipements installés dans le cadre du projet.</w:t>
      </w:r>
    </w:p>
    <w:p w14:paraId="45F731B8" w14:textId="77777777" w:rsidR="00DB0460" w:rsidRPr="00260790" w:rsidRDefault="00DB0460" w:rsidP="001748C6">
      <w:pPr>
        <w:numPr>
          <w:ilvl w:val="0"/>
          <w:numId w:val="151"/>
        </w:numPr>
        <w:spacing w:after="24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Les précipitations</w:t>
      </w:r>
    </w:p>
    <w:p w14:paraId="373B4081"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pluies pourraient présenter des risques d’inondations mettant en danger les installations (basin et collecteurs).</w:t>
      </w:r>
    </w:p>
    <w:p w14:paraId="77265479" w14:textId="52B4CDF5"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dimensionnement ou le volume des basins doit être apte à recevoir tout le volume évacu</w:t>
      </w:r>
      <w:r w:rsidR="00FC0256" w:rsidRPr="00260790">
        <w:rPr>
          <w:rFonts w:ascii="Times New Roman" w:eastAsia="Times New Roman" w:hAnsi="Times New Roman"/>
          <w:color w:val="000000" w:themeColor="text1"/>
          <w:lang w:eastAsia="fr-FR"/>
        </w:rPr>
        <w:t>é</w:t>
      </w:r>
      <w:r w:rsidRPr="00260790">
        <w:rPr>
          <w:rFonts w:ascii="Times New Roman" w:eastAsia="Times New Roman" w:hAnsi="Times New Roman"/>
          <w:color w:val="000000" w:themeColor="text1"/>
          <w:lang w:eastAsia="fr-FR"/>
        </w:rPr>
        <w:t xml:space="preserve"> par le système de drainage des eaux de pluie afin d’éviter une inondation vers les habitations </w:t>
      </w:r>
    </w:p>
    <w:p w14:paraId="1483AE54"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p w14:paraId="1AC39679" w14:textId="7D4E098A" w:rsidR="00DB0460" w:rsidRPr="00260790" w:rsidRDefault="004D7B97" w:rsidP="003B6588">
      <w:pPr>
        <w:pStyle w:val="CHAPITRE1"/>
        <w:rPr>
          <w:rFonts w:cs="Times New Roman"/>
        </w:rPr>
      </w:pPr>
      <w:bookmarkStart w:id="705" w:name="_Toc212725151"/>
      <w:r w:rsidRPr="00260790">
        <w:rPr>
          <w:rFonts w:cs="Times New Roman"/>
        </w:rPr>
        <w:t>Étude</w:t>
      </w:r>
      <w:r w:rsidR="00DB0460" w:rsidRPr="00260790">
        <w:rPr>
          <w:rFonts w:cs="Times New Roman"/>
        </w:rPr>
        <w:t xml:space="preserve"> de l’accidentologie</w:t>
      </w:r>
      <w:bookmarkEnd w:id="705"/>
    </w:p>
    <w:p w14:paraId="5DD8A880" w14:textId="77777777" w:rsidR="00DB0460" w:rsidRPr="00260790" w:rsidRDefault="00DB0460" w:rsidP="00EA1906">
      <w:pPr>
        <w:autoSpaceDE w:val="0"/>
        <w:autoSpaceDN w:val="0"/>
        <w:adjustRightInd w:val="0"/>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Afin d’avoir un aperçu des différents types d’accidents plausibles se produisant dans ce genre de projet, il a été réalisé une brève synthèse des accidents survenus à l’échelle mondiale. Cette synthèse repose sur une interrogation de bases de données. </w:t>
      </w:r>
    </w:p>
    <w:p w14:paraId="5BC52864" w14:textId="77777777" w:rsidR="00DB0460" w:rsidRPr="00260790" w:rsidRDefault="00DB0460" w:rsidP="00EA1906">
      <w:pPr>
        <w:autoSpaceDE w:val="0"/>
        <w:autoSpaceDN w:val="0"/>
        <w:adjustRightInd w:val="0"/>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L’analyse de ces accidents passés a pour finalité de mettre en évidence les procédés et modes opératoires " à risques ", afin de pouvoir proposer des barrières préventives abaissant ce niveau de risque : il s’agit là du « retour d’expérience".</w:t>
      </w:r>
    </w:p>
    <w:p w14:paraId="35AB61C4" w14:textId="77777777" w:rsidR="00DB0460" w:rsidRPr="00260790" w:rsidRDefault="00DB0460" w:rsidP="00EA1906">
      <w:pPr>
        <w:autoSpaceDE w:val="0"/>
        <w:autoSpaceDN w:val="0"/>
        <w:adjustRightInd w:val="0"/>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La synthèse a fait ressortir une liste des accidents sur ce type d’unité en phase travaux et exploitation. </w:t>
      </w:r>
    </w:p>
    <w:p w14:paraId="0AD26317" w14:textId="5A275415" w:rsidR="00DB0460" w:rsidRPr="00260790" w:rsidRDefault="00DB0460" w:rsidP="00EA1906">
      <w:pPr>
        <w:pStyle w:val="Lgende"/>
        <w:spacing w:line="240" w:lineRule="auto"/>
        <w:rPr>
          <w:color w:val="000000" w:themeColor="text1"/>
          <w:sz w:val="22"/>
          <w:szCs w:val="22"/>
        </w:rPr>
      </w:pPr>
      <w:bookmarkStart w:id="706" w:name="_Toc207781939"/>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98</w:t>
      </w:r>
      <w:r w:rsidRPr="00260790">
        <w:rPr>
          <w:color w:val="000000" w:themeColor="text1"/>
          <w:sz w:val="22"/>
          <w:szCs w:val="22"/>
        </w:rPr>
        <w:fldChar w:fldCharType="end"/>
      </w:r>
      <w:r w:rsidRPr="00260790">
        <w:rPr>
          <w:color w:val="000000" w:themeColor="text1"/>
          <w:sz w:val="22"/>
          <w:szCs w:val="22"/>
        </w:rPr>
        <w:t> : Synthèse de l’accidentologie des installations similaires présentes sur les sites du projet</w:t>
      </w:r>
      <w:bookmarkEnd w:id="706"/>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75"/>
        <w:gridCol w:w="1701"/>
      </w:tblGrid>
      <w:tr w:rsidR="00BD1A2F" w:rsidRPr="009B46E2" w14:paraId="0527DE85" w14:textId="77777777" w:rsidTr="00EA1906">
        <w:trPr>
          <w:trHeight w:val="563"/>
          <w:tblHeader/>
        </w:trPr>
        <w:tc>
          <w:tcPr>
            <w:tcW w:w="8075"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hideMark/>
          </w:tcPr>
          <w:p w14:paraId="44301663" w14:textId="77777777" w:rsidR="00DB0460" w:rsidRPr="0097258B" w:rsidRDefault="00DB0460" w:rsidP="00E20250">
            <w:pPr>
              <w:spacing w:after="0" w:line="240" w:lineRule="auto"/>
              <w:jc w:val="both"/>
              <w:rPr>
                <w:rFonts w:ascii="Times New Roman" w:hAnsi="Times New Roman"/>
                <w:b/>
                <w:color w:val="000000" w:themeColor="text1"/>
                <w:sz w:val="20"/>
                <w:szCs w:val="20"/>
              </w:rPr>
            </w:pPr>
            <w:r w:rsidRPr="0097258B">
              <w:rPr>
                <w:rFonts w:ascii="Times New Roman" w:hAnsi="Times New Roman"/>
                <w:b/>
                <w:color w:val="000000" w:themeColor="text1"/>
                <w:sz w:val="20"/>
                <w:szCs w:val="20"/>
              </w:rPr>
              <w:t>Accidents</w:t>
            </w:r>
          </w:p>
        </w:tc>
        <w:tc>
          <w:tcPr>
            <w:tcW w:w="1701"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hideMark/>
          </w:tcPr>
          <w:p w14:paraId="03D7B42D" w14:textId="77777777" w:rsidR="00DB0460" w:rsidRPr="0097258B" w:rsidRDefault="00DB0460" w:rsidP="00E20250">
            <w:pPr>
              <w:spacing w:after="0" w:line="240" w:lineRule="auto"/>
              <w:jc w:val="both"/>
              <w:rPr>
                <w:rFonts w:ascii="Times New Roman" w:hAnsi="Times New Roman"/>
                <w:b/>
                <w:color w:val="000000" w:themeColor="text1"/>
                <w:sz w:val="20"/>
                <w:szCs w:val="20"/>
              </w:rPr>
            </w:pPr>
            <w:r w:rsidRPr="0097258B">
              <w:rPr>
                <w:rFonts w:ascii="Times New Roman" w:hAnsi="Times New Roman"/>
                <w:b/>
                <w:color w:val="000000" w:themeColor="text1"/>
                <w:sz w:val="20"/>
                <w:szCs w:val="20"/>
              </w:rPr>
              <w:t>Conséquences principales</w:t>
            </w:r>
          </w:p>
        </w:tc>
      </w:tr>
      <w:tr w:rsidR="00207AA2" w:rsidRPr="009B46E2" w14:paraId="17A219AF" w14:textId="77777777" w:rsidTr="00EA1906">
        <w:trPr>
          <w:trHeight w:val="81"/>
        </w:trPr>
        <w:tc>
          <w:tcPr>
            <w:tcW w:w="8075" w:type="dxa"/>
            <w:tcBorders>
              <w:top w:val="single" w:sz="4" w:space="0" w:color="000000"/>
              <w:left w:val="single" w:sz="4" w:space="0" w:color="000000"/>
              <w:bottom w:val="single" w:sz="4" w:space="0" w:color="000000"/>
              <w:right w:val="single" w:sz="4" w:space="0" w:color="000000"/>
            </w:tcBorders>
            <w:vAlign w:val="center"/>
          </w:tcPr>
          <w:p w14:paraId="5F541758" w14:textId="77777777" w:rsidR="00207AA2" w:rsidRPr="0097258B" w:rsidRDefault="00207AA2" w:rsidP="00207AA2">
            <w:pPr>
              <w:spacing w:after="0" w:line="240" w:lineRule="auto"/>
              <w:jc w:val="both"/>
              <w:rPr>
                <w:rFonts w:ascii="Times New Roman" w:hAnsi="Times New Roman"/>
                <w:b/>
                <w:bCs/>
                <w:color w:val="000000" w:themeColor="text1"/>
                <w:sz w:val="20"/>
                <w:szCs w:val="20"/>
              </w:rPr>
            </w:pPr>
            <w:r w:rsidRPr="0097258B">
              <w:rPr>
                <w:rFonts w:ascii="Times New Roman" w:hAnsi="Times New Roman"/>
                <w:b/>
                <w:bCs/>
                <w:color w:val="000000" w:themeColor="text1"/>
                <w:sz w:val="20"/>
                <w:szCs w:val="20"/>
              </w:rPr>
              <w:t>11/01/2022 </w:t>
            </w:r>
            <w:proofErr w:type="gramStart"/>
            <w:r w:rsidRPr="0097258B">
              <w:rPr>
                <w:rFonts w:ascii="Times New Roman" w:hAnsi="Times New Roman"/>
                <w:b/>
                <w:bCs/>
                <w:color w:val="000000" w:themeColor="text1"/>
                <w:sz w:val="20"/>
                <w:szCs w:val="20"/>
              </w:rPr>
              <w:t>-  FRANCE</w:t>
            </w:r>
            <w:proofErr w:type="gramEnd"/>
            <w:r w:rsidRPr="0097258B">
              <w:rPr>
                <w:rFonts w:ascii="Times New Roman" w:hAnsi="Times New Roman"/>
                <w:b/>
                <w:bCs/>
                <w:color w:val="000000" w:themeColor="text1"/>
                <w:sz w:val="20"/>
                <w:szCs w:val="20"/>
              </w:rPr>
              <w:t xml:space="preserve"> - 11 - CUXAC-D'AUDE / </w:t>
            </w:r>
          </w:p>
          <w:p w14:paraId="38106F60" w14:textId="77777777" w:rsidR="00207AA2" w:rsidRPr="0097258B" w:rsidRDefault="00207AA2" w:rsidP="00207AA2">
            <w:pPr>
              <w:spacing w:after="0" w:line="240" w:lineRule="auto"/>
              <w:jc w:val="both"/>
              <w:rPr>
                <w:rFonts w:ascii="Times New Roman" w:hAnsi="Times New Roman"/>
                <w:color w:val="000000" w:themeColor="text1"/>
                <w:sz w:val="20"/>
                <w:szCs w:val="20"/>
              </w:rPr>
            </w:pPr>
          </w:p>
          <w:p w14:paraId="698D78A2" w14:textId="77777777" w:rsidR="00207AA2" w:rsidRPr="0097258B" w:rsidRDefault="00207AA2" w:rsidP="00207AA2">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Un léger tassement de la crête d’une digue est observé au droit du passage d’une canalisation d’évacuation des eaux pluviales. Une fuite sur la conduite de refoulement de la station de pompage des eaux pluviales est suspectée à cause d’une casse de la conduite en sortie de bâtiment et d’un défaut d’étanchéité au niveau de l’emboîtement de deux canalisations. Du fait du risque de poursuite de l’affaissement, le niveau de protection au droit de la zone habitée est remis en cause ainsi que la capacité de la digue à résister à une nouvelle crue. La fuite d’eau pluviale côté protégé est colmatée provisoirement.</w:t>
            </w:r>
          </w:p>
          <w:p w14:paraId="7359D8FB" w14:textId="77777777" w:rsidR="00207AA2" w:rsidRPr="0097258B" w:rsidRDefault="00207AA2" w:rsidP="00207AA2">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Après avoir dégagé la conduite, une fuite est localisée sous le revêtement de la piste cyclable en crête de digue, sous 20 cm de couverture. Le dessus de la conduite est cassé. Il n’est pas constaté de phénomène de renard hydraulique au niveau de la casse. Un tronçon de remplacement est mis en place au niveau de la casse ainsi qu’en sortie du bâtiment de la station de pompage.</w:t>
            </w:r>
          </w:p>
          <w:p w14:paraId="58E6183B" w14:textId="77777777" w:rsidR="00207AA2" w:rsidRPr="0097258B" w:rsidRDefault="00207AA2" w:rsidP="00207AA2">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La pose de cette conduite de refoulement ne respectait pas les règles de l’art. Elle était enterrée à une profondeur très faible et sans protection mécanique. Aucun dispositif ne permettant à l’air de sortir et d’entrer dans le réseau n’était présent en point haut du refoulement. De plus, un défaut d’étanchéité de la vanne martellière du réseau gravitaire de la station de pompage est constaté. C’est lorsque cette vanne est fermée que le réseau de refoulement fonctionne pour permettre l’évacuation des eaux du fleuve</w:t>
            </w:r>
          </w:p>
          <w:p w14:paraId="15FCCF55" w14:textId="77777777" w:rsidR="00207AA2" w:rsidRPr="0097258B" w:rsidRDefault="00207AA2" w:rsidP="00207AA2">
            <w:pPr>
              <w:spacing w:after="0" w:line="240" w:lineRule="auto"/>
              <w:jc w:val="both"/>
              <w:rPr>
                <w:rFonts w:ascii="Times New Roman" w:hAnsi="Times New Roman"/>
                <w:b/>
                <w:bCs/>
                <w:color w:val="000000" w:themeColor="text1"/>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EAAC05B" w14:textId="0E3C83CD" w:rsidR="00207AA2" w:rsidRPr="0097258B" w:rsidRDefault="00207AA2" w:rsidP="00207AA2">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Affaissement d’une digue</w:t>
            </w:r>
          </w:p>
        </w:tc>
      </w:tr>
      <w:tr w:rsidR="00207AA2" w:rsidRPr="009B46E2" w14:paraId="02F4EE5A" w14:textId="77777777" w:rsidTr="00EA1906">
        <w:trPr>
          <w:trHeight w:val="81"/>
        </w:trPr>
        <w:tc>
          <w:tcPr>
            <w:tcW w:w="8075" w:type="dxa"/>
            <w:tcBorders>
              <w:top w:val="single" w:sz="4" w:space="0" w:color="000000"/>
              <w:left w:val="single" w:sz="4" w:space="0" w:color="000000"/>
              <w:bottom w:val="single" w:sz="4" w:space="0" w:color="000000"/>
              <w:right w:val="single" w:sz="4" w:space="0" w:color="000000"/>
            </w:tcBorders>
            <w:vAlign w:val="center"/>
          </w:tcPr>
          <w:p w14:paraId="42990652" w14:textId="77777777" w:rsidR="00207AA2" w:rsidRPr="0097258B" w:rsidRDefault="00207AA2" w:rsidP="00207AA2">
            <w:pPr>
              <w:spacing w:after="0" w:line="240" w:lineRule="auto"/>
              <w:jc w:val="both"/>
              <w:rPr>
                <w:rFonts w:ascii="Times New Roman" w:hAnsi="Times New Roman"/>
                <w:b/>
                <w:bCs/>
                <w:color w:val="000000" w:themeColor="text1"/>
                <w:sz w:val="20"/>
                <w:szCs w:val="20"/>
              </w:rPr>
            </w:pPr>
            <w:r w:rsidRPr="0097258B">
              <w:rPr>
                <w:rFonts w:ascii="Times New Roman" w:hAnsi="Times New Roman"/>
                <w:b/>
                <w:bCs/>
                <w:color w:val="000000" w:themeColor="text1"/>
                <w:sz w:val="20"/>
                <w:szCs w:val="20"/>
              </w:rPr>
              <w:t>N° 63011 </w:t>
            </w:r>
            <w:proofErr w:type="gramStart"/>
            <w:r w:rsidRPr="0097258B">
              <w:rPr>
                <w:rFonts w:ascii="Times New Roman" w:hAnsi="Times New Roman"/>
                <w:b/>
                <w:bCs/>
                <w:color w:val="000000" w:themeColor="text1"/>
                <w:sz w:val="20"/>
                <w:szCs w:val="20"/>
              </w:rPr>
              <w:t>-  09</w:t>
            </w:r>
            <w:proofErr w:type="gramEnd"/>
            <w:r w:rsidRPr="0097258B">
              <w:rPr>
                <w:rFonts w:ascii="Times New Roman" w:hAnsi="Times New Roman"/>
                <w:b/>
                <w:bCs/>
                <w:color w:val="000000" w:themeColor="text1"/>
                <w:sz w:val="20"/>
                <w:szCs w:val="20"/>
              </w:rPr>
              <w:t>/10/2024 </w:t>
            </w:r>
            <w:proofErr w:type="gramStart"/>
            <w:r w:rsidRPr="0097258B">
              <w:rPr>
                <w:rFonts w:ascii="Times New Roman" w:hAnsi="Times New Roman"/>
                <w:b/>
                <w:bCs/>
                <w:color w:val="000000" w:themeColor="text1"/>
                <w:sz w:val="20"/>
                <w:szCs w:val="20"/>
              </w:rPr>
              <w:t>-  FRANCE</w:t>
            </w:r>
            <w:proofErr w:type="gramEnd"/>
            <w:r w:rsidRPr="0097258B">
              <w:rPr>
                <w:rFonts w:ascii="Times New Roman" w:hAnsi="Times New Roman"/>
                <w:b/>
                <w:bCs/>
                <w:color w:val="000000" w:themeColor="text1"/>
                <w:sz w:val="20"/>
                <w:szCs w:val="20"/>
              </w:rPr>
              <w:t xml:space="preserve"> - 45 - SARAN </w:t>
            </w:r>
          </w:p>
          <w:p w14:paraId="03945022" w14:textId="77777777" w:rsidR="00207AA2" w:rsidRPr="0097258B" w:rsidRDefault="00207AA2" w:rsidP="00207AA2">
            <w:pPr>
              <w:spacing w:after="0" w:line="240" w:lineRule="auto"/>
              <w:jc w:val="both"/>
              <w:rPr>
                <w:rFonts w:ascii="Times New Roman" w:hAnsi="Times New Roman"/>
                <w:color w:val="000000" w:themeColor="text1"/>
                <w:sz w:val="20"/>
                <w:szCs w:val="20"/>
              </w:rPr>
            </w:pPr>
          </w:p>
          <w:p w14:paraId="6BD2E1BF" w14:textId="77777777" w:rsidR="00207AA2" w:rsidRPr="0097258B" w:rsidRDefault="00207AA2" w:rsidP="00207AA2">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À la suite de fortes pluies, vers 15 h, les bassins de récupération des eaux d’un site de traitement de déchets, comprenant notamment un incinérateur de déchets non dangereux, sont saturés. Une montée significative des eaux dans le bassin de traitement en direction de la STEP est observée. Des déversements d’eau et de boue en provenance des champs et bois situés au nord et au nord-est du site sont constatés.</w:t>
            </w:r>
          </w:p>
          <w:p w14:paraId="142B3B79" w14:textId="77777777" w:rsidR="00207AA2" w:rsidRPr="0097258B" w:rsidRDefault="00207AA2" w:rsidP="00207AA2">
            <w:pPr>
              <w:spacing w:after="0" w:line="240" w:lineRule="auto"/>
              <w:jc w:val="both"/>
              <w:rPr>
                <w:rFonts w:ascii="Times New Roman" w:hAnsi="Times New Roman"/>
                <w:color w:val="000000" w:themeColor="text1"/>
                <w:sz w:val="20"/>
                <w:szCs w:val="20"/>
              </w:rPr>
            </w:pPr>
          </w:p>
          <w:p w14:paraId="53E583B7" w14:textId="599557C3" w:rsidR="00207AA2" w:rsidRPr="0097258B" w:rsidRDefault="00207AA2" w:rsidP="00207AA2">
            <w:pPr>
              <w:spacing w:after="0" w:line="240" w:lineRule="auto"/>
              <w:jc w:val="both"/>
              <w:rPr>
                <w:rFonts w:ascii="Times New Roman" w:hAnsi="Times New Roman"/>
                <w:b/>
                <w:bCs/>
                <w:color w:val="000000" w:themeColor="text1"/>
                <w:sz w:val="20"/>
                <w:szCs w:val="20"/>
              </w:rPr>
            </w:pPr>
            <w:r w:rsidRPr="0097258B">
              <w:rPr>
                <w:rFonts w:ascii="Times New Roman" w:hAnsi="Times New Roman"/>
                <w:color w:val="000000" w:themeColor="text1"/>
                <w:sz w:val="20"/>
                <w:szCs w:val="20"/>
              </w:rPr>
              <w:t>Les précipitations ont été intenses durant 15 jours. La saturation des sols a entraîné un débordement partiel sur le site en raison du non-maintien du système de drainage à l’extérieur du site protégeant celui-ci des déversements d’eaux extérieures. Les systèmes internes (pompes de relevage, pompes d’eaux pluviales) ont correctement fonctionné. Les travaux de réparation et de maintenance relatif aux systèmes de drainage autour du site n’avaient pas été effectués en raison d’un problème de droit d’accès.</w:t>
            </w:r>
          </w:p>
        </w:tc>
        <w:tc>
          <w:tcPr>
            <w:tcW w:w="1701" w:type="dxa"/>
            <w:tcBorders>
              <w:top w:val="single" w:sz="4" w:space="0" w:color="000000"/>
              <w:left w:val="single" w:sz="4" w:space="0" w:color="000000"/>
              <w:bottom w:val="single" w:sz="4" w:space="0" w:color="000000"/>
              <w:right w:val="single" w:sz="4" w:space="0" w:color="000000"/>
            </w:tcBorders>
            <w:vAlign w:val="center"/>
          </w:tcPr>
          <w:p w14:paraId="5154C6A1" w14:textId="77777777" w:rsidR="00207AA2" w:rsidRPr="0097258B" w:rsidRDefault="00207AA2" w:rsidP="00207AA2">
            <w:pPr>
              <w:spacing w:after="0" w:line="240" w:lineRule="auto"/>
              <w:jc w:val="both"/>
              <w:rPr>
                <w:rFonts w:ascii="Times New Roman" w:hAnsi="Times New Roman"/>
                <w:color w:val="000000" w:themeColor="text1"/>
                <w:sz w:val="20"/>
                <w:szCs w:val="20"/>
              </w:rPr>
            </w:pPr>
          </w:p>
          <w:p w14:paraId="3C54F2D1" w14:textId="77777777" w:rsidR="00207AA2" w:rsidRPr="0097258B" w:rsidRDefault="00207AA2" w:rsidP="00207AA2">
            <w:pPr>
              <w:spacing w:after="0" w:line="240" w:lineRule="auto"/>
              <w:jc w:val="both"/>
              <w:rPr>
                <w:rFonts w:ascii="Times New Roman" w:hAnsi="Times New Roman"/>
                <w:color w:val="000000" w:themeColor="text1"/>
                <w:sz w:val="20"/>
                <w:szCs w:val="20"/>
              </w:rPr>
            </w:pPr>
          </w:p>
          <w:p w14:paraId="26FAEA22" w14:textId="21F41E16" w:rsidR="00207AA2" w:rsidRPr="0097258B" w:rsidRDefault="00207AA2" w:rsidP="00207AA2">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Débordement partielle des eaux usées</w:t>
            </w:r>
          </w:p>
        </w:tc>
      </w:tr>
      <w:tr w:rsidR="00BD1A2F" w:rsidRPr="009B46E2" w14:paraId="49A35BC3" w14:textId="77777777" w:rsidTr="00EA1906">
        <w:trPr>
          <w:trHeight w:val="81"/>
        </w:trPr>
        <w:tc>
          <w:tcPr>
            <w:tcW w:w="8075" w:type="dxa"/>
            <w:tcBorders>
              <w:top w:val="single" w:sz="4" w:space="0" w:color="000000"/>
              <w:left w:val="single" w:sz="4" w:space="0" w:color="000000"/>
              <w:bottom w:val="single" w:sz="4" w:space="0" w:color="000000"/>
              <w:right w:val="single" w:sz="4" w:space="0" w:color="000000"/>
            </w:tcBorders>
            <w:vAlign w:val="center"/>
            <w:hideMark/>
          </w:tcPr>
          <w:p w14:paraId="65904252" w14:textId="77777777" w:rsidR="00DB0460" w:rsidRPr="0097258B" w:rsidRDefault="00DB0460" w:rsidP="00E20250">
            <w:pPr>
              <w:spacing w:after="0" w:line="240" w:lineRule="auto"/>
              <w:jc w:val="both"/>
              <w:rPr>
                <w:rFonts w:ascii="Times New Roman" w:hAnsi="Times New Roman"/>
                <w:b/>
                <w:bCs/>
                <w:color w:val="000000" w:themeColor="text1"/>
                <w:sz w:val="20"/>
                <w:szCs w:val="20"/>
              </w:rPr>
            </w:pPr>
            <w:r w:rsidRPr="0097258B">
              <w:rPr>
                <w:rFonts w:ascii="Times New Roman" w:hAnsi="Times New Roman"/>
                <w:b/>
                <w:bCs/>
                <w:color w:val="000000" w:themeColor="text1"/>
                <w:sz w:val="20"/>
                <w:szCs w:val="20"/>
              </w:rPr>
              <w:t>30/07/1985 - 69 - SAINT-FONS</w:t>
            </w:r>
          </w:p>
          <w:p w14:paraId="6A4D31DB" w14:textId="35D0F5A9" w:rsidR="00DB0460" w:rsidRPr="0097258B" w:rsidRDefault="00DB0460" w:rsidP="00E20250">
            <w:pPr>
              <w:spacing w:after="0" w:line="240" w:lineRule="auto"/>
              <w:jc w:val="both"/>
              <w:rPr>
                <w:rFonts w:ascii="Times New Roman" w:hAnsi="Times New Roman"/>
                <w:bCs/>
                <w:color w:val="000000" w:themeColor="text1"/>
                <w:sz w:val="20"/>
                <w:szCs w:val="20"/>
              </w:rPr>
            </w:pPr>
            <w:r w:rsidRPr="0097258B">
              <w:rPr>
                <w:rFonts w:ascii="Times New Roman" w:hAnsi="Times New Roman"/>
                <w:bCs/>
                <w:color w:val="000000" w:themeColor="text1"/>
                <w:sz w:val="20"/>
                <w:szCs w:val="20"/>
              </w:rPr>
              <w:t xml:space="preserve">Lors d’un contrôle inopiné, un technicien d’un organisme extérieur est gravement intoxiqué, sans doute </w:t>
            </w:r>
            <w:r w:rsidR="00874DDA" w:rsidRPr="0097258B">
              <w:rPr>
                <w:rFonts w:ascii="Times New Roman" w:hAnsi="Times New Roman"/>
                <w:bCs/>
                <w:color w:val="000000" w:themeColor="text1"/>
                <w:sz w:val="20"/>
                <w:szCs w:val="20"/>
              </w:rPr>
              <w:t>par des</w:t>
            </w:r>
            <w:r w:rsidRPr="0097258B">
              <w:rPr>
                <w:rFonts w:ascii="Times New Roman" w:hAnsi="Times New Roman"/>
                <w:bCs/>
                <w:color w:val="000000" w:themeColor="text1"/>
                <w:sz w:val="20"/>
                <w:szCs w:val="20"/>
              </w:rPr>
              <w:t xml:space="preserve"> émanations d’hydrogène sulfuré, après avoir pénétré à l’insu de l’exploitant dans les égouts d’une </w:t>
            </w:r>
            <w:r w:rsidR="00874DDA" w:rsidRPr="0097258B">
              <w:rPr>
                <w:rFonts w:ascii="Times New Roman" w:hAnsi="Times New Roman"/>
                <w:bCs/>
                <w:color w:val="000000" w:themeColor="text1"/>
                <w:sz w:val="20"/>
                <w:szCs w:val="20"/>
              </w:rPr>
              <w:t>station d’épuration</w:t>
            </w:r>
            <w:r w:rsidRPr="0097258B">
              <w:rPr>
                <w:rFonts w:ascii="Times New Roman" w:hAnsi="Times New Roman"/>
                <w:bCs/>
                <w:color w:val="000000" w:themeColor="text1"/>
                <w:sz w:val="20"/>
                <w:szCs w:val="20"/>
              </w:rPr>
              <w:t xml:space="preserve"> industrielle. Un 2e technicien est intoxiqué à son tour en tentant de lui porter secours. Les </w:t>
            </w:r>
            <w:r w:rsidR="00874DDA" w:rsidRPr="0097258B">
              <w:rPr>
                <w:rFonts w:ascii="Times New Roman" w:hAnsi="Times New Roman"/>
                <w:bCs/>
                <w:color w:val="000000" w:themeColor="text1"/>
                <w:sz w:val="20"/>
                <w:szCs w:val="20"/>
              </w:rPr>
              <w:t>2 personnes</w:t>
            </w:r>
            <w:r w:rsidRPr="0097258B">
              <w:rPr>
                <w:rFonts w:ascii="Times New Roman" w:hAnsi="Times New Roman"/>
                <w:bCs/>
                <w:color w:val="000000" w:themeColor="text1"/>
                <w:sz w:val="20"/>
                <w:szCs w:val="20"/>
              </w:rPr>
              <w:t xml:space="preserve"> seront sauvées d’extrême justesse</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E7E983E" w14:textId="6DDC1F3F" w:rsidR="00DB0460" w:rsidRPr="0097258B" w:rsidRDefault="00DB0460"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Aucune conséquence majeure</w:t>
            </w:r>
            <w:r w:rsidR="00FC0256" w:rsidRPr="0097258B">
              <w:rPr>
                <w:rFonts w:ascii="Times New Roman" w:hAnsi="Times New Roman"/>
                <w:color w:val="000000" w:themeColor="text1"/>
                <w:sz w:val="20"/>
                <w:szCs w:val="20"/>
              </w:rPr>
              <w:t>.</w:t>
            </w:r>
            <w:r w:rsidRPr="0097258B">
              <w:rPr>
                <w:rFonts w:ascii="Times New Roman" w:hAnsi="Times New Roman"/>
                <w:color w:val="000000" w:themeColor="text1"/>
                <w:sz w:val="20"/>
                <w:szCs w:val="20"/>
              </w:rPr>
              <w:t xml:space="preserve"> </w:t>
            </w:r>
          </w:p>
        </w:tc>
      </w:tr>
      <w:tr w:rsidR="00BD1A2F" w:rsidRPr="009B46E2" w14:paraId="2270ABDA" w14:textId="77777777" w:rsidTr="00E3321E">
        <w:trPr>
          <w:trHeight w:val="404"/>
        </w:trPr>
        <w:tc>
          <w:tcPr>
            <w:tcW w:w="8075" w:type="dxa"/>
            <w:tcBorders>
              <w:top w:val="single" w:sz="4" w:space="0" w:color="000000"/>
              <w:left w:val="single" w:sz="4" w:space="0" w:color="000000"/>
              <w:bottom w:val="single" w:sz="4" w:space="0" w:color="000000"/>
              <w:right w:val="single" w:sz="4" w:space="0" w:color="000000"/>
            </w:tcBorders>
            <w:vAlign w:val="center"/>
            <w:hideMark/>
          </w:tcPr>
          <w:p w14:paraId="1B042E7F" w14:textId="77777777" w:rsidR="00DB0460" w:rsidRPr="0097258B" w:rsidRDefault="00DB0460" w:rsidP="00E20250">
            <w:pPr>
              <w:spacing w:after="0" w:line="240" w:lineRule="auto"/>
              <w:jc w:val="both"/>
              <w:rPr>
                <w:rFonts w:ascii="Times New Roman" w:hAnsi="Times New Roman"/>
                <w:b/>
                <w:bCs/>
                <w:color w:val="000000" w:themeColor="text1"/>
                <w:sz w:val="20"/>
                <w:szCs w:val="20"/>
              </w:rPr>
            </w:pPr>
            <w:r w:rsidRPr="0097258B">
              <w:rPr>
                <w:rFonts w:ascii="Times New Roman" w:hAnsi="Times New Roman"/>
                <w:b/>
                <w:bCs/>
                <w:color w:val="000000" w:themeColor="text1"/>
                <w:sz w:val="20"/>
                <w:szCs w:val="20"/>
              </w:rPr>
              <w:t>12/06/2006 - 78 – POISSY</w:t>
            </w:r>
          </w:p>
          <w:p w14:paraId="48CB2FCB" w14:textId="703AEC01" w:rsidR="00DB0460" w:rsidRPr="0097258B" w:rsidRDefault="00DB0460" w:rsidP="00E20250">
            <w:pPr>
              <w:spacing w:after="0" w:line="240" w:lineRule="auto"/>
              <w:jc w:val="both"/>
              <w:rPr>
                <w:rFonts w:ascii="Times New Roman" w:hAnsi="Times New Roman"/>
                <w:b/>
                <w:bCs/>
                <w:color w:val="000000" w:themeColor="text1"/>
                <w:sz w:val="20"/>
                <w:szCs w:val="20"/>
              </w:rPr>
            </w:pPr>
            <w:r w:rsidRPr="0097258B">
              <w:rPr>
                <w:rFonts w:ascii="Times New Roman" w:hAnsi="Times New Roman"/>
                <w:bCs/>
                <w:color w:val="000000" w:themeColor="text1"/>
                <w:sz w:val="20"/>
                <w:szCs w:val="20"/>
              </w:rPr>
              <w:t xml:space="preserve">Lors du curage d’un bac de décantation du réseau d’égout de Poissy, 3 égoutiers, âgés de 22 à 44 ans, décèdent, un autre est grièvement blessé très probablement à la suite d’un dégagement d’hydrogène sulfuré (H2S). Deux fois par an, 4 salariés d’une entreprise d’assainissement et de voirie nettoient la fosse de décantation du quartier « La collégiale «. L’opération consiste à aspirer dans des camions le contenu du bac de décantation de 30 m³ et profond de 5 m pour en extraire les boues et autres déchets. Selon cette société qui est sous contrat depuis 20 ans avec la ville, cet entretien préventif débuté à 9h30 devait garantir un bon écoulement des eaux usées dans les égouts. Vers 10 h, 3 des ouvriers sont intoxiqués de manière foudroyante (selon un membre de l’équipe de secours) alors qu’ils auraient probablement atteint une poche de H2S, gaz très toxique issu de la décomposition des matières organiques. Le quatrième ouvrier, père d’un des employés décédés, âgé de 48ans, qui se trouve un peu en retrait, est grièvement atteint et transporté à l’hôpital. Dès l’alerte donnée par un passant, près d’une cinquantaine de pompiers accompagnés d’une vingtaine de véhicules se rendent sur les lieux, rejoints par 4 équipes du Samu. Deux enquêtes sont effectuées, l’une judiciaire et l’autre par l’inspection du travail qui devra </w:t>
            </w:r>
            <w:proofErr w:type="spellStart"/>
            <w:r w:rsidR="00874DDA" w:rsidRPr="0097258B">
              <w:rPr>
                <w:rFonts w:ascii="Times New Roman" w:hAnsi="Times New Roman"/>
                <w:bCs/>
                <w:color w:val="000000" w:themeColor="text1"/>
                <w:sz w:val="20"/>
                <w:szCs w:val="20"/>
              </w:rPr>
              <w:t>vériﬁer</w:t>
            </w:r>
            <w:proofErr w:type="spellEnd"/>
            <w:r w:rsidR="00874DDA" w:rsidRPr="0097258B">
              <w:rPr>
                <w:rFonts w:ascii="Times New Roman" w:hAnsi="Times New Roman"/>
                <w:bCs/>
                <w:color w:val="000000" w:themeColor="text1"/>
                <w:sz w:val="20"/>
                <w:szCs w:val="20"/>
              </w:rPr>
              <w:t xml:space="preserve"> si</w:t>
            </w:r>
            <w:r w:rsidRPr="0097258B">
              <w:rPr>
                <w:rFonts w:ascii="Times New Roman" w:hAnsi="Times New Roman"/>
                <w:bCs/>
                <w:color w:val="000000" w:themeColor="text1"/>
                <w:sz w:val="20"/>
                <w:szCs w:val="20"/>
              </w:rPr>
              <w:t xml:space="preserve"> tous les protocoles devant être mis en </w:t>
            </w:r>
            <w:r w:rsidR="00874DDA" w:rsidRPr="0097258B">
              <w:rPr>
                <w:rFonts w:ascii="Times New Roman" w:hAnsi="Times New Roman"/>
                <w:bCs/>
                <w:color w:val="000000" w:themeColor="text1"/>
                <w:sz w:val="20"/>
                <w:szCs w:val="20"/>
              </w:rPr>
              <w:t>œuvre</w:t>
            </w:r>
            <w:r w:rsidRPr="0097258B">
              <w:rPr>
                <w:rFonts w:ascii="Times New Roman" w:hAnsi="Times New Roman"/>
                <w:bCs/>
                <w:color w:val="000000" w:themeColor="text1"/>
                <w:sz w:val="20"/>
                <w:szCs w:val="20"/>
              </w:rPr>
              <w:t xml:space="preserve"> pour ce type d’intervention ont été respectés. La direction de la société indique que les opérateurs en assainissement sont formés aux interventions en atmosphères </w:t>
            </w:r>
            <w:r w:rsidR="00874DDA" w:rsidRPr="0097258B">
              <w:rPr>
                <w:rFonts w:ascii="Times New Roman" w:hAnsi="Times New Roman"/>
                <w:bCs/>
                <w:color w:val="000000" w:themeColor="text1"/>
                <w:sz w:val="20"/>
                <w:szCs w:val="20"/>
              </w:rPr>
              <w:t>con</w:t>
            </w:r>
            <w:r w:rsidR="00D9532B" w:rsidRPr="0097258B">
              <w:rPr>
                <w:rFonts w:ascii="Times New Roman" w:hAnsi="Times New Roman"/>
                <w:bCs/>
                <w:color w:val="000000" w:themeColor="text1"/>
                <w:sz w:val="20"/>
                <w:szCs w:val="20"/>
              </w:rPr>
              <w:t>fi</w:t>
            </w:r>
            <w:r w:rsidR="00874DDA" w:rsidRPr="0097258B">
              <w:rPr>
                <w:rFonts w:ascii="Times New Roman" w:hAnsi="Times New Roman"/>
                <w:bCs/>
                <w:color w:val="000000" w:themeColor="text1"/>
                <w:sz w:val="20"/>
                <w:szCs w:val="20"/>
              </w:rPr>
              <w:t>nées</w:t>
            </w:r>
            <w:r w:rsidRPr="0097258B">
              <w:rPr>
                <w:rFonts w:ascii="Times New Roman" w:hAnsi="Times New Roman"/>
                <w:bCs/>
                <w:color w:val="000000" w:themeColor="text1"/>
                <w:sz w:val="20"/>
                <w:szCs w:val="20"/>
              </w:rPr>
              <w:t xml:space="preserve">, qu’ils disposent de contrôleurs d’atmosphère et de masques </w:t>
            </w:r>
            <w:proofErr w:type="spellStart"/>
            <w:r w:rsidRPr="0097258B">
              <w:rPr>
                <w:rFonts w:ascii="Times New Roman" w:hAnsi="Times New Roman"/>
                <w:bCs/>
                <w:color w:val="000000" w:themeColor="text1"/>
                <w:sz w:val="20"/>
                <w:szCs w:val="20"/>
              </w:rPr>
              <w:t>autosauveteurs</w:t>
            </w:r>
            <w:proofErr w:type="spellEnd"/>
            <w:r w:rsidRPr="0097258B">
              <w:rPr>
                <w:rFonts w:ascii="Times New Roman" w:hAnsi="Times New Roman"/>
                <w:bCs/>
                <w:color w:val="000000" w:themeColor="text1"/>
                <w:sz w:val="20"/>
                <w:szCs w:val="20"/>
              </w:rPr>
              <w:t xml:space="preserve">. Une autopsie est ordonnée par le parquet pour connaître les raisons exactes de la mort des 3 </w:t>
            </w:r>
            <w:r w:rsidR="00E53FAB" w:rsidRPr="0097258B">
              <w:rPr>
                <w:rFonts w:ascii="Times New Roman" w:hAnsi="Times New Roman"/>
                <w:bCs/>
                <w:color w:val="000000" w:themeColor="text1"/>
                <w:sz w:val="20"/>
                <w:szCs w:val="20"/>
              </w:rPr>
              <w:t>ouvriers.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5F566AC" w14:textId="77777777" w:rsidR="00DB0460" w:rsidRPr="0097258B" w:rsidRDefault="00DB0460"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    Mort d’homme</w:t>
            </w:r>
          </w:p>
        </w:tc>
      </w:tr>
      <w:tr w:rsidR="00BD1A2F" w:rsidRPr="009B46E2" w14:paraId="759A4248" w14:textId="77777777" w:rsidTr="00874DDA">
        <w:trPr>
          <w:trHeight w:val="146"/>
        </w:trPr>
        <w:tc>
          <w:tcPr>
            <w:tcW w:w="8075" w:type="dxa"/>
            <w:tcBorders>
              <w:top w:val="single" w:sz="4" w:space="0" w:color="000000"/>
              <w:left w:val="single" w:sz="4" w:space="0" w:color="000000"/>
              <w:bottom w:val="single" w:sz="4" w:space="0" w:color="000000"/>
              <w:right w:val="single" w:sz="4" w:space="0" w:color="000000"/>
            </w:tcBorders>
            <w:vAlign w:val="center"/>
            <w:hideMark/>
          </w:tcPr>
          <w:p w14:paraId="577D9C17" w14:textId="77777777" w:rsidR="00DB0460" w:rsidRPr="0097258B" w:rsidRDefault="00DB0460" w:rsidP="00E20250">
            <w:pPr>
              <w:spacing w:after="0" w:line="240" w:lineRule="auto"/>
              <w:jc w:val="both"/>
              <w:rPr>
                <w:rFonts w:ascii="Times New Roman" w:hAnsi="Times New Roman"/>
                <w:b/>
                <w:bCs/>
                <w:color w:val="000000" w:themeColor="text1"/>
                <w:sz w:val="20"/>
                <w:szCs w:val="20"/>
              </w:rPr>
            </w:pPr>
            <w:r w:rsidRPr="0097258B">
              <w:rPr>
                <w:rFonts w:ascii="Times New Roman" w:hAnsi="Times New Roman"/>
                <w:b/>
                <w:bCs/>
                <w:color w:val="000000" w:themeColor="text1"/>
                <w:sz w:val="20"/>
                <w:szCs w:val="20"/>
              </w:rPr>
              <w:t>08/11/2005 - ALLEMAGNE – RHADEREISTEDT</w:t>
            </w:r>
          </w:p>
          <w:p w14:paraId="08DA0CA7" w14:textId="2015F549" w:rsidR="00DB0460" w:rsidRPr="0097258B" w:rsidRDefault="00DB0460" w:rsidP="00E20250">
            <w:pPr>
              <w:spacing w:after="0" w:line="240" w:lineRule="auto"/>
              <w:jc w:val="both"/>
              <w:rPr>
                <w:rFonts w:ascii="Times New Roman" w:hAnsi="Times New Roman"/>
                <w:b/>
                <w:bCs/>
                <w:color w:val="000000" w:themeColor="text1"/>
                <w:sz w:val="20"/>
                <w:szCs w:val="20"/>
              </w:rPr>
            </w:pPr>
            <w:r w:rsidRPr="0097258B">
              <w:rPr>
                <w:rFonts w:ascii="Times New Roman" w:hAnsi="Times New Roman"/>
                <w:bCs/>
                <w:color w:val="000000" w:themeColor="text1"/>
                <w:sz w:val="20"/>
                <w:szCs w:val="20"/>
              </w:rPr>
              <w:t xml:space="preserve">Dans un site de production de biogaz par valorisation de déchets organiques, une émanation de </w:t>
            </w:r>
            <w:r w:rsidR="00874DDA" w:rsidRPr="0097258B">
              <w:rPr>
                <w:rFonts w:ascii="Times New Roman" w:hAnsi="Times New Roman"/>
                <w:bCs/>
                <w:color w:val="000000" w:themeColor="text1"/>
                <w:sz w:val="20"/>
                <w:szCs w:val="20"/>
              </w:rPr>
              <w:t>sulfure d’hydrogène</w:t>
            </w:r>
            <w:r w:rsidRPr="0097258B">
              <w:rPr>
                <w:rFonts w:ascii="Times New Roman" w:hAnsi="Times New Roman"/>
                <w:bCs/>
                <w:color w:val="000000" w:themeColor="text1"/>
                <w:sz w:val="20"/>
                <w:szCs w:val="20"/>
              </w:rPr>
              <w:t xml:space="preserve"> (H2S) d’un camion venu décharger des déchets issus d’un abattoir. Arrivé le soir, le camion en provenance des Pays-Bas stationne devant l’établissement jusqu’au lendemain matin. Le drame se produit alors que le chargement du camion est déchargé à l’intérieur d’un hall fermé pour limiter les nuisances olfactives, dans une fosse de 100 m³ équipée de 2 agitateurs et dont le couvercle ne peut être fermé en raison de la défaillance du moteur électrique qui l’actionne. Les matières déchargées, déchets liquides chargés en sulfures, de pH proche de 8,5 et d’une température de 60 °C, sont des boyaux et des viscères de porc ; elles avaient été chargées 24 h plus tôt et étaient analogues aux déchets habituellement livrés 1 à 2 fois par semaine par l’établissement d’origine. La réaction entre ces substances et les matières déjà présentes dans </w:t>
            </w:r>
            <w:r w:rsidR="00874DDA" w:rsidRPr="0097258B">
              <w:rPr>
                <w:rFonts w:ascii="Times New Roman" w:hAnsi="Times New Roman"/>
                <w:bCs/>
                <w:color w:val="000000" w:themeColor="text1"/>
                <w:sz w:val="20"/>
                <w:szCs w:val="20"/>
              </w:rPr>
              <w:t>la fosse</w:t>
            </w:r>
            <w:r w:rsidRPr="0097258B">
              <w:rPr>
                <w:rFonts w:ascii="Times New Roman" w:hAnsi="Times New Roman"/>
                <w:bCs/>
                <w:color w:val="000000" w:themeColor="text1"/>
                <w:sz w:val="20"/>
                <w:szCs w:val="20"/>
              </w:rPr>
              <w:t xml:space="preserve"> (déchets animaux ou de laiteries, de pH peu élevé d’après les analyses effectuées après l’accident) serait à l’origine d’un fort dégagement d’H2S. La température du milieu et le fonctionnement de l’agitation auraient favorisé la dispersion du gaz toxique dans le hall de déchargement. Par ailleurs, le dispositif d’extraction situé en fond de fosse qui rejette l’air vicié à l’extérieur via un </w:t>
            </w:r>
            <w:proofErr w:type="spellStart"/>
            <w:r w:rsidRPr="0097258B">
              <w:rPr>
                <w:rFonts w:ascii="Times New Roman" w:hAnsi="Times New Roman"/>
                <w:bCs/>
                <w:color w:val="000000" w:themeColor="text1"/>
                <w:sz w:val="20"/>
                <w:szCs w:val="20"/>
              </w:rPr>
              <w:t>bioﬁltre</w:t>
            </w:r>
            <w:proofErr w:type="spellEnd"/>
            <w:r w:rsidRPr="0097258B">
              <w:rPr>
                <w:rFonts w:ascii="Times New Roman" w:hAnsi="Times New Roman"/>
                <w:bCs/>
                <w:color w:val="000000" w:themeColor="text1"/>
                <w:sz w:val="20"/>
                <w:szCs w:val="20"/>
              </w:rPr>
              <w:t xml:space="preserve"> se serait montré insuffisant.</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0242488" w14:textId="77777777" w:rsidR="00DB0460" w:rsidRPr="0097258B" w:rsidRDefault="00DB0460"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Asphyxie avec 3 employés et le conducteur de camion tués</w:t>
            </w:r>
          </w:p>
        </w:tc>
      </w:tr>
      <w:tr w:rsidR="00BD1A2F" w:rsidRPr="009B46E2" w14:paraId="635B85C8" w14:textId="77777777" w:rsidTr="00EA1906">
        <w:trPr>
          <w:trHeight w:val="81"/>
        </w:trPr>
        <w:tc>
          <w:tcPr>
            <w:tcW w:w="8075" w:type="dxa"/>
            <w:tcBorders>
              <w:top w:val="single" w:sz="4" w:space="0" w:color="000000"/>
              <w:left w:val="single" w:sz="4" w:space="0" w:color="000000"/>
              <w:bottom w:val="single" w:sz="4" w:space="0" w:color="000000"/>
              <w:right w:val="single" w:sz="4" w:space="0" w:color="000000"/>
            </w:tcBorders>
            <w:vAlign w:val="center"/>
          </w:tcPr>
          <w:p w14:paraId="39EDABEF" w14:textId="77777777" w:rsidR="00DB0460" w:rsidRPr="0097258B" w:rsidRDefault="00DB0460" w:rsidP="00E20250">
            <w:pPr>
              <w:spacing w:after="0" w:line="240" w:lineRule="auto"/>
              <w:jc w:val="both"/>
              <w:rPr>
                <w:rFonts w:ascii="Times New Roman" w:hAnsi="Times New Roman"/>
                <w:b/>
                <w:bCs/>
                <w:color w:val="000000" w:themeColor="text1"/>
                <w:sz w:val="20"/>
                <w:szCs w:val="20"/>
              </w:rPr>
            </w:pPr>
            <w:r w:rsidRPr="0097258B">
              <w:rPr>
                <w:rFonts w:ascii="Times New Roman" w:hAnsi="Times New Roman"/>
                <w:b/>
                <w:bCs/>
                <w:color w:val="000000" w:themeColor="text1"/>
                <w:sz w:val="20"/>
                <w:szCs w:val="20"/>
              </w:rPr>
              <w:t>15/10/2013</w:t>
            </w:r>
          </w:p>
          <w:p w14:paraId="6DE9B954" w14:textId="77777777" w:rsidR="00DB0460" w:rsidRPr="0097258B" w:rsidRDefault="00DB0460"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Un tragique accident s’est produit le 15 octobre à la station d’épuration Seine Aval du Syndicat interdépartemental d’assainissement de l’agglomération parisienne (</w:t>
            </w:r>
            <w:proofErr w:type="spellStart"/>
            <w:r w:rsidRPr="0097258B">
              <w:rPr>
                <w:rFonts w:ascii="Times New Roman" w:hAnsi="Times New Roman"/>
                <w:color w:val="000000" w:themeColor="text1"/>
                <w:sz w:val="20"/>
                <w:szCs w:val="20"/>
              </w:rPr>
              <w:t>Siaap</w:t>
            </w:r>
            <w:proofErr w:type="spellEnd"/>
            <w:r w:rsidRPr="0097258B">
              <w:rPr>
                <w:rFonts w:ascii="Times New Roman" w:hAnsi="Times New Roman"/>
                <w:color w:val="000000" w:themeColor="text1"/>
                <w:sz w:val="20"/>
                <w:szCs w:val="20"/>
              </w:rPr>
              <w:t>), à Achères (78). Un salarié a fait une chute mortelle alors qu’il effectuait un prélèvement d’échantillon dans un bassin de traitement.</w:t>
            </w:r>
          </w:p>
          <w:p w14:paraId="3A77ACA0" w14:textId="77777777" w:rsidR="00DB0460" w:rsidRPr="0097258B" w:rsidRDefault="00DB0460"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Les hommes-grenouilles des pompiers ont été appelés en renfort et ont récupéré le corps en fin de journée après une vidange du bassin.</w:t>
            </w:r>
          </w:p>
          <w:p w14:paraId="016CAFB9" w14:textId="2D23AFC5" w:rsidR="00DB0460" w:rsidRPr="0097258B" w:rsidRDefault="00DB0460" w:rsidP="00E20250">
            <w:pPr>
              <w:spacing w:after="0" w:line="240" w:lineRule="auto"/>
              <w:jc w:val="both"/>
              <w:rPr>
                <w:rFonts w:ascii="Times New Roman" w:hAnsi="Times New Roman"/>
                <w:b/>
                <w:bCs/>
                <w:color w:val="000000" w:themeColor="text1"/>
                <w:sz w:val="20"/>
                <w:szCs w:val="20"/>
              </w:rPr>
            </w:pPr>
            <w:r w:rsidRPr="0097258B">
              <w:rPr>
                <w:rFonts w:ascii="Times New Roman" w:hAnsi="Times New Roman"/>
                <w:color w:val="000000" w:themeColor="text1"/>
                <w:sz w:val="20"/>
                <w:szCs w:val="20"/>
              </w:rPr>
              <w:t xml:space="preserve">Les conditions de cet accident mortel semblent encore difficiles à déterminer.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19DF20C" w14:textId="77777777" w:rsidR="00DB0460" w:rsidRPr="0097258B" w:rsidRDefault="00DB0460"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Mort d’homme</w:t>
            </w:r>
          </w:p>
        </w:tc>
      </w:tr>
      <w:tr w:rsidR="00BD1A2F" w:rsidRPr="009B46E2" w14:paraId="5456B1E9" w14:textId="77777777" w:rsidTr="00EA1906">
        <w:trPr>
          <w:trHeight w:val="81"/>
        </w:trPr>
        <w:tc>
          <w:tcPr>
            <w:tcW w:w="8075" w:type="dxa"/>
            <w:tcBorders>
              <w:top w:val="single" w:sz="4" w:space="0" w:color="000000"/>
              <w:left w:val="single" w:sz="4" w:space="0" w:color="000000"/>
              <w:bottom w:val="single" w:sz="4" w:space="0" w:color="000000"/>
              <w:right w:val="single" w:sz="4" w:space="0" w:color="000000"/>
            </w:tcBorders>
            <w:vAlign w:val="center"/>
          </w:tcPr>
          <w:p w14:paraId="28B7B954" w14:textId="77777777" w:rsidR="00DB0460" w:rsidRPr="0097258B" w:rsidRDefault="00DB0460" w:rsidP="00E20250">
            <w:pPr>
              <w:spacing w:after="0" w:line="240" w:lineRule="auto"/>
              <w:jc w:val="both"/>
              <w:rPr>
                <w:rFonts w:ascii="Times New Roman" w:hAnsi="Times New Roman"/>
                <w:b/>
                <w:bCs/>
                <w:color w:val="000000" w:themeColor="text1"/>
                <w:sz w:val="20"/>
                <w:szCs w:val="20"/>
              </w:rPr>
            </w:pPr>
            <w:r w:rsidRPr="0097258B">
              <w:rPr>
                <w:rFonts w:ascii="Times New Roman" w:hAnsi="Times New Roman"/>
                <w:b/>
                <w:bCs/>
                <w:color w:val="000000" w:themeColor="text1"/>
                <w:sz w:val="20"/>
                <w:szCs w:val="20"/>
              </w:rPr>
              <w:t>N° 10026 - 18/12/1978 - PAYS-BAS – NIJMEGEN</w:t>
            </w:r>
          </w:p>
          <w:p w14:paraId="2B4DA1AF" w14:textId="77777777" w:rsidR="00DB0460" w:rsidRPr="0097258B" w:rsidRDefault="00DB0460" w:rsidP="00E20250">
            <w:pPr>
              <w:spacing w:after="0" w:line="240" w:lineRule="auto"/>
              <w:jc w:val="both"/>
              <w:rPr>
                <w:rFonts w:ascii="Times New Roman" w:hAnsi="Times New Roman"/>
                <w:b/>
                <w:bCs/>
                <w:color w:val="000000" w:themeColor="text1"/>
                <w:sz w:val="20"/>
                <w:szCs w:val="20"/>
              </w:rPr>
            </w:pPr>
          </w:p>
          <w:p w14:paraId="5C408C11" w14:textId="6BE0F807" w:rsidR="00DB0460" w:rsidRPr="0097258B" w:rsidRDefault="00874DDA" w:rsidP="00E20250">
            <w:pPr>
              <w:spacing w:after="0" w:line="240" w:lineRule="auto"/>
              <w:jc w:val="both"/>
              <w:rPr>
                <w:rFonts w:ascii="Times New Roman" w:hAnsi="Times New Roman"/>
                <w:b/>
                <w:bCs/>
                <w:color w:val="000000" w:themeColor="text1"/>
                <w:sz w:val="20"/>
                <w:szCs w:val="20"/>
              </w:rPr>
            </w:pPr>
            <w:r w:rsidRPr="0097258B">
              <w:rPr>
                <w:rFonts w:ascii="Times New Roman" w:hAnsi="Times New Roman"/>
                <w:color w:val="000000" w:themeColor="text1"/>
                <w:sz w:val="20"/>
                <w:szCs w:val="20"/>
              </w:rPr>
              <w:t>Une</w:t>
            </w:r>
            <w:r w:rsidR="00DB0460" w:rsidRPr="0097258B">
              <w:rPr>
                <w:rFonts w:ascii="Times New Roman" w:hAnsi="Times New Roman"/>
                <w:color w:val="000000" w:themeColor="text1"/>
                <w:sz w:val="20"/>
                <w:szCs w:val="20"/>
              </w:rPr>
              <w:t xml:space="preserve"> petite fuite se produit sur les lignes de transfert</w:t>
            </w:r>
          </w:p>
        </w:tc>
        <w:tc>
          <w:tcPr>
            <w:tcW w:w="1701" w:type="dxa"/>
            <w:tcBorders>
              <w:top w:val="single" w:sz="4" w:space="0" w:color="000000"/>
              <w:left w:val="single" w:sz="4" w:space="0" w:color="000000"/>
              <w:bottom w:val="single" w:sz="4" w:space="0" w:color="000000"/>
              <w:right w:val="single" w:sz="4" w:space="0" w:color="000000"/>
            </w:tcBorders>
            <w:vAlign w:val="center"/>
          </w:tcPr>
          <w:p w14:paraId="44463471" w14:textId="2C2A01FC" w:rsidR="00DB0460" w:rsidRPr="0097258B" w:rsidRDefault="00DB0460"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La fuite s'enflamme sur un </w:t>
            </w:r>
            <w:r w:rsidRPr="0097258B">
              <w:rPr>
                <w:rFonts w:ascii="Times New Roman" w:hAnsi="Times New Roman"/>
                <w:color w:val="000000" w:themeColor="text1"/>
                <w:sz w:val="20"/>
                <w:szCs w:val="20"/>
              </w:rPr>
              <w:lastRenderedPageBreak/>
              <w:t>point chaud du moteur du</w:t>
            </w:r>
            <w:r w:rsidR="00874DDA" w:rsidRPr="0097258B">
              <w:rPr>
                <w:rFonts w:ascii="Times New Roman" w:hAnsi="Times New Roman"/>
                <w:color w:val="000000" w:themeColor="text1"/>
                <w:sz w:val="20"/>
                <w:szCs w:val="20"/>
              </w:rPr>
              <w:t xml:space="preserve"> </w:t>
            </w:r>
            <w:r w:rsidRPr="0097258B">
              <w:rPr>
                <w:rFonts w:ascii="Times New Roman" w:hAnsi="Times New Roman"/>
                <w:color w:val="000000" w:themeColor="text1"/>
                <w:sz w:val="20"/>
                <w:szCs w:val="20"/>
              </w:rPr>
              <w:t>camion</w:t>
            </w:r>
          </w:p>
        </w:tc>
      </w:tr>
    </w:tbl>
    <w:p w14:paraId="5A105690" w14:textId="77777777" w:rsidR="00DB0460" w:rsidRPr="00260790" w:rsidRDefault="00DB0460" w:rsidP="00EA1906">
      <w:pPr>
        <w:spacing w:after="0" w:line="240" w:lineRule="auto"/>
        <w:jc w:val="both"/>
        <w:rPr>
          <w:rFonts w:ascii="Times New Roman" w:hAnsi="Times New Roman"/>
          <w:b/>
          <w:color w:val="000000" w:themeColor="text1"/>
        </w:rPr>
      </w:pPr>
    </w:p>
    <w:p w14:paraId="3FD5B9A4" w14:textId="535CD7E2" w:rsidR="00DB0460" w:rsidRPr="00260790" w:rsidRDefault="00DB0460" w:rsidP="00E20250">
      <w:pPr>
        <w:spacing w:line="240" w:lineRule="auto"/>
        <w:jc w:val="both"/>
        <w:rPr>
          <w:rFonts w:ascii="Times New Roman" w:hAnsi="Times New Roman"/>
          <w:bCs/>
          <w:iCs/>
          <w:color w:val="000000" w:themeColor="text1"/>
        </w:rPr>
      </w:pPr>
      <w:r w:rsidRPr="00260790">
        <w:rPr>
          <w:rFonts w:ascii="Times New Roman" w:hAnsi="Times New Roman"/>
          <w:bCs/>
          <w:iCs/>
          <w:color w:val="000000" w:themeColor="text1"/>
        </w:rPr>
        <w:t xml:space="preserve">Ainsi les causes </w:t>
      </w:r>
      <w:r w:rsidR="00874DDA" w:rsidRPr="00260790">
        <w:rPr>
          <w:rFonts w:ascii="Times New Roman" w:hAnsi="Times New Roman"/>
          <w:bCs/>
          <w:iCs/>
          <w:color w:val="000000" w:themeColor="text1"/>
        </w:rPr>
        <w:t>principales qui</w:t>
      </w:r>
      <w:r w:rsidRPr="00260790">
        <w:rPr>
          <w:rFonts w:ascii="Times New Roman" w:hAnsi="Times New Roman"/>
          <w:bCs/>
          <w:iCs/>
          <w:color w:val="000000" w:themeColor="text1"/>
        </w:rPr>
        <w:t xml:space="preserve"> ont été répertoriées sont :</w:t>
      </w:r>
    </w:p>
    <w:p w14:paraId="053F8E91" w14:textId="77777777" w:rsidR="00DB0460" w:rsidRPr="00260790" w:rsidRDefault="00DB0460" w:rsidP="001748C6">
      <w:pPr>
        <w:numPr>
          <w:ilvl w:val="0"/>
          <w:numId w:val="192"/>
        </w:numPr>
        <w:spacing w:line="240" w:lineRule="auto"/>
        <w:jc w:val="both"/>
        <w:rPr>
          <w:rFonts w:ascii="Times New Roman" w:hAnsi="Times New Roman"/>
          <w:bCs/>
          <w:iCs/>
          <w:color w:val="000000" w:themeColor="text1"/>
        </w:rPr>
      </w:pPr>
      <w:r w:rsidRPr="00260790">
        <w:rPr>
          <w:rFonts w:ascii="Times New Roman" w:hAnsi="Times New Roman"/>
          <w:bCs/>
          <w:iCs/>
          <w:color w:val="000000" w:themeColor="text1"/>
        </w:rPr>
        <w:t>Défaillance matérielle,</w:t>
      </w:r>
    </w:p>
    <w:p w14:paraId="724CF6D0" w14:textId="77777777" w:rsidR="00DB0460" w:rsidRPr="00260790" w:rsidRDefault="00DB0460" w:rsidP="001748C6">
      <w:pPr>
        <w:numPr>
          <w:ilvl w:val="0"/>
          <w:numId w:val="192"/>
        </w:numPr>
        <w:spacing w:line="240" w:lineRule="auto"/>
        <w:jc w:val="both"/>
        <w:rPr>
          <w:rFonts w:ascii="Times New Roman" w:hAnsi="Times New Roman"/>
          <w:bCs/>
          <w:iCs/>
          <w:color w:val="000000" w:themeColor="text1"/>
        </w:rPr>
      </w:pPr>
      <w:r w:rsidRPr="00260790">
        <w:rPr>
          <w:rFonts w:ascii="Times New Roman" w:hAnsi="Times New Roman"/>
          <w:bCs/>
          <w:iCs/>
          <w:color w:val="000000" w:themeColor="text1"/>
        </w:rPr>
        <w:t>Défaillance humaine,</w:t>
      </w:r>
    </w:p>
    <w:p w14:paraId="0DA574DD" w14:textId="77777777" w:rsidR="00DB0460" w:rsidRPr="00260790" w:rsidRDefault="00DB0460" w:rsidP="001748C6">
      <w:pPr>
        <w:numPr>
          <w:ilvl w:val="0"/>
          <w:numId w:val="192"/>
        </w:numPr>
        <w:spacing w:line="240" w:lineRule="auto"/>
        <w:jc w:val="both"/>
        <w:rPr>
          <w:rFonts w:ascii="Times New Roman" w:hAnsi="Times New Roman"/>
          <w:bCs/>
          <w:iCs/>
          <w:color w:val="000000" w:themeColor="text1"/>
        </w:rPr>
      </w:pPr>
      <w:r w:rsidRPr="00260790">
        <w:rPr>
          <w:rFonts w:ascii="Times New Roman" w:hAnsi="Times New Roman"/>
          <w:bCs/>
          <w:iCs/>
          <w:color w:val="000000" w:themeColor="text1"/>
        </w:rPr>
        <w:t>Malveillance,</w:t>
      </w:r>
    </w:p>
    <w:p w14:paraId="1F80F9F6" w14:textId="77777777" w:rsidR="00DB0460" w:rsidRDefault="00DB0460" w:rsidP="001748C6">
      <w:pPr>
        <w:numPr>
          <w:ilvl w:val="0"/>
          <w:numId w:val="192"/>
        </w:numPr>
        <w:spacing w:line="240" w:lineRule="auto"/>
        <w:jc w:val="both"/>
        <w:rPr>
          <w:rFonts w:ascii="Times New Roman" w:hAnsi="Times New Roman"/>
          <w:bCs/>
          <w:iCs/>
          <w:color w:val="000000" w:themeColor="text1"/>
        </w:rPr>
      </w:pPr>
      <w:r w:rsidRPr="00260790">
        <w:rPr>
          <w:rFonts w:ascii="Times New Roman" w:hAnsi="Times New Roman"/>
          <w:bCs/>
          <w:iCs/>
          <w:color w:val="000000" w:themeColor="text1"/>
        </w:rPr>
        <w:t>Intervention insuffisante,</w:t>
      </w:r>
    </w:p>
    <w:p w14:paraId="27A9007A" w14:textId="42D31F27" w:rsidR="009B428A" w:rsidRPr="00260790" w:rsidRDefault="005C5227" w:rsidP="0097258B">
      <w:pPr>
        <w:spacing w:line="240" w:lineRule="auto"/>
        <w:jc w:val="both"/>
        <w:rPr>
          <w:rFonts w:ascii="Times New Roman" w:hAnsi="Times New Roman"/>
          <w:bCs/>
          <w:iCs/>
          <w:color w:val="000000" w:themeColor="text1"/>
        </w:rPr>
      </w:pPr>
      <w:r>
        <w:rPr>
          <w:rFonts w:ascii="Times New Roman" w:hAnsi="Times New Roman"/>
          <w:bCs/>
          <w:iCs/>
          <w:color w:val="000000" w:themeColor="text1"/>
        </w:rPr>
        <w:t>Dans</w:t>
      </w:r>
      <w:r w:rsidR="002A0371">
        <w:rPr>
          <w:rFonts w:ascii="Times New Roman" w:hAnsi="Times New Roman"/>
          <w:bCs/>
          <w:iCs/>
          <w:color w:val="000000" w:themeColor="text1"/>
        </w:rPr>
        <w:t xml:space="preserve"> le cadre de</w:t>
      </w:r>
      <w:r>
        <w:rPr>
          <w:rFonts w:ascii="Times New Roman" w:hAnsi="Times New Roman"/>
          <w:bCs/>
          <w:iCs/>
          <w:color w:val="000000" w:themeColor="text1"/>
        </w:rPr>
        <w:t xml:space="preserve"> la mise en œuvre du PROGEP </w:t>
      </w:r>
      <w:r w:rsidR="002A0371">
        <w:rPr>
          <w:rFonts w:ascii="Times New Roman" w:hAnsi="Times New Roman"/>
          <w:bCs/>
          <w:iCs/>
          <w:color w:val="000000" w:themeColor="text1"/>
        </w:rPr>
        <w:t>II</w:t>
      </w:r>
      <w:r>
        <w:rPr>
          <w:rFonts w:ascii="Times New Roman" w:hAnsi="Times New Roman"/>
          <w:bCs/>
          <w:iCs/>
          <w:color w:val="000000" w:themeColor="text1"/>
        </w:rPr>
        <w:t xml:space="preserve">, un </w:t>
      </w:r>
      <w:r w:rsidRPr="005C5227">
        <w:rPr>
          <w:rFonts w:ascii="Times New Roman" w:hAnsi="Times New Roman"/>
          <w:bCs/>
          <w:iCs/>
          <w:color w:val="000000" w:themeColor="text1"/>
        </w:rPr>
        <w:t>accident est survenu le vendredi 17 mars 2023, au niveau de la branche 10, lors des travaux de fouille pour la pose du collecteur en béton préfabriqué.</w:t>
      </w:r>
      <w:r w:rsidR="0056282E">
        <w:rPr>
          <w:rFonts w:ascii="Times New Roman" w:hAnsi="Times New Roman"/>
          <w:bCs/>
          <w:iCs/>
          <w:color w:val="000000" w:themeColor="text1"/>
        </w:rPr>
        <w:t xml:space="preserve"> Les causes </w:t>
      </w:r>
      <w:r w:rsidR="000A50AF">
        <w:rPr>
          <w:rFonts w:ascii="Times New Roman" w:hAnsi="Times New Roman"/>
          <w:bCs/>
          <w:iCs/>
          <w:color w:val="000000" w:themeColor="text1"/>
        </w:rPr>
        <w:t>sont essentiellement une défaillance humaine et la malveillance.</w:t>
      </w:r>
    </w:p>
    <w:p w14:paraId="32020445" w14:textId="06388691" w:rsidR="00DB0460" w:rsidRPr="00260790" w:rsidRDefault="004C5B8E" w:rsidP="003B6588">
      <w:pPr>
        <w:pStyle w:val="CHAPITRE1"/>
        <w:rPr>
          <w:rFonts w:cs="Times New Roman"/>
        </w:rPr>
      </w:pPr>
      <w:bookmarkStart w:id="707" w:name="_Toc212725152"/>
      <w:r w:rsidRPr="00260790">
        <w:rPr>
          <w:rFonts w:cs="Times New Roman"/>
        </w:rPr>
        <w:t xml:space="preserve">Analyse </w:t>
      </w:r>
      <w:r w:rsidR="00DB0460" w:rsidRPr="00260790">
        <w:rPr>
          <w:rFonts w:cs="Times New Roman"/>
        </w:rPr>
        <w:t>des risques</w:t>
      </w:r>
      <w:r w:rsidR="00741428" w:rsidRPr="00260790">
        <w:rPr>
          <w:rFonts w:cs="Times New Roman"/>
        </w:rPr>
        <w:t xml:space="preserve"> d’accidents</w:t>
      </w:r>
      <w:bookmarkEnd w:id="707"/>
    </w:p>
    <w:p w14:paraId="126AA3DC" w14:textId="1F7CE291" w:rsidR="00DB0460" w:rsidRPr="00260790" w:rsidRDefault="00DB0460" w:rsidP="00741428">
      <w:pPr>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L’objectif de l’analyse des risques est donc, pour chaque événement redouté</w:t>
      </w:r>
      <w:r w:rsidR="00EC0E84" w:rsidRPr="00260790">
        <w:rPr>
          <w:rFonts w:ascii="Times New Roman" w:eastAsia="Times New Roman" w:hAnsi="Times New Roman"/>
          <w:color w:val="000000" w:themeColor="text1"/>
          <w:lang w:eastAsia="fr-FR"/>
        </w:rPr>
        <w:t>,</w:t>
      </w:r>
      <w:r w:rsidRPr="00260790">
        <w:rPr>
          <w:rFonts w:ascii="Times New Roman" w:eastAsia="Times New Roman" w:hAnsi="Times New Roman"/>
          <w:color w:val="000000" w:themeColor="text1"/>
          <w:lang w:eastAsia="fr-FR"/>
        </w:rPr>
        <w:t xml:space="preserve"> d'en identifier les causes et les conséquences, ainsi que les moyens de prévention et de limitation des effets mis en place.</w:t>
      </w:r>
    </w:p>
    <w:p w14:paraId="201CEBC4" w14:textId="21595D98" w:rsidR="00DB0460" w:rsidRPr="00260790" w:rsidRDefault="009A73FB" w:rsidP="00741428">
      <w:pPr>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En o</w:t>
      </w:r>
      <w:r w:rsidR="00DB0460" w:rsidRPr="00260790">
        <w:rPr>
          <w:rFonts w:ascii="Times New Roman" w:eastAsia="Times New Roman" w:hAnsi="Times New Roman"/>
          <w:color w:val="000000" w:themeColor="text1"/>
          <w:lang w:eastAsia="fr-FR"/>
        </w:rPr>
        <w:t>utre, elle permet de passer en revue les conséquences possibles de ces accidents.</w:t>
      </w:r>
    </w:p>
    <w:p w14:paraId="108D8490" w14:textId="77777777" w:rsidR="00DB0460" w:rsidRPr="00260790" w:rsidRDefault="00DB0460" w:rsidP="00741428">
      <w:pPr>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Enfin, elle permet de définir le niveau de gravité et de probabilité de chaque scénario et d’en déduire le niveau de risque.</w:t>
      </w:r>
    </w:p>
    <w:p w14:paraId="2023514C" w14:textId="7452189F" w:rsidR="00DB0460" w:rsidRPr="00260790" w:rsidRDefault="00DB0460" w:rsidP="001748C6">
      <w:pPr>
        <w:numPr>
          <w:ilvl w:val="0"/>
          <w:numId w:val="185"/>
        </w:numPr>
        <w:spacing w:line="240" w:lineRule="auto"/>
        <w:contextualSpacing/>
        <w:jc w:val="both"/>
        <w:rPr>
          <w:rFonts w:ascii="Times New Roman" w:hAnsi="Times New Roman"/>
          <w:b/>
          <w:color w:val="000000" w:themeColor="text1"/>
        </w:rPr>
      </w:pPr>
      <w:r w:rsidRPr="00260790">
        <w:rPr>
          <w:rFonts w:ascii="Times New Roman" w:hAnsi="Times New Roman"/>
          <w:b/>
          <w:i/>
          <w:color w:val="000000" w:themeColor="text1"/>
        </w:rPr>
        <w:t>Présentation des échelles de gravité et de probabilité</w:t>
      </w:r>
    </w:p>
    <w:p w14:paraId="05F280F1" w14:textId="77777777" w:rsidR="00DB0460" w:rsidRPr="00260790" w:rsidRDefault="00DB0460" w:rsidP="00741428">
      <w:pPr>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échelles d’estimation pour les niveaux de probabilité et de gravité sont issues du guide méthodologique d’études de dangers du Sénégal.</w:t>
      </w:r>
    </w:p>
    <w:p w14:paraId="43495719" w14:textId="77777777" w:rsidR="00DB0460" w:rsidRPr="00260790" w:rsidRDefault="00DB0460" w:rsidP="00741428">
      <w:pPr>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L’évaluation du niveau de risque consiste à considérer celui-ci comme étant le produit de deux facteurs, à savoir : la probabilité d’occurrence P et l’importance de la gravité G.</w:t>
      </w:r>
    </w:p>
    <w:p w14:paraId="6F9F20BD" w14:textId="77777777" w:rsidR="00DB0460" w:rsidRPr="00260790" w:rsidRDefault="00DB0460" w:rsidP="00741428">
      <w:pPr>
        <w:spacing w:line="240" w:lineRule="auto"/>
        <w:jc w:val="both"/>
        <w:rPr>
          <w:rFonts w:ascii="Times New Roman" w:eastAsia="Times New Roman" w:hAnsi="Times New Roman"/>
          <w:i/>
          <w:color w:val="000000" w:themeColor="text1"/>
          <w:lang w:eastAsia="fr-FR"/>
        </w:rPr>
      </w:pPr>
      <w:r w:rsidRPr="00260790">
        <w:rPr>
          <w:rFonts w:ascii="Times New Roman" w:eastAsia="Times New Roman" w:hAnsi="Times New Roman"/>
          <w:i/>
          <w:color w:val="000000" w:themeColor="text1"/>
          <w:lang w:eastAsia="fr-FR"/>
        </w:rPr>
        <w:t>Risque = Probabilité x Gravité</w:t>
      </w:r>
    </w:p>
    <w:p w14:paraId="46B7D783" w14:textId="094FCF17" w:rsidR="00DB0460" w:rsidRPr="00260790" w:rsidRDefault="00DB0460" w:rsidP="00741428">
      <w:pPr>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niveaux de probabilité d'apparition peuvent aller d'improbable à fréquent et les niveaux de gravité de négligeable</w:t>
      </w:r>
      <w:r w:rsidR="00EC0E84" w:rsidRPr="00260790">
        <w:rPr>
          <w:rFonts w:ascii="Times New Roman" w:eastAsia="Times New Roman" w:hAnsi="Times New Roman"/>
          <w:color w:val="000000" w:themeColor="text1"/>
          <w:lang w:eastAsia="fr-FR"/>
        </w:rPr>
        <w:t>s</w:t>
      </w:r>
      <w:r w:rsidRPr="00260790">
        <w:rPr>
          <w:rFonts w:ascii="Times New Roman" w:eastAsia="Times New Roman" w:hAnsi="Times New Roman"/>
          <w:color w:val="000000" w:themeColor="text1"/>
          <w:lang w:eastAsia="fr-FR"/>
        </w:rPr>
        <w:t xml:space="preserve"> à catastrophique (cf. tableau suivant). </w:t>
      </w:r>
    </w:p>
    <w:p w14:paraId="0C148580" w14:textId="77777777" w:rsidR="003E7451" w:rsidRDefault="00DB0460" w:rsidP="00E20250">
      <w:pPr>
        <w:pStyle w:val="Lgende"/>
        <w:keepNext/>
        <w:spacing w:line="240" w:lineRule="auto"/>
        <w:rPr>
          <w:color w:val="000000" w:themeColor="text1"/>
          <w:sz w:val="22"/>
          <w:szCs w:val="22"/>
        </w:rPr>
      </w:pPr>
      <w:r w:rsidRPr="00260790">
        <w:rPr>
          <w:color w:val="000000" w:themeColor="text1"/>
          <w:sz w:val="22"/>
          <w:szCs w:val="22"/>
        </w:rPr>
        <w:t> </w:t>
      </w:r>
      <w:bookmarkStart w:id="708" w:name="_Toc207781940"/>
    </w:p>
    <w:p w14:paraId="10D61756" w14:textId="77777777" w:rsidR="003E7451" w:rsidRDefault="003E7451">
      <w:pPr>
        <w:spacing w:line="259" w:lineRule="auto"/>
        <w:rPr>
          <w:rFonts w:ascii="Times New Roman" w:eastAsia="Times New Roman" w:hAnsi="Times New Roman"/>
          <w:i/>
          <w:iCs/>
          <w:color w:val="000000" w:themeColor="text1"/>
          <w:lang w:eastAsia="fr-FR"/>
        </w:rPr>
      </w:pPr>
      <w:r>
        <w:rPr>
          <w:color w:val="000000" w:themeColor="text1"/>
        </w:rPr>
        <w:br w:type="page"/>
      </w:r>
    </w:p>
    <w:p w14:paraId="15D3A950" w14:textId="0A5242B7" w:rsidR="00DB0460" w:rsidRPr="00260790" w:rsidRDefault="00DB0460" w:rsidP="00E20250">
      <w:pPr>
        <w:pStyle w:val="Lgende"/>
        <w:keepNext/>
        <w:spacing w:line="240" w:lineRule="auto"/>
        <w:rPr>
          <w:b/>
          <w:color w:val="000000" w:themeColor="text1"/>
          <w:sz w:val="22"/>
          <w:szCs w:val="22"/>
        </w:rPr>
      </w:pPr>
      <w:r w:rsidRPr="00260790">
        <w:rPr>
          <w:color w:val="000000" w:themeColor="text1"/>
          <w:sz w:val="22"/>
          <w:szCs w:val="22"/>
        </w:rPr>
        <w:lastRenderedPageBreak/>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99</w:t>
      </w:r>
      <w:r w:rsidRPr="00260790">
        <w:rPr>
          <w:color w:val="000000" w:themeColor="text1"/>
          <w:sz w:val="22"/>
          <w:szCs w:val="22"/>
        </w:rPr>
        <w:fldChar w:fldCharType="end"/>
      </w:r>
      <w:r w:rsidRPr="00260790">
        <w:rPr>
          <w:color w:val="000000" w:themeColor="text1"/>
          <w:sz w:val="22"/>
          <w:szCs w:val="22"/>
        </w:rPr>
        <w:t>: Niveaux des facteurs (P, G) d’élaboration d’une matrice des risques</w:t>
      </w:r>
      <w:bookmarkEnd w:id="708"/>
    </w:p>
    <w:tbl>
      <w:tblPr>
        <w:tblW w:w="52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5"/>
        <w:gridCol w:w="3169"/>
        <w:gridCol w:w="1694"/>
        <w:gridCol w:w="2835"/>
      </w:tblGrid>
      <w:tr w:rsidR="00BD1A2F" w:rsidRPr="00260790" w14:paraId="749E0EEB" w14:textId="77777777" w:rsidTr="00445E18">
        <w:trPr>
          <w:trHeight w:val="409"/>
          <w:tblHeader/>
        </w:trPr>
        <w:tc>
          <w:tcPr>
            <w:tcW w:w="2615" w:type="pct"/>
            <w:gridSpan w:val="2"/>
            <w:shd w:val="clear" w:color="auto" w:fill="FFFFFF"/>
            <w:vAlign w:val="center"/>
          </w:tcPr>
          <w:p w14:paraId="74132B0A" w14:textId="7C685A52" w:rsidR="00DB0460" w:rsidRPr="00260790" w:rsidRDefault="00EC0E84" w:rsidP="00E20250">
            <w:pPr>
              <w:autoSpaceDE w:val="0"/>
              <w:autoSpaceDN w:val="0"/>
              <w:adjustRightInd w:val="0"/>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É</w:t>
            </w:r>
            <w:r w:rsidR="00DB0460" w:rsidRPr="00260790">
              <w:rPr>
                <w:rFonts w:ascii="Times New Roman" w:eastAsia="Times New Roman" w:hAnsi="Times New Roman"/>
                <w:b/>
                <w:color w:val="000000" w:themeColor="text1"/>
                <w:lang w:eastAsia="fr-FR"/>
              </w:rPr>
              <w:t>chelle de probabilité (P)</w:t>
            </w:r>
          </w:p>
        </w:tc>
        <w:tc>
          <w:tcPr>
            <w:tcW w:w="2385" w:type="pct"/>
            <w:gridSpan w:val="2"/>
            <w:shd w:val="clear" w:color="auto" w:fill="FFFFFF"/>
            <w:vAlign w:val="center"/>
          </w:tcPr>
          <w:p w14:paraId="1E671BB1" w14:textId="4A5DEE47" w:rsidR="00DB0460" w:rsidRPr="00260790" w:rsidRDefault="00EC0E84" w:rsidP="00E20250">
            <w:pPr>
              <w:autoSpaceDE w:val="0"/>
              <w:autoSpaceDN w:val="0"/>
              <w:adjustRightInd w:val="0"/>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É</w:t>
            </w:r>
            <w:r w:rsidR="00DB0460" w:rsidRPr="00260790">
              <w:rPr>
                <w:rFonts w:ascii="Times New Roman" w:eastAsia="Times New Roman" w:hAnsi="Times New Roman"/>
                <w:b/>
                <w:color w:val="000000" w:themeColor="text1"/>
                <w:lang w:eastAsia="fr-FR"/>
              </w:rPr>
              <w:t>chelle de gravité (G)</w:t>
            </w:r>
          </w:p>
        </w:tc>
      </w:tr>
      <w:tr w:rsidR="00BD1A2F" w:rsidRPr="00260790" w14:paraId="7F661173" w14:textId="77777777" w:rsidTr="00445E18">
        <w:trPr>
          <w:trHeight w:val="291"/>
          <w:tblHeader/>
        </w:trPr>
        <w:tc>
          <w:tcPr>
            <w:tcW w:w="946" w:type="pct"/>
            <w:shd w:val="clear" w:color="auto" w:fill="FFFFFF"/>
            <w:vAlign w:val="center"/>
          </w:tcPr>
          <w:p w14:paraId="6EAF415C"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Score</w:t>
            </w:r>
          </w:p>
        </w:tc>
        <w:tc>
          <w:tcPr>
            <w:tcW w:w="1669" w:type="pct"/>
            <w:shd w:val="clear" w:color="auto" w:fill="FFFFFF"/>
            <w:vAlign w:val="center"/>
          </w:tcPr>
          <w:p w14:paraId="546B4727"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Signification</w:t>
            </w:r>
          </w:p>
        </w:tc>
        <w:tc>
          <w:tcPr>
            <w:tcW w:w="892" w:type="pct"/>
            <w:shd w:val="clear" w:color="auto" w:fill="FFFFFF"/>
            <w:vAlign w:val="center"/>
          </w:tcPr>
          <w:p w14:paraId="32959031"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Score</w:t>
            </w:r>
          </w:p>
        </w:tc>
        <w:tc>
          <w:tcPr>
            <w:tcW w:w="1493" w:type="pct"/>
            <w:shd w:val="clear" w:color="auto" w:fill="FFFFFF"/>
            <w:vAlign w:val="center"/>
          </w:tcPr>
          <w:p w14:paraId="2EC9664B"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Signification</w:t>
            </w:r>
          </w:p>
        </w:tc>
      </w:tr>
      <w:tr w:rsidR="00BD1A2F" w:rsidRPr="00260790" w14:paraId="5C257861" w14:textId="77777777" w:rsidTr="00445E18">
        <w:trPr>
          <w:trHeight w:val="1148"/>
        </w:trPr>
        <w:tc>
          <w:tcPr>
            <w:tcW w:w="946" w:type="pct"/>
            <w:vAlign w:val="center"/>
          </w:tcPr>
          <w:p w14:paraId="09B8708D" w14:textId="77777777" w:rsidR="00DB0460" w:rsidRPr="00260790" w:rsidRDefault="00DB0460" w:rsidP="00E20250">
            <w:pPr>
              <w:autoSpaceDE w:val="0"/>
              <w:autoSpaceDN w:val="0"/>
              <w:adjustRightInd w:val="0"/>
              <w:spacing w:after="0" w:line="240" w:lineRule="auto"/>
              <w:ind w:left="71"/>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P1 = improbable</w:t>
            </w:r>
          </w:p>
        </w:tc>
        <w:tc>
          <w:tcPr>
            <w:tcW w:w="1669" w:type="pct"/>
            <w:vAlign w:val="center"/>
          </w:tcPr>
          <w:p w14:paraId="03C289CC" w14:textId="77777777" w:rsidR="00DB0460" w:rsidRPr="00260790" w:rsidRDefault="00DB0460" w:rsidP="001748C6">
            <w:pPr>
              <w:numPr>
                <w:ilvl w:val="0"/>
                <w:numId w:val="42"/>
              </w:numPr>
              <w:autoSpaceDE w:val="0"/>
              <w:autoSpaceDN w:val="0"/>
              <w:adjustRightInd w:val="0"/>
              <w:spacing w:after="0" w:line="240" w:lineRule="auto"/>
              <w:ind w:left="251" w:hanging="18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Jamais vu avec des installations de ce type ;</w:t>
            </w:r>
          </w:p>
          <w:p w14:paraId="592D0FE7" w14:textId="77777777" w:rsidR="00DB0460" w:rsidRPr="00260790" w:rsidRDefault="00DB0460" w:rsidP="001748C6">
            <w:pPr>
              <w:numPr>
                <w:ilvl w:val="0"/>
                <w:numId w:val="42"/>
              </w:numPr>
              <w:autoSpaceDE w:val="0"/>
              <w:autoSpaceDN w:val="0"/>
              <w:adjustRightInd w:val="0"/>
              <w:spacing w:after="0" w:line="240" w:lineRule="auto"/>
              <w:ind w:left="251" w:hanging="18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Presque impossible avec ces genres d’installation.</w:t>
            </w:r>
          </w:p>
        </w:tc>
        <w:tc>
          <w:tcPr>
            <w:tcW w:w="892" w:type="pct"/>
            <w:vAlign w:val="center"/>
          </w:tcPr>
          <w:p w14:paraId="30C804FC"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G1 = improbable</w:t>
            </w:r>
          </w:p>
        </w:tc>
        <w:tc>
          <w:tcPr>
            <w:tcW w:w="1493" w:type="pct"/>
            <w:vAlign w:val="center"/>
          </w:tcPr>
          <w:p w14:paraId="0473F8E3" w14:textId="77777777" w:rsidR="00DB0460" w:rsidRPr="00260790" w:rsidRDefault="00DB0460" w:rsidP="001748C6">
            <w:pPr>
              <w:numPr>
                <w:ilvl w:val="0"/>
                <w:numId w:val="42"/>
              </w:numPr>
              <w:autoSpaceDE w:val="0"/>
              <w:autoSpaceDN w:val="0"/>
              <w:adjustRightInd w:val="0"/>
              <w:spacing w:after="0" w:line="240" w:lineRule="auto"/>
              <w:ind w:left="251" w:hanging="18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Impact mineur sur le personnel</w:t>
            </w:r>
          </w:p>
          <w:p w14:paraId="701FDEEC" w14:textId="77777777" w:rsidR="00DB0460" w:rsidRPr="00260790" w:rsidRDefault="00DB0460" w:rsidP="001748C6">
            <w:pPr>
              <w:numPr>
                <w:ilvl w:val="0"/>
                <w:numId w:val="42"/>
              </w:numPr>
              <w:autoSpaceDE w:val="0"/>
              <w:autoSpaceDN w:val="0"/>
              <w:adjustRightInd w:val="0"/>
              <w:spacing w:after="0" w:line="240" w:lineRule="auto"/>
              <w:ind w:left="251" w:hanging="18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Pas d’arrêt d’exploitation</w:t>
            </w:r>
          </w:p>
          <w:p w14:paraId="11B8085C" w14:textId="77777777" w:rsidR="00DB0460" w:rsidRPr="00260790" w:rsidRDefault="00DB0460" w:rsidP="001748C6">
            <w:pPr>
              <w:numPr>
                <w:ilvl w:val="0"/>
                <w:numId w:val="42"/>
              </w:numPr>
              <w:autoSpaceDE w:val="0"/>
              <w:autoSpaceDN w:val="0"/>
              <w:adjustRightInd w:val="0"/>
              <w:spacing w:after="0" w:line="240" w:lineRule="auto"/>
              <w:ind w:left="251" w:hanging="18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Faibles effets sur l’environnement</w:t>
            </w:r>
          </w:p>
        </w:tc>
      </w:tr>
      <w:tr w:rsidR="00BD1A2F" w:rsidRPr="00260790" w14:paraId="03E6D4AB" w14:textId="77777777" w:rsidTr="00445E18">
        <w:trPr>
          <w:trHeight w:val="1068"/>
        </w:trPr>
        <w:tc>
          <w:tcPr>
            <w:tcW w:w="946" w:type="pct"/>
            <w:vAlign w:val="center"/>
          </w:tcPr>
          <w:p w14:paraId="2487FB9B"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P2 = rare</w:t>
            </w:r>
          </w:p>
        </w:tc>
        <w:tc>
          <w:tcPr>
            <w:tcW w:w="1669" w:type="pct"/>
            <w:vAlign w:val="center"/>
          </w:tcPr>
          <w:p w14:paraId="0FCC1F09" w14:textId="77777777" w:rsidR="00DB0460" w:rsidRPr="00260790" w:rsidRDefault="00DB0460" w:rsidP="001748C6">
            <w:pPr>
              <w:numPr>
                <w:ilvl w:val="0"/>
                <w:numId w:val="42"/>
              </w:numPr>
              <w:autoSpaceDE w:val="0"/>
              <w:autoSpaceDN w:val="0"/>
              <w:adjustRightInd w:val="0"/>
              <w:spacing w:after="0" w:line="240" w:lineRule="auto"/>
              <w:ind w:left="251" w:hanging="18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Déjà rencontré dans des dépôts de ce type ;</w:t>
            </w:r>
          </w:p>
          <w:p w14:paraId="24CF58D0" w14:textId="77777777" w:rsidR="00DB0460" w:rsidRPr="00260790" w:rsidRDefault="00DB0460" w:rsidP="001748C6">
            <w:pPr>
              <w:numPr>
                <w:ilvl w:val="0"/>
                <w:numId w:val="42"/>
              </w:numPr>
              <w:autoSpaceDE w:val="0"/>
              <w:autoSpaceDN w:val="0"/>
              <w:adjustRightInd w:val="0"/>
              <w:spacing w:after="0" w:line="240" w:lineRule="auto"/>
              <w:ind w:left="251" w:hanging="18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Possible dans ce dépôt</w:t>
            </w:r>
          </w:p>
        </w:tc>
        <w:tc>
          <w:tcPr>
            <w:tcW w:w="892" w:type="pct"/>
            <w:vAlign w:val="center"/>
          </w:tcPr>
          <w:p w14:paraId="418EF469"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G2 = mineur</w:t>
            </w:r>
          </w:p>
        </w:tc>
        <w:tc>
          <w:tcPr>
            <w:tcW w:w="1493" w:type="pct"/>
            <w:vAlign w:val="center"/>
          </w:tcPr>
          <w:p w14:paraId="2443399C" w14:textId="77777777" w:rsidR="00DB0460" w:rsidRPr="00260790" w:rsidRDefault="00DB0460" w:rsidP="001748C6">
            <w:pPr>
              <w:numPr>
                <w:ilvl w:val="0"/>
                <w:numId w:val="42"/>
              </w:numPr>
              <w:autoSpaceDE w:val="0"/>
              <w:autoSpaceDN w:val="0"/>
              <w:adjustRightInd w:val="0"/>
              <w:spacing w:after="0" w:line="240" w:lineRule="auto"/>
              <w:ind w:left="251" w:hanging="18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Soins médicaux pour le personnel</w:t>
            </w:r>
          </w:p>
          <w:p w14:paraId="4205EADE" w14:textId="77777777" w:rsidR="00DB0460" w:rsidRPr="00260790" w:rsidRDefault="00DB0460" w:rsidP="001748C6">
            <w:pPr>
              <w:numPr>
                <w:ilvl w:val="0"/>
                <w:numId w:val="42"/>
              </w:numPr>
              <w:autoSpaceDE w:val="0"/>
              <w:autoSpaceDN w:val="0"/>
              <w:adjustRightInd w:val="0"/>
              <w:spacing w:after="0" w:line="240" w:lineRule="auto"/>
              <w:ind w:left="251" w:hanging="18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Dommage mineur</w:t>
            </w:r>
          </w:p>
          <w:p w14:paraId="78100E47" w14:textId="77777777" w:rsidR="00DB0460" w:rsidRPr="00260790" w:rsidRDefault="00DB0460" w:rsidP="001748C6">
            <w:pPr>
              <w:numPr>
                <w:ilvl w:val="0"/>
                <w:numId w:val="42"/>
              </w:numPr>
              <w:autoSpaceDE w:val="0"/>
              <w:autoSpaceDN w:val="0"/>
              <w:adjustRightInd w:val="0"/>
              <w:spacing w:after="0" w:line="240" w:lineRule="auto"/>
              <w:ind w:left="251" w:hanging="18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Petite perte de produits</w:t>
            </w:r>
          </w:p>
          <w:p w14:paraId="1B00AC83" w14:textId="53210BA4" w:rsidR="00DB0460" w:rsidRPr="00260790" w:rsidRDefault="00DB0460" w:rsidP="001748C6">
            <w:pPr>
              <w:numPr>
                <w:ilvl w:val="0"/>
                <w:numId w:val="42"/>
              </w:numPr>
              <w:autoSpaceDE w:val="0"/>
              <w:autoSpaceDN w:val="0"/>
              <w:adjustRightInd w:val="0"/>
              <w:spacing w:after="0" w:line="240" w:lineRule="auto"/>
              <w:ind w:left="251" w:hanging="18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Effets </w:t>
            </w:r>
            <w:r w:rsidR="00874DDA" w:rsidRPr="00260790">
              <w:rPr>
                <w:rFonts w:ascii="Times New Roman" w:eastAsia="Times New Roman" w:hAnsi="Times New Roman"/>
                <w:color w:val="000000" w:themeColor="text1"/>
                <w:lang w:eastAsia="fr-FR"/>
              </w:rPr>
              <w:t>mineurs sur</w:t>
            </w:r>
            <w:r w:rsidRPr="00260790">
              <w:rPr>
                <w:rFonts w:ascii="Times New Roman" w:eastAsia="Times New Roman" w:hAnsi="Times New Roman"/>
                <w:color w:val="000000" w:themeColor="text1"/>
                <w:lang w:eastAsia="fr-FR"/>
              </w:rPr>
              <w:t xml:space="preserve"> l’environnement</w:t>
            </w:r>
          </w:p>
        </w:tc>
      </w:tr>
      <w:tr w:rsidR="00BD1A2F" w:rsidRPr="00260790" w14:paraId="4FD383F2" w14:textId="77777777" w:rsidTr="00445E18">
        <w:trPr>
          <w:trHeight w:val="1250"/>
        </w:trPr>
        <w:tc>
          <w:tcPr>
            <w:tcW w:w="946" w:type="pct"/>
            <w:vAlign w:val="center"/>
          </w:tcPr>
          <w:p w14:paraId="497944A4"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P3 = occasionnel</w:t>
            </w:r>
          </w:p>
        </w:tc>
        <w:tc>
          <w:tcPr>
            <w:tcW w:w="1669" w:type="pct"/>
            <w:vAlign w:val="center"/>
          </w:tcPr>
          <w:p w14:paraId="4C4B1AF9" w14:textId="77777777" w:rsidR="00DB0460" w:rsidRPr="00260790" w:rsidRDefault="00DB0460" w:rsidP="001748C6">
            <w:pPr>
              <w:numPr>
                <w:ilvl w:val="0"/>
                <w:numId w:val="42"/>
              </w:numPr>
              <w:autoSpaceDE w:val="0"/>
              <w:autoSpaceDN w:val="0"/>
              <w:adjustRightInd w:val="0"/>
              <w:spacing w:after="0" w:line="240" w:lineRule="auto"/>
              <w:ind w:left="251" w:hanging="18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Déjà rencontré avec des installations de ce type ;</w:t>
            </w:r>
          </w:p>
          <w:p w14:paraId="7856A2A9" w14:textId="108B089D" w:rsidR="00DB0460" w:rsidRPr="00260790" w:rsidRDefault="00DB0460" w:rsidP="001748C6">
            <w:pPr>
              <w:numPr>
                <w:ilvl w:val="0"/>
                <w:numId w:val="42"/>
              </w:numPr>
              <w:autoSpaceDE w:val="0"/>
              <w:autoSpaceDN w:val="0"/>
              <w:adjustRightInd w:val="0"/>
              <w:spacing w:after="0" w:line="240" w:lineRule="auto"/>
              <w:ind w:left="251" w:hanging="18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Occasionnel</w:t>
            </w:r>
            <w:r w:rsidR="005C5B32" w:rsidRPr="00260790">
              <w:rPr>
                <w:rFonts w:ascii="Times New Roman" w:eastAsia="Times New Roman" w:hAnsi="Times New Roman"/>
                <w:color w:val="000000" w:themeColor="text1"/>
                <w:lang w:eastAsia="fr-FR"/>
              </w:rPr>
              <w:t>,</w:t>
            </w:r>
            <w:r w:rsidRPr="00260790">
              <w:rPr>
                <w:rFonts w:ascii="Times New Roman" w:eastAsia="Times New Roman" w:hAnsi="Times New Roman"/>
                <w:color w:val="000000" w:themeColor="text1"/>
                <w:lang w:eastAsia="fr-FR"/>
              </w:rPr>
              <w:t xml:space="preserve"> mais peut arriver quelquefois avec des installations de ce genre</w:t>
            </w:r>
          </w:p>
        </w:tc>
        <w:tc>
          <w:tcPr>
            <w:tcW w:w="892" w:type="pct"/>
            <w:vAlign w:val="center"/>
          </w:tcPr>
          <w:p w14:paraId="2EAB364A"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G3 = important </w:t>
            </w:r>
          </w:p>
        </w:tc>
        <w:tc>
          <w:tcPr>
            <w:tcW w:w="1493" w:type="pct"/>
            <w:vAlign w:val="center"/>
          </w:tcPr>
          <w:p w14:paraId="794E8953" w14:textId="77777777" w:rsidR="00DB0460" w:rsidRPr="00260790" w:rsidRDefault="00DB0460" w:rsidP="001748C6">
            <w:pPr>
              <w:numPr>
                <w:ilvl w:val="0"/>
                <w:numId w:val="42"/>
              </w:numPr>
              <w:autoSpaceDE w:val="0"/>
              <w:autoSpaceDN w:val="0"/>
              <w:adjustRightInd w:val="0"/>
              <w:spacing w:after="0" w:line="240" w:lineRule="auto"/>
              <w:ind w:left="251" w:hanging="18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Personnel sérieusement blessé (arrêt de travail prolongé)</w:t>
            </w:r>
          </w:p>
          <w:p w14:paraId="54F72A30" w14:textId="77777777" w:rsidR="00DB0460" w:rsidRPr="00260790" w:rsidRDefault="00DB0460" w:rsidP="001748C6">
            <w:pPr>
              <w:numPr>
                <w:ilvl w:val="0"/>
                <w:numId w:val="42"/>
              </w:numPr>
              <w:autoSpaceDE w:val="0"/>
              <w:autoSpaceDN w:val="0"/>
              <w:adjustRightInd w:val="0"/>
              <w:spacing w:after="0" w:line="240" w:lineRule="auto"/>
              <w:ind w:left="251" w:hanging="18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Dommages limités</w:t>
            </w:r>
          </w:p>
          <w:p w14:paraId="291A6927" w14:textId="77777777" w:rsidR="00DB0460" w:rsidRPr="00260790" w:rsidRDefault="00DB0460" w:rsidP="001748C6">
            <w:pPr>
              <w:numPr>
                <w:ilvl w:val="0"/>
                <w:numId w:val="42"/>
              </w:numPr>
              <w:autoSpaceDE w:val="0"/>
              <w:autoSpaceDN w:val="0"/>
              <w:adjustRightInd w:val="0"/>
              <w:spacing w:after="0" w:line="240" w:lineRule="auto"/>
              <w:ind w:left="251" w:hanging="18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Arrêt partiel de l’exploitation</w:t>
            </w:r>
          </w:p>
          <w:p w14:paraId="7540BE5A" w14:textId="69078798" w:rsidR="00DB0460" w:rsidRPr="00260790" w:rsidRDefault="00874DDA" w:rsidP="001748C6">
            <w:pPr>
              <w:numPr>
                <w:ilvl w:val="0"/>
                <w:numId w:val="42"/>
              </w:numPr>
              <w:autoSpaceDE w:val="0"/>
              <w:autoSpaceDN w:val="0"/>
              <w:adjustRightInd w:val="0"/>
              <w:spacing w:after="0" w:line="240" w:lineRule="auto"/>
              <w:ind w:left="251" w:hanging="18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Effets</w:t>
            </w:r>
            <w:r w:rsidR="00DB0460" w:rsidRPr="00260790">
              <w:rPr>
                <w:rFonts w:ascii="Times New Roman" w:eastAsia="Times New Roman" w:hAnsi="Times New Roman"/>
                <w:color w:val="000000" w:themeColor="text1"/>
                <w:lang w:eastAsia="fr-FR"/>
              </w:rPr>
              <w:t xml:space="preserve"> sur l’environnement important</w:t>
            </w:r>
          </w:p>
        </w:tc>
      </w:tr>
      <w:tr w:rsidR="00BD1A2F" w:rsidRPr="00260790" w14:paraId="0E0F2C92" w14:textId="77777777" w:rsidTr="00445E18">
        <w:trPr>
          <w:trHeight w:val="1430"/>
        </w:trPr>
        <w:tc>
          <w:tcPr>
            <w:tcW w:w="946" w:type="pct"/>
            <w:vAlign w:val="center"/>
          </w:tcPr>
          <w:p w14:paraId="0079C17F"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P4 = fréquent</w:t>
            </w:r>
          </w:p>
        </w:tc>
        <w:tc>
          <w:tcPr>
            <w:tcW w:w="1669" w:type="pct"/>
            <w:vAlign w:val="center"/>
          </w:tcPr>
          <w:p w14:paraId="5A00CBCC"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Arrive deux à trois fois dans l’établissement</w:t>
            </w:r>
          </w:p>
        </w:tc>
        <w:tc>
          <w:tcPr>
            <w:tcW w:w="892" w:type="pct"/>
            <w:vAlign w:val="center"/>
          </w:tcPr>
          <w:p w14:paraId="6B9746D2"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G4 = critique</w:t>
            </w:r>
          </w:p>
        </w:tc>
        <w:tc>
          <w:tcPr>
            <w:tcW w:w="1493" w:type="pct"/>
            <w:vAlign w:val="center"/>
          </w:tcPr>
          <w:p w14:paraId="2584D94E" w14:textId="40D63B50" w:rsidR="00DB0460" w:rsidRPr="00260790" w:rsidRDefault="00DB0460" w:rsidP="001748C6">
            <w:pPr>
              <w:numPr>
                <w:ilvl w:val="0"/>
                <w:numId w:val="42"/>
              </w:numPr>
              <w:autoSpaceDE w:val="0"/>
              <w:autoSpaceDN w:val="0"/>
              <w:adjustRightInd w:val="0"/>
              <w:spacing w:after="0" w:line="240" w:lineRule="auto"/>
              <w:ind w:left="251" w:hanging="18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Blessure handicapante à vie (1 à 3 décès)</w:t>
            </w:r>
          </w:p>
          <w:p w14:paraId="74915847" w14:textId="77777777" w:rsidR="00DB0460" w:rsidRPr="00260790" w:rsidRDefault="00DB0460" w:rsidP="001748C6">
            <w:pPr>
              <w:numPr>
                <w:ilvl w:val="0"/>
                <w:numId w:val="42"/>
              </w:numPr>
              <w:autoSpaceDE w:val="0"/>
              <w:autoSpaceDN w:val="0"/>
              <w:adjustRightInd w:val="0"/>
              <w:spacing w:after="0" w:line="240" w:lineRule="auto"/>
              <w:ind w:left="251" w:hanging="18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Dommages importants</w:t>
            </w:r>
          </w:p>
          <w:p w14:paraId="06F49EEC" w14:textId="77777777" w:rsidR="00DB0460" w:rsidRPr="00260790" w:rsidRDefault="00DB0460" w:rsidP="001748C6">
            <w:pPr>
              <w:numPr>
                <w:ilvl w:val="0"/>
                <w:numId w:val="42"/>
              </w:numPr>
              <w:autoSpaceDE w:val="0"/>
              <w:autoSpaceDN w:val="0"/>
              <w:adjustRightInd w:val="0"/>
              <w:spacing w:after="0" w:line="240" w:lineRule="auto"/>
              <w:ind w:left="251" w:hanging="18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Arrêt partiel de l’exploitation</w:t>
            </w:r>
          </w:p>
          <w:p w14:paraId="71817269" w14:textId="0531AB4C" w:rsidR="00DB0460" w:rsidRPr="00260790" w:rsidRDefault="00874DDA" w:rsidP="001748C6">
            <w:pPr>
              <w:numPr>
                <w:ilvl w:val="0"/>
                <w:numId w:val="42"/>
              </w:numPr>
              <w:autoSpaceDE w:val="0"/>
              <w:autoSpaceDN w:val="0"/>
              <w:adjustRightInd w:val="0"/>
              <w:spacing w:after="0" w:line="240" w:lineRule="auto"/>
              <w:ind w:left="251" w:hanging="18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Effets</w:t>
            </w:r>
            <w:r w:rsidR="00DB0460" w:rsidRPr="00260790">
              <w:rPr>
                <w:rFonts w:ascii="Times New Roman" w:eastAsia="Times New Roman" w:hAnsi="Times New Roman"/>
                <w:color w:val="000000" w:themeColor="text1"/>
                <w:lang w:eastAsia="fr-FR"/>
              </w:rPr>
              <w:t xml:space="preserve"> sur l’environnement importants</w:t>
            </w:r>
          </w:p>
        </w:tc>
      </w:tr>
      <w:tr w:rsidR="00BD1A2F" w:rsidRPr="00260790" w14:paraId="7504095E" w14:textId="77777777" w:rsidTr="00445E18">
        <w:trPr>
          <w:trHeight w:val="922"/>
        </w:trPr>
        <w:tc>
          <w:tcPr>
            <w:tcW w:w="946" w:type="pct"/>
            <w:vAlign w:val="center"/>
          </w:tcPr>
          <w:p w14:paraId="772D8B6B"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P5 = constant</w:t>
            </w:r>
          </w:p>
        </w:tc>
        <w:tc>
          <w:tcPr>
            <w:tcW w:w="1669" w:type="pct"/>
            <w:vAlign w:val="center"/>
          </w:tcPr>
          <w:p w14:paraId="294A726C" w14:textId="5D8541FF"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Arrive plusieurs fois par an avec les installations (supérieur à 3</w:t>
            </w:r>
            <w:r w:rsidR="00874DDA" w:rsidRPr="00260790">
              <w:rPr>
                <w:rFonts w:ascii="Times New Roman" w:eastAsia="Times New Roman" w:hAnsi="Times New Roman"/>
                <w:color w:val="000000" w:themeColor="text1"/>
                <w:lang w:eastAsia="fr-FR"/>
              </w:rPr>
              <w:t xml:space="preserve"> </w:t>
            </w:r>
            <w:r w:rsidRPr="00260790">
              <w:rPr>
                <w:rFonts w:ascii="Times New Roman" w:eastAsia="Times New Roman" w:hAnsi="Times New Roman"/>
                <w:color w:val="000000" w:themeColor="text1"/>
                <w:lang w:eastAsia="fr-FR"/>
              </w:rPr>
              <w:t xml:space="preserve">fois par an) </w:t>
            </w:r>
          </w:p>
        </w:tc>
        <w:tc>
          <w:tcPr>
            <w:tcW w:w="892" w:type="pct"/>
            <w:vAlign w:val="center"/>
          </w:tcPr>
          <w:p w14:paraId="2814581A"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G5 = catastrophique</w:t>
            </w:r>
          </w:p>
        </w:tc>
        <w:tc>
          <w:tcPr>
            <w:tcW w:w="1493" w:type="pct"/>
            <w:vAlign w:val="center"/>
          </w:tcPr>
          <w:p w14:paraId="2F84A022" w14:textId="77777777" w:rsidR="00DB0460" w:rsidRPr="00260790" w:rsidRDefault="00DB0460" w:rsidP="001748C6">
            <w:pPr>
              <w:numPr>
                <w:ilvl w:val="0"/>
                <w:numId w:val="42"/>
              </w:numPr>
              <w:autoSpaceDE w:val="0"/>
              <w:autoSpaceDN w:val="0"/>
              <w:adjustRightInd w:val="0"/>
              <w:spacing w:after="0" w:line="240" w:lineRule="auto"/>
              <w:ind w:left="251" w:hanging="18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Plusieurs morts</w:t>
            </w:r>
          </w:p>
          <w:p w14:paraId="0E000528" w14:textId="77777777" w:rsidR="00DB0460" w:rsidRPr="00260790" w:rsidRDefault="00DB0460" w:rsidP="001748C6">
            <w:pPr>
              <w:numPr>
                <w:ilvl w:val="0"/>
                <w:numId w:val="42"/>
              </w:numPr>
              <w:autoSpaceDE w:val="0"/>
              <w:autoSpaceDN w:val="0"/>
              <w:adjustRightInd w:val="0"/>
              <w:spacing w:after="0" w:line="240" w:lineRule="auto"/>
              <w:ind w:left="251" w:hanging="18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Dommages très étendus</w:t>
            </w:r>
          </w:p>
          <w:p w14:paraId="31D289FA" w14:textId="77777777" w:rsidR="00DB0460" w:rsidRPr="00260790" w:rsidRDefault="00DB0460" w:rsidP="001748C6">
            <w:pPr>
              <w:numPr>
                <w:ilvl w:val="0"/>
                <w:numId w:val="42"/>
              </w:numPr>
              <w:autoSpaceDE w:val="0"/>
              <w:autoSpaceDN w:val="0"/>
              <w:adjustRightInd w:val="0"/>
              <w:spacing w:after="0" w:line="240" w:lineRule="auto"/>
              <w:ind w:left="251" w:hanging="18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Long arrêt de production</w:t>
            </w:r>
          </w:p>
        </w:tc>
      </w:tr>
    </w:tbl>
    <w:p w14:paraId="36E85B47" w14:textId="77777777" w:rsidR="00DB0460" w:rsidRPr="00260790" w:rsidRDefault="00DB0460" w:rsidP="00E20250">
      <w:pPr>
        <w:autoSpaceDE w:val="0"/>
        <w:autoSpaceDN w:val="0"/>
        <w:adjustRightInd w:val="0"/>
        <w:spacing w:before="240" w:after="24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En combinant les deux niveaux (P, G), nous formons une matrice des risques considérés comme acceptables ou non. De manière simple nous avons réalisé une grille d’évaluation du niveau de risque lié à l’exploitation du dépôt en leur attribuant un code de couleurs allant du vert au rouge. </w:t>
      </w:r>
    </w:p>
    <w:p w14:paraId="0B027DA6" w14:textId="4D20501A" w:rsidR="00DB0460" w:rsidRPr="00260790" w:rsidRDefault="00DB0460" w:rsidP="00E20250">
      <w:pPr>
        <w:pStyle w:val="Lgende"/>
        <w:keepNext/>
        <w:spacing w:line="240" w:lineRule="auto"/>
        <w:rPr>
          <w:b/>
          <w:color w:val="000000" w:themeColor="text1"/>
          <w:sz w:val="22"/>
          <w:szCs w:val="22"/>
        </w:rPr>
      </w:pPr>
      <w:bookmarkStart w:id="709" w:name="_Toc207781941"/>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100</w:t>
      </w:r>
      <w:r w:rsidRPr="00260790">
        <w:rPr>
          <w:color w:val="000000" w:themeColor="text1"/>
          <w:sz w:val="22"/>
          <w:szCs w:val="22"/>
        </w:rPr>
        <w:fldChar w:fldCharType="end"/>
      </w:r>
      <w:r w:rsidRPr="00260790">
        <w:rPr>
          <w:color w:val="000000" w:themeColor="text1"/>
          <w:sz w:val="22"/>
          <w:szCs w:val="22"/>
        </w:rPr>
        <w:t> : Matrice des niveaux de risque</w:t>
      </w:r>
      <w:bookmarkEnd w:id="709"/>
    </w:p>
    <w:tbl>
      <w:tblPr>
        <w:tblW w:w="9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7"/>
        <w:gridCol w:w="1622"/>
        <w:gridCol w:w="1653"/>
        <w:gridCol w:w="1683"/>
        <w:gridCol w:w="1444"/>
        <w:gridCol w:w="1689"/>
      </w:tblGrid>
      <w:tr w:rsidR="00BD1A2F" w:rsidRPr="00260790" w14:paraId="4372A1A6" w14:textId="77777777" w:rsidTr="00741428">
        <w:trPr>
          <w:trHeight w:val="81"/>
          <w:jc w:val="center"/>
        </w:trPr>
        <w:tc>
          <w:tcPr>
            <w:tcW w:w="1207" w:type="dxa"/>
            <w:tcBorders>
              <w:top w:val="nil"/>
              <w:left w:val="nil"/>
              <w:bottom w:val="single" w:sz="4" w:space="0" w:color="auto"/>
              <w:right w:val="single" w:sz="4" w:space="0" w:color="auto"/>
            </w:tcBorders>
            <w:vAlign w:val="center"/>
          </w:tcPr>
          <w:p w14:paraId="4C83D7F0" w14:textId="77777777" w:rsidR="00DB0460" w:rsidRPr="00260790" w:rsidRDefault="00DB0460" w:rsidP="00741428">
            <w:pPr>
              <w:tabs>
                <w:tab w:val="left" w:pos="418"/>
              </w:tabs>
              <w:spacing w:after="0" w:line="240" w:lineRule="auto"/>
              <w:jc w:val="center"/>
              <w:rPr>
                <w:rFonts w:ascii="Times New Roman" w:eastAsia="Times New Roman" w:hAnsi="Times New Roman"/>
                <w:color w:val="000000" w:themeColor="text1"/>
                <w:lang w:eastAsia="fr-FR"/>
              </w:rPr>
            </w:pPr>
          </w:p>
        </w:tc>
        <w:tc>
          <w:tcPr>
            <w:tcW w:w="1622" w:type="dxa"/>
            <w:tcBorders>
              <w:left w:val="single" w:sz="4" w:space="0" w:color="auto"/>
              <w:bottom w:val="single" w:sz="4" w:space="0" w:color="auto"/>
            </w:tcBorders>
            <w:vAlign w:val="center"/>
          </w:tcPr>
          <w:p w14:paraId="78FFE248" w14:textId="77777777" w:rsidR="00DB0460" w:rsidRPr="00260790" w:rsidRDefault="00DB0460" w:rsidP="00741428">
            <w:pPr>
              <w:tabs>
                <w:tab w:val="left" w:pos="418"/>
              </w:tabs>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G5</w:t>
            </w:r>
          </w:p>
        </w:tc>
        <w:tc>
          <w:tcPr>
            <w:tcW w:w="1653" w:type="dxa"/>
            <w:tcBorders>
              <w:bottom w:val="single" w:sz="4" w:space="0" w:color="auto"/>
            </w:tcBorders>
            <w:vAlign w:val="center"/>
          </w:tcPr>
          <w:p w14:paraId="0B98EB08" w14:textId="77777777" w:rsidR="00DB0460" w:rsidRPr="00260790" w:rsidRDefault="00DB0460" w:rsidP="00741428">
            <w:pPr>
              <w:tabs>
                <w:tab w:val="left" w:pos="418"/>
              </w:tabs>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G4</w:t>
            </w:r>
          </w:p>
        </w:tc>
        <w:tc>
          <w:tcPr>
            <w:tcW w:w="1683" w:type="dxa"/>
            <w:tcBorders>
              <w:bottom w:val="single" w:sz="4" w:space="0" w:color="auto"/>
            </w:tcBorders>
            <w:vAlign w:val="center"/>
          </w:tcPr>
          <w:p w14:paraId="047D4396" w14:textId="77777777" w:rsidR="00DB0460" w:rsidRPr="00260790" w:rsidRDefault="00DB0460" w:rsidP="00741428">
            <w:pPr>
              <w:tabs>
                <w:tab w:val="left" w:pos="418"/>
              </w:tabs>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G3</w:t>
            </w:r>
          </w:p>
        </w:tc>
        <w:tc>
          <w:tcPr>
            <w:tcW w:w="1444" w:type="dxa"/>
            <w:tcBorders>
              <w:bottom w:val="single" w:sz="4" w:space="0" w:color="auto"/>
            </w:tcBorders>
            <w:vAlign w:val="center"/>
          </w:tcPr>
          <w:p w14:paraId="54969560" w14:textId="77777777" w:rsidR="00DB0460" w:rsidRPr="00260790" w:rsidRDefault="00DB0460" w:rsidP="00741428">
            <w:pPr>
              <w:tabs>
                <w:tab w:val="left" w:pos="418"/>
              </w:tabs>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G2</w:t>
            </w:r>
          </w:p>
        </w:tc>
        <w:tc>
          <w:tcPr>
            <w:tcW w:w="1689" w:type="dxa"/>
            <w:tcBorders>
              <w:bottom w:val="single" w:sz="4" w:space="0" w:color="auto"/>
            </w:tcBorders>
            <w:vAlign w:val="center"/>
          </w:tcPr>
          <w:p w14:paraId="2FED7372" w14:textId="77777777" w:rsidR="00DB0460" w:rsidRPr="00260790" w:rsidRDefault="00DB0460" w:rsidP="00741428">
            <w:pPr>
              <w:tabs>
                <w:tab w:val="left" w:pos="418"/>
              </w:tabs>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G1</w:t>
            </w:r>
          </w:p>
        </w:tc>
      </w:tr>
      <w:tr w:rsidR="00BD1A2F" w:rsidRPr="00260790" w14:paraId="30406DE3" w14:textId="77777777" w:rsidTr="00741428">
        <w:trPr>
          <w:trHeight w:val="81"/>
          <w:jc w:val="center"/>
        </w:trPr>
        <w:tc>
          <w:tcPr>
            <w:tcW w:w="1207" w:type="dxa"/>
            <w:tcBorders>
              <w:top w:val="single" w:sz="4" w:space="0" w:color="auto"/>
            </w:tcBorders>
            <w:vAlign w:val="center"/>
          </w:tcPr>
          <w:p w14:paraId="1FB030DA" w14:textId="77777777" w:rsidR="00DB0460" w:rsidRPr="00260790" w:rsidRDefault="00DB0460" w:rsidP="00741428">
            <w:pPr>
              <w:tabs>
                <w:tab w:val="left" w:pos="418"/>
              </w:tabs>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P5</w:t>
            </w:r>
          </w:p>
        </w:tc>
        <w:tc>
          <w:tcPr>
            <w:tcW w:w="1622" w:type="dxa"/>
            <w:shd w:val="clear" w:color="auto" w:fill="FF0000"/>
          </w:tcPr>
          <w:p w14:paraId="454EE2FA" w14:textId="77777777" w:rsidR="00DB0460" w:rsidRPr="00260790" w:rsidRDefault="00DB0460" w:rsidP="00741428">
            <w:pPr>
              <w:spacing w:after="0" w:line="240" w:lineRule="auto"/>
              <w:ind w:right="170"/>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55</w:t>
            </w:r>
          </w:p>
        </w:tc>
        <w:tc>
          <w:tcPr>
            <w:tcW w:w="1653" w:type="dxa"/>
            <w:tcBorders>
              <w:bottom w:val="single" w:sz="4" w:space="0" w:color="auto"/>
            </w:tcBorders>
            <w:shd w:val="clear" w:color="auto" w:fill="FF0000"/>
          </w:tcPr>
          <w:p w14:paraId="7E666B1B" w14:textId="77777777" w:rsidR="00DB0460" w:rsidRPr="00260790" w:rsidRDefault="00DB0460" w:rsidP="00741428">
            <w:pPr>
              <w:spacing w:after="0" w:line="240" w:lineRule="auto"/>
              <w:ind w:right="170"/>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54</w:t>
            </w:r>
          </w:p>
        </w:tc>
        <w:tc>
          <w:tcPr>
            <w:tcW w:w="1683" w:type="dxa"/>
            <w:tcBorders>
              <w:bottom w:val="single" w:sz="4" w:space="0" w:color="auto"/>
            </w:tcBorders>
            <w:shd w:val="clear" w:color="auto" w:fill="FF0000"/>
          </w:tcPr>
          <w:p w14:paraId="3A27E64B" w14:textId="77777777" w:rsidR="00DB0460" w:rsidRPr="00260790" w:rsidRDefault="00DB0460" w:rsidP="00741428">
            <w:pPr>
              <w:spacing w:after="0" w:line="240" w:lineRule="auto"/>
              <w:ind w:right="170"/>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53</w:t>
            </w:r>
          </w:p>
        </w:tc>
        <w:tc>
          <w:tcPr>
            <w:tcW w:w="1444" w:type="dxa"/>
            <w:tcBorders>
              <w:bottom w:val="single" w:sz="4" w:space="0" w:color="auto"/>
            </w:tcBorders>
            <w:shd w:val="clear" w:color="auto" w:fill="FF0000"/>
          </w:tcPr>
          <w:p w14:paraId="27BA8BE9" w14:textId="77777777" w:rsidR="00DB0460" w:rsidRPr="00260790" w:rsidRDefault="00DB0460" w:rsidP="00741428">
            <w:pPr>
              <w:tabs>
                <w:tab w:val="left" w:pos="418"/>
              </w:tabs>
              <w:spacing w:after="0" w:line="240" w:lineRule="auto"/>
              <w:ind w:right="-18"/>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52</w:t>
            </w:r>
          </w:p>
        </w:tc>
        <w:tc>
          <w:tcPr>
            <w:tcW w:w="1689" w:type="dxa"/>
            <w:shd w:val="clear" w:color="auto" w:fill="FFFF00"/>
          </w:tcPr>
          <w:p w14:paraId="3A963A1E" w14:textId="77777777" w:rsidR="00DB0460" w:rsidRPr="00260790" w:rsidRDefault="00DB0460" w:rsidP="00741428">
            <w:pPr>
              <w:tabs>
                <w:tab w:val="left" w:pos="418"/>
              </w:tabs>
              <w:spacing w:after="0" w:line="240" w:lineRule="auto"/>
              <w:ind w:right="-18"/>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51</w:t>
            </w:r>
          </w:p>
        </w:tc>
      </w:tr>
      <w:tr w:rsidR="00BD1A2F" w:rsidRPr="00260790" w14:paraId="1284EA72" w14:textId="77777777" w:rsidTr="00741428">
        <w:trPr>
          <w:trHeight w:val="81"/>
          <w:jc w:val="center"/>
        </w:trPr>
        <w:tc>
          <w:tcPr>
            <w:tcW w:w="1207" w:type="dxa"/>
            <w:vAlign w:val="center"/>
          </w:tcPr>
          <w:p w14:paraId="32C460E7" w14:textId="77777777" w:rsidR="00DB0460" w:rsidRPr="00260790" w:rsidRDefault="00DB0460" w:rsidP="00741428">
            <w:pPr>
              <w:tabs>
                <w:tab w:val="left" w:pos="418"/>
              </w:tabs>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P4</w:t>
            </w:r>
          </w:p>
        </w:tc>
        <w:tc>
          <w:tcPr>
            <w:tcW w:w="1622" w:type="dxa"/>
            <w:tcBorders>
              <w:bottom w:val="single" w:sz="4" w:space="0" w:color="auto"/>
            </w:tcBorders>
            <w:shd w:val="clear" w:color="auto" w:fill="FF0000"/>
          </w:tcPr>
          <w:p w14:paraId="32C643AD" w14:textId="77777777" w:rsidR="00DB0460" w:rsidRPr="00260790" w:rsidRDefault="00DB0460" w:rsidP="00741428">
            <w:pPr>
              <w:spacing w:after="0" w:line="240" w:lineRule="auto"/>
              <w:ind w:right="170"/>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45</w:t>
            </w:r>
          </w:p>
        </w:tc>
        <w:tc>
          <w:tcPr>
            <w:tcW w:w="1653" w:type="dxa"/>
            <w:tcBorders>
              <w:bottom w:val="single" w:sz="4" w:space="0" w:color="auto"/>
            </w:tcBorders>
            <w:shd w:val="clear" w:color="auto" w:fill="FF0000"/>
          </w:tcPr>
          <w:p w14:paraId="7B1F21CE" w14:textId="77777777" w:rsidR="00DB0460" w:rsidRPr="00260790" w:rsidRDefault="00DB0460" w:rsidP="00741428">
            <w:pPr>
              <w:spacing w:after="0" w:line="240" w:lineRule="auto"/>
              <w:ind w:right="170"/>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44</w:t>
            </w:r>
          </w:p>
        </w:tc>
        <w:tc>
          <w:tcPr>
            <w:tcW w:w="1683" w:type="dxa"/>
            <w:tcBorders>
              <w:bottom w:val="single" w:sz="4" w:space="0" w:color="auto"/>
            </w:tcBorders>
            <w:shd w:val="clear" w:color="auto" w:fill="FF0000"/>
          </w:tcPr>
          <w:p w14:paraId="7460D37E" w14:textId="77777777" w:rsidR="00DB0460" w:rsidRPr="00260790" w:rsidRDefault="00DB0460" w:rsidP="00741428">
            <w:pPr>
              <w:spacing w:after="0" w:line="240" w:lineRule="auto"/>
              <w:ind w:right="170"/>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43</w:t>
            </w:r>
          </w:p>
        </w:tc>
        <w:tc>
          <w:tcPr>
            <w:tcW w:w="1444" w:type="dxa"/>
            <w:shd w:val="clear" w:color="auto" w:fill="FFFF00"/>
          </w:tcPr>
          <w:p w14:paraId="419E8C1F" w14:textId="77777777" w:rsidR="00DB0460" w:rsidRPr="00260790" w:rsidRDefault="00DB0460" w:rsidP="00741428">
            <w:pPr>
              <w:tabs>
                <w:tab w:val="left" w:pos="418"/>
              </w:tabs>
              <w:spacing w:after="0" w:line="240" w:lineRule="auto"/>
              <w:ind w:right="-18"/>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42</w:t>
            </w:r>
          </w:p>
        </w:tc>
        <w:tc>
          <w:tcPr>
            <w:tcW w:w="1689" w:type="dxa"/>
            <w:tcBorders>
              <w:bottom w:val="single" w:sz="4" w:space="0" w:color="auto"/>
            </w:tcBorders>
            <w:shd w:val="clear" w:color="auto" w:fill="FFFF00"/>
          </w:tcPr>
          <w:p w14:paraId="7A726B22" w14:textId="77777777" w:rsidR="00DB0460" w:rsidRPr="00260790" w:rsidRDefault="00DB0460" w:rsidP="00741428">
            <w:pPr>
              <w:tabs>
                <w:tab w:val="left" w:pos="418"/>
              </w:tabs>
              <w:spacing w:after="0" w:line="240" w:lineRule="auto"/>
              <w:ind w:right="-18"/>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41</w:t>
            </w:r>
          </w:p>
        </w:tc>
      </w:tr>
      <w:tr w:rsidR="00BD1A2F" w:rsidRPr="00260790" w14:paraId="1C8618AA" w14:textId="77777777" w:rsidTr="00741428">
        <w:trPr>
          <w:trHeight w:val="81"/>
          <w:jc w:val="center"/>
        </w:trPr>
        <w:tc>
          <w:tcPr>
            <w:tcW w:w="1207" w:type="dxa"/>
            <w:vAlign w:val="center"/>
          </w:tcPr>
          <w:p w14:paraId="1022CAE5" w14:textId="77777777" w:rsidR="00DB0460" w:rsidRPr="00260790" w:rsidRDefault="00DB0460" w:rsidP="00741428">
            <w:pPr>
              <w:tabs>
                <w:tab w:val="left" w:pos="418"/>
              </w:tabs>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P3</w:t>
            </w:r>
          </w:p>
        </w:tc>
        <w:tc>
          <w:tcPr>
            <w:tcW w:w="1622" w:type="dxa"/>
            <w:shd w:val="clear" w:color="auto" w:fill="FF0000"/>
          </w:tcPr>
          <w:p w14:paraId="21CE5E81" w14:textId="77777777" w:rsidR="00DB0460" w:rsidRPr="00260790" w:rsidRDefault="00DB0460" w:rsidP="00741428">
            <w:pPr>
              <w:spacing w:after="0" w:line="240" w:lineRule="auto"/>
              <w:ind w:right="170"/>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35</w:t>
            </w:r>
          </w:p>
        </w:tc>
        <w:tc>
          <w:tcPr>
            <w:tcW w:w="1653" w:type="dxa"/>
            <w:tcBorders>
              <w:bottom w:val="single" w:sz="4" w:space="0" w:color="auto"/>
            </w:tcBorders>
            <w:shd w:val="clear" w:color="auto" w:fill="FF0000"/>
          </w:tcPr>
          <w:p w14:paraId="050C2DE5" w14:textId="77777777" w:rsidR="00DB0460" w:rsidRPr="00260790" w:rsidRDefault="00DB0460" w:rsidP="00741428">
            <w:pPr>
              <w:spacing w:after="0" w:line="240" w:lineRule="auto"/>
              <w:ind w:right="170"/>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34</w:t>
            </w:r>
          </w:p>
        </w:tc>
        <w:tc>
          <w:tcPr>
            <w:tcW w:w="1683" w:type="dxa"/>
            <w:tcBorders>
              <w:bottom w:val="single" w:sz="4" w:space="0" w:color="auto"/>
            </w:tcBorders>
            <w:shd w:val="clear" w:color="auto" w:fill="FFFF00"/>
          </w:tcPr>
          <w:p w14:paraId="3F49520E" w14:textId="77777777" w:rsidR="00DB0460" w:rsidRPr="00260790" w:rsidRDefault="00DB0460" w:rsidP="00741428">
            <w:pPr>
              <w:spacing w:after="0" w:line="240" w:lineRule="auto"/>
              <w:ind w:right="170"/>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33</w:t>
            </w:r>
          </w:p>
        </w:tc>
        <w:tc>
          <w:tcPr>
            <w:tcW w:w="1444" w:type="dxa"/>
            <w:tcBorders>
              <w:bottom w:val="single" w:sz="4" w:space="0" w:color="auto"/>
            </w:tcBorders>
            <w:shd w:val="clear" w:color="auto" w:fill="FFFF00"/>
          </w:tcPr>
          <w:p w14:paraId="7ADDAED6" w14:textId="77777777" w:rsidR="00DB0460" w:rsidRPr="00260790" w:rsidRDefault="00DB0460" w:rsidP="00741428">
            <w:pPr>
              <w:tabs>
                <w:tab w:val="left" w:pos="418"/>
              </w:tabs>
              <w:spacing w:after="0" w:line="240" w:lineRule="auto"/>
              <w:ind w:right="-18"/>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32</w:t>
            </w:r>
          </w:p>
        </w:tc>
        <w:tc>
          <w:tcPr>
            <w:tcW w:w="1689" w:type="dxa"/>
            <w:shd w:val="clear" w:color="auto" w:fill="00FF00"/>
          </w:tcPr>
          <w:p w14:paraId="25893A16" w14:textId="77777777" w:rsidR="00DB0460" w:rsidRPr="00260790" w:rsidRDefault="00DB0460" w:rsidP="00741428">
            <w:pPr>
              <w:tabs>
                <w:tab w:val="left" w:pos="418"/>
              </w:tabs>
              <w:spacing w:after="0" w:line="240" w:lineRule="auto"/>
              <w:ind w:right="-18"/>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31</w:t>
            </w:r>
          </w:p>
        </w:tc>
      </w:tr>
      <w:tr w:rsidR="00BD1A2F" w:rsidRPr="00260790" w14:paraId="2A3493DF" w14:textId="77777777" w:rsidTr="00741428">
        <w:trPr>
          <w:trHeight w:val="81"/>
          <w:jc w:val="center"/>
        </w:trPr>
        <w:tc>
          <w:tcPr>
            <w:tcW w:w="1207" w:type="dxa"/>
            <w:tcBorders>
              <w:bottom w:val="single" w:sz="4" w:space="0" w:color="auto"/>
            </w:tcBorders>
            <w:vAlign w:val="center"/>
          </w:tcPr>
          <w:p w14:paraId="5F6CEDD9" w14:textId="77777777" w:rsidR="00DB0460" w:rsidRPr="00260790" w:rsidRDefault="00DB0460" w:rsidP="00741428">
            <w:pPr>
              <w:tabs>
                <w:tab w:val="left" w:pos="418"/>
              </w:tabs>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P2</w:t>
            </w:r>
          </w:p>
        </w:tc>
        <w:tc>
          <w:tcPr>
            <w:tcW w:w="1622" w:type="dxa"/>
            <w:tcBorders>
              <w:bottom w:val="single" w:sz="4" w:space="0" w:color="auto"/>
            </w:tcBorders>
            <w:shd w:val="clear" w:color="auto" w:fill="FF0000"/>
          </w:tcPr>
          <w:p w14:paraId="70ED9198" w14:textId="77777777" w:rsidR="00DB0460" w:rsidRPr="00260790" w:rsidRDefault="00DB0460" w:rsidP="00741428">
            <w:pPr>
              <w:spacing w:after="0" w:line="240" w:lineRule="auto"/>
              <w:ind w:right="170"/>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25</w:t>
            </w:r>
          </w:p>
        </w:tc>
        <w:tc>
          <w:tcPr>
            <w:tcW w:w="1653" w:type="dxa"/>
            <w:shd w:val="clear" w:color="auto" w:fill="FFFF00"/>
          </w:tcPr>
          <w:p w14:paraId="64F76668" w14:textId="77777777" w:rsidR="00DB0460" w:rsidRPr="00260790" w:rsidRDefault="00DB0460" w:rsidP="00741428">
            <w:pPr>
              <w:spacing w:after="0" w:line="240" w:lineRule="auto"/>
              <w:ind w:right="170"/>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24</w:t>
            </w:r>
          </w:p>
        </w:tc>
        <w:tc>
          <w:tcPr>
            <w:tcW w:w="1683" w:type="dxa"/>
            <w:tcBorders>
              <w:bottom w:val="single" w:sz="4" w:space="0" w:color="auto"/>
            </w:tcBorders>
            <w:shd w:val="clear" w:color="auto" w:fill="FFFF00"/>
          </w:tcPr>
          <w:p w14:paraId="02209D18" w14:textId="77777777" w:rsidR="00DB0460" w:rsidRPr="00260790" w:rsidRDefault="00DB0460" w:rsidP="00741428">
            <w:pPr>
              <w:spacing w:after="0" w:line="240" w:lineRule="auto"/>
              <w:ind w:right="170"/>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23</w:t>
            </w:r>
          </w:p>
        </w:tc>
        <w:tc>
          <w:tcPr>
            <w:tcW w:w="1444" w:type="dxa"/>
            <w:tcBorders>
              <w:bottom w:val="single" w:sz="4" w:space="0" w:color="auto"/>
            </w:tcBorders>
            <w:shd w:val="clear" w:color="auto" w:fill="00FF00"/>
          </w:tcPr>
          <w:p w14:paraId="3837581E" w14:textId="77777777" w:rsidR="00DB0460" w:rsidRPr="00260790" w:rsidRDefault="00DB0460" w:rsidP="00741428">
            <w:pPr>
              <w:tabs>
                <w:tab w:val="left" w:pos="418"/>
              </w:tabs>
              <w:spacing w:after="0" w:line="240" w:lineRule="auto"/>
              <w:ind w:right="-18"/>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22</w:t>
            </w:r>
          </w:p>
        </w:tc>
        <w:tc>
          <w:tcPr>
            <w:tcW w:w="1689" w:type="dxa"/>
            <w:shd w:val="clear" w:color="auto" w:fill="00FF00"/>
          </w:tcPr>
          <w:p w14:paraId="3E3C4BCC" w14:textId="77777777" w:rsidR="00DB0460" w:rsidRPr="00260790" w:rsidRDefault="00DB0460" w:rsidP="00741428">
            <w:pPr>
              <w:tabs>
                <w:tab w:val="left" w:pos="418"/>
              </w:tabs>
              <w:spacing w:after="0" w:line="240" w:lineRule="auto"/>
              <w:ind w:right="-18"/>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21</w:t>
            </w:r>
          </w:p>
        </w:tc>
      </w:tr>
      <w:tr w:rsidR="00BD1A2F" w:rsidRPr="00260790" w14:paraId="26ACE3C4" w14:textId="77777777" w:rsidTr="00741428">
        <w:trPr>
          <w:trHeight w:val="81"/>
          <w:jc w:val="center"/>
        </w:trPr>
        <w:tc>
          <w:tcPr>
            <w:tcW w:w="1207" w:type="dxa"/>
            <w:tcBorders>
              <w:left w:val="single" w:sz="4" w:space="0" w:color="auto"/>
              <w:bottom w:val="single" w:sz="4" w:space="0" w:color="auto"/>
            </w:tcBorders>
            <w:vAlign w:val="center"/>
          </w:tcPr>
          <w:p w14:paraId="3E19A5C8" w14:textId="77777777" w:rsidR="00DB0460" w:rsidRPr="00260790" w:rsidRDefault="00DB0460" w:rsidP="00741428">
            <w:pPr>
              <w:tabs>
                <w:tab w:val="left" w:pos="418"/>
              </w:tabs>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P1</w:t>
            </w:r>
          </w:p>
        </w:tc>
        <w:tc>
          <w:tcPr>
            <w:tcW w:w="1622" w:type="dxa"/>
            <w:shd w:val="clear" w:color="auto" w:fill="FFFF00"/>
            <w:vAlign w:val="center"/>
          </w:tcPr>
          <w:p w14:paraId="78F9C657" w14:textId="77777777" w:rsidR="00DB0460" w:rsidRPr="00260790" w:rsidRDefault="00DB0460" w:rsidP="00741428">
            <w:pPr>
              <w:tabs>
                <w:tab w:val="left" w:pos="418"/>
              </w:tabs>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15</w:t>
            </w:r>
          </w:p>
        </w:tc>
        <w:tc>
          <w:tcPr>
            <w:tcW w:w="1653" w:type="dxa"/>
            <w:shd w:val="clear" w:color="auto" w:fill="FFFF00"/>
            <w:vAlign w:val="center"/>
          </w:tcPr>
          <w:p w14:paraId="213AEBE5" w14:textId="77777777" w:rsidR="00DB0460" w:rsidRPr="00260790" w:rsidRDefault="00DB0460" w:rsidP="00741428">
            <w:pPr>
              <w:tabs>
                <w:tab w:val="left" w:pos="418"/>
              </w:tabs>
              <w:spacing w:after="0" w:line="240" w:lineRule="auto"/>
              <w:ind w:right="170"/>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14</w:t>
            </w:r>
          </w:p>
        </w:tc>
        <w:tc>
          <w:tcPr>
            <w:tcW w:w="1683" w:type="dxa"/>
            <w:shd w:val="clear" w:color="auto" w:fill="00FF00"/>
            <w:vAlign w:val="center"/>
          </w:tcPr>
          <w:p w14:paraId="6C78866E" w14:textId="77777777" w:rsidR="00DB0460" w:rsidRPr="00260790" w:rsidRDefault="00DB0460" w:rsidP="00741428">
            <w:pPr>
              <w:tabs>
                <w:tab w:val="left" w:pos="418"/>
              </w:tabs>
              <w:spacing w:after="0" w:line="240" w:lineRule="auto"/>
              <w:ind w:right="170"/>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13</w:t>
            </w:r>
          </w:p>
        </w:tc>
        <w:tc>
          <w:tcPr>
            <w:tcW w:w="1444" w:type="dxa"/>
            <w:shd w:val="clear" w:color="auto" w:fill="00FF00"/>
            <w:vAlign w:val="center"/>
          </w:tcPr>
          <w:p w14:paraId="66CA2CC9" w14:textId="77777777" w:rsidR="00DB0460" w:rsidRPr="00260790" w:rsidRDefault="00DB0460" w:rsidP="00741428">
            <w:pPr>
              <w:tabs>
                <w:tab w:val="left" w:pos="418"/>
              </w:tabs>
              <w:spacing w:after="0" w:line="240" w:lineRule="auto"/>
              <w:ind w:right="-18"/>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12</w:t>
            </w:r>
          </w:p>
        </w:tc>
        <w:tc>
          <w:tcPr>
            <w:tcW w:w="1689" w:type="dxa"/>
            <w:shd w:val="clear" w:color="auto" w:fill="00FF00"/>
            <w:vAlign w:val="center"/>
          </w:tcPr>
          <w:p w14:paraId="7524FA8D" w14:textId="77777777" w:rsidR="00DB0460" w:rsidRPr="00260790" w:rsidRDefault="00DB0460" w:rsidP="00741428">
            <w:pPr>
              <w:tabs>
                <w:tab w:val="left" w:pos="418"/>
              </w:tabs>
              <w:spacing w:after="0" w:line="240" w:lineRule="auto"/>
              <w:ind w:right="-18"/>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11</w:t>
            </w:r>
          </w:p>
        </w:tc>
      </w:tr>
    </w:tbl>
    <w:p w14:paraId="41186C35"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p>
    <w:p w14:paraId="3F1C1BBA" w14:textId="77777777" w:rsidR="00DB0460" w:rsidRPr="00260790" w:rsidRDefault="00DB0460" w:rsidP="00E20250">
      <w:pPr>
        <w:autoSpaceDE w:val="0"/>
        <w:autoSpaceDN w:val="0"/>
        <w:adjustRightInd w:val="0"/>
        <w:spacing w:after="0" w:line="240" w:lineRule="auto"/>
        <w:ind w:left="720" w:hanging="360"/>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Signification des couleurs :</w:t>
      </w:r>
    </w:p>
    <w:p w14:paraId="34609213" w14:textId="77777777" w:rsidR="00DB0460" w:rsidRPr="00260790" w:rsidRDefault="00DB0460" w:rsidP="00E20250">
      <w:pPr>
        <w:autoSpaceDE w:val="0"/>
        <w:autoSpaceDN w:val="0"/>
        <w:adjustRightInd w:val="0"/>
        <w:spacing w:after="0" w:line="240" w:lineRule="auto"/>
        <w:ind w:left="720" w:hanging="360"/>
        <w:jc w:val="both"/>
        <w:rPr>
          <w:rFonts w:ascii="Times New Roman" w:eastAsia="Times New Roman" w:hAnsi="Times New Roman"/>
          <w:color w:val="000000" w:themeColor="text1"/>
          <w:lang w:eastAsia="fr-FR"/>
        </w:rPr>
      </w:pPr>
    </w:p>
    <w:p w14:paraId="77D0C521" w14:textId="77777777" w:rsidR="00DB0460" w:rsidRPr="00260790" w:rsidRDefault="00DB0460" w:rsidP="001748C6">
      <w:pPr>
        <w:numPr>
          <w:ilvl w:val="0"/>
          <w:numId w:val="43"/>
        </w:num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Un </w:t>
      </w:r>
      <w:r w:rsidRPr="00260790">
        <w:rPr>
          <w:rFonts w:ascii="Times New Roman" w:eastAsia="Times New Roman" w:hAnsi="Times New Roman"/>
          <w:b/>
          <w:color w:val="000000" w:themeColor="text1"/>
          <w:lang w:eastAsia="fr-FR"/>
        </w:rPr>
        <w:t xml:space="preserve">risque </w:t>
      </w:r>
      <w:r w:rsidRPr="00260790">
        <w:rPr>
          <w:rFonts w:ascii="Times New Roman" w:eastAsia="Times New Roman" w:hAnsi="Times New Roman"/>
          <w:color w:val="000000" w:themeColor="text1"/>
          <w:lang w:eastAsia="fr-FR"/>
        </w:rPr>
        <w:t xml:space="preserve">très limité (tolérable) sera considéré comme </w:t>
      </w:r>
      <w:r w:rsidRPr="00260790">
        <w:rPr>
          <w:rFonts w:ascii="Times New Roman" w:eastAsia="Times New Roman" w:hAnsi="Times New Roman"/>
          <w:b/>
          <w:color w:val="000000" w:themeColor="text1"/>
          <w:lang w:eastAsia="fr-FR"/>
        </w:rPr>
        <w:t xml:space="preserve">acceptable </w:t>
      </w:r>
      <w:r w:rsidRPr="00260790">
        <w:rPr>
          <w:rFonts w:ascii="Times New Roman" w:eastAsia="Times New Roman" w:hAnsi="Times New Roman"/>
          <w:color w:val="000000" w:themeColor="text1"/>
          <w:lang w:eastAsia="fr-FR"/>
        </w:rPr>
        <w:t xml:space="preserve">et aura une couleur </w:t>
      </w:r>
      <w:r w:rsidRPr="00260790">
        <w:rPr>
          <w:rFonts w:ascii="Times New Roman" w:eastAsia="Times New Roman" w:hAnsi="Times New Roman"/>
          <w:b/>
          <w:color w:val="000000" w:themeColor="text1"/>
          <w:lang w:eastAsia="fr-FR"/>
        </w:rPr>
        <w:t>verte</w:t>
      </w:r>
      <w:r w:rsidRPr="00260790">
        <w:rPr>
          <w:rFonts w:ascii="Times New Roman" w:eastAsia="Times New Roman" w:hAnsi="Times New Roman"/>
          <w:color w:val="000000" w:themeColor="text1"/>
          <w:lang w:eastAsia="fr-FR"/>
        </w:rPr>
        <w:t xml:space="preserve">. Dans ce cas, </w:t>
      </w:r>
      <w:r w:rsidRPr="00260790">
        <w:rPr>
          <w:rFonts w:ascii="Times New Roman" w:eastAsia="Times New Roman" w:hAnsi="Times New Roman"/>
          <w:iCs/>
          <w:color w:val="000000" w:themeColor="text1"/>
          <w:lang w:eastAsia="fr-FR"/>
        </w:rPr>
        <w:t>aucune action n’est requise ;</w:t>
      </w:r>
    </w:p>
    <w:p w14:paraId="1F278837" w14:textId="77777777" w:rsidR="00DB0460" w:rsidRPr="00260790" w:rsidRDefault="00DB0460" w:rsidP="001748C6">
      <w:pPr>
        <w:numPr>
          <w:ilvl w:val="0"/>
          <w:numId w:val="43"/>
        </w:num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La couleur </w:t>
      </w:r>
      <w:r w:rsidRPr="00260790">
        <w:rPr>
          <w:rFonts w:ascii="Times New Roman" w:eastAsia="Times New Roman" w:hAnsi="Times New Roman"/>
          <w:b/>
          <w:color w:val="000000" w:themeColor="text1"/>
          <w:lang w:eastAsia="fr-FR"/>
        </w:rPr>
        <w:t>jaune</w:t>
      </w:r>
      <w:r w:rsidRPr="00260790">
        <w:rPr>
          <w:rFonts w:ascii="Times New Roman" w:eastAsia="Times New Roman" w:hAnsi="Times New Roman"/>
          <w:color w:val="000000" w:themeColor="text1"/>
          <w:lang w:eastAsia="fr-FR"/>
        </w:rPr>
        <w:t xml:space="preserve"> matérialise un </w:t>
      </w:r>
      <w:r w:rsidRPr="00260790">
        <w:rPr>
          <w:rFonts w:ascii="Times New Roman" w:eastAsia="Times New Roman" w:hAnsi="Times New Roman"/>
          <w:b/>
          <w:color w:val="000000" w:themeColor="text1"/>
          <w:lang w:eastAsia="fr-FR"/>
        </w:rPr>
        <w:t>risque important.</w:t>
      </w:r>
      <w:r w:rsidRPr="00260790">
        <w:rPr>
          <w:rFonts w:ascii="Times New Roman" w:eastAsia="Times New Roman" w:hAnsi="Times New Roman"/>
          <w:color w:val="000000" w:themeColor="text1"/>
          <w:lang w:eastAsia="fr-FR"/>
        </w:rPr>
        <w:t xml:space="preserve"> Dans ce cas un plan de réduction doit être mis en œuvre à court, moyen et long terme ;</w:t>
      </w:r>
    </w:p>
    <w:p w14:paraId="4AA157F5" w14:textId="628006C3" w:rsidR="00DB0460" w:rsidRPr="00260790" w:rsidRDefault="00874DDA" w:rsidP="001748C6">
      <w:pPr>
        <w:numPr>
          <w:ilvl w:val="0"/>
          <w:numId w:val="43"/>
        </w:num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lastRenderedPageBreak/>
        <w:t>Tandis</w:t>
      </w:r>
      <w:r w:rsidR="00DB0460" w:rsidRPr="00260790">
        <w:rPr>
          <w:rFonts w:ascii="Times New Roman" w:eastAsia="Times New Roman" w:hAnsi="Times New Roman"/>
          <w:color w:val="000000" w:themeColor="text1"/>
          <w:lang w:eastAsia="fr-FR"/>
        </w:rPr>
        <w:t xml:space="preserve"> qu’un </w:t>
      </w:r>
      <w:r w:rsidR="00DB0460" w:rsidRPr="00260790">
        <w:rPr>
          <w:rFonts w:ascii="Times New Roman" w:eastAsia="Times New Roman" w:hAnsi="Times New Roman"/>
          <w:b/>
          <w:color w:val="000000" w:themeColor="text1"/>
          <w:lang w:eastAsia="fr-FR"/>
        </w:rPr>
        <w:t>risque élevé inacceptable</w:t>
      </w:r>
      <w:r w:rsidR="00DB0460" w:rsidRPr="00260790">
        <w:rPr>
          <w:rFonts w:ascii="Times New Roman" w:eastAsia="Times New Roman" w:hAnsi="Times New Roman"/>
          <w:color w:val="000000" w:themeColor="text1"/>
          <w:lang w:eastAsia="fr-FR"/>
        </w:rPr>
        <w:t xml:space="preserve"> va nécessiter une étude détaillée de scénarios d’accidents majeurs. Le site doit disposer des mesures de réduction immédiates en mettant en place des moyens de prévention et de protection. Il est représenté par la couleur </w:t>
      </w:r>
      <w:r w:rsidR="00DB0460" w:rsidRPr="00260790">
        <w:rPr>
          <w:rFonts w:ascii="Times New Roman" w:eastAsia="Times New Roman" w:hAnsi="Times New Roman"/>
          <w:b/>
          <w:color w:val="000000" w:themeColor="text1"/>
          <w:lang w:eastAsia="fr-FR"/>
        </w:rPr>
        <w:t xml:space="preserve">rouge.  </w:t>
      </w:r>
    </w:p>
    <w:p w14:paraId="2AB831C4" w14:textId="77777777" w:rsidR="00DB0460" w:rsidRPr="00260790" w:rsidRDefault="00DB0460" w:rsidP="00E20250">
      <w:pPr>
        <w:autoSpaceDE w:val="0"/>
        <w:autoSpaceDN w:val="0"/>
        <w:adjustRightInd w:val="0"/>
        <w:spacing w:after="0" w:line="240" w:lineRule="auto"/>
        <w:ind w:left="720"/>
        <w:jc w:val="both"/>
        <w:rPr>
          <w:rFonts w:ascii="Times New Roman" w:eastAsia="Times New Roman" w:hAnsi="Times New Roman"/>
          <w:color w:val="000000" w:themeColor="text1"/>
          <w:lang w:eastAsia="fr-FR"/>
        </w:rPr>
      </w:pPr>
    </w:p>
    <w:tbl>
      <w:tblPr>
        <w:tblpPr w:leftFromText="141" w:rightFromText="141" w:vertAnchor="text" w:tblpXSpec="center" w:tblpY="1"/>
        <w:tblOverlap w:val="never"/>
        <w:tblW w:w="6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7"/>
        <w:gridCol w:w="6322"/>
      </w:tblGrid>
      <w:tr w:rsidR="00BD1A2F" w:rsidRPr="00260790" w14:paraId="559B96D6" w14:textId="77777777" w:rsidTr="00741428">
        <w:trPr>
          <w:trHeight w:val="279"/>
        </w:trPr>
        <w:tc>
          <w:tcPr>
            <w:tcW w:w="487" w:type="dxa"/>
            <w:shd w:val="clear" w:color="auto" w:fill="FF0000"/>
            <w:noWrap/>
            <w:vAlign w:val="bottom"/>
          </w:tcPr>
          <w:p w14:paraId="7759E4EC"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6322" w:type="dxa"/>
            <w:noWrap/>
            <w:vAlign w:val="center"/>
          </w:tcPr>
          <w:p w14:paraId="4EB01ED4" w14:textId="77777777" w:rsidR="00DB0460" w:rsidRPr="00260790" w:rsidRDefault="00DB0460" w:rsidP="00E20250">
            <w:pPr>
              <w:tabs>
                <w:tab w:val="left" w:pos="418"/>
              </w:tabs>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Niveau de risque élevé inacceptable</w:t>
            </w:r>
          </w:p>
        </w:tc>
      </w:tr>
      <w:tr w:rsidR="00BD1A2F" w:rsidRPr="00260790" w14:paraId="5E0E1C8A" w14:textId="77777777" w:rsidTr="00741428">
        <w:trPr>
          <w:trHeight w:val="269"/>
        </w:trPr>
        <w:tc>
          <w:tcPr>
            <w:tcW w:w="487" w:type="dxa"/>
            <w:tcBorders>
              <w:bottom w:val="single" w:sz="4" w:space="0" w:color="auto"/>
            </w:tcBorders>
            <w:shd w:val="clear" w:color="auto" w:fill="FFFF00"/>
            <w:noWrap/>
            <w:vAlign w:val="bottom"/>
          </w:tcPr>
          <w:p w14:paraId="4CF67831"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6322" w:type="dxa"/>
            <w:noWrap/>
            <w:vAlign w:val="center"/>
          </w:tcPr>
          <w:p w14:paraId="266DD196" w14:textId="77777777" w:rsidR="00DB0460" w:rsidRPr="00260790" w:rsidRDefault="00DB0460" w:rsidP="00E20250">
            <w:pPr>
              <w:tabs>
                <w:tab w:val="left" w:pos="418"/>
              </w:tabs>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Niveau de risque important</w:t>
            </w:r>
          </w:p>
        </w:tc>
      </w:tr>
      <w:tr w:rsidR="00BD1A2F" w:rsidRPr="00260790" w14:paraId="513016B4" w14:textId="77777777" w:rsidTr="00741428">
        <w:trPr>
          <w:trHeight w:val="273"/>
        </w:trPr>
        <w:tc>
          <w:tcPr>
            <w:tcW w:w="487" w:type="dxa"/>
            <w:shd w:val="clear" w:color="auto" w:fill="00FF00"/>
            <w:noWrap/>
            <w:vAlign w:val="bottom"/>
          </w:tcPr>
          <w:p w14:paraId="5E69CB0C"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w:t>
            </w:r>
          </w:p>
        </w:tc>
        <w:tc>
          <w:tcPr>
            <w:tcW w:w="6322" w:type="dxa"/>
            <w:noWrap/>
            <w:vAlign w:val="center"/>
          </w:tcPr>
          <w:p w14:paraId="1B9F814D" w14:textId="77777777" w:rsidR="00DB0460" w:rsidRPr="00260790" w:rsidRDefault="00DB0460" w:rsidP="00E20250">
            <w:pPr>
              <w:tabs>
                <w:tab w:val="left" w:pos="418"/>
              </w:tabs>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Niveau de risque acceptable</w:t>
            </w:r>
          </w:p>
        </w:tc>
      </w:tr>
    </w:tbl>
    <w:p w14:paraId="3CE3C5EA" w14:textId="77777777" w:rsidR="00DB0460" w:rsidRPr="00260790" w:rsidRDefault="00DB0460" w:rsidP="00E20250">
      <w:pPr>
        <w:spacing w:before="240" w:after="240" w:line="240" w:lineRule="auto"/>
        <w:ind w:left="1582"/>
        <w:contextualSpacing/>
        <w:jc w:val="both"/>
        <w:rPr>
          <w:rFonts w:ascii="Times New Roman" w:eastAsia="Times New Roman" w:hAnsi="Times New Roman"/>
          <w:b/>
          <w:color w:val="000000" w:themeColor="text1"/>
          <w:lang w:eastAsia="fr-FR"/>
        </w:rPr>
      </w:pPr>
      <w:r w:rsidRPr="00260790">
        <w:rPr>
          <w:rFonts w:ascii="Times New Roman" w:eastAsia="Times New Roman" w:hAnsi="Times New Roman"/>
          <w:i/>
          <w:iCs/>
          <w:color w:val="000000" w:themeColor="text1"/>
          <w:lang w:eastAsia="fr-FR"/>
        </w:rPr>
        <w:br w:type="textWrapping" w:clear="all"/>
      </w:r>
    </w:p>
    <w:p w14:paraId="092C89A3" w14:textId="77777777" w:rsidR="00DB0460" w:rsidRPr="00260790" w:rsidRDefault="00DB0460" w:rsidP="00E20250">
      <w:pPr>
        <w:spacing w:after="0" w:line="240" w:lineRule="auto"/>
        <w:jc w:val="both"/>
        <w:rPr>
          <w:rFonts w:ascii="Times New Roman" w:eastAsia="Times New Roman" w:hAnsi="Times New Roman"/>
          <w:b/>
          <w:color w:val="000000" w:themeColor="text1"/>
          <w:lang w:eastAsia="fr-FR"/>
        </w:rPr>
      </w:pPr>
    </w:p>
    <w:p w14:paraId="0CA8EDB6" w14:textId="77777777" w:rsidR="00DB0460" w:rsidRPr="00260790" w:rsidRDefault="00DB0460" w:rsidP="00E20250">
      <w:pPr>
        <w:spacing w:after="0" w:line="240" w:lineRule="auto"/>
        <w:jc w:val="both"/>
        <w:rPr>
          <w:rFonts w:ascii="Times New Roman" w:eastAsia="Times New Roman" w:hAnsi="Times New Roman"/>
          <w:b/>
          <w:color w:val="000000" w:themeColor="text1"/>
          <w:lang w:eastAsia="fr-FR"/>
        </w:rPr>
        <w:sectPr w:rsidR="00DB0460" w:rsidRPr="00260790" w:rsidSect="007903CC">
          <w:headerReference w:type="even" r:id="rId138"/>
          <w:headerReference w:type="default" r:id="rId139"/>
          <w:footerReference w:type="even" r:id="rId140"/>
          <w:footerReference w:type="default" r:id="rId141"/>
          <w:headerReference w:type="first" r:id="rId142"/>
          <w:footerReference w:type="first" r:id="rId143"/>
          <w:pgSz w:w="11906" w:h="16838"/>
          <w:pgMar w:top="1418" w:right="1418" w:bottom="1418" w:left="1418" w:header="709" w:footer="454" w:gutter="0"/>
          <w:cols w:space="708"/>
          <w:docGrid w:linePitch="360"/>
        </w:sectPr>
      </w:pPr>
    </w:p>
    <w:p w14:paraId="6381D425" w14:textId="1143F811" w:rsidR="00DB0460" w:rsidRPr="00260790" w:rsidRDefault="00DB0460" w:rsidP="00E20250">
      <w:pPr>
        <w:spacing w:line="240" w:lineRule="auto"/>
        <w:jc w:val="both"/>
        <w:rPr>
          <w:rFonts w:ascii="Times New Roman" w:hAnsi="Times New Roman"/>
          <w:bCs/>
          <w:color w:val="000000" w:themeColor="text1"/>
          <w:lang w:eastAsia="fr-FR"/>
        </w:rPr>
      </w:pPr>
      <w:bookmarkStart w:id="710" w:name="_Toc207781942"/>
      <w:r w:rsidRPr="00260790">
        <w:rPr>
          <w:rFonts w:ascii="Times New Roman" w:hAnsi="Times New Roman"/>
          <w:color w:val="000000" w:themeColor="text1"/>
        </w:rPr>
        <w:lastRenderedPageBreak/>
        <w:t xml:space="preserve">Tableau </w:t>
      </w:r>
      <w:r w:rsidRPr="00260790">
        <w:rPr>
          <w:rFonts w:ascii="Times New Roman" w:hAnsi="Times New Roman"/>
          <w:color w:val="000000" w:themeColor="text1"/>
        </w:rPr>
        <w:fldChar w:fldCharType="begin"/>
      </w:r>
      <w:r w:rsidRPr="00260790">
        <w:rPr>
          <w:rFonts w:ascii="Times New Roman" w:hAnsi="Times New Roman"/>
          <w:color w:val="000000" w:themeColor="text1"/>
        </w:rPr>
        <w:instrText xml:space="preserve"> SEQ Tableau \* ARABIC </w:instrText>
      </w:r>
      <w:r w:rsidRPr="00260790">
        <w:rPr>
          <w:rFonts w:ascii="Times New Roman" w:hAnsi="Times New Roman"/>
          <w:color w:val="000000" w:themeColor="text1"/>
        </w:rPr>
        <w:fldChar w:fldCharType="separate"/>
      </w:r>
      <w:r w:rsidR="003C783E">
        <w:rPr>
          <w:rFonts w:ascii="Times New Roman" w:hAnsi="Times New Roman"/>
          <w:noProof/>
          <w:color w:val="000000" w:themeColor="text1"/>
        </w:rPr>
        <w:t>101</w:t>
      </w:r>
      <w:r w:rsidRPr="00260790">
        <w:rPr>
          <w:rFonts w:ascii="Times New Roman" w:hAnsi="Times New Roman"/>
          <w:color w:val="000000" w:themeColor="text1"/>
        </w:rPr>
        <w:fldChar w:fldCharType="end"/>
      </w:r>
      <w:r w:rsidRPr="00260790">
        <w:rPr>
          <w:rFonts w:ascii="Times New Roman" w:hAnsi="Times New Roman"/>
          <w:color w:val="000000" w:themeColor="text1"/>
        </w:rPr>
        <w:t xml:space="preserve"> : </w:t>
      </w:r>
      <w:r w:rsidRPr="00260790">
        <w:rPr>
          <w:rFonts w:ascii="Times New Roman" w:hAnsi="Times New Roman"/>
          <w:bCs/>
          <w:color w:val="000000" w:themeColor="text1"/>
        </w:rPr>
        <w:t>Synthèse</w:t>
      </w:r>
      <w:r w:rsidRPr="00260790">
        <w:rPr>
          <w:rFonts w:ascii="Times New Roman" w:hAnsi="Times New Roman"/>
          <w:bCs/>
          <w:color w:val="000000" w:themeColor="text1"/>
          <w:lang w:eastAsia="fr-FR"/>
        </w:rPr>
        <w:t xml:space="preserve"> de l’Analyse et présentation des niveaux de risque finaux</w:t>
      </w:r>
      <w:bookmarkEnd w:id="710"/>
    </w:p>
    <w:tbl>
      <w:tblPr>
        <w:tblW w:w="5479"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1559"/>
        <w:gridCol w:w="1786"/>
        <w:gridCol w:w="566"/>
        <w:gridCol w:w="566"/>
        <w:gridCol w:w="563"/>
        <w:gridCol w:w="9"/>
        <w:gridCol w:w="2110"/>
        <w:gridCol w:w="851"/>
        <w:gridCol w:w="2253"/>
        <w:gridCol w:w="511"/>
        <w:gridCol w:w="707"/>
        <w:gridCol w:w="1133"/>
        <w:gridCol w:w="1136"/>
      </w:tblGrid>
      <w:tr w:rsidR="00E3321E" w:rsidRPr="009B46E2" w14:paraId="141B35C2" w14:textId="77777777" w:rsidTr="00E3321E">
        <w:trPr>
          <w:trHeight w:val="457"/>
          <w:tblHeader/>
        </w:trPr>
        <w:tc>
          <w:tcPr>
            <w:tcW w:w="509" w:type="pct"/>
            <w:vAlign w:val="center"/>
          </w:tcPr>
          <w:p w14:paraId="06B485C2" w14:textId="77777777" w:rsidR="00DB0460" w:rsidRPr="0097258B" w:rsidRDefault="00DB0460" w:rsidP="00E3321E">
            <w:pPr>
              <w:spacing w:after="0" w:line="240" w:lineRule="auto"/>
              <w:jc w:val="both"/>
              <w:rPr>
                <w:rFonts w:ascii="Times New Roman" w:eastAsia="Times New Roman" w:hAnsi="Times New Roman"/>
                <w:b/>
                <w:color w:val="000000" w:themeColor="text1"/>
                <w:sz w:val="20"/>
                <w:szCs w:val="20"/>
                <w:lang w:eastAsia="fr-FR"/>
              </w:rPr>
            </w:pPr>
            <w:proofErr w:type="spellStart"/>
            <w:r w:rsidRPr="0097258B">
              <w:rPr>
                <w:rFonts w:ascii="Times New Roman" w:eastAsia="Times New Roman" w:hAnsi="Times New Roman"/>
                <w:b/>
                <w:color w:val="000000" w:themeColor="text1"/>
                <w:sz w:val="20"/>
                <w:szCs w:val="20"/>
                <w:lang w:eastAsia="fr-FR"/>
              </w:rPr>
              <w:t>Evénements</w:t>
            </w:r>
            <w:proofErr w:type="spellEnd"/>
            <w:r w:rsidRPr="0097258B">
              <w:rPr>
                <w:rFonts w:ascii="Times New Roman" w:eastAsia="Times New Roman" w:hAnsi="Times New Roman"/>
                <w:b/>
                <w:color w:val="000000" w:themeColor="text1"/>
                <w:sz w:val="20"/>
                <w:szCs w:val="20"/>
                <w:lang w:eastAsia="fr-FR"/>
              </w:rPr>
              <w:t xml:space="preserve"> dangereux</w:t>
            </w:r>
          </w:p>
        </w:tc>
        <w:tc>
          <w:tcPr>
            <w:tcW w:w="509" w:type="pct"/>
            <w:vAlign w:val="center"/>
          </w:tcPr>
          <w:p w14:paraId="567C0FAF" w14:textId="77777777" w:rsidR="00DB0460" w:rsidRPr="0097258B" w:rsidRDefault="00DB0460" w:rsidP="00E3321E">
            <w:pPr>
              <w:spacing w:after="0" w:line="240" w:lineRule="auto"/>
              <w:jc w:val="both"/>
              <w:rPr>
                <w:rFonts w:ascii="Times New Roman" w:eastAsia="Times New Roman" w:hAnsi="Times New Roman"/>
                <w:b/>
                <w:color w:val="000000" w:themeColor="text1"/>
                <w:sz w:val="20"/>
                <w:szCs w:val="20"/>
                <w:lang w:eastAsia="fr-FR"/>
              </w:rPr>
            </w:pPr>
            <w:r w:rsidRPr="0097258B">
              <w:rPr>
                <w:rFonts w:ascii="Times New Roman" w:eastAsia="Times New Roman" w:hAnsi="Times New Roman"/>
                <w:b/>
                <w:color w:val="000000" w:themeColor="text1"/>
                <w:sz w:val="20"/>
                <w:szCs w:val="20"/>
                <w:lang w:eastAsia="fr-FR"/>
              </w:rPr>
              <w:t>Causes</w:t>
            </w:r>
          </w:p>
        </w:tc>
        <w:tc>
          <w:tcPr>
            <w:tcW w:w="583" w:type="pct"/>
            <w:vAlign w:val="center"/>
          </w:tcPr>
          <w:p w14:paraId="70728CDB" w14:textId="77777777" w:rsidR="00DB0460" w:rsidRPr="0097258B" w:rsidRDefault="00DB0460" w:rsidP="00E3321E">
            <w:pPr>
              <w:spacing w:after="0" w:line="240" w:lineRule="auto"/>
              <w:jc w:val="both"/>
              <w:rPr>
                <w:rFonts w:ascii="Times New Roman" w:eastAsia="Times New Roman" w:hAnsi="Times New Roman"/>
                <w:b/>
                <w:color w:val="000000" w:themeColor="text1"/>
                <w:sz w:val="20"/>
                <w:szCs w:val="20"/>
                <w:lang w:eastAsia="fr-FR"/>
              </w:rPr>
            </w:pPr>
            <w:r w:rsidRPr="0097258B">
              <w:rPr>
                <w:rFonts w:ascii="Times New Roman" w:eastAsia="Times New Roman" w:hAnsi="Times New Roman"/>
                <w:b/>
                <w:color w:val="000000" w:themeColor="text1"/>
                <w:sz w:val="20"/>
                <w:szCs w:val="20"/>
                <w:lang w:eastAsia="fr-FR"/>
              </w:rPr>
              <w:t>Conséquences</w:t>
            </w:r>
          </w:p>
        </w:tc>
        <w:tc>
          <w:tcPr>
            <w:tcW w:w="185" w:type="pct"/>
            <w:vAlign w:val="center"/>
          </w:tcPr>
          <w:p w14:paraId="7592970E" w14:textId="77777777" w:rsidR="00DB0460" w:rsidRPr="0097258B" w:rsidRDefault="00DB0460" w:rsidP="00E3321E">
            <w:pPr>
              <w:spacing w:after="0" w:line="240" w:lineRule="auto"/>
              <w:jc w:val="both"/>
              <w:rPr>
                <w:rFonts w:ascii="Times New Roman" w:eastAsia="Times New Roman" w:hAnsi="Times New Roman"/>
                <w:b/>
                <w:color w:val="000000" w:themeColor="text1"/>
                <w:sz w:val="20"/>
                <w:szCs w:val="20"/>
                <w:lang w:eastAsia="fr-FR"/>
              </w:rPr>
            </w:pPr>
            <w:r w:rsidRPr="0097258B">
              <w:rPr>
                <w:rFonts w:ascii="Times New Roman" w:eastAsia="Times New Roman" w:hAnsi="Times New Roman"/>
                <w:b/>
                <w:color w:val="000000" w:themeColor="text1"/>
                <w:sz w:val="20"/>
                <w:szCs w:val="20"/>
                <w:lang w:eastAsia="fr-FR"/>
              </w:rPr>
              <w:t>PI</w:t>
            </w:r>
          </w:p>
        </w:tc>
        <w:tc>
          <w:tcPr>
            <w:tcW w:w="185" w:type="pct"/>
            <w:vAlign w:val="center"/>
          </w:tcPr>
          <w:p w14:paraId="13B9EAB3" w14:textId="77777777" w:rsidR="00DB0460" w:rsidRPr="0097258B" w:rsidRDefault="00DB0460" w:rsidP="00E3321E">
            <w:pPr>
              <w:spacing w:after="0" w:line="240" w:lineRule="auto"/>
              <w:jc w:val="both"/>
              <w:rPr>
                <w:rFonts w:ascii="Times New Roman" w:eastAsia="Times New Roman" w:hAnsi="Times New Roman"/>
                <w:b/>
                <w:color w:val="000000" w:themeColor="text1"/>
                <w:sz w:val="20"/>
                <w:szCs w:val="20"/>
                <w:lang w:eastAsia="fr-FR"/>
              </w:rPr>
            </w:pPr>
            <w:r w:rsidRPr="0097258B">
              <w:rPr>
                <w:rFonts w:ascii="Times New Roman" w:eastAsia="Times New Roman" w:hAnsi="Times New Roman"/>
                <w:b/>
                <w:color w:val="000000" w:themeColor="text1"/>
                <w:sz w:val="20"/>
                <w:szCs w:val="20"/>
                <w:lang w:eastAsia="fr-FR"/>
              </w:rPr>
              <w:t>GI</w:t>
            </w:r>
          </w:p>
        </w:tc>
        <w:tc>
          <w:tcPr>
            <w:tcW w:w="187" w:type="pct"/>
            <w:gridSpan w:val="2"/>
            <w:vAlign w:val="center"/>
          </w:tcPr>
          <w:p w14:paraId="5E6D9D2F" w14:textId="77777777" w:rsidR="00DB0460" w:rsidRPr="0097258B" w:rsidRDefault="00DB0460" w:rsidP="00E3321E">
            <w:pPr>
              <w:spacing w:after="0" w:line="240" w:lineRule="auto"/>
              <w:jc w:val="both"/>
              <w:rPr>
                <w:rFonts w:ascii="Times New Roman" w:eastAsia="Times New Roman" w:hAnsi="Times New Roman"/>
                <w:b/>
                <w:color w:val="000000" w:themeColor="text1"/>
                <w:sz w:val="20"/>
                <w:szCs w:val="20"/>
                <w:lang w:eastAsia="fr-FR"/>
              </w:rPr>
            </w:pPr>
            <w:r w:rsidRPr="0097258B">
              <w:rPr>
                <w:rFonts w:ascii="Times New Roman" w:eastAsia="Times New Roman" w:hAnsi="Times New Roman"/>
                <w:b/>
                <w:color w:val="000000" w:themeColor="text1"/>
                <w:sz w:val="20"/>
                <w:szCs w:val="20"/>
                <w:lang w:eastAsia="fr-FR"/>
              </w:rPr>
              <w:t>RI</w:t>
            </w:r>
          </w:p>
        </w:tc>
        <w:tc>
          <w:tcPr>
            <w:tcW w:w="689" w:type="pct"/>
            <w:vAlign w:val="center"/>
          </w:tcPr>
          <w:p w14:paraId="2E33EAD8" w14:textId="77777777" w:rsidR="00DB0460" w:rsidRPr="0097258B" w:rsidRDefault="00DB0460" w:rsidP="00E3321E">
            <w:pPr>
              <w:spacing w:after="0" w:line="240" w:lineRule="auto"/>
              <w:jc w:val="both"/>
              <w:rPr>
                <w:rFonts w:ascii="Times New Roman" w:eastAsia="Times New Roman" w:hAnsi="Times New Roman"/>
                <w:b/>
                <w:color w:val="000000" w:themeColor="text1"/>
                <w:sz w:val="20"/>
                <w:szCs w:val="20"/>
                <w:lang w:eastAsia="fr-FR"/>
              </w:rPr>
            </w:pPr>
            <w:r w:rsidRPr="0097258B">
              <w:rPr>
                <w:rFonts w:ascii="Times New Roman" w:eastAsia="Times New Roman" w:hAnsi="Times New Roman"/>
                <w:b/>
                <w:color w:val="000000" w:themeColor="text1"/>
                <w:sz w:val="20"/>
                <w:szCs w:val="20"/>
                <w:lang w:eastAsia="fr-FR"/>
              </w:rPr>
              <w:t>Prévention</w:t>
            </w:r>
          </w:p>
        </w:tc>
        <w:tc>
          <w:tcPr>
            <w:tcW w:w="278" w:type="pct"/>
            <w:vAlign w:val="center"/>
          </w:tcPr>
          <w:p w14:paraId="18C520FC" w14:textId="77777777" w:rsidR="00DB0460" w:rsidRPr="0097258B" w:rsidRDefault="00DB0460" w:rsidP="00E3321E">
            <w:pPr>
              <w:spacing w:after="0" w:line="240" w:lineRule="auto"/>
              <w:jc w:val="both"/>
              <w:rPr>
                <w:rFonts w:ascii="Times New Roman" w:eastAsia="Times New Roman" w:hAnsi="Times New Roman"/>
                <w:b/>
                <w:color w:val="000000" w:themeColor="text1"/>
                <w:sz w:val="20"/>
                <w:szCs w:val="20"/>
                <w:lang w:eastAsia="fr-FR"/>
              </w:rPr>
            </w:pPr>
            <w:r w:rsidRPr="0097258B">
              <w:rPr>
                <w:rFonts w:ascii="Times New Roman" w:eastAsia="Times New Roman" w:hAnsi="Times New Roman"/>
                <w:b/>
                <w:color w:val="000000" w:themeColor="text1"/>
                <w:sz w:val="20"/>
                <w:szCs w:val="20"/>
                <w:lang w:eastAsia="fr-FR"/>
              </w:rPr>
              <w:t>P</w:t>
            </w:r>
          </w:p>
        </w:tc>
        <w:tc>
          <w:tcPr>
            <w:tcW w:w="736" w:type="pct"/>
            <w:vAlign w:val="center"/>
          </w:tcPr>
          <w:p w14:paraId="5D8F2615" w14:textId="77777777" w:rsidR="00DB0460" w:rsidRPr="0097258B" w:rsidRDefault="00DB0460" w:rsidP="00E3321E">
            <w:pPr>
              <w:spacing w:after="0" w:line="240" w:lineRule="auto"/>
              <w:jc w:val="both"/>
              <w:rPr>
                <w:rFonts w:ascii="Times New Roman" w:eastAsia="Times New Roman" w:hAnsi="Times New Roman"/>
                <w:b/>
                <w:color w:val="000000" w:themeColor="text1"/>
                <w:sz w:val="20"/>
                <w:szCs w:val="20"/>
                <w:lang w:eastAsia="fr-FR"/>
              </w:rPr>
            </w:pPr>
            <w:r w:rsidRPr="0097258B">
              <w:rPr>
                <w:rFonts w:ascii="Times New Roman" w:eastAsia="Times New Roman" w:hAnsi="Times New Roman"/>
                <w:b/>
                <w:color w:val="000000" w:themeColor="text1"/>
                <w:sz w:val="20"/>
                <w:szCs w:val="20"/>
                <w:lang w:eastAsia="fr-FR"/>
              </w:rPr>
              <w:t>Maitrise des conséquences</w:t>
            </w:r>
          </w:p>
        </w:tc>
        <w:tc>
          <w:tcPr>
            <w:tcW w:w="167" w:type="pct"/>
            <w:vAlign w:val="center"/>
          </w:tcPr>
          <w:p w14:paraId="57B4D8DB" w14:textId="77777777" w:rsidR="00DB0460" w:rsidRPr="0097258B" w:rsidRDefault="00DB0460" w:rsidP="00E3321E">
            <w:pPr>
              <w:spacing w:after="0" w:line="240" w:lineRule="auto"/>
              <w:jc w:val="both"/>
              <w:rPr>
                <w:rFonts w:ascii="Times New Roman" w:eastAsia="Times New Roman" w:hAnsi="Times New Roman"/>
                <w:b/>
                <w:color w:val="000000" w:themeColor="text1"/>
                <w:sz w:val="20"/>
                <w:szCs w:val="20"/>
                <w:lang w:eastAsia="fr-FR"/>
              </w:rPr>
            </w:pPr>
            <w:r w:rsidRPr="0097258B">
              <w:rPr>
                <w:rFonts w:ascii="Times New Roman" w:eastAsia="Times New Roman" w:hAnsi="Times New Roman"/>
                <w:b/>
                <w:color w:val="000000" w:themeColor="text1"/>
                <w:sz w:val="20"/>
                <w:szCs w:val="20"/>
                <w:lang w:eastAsia="fr-FR"/>
              </w:rPr>
              <w:t>G</w:t>
            </w:r>
          </w:p>
        </w:tc>
        <w:tc>
          <w:tcPr>
            <w:tcW w:w="231" w:type="pct"/>
            <w:vAlign w:val="center"/>
          </w:tcPr>
          <w:p w14:paraId="4FF0329B" w14:textId="77777777" w:rsidR="00DB0460" w:rsidRPr="0097258B" w:rsidRDefault="00DB0460" w:rsidP="00E3321E">
            <w:pPr>
              <w:spacing w:after="0" w:line="240" w:lineRule="auto"/>
              <w:jc w:val="both"/>
              <w:rPr>
                <w:rFonts w:ascii="Times New Roman" w:eastAsia="Times New Roman" w:hAnsi="Times New Roman"/>
                <w:b/>
                <w:color w:val="000000" w:themeColor="text1"/>
                <w:sz w:val="20"/>
                <w:szCs w:val="20"/>
                <w:lang w:eastAsia="fr-FR"/>
              </w:rPr>
            </w:pPr>
            <w:r w:rsidRPr="0097258B">
              <w:rPr>
                <w:rFonts w:ascii="Times New Roman" w:eastAsia="Times New Roman" w:hAnsi="Times New Roman"/>
                <w:b/>
                <w:color w:val="000000" w:themeColor="text1"/>
                <w:sz w:val="20"/>
                <w:szCs w:val="20"/>
                <w:lang w:eastAsia="fr-FR"/>
              </w:rPr>
              <w:t>NRF</w:t>
            </w:r>
          </w:p>
        </w:tc>
        <w:tc>
          <w:tcPr>
            <w:tcW w:w="370" w:type="pct"/>
            <w:vAlign w:val="center"/>
          </w:tcPr>
          <w:p w14:paraId="4CD25779" w14:textId="77777777" w:rsidR="00DB0460" w:rsidRPr="0097258B" w:rsidRDefault="00DB0460" w:rsidP="00E3321E">
            <w:pPr>
              <w:spacing w:after="0" w:line="240" w:lineRule="auto"/>
              <w:jc w:val="both"/>
              <w:rPr>
                <w:rFonts w:ascii="Times New Roman" w:eastAsia="Times New Roman" w:hAnsi="Times New Roman"/>
                <w:b/>
                <w:color w:val="000000" w:themeColor="text1"/>
                <w:sz w:val="20"/>
                <w:szCs w:val="20"/>
                <w:lang w:eastAsia="fr-FR"/>
              </w:rPr>
            </w:pPr>
            <w:r w:rsidRPr="0097258B">
              <w:rPr>
                <w:rFonts w:ascii="Times New Roman" w:eastAsia="Times New Roman" w:hAnsi="Times New Roman"/>
                <w:b/>
                <w:color w:val="000000" w:themeColor="text1"/>
                <w:sz w:val="20"/>
                <w:szCs w:val="20"/>
                <w:lang w:eastAsia="fr-FR"/>
              </w:rPr>
              <w:t>Risques résiduels</w:t>
            </w:r>
          </w:p>
        </w:tc>
        <w:tc>
          <w:tcPr>
            <w:tcW w:w="370" w:type="pct"/>
            <w:vAlign w:val="center"/>
          </w:tcPr>
          <w:p w14:paraId="3C729DC4" w14:textId="77777777" w:rsidR="00DB0460" w:rsidRPr="0097258B" w:rsidRDefault="00DB0460" w:rsidP="00E3321E">
            <w:pPr>
              <w:spacing w:after="0" w:line="240" w:lineRule="auto"/>
              <w:jc w:val="both"/>
              <w:rPr>
                <w:rFonts w:ascii="Times New Roman" w:eastAsia="Times New Roman" w:hAnsi="Times New Roman"/>
                <w:b/>
                <w:color w:val="000000" w:themeColor="text1"/>
                <w:sz w:val="20"/>
                <w:szCs w:val="20"/>
                <w:lang w:eastAsia="fr-FR"/>
              </w:rPr>
            </w:pPr>
            <w:r w:rsidRPr="0097258B">
              <w:rPr>
                <w:rFonts w:ascii="Times New Roman" w:eastAsia="Times New Roman" w:hAnsi="Times New Roman"/>
                <w:b/>
                <w:color w:val="000000" w:themeColor="text1"/>
                <w:sz w:val="20"/>
                <w:szCs w:val="20"/>
                <w:lang w:eastAsia="fr-FR"/>
              </w:rPr>
              <w:t>Cinétique</w:t>
            </w:r>
          </w:p>
        </w:tc>
      </w:tr>
      <w:tr w:rsidR="00BD1A2F" w:rsidRPr="009B46E2" w14:paraId="1716B072" w14:textId="77777777" w:rsidTr="00E3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614"/>
        </w:trPr>
        <w:tc>
          <w:tcPr>
            <w:tcW w:w="5000" w:type="pct"/>
            <w:gridSpan w:val="14"/>
            <w:vAlign w:val="center"/>
          </w:tcPr>
          <w:p w14:paraId="72EA06E0" w14:textId="77777777" w:rsidR="00DB0460" w:rsidRPr="0097258B" w:rsidRDefault="00DB0460" w:rsidP="00E3321E">
            <w:pPr>
              <w:spacing w:after="0" w:line="240" w:lineRule="auto"/>
              <w:jc w:val="center"/>
              <w:rPr>
                <w:rFonts w:ascii="Times New Roman" w:eastAsia="Times New Roman" w:hAnsi="Times New Roman"/>
                <w:b/>
                <w:color w:val="000000" w:themeColor="text1"/>
                <w:sz w:val="20"/>
                <w:szCs w:val="20"/>
                <w:lang w:eastAsia="fr-FR"/>
              </w:rPr>
            </w:pPr>
            <w:r w:rsidRPr="0097258B">
              <w:rPr>
                <w:rFonts w:ascii="Times New Roman" w:eastAsia="Times New Roman" w:hAnsi="Times New Roman"/>
                <w:b/>
                <w:color w:val="000000" w:themeColor="text1"/>
                <w:sz w:val="20"/>
                <w:szCs w:val="20"/>
                <w:lang w:eastAsia="fr-FR"/>
              </w:rPr>
              <w:t>PHASE CONSTRUCTION</w:t>
            </w:r>
          </w:p>
        </w:tc>
      </w:tr>
      <w:tr w:rsidR="00E3321E" w:rsidRPr="009B46E2" w14:paraId="6F141AA0" w14:textId="77777777" w:rsidTr="00E3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35"/>
        </w:trPr>
        <w:tc>
          <w:tcPr>
            <w:tcW w:w="509" w:type="pct"/>
            <w:vAlign w:val="center"/>
          </w:tcPr>
          <w:p w14:paraId="5C7BBCA3"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color w:val="000000" w:themeColor="text1"/>
                <w:sz w:val="20"/>
                <w:szCs w:val="20"/>
              </w:rPr>
            </w:pPr>
            <w:r w:rsidRPr="0097258B">
              <w:rPr>
                <w:rFonts w:ascii="Times New Roman" w:hAnsi="Times New Roman"/>
                <w:color w:val="000000" w:themeColor="text1"/>
                <w:sz w:val="20"/>
                <w:szCs w:val="20"/>
              </w:rPr>
              <w:t>Collision d’engins et/ou de véhicules de chantier</w:t>
            </w:r>
          </w:p>
        </w:tc>
        <w:tc>
          <w:tcPr>
            <w:tcW w:w="509" w:type="pct"/>
            <w:vAlign w:val="center"/>
          </w:tcPr>
          <w:p w14:paraId="12008E09" w14:textId="77777777"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Erreurs opératoires</w:t>
            </w:r>
          </w:p>
          <w:p w14:paraId="3A55BA6C" w14:textId="77777777"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Absence de maintenance</w:t>
            </w:r>
          </w:p>
          <w:p w14:paraId="05DDA232" w14:textId="77777777"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Absence de balise</w:t>
            </w:r>
          </w:p>
        </w:tc>
        <w:tc>
          <w:tcPr>
            <w:tcW w:w="583" w:type="pct"/>
            <w:vAlign w:val="center"/>
          </w:tcPr>
          <w:p w14:paraId="22A40D4A" w14:textId="77777777"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Perte d’équipements</w:t>
            </w:r>
          </w:p>
          <w:p w14:paraId="0A9EA169" w14:textId="77777777"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Blessures</w:t>
            </w:r>
          </w:p>
          <w:p w14:paraId="02A2DE3D" w14:textId="77777777"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Décès</w:t>
            </w:r>
          </w:p>
        </w:tc>
        <w:tc>
          <w:tcPr>
            <w:tcW w:w="185" w:type="pct"/>
            <w:vAlign w:val="center"/>
          </w:tcPr>
          <w:p w14:paraId="3D347A44"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P3</w:t>
            </w:r>
          </w:p>
        </w:tc>
        <w:tc>
          <w:tcPr>
            <w:tcW w:w="185" w:type="pct"/>
            <w:vAlign w:val="center"/>
          </w:tcPr>
          <w:p w14:paraId="21434DB6"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G4</w:t>
            </w:r>
          </w:p>
        </w:tc>
        <w:tc>
          <w:tcPr>
            <w:tcW w:w="187" w:type="pct"/>
            <w:gridSpan w:val="2"/>
            <w:shd w:val="clear" w:color="auto" w:fill="FF0000"/>
            <w:vAlign w:val="center"/>
          </w:tcPr>
          <w:p w14:paraId="2E0902C7"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34</w:t>
            </w:r>
          </w:p>
        </w:tc>
        <w:tc>
          <w:tcPr>
            <w:tcW w:w="689" w:type="pct"/>
            <w:vAlign w:val="center"/>
          </w:tcPr>
          <w:p w14:paraId="2ABC66F5" w14:textId="77777777"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Utiliser des engins certifiés et en bon état</w:t>
            </w:r>
          </w:p>
          <w:p w14:paraId="18C6969B" w14:textId="75AE4274" w:rsidR="00DB0460" w:rsidRPr="0097258B" w:rsidRDefault="005A5E13"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É</w:t>
            </w:r>
            <w:r w:rsidR="00DB0460" w:rsidRPr="0097258B">
              <w:rPr>
                <w:rFonts w:ascii="Times New Roman" w:eastAsia="Cambria" w:hAnsi="Times New Roman"/>
                <w:color w:val="000000" w:themeColor="text1"/>
                <w:sz w:val="20"/>
                <w:szCs w:val="20"/>
              </w:rPr>
              <w:t>tablir un programme de maintenance et d’inspection</w:t>
            </w:r>
          </w:p>
          <w:p w14:paraId="0BAE0FEA" w14:textId="77777777" w:rsidR="00874DDA"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Inspecter visuellement les engins avant usage</w:t>
            </w:r>
          </w:p>
          <w:p w14:paraId="45F33C7F" w14:textId="74DADF1B" w:rsidR="00DB0460" w:rsidRPr="0097258B" w:rsidRDefault="00874DDA" w:rsidP="001748C6">
            <w:pPr>
              <w:numPr>
                <w:ilvl w:val="0"/>
                <w:numId w:val="188"/>
              </w:numPr>
              <w:tabs>
                <w:tab w:val="num" w:pos="503"/>
                <w:tab w:val="num" w:pos="720"/>
              </w:tabs>
              <w:spacing w:after="0" w:line="240" w:lineRule="auto"/>
              <w:jc w:val="both"/>
              <w:rPr>
                <w:rFonts w:ascii="Times New Roman" w:hAnsi="Times New Roman"/>
                <w:color w:val="000000" w:themeColor="text1"/>
                <w:sz w:val="20"/>
                <w:szCs w:val="20"/>
              </w:rPr>
            </w:pPr>
            <w:r w:rsidRPr="0097258B">
              <w:rPr>
                <w:rFonts w:ascii="Times New Roman" w:eastAsia="Cambria" w:hAnsi="Times New Roman"/>
                <w:color w:val="000000" w:themeColor="text1"/>
                <w:sz w:val="20"/>
                <w:szCs w:val="20"/>
              </w:rPr>
              <w:t>Baliser la</w:t>
            </w:r>
            <w:r w:rsidR="00DB0460" w:rsidRPr="0097258B">
              <w:rPr>
                <w:rFonts w:ascii="Times New Roman" w:eastAsia="Cambria" w:hAnsi="Times New Roman"/>
                <w:color w:val="000000" w:themeColor="text1"/>
                <w:sz w:val="20"/>
                <w:szCs w:val="20"/>
              </w:rPr>
              <w:t xml:space="preserve"> zone d’évolution des engins de manutention</w:t>
            </w:r>
          </w:p>
        </w:tc>
        <w:tc>
          <w:tcPr>
            <w:tcW w:w="278" w:type="pct"/>
            <w:vAlign w:val="center"/>
          </w:tcPr>
          <w:p w14:paraId="1F649F84"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P2</w:t>
            </w:r>
          </w:p>
        </w:tc>
        <w:tc>
          <w:tcPr>
            <w:tcW w:w="736" w:type="pct"/>
            <w:vAlign w:val="center"/>
          </w:tcPr>
          <w:p w14:paraId="72485A73" w14:textId="77777777" w:rsidR="00DB0460" w:rsidRPr="0097258B" w:rsidRDefault="00DB0460" w:rsidP="001748C6">
            <w:pPr>
              <w:numPr>
                <w:ilvl w:val="0"/>
                <w:numId w:val="188"/>
              </w:numPr>
              <w:tabs>
                <w:tab w:val="num" w:pos="503"/>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Mettre en œuvre une procédure d’intervention d’urgence</w:t>
            </w:r>
          </w:p>
          <w:p w14:paraId="5CC2E343" w14:textId="77777777" w:rsidR="00DB0460" w:rsidRPr="0097258B" w:rsidRDefault="00DB0460" w:rsidP="00E3321E">
            <w:pPr>
              <w:tabs>
                <w:tab w:val="num" w:pos="503"/>
              </w:tabs>
              <w:spacing w:after="0" w:line="240" w:lineRule="auto"/>
              <w:ind w:left="210"/>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Exiger le port de la ceinture de sécurité</w:t>
            </w:r>
          </w:p>
        </w:tc>
        <w:tc>
          <w:tcPr>
            <w:tcW w:w="167" w:type="pct"/>
            <w:vAlign w:val="center"/>
          </w:tcPr>
          <w:p w14:paraId="3B957A5A"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G3</w:t>
            </w:r>
          </w:p>
        </w:tc>
        <w:tc>
          <w:tcPr>
            <w:tcW w:w="231" w:type="pct"/>
            <w:shd w:val="clear" w:color="auto" w:fill="FFFF00"/>
            <w:vAlign w:val="center"/>
          </w:tcPr>
          <w:p w14:paraId="70838F95"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23</w:t>
            </w:r>
          </w:p>
        </w:tc>
        <w:tc>
          <w:tcPr>
            <w:tcW w:w="370" w:type="pct"/>
            <w:tcBorders>
              <w:bottom w:val="single" w:sz="4" w:space="0" w:color="auto"/>
            </w:tcBorders>
            <w:vAlign w:val="center"/>
          </w:tcPr>
          <w:p w14:paraId="02282C83" w14:textId="77777777" w:rsidR="00DB0460" w:rsidRPr="0097258B" w:rsidRDefault="00DB0460" w:rsidP="00E3321E">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hAnsi="Times New Roman"/>
                <w:color w:val="000000" w:themeColor="text1"/>
                <w:sz w:val="20"/>
                <w:szCs w:val="20"/>
              </w:rPr>
              <w:t>Accident d’engin</w:t>
            </w:r>
          </w:p>
        </w:tc>
        <w:tc>
          <w:tcPr>
            <w:tcW w:w="370" w:type="pct"/>
            <w:tcBorders>
              <w:bottom w:val="single" w:sz="4" w:space="0" w:color="auto"/>
            </w:tcBorders>
            <w:vAlign w:val="center"/>
          </w:tcPr>
          <w:p w14:paraId="5A4047EC" w14:textId="77777777" w:rsidR="00DB0460" w:rsidRPr="0097258B" w:rsidRDefault="00DB0460" w:rsidP="00E3321E">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hAnsi="Times New Roman"/>
                <w:color w:val="000000" w:themeColor="text1"/>
                <w:sz w:val="20"/>
                <w:szCs w:val="20"/>
              </w:rPr>
              <w:t xml:space="preserve">Rapide </w:t>
            </w:r>
          </w:p>
        </w:tc>
      </w:tr>
      <w:tr w:rsidR="00E3321E" w:rsidRPr="009B46E2" w14:paraId="3978CDA7" w14:textId="77777777" w:rsidTr="00E3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35"/>
        </w:trPr>
        <w:tc>
          <w:tcPr>
            <w:tcW w:w="509" w:type="pct"/>
            <w:vAlign w:val="center"/>
          </w:tcPr>
          <w:p w14:paraId="714E6090"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color w:val="000000" w:themeColor="text1"/>
                <w:sz w:val="20"/>
                <w:szCs w:val="20"/>
              </w:rPr>
            </w:pPr>
            <w:r w:rsidRPr="0097258B">
              <w:rPr>
                <w:rFonts w:ascii="Times New Roman" w:hAnsi="Times New Roman"/>
                <w:color w:val="000000" w:themeColor="text1"/>
                <w:sz w:val="20"/>
                <w:szCs w:val="20"/>
              </w:rPr>
              <w:t>Renversement d’engins lourds ou de camions</w:t>
            </w:r>
          </w:p>
        </w:tc>
        <w:tc>
          <w:tcPr>
            <w:tcW w:w="509" w:type="pct"/>
            <w:vAlign w:val="center"/>
          </w:tcPr>
          <w:p w14:paraId="66DB58A4" w14:textId="77777777"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 xml:space="preserve">Instabilité de la structure de base </w:t>
            </w:r>
          </w:p>
          <w:p w14:paraId="07E46DD0" w14:textId="77777777"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Collision entre engin</w:t>
            </w:r>
          </w:p>
          <w:p w14:paraId="61557D0F" w14:textId="77777777"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Erreurs opératoires</w:t>
            </w:r>
          </w:p>
          <w:p w14:paraId="27AB80A4" w14:textId="77777777"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Déséquilibre</w:t>
            </w:r>
          </w:p>
        </w:tc>
        <w:tc>
          <w:tcPr>
            <w:tcW w:w="583" w:type="pct"/>
            <w:vAlign w:val="center"/>
          </w:tcPr>
          <w:p w14:paraId="7972E566" w14:textId="77777777"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Perte d’équipements</w:t>
            </w:r>
          </w:p>
          <w:p w14:paraId="47D76161" w14:textId="77777777"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Blessures</w:t>
            </w:r>
          </w:p>
          <w:p w14:paraId="2CBFB2A9" w14:textId="77777777"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Décès</w:t>
            </w:r>
          </w:p>
        </w:tc>
        <w:tc>
          <w:tcPr>
            <w:tcW w:w="185" w:type="pct"/>
            <w:vAlign w:val="center"/>
          </w:tcPr>
          <w:p w14:paraId="5135D0DD"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P3</w:t>
            </w:r>
          </w:p>
        </w:tc>
        <w:tc>
          <w:tcPr>
            <w:tcW w:w="185" w:type="pct"/>
            <w:vAlign w:val="center"/>
          </w:tcPr>
          <w:p w14:paraId="189A9577"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G4</w:t>
            </w:r>
          </w:p>
        </w:tc>
        <w:tc>
          <w:tcPr>
            <w:tcW w:w="187" w:type="pct"/>
            <w:gridSpan w:val="2"/>
            <w:shd w:val="clear" w:color="auto" w:fill="FF0000"/>
            <w:vAlign w:val="center"/>
          </w:tcPr>
          <w:p w14:paraId="7D64AE46"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34</w:t>
            </w:r>
          </w:p>
        </w:tc>
        <w:tc>
          <w:tcPr>
            <w:tcW w:w="689" w:type="pct"/>
            <w:vAlign w:val="center"/>
          </w:tcPr>
          <w:p w14:paraId="1A7EAE8A" w14:textId="77777777"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 xml:space="preserve">Mettre en place une procédure d’inspection </w:t>
            </w:r>
          </w:p>
          <w:p w14:paraId="08FAA865" w14:textId="77777777"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Former les conducteurs d’engins</w:t>
            </w:r>
          </w:p>
          <w:p w14:paraId="131AF061" w14:textId="77777777"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Mettre en place des panneaux de signalisation</w:t>
            </w:r>
          </w:p>
          <w:p w14:paraId="0B8469DF" w14:textId="3938468A" w:rsidR="00DB0460" w:rsidRPr="0097258B" w:rsidRDefault="005A5E13"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É</w:t>
            </w:r>
            <w:r w:rsidR="00DB0460" w:rsidRPr="0097258B">
              <w:rPr>
                <w:rFonts w:ascii="Times New Roman" w:eastAsia="Cambria" w:hAnsi="Times New Roman"/>
                <w:color w:val="000000" w:themeColor="text1"/>
                <w:sz w:val="20"/>
                <w:szCs w:val="20"/>
              </w:rPr>
              <w:t>tablir un plan de circulation</w:t>
            </w:r>
          </w:p>
        </w:tc>
        <w:tc>
          <w:tcPr>
            <w:tcW w:w="278" w:type="pct"/>
            <w:vAlign w:val="center"/>
          </w:tcPr>
          <w:p w14:paraId="71DE3F10"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P1</w:t>
            </w:r>
          </w:p>
        </w:tc>
        <w:tc>
          <w:tcPr>
            <w:tcW w:w="736" w:type="pct"/>
            <w:vAlign w:val="center"/>
          </w:tcPr>
          <w:p w14:paraId="51ADB185" w14:textId="77777777" w:rsidR="00DB0460" w:rsidRPr="0097258B" w:rsidRDefault="00DB0460" w:rsidP="00E3321E">
            <w:pPr>
              <w:tabs>
                <w:tab w:val="num" w:pos="503"/>
              </w:tabs>
              <w:spacing w:after="0" w:line="240" w:lineRule="auto"/>
              <w:ind w:left="210"/>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Mettre en œuvre une procédure d’intervention d’urgence</w:t>
            </w:r>
          </w:p>
          <w:p w14:paraId="3F9E925E" w14:textId="77777777" w:rsidR="00FF25CF" w:rsidRPr="0097258B" w:rsidRDefault="00FF25CF" w:rsidP="0097258B">
            <w:pPr>
              <w:rPr>
                <w:rFonts w:ascii="Times New Roman" w:eastAsia="Cambria" w:hAnsi="Times New Roman"/>
                <w:sz w:val="20"/>
                <w:szCs w:val="20"/>
              </w:rPr>
            </w:pPr>
          </w:p>
          <w:p w14:paraId="667E138E" w14:textId="77777777" w:rsidR="00FF25CF" w:rsidRPr="0097258B" w:rsidRDefault="00FF25CF" w:rsidP="0097258B">
            <w:pPr>
              <w:rPr>
                <w:rFonts w:ascii="Times New Roman" w:eastAsia="Cambria" w:hAnsi="Times New Roman"/>
                <w:sz w:val="20"/>
                <w:szCs w:val="20"/>
              </w:rPr>
            </w:pPr>
          </w:p>
          <w:p w14:paraId="441090E1" w14:textId="77777777" w:rsidR="00FF25CF" w:rsidRPr="0097258B" w:rsidRDefault="00FF25CF" w:rsidP="0097258B">
            <w:pPr>
              <w:rPr>
                <w:rFonts w:ascii="Times New Roman" w:eastAsia="Cambria" w:hAnsi="Times New Roman"/>
                <w:sz w:val="20"/>
                <w:szCs w:val="20"/>
              </w:rPr>
            </w:pPr>
          </w:p>
          <w:p w14:paraId="7E6C2D60" w14:textId="77777777" w:rsidR="00FF25CF" w:rsidRPr="0097258B" w:rsidRDefault="00FF25CF" w:rsidP="00FF25CF">
            <w:pPr>
              <w:rPr>
                <w:rFonts w:ascii="Times New Roman" w:eastAsia="Cambria" w:hAnsi="Times New Roman"/>
                <w:color w:val="000000" w:themeColor="text1"/>
                <w:sz w:val="20"/>
                <w:szCs w:val="20"/>
              </w:rPr>
            </w:pPr>
          </w:p>
          <w:p w14:paraId="383638EE" w14:textId="77777777" w:rsidR="00FF25CF" w:rsidRPr="0097258B" w:rsidRDefault="00FF25CF" w:rsidP="00FF25CF">
            <w:pPr>
              <w:rPr>
                <w:rFonts w:ascii="Times New Roman" w:eastAsia="Cambria" w:hAnsi="Times New Roman"/>
                <w:sz w:val="20"/>
                <w:szCs w:val="20"/>
              </w:rPr>
            </w:pPr>
          </w:p>
          <w:p w14:paraId="76264BB6" w14:textId="77777777" w:rsidR="00FF25CF" w:rsidRPr="0097258B" w:rsidRDefault="00FF25CF" w:rsidP="0097258B">
            <w:pPr>
              <w:rPr>
                <w:rFonts w:ascii="Times New Roman" w:eastAsia="Cambria" w:hAnsi="Times New Roman"/>
                <w:sz w:val="20"/>
                <w:szCs w:val="20"/>
              </w:rPr>
            </w:pPr>
          </w:p>
        </w:tc>
        <w:tc>
          <w:tcPr>
            <w:tcW w:w="167" w:type="pct"/>
            <w:vAlign w:val="center"/>
          </w:tcPr>
          <w:p w14:paraId="36336B8C"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G4</w:t>
            </w:r>
          </w:p>
        </w:tc>
        <w:tc>
          <w:tcPr>
            <w:tcW w:w="231" w:type="pct"/>
            <w:shd w:val="clear" w:color="auto" w:fill="FFFF00"/>
            <w:vAlign w:val="center"/>
          </w:tcPr>
          <w:p w14:paraId="6DB19905"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14</w:t>
            </w:r>
          </w:p>
        </w:tc>
        <w:tc>
          <w:tcPr>
            <w:tcW w:w="370" w:type="pct"/>
            <w:tcBorders>
              <w:bottom w:val="single" w:sz="4" w:space="0" w:color="auto"/>
            </w:tcBorders>
            <w:vAlign w:val="center"/>
          </w:tcPr>
          <w:p w14:paraId="514859BD" w14:textId="77777777" w:rsidR="00DB0460" w:rsidRPr="0097258B" w:rsidRDefault="00DB0460" w:rsidP="00E3321E">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hAnsi="Times New Roman"/>
                <w:color w:val="000000" w:themeColor="text1"/>
                <w:sz w:val="20"/>
                <w:szCs w:val="20"/>
              </w:rPr>
              <w:t>Accidents d’engins</w:t>
            </w:r>
          </w:p>
        </w:tc>
        <w:tc>
          <w:tcPr>
            <w:tcW w:w="370" w:type="pct"/>
            <w:tcBorders>
              <w:bottom w:val="single" w:sz="4" w:space="0" w:color="auto"/>
            </w:tcBorders>
            <w:vAlign w:val="center"/>
          </w:tcPr>
          <w:p w14:paraId="5FA78A7D" w14:textId="77777777" w:rsidR="00DB0460" w:rsidRPr="0097258B" w:rsidRDefault="00DB0460" w:rsidP="00E3321E">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hAnsi="Times New Roman"/>
                <w:color w:val="000000" w:themeColor="text1"/>
                <w:sz w:val="20"/>
                <w:szCs w:val="20"/>
              </w:rPr>
              <w:t xml:space="preserve">Rapide </w:t>
            </w:r>
          </w:p>
        </w:tc>
      </w:tr>
      <w:tr w:rsidR="00E3321E" w:rsidRPr="009B46E2" w14:paraId="5E7185D0" w14:textId="77777777" w:rsidTr="00E3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35"/>
        </w:trPr>
        <w:tc>
          <w:tcPr>
            <w:tcW w:w="509" w:type="pct"/>
            <w:vAlign w:val="center"/>
          </w:tcPr>
          <w:p w14:paraId="6A765D40"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lastRenderedPageBreak/>
              <w:t xml:space="preserve">Accident lors de la manutention mécanique </w:t>
            </w:r>
          </w:p>
        </w:tc>
        <w:tc>
          <w:tcPr>
            <w:tcW w:w="509" w:type="pct"/>
            <w:vAlign w:val="center"/>
          </w:tcPr>
          <w:p w14:paraId="59E45B6E" w14:textId="77777777"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 xml:space="preserve">Mauvais arrimage, </w:t>
            </w:r>
          </w:p>
          <w:p w14:paraId="28947C7B" w14:textId="77777777"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Inadéquation du matériel,</w:t>
            </w:r>
          </w:p>
          <w:p w14:paraId="63783547" w14:textId="28A52F7E"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 xml:space="preserve">Absence de </w:t>
            </w:r>
            <w:r w:rsidR="00874DDA" w:rsidRPr="0097258B">
              <w:rPr>
                <w:rFonts w:ascii="Times New Roman" w:eastAsia="Cambria" w:hAnsi="Times New Roman"/>
                <w:color w:val="000000" w:themeColor="text1"/>
                <w:sz w:val="20"/>
                <w:szCs w:val="20"/>
              </w:rPr>
              <w:t>signalisation</w:t>
            </w:r>
          </w:p>
          <w:p w14:paraId="15A0C049" w14:textId="77777777" w:rsidR="00DB0460" w:rsidRPr="0097258B" w:rsidRDefault="00DB0460" w:rsidP="001748C6">
            <w:pPr>
              <w:numPr>
                <w:ilvl w:val="0"/>
                <w:numId w:val="188"/>
              </w:numPr>
              <w:tabs>
                <w:tab w:val="num" w:pos="503"/>
                <w:tab w:val="num" w:pos="720"/>
              </w:tabs>
              <w:spacing w:after="0" w:line="240" w:lineRule="auto"/>
              <w:jc w:val="both"/>
              <w:rPr>
                <w:rFonts w:ascii="Times New Roman" w:hAnsi="Times New Roman"/>
                <w:color w:val="000000" w:themeColor="text1"/>
                <w:sz w:val="20"/>
                <w:szCs w:val="20"/>
              </w:rPr>
            </w:pPr>
            <w:r w:rsidRPr="0097258B">
              <w:rPr>
                <w:rFonts w:ascii="Times New Roman" w:eastAsia="Cambria" w:hAnsi="Times New Roman"/>
                <w:color w:val="000000" w:themeColor="text1"/>
                <w:sz w:val="20"/>
                <w:szCs w:val="20"/>
              </w:rPr>
              <w:t>Défaillance mécanique des engins/camions</w:t>
            </w:r>
          </w:p>
        </w:tc>
        <w:tc>
          <w:tcPr>
            <w:tcW w:w="583" w:type="pct"/>
            <w:vAlign w:val="center"/>
          </w:tcPr>
          <w:p w14:paraId="52FD5BAD" w14:textId="22627473"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Chute de charges,</w:t>
            </w:r>
          </w:p>
          <w:p w14:paraId="5CB2EDAA" w14:textId="1F93BE0E"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Pertes d’équipements,</w:t>
            </w:r>
          </w:p>
          <w:p w14:paraId="57546939" w14:textId="420AF03E"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Collision d’engins/camions,</w:t>
            </w:r>
          </w:p>
          <w:p w14:paraId="5C55A112" w14:textId="3A6F4F03"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Renversement d’engin</w:t>
            </w:r>
          </w:p>
        </w:tc>
        <w:tc>
          <w:tcPr>
            <w:tcW w:w="185" w:type="pct"/>
            <w:vAlign w:val="center"/>
          </w:tcPr>
          <w:p w14:paraId="5C1128EC"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P3</w:t>
            </w:r>
          </w:p>
        </w:tc>
        <w:tc>
          <w:tcPr>
            <w:tcW w:w="185" w:type="pct"/>
            <w:vAlign w:val="center"/>
          </w:tcPr>
          <w:p w14:paraId="195BC977"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G3</w:t>
            </w:r>
          </w:p>
        </w:tc>
        <w:tc>
          <w:tcPr>
            <w:tcW w:w="187" w:type="pct"/>
            <w:gridSpan w:val="2"/>
            <w:shd w:val="clear" w:color="auto" w:fill="FFFF00"/>
            <w:vAlign w:val="center"/>
          </w:tcPr>
          <w:p w14:paraId="714CAB00"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33</w:t>
            </w:r>
          </w:p>
        </w:tc>
        <w:tc>
          <w:tcPr>
            <w:tcW w:w="689" w:type="pct"/>
            <w:vAlign w:val="center"/>
          </w:tcPr>
          <w:p w14:paraId="254917DC" w14:textId="77777777"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Veiller à la conformité et à la vérification technique des équipements,</w:t>
            </w:r>
          </w:p>
          <w:p w14:paraId="00252C51" w14:textId="77777777"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Entretenir régulièrement les équipements,</w:t>
            </w:r>
          </w:p>
          <w:p w14:paraId="2D21C74A" w14:textId="77777777"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Mettre en place une signalisation et des règles de circulation,</w:t>
            </w:r>
          </w:p>
          <w:p w14:paraId="03E72DA4" w14:textId="77777777"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Former les conducteurs sur l’utilisation des équipements de manutention,</w:t>
            </w:r>
          </w:p>
          <w:p w14:paraId="4578C3D9" w14:textId="77777777" w:rsidR="00E3321E"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Mettre en place des procédures d’arrimage,</w:t>
            </w:r>
          </w:p>
          <w:p w14:paraId="4FF329DA" w14:textId="681D41F8"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Utiliser des engins adaptés aux objets manutentionnés</w:t>
            </w:r>
          </w:p>
        </w:tc>
        <w:tc>
          <w:tcPr>
            <w:tcW w:w="278" w:type="pct"/>
            <w:vAlign w:val="center"/>
          </w:tcPr>
          <w:p w14:paraId="3E99731A"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P2</w:t>
            </w:r>
          </w:p>
        </w:tc>
        <w:tc>
          <w:tcPr>
            <w:tcW w:w="736" w:type="pct"/>
            <w:vAlign w:val="center"/>
          </w:tcPr>
          <w:p w14:paraId="1FE17D4C" w14:textId="1A116BDD" w:rsidR="00DB0460" w:rsidRPr="0097258B" w:rsidRDefault="00874DDA" w:rsidP="00E3321E">
            <w:pPr>
              <w:tabs>
                <w:tab w:val="num" w:pos="503"/>
              </w:tabs>
              <w:spacing w:after="0" w:line="240" w:lineRule="auto"/>
              <w:ind w:left="210"/>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Mettre en</w:t>
            </w:r>
            <w:r w:rsidR="00DB0460" w:rsidRPr="0097258B">
              <w:rPr>
                <w:rFonts w:ascii="Times New Roman" w:eastAsia="Cambria" w:hAnsi="Times New Roman"/>
                <w:color w:val="000000" w:themeColor="text1"/>
                <w:sz w:val="20"/>
                <w:szCs w:val="20"/>
              </w:rPr>
              <w:t xml:space="preserve"> œuvre les moyens d’intervention</w:t>
            </w:r>
          </w:p>
        </w:tc>
        <w:tc>
          <w:tcPr>
            <w:tcW w:w="167" w:type="pct"/>
            <w:vAlign w:val="center"/>
          </w:tcPr>
          <w:p w14:paraId="28907FB6"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G3</w:t>
            </w:r>
          </w:p>
        </w:tc>
        <w:tc>
          <w:tcPr>
            <w:tcW w:w="231" w:type="pct"/>
            <w:shd w:val="clear" w:color="auto" w:fill="00B050"/>
            <w:vAlign w:val="center"/>
          </w:tcPr>
          <w:p w14:paraId="4A803E4F"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23</w:t>
            </w:r>
          </w:p>
        </w:tc>
        <w:tc>
          <w:tcPr>
            <w:tcW w:w="370" w:type="pct"/>
            <w:tcBorders>
              <w:bottom w:val="single" w:sz="4" w:space="0" w:color="auto"/>
            </w:tcBorders>
            <w:vAlign w:val="center"/>
          </w:tcPr>
          <w:p w14:paraId="34E34AB2" w14:textId="77777777" w:rsidR="00DB0460" w:rsidRPr="0097258B" w:rsidRDefault="00DB0460" w:rsidP="00E3321E">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Cambria" w:hAnsi="Times New Roman"/>
                <w:color w:val="000000" w:themeColor="text1"/>
                <w:sz w:val="20"/>
                <w:szCs w:val="20"/>
              </w:rPr>
              <w:t>Accident d’engin</w:t>
            </w:r>
          </w:p>
        </w:tc>
        <w:tc>
          <w:tcPr>
            <w:tcW w:w="370" w:type="pct"/>
            <w:tcBorders>
              <w:bottom w:val="single" w:sz="4" w:space="0" w:color="auto"/>
            </w:tcBorders>
            <w:vAlign w:val="center"/>
          </w:tcPr>
          <w:p w14:paraId="0EB55B05" w14:textId="77777777" w:rsidR="00DB0460" w:rsidRPr="0097258B" w:rsidRDefault="00DB0460" w:rsidP="00E3321E">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Cambria" w:hAnsi="Times New Roman"/>
                <w:color w:val="000000" w:themeColor="text1"/>
                <w:sz w:val="20"/>
                <w:szCs w:val="20"/>
              </w:rPr>
              <w:t xml:space="preserve">Rapide </w:t>
            </w:r>
          </w:p>
        </w:tc>
      </w:tr>
      <w:tr w:rsidR="00E3321E" w:rsidRPr="009B46E2" w14:paraId="6EE664A7" w14:textId="77777777" w:rsidTr="00E3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35"/>
        </w:trPr>
        <w:tc>
          <w:tcPr>
            <w:tcW w:w="509" w:type="pct"/>
            <w:vAlign w:val="center"/>
          </w:tcPr>
          <w:p w14:paraId="442762D7"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Incendie au niveau d’un engin</w:t>
            </w:r>
          </w:p>
        </w:tc>
        <w:tc>
          <w:tcPr>
            <w:tcW w:w="509" w:type="pct"/>
            <w:vAlign w:val="center"/>
          </w:tcPr>
          <w:p w14:paraId="3607A99F" w14:textId="7418D120" w:rsidR="00DB0460" w:rsidRPr="0097258B" w:rsidRDefault="00DB0460" w:rsidP="00E3321E">
            <w:pPr>
              <w:tabs>
                <w:tab w:val="num" w:pos="503"/>
              </w:tabs>
              <w:autoSpaceDE w:val="0"/>
              <w:autoSpaceDN w:val="0"/>
              <w:adjustRightInd w:val="0"/>
              <w:spacing w:after="0" w:line="240" w:lineRule="auto"/>
              <w:ind w:left="210"/>
              <w:jc w:val="both"/>
              <w:rPr>
                <w:rFonts w:ascii="Times New Roman" w:eastAsia="Cambria" w:hAnsi="Times New Roman"/>
                <w:color w:val="000000" w:themeColor="text1"/>
                <w:sz w:val="20"/>
                <w:szCs w:val="20"/>
              </w:rPr>
            </w:pPr>
            <w:r w:rsidRPr="0097258B">
              <w:rPr>
                <w:rFonts w:ascii="Times New Roman" w:hAnsi="Times New Roman"/>
                <w:color w:val="000000" w:themeColor="text1"/>
                <w:sz w:val="20"/>
                <w:szCs w:val="20"/>
              </w:rPr>
              <w:t xml:space="preserve">Court-circuit </w:t>
            </w:r>
            <w:r w:rsidR="00874DDA" w:rsidRPr="0097258B">
              <w:rPr>
                <w:rFonts w:ascii="Times New Roman" w:hAnsi="Times New Roman"/>
                <w:color w:val="000000" w:themeColor="text1"/>
                <w:sz w:val="20"/>
                <w:szCs w:val="20"/>
              </w:rPr>
              <w:t>électrique de</w:t>
            </w:r>
            <w:r w:rsidRPr="0097258B">
              <w:rPr>
                <w:rFonts w:ascii="Times New Roman" w:hAnsi="Times New Roman"/>
                <w:color w:val="000000" w:themeColor="text1"/>
                <w:sz w:val="20"/>
                <w:szCs w:val="20"/>
              </w:rPr>
              <w:t xml:space="preserve"> l’alimentation électrique</w:t>
            </w:r>
          </w:p>
        </w:tc>
        <w:tc>
          <w:tcPr>
            <w:tcW w:w="583" w:type="pct"/>
            <w:vAlign w:val="center"/>
          </w:tcPr>
          <w:p w14:paraId="5F031898" w14:textId="77777777" w:rsidR="00DB0460" w:rsidRPr="0097258B" w:rsidRDefault="00DB0460" w:rsidP="001748C6">
            <w:pPr>
              <w:numPr>
                <w:ilvl w:val="0"/>
                <w:numId w:val="188"/>
              </w:numPr>
              <w:autoSpaceDE w:val="0"/>
              <w:autoSpaceDN w:val="0"/>
              <w:adjustRightInd w:val="0"/>
              <w:spacing w:after="0" w:line="240" w:lineRule="auto"/>
              <w:ind w:left="0" w:hanging="141"/>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Brulures de personnes,</w:t>
            </w:r>
          </w:p>
          <w:p w14:paraId="14D36546" w14:textId="77777777" w:rsidR="00DB0460" w:rsidRPr="0097258B" w:rsidRDefault="00DB0460" w:rsidP="001748C6">
            <w:pPr>
              <w:numPr>
                <w:ilvl w:val="0"/>
                <w:numId w:val="188"/>
              </w:numPr>
              <w:autoSpaceDE w:val="0"/>
              <w:autoSpaceDN w:val="0"/>
              <w:adjustRightInd w:val="0"/>
              <w:spacing w:after="0" w:line="240" w:lineRule="auto"/>
              <w:ind w:left="0" w:hanging="141"/>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Pollution des sols due aux eaux d’extinction incendie</w:t>
            </w:r>
          </w:p>
        </w:tc>
        <w:tc>
          <w:tcPr>
            <w:tcW w:w="185" w:type="pct"/>
            <w:vAlign w:val="center"/>
          </w:tcPr>
          <w:p w14:paraId="0CE0F10B"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P3</w:t>
            </w:r>
          </w:p>
        </w:tc>
        <w:tc>
          <w:tcPr>
            <w:tcW w:w="185" w:type="pct"/>
            <w:vAlign w:val="center"/>
          </w:tcPr>
          <w:p w14:paraId="2C8BF8D5"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G3</w:t>
            </w:r>
          </w:p>
        </w:tc>
        <w:tc>
          <w:tcPr>
            <w:tcW w:w="187" w:type="pct"/>
            <w:gridSpan w:val="2"/>
            <w:shd w:val="clear" w:color="auto" w:fill="FFFF00"/>
            <w:vAlign w:val="center"/>
          </w:tcPr>
          <w:p w14:paraId="10D5C1F2"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33</w:t>
            </w:r>
          </w:p>
        </w:tc>
        <w:tc>
          <w:tcPr>
            <w:tcW w:w="689" w:type="pct"/>
            <w:vAlign w:val="center"/>
          </w:tcPr>
          <w:p w14:paraId="737E2E16" w14:textId="77777777" w:rsidR="00DB0460" w:rsidRPr="0097258B" w:rsidRDefault="00DB0460" w:rsidP="001748C6">
            <w:pPr>
              <w:numPr>
                <w:ilvl w:val="0"/>
                <w:numId w:val="188"/>
              </w:num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Entretien régulier des installations,</w:t>
            </w:r>
          </w:p>
          <w:p w14:paraId="4ABB05A4" w14:textId="77777777" w:rsidR="00DB0460" w:rsidRPr="0097258B" w:rsidRDefault="00DB0460" w:rsidP="00E3321E">
            <w:pPr>
              <w:tabs>
                <w:tab w:val="num" w:pos="503"/>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Prévoir des extincteurs pour la lutte contre l’incendie</w:t>
            </w:r>
          </w:p>
        </w:tc>
        <w:tc>
          <w:tcPr>
            <w:tcW w:w="278" w:type="pct"/>
            <w:vAlign w:val="center"/>
          </w:tcPr>
          <w:p w14:paraId="03D443F7"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P2</w:t>
            </w:r>
          </w:p>
        </w:tc>
        <w:tc>
          <w:tcPr>
            <w:tcW w:w="736" w:type="pct"/>
            <w:vAlign w:val="center"/>
          </w:tcPr>
          <w:p w14:paraId="014016FA" w14:textId="77777777" w:rsidR="00DB0460" w:rsidRPr="0097258B" w:rsidRDefault="00DB0460" w:rsidP="001748C6">
            <w:pPr>
              <w:numPr>
                <w:ilvl w:val="0"/>
                <w:numId w:val="188"/>
              </w:numPr>
              <w:tabs>
                <w:tab w:val="num" w:pos="503"/>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Mettre en œuvre les mesures de lutte contre l’incendie,</w:t>
            </w:r>
          </w:p>
          <w:p w14:paraId="12BE29CC" w14:textId="77777777" w:rsidR="00DB0460" w:rsidRPr="0097258B" w:rsidRDefault="00DB0460" w:rsidP="00E3321E">
            <w:pPr>
              <w:tabs>
                <w:tab w:val="num" w:pos="503"/>
              </w:tabs>
              <w:spacing w:after="0" w:line="240" w:lineRule="auto"/>
              <w:ind w:left="210"/>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Mettre en place un dispositif de récupération des eaux d’extinction</w:t>
            </w:r>
          </w:p>
        </w:tc>
        <w:tc>
          <w:tcPr>
            <w:tcW w:w="167" w:type="pct"/>
            <w:vAlign w:val="center"/>
          </w:tcPr>
          <w:p w14:paraId="24563AB3"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P2</w:t>
            </w:r>
          </w:p>
        </w:tc>
        <w:tc>
          <w:tcPr>
            <w:tcW w:w="231" w:type="pct"/>
            <w:shd w:val="clear" w:color="auto" w:fill="00B050"/>
            <w:vAlign w:val="center"/>
          </w:tcPr>
          <w:p w14:paraId="1B169DDD"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22</w:t>
            </w:r>
          </w:p>
        </w:tc>
        <w:tc>
          <w:tcPr>
            <w:tcW w:w="370" w:type="pct"/>
            <w:tcBorders>
              <w:bottom w:val="single" w:sz="4" w:space="0" w:color="auto"/>
            </w:tcBorders>
            <w:vAlign w:val="center"/>
          </w:tcPr>
          <w:p w14:paraId="4DB2E54A" w14:textId="77777777" w:rsidR="00DB0460" w:rsidRPr="0097258B" w:rsidRDefault="00DB0460" w:rsidP="00E3321E">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Cambria" w:hAnsi="Times New Roman"/>
                <w:color w:val="000000" w:themeColor="text1"/>
                <w:sz w:val="20"/>
                <w:szCs w:val="20"/>
              </w:rPr>
              <w:t>Défaillance électrique au niveau des engins</w:t>
            </w:r>
          </w:p>
        </w:tc>
        <w:tc>
          <w:tcPr>
            <w:tcW w:w="370" w:type="pct"/>
            <w:tcBorders>
              <w:bottom w:val="single" w:sz="4" w:space="0" w:color="auto"/>
            </w:tcBorders>
            <w:vAlign w:val="center"/>
          </w:tcPr>
          <w:p w14:paraId="63131A57" w14:textId="77777777" w:rsidR="00DB0460" w:rsidRPr="0097258B" w:rsidRDefault="00DB0460" w:rsidP="00E3321E">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Cambria" w:hAnsi="Times New Roman"/>
                <w:color w:val="000000" w:themeColor="text1"/>
                <w:sz w:val="20"/>
                <w:szCs w:val="20"/>
              </w:rPr>
              <w:t xml:space="preserve">Rapide </w:t>
            </w:r>
          </w:p>
        </w:tc>
      </w:tr>
      <w:tr w:rsidR="00BD1A2F" w:rsidRPr="009B46E2" w14:paraId="61A6C542" w14:textId="77777777" w:rsidTr="00E3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06"/>
        </w:trPr>
        <w:tc>
          <w:tcPr>
            <w:tcW w:w="5000" w:type="pct"/>
            <w:gridSpan w:val="14"/>
            <w:vAlign w:val="center"/>
          </w:tcPr>
          <w:p w14:paraId="17B04DD6" w14:textId="77777777" w:rsidR="00DB0460" w:rsidRPr="0097258B" w:rsidRDefault="00DB0460" w:rsidP="00E3321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b/>
                <w:color w:val="000000" w:themeColor="text1"/>
                <w:sz w:val="20"/>
                <w:szCs w:val="20"/>
                <w:lang w:eastAsia="fr-FR"/>
              </w:rPr>
              <w:t>PHASE EXPLOITATION</w:t>
            </w:r>
          </w:p>
        </w:tc>
      </w:tr>
      <w:tr w:rsidR="00E3321E" w:rsidRPr="009B46E2" w14:paraId="75099BD2" w14:textId="77777777" w:rsidTr="00E3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35"/>
        </w:trPr>
        <w:tc>
          <w:tcPr>
            <w:tcW w:w="509" w:type="pct"/>
            <w:tcBorders>
              <w:top w:val="single" w:sz="4" w:space="0" w:color="auto"/>
              <w:left w:val="single" w:sz="4" w:space="0" w:color="auto"/>
              <w:bottom w:val="single" w:sz="4" w:space="0" w:color="auto"/>
              <w:right w:val="single" w:sz="4" w:space="0" w:color="auto"/>
            </w:tcBorders>
          </w:tcPr>
          <w:p w14:paraId="55EA6FDC" w14:textId="77777777" w:rsidR="00DB0460" w:rsidRPr="0097258B" w:rsidRDefault="00DB0460" w:rsidP="00E3321E">
            <w:pPr>
              <w:tabs>
                <w:tab w:val="num" w:pos="72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lastRenderedPageBreak/>
              <w:t>Eaux stagnantes aux abords des bassins</w:t>
            </w:r>
          </w:p>
        </w:tc>
        <w:tc>
          <w:tcPr>
            <w:tcW w:w="509" w:type="pct"/>
            <w:tcBorders>
              <w:top w:val="single" w:sz="4" w:space="0" w:color="auto"/>
              <w:left w:val="single" w:sz="4" w:space="0" w:color="auto"/>
              <w:bottom w:val="single" w:sz="4" w:space="0" w:color="auto"/>
              <w:right w:val="single" w:sz="4" w:space="0" w:color="auto"/>
            </w:tcBorders>
          </w:tcPr>
          <w:p w14:paraId="1DD22091" w14:textId="77777777" w:rsidR="00DB0460" w:rsidRPr="0097258B" w:rsidRDefault="00DB0460" w:rsidP="001748C6">
            <w:pPr>
              <w:numPr>
                <w:ilvl w:val="0"/>
                <w:numId w:val="193"/>
              </w:numPr>
              <w:tabs>
                <w:tab w:val="num" w:pos="210"/>
                <w:tab w:val="num" w:pos="503"/>
              </w:tabs>
              <w:autoSpaceDE w:val="0"/>
              <w:autoSpaceDN w:val="0"/>
              <w:adjustRightInd w:val="0"/>
              <w:spacing w:after="0" w:line="240" w:lineRule="auto"/>
              <w:ind w:left="210" w:hanging="210"/>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Absence d’entretien</w:t>
            </w:r>
          </w:p>
        </w:tc>
        <w:tc>
          <w:tcPr>
            <w:tcW w:w="583" w:type="pct"/>
            <w:tcBorders>
              <w:top w:val="single" w:sz="4" w:space="0" w:color="auto"/>
              <w:left w:val="single" w:sz="4" w:space="0" w:color="auto"/>
              <w:bottom w:val="single" w:sz="4" w:space="0" w:color="auto"/>
              <w:right w:val="single" w:sz="4" w:space="0" w:color="auto"/>
            </w:tcBorders>
            <w:vAlign w:val="center"/>
          </w:tcPr>
          <w:p w14:paraId="213825C2" w14:textId="77777777" w:rsidR="00DB0460" w:rsidRPr="0097258B" w:rsidRDefault="00DB0460" w:rsidP="001748C6">
            <w:pPr>
              <w:numPr>
                <w:ilvl w:val="0"/>
                <w:numId w:val="193"/>
              </w:numPr>
              <w:tabs>
                <w:tab w:val="num" w:pos="210"/>
                <w:tab w:val="num" w:pos="503"/>
              </w:tabs>
              <w:autoSpaceDE w:val="0"/>
              <w:autoSpaceDN w:val="0"/>
              <w:adjustRightInd w:val="0"/>
              <w:spacing w:after="0" w:line="240" w:lineRule="auto"/>
              <w:ind w:left="210" w:hanging="210"/>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Glissade</w:t>
            </w:r>
          </w:p>
          <w:p w14:paraId="020D371B" w14:textId="77777777" w:rsidR="00DB0460" w:rsidRPr="0097258B" w:rsidRDefault="00DB0460" w:rsidP="001748C6">
            <w:pPr>
              <w:numPr>
                <w:ilvl w:val="0"/>
                <w:numId w:val="193"/>
              </w:numPr>
              <w:tabs>
                <w:tab w:val="num" w:pos="210"/>
                <w:tab w:val="num" w:pos="503"/>
              </w:tabs>
              <w:autoSpaceDE w:val="0"/>
              <w:autoSpaceDN w:val="0"/>
              <w:adjustRightInd w:val="0"/>
              <w:spacing w:after="0" w:line="240" w:lineRule="auto"/>
              <w:ind w:left="210" w:hanging="210"/>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Contamination du sol</w:t>
            </w:r>
          </w:p>
          <w:p w14:paraId="5007C00E" w14:textId="77777777" w:rsidR="00DB0460" w:rsidRPr="0097258B" w:rsidRDefault="00DB0460" w:rsidP="001748C6">
            <w:pPr>
              <w:numPr>
                <w:ilvl w:val="0"/>
                <w:numId w:val="193"/>
              </w:numPr>
              <w:tabs>
                <w:tab w:val="num" w:pos="210"/>
                <w:tab w:val="num" w:pos="503"/>
              </w:tabs>
              <w:autoSpaceDE w:val="0"/>
              <w:autoSpaceDN w:val="0"/>
              <w:adjustRightInd w:val="0"/>
              <w:spacing w:after="0" w:line="240" w:lineRule="auto"/>
              <w:ind w:left="210" w:hanging="210"/>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Mauvaise odeur</w:t>
            </w:r>
          </w:p>
          <w:p w14:paraId="545FAA3C" w14:textId="77777777" w:rsidR="00DB0460" w:rsidRPr="0097258B" w:rsidRDefault="00DB0460" w:rsidP="001748C6">
            <w:pPr>
              <w:numPr>
                <w:ilvl w:val="0"/>
                <w:numId w:val="193"/>
              </w:numPr>
              <w:tabs>
                <w:tab w:val="num" w:pos="210"/>
                <w:tab w:val="num" w:pos="503"/>
              </w:tabs>
              <w:autoSpaceDE w:val="0"/>
              <w:autoSpaceDN w:val="0"/>
              <w:adjustRightInd w:val="0"/>
              <w:spacing w:after="0" w:line="240" w:lineRule="auto"/>
              <w:ind w:left="210" w:hanging="210"/>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Noyade en cas de chute</w:t>
            </w:r>
          </w:p>
        </w:tc>
        <w:tc>
          <w:tcPr>
            <w:tcW w:w="185" w:type="pct"/>
            <w:tcBorders>
              <w:top w:val="single" w:sz="4" w:space="0" w:color="auto"/>
              <w:left w:val="single" w:sz="4" w:space="0" w:color="auto"/>
              <w:bottom w:val="single" w:sz="4" w:space="0" w:color="auto"/>
              <w:right w:val="single" w:sz="4" w:space="0" w:color="auto"/>
            </w:tcBorders>
            <w:vAlign w:val="center"/>
          </w:tcPr>
          <w:p w14:paraId="7512A5C5" w14:textId="77777777" w:rsidR="00DB0460" w:rsidRPr="0097258B" w:rsidRDefault="00DB0460" w:rsidP="00E3321E">
            <w:pPr>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P3</w:t>
            </w:r>
          </w:p>
        </w:tc>
        <w:tc>
          <w:tcPr>
            <w:tcW w:w="185" w:type="pct"/>
            <w:tcBorders>
              <w:top w:val="single" w:sz="4" w:space="0" w:color="auto"/>
              <w:left w:val="single" w:sz="4" w:space="0" w:color="auto"/>
              <w:bottom w:val="single" w:sz="4" w:space="0" w:color="auto"/>
              <w:right w:val="single" w:sz="4" w:space="0" w:color="auto"/>
            </w:tcBorders>
            <w:vAlign w:val="center"/>
          </w:tcPr>
          <w:p w14:paraId="676E7EEF" w14:textId="77777777" w:rsidR="00DB0460" w:rsidRPr="0097258B" w:rsidRDefault="00DB0460" w:rsidP="00E3321E">
            <w:pPr>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G3</w:t>
            </w:r>
          </w:p>
        </w:tc>
        <w:tc>
          <w:tcPr>
            <w:tcW w:w="184" w:type="pct"/>
            <w:tcBorders>
              <w:top w:val="single" w:sz="4" w:space="0" w:color="auto"/>
              <w:left w:val="single" w:sz="4" w:space="0" w:color="auto"/>
              <w:bottom w:val="single" w:sz="4" w:space="0" w:color="auto"/>
              <w:right w:val="single" w:sz="4" w:space="0" w:color="auto"/>
            </w:tcBorders>
            <w:shd w:val="clear" w:color="auto" w:fill="FFFF00"/>
            <w:vAlign w:val="center"/>
          </w:tcPr>
          <w:p w14:paraId="15088725" w14:textId="77777777" w:rsidR="00DB0460" w:rsidRPr="0097258B" w:rsidRDefault="00DB0460" w:rsidP="00E3321E">
            <w:pPr>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33</w:t>
            </w:r>
          </w:p>
        </w:tc>
        <w:tc>
          <w:tcPr>
            <w:tcW w:w="692" w:type="pct"/>
            <w:gridSpan w:val="2"/>
            <w:tcBorders>
              <w:top w:val="single" w:sz="4" w:space="0" w:color="auto"/>
              <w:left w:val="single" w:sz="4" w:space="0" w:color="auto"/>
              <w:bottom w:val="single" w:sz="4" w:space="0" w:color="auto"/>
              <w:right w:val="single" w:sz="4" w:space="0" w:color="auto"/>
            </w:tcBorders>
            <w:vAlign w:val="center"/>
          </w:tcPr>
          <w:p w14:paraId="033554A3" w14:textId="7B55485E" w:rsidR="00DB0460" w:rsidRPr="0097258B" w:rsidRDefault="00DB0460" w:rsidP="00E3321E">
            <w:pPr>
              <w:tabs>
                <w:tab w:val="num" w:pos="360"/>
              </w:tabs>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 xml:space="preserve">Entretenir régulièrement </w:t>
            </w:r>
            <w:r w:rsidR="00874DDA" w:rsidRPr="0097258B">
              <w:rPr>
                <w:rFonts w:ascii="Times New Roman" w:eastAsia="Cambria" w:hAnsi="Times New Roman"/>
                <w:color w:val="000000" w:themeColor="text1"/>
                <w:sz w:val="20"/>
                <w:szCs w:val="20"/>
              </w:rPr>
              <w:t>les bassins</w:t>
            </w:r>
            <w:r w:rsidRPr="0097258B">
              <w:rPr>
                <w:rFonts w:ascii="Times New Roman" w:eastAsia="Cambria" w:hAnsi="Times New Roman"/>
                <w:color w:val="000000" w:themeColor="text1"/>
                <w:sz w:val="20"/>
                <w:szCs w:val="20"/>
              </w:rPr>
              <w:t>,</w:t>
            </w:r>
          </w:p>
          <w:p w14:paraId="2FFC9B8D" w14:textId="3B0286AE" w:rsidR="00DB0460" w:rsidRPr="0097258B" w:rsidRDefault="00DB0460" w:rsidP="00E3321E">
            <w:pPr>
              <w:tabs>
                <w:tab w:val="num" w:pos="360"/>
              </w:tabs>
              <w:spacing w:after="0" w:line="240" w:lineRule="auto"/>
              <w:jc w:val="both"/>
              <w:rPr>
                <w:rFonts w:ascii="Times New Roman" w:eastAsia="Cambria" w:hAnsi="Times New Roman"/>
                <w:color w:val="000000" w:themeColor="text1"/>
                <w:sz w:val="20"/>
                <w:szCs w:val="20"/>
              </w:rPr>
            </w:pPr>
            <w:proofErr w:type="spellStart"/>
            <w:r w:rsidRPr="0097258B">
              <w:rPr>
                <w:rFonts w:ascii="Times New Roman" w:eastAsia="Cambria" w:hAnsi="Times New Roman"/>
                <w:color w:val="000000" w:themeColor="text1"/>
                <w:sz w:val="20"/>
                <w:szCs w:val="20"/>
              </w:rPr>
              <w:t>Eviter</w:t>
            </w:r>
            <w:proofErr w:type="spellEnd"/>
            <w:r w:rsidRPr="0097258B">
              <w:rPr>
                <w:rFonts w:ascii="Times New Roman" w:eastAsia="Cambria" w:hAnsi="Times New Roman"/>
                <w:color w:val="000000" w:themeColor="text1"/>
                <w:sz w:val="20"/>
                <w:szCs w:val="20"/>
              </w:rPr>
              <w:t xml:space="preserve"> le </w:t>
            </w:r>
            <w:r w:rsidR="00874DDA" w:rsidRPr="0097258B">
              <w:rPr>
                <w:rFonts w:ascii="Times New Roman" w:eastAsia="Cambria" w:hAnsi="Times New Roman"/>
                <w:color w:val="000000" w:themeColor="text1"/>
                <w:sz w:val="20"/>
                <w:szCs w:val="20"/>
              </w:rPr>
              <w:t>sur remplissage</w:t>
            </w:r>
            <w:r w:rsidRPr="0097258B">
              <w:rPr>
                <w:rFonts w:ascii="Times New Roman" w:eastAsia="Cambria" w:hAnsi="Times New Roman"/>
                <w:color w:val="000000" w:themeColor="text1"/>
                <w:sz w:val="20"/>
                <w:szCs w:val="20"/>
              </w:rPr>
              <w:t xml:space="preserve"> des bassins,</w:t>
            </w:r>
          </w:p>
          <w:p w14:paraId="08E83BC2" w14:textId="1228B3C8" w:rsidR="00DB0460" w:rsidRPr="0097258B" w:rsidRDefault="00DB0460" w:rsidP="00E3321E">
            <w:pPr>
              <w:tabs>
                <w:tab w:val="num" w:pos="720"/>
              </w:tabs>
              <w:autoSpaceDE w:val="0"/>
              <w:autoSpaceDN w:val="0"/>
              <w:adjustRightInd w:val="0"/>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Munir les employés d’équipements de protection individuelle requis : botte de sécurité, masque, harnais</w:t>
            </w:r>
            <w:r w:rsidR="001A5354" w:rsidRPr="0097258B">
              <w:rPr>
                <w:rFonts w:ascii="Times New Roman" w:eastAsia="Cambria" w:hAnsi="Times New Roman"/>
                <w:color w:val="000000" w:themeColor="text1"/>
                <w:sz w:val="20"/>
                <w:szCs w:val="20"/>
              </w:rPr>
              <w:t>,</w:t>
            </w:r>
            <w:r w:rsidRPr="0097258B">
              <w:rPr>
                <w:rFonts w:ascii="Times New Roman" w:eastAsia="Cambria" w:hAnsi="Times New Roman"/>
                <w:color w:val="000000" w:themeColor="text1"/>
                <w:sz w:val="20"/>
                <w:szCs w:val="20"/>
              </w:rPr>
              <w:t xml:space="preserve"> etc.</w:t>
            </w:r>
          </w:p>
        </w:tc>
        <w:tc>
          <w:tcPr>
            <w:tcW w:w="278" w:type="pct"/>
            <w:tcBorders>
              <w:top w:val="single" w:sz="4" w:space="0" w:color="auto"/>
              <w:left w:val="single" w:sz="4" w:space="0" w:color="auto"/>
              <w:bottom w:val="single" w:sz="4" w:space="0" w:color="auto"/>
              <w:right w:val="single" w:sz="4" w:space="0" w:color="auto"/>
            </w:tcBorders>
            <w:vAlign w:val="center"/>
          </w:tcPr>
          <w:p w14:paraId="50492930" w14:textId="77777777" w:rsidR="00DB0460" w:rsidRPr="0097258B" w:rsidRDefault="00DB0460" w:rsidP="00E3321E">
            <w:pPr>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 xml:space="preserve">    P2</w:t>
            </w:r>
          </w:p>
        </w:tc>
        <w:tc>
          <w:tcPr>
            <w:tcW w:w="736" w:type="pct"/>
            <w:tcBorders>
              <w:top w:val="single" w:sz="4" w:space="0" w:color="auto"/>
              <w:left w:val="single" w:sz="4" w:space="0" w:color="auto"/>
              <w:bottom w:val="single" w:sz="4" w:space="0" w:color="auto"/>
              <w:right w:val="single" w:sz="4" w:space="0" w:color="auto"/>
            </w:tcBorders>
            <w:vAlign w:val="center"/>
          </w:tcPr>
          <w:p w14:paraId="21BDFA9E" w14:textId="77777777" w:rsidR="00DB0460" w:rsidRPr="0097258B" w:rsidRDefault="00DB0460" w:rsidP="00E3321E">
            <w:pPr>
              <w:tabs>
                <w:tab w:val="num" w:pos="720"/>
              </w:tabs>
              <w:autoSpaceDE w:val="0"/>
              <w:autoSpaceDN w:val="0"/>
              <w:adjustRightInd w:val="0"/>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Administrer les premiers soins aux blessés</w:t>
            </w:r>
          </w:p>
        </w:tc>
        <w:tc>
          <w:tcPr>
            <w:tcW w:w="167" w:type="pct"/>
            <w:tcBorders>
              <w:top w:val="single" w:sz="4" w:space="0" w:color="auto"/>
              <w:left w:val="single" w:sz="4" w:space="0" w:color="auto"/>
              <w:bottom w:val="single" w:sz="4" w:space="0" w:color="auto"/>
              <w:right w:val="single" w:sz="4" w:space="0" w:color="auto"/>
            </w:tcBorders>
            <w:vAlign w:val="center"/>
          </w:tcPr>
          <w:p w14:paraId="1044539F" w14:textId="77777777" w:rsidR="00DB0460" w:rsidRPr="0097258B" w:rsidRDefault="00DB0460" w:rsidP="00E3321E">
            <w:pPr>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 xml:space="preserve">  G2</w:t>
            </w:r>
          </w:p>
        </w:tc>
        <w:tc>
          <w:tcPr>
            <w:tcW w:w="231" w:type="pct"/>
            <w:tcBorders>
              <w:top w:val="single" w:sz="4" w:space="0" w:color="auto"/>
              <w:left w:val="single" w:sz="4" w:space="0" w:color="auto"/>
              <w:bottom w:val="single" w:sz="4" w:space="0" w:color="auto"/>
              <w:right w:val="single" w:sz="4" w:space="0" w:color="auto"/>
            </w:tcBorders>
            <w:shd w:val="clear" w:color="auto" w:fill="00B050"/>
            <w:vAlign w:val="center"/>
          </w:tcPr>
          <w:p w14:paraId="2848B489" w14:textId="77777777" w:rsidR="00DB0460" w:rsidRPr="0097258B" w:rsidRDefault="00DB0460" w:rsidP="00E3321E">
            <w:pPr>
              <w:tabs>
                <w:tab w:val="num" w:pos="210"/>
              </w:tabs>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 xml:space="preserve"> 22</w:t>
            </w:r>
          </w:p>
        </w:tc>
        <w:tc>
          <w:tcPr>
            <w:tcW w:w="370" w:type="pct"/>
            <w:tcBorders>
              <w:top w:val="single" w:sz="4" w:space="0" w:color="auto"/>
              <w:left w:val="single" w:sz="4" w:space="0" w:color="auto"/>
              <w:bottom w:val="single" w:sz="4" w:space="0" w:color="auto"/>
              <w:right w:val="single" w:sz="4" w:space="0" w:color="auto"/>
            </w:tcBorders>
            <w:vAlign w:val="center"/>
          </w:tcPr>
          <w:p w14:paraId="0842A0F9" w14:textId="77777777" w:rsidR="00DB0460" w:rsidRPr="0097258B" w:rsidRDefault="00DB0460" w:rsidP="00E3321E">
            <w:pPr>
              <w:tabs>
                <w:tab w:val="num" w:pos="210"/>
                <w:tab w:val="num" w:pos="503"/>
              </w:tabs>
              <w:spacing w:after="0" w:line="240" w:lineRule="auto"/>
              <w:ind w:left="210" w:hanging="210"/>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Présence d’eau dans les abords des bassins</w:t>
            </w:r>
          </w:p>
        </w:tc>
        <w:tc>
          <w:tcPr>
            <w:tcW w:w="370" w:type="pct"/>
            <w:tcBorders>
              <w:top w:val="single" w:sz="4" w:space="0" w:color="auto"/>
              <w:left w:val="single" w:sz="4" w:space="0" w:color="auto"/>
              <w:bottom w:val="single" w:sz="4" w:space="0" w:color="auto"/>
              <w:right w:val="single" w:sz="4" w:space="0" w:color="auto"/>
            </w:tcBorders>
            <w:vAlign w:val="center"/>
          </w:tcPr>
          <w:p w14:paraId="7F262295" w14:textId="77777777" w:rsidR="00DB0460" w:rsidRPr="0097258B" w:rsidRDefault="00DB0460" w:rsidP="00E3321E">
            <w:pPr>
              <w:tabs>
                <w:tab w:val="num" w:pos="210"/>
                <w:tab w:val="num" w:pos="503"/>
              </w:tabs>
              <w:spacing w:after="0" w:line="240" w:lineRule="auto"/>
              <w:ind w:left="210" w:hanging="210"/>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Rapide</w:t>
            </w:r>
          </w:p>
        </w:tc>
      </w:tr>
      <w:tr w:rsidR="00E3321E" w:rsidRPr="009B46E2" w14:paraId="65863D58" w14:textId="77777777" w:rsidTr="00E3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71"/>
        </w:trPr>
        <w:tc>
          <w:tcPr>
            <w:tcW w:w="509" w:type="pct"/>
            <w:tcBorders>
              <w:top w:val="single" w:sz="4" w:space="0" w:color="auto"/>
              <w:left w:val="single" w:sz="4" w:space="0" w:color="auto"/>
              <w:bottom w:val="single" w:sz="4" w:space="0" w:color="auto"/>
              <w:right w:val="single" w:sz="4" w:space="0" w:color="auto"/>
            </w:tcBorders>
            <w:vAlign w:val="center"/>
          </w:tcPr>
          <w:p w14:paraId="0CABC47F" w14:textId="77777777" w:rsidR="00DB0460" w:rsidRPr="0097258B" w:rsidRDefault="00DB0460" w:rsidP="00E3321E">
            <w:pPr>
              <w:tabs>
                <w:tab w:val="num" w:pos="720"/>
              </w:tabs>
              <w:spacing w:after="0" w:line="240" w:lineRule="auto"/>
              <w:jc w:val="both"/>
              <w:rPr>
                <w:rFonts w:ascii="Times New Roman" w:eastAsia="Cambria" w:hAnsi="Times New Roman"/>
                <w:bCs/>
                <w:color w:val="000000" w:themeColor="text1"/>
                <w:sz w:val="20"/>
                <w:szCs w:val="20"/>
              </w:rPr>
            </w:pPr>
            <w:r w:rsidRPr="0097258B">
              <w:rPr>
                <w:rFonts w:ascii="Times New Roman" w:eastAsia="Cambria" w:hAnsi="Times New Roman"/>
                <w:bCs/>
                <w:color w:val="000000" w:themeColor="text1"/>
                <w:sz w:val="20"/>
                <w:szCs w:val="20"/>
                <w:lang w:eastAsia="fr-FR"/>
              </w:rPr>
              <w:t xml:space="preserve">Chute de personne dans un bassin </w:t>
            </w:r>
          </w:p>
        </w:tc>
        <w:tc>
          <w:tcPr>
            <w:tcW w:w="509" w:type="pct"/>
            <w:tcBorders>
              <w:top w:val="single" w:sz="4" w:space="0" w:color="auto"/>
              <w:left w:val="single" w:sz="4" w:space="0" w:color="auto"/>
              <w:bottom w:val="single" w:sz="4" w:space="0" w:color="auto"/>
              <w:right w:val="single" w:sz="4" w:space="0" w:color="auto"/>
            </w:tcBorders>
            <w:vAlign w:val="center"/>
          </w:tcPr>
          <w:p w14:paraId="349E03B2" w14:textId="77777777" w:rsidR="00DB0460" w:rsidRPr="0097258B" w:rsidRDefault="00DB0460" w:rsidP="00E3321E">
            <w:pPr>
              <w:autoSpaceDE w:val="0"/>
              <w:autoSpaceDN w:val="0"/>
              <w:adjustRightInd w:val="0"/>
              <w:spacing w:after="0" w:line="240" w:lineRule="auto"/>
              <w:contextualSpacing/>
              <w:rPr>
                <w:rFonts w:ascii="Times New Roman" w:hAnsi="Times New Roman"/>
                <w:color w:val="000000" w:themeColor="text1"/>
                <w:sz w:val="20"/>
                <w:szCs w:val="20"/>
              </w:rPr>
            </w:pPr>
            <w:r w:rsidRPr="0097258B">
              <w:rPr>
                <w:rFonts w:ascii="Times New Roman" w:hAnsi="Times New Roman"/>
                <w:color w:val="000000" w:themeColor="text1"/>
                <w:sz w:val="20"/>
                <w:szCs w:val="20"/>
              </w:rPr>
              <w:t>Absence de périmètre de protection</w:t>
            </w:r>
          </w:p>
          <w:p w14:paraId="2D00890D" w14:textId="77777777" w:rsidR="00DB0460" w:rsidRPr="0097258B" w:rsidRDefault="00DB0460" w:rsidP="00E3321E">
            <w:pPr>
              <w:tabs>
                <w:tab w:val="num" w:pos="720"/>
              </w:tabs>
              <w:autoSpaceDE w:val="0"/>
              <w:autoSpaceDN w:val="0"/>
              <w:adjustRightInd w:val="0"/>
              <w:spacing w:after="0" w:line="240" w:lineRule="auto"/>
              <w:jc w:val="both"/>
              <w:rPr>
                <w:rFonts w:ascii="Times New Roman" w:eastAsia="Cambria" w:hAnsi="Times New Roman"/>
                <w:color w:val="000000" w:themeColor="text1"/>
                <w:sz w:val="20"/>
                <w:szCs w:val="20"/>
              </w:rPr>
            </w:pPr>
            <w:r w:rsidRPr="0097258B">
              <w:rPr>
                <w:rFonts w:ascii="Times New Roman" w:hAnsi="Times New Roman"/>
                <w:color w:val="000000" w:themeColor="text1"/>
                <w:sz w:val="20"/>
                <w:szCs w:val="20"/>
              </w:rPr>
              <w:t>Absence de sensibilisation</w:t>
            </w:r>
          </w:p>
        </w:tc>
        <w:tc>
          <w:tcPr>
            <w:tcW w:w="583" w:type="pct"/>
            <w:tcBorders>
              <w:top w:val="single" w:sz="4" w:space="0" w:color="auto"/>
              <w:left w:val="single" w:sz="4" w:space="0" w:color="auto"/>
              <w:bottom w:val="single" w:sz="4" w:space="0" w:color="auto"/>
              <w:right w:val="single" w:sz="4" w:space="0" w:color="auto"/>
            </w:tcBorders>
            <w:vAlign w:val="center"/>
          </w:tcPr>
          <w:p w14:paraId="089672D8" w14:textId="77777777" w:rsidR="00DB0460" w:rsidRPr="0097258B" w:rsidRDefault="00DB0460" w:rsidP="00E3321E">
            <w:pPr>
              <w:tabs>
                <w:tab w:val="num" w:pos="720"/>
              </w:tabs>
              <w:autoSpaceDE w:val="0"/>
              <w:autoSpaceDN w:val="0"/>
              <w:adjustRightInd w:val="0"/>
              <w:spacing w:after="0" w:line="240" w:lineRule="auto"/>
              <w:ind w:left="210"/>
              <w:jc w:val="both"/>
              <w:rPr>
                <w:rFonts w:ascii="Times New Roman" w:eastAsia="Cambria" w:hAnsi="Times New Roman"/>
                <w:color w:val="000000" w:themeColor="text1"/>
                <w:sz w:val="20"/>
                <w:szCs w:val="20"/>
              </w:rPr>
            </w:pPr>
            <w:r w:rsidRPr="0097258B">
              <w:rPr>
                <w:rFonts w:ascii="Times New Roman" w:hAnsi="Times New Roman"/>
                <w:color w:val="000000" w:themeColor="text1"/>
                <w:sz w:val="20"/>
                <w:szCs w:val="20"/>
              </w:rPr>
              <w:t>Noyade</w:t>
            </w:r>
          </w:p>
        </w:tc>
        <w:tc>
          <w:tcPr>
            <w:tcW w:w="185" w:type="pct"/>
            <w:tcBorders>
              <w:top w:val="single" w:sz="4" w:space="0" w:color="auto"/>
              <w:left w:val="single" w:sz="4" w:space="0" w:color="auto"/>
              <w:bottom w:val="single" w:sz="4" w:space="0" w:color="auto"/>
              <w:right w:val="single" w:sz="4" w:space="0" w:color="auto"/>
            </w:tcBorders>
            <w:vAlign w:val="center"/>
          </w:tcPr>
          <w:p w14:paraId="0EC08803" w14:textId="77777777" w:rsidR="00DB0460" w:rsidRPr="0097258B" w:rsidRDefault="00DB0460" w:rsidP="00E3321E">
            <w:pPr>
              <w:spacing w:after="0" w:line="240" w:lineRule="auto"/>
              <w:jc w:val="both"/>
              <w:rPr>
                <w:rFonts w:ascii="Times New Roman" w:eastAsia="Cambria" w:hAnsi="Times New Roman"/>
                <w:b/>
                <w:color w:val="000000" w:themeColor="text1"/>
                <w:sz w:val="20"/>
                <w:szCs w:val="20"/>
              </w:rPr>
            </w:pPr>
            <w:r w:rsidRPr="0097258B">
              <w:rPr>
                <w:rFonts w:ascii="Times New Roman" w:eastAsia="Times New Roman" w:hAnsi="Times New Roman"/>
                <w:b/>
                <w:color w:val="000000" w:themeColor="text1"/>
                <w:sz w:val="20"/>
                <w:szCs w:val="20"/>
                <w:lang w:eastAsia="fr-FR"/>
              </w:rPr>
              <w:t>3</w:t>
            </w:r>
          </w:p>
        </w:tc>
        <w:tc>
          <w:tcPr>
            <w:tcW w:w="185" w:type="pct"/>
            <w:tcBorders>
              <w:top w:val="single" w:sz="4" w:space="0" w:color="auto"/>
              <w:left w:val="single" w:sz="4" w:space="0" w:color="auto"/>
              <w:bottom w:val="single" w:sz="4" w:space="0" w:color="auto"/>
              <w:right w:val="single" w:sz="4" w:space="0" w:color="auto"/>
            </w:tcBorders>
            <w:vAlign w:val="center"/>
          </w:tcPr>
          <w:p w14:paraId="0B2E8FC5" w14:textId="77777777" w:rsidR="00DB0460" w:rsidRPr="0097258B" w:rsidRDefault="00DB0460" w:rsidP="00E3321E">
            <w:pPr>
              <w:spacing w:after="0" w:line="240" w:lineRule="auto"/>
              <w:jc w:val="both"/>
              <w:rPr>
                <w:rFonts w:ascii="Times New Roman" w:eastAsia="Cambria" w:hAnsi="Times New Roman"/>
                <w:b/>
                <w:color w:val="000000" w:themeColor="text1"/>
                <w:sz w:val="20"/>
                <w:szCs w:val="20"/>
              </w:rPr>
            </w:pPr>
            <w:r w:rsidRPr="0097258B">
              <w:rPr>
                <w:rFonts w:ascii="Times New Roman" w:eastAsia="Cambria" w:hAnsi="Times New Roman"/>
                <w:b/>
                <w:color w:val="000000" w:themeColor="text1"/>
                <w:sz w:val="20"/>
                <w:szCs w:val="20"/>
              </w:rPr>
              <w:t>3</w:t>
            </w:r>
          </w:p>
        </w:tc>
        <w:tc>
          <w:tcPr>
            <w:tcW w:w="184" w:type="pct"/>
            <w:tcBorders>
              <w:top w:val="single" w:sz="4" w:space="0" w:color="auto"/>
              <w:left w:val="single" w:sz="4" w:space="0" w:color="auto"/>
              <w:bottom w:val="single" w:sz="4" w:space="0" w:color="auto"/>
              <w:right w:val="single" w:sz="4" w:space="0" w:color="auto"/>
            </w:tcBorders>
            <w:shd w:val="clear" w:color="auto" w:fill="FFFF00"/>
            <w:vAlign w:val="center"/>
          </w:tcPr>
          <w:p w14:paraId="144E2048" w14:textId="77777777" w:rsidR="00DB0460" w:rsidRPr="0097258B" w:rsidRDefault="00DB0460" w:rsidP="00E3321E">
            <w:pPr>
              <w:spacing w:after="0" w:line="240" w:lineRule="auto"/>
              <w:jc w:val="both"/>
              <w:rPr>
                <w:rFonts w:ascii="Times New Roman" w:eastAsia="Cambria" w:hAnsi="Times New Roman"/>
                <w:b/>
                <w:color w:val="000000" w:themeColor="text1"/>
                <w:sz w:val="20"/>
                <w:szCs w:val="20"/>
              </w:rPr>
            </w:pPr>
            <w:r w:rsidRPr="0097258B">
              <w:rPr>
                <w:rFonts w:ascii="Times New Roman" w:eastAsia="Times New Roman" w:hAnsi="Times New Roman"/>
                <w:b/>
                <w:color w:val="000000" w:themeColor="text1"/>
                <w:sz w:val="20"/>
                <w:szCs w:val="20"/>
                <w:lang w:eastAsia="fr-FR"/>
              </w:rPr>
              <w:t>33</w:t>
            </w:r>
          </w:p>
        </w:tc>
        <w:tc>
          <w:tcPr>
            <w:tcW w:w="692" w:type="pct"/>
            <w:gridSpan w:val="2"/>
            <w:tcBorders>
              <w:top w:val="single" w:sz="4" w:space="0" w:color="auto"/>
              <w:left w:val="single" w:sz="4" w:space="0" w:color="auto"/>
              <w:bottom w:val="single" w:sz="4" w:space="0" w:color="auto"/>
              <w:right w:val="single" w:sz="4" w:space="0" w:color="auto"/>
            </w:tcBorders>
            <w:vAlign w:val="center"/>
          </w:tcPr>
          <w:p w14:paraId="143927FA" w14:textId="77777777" w:rsidR="00DB0460" w:rsidRPr="0097258B" w:rsidRDefault="00DB0460" w:rsidP="00E3321E">
            <w:pPr>
              <w:tabs>
                <w:tab w:val="num" w:pos="360"/>
              </w:tabs>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Sensibilisation</w:t>
            </w:r>
          </w:p>
          <w:p w14:paraId="6FBF4FAD" w14:textId="77777777" w:rsidR="00DB0460" w:rsidRPr="0097258B" w:rsidRDefault="00DB0460" w:rsidP="00E3321E">
            <w:pPr>
              <w:tabs>
                <w:tab w:val="num" w:pos="360"/>
              </w:tabs>
              <w:spacing w:after="0" w:line="240" w:lineRule="auto"/>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 xml:space="preserve">Installation des grilles de protection à l’alentour du bassin </w:t>
            </w:r>
          </w:p>
          <w:p w14:paraId="19607FFC" w14:textId="77777777" w:rsidR="00DB0460" w:rsidRPr="0097258B" w:rsidRDefault="00DB0460" w:rsidP="00E3321E">
            <w:pPr>
              <w:tabs>
                <w:tab w:val="num" w:pos="360"/>
              </w:tabs>
              <w:spacing w:after="0" w:line="240" w:lineRule="auto"/>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Panneaux de signalisation et systèmes d’éclairage seront implantés aux alentours des bassins.</w:t>
            </w:r>
          </w:p>
        </w:tc>
        <w:tc>
          <w:tcPr>
            <w:tcW w:w="278" w:type="pct"/>
            <w:tcBorders>
              <w:top w:val="single" w:sz="4" w:space="0" w:color="auto"/>
              <w:left w:val="single" w:sz="4" w:space="0" w:color="auto"/>
              <w:bottom w:val="single" w:sz="4" w:space="0" w:color="auto"/>
              <w:right w:val="single" w:sz="4" w:space="0" w:color="auto"/>
            </w:tcBorders>
            <w:vAlign w:val="center"/>
          </w:tcPr>
          <w:p w14:paraId="261A9BD3" w14:textId="77777777" w:rsidR="00DB0460" w:rsidRPr="0097258B" w:rsidRDefault="00DB0460" w:rsidP="00E3321E">
            <w:pPr>
              <w:spacing w:after="0" w:line="240" w:lineRule="auto"/>
              <w:jc w:val="both"/>
              <w:rPr>
                <w:rFonts w:ascii="Times New Roman" w:eastAsia="Cambria" w:hAnsi="Times New Roman"/>
                <w:b/>
                <w:color w:val="000000" w:themeColor="text1"/>
                <w:sz w:val="20"/>
                <w:szCs w:val="20"/>
              </w:rPr>
            </w:pPr>
            <w:r w:rsidRPr="0097258B">
              <w:rPr>
                <w:rFonts w:ascii="Times New Roman" w:eastAsia="Times New Roman" w:hAnsi="Times New Roman"/>
                <w:b/>
                <w:color w:val="000000" w:themeColor="text1"/>
                <w:sz w:val="20"/>
                <w:szCs w:val="20"/>
                <w:lang w:eastAsia="fr-FR"/>
              </w:rPr>
              <w:t>2</w:t>
            </w:r>
          </w:p>
        </w:tc>
        <w:tc>
          <w:tcPr>
            <w:tcW w:w="736" w:type="pct"/>
            <w:tcBorders>
              <w:top w:val="single" w:sz="4" w:space="0" w:color="auto"/>
              <w:left w:val="single" w:sz="4" w:space="0" w:color="auto"/>
              <w:bottom w:val="single" w:sz="4" w:space="0" w:color="auto"/>
              <w:right w:val="single" w:sz="4" w:space="0" w:color="auto"/>
            </w:tcBorders>
            <w:vAlign w:val="center"/>
          </w:tcPr>
          <w:p w14:paraId="65D8A6BF" w14:textId="77777777" w:rsidR="00DB0460" w:rsidRPr="0097258B" w:rsidRDefault="00DB0460" w:rsidP="00E3321E">
            <w:pPr>
              <w:autoSpaceDE w:val="0"/>
              <w:autoSpaceDN w:val="0"/>
              <w:adjustRightInd w:val="0"/>
              <w:spacing w:after="0" w:line="240" w:lineRule="auto"/>
              <w:contextualSpacing/>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Présence Bouée de sauvetage </w:t>
            </w:r>
          </w:p>
          <w:p w14:paraId="4381D6F6" w14:textId="77777777" w:rsidR="00DB0460" w:rsidRPr="0097258B" w:rsidRDefault="00DB0460" w:rsidP="00E3321E">
            <w:pPr>
              <w:autoSpaceDE w:val="0"/>
              <w:autoSpaceDN w:val="0"/>
              <w:adjustRightInd w:val="0"/>
              <w:spacing w:after="0" w:line="240" w:lineRule="auto"/>
              <w:contextualSpacing/>
              <w:rPr>
                <w:rFonts w:ascii="Times New Roman" w:hAnsi="Times New Roman"/>
                <w:color w:val="000000" w:themeColor="text1"/>
                <w:sz w:val="20"/>
                <w:szCs w:val="20"/>
              </w:rPr>
            </w:pPr>
            <w:r w:rsidRPr="0097258B">
              <w:rPr>
                <w:rFonts w:ascii="Times New Roman" w:hAnsi="Times New Roman"/>
                <w:color w:val="000000" w:themeColor="text1"/>
                <w:sz w:val="20"/>
                <w:szCs w:val="20"/>
              </w:rPr>
              <w:t>Intervention des sapeurs-pompiers de la zone</w:t>
            </w:r>
          </w:p>
          <w:p w14:paraId="67207295" w14:textId="77777777" w:rsidR="00DB0460" w:rsidRPr="0097258B" w:rsidRDefault="00DB0460" w:rsidP="00E3321E">
            <w:pPr>
              <w:tabs>
                <w:tab w:val="num" w:pos="720"/>
              </w:tabs>
              <w:autoSpaceDE w:val="0"/>
              <w:autoSpaceDN w:val="0"/>
              <w:adjustRightInd w:val="0"/>
              <w:spacing w:after="0" w:line="240" w:lineRule="auto"/>
              <w:jc w:val="both"/>
              <w:rPr>
                <w:rFonts w:ascii="Times New Roman" w:eastAsia="Cambria" w:hAnsi="Times New Roman"/>
                <w:color w:val="000000" w:themeColor="text1"/>
                <w:sz w:val="20"/>
                <w:szCs w:val="20"/>
              </w:rPr>
            </w:pPr>
            <w:r w:rsidRPr="0097258B">
              <w:rPr>
                <w:rFonts w:ascii="Times New Roman" w:hAnsi="Times New Roman"/>
                <w:color w:val="000000" w:themeColor="text1"/>
                <w:sz w:val="20"/>
                <w:szCs w:val="20"/>
              </w:rPr>
              <w:t>Formation du personnel aux premiers secours.</w:t>
            </w:r>
          </w:p>
        </w:tc>
        <w:tc>
          <w:tcPr>
            <w:tcW w:w="167" w:type="pct"/>
            <w:tcBorders>
              <w:top w:val="single" w:sz="4" w:space="0" w:color="auto"/>
              <w:left w:val="single" w:sz="4" w:space="0" w:color="auto"/>
              <w:bottom w:val="single" w:sz="4" w:space="0" w:color="auto"/>
              <w:right w:val="single" w:sz="4" w:space="0" w:color="auto"/>
            </w:tcBorders>
            <w:vAlign w:val="center"/>
          </w:tcPr>
          <w:p w14:paraId="62D8A873" w14:textId="77777777" w:rsidR="00DB0460" w:rsidRPr="0097258B" w:rsidRDefault="00DB0460" w:rsidP="00E3321E">
            <w:pPr>
              <w:spacing w:after="0" w:line="240" w:lineRule="auto"/>
              <w:jc w:val="both"/>
              <w:rPr>
                <w:rFonts w:ascii="Times New Roman" w:eastAsia="Cambria" w:hAnsi="Times New Roman"/>
                <w:b/>
                <w:color w:val="000000" w:themeColor="text1"/>
                <w:sz w:val="20"/>
                <w:szCs w:val="20"/>
              </w:rPr>
            </w:pPr>
            <w:r w:rsidRPr="0097258B">
              <w:rPr>
                <w:rFonts w:ascii="Times New Roman" w:eastAsia="Times New Roman" w:hAnsi="Times New Roman"/>
                <w:b/>
                <w:color w:val="000000" w:themeColor="text1"/>
                <w:sz w:val="20"/>
                <w:szCs w:val="20"/>
                <w:lang w:eastAsia="fr-FR"/>
              </w:rPr>
              <w:t>2</w:t>
            </w:r>
          </w:p>
        </w:tc>
        <w:tc>
          <w:tcPr>
            <w:tcW w:w="231" w:type="pct"/>
            <w:tcBorders>
              <w:top w:val="single" w:sz="4" w:space="0" w:color="auto"/>
              <w:left w:val="single" w:sz="4" w:space="0" w:color="auto"/>
              <w:bottom w:val="single" w:sz="4" w:space="0" w:color="auto"/>
              <w:right w:val="single" w:sz="4" w:space="0" w:color="auto"/>
            </w:tcBorders>
            <w:shd w:val="clear" w:color="auto" w:fill="00B050"/>
            <w:vAlign w:val="center"/>
          </w:tcPr>
          <w:p w14:paraId="2CC33A51" w14:textId="77777777" w:rsidR="00DB0460" w:rsidRPr="0097258B" w:rsidRDefault="00DB0460" w:rsidP="00E3321E">
            <w:pPr>
              <w:tabs>
                <w:tab w:val="num" w:pos="210"/>
              </w:tabs>
              <w:spacing w:after="0" w:line="240" w:lineRule="auto"/>
              <w:jc w:val="both"/>
              <w:rPr>
                <w:rFonts w:ascii="Times New Roman" w:eastAsia="Cambria" w:hAnsi="Times New Roman"/>
                <w:b/>
                <w:color w:val="000000" w:themeColor="text1"/>
                <w:sz w:val="20"/>
                <w:szCs w:val="20"/>
              </w:rPr>
            </w:pPr>
            <w:r w:rsidRPr="0097258B">
              <w:rPr>
                <w:rFonts w:ascii="Times New Roman" w:eastAsia="Times New Roman" w:hAnsi="Times New Roman"/>
                <w:b/>
                <w:color w:val="000000" w:themeColor="text1"/>
                <w:sz w:val="20"/>
                <w:szCs w:val="20"/>
                <w:lang w:eastAsia="fr-FR"/>
              </w:rPr>
              <w:t>22</w:t>
            </w:r>
          </w:p>
        </w:tc>
        <w:tc>
          <w:tcPr>
            <w:tcW w:w="370" w:type="pct"/>
            <w:tcBorders>
              <w:top w:val="single" w:sz="4" w:space="0" w:color="auto"/>
              <w:left w:val="single" w:sz="4" w:space="0" w:color="auto"/>
              <w:bottom w:val="single" w:sz="4" w:space="0" w:color="auto"/>
              <w:right w:val="single" w:sz="4" w:space="0" w:color="auto"/>
            </w:tcBorders>
            <w:vAlign w:val="center"/>
          </w:tcPr>
          <w:p w14:paraId="58A0F68A" w14:textId="77777777" w:rsidR="00DB0460" w:rsidRPr="0097258B" w:rsidRDefault="00DB0460" w:rsidP="00E3321E">
            <w:pPr>
              <w:tabs>
                <w:tab w:val="num" w:pos="210"/>
                <w:tab w:val="num" w:pos="503"/>
              </w:tabs>
              <w:spacing w:after="0" w:line="240" w:lineRule="auto"/>
              <w:ind w:left="210" w:hanging="210"/>
              <w:jc w:val="both"/>
              <w:rPr>
                <w:rFonts w:ascii="Times New Roman" w:eastAsia="Cambria" w:hAnsi="Times New Roman"/>
                <w:bCs/>
                <w:color w:val="000000" w:themeColor="text1"/>
                <w:sz w:val="20"/>
                <w:szCs w:val="20"/>
              </w:rPr>
            </w:pPr>
            <w:r w:rsidRPr="0097258B">
              <w:rPr>
                <w:rFonts w:ascii="Times New Roman" w:eastAsia="Times New Roman" w:hAnsi="Times New Roman"/>
                <w:bCs/>
                <w:color w:val="000000" w:themeColor="text1"/>
                <w:sz w:val="20"/>
                <w:szCs w:val="20"/>
                <w:lang w:eastAsia="fr-FR"/>
              </w:rPr>
              <w:t>Noyade</w:t>
            </w:r>
          </w:p>
        </w:tc>
        <w:tc>
          <w:tcPr>
            <w:tcW w:w="370" w:type="pct"/>
            <w:tcBorders>
              <w:top w:val="single" w:sz="4" w:space="0" w:color="auto"/>
              <w:left w:val="single" w:sz="4" w:space="0" w:color="auto"/>
              <w:bottom w:val="single" w:sz="4" w:space="0" w:color="auto"/>
              <w:right w:val="single" w:sz="4" w:space="0" w:color="auto"/>
            </w:tcBorders>
            <w:vAlign w:val="center"/>
          </w:tcPr>
          <w:p w14:paraId="321EE00E" w14:textId="77777777" w:rsidR="00DB0460" w:rsidRPr="0097258B" w:rsidRDefault="00DB0460" w:rsidP="00E3321E">
            <w:pPr>
              <w:tabs>
                <w:tab w:val="num" w:pos="210"/>
                <w:tab w:val="num" w:pos="503"/>
              </w:tabs>
              <w:spacing w:after="0" w:line="240" w:lineRule="auto"/>
              <w:ind w:left="210" w:hanging="210"/>
              <w:jc w:val="both"/>
              <w:rPr>
                <w:rFonts w:ascii="Times New Roman" w:eastAsia="Cambria" w:hAnsi="Times New Roman"/>
                <w:bCs/>
                <w:color w:val="000000" w:themeColor="text1"/>
                <w:sz w:val="20"/>
                <w:szCs w:val="20"/>
              </w:rPr>
            </w:pPr>
            <w:r w:rsidRPr="0097258B">
              <w:rPr>
                <w:rFonts w:ascii="Times New Roman" w:eastAsia="Times New Roman" w:hAnsi="Times New Roman"/>
                <w:bCs/>
                <w:color w:val="000000" w:themeColor="text1"/>
                <w:sz w:val="20"/>
                <w:szCs w:val="20"/>
                <w:lang w:eastAsia="fr-FR"/>
              </w:rPr>
              <w:t>Rapide</w:t>
            </w:r>
          </w:p>
        </w:tc>
      </w:tr>
      <w:tr w:rsidR="00E3321E" w:rsidRPr="009B46E2" w14:paraId="212C5128" w14:textId="77777777" w:rsidTr="00E3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35"/>
        </w:trPr>
        <w:tc>
          <w:tcPr>
            <w:tcW w:w="509" w:type="pct"/>
            <w:tcBorders>
              <w:top w:val="single" w:sz="4" w:space="0" w:color="auto"/>
              <w:left w:val="single" w:sz="4" w:space="0" w:color="auto"/>
              <w:bottom w:val="single" w:sz="4" w:space="0" w:color="auto"/>
              <w:right w:val="single" w:sz="4" w:space="0" w:color="auto"/>
            </w:tcBorders>
            <w:vAlign w:val="center"/>
          </w:tcPr>
          <w:p w14:paraId="69EC4503" w14:textId="77777777" w:rsidR="00DB0460" w:rsidRPr="0097258B" w:rsidRDefault="00DB0460" w:rsidP="00E3321E">
            <w:pPr>
              <w:tabs>
                <w:tab w:val="num" w:pos="720"/>
              </w:tabs>
              <w:spacing w:after="0" w:line="240" w:lineRule="auto"/>
              <w:jc w:val="both"/>
              <w:rPr>
                <w:rFonts w:ascii="Times New Roman" w:eastAsia="Cambria" w:hAnsi="Times New Roman"/>
                <w:bCs/>
                <w:color w:val="000000" w:themeColor="text1"/>
                <w:sz w:val="20"/>
                <w:szCs w:val="20"/>
                <w:lang w:eastAsia="fr-FR"/>
              </w:rPr>
            </w:pPr>
            <w:r w:rsidRPr="0097258B">
              <w:rPr>
                <w:rFonts w:ascii="Times New Roman" w:eastAsia="Cambria" w:hAnsi="Times New Roman"/>
                <w:bCs/>
                <w:color w:val="000000" w:themeColor="text1"/>
                <w:sz w:val="20"/>
                <w:szCs w:val="20"/>
                <w:lang w:eastAsia="fr-FR"/>
              </w:rPr>
              <w:t xml:space="preserve">Noyade au niveau d’un bassin </w:t>
            </w:r>
          </w:p>
        </w:tc>
        <w:tc>
          <w:tcPr>
            <w:tcW w:w="509" w:type="pct"/>
            <w:tcBorders>
              <w:top w:val="single" w:sz="4" w:space="0" w:color="auto"/>
              <w:left w:val="single" w:sz="4" w:space="0" w:color="auto"/>
              <w:bottom w:val="single" w:sz="4" w:space="0" w:color="auto"/>
              <w:right w:val="single" w:sz="4" w:space="0" w:color="auto"/>
            </w:tcBorders>
            <w:vAlign w:val="center"/>
          </w:tcPr>
          <w:p w14:paraId="28208172" w14:textId="77777777" w:rsidR="00DB0460" w:rsidRPr="0097258B" w:rsidRDefault="00DB0460" w:rsidP="00E3321E">
            <w:pPr>
              <w:autoSpaceDE w:val="0"/>
              <w:autoSpaceDN w:val="0"/>
              <w:adjustRightInd w:val="0"/>
              <w:spacing w:after="0" w:line="240" w:lineRule="auto"/>
              <w:contextualSpacing/>
              <w:rPr>
                <w:rFonts w:ascii="Times New Roman" w:hAnsi="Times New Roman"/>
                <w:color w:val="000000" w:themeColor="text1"/>
                <w:sz w:val="20"/>
                <w:szCs w:val="20"/>
              </w:rPr>
            </w:pPr>
            <w:r w:rsidRPr="0097258B">
              <w:rPr>
                <w:rFonts w:ascii="Times New Roman" w:hAnsi="Times New Roman"/>
                <w:color w:val="000000" w:themeColor="text1"/>
                <w:sz w:val="20"/>
                <w:szCs w:val="20"/>
              </w:rPr>
              <w:t>Absence de mur de protection</w:t>
            </w:r>
          </w:p>
          <w:p w14:paraId="0212C7D6" w14:textId="77777777" w:rsidR="00DB0460" w:rsidRPr="0097258B" w:rsidRDefault="00DB0460" w:rsidP="00E3321E">
            <w:pPr>
              <w:autoSpaceDE w:val="0"/>
              <w:autoSpaceDN w:val="0"/>
              <w:adjustRightInd w:val="0"/>
              <w:spacing w:after="0" w:line="240" w:lineRule="auto"/>
              <w:contextualSpacing/>
              <w:rPr>
                <w:rFonts w:ascii="Times New Roman" w:hAnsi="Times New Roman"/>
                <w:color w:val="000000" w:themeColor="text1"/>
                <w:sz w:val="20"/>
                <w:szCs w:val="20"/>
              </w:rPr>
            </w:pPr>
            <w:r w:rsidRPr="0097258B">
              <w:rPr>
                <w:rFonts w:ascii="Times New Roman" w:hAnsi="Times New Roman"/>
                <w:color w:val="000000" w:themeColor="text1"/>
                <w:sz w:val="20"/>
                <w:szCs w:val="20"/>
              </w:rPr>
              <w:t>Effondrement de mur de protection</w:t>
            </w:r>
          </w:p>
          <w:p w14:paraId="258912EB" w14:textId="77777777" w:rsidR="00DB0460" w:rsidRPr="0097258B" w:rsidRDefault="00DB0460" w:rsidP="00E3321E">
            <w:pPr>
              <w:autoSpaceDE w:val="0"/>
              <w:autoSpaceDN w:val="0"/>
              <w:adjustRightInd w:val="0"/>
              <w:spacing w:after="0" w:line="240" w:lineRule="auto"/>
              <w:contextualSpacing/>
              <w:rPr>
                <w:rFonts w:ascii="Times New Roman" w:hAnsi="Times New Roman"/>
                <w:color w:val="000000" w:themeColor="text1"/>
                <w:sz w:val="20"/>
                <w:szCs w:val="20"/>
              </w:rPr>
            </w:pPr>
            <w:r w:rsidRPr="0097258B">
              <w:rPr>
                <w:rFonts w:ascii="Times New Roman" w:hAnsi="Times New Roman"/>
                <w:color w:val="000000" w:themeColor="text1"/>
                <w:sz w:val="20"/>
                <w:szCs w:val="20"/>
              </w:rPr>
              <w:t>Erreur humaine</w:t>
            </w:r>
          </w:p>
          <w:p w14:paraId="16A7815D" w14:textId="77777777" w:rsidR="00DB0460" w:rsidRPr="0097258B" w:rsidRDefault="00DB0460" w:rsidP="00E3321E">
            <w:pPr>
              <w:autoSpaceDE w:val="0"/>
              <w:autoSpaceDN w:val="0"/>
              <w:adjustRightInd w:val="0"/>
              <w:spacing w:after="0" w:line="240" w:lineRule="auto"/>
              <w:contextualSpacing/>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Acte de malveillance </w:t>
            </w:r>
          </w:p>
        </w:tc>
        <w:tc>
          <w:tcPr>
            <w:tcW w:w="583" w:type="pct"/>
            <w:tcBorders>
              <w:top w:val="single" w:sz="4" w:space="0" w:color="auto"/>
              <w:left w:val="single" w:sz="4" w:space="0" w:color="auto"/>
              <w:bottom w:val="single" w:sz="4" w:space="0" w:color="auto"/>
              <w:right w:val="single" w:sz="4" w:space="0" w:color="auto"/>
            </w:tcBorders>
            <w:vAlign w:val="center"/>
          </w:tcPr>
          <w:p w14:paraId="331A9BE9" w14:textId="3EF6F346" w:rsidR="00DB0460" w:rsidRPr="0097258B" w:rsidRDefault="00DB0460" w:rsidP="00E3321E">
            <w:pPr>
              <w:tabs>
                <w:tab w:val="num" w:pos="720"/>
              </w:tabs>
              <w:autoSpaceDE w:val="0"/>
              <w:autoSpaceDN w:val="0"/>
              <w:adjustRightInd w:val="0"/>
              <w:spacing w:after="0" w:line="240" w:lineRule="auto"/>
              <w:ind w:left="210"/>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Perte de vie </w:t>
            </w:r>
            <w:r w:rsidR="00397777" w:rsidRPr="0097258B">
              <w:rPr>
                <w:rFonts w:ascii="Times New Roman" w:hAnsi="Times New Roman"/>
                <w:color w:val="000000" w:themeColor="text1"/>
                <w:sz w:val="20"/>
                <w:szCs w:val="20"/>
              </w:rPr>
              <w:t>h</w:t>
            </w:r>
            <w:r w:rsidRPr="0097258B">
              <w:rPr>
                <w:rFonts w:ascii="Times New Roman" w:hAnsi="Times New Roman"/>
                <w:color w:val="000000" w:themeColor="text1"/>
                <w:sz w:val="20"/>
                <w:szCs w:val="20"/>
              </w:rPr>
              <w:t>umaine</w:t>
            </w:r>
          </w:p>
        </w:tc>
        <w:tc>
          <w:tcPr>
            <w:tcW w:w="185" w:type="pct"/>
            <w:tcBorders>
              <w:top w:val="single" w:sz="4" w:space="0" w:color="auto"/>
              <w:left w:val="single" w:sz="4" w:space="0" w:color="auto"/>
              <w:bottom w:val="single" w:sz="4" w:space="0" w:color="auto"/>
              <w:right w:val="single" w:sz="4" w:space="0" w:color="auto"/>
            </w:tcBorders>
            <w:vAlign w:val="center"/>
          </w:tcPr>
          <w:p w14:paraId="1EDC0C4B" w14:textId="77777777" w:rsidR="00DB0460" w:rsidRPr="0097258B" w:rsidRDefault="00DB0460" w:rsidP="00E3321E">
            <w:pPr>
              <w:spacing w:after="0" w:line="240" w:lineRule="auto"/>
              <w:jc w:val="both"/>
              <w:rPr>
                <w:rFonts w:ascii="Times New Roman" w:eastAsia="Times New Roman" w:hAnsi="Times New Roman"/>
                <w:b/>
                <w:color w:val="000000" w:themeColor="text1"/>
                <w:sz w:val="20"/>
                <w:szCs w:val="20"/>
                <w:lang w:eastAsia="fr-FR"/>
              </w:rPr>
            </w:pPr>
            <w:r w:rsidRPr="0097258B">
              <w:rPr>
                <w:rFonts w:ascii="Times New Roman" w:eastAsia="Times New Roman" w:hAnsi="Times New Roman"/>
                <w:b/>
                <w:color w:val="000000" w:themeColor="text1"/>
                <w:sz w:val="20"/>
                <w:szCs w:val="20"/>
                <w:lang w:eastAsia="fr-FR"/>
              </w:rPr>
              <w:t>3</w:t>
            </w:r>
          </w:p>
        </w:tc>
        <w:tc>
          <w:tcPr>
            <w:tcW w:w="185" w:type="pct"/>
            <w:tcBorders>
              <w:top w:val="single" w:sz="4" w:space="0" w:color="auto"/>
              <w:left w:val="single" w:sz="4" w:space="0" w:color="auto"/>
              <w:bottom w:val="single" w:sz="4" w:space="0" w:color="auto"/>
              <w:right w:val="single" w:sz="4" w:space="0" w:color="auto"/>
            </w:tcBorders>
            <w:vAlign w:val="center"/>
          </w:tcPr>
          <w:p w14:paraId="7AD05A21" w14:textId="77777777" w:rsidR="00DB0460" w:rsidRPr="0097258B" w:rsidRDefault="00DB0460" w:rsidP="00E3321E">
            <w:pPr>
              <w:spacing w:after="0" w:line="240" w:lineRule="auto"/>
              <w:jc w:val="both"/>
              <w:rPr>
                <w:rFonts w:ascii="Times New Roman" w:eastAsia="Cambria" w:hAnsi="Times New Roman"/>
                <w:b/>
                <w:color w:val="000000" w:themeColor="text1"/>
                <w:sz w:val="20"/>
                <w:szCs w:val="20"/>
              </w:rPr>
            </w:pPr>
            <w:r w:rsidRPr="0097258B">
              <w:rPr>
                <w:rFonts w:ascii="Times New Roman" w:eastAsia="Times New Roman" w:hAnsi="Times New Roman"/>
                <w:b/>
                <w:color w:val="000000" w:themeColor="text1"/>
                <w:sz w:val="20"/>
                <w:szCs w:val="20"/>
                <w:lang w:eastAsia="fr-FR"/>
              </w:rPr>
              <w:t>3</w:t>
            </w:r>
          </w:p>
        </w:tc>
        <w:tc>
          <w:tcPr>
            <w:tcW w:w="184" w:type="pct"/>
            <w:tcBorders>
              <w:top w:val="single" w:sz="4" w:space="0" w:color="auto"/>
              <w:left w:val="single" w:sz="4" w:space="0" w:color="auto"/>
              <w:bottom w:val="single" w:sz="4" w:space="0" w:color="auto"/>
              <w:right w:val="single" w:sz="4" w:space="0" w:color="auto"/>
            </w:tcBorders>
            <w:shd w:val="clear" w:color="auto" w:fill="FFFF00"/>
            <w:vAlign w:val="center"/>
          </w:tcPr>
          <w:p w14:paraId="261EAFBB" w14:textId="77777777" w:rsidR="00DB0460" w:rsidRPr="0097258B" w:rsidRDefault="00DB0460" w:rsidP="00E3321E">
            <w:pPr>
              <w:spacing w:after="0" w:line="240" w:lineRule="auto"/>
              <w:jc w:val="both"/>
              <w:rPr>
                <w:rFonts w:ascii="Times New Roman" w:eastAsia="Times New Roman" w:hAnsi="Times New Roman"/>
                <w:b/>
                <w:color w:val="000000" w:themeColor="text1"/>
                <w:sz w:val="20"/>
                <w:szCs w:val="20"/>
                <w:lang w:eastAsia="fr-FR"/>
              </w:rPr>
            </w:pPr>
            <w:r w:rsidRPr="0097258B">
              <w:rPr>
                <w:rFonts w:ascii="Times New Roman" w:eastAsia="Times New Roman" w:hAnsi="Times New Roman"/>
                <w:b/>
                <w:color w:val="000000" w:themeColor="text1"/>
                <w:sz w:val="20"/>
                <w:szCs w:val="20"/>
                <w:lang w:eastAsia="fr-FR"/>
              </w:rPr>
              <w:t>33</w:t>
            </w:r>
          </w:p>
        </w:tc>
        <w:tc>
          <w:tcPr>
            <w:tcW w:w="692" w:type="pct"/>
            <w:gridSpan w:val="2"/>
            <w:tcBorders>
              <w:top w:val="single" w:sz="4" w:space="0" w:color="auto"/>
              <w:left w:val="single" w:sz="4" w:space="0" w:color="auto"/>
              <w:bottom w:val="single" w:sz="4" w:space="0" w:color="auto"/>
              <w:right w:val="single" w:sz="4" w:space="0" w:color="auto"/>
            </w:tcBorders>
            <w:vAlign w:val="center"/>
          </w:tcPr>
          <w:p w14:paraId="024869A3" w14:textId="77777777" w:rsidR="00DB0460" w:rsidRPr="0097258B" w:rsidRDefault="00DB0460" w:rsidP="00E3321E">
            <w:pPr>
              <w:autoSpaceDE w:val="0"/>
              <w:autoSpaceDN w:val="0"/>
              <w:adjustRightInd w:val="0"/>
              <w:spacing w:after="0" w:line="240" w:lineRule="auto"/>
              <w:contextualSpacing/>
              <w:rPr>
                <w:rFonts w:ascii="Times New Roman" w:hAnsi="Times New Roman"/>
                <w:color w:val="000000" w:themeColor="text1"/>
                <w:sz w:val="20"/>
                <w:szCs w:val="20"/>
              </w:rPr>
            </w:pPr>
            <w:r w:rsidRPr="0097258B">
              <w:rPr>
                <w:rFonts w:ascii="Times New Roman" w:hAnsi="Times New Roman"/>
                <w:color w:val="000000" w:themeColor="text1"/>
                <w:sz w:val="20"/>
                <w:szCs w:val="20"/>
              </w:rPr>
              <w:t>Mise en place d’une mure de protection sur une hauteur d’au moins 1.5 m</w:t>
            </w:r>
          </w:p>
          <w:p w14:paraId="2F093761" w14:textId="77777777" w:rsidR="00DB0460" w:rsidRPr="0097258B" w:rsidRDefault="00DB0460" w:rsidP="00E3321E">
            <w:pPr>
              <w:autoSpaceDE w:val="0"/>
              <w:autoSpaceDN w:val="0"/>
              <w:adjustRightInd w:val="0"/>
              <w:spacing w:after="0" w:line="240" w:lineRule="auto"/>
              <w:contextualSpacing/>
              <w:rPr>
                <w:rFonts w:ascii="Times New Roman" w:hAnsi="Times New Roman"/>
                <w:color w:val="000000" w:themeColor="text1"/>
                <w:sz w:val="20"/>
                <w:szCs w:val="20"/>
              </w:rPr>
            </w:pPr>
            <w:r w:rsidRPr="0097258B">
              <w:rPr>
                <w:rFonts w:ascii="Times New Roman" w:hAnsi="Times New Roman"/>
                <w:color w:val="000000" w:themeColor="text1"/>
                <w:sz w:val="20"/>
                <w:szCs w:val="20"/>
              </w:rPr>
              <w:t>Grillages de protection Éclairage des sites</w:t>
            </w:r>
          </w:p>
          <w:p w14:paraId="0F9E61AE" w14:textId="77777777" w:rsidR="00DB0460" w:rsidRPr="0097258B" w:rsidRDefault="00DB0460" w:rsidP="00E3321E">
            <w:pPr>
              <w:autoSpaceDE w:val="0"/>
              <w:autoSpaceDN w:val="0"/>
              <w:adjustRightInd w:val="0"/>
              <w:spacing w:after="0" w:line="240" w:lineRule="auto"/>
              <w:contextualSpacing/>
              <w:rPr>
                <w:rFonts w:ascii="Times New Roman" w:hAnsi="Times New Roman"/>
                <w:color w:val="000000" w:themeColor="text1"/>
                <w:sz w:val="20"/>
                <w:szCs w:val="20"/>
              </w:rPr>
            </w:pPr>
            <w:r w:rsidRPr="0097258B">
              <w:rPr>
                <w:rFonts w:ascii="Times New Roman" w:hAnsi="Times New Roman"/>
                <w:color w:val="000000" w:themeColor="text1"/>
                <w:sz w:val="20"/>
                <w:szCs w:val="20"/>
              </w:rPr>
              <w:t>Voies de ceinture des bassins</w:t>
            </w:r>
          </w:p>
          <w:p w14:paraId="4A1607BC" w14:textId="77777777" w:rsidR="00DB0460" w:rsidRPr="0097258B" w:rsidRDefault="00DB0460" w:rsidP="00E3321E">
            <w:pPr>
              <w:autoSpaceDE w:val="0"/>
              <w:autoSpaceDN w:val="0"/>
              <w:adjustRightInd w:val="0"/>
              <w:spacing w:after="0" w:line="240" w:lineRule="auto"/>
              <w:contextualSpacing/>
              <w:rPr>
                <w:rFonts w:ascii="Times New Roman" w:hAnsi="Times New Roman"/>
                <w:color w:val="000000" w:themeColor="text1"/>
                <w:sz w:val="20"/>
                <w:szCs w:val="20"/>
              </w:rPr>
            </w:pPr>
            <w:r w:rsidRPr="0097258B">
              <w:rPr>
                <w:rFonts w:ascii="Times New Roman" w:hAnsi="Times New Roman"/>
                <w:color w:val="000000" w:themeColor="text1"/>
                <w:sz w:val="20"/>
                <w:szCs w:val="20"/>
              </w:rPr>
              <w:t>Stabilisation et aménagement des berges Surveillance contre les rejets d’ordures</w:t>
            </w:r>
          </w:p>
          <w:p w14:paraId="4A3381A0" w14:textId="77777777" w:rsidR="00DB0460" w:rsidRPr="0097258B" w:rsidRDefault="00DB0460" w:rsidP="00E3321E">
            <w:pPr>
              <w:tabs>
                <w:tab w:val="num" w:pos="360"/>
              </w:tabs>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Dimensionnement avec profondeur peu profond</w:t>
            </w:r>
          </w:p>
        </w:tc>
        <w:tc>
          <w:tcPr>
            <w:tcW w:w="278" w:type="pct"/>
            <w:tcBorders>
              <w:top w:val="single" w:sz="4" w:space="0" w:color="auto"/>
              <w:left w:val="single" w:sz="4" w:space="0" w:color="auto"/>
              <w:bottom w:val="single" w:sz="4" w:space="0" w:color="auto"/>
              <w:right w:val="single" w:sz="4" w:space="0" w:color="auto"/>
            </w:tcBorders>
            <w:vAlign w:val="center"/>
          </w:tcPr>
          <w:p w14:paraId="3500B828" w14:textId="77777777" w:rsidR="00DB0460" w:rsidRPr="0097258B" w:rsidRDefault="00DB0460" w:rsidP="00E3321E">
            <w:pPr>
              <w:spacing w:after="0" w:line="240" w:lineRule="auto"/>
              <w:jc w:val="both"/>
              <w:rPr>
                <w:rFonts w:ascii="Times New Roman" w:eastAsia="Times New Roman" w:hAnsi="Times New Roman"/>
                <w:b/>
                <w:color w:val="000000" w:themeColor="text1"/>
                <w:sz w:val="20"/>
                <w:szCs w:val="20"/>
                <w:lang w:eastAsia="fr-FR"/>
              </w:rPr>
            </w:pPr>
            <w:r w:rsidRPr="0097258B">
              <w:rPr>
                <w:rFonts w:ascii="Times New Roman" w:eastAsia="Times New Roman" w:hAnsi="Times New Roman"/>
                <w:b/>
                <w:color w:val="000000" w:themeColor="text1"/>
                <w:sz w:val="20"/>
                <w:szCs w:val="20"/>
                <w:lang w:eastAsia="fr-FR"/>
              </w:rPr>
              <w:t>2</w:t>
            </w:r>
          </w:p>
        </w:tc>
        <w:tc>
          <w:tcPr>
            <w:tcW w:w="736" w:type="pct"/>
            <w:tcBorders>
              <w:top w:val="single" w:sz="4" w:space="0" w:color="auto"/>
              <w:left w:val="single" w:sz="4" w:space="0" w:color="auto"/>
              <w:bottom w:val="single" w:sz="4" w:space="0" w:color="auto"/>
              <w:right w:val="single" w:sz="4" w:space="0" w:color="auto"/>
            </w:tcBorders>
            <w:vAlign w:val="center"/>
          </w:tcPr>
          <w:p w14:paraId="77A5B8FC" w14:textId="77777777" w:rsidR="00DB0460" w:rsidRPr="0097258B" w:rsidRDefault="00DB0460" w:rsidP="00E3321E">
            <w:pPr>
              <w:autoSpaceDE w:val="0"/>
              <w:autoSpaceDN w:val="0"/>
              <w:adjustRightInd w:val="0"/>
              <w:spacing w:after="0" w:line="240" w:lineRule="auto"/>
              <w:contextualSpacing/>
              <w:rPr>
                <w:rFonts w:ascii="Times New Roman" w:hAnsi="Times New Roman"/>
                <w:color w:val="000000" w:themeColor="text1"/>
                <w:sz w:val="20"/>
                <w:szCs w:val="20"/>
              </w:rPr>
            </w:pPr>
            <w:r w:rsidRPr="0097258B">
              <w:rPr>
                <w:rFonts w:ascii="Times New Roman" w:hAnsi="Times New Roman"/>
                <w:color w:val="000000" w:themeColor="text1"/>
                <w:sz w:val="20"/>
                <w:szCs w:val="20"/>
              </w:rPr>
              <w:t>Présence Bouée de sauvetage</w:t>
            </w:r>
          </w:p>
          <w:p w14:paraId="2BB68F50" w14:textId="77777777" w:rsidR="00DB0460" w:rsidRPr="0097258B" w:rsidRDefault="00DB0460" w:rsidP="00E3321E">
            <w:pPr>
              <w:autoSpaceDE w:val="0"/>
              <w:autoSpaceDN w:val="0"/>
              <w:adjustRightInd w:val="0"/>
              <w:spacing w:after="0" w:line="240" w:lineRule="auto"/>
              <w:contextualSpacing/>
              <w:rPr>
                <w:rFonts w:ascii="Times New Roman" w:hAnsi="Times New Roman"/>
                <w:color w:val="000000" w:themeColor="text1"/>
                <w:sz w:val="20"/>
                <w:szCs w:val="20"/>
              </w:rPr>
            </w:pPr>
            <w:r w:rsidRPr="0097258B">
              <w:rPr>
                <w:rFonts w:ascii="Times New Roman" w:hAnsi="Times New Roman"/>
                <w:color w:val="000000" w:themeColor="text1"/>
                <w:sz w:val="20"/>
                <w:szCs w:val="20"/>
              </w:rPr>
              <w:t>Intervention des sapeurs-pompiers de la zone</w:t>
            </w:r>
          </w:p>
          <w:p w14:paraId="15A4BBF8" w14:textId="77777777" w:rsidR="00DB0460" w:rsidRPr="0097258B" w:rsidRDefault="00DB0460" w:rsidP="00E3321E">
            <w:pPr>
              <w:autoSpaceDE w:val="0"/>
              <w:autoSpaceDN w:val="0"/>
              <w:adjustRightInd w:val="0"/>
              <w:spacing w:after="0" w:line="240" w:lineRule="auto"/>
              <w:contextualSpacing/>
              <w:rPr>
                <w:rFonts w:ascii="Times New Roman" w:hAnsi="Times New Roman"/>
                <w:color w:val="000000" w:themeColor="text1"/>
                <w:sz w:val="20"/>
                <w:szCs w:val="20"/>
              </w:rPr>
            </w:pPr>
            <w:r w:rsidRPr="0097258B">
              <w:rPr>
                <w:rFonts w:ascii="Times New Roman" w:hAnsi="Times New Roman"/>
                <w:color w:val="000000" w:themeColor="text1"/>
                <w:sz w:val="20"/>
                <w:szCs w:val="20"/>
              </w:rPr>
              <w:t>Formation du personnel aux premiers secours.</w:t>
            </w:r>
          </w:p>
        </w:tc>
        <w:tc>
          <w:tcPr>
            <w:tcW w:w="167" w:type="pct"/>
            <w:tcBorders>
              <w:top w:val="single" w:sz="4" w:space="0" w:color="auto"/>
              <w:left w:val="single" w:sz="4" w:space="0" w:color="auto"/>
              <w:bottom w:val="single" w:sz="4" w:space="0" w:color="auto"/>
              <w:right w:val="single" w:sz="4" w:space="0" w:color="auto"/>
            </w:tcBorders>
            <w:vAlign w:val="center"/>
          </w:tcPr>
          <w:p w14:paraId="6BCBCCA4" w14:textId="77777777" w:rsidR="00DB0460" w:rsidRPr="0097258B" w:rsidRDefault="00DB0460" w:rsidP="00E3321E">
            <w:pPr>
              <w:spacing w:after="0" w:line="240" w:lineRule="auto"/>
              <w:jc w:val="both"/>
              <w:rPr>
                <w:rFonts w:ascii="Times New Roman" w:eastAsia="Times New Roman" w:hAnsi="Times New Roman"/>
                <w:b/>
                <w:color w:val="000000" w:themeColor="text1"/>
                <w:sz w:val="20"/>
                <w:szCs w:val="20"/>
                <w:lang w:eastAsia="fr-FR"/>
              </w:rPr>
            </w:pPr>
            <w:r w:rsidRPr="0097258B">
              <w:rPr>
                <w:rFonts w:ascii="Times New Roman" w:eastAsia="Times New Roman" w:hAnsi="Times New Roman"/>
                <w:b/>
                <w:color w:val="000000" w:themeColor="text1"/>
                <w:sz w:val="20"/>
                <w:szCs w:val="20"/>
                <w:lang w:eastAsia="fr-FR"/>
              </w:rPr>
              <w:t>2 </w:t>
            </w:r>
          </w:p>
        </w:tc>
        <w:tc>
          <w:tcPr>
            <w:tcW w:w="231" w:type="pct"/>
            <w:tcBorders>
              <w:top w:val="single" w:sz="4" w:space="0" w:color="auto"/>
              <w:left w:val="single" w:sz="4" w:space="0" w:color="auto"/>
              <w:bottom w:val="single" w:sz="4" w:space="0" w:color="auto"/>
              <w:right w:val="single" w:sz="4" w:space="0" w:color="auto"/>
            </w:tcBorders>
            <w:shd w:val="clear" w:color="auto" w:fill="00B050"/>
            <w:vAlign w:val="center"/>
          </w:tcPr>
          <w:p w14:paraId="0476AE96" w14:textId="77777777" w:rsidR="00DB0460" w:rsidRPr="0097258B" w:rsidRDefault="00DB0460" w:rsidP="00E3321E">
            <w:pPr>
              <w:tabs>
                <w:tab w:val="num" w:pos="210"/>
              </w:tabs>
              <w:spacing w:after="0" w:line="240" w:lineRule="auto"/>
              <w:jc w:val="both"/>
              <w:rPr>
                <w:rFonts w:ascii="Times New Roman" w:eastAsia="Times New Roman" w:hAnsi="Times New Roman"/>
                <w:b/>
                <w:color w:val="000000" w:themeColor="text1"/>
                <w:sz w:val="20"/>
                <w:szCs w:val="20"/>
                <w:lang w:eastAsia="fr-FR"/>
              </w:rPr>
            </w:pPr>
            <w:r w:rsidRPr="0097258B">
              <w:rPr>
                <w:rFonts w:ascii="Times New Roman" w:eastAsia="Times New Roman" w:hAnsi="Times New Roman"/>
                <w:b/>
                <w:color w:val="000000" w:themeColor="text1"/>
                <w:sz w:val="20"/>
                <w:szCs w:val="20"/>
                <w:lang w:eastAsia="fr-FR"/>
              </w:rPr>
              <w:t>22</w:t>
            </w:r>
          </w:p>
        </w:tc>
        <w:tc>
          <w:tcPr>
            <w:tcW w:w="370" w:type="pct"/>
            <w:tcBorders>
              <w:top w:val="single" w:sz="4" w:space="0" w:color="auto"/>
              <w:left w:val="single" w:sz="4" w:space="0" w:color="auto"/>
              <w:bottom w:val="single" w:sz="4" w:space="0" w:color="auto"/>
              <w:right w:val="single" w:sz="4" w:space="0" w:color="auto"/>
            </w:tcBorders>
            <w:vAlign w:val="center"/>
          </w:tcPr>
          <w:p w14:paraId="58145F79" w14:textId="77777777" w:rsidR="00DB0460" w:rsidRPr="0097258B" w:rsidRDefault="00DB0460" w:rsidP="00E3321E">
            <w:pPr>
              <w:tabs>
                <w:tab w:val="num" w:pos="210"/>
                <w:tab w:val="num" w:pos="503"/>
              </w:tabs>
              <w:spacing w:after="0" w:line="240" w:lineRule="auto"/>
              <w:ind w:left="210" w:hanging="210"/>
              <w:jc w:val="both"/>
              <w:rPr>
                <w:rFonts w:ascii="Times New Roman" w:eastAsia="Times New Roman" w:hAnsi="Times New Roman"/>
                <w:bCs/>
                <w:color w:val="000000" w:themeColor="text1"/>
                <w:sz w:val="20"/>
                <w:szCs w:val="20"/>
                <w:lang w:eastAsia="fr-FR"/>
              </w:rPr>
            </w:pPr>
            <w:r w:rsidRPr="0097258B">
              <w:rPr>
                <w:rFonts w:ascii="Times New Roman" w:eastAsia="Times New Roman" w:hAnsi="Times New Roman"/>
                <w:bCs/>
                <w:color w:val="000000" w:themeColor="text1"/>
                <w:sz w:val="20"/>
                <w:szCs w:val="20"/>
                <w:lang w:eastAsia="fr-FR"/>
              </w:rPr>
              <w:t xml:space="preserve">Accident </w:t>
            </w:r>
          </w:p>
        </w:tc>
        <w:tc>
          <w:tcPr>
            <w:tcW w:w="370" w:type="pct"/>
            <w:tcBorders>
              <w:top w:val="single" w:sz="4" w:space="0" w:color="auto"/>
              <w:left w:val="single" w:sz="4" w:space="0" w:color="auto"/>
              <w:bottom w:val="single" w:sz="4" w:space="0" w:color="auto"/>
              <w:right w:val="single" w:sz="4" w:space="0" w:color="auto"/>
            </w:tcBorders>
            <w:vAlign w:val="center"/>
          </w:tcPr>
          <w:p w14:paraId="209F7A87" w14:textId="77777777" w:rsidR="00DB0460" w:rsidRPr="0097258B" w:rsidRDefault="00DB0460" w:rsidP="00E3321E">
            <w:pPr>
              <w:tabs>
                <w:tab w:val="num" w:pos="210"/>
                <w:tab w:val="num" w:pos="503"/>
              </w:tabs>
              <w:spacing w:after="0" w:line="240" w:lineRule="auto"/>
              <w:ind w:left="210" w:hanging="210"/>
              <w:jc w:val="both"/>
              <w:rPr>
                <w:rFonts w:ascii="Times New Roman" w:eastAsia="Times New Roman" w:hAnsi="Times New Roman"/>
                <w:bCs/>
                <w:color w:val="000000" w:themeColor="text1"/>
                <w:sz w:val="20"/>
                <w:szCs w:val="20"/>
                <w:lang w:eastAsia="fr-FR"/>
              </w:rPr>
            </w:pPr>
            <w:r w:rsidRPr="0097258B">
              <w:rPr>
                <w:rFonts w:ascii="Times New Roman" w:eastAsia="Times New Roman" w:hAnsi="Times New Roman"/>
                <w:bCs/>
                <w:color w:val="000000" w:themeColor="text1"/>
                <w:sz w:val="20"/>
                <w:szCs w:val="20"/>
                <w:lang w:eastAsia="fr-FR"/>
              </w:rPr>
              <w:t>Rapide</w:t>
            </w:r>
          </w:p>
        </w:tc>
      </w:tr>
      <w:tr w:rsidR="00E3321E" w:rsidRPr="009B46E2" w14:paraId="6484007E" w14:textId="77777777" w:rsidTr="00E3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35"/>
        </w:trPr>
        <w:tc>
          <w:tcPr>
            <w:tcW w:w="509" w:type="pct"/>
            <w:tcBorders>
              <w:top w:val="single" w:sz="4" w:space="0" w:color="auto"/>
              <w:left w:val="single" w:sz="4" w:space="0" w:color="auto"/>
              <w:bottom w:val="single" w:sz="4" w:space="0" w:color="auto"/>
              <w:right w:val="single" w:sz="4" w:space="0" w:color="auto"/>
            </w:tcBorders>
            <w:vAlign w:val="center"/>
          </w:tcPr>
          <w:p w14:paraId="3C322347" w14:textId="77777777" w:rsidR="00DB0460" w:rsidRPr="0097258B" w:rsidRDefault="00DB0460" w:rsidP="00E3321E">
            <w:pPr>
              <w:spacing w:after="0" w:line="240" w:lineRule="auto"/>
              <w:jc w:val="center"/>
              <w:rPr>
                <w:rFonts w:ascii="Times New Roman" w:eastAsia="Times New Roman" w:hAnsi="Times New Roman"/>
                <w:bCs/>
                <w:color w:val="000000" w:themeColor="text1"/>
                <w:sz w:val="20"/>
                <w:szCs w:val="20"/>
                <w:lang w:eastAsia="fr-FR"/>
              </w:rPr>
            </w:pPr>
            <w:r w:rsidRPr="0097258B">
              <w:rPr>
                <w:rFonts w:ascii="Times New Roman" w:eastAsia="Times New Roman" w:hAnsi="Times New Roman"/>
                <w:bCs/>
                <w:color w:val="000000" w:themeColor="text1"/>
                <w:sz w:val="20"/>
                <w:szCs w:val="20"/>
                <w:lang w:eastAsia="fr-FR"/>
              </w:rPr>
              <w:lastRenderedPageBreak/>
              <w:t xml:space="preserve">Affaissement de l’ouvrage </w:t>
            </w:r>
          </w:p>
          <w:p w14:paraId="6A803A06" w14:textId="77777777" w:rsidR="00DB0460" w:rsidRPr="0097258B" w:rsidRDefault="00DB0460" w:rsidP="00E3321E">
            <w:pPr>
              <w:tabs>
                <w:tab w:val="num" w:pos="720"/>
              </w:tabs>
              <w:spacing w:after="0" w:line="240" w:lineRule="auto"/>
              <w:jc w:val="both"/>
              <w:rPr>
                <w:rFonts w:ascii="Times New Roman" w:eastAsia="Cambria" w:hAnsi="Times New Roman"/>
                <w:b/>
                <w:color w:val="000000" w:themeColor="text1"/>
                <w:sz w:val="20"/>
                <w:szCs w:val="20"/>
                <w:lang w:eastAsia="fr-FR"/>
              </w:rPr>
            </w:pPr>
          </w:p>
        </w:tc>
        <w:tc>
          <w:tcPr>
            <w:tcW w:w="509" w:type="pct"/>
            <w:tcBorders>
              <w:top w:val="single" w:sz="4" w:space="0" w:color="auto"/>
              <w:left w:val="single" w:sz="4" w:space="0" w:color="auto"/>
              <w:bottom w:val="single" w:sz="4" w:space="0" w:color="auto"/>
              <w:right w:val="single" w:sz="4" w:space="0" w:color="auto"/>
            </w:tcBorders>
            <w:vAlign w:val="center"/>
          </w:tcPr>
          <w:p w14:paraId="543EF336" w14:textId="77777777" w:rsidR="00DB0460" w:rsidRPr="0097258B" w:rsidRDefault="00DB0460" w:rsidP="001748C6">
            <w:pPr>
              <w:pStyle w:val="Paragraphedeliste"/>
              <w:numPr>
                <w:ilvl w:val="0"/>
                <w:numId w:val="345"/>
              </w:numPr>
              <w:autoSpaceDE w:val="0"/>
              <w:autoSpaceDN w:val="0"/>
              <w:adjustRightInd w:val="0"/>
              <w:spacing w:after="0" w:line="240" w:lineRule="auto"/>
              <w:ind w:left="317" w:hanging="283"/>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Charge excessive</w:t>
            </w:r>
          </w:p>
          <w:p w14:paraId="0E054233" w14:textId="77777777" w:rsidR="00DB0460" w:rsidRPr="0097258B" w:rsidRDefault="00DB0460" w:rsidP="001748C6">
            <w:pPr>
              <w:pStyle w:val="Paragraphedeliste"/>
              <w:numPr>
                <w:ilvl w:val="0"/>
                <w:numId w:val="345"/>
              </w:numPr>
              <w:autoSpaceDE w:val="0"/>
              <w:autoSpaceDN w:val="0"/>
              <w:adjustRightInd w:val="0"/>
              <w:spacing w:after="0" w:line="240" w:lineRule="auto"/>
              <w:ind w:left="317" w:hanging="283"/>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Erreur de dimensionnement</w:t>
            </w:r>
          </w:p>
          <w:p w14:paraId="7AC9615C" w14:textId="77777777" w:rsidR="00DB0460" w:rsidRPr="0097258B" w:rsidRDefault="00DB0460" w:rsidP="001748C6">
            <w:pPr>
              <w:pStyle w:val="Paragraphedeliste"/>
              <w:numPr>
                <w:ilvl w:val="0"/>
                <w:numId w:val="345"/>
              </w:numPr>
              <w:autoSpaceDE w:val="0"/>
              <w:autoSpaceDN w:val="0"/>
              <w:adjustRightInd w:val="0"/>
              <w:spacing w:after="0" w:line="240" w:lineRule="auto"/>
              <w:ind w:left="317" w:hanging="283"/>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Erreur humaine lors des travaux d’entretien</w:t>
            </w:r>
          </w:p>
          <w:p w14:paraId="1AA90787" w14:textId="77777777" w:rsidR="00DB0460" w:rsidRPr="0097258B" w:rsidRDefault="00DB0460" w:rsidP="00E3321E">
            <w:pPr>
              <w:autoSpaceDE w:val="0"/>
              <w:autoSpaceDN w:val="0"/>
              <w:adjustRightInd w:val="0"/>
              <w:spacing w:after="0" w:line="240" w:lineRule="auto"/>
              <w:contextualSpacing/>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Malveillance </w:t>
            </w:r>
          </w:p>
        </w:tc>
        <w:tc>
          <w:tcPr>
            <w:tcW w:w="583" w:type="pct"/>
            <w:tcBorders>
              <w:top w:val="single" w:sz="4" w:space="0" w:color="auto"/>
              <w:left w:val="single" w:sz="4" w:space="0" w:color="auto"/>
              <w:bottom w:val="single" w:sz="4" w:space="0" w:color="auto"/>
              <w:right w:val="single" w:sz="4" w:space="0" w:color="auto"/>
            </w:tcBorders>
            <w:vAlign w:val="center"/>
          </w:tcPr>
          <w:p w14:paraId="61927851" w14:textId="77777777" w:rsidR="00DB0460" w:rsidRPr="0097258B" w:rsidRDefault="00DB0460" w:rsidP="001748C6">
            <w:pPr>
              <w:pStyle w:val="Paragraphedeliste"/>
              <w:numPr>
                <w:ilvl w:val="0"/>
                <w:numId w:val="345"/>
              </w:numPr>
              <w:autoSpaceDE w:val="0"/>
              <w:autoSpaceDN w:val="0"/>
              <w:adjustRightInd w:val="0"/>
              <w:spacing w:after="0" w:line="240" w:lineRule="auto"/>
              <w:ind w:left="317" w:hanging="283"/>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Perte de vie humaine et d’équipements</w:t>
            </w:r>
          </w:p>
          <w:p w14:paraId="4B1EB70F" w14:textId="77777777" w:rsidR="00DB0460" w:rsidRPr="0097258B" w:rsidRDefault="00DB0460" w:rsidP="001748C6">
            <w:pPr>
              <w:pStyle w:val="Paragraphedeliste"/>
              <w:numPr>
                <w:ilvl w:val="0"/>
                <w:numId w:val="345"/>
              </w:numPr>
              <w:autoSpaceDE w:val="0"/>
              <w:autoSpaceDN w:val="0"/>
              <w:adjustRightInd w:val="0"/>
              <w:spacing w:after="0" w:line="240" w:lineRule="auto"/>
              <w:ind w:left="317" w:hanging="283"/>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Inondation</w:t>
            </w:r>
          </w:p>
          <w:p w14:paraId="7461890C" w14:textId="77777777" w:rsidR="00DB0460" w:rsidRPr="0097258B" w:rsidRDefault="00DB0460" w:rsidP="001748C6">
            <w:pPr>
              <w:pStyle w:val="Paragraphedeliste"/>
              <w:numPr>
                <w:ilvl w:val="0"/>
                <w:numId w:val="345"/>
              </w:numPr>
              <w:autoSpaceDE w:val="0"/>
              <w:autoSpaceDN w:val="0"/>
              <w:adjustRightInd w:val="0"/>
              <w:spacing w:after="0" w:line="240" w:lineRule="auto"/>
              <w:ind w:left="317" w:hanging="283"/>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Blessure irréversible</w:t>
            </w:r>
          </w:p>
          <w:p w14:paraId="5CD37FF4" w14:textId="77777777" w:rsidR="00DB0460" w:rsidRPr="0097258B" w:rsidRDefault="00DB0460" w:rsidP="00E3321E">
            <w:pPr>
              <w:tabs>
                <w:tab w:val="num" w:pos="720"/>
              </w:tabs>
              <w:autoSpaceDE w:val="0"/>
              <w:autoSpaceDN w:val="0"/>
              <w:adjustRightInd w:val="0"/>
              <w:spacing w:after="0" w:line="240" w:lineRule="auto"/>
              <w:ind w:left="210"/>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Panique</w:t>
            </w:r>
          </w:p>
        </w:tc>
        <w:tc>
          <w:tcPr>
            <w:tcW w:w="185" w:type="pct"/>
            <w:tcBorders>
              <w:top w:val="single" w:sz="4" w:space="0" w:color="auto"/>
              <w:left w:val="single" w:sz="4" w:space="0" w:color="auto"/>
              <w:bottom w:val="single" w:sz="4" w:space="0" w:color="auto"/>
              <w:right w:val="single" w:sz="4" w:space="0" w:color="auto"/>
            </w:tcBorders>
            <w:vAlign w:val="center"/>
          </w:tcPr>
          <w:p w14:paraId="38E09160" w14:textId="77777777" w:rsidR="00DB0460" w:rsidRPr="0097258B" w:rsidRDefault="00DB0460" w:rsidP="00E3321E">
            <w:pPr>
              <w:spacing w:after="0" w:line="240" w:lineRule="auto"/>
              <w:jc w:val="both"/>
              <w:rPr>
                <w:rFonts w:ascii="Times New Roman" w:eastAsia="Times New Roman" w:hAnsi="Times New Roman"/>
                <w:b/>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3</w:t>
            </w:r>
          </w:p>
        </w:tc>
        <w:tc>
          <w:tcPr>
            <w:tcW w:w="185" w:type="pct"/>
            <w:tcBorders>
              <w:top w:val="single" w:sz="4" w:space="0" w:color="auto"/>
              <w:left w:val="single" w:sz="4" w:space="0" w:color="auto"/>
              <w:bottom w:val="single" w:sz="4" w:space="0" w:color="auto"/>
              <w:right w:val="single" w:sz="4" w:space="0" w:color="auto"/>
            </w:tcBorders>
            <w:vAlign w:val="center"/>
          </w:tcPr>
          <w:p w14:paraId="1A35F2A2" w14:textId="77777777" w:rsidR="00DB0460" w:rsidRPr="0097258B" w:rsidRDefault="00DB0460" w:rsidP="00E3321E">
            <w:pPr>
              <w:spacing w:after="0" w:line="240" w:lineRule="auto"/>
              <w:jc w:val="both"/>
              <w:rPr>
                <w:rFonts w:ascii="Times New Roman" w:eastAsia="Times New Roman" w:hAnsi="Times New Roman"/>
                <w:b/>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2</w:t>
            </w:r>
          </w:p>
        </w:tc>
        <w:tc>
          <w:tcPr>
            <w:tcW w:w="184" w:type="pct"/>
            <w:tcBorders>
              <w:top w:val="single" w:sz="4" w:space="0" w:color="auto"/>
              <w:left w:val="single" w:sz="4" w:space="0" w:color="auto"/>
              <w:bottom w:val="single" w:sz="4" w:space="0" w:color="auto"/>
              <w:right w:val="single" w:sz="4" w:space="0" w:color="auto"/>
            </w:tcBorders>
            <w:shd w:val="clear" w:color="auto" w:fill="FFFF00"/>
            <w:vAlign w:val="center"/>
          </w:tcPr>
          <w:p w14:paraId="22A9F3C4" w14:textId="77777777" w:rsidR="00DB0460" w:rsidRPr="0097258B" w:rsidRDefault="00DB0460" w:rsidP="00E3321E">
            <w:pPr>
              <w:spacing w:after="0" w:line="240" w:lineRule="auto"/>
              <w:jc w:val="both"/>
              <w:rPr>
                <w:rFonts w:ascii="Times New Roman" w:eastAsia="Times New Roman" w:hAnsi="Times New Roman"/>
                <w:b/>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32</w:t>
            </w:r>
          </w:p>
        </w:tc>
        <w:tc>
          <w:tcPr>
            <w:tcW w:w="692" w:type="pct"/>
            <w:gridSpan w:val="2"/>
            <w:tcBorders>
              <w:top w:val="single" w:sz="4" w:space="0" w:color="auto"/>
              <w:left w:val="single" w:sz="4" w:space="0" w:color="auto"/>
              <w:bottom w:val="single" w:sz="4" w:space="0" w:color="auto"/>
              <w:right w:val="single" w:sz="4" w:space="0" w:color="auto"/>
            </w:tcBorders>
            <w:vAlign w:val="center"/>
          </w:tcPr>
          <w:p w14:paraId="6CF9618B" w14:textId="77777777" w:rsidR="00DB0460" w:rsidRPr="0097258B" w:rsidRDefault="00DB0460" w:rsidP="00E3321E">
            <w:pPr>
              <w:autoSpaceDE w:val="0"/>
              <w:autoSpaceDN w:val="0"/>
              <w:adjustRightInd w:val="0"/>
              <w:spacing w:after="0" w:line="240" w:lineRule="auto"/>
              <w:contextualSpacing/>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Procédure pour l’entretien de l’ouvrage </w:t>
            </w:r>
          </w:p>
          <w:p w14:paraId="36200C4E" w14:textId="77777777" w:rsidR="00DB0460" w:rsidRPr="0097258B" w:rsidRDefault="00DB0460" w:rsidP="00E3321E">
            <w:pPr>
              <w:autoSpaceDE w:val="0"/>
              <w:autoSpaceDN w:val="0"/>
              <w:adjustRightInd w:val="0"/>
              <w:spacing w:after="0" w:line="240" w:lineRule="auto"/>
              <w:contextualSpacing/>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Procédure de réception </w:t>
            </w:r>
          </w:p>
        </w:tc>
        <w:tc>
          <w:tcPr>
            <w:tcW w:w="278" w:type="pct"/>
            <w:tcBorders>
              <w:top w:val="single" w:sz="4" w:space="0" w:color="auto"/>
              <w:left w:val="single" w:sz="4" w:space="0" w:color="auto"/>
              <w:bottom w:val="single" w:sz="4" w:space="0" w:color="auto"/>
              <w:right w:val="single" w:sz="4" w:space="0" w:color="auto"/>
            </w:tcBorders>
            <w:vAlign w:val="center"/>
          </w:tcPr>
          <w:p w14:paraId="0684DB17" w14:textId="77777777" w:rsidR="00DB0460" w:rsidRPr="0097258B" w:rsidRDefault="00DB0460" w:rsidP="00E3321E">
            <w:pPr>
              <w:spacing w:after="0" w:line="240" w:lineRule="auto"/>
              <w:jc w:val="both"/>
              <w:rPr>
                <w:rFonts w:ascii="Times New Roman" w:eastAsia="Times New Roman" w:hAnsi="Times New Roman"/>
                <w:b/>
                <w:color w:val="000000" w:themeColor="text1"/>
                <w:sz w:val="20"/>
                <w:szCs w:val="20"/>
                <w:lang w:eastAsia="fr-FR"/>
              </w:rPr>
            </w:pPr>
            <w:r w:rsidRPr="0097258B">
              <w:rPr>
                <w:rFonts w:ascii="Times New Roman" w:eastAsia="Times New Roman" w:hAnsi="Times New Roman"/>
                <w:b/>
                <w:color w:val="000000" w:themeColor="text1"/>
                <w:sz w:val="20"/>
                <w:szCs w:val="20"/>
                <w:lang w:eastAsia="fr-FR"/>
              </w:rPr>
              <w:t>2</w:t>
            </w:r>
          </w:p>
        </w:tc>
        <w:tc>
          <w:tcPr>
            <w:tcW w:w="736" w:type="pct"/>
            <w:tcBorders>
              <w:top w:val="single" w:sz="4" w:space="0" w:color="auto"/>
              <w:left w:val="single" w:sz="4" w:space="0" w:color="auto"/>
              <w:bottom w:val="single" w:sz="4" w:space="0" w:color="auto"/>
              <w:right w:val="single" w:sz="4" w:space="0" w:color="auto"/>
            </w:tcBorders>
            <w:vAlign w:val="center"/>
          </w:tcPr>
          <w:p w14:paraId="31D5B129" w14:textId="22DFA7C9" w:rsidR="00DB0460" w:rsidRPr="0097258B" w:rsidRDefault="005A5E13" w:rsidP="00E3321E">
            <w:pPr>
              <w:autoSpaceDE w:val="0"/>
              <w:autoSpaceDN w:val="0"/>
              <w:adjustRightInd w:val="0"/>
              <w:spacing w:after="0" w:line="240" w:lineRule="auto"/>
              <w:contextualSpacing/>
              <w:rPr>
                <w:rFonts w:ascii="Times New Roman" w:hAnsi="Times New Roman"/>
                <w:color w:val="000000" w:themeColor="text1"/>
                <w:sz w:val="20"/>
                <w:szCs w:val="20"/>
              </w:rPr>
            </w:pPr>
            <w:r w:rsidRPr="0097258B">
              <w:rPr>
                <w:rFonts w:ascii="Times New Roman" w:hAnsi="Times New Roman"/>
                <w:color w:val="000000" w:themeColor="text1"/>
                <w:sz w:val="20"/>
                <w:szCs w:val="20"/>
              </w:rPr>
              <w:t>É</w:t>
            </w:r>
            <w:r w:rsidR="00DB0460" w:rsidRPr="0097258B">
              <w:rPr>
                <w:rFonts w:ascii="Times New Roman" w:hAnsi="Times New Roman"/>
                <w:color w:val="000000" w:themeColor="text1"/>
                <w:sz w:val="20"/>
                <w:szCs w:val="20"/>
              </w:rPr>
              <w:t>tablir un périmètre de sécurité</w:t>
            </w:r>
          </w:p>
        </w:tc>
        <w:tc>
          <w:tcPr>
            <w:tcW w:w="167" w:type="pct"/>
            <w:tcBorders>
              <w:top w:val="single" w:sz="4" w:space="0" w:color="auto"/>
              <w:left w:val="single" w:sz="4" w:space="0" w:color="auto"/>
              <w:bottom w:val="single" w:sz="4" w:space="0" w:color="auto"/>
              <w:right w:val="single" w:sz="4" w:space="0" w:color="auto"/>
            </w:tcBorders>
            <w:vAlign w:val="center"/>
          </w:tcPr>
          <w:p w14:paraId="6DFA4763" w14:textId="77777777" w:rsidR="00DB0460" w:rsidRPr="0097258B" w:rsidRDefault="00DB0460" w:rsidP="00E3321E">
            <w:pPr>
              <w:spacing w:after="0" w:line="240" w:lineRule="auto"/>
              <w:jc w:val="center"/>
              <w:rPr>
                <w:rFonts w:ascii="Times New Roman" w:eastAsia="Times New Roman" w:hAnsi="Times New Roman"/>
                <w:color w:val="000000" w:themeColor="text1"/>
                <w:sz w:val="20"/>
                <w:szCs w:val="20"/>
                <w:lang w:eastAsia="fr-FR"/>
              </w:rPr>
            </w:pPr>
          </w:p>
          <w:p w14:paraId="35918478" w14:textId="77777777" w:rsidR="00DB0460" w:rsidRPr="0097258B" w:rsidRDefault="00DB0460" w:rsidP="00E3321E">
            <w:pPr>
              <w:spacing w:after="0" w:line="240" w:lineRule="auto"/>
              <w:jc w:val="center"/>
              <w:rPr>
                <w:rFonts w:ascii="Times New Roman" w:eastAsia="Times New Roman" w:hAnsi="Times New Roman"/>
                <w:color w:val="000000" w:themeColor="text1"/>
                <w:sz w:val="20"/>
                <w:szCs w:val="20"/>
                <w:lang w:eastAsia="fr-FR"/>
              </w:rPr>
            </w:pPr>
          </w:p>
          <w:p w14:paraId="2A93D1D4" w14:textId="77777777" w:rsidR="00DB0460" w:rsidRPr="0097258B" w:rsidRDefault="00DB0460" w:rsidP="00E3321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2</w:t>
            </w:r>
          </w:p>
          <w:p w14:paraId="03E56A84" w14:textId="77777777" w:rsidR="00DB0460" w:rsidRPr="0097258B" w:rsidRDefault="00DB0460" w:rsidP="00E3321E">
            <w:pPr>
              <w:spacing w:after="0" w:line="240" w:lineRule="auto"/>
              <w:jc w:val="center"/>
              <w:rPr>
                <w:rFonts w:ascii="Times New Roman" w:eastAsia="Times New Roman" w:hAnsi="Times New Roman"/>
                <w:color w:val="000000" w:themeColor="text1"/>
                <w:sz w:val="20"/>
                <w:szCs w:val="20"/>
                <w:lang w:eastAsia="fr-FR"/>
              </w:rPr>
            </w:pPr>
          </w:p>
          <w:p w14:paraId="1333FBC9" w14:textId="77777777" w:rsidR="00DB0460" w:rsidRPr="0097258B" w:rsidRDefault="00DB0460" w:rsidP="00E3321E">
            <w:pPr>
              <w:spacing w:after="0" w:line="240" w:lineRule="auto"/>
              <w:jc w:val="center"/>
              <w:rPr>
                <w:rFonts w:ascii="Times New Roman" w:eastAsia="Times New Roman" w:hAnsi="Times New Roman"/>
                <w:color w:val="000000" w:themeColor="text1"/>
                <w:sz w:val="20"/>
                <w:szCs w:val="20"/>
                <w:lang w:eastAsia="fr-FR"/>
              </w:rPr>
            </w:pPr>
          </w:p>
          <w:p w14:paraId="4C4EF97A" w14:textId="77777777" w:rsidR="00DB0460" w:rsidRPr="0097258B" w:rsidRDefault="00DB0460" w:rsidP="00E3321E">
            <w:pPr>
              <w:spacing w:after="0" w:line="240" w:lineRule="auto"/>
              <w:jc w:val="both"/>
              <w:rPr>
                <w:rFonts w:ascii="Times New Roman" w:eastAsia="Times New Roman" w:hAnsi="Times New Roman"/>
                <w:b/>
                <w:color w:val="000000" w:themeColor="text1"/>
                <w:sz w:val="20"/>
                <w:szCs w:val="20"/>
                <w:lang w:eastAsia="fr-FR"/>
              </w:rPr>
            </w:pPr>
          </w:p>
        </w:tc>
        <w:tc>
          <w:tcPr>
            <w:tcW w:w="231" w:type="pct"/>
            <w:tcBorders>
              <w:top w:val="single" w:sz="4" w:space="0" w:color="auto"/>
              <w:left w:val="single" w:sz="4" w:space="0" w:color="auto"/>
              <w:bottom w:val="single" w:sz="4" w:space="0" w:color="auto"/>
              <w:right w:val="single" w:sz="4" w:space="0" w:color="auto"/>
            </w:tcBorders>
            <w:shd w:val="clear" w:color="auto" w:fill="00B050"/>
            <w:vAlign w:val="center"/>
          </w:tcPr>
          <w:p w14:paraId="0CC5A4A6" w14:textId="77777777" w:rsidR="00DB0460" w:rsidRPr="0097258B" w:rsidRDefault="00DB0460" w:rsidP="00E3321E">
            <w:pPr>
              <w:spacing w:after="0" w:line="240" w:lineRule="auto"/>
              <w:jc w:val="center"/>
              <w:rPr>
                <w:rFonts w:ascii="Times New Roman" w:eastAsia="Times New Roman" w:hAnsi="Times New Roman"/>
                <w:color w:val="000000" w:themeColor="text1"/>
                <w:sz w:val="20"/>
                <w:szCs w:val="20"/>
                <w:lang w:eastAsia="fr-FR"/>
              </w:rPr>
            </w:pPr>
          </w:p>
          <w:p w14:paraId="154A3A4A" w14:textId="77777777" w:rsidR="00DB0460" w:rsidRPr="0097258B" w:rsidRDefault="00DB0460" w:rsidP="00E3321E">
            <w:pPr>
              <w:spacing w:after="0" w:line="240" w:lineRule="auto"/>
              <w:jc w:val="center"/>
              <w:rPr>
                <w:rFonts w:ascii="Times New Roman" w:eastAsia="Times New Roman" w:hAnsi="Times New Roman"/>
                <w:color w:val="000000" w:themeColor="text1"/>
                <w:sz w:val="20"/>
                <w:szCs w:val="20"/>
                <w:lang w:eastAsia="fr-FR"/>
              </w:rPr>
            </w:pPr>
          </w:p>
          <w:p w14:paraId="5BAAF562" w14:textId="77777777" w:rsidR="00DB0460" w:rsidRPr="0097258B" w:rsidRDefault="00DB0460" w:rsidP="00E3321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22</w:t>
            </w:r>
          </w:p>
          <w:p w14:paraId="48949BE6" w14:textId="77777777" w:rsidR="00DB0460" w:rsidRPr="0097258B" w:rsidRDefault="00DB0460" w:rsidP="00E3321E">
            <w:pPr>
              <w:spacing w:after="0" w:line="240" w:lineRule="auto"/>
              <w:jc w:val="center"/>
              <w:rPr>
                <w:rFonts w:ascii="Times New Roman" w:eastAsia="Times New Roman" w:hAnsi="Times New Roman"/>
                <w:color w:val="000000" w:themeColor="text1"/>
                <w:sz w:val="20"/>
                <w:szCs w:val="20"/>
                <w:lang w:eastAsia="fr-FR"/>
              </w:rPr>
            </w:pPr>
          </w:p>
          <w:p w14:paraId="082DA498" w14:textId="77777777" w:rsidR="00DB0460" w:rsidRPr="0097258B" w:rsidRDefault="00DB0460" w:rsidP="00E3321E">
            <w:pPr>
              <w:tabs>
                <w:tab w:val="num" w:pos="210"/>
              </w:tabs>
              <w:spacing w:after="0" w:line="240" w:lineRule="auto"/>
              <w:jc w:val="both"/>
              <w:rPr>
                <w:rFonts w:ascii="Times New Roman" w:eastAsia="Times New Roman" w:hAnsi="Times New Roman"/>
                <w:b/>
                <w:color w:val="000000" w:themeColor="text1"/>
                <w:sz w:val="20"/>
                <w:szCs w:val="20"/>
                <w:lang w:eastAsia="fr-FR"/>
              </w:rPr>
            </w:pPr>
          </w:p>
        </w:tc>
        <w:tc>
          <w:tcPr>
            <w:tcW w:w="370" w:type="pct"/>
            <w:tcBorders>
              <w:top w:val="single" w:sz="4" w:space="0" w:color="auto"/>
              <w:left w:val="single" w:sz="4" w:space="0" w:color="auto"/>
              <w:bottom w:val="single" w:sz="4" w:space="0" w:color="auto"/>
              <w:right w:val="single" w:sz="4" w:space="0" w:color="auto"/>
            </w:tcBorders>
            <w:vAlign w:val="center"/>
          </w:tcPr>
          <w:p w14:paraId="5A100D1F" w14:textId="77777777" w:rsidR="00DB0460" w:rsidRPr="0097258B" w:rsidRDefault="00DB0460" w:rsidP="00E3321E">
            <w:pPr>
              <w:tabs>
                <w:tab w:val="num" w:pos="210"/>
                <w:tab w:val="num" w:pos="503"/>
              </w:tabs>
              <w:spacing w:after="0" w:line="240" w:lineRule="auto"/>
              <w:ind w:left="210" w:hanging="210"/>
              <w:jc w:val="both"/>
              <w:rPr>
                <w:rFonts w:ascii="Times New Roman" w:eastAsia="Times New Roman" w:hAnsi="Times New Roman"/>
                <w:bCs/>
                <w:color w:val="000000" w:themeColor="text1"/>
                <w:sz w:val="20"/>
                <w:szCs w:val="20"/>
                <w:lang w:eastAsia="fr-FR"/>
              </w:rPr>
            </w:pPr>
            <w:r w:rsidRPr="0097258B">
              <w:rPr>
                <w:rFonts w:ascii="Times New Roman" w:eastAsia="Times New Roman" w:hAnsi="Times New Roman"/>
                <w:bCs/>
                <w:color w:val="000000" w:themeColor="text1"/>
                <w:sz w:val="20"/>
                <w:szCs w:val="20"/>
                <w:lang w:eastAsia="fr-FR"/>
              </w:rPr>
              <w:t xml:space="preserve">Inondation </w:t>
            </w:r>
          </w:p>
        </w:tc>
        <w:tc>
          <w:tcPr>
            <w:tcW w:w="370" w:type="pct"/>
            <w:tcBorders>
              <w:top w:val="single" w:sz="4" w:space="0" w:color="auto"/>
              <w:left w:val="single" w:sz="4" w:space="0" w:color="auto"/>
              <w:bottom w:val="single" w:sz="4" w:space="0" w:color="auto"/>
              <w:right w:val="single" w:sz="4" w:space="0" w:color="auto"/>
            </w:tcBorders>
            <w:vAlign w:val="center"/>
          </w:tcPr>
          <w:p w14:paraId="34D4370E" w14:textId="77777777" w:rsidR="00DB0460" w:rsidRPr="0097258B" w:rsidRDefault="00DB0460" w:rsidP="00E3321E">
            <w:pPr>
              <w:spacing w:after="0" w:line="240" w:lineRule="auto"/>
              <w:jc w:val="center"/>
              <w:rPr>
                <w:rFonts w:ascii="Times New Roman" w:eastAsia="Times New Roman" w:hAnsi="Times New Roman"/>
                <w:bCs/>
                <w:color w:val="000000" w:themeColor="text1"/>
                <w:sz w:val="20"/>
                <w:szCs w:val="20"/>
                <w:lang w:eastAsia="fr-FR"/>
              </w:rPr>
            </w:pPr>
          </w:p>
          <w:p w14:paraId="4C50D0ED" w14:textId="77777777" w:rsidR="00DB0460" w:rsidRPr="0097258B" w:rsidRDefault="00DB0460" w:rsidP="00E3321E">
            <w:pPr>
              <w:spacing w:after="0" w:line="240" w:lineRule="auto"/>
              <w:jc w:val="center"/>
              <w:rPr>
                <w:rFonts w:ascii="Times New Roman" w:eastAsia="Times New Roman" w:hAnsi="Times New Roman"/>
                <w:bCs/>
                <w:color w:val="000000" w:themeColor="text1"/>
                <w:sz w:val="20"/>
                <w:szCs w:val="20"/>
                <w:lang w:eastAsia="fr-FR"/>
              </w:rPr>
            </w:pPr>
          </w:p>
          <w:p w14:paraId="536C00D1" w14:textId="77777777" w:rsidR="00DB0460" w:rsidRPr="0097258B" w:rsidRDefault="00DB0460" w:rsidP="00E3321E">
            <w:pPr>
              <w:spacing w:after="0" w:line="240" w:lineRule="auto"/>
              <w:jc w:val="center"/>
              <w:rPr>
                <w:rFonts w:ascii="Times New Roman" w:eastAsia="Times New Roman" w:hAnsi="Times New Roman"/>
                <w:bCs/>
                <w:color w:val="000000" w:themeColor="text1"/>
                <w:sz w:val="20"/>
                <w:szCs w:val="20"/>
                <w:lang w:eastAsia="fr-FR"/>
              </w:rPr>
            </w:pPr>
            <w:r w:rsidRPr="0097258B">
              <w:rPr>
                <w:rFonts w:ascii="Times New Roman" w:eastAsia="Times New Roman" w:hAnsi="Times New Roman"/>
                <w:bCs/>
                <w:color w:val="000000" w:themeColor="text1"/>
                <w:sz w:val="20"/>
                <w:szCs w:val="20"/>
                <w:lang w:eastAsia="fr-FR"/>
              </w:rPr>
              <w:t>Rapide</w:t>
            </w:r>
          </w:p>
          <w:p w14:paraId="71684144" w14:textId="77777777" w:rsidR="00DB0460" w:rsidRPr="0097258B" w:rsidRDefault="00DB0460" w:rsidP="00E3321E">
            <w:pPr>
              <w:spacing w:after="0" w:line="240" w:lineRule="auto"/>
              <w:jc w:val="center"/>
              <w:rPr>
                <w:rFonts w:ascii="Times New Roman" w:eastAsia="Times New Roman" w:hAnsi="Times New Roman"/>
                <w:bCs/>
                <w:color w:val="000000" w:themeColor="text1"/>
                <w:sz w:val="20"/>
                <w:szCs w:val="20"/>
                <w:lang w:eastAsia="fr-FR"/>
              </w:rPr>
            </w:pPr>
          </w:p>
          <w:p w14:paraId="479CCAC2" w14:textId="77777777" w:rsidR="00DB0460" w:rsidRPr="0097258B" w:rsidRDefault="00DB0460" w:rsidP="00E3321E">
            <w:pPr>
              <w:spacing w:after="0" w:line="240" w:lineRule="auto"/>
              <w:jc w:val="center"/>
              <w:rPr>
                <w:rFonts w:ascii="Times New Roman" w:eastAsia="Times New Roman" w:hAnsi="Times New Roman"/>
                <w:bCs/>
                <w:color w:val="000000" w:themeColor="text1"/>
                <w:sz w:val="20"/>
                <w:szCs w:val="20"/>
                <w:lang w:eastAsia="fr-FR"/>
              </w:rPr>
            </w:pPr>
          </w:p>
          <w:p w14:paraId="651B5475" w14:textId="77777777" w:rsidR="00DB0460" w:rsidRPr="0097258B" w:rsidRDefault="00DB0460" w:rsidP="00E3321E">
            <w:pPr>
              <w:tabs>
                <w:tab w:val="num" w:pos="210"/>
                <w:tab w:val="num" w:pos="503"/>
              </w:tabs>
              <w:spacing w:after="0" w:line="240" w:lineRule="auto"/>
              <w:ind w:left="210" w:hanging="210"/>
              <w:jc w:val="both"/>
              <w:rPr>
                <w:rFonts w:ascii="Times New Roman" w:eastAsia="Times New Roman" w:hAnsi="Times New Roman"/>
                <w:bCs/>
                <w:color w:val="000000" w:themeColor="text1"/>
                <w:sz w:val="20"/>
                <w:szCs w:val="20"/>
                <w:lang w:eastAsia="fr-FR"/>
              </w:rPr>
            </w:pPr>
          </w:p>
        </w:tc>
      </w:tr>
      <w:tr w:rsidR="00E3321E" w:rsidRPr="009B46E2" w14:paraId="147308EB" w14:textId="77777777" w:rsidTr="00E3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42"/>
        </w:trPr>
        <w:tc>
          <w:tcPr>
            <w:tcW w:w="509" w:type="pct"/>
            <w:tcBorders>
              <w:top w:val="single" w:sz="4" w:space="0" w:color="auto"/>
              <w:left w:val="single" w:sz="4" w:space="0" w:color="auto"/>
              <w:bottom w:val="single" w:sz="4" w:space="0" w:color="auto"/>
              <w:right w:val="single" w:sz="4" w:space="0" w:color="auto"/>
            </w:tcBorders>
            <w:vAlign w:val="center"/>
          </w:tcPr>
          <w:p w14:paraId="3713C282"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 xml:space="preserve">Dysfonctionnement des collecteurs </w:t>
            </w:r>
          </w:p>
        </w:tc>
        <w:tc>
          <w:tcPr>
            <w:tcW w:w="509" w:type="pct"/>
            <w:tcBorders>
              <w:top w:val="single" w:sz="4" w:space="0" w:color="auto"/>
              <w:left w:val="single" w:sz="4" w:space="0" w:color="auto"/>
              <w:bottom w:val="single" w:sz="4" w:space="0" w:color="auto"/>
              <w:right w:val="single" w:sz="4" w:space="0" w:color="auto"/>
            </w:tcBorders>
            <w:vAlign w:val="center"/>
          </w:tcPr>
          <w:p w14:paraId="0C19BBD0" w14:textId="77777777" w:rsidR="00DB0460" w:rsidRPr="0097258B" w:rsidRDefault="00DB0460" w:rsidP="00E3321E">
            <w:pPr>
              <w:tabs>
                <w:tab w:val="num" w:pos="720"/>
              </w:tabs>
              <w:autoSpaceDE w:val="0"/>
              <w:autoSpaceDN w:val="0"/>
              <w:adjustRightInd w:val="0"/>
              <w:spacing w:after="0" w:line="240" w:lineRule="auto"/>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Absence de maintenance</w:t>
            </w:r>
          </w:p>
          <w:p w14:paraId="5246D215" w14:textId="77777777" w:rsidR="00DB0460" w:rsidRPr="0097258B" w:rsidRDefault="00DB0460" w:rsidP="00E3321E">
            <w:pPr>
              <w:tabs>
                <w:tab w:val="num" w:pos="720"/>
              </w:tabs>
              <w:autoSpaceDE w:val="0"/>
              <w:autoSpaceDN w:val="0"/>
              <w:adjustRightInd w:val="0"/>
              <w:spacing w:after="0" w:line="240" w:lineRule="auto"/>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Défaillance intrinsèque</w:t>
            </w:r>
          </w:p>
          <w:p w14:paraId="01F66053" w14:textId="77777777" w:rsidR="00DB0460" w:rsidRPr="0097258B" w:rsidRDefault="00DB0460" w:rsidP="00E3321E">
            <w:pPr>
              <w:tabs>
                <w:tab w:val="num" w:pos="720"/>
              </w:tabs>
              <w:autoSpaceDE w:val="0"/>
              <w:autoSpaceDN w:val="0"/>
              <w:adjustRightInd w:val="0"/>
              <w:spacing w:after="0" w:line="240" w:lineRule="auto"/>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Défaut de conception ou de montage</w:t>
            </w:r>
          </w:p>
          <w:p w14:paraId="63DA0AD2" w14:textId="77777777" w:rsidR="00DB0460" w:rsidRPr="0097258B" w:rsidRDefault="00DB0460" w:rsidP="00E3321E">
            <w:pPr>
              <w:framePr w:hSpace="180" w:wrap="around" w:vAnchor="page" w:hAnchor="margin" w:y="1441"/>
              <w:tabs>
                <w:tab w:val="num" w:pos="720"/>
              </w:tabs>
              <w:autoSpaceDE w:val="0"/>
              <w:autoSpaceDN w:val="0"/>
              <w:adjustRightInd w:val="0"/>
              <w:spacing w:after="0" w:line="240" w:lineRule="auto"/>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Actes de malveillance</w:t>
            </w:r>
          </w:p>
        </w:tc>
        <w:tc>
          <w:tcPr>
            <w:tcW w:w="583" w:type="pct"/>
            <w:tcBorders>
              <w:top w:val="single" w:sz="4" w:space="0" w:color="auto"/>
              <w:left w:val="single" w:sz="4" w:space="0" w:color="auto"/>
              <w:bottom w:val="single" w:sz="4" w:space="0" w:color="auto"/>
              <w:right w:val="single" w:sz="4" w:space="0" w:color="auto"/>
            </w:tcBorders>
            <w:vAlign w:val="center"/>
          </w:tcPr>
          <w:p w14:paraId="3EDDFCBF" w14:textId="77777777" w:rsidR="00DB0460" w:rsidRPr="0097258B" w:rsidRDefault="00DB0460" w:rsidP="00E3321E">
            <w:pPr>
              <w:tabs>
                <w:tab w:val="num" w:pos="720"/>
              </w:tabs>
              <w:autoSpaceDE w:val="0"/>
              <w:autoSpaceDN w:val="0"/>
              <w:adjustRightInd w:val="0"/>
              <w:spacing w:after="0" w:line="240" w:lineRule="auto"/>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 xml:space="preserve">Inondation </w:t>
            </w:r>
          </w:p>
          <w:p w14:paraId="65360FCA" w14:textId="77777777" w:rsidR="00DB0460" w:rsidRPr="0097258B" w:rsidRDefault="00DB0460" w:rsidP="00E3321E">
            <w:pPr>
              <w:tabs>
                <w:tab w:val="num" w:pos="720"/>
              </w:tabs>
              <w:autoSpaceDE w:val="0"/>
              <w:autoSpaceDN w:val="0"/>
              <w:adjustRightInd w:val="0"/>
              <w:spacing w:after="0" w:line="240" w:lineRule="auto"/>
              <w:ind w:left="210"/>
              <w:jc w:val="both"/>
              <w:rPr>
                <w:rFonts w:ascii="Times New Roman" w:eastAsia="Cambria" w:hAnsi="Times New Roman"/>
                <w:color w:val="000000" w:themeColor="text1"/>
                <w:sz w:val="20"/>
                <w:szCs w:val="20"/>
              </w:rPr>
            </w:pPr>
          </w:p>
        </w:tc>
        <w:tc>
          <w:tcPr>
            <w:tcW w:w="185" w:type="pct"/>
            <w:tcBorders>
              <w:top w:val="single" w:sz="4" w:space="0" w:color="auto"/>
              <w:left w:val="single" w:sz="4" w:space="0" w:color="auto"/>
              <w:bottom w:val="single" w:sz="4" w:space="0" w:color="auto"/>
              <w:right w:val="single" w:sz="4" w:space="0" w:color="auto"/>
            </w:tcBorders>
            <w:vAlign w:val="center"/>
          </w:tcPr>
          <w:p w14:paraId="6608A181" w14:textId="77777777" w:rsidR="00DB0460" w:rsidRPr="0097258B" w:rsidRDefault="00DB0460" w:rsidP="00E3321E">
            <w:pPr>
              <w:spacing w:after="0" w:line="240" w:lineRule="auto"/>
              <w:jc w:val="both"/>
              <w:rPr>
                <w:rFonts w:ascii="Times New Roman" w:eastAsia="Cambria" w:hAnsi="Times New Roman"/>
                <w:color w:val="000000" w:themeColor="text1"/>
                <w:sz w:val="20"/>
                <w:szCs w:val="20"/>
              </w:rPr>
            </w:pPr>
            <w:r w:rsidRPr="0097258B">
              <w:rPr>
                <w:rFonts w:ascii="Times New Roman" w:eastAsia="Times New Roman" w:hAnsi="Times New Roman"/>
                <w:b/>
                <w:color w:val="000000" w:themeColor="text1"/>
                <w:sz w:val="20"/>
                <w:szCs w:val="20"/>
                <w:lang w:eastAsia="fr-FR"/>
              </w:rPr>
              <w:t>P3</w:t>
            </w:r>
          </w:p>
        </w:tc>
        <w:tc>
          <w:tcPr>
            <w:tcW w:w="185" w:type="pct"/>
            <w:tcBorders>
              <w:top w:val="single" w:sz="4" w:space="0" w:color="auto"/>
              <w:left w:val="single" w:sz="4" w:space="0" w:color="auto"/>
              <w:bottom w:val="single" w:sz="4" w:space="0" w:color="auto"/>
              <w:right w:val="single" w:sz="4" w:space="0" w:color="auto"/>
            </w:tcBorders>
            <w:vAlign w:val="center"/>
          </w:tcPr>
          <w:p w14:paraId="7428CBFE" w14:textId="77777777" w:rsidR="00DB0460" w:rsidRPr="0097258B" w:rsidRDefault="00DB0460" w:rsidP="00E3321E">
            <w:pPr>
              <w:spacing w:after="0" w:line="240" w:lineRule="auto"/>
              <w:jc w:val="both"/>
              <w:rPr>
                <w:rFonts w:ascii="Times New Roman" w:eastAsia="Cambria" w:hAnsi="Times New Roman"/>
                <w:color w:val="000000" w:themeColor="text1"/>
                <w:sz w:val="20"/>
                <w:szCs w:val="20"/>
              </w:rPr>
            </w:pPr>
            <w:r w:rsidRPr="0097258B">
              <w:rPr>
                <w:rFonts w:ascii="Times New Roman" w:eastAsia="Times New Roman" w:hAnsi="Times New Roman"/>
                <w:b/>
                <w:color w:val="000000" w:themeColor="text1"/>
                <w:sz w:val="20"/>
                <w:szCs w:val="20"/>
                <w:lang w:eastAsia="fr-FR"/>
              </w:rPr>
              <w:t>G4</w:t>
            </w:r>
          </w:p>
        </w:tc>
        <w:tc>
          <w:tcPr>
            <w:tcW w:w="187" w:type="pct"/>
            <w:gridSpan w:val="2"/>
            <w:tcBorders>
              <w:top w:val="single" w:sz="4" w:space="0" w:color="auto"/>
              <w:left w:val="single" w:sz="4" w:space="0" w:color="auto"/>
              <w:bottom w:val="single" w:sz="4" w:space="0" w:color="auto"/>
              <w:right w:val="single" w:sz="4" w:space="0" w:color="auto"/>
            </w:tcBorders>
            <w:shd w:val="clear" w:color="auto" w:fill="FF0000"/>
            <w:vAlign w:val="center"/>
          </w:tcPr>
          <w:p w14:paraId="5C26D252" w14:textId="77777777" w:rsidR="00DB0460" w:rsidRPr="0097258B" w:rsidRDefault="00DB0460" w:rsidP="00E3321E">
            <w:pPr>
              <w:spacing w:after="0" w:line="240" w:lineRule="auto"/>
              <w:jc w:val="both"/>
              <w:rPr>
                <w:rFonts w:ascii="Times New Roman" w:eastAsia="Cambria" w:hAnsi="Times New Roman"/>
                <w:color w:val="000000" w:themeColor="text1"/>
                <w:sz w:val="20"/>
                <w:szCs w:val="20"/>
              </w:rPr>
            </w:pPr>
            <w:r w:rsidRPr="0097258B">
              <w:rPr>
                <w:rFonts w:ascii="Times New Roman" w:eastAsia="Times New Roman" w:hAnsi="Times New Roman"/>
                <w:b/>
                <w:color w:val="000000" w:themeColor="text1"/>
                <w:sz w:val="20"/>
                <w:szCs w:val="20"/>
                <w:lang w:eastAsia="fr-FR"/>
              </w:rPr>
              <w:t>34</w:t>
            </w:r>
          </w:p>
        </w:tc>
        <w:tc>
          <w:tcPr>
            <w:tcW w:w="689" w:type="pct"/>
            <w:tcBorders>
              <w:top w:val="single" w:sz="4" w:space="0" w:color="auto"/>
              <w:left w:val="single" w:sz="4" w:space="0" w:color="auto"/>
              <w:bottom w:val="single" w:sz="4" w:space="0" w:color="auto"/>
              <w:right w:val="single" w:sz="4" w:space="0" w:color="auto"/>
            </w:tcBorders>
            <w:vAlign w:val="center"/>
          </w:tcPr>
          <w:p w14:paraId="585F8827" w14:textId="79349E50" w:rsidR="00DB0460" w:rsidRPr="0097258B" w:rsidRDefault="005A5E13" w:rsidP="00E3321E">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É</w:t>
            </w:r>
            <w:r w:rsidR="00DB0460" w:rsidRPr="0097258B">
              <w:rPr>
                <w:rFonts w:ascii="Times New Roman" w:eastAsia="Cambria" w:hAnsi="Times New Roman"/>
                <w:color w:val="000000" w:themeColor="text1"/>
                <w:sz w:val="20"/>
                <w:szCs w:val="20"/>
              </w:rPr>
              <w:t>tablir un programme de maintenance et d’inspection</w:t>
            </w:r>
          </w:p>
          <w:p w14:paraId="63F71D60" w14:textId="77777777" w:rsidR="00DB0460" w:rsidRPr="0097258B" w:rsidRDefault="00DB0460" w:rsidP="00E3321E">
            <w:pPr>
              <w:spacing w:after="0" w:line="240" w:lineRule="auto"/>
              <w:jc w:val="both"/>
              <w:rPr>
                <w:rFonts w:ascii="Times New Roman" w:eastAsia="Cambria" w:hAnsi="Times New Roman"/>
                <w:color w:val="000000" w:themeColor="text1"/>
                <w:sz w:val="20"/>
                <w:szCs w:val="20"/>
              </w:rPr>
            </w:pPr>
          </w:p>
        </w:tc>
        <w:tc>
          <w:tcPr>
            <w:tcW w:w="278" w:type="pct"/>
            <w:tcBorders>
              <w:top w:val="single" w:sz="4" w:space="0" w:color="auto"/>
              <w:left w:val="single" w:sz="4" w:space="0" w:color="auto"/>
              <w:bottom w:val="single" w:sz="4" w:space="0" w:color="auto"/>
              <w:right w:val="single" w:sz="4" w:space="0" w:color="auto"/>
            </w:tcBorders>
            <w:vAlign w:val="center"/>
          </w:tcPr>
          <w:p w14:paraId="1A2EEA95" w14:textId="77777777" w:rsidR="00DB0460" w:rsidRPr="0097258B" w:rsidRDefault="00DB0460" w:rsidP="00E3321E">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P2</w:t>
            </w:r>
          </w:p>
        </w:tc>
        <w:tc>
          <w:tcPr>
            <w:tcW w:w="736" w:type="pct"/>
            <w:tcBorders>
              <w:top w:val="single" w:sz="4" w:space="0" w:color="auto"/>
              <w:left w:val="single" w:sz="4" w:space="0" w:color="auto"/>
              <w:bottom w:val="single" w:sz="4" w:space="0" w:color="auto"/>
              <w:right w:val="single" w:sz="4" w:space="0" w:color="auto"/>
            </w:tcBorders>
            <w:vAlign w:val="center"/>
          </w:tcPr>
          <w:p w14:paraId="14EA0F87"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Mettre en œuvre une procédure d’intervention d’urgence</w:t>
            </w:r>
          </w:p>
          <w:p w14:paraId="726266C3" w14:textId="4CB32599" w:rsidR="00DB0460" w:rsidRPr="0097258B" w:rsidRDefault="00874DDA" w:rsidP="00E3321E">
            <w:pPr>
              <w:autoSpaceDE w:val="0"/>
              <w:autoSpaceDN w:val="0"/>
              <w:adjustRightInd w:val="0"/>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Utiliser des</w:t>
            </w:r>
            <w:r w:rsidR="00DB0460" w:rsidRPr="0097258B">
              <w:rPr>
                <w:rFonts w:ascii="Times New Roman" w:eastAsia="Cambria" w:hAnsi="Times New Roman"/>
                <w:color w:val="000000" w:themeColor="text1"/>
                <w:sz w:val="20"/>
                <w:szCs w:val="20"/>
              </w:rPr>
              <w:t xml:space="preserve"> pompes </w:t>
            </w:r>
          </w:p>
          <w:p w14:paraId="440D33EF"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color w:val="000000" w:themeColor="text1"/>
                <w:sz w:val="20"/>
                <w:szCs w:val="20"/>
              </w:rPr>
            </w:pPr>
          </w:p>
        </w:tc>
        <w:tc>
          <w:tcPr>
            <w:tcW w:w="167" w:type="pct"/>
            <w:tcBorders>
              <w:top w:val="single" w:sz="4" w:space="0" w:color="auto"/>
              <w:left w:val="single" w:sz="4" w:space="0" w:color="auto"/>
              <w:bottom w:val="single" w:sz="4" w:space="0" w:color="auto"/>
              <w:right w:val="single" w:sz="4" w:space="0" w:color="auto"/>
            </w:tcBorders>
            <w:vAlign w:val="center"/>
          </w:tcPr>
          <w:p w14:paraId="498E43A5" w14:textId="77777777" w:rsidR="00DB0460" w:rsidRPr="0097258B" w:rsidRDefault="00DB0460" w:rsidP="00E3321E">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G3</w:t>
            </w:r>
          </w:p>
        </w:tc>
        <w:tc>
          <w:tcPr>
            <w:tcW w:w="231" w:type="pct"/>
            <w:tcBorders>
              <w:top w:val="single" w:sz="4" w:space="0" w:color="auto"/>
              <w:left w:val="single" w:sz="4" w:space="0" w:color="auto"/>
              <w:bottom w:val="single" w:sz="4" w:space="0" w:color="auto"/>
              <w:right w:val="single" w:sz="4" w:space="0" w:color="auto"/>
            </w:tcBorders>
            <w:shd w:val="clear" w:color="auto" w:fill="FFFF00"/>
            <w:vAlign w:val="center"/>
          </w:tcPr>
          <w:p w14:paraId="71C5F964" w14:textId="77777777" w:rsidR="00DB0460" w:rsidRPr="0097258B" w:rsidRDefault="00DB0460" w:rsidP="00E3321E">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23</w:t>
            </w:r>
          </w:p>
        </w:tc>
        <w:tc>
          <w:tcPr>
            <w:tcW w:w="370" w:type="pct"/>
            <w:tcBorders>
              <w:top w:val="single" w:sz="4" w:space="0" w:color="auto"/>
              <w:left w:val="single" w:sz="4" w:space="0" w:color="auto"/>
              <w:bottom w:val="single" w:sz="4" w:space="0" w:color="auto"/>
              <w:right w:val="single" w:sz="4" w:space="0" w:color="auto"/>
            </w:tcBorders>
            <w:vAlign w:val="center"/>
          </w:tcPr>
          <w:p w14:paraId="52FD531C" w14:textId="77777777" w:rsidR="00DB0460" w:rsidRPr="0097258B" w:rsidRDefault="00DB0460" w:rsidP="00E3321E">
            <w:pPr>
              <w:autoSpaceDE w:val="0"/>
              <w:autoSpaceDN w:val="0"/>
              <w:adjustRightInd w:val="0"/>
              <w:spacing w:after="0" w:line="240" w:lineRule="auto"/>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 xml:space="preserve">Rejet d’effluents </w:t>
            </w:r>
          </w:p>
        </w:tc>
        <w:tc>
          <w:tcPr>
            <w:tcW w:w="370" w:type="pct"/>
            <w:tcBorders>
              <w:top w:val="single" w:sz="4" w:space="0" w:color="auto"/>
              <w:left w:val="single" w:sz="4" w:space="0" w:color="auto"/>
              <w:bottom w:val="single" w:sz="4" w:space="0" w:color="auto"/>
              <w:right w:val="single" w:sz="4" w:space="0" w:color="auto"/>
            </w:tcBorders>
            <w:vAlign w:val="center"/>
          </w:tcPr>
          <w:p w14:paraId="5B6A34A8"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 xml:space="preserve">Rapide </w:t>
            </w:r>
          </w:p>
        </w:tc>
      </w:tr>
      <w:tr w:rsidR="00E3321E" w:rsidRPr="009B46E2" w14:paraId="4EFC55D3" w14:textId="77777777" w:rsidTr="00E3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42"/>
        </w:trPr>
        <w:tc>
          <w:tcPr>
            <w:tcW w:w="509" w:type="pct"/>
            <w:vAlign w:val="center"/>
          </w:tcPr>
          <w:p w14:paraId="1C29EAD4" w14:textId="77777777" w:rsidR="00DB0460" w:rsidRPr="0097258B" w:rsidRDefault="00DB0460" w:rsidP="00E3321E">
            <w:pPr>
              <w:spacing w:after="0" w:line="240" w:lineRule="auto"/>
              <w:jc w:val="both"/>
              <w:rPr>
                <w:rFonts w:ascii="Times New Roman" w:hAnsi="Times New Roman"/>
                <w:color w:val="000000" w:themeColor="text1"/>
                <w:sz w:val="20"/>
                <w:szCs w:val="20"/>
              </w:rPr>
            </w:pPr>
          </w:p>
          <w:p w14:paraId="0F22771F" w14:textId="69D91C93" w:rsidR="00DB0460" w:rsidRPr="0097258B" w:rsidRDefault="00DB0460" w:rsidP="00E3321E">
            <w:pPr>
              <w:autoSpaceDE w:val="0"/>
              <w:autoSpaceDN w:val="0"/>
              <w:adjustRightInd w:val="0"/>
              <w:spacing w:after="0" w:line="240" w:lineRule="auto"/>
              <w:jc w:val="both"/>
              <w:rPr>
                <w:rFonts w:ascii="Times New Roman" w:eastAsia="Cambria" w:hAnsi="Times New Roman"/>
                <w:color w:val="000000" w:themeColor="text1"/>
                <w:sz w:val="20"/>
                <w:szCs w:val="20"/>
              </w:rPr>
            </w:pPr>
            <w:r w:rsidRPr="0097258B">
              <w:rPr>
                <w:rFonts w:ascii="Times New Roman" w:hAnsi="Times New Roman"/>
                <w:color w:val="000000" w:themeColor="text1"/>
                <w:sz w:val="20"/>
                <w:szCs w:val="20"/>
              </w:rPr>
              <w:t xml:space="preserve">Perte d’intégrité </w:t>
            </w:r>
            <w:r w:rsidR="00E3321E" w:rsidRPr="0097258B">
              <w:rPr>
                <w:rFonts w:ascii="Times New Roman" w:hAnsi="Times New Roman"/>
                <w:color w:val="000000" w:themeColor="text1"/>
                <w:sz w:val="20"/>
                <w:szCs w:val="20"/>
              </w:rPr>
              <w:t>des collecteurs</w:t>
            </w:r>
            <w:r w:rsidRPr="0097258B">
              <w:rPr>
                <w:rFonts w:ascii="Times New Roman" w:hAnsi="Times New Roman"/>
                <w:color w:val="000000" w:themeColor="text1"/>
                <w:sz w:val="20"/>
                <w:szCs w:val="20"/>
              </w:rPr>
              <w:t>/ canalisations</w:t>
            </w:r>
          </w:p>
        </w:tc>
        <w:tc>
          <w:tcPr>
            <w:tcW w:w="509" w:type="pct"/>
            <w:vAlign w:val="center"/>
          </w:tcPr>
          <w:p w14:paraId="3840AB44" w14:textId="77777777" w:rsidR="00DB0460" w:rsidRPr="0097258B" w:rsidRDefault="00DB0460" w:rsidP="00E3321E">
            <w:pPr>
              <w:tabs>
                <w:tab w:val="num" w:pos="720"/>
              </w:tabs>
              <w:autoSpaceDE w:val="0"/>
              <w:autoSpaceDN w:val="0"/>
              <w:adjustRightInd w:val="0"/>
              <w:spacing w:after="0" w:line="240" w:lineRule="auto"/>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 xml:space="preserve">Travaux de maintenance </w:t>
            </w:r>
          </w:p>
          <w:p w14:paraId="23F722BA" w14:textId="77777777" w:rsidR="00DB0460" w:rsidRPr="0097258B" w:rsidRDefault="00DB0460" w:rsidP="00E3321E">
            <w:pPr>
              <w:tabs>
                <w:tab w:val="num" w:pos="720"/>
              </w:tabs>
              <w:autoSpaceDE w:val="0"/>
              <w:autoSpaceDN w:val="0"/>
              <w:adjustRightInd w:val="0"/>
              <w:spacing w:after="0" w:line="240" w:lineRule="auto"/>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Agression extérieure due aux installations voisines</w:t>
            </w:r>
          </w:p>
          <w:p w14:paraId="5AFBF6EF" w14:textId="77777777" w:rsidR="00DB0460" w:rsidRPr="0097258B" w:rsidRDefault="00DB0460" w:rsidP="00E3321E">
            <w:pPr>
              <w:tabs>
                <w:tab w:val="num" w:pos="720"/>
              </w:tabs>
              <w:autoSpaceDE w:val="0"/>
              <w:autoSpaceDN w:val="0"/>
              <w:adjustRightInd w:val="0"/>
              <w:spacing w:after="0" w:line="240" w:lineRule="auto"/>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Actes de malveillance</w:t>
            </w:r>
          </w:p>
        </w:tc>
        <w:tc>
          <w:tcPr>
            <w:tcW w:w="583" w:type="pct"/>
            <w:vAlign w:val="center"/>
          </w:tcPr>
          <w:p w14:paraId="0F3D25F7" w14:textId="77777777" w:rsidR="00DB0460" w:rsidRPr="0097258B" w:rsidRDefault="00DB0460" w:rsidP="00E3321E">
            <w:pPr>
              <w:tabs>
                <w:tab w:val="num" w:pos="720"/>
              </w:tabs>
              <w:autoSpaceDE w:val="0"/>
              <w:autoSpaceDN w:val="0"/>
              <w:adjustRightInd w:val="0"/>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 xml:space="preserve">Inondation </w:t>
            </w:r>
          </w:p>
        </w:tc>
        <w:tc>
          <w:tcPr>
            <w:tcW w:w="185" w:type="pct"/>
            <w:vAlign w:val="center"/>
          </w:tcPr>
          <w:p w14:paraId="37E620DD" w14:textId="77777777" w:rsidR="00DB0460" w:rsidRPr="0097258B" w:rsidRDefault="00DB0460" w:rsidP="00E3321E">
            <w:pPr>
              <w:spacing w:after="0" w:line="240" w:lineRule="auto"/>
              <w:jc w:val="both"/>
              <w:rPr>
                <w:rFonts w:ascii="Times New Roman" w:eastAsia="Cambria" w:hAnsi="Times New Roman"/>
                <w:color w:val="000000" w:themeColor="text1"/>
                <w:sz w:val="20"/>
                <w:szCs w:val="20"/>
              </w:rPr>
            </w:pPr>
            <w:r w:rsidRPr="0097258B">
              <w:rPr>
                <w:rFonts w:ascii="Times New Roman" w:hAnsi="Times New Roman"/>
                <w:b/>
                <w:color w:val="000000" w:themeColor="text1"/>
                <w:sz w:val="20"/>
                <w:szCs w:val="20"/>
              </w:rPr>
              <w:t>P3</w:t>
            </w:r>
          </w:p>
        </w:tc>
        <w:tc>
          <w:tcPr>
            <w:tcW w:w="185" w:type="pct"/>
            <w:vAlign w:val="center"/>
          </w:tcPr>
          <w:p w14:paraId="1287979A" w14:textId="77777777" w:rsidR="00DB0460" w:rsidRPr="0097258B" w:rsidRDefault="00DB0460" w:rsidP="00E3321E">
            <w:pPr>
              <w:spacing w:after="0" w:line="240" w:lineRule="auto"/>
              <w:jc w:val="both"/>
              <w:rPr>
                <w:rFonts w:ascii="Times New Roman" w:eastAsia="Cambria" w:hAnsi="Times New Roman"/>
                <w:color w:val="000000" w:themeColor="text1"/>
                <w:sz w:val="20"/>
                <w:szCs w:val="20"/>
              </w:rPr>
            </w:pPr>
            <w:r w:rsidRPr="0097258B">
              <w:rPr>
                <w:rFonts w:ascii="Times New Roman" w:hAnsi="Times New Roman"/>
                <w:b/>
                <w:color w:val="000000" w:themeColor="text1"/>
                <w:sz w:val="20"/>
                <w:szCs w:val="20"/>
              </w:rPr>
              <w:t>G4</w:t>
            </w:r>
          </w:p>
        </w:tc>
        <w:tc>
          <w:tcPr>
            <w:tcW w:w="187" w:type="pct"/>
            <w:gridSpan w:val="2"/>
            <w:shd w:val="clear" w:color="auto" w:fill="FFFF00"/>
            <w:vAlign w:val="center"/>
          </w:tcPr>
          <w:p w14:paraId="76CFB633" w14:textId="77777777" w:rsidR="00DB0460" w:rsidRPr="0097258B" w:rsidRDefault="00DB0460" w:rsidP="00E3321E">
            <w:pPr>
              <w:spacing w:after="0" w:line="240" w:lineRule="auto"/>
              <w:jc w:val="both"/>
              <w:rPr>
                <w:rFonts w:ascii="Times New Roman" w:eastAsia="Cambria" w:hAnsi="Times New Roman"/>
                <w:color w:val="000000" w:themeColor="text1"/>
                <w:sz w:val="20"/>
                <w:szCs w:val="20"/>
              </w:rPr>
            </w:pPr>
            <w:r w:rsidRPr="0097258B">
              <w:rPr>
                <w:rFonts w:ascii="Times New Roman" w:hAnsi="Times New Roman"/>
                <w:b/>
                <w:color w:val="000000" w:themeColor="text1"/>
                <w:sz w:val="20"/>
                <w:szCs w:val="20"/>
              </w:rPr>
              <w:t>24</w:t>
            </w:r>
          </w:p>
        </w:tc>
        <w:tc>
          <w:tcPr>
            <w:tcW w:w="689" w:type="pct"/>
            <w:vAlign w:val="center"/>
          </w:tcPr>
          <w:p w14:paraId="198DB8C4" w14:textId="0657996A" w:rsidR="00DB0460" w:rsidRPr="0097258B" w:rsidRDefault="00DB0460" w:rsidP="00E3321E">
            <w:pPr>
              <w:tabs>
                <w:tab w:val="num" w:pos="1353"/>
              </w:tabs>
              <w:autoSpaceDE w:val="0"/>
              <w:autoSpaceDN w:val="0"/>
              <w:adjustRightInd w:val="0"/>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 xml:space="preserve">Procéder à </w:t>
            </w:r>
            <w:r w:rsidR="00874DDA" w:rsidRPr="0097258B">
              <w:rPr>
                <w:rFonts w:ascii="Times New Roman" w:eastAsia="Cambria" w:hAnsi="Times New Roman"/>
                <w:color w:val="000000" w:themeColor="text1"/>
                <w:sz w:val="20"/>
                <w:szCs w:val="20"/>
              </w:rPr>
              <w:t>des maintenances préventives</w:t>
            </w:r>
            <w:r w:rsidRPr="0097258B">
              <w:rPr>
                <w:rFonts w:ascii="Times New Roman" w:eastAsia="Cambria" w:hAnsi="Times New Roman"/>
                <w:color w:val="000000" w:themeColor="text1"/>
                <w:sz w:val="20"/>
                <w:szCs w:val="20"/>
              </w:rPr>
              <w:t xml:space="preserve"> et curative</w:t>
            </w:r>
            <w:r w:rsidR="00397777" w:rsidRPr="0097258B">
              <w:rPr>
                <w:rFonts w:ascii="Times New Roman" w:eastAsia="Cambria" w:hAnsi="Times New Roman"/>
                <w:color w:val="000000" w:themeColor="text1"/>
                <w:sz w:val="20"/>
                <w:szCs w:val="20"/>
              </w:rPr>
              <w:t>s</w:t>
            </w:r>
          </w:p>
          <w:p w14:paraId="6CF602F4" w14:textId="7BA67317" w:rsidR="00DB0460" w:rsidRPr="0097258B" w:rsidRDefault="00DB0460" w:rsidP="00E3321E">
            <w:pPr>
              <w:tabs>
                <w:tab w:val="num" w:pos="503"/>
              </w:tabs>
              <w:autoSpaceDE w:val="0"/>
              <w:autoSpaceDN w:val="0"/>
              <w:adjustRightInd w:val="0"/>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 xml:space="preserve">Effectuer des </w:t>
            </w:r>
            <w:r w:rsidR="00874DDA" w:rsidRPr="0097258B">
              <w:rPr>
                <w:rFonts w:ascii="Times New Roman" w:eastAsia="Cambria" w:hAnsi="Times New Roman"/>
                <w:color w:val="000000" w:themeColor="text1"/>
                <w:sz w:val="20"/>
                <w:szCs w:val="20"/>
              </w:rPr>
              <w:t>contrôles périodiques</w:t>
            </w:r>
          </w:p>
          <w:p w14:paraId="34DC3CFB" w14:textId="77777777" w:rsidR="00DB0460" w:rsidRPr="0097258B" w:rsidRDefault="00DB0460" w:rsidP="00E3321E">
            <w:pPr>
              <w:spacing w:after="0" w:line="240" w:lineRule="auto"/>
              <w:jc w:val="both"/>
              <w:rPr>
                <w:rFonts w:ascii="Times New Roman" w:eastAsia="Cambria" w:hAnsi="Times New Roman"/>
                <w:color w:val="000000" w:themeColor="text1"/>
                <w:sz w:val="20"/>
                <w:szCs w:val="20"/>
              </w:rPr>
            </w:pPr>
            <w:r w:rsidRPr="0097258B">
              <w:rPr>
                <w:rFonts w:ascii="Times New Roman" w:eastAsia="Cambria" w:hAnsi="Times New Roman"/>
                <w:color w:val="000000" w:themeColor="text1"/>
                <w:sz w:val="20"/>
                <w:szCs w:val="20"/>
              </w:rPr>
              <w:t>Définir une zone d’emprise de la conduite</w:t>
            </w:r>
          </w:p>
        </w:tc>
        <w:tc>
          <w:tcPr>
            <w:tcW w:w="278" w:type="pct"/>
            <w:vAlign w:val="center"/>
          </w:tcPr>
          <w:p w14:paraId="001C4A38" w14:textId="77777777" w:rsidR="00DB0460" w:rsidRPr="0097258B" w:rsidRDefault="00DB0460" w:rsidP="00E3321E">
            <w:pPr>
              <w:spacing w:after="0" w:line="240" w:lineRule="auto"/>
              <w:jc w:val="both"/>
              <w:rPr>
                <w:rFonts w:ascii="Times New Roman" w:eastAsia="Cambria" w:hAnsi="Times New Roman"/>
                <w:color w:val="000000" w:themeColor="text1"/>
                <w:sz w:val="20"/>
                <w:szCs w:val="20"/>
              </w:rPr>
            </w:pPr>
            <w:r w:rsidRPr="0097258B">
              <w:rPr>
                <w:rFonts w:ascii="Times New Roman" w:hAnsi="Times New Roman"/>
                <w:b/>
                <w:color w:val="000000" w:themeColor="text1"/>
                <w:sz w:val="20"/>
                <w:szCs w:val="20"/>
              </w:rPr>
              <w:t>P2</w:t>
            </w:r>
          </w:p>
        </w:tc>
        <w:tc>
          <w:tcPr>
            <w:tcW w:w="736" w:type="pct"/>
            <w:vAlign w:val="center"/>
          </w:tcPr>
          <w:p w14:paraId="5858026F" w14:textId="27E0E637" w:rsidR="00DB0460" w:rsidRPr="0097258B" w:rsidRDefault="00874DDA" w:rsidP="00E3321E">
            <w:pPr>
              <w:widowControl w:val="0"/>
              <w:tabs>
                <w:tab w:val="num" w:pos="210"/>
                <w:tab w:val="num" w:pos="360"/>
                <w:tab w:val="num" w:pos="503"/>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mbria" w:hAnsi="Times New Roman"/>
                <w:color w:val="000000" w:themeColor="text1"/>
                <w:sz w:val="20"/>
                <w:szCs w:val="20"/>
                <w:lang w:eastAsia="fr-FR"/>
              </w:rPr>
            </w:pPr>
            <w:r w:rsidRPr="0097258B">
              <w:rPr>
                <w:rFonts w:ascii="Times New Roman" w:eastAsia="Cambria" w:hAnsi="Times New Roman"/>
                <w:color w:val="000000" w:themeColor="text1"/>
                <w:sz w:val="20"/>
                <w:szCs w:val="20"/>
                <w:lang w:eastAsia="fr-FR"/>
              </w:rPr>
              <w:t>Mettre en</w:t>
            </w:r>
            <w:r w:rsidR="00DB0460" w:rsidRPr="0097258B">
              <w:rPr>
                <w:rFonts w:ascii="Times New Roman" w:eastAsia="Cambria" w:hAnsi="Times New Roman"/>
                <w:color w:val="000000" w:themeColor="text1"/>
                <w:sz w:val="20"/>
                <w:szCs w:val="20"/>
                <w:lang w:eastAsia="fr-FR"/>
              </w:rPr>
              <w:t xml:space="preserve"> œuvre </w:t>
            </w:r>
            <w:r w:rsidRPr="0097258B">
              <w:rPr>
                <w:rFonts w:ascii="Times New Roman" w:eastAsia="Cambria" w:hAnsi="Times New Roman"/>
                <w:color w:val="000000" w:themeColor="text1"/>
                <w:sz w:val="20"/>
                <w:szCs w:val="20"/>
                <w:lang w:eastAsia="fr-FR"/>
              </w:rPr>
              <w:t>le plan</w:t>
            </w:r>
            <w:r w:rsidR="00DB0460" w:rsidRPr="0097258B">
              <w:rPr>
                <w:rFonts w:ascii="Times New Roman" w:eastAsia="Cambria" w:hAnsi="Times New Roman"/>
                <w:color w:val="000000" w:themeColor="text1"/>
                <w:sz w:val="20"/>
                <w:szCs w:val="20"/>
                <w:lang w:eastAsia="fr-FR"/>
              </w:rPr>
              <w:t xml:space="preserve"> d’évacuation </w:t>
            </w:r>
          </w:p>
          <w:p w14:paraId="43625017"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color w:val="000000" w:themeColor="text1"/>
                <w:sz w:val="20"/>
                <w:szCs w:val="20"/>
              </w:rPr>
            </w:pPr>
          </w:p>
        </w:tc>
        <w:tc>
          <w:tcPr>
            <w:tcW w:w="167" w:type="pct"/>
            <w:vAlign w:val="center"/>
          </w:tcPr>
          <w:p w14:paraId="2DA75C92" w14:textId="77777777" w:rsidR="00DB0460" w:rsidRPr="0097258B" w:rsidRDefault="00DB0460" w:rsidP="00E3321E">
            <w:pPr>
              <w:spacing w:after="0" w:line="240" w:lineRule="auto"/>
              <w:jc w:val="both"/>
              <w:rPr>
                <w:rFonts w:ascii="Times New Roman" w:eastAsia="Cambria" w:hAnsi="Times New Roman"/>
                <w:color w:val="000000" w:themeColor="text1"/>
                <w:sz w:val="20"/>
                <w:szCs w:val="20"/>
              </w:rPr>
            </w:pPr>
            <w:r w:rsidRPr="0097258B">
              <w:rPr>
                <w:rFonts w:ascii="Times New Roman" w:hAnsi="Times New Roman"/>
                <w:b/>
                <w:color w:val="000000" w:themeColor="text1"/>
                <w:sz w:val="20"/>
                <w:szCs w:val="20"/>
              </w:rPr>
              <w:t>G3</w:t>
            </w:r>
          </w:p>
        </w:tc>
        <w:tc>
          <w:tcPr>
            <w:tcW w:w="231" w:type="pct"/>
            <w:shd w:val="clear" w:color="auto" w:fill="FFFF00"/>
            <w:vAlign w:val="center"/>
          </w:tcPr>
          <w:p w14:paraId="08971B31" w14:textId="77777777" w:rsidR="00DB0460" w:rsidRPr="0097258B" w:rsidRDefault="00DB0460" w:rsidP="00E3321E">
            <w:pPr>
              <w:spacing w:after="0" w:line="240" w:lineRule="auto"/>
              <w:jc w:val="both"/>
              <w:rPr>
                <w:rFonts w:ascii="Times New Roman" w:eastAsia="Cambria" w:hAnsi="Times New Roman"/>
                <w:color w:val="000000" w:themeColor="text1"/>
                <w:sz w:val="20"/>
                <w:szCs w:val="20"/>
              </w:rPr>
            </w:pPr>
            <w:r w:rsidRPr="0097258B">
              <w:rPr>
                <w:rFonts w:ascii="Times New Roman" w:hAnsi="Times New Roman"/>
                <w:b/>
                <w:color w:val="000000" w:themeColor="text1"/>
                <w:sz w:val="20"/>
                <w:szCs w:val="20"/>
              </w:rPr>
              <w:t>23</w:t>
            </w:r>
          </w:p>
        </w:tc>
        <w:tc>
          <w:tcPr>
            <w:tcW w:w="370" w:type="pct"/>
            <w:vAlign w:val="center"/>
          </w:tcPr>
          <w:p w14:paraId="27FAEB96" w14:textId="77777777" w:rsidR="00DB0460" w:rsidRPr="0097258B" w:rsidRDefault="00DB0460" w:rsidP="00E3321E">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Pollution du milieu</w:t>
            </w:r>
          </w:p>
          <w:p w14:paraId="602CA997"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color w:val="000000" w:themeColor="text1"/>
                <w:sz w:val="20"/>
                <w:szCs w:val="20"/>
              </w:rPr>
            </w:pPr>
          </w:p>
        </w:tc>
        <w:tc>
          <w:tcPr>
            <w:tcW w:w="370" w:type="pct"/>
            <w:vAlign w:val="center"/>
          </w:tcPr>
          <w:p w14:paraId="2C72E65D" w14:textId="77777777" w:rsidR="00DB0460" w:rsidRPr="0097258B" w:rsidRDefault="00DB0460" w:rsidP="00E3321E">
            <w:pPr>
              <w:autoSpaceDE w:val="0"/>
              <w:autoSpaceDN w:val="0"/>
              <w:adjustRightInd w:val="0"/>
              <w:spacing w:after="0" w:line="240" w:lineRule="auto"/>
              <w:jc w:val="both"/>
              <w:rPr>
                <w:rFonts w:ascii="Times New Roman" w:eastAsia="Cambria" w:hAnsi="Times New Roman"/>
                <w:color w:val="000000" w:themeColor="text1"/>
                <w:sz w:val="20"/>
                <w:szCs w:val="20"/>
              </w:rPr>
            </w:pPr>
            <w:r w:rsidRPr="0097258B">
              <w:rPr>
                <w:rFonts w:ascii="Times New Roman" w:hAnsi="Times New Roman"/>
                <w:color w:val="000000" w:themeColor="text1"/>
                <w:sz w:val="20"/>
                <w:szCs w:val="20"/>
              </w:rPr>
              <w:t xml:space="preserve"> Rapide </w:t>
            </w:r>
          </w:p>
        </w:tc>
      </w:tr>
      <w:tr w:rsidR="00E3321E" w:rsidRPr="009B46E2" w14:paraId="7420C6A9" w14:textId="77777777" w:rsidTr="00E3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42"/>
        </w:trPr>
        <w:tc>
          <w:tcPr>
            <w:tcW w:w="509" w:type="pct"/>
            <w:tcBorders>
              <w:top w:val="single" w:sz="4" w:space="0" w:color="auto"/>
              <w:left w:val="single" w:sz="4" w:space="0" w:color="auto"/>
              <w:bottom w:val="single" w:sz="4" w:space="0" w:color="auto"/>
              <w:right w:val="single" w:sz="4" w:space="0" w:color="auto"/>
            </w:tcBorders>
            <w:vAlign w:val="center"/>
          </w:tcPr>
          <w:p w14:paraId="417569E7" w14:textId="77777777" w:rsidR="00DB0460" w:rsidRPr="0097258B" w:rsidRDefault="00DB0460" w:rsidP="00E3321E">
            <w:pPr>
              <w:spacing w:after="0" w:line="240" w:lineRule="auto"/>
              <w:jc w:val="both"/>
              <w:rPr>
                <w:rFonts w:ascii="Times New Roman" w:hAnsi="Times New Roman"/>
                <w:bCs/>
                <w:color w:val="000000" w:themeColor="text1"/>
                <w:sz w:val="20"/>
                <w:szCs w:val="20"/>
              </w:rPr>
            </w:pPr>
            <w:r w:rsidRPr="0097258B">
              <w:rPr>
                <w:rFonts w:ascii="Times New Roman" w:eastAsia="Cambria" w:hAnsi="Times New Roman"/>
                <w:bCs/>
                <w:color w:val="000000" w:themeColor="text1"/>
                <w:sz w:val="20"/>
                <w:szCs w:val="20"/>
                <w:lang w:eastAsia="fr-FR"/>
              </w:rPr>
              <w:lastRenderedPageBreak/>
              <w:t xml:space="preserve">Inondation  </w:t>
            </w:r>
          </w:p>
        </w:tc>
        <w:tc>
          <w:tcPr>
            <w:tcW w:w="509" w:type="pct"/>
            <w:tcBorders>
              <w:top w:val="single" w:sz="4" w:space="0" w:color="auto"/>
              <w:left w:val="single" w:sz="4" w:space="0" w:color="auto"/>
              <w:bottom w:val="single" w:sz="4" w:space="0" w:color="auto"/>
              <w:right w:val="single" w:sz="4" w:space="0" w:color="auto"/>
            </w:tcBorders>
            <w:vAlign w:val="center"/>
          </w:tcPr>
          <w:p w14:paraId="506C8C1F" w14:textId="72AA4A29" w:rsidR="00DB0460" w:rsidRPr="0097258B" w:rsidRDefault="00DB0460" w:rsidP="00E3321E">
            <w:pPr>
              <w:autoSpaceDE w:val="0"/>
              <w:autoSpaceDN w:val="0"/>
              <w:adjustRightInd w:val="0"/>
              <w:spacing w:after="0" w:line="240" w:lineRule="auto"/>
              <w:contextualSpacing/>
              <w:rPr>
                <w:rFonts w:ascii="Times New Roman" w:hAnsi="Times New Roman"/>
                <w:color w:val="000000" w:themeColor="text1"/>
                <w:sz w:val="20"/>
                <w:szCs w:val="20"/>
              </w:rPr>
            </w:pPr>
            <w:r w:rsidRPr="0097258B">
              <w:rPr>
                <w:rFonts w:ascii="Times New Roman" w:hAnsi="Times New Roman"/>
                <w:color w:val="000000" w:themeColor="text1"/>
                <w:sz w:val="20"/>
                <w:szCs w:val="20"/>
              </w:rPr>
              <w:t>Sous-dimensionnement, mauvais calage des canaux de drainage</w:t>
            </w:r>
          </w:p>
          <w:p w14:paraId="6F486CDB" w14:textId="77777777" w:rsidR="00DB0460" w:rsidRPr="0097258B" w:rsidRDefault="00DB0460" w:rsidP="00E3321E">
            <w:pPr>
              <w:tabs>
                <w:tab w:val="num" w:pos="720"/>
              </w:tabs>
              <w:autoSpaceDE w:val="0"/>
              <w:autoSpaceDN w:val="0"/>
              <w:adjustRightInd w:val="0"/>
              <w:spacing w:after="0" w:line="240" w:lineRule="auto"/>
              <w:rPr>
                <w:rFonts w:ascii="Times New Roman" w:eastAsia="Cambria" w:hAnsi="Times New Roman"/>
                <w:color w:val="000000" w:themeColor="text1"/>
                <w:sz w:val="20"/>
                <w:szCs w:val="20"/>
              </w:rPr>
            </w:pPr>
            <w:r w:rsidRPr="0097258B">
              <w:rPr>
                <w:rFonts w:ascii="Times New Roman" w:hAnsi="Times New Roman"/>
                <w:color w:val="000000" w:themeColor="text1"/>
                <w:sz w:val="20"/>
                <w:szCs w:val="20"/>
              </w:rPr>
              <w:t>Débordement de bassins ou de l’exutoire</w:t>
            </w:r>
          </w:p>
        </w:tc>
        <w:tc>
          <w:tcPr>
            <w:tcW w:w="583" w:type="pct"/>
            <w:tcBorders>
              <w:top w:val="single" w:sz="4" w:space="0" w:color="auto"/>
              <w:left w:val="single" w:sz="4" w:space="0" w:color="auto"/>
              <w:bottom w:val="single" w:sz="4" w:space="0" w:color="auto"/>
              <w:right w:val="single" w:sz="4" w:space="0" w:color="auto"/>
            </w:tcBorders>
            <w:vAlign w:val="center"/>
          </w:tcPr>
          <w:p w14:paraId="48850777" w14:textId="77777777" w:rsidR="00DB0460" w:rsidRPr="0097258B" w:rsidRDefault="00DB0460" w:rsidP="00E3321E">
            <w:pPr>
              <w:autoSpaceDE w:val="0"/>
              <w:autoSpaceDN w:val="0"/>
              <w:adjustRightInd w:val="0"/>
              <w:spacing w:after="0" w:line="240" w:lineRule="auto"/>
              <w:contextualSpacing/>
              <w:rPr>
                <w:rFonts w:ascii="Times New Roman" w:hAnsi="Times New Roman"/>
                <w:color w:val="000000" w:themeColor="text1"/>
                <w:sz w:val="20"/>
                <w:szCs w:val="20"/>
              </w:rPr>
            </w:pPr>
          </w:p>
          <w:p w14:paraId="327C4E73" w14:textId="77777777" w:rsidR="00DB0460" w:rsidRPr="0097258B" w:rsidRDefault="00DB0460" w:rsidP="00E3321E">
            <w:pPr>
              <w:tabs>
                <w:tab w:val="num" w:pos="720"/>
              </w:tabs>
              <w:autoSpaceDE w:val="0"/>
              <w:autoSpaceDN w:val="0"/>
              <w:adjustRightInd w:val="0"/>
              <w:spacing w:after="0" w:line="240" w:lineRule="auto"/>
              <w:jc w:val="both"/>
              <w:rPr>
                <w:rFonts w:ascii="Times New Roman" w:eastAsia="Cambria" w:hAnsi="Times New Roman"/>
                <w:color w:val="000000" w:themeColor="text1"/>
                <w:sz w:val="20"/>
                <w:szCs w:val="20"/>
              </w:rPr>
            </w:pPr>
            <w:r w:rsidRPr="0097258B">
              <w:rPr>
                <w:rFonts w:ascii="Times New Roman" w:hAnsi="Times New Roman"/>
                <w:color w:val="000000" w:themeColor="text1"/>
                <w:sz w:val="20"/>
                <w:szCs w:val="20"/>
              </w:rPr>
              <w:t>Dégâts matériels</w:t>
            </w:r>
          </w:p>
        </w:tc>
        <w:tc>
          <w:tcPr>
            <w:tcW w:w="185" w:type="pct"/>
            <w:tcBorders>
              <w:top w:val="single" w:sz="4" w:space="0" w:color="auto"/>
              <w:left w:val="single" w:sz="4" w:space="0" w:color="auto"/>
              <w:bottom w:val="single" w:sz="4" w:space="0" w:color="auto"/>
              <w:right w:val="single" w:sz="4" w:space="0" w:color="auto"/>
            </w:tcBorders>
            <w:vAlign w:val="center"/>
          </w:tcPr>
          <w:p w14:paraId="65DA7308" w14:textId="77777777" w:rsidR="00DB0460" w:rsidRPr="0097258B" w:rsidRDefault="00DB0460" w:rsidP="00E3321E">
            <w:pPr>
              <w:spacing w:after="0" w:line="240" w:lineRule="auto"/>
              <w:jc w:val="both"/>
              <w:rPr>
                <w:rFonts w:ascii="Times New Roman" w:hAnsi="Times New Roman"/>
                <w:b/>
                <w:color w:val="000000" w:themeColor="text1"/>
                <w:sz w:val="20"/>
                <w:szCs w:val="20"/>
              </w:rPr>
            </w:pPr>
            <w:r w:rsidRPr="0097258B">
              <w:rPr>
                <w:rFonts w:ascii="Times New Roman" w:eastAsia="Times New Roman" w:hAnsi="Times New Roman"/>
                <w:b/>
                <w:color w:val="000000" w:themeColor="text1"/>
                <w:sz w:val="20"/>
                <w:szCs w:val="20"/>
                <w:lang w:eastAsia="fr-FR"/>
              </w:rPr>
              <w:t>3</w:t>
            </w:r>
          </w:p>
        </w:tc>
        <w:tc>
          <w:tcPr>
            <w:tcW w:w="185" w:type="pct"/>
            <w:tcBorders>
              <w:top w:val="single" w:sz="4" w:space="0" w:color="auto"/>
              <w:left w:val="single" w:sz="4" w:space="0" w:color="auto"/>
              <w:bottom w:val="single" w:sz="4" w:space="0" w:color="auto"/>
              <w:right w:val="single" w:sz="4" w:space="0" w:color="auto"/>
            </w:tcBorders>
            <w:vAlign w:val="center"/>
          </w:tcPr>
          <w:p w14:paraId="087BF145" w14:textId="77777777" w:rsidR="00DB0460" w:rsidRPr="0097258B" w:rsidRDefault="00DB0460" w:rsidP="00E3321E">
            <w:pPr>
              <w:spacing w:after="0" w:line="240" w:lineRule="auto"/>
              <w:jc w:val="both"/>
              <w:rPr>
                <w:rFonts w:ascii="Times New Roman" w:hAnsi="Times New Roman"/>
                <w:b/>
                <w:color w:val="000000" w:themeColor="text1"/>
                <w:sz w:val="20"/>
                <w:szCs w:val="20"/>
              </w:rPr>
            </w:pPr>
            <w:r w:rsidRPr="0097258B">
              <w:rPr>
                <w:rFonts w:ascii="Times New Roman" w:eastAsia="Times New Roman" w:hAnsi="Times New Roman"/>
                <w:b/>
                <w:color w:val="000000" w:themeColor="text1"/>
                <w:sz w:val="20"/>
                <w:szCs w:val="20"/>
                <w:lang w:eastAsia="fr-FR"/>
              </w:rPr>
              <w:t>4</w:t>
            </w:r>
          </w:p>
        </w:tc>
        <w:tc>
          <w:tcPr>
            <w:tcW w:w="187"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5E3A51B" w14:textId="77777777" w:rsidR="00DB0460" w:rsidRPr="0097258B" w:rsidRDefault="00DB0460" w:rsidP="00E3321E">
            <w:pPr>
              <w:spacing w:after="0" w:line="240" w:lineRule="auto"/>
              <w:jc w:val="both"/>
              <w:rPr>
                <w:rFonts w:ascii="Times New Roman" w:hAnsi="Times New Roman"/>
                <w:b/>
                <w:color w:val="000000" w:themeColor="text1"/>
                <w:sz w:val="20"/>
                <w:szCs w:val="20"/>
              </w:rPr>
            </w:pPr>
            <w:r w:rsidRPr="0097258B">
              <w:rPr>
                <w:rFonts w:ascii="Times New Roman" w:eastAsia="Times New Roman" w:hAnsi="Times New Roman"/>
                <w:b/>
                <w:color w:val="000000" w:themeColor="text1"/>
                <w:sz w:val="20"/>
                <w:szCs w:val="20"/>
                <w:lang w:eastAsia="fr-FR"/>
              </w:rPr>
              <w:t>33</w:t>
            </w:r>
          </w:p>
        </w:tc>
        <w:tc>
          <w:tcPr>
            <w:tcW w:w="689" w:type="pct"/>
            <w:tcBorders>
              <w:top w:val="single" w:sz="4" w:space="0" w:color="auto"/>
              <w:left w:val="single" w:sz="4" w:space="0" w:color="auto"/>
              <w:bottom w:val="single" w:sz="4" w:space="0" w:color="auto"/>
              <w:right w:val="single" w:sz="4" w:space="0" w:color="auto"/>
            </w:tcBorders>
            <w:vAlign w:val="center"/>
          </w:tcPr>
          <w:p w14:paraId="5941C9C2" w14:textId="77777777" w:rsidR="00DB0460" w:rsidRPr="0097258B" w:rsidRDefault="00DB0460" w:rsidP="00E3321E">
            <w:pPr>
              <w:autoSpaceDE w:val="0"/>
              <w:autoSpaceDN w:val="0"/>
              <w:adjustRightInd w:val="0"/>
              <w:spacing w:after="0" w:line="240" w:lineRule="auto"/>
              <w:contextualSpacing/>
              <w:rPr>
                <w:rFonts w:ascii="Times New Roman" w:hAnsi="Times New Roman"/>
                <w:color w:val="000000" w:themeColor="text1"/>
                <w:sz w:val="20"/>
                <w:szCs w:val="20"/>
              </w:rPr>
            </w:pPr>
            <w:r w:rsidRPr="0097258B">
              <w:rPr>
                <w:rFonts w:ascii="Times New Roman" w:hAnsi="Times New Roman"/>
                <w:color w:val="000000" w:themeColor="text1"/>
                <w:sz w:val="20"/>
                <w:szCs w:val="20"/>
              </w:rPr>
              <w:t>Concevoir et réaliser les ouvrages de façon professionnelle</w:t>
            </w:r>
          </w:p>
          <w:p w14:paraId="4BE60638" w14:textId="77777777" w:rsidR="00DB0460" w:rsidRPr="0097258B" w:rsidRDefault="00DB0460" w:rsidP="00E3321E">
            <w:pPr>
              <w:autoSpaceDE w:val="0"/>
              <w:autoSpaceDN w:val="0"/>
              <w:adjustRightInd w:val="0"/>
              <w:spacing w:after="0" w:line="240" w:lineRule="auto"/>
              <w:contextualSpacing/>
              <w:rPr>
                <w:rFonts w:ascii="Times New Roman" w:hAnsi="Times New Roman"/>
                <w:color w:val="000000" w:themeColor="text1"/>
                <w:sz w:val="20"/>
                <w:szCs w:val="20"/>
              </w:rPr>
            </w:pPr>
            <w:r w:rsidRPr="0097258B">
              <w:rPr>
                <w:rFonts w:ascii="Times New Roman" w:hAnsi="Times New Roman"/>
                <w:color w:val="000000" w:themeColor="text1"/>
                <w:sz w:val="20"/>
                <w:szCs w:val="20"/>
              </w:rPr>
              <w:t>Sensibilisation et communication sur le fait que les risques ne sont pas totalement éliminés, car les ouvrages sont conçus</w:t>
            </w:r>
          </w:p>
          <w:p w14:paraId="52897E04" w14:textId="77777777" w:rsidR="00DB0460" w:rsidRPr="0097258B" w:rsidRDefault="00DB0460" w:rsidP="00E3321E">
            <w:pPr>
              <w:tabs>
                <w:tab w:val="num" w:pos="1353"/>
              </w:tabs>
              <w:autoSpaceDE w:val="0"/>
              <w:autoSpaceDN w:val="0"/>
              <w:adjustRightInd w:val="0"/>
              <w:spacing w:after="0" w:line="240" w:lineRule="auto"/>
              <w:jc w:val="both"/>
              <w:rPr>
                <w:rFonts w:ascii="Times New Roman" w:eastAsia="Cambria" w:hAnsi="Times New Roman"/>
                <w:color w:val="000000" w:themeColor="text1"/>
                <w:sz w:val="20"/>
                <w:szCs w:val="20"/>
              </w:rPr>
            </w:pPr>
            <w:r w:rsidRPr="0097258B">
              <w:rPr>
                <w:rFonts w:ascii="Times New Roman" w:hAnsi="Times New Roman"/>
                <w:color w:val="000000" w:themeColor="text1"/>
                <w:sz w:val="20"/>
                <w:szCs w:val="20"/>
              </w:rPr>
              <w:t>Pour supporter une pluie décennale</w:t>
            </w:r>
          </w:p>
        </w:tc>
        <w:tc>
          <w:tcPr>
            <w:tcW w:w="278" w:type="pct"/>
            <w:tcBorders>
              <w:top w:val="single" w:sz="4" w:space="0" w:color="auto"/>
              <w:left w:val="single" w:sz="4" w:space="0" w:color="auto"/>
              <w:bottom w:val="single" w:sz="4" w:space="0" w:color="auto"/>
              <w:right w:val="single" w:sz="4" w:space="0" w:color="auto"/>
            </w:tcBorders>
            <w:vAlign w:val="center"/>
          </w:tcPr>
          <w:p w14:paraId="7FB439F7" w14:textId="77777777" w:rsidR="00DB0460" w:rsidRPr="0097258B" w:rsidRDefault="00DB0460" w:rsidP="00E3321E">
            <w:pPr>
              <w:spacing w:after="0" w:line="240" w:lineRule="auto"/>
              <w:jc w:val="both"/>
              <w:rPr>
                <w:rFonts w:ascii="Times New Roman" w:hAnsi="Times New Roman"/>
                <w:b/>
                <w:color w:val="000000" w:themeColor="text1"/>
                <w:sz w:val="20"/>
                <w:szCs w:val="20"/>
              </w:rPr>
            </w:pPr>
            <w:r w:rsidRPr="0097258B">
              <w:rPr>
                <w:rFonts w:ascii="Times New Roman" w:eastAsia="Times New Roman" w:hAnsi="Times New Roman"/>
                <w:b/>
                <w:color w:val="000000" w:themeColor="text1"/>
                <w:sz w:val="20"/>
                <w:szCs w:val="20"/>
                <w:lang w:eastAsia="fr-FR"/>
              </w:rPr>
              <w:t>2</w:t>
            </w:r>
          </w:p>
        </w:tc>
        <w:tc>
          <w:tcPr>
            <w:tcW w:w="736" w:type="pct"/>
            <w:tcBorders>
              <w:top w:val="single" w:sz="4" w:space="0" w:color="auto"/>
              <w:left w:val="single" w:sz="4" w:space="0" w:color="auto"/>
              <w:bottom w:val="single" w:sz="4" w:space="0" w:color="auto"/>
              <w:right w:val="single" w:sz="4" w:space="0" w:color="auto"/>
            </w:tcBorders>
            <w:vAlign w:val="center"/>
          </w:tcPr>
          <w:p w14:paraId="4020A2C1" w14:textId="77777777" w:rsidR="00DB0460" w:rsidRPr="0097258B" w:rsidRDefault="00DB0460" w:rsidP="00E3321E">
            <w:pPr>
              <w:autoSpaceDE w:val="0"/>
              <w:autoSpaceDN w:val="0"/>
              <w:adjustRightInd w:val="0"/>
              <w:spacing w:after="0" w:line="240" w:lineRule="auto"/>
              <w:contextualSpacing/>
              <w:rPr>
                <w:rFonts w:ascii="Times New Roman" w:hAnsi="Times New Roman"/>
                <w:color w:val="000000" w:themeColor="text1"/>
                <w:sz w:val="20"/>
                <w:szCs w:val="20"/>
              </w:rPr>
            </w:pPr>
            <w:r w:rsidRPr="0097258B">
              <w:rPr>
                <w:rFonts w:ascii="Times New Roman" w:hAnsi="Times New Roman"/>
                <w:color w:val="000000" w:themeColor="text1"/>
                <w:sz w:val="20"/>
                <w:szCs w:val="20"/>
              </w:rPr>
              <w:t>Suivre le niveau d’eau et alerter en fonction de la situation</w:t>
            </w:r>
          </w:p>
          <w:p w14:paraId="3F10A0DA" w14:textId="77777777" w:rsidR="00DB0460" w:rsidRPr="0097258B" w:rsidRDefault="00DB0460" w:rsidP="00E3321E">
            <w:pPr>
              <w:widowControl w:val="0"/>
              <w:tabs>
                <w:tab w:val="num" w:pos="210"/>
                <w:tab w:val="num" w:pos="360"/>
                <w:tab w:val="num" w:pos="503"/>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mbria" w:hAnsi="Times New Roman"/>
                <w:color w:val="000000" w:themeColor="text1"/>
                <w:sz w:val="20"/>
                <w:szCs w:val="20"/>
                <w:lang w:eastAsia="fr-FR"/>
              </w:rPr>
            </w:pPr>
            <w:r w:rsidRPr="0097258B">
              <w:rPr>
                <w:rFonts w:ascii="Times New Roman" w:hAnsi="Times New Roman"/>
                <w:color w:val="000000" w:themeColor="text1"/>
                <w:sz w:val="20"/>
                <w:szCs w:val="20"/>
              </w:rPr>
              <w:t>Bande de sécurité autour des bassins et l’exutoire</w:t>
            </w:r>
          </w:p>
        </w:tc>
        <w:tc>
          <w:tcPr>
            <w:tcW w:w="167" w:type="pct"/>
            <w:tcBorders>
              <w:top w:val="single" w:sz="4" w:space="0" w:color="auto"/>
              <w:left w:val="single" w:sz="4" w:space="0" w:color="auto"/>
              <w:bottom w:val="single" w:sz="4" w:space="0" w:color="auto"/>
              <w:right w:val="single" w:sz="4" w:space="0" w:color="auto"/>
            </w:tcBorders>
            <w:vAlign w:val="center"/>
          </w:tcPr>
          <w:p w14:paraId="7BF7A3C2" w14:textId="77777777" w:rsidR="00DB0460" w:rsidRPr="0097258B" w:rsidRDefault="00DB0460" w:rsidP="00E3321E">
            <w:pPr>
              <w:spacing w:after="0" w:line="240" w:lineRule="auto"/>
              <w:jc w:val="both"/>
              <w:rPr>
                <w:rFonts w:ascii="Times New Roman" w:hAnsi="Times New Roman"/>
                <w:b/>
                <w:color w:val="000000" w:themeColor="text1"/>
                <w:sz w:val="20"/>
                <w:szCs w:val="20"/>
              </w:rPr>
            </w:pPr>
            <w:r w:rsidRPr="0097258B">
              <w:rPr>
                <w:rFonts w:ascii="Times New Roman" w:hAnsi="Times New Roman"/>
                <w:b/>
                <w:color w:val="000000" w:themeColor="text1"/>
                <w:sz w:val="20"/>
                <w:szCs w:val="20"/>
              </w:rPr>
              <w:t>3</w:t>
            </w:r>
          </w:p>
        </w:tc>
        <w:tc>
          <w:tcPr>
            <w:tcW w:w="231" w:type="pct"/>
            <w:tcBorders>
              <w:top w:val="single" w:sz="4" w:space="0" w:color="auto"/>
              <w:left w:val="single" w:sz="4" w:space="0" w:color="auto"/>
              <w:bottom w:val="single" w:sz="4" w:space="0" w:color="auto"/>
              <w:right w:val="single" w:sz="4" w:space="0" w:color="auto"/>
            </w:tcBorders>
            <w:shd w:val="clear" w:color="auto" w:fill="FFFF00"/>
            <w:vAlign w:val="center"/>
          </w:tcPr>
          <w:p w14:paraId="66523E23" w14:textId="77777777" w:rsidR="00DB0460" w:rsidRPr="0097258B" w:rsidRDefault="00DB0460" w:rsidP="00E3321E">
            <w:pPr>
              <w:spacing w:after="0" w:line="240" w:lineRule="auto"/>
              <w:jc w:val="both"/>
              <w:rPr>
                <w:rFonts w:ascii="Times New Roman" w:hAnsi="Times New Roman"/>
                <w:b/>
                <w:color w:val="000000" w:themeColor="text1"/>
                <w:sz w:val="20"/>
                <w:szCs w:val="20"/>
              </w:rPr>
            </w:pPr>
            <w:r w:rsidRPr="0097258B">
              <w:rPr>
                <w:rFonts w:ascii="Times New Roman" w:eastAsia="Times New Roman" w:hAnsi="Times New Roman"/>
                <w:b/>
                <w:color w:val="000000" w:themeColor="text1"/>
                <w:sz w:val="20"/>
                <w:szCs w:val="20"/>
                <w:lang w:eastAsia="fr-FR"/>
              </w:rPr>
              <w:t>23</w:t>
            </w:r>
          </w:p>
        </w:tc>
        <w:tc>
          <w:tcPr>
            <w:tcW w:w="370" w:type="pct"/>
            <w:tcBorders>
              <w:top w:val="single" w:sz="4" w:space="0" w:color="auto"/>
              <w:left w:val="single" w:sz="4" w:space="0" w:color="auto"/>
              <w:bottom w:val="single" w:sz="4" w:space="0" w:color="auto"/>
              <w:right w:val="single" w:sz="4" w:space="0" w:color="auto"/>
            </w:tcBorders>
            <w:vAlign w:val="center"/>
          </w:tcPr>
          <w:p w14:paraId="7C26BDDF" w14:textId="77777777" w:rsidR="00DB0460" w:rsidRPr="0097258B" w:rsidRDefault="00DB0460" w:rsidP="00E3321E">
            <w:pPr>
              <w:spacing w:after="0" w:line="240" w:lineRule="auto"/>
              <w:jc w:val="both"/>
              <w:rPr>
                <w:rFonts w:ascii="Times New Roman" w:hAnsi="Times New Roman"/>
                <w:bCs/>
                <w:color w:val="000000" w:themeColor="text1"/>
                <w:sz w:val="20"/>
                <w:szCs w:val="20"/>
              </w:rPr>
            </w:pPr>
            <w:r w:rsidRPr="0097258B">
              <w:rPr>
                <w:rFonts w:ascii="Times New Roman" w:eastAsia="Times New Roman" w:hAnsi="Times New Roman"/>
                <w:bCs/>
                <w:color w:val="000000" w:themeColor="text1"/>
                <w:sz w:val="20"/>
                <w:szCs w:val="20"/>
                <w:lang w:eastAsia="fr-FR"/>
              </w:rPr>
              <w:t>Inondation</w:t>
            </w:r>
          </w:p>
        </w:tc>
        <w:tc>
          <w:tcPr>
            <w:tcW w:w="370" w:type="pct"/>
            <w:tcBorders>
              <w:top w:val="single" w:sz="4" w:space="0" w:color="auto"/>
              <w:left w:val="single" w:sz="4" w:space="0" w:color="auto"/>
              <w:bottom w:val="single" w:sz="4" w:space="0" w:color="auto"/>
              <w:right w:val="single" w:sz="4" w:space="0" w:color="auto"/>
            </w:tcBorders>
            <w:vAlign w:val="center"/>
          </w:tcPr>
          <w:p w14:paraId="754F0932" w14:textId="77777777" w:rsidR="00DB0460" w:rsidRPr="0097258B" w:rsidRDefault="00DB0460" w:rsidP="00E3321E">
            <w:pPr>
              <w:autoSpaceDE w:val="0"/>
              <w:autoSpaceDN w:val="0"/>
              <w:adjustRightInd w:val="0"/>
              <w:spacing w:after="0" w:line="240" w:lineRule="auto"/>
              <w:jc w:val="both"/>
              <w:rPr>
                <w:rFonts w:ascii="Times New Roman" w:hAnsi="Times New Roman"/>
                <w:bCs/>
                <w:color w:val="000000" w:themeColor="text1"/>
                <w:sz w:val="20"/>
                <w:szCs w:val="20"/>
              </w:rPr>
            </w:pPr>
            <w:r w:rsidRPr="0097258B">
              <w:rPr>
                <w:rFonts w:ascii="Times New Roman" w:eastAsia="Times New Roman" w:hAnsi="Times New Roman"/>
                <w:bCs/>
                <w:color w:val="000000" w:themeColor="text1"/>
                <w:sz w:val="20"/>
                <w:szCs w:val="20"/>
                <w:lang w:eastAsia="fr-FR"/>
              </w:rPr>
              <w:t>Lente</w:t>
            </w:r>
          </w:p>
        </w:tc>
      </w:tr>
    </w:tbl>
    <w:p w14:paraId="28723935" w14:textId="77777777" w:rsidR="00DB0460" w:rsidRPr="00260790" w:rsidRDefault="00DB0460" w:rsidP="00E20250">
      <w:pPr>
        <w:spacing w:line="240" w:lineRule="auto"/>
        <w:jc w:val="both"/>
        <w:rPr>
          <w:rFonts w:ascii="Times New Roman" w:eastAsia="Times New Roman" w:hAnsi="Times New Roman"/>
          <w:b/>
          <w:color w:val="000000" w:themeColor="text1"/>
          <w:lang w:eastAsia="fr-FR"/>
        </w:rPr>
        <w:sectPr w:rsidR="00DB0460" w:rsidRPr="00260790" w:rsidSect="00E3321E">
          <w:footerReference w:type="even" r:id="rId144"/>
          <w:footerReference w:type="default" r:id="rId145"/>
          <w:footerReference w:type="first" r:id="rId146"/>
          <w:pgSz w:w="16817" w:h="11901" w:orient="landscape"/>
          <w:pgMar w:top="1418" w:right="1418" w:bottom="1418" w:left="1418" w:header="709" w:footer="454" w:gutter="0"/>
          <w:cols w:space="708"/>
          <w:docGrid w:linePitch="360"/>
        </w:sectPr>
      </w:pPr>
    </w:p>
    <w:p w14:paraId="1DA65EC6" w14:textId="77777777" w:rsidR="00DB0460" w:rsidRPr="00260790" w:rsidRDefault="00DB0460" w:rsidP="00E20250">
      <w:pPr>
        <w:spacing w:line="240" w:lineRule="auto"/>
        <w:ind w:left="1440"/>
        <w:jc w:val="both"/>
        <w:rPr>
          <w:rFonts w:ascii="Times New Roman" w:hAnsi="Times New Roman"/>
          <w:b/>
          <w:color w:val="000000" w:themeColor="text1"/>
        </w:rPr>
      </w:pPr>
      <w:r w:rsidRPr="00260790">
        <w:rPr>
          <w:rFonts w:ascii="Times New Roman" w:hAnsi="Times New Roman"/>
          <w:b/>
          <w:color w:val="000000" w:themeColor="text1"/>
        </w:rPr>
        <w:lastRenderedPageBreak/>
        <w:t>8.2.3. Recommandations générales </w:t>
      </w:r>
    </w:p>
    <w:p w14:paraId="128E827C" w14:textId="3E7D1FF8" w:rsidR="00DB0460" w:rsidRPr="00260790" w:rsidRDefault="00DB0460"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différents risques professionnels auxquels le personnel peut être exposé sont analysés dans le tableau ci-haut.  La santé et la sécurité au travail font aujourd’hui </w:t>
      </w:r>
      <w:r w:rsidR="00874DDA" w:rsidRPr="00260790">
        <w:rPr>
          <w:rFonts w:ascii="Times New Roman" w:hAnsi="Times New Roman"/>
          <w:color w:val="000000" w:themeColor="text1"/>
        </w:rPr>
        <w:t>l’objet d’enjeux</w:t>
      </w:r>
      <w:r w:rsidRPr="00260790">
        <w:rPr>
          <w:rFonts w:ascii="Times New Roman" w:hAnsi="Times New Roman"/>
          <w:color w:val="000000" w:themeColor="text1"/>
        </w:rPr>
        <w:t xml:space="preserve"> très importants (éthiques, sociaux et économiques).  Puisque la promotion de la santé et de la sécurité des travailleurs </w:t>
      </w:r>
      <w:r w:rsidR="00C13D24" w:rsidRPr="00260790">
        <w:rPr>
          <w:rFonts w:ascii="Times New Roman" w:hAnsi="Times New Roman"/>
          <w:color w:val="000000" w:themeColor="text1"/>
        </w:rPr>
        <w:t>incombe</w:t>
      </w:r>
      <w:r w:rsidRPr="00260790">
        <w:rPr>
          <w:rFonts w:ascii="Times New Roman" w:hAnsi="Times New Roman"/>
          <w:color w:val="000000" w:themeColor="text1"/>
        </w:rPr>
        <w:t xml:space="preserve"> à </w:t>
      </w:r>
      <w:r w:rsidR="00CB53C6" w:rsidRPr="00260790">
        <w:rPr>
          <w:rFonts w:ascii="Times New Roman" w:hAnsi="Times New Roman"/>
          <w:color w:val="000000" w:themeColor="text1"/>
        </w:rPr>
        <w:t>l’employeur, il</w:t>
      </w:r>
      <w:r w:rsidRPr="00260790">
        <w:rPr>
          <w:rFonts w:ascii="Times New Roman" w:hAnsi="Times New Roman"/>
          <w:color w:val="000000" w:themeColor="text1"/>
        </w:rPr>
        <w:t xml:space="preserve"> a </w:t>
      </w:r>
      <w:r w:rsidR="00874DDA" w:rsidRPr="00260790">
        <w:rPr>
          <w:rFonts w:ascii="Times New Roman" w:hAnsi="Times New Roman"/>
          <w:color w:val="000000" w:themeColor="text1"/>
        </w:rPr>
        <w:t>l’obligation de</w:t>
      </w:r>
      <w:r w:rsidRPr="00260790">
        <w:rPr>
          <w:rFonts w:ascii="Times New Roman" w:hAnsi="Times New Roman"/>
          <w:color w:val="000000" w:themeColor="text1"/>
        </w:rPr>
        <w:t xml:space="preserve"> veiller à la mise en </w:t>
      </w:r>
      <w:r w:rsidR="00874DDA" w:rsidRPr="00260790">
        <w:rPr>
          <w:rFonts w:ascii="Times New Roman" w:hAnsi="Times New Roman"/>
          <w:color w:val="000000" w:themeColor="text1"/>
        </w:rPr>
        <w:t>place et</w:t>
      </w:r>
      <w:r w:rsidRPr="00260790">
        <w:rPr>
          <w:rFonts w:ascii="Times New Roman" w:hAnsi="Times New Roman"/>
          <w:color w:val="000000" w:themeColor="text1"/>
        </w:rPr>
        <w:t xml:space="preserve"> au respect des mesures de prévention et de protection.  Le tableau ci-après présente les principales mesures à respecter en matière d’hygiène et de sécurité pour la maîtrise des risques.</w:t>
      </w:r>
    </w:p>
    <w:p w14:paraId="00309D80" w14:textId="28061414" w:rsidR="00DB0460" w:rsidRPr="000D52B7" w:rsidRDefault="00DB0460" w:rsidP="00E20250">
      <w:pPr>
        <w:spacing w:line="240" w:lineRule="auto"/>
        <w:jc w:val="both"/>
        <w:rPr>
          <w:rFonts w:ascii="Times New Roman" w:hAnsi="Times New Roman"/>
          <w:b/>
          <w:bCs/>
          <w:i/>
          <w:color w:val="000000" w:themeColor="text1"/>
        </w:rPr>
      </w:pPr>
      <w:bookmarkStart w:id="711" w:name="_Toc207781943"/>
      <w:r w:rsidRPr="000D52B7">
        <w:rPr>
          <w:rFonts w:ascii="Times New Roman" w:hAnsi="Times New Roman"/>
          <w:i/>
          <w:color w:val="000000" w:themeColor="text1"/>
        </w:rPr>
        <w:t xml:space="preserve">Tableau </w:t>
      </w:r>
      <w:r w:rsidRPr="000D52B7">
        <w:rPr>
          <w:rFonts w:ascii="Times New Roman" w:hAnsi="Times New Roman"/>
          <w:i/>
          <w:color w:val="000000" w:themeColor="text1"/>
        </w:rPr>
        <w:fldChar w:fldCharType="begin"/>
      </w:r>
      <w:r w:rsidRPr="000D52B7">
        <w:rPr>
          <w:rFonts w:ascii="Times New Roman" w:hAnsi="Times New Roman"/>
          <w:i/>
          <w:color w:val="000000" w:themeColor="text1"/>
        </w:rPr>
        <w:instrText xml:space="preserve"> SEQ Tableau \* ARABIC </w:instrText>
      </w:r>
      <w:r w:rsidRPr="000D52B7">
        <w:rPr>
          <w:rFonts w:ascii="Times New Roman" w:hAnsi="Times New Roman"/>
          <w:i/>
          <w:color w:val="000000" w:themeColor="text1"/>
        </w:rPr>
        <w:fldChar w:fldCharType="separate"/>
      </w:r>
      <w:r w:rsidR="003C783E">
        <w:rPr>
          <w:rFonts w:ascii="Times New Roman" w:hAnsi="Times New Roman"/>
          <w:i/>
          <w:noProof/>
          <w:color w:val="000000" w:themeColor="text1"/>
        </w:rPr>
        <w:t>102</w:t>
      </w:r>
      <w:r w:rsidRPr="000D52B7">
        <w:rPr>
          <w:rFonts w:ascii="Times New Roman" w:hAnsi="Times New Roman"/>
          <w:i/>
          <w:color w:val="000000" w:themeColor="text1"/>
        </w:rPr>
        <w:fldChar w:fldCharType="end"/>
      </w:r>
      <w:r w:rsidRPr="000D52B7">
        <w:rPr>
          <w:rFonts w:ascii="Times New Roman" w:hAnsi="Times New Roman"/>
          <w:i/>
          <w:color w:val="000000" w:themeColor="text1"/>
        </w:rPr>
        <w:t xml:space="preserve"> : </w:t>
      </w:r>
      <w:r w:rsidRPr="000D52B7">
        <w:rPr>
          <w:rFonts w:ascii="Times New Roman" w:hAnsi="Times New Roman"/>
          <w:bCs/>
          <w:i/>
          <w:color w:val="000000" w:themeColor="text1"/>
        </w:rPr>
        <w:t>Mesures d’hygiène</w:t>
      </w:r>
      <w:bookmarkEnd w:id="711"/>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209"/>
      </w:tblGrid>
      <w:tr w:rsidR="00BD1A2F" w:rsidRPr="00260790" w14:paraId="5F46DEB9" w14:textId="77777777" w:rsidTr="00E3321E">
        <w:trPr>
          <w:trHeight w:val="169"/>
        </w:trPr>
        <w:tc>
          <w:tcPr>
            <w:tcW w:w="9209" w:type="dxa"/>
            <w:shd w:val="clear" w:color="auto" w:fill="FFFFFF"/>
            <w:vAlign w:val="center"/>
          </w:tcPr>
          <w:p w14:paraId="6416F1CB" w14:textId="77777777" w:rsidR="00DB0460" w:rsidRPr="00260790" w:rsidRDefault="00DB0460" w:rsidP="00E3321E">
            <w:pPr>
              <w:spacing w:after="0" w:line="240" w:lineRule="auto"/>
              <w:jc w:val="both"/>
              <w:rPr>
                <w:rFonts w:ascii="Times New Roman" w:hAnsi="Times New Roman"/>
                <w:b/>
                <w:color w:val="000000" w:themeColor="text1"/>
              </w:rPr>
            </w:pPr>
            <w:r w:rsidRPr="00260790">
              <w:rPr>
                <w:rFonts w:ascii="Times New Roman" w:hAnsi="Times New Roman"/>
                <w:b/>
                <w:color w:val="000000" w:themeColor="text1"/>
              </w:rPr>
              <w:t xml:space="preserve">                                        Mesures en matière d’hygiène</w:t>
            </w:r>
          </w:p>
        </w:tc>
      </w:tr>
      <w:tr w:rsidR="00BD1A2F" w:rsidRPr="00260790" w14:paraId="44898C1B" w14:textId="77777777" w:rsidTr="00E3321E">
        <w:trPr>
          <w:trHeight w:val="351"/>
        </w:trPr>
        <w:tc>
          <w:tcPr>
            <w:tcW w:w="9209" w:type="dxa"/>
            <w:shd w:val="clear" w:color="auto" w:fill="FFFFFF"/>
            <w:vAlign w:val="center"/>
            <w:hideMark/>
          </w:tcPr>
          <w:p w14:paraId="3CDB4F9A" w14:textId="77777777" w:rsidR="00DB0460" w:rsidRPr="00260790" w:rsidRDefault="00DB0460" w:rsidP="00E3321E">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Sensibiliser le personnel sur les règles d’hygiène et veiller à ce qu’elles soient respectées (hygiène collective et hygiène individuelle)</w:t>
            </w:r>
          </w:p>
        </w:tc>
      </w:tr>
      <w:tr w:rsidR="00BD1A2F" w:rsidRPr="00260790" w14:paraId="40A505DE" w14:textId="77777777" w:rsidTr="00E3321E">
        <w:trPr>
          <w:trHeight w:val="253"/>
        </w:trPr>
        <w:tc>
          <w:tcPr>
            <w:tcW w:w="9209" w:type="dxa"/>
            <w:shd w:val="clear" w:color="auto" w:fill="FFFFFF"/>
            <w:vAlign w:val="center"/>
          </w:tcPr>
          <w:p w14:paraId="6BD0B462" w14:textId="77777777" w:rsidR="00DB0460" w:rsidRPr="00260790" w:rsidRDefault="00DB0460" w:rsidP="00E3321E">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Veiller à l’utilisation des </w:t>
            </w:r>
            <w:proofErr w:type="spellStart"/>
            <w:r w:rsidRPr="00260790">
              <w:rPr>
                <w:rFonts w:ascii="Times New Roman" w:hAnsi="Times New Roman"/>
                <w:color w:val="000000" w:themeColor="text1"/>
              </w:rPr>
              <w:t>EPIs</w:t>
            </w:r>
            <w:proofErr w:type="spellEnd"/>
            <w:r w:rsidRPr="00260790">
              <w:rPr>
                <w:rFonts w:ascii="Times New Roman" w:hAnsi="Times New Roman"/>
                <w:color w:val="000000" w:themeColor="text1"/>
              </w:rPr>
              <w:t xml:space="preserve"> à chaque fois que c’est nécessaire</w:t>
            </w:r>
          </w:p>
        </w:tc>
      </w:tr>
      <w:tr w:rsidR="00BD1A2F" w:rsidRPr="00260790" w14:paraId="249C1FD3" w14:textId="77777777" w:rsidTr="00E3321E">
        <w:trPr>
          <w:trHeight w:val="333"/>
        </w:trPr>
        <w:tc>
          <w:tcPr>
            <w:tcW w:w="9209" w:type="dxa"/>
            <w:shd w:val="clear" w:color="auto" w:fill="FFFFFF"/>
            <w:vAlign w:val="center"/>
            <w:hideMark/>
          </w:tcPr>
          <w:p w14:paraId="15DEEFA4" w14:textId="614037DF" w:rsidR="00DB0460" w:rsidRPr="00260790" w:rsidRDefault="00874DDA" w:rsidP="00E3321E">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Inspecter périodiquement</w:t>
            </w:r>
            <w:r w:rsidR="00DB0460" w:rsidRPr="00260790">
              <w:rPr>
                <w:rFonts w:ascii="Times New Roman" w:hAnsi="Times New Roman"/>
                <w:color w:val="000000" w:themeColor="text1"/>
              </w:rPr>
              <w:t xml:space="preserve"> les </w:t>
            </w:r>
            <w:r w:rsidRPr="00260790">
              <w:rPr>
                <w:rFonts w:ascii="Times New Roman" w:hAnsi="Times New Roman"/>
                <w:color w:val="000000" w:themeColor="text1"/>
              </w:rPr>
              <w:t>lieux de</w:t>
            </w:r>
            <w:r w:rsidR="00DB0460" w:rsidRPr="00260790">
              <w:rPr>
                <w:rFonts w:ascii="Times New Roman" w:hAnsi="Times New Roman"/>
                <w:color w:val="000000" w:themeColor="text1"/>
              </w:rPr>
              <w:t xml:space="preserve"> travail (contrôler, surveiller si </w:t>
            </w:r>
            <w:r w:rsidR="00CB53C6" w:rsidRPr="00260790">
              <w:rPr>
                <w:rFonts w:ascii="Times New Roman" w:hAnsi="Times New Roman"/>
                <w:color w:val="000000" w:themeColor="text1"/>
              </w:rPr>
              <w:t>les mesures</w:t>
            </w:r>
            <w:r w:rsidR="00DB0460" w:rsidRPr="00260790">
              <w:rPr>
                <w:rFonts w:ascii="Times New Roman" w:hAnsi="Times New Roman"/>
                <w:color w:val="000000" w:themeColor="text1"/>
              </w:rPr>
              <w:t xml:space="preserve"> d’hygiène sont respectées)</w:t>
            </w:r>
          </w:p>
        </w:tc>
      </w:tr>
      <w:tr w:rsidR="00BD1A2F" w:rsidRPr="00260790" w14:paraId="35413173" w14:textId="77777777" w:rsidTr="00E3321E">
        <w:trPr>
          <w:trHeight w:val="161"/>
        </w:trPr>
        <w:tc>
          <w:tcPr>
            <w:tcW w:w="9209" w:type="dxa"/>
            <w:shd w:val="clear" w:color="auto" w:fill="FFFFFF"/>
            <w:vAlign w:val="center"/>
            <w:hideMark/>
          </w:tcPr>
          <w:p w14:paraId="147DB2CD" w14:textId="77AC4A7D" w:rsidR="00DB0460" w:rsidRPr="00260790" w:rsidRDefault="00DB0460" w:rsidP="00E3321E">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Veiller à ce que les facteurs physiques d’ambiance ne puissent pas porter atteinte à la santé des salariés (température, </w:t>
            </w:r>
            <w:r w:rsidR="00CB53C6" w:rsidRPr="00260790">
              <w:rPr>
                <w:rFonts w:ascii="Times New Roman" w:hAnsi="Times New Roman"/>
                <w:color w:val="000000" w:themeColor="text1"/>
              </w:rPr>
              <w:t>hygrométrie,</w:t>
            </w:r>
            <w:r w:rsidRPr="00260790">
              <w:rPr>
                <w:rFonts w:ascii="Times New Roman" w:hAnsi="Times New Roman"/>
                <w:color w:val="000000" w:themeColor="text1"/>
              </w:rPr>
              <w:t xml:space="preserve"> odeurs…)</w:t>
            </w:r>
          </w:p>
        </w:tc>
      </w:tr>
    </w:tbl>
    <w:p w14:paraId="2112CD7D" w14:textId="77777777" w:rsidR="00DB0460" w:rsidRPr="00260790" w:rsidRDefault="00DB0460" w:rsidP="00E20250">
      <w:pPr>
        <w:spacing w:line="240" w:lineRule="auto"/>
        <w:jc w:val="both"/>
        <w:rPr>
          <w:rFonts w:ascii="Times New Roman" w:hAnsi="Times New Roman"/>
          <w:color w:val="000000" w:themeColor="text1"/>
          <w:highlight w:val="yellow"/>
        </w:rPr>
      </w:pPr>
    </w:p>
    <w:p w14:paraId="6BA3DA78" w14:textId="7950D4D4" w:rsidR="00DB0460" w:rsidRPr="00260790" w:rsidRDefault="00DB0460" w:rsidP="00E3321E">
      <w:pPr>
        <w:pStyle w:val="Lgende"/>
        <w:keepNext/>
        <w:spacing w:after="0" w:line="240" w:lineRule="auto"/>
        <w:rPr>
          <w:bCs/>
          <w:color w:val="000000" w:themeColor="text1"/>
          <w:sz w:val="22"/>
          <w:szCs w:val="22"/>
        </w:rPr>
      </w:pPr>
      <w:bookmarkStart w:id="712" w:name="_Toc207781944"/>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103</w:t>
      </w:r>
      <w:r w:rsidRPr="00260790">
        <w:rPr>
          <w:color w:val="000000" w:themeColor="text1"/>
          <w:sz w:val="22"/>
          <w:szCs w:val="22"/>
        </w:rPr>
        <w:fldChar w:fldCharType="end"/>
      </w:r>
      <w:r w:rsidRPr="00260790">
        <w:rPr>
          <w:color w:val="000000" w:themeColor="text1"/>
          <w:sz w:val="22"/>
          <w:szCs w:val="22"/>
        </w:rPr>
        <w:t> :</w:t>
      </w:r>
      <w:r w:rsidRPr="00260790">
        <w:rPr>
          <w:bCs/>
          <w:color w:val="000000" w:themeColor="text1"/>
          <w:sz w:val="22"/>
          <w:szCs w:val="22"/>
        </w:rPr>
        <w:t xml:space="preserve"> Mesures de sécurité</w:t>
      </w:r>
      <w:bookmarkEnd w:id="712"/>
    </w:p>
    <w:tbl>
      <w:tblPr>
        <w:tblpPr w:leftFromText="141" w:rightFromText="141" w:vertAnchor="text" w:horzAnchor="margin" w:tblpY="324"/>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209"/>
      </w:tblGrid>
      <w:tr w:rsidR="00E3321E" w:rsidRPr="00260790" w14:paraId="67A61AFC" w14:textId="77777777" w:rsidTr="003A0E4A">
        <w:trPr>
          <w:trHeight w:val="77"/>
          <w:tblHeader/>
        </w:trPr>
        <w:tc>
          <w:tcPr>
            <w:tcW w:w="9209" w:type="dxa"/>
            <w:shd w:val="clear" w:color="auto" w:fill="FFFFFF"/>
            <w:vAlign w:val="center"/>
          </w:tcPr>
          <w:p w14:paraId="0BE191E1" w14:textId="77777777" w:rsidR="00E3321E" w:rsidRPr="00260790" w:rsidRDefault="00E3321E" w:rsidP="003A0E4A">
            <w:pPr>
              <w:spacing w:after="0" w:line="240" w:lineRule="auto"/>
              <w:jc w:val="both"/>
              <w:rPr>
                <w:rFonts w:ascii="Times New Roman" w:hAnsi="Times New Roman"/>
                <w:b/>
                <w:color w:val="000000" w:themeColor="text1"/>
              </w:rPr>
            </w:pPr>
            <w:r w:rsidRPr="00260790">
              <w:rPr>
                <w:rFonts w:ascii="Times New Roman" w:hAnsi="Times New Roman"/>
                <w:b/>
                <w:color w:val="000000" w:themeColor="text1"/>
              </w:rPr>
              <w:t xml:space="preserve">                                           Mesures sécuritaires</w:t>
            </w:r>
          </w:p>
        </w:tc>
      </w:tr>
      <w:tr w:rsidR="00E3321E" w:rsidRPr="00260790" w14:paraId="6B547902" w14:textId="77777777" w:rsidTr="00E3321E">
        <w:trPr>
          <w:trHeight w:val="81"/>
        </w:trPr>
        <w:tc>
          <w:tcPr>
            <w:tcW w:w="9209" w:type="dxa"/>
            <w:shd w:val="clear" w:color="auto" w:fill="FFFFFF"/>
            <w:vAlign w:val="center"/>
            <w:hideMark/>
          </w:tcPr>
          <w:p w14:paraId="6A6622DD" w14:textId="77777777" w:rsidR="00E3321E" w:rsidRPr="00260790" w:rsidRDefault="00E3321E" w:rsidP="003A0E4A">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Procéder à des maintenances périodiques des installations par un organisme agréé</w:t>
            </w:r>
          </w:p>
        </w:tc>
      </w:tr>
      <w:tr w:rsidR="00E3321E" w:rsidRPr="00260790" w14:paraId="524B5554" w14:textId="77777777" w:rsidTr="00E3321E">
        <w:trPr>
          <w:trHeight w:val="81"/>
        </w:trPr>
        <w:tc>
          <w:tcPr>
            <w:tcW w:w="9209" w:type="dxa"/>
            <w:shd w:val="clear" w:color="auto" w:fill="FFFFFF"/>
            <w:vAlign w:val="center"/>
            <w:hideMark/>
          </w:tcPr>
          <w:p w14:paraId="22B3442E" w14:textId="77777777" w:rsidR="00E3321E" w:rsidRPr="00260790" w:rsidRDefault="00E3321E" w:rsidP="003A0E4A">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Former et sensibiliser le personnel sur les risques auxquels ils sont exposés et les mesures de prévention</w:t>
            </w:r>
          </w:p>
        </w:tc>
      </w:tr>
      <w:tr w:rsidR="00E3321E" w:rsidRPr="00260790" w14:paraId="5F914538" w14:textId="77777777" w:rsidTr="00E3321E">
        <w:trPr>
          <w:trHeight w:val="81"/>
        </w:trPr>
        <w:tc>
          <w:tcPr>
            <w:tcW w:w="9209" w:type="dxa"/>
            <w:shd w:val="clear" w:color="auto" w:fill="FFFFFF"/>
            <w:vAlign w:val="center"/>
          </w:tcPr>
          <w:p w14:paraId="2F154F55" w14:textId="77777777" w:rsidR="00E3321E" w:rsidRPr="00260790" w:rsidRDefault="00E3321E" w:rsidP="003A0E4A">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Afficher des consignes de sécurité aux endroits à risque</w:t>
            </w:r>
          </w:p>
        </w:tc>
      </w:tr>
      <w:tr w:rsidR="00E3321E" w:rsidRPr="00260790" w14:paraId="621B74E7" w14:textId="77777777" w:rsidTr="00E3321E">
        <w:trPr>
          <w:trHeight w:val="81"/>
        </w:trPr>
        <w:tc>
          <w:tcPr>
            <w:tcW w:w="9209" w:type="dxa"/>
            <w:shd w:val="clear" w:color="auto" w:fill="FFFFFF"/>
            <w:vAlign w:val="center"/>
          </w:tcPr>
          <w:p w14:paraId="63197146" w14:textId="77777777" w:rsidR="00E3321E" w:rsidRPr="00260790" w:rsidRDefault="00E3321E" w:rsidP="003A0E4A">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Signaler les zones à risque</w:t>
            </w:r>
          </w:p>
        </w:tc>
      </w:tr>
      <w:tr w:rsidR="00E3321E" w:rsidRPr="00260790" w14:paraId="5FE80BC6" w14:textId="77777777" w:rsidTr="00E3321E">
        <w:trPr>
          <w:trHeight w:val="81"/>
        </w:trPr>
        <w:tc>
          <w:tcPr>
            <w:tcW w:w="9209" w:type="dxa"/>
            <w:shd w:val="clear" w:color="auto" w:fill="FFFFFF"/>
            <w:vAlign w:val="center"/>
          </w:tcPr>
          <w:p w14:paraId="5260A007" w14:textId="77777777" w:rsidR="00E3321E" w:rsidRPr="00260790" w:rsidRDefault="00E3321E" w:rsidP="003A0E4A">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Apporter les premiers soins en cas d’accident </w:t>
            </w:r>
          </w:p>
        </w:tc>
      </w:tr>
      <w:tr w:rsidR="00E3321E" w:rsidRPr="00260790" w14:paraId="20A3B1F3" w14:textId="77777777" w:rsidTr="00E3321E">
        <w:trPr>
          <w:trHeight w:val="81"/>
        </w:trPr>
        <w:tc>
          <w:tcPr>
            <w:tcW w:w="9209" w:type="dxa"/>
            <w:shd w:val="clear" w:color="auto" w:fill="FFFFFF"/>
            <w:vAlign w:val="center"/>
          </w:tcPr>
          <w:p w14:paraId="6418A5F6" w14:textId="77777777" w:rsidR="00E3321E" w:rsidRPr="00260790" w:rsidRDefault="00E3321E" w:rsidP="003A0E4A">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N’autoriser la réalisation des tâches qu’au personnel formé et habilité</w:t>
            </w:r>
          </w:p>
        </w:tc>
      </w:tr>
      <w:tr w:rsidR="00E3321E" w:rsidRPr="00260790" w14:paraId="51CF8546" w14:textId="77777777" w:rsidTr="00E3321E">
        <w:trPr>
          <w:trHeight w:val="81"/>
        </w:trPr>
        <w:tc>
          <w:tcPr>
            <w:tcW w:w="9209" w:type="dxa"/>
            <w:shd w:val="clear" w:color="auto" w:fill="FFFFFF"/>
            <w:vAlign w:val="center"/>
          </w:tcPr>
          <w:p w14:paraId="42EE7A1D" w14:textId="77777777" w:rsidR="00E3321E" w:rsidRPr="00260790" w:rsidRDefault="00E3321E" w:rsidP="003A0E4A">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S’assurer que les équipements sont utilisés par des personnes autorisées</w:t>
            </w:r>
          </w:p>
        </w:tc>
      </w:tr>
      <w:tr w:rsidR="00E3321E" w:rsidRPr="00260790" w14:paraId="156B52F1" w14:textId="77777777" w:rsidTr="00E3321E">
        <w:trPr>
          <w:trHeight w:val="81"/>
        </w:trPr>
        <w:tc>
          <w:tcPr>
            <w:tcW w:w="9209" w:type="dxa"/>
            <w:shd w:val="clear" w:color="auto" w:fill="FFFFFF"/>
            <w:vAlign w:val="center"/>
          </w:tcPr>
          <w:p w14:paraId="2138A6FF" w14:textId="77777777" w:rsidR="00E3321E" w:rsidRPr="00260790" w:rsidRDefault="00E3321E" w:rsidP="003A0E4A">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 Assurer le suivi médical périodique des salariés exposés (examens médicaux, vaccinations contre le Tétanos, l’hépatite A, la leptospirose)</w:t>
            </w:r>
          </w:p>
        </w:tc>
      </w:tr>
    </w:tbl>
    <w:p w14:paraId="57484DE8" w14:textId="77777777" w:rsidR="00E3321E" w:rsidRPr="00260790" w:rsidRDefault="00E3321E" w:rsidP="00E3321E">
      <w:pPr>
        <w:rPr>
          <w:rFonts w:ascii="Times New Roman" w:hAnsi="Times New Roman"/>
          <w:sz w:val="10"/>
          <w:szCs w:val="10"/>
          <w:lang w:eastAsia="fr-FR"/>
        </w:rPr>
      </w:pPr>
    </w:p>
    <w:p w14:paraId="3F0F1B85" w14:textId="77777777" w:rsidR="00E3321E" w:rsidRPr="000D52B7" w:rsidRDefault="00E3321E" w:rsidP="00E20250">
      <w:pPr>
        <w:spacing w:line="240" w:lineRule="auto"/>
        <w:jc w:val="both"/>
        <w:rPr>
          <w:rFonts w:ascii="Times New Roman" w:hAnsi="Times New Roman"/>
          <w:i/>
          <w:color w:val="000000" w:themeColor="text1"/>
        </w:rPr>
      </w:pPr>
    </w:p>
    <w:p w14:paraId="07F08AAA" w14:textId="6975D1F6" w:rsidR="00DB0460" w:rsidRPr="000D52B7" w:rsidRDefault="00DB0460" w:rsidP="00E20250">
      <w:pPr>
        <w:spacing w:line="240" w:lineRule="auto"/>
        <w:jc w:val="both"/>
        <w:rPr>
          <w:rFonts w:ascii="Times New Roman" w:hAnsi="Times New Roman"/>
          <w:i/>
          <w:color w:val="000000" w:themeColor="text1"/>
        </w:rPr>
      </w:pPr>
      <w:bookmarkStart w:id="713" w:name="_Toc207781945"/>
      <w:r w:rsidRPr="000D52B7">
        <w:rPr>
          <w:rFonts w:ascii="Times New Roman" w:hAnsi="Times New Roman"/>
          <w:i/>
          <w:color w:val="000000" w:themeColor="text1"/>
        </w:rPr>
        <w:t xml:space="preserve">Tableau </w:t>
      </w:r>
      <w:r w:rsidRPr="000D52B7">
        <w:rPr>
          <w:rFonts w:ascii="Times New Roman" w:hAnsi="Times New Roman"/>
          <w:i/>
          <w:color w:val="000000" w:themeColor="text1"/>
        </w:rPr>
        <w:fldChar w:fldCharType="begin"/>
      </w:r>
      <w:r w:rsidRPr="000D52B7">
        <w:rPr>
          <w:rFonts w:ascii="Times New Roman" w:hAnsi="Times New Roman"/>
          <w:i/>
          <w:color w:val="000000" w:themeColor="text1"/>
        </w:rPr>
        <w:instrText xml:space="preserve"> SEQ Tableau \* ARABIC </w:instrText>
      </w:r>
      <w:r w:rsidRPr="000D52B7">
        <w:rPr>
          <w:rFonts w:ascii="Times New Roman" w:hAnsi="Times New Roman"/>
          <w:i/>
          <w:color w:val="000000" w:themeColor="text1"/>
        </w:rPr>
        <w:fldChar w:fldCharType="separate"/>
      </w:r>
      <w:r w:rsidR="003C783E">
        <w:rPr>
          <w:rFonts w:ascii="Times New Roman" w:hAnsi="Times New Roman"/>
          <w:i/>
          <w:noProof/>
          <w:color w:val="000000" w:themeColor="text1"/>
        </w:rPr>
        <w:t>104</w:t>
      </w:r>
      <w:r w:rsidRPr="000D52B7">
        <w:rPr>
          <w:rFonts w:ascii="Times New Roman" w:hAnsi="Times New Roman"/>
          <w:i/>
          <w:color w:val="000000" w:themeColor="text1"/>
        </w:rPr>
        <w:fldChar w:fldCharType="end"/>
      </w:r>
      <w:r w:rsidRPr="000D52B7">
        <w:rPr>
          <w:rFonts w:ascii="Times New Roman" w:hAnsi="Times New Roman"/>
          <w:i/>
          <w:color w:val="000000" w:themeColor="text1"/>
        </w:rPr>
        <w:t> : Formations pour le personnel</w:t>
      </w:r>
      <w:bookmarkEnd w:id="713"/>
    </w:p>
    <w:tbl>
      <w:tblPr>
        <w:tblW w:w="91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192"/>
      </w:tblGrid>
      <w:tr w:rsidR="00BD1A2F" w:rsidRPr="00260790" w14:paraId="693E2F87" w14:textId="77777777" w:rsidTr="000D52B7">
        <w:trPr>
          <w:trHeight w:val="294"/>
        </w:trPr>
        <w:tc>
          <w:tcPr>
            <w:tcW w:w="9192" w:type="dxa"/>
            <w:shd w:val="clear" w:color="auto" w:fill="FFFFFF"/>
          </w:tcPr>
          <w:p w14:paraId="320447AB" w14:textId="77777777" w:rsidR="00DB0460" w:rsidRPr="00260790" w:rsidRDefault="00DB0460" w:rsidP="00E3321E">
            <w:pPr>
              <w:spacing w:after="0" w:line="240" w:lineRule="auto"/>
              <w:jc w:val="both"/>
              <w:rPr>
                <w:rFonts w:ascii="Times New Roman" w:hAnsi="Times New Roman"/>
                <w:b/>
                <w:color w:val="000000" w:themeColor="text1"/>
              </w:rPr>
            </w:pPr>
            <w:r w:rsidRPr="00260790">
              <w:rPr>
                <w:rFonts w:ascii="Times New Roman" w:hAnsi="Times New Roman"/>
                <w:b/>
                <w:color w:val="000000" w:themeColor="text1"/>
              </w:rPr>
              <w:t>Formations recommandées pour le personnel</w:t>
            </w:r>
          </w:p>
        </w:tc>
      </w:tr>
      <w:tr w:rsidR="00BD1A2F" w:rsidRPr="00260790" w14:paraId="7F82034A" w14:textId="77777777" w:rsidTr="000D52B7">
        <w:trPr>
          <w:trHeight w:val="301"/>
        </w:trPr>
        <w:tc>
          <w:tcPr>
            <w:tcW w:w="9192" w:type="dxa"/>
            <w:shd w:val="clear" w:color="auto" w:fill="FFFFFF"/>
          </w:tcPr>
          <w:p w14:paraId="11B24808" w14:textId="77777777" w:rsidR="00DB0460" w:rsidRPr="00260790" w:rsidRDefault="00DB0460" w:rsidP="00E3321E">
            <w:pPr>
              <w:spacing w:after="0" w:line="240" w:lineRule="auto"/>
              <w:jc w:val="both"/>
              <w:rPr>
                <w:rFonts w:ascii="Times New Roman" w:hAnsi="Times New Roman"/>
                <w:color w:val="000000" w:themeColor="text1"/>
              </w:rPr>
            </w:pPr>
            <w:r w:rsidRPr="00260790">
              <w:rPr>
                <w:rFonts w:ascii="Times New Roman" w:eastAsia="Times New Roman" w:hAnsi="Times New Roman"/>
                <w:color w:val="000000" w:themeColor="text1"/>
                <w:lang w:eastAsia="fr-FR"/>
              </w:rPr>
              <w:t>Formation à la signalisation de sécurité et sur les symboles de risque chimique</w:t>
            </w:r>
          </w:p>
        </w:tc>
      </w:tr>
      <w:tr w:rsidR="00BD1A2F" w:rsidRPr="00260790" w14:paraId="5BF8FA26" w14:textId="77777777" w:rsidTr="000D52B7">
        <w:trPr>
          <w:trHeight w:val="47"/>
        </w:trPr>
        <w:tc>
          <w:tcPr>
            <w:tcW w:w="9192" w:type="dxa"/>
            <w:shd w:val="clear" w:color="auto" w:fill="FFFFFF"/>
          </w:tcPr>
          <w:p w14:paraId="39C52A6A" w14:textId="0595EA71" w:rsidR="00DB0460" w:rsidRPr="00260790" w:rsidRDefault="00DB0460" w:rsidP="00E3321E">
            <w:pPr>
              <w:spacing w:after="0" w:line="240" w:lineRule="auto"/>
              <w:jc w:val="both"/>
              <w:rPr>
                <w:rFonts w:ascii="Times New Roman" w:hAnsi="Times New Roman"/>
                <w:color w:val="000000" w:themeColor="text1"/>
              </w:rPr>
            </w:pPr>
            <w:r w:rsidRPr="00260790">
              <w:rPr>
                <w:rFonts w:ascii="Times New Roman" w:eastAsia="Times New Roman" w:hAnsi="Times New Roman"/>
                <w:color w:val="000000" w:themeColor="text1"/>
                <w:lang w:eastAsia="fr-FR"/>
              </w:rPr>
              <w:t xml:space="preserve">Formation à la conduite à tenir en cas de déversement </w:t>
            </w:r>
            <w:r w:rsidR="00874DDA" w:rsidRPr="00260790">
              <w:rPr>
                <w:rFonts w:ascii="Times New Roman" w:eastAsia="Times New Roman" w:hAnsi="Times New Roman"/>
                <w:color w:val="000000" w:themeColor="text1"/>
                <w:lang w:eastAsia="fr-FR"/>
              </w:rPr>
              <w:t>accidentel de</w:t>
            </w:r>
            <w:r w:rsidRPr="00260790">
              <w:rPr>
                <w:rFonts w:ascii="Times New Roman" w:eastAsia="Times New Roman" w:hAnsi="Times New Roman"/>
                <w:color w:val="000000" w:themeColor="text1"/>
                <w:lang w:eastAsia="fr-FR"/>
              </w:rPr>
              <w:t xml:space="preserve"> produits dangereux</w:t>
            </w:r>
          </w:p>
        </w:tc>
      </w:tr>
      <w:tr w:rsidR="00BD1A2F" w:rsidRPr="00260790" w14:paraId="421BCBE0" w14:textId="77777777" w:rsidTr="000D52B7">
        <w:trPr>
          <w:trHeight w:val="301"/>
        </w:trPr>
        <w:tc>
          <w:tcPr>
            <w:tcW w:w="9192" w:type="dxa"/>
            <w:shd w:val="clear" w:color="auto" w:fill="FFFFFF"/>
          </w:tcPr>
          <w:p w14:paraId="79A1753E" w14:textId="77777777" w:rsidR="00DB0460" w:rsidRPr="00260790" w:rsidRDefault="00DB0460" w:rsidP="00E3321E">
            <w:pPr>
              <w:spacing w:after="0" w:line="240" w:lineRule="auto"/>
              <w:jc w:val="both"/>
              <w:rPr>
                <w:rFonts w:ascii="Times New Roman" w:hAnsi="Times New Roman"/>
                <w:color w:val="000000" w:themeColor="text1"/>
              </w:rPr>
            </w:pPr>
            <w:r w:rsidRPr="00260790">
              <w:rPr>
                <w:rFonts w:ascii="Times New Roman" w:eastAsia="Times New Roman" w:hAnsi="Times New Roman"/>
                <w:color w:val="000000" w:themeColor="text1"/>
                <w:lang w:eastAsia="fr-FR"/>
              </w:rPr>
              <w:t>Formation aux bonnes pratiques d'hygiène</w:t>
            </w:r>
          </w:p>
        </w:tc>
      </w:tr>
      <w:tr w:rsidR="00BD1A2F" w:rsidRPr="00260790" w14:paraId="41658791" w14:textId="77777777" w:rsidTr="000D52B7">
        <w:trPr>
          <w:trHeight w:val="294"/>
        </w:trPr>
        <w:tc>
          <w:tcPr>
            <w:tcW w:w="9192" w:type="dxa"/>
            <w:shd w:val="clear" w:color="auto" w:fill="FFFFFF"/>
          </w:tcPr>
          <w:p w14:paraId="3F69300F" w14:textId="77777777" w:rsidR="00DB0460" w:rsidRPr="00260790" w:rsidRDefault="00DB0460" w:rsidP="00E3321E">
            <w:pPr>
              <w:spacing w:after="0" w:line="240" w:lineRule="auto"/>
              <w:jc w:val="both"/>
              <w:rPr>
                <w:rFonts w:ascii="Times New Roman" w:hAnsi="Times New Roman"/>
                <w:color w:val="000000" w:themeColor="text1"/>
              </w:rPr>
            </w:pPr>
            <w:r w:rsidRPr="00260790">
              <w:rPr>
                <w:rFonts w:ascii="Times New Roman" w:eastAsia="Times New Roman" w:hAnsi="Times New Roman"/>
                <w:color w:val="000000" w:themeColor="text1"/>
                <w:lang w:eastAsia="fr-FR"/>
              </w:rPr>
              <w:t>Formation de sauveteur secouriste du travail (SST)</w:t>
            </w:r>
          </w:p>
        </w:tc>
      </w:tr>
      <w:tr w:rsidR="00BD1A2F" w:rsidRPr="00260790" w14:paraId="1CCB767E" w14:textId="77777777" w:rsidTr="000D52B7">
        <w:trPr>
          <w:trHeight w:val="47"/>
        </w:trPr>
        <w:tc>
          <w:tcPr>
            <w:tcW w:w="9192" w:type="dxa"/>
            <w:shd w:val="clear" w:color="auto" w:fill="FFFFFF"/>
          </w:tcPr>
          <w:p w14:paraId="6F0E9087" w14:textId="1F5E2C8A" w:rsidR="00DB0460" w:rsidRPr="00260790" w:rsidRDefault="00DB0460" w:rsidP="00E3321E">
            <w:pPr>
              <w:spacing w:after="0" w:line="240" w:lineRule="auto"/>
              <w:jc w:val="both"/>
              <w:rPr>
                <w:rFonts w:ascii="Times New Roman" w:hAnsi="Times New Roman"/>
                <w:color w:val="000000" w:themeColor="text1"/>
              </w:rPr>
            </w:pPr>
            <w:r w:rsidRPr="00260790">
              <w:rPr>
                <w:rFonts w:ascii="Times New Roman" w:eastAsia="Times New Roman" w:hAnsi="Times New Roman"/>
                <w:color w:val="000000" w:themeColor="text1"/>
                <w:lang w:eastAsia="fr-FR"/>
              </w:rPr>
              <w:t xml:space="preserve">Formation à la mise en œuvre </w:t>
            </w:r>
            <w:r w:rsidR="00874DDA" w:rsidRPr="00260790">
              <w:rPr>
                <w:rFonts w:ascii="Times New Roman" w:eastAsia="Times New Roman" w:hAnsi="Times New Roman"/>
                <w:color w:val="000000" w:themeColor="text1"/>
                <w:lang w:eastAsia="fr-FR"/>
              </w:rPr>
              <w:t>et à</w:t>
            </w:r>
            <w:r w:rsidRPr="00260790">
              <w:rPr>
                <w:rFonts w:ascii="Times New Roman" w:eastAsia="Times New Roman" w:hAnsi="Times New Roman"/>
                <w:color w:val="000000" w:themeColor="text1"/>
                <w:lang w:eastAsia="fr-FR"/>
              </w:rPr>
              <w:t xml:space="preserve"> l'utilisation des équipements de protection individuelle (EPI)</w:t>
            </w:r>
          </w:p>
        </w:tc>
      </w:tr>
      <w:tr w:rsidR="00BD1A2F" w:rsidRPr="00260790" w14:paraId="0448905F" w14:textId="77777777" w:rsidTr="000D52B7">
        <w:trPr>
          <w:trHeight w:val="294"/>
        </w:trPr>
        <w:tc>
          <w:tcPr>
            <w:tcW w:w="9192" w:type="dxa"/>
            <w:shd w:val="clear" w:color="auto" w:fill="FFFFFF"/>
          </w:tcPr>
          <w:p w14:paraId="448D8588" w14:textId="77777777" w:rsidR="00DB0460" w:rsidRPr="00260790" w:rsidRDefault="00DB0460" w:rsidP="00E3321E">
            <w:pPr>
              <w:spacing w:after="0" w:line="240" w:lineRule="auto"/>
              <w:jc w:val="both"/>
              <w:rPr>
                <w:rFonts w:ascii="Times New Roman" w:hAnsi="Times New Roman"/>
                <w:color w:val="000000" w:themeColor="text1"/>
              </w:rPr>
            </w:pPr>
            <w:r w:rsidRPr="00260790">
              <w:rPr>
                <w:rFonts w:ascii="Times New Roman" w:eastAsia="Times New Roman" w:hAnsi="Times New Roman"/>
                <w:color w:val="000000" w:themeColor="text1"/>
                <w:lang w:eastAsia="fr-FR"/>
              </w:rPr>
              <w:t>Formation PRAP (Prévention des Risques liés à l'Activité Physique)</w:t>
            </w:r>
          </w:p>
        </w:tc>
      </w:tr>
    </w:tbl>
    <w:p w14:paraId="6ED73771" w14:textId="77777777" w:rsidR="00DB0460" w:rsidRPr="00260790" w:rsidRDefault="00DB0460" w:rsidP="00E20250">
      <w:pPr>
        <w:spacing w:line="240" w:lineRule="auto"/>
        <w:jc w:val="both"/>
        <w:rPr>
          <w:rFonts w:ascii="Times New Roman" w:hAnsi="Times New Roman"/>
          <w:color w:val="000000" w:themeColor="text1"/>
        </w:rPr>
      </w:pPr>
    </w:p>
    <w:p w14:paraId="21CFF2B5" w14:textId="77777777" w:rsidR="00E3321E" w:rsidRPr="00260790" w:rsidRDefault="00E3321E">
      <w:pPr>
        <w:spacing w:line="259" w:lineRule="auto"/>
        <w:rPr>
          <w:rFonts w:ascii="Times New Roman" w:eastAsia="Times New Roman" w:hAnsi="Times New Roman"/>
          <w:b/>
          <w:bCs/>
          <w:lang w:eastAsia="fr-FR"/>
          <w14:ligatures w14:val="standardContextual"/>
        </w:rPr>
      </w:pPr>
      <w:r w:rsidRPr="00260790">
        <w:rPr>
          <w:rFonts w:ascii="Times New Roman" w:hAnsi="Times New Roman"/>
          <w:b/>
          <w:bCs/>
        </w:rPr>
        <w:br w:type="page"/>
      </w:r>
    </w:p>
    <w:p w14:paraId="5176ED53" w14:textId="419F92CF" w:rsidR="00DB0460" w:rsidRPr="00260790" w:rsidRDefault="00DB0460" w:rsidP="001748C6">
      <w:pPr>
        <w:pStyle w:val="Normaltableau0"/>
        <w:numPr>
          <w:ilvl w:val="1"/>
          <w:numId w:val="139"/>
        </w:numPr>
        <w:outlineLvl w:val="1"/>
        <w:rPr>
          <w:rFonts w:ascii="Times New Roman" w:hAnsi="Times New Roman"/>
          <w:b/>
          <w:bCs/>
          <w:sz w:val="22"/>
          <w:szCs w:val="22"/>
        </w:rPr>
      </w:pPr>
      <w:bookmarkStart w:id="714" w:name="_Toc212725153"/>
      <w:r w:rsidRPr="00260790">
        <w:rPr>
          <w:rFonts w:ascii="Times New Roman" w:hAnsi="Times New Roman"/>
          <w:b/>
          <w:bCs/>
          <w:sz w:val="22"/>
          <w:szCs w:val="22"/>
        </w:rPr>
        <w:lastRenderedPageBreak/>
        <w:t>Analyse des risques professionnel</w:t>
      </w:r>
      <w:r w:rsidR="00CD4CE0" w:rsidRPr="00260790">
        <w:rPr>
          <w:rFonts w:ascii="Times New Roman" w:hAnsi="Times New Roman"/>
          <w:b/>
          <w:bCs/>
          <w:sz w:val="22"/>
          <w:szCs w:val="22"/>
        </w:rPr>
        <w:t>s</w:t>
      </w:r>
      <w:bookmarkEnd w:id="714"/>
      <w:r w:rsidRPr="00260790">
        <w:rPr>
          <w:rFonts w:ascii="Times New Roman" w:hAnsi="Times New Roman"/>
          <w:b/>
          <w:bCs/>
          <w:sz w:val="22"/>
          <w:szCs w:val="22"/>
        </w:rPr>
        <w:t xml:space="preserve"> </w:t>
      </w:r>
    </w:p>
    <w:p w14:paraId="5A7B6BFB" w14:textId="77777777" w:rsidR="00DB0460" w:rsidRPr="00260790" w:rsidRDefault="00DB0460" w:rsidP="00E20250">
      <w:pPr>
        <w:pStyle w:val="Lgende"/>
        <w:keepNext/>
        <w:spacing w:line="240" w:lineRule="auto"/>
        <w:jc w:val="both"/>
        <w:rPr>
          <w:b/>
          <w:bCs/>
          <w:i w:val="0"/>
          <w:iCs w:val="0"/>
          <w:color w:val="000000" w:themeColor="text1"/>
          <w:sz w:val="22"/>
          <w:szCs w:val="22"/>
        </w:rPr>
      </w:pPr>
      <w:r w:rsidRPr="00260790">
        <w:rPr>
          <w:i w:val="0"/>
          <w:iCs w:val="0"/>
          <w:color w:val="000000" w:themeColor="text1"/>
          <w:sz w:val="22"/>
          <w:szCs w:val="22"/>
        </w:rPr>
        <w:t>Le risque professionnel est la combinaison de la probabilité et de la gravité de la survenance d'un événement dangereux pour l'intégrité physique ou mentale d'une personne ou d'un groupe de personnes dans l'exercice du métier. Il résulte de la présence simultanée d’une personne et d’un danger dans la même zone, créant soit une situation dangereuse, soit une exposition, pouvant conduire à un dommage.</w:t>
      </w:r>
    </w:p>
    <w:p w14:paraId="4BEA6C6D" w14:textId="77777777" w:rsidR="00DB0460" w:rsidRPr="00260790" w:rsidRDefault="00DB0460" w:rsidP="00E20250">
      <w:pPr>
        <w:pStyle w:val="Lgende"/>
        <w:keepNext/>
        <w:spacing w:line="240" w:lineRule="auto"/>
        <w:jc w:val="both"/>
        <w:rPr>
          <w:b/>
          <w:bCs/>
          <w:i w:val="0"/>
          <w:iCs w:val="0"/>
          <w:color w:val="000000" w:themeColor="text1"/>
          <w:sz w:val="22"/>
          <w:szCs w:val="22"/>
        </w:rPr>
      </w:pPr>
      <w:r w:rsidRPr="00260790">
        <w:rPr>
          <w:i w:val="0"/>
          <w:iCs w:val="0"/>
          <w:color w:val="000000" w:themeColor="text1"/>
          <w:sz w:val="22"/>
          <w:szCs w:val="22"/>
        </w:rPr>
        <w:t>L’analyse des risques professionnels est à la base du processus de gestion des risques en entreprise et constitue un document de référence pour l’exploitant et plus particulièrement pour l’Expert en Hygiène, Santé, Sécurité (HSS) de l’entreprise.</w:t>
      </w:r>
    </w:p>
    <w:p w14:paraId="7B4E6F2E" w14:textId="77777777" w:rsidR="00DB0460" w:rsidRPr="00260790" w:rsidRDefault="00DB0460" w:rsidP="00E20250">
      <w:pPr>
        <w:pStyle w:val="Lgende"/>
        <w:keepNext/>
        <w:spacing w:line="240" w:lineRule="auto"/>
        <w:jc w:val="both"/>
        <w:rPr>
          <w:b/>
          <w:bCs/>
          <w:i w:val="0"/>
          <w:iCs w:val="0"/>
          <w:color w:val="000000" w:themeColor="text1"/>
          <w:sz w:val="22"/>
          <w:szCs w:val="22"/>
        </w:rPr>
      </w:pPr>
      <w:r w:rsidRPr="00260790">
        <w:rPr>
          <w:i w:val="0"/>
          <w:iCs w:val="0"/>
          <w:color w:val="000000" w:themeColor="text1"/>
          <w:sz w:val="22"/>
          <w:szCs w:val="22"/>
        </w:rPr>
        <w:t>Il s’agit tout d’abord d’identifier de façon exhaustive les risques sur les personnes liés au projet de construction d’ouvrage pour le drainage des eaux pluviales. Ces risques sont ensuite évalués en termes de probabilité d’occurrence et de gravité pour en déduire leur niveau de risque (la priorité) afin de proposer des mesures de sécurité pertinentes à mettre en place. Ces dernières permettront de protéger les salariés lors de l’exécution de leurs tâches et de réduire au maximum possible le risque d’accidents ou de maladies professionnelles qui, non seulement constituent un problème de santé ou un handicap pour les salariés, mais aussi présentent un coût pour l’exploitant (arrêt de travail et prise en charge des victimes).</w:t>
      </w:r>
    </w:p>
    <w:p w14:paraId="0B0C32E6" w14:textId="77777777" w:rsidR="00DB0460" w:rsidRPr="00260790" w:rsidRDefault="00DB0460" w:rsidP="001748C6">
      <w:pPr>
        <w:pStyle w:val="Lgende"/>
        <w:keepNext/>
        <w:numPr>
          <w:ilvl w:val="0"/>
          <w:numId w:val="346"/>
        </w:numPr>
        <w:spacing w:after="200" w:line="240" w:lineRule="auto"/>
        <w:jc w:val="both"/>
        <w:rPr>
          <w:i w:val="0"/>
          <w:iCs w:val="0"/>
          <w:color w:val="000000" w:themeColor="text1"/>
          <w:sz w:val="22"/>
          <w:szCs w:val="22"/>
        </w:rPr>
      </w:pPr>
      <w:r w:rsidRPr="00260790">
        <w:rPr>
          <w:i w:val="0"/>
          <w:iCs w:val="0"/>
          <w:color w:val="000000" w:themeColor="text1"/>
          <w:sz w:val="22"/>
          <w:szCs w:val="22"/>
        </w:rPr>
        <w:t>Évaluation des risques professionnels et proposition des mesures de prévention</w:t>
      </w:r>
    </w:p>
    <w:p w14:paraId="6E094658" w14:textId="77777777" w:rsidR="00DB0460" w:rsidRPr="00260790" w:rsidRDefault="00DB0460" w:rsidP="00E20250">
      <w:pPr>
        <w:pStyle w:val="Lgende"/>
        <w:keepNext/>
        <w:spacing w:line="240" w:lineRule="auto"/>
        <w:jc w:val="both"/>
        <w:rPr>
          <w:b/>
          <w:bCs/>
          <w:i w:val="0"/>
          <w:iCs w:val="0"/>
          <w:color w:val="000000" w:themeColor="text1"/>
          <w:sz w:val="22"/>
          <w:szCs w:val="22"/>
        </w:rPr>
      </w:pPr>
      <w:r w:rsidRPr="00260790">
        <w:rPr>
          <w:i w:val="0"/>
          <w:iCs w:val="0"/>
          <w:color w:val="000000" w:themeColor="text1"/>
          <w:sz w:val="22"/>
          <w:szCs w:val="22"/>
        </w:rPr>
        <w:t>Présentation de la grille d’évaluation</w:t>
      </w:r>
    </w:p>
    <w:p w14:paraId="74DC7EEC" w14:textId="77777777" w:rsidR="00DB0460" w:rsidRPr="00260790" w:rsidRDefault="00DB0460" w:rsidP="00E20250">
      <w:pPr>
        <w:pStyle w:val="Lgende"/>
        <w:keepNext/>
        <w:spacing w:line="240" w:lineRule="auto"/>
        <w:jc w:val="both"/>
        <w:rPr>
          <w:b/>
          <w:bCs/>
          <w:color w:val="000000" w:themeColor="text1"/>
          <w:sz w:val="22"/>
          <w:szCs w:val="22"/>
        </w:rPr>
      </w:pPr>
      <w:r w:rsidRPr="00260790">
        <w:rPr>
          <w:i w:val="0"/>
          <w:iCs w:val="0"/>
          <w:color w:val="000000" w:themeColor="text1"/>
          <w:sz w:val="22"/>
          <w:szCs w:val="22"/>
        </w:rPr>
        <w:t>L’estimation du risque consiste à considérer pour chaque situation dangereuse deux facteurs : la probabilité d’apparition (fonction de la durée et/ou de la fréquence d’exposition au danger) et la gravité des dommages potentiels. Les niveaux de probabilité peuvent aller de très improbable à très probable et les niveaux de gravité de faible à très grave.</w:t>
      </w:r>
    </w:p>
    <w:p w14:paraId="49FE25BC" w14:textId="4EC54FC5" w:rsidR="00DB0460" w:rsidRPr="00260790" w:rsidRDefault="00DB0460" w:rsidP="00E20250">
      <w:pPr>
        <w:spacing w:after="0" w:line="240" w:lineRule="auto"/>
        <w:rPr>
          <w:rFonts w:ascii="Times New Roman" w:eastAsia="Times New Roman" w:hAnsi="Times New Roman"/>
          <w:i/>
          <w:iCs/>
          <w:noProof/>
          <w:color w:val="000000" w:themeColor="text1"/>
        </w:rPr>
      </w:pPr>
      <w:bookmarkStart w:id="715" w:name="_Toc151368237"/>
      <w:bookmarkStart w:id="716" w:name="_Toc207781946"/>
      <w:r w:rsidRPr="00260790">
        <w:rPr>
          <w:rFonts w:ascii="Times New Roman" w:eastAsia="Times New Roman" w:hAnsi="Times New Roman"/>
          <w:i/>
          <w:iCs/>
          <w:noProof/>
          <w:color w:val="000000" w:themeColor="text1"/>
        </w:rPr>
        <w:t xml:space="preserve">Tableau </w:t>
      </w:r>
      <w:r w:rsidRPr="00260790">
        <w:rPr>
          <w:rFonts w:ascii="Times New Roman" w:eastAsia="Times New Roman" w:hAnsi="Times New Roman"/>
          <w:i/>
          <w:iCs/>
          <w:noProof/>
          <w:color w:val="000000" w:themeColor="text1"/>
        </w:rPr>
        <w:fldChar w:fldCharType="begin"/>
      </w:r>
      <w:r w:rsidRPr="00260790">
        <w:rPr>
          <w:rFonts w:ascii="Times New Roman" w:eastAsia="Times New Roman" w:hAnsi="Times New Roman"/>
          <w:i/>
          <w:iCs/>
          <w:noProof/>
          <w:color w:val="000000" w:themeColor="text1"/>
        </w:rPr>
        <w:instrText xml:space="preserve"> SEQ Tableau \* ARABIC </w:instrText>
      </w:r>
      <w:r w:rsidRPr="00260790">
        <w:rPr>
          <w:rFonts w:ascii="Times New Roman" w:eastAsia="Times New Roman" w:hAnsi="Times New Roman"/>
          <w:i/>
          <w:iCs/>
          <w:noProof/>
          <w:color w:val="000000" w:themeColor="text1"/>
        </w:rPr>
        <w:fldChar w:fldCharType="separate"/>
      </w:r>
      <w:r w:rsidR="003C783E">
        <w:rPr>
          <w:rFonts w:ascii="Times New Roman" w:eastAsia="Times New Roman" w:hAnsi="Times New Roman"/>
          <w:i/>
          <w:iCs/>
          <w:noProof/>
          <w:color w:val="000000" w:themeColor="text1"/>
        </w:rPr>
        <w:t>105</w:t>
      </w:r>
      <w:r w:rsidRPr="00260790">
        <w:rPr>
          <w:rFonts w:ascii="Times New Roman" w:eastAsia="Times New Roman" w:hAnsi="Times New Roman"/>
          <w:i/>
          <w:iCs/>
          <w:noProof/>
          <w:color w:val="000000" w:themeColor="text1"/>
        </w:rPr>
        <w:fldChar w:fldCharType="end"/>
      </w:r>
      <w:r w:rsidRPr="00260790">
        <w:rPr>
          <w:rFonts w:ascii="Times New Roman" w:eastAsia="Times New Roman" w:hAnsi="Times New Roman"/>
          <w:i/>
          <w:iCs/>
          <w:noProof/>
          <w:color w:val="000000" w:themeColor="text1"/>
        </w:rPr>
        <w:t>: Niveaux des facteurs (P, G) de la grille d’évaluation des risques professionnels</w:t>
      </w:r>
      <w:bookmarkEnd w:id="715"/>
      <w:bookmarkEnd w:id="716"/>
    </w:p>
    <w:p w14:paraId="35FA7CD5" w14:textId="77777777" w:rsidR="00DB0460" w:rsidRPr="00260790" w:rsidRDefault="00DB0460" w:rsidP="00E20250">
      <w:pPr>
        <w:spacing w:after="0" w:line="240" w:lineRule="auto"/>
        <w:rPr>
          <w:rFonts w:ascii="Times New Roman" w:eastAsia="Times New Roman" w:hAnsi="Times New Roman"/>
          <w:i/>
          <w:iCs/>
          <w:noProof/>
          <w:color w:val="000000" w:themeColor="text1"/>
        </w:rPr>
      </w:pPr>
    </w:p>
    <w:tbl>
      <w:tblPr>
        <w:tblW w:w="4993"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877"/>
        <w:gridCol w:w="2120"/>
        <w:gridCol w:w="1795"/>
        <w:gridCol w:w="4235"/>
      </w:tblGrid>
      <w:tr w:rsidR="00BD1A2F" w:rsidRPr="00260790" w14:paraId="61A5B6B1" w14:textId="77777777" w:rsidTr="003A0E4A">
        <w:trPr>
          <w:trHeight w:val="28"/>
          <w:jc w:val="center"/>
        </w:trPr>
        <w:tc>
          <w:tcPr>
            <w:tcW w:w="1660" w:type="pct"/>
            <w:gridSpan w:val="2"/>
            <w:tcBorders>
              <w:top w:val="single" w:sz="12" w:space="0" w:color="auto"/>
              <w:left w:val="single" w:sz="12" w:space="0" w:color="auto"/>
            </w:tcBorders>
            <w:shd w:val="clear" w:color="auto" w:fill="E0E0E0"/>
            <w:vAlign w:val="center"/>
          </w:tcPr>
          <w:p w14:paraId="6593C18E" w14:textId="77777777" w:rsidR="00DB0460" w:rsidRPr="00260790" w:rsidRDefault="00DB0460" w:rsidP="00E20250">
            <w:pPr>
              <w:autoSpaceDE w:val="0"/>
              <w:autoSpaceDN w:val="0"/>
              <w:adjustRightInd w:val="0"/>
              <w:spacing w:after="0" w:line="240" w:lineRule="auto"/>
              <w:jc w:val="center"/>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Échelle de probabilité (P)</w:t>
            </w:r>
          </w:p>
        </w:tc>
        <w:tc>
          <w:tcPr>
            <w:tcW w:w="3340" w:type="pct"/>
            <w:gridSpan w:val="2"/>
            <w:tcBorders>
              <w:top w:val="single" w:sz="12" w:space="0" w:color="auto"/>
              <w:right w:val="single" w:sz="12" w:space="0" w:color="auto"/>
            </w:tcBorders>
            <w:shd w:val="clear" w:color="auto" w:fill="E0E0E0"/>
            <w:vAlign w:val="center"/>
          </w:tcPr>
          <w:p w14:paraId="70755E0B" w14:textId="77777777" w:rsidR="00DB0460" w:rsidRPr="00260790" w:rsidRDefault="00DB0460" w:rsidP="00E20250">
            <w:pPr>
              <w:autoSpaceDE w:val="0"/>
              <w:autoSpaceDN w:val="0"/>
              <w:adjustRightInd w:val="0"/>
              <w:spacing w:after="0" w:line="240" w:lineRule="auto"/>
              <w:jc w:val="center"/>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Échelle de gravité (G)</w:t>
            </w:r>
          </w:p>
        </w:tc>
      </w:tr>
      <w:tr w:rsidR="00BD1A2F" w:rsidRPr="00260790" w14:paraId="18D47213" w14:textId="77777777" w:rsidTr="003A0E4A">
        <w:trPr>
          <w:trHeight w:val="48"/>
          <w:jc w:val="center"/>
        </w:trPr>
        <w:tc>
          <w:tcPr>
            <w:tcW w:w="486" w:type="pct"/>
            <w:tcBorders>
              <w:left w:val="single" w:sz="12" w:space="0" w:color="auto"/>
            </w:tcBorders>
            <w:shd w:val="clear" w:color="auto" w:fill="E0E0E0"/>
            <w:vAlign w:val="center"/>
          </w:tcPr>
          <w:p w14:paraId="2D5E9751" w14:textId="77777777" w:rsidR="00DB0460" w:rsidRPr="00260790" w:rsidRDefault="00DB0460" w:rsidP="00E20250">
            <w:pPr>
              <w:autoSpaceDE w:val="0"/>
              <w:autoSpaceDN w:val="0"/>
              <w:adjustRightInd w:val="0"/>
              <w:spacing w:after="0" w:line="240" w:lineRule="auto"/>
              <w:jc w:val="center"/>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Score</w:t>
            </w:r>
          </w:p>
        </w:tc>
        <w:tc>
          <w:tcPr>
            <w:tcW w:w="1174" w:type="pct"/>
            <w:shd w:val="clear" w:color="auto" w:fill="E0E0E0"/>
            <w:vAlign w:val="center"/>
          </w:tcPr>
          <w:p w14:paraId="20DFD14C" w14:textId="77777777" w:rsidR="00DB0460" w:rsidRPr="00260790" w:rsidRDefault="00DB0460" w:rsidP="00E20250">
            <w:pPr>
              <w:autoSpaceDE w:val="0"/>
              <w:autoSpaceDN w:val="0"/>
              <w:adjustRightInd w:val="0"/>
              <w:spacing w:after="0" w:line="240" w:lineRule="auto"/>
              <w:jc w:val="center"/>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Signification</w:t>
            </w:r>
          </w:p>
        </w:tc>
        <w:tc>
          <w:tcPr>
            <w:tcW w:w="994" w:type="pct"/>
            <w:shd w:val="clear" w:color="auto" w:fill="E0E0E0"/>
            <w:vAlign w:val="center"/>
          </w:tcPr>
          <w:p w14:paraId="456D2667" w14:textId="77777777" w:rsidR="00DB0460" w:rsidRPr="00260790" w:rsidRDefault="00DB0460" w:rsidP="00E20250">
            <w:pPr>
              <w:autoSpaceDE w:val="0"/>
              <w:autoSpaceDN w:val="0"/>
              <w:adjustRightInd w:val="0"/>
              <w:spacing w:after="0" w:line="240" w:lineRule="auto"/>
              <w:jc w:val="center"/>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Score</w:t>
            </w:r>
          </w:p>
        </w:tc>
        <w:tc>
          <w:tcPr>
            <w:tcW w:w="2346" w:type="pct"/>
            <w:tcBorders>
              <w:right w:val="single" w:sz="12" w:space="0" w:color="auto"/>
            </w:tcBorders>
            <w:shd w:val="clear" w:color="auto" w:fill="E0E0E0"/>
            <w:vAlign w:val="center"/>
          </w:tcPr>
          <w:p w14:paraId="07671670" w14:textId="77777777" w:rsidR="00DB0460" w:rsidRPr="00260790" w:rsidRDefault="00DB0460" w:rsidP="00E20250">
            <w:pPr>
              <w:autoSpaceDE w:val="0"/>
              <w:autoSpaceDN w:val="0"/>
              <w:adjustRightInd w:val="0"/>
              <w:spacing w:after="0" w:line="240" w:lineRule="auto"/>
              <w:jc w:val="center"/>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Signification</w:t>
            </w:r>
          </w:p>
        </w:tc>
      </w:tr>
      <w:tr w:rsidR="00BD1A2F" w:rsidRPr="00260790" w14:paraId="0B2FABFF" w14:textId="77777777" w:rsidTr="003A0E4A">
        <w:trPr>
          <w:trHeight w:val="48"/>
          <w:jc w:val="center"/>
        </w:trPr>
        <w:tc>
          <w:tcPr>
            <w:tcW w:w="486" w:type="pct"/>
            <w:tcBorders>
              <w:left w:val="single" w:sz="12" w:space="0" w:color="auto"/>
            </w:tcBorders>
            <w:vAlign w:val="center"/>
          </w:tcPr>
          <w:p w14:paraId="2928FCE6" w14:textId="77777777" w:rsidR="00DB0460" w:rsidRPr="00260790" w:rsidRDefault="00DB0460" w:rsidP="00E20250">
            <w:pPr>
              <w:autoSpaceDE w:val="0"/>
              <w:autoSpaceDN w:val="0"/>
              <w:adjustRightInd w:val="0"/>
              <w:spacing w:after="0" w:line="240" w:lineRule="auto"/>
              <w:jc w:val="center"/>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P1</w:t>
            </w:r>
          </w:p>
        </w:tc>
        <w:tc>
          <w:tcPr>
            <w:tcW w:w="1174" w:type="pct"/>
            <w:vAlign w:val="center"/>
          </w:tcPr>
          <w:p w14:paraId="247ACDA9" w14:textId="77777777" w:rsidR="00DB0460" w:rsidRPr="00260790" w:rsidRDefault="00DB0460" w:rsidP="00E20250">
            <w:pPr>
              <w:autoSpaceDE w:val="0"/>
              <w:autoSpaceDN w:val="0"/>
              <w:adjustRightInd w:val="0"/>
              <w:spacing w:after="0" w:line="240" w:lineRule="auto"/>
              <w:ind w:left="71"/>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Très improbable</w:t>
            </w:r>
          </w:p>
        </w:tc>
        <w:tc>
          <w:tcPr>
            <w:tcW w:w="994" w:type="pct"/>
            <w:vAlign w:val="center"/>
          </w:tcPr>
          <w:p w14:paraId="16309886"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G1 = faible</w:t>
            </w:r>
          </w:p>
        </w:tc>
        <w:tc>
          <w:tcPr>
            <w:tcW w:w="2346" w:type="pct"/>
            <w:tcBorders>
              <w:right w:val="single" w:sz="12" w:space="0" w:color="auto"/>
            </w:tcBorders>
            <w:vAlign w:val="center"/>
          </w:tcPr>
          <w:p w14:paraId="61581522" w14:textId="77777777" w:rsidR="00DB0460" w:rsidRPr="00260790" w:rsidRDefault="00DB0460" w:rsidP="00E20250">
            <w:pPr>
              <w:autoSpaceDE w:val="0"/>
              <w:autoSpaceDN w:val="0"/>
              <w:adjustRightInd w:val="0"/>
              <w:spacing w:after="0" w:line="240" w:lineRule="auto"/>
              <w:ind w:left="71"/>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Accident ou maladie sans arrêt de travail</w:t>
            </w:r>
          </w:p>
        </w:tc>
      </w:tr>
      <w:tr w:rsidR="00BD1A2F" w:rsidRPr="00260790" w14:paraId="4105B766" w14:textId="77777777" w:rsidTr="003A0E4A">
        <w:trPr>
          <w:trHeight w:val="48"/>
          <w:jc w:val="center"/>
        </w:trPr>
        <w:tc>
          <w:tcPr>
            <w:tcW w:w="486" w:type="pct"/>
            <w:tcBorders>
              <w:left w:val="single" w:sz="12" w:space="0" w:color="auto"/>
            </w:tcBorders>
            <w:vAlign w:val="center"/>
          </w:tcPr>
          <w:p w14:paraId="3EE605AB" w14:textId="77777777" w:rsidR="00DB0460" w:rsidRPr="00260790" w:rsidRDefault="00DB0460" w:rsidP="00E20250">
            <w:pPr>
              <w:autoSpaceDE w:val="0"/>
              <w:autoSpaceDN w:val="0"/>
              <w:adjustRightInd w:val="0"/>
              <w:spacing w:after="0" w:line="240" w:lineRule="auto"/>
              <w:jc w:val="center"/>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P2</w:t>
            </w:r>
          </w:p>
        </w:tc>
        <w:tc>
          <w:tcPr>
            <w:tcW w:w="1174" w:type="pct"/>
            <w:vAlign w:val="center"/>
          </w:tcPr>
          <w:p w14:paraId="19743529" w14:textId="77777777" w:rsidR="00DB0460" w:rsidRPr="00260790" w:rsidRDefault="00DB0460" w:rsidP="00E20250">
            <w:pPr>
              <w:autoSpaceDE w:val="0"/>
              <w:autoSpaceDN w:val="0"/>
              <w:adjustRightInd w:val="0"/>
              <w:spacing w:after="0" w:line="240" w:lineRule="auto"/>
              <w:ind w:left="71"/>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Improbable</w:t>
            </w:r>
          </w:p>
        </w:tc>
        <w:tc>
          <w:tcPr>
            <w:tcW w:w="994" w:type="pct"/>
            <w:vAlign w:val="center"/>
          </w:tcPr>
          <w:p w14:paraId="1A2816AD"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G2 = moyenne</w:t>
            </w:r>
          </w:p>
        </w:tc>
        <w:tc>
          <w:tcPr>
            <w:tcW w:w="2346" w:type="pct"/>
            <w:tcBorders>
              <w:right w:val="single" w:sz="12" w:space="0" w:color="auto"/>
            </w:tcBorders>
            <w:vAlign w:val="center"/>
          </w:tcPr>
          <w:p w14:paraId="0EFAA7D8" w14:textId="77777777" w:rsidR="00DB0460" w:rsidRPr="00260790" w:rsidRDefault="00DB0460" w:rsidP="00E20250">
            <w:pPr>
              <w:autoSpaceDE w:val="0"/>
              <w:autoSpaceDN w:val="0"/>
              <w:adjustRightInd w:val="0"/>
              <w:spacing w:after="0" w:line="240" w:lineRule="auto"/>
              <w:ind w:left="71"/>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Accident ou maladie avec arrêt de travail</w:t>
            </w:r>
          </w:p>
        </w:tc>
      </w:tr>
      <w:tr w:rsidR="00BD1A2F" w:rsidRPr="00260790" w14:paraId="376001B6" w14:textId="77777777" w:rsidTr="003A0E4A">
        <w:trPr>
          <w:trHeight w:val="48"/>
          <w:jc w:val="center"/>
        </w:trPr>
        <w:tc>
          <w:tcPr>
            <w:tcW w:w="486" w:type="pct"/>
            <w:tcBorders>
              <w:left w:val="single" w:sz="12" w:space="0" w:color="auto"/>
            </w:tcBorders>
            <w:vAlign w:val="center"/>
          </w:tcPr>
          <w:p w14:paraId="1359AB29" w14:textId="77777777" w:rsidR="00DB0460" w:rsidRPr="00260790" w:rsidRDefault="00DB0460" w:rsidP="00E20250">
            <w:pPr>
              <w:autoSpaceDE w:val="0"/>
              <w:autoSpaceDN w:val="0"/>
              <w:adjustRightInd w:val="0"/>
              <w:spacing w:after="0" w:line="240" w:lineRule="auto"/>
              <w:jc w:val="center"/>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P3</w:t>
            </w:r>
          </w:p>
        </w:tc>
        <w:tc>
          <w:tcPr>
            <w:tcW w:w="1174" w:type="pct"/>
            <w:vAlign w:val="center"/>
          </w:tcPr>
          <w:p w14:paraId="7207F4F8" w14:textId="77777777" w:rsidR="00DB0460" w:rsidRPr="00260790" w:rsidRDefault="00DB0460" w:rsidP="00E20250">
            <w:pPr>
              <w:autoSpaceDE w:val="0"/>
              <w:autoSpaceDN w:val="0"/>
              <w:adjustRightInd w:val="0"/>
              <w:spacing w:after="0" w:line="240" w:lineRule="auto"/>
              <w:ind w:left="71"/>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Probable</w:t>
            </w:r>
          </w:p>
        </w:tc>
        <w:tc>
          <w:tcPr>
            <w:tcW w:w="994" w:type="pct"/>
            <w:vAlign w:val="center"/>
          </w:tcPr>
          <w:p w14:paraId="364DCD53"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G3 = grave</w:t>
            </w:r>
          </w:p>
        </w:tc>
        <w:tc>
          <w:tcPr>
            <w:tcW w:w="2346" w:type="pct"/>
            <w:tcBorders>
              <w:right w:val="single" w:sz="12" w:space="0" w:color="auto"/>
            </w:tcBorders>
            <w:vAlign w:val="center"/>
          </w:tcPr>
          <w:p w14:paraId="61CAAD1C" w14:textId="77777777" w:rsidR="00DB0460" w:rsidRPr="00260790" w:rsidRDefault="00DB0460" w:rsidP="00E20250">
            <w:pPr>
              <w:autoSpaceDE w:val="0"/>
              <w:autoSpaceDN w:val="0"/>
              <w:adjustRightInd w:val="0"/>
              <w:spacing w:after="0" w:line="240" w:lineRule="auto"/>
              <w:ind w:left="71"/>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Accident ou maladie avec incapacité permanente partielle</w:t>
            </w:r>
          </w:p>
        </w:tc>
      </w:tr>
      <w:tr w:rsidR="00DB0460" w:rsidRPr="00260790" w14:paraId="495945F3" w14:textId="77777777" w:rsidTr="003A0E4A">
        <w:trPr>
          <w:trHeight w:val="48"/>
          <w:jc w:val="center"/>
        </w:trPr>
        <w:tc>
          <w:tcPr>
            <w:tcW w:w="486" w:type="pct"/>
            <w:tcBorders>
              <w:left w:val="single" w:sz="12" w:space="0" w:color="auto"/>
              <w:bottom w:val="single" w:sz="12" w:space="0" w:color="auto"/>
            </w:tcBorders>
            <w:vAlign w:val="center"/>
          </w:tcPr>
          <w:p w14:paraId="792E643A" w14:textId="77777777" w:rsidR="00DB0460" w:rsidRPr="00260790" w:rsidRDefault="00DB0460" w:rsidP="00E20250">
            <w:pPr>
              <w:autoSpaceDE w:val="0"/>
              <w:autoSpaceDN w:val="0"/>
              <w:adjustRightInd w:val="0"/>
              <w:spacing w:after="0" w:line="240" w:lineRule="auto"/>
              <w:jc w:val="center"/>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P4</w:t>
            </w:r>
          </w:p>
        </w:tc>
        <w:tc>
          <w:tcPr>
            <w:tcW w:w="1174" w:type="pct"/>
            <w:tcBorders>
              <w:bottom w:val="single" w:sz="12" w:space="0" w:color="auto"/>
            </w:tcBorders>
            <w:vAlign w:val="center"/>
          </w:tcPr>
          <w:p w14:paraId="03C7FF5B"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Très probable</w:t>
            </w:r>
          </w:p>
        </w:tc>
        <w:tc>
          <w:tcPr>
            <w:tcW w:w="994" w:type="pct"/>
            <w:tcBorders>
              <w:bottom w:val="single" w:sz="12" w:space="0" w:color="auto"/>
            </w:tcBorders>
            <w:vAlign w:val="center"/>
          </w:tcPr>
          <w:p w14:paraId="2A9C0A52"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G4 = très grave</w:t>
            </w:r>
          </w:p>
        </w:tc>
        <w:tc>
          <w:tcPr>
            <w:tcW w:w="2346" w:type="pct"/>
            <w:tcBorders>
              <w:bottom w:val="single" w:sz="12" w:space="0" w:color="auto"/>
              <w:right w:val="single" w:sz="12" w:space="0" w:color="auto"/>
            </w:tcBorders>
            <w:vAlign w:val="center"/>
          </w:tcPr>
          <w:p w14:paraId="3F44B179" w14:textId="77777777" w:rsidR="00DB0460" w:rsidRPr="00260790" w:rsidRDefault="00DB0460" w:rsidP="00E20250">
            <w:pPr>
              <w:autoSpaceDE w:val="0"/>
              <w:autoSpaceDN w:val="0"/>
              <w:adjustRightInd w:val="0"/>
              <w:spacing w:after="0" w:line="240" w:lineRule="auto"/>
              <w:ind w:left="71"/>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Accident ou maladie mortelle</w:t>
            </w:r>
          </w:p>
        </w:tc>
      </w:tr>
    </w:tbl>
    <w:p w14:paraId="00DD50B3"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p>
    <w:p w14:paraId="456D9933" w14:textId="77777777" w:rsidR="00DB0460" w:rsidRPr="00260790" w:rsidRDefault="00DB0460"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 croisement de la probabilité et de la gravité donne le </w:t>
      </w:r>
      <w:r w:rsidRPr="00260790">
        <w:rPr>
          <w:rFonts w:ascii="Times New Roman" w:eastAsia="Times New Roman" w:hAnsi="Times New Roman"/>
          <w:color w:val="000000" w:themeColor="text1"/>
          <w:u w:val="single"/>
          <w:lang w:eastAsia="fr-FR"/>
        </w:rPr>
        <w:t>niveau de risque</w:t>
      </w:r>
      <w:r w:rsidRPr="00260790">
        <w:rPr>
          <w:rFonts w:ascii="Times New Roman" w:eastAsia="Times New Roman" w:hAnsi="Times New Roman"/>
          <w:b/>
          <w:color w:val="000000" w:themeColor="text1"/>
          <w:lang w:eastAsia="fr-FR"/>
        </w:rPr>
        <w:t xml:space="preserve"> </w:t>
      </w:r>
      <w:r w:rsidRPr="00260790">
        <w:rPr>
          <w:rFonts w:ascii="Times New Roman" w:eastAsia="Times New Roman" w:hAnsi="Times New Roman"/>
          <w:color w:val="000000" w:themeColor="text1"/>
          <w:lang w:eastAsia="fr-FR"/>
        </w:rPr>
        <w:t>et</w:t>
      </w:r>
      <w:r w:rsidRPr="00260790">
        <w:rPr>
          <w:rFonts w:ascii="Times New Roman" w:eastAsia="Times New Roman" w:hAnsi="Times New Roman"/>
          <w:b/>
          <w:color w:val="000000" w:themeColor="text1"/>
          <w:lang w:eastAsia="fr-FR"/>
        </w:rPr>
        <w:t xml:space="preserve"> </w:t>
      </w:r>
      <w:r w:rsidRPr="00260790">
        <w:rPr>
          <w:rFonts w:ascii="Times New Roman" w:eastAsia="Times New Roman" w:hAnsi="Times New Roman"/>
          <w:color w:val="000000" w:themeColor="text1"/>
          <w:lang w:eastAsia="fr-FR"/>
        </w:rPr>
        <w:t xml:space="preserve">par conséquent le </w:t>
      </w:r>
      <w:r w:rsidRPr="00260790">
        <w:rPr>
          <w:rFonts w:ascii="Times New Roman" w:eastAsia="Times New Roman" w:hAnsi="Times New Roman"/>
          <w:color w:val="000000" w:themeColor="text1"/>
          <w:u w:val="single"/>
          <w:lang w:eastAsia="fr-FR"/>
        </w:rPr>
        <w:t>Niveau de Priorité</w:t>
      </w:r>
      <w:r w:rsidRPr="00260790">
        <w:rPr>
          <w:rFonts w:ascii="Times New Roman" w:eastAsia="Times New Roman" w:hAnsi="Times New Roman"/>
          <w:color w:val="000000" w:themeColor="text1"/>
          <w:lang w:eastAsia="fr-FR"/>
        </w:rPr>
        <w:t xml:space="preserve"> (NP).</w:t>
      </w:r>
    </w:p>
    <w:p w14:paraId="189B1FE2" w14:textId="77777777" w:rsidR="00DB0460" w:rsidRPr="00260790" w:rsidRDefault="00DB0460" w:rsidP="00E20250">
      <w:pPr>
        <w:spacing w:after="0" w:line="240" w:lineRule="auto"/>
        <w:rPr>
          <w:rFonts w:ascii="Times New Roman" w:eastAsia="Times New Roman" w:hAnsi="Times New Roman"/>
          <w:bCs/>
          <w:i/>
          <w:noProof/>
          <w:color w:val="000000" w:themeColor="text1"/>
        </w:rPr>
      </w:pPr>
    </w:p>
    <w:p w14:paraId="1222E4B1" w14:textId="7F4F75E9" w:rsidR="00DB0460" w:rsidRPr="00260790" w:rsidRDefault="00DB0460" w:rsidP="00E20250">
      <w:pPr>
        <w:spacing w:after="0" w:line="240" w:lineRule="auto"/>
        <w:rPr>
          <w:rFonts w:ascii="Times New Roman" w:eastAsia="Times New Roman" w:hAnsi="Times New Roman"/>
          <w:bCs/>
          <w:i/>
          <w:noProof/>
          <w:color w:val="000000" w:themeColor="text1"/>
        </w:rPr>
      </w:pPr>
      <w:bookmarkStart w:id="717" w:name="_Toc151368238"/>
      <w:bookmarkStart w:id="718" w:name="_Toc207781947"/>
      <w:r w:rsidRPr="00260790">
        <w:rPr>
          <w:rFonts w:ascii="Times New Roman" w:eastAsia="Times New Roman" w:hAnsi="Times New Roman"/>
          <w:bCs/>
          <w:i/>
          <w:noProof/>
          <w:color w:val="000000" w:themeColor="text1"/>
        </w:rPr>
        <w:t xml:space="preserve">Tableau </w:t>
      </w:r>
      <w:r w:rsidRPr="00260790">
        <w:rPr>
          <w:rFonts w:ascii="Times New Roman" w:eastAsia="Times New Roman" w:hAnsi="Times New Roman"/>
          <w:i/>
          <w:iCs/>
          <w:noProof/>
          <w:color w:val="000000" w:themeColor="text1"/>
        </w:rPr>
        <w:fldChar w:fldCharType="begin"/>
      </w:r>
      <w:r w:rsidRPr="00260790">
        <w:rPr>
          <w:rFonts w:ascii="Times New Roman" w:eastAsia="Times New Roman" w:hAnsi="Times New Roman"/>
          <w:i/>
          <w:iCs/>
          <w:noProof/>
          <w:color w:val="000000" w:themeColor="text1"/>
        </w:rPr>
        <w:instrText xml:space="preserve"> SEQ Tableau \* ARABIC </w:instrText>
      </w:r>
      <w:r w:rsidRPr="00260790">
        <w:rPr>
          <w:rFonts w:ascii="Times New Roman" w:eastAsia="Times New Roman" w:hAnsi="Times New Roman"/>
          <w:i/>
          <w:iCs/>
          <w:noProof/>
          <w:color w:val="000000" w:themeColor="text1"/>
        </w:rPr>
        <w:fldChar w:fldCharType="separate"/>
      </w:r>
      <w:r w:rsidR="003C783E">
        <w:rPr>
          <w:rFonts w:ascii="Times New Roman" w:eastAsia="Times New Roman" w:hAnsi="Times New Roman"/>
          <w:i/>
          <w:iCs/>
          <w:noProof/>
          <w:color w:val="000000" w:themeColor="text1"/>
        </w:rPr>
        <w:t>106</w:t>
      </w:r>
      <w:r w:rsidRPr="00260790">
        <w:rPr>
          <w:rFonts w:ascii="Times New Roman" w:eastAsia="Times New Roman" w:hAnsi="Times New Roman"/>
          <w:i/>
          <w:iCs/>
          <w:noProof/>
          <w:color w:val="000000" w:themeColor="text1"/>
        </w:rPr>
        <w:fldChar w:fldCharType="end"/>
      </w:r>
      <w:r w:rsidRPr="00260790">
        <w:rPr>
          <w:rFonts w:ascii="Times New Roman" w:eastAsia="Times New Roman" w:hAnsi="Times New Roman"/>
          <w:bCs/>
          <w:i/>
          <w:noProof/>
          <w:color w:val="000000" w:themeColor="text1"/>
        </w:rPr>
        <w:t>: Grille d’évaluation des risques</w:t>
      </w:r>
      <w:bookmarkEnd w:id="717"/>
      <w:bookmarkEnd w:id="718"/>
    </w:p>
    <w:p w14:paraId="5FAC07A1" w14:textId="77777777" w:rsidR="00DB0460" w:rsidRPr="00260790" w:rsidRDefault="00DB0460" w:rsidP="00E20250">
      <w:pPr>
        <w:spacing w:after="0" w:line="240" w:lineRule="auto"/>
        <w:rPr>
          <w:rFonts w:ascii="Times New Roman" w:eastAsia="Times New Roman" w:hAnsi="Times New Roman"/>
          <w:bCs/>
          <w:i/>
          <w:noProof/>
          <w:color w:val="000000" w:themeColor="text1"/>
        </w:rPr>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1134"/>
        <w:gridCol w:w="1134"/>
        <w:gridCol w:w="1134"/>
        <w:gridCol w:w="1134"/>
        <w:gridCol w:w="1134"/>
        <w:gridCol w:w="1134"/>
      </w:tblGrid>
      <w:tr w:rsidR="00BD1A2F" w:rsidRPr="00260790" w14:paraId="3FE047DC" w14:textId="77777777" w:rsidTr="003A0E4A">
        <w:trPr>
          <w:trHeight w:val="68"/>
          <w:jc w:val="center"/>
        </w:trPr>
        <w:tc>
          <w:tcPr>
            <w:tcW w:w="1134" w:type="dxa"/>
            <w:tcBorders>
              <w:top w:val="nil"/>
              <w:left w:val="nil"/>
              <w:bottom w:val="single" w:sz="4" w:space="0" w:color="auto"/>
              <w:right w:val="single" w:sz="4" w:space="0" w:color="auto"/>
            </w:tcBorders>
          </w:tcPr>
          <w:p w14:paraId="65ADA791" w14:textId="77777777" w:rsidR="00DB0460" w:rsidRPr="00260790" w:rsidRDefault="00DB0460" w:rsidP="00E20250">
            <w:pPr>
              <w:tabs>
                <w:tab w:val="left" w:pos="418"/>
              </w:tabs>
              <w:spacing w:after="0" w:line="240" w:lineRule="auto"/>
              <w:jc w:val="center"/>
              <w:rPr>
                <w:rFonts w:ascii="Times New Roman" w:eastAsia="Times New Roman" w:hAnsi="Times New Roman"/>
                <w:color w:val="000000" w:themeColor="text1"/>
                <w:lang w:eastAsia="fr-FR"/>
              </w:rPr>
            </w:pPr>
          </w:p>
        </w:tc>
        <w:tc>
          <w:tcPr>
            <w:tcW w:w="5670" w:type="dxa"/>
            <w:gridSpan w:val="5"/>
            <w:tcBorders>
              <w:top w:val="single" w:sz="2" w:space="0" w:color="auto"/>
              <w:left w:val="single" w:sz="4" w:space="0" w:color="auto"/>
              <w:bottom w:val="single" w:sz="4" w:space="0" w:color="auto"/>
              <w:right w:val="single" w:sz="4" w:space="0" w:color="auto"/>
            </w:tcBorders>
            <w:vAlign w:val="center"/>
          </w:tcPr>
          <w:p w14:paraId="52025E16" w14:textId="77777777" w:rsidR="00DB0460" w:rsidRPr="00260790" w:rsidRDefault="00DB0460" w:rsidP="00E20250">
            <w:pPr>
              <w:tabs>
                <w:tab w:val="left" w:pos="418"/>
              </w:tabs>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Probabilité (P)</w:t>
            </w:r>
          </w:p>
        </w:tc>
      </w:tr>
      <w:tr w:rsidR="00BD1A2F" w:rsidRPr="00260790" w14:paraId="4F4ABB29" w14:textId="77777777" w:rsidTr="003A0E4A">
        <w:trPr>
          <w:trHeight w:val="63"/>
          <w:jc w:val="center"/>
        </w:trPr>
        <w:tc>
          <w:tcPr>
            <w:tcW w:w="1134" w:type="dxa"/>
            <w:vMerge w:val="restart"/>
            <w:tcBorders>
              <w:top w:val="single" w:sz="4" w:space="0" w:color="auto"/>
              <w:left w:val="single" w:sz="4" w:space="0" w:color="auto"/>
              <w:right w:val="single" w:sz="4" w:space="0" w:color="auto"/>
            </w:tcBorders>
            <w:textDirection w:val="tbRl"/>
            <w:vAlign w:val="center"/>
          </w:tcPr>
          <w:p w14:paraId="1A31A2E8" w14:textId="77777777" w:rsidR="00DB0460" w:rsidRPr="00260790" w:rsidRDefault="00DB0460" w:rsidP="00E20250">
            <w:pPr>
              <w:tabs>
                <w:tab w:val="left" w:pos="418"/>
              </w:tabs>
              <w:spacing w:after="0" w:line="240" w:lineRule="auto"/>
              <w:ind w:left="113" w:right="113"/>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Gravité (G)</w:t>
            </w:r>
          </w:p>
        </w:tc>
        <w:tc>
          <w:tcPr>
            <w:tcW w:w="1134" w:type="dxa"/>
            <w:tcBorders>
              <w:top w:val="single" w:sz="4" w:space="0" w:color="auto"/>
              <w:left w:val="single" w:sz="4" w:space="0" w:color="auto"/>
              <w:bottom w:val="single" w:sz="4" w:space="0" w:color="auto"/>
              <w:right w:val="single" w:sz="4" w:space="0" w:color="auto"/>
            </w:tcBorders>
            <w:vAlign w:val="center"/>
          </w:tcPr>
          <w:p w14:paraId="7D436BE7" w14:textId="77777777" w:rsidR="00DB0460" w:rsidRPr="00260790" w:rsidRDefault="00DB0460" w:rsidP="00E20250">
            <w:pPr>
              <w:tabs>
                <w:tab w:val="left" w:pos="418"/>
              </w:tabs>
              <w:spacing w:after="0" w:line="240" w:lineRule="auto"/>
              <w:jc w:val="both"/>
              <w:rPr>
                <w:rFonts w:ascii="Times New Roman" w:eastAsia="Times New Roman" w:hAnsi="Times New Roman"/>
                <w:color w:val="000000" w:themeColor="text1"/>
                <w:lang w:eastAsia="fr-FR"/>
              </w:rPr>
            </w:pPr>
          </w:p>
        </w:tc>
        <w:tc>
          <w:tcPr>
            <w:tcW w:w="1134" w:type="dxa"/>
            <w:tcBorders>
              <w:top w:val="single" w:sz="4" w:space="0" w:color="auto"/>
              <w:left w:val="single" w:sz="4" w:space="0" w:color="auto"/>
              <w:bottom w:val="single" w:sz="4" w:space="0" w:color="auto"/>
              <w:right w:val="single" w:sz="4" w:space="0" w:color="auto"/>
            </w:tcBorders>
            <w:vAlign w:val="center"/>
          </w:tcPr>
          <w:p w14:paraId="1E8F8404" w14:textId="77777777" w:rsidR="00DB0460" w:rsidRPr="00260790" w:rsidRDefault="00DB0460" w:rsidP="00E20250">
            <w:pPr>
              <w:tabs>
                <w:tab w:val="left" w:pos="418"/>
              </w:tabs>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P1</w:t>
            </w:r>
          </w:p>
        </w:tc>
        <w:tc>
          <w:tcPr>
            <w:tcW w:w="1134" w:type="dxa"/>
            <w:tcBorders>
              <w:top w:val="single" w:sz="4" w:space="0" w:color="auto"/>
              <w:left w:val="single" w:sz="4" w:space="0" w:color="auto"/>
              <w:bottom w:val="single" w:sz="4" w:space="0" w:color="auto"/>
              <w:right w:val="single" w:sz="4" w:space="0" w:color="auto"/>
            </w:tcBorders>
            <w:vAlign w:val="center"/>
          </w:tcPr>
          <w:p w14:paraId="02C8541D" w14:textId="77777777" w:rsidR="00DB0460" w:rsidRPr="00260790" w:rsidRDefault="00DB0460" w:rsidP="00E20250">
            <w:pPr>
              <w:tabs>
                <w:tab w:val="left" w:pos="418"/>
              </w:tabs>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P2</w:t>
            </w:r>
          </w:p>
        </w:tc>
        <w:tc>
          <w:tcPr>
            <w:tcW w:w="1134" w:type="dxa"/>
            <w:tcBorders>
              <w:top w:val="single" w:sz="4" w:space="0" w:color="auto"/>
              <w:left w:val="single" w:sz="4" w:space="0" w:color="auto"/>
              <w:bottom w:val="single" w:sz="4" w:space="0" w:color="auto"/>
              <w:right w:val="single" w:sz="4" w:space="0" w:color="auto"/>
            </w:tcBorders>
            <w:vAlign w:val="center"/>
          </w:tcPr>
          <w:p w14:paraId="5A4F9B06" w14:textId="77777777" w:rsidR="00DB0460" w:rsidRPr="00260790" w:rsidRDefault="00DB0460" w:rsidP="00E20250">
            <w:pPr>
              <w:tabs>
                <w:tab w:val="left" w:pos="418"/>
              </w:tabs>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P3</w:t>
            </w:r>
          </w:p>
        </w:tc>
        <w:tc>
          <w:tcPr>
            <w:tcW w:w="1134" w:type="dxa"/>
            <w:tcBorders>
              <w:top w:val="single" w:sz="4" w:space="0" w:color="auto"/>
              <w:left w:val="single" w:sz="4" w:space="0" w:color="auto"/>
              <w:bottom w:val="single" w:sz="4" w:space="0" w:color="auto"/>
              <w:right w:val="single" w:sz="4" w:space="0" w:color="auto"/>
            </w:tcBorders>
            <w:vAlign w:val="center"/>
          </w:tcPr>
          <w:p w14:paraId="3AFB21C1" w14:textId="77777777" w:rsidR="00DB0460" w:rsidRPr="00260790" w:rsidRDefault="00DB0460" w:rsidP="00E20250">
            <w:pPr>
              <w:tabs>
                <w:tab w:val="left" w:pos="418"/>
              </w:tabs>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P4</w:t>
            </w:r>
          </w:p>
        </w:tc>
      </w:tr>
      <w:tr w:rsidR="00BD1A2F" w:rsidRPr="00260790" w14:paraId="3720BE7B" w14:textId="77777777" w:rsidTr="003A0E4A">
        <w:trPr>
          <w:trHeight w:val="28"/>
          <w:jc w:val="center"/>
        </w:trPr>
        <w:tc>
          <w:tcPr>
            <w:tcW w:w="1134" w:type="dxa"/>
            <w:vMerge/>
            <w:tcBorders>
              <w:left w:val="single" w:sz="4" w:space="0" w:color="auto"/>
              <w:right w:val="single" w:sz="4" w:space="0" w:color="auto"/>
            </w:tcBorders>
          </w:tcPr>
          <w:p w14:paraId="00FAE9C4" w14:textId="77777777" w:rsidR="00DB0460" w:rsidRPr="00260790" w:rsidRDefault="00DB0460" w:rsidP="00E20250">
            <w:pPr>
              <w:tabs>
                <w:tab w:val="left" w:pos="418"/>
              </w:tabs>
              <w:spacing w:after="0" w:line="240" w:lineRule="auto"/>
              <w:jc w:val="center"/>
              <w:rPr>
                <w:rFonts w:ascii="Times New Roman" w:eastAsia="Times New Roman" w:hAnsi="Times New Roman"/>
                <w:color w:val="000000" w:themeColor="text1"/>
                <w:lang w:eastAsia="fr-FR"/>
              </w:rPr>
            </w:pPr>
          </w:p>
        </w:tc>
        <w:tc>
          <w:tcPr>
            <w:tcW w:w="1134" w:type="dxa"/>
            <w:tcBorders>
              <w:top w:val="single" w:sz="4" w:space="0" w:color="auto"/>
              <w:left w:val="single" w:sz="4" w:space="0" w:color="auto"/>
              <w:bottom w:val="single" w:sz="4" w:space="0" w:color="auto"/>
              <w:right w:val="single" w:sz="4" w:space="0" w:color="auto"/>
            </w:tcBorders>
            <w:vAlign w:val="center"/>
          </w:tcPr>
          <w:p w14:paraId="34E6BDD3" w14:textId="77777777" w:rsidR="00DB0460" w:rsidRPr="00260790" w:rsidRDefault="00DB0460" w:rsidP="00E20250">
            <w:pPr>
              <w:tabs>
                <w:tab w:val="left" w:pos="418"/>
              </w:tabs>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G4</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130D1548" w14:textId="77777777" w:rsidR="00DB0460" w:rsidRPr="00260790" w:rsidRDefault="00DB0460" w:rsidP="00E20250">
            <w:pPr>
              <w:tabs>
                <w:tab w:val="left" w:pos="319"/>
              </w:tabs>
              <w:spacing w:after="0" w:line="240" w:lineRule="auto"/>
              <w:jc w:val="center"/>
              <w:rPr>
                <w:rFonts w:ascii="Times New Roman" w:eastAsia="Times New Roman" w:hAnsi="Times New Roman"/>
                <w:color w:val="000000" w:themeColor="text1"/>
                <w:lang w:eastAsia="fr-FR"/>
              </w:rPr>
            </w:pP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77F63106" w14:textId="77777777" w:rsidR="00DB0460" w:rsidRPr="00260790" w:rsidRDefault="00DB0460" w:rsidP="00E20250">
            <w:pPr>
              <w:tabs>
                <w:tab w:val="left" w:pos="418"/>
              </w:tabs>
              <w:spacing w:after="0" w:line="240" w:lineRule="auto"/>
              <w:jc w:val="center"/>
              <w:rPr>
                <w:rFonts w:ascii="Times New Roman" w:eastAsia="Times New Roman" w:hAnsi="Times New Roman"/>
                <w:color w:val="000000" w:themeColor="text1"/>
                <w:lang w:eastAsia="fr-FR"/>
              </w:rPr>
            </w:pPr>
          </w:p>
        </w:tc>
        <w:tc>
          <w:tcPr>
            <w:tcW w:w="1134" w:type="dxa"/>
            <w:tcBorders>
              <w:top w:val="single" w:sz="4" w:space="0" w:color="auto"/>
              <w:left w:val="single" w:sz="4" w:space="0" w:color="auto"/>
              <w:bottom w:val="single" w:sz="2" w:space="0" w:color="auto"/>
              <w:right w:val="single" w:sz="4" w:space="0" w:color="auto"/>
            </w:tcBorders>
            <w:shd w:val="clear" w:color="auto" w:fill="FF0000"/>
            <w:vAlign w:val="center"/>
          </w:tcPr>
          <w:p w14:paraId="3AC3AEC6" w14:textId="77777777" w:rsidR="00DB0460" w:rsidRPr="00260790" w:rsidRDefault="00DB0460" w:rsidP="00E20250">
            <w:pPr>
              <w:tabs>
                <w:tab w:val="left" w:pos="418"/>
              </w:tabs>
              <w:spacing w:after="0" w:line="240" w:lineRule="auto"/>
              <w:jc w:val="center"/>
              <w:rPr>
                <w:rFonts w:ascii="Times New Roman" w:eastAsia="Times New Roman" w:hAnsi="Times New Roman"/>
                <w:color w:val="000000" w:themeColor="text1"/>
                <w:lang w:eastAsia="fr-FR"/>
              </w:rPr>
            </w:pPr>
          </w:p>
        </w:tc>
        <w:tc>
          <w:tcPr>
            <w:tcW w:w="1134" w:type="dxa"/>
            <w:tcBorders>
              <w:top w:val="single" w:sz="4" w:space="0" w:color="auto"/>
              <w:left w:val="single" w:sz="4" w:space="0" w:color="auto"/>
              <w:bottom w:val="single" w:sz="2" w:space="0" w:color="auto"/>
              <w:right w:val="single" w:sz="4" w:space="0" w:color="auto"/>
            </w:tcBorders>
            <w:shd w:val="clear" w:color="auto" w:fill="FF0000"/>
            <w:vAlign w:val="center"/>
          </w:tcPr>
          <w:p w14:paraId="0014C045" w14:textId="77777777" w:rsidR="00DB0460" w:rsidRPr="00260790" w:rsidRDefault="00DB0460" w:rsidP="00E20250">
            <w:pPr>
              <w:tabs>
                <w:tab w:val="left" w:pos="418"/>
              </w:tabs>
              <w:spacing w:after="0" w:line="240" w:lineRule="auto"/>
              <w:jc w:val="center"/>
              <w:rPr>
                <w:rFonts w:ascii="Times New Roman" w:eastAsia="Times New Roman" w:hAnsi="Times New Roman"/>
                <w:color w:val="000000" w:themeColor="text1"/>
                <w:lang w:eastAsia="fr-FR"/>
              </w:rPr>
            </w:pPr>
          </w:p>
        </w:tc>
      </w:tr>
      <w:tr w:rsidR="00BD1A2F" w:rsidRPr="00260790" w14:paraId="344802AE" w14:textId="77777777" w:rsidTr="003A0E4A">
        <w:trPr>
          <w:trHeight w:val="28"/>
          <w:jc w:val="center"/>
        </w:trPr>
        <w:tc>
          <w:tcPr>
            <w:tcW w:w="1134" w:type="dxa"/>
            <w:vMerge/>
            <w:tcBorders>
              <w:left w:val="single" w:sz="4" w:space="0" w:color="auto"/>
              <w:right w:val="single" w:sz="4" w:space="0" w:color="auto"/>
            </w:tcBorders>
          </w:tcPr>
          <w:p w14:paraId="7E383CFD" w14:textId="77777777" w:rsidR="00DB0460" w:rsidRPr="00260790" w:rsidRDefault="00DB0460" w:rsidP="00E20250">
            <w:pPr>
              <w:tabs>
                <w:tab w:val="left" w:pos="418"/>
              </w:tabs>
              <w:spacing w:after="0" w:line="240" w:lineRule="auto"/>
              <w:jc w:val="center"/>
              <w:rPr>
                <w:rFonts w:ascii="Times New Roman" w:eastAsia="Times New Roman" w:hAnsi="Times New Roman"/>
                <w:color w:val="000000" w:themeColor="text1"/>
                <w:lang w:eastAsia="fr-FR"/>
              </w:rPr>
            </w:pPr>
          </w:p>
        </w:tc>
        <w:tc>
          <w:tcPr>
            <w:tcW w:w="1134" w:type="dxa"/>
            <w:tcBorders>
              <w:top w:val="single" w:sz="4" w:space="0" w:color="auto"/>
              <w:left w:val="single" w:sz="4" w:space="0" w:color="auto"/>
              <w:bottom w:val="single" w:sz="4" w:space="0" w:color="auto"/>
              <w:right w:val="single" w:sz="4" w:space="0" w:color="auto"/>
            </w:tcBorders>
            <w:vAlign w:val="center"/>
          </w:tcPr>
          <w:p w14:paraId="4E88A840" w14:textId="77777777" w:rsidR="00DB0460" w:rsidRPr="00260790" w:rsidRDefault="00DB0460" w:rsidP="00E20250">
            <w:pPr>
              <w:tabs>
                <w:tab w:val="left" w:pos="418"/>
              </w:tabs>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G3</w:t>
            </w:r>
          </w:p>
        </w:tc>
        <w:tc>
          <w:tcPr>
            <w:tcW w:w="1134" w:type="dxa"/>
            <w:tcBorders>
              <w:top w:val="single" w:sz="4" w:space="0" w:color="auto"/>
              <w:left w:val="single" w:sz="4" w:space="0" w:color="auto"/>
              <w:bottom w:val="single" w:sz="4" w:space="0" w:color="auto"/>
              <w:right w:val="single" w:sz="4" w:space="0" w:color="auto"/>
            </w:tcBorders>
            <w:shd w:val="clear" w:color="auto" w:fill="00B050"/>
            <w:vAlign w:val="center"/>
          </w:tcPr>
          <w:p w14:paraId="6BAB8048" w14:textId="77777777" w:rsidR="00DB0460" w:rsidRPr="00260790" w:rsidRDefault="00DB0460" w:rsidP="00E20250">
            <w:pPr>
              <w:spacing w:after="0" w:line="240" w:lineRule="auto"/>
              <w:ind w:right="170"/>
              <w:jc w:val="center"/>
              <w:rPr>
                <w:rFonts w:ascii="Times New Roman" w:eastAsia="Times New Roman" w:hAnsi="Times New Roman"/>
                <w:color w:val="000000" w:themeColor="text1"/>
                <w:lang w:eastAsia="fr-FR"/>
              </w:rPr>
            </w:pP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2D652C9D" w14:textId="77777777" w:rsidR="00DB0460" w:rsidRPr="00260790" w:rsidRDefault="00DB0460" w:rsidP="00E20250">
            <w:pPr>
              <w:spacing w:after="0" w:line="240" w:lineRule="auto"/>
              <w:ind w:right="170"/>
              <w:jc w:val="center"/>
              <w:rPr>
                <w:rFonts w:ascii="Times New Roman" w:eastAsia="Times New Roman" w:hAnsi="Times New Roman"/>
                <w:color w:val="000000" w:themeColor="text1"/>
                <w:lang w:eastAsia="fr-FR"/>
              </w:rPr>
            </w:pPr>
          </w:p>
        </w:tc>
        <w:tc>
          <w:tcPr>
            <w:tcW w:w="1134" w:type="dxa"/>
            <w:tcBorders>
              <w:top w:val="single" w:sz="2" w:space="0" w:color="auto"/>
              <w:left w:val="single" w:sz="4" w:space="0" w:color="auto"/>
              <w:bottom w:val="single" w:sz="4" w:space="0" w:color="auto"/>
              <w:right w:val="single" w:sz="4" w:space="0" w:color="auto"/>
            </w:tcBorders>
            <w:shd w:val="clear" w:color="auto" w:fill="FF0000"/>
            <w:vAlign w:val="center"/>
          </w:tcPr>
          <w:p w14:paraId="1D6D5097" w14:textId="77777777" w:rsidR="00DB0460" w:rsidRPr="00260790" w:rsidRDefault="00DB0460" w:rsidP="00E20250">
            <w:pPr>
              <w:tabs>
                <w:tab w:val="left" w:pos="418"/>
              </w:tabs>
              <w:spacing w:after="0" w:line="240" w:lineRule="auto"/>
              <w:ind w:right="-18"/>
              <w:jc w:val="center"/>
              <w:rPr>
                <w:rFonts w:ascii="Times New Roman" w:eastAsia="Times New Roman" w:hAnsi="Times New Roman"/>
                <w:color w:val="000000" w:themeColor="text1"/>
                <w:lang w:eastAsia="fr-FR"/>
              </w:rPr>
            </w:pPr>
          </w:p>
        </w:tc>
        <w:tc>
          <w:tcPr>
            <w:tcW w:w="1134" w:type="dxa"/>
            <w:tcBorders>
              <w:top w:val="single" w:sz="2" w:space="0" w:color="auto"/>
              <w:left w:val="single" w:sz="4" w:space="0" w:color="auto"/>
              <w:bottom w:val="single" w:sz="4" w:space="0" w:color="auto"/>
              <w:right w:val="single" w:sz="4" w:space="0" w:color="auto"/>
            </w:tcBorders>
            <w:shd w:val="clear" w:color="auto" w:fill="FF0000"/>
            <w:vAlign w:val="center"/>
          </w:tcPr>
          <w:p w14:paraId="05B96443" w14:textId="77777777" w:rsidR="00DB0460" w:rsidRPr="00260790" w:rsidRDefault="00DB0460" w:rsidP="00E20250">
            <w:pPr>
              <w:tabs>
                <w:tab w:val="left" w:pos="418"/>
              </w:tabs>
              <w:spacing w:after="0" w:line="240" w:lineRule="auto"/>
              <w:ind w:right="-18"/>
              <w:jc w:val="center"/>
              <w:rPr>
                <w:rFonts w:ascii="Times New Roman" w:eastAsia="Times New Roman" w:hAnsi="Times New Roman"/>
                <w:color w:val="000000" w:themeColor="text1"/>
                <w:lang w:eastAsia="fr-FR"/>
              </w:rPr>
            </w:pPr>
          </w:p>
        </w:tc>
      </w:tr>
      <w:tr w:rsidR="00BD1A2F" w:rsidRPr="00260790" w14:paraId="0F13507E" w14:textId="77777777" w:rsidTr="003A0E4A">
        <w:trPr>
          <w:trHeight w:val="28"/>
          <w:jc w:val="center"/>
        </w:trPr>
        <w:tc>
          <w:tcPr>
            <w:tcW w:w="1134" w:type="dxa"/>
            <w:vMerge/>
            <w:tcBorders>
              <w:left w:val="single" w:sz="4" w:space="0" w:color="auto"/>
              <w:right w:val="single" w:sz="4" w:space="0" w:color="auto"/>
            </w:tcBorders>
          </w:tcPr>
          <w:p w14:paraId="499BAAB9" w14:textId="77777777" w:rsidR="00DB0460" w:rsidRPr="00260790" w:rsidRDefault="00DB0460" w:rsidP="00E20250">
            <w:pPr>
              <w:tabs>
                <w:tab w:val="left" w:pos="418"/>
              </w:tabs>
              <w:spacing w:after="0" w:line="240" w:lineRule="auto"/>
              <w:jc w:val="center"/>
              <w:rPr>
                <w:rFonts w:ascii="Times New Roman" w:eastAsia="Times New Roman" w:hAnsi="Times New Roman"/>
                <w:color w:val="000000" w:themeColor="text1"/>
                <w:lang w:eastAsia="fr-FR"/>
              </w:rPr>
            </w:pPr>
          </w:p>
        </w:tc>
        <w:tc>
          <w:tcPr>
            <w:tcW w:w="1134" w:type="dxa"/>
            <w:tcBorders>
              <w:top w:val="single" w:sz="4" w:space="0" w:color="auto"/>
              <w:left w:val="single" w:sz="4" w:space="0" w:color="auto"/>
              <w:bottom w:val="single" w:sz="2" w:space="0" w:color="auto"/>
              <w:right w:val="single" w:sz="4" w:space="0" w:color="auto"/>
            </w:tcBorders>
            <w:vAlign w:val="center"/>
          </w:tcPr>
          <w:p w14:paraId="73F1490E" w14:textId="77777777" w:rsidR="00DB0460" w:rsidRPr="00260790" w:rsidRDefault="00DB0460" w:rsidP="00E20250">
            <w:pPr>
              <w:tabs>
                <w:tab w:val="left" w:pos="418"/>
              </w:tabs>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G2</w:t>
            </w:r>
          </w:p>
        </w:tc>
        <w:tc>
          <w:tcPr>
            <w:tcW w:w="1134" w:type="dxa"/>
            <w:tcBorders>
              <w:top w:val="single" w:sz="4" w:space="0" w:color="auto"/>
              <w:left w:val="single" w:sz="4" w:space="0" w:color="auto"/>
              <w:bottom w:val="single" w:sz="2" w:space="0" w:color="auto"/>
              <w:right w:val="single" w:sz="4" w:space="0" w:color="auto"/>
            </w:tcBorders>
            <w:shd w:val="clear" w:color="auto" w:fill="00B050"/>
            <w:vAlign w:val="center"/>
          </w:tcPr>
          <w:p w14:paraId="0A8C93BA" w14:textId="77777777" w:rsidR="00DB0460" w:rsidRPr="00260790" w:rsidRDefault="00DB0460" w:rsidP="00E20250">
            <w:pPr>
              <w:spacing w:after="0" w:line="240" w:lineRule="auto"/>
              <w:ind w:right="170"/>
              <w:jc w:val="center"/>
              <w:rPr>
                <w:rFonts w:ascii="Times New Roman" w:eastAsia="Times New Roman" w:hAnsi="Times New Roman"/>
                <w:color w:val="000000" w:themeColor="text1"/>
                <w:lang w:eastAsia="fr-FR"/>
              </w:rPr>
            </w:pPr>
          </w:p>
        </w:tc>
        <w:tc>
          <w:tcPr>
            <w:tcW w:w="1134" w:type="dxa"/>
            <w:tcBorders>
              <w:top w:val="single" w:sz="4" w:space="0" w:color="auto"/>
              <w:left w:val="single" w:sz="4" w:space="0" w:color="auto"/>
              <w:bottom w:val="single" w:sz="2" w:space="0" w:color="auto"/>
              <w:right w:val="single" w:sz="4" w:space="0" w:color="auto"/>
            </w:tcBorders>
            <w:shd w:val="clear" w:color="auto" w:fill="FFFF00"/>
            <w:vAlign w:val="center"/>
          </w:tcPr>
          <w:p w14:paraId="4E0C00F0" w14:textId="77777777" w:rsidR="00DB0460" w:rsidRPr="00260790" w:rsidRDefault="00DB0460" w:rsidP="00E20250">
            <w:pPr>
              <w:spacing w:after="0" w:line="240" w:lineRule="auto"/>
              <w:ind w:right="170"/>
              <w:jc w:val="center"/>
              <w:rPr>
                <w:rFonts w:ascii="Times New Roman" w:eastAsia="Times New Roman" w:hAnsi="Times New Roman"/>
                <w:color w:val="000000" w:themeColor="text1"/>
                <w:lang w:eastAsia="fr-FR"/>
              </w:rPr>
            </w:pPr>
          </w:p>
        </w:tc>
        <w:tc>
          <w:tcPr>
            <w:tcW w:w="1134" w:type="dxa"/>
            <w:tcBorders>
              <w:top w:val="single" w:sz="4" w:space="0" w:color="auto"/>
              <w:left w:val="single" w:sz="4" w:space="0" w:color="auto"/>
              <w:bottom w:val="single" w:sz="2" w:space="0" w:color="auto"/>
              <w:right w:val="single" w:sz="4" w:space="0" w:color="auto"/>
            </w:tcBorders>
            <w:shd w:val="clear" w:color="auto" w:fill="FFFF00"/>
            <w:vAlign w:val="center"/>
          </w:tcPr>
          <w:p w14:paraId="3D8CE422" w14:textId="77777777" w:rsidR="00DB0460" w:rsidRPr="00260790" w:rsidRDefault="00DB0460" w:rsidP="00E20250">
            <w:pPr>
              <w:tabs>
                <w:tab w:val="left" w:pos="418"/>
              </w:tabs>
              <w:spacing w:after="0" w:line="240" w:lineRule="auto"/>
              <w:ind w:right="-18"/>
              <w:jc w:val="center"/>
              <w:rPr>
                <w:rFonts w:ascii="Times New Roman" w:eastAsia="Times New Roman" w:hAnsi="Times New Roman"/>
                <w:color w:val="000000" w:themeColor="text1"/>
                <w:lang w:eastAsia="fr-FR"/>
              </w:rPr>
            </w:pPr>
          </w:p>
        </w:tc>
        <w:tc>
          <w:tcPr>
            <w:tcW w:w="1134" w:type="dxa"/>
            <w:tcBorders>
              <w:top w:val="single" w:sz="4" w:space="0" w:color="auto"/>
              <w:left w:val="single" w:sz="4" w:space="0" w:color="auto"/>
              <w:bottom w:val="single" w:sz="2" w:space="0" w:color="auto"/>
              <w:right w:val="single" w:sz="4" w:space="0" w:color="auto"/>
            </w:tcBorders>
            <w:shd w:val="clear" w:color="auto" w:fill="FFFF00"/>
            <w:vAlign w:val="center"/>
          </w:tcPr>
          <w:p w14:paraId="6118CA3C" w14:textId="77777777" w:rsidR="00DB0460" w:rsidRPr="00260790" w:rsidRDefault="00DB0460" w:rsidP="00E20250">
            <w:pPr>
              <w:tabs>
                <w:tab w:val="left" w:pos="418"/>
              </w:tabs>
              <w:spacing w:after="0" w:line="240" w:lineRule="auto"/>
              <w:ind w:right="-18"/>
              <w:jc w:val="center"/>
              <w:rPr>
                <w:rFonts w:ascii="Times New Roman" w:eastAsia="Times New Roman" w:hAnsi="Times New Roman"/>
                <w:color w:val="000000" w:themeColor="text1"/>
                <w:lang w:eastAsia="fr-FR"/>
              </w:rPr>
            </w:pPr>
          </w:p>
        </w:tc>
      </w:tr>
      <w:tr w:rsidR="00BD1A2F" w:rsidRPr="00260790" w14:paraId="70083943" w14:textId="77777777" w:rsidTr="003A0E4A">
        <w:trPr>
          <w:trHeight w:val="28"/>
          <w:jc w:val="center"/>
        </w:trPr>
        <w:tc>
          <w:tcPr>
            <w:tcW w:w="1134" w:type="dxa"/>
            <w:vMerge/>
            <w:tcBorders>
              <w:left w:val="single" w:sz="4" w:space="0" w:color="auto"/>
              <w:bottom w:val="single" w:sz="4" w:space="0" w:color="auto"/>
              <w:right w:val="single" w:sz="4" w:space="0" w:color="auto"/>
            </w:tcBorders>
          </w:tcPr>
          <w:p w14:paraId="7303AC71" w14:textId="77777777" w:rsidR="00DB0460" w:rsidRPr="00260790" w:rsidRDefault="00DB0460" w:rsidP="00E20250">
            <w:pPr>
              <w:tabs>
                <w:tab w:val="left" w:pos="418"/>
              </w:tabs>
              <w:spacing w:after="0" w:line="240" w:lineRule="auto"/>
              <w:jc w:val="center"/>
              <w:rPr>
                <w:rFonts w:ascii="Times New Roman" w:eastAsia="Times New Roman" w:hAnsi="Times New Roman"/>
                <w:color w:val="000000" w:themeColor="text1"/>
                <w:lang w:eastAsia="fr-FR"/>
              </w:rPr>
            </w:pPr>
          </w:p>
        </w:tc>
        <w:tc>
          <w:tcPr>
            <w:tcW w:w="1134" w:type="dxa"/>
            <w:tcBorders>
              <w:top w:val="single" w:sz="2" w:space="0" w:color="auto"/>
              <w:left w:val="single" w:sz="4" w:space="0" w:color="auto"/>
              <w:bottom w:val="single" w:sz="4" w:space="0" w:color="auto"/>
              <w:right w:val="single" w:sz="4" w:space="0" w:color="auto"/>
            </w:tcBorders>
            <w:vAlign w:val="center"/>
          </w:tcPr>
          <w:p w14:paraId="6EFB4D81" w14:textId="77777777" w:rsidR="00DB0460" w:rsidRPr="00260790" w:rsidRDefault="00DB0460" w:rsidP="00E20250">
            <w:pPr>
              <w:tabs>
                <w:tab w:val="left" w:pos="418"/>
              </w:tabs>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G1</w:t>
            </w:r>
          </w:p>
        </w:tc>
        <w:tc>
          <w:tcPr>
            <w:tcW w:w="1134" w:type="dxa"/>
            <w:tcBorders>
              <w:top w:val="single" w:sz="2" w:space="0" w:color="auto"/>
              <w:left w:val="single" w:sz="4" w:space="0" w:color="auto"/>
              <w:bottom w:val="single" w:sz="4" w:space="0" w:color="auto"/>
              <w:right w:val="single" w:sz="4" w:space="0" w:color="auto"/>
            </w:tcBorders>
            <w:shd w:val="clear" w:color="auto" w:fill="00B050"/>
            <w:vAlign w:val="center"/>
          </w:tcPr>
          <w:p w14:paraId="39D941C7" w14:textId="77777777" w:rsidR="00DB0460" w:rsidRPr="00260790" w:rsidRDefault="00DB0460" w:rsidP="00E20250">
            <w:pPr>
              <w:tabs>
                <w:tab w:val="left" w:pos="418"/>
              </w:tabs>
              <w:spacing w:after="0" w:line="240" w:lineRule="auto"/>
              <w:ind w:right="170"/>
              <w:jc w:val="center"/>
              <w:rPr>
                <w:rFonts w:ascii="Times New Roman" w:eastAsia="Times New Roman" w:hAnsi="Times New Roman"/>
                <w:color w:val="000000" w:themeColor="text1"/>
                <w:lang w:eastAsia="fr-FR"/>
              </w:rPr>
            </w:pPr>
          </w:p>
        </w:tc>
        <w:tc>
          <w:tcPr>
            <w:tcW w:w="1134" w:type="dxa"/>
            <w:tcBorders>
              <w:top w:val="single" w:sz="2" w:space="0" w:color="auto"/>
              <w:left w:val="single" w:sz="4" w:space="0" w:color="auto"/>
              <w:bottom w:val="single" w:sz="4" w:space="0" w:color="auto"/>
              <w:right w:val="single" w:sz="4" w:space="0" w:color="auto"/>
            </w:tcBorders>
            <w:shd w:val="clear" w:color="auto" w:fill="00B050"/>
            <w:vAlign w:val="center"/>
          </w:tcPr>
          <w:p w14:paraId="5EBD4921" w14:textId="77777777" w:rsidR="00DB0460" w:rsidRPr="00260790" w:rsidRDefault="00DB0460" w:rsidP="00E20250">
            <w:pPr>
              <w:tabs>
                <w:tab w:val="left" w:pos="418"/>
              </w:tabs>
              <w:spacing w:after="0" w:line="240" w:lineRule="auto"/>
              <w:ind w:right="170"/>
              <w:jc w:val="center"/>
              <w:rPr>
                <w:rFonts w:ascii="Times New Roman" w:eastAsia="Times New Roman" w:hAnsi="Times New Roman"/>
                <w:color w:val="000000" w:themeColor="text1"/>
                <w:lang w:eastAsia="fr-FR"/>
              </w:rPr>
            </w:pPr>
          </w:p>
        </w:tc>
        <w:tc>
          <w:tcPr>
            <w:tcW w:w="1134" w:type="dxa"/>
            <w:tcBorders>
              <w:top w:val="single" w:sz="2" w:space="0" w:color="auto"/>
              <w:left w:val="single" w:sz="4" w:space="0" w:color="auto"/>
              <w:bottom w:val="single" w:sz="4" w:space="0" w:color="auto"/>
              <w:right w:val="single" w:sz="4" w:space="0" w:color="auto"/>
            </w:tcBorders>
            <w:shd w:val="clear" w:color="auto" w:fill="00B050"/>
            <w:vAlign w:val="center"/>
          </w:tcPr>
          <w:p w14:paraId="1EAB6F07" w14:textId="77777777" w:rsidR="00DB0460" w:rsidRPr="00260790" w:rsidRDefault="00DB0460" w:rsidP="00E20250">
            <w:pPr>
              <w:tabs>
                <w:tab w:val="left" w:pos="418"/>
              </w:tabs>
              <w:spacing w:after="0" w:line="240" w:lineRule="auto"/>
              <w:ind w:right="-18"/>
              <w:jc w:val="center"/>
              <w:rPr>
                <w:rFonts w:ascii="Times New Roman" w:eastAsia="Times New Roman" w:hAnsi="Times New Roman"/>
                <w:color w:val="000000" w:themeColor="text1"/>
                <w:lang w:eastAsia="fr-FR"/>
              </w:rPr>
            </w:pPr>
          </w:p>
        </w:tc>
        <w:tc>
          <w:tcPr>
            <w:tcW w:w="1134" w:type="dxa"/>
            <w:tcBorders>
              <w:top w:val="single" w:sz="2" w:space="0" w:color="auto"/>
              <w:left w:val="single" w:sz="4" w:space="0" w:color="auto"/>
              <w:bottom w:val="single" w:sz="4" w:space="0" w:color="auto"/>
              <w:right w:val="single" w:sz="4" w:space="0" w:color="auto"/>
            </w:tcBorders>
            <w:shd w:val="clear" w:color="auto" w:fill="00B050"/>
            <w:vAlign w:val="center"/>
          </w:tcPr>
          <w:p w14:paraId="31CF1292" w14:textId="77777777" w:rsidR="00DB0460" w:rsidRPr="00260790" w:rsidRDefault="00DB0460" w:rsidP="00E20250">
            <w:pPr>
              <w:tabs>
                <w:tab w:val="left" w:pos="418"/>
              </w:tabs>
              <w:spacing w:after="0" w:line="240" w:lineRule="auto"/>
              <w:ind w:right="-18"/>
              <w:jc w:val="center"/>
              <w:rPr>
                <w:rFonts w:ascii="Times New Roman" w:eastAsia="Times New Roman" w:hAnsi="Times New Roman"/>
                <w:color w:val="000000" w:themeColor="text1"/>
                <w:lang w:eastAsia="fr-FR"/>
              </w:rPr>
            </w:pPr>
          </w:p>
        </w:tc>
      </w:tr>
    </w:tbl>
    <w:p w14:paraId="0689B176" w14:textId="77777777" w:rsidR="00DB0460" w:rsidRPr="00260790" w:rsidRDefault="00DB0460" w:rsidP="00E20250">
      <w:pPr>
        <w:autoSpaceDE w:val="0"/>
        <w:autoSpaceDN w:val="0"/>
        <w:adjustRightInd w:val="0"/>
        <w:spacing w:after="0" w:line="240" w:lineRule="auto"/>
        <w:contextualSpacing/>
        <w:jc w:val="both"/>
        <w:rPr>
          <w:rFonts w:ascii="Times New Roman" w:hAnsi="Times New Roman"/>
          <w:color w:val="000000" w:themeColor="text1"/>
        </w:rPr>
      </w:pPr>
      <w:r w:rsidRPr="00260790">
        <w:rPr>
          <w:rFonts w:ascii="Times New Roman" w:hAnsi="Times New Roman"/>
          <w:color w:val="000000" w:themeColor="text1"/>
        </w:rPr>
        <w:t>Signification des couleurs</w:t>
      </w:r>
    </w:p>
    <w:tbl>
      <w:tblPr>
        <w:tblpPr w:leftFromText="141" w:rightFromText="141" w:vertAnchor="text" w:tblpXSpec="center" w:tblpY="1"/>
        <w:tblOverlap w:val="never"/>
        <w:tblW w:w="460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04"/>
        <w:gridCol w:w="3402"/>
      </w:tblGrid>
      <w:tr w:rsidR="00BD1A2F" w:rsidRPr="00260790" w14:paraId="7A4F153B" w14:textId="77777777" w:rsidTr="003A0E4A">
        <w:trPr>
          <w:trHeight w:val="284"/>
        </w:trPr>
        <w:tc>
          <w:tcPr>
            <w:tcW w:w="1204" w:type="dxa"/>
            <w:tcBorders>
              <w:top w:val="single" w:sz="4" w:space="0" w:color="auto"/>
              <w:left w:val="single" w:sz="4" w:space="0" w:color="auto"/>
              <w:bottom w:val="single" w:sz="2" w:space="0" w:color="auto"/>
            </w:tcBorders>
            <w:shd w:val="clear" w:color="auto" w:fill="FF0000"/>
            <w:noWrap/>
            <w:vAlign w:val="center"/>
          </w:tcPr>
          <w:p w14:paraId="6B69A18E" w14:textId="77777777" w:rsidR="00DB0460" w:rsidRPr="00260790" w:rsidRDefault="00DB0460" w:rsidP="00E20250">
            <w:pPr>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Priorité 1</w:t>
            </w:r>
          </w:p>
        </w:tc>
        <w:tc>
          <w:tcPr>
            <w:tcW w:w="3402" w:type="dxa"/>
            <w:tcBorders>
              <w:top w:val="single" w:sz="4" w:space="0" w:color="auto"/>
              <w:bottom w:val="single" w:sz="2" w:space="0" w:color="auto"/>
              <w:right w:val="single" w:sz="4" w:space="0" w:color="auto"/>
            </w:tcBorders>
            <w:noWrap/>
            <w:vAlign w:val="center"/>
          </w:tcPr>
          <w:p w14:paraId="4E67AC70" w14:textId="77777777" w:rsidR="00DB0460" w:rsidRPr="00260790" w:rsidRDefault="00DB0460" w:rsidP="00E20250">
            <w:pPr>
              <w:tabs>
                <w:tab w:val="left" w:pos="418"/>
              </w:tabs>
              <w:spacing w:after="0" w:line="240" w:lineRule="auto"/>
              <w:ind w:left="503"/>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Risque élevé inacceptable</w:t>
            </w:r>
          </w:p>
        </w:tc>
      </w:tr>
      <w:tr w:rsidR="00BD1A2F" w:rsidRPr="00260790" w14:paraId="6DE632D5" w14:textId="77777777" w:rsidTr="003A0E4A">
        <w:trPr>
          <w:trHeight w:val="284"/>
        </w:trPr>
        <w:tc>
          <w:tcPr>
            <w:tcW w:w="1204" w:type="dxa"/>
            <w:tcBorders>
              <w:top w:val="single" w:sz="2" w:space="0" w:color="auto"/>
              <w:left w:val="single" w:sz="4" w:space="0" w:color="auto"/>
            </w:tcBorders>
            <w:shd w:val="clear" w:color="auto" w:fill="FFFF00"/>
            <w:noWrap/>
            <w:vAlign w:val="center"/>
          </w:tcPr>
          <w:p w14:paraId="46EE82C0" w14:textId="77777777" w:rsidR="00DB0460" w:rsidRPr="00260790" w:rsidRDefault="00DB0460" w:rsidP="00E20250">
            <w:pPr>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Priorité 2</w:t>
            </w:r>
          </w:p>
        </w:tc>
        <w:tc>
          <w:tcPr>
            <w:tcW w:w="3402" w:type="dxa"/>
            <w:tcBorders>
              <w:top w:val="single" w:sz="2" w:space="0" w:color="auto"/>
              <w:right w:val="single" w:sz="4" w:space="0" w:color="auto"/>
            </w:tcBorders>
            <w:noWrap/>
            <w:vAlign w:val="center"/>
          </w:tcPr>
          <w:p w14:paraId="471AE594" w14:textId="77777777" w:rsidR="00DB0460" w:rsidRPr="00260790" w:rsidRDefault="00DB0460" w:rsidP="00E20250">
            <w:pPr>
              <w:tabs>
                <w:tab w:val="left" w:pos="418"/>
              </w:tabs>
              <w:spacing w:after="0" w:line="240" w:lineRule="auto"/>
              <w:ind w:left="503"/>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Risque important</w:t>
            </w:r>
          </w:p>
        </w:tc>
      </w:tr>
      <w:tr w:rsidR="00BD1A2F" w:rsidRPr="00260790" w14:paraId="45B52EE3" w14:textId="77777777" w:rsidTr="003A0E4A">
        <w:trPr>
          <w:trHeight w:val="284"/>
        </w:trPr>
        <w:tc>
          <w:tcPr>
            <w:tcW w:w="1204" w:type="dxa"/>
            <w:tcBorders>
              <w:left w:val="single" w:sz="4" w:space="0" w:color="auto"/>
              <w:bottom w:val="single" w:sz="4" w:space="0" w:color="auto"/>
            </w:tcBorders>
            <w:shd w:val="clear" w:color="auto" w:fill="00B050"/>
            <w:noWrap/>
            <w:vAlign w:val="center"/>
          </w:tcPr>
          <w:p w14:paraId="33390DF1" w14:textId="77777777" w:rsidR="00DB0460" w:rsidRPr="00260790" w:rsidRDefault="00DB0460" w:rsidP="00E20250">
            <w:pPr>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Priorité 3</w:t>
            </w:r>
          </w:p>
        </w:tc>
        <w:tc>
          <w:tcPr>
            <w:tcW w:w="3402" w:type="dxa"/>
            <w:tcBorders>
              <w:bottom w:val="single" w:sz="4" w:space="0" w:color="auto"/>
              <w:right w:val="single" w:sz="4" w:space="0" w:color="auto"/>
            </w:tcBorders>
            <w:noWrap/>
            <w:vAlign w:val="center"/>
          </w:tcPr>
          <w:p w14:paraId="2ED89411" w14:textId="77777777" w:rsidR="00DB0460" w:rsidRPr="00260790" w:rsidRDefault="00DB0460" w:rsidP="00E20250">
            <w:pPr>
              <w:tabs>
                <w:tab w:val="left" w:pos="418"/>
              </w:tabs>
              <w:spacing w:after="0" w:line="240" w:lineRule="auto"/>
              <w:ind w:left="503"/>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Risque acceptable</w:t>
            </w:r>
          </w:p>
        </w:tc>
      </w:tr>
    </w:tbl>
    <w:p w14:paraId="52D484B8" w14:textId="77777777" w:rsidR="00DB0460" w:rsidRPr="00260790" w:rsidRDefault="00DB0460"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p>
    <w:p w14:paraId="3DF460E8" w14:textId="77777777" w:rsidR="00DB0460" w:rsidRPr="00260790" w:rsidRDefault="00DB0460" w:rsidP="00E20250">
      <w:pPr>
        <w:tabs>
          <w:tab w:val="left" w:pos="6210"/>
        </w:tabs>
        <w:spacing w:after="0" w:line="240" w:lineRule="auto"/>
        <w:jc w:val="both"/>
        <w:rPr>
          <w:rFonts w:ascii="Times New Roman" w:eastAsia="Times New Roman" w:hAnsi="Times New Roman"/>
          <w:color w:val="000000" w:themeColor="text1"/>
          <w:lang w:eastAsia="fr-FR"/>
        </w:rPr>
      </w:pPr>
    </w:p>
    <w:p w14:paraId="63368ADB" w14:textId="77777777" w:rsidR="00DB0460" w:rsidRPr="00260790" w:rsidRDefault="00DB0460" w:rsidP="00E20250">
      <w:pPr>
        <w:tabs>
          <w:tab w:val="left" w:pos="6210"/>
        </w:tabs>
        <w:spacing w:after="0" w:line="240" w:lineRule="auto"/>
        <w:jc w:val="both"/>
        <w:rPr>
          <w:rFonts w:ascii="Times New Roman" w:eastAsia="Times New Roman" w:hAnsi="Times New Roman"/>
          <w:color w:val="000000" w:themeColor="text1"/>
          <w:lang w:eastAsia="fr-FR"/>
        </w:rPr>
      </w:pPr>
    </w:p>
    <w:p w14:paraId="3E79E6F3" w14:textId="77777777" w:rsidR="00DB0460" w:rsidRPr="00260790" w:rsidRDefault="00DB0460" w:rsidP="00E20250">
      <w:pPr>
        <w:spacing w:line="240" w:lineRule="auto"/>
        <w:rPr>
          <w:rFonts w:ascii="Times New Roman" w:hAnsi="Times New Roman"/>
          <w:color w:val="000000" w:themeColor="text1"/>
        </w:rPr>
      </w:pPr>
    </w:p>
    <w:p w14:paraId="71002CAC" w14:textId="77777777" w:rsidR="00DB0460" w:rsidRPr="00260790" w:rsidRDefault="00DB0460" w:rsidP="00E20250">
      <w:pPr>
        <w:spacing w:line="240" w:lineRule="auto"/>
        <w:rPr>
          <w:rFonts w:ascii="Times New Roman" w:hAnsi="Times New Roman"/>
          <w:color w:val="000000" w:themeColor="text1"/>
        </w:rPr>
      </w:pPr>
    </w:p>
    <w:p w14:paraId="2EBEC3BD" w14:textId="77777777" w:rsidR="00DB0460" w:rsidRPr="00260790" w:rsidRDefault="00DB0460" w:rsidP="00E20250">
      <w:pPr>
        <w:spacing w:after="0" w:line="240" w:lineRule="auto"/>
        <w:rPr>
          <w:rFonts w:ascii="Times New Roman" w:eastAsia="Times New Roman" w:hAnsi="Times New Roman"/>
          <w:bCs/>
          <w:i/>
          <w:noProof/>
          <w:color w:val="000000" w:themeColor="text1"/>
        </w:rPr>
        <w:sectPr w:rsidR="00DB0460" w:rsidRPr="00260790" w:rsidSect="007903CC">
          <w:pgSz w:w="11906" w:h="16838"/>
          <w:pgMar w:top="1418" w:right="1418" w:bottom="1418" w:left="1418" w:header="709" w:footer="454" w:gutter="0"/>
          <w:cols w:space="708"/>
          <w:docGrid w:linePitch="360"/>
        </w:sectPr>
      </w:pPr>
      <w:bookmarkStart w:id="719" w:name="_Toc151368239"/>
    </w:p>
    <w:p w14:paraId="6767E9DF" w14:textId="45206C6A" w:rsidR="00DB0460" w:rsidRPr="00260790" w:rsidRDefault="00DB0460" w:rsidP="00E20250">
      <w:pPr>
        <w:spacing w:after="0" w:line="240" w:lineRule="auto"/>
        <w:rPr>
          <w:rFonts w:ascii="Times New Roman" w:eastAsia="Times New Roman" w:hAnsi="Times New Roman"/>
          <w:bCs/>
          <w:i/>
          <w:noProof/>
          <w:color w:val="000000" w:themeColor="text1"/>
        </w:rPr>
      </w:pPr>
      <w:bookmarkStart w:id="720" w:name="_Toc207781948"/>
      <w:r w:rsidRPr="00260790">
        <w:rPr>
          <w:rFonts w:ascii="Times New Roman" w:eastAsia="Times New Roman" w:hAnsi="Times New Roman"/>
          <w:bCs/>
          <w:i/>
          <w:noProof/>
          <w:color w:val="000000" w:themeColor="text1"/>
        </w:rPr>
        <w:lastRenderedPageBreak/>
        <w:t xml:space="preserve">Tableau </w:t>
      </w:r>
      <w:r w:rsidRPr="00260790">
        <w:rPr>
          <w:rFonts w:ascii="Times New Roman" w:eastAsia="Times New Roman" w:hAnsi="Times New Roman"/>
          <w:bCs/>
          <w:i/>
          <w:noProof/>
          <w:color w:val="000000" w:themeColor="text1"/>
        </w:rPr>
        <w:fldChar w:fldCharType="begin"/>
      </w:r>
      <w:r w:rsidRPr="00260790">
        <w:rPr>
          <w:rFonts w:ascii="Times New Roman" w:eastAsia="Times New Roman" w:hAnsi="Times New Roman"/>
          <w:bCs/>
          <w:i/>
          <w:noProof/>
          <w:color w:val="000000" w:themeColor="text1"/>
        </w:rPr>
        <w:instrText xml:space="preserve"> SEQ Tableau \* ARABIC </w:instrText>
      </w:r>
      <w:r w:rsidRPr="00260790">
        <w:rPr>
          <w:rFonts w:ascii="Times New Roman" w:eastAsia="Times New Roman" w:hAnsi="Times New Roman"/>
          <w:bCs/>
          <w:i/>
          <w:noProof/>
          <w:color w:val="000000" w:themeColor="text1"/>
        </w:rPr>
        <w:fldChar w:fldCharType="separate"/>
      </w:r>
      <w:r w:rsidR="003C783E">
        <w:rPr>
          <w:rFonts w:ascii="Times New Roman" w:eastAsia="Times New Roman" w:hAnsi="Times New Roman"/>
          <w:bCs/>
          <w:i/>
          <w:noProof/>
          <w:color w:val="000000" w:themeColor="text1"/>
        </w:rPr>
        <w:t>107</w:t>
      </w:r>
      <w:r w:rsidRPr="00260790">
        <w:rPr>
          <w:rFonts w:ascii="Times New Roman" w:eastAsia="Times New Roman" w:hAnsi="Times New Roman"/>
          <w:bCs/>
          <w:i/>
          <w:noProof/>
          <w:color w:val="000000" w:themeColor="text1"/>
        </w:rPr>
        <w:fldChar w:fldCharType="end"/>
      </w:r>
      <w:r w:rsidRPr="00260790">
        <w:rPr>
          <w:rFonts w:ascii="Times New Roman" w:eastAsia="Times New Roman" w:hAnsi="Times New Roman"/>
          <w:bCs/>
          <w:i/>
          <w:noProof/>
          <w:color w:val="000000" w:themeColor="text1"/>
        </w:rPr>
        <w:t>: Évaluation des risques professionnels à la phase construction</w:t>
      </w:r>
      <w:bookmarkEnd w:id="719"/>
      <w:r w:rsidRPr="00260790">
        <w:rPr>
          <w:rFonts w:ascii="Times New Roman" w:eastAsia="Times New Roman" w:hAnsi="Times New Roman"/>
          <w:bCs/>
          <w:i/>
          <w:noProof/>
          <w:color w:val="000000" w:themeColor="text1"/>
        </w:rPr>
        <w:t xml:space="preserve"> et d’exploitation</w:t>
      </w:r>
      <w:bookmarkEnd w:id="720"/>
      <w:r w:rsidRPr="00260790">
        <w:rPr>
          <w:rFonts w:ascii="Times New Roman" w:eastAsia="Times New Roman" w:hAnsi="Times New Roman"/>
          <w:bCs/>
          <w:i/>
          <w:noProof/>
          <w:color w:val="000000" w:themeColor="text1"/>
        </w:rPr>
        <w:t xml:space="preserve"> </w:t>
      </w:r>
    </w:p>
    <w:p w14:paraId="18840367" w14:textId="77777777" w:rsidR="00DB0460" w:rsidRPr="00260790" w:rsidRDefault="00DB0460" w:rsidP="00E20250">
      <w:pPr>
        <w:spacing w:after="0" w:line="240" w:lineRule="auto"/>
        <w:rPr>
          <w:rFonts w:ascii="Times New Roman" w:eastAsia="Times New Roman" w:hAnsi="Times New Roman"/>
          <w:bCs/>
          <w:i/>
          <w:noProof/>
          <w:color w:val="000000" w:themeColor="text1"/>
        </w:rPr>
      </w:pPr>
    </w:p>
    <w:tbl>
      <w:tblPr>
        <w:tblW w:w="1483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559"/>
        <w:gridCol w:w="2268"/>
        <w:gridCol w:w="1701"/>
        <w:gridCol w:w="425"/>
        <w:gridCol w:w="426"/>
        <w:gridCol w:w="425"/>
        <w:gridCol w:w="5103"/>
        <w:gridCol w:w="425"/>
        <w:gridCol w:w="356"/>
        <w:gridCol w:w="567"/>
        <w:gridCol w:w="16"/>
      </w:tblGrid>
      <w:tr w:rsidR="00BD1A2F" w:rsidRPr="00260790" w14:paraId="64CDF911" w14:textId="77777777" w:rsidTr="00E3321E">
        <w:trPr>
          <w:trHeight w:val="251"/>
          <w:tblHeader/>
        </w:trPr>
        <w:tc>
          <w:tcPr>
            <w:tcW w:w="3119" w:type="dxa"/>
            <w:gridSpan w:val="2"/>
            <w:vMerge w:val="restart"/>
            <w:tcBorders>
              <w:top w:val="single" w:sz="4" w:space="0" w:color="auto"/>
              <w:right w:val="single" w:sz="4" w:space="0" w:color="auto"/>
            </w:tcBorders>
            <w:shd w:val="clear" w:color="auto" w:fill="F2F2F2"/>
            <w:vAlign w:val="center"/>
          </w:tcPr>
          <w:p w14:paraId="1B8355C5" w14:textId="77777777" w:rsidR="00DB0460" w:rsidRPr="0097258B" w:rsidRDefault="00DB0460" w:rsidP="00E20250">
            <w:pPr>
              <w:spacing w:after="0" w:line="240" w:lineRule="auto"/>
              <w:jc w:val="center"/>
              <w:rPr>
                <w:rFonts w:ascii="Times New Roman" w:hAnsi="Times New Roman"/>
                <w:color w:val="000000" w:themeColor="text1"/>
                <w:sz w:val="20"/>
                <w:szCs w:val="20"/>
              </w:rPr>
            </w:pPr>
            <w:r w:rsidRPr="0097258B">
              <w:rPr>
                <w:rFonts w:ascii="Times New Roman" w:hAnsi="Times New Roman"/>
                <w:b/>
                <w:color w:val="000000" w:themeColor="text1"/>
                <w:sz w:val="20"/>
                <w:szCs w:val="20"/>
              </w:rPr>
              <w:t>Activités / installations</w:t>
            </w:r>
          </w:p>
        </w:tc>
        <w:tc>
          <w:tcPr>
            <w:tcW w:w="2268" w:type="dxa"/>
            <w:vMerge w:val="restart"/>
            <w:tcBorders>
              <w:left w:val="single" w:sz="4" w:space="0" w:color="auto"/>
            </w:tcBorders>
            <w:shd w:val="clear" w:color="auto" w:fill="F2F2F2"/>
            <w:vAlign w:val="center"/>
          </w:tcPr>
          <w:p w14:paraId="187E27C2" w14:textId="77777777" w:rsidR="00DB0460" w:rsidRPr="0097258B" w:rsidRDefault="00DB0460" w:rsidP="00E20250">
            <w:pPr>
              <w:spacing w:after="0" w:line="240" w:lineRule="auto"/>
              <w:rPr>
                <w:rFonts w:ascii="Times New Roman" w:hAnsi="Times New Roman"/>
                <w:b/>
                <w:color w:val="000000" w:themeColor="text1"/>
                <w:sz w:val="20"/>
                <w:szCs w:val="20"/>
              </w:rPr>
            </w:pPr>
            <w:r w:rsidRPr="0097258B">
              <w:rPr>
                <w:rFonts w:ascii="Times New Roman" w:hAnsi="Times New Roman"/>
                <w:b/>
                <w:color w:val="000000" w:themeColor="text1"/>
                <w:sz w:val="20"/>
                <w:szCs w:val="20"/>
              </w:rPr>
              <w:t>Dangers ou situations dangereuses</w:t>
            </w:r>
          </w:p>
        </w:tc>
        <w:tc>
          <w:tcPr>
            <w:tcW w:w="1701" w:type="dxa"/>
            <w:vMerge w:val="restart"/>
            <w:shd w:val="clear" w:color="auto" w:fill="F2F2F2"/>
            <w:vAlign w:val="center"/>
          </w:tcPr>
          <w:p w14:paraId="3AC7F200" w14:textId="77777777" w:rsidR="00DB0460" w:rsidRPr="0097258B" w:rsidRDefault="00DB0460" w:rsidP="00E20250">
            <w:pPr>
              <w:spacing w:after="0" w:line="240" w:lineRule="auto"/>
              <w:jc w:val="both"/>
              <w:rPr>
                <w:rFonts w:ascii="Times New Roman" w:hAnsi="Times New Roman"/>
                <w:b/>
                <w:color w:val="000000" w:themeColor="text1"/>
                <w:sz w:val="20"/>
                <w:szCs w:val="20"/>
              </w:rPr>
            </w:pPr>
            <w:r w:rsidRPr="0097258B">
              <w:rPr>
                <w:rFonts w:ascii="Times New Roman" w:hAnsi="Times New Roman"/>
                <w:b/>
                <w:color w:val="000000" w:themeColor="text1"/>
                <w:sz w:val="20"/>
                <w:szCs w:val="20"/>
              </w:rPr>
              <w:t>Dommages éventuels</w:t>
            </w:r>
          </w:p>
        </w:tc>
        <w:tc>
          <w:tcPr>
            <w:tcW w:w="1276" w:type="dxa"/>
            <w:gridSpan w:val="3"/>
            <w:shd w:val="clear" w:color="auto" w:fill="F2F2F2"/>
            <w:vAlign w:val="center"/>
          </w:tcPr>
          <w:p w14:paraId="239BD081" w14:textId="77777777" w:rsidR="00DB0460" w:rsidRPr="0097258B" w:rsidRDefault="00DB0460" w:rsidP="00E20250">
            <w:pPr>
              <w:spacing w:after="0" w:line="240" w:lineRule="auto"/>
              <w:ind w:left="-128" w:right="-142"/>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Risques I</w:t>
            </w:r>
          </w:p>
        </w:tc>
        <w:tc>
          <w:tcPr>
            <w:tcW w:w="5103" w:type="dxa"/>
            <w:tcBorders>
              <w:left w:val="single" w:sz="4" w:space="0" w:color="auto"/>
            </w:tcBorders>
            <w:shd w:val="clear" w:color="auto" w:fill="F2F2F2"/>
            <w:vAlign w:val="center"/>
          </w:tcPr>
          <w:p w14:paraId="2B9AAAEC" w14:textId="77777777" w:rsidR="00DB0460" w:rsidRPr="0097258B" w:rsidRDefault="00DB0460" w:rsidP="00E20250">
            <w:pPr>
              <w:spacing w:after="0" w:line="240" w:lineRule="auto"/>
              <w:rPr>
                <w:rFonts w:ascii="Times New Roman" w:hAnsi="Times New Roman"/>
                <w:color w:val="000000" w:themeColor="text1"/>
                <w:sz w:val="20"/>
                <w:szCs w:val="20"/>
              </w:rPr>
            </w:pPr>
            <w:r w:rsidRPr="0097258B">
              <w:rPr>
                <w:rFonts w:ascii="Times New Roman" w:hAnsi="Times New Roman"/>
                <w:b/>
                <w:color w:val="000000" w:themeColor="text1"/>
                <w:sz w:val="20"/>
                <w:szCs w:val="20"/>
              </w:rPr>
              <w:t>Mesures de sécurité</w:t>
            </w:r>
          </w:p>
        </w:tc>
        <w:tc>
          <w:tcPr>
            <w:tcW w:w="1364" w:type="dxa"/>
            <w:gridSpan w:val="4"/>
            <w:shd w:val="clear" w:color="auto" w:fill="F2F2F2"/>
            <w:vAlign w:val="center"/>
          </w:tcPr>
          <w:p w14:paraId="679BF334" w14:textId="77777777" w:rsidR="00DB0460" w:rsidRPr="0097258B" w:rsidRDefault="00DB0460" w:rsidP="00E20250">
            <w:pPr>
              <w:spacing w:after="0" w:line="240" w:lineRule="auto"/>
              <w:ind w:left="-64" w:right="-54"/>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Risques R</w:t>
            </w:r>
          </w:p>
        </w:tc>
      </w:tr>
      <w:tr w:rsidR="00E3321E" w:rsidRPr="00260790" w14:paraId="7DB6F838" w14:textId="77777777" w:rsidTr="00E3321E">
        <w:trPr>
          <w:gridAfter w:val="1"/>
          <w:wAfter w:w="16" w:type="dxa"/>
          <w:trHeight w:val="63"/>
          <w:tblHeader/>
        </w:trPr>
        <w:tc>
          <w:tcPr>
            <w:tcW w:w="3119" w:type="dxa"/>
            <w:gridSpan w:val="2"/>
            <w:vMerge/>
            <w:tcBorders>
              <w:right w:val="single" w:sz="4" w:space="0" w:color="auto"/>
            </w:tcBorders>
            <w:shd w:val="clear" w:color="auto" w:fill="F2F2F2"/>
            <w:vAlign w:val="center"/>
          </w:tcPr>
          <w:p w14:paraId="4CD8DF96"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2268" w:type="dxa"/>
            <w:vMerge/>
            <w:tcBorders>
              <w:left w:val="single" w:sz="4" w:space="0" w:color="auto"/>
            </w:tcBorders>
            <w:shd w:val="clear" w:color="auto" w:fill="F2F2F2"/>
            <w:vAlign w:val="center"/>
          </w:tcPr>
          <w:p w14:paraId="3706523D" w14:textId="77777777" w:rsidR="00DB0460" w:rsidRPr="0097258B" w:rsidRDefault="00DB0460" w:rsidP="00E20250">
            <w:pPr>
              <w:spacing w:after="0" w:line="240" w:lineRule="auto"/>
              <w:rPr>
                <w:rFonts w:ascii="Times New Roman" w:hAnsi="Times New Roman"/>
                <w:b/>
                <w:color w:val="000000" w:themeColor="text1"/>
                <w:sz w:val="20"/>
                <w:szCs w:val="20"/>
              </w:rPr>
            </w:pPr>
          </w:p>
        </w:tc>
        <w:tc>
          <w:tcPr>
            <w:tcW w:w="1701" w:type="dxa"/>
            <w:vMerge/>
            <w:shd w:val="clear" w:color="auto" w:fill="F2F2F2"/>
            <w:vAlign w:val="center"/>
          </w:tcPr>
          <w:p w14:paraId="088DB259" w14:textId="77777777" w:rsidR="00DB0460" w:rsidRPr="0097258B" w:rsidRDefault="00DB0460" w:rsidP="00E20250">
            <w:pPr>
              <w:spacing w:after="0" w:line="240" w:lineRule="auto"/>
              <w:jc w:val="both"/>
              <w:rPr>
                <w:rFonts w:ascii="Times New Roman" w:hAnsi="Times New Roman"/>
                <w:b/>
                <w:color w:val="000000" w:themeColor="text1"/>
                <w:sz w:val="20"/>
                <w:szCs w:val="20"/>
              </w:rPr>
            </w:pPr>
          </w:p>
        </w:tc>
        <w:tc>
          <w:tcPr>
            <w:tcW w:w="425" w:type="dxa"/>
            <w:shd w:val="clear" w:color="auto" w:fill="F2F2F2"/>
            <w:vAlign w:val="center"/>
          </w:tcPr>
          <w:p w14:paraId="3EFFBF0C"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P</w:t>
            </w:r>
          </w:p>
        </w:tc>
        <w:tc>
          <w:tcPr>
            <w:tcW w:w="426" w:type="dxa"/>
            <w:shd w:val="clear" w:color="auto" w:fill="F2F2F2"/>
            <w:vAlign w:val="center"/>
          </w:tcPr>
          <w:p w14:paraId="74510A78"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G</w:t>
            </w:r>
          </w:p>
        </w:tc>
        <w:tc>
          <w:tcPr>
            <w:tcW w:w="425" w:type="dxa"/>
            <w:shd w:val="clear" w:color="auto" w:fill="F2F2F2"/>
            <w:vAlign w:val="center"/>
          </w:tcPr>
          <w:p w14:paraId="640B9900" w14:textId="77777777" w:rsidR="00DB0460" w:rsidRPr="0097258B" w:rsidRDefault="00DB0460" w:rsidP="00E20250">
            <w:pPr>
              <w:spacing w:after="0" w:line="240" w:lineRule="auto"/>
              <w:ind w:left="-128" w:right="-142"/>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R</w:t>
            </w:r>
          </w:p>
        </w:tc>
        <w:tc>
          <w:tcPr>
            <w:tcW w:w="5103" w:type="dxa"/>
            <w:tcBorders>
              <w:left w:val="single" w:sz="4" w:space="0" w:color="auto"/>
            </w:tcBorders>
            <w:shd w:val="clear" w:color="auto" w:fill="F2F2F2"/>
            <w:vAlign w:val="center"/>
          </w:tcPr>
          <w:p w14:paraId="2BF97522" w14:textId="77777777" w:rsidR="00DB0460" w:rsidRPr="0097258B" w:rsidRDefault="00DB0460" w:rsidP="00E20250">
            <w:pPr>
              <w:spacing w:after="0" w:line="240" w:lineRule="auto"/>
              <w:rPr>
                <w:rFonts w:ascii="Times New Roman" w:hAnsi="Times New Roman"/>
                <w:b/>
                <w:color w:val="000000" w:themeColor="text1"/>
                <w:sz w:val="20"/>
                <w:szCs w:val="20"/>
              </w:rPr>
            </w:pPr>
            <w:r w:rsidRPr="0097258B">
              <w:rPr>
                <w:rFonts w:ascii="Times New Roman" w:hAnsi="Times New Roman"/>
                <w:b/>
                <w:color w:val="000000" w:themeColor="text1"/>
                <w:sz w:val="20"/>
                <w:szCs w:val="20"/>
              </w:rPr>
              <w:t>Proposées</w:t>
            </w:r>
          </w:p>
        </w:tc>
        <w:tc>
          <w:tcPr>
            <w:tcW w:w="425" w:type="dxa"/>
            <w:shd w:val="clear" w:color="auto" w:fill="F2F2F2"/>
            <w:vAlign w:val="center"/>
          </w:tcPr>
          <w:p w14:paraId="1C0F74EB"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P</w:t>
            </w:r>
          </w:p>
        </w:tc>
        <w:tc>
          <w:tcPr>
            <w:tcW w:w="356" w:type="dxa"/>
            <w:shd w:val="clear" w:color="auto" w:fill="F2F2F2"/>
            <w:vAlign w:val="center"/>
          </w:tcPr>
          <w:p w14:paraId="18050D80"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G</w:t>
            </w:r>
          </w:p>
        </w:tc>
        <w:tc>
          <w:tcPr>
            <w:tcW w:w="567" w:type="dxa"/>
            <w:shd w:val="clear" w:color="auto" w:fill="F2F2F2"/>
            <w:vAlign w:val="center"/>
          </w:tcPr>
          <w:p w14:paraId="14E3AED6" w14:textId="77777777" w:rsidR="00DB0460" w:rsidRPr="0097258B" w:rsidRDefault="00DB0460" w:rsidP="00E20250">
            <w:pPr>
              <w:spacing w:after="0" w:line="240" w:lineRule="auto"/>
              <w:ind w:right="-142" w:hanging="123"/>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R</w:t>
            </w:r>
          </w:p>
        </w:tc>
      </w:tr>
      <w:tr w:rsidR="00BD1A2F" w:rsidRPr="00260790" w14:paraId="2D615938" w14:textId="77777777" w:rsidTr="00E3321E">
        <w:trPr>
          <w:gridAfter w:val="1"/>
          <w:wAfter w:w="16" w:type="dxa"/>
          <w:trHeight w:val="752"/>
        </w:trPr>
        <w:tc>
          <w:tcPr>
            <w:tcW w:w="1560" w:type="dxa"/>
            <w:vMerge w:val="restart"/>
            <w:tcBorders>
              <w:right w:val="single" w:sz="4" w:space="0" w:color="auto"/>
            </w:tcBorders>
            <w:vAlign w:val="center"/>
          </w:tcPr>
          <w:p w14:paraId="6F5D6A30" w14:textId="77777777" w:rsidR="00DB0460" w:rsidRPr="0097258B" w:rsidRDefault="00DB0460" w:rsidP="00E20250">
            <w:pPr>
              <w:spacing w:after="0" w:line="240" w:lineRule="auto"/>
              <w:rPr>
                <w:rFonts w:ascii="Times New Roman" w:hAnsi="Times New Roman"/>
                <w:b/>
                <w:bCs/>
                <w:color w:val="000000" w:themeColor="text1"/>
                <w:sz w:val="20"/>
                <w:szCs w:val="20"/>
              </w:rPr>
            </w:pPr>
            <w:r w:rsidRPr="0097258B">
              <w:rPr>
                <w:rFonts w:ascii="Times New Roman" w:hAnsi="Times New Roman"/>
                <w:b/>
                <w:bCs/>
                <w:color w:val="000000" w:themeColor="text1"/>
                <w:sz w:val="20"/>
                <w:szCs w:val="20"/>
              </w:rPr>
              <w:t>Phase travaux</w:t>
            </w:r>
          </w:p>
        </w:tc>
        <w:tc>
          <w:tcPr>
            <w:tcW w:w="1559" w:type="dxa"/>
            <w:vMerge w:val="restart"/>
            <w:tcBorders>
              <w:right w:val="single" w:sz="4" w:space="0" w:color="auto"/>
            </w:tcBorders>
            <w:vAlign w:val="center"/>
          </w:tcPr>
          <w:p w14:paraId="6DBF985D" w14:textId="77777777" w:rsidR="00DB0460" w:rsidRPr="0097258B" w:rsidRDefault="00DB0460" w:rsidP="00E20250">
            <w:pPr>
              <w:autoSpaceDE w:val="0"/>
              <w:autoSpaceDN w:val="0"/>
              <w:adjustRightInd w:val="0"/>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Travaux de terrassement et de fouilles</w:t>
            </w:r>
          </w:p>
        </w:tc>
        <w:tc>
          <w:tcPr>
            <w:tcW w:w="2268" w:type="dxa"/>
            <w:tcBorders>
              <w:left w:val="single" w:sz="4" w:space="0" w:color="auto"/>
            </w:tcBorders>
            <w:vAlign w:val="center"/>
          </w:tcPr>
          <w:p w14:paraId="6A451B66" w14:textId="77777777" w:rsidR="00DB0460" w:rsidRPr="0097258B" w:rsidRDefault="00DB0460" w:rsidP="00E20250">
            <w:pPr>
              <w:autoSpaceDE w:val="0"/>
              <w:autoSpaceDN w:val="0"/>
              <w:adjustRightInd w:val="0"/>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Personnel effectuant le travail, conducteur d’engin ou personnel présent sur site</w:t>
            </w:r>
          </w:p>
        </w:tc>
        <w:tc>
          <w:tcPr>
            <w:tcW w:w="1701" w:type="dxa"/>
            <w:vAlign w:val="center"/>
          </w:tcPr>
          <w:p w14:paraId="7838FC61" w14:textId="77777777" w:rsidR="00DB0460" w:rsidRPr="0097258B" w:rsidRDefault="00DB0460"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Collision engin /piéton : blessures, décès</w:t>
            </w:r>
          </w:p>
        </w:tc>
        <w:tc>
          <w:tcPr>
            <w:tcW w:w="425" w:type="dxa"/>
            <w:vAlign w:val="center"/>
          </w:tcPr>
          <w:p w14:paraId="3D371DC2"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4</w:t>
            </w:r>
          </w:p>
        </w:tc>
        <w:tc>
          <w:tcPr>
            <w:tcW w:w="426" w:type="dxa"/>
            <w:vAlign w:val="center"/>
          </w:tcPr>
          <w:p w14:paraId="067D7385"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w:t>
            </w:r>
          </w:p>
        </w:tc>
        <w:tc>
          <w:tcPr>
            <w:tcW w:w="425" w:type="dxa"/>
            <w:shd w:val="clear" w:color="auto" w:fill="FF0000"/>
            <w:vAlign w:val="center"/>
          </w:tcPr>
          <w:p w14:paraId="15C57934" w14:textId="77777777" w:rsidR="00DB0460" w:rsidRPr="0097258B" w:rsidRDefault="00DB0460" w:rsidP="00E20250">
            <w:pPr>
              <w:spacing w:after="0" w:line="240" w:lineRule="auto"/>
              <w:ind w:left="-128" w:right="-142"/>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43</w:t>
            </w:r>
          </w:p>
        </w:tc>
        <w:tc>
          <w:tcPr>
            <w:tcW w:w="5103" w:type="dxa"/>
            <w:tcBorders>
              <w:left w:val="single" w:sz="4" w:space="0" w:color="auto"/>
            </w:tcBorders>
            <w:vAlign w:val="center"/>
          </w:tcPr>
          <w:p w14:paraId="53C78918"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Mettre en place un plan de circulation et une signalisation dans le chantier, Maintenance des engins, Former les conducteurs d’engins sur les règles de conduites,</w:t>
            </w:r>
          </w:p>
          <w:p w14:paraId="28E34951"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Dégager les voies de circulation</w:t>
            </w:r>
          </w:p>
          <w:p w14:paraId="32807BF9"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Assister le conducteur lors des excavations</w:t>
            </w:r>
          </w:p>
        </w:tc>
        <w:tc>
          <w:tcPr>
            <w:tcW w:w="425" w:type="dxa"/>
            <w:vAlign w:val="center"/>
          </w:tcPr>
          <w:p w14:paraId="0620C73E"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w:t>
            </w:r>
          </w:p>
        </w:tc>
        <w:tc>
          <w:tcPr>
            <w:tcW w:w="356" w:type="dxa"/>
            <w:vAlign w:val="center"/>
          </w:tcPr>
          <w:p w14:paraId="32884973"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1</w:t>
            </w:r>
          </w:p>
        </w:tc>
        <w:tc>
          <w:tcPr>
            <w:tcW w:w="567" w:type="dxa"/>
            <w:shd w:val="clear" w:color="auto" w:fill="FFFF00"/>
            <w:vAlign w:val="center"/>
          </w:tcPr>
          <w:p w14:paraId="317695E6" w14:textId="77777777" w:rsidR="00DB0460" w:rsidRPr="0097258B" w:rsidRDefault="00DB0460" w:rsidP="00E20250">
            <w:pPr>
              <w:spacing w:after="0" w:line="240" w:lineRule="auto"/>
              <w:ind w:right="-142" w:hanging="123"/>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31</w:t>
            </w:r>
          </w:p>
        </w:tc>
      </w:tr>
      <w:tr w:rsidR="00BD1A2F" w:rsidRPr="00260790" w14:paraId="669F5FD9" w14:textId="77777777" w:rsidTr="00E3321E">
        <w:trPr>
          <w:gridAfter w:val="1"/>
          <w:wAfter w:w="16" w:type="dxa"/>
          <w:trHeight w:val="583"/>
        </w:trPr>
        <w:tc>
          <w:tcPr>
            <w:tcW w:w="1560" w:type="dxa"/>
            <w:vMerge/>
            <w:tcBorders>
              <w:right w:val="single" w:sz="4" w:space="0" w:color="auto"/>
            </w:tcBorders>
            <w:vAlign w:val="center"/>
          </w:tcPr>
          <w:p w14:paraId="0AA889D2"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1559" w:type="dxa"/>
            <w:vMerge/>
            <w:tcBorders>
              <w:right w:val="single" w:sz="4" w:space="0" w:color="auto"/>
            </w:tcBorders>
            <w:vAlign w:val="center"/>
          </w:tcPr>
          <w:p w14:paraId="7EBBF3E9"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2268" w:type="dxa"/>
            <w:tcBorders>
              <w:left w:val="single" w:sz="4" w:space="0" w:color="auto"/>
            </w:tcBorders>
            <w:vAlign w:val="center"/>
          </w:tcPr>
          <w:p w14:paraId="0B891B72" w14:textId="77777777" w:rsidR="00DB0460" w:rsidRPr="0097258B" w:rsidRDefault="00DB0460" w:rsidP="00E20250">
            <w:pPr>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Risques liés à l’utilisation</w:t>
            </w:r>
          </w:p>
          <w:p w14:paraId="25EEAA2D" w14:textId="77777777" w:rsidR="00DB0460" w:rsidRPr="0097258B" w:rsidRDefault="00DB0460" w:rsidP="00E20250">
            <w:pPr>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D’outils manuels</w:t>
            </w:r>
          </w:p>
        </w:tc>
        <w:tc>
          <w:tcPr>
            <w:tcW w:w="1701" w:type="dxa"/>
            <w:vAlign w:val="center"/>
          </w:tcPr>
          <w:p w14:paraId="500337F2" w14:textId="77777777" w:rsidR="00DB0460" w:rsidRPr="0097258B" w:rsidRDefault="00DB0460"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Coupures, fractures</w:t>
            </w:r>
          </w:p>
        </w:tc>
        <w:tc>
          <w:tcPr>
            <w:tcW w:w="425" w:type="dxa"/>
            <w:vAlign w:val="center"/>
          </w:tcPr>
          <w:p w14:paraId="26861037"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w:t>
            </w:r>
          </w:p>
        </w:tc>
        <w:tc>
          <w:tcPr>
            <w:tcW w:w="426" w:type="dxa"/>
            <w:vAlign w:val="center"/>
          </w:tcPr>
          <w:p w14:paraId="0028C488"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4</w:t>
            </w:r>
          </w:p>
        </w:tc>
        <w:tc>
          <w:tcPr>
            <w:tcW w:w="425" w:type="dxa"/>
            <w:shd w:val="clear" w:color="auto" w:fill="FF0000"/>
            <w:vAlign w:val="center"/>
          </w:tcPr>
          <w:p w14:paraId="370851E0" w14:textId="77777777" w:rsidR="00DB0460" w:rsidRPr="0097258B" w:rsidRDefault="00DB0460" w:rsidP="00E20250">
            <w:pPr>
              <w:spacing w:after="0" w:line="240" w:lineRule="auto"/>
              <w:ind w:left="-128" w:right="-142"/>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34</w:t>
            </w:r>
          </w:p>
        </w:tc>
        <w:tc>
          <w:tcPr>
            <w:tcW w:w="5103" w:type="dxa"/>
            <w:tcBorders>
              <w:left w:val="single" w:sz="4" w:space="0" w:color="auto"/>
            </w:tcBorders>
            <w:vAlign w:val="center"/>
          </w:tcPr>
          <w:p w14:paraId="5539C841"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Former le personnel à la manipulation de ces outils</w:t>
            </w:r>
          </w:p>
          <w:p w14:paraId="24C45196"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Fournir des gants au personnel</w:t>
            </w:r>
          </w:p>
        </w:tc>
        <w:tc>
          <w:tcPr>
            <w:tcW w:w="425" w:type="dxa"/>
            <w:vAlign w:val="center"/>
          </w:tcPr>
          <w:p w14:paraId="1A7AB785"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356" w:type="dxa"/>
            <w:vAlign w:val="center"/>
          </w:tcPr>
          <w:p w14:paraId="70DF1C7D"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567" w:type="dxa"/>
            <w:shd w:val="clear" w:color="auto" w:fill="FFFF00"/>
            <w:vAlign w:val="center"/>
          </w:tcPr>
          <w:p w14:paraId="3A54E9F0"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22</w:t>
            </w:r>
          </w:p>
        </w:tc>
      </w:tr>
      <w:tr w:rsidR="00BD1A2F" w:rsidRPr="00260790" w14:paraId="1B0A46FF" w14:textId="77777777" w:rsidTr="00E3321E">
        <w:trPr>
          <w:gridAfter w:val="1"/>
          <w:wAfter w:w="16" w:type="dxa"/>
          <w:trHeight w:val="269"/>
        </w:trPr>
        <w:tc>
          <w:tcPr>
            <w:tcW w:w="1560" w:type="dxa"/>
            <w:vMerge/>
            <w:tcBorders>
              <w:right w:val="single" w:sz="4" w:space="0" w:color="auto"/>
            </w:tcBorders>
            <w:vAlign w:val="center"/>
          </w:tcPr>
          <w:p w14:paraId="0B2CE280"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1559" w:type="dxa"/>
            <w:vMerge/>
            <w:tcBorders>
              <w:right w:val="single" w:sz="4" w:space="0" w:color="auto"/>
            </w:tcBorders>
            <w:vAlign w:val="center"/>
          </w:tcPr>
          <w:p w14:paraId="53F9F3BC"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2268" w:type="dxa"/>
            <w:tcBorders>
              <w:left w:val="single" w:sz="4" w:space="0" w:color="auto"/>
            </w:tcBorders>
            <w:vAlign w:val="center"/>
          </w:tcPr>
          <w:p w14:paraId="370845B8" w14:textId="77777777" w:rsidR="00DB0460" w:rsidRPr="0097258B" w:rsidRDefault="00DB0460" w:rsidP="00E20250">
            <w:pPr>
              <w:autoSpaceDE w:val="0"/>
              <w:autoSpaceDN w:val="0"/>
              <w:adjustRightInd w:val="0"/>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Risques liés à la manutention</w:t>
            </w:r>
          </w:p>
          <w:p w14:paraId="53677630" w14:textId="77777777" w:rsidR="00DB0460" w:rsidRPr="0097258B" w:rsidRDefault="00DB0460" w:rsidP="00E20250">
            <w:pPr>
              <w:autoSpaceDE w:val="0"/>
              <w:autoSpaceDN w:val="0"/>
              <w:adjustRightInd w:val="0"/>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Manuelle</w:t>
            </w:r>
          </w:p>
        </w:tc>
        <w:tc>
          <w:tcPr>
            <w:tcW w:w="1701" w:type="dxa"/>
            <w:vAlign w:val="center"/>
          </w:tcPr>
          <w:p w14:paraId="432E012E" w14:textId="77777777" w:rsidR="00DB0460" w:rsidRPr="0097258B" w:rsidRDefault="00DB0460"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Troubles </w:t>
            </w:r>
            <w:proofErr w:type="spellStart"/>
            <w:r w:rsidRPr="0097258B">
              <w:rPr>
                <w:rFonts w:ascii="Times New Roman" w:hAnsi="Times New Roman"/>
                <w:color w:val="000000" w:themeColor="text1"/>
                <w:sz w:val="20"/>
                <w:szCs w:val="20"/>
              </w:rPr>
              <w:t>musculo-squelettiques</w:t>
            </w:r>
            <w:proofErr w:type="spellEnd"/>
            <w:r w:rsidRPr="0097258B">
              <w:rPr>
                <w:rFonts w:ascii="Times New Roman" w:hAnsi="Times New Roman"/>
                <w:color w:val="000000" w:themeColor="text1"/>
                <w:sz w:val="20"/>
                <w:szCs w:val="20"/>
              </w:rPr>
              <w:t xml:space="preserve"> (TMS)</w:t>
            </w:r>
          </w:p>
          <w:p w14:paraId="56F01135" w14:textId="6B6F47A6" w:rsidR="00DB0460" w:rsidRPr="0097258B" w:rsidRDefault="00DB0460"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Douleurs </w:t>
            </w:r>
            <w:r w:rsidR="00CD4CE0" w:rsidRPr="0097258B">
              <w:rPr>
                <w:rFonts w:ascii="Times New Roman" w:hAnsi="Times New Roman"/>
                <w:color w:val="000000" w:themeColor="text1"/>
                <w:sz w:val="20"/>
                <w:szCs w:val="20"/>
              </w:rPr>
              <w:t>musculaires</w:t>
            </w:r>
          </w:p>
        </w:tc>
        <w:tc>
          <w:tcPr>
            <w:tcW w:w="425" w:type="dxa"/>
            <w:vAlign w:val="center"/>
          </w:tcPr>
          <w:p w14:paraId="52D113BE"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426" w:type="dxa"/>
            <w:vAlign w:val="center"/>
          </w:tcPr>
          <w:p w14:paraId="39EF32AC"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w:t>
            </w:r>
          </w:p>
        </w:tc>
        <w:tc>
          <w:tcPr>
            <w:tcW w:w="425" w:type="dxa"/>
            <w:shd w:val="clear" w:color="auto" w:fill="FFFF00"/>
            <w:vAlign w:val="center"/>
          </w:tcPr>
          <w:p w14:paraId="2877B160" w14:textId="77777777" w:rsidR="00DB0460" w:rsidRPr="0097258B" w:rsidRDefault="00DB0460" w:rsidP="00E20250">
            <w:pPr>
              <w:spacing w:after="0" w:line="240" w:lineRule="auto"/>
              <w:ind w:left="-128" w:right="-142"/>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23</w:t>
            </w:r>
          </w:p>
        </w:tc>
        <w:tc>
          <w:tcPr>
            <w:tcW w:w="5103" w:type="dxa"/>
            <w:tcBorders>
              <w:left w:val="single" w:sz="4" w:space="0" w:color="auto"/>
            </w:tcBorders>
            <w:vAlign w:val="center"/>
          </w:tcPr>
          <w:p w14:paraId="12DC6EE5"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Limiter la charge quotidienne</w:t>
            </w:r>
          </w:p>
          <w:p w14:paraId="2D96F174"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Former le personnel aux postures adaptées à la manutention manuelle, Mise en place d’aide mécanique Introduire des moments de repos réguliers</w:t>
            </w:r>
          </w:p>
        </w:tc>
        <w:tc>
          <w:tcPr>
            <w:tcW w:w="425" w:type="dxa"/>
            <w:vAlign w:val="center"/>
          </w:tcPr>
          <w:p w14:paraId="12B9B3B4"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1</w:t>
            </w:r>
          </w:p>
        </w:tc>
        <w:tc>
          <w:tcPr>
            <w:tcW w:w="356" w:type="dxa"/>
            <w:vAlign w:val="center"/>
          </w:tcPr>
          <w:p w14:paraId="792FBB95"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567" w:type="dxa"/>
            <w:shd w:val="clear" w:color="auto" w:fill="00B050"/>
            <w:vAlign w:val="center"/>
          </w:tcPr>
          <w:p w14:paraId="373C3000"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12</w:t>
            </w:r>
          </w:p>
        </w:tc>
      </w:tr>
      <w:tr w:rsidR="00BD1A2F" w:rsidRPr="00260790" w14:paraId="4A3E3F98" w14:textId="77777777" w:rsidTr="00E3321E">
        <w:trPr>
          <w:gridAfter w:val="1"/>
          <w:wAfter w:w="16" w:type="dxa"/>
          <w:trHeight w:val="269"/>
        </w:trPr>
        <w:tc>
          <w:tcPr>
            <w:tcW w:w="1560" w:type="dxa"/>
            <w:vMerge/>
            <w:tcBorders>
              <w:right w:val="single" w:sz="4" w:space="0" w:color="auto"/>
            </w:tcBorders>
            <w:vAlign w:val="center"/>
          </w:tcPr>
          <w:p w14:paraId="745253B0"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1559" w:type="dxa"/>
            <w:vMerge/>
            <w:tcBorders>
              <w:right w:val="single" w:sz="4" w:space="0" w:color="auto"/>
            </w:tcBorders>
            <w:vAlign w:val="center"/>
          </w:tcPr>
          <w:p w14:paraId="156189D7"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2268" w:type="dxa"/>
            <w:tcBorders>
              <w:left w:val="single" w:sz="4" w:space="0" w:color="auto"/>
            </w:tcBorders>
            <w:vAlign w:val="center"/>
          </w:tcPr>
          <w:p w14:paraId="59F1BD2B" w14:textId="77777777" w:rsidR="00DB0460" w:rsidRPr="0097258B" w:rsidRDefault="00DB0460" w:rsidP="00E20250">
            <w:pPr>
              <w:autoSpaceDE w:val="0"/>
              <w:autoSpaceDN w:val="0"/>
              <w:adjustRightInd w:val="0"/>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Risques liés aux chutes de plain-pied</w:t>
            </w:r>
          </w:p>
        </w:tc>
        <w:tc>
          <w:tcPr>
            <w:tcW w:w="1701" w:type="dxa"/>
            <w:vAlign w:val="center"/>
          </w:tcPr>
          <w:p w14:paraId="29F30013" w14:textId="77777777" w:rsidR="00DB0460" w:rsidRPr="0097258B" w:rsidRDefault="00DB0460"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Blessures, Fractures</w:t>
            </w:r>
          </w:p>
        </w:tc>
        <w:tc>
          <w:tcPr>
            <w:tcW w:w="425" w:type="dxa"/>
            <w:vAlign w:val="center"/>
          </w:tcPr>
          <w:p w14:paraId="6A56B07E"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426" w:type="dxa"/>
            <w:vAlign w:val="center"/>
          </w:tcPr>
          <w:p w14:paraId="1ABDB894"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w:t>
            </w:r>
          </w:p>
        </w:tc>
        <w:tc>
          <w:tcPr>
            <w:tcW w:w="425" w:type="dxa"/>
            <w:shd w:val="clear" w:color="auto" w:fill="FFFF00"/>
            <w:vAlign w:val="center"/>
          </w:tcPr>
          <w:p w14:paraId="7B5EC155" w14:textId="77777777" w:rsidR="00DB0460" w:rsidRPr="0097258B" w:rsidRDefault="00DB0460" w:rsidP="00E20250">
            <w:pPr>
              <w:spacing w:after="0" w:line="240" w:lineRule="auto"/>
              <w:ind w:left="-128" w:right="-142"/>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23</w:t>
            </w:r>
          </w:p>
        </w:tc>
        <w:tc>
          <w:tcPr>
            <w:tcW w:w="5103" w:type="dxa"/>
            <w:tcBorders>
              <w:left w:val="single" w:sz="4" w:space="0" w:color="auto"/>
            </w:tcBorders>
            <w:vAlign w:val="center"/>
          </w:tcPr>
          <w:p w14:paraId="7D2BC33A"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Baliser et signaler les zones glissantes</w:t>
            </w:r>
          </w:p>
        </w:tc>
        <w:tc>
          <w:tcPr>
            <w:tcW w:w="425" w:type="dxa"/>
            <w:vAlign w:val="center"/>
          </w:tcPr>
          <w:p w14:paraId="12ED70E6"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356" w:type="dxa"/>
            <w:vAlign w:val="center"/>
          </w:tcPr>
          <w:p w14:paraId="3A10DF87"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567" w:type="dxa"/>
            <w:shd w:val="clear" w:color="auto" w:fill="FFFF00"/>
            <w:vAlign w:val="center"/>
          </w:tcPr>
          <w:p w14:paraId="345C0BD2"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22</w:t>
            </w:r>
          </w:p>
        </w:tc>
      </w:tr>
      <w:tr w:rsidR="00BD1A2F" w:rsidRPr="00260790" w14:paraId="6619F32A" w14:textId="77777777" w:rsidTr="00E3321E">
        <w:trPr>
          <w:gridAfter w:val="1"/>
          <w:wAfter w:w="16" w:type="dxa"/>
          <w:trHeight w:val="269"/>
        </w:trPr>
        <w:tc>
          <w:tcPr>
            <w:tcW w:w="1560" w:type="dxa"/>
            <w:vMerge/>
            <w:tcBorders>
              <w:right w:val="single" w:sz="4" w:space="0" w:color="auto"/>
            </w:tcBorders>
            <w:vAlign w:val="center"/>
          </w:tcPr>
          <w:p w14:paraId="511A8EEC"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1559" w:type="dxa"/>
            <w:vMerge/>
            <w:tcBorders>
              <w:right w:val="single" w:sz="4" w:space="0" w:color="auto"/>
            </w:tcBorders>
            <w:vAlign w:val="center"/>
          </w:tcPr>
          <w:p w14:paraId="02E9D25F"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2268" w:type="dxa"/>
            <w:tcBorders>
              <w:left w:val="single" w:sz="4" w:space="0" w:color="auto"/>
            </w:tcBorders>
            <w:vAlign w:val="center"/>
          </w:tcPr>
          <w:p w14:paraId="5F3849CC" w14:textId="77777777" w:rsidR="00DB0460" w:rsidRPr="0097258B" w:rsidRDefault="00DB0460" w:rsidP="00E20250">
            <w:pPr>
              <w:autoSpaceDE w:val="0"/>
              <w:autoSpaceDN w:val="0"/>
              <w:adjustRightInd w:val="0"/>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Risques liés au bruit</w:t>
            </w:r>
          </w:p>
        </w:tc>
        <w:tc>
          <w:tcPr>
            <w:tcW w:w="1701" w:type="dxa"/>
            <w:vAlign w:val="center"/>
          </w:tcPr>
          <w:p w14:paraId="0D73F54D" w14:textId="77777777" w:rsidR="00DB0460" w:rsidRPr="0097258B" w:rsidRDefault="00DB0460"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Pertes d’audition temporaires ou définitives</w:t>
            </w:r>
          </w:p>
        </w:tc>
        <w:tc>
          <w:tcPr>
            <w:tcW w:w="425" w:type="dxa"/>
            <w:vAlign w:val="center"/>
          </w:tcPr>
          <w:p w14:paraId="34963B74"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w:t>
            </w:r>
          </w:p>
        </w:tc>
        <w:tc>
          <w:tcPr>
            <w:tcW w:w="426" w:type="dxa"/>
            <w:vAlign w:val="center"/>
          </w:tcPr>
          <w:p w14:paraId="027398A0"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425" w:type="dxa"/>
            <w:shd w:val="clear" w:color="auto" w:fill="FFFF00"/>
            <w:vAlign w:val="center"/>
          </w:tcPr>
          <w:p w14:paraId="27B2F08B" w14:textId="77777777" w:rsidR="00DB0460" w:rsidRPr="0097258B" w:rsidRDefault="00DB0460" w:rsidP="00E20250">
            <w:pPr>
              <w:spacing w:after="0" w:line="240" w:lineRule="auto"/>
              <w:ind w:left="-128" w:right="-142"/>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32</w:t>
            </w:r>
          </w:p>
        </w:tc>
        <w:tc>
          <w:tcPr>
            <w:tcW w:w="5103" w:type="dxa"/>
            <w:tcBorders>
              <w:left w:val="single" w:sz="4" w:space="0" w:color="auto"/>
            </w:tcBorders>
            <w:vAlign w:val="center"/>
          </w:tcPr>
          <w:p w14:paraId="16C2C3BE"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Fournir des bouchons d’oreille et des casques de protection auditive aux travailleurs et veiller à leur utilisation</w:t>
            </w:r>
          </w:p>
        </w:tc>
        <w:tc>
          <w:tcPr>
            <w:tcW w:w="425" w:type="dxa"/>
            <w:vAlign w:val="center"/>
          </w:tcPr>
          <w:p w14:paraId="48DBFFD4"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1</w:t>
            </w:r>
          </w:p>
        </w:tc>
        <w:tc>
          <w:tcPr>
            <w:tcW w:w="356" w:type="dxa"/>
            <w:vAlign w:val="center"/>
          </w:tcPr>
          <w:p w14:paraId="3AF23D82"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567" w:type="dxa"/>
            <w:shd w:val="clear" w:color="auto" w:fill="00B050"/>
            <w:vAlign w:val="center"/>
          </w:tcPr>
          <w:p w14:paraId="7A2E87BA"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12</w:t>
            </w:r>
          </w:p>
        </w:tc>
      </w:tr>
      <w:tr w:rsidR="00BD1A2F" w:rsidRPr="00260790" w14:paraId="62F1DD59" w14:textId="77777777" w:rsidTr="00E3321E">
        <w:trPr>
          <w:gridAfter w:val="1"/>
          <w:wAfter w:w="16" w:type="dxa"/>
          <w:trHeight w:val="658"/>
        </w:trPr>
        <w:tc>
          <w:tcPr>
            <w:tcW w:w="1560" w:type="dxa"/>
            <w:vMerge/>
            <w:tcBorders>
              <w:right w:val="single" w:sz="4" w:space="0" w:color="auto"/>
            </w:tcBorders>
            <w:vAlign w:val="center"/>
          </w:tcPr>
          <w:p w14:paraId="0C927132"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1559" w:type="dxa"/>
            <w:vMerge/>
            <w:tcBorders>
              <w:right w:val="single" w:sz="4" w:space="0" w:color="auto"/>
            </w:tcBorders>
            <w:vAlign w:val="center"/>
          </w:tcPr>
          <w:p w14:paraId="690D43F5"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2268" w:type="dxa"/>
            <w:tcBorders>
              <w:left w:val="single" w:sz="4" w:space="0" w:color="auto"/>
            </w:tcBorders>
            <w:vAlign w:val="center"/>
          </w:tcPr>
          <w:p w14:paraId="3CF50211" w14:textId="77777777" w:rsidR="00DB0460" w:rsidRPr="0097258B" w:rsidRDefault="00DB0460" w:rsidP="00E20250">
            <w:pPr>
              <w:autoSpaceDE w:val="0"/>
              <w:autoSpaceDN w:val="0"/>
              <w:adjustRightInd w:val="0"/>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Risques liés au travail par fortes chaleurs</w:t>
            </w:r>
          </w:p>
        </w:tc>
        <w:tc>
          <w:tcPr>
            <w:tcW w:w="1701" w:type="dxa"/>
            <w:vAlign w:val="center"/>
          </w:tcPr>
          <w:p w14:paraId="1E5D2DE1" w14:textId="77777777" w:rsidR="00DB0460" w:rsidRPr="0097258B" w:rsidRDefault="00DB0460"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Coups de chaleur, déshydratation</w:t>
            </w:r>
          </w:p>
        </w:tc>
        <w:tc>
          <w:tcPr>
            <w:tcW w:w="425" w:type="dxa"/>
            <w:vAlign w:val="center"/>
          </w:tcPr>
          <w:p w14:paraId="77B5D332"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426" w:type="dxa"/>
            <w:vAlign w:val="center"/>
          </w:tcPr>
          <w:p w14:paraId="157429CA"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4</w:t>
            </w:r>
          </w:p>
        </w:tc>
        <w:tc>
          <w:tcPr>
            <w:tcW w:w="425" w:type="dxa"/>
            <w:shd w:val="clear" w:color="auto" w:fill="FFFF00"/>
            <w:vAlign w:val="center"/>
          </w:tcPr>
          <w:p w14:paraId="2473F158" w14:textId="77777777" w:rsidR="00DB0460" w:rsidRPr="0097258B" w:rsidRDefault="00DB0460" w:rsidP="00E20250">
            <w:pPr>
              <w:spacing w:after="0" w:line="240" w:lineRule="auto"/>
              <w:ind w:left="-128" w:right="-142"/>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24</w:t>
            </w:r>
          </w:p>
        </w:tc>
        <w:tc>
          <w:tcPr>
            <w:tcW w:w="5103" w:type="dxa"/>
            <w:tcBorders>
              <w:left w:val="single" w:sz="4" w:space="0" w:color="auto"/>
            </w:tcBorders>
            <w:vAlign w:val="center"/>
          </w:tcPr>
          <w:p w14:paraId="0EFE70F9"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Éviter le travail durant les heures les plus chaudes de la journée Fournir des bouteilles d’eau régulièrement aux travailleurs Introduire des pauses régulières</w:t>
            </w:r>
          </w:p>
        </w:tc>
        <w:tc>
          <w:tcPr>
            <w:tcW w:w="425" w:type="dxa"/>
            <w:vAlign w:val="center"/>
          </w:tcPr>
          <w:p w14:paraId="5240B62E"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1</w:t>
            </w:r>
          </w:p>
        </w:tc>
        <w:tc>
          <w:tcPr>
            <w:tcW w:w="356" w:type="dxa"/>
            <w:vAlign w:val="center"/>
          </w:tcPr>
          <w:p w14:paraId="1799E59E"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567" w:type="dxa"/>
            <w:shd w:val="clear" w:color="auto" w:fill="00B050"/>
            <w:vAlign w:val="center"/>
          </w:tcPr>
          <w:p w14:paraId="060AAF40"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12</w:t>
            </w:r>
          </w:p>
        </w:tc>
      </w:tr>
      <w:tr w:rsidR="00BD1A2F" w:rsidRPr="00260790" w14:paraId="1B3252BE" w14:textId="77777777" w:rsidTr="00E3321E">
        <w:trPr>
          <w:gridAfter w:val="1"/>
          <w:wAfter w:w="16" w:type="dxa"/>
          <w:trHeight w:val="658"/>
        </w:trPr>
        <w:tc>
          <w:tcPr>
            <w:tcW w:w="1560" w:type="dxa"/>
            <w:vMerge/>
            <w:tcBorders>
              <w:right w:val="single" w:sz="4" w:space="0" w:color="auto"/>
            </w:tcBorders>
            <w:vAlign w:val="center"/>
          </w:tcPr>
          <w:p w14:paraId="73C59AE3"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1559" w:type="dxa"/>
            <w:vMerge/>
            <w:tcBorders>
              <w:bottom w:val="single" w:sz="4" w:space="0" w:color="000000"/>
              <w:right w:val="single" w:sz="4" w:space="0" w:color="auto"/>
            </w:tcBorders>
            <w:vAlign w:val="center"/>
          </w:tcPr>
          <w:p w14:paraId="7ED3E475"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2268" w:type="dxa"/>
            <w:tcBorders>
              <w:left w:val="single" w:sz="4" w:space="0" w:color="auto"/>
            </w:tcBorders>
            <w:vAlign w:val="center"/>
          </w:tcPr>
          <w:p w14:paraId="21F04F39" w14:textId="77777777" w:rsidR="00DB0460" w:rsidRPr="0097258B" w:rsidRDefault="00DB0460" w:rsidP="00E20250">
            <w:pPr>
              <w:autoSpaceDE w:val="0"/>
              <w:autoSpaceDN w:val="0"/>
              <w:adjustRightInd w:val="0"/>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Présence d’autres réseaux (électricité)</w:t>
            </w:r>
          </w:p>
        </w:tc>
        <w:tc>
          <w:tcPr>
            <w:tcW w:w="1701" w:type="dxa"/>
            <w:vAlign w:val="center"/>
          </w:tcPr>
          <w:p w14:paraId="1B1BF4C8" w14:textId="77777777" w:rsidR="00DB0460" w:rsidRPr="0097258B" w:rsidRDefault="00DB0460"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Électrisation / Électrocution</w:t>
            </w:r>
          </w:p>
        </w:tc>
        <w:tc>
          <w:tcPr>
            <w:tcW w:w="425" w:type="dxa"/>
            <w:vAlign w:val="center"/>
          </w:tcPr>
          <w:p w14:paraId="1A8A638B"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w:t>
            </w:r>
          </w:p>
        </w:tc>
        <w:tc>
          <w:tcPr>
            <w:tcW w:w="426" w:type="dxa"/>
            <w:vAlign w:val="center"/>
          </w:tcPr>
          <w:p w14:paraId="4A197887"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4</w:t>
            </w:r>
          </w:p>
        </w:tc>
        <w:tc>
          <w:tcPr>
            <w:tcW w:w="425" w:type="dxa"/>
            <w:shd w:val="clear" w:color="auto" w:fill="FF0000"/>
            <w:vAlign w:val="center"/>
          </w:tcPr>
          <w:p w14:paraId="4E31B340" w14:textId="77777777" w:rsidR="00DB0460" w:rsidRPr="0097258B" w:rsidRDefault="00DB0460" w:rsidP="00E20250">
            <w:pPr>
              <w:spacing w:after="0" w:line="240" w:lineRule="auto"/>
              <w:ind w:left="-128" w:right="-142"/>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34</w:t>
            </w:r>
          </w:p>
        </w:tc>
        <w:tc>
          <w:tcPr>
            <w:tcW w:w="5103" w:type="dxa"/>
            <w:tcBorders>
              <w:left w:val="single" w:sz="4" w:space="0" w:color="auto"/>
            </w:tcBorders>
            <w:vAlign w:val="center"/>
          </w:tcPr>
          <w:p w14:paraId="63B680C7"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Effectuer des fouilles manuelles aux endroits d’intersections avec les autres réseaux</w:t>
            </w:r>
          </w:p>
          <w:p w14:paraId="6B774D06" w14:textId="271C9C13"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Apparition des plans de recollement des concessionnaires </w:t>
            </w:r>
          </w:p>
          <w:p w14:paraId="5AD2CD3F"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Présence des responsables des autres réseaux lors des fouilles</w:t>
            </w:r>
          </w:p>
          <w:p w14:paraId="6418E3A5"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Présence d’un agent HSE pour la supervision des travaux</w:t>
            </w:r>
          </w:p>
        </w:tc>
        <w:tc>
          <w:tcPr>
            <w:tcW w:w="425" w:type="dxa"/>
            <w:vAlign w:val="center"/>
          </w:tcPr>
          <w:p w14:paraId="29E21127"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1</w:t>
            </w:r>
          </w:p>
        </w:tc>
        <w:tc>
          <w:tcPr>
            <w:tcW w:w="356" w:type="dxa"/>
            <w:vAlign w:val="center"/>
          </w:tcPr>
          <w:p w14:paraId="60B8C155"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4</w:t>
            </w:r>
          </w:p>
        </w:tc>
        <w:tc>
          <w:tcPr>
            <w:tcW w:w="567" w:type="dxa"/>
            <w:shd w:val="clear" w:color="auto" w:fill="00B050"/>
            <w:vAlign w:val="center"/>
          </w:tcPr>
          <w:p w14:paraId="2ADDD49D"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14</w:t>
            </w:r>
          </w:p>
        </w:tc>
      </w:tr>
      <w:tr w:rsidR="00BD1A2F" w:rsidRPr="00260790" w14:paraId="695FE41F" w14:textId="77777777" w:rsidTr="00E3321E">
        <w:trPr>
          <w:gridAfter w:val="1"/>
          <w:wAfter w:w="16" w:type="dxa"/>
          <w:trHeight w:val="658"/>
        </w:trPr>
        <w:tc>
          <w:tcPr>
            <w:tcW w:w="1560" w:type="dxa"/>
            <w:vMerge/>
            <w:tcBorders>
              <w:right w:val="single" w:sz="4" w:space="0" w:color="auto"/>
            </w:tcBorders>
            <w:vAlign w:val="center"/>
          </w:tcPr>
          <w:p w14:paraId="749D1657"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1559" w:type="dxa"/>
            <w:tcBorders>
              <w:bottom w:val="single" w:sz="4" w:space="0" w:color="000000"/>
              <w:right w:val="single" w:sz="4" w:space="0" w:color="auto"/>
            </w:tcBorders>
            <w:vAlign w:val="center"/>
          </w:tcPr>
          <w:p w14:paraId="496F0735"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2268" w:type="dxa"/>
            <w:tcBorders>
              <w:left w:val="single" w:sz="4" w:space="0" w:color="auto"/>
            </w:tcBorders>
            <w:vAlign w:val="center"/>
          </w:tcPr>
          <w:p w14:paraId="437462FB" w14:textId="77777777" w:rsidR="00DB0460" w:rsidRPr="0097258B" w:rsidRDefault="00DB0460" w:rsidP="00E20250">
            <w:pPr>
              <w:autoSpaceDE w:val="0"/>
              <w:autoSpaceDN w:val="0"/>
              <w:adjustRightInd w:val="0"/>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Traversé de route des ouvrages</w:t>
            </w:r>
          </w:p>
        </w:tc>
        <w:tc>
          <w:tcPr>
            <w:tcW w:w="1701" w:type="dxa"/>
            <w:vAlign w:val="center"/>
          </w:tcPr>
          <w:p w14:paraId="63061225" w14:textId="77777777" w:rsidR="00DB0460" w:rsidRPr="0097258B" w:rsidRDefault="00DB0460"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Accident dû à la coactivité</w:t>
            </w:r>
          </w:p>
          <w:p w14:paraId="7AF302E9" w14:textId="77777777" w:rsidR="00DB0460" w:rsidRPr="0097258B" w:rsidRDefault="00DB0460"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Blessure</w:t>
            </w:r>
          </w:p>
          <w:p w14:paraId="57C38CF2" w14:textId="77777777" w:rsidR="00DB0460" w:rsidRPr="0097258B" w:rsidRDefault="00DB0460"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Perturbation du trafic</w:t>
            </w:r>
          </w:p>
        </w:tc>
        <w:tc>
          <w:tcPr>
            <w:tcW w:w="425" w:type="dxa"/>
            <w:vAlign w:val="center"/>
          </w:tcPr>
          <w:p w14:paraId="0402F3C3"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426" w:type="dxa"/>
            <w:vAlign w:val="center"/>
          </w:tcPr>
          <w:p w14:paraId="004E3D23"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425" w:type="dxa"/>
            <w:shd w:val="clear" w:color="auto" w:fill="FFFF00"/>
            <w:vAlign w:val="center"/>
          </w:tcPr>
          <w:p w14:paraId="548C0B28" w14:textId="77777777" w:rsidR="00DB0460" w:rsidRPr="0097258B" w:rsidRDefault="00DB0460" w:rsidP="00E20250">
            <w:pPr>
              <w:spacing w:after="0" w:line="240" w:lineRule="auto"/>
              <w:ind w:left="-128" w:right="-142"/>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22</w:t>
            </w:r>
          </w:p>
        </w:tc>
        <w:tc>
          <w:tcPr>
            <w:tcW w:w="5103" w:type="dxa"/>
            <w:tcBorders>
              <w:left w:val="single" w:sz="4" w:space="0" w:color="auto"/>
            </w:tcBorders>
            <w:vAlign w:val="center"/>
          </w:tcPr>
          <w:p w14:paraId="1B94D427"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Choisir le meilleur jour et moment (moins de trafic).</w:t>
            </w:r>
          </w:p>
          <w:p w14:paraId="379B9D22"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Respect du Code de la route. Disposer des panneaux de sensibilisation et de personnes pour aider à réguler la circulation.</w:t>
            </w:r>
          </w:p>
          <w:p w14:paraId="67E7E755"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Bien amarrer les tourets de câbles avec de bonnes sangles.</w:t>
            </w:r>
          </w:p>
          <w:p w14:paraId="46A29ABE"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S’assurer que personne n’est sous la charge.</w:t>
            </w:r>
          </w:p>
          <w:p w14:paraId="67175652"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lastRenderedPageBreak/>
              <w:t>Port des EPI</w:t>
            </w:r>
          </w:p>
          <w:p w14:paraId="055765D4"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Refermer aussitôt après les travaux et nettoyer</w:t>
            </w:r>
          </w:p>
          <w:p w14:paraId="04EA27EC"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Faire la signalisation des travaux pour minimiser les risques d’accident en cours de travaux ;</w:t>
            </w:r>
          </w:p>
          <w:p w14:paraId="260A3B2A"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Sensibiliser le personnel de chantier sur les mesures de sécurité à prendre ;</w:t>
            </w:r>
          </w:p>
          <w:p w14:paraId="718C7719"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Installer un dispositif de limitation des vitesses (panneaux, essentiellement</w:t>
            </w:r>
            <w:proofErr w:type="gramStart"/>
            <w:r w:rsidRPr="0097258B">
              <w:rPr>
                <w:rFonts w:ascii="Times New Roman" w:hAnsi="Times New Roman"/>
                <w:color w:val="000000" w:themeColor="text1"/>
                <w:sz w:val="20"/>
                <w:szCs w:val="20"/>
              </w:rPr>
              <w:t>);</w:t>
            </w:r>
            <w:proofErr w:type="gramEnd"/>
          </w:p>
          <w:p w14:paraId="34C1E6CE"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Éviter autant que possible de travailler aux heures de repos ou la nuit dans les zones du projet ;</w:t>
            </w:r>
          </w:p>
          <w:p w14:paraId="0DC035E5" w14:textId="353E0C8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Systématiser le port équipement protection individuel</w:t>
            </w:r>
            <w:r w:rsidR="00CD4CE0" w:rsidRPr="0097258B">
              <w:rPr>
                <w:rFonts w:ascii="Times New Roman" w:hAnsi="Times New Roman"/>
                <w:color w:val="000000" w:themeColor="text1"/>
                <w:sz w:val="20"/>
                <w:szCs w:val="20"/>
              </w:rPr>
              <w:t>le</w:t>
            </w:r>
            <w:r w:rsidRPr="0097258B">
              <w:rPr>
                <w:rFonts w:ascii="Times New Roman" w:hAnsi="Times New Roman"/>
                <w:color w:val="000000" w:themeColor="text1"/>
                <w:sz w:val="20"/>
                <w:szCs w:val="20"/>
              </w:rPr>
              <w:t xml:space="preserve"> (masque, gants, bottes, etc.) ;</w:t>
            </w:r>
          </w:p>
          <w:p w14:paraId="21E0497E"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Prévoir des ouvrages de franchissement des fouilles accessibles aux personnes handicapées</w:t>
            </w:r>
          </w:p>
        </w:tc>
        <w:tc>
          <w:tcPr>
            <w:tcW w:w="425" w:type="dxa"/>
            <w:vAlign w:val="center"/>
          </w:tcPr>
          <w:p w14:paraId="34701C33"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lastRenderedPageBreak/>
              <w:t>1</w:t>
            </w:r>
          </w:p>
        </w:tc>
        <w:tc>
          <w:tcPr>
            <w:tcW w:w="356" w:type="dxa"/>
            <w:vAlign w:val="center"/>
          </w:tcPr>
          <w:p w14:paraId="4BF6978F"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567" w:type="dxa"/>
            <w:shd w:val="clear" w:color="auto" w:fill="00B050"/>
            <w:vAlign w:val="center"/>
          </w:tcPr>
          <w:p w14:paraId="4E212A48"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p>
        </w:tc>
      </w:tr>
      <w:tr w:rsidR="00BD1A2F" w:rsidRPr="00260790" w14:paraId="1A55D7CD" w14:textId="77777777" w:rsidTr="00E3321E">
        <w:trPr>
          <w:gridAfter w:val="1"/>
          <w:wAfter w:w="16" w:type="dxa"/>
          <w:trHeight w:val="658"/>
        </w:trPr>
        <w:tc>
          <w:tcPr>
            <w:tcW w:w="1560" w:type="dxa"/>
            <w:vMerge/>
            <w:tcBorders>
              <w:right w:val="single" w:sz="4" w:space="0" w:color="auto"/>
            </w:tcBorders>
            <w:vAlign w:val="center"/>
          </w:tcPr>
          <w:p w14:paraId="1EBF5C8B"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1559" w:type="dxa"/>
            <w:vMerge w:val="restart"/>
            <w:tcBorders>
              <w:right w:val="single" w:sz="4" w:space="0" w:color="auto"/>
            </w:tcBorders>
            <w:vAlign w:val="center"/>
          </w:tcPr>
          <w:p w14:paraId="2E4E0DD3" w14:textId="77777777" w:rsidR="00DB0460" w:rsidRPr="0097258B" w:rsidRDefault="00DB0460" w:rsidP="00E20250">
            <w:pPr>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Acheminement du matériel sur le site par camions et grues</w:t>
            </w:r>
          </w:p>
        </w:tc>
        <w:tc>
          <w:tcPr>
            <w:tcW w:w="2268" w:type="dxa"/>
            <w:tcBorders>
              <w:left w:val="single" w:sz="4" w:space="0" w:color="auto"/>
            </w:tcBorders>
            <w:vAlign w:val="center"/>
          </w:tcPr>
          <w:p w14:paraId="03751C84" w14:textId="77777777" w:rsidR="00DB0460" w:rsidRPr="0097258B" w:rsidRDefault="00DB0460" w:rsidP="00E20250">
            <w:pPr>
              <w:autoSpaceDE w:val="0"/>
              <w:autoSpaceDN w:val="0"/>
              <w:adjustRightInd w:val="0"/>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Risque routier</w:t>
            </w:r>
          </w:p>
        </w:tc>
        <w:tc>
          <w:tcPr>
            <w:tcW w:w="1701" w:type="dxa"/>
            <w:vAlign w:val="center"/>
          </w:tcPr>
          <w:p w14:paraId="3ED3A4A8" w14:textId="77777777" w:rsidR="00DB0460" w:rsidRPr="0097258B" w:rsidRDefault="00DB0460"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Collision véhicule /piéton : blessures, décès</w:t>
            </w:r>
          </w:p>
        </w:tc>
        <w:tc>
          <w:tcPr>
            <w:tcW w:w="425" w:type="dxa"/>
            <w:vAlign w:val="center"/>
          </w:tcPr>
          <w:p w14:paraId="58609D6B"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4</w:t>
            </w:r>
          </w:p>
        </w:tc>
        <w:tc>
          <w:tcPr>
            <w:tcW w:w="426" w:type="dxa"/>
            <w:vAlign w:val="center"/>
          </w:tcPr>
          <w:p w14:paraId="0D83EA4A"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425" w:type="dxa"/>
            <w:shd w:val="clear" w:color="auto" w:fill="FFFF00"/>
            <w:vAlign w:val="center"/>
          </w:tcPr>
          <w:p w14:paraId="18BFD940"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42</w:t>
            </w:r>
          </w:p>
        </w:tc>
        <w:tc>
          <w:tcPr>
            <w:tcW w:w="5103" w:type="dxa"/>
            <w:tcBorders>
              <w:left w:val="single" w:sz="4" w:space="0" w:color="auto"/>
            </w:tcBorders>
            <w:vAlign w:val="center"/>
          </w:tcPr>
          <w:p w14:paraId="12FE20DA"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Former les conducteurs sur les règles de conduite</w:t>
            </w:r>
          </w:p>
          <w:p w14:paraId="3A3F124E"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Définir des ENTRÉES/SORTIES uniquement accessibles par le personnel du chantier</w:t>
            </w:r>
          </w:p>
        </w:tc>
        <w:tc>
          <w:tcPr>
            <w:tcW w:w="425" w:type="dxa"/>
            <w:vAlign w:val="center"/>
          </w:tcPr>
          <w:p w14:paraId="20ADFC46"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w:t>
            </w:r>
          </w:p>
        </w:tc>
        <w:tc>
          <w:tcPr>
            <w:tcW w:w="356" w:type="dxa"/>
            <w:vAlign w:val="center"/>
          </w:tcPr>
          <w:p w14:paraId="4DB3DD46"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1</w:t>
            </w:r>
          </w:p>
        </w:tc>
        <w:tc>
          <w:tcPr>
            <w:tcW w:w="567" w:type="dxa"/>
            <w:shd w:val="clear" w:color="auto" w:fill="FFFF00"/>
            <w:vAlign w:val="center"/>
          </w:tcPr>
          <w:p w14:paraId="083CAA17"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31</w:t>
            </w:r>
          </w:p>
        </w:tc>
      </w:tr>
      <w:tr w:rsidR="00BD1A2F" w:rsidRPr="00260790" w14:paraId="21336C4F" w14:textId="77777777" w:rsidTr="00E3321E">
        <w:trPr>
          <w:gridAfter w:val="1"/>
          <w:wAfter w:w="16" w:type="dxa"/>
          <w:trHeight w:val="658"/>
        </w:trPr>
        <w:tc>
          <w:tcPr>
            <w:tcW w:w="1560" w:type="dxa"/>
            <w:vMerge/>
            <w:tcBorders>
              <w:right w:val="single" w:sz="4" w:space="0" w:color="auto"/>
            </w:tcBorders>
            <w:vAlign w:val="center"/>
          </w:tcPr>
          <w:p w14:paraId="6A4483B9"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1559" w:type="dxa"/>
            <w:vMerge/>
            <w:tcBorders>
              <w:right w:val="single" w:sz="4" w:space="0" w:color="auto"/>
            </w:tcBorders>
            <w:vAlign w:val="center"/>
          </w:tcPr>
          <w:p w14:paraId="617E4F82"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2268" w:type="dxa"/>
            <w:tcBorders>
              <w:left w:val="single" w:sz="4" w:space="0" w:color="auto"/>
            </w:tcBorders>
            <w:vAlign w:val="center"/>
          </w:tcPr>
          <w:p w14:paraId="45BD1F5E" w14:textId="77777777" w:rsidR="00DB0460" w:rsidRPr="0097258B" w:rsidRDefault="00DB0460" w:rsidP="00E20250">
            <w:pPr>
              <w:autoSpaceDE w:val="0"/>
              <w:autoSpaceDN w:val="0"/>
              <w:adjustRightInd w:val="0"/>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Risques liés à l’utilisation d’engins de manutention</w:t>
            </w:r>
          </w:p>
        </w:tc>
        <w:tc>
          <w:tcPr>
            <w:tcW w:w="1701" w:type="dxa"/>
            <w:vAlign w:val="center"/>
          </w:tcPr>
          <w:p w14:paraId="03693DA2" w14:textId="77777777" w:rsidR="00DB0460" w:rsidRPr="0097258B" w:rsidRDefault="00DB0460"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Collision engin /piéton : blessures, décès</w:t>
            </w:r>
          </w:p>
        </w:tc>
        <w:tc>
          <w:tcPr>
            <w:tcW w:w="425" w:type="dxa"/>
            <w:vAlign w:val="center"/>
          </w:tcPr>
          <w:p w14:paraId="776E1337"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4</w:t>
            </w:r>
          </w:p>
        </w:tc>
        <w:tc>
          <w:tcPr>
            <w:tcW w:w="426" w:type="dxa"/>
            <w:vAlign w:val="center"/>
          </w:tcPr>
          <w:p w14:paraId="54E41AFE"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425" w:type="dxa"/>
            <w:shd w:val="clear" w:color="auto" w:fill="FFFF00"/>
            <w:vAlign w:val="center"/>
          </w:tcPr>
          <w:p w14:paraId="4DEC5F69"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42</w:t>
            </w:r>
          </w:p>
        </w:tc>
        <w:tc>
          <w:tcPr>
            <w:tcW w:w="5103" w:type="dxa"/>
            <w:tcBorders>
              <w:left w:val="single" w:sz="4" w:space="0" w:color="auto"/>
            </w:tcBorders>
            <w:vAlign w:val="center"/>
          </w:tcPr>
          <w:p w14:paraId="00151085"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Mettre en place un plan de circulation et une signalisation dans le chantier,</w:t>
            </w:r>
          </w:p>
          <w:p w14:paraId="43277BD5"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Maintenance des engins, Former les conducteurs d’engins sur les règles de conduite, Dégager les voies de circulation Assister le conducteur lors des</w:t>
            </w:r>
          </w:p>
          <w:p w14:paraId="5CC67917"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Déplacements Définir des ENTRÉES/SORTIES uniquement accessibles par le personnel du chantier</w:t>
            </w:r>
          </w:p>
        </w:tc>
        <w:tc>
          <w:tcPr>
            <w:tcW w:w="425" w:type="dxa"/>
            <w:vAlign w:val="center"/>
          </w:tcPr>
          <w:p w14:paraId="45203F3F"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w:t>
            </w:r>
          </w:p>
        </w:tc>
        <w:tc>
          <w:tcPr>
            <w:tcW w:w="356" w:type="dxa"/>
            <w:vAlign w:val="center"/>
          </w:tcPr>
          <w:p w14:paraId="01273034"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1</w:t>
            </w:r>
          </w:p>
        </w:tc>
        <w:tc>
          <w:tcPr>
            <w:tcW w:w="567" w:type="dxa"/>
            <w:shd w:val="clear" w:color="auto" w:fill="FFFF00"/>
            <w:vAlign w:val="center"/>
          </w:tcPr>
          <w:p w14:paraId="5770E5F9"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31</w:t>
            </w:r>
          </w:p>
        </w:tc>
      </w:tr>
      <w:tr w:rsidR="00BD1A2F" w:rsidRPr="00260790" w14:paraId="17E967AD" w14:textId="77777777" w:rsidTr="00E3321E">
        <w:trPr>
          <w:gridAfter w:val="1"/>
          <w:wAfter w:w="16" w:type="dxa"/>
          <w:trHeight w:val="658"/>
        </w:trPr>
        <w:tc>
          <w:tcPr>
            <w:tcW w:w="1560" w:type="dxa"/>
            <w:vMerge/>
            <w:tcBorders>
              <w:right w:val="single" w:sz="4" w:space="0" w:color="auto"/>
            </w:tcBorders>
            <w:vAlign w:val="center"/>
          </w:tcPr>
          <w:p w14:paraId="4CCED263"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1559" w:type="dxa"/>
            <w:vMerge/>
            <w:tcBorders>
              <w:bottom w:val="single" w:sz="4" w:space="0" w:color="auto"/>
              <w:right w:val="single" w:sz="4" w:space="0" w:color="auto"/>
            </w:tcBorders>
            <w:vAlign w:val="center"/>
          </w:tcPr>
          <w:p w14:paraId="356A08F1"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2268" w:type="dxa"/>
            <w:tcBorders>
              <w:left w:val="single" w:sz="4" w:space="0" w:color="auto"/>
              <w:bottom w:val="single" w:sz="4" w:space="0" w:color="auto"/>
            </w:tcBorders>
            <w:vAlign w:val="center"/>
          </w:tcPr>
          <w:p w14:paraId="3FE5CB62" w14:textId="77777777" w:rsidR="00DB0460" w:rsidRPr="0097258B" w:rsidRDefault="00DB0460" w:rsidP="00E20250">
            <w:pPr>
              <w:autoSpaceDE w:val="0"/>
              <w:autoSpaceDN w:val="0"/>
              <w:adjustRightInd w:val="0"/>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Risques liés aux chutes d’objet</w:t>
            </w:r>
          </w:p>
        </w:tc>
        <w:tc>
          <w:tcPr>
            <w:tcW w:w="1701" w:type="dxa"/>
            <w:tcBorders>
              <w:bottom w:val="single" w:sz="4" w:space="0" w:color="auto"/>
            </w:tcBorders>
            <w:vAlign w:val="center"/>
          </w:tcPr>
          <w:p w14:paraId="6DB85387" w14:textId="77777777" w:rsidR="00DB0460" w:rsidRPr="0097258B" w:rsidRDefault="00DB0460"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Blessures, Fractures,</w:t>
            </w:r>
          </w:p>
          <w:p w14:paraId="53695595" w14:textId="77777777" w:rsidR="00DB0460" w:rsidRPr="0097258B" w:rsidRDefault="00DB0460"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Décès</w:t>
            </w:r>
          </w:p>
        </w:tc>
        <w:tc>
          <w:tcPr>
            <w:tcW w:w="425" w:type="dxa"/>
            <w:tcBorders>
              <w:bottom w:val="single" w:sz="4" w:space="0" w:color="auto"/>
            </w:tcBorders>
            <w:vAlign w:val="center"/>
          </w:tcPr>
          <w:p w14:paraId="0B051291"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4</w:t>
            </w:r>
          </w:p>
        </w:tc>
        <w:tc>
          <w:tcPr>
            <w:tcW w:w="426" w:type="dxa"/>
            <w:tcBorders>
              <w:bottom w:val="single" w:sz="4" w:space="0" w:color="auto"/>
            </w:tcBorders>
            <w:vAlign w:val="center"/>
          </w:tcPr>
          <w:p w14:paraId="5CA60B8E"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425" w:type="dxa"/>
            <w:tcBorders>
              <w:bottom w:val="single" w:sz="4" w:space="0" w:color="auto"/>
            </w:tcBorders>
            <w:shd w:val="clear" w:color="auto" w:fill="FFFF00"/>
            <w:vAlign w:val="center"/>
          </w:tcPr>
          <w:p w14:paraId="69164058"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42</w:t>
            </w:r>
          </w:p>
        </w:tc>
        <w:tc>
          <w:tcPr>
            <w:tcW w:w="5103" w:type="dxa"/>
            <w:tcBorders>
              <w:left w:val="single" w:sz="4" w:space="0" w:color="auto"/>
              <w:bottom w:val="single" w:sz="4" w:space="0" w:color="auto"/>
            </w:tcBorders>
            <w:vAlign w:val="center"/>
          </w:tcPr>
          <w:p w14:paraId="15AF502E"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Port des EPI (casque, lunettes de protection, chaussures de sécurité) Contrôler les installations et engins susceptibles d’être source de chutes d’objets Limiter la hauteur des stockages Installer des protections pour retenir les chutes d’objets</w:t>
            </w:r>
          </w:p>
        </w:tc>
        <w:tc>
          <w:tcPr>
            <w:tcW w:w="425" w:type="dxa"/>
            <w:tcBorders>
              <w:bottom w:val="single" w:sz="4" w:space="0" w:color="auto"/>
            </w:tcBorders>
            <w:vAlign w:val="center"/>
          </w:tcPr>
          <w:p w14:paraId="01A3B0E2"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w:t>
            </w:r>
          </w:p>
        </w:tc>
        <w:tc>
          <w:tcPr>
            <w:tcW w:w="356" w:type="dxa"/>
            <w:tcBorders>
              <w:bottom w:val="single" w:sz="4" w:space="0" w:color="auto"/>
            </w:tcBorders>
            <w:vAlign w:val="center"/>
          </w:tcPr>
          <w:p w14:paraId="7FC57C1B"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1</w:t>
            </w:r>
          </w:p>
        </w:tc>
        <w:tc>
          <w:tcPr>
            <w:tcW w:w="567" w:type="dxa"/>
            <w:tcBorders>
              <w:bottom w:val="single" w:sz="4" w:space="0" w:color="auto"/>
            </w:tcBorders>
            <w:shd w:val="clear" w:color="auto" w:fill="FFFF00"/>
            <w:vAlign w:val="center"/>
          </w:tcPr>
          <w:p w14:paraId="563705E1" w14:textId="77777777" w:rsidR="00DB0460" w:rsidRPr="0097258B" w:rsidRDefault="00DB0460" w:rsidP="00E20250">
            <w:pPr>
              <w:autoSpaceDE w:val="0"/>
              <w:autoSpaceDN w:val="0"/>
              <w:adjustRightInd w:val="0"/>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31</w:t>
            </w:r>
          </w:p>
        </w:tc>
      </w:tr>
      <w:tr w:rsidR="00BD1A2F" w:rsidRPr="00260790" w14:paraId="034A3DDA" w14:textId="77777777" w:rsidTr="00E3321E">
        <w:trPr>
          <w:gridAfter w:val="1"/>
          <w:wAfter w:w="16" w:type="dxa"/>
          <w:trHeight w:val="570"/>
        </w:trPr>
        <w:tc>
          <w:tcPr>
            <w:tcW w:w="1560" w:type="dxa"/>
            <w:vMerge/>
            <w:tcBorders>
              <w:top w:val="single" w:sz="4" w:space="0" w:color="auto"/>
              <w:right w:val="single" w:sz="4" w:space="0" w:color="auto"/>
            </w:tcBorders>
            <w:vAlign w:val="center"/>
          </w:tcPr>
          <w:p w14:paraId="703B10A4"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1559" w:type="dxa"/>
            <w:vMerge w:val="restart"/>
            <w:tcBorders>
              <w:top w:val="single" w:sz="4" w:space="0" w:color="auto"/>
              <w:left w:val="single" w:sz="4" w:space="0" w:color="auto"/>
            </w:tcBorders>
            <w:vAlign w:val="center"/>
          </w:tcPr>
          <w:p w14:paraId="24FA57A5" w14:textId="77777777" w:rsidR="00DB0460" w:rsidRPr="0097258B" w:rsidRDefault="00DB0460" w:rsidP="00E20250">
            <w:pPr>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Maçonnerie</w:t>
            </w:r>
          </w:p>
        </w:tc>
        <w:tc>
          <w:tcPr>
            <w:tcW w:w="2268" w:type="dxa"/>
            <w:tcBorders>
              <w:top w:val="single" w:sz="4" w:space="0" w:color="auto"/>
            </w:tcBorders>
            <w:vAlign w:val="center"/>
          </w:tcPr>
          <w:p w14:paraId="3301165B" w14:textId="77777777" w:rsidR="00DB0460" w:rsidRPr="0097258B" w:rsidRDefault="00DB0460" w:rsidP="00E20250">
            <w:pPr>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Contact avec le ciment et inhalation de poussière</w:t>
            </w:r>
          </w:p>
        </w:tc>
        <w:tc>
          <w:tcPr>
            <w:tcW w:w="1701" w:type="dxa"/>
            <w:tcBorders>
              <w:top w:val="single" w:sz="4" w:space="0" w:color="auto"/>
            </w:tcBorders>
            <w:vAlign w:val="center"/>
          </w:tcPr>
          <w:p w14:paraId="4BC36A7D" w14:textId="77777777" w:rsidR="00DB0460" w:rsidRPr="0097258B" w:rsidRDefault="00DB0460"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Irritation des yeux, des voies respiratoires et de la peau</w:t>
            </w:r>
          </w:p>
        </w:tc>
        <w:tc>
          <w:tcPr>
            <w:tcW w:w="425" w:type="dxa"/>
            <w:tcBorders>
              <w:top w:val="single" w:sz="4" w:space="0" w:color="auto"/>
            </w:tcBorders>
            <w:vAlign w:val="center"/>
          </w:tcPr>
          <w:p w14:paraId="22D9178D"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w:t>
            </w:r>
          </w:p>
        </w:tc>
        <w:tc>
          <w:tcPr>
            <w:tcW w:w="426" w:type="dxa"/>
            <w:tcBorders>
              <w:top w:val="single" w:sz="4" w:space="0" w:color="auto"/>
            </w:tcBorders>
            <w:vAlign w:val="center"/>
          </w:tcPr>
          <w:p w14:paraId="7D694367"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1</w:t>
            </w:r>
          </w:p>
        </w:tc>
        <w:tc>
          <w:tcPr>
            <w:tcW w:w="425" w:type="dxa"/>
            <w:tcBorders>
              <w:top w:val="single" w:sz="4" w:space="0" w:color="auto"/>
            </w:tcBorders>
            <w:shd w:val="clear" w:color="auto" w:fill="00B050"/>
            <w:vAlign w:val="center"/>
          </w:tcPr>
          <w:p w14:paraId="4A4BB5B0"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31</w:t>
            </w:r>
          </w:p>
        </w:tc>
        <w:tc>
          <w:tcPr>
            <w:tcW w:w="5103" w:type="dxa"/>
            <w:vMerge w:val="restart"/>
            <w:tcBorders>
              <w:top w:val="single" w:sz="4" w:space="0" w:color="auto"/>
            </w:tcBorders>
            <w:vAlign w:val="center"/>
          </w:tcPr>
          <w:p w14:paraId="5585F0BC"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Choisir une équipe de maçons expérimentés ;</w:t>
            </w:r>
          </w:p>
          <w:p w14:paraId="0E71474C"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Exiger le port d’une combinaison de protection, un casque de sécurité, un masque anti-poussière, des gants en cuir et des bottes ;</w:t>
            </w:r>
          </w:p>
        </w:tc>
        <w:tc>
          <w:tcPr>
            <w:tcW w:w="425" w:type="dxa"/>
            <w:tcBorders>
              <w:top w:val="single" w:sz="4" w:space="0" w:color="auto"/>
            </w:tcBorders>
            <w:vAlign w:val="center"/>
          </w:tcPr>
          <w:p w14:paraId="2AC8F0C6"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356" w:type="dxa"/>
            <w:tcBorders>
              <w:top w:val="single" w:sz="4" w:space="0" w:color="auto"/>
            </w:tcBorders>
            <w:vAlign w:val="center"/>
          </w:tcPr>
          <w:p w14:paraId="79C99E50"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1</w:t>
            </w:r>
          </w:p>
        </w:tc>
        <w:tc>
          <w:tcPr>
            <w:tcW w:w="567" w:type="dxa"/>
            <w:tcBorders>
              <w:top w:val="single" w:sz="4" w:space="0" w:color="auto"/>
            </w:tcBorders>
            <w:shd w:val="clear" w:color="auto" w:fill="00B050"/>
            <w:vAlign w:val="center"/>
          </w:tcPr>
          <w:p w14:paraId="46CB60B8"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21</w:t>
            </w:r>
          </w:p>
        </w:tc>
      </w:tr>
      <w:tr w:rsidR="00BD1A2F" w:rsidRPr="00260790" w14:paraId="5204C171" w14:textId="77777777" w:rsidTr="00E3321E">
        <w:trPr>
          <w:gridAfter w:val="1"/>
          <w:wAfter w:w="16" w:type="dxa"/>
          <w:trHeight w:val="340"/>
        </w:trPr>
        <w:tc>
          <w:tcPr>
            <w:tcW w:w="1560" w:type="dxa"/>
            <w:vMerge/>
            <w:tcBorders>
              <w:right w:val="single" w:sz="4" w:space="0" w:color="auto"/>
            </w:tcBorders>
            <w:vAlign w:val="center"/>
          </w:tcPr>
          <w:p w14:paraId="523380DA"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1559" w:type="dxa"/>
            <w:vMerge/>
            <w:tcBorders>
              <w:top w:val="single" w:sz="4" w:space="0" w:color="auto"/>
              <w:left w:val="single" w:sz="4" w:space="0" w:color="auto"/>
            </w:tcBorders>
            <w:vAlign w:val="center"/>
          </w:tcPr>
          <w:p w14:paraId="1CE30EEE"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2268" w:type="dxa"/>
            <w:vAlign w:val="center"/>
          </w:tcPr>
          <w:p w14:paraId="4DC081DF" w14:textId="77777777" w:rsidR="00DB0460" w:rsidRPr="0097258B" w:rsidRDefault="00DB0460" w:rsidP="00E20250">
            <w:pPr>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Manipulation de la ferraille et d’autres outils de maçonnerie</w:t>
            </w:r>
          </w:p>
        </w:tc>
        <w:tc>
          <w:tcPr>
            <w:tcW w:w="1701" w:type="dxa"/>
            <w:vAlign w:val="center"/>
          </w:tcPr>
          <w:p w14:paraId="6D4337CD" w14:textId="77777777" w:rsidR="00DB0460" w:rsidRPr="0097258B" w:rsidRDefault="00DB0460"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Blessure</w:t>
            </w:r>
          </w:p>
        </w:tc>
        <w:tc>
          <w:tcPr>
            <w:tcW w:w="425" w:type="dxa"/>
            <w:vAlign w:val="center"/>
          </w:tcPr>
          <w:p w14:paraId="46C0B3F9"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w:t>
            </w:r>
          </w:p>
        </w:tc>
        <w:tc>
          <w:tcPr>
            <w:tcW w:w="426" w:type="dxa"/>
            <w:vAlign w:val="center"/>
          </w:tcPr>
          <w:p w14:paraId="69C54513"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425" w:type="dxa"/>
            <w:shd w:val="clear" w:color="auto" w:fill="FFFF00"/>
            <w:vAlign w:val="center"/>
          </w:tcPr>
          <w:p w14:paraId="4FF7E023"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32</w:t>
            </w:r>
          </w:p>
        </w:tc>
        <w:tc>
          <w:tcPr>
            <w:tcW w:w="5103" w:type="dxa"/>
            <w:vMerge/>
            <w:tcBorders>
              <w:top w:val="single" w:sz="4" w:space="0" w:color="auto"/>
            </w:tcBorders>
            <w:vAlign w:val="center"/>
          </w:tcPr>
          <w:p w14:paraId="735E90AE"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p>
        </w:tc>
        <w:tc>
          <w:tcPr>
            <w:tcW w:w="425" w:type="dxa"/>
            <w:vAlign w:val="center"/>
          </w:tcPr>
          <w:p w14:paraId="0DE1479E"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356" w:type="dxa"/>
            <w:vAlign w:val="center"/>
          </w:tcPr>
          <w:p w14:paraId="16853B2A"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1</w:t>
            </w:r>
          </w:p>
        </w:tc>
        <w:tc>
          <w:tcPr>
            <w:tcW w:w="567" w:type="dxa"/>
            <w:shd w:val="clear" w:color="auto" w:fill="00B050"/>
            <w:vAlign w:val="center"/>
          </w:tcPr>
          <w:p w14:paraId="103B67AB"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21</w:t>
            </w:r>
          </w:p>
        </w:tc>
      </w:tr>
      <w:tr w:rsidR="00BD1A2F" w:rsidRPr="00260790" w14:paraId="12FE08EB" w14:textId="77777777" w:rsidTr="00E3321E">
        <w:trPr>
          <w:gridAfter w:val="1"/>
          <w:wAfter w:w="16" w:type="dxa"/>
          <w:trHeight w:val="340"/>
        </w:trPr>
        <w:tc>
          <w:tcPr>
            <w:tcW w:w="1560" w:type="dxa"/>
            <w:vMerge/>
            <w:tcBorders>
              <w:right w:val="single" w:sz="4" w:space="0" w:color="auto"/>
            </w:tcBorders>
            <w:vAlign w:val="center"/>
          </w:tcPr>
          <w:p w14:paraId="1B7E0058"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1559" w:type="dxa"/>
            <w:vMerge w:val="restart"/>
            <w:tcBorders>
              <w:left w:val="single" w:sz="4" w:space="0" w:color="auto"/>
            </w:tcBorders>
            <w:vAlign w:val="center"/>
          </w:tcPr>
          <w:p w14:paraId="4BDFDFD9" w14:textId="77777777" w:rsidR="00DB0460" w:rsidRPr="0097258B" w:rsidRDefault="00DB0460" w:rsidP="00E20250">
            <w:pPr>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Pose des canalisations</w:t>
            </w:r>
          </w:p>
        </w:tc>
        <w:tc>
          <w:tcPr>
            <w:tcW w:w="2268" w:type="dxa"/>
            <w:vAlign w:val="center"/>
          </w:tcPr>
          <w:p w14:paraId="669B644B" w14:textId="77777777" w:rsidR="00DB0460" w:rsidRPr="0097258B" w:rsidRDefault="00DB0460" w:rsidP="00E20250">
            <w:pPr>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Chute de charge</w:t>
            </w:r>
          </w:p>
        </w:tc>
        <w:tc>
          <w:tcPr>
            <w:tcW w:w="1701" w:type="dxa"/>
            <w:vAlign w:val="center"/>
          </w:tcPr>
          <w:p w14:paraId="726370A1" w14:textId="77777777" w:rsidR="00DB0460" w:rsidRPr="0097258B" w:rsidRDefault="00DB0460"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Blessures, Fractures,</w:t>
            </w:r>
          </w:p>
          <w:p w14:paraId="6BE4B317" w14:textId="77777777" w:rsidR="00DB0460" w:rsidRPr="0097258B" w:rsidRDefault="00DB0460"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Décès</w:t>
            </w:r>
          </w:p>
        </w:tc>
        <w:tc>
          <w:tcPr>
            <w:tcW w:w="425" w:type="dxa"/>
            <w:vAlign w:val="center"/>
          </w:tcPr>
          <w:p w14:paraId="3FB77B0F"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w:t>
            </w:r>
          </w:p>
        </w:tc>
        <w:tc>
          <w:tcPr>
            <w:tcW w:w="426" w:type="dxa"/>
            <w:vAlign w:val="center"/>
          </w:tcPr>
          <w:p w14:paraId="7CF8B21B"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4</w:t>
            </w:r>
          </w:p>
        </w:tc>
        <w:tc>
          <w:tcPr>
            <w:tcW w:w="425" w:type="dxa"/>
            <w:shd w:val="clear" w:color="auto" w:fill="C00000"/>
            <w:vAlign w:val="center"/>
          </w:tcPr>
          <w:p w14:paraId="6BD5B6D5"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34</w:t>
            </w:r>
          </w:p>
        </w:tc>
        <w:tc>
          <w:tcPr>
            <w:tcW w:w="5103" w:type="dxa"/>
            <w:vMerge w:val="restart"/>
            <w:vAlign w:val="center"/>
          </w:tcPr>
          <w:p w14:paraId="00D4017E"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Établir un périmètre de sécurité lors des travaux de manutention des charges</w:t>
            </w:r>
          </w:p>
          <w:p w14:paraId="6049F8D7"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Vérification des engins de levage</w:t>
            </w:r>
          </w:p>
          <w:p w14:paraId="10DC478C"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Formation-information du personnel</w:t>
            </w:r>
          </w:p>
        </w:tc>
        <w:tc>
          <w:tcPr>
            <w:tcW w:w="425" w:type="dxa"/>
            <w:vAlign w:val="center"/>
          </w:tcPr>
          <w:p w14:paraId="6DB172F7"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1</w:t>
            </w:r>
          </w:p>
        </w:tc>
        <w:tc>
          <w:tcPr>
            <w:tcW w:w="356" w:type="dxa"/>
            <w:vAlign w:val="center"/>
          </w:tcPr>
          <w:p w14:paraId="4B9454E8"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567" w:type="dxa"/>
            <w:shd w:val="clear" w:color="auto" w:fill="00B050"/>
            <w:vAlign w:val="center"/>
          </w:tcPr>
          <w:p w14:paraId="148A26C5"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12</w:t>
            </w:r>
          </w:p>
        </w:tc>
      </w:tr>
      <w:tr w:rsidR="00BD1A2F" w:rsidRPr="00260790" w14:paraId="00D4E28C" w14:textId="77777777" w:rsidTr="00E3321E">
        <w:trPr>
          <w:gridAfter w:val="1"/>
          <w:wAfter w:w="16" w:type="dxa"/>
          <w:trHeight w:val="506"/>
        </w:trPr>
        <w:tc>
          <w:tcPr>
            <w:tcW w:w="1560" w:type="dxa"/>
            <w:vMerge/>
            <w:tcBorders>
              <w:right w:val="single" w:sz="4" w:space="0" w:color="auto"/>
            </w:tcBorders>
            <w:vAlign w:val="center"/>
          </w:tcPr>
          <w:p w14:paraId="36A8DF70"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1559" w:type="dxa"/>
            <w:vMerge/>
            <w:tcBorders>
              <w:left w:val="single" w:sz="4" w:space="0" w:color="auto"/>
            </w:tcBorders>
            <w:vAlign w:val="center"/>
          </w:tcPr>
          <w:p w14:paraId="07908AC8"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2268" w:type="dxa"/>
            <w:vAlign w:val="center"/>
          </w:tcPr>
          <w:p w14:paraId="4F28CBE2" w14:textId="77777777" w:rsidR="00DB0460" w:rsidRPr="0097258B" w:rsidRDefault="00DB0460" w:rsidP="00E20250">
            <w:pPr>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Coincement</w:t>
            </w:r>
          </w:p>
        </w:tc>
        <w:tc>
          <w:tcPr>
            <w:tcW w:w="1701" w:type="dxa"/>
            <w:vAlign w:val="center"/>
          </w:tcPr>
          <w:p w14:paraId="6B2283E7" w14:textId="77777777" w:rsidR="00DB0460" w:rsidRPr="0097258B" w:rsidRDefault="00DB0460"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Blessures, Fractures,</w:t>
            </w:r>
          </w:p>
          <w:p w14:paraId="262B16DA" w14:textId="77777777" w:rsidR="00DB0460" w:rsidRPr="0097258B" w:rsidRDefault="00DB0460"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Décès</w:t>
            </w:r>
          </w:p>
        </w:tc>
        <w:tc>
          <w:tcPr>
            <w:tcW w:w="425" w:type="dxa"/>
            <w:vAlign w:val="center"/>
          </w:tcPr>
          <w:p w14:paraId="5E186C41"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w:t>
            </w:r>
          </w:p>
        </w:tc>
        <w:tc>
          <w:tcPr>
            <w:tcW w:w="426" w:type="dxa"/>
            <w:vAlign w:val="center"/>
          </w:tcPr>
          <w:p w14:paraId="69FDE941"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425" w:type="dxa"/>
            <w:shd w:val="clear" w:color="auto" w:fill="FFFF00"/>
            <w:vAlign w:val="center"/>
          </w:tcPr>
          <w:p w14:paraId="4CEA552E"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32</w:t>
            </w:r>
          </w:p>
        </w:tc>
        <w:tc>
          <w:tcPr>
            <w:tcW w:w="5103" w:type="dxa"/>
            <w:vMerge/>
            <w:vAlign w:val="center"/>
          </w:tcPr>
          <w:p w14:paraId="54D29522"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425" w:type="dxa"/>
            <w:vAlign w:val="center"/>
          </w:tcPr>
          <w:p w14:paraId="2DB027DF"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356" w:type="dxa"/>
            <w:vAlign w:val="center"/>
          </w:tcPr>
          <w:p w14:paraId="59F66CC7"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1</w:t>
            </w:r>
          </w:p>
        </w:tc>
        <w:tc>
          <w:tcPr>
            <w:tcW w:w="567" w:type="dxa"/>
            <w:shd w:val="clear" w:color="auto" w:fill="00B050"/>
            <w:vAlign w:val="center"/>
          </w:tcPr>
          <w:p w14:paraId="5DB7F52B"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21</w:t>
            </w:r>
          </w:p>
          <w:p w14:paraId="75455B85" w14:textId="77777777" w:rsidR="00DB0460" w:rsidRPr="0097258B" w:rsidRDefault="00DB0460" w:rsidP="00E20250">
            <w:pPr>
              <w:spacing w:after="0" w:line="240" w:lineRule="auto"/>
              <w:jc w:val="center"/>
              <w:rPr>
                <w:rFonts w:ascii="Times New Roman" w:hAnsi="Times New Roman"/>
                <w:b/>
                <w:color w:val="000000" w:themeColor="text1"/>
                <w:sz w:val="20"/>
                <w:szCs w:val="20"/>
              </w:rPr>
            </w:pPr>
          </w:p>
        </w:tc>
      </w:tr>
      <w:tr w:rsidR="00BD1A2F" w:rsidRPr="00260790" w14:paraId="4E7E52FF" w14:textId="77777777" w:rsidTr="00E3321E">
        <w:trPr>
          <w:gridAfter w:val="1"/>
          <w:wAfter w:w="16" w:type="dxa"/>
          <w:trHeight w:val="340"/>
        </w:trPr>
        <w:tc>
          <w:tcPr>
            <w:tcW w:w="1560" w:type="dxa"/>
            <w:vMerge/>
            <w:tcBorders>
              <w:right w:val="single" w:sz="4" w:space="0" w:color="auto"/>
            </w:tcBorders>
            <w:vAlign w:val="center"/>
          </w:tcPr>
          <w:p w14:paraId="0203D7A0"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1559" w:type="dxa"/>
            <w:tcBorders>
              <w:left w:val="single" w:sz="4" w:space="0" w:color="auto"/>
            </w:tcBorders>
            <w:vAlign w:val="center"/>
          </w:tcPr>
          <w:p w14:paraId="6873C288" w14:textId="77777777" w:rsidR="00DB0460" w:rsidRPr="0097258B" w:rsidRDefault="00DB0460" w:rsidP="00E20250">
            <w:pPr>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Installation électrique</w:t>
            </w:r>
          </w:p>
        </w:tc>
        <w:tc>
          <w:tcPr>
            <w:tcW w:w="2268" w:type="dxa"/>
            <w:vAlign w:val="center"/>
          </w:tcPr>
          <w:p w14:paraId="3BFAC398" w14:textId="77777777" w:rsidR="00DB0460" w:rsidRPr="0097258B" w:rsidRDefault="00DB0460" w:rsidP="00E20250">
            <w:pPr>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Exposition au courant électrique</w:t>
            </w:r>
          </w:p>
        </w:tc>
        <w:tc>
          <w:tcPr>
            <w:tcW w:w="1701" w:type="dxa"/>
            <w:vAlign w:val="center"/>
          </w:tcPr>
          <w:p w14:paraId="1E2E63D4" w14:textId="77777777" w:rsidR="00DB0460" w:rsidRPr="0097258B" w:rsidRDefault="00DB0460"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Électrisation/</w:t>
            </w:r>
          </w:p>
          <w:p w14:paraId="74B88C09" w14:textId="77777777" w:rsidR="00DB0460" w:rsidRPr="0097258B" w:rsidRDefault="00DB0460"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Électrocution</w:t>
            </w:r>
          </w:p>
        </w:tc>
        <w:tc>
          <w:tcPr>
            <w:tcW w:w="425" w:type="dxa"/>
            <w:vAlign w:val="center"/>
          </w:tcPr>
          <w:p w14:paraId="66E1352C"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w:t>
            </w:r>
          </w:p>
        </w:tc>
        <w:tc>
          <w:tcPr>
            <w:tcW w:w="426" w:type="dxa"/>
            <w:vAlign w:val="center"/>
          </w:tcPr>
          <w:p w14:paraId="68C1B538"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4</w:t>
            </w:r>
          </w:p>
        </w:tc>
        <w:tc>
          <w:tcPr>
            <w:tcW w:w="425" w:type="dxa"/>
            <w:shd w:val="clear" w:color="auto" w:fill="C00000"/>
            <w:vAlign w:val="center"/>
          </w:tcPr>
          <w:p w14:paraId="6A52162F"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34</w:t>
            </w:r>
          </w:p>
        </w:tc>
        <w:tc>
          <w:tcPr>
            <w:tcW w:w="5103" w:type="dxa"/>
            <w:vAlign w:val="center"/>
          </w:tcPr>
          <w:p w14:paraId="6A29F80A"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Choisir un électricien expérimenté avec habilitation</w:t>
            </w:r>
          </w:p>
          <w:p w14:paraId="671D9835"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Port de gants isolants</w:t>
            </w:r>
          </w:p>
        </w:tc>
        <w:tc>
          <w:tcPr>
            <w:tcW w:w="425" w:type="dxa"/>
            <w:vAlign w:val="center"/>
          </w:tcPr>
          <w:p w14:paraId="75651DC4"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1</w:t>
            </w:r>
          </w:p>
        </w:tc>
        <w:tc>
          <w:tcPr>
            <w:tcW w:w="356" w:type="dxa"/>
            <w:vAlign w:val="center"/>
          </w:tcPr>
          <w:p w14:paraId="4333D35A"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567" w:type="dxa"/>
            <w:shd w:val="clear" w:color="auto" w:fill="00B050"/>
            <w:vAlign w:val="center"/>
          </w:tcPr>
          <w:p w14:paraId="363FF3F2"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12</w:t>
            </w:r>
          </w:p>
        </w:tc>
      </w:tr>
      <w:tr w:rsidR="00BD1A2F" w:rsidRPr="00260790" w14:paraId="7A42A516" w14:textId="77777777" w:rsidTr="00E3321E">
        <w:trPr>
          <w:gridAfter w:val="1"/>
          <w:wAfter w:w="16" w:type="dxa"/>
          <w:trHeight w:val="340"/>
        </w:trPr>
        <w:tc>
          <w:tcPr>
            <w:tcW w:w="1560" w:type="dxa"/>
            <w:vMerge w:val="restart"/>
            <w:tcBorders>
              <w:right w:val="single" w:sz="4" w:space="0" w:color="auto"/>
            </w:tcBorders>
            <w:vAlign w:val="center"/>
          </w:tcPr>
          <w:p w14:paraId="5F42D06F" w14:textId="77777777" w:rsidR="00DB0460" w:rsidRPr="0097258B" w:rsidRDefault="00DB0460" w:rsidP="00E20250">
            <w:pPr>
              <w:spacing w:after="0" w:line="240" w:lineRule="auto"/>
              <w:rPr>
                <w:rFonts w:ascii="Times New Roman" w:hAnsi="Times New Roman"/>
                <w:b/>
                <w:bCs/>
                <w:color w:val="000000" w:themeColor="text1"/>
                <w:sz w:val="20"/>
                <w:szCs w:val="20"/>
              </w:rPr>
            </w:pPr>
            <w:r w:rsidRPr="0097258B">
              <w:rPr>
                <w:rFonts w:ascii="Times New Roman" w:hAnsi="Times New Roman"/>
                <w:b/>
                <w:bCs/>
                <w:color w:val="000000" w:themeColor="text1"/>
                <w:sz w:val="20"/>
                <w:szCs w:val="20"/>
              </w:rPr>
              <w:t>Entretien des équipements durant la phase d’exploitation</w:t>
            </w:r>
          </w:p>
          <w:p w14:paraId="21431D53"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1559" w:type="dxa"/>
            <w:vMerge w:val="restart"/>
            <w:tcBorders>
              <w:left w:val="single" w:sz="4" w:space="0" w:color="auto"/>
            </w:tcBorders>
            <w:vAlign w:val="center"/>
          </w:tcPr>
          <w:p w14:paraId="26C8BB51" w14:textId="77777777" w:rsidR="00DB0460" w:rsidRPr="0097258B" w:rsidRDefault="00DB0460" w:rsidP="00E20250">
            <w:pPr>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Opération de maintenance</w:t>
            </w:r>
          </w:p>
        </w:tc>
        <w:tc>
          <w:tcPr>
            <w:tcW w:w="2268" w:type="dxa"/>
            <w:vAlign w:val="center"/>
          </w:tcPr>
          <w:p w14:paraId="7DC6D4CF" w14:textId="77777777" w:rsidR="00DB0460" w:rsidRPr="0097258B" w:rsidRDefault="00DB0460" w:rsidP="00E20250">
            <w:pPr>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Manipulation d’éléments sous tension</w:t>
            </w:r>
          </w:p>
        </w:tc>
        <w:tc>
          <w:tcPr>
            <w:tcW w:w="1701" w:type="dxa"/>
            <w:vAlign w:val="center"/>
          </w:tcPr>
          <w:p w14:paraId="4FDF06DA" w14:textId="77777777" w:rsidR="00DB0460" w:rsidRPr="0097258B" w:rsidRDefault="00DB0460"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Électrisation/</w:t>
            </w:r>
          </w:p>
          <w:p w14:paraId="3A16CA90" w14:textId="77777777" w:rsidR="00DB0460" w:rsidRPr="0097258B" w:rsidRDefault="00DB0460"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Électrocution</w:t>
            </w:r>
          </w:p>
        </w:tc>
        <w:tc>
          <w:tcPr>
            <w:tcW w:w="425" w:type="dxa"/>
            <w:vAlign w:val="center"/>
          </w:tcPr>
          <w:p w14:paraId="1765C956"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w:t>
            </w:r>
          </w:p>
        </w:tc>
        <w:tc>
          <w:tcPr>
            <w:tcW w:w="426" w:type="dxa"/>
            <w:vAlign w:val="center"/>
          </w:tcPr>
          <w:p w14:paraId="36E9A59C"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4</w:t>
            </w:r>
          </w:p>
        </w:tc>
        <w:tc>
          <w:tcPr>
            <w:tcW w:w="425" w:type="dxa"/>
            <w:shd w:val="clear" w:color="auto" w:fill="C00000"/>
            <w:vAlign w:val="center"/>
          </w:tcPr>
          <w:p w14:paraId="3C832272"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34</w:t>
            </w:r>
          </w:p>
        </w:tc>
        <w:tc>
          <w:tcPr>
            <w:tcW w:w="5103" w:type="dxa"/>
            <w:vAlign w:val="center"/>
          </w:tcPr>
          <w:p w14:paraId="0DCD41EA"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Choisir un électricien habilité et expérimenté</w:t>
            </w:r>
          </w:p>
          <w:p w14:paraId="166660F6"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Port de gants isolants</w:t>
            </w:r>
          </w:p>
        </w:tc>
        <w:tc>
          <w:tcPr>
            <w:tcW w:w="425" w:type="dxa"/>
            <w:vAlign w:val="center"/>
          </w:tcPr>
          <w:p w14:paraId="70A2849F"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1</w:t>
            </w:r>
          </w:p>
        </w:tc>
        <w:tc>
          <w:tcPr>
            <w:tcW w:w="356" w:type="dxa"/>
            <w:vAlign w:val="center"/>
          </w:tcPr>
          <w:p w14:paraId="25C6BE00"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567" w:type="dxa"/>
            <w:shd w:val="clear" w:color="auto" w:fill="00B050"/>
            <w:vAlign w:val="center"/>
          </w:tcPr>
          <w:p w14:paraId="5473D1C0"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12</w:t>
            </w:r>
          </w:p>
        </w:tc>
      </w:tr>
      <w:tr w:rsidR="00BD1A2F" w:rsidRPr="00260790" w14:paraId="4DB6D124" w14:textId="77777777" w:rsidTr="00E3321E">
        <w:trPr>
          <w:gridAfter w:val="1"/>
          <w:wAfter w:w="16" w:type="dxa"/>
          <w:trHeight w:val="340"/>
        </w:trPr>
        <w:tc>
          <w:tcPr>
            <w:tcW w:w="1560" w:type="dxa"/>
            <w:vMerge/>
            <w:tcBorders>
              <w:right w:val="single" w:sz="4" w:space="0" w:color="auto"/>
            </w:tcBorders>
            <w:vAlign w:val="center"/>
          </w:tcPr>
          <w:p w14:paraId="69C4443C"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1559" w:type="dxa"/>
            <w:vMerge/>
            <w:tcBorders>
              <w:left w:val="single" w:sz="4" w:space="0" w:color="auto"/>
            </w:tcBorders>
            <w:vAlign w:val="center"/>
          </w:tcPr>
          <w:p w14:paraId="297AACC2"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2268" w:type="dxa"/>
            <w:vAlign w:val="center"/>
          </w:tcPr>
          <w:p w14:paraId="624244B9" w14:textId="77777777" w:rsidR="00DB0460" w:rsidRPr="0097258B" w:rsidRDefault="00DB0460" w:rsidP="00E20250">
            <w:pPr>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Intervention sur les groupes électrogènes et pompes</w:t>
            </w:r>
          </w:p>
        </w:tc>
        <w:tc>
          <w:tcPr>
            <w:tcW w:w="1701" w:type="dxa"/>
            <w:vAlign w:val="center"/>
          </w:tcPr>
          <w:p w14:paraId="23535A88" w14:textId="77777777" w:rsidR="00DB0460" w:rsidRPr="0097258B" w:rsidRDefault="00DB0460"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Blessure par projection de fragments</w:t>
            </w:r>
          </w:p>
        </w:tc>
        <w:tc>
          <w:tcPr>
            <w:tcW w:w="425" w:type="dxa"/>
            <w:vAlign w:val="center"/>
          </w:tcPr>
          <w:p w14:paraId="4FC4C768"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426" w:type="dxa"/>
            <w:vAlign w:val="center"/>
          </w:tcPr>
          <w:p w14:paraId="4B22BCDE"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w:t>
            </w:r>
          </w:p>
        </w:tc>
        <w:tc>
          <w:tcPr>
            <w:tcW w:w="425" w:type="dxa"/>
            <w:shd w:val="clear" w:color="auto" w:fill="FFFF00"/>
            <w:vAlign w:val="center"/>
          </w:tcPr>
          <w:p w14:paraId="0EB4738F"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23</w:t>
            </w:r>
          </w:p>
        </w:tc>
        <w:tc>
          <w:tcPr>
            <w:tcW w:w="5103" w:type="dxa"/>
            <w:vAlign w:val="center"/>
          </w:tcPr>
          <w:p w14:paraId="3BC1DF6F"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Arrêter les machines pendant la maintenance</w:t>
            </w:r>
          </w:p>
          <w:p w14:paraId="17A57ECB"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Port d’EPI (gants, casque et chaussures de sécurité)</w:t>
            </w:r>
          </w:p>
        </w:tc>
        <w:tc>
          <w:tcPr>
            <w:tcW w:w="425" w:type="dxa"/>
            <w:vAlign w:val="center"/>
          </w:tcPr>
          <w:p w14:paraId="42FDE094"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1</w:t>
            </w:r>
          </w:p>
        </w:tc>
        <w:tc>
          <w:tcPr>
            <w:tcW w:w="356" w:type="dxa"/>
            <w:vAlign w:val="center"/>
          </w:tcPr>
          <w:p w14:paraId="209D5566"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567" w:type="dxa"/>
            <w:shd w:val="clear" w:color="auto" w:fill="00B050"/>
            <w:vAlign w:val="center"/>
          </w:tcPr>
          <w:p w14:paraId="4EE1F668"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12</w:t>
            </w:r>
          </w:p>
        </w:tc>
      </w:tr>
      <w:tr w:rsidR="00BD1A2F" w:rsidRPr="00260790" w14:paraId="70C7B1C1" w14:textId="77777777" w:rsidTr="00E3321E">
        <w:trPr>
          <w:gridAfter w:val="1"/>
          <w:wAfter w:w="16" w:type="dxa"/>
          <w:trHeight w:val="340"/>
        </w:trPr>
        <w:tc>
          <w:tcPr>
            <w:tcW w:w="1560" w:type="dxa"/>
            <w:vMerge/>
            <w:tcBorders>
              <w:right w:val="single" w:sz="4" w:space="0" w:color="auto"/>
            </w:tcBorders>
            <w:vAlign w:val="center"/>
          </w:tcPr>
          <w:p w14:paraId="7982385A"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1559" w:type="dxa"/>
            <w:tcBorders>
              <w:left w:val="single" w:sz="4" w:space="0" w:color="auto"/>
            </w:tcBorders>
            <w:vAlign w:val="center"/>
          </w:tcPr>
          <w:p w14:paraId="13B8D294" w14:textId="77777777" w:rsidR="00DB0460" w:rsidRPr="0097258B" w:rsidRDefault="00DB0460" w:rsidP="00E20250">
            <w:pPr>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Entretien des regards</w:t>
            </w:r>
          </w:p>
        </w:tc>
        <w:tc>
          <w:tcPr>
            <w:tcW w:w="2268" w:type="dxa"/>
            <w:vAlign w:val="center"/>
          </w:tcPr>
          <w:p w14:paraId="3473313D" w14:textId="77777777" w:rsidR="00DB0460" w:rsidRPr="0097258B" w:rsidRDefault="00DB0460" w:rsidP="00E20250">
            <w:pPr>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Travail en espace confiné</w:t>
            </w:r>
          </w:p>
        </w:tc>
        <w:tc>
          <w:tcPr>
            <w:tcW w:w="1701" w:type="dxa"/>
            <w:vAlign w:val="center"/>
          </w:tcPr>
          <w:p w14:paraId="4234B0D9" w14:textId="77777777" w:rsidR="00DB0460" w:rsidRPr="0097258B" w:rsidRDefault="00DB0460"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Traumatisme ou d’asphyxie</w:t>
            </w:r>
          </w:p>
        </w:tc>
        <w:tc>
          <w:tcPr>
            <w:tcW w:w="425" w:type="dxa"/>
            <w:vAlign w:val="center"/>
          </w:tcPr>
          <w:p w14:paraId="7A715DCE"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426" w:type="dxa"/>
            <w:vAlign w:val="center"/>
          </w:tcPr>
          <w:p w14:paraId="6A289408"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w:t>
            </w:r>
          </w:p>
        </w:tc>
        <w:tc>
          <w:tcPr>
            <w:tcW w:w="425" w:type="dxa"/>
            <w:shd w:val="clear" w:color="auto" w:fill="FFFF00"/>
            <w:vAlign w:val="center"/>
          </w:tcPr>
          <w:p w14:paraId="31C3DBD6"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23</w:t>
            </w:r>
          </w:p>
        </w:tc>
        <w:tc>
          <w:tcPr>
            <w:tcW w:w="5103" w:type="dxa"/>
            <w:vAlign w:val="center"/>
          </w:tcPr>
          <w:p w14:paraId="41D56DEB"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S’assurer que les personnes habilitées à y pénétrer sont qualifiées,</w:t>
            </w:r>
          </w:p>
          <w:p w14:paraId="33E6ADA8"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Respecter les règles d’hygiène et les consignes sur les moyens de protection individuelle (port du casque, gants, bottes, masque respiratoire, etc.).</w:t>
            </w:r>
          </w:p>
        </w:tc>
        <w:tc>
          <w:tcPr>
            <w:tcW w:w="425" w:type="dxa"/>
            <w:vAlign w:val="center"/>
          </w:tcPr>
          <w:p w14:paraId="33A0E557"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1</w:t>
            </w:r>
          </w:p>
        </w:tc>
        <w:tc>
          <w:tcPr>
            <w:tcW w:w="356" w:type="dxa"/>
            <w:vAlign w:val="center"/>
          </w:tcPr>
          <w:p w14:paraId="3E8B163E"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567" w:type="dxa"/>
            <w:shd w:val="clear" w:color="auto" w:fill="00B050"/>
            <w:vAlign w:val="center"/>
          </w:tcPr>
          <w:p w14:paraId="78E127FB"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12</w:t>
            </w:r>
          </w:p>
        </w:tc>
      </w:tr>
      <w:tr w:rsidR="00BD1A2F" w:rsidRPr="00260790" w14:paraId="019C8B23" w14:textId="77777777" w:rsidTr="00E3321E">
        <w:trPr>
          <w:gridAfter w:val="1"/>
          <w:wAfter w:w="16" w:type="dxa"/>
          <w:trHeight w:val="63"/>
        </w:trPr>
        <w:tc>
          <w:tcPr>
            <w:tcW w:w="1560" w:type="dxa"/>
            <w:vMerge/>
            <w:tcBorders>
              <w:right w:val="single" w:sz="4" w:space="0" w:color="auto"/>
            </w:tcBorders>
            <w:vAlign w:val="center"/>
          </w:tcPr>
          <w:p w14:paraId="37FB36C5" w14:textId="77777777" w:rsidR="00DB0460" w:rsidRPr="0097258B" w:rsidRDefault="00DB0460" w:rsidP="00E20250">
            <w:pPr>
              <w:spacing w:after="0" w:line="240" w:lineRule="auto"/>
              <w:rPr>
                <w:rFonts w:ascii="Times New Roman" w:hAnsi="Times New Roman"/>
                <w:color w:val="000000" w:themeColor="text1"/>
                <w:sz w:val="20"/>
                <w:szCs w:val="20"/>
              </w:rPr>
            </w:pPr>
          </w:p>
        </w:tc>
        <w:tc>
          <w:tcPr>
            <w:tcW w:w="1559" w:type="dxa"/>
            <w:tcBorders>
              <w:left w:val="single" w:sz="4" w:space="0" w:color="auto"/>
            </w:tcBorders>
            <w:vAlign w:val="center"/>
          </w:tcPr>
          <w:p w14:paraId="3B70EE92" w14:textId="77777777" w:rsidR="00DB0460" w:rsidRPr="0097258B" w:rsidRDefault="00DB0460" w:rsidP="00E20250">
            <w:pPr>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Charge du travail élevée</w:t>
            </w:r>
          </w:p>
        </w:tc>
        <w:tc>
          <w:tcPr>
            <w:tcW w:w="2268" w:type="dxa"/>
            <w:vAlign w:val="center"/>
          </w:tcPr>
          <w:p w14:paraId="767D2A0E" w14:textId="77777777" w:rsidR="00DB0460" w:rsidRPr="0097258B" w:rsidRDefault="00DB0460" w:rsidP="00E20250">
            <w:pPr>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Stress</w:t>
            </w:r>
          </w:p>
        </w:tc>
        <w:tc>
          <w:tcPr>
            <w:tcW w:w="1701" w:type="dxa"/>
            <w:vAlign w:val="center"/>
          </w:tcPr>
          <w:p w14:paraId="3AC3652E" w14:textId="77777777" w:rsidR="00DB0460" w:rsidRPr="0097258B" w:rsidRDefault="00DB0460"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Diverses maladies ;</w:t>
            </w:r>
          </w:p>
          <w:p w14:paraId="750D668E" w14:textId="77777777" w:rsidR="00DB0460" w:rsidRPr="0097258B" w:rsidRDefault="00DB0460"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Blessures plus ou moins graves par accident</w:t>
            </w:r>
          </w:p>
        </w:tc>
        <w:tc>
          <w:tcPr>
            <w:tcW w:w="425" w:type="dxa"/>
            <w:vAlign w:val="center"/>
          </w:tcPr>
          <w:p w14:paraId="1E24556A"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426" w:type="dxa"/>
            <w:vAlign w:val="center"/>
          </w:tcPr>
          <w:p w14:paraId="72ED98D9"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3</w:t>
            </w:r>
          </w:p>
        </w:tc>
        <w:tc>
          <w:tcPr>
            <w:tcW w:w="425" w:type="dxa"/>
            <w:shd w:val="clear" w:color="auto" w:fill="FFFF00"/>
            <w:vAlign w:val="center"/>
          </w:tcPr>
          <w:p w14:paraId="200DB8C4"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23</w:t>
            </w:r>
          </w:p>
        </w:tc>
        <w:tc>
          <w:tcPr>
            <w:tcW w:w="5103" w:type="dxa"/>
            <w:vAlign w:val="center"/>
          </w:tcPr>
          <w:p w14:paraId="4975FB76" w14:textId="77777777" w:rsidR="00DB0460" w:rsidRPr="0097258B" w:rsidRDefault="00DB0460" w:rsidP="001748C6">
            <w:pPr>
              <w:numPr>
                <w:ilvl w:val="0"/>
                <w:numId w:val="345"/>
              </w:numPr>
              <w:autoSpaceDE w:val="0"/>
              <w:autoSpaceDN w:val="0"/>
              <w:adjustRightInd w:val="0"/>
              <w:spacing w:after="0" w:line="240" w:lineRule="auto"/>
              <w:ind w:left="317" w:hanging="283"/>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Éviter de mettre trop la pression sur les travailleurs</w:t>
            </w:r>
          </w:p>
          <w:p w14:paraId="4E3CC9EA" w14:textId="77777777" w:rsidR="00DB0460" w:rsidRPr="0097258B" w:rsidRDefault="00DB0460" w:rsidP="00E20250">
            <w:pPr>
              <w:spacing w:after="0" w:line="240" w:lineRule="auto"/>
              <w:jc w:val="both"/>
              <w:rPr>
                <w:rFonts w:ascii="Times New Roman" w:hAnsi="Times New Roman"/>
                <w:color w:val="000000" w:themeColor="text1"/>
                <w:sz w:val="20"/>
                <w:szCs w:val="20"/>
              </w:rPr>
            </w:pPr>
          </w:p>
        </w:tc>
        <w:tc>
          <w:tcPr>
            <w:tcW w:w="425" w:type="dxa"/>
            <w:vAlign w:val="center"/>
          </w:tcPr>
          <w:p w14:paraId="0D1AED01"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356" w:type="dxa"/>
            <w:vAlign w:val="center"/>
          </w:tcPr>
          <w:p w14:paraId="5D02EE6B"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w:t>
            </w:r>
          </w:p>
        </w:tc>
        <w:tc>
          <w:tcPr>
            <w:tcW w:w="567" w:type="dxa"/>
            <w:shd w:val="clear" w:color="auto" w:fill="FFFF00"/>
            <w:vAlign w:val="center"/>
          </w:tcPr>
          <w:p w14:paraId="54815B68" w14:textId="77777777" w:rsidR="00DB0460" w:rsidRPr="0097258B" w:rsidRDefault="00DB0460"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22</w:t>
            </w:r>
          </w:p>
        </w:tc>
      </w:tr>
    </w:tbl>
    <w:p w14:paraId="485D4ABE" w14:textId="77777777" w:rsidR="00DB0460" w:rsidRPr="00260790" w:rsidRDefault="00DB0460" w:rsidP="00E20250">
      <w:pPr>
        <w:spacing w:line="240" w:lineRule="auto"/>
        <w:rPr>
          <w:rFonts w:ascii="Times New Roman" w:hAnsi="Times New Roman"/>
          <w:color w:val="000000" w:themeColor="text1"/>
        </w:rPr>
      </w:pPr>
    </w:p>
    <w:p w14:paraId="5BFE8F89" w14:textId="77777777" w:rsidR="0010720F" w:rsidRPr="00260790" w:rsidRDefault="0010720F" w:rsidP="00E20250">
      <w:pPr>
        <w:spacing w:line="240" w:lineRule="auto"/>
        <w:jc w:val="both"/>
        <w:rPr>
          <w:rFonts w:ascii="Times New Roman" w:eastAsia="Times New Roman" w:hAnsi="Times New Roman"/>
          <w:b/>
          <w:color w:val="000000" w:themeColor="text1"/>
          <w:lang w:eastAsia="fr-FR"/>
        </w:rPr>
        <w:sectPr w:rsidR="0010720F" w:rsidRPr="00260790" w:rsidSect="00E3321E">
          <w:footerReference w:type="even" r:id="rId147"/>
          <w:footerReference w:type="default" r:id="rId148"/>
          <w:footerReference w:type="first" r:id="rId149"/>
          <w:pgSz w:w="16817" w:h="11901" w:orient="landscape"/>
          <w:pgMar w:top="1418" w:right="1418" w:bottom="1418" w:left="1418" w:header="709" w:footer="454" w:gutter="0"/>
          <w:cols w:space="708"/>
          <w:docGrid w:linePitch="360"/>
        </w:sectPr>
      </w:pPr>
      <w:bookmarkStart w:id="721" w:name="_Toc34250683"/>
    </w:p>
    <w:p w14:paraId="7BD55EC3" w14:textId="42EFDAF9" w:rsidR="00DB0460" w:rsidRPr="00260790" w:rsidRDefault="00DB0460" w:rsidP="00E20250">
      <w:pPr>
        <w:spacing w:line="240" w:lineRule="auto"/>
        <w:jc w:val="both"/>
        <w:rPr>
          <w:rFonts w:ascii="Times New Roman" w:hAnsi="Times New Roman"/>
          <w:color w:val="000000" w:themeColor="text1"/>
        </w:rPr>
      </w:pPr>
      <w:bookmarkStart w:id="722" w:name="_Toc356391115"/>
      <w:bookmarkEnd w:id="721"/>
      <w:r w:rsidRPr="00260790">
        <w:rPr>
          <w:rFonts w:ascii="Times New Roman" w:hAnsi="Times New Roman"/>
          <w:color w:val="000000" w:themeColor="text1"/>
        </w:rPr>
        <w:lastRenderedPageBreak/>
        <w:t>Il est aussi important de retenir que le document d’évaluation des risques doit être dynamique afin d’observer les modifications des risques et l’exposition des salariés dans le temps. Il doit être réactualisé à chaque fois qu’une modification de taille s’opère dans les installations (réaménagement, changement d’installation, achat de nouveaux équipements…) dans le but d’identifier et d’évaluer les nouveaux risques auxquels le personnel peut être exposé.</w:t>
      </w:r>
    </w:p>
    <w:p w14:paraId="3357BA23" w14:textId="1FEA0C31" w:rsidR="005F3FB7" w:rsidRPr="00260790" w:rsidRDefault="00E540DC" w:rsidP="00E20250">
      <w:pPr>
        <w:pStyle w:val="Titre1"/>
        <w:rPr>
          <w:rFonts w:ascii="Times New Roman" w:hAnsi="Times New Roman"/>
          <w:sz w:val="22"/>
          <w:szCs w:val="22"/>
        </w:rPr>
      </w:pPr>
      <w:bookmarkStart w:id="723" w:name="_Toc59063784"/>
      <w:bookmarkStart w:id="724" w:name="_Toc68812102"/>
      <w:bookmarkStart w:id="725" w:name="_Toc68847824"/>
      <w:bookmarkStart w:id="726" w:name="_Toc68848129"/>
      <w:bookmarkStart w:id="727" w:name="_Toc68848790"/>
      <w:bookmarkStart w:id="728" w:name="_Toc68849052"/>
      <w:bookmarkStart w:id="729" w:name="_Toc68849473"/>
      <w:bookmarkStart w:id="730" w:name="_Toc68861367"/>
      <w:bookmarkStart w:id="731" w:name="_Toc68861627"/>
      <w:bookmarkStart w:id="732" w:name="_Toc68948394"/>
      <w:bookmarkStart w:id="733" w:name="_Toc68948807"/>
      <w:bookmarkStart w:id="734" w:name="_Toc68949072"/>
      <w:bookmarkStart w:id="735" w:name="_Toc68949330"/>
      <w:bookmarkStart w:id="736" w:name="_Toc68949755"/>
      <w:bookmarkStart w:id="737" w:name="_Toc68956987"/>
      <w:bookmarkStart w:id="738" w:name="_Toc68957243"/>
      <w:bookmarkStart w:id="739" w:name="_Toc68957499"/>
      <w:bookmarkStart w:id="740" w:name="_Toc68957756"/>
      <w:bookmarkStart w:id="741" w:name="_Toc68958012"/>
      <w:bookmarkStart w:id="742" w:name="_Toc68958267"/>
      <w:bookmarkStart w:id="743" w:name="_Toc68958521"/>
      <w:bookmarkStart w:id="744" w:name="_Toc68958777"/>
      <w:bookmarkStart w:id="745" w:name="_Toc68959033"/>
      <w:bookmarkStart w:id="746" w:name="_Toc69081544"/>
      <w:bookmarkStart w:id="747" w:name="_Toc69083342"/>
      <w:bookmarkStart w:id="748" w:name="_Toc69115654"/>
      <w:bookmarkStart w:id="749" w:name="_Toc77141204"/>
      <w:bookmarkStart w:id="750" w:name="_Toc77142116"/>
      <w:bookmarkStart w:id="751" w:name="_Toc77142515"/>
      <w:bookmarkStart w:id="752" w:name="_Toc77142779"/>
      <w:bookmarkStart w:id="753" w:name="_Toc77143042"/>
      <w:bookmarkStart w:id="754" w:name="_Toc77143379"/>
      <w:bookmarkStart w:id="755" w:name="_Toc93469701"/>
      <w:bookmarkStart w:id="756" w:name="_Toc93623340"/>
      <w:bookmarkStart w:id="757" w:name="_Toc93643707"/>
      <w:bookmarkStart w:id="758" w:name="_Toc93643974"/>
      <w:bookmarkStart w:id="759" w:name="_Toc93644235"/>
      <w:bookmarkStart w:id="760" w:name="_Toc93648887"/>
      <w:bookmarkStart w:id="761" w:name="_Toc94134533"/>
      <w:bookmarkStart w:id="762" w:name="_Toc94175797"/>
      <w:bookmarkStart w:id="763" w:name="_Toc104797473"/>
      <w:bookmarkStart w:id="764" w:name="_Toc105103740"/>
      <w:bookmarkStart w:id="765" w:name="_Toc105105945"/>
      <w:bookmarkStart w:id="766" w:name="_Toc106287275"/>
      <w:bookmarkStart w:id="767" w:name="_Toc106288561"/>
      <w:bookmarkStart w:id="768" w:name="_Toc106289253"/>
      <w:bookmarkStart w:id="769" w:name="_Toc106290257"/>
      <w:bookmarkStart w:id="770" w:name="_Toc106651151"/>
      <w:bookmarkStart w:id="771" w:name="_Toc106651592"/>
      <w:bookmarkStart w:id="772" w:name="_Toc106652523"/>
      <w:bookmarkStart w:id="773" w:name="_Toc106652820"/>
      <w:bookmarkStart w:id="774" w:name="_Toc125627631"/>
      <w:bookmarkStart w:id="775" w:name="_Toc126804550"/>
      <w:bookmarkStart w:id="776" w:name="_Toc127209075"/>
      <w:bookmarkStart w:id="777" w:name="_Toc127273621"/>
      <w:bookmarkStart w:id="778" w:name="_Toc131591863"/>
      <w:bookmarkStart w:id="779" w:name="_Toc131592123"/>
      <w:bookmarkStart w:id="780" w:name="_Toc149831224"/>
      <w:bookmarkStart w:id="781" w:name="_Toc149913836"/>
      <w:bookmarkStart w:id="782" w:name="_Toc151368112"/>
      <w:bookmarkStart w:id="783" w:name="_Toc105103757"/>
      <w:bookmarkStart w:id="784" w:name="_Toc105105962"/>
      <w:bookmarkStart w:id="785" w:name="_Toc106287292"/>
      <w:bookmarkStart w:id="786" w:name="_Toc106288578"/>
      <w:bookmarkStart w:id="787" w:name="_Toc106289270"/>
      <w:bookmarkStart w:id="788" w:name="_Toc106290274"/>
      <w:bookmarkStart w:id="789" w:name="_Toc106651168"/>
      <w:bookmarkStart w:id="790" w:name="_Toc106651609"/>
      <w:bookmarkStart w:id="791" w:name="_Toc106652540"/>
      <w:bookmarkStart w:id="792" w:name="_Toc106652837"/>
      <w:bookmarkStart w:id="793" w:name="_Toc125627648"/>
      <w:bookmarkStart w:id="794" w:name="_Toc105103758"/>
      <w:bookmarkStart w:id="795" w:name="_Toc105105963"/>
      <w:bookmarkStart w:id="796" w:name="_Toc106287293"/>
      <w:bookmarkStart w:id="797" w:name="_Toc106288579"/>
      <w:bookmarkStart w:id="798" w:name="_Toc106289271"/>
      <w:bookmarkStart w:id="799" w:name="_Toc106290275"/>
      <w:bookmarkStart w:id="800" w:name="_Toc106651169"/>
      <w:bookmarkStart w:id="801" w:name="_Toc106651610"/>
      <w:bookmarkStart w:id="802" w:name="_Toc106652541"/>
      <w:bookmarkStart w:id="803" w:name="_Toc106652838"/>
      <w:bookmarkStart w:id="804" w:name="_Toc125627649"/>
      <w:bookmarkStart w:id="805" w:name="_Toc105103759"/>
      <w:bookmarkStart w:id="806" w:name="_Toc105105964"/>
      <w:bookmarkStart w:id="807" w:name="_Toc106287294"/>
      <w:bookmarkStart w:id="808" w:name="_Toc106288580"/>
      <w:bookmarkStart w:id="809" w:name="_Toc106289272"/>
      <w:bookmarkStart w:id="810" w:name="_Toc106290276"/>
      <w:bookmarkStart w:id="811" w:name="_Toc106651170"/>
      <w:bookmarkStart w:id="812" w:name="_Toc106651611"/>
      <w:bookmarkStart w:id="813" w:name="_Toc106652542"/>
      <w:bookmarkStart w:id="814" w:name="_Toc106652839"/>
      <w:bookmarkStart w:id="815" w:name="_Toc125627650"/>
      <w:bookmarkStart w:id="816" w:name="_Toc105103760"/>
      <w:bookmarkStart w:id="817" w:name="_Toc105105965"/>
      <w:bookmarkStart w:id="818" w:name="_Toc106287295"/>
      <w:bookmarkStart w:id="819" w:name="_Toc106288581"/>
      <w:bookmarkStart w:id="820" w:name="_Toc106289273"/>
      <w:bookmarkStart w:id="821" w:name="_Toc106290277"/>
      <w:bookmarkStart w:id="822" w:name="_Toc106651171"/>
      <w:bookmarkStart w:id="823" w:name="_Toc106651612"/>
      <w:bookmarkStart w:id="824" w:name="_Toc106652543"/>
      <w:bookmarkStart w:id="825" w:name="_Toc106652840"/>
      <w:bookmarkStart w:id="826" w:name="_Toc125627651"/>
      <w:bookmarkStart w:id="827" w:name="_Toc105103761"/>
      <w:bookmarkStart w:id="828" w:name="_Toc105105966"/>
      <w:bookmarkStart w:id="829" w:name="_Toc106287296"/>
      <w:bookmarkStart w:id="830" w:name="_Toc106288582"/>
      <w:bookmarkStart w:id="831" w:name="_Toc106289274"/>
      <w:bookmarkStart w:id="832" w:name="_Toc106290278"/>
      <w:bookmarkStart w:id="833" w:name="_Toc106651172"/>
      <w:bookmarkStart w:id="834" w:name="_Toc106651613"/>
      <w:bookmarkStart w:id="835" w:name="_Toc106652544"/>
      <w:bookmarkStart w:id="836" w:name="_Toc106652841"/>
      <w:bookmarkStart w:id="837" w:name="_Toc125627652"/>
      <w:bookmarkStart w:id="838" w:name="_Toc105103762"/>
      <w:bookmarkStart w:id="839" w:name="_Toc105105967"/>
      <w:bookmarkStart w:id="840" w:name="_Toc106287297"/>
      <w:bookmarkStart w:id="841" w:name="_Toc106288583"/>
      <w:bookmarkStart w:id="842" w:name="_Toc106289275"/>
      <w:bookmarkStart w:id="843" w:name="_Toc106290279"/>
      <w:bookmarkStart w:id="844" w:name="_Toc106651173"/>
      <w:bookmarkStart w:id="845" w:name="_Toc106651614"/>
      <w:bookmarkStart w:id="846" w:name="_Toc106652545"/>
      <w:bookmarkStart w:id="847" w:name="_Toc106652842"/>
      <w:bookmarkStart w:id="848" w:name="_Toc125627653"/>
      <w:bookmarkStart w:id="849" w:name="_Toc105103763"/>
      <w:bookmarkStart w:id="850" w:name="_Toc105105968"/>
      <w:bookmarkStart w:id="851" w:name="_Toc106287298"/>
      <w:bookmarkStart w:id="852" w:name="_Toc106288584"/>
      <w:bookmarkStart w:id="853" w:name="_Toc106289276"/>
      <w:bookmarkStart w:id="854" w:name="_Toc106290280"/>
      <w:bookmarkStart w:id="855" w:name="_Toc106651174"/>
      <w:bookmarkStart w:id="856" w:name="_Toc106651615"/>
      <w:bookmarkStart w:id="857" w:name="_Toc106652546"/>
      <w:bookmarkStart w:id="858" w:name="_Toc106652843"/>
      <w:bookmarkStart w:id="859" w:name="_Toc125627654"/>
      <w:bookmarkStart w:id="860" w:name="_Toc105103764"/>
      <w:bookmarkStart w:id="861" w:name="_Toc105105969"/>
      <w:bookmarkStart w:id="862" w:name="_Toc106287299"/>
      <w:bookmarkStart w:id="863" w:name="_Toc106288585"/>
      <w:bookmarkStart w:id="864" w:name="_Toc106289277"/>
      <w:bookmarkStart w:id="865" w:name="_Toc106290281"/>
      <w:bookmarkStart w:id="866" w:name="_Toc106651175"/>
      <w:bookmarkStart w:id="867" w:name="_Toc106651616"/>
      <w:bookmarkStart w:id="868" w:name="_Toc106652547"/>
      <w:bookmarkStart w:id="869" w:name="_Toc106652844"/>
      <w:bookmarkStart w:id="870" w:name="_Toc125627655"/>
      <w:bookmarkStart w:id="871" w:name="_Toc105103765"/>
      <w:bookmarkStart w:id="872" w:name="_Toc105105970"/>
      <w:bookmarkStart w:id="873" w:name="_Toc106287300"/>
      <w:bookmarkStart w:id="874" w:name="_Toc106288586"/>
      <w:bookmarkStart w:id="875" w:name="_Toc106289278"/>
      <w:bookmarkStart w:id="876" w:name="_Toc106290282"/>
      <w:bookmarkStart w:id="877" w:name="_Toc106651176"/>
      <w:bookmarkStart w:id="878" w:name="_Toc106651617"/>
      <w:bookmarkStart w:id="879" w:name="_Toc106652548"/>
      <w:bookmarkStart w:id="880" w:name="_Toc106652845"/>
      <w:bookmarkStart w:id="881" w:name="_Toc125627656"/>
      <w:bookmarkStart w:id="882" w:name="_Toc105103766"/>
      <w:bookmarkStart w:id="883" w:name="_Toc105105971"/>
      <w:bookmarkStart w:id="884" w:name="_Toc106287301"/>
      <w:bookmarkStart w:id="885" w:name="_Toc106288587"/>
      <w:bookmarkStart w:id="886" w:name="_Toc106289279"/>
      <w:bookmarkStart w:id="887" w:name="_Toc106290283"/>
      <w:bookmarkStart w:id="888" w:name="_Toc106651177"/>
      <w:bookmarkStart w:id="889" w:name="_Toc106651618"/>
      <w:bookmarkStart w:id="890" w:name="_Toc106652549"/>
      <w:bookmarkStart w:id="891" w:name="_Toc106652846"/>
      <w:bookmarkStart w:id="892" w:name="_Toc125627657"/>
      <w:bookmarkStart w:id="893" w:name="_Toc105103767"/>
      <w:bookmarkStart w:id="894" w:name="_Toc105105972"/>
      <w:bookmarkStart w:id="895" w:name="_Toc106287302"/>
      <w:bookmarkStart w:id="896" w:name="_Toc106288588"/>
      <w:bookmarkStart w:id="897" w:name="_Toc106289280"/>
      <w:bookmarkStart w:id="898" w:name="_Toc106290284"/>
      <w:bookmarkStart w:id="899" w:name="_Toc106651178"/>
      <w:bookmarkStart w:id="900" w:name="_Toc106651619"/>
      <w:bookmarkStart w:id="901" w:name="_Toc106652550"/>
      <w:bookmarkStart w:id="902" w:name="_Toc106652847"/>
      <w:bookmarkStart w:id="903" w:name="_Toc125627658"/>
      <w:bookmarkStart w:id="904" w:name="_Toc105103768"/>
      <w:bookmarkStart w:id="905" w:name="_Toc105105973"/>
      <w:bookmarkStart w:id="906" w:name="_Toc106287303"/>
      <w:bookmarkStart w:id="907" w:name="_Toc106288589"/>
      <w:bookmarkStart w:id="908" w:name="_Toc106289281"/>
      <w:bookmarkStart w:id="909" w:name="_Toc106290285"/>
      <w:bookmarkStart w:id="910" w:name="_Toc106651179"/>
      <w:bookmarkStart w:id="911" w:name="_Toc106651620"/>
      <w:bookmarkStart w:id="912" w:name="_Toc106652551"/>
      <w:bookmarkStart w:id="913" w:name="_Toc106652848"/>
      <w:bookmarkStart w:id="914" w:name="_Toc125627659"/>
      <w:bookmarkStart w:id="915" w:name="_Toc467681821"/>
      <w:bookmarkStart w:id="916" w:name="_Toc467681986"/>
      <w:bookmarkStart w:id="917" w:name="_Toc467682077"/>
      <w:bookmarkStart w:id="918" w:name="_Toc467682113"/>
      <w:bookmarkStart w:id="919" w:name="_Toc467682456"/>
      <w:bookmarkStart w:id="920" w:name="_Toc468096023"/>
      <w:bookmarkStart w:id="921" w:name="_Toc468618387"/>
      <w:bookmarkStart w:id="922" w:name="_Toc534499280"/>
      <w:bookmarkStart w:id="923" w:name="_Toc534499328"/>
      <w:bookmarkStart w:id="924" w:name="_Toc534499379"/>
      <w:bookmarkStart w:id="925" w:name="_Toc534499680"/>
      <w:bookmarkStart w:id="926" w:name="_Toc534578003"/>
      <w:bookmarkStart w:id="927" w:name="_Toc534664246"/>
      <w:bookmarkStart w:id="928" w:name="_Toc534664287"/>
      <w:bookmarkStart w:id="929" w:name="_Toc534836037"/>
      <w:bookmarkStart w:id="930" w:name="_Toc534836248"/>
      <w:bookmarkStart w:id="931" w:name="_Toc535942378"/>
      <w:bookmarkStart w:id="932" w:name="_Toc535942444"/>
      <w:bookmarkStart w:id="933" w:name="_Toc68616996"/>
      <w:bookmarkStart w:id="934" w:name="_Toc68642104"/>
      <w:bookmarkStart w:id="935" w:name="_Toc68812122"/>
      <w:bookmarkStart w:id="936" w:name="_Toc68847843"/>
      <w:bookmarkStart w:id="937" w:name="_Toc68848148"/>
      <w:bookmarkStart w:id="938" w:name="_Toc68848809"/>
      <w:bookmarkStart w:id="939" w:name="_Toc68849071"/>
      <w:bookmarkStart w:id="940" w:name="_Toc68849492"/>
      <w:bookmarkStart w:id="941" w:name="_Toc68861386"/>
      <w:bookmarkStart w:id="942" w:name="_Toc68861646"/>
      <w:bookmarkStart w:id="943" w:name="_Toc68948413"/>
      <w:bookmarkStart w:id="944" w:name="_Toc68948826"/>
      <w:bookmarkStart w:id="945" w:name="_Toc68949091"/>
      <w:bookmarkStart w:id="946" w:name="_Toc68949349"/>
      <w:bookmarkStart w:id="947" w:name="_Toc68949774"/>
      <w:bookmarkStart w:id="948" w:name="_Toc68957006"/>
      <w:bookmarkStart w:id="949" w:name="_Toc68957262"/>
      <w:bookmarkStart w:id="950" w:name="_Toc68957518"/>
      <w:bookmarkStart w:id="951" w:name="_Toc68957775"/>
      <w:bookmarkStart w:id="952" w:name="_Toc68958031"/>
      <w:bookmarkStart w:id="953" w:name="_Toc68958286"/>
      <w:bookmarkStart w:id="954" w:name="_Toc68958540"/>
      <w:bookmarkStart w:id="955" w:name="_Toc68958796"/>
      <w:bookmarkStart w:id="956" w:name="_Toc68959052"/>
      <w:bookmarkStart w:id="957" w:name="_Toc69081567"/>
      <w:bookmarkStart w:id="958" w:name="_Toc69083361"/>
      <w:bookmarkStart w:id="959" w:name="_Toc69115673"/>
      <w:bookmarkStart w:id="960" w:name="_Toc77141223"/>
      <w:bookmarkStart w:id="961" w:name="_Toc77142135"/>
      <w:bookmarkStart w:id="962" w:name="_Toc77142534"/>
      <w:bookmarkStart w:id="963" w:name="_Toc77142798"/>
      <w:bookmarkStart w:id="964" w:name="_Toc77143061"/>
      <w:bookmarkStart w:id="965" w:name="_Toc77143398"/>
      <w:bookmarkStart w:id="966" w:name="_Toc93469720"/>
      <w:bookmarkStart w:id="967" w:name="_Toc93623359"/>
      <w:bookmarkStart w:id="968" w:name="_Toc93643726"/>
      <w:bookmarkStart w:id="969" w:name="_Toc93643993"/>
      <w:bookmarkStart w:id="970" w:name="_Toc93644254"/>
      <w:bookmarkStart w:id="971" w:name="_Toc93648906"/>
      <w:bookmarkStart w:id="972" w:name="_Toc94134552"/>
      <w:bookmarkStart w:id="973" w:name="_Toc94175816"/>
      <w:bookmarkStart w:id="974" w:name="_Toc104797492"/>
      <w:bookmarkStart w:id="975" w:name="_Toc467681822"/>
      <w:bookmarkStart w:id="976" w:name="_Toc467681987"/>
      <w:bookmarkStart w:id="977" w:name="_Toc467682078"/>
      <w:bookmarkStart w:id="978" w:name="_Toc467682114"/>
      <w:bookmarkStart w:id="979" w:name="_Toc467682457"/>
      <w:bookmarkStart w:id="980" w:name="_Toc468096024"/>
      <w:bookmarkStart w:id="981" w:name="_Toc468618388"/>
      <w:bookmarkStart w:id="982" w:name="_Toc534499281"/>
      <w:bookmarkStart w:id="983" w:name="_Toc534499329"/>
      <w:bookmarkStart w:id="984" w:name="_Toc534499380"/>
      <w:bookmarkStart w:id="985" w:name="_Toc534499681"/>
      <w:bookmarkStart w:id="986" w:name="_Toc534578004"/>
      <w:bookmarkStart w:id="987" w:name="_Toc534664247"/>
      <w:bookmarkStart w:id="988" w:name="_Toc534664288"/>
      <w:bookmarkStart w:id="989" w:name="_Toc534836038"/>
      <w:bookmarkStart w:id="990" w:name="_Toc534836249"/>
      <w:bookmarkStart w:id="991" w:name="_Toc535942379"/>
      <w:bookmarkStart w:id="992" w:name="_Toc535942445"/>
      <w:bookmarkStart w:id="993" w:name="_Toc68616997"/>
      <w:bookmarkStart w:id="994" w:name="_Toc68642105"/>
      <w:bookmarkStart w:id="995" w:name="_Toc68812123"/>
      <w:bookmarkStart w:id="996" w:name="_Toc68847844"/>
      <w:bookmarkStart w:id="997" w:name="_Toc68848149"/>
      <w:bookmarkStart w:id="998" w:name="_Toc68848810"/>
      <w:bookmarkStart w:id="999" w:name="_Toc68849072"/>
      <w:bookmarkStart w:id="1000" w:name="_Toc68849493"/>
      <w:bookmarkStart w:id="1001" w:name="_Toc68861387"/>
      <w:bookmarkStart w:id="1002" w:name="_Toc68861647"/>
      <w:bookmarkStart w:id="1003" w:name="_Toc68948414"/>
      <w:bookmarkStart w:id="1004" w:name="_Toc68948827"/>
      <w:bookmarkStart w:id="1005" w:name="_Toc68949092"/>
      <w:bookmarkStart w:id="1006" w:name="_Toc68949350"/>
      <w:bookmarkStart w:id="1007" w:name="_Toc68949775"/>
      <w:bookmarkStart w:id="1008" w:name="_Toc68957007"/>
      <w:bookmarkStart w:id="1009" w:name="_Toc68957263"/>
      <w:bookmarkStart w:id="1010" w:name="_Toc68957519"/>
      <w:bookmarkStart w:id="1011" w:name="_Toc68957776"/>
      <w:bookmarkStart w:id="1012" w:name="_Toc68958032"/>
      <w:bookmarkStart w:id="1013" w:name="_Toc68958287"/>
      <w:bookmarkStart w:id="1014" w:name="_Toc68958541"/>
      <w:bookmarkStart w:id="1015" w:name="_Toc68958797"/>
      <w:bookmarkStart w:id="1016" w:name="_Toc68959053"/>
      <w:bookmarkStart w:id="1017" w:name="_Toc69081568"/>
      <w:bookmarkStart w:id="1018" w:name="_Toc69083362"/>
      <w:bookmarkStart w:id="1019" w:name="_Toc69115674"/>
      <w:bookmarkStart w:id="1020" w:name="_Toc77141224"/>
      <w:bookmarkStart w:id="1021" w:name="_Toc77142136"/>
      <w:bookmarkStart w:id="1022" w:name="_Toc77142535"/>
      <w:bookmarkStart w:id="1023" w:name="_Toc77142799"/>
      <w:bookmarkStart w:id="1024" w:name="_Toc77143062"/>
      <w:bookmarkStart w:id="1025" w:name="_Toc77143399"/>
      <w:bookmarkStart w:id="1026" w:name="_Toc93469721"/>
      <w:bookmarkStart w:id="1027" w:name="_Toc93623360"/>
      <w:bookmarkStart w:id="1028" w:name="_Toc93643727"/>
      <w:bookmarkStart w:id="1029" w:name="_Toc93643994"/>
      <w:bookmarkStart w:id="1030" w:name="_Toc93644255"/>
      <w:bookmarkStart w:id="1031" w:name="_Toc93648907"/>
      <w:bookmarkStart w:id="1032" w:name="_Toc94134553"/>
      <w:bookmarkStart w:id="1033" w:name="_Toc94175817"/>
      <w:bookmarkStart w:id="1034" w:name="_Toc104797493"/>
      <w:bookmarkStart w:id="1035" w:name="_Toc467681823"/>
      <w:bookmarkStart w:id="1036" w:name="_Toc467681988"/>
      <w:bookmarkStart w:id="1037" w:name="_Toc467682079"/>
      <w:bookmarkStart w:id="1038" w:name="_Toc467682115"/>
      <w:bookmarkStart w:id="1039" w:name="_Toc467682458"/>
      <w:bookmarkStart w:id="1040" w:name="_Toc468096025"/>
      <w:bookmarkStart w:id="1041" w:name="_Toc468618389"/>
      <w:bookmarkStart w:id="1042" w:name="_Toc534499282"/>
      <w:bookmarkStart w:id="1043" w:name="_Toc534499330"/>
      <w:bookmarkStart w:id="1044" w:name="_Toc534499381"/>
      <w:bookmarkStart w:id="1045" w:name="_Toc534499682"/>
      <w:bookmarkStart w:id="1046" w:name="_Toc534578005"/>
      <w:bookmarkStart w:id="1047" w:name="_Toc534664248"/>
      <w:bookmarkStart w:id="1048" w:name="_Toc534664289"/>
      <w:bookmarkStart w:id="1049" w:name="_Toc534836039"/>
      <w:bookmarkStart w:id="1050" w:name="_Toc534836250"/>
      <w:bookmarkStart w:id="1051" w:name="_Toc535942380"/>
      <w:bookmarkStart w:id="1052" w:name="_Toc535942446"/>
      <w:bookmarkStart w:id="1053" w:name="_Toc68616998"/>
      <w:bookmarkStart w:id="1054" w:name="_Toc68642106"/>
      <w:bookmarkStart w:id="1055" w:name="_Toc68812124"/>
      <w:bookmarkStart w:id="1056" w:name="_Toc68847845"/>
      <w:bookmarkStart w:id="1057" w:name="_Toc68848150"/>
      <w:bookmarkStart w:id="1058" w:name="_Toc68848811"/>
      <w:bookmarkStart w:id="1059" w:name="_Toc68849073"/>
      <w:bookmarkStart w:id="1060" w:name="_Toc68849494"/>
      <w:bookmarkStart w:id="1061" w:name="_Toc68861388"/>
      <w:bookmarkStart w:id="1062" w:name="_Toc68861648"/>
      <w:bookmarkStart w:id="1063" w:name="_Toc68948415"/>
      <w:bookmarkStart w:id="1064" w:name="_Toc68948828"/>
      <w:bookmarkStart w:id="1065" w:name="_Toc68949093"/>
      <w:bookmarkStart w:id="1066" w:name="_Toc68949351"/>
      <w:bookmarkStart w:id="1067" w:name="_Toc68949776"/>
      <w:bookmarkStart w:id="1068" w:name="_Toc68957008"/>
      <w:bookmarkStart w:id="1069" w:name="_Toc68957264"/>
      <w:bookmarkStart w:id="1070" w:name="_Toc68957520"/>
      <w:bookmarkStart w:id="1071" w:name="_Toc68957777"/>
      <w:bookmarkStart w:id="1072" w:name="_Toc68958033"/>
      <w:bookmarkStart w:id="1073" w:name="_Toc68958288"/>
      <w:bookmarkStart w:id="1074" w:name="_Toc68958542"/>
      <w:bookmarkStart w:id="1075" w:name="_Toc68958798"/>
      <w:bookmarkStart w:id="1076" w:name="_Toc68959054"/>
      <w:bookmarkStart w:id="1077" w:name="_Toc69081569"/>
      <w:bookmarkStart w:id="1078" w:name="_Toc69083363"/>
      <w:bookmarkStart w:id="1079" w:name="_Toc69115675"/>
      <w:bookmarkStart w:id="1080" w:name="_Toc77141225"/>
      <w:bookmarkStart w:id="1081" w:name="_Toc77142137"/>
      <w:bookmarkStart w:id="1082" w:name="_Toc77142536"/>
      <w:bookmarkStart w:id="1083" w:name="_Toc77142800"/>
      <w:bookmarkStart w:id="1084" w:name="_Toc77143063"/>
      <w:bookmarkStart w:id="1085" w:name="_Toc77143400"/>
      <w:bookmarkStart w:id="1086" w:name="_Toc93469722"/>
      <w:bookmarkStart w:id="1087" w:name="_Toc93623361"/>
      <w:bookmarkStart w:id="1088" w:name="_Toc93643728"/>
      <w:bookmarkStart w:id="1089" w:name="_Toc93643995"/>
      <w:bookmarkStart w:id="1090" w:name="_Toc93644256"/>
      <w:bookmarkStart w:id="1091" w:name="_Toc93648908"/>
      <w:bookmarkStart w:id="1092" w:name="_Toc94134554"/>
      <w:bookmarkStart w:id="1093" w:name="_Toc94175818"/>
      <w:bookmarkStart w:id="1094" w:name="_Toc104797494"/>
      <w:bookmarkStart w:id="1095" w:name="_Toc467681824"/>
      <w:bookmarkStart w:id="1096" w:name="_Toc467681989"/>
      <w:bookmarkStart w:id="1097" w:name="_Toc467682080"/>
      <w:bookmarkStart w:id="1098" w:name="_Toc467682116"/>
      <w:bookmarkStart w:id="1099" w:name="_Toc467682459"/>
      <w:bookmarkStart w:id="1100" w:name="_Toc468096026"/>
      <w:bookmarkStart w:id="1101" w:name="_Toc468618390"/>
      <w:bookmarkStart w:id="1102" w:name="_Toc534499283"/>
      <w:bookmarkStart w:id="1103" w:name="_Toc534499331"/>
      <w:bookmarkStart w:id="1104" w:name="_Toc534499382"/>
      <w:bookmarkStart w:id="1105" w:name="_Toc534499683"/>
      <w:bookmarkStart w:id="1106" w:name="_Toc534578006"/>
      <w:bookmarkStart w:id="1107" w:name="_Toc534664249"/>
      <w:bookmarkStart w:id="1108" w:name="_Toc534664290"/>
      <w:bookmarkStart w:id="1109" w:name="_Toc534836040"/>
      <w:bookmarkStart w:id="1110" w:name="_Toc534836251"/>
      <w:bookmarkStart w:id="1111" w:name="_Toc535942381"/>
      <w:bookmarkStart w:id="1112" w:name="_Toc535942447"/>
      <w:bookmarkStart w:id="1113" w:name="_Toc68616999"/>
      <w:bookmarkStart w:id="1114" w:name="_Toc68642107"/>
      <w:bookmarkStart w:id="1115" w:name="_Toc68812125"/>
      <w:bookmarkStart w:id="1116" w:name="_Toc68847846"/>
      <w:bookmarkStart w:id="1117" w:name="_Toc68848151"/>
      <w:bookmarkStart w:id="1118" w:name="_Toc68848812"/>
      <w:bookmarkStart w:id="1119" w:name="_Toc68849074"/>
      <w:bookmarkStart w:id="1120" w:name="_Toc68849495"/>
      <w:bookmarkStart w:id="1121" w:name="_Toc68861389"/>
      <w:bookmarkStart w:id="1122" w:name="_Toc68861649"/>
      <w:bookmarkStart w:id="1123" w:name="_Toc68948416"/>
      <w:bookmarkStart w:id="1124" w:name="_Toc68948829"/>
      <w:bookmarkStart w:id="1125" w:name="_Toc68949094"/>
      <w:bookmarkStart w:id="1126" w:name="_Toc68949352"/>
      <w:bookmarkStart w:id="1127" w:name="_Toc68949777"/>
      <w:bookmarkStart w:id="1128" w:name="_Toc68957009"/>
      <w:bookmarkStart w:id="1129" w:name="_Toc68957265"/>
      <w:bookmarkStart w:id="1130" w:name="_Toc68957521"/>
      <w:bookmarkStart w:id="1131" w:name="_Toc68957778"/>
      <w:bookmarkStart w:id="1132" w:name="_Toc68958034"/>
      <w:bookmarkStart w:id="1133" w:name="_Toc68958289"/>
      <w:bookmarkStart w:id="1134" w:name="_Toc68958543"/>
      <w:bookmarkStart w:id="1135" w:name="_Toc68958799"/>
      <w:bookmarkStart w:id="1136" w:name="_Toc68959055"/>
      <w:bookmarkStart w:id="1137" w:name="_Toc69081570"/>
      <w:bookmarkStart w:id="1138" w:name="_Toc69083364"/>
      <w:bookmarkStart w:id="1139" w:name="_Toc69115676"/>
      <w:bookmarkStart w:id="1140" w:name="_Toc77141226"/>
      <w:bookmarkStart w:id="1141" w:name="_Toc77142138"/>
      <w:bookmarkStart w:id="1142" w:name="_Toc77142537"/>
      <w:bookmarkStart w:id="1143" w:name="_Toc77142801"/>
      <w:bookmarkStart w:id="1144" w:name="_Toc77143064"/>
      <w:bookmarkStart w:id="1145" w:name="_Toc77143401"/>
      <w:bookmarkStart w:id="1146" w:name="_Toc93469723"/>
      <w:bookmarkStart w:id="1147" w:name="_Toc93623362"/>
      <w:bookmarkStart w:id="1148" w:name="_Toc93643729"/>
      <w:bookmarkStart w:id="1149" w:name="_Toc93643996"/>
      <w:bookmarkStart w:id="1150" w:name="_Toc93644257"/>
      <w:bookmarkStart w:id="1151" w:name="_Toc93648909"/>
      <w:bookmarkStart w:id="1152" w:name="_Toc94134555"/>
      <w:bookmarkStart w:id="1153" w:name="_Toc94175819"/>
      <w:bookmarkStart w:id="1154" w:name="_Toc104797495"/>
      <w:bookmarkStart w:id="1155" w:name="_Toc467681825"/>
      <w:bookmarkStart w:id="1156" w:name="_Toc467681990"/>
      <w:bookmarkStart w:id="1157" w:name="_Toc467682081"/>
      <w:bookmarkStart w:id="1158" w:name="_Toc467682117"/>
      <w:bookmarkStart w:id="1159" w:name="_Toc467682460"/>
      <w:bookmarkStart w:id="1160" w:name="_Toc468096027"/>
      <w:bookmarkStart w:id="1161" w:name="_Toc468618391"/>
      <w:bookmarkStart w:id="1162" w:name="_Toc534499284"/>
      <w:bookmarkStart w:id="1163" w:name="_Toc534499332"/>
      <w:bookmarkStart w:id="1164" w:name="_Toc534499383"/>
      <w:bookmarkStart w:id="1165" w:name="_Toc534499684"/>
      <w:bookmarkStart w:id="1166" w:name="_Toc534578007"/>
      <w:bookmarkStart w:id="1167" w:name="_Toc534664250"/>
      <w:bookmarkStart w:id="1168" w:name="_Toc534664291"/>
      <w:bookmarkStart w:id="1169" w:name="_Toc534836041"/>
      <w:bookmarkStart w:id="1170" w:name="_Toc534836252"/>
      <w:bookmarkStart w:id="1171" w:name="_Toc535942382"/>
      <w:bookmarkStart w:id="1172" w:name="_Toc535942448"/>
      <w:bookmarkStart w:id="1173" w:name="_Toc68617000"/>
      <w:bookmarkStart w:id="1174" w:name="_Toc68642108"/>
      <w:bookmarkStart w:id="1175" w:name="_Toc68812126"/>
      <w:bookmarkStart w:id="1176" w:name="_Toc68847847"/>
      <w:bookmarkStart w:id="1177" w:name="_Toc68848152"/>
      <w:bookmarkStart w:id="1178" w:name="_Toc68848813"/>
      <w:bookmarkStart w:id="1179" w:name="_Toc68849075"/>
      <w:bookmarkStart w:id="1180" w:name="_Toc68849496"/>
      <w:bookmarkStart w:id="1181" w:name="_Toc68861390"/>
      <w:bookmarkStart w:id="1182" w:name="_Toc68861650"/>
      <w:bookmarkStart w:id="1183" w:name="_Toc68948417"/>
      <w:bookmarkStart w:id="1184" w:name="_Toc68948830"/>
      <w:bookmarkStart w:id="1185" w:name="_Toc68949095"/>
      <w:bookmarkStart w:id="1186" w:name="_Toc68949353"/>
      <w:bookmarkStart w:id="1187" w:name="_Toc68949778"/>
      <w:bookmarkStart w:id="1188" w:name="_Toc68957010"/>
      <w:bookmarkStart w:id="1189" w:name="_Toc68957266"/>
      <w:bookmarkStart w:id="1190" w:name="_Toc68957522"/>
      <w:bookmarkStart w:id="1191" w:name="_Toc68957779"/>
      <w:bookmarkStart w:id="1192" w:name="_Toc68958035"/>
      <w:bookmarkStart w:id="1193" w:name="_Toc68958290"/>
      <w:bookmarkStart w:id="1194" w:name="_Toc68958544"/>
      <w:bookmarkStart w:id="1195" w:name="_Toc68958800"/>
      <w:bookmarkStart w:id="1196" w:name="_Toc68959056"/>
      <w:bookmarkStart w:id="1197" w:name="_Toc69081571"/>
      <w:bookmarkStart w:id="1198" w:name="_Toc69083365"/>
      <w:bookmarkStart w:id="1199" w:name="_Toc69115677"/>
      <w:bookmarkStart w:id="1200" w:name="_Toc77141227"/>
      <w:bookmarkStart w:id="1201" w:name="_Toc77142139"/>
      <w:bookmarkStart w:id="1202" w:name="_Toc77142538"/>
      <w:bookmarkStart w:id="1203" w:name="_Toc77142802"/>
      <w:bookmarkStart w:id="1204" w:name="_Toc77143065"/>
      <w:bookmarkStart w:id="1205" w:name="_Toc77143402"/>
      <w:bookmarkStart w:id="1206" w:name="_Toc93469724"/>
      <w:bookmarkStart w:id="1207" w:name="_Toc93623363"/>
      <w:bookmarkStart w:id="1208" w:name="_Toc93643730"/>
      <w:bookmarkStart w:id="1209" w:name="_Toc93643997"/>
      <w:bookmarkStart w:id="1210" w:name="_Toc93644258"/>
      <w:bookmarkStart w:id="1211" w:name="_Toc93648910"/>
      <w:bookmarkStart w:id="1212" w:name="_Toc94134556"/>
      <w:bookmarkStart w:id="1213" w:name="_Toc94175820"/>
      <w:bookmarkStart w:id="1214" w:name="_Toc104797496"/>
      <w:bookmarkStart w:id="1215" w:name="_Toc467681826"/>
      <w:bookmarkStart w:id="1216" w:name="_Toc467681991"/>
      <w:bookmarkStart w:id="1217" w:name="_Toc467682082"/>
      <w:bookmarkStart w:id="1218" w:name="_Toc467682118"/>
      <w:bookmarkStart w:id="1219" w:name="_Toc467682461"/>
      <w:bookmarkStart w:id="1220" w:name="_Toc468096028"/>
      <w:bookmarkStart w:id="1221" w:name="_Toc468618392"/>
      <w:bookmarkStart w:id="1222" w:name="_Toc534499285"/>
      <w:bookmarkStart w:id="1223" w:name="_Toc534499333"/>
      <w:bookmarkStart w:id="1224" w:name="_Toc534499384"/>
      <w:bookmarkStart w:id="1225" w:name="_Toc534499685"/>
      <w:bookmarkStart w:id="1226" w:name="_Toc534578008"/>
      <w:bookmarkStart w:id="1227" w:name="_Toc534664251"/>
      <w:bookmarkStart w:id="1228" w:name="_Toc534664292"/>
      <w:bookmarkStart w:id="1229" w:name="_Toc534836042"/>
      <w:bookmarkStart w:id="1230" w:name="_Toc534836253"/>
      <w:bookmarkStart w:id="1231" w:name="_Toc535942383"/>
      <w:bookmarkStart w:id="1232" w:name="_Toc535942449"/>
      <w:bookmarkStart w:id="1233" w:name="_Toc68617001"/>
      <w:bookmarkStart w:id="1234" w:name="_Toc68642109"/>
      <w:bookmarkStart w:id="1235" w:name="_Toc68812127"/>
      <w:bookmarkStart w:id="1236" w:name="_Toc68847848"/>
      <w:bookmarkStart w:id="1237" w:name="_Toc68848153"/>
      <w:bookmarkStart w:id="1238" w:name="_Toc68848814"/>
      <w:bookmarkStart w:id="1239" w:name="_Toc68849076"/>
      <w:bookmarkStart w:id="1240" w:name="_Toc68849497"/>
      <w:bookmarkStart w:id="1241" w:name="_Toc68861391"/>
      <w:bookmarkStart w:id="1242" w:name="_Toc68861651"/>
      <w:bookmarkStart w:id="1243" w:name="_Toc68948418"/>
      <w:bookmarkStart w:id="1244" w:name="_Toc68948831"/>
      <w:bookmarkStart w:id="1245" w:name="_Toc68949096"/>
      <w:bookmarkStart w:id="1246" w:name="_Toc68949354"/>
      <w:bookmarkStart w:id="1247" w:name="_Toc68949779"/>
      <w:bookmarkStart w:id="1248" w:name="_Toc68957011"/>
      <w:bookmarkStart w:id="1249" w:name="_Toc68957267"/>
      <w:bookmarkStart w:id="1250" w:name="_Toc68957523"/>
      <w:bookmarkStart w:id="1251" w:name="_Toc68957780"/>
      <w:bookmarkStart w:id="1252" w:name="_Toc68958036"/>
      <w:bookmarkStart w:id="1253" w:name="_Toc68958291"/>
      <w:bookmarkStart w:id="1254" w:name="_Toc68958545"/>
      <w:bookmarkStart w:id="1255" w:name="_Toc68958801"/>
      <w:bookmarkStart w:id="1256" w:name="_Toc68959057"/>
      <w:bookmarkStart w:id="1257" w:name="_Toc69081572"/>
      <w:bookmarkStart w:id="1258" w:name="_Toc69083366"/>
      <w:bookmarkStart w:id="1259" w:name="_Toc69115678"/>
      <w:bookmarkStart w:id="1260" w:name="_Toc77141228"/>
      <w:bookmarkStart w:id="1261" w:name="_Toc77142140"/>
      <w:bookmarkStart w:id="1262" w:name="_Toc77142539"/>
      <w:bookmarkStart w:id="1263" w:name="_Toc77142803"/>
      <w:bookmarkStart w:id="1264" w:name="_Toc77143066"/>
      <w:bookmarkStart w:id="1265" w:name="_Toc77143403"/>
      <w:bookmarkStart w:id="1266" w:name="_Toc93469725"/>
      <w:bookmarkStart w:id="1267" w:name="_Toc93623364"/>
      <w:bookmarkStart w:id="1268" w:name="_Toc93643731"/>
      <w:bookmarkStart w:id="1269" w:name="_Toc93643998"/>
      <w:bookmarkStart w:id="1270" w:name="_Toc93644259"/>
      <w:bookmarkStart w:id="1271" w:name="_Toc93648911"/>
      <w:bookmarkStart w:id="1272" w:name="_Toc94134557"/>
      <w:bookmarkStart w:id="1273" w:name="_Toc94175821"/>
      <w:bookmarkStart w:id="1274" w:name="_Toc104797497"/>
      <w:bookmarkStart w:id="1275" w:name="_Toc467681827"/>
      <w:bookmarkStart w:id="1276" w:name="_Toc467681992"/>
      <w:bookmarkStart w:id="1277" w:name="_Toc467682083"/>
      <w:bookmarkStart w:id="1278" w:name="_Toc467682119"/>
      <w:bookmarkStart w:id="1279" w:name="_Toc467682462"/>
      <w:bookmarkStart w:id="1280" w:name="_Toc468096029"/>
      <w:bookmarkStart w:id="1281" w:name="_Toc468618393"/>
      <w:bookmarkStart w:id="1282" w:name="_Toc534499286"/>
      <w:bookmarkStart w:id="1283" w:name="_Toc534499334"/>
      <w:bookmarkStart w:id="1284" w:name="_Toc534499385"/>
      <w:bookmarkStart w:id="1285" w:name="_Toc534499686"/>
      <w:bookmarkStart w:id="1286" w:name="_Toc534578009"/>
      <w:bookmarkStart w:id="1287" w:name="_Toc534664252"/>
      <w:bookmarkStart w:id="1288" w:name="_Toc534664293"/>
      <w:bookmarkStart w:id="1289" w:name="_Toc534836043"/>
      <w:bookmarkStart w:id="1290" w:name="_Toc534836254"/>
      <w:bookmarkStart w:id="1291" w:name="_Toc535942384"/>
      <w:bookmarkStart w:id="1292" w:name="_Toc535942450"/>
      <w:bookmarkStart w:id="1293" w:name="_Toc68617002"/>
      <w:bookmarkStart w:id="1294" w:name="_Toc68642110"/>
      <w:bookmarkStart w:id="1295" w:name="_Toc68812128"/>
      <w:bookmarkStart w:id="1296" w:name="_Toc68847849"/>
      <w:bookmarkStart w:id="1297" w:name="_Toc68848154"/>
      <w:bookmarkStart w:id="1298" w:name="_Toc68848815"/>
      <w:bookmarkStart w:id="1299" w:name="_Toc68849077"/>
      <w:bookmarkStart w:id="1300" w:name="_Toc68849498"/>
      <w:bookmarkStart w:id="1301" w:name="_Toc68861392"/>
      <w:bookmarkStart w:id="1302" w:name="_Toc68861652"/>
      <w:bookmarkStart w:id="1303" w:name="_Toc68948419"/>
      <w:bookmarkStart w:id="1304" w:name="_Toc68948832"/>
      <w:bookmarkStart w:id="1305" w:name="_Toc68949097"/>
      <w:bookmarkStart w:id="1306" w:name="_Toc68949355"/>
      <w:bookmarkStart w:id="1307" w:name="_Toc68949780"/>
      <w:bookmarkStart w:id="1308" w:name="_Toc68957012"/>
      <w:bookmarkStart w:id="1309" w:name="_Toc68957268"/>
      <w:bookmarkStart w:id="1310" w:name="_Toc68957524"/>
      <w:bookmarkStart w:id="1311" w:name="_Toc68957781"/>
      <w:bookmarkStart w:id="1312" w:name="_Toc68958037"/>
      <w:bookmarkStart w:id="1313" w:name="_Toc68958292"/>
      <w:bookmarkStart w:id="1314" w:name="_Toc68958546"/>
      <w:bookmarkStart w:id="1315" w:name="_Toc68958802"/>
      <w:bookmarkStart w:id="1316" w:name="_Toc68959058"/>
      <w:bookmarkStart w:id="1317" w:name="_Toc69081573"/>
      <w:bookmarkStart w:id="1318" w:name="_Toc69083367"/>
      <w:bookmarkStart w:id="1319" w:name="_Toc69115679"/>
      <w:bookmarkStart w:id="1320" w:name="_Toc77141229"/>
      <w:bookmarkStart w:id="1321" w:name="_Toc77142141"/>
      <w:bookmarkStart w:id="1322" w:name="_Toc77142540"/>
      <w:bookmarkStart w:id="1323" w:name="_Toc77142804"/>
      <w:bookmarkStart w:id="1324" w:name="_Toc77143067"/>
      <w:bookmarkStart w:id="1325" w:name="_Toc77143404"/>
      <w:bookmarkStart w:id="1326" w:name="_Toc93469726"/>
      <w:bookmarkStart w:id="1327" w:name="_Toc93623365"/>
      <w:bookmarkStart w:id="1328" w:name="_Toc93643732"/>
      <w:bookmarkStart w:id="1329" w:name="_Toc93643999"/>
      <w:bookmarkStart w:id="1330" w:name="_Toc93644260"/>
      <w:bookmarkStart w:id="1331" w:name="_Toc93648912"/>
      <w:bookmarkStart w:id="1332" w:name="_Toc94134558"/>
      <w:bookmarkStart w:id="1333" w:name="_Toc94175822"/>
      <w:bookmarkStart w:id="1334" w:name="_Toc104797498"/>
      <w:bookmarkStart w:id="1335" w:name="_Toc467681828"/>
      <w:bookmarkStart w:id="1336" w:name="_Toc467681993"/>
      <w:bookmarkStart w:id="1337" w:name="_Toc467682084"/>
      <w:bookmarkStart w:id="1338" w:name="_Toc467682120"/>
      <w:bookmarkStart w:id="1339" w:name="_Toc467682463"/>
      <w:bookmarkStart w:id="1340" w:name="_Toc468096030"/>
      <w:bookmarkStart w:id="1341" w:name="_Toc468618394"/>
      <w:bookmarkStart w:id="1342" w:name="_Toc534499287"/>
      <w:bookmarkStart w:id="1343" w:name="_Toc534499335"/>
      <w:bookmarkStart w:id="1344" w:name="_Toc534499386"/>
      <w:bookmarkStart w:id="1345" w:name="_Toc534499687"/>
      <w:bookmarkStart w:id="1346" w:name="_Toc534578010"/>
      <w:bookmarkStart w:id="1347" w:name="_Toc534664253"/>
      <w:bookmarkStart w:id="1348" w:name="_Toc534664294"/>
      <w:bookmarkStart w:id="1349" w:name="_Toc534836044"/>
      <w:bookmarkStart w:id="1350" w:name="_Toc534836255"/>
      <w:bookmarkStart w:id="1351" w:name="_Toc535942385"/>
      <w:bookmarkStart w:id="1352" w:name="_Toc535942451"/>
      <w:bookmarkStart w:id="1353" w:name="_Toc68617003"/>
      <w:bookmarkStart w:id="1354" w:name="_Toc68642111"/>
      <w:bookmarkStart w:id="1355" w:name="_Toc68812129"/>
      <w:bookmarkStart w:id="1356" w:name="_Toc68847850"/>
      <w:bookmarkStart w:id="1357" w:name="_Toc68848155"/>
      <w:bookmarkStart w:id="1358" w:name="_Toc68848816"/>
      <w:bookmarkStart w:id="1359" w:name="_Toc68849078"/>
      <w:bookmarkStart w:id="1360" w:name="_Toc68849499"/>
      <w:bookmarkStart w:id="1361" w:name="_Toc68861393"/>
      <w:bookmarkStart w:id="1362" w:name="_Toc68861653"/>
      <w:bookmarkStart w:id="1363" w:name="_Toc68948420"/>
      <w:bookmarkStart w:id="1364" w:name="_Toc68948833"/>
      <w:bookmarkStart w:id="1365" w:name="_Toc68949098"/>
      <w:bookmarkStart w:id="1366" w:name="_Toc68949356"/>
      <w:bookmarkStart w:id="1367" w:name="_Toc68949781"/>
      <w:bookmarkStart w:id="1368" w:name="_Toc68957013"/>
      <w:bookmarkStart w:id="1369" w:name="_Toc68957269"/>
      <w:bookmarkStart w:id="1370" w:name="_Toc68957525"/>
      <w:bookmarkStart w:id="1371" w:name="_Toc68957782"/>
      <w:bookmarkStart w:id="1372" w:name="_Toc68958038"/>
      <w:bookmarkStart w:id="1373" w:name="_Toc68958293"/>
      <w:bookmarkStart w:id="1374" w:name="_Toc68958547"/>
      <w:bookmarkStart w:id="1375" w:name="_Toc68958803"/>
      <w:bookmarkStart w:id="1376" w:name="_Toc68959059"/>
      <w:bookmarkStart w:id="1377" w:name="_Toc69081574"/>
      <w:bookmarkStart w:id="1378" w:name="_Toc69083368"/>
      <w:bookmarkStart w:id="1379" w:name="_Toc69115680"/>
      <w:bookmarkStart w:id="1380" w:name="_Toc77141230"/>
      <w:bookmarkStart w:id="1381" w:name="_Toc77142142"/>
      <w:bookmarkStart w:id="1382" w:name="_Toc77142541"/>
      <w:bookmarkStart w:id="1383" w:name="_Toc77142805"/>
      <w:bookmarkStart w:id="1384" w:name="_Toc77143068"/>
      <w:bookmarkStart w:id="1385" w:name="_Toc77143405"/>
      <w:bookmarkStart w:id="1386" w:name="_Toc93469727"/>
      <w:bookmarkStart w:id="1387" w:name="_Toc93623366"/>
      <w:bookmarkStart w:id="1388" w:name="_Toc93643733"/>
      <w:bookmarkStart w:id="1389" w:name="_Toc93644000"/>
      <w:bookmarkStart w:id="1390" w:name="_Toc93644261"/>
      <w:bookmarkStart w:id="1391" w:name="_Toc93648913"/>
      <w:bookmarkStart w:id="1392" w:name="_Toc94134559"/>
      <w:bookmarkStart w:id="1393" w:name="_Toc94175823"/>
      <w:bookmarkStart w:id="1394" w:name="_Toc104797499"/>
      <w:bookmarkStart w:id="1395" w:name="_Toc467681829"/>
      <w:bookmarkStart w:id="1396" w:name="_Toc467681994"/>
      <w:bookmarkStart w:id="1397" w:name="_Toc467682085"/>
      <w:bookmarkStart w:id="1398" w:name="_Toc467682121"/>
      <w:bookmarkStart w:id="1399" w:name="_Toc467682464"/>
      <w:bookmarkStart w:id="1400" w:name="_Toc468096031"/>
      <w:bookmarkStart w:id="1401" w:name="_Toc468618395"/>
      <w:bookmarkStart w:id="1402" w:name="_Toc534499288"/>
      <w:bookmarkStart w:id="1403" w:name="_Toc534499336"/>
      <w:bookmarkStart w:id="1404" w:name="_Toc534499387"/>
      <w:bookmarkStart w:id="1405" w:name="_Toc534499688"/>
      <w:bookmarkStart w:id="1406" w:name="_Toc534578011"/>
      <w:bookmarkStart w:id="1407" w:name="_Toc534664254"/>
      <w:bookmarkStart w:id="1408" w:name="_Toc534664295"/>
      <w:bookmarkStart w:id="1409" w:name="_Toc534836045"/>
      <w:bookmarkStart w:id="1410" w:name="_Toc534836256"/>
      <w:bookmarkStart w:id="1411" w:name="_Toc535942386"/>
      <w:bookmarkStart w:id="1412" w:name="_Toc535942452"/>
      <w:bookmarkStart w:id="1413" w:name="_Toc68617004"/>
      <w:bookmarkStart w:id="1414" w:name="_Toc68642112"/>
      <w:bookmarkStart w:id="1415" w:name="_Toc68812130"/>
      <w:bookmarkStart w:id="1416" w:name="_Toc68847851"/>
      <w:bookmarkStart w:id="1417" w:name="_Toc68848156"/>
      <w:bookmarkStart w:id="1418" w:name="_Toc68848817"/>
      <w:bookmarkStart w:id="1419" w:name="_Toc68849079"/>
      <w:bookmarkStart w:id="1420" w:name="_Toc68849500"/>
      <w:bookmarkStart w:id="1421" w:name="_Toc68861394"/>
      <w:bookmarkStart w:id="1422" w:name="_Toc68861654"/>
      <w:bookmarkStart w:id="1423" w:name="_Toc68948421"/>
      <w:bookmarkStart w:id="1424" w:name="_Toc68948834"/>
      <w:bookmarkStart w:id="1425" w:name="_Toc68949099"/>
      <w:bookmarkStart w:id="1426" w:name="_Toc68949357"/>
      <w:bookmarkStart w:id="1427" w:name="_Toc68949782"/>
      <w:bookmarkStart w:id="1428" w:name="_Toc68957014"/>
      <w:bookmarkStart w:id="1429" w:name="_Toc68957270"/>
      <w:bookmarkStart w:id="1430" w:name="_Toc68957526"/>
      <w:bookmarkStart w:id="1431" w:name="_Toc68957783"/>
      <w:bookmarkStart w:id="1432" w:name="_Toc68958039"/>
      <w:bookmarkStart w:id="1433" w:name="_Toc68958294"/>
      <w:bookmarkStart w:id="1434" w:name="_Toc68958548"/>
      <w:bookmarkStart w:id="1435" w:name="_Toc68958804"/>
      <w:bookmarkStart w:id="1436" w:name="_Toc68959060"/>
      <w:bookmarkStart w:id="1437" w:name="_Toc69081575"/>
      <w:bookmarkStart w:id="1438" w:name="_Toc69083369"/>
      <w:bookmarkStart w:id="1439" w:name="_Toc69115681"/>
      <w:bookmarkStart w:id="1440" w:name="_Toc77141231"/>
      <w:bookmarkStart w:id="1441" w:name="_Toc77142143"/>
      <w:bookmarkStart w:id="1442" w:name="_Toc77142542"/>
      <w:bookmarkStart w:id="1443" w:name="_Toc77142806"/>
      <w:bookmarkStart w:id="1444" w:name="_Toc77143069"/>
      <w:bookmarkStart w:id="1445" w:name="_Toc77143406"/>
      <w:bookmarkStart w:id="1446" w:name="_Toc93469728"/>
      <w:bookmarkStart w:id="1447" w:name="_Toc93623367"/>
      <w:bookmarkStart w:id="1448" w:name="_Toc93643734"/>
      <w:bookmarkStart w:id="1449" w:name="_Toc93644001"/>
      <w:bookmarkStart w:id="1450" w:name="_Toc93644262"/>
      <w:bookmarkStart w:id="1451" w:name="_Toc93648914"/>
      <w:bookmarkStart w:id="1452" w:name="_Toc94134560"/>
      <w:bookmarkStart w:id="1453" w:name="_Toc94175824"/>
      <w:bookmarkStart w:id="1454" w:name="_Toc104797500"/>
      <w:bookmarkStart w:id="1455" w:name="_Toc467681830"/>
      <w:bookmarkStart w:id="1456" w:name="_Toc467681995"/>
      <w:bookmarkStart w:id="1457" w:name="_Toc467682086"/>
      <w:bookmarkStart w:id="1458" w:name="_Toc467682122"/>
      <w:bookmarkStart w:id="1459" w:name="_Toc467682465"/>
      <w:bookmarkStart w:id="1460" w:name="_Toc468096032"/>
      <w:bookmarkStart w:id="1461" w:name="_Toc468618396"/>
      <w:bookmarkStart w:id="1462" w:name="_Toc534499289"/>
      <w:bookmarkStart w:id="1463" w:name="_Toc534499337"/>
      <w:bookmarkStart w:id="1464" w:name="_Toc534499388"/>
      <w:bookmarkStart w:id="1465" w:name="_Toc534499689"/>
      <w:bookmarkStart w:id="1466" w:name="_Toc534578012"/>
      <w:bookmarkStart w:id="1467" w:name="_Toc534664255"/>
      <w:bookmarkStart w:id="1468" w:name="_Toc534664296"/>
      <w:bookmarkStart w:id="1469" w:name="_Toc534836046"/>
      <w:bookmarkStart w:id="1470" w:name="_Toc534836257"/>
      <w:bookmarkStart w:id="1471" w:name="_Toc535942387"/>
      <w:bookmarkStart w:id="1472" w:name="_Toc535942453"/>
      <w:bookmarkStart w:id="1473" w:name="_Toc68617005"/>
      <w:bookmarkStart w:id="1474" w:name="_Toc68642113"/>
      <w:bookmarkStart w:id="1475" w:name="_Toc68812131"/>
      <w:bookmarkStart w:id="1476" w:name="_Toc68847852"/>
      <w:bookmarkStart w:id="1477" w:name="_Toc68848157"/>
      <w:bookmarkStart w:id="1478" w:name="_Toc68848818"/>
      <w:bookmarkStart w:id="1479" w:name="_Toc68849080"/>
      <w:bookmarkStart w:id="1480" w:name="_Toc68849501"/>
      <w:bookmarkStart w:id="1481" w:name="_Toc68861395"/>
      <w:bookmarkStart w:id="1482" w:name="_Toc68861655"/>
      <w:bookmarkStart w:id="1483" w:name="_Toc68948422"/>
      <w:bookmarkStart w:id="1484" w:name="_Toc68948835"/>
      <w:bookmarkStart w:id="1485" w:name="_Toc68949100"/>
      <w:bookmarkStart w:id="1486" w:name="_Toc68949358"/>
      <w:bookmarkStart w:id="1487" w:name="_Toc68949783"/>
      <w:bookmarkStart w:id="1488" w:name="_Toc68957015"/>
      <w:bookmarkStart w:id="1489" w:name="_Toc68957271"/>
      <w:bookmarkStart w:id="1490" w:name="_Toc68957527"/>
      <w:bookmarkStart w:id="1491" w:name="_Toc68957784"/>
      <w:bookmarkStart w:id="1492" w:name="_Toc68958040"/>
      <w:bookmarkStart w:id="1493" w:name="_Toc68958295"/>
      <w:bookmarkStart w:id="1494" w:name="_Toc68958549"/>
      <w:bookmarkStart w:id="1495" w:name="_Toc68958805"/>
      <w:bookmarkStart w:id="1496" w:name="_Toc68959061"/>
      <w:bookmarkStart w:id="1497" w:name="_Toc69081576"/>
      <w:bookmarkStart w:id="1498" w:name="_Toc69083370"/>
      <w:bookmarkStart w:id="1499" w:name="_Toc69115682"/>
      <w:bookmarkStart w:id="1500" w:name="_Toc77141232"/>
      <w:bookmarkStart w:id="1501" w:name="_Toc77142144"/>
      <w:bookmarkStart w:id="1502" w:name="_Toc77142543"/>
      <w:bookmarkStart w:id="1503" w:name="_Toc77142807"/>
      <w:bookmarkStart w:id="1504" w:name="_Toc77143070"/>
      <w:bookmarkStart w:id="1505" w:name="_Toc77143407"/>
      <w:bookmarkStart w:id="1506" w:name="_Toc93469729"/>
      <w:bookmarkStart w:id="1507" w:name="_Toc93623368"/>
      <w:bookmarkStart w:id="1508" w:name="_Toc93643735"/>
      <w:bookmarkStart w:id="1509" w:name="_Toc93644002"/>
      <w:bookmarkStart w:id="1510" w:name="_Toc93644263"/>
      <w:bookmarkStart w:id="1511" w:name="_Toc93648915"/>
      <w:bookmarkStart w:id="1512" w:name="_Toc94134561"/>
      <w:bookmarkStart w:id="1513" w:name="_Toc94175825"/>
      <w:bookmarkStart w:id="1514" w:name="_Toc104797501"/>
      <w:bookmarkStart w:id="1515" w:name="_Toc467681831"/>
      <w:bookmarkStart w:id="1516" w:name="_Toc467681996"/>
      <w:bookmarkStart w:id="1517" w:name="_Toc467682087"/>
      <w:bookmarkStart w:id="1518" w:name="_Toc467682123"/>
      <w:bookmarkStart w:id="1519" w:name="_Toc467682466"/>
      <w:bookmarkStart w:id="1520" w:name="_Toc468096033"/>
      <w:bookmarkStart w:id="1521" w:name="_Toc468618397"/>
      <w:bookmarkStart w:id="1522" w:name="_Toc534499290"/>
      <w:bookmarkStart w:id="1523" w:name="_Toc534499338"/>
      <w:bookmarkStart w:id="1524" w:name="_Toc534499389"/>
      <w:bookmarkStart w:id="1525" w:name="_Toc534499690"/>
      <w:bookmarkStart w:id="1526" w:name="_Toc534578013"/>
      <w:bookmarkStart w:id="1527" w:name="_Toc534664256"/>
      <w:bookmarkStart w:id="1528" w:name="_Toc534664297"/>
      <w:bookmarkStart w:id="1529" w:name="_Toc534836047"/>
      <w:bookmarkStart w:id="1530" w:name="_Toc534836258"/>
      <w:bookmarkStart w:id="1531" w:name="_Toc535942388"/>
      <w:bookmarkStart w:id="1532" w:name="_Toc535942454"/>
      <w:bookmarkStart w:id="1533" w:name="_Toc68617006"/>
      <w:bookmarkStart w:id="1534" w:name="_Toc68642114"/>
      <w:bookmarkStart w:id="1535" w:name="_Toc68812132"/>
      <w:bookmarkStart w:id="1536" w:name="_Toc68847853"/>
      <w:bookmarkStart w:id="1537" w:name="_Toc68848158"/>
      <w:bookmarkStart w:id="1538" w:name="_Toc68848819"/>
      <w:bookmarkStart w:id="1539" w:name="_Toc68849081"/>
      <w:bookmarkStart w:id="1540" w:name="_Toc68849502"/>
      <w:bookmarkStart w:id="1541" w:name="_Toc68861396"/>
      <w:bookmarkStart w:id="1542" w:name="_Toc68861656"/>
      <w:bookmarkStart w:id="1543" w:name="_Toc68948423"/>
      <w:bookmarkStart w:id="1544" w:name="_Toc68948836"/>
      <w:bookmarkStart w:id="1545" w:name="_Toc68949101"/>
      <w:bookmarkStart w:id="1546" w:name="_Toc68949359"/>
      <w:bookmarkStart w:id="1547" w:name="_Toc68949784"/>
      <w:bookmarkStart w:id="1548" w:name="_Toc68957016"/>
      <w:bookmarkStart w:id="1549" w:name="_Toc68957272"/>
      <w:bookmarkStart w:id="1550" w:name="_Toc68957528"/>
      <w:bookmarkStart w:id="1551" w:name="_Toc68957785"/>
      <w:bookmarkStart w:id="1552" w:name="_Toc68958041"/>
      <w:bookmarkStart w:id="1553" w:name="_Toc68958296"/>
      <w:bookmarkStart w:id="1554" w:name="_Toc68958550"/>
      <w:bookmarkStart w:id="1555" w:name="_Toc68958806"/>
      <w:bookmarkStart w:id="1556" w:name="_Toc68959062"/>
      <w:bookmarkStart w:id="1557" w:name="_Toc69081577"/>
      <w:bookmarkStart w:id="1558" w:name="_Toc69083371"/>
      <w:bookmarkStart w:id="1559" w:name="_Toc69115683"/>
      <w:bookmarkStart w:id="1560" w:name="_Toc77141233"/>
      <w:bookmarkStart w:id="1561" w:name="_Toc77142145"/>
      <w:bookmarkStart w:id="1562" w:name="_Toc77142544"/>
      <w:bookmarkStart w:id="1563" w:name="_Toc77142808"/>
      <w:bookmarkStart w:id="1564" w:name="_Toc77143071"/>
      <w:bookmarkStart w:id="1565" w:name="_Toc77143408"/>
      <w:bookmarkStart w:id="1566" w:name="_Toc93469730"/>
      <w:bookmarkStart w:id="1567" w:name="_Toc93623369"/>
      <w:bookmarkStart w:id="1568" w:name="_Toc93643736"/>
      <w:bookmarkStart w:id="1569" w:name="_Toc93644003"/>
      <w:bookmarkStart w:id="1570" w:name="_Toc93644264"/>
      <w:bookmarkStart w:id="1571" w:name="_Toc93648916"/>
      <w:bookmarkStart w:id="1572" w:name="_Toc94134562"/>
      <w:bookmarkStart w:id="1573" w:name="_Toc94175826"/>
      <w:bookmarkStart w:id="1574" w:name="_Toc104797502"/>
      <w:bookmarkStart w:id="1575" w:name="_Toc467681832"/>
      <w:bookmarkStart w:id="1576" w:name="_Toc467681997"/>
      <w:bookmarkStart w:id="1577" w:name="_Toc467682088"/>
      <w:bookmarkStart w:id="1578" w:name="_Toc467682124"/>
      <w:bookmarkStart w:id="1579" w:name="_Toc467682467"/>
      <w:bookmarkStart w:id="1580" w:name="_Toc468096034"/>
      <w:bookmarkStart w:id="1581" w:name="_Toc468618398"/>
      <w:bookmarkStart w:id="1582" w:name="_Toc534499291"/>
      <w:bookmarkStart w:id="1583" w:name="_Toc534499339"/>
      <w:bookmarkStart w:id="1584" w:name="_Toc534499390"/>
      <w:bookmarkStart w:id="1585" w:name="_Toc534499691"/>
      <w:bookmarkStart w:id="1586" w:name="_Toc534578014"/>
      <w:bookmarkStart w:id="1587" w:name="_Toc534664257"/>
      <w:bookmarkStart w:id="1588" w:name="_Toc534664298"/>
      <w:bookmarkStart w:id="1589" w:name="_Toc534836048"/>
      <w:bookmarkStart w:id="1590" w:name="_Toc534836259"/>
      <w:bookmarkStart w:id="1591" w:name="_Toc535942389"/>
      <w:bookmarkStart w:id="1592" w:name="_Toc535942455"/>
      <w:bookmarkStart w:id="1593" w:name="_Toc68617007"/>
      <w:bookmarkStart w:id="1594" w:name="_Toc68642115"/>
      <w:bookmarkStart w:id="1595" w:name="_Toc68812133"/>
      <w:bookmarkStart w:id="1596" w:name="_Toc68847854"/>
      <w:bookmarkStart w:id="1597" w:name="_Toc68848159"/>
      <w:bookmarkStart w:id="1598" w:name="_Toc68848820"/>
      <w:bookmarkStart w:id="1599" w:name="_Toc68849082"/>
      <w:bookmarkStart w:id="1600" w:name="_Toc68849503"/>
      <w:bookmarkStart w:id="1601" w:name="_Toc68861397"/>
      <w:bookmarkStart w:id="1602" w:name="_Toc68861657"/>
      <w:bookmarkStart w:id="1603" w:name="_Toc68948424"/>
      <w:bookmarkStart w:id="1604" w:name="_Toc68948837"/>
      <w:bookmarkStart w:id="1605" w:name="_Toc68949102"/>
      <w:bookmarkStart w:id="1606" w:name="_Toc68949360"/>
      <w:bookmarkStart w:id="1607" w:name="_Toc68949785"/>
      <w:bookmarkStart w:id="1608" w:name="_Toc68957017"/>
      <w:bookmarkStart w:id="1609" w:name="_Toc68957273"/>
      <w:bookmarkStart w:id="1610" w:name="_Toc68957529"/>
      <w:bookmarkStart w:id="1611" w:name="_Toc68957786"/>
      <w:bookmarkStart w:id="1612" w:name="_Toc68958042"/>
      <w:bookmarkStart w:id="1613" w:name="_Toc68958297"/>
      <w:bookmarkStart w:id="1614" w:name="_Toc68958551"/>
      <w:bookmarkStart w:id="1615" w:name="_Toc68958807"/>
      <w:bookmarkStart w:id="1616" w:name="_Toc68959063"/>
      <w:bookmarkStart w:id="1617" w:name="_Toc69081578"/>
      <w:bookmarkStart w:id="1618" w:name="_Toc69083372"/>
      <w:bookmarkStart w:id="1619" w:name="_Toc69115684"/>
      <w:bookmarkStart w:id="1620" w:name="_Toc77141234"/>
      <w:bookmarkStart w:id="1621" w:name="_Toc77142146"/>
      <w:bookmarkStart w:id="1622" w:name="_Toc77142545"/>
      <w:bookmarkStart w:id="1623" w:name="_Toc77142809"/>
      <w:bookmarkStart w:id="1624" w:name="_Toc77143072"/>
      <w:bookmarkStart w:id="1625" w:name="_Toc77143409"/>
      <w:bookmarkStart w:id="1626" w:name="_Toc93469731"/>
      <w:bookmarkStart w:id="1627" w:name="_Toc93623370"/>
      <w:bookmarkStart w:id="1628" w:name="_Toc93643737"/>
      <w:bookmarkStart w:id="1629" w:name="_Toc93644004"/>
      <w:bookmarkStart w:id="1630" w:name="_Toc93644265"/>
      <w:bookmarkStart w:id="1631" w:name="_Toc93648917"/>
      <w:bookmarkStart w:id="1632" w:name="_Toc94134563"/>
      <w:bookmarkStart w:id="1633" w:name="_Toc94175827"/>
      <w:bookmarkStart w:id="1634" w:name="_Toc104797503"/>
      <w:bookmarkStart w:id="1635" w:name="_Toc68812135"/>
      <w:bookmarkStart w:id="1636" w:name="_Toc68847856"/>
      <w:bookmarkStart w:id="1637" w:name="_Toc68848161"/>
      <w:bookmarkStart w:id="1638" w:name="_Toc68848822"/>
      <w:bookmarkStart w:id="1639" w:name="_Toc68849084"/>
      <w:bookmarkStart w:id="1640" w:name="_Toc68849505"/>
      <w:bookmarkStart w:id="1641" w:name="_Toc68861399"/>
      <w:bookmarkStart w:id="1642" w:name="_Toc68861659"/>
      <w:bookmarkStart w:id="1643" w:name="_Toc68948426"/>
      <w:bookmarkStart w:id="1644" w:name="_Toc68948839"/>
      <w:bookmarkStart w:id="1645" w:name="_Toc68949104"/>
      <w:bookmarkStart w:id="1646" w:name="_Toc68949362"/>
      <w:bookmarkStart w:id="1647" w:name="_Toc68949787"/>
      <w:bookmarkStart w:id="1648" w:name="_Toc68957019"/>
      <w:bookmarkStart w:id="1649" w:name="_Toc68957275"/>
      <w:bookmarkStart w:id="1650" w:name="_Toc68957531"/>
      <w:bookmarkStart w:id="1651" w:name="_Toc68957788"/>
      <w:bookmarkStart w:id="1652" w:name="_Toc68958044"/>
      <w:bookmarkStart w:id="1653" w:name="_Toc68958299"/>
      <w:bookmarkStart w:id="1654" w:name="_Toc68958553"/>
      <w:bookmarkStart w:id="1655" w:name="_Toc68958809"/>
      <w:bookmarkStart w:id="1656" w:name="_Toc68959065"/>
      <w:bookmarkStart w:id="1657" w:name="_Toc69081580"/>
      <w:bookmarkStart w:id="1658" w:name="_Toc69083374"/>
      <w:bookmarkStart w:id="1659" w:name="_Toc69115686"/>
      <w:bookmarkStart w:id="1660" w:name="_Toc77141236"/>
      <w:bookmarkStart w:id="1661" w:name="_Toc77142148"/>
      <w:bookmarkStart w:id="1662" w:name="_Toc77142547"/>
      <w:bookmarkStart w:id="1663" w:name="_Toc77142811"/>
      <w:bookmarkStart w:id="1664" w:name="_Toc77143074"/>
      <w:bookmarkStart w:id="1665" w:name="_Toc77143411"/>
      <w:bookmarkStart w:id="1666" w:name="_Toc93469733"/>
      <w:bookmarkStart w:id="1667" w:name="_Toc93623372"/>
      <w:bookmarkStart w:id="1668" w:name="_Toc93643739"/>
      <w:bookmarkStart w:id="1669" w:name="_Toc93644006"/>
      <w:bookmarkStart w:id="1670" w:name="_Toc93644267"/>
      <w:bookmarkStart w:id="1671" w:name="_Toc93648919"/>
      <w:bookmarkStart w:id="1672" w:name="_Toc94134565"/>
      <w:bookmarkStart w:id="1673" w:name="_Toc94175829"/>
      <w:bookmarkStart w:id="1674" w:name="_Toc104797505"/>
      <w:bookmarkStart w:id="1675" w:name="_Toc68812136"/>
      <w:bookmarkStart w:id="1676" w:name="_Toc68847857"/>
      <w:bookmarkStart w:id="1677" w:name="_Toc68848162"/>
      <w:bookmarkStart w:id="1678" w:name="_Toc68848823"/>
      <w:bookmarkStart w:id="1679" w:name="_Toc68849085"/>
      <w:bookmarkStart w:id="1680" w:name="_Toc68849506"/>
      <w:bookmarkStart w:id="1681" w:name="_Toc68861400"/>
      <w:bookmarkStart w:id="1682" w:name="_Toc68861660"/>
      <w:bookmarkStart w:id="1683" w:name="_Toc68948427"/>
      <w:bookmarkStart w:id="1684" w:name="_Toc68948840"/>
      <w:bookmarkStart w:id="1685" w:name="_Toc68949105"/>
      <w:bookmarkStart w:id="1686" w:name="_Toc68949363"/>
      <w:bookmarkStart w:id="1687" w:name="_Toc68949788"/>
      <w:bookmarkStart w:id="1688" w:name="_Toc68957020"/>
      <w:bookmarkStart w:id="1689" w:name="_Toc68957276"/>
      <w:bookmarkStart w:id="1690" w:name="_Toc68957532"/>
      <w:bookmarkStart w:id="1691" w:name="_Toc68957789"/>
      <w:bookmarkStart w:id="1692" w:name="_Toc68958045"/>
      <w:bookmarkStart w:id="1693" w:name="_Toc68958300"/>
      <w:bookmarkStart w:id="1694" w:name="_Toc68958554"/>
      <w:bookmarkStart w:id="1695" w:name="_Toc68958810"/>
      <w:bookmarkStart w:id="1696" w:name="_Toc68959066"/>
      <w:bookmarkStart w:id="1697" w:name="_Toc69081581"/>
      <w:bookmarkStart w:id="1698" w:name="_Toc69083375"/>
      <w:bookmarkStart w:id="1699" w:name="_Toc69115687"/>
      <w:bookmarkStart w:id="1700" w:name="_Toc77141237"/>
      <w:bookmarkStart w:id="1701" w:name="_Toc77142149"/>
      <w:bookmarkStart w:id="1702" w:name="_Toc77142548"/>
      <w:bookmarkStart w:id="1703" w:name="_Toc77142812"/>
      <w:bookmarkStart w:id="1704" w:name="_Toc77143075"/>
      <w:bookmarkStart w:id="1705" w:name="_Toc77143412"/>
      <w:bookmarkStart w:id="1706" w:name="_Toc93469734"/>
      <w:bookmarkStart w:id="1707" w:name="_Toc93623373"/>
      <w:bookmarkStart w:id="1708" w:name="_Toc93643740"/>
      <w:bookmarkStart w:id="1709" w:name="_Toc93644007"/>
      <w:bookmarkStart w:id="1710" w:name="_Toc93644268"/>
      <w:bookmarkStart w:id="1711" w:name="_Toc93648920"/>
      <w:bookmarkStart w:id="1712" w:name="_Toc94134566"/>
      <w:bookmarkStart w:id="1713" w:name="_Toc94175830"/>
      <w:bookmarkStart w:id="1714" w:name="_Toc104797506"/>
      <w:bookmarkStart w:id="1715" w:name="_Toc68812137"/>
      <w:bookmarkStart w:id="1716" w:name="_Toc68847858"/>
      <w:bookmarkStart w:id="1717" w:name="_Toc68848163"/>
      <w:bookmarkStart w:id="1718" w:name="_Toc68848824"/>
      <w:bookmarkStart w:id="1719" w:name="_Toc68849086"/>
      <w:bookmarkStart w:id="1720" w:name="_Toc68849507"/>
      <w:bookmarkStart w:id="1721" w:name="_Toc68861401"/>
      <w:bookmarkStart w:id="1722" w:name="_Toc68861661"/>
      <w:bookmarkStart w:id="1723" w:name="_Toc68948428"/>
      <w:bookmarkStart w:id="1724" w:name="_Toc68948841"/>
      <w:bookmarkStart w:id="1725" w:name="_Toc68949106"/>
      <w:bookmarkStart w:id="1726" w:name="_Toc68949364"/>
      <w:bookmarkStart w:id="1727" w:name="_Toc68949789"/>
      <w:bookmarkStart w:id="1728" w:name="_Toc68957021"/>
      <w:bookmarkStart w:id="1729" w:name="_Toc68957277"/>
      <w:bookmarkStart w:id="1730" w:name="_Toc68957533"/>
      <w:bookmarkStart w:id="1731" w:name="_Toc68957790"/>
      <w:bookmarkStart w:id="1732" w:name="_Toc68958046"/>
      <w:bookmarkStart w:id="1733" w:name="_Toc68958301"/>
      <w:bookmarkStart w:id="1734" w:name="_Toc68958555"/>
      <w:bookmarkStart w:id="1735" w:name="_Toc68958811"/>
      <w:bookmarkStart w:id="1736" w:name="_Toc68959067"/>
      <w:bookmarkStart w:id="1737" w:name="_Toc69081582"/>
      <w:bookmarkStart w:id="1738" w:name="_Toc69083376"/>
      <w:bookmarkStart w:id="1739" w:name="_Toc69115688"/>
      <w:bookmarkStart w:id="1740" w:name="_Toc77141238"/>
      <w:bookmarkStart w:id="1741" w:name="_Toc77142150"/>
      <w:bookmarkStart w:id="1742" w:name="_Toc77142549"/>
      <w:bookmarkStart w:id="1743" w:name="_Toc77142813"/>
      <w:bookmarkStart w:id="1744" w:name="_Toc77143076"/>
      <w:bookmarkStart w:id="1745" w:name="_Toc77143413"/>
      <w:bookmarkStart w:id="1746" w:name="_Toc93469735"/>
      <w:bookmarkStart w:id="1747" w:name="_Toc93623374"/>
      <w:bookmarkStart w:id="1748" w:name="_Toc93643741"/>
      <w:bookmarkStart w:id="1749" w:name="_Toc93644008"/>
      <w:bookmarkStart w:id="1750" w:name="_Toc93644269"/>
      <w:bookmarkStart w:id="1751" w:name="_Toc93648921"/>
      <w:bookmarkStart w:id="1752" w:name="_Toc94134567"/>
      <w:bookmarkStart w:id="1753" w:name="_Toc94175831"/>
      <w:bookmarkStart w:id="1754" w:name="_Toc104797507"/>
      <w:bookmarkStart w:id="1755" w:name="_Toc68812138"/>
      <w:bookmarkStart w:id="1756" w:name="_Toc68847859"/>
      <w:bookmarkStart w:id="1757" w:name="_Toc68848164"/>
      <w:bookmarkStart w:id="1758" w:name="_Toc68848825"/>
      <w:bookmarkStart w:id="1759" w:name="_Toc68849087"/>
      <w:bookmarkStart w:id="1760" w:name="_Toc68849508"/>
      <w:bookmarkStart w:id="1761" w:name="_Toc68861402"/>
      <w:bookmarkStart w:id="1762" w:name="_Toc68861662"/>
      <w:bookmarkStart w:id="1763" w:name="_Toc68948429"/>
      <w:bookmarkStart w:id="1764" w:name="_Toc68948842"/>
      <w:bookmarkStart w:id="1765" w:name="_Toc68949107"/>
      <w:bookmarkStart w:id="1766" w:name="_Toc68949365"/>
      <w:bookmarkStart w:id="1767" w:name="_Toc68949790"/>
      <w:bookmarkStart w:id="1768" w:name="_Toc68957022"/>
      <w:bookmarkStart w:id="1769" w:name="_Toc68957278"/>
      <w:bookmarkStart w:id="1770" w:name="_Toc68957534"/>
      <w:bookmarkStart w:id="1771" w:name="_Toc68957791"/>
      <w:bookmarkStart w:id="1772" w:name="_Toc68958047"/>
      <w:bookmarkStart w:id="1773" w:name="_Toc68958302"/>
      <w:bookmarkStart w:id="1774" w:name="_Toc68958556"/>
      <w:bookmarkStart w:id="1775" w:name="_Toc68958812"/>
      <w:bookmarkStart w:id="1776" w:name="_Toc68959068"/>
      <w:bookmarkStart w:id="1777" w:name="_Toc69081583"/>
      <w:bookmarkStart w:id="1778" w:name="_Toc69083377"/>
      <w:bookmarkStart w:id="1779" w:name="_Toc69115689"/>
      <w:bookmarkStart w:id="1780" w:name="_Toc77141239"/>
      <w:bookmarkStart w:id="1781" w:name="_Toc77142151"/>
      <w:bookmarkStart w:id="1782" w:name="_Toc77142550"/>
      <w:bookmarkStart w:id="1783" w:name="_Toc77142814"/>
      <w:bookmarkStart w:id="1784" w:name="_Toc77143077"/>
      <w:bookmarkStart w:id="1785" w:name="_Toc77143414"/>
      <w:bookmarkStart w:id="1786" w:name="_Toc93469736"/>
      <w:bookmarkStart w:id="1787" w:name="_Toc93623375"/>
      <w:bookmarkStart w:id="1788" w:name="_Toc93643742"/>
      <w:bookmarkStart w:id="1789" w:name="_Toc93644009"/>
      <w:bookmarkStart w:id="1790" w:name="_Toc93644270"/>
      <w:bookmarkStart w:id="1791" w:name="_Toc93648922"/>
      <w:bookmarkStart w:id="1792" w:name="_Toc94134568"/>
      <w:bookmarkStart w:id="1793" w:name="_Toc94175832"/>
      <w:bookmarkStart w:id="1794" w:name="_Toc104797508"/>
      <w:bookmarkStart w:id="1795" w:name="_Toc68812139"/>
      <w:bookmarkStart w:id="1796" w:name="_Toc68847860"/>
      <w:bookmarkStart w:id="1797" w:name="_Toc68848165"/>
      <w:bookmarkStart w:id="1798" w:name="_Toc68848826"/>
      <w:bookmarkStart w:id="1799" w:name="_Toc68849088"/>
      <w:bookmarkStart w:id="1800" w:name="_Toc68849509"/>
      <w:bookmarkStart w:id="1801" w:name="_Toc68861403"/>
      <w:bookmarkStart w:id="1802" w:name="_Toc68861663"/>
      <w:bookmarkStart w:id="1803" w:name="_Toc68948430"/>
      <w:bookmarkStart w:id="1804" w:name="_Toc68948843"/>
      <w:bookmarkStart w:id="1805" w:name="_Toc68949108"/>
      <w:bookmarkStart w:id="1806" w:name="_Toc68949366"/>
      <w:bookmarkStart w:id="1807" w:name="_Toc68949791"/>
      <w:bookmarkStart w:id="1808" w:name="_Toc68957023"/>
      <w:bookmarkStart w:id="1809" w:name="_Toc68957279"/>
      <w:bookmarkStart w:id="1810" w:name="_Toc68957535"/>
      <w:bookmarkStart w:id="1811" w:name="_Toc68957792"/>
      <w:bookmarkStart w:id="1812" w:name="_Toc68958048"/>
      <w:bookmarkStart w:id="1813" w:name="_Toc68958303"/>
      <w:bookmarkStart w:id="1814" w:name="_Toc68958557"/>
      <w:bookmarkStart w:id="1815" w:name="_Toc68958813"/>
      <w:bookmarkStart w:id="1816" w:name="_Toc68959069"/>
      <w:bookmarkStart w:id="1817" w:name="_Toc69081584"/>
      <w:bookmarkStart w:id="1818" w:name="_Toc69083378"/>
      <w:bookmarkStart w:id="1819" w:name="_Toc69115690"/>
      <w:bookmarkStart w:id="1820" w:name="_Toc77141240"/>
      <w:bookmarkStart w:id="1821" w:name="_Toc77142152"/>
      <w:bookmarkStart w:id="1822" w:name="_Toc77142551"/>
      <w:bookmarkStart w:id="1823" w:name="_Toc77142815"/>
      <w:bookmarkStart w:id="1824" w:name="_Toc77143078"/>
      <w:bookmarkStart w:id="1825" w:name="_Toc77143415"/>
      <w:bookmarkStart w:id="1826" w:name="_Toc93469737"/>
      <w:bookmarkStart w:id="1827" w:name="_Toc93623376"/>
      <w:bookmarkStart w:id="1828" w:name="_Toc93643743"/>
      <w:bookmarkStart w:id="1829" w:name="_Toc93644010"/>
      <w:bookmarkStart w:id="1830" w:name="_Toc93644271"/>
      <w:bookmarkStart w:id="1831" w:name="_Toc93648923"/>
      <w:bookmarkStart w:id="1832" w:name="_Toc94134569"/>
      <w:bookmarkStart w:id="1833" w:name="_Toc94175833"/>
      <w:bookmarkStart w:id="1834" w:name="_Toc104797509"/>
      <w:bookmarkStart w:id="1835" w:name="_Toc68812140"/>
      <w:bookmarkStart w:id="1836" w:name="_Toc68847861"/>
      <w:bookmarkStart w:id="1837" w:name="_Toc68848166"/>
      <w:bookmarkStart w:id="1838" w:name="_Toc68848827"/>
      <w:bookmarkStart w:id="1839" w:name="_Toc68849089"/>
      <w:bookmarkStart w:id="1840" w:name="_Toc68849510"/>
      <w:bookmarkStart w:id="1841" w:name="_Toc68861404"/>
      <w:bookmarkStart w:id="1842" w:name="_Toc68861664"/>
      <w:bookmarkStart w:id="1843" w:name="_Toc68948431"/>
      <w:bookmarkStart w:id="1844" w:name="_Toc68948844"/>
      <w:bookmarkStart w:id="1845" w:name="_Toc68949109"/>
      <w:bookmarkStart w:id="1846" w:name="_Toc68949367"/>
      <w:bookmarkStart w:id="1847" w:name="_Toc68949792"/>
      <w:bookmarkStart w:id="1848" w:name="_Toc68957024"/>
      <w:bookmarkStart w:id="1849" w:name="_Toc68957280"/>
      <w:bookmarkStart w:id="1850" w:name="_Toc68957536"/>
      <w:bookmarkStart w:id="1851" w:name="_Toc68957793"/>
      <w:bookmarkStart w:id="1852" w:name="_Toc68958049"/>
      <w:bookmarkStart w:id="1853" w:name="_Toc68958304"/>
      <w:bookmarkStart w:id="1854" w:name="_Toc68958558"/>
      <w:bookmarkStart w:id="1855" w:name="_Toc68958814"/>
      <w:bookmarkStart w:id="1856" w:name="_Toc68959070"/>
      <w:bookmarkStart w:id="1857" w:name="_Toc69081585"/>
      <w:bookmarkStart w:id="1858" w:name="_Toc69083379"/>
      <w:bookmarkStart w:id="1859" w:name="_Toc69115691"/>
      <w:bookmarkStart w:id="1860" w:name="_Toc77141241"/>
      <w:bookmarkStart w:id="1861" w:name="_Toc77142153"/>
      <w:bookmarkStart w:id="1862" w:name="_Toc77142552"/>
      <w:bookmarkStart w:id="1863" w:name="_Toc77142816"/>
      <w:bookmarkStart w:id="1864" w:name="_Toc77143079"/>
      <w:bookmarkStart w:id="1865" w:name="_Toc77143416"/>
      <w:bookmarkStart w:id="1866" w:name="_Toc93469738"/>
      <w:bookmarkStart w:id="1867" w:name="_Toc93623377"/>
      <w:bookmarkStart w:id="1868" w:name="_Toc93643744"/>
      <w:bookmarkStart w:id="1869" w:name="_Toc93644011"/>
      <w:bookmarkStart w:id="1870" w:name="_Toc93644272"/>
      <w:bookmarkStart w:id="1871" w:name="_Toc93648924"/>
      <w:bookmarkStart w:id="1872" w:name="_Toc94134570"/>
      <w:bookmarkStart w:id="1873" w:name="_Toc94175834"/>
      <w:bookmarkStart w:id="1874" w:name="_Toc104797510"/>
      <w:bookmarkStart w:id="1875" w:name="_Toc68812141"/>
      <w:bookmarkStart w:id="1876" w:name="_Toc68847862"/>
      <w:bookmarkStart w:id="1877" w:name="_Toc68848167"/>
      <w:bookmarkStart w:id="1878" w:name="_Toc68848828"/>
      <w:bookmarkStart w:id="1879" w:name="_Toc68849090"/>
      <w:bookmarkStart w:id="1880" w:name="_Toc68849511"/>
      <w:bookmarkStart w:id="1881" w:name="_Toc68861405"/>
      <w:bookmarkStart w:id="1882" w:name="_Toc68861665"/>
      <w:bookmarkStart w:id="1883" w:name="_Toc68948432"/>
      <w:bookmarkStart w:id="1884" w:name="_Toc68948845"/>
      <w:bookmarkStart w:id="1885" w:name="_Toc68949110"/>
      <w:bookmarkStart w:id="1886" w:name="_Toc68949368"/>
      <w:bookmarkStart w:id="1887" w:name="_Toc68949793"/>
      <w:bookmarkStart w:id="1888" w:name="_Toc68957025"/>
      <w:bookmarkStart w:id="1889" w:name="_Toc68957281"/>
      <w:bookmarkStart w:id="1890" w:name="_Toc68957537"/>
      <w:bookmarkStart w:id="1891" w:name="_Toc68957794"/>
      <w:bookmarkStart w:id="1892" w:name="_Toc68958050"/>
      <w:bookmarkStart w:id="1893" w:name="_Toc68958305"/>
      <w:bookmarkStart w:id="1894" w:name="_Toc68958559"/>
      <w:bookmarkStart w:id="1895" w:name="_Toc68958815"/>
      <w:bookmarkStart w:id="1896" w:name="_Toc68959071"/>
      <w:bookmarkStart w:id="1897" w:name="_Toc69081586"/>
      <w:bookmarkStart w:id="1898" w:name="_Toc69083380"/>
      <w:bookmarkStart w:id="1899" w:name="_Toc69115692"/>
      <w:bookmarkStart w:id="1900" w:name="_Toc77141242"/>
      <w:bookmarkStart w:id="1901" w:name="_Toc77142154"/>
      <w:bookmarkStart w:id="1902" w:name="_Toc77142553"/>
      <w:bookmarkStart w:id="1903" w:name="_Toc77142817"/>
      <w:bookmarkStart w:id="1904" w:name="_Toc77143080"/>
      <w:bookmarkStart w:id="1905" w:name="_Toc77143417"/>
      <w:bookmarkStart w:id="1906" w:name="_Toc93469739"/>
      <w:bookmarkStart w:id="1907" w:name="_Toc93623378"/>
      <w:bookmarkStart w:id="1908" w:name="_Toc93643745"/>
      <w:bookmarkStart w:id="1909" w:name="_Toc93644012"/>
      <w:bookmarkStart w:id="1910" w:name="_Toc93644273"/>
      <w:bookmarkStart w:id="1911" w:name="_Toc93648925"/>
      <w:bookmarkStart w:id="1912" w:name="_Toc94134571"/>
      <w:bookmarkStart w:id="1913" w:name="_Toc94175835"/>
      <w:bookmarkStart w:id="1914" w:name="_Toc104797511"/>
      <w:bookmarkStart w:id="1915" w:name="_Toc68812142"/>
      <w:bookmarkStart w:id="1916" w:name="_Toc68847863"/>
      <w:bookmarkStart w:id="1917" w:name="_Toc68848168"/>
      <w:bookmarkStart w:id="1918" w:name="_Toc68848829"/>
      <w:bookmarkStart w:id="1919" w:name="_Toc68849091"/>
      <w:bookmarkStart w:id="1920" w:name="_Toc68849512"/>
      <w:bookmarkStart w:id="1921" w:name="_Toc68861406"/>
      <w:bookmarkStart w:id="1922" w:name="_Toc68861666"/>
      <w:bookmarkStart w:id="1923" w:name="_Toc68948433"/>
      <w:bookmarkStart w:id="1924" w:name="_Toc68948846"/>
      <w:bookmarkStart w:id="1925" w:name="_Toc68949111"/>
      <w:bookmarkStart w:id="1926" w:name="_Toc68949369"/>
      <w:bookmarkStart w:id="1927" w:name="_Toc68949794"/>
      <w:bookmarkStart w:id="1928" w:name="_Toc68957026"/>
      <w:bookmarkStart w:id="1929" w:name="_Toc68957282"/>
      <w:bookmarkStart w:id="1930" w:name="_Toc68957538"/>
      <w:bookmarkStart w:id="1931" w:name="_Toc68957795"/>
      <w:bookmarkStart w:id="1932" w:name="_Toc68958051"/>
      <w:bookmarkStart w:id="1933" w:name="_Toc68958306"/>
      <w:bookmarkStart w:id="1934" w:name="_Toc68958560"/>
      <w:bookmarkStart w:id="1935" w:name="_Toc68958816"/>
      <w:bookmarkStart w:id="1936" w:name="_Toc68959072"/>
      <w:bookmarkStart w:id="1937" w:name="_Toc69081587"/>
      <w:bookmarkStart w:id="1938" w:name="_Toc69083381"/>
      <w:bookmarkStart w:id="1939" w:name="_Toc69115693"/>
      <w:bookmarkStart w:id="1940" w:name="_Toc77141243"/>
      <w:bookmarkStart w:id="1941" w:name="_Toc77142155"/>
      <w:bookmarkStart w:id="1942" w:name="_Toc77142554"/>
      <w:bookmarkStart w:id="1943" w:name="_Toc77142818"/>
      <w:bookmarkStart w:id="1944" w:name="_Toc77143081"/>
      <w:bookmarkStart w:id="1945" w:name="_Toc77143418"/>
      <w:bookmarkStart w:id="1946" w:name="_Toc93469740"/>
      <w:bookmarkStart w:id="1947" w:name="_Toc93623379"/>
      <w:bookmarkStart w:id="1948" w:name="_Toc93643746"/>
      <w:bookmarkStart w:id="1949" w:name="_Toc93644013"/>
      <w:bookmarkStart w:id="1950" w:name="_Toc93644274"/>
      <w:bookmarkStart w:id="1951" w:name="_Toc93648926"/>
      <w:bookmarkStart w:id="1952" w:name="_Toc94134572"/>
      <w:bookmarkStart w:id="1953" w:name="_Toc94175836"/>
      <w:bookmarkStart w:id="1954" w:name="_Toc104797512"/>
      <w:bookmarkStart w:id="1955" w:name="_Toc68812143"/>
      <w:bookmarkStart w:id="1956" w:name="_Toc68847864"/>
      <w:bookmarkStart w:id="1957" w:name="_Toc68848169"/>
      <w:bookmarkStart w:id="1958" w:name="_Toc68848830"/>
      <w:bookmarkStart w:id="1959" w:name="_Toc68849092"/>
      <w:bookmarkStart w:id="1960" w:name="_Toc68849513"/>
      <w:bookmarkStart w:id="1961" w:name="_Toc68861407"/>
      <w:bookmarkStart w:id="1962" w:name="_Toc68861667"/>
      <w:bookmarkStart w:id="1963" w:name="_Toc68948434"/>
      <w:bookmarkStart w:id="1964" w:name="_Toc68948847"/>
      <w:bookmarkStart w:id="1965" w:name="_Toc68949112"/>
      <w:bookmarkStart w:id="1966" w:name="_Toc68949370"/>
      <w:bookmarkStart w:id="1967" w:name="_Toc68949795"/>
      <w:bookmarkStart w:id="1968" w:name="_Toc68957027"/>
      <w:bookmarkStart w:id="1969" w:name="_Toc68957283"/>
      <w:bookmarkStart w:id="1970" w:name="_Toc68957539"/>
      <w:bookmarkStart w:id="1971" w:name="_Toc68957796"/>
      <w:bookmarkStart w:id="1972" w:name="_Toc68958052"/>
      <w:bookmarkStart w:id="1973" w:name="_Toc68958307"/>
      <w:bookmarkStart w:id="1974" w:name="_Toc68958561"/>
      <w:bookmarkStart w:id="1975" w:name="_Toc68958817"/>
      <w:bookmarkStart w:id="1976" w:name="_Toc68959073"/>
      <w:bookmarkStart w:id="1977" w:name="_Toc69081588"/>
      <w:bookmarkStart w:id="1978" w:name="_Toc69083382"/>
      <w:bookmarkStart w:id="1979" w:name="_Toc69115694"/>
      <w:bookmarkStart w:id="1980" w:name="_Toc77141244"/>
      <w:bookmarkStart w:id="1981" w:name="_Toc77142156"/>
      <w:bookmarkStart w:id="1982" w:name="_Toc77142555"/>
      <w:bookmarkStart w:id="1983" w:name="_Toc77142819"/>
      <w:bookmarkStart w:id="1984" w:name="_Toc77143082"/>
      <w:bookmarkStart w:id="1985" w:name="_Toc77143419"/>
      <w:bookmarkStart w:id="1986" w:name="_Toc93469741"/>
      <w:bookmarkStart w:id="1987" w:name="_Toc93623380"/>
      <w:bookmarkStart w:id="1988" w:name="_Toc93643747"/>
      <w:bookmarkStart w:id="1989" w:name="_Toc93644014"/>
      <w:bookmarkStart w:id="1990" w:name="_Toc93644275"/>
      <w:bookmarkStart w:id="1991" w:name="_Toc93648927"/>
      <w:bookmarkStart w:id="1992" w:name="_Toc94134573"/>
      <w:bookmarkStart w:id="1993" w:name="_Toc94175837"/>
      <w:bookmarkStart w:id="1994" w:name="_Toc104797513"/>
      <w:bookmarkStart w:id="1995" w:name="_Toc68812144"/>
      <w:bookmarkStart w:id="1996" w:name="_Toc68847865"/>
      <w:bookmarkStart w:id="1997" w:name="_Toc68848170"/>
      <w:bookmarkStart w:id="1998" w:name="_Toc68848831"/>
      <w:bookmarkStart w:id="1999" w:name="_Toc68849093"/>
      <w:bookmarkStart w:id="2000" w:name="_Toc68849514"/>
      <w:bookmarkStart w:id="2001" w:name="_Toc68861408"/>
      <w:bookmarkStart w:id="2002" w:name="_Toc68861668"/>
      <w:bookmarkStart w:id="2003" w:name="_Toc68948435"/>
      <w:bookmarkStart w:id="2004" w:name="_Toc68948848"/>
      <w:bookmarkStart w:id="2005" w:name="_Toc68949113"/>
      <w:bookmarkStart w:id="2006" w:name="_Toc68949371"/>
      <w:bookmarkStart w:id="2007" w:name="_Toc68949796"/>
      <w:bookmarkStart w:id="2008" w:name="_Toc68957028"/>
      <w:bookmarkStart w:id="2009" w:name="_Toc68957284"/>
      <w:bookmarkStart w:id="2010" w:name="_Toc68957540"/>
      <w:bookmarkStart w:id="2011" w:name="_Toc68957797"/>
      <w:bookmarkStart w:id="2012" w:name="_Toc68958053"/>
      <w:bookmarkStart w:id="2013" w:name="_Toc68958308"/>
      <w:bookmarkStart w:id="2014" w:name="_Toc68958562"/>
      <w:bookmarkStart w:id="2015" w:name="_Toc68958818"/>
      <w:bookmarkStart w:id="2016" w:name="_Toc68959074"/>
      <w:bookmarkStart w:id="2017" w:name="_Toc69081589"/>
      <w:bookmarkStart w:id="2018" w:name="_Toc69083383"/>
      <w:bookmarkStart w:id="2019" w:name="_Toc69115695"/>
      <w:bookmarkStart w:id="2020" w:name="_Toc77141245"/>
      <w:bookmarkStart w:id="2021" w:name="_Toc77142157"/>
      <w:bookmarkStart w:id="2022" w:name="_Toc77142556"/>
      <w:bookmarkStart w:id="2023" w:name="_Toc77142820"/>
      <w:bookmarkStart w:id="2024" w:name="_Toc77143083"/>
      <w:bookmarkStart w:id="2025" w:name="_Toc77143420"/>
      <w:bookmarkStart w:id="2026" w:name="_Toc93469742"/>
      <w:bookmarkStart w:id="2027" w:name="_Toc93623381"/>
      <w:bookmarkStart w:id="2028" w:name="_Toc93643748"/>
      <w:bookmarkStart w:id="2029" w:name="_Toc93644015"/>
      <w:bookmarkStart w:id="2030" w:name="_Toc93644276"/>
      <w:bookmarkStart w:id="2031" w:name="_Toc93648928"/>
      <w:bookmarkStart w:id="2032" w:name="_Toc94134574"/>
      <w:bookmarkStart w:id="2033" w:name="_Toc94175838"/>
      <w:bookmarkStart w:id="2034" w:name="_Toc104797514"/>
      <w:bookmarkStart w:id="2035" w:name="_Toc68812145"/>
      <w:bookmarkStart w:id="2036" w:name="_Toc68847866"/>
      <w:bookmarkStart w:id="2037" w:name="_Toc68848171"/>
      <w:bookmarkStart w:id="2038" w:name="_Toc68848832"/>
      <w:bookmarkStart w:id="2039" w:name="_Toc68849094"/>
      <w:bookmarkStart w:id="2040" w:name="_Toc68849515"/>
      <w:bookmarkStart w:id="2041" w:name="_Toc68861409"/>
      <w:bookmarkStart w:id="2042" w:name="_Toc68861669"/>
      <w:bookmarkStart w:id="2043" w:name="_Toc68948436"/>
      <w:bookmarkStart w:id="2044" w:name="_Toc68948849"/>
      <w:bookmarkStart w:id="2045" w:name="_Toc68949114"/>
      <w:bookmarkStart w:id="2046" w:name="_Toc68949372"/>
      <w:bookmarkStart w:id="2047" w:name="_Toc68949797"/>
      <w:bookmarkStart w:id="2048" w:name="_Toc68957029"/>
      <w:bookmarkStart w:id="2049" w:name="_Toc68957285"/>
      <w:bookmarkStart w:id="2050" w:name="_Toc68957541"/>
      <w:bookmarkStart w:id="2051" w:name="_Toc68957798"/>
      <w:bookmarkStart w:id="2052" w:name="_Toc68958054"/>
      <w:bookmarkStart w:id="2053" w:name="_Toc68958309"/>
      <w:bookmarkStart w:id="2054" w:name="_Toc68958563"/>
      <w:bookmarkStart w:id="2055" w:name="_Toc68958819"/>
      <w:bookmarkStart w:id="2056" w:name="_Toc68959075"/>
      <w:bookmarkStart w:id="2057" w:name="_Toc69081590"/>
      <w:bookmarkStart w:id="2058" w:name="_Toc69083384"/>
      <w:bookmarkStart w:id="2059" w:name="_Toc69115696"/>
      <w:bookmarkStart w:id="2060" w:name="_Toc77141246"/>
      <w:bookmarkStart w:id="2061" w:name="_Toc77142158"/>
      <w:bookmarkStart w:id="2062" w:name="_Toc77142557"/>
      <w:bookmarkStart w:id="2063" w:name="_Toc77142821"/>
      <w:bookmarkStart w:id="2064" w:name="_Toc77143084"/>
      <w:bookmarkStart w:id="2065" w:name="_Toc77143421"/>
      <w:bookmarkStart w:id="2066" w:name="_Toc93469743"/>
      <w:bookmarkStart w:id="2067" w:name="_Toc93623382"/>
      <w:bookmarkStart w:id="2068" w:name="_Toc93643749"/>
      <w:bookmarkStart w:id="2069" w:name="_Toc93644016"/>
      <w:bookmarkStart w:id="2070" w:name="_Toc93644277"/>
      <w:bookmarkStart w:id="2071" w:name="_Toc93648929"/>
      <w:bookmarkStart w:id="2072" w:name="_Toc94134575"/>
      <w:bookmarkStart w:id="2073" w:name="_Toc94175839"/>
      <w:bookmarkStart w:id="2074" w:name="_Toc104797515"/>
      <w:bookmarkStart w:id="2075" w:name="_Toc68812146"/>
      <w:bookmarkStart w:id="2076" w:name="_Toc68847867"/>
      <w:bookmarkStart w:id="2077" w:name="_Toc68848172"/>
      <w:bookmarkStart w:id="2078" w:name="_Toc68848833"/>
      <w:bookmarkStart w:id="2079" w:name="_Toc68849095"/>
      <w:bookmarkStart w:id="2080" w:name="_Toc68849516"/>
      <w:bookmarkStart w:id="2081" w:name="_Toc68861410"/>
      <w:bookmarkStart w:id="2082" w:name="_Toc68861670"/>
      <w:bookmarkStart w:id="2083" w:name="_Toc68948437"/>
      <w:bookmarkStart w:id="2084" w:name="_Toc68948850"/>
      <w:bookmarkStart w:id="2085" w:name="_Toc68949115"/>
      <w:bookmarkStart w:id="2086" w:name="_Toc68949373"/>
      <w:bookmarkStart w:id="2087" w:name="_Toc68949798"/>
      <w:bookmarkStart w:id="2088" w:name="_Toc68957030"/>
      <w:bookmarkStart w:id="2089" w:name="_Toc68957286"/>
      <w:bookmarkStart w:id="2090" w:name="_Toc68957542"/>
      <w:bookmarkStart w:id="2091" w:name="_Toc68957799"/>
      <w:bookmarkStart w:id="2092" w:name="_Toc68958055"/>
      <w:bookmarkStart w:id="2093" w:name="_Toc68958310"/>
      <w:bookmarkStart w:id="2094" w:name="_Toc68958564"/>
      <w:bookmarkStart w:id="2095" w:name="_Toc68958820"/>
      <w:bookmarkStart w:id="2096" w:name="_Toc68959076"/>
      <w:bookmarkStart w:id="2097" w:name="_Toc69081591"/>
      <w:bookmarkStart w:id="2098" w:name="_Toc69083385"/>
      <w:bookmarkStart w:id="2099" w:name="_Toc69115697"/>
      <w:bookmarkStart w:id="2100" w:name="_Toc77141247"/>
      <w:bookmarkStart w:id="2101" w:name="_Toc77142159"/>
      <w:bookmarkStart w:id="2102" w:name="_Toc77142558"/>
      <w:bookmarkStart w:id="2103" w:name="_Toc77142822"/>
      <w:bookmarkStart w:id="2104" w:name="_Toc77143085"/>
      <w:bookmarkStart w:id="2105" w:name="_Toc77143422"/>
      <w:bookmarkStart w:id="2106" w:name="_Toc93469744"/>
      <w:bookmarkStart w:id="2107" w:name="_Toc93623383"/>
      <w:bookmarkStart w:id="2108" w:name="_Toc93643750"/>
      <w:bookmarkStart w:id="2109" w:name="_Toc93644017"/>
      <w:bookmarkStart w:id="2110" w:name="_Toc93644278"/>
      <w:bookmarkStart w:id="2111" w:name="_Toc93648930"/>
      <w:bookmarkStart w:id="2112" w:name="_Toc94134576"/>
      <w:bookmarkStart w:id="2113" w:name="_Toc94175840"/>
      <w:bookmarkStart w:id="2114" w:name="_Toc104797516"/>
      <w:bookmarkStart w:id="2115" w:name="_Toc68812147"/>
      <w:bookmarkStart w:id="2116" w:name="_Toc68847868"/>
      <w:bookmarkStart w:id="2117" w:name="_Toc68848173"/>
      <w:bookmarkStart w:id="2118" w:name="_Toc68848834"/>
      <w:bookmarkStart w:id="2119" w:name="_Toc68849096"/>
      <w:bookmarkStart w:id="2120" w:name="_Toc68849517"/>
      <w:bookmarkStart w:id="2121" w:name="_Toc68861411"/>
      <w:bookmarkStart w:id="2122" w:name="_Toc68861671"/>
      <w:bookmarkStart w:id="2123" w:name="_Toc68948438"/>
      <w:bookmarkStart w:id="2124" w:name="_Toc68948851"/>
      <w:bookmarkStart w:id="2125" w:name="_Toc68949116"/>
      <w:bookmarkStart w:id="2126" w:name="_Toc68949374"/>
      <w:bookmarkStart w:id="2127" w:name="_Toc68949799"/>
      <w:bookmarkStart w:id="2128" w:name="_Toc68957031"/>
      <w:bookmarkStart w:id="2129" w:name="_Toc68957287"/>
      <w:bookmarkStart w:id="2130" w:name="_Toc68957543"/>
      <w:bookmarkStart w:id="2131" w:name="_Toc68957800"/>
      <w:bookmarkStart w:id="2132" w:name="_Toc68958056"/>
      <w:bookmarkStart w:id="2133" w:name="_Toc68958311"/>
      <w:bookmarkStart w:id="2134" w:name="_Toc68958565"/>
      <w:bookmarkStart w:id="2135" w:name="_Toc68958821"/>
      <w:bookmarkStart w:id="2136" w:name="_Toc68959077"/>
      <w:bookmarkStart w:id="2137" w:name="_Toc69081592"/>
      <w:bookmarkStart w:id="2138" w:name="_Toc69083386"/>
      <w:bookmarkStart w:id="2139" w:name="_Toc69115698"/>
      <w:bookmarkStart w:id="2140" w:name="_Toc77141248"/>
      <w:bookmarkStart w:id="2141" w:name="_Toc77142160"/>
      <w:bookmarkStart w:id="2142" w:name="_Toc77142559"/>
      <w:bookmarkStart w:id="2143" w:name="_Toc77142823"/>
      <w:bookmarkStart w:id="2144" w:name="_Toc77143086"/>
      <w:bookmarkStart w:id="2145" w:name="_Toc77143423"/>
      <w:bookmarkStart w:id="2146" w:name="_Toc93469745"/>
      <w:bookmarkStart w:id="2147" w:name="_Toc93623384"/>
      <w:bookmarkStart w:id="2148" w:name="_Toc93643751"/>
      <w:bookmarkStart w:id="2149" w:name="_Toc93644018"/>
      <w:bookmarkStart w:id="2150" w:name="_Toc93644279"/>
      <w:bookmarkStart w:id="2151" w:name="_Toc93648931"/>
      <w:bookmarkStart w:id="2152" w:name="_Toc94134577"/>
      <w:bookmarkStart w:id="2153" w:name="_Toc94175841"/>
      <w:bookmarkStart w:id="2154" w:name="_Toc104797517"/>
      <w:bookmarkStart w:id="2155" w:name="_Toc212725154"/>
      <w:bookmarkStart w:id="2156" w:name="_Toc65583120"/>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r w:rsidRPr="00260790">
        <w:rPr>
          <w:rFonts w:ascii="Times New Roman" w:hAnsi="Times New Roman"/>
          <w:sz w:val="22"/>
          <w:szCs w:val="22"/>
        </w:rPr>
        <w:t>MOBILISATION DES PARTIES PRENANTES</w:t>
      </w:r>
      <w:bookmarkEnd w:id="2155"/>
    </w:p>
    <w:p w14:paraId="478C9EDD" w14:textId="425A5227" w:rsidR="005F3FB7" w:rsidRPr="00260790" w:rsidRDefault="005F3FB7" w:rsidP="00E20250">
      <w:pPr>
        <w:spacing w:after="0"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Le PMPP préparé par l’ADM dans le cadre PROGEP II, et</w:t>
      </w:r>
      <w:r w:rsidR="005F1904" w:rsidRPr="00260790">
        <w:rPr>
          <w:rFonts w:ascii="Times New Roman" w:hAnsi="Times New Roman"/>
          <w:color w:val="000000" w:themeColor="text1"/>
          <w:lang w:eastAsia="fr-FR"/>
        </w:rPr>
        <w:t xml:space="preserve"> validé par la Banque mondiale a été actualisé</w:t>
      </w:r>
      <w:r w:rsidRPr="00260790">
        <w:rPr>
          <w:rFonts w:ascii="Times New Roman" w:hAnsi="Times New Roman"/>
          <w:color w:val="000000" w:themeColor="text1"/>
          <w:lang w:eastAsia="fr-FR"/>
        </w:rPr>
        <w:t xml:space="preserve"> dans le cadre de ce financement additionnel. </w:t>
      </w:r>
      <w:r w:rsidR="005F1904" w:rsidRPr="00260790">
        <w:rPr>
          <w:rFonts w:ascii="Times New Roman" w:hAnsi="Times New Roman"/>
          <w:color w:val="000000" w:themeColor="text1"/>
          <w:lang w:eastAsia="fr-FR"/>
        </w:rPr>
        <w:t xml:space="preserve">Il est en cours de mise en œuvre. </w:t>
      </w:r>
      <w:r w:rsidRPr="00260790">
        <w:rPr>
          <w:rFonts w:ascii="Times New Roman" w:hAnsi="Times New Roman"/>
          <w:color w:val="000000" w:themeColor="text1"/>
          <w:lang w:eastAsia="fr-FR"/>
        </w:rPr>
        <w:t>Ce chapitre présente la procédure d’identification et la stratégie de mobilisation des parties prenantes dans le cadre des travaux du Bassin versant de Mb</w:t>
      </w:r>
      <w:r w:rsidR="006C0A44" w:rsidRPr="00260790">
        <w:rPr>
          <w:rFonts w:ascii="Times New Roman" w:hAnsi="Times New Roman"/>
          <w:color w:val="000000" w:themeColor="text1"/>
          <w:lang w:eastAsia="fr-FR"/>
        </w:rPr>
        <w:t>ao</w:t>
      </w:r>
      <w:r w:rsidRPr="00260790">
        <w:rPr>
          <w:rFonts w:ascii="Times New Roman" w:hAnsi="Times New Roman"/>
          <w:color w:val="000000" w:themeColor="text1"/>
          <w:lang w:eastAsia="fr-FR"/>
        </w:rPr>
        <w:t xml:space="preserve">. </w:t>
      </w:r>
    </w:p>
    <w:p w14:paraId="78B76F6E" w14:textId="77777777" w:rsidR="005F3FB7" w:rsidRPr="00260790" w:rsidRDefault="005F3FB7" w:rsidP="001748C6">
      <w:pPr>
        <w:pStyle w:val="Normaltableau0"/>
        <w:numPr>
          <w:ilvl w:val="1"/>
          <w:numId w:val="139"/>
        </w:numPr>
        <w:outlineLvl w:val="1"/>
        <w:rPr>
          <w:rFonts w:ascii="Times New Roman" w:hAnsi="Times New Roman"/>
          <w:b/>
          <w:bCs/>
          <w:sz w:val="22"/>
          <w:szCs w:val="22"/>
        </w:rPr>
      </w:pPr>
      <w:bookmarkStart w:id="2157" w:name="_Toc65583125"/>
      <w:bookmarkStart w:id="2158" w:name="_Toc106652853"/>
      <w:bookmarkStart w:id="2159" w:name="_Toc212725155"/>
      <w:r w:rsidRPr="00260790">
        <w:rPr>
          <w:rFonts w:ascii="Times New Roman" w:hAnsi="Times New Roman"/>
          <w:b/>
          <w:bCs/>
          <w:sz w:val="22"/>
          <w:szCs w:val="22"/>
        </w:rPr>
        <w:t>Information et consultation des parties prenantes dans la préparation d</w:t>
      </w:r>
      <w:bookmarkEnd w:id="2157"/>
      <w:r w:rsidRPr="00260790">
        <w:rPr>
          <w:rFonts w:ascii="Times New Roman" w:hAnsi="Times New Roman"/>
          <w:b/>
          <w:bCs/>
          <w:sz w:val="22"/>
          <w:szCs w:val="22"/>
        </w:rPr>
        <w:t>e l’EIES</w:t>
      </w:r>
      <w:bookmarkEnd w:id="2158"/>
      <w:bookmarkEnd w:id="2159"/>
    </w:p>
    <w:p w14:paraId="303AC56D" w14:textId="77777777" w:rsidR="005F3FB7"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Dans le cadre de la préparation de l’EIES, le Consultant a mené plusieurs activités d’information et de consultation auprès de différentes catégories d’acteurs : autorités administratives, services techniques centraux et déconcentrés, collectivités territoriales, organisations et leaders communautaires de base. À travers ces consultations, ces parties prenantes ont eu l’occasion de partager leurs avis, craintes et préoccupations, besoins en renforcement de capacités, attentes, suggestions et recommandations. </w:t>
      </w:r>
    </w:p>
    <w:p w14:paraId="59B4A0D1" w14:textId="77777777" w:rsidR="005F3FB7"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détail de ces activités est présenté dans le chapitre 5 portant sur la consultation du public. </w:t>
      </w:r>
    </w:p>
    <w:p w14:paraId="018A50F0" w14:textId="6A12F015" w:rsidR="005F3FB7" w:rsidRDefault="005F3FB7" w:rsidP="001748C6">
      <w:pPr>
        <w:pStyle w:val="Normaltableau0"/>
        <w:numPr>
          <w:ilvl w:val="1"/>
          <w:numId w:val="139"/>
        </w:numPr>
        <w:outlineLvl w:val="1"/>
        <w:rPr>
          <w:rFonts w:ascii="Times New Roman" w:hAnsi="Times New Roman"/>
          <w:b/>
          <w:bCs/>
          <w:sz w:val="22"/>
          <w:szCs w:val="22"/>
        </w:rPr>
      </w:pPr>
      <w:bookmarkStart w:id="2160" w:name="_Toc65583130"/>
      <w:bookmarkStart w:id="2161" w:name="_Toc106652854"/>
      <w:bookmarkStart w:id="2162" w:name="_Toc212725156"/>
      <w:r w:rsidRPr="00260790">
        <w:rPr>
          <w:rFonts w:ascii="Times New Roman" w:hAnsi="Times New Roman"/>
          <w:b/>
          <w:bCs/>
          <w:sz w:val="22"/>
          <w:szCs w:val="22"/>
        </w:rPr>
        <w:t>Identification et analyse des parties prenantes</w:t>
      </w:r>
      <w:bookmarkEnd w:id="2160"/>
      <w:bookmarkEnd w:id="2161"/>
      <w:bookmarkEnd w:id="2162"/>
    </w:p>
    <w:p w14:paraId="7391572D" w14:textId="77777777" w:rsidR="009C162E" w:rsidRPr="00260790" w:rsidRDefault="009C162E" w:rsidP="00D6633C">
      <w:pPr>
        <w:pStyle w:val="Normaltableau0"/>
        <w:ind w:left="792"/>
        <w:outlineLvl w:val="1"/>
        <w:rPr>
          <w:rFonts w:ascii="Times New Roman" w:hAnsi="Times New Roman"/>
          <w:b/>
          <w:bCs/>
          <w:sz w:val="22"/>
          <w:szCs w:val="22"/>
        </w:rPr>
      </w:pPr>
    </w:p>
    <w:p w14:paraId="324FC6F4" w14:textId="4D7881B4" w:rsidR="005F3FB7" w:rsidRPr="00260790" w:rsidRDefault="005F3FB7" w:rsidP="003B6588">
      <w:pPr>
        <w:pStyle w:val="CHAPITRE1"/>
        <w:rPr>
          <w:rFonts w:cs="Times New Roman"/>
        </w:rPr>
      </w:pPr>
      <w:bookmarkStart w:id="2163" w:name="_Toc65583131"/>
      <w:bookmarkStart w:id="2164" w:name="_Toc106652855"/>
      <w:bookmarkStart w:id="2165" w:name="_Toc212725157"/>
      <w:r w:rsidRPr="00260790">
        <w:rPr>
          <w:rFonts w:cs="Times New Roman"/>
        </w:rPr>
        <w:t>Objectifs</w:t>
      </w:r>
      <w:bookmarkEnd w:id="2163"/>
      <w:bookmarkEnd w:id="2164"/>
      <w:bookmarkEnd w:id="2165"/>
    </w:p>
    <w:p w14:paraId="39904839" w14:textId="77777777" w:rsidR="005F3FB7"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L'objet de l’identification des parties prenantes est de déterminer les organisations et les personnes susceptibles d’être directement ou indirectement affectées (de façon positive ou négative) ou d’avoir un intérêt dans le Projet. L’identification des parties prenantes permettra d’adapter la stratégie de participation selon chaque type de partie prenante. </w:t>
      </w:r>
    </w:p>
    <w:p w14:paraId="6F2F7FEB" w14:textId="77777777" w:rsidR="005F3FB7" w:rsidRPr="00260790" w:rsidRDefault="005F3FB7" w:rsidP="003B6588">
      <w:pPr>
        <w:pStyle w:val="CHAPITRE1"/>
        <w:rPr>
          <w:rFonts w:cs="Times New Roman"/>
        </w:rPr>
      </w:pPr>
      <w:bookmarkStart w:id="2166" w:name="_Toc65583132"/>
      <w:bookmarkStart w:id="2167" w:name="_Toc106652856"/>
      <w:bookmarkStart w:id="2168" w:name="_Toc212725158"/>
      <w:r w:rsidRPr="00260790">
        <w:rPr>
          <w:rFonts w:cs="Times New Roman"/>
        </w:rPr>
        <w:t>Catégories de parties prenantes</w:t>
      </w:r>
      <w:bookmarkEnd w:id="2166"/>
      <w:bookmarkEnd w:id="2167"/>
      <w:bookmarkEnd w:id="2168"/>
    </w:p>
    <w:p w14:paraId="0C4B4E5D" w14:textId="77777777" w:rsidR="005F3FB7"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Pour les besoins de l’analyse, les parties prenantes du projet ont été regroupées en trois catégories suivantes :</w:t>
      </w:r>
    </w:p>
    <w:p w14:paraId="400A0028" w14:textId="794DDA56" w:rsidR="005F3FB7" w:rsidRPr="00260790" w:rsidRDefault="005F3FB7" w:rsidP="001748C6">
      <w:pPr>
        <w:pStyle w:val="Grillemoyenne1-Accent22"/>
        <w:numPr>
          <w:ilvl w:val="0"/>
          <w:numId w:val="50"/>
        </w:numPr>
        <w:spacing w:after="160"/>
        <w:jc w:val="both"/>
        <w:rPr>
          <w:color w:val="000000" w:themeColor="text1"/>
          <w:sz w:val="22"/>
          <w:szCs w:val="22"/>
        </w:rPr>
      </w:pPr>
      <w:r w:rsidRPr="00260790">
        <w:rPr>
          <w:b/>
          <w:i/>
          <w:color w:val="000000" w:themeColor="text1"/>
          <w:sz w:val="22"/>
          <w:szCs w:val="22"/>
        </w:rPr>
        <w:t>Les parties affectées </w:t>
      </w:r>
      <w:r w:rsidRPr="00260790">
        <w:rPr>
          <w:color w:val="000000" w:themeColor="text1"/>
          <w:sz w:val="22"/>
          <w:szCs w:val="22"/>
        </w:rPr>
        <w:t>: personnes, groupes et autres entités dans l</w:t>
      </w:r>
      <w:r w:rsidR="00E95E65" w:rsidRPr="00260790">
        <w:rPr>
          <w:color w:val="000000" w:themeColor="text1"/>
          <w:sz w:val="22"/>
          <w:szCs w:val="22"/>
        </w:rPr>
        <w:t>es</w:t>
      </w:r>
      <w:r w:rsidRPr="00260790">
        <w:rPr>
          <w:color w:val="000000" w:themeColor="text1"/>
          <w:sz w:val="22"/>
          <w:szCs w:val="22"/>
        </w:rPr>
        <w:t xml:space="preserve"> zone</w:t>
      </w:r>
      <w:r w:rsidR="00E95E65" w:rsidRPr="00260790">
        <w:rPr>
          <w:color w:val="000000" w:themeColor="text1"/>
          <w:sz w:val="22"/>
          <w:szCs w:val="22"/>
        </w:rPr>
        <w:t>s</w:t>
      </w:r>
      <w:r w:rsidRPr="00260790">
        <w:rPr>
          <w:color w:val="000000" w:themeColor="text1"/>
          <w:sz w:val="22"/>
          <w:szCs w:val="22"/>
        </w:rPr>
        <w:t xml:space="preserve"> du projet qui sont directement impacté</w:t>
      </w:r>
      <w:r w:rsidR="00E95E65" w:rsidRPr="00260790">
        <w:rPr>
          <w:color w:val="000000" w:themeColor="text1"/>
          <w:sz w:val="22"/>
          <w:szCs w:val="22"/>
        </w:rPr>
        <w:t>e</w:t>
      </w:r>
      <w:r w:rsidRPr="00260790">
        <w:rPr>
          <w:color w:val="000000" w:themeColor="text1"/>
          <w:sz w:val="22"/>
          <w:szCs w:val="22"/>
        </w:rPr>
        <w:t xml:space="preserve">s (effectivement ou potentiellement, positivement ou négativement) par le projet et/ou qui ont été identifiées comme les plus susceptibles d'être affectées par le projet et qui doivent être étroitement impliquées dans l'identification des impacts et de leur importance, ainsi que dans la prise de décision sur les mesures d'atténuation et de gestion ; </w:t>
      </w:r>
    </w:p>
    <w:p w14:paraId="5AB4C51D" w14:textId="77777777" w:rsidR="005F3FB7" w:rsidRPr="00260790" w:rsidRDefault="005F3FB7" w:rsidP="001748C6">
      <w:pPr>
        <w:pStyle w:val="Grillemoyenne1-Accent22"/>
        <w:numPr>
          <w:ilvl w:val="0"/>
          <w:numId w:val="50"/>
        </w:numPr>
        <w:spacing w:after="160"/>
        <w:jc w:val="both"/>
        <w:rPr>
          <w:color w:val="000000" w:themeColor="text1"/>
          <w:sz w:val="22"/>
          <w:szCs w:val="22"/>
        </w:rPr>
      </w:pPr>
      <w:r w:rsidRPr="00260790">
        <w:rPr>
          <w:b/>
          <w:i/>
          <w:color w:val="000000" w:themeColor="text1"/>
          <w:sz w:val="22"/>
          <w:szCs w:val="22"/>
        </w:rPr>
        <w:t>Les parties prenantes intéressées</w:t>
      </w:r>
      <w:r w:rsidRPr="00260790">
        <w:rPr>
          <w:color w:val="000000" w:themeColor="text1"/>
          <w:sz w:val="22"/>
          <w:szCs w:val="22"/>
        </w:rPr>
        <w:t xml:space="preserve"> : personnes, groupes ou entités dont les intérêts peuvent être affectés par le Projet et qui ont le potentiel d'influencer les résultats du Projet de quelque manière que ce soit. </w:t>
      </w:r>
    </w:p>
    <w:p w14:paraId="63FAC76B" w14:textId="77777777" w:rsidR="005F3FB7" w:rsidRPr="00260790" w:rsidRDefault="005F3FB7" w:rsidP="00E20250">
      <w:pPr>
        <w:pStyle w:val="Grillemoyenne1-Accent22"/>
        <w:spacing w:after="160"/>
        <w:ind w:left="708"/>
        <w:jc w:val="both"/>
        <w:rPr>
          <w:color w:val="000000" w:themeColor="text1"/>
          <w:sz w:val="22"/>
          <w:szCs w:val="22"/>
        </w:rPr>
      </w:pPr>
      <w:r w:rsidRPr="00260790">
        <w:rPr>
          <w:color w:val="000000" w:themeColor="text1"/>
          <w:sz w:val="22"/>
          <w:szCs w:val="22"/>
        </w:rPr>
        <w:t>Cette catégorie englobe par exemple les autorités gouvernementales locales ou nationales, l’ADM, les partenaires techniques et financiers, les politiques, les médias, les responsables religieux, les groupes et organisations de la société civile avec leurs intérêts spéciaux, les entreprises, missions de contrôle, etc. ;</w:t>
      </w:r>
    </w:p>
    <w:p w14:paraId="26C14491" w14:textId="59C41661" w:rsidR="005F3FB7" w:rsidRPr="00260790" w:rsidRDefault="005F3FB7" w:rsidP="001748C6">
      <w:pPr>
        <w:pStyle w:val="Grillemoyenne1-Accent22"/>
        <w:numPr>
          <w:ilvl w:val="0"/>
          <w:numId w:val="50"/>
        </w:numPr>
        <w:spacing w:after="160"/>
        <w:jc w:val="both"/>
        <w:rPr>
          <w:color w:val="000000" w:themeColor="text1"/>
          <w:sz w:val="22"/>
          <w:szCs w:val="22"/>
        </w:rPr>
      </w:pPr>
      <w:r w:rsidRPr="00260790">
        <w:rPr>
          <w:b/>
          <w:i/>
          <w:color w:val="000000" w:themeColor="text1"/>
          <w:sz w:val="22"/>
          <w:szCs w:val="22"/>
        </w:rPr>
        <w:t>Les groupes vulnérables</w:t>
      </w:r>
      <w:r w:rsidRPr="00260790">
        <w:rPr>
          <w:color w:val="000000" w:themeColor="text1"/>
          <w:sz w:val="22"/>
          <w:szCs w:val="22"/>
        </w:rPr>
        <w:t> : Personnes, groupes ou communautés susceptibles d'être touchés de manière disproportionnée ou davantage défavorisé</w:t>
      </w:r>
      <w:r w:rsidR="009A0287" w:rsidRPr="00260790">
        <w:rPr>
          <w:color w:val="000000" w:themeColor="text1"/>
          <w:sz w:val="22"/>
          <w:szCs w:val="22"/>
        </w:rPr>
        <w:t>e</w:t>
      </w:r>
      <w:r w:rsidRPr="00260790">
        <w:rPr>
          <w:color w:val="000000" w:themeColor="text1"/>
          <w:sz w:val="22"/>
          <w:szCs w:val="22"/>
        </w:rPr>
        <w:t xml:space="preserve"> par le Projet par rapport à d'autres groupes en raison de leur vulnérabilité et cela peut nécessiter des efforts d'engagement spéciaux pour assurer leur représentation égale dans le processus de consultation et de prise de décision associée au projet.</w:t>
      </w:r>
    </w:p>
    <w:p w14:paraId="5F702958" w14:textId="77777777" w:rsidR="005F3FB7" w:rsidRPr="00260790" w:rsidRDefault="005F3FB7" w:rsidP="003B6588">
      <w:pPr>
        <w:pStyle w:val="CHAPITRE1"/>
        <w:rPr>
          <w:rFonts w:cs="Times New Roman"/>
        </w:rPr>
      </w:pPr>
      <w:bookmarkStart w:id="2169" w:name="_Toc65583133"/>
      <w:bookmarkStart w:id="2170" w:name="_Toc106652857"/>
      <w:bookmarkStart w:id="2171" w:name="_Toc212725159"/>
      <w:r w:rsidRPr="00260790">
        <w:rPr>
          <w:rFonts w:cs="Times New Roman"/>
        </w:rPr>
        <w:lastRenderedPageBreak/>
        <w:t>Identification des parties prenantes</w:t>
      </w:r>
      <w:bookmarkEnd w:id="2169"/>
      <w:bookmarkEnd w:id="2170"/>
      <w:bookmarkEnd w:id="2171"/>
    </w:p>
    <w:p w14:paraId="6CEEF76C" w14:textId="77777777" w:rsidR="005F3FB7"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La liste des parties prenantes ci-dessous présentée est établie sur la base des connaissances actuelles du Projet. Elle constitue une base de données évolutive et dynamique qui sera mise à jour périodiquement par le l’ADM tout au long de la vie du projet.</w:t>
      </w:r>
    </w:p>
    <w:p w14:paraId="2696DE00" w14:textId="783DF8BB" w:rsidR="005F3FB7" w:rsidRPr="00260790" w:rsidRDefault="00085FCF" w:rsidP="001748C6">
      <w:pPr>
        <w:pStyle w:val="CHAPITRE1"/>
        <w:numPr>
          <w:ilvl w:val="3"/>
          <w:numId w:val="139"/>
        </w:numPr>
        <w:rPr>
          <w:rFonts w:cs="Times New Roman"/>
          <w:i/>
          <w:iCs/>
        </w:rPr>
      </w:pPr>
      <w:bookmarkStart w:id="2172" w:name="_Toc65583134"/>
      <w:bookmarkStart w:id="2173" w:name="_Toc106652858"/>
      <w:bookmarkStart w:id="2174" w:name="_Toc212725160"/>
      <w:r w:rsidRPr="00260790">
        <w:rPr>
          <w:rFonts w:cs="Times New Roman"/>
          <w:i/>
          <w:iCs/>
        </w:rPr>
        <w:t>P</w:t>
      </w:r>
      <w:r w:rsidR="005F3FB7" w:rsidRPr="00260790">
        <w:rPr>
          <w:rFonts w:cs="Times New Roman"/>
          <w:i/>
          <w:iCs/>
        </w:rPr>
        <w:t>arties prenantes intéressées par le projet</w:t>
      </w:r>
      <w:bookmarkEnd w:id="2172"/>
      <w:bookmarkEnd w:id="2173"/>
      <w:bookmarkEnd w:id="2174"/>
    </w:p>
    <w:p w14:paraId="04CF71E8" w14:textId="77777777" w:rsidR="005F3FB7" w:rsidRPr="00260790" w:rsidRDefault="005F3FB7" w:rsidP="00E20250">
      <w:pPr>
        <w:pStyle w:val="Corpsdetexte2"/>
        <w:spacing w:line="240" w:lineRule="auto"/>
        <w:rPr>
          <w:color w:val="000000" w:themeColor="text1"/>
        </w:rPr>
      </w:pPr>
      <w:r w:rsidRPr="00260790">
        <w:rPr>
          <w:color w:val="000000" w:themeColor="text1"/>
        </w:rPr>
        <w:t>Les parties prenantes intéressées incluent toutes les entités et communautés impliquées dans la mise en œuvre du projet. Ils peuvent être scindés en deux groupes : ceux qui participent à la mise en œuvre du projet et ceux qui exercent une influence ou un intérêt dans la mise en œuvre du projet.</w:t>
      </w:r>
    </w:p>
    <w:p w14:paraId="255184D5" w14:textId="6A639FD3" w:rsidR="005F3FB7" w:rsidRPr="00260790" w:rsidRDefault="005F3FB7" w:rsidP="00E20250">
      <w:pPr>
        <w:pStyle w:val="Lgende"/>
        <w:spacing w:line="240" w:lineRule="auto"/>
        <w:rPr>
          <w:i w:val="0"/>
          <w:iCs w:val="0"/>
          <w:color w:val="000000" w:themeColor="text1"/>
          <w:sz w:val="22"/>
          <w:szCs w:val="22"/>
        </w:rPr>
      </w:pPr>
      <w:bookmarkStart w:id="2175" w:name="_Toc65583188"/>
      <w:bookmarkStart w:id="2176" w:name="_Toc207781949"/>
      <w:r w:rsidRPr="00260790">
        <w:rPr>
          <w:i w:val="0"/>
          <w:iCs w:val="0"/>
          <w:color w:val="000000" w:themeColor="text1"/>
          <w:sz w:val="22"/>
          <w:szCs w:val="22"/>
        </w:rPr>
        <w:t xml:space="preserve">Tableau </w:t>
      </w:r>
      <w:r w:rsidRPr="00260790">
        <w:rPr>
          <w:i w:val="0"/>
          <w:iCs w:val="0"/>
          <w:color w:val="000000" w:themeColor="text1"/>
          <w:sz w:val="22"/>
          <w:szCs w:val="22"/>
        </w:rPr>
        <w:fldChar w:fldCharType="begin"/>
      </w:r>
      <w:r w:rsidRPr="00260790">
        <w:rPr>
          <w:i w:val="0"/>
          <w:iCs w:val="0"/>
          <w:color w:val="000000" w:themeColor="text1"/>
          <w:sz w:val="22"/>
          <w:szCs w:val="22"/>
        </w:rPr>
        <w:instrText xml:space="preserve"> SEQ Tableau \* ARABIC </w:instrText>
      </w:r>
      <w:r w:rsidRPr="00260790">
        <w:rPr>
          <w:i w:val="0"/>
          <w:iCs w:val="0"/>
          <w:color w:val="000000" w:themeColor="text1"/>
          <w:sz w:val="22"/>
          <w:szCs w:val="22"/>
        </w:rPr>
        <w:fldChar w:fldCharType="separate"/>
      </w:r>
      <w:r w:rsidR="003C783E">
        <w:rPr>
          <w:i w:val="0"/>
          <w:iCs w:val="0"/>
          <w:noProof/>
          <w:color w:val="000000" w:themeColor="text1"/>
          <w:sz w:val="22"/>
          <w:szCs w:val="22"/>
        </w:rPr>
        <w:t>108</w:t>
      </w:r>
      <w:r w:rsidRPr="00260790">
        <w:rPr>
          <w:i w:val="0"/>
          <w:iCs w:val="0"/>
          <w:color w:val="000000" w:themeColor="text1"/>
          <w:sz w:val="22"/>
          <w:szCs w:val="22"/>
        </w:rPr>
        <w:fldChar w:fldCharType="end"/>
      </w:r>
      <w:r w:rsidRPr="00260790">
        <w:rPr>
          <w:bCs/>
          <w:i w:val="0"/>
          <w:iCs w:val="0"/>
          <w:color w:val="000000" w:themeColor="text1"/>
          <w:sz w:val="22"/>
          <w:szCs w:val="22"/>
        </w:rPr>
        <w:t xml:space="preserve"> :</w:t>
      </w:r>
      <w:r w:rsidRPr="00260790">
        <w:rPr>
          <w:i w:val="0"/>
          <w:iCs w:val="0"/>
          <w:color w:val="000000" w:themeColor="text1"/>
          <w:sz w:val="22"/>
          <w:szCs w:val="22"/>
        </w:rPr>
        <w:t xml:space="preserve"> Catégories des parties prenantes intéressées</w:t>
      </w:r>
      <w:bookmarkEnd w:id="2175"/>
      <w:bookmarkEnd w:id="2176"/>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2"/>
        <w:gridCol w:w="5529"/>
      </w:tblGrid>
      <w:tr w:rsidR="00BD1A2F" w:rsidRPr="00260790" w14:paraId="47AEB398" w14:textId="77777777" w:rsidTr="0097258B">
        <w:tc>
          <w:tcPr>
            <w:tcW w:w="3402" w:type="dxa"/>
            <w:shd w:val="clear" w:color="auto" w:fill="C5E0B3"/>
            <w:vAlign w:val="center"/>
          </w:tcPr>
          <w:p w14:paraId="4361B805" w14:textId="77777777" w:rsidR="005F3FB7" w:rsidRPr="00260790" w:rsidRDefault="005F3FB7" w:rsidP="009C162E">
            <w:pPr>
              <w:spacing w:after="0" w:line="240" w:lineRule="auto"/>
              <w:jc w:val="center"/>
              <w:rPr>
                <w:rFonts w:ascii="Times New Roman" w:hAnsi="Times New Roman"/>
                <w:color w:val="000000" w:themeColor="text1"/>
              </w:rPr>
            </w:pPr>
            <w:r w:rsidRPr="00260790">
              <w:rPr>
                <w:rFonts w:ascii="Times New Roman" w:hAnsi="Times New Roman"/>
                <w:b/>
                <w:bCs/>
                <w:color w:val="000000" w:themeColor="text1"/>
              </w:rPr>
              <w:t>Parties prenantes qui participent à la mise en œuvre du projet</w:t>
            </w:r>
          </w:p>
        </w:tc>
        <w:tc>
          <w:tcPr>
            <w:tcW w:w="5529" w:type="dxa"/>
            <w:shd w:val="clear" w:color="auto" w:fill="C5E0B3"/>
            <w:vAlign w:val="center"/>
          </w:tcPr>
          <w:p w14:paraId="16DD6D16" w14:textId="77777777" w:rsidR="005F3FB7" w:rsidRPr="00260790" w:rsidRDefault="005F3FB7" w:rsidP="009C162E">
            <w:pPr>
              <w:spacing w:after="0" w:line="240" w:lineRule="auto"/>
              <w:jc w:val="center"/>
              <w:rPr>
                <w:rFonts w:ascii="Times New Roman" w:hAnsi="Times New Roman"/>
                <w:color w:val="000000" w:themeColor="text1"/>
              </w:rPr>
            </w:pPr>
            <w:r w:rsidRPr="00260790">
              <w:rPr>
                <w:rFonts w:ascii="Times New Roman" w:hAnsi="Times New Roman"/>
                <w:b/>
                <w:bCs/>
                <w:color w:val="000000" w:themeColor="text1"/>
              </w:rPr>
              <w:t>Parties prenantes exerçant une influence ou un intérêt sur la mise en œuvre du projet</w:t>
            </w:r>
          </w:p>
        </w:tc>
      </w:tr>
      <w:tr w:rsidR="00BD1A2F" w:rsidRPr="00260790" w14:paraId="4D5727DE" w14:textId="77777777" w:rsidTr="0097258B">
        <w:tc>
          <w:tcPr>
            <w:tcW w:w="3402" w:type="dxa"/>
          </w:tcPr>
          <w:p w14:paraId="142C9674" w14:textId="77777777" w:rsidR="005F3FB7" w:rsidRPr="00260790" w:rsidRDefault="005F3FB7" w:rsidP="001748C6">
            <w:pPr>
              <w:pStyle w:val="Grillemoyenne1-Accent22"/>
              <w:numPr>
                <w:ilvl w:val="0"/>
                <w:numId w:val="51"/>
              </w:numPr>
              <w:ind w:right="142"/>
              <w:jc w:val="both"/>
              <w:rPr>
                <w:color w:val="000000" w:themeColor="text1"/>
                <w:sz w:val="22"/>
                <w:szCs w:val="22"/>
              </w:rPr>
            </w:pPr>
            <w:r w:rsidRPr="00260790">
              <w:rPr>
                <w:color w:val="000000" w:themeColor="text1"/>
                <w:sz w:val="22"/>
                <w:szCs w:val="22"/>
              </w:rPr>
              <w:t>L’ADM</w:t>
            </w:r>
          </w:p>
          <w:p w14:paraId="0D949784" w14:textId="667A5B3E" w:rsidR="005F3FB7" w:rsidRPr="00260790" w:rsidRDefault="005F3FB7" w:rsidP="001748C6">
            <w:pPr>
              <w:pStyle w:val="Grillemoyenne1-Accent22"/>
              <w:numPr>
                <w:ilvl w:val="0"/>
                <w:numId w:val="51"/>
              </w:numPr>
              <w:ind w:right="142"/>
              <w:jc w:val="both"/>
              <w:rPr>
                <w:color w:val="000000" w:themeColor="text1"/>
                <w:sz w:val="22"/>
                <w:szCs w:val="22"/>
              </w:rPr>
            </w:pPr>
            <w:r w:rsidRPr="00260790">
              <w:rPr>
                <w:color w:val="000000" w:themeColor="text1"/>
                <w:sz w:val="22"/>
                <w:szCs w:val="22"/>
              </w:rPr>
              <w:t>Les entités gouvernementales, y compris les</w:t>
            </w:r>
            <w:r w:rsidR="00A47E89" w:rsidRPr="00260790">
              <w:rPr>
                <w:color w:val="000000" w:themeColor="text1"/>
                <w:sz w:val="22"/>
                <w:szCs w:val="22"/>
              </w:rPr>
              <w:t xml:space="preserve"> </w:t>
            </w:r>
            <w:r w:rsidRPr="00260790">
              <w:rPr>
                <w:color w:val="000000" w:themeColor="text1"/>
                <w:sz w:val="22"/>
                <w:szCs w:val="22"/>
              </w:rPr>
              <w:t xml:space="preserve">services départementaux et l’administration territoriale et </w:t>
            </w:r>
            <w:r w:rsidR="00B27D4F" w:rsidRPr="00260790">
              <w:rPr>
                <w:color w:val="000000" w:themeColor="text1"/>
                <w:sz w:val="22"/>
                <w:szCs w:val="22"/>
              </w:rPr>
              <w:t xml:space="preserve">les </w:t>
            </w:r>
            <w:r w:rsidRPr="00260790">
              <w:rPr>
                <w:color w:val="000000" w:themeColor="text1"/>
                <w:sz w:val="22"/>
                <w:szCs w:val="22"/>
              </w:rPr>
              <w:t>autres entités qui assurent la gestion urbaine, le contrôle de l'utilisation des ressources naturelles et la protection de l'environnement, la santé et la sécurité des communautés, le bien-être humain, la protection sociale et l'emploi, etc.</w:t>
            </w:r>
          </w:p>
          <w:p w14:paraId="18855F59" w14:textId="77777777" w:rsidR="005F3FB7" w:rsidRPr="00260790" w:rsidRDefault="005F3FB7" w:rsidP="001748C6">
            <w:pPr>
              <w:pStyle w:val="Grillemoyenne1-Accent22"/>
              <w:numPr>
                <w:ilvl w:val="0"/>
                <w:numId w:val="51"/>
              </w:numPr>
              <w:ind w:right="142"/>
              <w:jc w:val="both"/>
              <w:rPr>
                <w:color w:val="000000" w:themeColor="text1"/>
                <w:sz w:val="22"/>
                <w:szCs w:val="22"/>
              </w:rPr>
            </w:pPr>
            <w:r w:rsidRPr="00260790">
              <w:rPr>
                <w:color w:val="000000" w:themeColor="text1"/>
                <w:sz w:val="22"/>
                <w:szCs w:val="22"/>
              </w:rPr>
              <w:t>Les partenaires financiers actuels</w:t>
            </w:r>
            <w:r w:rsidRPr="00260790" w:rsidDel="005A7FA1">
              <w:rPr>
                <w:color w:val="000000" w:themeColor="text1"/>
                <w:sz w:val="22"/>
                <w:szCs w:val="22"/>
              </w:rPr>
              <w:t xml:space="preserve"> </w:t>
            </w:r>
            <w:r w:rsidRPr="00260790">
              <w:rPr>
                <w:color w:val="000000" w:themeColor="text1"/>
                <w:sz w:val="22"/>
                <w:szCs w:val="22"/>
              </w:rPr>
              <w:t>et ceux susceptibles de devenir des partenaires potentiels du projet à l'avenir</w:t>
            </w:r>
          </w:p>
          <w:p w14:paraId="4FA79C3E" w14:textId="77777777" w:rsidR="005F3FB7" w:rsidRPr="00260790" w:rsidRDefault="005F3FB7" w:rsidP="001748C6">
            <w:pPr>
              <w:pStyle w:val="Grillemoyenne1-Accent22"/>
              <w:numPr>
                <w:ilvl w:val="0"/>
                <w:numId w:val="51"/>
              </w:numPr>
              <w:ind w:right="142"/>
              <w:jc w:val="both"/>
              <w:rPr>
                <w:color w:val="000000" w:themeColor="text1"/>
                <w:sz w:val="22"/>
                <w:szCs w:val="22"/>
              </w:rPr>
            </w:pPr>
            <w:r w:rsidRPr="00260790">
              <w:rPr>
                <w:color w:val="000000" w:themeColor="text1"/>
                <w:sz w:val="22"/>
                <w:szCs w:val="22"/>
              </w:rPr>
              <w:t>Les Partenaires techniques : le projet pourra s’attacher les services de partenaires techniques sur les questions de conseil et d’assistance technique par la signature de protocole</w:t>
            </w:r>
          </w:p>
        </w:tc>
        <w:tc>
          <w:tcPr>
            <w:tcW w:w="5529" w:type="dxa"/>
          </w:tcPr>
          <w:p w14:paraId="6C21D83A" w14:textId="77777777" w:rsidR="005F3FB7" w:rsidRPr="00260790" w:rsidRDefault="005F3FB7" w:rsidP="001748C6">
            <w:pPr>
              <w:pStyle w:val="Grillemoyenne1-Accent22"/>
              <w:numPr>
                <w:ilvl w:val="0"/>
                <w:numId w:val="51"/>
              </w:numPr>
              <w:ind w:right="130"/>
              <w:jc w:val="both"/>
              <w:rPr>
                <w:color w:val="000000" w:themeColor="text1"/>
                <w:sz w:val="22"/>
                <w:szCs w:val="22"/>
              </w:rPr>
            </w:pPr>
            <w:r w:rsidRPr="00260790">
              <w:rPr>
                <w:color w:val="000000" w:themeColor="text1"/>
                <w:sz w:val="22"/>
                <w:szCs w:val="22"/>
              </w:rPr>
              <w:t>Les collectivités territoriales ainsi que les communautés riveraines qui expriment un intérêt à la réalisation du projet</w:t>
            </w:r>
          </w:p>
          <w:p w14:paraId="697123E0" w14:textId="77777777" w:rsidR="005F3FB7" w:rsidRPr="00260790" w:rsidRDefault="005F3FB7" w:rsidP="001748C6">
            <w:pPr>
              <w:pStyle w:val="Grillemoyenne1-Accent22"/>
              <w:numPr>
                <w:ilvl w:val="0"/>
                <w:numId w:val="51"/>
              </w:numPr>
              <w:ind w:right="130"/>
              <w:jc w:val="both"/>
              <w:rPr>
                <w:color w:val="000000" w:themeColor="text1"/>
                <w:sz w:val="22"/>
                <w:szCs w:val="22"/>
              </w:rPr>
            </w:pPr>
            <w:r w:rsidRPr="00260790">
              <w:rPr>
                <w:color w:val="000000" w:themeColor="text1"/>
                <w:sz w:val="22"/>
                <w:szCs w:val="22"/>
              </w:rPr>
              <w:t>Les organisations de la société civile (ONG et OCB) et la chefferie locale qui poursuivent des intérêts environnementaux et socio-économiques, ainsi que la médiation et la protection des droits des communautés et peuvent devenir des partenaires du projet</w:t>
            </w:r>
          </w:p>
          <w:p w14:paraId="347A3D7D" w14:textId="77777777" w:rsidR="005F3FB7" w:rsidRPr="00260790" w:rsidRDefault="005F3FB7" w:rsidP="001748C6">
            <w:pPr>
              <w:pStyle w:val="Grillemoyenne1-Accent22"/>
              <w:numPr>
                <w:ilvl w:val="0"/>
                <w:numId w:val="51"/>
              </w:numPr>
              <w:ind w:right="130"/>
              <w:jc w:val="both"/>
              <w:rPr>
                <w:color w:val="000000" w:themeColor="text1"/>
                <w:sz w:val="22"/>
                <w:szCs w:val="22"/>
              </w:rPr>
            </w:pPr>
            <w:r w:rsidRPr="00260790">
              <w:rPr>
                <w:color w:val="000000" w:themeColor="text1"/>
                <w:sz w:val="22"/>
                <w:szCs w:val="22"/>
              </w:rPr>
              <w:t>Les Commissions de gestion des Plaintes et des Conflits</w:t>
            </w:r>
          </w:p>
          <w:p w14:paraId="5095BA94" w14:textId="77777777" w:rsidR="005F3FB7" w:rsidRPr="00260790" w:rsidRDefault="005F3FB7" w:rsidP="001748C6">
            <w:pPr>
              <w:pStyle w:val="Grillemoyenne1-Accent22"/>
              <w:numPr>
                <w:ilvl w:val="0"/>
                <w:numId w:val="51"/>
              </w:numPr>
              <w:ind w:right="130"/>
              <w:jc w:val="both"/>
              <w:rPr>
                <w:color w:val="000000" w:themeColor="text1"/>
                <w:sz w:val="22"/>
                <w:szCs w:val="22"/>
              </w:rPr>
            </w:pPr>
            <w:r w:rsidRPr="00260790">
              <w:rPr>
                <w:color w:val="000000" w:themeColor="text1"/>
                <w:sz w:val="22"/>
                <w:szCs w:val="22"/>
              </w:rPr>
              <w:t>Les entreprises et fournisseurs de services, de biens et de matériaux qui seront impliqués ou intéressés par les travaux de manière plus large</w:t>
            </w:r>
          </w:p>
          <w:p w14:paraId="1B239543" w14:textId="77777777" w:rsidR="005F3FB7" w:rsidRPr="00260790" w:rsidRDefault="005F3FB7" w:rsidP="001748C6">
            <w:pPr>
              <w:pStyle w:val="Grillemoyenne1-Accent22"/>
              <w:numPr>
                <w:ilvl w:val="0"/>
                <w:numId w:val="51"/>
              </w:numPr>
              <w:ind w:right="130"/>
              <w:jc w:val="both"/>
              <w:rPr>
                <w:color w:val="000000" w:themeColor="text1"/>
                <w:sz w:val="22"/>
                <w:szCs w:val="22"/>
              </w:rPr>
            </w:pPr>
            <w:r w:rsidRPr="00260790">
              <w:rPr>
                <w:color w:val="000000" w:themeColor="text1"/>
                <w:sz w:val="22"/>
                <w:szCs w:val="22"/>
              </w:rPr>
              <w:t xml:space="preserve">Les médias et les groupes d'intérêt associés, y compris les médias parlés, écrits et audiovisuels, ainsi que leurs associations. </w:t>
            </w:r>
          </w:p>
          <w:p w14:paraId="22E02580" w14:textId="2BF62D90" w:rsidR="00A47E89" w:rsidRPr="00260790" w:rsidRDefault="005F3FB7" w:rsidP="001748C6">
            <w:pPr>
              <w:pStyle w:val="Grillemoyenne1-Accent22"/>
              <w:numPr>
                <w:ilvl w:val="0"/>
                <w:numId w:val="51"/>
              </w:numPr>
              <w:ind w:right="130"/>
              <w:jc w:val="both"/>
              <w:rPr>
                <w:color w:val="000000" w:themeColor="text1"/>
                <w:sz w:val="22"/>
                <w:szCs w:val="22"/>
              </w:rPr>
            </w:pPr>
            <w:r w:rsidRPr="00260790">
              <w:rPr>
                <w:color w:val="000000" w:themeColor="text1"/>
                <w:sz w:val="22"/>
                <w:szCs w:val="22"/>
              </w:rPr>
              <w:t xml:space="preserve">Les populations des quartiers concernés </w:t>
            </w:r>
            <w:r w:rsidR="00A47E89" w:rsidRPr="00260790">
              <w:rPr>
                <w:color w:val="000000" w:themeColor="text1"/>
                <w:sz w:val="22"/>
                <w:szCs w:val="22"/>
              </w:rPr>
              <w:t xml:space="preserve">dans les </w:t>
            </w:r>
            <w:bookmarkStart w:id="2177" w:name="_Hlk188970906"/>
            <w:r w:rsidR="00A47E89" w:rsidRPr="00260790">
              <w:rPr>
                <w:color w:val="000000" w:themeColor="text1"/>
                <w:sz w:val="22"/>
                <w:szCs w:val="22"/>
              </w:rPr>
              <w:t xml:space="preserve">communes de </w:t>
            </w:r>
            <w:proofErr w:type="spellStart"/>
            <w:r w:rsidR="00A47E89" w:rsidRPr="00260790">
              <w:rPr>
                <w:color w:val="000000" w:themeColor="text1"/>
                <w:sz w:val="22"/>
                <w:szCs w:val="22"/>
              </w:rPr>
              <w:t>Jaxaay</w:t>
            </w:r>
            <w:proofErr w:type="spellEnd"/>
            <w:r w:rsidR="00A47E89" w:rsidRPr="00260790">
              <w:rPr>
                <w:color w:val="000000" w:themeColor="text1"/>
                <w:sz w:val="22"/>
                <w:szCs w:val="22"/>
              </w:rPr>
              <w:t>-Parcelles-</w:t>
            </w:r>
            <w:proofErr w:type="spellStart"/>
            <w:r w:rsidR="00A47E89" w:rsidRPr="00260790">
              <w:rPr>
                <w:color w:val="000000" w:themeColor="text1"/>
                <w:sz w:val="22"/>
                <w:szCs w:val="22"/>
              </w:rPr>
              <w:t>Niakoulrap</w:t>
            </w:r>
            <w:proofErr w:type="spellEnd"/>
            <w:r w:rsidR="00A47E89" w:rsidRPr="00260790">
              <w:rPr>
                <w:color w:val="000000" w:themeColor="text1"/>
                <w:sz w:val="22"/>
                <w:szCs w:val="22"/>
              </w:rPr>
              <w:t>, de Rufisque Ouest (département de Rufisque), de Keur Massar Sud (Département de Keur Massar) et de Mbao (Département de Pikine)</w:t>
            </w:r>
            <w:bookmarkEnd w:id="2177"/>
          </w:p>
          <w:p w14:paraId="12E098EB" w14:textId="77777777" w:rsidR="005F3FB7" w:rsidRPr="00260790" w:rsidRDefault="005F3FB7" w:rsidP="001748C6">
            <w:pPr>
              <w:pStyle w:val="Grillemoyenne1-Accent22"/>
              <w:numPr>
                <w:ilvl w:val="0"/>
                <w:numId w:val="51"/>
              </w:numPr>
              <w:ind w:right="130"/>
              <w:jc w:val="both"/>
              <w:rPr>
                <w:color w:val="000000" w:themeColor="text1"/>
                <w:sz w:val="22"/>
                <w:szCs w:val="22"/>
              </w:rPr>
            </w:pPr>
            <w:r w:rsidRPr="00260790">
              <w:rPr>
                <w:color w:val="000000" w:themeColor="text1"/>
                <w:sz w:val="22"/>
                <w:szCs w:val="22"/>
              </w:rPr>
              <w:t xml:space="preserve">Les plateformes locales de lutte contre les AES/HS telles que les CLVF, les maisons de justice, </w:t>
            </w:r>
            <w:proofErr w:type="spellStart"/>
            <w:r w:rsidRPr="00260790">
              <w:rPr>
                <w:i/>
                <w:iCs/>
                <w:color w:val="000000" w:themeColor="text1"/>
                <w:sz w:val="22"/>
                <w:szCs w:val="22"/>
              </w:rPr>
              <w:t>Bajenu</w:t>
            </w:r>
            <w:proofErr w:type="spellEnd"/>
            <w:r w:rsidRPr="00260790">
              <w:rPr>
                <w:i/>
                <w:iCs/>
                <w:color w:val="000000" w:themeColor="text1"/>
                <w:sz w:val="22"/>
                <w:szCs w:val="22"/>
              </w:rPr>
              <w:t xml:space="preserve"> Gox</w:t>
            </w:r>
            <w:r w:rsidRPr="00260790">
              <w:rPr>
                <w:color w:val="000000" w:themeColor="text1"/>
                <w:sz w:val="22"/>
                <w:szCs w:val="22"/>
              </w:rPr>
              <w:t>, etc.</w:t>
            </w:r>
          </w:p>
        </w:tc>
      </w:tr>
    </w:tbl>
    <w:p w14:paraId="23A147D7" w14:textId="7E28331C" w:rsidR="005F3FB7" w:rsidRPr="00260790" w:rsidRDefault="00085FCF" w:rsidP="001748C6">
      <w:pPr>
        <w:pStyle w:val="CHAPITRE1"/>
        <w:numPr>
          <w:ilvl w:val="3"/>
          <w:numId w:val="139"/>
        </w:numPr>
        <w:spacing w:before="240"/>
        <w:rPr>
          <w:rFonts w:cs="Times New Roman"/>
          <w:i/>
          <w:iCs/>
        </w:rPr>
      </w:pPr>
      <w:bookmarkStart w:id="2178" w:name="_Toc65583135"/>
      <w:bookmarkStart w:id="2179" w:name="_Toc106652859"/>
      <w:bookmarkStart w:id="2180" w:name="_Toc212725161"/>
      <w:r w:rsidRPr="00260790">
        <w:rPr>
          <w:rFonts w:cs="Times New Roman"/>
          <w:i/>
          <w:iCs/>
        </w:rPr>
        <w:t>P</w:t>
      </w:r>
      <w:r w:rsidR="005F3FB7" w:rsidRPr="00260790">
        <w:rPr>
          <w:rFonts w:cs="Times New Roman"/>
          <w:i/>
          <w:iCs/>
        </w:rPr>
        <w:t>arties prenantes susceptibles d’être affectées par le projet</w:t>
      </w:r>
      <w:bookmarkEnd w:id="2178"/>
      <w:bookmarkEnd w:id="2179"/>
      <w:bookmarkEnd w:id="2180"/>
    </w:p>
    <w:p w14:paraId="7D4DD4EC" w14:textId="77777777" w:rsidR="005F3FB7"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Cette catégorie concerne les parties prenantes directement affectées par le projet, que ce soit du fait de l’acquisition involontaire de terres sur les emprises du projet, ou des effets environnementaux et sociaux tels que les pollutions et nuisances, ou encore du fait des effets sociaux et économiques négatifs, y compris les risques pour la santé et la sécurité induits tout au long de la mise en œuvre des travaux de la phase d’urgence du PROGEP II. Ainsi, en prenant en compte la sphère d’influence du Projet, qui va au-delà des emprises des travaux, l’analyse des différents types de risques sociaux et environnementaux a permis d’identifier des personnes et groupes distincts qu’il convient de dénommer les parties prenantes affectées, soit directement ou indirectement. </w:t>
      </w:r>
    </w:p>
    <w:p w14:paraId="2DEE6F6D" w14:textId="77777777" w:rsidR="005F3FB7"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Quatre (4) catégories de parties prenantes suivantes directement ou indirectement affectées, négativement ou positivement, ont été identifiées.</w:t>
      </w:r>
    </w:p>
    <w:p w14:paraId="708623EF" w14:textId="77777777" w:rsidR="00A47E89"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lastRenderedPageBreak/>
        <w:t>Les parties prenantes affectées sont identifiées lors des consultations. Pour chaque partie prenante affectée, ces études indiquent les mesures spécifiques à prendre pour assurer leur résilience par rapport au projet.</w:t>
      </w:r>
      <w:bookmarkStart w:id="2181" w:name="_Toc65583190"/>
    </w:p>
    <w:p w14:paraId="311773AD" w14:textId="41AE358F" w:rsidR="005F3FB7" w:rsidRPr="001D2346" w:rsidRDefault="005F3FB7" w:rsidP="00E20250">
      <w:pPr>
        <w:spacing w:line="240" w:lineRule="auto"/>
        <w:jc w:val="both"/>
        <w:rPr>
          <w:rFonts w:ascii="Times New Roman" w:hAnsi="Times New Roman"/>
          <w:i/>
          <w:iCs/>
          <w:color w:val="000000" w:themeColor="text1"/>
        </w:rPr>
      </w:pPr>
      <w:bookmarkStart w:id="2182" w:name="_Toc207781950"/>
      <w:r w:rsidRPr="001D2346">
        <w:rPr>
          <w:rFonts w:ascii="Times New Roman" w:hAnsi="Times New Roman"/>
          <w:i/>
          <w:iCs/>
          <w:color w:val="000000" w:themeColor="text1"/>
        </w:rPr>
        <w:t xml:space="preserve">Tableau </w:t>
      </w:r>
      <w:r w:rsidRPr="001D2346">
        <w:rPr>
          <w:rFonts w:ascii="Times New Roman" w:hAnsi="Times New Roman"/>
          <w:i/>
          <w:iCs/>
          <w:color w:val="000000" w:themeColor="text1"/>
        </w:rPr>
        <w:fldChar w:fldCharType="begin"/>
      </w:r>
      <w:r w:rsidRPr="001D2346">
        <w:rPr>
          <w:rFonts w:ascii="Times New Roman" w:hAnsi="Times New Roman"/>
          <w:i/>
          <w:iCs/>
          <w:color w:val="000000" w:themeColor="text1"/>
        </w:rPr>
        <w:instrText xml:space="preserve"> SEQ Tableau \* ARABIC </w:instrText>
      </w:r>
      <w:r w:rsidRPr="001D2346">
        <w:rPr>
          <w:rFonts w:ascii="Times New Roman" w:hAnsi="Times New Roman"/>
          <w:i/>
          <w:iCs/>
          <w:color w:val="000000" w:themeColor="text1"/>
        </w:rPr>
        <w:fldChar w:fldCharType="separate"/>
      </w:r>
      <w:r w:rsidR="003C783E">
        <w:rPr>
          <w:rFonts w:ascii="Times New Roman" w:hAnsi="Times New Roman"/>
          <w:i/>
          <w:iCs/>
          <w:noProof/>
          <w:color w:val="000000" w:themeColor="text1"/>
        </w:rPr>
        <w:t>109</w:t>
      </w:r>
      <w:r w:rsidRPr="001D2346">
        <w:rPr>
          <w:rFonts w:ascii="Times New Roman" w:hAnsi="Times New Roman"/>
          <w:i/>
          <w:iCs/>
          <w:color w:val="000000" w:themeColor="text1"/>
        </w:rPr>
        <w:fldChar w:fldCharType="end"/>
      </w:r>
      <w:r w:rsidRPr="001D2346">
        <w:rPr>
          <w:rFonts w:ascii="Times New Roman" w:hAnsi="Times New Roman"/>
          <w:i/>
          <w:iCs/>
          <w:color w:val="000000" w:themeColor="text1"/>
        </w:rPr>
        <w:t xml:space="preserve"> : Liste des parties prenantes affectées</w:t>
      </w:r>
      <w:bookmarkEnd w:id="2181"/>
      <w:bookmarkEnd w:id="2182"/>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60"/>
        <w:gridCol w:w="2693"/>
        <w:gridCol w:w="5103"/>
      </w:tblGrid>
      <w:tr w:rsidR="00BD1A2F" w:rsidRPr="00260790" w14:paraId="58D47C47" w14:textId="77777777" w:rsidTr="005F3FB7">
        <w:trPr>
          <w:trHeight w:val="516"/>
        </w:trPr>
        <w:tc>
          <w:tcPr>
            <w:tcW w:w="1560" w:type="dxa"/>
            <w:shd w:val="clear" w:color="auto" w:fill="C5E0B3"/>
            <w:vAlign w:val="center"/>
          </w:tcPr>
          <w:p w14:paraId="6BBD9241" w14:textId="77777777" w:rsidR="005F3FB7" w:rsidRPr="00260790" w:rsidRDefault="005F3FB7" w:rsidP="00E20250">
            <w:pPr>
              <w:spacing w:after="0" w:line="240" w:lineRule="auto"/>
              <w:jc w:val="center"/>
              <w:rPr>
                <w:rFonts w:ascii="Times New Roman" w:hAnsi="Times New Roman"/>
                <w:b/>
                <w:color w:val="000000" w:themeColor="text1"/>
              </w:rPr>
            </w:pPr>
            <w:r w:rsidRPr="00260790">
              <w:rPr>
                <w:rFonts w:ascii="Times New Roman" w:hAnsi="Times New Roman"/>
                <w:b/>
                <w:color w:val="000000" w:themeColor="text1"/>
              </w:rPr>
              <w:t>Parties prenantes affectées</w:t>
            </w:r>
          </w:p>
        </w:tc>
        <w:tc>
          <w:tcPr>
            <w:tcW w:w="2693" w:type="dxa"/>
            <w:shd w:val="clear" w:color="auto" w:fill="C5E0B3"/>
            <w:vAlign w:val="center"/>
          </w:tcPr>
          <w:p w14:paraId="62A0C2B8" w14:textId="77777777" w:rsidR="005F3FB7" w:rsidRPr="00260790" w:rsidRDefault="005F3FB7" w:rsidP="00E20250">
            <w:pPr>
              <w:spacing w:after="0" w:line="240" w:lineRule="auto"/>
              <w:jc w:val="center"/>
              <w:rPr>
                <w:rFonts w:ascii="Times New Roman" w:hAnsi="Times New Roman"/>
                <w:b/>
                <w:color w:val="000000" w:themeColor="text1"/>
              </w:rPr>
            </w:pPr>
            <w:r w:rsidRPr="00260790">
              <w:rPr>
                <w:rFonts w:ascii="Times New Roman" w:hAnsi="Times New Roman"/>
                <w:b/>
                <w:color w:val="000000" w:themeColor="text1"/>
              </w:rPr>
              <w:t>Catégorie identifiée</w:t>
            </w:r>
          </w:p>
        </w:tc>
        <w:tc>
          <w:tcPr>
            <w:tcW w:w="5103" w:type="dxa"/>
            <w:shd w:val="clear" w:color="auto" w:fill="C5E0B3"/>
            <w:vAlign w:val="center"/>
          </w:tcPr>
          <w:p w14:paraId="4C5AF777" w14:textId="77777777" w:rsidR="005F3FB7" w:rsidRPr="00260790" w:rsidRDefault="005F3FB7" w:rsidP="00E20250">
            <w:pPr>
              <w:spacing w:after="0" w:line="240" w:lineRule="auto"/>
              <w:jc w:val="center"/>
              <w:rPr>
                <w:rFonts w:ascii="Times New Roman" w:hAnsi="Times New Roman"/>
                <w:b/>
                <w:color w:val="000000" w:themeColor="text1"/>
              </w:rPr>
            </w:pPr>
            <w:r w:rsidRPr="00260790">
              <w:rPr>
                <w:rFonts w:ascii="Times New Roman" w:hAnsi="Times New Roman"/>
                <w:b/>
                <w:color w:val="000000" w:themeColor="text1"/>
              </w:rPr>
              <w:t>Impacts/effets potentiels</w:t>
            </w:r>
          </w:p>
        </w:tc>
      </w:tr>
      <w:tr w:rsidR="00BD1A2F" w:rsidRPr="00260790" w14:paraId="2601D7EA" w14:textId="77777777" w:rsidTr="005F3FB7">
        <w:tc>
          <w:tcPr>
            <w:tcW w:w="1560" w:type="dxa"/>
            <w:vAlign w:val="center"/>
          </w:tcPr>
          <w:p w14:paraId="6AB086C8" w14:textId="77777777" w:rsidR="005F3FB7" w:rsidRPr="00260790" w:rsidRDefault="005F3FB7" w:rsidP="00E20250">
            <w:pPr>
              <w:spacing w:after="0" w:line="240" w:lineRule="auto"/>
              <w:ind w:right="138"/>
              <w:jc w:val="center"/>
              <w:rPr>
                <w:rFonts w:ascii="Times New Roman" w:hAnsi="Times New Roman"/>
                <w:color w:val="000000" w:themeColor="text1"/>
              </w:rPr>
            </w:pPr>
            <w:r w:rsidRPr="00260790">
              <w:rPr>
                <w:rFonts w:ascii="Times New Roman" w:hAnsi="Times New Roman"/>
                <w:color w:val="000000" w:themeColor="text1"/>
              </w:rPr>
              <w:t>PAP</w:t>
            </w:r>
          </w:p>
        </w:tc>
        <w:tc>
          <w:tcPr>
            <w:tcW w:w="2693" w:type="dxa"/>
            <w:vAlign w:val="center"/>
          </w:tcPr>
          <w:p w14:paraId="112FA271" w14:textId="77777777" w:rsidR="005F3FB7" w:rsidRPr="00260790" w:rsidRDefault="005F3FB7" w:rsidP="001748C6">
            <w:pPr>
              <w:pStyle w:val="Grillemoyenne1-Accent22"/>
              <w:numPr>
                <w:ilvl w:val="0"/>
                <w:numId w:val="58"/>
              </w:numPr>
              <w:ind w:left="475" w:right="127"/>
              <w:jc w:val="both"/>
              <w:rPr>
                <w:color w:val="000000" w:themeColor="text1"/>
                <w:sz w:val="22"/>
                <w:szCs w:val="22"/>
              </w:rPr>
            </w:pPr>
            <w:r w:rsidRPr="00260790">
              <w:rPr>
                <w:color w:val="000000" w:themeColor="text1"/>
                <w:sz w:val="22"/>
                <w:szCs w:val="22"/>
              </w:rPr>
              <w:t>Habitats</w:t>
            </w:r>
          </w:p>
          <w:p w14:paraId="6B777F39" w14:textId="77777777" w:rsidR="005F3FB7" w:rsidRPr="00260790" w:rsidRDefault="005F3FB7" w:rsidP="001748C6">
            <w:pPr>
              <w:pStyle w:val="Grillemoyenne1-Accent22"/>
              <w:numPr>
                <w:ilvl w:val="0"/>
                <w:numId w:val="58"/>
              </w:numPr>
              <w:ind w:left="475" w:right="127"/>
              <w:jc w:val="both"/>
              <w:rPr>
                <w:color w:val="000000" w:themeColor="text1"/>
                <w:sz w:val="22"/>
                <w:szCs w:val="22"/>
              </w:rPr>
            </w:pPr>
            <w:r w:rsidRPr="00260790">
              <w:rPr>
                <w:color w:val="000000" w:themeColor="text1"/>
                <w:sz w:val="22"/>
                <w:szCs w:val="22"/>
              </w:rPr>
              <w:t>Places d’affaires</w:t>
            </w:r>
          </w:p>
          <w:p w14:paraId="7B34E215" w14:textId="77777777" w:rsidR="005F3FB7" w:rsidRPr="00260790" w:rsidRDefault="005F3FB7" w:rsidP="001748C6">
            <w:pPr>
              <w:pStyle w:val="Grillemoyenne1-Accent22"/>
              <w:numPr>
                <w:ilvl w:val="0"/>
                <w:numId w:val="58"/>
              </w:numPr>
              <w:ind w:left="475" w:right="127"/>
              <w:jc w:val="both"/>
              <w:rPr>
                <w:color w:val="000000" w:themeColor="text1"/>
                <w:sz w:val="22"/>
                <w:szCs w:val="22"/>
              </w:rPr>
            </w:pPr>
            <w:r w:rsidRPr="00260790">
              <w:rPr>
                <w:color w:val="000000" w:themeColor="text1"/>
                <w:sz w:val="22"/>
                <w:szCs w:val="22"/>
              </w:rPr>
              <w:t>Agriculteurs</w:t>
            </w:r>
          </w:p>
          <w:p w14:paraId="40F71441" w14:textId="2C4EFC78" w:rsidR="006E0EA3" w:rsidRPr="00260790" w:rsidRDefault="00874DDA" w:rsidP="001748C6">
            <w:pPr>
              <w:pStyle w:val="Grillemoyenne1-Accent22"/>
              <w:numPr>
                <w:ilvl w:val="0"/>
                <w:numId w:val="58"/>
              </w:numPr>
              <w:ind w:left="475" w:right="127"/>
              <w:jc w:val="both"/>
              <w:rPr>
                <w:color w:val="000000" w:themeColor="text1"/>
                <w:sz w:val="22"/>
                <w:szCs w:val="22"/>
              </w:rPr>
            </w:pPr>
            <w:r w:rsidRPr="00260790">
              <w:rPr>
                <w:color w:val="000000" w:themeColor="text1"/>
                <w:sz w:val="22"/>
                <w:szCs w:val="22"/>
              </w:rPr>
              <w:t>Infrastructures</w:t>
            </w:r>
          </w:p>
          <w:p w14:paraId="36D22947" w14:textId="77777777" w:rsidR="005F3FB7" w:rsidRPr="00260790" w:rsidRDefault="005F3FB7" w:rsidP="001748C6">
            <w:pPr>
              <w:pStyle w:val="Grillemoyenne1-Accent22"/>
              <w:numPr>
                <w:ilvl w:val="0"/>
                <w:numId w:val="58"/>
              </w:numPr>
              <w:ind w:left="475" w:right="127"/>
              <w:jc w:val="both"/>
              <w:rPr>
                <w:color w:val="000000" w:themeColor="text1"/>
                <w:sz w:val="22"/>
                <w:szCs w:val="22"/>
              </w:rPr>
            </w:pPr>
            <w:r w:rsidRPr="00260790">
              <w:rPr>
                <w:color w:val="000000" w:themeColor="text1"/>
                <w:sz w:val="22"/>
                <w:szCs w:val="22"/>
              </w:rPr>
              <w:t>Lieux de cultes</w:t>
            </w:r>
          </w:p>
          <w:p w14:paraId="37866721" w14:textId="77777777" w:rsidR="005F3FB7" w:rsidRPr="00260790" w:rsidRDefault="005F3FB7" w:rsidP="001748C6">
            <w:pPr>
              <w:pStyle w:val="Grillemoyenne1-Accent22"/>
              <w:numPr>
                <w:ilvl w:val="0"/>
                <w:numId w:val="58"/>
              </w:numPr>
              <w:ind w:left="475" w:right="127"/>
              <w:jc w:val="both"/>
              <w:rPr>
                <w:color w:val="000000" w:themeColor="text1"/>
                <w:sz w:val="22"/>
                <w:szCs w:val="22"/>
              </w:rPr>
            </w:pPr>
            <w:r w:rsidRPr="00260790">
              <w:rPr>
                <w:color w:val="000000" w:themeColor="text1"/>
                <w:sz w:val="22"/>
                <w:szCs w:val="22"/>
              </w:rPr>
              <w:t>Pêcheurs</w:t>
            </w:r>
          </w:p>
          <w:p w14:paraId="3A2F2AC4" w14:textId="77777777" w:rsidR="005F3FB7" w:rsidRPr="00260790" w:rsidRDefault="005F3FB7" w:rsidP="001748C6">
            <w:pPr>
              <w:pStyle w:val="Grillemoyenne1-Accent22"/>
              <w:numPr>
                <w:ilvl w:val="0"/>
                <w:numId w:val="58"/>
              </w:numPr>
              <w:ind w:left="475" w:right="127"/>
              <w:jc w:val="both"/>
              <w:rPr>
                <w:color w:val="000000" w:themeColor="text1"/>
                <w:sz w:val="22"/>
                <w:szCs w:val="22"/>
              </w:rPr>
            </w:pPr>
            <w:r w:rsidRPr="00260790">
              <w:rPr>
                <w:color w:val="000000" w:themeColor="text1"/>
                <w:sz w:val="22"/>
                <w:szCs w:val="22"/>
              </w:rPr>
              <w:t>Éleveurs</w:t>
            </w:r>
          </w:p>
        </w:tc>
        <w:tc>
          <w:tcPr>
            <w:tcW w:w="5103" w:type="dxa"/>
            <w:vAlign w:val="center"/>
          </w:tcPr>
          <w:p w14:paraId="3E886982" w14:textId="77777777" w:rsidR="005F3FB7" w:rsidRPr="00260790" w:rsidRDefault="005F3FB7" w:rsidP="00E20250">
            <w:pPr>
              <w:spacing w:after="0" w:line="240" w:lineRule="auto"/>
              <w:ind w:right="130"/>
              <w:jc w:val="both"/>
              <w:rPr>
                <w:rFonts w:ascii="Times New Roman" w:hAnsi="Times New Roman"/>
                <w:b/>
                <w:color w:val="000000" w:themeColor="text1"/>
              </w:rPr>
            </w:pPr>
            <w:r w:rsidRPr="00260790">
              <w:rPr>
                <w:rFonts w:ascii="Times New Roman" w:hAnsi="Times New Roman"/>
                <w:b/>
                <w:color w:val="000000" w:themeColor="text1"/>
              </w:rPr>
              <w:t>Positifs</w:t>
            </w:r>
          </w:p>
          <w:p w14:paraId="124484EF" w14:textId="77777777" w:rsidR="005F3FB7" w:rsidRPr="00260790" w:rsidRDefault="005F3FB7" w:rsidP="001748C6">
            <w:pPr>
              <w:pStyle w:val="Grillemoyenne1-Accent22"/>
              <w:numPr>
                <w:ilvl w:val="0"/>
                <w:numId w:val="70"/>
              </w:numPr>
              <w:ind w:right="130"/>
              <w:jc w:val="both"/>
              <w:rPr>
                <w:color w:val="000000" w:themeColor="text1"/>
                <w:sz w:val="22"/>
                <w:szCs w:val="22"/>
              </w:rPr>
            </w:pPr>
            <w:r w:rsidRPr="00260790">
              <w:rPr>
                <w:color w:val="000000" w:themeColor="text1"/>
                <w:sz w:val="22"/>
                <w:szCs w:val="22"/>
              </w:rPr>
              <w:t>Protection contre les risques d’inondation</w:t>
            </w:r>
          </w:p>
          <w:p w14:paraId="69AC7D18" w14:textId="77777777" w:rsidR="005F3FB7" w:rsidRPr="00260790" w:rsidRDefault="005F3FB7" w:rsidP="001748C6">
            <w:pPr>
              <w:pStyle w:val="Grillemoyenne1-Accent22"/>
              <w:numPr>
                <w:ilvl w:val="0"/>
                <w:numId w:val="70"/>
              </w:numPr>
              <w:ind w:right="130"/>
              <w:jc w:val="both"/>
              <w:rPr>
                <w:color w:val="000000" w:themeColor="text1"/>
                <w:sz w:val="22"/>
                <w:szCs w:val="22"/>
              </w:rPr>
            </w:pPr>
            <w:r w:rsidRPr="00260790">
              <w:rPr>
                <w:color w:val="000000" w:themeColor="text1"/>
                <w:sz w:val="22"/>
                <w:szCs w:val="22"/>
              </w:rPr>
              <w:t>Amélioration des conditions de vie et d’exercice des activités socio-économiques et de culte</w:t>
            </w:r>
          </w:p>
          <w:p w14:paraId="1947EB5F" w14:textId="77777777" w:rsidR="005F3FB7" w:rsidRPr="00260790" w:rsidRDefault="005F3FB7" w:rsidP="001748C6">
            <w:pPr>
              <w:pStyle w:val="Grillemoyenne1-Accent22"/>
              <w:numPr>
                <w:ilvl w:val="0"/>
                <w:numId w:val="70"/>
              </w:numPr>
              <w:ind w:right="130"/>
              <w:jc w:val="both"/>
              <w:rPr>
                <w:color w:val="000000" w:themeColor="text1"/>
                <w:sz w:val="22"/>
                <w:szCs w:val="22"/>
              </w:rPr>
            </w:pPr>
            <w:r w:rsidRPr="00260790">
              <w:rPr>
                <w:color w:val="000000" w:themeColor="text1"/>
                <w:sz w:val="22"/>
                <w:szCs w:val="22"/>
              </w:rPr>
              <w:t>Prise en charge des personnes vulnérables</w:t>
            </w:r>
          </w:p>
          <w:p w14:paraId="771D5355" w14:textId="77777777" w:rsidR="005F3FB7" w:rsidRPr="00260790" w:rsidRDefault="005F3FB7" w:rsidP="00E20250">
            <w:pPr>
              <w:spacing w:after="0" w:line="240" w:lineRule="auto"/>
              <w:ind w:right="130"/>
              <w:jc w:val="both"/>
              <w:rPr>
                <w:rFonts w:ascii="Times New Roman" w:hAnsi="Times New Roman"/>
                <w:b/>
                <w:color w:val="000000" w:themeColor="text1"/>
              </w:rPr>
            </w:pPr>
            <w:r w:rsidRPr="00260790">
              <w:rPr>
                <w:rFonts w:ascii="Times New Roman" w:hAnsi="Times New Roman"/>
                <w:b/>
                <w:color w:val="000000" w:themeColor="text1"/>
              </w:rPr>
              <w:t>Négatif</w:t>
            </w:r>
          </w:p>
          <w:p w14:paraId="3B12CA15" w14:textId="77777777" w:rsidR="005F3FB7" w:rsidRPr="00260790" w:rsidRDefault="005F3FB7" w:rsidP="001748C6">
            <w:pPr>
              <w:pStyle w:val="Grillemoyenne1-Accent22"/>
              <w:numPr>
                <w:ilvl w:val="0"/>
                <w:numId w:val="52"/>
              </w:numPr>
              <w:ind w:right="130"/>
              <w:jc w:val="both"/>
              <w:rPr>
                <w:color w:val="000000" w:themeColor="text1"/>
                <w:sz w:val="22"/>
                <w:szCs w:val="22"/>
              </w:rPr>
            </w:pPr>
            <w:r w:rsidRPr="00260790">
              <w:rPr>
                <w:color w:val="000000" w:themeColor="text1"/>
                <w:sz w:val="22"/>
                <w:szCs w:val="22"/>
              </w:rPr>
              <w:t>Pertes de biens</w:t>
            </w:r>
          </w:p>
          <w:p w14:paraId="5ADF582D" w14:textId="77777777" w:rsidR="005F3FB7" w:rsidRPr="00260790" w:rsidRDefault="005F3FB7" w:rsidP="001748C6">
            <w:pPr>
              <w:pStyle w:val="Grillemoyenne1-Accent22"/>
              <w:numPr>
                <w:ilvl w:val="0"/>
                <w:numId w:val="52"/>
              </w:numPr>
              <w:ind w:right="130"/>
              <w:jc w:val="both"/>
              <w:rPr>
                <w:color w:val="000000" w:themeColor="text1"/>
                <w:sz w:val="22"/>
                <w:szCs w:val="22"/>
              </w:rPr>
            </w:pPr>
            <w:r w:rsidRPr="00260790">
              <w:rPr>
                <w:color w:val="000000" w:themeColor="text1"/>
                <w:sz w:val="22"/>
                <w:szCs w:val="22"/>
              </w:rPr>
              <w:t>Pertes d’emplois</w:t>
            </w:r>
          </w:p>
          <w:p w14:paraId="45469A4D" w14:textId="77777777" w:rsidR="005F3FB7" w:rsidRPr="00260790" w:rsidRDefault="005F3FB7" w:rsidP="001748C6">
            <w:pPr>
              <w:pStyle w:val="Grillemoyenne1-Accent22"/>
              <w:numPr>
                <w:ilvl w:val="0"/>
                <w:numId w:val="52"/>
              </w:numPr>
              <w:ind w:right="130"/>
              <w:jc w:val="both"/>
              <w:rPr>
                <w:color w:val="000000" w:themeColor="text1"/>
                <w:sz w:val="22"/>
                <w:szCs w:val="22"/>
              </w:rPr>
            </w:pPr>
            <w:r w:rsidRPr="00260790">
              <w:rPr>
                <w:color w:val="000000" w:themeColor="text1"/>
                <w:sz w:val="22"/>
                <w:szCs w:val="22"/>
              </w:rPr>
              <w:t>Pertes de sources de revenus</w:t>
            </w:r>
          </w:p>
          <w:p w14:paraId="409A61A7" w14:textId="77777777" w:rsidR="005F3FB7" w:rsidRPr="00260790" w:rsidRDefault="005F3FB7" w:rsidP="001748C6">
            <w:pPr>
              <w:pStyle w:val="Grillemoyenne1-Accent22"/>
              <w:numPr>
                <w:ilvl w:val="0"/>
                <w:numId w:val="52"/>
              </w:numPr>
              <w:ind w:right="130"/>
              <w:jc w:val="both"/>
              <w:rPr>
                <w:color w:val="000000" w:themeColor="text1"/>
                <w:sz w:val="22"/>
                <w:szCs w:val="22"/>
              </w:rPr>
            </w:pPr>
            <w:r w:rsidRPr="00260790">
              <w:rPr>
                <w:color w:val="000000" w:themeColor="text1"/>
                <w:sz w:val="22"/>
                <w:szCs w:val="22"/>
              </w:rPr>
              <w:t>Perturbations des activités</w:t>
            </w:r>
          </w:p>
          <w:p w14:paraId="7DA109CC" w14:textId="77777777" w:rsidR="005F3FB7" w:rsidRPr="00260790" w:rsidRDefault="005F3FB7" w:rsidP="001748C6">
            <w:pPr>
              <w:pStyle w:val="Grillemoyenne1-Accent22"/>
              <w:numPr>
                <w:ilvl w:val="0"/>
                <w:numId w:val="52"/>
              </w:numPr>
              <w:ind w:right="130"/>
              <w:jc w:val="both"/>
              <w:rPr>
                <w:color w:val="000000" w:themeColor="text1"/>
                <w:sz w:val="22"/>
                <w:szCs w:val="22"/>
              </w:rPr>
            </w:pPr>
            <w:r w:rsidRPr="00260790">
              <w:rPr>
                <w:color w:val="000000" w:themeColor="text1"/>
                <w:sz w:val="22"/>
                <w:szCs w:val="22"/>
              </w:rPr>
              <w:t>Perturbation de l’accès</w:t>
            </w:r>
          </w:p>
        </w:tc>
      </w:tr>
      <w:tr w:rsidR="00BD1A2F" w:rsidRPr="00260790" w14:paraId="33ADDAC9" w14:textId="77777777" w:rsidTr="005F3FB7">
        <w:tc>
          <w:tcPr>
            <w:tcW w:w="1560" w:type="dxa"/>
            <w:vAlign w:val="center"/>
          </w:tcPr>
          <w:p w14:paraId="2FC4E8C7" w14:textId="77777777" w:rsidR="005F3FB7" w:rsidRPr="00260790" w:rsidRDefault="005F3FB7" w:rsidP="00E20250">
            <w:pPr>
              <w:pStyle w:val="Grillemoyenne1-Accent22"/>
              <w:ind w:left="0" w:right="130"/>
              <w:jc w:val="center"/>
              <w:rPr>
                <w:color w:val="000000" w:themeColor="text1"/>
                <w:sz w:val="22"/>
                <w:szCs w:val="22"/>
              </w:rPr>
            </w:pPr>
            <w:r w:rsidRPr="00260790">
              <w:rPr>
                <w:color w:val="000000" w:themeColor="text1"/>
                <w:sz w:val="22"/>
                <w:szCs w:val="22"/>
              </w:rPr>
              <w:t>Communautés riveraines</w:t>
            </w:r>
          </w:p>
        </w:tc>
        <w:tc>
          <w:tcPr>
            <w:tcW w:w="2693" w:type="dxa"/>
            <w:vAlign w:val="center"/>
          </w:tcPr>
          <w:p w14:paraId="3022D9AF" w14:textId="1A48D1B6" w:rsidR="005F3FB7" w:rsidRPr="00260790" w:rsidRDefault="005F3FB7" w:rsidP="001748C6">
            <w:pPr>
              <w:pStyle w:val="Grillemoyenne1-Accent22"/>
              <w:numPr>
                <w:ilvl w:val="0"/>
                <w:numId w:val="58"/>
              </w:numPr>
              <w:ind w:left="475" w:right="127"/>
              <w:jc w:val="both"/>
              <w:rPr>
                <w:color w:val="000000" w:themeColor="text1"/>
                <w:sz w:val="22"/>
                <w:szCs w:val="22"/>
              </w:rPr>
            </w:pPr>
            <w:r w:rsidRPr="00260790">
              <w:rPr>
                <w:color w:val="000000" w:themeColor="text1"/>
                <w:sz w:val="22"/>
                <w:szCs w:val="22"/>
              </w:rPr>
              <w:t>Populations des quartiers situés dans les zones d’interventions (</w:t>
            </w:r>
            <w:r w:rsidR="00DD097E" w:rsidRPr="00260790">
              <w:rPr>
                <w:color w:val="000000" w:themeColor="text1"/>
                <w:sz w:val="22"/>
                <w:szCs w:val="22"/>
              </w:rPr>
              <w:t xml:space="preserve">Communes </w:t>
            </w:r>
            <w:r w:rsidR="006E0EA3" w:rsidRPr="00260790">
              <w:rPr>
                <w:color w:val="000000" w:themeColor="text1"/>
                <w:sz w:val="22"/>
                <w:szCs w:val="22"/>
              </w:rPr>
              <w:t xml:space="preserve">de </w:t>
            </w:r>
            <w:proofErr w:type="spellStart"/>
            <w:r w:rsidR="006E0EA3" w:rsidRPr="00260790">
              <w:rPr>
                <w:color w:val="000000" w:themeColor="text1"/>
                <w:sz w:val="22"/>
                <w:szCs w:val="22"/>
              </w:rPr>
              <w:t>Jaxaay</w:t>
            </w:r>
            <w:proofErr w:type="spellEnd"/>
            <w:r w:rsidR="006E0EA3" w:rsidRPr="00260790">
              <w:rPr>
                <w:color w:val="000000" w:themeColor="text1"/>
                <w:sz w:val="22"/>
                <w:szCs w:val="22"/>
              </w:rPr>
              <w:t>-Parcelles-</w:t>
            </w:r>
            <w:proofErr w:type="spellStart"/>
            <w:r w:rsidR="006E0EA3" w:rsidRPr="00260790">
              <w:rPr>
                <w:color w:val="000000" w:themeColor="text1"/>
                <w:sz w:val="22"/>
                <w:szCs w:val="22"/>
              </w:rPr>
              <w:t>Niakoulrap</w:t>
            </w:r>
            <w:proofErr w:type="spellEnd"/>
            <w:r w:rsidR="006E0EA3" w:rsidRPr="00260790">
              <w:rPr>
                <w:color w:val="000000" w:themeColor="text1"/>
                <w:sz w:val="22"/>
                <w:szCs w:val="22"/>
              </w:rPr>
              <w:t>, de Rufisque Ouest, de Keur Massar Sud et de Mbao</w:t>
            </w:r>
            <w:r w:rsidRPr="00260790">
              <w:rPr>
                <w:color w:val="000000" w:themeColor="text1"/>
                <w:sz w:val="22"/>
                <w:szCs w:val="22"/>
              </w:rPr>
              <w:t>)</w:t>
            </w:r>
          </w:p>
        </w:tc>
        <w:tc>
          <w:tcPr>
            <w:tcW w:w="5103" w:type="dxa"/>
            <w:vAlign w:val="center"/>
          </w:tcPr>
          <w:p w14:paraId="4405DBAD" w14:textId="77777777" w:rsidR="005F3FB7" w:rsidRPr="00260790" w:rsidRDefault="005F3FB7" w:rsidP="00E20250">
            <w:pPr>
              <w:spacing w:after="0" w:line="240" w:lineRule="auto"/>
              <w:ind w:right="130"/>
              <w:jc w:val="both"/>
              <w:rPr>
                <w:rFonts w:ascii="Times New Roman" w:hAnsi="Times New Roman"/>
                <w:b/>
                <w:color w:val="000000" w:themeColor="text1"/>
              </w:rPr>
            </w:pPr>
            <w:r w:rsidRPr="00260790">
              <w:rPr>
                <w:rFonts w:ascii="Times New Roman" w:hAnsi="Times New Roman"/>
                <w:b/>
                <w:color w:val="000000" w:themeColor="text1"/>
              </w:rPr>
              <w:t>Positif</w:t>
            </w:r>
          </w:p>
          <w:p w14:paraId="2FC9522B" w14:textId="77777777" w:rsidR="005F3FB7" w:rsidRPr="00260790" w:rsidRDefault="005F3FB7" w:rsidP="001748C6">
            <w:pPr>
              <w:pStyle w:val="Grillemoyenne1-Accent22"/>
              <w:numPr>
                <w:ilvl w:val="0"/>
                <w:numId w:val="53"/>
              </w:numPr>
              <w:ind w:right="130"/>
              <w:jc w:val="both"/>
              <w:rPr>
                <w:color w:val="000000" w:themeColor="text1"/>
                <w:sz w:val="22"/>
                <w:szCs w:val="22"/>
              </w:rPr>
            </w:pPr>
            <w:r w:rsidRPr="00260790">
              <w:rPr>
                <w:color w:val="000000" w:themeColor="text1"/>
                <w:sz w:val="22"/>
                <w:szCs w:val="22"/>
              </w:rPr>
              <w:t>Préservation contre les risques d’inondation</w:t>
            </w:r>
          </w:p>
          <w:p w14:paraId="5961F8B0" w14:textId="77777777" w:rsidR="005F3FB7" w:rsidRPr="00260790" w:rsidRDefault="005F3FB7" w:rsidP="001748C6">
            <w:pPr>
              <w:pStyle w:val="Grillemoyenne1-Accent22"/>
              <w:numPr>
                <w:ilvl w:val="0"/>
                <w:numId w:val="53"/>
              </w:numPr>
              <w:ind w:right="130"/>
              <w:jc w:val="both"/>
              <w:rPr>
                <w:color w:val="000000" w:themeColor="text1"/>
                <w:sz w:val="22"/>
                <w:szCs w:val="22"/>
              </w:rPr>
            </w:pPr>
            <w:r w:rsidRPr="00260790">
              <w:rPr>
                <w:color w:val="000000" w:themeColor="text1"/>
                <w:sz w:val="22"/>
                <w:szCs w:val="22"/>
              </w:rPr>
              <w:t>Accès au projet d’investissement communautaires</w:t>
            </w:r>
          </w:p>
          <w:p w14:paraId="1E8E5334" w14:textId="77777777" w:rsidR="005F3FB7" w:rsidRPr="00260790" w:rsidRDefault="005F3FB7" w:rsidP="001748C6">
            <w:pPr>
              <w:pStyle w:val="Grillemoyenne1-Accent22"/>
              <w:numPr>
                <w:ilvl w:val="0"/>
                <w:numId w:val="53"/>
              </w:numPr>
              <w:ind w:right="130"/>
              <w:jc w:val="both"/>
              <w:rPr>
                <w:color w:val="000000" w:themeColor="text1"/>
                <w:sz w:val="22"/>
                <w:szCs w:val="22"/>
              </w:rPr>
            </w:pPr>
            <w:r w:rsidRPr="00260790">
              <w:rPr>
                <w:color w:val="000000" w:themeColor="text1"/>
                <w:sz w:val="22"/>
                <w:szCs w:val="22"/>
              </w:rPr>
              <w:t>Amélioration du cadre de vie</w:t>
            </w:r>
          </w:p>
          <w:p w14:paraId="551AAE82" w14:textId="77777777" w:rsidR="005F3FB7" w:rsidRPr="00260790" w:rsidRDefault="005F3FB7" w:rsidP="001748C6">
            <w:pPr>
              <w:pStyle w:val="Grillemoyenne1-Accent22"/>
              <w:numPr>
                <w:ilvl w:val="0"/>
                <w:numId w:val="53"/>
              </w:numPr>
              <w:ind w:right="130"/>
              <w:jc w:val="both"/>
              <w:rPr>
                <w:color w:val="000000" w:themeColor="text1"/>
                <w:sz w:val="22"/>
                <w:szCs w:val="22"/>
              </w:rPr>
            </w:pPr>
            <w:r w:rsidRPr="00260790">
              <w:rPr>
                <w:color w:val="000000" w:themeColor="text1"/>
                <w:sz w:val="22"/>
                <w:szCs w:val="22"/>
              </w:rPr>
              <w:t>Plus-value des projets d’investissement communautaires</w:t>
            </w:r>
          </w:p>
          <w:p w14:paraId="7BA5890A" w14:textId="77777777" w:rsidR="005F3FB7" w:rsidRPr="00260790" w:rsidRDefault="005F3FB7" w:rsidP="00E20250">
            <w:pPr>
              <w:spacing w:after="0" w:line="240" w:lineRule="auto"/>
              <w:ind w:right="130"/>
              <w:jc w:val="both"/>
              <w:rPr>
                <w:rFonts w:ascii="Times New Roman" w:hAnsi="Times New Roman"/>
                <w:b/>
                <w:color w:val="000000" w:themeColor="text1"/>
              </w:rPr>
            </w:pPr>
            <w:r w:rsidRPr="00260790">
              <w:rPr>
                <w:rFonts w:ascii="Times New Roman" w:hAnsi="Times New Roman"/>
                <w:b/>
                <w:color w:val="000000" w:themeColor="text1"/>
              </w:rPr>
              <w:t>Négatif</w:t>
            </w:r>
          </w:p>
          <w:p w14:paraId="18874058" w14:textId="77777777" w:rsidR="005F3FB7" w:rsidRPr="00260790" w:rsidRDefault="005F3FB7" w:rsidP="001748C6">
            <w:pPr>
              <w:pStyle w:val="Grillemoyenne1-Accent22"/>
              <w:numPr>
                <w:ilvl w:val="0"/>
                <w:numId w:val="54"/>
              </w:numPr>
              <w:ind w:right="130"/>
              <w:jc w:val="both"/>
              <w:rPr>
                <w:color w:val="000000" w:themeColor="text1"/>
                <w:sz w:val="22"/>
                <w:szCs w:val="22"/>
              </w:rPr>
            </w:pPr>
            <w:r w:rsidRPr="00260790">
              <w:rPr>
                <w:color w:val="000000" w:themeColor="text1"/>
                <w:sz w:val="22"/>
                <w:szCs w:val="22"/>
              </w:rPr>
              <w:t>Perturbation du cadre de vie par les risques et les impacts environnementaux et sociaux</w:t>
            </w:r>
          </w:p>
          <w:p w14:paraId="17BC1F40" w14:textId="77777777" w:rsidR="005F3FB7" w:rsidRPr="00260790" w:rsidRDefault="005F3FB7" w:rsidP="001748C6">
            <w:pPr>
              <w:pStyle w:val="Grillemoyenne1-Accent22"/>
              <w:numPr>
                <w:ilvl w:val="0"/>
                <w:numId w:val="54"/>
              </w:numPr>
              <w:ind w:right="130"/>
              <w:jc w:val="both"/>
              <w:rPr>
                <w:color w:val="000000" w:themeColor="text1"/>
                <w:sz w:val="22"/>
                <w:szCs w:val="22"/>
              </w:rPr>
            </w:pPr>
            <w:r w:rsidRPr="00260790">
              <w:rPr>
                <w:color w:val="000000" w:themeColor="text1"/>
                <w:sz w:val="22"/>
                <w:szCs w:val="22"/>
              </w:rPr>
              <w:t>Dégâts matériels</w:t>
            </w:r>
          </w:p>
          <w:p w14:paraId="2707A554" w14:textId="77777777" w:rsidR="005F3FB7" w:rsidRPr="00260790" w:rsidRDefault="005F3FB7" w:rsidP="001748C6">
            <w:pPr>
              <w:pStyle w:val="Grillemoyenne1-Accent22"/>
              <w:numPr>
                <w:ilvl w:val="0"/>
                <w:numId w:val="54"/>
              </w:numPr>
              <w:ind w:right="130"/>
              <w:jc w:val="both"/>
              <w:rPr>
                <w:color w:val="000000" w:themeColor="text1"/>
                <w:sz w:val="22"/>
                <w:szCs w:val="22"/>
              </w:rPr>
            </w:pPr>
            <w:r w:rsidRPr="00260790">
              <w:rPr>
                <w:color w:val="000000" w:themeColor="text1"/>
                <w:sz w:val="22"/>
                <w:szCs w:val="22"/>
              </w:rPr>
              <w:t>Perturbation des activités socio-économiques</w:t>
            </w:r>
          </w:p>
          <w:p w14:paraId="6B5E6181" w14:textId="77777777" w:rsidR="005F3FB7" w:rsidRPr="00260790" w:rsidRDefault="005F3FB7" w:rsidP="001748C6">
            <w:pPr>
              <w:pStyle w:val="Grillemoyenne1-Accent22"/>
              <w:numPr>
                <w:ilvl w:val="0"/>
                <w:numId w:val="54"/>
              </w:numPr>
              <w:ind w:right="130"/>
              <w:jc w:val="both"/>
              <w:rPr>
                <w:color w:val="000000" w:themeColor="text1"/>
                <w:sz w:val="22"/>
                <w:szCs w:val="22"/>
              </w:rPr>
            </w:pPr>
            <w:r w:rsidRPr="00260790">
              <w:rPr>
                <w:color w:val="000000" w:themeColor="text1"/>
                <w:sz w:val="22"/>
                <w:szCs w:val="22"/>
              </w:rPr>
              <w:t>Dévoiement de réseau et perturbation temporaires de l’approvisionnement en eau potable et en électricité</w:t>
            </w:r>
          </w:p>
          <w:p w14:paraId="1ECF7179" w14:textId="77777777" w:rsidR="005F3FB7" w:rsidRPr="00260790" w:rsidRDefault="005F3FB7" w:rsidP="001748C6">
            <w:pPr>
              <w:pStyle w:val="Grillemoyenne1-Accent22"/>
              <w:numPr>
                <w:ilvl w:val="0"/>
                <w:numId w:val="54"/>
              </w:numPr>
              <w:ind w:right="130"/>
              <w:jc w:val="both"/>
              <w:rPr>
                <w:color w:val="000000" w:themeColor="text1"/>
                <w:sz w:val="22"/>
                <w:szCs w:val="22"/>
              </w:rPr>
            </w:pPr>
            <w:r w:rsidRPr="00260790">
              <w:rPr>
                <w:color w:val="000000" w:themeColor="text1"/>
                <w:sz w:val="22"/>
                <w:szCs w:val="22"/>
              </w:rPr>
              <w:t>Perturbations des activités sportives et culturelles des jeunes</w:t>
            </w:r>
          </w:p>
          <w:p w14:paraId="1741001B" w14:textId="77777777" w:rsidR="005F3FB7" w:rsidRPr="00260790" w:rsidRDefault="005F3FB7" w:rsidP="001748C6">
            <w:pPr>
              <w:pStyle w:val="Grillemoyenne1-Accent22"/>
              <w:numPr>
                <w:ilvl w:val="0"/>
                <w:numId w:val="54"/>
              </w:numPr>
              <w:ind w:right="130"/>
              <w:jc w:val="both"/>
              <w:rPr>
                <w:color w:val="000000" w:themeColor="text1"/>
                <w:sz w:val="22"/>
                <w:szCs w:val="22"/>
              </w:rPr>
            </w:pPr>
            <w:r w:rsidRPr="00260790">
              <w:rPr>
                <w:color w:val="000000" w:themeColor="text1"/>
                <w:sz w:val="22"/>
                <w:szCs w:val="22"/>
              </w:rPr>
              <w:t>Risque d’AES, HS</w:t>
            </w:r>
          </w:p>
        </w:tc>
      </w:tr>
      <w:tr w:rsidR="00BD1A2F" w:rsidRPr="00260790" w14:paraId="6B82642F" w14:textId="77777777" w:rsidTr="005F3FB7">
        <w:tc>
          <w:tcPr>
            <w:tcW w:w="1560" w:type="dxa"/>
            <w:vAlign w:val="center"/>
          </w:tcPr>
          <w:p w14:paraId="2FAF15BB" w14:textId="77777777" w:rsidR="005F3FB7" w:rsidRPr="00260790" w:rsidRDefault="005F3FB7" w:rsidP="00E20250">
            <w:pPr>
              <w:spacing w:after="0" w:line="240" w:lineRule="auto"/>
              <w:ind w:left="66" w:right="138"/>
              <w:jc w:val="center"/>
              <w:rPr>
                <w:rFonts w:ascii="Times New Roman" w:hAnsi="Times New Roman"/>
                <w:color w:val="000000" w:themeColor="text1"/>
              </w:rPr>
            </w:pPr>
            <w:r w:rsidRPr="00260790">
              <w:rPr>
                <w:rFonts w:ascii="Times New Roman" w:hAnsi="Times New Roman"/>
                <w:color w:val="000000" w:themeColor="text1"/>
              </w:rPr>
              <w:t xml:space="preserve">Collectivités territoriales </w:t>
            </w:r>
          </w:p>
        </w:tc>
        <w:tc>
          <w:tcPr>
            <w:tcW w:w="2693" w:type="dxa"/>
            <w:vAlign w:val="center"/>
          </w:tcPr>
          <w:p w14:paraId="6AE17010" w14:textId="43ED6643" w:rsidR="005F3FB7" w:rsidRPr="00260790" w:rsidRDefault="005F3FB7" w:rsidP="001748C6">
            <w:pPr>
              <w:pStyle w:val="Grillemoyenne1-Accent22"/>
              <w:numPr>
                <w:ilvl w:val="0"/>
                <w:numId w:val="58"/>
              </w:numPr>
              <w:ind w:left="475" w:right="127"/>
              <w:jc w:val="both"/>
              <w:rPr>
                <w:color w:val="000000" w:themeColor="text1"/>
                <w:sz w:val="22"/>
                <w:szCs w:val="22"/>
              </w:rPr>
            </w:pPr>
            <w:r w:rsidRPr="00260790">
              <w:rPr>
                <w:color w:val="000000" w:themeColor="text1"/>
                <w:sz w:val="22"/>
                <w:szCs w:val="22"/>
              </w:rPr>
              <w:t>Communes traversées (</w:t>
            </w:r>
            <w:r w:rsidR="006E0EA3" w:rsidRPr="00260790">
              <w:rPr>
                <w:color w:val="000000" w:themeColor="text1"/>
                <w:sz w:val="22"/>
                <w:szCs w:val="22"/>
              </w:rPr>
              <w:t xml:space="preserve">Communes de </w:t>
            </w:r>
            <w:proofErr w:type="spellStart"/>
            <w:r w:rsidR="006E0EA3" w:rsidRPr="00260790">
              <w:rPr>
                <w:color w:val="000000" w:themeColor="text1"/>
                <w:sz w:val="22"/>
                <w:szCs w:val="22"/>
              </w:rPr>
              <w:t>Jaxaay</w:t>
            </w:r>
            <w:proofErr w:type="spellEnd"/>
            <w:r w:rsidR="006E0EA3" w:rsidRPr="00260790">
              <w:rPr>
                <w:color w:val="000000" w:themeColor="text1"/>
                <w:sz w:val="22"/>
                <w:szCs w:val="22"/>
              </w:rPr>
              <w:t>-Parcelles-</w:t>
            </w:r>
            <w:proofErr w:type="spellStart"/>
            <w:r w:rsidR="006E0EA3" w:rsidRPr="00260790">
              <w:rPr>
                <w:color w:val="000000" w:themeColor="text1"/>
                <w:sz w:val="22"/>
                <w:szCs w:val="22"/>
              </w:rPr>
              <w:t>Niakoulrap</w:t>
            </w:r>
            <w:proofErr w:type="spellEnd"/>
            <w:r w:rsidR="006E0EA3" w:rsidRPr="00260790">
              <w:rPr>
                <w:color w:val="000000" w:themeColor="text1"/>
                <w:sz w:val="22"/>
                <w:szCs w:val="22"/>
              </w:rPr>
              <w:t>, de Rufisque Ouest, de Keur Massar Sud et de Mbao</w:t>
            </w:r>
            <w:r w:rsidRPr="00260790">
              <w:rPr>
                <w:color w:val="000000" w:themeColor="text1"/>
                <w:sz w:val="22"/>
                <w:szCs w:val="22"/>
              </w:rPr>
              <w:t>)</w:t>
            </w:r>
          </w:p>
        </w:tc>
        <w:tc>
          <w:tcPr>
            <w:tcW w:w="5103" w:type="dxa"/>
            <w:vAlign w:val="center"/>
          </w:tcPr>
          <w:p w14:paraId="6594FA70" w14:textId="77777777" w:rsidR="005F3FB7" w:rsidRPr="00260790" w:rsidRDefault="005F3FB7" w:rsidP="00E20250">
            <w:pPr>
              <w:spacing w:after="0" w:line="240" w:lineRule="auto"/>
              <w:ind w:right="130"/>
              <w:jc w:val="both"/>
              <w:rPr>
                <w:rFonts w:ascii="Times New Roman" w:hAnsi="Times New Roman"/>
                <w:b/>
                <w:color w:val="000000" w:themeColor="text1"/>
              </w:rPr>
            </w:pPr>
            <w:r w:rsidRPr="00260790">
              <w:rPr>
                <w:rFonts w:ascii="Times New Roman" w:hAnsi="Times New Roman"/>
                <w:b/>
                <w:color w:val="000000" w:themeColor="text1"/>
              </w:rPr>
              <w:t>Positif</w:t>
            </w:r>
          </w:p>
          <w:p w14:paraId="1F5898CB" w14:textId="77777777" w:rsidR="005F3FB7" w:rsidRPr="00260790" w:rsidRDefault="005F3FB7" w:rsidP="001748C6">
            <w:pPr>
              <w:pStyle w:val="Grillemoyenne1-Accent22"/>
              <w:numPr>
                <w:ilvl w:val="0"/>
                <w:numId w:val="55"/>
              </w:numPr>
              <w:ind w:right="130"/>
              <w:jc w:val="both"/>
              <w:rPr>
                <w:color w:val="000000" w:themeColor="text1"/>
                <w:sz w:val="22"/>
                <w:szCs w:val="22"/>
              </w:rPr>
            </w:pPr>
            <w:r w:rsidRPr="00260790">
              <w:rPr>
                <w:color w:val="000000" w:themeColor="text1"/>
                <w:sz w:val="22"/>
                <w:szCs w:val="22"/>
              </w:rPr>
              <w:t>Réduction des dépenses liées aux inondations</w:t>
            </w:r>
          </w:p>
          <w:p w14:paraId="24EA7220" w14:textId="77777777" w:rsidR="005F3FB7" w:rsidRPr="00260790" w:rsidRDefault="005F3FB7" w:rsidP="001748C6">
            <w:pPr>
              <w:pStyle w:val="Grillemoyenne1-Accent22"/>
              <w:numPr>
                <w:ilvl w:val="0"/>
                <w:numId w:val="55"/>
              </w:numPr>
              <w:ind w:right="130"/>
              <w:jc w:val="both"/>
              <w:rPr>
                <w:color w:val="000000" w:themeColor="text1"/>
                <w:sz w:val="22"/>
                <w:szCs w:val="22"/>
              </w:rPr>
            </w:pPr>
            <w:r w:rsidRPr="00260790">
              <w:rPr>
                <w:color w:val="000000" w:themeColor="text1"/>
                <w:sz w:val="22"/>
                <w:szCs w:val="22"/>
              </w:rPr>
              <w:t>Bénéficiaire de projet d’investissement communautaire</w:t>
            </w:r>
          </w:p>
          <w:p w14:paraId="5128E8F3" w14:textId="77777777" w:rsidR="005F3FB7" w:rsidRPr="00260790" w:rsidRDefault="005F3FB7" w:rsidP="001748C6">
            <w:pPr>
              <w:pStyle w:val="Grillemoyenne1-Accent22"/>
              <w:numPr>
                <w:ilvl w:val="0"/>
                <w:numId w:val="55"/>
              </w:numPr>
              <w:ind w:right="130"/>
              <w:jc w:val="both"/>
              <w:rPr>
                <w:color w:val="000000" w:themeColor="text1"/>
                <w:sz w:val="22"/>
                <w:szCs w:val="22"/>
              </w:rPr>
            </w:pPr>
            <w:r w:rsidRPr="00260790">
              <w:rPr>
                <w:color w:val="000000" w:themeColor="text1"/>
                <w:sz w:val="22"/>
                <w:szCs w:val="22"/>
              </w:rPr>
              <w:t>Préservation du territoire communal contre les effets des inondations</w:t>
            </w:r>
          </w:p>
          <w:p w14:paraId="297D9C61" w14:textId="77777777" w:rsidR="005F3FB7" w:rsidRPr="00260790" w:rsidRDefault="005F3FB7" w:rsidP="001748C6">
            <w:pPr>
              <w:pStyle w:val="Grillemoyenne1-Accent22"/>
              <w:numPr>
                <w:ilvl w:val="0"/>
                <w:numId w:val="55"/>
              </w:numPr>
              <w:ind w:right="130"/>
              <w:jc w:val="both"/>
              <w:rPr>
                <w:color w:val="000000" w:themeColor="text1"/>
                <w:sz w:val="22"/>
                <w:szCs w:val="22"/>
              </w:rPr>
            </w:pPr>
            <w:r w:rsidRPr="00260790">
              <w:rPr>
                <w:color w:val="000000" w:themeColor="text1"/>
                <w:sz w:val="22"/>
                <w:szCs w:val="22"/>
              </w:rPr>
              <w:t>Plus-values liées à la réalisation des projets d’investissement communautaire</w:t>
            </w:r>
          </w:p>
          <w:p w14:paraId="52E4F081" w14:textId="77777777" w:rsidR="005F3FB7" w:rsidRPr="00260790" w:rsidRDefault="005F3FB7" w:rsidP="00E20250">
            <w:pPr>
              <w:spacing w:after="0" w:line="240" w:lineRule="auto"/>
              <w:ind w:right="130"/>
              <w:jc w:val="both"/>
              <w:rPr>
                <w:rFonts w:ascii="Times New Roman" w:hAnsi="Times New Roman"/>
                <w:b/>
                <w:color w:val="000000" w:themeColor="text1"/>
              </w:rPr>
            </w:pPr>
            <w:r w:rsidRPr="00260790">
              <w:rPr>
                <w:rFonts w:ascii="Times New Roman" w:hAnsi="Times New Roman"/>
                <w:b/>
                <w:color w:val="000000" w:themeColor="text1"/>
              </w:rPr>
              <w:t>Négatif</w:t>
            </w:r>
          </w:p>
          <w:p w14:paraId="33EB78B4" w14:textId="77777777" w:rsidR="005F3FB7" w:rsidRPr="00260790" w:rsidRDefault="005F3FB7" w:rsidP="001748C6">
            <w:pPr>
              <w:pStyle w:val="Grillemoyenne1-Accent22"/>
              <w:numPr>
                <w:ilvl w:val="0"/>
                <w:numId w:val="56"/>
              </w:numPr>
              <w:ind w:right="130"/>
              <w:jc w:val="both"/>
              <w:rPr>
                <w:color w:val="000000" w:themeColor="text1"/>
                <w:sz w:val="22"/>
                <w:szCs w:val="22"/>
              </w:rPr>
            </w:pPr>
            <w:r w:rsidRPr="00260790">
              <w:rPr>
                <w:color w:val="000000" w:themeColor="text1"/>
                <w:sz w:val="22"/>
                <w:szCs w:val="22"/>
              </w:rPr>
              <w:t>Pertes de revenus fiscaux liés à la réinstallation d’activités socio-économiques</w:t>
            </w:r>
          </w:p>
        </w:tc>
      </w:tr>
      <w:tr w:rsidR="00BD1A2F" w:rsidRPr="00260790" w14:paraId="7365FD6B" w14:textId="77777777" w:rsidTr="005F3FB7">
        <w:tc>
          <w:tcPr>
            <w:tcW w:w="1560" w:type="dxa"/>
            <w:vAlign w:val="center"/>
          </w:tcPr>
          <w:p w14:paraId="044A5444" w14:textId="77777777" w:rsidR="005F3FB7" w:rsidRPr="00260790" w:rsidRDefault="005F3FB7" w:rsidP="00E20250">
            <w:pPr>
              <w:spacing w:after="0" w:line="240" w:lineRule="auto"/>
              <w:ind w:right="138"/>
              <w:jc w:val="center"/>
              <w:rPr>
                <w:rFonts w:ascii="Times New Roman" w:hAnsi="Times New Roman"/>
                <w:color w:val="000000" w:themeColor="text1"/>
              </w:rPr>
            </w:pPr>
            <w:r w:rsidRPr="00260790">
              <w:rPr>
                <w:rFonts w:ascii="Times New Roman" w:hAnsi="Times New Roman"/>
                <w:color w:val="000000" w:themeColor="text1"/>
              </w:rPr>
              <w:t>Secteur privé</w:t>
            </w:r>
          </w:p>
        </w:tc>
        <w:tc>
          <w:tcPr>
            <w:tcW w:w="2693" w:type="dxa"/>
            <w:vAlign w:val="center"/>
          </w:tcPr>
          <w:p w14:paraId="328F6B7A" w14:textId="1B7BB565" w:rsidR="005F3FB7" w:rsidRPr="00260790" w:rsidRDefault="005F3FB7" w:rsidP="001748C6">
            <w:pPr>
              <w:pStyle w:val="Grillemoyenne1-Accent22"/>
              <w:numPr>
                <w:ilvl w:val="0"/>
                <w:numId w:val="58"/>
              </w:numPr>
              <w:ind w:left="475" w:right="127"/>
              <w:jc w:val="both"/>
              <w:rPr>
                <w:color w:val="000000" w:themeColor="text1"/>
                <w:sz w:val="22"/>
                <w:szCs w:val="22"/>
              </w:rPr>
            </w:pPr>
            <w:r w:rsidRPr="00260790">
              <w:rPr>
                <w:color w:val="000000" w:themeColor="text1"/>
                <w:sz w:val="22"/>
                <w:szCs w:val="22"/>
              </w:rPr>
              <w:t xml:space="preserve">Concessionnaire de réseau (SENELEC, </w:t>
            </w:r>
            <w:r w:rsidR="006E0EA3" w:rsidRPr="00260790">
              <w:rPr>
                <w:color w:val="000000" w:themeColor="text1"/>
                <w:sz w:val="22"/>
                <w:szCs w:val="22"/>
              </w:rPr>
              <w:t>ONAS</w:t>
            </w:r>
            <w:r w:rsidRPr="00260790">
              <w:rPr>
                <w:color w:val="000000" w:themeColor="text1"/>
                <w:sz w:val="22"/>
                <w:szCs w:val="22"/>
              </w:rPr>
              <w:t>)</w:t>
            </w:r>
          </w:p>
        </w:tc>
        <w:tc>
          <w:tcPr>
            <w:tcW w:w="5103" w:type="dxa"/>
            <w:vAlign w:val="center"/>
          </w:tcPr>
          <w:p w14:paraId="431AF8B1" w14:textId="77777777" w:rsidR="005F3FB7" w:rsidRPr="00260790" w:rsidRDefault="005F3FB7" w:rsidP="001748C6">
            <w:pPr>
              <w:numPr>
                <w:ilvl w:val="0"/>
                <w:numId w:val="57"/>
              </w:numPr>
              <w:spacing w:after="0" w:line="240" w:lineRule="auto"/>
              <w:ind w:right="130"/>
              <w:contextualSpacing/>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Dégâts sur les réseaux</w:t>
            </w:r>
          </w:p>
          <w:p w14:paraId="7CC3822D" w14:textId="77777777" w:rsidR="005F3FB7" w:rsidRPr="00260790" w:rsidRDefault="005F3FB7" w:rsidP="001748C6">
            <w:pPr>
              <w:numPr>
                <w:ilvl w:val="0"/>
                <w:numId w:val="57"/>
              </w:numPr>
              <w:spacing w:after="0" w:line="240" w:lineRule="auto"/>
              <w:ind w:right="130"/>
              <w:contextualSpacing/>
              <w:jc w:val="both"/>
              <w:rPr>
                <w:rFonts w:ascii="Times New Roman" w:hAnsi="Times New Roman"/>
                <w:color w:val="000000" w:themeColor="text1"/>
              </w:rPr>
            </w:pPr>
            <w:r w:rsidRPr="00260790">
              <w:rPr>
                <w:rFonts w:ascii="Times New Roman" w:eastAsia="Times New Roman" w:hAnsi="Times New Roman"/>
                <w:color w:val="000000" w:themeColor="text1"/>
                <w:lang w:eastAsia="fr-FR"/>
              </w:rPr>
              <w:t>Dévoiement de réseau</w:t>
            </w:r>
          </w:p>
        </w:tc>
      </w:tr>
    </w:tbl>
    <w:p w14:paraId="2AB7E27D" w14:textId="090A45C8" w:rsidR="00B3729F" w:rsidRPr="00260790" w:rsidRDefault="00B3729F" w:rsidP="00E20250">
      <w:pPr>
        <w:spacing w:after="0" w:line="240" w:lineRule="auto"/>
        <w:ind w:left="360"/>
        <w:jc w:val="both"/>
        <w:rPr>
          <w:rFonts w:ascii="Times New Roman" w:hAnsi="Times New Roman"/>
          <w:color w:val="000000" w:themeColor="text1"/>
        </w:rPr>
      </w:pPr>
    </w:p>
    <w:p w14:paraId="6A23C2D3" w14:textId="77777777" w:rsidR="00B3729F" w:rsidRPr="00260790" w:rsidRDefault="00B3729F">
      <w:pPr>
        <w:spacing w:line="259" w:lineRule="auto"/>
        <w:rPr>
          <w:rFonts w:ascii="Times New Roman" w:hAnsi="Times New Roman"/>
          <w:color w:val="000000" w:themeColor="text1"/>
        </w:rPr>
      </w:pPr>
      <w:r w:rsidRPr="00260790">
        <w:rPr>
          <w:rFonts w:ascii="Times New Roman" w:hAnsi="Times New Roman"/>
          <w:color w:val="000000" w:themeColor="text1"/>
        </w:rPr>
        <w:br w:type="page"/>
      </w:r>
    </w:p>
    <w:p w14:paraId="6B78AF8C" w14:textId="7B154C42" w:rsidR="005F3FB7" w:rsidRPr="00260790" w:rsidRDefault="00085FCF" w:rsidP="001748C6">
      <w:pPr>
        <w:pStyle w:val="CHAPITRE1"/>
        <w:numPr>
          <w:ilvl w:val="3"/>
          <w:numId w:val="139"/>
        </w:numPr>
        <w:rPr>
          <w:rFonts w:cs="Times New Roman"/>
          <w:i/>
          <w:iCs/>
        </w:rPr>
      </w:pPr>
      <w:bookmarkStart w:id="2183" w:name="_Toc65583136"/>
      <w:bookmarkStart w:id="2184" w:name="_Toc106652860"/>
      <w:bookmarkStart w:id="2185" w:name="_Toc212725162"/>
      <w:r w:rsidRPr="00260790">
        <w:rPr>
          <w:rFonts w:cs="Times New Roman"/>
          <w:i/>
          <w:iCs/>
        </w:rPr>
        <w:lastRenderedPageBreak/>
        <w:t>G</w:t>
      </w:r>
      <w:r w:rsidR="005F3FB7" w:rsidRPr="00260790">
        <w:rPr>
          <w:rFonts w:cs="Times New Roman"/>
          <w:i/>
          <w:iCs/>
        </w:rPr>
        <w:t>roupes vulnérables affectés par le projet</w:t>
      </w:r>
      <w:bookmarkEnd w:id="2183"/>
      <w:bookmarkEnd w:id="2184"/>
      <w:bookmarkEnd w:id="2185"/>
      <w:r w:rsidR="005F3FB7" w:rsidRPr="00260790">
        <w:rPr>
          <w:rFonts w:cs="Times New Roman"/>
          <w:i/>
          <w:iCs/>
        </w:rPr>
        <w:t xml:space="preserve"> </w:t>
      </w:r>
    </w:p>
    <w:p w14:paraId="0FF37B68" w14:textId="77777777" w:rsidR="005F3FB7"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Dans la zone d'influence du projet, les groupes vulnérables sont définis par le CPR et les enquêtes socio-économiques du PAR. Néanmoins, les consultations effectuées avec les collectivités territoriales, les OCB et les personnes-ressources clés ont permis d’identifier les groupes et personnes suivantes : </w:t>
      </w:r>
    </w:p>
    <w:p w14:paraId="0AD20DD7" w14:textId="77777777" w:rsidR="005F3FB7" w:rsidRPr="00260790" w:rsidRDefault="005F3FB7" w:rsidP="001748C6">
      <w:pPr>
        <w:pStyle w:val="Grillemoyenne1-Accent22"/>
        <w:numPr>
          <w:ilvl w:val="0"/>
          <w:numId w:val="59"/>
        </w:numPr>
        <w:spacing w:after="160"/>
        <w:jc w:val="both"/>
        <w:rPr>
          <w:color w:val="000000" w:themeColor="text1"/>
          <w:sz w:val="22"/>
          <w:szCs w:val="22"/>
        </w:rPr>
      </w:pPr>
      <w:r w:rsidRPr="00260790">
        <w:rPr>
          <w:color w:val="000000" w:themeColor="text1"/>
          <w:sz w:val="22"/>
          <w:szCs w:val="22"/>
        </w:rPr>
        <w:t>Les handicapés (physiques ou mentaux) ;</w:t>
      </w:r>
    </w:p>
    <w:p w14:paraId="3769A867" w14:textId="77777777" w:rsidR="005F3FB7" w:rsidRPr="00260790" w:rsidRDefault="005F3FB7" w:rsidP="001748C6">
      <w:pPr>
        <w:pStyle w:val="Grillemoyenne1-Accent22"/>
        <w:numPr>
          <w:ilvl w:val="0"/>
          <w:numId w:val="59"/>
        </w:numPr>
        <w:spacing w:after="160"/>
        <w:jc w:val="both"/>
        <w:rPr>
          <w:color w:val="000000" w:themeColor="text1"/>
          <w:sz w:val="22"/>
          <w:szCs w:val="22"/>
        </w:rPr>
      </w:pPr>
      <w:r w:rsidRPr="00260790">
        <w:rPr>
          <w:color w:val="000000" w:themeColor="text1"/>
          <w:sz w:val="22"/>
          <w:szCs w:val="22"/>
        </w:rPr>
        <w:t>Les personnes malades, particulièrement les personnes atteintes du VIH/SIDA ou d’autres maladies graves ou incurables ;</w:t>
      </w:r>
    </w:p>
    <w:p w14:paraId="6B6E5334" w14:textId="77777777" w:rsidR="005F3FB7" w:rsidRPr="00260790" w:rsidRDefault="005F3FB7" w:rsidP="001748C6">
      <w:pPr>
        <w:pStyle w:val="Grillemoyenne1-Accent22"/>
        <w:numPr>
          <w:ilvl w:val="0"/>
          <w:numId w:val="59"/>
        </w:numPr>
        <w:spacing w:after="160"/>
        <w:jc w:val="both"/>
        <w:rPr>
          <w:color w:val="000000" w:themeColor="text1"/>
          <w:sz w:val="22"/>
          <w:szCs w:val="22"/>
        </w:rPr>
      </w:pPr>
      <w:r w:rsidRPr="00260790">
        <w:rPr>
          <w:color w:val="000000" w:themeColor="text1"/>
          <w:sz w:val="22"/>
          <w:szCs w:val="22"/>
        </w:rPr>
        <w:t>Les personnes âgées sans soutien ;</w:t>
      </w:r>
    </w:p>
    <w:p w14:paraId="027ADF4A" w14:textId="77777777" w:rsidR="005F3FB7" w:rsidRPr="00260790" w:rsidRDefault="005F3FB7" w:rsidP="001748C6">
      <w:pPr>
        <w:pStyle w:val="Grillemoyenne1-Accent22"/>
        <w:numPr>
          <w:ilvl w:val="0"/>
          <w:numId w:val="59"/>
        </w:numPr>
        <w:spacing w:after="160"/>
        <w:jc w:val="both"/>
        <w:rPr>
          <w:color w:val="000000" w:themeColor="text1"/>
          <w:sz w:val="22"/>
          <w:szCs w:val="22"/>
        </w:rPr>
      </w:pPr>
      <w:r w:rsidRPr="00260790">
        <w:rPr>
          <w:color w:val="000000" w:themeColor="text1"/>
          <w:sz w:val="22"/>
          <w:szCs w:val="22"/>
        </w:rPr>
        <w:t xml:space="preserve">Les ménages dont le chef de famille est sans ressource ou quasiment sans ressource ; </w:t>
      </w:r>
    </w:p>
    <w:p w14:paraId="3ED4D4DA" w14:textId="275F811F" w:rsidR="005F3FB7" w:rsidRPr="00260790" w:rsidRDefault="005F3FB7" w:rsidP="001748C6">
      <w:pPr>
        <w:pStyle w:val="Grillemoyenne1-Accent22"/>
        <w:numPr>
          <w:ilvl w:val="0"/>
          <w:numId w:val="59"/>
        </w:numPr>
        <w:spacing w:after="160"/>
        <w:jc w:val="both"/>
        <w:rPr>
          <w:color w:val="000000" w:themeColor="text1"/>
          <w:sz w:val="22"/>
          <w:szCs w:val="22"/>
        </w:rPr>
      </w:pPr>
      <w:r w:rsidRPr="00260790">
        <w:rPr>
          <w:color w:val="000000" w:themeColor="text1"/>
          <w:sz w:val="22"/>
          <w:szCs w:val="22"/>
        </w:rPr>
        <w:t>Les personnes victimes d’Abus et d’Exploitation Sexuels (AES) et Harcèlement</w:t>
      </w:r>
      <w:r w:rsidR="00B27D4F" w:rsidRPr="00260790">
        <w:rPr>
          <w:color w:val="000000" w:themeColor="text1"/>
          <w:sz w:val="22"/>
          <w:szCs w:val="22"/>
        </w:rPr>
        <w:t>s</w:t>
      </w:r>
      <w:r w:rsidRPr="00260790">
        <w:rPr>
          <w:color w:val="000000" w:themeColor="text1"/>
          <w:sz w:val="22"/>
          <w:szCs w:val="22"/>
        </w:rPr>
        <w:t xml:space="preserve"> sexuel</w:t>
      </w:r>
      <w:r w:rsidR="00B27D4F" w:rsidRPr="00260790">
        <w:rPr>
          <w:color w:val="000000" w:themeColor="text1"/>
          <w:sz w:val="22"/>
          <w:szCs w:val="22"/>
        </w:rPr>
        <w:t>s</w:t>
      </w:r>
      <w:r w:rsidRPr="00260790">
        <w:rPr>
          <w:color w:val="000000" w:themeColor="text1"/>
          <w:sz w:val="22"/>
          <w:szCs w:val="22"/>
        </w:rPr>
        <w:t xml:space="preserve"> (HS) ;</w:t>
      </w:r>
    </w:p>
    <w:p w14:paraId="05F6872B" w14:textId="77777777" w:rsidR="005F3FB7" w:rsidRPr="00260790" w:rsidRDefault="005F3FB7" w:rsidP="001748C6">
      <w:pPr>
        <w:pStyle w:val="Grillemoyenne1-Accent22"/>
        <w:numPr>
          <w:ilvl w:val="0"/>
          <w:numId w:val="59"/>
        </w:numPr>
        <w:spacing w:after="160"/>
        <w:jc w:val="both"/>
        <w:rPr>
          <w:color w:val="000000" w:themeColor="text1"/>
          <w:sz w:val="22"/>
          <w:szCs w:val="22"/>
        </w:rPr>
      </w:pPr>
      <w:r w:rsidRPr="00260790">
        <w:rPr>
          <w:color w:val="000000" w:themeColor="text1"/>
          <w:sz w:val="22"/>
          <w:szCs w:val="22"/>
        </w:rPr>
        <w:t>Les veuves sans revenus et/ou soutien ;</w:t>
      </w:r>
    </w:p>
    <w:p w14:paraId="5DAC2A2D" w14:textId="77777777" w:rsidR="005F3FB7" w:rsidRPr="00260790" w:rsidRDefault="005F3FB7" w:rsidP="001748C6">
      <w:pPr>
        <w:pStyle w:val="Grillemoyenne1-Accent22"/>
        <w:numPr>
          <w:ilvl w:val="0"/>
          <w:numId w:val="59"/>
        </w:numPr>
        <w:spacing w:after="160"/>
        <w:jc w:val="both"/>
        <w:rPr>
          <w:color w:val="000000" w:themeColor="text1"/>
          <w:sz w:val="22"/>
          <w:szCs w:val="22"/>
        </w:rPr>
      </w:pPr>
      <w:r w:rsidRPr="00260790">
        <w:rPr>
          <w:color w:val="000000" w:themeColor="text1"/>
          <w:sz w:val="22"/>
          <w:szCs w:val="22"/>
        </w:rPr>
        <w:t xml:space="preserve">Les orphelins mineurs. </w:t>
      </w:r>
    </w:p>
    <w:p w14:paraId="30DAEAF9" w14:textId="77777777" w:rsidR="005F3FB7" w:rsidRPr="00260790"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Ces groupes vulnérables pourraient faire l’objet d’une marginalisation et d’une stigmatisation qui pourraient les empêcher de participer pleinement au projet et dans ce cas, vont bénéficier de mesures spécifiques en termes d’identification et de prise en charge de leurs besoins. </w:t>
      </w:r>
    </w:p>
    <w:p w14:paraId="59751824" w14:textId="77777777" w:rsidR="005F3FB7" w:rsidRPr="00260790" w:rsidRDefault="005F3FB7" w:rsidP="001748C6">
      <w:pPr>
        <w:pStyle w:val="Normaltableau0"/>
        <w:numPr>
          <w:ilvl w:val="1"/>
          <w:numId w:val="139"/>
        </w:numPr>
        <w:outlineLvl w:val="1"/>
        <w:rPr>
          <w:rFonts w:ascii="Times New Roman" w:hAnsi="Times New Roman"/>
          <w:b/>
          <w:bCs/>
          <w:sz w:val="22"/>
          <w:szCs w:val="22"/>
        </w:rPr>
      </w:pPr>
      <w:bookmarkStart w:id="2186" w:name="_Toc65583139"/>
      <w:bookmarkStart w:id="2187" w:name="_Toc106652862"/>
      <w:bookmarkStart w:id="2188" w:name="_Toc212725163"/>
      <w:r w:rsidRPr="00260790">
        <w:rPr>
          <w:rFonts w:ascii="Times New Roman" w:hAnsi="Times New Roman"/>
          <w:b/>
          <w:bCs/>
          <w:sz w:val="22"/>
          <w:szCs w:val="22"/>
        </w:rPr>
        <w:t>Analyse des parties prenantes</w:t>
      </w:r>
      <w:bookmarkEnd w:id="2186"/>
      <w:bookmarkEnd w:id="2187"/>
      <w:bookmarkEnd w:id="2188"/>
    </w:p>
    <w:p w14:paraId="7C2BF411" w14:textId="77777777" w:rsidR="005F3FB7"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L'analyse des parties prenantes détermine la relation probable entre les parties prenantes et le projet, et aide à identifier les méthodes de consultation appropriées pour chaque groupe de parties prenantes pendant la durée du projet. </w:t>
      </w:r>
    </w:p>
    <w:p w14:paraId="3D3F2BF5" w14:textId="77777777" w:rsidR="005F3FB7"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L’analyse faite ci-dessous repose sur plusieurs catégorisations et évaluations. Pour les parties prenantes, leur </w:t>
      </w:r>
      <w:r w:rsidRPr="00260790">
        <w:rPr>
          <w:rFonts w:ascii="Times New Roman" w:hAnsi="Times New Roman"/>
          <w:b/>
          <w:color w:val="000000" w:themeColor="text1"/>
        </w:rPr>
        <w:t>niveau d’influence</w:t>
      </w:r>
      <w:r w:rsidRPr="00260790">
        <w:rPr>
          <w:rFonts w:ascii="Times New Roman" w:hAnsi="Times New Roman"/>
          <w:color w:val="000000" w:themeColor="text1"/>
        </w:rPr>
        <w:t xml:space="preserve"> vis-à-vis du projet a été évalué sur trois niveaux simples (</w:t>
      </w:r>
      <w:r w:rsidRPr="00260790">
        <w:rPr>
          <w:rFonts w:ascii="Times New Roman" w:hAnsi="Times New Roman"/>
          <w:b/>
          <w:i/>
          <w:color w:val="000000" w:themeColor="text1"/>
        </w:rPr>
        <w:t>élevé, moyen et faible)</w:t>
      </w:r>
      <w:r w:rsidRPr="00260790">
        <w:rPr>
          <w:rFonts w:ascii="Times New Roman" w:hAnsi="Times New Roman"/>
          <w:color w:val="000000" w:themeColor="text1"/>
        </w:rPr>
        <w:t xml:space="preserve">. </w:t>
      </w:r>
    </w:p>
    <w:p w14:paraId="3B86328A" w14:textId="77777777" w:rsidR="005F3FB7"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Le niveau d’influence d’une partie prenante est défini par sa capacité à influencer sur les résultats du Projet ou à persuader ou forcer des parties prenantes à prendre des décisions et à adopter une ligne de conduite à l’égard du Projet.</w:t>
      </w:r>
    </w:p>
    <w:p w14:paraId="264DBE7D" w14:textId="77777777" w:rsidR="005F3FB7"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La note a été déduite des entretiens réalisés avec chaque partie prenante. Le niveau d’influence a été évalué sur la base des critères suivants.</w:t>
      </w:r>
    </w:p>
    <w:p w14:paraId="76086DDA" w14:textId="77777777" w:rsidR="00B3729F" w:rsidRPr="00260790" w:rsidRDefault="00B3729F">
      <w:pPr>
        <w:spacing w:line="259" w:lineRule="auto"/>
        <w:rPr>
          <w:rFonts w:ascii="Times New Roman" w:hAnsi="Times New Roman"/>
          <w:iCs/>
          <w:color w:val="000000" w:themeColor="text1"/>
        </w:rPr>
      </w:pPr>
      <w:bookmarkStart w:id="2189" w:name="_Toc65583191"/>
      <w:r w:rsidRPr="00260790">
        <w:rPr>
          <w:rFonts w:ascii="Times New Roman" w:hAnsi="Times New Roman"/>
          <w:iCs/>
          <w:color w:val="000000" w:themeColor="text1"/>
        </w:rPr>
        <w:br w:type="page"/>
      </w:r>
    </w:p>
    <w:p w14:paraId="0F917989" w14:textId="5FE31B36" w:rsidR="005F3FB7" w:rsidRPr="00260790" w:rsidRDefault="005F3FB7" w:rsidP="00E20250">
      <w:pPr>
        <w:spacing w:line="240" w:lineRule="auto"/>
        <w:rPr>
          <w:rFonts w:ascii="Times New Roman" w:hAnsi="Times New Roman"/>
          <w:i/>
          <w:color w:val="000000" w:themeColor="text1"/>
        </w:rPr>
      </w:pPr>
      <w:bookmarkStart w:id="2190" w:name="_Toc207781951"/>
      <w:r w:rsidRPr="00260790">
        <w:rPr>
          <w:rFonts w:ascii="Times New Roman" w:hAnsi="Times New Roman"/>
          <w:i/>
          <w:color w:val="000000" w:themeColor="text1"/>
        </w:rPr>
        <w:lastRenderedPageBreak/>
        <w:t xml:space="preserve">Tableau </w:t>
      </w:r>
      <w:r w:rsidRPr="00260790">
        <w:rPr>
          <w:rFonts w:ascii="Times New Roman" w:hAnsi="Times New Roman"/>
          <w:i/>
          <w:color w:val="000000" w:themeColor="text1"/>
        </w:rPr>
        <w:fldChar w:fldCharType="begin"/>
      </w:r>
      <w:r w:rsidRPr="00260790">
        <w:rPr>
          <w:rFonts w:ascii="Times New Roman" w:hAnsi="Times New Roman"/>
          <w:i/>
          <w:color w:val="000000" w:themeColor="text1"/>
        </w:rPr>
        <w:instrText xml:space="preserve"> SEQ Tableau \* ARABIC </w:instrText>
      </w:r>
      <w:r w:rsidRPr="00260790">
        <w:rPr>
          <w:rFonts w:ascii="Times New Roman" w:hAnsi="Times New Roman"/>
          <w:i/>
          <w:color w:val="000000" w:themeColor="text1"/>
        </w:rPr>
        <w:fldChar w:fldCharType="separate"/>
      </w:r>
      <w:r w:rsidR="003C783E">
        <w:rPr>
          <w:rFonts w:ascii="Times New Roman" w:hAnsi="Times New Roman"/>
          <w:i/>
          <w:noProof/>
          <w:color w:val="000000" w:themeColor="text1"/>
        </w:rPr>
        <w:t>110</w:t>
      </w:r>
      <w:r w:rsidRPr="00260790">
        <w:rPr>
          <w:rFonts w:ascii="Times New Roman" w:hAnsi="Times New Roman"/>
          <w:i/>
          <w:color w:val="000000" w:themeColor="text1"/>
        </w:rPr>
        <w:fldChar w:fldCharType="end"/>
      </w:r>
      <w:r w:rsidRPr="00260790">
        <w:rPr>
          <w:rFonts w:ascii="Times New Roman" w:hAnsi="Times New Roman"/>
          <w:i/>
          <w:color w:val="000000" w:themeColor="text1"/>
        </w:rPr>
        <w:t> : Critère d’évaluation du niveau d’influence des parties prenantes</w:t>
      </w:r>
      <w:bookmarkEnd w:id="2189"/>
      <w:bookmarkEnd w:id="2190"/>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12"/>
        <w:gridCol w:w="7638"/>
      </w:tblGrid>
      <w:tr w:rsidR="00BD1A2F" w:rsidRPr="00260790" w14:paraId="0EEA489C" w14:textId="77777777" w:rsidTr="005F3FB7">
        <w:trPr>
          <w:trHeight w:val="516"/>
        </w:trPr>
        <w:tc>
          <w:tcPr>
            <w:tcW w:w="1413" w:type="dxa"/>
            <w:shd w:val="clear" w:color="auto" w:fill="E7E6E6"/>
            <w:vAlign w:val="center"/>
          </w:tcPr>
          <w:p w14:paraId="5AF0321E" w14:textId="77777777" w:rsidR="005F3FB7" w:rsidRPr="00260790" w:rsidRDefault="005F3FB7" w:rsidP="00E20250">
            <w:pPr>
              <w:spacing w:after="0" w:line="240" w:lineRule="auto"/>
              <w:jc w:val="center"/>
              <w:rPr>
                <w:rFonts w:ascii="Times New Roman" w:hAnsi="Times New Roman"/>
                <w:b/>
                <w:color w:val="000000" w:themeColor="text1"/>
              </w:rPr>
            </w:pPr>
            <w:r w:rsidRPr="00260790">
              <w:rPr>
                <w:rFonts w:ascii="Times New Roman" w:hAnsi="Times New Roman"/>
                <w:b/>
                <w:color w:val="000000" w:themeColor="text1"/>
              </w:rPr>
              <w:t>Niveau d’influence</w:t>
            </w:r>
          </w:p>
        </w:tc>
        <w:tc>
          <w:tcPr>
            <w:tcW w:w="7649" w:type="dxa"/>
            <w:shd w:val="clear" w:color="auto" w:fill="E7E6E6"/>
            <w:vAlign w:val="center"/>
          </w:tcPr>
          <w:p w14:paraId="4BBF8F53" w14:textId="77777777" w:rsidR="005F3FB7" w:rsidRPr="00260790" w:rsidRDefault="005F3FB7" w:rsidP="00E20250">
            <w:pPr>
              <w:spacing w:after="0" w:line="240" w:lineRule="auto"/>
              <w:jc w:val="center"/>
              <w:rPr>
                <w:rFonts w:ascii="Times New Roman" w:hAnsi="Times New Roman"/>
                <w:b/>
                <w:color w:val="000000" w:themeColor="text1"/>
              </w:rPr>
            </w:pPr>
            <w:r w:rsidRPr="00260790">
              <w:rPr>
                <w:rFonts w:ascii="Times New Roman" w:hAnsi="Times New Roman"/>
                <w:b/>
                <w:color w:val="000000" w:themeColor="text1"/>
              </w:rPr>
              <w:t>Critères</w:t>
            </w:r>
          </w:p>
        </w:tc>
      </w:tr>
      <w:tr w:rsidR="00BD1A2F" w:rsidRPr="00260790" w14:paraId="1DC6747C" w14:textId="77777777" w:rsidTr="005F3FB7">
        <w:tc>
          <w:tcPr>
            <w:tcW w:w="1413" w:type="dxa"/>
            <w:shd w:val="clear" w:color="auto" w:fill="92D050"/>
            <w:vAlign w:val="center"/>
          </w:tcPr>
          <w:p w14:paraId="4CF039E6" w14:textId="3176ECEA" w:rsidR="005F3FB7" w:rsidRPr="00260790" w:rsidRDefault="00690BF6" w:rsidP="00E20250">
            <w:pPr>
              <w:spacing w:after="0" w:line="240" w:lineRule="auto"/>
              <w:jc w:val="center"/>
              <w:rPr>
                <w:rFonts w:ascii="Times New Roman" w:hAnsi="Times New Roman"/>
                <w:b/>
                <w:color w:val="000000" w:themeColor="text1"/>
              </w:rPr>
            </w:pPr>
            <w:r w:rsidRPr="00260790">
              <w:rPr>
                <w:rFonts w:ascii="Times New Roman" w:hAnsi="Times New Roman"/>
                <w:b/>
                <w:color w:val="000000" w:themeColor="text1"/>
              </w:rPr>
              <w:t>É</w:t>
            </w:r>
            <w:r w:rsidR="005F3FB7" w:rsidRPr="00260790">
              <w:rPr>
                <w:rFonts w:ascii="Times New Roman" w:hAnsi="Times New Roman"/>
                <w:b/>
                <w:color w:val="000000" w:themeColor="text1"/>
              </w:rPr>
              <w:t>levé</w:t>
            </w:r>
          </w:p>
        </w:tc>
        <w:tc>
          <w:tcPr>
            <w:tcW w:w="7649" w:type="dxa"/>
            <w:vAlign w:val="center"/>
          </w:tcPr>
          <w:p w14:paraId="36EA135B" w14:textId="77777777" w:rsidR="005F3FB7" w:rsidRPr="00260790" w:rsidRDefault="005F3FB7" w:rsidP="001748C6">
            <w:pPr>
              <w:numPr>
                <w:ilvl w:val="0"/>
                <w:numId w:val="72"/>
              </w:numPr>
              <w:spacing w:after="0" w:line="240" w:lineRule="auto"/>
              <w:ind w:left="420" w:right="130" w:hanging="283"/>
              <w:jc w:val="both"/>
              <w:rPr>
                <w:rFonts w:ascii="Times New Roman" w:hAnsi="Times New Roman"/>
                <w:color w:val="000000" w:themeColor="text1"/>
              </w:rPr>
            </w:pPr>
            <w:r w:rsidRPr="00260790">
              <w:rPr>
                <w:rFonts w:ascii="Times New Roman" w:hAnsi="Times New Roman"/>
                <w:color w:val="000000" w:themeColor="text1"/>
              </w:rPr>
              <w:t xml:space="preserve">Les individus ou les organismes de cette catégorie sont considérés comme étant des "parties prenantes naturelles" du fait de leurs forts niveaux d’influence. La collaboration avec ces individus ou organismes est donc essentielle pour assurer leur adhésion tout au long du projet. </w:t>
            </w:r>
          </w:p>
          <w:p w14:paraId="4CF56BFD" w14:textId="2054C28A" w:rsidR="005F3FB7" w:rsidRPr="00260790" w:rsidRDefault="005F3FB7" w:rsidP="001748C6">
            <w:pPr>
              <w:numPr>
                <w:ilvl w:val="0"/>
                <w:numId w:val="72"/>
              </w:numPr>
              <w:spacing w:after="0" w:line="240" w:lineRule="auto"/>
              <w:ind w:left="420" w:right="130" w:hanging="283"/>
              <w:jc w:val="both"/>
              <w:rPr>
                <w:rFonts w:ascii="Times New Roman" w:hAnsi="Times New Roman"/>
                <w:color w:val="000000" w:themeColor="text1"/>
              </w:rPr>
            </w:pPr>
            <w:r w:rsidRPr="00260790">
              <w:rPr>
                <w:rFonts w:ascii="Times New Roman" w:hAnsi="Times New Roman"/>
                <w:color w:val="000000" w:themeColor="text1"/>
              </w:rPr>
              <w:t>Ce sont les acteurs dont les actes peuvent modifier le projet, voire bloquer le projet. Il s’agit des acteurs qui doivent être impliqué</w:t>
            </w:r>
            <w:r w:rsidR="00690BF6" w:rsidRPr="00260790">
              <w:rPr>
                <w:rFonts w:ascii="Times New Roman" w:hAnsi="Times New Roman"/>
                <w:color w:val="000000" w:themeColor="text1"/>
              </w:rPr>
              <w:t>s</w:t>
            </w:r>
            <w:r w:rsidRPr="00260790">
              <w:rPr>
                <w:rFonts w:ascii="Times New Roman" w:hAnsi="Times New Roman"/>
                <w:color w:val="000000" w:themeColor="text1"/>
              </w:rPr>
              <w:t xml:space="preserve"> à toutes les étapes de la mise en œuvre du projet.</w:t>
            </w:r>
          </w:p>
          <w:p w14:paraId="7E3CB242" w14:textId="77777777" w:rsidR="005F3FB7" w:rsidRPr="00260790" w:rsidRDefault="005F3FB7" w:rsidP="00E20250">
            <w:pPr>
              <w:spacing w:after="0" w:line="240" w:lineRule="auto"/>
              <w:ind w:right="130"/>
              <w:jc w:val="both"/>
              <w:rPr>
                <w:rFonts w:ascii="Times New Roman" w:hAnsi="Times New Roman"/>
                <w:color w:val="000000" w:themeColor="text1"/>
              </w:rPr>
            </w:pPr>
            <w:r w:rsidRPr="00260790">
              <w:rPr>
                <w:rFonts w:ascii="Times New Roman" w:hAnsi="Times New Roman"/>
                <w:color w:val="000000" w:themeColor="text1"/>
              </w:rPr>
              <w:t xml:space="preserve">Sont classés dans cette catégorie : </w:t>
            </w:r>
          </w:p>
          <w:p w14:paraId="798F76A6" w14:textId="3ABE0543" w:rsidR="005F3FB7" w:rsidRPr="00260790" w:rsidRDefault="005F3FB7" w:rsidP="001748C6">
            <w:pPr>
              <w:pStyle w:val="Grillemoyenne1-Accent22"/>
              <w:numPr>
                <w:ilvl w:val="0"/>
                <w:numId w:val="72"/>
              </w:numPr>
              <w:ind w:left="420" w:right="130" w:hanging="283"/>
              <w:jc w:val="both"/>
              <w:rPr>
                <w:color w:val="000000" w:themeColor="text1"/>
                <w:sz w:val="22"/>
                <w:szCs w:val="22"/>
              </w:rPr>
            </w:pPr>
            <w:r w:rsidRPr="00260790">
              <w:rPr>
                <w:color w:val="000000" w:themeColor="text1"/>
                <w:sz w:val="22"/>
                <w:szCs w:val="22"/>
              </w:rPr>
              <w:t>Le Secteur public (</w:t>
            </w:r>
            <w:r w:rsidR="00B27D4F" w:rsidRPr="00260790">
              <w:rPr>
                <w:color w:val="000000" w:themeColor="text1"/>
                <w:sz w:val="22"/>
                <w:szCs w:val="22"/>
              </w:rPr>
              <w:t>G</w:t>
            </w:r>
            <w:r w:rsidRPr="00260790">
              <w:rPr>
                <w:color w:val="000000" w:themeColor="text1"/>
                <w:sz w:val="22"/>
                <w:szCs w:val="22"/>
              </w:rPr>
              <w:t xml:space="preserve">ouvernement, services techniques de l’État, Autorités locales et ADM) directement en charge de suivi du projet </w:t>
            </w:r>
          </w:p>
          <w:p w14:paraId="0FC7B512" w14:textId="77777777" w:rsidR="005F3FB7" w:rsidRPr="00260790" w:rsidRDefault="005F3FB7" w:rsidP="001748C6">
            <w:pPr>
              <w:pStyle w:val="Grillemoyenne1-Accent22"/>
              <w:numPr>
                <w:ilvl w:val="0"/>
                <w:numId w:val="72"/>
              </w:numPr>
              <w:ind w:left="420" w:right="130" w:hanging="283"/>
              <w:jc w:val="both"/>
              <w:rPr>
                <w:color w:val="000000" w:themeColor="text1"/>
                <w:sz w:val="22"/>
                <w:szCs w:val="22"/>
              </w:rPr>
            </w:pPr>
            <w:r w:rsidRPr="00260790">
              <w:rPr>
                <w:color w:val="000000" w:themeColor="text1"/>
                <w:sz w:val="22"/>
                <w:szCs w:val="22"/>
              </w:rPr>
              <w:t>Les personnes affectées par le projet (PAP) ainsi que les acteurs de la problématique d’inondation ;</w:t>
            </w:r>
          </w:p>
          <w:p w14:paraId="7B7A2344" w14:textId="77777777" w:rsidR="005F3FB7" w:rsidRPr="00260790" w:rsidRDefault="005F3FB7" w:rsidP="001748C6">
            <w:pPr>
              <w:pStyle w:val="Grillemoyenne1-Accent22"/>
              <w:numPr>
                <w:ilvl w:val="0"/>
                <w:numId w:val="72"/>
              </w:numPr>
              <w:ind w:left="420" w:right="130" w:hanging="283"/>
              <w:jc w:val="both"/>
              <w:rPr>
                <w:color w:val="000000" w:themeColor="text1"/>
                <w:sz w:val="22"/>
                <w:szCs w:val="22"/>
              </w:rPr>
            </w:pPr>
            <w:r w:rsidRPr="00260790">
              <w:rPr>
                <w:color w:val="000000" w:themeColor="text1"/>
                <w:sz w:val="22"/>
                <w:szCs w:val="22"/>
              </w:rPr>
              <w:t>Les partenaires techniques et financiers ;</w:t>
            </w:r>
          </w:p>
          <w:p w14:paraId="17A7DC98" w14:textId="77777777" w:rsidR="005F3FB7" w:rsidRPr="00260790" w:rsidRDefault="005F3FB7" w:rsidP="001748C6">
            <w:pPr>
              <w:pStyle w:val="Grillemoyenne1-Accent22"/>
              <w:numPr>
                <w:ilvl w:val="0"/>
                <w:numId w:val="72"/>
              </w:numPr>
              <w:ind w:left="420" w:right="130" w:hanging="283"/>
              <w:jc w:val="both"/>
              <w:rPr>
                <w:rFonts w:eastAsia="Calibri"/>
                <w:color w:val="000000" w:themeColor="text1"/>
                <w:sz w:val="22"/>
                <w:szCs w:val="22"/>
                <w:lang w:eastAsia="en-US"/>
              </w:rPr>
            </w:pPr>
            <w:r w:rsidRPr="00260790">
              <w:rPr>
                <w:rFonts w:eastAsia="Calibri"/>
                <w:color w:val="000000" w:themeColor="text1"/>
                <w:sz w:val="22"/>
                <w:szCs w:val="22"/>
                <w:lang w:eastAsia="en-US"/>
              </w:rPr>
              <w:t xml:space="preserve">Les collectivités territoriales concernées par le projet ; </w:t>
            </w:r>
          </w:p>
        </w:tc>
      </w:tr>
      <w:tr w:rsidR="00BD1A2F" w:rsidRPr="00260790" w14:paraId="33603375" w14:textId="77777777" w:rsidTr="005F3FB7">
        <w:tc>
          <w:tcPr>
            <w:tcW w:w="1413" w:type="dxa"/>
            <w:shd w:val="clear" w:color="auto" w:fill="FFC000"/>
            <w:vAlign w:val="center"/>
          </w:tcPr>
          <w:p w14:paraId="616F748A" w14:textId="77777777" w:rsidR="005F3FB7" w:rsidRPr="00260790" w:rsidRDefault="005F3FB7" w:rsidP="00E20250">
            <w:pPr>
              <w:spacing w:after="0" w:line="240" w:lineRule="auto"/>
              <w:jc w:val="center"/>
              <w:rPr>
                <w:rFonts w:ascii="Times New Roman" w:hAnsi="Times New Roman"/>
                <w:b/>
                <w:color w:val="000000" w:themeColor="text1"/>
              </w:rPr>
            </w:pPr>
            <w:r w:rsidRPr="00260790">
              <w:rPr>
                <w:rFonts w:ascii="Times New Roman" w:hAnsi="Times New Roman"/>
                <w:b/>
                <w:color w:val="000000" w:themeColor="text1"/>
              </w:rPr>
              <w:t>Moyen</w:t>
            </w:r>
          </w:p>
        </w:tc>
        <w:tc>
          <w:tcPr>
            <w:tcW w:w="7649" w:type="dxa"/>
            <w:vAlign w:val="center"/>
          </w:tcPr>
          <w:p w14:paraId="0BD6B484" w14:textId="77777777" w:rsidR="005F3FB7" w:rsidRPr="00260790" w:rsidRDefault="005F3FB7" w:rsidP="00E20250">
            <w:pPr>
              <w:spacing w:after="0" w:line="240" w:lineRule="auto"/>
              <w:ind w:left="137" w:right="130"/>
              <w:jc w:val="both"/>
              <w:rPr>
                <w:rFonts w:ascii="Times New Roman" w:hAnsi="Times New Roman"/>
                <w:color w:val="000000" w:themeColor="text1"/>
              </w:rPr>
            </w:pPr>
            <w:r w:rsidRPr="00260790">
              <w:rPr>
                <w:rFonts w:ascii="Times New Roman" w:hAnsi="Times New Roman"/>
                <w:color w:val="000000" w:themeColor="text1"/>
              </w:rPr>
              <w:t>Les individus ou organismes de cette catégorie accordent une grande importance à la réussite du projet et souhaitent par conséquent être tenus informés de son avancement.</w:t>
            </w:r>
          </w:p>
          <w:p w14:paraId="46D7F263" w14:textId="77777777" w:rsidR="005F3FB7" w:rsidRPr="00260790" w:rsidRDefault="005F3FB7" w:rsidP="00E20250">
            <w:pPr>
              <w:spacing w:after="0" w:line="240" w:lineRule="auto"/>
              <w:ind w:left="137" w:right="130"/>
              <w:jc w:val="both"/>
              <w:rPr>
                <w:rFonts w:ascii="Times New Roman" w:hAnsi="Times New Roman"/>
                <w:color w:val="000000" w:themeColor="text1"/>
              </w:rPr>
            </w:pPr>
            <w:r w:rsidRPr="00260790">
              <w:rPr>
                <w:rFonts w:ascii="Times New Roman" w:hAnsi="Times New Roman"/>
                <w:color w:val="000000" w:themeColor="text1"/>
              </w:rPr>
              <w:t xml:space="preserve">Il s’agit des acteurs dont les actes peuvent amener à repenser la mise en œuvre du projet et amener certaines parties prenantes à adopter certaines positions à l’égard du projet. Ils n’ont pas une capacité à bloquer le projet, mais peuvent ralentir ou retarder sa mise en œuvre. Il s’agit d’acteurs qui doivent adhérer à la mise en œuvre du projet et avec qui il faut assurer une étroite collaboration. </w:t>
            </w:r>
          </w:p>
          <w:p w14:paraId="657A8FE9" w14:textId="3905F5DA" w:rsidR="005F3FB7" w:rsidRPr="00260790" w:rsidRDefault="005F3FB7" w:rsidP="00E20250">
            <w:pPr>
              <w:spacing w:after="0" w:line="240" w:lineRule="auto"/>
              <w:ind w:left="137" w:right="130"/>
              <w:jc w:val="both"/>
              <w:rPr>
                <w:rFonts w:ascii="Times New Roman" w:hAnsi="Times New Roman"/>
                <w:color w:val="000000" w:themeColor="text1"/>
              </w:rPr>
            </w:pPr>
            <w:r w:rsidRPr="00260790">
              <w:rPr>
                <w:rFonts w:ascii="Times New Roman" w:hAnsi="Times New Roman"/>
                <w:color w:val="000000" w:themeColor="text1"/>
              </w:rPr>
              <w:t>Ces acteurs doivent être informé</w:t>
            </w:r>
            <w:r w:rsidR="00690BF6" w:rsidRPr="00260790">
              <w:rPr>
                <w:rFonts w:ascii="Times New Roman" w:hAnsi="Times New Roman"/>
                <w:color w:val="000000" w:themeColor="text1"/>
              </w:rPr>
              <w:t>s</w:t>
            </w:r>
            <w:r w:rsidRPr="00260790">
              <w:rPr>
                <w:rFonts w:ascii="Times New Roman" w:hAnsi="Times New Roman"/>
                <w:color w:val="000000" w:themeColor="text1"/>
              </w:rPr>
              <w:t>/sensibilisé</w:t>
            </w:r>
            <w:r w:rsidR="00690BF6" w:rsidRPr="00260790">
              <w:rPr>
                <w:rFonts w:ascii="Times New Roman" w:hAnsi="Times New Roman"/>
                <w:color w:val="000000" w:themeColor="text1"/>
              </w:rPr>
              <w:t>s</w:t>
            </w:r>
            <w:r w:rsidRPr="00260790">
              <w:rPr>
                <w:rFonts w:ascii="Times New Roman" w:hAnsi="Times New Roman"/>
                <w:color w:val="000000" w:themeColor="text1"/>
              </w:rPr>
              <w:t xml:space="preserve"> à toutes les étapes de la mise en œuvre du projet</w:t>
            </w:r>
          </w:p>
          <w:p w14:paraId="29EFD695" w14:textId="77777777" w:rsidR="005F3FB7" w:rsidRPr="00260790" w:rsidRDefault="005F3FB7" w:rsidP="00E20250">
            <w:pPr>
              <w:spacing w:after="0" w:line="240" w:lineRule="auto"/>
              <w:ind w:left="137" w:right="130"/>
              <w:jc w:val="both"/>
              <w:rPr>
                <w:rFonts w:ascii="Times New Roman" w:hAnsi="Times New Roman"/>
                <w:color w:val="000000" w:themeColor="text1"/>
              </w:rPr>
            </w:pPr>
            <w:r w:rsidRPr="00260790">
              <w:rPr>
                <w:rFonts w:ascii="Times New Roman" w:hAnsi="Times New Roman"/>
                <w:color w:val="000000" w:themeColor="text1"/>
              </w:rPr>
              <w:t xml:space="preserve">Sont classés dans cette catégorie : </w:t>
            </w:r>
          </w:p>
          <w:p w14:paraId="7107CC0C" w14:textId="77777777" w:rsidR="005F3FB7" w:rsidRPr="00260790" w:rsidRDefault="005F3FB7" w:rsidP="001748C6">
            <w:pPr>
              <w:pStyle w:val="Grillemoyenne1-Accent22"/>
              <w:numPr>
                <w:ilvl w:val="0"/>
                <w:numId w:val="72"/>
              </w:numPr>
              <w:ind w:left="420" w:right="130" w:hanging="283"/>
              <w:jc w:val="both"/>
              <w:rPr>
                <w:rFonts w:eastAsia="Calibri"/>
                <w:color w:val="000000" w:themeColor="text1"/>
                <w:sz w:val="22"/>
                <w:szCs w:val="22"/>
                <w:lang w:eastAsia="en-US"/>
              </w:rPr>
            </w:pPr>
            <w:r w:rsidRPr="00260790">
              <w:rPr>
                <w:rFonts w:eastAsia="Calibri"/>
                <w:color w:val="000000" w:themeColor="text1"/>
                <w:sz w:val="22"/>
                <w:szCs w:val="22"/>
                <w:lang w:eastAsia="en-US"/>
              </w:rPr>
              <w:t>Les communautés de la zone du projet ;</w:t>
            </w:r>
          </w:p>
          <w:p w14:paraId="532BD1DC" w14:textId="77777777" w:rsidR="005F3FB7" w:rsidRPr="00260790" w:rsidRDefault="005F3FB7" w:rsidP="001748C6">
            <w:pPr>
              <w:pStyle w:val="Grillemoyenne1-Accent22"/>
              <w:numPr>
                <w:ilvl w:val="0"/>
                <w:numId w:val="72"/>
              </w:numPr>
              <w:ind w:left="420" w:right="130" w:hanging="283"/>
              <w:jc w:val="both"/>
              <w:rPr>
                <w:rFonts w:eastAsia="Calibri"/>
                <w:color w:val="000000" w:themeColor="text1"/>
                <w:sz w:val="22"/>
                <w:szCs w:val="22"/>
                <w:lang w:eastAsia="en-US"/>
              </w:rPr>
            </w:pPr>
            <w:r w:rsidRPr="00260790">
              <w:rPr>
                <w:rFonts w:eastAsia="Calibri"/>
                <w:color w:val="000000" w:themeColor="text1"/>
                <w:sz w:val="22"/>
                <w:szCs w:val="22"/>
                <w:lang w:eastAsia="en-US"/>
              </w:rPr>
              <w:t>Les organisations communautaires de base ;</w:t>
            </w:r>
          </w:p>
          <w:p w14:paraId="531EB52B" w14:textId="77777777" w:rsidR="005F3FB7" w:rsidRPr="00260790" w:rsidRDefault="005F3FB7" w:rsidP="001748C6">
            <w:pPr>
              <w:pStyle w:val="Grillemoyenne1-Accent22"/>
              <w:numPr>
                <w:ilvl w:val="0"/>
                <w:numId w:val="72"/>
              </w:numPr>
              <w:ind w:left="420" w:right="130" w:hanging="283"/>
              <w:jc w:val="both"/>
              <w:rPr>
                <w:rFonts w:eastAsia="Calibri"/>
                <w:color w:val="000000" w:themeColor="text1"/>
                <w:sz w:val="22"/>
                <w:szCs w:val="22"/>
                <w:lang w:eastAsia="en-US"/>
              </w:rPr>
            </w:pPr>
            <w:r w:rsidRPr="00260790">
              <w:rPr>
                <w:rFonts w:eastAsia="Calibri"/>
                <w:color w:val="000000" w:themeColor="text1"/>
                <w:sz w:val="22"/>
                <w:szCs w:val="22"/>
                <w:lang w:eastAsia="en-US"/>
              </w:rPr>
              <w:t>Les organisations de la société civile ;</w:t>
            </w:r>
          </w:p>
          <w:p w14:paraId="5C192110" w14:textId="77777777" w:rsidR="005F3FB7" w:rsidRPr="00260790" w:rsidRDefault="005F3FB7" w:rsidP="001748C6">
            <w:pPr>
              <w:pStyle w:val="Grillemoyenne1-Accent22"/>
              <w:numPr>
                <w:ilvl w:val="0"/>
                <w:numId w:val="72"/>
              </w:numPr>
              <w:ind w:left="420" w:right="130" w:hanging="283"/>
              <w:jc w:val="both"/>
              <w:rPr>
                <w:rFonts w:eastAsia="Calibri"/>
                <w:color w:val="000000" w:themeColor="text1"/>
                <w:sz w:val="22"/>
                <w:szCs w:val="22"/>
                <w:lang w:eastAsia="en-US"/>
              </w:rPr>
            </w:pPr>
            <w:r w:rsidRPr="00260790">
              <w:rPr>
                <w:rFonts w:eastAsia="Calibri"/>
                <w:color w:val="000000" w:themeColor="text1"/>
                <w:sz w:val="22"/>
                <w:szCs w:val="22"/>
                <w:lang w:eastAsia="en-US"/>
              </w:rPr>
              <w:t>La chefferie locale.</w:t>
            </w:r>
          </w:p>
          <w:p w14:paraId="4B1658F9" w14:textId="77777777" w:rsidR="005F3FB7" w:rsidRPr="00260790" w:rsidRDefault="005F3FB7" w:rsidP="001748C6">
            <w:pPr>
              <w:pStyle w:val="Grillemoyenne1-Accent22"/>
              <w:numPr>
                <w:ilvl w:val="0"/>
                <w:numId w:val="72"/>
              </w:numPr>
              <w:ind w:left="420" w:right="130" w:hanging="283"/>
              <w:jc w:val="both"/>
              <w:rPr>
                <w:rFonts w:eastAsia="Calibri"/>
                <w:color w:val="000000" w:themeColor="text1"/>
                <w:sz w:val="22"/>
                <w:szCs w:val="22"/>
                <w:lang w:eastAsia="en-US"/>
              </w:rPr>
            </w:pPr>
            <w:r w:rsidRPr="00260790">
              <w:rPr>
                <w:rFonts w:eastAsia="Calibri"/>
                <w:color w:val="000000" w:themeColor="text1"/>
                <w:sz w:val="22"/>
                <w:szCs w:val="22"/>
                <w:lang w:eastAsia="en-US"/>
              </w:rPr>
              <w:t>Les PAP</w:t>
            </w:r>
          </w:p>
        </w:tc>
      </w:tr>
      <w:tr w:rsidR="00BD1A2F" w:rsidRPr="00260790" w14:paraId="3CFD8A3F" w14:textId="77777777" w:rsidTr="005F3FB7">
        <w:tc>
          <w:tcPr>
            <w:tcW w:w="1413" w:type="dxa"/>
            <w:shd w:val="clear" w:color="auto" w:fill="FFFF00"/>
            <w:vAlign w:val="center"/>
          </w:tcPr>
          <w:p w14:paraId="0CA2D1AB" w14:textId="77777777" w:rsidR="005F3FB7" w:rsidRPr="00260790" w:rsidRDefault="005F3FB7" w:rsidP="00E20250">
            <w:pPr>
              <w:spacing w:after="0" w:line="240" w:lineRule="auto"/>
              <w:jc w:val="center"/>
              <w:rPr>
                <w:rFonts w:ascii="Times New Roman" w:hAnsi="Times New Roman"/>
                <w:b/>
                <w:color w:val="000000" w:themeColor="text1"/>
              </w:rPr>
            </w:pPr>
            <w:r w:rsidRPr="00260790">
              <w:rPr>
                <w:rFonts w:ascii="Times New Roman" w:hAnsi="Times New Roman"/>
                <w:b/>
                <w:color w:val="000000" w:themeColor="text1"/>
              </w:rPr>
              <w:t>Faible</w:t>
            </w:r>
          </w:p>
        </w:tc>
        <w:tc>
          <w:tcPr>
            <w:tcW w:w="7649" w:type="dxa"/>
            <w:vAlign w:val="center"/>
          </w:tcPr>
          <w:p w14:paraId="5D524F82" w14:textId="77777777" w:rsidR="005F3FB7" w:rsidRPr="00260790" w:rsidRDefault="005F3FB7" w:rsidP="00E20250">
            <w:pPr>
              <w:spacing w:after="0" w:line="240" w:lineRule="auto"/>
              <w:ind w:left="137" w:right="130"/>
              <w:jc w:val="both"/>
              <w:rPr>
                <w:rFonts w:ascii="Times New Roman" w:hAnsi="Times New Roman"/>
                <w:color w:val="000000" w:themeColor="text1"/>
              </w:rPr>
            </w:pPr>
            <w:r w:rsidRPr="00260790">
              <w:rPr>
                <w:rFonts w:ascii="Times New Roman" w:hAnsi="Times New Roman"/>
                <w:color w:val="000000" w:themeColor="text1"/>
              </w:rPr>
              <w:t>Il s’agit des acteurs qui ont un niveau d’influence très faible dans la mise en œuvre du projet. Les individus ou organismes de cette catégorie sont liés de loin au projet : ils n'accordent que peu d'importance à sa réussite et n'ont pas spécialement d'influence sur l'atteinte des objectifs. La stratégie à mettre en place consiste alors à surveiller ces parties prenantes au cas où leurs niveaux de pouvoir et/ou d'intérêt augmenteraient.</w:t>
            </w:r>
          </w:p>
          <w:p w14:paraId="39C10585" w14:textId="77777777" w:rsidR="005F3FB7" w:rsidRPr="00260790" w:rsidRDefault="005F3FB7" w:rsidP="00E20250">
            <w:pPr>
              <w:spacing w:after="0" w:line="240" w:lineRule="auto"/>
              <w:ind w:left="137" w:right="130"/>
              <w:jc w:val="both"/>
              <w:rPr>
                <w:rFonts w:ascii="Times New Roman" w:hAnsi="Times New Roman"/>
                <w:color w:val="000000" w:themeColor="text1"/>
              </w:rPr>
            </w:pPr>
            <w:r w:rsidRPr="00260790">
              <w:rPr>
                <w:rFonts w:ascii="Times New Roman" w:hAnsi="Times New Roman"/>
                <w:color w:val="000000" w:themeColor="text1"/>
              </w:rPr>
              <w:t>Les fournisseurs locaux, les groupes vulnérables font partie de cette catégorie</w:t>
            </w:r>
          </w:p>
        </w:tc>
      </w:tr>
    </w:tbl>
    <w:p w14:paraId="65AD5EF0" w14:textId="77777777" w:rsidR="005F3FB7" w:rsidRPr="00260790" w:rsidRDefault="005F3FB7" w:rsidP="00E20250">
      <w:pPr>
        <w:spacing w:after="0" w:line="240" w:lineRule="auto"/>
        <w:rPr>
          <w:rFonts w:ascii="Times New Roman" w:hAnsi="Times New Roman"/>
          <w:b/>
          <w:color w:val="000000" w:themeColor="text1"/>
        </w:rPr>
      </w:pPr>
    </w:p>
    <w:p w14:paraId="4720050A" w14:textId="77777777" w:rsidR="005F3FB7" w:rsidRPr="00260790" w:rsidRDefault="005F3FB7" w:rsidP="00E20250">
      <w:pPr>
        <w:spacing w:after="0" w:line="240" w:lineRule="auto"/>
        <w:rPr>
          <w:rFonts w:ascii="Times New Roman" w:hAnsi="Times New Roman"/>
          <w:color w:val="000000" w:themeColor="text1"/>
        </w:rPr>
      </w:pPr>
      <w:r w:rsidRPr="00260790">
        <w:rPr>
          <w:rFonts w:ascii="Times New Roman" w:hAnsi="Times New Roman"/>
          <w:b/>
          <w:color w:val="000000" w:themeColor="text1"/>
        </w:rPr>
        <w:t>Légende du code couleur</w:t>
      </w:r>
      <w:r w:rsidRPr="00260790">
        <w:rPr>
          <w:rFonts w:ascii="Times New Roman" w:hAnsi="Times New Roman"/>
          <w:color w:val="000000" w:themeColor="text1"/>
        </w:rPr>
        <w:t>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35"/>
        <w:gridCol w:w="1135"/>
        <w:gridCol w:w="1135"/>
        <w:gridCol w:w="1135"/>
        <w:gridCol w:w="1135"/>
        <w:gridCol w:w="1135"/>
      </w:tblGrid>
      <w:tr w:rsidR="00BD1A2F" w:rsidRPr="00260790" w14:paraId="03C0CA7A" w14:textId="77777777" w:rsidTr="005F3FB7">
        <w:trPr>
          <w:trHeight w:val="249"/>
        </w:trPr>
        <w:tc>
          <w:tcPr>
            <w:tcW w:w="1135" w:type="dxa"/>
            <w:vAlign w:val="center"/>
          </w:tcPr>
          <w:p w14:paraId="326E2108" w14:textId="77777777" w:rsidR="005F3FB7" w:rsidRPr="00260790" w:rsidRDefault="005F3FB7" w:rsidP="00E20250">
            <w:pPr>
              <w:spacing w:after="0" w:line="240" w:lineRule="auto"/>
              <w:jc w:val="center"/>
              <w:rPr>
                <w:rFonts w:ascii="Times New Roman" w:hAnsi="Times New Roman"/>
                <w:color w:val="000000" w:themeColor="text1"/>
              </w:rPr>
            </w:pPr>
            <w:r w:rsidRPr="00260790">
              <w:rPr>
                <w:rFonts w:ascii="Times New Roman" w:hAnsi="Times New Roman"/>
                <w:color w:val="000000" w:themeColor="text1"/>
              </w:rPr>
              <w:t>Élevé</w:t>
            </w:r>
          </w:p>
        </w:tc>
        <w:tc>
          <w:tcPr>
            <w:tcW w:w="1135" w:type="dxa"/>
            <w:shd w:val="clear" w:color="auto" w:fill="70AD47"/>
            <w:vAlign w:val="center"/>
          </w:tcPr>
          <w:p w14:paraId="45F605ED" w14:textId="77777777" w:rsidR="005F3FB7" w:rsidRPr="00260790" w:rsidRDefault="005F3FB7" w:rsidP="00E20250">
            <w:pPr>
              <w:spacing w:after="0" w:line="240" w:lineRule="auto"/>
              <w:rPr>
                <w:rFonts w:ascii="Times New Roman" w:hAnsi="Times New Roman"/>
                <w:color w:val="000000" w:themeColor="text1"/>
              </w:rPr>
            </w:pPr>
          </w:p>
        </w:tc>
        <w:tc>
          <w:tcPr>
            <w:tcW w:w="1135" w:type="dxa"/>
            <w:vAlign w:val="center"/>
          </w:tcPr>
          <w:p w14:paraId="0A4E1CA8" w14:textId="77777777" w:rsidR="005F3FB7" w:rsidRPr="00260790" w:rsidRDefault="005F3FB7" w:rsidP="00E20250">
            <w:pPr>
              <w:spacing w:after="0" w:line="240" w:lineRule="auto"/>
              <w:jc w:val="center"/>
              <w:rPr>
                <w:rFonts w:ascii="Times New Roman" w:hAnsi="Times New Roman"/>
                <w:color w:val="000000" w:themeColor="text1"/>
              </w:rPr>
            </w:pPr>
            <w:r w:rsidRPr="00260790">
              <w:rPr>
                <w:rFonts w:ascii="Times New Roman" w:hAnsi="Times New Roman"/>
                <w:color w:val="000000" w:themeColor="text1"/>
              </w:rPr>
              <w:t>Moyen</w:t>
            </w:r>
          </w:p>
        </w:tc>
        <w:tc>
          <w:tcPr>
            <w:tcW w:w="1135" w:type="dxa"/>
            <w:shd w:val="clear" w:color="auto" w:fill="FFC000"/>
            <w:vAlign w:val="center"/>
          </w:tcPr>
          <w:p w14:paraId="71AE1E6A" w14:textId="77777777" w:rsidR="005F3FB7" w:rsidRPr="00260790" w:rsidRDefault="005F3FB7" w:rsidP="00E20250">
            <w:pPr>
              <w:spacing w:after="0" w:line="240" w:lineRule="auto"/>
              <w:rPr>
                <w:rFonts w:ascii="Times New Roman" w:hAnsi="Times New Roman"/>
                <w:color w:val="000000" w:themeColor="text1"/>
              </w:rPr>
            </w:pPr>
          </w:p>
        </w:tc>
        <w:tc>
          <w:tcPr>
            <w:tcW w:w="1135" w:type="dxa"/>
            <w:vAlign w:val="center"/>
          </w:tcPr>
          <w:p w14:paraId="3FD1A9FD" w14:textId="77777777" w:rsidR="005F3FB7" w:rsidRPr="00260790" w:rsidRDefault="005F3FB7" w:rsidP="00E20250">
            <w:pPr>
              <w:spacing w:after="0" w:line="240" w:lineRule="auto"/>
              <w:jc w:val="center"/>
              <w:rPr>
                <w:rFonts w:ascii="Times New Roman" w:hAnsi="Times New Roman"/>
                <w:color w:val="000000" w:themeColor="text1"/>
              </w:rPr>
            </w:pPr>
            <w:r w:rsidRPr="00260790">
              <w:rPr>
                <w:rFonts w:ascii="Times New Roman" w:hAnsi="Times New Roman"/>
                <w:color w:val="000000" w:themeColor="text1"/>
              </w:rPr>
              <w:t>Faible</w:t>
            </w:r>
          </w:p>
        </w:tc>
        <w:tc>
          <w:tcPr>
            <w:tcW w:w="1135" w:type="dxa"/>
            <w:shd w:val="clear" w:color="auto" w:fill="FFFF00"/>
            <w:vAlign w:val="center"/>
          </w:tcPr>
          <w:p w14:paraId="697334E3" w14:textId="77777777" w:rsidR="005F3FB7" w:rsidRPr="00260790" w:rsidRDefault="005F3FB7" w:rsidP="00E20250">
            <w:pPr>
              <w:spacing w:after="0" w:line="240" w:lineRule="auto"/>
              <w:rPr>
                <w:rFonts w:ascii="Times New Roman" w:hAnsi="Times New Roman"/>
                <w:color w:val="000000" w:themeColor="text1"/>
              </w:rPr>
            </w:pPr>
          </w:p>
        </w:tc>
      </w:tr>
    </w:tbl>
    <w:p w14:paraId="16244DEA" w14:textId="77777777" w:rsidR="005F3FB7" w:rsidRPr="00260790" w:rsidRDefault="005F3FB7" w:rsidP="00E20250">
      <w:pPr>
        <w:spacing w:line="240" w:lineRule="auto"/>
        <w:jc w:val="both"/>
        <w:rPr>
          <w:rFonts w:ascii="Times New Roman" w:hAnsi="Times New Roman"/>
          <w:color w:val="000000" w:themeColor="text1"/>
        </w:rPr>
      </w:pPr>
    </w:p>
    <w:p w14:paraId="09CDC834" w14:textId="26DCA419" w:rsidR="005F3FB7" w:rsidRPr="00260790" w:rsidRDefault="005F3FB7" w:rsidP="00E20250">
      <w:pPr>
        <w:spacing w:line="240" w:lineRule="auto"/>
        <w:jc w:val="both"/>
        <w:rPr>
          <w:rFonts w:ascii="Times New Roman" w:hAnsi="Times New Roman"/>
          <w:b/>
          <w:color w:val="000000" w:themeColor="text1"/>
        </w:rPr>
      </w:pPr>
      <w:r w:rsidRPr="00260790">
        <w:rPr>
          <w:rFonts w:ascii="Times New Roman" w:hAnsi="Times New Roman"/>
          <w:color w:val="000000" w:themeColor="text1"/>
        </w:rPr>
        <w:t xml:space="preserve">Enfin, sur la base des entretiens et des informations disponibles, le niveau d’engagement a été classé en cinq (5) catégories : </w:t>
      </w:r>
      <w:r w:rsidRPr="00260790">
        <w:rPr>
          <w:rFonts w:ascii="Times New Roman" w:hAnsi="Times New Roman"/>
          <w:b/>
          <w:color w:val="000000" w:themeColor="text1"/>
        </w:rPr>
        <w:t xml:space="preserve">Élevé, </w:t>
      </w:r>
      <w:r w:rsidR="00397335" w:rsidRPr="00260790">
        <w:rPr>
          <w:rFonts w:ascii="Times New Roman" w:hAnsi="Times New Roman"/>
          <w:b/>
          <w:color w:val="000000" w:themeColor="text1"/>
        </w:rPr>
        <w:t>m</w:t>
      </w:r>
      <w:r w:rsidRPr="00260790">
        <w:rPr>
          <w:rFonts w:ascii="Times New Roman" w:hAnsi="Times New Roman"/>
          <w:b/>
          <w:color w:val="000000" w:themeColor="text1"/>
        </w:rPr>
        <w:t xml:space="preserve">oyen, Passif, Faible, Négatif ou </w:t>
      </w:r>
      <w:r w:rsidRPr="00260790">
        <w:rPr>
          <w:rFonts w:ascii="Times New Roman" w:hAnsi="Times New Roman"/>
          <w:b/>
          <w:bCs/>
          <w:color w:val="000000" w:themeColor="text1"/>
        </w:rPr>
        <w:t>A</w:t>
      </w:r>
      <w:r w:rsidRPr="00260790">
        <w:rPr>
          <w:rFonts w:ascii="Times New Roman" w:hAnsi="Times New Roman"/>
          <w:b/>
          <w:color w:val="000000" w:themeColor="text1"/>
        </w:rPr>
        <w:t>ntagoniste</w:t>
      </w:r>
    </w:p>
    <w:p w14:paraId="36861D3A" w14:textId="5573F3CA" w:rsidR="005F3FB7" w:rsidRPr="00260790" w:rsidRDefault="005F3FB7" w:rsidP="00E20250">
      <w:pPr>
        <w:spacing w:after="0" w:line="240" w:lineRule="auto"/>
        <w:rPr>
          <w:rFonts w:ascii="Times New Roman" w:hAnsi="Times New Roman"/>
          <w:color w:val="000000" w:themeColor="text1"/>
        </w:rPr>
      </w:pPr>
    </w:p>
    <w:p w14:paraId="521C0599" w14:textId="77777777" w:rsidR="005F3FB7"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Cette classification a permis d’évaluer le niveau d’engagement de chaque partie prenante à contribuer ou empêcher le projet. La notation a été faite selon le tableau suivant :</w:t>
      </w:r>
    </w:p>
    <w:p w14:paraId="78FB1C82" w14:textId="77777777" w:rsidR="00B3729F" w:rsidRPr="00260790" w:rsidRDefault="00B3729F">
      <w:pPr>
        <w:spacing w:line="259" w:lineRule="auto"/>
        <w:rPr>
          <w:rFonts w:ascii="Times New Roman" w:hAnsi="Times New Roman"/>
          <w:iCs/>
          <w:color w:val="000000" w:themeColor="text1"/>
        </w:rPr>
      </w:pPr>
      <w:bookmarkStart w:id="2191" w:name="_Toc65583192"/>
      <w:r w:rsidRPr="00260790">
        <w:rPr>
          <w:rFonts w:ascii="Times New Roman" w:hAnsi="Times New Roman"/>
          <w:iCs/>
          <w:color w:val="000000" w:themeColor="text1"/>
        </w:rPr>
        <w:br w:type="page"/>
      </w:r>
    </w:p>
    <w:p w14:paraId="180F9C05" w14:textId="101F4185" w:rsidR="005F3FB7" w:rsidRPr="00260790" w:rsidRDefault="005F3FB7" w:rsidP="00E20250">
      <w:pPr>
        <w:keepNext/>
        <w:spacing w:after="0" w:line="240" w:lineRule="auto"/>
        <w:rPr>
          <w:rFonts w:ascii="Times New Roman" w:hAnsi="Times New Roman"/>
          <w:i/>
          <w:color w:val="000000" w:themeColor="text1"/>
        </w:rPr>
      </w:pPr>
      <w:bookmarkStart w:id="2192" w:name="_Toc207781952"/>
      <w:r w:rsidRPr="00260790">
        <w:rPr>
          <w:rFonts w:ascii="Times New Roman" w:hAnsi="Times New Roman"/>
          <w:i/>
          <w:color w:val="000000" w:themeColor="text1"/>
        </w:rPr>
        <w:lastRenderedPageBreak/>
        <w:t xml:space="preserve">Tableau </w:t>
      </w:r>
      <w:r w:rsidRPr="00260790">
        <w:rPr>
          <w:rFonts w:ascii="Times New Roman" w:hAnsi="Times New Roman"/>
          <w:i/>
          <w:color w:val="000000" w:themeColor="text1"/>
        </w:rPr>
        <w:fldChar w:fldCharType="begin"/>
      </w:r>
      <w:r w:rsidRPr="00260790">
        <w:rPr>
          <w:rFonts w:ascii="Times New Roman" w:hAnsi="Times New Roman"/>
          <w:i/>
          <w:color w:val="000000" w:themeColor="text1"/>
        </w:rPr>
        <w:instrText xml:space="preserve"> SEQ Tableau \* ARABIC </w:instrText>
      </w:r>
      <w:r w:rsidRPr="00260790">
        <w:rPr>
          <w:rFonts w:ascii="Times New Roman" w:hAnsi="Times New Roman"/>
          <w:i/>
          <w:color w:val="000000" w:themeColor="text1"/>
        </w:rPr>
        <w:fldChar w:fldCharType="separate"/>
      </w:r>
      <w:r w:rsidR="003C783E">
        <w:rPr>
          <w:rFonts w:ascii="Times New Roman" w:hAnsi="Times New Roman"/>
          <w:i/>
          <w:noProof/>
          <w:color w:val="000000" w:themeColor="text1"/>
        </w:rPr>
        <w:t>111</w:t>
      </w:r>
      <w:r w:rsidRPr="00260790">
        <w:rPr>
          <w:rFonts w:ascii="Times New Roman" w:hAnsi="Times New Roman"/>
          <w:i/>
          <w:color w:val="000000" w:themeColor="text1"/>
        </w:rPr>
        <w:fldChar w:fldCharType="end"/>
      </w:r>
      <w:r w:rsidRPr="00260790">
        <w:rPr>
          <w:rFonts w:ascii="Times New Roman" w:hAnsi="Times New Roman"/>
          <w:i/>
          <w:color w:val="000000" w:themeColor="text1"/>
        </w:rPr>
        <w:t> : Critère d’évaluation du niveau d’engagement</w:t>
      </w:r>
      <w:bookmarkEnd w:id="2191"/>
      <w:bookmarkEnd w:id="2192"/>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13"/>
        <w:gridCol w:w="7637"/>
      </w:tblGrid>
      <w:tr w:rsidR="00BD1A2F" w:rsidRPr="00260790" w14:paraId="4CE29F71" w14:textId="77777777" w:rsidTr="005F3FB7">
        <w:trPr>
          <w:trHeight w:val="516"/>
        </w:trPr>
        <w:tc>
          <w:tcPr>
            <w:tcW w:w="1413" w:type="dxa"/>
            <w:shd w:val="clear" w:color="auto" w:fill="E7E6E6"/>
            <w:vAlign w:val="center"/>
          </w:tcPr>
          <w:p w14:paraId="29E132B3" w14:textId="77777777" w:rsidR="005F3FB7" w:rsidRPr="00260790" w:rsidRDefault="005F3FB7" w:rsidP="00E20250">
            <w:pPr>
              <w:spacing w:after="0" w:line="240" w:lineRule="auto"/>
              <w:jc w:val="center"/>
              <w:rPr>
                <w:rFonts w:ascii="Times New Roman" w:hAnsi="Times New Roman"/>
                <w:b/>
                <w:color w:val="000000" w:themeColor="text1"/>
              </w:rPr>
            </w:pPr>
            <w:r w:rsidRPr="00260790">
              <w:rPr>
                <w:rFonts w:ascii="Times New Roman" w:hAnsi="Times New Roman"/>
                <w:b/>
                <w:color w:val="000000" w:themeColor="text1"/>
              </w:rPr>
              <w:t>Niveau d’engagement</w:t>
            </w:r>
          </w:p>
        </w:tc>
        <w:tc>
          <w:tcPr>
            <w:tcW w:w="7649" w:type="dxa"/>
            <w:shd w:val="clear" w:color="auto" w:fill="E7E6E6"/>
            <w:vAlign w:val="center"/>
          </w:tcPr>
          <w:p w14:paraId="3F62D06C" w14:textId="77777777" w:rsidR="005F3FB7" w:rsidRPr="00260790" w:rsidRDefault="005F3FB7" w:rsidP="00E20250">
            <w:pPr>
              <w:spacing w:after="0" w:line="240" w:lineRule="auto"/>
              <w:jc w:val="center"/>
              <w:rPr>
                <w:rFonts w:ascii="Times New Roman" w:hAnsi="Times New Roman"/>
                <w:b/>
                <w:color w:val="000000" w:themeColor="text1"/>
              </w:rPr>
            </w:pPr>
            <w:r w:rsidRPr="00260790">
              <w:rPr>
                <w:rFonts w:ascii="Times New Roman" w:hAnsi="Times New Roman"/>
                <w:b/>
                <w:color w:val="000000" w:themeColor="text1"/>
              </w:rPr>
              <w:t>Critères</w:t>
            </w:r>
          </w:p>
        </w:tc>
      </w:tr>
      <w:tr w:rsidR="00BD1A2F" w:rsidRPr="00260790" w14:paraId="5316383B" w14:textId="77777777" w:rsidTr="005F3FB7">
        <w:trPr>
          <w:trHeight w:val="516"/>
        </w:trPr>
        <w:tc>
          <w:tcPr>
            <w:tcW w:w="1413" w:type="dxa"/>
            <w:shd w:val="clear" w:color="auto" w:fill="FF0000"/>
            <w:vAlign w:val="center"/>
          </w:tcPr>
          <w:p w14:paraId="2D0B9495" w14:textId="77777777" w:rsidR="005F3FB7" w:rsidRPr="00260790" w:rsidRDefault="005F3FB7" w:rsidP="00E20250">
            <w:pPr>
              <w:spacing w:after="0" w:line="240" w:lineRule="auto"/>
              <w:jc w:val="center"/>
              <w:rPr>
                <w:rFonts w:ascii="Times New Roman" w:hAnsi="Times New Roman"/>
                <w:b/>
                <w:color w:val="000000" w:themeColor="text1"/>
              </w:rPr>
            </w:pPr>
            <w:r w:rsidRPr="00260790">
              <w:rPr>
                <w:rFonts w:ascii="Times New Roman" w:hAnsi="Times New Roman"/>
                <w:b/>
                <w:color w:val="000000" w:themeColor="text1"/>
              </w:rPr>
              <w:t>Antagoniste</w:t>
            </w:r>
          </w:p>
        </w:tc>
        <w:tc>
          <w:tcPr>
            <w:tcW w:w="7649" w:type="dxa"/>
            <w:vAlign w:val="center"/>
          </w:tcPr>
          <w:p w14:paraId="304FEC80" w14:textId="77777777" w:rsidR="005F3FB7" w:rsidRPr="00260790" w:rsidRDefault="005F3FB7" w:rsidP="00E20250">
            <w:pPr>
              <w:spacing w:after="0" w:line="240" w:lineRule="auto"/>
              <w:ind w:left="119" w:right="130"/>
              <w:jc w:val="both"/>
              <w:rPr>
                <w:rFonts w:ascii="Times New Roman" w:hAnsi="Times New Roman"/>
                <w:color w:val="000000" w:themeColor="text1"/>
              </w:rPr>
            </w:pPr>
            <w:r w:rsidRPr="00260790">
              <w:rPr>
                <w:rFonts w:ascii="Times New Roman" w:hAnsi="Times New Roman"/>
                <w:color w:val="000000" w:themeColor="text1"/>
              </w:rPr>
              <w:t xml:space="preserve">Ce critère est attribué aux acteurs qui indiquent dans les entretiens être contre le projet, vouloir s’y opposer ou préférer ne pas le voir mettre en œuvre.  </w:t>
            </w:r>
          </w:p>
          <w:p w14:paraId="0530B236" w14:textId="77777777" w:rsidR="005F3FB7" w:rsidRPr="00260790" w:rsidRDefault="005F3FB7" w:rsidP="00E20250">
            <w:pPr>
              <w:spacing w:after="0" w:line="240" w:lineRule="auto"/>
              <w:ind w:left="119" w:right="130"/>
              <w:jc w:val="both"/>
              <w:rPr>
                <w:rFonts w:ascii="Times New Roman" w:hAnsi="Times New Roman"/>
                <w:color w:val="000000" w:themeColor="text1"/>
              </w:rPr>
            </w:pPr>
            <w:r w:rsidRPr="00260790">
              <w:rPr>
                <w:rFonts w:ascii="Times New Roman" w:hAnsi="Times New Roman"/>
                <w:color w:val="000000" w:themeColor="text1"/>
              </w:rPr>
              <w:t>On inclut dans cette catégorie les parties prenantes dont les activités et les investissements peuvent perturber ou annihiler les réalisations du projet. Il ne s’agit pas de parties prenantes qui le font en connaissance de cause, mais qui n’ont pas été bien informées sur le projet.</w:t>
            </w:r>
          </w:p>
          <w:p w14:paraId="5B6BD6A4" w14:textId="1678F0EE" w:rsidR="005F3FB7" w:rsidRPr="00260790" w:rsidRDefault="006E0EA3" w:rsidP="00E20250">
            <w:pPr>
              <w:spacing w:after="0" w:line="240" w:lineRule="auto"/>
              <w:ind w:left="119" w:right="130"/>
              <w:jc w:val="both"/>
              <w:rPr>
                <w:rFonts w:ascii="Times New Roman" w:hAnsi="Times New Roman"/>
                <w:b/>
                <w:color w:val="000000" w:themeColor="text1"/>
              </w:rPr>
            </w:pPr>
            <w:r w:rsidRPr="00260790">
              <w:rPr>
                <w:rFonts w:ascii="Times New Roman" w:hAnsi="Times New Roman"/>
                <w:i/>
                <w:color w:val="000000" w:themeColor="text1"/>
              </w:rPr>
              <w:t>L</w:t>
            </w:r>
            <w:r w:rsidR="005F3FB7" w:rsidRPr="00260790">
              <w:rPr>
                <w:rFonts w:ascii="Times New Roman" w:hAnsi="Times New Roman"/>
                <w:i/>
                <w:color w:val="000000" w:themeColor="text1"/>
              </w:rPr>
              <w:t>es personnes dont les biens sont affectés par les inondations et qui n’ont aucun espoir d’être indemnisées, les personnes dont les quartiers ne seront pas desservis par les ouvrages de drainage qui seront réalisés par le projet</w:t>
            </w:r>
          </w:p>
        </w:tc>
      </w:tr>
      <w:tr w:rsidR="00BD1A2F" w:rsidRPr="00260790" w14:paraId="7935AA26" w14:textId="77777777" w:rsidTr="005F3FB7">
        <w:trPr>
          <w:trHeight w:val="516"/>
        </w:trPr>
        <w:tc>
          <w:tcPr>
            <w:tcW w:w="1413" w:type="dxa"/>
            <w:shd w:val="clear" w:color="auto" w:fill="FFFF00"/>
            <w:vAlign w:val="center"/>
          </w:tcPr>
          <w:p w14:paraId="1678036E" w14:textId="77777777" w:rsidR="005F3FB7" w:rsidRPr="00260790" w:rsidRDefault="005F3FB7" w:rsidP="00E20250">
            <w:pPr>
              <w:spacing w:after="0" w:line="240" w:lineRule="auto"/>
              <w:jc w:val="center"/>
              <w:rPr>
                <w:rFonts w:ascii="Times New Roman" w:hAnsi="Times New Roman"/>
                <w:b/>
                <w:color w:val="000000" w:themeColor="text1"/>
              </w:rPr>
            </w:pPr>
            <w:r w:rsidRPr="00260790">
              <w:rPr>
                <w:rFonts w:ascii="Times New Roman" w:hAnsi="Times New Roman"/>
                <w:b/>
                <w:color w:val="000000" w:themeColor="text1"/>
              </w:rPr>
              <w:t>Faible</w:t>
            </w:r>
          </w:p>
        </w:tc>
        <w:tc>
          <w:tcPr>
            <w:tcW w:w="7649" w:type="dxa"/>
            <w:vAlign w:val="center"/>
          </w:tcPr>
          <w:p w14:paraId="15285E31" w14:textId="77777777" w:rsidR="005F3FB7" w:rsidRPr="00260790" w:rsidRDefault="005F3FB7" w:rsidP="00E20250">
            <w:pPr>
              <w:spacing w:after="0" w:line="240" w:lineRule="auto"/>
              <w:ind w:left="119" w:right="130"/>
              <w:jc w:val="both"/>
              <w:rPr>
                <w:rFonts w:ascii="Times New Roman" w:hAnsi="Times New Roman"/>
                <w:color w:val="000000" w:themeColor="text1"/>
              </w:rPr>
            </w:pPr>
            <w:r w:rsidRPr="00260790">
              <w:rPr>
                <w:rFonts w:ascii="Times New Roman" w:hAnsi="Times New Roman"/>
                <w:color w:val="000000" w:themeColor="text1"/>
              </w:rPr>
              <w:t xml:space="preserve">Sont classés dans cette catégorie les acteurs qui sont intéressés par le projet, souhaitent y collaborer, mais ne présentent qu’une faible capacité à participer effectivement au développement et à la mise en œuvre du projet.  L’accès à l’information et la contribution aux organes de prise de décisions peuvent être mis en cause à ce niveau : ces personnes ne font en effet pas partie des instances de prise de décision du projet et ne sont pas toujours informées des activités du Projet. </w:t>
            </w:r>
          </w:p>
          <w:p w14:paraId="48B23F5D" w14:textId="77777777" w:rsidR="005F3FB7" w:rsidRPr="00260790" w:rsidRDefault="005F3FB7" w:rsidP="00E20250">
            <w:pPr>
              <w:spacing w:after="0" w:line="240" w:lineRule="auto"/>
              <w:ind w:left="119" w:right="130"/>
              <w:jc w:val="both"/>
              <w:rPr>
                <w:rFonts w:ascii="Times New Roman" w:hAnsi="Times New Roman"/>
                <w:i/>
                <w:color w:val="000000" w:themeColor="text1"/>
              </w:rPr>
            </w:pPr>
            <w:r w:rsidRPr="00260790">
              <w:rPr>
                <w:rFonts w:ascii="Times New Roman" w:hAnsi="Times New Roman"/>
                <w:i/>
                <w:color w:val="000000" w:themeColor="text1"/>
              </w:rPr>
              <w:t>Les groupes vulnérables, les handicapés sont dans cette catégorie</w:t>
            </w:r>
          </w:p>
        </w:tc>
      </w:tr>
      <w:tr w:rsidR="00BD1A2F" w:rsidRPr="00260790" w14:paraId="2525440A" w14:textId="77777777" w:rsidTr="005F3FB7">
        <w:trPr>
          <w:trHeight w:val="516"/>
        </w:trPr>
        <w:tc>
          <w:tcPr>
            <w:tcW w:w="1413" w:type="dxa"/>
            <w:shd w:val="clear" w:color="auto" w:fill="E7E6E6"/>
            <w:vAlign w:val="center"/>
          </w:tcPr>
          <w:p w14:paraId="1ACD6C11" w14:textId="77777777" w:rsidR="005F3FB7" w:rsidRPr="00260790" w:rsidRDefault="005F3FB7" w:rsidP="00E20250">
            <w:pPr>
              <w:spacing w:after="0" w:line="240" w:lineRule="auto"/>
              <w:jc w:val="center"/>
              <w:rPr>
                <w:rFonts w:ascii="Times New Roman" w:hAnsi="Times New Roman"/>
                <w:b/>
                <w:color w:val="000000" w:themeColor="text1"/>
              </w:rPr>
            </w:pPr>
            <w:r w:rsidRPr="00260790">
              <w:rPr>
                <w:rFonts w:ascii="Times New Roman" w:hAnsi="Times New Roman"/>
                <w:b/>
                <w:color w:val="000000" w:themeColor="text1"/>
              </w:rPr>
              <w:t>Passif</w:t>
            </w:r>
          </w:p>
        </w:tc>
        <w:tc>
          <w:tcPr>
            <w:tcW w:w="7649" w:type="dxa"/>
            <w:vAlign w:val="center"/>
          </w:tcPr>
          <w:p w14:paraId="55B7902E" w14:textId="77777777" w:rsidR="005F3FB7" w:rsidRPr="00260790" w:rsidRDefault="005F3FB7" w:rsidP="00E20250">
            <w:pPr>
              <w:spacing w:after="0" w:line="240" w:lineRule="auto"/>
              <w:ind w:left="119" w:right="130"/>
              <w:jc w:val="both"/>
              <w:rPr>
                <w:rFonts w:ascii="Times New Roman" w:hAnsi="Times New Roman"/>
                <w:color w:val="000000" w:themeColor="text1"/>
              </w:rPr>
            </w:pPr>
            <w:r w:rsidRPr="00260790">
              <w:rPr>
                <w:rFonts w:ascii="Times New Roman" w:hAnsi="Times New Roman"/>
                <w:color w:val="000000" w:themeColor="text1"/>
              </w:rPr>
              <w:t xml:space="preserve">Ce critère est attribué aux acteurs n’ayant pas exprimé un intérêt pour le projet et ne démontrant aucune volonté de contribuer à son développement et/ou sa mise en œuvre. </w:t>
            </w:r>
          </w:p>
          <w:p w14:paraId="7E2323E7" w14:textId="77777777" w:rsidR="005F3FB7" w:rsidRPr="00260790" w:rsidRDefault="005F3FB7" w:rsidP="00E20250">
            <w:pPr>
              <w:spacing w:after="0" w:line="240" w:lineRule="auto"/>
              <w:ind w:left="119" w:right="130"/>
              <w:jc w:val="both"/>
              <w:rPr>
                <w:rFonts w:ascii="Times New Roman" w:hAnsi="Times New Roman"/>
                <w:color w:val="000000" w:themeColor="text1"/>
              </w:rPr>
            </w:pPr>
            <w:r w:rsidRPr="00260790">
              <w:rPr>
                <w:rFonts w:ascii="Times New Roman" w:hAnsi="Times New Roman"/>
                <w:color w:val="000000" w:themeColor="text1"/>
              </w:rPr>
              <w:t xml:space="preserve">Sont également classés ici, les acteurs n’ayant pas d’intérêt à ce que le projet se mette en œuvre, mais qui ne s’oppose pas à son développement. </w:t>
            </w:r>
            <w:r w:rsidRPr="00260790">
              <w:rPr>
                <w:rFonts w:ascii="Times New Roman" w:hAnsi="Times New Roman"/>
                <w:i/>
                <w:iCs/>
                <w:color w:val="000000" w:themeColor="text1"/>
              </w:rPr>
              <w:t>Par ceux-ci on pourrait retrouver les personnes qui habitent dans les quartiers riverains qui ne sont pas inondés.</w:t>
            </w:r>
          </w:p>
        </w:tc>
      </w:tr>
      <w:tr w:rsidR="00BD1A2F" w:rsidRPr="00260790" w14:paraId="307AC628" w14:textId="77777777" w:rsidTr="005F3FB7">
        <w:trPr>
          <w:trHeight w:val="516"/>
        </w:trPr>
        <w:tc>
          <w:tcPr>
            <w:tcW w:w="1413" w:type="dxa"/>
            <w:shd w:val="clear" w:color="auto" w:fill="FFC000"/>
            <w:vAlign w:val="center"/>
          </w:tcPr>
          <w:p w14:paraId="21AFF57F" w14:textId="77777777" w:rsidR="005F3FB7" w:rsidRPr="00260790" w:rsidRDefault="005F3FB7" w:rsidP="00E20250">
            <w:pPr>
              <w:spacing w:after="0" w:line="240" w:lineRule="auto"/>
              <w:jc w:val="center"/>
              <w:rPr>
                <w:rFonts w:ascii="Times New Roman" w:hAnsi="Times New Roman"/>
                <w:b/>
                <w:color w:val="000000" w:themeColor="text1"/>
              </w:rPr>
            </w:pPr>
            <w:r w:rsidRPr="00260790">
              <w:rPr>
                <w:rFonts w:ascii="Times New Roman" w:hAnsi="Times New Roman"/>
                <w:b/>
                <w:color w:val="000000" w:themeColor="text1"/>
              </w:rPr>
              <w:t>Moyen</w:t>
            </w:r>
          </w:p>
        </w:tc>
        <w:tc>
          <w:tcPr>
            <w:tcW w:w="7649" w:type="dxa"/>
            <w:vAlign w:val="center"/>
          </w:tcPr>
          <w:p w14:paraId="7669D603" w14:textId="77777777" w:rsidR="005F3FB7" w:rsidRPr="00260790" w:rsidRDefault="005F3FB7" w:rsidP="00E20250">
            <w:pPr>
              <w:spacing w:after="0" w:line="240" w:lineRule="auto"/>
              <w:ind w:left="119" w:right="130"/>
              <w:jc w:val="both"/>
              <w:rPr>
                <w:rFonts w:ascii="Times New Roman" w:hAnsi="Times New Roman"/>
                <w:color w:val="000000" w:themeColor="text1"/>
              </w:rPr>
            </w:pPr>
            <w:r w:rsidRPr="00260790">
              <w:rPr>
                <w:rFonts w:ascii="Times New Roman" w:hAnsi="Times New Roman"/>
                <w:color w:val="000000" w:themeColor="text1"/>
              </w:rPr>
              <w:t>Ces acteurs démontrent une forte volonté de coopérer, ils sont facilement mobilisables et participent activement aux discussions. Ils ont des intérêts directement liés au projet.</w:t>
            </w:r>
          </w:p>
          <w:p w14:paraId="554418DD" w14:textId="3A6B9DA2" w:rsidR="005F3FB7" w:rsidRPr="00260790" w:rsidRDefault="005F3FB7" w:rsidP="00E20250">
            <w:pPr>
              <w:spacing w:after="0" w:line="240" w:lineRule="auto"/>
              <w:ind w:left="119" w:right="130"/>
              <w:jc w:val="both"/>
              <w:rPr>
                <w:rFonts w:ascii="Times New Roman" w:hAnsi="Times New Roman"/>
                <w:i/>
                <w:color w:val="000000" w:themeColor="text1"/>
              </w:rPr>
            </w:pPr>
            <w:r w:rsidRPr="00260790">
              <w:rPr>
                <w:rFonts w:ascii="Times New Roman" w:hAnsi="Times New Roman"/>
                <w:i/>
                <w:color w:val="000000" w:themeColor="text1"/>
              </w:rPr>
              <w:t>Les communautés riveraines des zones d’inondations sont dans cette catégorie, ainsi que certain</w:t>
            </w:r>
            <w:r w:rsidR="00074C1A" w:rsidRPr="00260790">
              <w:rPr>
                <w:rFonts w:ascii="Times New Roman" w:hAnsi="Times New Roman"/>
                <w:i/>
                <w:color w:val="000000" w:themeColor="text1"/>
              </w:rPr>
              <w:t>e</w:t>
            </w:r>
            <w:r w:rsidRPr="00260790">
              <w:rPr>
                <w:rFonts w:ascii="Times New Roman" w:hAnsi="Times New Roman"/>
                <w:i/>
                <w:color w:val="000000" w:themeColor="text1"/>
              </w:rPr>
              <w:t>s PAP</w:t>
            </w:r>
          </w:p>
        </w:tc>
      </w:tr>
      <w:tr w:rsidR="00BD1A2F" w:rsidRPr="00260790" w14:paraId="42152F2E" w14:textId="77777777" w:rsidTr="005F3FB7">
        <w:trPr>
          <w:trHeight w:val="516"/>
        </w:trPr>
        <w:tc>
          <w:tcPr>
            <w:tcW w:w="1413" w:type="dxa"/>
            <w:shd w:val="clear" w:color="auto" w:fill="70AD47"/>
            <w:vAlign w:val="center"/>
          </w:tcPr>
          <w:p w14:paraId="7110A746" w14:textId="77777777" w:rsidR="005F3FB7" w:rsidRPr="00260790" w:rsidRDefault="005F3FB7" w:rsidP="00E20250">
            <w:pPr>
              <w:spacing w:after="0" w:line="240" w:lineRule="auto"/>
              <w:jc w:val="center"/>
              <w:rPr>
                <w:rFonts w:ascii="Times New Roman" w:hAnsi="Times New Roman"/>
                <w:b/>
                <w:color w:val="000000" w:themeColor="text1"/>
              </w:rPr>
            </w:pPr>
            <w:r w:rsidRPr="00260790">
              <w:rPr>
                <w:rFonts w:ascii="Times New Roman" w:hAnsi="Times New Roman"/>
                <w:b/>
                <w:color w:val="000000" w:themeColor="text1"/>
              </w:rPr>
              <w:t>Fort</w:t>
            </w:r>
          </w:p>
        </w:tc>
        <w:tc>
          <w:tcPr>
            <w:tcW w:w="7649" w:type="dxa"/>
            <w:vAlign w:val="center"/>
          </w:tcPr>
          <w:p w14:paraId="26EE11DB" w14:textId="77777777" w:rsidR="005F3FB7" w:rsidRPr="00260790" w:rsidRDefault="005F3FB7" w:rsidP="00E20250">
            <w:pPr>
              <w:spacing w:after="0" w:line="240" w:lineRule="auto"/>
              <w:ind w:left="119" w:right="130"/>
              <w:jc w:val="both"/>
              <w:rPr>
                <w:rFonts w:ascii="Times New Roman" w:hAnsi="Times New Roman"/>
                <w:color w:val="000000" w:themeColor="text1"/>
              </w:rPr>
            </w:pPr>
            <w:r w:rsidRPr="00260790">
              <w:rPr>
                <w:rFonts w:ascii="Times New Roman" w:hAnsi="Times New Roman"/>
                <w:color w:val="000000" w:themeColor="text1"/>
              </w:rPr>
              <w:t xml:space="preserve">Ces acteurs sont proactifs, ils entament des initiatives, communiquent sur le projet, mobilisent les gens. </w:t>
            </w:r>
          </w:p>
          <w:p w14:paraId="162FC7EB" w14:textId="77777777" w:rsidR="005F3FB7" w:rsidRPr="00260790" w:rsidRDefault="005F3FB7" w:rsidP="00E20250">
            <w:pPr>
              <w:spacing w:after="0" w:line="240" w:lineRule="auto"/>
              <w:ind w:left="119" w:right="130"/>
              <w:jc w:val="both"/>
              <w:rPr>
                <w:rFonts w:ascii="Times New Roman" w:hAnsi="Times New Roman"/>
                <w:b/>
                <w:i/>
                <w:color w:val="000000" w:themeColor="text1"/>
              </w:rPr>
            </w:pPr>
            <w:r w:rsidRPr="00260790">
              <w:rPr>
                <w:rFonts w:ascii="Times New Roman" w:hAnsi="Times New Roman"/>
                <w:i/>
                <w:color w:val="000000" w:themeColor="text1"/>
              </w:rPr>
              <w:t>Les autorités administratives, les collectivités territoriales, les organisations communautaires de base sous la houlette des COLIGEP, sont dans cette catégorie.</w:t>
            </w:r>
          </w:p>
        </w:tc>
      </w:tr>
    </w:tbl>
    <w:p w14:paraId="41BFC304" w14:textId="77777777" w:rsidR="005F3FB7" w:rsidRPr="00260790" w:rsidRDefault="005F3FB7" w:rsidP="00E20250">
      <w:pPr>
        <w:spacing w:after="0" w:line="240" w:lineRule="auto"/>
        <w:jc w:val="both"/>
        <w:rPr>
          <w:rFonts w:ascii="Times New Roman" w:hAnsi="Times New Roman"/>
          <w:color w:val="000000" w:themeColor="text1"/>
        </w:rPr>
      </w:pPr>
    </w:p>
    <w:p w14:paraId="74A938FB" w14:textId="77777777" w:rsidR="005F3FB7" w:rsidRPr="00260790" w:rsidRDefault="005F3FB7" w:rsidP="00E20250">
      <w:pPr>
        <w:spacing w:after="0" w:line="240" w:lineRule="auto"/>
        <w:jc w:val="both"/>
        <w:rPr>
          <w:rFonts w:ascii="Times New Roman" w:hAnsi="Times New Roman"/>
          <w:b/>
          <w:color w:val="000000" w:themeColor="text1"/>
        </w:rPr>
      </w:pPr>
      <w:r w:rsidRPr="00260790">
        <w:rPr>
          <w:rFonts w:ascii="Times New Roman" w:hAnsi="Times New Roman"/>
          <w:b/>
          <w:color w:val="000000" w:themeColor="text1"/>
        </w:rPr>
        <w:t>Légende du code couleur :</w:t>
      </w:r>
    </w:p>
    <w:p w14:paraId="1AFBEECB" w14:textId="77777777" w:rsidR="005F3FB7" w:rsidRPr="00260790" w:rsidRDefault="005F3FB7" w:rsidP="00E20250">
      <w:pPr>
        <w:spacing w:after="0" w:line="240" w:lineRule="auto"/>
        <w:jc w:val="both"/>
        <w:rPr>
          <w:rFonts w:ascii="Times New Roman" w:hAnsi="Times New Roman"/>
          <w:b/>
          <w:color w:val="000000" w:themeColor="text1"/>
        </w:rPr>
      </w:pPr>
    </w:p>
    <w:tbl>
      <w:tblPr>
        <w:tblW w:w="9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78"/>
        <w:gridCol w:w="846"/>
        <w:gridCol w:w="902"/>
        <w:gridCol w:w="846"/>
        <w:gridCol w:w="895"/>
        <w:gridCol w:w="846"/>
        <w:gridCol w:w="1284"/>
        <w:gridCol w:w="846"/>
        <w:gridCol w:w="894"/>
        <w:gridCol w:w="847"/>
      </w:tblGrid>
      <w:tr w:rsidR="00BD1A2F" w:rsidRPr="00260790" w14:paraId="32E6877C" w14:textId="77777777" w:rsidTr="005F3FB7">
        <w:trPr>
          <w:trHeight w:val="249"/>
          <w:jc w:val="center"/>
        </w:trPr>
        <w:tc>
          <w:tcPr>
            <w:tcW w:w="878" w:type="dxa"/>
          </w:tcPr>
          <w:p w14:paraId="4E04B417" w14:textId="77777777" w:rsidR="005F3FB7" w:rsidRPr="00260790" w:rsidRDefault="005F3FB7" w:rsidP="00E20250">
            <w:pPr>
              <w:spacing w:after="0" w:line="240" w:lineRule="auto"/>
              <w:jc w:val="center"/>
              <w:rPr>
                <w:rFonts w:ascii="Times New Roman" w:hAnsi="Times New Roman"/>
                <w:color w:val="000000" w:themeColor="text1"/>
              </w:rPr>
            </w:pPr>
            <w:r w:rsidRPr="00260790">
              <w:rPr>
                <w:rFonts w:ascii="Times New Roman" w:hAnsi="Times New Roman"/>
                <w:color w:val="000000" w:themeColor="text1"/>
              </w:rPr>
              <w:t>Fort</w:t>
            </w:r>
          </w:p>
        </w:tc>
        <w:tc>
          <w:tcPr>
            <w:tcW w:w="846" w:type="dxa"/>
            <w:shd w:val="clear" w:color="auto" w:fill="70AD47"/>
          </w:tcPr>
          <w:p w14:paraId="257DC819" w14:textId="77777777" w:rsidR="005F3FB7" w:rsidRPr="00260790" w:rsidRDefault="005F3FB7" w:rsidP="00E20250">
            <w:pPr>
              <w:spacing w:after="0" w:line="240" w:lineRule="auto"/>
              <w:jc w:val="both"/>
              <w:rPr>
                <w:rFonts w:ascii="Times New Roman" w:hAnsi="Times New Roman"/>
                <w:color w:val="000000" w:themeColor="text1"/>
              </w:rPr>
            </w:pPr>
          </w:p>
        </w:tc>
        <w:tc>
          <w:tcPr>
            <w:tcW w:w="902" w:type="dxa"/>
          </w:tcPr>
          <w:p w14:paraId="65723694" w14:textId="77777777" w:rsidR="005F3FB7" w:rsidRPr="00260790" w:rsidRDefault="005F3FB7" w:rsidP="00E20250">
            <w:pPr>
              <w:spacing w:after="0" w:line="240" w:lineRule="auto"/>
              <w:jc w:val="center"/>
              <w:rPr>
                <w:rFonts w:ascii="Times New Roman" w:hAnsi="Times New Roman"/>
                <w:color w:val="000000" w:themeColor="text1"/>
              </w:rPr>
            </w:pPr>
            <w:r w:rsidRPr="00260790">
              <w:rPr>
                <w:rFonts w:ascii="Times New Roman" w:hAnsi="Times New Roman"/>
                <w:color w:val="000000" w:themeColor="text1"/>
              </w:rPr>
              <w:t>Moyen</w:t>
            </w:r>
          </w:p>
        </w:tc>
        <w:tc>
          <w:tcPr>
            <w:tcW w:w="846" w:type="dxa"/>
            <w:shd w:val="clear" w:color="auto" w:fill="FFC000"/>
          </w:tcPr>
          <w:p w14:paraId="69A4C140" w14:textId="77777777" w:rsidR="005F3FB7" w:rsidRPr="00260790" w:rsidRDefault="005F3FB7" w:rsidP="00E20250">
            <w:pPr>
              <w:spacing w:after="0" w:line="240" w:lineRule="auto"/>
              <w:jc w:val="both"/>
              <w:rPr>
                <w:rFonts w:ascii="Times New Roman" w:hAnsi="Times New Roman"/>
                <w:color w:val="000000" w:themeColor="text1"/>
              </w:rPr>
            </w:pPr>
          </w:p>
        </w:tc>
        <w:tc>
          <w:tcPr>
            <w:tcW w:w="895" w:type="dxa"/>
          </w:tcPr>
          <w:p w14:paraId="7096AD42" w14:textId="77777777" w:rsidR="005F3FB7" w:rsidRPr="00260790" w:rsidRDefault="005F3FB7" w:rsidP="00E20250">
            <w:pPr>
              <w:spacing w:after="0" w:line="240" w:lineRule="auto"/>
              <w:jc w:val="center"/>
              <w:rPr>
                <w:rFonts w:ascii="Times New Roman" w:hAnsi="Times New Roman"/>
                <w:color w:val="000000" w:themeColor="text1"/>
              </w:rPr>
            </w:pPr>
            <w:r w:rsidRPr="00260790">
              <w:rPr>
                <w:rFonts w:ascii="Times New Roman" w:hAnsi="Times New Roman"/>
                <w:color w:val="000000" w:themeColor="text1"/>
              </w:rPr>
              <w:t>Faible</w:t>
            </w:r>
          </w:p>
        </w:tc>
        <w:tc>
          <w:tcPr>
            <w:tcW w:w="846" w:type="dxa"/>
            <w:shd w:val="clear" w:color="auto" w:fill="FFFF00"/>
          </w:tcPr>
          <w:p w14:paraId="5F81A43A" w14:textId="77777777" w:rsidR="005F3FB7" w:rsidRPr="00260790" w:rsidRDefault="005F3FB7" w:rsidP="00E20250">
            <w:pPr>
              <w:spacing w:after="0" w:line="240" w:lineRule="auto"/>
              <w:jc w:val="both"/>
              <w:rPr>
                <w:rFonts w:ascii="Times New Roman" w:hAnsi="Times New Roman"/>
                <w:color w:val="000000" w:themeColor="text1"/>
              </w:rPr>
            </w:pPr>
          </w:p>
        </w:tc>
        <w:tc>
          <w:tcPr>
            <w:tcW w:w="1284" w:type="dxa"/>
          </w:tcPr>
          <w:p w14:paraId="0B862A9A" w14:textId="77777777" w:rsidR="005F3FB7" w:rsidRPr="00260790" w:rsidRDefault="005F3FB7" w:rsidP="00E20250">
            <w:pPr>
              <w:spacing w:after="0" w:line="240" w:lineRule="auto"/>
              <w:jc w:val="center"/>
              <w:rPr>
                <w:rFonts w:ascii="Times New Roman" w:hAnsi="Times New Roman"/>
                <w:color w:val="000000" w:themeColor="text1"/>
              </w:rPr>
            </w:pPr>
            <w:r w:rsidRPr="00260790">
              <w:rPr>
                <w:rFonts w:ascii="Times New Roman" w:hAnsi="Times New Roman"/>
                <w:color w:val="000000" w:themeColor="text1"/>
              </w:rPr>
              <w:t>Antagoniste</w:t>
            </w:r>
          </w:p>
        </w:tc>
        <w:tc>
          <w:tcPr>
            <w:tcW w:w="846" w:type="dxa"/>
            <w:shd w:val="clear" w:color="auto" w:fill="FF0000"/>
          </w:tcPr>
          <w:p w14:paraId="351D0E24" w14:textId="77777777" w:rsidR="005F3FB7" w:rsidRPr="00260790" w:rsidRDefault="005F3FB7" w:rsidP="00E20250">
            <w:pPr>
              <w:spacing w:after="0" w:line="240" w:lineRule="auto"/>
              <w:jc w:val="both"/>
              <w:rPr>
                <w:rFonts w:ascii="Times New Roman" w:hAnsi="Times New Roman"/>
                <w:color w:val="000000" w:themeColor="text1"/>
              </w:rPr>
            </w:pPr>
          </w:p>
        </w:tc>
        <w:tc>
          <w:tcPr>
            <w:tcW w:w="894" w:type="dxa"/>
          </w:tcPr>
          <w:p w14:paraId="36B45DC2" w14:textId="77777777" w:rsidR="005F3FB7" w:rsidRPr="00260790" w:rsidRDefault="005F3FB7" w:rsidP="00E20250">
            <w:pPr>
              <w:spacing w:after="0" w:line="240" w:lineRule="auto"/>
              <w:jc w:val="center"/>
              <w:rPr>
                <w:rFonts w:ascii="Times New Roman" w:hAnsi="Times New Roman"/>
                <w:color w:val="000000" w:themeColor="text1"/>
              </w:rPr>
            </w:pPr>
            <w:r w:rsidRPr="00260790">
              <w:rPr>
                <w:rFonts w:ascii="Times New Roman" w:hAnsi="Times New Roman"/>
                <w:color w:val="000000" w:themeColor="text1"/>
              </w:rPr>
              <w:t>Passif</w:t>
            </w:r>
          </w:p>
        </w:tc>
        <w:tc>
          <w:tcPr>
            <w:tcW w:w="847" w:type="dxa"/>
            <w:shd w:val="clear" w:color="auto" w:fill="C9C9C9"/>
          </w:tcPr>
          <w:p w14:paraId="407DBDC8" w14:textId="77777777" w:rsidR="005F3FB7" w:rsidRPr="00260790" w:rsidRDefault="005F3FB7" w:rsidP="00E20250">
            <w:pPr>
              <w:spacing w:after="0" w:line="240" w:lineRule="auto"/>
              <w:jc w:val="both"/>
              <w:rPr>
                <w:rFonts w:ascii="Times New Roman" w:hAnsi="Times New Roman"/>
                <w:color w:val="000000" w:themeColor="text1"/>
              </w:rPr>
            </w:pPr>
          </w:p>
        </w:tc>
      </w:tr>
    </w:tbl>
    <w:p w14:paraId="50E8741E" w14:textId="77777777" w:rsidR="005F3FB7" w:rsidRPr="00260790" w:rsidRDefault="005F3FB7" w:rsidP="00E20250">
      <w:pPr>
        <w:spacing w:line="240" w:lineRule="auto"/>
        <w:jc w:val="both"/>
        <w:rPr>
          <w:rFonts w:ascii="Times New Roman" w:hAnsi="Times New Roman"/>
          <w:color w:val="000000" w:themeColor="text1"/>
        </w:rPr>
      </w:pPr>
    </w:p>
    <w:p w14:paraId="3287FD86" w14:textId="77777777" w:rsidR="005F3FB7" w:rsidRPr="00260790" w:rsidRDefault="005F3FB7" w:rsidP="001748C6">
      <w:pPr>
        <w:pStyle w:val="Titre2"/>
        <w:numPr>
          <w:ilvl w:val="1"/>
          <w:numId w:val="106"/>
        </w:numPr>
        <w:pBdr>
          <w:bottom w:val="none" w:sz="0" w:space="0" w:color="auto"/>
        </w:pBdr>
        <w:ind w:left="999"/>
        <w:rPr>
          <w:color w:val="000000" w:themeColor="text1"/>
          <w:sz w:val="22"/>
          <w:szCs w:val="22"/>
        </w:rPr>
      </w:pPr>
      <w:bookmarkStart w:id="2193" w:name="_Toc65583140"/>
      <w:bookmarkStart w:id="2194" w:name="_Toc106652863"/>
      <w:bookmarkStart w:id="2195" w:name="_Toc212725164"/>
      <w:r w:rsidRPr="00260790">
        <w:rPr>
          <w:color w:val="000000" w:themeColor="text1"/>
          <w:sz w:val="22"/>
          <w:szCs w:val="22"/>
        </w:rPr>
        <w:t>Programme de mobilisation des parties prenantes</w:t>
      </w:r>
      <w:bookmarkEnd w:id="2193"/>
      <w:bookmarkEnd w:id="2194"/>
      <w:bookmarkEnd w:id="2195"/>
    </w:p>
    <w:p w14:paraId="2615D56C" w14:textId="45BB633B" w:rsidR="005F3FB7"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La NES 10 de la BM exige que les « Emprunteurs » consultent les parties prenantes tout au long du cycle de vie du projet, en commençant leur mobilisation le plus tôt possible pendant le processus de préparation du projet et dans des délais qui permettent des consultations significatives avec les parties prenantes sur la conception du projet. La nature, la portée et la fréquence de la consultation des parties prenantes seront proportionnelles à la nature et à l’ampleur du projet et à ses risques et impacts potentiels.</w:t>
      </w:r>
    </w:p>
    <w:p w14:paraId="40DAAB1F" w14:textId="77777777" w:rsidR="001D2346" w:rsidRPr="00260790" w:rsidRDefault="001D2346" w:rsidP="00E20250">
      <w:pPr>
        <w:spacing w:after="0" w:line="240" w:lineRule="auto"/>
        <w:jc w:val="both"/>
        <w:rPr>
          <w:rFonts w:ascii="Times New Roman" w:hAnsi="Times New Roman"/>
          <w:color w:val="000000" w:themeColor="text1"/>
        </w:rPr>
      </w:pPr>
    </w:p>
    <w:p w14:paraId="2EA96A1D" w14:textId="1BDAC549" w:rsidR="005F3FB7" w:rsidRPr="00260790" w:rsidRDefault="005F3FB7" w:rsidP="003B6588">
      <w:pPr>
        <w:pStyle w:val="CHAPITRE1"/>
        <w:rPr>
          <w:rFonts w:cs="Times New Roman"/>
        </w:rPr>
      </w:pPr>
      <w:bookmarkStart w:id="2196" w:name="_Toc65583141"/>
      <w:bookmarkStart w:id="2197" w:name="_Toc106652864"/>
      <w:bookmarkStart w:id="2198" w:name="_Toc212725165"/>
      <w:r w:rsidRPr="00260790">
        <w:rPr>
          <w:rFonts w:cs="Times New Roman"/>
        </w:rPr>
        <w:t>Méthode d’engagement des parties prenantes</w:t>
      </w:r>
      <w:bookmarkEnd w:id="2196"/>
      <w:bookmarkEnd w:id="2197"/>
      <w:bookmarkEnd w:id="2198"/>
    </w:p>
    <w:p w14:paraId="34589C83" w14:textId="77777777" w:rsidR="005F3FB7" w:rsidRPr="00260790"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Cette section décrit les principes des méthodes qui pourraient être potentiellement utilisées pour l'engagement des parties prenantes dans le contexte du projet. Certaines des méthodes les plus courantes utilisées pour consulter les parties prenantes comprennent :</w:t>
      </w:r>
    </w:p>
    <w:p w14:paraId="467911BD" w14:textId="2FD17CE6" w:rsidR="005F3FB7" w:rsidRPr="00260790" w:rsidRDefault="005F3FB7" w:rsidP="001748C6">
      <w:pPr>
        <w:pStyle w:val="Grillemoyenne1-Accent22"/>
        <w:numPr>
          <w:ilvl w:val="0"/>
          <w:numId w:val="60"/>
        </w:numPr>
        <w:spacing w:after="160"/>
        <w:jc w:val="both"/>
        <w:rPr>
          <w:color w:val="000000" w:themeColor="text1"/>
          <w:sz w:val="22"/>
          <w:szCs w:val="22"/>
          <w:lang w:eastAsia="ja-JP"/>
        </w:rPr>
      </w:pPr>
      <w:r w:rsidRPr="00260790">
        <w:rPr>
          <w:color w:val="000000" w:themeColor="text1"/>
          <w:sz w:val="22"/>
          <w:szCs w:val="22"/>
        </w:rPr>
        <w:lastRenderedPageBreak/>
        <w:t xml:space="preserve">Téléphone / courriel / SMS ; des entrevues individuelles, </w:t>
      </w:r>
      <w:r w:rsidRPr="00260790">
        <w:rPr>
          <w:color w:val="000000" w:themeColor="text1"/>
          <w:sz w:val="22"/>
          <w:szCs w:val="22"/>
          <w:lang w:eastAsia="ja-JP"/>
        </w:rPr>
        <w:t xml:space="preserve">des entretiens (individuels ou collectifs), des réunions, </w:t>
      </w:r>
      <w:r w:rsidRPr="00260790">
        <w:rPr>
          <w:color w:val="000000" w:themeColor="text1"/>
          <w:sz w:val="22"/>
          <w:szCs w:val="22"/>
        </w:rPr>
        <w:t xml:space="preserve">groupes de discussion, les réunions publiques </w:t>
      </w:r>
      <w:r w:rsidRPr="00260790">
        <w:rPr>
          <w:color w:val="000000" w:themeColor="text1"/>
          <w:sz w:val="22"/>
          <w:szCs w:val="22"/>
          <w:lang w:eastAsia="ja-JP"/>
        </w:rPr>
        <w:t>et ateliers d’information et d’échanges seront organisés aux différentes étapes du projet, afin de tenir les acteurs institutionnels (ministères et structures concernés, parties prenantes… etc.</w:t>
      </w:r>
      <w:r w:rsidR="00F63410" w:rsidRPr="00260790">
        <w:rPr>
          <w:color w:val="000000" w:themeColor="text1"/>
          <w:sz w:val="22"/>
          <w:szCs w:val="22"/>
          <w:lang w:eastAsia="ja-JP"/>
        </w:rPr>
        <w:t>,</w:t>
      </w:r>
      <w:r w:rsidRPr="00260790">
        <w:rPr>
          <w:color w:val="000000" w:themeColor="text1"/>
          <w:sz w:val="22"/>
          <w:szCs w:val="22"/>
          <w:lang w:eastAsia="ja-JP"/>
        </w:rPr>
        <w:t>) régulièrement informés de l’évolution du projet ;</w:t>
      </w:r>
    </w:p>
    <w:p w14:paraId="2DAA4E13" w14:textId="77777777" w:rsidR="005F3FB7" w:rsidRPr="00260790" w:rsidRDefault="005F3FB7" w:rsidP="001748C6">
      <w:pPr>
        <w:pStyle w:val="Grillemoyenne1-Accent22"/>
        <w:numPr>
          <w:ilvl w:val="0"/>
          <w:numId w:val="60"/>
        </w:numPr>
        <w:spacing w:after="160"/>
        <w:jc w:val="both"/>
        <w:rPr>
          <w:color w:val="000000" w:themeColor="text1"/>
          <w:sz w:val="22"/>
          <w:szCs w:val="22"/>
        </w:rPr>
      </w:pPr>
      <w:r w:rsidRPr="00260790">
        <w:rPr>
          <w:color w:val="000000" w:themeColor="text1"/>
          <w:sz w:val="22"/>
          <w:szCs w:val="22"/>
        </w:rPr>
        <w:t xml:space="preserve">Ateliers d’échanges / groupes de discussion avec les parties prenantes qui participent à la mise en œuvre du projet ; </w:t>
      </w:r>
    </w:p>
    <w:p w14:paraId="7981F8EE" w14:textId="77777777" w:rsidR="005F3FB7" w:rsidRPr="00260790" w:rsidRDefault="005F3FB7" w:rsidP="001748C6">
      <w:pPr>
        <w:pStyle w:val="Grillemoyenne1-Accent22"/>
        <w:numPr>
          <w:ilvl w:val="0"/>
          <w:numId w:val="60"/>
        </w:numPr>
        <w:spacing w:before="60"/>
        <w:jc w:val="both"/>
        <w:rPr>
          <w:rFonts w:eastAsia="Calibri"/>
          <w:color w:val="000000" w:themeColor="text1"/>
          <w:sz w:val="22"/>
          <w:szCs w:val="22"/>
        </w:rPr>
      </w:pPr>
      <w:r w:rsidRPr="00260790">
        <w:rPr>
          <w:color w:val="000000" w:themeColor="text1"/>
          <w:sz w:val="22"/>
          <w:szCs w:val="22"/>
        </w:rPr>
        <w:t xml:space="preserve">Distribution de brochures et de bulletins d’information </w:t>
      </w:r>
      <w:r w:rsidRPr="00260790">
        <w:rPr>
          <w:rFonts w:eastAsia="Calibri"/>
          <w:color w:val="000000" w:themeColor="text1"/>
          <w:sz w:val="22"/>
          <w:szCs w:val="22"/>
        </w:rPr>
        <w:t>(en français et dans les langues locales) sur les activités du projet, les risques et impacts environnementaux…seront affichés sur des sites bien identifiés et accessibles à tous (mairies, associations de jeunes, maisons des femmes...) ;</w:t>
      </w:r>
    </w:p>
    <w:p w14:paraId="0A37ADFD" w14:textId="77777777" w:rsidR="005F3FB7" w:rsidRPr="00260790" w:rsidRDefault="005F3FB7" w:rsidP="001748C6">
      <w:pPr>
        <w:pStyle w:val="Grillemoyenne1-Accent22"/>
        <w:numPr>
          <w:ilvl w:val="0"/>
          <w:numId w:val="60"/>
        </w:numPr>
        <w:spacing w:before="60"/>
        <w:jc w:val="both"/>
        <w:rPr>
          <w:rFonts w:eastAsia="Calibri"/>
          <w:color w:val="000000" w:themeColor="text1"/>
          <w:sz w:val="22"/>
          <w:szCs w:val="22"/>
        </w:rPr>
      </w:pPr>
      <w:r w:rsidRPr="00260790">
        <w:rPr>
          <w:color w:val="000000" w:themeColor="text1"/>
          <w:sz w:val="22"/>
          <w:szCs w:val="22"/>
        </w:rPr>
        <w:t xml:space="preserve">Journaux / magazines /Affiches ; </w:t>
      </w:r>
      <w:r w:rsidRPr="00260790">
        <w:rPr>
          <w:rFonts w:eastAsia="Calibri"/>
          <w:color w:val="000000" w:themeColor="text1"/>
          <w:sz w:val="22"/>
          <w:szCs w:val="22"/>
        </w:rPr>
        <w:t xml:space="preserve">la presse écrite et en ligne, ainsi que la télévision seront également utilisées pour diffuser les informations destinées à toucher le plus grand nombre, notamment les parties prenantes instruites et ayant accès à ces médias ; de même, </w:t>
      </w:r>
    </w:p>
    <w:p w14:paraId="151A6934" w14:textId="634ED4CE" w:rsidR="005F3FB7" w:rsidRPr="00260790" w:rsidRDefault="005F3FB7" w:rsidP="001748C6">
      <w:pPr>
        <w:pStyle w:val="Grillemoyenne1-Accent22"/>
        <w:numPr>
          <w:ilvl w:val="0"/>
          <w:numId w:val="60"/>
        </w:numPr>
        <w:spacing w:before="60"/>
        <w:jc w:val="both"/>
        <w:rPr>
          <w:rFonts w:eastAsia="Calibri"/>
          <w:color w:val="000000" w:themeColor="text1"/>
          <w:sz w:val="22"/>
          <w:szCs w:val="22"/>
        </w:rPr>
      </w:pPr>
      <w:r w:rsidRPr="00260790">
        <w:rPr>
          <w:rFonts w:eastAsia="Calibri"/>
          <w:color w:val="000000" w:themeColor="text1"/>
          <w:sz w:val="22"/>
          <w:szCs w:val="22"/>
        </w:rPr>
        <w:t>Les réseaux sociaux tels que WhatsApp, Facebook, tweeter, etc.</w:t>
      </w:r>
      <w:r w:rsidR="00F63410" w:rsidRPr="00260790">
        <w:rPr>
          <w:rFonts w:eastAsia="Calibri"/>
          <w:color w:val="000000" w:themeColor="text1"/>
          <w:sz w:val="22"/>
          <w:szCs w:val="22"/>
        </w:rPr>
        <w:t>,</w:t>
      </w:r>
      <w:r w:rsidRPr="00260790">
        <w:rPr>
          <w:rFonts w:eastAsia="Calibri"/>
          <w:color w:val="000000" w:themeColor="text1"/>
          <w:sz w:val="22"/>
          <w:szCs w:val="22"/>
        </w:rPr>
        <w:t xml:space="preserve"> seront également mis à contribution pour la diffusion des informations sur le Projet ; </w:t>
      </w:r>
    </w:p>
    <w:p w14:paraId="31429C66" w14:textId="77777777" w:rsidR="005F3FB7" w:rsidRPr="00260790" w:rsidRDefault="005F3FB7" w:rsidP="001748C6">
      <w:pPr>
        <w:pStyle w:val="Grillemoyenne1-Accent22"/>
        <w:numPr>
          <w:ilvl w:val="0"/>
          <w:numId w:val="60"/>
        </w:numPr>
        <w:spacing w:before="60" w:after="240"/>
        <w:jc w:val="both"/>
        <w:rPr>
          <w:rFonts w:eastAsia="Calibri"/>
          <w:color w:val="000000" w:themeColor="text1"/>
          <w:sz w:val="22"/>
          <w:szCs w:val="22"/>
        </w:rPr>
      </w:pPr>
      <w:r w:rsidRPr="00260790">
        <w:rPr>
          <w:color w:val="000000" w:themeColor="text1"/>
          <w:sz w:val="22"/>
          <w:szCs w:val="22"/>
        </w:rPr>
        <w:t xml:space="preserve">Les </w:t>
      </w:r>
      <w:r w:rsidRPr="00260790">
        <w:rPr>
          <w:rFonts w:eastAsia="Calibri"/>
          <w:color w:val="000000" w:themeColor="text1"/>
          <w:sz w:val="22"/>
          <w:szCs w:val="22"/>
        </w:rPr>
        <w:t>radios locales, les crieurs publics, les caravanes d’information et les leaders d’opinion seront mis à contribution pour l’information et la sensibilisation des parties prenantes, y compris les bénéficiaires, les personnes affectées et les populations vulnérables, sur les opportunités, les risques et impacts sociaux et environnementaux du Projet ;</w:t>
      </w:r>
    </w:p>
    <w:p w14:paraId="6376CAD9" w14:textId="12B15A8D" w:rsidR="005F3FB7"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D’une manière générale, le projet jouit d’un engagement fort des parties prenantes, car la première phase du PROGEP a été globalement très appréciée de même que les activités de travaux de la phase d’urgence BCI. Les méthodes d’engagement initiées jusque-là par l’ADM portent essentiellement sur les correspondances, les réunions publiques, les réunions formelles, les communiqués radiotélévisés et semblent être assez efficaces, mais dans le cadre du projet, elles doivent être soutenues par une meilleure implication des professionnels de la communication, l’utilisation des réseaux sociaux et des experts de la participation communautaire. </w:t>
      </w:r>
    </w:p>
    <w:p w14:paraId="5F50BFD8" w14:textId="77777777" w:rsidR="005F3FB7"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Par ailleurs, les leaders d’opinion et les organisations communautaires de base devront être mobilisés afin de susciter un engagement fort sur le projet. C’est de cette manière que le projet nouera des relations solides avec des personnes influentes et de confiance, en particulier avec les acteurs suscités afin de mieux communiquer avec les populations et d’influer sur leur adhésion. À cet égard, les activités de communication, de mobilisation et d'engagement communautaire doivent être conçues pour être adaptées aux objectifs poursuivis tout en minimisant le risque de développement de comportement antagoniste et de conflits.</w:t>
      </w:r>
    </w:p>
    <w:p w14:paraId="37DCB994" w14:textId="77777777" w:rsidR="005F3FB7" w:rsidRPr="00260790" w:rsidRDefault="005F3FB7" w:rsidP="003B6588">
      <w:pPr>
        <w:pStyle w:val="CHAPITRE1"/>
        <w:rPr>
          <w:rFonts w:cs="Times New Roman"/>
        </w:rPr>
      </w:pPr>
      <w:bookmarkStart w:id="2199" w:name="_Toc212725166"/>
      <w:bookmarkStart w:id="2200" w:name="_Toc65583142"/>
      <w:bookmarkStart w:id="2201" w:name="_Toc106652865"/>
      <w:r w:rsidRPr="00260790">
        <w:rPr>
          <w:rFonts w:cs="Times New Roman"/>
        </w:rPr>
        <w:t>Stratégie de communication</w:t>
      </w:r>
      <w:bookmarkEnd w:id="2199"/>
      <w:r w:rsidRPr="00260790">
        <w:rPr>
          <w:rFonts w:cs="Times New Roman"/>
        </w:rPr>
        <w:t xml:space="preserve"> </w:t>
      </w:r>
      <w:bookmarkEnd w:id="2200"/>
      <w:bookmarkEnd w:id="2201"/>
    </w:p>
    <w:p w14:paraId="29C84320" w14:textId="77777777" w:rsidR="005F3FB7"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Depuis la mise en œuvre du PROGEP I, l’ADM a entrepris des actions de mobilisation de parties prenantes ; ces actions se poursuivent dans le cadre des activités du PROGEP II. Cependant, les acteurs ne sont pas au même niveau d’information sur le projet. De plus, les consultations menées dans le cadre de l’élaboration de l’EIES ont permis de constater que certaines n’ont aucune information sur le projet et chez d’autres des informations biaisées sont diffusées sur le projet. Cela concourt à créer des comportements antagonistes et de méfiance chez certaines catégories de parties prenantes.</w:t>
      </w:r>
    </w:p>
    <w:p w14:paraId="02C3ECBC" w14:textId="77777777" w:rsidR="005F3FB7"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Ainsi, le Projet devra capitaliser la stratégie de communication jusque-là déroulée et prendre des mesures permettant de l’améliorer. </w:t>
      </w:r>
    </w:p>
    <w:p w14:paraId="315D8E10" w14:textId="43179294" w:rsidR="005F3FB7"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D’une manière générale, les informations à communiquer seront spécifiées et varieront en fonction des groupes de parties prenantes à cibler et concernées et/ou touchées par la mise en œuvre des activités du projet. Le choix du mode de communication présenté dans le tableau ci-après a été défini par suite de l’appréhension des pratiques existantes et après consultations des groupes de parties prenantes.</w:t>
      </w:r>
    </w:p>
    <w:p w14:paraId="7A5F0FA7" w14:textId="77777777" w:rsidR="001D2346" w:rsidRPr="00260790" w:rsidRDefault="001D2346" w:rsidP="00E20250">
      <w:pPr>
        <w:spacing w:after="0" w:line="240" w:lineRule="auto"/>
        <w:jc w:val="both"/>
        <w:rPr>
          <w:rFonts w:ascii="Times New Roman" w:hAnsi="Times New Roman"/>
          <w:color w:val="000000" w:themeColor="text1"/>
        </w:rPr>
      </w:pPr>
    </w:p>
    <w:p w14:paraId="6D1FC445" w14:textId="77777777" w:rsidR="005F3FB7" w:rsidRPr="00260790" w:rsidRDefault="005F3FB7" w:rsidP="003B6588">
      <w:pPr>
        <w:pStyle w:val="CHAPITRE1"/>
        <w:rPr>
          <w:rFonts w:cs="Times New Roman"/>
        </w:rPr>
      </w:pPr>
      <w:bookmarkStart w:id="2202" w:name="_Toc65583143"/>
      <w:bookmarkStart w:id="2203" w:name="_Toc106652866"/>
      <w:bookmarkStart w:id="2204" w:name="_Toc212725167"/>
      <w:r w:rsidRPr="00260790">
        <w:rPr>
          <w:rFonts w:cs="Times New Roman"/>
        </w:rPr>
        <w:t>Stratégie de diffusion de l’information</w:t>
      </w:r>
      <w:bookmarkEnd w:id="2202"/>
      <w:bookmarkEnd w:id="2203"/>
      <w:bookmarkEnd w:id="2204"/>
    </w:p>
    <w:p w14:paraId="76B96E58" w14:textId="77777777" w:rsidR="005F3FB7"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Le tableau ci-dessous présente la liste des informations à communiquer selon les phases du projet.</w:t>
      </w:r>
    </w:p>
    <w:p w14:paraId="42CB19BC" w14:textId="77777777" w:rsidR="005F3FB7" w:rsidRPr="00260790" w:rsidRDefault="005F3FB7" w:rsidP="00E20250">
      <w:pPr>
        <w:spacing w:line="240" w:lineRule="auto"/>
        <w:rPr>
          <w:rFonts w:ascii="Times New Roman" w:hAnsi="Times New Roman"/>
          <w:color w:val="000000" w:themeColor="text1"/>
        </w:rPr>
        <w:sectPr w:rsidR="005F3FB7" w:rsidRPr="00260790" w:rsidSect="007903CC">
          <w:footerReference w:type="even" r:id="rId150"/>
          <w:footerReference w:type="default" r:id="rId151"/>
          <w:footerReference w:type="first" r:id="rId152"/>
          <w:pgSz w:w="11906" w:h="16838"/>
          <w:pgMar w:top="1418" w:right="1418" w:bottom="1418" w:left="1418" w:header="709" w:footer="454" w:gutter="0"/>
          <w:cols w:space="708"/>
          <w:docGrid w:linePitch="360"/>
        </w:sectPr>
      </w:pPr>
    </w:p>
    <w:p w14:paraId="04A70D34" w14:textId="2E1E0653" w:rsidR="005F3FB7" w:rsidRPr="00260790" w:rsidRDefault="005F3FB7" w:rsidP="00E20250">
      <w:pPr>
        <w:keepNext/>
        <w:spacing w:after="0" w:line="240" w:lineRule="auto"/>
        <w:rPr>
          <w:rFonts w:ascii="Times New Roman" w:hAnsi="Times New Roman"/>
          <w:iCs/>
          <w:color w:val="000000" w:themeColor="text1"/>
        </w:rPr>
      </w:pPr>
      <w:bookmarkStart w:id="2205" w:name="_Toc65583195"/>
      <w:bookmarkStart w:id="2206" w:name="_Toc207781953"/>
      <w:r w:rsidRPr="00260790">
        <w:rPr>
          <w:rFonts w:ascii="Times New Roman" w:hAnsi="Times New Roman"/>
          <w:iCs/>
          <w:color w:val="000000" w:themeColor="text1"/>
        </w:rPr>
        <w:lastRenderedPageBreak/>
        <w:t xml:space="preserve">Tableau </w:t>
      </w:r>
      <w:r w:rsidRPr="00260790">
        <w:rPr>
          <w:rFonts w:ascii="Times New Roman" w:hAnsi="Times New Roman"/>
          <w:iCs/>
          <w:color w:val="000000" w:themeColor="text1"/>
        </w:rPr>
        <w:fldChar w:fldCharType="begin"/>
      </w:r>
      <w:r w:rsidRPr="00260790">
        <w:rPr>
          <w:rFonts w:ascii="Times New Roman" w:hAnsi="Times New Roman"/>
          <w:iCs/>
          <w:color w:val="000000" w:themeColor="text1"/>
        </w:rPr>
        <w:instrText xml:space="preserve"> SEQ Tableau \* ARABIC </w:instrText>
      </w:r>
      <w:r w:rsidRPr="00260790">
        <w:rPr>
          <w:rFonts w:ascii="Times New Roman" w:hAnsi="Times New Roman"/>
          <w:iCs/>
          <w:color w:val="000000" w:themeColor="text1"/>
        </w:rPr>
        <w:fldChar w:fldCharType="separate"/>
      </w:r>
      <w:r w:rsidR="003C783E">
        <w:rPr>
          <w:rFonts w:ascii="Times New Roman" w:hAnsi="Times New Roman"/>
          <w:iCs/>
          <w:noProof/>
          <w:color w:val="000000" w:themeColor="text1"/>
        </w:rPr>
        <w:t>112</w:t>
      </w:r>
      <w:r w:rsidRPr="00260790">
        <w:rPr>
          <w:rFonts w:ascii="Times New Roman" w:hAnsi="Times New Roman"/>
          <w:iCs/>
          <w:color w:val="000000" w:themeColor="text1"/>
        </w:rPr>
        <w:fldChar w:fldCharType="end"/>
      </w:r>
      <w:r w:rsidRPr="00260790">
        <w:rPr>
          <w:rFonts w:ascii="Times New Roman" w:hAnsi="Times New Roman"/>
          <w:iCs/>
          <w:color w:val="000000" w:themeColor="text1"/>
        </w:rPr>
        <w:t> : Stratégie de communication et diffusion de l’information</w:t>
      </w:r>
      <w:bookmarkEnd w:id="2205"/>
      <w:bookmarkEnd w:id="2206"/>
    </w:p>
    <w:tbl>
      <w:tblPr>
        <w:tblW w:w="552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978"/>
        <w:gridCol w:w="3406"/>
        <w:gridCol w:w="2697"/>
        <w:gridCol w:w="3493"/>
        <w:gridCol w:w="2151"/>
      </w:tblGrid>
      <w:tr w:rsidR="00B3729F" w:rsidRPr="009B46E2" w14:paraId="70219094" w14:textId="77777777" w:rsidTr="00B3729F">
        <w:trPr>
          <w:tblHeader/>
        </w:trPr>
        <w:tc>
          <w:tcPr>
            <w:tcW w:w="552" w:type="pct"/>
            <w:shd w:val="clear" w:color="auto" w:fill="9CC2E5" w:themeFill="accent1" w:themeFillTint="99"/>
          </w:tcPr>
          <w:p w14:paraId="17B23772" w14:textId="77777777" w:rsidR="005F3FB7" w:rsidRPr="0097258B" w:rsidRDefault="005F3FB7"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Stade</w:t>
            </w:r>
          </w:p>
        </w:tc>
        <w:tc>
          <w:tcPr>
            <w:tcW w:w="641" w:type="pct"/>
            <w:shd w:val="clear" w:color="auto" w:fill="9CC2E5" w:themeFill="accent1" w:themeFillTint="99"/>
            <w:vAlign w:val="center"/>
          </w:tcPr>
          <w:p w14:paraId="2B05C2B1" w14:textId="77777777" w:rsidR="005F3FB7" w:rsidRPr="0097258B" w:rsidRDefault="005F3FB7"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Informations à communiquer</w:t>
            </w:r>
          </w:p>
        </w:tc>
        <w:tc>
          <w:tcPr>
            <w:tcW w:w="1104" w:type="pct"/>
            <w:shd w:val="clear" w:color="auto" w:fill="9CC2E5" w:themeFill="accent1" w:themeFillTint="99"/>
            <w:vAlign w:val="center"/>
          </w:tcPr>
          <w:p w14:paraId="170AD592" w14:textId="77777777" w:rsidR="005F3FB7" w:rsidRPr="0097258B" w:rsidRDefault="005F3FB7"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Méthodes proposées</w:t>
            </w:r>
          </w:p>
        </w:tc>
        <w:tc>
          <w:tcPr>
            <w:tcW w:w="874" w:type="pct"/>
            <w:shd w:val="clear" w:color="auto" w:fill="9CC2E5" w:themeFill="accent1" w:themeFillTint="99"/>
            <w:vAlign w:val="center"/>
          </w:tcPr>
          <w:p w14:paraId="15B010A4" w14:textId="77777777" w:rsidR="005F3FB7" w:rsidRPr="0097258B" w:rsidRDefault="005F3FB7"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Calendrier</w:t>
            </w:r>
          </w:p>
        </w:tc>
        <w:tc>
          <w:tcPr>
            <w:tcW w:w="1132" w:type="pct"/>
            <w:shd w:val="clear" w:color="auto" w:fill="9CC2E5" w:themeFill="accent1" w:themeFillTint="99"/>
            <w:vAlign w:val="center"/>
          </w:tcPr>
          <w:p w14:paraId="1E7B2BD0" w14:textId="77777777" w:rsidR="005F3FB7" w:rsidRPr="0097258B" w:rsidRDefault="005F3FB7"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Parties prenantes ciblées</w:t>
            </w:r>
          </w:p>
        </w:tc>
        <w:tc>
          <w:tcPr>
            <w:tcW w:w="697" w:type="pct"/>
            <w:shd w:val="clear" w:color="auto" w:fill="9CC2E5" w:themeFill="accent1" w:themeFillTint="99"/>
            <w:vAlign w:val="center"/>
          </w:tcPr>
          <w:p w14:paraId="764C81EE" w14:textId="77777777" w:rsidR="005F3FB7" w:rsidRPr="0097258B" w:rsidRDefault="005F3FB7"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Responsabilité</w:t>
            </w:r>
          </w:p>
        </w:tc>
      </w:tr>
      <w:tr w:rsidR="00BD1A2F" w:rsidRPr="009B46E2" w14:paraId="6DE78C27" w14:textId="77777777" w:rsidTr="005F3FB7">
        <w:tc>
          <w:tcPr>
            <w:tcW w:w="5000" w:type="pct"/>
            <w:gridSpan w:val="6"/>
            <w:shd w:val="clear" w:color="auto" w:fill="FFFF00"/>
          </w:tcPr>
          <w:p w14:paraId="52B46730" w14:textId="77777777" w:rsidR="005F3FB7" w:rsidRPr="0097258B" w:rsidRDefault="005F3FB7"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PHASE DE PRÉPARATION</w:t>
            </w:r>
          </w:p>
        </w:tc>
      </w:tr>
      <w:tr w:rsidR="00BD1A2F" w:rsidRPr="009B46E2" w14:paraId="5F4BD683" w14:textId="77777777" w:rsidTr="00B3729F">
        <w:tc>
          <w:tcPr>
            <w:tcW w:w="552" w:type="pct"/>
            <w:vMerge w:val="restart"/>
            <w:vAlign w:val="center"/>
          </w:tcPr>
          <w:p w14:paraId="66F8ADB3" w14:textId="77777777" w:rsidR="005F3FB7" w:rsidRPr="0097258B" w:rsidRDefault="005F3FB7" w:rsidP="001748C6">
            <w:pPr>
              <w:numPr>
                <w:ilvl w:val="0"/>
                <w:numId w:val="62"/>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Réalisation des études de sauvegarde E&amp;S (EIES)</w:t>
            </w:r>
          </w:p>
        </w:tc>
        <w:tc>
          <w:tcPr>
            <w:tcW w:w="641" w:type="pct"/>
            <w:vAlign w:val="center"/>
          </w:tcPr>
          <w:p w14:paraId="6D2C9DD7" w14:textId="77777777" w:rsidR="005F3FB7" w:rsidRPr="0097258B" w:rsidRDefault="005F3FB7"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L’objet, la nature, la durée des activités et l’envergure du projet ;</w:t>
            </w:r>
          </w:p>
        </w:tc>
        <w:tc>
          <w:tcPr>
            <w:tcW w:w="1104" w:type="pct"/>
            <w:vAlign w:val="center"/>
          </w:tcPr>
          <w:p w14:paraId="63B03DEF" w14:textId="77777777" w:rsidR="005F3FB7" w:rsidRPr="0097258B" w:rsidRDefault="005F3FB7" w:rsidP="001748C6">
            <w:pPr>
              <w:numPr>
                <w:ilvl w:val="0"/>
                <w:numId w:val="61"/>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Communiqué télé et radio (nationale et communautaire) en langue locale (Wolof)</w:t>
            </w:r>
          </w:p>
          <w:p w14:paraId="7B44EB56" w14:textId="77777777" w:rsidR="005F3FB7" w:rsidRPr="0097258B" w:rsidRDefault="005F3FB7" w:rsidP="001748C6">
            <w:pPr>
              <w:numPr>
                <w:ilvl w:val="0"/>
                <w:numId w:val="61"/>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Affichage au niveau de la préfecture, et la mairie</w:t>
            </w:r>
          </w:p>
          <w:p w14:paraId="1E054991" w14:textId="77777777" w:rsidR="005F3FB7" w:rsidRPr="0097258B" w:rsidRDefault="005F3FB7" w:rsidP="001748C6">
            <w:pPr>
              <w:numPr>
                <w:ilvl w:val="0"/>
                <w:numId w:val="61"/>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Site web du projet </w:t>
            </w:r>
          </w:p>
          <w:p w14:paraId="4BE3F4F3" w14:textId="77777777" w:rsidR="005F3FB7" w:rsidRPr="0097258B" w:rsidRDefault="005F3FB7" w:rsidP="001748C6">
            <w:pPr>
              <w:numPr>
                <w:ilvl w:val="0"/>
                <w:numId w:val="61"/>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Les réseaux sociaux</w:t>
            </w:r>
          </w:p>
          <w:p w14:paraId="0338EDBD" w14:textId="77777777" w:rsidR="005F3FB7" w:rsidRPr="0097258B" w:rsidRDefault="005F3FB7" w:rsidP="001748C6">
            <w:pPr>
              <w:numPr>
                <w:ilvl w:val="0"/>
                <w:numId w:val="61"/>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Consultation du public ou focus group au niveau des communes concernées</w:t>
            </w:r>
          </w:p>
          <w:p w14:paraId="3A052EDF" w14:textId="77777777" w:rsidR="005F3FB7" w:rsidRPr="0097258B" w:rsidRDefault="005F3FB7" w:rsidP="001748C6">
            <w:pPr>
              <w:numPr>
                <w:ilvl w:val="0"/>
                <w:numId w:val="61"/>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Correspondance et réunions officielles</w:t>
            </w:r>
          </w:p>
          <w:p w14:paraId="73E3F83A" w14:textId="77777777" w:rsidR="005F3FB7" w:rsidRPr="0097258B" w:rsidRDefault="005F3FB7" w:rsidP="001748C6">
            <w:pPr>
              <w:numPr>
                <w:ilvl w:val="0"/>
                <w:numId w:val="61"/>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Brochures et dépliants</w:t>
            </w:r>
          </w:p>
        </w:tc>
        <w:tc>
          <w:tcPr>
            <w:tcW w:w="874" w:type="pct"/>
            <w:vAlign w:val="center"/>
          </w:tcPr>
          <w:p w14:paraId="0BB6CA66"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Communiqué un mois avant le démarrage des études</w:t>
            </w:r>
          </w:p>
          <w:p w14:paraId="7E7F724F" w14:textId="77777777" w:rsidR="005F3FB7" w:rsidRPr="0097258B" w:rsidRDefault="005F3FB7" w:rsidP="001748C6">
            <w:pPr>
              <w:pStyle w:val="CarattereCarattereCharCharCharCharCharCharZchn"/>
              <w:numPr>
                <w:ilvl w:val="0"/>
                <w:numId w:val="64"/>
              </w:numPr>
              <w:spacing w:after="0" w:line="240" w:lineRule="auto"/>
              <w:contextualSpacing/>
              <w:rPr>
                <w:rFonts w:ascii="Times New Roman" w:hAnsi="Times New Roman" w:cs="Times New Roman"/>
                <w:color w:val="000000" w:themeColor="text1"/>
                <w:sz w:val="20"/>
                <w:szCs w:val="20"/>
                <w:vertAlign w:val="baseline"/>
              </w:rPr>
            </w:pPr>
            <w:r w:rsidRPr="0097258B">
              <w:rPr>
                <w:rFonts w:ascii="Times New Roman" w:hAnsi="Times New Roman" w:cs="Times New Roman"/>
                <w:color w:val="000000" w:themeColor="text1"/>
                <w:sz w:val="20"/>
                <w:szCs w:val="20"/>
                <w:vertAlign w:val="baseline"/>
              </w:rPr>
              <w:t>Communiqué mensuel (radio-télé et journaux) tout le long de la phase de réalisation des études au niveau des médias à couverture nationale et communautaire</w:t>
            </w:r>
          </w:p>
          <w:p w14:paraId="7A5136EF"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Affichage durant toute la période des études</w:t>
            </w:r>
          </w:p>
          <w:p w14:paraId="18B560F1" w14:textId="77777777" w:rsidR="005F3FB7" w:rsidRPr="0097258B" w:rsidRDefault="005F3FB7" w:rsidP="00E20250">
            <w:pPr>
              <w:spacing w:after="0" w:line="240" w:lineRule="auto"/>
              <w:jc w:val="both"/>
              <w:rPr>
                <w:rFonts w:ascii="Times New Roman" w:hAnsi="Times New Roman"/>
                <w:color w:val="000000" w:themeColor="text1"/>
                <w:sz w:val="20"/>
                <w:szCs w:val="20"/>
              </w:rPr>
            </w:pPr>
          </w:p>
          <w:p w14:paraId="0154C99B" w14:textId="77777777" w:rsidR="005F3FB7" w:rsidRPr="0097258B" w:rsidRDefault="005F3FB7" w:rsidP="00E20250">
            <w:pPr>
              <w:spacing w:after="0" w:line="240" w:lineRule="auto"/>
              <w:jc w:val="both"/>
              <w:rPr>
                <w:rFonts w:ascii="Times New Roman" w:hAnsi="Times New Roman"/>
                <w:color w:val="000000" w:themeColor="text1"/>
                <w:sz w:val="20"/>
                <w:szCs w:val="20"/>
              </w:rPr>
            </w:pPr>
          </w:p>
        </w:tc>
        <w:tc>
          <w:tcPr>
            <w:tcW w:w="1132" w:type="pct"/>
            <w:vAlign w:val="center"/>
          </w:tcPr>
          <w:p w14:paraId="2CC700CC" w14:textId="77777777" w:rsidR="005F3FB7" w:rsidRPr="0097258B" w:rsidRDefault="005F3FB7" w:rsidP="001748C6">
            <w:pPr>
              <w:numPr>
                <w:ilvl w:val="0"/>
                <w:numId w:val="63"/>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participant à la mise en œuvre du projet : Acteurs gouvernementaux</w:t>
            </w:r>
          </w:p>
          <w:p w14:paraId="69766282" w14:textId="593C8D64" w:rsidR="005F3FB7" w:rsidRPr="0097258B" w:rsidRDefault="005F3FB7" w:rsidP="001748C6">
            <w:pPr>
              <w:numPr>
                <w:ilvl w:val="0"/>
                <w:numId w:val="63"/>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intéressée : Collectivités territoriale</w:t>
            </w:r>
            <w:r w:rsidR="00074C1A" w:rsidRPr="0097258B">
              <w:rPr>
                <w:rFonts w:ascii="Times New Roman" w:hAnsi="Times New Roman"/>
                <w:color w:val="000000" w:themeColor="text1"/>
                <w:sz w:val="20"/>
                <w:szCs w:val="20"/>
              </w:rPr>
              <w:t>s</w:t>
            </w:r>
            <w:r w:rsidRPr="0097258B">
              <w:rPr>
                <w:rFonts w:ascii="Times New Roman" w:hAnsi="Times New Roman"/>
                <w:color w:val="000000" w:themeColor="text1"/>
                <w:sz w:val="20"/>
                <w:szCs w:val="20"/>
              </w:rPr>
              <w:t>, communauté riveraine, OCB, Société civile</w:t>
            </w:r>
          </w:p>
          <w:p w14:paraId="7DADF6BE" w14:textId="77777777" w:rsidR="005F3FB7" w:rsidRPr="0097258B" w:rsidRDefault="005F3FB7" w:rsidP="001748C6">
            <w:pPr>
              <w:numPr>
                <w:ilvl w:val="0"/>
                <w:numId w:val="63"/>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affectée : PAP</w:t>
            </w:r>
          </w:p>
        </w:tc>
        <w:tc>
          <w:tcPr>
            <w:tcW w:w="697" w:type="pct"/>
            <w:vAlign w:val="center"/>
          </w:tcPr>
          <w:p w14:paraId="15DFD38F" w14:textId="77777777" w:rsidR="005F3FB7" w:rsidRPr="0097258B" w:rsidRDefault="005F3FB7" w:rsidP="00E20250">
            <w:p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ADM</w:t>
            </w:r>
          </w:p>
          <w:p w14:paraId="46C3C43B" w14:textId="77777777" w:rsidR="005F3FB7" w:rsidRPr="0097258B" w:rsidRDefault="005F3FB7" w:rsidP="00E20250">
            <w:pPr>
              <w:spacing w:after="0" w:line="240" w:lineRule="auto"/>
              <w:contextualSpacing/>
              <w:jc w:val="both"/>
              <w:rPr>
                <w:rFonts w:ascii="Times New Roman" w:hAnsi="Times New Roman"/>
                <w:color w:val="000000" w:themeColor="text1"/>
                <w:sz w:val="20"/>
                <w:szCs w:val="20"/>
              </w:rPr>
            </w:pPr>
          </w:p>
        </w:tc>
      </w:tr>
      <w:tr w:rsidR="00BD1A2F" w:rsidRPr="009B46E2" w14:paraId="014DF4F8" w14:textId="77777777" w:rsidTr="00B3729F">
        <w:tc>
          <w:tcPr>
            <w:tcW w:w="552" w:type="pct"/>
            <w:vMerge/>
            <w:vAlign w:val="center"/>
          </w:tcPr>
          <w:p w14:paraId="7B713993" w14:textId="77777777" w:rsidR="005F3FB7" w:rsidRPr="0097258B" w:rsidRDefault="005F3FB7" w:rsidP="001748C6">
            <w:pPr>
              <w:numPr>
                <w:ilvl w:val="0"/>
                <w:numId w:val="62"/>
              </w:numPr>
              <w:spacing w:after="0" w:line="240" w:lineRule="auto"/>
              <w:contextualSpacing/>
              <w:jc w:val="both"/>
              <w:rPr>
                <w:rFonts w:ascii="Times New Roman" w:hAnsi="Times New Roman"/>
                <w:color w:val="000000" w:themeColor="text1"/>
                <w:sz w:val="20"/>
                <w:szCs w:val="20"/>
              </w:rPr>
            </w:pPr>
          </w:p>
        </w:tc>
        <w:tc>
          <w:tcPr>
            <w:tcW w:w="641" w:type="pct"/>
            <w:vAlign w:val="center"/>
          </w:tcPr>
          <w:p w14:paraId="41BAC260" w14:textId="77777777" w:rsidR="005F3FB7" w:rsidRPr="0097258B" w:rsidRDefault="005F3FB7"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Concertation des variantes techniques à retenir</w:t>
            </w:r>
          </w:p>
        </w:tc>
        <w:tc>
          <w:tcPr>
            <w:tcW w:w="1104" w:type="pct"/>
            <w:vAlign w:val="center"/>
          </w:tcPr>
          <w:p w14:paraId="34BFAE06" w14:textId="77777777" w:rsidR="005F3FB7" w:rsidRPr="0097258B" w:rsidRDefault="005F3FB7" w:rsidP="001748C6">
            <w:pPr>
              <w:numPr>
                <w:ilvl w:val="0"/>
                <w:numId w:val="61"/>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Réunions formelles </w:t>
            </w:r>
          </w:p>
          <w:p w14:paraId="3883EB28" w14:textId="77777777" w:rsidR="005F3FB7" w:rsidRPr="0097258B" w:rsidRDefault="005F3FB7" w:rsidP="001748C6">
            <w:pPr>
              <w:numPr>
                <w:ilvl w:val="0"/>
                <w:numId w:val="61"/>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Visites de sites</w:t>
            </w:r>
          </w:p>
        </w:tc>
        <w:tc>
          <w:tcPr>
            <w:tcW w:w="874" w:type="pct"/>
            <w:vAlign w:val="center"/>
          </w:tcPr>
          <w:p w14:paraId="37E1223E"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Durant les études d’APS et APD</w:t>
            </w:r>
          </w:p>
          <w:p w14:paraId="52EB6DA7"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Réunion au niveau des communes durant la réalisation des études</w:t>
            </w:r>
          </w:p>
        </w:tc>
        <w:tc>
          <w:tcPr>
            <w:tcW w:w="1132" w:type="pct"/>
            <w:vAlign w:val="center"/>
          </w:tcPr>
          <w:p w14:paraId="2CDA844C" w14:textId="77777777" w:rsidR="005F3FB7" w:rsidRPr="0097258B" w:rsidRDefault="005F3FB7" w:rsidP="001748C6">
            <w:pPr>
              <w:numPr>
                <w:ilvl w:val="0"/>
                <w:numId w:val="63"/>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participant à la mise en œuvre du projet : Acteurs gouvernementaux</w:t>
            </w:r>
          </w:p>
          <w:p w14:paraId="56122F46" w14:textId="089DFC9D" w:rsidR="005F3FB7" w:rsidRPr="0097258B" w:rsidRDefault="005F3FB7" w:rsidP="001748C6">
            <w:pPr>
              <w:numPr>
                <w:ilvl w:val="0"/>
                <w:numId w:val="63"/>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intéressée</w:t>
            </w:r>
            <w:r w:rsidR="00074C1A" w:rsidRPr="0097258B">
              <w:rPr>
                <w:rFonts w:ascii="Times New Roman" w:hAnsi="Times New Roman"/>
                <w:color w:val="000000" w:themeColor="text1"/>
                <w:sz w:val="20"/>
                <w:szCs w:val="20"/>
              </w:rPr>
              <w:t>,</w:t>
            </w:r>
            <w:r w:rsidRPr="0097258B">
              <w:rPr>
                <w:rFonts w:ascii="Times New Roman" w:hAnsi="Times New Roman"/>
                <w:color w:val="000000" w:themeColor="text1"/>
                <w:sz w:val="20"/>
                <w:szCs w:val="20"/>
              </w:rPr>
              <w:t> délégués de quartiers, Collectivités territoriales</w:t>
            </w:r>
          </w:p>
        </w:tc>
        <w:tc>
          <w:tcPr>
            <w:tcW w:w="697" w:type="pct"/>
            <w:vAlign w:val="center"/>
          </w:tcPr>
          <w:p w14:paraId="12AC7E34" w14:textId="77777777" w:rsidR="005F3FB7" w:rsidRPr="0097258B" w:rsidRDefault="005F3FB7" w:rsidP="00E20250">
            <w:p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ADM</w:t>
            </w:r>
          </w:p>
          <w:p w14:paraId="7E724856" w14:textId="77777777" w:rsidR="005F3FB7" w:rsidRPr="0097258B" w:rsidRDefault="005F3FB7" w:rsidP="00E20250">
            <w:pPr>
              <w:spacing w:after="0" w:line="240" w:lineRule="auto"/>
              <w:contextualSpacing/>
              <w:jc w:val="both"/>
              <w:rPr>
                <w:rFonts w:ascii="Times New Roman" w:hAnsi="Times New Roman"/>
                <w:color w:val="000000" w:themeColor="text1"/>
                <w:sz w:val="20"/>
                <w:szCs w:val="20"/>
              </w:rPr>
            </w:pPr>
          </w:p>
        </w:tc>
      </w:tr>
      <w:tr w:rsidR="00BD1A2F" w:rsidRPr="009B46E2" w14:paraId="67193CEF" w14:textId="77777777" w:rsidTr="00B3729F">
        <w:tc>
          <w:tcPr>
            <w:tcW w:w="552" w:type="pct"/>
            <w:vMerge/>
            <w:vAlign w:val="center"/>
          </w:tcPr>
          <w:p w14:paraId="26BB8CF6" w14:textId="77777777" w:rsidR="005F3FB7" w:rsidRPr="0097258B" w:rsidRDefault="005F3FB7" w:rsidP="00E20250">
            <w:pPr>
              <w:spacing w:after="0" w:line="240" w:lineRule="auto"/>
              <w:jc w:val="both"/>
              <w:rPr>
                <w:rFonts w:ascii="Times New Roman" w:hAnsi="Times New Roman"/>
                <w:color w:val="000000" w:themeColor="text1"/>
                <w:sz w:val="20"/>
                <w:szCs w:val="20"/>
              </w:rPr>
            </w:pPr>
          </w:p>
        </w:tc>
        <w:tc>
          <w:tcPr>
            <w:tcW w:w="641" w:type="pct"/>
            <w:vAlign w:val="center"/>
          </w:tcPr>
          <w:p w14:paraId="041B7C0F" w14:textId="38EB8247" w:rsidR="005F3FB7" w:rsidRPr="0097258B" w:rsidRDefault="005F3FB7"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Aspects sociaux qui seront examinés pendant l’étude, y compris l’importance de l’aspect genre et de la lutte contre l’A</w:t>
            </w:r>
            <w:r w:rsidR="009D7DDA" w:rsidRPr="0097258B">
              <w:rPr>
                <w:rFonts w:ascii="Times New Roman" w:hAnsi="Times New Roman"/>
                <w:color w:val="000000" w:themeColor="text1"/>
                <w:sz w:val="20"/>
                <w:szCs w:val="20"/>
              </w:rPr>
              <w:t>E</w:t>
            </w:r>
            <w:r w:rsidRPr="0097258B">
              <w:rPr>
                <w:rFonts w:ascii="Times New Roman" w:hAnsi="Times New Roman"/>
                <w:color w:val="000000" w:themeColor="text1"/>
                <w:sz w:val="20"/>
                <w:szCs w:val="20"/>
              </w:rPr>
              <w:t>S/HS</w:t>
            </w:r>
          </w:p>
        </w:tc>
        <w:tc>
          <w:tcPr>
            <w:tcW w:w="1104" w:type="pct"/>
            <w:vAlign w:val="center"/>
          </w:tcPr>
          <w:p w14:paraId="2D72FD64"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Consultation du public ou focus group au niveau des communes concernées</w:t>
            </w:r>
          </w:p>
        </w:tc>
        <w:tc>
          <w:tcPr>
            <w:tcW w:w="874" w:type="pct"/>
            <w:vAlign w:val="center"/>
          </w:tcPr>
          <w:p w14:paraId="2F6FAE6C"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Consultation durant la réalisation des études au niveau des quartiers de la zone d’intervention du projet</w:t>
            </w:r>
          </w:p>
        </w:tc>
        <w:tc>
          <w:tcPr>
            <w:tcW w:w="1132" w:type="pct"/>
            <w:vAlign w:val="center"/>
          </w:tcPr>
          <w:p w14:paraId="6A833332" w14:textId="77777777" w:rsidR="005F3FB7" w:rsidRPr="0097258B" w:rsidRDefault="005F3FB7" w:rsidP="001748C6">
            <w:pPr>
              <w:numPr>
                <w:ilvl w:val="0"/>
                <w:numId w:val="65"/>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intéressée : communauté riveraine, OCB, Société civile, collectivités territoriales</w:t>
            </w:r>
          </w:p>
          <w:p w14:paraId="464FF213" w14:textId="77777777" w:rsidR="005F3FB7" w:rsidRPr="0097258B" w:rsidRDefault="005F3FB7" w:rsidP="001748C6">
            <w:pPr>
              <w:numPr>
                <w:ilvl w:val="0"/>
                <w:numId w:val="65"/>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affectée : PAP</w:t>
            </w:r>
          </w:p>
          <w:p w14:paraId="04068A17" w14:textId="77777777" w:rsidR="005F3FB7" w:rsidRPr="0097258B" w:rsidRDefault="005F3FB7" w:rsidP="001748C6">
            <w:pPr>
              <w:numPr>
                <w:ilvl w:val="0"/>
                <w:numId w:val="65"/>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Groupe vulnérable</w:t>
            </w:r>
          </w:p>
        </w:tc>
        <w:tc>
          <w:tcPr>
            <w:tcW w:w="697" w:type="pct"/>
            <w:vAlign w:val="center"/>
          </w:tcPr>
          <w:p w14:paraId="09EC36E7" w14:textId="77777777" w:rsidR="005F3FB7" w:rsidRPr="0097258B" w:rsidRDefault="005F3FB7" w:rsidP="001748C6">
            <w:pPr>
              <w:numPr>
                <w:ilvl w:val="0"/>
                <w:numId w:val="65"/>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ADM</w:t>
            </w:r>
          </w:p>
          <w:p w14:paraId="7822B8D2" w14:textId="4BE44237" w:rsidR="005F3FB7" w:rsidRPr="0097258B" w:rsidRDefault="005F3FB7" w:rsidP="001748C6">
            <w:pPr>
              <w:numPr>
                <w:ilvl w:val="0"/>
                <w:numId w:val="65"/>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Services spécialisés concernés</w:t>
            </w:r>
          </w:p>
        </w:tc>
      </w:tr>
      <w:tr w:rsidR="00BD1A2F" w:rsidRPr="009B46E2" w14:paraId="71763A1A" w14:textId="77777777" w:rsidTr="00B3729F">
        <w:tc>
          <w:tcPr>
            <w:tcW w:w="552" w:type="pct"/>
            <w:vMerge/>
            <w:vAlign w:val="center"/>
          </w:tcPr>
          <w:p w14:paraId="4E438559" w14:textId="77777777" w:rsidR="005F3FB7" w:rsidRPr="0097258B" w:rsidRDefault="005F3FB7" w:rsidP="00E20250">
            <w:pPr>
              <w:spacing w:after="0" w:line="240" w:lineRule="auto"/>
              <w:jc w:val="both"/>
              <w:rPr>
                <w:rFonts w:ascii="Times New Roman" w:hAnsi="Times New Roman"/>
                <w:color w:val="000000" w:themeColor="text1"/>
                <w:sz w:val="20"/>
                <w:szCs w:val="20"/>
              </w:rPr>
            </w:pPr>
          </w:p>
        </w:tc>
        <w:tc>
          <w:tcPr>
            <w:tcW w:w="641" w:type="pct"/>
            <w:vAlign w:val="center"/>
          </w:tcPr>
          <w:p w14:paraId="0F5F9016" w14:textId="77777777" w:rsidR="005F3FB7" w:rsidRPr="0097258B" w:rsidRDefault="005F3FB7"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Résultats des études et feedback sur l’incorporation des points de vue de parties prenantes, ou justification sur l’impossibilité de les incorporer</w:t>
            </w:r>
          </w:p>
        </w:tc>
        <w:tc>
          <w:tcPr>
            <w:tcW w:w="1104" w:type="pct"/>
            <w:vAlign w:val="center"/>
          </w:tcPr>
          <w:p w14:paraId="60274CEB"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Consultation du public ou focus group au niveau des communes concernées</w:t>
            </w:r>
          </w:p>
          <w:p w14:paraId="5EBEC4A9"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Correspondance et réunions officielles</w:t>
            </w:r>
          </w:p>
        </w:tc>
        <w:tc>
          <w:tcPr>
            <w:tcW w:w="874" w:type="pct"/>
            <w:vAlign w:val="center"/>
          </w:tcPr>
          <w:p w14:paraId="578B79CF"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Durant la réalisation des études au niveau des quartiers ciblés</w:t>
            </w:r>
          </w:p>
        </w:tc>
        <w:tc>
          <w:tcPr>
            <w:tcW w:w="1132" w:type="pct"/>
            <w:vAlign w:val="center"/>
          </w:tcPr>
          <w:p w14:paraId="1CCCE20D" w14:textId="77777777" w:rsidR="005F3FB7" w:rsidRPr="0097258B" w:rsidRDefault="005F3FB7" w:rsidP="001748C6">
            <w:pPr>
              <w:numPr>
                <w:ilvl w:val="0"/>
                <w:numId w:val="65"/>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intéressée : communauté riveraine, OCB, Société civile</w:t>
            </w:r>
          </w:p>
          <w:p w14:paraId="7B08DD1E" w14:textId="77777777" w:rsidR="005F3FB7" w:rsidRPr="0097258B" w:rsidRDefault="005F3FB7" w:rsidP="001748C6">
            <w:pPr>
              <w:numPr>
                <w:ilvl w:val="0"/>
                <w:numId w:val="65"/>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affectée : PAP</w:t>
            </w:r>
          </w:p>
          <w:p w14:paraId="1E17C448" w14:textId="77777777" w:rsidR="005F3FB7" w:rsidRPr="0097258B" w:rsidRDefault="005F3FB7" w:rsidP="001748C6">
            <w:pPr>
              <w:numPr>
                <w:ilvl w:val="0"/>
                <w:numId w:val="65"/>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Groupe vulnérable</w:t>
            </w:r>
          </w:p>
        </w:tc>
        <w:tc>
          <w:tcPr>
            <w:tcW w:w="697" w:type="pct"/>
            <w:vAlign w:val="center"/>
          </w:tcPr>
          <w:p w14:paraId="10D1C5B7" w14:textId="77777777" w:rsidR="005F3FB7" w:rsidRPr="0097258B" w:rsidRDefault="005F3FB7" w:rsidP="001748C6">
            <w:pPr>
              <w:numPr>
                <w:ilvl w:val="0"/>
                <w:numId w:val="65"/>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ADM</w:t>
            </w:r>
          </w:p>
          <w:p w14:paraId="7E3279C3" w14:textId="0ECD2382" w:rsidR="005F3FB7" w:rsidRPr="0097258B" w:rsidRDefault="005F3FB7" w:rsidP="001748C6">
            <w:pPr>
              <w:numPr>
                <w:ilvl w:val="0"/>
                <w:numId w:val="65"/>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Collectivités territoriales concernées</w:t>
            </w:r>
          </w:p>
        </w:tc>
      </w:tr>
      <w:tr w:rsidR="00BD1A2F" w:rsidRPr="009B46E2" w14:paraId="32A25684" w14:textId="77777777" w:rsidTr="00B3729F">
        <w:tc>
          <w:tcPr>
            <w:tcW w:w="552" w:type="pct"/>
            <w:vMerge/>
            <w:vAlign w:val="center"/>
          </w:tcPr>
          <w:p w14:paraId="5F9FF8D8" w14:textId="77777777" w:rsidR="005F3FB7" w:rsidRPr="0097258B" w:rsidRDefault="005F3FB7" w:rsidP="00E20250">
            <w:pPr>
              <w:spacing w:after="0" w:line="240" w:lineRule="auto"/>
              <w:jc w:val="both"/>
              <w:rPr>
                <w:rFonts w:ascii="Times New Roman" w:hAnsi="Times New Roman"/>
                <w:color w:val="000000" w:themeColor="text1"/>
                <w:sz w:val="20"/>
                <w:szCs w:val="20"/>
              </w:rPr>
            </w:pPr>
          </w:p>
        </w:tc>
        <w:tc>
          <w:tcPr>
            <w:tcW w:w="641" w:type="pct"/>
            <w:vAlign w:val="center"/>
          </w:tcPr>
          <w:p w14:paraId="171A6AFC" w14:textId="77777777" w:rsidR="005F3FB7" w:rsidRPr="0097258B" w:rsidRDefault="005F3FB7"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Les risques et effets potentiels du projet sur les communautés locales, et les mesures pour les atténuer</w:t>
            </w:r>
          </w:p>
        </w:tc>
        <w:tc>
          <w:tcPr>
            <w:tcW w:w="1104" w:type="pct"/>
            <w:vAlign w:val="center"/>
          </w:tcPr>
          <w:p w14:paraId="6B870A54"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Consultation du public ou focus group au niveau des communes concernées</w:t>
            </w:r>
          </w:p>
          <w:p w14:paraId="36A42EFA"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Communiqué radio et télé (nationale et communautaire) dans les langues locales (Wolof)</w:t>
            </w:r>
          </w:p>
          <w:p w14:paraId="53AB0D67"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Site web du projet </w:t>
            </w:r>
          </w:p>
          <w:p w14:paraId="642E076D"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Les réseaux sociaux</w:t>
            </w:r>
          </w:p>
        </w:tc>
        <w:tc>
          <w:tcPr>
            <w:tcW w:w="874" w:type="pct"/>
            <w:vAlign w:val="center"/>
          </w:tcPr>
          <w:p w14:paraId="54DFC6B9"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Durant la réalisation des études au niveau des quartiers concernés et des médias à couverture nationale et communautaire</w:t>
            </w:r>
          </w:p>
        </w:tc>
        <w:tc>
          <w:tcPr>
            <w:tcW w:w="1132" w:type="pct"/>
            <w:vAlign w:val="center"/>
          </w:tcPr>
          <w:p w14:paraId="27D79727" w14:textId="77777777" w:rsidR="005F3FB7" w:rsidRPr="0097258B" w:rsidRDefault="005F3FB7" w:rsidP="001748C6">
            <w:pPr>
              <w:numPr>
                <w:ilvl w:val="0"/>
                <w:numId w:val="65"/>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intéressée : communauté riveraine, OCB, Société civile</w:t>
            </w:r>
          </w:p>
          <w:p w14:paraId="14CE74E2" w14:textId="77777777" w:rsidR="005F3FB7" w:rsidRPr="0097258B" w:rsidRDefault="005F3FB7" w:rsidP="001748C6">
            <w:pPr>
              <w:numPr>
                <w:ilvl w:val="0"/>
                <w:numId w:val="65"/>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affectée : PAP</w:t>
            </w:r>
          </w:p>
          <w:p w14:paraId="4F66C10A" w14:textId="77777777" w:rsidR="005F3FB7" w:rsidRPr="0097258B" w:rsidRDefault="005F3FB7" w:rsidP="001748C6">
            <w:pPr>
              <w:numPr>
                <w:ilvl w:val="0"/>
                <w:numId w:val="65"/>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Groupe vulnérable</w:t>
            </w:r>
          </w:p>
        </w:tc>
        <w:tc>
          <w:tcPr>
            <w:tcW w:w="697" w:type="pct"/>
            <w:vAlign w:val="center"/>
          </w:tcPr>
          <w:p w14:paraId="34088CA7" w14:textId="77777777" w:rsidR="005F3FB7" w:rsidRPr="0097258B" w:rsidRDefault="005F3FB7" w:rsidP="001748C6">
            <w:pPr>
              <w:numPr>
                <w:ilvl w:val="0"/>
                <w:numId w:val="65"/>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Consultants</w:t>
            </w:r>
          </w:p>
          <w:p w14:paraId="4708AB59" w14:textId="77777777" w:rsidR="005F3FB7" w:rsidRPr="0097258B" w:rsidRDefault="005F3FB7" w:rsidP="001748C6">
            <w:pPr>
              <w:numPr>
                <w:ilvl w:val="0"/>
                <w:numId w:val="65"/>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Spécialiste en sauvegarde environnementale et Spécialiste social</w:t>
            </w:r>
          </w:p>
        </w:tc>
      </w:tr>
      <w:tr w:rsidR="00BD1A2F" w:rsidRPr="009B46E2" w14:paraId="283C0312" w14:textId="77777777" w:rsidTr="00B3729F">
        <w:tc>
          <w:tcPr>
            <w:tcW w:w="552" w:type="pct"/>
            <w:vMerge/>
            <w:vAlign w:val="center"/>
          </w:tcPr>
          <w:p w14:paraId="18DDCFFC" w14:textId="77777777" w:rsidR="005F3FB7" w:rsidRPr="0097258B" w:rsidRDefault="005F3FB7" w:rsidP="00E20250">
            <w:pPr>
              <w:spacing w:after="0" w:line="240" w:lineRule="auto"/>
              <w:jc w:val="both"/>
              <w:rPr>
                <w:rFonts w:ascii="Times New Roman" w:hAnsi="Times New Roman"/>
                <w:color w:val="000000" w:themeColor="text1"/>
                <w:sz w:val="20"/>
                <w:szCs w:val="20"/>
              </w:rPr>
            </w:pPr>
          </w:p>
        </w:tc>
        <w:tc>
          <w:tcPr>
            <w:tcW w:w="641" w:type="pct"/>
            <w:vAlign w:val="center"/>
          </w:tcPr>
          <w:p w14:paraId="1080BBB5" w14:textId="77777777" w:rsidR="005F3FB7" w:rsidRPr="0097258B" w:rsidRDefault="005F3FB7"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Mécanisme de gestion des plaintes</w:t>
            </w:r>
          </w:p>
        </w:tc>
        <w:tc>
          <w:tcPr>
            <w:tcW w:w="1104" w:type="pct"/>
            <w:vAlign w:val="center"/>
          </w:tcPr>
          <w:p w14:paraId="35ADDB55"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Consultation du public ou focus group</w:t>
            </w:r>
          </w:p>
          <w:p w14:paraId="69C417C7"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Réunions formelles/atelier de partage</w:t>
            </w:r>
          </w:p>
          <w:p w14:paraId="22D12D93" w14:textId="3DF1BA54"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Communiqué télé et radio (nationale et communautaire) en langue locale (Wolof) sur l’existence du MGP sensible à l’A</w:t>
            </w:r>
            <w:r w:rsidR="009D7DDA" w:rsidRPr="0097258B">
              <w:rPr>
                <w:rFonts w:ascii="Times New Roman" w:hAnsi="Times New Roman"/>
                <w:color w:val="000000" w:themeColor="text1"/>
                <w:sz w:val="20"/>
                <w:szCs w:val="20"/>
              </w:rPr>
              <w:t>E</w:t>
            </w:r>
            <w:r w:rsidRPr="0097258B">
              <w:rPr>
                <w:rFonts w:ascii="Times New Roman" w:hAnsi="Times New Roman"/>
                <w:color w:val="000000" w:themeColor="text1"/>
                <w:sz w:val="20"/>
                <w:szCs w:val="20"/>
              </w:rPr>
              <w:t>S/HS et les méthodes de dépôt de plaintes</w:t>
            </w:r>
          </w:p>
        </w:tc>
        <w:tc>
          <w:tcPr>
            <w:tcW w:w="874" w:type="pct"/>
            <w:vAlign w:val="center"/>
          </w:tcPr>
          <w:p w14:paraId="4DCE12AE"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Après la validation du document auprès des communes concernées</w:t>
            </w:r>
          </w:p>
        </w:tc>
        <w:tc>
          <w:tcPr>
            <w:tcW w:w="1132" w:type="pct"/>
            <w:vAlign w:val="center"/>
          </w:tcPr>
          <w:p w14:paraId="75AF727A" w14:textId="5BC46922"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intéressée : Collectivités territoriale</w:t>
            </w:r>
            <w:r w:rsidR="00074C1A" w:rsidRPr="0097258B">
              <w:rPr>
                <w:rFonts w:ascii="Times New Roman" w:hAnsi="Times New Roman"/>
                <w:color w:val="000000" w:themeColor="text1"/>
                <w:sz w:val="20"/>
                <w:szCs w:val="20"/>
              </w:rPr>
              <w:t>s</w:t>
            </w:r>
            <w:r w:rsidRPr="0097258B">
              <w:rPr>
                <w:rFonts w:ascii="Times New Roman" w:hAnsi="Times New Roman"/>
                <w:color w:val="000000" w:themeColor="text1"/>
                <w:sz w:val="20"/>
                <w:szCs w:val="20"/>
              </w:rPr>
              <w:t>, communauté riveraine, OCB, Société civile</w:t>
            </w:r>
          </w:p>
          <w:p w14:paraId="66C7A748" w14:textId="77777777" w:rsidR="005F3FB7" w:rsidRPr="0097258B" w:rsidRDefault="005F3FB7" w:rsidP="00E20250">
            <w:pPr>
              <w:spacing w:after="0" w:line="240" w:lineRule="auto"/>
              <w:ind w:left="720"/>
              <w:contextualSpacing/>
              <w:rPr>
                <w:rFonts w:ascii="Times New Roman" w:hAnsi="Times New Roman"/>
                <w:color w:val="000000" w:themeColor="text1"/>
                <w:sz w:val="20"/>
                <w:szCs w:val="20"/>
              </w:rPr>
            </w:pPr>
          </w:p>
          <w:p w14:paraId="146963D4" w14:textId="77777777" w:rsidR="005F3FB7" w:rsidRPr="0097258B" w:rsidRDefault="005F3FB7" w:rsidP="001748C6">
            <w:pPr>
              <w:numPr>
                <w:ilvl w:val="0"/>
                <w:numId w:val="65"/>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affectée : PAP</w:t>
            </w:r>
          </w:p>
          <w:p w14:paraId="2A277A5C" w14:textId="77777777" w:rsidR="005F3FB7" w:rsidRPr="0097258B" w:rsidRDefault="005F3FB7" w:rsidP="00E20250">
            <w:pPr>
              <w:spacing w:after="0" w:line="240" w:lineRule="auto"/>
              <w:ind w:left="360"/>
              <w:contextualSpacing/>
              <w:jc w:val="both"/>
              <w:rPr>
                <w:rFonts w:ascii="Times New Roman" w:hAnsi="Times New Roman"/>
                <w:color w:val="000000" w:themeColor="text1"/>
                <w:sz w:val="20"/>
                <w:szCs w:val="20"/>
              </w:rPr>
            </w:pPr>
          </w:p>
          <w:p w14:paraId="478DD3B1" w14:textId="77777777" w:rsidR="005F3FB7" w:rsidRPr="0097258B" w:rsidRDefault="005F3FB7" w:rsidP="001748C6">
            <w:pPr>
              <w:numPr>
                <w:ilvl w:val="0"/>
                <w:numId w:val="65"/>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Groupe vulnérable</w:t>
            </w:r>
          </w:p>
        </w:tc>
        <w:tc>
          <w:tcPr>
            <w:tcW w:w="697" w:type="pct"/>
            <w:vAlign w:val="center"/>
          </w:tcPr>
          <w:p w14:paraId="26FF16F4" w14:textId="77777777" w:rsidR="005F3FB7" w:rsidRPr="0097258B" w:rsidRDefault="005F3FB7" w:rsidP="001748C6">
            <w:pPr>
              <w:numPr>
                <w:ilvl w:val="0"/>
                <w:numId w:val="65"/>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ADM</w:t>
            </w:r>
          </w:p>
          <w:p w14:paraId="23204677" w14:textId="77777777" w:rsidR="005F3FB7" w:rsidRPr="0097258B" w:rsidRDefault="005F3FB7" w:rsidP="001748C6">
            <w:pPr>
              <w:numPr>
                <w:ilvl w:val="0"/>
                <w:numId w:val="65"/>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COLIGEP</w:t>
            </w:r>
          </w:p>
        </w:tc>
      </w:tr>
      <w:tr w:rsidR="00BD1A2F" w:rsidRPr="009B46E2" w14:paraId="19881603" w14:textId="77777777" w:rsidTr="00B3729F">
        <w:tc>
          <w:tcPr>
            <w:tcW w:w="552" w:type="pct"/>
            <w:vMerge/>
            <w:vAlign w:val="center"/>
          </w:tcPr>
          <w:p w14:paraId="214E9A17" w14:textId="77777777" w:rsidR="005F3FB7" w:rsidRPr="0097258B" w:rsidRDefault="005F3FB7" w:rsidP="00E20250">
            <w:pPr>
              <w:spacing w:after="0" w:line="240" w:lineRule="auto"/>
              <w:jc w:val="both"/>
              <w:rPr>
                <w:rFonts w:ascii="Times New Roman" w:hAnsi="Times New Roman"/>
                <w:color w:val="000000" w:themeColor="text1"/>
                <w:sz w:val="20"/>
                <w:szCs w:val="20"/>
              </w:rPr>
            </w:pPr>
          </w:p>
        </w:tc>
        <w:tc>
          <w:tcPr>
            <w:tcW w:w="641" w:type="pct"/>
            <w:vAlign w:val="center"/>
          </w:tcPr>
          <w:p w14:paraId="5F7A21F2" w14:textId="77777777" w:rsidR="005F3FB7" w:rsidRPr="0097258B" w:rsidRDefault="005F3FB7"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Les dates et lieux des réunions de consultation publiques envisagées, ainsi que le processus qui sera adopté pour les notifications et les comptes rendus de ces réunions ;</w:t>
            </w:r>
          </w:p>
        </w:tc>
        <w:tc>
          <w:tcPr>
            <w:tcW w:w="1104" w:type="pct"/>
            <w:vAlign w:val="center"/>
          </w:tcPr>
          <w:p w14:paraId="6B752697"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Communiqué télé et radio (nationale et communautaire) en langue locale (Wolof)</w:t>
            </w:r>
          </w:p>
          <w:p w14:paraId="08565B5B"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Les affiches au niveau de la préfecture et de la mairie</w:t>
            </w:r>
          </w:p>
          <w:p w14:paraId="73FB6622"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Correspondance</w:t>
            </w:r>
          </w:p>
          <w:p w14:paraId="0E8A0969"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Porte à porte</w:t>
            </w:r>
          </w:p>
          <w:p w14:paraId="6097B9B7"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Crieur public </w:t>
            </w:r>
          </w:p>
          <w:p w14:paraId="37BC80A4"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Caravane</w:t>
            </w:r>
          </w:p>
        </w:tc>
        <w:tc>
          <w:tcPr>
            <w:tcW w:w="874" w:type="pct"/>
            <w:vAlign w:val="center"/>
          </w:tcPr>
          <w:p w14:paraId="559FE147"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Deux semaines avant le démarrage des études</w:t>
            </w:r>
          </w:p>
          <w:p w14:paraId="7192487E"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Durant la réalisation des études </w:t>
            </w:r>
          </w:p>
        </w:tc>
        <w:tc>
          <w:tcPr>
            <w:tcW w:w="1132" w:type="pct"/>
            <w:vAlign w:val="center"/>
          </w:tcPr>
          <w:p w14:paraId="13F3F29A" w14:textId="1338FCAB"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intéressée : Collectivités territoriale</w:t>
            </w:r>
            <w:r w:rsidR="00014AB9" w:rsidRPr="0097258B">
              <w:rPr>
                <w:rFonts w:ascii="Times New Roman" w:hAnsi="Times New Roman"/>
                <w:color w:val="000000" w:themeColor="text1"/>
                <w:sz w:val="20"/>
                <w:szCs w:val="20"/>
              </w:rPr>
              <w:t>s</w:t>
            </w:r>
            <w:r w:rsidRPr="0097258B">
              <w:rPr>
                <w:rFonts w:ascii="Times New Roman" w:hAnsi="Times New Roman"/>
                <w:color w:val="000000" w:themeColor="text1"/>
                <w:sz w:val="20"/>
                <w:szCs w:val="20"/>
              </w:rPr>
              <w:t>, communauté riveraine, OCB, Société civile</w:t>
            </w:r>
          </w:p>
          <w:p w14:paraId="10AEB5EC" w14:textId="77777777" w:rsidR="005F3FB7" w:rsidRPr="0097258B" w:rsidRDefault="005F3FB7" w:rsidP="001748C6">
            <w:pPr>
              <w:numPr>
                <w:ilvl w:val="0"/>
                <w:numId w:val="65"/>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affectée : PAP</w:t>
            </w:r>
          </w:p>
          <w:p w14:paraId="1985C626" w14:textId="77777777" w:rsidR="005F3FB7" w:rsidRPr="0097258B" w:rsidRDefault="005F3FB7" w:rsidP="001748C6">
            <w:pPr>
              <w:numPr>
                <w:ilvl w:val="0"/>
                <w:numId w:val="65"/>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Groupe vulnérable</w:t>
            </w:r>
          </w:p>
        </w:tc>
        <w:tc>
          <w:tcPr>
            <w:tcW w:w="697" w:type="pct"/>
            <w:vAlign w:val="center"/>
          </w:tcPr>
          <w:p w14:paraId="3C0F681C" w14:textId="77777777" w:rsidR="005F3FB7" w:rsidRPr="0097258B" w:rsidRDefault="005F3FB7" w:rsidP="00E20250">
            <w:p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ADM</w:t>
            </w:r>
          </w:p>
          <w:p w14:paraId="3619DEE0" w14:textId="77777777" w:rsidR="005F3FB7" w:rsidRPr="0097258B" w:rsidRDefault="005F3FB7" w:rsidP="00E20250">
            <w:pPr>
              <w:spacing w:after="0" w:line="240" w:lineRule="auto"/>
              <w:contextualSpacing/>
              <w:jc w:val="both"/>
              <w:rPr>
                <w:rFonts w:ascii="Times New Roman" w:hAnsi="Times New Roman"/>
                <w:color w:val="000000" w:themeColor="text1"/>
                <w:sz w:val="20"/>
                <w:szCs w:val="20"/>
              </w:rPr>
            </w:pPr>
          </w:p>
        </w:tc>
      </w:tr>
      <w:tr w:rsidR="00BD1A2F" w:rsidRPr="009B46E2" w14:paraId="5303250F" w14:textId="77777777" w:rsidTr="005F3FB7">
        <w:tc>
          <w:tcPr>
            <w:tcW w:w="5000" w:type="pct"/>
            <w:gridSpan w:val="6"/>
            <w:shd w:val="clear" w:color="auto" w:fill="FFFF00"/>
            <w:vAlign w:val="center"/>
          </w:tcPr>
          <w:p w14:paraId="14C13461" w14:textId="77777777" w:rsidR="005F3FB7" w:rsidRPr="0097258B" w:rsidRDefault="005F3FB7"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PHASE DE MISE EN ŒUVRE DU PROJET ET DES ÉTUDES</w:t>
            </w:r>
          </w:p>
        </w:tc>
      </w:tr>
      <w:tr w:rsidR="00BD1A2F" w:rsidRPr="009B46E2" w14:paraId="7DF6AD2E" w14:textId="77777777" w:rsidTr="00B3729F">
        <w:tc>
          <w:tcPr>
            <w:tcW w:w="552" w:type="pct"/>
            <w:vMerge w:val="restart"/>
            <w:vAlign w:val="center"/>
          </w:tcPr>
          <w:p w14:paraId="3AB196A7" w14:textId="77777777" w:rsidR="005F3FB7" w:rsidRPr="0097258B" w:rsidRDefault="005F3FB7"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Mise en œuvre du PGES</w:t>
            </w:r>
          </w:p>
        </w:tc>
        <w:tc>
          <w:tcPr>
            <w:tcW w:w="641" w:type="pct"/>
            <w:vAlign w:val="center"/>
          </w:tcPr>
          <w:p w14:paraId="49ED5537" w14:textId="77777777" w:rsidR="005F3FB7" w:rsidRPr="0097258B" w:rsidRDefault="005F3FB7"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Partage du Rapport de l’EIES</w:t>
            </w:r>
          </w:p>
        </w:tc>
        <w:tc>
          <w:tcPr>
            <w:tcW w:w="1104" w:type="pct"/>
            <w:vAlign w:val="center"/>
          </w:tcPr>
          <w:p w14:paraId="30EB02F0"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Site web du projet</w:t>
            </w:r>
          </w:p>
          <w:p w14:paraId="42DC7081"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Atelier de validation</w:t>
            </w:r>
          </w:p>
          <w:p w14:paraId="1DD4CB00"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Audience publique</w:t>
            </w:r>
          </w:p>
          <w:p w14:paraId="077C7314"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Résumé dans radio et télé en langue locale (wolof)</w:t>
            </w:r>
          </w:p>
        </w:tc>
        <w:tc>
          <w:tcPr>
            <w:tcW w:w="874" w:type="pct"/>
            <w:vAlign w:val="center"/>
          </w:tcPr>
          <w:p w14:paraId="4C5782F5"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Dès la validation de l’EIES</w:t>
            </w:r>
          </w:p>
        </w:tc>
        <w:tc>
          <w:tcPr>
            <w:tcW w:w="1132" w:type="pct"/>
            <w:vAlign w:val="center"/>
          </w:tcPr>
          <w:p w14:paraId="5447CFCA"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Partie prenante participant à la mise en œuvre du projet : Acteurs gouvernementaux, CDREI, </w:t>
            </w:r>
            <w:proofErr w:type="gramStart"/>
            <w:r w:rsidRPr="0097258B">
              <w:rPr>
                <w:rFonts w:ascii="Times New Roman" w:hAnsi="Times New Roman"/>
                <w:color w:val="000000" w:themeColor="text1"/>
                <w:sz w:val="20"/>
                <w:szCs w:val="20"/>
              </w:rPr>
              <w:t>Préfet</w:t>
            </w:r>
            <w:proofErr w:type="gramEnd"/>
          </w:p>
          <w:p w14:paraId="61FB499A" w14:textId="4036A85F"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intéressée : Collectivités territoriale</w:t>
            </w:r>
            <w:r w:rsidR="00014AB9" w:rsidRPr="0097258B">
              <w:rPr>
                <w:rFonts w:ascii="Times New Roman" w:hAnsi="Times New Roman"/>
                <w:color w:val="000000" w:themeColor="text1"/>
                <w:sz w:val="20"/>
                <w:szCs w:val="20"/>
              </w:rPr>
              <w:t>s</w:t>
            </w:r>
            <w:r w:rsidRPr="0097258B">
              <w:rPr>
                <w:rFonts w:ascii="Times New Roman" w:hAnsi="Times New Roman"/>
                <w:color w:val="000000" w:themeColor="text1"/>
                <w:sz w:val="20"/>
                <w:szCs w:val="20"/>
              </w:rPr>
              <w:t>, communauté riveraine, OCB, Société civile</w:t>
            </w:r>
          </w:p>
          <w:p w14:paraId="00439541"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affectée : PAP</w:t>
            </w:r>
          </w:p>
        </w:tc>
        <w:tc>
          <w:tcPr>
            <w:tcW w:w="697" w:type="pct"/>
            <w:vAlign w:val="center"/>
          </w:tcPr>
          <w:p w14:paraId="3BC19F34"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ADM</w:t>
            </w:r>
          </w:p>
          <w:p w14:paraId="0E055766"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Entreprise des travaux</w:t>
            </w:r>
          </w:p>
        </w:tc>
      </w:tr>
      <w:tr w:rsidR="00BD1A2F" w:rsidRPr="009B46E2" w14:paraId="7F527A45" w14:textId="77777777" w:rsidTr="00B3729F">
        <w:tc>
          <w:tcPr>
            <w:tcW w:w="552" w:type="pct"/>
            <w:vMerge/>
            <w:vAlign w:val="center"/>
          </w:tcPr>
          <w:p w14:paraId="7B5EC8B3" w14:textId="77777777" w:rsidR="005F3FB7" w:rsidRPr="0097258B" w:rsidRDefault="005F3FB7" w:rsidP="00E20250">
            <w:pPr>
              <w:spacing w:after="0" w:line="240" w:lineRule="auto"/>
              <w:jc w:val="both"/>
              <w:rPr>
                <w:rFonts w:ascii="Times New Roman" w:hAnsi="Times New Roman"/>
                <w:color w:val="000000" w:themeColor="text1"/>
                <w:sz w:val="20"/>
                <w:szCs w:val="20"/>
              </w:rPr>
            </w:pPr>
          </w:p>
        </w:tc>
        <w:tc>
          <w:tcPr>
            <w:tcW w:w="641" w:type="pct"/>
            <w:vAlign w:val="center"/>
          </w:tcPr>
          <w:p w14:paraId="7E467921" w14:textId="7D860EDD" w:rsidR="005F3FB7" w:rsidRPr="0097258B" w:rsidRDefault="005F3FB7"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Les risques et effets potentiels du projet y compris les A</w:t>
            </w:r>
            <w:r w:rsidR="009D7DDA" w:rsidRPr="0097258B">
              <w:rPr>
                <w:rFonts w:ascii="Times New Roman" w:hAnsi="Times New Roman"/>
                <w:color w:val="000000" w:themeColor="text1"/>
                <w:sz w:val="20"/>
                <w:szCs w:val="20"/>
              </w:rPr>
              <w:t>E</w:t>
            </w:r>
            <w:r w:rsidRPr="0097258B">
              <w:rPr>
                <w:rFonts w:ascii="Times New Roman" w:hAnsi="Times New Roman"/>
                <w:color w:val="000000" w:themeColor="text1"/>
                <w:sz w:val="20"/>
                <w:szCs w:val="20"/>
              </w:rPr>
              <w:t>S, HS sur les communautés locales, et les mesures pour les atténuer</w:t>
            </w:r>
          </w:p>
        </w:tc>
        <w:tc>
          <w:tcPr>
            <w:tcW w:w="1104" w:type="pct"/>
            <w:vAlign w:val="center"/>
          </w:tcPr>
          <w:p w14:paraId="70A1DBCD"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Consultation du public ou focus group au niveau des quartiers</w:t>
            </w:r>
          </w:p>
          <w:p w14:paraId="0C7A2835"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Journaux, la télévision, radios (nationale et communautaire), </w:t>
            </w:r>
          </w:p>
          <w:p w14:paraId="45653FE9"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Les affiches au niveau de la mairie, de la préfecture, des foyers de jeunes et de femmes</w:t>
            </w:r>
          </w:p>
          <w:p w14:paraId="5851B27F"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Site web du projet </w:t>
            </w:r>
          </w:p>
          <w:p w14:paraId="51399EB5" w14:textId="0A7475FE" w:rsidR="005F3FB7" w:rsidRPr="0097258B" w:rsidRDefault="00B3729F"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Les</w:t>
            </w:r>
            <w:r w:rsidR="005F3FB7" w:rsidRPr="0097258B">
              <w:rPr>
                <w:rFonts w:ascii="Times New Roman" w:hAnsi="Times New Roman"/>
                <w:color w:val="000000" w:themeColor="text1"/>
                <w:sz w:val="20"/>
                <w:szCs w:val="20"/>
              </w:rPr>
              <w:t xml:space="preserve"> réseaux sociaux communautaires</w:t>
            </w:r>
          </w:p>
        </w:tc>
        <w:tc>
          <w:tcPr>
            <w:tcW w:w="874" w:type="pct"/>
            <w:vAlign w:val="center"/>
          </w:tcPr>
          <w:p w14:paraId="2A8A672A"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Durant toute la phase de mise en œuvre du PGES</w:t>
            </w:r>
          </w:p>
        </w:tc>
        <w:tc>
          <w:tcPr>
            <w:tcW w:w="1132" w:type="pct"/>
            <w:vAlign w:val="center"/>
          </w:tcPr>
          <w:p w14:paraId="1AA46ED5" w14:textId="22824E8B"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participant à la mise en œuvre du projet : Acteurs gouvernementaux, D</w:t>
            </w:r>
            <w:r w:rsidR="006E0EA3" w:rsidRPr="0097258B">
              <w:rPr>
                <w:rFonts w:ascii="Times New Roman" w:hAnsi="Times New Roman"/>
                <w:color w:val="000000" w:themeColor="text1"/>
                <w:sz w:val="20"/>
                <w:szCs w:val="20"/>
              </w:rPr>
              <w:t>IR</w:t>
            </w:r>
            <w:r w:rsidRPr="0097258B">
              <w:rPr>
                <w:rFonts w:ascii="Times New Roman" w:hAnsi="Times New Roman"/>
                <w:color w:val="000000" w:themeColor="text1"/>
                <w:sz w:val="20"/>
                <w:szCs w:val="20"/>
              </w:rPr>
              <w:t>EC, DPC, etc.</w:t>
            </w:r>
          </w:p>
          <w:p w14:paraId="313C9A2D" w14:textId="20ACA73D"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intéressée : Collectivités territoriale</w:t>
            </w:r>
            <w:r w:rsidR="00014AB9" w:rsidRPr="0097258B">
              <w:rPr>
                <w:rFonts w:ascii="Times New Roman" w:hAnsi="Times New Roman"/>
                <w:color w:val="000000" w:themeColor="text1"/>
                <w:sz w:val="20"/>
                <w:szCs w:val="20"/>
              </w:rPr>
              <w:t>s</w:t>
            </w:r>
            <w:r w:rsidRPr="0097258B">
              <w:rPr>
                <w:rFonts w:ascii="Times New Roman" w:hAnsi="Times New Roman"/>
                <w:color w:val="000000" w:themeColor="text1"/>
                <w:sz w:val="20"/>
                <w:szCs w:val="20"/>
              </w:rPr>
              <w:t>, communauté riveraine, OCB, Société civile</w:t>
            </w:r>
          </w:p>
        </w:tc>
        <w:tc>
          <w:tcPr>
            <w:tcW w:w="697" w:type="pct"/>
            <w:vAlign w:val="center"/>
          </w:tcPr>
          <w:p w14:paraId="7CF37E0B"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ADM</w:t>
            </w:r>
          </w:p>
          <w:p w14:paraId="24377A10"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Entreprise des travaux</w:t>
            </w:r>
          </w:p>
        </w:tc>
      </w:tr>
      <w:tr w:rsidR="00BD1A2F" w:rsidRPr="009B46E2" w14:paraId="189F92AB" w14:textId="77777777" w:rsidTr="00B3729F">
        <w:tc>
          <w:tcPr>
            <w:tcW w:w="552" w:type="pct"/>
            <w:vMerge/>
            <w:vAlign w:val="center"/>
          </w:tcPr>
          <w:p w14:paraId="1A29ADB1" w14:textId="77777777" w:rsidR="005F3FB7" w:rsidRPr="0097258B" w:rsidRDefault="005F3FB7" w:rsidP="00E20250">
            <w:pPr>
              <w:spacing w:after="0" w:line="240" w:lineRule="auto"/>
              <w:jc w:val="both"/>
              <w:rPr>
                <w:rFonts w:ascii="Times New Roman" w:hAnsi="Times New Roman"/>
                <w:color w:val="000000" w:themeColor="text1"/>
                <w:sz w:val="20"/>
                <w:szCs w:val="20"/>
              </w:rPr>
            </w:pPr>
          </w:p>
        </w:tc>
        <w:tc>
          <w:tcPr>
            <w:tcW w:w="641" w:type="pct"/>
            <w:vAlign w:val="center"/>
          </w:tcPr>
          <w:p w14:paraId="4BF92642" w14:textId="77777777" w:rsidR="005F3FB7" w:rsidRPr="0097258B" w:rsidRDefault="005F3FB7"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Mécanisme de gestion des plaintes</w:t>
            </w:r>
          </w:p>
        </w:tc>
        <w:tc>
          <w:tcPr>
            <w:tcW w:w="1104" w:type="pct"/>
            <w:vAlign w:val="center"/>
          </w:tcPr>
          <w:p w14:paraId="303D8C57"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Consultation du public ou focus group</w:t>
            </w:r>
          </w:p>
          <w:p w14:paraId="443DC1B1"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Réunions formelles/atelier de partage</w:t>
            </w:r>
          </w:p>
          <w:p w14:paraId="103C8636"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Communiqué télé et radio (nationale et communautaire) en langue locale (Wolof) sur l’existence du MGP et les méthodes de dépôt de plaintes</w:t>
            </w:r>
          </w:p>
        </w:tc>
        <w:tc>
          <w:tcPr>
            <w:tcW w:w="874" w:type="pct"/>
            <w:vAlign w:val="center"/>
          </w:tcPr>
          <w:p w14:paraId="7CF57019"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Durant toute la phase de mise en œuvre</w:t>
            </w:r>
          </w:p>
        </w:tc>
        <w:tc>
          <w:tcPr>
            <w:tcW w:w="1132" w:type="pct"/>
            <w:vAlign w:val="center"/>
          </w:tcPr>
          <w:p w14:paraId="6EDA6EE8" w14:textId="58095E24"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intéressée : Collectivités territoriale</w:t>
            </w:r>
            <w:r w:rsidR="00014AB9" w:rsidRPr="0097258B">
              <w:rPr>
                <w:rFonts w:ascii="Times New Roman" w:hAnsi="Times New Roman"/>
                <w:color w:val="000000" w:themeColor="text1"/>
                <w:sz w:val="20"/>
                <w:szCs w:val="20"/>
              </w:rPr>
              <w:t>s</w:t>
            </w:r>
            <w:r w:rsidRPr="0097258B">
              <w:rPr>
                <w:rFonts w:ascii="Times New Roman" w:hAnsi="Times New Roman"/>
                <w:color w:val="000000" w:themeColor="text1"/>
                <w:sz w:val="20"/>
                <w:szCs w:val="20"/>
              </w:rPr>
              <w:t>, communauté riveraine, OCB, Société civile</w:t>
            </w:r>
          </w:p>
        </w:tc>
        <w:tc>
          <w:tcPr>
            <w:tcW w:w="697" w:type="pct"/>
            <w:vAlign w:val="center"/>
          </w:tcPr>
          <w:p w14:paraId="4CDDB5FD"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ADM</w:t>
            </w:r>
          </w:p>
          <w:p w14:paraId="709B808D"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Entreprise des travaux</w:t>
            </w:r>
          </w:p>
        </w:tc>
      </w:tr>
      <w:tr w:rsidR="00BD1A2F" w:rsidRPr="009B46E2" w14:paraId="50255891" w14:textId="77777777" w:rsidTr="00B3729F">
        <w:tc>
          <w:tcPr>
            <w:tcW w:w="552" w:type="pct"/>
            <w:vMerge/>
            <w:vAlign w:val="center"/>
          </w:tcPr>
          <w:p w14:paraId="3CCA5DE6" w14:textId="77777777" w:rsidR="005F3FB7" w:rsidRPr="0097258B" w:rsidRDefault="005F3FB7" w:rsidP="00E20250">
            <w:pPr>
              <w:spacing w:after="0" w:line="240" w:lineRule="auto"/>
              <w:jc w:val="both"/>
              <w:rPr>
                <w:rFonts w:ascii="Times New Roman" w:hAnsi="Times New Roman"/>
                <w:color w:val="000000" w:themeColor="text1"/>
                <w:sz w:val="20"/>
                <w:szCs w:val="20"/>
              </w:rPr>
            </w:pPr>
          </w:p>
        </w:tc>
        <w:tc>
          <w:tcPr>
            <w:tcW w:w="641" w:type="pct"/>
            <w:vAlign w:val="center"/>
          </w:tcPr>
          <w:p w14:paraId="3A8107BD" w14:textId="1AF53923" w:rsidR="005F3FB7" w:rsidRPr="0097258B" w:rsidRDefault="005F3FB7" w:rsidP="00E20250">
            <w:pPr>
              <w:autoSpaceDE w:val="0"/>
              <w:autoSpaceDN w:val="0"/>
              <w:adjustRightInd w:val="0"/>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Plan d’action, A</w:t>
            </w:r>
            <w:r w:rsidR="009D7DDA" w:rsidRPr="0097258B">
              <w:rPr>
                <w:rFonts w:ascii="Times New Roman" w:hAnsi="Times New Roman"/>
                <w:color w:val="000000" w:themeColor="text1"/>
                <w:sz w:val="20"/>
                <w:szCs w:val="20"/>
              </w:rPr>
              <w:t>E</w:t>
            </w:r>
            <w:r w:rsidRPr="0097258B">
              <w:rPr>
                <w:rFonts w:ascii="Times New Roman" w:hAnsi="Times New Roman"/>
                <w:color w:val="000000" w:themeColor="text1"/>
                <w:sz w:val="20"/>
                <w:szCs w:val="20"/>
              </w:rPr>
              <w:t>S, HS</w:t>
            </w:r>
          </w:p>
        </w:tc>
        <w:tc>
          <w:tcPr>
            <w:tcW w:w="1104" w:type="pct"/>
            <w:vAlign w:val="center"/>
          </w:tcPr>
          <w:p w14:paraId="0312A692"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Consultation du public ou focus group au niveau des communes </w:t>
            </w:r>
          </w:p>
          <w:p w14:paraId="7D8CD865"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Réunions formelles/atelier de partage avec les organisations de la société civile, les </w:t>
            </w:r>
            <w:proofErr w:type="spellStart"/>
            <w:r w:rsidRPr="0097258B">
              <w:rPr>
                <w:rFonts w:ascii="Times New Roman" w:hAnsi="Times New Roman"/>
                <w:color w:val="000000" w:themeColor="text1"/>
                <w:sz w:val="20"/>
                <w:szCs w:val="20"/>
              </w:rPr>
              <w:t>Bajenu</w:t>
            </w:r>
            <w:proofErr w:type="spellEnd"/>
            <w:r w:rsidRPr="0097258B">
              <w:rPr>
                <w:rFonts w:ascii="Times New Roman" w:hAnsi="Times New Roman"/>
                <w:color w:val="000000" w:themeColor="text1"/>
                <w:sz w:val="20"/>
                <w:szCs w:val="20"/>
              </w:rPr>
              <w:t xml:space="preserve"> Gox (marraines de quartier, les associations de femmes</w:t>
            </w:r>
          </w:p>
        </w:tc>
        <w:tc>
          <w:tcPr>
            <w:tcW w:w="874" w:type="pct"/>
            <w:vAlign w:val="center"/>
          </w:tcPr>
          <w:p w14:paraId="1F56A517"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Durant toute la phase de mise en œuvre</w:t>
            </w:r>
          </w:p>
        </w:tc>
        <w:tc>
          <w:tcPr>
            <w:tcW w:w="1132" w:type="pct"/>
            <w:vAlign w:val="center"/>
          </w:tcPr>
          <w:p w14:paraId="5A081A47" w14:textId="13F51AB2"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intéressée : Collectivités territoriale</w:t>
            </w:r>
            <w:r w:rsidR="00014AB9" w:rsidRPr="0097258B">
              <w:rPr>
                <w:rFonts w:ascii="Times New Roman" w:hAnsi="Times New Roman"/>
                <w:color w:val="000000" w:themeColor="text1"/>
                <w:sz w:val="20"/>
                <w:szCs w:val="20"/>
              </w:rPr>
              <w:t>s</w:t>
            </w:r>
            <w:r w:rsidRPr="0097258B">
              <w:rPr>
                <w:rFonts w:ascii="Times New Roman" w:hAnsi="Times New Roman"/>
                <w:color w:val="000000" w:themeColor="text1"/>
                <w:sz w:val="20"/>
                <w:szCs w:val="20"/>
              </w:rPr>
              <w:t>, communauté riveraine, OCB, Société civile</w:t>
            </w:r>
          </w:p>
          <w:p w14:paraId="03E4F51B" w14:textId="4C8FD0EC"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Personnes vulnérables, associations de femme</w:t>
            </w:r>
            <w:r w:rsidR="00014AB9" w:rsidRPr="0097258B">
              <w:rPr>
                <w:rFonts w:ascii="Times New Roman" w:hAnsi="Times New Roman"/>
                <w:color w:val="000000" w:themeColor="text1"/>
                <w:sz w:val="20"/>
                <w:szCs w:val="20"/>
              </w:rPr>
              <w:t>s</w:t>
            </w:r>
            <w:r w:rsidRPr="0097258B">
              <w:rPr>
                <w:rFonts w:ascii="Times New Roman" w:hAnsi="Times New Roman"/>
                <w:color w:val="000000" w:themeColor="text1"/>
                <w:sz w:val="20"/>
                <w:szCs w:val="20"/>
              </w:rPr>
              <w:t xml:space="preserve">, </w:t>
            </w:r>
            <w:proofErr w:type="spellStart"/>
            <w:r w:rsidRPr="0097258B">
              <w:rPr>
                <w:rFonts w:ascii="Times New Roman" w:hAnsi="Times New Roman"/>
                <w:color w:val="000000" w:themeColor="text1"/>
                <w:sz w:val="20"/>
                <w:szCs w:val="20"/>
              </w:rPr>
              <w:t>Bajenu</w:t>
            </w:r>
            <w:proofErr w:type="spellEnd"/>
            <w:r w:rsidRPr="0097258B">
              <w:rPr>
                <w:rFonts w:ascii="Times New Roman" w:hAnsi="Times New Roman"/>
                <w:color w:val="000000" w:themeColor="text1"/>
                <w:sz w:val="20"/>
                <w:szCs w:val="20"/>
              </w:rPr>
              <w:t xml:space="preserve"> Gox</w:t>
            </w:r>
          </w:p>
        </w:tc>
        <w:tc>
          <w:tcPr>
            <w:tcW w:w="697" w:type="pct"/>
            <w:vAlign w:val="center"/>
          </w:tcPr>
          <w:p w14:paraId="019BC216"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ADM</w:t>
            </w:r>
          </w:p>
          <w:p w14:paraId="4F717F16"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Entreprise des travaux</w:t>
            </w:r>
          </w:p>
        </w:tc>
      </w:tr>
      <w:tr w:rsidR="00BD1A2F" w:rsidRPr="009B46E2" w14:paraId="3D98D609" w14:textId="77777777" w:rsidTr="00B3729F">
        <w:tc>
          <w:tcPr>
            <w:tcW w:w="552" w:type="pct"/>
            <w:vMerge/>
            <w:vAlign w:val="center"/>
          </w:tcPr>
          <w:p w14:paraId="43C3955B" w14:textId="77777777" w:rsidR="005F3FB7" w:rsidRPr="0097258B" w:rsidRDefault="005F3FB7" w:rsidP="00E20250">
            <w:pPr>
              <w:spacing w:after="0" w:line="240" w:lineRule="auto"/>
              <w:jc w:val="both"/>
              <w:rPr>
                <w:rFonts w:ascii="Times New Roman" w:hAnsi="Times New Roman"/>
                <w:color w:val="000000" w:themeColor="text1"/>
                <w:sz w:val="20"/>
                <w:szCs w:val="20"/>
              </w:rPr>
            </w:pPr>
          </w:p>
        </w:tc>
        <w:tc>
          <w:tcPr>
            <w:tcW w:w="641" w:type="pct"/>
            <w:vAlign w:val="center"/>
          </w:tcPr>
          <w:p w14:paraId="4145A65D" w14:textId="4C9DA923" w:rsidR="005F3FB7" w:rsidRPr="0097258B" w:rsidRDefault="005F3FB7" w:rsidP="00E20250">
            <w:pPr>
              <w:autoSpaceDE w:val="0"/>
              <w:autoSpaceDN w:val="0"/>
              <w:adjustRightInd w:val="0"/>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Campagne de sensibilisation sur les aspects A</w:t>
            </w:r>
            <w:r w:rsidR="009D7DDA" w:rsidRPr="0097258B">
              <w:rPr>
                <w:rFonts w:ascii="Times New Roman" w:hAnsi="Times New Roman"/>
                <w:color w:val="000000" w:themeColor="text1"/>
                <w:sz w:val="20"/>
                <w:szCs w:val="20"/>
              </w:rPr>
              <w:t>E</w:t>
            </w:r>
            <w:r w:rsidRPr="0097258B">
              <w:rPr>
                <w:rFonts w:ascii="Times New Roman" w:hAnsi="Times New Roman"/>
                <w:color w:val="000000" w:themeColor="text1"/>
                <w:sz w:val="20"/>
                <w:szCs w:val="20"/>
              </w:rPr>
              <w:t>S, HS</w:t>
            </w:r>
          </w:p>
        </w:tc>
        <w:tc>
          <w:tcPr>
            <w:tcW w:w="1104" w:type="pct"/>
            <w:vAlign w:val="center"/>
          </w:tcPr>
          <w:p w14:paraId="280C239D"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Émission télé et radio (nationale et communautaire) en langue locale (Wolof))</w:t>
            </w:r>
          </w:p>
          <w:p w14:paraId="74BF121A"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Affiche à la Mairie, la Préfecture, aux places publiques et foyers des jeunes et/ou de femmes des localités ciblées</w:t>
            </w:r>
          </w:p>
          <w:p w14:paraId="61266801" w14:textId="576E911C"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Séances de sensibilisation de rappel sur les aspects A</w:t>
            </w:r>
            <w:r w:rsidR="009D7DDA" w:rsidRPr="0097258B">
              <w:rPr>
                <w:rFonts w:ascii="Times New Roman" w:hAnsi="Times New Roman"/>
                <w:color w:val="000000" w:themeColor="text1"/>
                <w:sz w:val="20"/>
                <w:szCs w:val="20"/>
              </w:rPr>
              <w:t>E</w:t>
            </w:r>
            <w:r w:rsidRPr="0097258B">
              <w:rPr>
                <w:rFonts w:ascii="Times New Roman" w:hAnsi="Times New Roman"/>
                <w:color w:val="000000" w:themeColor="text1"/>
                <w:sz w:val="20"/>
                <w:szCs w:val="20"/>
              </w:rPr>
              <w:t>S, HS</w:t>
            </w:r>
          </w:p>
          <w:p w14:paraId="1970D23F"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lastRenderedPageBreak/>
              <w:t>Réunions formelles/atelier de partage avec les organisations de la société civile</w:t>
            </w:r>
          </w:p>
        </w:tc>
        <w:tc>
          <w:tcPr>
            <w:tcW w:w="874" w:type="pct"/>
            <w:vAlign w:val="center"/>
          </w:tcPr>
          <w:p w14:paraId="183E733C"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lastRenderedPageBreak/>
              <w:t>Durant toute la phase de mise en œuvre</w:t>
            </w:r>
          </w:p>
        </w:tc>
        <w:tc>
          <w:tcPr>
            <w:tcW w:w="1132" w:type="pct"/>
            <w:vAlign w:val="center"/>
          </w:tcPr>
          <w:p w14:paraId="2ED78F0D" w14:textId="01388166"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intéressée : Collectivités territoriale</w:t>
            </w:r>
            <w:r w:rsidR="00014AB9" w:rsidRPr="0097258B">
              <w:rPr>
                <w:rFonts w:ascii="Times New Roman" w:hAnsi="Times New Roman"/>
                <w:color w:val="000000" w:themeColor="text1"/>
                <w:sz w:val="20"/>
                <w:szCs w:val="20"/>
              </w:rPr>
              <w:t>s</w:t>
            </w:r>
            <w:r w:rsidRPr="0097258B">
              <w:rPr>
                <w:rFonts w:ascii="Times New Roman" w:hAnsi="Times New Roman"/>
                <w:color w:val="000000" w:themeColor="text1"/>
                <w:sz w:val="20"/>
                <w:szCs w:val="20"/>
              </w:rPr>
              <w:t>, communauté riveraine, OCB, Société civile</w:t>
            </w:r>
          </w:p>
          <w:p w14:paraId="1E97BFCA"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Personnes vulnérables</w:t>
            </w:r>
          </w:p>
          <w:p w14:paraId="3EA56899"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Association de femmes</w:t>
            </w:r>
          </w:p>
        </w:tc>
        <w:tc>
          <w:tcPr>
            <w:tcW w:w="697" w:type="pct"/>
            <w:vAlign w:val="center"/>
          </w:tcPr>
          <w:p w14:paraId="6AAA829B"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ADM</w:t>
            </w:r>
          </w:p>
          <w:p w14:paraId="2A616A06"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Entreprise des travaux</w:t>
            </w:r>
          </w:p>
          <w:p w14:paraId="762D295D"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Consultant spécialiste en Intermédiation Sociale et Genre </w:t>
            </w:r>
          </w:p>
        </w:tc>
      </w:tr>
      <w:tr w:rsidR="00BD1A2F" w:rsidRPr="009B46E2" w14:paraId="55774F67" w14:textId="77777777" w:rsidTr="00B3729F">
        <w:tc>
          <w:tcPr>
            <w:tcW w:w="552" w:type="pct"/>
            <w:vAlign w:val="center"/>
          </w:tcPr>
          <w:p w14:paraId="2B57FDD9" w14:textId="77777777" w:rsidR="005F3FB7" w:rsidRPr="0097258B" w:rsidRDefault="005F3FB7"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Suivi environnemental</w:t>
            </w:r>
          </w:p>
        </w:tc>
        <w:tc>
          <w:tcPr>
            <w:tcW w:w="641" w:type="pct"/>
            <w:vAlign w:val="center"/>
          </w:tcPr>
          <w:p w14:paraId="69B23ADB" w14:textId="77777777" w:rsidR="005F3FB7" w:rsidRPr="0097258B" w:rsidRDefault="005F3FB7"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Performance environnementale et sociale</w:t>
            </w:r>
          </w:p>
        </w:tc>
        <w:tc>
          <w:tcPr>
            <w:tcW w:w="1104" w:type="pct"/>
            <w:vAlign w:val="center"/>
          </w:tcPr>
          <w:p w14:paraId="7588D945"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Réunion formelle</w:t>
            </w:r>
          </w:p>
        </w:tc>
        <w:tc>
          <w:tcPr>
            <w:tcW w:w="874" w:type="pct"/>
            <w:vAlign w:val="center"/>
          </w:tcPr>
          <w:p w14:paraId="1E04139F"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Durant toute la phase de mise en œuvre</w:t>
            </w:r>
          </w:p>
        </w:tc>
        <w:tc>
          <w:tcPr>
            <w:tcW w:w="1132" w:type="pct"/>
            <w:vAlign w:val="center"/>
          </w:tcPr>
          <w:p w14:paraId="1D716F70" w14:textId="12EA97DA"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participant à la mise en œuvre du projet : Acteurs gouvernementaux, D</w:t>
            </w:r>
            <w:r w:rsidR="006E0EA3" w:rsidRPr="0097258B">
              <w:rPr>
                <w:rFonts w:ascii="Times New Roman" w:hAnsi="Times New Roman"/>
                <w:color w:val="000000" w:themeColor="text1"/>
                <w:sz w:val="20"/>
                <w:szCs w:val="20"/>
              </w:rPr>
              <w:t>IR</w:t>
            </w:r>
            <w:r w:rsidRPr="0097258B">
              <w:rPr>
                <w:rFonts w:ascii="Times New Roman" w:hAnsi="Times New Roman"/>
                <w:color w:val="000000" w:themeColor="text1"/>
                <w:sz w:val="20"/>
                <w:szCs w:val="20"/>
              </w:rPr>
              <w:t>EC, DPC, etc.</w:t>
            </w:r>
          </w:p>
          <w:p w14:paraId="23CCE9C4" w14:textId="032E8CA8"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intéressée : Collectivités territoriale</w:t>
            </w:r>
            <w:r w:rsidR="00014AB9" w:rsidRPr="0097258B">
              <w:rPr>
                <w:rFonts w:ascii="Times New Roman" w:hAnsi="Times New Roman"/>
                <w:color w:val="000000" w:themeColor="text1"/>
                <w:sz w:val="20"/>
                <w:szCs w:val="20"/>
              </w:rPr>
              <w:t>s</w:t>
            </w:r>
            <w:r w:rsidRPr="0097258B">
              <w:rPr>
                <w:rFonts w:ascii="Times New Roman" w:hAnsi="Times New Roman"/>
                <w:color w:val="000000" w:themeColor="text1"/>
                <w:sz w:val="20"/>
                <w:szCs w:val="20"/>
              </w:rPr>
              <w:t>, communauté riveraine, OCB, Société civile</w:t>
            </w:r>
          </w:p>
        </w:tc>
        <w:tc>
          <w:tcPr>
            <w:tcW w:w="697" w:type="pct"/>
            <w:vAlign w:val="center"/>
          </w:tcPr>
          <w:p w14:paraId="0730C206"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ADM</w:t>
            </w:r>
          </w:p>
          <w:p w14:paraId="74900E08" w14:textId="79F01FFD"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D</w:t>
            </w:r>
            <w:r w:rsidR="006E0EA3" w:rsidRPr="0097258B">
              <w:rPr>
                <w:rFonts w:ascii="Times New Roman" w:hAnsi="Times New Roman"/>
                <w:color w:val="000000" w:themeColor="text1"/>
                <w:sz w:val="20"/>
                <w:szCs w:val="20"/>
              </w:rPr>
              <w:t>IR</w:t>
            </w:r>
            <w:r w:rsidRPr="0097258B">
              <w:rPr>
                <w:rFonts w:ascii="Times New Roman" w:hAnsi="Times New Roman"/>
                <w:color w:val="000000" w:themeColor="text1"/>
                <w:sz w:val="20"/>
                <w:szCs w:val="20"/>
              </w:rPr>
              <w:t>EC/CRSE</w:t>
            </w:r>
          </w:p>
        </w:tc>
      </w:tr>
      <w:tr w:rsidR="00BD1A2F" w:rsidRPr="009B46E2" w14:paraId="5CF59FEC" w14:textId="77777777" w:rsidTr="00B3729F">
        <w:tc>
          <w:tcPr>
            <w:tcW w:w="552" w:type="pct"/>
            <w:vMerge w:val="restart"/>
            <w:vAlign w:val="center"/>
          </w:tcPr>
          <w:p w14:paraId="5D2DFE0E" w14:textId="77777777" w:rsidR="005F3FB7" w:rsidRPr="0097258B" w:rsidRDefault="005F3FB7"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Mise en œuvre des travaux</w:t>
            </w:r>
          </w:p>
        </w:tc>
        <w:tc>
          <w:tcPr>
            <w:tcW w:w="641" w:type="pct"/>
            <w:vAlign w:val="center"/>
          </w:tcPr>
          <w:p w14:paraId="48783E8B" w14:textId="77777777" w:rsidR="005F3FB7" w:rsidRPr="0097258B" w:rsidRDefault="005F3FB7"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Planning de construction</w:t>
            </w:r>
          </w:p>
        </w:tc>
        <w:tc>
          <w:tcPr>
            <w:tcW w:w="1104" w:type="pct"/>
            <w:vAlign w:val="center"/>
          </w:tcPr>
          <w:p w14:paraId="48044412"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Affiche au niveau de la Mairie et de la préfecture</w:t>
            </w:r>
          </w:p>
          <w:p w14:paraId="66B43DC1"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Réunion de partage avec les communes concernées</w:t>
            </w:r>
          </w:p>
          <w:p w14:paraId="2BB1FF70"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Consultation publique au niveau des zones de travaux</w:t>
            </w:r>
          </w:p>
        </w:tc>
        <w:tc>
          <w:tcPr>
            <w:tcW w:w="874" w:type="pct"/>
            <w:vAlign w:val="center"/>
          </w:tcPr>
          <w:p w14:paraId="66A13BDC"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Avant le démarrage des travaux</w:t>
            </w:r>
          </w:p>
        </w:tc>
        <w:tc>
          <w:tcPr>
            <w:tcW w:w="1132" w:type="pct"/>
            <w:vAlign w:val="center"/>
          </w:tcPr>
          <w:p w14:paraId="52824E66"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participant à la mise en œuvre du projet : Entreprise, MDC Acteurs gouvernementaux, CRSE, ADM</w:t>
            </w:r>
          </w:p>
          <w:p w14:paraId="6C0672F9" w14:textId="15F37452"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intéressée : Collectivités territoriale</w:t>
            </w:r>
            <w:r w:rsidR="00014AB9" w:rsidRPr="0097258B">
              <w:rPr>
                <w:rFonts w:ascii="Times New Roman" w:hAnsi="Times New Roman"/>
                <w:color w:val="000000" w:themeColor="text1"/>
                <w:sz w:val="20"/>
                <w:szCs w:val="20"/>
              </w:rPr>
              <w:t>s</w:t>
            </w:r>
            <w:r w:rsidRPr="0097258B">
              <w:rPr>
                <w:rFonts w:ascii="Times New Roman" w:hAnsi="Times New Roman"/>
                <w:color w:val="000000" w:themeColor="text1"/>
                <w:sz w:val="20"/>
                <w:szCs w:val="20"/>
              </w:rPr>
              <w:t>, communauté riveraine, OCB, Société civile</w:t>
            </w:r>
          </w:p>
        </w:tc>
        <w:tc>
          <w:tcPr>
            <w:tcW w:w="697" w:type="pct"/>
            <w:vAlign w:val="center"/>
          </w:tcPr>
          <w:p w14:paraId="4E75A514"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ADM</w:t>
            </w:r>
          </w:p>
          <w:p w14:paraId="124ADC64"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Entreprises en charge des travaux</w:t>
            </w:r>
          </w:p>
        </w:tc>
      </w:tr>
      <w:tr w:rsidR="00BD1A2F" w:rsidRPr="009B46E2" w14:paraId="573DB309" w14:textId="77777777" w:rsidTr="00B3729F">
        <w:tc>
          <w:tcPr>
            <w:tcW w:w="552" w:type="pct"/>
            <w:vMerge/>
            <w:vAlign w:val="center"/>
          </w:tcPr>
          <w:p w14:paraId="56051865" w14:textId="77777777" w:rsidR="005F3FB7" w:rsidRPr="0097258B" w:rsidRDefault="005F3FB7" w:rsidP="00E20250">
            <w:pPr>
              <w:spacing w:after="0" w:line="240" w:lineRule="auto"/>
              <w:jc w:val="both"/>
              <w:rPr>
                <w:rFonts w:ascii="Times New Roman" w:hAnsi="Times New Roman"/>
                <w:color w:val="000000" w:themeColor="text1"/>
                <w:sz w:val="20"/>
                <w:szCs w:val="20"/>
              </w:rPr>
            </w:pPr>
          </w:p>
        </w:tc>
        <w:tc>
          <w:tcPr>
            <w:tcW w:w="641" w:type="pct"/>
            <w:vAlign w:val="center"/>
          </w:tcPr>
          <w:p w14:paraId="1C85B79B" w14:textId="77777777" w:rsidR="005F3FB7" w:rsidRPr="0097258B" w:rsidRDefault="005F3FB7"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Opportunités d’emplois et méthode de candidature</w:t>
            </w:r>
          </w:p>
        </w:tc>
        <w:tc>
          <w:tcPr>
            <w:tcW w:w="1104" w:type="pct"/>
            <w:vAlign w:val="center"/>
          </w:tcPr>
          <w:p w14:paraId="50E171C6"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Affiche des opportunités d’emplois au niveau de la Marie et de la préfecture</w:t>
            </w:r>
          </w:p>
          <w:p w14:paraId="73D6A92B"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Communiqué radio et télé</w:t>
            </w:r>
          </w:p>
          <w:p w14:paraId="0D24DA93"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Site web du projet</w:t>
            </w:r>
          </w:p>
        </w:tc>
        <w:tc>
          <w:tcPr>
            <w:tcW w:w="874" w:type="pct"/>
            <w:vAlign w:val="center"/>
          </w:tcPr>
          <w:p w14:paraId="59E1E7EE"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Trois mois avant le démarrage des travaux à travers des communiqués hebdomadaires, des affiches</w:t>
            </w:r>
          </w:p>
        </w:tc>
        <w:tc>
          <w:tcPr>
            <w:tcW w:w="1132" w:type="pct"/>
            <w:vAlign w:val="center"/>
          </w:tcPr>
          <w:p w14:paraId="4A8B8DF2" w14:textId="4B9C9192"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intéressée : Collectivités territoriale</w:t>
            </w:r>
            <w:r w:rsidR="00014AB9" w:rsidRPr="0097258B">
              <w:rPr>
                <w:rFonts w:ascii="Times New Roman" w:hAnsi="Times New Roman"/>
                <w:color w:val="000000" w:themeColor="text1"/>
                <w:sz w:val="20"/>
                <w:szCs w:val="20"/>
              </w:rPr>
              <w:t>s</w:t>
            </w:r>
            <w:r w:rsidRPr="0097258B">
              <w:rPr>
                <w:rFonts w:ascii="Times New Roman" w:hAnsi="Times New Roman"/>
                <w:color w:val="000000" w:themeColor="text1"/>
                <w:sz w:val="20"/>
                <w:szCs w:val="20"/>
              </w:rPr>
              <w:t>, communauté riveraine, OCB, Société civile</w:t>
            </w:r>
          </w:p>
        </w:tc>
        <w:tc>
          <w:tcPr>
            <w:tcW w:w="697" w:type="pct"/>
            <w:vAlign w:val="center"/>
          </w:tcPr>
          <w:p w14:paraId="66D159C0"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ADM</w:t>
            </w:r>
          </w:p>
          <w:p w14:paraId="086CF69E"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Entreprises</w:t>
            </w:r>
          </w:p>
        </w:tc>
      </w:tr>
      <w:tr w:rsidR="00BD1A2F" w:rsidRPr="009B46E2" w14:paraId="4F83F2AA" w14:textId="77777777" w:rsidTr="00B3729F">
        <w:tc>
          <w:tcPr>
            <w:tcW w:w="552" w:type="pct"/>
            <w:vMerge/>
            <w:vAlign w:val="center"/>
          </w:tcPr>
          <w:p w14:paraId="750A3D7A" w14:textId="77777777" w:rsidR="005F3FB7" w:rsidRPr="0097258B" w:rsidRDefault="005F3FB7" w:rsidP="00E20250">
            <w:pPr>
              <w:spacing w:after="0" w:line="240" w:lineRule="auto"/>
              <w:jc w:val="both"/>
              <w:rPr>
                <w:rFonts w:ascii="Times New Roman" w:hAnsi="Times New Roman"/>
                <w:color w:val="000000" w:themeColor="text1"/>
                <w:sz w:val="20"/>
                <w:szCs w:val="20"/>
              </w:rPr>
            </w:pPr>
          </w:p>
        </w:tc>
        <w:tc>
          <w:tcPr>
            <w:tcW w:w="641" w:type="pct"/>
            <w:vAlign w:val="center"/>
          </w:tcPr>
          <w:p w14:paraId="24E57007" w14:textId="77777777" w:rsidR="005F3FB7" w:rsidRPr="0097258B" w:rsidRDefault="005F3FB7"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Information sur les emprises des travaux</w:t>
            </w:r>
          </w:p>
        </w:tc>
        <w:tc>
          <w:tcPr>
            <w:tcW w:w="1104" w:type="pct"/>
            <w:vAlign w:val="center"/>
          </w:tcPr>
          <w:p w14:paraId="11077604"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Affiche au niveau de la mairie et de la préfecture</w:t>
            </w:r>
          </w:p>
          <w:p w14:paraId="66473724"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Réunions formelles</w:t>
            </w:r>
          </w:p>
          <w:p w14:paraId="551B490D"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Visite de site</w:t>
            </w:r>
          </w:p>
        </w:tc>
        <w:tc>
          <w:tcPr>
            <w:tcW w:w="874" w:type="pct"/>
            <w:vAlign w:val="center"/>
          </w:tcPr>
          <w:p w14:paraId="12CE63EC"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Avant le démarrage des travaux</w:t>
            </w:r>
          </w:p>
        </w:tc>
        <w:tc>
          <w:tcPr>
            <w:tcW w:w="1132" w:type="pct"/>
            <w:vAlign w:val="center"/>
          </w:tcPr>
          <w:p w14:paraId="12DC134D"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participant à la mise en œuvre du projet : Entreprise, MDC Acteurs gouvernementaux, CRSE, ADM Parties prenantes intéressées : Collectivités territoriales, communautés riveraines, OCB, Société civile</w:t>
            </w:r>
          </w:p>
        </w:tc>
        <w:tc>
          <w:tcPr>
            <w:tcW w:w="697" w:type="pct"/>
            <w:vAlign w:val="center"/>
          </w:tcPr>
          <w:p w14:paraId="1FDD3E27"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ADM</w:t>
            </w:r>
          </w:p>
          <w:p w14:paraId="05A61518"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Entreprises en charge des travaux</w:t>
            </w:r>
          </w:p>
        </w:tc>
      </w:tr>
      <w:tr w:rsidR="00BD1A2F" w:rsidRPr="009B46E2" w14:paraId="40A2EA39" w14:textId="77777777" w:rsidTr="00B3729F">
        <w:tc>
          <w:tcPr>
            <w:tcW w:w="552" w:type="pct"/>
            <w:vMerge/>
            <w:vAlign w:val="center"/>
          </w:tcPr>
          <w:p w14:paraId="14013F66" w14:textId="77777777" w:rsidR="005F3FB7" w:rsidRPr="0097258B" w:rsidRDefault="005F3FB7" w:rsidP="00E20250">
            <w:pPr>
              <w:spacing w:after="0" w:line="240" w:lineRule="auto"/>
              <w:jc w:val="both"/>
              <w:rPr>
                <w:rFonts w:ascii="Times New Roman" w:hAnsi="Times New Roman"/>
                <w:color w:val="000000" w:themeColor="text1"/>
                <w:sz w:val="20"/>
                <w:szCs w:val="20"/>
              </w:rPr>
            </w:pPr>
          </w:p>
        </w:tc>
        <w:tc>
          <w:tcPr>
            <w:tcW w:w="641" w:type="pct"/>
            <w:vAlign w:val="center"/>
          </w:tcPr>
          <w:p w14:paraId="0EE9E527" w14:textId="47C1C081" w:rsidR="005F3FB7" w:rsidRPr="0097258B" w:rsidRDefault="005F3FB7"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Les risques et effets potentiels du projet y compris l’A</w:t>
            </w:r>
            <w:r w:rsidR="009D7DDA" w:rsidRPr="0097258B">
              <w:rPr>
                <w:rFonts w:ascii="Times New Roman" w:hAnsi="Times New Roman"/>
                <w:color w:val="000000" w:themeColor="text1"/>
                <w:sz w:val="20"/>
                <w:szCs w:val="20"/>
              </w:rPr>
              <w:t>E</w:t>
            </w:r>
            <w:r w:rsidRPr="0097258B">
              <w:rPr>
                <w:rFonts w:ascii="Times New Roman" w:hAnsi="Times New Roman"/>
                <w:color w:val="000000" w:themeColor="text1"/>
                <w:sz w:val="20"/>
                <w:szCs w:val="20"/>
              </w:rPr>
              <w:t>S, HS sur les communautés locales, et les mesures pour les atténuer</w:t>
            </w:r>
          </w:p>
        </w:tc>
        <w:tc>
          <w:tcPr>
            <w:tcW w:w="1104" w:type="pct"/>
            <w:vAlign w:val="center"/>
          </w:tcPr>
          <w:p w14:paraId="3E08CC61"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Consultation du public ou focus group</w:t>
            </w:r>
          </w:p>
          <w:p w14:paraId="72957C74"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Communiqué télé et radio (nationale et communautaire) en langue locale (Wolof)</w:t>
            </w:r>
          </w:p>
          <w:p w14:paraId="6BD45876"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Les affiches </w:t>
            </w:r>
          </w:p>
          <w:p w14:paraId="4C529D7A"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lastRenderedPageBreak/>
              <w:t xml:space="preserve">Site web du projet </w:t>
            </w:r>
          </w:p>
          <w:p w14:paraId="18703FD8"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Les réseaux sociaux</w:t>
            </w:r>
          </w:p>
        </w:tc>
        <w:tc>
          <w:tcPr>
            <w:tcW w:w="874" w:type="pct"/>
            <w:vAlign w:val="center"/>
          </w:tcPr>
          <w:p w14:paraId="254DF1E0"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lastRenderedPageBreak/>
              <w:t>Durant toute la phase de construction</w:t>
            </w:r>
          </w:p>
        </w:tc>
        <w:tc>
          <w:tcPr>
            <w:tcW w:w="1132" w:type="pct"/>
            <w:vAlign w:val="center"/>
          </w:tcPr>
          <w:p w14:paraId="3A44DEE4" w14:textId="2CC089AC"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 prenante participant à la mise en œuvre du projet : Entreprise, MDC, Acteurs gouvernementaux, D</w:t>
            </w:r>
            <w:r w:rsidR="006E0EA3" w:rsidRPr="0097258B">
              <w:rPr>
                <w:rFonts w:ascii="Times New Roman" w:hAnsi="Times New Roman"/>
                <w:color w:val="000000" w:themeColor="text1"/>
                <w:sz w:val="20"/>
                <w:szCs w:val="20"/>
              </w:rPr>
              <w:t>IR</w:t>
            </w:r>
            <w:r w:rsidRPr="0097258B">
              <w:rPr>
                <w:rFonts w:ascii="Times New Roman" w:hAnsi="Times New Roman"/>
                <w:color w:val="000000" w:themeColor="text1"/>
                <w:sz w:val="20"/>
                <w:szCs w:val="20"/>
              </w:rPr>
              <w:t>EC, DPC, DPGI, PROMOGED, UCG, etc.</w:t>
            </w:r>
          </w:p>
          <w:p w14:paraId="7F27935C" w14:textId="77777777" w:rsidR="005F3FB7" w:rsidRPr="0097258B" w:rsidRDefault="005F3FB7" w:rsidP="00E20250">
            <w:pPr>
              <w:spacing w:after="0" w:line="240" w:lineRule="auto"/>
              <w:ind w:left="360"/>
              <w:contextualSpacing/>
              <w:jc w:val="both"/>
              <w:rPr>
                <w:rFonts w:ascii="Times New Roman" w:hAnsi="Times New Roman"/>
                <w:color w:val="000000" w:themeColor="text1"/>
                <w:sz w:val="20"/>
                <w:szCs w:val="20"/>
              </w:rPr>
            </w:pPr>
          </w:p>
          <w:p w14:paraId="2C4D3C04"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lastRenderedPageBreak/>
              <w:t>Parties prenantes intéressées : Collectivités territoriales, communautés riveraines, OCB, Société civile</w:t>
            </w:r>
          </w:p>
          <w:p w14:paraId="2A042837"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p>
        </w:tc>
        <w:tc>
          <w:tcPr>
            <w:tcW w:w="697" w:type="pct"/>
            <w:vAlign w:val="center"/>
          </w:tcPr>
          <w:p w14:paraId="7C8799BF"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lastRenderedPageBreak/>
              <w:t>ADM</w:t>
            </w:r>
          </w:p>
          <w:p w14:paraId="7922376F"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Entreprises en charge des travaux</w:t>
            </w:r>
          </w:p>
          <w:p w14:paraId="30B591B0"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Bureau de contrôle</w:t>
            </w:r>
          </w:p>
        </w:tc>
      </w:tr>
      <w:tr w:rsidR="00BD1A2F" w:rsidRPr="009B46E2" w14:paraId="5BF43E09" w14:textId="77777777" w:rsidTr="00B3729F">
        <w:tc>
          <w:tcPr>
            <w:tcW w:w="552" w:type="pct"/>
            <w:vMerge/>
            <w:vAlign w:val="center"/>
          </w:tcPr>
          <w:p w14:paraId="45006C04" w14:textId="77777777" w:rsidR="005F3FB7" w:rsidRPr="0097258B" w:rsidRDefault="005F3FB7" w:rsidP="00E20250">
            <w:pPr>
              <w:spacing w:after="0" w:line="240" w:lineRule="auto"/>
              <w:jc w:val="both"/>
              <w:rPr>
                <w:rFonts w:ascii="Times New Roman" w:hAnsi="Times New Roman"/>
                <w:color w:val="000000" w:themeColor="text1"/>
                <w:sz w:val="20"/>
                <w:szCs w:val="20"/>
              </w:rPr>
            </w:pPr>
          </w:p>
        </w:tc>
        <w:tc>
          <w:tcPr>
            <w:tcW w:w="641" w:type="pct"/>
            <w:vAlign w:val="center"/>
          </w:tcPr>
          <w:p w14:paraId="3C3CB117" w14:textId="77777777" w:rsidR="005F3FB7" w:rsidRPr="0097258B" w:rsidRDefault="005F3FB7"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Gestion de la main-d’œuvre code de bonne conduite</w:t>
            </w:r>
          </w:p>
        </w:tc>
        <w:tc>
          <w:tcPr>
            <w:tcW w:w="1104" w:type="pct"/>
            <w:vAlign w:val="center"/>
          </w:tcPr>
          <w:p w14:paraId="7F629ED0"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Réunion de partage</w:t>
            </w:r>
          </w:p>
          <w:p w14:paraId="05737B24"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Atelier de formation</w:t>
            </w:r>
          </w:p>
          <w:p w14:paraId="3A47C502"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proofErr w:type="gramStart"/>
            <w:r w:rsidRPr="0097258B">
              <w:rPr>
                <w:rFonts w:ascii="Times New Roman" w:hAnsi="Times New Roman"/>
                <w:color w:val="000000" w:themeColor="text1"/>
                <w:sz w:val="20"/>
                <w:szCs w:val="20"/>
              </w:rPr>
              <w:t>¼</w:t>
            </w:r>
            <w:proofErr w:type="gramEnd"/>
            <w:r w:rsidRPr="0097258B">
              <w:rPr>
                <w:rFonts w:ascii="Times New Roman" w:hAnsi="Times New Roman"/>
                <w:color w:val="000000" w:themeColor="text1"/>
                <w:sz w:val="20"/>
                <w:szCs w:val="20"/>
              </w:rPr>
              <w:t xml:space="preserve"> d’heure de sécurité</w:t>
            </w:r>
          </w:p>
        </w:tc>
        <w:tc>
          <w:tcPr>
            <w:tcW w:w="874" w:type="pct"/>
            <w:vAlign w:val="center"/>
          </w:tcPr>
          <w:p w14:paraId="6E5DA8A7"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Durant les travaux</w:t>
            </w:r>
          </w:p>
        </w:tc>
        <w:tc>
          <w:tcPr>
            <w:tcW w:w="1132" w:type="pct"/>
            <w:vAlign w:val="center"/>
          </w:tcPr>
          <w:p w14:paraId="1A1C0116"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Personnel de l’entreprise</w:t>
            </w:r>
          </w:p>
          <w:p w14:paraId="3F626A8E"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Bureau de contrôle</w:t>
            </w:r>
          </w:p>
        </w:tc>
        <w:tc>
          <w:tcPr>
            <w:tcW w:w="697" w:type="pct"/>
            <w:vAlign w:val="center"/>
          </w:tcPr>
          <w:p w14:paraId="3D9EA0F4"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ADM</w:t>
            </w:r>
          </w:p>
          <w:p w14:paraId="0991828A"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Entreprises des travaux</w:t>
            </w:r>
          </w:p>
          <w:p w14:paraId="2E49B011"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Bureau de contrôle</w:t>
            </w:r>
          </w:p>
        </w:tc>
      </w:tr>
      <w:tr w:rsidR="00BD1A2F" w:rsidRPr="009B46E2" w14:paraId="56001171" w14:textId="77777777" w:rsidTr="00B3729F">
        <w:tc>
          <w:tcPr>
            <w:tcW w:w="552" w:type="pct"/>
            <w:vMerge/>
            <w:vAlign w:val="center"/>
          </w:tcPr>
          <w:p w14:paraId="43FCD282" w14:textId="77777777" w:rsidR="005F3FB7" w:rsidRPr="0097258B" w:rsidRDefault="005F3FB7" w:rsidP="00E20250">
            <w:pPr>
              <w:spacing w:after="0" w:line="240" w:lineRule="auto"/>
              <w:jc w:val="both"/>
              <w:rPr>
                <w:rFonts w:ascii="Times New Roman" w:hAnsi="Times New Roman"/>
                <w:color w:val="000000" w:themeColor="text1"/>
                <w:sz w:val="20"/>
                <w:szCs w:val="20"/>
              </w:rPr>
            </w:pPr>
          </w:p>
        </w:tc>
        <w:tc>
          <w:tcPr>
            <w:tcW w:w="641" w:type="pct"/>
            <w:vAlign w:val="center"/>
          </w:tcPr>
          <w:p w14:paraId="5524AD00" w14:textId="77777777" w:rsidR="005F3FB7" w:rsidRPr="0097258B" w:rsidRDefault="005F3FB7"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Enjeux environnementaux et sociaux des activités du PROGEP : hygiène, sécurité, violences sexuelles ; travail des enfants lors des travaux ; gestion des déchets</w:t>
            </w:r>
          </w:p>
        </w:tc>
        <w:tc>
          <w:tcPr>
            <w:tcW w:w="1104" w:type="pct"/>
            <w:vAlign w:val="center"/>
          </w:tcPr>
          <w:p w14:paraId="7B0DC8CA"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Communiqué télé et radio (nationale et communautaire) en langue locale (Wolof)</w:t>
            </w:r>
          </w:p>
          <w:p w14:paraId="5ADCEDE2"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Les affiches </w:t>
            </w:r>
          </w:p>
          <w:p w14:paraId="689EE4B8"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Site web du projet</w:t>
            </w:r>
          </w:p>
          <w:p w14:paraId="32B95D15"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Les médias sociaux</w:t>
            </w:r>
          </w:p>
          <w:p w14:paraId="0C34BA3C"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Consultation du public ou focus group</w:t>
            </w:r>
          </w:p>
          <w:p w14:paraId="5DD94DD6"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Correspondance et</w:t>
            </w:r>
          </w:p>
          <w:p w14:paraId="748BF3DD"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Réunions officielles</w:t>
            </w:r>
          </w:p>
          <w:p w14:paraId="38175F6B"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Brochures et dépliants</w:t>
            </w:r>
          </w:p>
          <w:p w14:paraId="73B468B4"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proofErr w:type="gramStart"/>
            <w:r w:rsidRPr="0097258B">
              <w:rPr>
                <w:rFonts w:ascii="Times New Roman" w:hAnsi="Times New Roman"/>
                <w:color w:val="000000" w:themeColor="text1"/>
                <w:sz w:val="20"/>
                <w:szCs w:val="20"/>
              </w:rPr>
              <w:t>¼</w:t>
            </w:r>
            <w:proofErr w:type="gramEnd"/>
            <w:r w:rsidRPr="0097258B">
              <w:rPr>
                <w:rFonts w:ascii="Times New Roman" w:hAnsi="Times New Roman"/>
                <w:color w:val="000000" w:themeColor="text1"/>
                <w:sz w:val="20"/>
                <w:szCs w:val="20"/>
              </w:rPr>
              <w:t xml:space="preserve"> d’heure de sécurité</w:t>
            </w:r>
          </w:p>
        </w:tc>
        <w:tc>
          <w:tcPr>
            <w:tcW w:w="874" w:type="pct"/>
            <w:vAlign w:val="center"/>
          </w:tcPr>
          <w:p w14:paraId="6B21C39D"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Durant toute la phase de construction</w:t>
            </w:r>
          </w:p>
        </w:tc>
        <w:tc>
          <w:tcPr>
            <w:tcW w:w="1132" w:type="pct"/>
            <w:vAlign w:val="center"/>
          </w:tcPr>
          <w:p w14:paraId="095A528D" w14:textId="5037EDED"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Parties prenantes participant à la mise en œuvre du projet : Entreprise, MDC, Acteurs gouvernementaux, D</w:t>
            </w:r>
            <w:r w:rsidR="006E0EA3" w:rsidRPr="0097258B">
              <w:rPr>
                <w:rFonts w:ascii="Times New Roman" w:hAnsi="Times New Roman"/>
                <w:color w:val="000000" w:themeColor="text1"/>
                <w:sz w:val="20"/>
                <w:szCs w:val="20"/>
              </w:rPr>
              <w:t>IR</w:t>
            </w:r>
            <w:r w:rsidRPr="0097258B">
              <w:rPr>
                <w:rFonts w:ascii="Times New Roman" w:hAnsi="Times New Roman"/>
                <w:color w:val="000000" w:themeColor="text1"/>
                <w:sz w:val="20"/>
                <w:szCs w:val="20"/>
              </w:rPr>
              <w:t>EC, DPC, DPGI, PROMOGED, UCG, etc.</w:t>
            </w:r>
          </w:p>
          <w:p w14:paraId="691DB014"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Parties prenantes intéressées : Collectivités territoriales, communautés riveraines, OCB, Société civile</w:t>
            </w:r>
          </w:p>
        </w:tc>
        <w:tc>
          <w:tcPr>
            <w:tcW w:w="697" w:type="pct"/>
            <w:vAlign w:val="center"/>
          </w:tcPr>
          <w:p w14:paraId="32F8ECB2"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ADM</w:t>
            </w:r>
          </w:p>
          <w:p w14:paraId="129D450E"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Entreprises des travaux</w:t>
            </w:r>
          </w:p>
          <w:p w14:paraId="366EDC24"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Bureau de contrôle</w:t>
            </w:r>
          </w:p>
        </w:tc>
      </w:tr>
      <w:tr w:rsidR="00BD1A2F" w:rsidRPr="009B46E2" w14:paraId="21EF4E42" w14:textId="77777777" w:rsidTr="00B3729F">
        <w:tc>
          <w:tcPr>
            <w:tcW w:w="552" w:type="pct"/>
            <w:vMerge/>
            <w:vAlign w:val="center"/>
          </w:tcPr>
          <w:p w14:paraId="5BA9F703" w14:textId="77777777" w:rsidR="005F3FB7" w:rsidRPr="0097258B" w:rsidRDefault="005F3FB7" w:rsidP="00E20250">
            <w:pPr>
              <w:spacing w:after="0" w:line="240" w:lineRule="auto"/>
              <w:jc w:val="both"/>
              <w:rPr>
                <w:rFonts w:ascii="Times New Roman" w:hAnsi="Times New Roman"/>
                <w:color w:val="000000" w:themeColor="text1"/>
                <w:sz w:val="20"/>
                <w:szCs w:val="20"/>
              </w:rPr>
            </w:pPr>
          </w:p>
        </w:tc>
        <w:tc>
          <w:tcPr>
            <w:tcW w:w="641" w:type="pct"/>
            <w:vAlign w:val="center"/>
          </w:tcPr>
          <w:p w14:paraId="280C2540" w14:textId="6F02ECD4" w:rsidR="005F3FB7" w:rsidRPr="0097258B" w:rsidRDefault="005F3FB7" w:rsidP="00E20250">
            <w:pPr>
              <w:pStyle w:val="Commentaire"/>
              <w:rPr>
                <w:rFonts w:ascii="Times New Roman" w:hAnsi="Times New Roman"/>
                <w:color w:val="000000" w:themeColor="text1"/>
                <w:lang w:val="fr-FR"/>
              </w:rPr>
            </w:pPr>
            <w:r w:rsidRPr="0097258B">
              <w:rPr>
                <w:rFonts w:ascii="Times New Roman" w:hAnsi="Times New Roman"/>
                <w:color w:val="000000" w:themeColor="text1"/>
                <w:lang w:val="fr-FR" w:eastAsia="en-US"/>
              </w:rPr>
              <w:t xml:space="preserve">Suivi des travaux y compris </w:t>
            </w:r>
            <w:r w:rsidRPr="0097258B">
              <w:rPr>
                <w:rFonts w:ascii="Times New Roman" w:hAnsi="Times New Roman"/>
                <w:color w:val="000000" w:themeColor="text1"/>
                <w:lang w:val="fr-FR"/>
              </w:rPr>
              <w:t>la SST, travail des enfants, nuisance, plan de sécurité pour les accidents (communautaires), A</w:t>
            </w:r>
            <w:r w:rsidR="009D7DDA" w:rsidRPr="0097258B">
              <w:rPr>
                <w:rFonts w:ascii="Times New Roman" w:hAnsi="Times New Roman"/>
                <w:color w:val="000000" w:themeColor="text1"/>
                <w:lang w:val="fr-FR"/>
              </w:rPr>
              <w:t>E</w:t>
            </w:r>
            <w:r w:rsidRPr="0097258B">
              <w:rPr>
                <w:rFonts w:ascii="Times New Roman" w:hAnsi="Times New Roman"/>
                <w:color w:val="000000" w:themeColor="text1"/>
                <w:lang w:val="fr-FR"/>
              </w:rPr>
              <w:t>S/HS, IST</w:t>
            </w:r>
          </w:p>
        </w:tc>
        <w:tc>
          <w:tcPr>
            <w:tcW w:w="1104" w:type="pct"/>
            <w:vAlign w:val="center"/>
          </w:tcPr>
          <w:p w14:paraId="74FDDC18"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Réunion hebdomadaire mensuelle et trimestrielle sur le niveau d’avancement les Points d’arrêt, les Performances techniques et environnementales</w:t>
            </w:r>
          </w:p>
        </w:tc>
        <w:tc>
          <w:tcPr>
            <w:tcW w:w="874" w:type="pct"/>
            <w:vAlign w:val="center"/>
          </w:tcPr>
          <w:p w14:paraId="49F16860"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Durant toute la phase de construction</w:t>
            </w:r>
          </w:p>
        </w:tc>
        <w:tc>
          <w:tcPr>
            <w:tcW w:w="1132" w:type="pct"/>
            <w:vAlign w:val="center"/>
          </w:tcPr>
          <w:p w14:paraId="4D3DF4D4" w14:textId="4B32CCAC"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Parties prenantes participant à la mise en œuvre du projet : Entreprise, MDC, Acteurs gouvernementaux, D</w:t>
            </w:r>
            <w:r w:rsidR="006E0EA3" w:rsidRPr="0097258B">
              <w:rPr>
                <w:rFonts w:ascii="Times New Roman" w:hAnsi="Times New Roman"/>
                <w:color w:val="000000" w:themeColor="text1"/>
                <w:sz w:val="20"/>
                <w:szCs w:val="20"/>
              </w:rPr>
              <w:t>IR</w:t>
            </w:r>
            <w:r w:rsidRPr="0097258B">
              <w:rPr>
                <w:rFonts w:ascii="Times New Roman" w:hAnsi="Times New Roman"/>
                <w:color w:val="000000" w:themeColor="text1"/>
                <w:sz w:val="20"/>
                <w:szCs w:val="20"/>
              </w:rPr>
              <w:t>EC, DPC, DPGI, PROMOGED, ADM, etc.</w:t>
            </w:r>
          </w:p>
          <w:p w14:paraId="5CE64D91"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Parties prenantes intéressées : Collectivités territoriales, communautés riveraines, OCB, Société civile</w:t>
            </w:r>
          </w:p>
        </w:tc>
        <w:tc>
          <w:tcPr>
            <w:tcW w:w="697" w:type="pct"/>
            <w:vAlign w:val="center"/>
          </w:tcPr>
          <w:p w14:paraId="0A3AAABE" w14:textId="77777777" w:rsidR="005F3FB7" w:rsidRPr="0097258B" w:rsidRDefault="005F3FB7" w:rsidP="00E20250">
            <w:p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ADM</w:t>
            </w:r>
          </w:p>
          <w:p w14:paraId="07B4E031"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Entreprises des travaux</w:t>
            </w:r>
          </w:p>
          <w:p w14:paraId="41096EE0" w14:textId="77777777" w:rsidR="005F3FB7" w:rsidRPr="0097258B" w:rsidRDefault="005F3FB7" w:rsidP="001748C6">
            <w:pPr>
              <w:numPr>
                <w:ilvl w:val="0"/>
                <w:numId w:val="66"/>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Bureau de contrôle</w:t>
            </w:r>
          </w:p>
        </w:tc>
      </w:tr>
      <w:tr w:rsidR="00BD1A2F" w:rsidRPr="009B46E2" w14:paraId="54FFD5B8" w14:textId="77777777" w:rsidTr="005F3FB7">
        <w:tc>
          <w:tcPr>
            <w:tcW w:w="5000" w:type="pct"/>
            <w:gridSpan w:val="6"/>
            <w:shd w:val="clear" w:color="auto" w:fill="FFFF00"/>
            <w:vAlign w:val="center"/>
          </w:tcPr>
          <w:p w14:paraId="749A0D5E" w14:textId="77777777" w:rsidR="005F3FB7" w:rsidRPr="0097258B" w:rsidRDefault="005F3FB7" w:rsidP="00E20250">
            <w:pPr>
              <w:spacing w:after="0" w:line="240" w:lineRule="auto"/>
              <w:jc w:val="center"/>
              <w:rPr>
                <w:rFonts w:ascii="Times New Roman" w:hAnsi="Times New Roman"/>
                <w:b/>
                <w:color w:val="000000" w:themeColor="text1"/>
                <w:sz w:val="20"/>
                <w:szCs w:val="20"/>
              </w:rPr>
            </w:pPr>
            <w:r w:rsidRPr="0097258B">
              <w:rPr>
                <w:rFonts w:ascii="Times New Roman" w:hAnsi="Times New Roman"/>
                <w:b/>
                <w:color w:val="000000" w:themeColor="text1"/>
                <w:sz w:val="20"/>
                <w:szCs w:val="20"/>
              </w:rPr>
              <w:t>PHASE D’EXPLOITATION</w:t>
            </w:r>
          </w:p>
        </w:tc>
      </w:tr>
      <w:tr w:rsidR="00BD1A2F" w:rsidRPr="009B46E2" w14:paraId="04DACE0A" w14:textId="77777777" w:rsidTr="00B3729F">
        <w:tc>
          <w:tcPr>
            <w:tcW w:w="552" w:type="pct"/>
            <w:vMerge w:val="restart"/>
            <w:vAlign w:val="center"/>
          </w:tcPr>
          <w:p w14:paraId="75B6D65F" w14:textId="77777777" w:rsidR="005F3FB7" w:rsidRPr="0097258B" w:rsidRDefault="005F3FB7" w:rsidP="00E20250">
            <w:pPr>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Mise en service des équipements</w:t>
            </w:r>
          </w:p>
        </w:tc>
        <w:tc>
          <w:tcPr>
            <w:tcW w:w="641" w:type="pct"/>
            <w:vAlign w:val="center"/>
          </w:tcPr>
          <w:p w14:paraId="024AF540" w14:textId="77777777" w:rsidR="005F3FB7" w:rsidRPr="0097258B" w:rsidRDefault="005F3FB7"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Mesure d’entretien et de gestions des ouvrages </w:t>
            </w:r>
          </w:p>
          <w:p w14:paraId="10AF39BF" w14:textId="77777777" w:rsidR="005F3FB7" w:rsidRPr="0097258B" w:rsidRDefault="005F3FB7" w:rsidP="00E20250">
            <w:pPr>
              <w:autoSpaceDE w:val="0"/>
              <w:autoSpaceDN w:val="0"/>
              <w:adjustRightInd w:val="0"/>
              <w:spacing w:after="0" w:line="240" w:lineRule="auto"/>
              <w:jc w:val="both"/>
              <w:rPr>
                <w:rFonts w:ascii="Times New Roman" w:hAnsi="Times New Roman"/>
                <w:color w:val="000000" w:themeColor="text1"/>
                <w:sz w:val="20"/>
                <w:szCs w:val="20"/>
              </w:rPr>
            </w:pPr>
          </w:p>
        </w:tc>
        <w:tc>
          <w:tcPr>
            <w:tcW w:w="1104" w:type="pct"/>
            <w:vAlign w:val="center"/>
          </w:tcPr>
          <w:p w14:paraId="2D470F49"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eastAsia="Times New Roman" w:hAnsi="Times New Roman"/>
                <w:iCs/>
                <w:color w:val="000000" w:themeColor="text1"/>
                <w:sz w:val="20"/>
                <w:szCs w:val="20"/>
                <w:lang w:eastAsia="fr-FR"/>
              </w:rPr>
              <w:t>Entretien et de maintenance</w:t>
            </w:r>
            <w:r w:rsidRPr="0097258B">
              <w:rPr>
                <w:rFonts w:ascii="Times New Roman" w:hAnsi="Times New Roman"/>
                <w:color w:val="000000" w:themeColor="text1"/>
                <w:sz w:val="20"/>
                <w:szCs w:val="20"/>
              </w:rPr>
              <w:t xml:space="preserve"> </w:t>
            </w:r>
            <w:r w:rsidRPr="0097258B">
              <w:rPr>
                <w:rFonts w:ascii="Times New Roman" w:eastAsia="Times New Roman" w:hAnsi="Times New Roman"/>
                <w:iCs/>
                <w:color w:val="000000" w:themeColor="text1"/>
                <w:sz w:val="20"/>
                <w:szCs w:val="20"/>
                <w:lang w:eastAsia="fr-FR"/>
              </w:rPr>
              <w:t xml:space="preserve">des bassins et des collecteurs </w:t>
            </w:r>
          </w:p>
          <w:p w14:paraId="1A222529"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Émission télé et radio (nationale et communautaire) en langue locale (Wolof) sur la sauvegarde des installations</w:t>
            </w:r>
          </w:p>
          <w:p w14:paraId="2AF84DDE"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lastRenderedPageBreak/>
              <w:t xml:space="preserve">Affichage de pancartes autour des aménagements </w:t>
            </w:r>
          </w:p>
          <w:p w14:paraId="12D00B6D"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Les médias sociaux</w:t>
            </w:r>
          </w:p>
          <w:p w14:paraId="52531CE7"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Consultation du public ou focus group</w:t>
            </w:r>
          </w:p>
          <w:p w14:paraId="5988AE9F"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Correspondance et</w:t>
            </w:r>
          </w:p>
          <w:p w14:paraId="6B9FE865"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Réunions officielles</w:t>
            </w:r>
          </w:p>
          <w:p w14:paraId="70A35456"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Brochures et dépliants</w:t>
            </w:r>
          </w:p>
          <w:p w14:paraId="44E76BF1"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Caravane de sensibilisation</w:t>
            </w:r>
          </w:p>
        </w:tc>
        <w:tc>
          <w:tcPr>
            <w:tcW w:w="874" w:type="pct"/>
            <w:vAlign w:val="center"/>
          </w:tcPr>
          <w:p w14:paraId="7D24CA66"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lastRenderedPageBreak/>
              <w:t>Dès la mise en service des ouvrages</w:t>
            </w:r>
          </w:p>
        </w:tc>
        <w:tc>
          <w:tcPr>
            <w:tcW w:w="1132" w:type="pct"/>
            <w:vAlign w:val="center"/>
          </w:tcPr>
          <w:p w14:paraId="0775A0B2" w14:textId="15D3F6F4"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Parties prenantes participant à la mise en œuvre du projet : Acteurs gouvernementaux, D</w:t>
            </w:r>
            <w:r w:rsidR="006E0EA3" w:rsidRPr="0097258B">
              <w:rPr>
                <w:rFonts w:ascii="Times New Roman" w:hAnsi="Times New Roman"/>
                <w:color w:val="000000" w:themeColor="text1"/>
                <w:sz w:val="20"/>
                <w:szCs w:val="20"/>
              </w:rPr>
              <w:t>IR</w:t>
            </w:r>
            <w:r w:rsidRPr="0097258B">
              <w:rPr>
                <w:rFonts w:ascii="Times New Roman" w:hAnsi="Times New Roman"/>
                <w:color w:val="000000" w:themeColor="text1"/>
                <w:sz w:val="20"/>
                <w:szCs w:val="20"/>
              </w:rPr>
              <w:t>EC, DPC, DPGI, PROMOGED, UCG, urbanisme, etc.</w:t>
            </w:r>
          </w:p>
          <w:p w14:paraId="46A28708" w14:textId="77777777" w:rsidR="005F3FB7" w:rsidRPr="0097258B" w:rsidRDefault="005F3FB7" w:rsidP="001748C6">
            <w:pPr>
              <w:numPr>
                <w:ilvl w:val="0"/>
                <w:numId w:val="67"/>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lastRenderedPageBreak/>
              <w:t>Parties prenantes intéressées : Collectivités territoriales, communautés riveraines, OCB, Société civile</w:t>
            </w:r>
          </w:p>
        </w:tc>
        <w:tc>
          <w:tcPr>
            <w:tcW w:w="697" w:type="pct"/>
            <w:vAlign w:val="center"/>
          </w:tcPr>
          <w:p w14:paraId="64232ADA" w14:textId="77777777" w:rsidR="005F3FB7" w:rsidRPr="0097258B" w:rsidRDefault="005F3FB7" w:rsidP="001748C6">
            <w:pPr>
              <w:numPr>
                <w:ilvl w:val="0"/>
                <w:numId w:val="67"/>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lastRenderedPageBreak/>
              <w:t>Collectivités territoriales</w:t>
            </w:r>
          </w:p>
          <w:p w14:paraId="342FCB15" w14:textId="77777777" w:rsidR="005F3FB7" w:rsidRPr="0097258B" w:rsidRDefault="005F3FB7" w:rsidP="001748C6">
            <w:pPr>
              <w:numPr>
                <w:ilvl w:val="0"/>
                <w:numId w:val="67"/>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ONAS</w:t>
            </w:r>
          </w:p>
          <w:p w14:paraId="288EAEF6" w14:textId="77777777" w:rsidR="005F3FB7" w:rsidRPr="0097258B" w:rsidRDefault="005F3FB7" w:rsidP="001748C6">
            <w:pPr>
              <w:numPr>
                <w:ilvl w:val="0"/>
                <w:numId w:val="67"/>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ADM</w:t>
            </w:r>
          </w:p>
        </w:tc>
      </w:tr>
      <w:tr w:rsidR="00BD1A2F" w:rsidRPr="009B46E2" w14:paraId="3B45486F" w14:textId="77777777" w:rsidTr="00B3729F">
        <w:tc>
          <w:tcPr>
            <w:tcW w:w="552" w:type="pct"/>
            <w:vMerge/>
            <w:vAlign w:val="center"/>
          </w:tcPr>
          <w:p w14:paraId="591F11B9" w14:textId="77777777" w:rsidR="005F3FB7" w:rsidRPr="0097258B" w:rsidRDefault="005F3FB7" w:rsidP="00E20250">
            <w:pPr>
              <w:spacing w:after="0" w:line="240" w:lineRule="auto"/>
              <w:jc w:val="both"/>
              <w:rPr>
                <w:rFonts w:ascii="Times New Roman" w:hAnsi="Times New Roman"/>
                <w:color w:val="000000" w:themeColor="text1"/>
                <w:sz w:val="20"/>
                <w:szCs w:val="20"/>
              </w:rPr>
            </w:pPr>
          </w:p>
        </w:tc>
        <w:tc>
          <w:tcPr>
            <w:tcW w:w="641" w:type="pct"/>
            <w:vAlign w:val="center"/>
          </w:tcPr>
          <w:p w14:paraId="17F7D9F9" w14:textId="77777777" w:rsidR="005F3FB7" w:rsidRPr="0097258B" w:rsidRDefault="005F3FB7"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Planification des travaux d’entretien courant et périodique</w:t>
            </w:r>
          </w:p>
        </w:tc>
        <w:tc>
          <w:tcPr>
            <w:tcW w:w="1104" w:type="pct"/>
            <w:vAlign w:val="center"/>
          </w:tcPr>
          <w:p w14:paraId="1A71F149"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Affichage de planification des travaux d’entretien à la mairie</w:t>
            </w:r>
          </w:p>
          <w:p w14:paraId="20425078"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Communiqué radio en langue locale</w:t>
            </w:r>
          </w:p>
          <w:p w14:paraId="2B15C1FE"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Crieur public pour diffusion des opérations d’entretien</w:t>
            </w:r>
          </w:p>
          <w:p w14:paraId="7CC0022A" w14:textId="77777777" w:rsidR="005F3FB7" w:rsidRPr="0097258B" w:rsidRDefault="005F3FB7" w:rsidP="001748C6">
            <w:pPr>
              <w:numPr>
                <w:ilvl w:val="0"/>
                <w:numId w:val="49"/>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Réunion officielle à la mairie</w:t>
            </w:r>
          </w:p>
        </w:tc>
        <w:tc>
          <w:tcPr>
            <w:tcW w:w="874" w:type="pct"/>
            <w:vAlign w:val="center"/>
          </w:tcPr>
          <w:p w14:paraId="6D1FFDBD"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Une semaine avant le début de chaque opération d’entretien et de nettoyage</w:t>
            </w:r>
          </w:p>
        </w:tc>
        <w:tc>
          <w:tcPr>
            <w:tcW w:w="1132" w:type="pct"/>
            <w:vAlign w:val="center"/>
          </w:tcPr>
          <w:p w14:paraId="7F563EDB"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Parties prenantes participant à la mise en œuvre du projet : </w:t>
            </w:r>
            <w:proofErr w:type="gramStart"/>
            <w:r w:rsidRPr="0097258B">
              <w:rPr>
                <w:rFonts w:ascii="Times New Roman" w:hAnsi="Times New Roman"/>
                <w:color w:val="000000" w:themeColor="text1"/>
                <w:sz w:val="20"/>
                <w:szCs w:val="20"/>
              </w:rPr>
              <w:t>Préfet</w:t>
            </w:r>
            <w:proofErr w:type="gramEnd"/>
            <w:r w:rsidRPr="0097258B">
              <w:rPr>
                <w:rFonts w:ascii="Times New Roman" w:hAnsi="Times New Roman"/>
                <w:color w:val="000000" w:themeColor="text1"/>
                <w:sz w:val="20"/>
                <w:szCs w:val="20"/>
              </w:rPr>
              <w:t>, DPC, PROMOGED, UCG, urbanisme, etc.</w:t>
            </w:r>
          </w:p>
          <w:p w14:paraId="2AB659DC" w14:textId="77777777" w:rsidR="005F3FB7" w:rsidRPr="0097258B" w:rsidRDefault="005F3FB7" w:rsidP="001748C6">
            <w:pPr>
              <w:numPr>
                <w:ilvl w:val="0"/>
                <w:numId w:val="64"/>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Parties prenantes intéressées : Collectivités territoriales, communautés riveraines, OCB, </w:t>
            </w:r>
          </w:p>
        </w:tc>
        <w:tc>
          <w:tcPr>
            <w:tcW w:w="697" w:type="pct"/>
            <w:vAlign w:val="center"/>
          </w:tcPr>
          <w:p w14:paraId="30A221F7" w14:textId="77777777" w:rsidR="005F3FB7" w:rsidRPr="0097258B" w:rsidRDefault="005F3FB7" w:rsidP="001748C6">
            <w:pPr>
              <w:numPr>
                <w:ilvl w:val="0"/>
                <w:numId w:val="67"/>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ADM</w:t>
            </w:r>
          </w:p>
          <w:p w14:paraId="56FDE0CA" w14:textId="77777777" w:rsidR="005F3FB7" w:rsidRPr="0097258B" w:rsidRDefault="005F3FB7" w:rsidP="001748C6">
            <w:pPr>
              <w:numPr>
                <w:ilvl w:val="0"/>
                <w:numId w:val="67"/>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ONAS</w:t>
            </w:r>
          </w:p>
          <w:p w14:paraId="64A579FA" w14:textId="77777777" w:rsidR="005F3FB7" w:rsidRPr="0097258B" w:rsidRDefault="005F3FB7" w:rsidP="001748C6">
            <w:pPr>
              <w:numPr>
                <w:ilvl w:val="0"/>
                <w:numId w:val="67"/>
              </w:numPr>
              <w:spacing w:after="0" w:line="240" w:lineRule="auto"/>
              <w:contextualSpacing/>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Collectivités territoriales</w:t>
            </w:r>
          </w:p>
        </w:tc>
      </w:tr>
    </w:tbl>
    <w:p w14:paraId="6BF89147" w14:textId="77777777" w:rsidR="005F3FB7" w:rsidRPr="00260790" w:rsidRDefault="005F3FB7" w:rsidP="00E20250">
      <w:pPr>
        <w:spacing w:line="240" w:lineRule="auto"/>
        <w:ind w:left="1134"/>
        <w:rPr>
          <w:rFonts w:ascii="Times New Roman" w:hAnsi="Times New Roman"/>
          <w:color w:val="000000" w:themeColor="text1"/>
        </w:rPr>
        <w:sectPr w:rsidR="005F3FB7" w:rsidRPr="00260790" w:rsidSect="00B3729F">
          <w:pgSz w:w="16817" w:h="11901" w:orient="landscape"/>
          <w:pgMar w:top="1418" w:right="1418" w:bottom="1418" w:left="1418" w:header="709" w:footer="454" w:gutter="0"/>
          <w:cols w:space="708"/>
          <w:docGrid w:linePitch="360"/>
        </w:sectPr>
      </w:pPr>
    </w:p>
    <w:p w14:paraId="39EA5185" w14:textId="77777777" w:rsidR="005F3FB7" w:rsidRPr="00260790" w:rsidRDefault="005F3FB7" w:rsidP="003B6588">
      <w:pPr>
        <w:pStyle w:val="CHAPITRE1"/>
        <w:rPr>
          <w:rFonts w:cs="Times New Roman"/>
        </w:rPr>
      </w:pPr>
      <w:bookmarkStart w:id="2207" w:name="_Toc65583144"/>
      <w:bookmarkStart w:id="2208" w:name="_Toc106652867"/>
      <w:bookmarkStart w:id="2209" w:name="_Toc212725168"/>
      <w:r w:rsidRPr="00260790">
        <w:rPr>
          <w:rFonts w:cs="Times New Roman"/>
        </w:rPr>
        <w:lastRenderedPageBreak/>
        <w:t>Liste des informations à divulguer dans le cadre du projet</w:t>
      </w:r>
      <w:bookmarkEnd w:id="2207"/>
      <w:bookmarkEnd w:id="2208"/>
      <w:bookmarkEnd w:id="2209"/>
    </w:p>
    <w:p w14:paraId="6D46378D" w14:textId="69D9B2D7" w:rsidR="005F3FB7" w:rsidRPr="00260790" w:rsidRDefault="005F3FB7" w:rsidP="00E20250">
      <w:pPr>
        <w:autoSpaceDE w:val="0"/>
        <w:autoSpaceDN w:val="0"/>
        <w:adjustRightInd w:val="0"/>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La divulgation des informations pertinentes sur le projet aide les parties prenantes à comprendre les risques, les impacts et les opportunités résultant du projet. </w:t>
      </w:r>
      <w:r w:rsidR="000B3A24" w:rsidRPr="0097258B">
        <w:rPr>
          <w:rFonts w:ascii="Times New Roman" w:hAnsi="Times New Roman"/>
          <w:color w:val="000000" w:themeColor="text1"/>
        </w:rPr>
        <w:t xml:space="preserve">La mise en œuvre des activités </w:t>
      </w:r>
      <w:r w:rsidR="003D6265" w:rsidRPr="00260790">
        <w:rPr>
          <w:rFonts w:ascii="Times New Roman" w:hAnsi="Times New Roman"/>
          <w:iCs/>
          <w:color w:val="000000" w:themeColor="text1"/>
        </w:rPr>
        <w:t>de communication et diffusion de l’information</w:t>
      </w:r>
      <w:r w:rsidR="003D6265" w:rsidRPr="003D6265">
        <w:rPr>
          <w:rFonts w:ascii="Times New Roman" w:hAnsi="Times New Roman"/>
          <w:color w:val="000000" w:themeColor="text1"/>
        </w:rPr>
        <w:t xml:space="preserve"> </w:t>
      </w:r>
      <w:r w:rsidR="003D6265">
        <w:rPr>
          <w:rFonts w:ascii="Times New Roman" w:hAnsi="Times New Roman"/>
          <w:color w:val="000000" w:themeColor="text1"/>
        </w:rPr>
        <w:t xml:space="preserve">dans le cadre </w:t>
      </w:r>
      <w:r w:rsidR="000B3A24" w:rsidRPr="0097258B">
        <w:rPr>
          <w:rFonts w:ascii="Times New Roman" w:hAnsi="Times New Roman"/>
          <w:color w:val="000000" w:themeColor="text1"/>
        </w:rPr>
        <w:t>du PMPP sera assurée par l’ADM via la facilitation sociale</w:t>
      </w:r>
      <w:r w:rsidR="00877246">
        <w:rPr>
          <w:rFonts w:ascii="Times New Roman" w:hAnsi="Times New Roman"/>
          <w:color w:val="000000" w:themeColor="text1"/>
        </w:rPr>
        <w:t>.</w:t>
      </w:r>
      <w:r w:rsidR="000B3A24" w:rsidRPr="00260790">
        <w:rPr>
          <w:rFonts w:ascii="Times New Roman" w:hAnsi="Times New Roman"/>
          <w:color w:val="000000" w:themeColor="text1"/>
        </w:rPr>
        <w:t xml:space="preserve"> </w:t>
      </w:r>
      <w:r w:rsidRPr="00260790">
        <w:rPr>
          <w:rFonts w:ascii="Times New Roman" w:hAnsi="Times New Roman"/>
          <w:color w:val="000000" w:themeColor="text1"/>
        </w:rPr>
        <w:t>Le projet doit donner accès à des informations pertinentes sur :</w:t>
      </w:r>
    </w:p>
    <w:p w14:paraId="39CE0D11" w14:textId="77777777" w:rsidR="005F3FB7" w:rsidRPr="00260790" w:rsidRDefault="005F3FB7" w:rsidP="001748C6">
      <w:pPr>
        <w:pStyle w:val="Grillemoyenne1-Accent22"/>
        <w:numPr>
          <w:ilvl w:val="0"/>
          <w:numId w:val="68"/>
        </w:numPr>
        <w:autoSpaceDE w:val="0"/>
        <w:autoSpaceDN w:val="0"/>
        <w:adjustRightInd w:val="0"/>
        <w:jc w:val="both"/>
        <w:rPr>
          <w:iCs/>
          <w:color w:val="000000" w:themeColor="text1"/>
          <w:sz w:val="22"/>
          <w:szCs w:val="22"/>
        </w:rPr>
      </w:pPr>
      <w:r w:rsidRPr="00260790">
        <w:rPr>
          <w:iCs/>
          <w:color w:val="000000" w:themeColor="text1"/>
          <w:sz w:val="22"/>
          <w:szCs w:val="22"/>
        </w:rPr>
        <w:t>L’objet, la nature et l’échelle du projet ;</w:t>
      </w:r>
    </w:p>
    <w:p w14:paraId="30D80DEF" w14:textId="77777777" w:rsidR="005F3FB7" w:rsidRPr="00260790" w:rsidRDefault="005F3FB7" w:rsidP="001748C6">
      <w:pPr>
        <w:pStyle w:val="Grillemoyenne1-Accent22"/>
        <w:numPr>
          <w:ilvl w:val="0"/>
          <w:numId w:val="68"/>
        </w:numPr>
        <w:autoSpaceDE w:val="0"/>
        <w:autoSpaceDN w:val="0"/>
        <w:adjustRightInd w:val="0"/>
        <w:jc w:val="both"/>
        <w:rPr>
          <w:iCs/>
          <w:color w:val="000000" w:themeColor="text1"/>
          <w:sz w:val="22"/>
          <w:szCs w:val="22"/>
        </w:rPr>
      </w:pPr>
      <w:r w:rsidRPr="00260790">
        <w:rPr>
          <w:iCs/>
          <w:color w:val="000000" w:themeColor="text1"/>
          <w:sz w:val="22"/>
          <w:szCs w:val="22"/>
        </w:rPr>
        <w:t>Les caractéristiques techniques des ouvrages ;</w:t>
      </w:r>
    </w:p>
    <w:p w14:paraId="6B9B4B9C" w14:textId="77777777" w:rsidR="005F3FB7" w:rsidRPr="00260790" w:rsidRDefault="005F3FB7" w:rsidP="001748C6">
      <w:pPr>
        <w:pStyle w:val="Grillemoyenne1-Accent22"/>
        <w:numPr>
          <w:ilvl w:val="0"/>
          <w:numId w:val="68"/>
        </w:numPr>
        <w:autoSpaceDE w:val="0"/>
        <w:autoSpaceDN w:val="0"/>
        <w:adjustRightInd w:val="0"/>
        <w:jc w:val="both"/>
        <w:rPr>
          <w:iCs/>
          <w:color w:val="000000" w:themeColor="text1"/>
          <w:sz w:val="22"/>
          <w:szCs w:val="22"/>
        </w:rPr>
      </w:pPr>
      <w:r w:rsidRPr="00260790">
        <w:rPr>
          <w:iCs/>
          <w:color w:val="000000" w:themeColor="text1"/>
          <w:sz w:val="22"/>
          <w:szCs w:val="22"/>
        </w:rPr>
        <w:t>La durée des activités proposées dans le cadre du projet ;</w:t>
      </w:r>
    </w:p>
    <w:p w14:paraId="3FB08BF2" w14:textId="77777777" w:rsidR="005F3FB7" w:rsidRPr="00260790" w:rsidRDefault="005F3FB7" w:rsidP="001748C6">
      <w:pPr>
        <w:pStyle w:val="Grillemoyenne1-Accent22"/>
        <w:numPr>
          <w:ilvl w:val="0"/>
          <w:numId w:val="68"/>
        </w:numPr>
        <w:autoSpaceDE w:val="0"/>
        <w:autoSpaceDN w:val="0"/>
        <w:adjustRightInd w:val="0"/>
        <w:jc w:val="both"/>
        <w:rPr>
          <w:iCs/>
          <w:color w:val="000000" w:themeColor="text1"/>
          <w:sz w:val="22"/>
          <w:szCs w:val="22"/>
        </w:rPr>
      </w:pPr>
      <w:r w:rsidRPr="00260790">
        <w:rPr>
          <w:iCs/>
          <w:color w:val="000000" w:themeColor="text1"/>
          <w:sz w:val="22"/>
          <w:szCs w:val="22"/>
        </w:rPr>
        <w:t>Les emprises des travaux ;</w:t>
      </w:r>
    </w:p>
    <w:p w14:paraId="72F58885" w14:textId="77777777" w:rsidR="005F3FB7" w:rsidRPr="00260790" w:rsidRDefault="005F3FB7" w:rsidP="001748C6">
      <w:pPr>
        <w:pStyle w:val="Grillemoyenne1-Accent22"/>
        <w:numPr>
          <w:ilvl w:val="0"/>
          <w:numId w:val="68"/>
        </w:numPr>
        <w:autoSpaceDE w:val="0"/>
        <w:autoSpaceDN w:val="0"/>
        <w:adjustRightInd w:val="0"/>
        <w:jc w:val="both"/>
        <w:rPr>
          <w:iCs/>
          <w:color w:val="000000" w:themeColor="text1"/>
          <w:sz w:val="22"/>
          <w:szCs w:val="22"/>
        </w:rPr>
      </w:pPr>
      <w:r w:rsidRPr="00260790">
        <w:rPr>
          <w:iCs/>
          <w:color w:val="000000" w:themeColor="text1"/>
          <w:sz w:val="22"/>
          <w:szCs w:val="22"/>
        </w:rPr>
        <w:t>Les risques et les impacts auxquels pourraient être exposées les communautés et les mesures d’atténuation correspondantes ;</w:t>
      </w:r>
    </w:p>
    <w:p w14:paraId="50834CB4" w14:textId="77777777" w:rsidR="005F3FB7" w:rsidRPr="00260790" w:rsidRDefault="005F3FB7" w:rsidP="001748C6">
      <w:pPr>
        <w:pStyle w:val="Grillemoyenne1-Accent22"/>
        <w:numPr>
          <w:ilvl w:val="0"/>
          <w:numId w:val="68"/>
        </w:numPr>
        <w:autoSpaceDE w:val="0"/>
        <w:autoSpaceDN w:val="0"/>
        <w:adjustRightInd w:val="0"/>
        <w:jc w:val="both"/>
        <w:rPr>
          <w:iCs/>
          <w:color w:val="000000" w:themeColor="text1"/>
          <w:sz w:val="22"/>
          <w:szCs w:val="22"/>
        </w:rPr>
      </w:pPr>
      <w:r w:rsidRPr="00260790">
        <w:rPr>
          <w:iCs/>
          <w:color w:val="000000" w:themeColor="text1"/>
          <w:sz w:val="22"/>
          <w:szCs w:val="22"/>
        </w:rPr>
        <w:t>Le processus envisagé pour la participation des parties prenantes ; et</w:t>
      </w:r>
    </w:p>
    <w:p w14:paraId="58226EEE" w14:textId="36D691DE" w:rsidR="005F3FB7" w:rsidRPr="00260790" w:rsidRDefault="00317003" w:rsidP="001748C6">
      <w:pPr>
        <w:pStyle w:val="Grillemoyenne1-Accent22"/>
        <w:numPr>
          <w:ilvl w:val="0"/>
          <w:numId w:val="68"/>
        </w:numPr>
        <w:autoSpaceDE w:val="0"/>
        <w:autoSpaceDN w:val="0"/>
        <w:adjustRightInd w:val="0"/>
        <w:jc w:val="both"/>
        <w:rPr>
          <w:iCs/>
          <w:color w:val="000000" w:themeColor="text1"/>
          <w:sz w:val="22"/>
          <w:szCs w:val="22"/>
        </w:rPr>
      </w:pPr>
      <w:proofErr w:type="gramStart"/>
      <w:r w:rsidRPr="00260790">
        <w:rPr>
          <w:iCs/>
          <w:color w:val="000000" w:themeColor="text1"/>
          <w:sz w:val="22"/>
          <w:szCs w:val="22"/>
        </w:rPr>
        <w:t>l</w:t>
      </w:r>
      <w:r w:rsidR="005F3FB7" w:rsidRPr="00260790">
        <w:rPr>
          <w:iCs/>
          <w:color w:val="000000" w:themeColor="text1"/>
          <w:sz w:val="22"/>
          <w:szCs w:val="22"/>
        </w:rPr>
        <w:t>e</w:t>
      </w:r>
      <w:proofErr w:type="gramEnd"/>
      <w:r w:rsidR="005F3FB7" w:rsidRPr="00260790">
        <w:rPr>
          <w:iCs/>
          <w:color w:val="000000" w:themeColor="text1"/>
          <w:sz w:val="22"/>
          <w:szCs w:val="22"/>
        </w:rPr>
        <w:t xml:space="preserve"> mécanisme de Gestion des Plaintes avec mesure spécifiq</w:t>
      </w:r>
      <w:r w:rsidR="00E70BB6" w:rsidRPr="00260790">
        <w:rPr>
          <w:iCs/>
          <w:color w:val="000000" w:themeColor="text1"/>
          <w:sz w:val="22"/>
          <w:szCs w:val="22"/>
        </w:rPr>
        <w:t xml:space="preserve">ue pour les plaintes liées </w:t>
      </w:r>
      <w:r w:rsidR="00B35F66" w:rsidRPr="00260790">
        <w:rPr>
          <w:iCs/>
          <w:color w:val="000000" w:themeColor="text1"/>
          <w:sz w:val="22"/>
          <w:szCs w:val="22"/>
        </w:rPr>
        <w:t>à l’</w:t>
      </w:r>
      <w:r w:rsidR="009D7DDA" w:rsidRPr="00260790">
        <w:rPr>
          <w:iCs/>
          <w:color w:val="000000" w:themeColor="text1"/>
          <w:sz w:val="22"/>
          <w:szCs w:val="22"/>
        </w:rPr>
        <w:t>E</w:t>
      </w:r>
      <w:r w:rsidR="00E70BB6" w:rsidRPr="00260790">
        <w:rPr>
          <w:iCs/>
          <w:color w:val="000000" w:themeColor="text1"/>
          <w:sz w:val="22"/>
          <w:szCs w:val="22"/>
        </w:rPr>
        <w:t>A</w:t>
      </w:r>
      <w:r w:rsidR="005F3FB7" w:rsidRPr="00260790">
        <w:rPr>
          <w:iCs/>
          <w:color w:val="000000" w:themeColor="text1"/>
          <w:sz w:val="22"/>
          <w:szCs w:val="22"/>
        </w:rPr>
        <w:t>S/HS assortie d’une cartographie des services de prise en charge de</w:t>
      </w:r>
      <w:r w:rsidR="00B35F66" w:rsidRPr="00260790">
        <w:rPr>
          <w:iCs/>
          <w:color w:val="000000" w:themeColor="text1"/>
          <w:sz w:val="22"/>
          <w:szCs w:val="22"/>
        </w:rPr>
        <w:t xml:space="preserve"> l’</w:t>
      </w:r>
      <w:r w:rsidR="009D7DDA" w:rsidRPr="00260790">
        <w:rPr>
          <w:color w:val="000000" w:themeColor="text1"/>
          <w:sz w:val="22"/>
          <w:szCs w:val="22"/>
        </w:rPr>
        <w:t>E</w:t>
      </w:r>
      <w:r w:rsidR="00E70BB6" w:rsidRPr="00260790">
        <w:rPr>
          <w:color w:val="000000" w:themeColor="text1"/>
          <w:sz w:val="22"/>
          <w:szCs w:val="22"/>
        </w:rPr>
        <w:t>A</w:t>
      </w:r>
      <w:r w:rsidR="005F3FB7" w:rsidRPr="00260790">
        <w:rPr>
          <w:color w:val="000000" w:themeColor="text1"/>
          <w:sz w:val="22"/>
          <w:szCs w:val="22"/>
        </w:rPr>
        <w:t xml:space="preserve">S/HS </w:t>
      </w:r>
      <w:r w:rsidR="005F3FB7" w:rsidRPr="00260790">
        <w:rPr>
          <w:iCs/>
          <w:color w:val="000000" w:themeColor="text1"/>
          <w:sz w:val="22"/>
          <w:szCs w:val="22"/>
        </w:rPr>
        <w:t>des dans les communautés riveraines du projet.</w:t>
      </w:r>
    </w:p>
    <w:p w14:paraId="3C067CA0" w14:textId="77777777" w:rsidR="005F3FB7" w:rsidRPr="00260790" w:rsidRDefault="005F3FB7" w:rsidP="00E20250">
      <w:pPr>
        <w:autoSpaceDE w:val="0"/>
        <w:autoSpaceDN w:val="0"/>
        <w:adjustRightInd w:val="0"/>
        <w:spacing w:after="0" w:line="240" w:lineRule="auto"/>
        <w:jc w:val="both"/>
        <w:rPr>
          <w:rFonts w:ascii="Times New Roman" w:hAnsi="Times New Roman"/>
          <w:i/>
          <w:iCs/>
          <w:color w:val="000000" w:themeColor="text1"/>
        </w:rPr>
      </w:pPr>
    </w:p>
    <w:p w14:paraId="5FE7C9A2" w14:textId="77777777" w:rsidR="005F3FB7" w:rsidRPr="00260790" w:rsidRDefault="005F3FB7" w:rsidP="00E20250">
      <w:pPr>
        <w:autoSpaceDE w:val="0"/>
        <w:autoSpaceDN w:val="0"/>
        <w:adjustRightInd w:val="0"/>
        <w:spacing w:after="0" w:line="240" w:lineRule="auto"/>
        <w:jc w:val="both"/>
        <w:rPr>
          <w:rFonts w:ascii="Times New Roman" w:hAnsi="Times New Roman"/>
          <w:color w:val="000000" w:themeColor="text1"/>
        </w:rPr>
      </w:pPr>
      <w:r w:rsidRPr="00260790">
        <w:rPr>
          <w:rFonts w:ascii="Times New Roman" w:hAnsi="Times New Roman"/>
          <w:color w:val="000000" w:themeColor="text1"/>
        </w:rPr>
        <w:t>Ces documents doivent être disponibles en copie papier de même qu’en version électronique sur le site web de l’ADM. La disponibilité des documents pourrait être annoncée par un communiqué de presse.</w:t>
      </w:r>
    </w:p>
    <w:p w14:paraId="5A2F3EF1" w14:textId="77777777" w:rsidR="005F3FB7" w:rsidRPr="00260790" w:rsidRDefault="005F3FB7" w:rsidP="00E20250">
      <w:pPr>
        <w:autoSpaceDE w:val="0"/>
        <w:autoSpaceDN w:val="0"/>
        <w:adjustRightInd w:val="0"/>
        <w:spacing w:after="0" w:line="240" w:lineRule="auto"/>
        <w:jc w:val="both"/>
        <w:rPr>
          <w:rFonts w:ascii="Times New Roman" w:hAnsi="Times New Roman"/>
          <w:color w:val="000000" w:themeColor="text1"/>
        </w:rPr>
      </w:pPr>
    </w:p>
    <w:p w14:paraId="618E7D63" w14:textId="77777777" w:rsidR="005F3FB7" w:rsidRPr="00260790" w:rsidRDefault="005F3FB7" w:rsidP="00E20250">
      <w:pPr>
        <w:autoSpaceDE w:val="0"/>
        <w:autoSpaceDN w:val="0"/>
        <w:adjustRightInd w:val="0"/>
        <w:spacing w:after="0" w:line="240" w:lineRule="auto"/>
        <w:rPr>
          <w:rFonts w:ascii="Times New Roman" w:hAnsi="Times New Roman"/>
          <w:color w:val="000000" w:themeColor="text1"/>
        </w:rPr>
      </w:pPr>
      <w:r w:rsidRPr="00260790">
        <w:rPr>
          <w:rFonts w:ascii="Times New Roman" w:hAnsi="Times New Roman"/>
          <w:color w:val="000000" w:themeColor="text1"/>
        </w:rPr>
        <w:t>À cet effet, l’ensemble des documents ci-dessous doit être divulgué :</w:t>
      </w:r>
    </w:p>
    <w:p w14:paraId="326D3700" w14:textId="77777777" w:rsidR="005F3FB7" w:rsidRPr="00260790" w:rsidRDefault="005F3FB7" w:rsidP="001748C6">
      <w:pPr>
        <w:pStyle w:val="Grillemoyenne1-Accent22"/>
        <w:numPr>
          <w:ilvl w:val="0"/>
          <w:numId w:val="69"/>
        </w:numPr>
        <w:autoSpaceDE w:val="0"/>
        <w:autoSpaceDN w:val="0"/>
        <w:adjustRightInd w:val="0"/>
        <w:rPr>
          <w:color w:val="000000" w:themeColor="text1"/>
          <w:sz w:val="22"/>
          <w:szCs w:val="22"/>
        </w:rPr>
      </w:pPr>
      <w:r w:rsidRPr="00260790">
        <w:rPr>
          <w:color w:val="000000" w:themeColor="text1"/>
          <w:sz w:val="22"/>
          <w:szCs w:val="22"/>
        </w:rPr>
        <w:t xml:space="preserve">La carte géographique : zone d’intervention </w:t>
      </w:r>
    </w:p>
    <w:p w14:paraId="22E3D464" w14:textId="77777777" w:rsidR="005F3FB7" w:rsidRPr="00260790" w:rsidRDefault="005F3FB7" w:rsidP="001748C6">
      <w:pPr>
        <w:pStyle w:val="Grillemoyenne1-Accent22"/>
        <w:numPr>
          <w:ilvl w:val="0"/>
          <w:numId w:val="69"/>
        </w:numPr>
        <w:autoSpaceDE w:val="0"/>
        <w:autoSpaceDN w:val="0"/>
        <w:adjustRightInd w:val="0"/>
        <w:rPr>
          <w:color w:val="000000" w:themeColor="text1"/>
          <w:sz w:val="22"/>
          <w:szCs w:val="22"/>
        </w:rPr>
      </w:pPr>
      <w:r w:rsidRPr="00260790">
        <w:rPr>
          <w:color w:val="000000" w:themeColor="text1"/>
          <w:sz w:val="22"/>
          <w:szCs w:val="22"/>
        </w:rPr>
        <w:t>Le calendrier des activités de même que les échéanciers</w:t>
      </w:r>
    </w:p>
    <w:p w14:paraId="1957CE8E" w14:textId="77777777" w:rsidR="005F3FB7" w:rsidRPr="00260790" w:rsidRDefault="005F3FB7" w:rsidP="001748C6">
      <w:pPr>
        <w:pStyle w:val="Grillemoyenne1-Accent22"/>
        <w:numPr>
          <w:ilvl w:val="0"/>
          <w:numId w:val="69"/>
        </w:numPr>
        <w:autoSpaceDE w:val="0"/>
        <w:autoSpaceDN w:val="0"/>
        <w:adjustRightInd w:val="0"/>
        <w:rPr>
          <w:color w:val="000000" w:themeColor="text1"/>
          <w:sz w:val="22"/>
          <w:szCs w:val="22"/>
        </w:rPr>
      </w:pPr>
      <w:proofErr w:type="gramStart"/>
      <w:r w:rsidRPr="00260790">
        <w:rPr>
          <w:color w:val="000000" w:themeColor="text1"/>
          <w:sz w:val="22"/>
          <w:szCs w:val="22"/>
        </w:rPr>
        <w:t>et</w:t>
      </w:r>
      <w:proofErr w:type="gramEnd"/>
      <w:r w:rsidRPr="00260790">
        <w:rPr>
          <w:color w:val="000000" w:themeColor="text1"/>
          <w:sz w:val="22"/>
          <w:szCs w:val="22"/>
        </w:rPr>
        <w:t xml:space="preserve"> les études techniques (uniquement avec les services qui participent à la mise en œuvre) </w:t>
      </w:r>
    </w:p>
    <w:p w14:paraId="589BE956" w14:textId="77777777" w:rsidR="005F3FB7" w:rsidRPr="00260790" w:rsidRDefault="005F3FB7" w:rsidP="001748C6">
      <w:pPr>
        <w:pStyle w:val="Grillemoyenne1-Accent22"/>
        <w:numPr>
          <w:ilvl w:val="0"/>
          <w:numId w:val="69"/>
        </w:numPr>
        <w:autoSpaceDE w:val="0"/>
        <w:autoSpaceDN w:val="0"/>
        <w:adjustRightInd w:val="0"/>
        <w:rPr>
          <w:color w:val="000000" w:themeColor="text1"/>
          <w:sz w:val="22"/>
          <w:szCs w:val="22"/>
        </w:rPr>
      </w:pPr>
      <w:r w:rsidRPr="00260790">
        <w:rPr>
          <w:color w:val="000000" w:themeColor="text1"/>
          <w:sz w:val="22"/>
          <w:szCs w:val="22"/>
        </w:rPr>
        <w:t>Le plan de mobilisation des parties prenantes</w:t>
      </w:r>
    </w:p>
    <w:p w14:paraId="70537A95" w14:textId="77777777" w:rsidR="005F3FB7" w:rsidRPr="00260790" w:rsidRDefault="005F3FB7" w:rsidP="001748C6">
      <w:pPr>
        <w:pStyle w:val="Grillemoyenne1-Accent22"/>
        <w:numPr>
          <w:ilvl w:val="0"/>
          <w:numId w:val="69"/>
        </w:numPr>
        <w:autoSpaceDE w:val="0"/>
        <w:autoSpaceDN w:val="0"/>
        <w:adjustRightInd w:val="0"/>
        <w:rPr>
          <w:color w:val="000000" w:themeColor="text1"/>
          <w:sz w:val="22"/>
          <w:szCs w:val="22"/>
        </w:rPr>
      </w:pPr>
      <w:r w:rsidRPr="00260790">
        <w:rPr>
          <w:color w:val="000000" w:themeColor="text1"/>
          <w:sz w:val="22"/>
          <w:szCs w:val="22"/>
        </w:rPr>
        <w:t>Le mécanisme de gestion des griefs ainsi que tous les contacts et formulaires requis</w:t>
      </w:r>
    </w:p>
    <w:p w14:paraId="4D928703" w14:textId="77777777" w:rsidR="005F3FB7" w:rsidRPr="00260790" w:rsidRDefault="005F3FB7" w:rsidP="001748C6">
      <w:pPr>
        <w:pStyle w:val="Grillemoyenne1-Accent22"/>
        <w:numPr>
          <w:ilvl w:val="0"/>
          <w:numId w:val="69"/>
        </w:numPr>
        <w:autoSpaceDE w:val="0"/>
        <w:autoSpaceDN w:val="0"/>
        <w:adjustRightInd w:val="0"/>
        <w:jc w:val="both"/>
        <w:rPr>
          <w:color w:val="000000" w:themeColor="text1"/>
          <w:sz w:val="22"/>
          <w:szCs w:val="22"/>
        </w:rPr>
      </w:pPr>
      <w:r w:rsidRPr="00260790">
        <w:rPr>
          <w:color w:val="000000" w:themeColor="text1"/>
          <w:sz w:val="22"/>
          <w:szCs w:val="22"/>
        </w:rPr>
        <w:t>L’Étude d’impact environnemental et social (EIES)</w:t>
      </w:r>
    </w:p>
    <w:p w14:paraId="095252B0" w14:textId="77777777" w:rsidR="005F3FB7" w:rsidRPr="00260790" w:rsidRDefault="005F3FB7" w:rsidP="001748C6">
      <w:pPr>
        <w:pStyle w:val="Grillemoyenne1-Accent22"/>
        <w:numPr>
          <w:ilvl w:val="0"/>
          <w:numId w:val="69"/>
        </w:numPr>
        <w:autoSpaceDE w:val="0"/>
        <w:autoSpaceDN w:val="0"/>
        <w:adjustRightInd w:val="0"/>
        <w:jc w:val="both"/>
        <w:rPr>
          <w:color w:val="000000" w:themeColor="text1"/>
          <w:sz w:val="22"/>
          <w:szCs w:val="22"/>
        </w:rPr>
      </w:pPr>
      <w:r w:rsidRPr="00260790">
        <w:rPr>
          <w:color w:val="000000" w:themeColor="text1"/>
          <w:sz w:val="22"/>
          <w:szCs w:val="22"/>
        </w:rPr>
        <w:t>Le Plan d’Actions de Réinstallation (PAR)</w:t>
      </w:r>
    </w:p>
    <w:p w14:paraId="363AE030" w14:textId="76239E28" w:rsidR="005F3FB7" w:rsidRPr="00260790" w:rsidRDefault="005F3FB7" w:rsidP="001748C6">
      <w:pPr>
        <w:pStyle w:val="Grillemoyenne1-Accent22"/>
        <w:numPr>
          <w:ilvl w:val="0"/>
          <w:numId w:val="69"/>
        </w:numPr>
        <w:autoSpaceDE w:val="0"/>
        <w:autoSpaceDN w:val="0"/>
        <w:adjustRightInd w:val="0"/>
        <w:jc w:val="both"/>
        <w:rPr>
          <w:color w:val="000000" w:themeColor="text1"/>
          <w:sz w:val="22"/>
          <w:szCs w:val="22"/>
        </w:rPr>
      </w:pPr>
      <w:r w:rsidRPr="00260790">
        <w:rPr>
          <w:color w:val="000000" w:themeColor="text1"/>
          <w:sz w:val="22"/>
          <w:szCs w:val="22"/>
        </w:rPr>
        <w:t>Le plan d’action pou</w:t>
      </w:r>
      <w:r w:rsidR="00E70BB6" w:rsidRPr="00260790">
        <w:rPr>
          <w:color w:val="000000" w:themeColor="text1"/>
          <w:sz w:val="22"/>
          <w:szCs w:val="22"/>
        </w:rPr>
        <w:t xml:space="preserve">r la prévention et réponse </w:t>
      </w:r>
      <w:r w:rsidR="00B35F66" w:rsidRPr="00260790">
        <w:rPr>
          <w:color w:val="000000" w:themeColor="text1"/>
          <w:sz w:val="22"/>
          <w:szCs w:val="22"/>
        </w:rPr>
        <w:t>aux risques d’</w:t>
      </w:r>
      <w:r w:rsidR="009D7DDA" w:rsidRPr="00260790">
        <w:rPr>
          <w:color w:val="000000" w:themeColor="text1"/>
          <w:sz w:val="22"/>
          <w:szCs w:val="22"/>
        </w:rPr>
        <w:t>E</w:t>
      </w:r>
      <w:r w:rsidR="00E70BB6" w:rsidRPr="00260790">
        <w:rPr>
          <w:color w:val="000000" w:themeColor="text1"/>
          <w:sz w:val="22"/>
          <w:szCs w:val="22"/>
        </w:rPr>
        <w:t>A</w:t>
      </w:r>
      <w:r w:rsidRPr="00260790">
        <w:rPr>
          <w:color w:val="000000" w:themeColor="text1"/>
          <w:sz w:val="22"/>
          <w:szCs w:val="22"/>
        </w:rPr>
        <w:t>S/HS</w:t>
      </w:r>
    </w:p>
    <w:p w14:paraId="0BB75866" w14:textId="77777777" w:rsidR="005F3FB7" w:rsidRPr="00260790" w:rsidRDefault="005F3FB7" w:rsidP="001748C6">
      <w:pPr>
        <w:pStyle w:val="Grillemoyenne1-Accent22"/>
        <w:numPr>
          <w:ilvl w:val="0"/>
          <w:numId w:val="69"/>
        </w:numPr>
        <w:autoSpaceDE w:val="0"/>
        <w:autoSpaceDN w:val="0"/>
        <w:adjustRightInd w:val="0"/>
        <w:jc w:val="both"/>
        <w:rPr>
          <w:color w:val="000000" w:themeColor="text1"/>
          <w:sz w:val="22"/>
          <w:szCs w:val="22"/>
        </w:rPr>
      </w:pPr>
      <w:r w:rsidRPr="00260790">
        <w:rPr>
          <w:color w:val="000000" w:themeColor="text1"/>
          <w:sz w:val="22"/>
          <w:szCs w:val="22"/>
        </w:rPr>
        <w:t>Les rapports de suivi et d’évaluation du mécanisme de gestion des griefs</w:t>
      </w:r>
    </w:p>
    <w:p w14:paraId="13C6F50F" w14:textId="77777777" w:rsidR="005F3FB7" w:rsidRPr="00260790" w:rsidRDefault="005F3FB7" w:rsidP="001748C6">
      <w:pPr>
        <w:pStyle w:val="Grillemoyenne1-Accent22"/>
        <w:numPr>
          <w:ilvl w:val="0"/>
          <w:numId w:val="69"/>
        </w:numPr>
        <w:autoSpaceDE w:val="0"/>
        <w:autoSpaceDN w:val="0"/>
        <w:adjustRightInd w:val="0"/>
        <w:jc w:val="both"/>
        <w:rPr>
          <w:color w:val="000000" w:themeColor="text1"/>
          <w:sz w:val="22"/>
          <w:szCs w:val="22"/>
        </w:rPr>
      </w:pPr>
      <w:r w:rsidRPr="00260790">
        <w:rPr>
          <w:color w:val="000000" w:themeColor="text1"/>
          <w:sz w:val="22"/>
          <w:szCs w:val="22"/>
        </w:rPr>
        <w:t>Les rapports de suivi environnemental et social.</w:t>
      </w:r>
    </w:p>
    <w:p w14:paraId="52B3F62C" w14:textId="77777777" w:rsidR="005F3FB7" w:rsidRPr="00260790" w:rsidRDefault="005F3FB7" w:rsidP="00E20250">
      <w:pPr>
        <w:autoSpaceDE w:val="0"/>
        <w:autoSpaceDN w:val="0"/>
        <w:adjustRightInd w:val="0"/>
        <w:spacing w:after="0" w:line="240" w:lineRule="auto"/>
        <w:jc w:val="both"/>
        <w:rPr>
          <w:rFonts w:ascii="Times New Roman" w:hAnsi="Times New Roman"/>
          <w:color w:val="000000" w:themeColor="text1"/>
        </w:rPr>
      </w:pPr>
    </w:p>
    <w:p w14:paraId="5CF7D8E3" w14:textId="77777777" w:rsidR="005F3FB7" w:rsidRPr="00260790" w:rsidRDefault="005F3FB7" w:rsidP="00E20250">
      <w:pPr>
        <w:pStyle w:val="Corpsdetexte2"/>
        <w:autoSpaceDE w:val="0"/>
        <w:autoSpaceDN w:val="0"/>
        <w:adjustRightInd w:val="0"/>
        <w:spacing w:after="0" w:line="240" w:lineRule="auto"/>
        <w:rPr>
          <w:color w:val="000000" w:themeColor="text1"/>
        </w:rPr>
      </w:pPr>
      <w:r w:rsidRPr="00260790">
        <w:rPr>
          <w:color w:val="000000" w:themeColor="text1"/>
        </w:rPr>
        <w:t>L’ensemble des documents doit contenir un support visuel approprié (telles que les cartes, maquettes, photos, etc.) et ce, pour maximiser la compréhension du projet auprès des personnes analphabètes. Il est à noter que les facilitateurs locaux auront également la tache de vulgariser les informations techniques du projet aux communautés locales tant analphabètes que celles sachant lire.</w:t>
      </w:r>
    </w:p>
    <w:p w14:paraId="2B4873AD" w14:textId="77777777" w:rsidR="005F3FB7" w:rsidRPr="00260790" w:rsidRDefault="005F3FB7" w:rsidP="00E20250">
      <w:pPr>
        <w:autoSpaceDE w:val="0"/>
        <w:autoSpaceDN w:val="0"/>
        <w:adjustRightInd w:val="0"/>
        <w:spacing w:after="0" w:line="240" w:lineRule="auto"/>
        <w:jc w:val="both"/>
        <w:rPr>
          <w:rFonts w:ascii="Times New Roman" w:hAnsi="Times New Roman"/>
          <w:color w:val="000000" w:themeColor="text1"/>
        </w:rPr>
      </w:pPr>
    </w:p>
    <w:p w14:paraId="158A8D51" w14:textId="77777777" w:rsidR="005F3FB7" w:rsidRPr="00260790" w:rsidRDefault="005F3FB7" w:rsidP="00B3729F">
      <w:pPr>
        <w:autoSpaceDE w:val="0"/>
        <w:autoSpaceDN w:val="0"/>
        <w:adjustRightInd w:val="0"/>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Ces documents doivent être mis à la disposition des communautés en copie papier, ils peuvent être déposés à la mairie, auprès des chefs de quartier ou chez les facilitateurs locaux pour consultation. </w:t>
      </w:r>
    </w:p>
    <w:p w14:paraId="0928AA9D" w14:textId="03108C97" w:rsidR="005F3FB7" w:rsidRPr="00260790" w:rsidRDefault="005F3FB7" w:rsidP="003B6588">
      <w:pPr>
        <w:pStyle w:val="CHAPITRE1"/>
        <w:rPr>
          <w:rFonts w:cs="Times New Roman"/>
        </w:rPr>
      </w:pPr>
      <w:bookmarkStart w:id="2210" w:name="_Toc65583170"/>
      <w:bookmarkStart w:id="2211" w:name="_Toc106652876"/>
      <w:bookmarkStart w:id="2212" w:name="_Toc212725169"/>
      <w:r w:rsidRPr="00260790">
        <w:rPr>
          <w:rFonts w:cs="Times New Roman"/>
        </w:rPr>
        <w:t>Responsabilités de mise en œuvre du PMPP</w:t>
      </w:r>
      <w:bookmarkEnd w:id="2210"/>
      <w:bookmarkEnd w:id="2211"/>
      <w:bookmarkEnd w:id="2212"/>
    </w:p>
    <w:p w14:paraId="7825EF05" w14:textId="77777777" w:rsidR="005F3FB7" w:rsidRPr="00260790" w:rsidRDefault="005F3FB7" w:rsidP="00E20250">
      <w:pPr>
        <w:autoSpaceDE w:val="0"/>
        <w:autoSpaceDN w:val="0"/>
        <w:adjustRightInd w:val="0"/>
        <w:spacing w:after="0" w:line="240" w:lineRule="auto"/>
        <w:jc w:val="both"/>
        <w:rPr>
          <w:rFonts w:ascii="Times New Roman" w:hAnsi="Times New Roman"/>
          <w:color w:val="000000" w:themeColor="text1"/>
        </w:rPr>
      </w:pPr>
      <w:r w:rsidRPr="00260790">
        <w:rPr>
          <w:rFonts w:ascii="Times New Roman" w:hAnsi="Times New Roman"/>
          <w:color w:val="000000" w:themeColor="text1"/>
        </w:rPr>
        <w:t>Le tableau suivant résume les fonctions de gestion et de responsabilité</w:t>
      </w:r>
    </w:p>
    <w:p w14:paraId="624F968A" w14:textId="77777777" w:rsidR="005F3FB7" w:rsidRPr="00260790" w:rsidRDefault="005F3FB7" w:rsidP="00E20250">
      <w:pPr>
        <w:autoSpaceDE w:val="0"/>
        <w:autoSpaceDN w:val="0"/>
        <w:adjustRightInd w:val="0"/>
        <w:spacing w:after="0" w:line="240" w:lineRule="auto"/>
        <w:jc w:val="both"/>
        <w:rPr>
          <w:rFonts w:ascii="Times New Roman" w:hAnsi="Times New Roman"/>
          <w:color w:val="000000" w:themeColor="text1"/>
        </w:rPr>
      </w:pPr>
    </w:p>
    <w:p w14:paraId="224F1290" w14:textId="18D9BE9B" w:rsidR="005F3FB7" w:rsidRPr="00260790" w:rsidRDefault="005F3FB7" w:rsidP="00E20250">
      <w:pPr>
        <w:pStyle w:val="Lgende"/>
        <w:keepNext/>
        <w:spacing w:after="0" w:line="240" w:lineRule="auto"/>
        <w:rPr>
          <w:i w:val="0"/>
          <w:iCs w:val="0"/>
          <w:color w:val="000000" w:themeColor="text1"/>
          <w:sz w:val="22"/>
          <w:szCs w:val="22"/>
        </w:rPr>
      </w:pPr>
      <w:bookmarkStart w:id="2213" w:name="_Toc65583197"/>
      <w:bookmarkStart w:id="2214" w:name="_Toc207781954"/>
      <w:r w:rsidRPr="00260790">
        <w:rPr>
          <w:i w:val="0"/>
          <w:iCs w:val="0"/>
          <w:color w:val="000000" w:themeColor="text1"/>
          <w:sz w:val="22"/>
          <w:szCs w:val="22"/>
        </w:rPr>
        <w:t xml:space="preserve">Tableau </w:t>
      </w:r>
      <w:r w:rsidRPr="00260790">
        <w:rPr>
          <w:i w:val="0"/>
          <w:iCs w:val="0"/>
          <w:color w:val="000000" w:themeColor="text1"/>
          <w:sz w:val="22"/>
          <w:szCs w:val="22"/>
        </w:rPr>
        <w:fldChar w:fldCharType="begin"/>
      </w:r>
      <w:r w:rsidRPr="00260790">
        <w:rPr>
          <w:i w:val="0"/>
          <w:iCs w:val="0"/>
          <w:color w:val="000000" w:themeColor="text1"/>
          <w:sz w:val="22"/>
          <w:szCs w:val="22"/>
        </w:rPr>
        <w:instrText xml:space="preserve"> SEQ Tableau \* ARABIC </w:instrText>
      </w:r>
      <w:r w:rsidRPr="00260790">
        <w:rPr>
          <w:i w:val="0"/>
          <w:iCs w:val="0"/>
          <w:color w:val="000000" w:themeColor="text1"/>
          <w:sz w:val="22"/>
          <w:szCs w:val="22"/>
        </w:rPr>
        <w:fldChar w:fldCharType="separate"/>
      </w:r>
      <w:r w:rsidR="003C783E">
        <w:rPr>
          <w:i w:val="0"/>
          <w:iCs w:val="0"/>
          <w:noProof/>
          <w:color w:val="000000" w:themeColor="text1"/>
          <w:sz w:val="22"/>
          <w:szCs w:val="22"/>
        </w:rPr>
        <w:t>113</w:t>
      </w:r>
      <w:r w:rsidRPr="00260790">
        <w:rPr>
          <w:i w:val="0"/>
          <w:iCs w:val="0"/>
          <w:color w:val="000000" w:themeColor="text1"/>
          <w:sz w:val="22"/>
          <w:szCs w:val="22"/>
        </w:rPr>
        <w:fldChar w:fldCharType="end"/>
      </w:r>
      <w:r w:rsidRPr="00260790">
        <w:rPr>
          <w:i w:val="0"/>
          <w:iCs w:val="0"/>
          <w:color w:val="000000" w:themeColor="text1"/>
          <w:sz w:val="22"/>
          <w:szCs w:val="22"/>
        </w:rPr>
        <w:t xml:space="preserve"> : Fonction de gestion et </w:t>
      </w:r>
      <w:r w:rsidR="00820ED7" w:rsidRPr="00260790">
        <w:rPr>
          <w:i w:val="0"/>
          <w:iCs w:val="0"/>
          <w:color w:val="000000" w:themeColor="text1"/>
          <w:sz w:val="22"/>
          <w:szCs w:val="22"/>
        </w:rPr>
        <w:t xml:space="preserve">de </w:t>
      </w:r>
      <w:r w:rsidRPr="00260790">
        <w:rPr>
          <w:i w:val="0"/>
          <w:iCs w:val="0"/>
          <w:color w:val="000000" w:themeColor="text1"/>
          <w:sz w:val="22"/>
          <w:szCs w:val="22"/>
        </w:rPr>
        <w:t>responsabilités</w:t>
      </w:r>
      <w:bookmarkEnd w:id="2213"/>
      <w:bookmarkEnd w:id="2214"/>
    </w:p>
    <w:tbl>
      <w:tblPr>
        <w:tblW w:w="53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7834"/>
      </w:tblGrid>
      <w:tr w:rsidR="00BD1A2F" w:rsidRPr="00260790" w14:paraId="00B28388" w14:textId="77777777" w:rsidTr="005F3FB7">
        <w:trPr>
          <w:trHeight w:val="330"/>
        </w:trPr>
        <w:tc>
          <w:tcPr>
            <w:tcW w:w="993" w:type="pct"/>
            <w:shd w:val="clear" w:color="auto" w:fill="E2EFD9"/>
            <w:vAlign w:val="center"/>
          </w:tcPr>
          <w:p w14:paraId="4E87DD67" w14:textId="77777777" w:rsidR="005F3FB7" w:rsidRPr="00260790" w:rsidRDefault="005F3FB7" w:rsidP="00E20250">
            <w:pPr>
              <w:spacing w:after="0" w:line="240" w:lineRule="auto"/>
              <w:rPr>
                <w:rFonts w:ascii="Times New Roman" w:hAnsi="Times New Roman"/>
                <w:color w:val="000000" w:themeColor="text1"/>
              </w:rPr>
            </w:pPr>
            <w:r w:rsidRPr="00260790">
              <w:rPr>
                <w:rFonts w:ascii="Times New Roman" w:hAnsi="Times New Roman"/>
                <w:b/>
                <w:color w:val="000000" w:themeColor="text1"/>
              </w:rPr>
              <w:t>Catégories d’acteurs</w:t>
            </w:r>
          </w:p>
        </w:tc>
        <w:tc>
          <w:tcPr>
            <w:tcW w:w="4007" w:type="pct"/>
            <w:shd w:val="clear" w:color="auto" w:fill="E2EFD9"/>
            <w:vAlign w:val="center"/>
          </w:tcPr>
          <w:p w14:paraId="4D459002" w14:textId="77777777" w:rsidR="005F3FB7" w:rsidRPr="00260790" w:rsidRDefault="005F3FB7" w:rsidP="00E20250">
            <w:pPr>
              <w:spacing w:after="0" w:line="240" w:lineRule="auto"/>
              <w:rPr>
                <w:rFonts w:ascii="Times New Roman" w:hAnsi="Times New Roman"/>
                <w:color w:val="000000" w:themeColor="text1"/>
              </w:rPr>
            </w:pPr>
            <w:r w:rsidRPr="00260790">
              <w:rPr>
                <w:rFonts w:ascii="Times New Roman" w:hAnsi="Times New Roman"/>
                <w:b/>
                <w:color w:val="000000" w:themeColor="text1"/>
              </w:rPr>
              <w:t>Responsabilités</w:t>
            </w:r>
          </w:p>
        </w:tc>
      </w:tr>
      <w:tr w:rsidR="00BD1A2F" w:rsidRPr="00260790" w14:paraId="651A09EE" w14:textId="77777777" w:rsidTr="005F3FB7">
        <w:tc>
          <w:tcPr>
            <w:tcW w:w="993" w:type="pct"/>
            <w:vAlign w:val="center"/>
          </w:tcPr>
          <w:p w14:paraId="5B6CB3F9" w14:textId="77777777" w:rsidR="005F3FB7" w:rsidRPr="00260790" w:rsidRDefault="005F3FB7" w:rsidP="00E20250">
            <w:pPr>
              <w:spacing w:after="0" w:line="240" w:lineRule="auto"/>
              <w:jc w:val="center"/>
              <w:rPr>
                <w:rFonts w:ascii="Times New Roman" w:hAnsi="Times New Roman"/>
                <w:b/>
                <w:color w:val="000000" w:themeColor="text1"/>
              </w:rPr>
            </w:pPr>
            <w:r w:rsidRPr="00260790">
              <w:rPr>
                <w:rFonts w:ascii="Times New Roman" w:hAnsi="Times New Roman"/>
                <w:b/>
                <w:color w:val="000000" w:themeColor="text1"/>
              </w:rPr>
              <w:t>ADM</w:t>
            </w:r>
          </w:p>
        </w:tc>
        <w:tc>
          <w:tcPr>
            <w:tcW w:w="4007" w:type="pct"/>
            <w:vAlign w:val="center"/>
          </w:tcPr>
          <w:p w14:paraId="744140CE" w14:textId="77777777" w:rsidR="005F3FB7" w:rsidRPr="00260790" w:rsidRDefault="005F3FB7" w:rsidP="001748C6">
            <w:pPr>
              <w:numPr>
                <w:ilvl w:val="0"/>
                <w:numId w:val="14"/>
              </w:numPr>
              <w:autoSpaceDE w:val="0"/>
              <w:autoSpaceDN w:val="0"/>
              <w:adjustRightInd w:val="0"/>
              <w:spacing w:after="0" w:line="240" w:lineRule="auto"/>
              <w:jc w:val="both"/>
              <w:rPr>
                <w:rFonts w:ascii="Times New Roman" w:hAnsi="Times New Roman"/>
                <w:color w:val="000000" w:themeColor="text1"/>
              </w:rPr>
            </w:pPr>
            <w:r w:rsidRPr="00260790">
              <w:rPr>
                <w:rFonts w:ascii="Times New Roman" w:hAnsi="Times New Roman"/>
                <w:color w:val="000000" w:themeColor="text1"/>
              </w:rPr>
              <w:t>Assurer la maitrise d’Ouvrage</w:t>
            </w:r>
          </w:p>
          <w:p w14:paraId="066012FB" w14:textId="77777777" w:rsidR="005F3FB7" w:rsidRPr="00260790" w:rsidRDefault="005F3FB7" w:rsidP="001748C6">
            <w:pPr>
              <w:numPr>
                <w:ilvl w:val="0"/>
                <w:numId w:val="14"/>
              </w:numPr>
              <w:autoSpaceDE w:val="0"/>
              <w:autoSpaceDN w:val="0"/>
              <w:adjustRightInd w:val="0"/>
              <w:spacing w:after="0" w:line="240" w:lineRule="auto"/>
              <w:jc w:val="both"/>
              <w:rPr>
                <w:rFonts w:ascii="Times New Roman" w:hAnsi="Times New Roman"/>
                <w:color w:val="000000" w:themeColor="text1"/>
              </w:rPr>
            </w:pPr>
            <w:r w:rsidRPr="00260790">
              <w:rPr>
                <w:rFonts w:ascii="Times New Roman" w:hAnsi="Times New Roman"/>
                <w:color w:val="000000" w:themeColor="text1"/>
              </w:rPr>
              <w:t>Assurer la mobilisation des ressources financières y relatives</w:t>
            </w:r>
          </w:p>
          <w:p w14:paraId="2EC4C947" w14:textId="77777777" w:rsidR="005F3FB7" w:rsidRPr="00260790" w:rsidRDefault="005F3FB7" w:rsidP="001748C6">
            <w:pPr>
              <w:numPr>
                <w:ilvl w:val="0"/>
                <w:numId w:val="14"/>
              </w:numPr>
              <w:autoSpaceDE w:val="0"/>
              <w:autoSpaceDN w:val="0"/>
              <w:adjustRightInd w:val="0"/>
              <w:spacing w:after="0" w:line="240" w:lineRule="auto"/>
              <w:jc w:val="both"/>
              <w:rPr>
                <w:rFonts w:ascii="Times New Roman" w:hAnsi="Times New Roman"/>
                <w:color w:val="000000" w:themeColor="text1"/>
              </w:rPr>
            </w:pPr>
            <w:r w:rsidRPr="00260790">
              <w:rPr>
                <w:rFonts w:ascii="Times New Roman" w:hAnsi="Times New Roman"/>
                <w:color w:val="000000" w:themeColor="text1"/>
              </w:rPr>
              <w:t>Appuyer la préparation et la mise en œuvre du PMPP et des études de sauvegardes E&amp;S</w:t>
            </w:r>
          </w:p>
          <w:p w14:paraId="4E6A7512" w14:textId="77777777" w:rsidR="005F3FB7" w:rsidRPr="00260790" w:rsidRDefault="005F3FB7" w:rsidP="001748C6">
            <w:pPr>
              <w:numPr>
                <w:ilvl w:val="0"/>
                <w:numId w:val="14"/>
              </w:numPr>
              <w:autoSpaceDE w:val="0"/>
              <w:autoSpaceDN w:val="0"/>
              <w:adjustRightInd w:val="0"/>
              <w:spacing w:after="0" w:line="240" w:lineRule="auto"/>
              <w:jc w:val="both"/>
              <w:rPr>
                <w:rFonts w:ascii="Times New Roman" w:hAnsi="Times New Roman"/>
                <w:color w:val="000000" w:themeColor="text1"/>
              </w:rPr>
            </w:pPr>
            <w:r w:rsidRPr="00260790">
              <w:rPr>
                <w:rFonts w:ascii="Times New Roman" w:hAnsi="Times New Roman"/>
                <w:color w:val="000000" w:themeColor="text1"/>
              </w:rPr>
              <w:t>Exiger un rapport global sur l’état de mise en œuvre des mesures de gestion environnementale et sociale et du PMPP</w:t>
            </w:r>
          </w:p>
        </w:tc>
      </w:tr>
      <w:tr w:rsidR="00BD1A2F" w:rsidRPr="00260790" w14:paraId="5B5A17E9" w14:textId="77777777" w:rsidTr="005F3FB7">
        <w:tc>
          <w:tcPr>
            <w:tcW w:w="993" w:type="pct"/>
            <w:vAlign w:val="center"/>
          </w:tcPr>
          <w:p w14:paraId="32FBD9DC" w14:textId="77777777" w:rsidR="005F3FB7" w:rsidRPr="00260790" w:rsidRDefault="005F3FB7" w:rsidP="00E20250">
            <w:pPr>
              <w:spacing w:after="0" w:line="240" w:lineRule="auto"/>
              <w:jc w:val="center"/>
              <w:rPr>
                <w:rFonts w:ascii="Times New Roman" w:hAnsi="Times New Roman"/>
                <w:b/>
                <w:color w:val="000000" w:themeColor="text1"/>
              </w:rPr>
            </w:pPr>
            <w:r w:rsidRPr="00260790">
              <w:rPr>
                <w:rFonts w:ascii="Times New Roman" w:hAnsi="Times New Roman"/>
                <w:b/>
                <w:color w:val="000000" w:themeColor="text1"/>
              </w:rPr>
              <w:t>Entreprises</w:t>
            </w:r>
          </w:p>
        </w:tc>
        <w:tc>
          <w:tcPr>
            <w:tcW w:w="4007" w:type="pct"/>
          </w:tcPr>
          <w:p w14:paraId="02E1A411" w14:textId="3BECED73" w:rsidR="005F3FB7" w:rsidRPr="00260790" w:rsidRDefault="00275B86" w:rsidP="001748C6">
            <w:pPr>
              <w:numPr>
                <w:ilvl w:val="0"/>
                <w:numId w:val="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Mettre</w:t>
            </w:r>
            <w:r w:rsidR="005F3FB7" w:rsidRPr="00260790">
              <w:rPr>
                <w:rFonts w:ascii="Times New Roman" w:hAnsi="Times New Roman"/>
                <w:color w:val="000000" w:themeColor="text1"/>
              </w:rPr>
              <w:t xml:space="preserve"> en œuvre des composantes des projets d’infrastructure</w:t>
            </w:r>
          </w:p>
          <w:p w14:paraId="255FDD2B" w14:textId="7B5A7AC0" w:rsidR="005F3FB7" w:rsidRPr="00260790" w:rsidRDefault="005F3FB7" w:rsidP="001748C6">
            <w:pPr>
              <w:numPr>
                <w:ilvl w:val="0"/>
                <w:numId w:val="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lastRenderedPageBreak/>
              <w:t xml:space="preserve">Exécuter les mesures environnementales et sociales et </w:t>
            </w:r>
            <w:r w:rsidR="009D7DDA" w:rsidRPr="00260790">
              <w:rPr>
                <w:rFonts w:ascii="Times New Roman" w:hAnsi="Times New Roman"/>
                <w:color w:val="000000" w:themeColor="text1"/>
              </w:rPr>
              <w:t>E</w:t>
            </w:r>
            <w:r w:rsidR="00B35F66" w:rsidRPr="00260790">
              <w:rPr>
                <w:rFonts w:ascii="Times New Roman" w:hAnsi="Times New Roman"/>
                <w:color w:val="000000" w:themeColor="text1"/>
              </w:rPr>
              <w:t>A</w:t>
            </w:r>
            <w:r w:rsidRPr="00260790">
              <w:rPr>
                <w:rFonts w:ascii="Times New Roman" w:hAnsi="Times New Roman"/>
                <w:color w:val="000000" w:themeColor="text1"/>
              </w:rPr>
              <w:t>S/HS</w:t>
            </w:r>
          </w:p>
          <w:p w14:paraId="69B48EEA" w14:textId="77777777" w:rsidR="005F3FB7" w:rsidRPr="00260790" w:rsidRDefault="005F3FB7" w:rsidP="001748C6">
            <w:pPr>
              <w:numPr>
                <w:ilvl w:val="0"/>
                <w:numId w:val="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Mobiliser les Experts Environnementaliste/ HSE/ Social et Genre</w:t>
            </w:r>
          </w:p>
          <w:p w14:paraId="4EDBA51D" w14:textId="77777777" w:rsidR="005F3FB7" w:rsidRPr="00260790" w:rsidRDefault="005F3FB7" w:rsidP="001748C6">
            <w:pPr>
              <w:numPr>
                <w:ilvl w:val="0"/>
                <w:numId w:val="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Fournir des rapports de mise en œuvre</w:t>
            </w:r>
          </w:p>
        </w:tc>
      </w:tr>
      <w:tr w:rsidR="00BD1A2F" w:rsidRPr="00260790" w14:paraId="141E0EE2" w14:textId="77777777" w:rsidTr="005F3FB7">
        <w:tc>
          <w:tcPr>
            <w:tcW w:w="993" w:type="pct"/>
            <w:vAlign w:val="center"/>
          </w:tcPr>
          <w:p w14:paraId="2A541F56" w14:textId="77777777" w:rsidR="005F3FB7" w:rsidRPr="00260790" w:rsidRDefault="005F3FB7" w:rsidP="00E20250">
            <w:pPr>
              <w:spacing w:after="0" w:line="240" w:lineRule="auto"/>
              <w:jc w:val="center"/>
              <w:rPr>
                <w:rFonts w:ascii="Times New Roman" w:hAnsi="Times New Roman"/>
                <w:b/>
                <w:color w:val="000000" w:themeColor="text1"/>
              </w:rPr>
            </w:pPr>
            <w:r w:rsidRPr="00260790">
              <w:rPr>
                <w:rFonts w:ascii="Times New Roman" w:hAnsi="Times New Roman"/>
                <w:b/>
                <w:color w:val="000000" w:themeColor="text1"/>
              </w:rPr>
              <w:t>Mission de Contrôle (MDC)</w:t>
            </w:r>
          </w:p>
        </w:tc>
        <w:tc>
          <w:tcPr>
            <w:tcW w:w="4007" w:type="pct"/>
          </w:tcPr>
          <w:p w14:paraId="7842E9F9" w14:textId="430FCA1B" w:rsidR="005F3FB7" w:rsidRPr="00260790" w:rsidRDefault="00275B86" w:rsidP="001748C6">
            <w:pPr>
              <w:numPr>
                <w:ilvl w:val="0"/>
                <w:numId w:val="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Coordonner l</w:t>
            </w:r>
            <w:r w:rsidR="005F3FB7" w:rsidRPr="00260790">
              <w:rPr>
                <w:rFonts w:ascii="Times New Roman" w:hAnsi="Times New Roman"/>
                <w:color w:val="000000" w:themeColor="text1"/>
              </w:rPr>
              <w:t>es études, de la réalisation et du suivi des travaux</w:t>
            </w:r>
          </w:p>
          <w:p w14:paraId="3A16FD74" w14:textId="77777777" w:rsidR="005F3FB7" w:rsidRPr="00260790" w:rsidRDefault="005F3FB7" w:rsidP="001748C6">
            <w:pPr>
              <w:numPr>
                <w:ilvl w:val="0"/>
                <w:numId w:val="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Préparer un plan de surveillance environnementale et sociale détaillé et approuvé par l’ADM et l’exécuter </w:t>
            </w:r>
          </w:p>
          <w:p w14:paraId="1F0618B2" w14:textId="35B72C25" w:rsidR="005F3FB7" w:rsidRPr="00260790" w:rsidRDefault="00275B86" w:rsidP="001748C6">
            <w:pPr>
              <w:numPr>
                <w:ilvl w:val="0"/>
                <w:numId w:val="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Recruter </w:t>
            </w:r>
            <w:r w:rsidR="005F3FB7" w:rsidRPr="00260790">
              <w:rPr>
                <w:rFonts w:ascii="Times New Roman" w:hAnsi="Times New Roman"/>
                <w:color w:val="000000" w:themeColor="text1"/>
              </w:rPr>
              <w:t>un Expe</w:t>
            </w:r>
            <w:r w:rsidRPr="00260790">
              <w:rPr>
                <w:rFonts w:ascii="Times New Roman" w:hAnsi="Times New Roman"/>
                <w:color w:val="000000" w:themeColor="text1"/>
              </w:rPr>
              <w:t xml:space="preserve">rt Environnement et social et </w:t>
            </w:r>
            <w:r w:rsidR="005F3FB7" w:rsidRPr="00260790">
              <w:rPr>
                <w:rFonts w:ascii="Times New Roman" w:hAnsi="Times New Roman"/>
                <w:color w:val="000000" w:themeColor="text1"/>
              </w:rPr>
              <w:t xml:space="preserve">un spécialiste en santé - sécurité </w:t>
            </w:r>
            <w:r w:rsidR="00B35F66" w:rsidRPr="00260790">
              <w:rPr>
                <w:rFonts w:ascii="Times New Roman" w:hAnsi="Times New Roman"/>
                <w:color w:val="000000" w:themeColor="text1"/>
              </w:rPr>
              <w:t>et les mobiliser en temps plein</w:t>
            </w:r>
          </w:p>
          <w:p w14:paraId="47EE1811" w14:textId="3E46DC06" w:rsidR="005F3FB7" w:rsidRPr="00260790" w:rsidRDefault="008F63FD" w:rsidP="001748C6">
            <w:pPr>
              <w:numPr>
                <w:ilvl w:val="0"/>
                <w:numId w:val="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Produire les </w:t>
            </w:r>
            <w:r w:rsidR="005F3FB7" w:rsidRPr="00260790">
              <w:rPr>
                <w:rFonts w:ascii="Times New Roman" w:hAnsi="Times New Roman"/>
                <w:color w:val="000000" w:themeColor="text1"/>
              </w:rPr>
              <w:t>rapports, PV chantiers, etc.</w:t>
            </w:r>
            <w:r w:rsidR="00F63410" w:rsidRPr="00260790">
              <w:rPr>
                <w:rFonts w:ascii="Times New Roman" w:hAnsi="Times New Roman"/>
                <w:color w:val="000000" w:themeColor="text1"/>
              </w:rPr>
              <w:t>,</w:t>
            </w:r>
            <w:r w:rsidR="005F3FB7" w:rsidRPr="00260790">
              <w:rPr>
                <w:rFonts w:ascii="Times New Roman" w:hAnsi="Times New Roman"/>
                <w:color w:val="000000" w:themeColor="text1"/>
              </w:rPr>
              <w:t xml:space="preserve"> sur la mise en œuvre du PGES</w:t>
            </w:r>
          </w:p>
        </w:tc>
      </w:tr>
      <w:tr w:rsidR="00BD1A2F" w:rsidRPr="00260790" w14:paraId="44DB9770" w14:textId="77777777" w:rsidTr="005F3FB7">
        <w:tc>
          <w:tcPr>
            <w:tcW w:w="993" w:type="pct"/>
            <w:vAlign w:val="center"/>
          </w:tcPr>
          <w:p w14:paraId="602DAB3F" w14:textId="77777777" w:rsidR="005F3FB7" w:rsidRPr="00260790" w:rsidRDefault="005F3FB7" w:rsidP="00E20250">
            <w:pPr>
              <w:spacing w:after="0" w:line="240" w:lineRule="auto"/>
              <w:jc w:val="center"/>
              <w:rPr>
                <w:rFonts w:ascii="Times New Roman" w:hAnsi="Times New Roman"/>
                <w:b/>
                <w:color w:val="000000" w:themeColor="text1"/>
              </w:rPr>
            </w:pPr>
            <w:r w:rsidRPr="00260790">
              <w:rPr>
                <w:rFonts w:ascii="Times New Roman" w:hAnsi="Times New Roman"/>
                <w:b/>
                <w:color w:val="000000" w:themeColor="text1"/>
              </w:rPr>
              <w:t>Services Techniques/CRSE</w:t>
            </w:r>
          </w:p>
        </w:tc>
        <w:tc>
          <w:tcPr>
            <w:tcW w:w="4007" w:type="pct"/>
          </w:tcPr>
          <w:p w14:paraId="530F841A" w14:textId="77777777" w:rsidR="005F3FB7" w:rsidRPr="00260790" w:rsidRDefault="005F3FB7" w:rsidP="001748C6">
            <w:pPr>
              <w:numPr>
                <w:ilvl w:val="0"/>
                <w:numId w:val="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Accompagner le projet dans le suivi environnemental et social et la mise en œuvre du PMPP</w:t>
            </w:r>
          </w:p>
          <w:p w14:paraId="154BA8B9" w14:textId="77777777" w:rsidR="005F3FB7" w:rsidRPr="00260790" w:rsidRDefault="005F3FB7" w:rsidP="001748C6">
            <w:pPr>
              <w:numPr>
                <w:ilvl w:val="0"/>
                <w:numId w:val="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Assurer le suivi externe des travaux et la mise en œuvre du PMPP</w:t>
            </w:r>
          </w:p>
          <w:p w14:paraId="12947B6E" w14:textId="77777777" w:rsidR="005F3FB7" w:rsidRPr="00260790" w:rsidRDefault="005F3FB7" w:rsidP="001748C6">
            <w:pPr>
              <w:numPr>
                <w:ilvl w:val="0"/>
                <w:numId w:val="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Participer aux séances de renforcement des capacités</w:t>
            </w:r>
          </w:p>
          <w:p w14:paraId="654FE39B" w14:textId="77777777" w:rsidR="005F3FB7" w:rsidRPr="00260790" w:rsidRDefault="005F3FB7" w:rsidP="001748C6">
            <w:pPr>
              <w:numPr>
                <w:ilvl w:val="0"/>
                <w:numId w:val="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Participer à la réception provisoire et définitive des travaux</w:t>
            </w:r>
          </w:p>
        </w:tc>
      </w:tr>
      <w:tr w:rsidR="00BD1A2F" w:rsidRPr="00260790" w14:paraId="325B9870" w14:textId="77777777" w:rsidTr="005F3FB7">
        <w:tc>
          <w:tcPr>
            <w:tcW w:w="993" w:type="pct"/>
            <w:vAlign w:val="center"/>
          </w:tcPr>
          <w:p w14:paraId="374D6D45" w14:textId="77777777" w:rsidR="005F3FB7" w:rsidRPr="00260790" w:rsidRDefault="005F3FB7" w:rsidP="00E20250">
            <w:pPr>
              <w:spacing w:after="0" w:line="240" w:lineRule="auto"/>
              <w:jc w:val="center"/>
              <w:rPr>
                <w:rFonts w:ascii="Times New Roman" w:hAnsi="Times New Roman"/>
                <w:b/>
                <w:color w:val="000000" w:themeColor="text1"/>
              </w:rPr>
            </w:pPr>
            <w:r w:rsidRPr="00260790">
              <w:rPr>
                <w:rFonts w:ascii="Times New Roman" w:hAnsi="Times New Roman"/>
                <w:b/>
                <w:color w:val="000000" w:themeColor="text1"/>
              </w:rPr>
              <w:t xml:space="preserve">Collectivités territoriales </w:t>
            </w:r>
          </w:p>
        </w:tc>
        <w:tc>
          <w:tcPr>
            <w:tcW w:w="4007" w:type="pct"/>
          </w:tcPr>
          <w:p w14:paraId="3065B1C8" w14:textId="574FF5BE" w:rsidR="005F3FB7" w:rsidRPr="00260790" w:rsidRDefault="00467305" w:rsidP="001748C6">
            <w:pPr>
              <w:numPr>
                <w:ilvl w:val="0"/>
                <w:numId w:val="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Informer</w:t>
            </w:r>
            <w:r w:rsidR="008F63FD" w:rsidRPr="00260790">
              <w:rPr>
                <w:rFonts w:ascii="Times New Roman" w:hAnsi="Times New Roman"/>
                <w:color w:val="000000" w:themeColor="text1"/>
              </w:rPr>
              <w:t xml:space="preserve"> et sensibiliser l</w:t>
            </w:r>
            <w:r w:rsidR="005F3FB7" w:rsidRPr="00260790">
              <w:rPr>
                <w:rFonts w:ascii="Times New Roman" w:hAnsi="Times New Roman"/>
                <w:color w:val="000000" w:themeColor="text1"/>
              </w:rPr>
              <w:t xml:space="preserve">es élus </w:t>
            </w:r>
          </w:p>
          <w:p w14:paraId="48620499" w14:textId="77777777" w:rsidR="005F3FB7" w:rsidRPr="00260790" w:rsidRDefault="005F3FB7" w:rsidP="001748C6">
            <w:pPr>
              <w:numPr>
                <w:ilvl w:val="0"/>
                <w:numId w:val="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Instruire les Services Techniques communaux dans le suivi de proximité</w:t>
            </w:r>
          </w:p>
          <w:p w14:paraId="73572B3C" w14:textId="77777777" w:rsidR="005F3FB7" w:rsidRPr="00260790" w:rsidRDefault="005F3FB7" w:rsidP="001748C6">
            <w:pPr>
              <w:numPr>
                <w:ilvl w:val="0"/>
                <w:numId w:val="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Médiation entre le projet et les populations locales en cas de conflits. </w:t>
            </w:r>
          </w:p>
          <w:p w14:paraId="72228BD6" w14:textId="77777777" w:rsidR="005F3FB7" w:rsidRPr="00260790" w:rsidRDefault="005F3FB7" w:rsidP="001748C6">
            <w:pPr>
              <w:numPr>
                <w:ilvl w:val="0"/>
                <w:numId w:val="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Informer, éduquer et conscientiser les populations locales</w:t>
            </w:r>
          </w:p>
        </w:tc>
      </w:tr>
      <w:tr w:rsidR="00BD1A2F" w:rsidRPr="00260790" w14:paraId="5C318AB5" w14:textId="77777777" w:rsidTr="005F3FB7">
        <w:tc>
          <w:tcPr>
            <w:tcW w:w="993" w:type="pct"/>
            <w:vAlign w:val="center"/>
          </w:tcPr>
          <w:p w14:paraId="7EF3D8BA" w14:textId="77777777" w:rsidR="005F3FB7" w:rsidRPr="00260790" w:rsidRDefault="005F3FB7" w:rsidP="00E20250">
            <w:pPr>
              <w:spacing w:after="0" w:line="240" w:lineRule="auto"/>
              <w:jc w:val="center"/>
              <w:rPr>
                <w:rFonts w:ascii="Times New Roman" w:hAnsi="Times New Roman"/>
                <w:b/>
                <w:color w:val="000000" w:themeColor="text1"/>
              </w:rPr>
            </w:pPr>
            <w:r w:rsidRPr="00260790">
              <w:rPr>
                <w:rFonts w:ascii="Times New Roman" w:hAnsi="Times New Roman"/>
                <w:b/>
                <w:color w:val="000000" w:themeColor="text1"/>
              </w:rPr>
              <w:t>Associations locales et ONG</w:t>
            </w:r>
          </w:p>
        </w:tc>
        <w:tc>
          <w:tcPr>
            <w:tcW w:w="4007" w:type="pct"/>
          </w:tcPr>
          <w:p w14:paraId="6BCE41D1" w14:textId="77777777" w:rsidR="005F3FB7" w:rsidRPr="00260790" w:rsidRDefault="005F3FB7" w:rsidP="001748C6">
            <w:pPr>
              <w:pStyle w:val="Grillemoyenne1-Accent22"/>
              <w:numPr>
                <w:ilvl w:val="0"/>
                <w:numId w:val="71"/>
              </w:numPr>
              <w:jc w:val="both"/>
              <w:rPr>
                <w:color w:val="000000" w:themeColor="text1"/>
                <w:sz w:val="22"/>
                <w:szCs w:val="22"/>
              </w:rPr>
            </w:pPr>
            <w:r w:rsidRPr="00260790">
              <w:rPr>
                <w:color w:val="000000" w:themeColor="text1"/>
                <w:sz w:val="22"/>
                <w:szCs w:val="22"/>
              </w:rPr>
              <w:t>Participer à la conscientisation des populations riveraines</w:t>
            </w:r>
          </w:p>
          <w:p w14:paraId="62BFDEA4" w14:textId="1117C515" w:rsidR="005F3FB7" w:rsidRPr="00260790" w:rsidRDefault="005F3FB7" w:rsidP="001748C6">
            <w:pPr>
              <w:pStyle w:val="Grillemoyenne1-Accent22"/>
              <w:numPr>
                <w:ilvl w:val="0"/>
                <w:numId w:val="71"/>
              </w:numPr>
              <w:jc w:val="both"/>
              <w:rPr>
                <w:color w:val="000000" w:themeColor="text1"/>
                <w:sz w:val="22"/>
                <w:szCs w:val="22"/>
              </w:rPr>
            </w:pPr>
            <w:r w:rsidRPr="00260790">
              <w:rPr>
                <w:color w:val="000000" w:themeColor="text1"/>
                <w:sz w:val="22"/>
                <w:szCs w:val="22"/>
              </w:rPr>
              <w:t>Informer, éduquer et conscientiser les populations des zones bénéficiaires sur les aspect</w:t>
            </w:r>
            <w:r w:rsidR="00275B86" w:rsidRPr="00260790">
              <w:rPr>
                <w:color w:val="000000" w:themeColor="text1"/>
                <w:sz w:val="22"/>
                <w:szCs w:val="22"/>
              </w:rPr>
              <w:t xml:space="preserve">s environnementaux et sociaux, </w:t>
            </w:r>
            <w:r w:rsidR="009D7DDA" w:rsidRPr="00260790">
              <w:rPr>
                <w:color w:val="000000" w:themeColor="text1"/>
                <w:sz w:val="22"/>
                <w:szCs w:val="22"/>
              </w:rPr>
              <w:t>E</w:t>
            </w:r>
            <w:r w:rsidR="00275B86" w:rsidRPr="00260790">
              <w:rPr>
                <w:color w:val="000000" w:themeColor="text1"/>
                <w:sz w:val="22"/>
                <w:szCs w:val="22"/>
              </w:rPr>
              <w:t>A</w:t>
            </w:r>
            <w:r w:rsidRPr="00260790">
              <w:rPr>
                <w:color w:val="000000" w:themeColor="text1"/>
                <w:sz w:val="22"/>
                <w:szCs w:val="22"/>
              </w:rPr>
              <w:t>S/HS lié au projet</w:t>
            </w:r>
          </w:p>
          <w:p w14:paraId="75CD332F" w14:textId="77777777" w:rsidR="005F3FB7" w:rsidRPr="00260790" w:rsidRDefault="005F3FB7" w:rsidP="001748C6">
            <w:pPr>
              <w:pStyle w:val="Grillemoyenne1-Accent22"/>
              <w:numPr>
                <w:ilvl w:val="0"/>
                <w:numId w:val="71"/>
              </w:numPr>
              <w:jc w:val="both"/>
              <w:rPr>
                <w:color w:val="000000" w:themeColor="text1"/>
                <w:sz w:val="22"/>
                <w:szCs w:val="22"/>
              </w:rPr>
            </w:pPr>
            <w:r w:rsidRPr="00260790">
              <w:rPr>
                <w:color w:val="000000" w:themeColor="text1"/>
                <w:sz w:val="22"/>
                <w:szCs w:val="22"/>
              </w:rPr>
              <w:t>Appuyer les agents d’engagement des Parties Prenantes</w:t>
            </w:r>
          </w:p>
        </w:tc>
      </w:tr>
    </w:tbl>
    <w:p w14:paraId="73A32CAC" w14:textId="77777777" w:rsidR="005F3FB7" w:rsidRPr="00260790" w:rsidRDefault="005F3FB7" w:rsidP="00E20250">
      <w:pPr>
        <w:autoSpaceDE w:val="0"/>
        <w:autoSpaceDN w:val="0"/>
        <w:adjustRightInd w:val="0"/>
        <w:spacing w:after="0" w:line="240" w:lineRule="auto"/>
        <w:jc w:val="both"/>
        <w:rPr>
          <w:rFonts w:ascii="Times New Roman" w:hAnsi="Times New Roman"/>
          <w:color w:val="000000" w:themeColor="text1"/>
        </w:rPr>
      </w:pPr>
    </w:p>
    <w:p w14:paraId="55F5CA67" w14:textId="77777777" w:rsidR="005F3FB7" w:rsidRPr="00260790" w:rsidRDefault="005F3FB7" w:rsidP="00E20250">
      <w:pPr>
        <w:autoSpaceDE w:val="0"/>
        <w:autoSpaceDN w:val="0"/>
        <w:adjustRightInd w:val="0"/>
        <w:spacing w:after="0" w:line="240" w:lineRule="auto"/>
        <w:jc w:val="both"/>
        <w:rPr>
          <w:rFonts w:ascii="Times New Roman" w:hAnsi="Times New Roman"/>
          <w:color w:val="000000" w:themeColor="text1"/>
        </w:rPr>
      </w:pPr>
    </w:p>
    <w:p w14:paraId="5162BE70" w14:textId="77777777" w:rsidR="005F3FB7" w:rsidRPr="00260790" w:rsidRDefault="005F3FB7" w:rsidP="00E20250">
      <w:pPr>
        <w:autoSpaceDE w:val="0"/>
        <w:autoSpaceDN w:val="0"/>
        <w:adjustRightInd w:val="0"/>
        <w:spacing w:after="0" w:line="240" w:lineRule="auto"/>
        <w:jc w:val="both"/>
        <w:rPr>
          <w:rFonts w:ascii="Times New Roman" w:hAnsi="Times New Roman"/>
          <w:color w:val="000000" w:themeColor="text1"/>
        </w:rPr>
      </w:pPr>
    </w:p>
    <w:p w14:paraId="5430B38A" w14:textId="77777777" w:rsidR="005F3FB7" w:rsidRPr="00260790" w:rsidRDefault="005F3FB7" w:rsidP="00E20250">
      <w:pPr>
        <w:autoSpaceDE w:val="0"/>
        <w:autoSpaceDN w:val="0"/>
        <w:adjustRightInd w:val="0"/>
        <w:spacing w:after="0" w:line="240" w:lineRule="auto"/>
        <w:jc w:val="both"/>
        <w:rPr>
          <w:rFonts w:ascii="Times New Roman" w:hAnsi="Times New Roman"/>
          <w:color w:val="000000" w:themeColor="text1"/>
        </w:rPr>
      </w:pPr>
    </w:p>
    <w:p w14:paraId="6B64A1B4" w14:textId="77777777" w:rsidR="005F3FB7" w:rsidRPr="00260790" w:rsidRDefault="005F3FB7" w:rsidP="00E20250">
      <w:pPr>
        <w:spacing w:line="240" w:lineRule="auto"/>
        <w:rPr>
          <w:rFonts w:ascii="Times New Roman" w:hAnsi="Times New Roman"/>
          <w:color w:val="000000" w:themeColor="text1"/>
          <w:lang w:eastAsia="fr-FR"/>
        </w:rPr>
      </w:pPr>
      <w:r w:rsidRPr="00260790">
        <w:rPr>
          <w:rFonts w:ascii="Times New Roman" w:hAnsi="Times New Roman"/>
          <w:color w:val="000000" w:themeColor="text1"/>
        </w:rPr>
        <w:br w:type="page"/>
      </w:r>
    </w:p>
    <w:p w14:paraId="0E9C57CD" w14:textId="77777777" w:rsidR="005F3FB7" w:rsidRPr="00260790" w:rsidRDefault="005F3FB7" w:rsidP="00E20250">
      <w:pPr>
        <w:pStyle w:val="Titre1"/>
        <w:rPr>
          <w:rFonts w:ascii="Times New Roman" w:hAnsi="Times New Roman"/>
          <w:sz w:val="22"/>
          <w:szCs w:val="22"/>
        </w:rPr>
      </w:pPr>
      <w:bookmarkStart w:id="2215" w:name="_Toc68847875"/>
      <w:bookmarkStart w:id="2216" w:name="_Toc68848180"/>
      <w:bookmarkStart w:id="2217" w:name="_Toc68848841"/>
      <w:bookmarkStart w:id="2218" w:name="_Toc68849103"/>
      <w:bookmarkStart w:id="2219" w:name="_Toc68849524"/>
      <w:bookmarkStart w:id="2220" w:name="_Toc68861418"/>
      <w:bookmarkStart w:id="2221" w:name="_Toc68861678"/>
      <w:bookmarkStart w:id="2222" w:name="_Toc68948445"/>
      <w:bookmarkStart w:id="2223" w:name="_Toc68948858"/>
      <w:bookmarkStart w:id="2224" w:name="_Toc68949123"/>
      <w:bookmarkStart w:id="2225" w:name="_Toc68949381"/>
      <w:bookmarkStart w:id="2226" w:name="_Toc68949806"/>
      <w:bookmarkStart w:id="2227" w:name="_Toc68957038"/>
      <w:bookmarkStart w:id="2228" w:name="_Toc68957294"/>
      <w:bookmarkStart w:id="2229" w:name="_Toc68957550"/>
      <w:bookmarkStart w:id="2230" w:name="_Toc68957807"/>
      <w:bookmarkStart w:id="2231" w:name="_Toc68958063"/>
      <w:bookmarkStart w:id="2232" w:name="_Toc68958318"/>
      <w:bookmarkStart w:id="2233" w:name="_Toc68958572"/>
      <w:bookmarkStart w:id="2234" w:name="_Toc68958828"/>
      <w:bookmarkStart w:id="2235" w:name="_Toc68959084"/>
      <w:bookmarkStart w:id="2236" w:name="_Toc69081599"/>
      <w:bookmarkStart w:id="2237" w:name="_Toc69083393"/>
      <w:bookmarkStart w:id="2238" w:name="_Toc69115705"/>
      <w:bookmarkStart w:id="2239" w:name="_Toc77141255"/>
      <w:bookmarkStart w:id="2240" w:name="_Toc77142167"/>
      <w:bookmarkStart w:id="2241" w:name="_Toc77142566"/>
      <w:bookmarkStart w:id="2242" w:name="_Toc77142830"/>
      <w:bookmarkStart w:id="2243" w:name="_Toc77143093"/>
      <w:bookmarkStart w:id="2244" w:name="_Toc77143430"/>
      <w:bookmarkStart w:id="2245" w:name="_Toc93469752"/>
      <w:bookmarkStart w:id="2246" w:name="_Toc93623391"/>
      <w:bookmarkStart w:id="2247" w:name="_Toc93643758"/>
      <w:bookmarkStart w:id="2248" w:name="_Toc93644025"/>
      <w:bookmarkStart w:id="2249" w:name="_Toc93644286"/>
      <w:bookmarkStart w:id="2250" w:name="_Toc93648938"/>
      <w:bookmarkStart w:id="2251" w:name="_Toc94134584"/>
      <w:bookmarkStart w:id="2252" w:name="_Toc94175848"/>
      <w:bookmarkStart w:id="2253" w:name="_Toc104797524"/>
      <w:bookmarkStart w:id="2254" w:name="_Toc212725170"/>
      <w:bookmarkEnd w:id="2156"/>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r w:rsidRPr="00260790">
        <w:rPr>
          <w:rFonts w:ascii="Times New Roman" w:hAnsi="Times New Roman"/>
          <w:sz w:val="22"/>
          <w:szCs w:val="22"/>
        </w:rPr>
        <w:lastRenderedPageBreak/>
        <w:t>PLAN DE GESTION ENVIRONNEMENTALE ET SOCIALE (PGES)</w:t>
      </w:r>
      <w:bookmarkEnd w:id="680"/>
      <w:bookmarkEnd w:id="2254"/>
    </w:p>
    <w:p w14:paraId="3A97E128" w14:textId="3EF8DEA2" w:rsidR="008F35C9" w:rsidRPr="00260790" w:rsidRDefault="008F35C9" w:rsidP="00E20250">
      <w:pPr>
        <w:widowControl w:val="0"/>
        <w:autoSpaceDE w:val="0"/>
        <w:autoSpaceDN w:val="0"/>
        <w:adjustRightInd w:val="0"/>
        <w:spacing w:line="240" w:lineRule="auto"/>
        <w:jc w:val="both"/>
        <w:rPr>
          <w:rFonts w:ascii="Times New Roman" w:eastAsia="Times New Roman" w:hAnsi="Times New Roman"/>
          <w:color w:val="000000" w:themeColor="text1"/>
          <w:lang w:eastAsia="fr-FR"/>
        </w:rPr>
      </w:pPr>
      <w:bookmarkStart w:id="2255" w:name="_Hlk5823761"/>
      <w:r w:rsidRPr="00260790">
        <w:rPr>
          <w:rFonts w:ascii="Times New Roman" w:eastAsia="Times New Roman" w:hAnsi="Times New Roman"/>
          <w:color w:val="000000" w:themeColor="text1"/>
          <w:lang w:eastAsia="fr-FR"/>
        </w:rPr>
        <w:t xml:space="preserve">Le Plan de Gestion Environnemental et Social (PGES) a pour objectif </w:t>
      </w:r>
      <w:r w:rsidR="004D33E2" w:rsidRPr="00260790">
        <w:rPr>
          <w:rFonts w:ascii="Times New Roman" w:eastAsia="Times New Roman" w:hAnsi="Times New Roman"/>
          <w:color w:val="000000" w:themeColor="text1"/>
          <w:lang w:eastAsia="fr-FR"/>
        </w:rPr>
        <w:t xml:space="preserve">la prise en compte </w:t>
      </w:r>
      <w:r w:rsidRPr="00260790">
        <w:rPr>
          <w:rFonts w:ascii="Times New Roman" w:eastAsia="Times New Roman" w:hAnsi="Times New Roman"/>
          <w:color w:val="000000" w:themeColor="text1"/>
          <w:lang w:eastAsia="fr-FR"/>
        </w:rPr>
        <w:t>des préoccupations environnementales et sociales dans le processus de conception et de planification de la mise en œuvre des activités du Projet. Le PGES a préconisé différentes mesures d'optimisation et d’atténuation des impacts du projet, et un cadre de mise en œuvre.</w:t>
      </w:r>
      <w:bookmarkStart w:id="2256" w:name="_Toc68812154"/>
      <w:bookmarkStart w:id="2257" w:name="_Toc68847914"/>
      <w:bookmarkStart w:id="2258" w:name="_Toc68848219"/>
      <w:bookmarkStart w:id="2259" w:name="_Toc68848880"/>
      <w:bookmarkStart w:id="2260" w:name="_Toc68849142"/>
      <w:bookmarkStart w:id="2261" w:name="_Toc68849563"/>
      <w:bookmarkStart w:id="2262" w:name="_Toc68861457"/>
      <w:bookmarkStart w:id="2263" w:name="_Toc68861717"/>
      <w:bookmarkStart w:id="2264" w:name="_Toc68948484"/>
      <w:bookmarkStart w:id="2265" w:name="_Toc68948897"/>
      <w:bookmarkStart w:id="2266" w:name="_Toc68949162"/>
      <w:bookmarkStart w:id="2267" w:name="_Toc68949420"/>
      <w:bookmarkStart w:id="2268" w:name="_Toc68949845"/>
      <w:bookmarkStart w:id="2269" w:name="_Toc68957077"/>
      <w:bookmarkStart w:id="2270" w:name="_Toc68957333"/>
      <w:bookmarkStart w:id="2271" w:name="_Toc68957589"/>
      <w:bookmarkStart w:id="2272" w:name="_Toc68957846"/>
      <w:bookmarkStart w:id="2273" w:name="_Toc68958102"/>
      <w:bookmarkStart w:id="2274" w:name="_Toc68958357"/>
      <w:bookmarkStart w:id="2275" w:name="_Toc68958611"/>
      <w:bookmarkStart w:id="2276" w:name="_Toc68958867"/>
      <w:bookmarkStart w:id="2277" w:name="_Toc68959123"/>
      <w:bookmarkStart w:id="2278" w:name="_Toc69081638"/>
      <w:bookmarkStart w:id="2279" w:name="_Toc69083432"/>
      <w:bookmarkStart w:id="2280" w:name="_Toc69115744"/>
      <w:bookmarkStart w:id="2281" w:name="_Toc77141294"/>
      <w:bookmarkStart w:id="2282" w:name="_Toc77142206"/>
      <w:bookmarkStart w:id="2283" w:name="_Toc77142605"/>
      <w:bookmarkStart w:id="2284" w:name="_Toc77142869"/>
      <w:bookmarkStart w:id="2285" w:name="_Toc77143132"/>
      <w:bookmarkStart w:id="2286" w:name="_Toc77143469"/>
      <w:bookmarkStart w:id="2287" w:name="_Toc93469791"/>
      <w:bookmarkStart w:id="2288" w:name="_Toc93623430"/>
      <w:bookmarkStart w:id="2289" w:name="_Toc93643797"/>
      <w:bookmarkStart w:id="2290" w:name="_Toc93644064"/>
      <w:bookmarkStart w:id="2291" w:name="_Toc93644325"/>
      <w:bookmarkStart w:id="2292" w:name="_Toc93648977"/>
      <w:bookmarkStart w:id="2293" w:name="_Toc94134623"/>
      <w:bookmarkStart w:id="2294" w:name="_Toc94175887"/>
      <w:bookmarkStart w:id="2295" w:name="_Toc104797562"/>
      <w:bookmarkStart w:id="2296" w:name="_Toc105103806"/>
      <w:bookmarkStart w:id="2297" w:name="_Toc105106011"/>
      <w:bookmarkStart w:id="2298" w:name="_Toc106287341"/>
      <w:bookmarkStart w:id="2299" w:name="_Toc106288627"/>
      <w:bookmarkStart w:id="2300" w:name="_Toc106289319"/>
      <w:bookmarkStart w:id="2301" w:name="_Toc106290323"/>
      <w:bookmarkStart w:id="2302" w:name="_Toc106651217"/>
      <w:bookmarkStart w:id="2303" w:name="_Toc106651658"/>
      <w:bookmarkStart w:id="2304" w:name="_Toc106652589"/>
      <w:bookmarkStart w:id="2305" w:name="_Toc106652886"/>
      <w:bookmarkStart w:id="2306" w:name="_Toc125627697"/>
      <w:bookmarkStart w:id="2307" w:name="_Toc126804581"/>
      <w:bookmarkStart w:id="2308" w:name="_Toc127209106"/>
      <w:bookmarkStart w:id="2309" w:name="_Toc127273652"/>
      <w:bookmarkStart w:id="2310" w:name="_Toc131591894"/>
      <w:bookmarkStart w:id="2311" w:name="_Toc131592154"/>
      <w:bookmarkStart w:id="2312" w:name="_Toc104797573"/>
      <w:bookmarkStart w:id="2313" w:name="_Toc105103816"/>
      <w:bookmarkStart w:id="2314" w:name="_Toc105106021"/>
      <w:bookmarkStart w:id="2315" w:name="_Toc106287351"/>
      <w:bookmarkStart w:id="2316" w:name="_Toc106288637"/>
      <w:bookmarkStart w:id="2317" w:name="_Toc106289329"/>
      <w:bookmarkStart w:id="2318" w:name="_Toc106290333"/>
      <w:bookmarkStart w:id="2319" w:name="_Toc106651227"/>
      <w:bookmarkStart w:id="2320" w:name="_Toc106651668"/>
      <w:bookmarkStart w:id="2321" w:name="_Toc106652599"/>
      <w:bookmarkStart w:id="2322" w:name="_Toc106652896"/>
      <w:bookmarkStart w:id="2323" w:name="_Toc125627707"/>
      <w:bookmarkStart w:id="2324" w:name="_Toc126804591"/>
      <w:bookmarkStart w:id="2325" w:name="_Toc127209116"/>
      <w:bookmarkStart w:id="2326" w:name="_Toc127273662"/>
      <w:bookmarkStart w:id="2327" w:name="_Toc131591904"/>
      <w:bookmarkStart w:id="2328" w:name="_Toc13159216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r w:rsidRPr="00260790">
        <w:rPr>
          <w:rFonts w:ascii="Times New Roman" w:hAnsi="Times New Roman"/>
          <w:color w:val="000000" w:themeColor="text1"/>
        </w:rPr>
        <w:t xml:space="preserve"> De manière spécifique, le PGES comprend les parties suivantes :</w:t>
      </w:r>
    </w:p>
    <w:p w14:paraId="6FA5893B" w14:textId="77777777" w:rsidR="008F35C9" w:rsidRPr="00260790" w:rsidRDefault="008F35C9" w:rsidP="001748C6">
      <w:pPr>
        <w:pStyle w:val="Paragraphedeliste"/>
        <w:widowControl w:val="0"/>
        <w:numPr>
          <w:ilvl w:val="0"/>
          <w:numId w:val="204"/>
        </w:numPr>
        <w:autoSpaceDE w:val="0"/>
        <w:autoSpaceDN w:val="0"/>
        <w:adjustRightInd w:val="0"/>
        <w:spacing w:after="240" w:line="240" w:lineRule="auto"/>
        <w:rPr>
          <w:rFonts w:ascii="Times New Roman" w:hAnsi="Times New Roman"/>
          <w:color w:val="000000" w:themeColor="text1"/>
        </w:rPr>
      </w:pPr>
      <w:r w:rsidRPr="00260790">
        <w:rPr>
          <w:rFonts w:ascii="Times New Roman" w:hAnsi="Times New Roman"/>
          <w:color w:val="000000" w:themeColor="text1"/>
        </w:rPr>
        <w:t xml:space="preserve">Arrangements institutionnels de mise en œuvre </w:t>
      </w:r>
    </w:p>
    <w:p w14:paraId="3C8E8423" w14:textId="77777777" w:rsidR="008F35C9" w:rsidRPr="00260790" w:rsidRDefault="008F35C9" w:rsidP="001748C6">
      <w:pPr>
        <w:pStyle w:val="Paragraphedeliste"/>
        <w:widowControl w:val="0"/>
        <w:numPr>
          <w:ilvl w:val="0"/>
          <w:numId w:val="204"/>
        </w:numPr>
        <w:autoSpaceDE w:val="0"/>
        <w:autoSpaceDN w:val="0"/>
        <w:adjustRightInd w:val="0"/>
        <w:spacing w:after="240" w:line="240" w:lineRule="auto"/>
        <w:rPr>
          <w:rFonts w:ascii="Times New Roman" w:hAnsi="Times New Roman"/>
          <w:color w:val="000000" w:themeColor="text1"/>
        </w:rPr>
      </w:pPr>
      <w:r w:rsidRPr="00260790">
        <w:rPr>
          <w:rFonts w:ascii="Times New Roman" w:hAnsi="Times New Roman"/>
          <w:color w:val="000000" w:themeColor="text1"/>
        </w:rPr>
        <w:t xml:space="preserve">Plan d’atténuation </w:t>
      </w:r>
    </w:p>
    <w:p w14:paraId="426FF52D" w14:textId="2BE9CFE2" w:rsidR="008F35C9" w:rsidRPr="00260790" w:rsidRDefault="004D33E2" w:rsidP="001748C6">
      <w:pPr>
        <w:pStyle w:val="Paragraphedeliste"/>
        <w:widowControl w:val="0"/>
        <w:numPr>
          <w:ilvl w:val="0"/>
          <w:numId w:val="204"/>
        </w:numPr>
        <w:autoSpaceDE w:val="0"/>
        <w:autoSpaceDN w:val="0"/>
        <w:adjustRightInd w:val="0"/>
        <w:spacing w:after="240" w:line="240" w:lineRule="auto"/>
        <w:rPr>
          <w:rFonts w:ascii="Times New Roman" w:hAnsi="Times New Roman"/>
          <w:color w:val="000000" w:themeColor="text1"/>
        </w:rPr>
      </w:pPr>
      <w:r w:rsidRPr="00260790">
        <w:rPr>
          <w:rFonts w:ascii="Times New Roman" w:hAnsi="Times New Roman"/>
          <w:color w:val="000000" w:themeColor="text1"/>
        </w:rPr>
        <w:t xml:space="preserve">Plan </w:t>
      </w:r>
      <w:r w:rsidR="008F35C9" w:rsidRPr="00260790">
        <w:rPr>
          <w:rFonts w:ascii="Times New Roman" w:hAnsi="Times New Roman"/>
          <w:color w:val="000000" w:themeColor="text1"/>
        </w:rPr>
        <w:t>de surveillance et de suivi ;</w:t>
      </w:r>
    </w:p>
    <w:p w14:paraId="5C1D9D9B" w14:textId="77777777" w:rsidR="008F35C9" w:rsidRPr="00260790" w:rsidRDefault="008F35C9" w:rsidP="001748C6">
      <w:pPr>
        <w:pStyle w:val="Paragraphedeliste"/>
        <w:widowControl w:val="0"/>
        <w:numPr>
          <w:ilvl w:val="0"/>
          <w:numId w:val="204"/>
        </w:numPr>
        <w:autoSpaceDE w:val="0"/>
        <w:autoSpaceDN w:val="0"/>
        <w:adjustRightInd w:val="0"/>
        <w:spacing w:after="240" w:line="240" w:lineRule="auto"/>
        <w:rPr>
          <w:rFonts w:ascii="Times New Roman" w:hAnsi="Times New Roman"/>
          <w:color w:val="000000" w:themeColor="text1"/>
        </w:rPr>
      </w:pPr>
      <w:r w:rsidRPr="00260790">
        <w:rPr>
          <w:rFonts w:ascii="Times New Roman" w:hAnsi="Times New Roman"/>
          <w:color w:val="000000" w:themeColor="text1"/>
        </w:rPr>
        <w:t>Mécanisme de gestion des plaintes ;</w:t>
      </w:r>
    </w:p>
    <w:p w14:paraId="7734307A" w14:textId="43D8DA3B" w:rsidR="008F35C9" w:rsidRPr="00260790" w:rsidRDefault="004D33E2" w:rsidP="001748C6">
      <w:pPr>
        <w:pStyle w:val="Paragraphedeliste"/>
        <w:widowControl w:val="0"/>
        <w:numPr>
          <w:ilvl w:val="0"/>
          <w:numId w:val="204"/>
        </w:numPr>
        <w:autoSpaceDE w:val="0"/>
        <w:autoSpaceDN w:val="0"/>
        <w:adjustRightInd w:val="0"/>
        <w:spacing w:after="240" w:line="240" w:lineRule="auto"/>
        <w:rPr>
          <w:rFonts w:ascii="Times New Roman" w:hAnsi="Times New Roman"/>
          <w:color w:val="000000" w:themeColor="text1"/>
        </w:rPr>
      </w:pPr>
      <w:r w:rsidRPr="00260790">
        <w:rPr>
          <w:rFonts w:ascii="Times New Roman" w:hAnsi="Times New Roman"/>
          <w:color w:val="000000" w:themeColor="text1"/>
        </w:rPr>
        <w:t xml:space="preserve">Plan </w:t>
      </w:r>
      <w:r w:rsidR="008F35C9" w:rsidRPr="00260790">
        <w:rPr>
          <w:rFonts w:ascii="Times New Roman" w:hAnsi="Times New Roman"/>
          <w:color w:val="000000" w:themeColor="text1"/>
        </w:rPr>
        <w:t>d’information et de sensibilisation ;</w:t>
      </w:r>
    </w:p>
    <w:p w14:paraId="07953581" w14:textId="3011B37B" w:rsidR="008F35C9" w:rsidRPr="00260790" w:rsidRDefault="004D33E2" w:rsidP="001748C6">
      <w:pPr>
        <w:pStyle w:val="Paragraphedeliste"/>
        <w:widowControl w:val="0"/>
        <w:numPr>
          <w:ilvl w:val="0"/>
          <w:numId w:val="204"/>
        </w:numPr>
        <w:autoSpaceDE w:val="0"/>
        <w:autoSpaceDN w:val="0"/>
        <w:adjustRightInd w:val="0"/>
        <w:spacing w:after="240" w:line="240" w:lineRule="auto"/>
        <w:rPr>
          <w:rFonts w:ascii="Times New Roman" w:hAnsi="Times New Roman"/>
          <w:color w:val="000000" w:themeColor="text1"/>
        </w:rPr>
      </w:pPr>
      <w:r w:rsidRPr="00260790">
        <w:rPr>
          <w:rFonts w:ascii="Times New Roman" w:hAnsi="Times New Roman"/>
          <w:color w:val="000000" w:themeColor="text1"/>
        </w:rPr>
        <w:t xml:space="preserve">Plan </w:t>
      </w:r>
      <w:r w:rsidR="008F35C9" w:rsidRPr="00260790">
        <w:rPr>
          <w:rFonts w:ascii="Times New Roman" w:hAnsi="Times New Roman"/>
          <w:color w:val="000000" w:themeColor="text1"/>
        </w:rPr>
        <w:t xml:space="preserve">hygiène, santé et sécurité (HSS) </w:t>
      </w:r>
    </w:p>
    <w:p w14:paraId="023251A9" w14:textId="321F3D17" w:rsidR="008F35C9" w:rsidRPr="00260790" w:rsidRDefault="004D33E2" w:rsidP="001748C6">
      <w:pPr>
        <w:pStyle w:val="Paragraphedeliste"/>
        <w:widowControl w:val="0"/>
        <w:numPr>
          <w:ilvl w:val="0"/>
          <w:numId w:val="204"/>
        </w:numPr>
        <w:autoSpaceDE w:val="0"/>
        <w:autoSpaceDN w:val="0"/>
        <w:adjustRightInd w:val="0"/>
        <w:spacing w:after="240" w:line="240" w:lineRule="auto"/>
        <w:rPr>
          <w:rFonts w:ascii="Times New Roman" w:hAnsi="Times New Roman"/>
          <w:color w:val="000000" w:themeColor="text1"/>
        </w:rPr>
      </w:pPr>
      <w:r w:rsidRPr="00260790">
        <w:rPr>
          <w:rFonts w:ascii="Times New Roman" w:hAnsi="Times New Roman"/>
          <w:color w:val="000000" w:themeColor="text1"/>
        </w:rPr>
        <w:t xml:space="preserve">Coût </w:t>
      </w:r>
      <w:r w:rsidR="008F35C9" w:rsidRPr="00260790">
        <w:rPr>
          <w:rFonts w:ascii="Times New Roman" w:hAnsi="Times New Roman"/>
          <w:color w:val="000000" w:themeColor="text1"/>
        </w:rPr>
        <w:t xml:space="preserve">du Plan de Gestion Environnementale et Sociale </w:t>
      </w:r>
    </w:p>
    <w:p w14:paraId="5F7371EC" w14:textId="00813DF2" w:rsidR="008F35C9" w:rsidRPr="00260790" w:rsidRDefault="008F35C9" w:rsidP="001748C6">
      <w:pPr>
        <w:pStyle w:val="Normaltableau0"/>
        <w:numPr>
          <w:ilvl w:val="1"/>
          <w:numId w:val="139"/>
        </w:numPr>
        <w:outlineLvl w:val="1"/>
        <w:rPr>
          <w:rFonts w:ascii="Times New Roman" w:hAnsi="Times New Roman"/>
          <w:b/>
          <w:bCs/>
          <w:sz w:val="22"/>
          <w:szCs w:val="22"/>
        </w:rPr>
      </w:pPr>
      <w:bookmarkStart w:id="2329" w:name="_Toc212725171"/>
      <w:r w:rsidRPr="00260790">
        <w:rPr>
          <w:rFonts w:ascii="Times New Roman" w:hAnsi="Times New Roman"/>
          <w:b/>
          <w:bCs/>
          <w:sz w:val="22"/>
          <w:szCs w:val="22"/>
        </w:rPr>
        <w:t>Arrangements institutionnels de mise en œuvre du PGES</w:t>
      </w:r>
      <w:bookmarkEnd w:id="2329"/>
    </w:p>
    <w:p w14:paraId="6AE6470C" w14:textId="7377792A" w:rsidR="008F35C9" w:rsidRPr="00260790" w:rsidRDefault="008F35C9" w:rsidP="00E20250">
      <w:pPr>
        <w:spacing w:after="0" w:line="240" w:lineRule="auto"/>
        <w:ind w:right="-286"/>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Dans le cadre de la mise en œuvre du PGES, les arrangements institutionnels proposés dans le tableau suivant précisent les responsabilités des différents acteurs impliqués dans la mise en œuvre du PGES.</w:t>
      </w:r>
    </w:p>
    <w:p w14:paraId="1F407FD0" w14:textId="77777777" w:rsidR="008F35C9" w:rsidRPr="00260790" w:rsidRDefault="008F35C9" w:rsidP="00E20250">
      <w:pPr>
        <w:spacing w:after="0" w:line="240" w:lineRule="auto"/>
        <w:ind w:right="709"/>
        <w:jc w:val="both"/>
        <w:rPr>
          <w:rFonts w:ascii="Times New Roman" w:eastAsia="Times New Roman" w:hAnsi="Times New Roman"/>
          <w:color w:val="000000" w:themeColor="text1"/>
          <w:highlight w:val="yellow"/>
          <w:lang w:eastAsia="fr-FR"/>
        </w:rPr>
      </w:pPr>
    </w:p>
    <w:p w14:paraId="08740A22" w14:textId="708DB574" w:rsidR="008F35C9" w:rsidRPr="00260790" w:rsidRDefault="008F35C9" w:rsidP="00E20250">
      <w:pPr>
        <w:spacing w:after="0" w:line="240" w:lineRule="auto"/>
        <w:rPr>
          <w:rFonts w:ascii="Times New Roman" w:eastAsia="Times New Roman" w:hAnsi="Times New Roman"/>
          <w:i/>
          <w:iCs/>
          <w:color w:val="000000" w:themeColor="text1"/>
          <w:lang w:eastAsia="fr-FR"/>
        </w:rPr>
      </w:pPr>
      <w:bookmarkStart w:id="2330" w:name="_Toc207781955"/>
      <w:r w:rsidRPr="00260790">
        <w:rPr>
          <w:rFonts w:ascii="Times New Roman" w:eastAsia="Times New Roman" w:hAnsi="Times New Roman"/>
          <w:i/>
          <w:iCs/>
          <w:color w:val="000000" w:themeColor="text1"/>
          <w:lang w:eastAsia="fr-FR"/>
        </w:rPr>
        <w:t xml:space="preserve">Tableau </w:t>
      </w:r>
      <w:r w:rsidRPr="00260790">
        <w:rPr>
          <w:rFonts w:ascii="Times New Roman" w:hAnsi="Times New Roman"/>
          <w:i/>
          <w:iCs/>
          <w:color w:val="000000" w:themeColor="text1"/>
        </w:rPr>
        <w:fldChar w:fldCharType="begin"/>
      </w:r>
      <w:r w:rsidRPr="00260790">
        <w:rPr>
          <w:rFonts w:ascii="Times New Roman" w:eastAsia="Times New Roman" w:hAnsi="Times New Roman"/>
          <w:i/>
          <w:iCs/>
          <w:color w:val="000000" w:themeColor="text1"/>
          <w:lang w:eastAsia="fr-FR"/>
        </w:rPr>
        <w:instrText xml:space="preserve"> SEQ Tableau \* ARABIC </w:instrText>
      </w:r>
      <w:r w:rsidRPr="00260790">
        <w:rPr>
          <w:rFonts w:ascii="Times New Roman" w:hAnsi="Times New Roman"/>
          <w:i/>
          <w:iCs/>
          <w:color w:val="000000" w:themeColor="text1"/>
        </w:rPr>
        <w:fldChar w:fldCharType="separate"/>
      </w:r>
      <w:r w:rsidR="003C783E">
        <w:rPr>
          <w:rFonts w:ascii="Times New Roman" w:eastAsia="Times New Roman" w:hAnsi="Times New Roman"/>
          <w:i/>
          <w:iCs/>
          <w:noProof/>
          <w:color w:val="000000" w:themeColor="text1"/>
          <w:lang w:eastAsia="fr-FR"/>
        </w:rPr>
        <w:t>114</w:t>
      </w:r>
      <w:r w:rsidRPr="00260790">
        <w:rPr>
          <w:rFonts w:ascii="Times New Roman" w:hAnsi="Times New Roman"/>
          <w:i/>
          <w:iCs/>
          <w:color w:val="000000" w:themeColor="text1"/>
        </w:rPr>
        <w:fldChar w:fldCharType="end"/>
      </w:r>
      <w:r w:rsidRPr="00260790">
        <w:rPr>
          <w:rFonts w:ascii="Times New Roman" w:eastAsia="Times New Roman" w:hAnsi="Times New Roman"/>
          <w:i/>
          <w:iCs/>
          <w:color w:val="000000" w:themeColor="text1"/>
          <w:lang w:eastAsia="fr-FR"/>
        </w:rPr>
        <w:t xml:space="preserve"> : Rôles et responsabilités dans la mise en œuvre du PGES</w:t>
      </w:r>
      <w:bookmarkEnd w:id="2330"/>
    </w:p>
    <w:tbl>
      <w:tblPr>
        <w:tblW w:w="5398"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270"/>
        <w:gridCol w:w="5391"/>
        <w:gridCol w:w="2120"/>
      </w:tblGrid>
      <w:tr w:rsidR="00BD1A2F" w:rsidRPr="00260790" w14:paraId="35F6DAB7" w14:textId="77777777" w:rsidTr="00677613">
        <w:trPr>
          <w:trHeight w:val="321"/>
          <w:tblHeader/>
        </w:trPr>
        <w:tc>
          <w:tcPr>
            <w:tcW w:w="1159" w:type="pct"/>
            <w:tcBorders>
              <w:top w:val="single" w:sz="4" w:space="0" w:color="auto"/>
              <w:left w:val="single" w:sz="4" w:space="0" w:color="auto"/>
              <w:bottom w:val="single" w:sz="4" w:space="0" w:color="auto"/>
              <w:right w:val="single" w:sz="4" w:space="0" w:color="auto"/>
            </w:tcBorders>
            <w:shd w:val="clear" w:color="auto" w:fill="FBE4D5"/>
            <w:vAlign w:val="center"/>
            <w:hideMark/>
          </w:tcPr>
          <w:p w14:paraId="66B57D56" w14:textId="77777777" w:rsidR="008F35C9" w:rsidRPr="00260790" w:rsidRDefault="008F35C9" w:rsidP="00E20250">
            <w:pPr>
              <w:spacing w:after="0" w:line="240" w:lineRule="auto"/>
              <w:rPr>
                <w:rFonts w:ascii="Times New Roman" w:hAnsi="Times New Roman"/>
                <w:b/>
                <w:bCs/>
                <w:color w:val="000000" w:themeColor="text1"/>
              </w:rPr>
            </w:pPr>
            <w:r w:rsidRPr="00260790">
              <w:rPr>
                <w:rFonts w:ascii="Times New Roman" w:hAnsi="Times New Roman"/>
                <w:b/>
                <w:bCs/>
                <w:color w:val="000000" w:themeColor="text1"/>
              </w:rPr>
              <w:t>Catégories d’acteurs</w:t>
            </w:r>
          </w:p>
        </w:tc>
        <w:tc>
          <w:tcPr>
            <w:tcW w:w="2757" w:type="pct"/>
            <w:tcBorders>
              <w:top w:val="single" w:sz="4" w:space="0" w:color="auto"/>
              <w:left w:val="single" w:sz="4" w:space="0" w:color="auto"/>
              <w:bottom w:val="single" w:sz="4" w:space="0" w:color="auto"/>
              <w:right w:val="single" w:sz="4" w:space="0" w:color="auto"/>
            </w:tcBorders>
            <w:shd w:val="clear" w:color="auto" w:fill="FBE4D5"/>
            <w:vAlign w:val="center"/>
            <w:hideMark/>
          </w:tcPr>
          <w:p w14:paraId="5B9634EA" w14:textId="77777777" w:rsidR="008F35C9" w:rsidRPr="00260790" w:rsidRDefault="008F35C9" w:rsidP="00E20250">
            <w:pPr>
              <w:spacing w:after="0" w:line="240" w:lineRule="auto"/>
              <w:rPr>
                <w:rFonts w:ascii="Times New Roman" w:hAnsi="Times New Roman"/>
                <w:b/>
                <w:bCs/>
                <w:color w:val="000000" w:themeColor="text1"/>
              </w:rPr>
            </w:pPr>
            <w:r w:rsidRPr="00260790">
              <w:rPr>
                <w:rFonts w:ascii="Times New Roman" w:hAnsi="Times New Roman"/>
                <w:b/>
                <w:bCs/>
                <w:color w:val="000000" w:themeColor="text1"/>
              </w:rPr>
              <w:t>Responsabilités avant et au cours de l’exécution</w:t>
            </w:r>
          </w:p>
        </w:tc>
        <w:tc>
          <w:tcPr>
            <w:tcW w:w="1084" w:type="pct"/>
            <w:tcBorders>
              <w:top w:val="single" w:sz="4" w:space="0" w:color="auto"/>
              <w:left w:val="single" w:sz="4" w:space="0" w:color="auto"/>
              <w:bottom w:val="single" w:sz="4" w:space="0" w:color="auto"/>
              <w:right w:val="single" w:sz="4" w:space="0" w:color="auto"/>
            </w:tcBorders>
            <w:shd w:val="clear" w:color="auto" w:fill="FBE4D5"/>
            <w:vAlign w:val="center"/>
            <w:hideMark/>
          </w:tcPr>
          <w:p w14:paraId="2C78EBB2" w14:textId="77777777" w:rsidR="008F35C9" w:rsidRPr="00260790" w:rsidRDefault="008F35C9" w:rsidP="00E20250">
            <w:pPr>
              <w:spacing w:after="0" w:line="240" w:lineRule="auto"/>
              <w:rPr>
                <w:rFonts w:ascii="Times New Roman" w:hAnsi="Times New Roman"/>
                <w:b/>
                <w:bCs/>
                <w:color w:val="000000" w:themeColor="text1"/>
              </w:rPr>
            </w:pPr>
            <w:r w:rsidRPr="00260790">
              <w:rPr>
                <w:rFonts w:ascii="Times New Roman" w:hAnsi="Times New Roman"/>
                <w:b/>
                <w:bCs/>
                <w:color w:val="000000" w:themeColor="text1"/>
              </w:rPr>
              <w:t>Responsabilité en Fin des travaux</w:t>
            </w:r>
          </w:p>
        </w:tc>
      </w:tr>
      <w:tr w:rsidR="00BD1A2F" w:rsidRPr="00260790" w14:paraId="648DAFAA" w14:textId="77777777" w:rsidTr="00677613">
        <w:trPr>
          <w:trHeight w:val="1015"/>
        </w:trPr>
        <w:tc>
          <w:tcPr>
            <w:tcW w:w="11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316A28" w14:textId="64F7A237" w:rsidR="008F35C9" w:rsidRPr="00260790" w:rsidRDefault="008F35C9"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D</w:t>
            </w:r>
            <w:r w:rsidR="006E3E49" w:rsidRPr="00260790">
              <w:rPr>
                <w:rFonts w:ascii="Times New Roman" w:hAnsi="Times New Roman"/>
                <w:color w:val="000000" w:themeColor="text1"/>
              </w:rPr>
              <w:t>IR</w:t>
            </w:r>
            <w:r w:rsidRPr="00260790">
              <w:rPr>
                <w:rFonts w:ascii="Times New Roman" w:hAnsi="Times New Roman"/>
                <w:color w:val="000000" w:themeColor="text1"/>
              </w:rPr>
              <w:t>EC</w:t>
            </w:r>
            <w:r w:rsidR="004D33E2" w:rsidRPr="00260790">
              <w:rPr>
                <w:rFonts w:ascii="Times New Roman" w:hAnsi="Times New Roman"/>
                <w:color w:val="000000" w:themeColor="text1"/>
              </w:rPr>
              <w:t>/</w:t>
            </w:r>
            <w:r w:rsidRPr="00260790">
              <w:rPr>
                <w:rFonts w:ascii="Times New Roman" w:hAnsi="Times New Roman"/>
                <w:color w:val="000000" w:themeColor="text1"/>
              </w:rPr>
              <w:t xml:space="preserve">DREEC/CRSE </w:t>
            </w:r>
          </w:p>
        </w:tc>
        <w:tc>
          <w:tcPr>
            <w:tcW w:w="27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4C26BE8" w14:textId="77777777" w:rsidR="008F35C9" w:rsidRPr="00260790" w:rsidRDefault="008F35C9" w:rsidP="001748C6">
            <w:pPr>
              <w:pStyle w:val="Paragraphedeliste"/>
              <w:numPr>
                <w:ilvl w:val="0"/>
                <w:numId w:val="114"/>
              </w:numPr>
              <w:spacing w:after="0" w:line="240" w:lineRule="auto"/>
              <w:ind w:left="318"/>
              <w:jc w:val="both"/>
              <w:rPr>
                <w:rFonts w:ascii="Times New Roman" w:hAnsi="Times New Roman"/>
                <w:color w:val="000000" w:themeColor="text1"/>
              </w:rPr>
            </w:pPr>
            <w:r w:rsidRPr="00260790">
              <w:rPr>
                <w:rFonts w:ascii="Times New Roman" w:hAnsi="Times New Roman"/>
                <w:color w:val="000000" w:themeColor="text1"/>
              </w:rPr>
              <w:t xml:space="preserve">Approbation de l’EIES, </w:t>
            </w:r>
          </w:p>
          <w:p w14:paraId="21B261EC" w14:textId="77777777" w:rsidR="008F35C9" w:rsidRPr="00260790" w:rsidRDefault="008F35C9" w:rsidP="001748C6">
            <w:pPr>
              <w:pStyle w:val="Paragraphedeliste"/>
              <w:numPr>
                <w:ilvl w:val="0"/>
                <w:numId w:val="114"/>
              </w:numPr>
              <w:spacing w:after="0" w:line="240" w:lineRule="auto"/>
              <w:ind w:left="318"/>
              <w:jc w:val="both"/>
              <w:rPr>
                <w:rFonts w:ascii="Times New Roman" w:hAnsi="Times New Roman"/>
                <w:color w:val="000000" w:themeColor="text1"/>
              </w:rPr>
            </w:pPr>
            <w:r w:rsidRPr="00260790">
              <w:rPr>
                <w:rFonts w:ascii="Times New Roman" w:hAnsi="Times New Roman"/>
                <w:color w:val="000000" w:themeColor="text1"/>
              </w:rPr>
              <w:t xml:space="preserve">Veiller au respect de l’application de la réglementation environnementale </w:t>
            </w:r>
          </w:p>
          <w:p w14:paraId="53636EE1" w14:textId="77777777" w:rsidR="008F35C9" w:rsidRPr="00260790" w:rsidRDefault="008F35C9" w:rsidP="001748C6">
            <w:pPr>
              <w:pStyle w:val="Paragraphedeliste"/>
              <w:numPr>
                <w:ilvl w:val="0"/>
                <w:numId w:val="114"/>
              </w:numPr>
              <w:spacing w:after="0" w:line="240" w:lineRule="auto"/>
              <w:ind w:left="318"/>
              <w:jc w:val="both"/>
              <w:rPr>
                <w:rFonts w:ascii="Times New Roman" w:hAnsi="Times New Roman"/>
                <w:color w:val="000000" w:themeColor="text1"/>
              </w:rPr>
            </w:pPr>
            <w:r w:rsidRPr="00260790">
              <w:rPr>
                <w:rFonts w:ascii="Times New Roman" w:hAnsi="Times New Roman"/>
                <w:color w:val="000000" w:themeColor="text1"/>
              </w:rPr>
              <w:t>Attribution des autorisations (ICPE)</w:t>
            </w:r>
          </w:p>
          <w:p w14:paraId="28A186E8" w14:textId="77777777" w:rsidR="008F35C9" w:rsidRPr="00260790" w:rsidRDefault="008F35C9" w:rsidP="001748C6">
            <w:pPr>
              <w:pStyle w:val="Paragraphedeliste"/>
              <w:numPr>
                <w:ilvl w:val="0"/>
                <w:numId w:val="114"/>
              </w:numPr>
              <w:spacing w:after="0" w:line="240" w:lineRule="auto"/>
              <w:ind w:left="318"/>
              <w:jc w:val="both"/>
              <w:rPr>
                <w:rFonts w:ascii="Times New Roman" w:hAnsi="Times New Roman"/>
                <w:color w:val="000000" w:themeColor="text1"/>
              </w:rPr>
            </w:pPr>
            <w:r w:rsidRPr="00260790">
              <w:rPr>
                <w:rFonts w:ascii="Times New Roman" w:hAnsi="Times New Roman"/>
                <w:color w:val="000000" w:themeColor="text1"/>
              </w:rPr>
              <w:t>Mener des missions de suivi environnemental et social périodiques sur les sites de chantier en relation avec les CRSE</w:t>
            </w: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C12B9A" w14:textId="77777777" w:rsidR="008F35C9" w:rsidRPr="00260790" w:rsidRDefault="008F35C9"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Valider la remise en état des sites après travaux</w:t>
            </w:r>
          </w:p>
          <w:p w14:paraId="28B28B10" w14:textId="77777777" w:rsidR="008F35C9" w:rsidRPr="00260790" w:rsidRDefault="008F35C9"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Exiger un rapport global sur l’état de mise en œuvre du PGES </w:t>
            </w:r>
          </w:p>
        </w:tc>
      </w:tr>
      <w:tr w:rsidR="00BD1A2F" w:rsidRPr="00260790" w14:paraId="713158A0" w14:textId="77777777" w:rsidTr="00874DDA">
        <w:trPr>
          <w:trHeight w:val="77"/>
        </w:trPr>
        <w:tc>
          <w:tcPr>
            <w:tcW w:w="11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98F835" w14:textId="77777777" w:rsidR="008F35C9" w:rsidRPr="00260790" w:rsidRDefault="008F35C9"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ADM </w:t>
            </w:r>
          </w:p>
          <w:p w14:paraId="4976CEDD" w14:textId="77777777" w:rsidR="008F35C9" w:rsidRPr="00260790" w:rsidRDefault="008F35C9"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Cellule de Gestion Environnementale et Sociale</w:t>
            </w:r>
          </w:p>
          <w:p w14:paraId="6DEAC44E" w14:textId="77777777" w:rsidR="008F35C9" w:rsidRPr="00260790" w:rsidRDefault="008F35C9"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Expert en Sauvegarde environnementale du PROGEP II</w:t>
            </w:r>
          </w:p>
          <w:p w14:paraId="6279E43D" w14:textId="77777777" w:rsidR="008F35C9" w:rsidRPr="00260790" w:rsidRDefault="008F35C9"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Expert en sauvegarde sociale du PROGEP II</w:t>
            </w:r>
          </w:p>
          <w:p w14:paraId="7935D465" w14:textId="77777777" w:rsidR="008F35C9" w:rsidRPr="00260790" w:rsidRDefault="008F35C9"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Expert en Intermédiation Sociale et Genre</w:t>
            </w:r>
          </w:p>
        </w:tc>
        <w:tc>
          <w:tcPr>
            <w:tcW w:w="27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1221789" w14:textId="77777777" w:rsidR="008F35C9" w:rsidRPr="00260790" w:rsidRDefault="008F35C9" w:rsidP="001748C6">
            <w:pPr>
              <w:pStyle w:val="Paragraphedeliste"/>
              <w:numPr>
                <w:ilvl w:val="0"/>
                <w:numId w:val="114"/>
              </w:numPr>
              <w:spacing w:after="0" w:line="240" w:lineRule="auto"/>
              <w:ind w:left="318"/>
              <w:jc w:val="both"/>
              <w:rPr>
                <w:rFonts w:ascii="Times New Roman" w:hAnsi="Times New Roman"/>
                <w:color w:val="000000" w:themeColor="text1"/>
              </w:rPr>
            </w:pPr>
            <w:r w:rsidRPr="00260790">
              <w:rPr>
                <w:rFonts w:ascii="Times New Roman" w:hAnsi="Times New Roman"/>
                <w:color w:val="000000" w:themeColor="text1"/>
              </w:rPr>
              <w:t>Faciliter l’obtention des autorisations et permis notamment : l’autorisation d’occupation des sites (installation de chantier, site de stockage temporaire, etc.), etc.</w:t>
            </w:r>
          </w:p>
          <w:p w14:paraId="33EDAB87" w14:textId="77777777" w:rsidR="008F35C9" w:rsidRPr="00260790" w:rsidRDefault="008F35C9" w:rsidP="001748C6">
            <w:pPr>
              <w:pStyle w:val="Paragraphedeliste"/>
              <w:numPr>
                <w:ilvl w:val="0"/>
                <w:numId w:val="114"/>
              </w:numPr>
              <w:spacing w:after="0" w:line="240" w:lineRule="auto"/>
              <w:ind w:left="318"/>
              <w:jc w:val="both"/>
              <w:rPr>
                <w:rFonts w:ascii="Times New Roman" w:hAnsi="Times New Roman"/>
                <w:color w:val="000000" w:themeColor="text1"/>
              </w:rPr>
            </w:pPr>
            <w:r w:rsidRPr="00260790">
              <w:rPr>
                <w:rFonts w:ascii="Times New Roman" w:hAnsi="Times New Roman"/>
                <w:color w:val="000000" w:themeColor="text1"/>
              </w:rPr>
              <w:t>Renforcer les capacités des Services Techniques et des acteurs</w:t>
            </w:r>
          </w:p>
          <w:p w14:paraId="3FDA1BD5" w14:textId="77777777" w:rsidR="008F35C9" w:rsidRPr="00260790" w:rsidRDefault="008F35C9" w:rsidP="001748C6">
            <w:pPr>
              <w:pStyle w:val="Paragraphedeliste"/>
              <w:numPr>
                <w:ilvl w:val="0"/>
                <w:numId w:val="114"/>
              </w:numPr>
              <w:spacing w:after="0" w:line="240" w:lineRule="auto"/>
              <w:ind w:left="318"/>
              <w:jc w:val="both"/>
              <w:rPr>
                <w:rFonts w:ascii="Times New Roman" w:hAnsi="Times New Roman"/>
                <w:color w:val="000000" w:themeColor="text1"/>
              </w:rPr>
            </w:pPr>
            <w:r w:rsidRPr="00260790">
              <w:rPr>
                <w:rFonts w:ascii="Times New Roman" w:hAnsi="Times New Roman"/>
                <w:color w:val="000000" w:themeColor="text1"/>
              </w:rPr>
              <w:t>Intégrer les clauses environnementales et sociales dans les dossiers d’appels d’offres</w:t>
            </w:r>
          </w:p>
          <w:p w14:paraId="2D6A804A" w14:textId="77777777" w:rsidR="008F35C9" w:rsidRPr="00260790" w:rsidRDefault="008F35C9" w:rsidP="001748C6">
            <w:pPr>
              <w:pStyle w:val="Paragraphedeliste"/>
              <w:numPr>
                <w:ilvl w:val="0"/>
                <w:numId w:val="114"/>
              </w:numPr>
              <w:spacing w:after="0" w:line="240" w:lineRule="auto"/>
              <w:ind w:left="318"/>
              <w:jc w:val="both"/>
              <w:rPr>
                <w:rFonts w:ascii="Times New Roman" w:hAnsi="Times New Roman"/>
                <w:color w:val="000000" w:themeColor="text1"/>
              </w:rPr>
            </w:pPr>
            <w:r w:rsidRPr="00260790">
              <w:rPr>
                <w:rFonts w:ascii="Times New Roman" w:hAnsi="Times New Roman"/>
                <w:color w:val="000000" w:themeColor="text1"/>
              </w:rPr>
              <w:t xml:space="preserve">Faire établir un PGES-E et un PHS </w:t>
            </w:r>
          </w:p>
          <w:p w14:paraId="69C85C6A" w14:textId="77777777" w:rsidR="008F35C9" w:rsidRPr="00260790" w:rsidRDefault="008F35C9" w:rsidP="001748C6">
            <w:pPr>
              <w:pStyle w:val="Paragraphedeliste"/>
              <w:numPr>
                <w:ilvl w:val="0"/>
                <w:numId w:val="114"/>
              </w:numPr>
              <w:spacing w:after="0" w:line="240" w:lineRule="auto"/>
              <w:ind w:left="318"/>
              <w:jc w:val="both"/>
              <w:rPr>
                <w:rFonts w:ascii="Times New Roman" w:hAnsi="Times New Roman"/>
                <w:color w:val="000000" w:themeColor="text1"/>
              </w:rPr>
            </w:pPr>
            <w:r w:rsidRPr="00260790">
              <w:rPr>
                <w:rFonts w:ascii="Times New Roman" w:hAnsi="Times New Roman"/>
                <w:color w:val="000000" w:themeColor="text1"/>
              </w:rPr>
              <w:t>Exiger un Plan de surveillance environnementale et sociale détaillé aux MDC</w:t>
            </w:r>
          </w:p>
          <w:p w14:paraId="468E3DED" w14:textId="78CB0067" w:rsidR="008F35C9" w:rsidRPr="00260790" w:rsidRDefault="008F35C9" w:rsidP="001748C6">
            <w:pPr>
              <w:pStyle w:val="Paragraphedeliste"/>
              <w:numPr>
                <w:ilvl w:val="0"/>
                <w:numId w:val="114"/>
              </w:numPr>
              <w:spacing w:after="0" w:line="240" w:lineRule="auto"/>
              <w:ind w:left="318"/>
              <w:jc w:val="both"/>
              <w:rPr>
                <w:rFonts w:ascii="Times New Roman" w:hAnsi="Times New Roman"/>
                <w:color w:val="000000" w:themeColor="text1"/>
              </w:rPr>
            </w:pPr>
            <w:r w:rsidRPr="00260790">
              <w:rPr>
                <w:rFonts w:ascii="Times New Roman" w:hAnsi="Times New Roman"/>
                <w:color w:val="000000" w:themeColor="text1"/>
              </w:rPr>
              <w:t>Transmettre les rapports de surveillance et suivi à la D</w:t>
            </w:r>
            <w:r w:rsidR="00820ED7" w:rsidRPr="00260790">
              <w:rPr>
                <w:rFonts w:ascii="Times New Roman" w:hAnsi="Times New Roman"/>
                <w:color w:val="000000" w:themeColor="text1"/>
              </w:rPr>
              <w:t>IRE</w:t>
            </w:r>
            <w:r w:rsidRPr="00260790">
              <w:rPr>
                <w:rFonts w:ascii="Times New Roman" w:hAnsi="Times New Roman"/>
                <w:color w:val="000000" w:themeColor="text1"/>
              </w:rPr>
              <w:t>C</w:t>
            </w:r>
          </w:p>
          <w:p w14:paraId="59EA8AC2" w14:textId="77777777" w:rsidR="008F35C9" w:rsidRPr="00260790" w:rsidRDefault="008F35C9" w:rsidP="001748C6">
            <w:pPr>
              <w:pStyle w:val="Paragraphedeliste"/>
              <w:numPr>
                <w:ilvl w:val="0"/>
                <w:numId w:val="114"/>
              </w:numPr>
              <w:spacing w:after="0" w:line="240" w:lineRule="auto"/>
              <w:ind w:left="318"/>
              <w:jc w:val="both"/>
              <w:rPr>
                <w:rFonts w:ascii="Times New Roman" w:hAnsi="Times New Roman"/>
                <w:color w:val="000000" w:themeColor="text1"/>
              </w:rPr>
            </w:pPr>
            <w:r w:rsidRPr="00260790">
              <w:rPr>
                <w:rFonts w:ascii="Times New Roman" w:hAnsi="Times New Roman"/>
                <w:color w:val="000000" w:themeColor="text1"/>
              </w:rPr>
              <w:t>Superviser la mise en œuvre du PGES issu de l’EIES en rapport avec les services techniques, les municipalités et les autorités administratives concernées</w:t>
            </w: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DA1044" w14:textId="77777777" w:rsidR="008F35C9" w:rsidRPr="00260790" w:rsidRDefault="008F35C9"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Exiger de la MDC un rapport global sur l’état de mise en œuvre du PGES-E</w:t>
            </w:r>
          </w:p>
          <w:p w14:paraId="69AEC7BC" w14:textId="77777777" w:rsidR="008F35C9" w:rsidRPr="00260790" w:rsidRDefault="008F35C9"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Restitution des sites réhabilités par les entreprises</w:t>
            </w:r>
          </w:p>
        </w:tc>
      </w:tr>
      <w:tr w:rsidR="00BD1A2F" w:rsidRPr="00260790" w14:paraId="36EE8975" w14:textId="77777777" w:rsidTr="00677613">
        <w:trPr>
          <w:trHeight w:val="548"/>
        </w:trPr>
        <w:tc>
          <w:tcPr>
            <w:tcW w:w="11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D21F075" w14:textId="77777777" w:rsidR="008F35C9" w:rsidRPr="00260790" w:rsidRDefault="008F35C9"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DGPRE</w:t>
            </w:r>
          </w:p>
          <w:p w14:paraId="6A127591" w14:textId="77777777" w:rsidR="008F35C9" w:rsidRPr="00260790" w:rsidRDefault="008F35C9"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ONAS</w:t>
            </w:r>
          </w:p>
        </w:tc>
        <w:tc>
          <w:tcPr>
            <w:tcW w:w="27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1353D4D" w14:textId="1D0A281F" w:rsidR="008F35C9" w:rsidRPr="00260790" w:rsidRDefault="008F35C9" w:rsidP="001748C6">
            <w:pPr>
              <w:pStyle w:val="Paragraphedeliste"/>
              <w:numPr>
                <w:ilvl w:val="0"/>
                <w:numId w:val="114"/>
              </w:numPr>
              <w:spacing w:after="0" w:line="240" w:lineRule="auto"/>
              <w:ind w:left="318"/>
              <w:jc w:val="both"/>
              <w:rPr>
                <w:rFonts w:ascii="Times New Roman" w:hAnsi="Times New Roman"/>
                <w:color w:val="000000" w:themeColor="text1"/>
              </w:rPr>
            </w:pPr>
            <w:r w:rsidRPr="00260790">
              <w:rPr>
                <w:rFonts w:ascii="Times New Roman" w:hAnsi="Times New Roman"/>
                <w:color w:val="000000" w:themeColor="text1"/>
              </w:rPr>
              <w:t>Analyse de la qualité de l’eau du marigot de Mbao</w:t>
            </w:r>
            <w:r w:rsidR="00820ED7" w:rsidRPr="00260790">
              <w:rPr>
                <w:rFonts w:ascii="Times New Roman" w:hAnsi="Times New Roman"/>
                <w:color w:val="000000" w:themeColor="text1"/>
              </w:rPr>
              <w:t xml:space="preserve"> et de l’exutoire</w:t>
            </w:r>
            <w:r w:rsidRPr="00260790">
              <w:rPr>
                <w:rFonts w:ascii="Times New Roman" w:hAnsi="Times New Roman"/>
                <w:color w:val="000000" w:themeColor="text1"/>
              </w:rPr>
              <w:t xml:space="preserve"> (situation de référence et annuellement)</w:t>
            </w: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7D95F4" w14:textId="2BBD26D3" w:rsidR="008F35C9" w:rsidRPr="00260790" w:rsidRDefault="008F35C9"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Rapport de suivi de la qualité des eaux du marigot de Mbao</w:t>
            </w:r>
            <w:r w:rsidR="00820ED7" w:rsidRPr="00260790">
              <w:rPr>
                <w:rFonts w:ascii="Times New Roman" w:hAnsi="Times New Roman"/>
                <w:color w:val="000000" w:themeColor="text1"/>
              </w:rPr>
              <w:t xml:space="preserve"> et de l’exutoire</w:t>
            </w:r>
          </w:p>
        </w:tc>
      </w:tr>
      <w:tr w:rsidR="00BD1A2F" w:rsidRPr="00260790" w14:paraId="28FF2F2F" w14:textId="77777777" w:rsidTr="00677613">
        <w:trPr>
          <w:trHeight w:val="548"/>
        </w:trPr>
        <w:tc>
          <w:tcPr>
            <w:tcW w:w="11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1C22D8" w14:textId="77777777" w:rsidR="008F35C9" w:rsidRPr="00260790" w:rsidRDefault="008F35C9"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DPC</w:t>
            </w:r>
          </w:p>
          <w:p w14:paraId="6A71B466" w14:textId="77777777" w:rsidR="008F35C9" w:rsidRPr="00260790" w:rsidRDefault="008F35C9"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BNSP</w:t>
            </w:r>
          </w:p>
        </w:tc>
        <w:tc>
          <w:tcPr>
            <w:tcW w:w="27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2297AE" w14:textId="77777777" w:rsidR="008F35C9" w:rsidRPr="00260790" w:rsidRDefault="008F35C9" w:rsidP="001748C6">
            <w:pPr>
              <w:pStyle w:val="Paragraphedeliste"/>
              <w:numPr>
                <w:ilvl w:val="0"/>
                <w:numId w:val="114"/>
              </w:numPr>
              <w:spacing w:after="0" w:line="240" w:lineRule="auto"/>
              <w:ind w:left="318"/>
              <w:jc w:val="both"/>
              <w:rPr>
                <w:rFonts w:ascii="Times New Roman" w:hAnsi="Times New Roman"/>
                <w:color w:val="000000" w:themeColor="text1"/>
              </w:rPr>
            </w:pPr>
            <w:r w:rsidRPr="00260790">
              <w:rPr>
                <w:rFonts w:ascii="Times New Roman" w:hAnsi="Times New Roman"/>
                <w:color w:val="000000" w:themeColor="text1"/>
              </w:rPr>
              <w:t>Prise en charge des aspects sécuritaires</w:t>
            </w: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521B3E4" w14:textId="77777777" w:rsidR="008F35C9" w:rsidRPr="00260790" w:rsidRDefault="008F35C9"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Rapport de suivi du plan sécuritaire</w:t>
            </w:r>
          </w:p>
        </w:tc>
      </w:tr>
      <w:tr w:rsidR="00BD1A2F" w:rsidRPr="00260790" w14:paraId="1A10D524" w14:textId="77777777" w:rsidTr="00677613">
        <w:trPr>
          <w:trHeight w:val="375"/>
        </w:trPr>
        <w:tc>
          <w:tcPr>
            <w:tcW w:w="1159" w:type="pct"/>
            <w:tcBorders>
              <w:top w:val="single" w:sz="4" w:space="0" w:color="auto"/>
              <w:left w:val="single" w:sz="4" w:space="0" w:color="auto"/>
              <w:bottom w:val="single" w:sz="4" w:space="0" w:color="auto"/>
              <w:right w:val="single" w:sz="4" w:space="0" w:color="auto"/>
            </w:tcBorders>
            <w:vAlign w:val="center"/>
            <w:hideMark/>
          </w:tcPr>
          <w:p w14:paraId="60C1F391" w14:textId="32F96BAF" w:rsidR="008F35C9" w:rsidRPr="00260790" w:rsidRDefault="008F35C9"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Collectivités territoriales</w:t>
            </w:r>
            <w:r w:rsidR="004D33E2" w:rsidRPr="00260790">
              <w:rPr>
                <w:rFonts w:ascii="Times New Roman" w:hAnsi="Times New Roman"/>
                <w:color w:val="000000" w:themeColor="text1"/>
              </w:rPr>
              <w:t xml:space="preserve"> </w:t>
            </w:r>
            <w:r w:rsidR="004D33E2" w:rsidRPr="00260790">
              <w:rPr>
                <w:rFonts w:ascii="Times New Roman" w:hAnsi="Times New Roman"/>
                <w:color w:val="000000" w:themeColor="text1"/>
              </w:rPr>
              <w:lastRenderedPageBreak/>
              <w:t>(</w:t>
            </w:r>
            <w:r w:rsidR="001D2346">
              <w:rPr>
                <w:rFonts w:ascii="Times New Roman" w:hAnsi="Times New Roman"/>
                <w:color w:val="000000" w:themeColor="text1"/>
              </w:rPr>
              <w:t>C</w:t>
            </w:r>
            <w:r w:rsidR="0095158A" w:rsidRPr="00260790">
              <w:rPr>
                <w:rFonts w:ascii="Times New Roman" w:hAnsi="Times New Roman"/>
                <w:color w:val="000000" w:themeColor="text1"/>
              </w:rPr>
              <w:t xml:space="preserve">ommunes de </w:t>
            </w:r>
            <w:proofErr w:type="spellStart"/>
            <w:r w:rsidR="0095158A" w:rsidRPr="00260790">
              <w:rPr>
                <w:rFonts w:ascii="Times New Roman" w:hAnsi="Times New Roman"/>
                <w:color w:val="000000" w:themeColor="text1"/>
              </w:rPr>
              <w:t>Jaxaay</w:t>
            </w:r>
            <w:proofErr w:type="spellEnd"/>
            <w:r w:rsidR="0095158A" w:rsidRPr="00260790">
              <w:rPr>
                <w:rFonts w:ascii="Times New Roman" w:hAnsi="Times New Roman"/>
                <w:color w:val="000000" w:themeColor="text1"/>
              </w:rPr>
              <w:t>-Parcelles-</w:t>
            </w:r>
            <w:proofErr w:type="spellStart"/>
            <w:r w:rsidR="0095158A" w:rsidRPr="00260790">
              <w:rPr>
                <w:rFonts w:ascii="Times New Roman" w:hAnsi="Times New Roman"/>
                <w:color w:val="000000" w:themeColor="text1"/>
              </w:rPr>
              <w:t>Niakoulrap</w:t>
            </w:r>
            <w:proofErr w:type="spellEnd"/>
            <w:r w:rsidR="0095158A" w:rsidRPr="00260790">
              <w:rPr>
                <w:rFonts w:ascii="Times New Roman" w:hAnsi="Times New Roman"/>
                <w:color w:val="000000" w:themeColor="text1"/>
              </w:rPr>
              <w:t>, de Rufisque Ouest, de Keur Massar Sud et de Mbao</w:t>
            </w:r>
            <w:r w:rsidR="004D33E2" w:rsidRPr="00260790">
              <w:rPr>
                <w:rFonts w:ascii="Times New Roman" w:hAnsi="Times New Roman"/>
                <w:color w:val="000000" w:themeColor="text1"/>
              </w:rPr>
              <w:t>)</w:t>
            </w:r>
          </w:p>
        </w:tc>
        <w:tc>
          <w:tcPr>
            <w:tcW w:w="2757" w:type="pct"/>
            <w:tcBorders>
              <w:top w:val="single" w:sz="4" w:space="0" w:color="auto"/>
              <w:left w:val="single" w:sz="4" w:space="0" w:color="auto"/>
              <w:bottom w:val="single" w:sz="4" w:space="0" w:color="auto"/>
              <w:right w:val="single" w:sz="4" w:space="0" w:color="auto"/>
            </w:tcBorders>
            <w:vAlign w:val="center"/>
            <w:hideMark/>
          </w:tcPr>
          <w:p w14:paraId="0BA9E52F" w14:textId="77777777" w:rsidR="008F35C9" w:rsidRPr="001D2346" w:rsidRDefault="008F35C9" w:rsidP="001D2346">
            <w:pPr>
              <w:pStyle w:val="Paragraphedeliste"/>
              <w:numPr>
                <w:ilvl w:val="0"/>
                <w:numId w:val="114"/>
              </w:numPr>
              <w:spacing w:after="0" w:line="240" w:lineRule="auto"/>
              <w:ind w:left="318"/>
              <w:jc w:val="both"/>
              <w:rPr>
                <w:rFonts w:ascii="Times New Roman" w:hAnsi="Times New Roman"/>
                <w:color w:val="000000" w:themeColor="text1"/>
              </w:rPr>
            </w:pPr>
            <w:r w:rsidRPr="001D2346">
              <w:rPr>
                <w:rFonts w:ascii="Times New Roman" w:hAnsi="Times New Roman"/>
                <w:color w:val="000000" w:themeColor="text1"/>
              </w:rPr>
              <w:lastRenderedPageBreak/>
              <w:t>Attribuer les autorisations d’occupation des sites de chantiers</w:t>
            </w:r>
          </w:p>
          <w:p w14:paraId="0FC9F7F2" w14:textId="77777777" w:rsidR="008F35C9" w:rsidRPr="00260790" w:rsidRDefault="008F35C9" w:rsidP="001748C6">
            <w:pPr>
              <w:pStyle w:val="Paragraphedeliste"/>
              <w:numPr>
                <w:ilvl w:val="0"/>
                <w:numId w:val="1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lastRenderedPageBreak/>
              <w:t xml:space="preserve">Assurer la médiation entre le projet et les populations locales en cas de conflits </w:t>
            </w:r>
          </w:p>
          <w:p w14:paraId="5239B769" w14:textId="77777777" w:rsidR="008F35C9" w:rsidRPr="00260790" w:rsidRDefault="008F35C9" w:rsidP="001748C6">
            <w:pPr>
              <w:pStyle w:val="Paragraphedeliste"/>
              <w:numPr>
                <w:ilvl w:val="0"/>
                <w:numId w:val="1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Fonctionnement du MGP</w:t>
            </w:r>
          </w:p>
          <w:p w14:paraId="0B3E0F57" w14:textId="77777777" w:rsidR="008F35C9" w:rsidRPr="00260790" w:rsidRDefault="008F35C9" w:rsidP="001748C6">
            <w:pPr>
              <w:pStyle w:val="Paragraphedeliste"/>
              <w:numPr>
                <w:ilvl w:val="0"/>
                <w:numId w:val="1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Information et sensibilisation des populations</w:t>
            </w:r>
          </w:p>
        </w:tc>
        <w:tc>
          <w:tcPr>
            <w:tcW w:w="1084" w:type="pct"/>
            <w:tcBorders>
              <w:top w:val="single" w:sz="4" w:space="0" w:color="auto"/>
              <w:left w:val="single" w:sz="4" w:space="0" w:color="auto"/>
              <w:bottom w:val="single" w:sz="4" w:space="0" w:color="auto"/>
              <w:right w:val="single" w:sz="4" w:space="0" w:color="auto"/>
            </w:tcBorders>
            <w:vAlign w:val="center"/>
            <w:hideMark/>
          </w:tcPr>
          <w:p w14:paraId="66DF2810" w14:textId="77777777" w:rsidR="008F35C9" w:rsidRPr="00260790" w:rsidRDefault="008F35C9"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lastRenderedPageBreak/>
              <w:t xml:space="preserve">Participer à la validation de remise </w:t>
            </w:r>
            <w:r w:rsidRPr="00260790">
              <w:rPr>
                <w:rFonts w:ascii="Times New Roman" w:hAnsi="Times New Roman"/>
                <w:color w:val="000000" w:themeColor="text1"/>
              </w:rPr>
              <w:lastRenderedPageBreak/>
              <w:t>en état des sites après travaux</w:t>
            </w:r>
          </w:p>
        </w:tc>
      </w:tr>
      <w:tr w:rsidR="00BD1A2F" w:rsidRPr="00260790" w14:paraId="53EC79C5" w14:textId="77777777" w:rsidTr="00677613">
        <w:trPr>
          <w:trHeight w:val="375"/>
        </w:trPr>
        <w:tc>
          <w:tcPr>
            <w:tcW w:w="1159" w:type="pct"/>
            <w:tcBorders>
              <w:top w:val="single" w:sz="4" w:space="0" w:color="auto"/>
              <w:left w:val="single" w:sz="4" w:space="0" w:color="auto"/>
              <w:bottom w:val="single" w:sz="4" w:space="0" w:color="auto"/>
              <w:right w:val="single" w:sz="4" w:space="0" w:color="auto"/>
            </w:tcBorders>
            <w:vAlign w:val="center"/>
            <w:hideMark/>
          </w:tcPr>
          <w:p w14:paraId="12CD8C10" w14:textId="01014CB6" w:rsidR="0095158A" w:rsidRPr="00260790" w:rsidRDefault="008F35C9"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Services sociaux spécialisés (Service</w:t>
            </w:r>
            <w:r w:rsidR="00893E08" w:rsidRPr="00260790">
              <w:rPr>
                <w:rFonts w:ascii="Times New Roman" w:hAnsi="Times New Roman"/>
                <w:color w:val="000000" w:themeColor="text1"/>
              </w:rPr>
              <w:t>s</w:t>
            </w:r>
            <w:r w:rsidRPr="00260790">
              <w:rPr>
                <w:rFonts w:ascii="Times New Roman" w:hAnsi="Times New Roman"/>
                <w:color w:val="000000" w:themeColor="text1"/>
              </w:rPr>
              <w:t xml:space="preserve"> Départementa</w:t>
            </w:r>
            <w:r w:rsidR="00893E08" w:rsidRPr="00260790">
              <w:rPr>
                <w:rFonts w:ascii="Times New Roman" w:hAnsi="Times New Roman"/>
                <w:color w:val="000000" w:themeColor="text1"/>
              </w:rPr>
              <w:t>ux</w:t>
            </w:r>
            <w:r w:rsidRPr="00260790">
              <w:rPr>
                <w:rFonts w:ascii="Times New Roman" w:hAnsi="Times New Roman"/>
                <w:color w:val="000000" w:themeColor="text1"/>
              </w:rPr>
              <w:t xml:space="preserve"> de l’action sociale</w:t>
            </w:r>
            <w:r w:rsidR="00893E08" w:rsidRPr="00260790">
              <w:rPr>
                <w:rFonts w:ascii="Times New Roman" w:hAnsi="Times New Roman"/>
                <w:color w:val="000000" w:themeColor="text1"/>
              </w:rPr>
              <w:t xml:space="preserve"> et du Développement communautaire </w:t>
            </w:r>
            <w:r w:rsidR="0095158A" w:rsidRPr="00260790">
              <w:rPr>
                <w:rFonts w:ascii="Times New Roman" w:hAnsi="Times New Roman"/>
                <w:color w:val="000000" w:themeColor="text1"/>
              </w:rPr>
              <w:t>de Rufisque, de Keur Massar et de Pikine</w:t>
            </w:r>
          </w:p>
        </w:tc>
        <w:tc>
          <w:tcPr>
            <w:tcW w:w="2757" w:type="pct"/>
            <w:tcBorders>
              <w:top w:val="single" w:sz="4" w:space="0" w:color="auto"/>
              <w:left w:val="single" w:sz="4" w:space="0" w:color="auto"/>
              <w:bottom w:val="single" w:sz="4" w:space="0" w:color="auto"/>
              <w:right w:val="single" w:sz="4" w:space="0" w:color="auto"/>
            </w:tcBorders>
            <w:vAlign w:val="center"/>
            <w:hideMark/>
          </w:tcPr>
          <w:p w14:paraId="72830E50" w14:textId="3437AA96" w:rsidR="008F35C9" w:rsidRPr="00260790" w:rsidRDefault="008F35C9" w:rsidP="001748C6">
            <w:pPr>
              <w:pStyle w:val="Paragraphedeliste"/>
              <w:numPr>
                <w:ilvl w:val="0"/>
                <w:numId w:val="1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Récept</w:t>
            </w:r>
            <w:r w:rsidR="008F63FD" w:rsidRPr="00260790">
              <w:rPr>
                <w:rFonts w:ascii="Times New Roman" w:hAnsi="Times New Roman"/>
                <w:color w:val="000000" w:themeColor="text1"/>
              </w:rPr>
              <w:t xml:space="preserve">ion des plaintes sensibles aux </w:t>
            </w:r>
            <w:r w:rsidR="009D7DDA" w:rsidRPr="00260790">
              <w:rPr>
                <w:rFonts w:ascii="Times New Roman" w:hAnsi="Times New Roman"/>
                <w:color w:val="000000" w:themeColor="text1"/>
              </w:rPr>
              <w:t>E</w:t>
            </w:r>
            <w:r w:rsidR="008F63FD" w:rsidRPr="00260790">
              <w:rPr>
                <w:rFonts w:ascii="Times New Roman" w:hAnsi="Times New Roman"/>
                <w:color w:val="000000" w:themeColor="text1"/>
              </w:rPr>
              <w:t>A</w:t>
            </w:r>
            <w:r w:rsidRPr="00260790">
              <w:rPr>
                <w:rFonts w:ascii="Times New Roman" w:hAnsi="Times New Roman"/>
                <w:color w:val="000000" w:themeColor="text1"/>
              </w:rPr>
              <w:t>S/HS</w:t>
            </w:r>
          </w:p>
          <w:p w14:paraId="28C8FE5D" w14:textId="61002517" w:rsidR="008F35C9" w:rsidRPr="00260790" w:rsidRDefault="008F35C9" w:rsidP="001748C6">
            <w:pPr>
              <w:pStyle w:val="Paragraphedeliste"/>
              <w:numPr>
                <w:ilvl w:val="0"/>
                <w:numId w:val="1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Accompagnement des victimes</w:t>
            </w:r>
            <w:r w:rsidR="008F63FD" w:rsidRPr="00260790">
              <w:rPr>
                <w:rFonts w:ascii="Times New Roman" w:hAnsi="Times New Roman"/>
                <w:color w:val="000000" w:themeColor="text1"/>
              </w:rPr>
              <w:t xml:space="preserve"> survivantes d’</w:t>
            </w:r>
            <w:r w:rsidR="009D7DDA" w:rsidRPr="00260790">
              <w:rPr>
                <w:rFonts w:ascii="Times New Roman" w:hAnsi="Times New Roman"/>
                <w:color w:val="000000" w:themeColor="text1"/>
              </w:rPr>
              <w:t>E</w:t>
            </w:r>
            <w:r w:rsidR="008F63FD" w:rsidRPr="00260790">
              <w:rPr>
                <w:rFonts w:ascii="Times New Roman" w:hAnsi="Times New Roman"/>
                <w:color w:val="000000" w:themeColor="text1"/>
              </w:rPr>
              <w:t>A</w:t>
            </w:r>
            <w:r w:rsidR="00893E08" w:rsidRPr="00260790">
              <w:rPr>
                <w:rFonts w:ascii="Times New Roman" w:hAnsi="Times New Roman"/>
                <w:color w:val="000000" w:themeColor="text1"/>
              </w:rPr>
              <w:t>S/HS</w:t>
            </w:r>
          </w:p>
        </w:tc>
        <w:tc>
          <w:tcPr>
            <w:tcW w:w="1084" w:type="pct"/>
            <w:tcBorders>
              <w:top w:val="single" w:sz="4" w:space="0" w:color="auto"/>
              <w:left w:val="single" w:sz="4" w:space="0" w:color="auto"/>
              <w:bottom w:val="single" w:sz="4" w:space="0" w:color="auto"/>
              <w:right w:val="single" w:sz="4" w:space="0" w:color="auto"/>
            </w:tcBorders>
            <w:vAlign w:val="center"/>
            <w:hideMark/>
          </w:tcPr>
          <w:p w14:paraId="41D2ED75" w14:textId="40D2DEC1" w:rsidR="008F35C9" w:rsidRPr="00260790" w:rsidRDefault="008F63FD"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Rapports sur les aspects </w:t>
            </w:r>
            <w:r w:rsidR="009D7DDA" w:rsidRPr="00260790">
              <w:rPr>
                <w:rFonts w:ascii="Times New Roman" w:hAnsi="Times New Roman"/>
                <w:color w:val="000000" w:themeColor="text1"/>
              </w:rPr>
              <w:t>E</w:t>
            </w:r>
            <w:r w:rsidRPr="00260790">
              <w:rPr>
                <w:rFonts w:ascii="Times New Roman" w:hAnsi="Times New Roman"/>
                <w:color w:val="000000" w:themeColor="text1"/>
              </w:rPr>
              <w:t>A</w:t>
            </w:r>
            <w:r w:rsidR="008F35C9" w:rsidRPr="00260790">
              <w:rPr>
                <w:rFonts w:ascii="Times New Roman" w:hAnsi="Times New Roman"/>
                <w:color w:val="000000" w:themeColor="text1"/>
              </w:rPr>
              <w:t>S/HS</w:t>
            </w:r>
          </w:p>
        </w:tc>
      </w:tr>
      <w:tr w:rsidR="00BD1A2F" w:rsidRPr="00260790" w14:paraId="1B1DC369" w14:textId="77777777" w:rsidTr="00677613">
        <w:trPr>
          <w:trHeight w:val="375"/>
        </w:trPr>
        <w:tc>
          <w:tcPr>
            <w:tcW w:w="1159" w:type="pct"/>
            <w:tcBorders>
              <w:top w:val="single" w:sz="4" w:space="0" w:color="auto"/>
              <w:left w:val="single" w:sz="4" w:space="0" w:color="auto"/>
              <w:bottom w:val="single" w:sz="4" w:space="0" w:color="auto"/>
              <w:right w:val="single" w:sz="4" w:space="0" w:color="auto"/>
            </w:tcBorders>
            <w:vAlign w:val="center"/>
            <w:hideMark/>
          </w:tcPr>
          <w:p w14:paraId="3208535C" w14:textId="77777777" w:rsidR="008F35C9" w:rsidRPr="00260790" w:rsidRDefault="008F35C9"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Entreprise de travaux</w:t>
            </w:r>
          </w:p>
        </w:tc>
        <w:tc>
          <w:tcPr>
            <w:tcW w:w="2757" w:type="pct"/>
            <w:tcBorders>
              <w:top w:val="single" w:sz="4" w:space="0" w:color="auto"/>
              <w:left w:val="single" w:sz="4" w:space="0" w:color="auto"/>
              <w:bottom w:val="single" w:sz="4" w:space="0" w:color="auto"/>
              <w:right w:val="single" w:sz="4" w:space="0" w:color="auto"/>
            </w:tcBorders>
            <w:vAlign w:val="center"/>
            <w:hideMark/>
          </w:tcPr>
          <w:p w14:paraId="0472AD45" w14:textId="77777777" w:rsidR="008F35C9" w:rsidRPr="00260790" w:rsidRDefault="008F35C9" w:rsidP="001748C6">
            <w:pPr>
              <w:pStyle w:val="Paragraphedeliste"/>
              <w:numPr>
                <w:ilvl w:val="0"/>
                <w:numId w:val="1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Préparer et mettre en œuvre de manière adéquate le plan de gestion environnementale et sociale (PGES) de l'entrepreneur et le plan hygiène, santé et sécurité </w:t>
            </w:r>
          </w:p>
          <w:p w14:paraId="3E6DD010" w14:textId="77777777" w:rsidR="008F35C9" w:rsidRPr="00260790" w:rsidRDefault="008F35C9" w:rsidP="001748C6">
            <w:pPr>
              <w:pStyle w:val="Paragraphedeliste"/>
              <w:numPr>
                <w:ilvl w:val="0"/>
                <w:numId w:val="1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Exécuter les PGES-E, PHS et PAQ validés</w:t>
            </w:r>
          </w:p>
          <w:p w14:paraId="774B486F" w14:textId="4A1F7F1B" w:rsidR="008F35C9" w:rsidRPr="00260790" w:rsidRDefault="008F35C9" w:rsidP="001748C6">
            <w:pPr>
              <w:pStyle w:val="Paragraphedeliste"/>
              <w:numPr>
                <w:ilvl w:val="0"/>
                <w:numId w:val="1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Mettre en place un mécanisme de Gesti</w:t>
            </w:r>
            <w:r w:rsidR="008F63FD" w:rsidRPr="00260790">
              <w:rPr>
                <w:rFonts w:ascii="Times New Roman" w:hAnsi="Times New Roman"/>
                <w:color w:val="000000" w:themeColor="text1"/>
              </w:rPr>
              <w:t xml:space="preserve">on des Plaintes et les aspects </w:t>
            </w:r>
            <w:r w:rsidR="009D7DDA" w:rsidRPr="00260790">
              <w:rPr>
                <w:rFonts w:ascii="Times New Roman" w:hAnsi="Times New Roman"/>
                <w:color w:val="000000" w:themeColor="text1"/>
              </w:rPr>
              <w:t>E</w:t>
            </w:r>
            <w:r w:rsidR="008F63FD" w:rsidRPr="00260790">
              <w:rPr>
                <w:rFonts w:ascii="Times New Roman" w:hAnsi="Times New Roman"/>
                <w:color w:val="000000" w:themeColor="text1"/>
              </w:rPr>
              <w:t>A</w:t>
            </w:r>
            <w:r w:rsidRPr="00260790">
              <w:rPr>
                <w:rFonts w:ascii="Times New Roman" w:hAnsi="Times New Roman"/>
                <w:color w:val="000000" w:themeColor="text1"/>
              </w:rPr>
              <w:t>S/HS</w:t>
            </w:r>
          </w:p>
          <w:p w14:paraId="1E26D099" w14:textId="77777777" w:rsidR="008F35C9" w:rsidRPr="00260790" w:rsidRDefault="008F35C9" w:rsidP="001748C6">
            <w:pPr>
              <w:pStyle w:val="Paragraphedeliste"/>
              <w:numPr>
                <w:ilvl w:val="0"/>
                <w:numId w:val="1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Information et sensibilisation des parties prenantes (personnel et riverains, propriétaire) </w:t>
            </w:r>
          </w:p>
          <w:p w14:paraId="521D443D" w14:textId="77777777" w:rsidR="008F35C9" w:rsidRPr="00260790" w:rsidRDefault="008F35C9" w:rsidP="001748C6">
            <w:pPr>
              <w:pStyle w:val="Paragraphedeliste"/>
              <w:numPr>
                <w:ilvl w:val="0"/>
                <w:numId w:val="1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Mettre en place un système intégré environnemental, social, de santé et de sécurité conforme aux normes Environnementales et sociales de la Banque mondiale et à la réglementation nationale</w:t>
            </w:r>
          </w:p>
          <w:p w14:paraId="7488605E" w14:textId="77777777" w:rsidR="008F35C9" w:rsidRPr="00260790" w:rsidRDefault="008F35C9" w:rsidP="001748C6">
            <w:pPr>
              <w:pStyle w:val="Paragraphedeliste"/>
              <w:numPr>
                <w:ilvl w:val="0"/>
                <w:numId w:val="1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Recruter un spécialiste environnemental expérimenté, un spécialiste social expérimenté en matière de droit du travail, de suivi de la violence à l'égard des femmes et de gestion des plaintes, ainsi qu'un spécialiste de la santé et de la sécurité expérimenté</w:t>
            </w:r>
            <w:r w:rsidR="00317003" w:rsidRPr="00260790">
              <w:rPr>
                <w:rFonts w:ascii="Times New Roman" w:hAnsi="Times New Roman"/>
                <w:color w:val="000000" w:themeColor="text1"/>
              </w:rPr>
              <w:t>e</w:t>
            </w:r>
          </w:p>
          <w:p w14:paraId="47CFBD03" w14:textId="2063461A" w:rsidR="004201C2" w:rsidRPr="00260790" w:rsidRDefault="004201C2" w:rsidP="001748C6">
            <w:pPr>
              <w:pStyle w:val="Paragraphedeliste"/>
              <w:numPr>
                <w:ilvl w:val="0"/>
                <w:numId w:val="1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Soumettre des rapports mensuels de</w:t>
            </w:r>
            <w:r w:rsidR="00F9441E" w:rsidRPr="00260790">
              <w:rPr>
                <w:rFonts w:ascii="Times New Roman" w:hAnsi="Times New Roman"/>
                <w:color w:val="000000" w:themeColor="text1"/>
              </w:rPr>
              <w:t xml:space="preserve"> suivi de la mise en œuvre du PGES-E et PHSS</w:t>
            </w:r>
          </w:p>
        </w:tc>
        <w:tc>
          <w:tcPr>
            <w:tcW w:w="1084" w:type="pct"/>
            <w:tcBorders>
              <w:top w:val="single" w:sz="4" w:space="0" w:color="auto"/>
              <w:left w:val="single" w:sz="4" w:space="0" w:color="auto"/>
              <w:bottom w:val="single" w:sz="4" w:space="0" w:color="auto"/>
              <w:right w:val="single" w:sz="4" w:space="0" w:color="auto"/>
            </w:tcBorders>
            <w:vAlign w:val="center"/>
            <w:hideMark/>
          </w:tcPr>
          <w:p w14:paraId="079308AA" w14:textId="77777777" w:rsidR="008F35C9" w:rsidRPr="00260790" w:rsidRDefault="008F35C9"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Remettre en état les sites</w:t>
            </w:r>
          </w:p>
          <w:p w14:paraId="2EC01CCD" w14:textId="77777777" w:rsidR="008F35C9" w:rsidRPr="00260790" w:rsidRDefault="008F35C9"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Procéder à la réception environnementale et sociale des travaux.</w:t>
            </w:r>
          </w:p>
        </w:tc>
      </w:tr>
      <w:tr w:rsidR="00BD1A2F" w:rsidRPr="00260790" w14:paraId="435CD2C5" w14:textId="77777777" w:rsidTr="00677613">
        <w:trPr>
          <w:trHeight w:val="375"/>
        </w:trPr>
        <w:tc>
          <w:tcPr>
            <w:tcW w:w="1159" w:type="pct"/>
            <w:tcBorders>
              <w:top w:val="single" w:sz="4" w:space="0" w:color="auto"/>
              <w:left w:val="single" w:sz="4" w:space="0" w:color="auto"/>
              <w:bottom w:val="single" w:sz="4" w:space="0" w:color="auto"/>
              <w:right w:val="single" w:sz="4" w:space="0" w:color="auto"/>
            </w:tcBorders>
            <w:vAlign w:val="center"/>
            <w:hideMark/>
          </w:tcPr>
          <w:p w14:paraId="5FDE4BF0" w14:textId="77777777" w:rsidR="008F35C9" w:rsidRPr="00260790" w:rsidRDefault="008F35C9"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Mission d’Études et de Contrôle (MDC)</w:t>
            </w:r>
          </w:p>
        </w:tc>
        <w:tc>
          <w:tcPr>
            <w:tcW w:w="2757" w:type="pct"/>
            <w:tcBorders>
              <w:top w:val="single" w:sz="4" w:space="0" w:color="auto"/>
              <w:left w:val="single" w:sz="4" w:space="0" w:color="auto"/>
              <w:bottom w:val="single" w:sz="4" w:space="0" w:color="auto"/>
              <w:right w:val="single" w:sz="4" w:space="0" w:color="auto"/>
            </w:tcBorders>
            <w:vAlign w:val="center"/>
            <w:hideMark/>
          </w:tcPr>
          <w:p w14:paraId="6E142A40" w14:textId="77777777" w:rsidR="008F35C9" w:rsidRPr="00260790" w:rsidRDefault="008F35C9" w:rsidP="001748C6">
            <w:pPr>
              <w:pStyle w:val="Paragraphedeliste"/>
              <w:numPr>
                <w:ilvl w:val="0"/>
                <w:numId w:val="1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Valider le PGES-E et le PHS </w:t>
            </w:r>
          </w:p>
          <w:p w14:paraId="16A5C0F4" w14:textId="77777777" w:rsidR="008F35C9" w:rsidRPr="00260790" w:rsidRDefault="008F35C9" w:rsidP="001748C6">
            <w:pPr>
              <w:pStyle w:val="Paragraphedeliste"/>
              <w:numPr>
                <w:ilvl w:val="0"/>
                <w:numId w:val="1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Disposer en son sein d’un expert environnementaliste (HSE) et d’un Expert Social</w:t>
            </w:r>
          </w:p>
          <w:p w14:paraId="6FE81319" w14:textId="77777777" w:rsidR="008F35C9" w:rsidRPr="00260790" w:rsidRDefault="008F35C9" w:rsidP="001748C6">
            <w:pPr>
              <w:pStyle w:val="Paragraphedeliste"/>
              <w:numPr>
                <w:ilvl w:val="0"/>
                <w:numId w:val="1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Établir et mettre en œuvre un plan de surveillance environnementale de la mise en œuvre du PGES </w:t>
            </w:r>
          </w:p>
          <w:p w14:paraId="3531AAB5" w14:textId="77777777" w:rsidR="008F35C9" w:rsidRPr="00260790" w:rsidRDefault="008F35C9" w:rsidP="001748C6">
            <w:pPr>
              <w:pStyle w:val="Paragraphedeliste"/>
              <w:numPr>
                <w:ilvl w:val="0"/>
                <w:numId w:val="1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Superviser et présenter des rapports périodiques de la mise en œuvre du PGES</w:t>
            </w:r>
          </w:p>
          <w:p w14:paraId="4D6EA8B6" w14:textId="033B1524" w:rsidR="008F35C9" w:rsidRPr="00260790" w:rsidRDefault="008F35C9" w:rsidP="001748C6">
            <w:pPr>
              <w:pStyle w:val="Paragraphedeliste"/>
              <w:numPr>
                <w:ilvl w:val="0"/>
                <w:numId w:val="114"/>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Recruter </w:t>
            </w:r>
            <w:r w:rsidR="00530817" w:rsidRPr="00260790">
              <w:rPr>
                <w:rFonts w:ascii="Times New Roman" w:hAnsi="Times New Roman"/>
                <w:color w:val="000000" w:themeColor="text1"/>
              </w:rPr>
              <w:t xml:space="preserve">et mobiliser en temps plein </w:t>
            </w:r>
            <w:r w:rsidRPr="00260790">
              <w:rPr>
                <w:rFonts w:ascii="Times New Roman" w:hAnsi="Times New Roman"/>
                <w:color w:val="000000" w:themeColor="text1"/>
              </w:rPr>
              <w:t>un spécialiste environnemental expérimenté, un spécialiste social expérimenté en matière de droit du travail, de suivi de la violence à l'égard des femmes et de gestion des plaintes, ainsi qu'un spécialiste de la santé et de la sécurité expérimenté</w:t>
            </w:r>
            <w:r w:rsidR="00317003" w:rsidRPr="00260790">
              <w:rPr>
                <w:rFonts w:ascii="Times New Roman" w:hAnsi="Times New Roman"/>
                <w:color w:val="000000" w:themeColor="text1"/>
              </w:rPr>
              <w:t>e</w:t>
            </w:r>
            <w:r w:rsidRPr="00260790">
              <w:rPr>
                <w:rFonts w:ascii="Times New Roman" w:hAnsi="Times New Roman"/>
                <w:color w:val="000000" w:themeColor="text1"/>
              </w:rPr>
              <w:t xml:space="preserve"> et </w:t>
            </w:r>
            <w:r w:rsidR="00317003" w:rsidRPr="00260790">
              <w:rPr>
                <w:rFonts w:ascii="Times New Roman" w:hAnsi="Times New Roman"/>
                <w:color w:val="000000" w:themeColor="text1"/>
              </w:rPr>
              <w:t>a</w:t>
            </w:r>
            <w:r w:rsidRPr="00260790">
              <w:rPr>
                <w:rFonts w:ascii="Times New Roman" w:hAnsi="Times New Roman"/>
                <w:color w:val="000000" w:themeColor="text1"/>
              </w:rPr>
              <w:t>ssurer leur présence à plein temps sur les sites de construction pendant les heures de travail</w:t>
            </w:r>
          </w:p>
        </w:tc>
        <w:tc>
          <w:tcPr>
            <w:tcW w:w="1084" w:type="pct"/>
            <w:tcBorders>
              <w:top w:val="single" w:sz="4" w:space="0" w:color="auto"/>
              <w:left w:val="single" w:sz="4" w:space="0" w:color="auto"/>
              <w:bottom w:val="single" w:sz="4" w:space="0" w:color="auto"/>
              <w:right w:val="single" w:sz="4" w:space="0" w:color="auto"/>
            </w:tcBorders>
            <w:vAlign w:val="center"/>
            <w:hideMark/>
          </w:tcPr>
          <w:p w14:paraId="294B287B" w14:textId="77777777" w:rsidR="008F35C9" w:rsidRPr="00260790" w:rsidRDefault="008F35C9"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Présenter un rapport global sur l’état de mise en œuvre du PGES </w:t>
            </w:r>
          </w:p>
        </w:tc>
      </w:tr>
    </w:tbl>
    <w:p w14:paraId="5B0EB278" w14:textId="77777777" w:rsidR="008F35C9" w:rsidRPr="00260790" w:rsidRDefault="008F35C9" w:rsidP="00E20250">
      <w:pPr>
        <w:spacing w:after="0" w:line="240" w:lineRule="auto"/>
        <w:ind w:right="709"/>
        <w:jc w:val="both"/>
        <w:rPr>
          <w:rFonts w:ascii="Times New Roman" w:eastAsia="Times New Roman" w:hAnsi="Times New Roman"/>
          <w:b/>
          <w:i/>
          <w:color w:val="000000" w:themeColor="text1"/>
          <w:lang w:eastAsia="fr-FR"/>
        </w:rPr>
      </w:pPr>
    </w:p>
    <w:p w14:paraId="5DE19CCE" w14:textId="77777777" w:rsidR="008F35C9" w:rsidRPr="00260790" w:rsidRDefault="008F35C9" w:rsidP="00E20250">
      <w:pPr>
        <w:autoSpaceDE w:val="0"/>
        <w:autoSpaceDN w:val="0"/>
        <w:adjustRightInd w:val="0"/>
        <w:spacing w:after="0" w:line="240" w:lineRule="auto"/>
        <w:ind w:right="-1"/>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Des protocoles ou conventions de collaboration seront établis entre l’ADM et les différents acteurs et structures impliqués dans la mise en œuvre des mesures environnementales et sociales.</w:t>
      </w:r>
    </w:p>
    <w:p w14:paraId="2199B32B" w14:textId="77777777" w:rsidR="008F35C9" w:rsidRPr="00260790" w:rsidRDefault="008F35C9" w:rsidP="001748C6">
      <w:pPr>
        <w:pStyle w:val="Normaltableau0"/>
        <w:numPr>
          <w:ilvl w:val="1"/>
          <w:numId w:val="139"/>
        </w:numPr>
        <w:outlineLvl w:val="1"/>
        <w:rPr>
          <w:rFonts w:ascii="Times New Roman" w:hAnsi="Times New Roman"/>
          <w:b/>
          <w:bCs/>
          <w:sz w:val="22"/>
          <w:szCs w:val="22"/>
        </w:rPr>
      </w:pPr>
      <w:bookmarkStart w:id="2331" w:name="_Toc212725172"/>
      <w:r w:rsidRPr="00260790">
        <w:rPr>
          <w:rFonts w:ascii="Times New Roman" w:hAnsi="Times New Roman"/>
          <w:b/>
          <w:bCs/>
          <w:sz w:val="22"/>
          <w:szCs w:val="22"/>
        </w:rPr>
        <w:lastRenderedPageBreak/>
        <w:t>Plan d’atténuation</w:t>
      </w:r>
      <w:bookmarkEnd w:id="2331"/>
      <w:r w:rsidRPr="00260790">
        <w:rPr>
          <w:rFonts w:ascii="Times New Roman" w:hAnsi="Times New Roman"/>
          <w:b/>
          <w:bCs/>
          <w:sz w:val="22"/>
          <w:szCs w:val="22"/>
        </w:rPr>
        <w:t xml:space="preserve"> </w:t>
      </w:r>
    </w:p>
    <w:p w14:paraId="207B4041" w14:textId="77777777" w:rsidR="008F35C9" w:rsidRPr="00260790" w:rsidRDefault="008F35C9" w:rsidP="001E0A5F">
      <w:pPr>
        <w:pStyle w:val="CHAPITRE1"/>
        <w:rPr>
          <w:rFonts w:cs="Times New Roman"/>
        </w:rPr>
      </w:pPr>
      <w:bookmarkStart w:id="2332" w:name="_Toc493932941"/>
      <w:bookmarkStart w:id="2333" w:name="_Toc56160203"/>
      <w:bookmarkStart w:id="2334" w:name="_Toc212725173"/>
      <w:r w:rsidRPr="00260790">
        <w:rPr>
          <w:rFonts w:cs="Times New Roman"/>
        </w:rPr>
        <w:t>Mesures normatives et réglementaires</w:t>
      </w:r>
      <w:bookmarkEnd w:id="2332"/>
      <w:bookmarkEnd w:id="2333"/>
      <w:bookmarkEnd w:id="2334"/>
    </w:p>
    <w:p w14:paraId="335CC9F7" w14:textId="352A9360" w:rsidR="008F35C9" w:rsidRDefault="008F35C9" w:rsidP="00E20250">
      <w:pPr>
        <w:autoSpaceDE w:val="0"/>
        <w:autoSpaceDN w:val="0"/>
        <w:adjustRightInd w:val="0"/>
        <w:spacing w:after="0" w:line="240" w:lineRule="auto"/>
        <w:ind w:right="-1"/>
        <w:jc w:val="both"/>
        <w:rPr>
          <w:rFonts w:ascii="Times New Roman" w:eastAsia="Times New Roman" w:hAnsi="Times New Roman"/>
          <w:color w:val="000000" w:themeColor="text1"/>
          <w:lang w:eastAsia="fr-FR"/>
        </w:rPr>
      </w:pPr>
      <w:bookmarkStart w:id="2335" w:name="_Toc185301996"/>
      <w:bookmarkStart w:id="2336" w:name="_Toc185240813"/>
      <w:bookmarkStart w:id="2337" w:name="_Toc182736346"/>
      <w:bookmarkStart w:id="2338" w:name="_Toc182736261"/>
      <w:bookmarkStart w:id="2339" w:name="_Toc182736166"/>
      <w:bookmarkStart w:id="2340" w:name="_Toc182736079"/>
      <w:r w:rsidRPr="00260790">
        <w:rPr>
          <w:rFonts w:ascii="Times New Roman" w:eastAsia="Times New Roman" w:hAnsi="Times New Roman"/>
          <w:color w:val="000000" w:themeColor="text1"/>
          <w:lang w:eastAsia="fr-FR"/>
        </w:rPr>
        <w:t xml:space="preserve">Durant la mise en œuvre, le projet se conformera à toute la réglementation </w:t>
      </w:r>
      <w:bookmarkEnd w:id="2335"/>
      <w:bookmarkEnd w:id="2336"/>
      <w:bookmarkEnd w:id="2337"/>
      <w:bookmarkEnd w:id="2338"/>
      <w:bookmarkEnd w:id="2339"/>
      <w:bookmarkEnd w:id="2340"/>
      <w:r w:rsidRPr="00260790">
        <w:rPr>
          <w:rFonts w:ascii="Times New Roman" w:eastAsia="Times New Roman" w:hAnsi="Times New Roman"/>
          <w:color w:val="000000" w:themeColor="text1"/>
          <w:lang w:eastAsia="fr-FR"/>
        </w:rPr>
        <w:t>applicable.</w:t>
      </w:r>
      <w:bookmarkStart w:id="2341" w:name="_Toc442722390"/>
      <w:bookmarkStart w:id="2342" w:name="_Toc442722529"/>
      <w:bookmarkStart w:id="2343" w:name="_Toc443049147"/>
      <w:bookmarkStart w:id="2344" w:name="_Toc448365586"/>
      <w:bookmarkStart w:id="2345" w:name="_Toc448365804"/>
      <w:bookmarkStart w:id="2346" w:name="_Toc448390349"/>
      <w:bookmarkStart w:id="2347" w:name="_Toc448495632"/>
      <w:bookmarkStart w:id="2348" w:name="_Toc448718114"/>
      <w:bookmarkStart w:id="2349" w:name="_Toc448726873"/>
      <w:bookmarkStart w:id="2350" w:name="_Toc442722391"/>
      <w:bookmarkStart w:id="2351" w:name="_Toc442722530"/>
      <w:bookmarkStart w:id="2352" w:name="_Toc443049148"/>
      <w:bookmarkStart w:id="2353" w:name="_Toc448365587"/>
      <w:bookmarkStart w:id="2354" w:name="_Toc448365805"/>
      <w:bookmarkStart w:id="2355" w:name="_Toc448390350"/>
      <w:bookmarkStart w:id="2356" w:name="_Toc448495633"/>
      <w:bookmarkStart w:id="2357" w:name="_Toc448718115"/>
      <w:bookmarkStart w:id="2358" w:name="_Toc448726874"/>
      <w:bookmarkStart w:id="2359" w:name="_Toc442722392"/>
      <w:bookmarkStart w:id="2360" w:name="_Toc442722531"/>
      <w:bookmarkStart w:id="2361" w:name="_Toc443049149"/>
      <w:bookmarkStart w:id="2362" w:name="_Toc448365588"/>
      <w:bookmarkStart w:id="2363" w:name="_Toc448365806"/>
      <w:bookmarkStart w:id="2364" w:name="_Toc448390351"/>
      <w:bookmarkStart w:id="2365" w:name="_Toc448495634"/>
      <w:bookmarkStart w:id="2366" w:name="_Toc448718116"/>
      <w:bookmarkStart w:id="2367" w:name="_Toc448726875"/>
      <w:bookmarkStart w:id="2368" w:name="_Toc442722393"/>
      <w:bookmarkStart w:id="2369" w:name="_Toc442722532"/>
      <w:bookmarkStart w:id="2370" w:name="_Toc443049150"/>
      <w:bookmarkStart w:id="2371" w:name="_Toc448365589"/>
      <w:bookmarkStart w:id="2372" w:name="_Toc448365807"/>
      <w:bookmarkStart w:id="2373" w:name="_Toc448390352"/>
      <w:bookmarkStart w:id="2374" w:name="_Toc448495635"/>
      <w:bookmarkStart w:id="2375" w:name="_Toc448718117"/>
      <w:bookmarkStart w:id="2376" w:name="_Toc448726876"/>
      <w:bookmarkStart w:id="2377" w:name="_Toc442722394"/>
      <w:bookmarkStart w:id="2378" w:name="_Toc442722533"/>
      <w:bookmarkStart w:id="2379" w:name="_Toc443049151"/>
      <w:bookmarkStart w:id="2380" w:name="_Toc448365590"/>
      <w:bookmarkStart w:id="2381" w:name="_Toc448365808"/>
      <w:bookmarkStart w:id="2382" w:name="_Toc448390353"/>
      <w:bookmarkStart w:id="2383" w:name="_Toc448495636"/>
      <w:bookmarkStart w:id="2384" w:name="_Toc448718118"/>
      <w:bookmarkStart w:id="2385" w:name="_Toc448726877"/>
      <w:bookmarkStart w:id="2386" w:name="_Toc442722395"/>
      <w:bookmarkStart w:id="2387" w:name="_Toc442722534"/>
      <w:bookmarkStart w:id="2388" w:name="_Toc443049152"/>
      <w:bookmarkStart w:id="2389" w:name="_Toc448365591"/>
      <w:bookmarkStart w:id="2390" w:name="_Toc448365809"/>
      <w:bookmarkStart w:id="2391" w:name="_Toc448390354"/>
      <w:bookmarkStart w:id="2392" w:name="_Toc448495637"/>
      <w:bookmarkStart w:id="2393" w:name="_Toc448718119"/>
      <w:bookmarkStart w:id="2394" w:name="_Toc448726878"/>
      <w:bookmarkStart w:id="2395" w:name="_Toc442722396"/>
      <w:bookmarkStart w:id="2396" w:name="_Toc442722535"/>
      <w:bookmarkStart w:id="2397" w:name="_Toc443049153"/>
      <w:bookmarkStart w:id="2398" w:name="_Toc448365592"/>
      <w:bookmarkStart w:id="2399" w:name="_Toc448365810"/>
      <w:bookmarkStart w:id="2400" w:name="_Toc448390355"/>
      <w:bookmarkStart w:id="2401" w:name="_Toc448495638"/>
      <w:bookmarkStart w:id="2402" w:name="_Toc448718120"/>
      <w:bookmarkStart w:id="2403" w:name="_Toc448726879"/>
      <w:bookmarkStart w:id="2404" w:name="_Toc442722397"/>
      <w:bookmarkStart w:id="2405" w:name="_Toc442722536"/>
      <w:bookmarkStart w:id="2406" w:name="_Toc443049154"/>
      <w:bookmarkStart w:id="2407" w:name="_Toc448365593"/>
      <w:bookmarkStart w:id="2408" w:name="_Toc448365811"/>
      <w:bookmarkStart w:id="2409" w:name="_Toc448390356"/>
      <w:bookmarkStart w:id="2410" w:name="_Toc448495639"/>
      <w:bookmarkStart w:id="2411" w:name="_Toc448718121"/>
      <w:bookmarkStart w:id="2412" w:name="_Toc448726880"/>
      <w:bookmarkStart w:id="2413" w:name="_Toc159668641"/>
      <w:bookmarkStart w:id="2414" w:name="_Toc159821181"/>
      <w:bookmarkStart w:id="2415" w:name="_Toc165111469"/>
      <w:bookmarkStart w:id="2416" w:name="_Toc166666502"/>
      <w:bookmarkStart w:id="2417" w:name="_Toc179686896"/>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p>
    <w:p w14:paraId="3D648FEF" w14:textId="77777777" w:rsidR="001D2346" w:rsidRPr="00260790" w:rsidRDefault="001D2346" w:rsidP="00E20250">
      <w:pPr>
        <w:autoSpaceDE w:val="0"/>
        <w:autoSpaceDN w:val="0"/>
        <w:adjustRightInd w:val="0"/>
        <w:spacing w:after="0" w:line="240" w:lineRule="auto"/>
        <w:ind w:right="-1"/>
        <w:jc w:val="both"/>
        <w:rPr>
          <w:rFonts w:ascii="Times New Roman" w:eastAsia="Times New Roman" w:hAnsi="Times New Roman"/>
          <w:color w:val="000000" w:themeColor="text1"/>
          <w:lang w:eastAsia="fr-FR"/>
        </w:rPr>
      </w:pPr>
    </w:p>
    <w:p w14:paraId="09BCE618" w14:textId="48B12DA1" w:rsidR="008F35C9" w:rsidRPr="00260790" w:rsidRDefault="008F35C9" w:rsidP="003B6588">
      <w:pPr>
        <w:pStyle w:val="CHAPITRE1"/>
        <w:rPr>
          <w:rFonts w:cs="Times New Roman"/>
        </w:rPr>
      </w:pPr>
      <w:bookmarkStart w:id="2418" w:name="_Toc493932942"/>
      <w:bookmarkStart w:id="2419" w:name="_Toc448726881"/>
      <w:bookmarkStart w:id="2420" w:name="_Toc56160204"/>
      <w:bookmarkStart w:id="2421" w:name="_Toc212725174"/>
      <w:r w:rsidRPr="00260790">
        <w:rPr>
          <w:rFonts w:cs="Times New Roman"/>
        </w:rPr>
        <w:t>Conformité avec la réglementation environnementale</w:t>
      </w:r>
      <w:bookmarkEnd w:id="2418"/>
      <w:bookmarkEnd w:id="2419"/>
      <w:bookmarkEnd w:id="2420"/>
      <w:bookmarkEnd w:id="2421"/>
    </w:p>
    <w:p w14:paraId="2ED3E6A2" w14:textId="0B2A462B" w:rsidR="008F35C9" w:rsidRDefault="008F35C9" w:rsidP="00E20250">
      <w:pPr>
        <w:autoSpaceDE w:val="0"/>
        <w:autoSpaceDN w:val="0"/>
        <w:adjustRightInd w:val="0"/>
        <w:spacing w:after="0" w:line="240" w:lineRule="auto"/>
        <w:ind w:right="-1"/>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Lors de la réalisation de certains travaux, le Maitre d'Ouvrage, la MDC et les entreprises veilleront à la conformité aux dispositions relatives à la réglementation en général, en particulier au Code de l'environnement, notamment la gestion des déchets et des émissions.</w:t>
      </w:r>
    </w:p>
    <w:p w14:paraId="6FD299C4" w14:textId="77777777" w:rsidR="001D2346" w:rsidRPr="00260790" w:rsidRDefault="001D2346" w:rsidP="00E20250">
      <w:pPr>
        <w:autoSpaceDE w:val="0"/>
        <w:autoSpaceDN w:val="0"/>
        <w:adjustRightInd w:val="0"/>
        <w:spacing w:after="0" w:line="240" w:lineRule="auto"/>
        <w:ind w:right="-1"/>
        <w:jc w:val="both"/>
        <w:rPr>
          <w:rFonts w:ascii="Times New Roman" w:eastAsia="Times New Roman" w:hAnsi="Times New Roman"/>
          <w:color w:val="000000" w:themeColor="text1"/>
          <w:lang w:eastAsia="fr-FR"/>
        </w:rPr>
      </w:pPr>
    </w:p>
    <w:p w14:paraId="1243AC5F" w14:textId="77777777" w:rsidR="008F35C9" w:rsidRPr="00260790" w:rsidRDefault="008F35C9" w:rsidP="003B6588">
      <w:pPr>
        <w:pStyle w:val="CHAPITRE1"/>
        <w:rPr>
          <w:rFonts w:cs="Times New Roman"/>
        </w:rPr>
      </w:pPr>
      <w:bookmarkStart w:id="2422" w:name="_Toc493932943"/>
      <w:bookmarkStart w:id="2423" w:name="_Toc448726882"/>
      <w:bookmarkStart w:id="2424" w:name="_Toc56160205"/>
      <w:r w:rsidRPr="00260790">
        <w:rPr>
          <w:rFonts w:cs="Times New Roman"/>
        </w:rPr>
        <w:t xml:space="preserve"> </w:t>
      </w:r>
      <w:bookmarkStart w:id="2425" w:name="_Toc212725175"/>
      <w:r w:rsidRPr="00260790">
        <w:rPr>
          <w:rFonts w:cs="Times New Roman"/>
        </w:rPr>
        <w:t>Conformité avec la règlementation forestièr</w:t>
      </w:r>
      <w:bookmarkEnd w:id="2413"/>
      <w:bookmarkEnd w:id="2414"/>
      <w:bookmarkEnd w:id="2415"/>
      <w:bookmarkEnd w:id="2416"/>
      <w:bookmarkEnd w:id="2417"/>
      <w:r w:rsidRPr="00260790">
        <w:rPr>
          <w:rFonts w:cs="Times New Roman"/>
        </w:rPr>
        <w:t>e</w:t>
      </w:r>
      <w:bookmarkEnd w:id="2422"/>
      <w:bookmarkEnd w:id="2423"/>
      <w:bookmarkEnd w:id="2424"/>
      <w:bookmarkEnd w:id="2425"/>
    </w:p>
    <w:p w14:paraId="493871FB" w14:textId="47E66E3E" w:rsidR="008F35C9" w:rsidRDefault="008F35C9" w:rsidP="00E20250">
      <w:pPr>
        <w:autoSpaceDE w:val="0"/>
        <w:autoSpaceDN w:val="0"/>
        <w:adjustRightInd w:val="0"/>
        <w:spacing w:after="0" w:line="240" w:lineRule="auto"/>
        <w:ind w:right="-1"/>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Conformément au code forestier en vigueur, tout défrichement est soumis à une autorisation des services forestiers, qui devront être impliqués dans toutes les activités de préservation ou de restauration des ressources naturelles pendant toute la durée de vie du projet.</w:t>
      </w:r>
    </w:p>
    <w:p w14:paraId="6E201AE2" w14:textId="77777777" w:rsidR="001D2346" w:rsidRPr="00260790" w:rsidRDefault="001D2346" w:rsidP="00E20250">
      <w:pPr>
        <w:autoSpaceDE w:val="0"/>
        <w:autoSpaceDN w:val="0"/>
        <w:adjustRightInd w:val="0"/>
        <w:spacing w:after="0" w:line="240" w:lineRule="auto"/>
        <w:ind w:right="-1"/>
        <w:jc w:val="both"/>
        <w:rPr>
          <w:rFonts w:ascii="Times New Roman" w:eastAsia="Times New Roman" w:hAnsi="Times New Roman"/>
          <w:color w:val="000000" w:themeColor="text1"/>
          <w:lang w:eastAsia="fr-FR"/>
        </w:rPr>
      </w:pPr>
    </w:p>
    <w:p w14:paraId="1579903D" w14:textId="77777777" w:rsidR="008F35C9" w:rsidRPr="00260790" w:rsidRDefault="008F35C9" w:rsidP="003B6588">
      <w:pPr>
        <w:pStyle w:val="CHAPITRE1"/>
        <w:rPr>
          <w:rFonts w:cs="Times New Roman"/>
        </w:rPr>
      </w:pPr>
      <w:bookmarkStart w:id="2426" w:name="_Toc493932944"/>
      <w:bookmarkStart w:id="2427" w:name="_Toc448726883"/>
      <w:bookmarkStart w:id="2428" w:name="_Toc56160206"/>
      <w:r w:rsidRPr="00260790">
        <w:rPr>
          <w:rFonts w:cs="Times New Roman"/>
        </w:rPr>
        <w:t xml:space="preserve"> </w:t>
      </w:r>
      <w:bookmarkStart w:id="2429" w:name="_Toc212725176"/>
      <w:r w:rsidRPr="00260790">
        <w:rPr>
          <w:rFonts w:cs="Times New Roman"/>
        </w:rPr>
        <w:t>Conformité avec la législation du travail et de l'hygiène</w:t>
      </w:r>
      <w:bookmarkEnd w:id="2426"/>
      <w:bookmarkEnd w:id="2427"/>
      <w:bookmarkEnd w:id="2428"/>
      <w:bookmarkEnd w:id="2429"/>
    </w:p>
    <w:p w14:paraId="739F36C5" w14:textId="1DBF1348" w:rsidR="008F35C9" w:rsidRDefault="008F35C9" w:rsidP="00E20250">
      <w:pPr>
        <w:autoSpaceDE w:val="0"/>
        <w:autoSpaceDN w:val="0"/>
        <w:adjustRightInd w:val="0"/>
        <w:spacing w:after="0" w:line="240" w:lineRule="auto"/>
        <w:ind w:right="-1"/>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Toutes les entreprises contractantes devront respecter et se conformer à toutes les exigences de la Banque mondiale et à la réglementation du Sénégal applicable en matière de travail et d'hygiène. Les entreprises chargées de la réalisation des travaux souscriront une assurance couvrant les risques d’accident et les maladies professionnelles pour leur personnel.</w:t>
      </w:r>
    </w:p>
    <w:p w14:paraId="4653612F" w14:textId="77777777" w:rsidR="001D2346" w:rsidRPr="00260790" w:rsidRDefault="001D2346" w:rsidP="00E20250">
      <w:pPr>
        <w:autoSpaceDE w:val="0"/>
        <w:autoSpaceDN w:val="0"/>
        <w:adjustRightInd w:val="0"/>
        <w:spacing w:after="0" w:line="240" w:lineRule="auto"/>
        <w:ind w:right="-1"/>
        <w:jc w:val="both"/>
        <w:rPr>
          <w:rFonts w:ascii="Times New Roman" w:eastAsia="Times New Roman" w:hAnsi="Times New Roman"/>
          <w:color w:val="000000" w:themeColor="text1"/>
          <w:lang w:eastAsia="fr-FR"/>
        </w:rPr>
      </w:pPr>
    </w:p>
    <w:p w14:paraId="3E050FC3" w14:textId="77777777" w:rsidR="008F35C9" w:rsidRPr="00260790" w:rsidRDefault="008F35C9" w:rsidP="003B6588">
      <w:pPr>
        <w:pStyle w:val="CHAPITRE1"/>
        <w:rPr>
          <w:rFonts w:cs="Times New Roman"/>
        </w:rPr>
      </w:pPr>
      <w:bookmarkStart w:id="2430" w:name="_Toc493932945"/>
      <w:bookmarkStart w:id="2431" w:name="_Toc448726884"/>
      <w:bookmarkStart w:id="2432" w:name="_Toc56160207"/>
      <w:r w:rsidRPr="00260790">
        <w:rPr>
          <w:rFonts w:cs="Times New Roman"/>
        </w:rPr>
        <w:t xml:space="preserve"> </w:t>
      </w:r>
      <w:bookmarkStart w:id="2433" w:name="_Toc212725177"/>
      <w:r w:rsidRPr="00260790">
        <w:rPr>
          <w:rFonts w:cs="Times New Roman"/>
        </w:rPr>
        <w:t>Procédures à suivre en cas de découverte de vestiges archéologiques</w:t>
      </w:r>
      <w:bookmarkEnd w:id="2430"/>
      <w:bookmarkEnd w:id="2431"/>
      <w:bookmarkEnd w:id="2432"/>
      <w:bookmarkEnd w:id="2433"/>
    </w:p>
    <w:p w14:paraId="633A90C4" w14:textId="78B5A496" w:rsidR="008F35C9" w:rsidRDefault="008F35C9" w:rsidP="00E20250">
      <w:pPr>
        <w:spacing w:after="0" w:line="240" w:lineRule="auto"/>
        <w:ind w:right="-1"/>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Si des monuments, ruines, vestiges d’habitations ou de sépultures anciennes, des inscriptions ou généralement des objets pouvant intéresser la préhistoire, l’histoire, l’art ou l’archéologie sont découverts lors des travaux, l’Entrepreneur sera tenu d’en faire la déclaration immédiate à l’autorité administrative compétente (services chargés du patrimoine culturel) pour ce qui concerne les procédures à suivre. L’Entrepreneur devra prendre des précautions pour empêcher ses ouvriers ou toute autre personne d’enlever ou d’endommager les objets découverts ; il devra également avertir le maître d’ouvrage de cette découverte et exécuter ses instructions des services compétents quant à la façon d’en disposer. </w:t>
      </w:r>
    </w:p>
    <w:p w14:paraId="6B7818A8" w14:textId="77777777" w:rsidR="001D2346" w:rsidRPr="00260790" w:rsidRDefault="001D2346" w:rsidP="00E20250">
      <w:pPr>
        <w:spacing w:after="0" w:line="240" w:lineRule="auto"/>
        <w:ind w:right="-1"/>
        <w:jc w:val="both"/>
        <w:rPr>
          <w:rFonts w:ascii="Times New Roman" w:eastAsia="Times New Roman" w:hAnsi="Times New Roman"/>
          <w:color w:val="000000" w:themeColor="text1"/>
          <w:lang w:eastAsia="fr-FR"/>
        </w:rPr>
      </w:pPr>
    </w:p>
    <w:p w14:paraId="58D0A2BE" w14:textId="77777777" w:rsidR="008F35C9" w:rsidRPr="00260790" w:rsidRDefault="008F35C9" w:rsidP="003B6588">
      <w:pPr>
        <w:pStyle w:val="CHAPITRE1"/>
        <w:rPr>
          <w:rFonts w:cs="Times New Roman"/>
        </w:rPr>
      </w:pPr>
      <w:bookmarkStart w:id="2434" w:name="_Toc493932946"/>
      <w:bookmarkStart w:id="2435" w:name="_Toc448726885"/>
      <w:bookmarkStart w:id="2436" w:name="_Toc56160208"/>
      <w:r w:rsidRPr="00260790">
        <w:rPr>
          <w:rFonts w:cs="Times New Roman"/>
        </w:rPr>
        <w:t xml:space="preserve"> </w:t>
      </w:r>
      <w:bookmarkStart w:id="2437" w:name="_Toc212725178"/>
      <w:r w:rsidRPr="00260790">
        <w:rPr>
          <w:rFonts w:cs="Times New Roman"/>
        </w:rPr>
        <w:t>Obligations de respect du cahier des charges environnementales et sociales</w:t>
      </w:r>
      <w:bookmarkEnd w:id="2434"/>
      <w:bookmarkEnd w:id="2435"/>
      <w:bookmarkEnd w:id="2436"/>
      <w:bookmarkEnd w:id="2437"/>
      <w:r w:rsidRPr="00260790">
        <w:rPr>
          <w:rFonts w:cs="Times New Roman"/>
        </w:rPr>
        <w:t xml:space="preserve"> </w:t>
      </w:r>
    </w:p>
    <w:p w14:paraId="5700304F" w14:textId="7D82551B" w:rsidR="008F35C9" w:rsidRDefault="008F35C9" w:rsidP="00E20250">
      <w:pPr>
        <w:spacing w:after="0" w:line="240" w:lineRule="auto"/>
        <w:ind w:right="-1"/>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entreprises de travaux devront se conformer aux exigences du cahier des charges environnementales et sociales, concernant notamment le respect des prescriptions des PGES et de leurs clauses portant sur le respect de la réglementation applicable et l'application des bonnes pratiques.</w:t>
      </w:r>
    </w:p>
    <w:p w14:paraId="0C07E42C" w14:textId="77777777" w:rsidR="001D2346" w:rsidRPr="00260790" w:rsidRDefault="001D2346" w:rsidP="00E20250">
      <w:pPr>
        <w:spacing w:after="0" w:line="240" w:lineRule="auto"/>
        <w:ind w:right="-1"/>
        <w:jc w:val="both"/>
        <w:rPr>
          <w:rFonts w:ascii="Times New Roman" w:eastAsia="Times New Roman" w:hAnsi="Times New Roman"/>
          <w:color w:val="000000" w:themeColor="text1"/>
          <w:lang w:eastAsia="fr-FR"/>
        </w:rPr>
      </w:pPr>
    </w:p>
    <w:p w14:paraId="3D4A2602" w14:textId="292872E7" w:rsidR="008F35C9" w:rsidRPr="00260790" w:rsidRDefault="008F35C9" w:rsidP="003B6588">
      <w:pPr>
        <w:pStyle w:val="CHAPITRE1"/>
        <w:rPr>
          <w:rFonts w:cs="Times New Roman"/>
        </w:rPr>
      </w:pPr>
      <w:bookmarkStart w:id="2438" w:name="_Toc493932947"/>
      <w:bookmarkStart w:id="2439" w:name="_Toc448726886"/>
      <w:bookmarkStart w:id="2440" w:name="_Toc349156461"/>
      <w:bookmarkStart w:id="2441" w:name="_Toc314095920"/>
      <w:bookmarkStart w:id="2442" w:name="_Toc56160209"/>
      <w:bookmarkStart w:id="2443" w:name="_Toc212725179"/>
      <w:r w:rsidRPr="00260790">
        <w:rPr>
          <w:rFonts w:cs="Times New Roman"/>
        </w:rPr>
        <w:t>Clauses environnementales et sociales</w:t>
      </w:r>
      <w:bookmarkEnd w:id="2438"/>
      <w:bookmarkEnd w:id="2439"/>
      <w:bookmarkEnd w:id="2440"/>
      <w:bookmarkEnd w:id="2441"/>
      <w:bookmarkEnd w:id="2442"/>
      <w:bookmarkEnd w:id="2443"/>
    </w:p>
    <w:p w14:paraId="60A0F65D" w14:textId="4E564DD3" w:rsidR="008F35C9" w:rsidRDefault="008F35C9" w:rsidP="00E20250">
      <w:pPr>
        <w:spacing w:after="0" w:line="240" w:lineRule="auto"/>
        <w:ind w:right="-1"/>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Un modèle de clauses environnementales et sociales, qui sera adapté et inséré dans les dossiers d’appel d’offres (DAO) et de travaux, est proposé en Annexe du rapport de l’EIES. </w:t>
      </w:r>
    </w:p>
    <w:p w14:paraId="5FF484F9" w14:textId="77777777" w:rsidR="001D2346" w:rsidRPr="00260790" w:rsidRDefault="001D2346" w:rsidP="00E20250">
      <w:pPr>
        <w:spacing w:after="0" w:line="240" w:lineRule="auto"/>
        <w:ind w:right="-1"/>
        <w:jc w:val="both"/>
        <w:rPr>
          <w:rFonts w:ascii="Times New Roman" w:eastAsia="Times New Roman" w:hAnsi="Times New Roman"/>
          <w:color w:val="000000" w:themeColor="text1"/>
          <w:lang w:eastAsia="fr-FR"/>
        </w:rPr>
      </w:pPr>
    </w:p>
    <w:p w14:paraId="1A182D3F" w14:textId="77777777" w:rsidR="008F35C9" w:rsidRPr="00260790" w:rsidRDefault="008F35C9" w:rsidP="00A42319">
      <w:pPr>
        <w:pStyle w:val="CHAPITRE1"/>
        <w:rPr>
          <w:rFonts w:cs="Times New Roman"/>
        </w:rPr>
      </w:pPr>
      <w:bookmarkStart w:id="2444" w:name="_Toc212725180"/>
      <w:r w:rsidRPr="00260790">
        <w:rPr>
          <w:rFonts w:cs="Times New Roman"/>
        </w:rPr>
        <w:t>Mesures environnementales et sociales déjà prévues dans le cadre du projet</w:t>
      </w:r>
      <w:bookmarkEnd w:id="2444"/>
    </w:p>
    <w:p w14:paraId="2C8C8D19" w14:textId="0018ABF0" w:rsidR="008F35C9" w:rsidRPr="00260790" w:rsidRDefault="008F35C9" w:rsidP="00E20250">
      <w:pPr>
        <w:spacing w:after="0"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 xml:space="preserve">Le projet a envisagé des mesures qui portent sur des travaux d’aménagement et de sécurisation des bassins. Les aménagements proposés ont pour objectif </w:t>
      </w:r>
      <w:r w:rsidR="006B1821" w:rsidRPr="00260790">
        <w:rPr>
          <w:rFonts w:ascii="Times New Roman" w:hAnsi="Times New Roman"/>
          <w:color w:val="000000" w:themeColor="text1"/>
          <w:lang w:eastAsia="fr-FR"/>
        </w:rPr>
        <w:t>de :</w:t>
      </w:r>
      <w:r w:rsidRPr="00260790">
        <w:rPr>
          <w:rFonts w:ascii="Times New Roman" w:hAnsi="Times New Roman"/>
          <w:color w:val="000000" w:themeColor="text1"/>
          <w:lang w:eastAsia="fr-FR"/>
        </w:rPr>
        <w:t xml:space="preserve"> </w:t>
      </w:r>
    </w:p>
    <w:p w14:paraId="270DCF4D" w14:textId="77777777" w:rsidR="008F35C9" w:rsidRPr="00260790" w:rsidRDefault="008F35C9" w:rsidP="001748C6">
      <w:pPr>
        <w:numPr>
          <w:ilvl w:val="0"/>
          <w:numId w:val="37"/>
        </w:numPr>
        <w:spacing w:after="0" w:line="240" w:lineRule="auto"/>
        <w:jc w:val="both"/>
        <w:rPr>
          <w:rFonts w:ascii="Times New Roman" w:hAnsi="Times New Roman"/>
          <w:color w:val="000000" w:themeColor="text1"/>
          <w:lang w:eastAsia="fr-FR"/>
        </w:rPr>
      </w:pPr>
      <w:proofErr w:type="gramStart"/>
      <w:r w:rsidRPr="00260790">
        <w:rPr>
          <w:rFonts w:ascii="Times New Roman" w:hAnsi="Times New Roman"/>
          <w:color w:val="000000" w:themeColor="text1"/>
          <w:lang w:eastAsia="fr-FR"/>
        </w:rPr>
        <w:t>combiner</w:t>
      </w:r>
      <w:proofErr w:type="gramEnd"/>
      <w:r w:rsidRPr="00260790">
        <w:rPr>
          <w:rFonts w:ascii="Times New Roman" w:hAnsi="Times New Roman"/>
          <w:color w:val="000000" w:themeColor="text1"/>
          <w:lang w:eastAsia="fr-FR"/>
        </w:rPr>
        <w:t xml:space="preserve"> les fonctions de stockage des bassins à travers des installations et équipements dédiés aux sports et aux loisirs ;</w:t>
      </w:r>
    </w:p>
    <w:p w14:paraId="57D680EE" w14:textId="77777777" w:rsidR="008F35C9" w:rsidRPr="00260790" w:rsidRDefault="008F35C9" w:rsidP="001748C6">
      <w:pPr>
        <w:numPr>
          <w:ilvl w:val="0"/>
          <w:numId w:val="37"/>
        </w:numPr>
        <w:spacing w:after="0" w:line="240" w:lineRule="auto"/>
        <w:jc w:val="both"/>
        <w:rPr>
          <w:rFonts w:ascii="Times New Roman" w:hAnsi="Times New Roman"/>
          <w:color w:val="000000" w:themeColor="text1"/>
          <w:lang w:eastAsia="fr-FR"/>
        </w:rPr>
      </w:pPr>
      <w:proofErr w:type="gramStart"/>
      <w:r w:rsidRPr="00260790">
        <w:rPr>
          <w:rFonts w:ascii="Times New Roman" w:hAnsi="Times New Roman"/>
          <w:color w:val="000000" w:themeColor="text1"/>
          <w:lang w:eastAsia="fr-FR"/>
        </w:rPr>
        <w:t>sécuriser</w:t>
      </w:r>
      <w:proofErr w:type="gramEnd"/>
      <w:r w:rsidRPr="00260790">
        <w:rPr>
          <w:rFonts w:ascii="Times New Roman" w:hAnsi="Times New Roman"/>
          <w:color w:val="000000" w:themeColor="text1"/>
          <w:lang w:eastAsia="fr-FR"/>
        </w:rPr>
        <w:t xml:space="preserve"> des zones non constructibles en les préservant de toute occupation anarchique ;</w:t>
      </w:r>
    </w:p>
    <w:p w14:paraId="5B1D20FF" w14:textId="77777777" w:rsidR="008F35C9" w:rsidRPr="00260790" w:rsidRDefault="008F35C9" w:rsidP="001748C6">
      <w:pPr>
        <w:numPr>
          <w:ilvl w:val="0"/>
          <w:numId w:val="37"/>
        </w:numPr>
        <w:spacing w:after="0" w:line="240" w:lineRule="auto"/>
        <w:jc w:val="both"/>
        <w:rPr>
          <w:rFonts w:ascii="Times New Roman" w:hAnsi="Times New Roman"/>
          <w:color w:val="000000" w:themeColor="text1"/>
          <w:lang w:eastAsia="fr-FR"/>
        </w:rPr>
      </w:pPr>
      <w:proofErr w:type="gramStart"/>
      <w:r w:rsidRPr="00260790">
        <w:rPr>
          <w:rFonts w:ascii="Times New Roman" w:hAnsi="Times New Roman"/>
          <w:color w:val="000000" w:themeColor="text1"/>
          <w:lang w:eastAsia="fr-FR"/>
        </w:rPr>
        <w:t>assurer</w:t>
      </w:r>
      <w:proofErr w:type="gramEnd"/>
      <w:r w:rsidRPr="00260790">
        <w:rPr>
          <w:rFonts w:ascii="Times New Roman" w:hAnsi="Times New Roman"/>
          <w:color w:val="000000" w:themeColor="text1"/>
          <w:lang w:eastAsia="fr-FR"/>
        </w:rPr>
        <w:t xml:space="preserve"> l’insertion des ouvrages au tissu urbain existant grâce à des aménagements intégrant parfaitement le milieu ;</w:t>
      </w:r>
    </w:p>
    <w:p w14:paraId="0787BE1E" w14:textId="77777777" w:rsidR="008F35C9" w:rsidRDefault="008F35C9" w:rsidP="001748C6">
      <w:pPr>
        <w:numPr>
          <w:ilvl w:val="0"/>
          <w:numId w:val="37"/>
        </w:numPr>
        <w:spacing w:after="0" w:line="240" w:lineRule="auto"/>
        <w:jc w:val="both"/>
        <w:rPr>
          <w:rFonts w:ascii="Times New Roman" w:hAnsi="Times New Roman"/>
          <w:color w:val="000000" w:themeColor="text1"/>
          <w:lang w:eastAsia="fr-FR"/>
        </w:rPr>
      </w:pPr>
      <w:proofErr w:type="gramStart"/>
      <w:r w:rsidRPr="00260790">
        <w:rPr>
          <w:rFonts w:ascii="Times New Roman" w:hAnsi="Times New Roman"/>
          <w:color w:val="000000" w:themeColor="text1"/>
          <w:lang w:eastAsia="fr-FR"/>
        </w:rPr>
        <w:lastRenderedPageBreak/>
        <w:t>limiter</w:t>
      </w:r>
      <w:proofErr w:type="gramEnd"/>
      <w:r w:rsidRPr="00260790">
        <w:rPr>
          <w:rFonts w:ascii="Times New Roman" w:hAnsi="Times New Roman"/>
          <w:color w:val="000000" w:themeColor="text1"/>
          <w:lang w:eastAsia="fr-FR"/>
        </w:rPr>
        <w:t xml:space="preserve"> les impacts négatifs des ouvrages de drainage et de stockage sur l’environnement immédiat.</w:t>
      </w:r>
    </w:p>
    <w:p w14:paraId="7AA97207" w14:textId="77777777" w:rsidR="0000071A" w:rsidRPr="00260790" w:rsidRDefault="0000071A" w:rsidP="0000071A">
      <w:pPr>
        <w:spacing w:after="0" w:line="240" w:lineRule="auto"/>
        <w:ind w:left="360"/>
        <w:jc w:val="both"/>
        <w:rPr>
          <w:rFonts w:ascii="Times New Roman" w:hAnsi="Times New Roman"/>
          <w:color w:val="000000" w:themeColor="text1"/>
          <w:lang w:eastAsia="fr-FR"/>
        </w:rPr>
      </w:pPr>
    </w:p>
    <w:p w14:paraId="7D953274" w14:textId="77777777" w:rsidR="008F35C9" w:rsidRPr="00260790" w:rsidRDefault="008F35C9" w:rsidP="003B6588">
      <w:pPr>
        <w:pStyle w:val="CHAPITRE1"/>
        <w:rPr>
          <w:rFonts w:cs="Times New Roman"/>
        </w:rPr>
      </w:pPr>
      <w:bookmarkStart w:id="2445" w:name="_Toc212725181"/>
      <w:r w:rsidRPr="00260790">
        <w:rPr>
          <w:rFonts w:cs="Times New Roman"/>
        </w:rPr>
        <w:t>Plan de gestion des déchets (PGD)</w:t>
      </w:r>
      <w:bookmarkEnd w:id="2445"/>
    </w:p>
    <w:p w14:paraId="5FBD76C3" w14:textId="4D88D487" w:rsidR="008F35C9" w:rsidRPr="00260790" w:rsidRDefault="008F35C9" w:rsidP="00E20250">
      <w:pPr>
        <w:autoSpaceDE w:val="0"/>
        <w:autoSpaceDN w:val="0"/>
        <w:adjustRightInd w:val="0"/>
        <w:spacing w:after="0" w:line="240" w:lineRule="auto"/>
        <w:ind w:right="-1"/>
        <w:jc w:val="both"/>
        <w:rPr>
          <w:rFonts w:ascii="Times New Roman" w:eastAsia="Times New Roman" w:hAnsi="Times New Roman"/>
          <w:color w:val="000000" w:themeColor="text1"/>
          <w:lang w:eastAsia="fr-FR"/>
        </w:rPr>
      </w:pPr>
      <w:bookmarkStart w:id="2446" w:name="_Toc33707628"/>
      <w:bookmarkStart w:id="2447" w:name="_Toc33707860"/>
      <w:bookmarkStart w:id="2448" w:name="_Toc33708097"/>
      <w:bookmarkStart w:id="2449" w:name="_Toc33708335"/>
      <w:bookmarkStart w:id="2450" w:name="_Toc33708657"/>
      <w:bookmarkStart w:id="2451" w:name="_Toc33707641"/>
      <w:bookmarkStart w:id="2452" w:name="_Toc33707873"/>
      <w:bookmarkStart w:id="2453" w:name="_Toc33708110"/>
      <w:bookmarkStart w:id="2454" w:name="_Toc33708348"/>
      <w:bookmarkStart w:id="2455" w:name="_Toc33708670"/>
      <w:bookmarkStart w:id="2456" w:name="_Toc38223821"/>
      <w:bookmarkStart w:id="2457" w:name="_Toc38224445"/>
      <w:bookmarkStart w:id="2458" w:name="_Toc38232139"/>
      <w:bookmarkStart w:id="2459" w:name="_Toc40838959"/>
      <w:bookmarkStart w:id="2460" w:name="_Toc40839183"/>
      <w:bookmarkStart w:id="2461" w:name="_Toc68109758"/>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r w:rsidRPr="00260790">
        <w:rPr>
          <w:rFonts w:ascii="Times New Roman" w:eastAsia="Times New Roman" w:hAnsi="Times New Roman"/>
          <w:color w:val="000000" w:themeColor="text1"/>
          <w:lang w:eastAsia="fr-FR"/>
        </w:rPr>
        <w:t>L’entreprise chargée de la réalisation des travaux devra élaborer un plan de gestion des déchets (PGD)</w:t>
      </w:r>
      <w:r w:rsidRPr="00260790">
        <w:rPr>
          <w:rStyle w:val="Appelnotedebasdep"/>
          <w:rFonts w:ascii="Times New Roman" w:eastAsia="Times New Roman" w:hAnsi="Times New Roman"/>
          <w:color w:val="000000" w:themeColor="text1"/>
          <w:lang w:eastAsia="fr-FR"/>
        </w:rPr>
        <w:footnoteReference w:id="5"/>
      </w:r>
      <w:r w:rsidRPr="00260790">
        <w:rPr>
          <w:rFonts w:ascii="Times New Roman" w:eastAsia="Times New Roman" w:hAnsi="Times New Roman"/>
          <w:color w:val="000000" w:themeColor="text1"/>
          <w:lang w:eastAsia="fr-FR"/>
        </w:rPr>
        <w:t>, qui est une procédure documentée de gestion des déchets. Pour l’opérationnalisation de cette procédure, l’entreprise travaillera en étroite collaboration avec les autorités administratives concernées, les services techniques compétents (D</w:t>
      </w:r>
      <w:r w:rsidR="00486EB4" w:rsidRPr="00260790">
        <w:rPr>
          <w:rFonts w:ascii="Times New Roman" w:eastAsia="Times New Roman" w:hAnsi="Times New Roman"/>
          <w:color w:val="000000" w:themeColor="text1"/>
          <w:lang w:eastAsia="fr-FR"/>
        </w:rPr>
        <w:t>I</w:t>
      </w:r>
      <w:r w:rsidRPr="00260790">
        <w:rPr>
          <w:rFonts w:ascii="Times New Roman" w:eastAsia="Times New Roman" w:hAnsi="Times New Roman"/>
          <w:color w:val="000000" w:themeColor="text1"/>
          <w:lang w:eastAsia="fr-FR"/>
        </w:rPr>
        <w:t>REC, ADM, Urbanisme, Service d’Hygiène, etc.) et les collectivités territoriales concernées.</w:t>
      </w:r>
    </w:p>
    <w:p w14:paraId="028202F7" w14:textId="77777777" w:rsidR="008F35C9" w:rsidRPr="00260790" w:rsidRDefault="008F35C9" w:rsidP="00E20250">
      <w:pPr>
        <w:spacing w:after="0" w:line="240" w:lineRule="auto"/>
        <w:ind w:right="-1"/>
        <w:jc w:val="both"/>
        <w:rPr>
          <w:rFonts w:ascii="Times New Roman" w:eastAsia="Times New Roman" w:hAnsi="Times New Roman"/>
          <w:i/>
          <w:iCs/>
          <w:color w:val="000000" w:themeColor="text1"/>
          <w:lang w:eastAsia="fr-FR"/>
        </w:rPr>
      </w:pPr>
    </w:p>
    <w:p w14:paraId="50B87554" w14:textId="68F69065" w:rsidR="008F35C9" w:rsidRPr="00260790" w:rsidRDefault="008F35C9" w:rsidP="00E20250">
      <w:pPr>
        <w:autoSpaceDE w:val="0"/>
        <w:autoSpaceDN w:val="0"/>
        <w:adjustRightInd w:val="0"/>
        <w:spacing w:after="0" w:line="240" w:lineRule="auto"/>
        <w:ind w:right="-1"/>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 xml:space="preserve">L’objectif du PGD </w:t>
      </w:r>
      <w:r w:rsidR="00CB5833" w:rsidRPr="00260790">
        <w:rPr>
          <w:rFonts w:ascii="Times New Roman" w:eastAsia="Times New Roman" w:hAnsi="Times New Roman"/>
          <w:bCs/>
          <w:color w:val="000000" w:themeColor="text1"/>
          <w:lang w:eastAsia="fr-FR"/>
        </w:rPr>
        <w:t>est</w:t>
      </w:r>
      <w:r w:rsidR="00EE281C" w:rsidRPr="00260790">
        <w:rPr>
          <w:rFonts w:ascii="Times New Roman" w:eastAsia="Times New Roman" w:hAnsi="Times New Roman"/>
          <w:bCs/>
          <w:color w:val="000000" w:themeColor="text1"/>
          <w:lang w:eastAsia="fr-FR"/>
        </w:rPr>
        <w:t xml:space="preserve"> </w:t>
      </w:r>
      <w:r w:rsidR="00CB5833" w:rsidRPr="00260790">
        <w:rPr>
          <w:rFonts w:ascii="Times New Roman" w:eastAsia="Times New Roman" w:hAnsi="Times New Roman"/>
          <w:bCs/>
          <w:color w:val="000000" w:themeColor="text1"/>
          <w:lang w:eastAsia="fr-FR"/>
        </w:rPr>
        <w:t>:</w:t>
      </w:r>
    </w:p>
    <w:p w14:paraId="4F79E8D1" w14:textId="77777777" w:rsidR="008F35C9" w:rsidRPr="00260790" w:rsidRDefault="008F35C9" w:rsidP="001748C6">
      <w:pPr>
        <w:numPr>
          <w:ilvl w:val="0"/>
          <w:numId w:val="41"/>
        </w:numPr>
        <w:autoSpaceDE w:val="0"/>
        <w:autoSpaceDN w:val="0"/>
        <w:adjustRightInd w:val="0"/>
        <w:spacing w:after="0" w:line="240" w:lineRule="auto"/>
        <w:ind w:right="-1"/>
        <w:jc w:val="both"/>
        <w:rPr>
          <w:rFonts w:ascii="Times New Roman" w:eastAsia="Times New Roman" w:hAnsi="Times New Roman"/>
          <w:bCs/>
          <w:color w:val="000000" w:themeColor="text1"/>
          <w:lang w:eastAsia="fr-FR"/>
        </w:rPr>
      </w:pPr>
      <w:proofErr w:type="gramStart"/>
      <w:r w:rsidRPr="00260790">
        <w:rPr>
          <w:rFonts w:ascii="Times New Roman" w:eastAsia="Times New Roman" w:hAnsi="Times New Roman"/>
          <w:bCs/>
          <w:color w:val="000000" w:themeColor="text1"/>
          <w:lang w:eastAsia="fr-FR"/>
        </w:rPr>
        <w:t>d'assurer</w:t>
      </w:r>
      <w:proofErr w:type="gramEnd"/>
      <w:r w:rsidRPr="00260790">
        <w:rPr>
          <w:rFonts w:ascii="Times New Roman" w:eastAsia="Times New Roman" w:hAnsi="Times New Roman"/>
          <w:bCs/>
          <w:color w:val="000000" w:themeColor="text1"/>
          <w:lang w:eastAsia="fr-FR"/>
        </w:rPr>
        <w:t xml:space="preserve"> la conformité des activités avec la législation et la réglementation nationale applicables et aux exigences de la Banque mondiale en matière de gestion des déchets ;</w:t>
      </w:r>
    </w:p>
    <w:p w14:paraId="12E5677B" w14:textId="77777777" w:rsidR="008F35C9" w:rsidRPr="00260790" w:rsidRDefault="008F35C9" w:rsidP="001748C6">
      <w:pPr>
        <w:numPr>
          <w:ilvl w:val="0"/>
          <w:numId w:val="41"/>
        </w:numPr>
        <w:autoSpaceDE w:val="0"/>
        <w:autoSpaceDN w:val="0"/>
        <w:adjustRightInd w:val="0"/>
        <w:spacing w:after="0" w:line="240" w:lineRule="auto"/>
        <w:ind w:right="-1"/>
        <w:jc w:val="both"/>
        <w:rPr>
          <w:rFonts w:ascii="Times New Roman" w:eastAsia="Times New Roman" w:hAnsi="Times New Roman"/>
          <w:bCs/>
          <w:color w:val="000000" w:themeColor="text1"/>
          <w:lang w:eastAsia="fr-FR"/>
        </w:rPr>
      </w:pPr>
      <w:proofErr w:type="gramStart"/>
      <w:r w:rsidRPr="00260790">
        <w:rPr>
          <w:rFonts w:ascii="Times New Roman" w:eastAsia="Times New Roman" w:hAnsi="Times New Roman"/>
          <w:bCs/>
          <w:color w:val="000000" w:themeColor="text1"/>
          <w:lang w:eastAsia="fr-FR"/>
        </w:rPr>
        <w:t>d’organiser</w:t>
      </w:r>
      <w:proofErr w:type="gramEnd"/>
      <w:r w:rsidRPr="00260790">
        <w:rPr>
          <w:rFonts w:ascii="Times New Roman" w:eastAsia="Times New Roman" w:hAnsi="Times New Roman"/>
          <w:bCs/>
          <w:color w:val="000000" w:themeColor="text1"/>
          <w:lang w:eastAsia="fr-FR"/>
        </w:rPr>
        <w:t xml:space="preserve"> une gestion efficiente des déchets </w:t>
      </w:r>
      <w:r w:rsidRPr="00260790">
        <w:rPr>
          <w:rFonts w:ascii="Times New Roman" w:eastAsia="Times New Roman" w:hAnsi="Times New Roman"/>
          <w:color w:val="000000" w:themeColor="text1"/>
          <w:lang w:eastAsia="fr-FR"/>
        </w:rPr>
        <w:t>dans le cadre d’une coordination de l’ensemble des activités à mener</w:t>
      </w:r>
      <w:r w:rsidRPr="00260790">
        <w:rPr>
          <w:rFonts w:ascii="Times New Roman" w:eastAsia="Times New Roman" w:hAnsi="Times New Roman"/>
          <w:bCs/>
          <w:color w:val="000000" w:themeColor="text1"/>
          <w:lang w:eastAsia="fr-FR"/>
        </w:rPr>
        <w:t xml:space="preserve"> (collecte, tri, transport, élimination, etc.) ;</w:t>
      </w:r>
    </w:p>
    <w:p w14:paraId="05BF8D17" w14:textId="77777777" w:rsidR="008F35C9" w:rsidRPr="00260790" w:rsidRDefault="008F35C9" w:rsidP="001748C6">
      <w:pPr>
        <w:numPr>
          <w:ilvl w:val="0"/>
          <w:numId w:val="41"/>
        </w:numPr>
        <w:autoSpaceDE w:val="0"/>
        <w:autoSpaceDN w:val="0"/>
        <w:adjustRightInd w:val="0"/>
        <w:spacing w:after="0" w:line="240" w:lineRule="auto"/>
        <w:ind w:right="-1"/>
        <w:jc w:val="both"/>
        <w:rPr>
          <w:rFonts w:ascii="Times New Roman" w:eastAsia="Times New Roman" w:hAnsi="Times New Roman"/>
          <w:bCs/>
          <w:color w:val="000000" w:themeColor="text1"/>
          <w:lang w:eastAsia="fr-FR"/>
        </w:rPr>
      </w:pPr>
      <w:proofErr w:type="gramStart"/>
      <w:r w:rsidRPr="00260790">
        <w:rPr>
          <w:rFonts w:ascii="Times New Roman" w:eastAsia="Times New Roman" w:hAnsi="Times New Roman"/>
          <w:bCs/>
          <w:color w:val="000000" w:themeColor="text1"/>
          <w:lang w:eastAsia="fr-FR"/>
        </w:rPr>
        <w:t>de</w:t>
      </w:r>
      <w:proofErr w:type="gramEnd"/>
      <w:r w:rsidRPr="00260790">
        <w:rPr>
          <w:rFonts w:ascii="Times New Roman" w:eastAsia="Times New Roman" w:hAnsi="Times New Roman"/>
          <w:bCs/>
          <w:color w:val="000000" w:themeColor="text1"/>
          <w:lang w:eastAsia="fr-FR"/>
        </w:rPr>
        <w:t xml:space="preserve"> prévenir et de réduire les effets et impacts négatifs des déchets issus des activités du projet ;</w:t>
      </w:r>
    </w:p>
    <w:p w14:paraId="20944FB3" w14:textId="77777777" w:rsidR="008F35C9" w:rsidRPr="00260790" w:rsidRDefault="008F35C9" w:rsidP="001748C6">
      <w:pPr>
        <w:numPr>
          <w:ilvl w:val="0"/>
          <w:numId w:val="41"/>
        </w:numPr>
        <w:autoSpaceDE w:val="0"/>
        <w:autoSpaceDN w:val="0"/>
        <w:adjustRightInd w:val="0"/>
        <w:spacing w:after="0" w:line="240" w:lineRule="auto"/>
        <w:ind w:right="-1"/>
        <w:jc w:val="both"/>
        <w:rPr>
          <w:rFonts w:ascii="Times New Roman" w:eastAsia="Times New Roman" w:hAnsi="Times New Roman"/>
          <w:bCs/>
          <w:color w:val="000000" w:themeColor="text1"/>
          <w:lang w:eastAsia="fr-FR"/>
        </w:rPr>
      </w:pPr>
      <w:proofErr w:type="gramStart"/>
      <w:r w:rsidRPr="00260790">
        <w:rPr>
          <w:rFonts w:ascii="Times New Roman" w:eastAsia="Times New Roman" w:hAnsi="Times New Roman"/>
          <w:bCs/>
          <w:color w:val="000000" w:themeColor="text1"/>
          <w:lang w:eastAsia="fr-FR"/>
        </w:rPr>
        <w:t>de</w:t>
      </w:r>
      <w:proofErr w:type="gramEnd"/>
      <w:r w:rsidRPr="00260790">
        <w:rPr>
          <w:rFonts w:ascii="Times New Roman" w:eastAsia="Times New Roman" w:hAnsi="Times New Roman"/>
          <w:bCs/>
          <w:color w:val="000000" w:themeColor="text1"/>
          <w:lang w:eastAsia="fr-FR"/>
        </w:rPr>
        <w:t xml:space="preserve"> réduire les risques professionnels et sanitaires associés à la gestion des déchets.</w:t>
      </w:r>
    </w:p>
    <w:p w14:paraId="74C23D2C" w14:textId="77777777" w:rsidR="008F35C9" w:rsidRPr="00260790" w:rsidRDefault="008F35C9" w:rsidP="00E20250">
      <w:pPr>
        <w:spacing w:after="0" w:line="240" w:lineRule="auto"/>
        <w:ind w:right="-1"/>
        <w:jc w:val="both"/>
        <w:rPr>
          <w:rFonts w:ascii="Times New Roman" w:eastAsia="Times New Roman" w:hAnsi="Times New Roman"/>
          <w:b/>
          <w:bCs/>
          <w:color w:val="000000" w:themeColor="text1"/>
          <w:lang w:eastAsia="fr-FR"/>
        </w:rPr>
      </w:pPr>
      <w:bookmarkStart w:id="2462" w:name="_Toc386221365"/>
      <w:bookmarkStart w:id="2463" w:name="_Toc29466665"/>
      <w:bookmarkStart w:id="2464" w:name="_Toc68109768"/>
      <w:bookmarkStart w:id="2465" w:name="_Toc29856791"/>
    </w:p>
    <w:p w14:paraId="5AB1B532" w14:textId="77777777" w:rsidR="008F35C9" w:rsidRPr="00260790" w:rsidRDefault="008F35C9" w:rsidP="00E20250">
      <w:pPr>
        <w:autoSpaceDE w:val="0"/>
        <w:autoSpaceDN w:val="0"/>
        <w:adjustRightInd w:val="0"/>
        <w:spacing w:after="0" w:line="240" w:lineRule="auto"/>
        <w:ind w:right="-1"/>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Par ailleurs, au regard de la problématique des inondations, il demeure que l'une des principales causes est liée à la dégradation/obstruction des ouvrages de drainage et des voies d'eau par les ordures ménagères et leur pollution par les eaux usées. </w:t>
      </w:r>
    </w:p>
    <w:p w14:paraId="6E8134E0" w14:textId="77777777" w:rsidR="008F35C9" w:rsidRPr="00260790" w:rsidRDefault="008F35C9" w:rsidP="00E20250">
      <w:pPr>
        <w:autoSpaceDE w:val="0"/>
        <w:autoSpaceDN w:val="0"/>
        <w:adjustRightInd w:val="0"/>
        <w:spacing w:after="0" w:line="240" w:lineRule="auto"/>
        <w:ind w:right="-1"/>
        <w:jc w:val="both"/>
        <w:rPr>
          <w:rFonts w:ascii="Times New Roman" w:eastAsia="Times New Roman" w:hAnsi="Times New Roman"/>
          <w:color w:val="000000" w:themeColor="text1"/>
          <w:lang w:eastAsia="fr-FR"/>
        </w:rPr>
      </w:pPr>
    </w:p>
    <w:p w14:paraId="6DD65CEC" w14:textId="77777777" w:rsidR="008F35C9" w:rsidRPr="00260790" w:rsidRDefault="008F35C9" w:rsidP="00E20250">
      <w:pPr>
        <w:autoSpaceDE w:val="0"/>
        <w:autoSpaceDN w:val="0"/>
        <w:adjustRightInd w:val="0"/>
        <w:spacing w:after="0" w:line="240" w:lineRule="auto"/>
        <w:ind w:right="-1"/>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Cet état de fait s'explique par l'incivisme des populations qui font proliférer des dépotoirs sauvages d'ordures dans les emprises des voies d'eau et à l'intérieur des ouvrages de drainage du fait généralement de l'absence d'un système d'assainissement eaux usées et/ou d'un système de ramassage des ordures ménagères performant.</w:t>
      </w:r>
    </w:p>
    <w:p w14:paraId="53B7CB22" w14:textId="77777777" w:rsidR="008F35C9" w:rsidRPr="00260790" w:rsidRDefault="008F35C9" w:rsidP="00E20250">
      <w:pPr>
        <w:autoSpaceDE w:val="0"/>
        <w:autoSpaceDN w:val="0"/>
        <w:adjustRightInd w:val="0"/>
        <w:spacing w:after="0" w:line="240" w:lineRule="auto"/>
        <w:ind w:right="-1"/>
        <w:jc w:val="both"/>
        <w:rPr>
          <w:rFonts w:ascii="Times New Roman" w:eastAsia="Times New Roman" w:hAnsi="Times New Roman"/>
          <w:color w:val="000000" w:themeColor="text1"/>
          <w:lang w:eastAsia="fr-FR"/>
        </w:rPr>
      </w:pPr>
    </w:p>
    <w:p w14:paraId="4CF8CBDD" w14:textId="154E1DAF" w:rsidR="008F35C9" w:rsidRPr="00260790" w:rsidRDefault="008F35C9" w:rsidP="00E20250">
      <w:pPr>
        <w:autoSpaceDE w:val="0"/>
        <w:autoSpaceDN w:val="0"/>
        <w:adjustRightInd w:val="0"/>
        <w:spacing w:after="0" w:line="240" w:lineRule="auto"/>
        <w:ind w:right="-1"/>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C’est dans ce cadre qu’un protocole d'accord a été signé pour définir le cadre de collaboration entre l'ADM, </w:t>
      </w:r>
      <w:r w:rsidR="00486EB4" w:rsidRPr="00260790">
        <w:rPr>
          <w:rFonts w:ascii="Times New Roman" w:eastAsia="Times New Roman" w:hAnsi="Times New Roman"/>
          <w:color w:val="000000" w:themeColor="text1"/>
          <w:lang w:eastAsia="fr-FR"/>
        </w:rPr>
        <w:t xml:space="preserve">la SONAGED </w:t>
      </w:r>
      <w:r w:rsidRPr="00260790">
        <w:rPr>
          <w:rFonts w:ascii="Times New Roman" w:eastAsia="Times New Roman" w:hAnsi="Times New Roman"/>
          <w:color w:val="000000" w:themeColor="text1"/>
          <w:lang w:eastAsia="fr-FR"/>
        </w:rPr>
        <w:t>et le PROMOGED dans la mise en œuvre des activités de la deuxième phase du Projet de Gestion des Eaux Pluviales et d'Adaptation au Changement climatique (PROGEP II).</w:t>
      </w:r>
    </w:p>
    <w:p w14:paraId="7FB1C86E" w14:textId="77777777" w:rsidR="008F35C9" w:rsidRPr="00260790" w:rsidRDefault="008F35C9" w:rsidP="00E20250">
      <w:pPr>
        <w:autoSpaceDE w:val="0"/>
        <w:autoSpaceDN w:val="0"/>
        <w:adjustRightInd w:val="0"/>
        <w:spacing w:after="0" w:line="240" w:lineRule="auto"/>
        <w:ind w:right="-1"/>
        <w:jc w:val="both"/>
        <w:rPr>
          <w:rFonts w:ascii="Times New Roman" w:eastAsia="Times New Roman" w:hAnsi="Times New Roman"/>
          <w:color w:val="000000" w:themeColor="text1"/>
          <w:lang w:eastAsia="fr-FR"/>
        </w:rPr>
      </w:pPr>
    </w:p>
    <w:p w14:paraId="62631A6C" w14:textId="77777777" w:rsidR="008F35C9" w:rsidRPr="00260790" w:rsidRDefault="008F35C9" w:rsidP="00E20250">
      <w:pPr>
        <w:spacing w:after="0" w:line="240" w:lineRule="auto"/>
        <w:ind w:right="-1"/>
        <w:jc w:val="both"/>
        <w:rPr>
          <w:rFonts w:ascii="Times New Roman" w:eastAsia="Times New Roman" w:hAnsi="Times New Roman"/>
          <w:color w:val="000000" w:themeColor="text1"/>
          <w:lang w:eastAsia="x-none"/>
        </w:rPr>
      </w:pPr>
      <w:r w:rsidRPr="00260790">
        <w:rPr>
          <w:rFonts w:ascii="Times New Roman" w:eastAsia="Times New Roman" w:hAnsi="Times New Roman"/>
          <w:color w:val="000000" w:themeColor="text1"/>
          <w:lang w:eastAsia="x-none"/>
        </w:rPr>
        <w:t>Les types de déchets susceptibles d’être générés par certaines activités du projet et leurs modes de gestions à assurer sont esquissés dans le tableau ci-après :</w:t>
      </w:r>
    </w:p>
    <w:p w14:paraId="0EF981D2" w14:textId="77777777" w:rsidR="008F35C9" w:rsidRPr="00260790" w:rsidRDefault="008F35C9" w:rsidP="00E20250">
      <w:pPr>
        <w:spacing w:after="0" w:line="240" w:lineRule="auto"/>
        <w:ind w:right="-1"/>
        <w:jc w:val="both"/>
        <w:rPr>
          <w:rFonts w:ascii="Times New Roman" w:eastAsia="Times New Roman" w:hAnsi="Times New Roman"/>
          <w:color w:val="000000" w:themeColor="text1"/>
          <w:lang w:eastAsia="x-none"/>
        </w:rPr>
      </w:pPr>
    </w:p>
    <w:p w14:paraId="5AE2C284" w14:textId="77777777" w:rsidR="00B3729F" w:rsidRPr="00260790" w:rsidRDefault="00B3729F">
      <w:pPr>
        <w:spacing w:line="259" w:lineRule="auto"/>
        <w:rPr>
          <w:rFonts w:ascii="Times New Roman" w:eastAsia="Times New Roman" w:hAnsi="Times New Roman"/>
          <w:color w:val="000000" w:themeColor="text1"/>
          <w:lang w:eastAsia="fr-FR"/>
        </w:rPr>
      </w:pPr>
      <w:bookmarkStart w:id="2466" w:name="_Toc391236803"/>
      <w:r w:rsidRPr="00260790">
        <w:rPr>
          <w:rFonts w:ascii="Times New Roman" w:eastAsia="Times New Roman" w:hAnsi="Times New Roman"/>
          <w:color w:val="000000" w:themeColor="text1"/>
          <w:lang w:eastAsia="fr-FR"/>
        </w:rPr>
        <w:br w:type="page"/>
      </w:r>
    </w:p>
    <w:p w14:paraId="14F60DF0" w14:textId="03C1EEC1" w:rsidR="008F35C9" w:rsidRPr="00260790" w:rsidRDefault="008F35C9" w:rsidP="00E20250">
      <w:pPr>
        <w:spacing w:line="240" w:lineRule="auto"/>
        <w:jc w:val="both"/>
        <w:rPr>
          <w:rFonts w:ascii="Times New Roman" w:eastAsia="Times New Roman" w:hAnsi="Times New Roman"/>
          <w:color w:val="000000" w:themeColor="text1"/>
          <w:lang w:eastAsia="fr-FR"/>
        </w:rPr>
      </w:pPr>
      <w:bookmarkStart w:id="2467" w:name="_Toc207781956"/>
      <w:r w:rsidRPr="00260790">
        <w:rPr>
          <w:rFonts w:ascii="Times New Roman" w:eastAsia="Times New Roman" w:hAnsi="Times New Roman"/>
          <w:color w:val="000000" w:themeColor="text1"/>
          <w:lang w:eastAsia="fr-FR"/>
        </w:rPr>
        <w:lastRenderedPageBreak/>
        <w:t xml:space="preserve">Tableau </w:t>
      </w:r>
      <w:r w:rsidRPr="00260790">
        <w:rPr>
          <w:rFonts w:ascii="Times New Roman" w:hAnsi="Times New Roman"/>
          <w:color w:val="000000" w:themeColor="text1"/>
        </w:rPr>
        <w:fldChar w:fldCharType="begin"/>
      </w:r>
      <w:r w:rsidRPr="00260790">
        <w:rPr>
          <w:rFonts w:ascii="Times New Roman" w:eastAsia="Times New Roman" w:hAnsi="Times New Roman"/>
          <w:color w:val="000000" w:themeColor="text1"/>
          <w:lang w:eastAsia="fr-FR"/>
        </w:rPr>
        <w:instrText xml:space="preserve"> SEQ tableau \* ARABIC </w:instrText>
      </w:r>
      <w:r w:rsidRPr="00260790">
        <w:rPr>
          <w:rFonts w:ascii="Times New Roman" w:hAnsi="Times New Roman"/>
          <w:color w:val="000000" w:themeColor="text1"/>
        </w:rPr>
        <w:fldChar w:fldCharType="separate"/>
      </w:r>
      <w:r w:rsidR="003C783E">
        <w:rPr>
          <w:rFonts w:ascii="Times New Roman" w:eastAsia="Times New Roman" w:hAnsi="Times New Roman"/>
          <w:noProof/>
          <w:color w:val="000000" w:themeColor="text1"/>
          <w:lang w:eastAsia="fr-FR"/>
        </w:rPr>
        <w:t>115</w:t>
      </w:r>
      <w:r w:rsidRPr="00260790">
        <w:rPr>
          <w:rFonts w:ascii="Times New Roman" w:hAnsi="Times New Roman"/>
          <w:color w:val="000000" w:themeColor="text1"/>
        </w:rPr>
        <w:fldChar w:fldCharType="end"/>
      </w:r>
      <w:r w:rsidRPr="00260790">
        <w:rPr>
          <w:rFonts w:ascii="Times New Roman" w:eastAsia="Times New Roman" w:hAnsi="Times New Roman"/>
          <w:color w:val="000000" w:themeColor="text1"/>
          <w:lang w:eastAsia="fr-FR"/>
        </w:rPr>
        <w:t> : Stratégie de gestion des déchets</w:t>
      </w:r>
      <w:bookmarkEnd w:id="2462"/>
      <w:bookmarkEnd w:id="2466"/>
      <w:bookmarkEnd w:id="2467"/>
    </w:p>
    <w:tbl>
      <w:tblPr>
        <w:tblW w:w="976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2103"/>
        <w:gridCol w:w="2254"/>
        <w:gridCol w:w="1634"/>
        <w:gridCol w:w="1570"/>
      </w:tblGrid>
      <w:tr w:rsidR="00BD1A2F" w:rsidRPr="00260790" w14:paraId="0964EE0C" w14:textId="77777777" w:rsidTr="002B425B">
        <w:trPr>
          <w:tblHeader/>
        </w:trPr>
        <w:tc>
          <w:tcPr>
            <w:tcW w:w="202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E816FF4" w14:textId="77777777" w:rsidR="008F35C9" w:rsidRPr="00260790" w:rsidRDefault="008F35C9" w:rsidP="00E20250">
            <w:pPr>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Type de déchets</w:t>
            </w:r>
          </w:p>
        </w:tc>
        <w:tc>
          <w:tcPr>
            <w:tcW w:w="214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6B0AD39" w14:textId="77777777" w:rsidR="008F35C9" w:rsidRPr="00260790" w:rsidRDefault="008F35C9" w:rsidP="00E20250">
            <w:pPr>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Impacts potentiels sur l’environnement</w:t>
            </w:r>
          </w:p>
        </w:tc>
        <w:tc>
          <w:tcPr>
            <w:tcW w:w="234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2F2256B" w14:textId="77777777" w:rsidR="008F35C9" w:rsidRPr="00260790" w:rsidRDefault="008F35C9" w:rsidP="00E20250">
            <w:pPr>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Mode de gestion (traitement, valorisation, élimination)</w:t>
            </w:r>
          </w:p>
        </w:tc>
        <w:tc>
          <w:tcPr>
            <w:tcW w:w="164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E925F2C" w14:textId="77777777" w:rsidR="008F35C9" w:rsidRPr="00260790" w:rsidRDefault="008F35C9" w:rsidP="00E20250">
            <w:pPr>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Indicateurs objectivement vérifiables</w:t>
            </w:r>
          </w:p>
        </w:tc>
        <w:tc>
          <w:tcPr>
            <w:tcW w:w="160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05A0B01" w14:textId="77777777" w:rsidR="008F35C9" w:rsidRPr="00260790" w:rsidRDefault="008F35C9" w:rsidP="00E20250">
            <w:pPr>
              <w:spacing w:after="0" w:line="240" w:lineRule="auto"/>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 xml:space="preserve">Moyens de vérification </w:t>
            </w:r>
          </w:p>
        </w:tc>
      </w:tr>
      <w:tr w:rsidR="00BD1A2F" w:rsidRPr="00260790" w14:paraId="141E7B90" w14:textId="77777777" w:rsidTr="008F35C9">
        <w:tc>
          <w:tcPr>
            <w:tcW w:w="2023" w:type="dxa"/>
            <w:tcBorders>
              <w:top w:val="single" w:sz="4" w:space="0" w:color="auto"/>
              <w:left w:val="single" w:sz="4" w:space="0" w:color="auto"/>
              <w:bottom w:val="single" w:sz="4" w:space="0" w:color="auto"/>
              <w:right w:val="single" w:sz="4" w:space="0" w:color="auto"/>
            </w:tcBorders>
            <w:vAlign w:val="center"/>
            <w:hideMark/>
          </w:tcPr>
          <w:p w14:paraId="000CFD2F" w14:textId="77777777" w:rsidR="008F35C9" w:rsidRPr="00260790" w:rsidRDefault="008F35C9"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Cailloux/béton/brique, ciment</w:t>
            </w:r>
          </w:p>
        </w:tc>
        <w:tc>
          <w:tcPr>
            <w:tcW w:w="2146" w:type="dxa"/>
            <w:tcBorders>
              <w:top w:val="single" w:sz="4" w:space="0" w:color="auto"/>
              <w:left w:val="single" w:sz="4" w:space="0" w:color="auto"/>
              <w:bottom w:val="single" w:sz="4" w:space="0" w:color="auto"/>
              <w:right w:val="single" w:sz="4" w:space="0" w:color="auto"/>
            </w:tcBorders>
            <w:vAlign w:val="center"/>
            <w:hideMark/>
          </w:tcPr>
          <w:p w14:paraId="0D5997BE"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Encombrement, nuisance visuelle</w:t>
            </w:r>
          </w:p>
        </w:tc>
        <w:tc>
          <w:tcPr>
            <w:tcW w:w="2342" w:type="dxa"/>
            <w:tcBorders>
              <w:top w:val="single" w:sz="4" w:space="0" w:color="auto"/>
              <w:left w:val="single" w:sz="4" w:space="0" w:color="auto"/>
              <w:bottom w:val="single" w:sz="4" w:space="0" w:color="auto"/>
              <w:right w:val="single" w:sz="4" w:space="0" w:color="auto"/>
            </w:tcBorders>
            <w:vAlign w:val="center"/>
            <w:hideMark/>
          </w:tcPr>
          <w:p w14:paraId="411F192F"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Collecte et évacuation vers une décharge autorisée</w:t>
            </w:r>
          </w:p>
        </w:tc>
        <w:tc>
          <w:tcPr>
            <w:tcW w:w="1647" w:type="dxa"/>
            <w:tcBorders>
              <w:top w:val="single" w:sz="4" w:space="0" w:color="auto"/>
              <w:left w:val="single" w:sz="4" w:space="0" w:color="auto"/>
              <w:bottom w:val="single" w:sz="4" w:space="0" w:color="auto"/>
              <w:right w:val="single" w:sz="4" w:space="0" w:color="auto"/>
            </w:tcBorders>
            <w:vAlign w:val="center"/>
            <w:hideMark/>
          </w:tcPr>
          <w:p w14:paraId="6115FA4E"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Quantité de déchets évacuée vers décharge</w:t>
            </w:r>
          </w:p>
        </w:tc>
        <w:tc>
          <w:tcPr>
            <w:tcW w:w="1605" w:type="dxa"/>
            <w:tcBorders>
              <w:top w:val="single" w:sz="4" w:space="0" w:color="auto"/>
              <w:left w:val="single" w:sz="4" w:space="0" w:color="auto"/>
              <w:bottom w:val="single" w:sz="4" w:space="0" w:color="auto"/>
              <w:right w:val="single" w:sz="4" w:space="0" w:color="auto"/>
            </w:tcBorders>
            <w:vAlign w:val="center"/>
            <w:hideMark/>
          </w:tcPr>
          <w:p w14:paraId="23306EFC"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Bordereau de suivi des déchets</w:t>
            </w:r>
          </w:p>
        </w:tc>
      </w:tr>
      <w:tr w:rsidR="00BD1A2F" w:rsidRPr="00260790" w14:paraId="10847C01" w14:textId="77777777" w:rsidTr="008F35C9">
        <w:tc>
          <w:tcPr>
            <w:tcW w:w="2023" w:type="dxa"/>
            <w:tcBorders>
              <w:top w:val="single" w:sz="4" w:space="0" w:color="auto"/>
              <w:left w:val="single" w:sz="4" w:space="0" w:color="auto"/>
              <w:bottom w:val="single" w:sz="4" w:space="0" w:color="auto"/>
              <w:right w:val="single" w:sz="4" w:space="0" w:color="auto"/>
            </w:tcBorders>
            <w:vAlign w:val="center"/>
            <w:hideMark/>
          </w:tcPr>
          <w:p w14:paraId="7076F7C2"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Ferraille</w:t>
            </w:r>
          </w:p>
        </w:tc>
        <w:tc>
          <w:tcPr>
            <w:tcW w:w="2146" w:type="dxa"/>
            <w:tcBorders>
              <w:top w:val="single" w:sz="4" w:space="0" w:color="auto"/>
              <w:left w:val="single" w:sz="4" w:space="0" w:color="auto"/>
              <w:bottom w:val="single" w:sz="4" w:space="0" w:color="auto"/>
              <w:right w:val="single" w:sz="4" w:space="0" w:color="auto"/>
            </w:tcBorders>
            <w:vAlign w:val="center"/>
            <w:hideMark/>
          </w:tcPr>
          <w:p w14:paraId="1F0BD360"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Encombrement, nuisance visuelle</w:t>
            </w:r>
          </w:p>
        </w:tc>
        <w:tc>
          <w:tcPr>
            <w:tcW w:w="2342" w:type="dxa"/>
            <w:tcBorders>
              <w:top w:val="single" w:sz="4" w:space="0" w:color="auto"/>
              <w:left w:val="single" w:sz="4" w:space="0" w:color="auto"/>
              <w:bottom w:val="single" w:sz="4" w:space="0" w:color="auto"/>
              <w:right w:val="single" w:sz="4" w:space="0" w:color="auto"/>
            </w:tcBorders>
            <w:vAlign w:val="center"/>
            <w:hideMark/>
          </w:tcPr>
          <w:p w14:paraId="23B8D422" w14:textId="54955E05" w:rsidR="008F35C9" w:rsidRPr="00260790" w:rsidRDefault="008F35C9" w:rsidP="00E20250">
            <w:pPr>
              <w:pStyle w:val="Notedebasdepage"/>
              <w:spacing w:after="0" w:line="240" w:lineRule="auto"/>
              <w:jc w:val="both"/>
              <w:rPr>
                <w:rFonts w:ascii="Times New Roman" w:eastAsia="Times New Roman" w:hAnsi="Times New Roman"/>
                <w:color w:val="000000" w:themeColor="text1"/>
                <w:sz w:val="22"/>
                <w:szCs w:val="22"/>
                <w:lang w:eastAsia="fr-FR"/>
              </w:rPr>
            </w:pPr>
            <w:r w:rsidRPr="00260790">
              <w:rPr>
                <w:rFonts w:ascii="Times New Roman" w:eastAsia="Times New Roman" w:hAnsi="Times New Roman"/>
                <w:color w:val="000000" w:themeColor="text1"/>
                <w:sz w:val="22"/>
                <w:szCs w:val="22"/>
                <w:lang w:eastAsia="fr-FR"/>
              </w:rPr>
              <w:t>Collecte et remise éventuellement à un repreneur agré</w:t>
            </w:r>
            <w:r w:rsidR="00085448" w:rsidRPr="00260790">
              <w:rPr>
                <w:rFonts w:ascii="Times New Roman" w:eastAsia="Times New Roman" w:hAnsi="Times New Roman"/>
                <w:color w:val="000000" w:themeColor="text1"/>
                <w:sz w:val="22"/>
                <w:szCs w:val="22"/>
                <w:lang w:eastAsia="fr-FR"/>
              </w:rPr>
              <w:t>é</w:t>
            </w:r>
            <w:r w:rsidRPr="00260790">
              <w:rPr>
                <w:rFonts w:ascii="Times New Roman" w:eastAsia="Times New Roman" w:hAnsi="Times New Roman"/>
                <w:color w:val="000000" w:themeColor="text1"/>
                <w:sz w:val="22"/>
                <w:szCs w:val="22"/>
                <w:lang w:eastAsia="fr-FR"/>
              </w:rPr>
              <w:t xml:space="preserve"> pour le recyclage</w:t>
            </w:r>
          </w:p>
        </w:tc>
        <w:tc>
          <w:tcPr>
            <w:tcW w:w="1647" w:type="dxa"/>
            <w:tcBorders>
              <w:top w:val="single" w:sz="4" w:space="0" w:color="auto"/>
              <w:left w:val="single" w:sz="4" w:space="0" w:color="auto"/>
              <w:bottom w:val="single" w:sz="4" w:space="0" w:color="auto"/>
              <w:right w:val="single" w:sz="4" w:space="0" w:color="auto"/>
            </w:tcBorders>
            <w:vAlign w:val="center"/>
            <w:hideMark/>
          </w:tcPr>
          <w:p w14:paraId="04AED00E" w14:textId="0144DBD5" w:rsidR="008F35C9" w:rsidRPr="00260790"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Quantité de déchets remis à un repreneur agré</w:t>
            </w:r>
            <w:r w:rsidR="00085448" w:rsidRPr="00260790">
              <w:rPr>
                <w:rFonts w:ascii="Times New Roman" w:eastAsia="Times New Roman" w:hAnsi="Times New Roman"/>
                <w:color w:val="000000" w:themeColor="text1"/>
                <w:lang w:eastAsia="fr-FR"/>
              </w:rPr>
              <w:t>é</w:t>
            </w:r>
            <w:r w:rsidRPr="00260790">
              <w:rPr>
                <w:rFonts w:ascii="Times New Roman" w:eastAsia="Times New Roman" w:hAnsi="Times New Roman"/>
                <w:color w:val="000000" w:themeColor="text1"/>
                <w:lang w:eastAsia="fr-FR"/>
              </w:rPr>
              <w:t xml:space="preserve"> </w:t>
            </w:r>
          </w:p>
        </w:tc>
        <w:tc>
          <w:tcPr>
            <w:tcW w:w="1605" w:type="dxa"/>
            <w:tcBorders>
              <w:top w:val="single" w:sz="4" w:space="0" w:color="auto"/>
              <w:left w:val="single" w:sz="4" w:space="0" w:color="auto"/>
              <w:bottom w:val="single" w:sz="4" w:space="0" w:color="auto"/>
              <w:right w:val="single" w:sz="4" w:space="0" w:color="auto"/>
            </w:tcBorders>
            <w:vAlign w:val="center"/>
            <w:hideMark/>
          </w:tcPr>
          <w:p w14:paraId="4170694D" w14:textId="70D56D21" w:rsidR="008F35C9" w:rsidRPr="00260790"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Bordereau de suivi des déchets/ contrat avec un repreneur agré</w:t>
            </w:r>
            <w:r w:rsidR="009527B4" w:rsidRPr="00260790">
              <w:rPr>
                <w:rFonts w:ascii="Times New Roman" w:eastAsia="Times New Roman" w:hAnsi="Times New Roman"/>
                <w:color w:val="000000" w:themeColor="text1"/>
                <w:lang w:eastAsia="fr-FR"/>
              </w:rPr>
              <w:t>é</w:t>
            </w:r>
            <w:r w:rsidRPr="00260790">
              <w:rPr>
                <w:rFonts w:ascii="Times New Roman" w:eastAsia="Times New Roman" w:hAnsi="Times New Roman"/>
                <w:color w:val="000000" w:themeColor="text1"/>
                <w:lang w:eastAsia="fr-FR"/>
              </w:rPr>
              <w:t xml:space="preserve"> </w:t>
            </w:r>
          </w:p>
        </w:tc>
      </w:tr>
      <w:tr w:rsidR="00BD1A2F" w:rsidRPr="00260790" w14:paraId="330130FB" w14:textId="77777777" w:rsidTr="008F35C9">
        <w:tc>
          <w:tcPr>
            <w:tcW w:w="2023" w:type="dxa"/>
            <w:tcBorders>
              <w:top w:val="single" w:sz="4" w:space="0" w:color="auto"/>
              <w:left w:val="single" w:sz="4" w:space="0" w:color="auto"/>
              <w:bottom w:val="single" w:sz="4" w:space="0" w:color="auto"/>
              <w:right w:val="single" w:sz="4" w:space="0" w:color="auto"/>
            </w:tcBorders>
            <w:vAlign w:val="center"/>
          </w:tcPr>
          <w:p w14:paraId="4595DB59" w14:textId="77777777" w:rsidR="008F35C9" w:rsidRPr="00260790" w:rsidRDefault="008F35C9"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Déchets végétaux </w:t>
            </w:r>
          </w:p>
          <w:p w14:paraId="210CCCE3"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p>
        </w:tc>
        <w:tc>
          <w:tcPr>
            <w:tcW w:w="2146" w:type="dxa"/>
            <w:tcBorders>
              <w:top w:val="single" w:sz="4" w:space="0" w:color="auto"/>
              <w:left w:val="single" w:sz="4" w:space="0" w:color="auto"/>
              <w:bottom w:val="single" w:sz="4" w:space="0" w:color="auto"/>
              <w:right w:val="single" w:sz="4" w:space="0" w:color="auto"/>
            </w:tcBorders>
            <w:vAlign w:val="center"/>
            <w:hideMark/>
          </w:tcPr>
          <w:p w14:paraId="031CD4FE"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Encombrement</w:t>
            </w:r>
          </w:p>
        </w:tc>
        <w:tc>
          <w:tcPr>
            <w:tcW w:w="2342" w:type="dxa"/>
            <w:tcBorders>
              <w:top w:val="single" w:sz="4" w:space="0" w:color="auto"/>
              <w:left w:val="single" w:sz="4" w:space="0" w:color="auto"/>
              <w:bottom w:val="single" w:sz="4" w:space="0" w:color="auto"/>
              <w:right w:val="single" w:sz="4" w:space="0" w:color="auto"/>
            </w:tcBorders>
            <w:vAlign w:val="center"/>
            <w:hideMark/>
          </w:tcPr>
          <w:p w14:paraId="0423D46B"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Collecte et évacuation vers une décharge autorisée</w:t>
            </w:r>
          </w:p>
        </w:tc>
        <w:tc>
          <w:tcPr>
            <w:tcW w:w="1647" w:type="dxa"/>
            <w:tcBorders>
              <w:top w:val="single" w:sz="4" w:space="0" w:color="auto"/>
              <w:left w:val="single" w:sz="4" w:space="0" w:color="auto"/>
              <w:bottom w:val="single" w:sz="4" w:space="0" w:color="auto"/>
              <w:right w:val="single" w:sz="4" w:space="0" w:color="auto"/>
            </w:tcBorders>
            <w:vAlign w:val="center"/>
            <w:hideMark/>
          </w:tcPr>
          <w:p w14:paraId="6D98AC91"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Quantité de déchets évacuée vers décharge</w:t>
            </w:r>
          </w:p>
        </w:tc>
        <w:tc>
          <w:tcPr>
            <w:tcW w:w="1605" w:type="dxa"/>
            <w:tcBorders>
              <w:top w:val="single" w:sz="4" w:space="0" w:color="auto"/>
              <w:left w:val="single" w:sz="4" w:space="0" w:color="auto"/>
              <w:bottom w:val="single" w:sz="4" w:space="0" w:color="auto"/>
              <w:right w:val="single" w:sz="4" w:space="0" w:color="auto"/>
            </w:tcBorders>
            <w:vAlign w:val="center"/>
            <w:hideMark/>
          </w:tcPr>
          <w:p w14:paraId="15212124"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Bordereau de suivi des déchets</w:t>
            </w:r>
          </w:p>
        </w:tc>
      </w:tr>
      <w:tr w:rsidR="00BD1A2F" w:rsidRPr="00260790" w14:paraId="5AE23BA5" w14:textId="77777777" w:rsidTr="008F35C9">
        <w:tc>
          <w:tcPr>
            <w:tcW w:w="2023" w:type="dxa"/>
            <w:tcBorders>
              <w:top w:val="single" w:sz="4" w:space="0" w:color="auto"/>
              <w:left w:val="single" w:sz="4" w:space="0" w:color="auto"/>
              <w:bottom w:val="single" w:sz="4" w:space="0" w:color="auto"/>
              <w:right w:val="single" w:sz="4" w:space="0" w:color="auto"/>
            </w:tcBorders>
            <w:vAlign w:val="center"/>
            <w:hideMark/>
          </w:tcPr>
          <w:p w14:paraId="4FC0CAED"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Déchets d’emballages, carton, papier, plastique</w:t>
            </w:r>
          </w:p>
        </w:tc>
        <w:tc>
          <w:tcPr>
            <w:tcW w:w="2146" w:type="dxa"/>
            <w:tcBorders>
              <w:top w:val="single" w:sz="4" w:space="0" w:color="auto"/>
              <w:left w:val="single" w:sz="4" w:space="0" w:color="auto"/>
              <w:bottom w:val="single" w:sz="4" w:space="0" w:color="auto"/>
              <w:right w:val="single" w:sz="4" w:space="0" w:color="auto"/>
            </w:tcBorders>
            <w:vAlign w:val="center"/>
            <w:hideMark/>
          </w:tcPr>
          <w:p w14:paraId="3235B35A"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Encombrement, nuisance visuelle</w:t>
            </w:r>
          </w:p>
        </w:tc>
        <w:tc>
          <w:tcPr>
            <w:tcW w:w="2342" w:type="dxa"/>
            <w:tcBorders>
              <w:top w:val="single" w:sz="4" w:space="0" w:color="auto"/>
              <w:left w:val="single" w:sz="4" w:space="0" w:color="auto"/>
              <w:bottom w:val="single" w:sz="4" w:space="0" w:color="auto"/>
              <w:right w:val="single" w:sz="4" w:space="0" w:color="auto"/>
            </w:tcBorders>
            <w:vAlign w:val="center"/>
            <w:hideMark/>
          </w:tcPr>
          <w:p w14:paraId="512E4196"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Collecte et évacuation vers une décharge autorisée ou recyclage</w:t>
            </w:r>
          </w:p>
        </w:tc>
        <w:tc>
          <w:tcPr>
            <w:tcW w:w="1647" w:type="dxa"/>
            <w:tcBorders>
              <w:top w:val="single" w:sz="4" w:space="0" w:color="auto"/>
              <w:left w:val="single" w:sz="4" w:space="0" w:color="auto"/>
              <w:bottom w:val="single" w:sz="4" w:space="0" w:color="auto"/>
              <w:right w:val="single" w:sz="4" w:space="0" w:color="auto"/>
            </w:tcBorders>
            <w:vAlign w:val="center"/>
            <w:hideMark/>
          </w:tcPr>
          <w:p w14:paraId="7696F2AD"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Quantité de déchets évacuée vers décharge autorisée</w:t>
            </w:r>
          </w:p>
        </w:tc>
        <w:tc>
          <w:tcPr>
            <w:tcW w:w="1605" w:type="dxa"/>
            <w:tcBorders>
              <w:top w:val="single" w:sz="4" w:space="0" w:color="auto"/>
              <w:left w:val="single" w:sz="4" w:space="0" w:color="auto"/>
              <w:bottom w:val="single" w:sz="4" w:space="0" w:color="auto"/>
              <w:right w:val="single" w:sz="4" w:space="0" w:color="auto"/>
            </w:tcBorders>
            <w:vAlign w:val="center"/>
            <w:hideMark/>
          </w:tcPr>
          <w:p w14:paraId="17E8D93A"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Bordereau de suivi des déchets</w:t>
            </w:r>
          </w:p>
        </w:tc>
      </w:tr>
      <w:tr w:rsidR="00BD1A2F" w:rsidRPr="00260790" w14:paraId="46AD6B3E" w14:textId="77777777" w:rsidTr="008F35C9">
        <w:tc>
          <w:tcPr>
            <w:tcW w:w="2023" w:type="dxa"/>
            <w:tcBorders>
              <w:top w:val="single" w:sz="4" w:space="0" w:color="auto"/>
              <w:left w:val="single" w:sz="4" w:space="0" w:color="auto"/>
              <w:bottom w:val="single" w:sz="4" w:space="0" w:color="auto"/>
              <w:right w:val="single" w:sz="4" w:space="0" w:color="auto"/>
            </w:tcBorders>
            <w:vAlign w:val="center"/>
            <w:hideMark/>
          </w:tcPr>
          <w:p w14:paraId="3416FDE9"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Huiles usagées</w:t>
            </w:r>
          </w:p>
        </w:tc>
        <w:tc>
          <w:tcPr>
            <w:tcW w:w="2146" w:type="dxa"/>
            <w:tcBorders>
              <w:top w:val="single" w:sz="4" w:space="0" w:color="auto"/>
              <w:left w:val="single" w:sz="4" w:space="0" w:color="auto"/>
              <w:bottom w:val="single" w:sz="4" w:space="0" w:color="auto"/>
              <w:right w:val="single" w:sz="4" w:space="0" w:color="auto"/>
            </w:tcBorders>
            <w:vAlign w:val="center"/>
            <w:hideMark/>
          </w:tcPr>
          <w:p w14:paraId="7117ACBB"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Pollution du sol/sous-sol/eau</w:t>
            </w:r>
          </w:p>
        </w:tc>
        <w:tc>
          <w:tcPr>
            <w:tcW w:w="2342" w:type="dxa"/>
            <w:tcBorders>
              <w:top w:val="single" w:sz="4" w:space="0" w:color="auto"/>
              <w:left w:val="single" w:sz="4" w:space="0" w:color="auto"/>
              <w:bottom w:val="single" w:sz="4" w:space="0" w:color="auto"/>
              <w:right w:val="single" w:sz="4" w:space="0" w:color="auto"/>
            </w:tcBorders>
            <w:vAlign w:val="center"/>
            <w:hideMark/>
          </w:tcPr>
          <w:p w14:paraId="344A8103"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Stockage dans des contenants étanches et remise à une structure agréée pour le traitement</w:t>
            </w:r>
          </w:p>
        </w:tc>
        <w:tc>
          <w:tcPr>
            <w:tcW w:w="1647" w:type="dxa"/>
            <w:tcBorders>
              <w:top w:val="single" w:sz="4" w:space="0" w:color="auto"/>
              <w:left w:val="single" w:sz="4" w:space="0" w:color="auto"/>
              <w:bottom w:val="single" w:sz="4" w:space="0" w:color="auto"/>
              <w:right w:val="single" w:sz="4" w:space="0" w:color="auto"/>
            </w:tcBorders>
            <w:vAlign w:val="center"/>
            <w:hideMark/>
          </w:tcPr>
          <w:p w14:paraId="29442C54" w14:textId="49B23114" w:rsidR="008F35C9" w:rsidRPr="00260790"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Quantité de déchets remis à un repreneur agré</w:t>
            </w:r>
            <w:r w:rsidR="00085448" w:rsidRPr="00260790">
              <w:rPr>
                <w:rFonts w:ascii="Times New Roman" w:eastAsia="Times New Roman" w:hAnsi="Times New Roman"/>
                <w:color w:val="000000" w:themeColor="text1"/>
                <w:lang w:eastAsia="fr-FR"/>
              </w:rPr>
              <w:t>é</w:t>
            </w:r>
            <w:r w:rsidRPr="00260790">
              <w:rPr>
                <w:rFonts w:ascii="Times New Roman" w:eastAsia="Times New Roman" w:hAnsi="Times New Roman"/>
                <w:color w:val="000000" w:themeColor="text1"/>
                <w:lang w:eastAsia="fr-FR"/>
              </w:rPr>
              <w:t xml:space="preserve"> et traitée</w:t>
            </w:r>
          </w:p>
        </w:tc>
        <w:tc>
          <w:tcPr>
            <w:tcW w:w="1605" w:type="dxa"/>
            <w:tcBorders>
              <w:top w:val="single" w:sz="4" w:space="0" w:color="auto"/>
              <w:left w:val="single" w:sz="4" w:space="0" w:color="auto"/>
              <w:bottom w:val="single" w:sz="4" w:space="0" w:color="auto"/>
              <w:right w:val="single" w:sz="4" w:space="0" w:color="auto"/>
            </w:tcBorders>
            <w:vAlign w:val="center"/>
            <w:hideMark/>
          </w:tcPr>
          <w:p w14:paraId="37655CFF" w14:textId="46C891C9" w:rsidR="008F35C9" w:rsidRPr="00260790"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Bordereau de suivi des déchets/ contrat avec un repreneur agré</w:t>
            </w:r>
            <w:r w:rsidR="009527B4" w:rsidRPr="00260790">
              <w:rPr>
                <w:rFonts w:ascii="Times New Roman" w:eastAsia="Times New Roman" w:hAnsi="Times New Roman"/>
                <w:color w:val="000000" w:themeColor="text1"/>
                <w:lang w:eastAsia="fr-FR"/>
              </w:rPr>
              <w:t>é</w:t>
            </w:r>
            <w:r w:rsidRPr="00260790">
              <w:rPr>
                <w:rFonts w:ascii="Times New Roman" w:eastAsia="Times New Roman" w:hAnsi="Times New Roman"/>
                <w:color w:val="000000" w:themeColor="text1"/>
                <w:lang w:eastAsia="fr-FR"/>
              </w:rPr>
              <w:t xml:space="preserve"> </w:t>
            </w:r>
          </w:p>
        </w:tc>
      </w:tr>
      <w:tr w:rsidR="00BD1A2F" w:rsidRPr="00260790" w14:paraId="56A4ACA2" w14:textId="77777777" w:rsidTr="008F35C9">
        <w:tc>
          <w:tcPr>
            <w:tcW w:w="2023" w:type="dxa"/>
            <w:tcBorders>
              <w:top w:val="single" w:sz="4" w:space="0" w:color="auto"/>
              <w:left w:val="single" w:sz="4" w:space="0" w:color="auto"/>
              <w:bottom w:val="single" w:sz="4" w:space="0" w:color="auto"/>
              <w:right w:val="single" w:sz="4" w:space="0" w:color="auto"/>
            </w:tcBorders>
            <w:vAlign w:val="center"/>
            <w:hideMark/>
          </w:tcPr>
          <w:p w14:paraId="05F803BE" w14:textId="77777777" w:rsidR="008F35C9" w:rsidRPr="00260790" w:rsidRDefault="008F35C9" w:rsidP="00E20250">
            <w:pPr>
              <w:autoSpaceDE w:val="0"/>
              <w:autoSpaceDN w:val="0"/>
              <w:adjustRightInd w:val="0"/>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Emballages souillés ou ayant contenu un produit dangereux</w:t>
            </w:r>
          </w:p>
        </w:tc>
        <w:tc>
          <w:tcPr>
            <w:tcW w:w="2146" w:type="dxa"/>
            <w:tcBorders>
              <w:top w:val="single" w:sz="4" w:space="0" w:color="auto"/>
              <w:left w:val="single" w:sz="4" w:space="0" w:color="auto"/>
              <w:bottom w:val="single" w:sz="4" w:space="0" w:color="auto"/>
              <w:right w:val="single" w:sz="4" w:space="0" w:color="auto"/>
            </w:tcBorders>
            <w:vAlign w:val="center"/>
            <w:hideMark/>
          </w:tcPr>
          <w:p w14:paraId="16B437D0"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Pollution du sol et des eaux</w:t>
            </w:r>
          </w:p>
        </w:tc>
        <w:tc>
          <w:tcPr>
            <w:tcW w:w="2342" w:type="dxa"/>
            <w:tcBorders>
              <w:top w:val="single" w:sz="4" w:space="0" w:color="auto"/>
              <w:left w:val="single" w:sz="4" w:space="0" w:color="auto"/>
              <w:bottom w:val="single" w:sz="4" w:space="0" w:color="auto"/>
              <w:right w:val="single" w:sz="4" w:space="0" w:color="auto"/>
            </w:tcBorders>
            <w:vAlign w:val="center"/>
            <w:hideMark/>
          </w:tcPr>
          <w:p w14:paraId="1ACDEB59"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Stockage dans un contenant étanche et   remise au fournisseur</w:t>
            </w:r>
          </w:p>
        </w:tc>
        <w:tc>
          <w:tcPr>
            <w:tcW w:w="1647" w:type="dxa"/>
            <w:tcBorders>
              <w:top w:val="single" w:sz="4" w:space="0" w:color="auto"/>
              <w:left w:val="single" w:sz="4" w:space="0" w:color="auto"/>
              <w:bottom w:val="single" w:sz="4" w:space="0" w:color="auto"/>
              <w:right w:val="single" w:sz="4" w:space="0" w:color="auto"/>
            </w:tcBorders>
            <w:vAlign w:val="center"/>
            <w:hideMark/>
          </w:tcPr>
          <w:p w14:paraId="68CA856E"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Quantité de déchets remise à un fournisseur agréé</w:t>
            </w:r>
          </w:p>
        </w:tc>
        <w:tc>
          <w:tcPr>
            <w:tcW w:w="1605" w:type="dxa"/>
            <w:tcBorders>
              <w:top w:val="single" w:sz="4" w:space="0" w:color="auto"/>
              <w:left w:val="single" w:sz="4" w:space="0" w:color="auto"/>
              <w:bottom w:val="single" w:sz="4" w:space="0" w:color="auto"/>
              <w:right w:val="single" w:sz="4" w:space="0" w:color="auto"/>
            </w:tcBorders>
            <w:vAlign w:val="center"/>
            <w:hideMark/>
          </w:tcPr>
          <w:p w14:paraId="3C6DAD78"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Bordereau de suivi des déchets </w:t>
            </w:r>
          </w:p>
        </w:tc>
      </w:tr>
    </w:tbl>
    <w:p w14:paraId="067FAD1B" w14:textId="77777777" w:rsidR="008F35C9" w:rsidRPr="00260790" w:rsidRDefault="008F35C9" w:rsidP="00B3729F">
      <w:pPr>
        <w:pStyle w:val="CHAPITRE1"/>
        <w:spacing w:before="240"/>
        <w:rPr>
          <w:rFonts w:cs="Times New Roman"/>
        </w:rPr>
      </w:pPr>
      <w:bookmarkStart w:id="2468" w:name="_Toc212725182"/>
      <w:r w:rsidRPr="00260790">
        <w:rPr>
          <w:rFonts w:cs="Times New Roman"/>
        </w:rPr>
        <w:t>Mesures de gestion des installations de la bas</w:t>
      </w:r>
      <w:bookmarkEnd w:id="2463"/>
      <w:r w:rsidRPr="00260790">
        <w:rPr>
          <w:rFonts w:cs="Times New Roman"/>
        </w:rPr>
        <w:t>e de chantier</w:t>
      </w:r>
      <w:bookmarkEnd w:id="2464"/>
      <w:bookmarkEnd w:id="2465"/>
      <w:bookmarkEnd w:id="2468"/>
    </w:p>
    <w:p w14:paraId="6B2087A6" w14:textId="77777777" w:rsidR="008F35C9" w:rsidRPr="00260790" w:rsidRDefault="008F35C9" w:rsidP="00E20250">
      <w:pPr>
        <w:spacing w:line="240" w:lineRule="auto"/>
        <w:ind w:right="-568"/>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tableau ci-dessous présente les mesures de gestion des installations de la base-vie/chantier.</w:t>
      </w:r>
    </w:p>
    <w:p w14:paraId="5A00D6E7" w14:textId="2BD09044" w:rsidR="008F35C9" w:rsidRPr="00260790" w:rsidRDefault="008F35C9" w:rsidP="00E20250">
      <w:pPr>
        <w:spacing w:line="240" w:lineRule="auto"/>
        <w:rPr>
          <w:rFonts w:ascii="Times New Roman" w:eastAsia="Times New Roman" w:hAnsi="Times New Roman"/>
          <w:color w:val="000000" w:themeColor="text1"/>
          <w:lang w:eastAsia="fr-FR"/>
        </w:rPr>
      </w:pPr>
      <w:bookmarkStart w:id="2469" w:name="_Toc40839268"/>
      <w:bookmarkStart w:id="2470" w:name="_Toc33708781"/>
      <w:bookmarkStart w:id="2471" w:name="_Toc28367405"/>
      <w:bookmarkStart w:id="2472" w:name="_Toc207781957"/>
      <w:r w:rsidRPr="00260790">
        <w:rPr>
          <w:rFonts w:ascii="Times New Roman" w:eastAsia="Times New Roman" w:hAnsi="Times New Roman"/>
          <w:color w:val="000000" w:themeColor="text1"/>
          <w:lang w:eastAsia="fr-FR"/>
        </w:rPr>
        <w:t xml:space="preserve">Tableau </w:t>
      </w:r>
      <w:r w:rsidRPr="00260790">
        <w:rPr>
          <w:rFonts w:ascii="Times New Roman" w:hAnsi="Times New Roman"/>
          <w:color w:val="000000" w:themeColor="text1"/>
        </w:rPr>
        <w:fldChar w:fldCharType="begin"/>
      </w:r>
      <w:r w:rsidRPr="00260790">
        <w:rPr>
          <w:rFonts w:ascii="Times New Roman" w:eastAsia="Times New Roman" w:hAnsi="Times New Roman"/>
          <w:color w:val="000000" w:themeColor="text1"/>
          <w:lang w:eastAsia="fr-FR"/>
        </w:rPr>
        <w:instrText xml:space="preserve"> SEQ Tableau \* ARABIC </w:instrText>
      </w:r>
      <w:r w:rsidRPr="00260790">
        <w:rPr>
          <w:rFonts w:ascii="Times New Roman" w:hAnsi="Times New Roman"/>
          <w:color w:val="000000" w:themeColor="text1"/>
        </w:rPr>
        <w:fldChar w:fldCharType="separate"/>
      </w:r>
      <w:r w:rsidR="003C783E">
        <w:rPr>
          <w:rFonts w:ascii="Times New Roman" w:eastAsia="Times New Roman" w:hAnsi="Times New Roman"/>
          <w:noProof/>
          <w:color w:val="000000" w:themeColor="text1"/>
          <w:lang w:eastAsia="fr-FR"/>
        </w:rPr>
        <w:t>116</w:t>
      </w:r>
      <w:r w:rsidRPr="00260790">
        <w:rPr>
          <w:rFonts w:ascii="Times New Roman" w:hAnsi="Times New Roman"/>
          <w:color w:val="000000" w:themeColor="text1"/>
        </w:rPr>
        <w:fldChar w:fldCharType="end"/>
      </w:r>
      <w:r w:rsidRPr="00260790">
        <w:rPr>
          <w:rFonts w:ascii="Times New Roman" w:eastAsia="Times New Roman" w:hAnsi="Times New Roman"/>
          <w:color w:val="000000" w:themeColor="text1"/>
          <w:lang w:eastAsia="fr-FR"/>
        </w:rPr>
        <w:t>: Mesures de gestion des installations et des équipements de la base -vie/chantier</w:t>
      </w:r>
      <w:bookmarkEnd w:id="2469"/>
      <w:bookmarkEnd w:id="2470"/>
      <w:bookmarkEnd w:id="2471"/>
      <w:bookmarkEnd w:id="2472"/>
    </w:p>
    <w:tbl>
      <w:tblPr>
        <w:tblpPr w:leftFromText="141" w:rightFromText="141" w:vertAnchor="text" w:tblpY="1"/>
        <w:tblOverlap w:val="neve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3507"/>
        <w:gridCol w:w="4251"/>
      </w:tblGrid>
      <w:tr w:rsidR="00BD1A2F" w:rsidRPr="00260790" w14:paraId="083B48D1" w14:textId="77777777" w:rsidTr="00B3729F">
        <w:trPr>
          <w:tblHeader/>
        </w:trPr>
        <w:tc>
          <w:tcPr>
            <w:tcW w:w="788"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D412F76" w14:textId="77777777" w:rsidR="008F35C9" w:rsidRPr="00260790" w:rsidRDefault="008F35C9" w:rsidP="00E20250">
            <w:pPr>
              <w:spacing w:after="0" w:line="240" w:lineRule="auto"/>
              <w:jc w:val="center"/>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Installations/</w:t>
            </w:r>
          </w:p>
          <w:p w14:paraId="78C6B002" w14:textId="77777777" w:rsidR="008F35C9" w:rsidRPr="00260790" w:rsidRDefault="008F35C9" w:rsidP="00E20250">
            <w:pPr>
              <w:spacing w:after="0" w:line="240" w:lineRule="auto"/>
              <w:jc w:val="center"/>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Équipements</w:t>
            </w:r>
          </w:p>
        </w:tc>
        <w:tc>
          <w:tcPr>
            <w:tcW w:w="190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95B3D86" w14:textId="77777777" w:rsidR="008F35C9" w:rsidRPr="00260790" w:rsidRDefault="008F35C9" w:rsidP="00E20250">
            <w:pPr>
              <w:spacing w:after="0" w:line="240" w:lineRule="auto"/>
              <w:jc w:val="center"/>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Règles d’implantation</w:t>
            </w:r>
          </w:p>
        </w:tc>
        <w:tc>
          <w:tcPr>
            <w:tcW w:w="2309"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C54472C" w14:textId="77777777" w:rsidR="008F35C9" w:rsidRPr="00260790" w:rsidRDefault="008F35C9" w:rsidP="00E20250">
            <w:pPr>
              <w:spacing w:after="0" w:line="240" w:lineRule="auto"/>
              <w:jc w:val="center"/>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Mesures préconisées / Recommandations</w:t>
            </w:r>
          </w:p>
        </w:tc>
      </w:tr>
      <w:tr w:rsidR="00BD1A2F" w:rsidRPr="00260790" w14:paraId="41B12E44" w14:textId="77777777" w:rsidTr="00B3729F">
        <w:tc>
          <w:tcPr>
            <w:tcW w:w="788" w:type="pct"/>
            <w:tcBorders>
              <w:top w:val="single" w:sz="4" w:space="0" w:color="auto"/>
              <w:left w:val="single" w:sz="4" w:space="0" w:color="auto"/>
              <w:bottom w:val="single" w:sz="4" w:space="0" w:color="auto"/>
              <w:right w:val="single" w:sz="4" w:space="0" w:color="auto"/>
            </w:tcBorders>
            <w:vAlign w:val="center"/>
            <w:hideMark/>
          </w:tcPr>
          <w:p w14:paraId="656527A1" w14:textId="77777777" w:rsidR="008F35C9" w:rsidRPr="00260790" w:rsidRDefault="008F35C9" w:rsidP="00E20250">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Stockage de carburant</w:t>
            </w:r>
          </w:p>
        </w:tc>
        <w:tc>
          <w:tcPr>
            <w:tcW w:w="1904" w:type="pct"/>
            <w:tcBorders>
              <w:top w:val="single" w:sz="4" w:space="0" w:color="auto"/>
              <w:left w:val="single" w:sz="4" w:space="0" w:color="auto"/>
              <w:bottom w:val="single" w:sz="4" w:space="0" w:color="auto"/>
              <w:right w:val="single" w:sz="4" w:space="0" w:color="auto"/>
            </w:tcBorders>
            <w:vAlign w:val="center"/>
            <w:hideMark/>
          </w:tcPr>
          <w:p w14:paraId="74AE440C"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règles d'implantation et distances de servitude</w:t>
            </w:r>
          </w:p>
          <w:p w14:paraId="5C75642A"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Distances de servitude = 40 m minimum avec absence de tout arbre ou de végétation</w:t>
            </w:r>
          </w:p>
          <w:p w14:paraId="1E907700"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distance minimale entre deux réservoirs est de 1,50 mètre</w:t>
            </w:r>
          </w:p>
          <w:p w14:paraId="27320960"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Autour de la distance de servitude : il ne doit y avoir aucune source d'ignition et/ou de matières comburantes</w:t>
            </w:r>
          </w:p>
        </w:tc>
        <w:tc>
          <w:tcPr>
            <w:tcW w:w="2309" w:type="pct"/>
            <w:tcBorders>
              <w:top w:val="single" w:sz="4" w:space="0" w:color="auto"/>
              <w:left w:val="single" w:sz="4" w:space="0" w:color="auto"/>
              <w:bottom w:val="single" w:sz="4" w:space="0" w:color="auto"/>
              <w:right w:val="single" w:sz="4" w:space="0" w:color="auto"/>
            </w:tcBorders>
            <w:vAlign w:val="center"/>
            <w:hideMark/>
          </w:tcPr>
          <w:p w14:paraId="459E8190"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rétention doit être en béton armé (BA) avec une épaisseur d'au moins 20 cm et étanche</w:t>
            </w:r>
          </w:p>
          <w:p w14:paraId="6CDD5B69"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capacité de la rétention doit avoir au moins le volume de la cuve (pour 01 cuve) ou 50% du volume total des cuves</w:t>
            </w:r>
          </w:p>
          <w:p w14:paraId="0308ACC8"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La rétention doit avoir une sortie avec une vanne à 02 voies (normalement fermé) pour l'évacuation volontaire des eaux pluviales, soit vers la fosse munie de séparateur hydrocarbure, soit vers la nature </w:t>
            </w:r>
          </w:p>
          <w:p w14:paraId="7ED91BD7"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Une fosse d’un (01) m</w:t>
            </w:r>
            <w:r w:rsidRPr="00260790">
              <w:rPr>
                <w:rFonts w:ascii="Times New Roman" w:eastAsia="Times New Roman" w:hAnsi="Times New Roman"/>
                <w:color w:val="000000" w:themeColor="text1"/>
                <w:vertAlign w:val="superscript"/>
                <w:lang w:eastAsia="fr-FR"/>
              </w:rPr>
              <w:t>3</w:t>
            </w:r>
            <w:r w:rsidRPr="00260790">
              <w:rPr>
                <w:rFonts w:ascii="Times New Roman" w:eastAsia="Times New Roman" w:hAnsi="Times New Roman"/>
                <w:color w:val="000000" w:themeColor="text1"/>
                <w:lang w:eastAsia="fr-FR"/>
              </w:rPr>
              <w:t xml:space="preserve">, munie d'un séparateur hydrocarbure, doit être </w:t>
            </w:r>
            <w:r w:rsidRPr="00260790">
              <w:rPr>
                <w:rFonts w:ascii="Times New Roman" w:eastAsia="Times New Roman" w:hAnsi="Times New Roman"/>
                <w:color w:val="000000" w:themeColor="text1"/>
                <w:lang w:eastAsia="fr-FR"/>
              </w:rPr>
              <w:lastRenderedPageBreak/>
              <w:t>installée à la sortie de la vanne d'évacuation des eaux pluviales</w:t>
            </w:r>
          </w:p>
          <w:p w14:paraId="6A0E073C"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cuves doivent disposer de certificats d'épreuve</w:t>
            </w:r>
          </w:p>
          <w:p w14:paraId="37386A94"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Toute pollution doit être documentée et déclarée aux autorités environnementales (obligation d’informer en cas de pollution du sol)</w:t>
            </w:r>
          </w:p>
          <w:p w14:paraId="0A5D8B2F" w14:textId="7CBA669F"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Toutes les cuves, aériennes comme enterrées, doivent faire l'objet de déclaration ou d'autorisation de la DREEC/D</w:t>
            </w:r>
            <w:r w:rsidR="002B425B" w:rsidRPr="00260790">
              <w:rPr>
                <w:rFonts w:ascii="Times New Roman" w:eastAsia="Times New Roman" w:hAnsi="Times New Roman"/>
                <w:color w:val="000000" w:themeColor="text1"/>
                <w:lang w:eastAsia="fr-FR"/>
              </w:rPr>
              <w:t>IR</w:t>
            </w:r>
            <w:r w:rsidRPr="00260790">
              <w:rPr>
                <w:rFonts w:ascii="Times New Roman" w:eastAsia="Times New Roman" w:hAnsi="Times New Roman"/>
                <w:color w:val="000000" w:themeColor="text1"/>
                <w:lang w:eastAsia="fr-FR"/>
              </w:rPr>
              <w:t>EC</w:t>
            </w:r>
          </w:p>
        </w:tc>
      </w:tr>
      <w:tr w:rsidR="00BD1A2F" w:rsidRPr="00260790" w14:paraId="0A5E82B7" w14:textId="77777777" w:rsidTr="00B3729F">
        <w:tc>
          <w:tcPr>
            <w:tcW w:w="788" w:type="pct"/>
            <w:tcBorders>
              <w:top w:val="single" w:sz="4" w:space="0" w:color="auto"/>
              <w:left w:val="single" w:sz="4" w:space="0" w:color="auto"/>
              <w:bottom w:val="single" w:sz="4" w:space="0" w:color="auto"/>
              <w:right w:val="single" w:sz="4" w:space="0" w:color="auto"/>
            </w:tcBorders>
            <w:vAlign w:val="center"/>
            <w:hideMark/>
          </w:tcPr>
          <w:p w14:paraId="4548B647" w14:textId="77777777" w:rsidR="008F35C9" w:rsidRPr="00260790" w:rsidRDefault="008F35C9" w:rsidP="00E20250">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Stockage de déchets banals</w:t>
            </w:r>
          </w:p>
        </w:tc>
        <w:tc>
          <w:tcPr>
            <w:tcW w:w="1904" w:type="pct"/>
            <w:tcBorders>
              <w:top w:val="single" w:sz="4" w:space="0" w:color="auto"/>
              <w:left w:val="single" w:sz="4" w:space="0" w:color="auto"/>
              <w:bottom w:val="single" w:sz="4" w:space="0" w:color="auto"/>
              <w:right w:val="single" w:sz="4" w:space="0" w:color="auto"/>
            </w:tcBorders>
            <w:vAlign w:val="center"/>
            <w:hideMark/>
          </w:tcPr>
          <w:p w14:paraId="118597E4"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règles d'implantation et distances de servitude</w:t>
            </w:r>
          </w:p>
          <w:p w14:paraId="4D20ADFD"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locaux de déchets banals doivent être aérés, couverts et protégés contre les intempéries et les envolements</w:t>
            </w:r>
          </w:p>
          <w:p w14:paraId="79BFAA88"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Autour des locaux de déchets : il ne doit y avoir aucune source d'ignition et/ou de matières comburantes pouvant causer ou favoriser un incendie</w:t>
            </w:r>
          </w:p>
          <w:p w14:paraId="48FE2BA0"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Établir et documenter un bordereau de suivi des déchets</w:t>
            </w:r>
          </w:p>
        </w:tc>
        <w:tc>
          <w:tcPr>
            <w:tcW w:w="2309" w:type="pct"/>
            <w:tcBorders>
              <w:top w:val="single" w:sz="4" w:space="0" w:color="auto"/>
              <w:left w:val="single" w:sz="4" w:space="0" w:color="auto"/>
              <w:bottom w:val="single" w:sz="4" w:space="0" w:color="auto"/>
              <w:right w:val="single" w:sz="4" w:space="0" w:color="auto"/>
            </w:tcBorders>
            <w:vAlign w:val="center"/>
            <w:hideMark/>
          </w:tcPr>
          <w:p w14:paraId="59DC7BA8"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locaux des déchets doivent être compartimentés selon les typologies de déchets</w:t>
            </w:r>
          </w:p>
          <w:p w14:paraId="7A80B066"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Prévoir des poubelles par typologie de déchets et faciles à déplacer pour faciliter les manutentions</w:t>
            </w:r>
          </w:p>
          <w:p w14:paraId="35FC2720"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Prévoir une arrivée d'eau autour des locaux comme éventuels moyens de lutte contre l'incendie</w:t>
            </w:r>
          </w:p>
          <w:p w14:paraId="2575CA06"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Aucun brûlage de déchets n'est toléré </w:t>
            </w:r>
          </w:p>
          <w:p w14:paraId="32D40207"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Tous les déchets doivent aller à la décharge autorisée ou tolérée </w:t>
            </w:r>
          </w:p>
        </w:tc>
      </w:tr>
      <w:tr w:rsidR="00BD1A2F" w:rsidRPr="00260790" w14:paraId="75428843" w14:textId="77777777" w:rsidTr="00B3729F">
        <w:trPr>
          <w:trHeight w:val="1408"/>
        </w:trPr>
        <w:tc>
          <w:tcPr>
            <w:tcW w:w="788" w:type="pct"/>
            <w:tcBorders>
              <w:top w:val="single" w:sz="4" w:space="0" w:color="auto"/>
              <w:left w:val="single" w:sz="4" w:space="0" w:color="auto"/>
              <w:bottom w:val="single" w:sz="4" w:space="0" w:color="auto"/>
              <w:right w:val="single" w:sz="4" w:space="0" w:color="auto"/>
            </w:tcBorders>
            <w:vAlign w:val="center"/>
            <w:hideMark/>
          </w:tcPr>
          <w:p w14:paraId="66C9547C" w14:textId="77777777" w:rsidR="008F35C9" w:rsidRPr="00260790" w:rsidRDefault="008F35C9" w:rsidP="00E20250">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Stockage de déchets dangereux</w:t>
            </w:r>
          </w:p>
        </w:tc>
        <w:tc>
          <w:tcPr>
            <w:tcW w:w="1904" w:type="pct"/>
            <w:tcBorders>
              <w:top w:val="single" w:sz="4" w:space="0" w:color="auto"/>
              <w:left w:val="single" w:sz="4" w:space="0" w:color="auto"/>
              <w:bottom w:val="single" w:sz="4" w:space="0" w:color="auto"/>
              <w:right w:val="single" w:sz="4" w:space="0" w:color="auto"/>
            </w:tcBorders>
            <w:vAlign w:val="center"/>
            <w:hideMark/>
          </w:tcPr>
          <w:p w14:paraId="54BB071E"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règles d'implantation et distances de servitude</w:t>
            </w:r>
          </w:p>
          <w:p w14:paraId="260CDD38"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locaux de déchets dangereux doivent être aérés, couverts et protégés contre les intempéries et les envolements</w:t>
            </w:r>
          </w:p>
          <w:p w14:paraId="568F8695"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Autour des locaux de déchets : il ne doit y avoir aucune source d'ignition et/ou de matières comburantes pouvant causer ou favoriser un incendie</w:t>
            </w:r>
          </w:p>
          <w:p w14:paraId="5B2AE8C8"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Établir et documenter un bordereau de suivi des déchets</w:t>
            </w:r>
          </w:p>
        </w:tc>
        <w:tc>
          <w:tcPr>
            <w:tcW w:w="2309" w:type="pct"/>
            <w:tcBorders>
              <w:top w:val="single" w:sz="4" w:space="0" w:color="auto"/>
              <w:left w:val="single" w:sz="4" w:space="0" w:color="auto"/>
              <w:bottom w:val="single" w:sz="4" w:space="0" w:color="auto"/>
              <w:right w:val="single" w:sz="4" w:space="0" w:color="auto"/>
            </w:tcBorders>
            <w:vAlign w:val="center"/>
            <w:hideMark/>
          </w:tcPr>
          <w:p w14:paraId="183114A7"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locaux déchets dangereux doivent avoir une dalle étanche et une rétention égale au volume susceptible d'être stocké</w:t>
            </w:r>
          </w:p>
          <w:p w14:paraId="2DF215E6"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Une cuve de récupération des huiles usagées doit être installée ou utiliser des fûts munis de bouchons </w:t>
            </w:r>
          </w:p>
          <w:p w14:paraId="3B3EDA1E"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Un local spécial sera prévu pour les déchets électroniques, les encres des imprimantes, les piles et accumulateurs</w:t>
            </w:r>
          </w:p>
        </w:tc>
      </w:tr>
      <w:tr w:rsidR="00BD1A2F" w:rsidRPr="00260790" w14:paraId="47C39E1D" w14:textId="77777777" w:rsidTr="00B3729F">
        <w:trPr>
          <w:trHeight w:val="64"/>
        </w:trPr>
        <w:tc>
          <w:tcPr>
            <w:tcW w:w="788" w:type="pct"/>
            <w:tcBorders>
              <w:top w:val="single" w:sz="4" w:space="0" w:color="auto"/>
              <w:left w:val="single" w:sz="4" w:space="0" w:color="auto"/>
              <w:bottom w:val="single" w:sz="4" w:space="0" w:color="auto"/>
              <w:right w:val="single" w:sz="4" w:space="0" w:color="auto"/>
            </w:tcBorders>
            <w:vAlign w:val="center"/>
            <w:hideMark/>
          </w:tcPr>
          <w:p w14:paraId="14726A9A" w14:textId="77777777" w:rsidR="008F35C9" w:rsidRPr="00260790" w:rsidRDefault="008F35C9" w:rsidP="00E20250">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Stockage des déchets DASRI (Déchets d'Activités de Soins à Risques Infectieux)</w:t>
            </w:r>
          </w:p>
        </w:tc>
        <w:tc>
          <w:tcPr>
            <w:tcW w:w="1904" w:type="pct"/>
            <w:tcBorders>
              <w:top w:val="single" w:sz="4" w:space="0" w:color="auto"/>
              <w:left w:val="single" w:sz="4" w:space="0" w:color="auto"/>
              <w:bottom w:val="single" w:sz="4" w:space="0" w:color="auto"/>
              <w:right w:val="single" w:sz="4" w:space="0" w:color="auto"/>
            </w:tcBorders>
            <w:vAlign w:val="center"/>
          </w:tcPr>
          <w:p w14:paraId="04705DF5"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règles d'implantation et distances de servitude</w:t>
            </w:r>
          </w:p>
          <w:p w14:paraId="65D12278"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traitement et le conditionnement se font au niveau de l'infirmerie</w:t>
            </w:r>
          </w:p>
          <w:p w14:paraId="232444B7"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p>
        </w:tc>
        <w:tc>
          <w:tcPr>
            <w:tcW w:w="2309" w:type="pct"/>
            <w:tcBorders>
              <w:top w:val="single" w:sz="4" w:space="0" w:color="auto"/>
              <w:left w:val="single" w:sz="4" w:space="0" w:color="auto"/>
              <w:bottom w:val="single" w:sz="4" w:space="0" w:color="auto"/>
              <w:right w:val="single" w:sz="4" w:space="0" w:color="auto"/>
            </w:tcBorders>
            <w:vAlign w:val="center"/>
          </w:tcPr>
          <w:p w14:paraId="416CE245"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Aucun traitement des DASRI n'est toléré sur site</w:t>
            </w:r>
          </w:p>
          <w:p w14:paraId="093136FA"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Protocole avec le poste de santé le plus proche apte au traitement de ses déchets avec un bordereau de suivi dûment et régulièrement renseigné</w:t>
            </w:r>
          </w:p>
          <w:p w14:paraId="4016DA5B" w14:textId="77777777" w:rsidR="008F35C9" w:rsidRPr="00260790" w:rsidRDefault="008F35C9" w:rsidP="00E20250">
            <w:pPr>
              <w:spacing w:after="0" w:line="240" w:lineRule="auto"/>
              <w:rPr>
                <w:rFonts w:ascii="Times New Roman" w:eastAsia="Times New Roman" w:hAnsi="Times New Roman"/>
                <w:color w:val="000000" w:themeColor="text1"/>
                <w:lang w:eastAsia="fr-FR"/>
              </w:rPr>
            </w:pPr>
          </w:p>
        </w:tc>
      </w:tr>
      <w:tr w:rsidR="00BD1A2F" w:rsidRPr="00260790" w14:paraId="1FD39028" w14:textId="77777777" w:rsidTr="00B3729F">
        <w:tc>
          <w:tcPr>
            <w:tcW w:w="788" w:type="pct"/>
            <w:tcBorders>
              <w:top w:val="single" w:sz="4" w:space="0" w:color="auto"/>
              <w:left w:val="single" w:sz="4" w:space="0" w:color="auto"/>
              <w:bottom w:val="single" w:sz="4" w:space="0" w:color="auto"/>
              <w:right w:val="single" w:sz="4" w:space="0" w:color="auto"/>
            </w:tcBorders>
            <w:vAlign w:val="center"/>
            <w:hideMark/>
          </w:tcPr>
          <w:p w14:paraId="36959C32" w14:textId="77777777" w:rsidR="008F35C9" w:rsidRPr="00260790" w:rsidRDefault="008F35C9" w:rsidP="00E20250">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Toilettes et vestiaires</w:t>
            </w:r>
          </w:p>
        </w:tc>
        <w:tc>
          <w:tcPr>
            <w:tcW w:w="1904" w:type="pct"/>
            <w:tcBorders>
              <w:top w:val="single" w:sz="4" w:space="0" w:color="auto"/>
              <w:left w:val="single" w:sz="4" w:space="0" w:color="auto"/>
              <w:bottom w:val="single" w:sz="4" w:space="0" w:color="auto"/>
              <w:right w:val="single" w:sz="4" w:space="0" w:color="auto"/>
            </w:tcBorders>
            <w:vAlign w:val="center"/>
          </w:tcPr>
          <w:p w14:paraId="249605F4"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règles d'implantation et distances de servitude</w:t>
            </w:r>
          </w:p>
          <w:p w14:paraId="2A6F28AD"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toilettes et vestiaires peuvent être construits séparés et/ou dans un même bloc, mais une séparation physique assurant l'intimité des usagers</w:t>
            </w:r>
          </w:p>
          <w:p w14:paraId="05782FD2"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lastRenderedPageBreak/>
              <w:t>Les toilettes hommes et femmes seront séparées et reconnaissables à l’aide de pictogrammes</w:t>
            </w:r>
          </w:p>
          <w:p w14:paraId="6ECF3CE4"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L'aménagement des bâtiments doit tenir compte de la présence de personnes à mobilité réduite</w:t>
            </w:r>
          </w:p>
          <w:p w14:paraId="1F5FDA1C"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p>
        </w:tc>
        <w:tc>
          <w:tcPr>
            <w:tcW w:w="2309" w:type="pct"/>
            <w:tcBorders>
              <w:top w:val="single" w:sz="4" w:space="0" w:color="auto"/>
              <w:left w:val="single" w:sz="4" w:space="0" w:color="auto"/>
              <w:bottom w:val="single" w:sz="4" w:space="0" w:color="auto"/>
              <w:right w:val="single" w:sz="4" w:space="0" w:color="auto"/>
            </w:tcBorders>
            <w:vAlign w:val="center"/>
            <w:hideMark/>
          </w:tcPr>
          <w:p w14:paraId="3B3F3193"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lastRenderedPageBreak/>
              <w:t>Il faut séparer les appareils sanitaires des canalisations par des siphons (garde d'eau)</w:t>
            </w:r>
          </w:p>
          <w:p w14:paraId="025DA03C"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Une réserve d'eau sera prévue afin de parer aux coupures d'eau</w:t>
            </w:r>
          </w:p>
          <w:p w14:paraId="5CD8CA61"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lastRenderedPageBreak/>
              <w:t>Les installations électriques seront conçues pour une zone humide et les appareillages et luminaires étanches</w:t>
            </w:r>
          </w:p>
          <w:p w14:paraId="03D8C801"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Respecter les règles d’hygiène collective </w:t>
            </w:r>
          </w:p>
          <w:p w14:paraId="2E7D93E6"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armoires des vestiaires seront en nombre suffisant et à double compartiment afin de séparer les tenues de ville de celles de travail</w:t>
            </w:r>
          </w:p>
          <w:p w14:paraId="229FA79D" w14:textId="1CF6802B"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Prévoir 01 lavabo pour 25 personnes, 01 </w:t>
            </w:r>
            <w:r w:rsidR="00BF2E4C">
              <w:rPr>
                <w:rFonts w:ascii="Times New Roman" w:eastAsia="Times New Roman" w:hAnsi="Times New Roman"/>
                <w:color w:val="000000" w:themeColor="text1"/>
                <w:lang w:eastAsia="fr-FR"/>
              </w:rPr>
              <w:t>W.C</w:t>
            </w:r>
            <w:r w:rsidR="0051398E" w:rsidRPr="00260790">
              <w:rPr>
                <w:rFonts w:ascii="Times New Roman" w:eastAsia="Times New Roman" w:hAnsi="Times New Roman"/>
                <w:color w:val="000000" w:themeColor="text1"/>
                <w:lang w:eastAsia="fr-FR"/>
              </w:rPr>
              <w:t xml:space="preserve">. </w:t>
            </w:r>
            <w:r w:rsidRPr="00260790">
              <w:rPr>
                <w:rFonts w:ascii="Times New Roman" w:eastAsia="Times New Roman" w:hAnsi="Times New Roman"/>
                <w:color w:val="000000" w:themeColor="text1"/>
                <w:lang w:eastAsia="fr-FR"/>
              </w:rPr>
              <w:t>pour 25</w:t>
            </w:r>
            <w:r w:rsidR="00BF2E4C">
              <w:rPr>
                <w:rFonts w:ascii="Times New Roman" w:eastAsia="Times New Roman" w:hAnsi="Times New Roman"/>
                <w:color w:val="000000" w:themeColor="text1"/>
                <w:lang w:eastAsia="fr-FR"/>
              </w:rPr>
              <w:t xml:space="preserve"> </w:t>
            </w:r>
            <w:r w:rsidRPr="00260790">
              <w:rPr>
                <w:rFonts w:ascii="Times New Roman" w:eastAsia="Times New Roman" w:hAnsi="Times New Roman"/>
                <w:color w:val="000000" w:themeColor="text1"/>
                <w:lang w:eastAsia="fr-FR"/>
              </w:rPr>
              <w:t xml:space="preserve">hommes et 02 </w:t>
            </w:r>
            <w:r w:rsidR="00BF2E4C">
              <w:rPr>
                <w:rFonts w:ascii="Times New Roman" w:eastAsia="Times New Roman" w:hAnsi="Times New Roman"/>
                <w:color w:val="000000" w:themeColor="text1"/>
                <w:lang w:eastAsia="fr-FR"/>
              </w:rPr>
              <w:t>W.C</w:t>
            </w:r>
            <w:r w:rsidR="00E953A4" w:rsidRPr="00260790">
              <w:rPr>
                <w:rFonts w:ascii="Times New Roman" w:eastAsia="Times New Roman" w:hAnsi="Times New Roman"/>
                <w:color w:val="000000" w:themeColor="text1"/>
                <w:lang w:eastAsia="fr-FR"/>
              </w:rPr>
              <w:t xml:space="preserve">. </w:t>
            </w:r>
            <w:r w:rsidRPr="00260790">
              <w:rPr>
                <w:rFonts w:ascii="Times New Roman" w:eastAsia="Times New Roman" w:hAnsi="Times New Roman"/>
                <w:color w:val="000000" w:themeColor="text1"/>
                <w:lang w:eastAsia="fr-FR"/>
              </w:rPr>
              <w:t>pour 20 femmes, 01 douche pour 10 personnes</w:t>
            </w:r>
          </w:p>
          <w:p w14:paraId="61EDE955"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Prévoir et disposer des toilettes mobiles en stock (pour des travailleurs isolés). Son nombre sera fonction de l'ampleur, la répartition spatiale des travaux</w:t>
            </w:r>
          </w:p>
          <w:p w14:paraId="7F1D3DAA"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Mettre en place des toilettes mobiles pour les travailleurs isolés.</w:t>
            </w:r>
          </w:p>
        </w:tc>
      </w:tr>
      <w:tr w:rsidR="00BD1A2F" w:rsidRPr="00260790" w14:paraId="670A7702" w14:textId="77777777" w:rsidTr="00B3729F">
        <w:trPr>
          <w:trHeight w:val="1124"/>
        </w:trPr>
        <w:tc>
          <w:tcPr>
            <w:tcW w:w="788" w:type="pct"/>
            <w:tcBorders>
              <w:top w:val="single" w:sz="4" w:space="0" w:color="auto"/>
              <w:left w:val="single" w:sz="4" w:space="0" w:color="auto"/>
              <w:bottom w:val="single" w:sz="4" w:space="0" w:color="auto"/>
              <w:right w:val="single" w:sz="4" w:space="0" w:color="auto"/>
            </w:tcBorders>
            <w:vAlign w:val="center"/>
            <w:hideMark/>
          </w:tcPr>
          <w:p w14:paraId="124E0981" w14:textId="77777777" w:rsidR="008F35C9" w:rsidRPr="00260790" w:rsidRDefault="008F35C9" w:rsidP="00E20250">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Groupe électrogène de secours (GES)</w:t>
            </w:r>
          </w:p>
        </w:tc>
        <w:tc>
          <w:tcPr>
            <w:tcW w:w="1904" w:type="pct"/>
            <w:tcBorders>
              <w:top w:val="single" w:sz="4" w:space="0" w:color="auto"/>
              <w:left w:val="single" w:sz="4" w:space="0" w:color="auto"/>
              <w:bottom w:val="single" w:sz="4" w:space="0" w:color="auto"/>
              <w:right w:val="single" w:sz="4" w:space="0" w:color="auto"/>
            </w:tcBorders>
            <w:vAlign w:val="center"/>
            <w:hideMark/>
          </w:tcPr>
          <w:p w14:paraId="56CF4B77"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règles d'implantation et distances de servitude</w:t>
            </w:r>
          </w:p>
          <w:p w14:paraId="698EF782" w14:textId="42BD34FC"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Préférer des groupes électrogènes capotés insonorisés avec 80 DBA à 7m dans un local dédié ou des groupes non capotés non insonorisés installés suffisamment éloigner afin de respecter l'ambiance sonore dans les postes de travail et bureaux qui ne doit excéder 85dbA (</w:t>
            </w:r>
            <w:r w:rsidR="00E212B1" w:rsidRPr="00260790">
              <w:rPr>
                <w:rFonts w:ascii="Times New Roman" w:eastAsia="Times New Roman" w:hAnsi="Times New Roman"/>
                <w:color w:val="000000" w:themeColor="text1"/>
                <w:lang w:eastAsia="fr-FR"/>
              </w:rPr>
              <w:t>c</w:t>
            </w:r>
            <w:r w:rsidRPr="00260790">
              <w:rPr>
                <w:rFonts w:ascii="Times New Roman" w:eastAsia="Times New Roman" w:hAnsi="Times New Roman"/>
                <w:color w:val="000000" w:themeColor="text1"/>
                <w:lang w:eastAsia="fr-FR"/>
              </w:rPr>
              <w:t>ette limite de 85 d</w:t>
            </w:r>
            <w:r w:rsidR="008D5B4F" w:rsidRPr="00260790">
              <w:rPr>
                <w:rFonts w:ascii="Times New Roman" w:eastAsia="Times New Roman" w:hAnsi="Times New Roman"/>
                <w:color w:val="000000" w:themeColor="text1"/>
                <w:lang w:eastAsia="fr-FR"/>
              </w:rPr>
              <w:t>B</w:t>
            </w:r>
            <w:r w:rsidRPr="00260790">
              <w:rPr>
                <w:rFonts w:ascii="Times New Roman" w:eastAsia="Times New Roman" w:hAnsi="Times New Roman"/>
                <w:color w:val="000000" w:themeColor="text1"/>
                <w:lang w:eastAsia="fr-FR"/>
              </w:rPr>
              <w:t xml:space="preserve"> (A), requise pour l'utilisation d'équipements de protection individuelle, peut être abaissée en fonction de la nature des travaux, intellectuels ou autres, exigeant de la concentration)</w:t>
            </w:r>
          </w:p>
          <w:p w14:paraId="2CBA29EB"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local GES sera implanté à une distance de 15 m de toutes installations, locaux et stockages</w:t>
            </w:r>
          </w:p>
        </w:tc>
        <w:tc>
          <w:tcPr>
            <w:tcW w:w="2309" w:type="pct"/>
            <w:tcBorders>
              <w:top w:val="single" w:sz="4" w:space="0" w:color="auto"/>
              <w:left w:val="single" w:sz="4" w:space="0" w:color="auto"/>
              <w:bottom w:val="single" w:sz="4" w:space="0" w:color="auto"/>
              <w:right w:val="single" w:sz="4" w:space="0" w:color="auto"/>
            </w:tcBorders>
            <w:vAlign w:val="center"/>
          </w:tcPr>
          <w:p w14:paraId="7CE6E13A"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La dalle du local du GES sera étanche </w:t>
            </w:r>
          </w:p>
          <w:p w14:paraId="405B6B80"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Raccorder une cheminée à l’échappement du GES de hauteur minimale 10 m et/ou supérieure au toit du local groupe</w:t>
            </w:r>
          </w:p>
          <w:p w14:paraId="0E37EA0A"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Prévoir 02 extincteurs ABC de 9kg à l'entrée du local GES et 01 extincteur CO2 de 6kg pour le coffret. Au cas où il existe une cuve ou des fûts gasoil pour l'alimentation du GES, il faudra renforcer les moyens de lutte contre l'incendie avec un bac à sable de 100 litres muni de pelle</w:t>
            </w:r>
          </w:p>
          <w:p w14:paraId="121A41A0"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Mettre les affiches, consignes et panneaux/pictogrammes de sécurité, d'interdiction, d'hygiène à respecter en ces lieux</w:t>
            </w:r>
          </w:p>
          <w:p w14:paraId="14544F40"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Tout stockage dans le local du GES est interdit.</w:t>
            </w:r>
          </w:p>
          <w:p w14:paraId="0170FF9A"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p>
        </w:tc>
      </w:tr>
      <w:tr w:rsidR="00BD1A2F" w:rsidRPr="00260790" w14:paraId="254C7804" w14:textId="77777777" w:rsidTr="00B3729F">
        <w:trPr>
          <w:trHeight w:val="2285"/>
        </w:trPr>
        <w:tc>
          <w:tcPr>
            <w:tcW w:w="788" w:type="pct"/>
            <w:tcBorders>
              <w:top w:val="single" w:sz="4" w:space="0" w:color="auto"/>
              <w:left w:val="single" w:sz="4" w:space="0" w:color="auto"/>
              <w:bottom w:val="single" w:sz="4" w:space="0" w:color="auto"/>
              <w:right w:val="single" w:sz="4" w:space="0" w:color="auto"/>
            </w:tcBorders>
            <w:vAlign w:val="center"/>
            <w:hideMark/>
          </w:tcPr>
          <w:p w14:paraId="17846D2F" w14:textId="77777777" w:rsidR="008F35C9" w:rsidRPr="00260790" w:rsidRDefault="008F35C9" w:rsidP="00E20250">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Stockage de matériaux</w:t>
            </w:r>
          </w:p>
        </w:tc>
        <w:tc>
          <w:tcPr>
            <w:tcW w:w="1904" w:type="pct"/>
            <w:tcBorders>
              <w:top w:val="single" w:sz="4" w:space="0" w:color="auto"/>
              <w:left w:val="single" w:sz="4" w:space="0" w:color="auto"/>
              <w:bottom w:val="single" w:sz="4" w:space="0" w:color="auto"/>
              <w:right w:val="single" w:sz="4" w:space="0" w:color="auto"/>
            </w:tcBorders>
            <w:vAlign w:val="center"/>
            <w:hideMark/>
          </w:tcPr>
          <w:p w14:paraId="4E5D60C4"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règles d'implantation et distances de servitude</w:t>
            </w:r>
          </w:p>
          <w:p w14:paraId="6F561DFC"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zone de stockage sera choisie en fonction de la rose des vents, de la nature du terrain (zones inondables)</w:t>
            </w:r>
          </w:p>
          <w:p w14:paraId="55C94422"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 zone de stockage sera aménagée, nivelée avec un apport de tout-venant et compactée afin d'assurer la stabilité et la propreté de l’espace.</w:t>
            </w:r>
          </w:p>
        </w:tc>
        <w:tc>
          <w:tcPr>
            <w:tcW w:w="2309" w:type="pct"/>
            <w:tcBorders>
              <w:top w:val="single" w:sz="4" w:space="0" w:color="auto"/>
              <w:left w:val="single" w:sz="4" w:space="0" w:color="auto"/>
              <w:bottom w:val="single" w:sz="4" w:space="0" w:color="auto"/>
              <w:right w:val="single" w:sz="4" w:space="0" w:color="auto"/>
            </w:tcBorders>
            <w:vAlign w:val="center"/>
          </w:tcPr>
          <w:p w14:paraId="2547A24C"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agrégats et/ou matériaux doivent être emmurés et/ou bâchés afin d'éviter les envolements</w:t>
            </w:r>
          </w:p>
          <w:p w14:paraId="4829FE33"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Prévoir l'arrosage des pistes de l'aire de stockage des matériaux</w:t>
            </w:r>
          </w:p>
          <w:p w14:paraId="0E09B409"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p>
        </w:tc>
      </w:tr>
      <w:tr w:rsidR="00BD1A2F" w:rsidRPr="00260790" w14:paraId="3B4B7FBA" w14:textId="77777777" w:rsidTr="00B3729F">
        <w:tc>
          <w:tcPr>
            <w:tcW w:w="788" w:type="pct"/>
            <w:tcBorders>
              <w:top w:val="single" w:sz="4" w:space="0" w:color="auto"/>
              <w:left w:val="single" w:sz="4" w:space="0" w:color="auto"/>
              <w:bottom w:val="single" w:sz="4" w:space="0" w:color="auto"/>
              <w:right w:val="single" w:sz="4" w:space="0" w:color="auto"/>
            </w:tcBorders>
            <w:vAlign w:val="center"/>
            <w:hideMark/>
          </w:tcPr>
          <w:p w14:paraId="01A4F485"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Atelier de maintenance</w:t>
            </w:r>
          </w:p>
        </w:tc>
        <w:tc>
          <w:tcPr>
            <w:tcW w:w="1904" w:type="pct"/>
            <w:tcBorders>
              <w:top w:val="single" w:sz="4" w:space="0" w:color="auto"/>
              <w:left w:val="single" w:sz="4" w:space="0" w:color="auto"/>
              <w:bottom w:val="single" w:sz="4" w:space="0" w:color="auto"/>
              <w:right w:val="single" w:sz="4" w:space="0" w:color="auto"/>
            </w:tcBorders>
            <w:vAlign w:val="center"/>
          </w:tcPr>
          <w:p w14:paraId="3045353C"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règles d'implantation et distances de servitude</w:t>
            </w:r>
          </w:p>
          <w:p w14:paraId="6A180AFF"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Aménager une aire de stockage des fûts d’huile neuve, dotée </w:t>
            </w:r>
            <w:r w:rsidRPr="00260790">
              <w:rPr>
                <w:rFonts w:ascii="Times New Roman" w:eastAsia="Times New Roman" w:hAnsi="Times New Roman"/>
                <w:color w:val="000000" w:themeColor="text1"/>
                <w:lang w:eastAsia="fr-FR"/>
              </w:rPr>
              <w:lastRenderedPageBreak/>
              <w:t>d’une plateforme avec rétention étanche ;</w:t>
            </w:r>
          </w:p>
          <w:p w14:paraId="376AD9ED"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Aménager une zone de stockage des bouteilles sous pression (acétylène, oxygène, etc.) en dehors des chemins d'accès, des passages et respecter une distance de 15 m de toute source d'ignition ou de stockage de comburant</w:t>
            </w:r>
          </w:p>
          <w:p w14:paraId="19372FDE"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L'atelier de soudure sera implanté à 15 m de tout stockage de produits (huiles, matériaux, magasins, etc.)</w:t>
            </w:r>
          </w:p>
          <w:p w14:paraId="75341829"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p>
        </w:tc>
        <w:tc>
          <w:tcPr>
            <w:tcW w:w="2309" w:type="pct"/>
            <w:tcBorders>
              <w:top w:val="single" w:sz="4" w:space="0" w:color="auto"/>
              <w:left w:val="single" w:sz="4" w:space="0" w:color="auto"/>
              <w:bottom w:val="single" w:sz="4" w:space="0" w:color="auto"/>
              <w:right w:val="single" w:sz="4" w:space="0" w:color="auto"/>
            </w:tcBorders>
            <w:vAlign w:val="center"/>
            <w:hideMark/>
          </w:tcPr>
          <w:p w14:paraId="6A8FC5CB"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lastRenderedPageBreak/>
              <w:t>Installer des bacs à ordures au niveau de l’atelier avec séparation des déchets banals de ceux dangereux</w:t>
            </w:r>
          </w:p>
          <w:p w14:paraId="28A3E1FA"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lastRenderedPageBreak/>
              <w:t>Prévoir la zone de récupération des huiles usagées avec une cuve de récupération une dalle étanche et une rétention</w:t>
            </w:r>
          </w:p>
          <w:p w14:paraId="3220F682"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produits polluants, comme les carburants, lubrifiants, huiles de décoffrage, solvants, adjuvants spéciaux, sont stockés sur bacs de rétention</w:t>
            </w:r>
          </w:p>
          <w:p w14:paraId="359DA607"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Ranger les bouteilles de gaz comprimés dans des locaux à l'abri des intempéries, debout, les arrimer au moyen d'une chaîne isolée ou d'une sangle non conductrice d'électricité. Prévoir au besoin une distance de séparation de 6 m ou un mur coupe-feu résistant plus d’une heure au feu si le rangement se fait dans un même local</w:t>
            </w:r>
          </w:p>
          <w:p w14:paraId="7BF73B59"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Prévoir un tableau d'affichage des consignes, panneaux/pictogrammes de sécurité, d'interdiction, d'hygiène en ces lieux.</w:t>
            </w:r>
          </w:p>
          <w:p w14:paraId="56ACB93F" w14:textId="77777777" w:rsidR="008F35C9" w:rsidRPr="00260790" w:rsidRDefault="008F35C9" w:rsidP="001748C6">
            <w:pPr>
              <w:numPr>
                <w:ilvl w:val="0"/>
                <w:numId w:val="33"/>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Les bouteilles de gaz vides seront rangées séparément des bouteilles pleines.</w:t>
            </w:r>
          </w:p>
        </w:tc>
      </w:tr>
    </w:tbl>
    <w:p w14:paraId="0F2E27EB" w14:textId="77777777" w:rsidR="008F35C9" w:rsidRPr="00260790" w:rsidRDefault="008F35C9" w:rsidP="00B3729F">
      <w:pPr>
        <w:pStyle w:val="CHAPITRE1"/>
        <w:spacing w:before="240"/>
        <w:rPr>
          <w:rFonts w:cs="Times New Roman"/>
        </w:rPr>
      </w:pPr>
      <w:bookmarkStart w:id="2473" w:name="_Toc212725183"/>
      <w:r w:rsidRPr="00260790">
        <w:rPr>
          <w:rFonts w:cs="Times New Roman"/>
        </w:rPr>
        <w:t>Plan Hygiène santé et sécurité</w:t>
      </w:r>
      <w:bookmarkEnd w:id="2473"/>
    </w:p>
    <w:p w14:paraId="78BE0A3B" w14:textId="40D51C01" w:rsidR="008F35C9" w:rsidRPr="00260790" w:rsidRDefault="009000F3"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Les aspects</w:t>
      </w:r>
      <w:r w:rsidR="008F35C9" w:rsidRPr="00260790">
        <w:rPr>
          <w:rFonts w:ascii="Times New Roman" w:hAnsi="Times New Roman"/>
          <w:color w:val="000000" w:themeColor="text1"/>
        </w:rPr>
        <w:t xml:space="preserve"> Hygiène Santé </w:t>
      </w:r>
      <w:r w:rsidR="008149B2">
        <w:rPr>
          <w:rFonts w:ascii="Times New Roman" w:hAnsi="Times New Roman"/>
          <w:color w:val="000000" w:themeColor="text1"/>
        </w:rPr>
        <w:t xml:space="preserve">et </w:t>
      </w:r>
      <w:r w:rsidR="008F35C9" w:rsidRPr="00260790">
        <w:rPr>
          <w:rFonts w:ascii="Times New Roman" w:hAnsi="Times New Roman"/>
          <w:color w:val="000000" w:themeColor="text1"/>
        </w:rPr>
        <w:t>Sécurité (HSS) ser</w:t>
      </w:r>
      <w:r w:rsidRPr="00260790">
        <w:rPr>
          <w:rFonts w:ascii="Times New Roman" w:hAnsi="Times New Roman"/>
          <w:color w:val="000000" w:themeColor="text1"/>
        </w:rPr>
        <w:t>ont</w:t>
      </w:r>
      <w:r w:rsidR="008F35C9" w:rsidRPr="00260790">
        <w:rPr>
          <w:rFonts w:ascii="Times New Roman" w:hAnsi="Times New Roman"/>
          <w:color w:val="000000" w:themeColor="text1"/>
        </w:rPr>
        <w:t xml:space="preserve"> </w:t>
      </w:r>
      <w:r w:rsidRPr="00260790">
        <w:rPr>
          <w:rFonts w:ascii="Times New Roman" w:hAnsi="Times New Roman"/>
          <w:color w:val="000000" w:themeColor="text1"/>
        </w:rPr>
        <w:t>inclus dans le PGES-E</w:t>
      </w:r>
      <w:r w:rsidR="008F35C9" w:rsidRPr="00260790">
        <w:rPr>
          <w:rFonts w:ascii="Times New Roman" w:hAnsi="Times New Roman"/>
          <w:color w:val="000000" w:themeColor="text1"/>
        </w:rPr>
        <w:t xml:space="preserve"> et mis en œuvre par l’Entreprise de construction pour la protection des milieux naturels contre les sources de pollution issues des activités de chantiers, pour assurer des conditions de travail sûres et saines aux</w:t>
      </w:r>
      <w:r w:rsidR="008F35C9" w:rsidRPr="00260790">
        <w:rPr>
          <w:rFonts w:ascii="Times New Roman" w:hAnsi="Times New Roman"/>
          <w:b/>
          <w:color w:val="000000" w:themeColor="text1"/>
        </w:rPr>
        <w:t xml:space="preserve"> </w:t>
      </w:r>
      <w:r w:rsidR="008F35C9" w:rsidRPr="00260790">
        <w:rPr>
          <w:rFonts w:ascii="Times New Roman" w:hAnsi="Times New Roman"/>
          <w:color w:val="000000" w:themeColor="text1"/>
        </w:rPr>
        <w:t xml:space="preserve">travailleurs, et prévenir, éviter ou réduire les risques et les impacts sur la santé et la sécurité des riverains. </w:t>
      </w:r>
    </w:p>
    <w:p w14:paraId="2D9B6B8D" w14:textId="77777777" w:rsidR="008F35C9" w:rsidRPr="00260790" w:rsidRDefault="008F35C9"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plan HSSE est un document produit par l’Entreprise avant le début du chantier, soumis à l'approbation du BC du Maître d’ouvrage, et qui décrit l'ensemble des mesures qui seront appliquées par l’Entreprise (et ses sous-traitants) pour assurer la bonne gestion des questions d’hygiène, de sécurité et d’environnement. </w:t>
      </w:r>
    </w:p>
    <w:p w14:paraId="3E79CC46" w14:textId="724C36FC" w:rsidR="008F35C9" w:rsidRPr="00260790" w:rsidRDefault="008F35C9" w:rsidP="00E20250">
      <w:pPr>
        <w:spacing w:line="240" w:lineRule="auto"/>
        <w:jc w:val="both"/>
        <w:rPr>
          <w:rFonts w:ascii="Times New Roman" w:hAnsi="Times New Roman"/>
          <w:b/>
          <w:color w:val="000000" w:themeColor="text1"/>
        </w:rPr>
      </w:pPr>
      <w:r w:rsidRPr="00260790">
        <w:rPr>
          <w:rFonts w:ascii="Times New Roman" w:hAnsi="Times New Roman"/>
          <w:color w:val="000000" w:themeColor="text1"/>
        </w:rPr>
        <w:t>Dans le cadre des travaux le</w:t>
      </w:r>
      <w:r w:rsidR="009000F3" w:rsidRPr="00260790">
        <w:rPr>
          <w:rFonts w:ascii="Times New Roman" w:hAnsi="Times New Roman"/>
          <w:color w:val="000000" w:themeColor="text1"/>
        </w:rPr>
        <w:t xml:space="preserve">s aspects </w:t>
      </w:r>
      <w:r w:rsidRPr="00260790">
        <w:rPr>
          <w:rFonts w:ascii="Times New Roman" w:hAnsi="Times New Roman"/>
          <w:color w:val="000000" w:themeColor="text1"/>
        </w:rPr>
        <w:t>HSS inclu</w:t>
      </w:r>
      <w:r w:rsidR="009000F3" w:rsidRPr="00260790">
        <w:rPr>
          <w:rFonts w:ascii="Times New Roman" w:hAnsi="Times New Roman"/>
          <w:color w:val="000000" w:themeColor="text1"/>
        </w:rPr>
        <w:t>s dans le PGES-E présenteront</w:t>
      </w:r>
      <w:r w:rsidRPr="00260790">
        <w:rPr>
          <w:rFonts w:ascii="Times New Roman" w:hAnsi="Times New Roman"/>
          <w:color w:val="000000" w:themeColor="text1"/>
        </w:rPr>
        <w:t xml:space="preserve"> :</w:t>
      </w:r>
    </w:p>
    <w:p w14:paraId="619E8147" w14:textId="4AA0375E" w:rsidR="008F35C9" w:rsidRPr="00260790" w:rsidRDefault="008F35C9" w:rsidP="001748C6">
      <w:pPr>
        <w:pStyle w:val="Paragraphedeliste"/>
        <w:numPr>
          <w:ilvl w:val="0"/>
          <w:numId w:val="1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une</w:t>
      </w:r>
      <w:proofErr w:type="gramEnd"/>
      <w:r w:rsidRPr="00260790">
        <w:rPr>
          <w:rFonts w:ascii="Times New Roman" w:hAnsi="Times New Roman"/>
          <w:color w:val="000000" w:themeColor="text1"/>
        </w:rPr>
        <w:t xml:space="preserve"> description des moyens humains et matériels de l'Entreprise pour la protection environnementale et sociale, conformément au PGES, ainsi que la liste des règles HSSappliquées au personnel et aux sous-traitants ; </w:t>
      </w:r>
    </w:p>
    <w:p w14:paraId="18D2778F" w14:textId="5C014769" w:rsidR="008F35C9" w:rsidRPr="00260790" w:rsidRDefault="008F35C9" w:rsidP="001748C6">
      <w:pPr>
        <w:pStyle w:val="Paragraphedeliste"/>
        <w:numPr>
          <w:ilvl w:val="0"/>
          <w:numId w:val="1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un</w:t>
      </w:r>
      <w:proofErr w:type="gramEnd"/>
      <w:r w:rsidRPr="00260790">
        <w:rPr>
          <w:rFonts w:ascii="Times New Roman" w:hAnsi="Times New Roman"/>
          <w:color w:val="000000" w:themeColor="text1"/>
        </w:rPr>
        <w:t xml:space="preserve"> plan de formation et de sensibilisation du personnel aux obligations HSS du chantier, incluant en particulier, un programme de formation à tous les employés et aux sous-traitants concernant les règles HSS ; </w:t>
      </w:r>
    </w:p>
    <w:p w14:paraId="5D41589A" w14:textId="77777777" w:rsidR="008F35C9" w:rsidRPr="00260790" w:rsidRDefault="008F35C9" w:rsidP="001748C6">
      <w:pPr>
        <w:pStyle w:val="Paragraphedeliste"/>
        <w:numPr>
          <w:ilvl w:val="0"/>
          <w:numId w:val="1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la</w:t>
      </w:r>
      <w:proofErr w:type="gramEnd"/>
      <w:r w:rsidRPr="00260790">
        <w:rPr>
          <w:rFonts w:ascii="Times New Roman" w:hAnsi="Times New Roman"/>
          <w:color w:val="000000" w:themeColor="text1"/>
        </w:rPr>
        <w:t xml:space="preserve"> description de la prise en charge de la problématique santé liée au chantier. Les moyens mis en œuvre par l’Entreprise dans le domaine de la santé devront couvrir ses propres besoins, mais également les besoins de ses sous-traitants. L’Entreprise devra prendre en charge les tierces personnes victimes d’accidents et les conséquences au chantier. La gestion de la santé inclut notamment :</w:t>
      </w:r>
    </w:p>
    <w:p w14:paraId="2EF0F9DE" w14:textId="77777777" w:rsidR="008F35C9" w:rsidRPr="00260790" w:rsidRDefault="008F35C9" w:rsidP="001748C6">
      <w:pPr>
        <w:pStyle w:val="Paragraphedeliste"/>
        <w:numPr>
          <w:ilvl w:val="1"/>
          <w:numId w:val="1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des</w:t>
      </w:r>
      <w:proofErr w:type="gramEnd"/>
      <w:r w:rsidRPr="00260790">
        <w:rPr>
          <w:rFonts w:ascii="Times New Roman" w:hAnsi="Times New Roman"/>
          <w:color w:val="000000" w:themeColor="text1"/>
        </w:rPr>
        <w:t xml:space="preserve"> sessions de formation pour les employés sur les problématiques sanitaires locales éventuelles ; - le suivi préventif des travailleurs (visites médicales) ; </w:t>
      </w:r>
    </w:p>
    <w:p w14:paraId="6DAE7F08" w14:textId="77777777" w:rsidR="008F35C9" w:rsidRPr="00260790" w:rsidRDefault="008F35C9" w:rsidP="001748C6">
      <w:pPr>
        <w:pStyle w:val="Paragraphedeliste"/>
        <w:numPr>
          <w:ilvl w:val="1"/>
          <w:numId w:val="1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la</w:t>
      </w:r>
      <w:proofErr w:type="gramEnd"/>
      <w:r w:rsidRPr="00260790">
        <w:rPr>
          <w:rFonts w:ascii="Times New Roman" w:hAnsi="Times New Roman"/>
          <w:color w:val="000000" w:themeColor="text1"/>
        </w:rPr>
        <w:t xml:space="preserve"> mise à disposition des services de santé et de première urgence ; </w:t>
      </w:r>
    </w:p>
    <w:p w14:paraId="5A4C3763" w14:textId="77777777" w:rsidR="008F35C9" w:rsidRPr="00260790" w:rsidRDefault="008F35C9" w:rsidP="001748C6">
      <w:pPr>
        <w:pStyle w:val="Paragraphedeliste"/>
        <w:numPr>
          <w:ilvl w:val="1"/>
          <w:numId w:val="1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des</w:t>
      </w:r>
      <w:proofErr w:type="gramEnd"/>
      <w:r w:rsidRPr="00260790">
        <w:rPr>
          <w:rFonts w:ascii="Times New Roman" w:hAnsi="Times New Roman"/>
          <w:color w:val="000000" w:themeColor="text1"/>
        </w:rPr>
        <w:t xml:space="preserve"> assurances et la disponibilité de moyens de transport médicalisés d’urgence pour les accidents graves ; </w:t>
      </w:r>
    </w:p>
    <w:p w14:paraId="38F5B6F1" w14:textId="25946BDD" w:rsidR="008F35C9" w:rsidRPr="00260790" w:rsidRDefault="008F35C9" w:rsidP="001748C6">
      <w:pPr>
        <w:pStyle w:val="Paragraphedeliste"/>
        <w:numPr>
          <w:ilvl w:val="1"/>
          <w:numId w:val="115"/>
        </w:numPr>
        <w:spacing w:line="240" w:lineRule="auto"/>
        <w:jc w:val="both"/>
        <w:rPr>
          <w:rFonts w:ascii="Times New Roman" w:hAnsi="Times New Roman"/>
          <w:b/>
          <w:color w:val="000000" w:themeColor="text1"/>
        </w:rPr>
      </w:pPr>
      <w:proofErr w:type="gramStart"/>
      <w:r w:rsidRPr="00260790">
        <w:rPr>
          <w:rFonts w:ascii="Times New Roman" w:hAnsi="Times New Roman"/>
          <w:color w:val="000000" w:themeColor="text1"/>
        </w:rPr>
        <w:lastRenderedPageBreak/>
        <w:t>un</w:t>
      </w:r>
      <w:proofErr w:type="gramEnd"/>
      <w:r w:rsidRPr="00260790">
        <w:rPr>
          <w:rFonts w:ascii="Times New Roman" w:hAnsi="Times New Roman"/>
          <w:color w:val="000000" w:themeColor="text1"/>
        </w:rPr>
        <w:t xml:space="preserve"> programme de sensibilisation et de dépistage précoce du personnel pour les maladies suivantes : VIH, MST, paludisme ;</w:t>
      </w:r>
    </w:p>
    <w:p w14:paraId="45781D8F" w14:textId="77777777" w:rsidR="008F35C9" w:rsidRPr="00260790" w:rsidRDefault="008F35C9" w:rsidP="001748C6">
      <w:pPr>
        <w:pStyle w:val="Paragraphedeliste"/>
        <w:numPr>
          <w:ilvl w:val="0"/>
          <w:numId w:val="115"/>
        </w:numPr>
        <w:spacing w:line="240" w:lineRule="auto"/>
        <w:jc w:val="both"/>
        <w:rPr>
          <w:rFonts w:ascii="Times New Roman" w:hAnsi="Times New Roman"/>
          <w:b/>
          <w:color w:val="000000" w:themeColor="text1"/>
        </w:rPr>
      </w:pPr>
      <w:proofErr w:type="gramStart"/>
      <w:r w:rsidRPr="00260790">
        <w:rPr>
          <w:rFonts w:ascii="Times New Roman" w:hAnsi="Times New Roman"/>
          <w:color w:val="000000" w:themeColor="text1"/>
        </w:rPr>
        <w:t>la</w:t>
      </w:r>
      <w:proofErr w:type="gramEnd"/>
      <w:r w:rsidRPr="00260790">
        <w:rPr>
          <w:rFonts w:ascii="Times New Roman" w:hAnsi="Times New Roman"/>
          <w:color w:val="000000" w:themeColor="text1"/>
        </w:rPr>
        <w:t xml:space="preserve"> description des points suivants : </w:t>
      </w:r>
    </w:p>
    <w:p w14:paraId="2C12C0E8" w14:textId="77777777" w:rsidR="008F35C9" w:rsidRPr="00260790" w:rsidRDefault="008F35C9" w:rsidP="001748C6">
      <w:pPr>
        <w:pStyle w:val="Paragraphedeliste"/>
        <w:numPr>
          <w:ilvl w:val="1"/>
          <w:numId w:val="1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l’installation</w:t>
      </w:r>
      <w:proofErr w:type="gramEnd"/>
      <w:r w:rsidRPr="00260790">
        <w:rPr>
          <w:rFonts w:ascii="Times New Roman" w:hAnsi="Times New Roman"/>
          <w:color w:val="000000" w:themeColor="text1"/>
        </w:rPr>
        <w:t xml:space="preserve"> de chantier ; </w:t>
      </w:r>
    </w:p>
    <w:p w14:paraId="667F4278" w14:textId="77777777" w:rsidR="008F35C9" w:rsidRPr="00260790" w:rsidRDefault="008F35C9" w:rsidP="001748C6">
      <w:pPr>
        <w:pStyle w:val="Paragraphedeliste"/>
        <w:numPr>
          <w:ilvl w:val="1"/>
          <w:numId w:val="1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les</w:t>
      </w:r>
      <w:proofErr w:type="gramEnd"/>
      <w:r w:rsidRPr="00260790">
        <w:rPr>
          <w:rFonts w:ascii="Times New Roman" w:hAnsi="Times New Roman"/>
          <w:color w:val="000000" w:themeColor="text1"/>
        </w:rPr>
        <w:t xml:space="preserve"> voies de circulation propres au chantier (entre les lieux de construction, de stockage, de remblais et de déblais) qui doivent être organisées de façon à ne pas empiéter sur les voies de circulation publiques ; -</w:t>
      </w:r>
    </w:p>
    <w:p w14:paraId="3B25ECA8" w14:textId="77777777" w:rsidR="008F35C9" w:rsidRPr="00260790" w:rsidRDefault="008F35C9" w:rsidP="001748C6">
      <w:pPr>
        <w:pStyle w:val="Paragraphedeliste"/>
        <w:numPr>
          <w:ilvl w:val="1"/>
          <w:numId w:val="1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le</w:t>
      </w:r>
      <w:proofErr w:type="gramEnd"/>
      <w:r w:rsidRPr="00260790">
        <w:rPr>
          <w:rFonts w:ascii="Times New Roman" w:hAnsi="Times New Roman"/>
          <w:color w:val="000000" w:themeColor="text1"/>
        </w:rPr>
        <w:t xml:space="preserve"> planning des approvisionnements du chantier ; </w:t>
      </w:r>
    </w:p>
    <w:p w14:paraId="38F4B48F" w14:textId="77777777" w:rsidR="008F35C9" w:rsidRPr="00260790" w:rsidRDefault="008F35C9" w:rsidP="001748C6">
      <w:pPr>
        <w:pStyle w:val="Paragraphedeliste"/>
        <w:numPr>
          <w:ilvl w:val="1"/>
          <w:numId w:val="1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les</w:t>
      </w:r>
      <w:proofErr w:type="gramEnd"/>
      <w:r w:rsidRPr="00260790">
        <w:rPr>
          <w:rFonts w:ascii="Times New Roman" w:hAnsi="Times New Roman"/>
          <w:color w:val="000000" w:themeColor="text1"/>
        </w:rPr>
        <w:t xml:space="preserve"> lieux de stockage temporaire des matériaux et des matériels ; </w:t>
      </w:r>
    </w:p>
    <w:p w14:paraId="1EBFAF63" w14:textId="77777777" w:rsidR="008F35C9" w:rsidRPr="00260790" w:rsidRDefault="008F35C9" w:rsidP="001748C6">
      <w:pPr>
        <w:pStyle w:val="Paragraphedeliste"/>
        <w:numPr>
          <w:ilvl w:val="1"/>
          <w:numId w:val="1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les</w:t>
      </w:r>
      <w:proofErr w:type="gramEnd"/>
      <w:r w:rsidRPr="00260790">
        <w:rPr>
          <w:rFonts w:ascii="Times New Roman" w:hAnsi="Times New Roman"/>
          <w:color w:val="000000" w:themeColor="text1"/>
        </w:rPr>
        <w:t xml:space="preserve"> mesures de protection et de confinement mises en œuvre pour le stockage et la manipulation des produits chimiques et des liquides polluants ; </w:t>
      </w:r>
    </w:p>
    <w:p w14:paraId="3AB82FD9" w14:textId="77777777" w:rsidR="008F35C9" w:rsidRPr="00260790" w:rsidRDefault="008F35C9" w:rsidP="001748C6">
      <w:pPr>
        <w:pStyle w:val="Paragraphedeliste"/>
        <w:numPr>
          <w:ilvl w:val="1"/>
          <w:numId w:val="1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les</w:t>
      </w:r>
      <w:proofErr w:type="gramEnd"/>
      <w:r w:rsidRPr="00260790">
        <w:rPr>
          <w:rFonts w:ascii="Times New Roman" w:hAnsi="Times New Roman"/>
          <w:color w:val="000000" w:themeColor="text1"/>
        </w:rPr>
        <w:t xml:space="preserve"> zones de remblai et de déblais, et les mesures mises en œuvre pour limiter l'érosion pendant les travaux et végétaliser en fin de chantier ;</w:t>
      </w:r>
    </w:p>
    <w:p w14:paraId="47106B3A" w14:textId="77777777" w:rsidR="008F35C9" w:rsidRPr="00260790" w:rsidRDefault="008F35C9" w:rsidP="001748C6">
      <w:pPr>
        <w:pStyle w:val="Paragraphedeliste"/>
        <w:numPr>
          <w:ilvl w:val="0"/>
          <w:numId w:val="116"/>
        </w:numPr>
        <w:spacing w:line="240" w:lineRule="auto"/>
        <w:jc w:val="both"/>
        <w:rPr>
          <w:rFonts w:ascii="Times New Roman" w:hAnsi="Times New Roman"/>
          <w:b/>
          <w:color w:val="000000" w:themeColor="text1"/>
        </w:rPr>
      </w:pPr>
      <w:proofErr w:type="gramStart"/>
      <w:r w:rsidRPr="00260790">
        <w:rPr>
          <w:rFonts w:ascii="Times New Roman" w:hAnsi="Times New Roman"/>
          <w:color w:val="000000" w:themeColor="text1"/>
        </w:rPr>
        <w:t>une</w:t>
      </w:r>
      <w:proofErr w:type="gramEnd"/>
      <w:r w:rsidRPr="00260790">
        <w:rPr>
          <w:rFonts w:ascii="Times New Roman" w:hAnsi="Times New Roman"/>
          <w:color w:val="000000" w:themeColor="text1"/>
        </w:rPr>
        <w:t xml:space="preserve"> description des modes de collecte et de traitement des déchets liquides et solides du </w:t>
      </w:r>
      <w:proofErr w:type="gramStart"/>
      <w:r w:rsidRPr="00260790">
        <w:rPr>
          <w:rFonts w:ascii="Times New Roman" w:hAnsi="Times New Roman"/>
          <w:color w:val="000000" w:themeColor="text1"/>
        </w:rPr>
        <w:t>chantier;</w:t>
      </w:r>
      <w:proofErr w:type="gramEnd"/>
    </w:p>
    <w:p w14:paraId="5BEE7047" w14:textId="77777777" w:rsidR="008F35C9" w:rsidRPr="00260790" w:rsidRDefault="008F35C9" w:rsidP="001748C6">
      <w:pPr>
        <w:pStyle w:val="Paragraphedeliste"/>
        <w:numPr>
          <w:ilvl w:val="0"/>
          <w:numId w:val="116"/>
        </w:numPr>
        <w:spacing w:line="240" w:lineRule="auto"/>
        <w:jc w:val="both"/>
        <w:rPr>
          <w:rFonts w:ascii="Times New Roman" w:hAnsi="Times New Roman"/>
          <w:b/>
          <w:color w:val="000000" w:themeColor="text1"/>
        </w:rPr>
      </w:pPr>
      <w:proofErr w:type="gramStart"/>
      <w:r w:rsidRPr="00260790">
        <w:rPr>
          <w:rFonts w:ascii="Times New Roman" w:hAnsi="Times New Roman"/>
          <w:color w:val="000000" w:themeColor="text1"/>
        </w:rPr>
        <w:t>les</w:t>
      </w:r>
      <w:proofErr w:type="gramEnd"/>
      <w:r w:rsidRPr="00260790">
        <w:rPr>
          <w:rFonts w:ascii="Times New Roman" w:hAnsi="Times New Roman"/>
          <w:color w:val="000000" w:themeColor="text1"/>
        </w:rPr>
        <w:t xml:space="preserve"> règles de circulations et d’approvisionnement du chantier :</w:t>
      </w:r>
    </w:p>
    <w:p w14:paraId="65563652" w14:textId="77777777" w:rsidR="008F35C9" w:rsidRPr="00260790" w:rsidRDefault="008F35C9" w:rsidP="001748C6">
      <w:pPr>
        <w:pStyle w:val="Paragraphedeliste"/>
        <w:numPr>
          <w:ilvl w:val="1"/>
          <w:numId w:val="1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définition</w:t>
      </w:r>
      <w:proofErr w:type="gramEnd"/>
      <w:r w:rsidRPr="00260790">
        <w:rPr>
          <w:rFonts w:ascii="Times New Roman" w:hAnsi="Times New Roman"/>
          <w:color w:val="000000" w:themeColor="text1"/>
        </w:rPr>
        <w:t xml:space="preserve"> d’horaires d’approvisionnement (interdits avant 06 h et après 18 h, ainsi que les samedis et dimanches) ; </w:t>
      </w:r>
    </w:p>
    <w:p w14:paraId="376EE286" w14:textId="381D66D4" w:rsidR="008F35C9" w:rsidRPr="00260790" w:rsidRDefault="008F35C9" w:rsidP="001748C6">
      <w:pPr>
        <w:pStyle w:val="Paragraphedeliste"/>
        <w:numPr>
          <w:ilvl w:val="1"/>
          <w:numId w:val="1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limitation</w:t>
      </w:r>
      <w:proofErr w:type="gramEnd"/>
      <w:r w:rsidRPr="00260790">
        <w:rPr>
          <w:rFonts w:ascii="Times New Roman" w:hAnsi="Times New Roman"/>
          <w:color w:val="000000" w:themeColor="text1"/>
        </w:rPr>
        <w:t xml:space="preserve"> des vitesses à </w:t>
      </w:r>
      <w:r w:rsidR="00185FC5">
        <w:rPr>
          <w:rFonts w:ascii="Times New Roman" w:hAnsi="Times New Roman"/>
          <w:color w:val="000000" w:themeColor="text1"/>
        </w:rPr>
        <w:t>25</w:t>
      </w:r>
      <w:r w:rsidRPr="00260790">
        <w:rPr>
          <w:rFonts w:ascii="Times New Roman" w:hAnsi="Times New Roman"/>
          <w:color w:val="000000" w:themeColor="text1"/>
        </w:rPr>
        <w:t xml:space="preserve"> km/h et d'autres mesures seront mises en œuvre pour contrôler et limiter la vitesse des véhicules ;</w:t>
      </w:r>
    </w:p>
    <w:p w14:paraId="33F4F663" w14:textId="77777777" w:rsidR="008F35C9" w:rsidRPr="00260790" w:rsidRDefault="008F35C9" w:rsidP="001748C6">
      <w:pPr>
        <w:pStyle w:val="Paragraphedeliste"/>
        <w:numPr>
          <w:ilvl w:val="1"/>
          <w:numId w:val="1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entretien</w:t>
      </w:r>
      <w:proofErr w:type="gramEnd"/>
      <w:r w:rsidRPr="00260790">
        <w:rPr>
          <w:rFonts w:ascii="Times New Roman" w:hAnsi="Times New Roman"/>
          <w:color w:val="000000" w:themeColor="text1"/>
        </w:rPr>
        <w:t xml:space="preserve"> des véhicules et contrôle des émissions des bruits des véhicules (inférieur à 70 dB mesurés à 1 m de la source sonore) ; </w:t>
      </w:r>
    </w:p>
    <w:p w14:paraId="579D0749" w14:textId="77777777" w:rsidR="008F35C9" w:rsidRPr="00260790" w:rsidRDefault="008F35C9" w:rsidP="001748C6">
      <w:pPr>
        <w:pStyle w:val="Paragraphedeliste"/>
        <w:numPr>
          <w:ilvl w:val="1"/>
          <w:numId w:val="1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entretien</w:t>
      </w:r>
      <w:proofErr w:type="gramEnd"/>
      <w:r w:rsidRPr="00260790">
        <w:rPr>
          <w:rFonts w:ascii="Times New Roman" w:hAnsi="Times New Roman"/>
          <w:color w:val="000000" w:themeColor="text1"/>
        </w:rPr>
        <w:t xml:space="preserve"> des véhicules et contrôle des émissions de gaz d’échappement, par vérification de la conformité des moteurs et véhicules ; </w:t>
      </w:r>
    </w:p>
    <w:p w14:paraId="3E2D54C2" w14:textId="77777777" w:rsidR="008F35C9" w:rsidRPr="00260790" w:rsidRDefault="008F35C9" w:rsidP="001748C6">
      <w:pPr>
        <w:pStyle w:val="Paragraphedeliste"/>
        <w:numPr>
          <w:ilvl w:val="1"/>
          <w:numId w:val="1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aménagements</w:t>
      </w:r>
      <w:proofErr w:type="gramEnd"/>
      <w:r w:rsidRPr="00260790">
        <w:rPr>
          <w:rFonts w:ascii="Times New Roman" w:hAnsi="Times New Roman"/>
          <w:color w:val="000000" w:themeColor="text1"/>
        </w:rPr>
        <w:t xml:space="preserve"> de plateformes pour le nettoyage des véhicules.</w:t>
      </w:r>
    </w:p>
    <w:p w14:paraId="6C197D20" w14:textId="5AFEAB21" w:rsidR="008F35C9" w:rsidRPr="00260790" w:rsidRDefault="008F35C9"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Tous les éléments ci-dessus ne pouvant être déterminés en début de chantier, le plan HSS doit être considéré comme un document évolutif que l'Entreprise mettra à jour en fonction de l'avancée du chantier et du programme des travaux. Chaque mise à jour sera soumise à l'approbation du MDC.</w:t>
      </w:r>
    </w:p>
    <w:p w14:paraId="28E22EFC" w14:textId="77777777" w:rsidR="008F35C9" w:rsidRPr="00260790" w:rsidRDefault="008F35C9" w:rsidP="003B6588">
      <w:pPr>
        <w:pStyle w:val="CHAPITRE1"/>
        <w:rPr>
          <w:rFonts w:cs="Times New Roman"/>
        </w:rPr>
      </w:pPr>
      <w:bookmarkStart w:id="2474" w:name="_Toc212725184"/>
      <w:r w:rsidRPr="00260790">
        <w:rPr>
          <w:rFonts w:cs="Times New Roman"/>
        </w:rPr>
        <w:t>Programme de gestion des ouvrages d’assainissement</w:t>
      </w:r>
      <w:bookmarkEnd w:id="2474"/>
    </w:p>
    <w:p w14:paraId="083144DB" w14:textId="77777777" w:rsidR="008F35C9" w:rsidRPr="00260790" w:rsidRDefault="008F35C9" w:rsidP="00E20250">
      <w:pPr>
        <w:spacing w:after="0" w:line="240" w:lineRule="auto"/>
        <w:ind w:right="-1"/>
        <w:contextualSpacing/>
        <w:jc w:val="both"/>
        <w:rPr>
          <w:rFonts w:ascii="Times New Roman" w:eastAsia="Times New Roman" w:hAnsi="Times New Roman"/>
          <w:bCs/>
          <w:iCs/>
          <w:color w:val="000000" w:themeColor="text1"/>
          <w:lang w:eastAsia="fr-FR"/>
        </w:rPr>
      </w:pPr>
      <w:r w:rsidRPr="00260790">
        <w:rPr>
          <w:rFonts w:ascii="Times New Roman" w:eastAsia="Times New Roman" w:hAnsi="Times New Roman"/>
          <w:bCs/>
          <w:iCs/>
          <w:color w:val="000000" w:themeColor="text1"/>
          <w:lang w:eastAsia="fr-FR"/>
        </w:rPr>
        <w:t>Pour jouer pleinement leurs rôles, les infrastructures réalisées dans le cadre du projet doivent faire l’objet d’une attention particulière. Les principaux risques de dysfonctionnement des ouvrages sont en général liés, au manque d’entretien (principalement le curage avant hivernage) et leur mauvaise utilisation (branchement pirate, dépotoir d’ordures de toutes sortes).</w:t>
      </w:r>
    </w:p>
    <w:p w14:paraId="652B27B9" w14:textId="77777777" w:rsidR="008F35C9" w:rsidRPr="00260790" w:rsidRDefault="008F35C9" w:rsidP="00E20250">
      <w:pPr>
        <w:spacing w:after="0" w:line="240" w:lineRule="auto"/>
        <w:ind w:right="-1"/>
        <w:contextualSpacing/>
        <w:jc w:val="both"/>
        <w:rPr>
          <w:rFonts w:ascii="Times New Roman" w:eastAsia="Times New Roman" w:hAnsi="Times New Roman"/>
          <w:bCs/>
          <w:iCs/>
          <w:color w:val="000000" w:themeColor="text1"/>
          <w:lang w:eastAsia="fr-FR"/>
        </w:rPr>
      </w:pPr>
    </w:p>
    <w:p w14:paraId="439FDDD1" w14:textId="77777777" w:rsidR="008F35C9" w:rsidRPr="00260790" w:rsidRDefault="008F35C9" w:rsidP="00E20250">
      <w:pPr>
        <w:spacing w:after="0" w:line="240" w:lineRule="auto"/>
        <w:ind w:right="-1"/>
        <w:contextualSpacing/>
        <w:jc w:val="both"/>
        <w:rPr>
          <w:rFonts w:ascii="Times New Roman" w:eastAsia="Times New Roman" w:hAnsi="Times New Roman"/>
          <w:bCs/>
          <w:iCs/>
          <w:color w:val="000000" w:themeColor="text1"/>
          <w:lang w:eastAsia="fr-FR"/>
        </w:rPr>
      </w:pPr>
      <w:r w:rsidRPr="00260790">
        <w:rPr>
          <w:rFonts w:ascii="Times New Roman" w:eastAsia="Times New Roman" w:hAnsi="Times New Roman"/>
          <w:bCs/>
          <w:iCs/>
          <w:color w:val="000000" w:themeColor="text1"/>
          <w:lang w:eastAsia="fr-FR"/>
        </w:rPr>
        <w:t>En termes de mesures de gestion des ouvrages réalisés, le PGES recommande entre autres les mesures suivantes :</w:t>
      </w:r>
    </w:p>
    <w:p w14:paraId="670D6D32" w14:textId="77777777" w:rsidR="008F35C9" w:rsidRPr="00260790" w:rsidRDefault="008F35C9" w:rsidP="001748C6">
      <w:pPr>
        <w:numPr>
          <w:ilvl w:val="0"/>
          <w:numId w:val="38"/>
        </w:numPr>
        <w:spacing w:after="80" w:line="240" w:lineRule="auto"/>
        <w:ind w:right="-1"/>
        <w:jc w:val="both"/>
        <w:rPr>
          <w:rFonts w:ascii="Times New Roman" w:eastAsia="Times New Roman" w:hAnsi="Times New Roman"/>
          <w:bCs/>
          <w:iCs/>
          <w:color w:val="000000" w:themeColor="text1"/>
          <w:lang w:eastAsia="fr-FR"/>
        </w:rPr>
      </w:pPr>
      <w:r w:rsidRPr="00260790">
        <w:rPr>
          <w:rFonts w:ascii="Times New Roman" w:eastAsia="Times New Roman" w:hAnsi="Times New Roman"/>
          <w:bCs/>
          <w:iCs/>
          <w:color w:val="000000" w:themeColor="text1"/>
          <w:lang w:eastAsia="fr-FR"/>
        </w:rPr>
        <w:t>Entretien et maintenance réguliers, avec la possibilité de passer des contrats d’entretien pluriannuels avec des entreprises ;</w:t>
      </w:r>
    </w:p>
    <w:p w14:paraId="092301F1" w14:textId="77777777" w:rsidR="008F35C9" w:rsidRPr="00260790" w:rsidRDefault="008F35C9" w:rsidP="001748C6">
      <w:pPr>
        <w:numPr>
          <w:ilvl w:val="0"/>
          <w:numId w:val="38"/>
        </w:numPr>
        <w:spacing w:before="80" w:after="80" w:line="240" w:lineRule="auto"/>
        <w:ind w:right="-1"/>
        <w:jc w:val="both"/>
        <w:rPr>
          <w:rFonts w:ascii="Times New Roman" w:eastAsia="Times New Roman" w:hAnsi="Times New Roman"/>
          <w:bCs/>
          <w:iCs/>
          <w:color w:val="000000" w:themeColor="text1"/>
          <w:lang w:eastAsia="fr-FR"/>
        </w:rPr>
      </w:pPr>
      <w:r w:rsidRPr="00260790">
        <w:rPr>
          <w:rFonts w:ascii="Times New Roman" w:eastAsia="Times New Roman" w:hAnsi="Times New Roman"/>
          <w:bCs/>
          <w:iCs/>
          <w:color w:val="000000" w:themeColor="text1"/>
          <w:lang w:eastAsia="fr-FR"/>
        </w:rPr>
        <w:t>Curage et vidange des bassins avant la période des fortes pluies ;</w:t>
      </w:r>
    </w:p>
    <w:p w14:paraId="1F0E27CF" w14:textId="77777777" w:rsidR="008F35C9" w:rsidRPr="00260790" w:rsidRDefault="008F35C9" w:rsidP="001748C6">
      <w:pPr>
        <w:numPr>
          <w:ilvl w:val="0"/>
          <w:numId w:val="38"/>
        </w:numPr>
        <w:spacing w:before="80" w:after="80" w:line="240" w:lineRule="auto"/>
        <w:ind w:right="-1"/>
        <w:jc w:val="both"/>
        <w:rPr>
          <w:rFonts w:ascii="Times New Roman" w:eastAsia="Times New Roman" w:hAnsi="Times New Roman"/>
          <w:bCs/>
          <w:iCs/>
          <w:color w:val="000000" w:themeColor="text1"/>
          <w:lang w:eastAsia="fr-FR"/>
        </w:rPr>
      </w:pPr>
      <w:r w:rsidRPr="00260790">
        <w:rPr>
          <w:rFonts w:ascii="Times New Roman" w:eastAsia="Times New Roman" w:hAnsi="Times New Roman"/>
          <w:bCs/>
          <w:iCs/>
          <w:color w:val="000000" w:themeColor="text1"/>
          <w:lang w:eastAsia="fr-FR"/>
        </w:rPr>
        <w:t>Mise en place d’échelles limnométriques au niveau des bassins pour en surveiller les niveaux d’eau ;</w:t>
      </w:r>
    </w:p>
    <w:p w14:paraId="7D19FEF2" w14:textId="77777777" w:rsidR="008F35C9" w:rsidRPr="00260790" w:rsidRDefault="008F35C9" w:rsidP="001748C6">
      <w:pPr>
        <w:numPr>
          <w:ilvl w:val="0"/>
          <w:numId w:val="38"/>
        </w:numPr>
        <w:autoSpaceDE w:val="0"/>
        <w:autoSpaceDN w:val="0"/>
        <w:adjustRightInd w:val="0"/>
        <w:spacing w:after="0" w:line="240" w:lineRule="auto"/>
        <w:ind w:right="-1"/>
        <w:contextualSpacing/>
        <w:jc w:val="both"/>
        <w:rPr>
          <w:rFonts w:ascii="Times New Roman" w:hAnsi="Times New Roman"/>
          <w:color w:val="000000" w:themeColor="text1"/>
        </w:rPr>
      </w:pPr>
      <w:r w:rsidRPr="00260790">
        <w:rPr>
          <w:rFonts w:ascii="Times New Roman" w:hAnsi="Times New Roman"/>
          <w:color w:val="000000" w:themeColor="text1"/>
        </w:rPr>
        <w:t xml:space="preserve">Sensibiliser la population locale sur l’utilisation correcte des ouvrages ; </w:t>
      </w:r>
    </w:p>
    <w:p w14:paraId="69568671" w14:textId="77777777" w:rsidR="008F35C9" w:rsidRPr="00260790" w:rsidRDefault="008F35C9" w:rsidP="001748C6">
      <w:pPr>
        <w:numPr>
          <w:ilvl w:val="0"/>
          <w:numId w:val="38"/>
        </w:numPr>
        <w:autoSpaceDE w:val="0"/>
        <w:autoSpaceDN w:val="0"/>
        <w:adjustRightInd w:val="0"/>
        <w:spacing w:after="0" w:line="240" w:lineRule="auto"/>
        <w:ind w:right="-1"/>
        <w:contextualSpacing/>
        <w:jc w:val="both"/>
        <w:rPr>
          <w:rFonts w:ascii="Times New Roman" w:hAnsi="Times New Roman"/>
          <w:color w:val="000000" w:themeColor="text1"/>
        </w:rPr>
      </w:pPr>
      <w:r w:rsidRPr="00260790">
        <w:rPr>
          <w:rFonts w:ascii="Times New Roman" w:hAnsi="Times New Roman"/>
          <w:color w:val="000000" w:themeColor="text1"/>
        </w:rPr>
        <w:t>Assurer la surveillance technique des réseaux ;</w:t>
      </w:r>
    </w:p>
    <w:p w14:paraId="3770990F" w14:textId="77777777" w:rsidR="008F35C9" w:rsidRPr="00260790" w:rsidRDefault="008F35C9" w:rsidP="001748C6">
      <w:pPr>
        <w:numPr>
          <w:ilvl w:val="0"/>
          <w:numId w:val="38"/>
        </w:numPr>
        <w:autoSpaceDE w:val="0"/>
        <w:autoSpaceDN w:val="0"/>
        <w:adjustRightInd w:val="0"/>
        <w:spacing w:after="0" w:line="240" w:lineRule="auto"/>
        <w:ind w:right="-1"/>
        <w:contextualSpacing/>
        <w:jc w:val="both"/>
        <w:rPr>
          <w:rFonts w:ascii="Times New Roman" w:hAnsi="Times New Roman"/>
          <w:color w:val="000000" w:themeColor="text1"/>
        </w:rPr>
      </w:pPr>
      <w:r w:rsidRPr="00260790">
        <w:rPr>
          <w:rFonts w:ascii="Times New Roman" w:hAnsi="Times New Roman"/>
          <w:color w:val="000000" w:themeColor="text1"/>
        </w:rPr>
        <w:t>Éliminer les raccordements indésirables ;</w:t>
      </w:r>
    </w:p>
    <w:p w14:paraId="75AC9F86" w14:textId="77777777" w:rsidR="008F35C9" w:rsidRPr="00260790" w:rsidRDefault="008F35C9" w:rsidP="001748C6">
      <w:pPr>
        <w:numPr>
          <w:ilvl w:val="0"/>
          <w:numId w:val="38"/>
        </w:numPr>
        <w:autoSpaceDE w:val="0"/>
        <w:autoSpaceDN w:val="0"/>
        <w:adjustRightInd w:val="0"/>
        <w:spacing w:line="240" w:lineRule="auto"/>
        <w:ind w:right="-1"/>
        <w:contextualSpacing/>
        <w:jc w:val="both"/>
        <w:rPr>
          <w:rFonts w:ascii="Times New Roman" w:hAnsi="Times New Roman"/>
          <w:color w:val="000000" w:themeColor="text1"/>
        </w:rPr>
      </w:pPr>
      <w:r w:rsidRPr="00260790">
        <w:rPr>
          <w:rFonts w:ascii="Times New Roman" w:hAnsi="Times New Roman"/>
          <w:color w:val="000000" w:themeColor="text1"/>
        </w:rPr>
        <w:t>Stocker et évacuer à la décharge autorisée tous les produits d’excavation.</w:t>
      </w:r>
    </w:p>
    <w:p w14:paraId="7A70D807" w14:textId="77777777" w:rsidR="008F35C9" w:rsidRPr="00260790" w:rsidRDefault="008F35C9" w:rsidP="00E20250">
      <w:pPr>
        <w:autoSpaceDE w:val="0"/>
        <w:autoSpaceDN w:val="0"/>
        <w:adjustRightInd w:val="0"/>
        <w:spacing w:line="240" w:lineRule="auto"/>
        <w:ind w:left="720" w:right="-1"/>
        <w:contextualSpacing/>
        <w:jc w:val="both"/>
        <w:rPr>
          <w:rFonts w:ascii="Times New Roman" w:hAnsi="Times New Roman"/>
          <w:color w:val="000000" w:themeColor="text1"/>
        </w:rPr>
      </w:pPr>
    </w:p>
    <w:p w14:paraId="561C8A97" w14:textId="298BA913" w:rsidR="008F35C9" w:rsidRPr="00260790" w:rsidRDefault="008F35C9" w:rsidP="00E20250">
      <w:pPr>
        <w:spacing w:after="0" w:line="240" w:lineRule="auto"/>
        <w:ind w:right="-1"/>
        <w:contextualSpacing/>
        <w:jc w:val="both"/>
        <w:rPr>
          <w:rFonts w:ascii="Times New Roman" w:eastAsia="Times New Roman" w:hAnsi="Times New Roman"/>
          <w:bCs/>
          <w:iCs/>
          <w:color w:val="000000" w:themeColor="text1"/>
          <w:lang w:eastAsia="fr-FR"/>
        </w:rPr>
      </w:pPr>
      <w:r w:rsidRPr="00260790">
        <w:rPr>
          <w:rFonts w:ascii="Times New Roman" w:hAnsi="Times New Roman"/>
          <w:color w:val="000000" w:themeColor="text1"/>
        </w:rPr>
        <w:t>I</w:t>
      </w:r>
      <w:r w:rsidRPr="00260790">
        <w:rPr>
          <w:rFonts w:ascii="Times New Roman" w:eastAsia="Times New Roman" w:hAnsi="Times New Roman"/>
          <w:bCs/>
          <w:iCs/>
          <w:color w:val="000000" w:themeColor="text1"/>
          <w:lang w:eastAsia="fr-FR"/>
        </w:rPr>
        <w:t>l est prévu également la réalisation de l’étude sur la simulation du fonctionnement du système de drainage des eaux pluviales (Étude hydraulique de la tranche financée avec le financement de la Banque mondiale du programme d’urgence) dans la zone, qui permettra entre autres de déterminer à l’avance les moyens de pompage d’appoint en cas de pluies exceptionnelles. L’analyse des risques de débordement est primordiale et doit intervenir avant les opérations de curage et de reprofilage. Les résultats de la modélisation pourraient être utilisés p</w:t>
      </w:r>
      <w:r w:rsidR="003C7DEC" w:rsidRPr="00260790">
        <w:rPr>
          <w:rFonts w:ascii="Times New Roman" w:eastAsia="Times New Roman" w:hAnsi="Times New Roman"/>
          <w:bCs/>
          <w:iCs/>
          <w:color w:val="000000" w:themeColor="text1"/>
          <w:lang w:eastAsia="fr-FR"/>
        </w:rPr>
        <w:t>o</w:t>
      </w:r>
      <w:r w:rsidRPr="00260790">
        <w:rPr>
          <w:rFonts w:ascii="Times New Roman" w:eastAsia="Times New Roman" w:hAnsi="Times New Roman"/>
          <w:bCs/>
          <w:iCs/>
          <w:color w:val="000000" w:themeColor="text1"/>
          <w:lang w:eastAsia="fr-FR"/>
        </w:rPr>
        <w:t>ur une cartographie de ces risques.</w:t>
      </w:r>
    </w:p>
    <w:p w14:paraId="1FFD9B0C" w14:textId="7C71E689" w:rsidR="008F35C9" w:rsidRDefault="008F35C9" w:rsidP="00E20250">
      <w:pPr>
        <w:spacing w:after="0" w:line="240" w:lineRule="auto"/>
        <w:ind w:right="-1"/>
        <w:contextualSpacing/>
        <w:jc w:val="both"/>
        <w:rPr>
          <w:rFonts w:ascii="Times New Roman" w:eastAsia="Times New Roman" w:hAnsi="Times New Roman"/>
          <w:bCs/>
          <w:iCs/>
          <w:color w:val="000000" w:themeColor="text1"/>
          <w:lang w:eastAsia="fr-FR"/>
        </w:rPr>
      </w:pPr>
      <w:r w:rsidRPr="00260790">
        <w:rPr>
          <w:rFonts w:ascii="Times New Roman" w:eastAsia="Times New Roman" w:hAnsi="Times New Roman"/>
          <w:bCs/>
          <w:iCs/>
          <w:color w:val="000000" w:themeColor="text1"/>
          <w:lang w:eastAsia="fr-FR"/>
        </w:rPr>
        <w:lastRenderedPageBreak/>
        <w:t>L’ADM</w:t>
      </w:r>
      <w:r w:rsidR="00E212B1" w:rsidRPr="00260790">
        <w:rPr>
          <w:rFonts w:ascii="Times New Roman" w:eastAsia="Times New Roman" w:hAnsi="Times New Roman"/>
          <w:bCs/>
          <w:iCs/>
          <w:color w:val="000000" w:themeColor="text1"/>
          <w:lang w:eastAsia="fr-FR"/>
        </w:rPr>
        <w:t>,</w:t>
      </w:r>
      <w:r w:rsidRPr="00260790">
        <w:rPr>
          <w:rFonts w:ascii="Times New Roman" w:eastAsia="Times New Roman" w:hAnsi="Times New Roman"/>
          <w:bCs/>
          <w:iCs/>
          <w:color w:val="000000" w:themeColor="text1"/>
          <w:lang w:eastAsia="fr-FR"/>
        </w:rPr>
        <w:t xml:space="preserve"> en rapport avec l’ONAS, doit appuyer la mise en place d’un programme de gestion (exploitation /entretien) qui clarifie les conditions d’exploitation optimale des infrastructures réalisées dans le cadre du projet qui implique différentes parties prenantes (collectivités, populations, Organisations à la base, etc.). </w:t>
      </w:r>
    </w:p>
    <w:p w14:paraId="38A621BD" w14:textId="77777777" w:rsidR="001D2346" w:rsidRPr="00260790" w:rsidRDefault="001D2346" w:rsidP="00E20250">
      <w:pPr>
        <w:spacing w:after="0" w:line="240" w:lineRule="auto"/>
        <w:ind w:right="-1"/>
        <w:contextualSpacing/>
        <w:jc w:val="both"/>
        <w:rPr>
          <w:rFonts w:ascii="Times New Roman" w:eastAsia="Times New Roman" w:hAnsi="Times New Roman"/>
          <w:bCs/>
          <w:iCs/>
          <w:color w:val="000000" w:themeColor="text1"/>
          <w:lang w:eastAsia="fr-FR"/>
        </w:rPr>
      </w:pPr>
    </w:p>
    <w:p w14:paraId="5F31ED2E" w14:textId="77777777" w:rsidR="008F35C9" w:rsidRPr="00260790" w:rsidRDefault="008F35C9" w:rsidP="003B6588">
      <w:pPr>
        <w:pStyle w:val="CHAPITRE1"/>
        <w:rPr>
          <w:rFonts w:cs="Times New Roman"/>
        </w:rPr>
      </w:pPr>
      <w:bookmarkStart w:id="2475" w:name="_Toc212725185"/>
      <w:bookmarkStart w:id="2476" w:name="_Toc68109769"/>
      <w:bookmarkStart w:id="2477" w:name="_Toc29856792"/>
      <w:r w:rsidRPr="00260790">
        <w:rPr>
          <w:rFonts w:cs="Times New Roman"/>
        </w:rPr>
        <w:t>Mesures de prévention et de sécurisation des ouvrages</w:t>
      </w:r>
      <w:bookmarkEnd w:id="2475"/>
      <w:r w:rsidRPr="00260790">
        <w:rPr>
          <w:rFonts w:cs="Times New Roman"/>
        </w:rPr>
        <w:t xml:space="preserve"> </w:t>
      </w:r>
    </w:p>
    <w:p w14:paraId="1964E50A" w14:textId="77777777" w:rsidR="008F35C9" w:rsidRPr="00260790" w:rsidRDefault="008F35C9"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Les ouvrages doivent être insérés de manière harmonieuse dans le tissu urbain des sites, comprenant à la fois des fonctions d’utilité (rétention des eaux d’inondation), d’esthétique et d’insertion paysagère, de détente tout en garantissant la sécurité des riverains particulièrement les enfants et les groupes vulnérables.</w:t>
      </w:r>
    </w:p>
    <w:p w14:paraId="4EB3769E" w14:textId="77777777" w:rsidR="008F35C9" w:rsidRPr="00260790" w:rsidRDefault="008F35C9"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Sous ce rapport, le PGES recommande la réalisation d’espaces verts, des voies de circulation, un éclairage et la protection physique des bassins.</w:t>
      </w:r>
    </w:p>
    <w:p w14:paraId="55DA57E6" w14:textId="77777777" w:rsidR="008F35C9" w:rsidRPr="00260790" w:rsidRDefault="008F35C9" w:rsidP="003B6588">
      <w:pPr>
        <w:pStyle w:val="CHAPITRE1"/>
        <w:rPr>
          <w:rFonts w:cs="Times New Roman"/>
        </w:rPr>
      </w:pPr>
      <w:bookmarkStart w:id="2478" w:name="_Toc212725186"/>
      <w:r w:rsidRPr="00260790">
        <w:rPr>
          <w:rFonts w:cs="Times New Roman"/>
        </w:rPr>
        <w:t>Mesures d’information et de sensibilisation</w:t>
      </w:r>
      <w:bookmarkEnd w:id="2476"/>
      <w:bookmarkEnd w:id="2477"/>
      <w:bookmarkEnd w:id="2478"/>
    </w:p>
    <w:p w14:paraId="346AFDDA" w14:textId="77777777" w:rsidR="008F35C9" w:rsidRPr="00260790" w:rsidRDefault="008F35C9" w:rsidP="00E20250">
      <w:pPr>
        <w:autoSpaceDE w:val="0"/>
        <w:autoSpaceDN w:val="0"/>
        <w:adjustRightInd w:val="0"/>
        <w:spacing w:after="0" w:line="240" w:lineRule="auto"/>
        <w:ind w:right="-1"/>
        <w:jc w:val="both"/>
        <w:rPr>
          <w:rFonts w:ascii="Times New Roman" w:hAnsi="Times New Roman"/>
          <w:color w:val="000000" w:themeColor="text1"/>
          <w:lang w:eastAsia="fr-FR"/>
        </w:rPr>
      </w:pPr>
      <w:r w:rsidRPr="00260790">
        <w:rPr>
          <w:rFonts w:ascii="Times New Roman" w:hAnsi="Times New Roman"/>
          <w:color w:val="000000" w:themeColor="text1"/>
          <w:lang w:eastAsia="fr-FR"/>
        </w:rPr>
        <w:t xml:space="preserve">Il est indispensable de mettre en place un programme d'information et de sensibilisation pour accompagner la mise en œuvre des mesures du PGES, en destination de l’ensemble des parties prenantes du projet. Ces campagnes doivent aussi cibler les collectivités territoriales et les populations sur différentes thématiques en rapport avec les enjeux du projet. </w:t>
      </w:r>
    </w:p>
    <w:p w14:paraId="0799723C" w14:textId="77777777" w:rsidR="008F35C9" w:rsidRPr="00260790" w:rsidRDefault="008F35C9" w:rsidP="00E20250">
      <w:pPr>
        <w:autoSpaceDE w:val="0"/>
        <w:autoSpaceDN w:val="0"/>
        <w:adjustRightInd w:val="0"/>
        <w:spacing w:after="0" w:line="240" w:lineRule="auto"/>
        <w:ind w:right="-1"/>
        <w:jc w:val="both"/>
        <w:rPr>
          <w:rFonts w:ascii="Times New Roman" w:hAnsi="Times New Roman"/>
          <w:color w:val="000000" w:themeColor="text1"/>
          <w:lang w:eastAsia="fr-FR"/>
        </w:rPr>
      </w:pPr>
    </w:p>
    <w:p w14:paraId="24C019B3" w14:textId="05C1708A" w:rsidR="008F35C9" w:rsidRPr="00260790" w:rsidRDefault="008F35C9" w:rsidP="00E20250">
      <w:pPr>
        <w:autoSpaceDE w:val="0"/>
        <w:autoSpaceDN w:val="0"/>
        <w:adjustRightInd w:val="0"/>
        <w:spacing w:line="240" w:lineRule="auto"/>
        <w:ind w:right="-1"/>
        <w:jc w:val="both"/>
        <w:rPr>
          <w:rFonts w:ascii="Times New Roman" w:hAnsi="Times New Roman"/>
          <w:color w:val="000000" w:themeColor="text1"/>
          <w:lang w:eastAsia="fr-FR"/>
        </w:rPr>
      </w:pPr>
      <w:r w:rsidRPr="00260790">
        <w:rPr>
          <w:rFonts w:ascii="Times New Roman" w:hAnsi="Times New Roman"/>
          <w:color w:val="000000" w:themeColor="text1"/>
          <w:lang w:eastAsia="fr-FR"/>
        </w:rPr>
        <w:t xml:space="preserve">Le tableau suivant esquisse quelques actions d’informations et de sensibilisation. </w:t>
      </w:r>
    </w:p>
    <w:p w14:paraId="78A6C0D0" w14:textId="683704FD" w:rsidR="008F35C9" w:rsidRPr="00260790" w:rsidRDefault="008F35C9" w:rsidP="00E20250">
      <w:pPr>
        <w:spacing w:line="240" w:lineRule="auto"/>
        <w:ind w:right="-1"/>
        <w:rPr>
          <w:rFonts w:ascii="Times New Roman" w:eastAsia="Times New Roman" w:hAnsi="Times New Roman"/>
          <w:color w:val="000000" w:themeColor="text1"/>
          <w:lang w:eastAsia="fr-FR"/>
        </w:rPr>
      </w:pPr>
      <w:bookmarkStart w:id="2479" w:name="_Toc40839269"/>
      <w:bookmarkStart w:id="2480" w:name="_Toc2684879"/>
      <w:bookmarkStart w:id="2481" w:name="_Toc508370307"/>
      <w:bookmarkStart w:id="2482" w:name="_Toc481786327"/>
      <w:bookmarkStart w:id="2483" w:name="_Toc447408258"/>
      <w:bookmarkStart w:id="2484" w:name="_Toc427649394"/>
      <w:bookmarkStart w:id="2485" w:name="_Toc414343431"/>
      <w:bookmarkStart w:id="2486" w:name="_Toc411244390"/>
      <w:bookmarkStart w:id="2487" w:name="_Toc207781958"/>
      <w:r w:rsidRPr="00260790">
        <w:rPr>
          <w:rFonts w:ascii="Times New Roman" w:eastAsia="Times New Roman" w:hAnsi="Times New Roman"/>
          <w:color w:val="000000" w:themeColor="text1"/>
          <w:lang w:eastAsia="fr-FR"/>
        </w:rPr>
        <w:t xml:space="preserve">Tableau </w:t>
      </w:r>
      <w:r w:rsidRPr="00260790">
        <w:rPr>
          <w:rFonts w:ascii="Times New Roman" w:hAnsi="Times New Roman"/>
          <w:color w:val="000000" w:themeColor="text1"/>
        </w:rPr>
        <w:fldChar w:fldCharType="begin"/>
      </w:r>
      <w:r w:rsidRPr="00260790">
        <w:rPr>
          <w:rFonts w:ascii="Times New Roman" w:eastAsia="Times New Roman" w:hAnsi="Times New Roman"/>
          <w:color w:val="000000" w:themeColor="text1"/>
          <w:lang w:eastAsia="fr-FR"/>
        </w:rPr>
        <w:instrText xml:space="preserve"> SEQ Tableau \* ARABIC </w:instrText>
      </w:r>
      <w:r w:rsidRPr="00260790">
        <w:rPr>
          <w:rFonts w:ascii="Times New Roman" w:hAnsi="Times New Roman"/>
          <w:color w:val="000000" w:themeColor="text1"/>
        </w:rPr>
        <w:fldChar w:fldCharType="separate"/>
      </w:r>
      <w:r w:rsidR="003C783E">
        <w:rPr>
          <w:rFonts w:ascii="Times New Roman" w:eastAsia="Times New Roman" w:hAnsi="Times New Roman"/>
          <w:noProof/>
          <w:color w:val="000000" w:themeColor="text1"/>
          <w:lang w:eastAsia="fr-FR"/>
        </w:rPr>
        <w:t>117</w:t>
      </w:r>
      <w:r w:rsidRPr="00260790">
        <w:rPr>
          <w:rFonts w:ascii="Times New Roman" w:hAnsi="Times New Roman"/>
          <w:color w:val="000000" w:themeColor="text1"/>
        </w:rPr>
        <w:fldChar w:fldCharType="end"/>
      </w:r>
      <w:r w:rsidRPr="00260790">
        <w:rPr>
          <w:rFonts w:ascii="Times New Roman" w:eastAsia="Times New Roman" w:hAnsi="Times New Roman"/>
          <w:color w:val="000000" w:themeColor="text1"/>
          <w:lang w:eastAsia="fr-FR"/>
        </w:rPr>
        <w:t>: Programme d’information et de sensibilisation</w:t>
      </w:r>
      <w:bookmarkEnd w:id="2479"/>
      <w:bookmarkEnd w:id="2480"/>
      <w:bookmarkEnd w:id="2481"/>
      <w:bookmarkEnd w:id="2482"/>
      <w:bookmarkEnd w:id="2483"/>
      <w:bookmarkEnd w:id="2484"/>
      <w:bookmarkEnd w:id="2485"/>
      <w:bookmarkEnd w:id="2486"/>
      <w:bookmarkEnd w:id="2487"/>
    </w:p>
    <w:tbl>
      <w:tblPr>
        <w:tblW w:w="545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586"/>
        <w:gridCol w:w="6286"/>
        <w:gridCol w:w="2005"/>
      </w:tblGrid>
      <w:tr w:rsidR="00BD1A2F" w:rsidRPr="00260790" w14:paraId="566D1FC6" w14:textId="77777777" w:rsidTr="00B3729F">
        <w:trPr>
          <w:trHeight w:val="70"/>
          <w:tblHeader/>
        </w:trPr>
        <w:tc>
          <w:tcPr>
            <w:tcW w:w="803" w:type="pct"/>
            <w:tcBorders>
              <w:top w:val="single" w:sz="4" w:space="0" w:color="auto"/>
              <w:left w:val="single" w:sz="4" w:space="0" w:color="auto"/>
              <w:bottom w:val="single" w:sz="4" w:space="0" w:color="auto"/>
              <w:right w:val="single" w:sz="4" w:space="0" w:color="auto"/>
            </w:tcBorders>
            <w:shd w:val="clear" w:color="auto" w:fill="E2EFD9"/>
            <w:vAlign w:val="center"/>
            <w:hideMark/>
          </w:tcPr>
          <w:p w14:paraId="303FF522" w14:textId="77777777" w:rsidR="008F35C9" w:rsidRPr="00260790" w:rsidRDefault="008F35C9" w:rsidP="00E20250">
            <w:pPr>
              <w:tabs>
                <w:tab w:val="right" w:leader="dot" w:pos="9639"/>
              </w:tabs>
              <w:autoSpaceDE w:val="0"/>
              <w:autoSpaceDN w:val="0"/>
              <w:adjustRightInd w:val="0"/>
              <w:spacing w:after="0" w:line="240" w:lineRule="auto"/>
              <w:ind w:right="16"/>
              <w:rPr>
                <w:rFonts w:ascii="Times New Roman" w:eastAsia="Times New Roman" w:hAnsi="Times New Roman"/>
                <w:color w:val="000000" w:themeColor="text1"/>
                <w:lang w:eastAsia="fr-FR"/>
              </w:rPr>
            </w:pPr>
            <w:r w:rsidRPr="00260790">
              <w:rPr>
                <w:rFonts w:ascii="Times New Roman" w:eastAsia="Times New Roman" w:hAnsi="Times New Roman"/>
                <w:b/>
                <w:bCs/>
                <w:color w:val="000000" w:themeColor="text1"/>
                <w:lang w:eastAsia="fr-FR"/>
              </w:rPr>
              <w:t>Acteurs bénéficiaires</w:t>
            </w:r>
          </w:p>
        </w:tc>
        <w:tc>
          <w:tcPr>
            <w:tcW w:w="3182" w:type="pct"/>
            <w:tcBorders>
              <w:top w:val="single" w:sz="4" w:space="0" w:color="auto"/>
              <w:left w:val="single" w:sz="4" w:space="0" w:color="auto"/>
              <w:bottom w:val="single" w:sz="4" w:space="0" w:color="auto"/>
              <w:right w:val="single" w:sz="4" w:space="0" w:color="auto"/>
            </w:tcBorders>
            <w:shd w:val="clear" w:color="auto" w:fill="E2EFD9"/>
            <w:vAlign w:val="center"/>
            <w:hideMark/>
          </w:tcPr>
          <w:p w14:paraId="20ABDFB6" w14:textId="77777777" w:rsidR="008F35C9" w:rsidRPr="00260790" w:rsidRDefault="008F35C9" w:rsidP="00E20250">
            <w:pPr>
              <w:tabs>
                <w:tab w:val="right" w:leader="dot" w:pos="9639"/>
              </w:tabs>
              <w:autoSpaceDE w:val="0"/>
              <w:autoSpaceDN w:val="0"/>
              <w:adjustRightInd w:val="0"/>
              <w:spacing w:after="0" w:line="240" w:lineRule="auto"/>
              <w:ind w:left="360" w:right="16"/>
              <w:jc w:val="center"/>
              <w:rPr>
                <w:rFonts w:ascii="Times New Roman" w:eastAsia="Times New Roman" w:hAnsi="Times New Roman"/>
                <w:color w:val="000000" w:themeColor="text1"/>
                <w:lang w:eastAsia="fr-FR"/>
              </w:rPr>
            </w:pPr>
            <w:r w:rsidRPr="00260790">
              <w:rPr>
                <w:rFonts w:ascii="Times New Roman" w:eastAsia="Times New Roman" w:hAnsi="Times New Roman"/>
                <w:b/>
                <w:bCs/>
                <w:color w:val="000000" w:themeColor="text1"/>
                <w:lang w:eastAsia="fr-FR"/>
              </w:rPr>
              <w:t xml:space="preserve">Actions </w:t>
            </w:r>
          </w:p>
        </w:tc>
        <w:tc>
          <w:tcPr>
            <w:tcW w:w="1015" w:type="pct"/>
            <w:tcBorders>
              <w:top w:val="single" w:sz="4" w:space="0" w:color="auto"/>
              <w:left w:val="single" w:sz="4" w:space="0" w:color="auto"/>
              <w:bottom w:val="single" w:sz="4" w:space="0" w:color="auto"/>
              <w:right w:val="single" w:sz="4" w:space="0" w:color="auto"/>
            </w:tcBorders>
            <w:shd w:val="clear" w:color="auto" w:fill="E2EFD9"/>
            <w:vAlign w:val="center"/>
            <w:hideMark/>
          </w:tcPr>
          <w:p w14:paraId="7CB21218" w14:textId="77777777" w:rsidR="008F35C9" w:rsidRPr="00260790" w:rsidRDefault="008F35C9" w:rsidP="00E20250">
            <w:pPr>
              <w:tabs>
                <w:tab w:val="right" w:leader="dot" w:pos="9639"/>
              </w:tabs>
              <w:autoSpaceDE w:val="0"/>
              <w:autoSpaceDN w:val="0"/>
              <w:adjustRightInd w:val="0"/>
              <w:spacing w:after="0" w:line="240" w:lineRule="auto"/>
              <w:rPr>
                <w:rFonts w:ascii="Times New Roman" w:eastAsia="Times New Roman" w:hAnsi="Times New Roman"/>
                <w:b/>
                <w:bCs/>
                <w:color w:val="000000" w:themeColor="text1"/>
                <w:lang w:eastAsia="fr-FR"/>
              </w:rPr>
            </w:pPr>
            <w:r w:rsidRPr="00260790">
              <w:rPr>
                <w:rFonts w:ascii="Times New Roman" w:eastAsia="Times New Roman" w:hAnsi="Times New Roman"/>
                <w:b/>
                <w:bCs/>
                <w:color w:val="000000" w:themeColor="text1"/>
                <w:lang w:eastAsia="fr-FR"/>
              </w:rPr>
              <w:t>Responsable de la mise en œuvre</w:t>
            </w:r>
          </w:p>
        </w:tc>
      </w:tr>
      <w:tr w:rsidR="00BD1A2F" w:rsidRPr="00260790" w14:paraId="718C46FA" w14:textId="77777777" w:rsidTr="00B3729F">
        <w:trPr>
          <w:trHeight w:val="1072"/>
        </w:trPr>
        <w:tc>
          <w:tcPr>
            <w:tcW w:w="80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368CEEA" w14:textId="78AC1ACB" w:rsidR="008F35C9" w:rsidRPr="00260790" w:rsidRDefault="008F35C9" w:rsidP="00E20250">
            <w:pPr>
              <w:tabs>
                <w:tab w:val="right" w:leader="dot" w:pos="9639"/>
              </w:tabs>
              <w:autoSpaceDE w:val="0"/>
              <w:autoSpaceDN w:val="0"/>
              <w:adjustRightInd w:val="0"/>
              <w:spacing w:after="0" w:line="240" w:lineRule="auto"/>
              <w:ind w:right="16"/>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Commune</w:t>
            </w:r>
            <w:r w:rsidR="009A3F4A" w:rsidRPr="00260790">
              <w:rPr>
                <w:rFonts w:ascii="Times New Roman" w:eastAsia="Times New Roman" w:hAnsi="Times New Roman"/>
                <w:b/>
                <w:color w:val="000000" w:themeColor="text1"/>
                <w:lang w:eastAsia="fr-FR"/>
              </w:rPr>
              <w:t>s</w:t>
            </w:r>
          </w:p>
          <w:p w14:paraId="56D6B4A2" w14:textId="77777777" w:rsidR="008F35C9" w:rsidRPr="00260790" w:rsidRDefault="008F35C9" w:rsidP="00E20250">
            <w:pPr>
              <w:tabs>
                <w:tab w:val="right" w:leader="dot" w:pos="9639"/>
              </w:tabs>
              <w:autoSpaceDE w:val="0"/>
              <w:autoSpaceDN w:val="0"/>
              <w:adjustRightInd w:val="0"/>
              <w:spacing w:after="0" w:line="240" w:lineRule="auto"/>
              <w:ind w:right="16"/>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Population locale</w:t>
            </w:r>
          </w:p>
        </w:tc>
        <w:tc>
          <w:tcPr>
            <w:tcW w:w="318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5DC8B96" w14:textId="77777777" w:rsidR="008F35C9" w:rsidRPr="00260790" w:rsidRDefault="008F35C9" w:rsidP="00E20250">
            <w:pPr>
              <w:tabs>
                <w:tab w:val="right" w:leader="dot" w:pos="9639"/>
              </w:tabs>
              <w:autoSpaceDE w:val="0"/>
              <w:autoSpaceDN w:val="0"/>
              <w:adjustRightInd w:val="0"/>
              <w:spacing w:after="0" w:line="240" w:lineRule="auto"/>
              <w:ind w:right="16"/>
              <w:jc w:val="both"/>
              <w:rPr>
                <w:rFonts w:ascii="Times New Roman" w:eastAsia="Times New Roman" w:hAnsi="Times New Roman"/>
                <w:b/>
                <w:i/>
                <w:color w:val="000000" w:themeColor="text1"/>
                <w:lang w:eastAsia="fr-FR"/>
              </w:rPr>
            </w:pPr>
            <w:r w:rsidRPr="00260790">
              <w:rPr>
                <w:rFonts w:ascii="Times New Roman" w:eastAsia="Times New Roman" w:hAnsi="Times New Roman"/>
                <w:b/>
                <w:i/>
                <w:color w:val="000000" w:themeColor="text1"/>
                <w:lang w:eastAsia="fr-FR"/>
              </w:rPr>
              <w:t>Information/sensibilisation sur le projet</w:t>
            </w:r>
          </w:p>
          <w:p w14:paraId="78E3C012" w14:textId="77777777" w:rsidR="008F35C9" w:rsidRPr="00260790" w:rsidRDefault="008F35C9" w:rsidP="00E20250">
            <w:pPr>
              <w:tabs>
                <w:tab w:val="right" w:leader="dot" w:pos="9639"/>
              </w:tabs>
              <w:autoSpaceDE w:val="0"/>
              <w:autoSpaceDN w:val="0"/>
              <w:adjustRightInd w:val="0"/>
              <w:spacing w:after="0" w:line="240" w:lineRule="auto"/>
              <w:ind w:left="360" w:right="16"/>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 xml:space="preserve">Information sur le tracé et l’emprise des travaux </w:t>
            </w:r>
          </w:p>
          <w:p w14:paraId="544C76C9" w14:textId="77777777" w:rsidR="008F35C9" w:rsidRPr="00260790" w:rsidRDefault="008F35C9" w:rsidP="00E20250">
            <w:pPr>
              <w:tabs>
                <w:tab w:val="right" w:leader="dot" w:pos="9639"/>
              </w:tabs>
              <w:autoSpaceDE w:val="0"/>
              <w:autoSpaceDN w:val="0"/>
              <w:adjustRightInd w:val="0"/>
              <w:spacing w:after="0" w:line="240" w:lineRule="auto"/>
              <w:ind w:left="360" w:right="16"/>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 xml:space="preserve">Information sur la durée des travaux </w:t>
            </w:r>
          </w:p>
          <w:p w14:paraId="1475EDCA" w14:textId="0AC3AE2E" w:rsidR="008F35C9" w:rsidRPr="00260790" w:rsidRDefault="008F35C9" w:rsidP="00E20250">
            <w:pPr>
              <w:tabs>
                <w:tab w:val="right" w:leader="dot" w:pos="9639"/>
              </w:tabs>
              <w:autoSpaceDE w:val="0"/>
              <w:autoSpaceDN w:val="0"/>
              <w:adjustRightInd w:val="0"/>
              <w:spacing w:after="0" w:line="240" w:lineRule="auto"/>
              <w:ind w:left="360" w:right="16"/>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Information/sensibilisation sur le mécanisme de ges</w:t>
            </w:r>
            <w:r w:rsidR="008F2AB8" w:rsidRPr="00260790">
              <w:rPr>
                <w:rFonts w:ascii="Times New Roman" w:eastAsia="Times New Roman" w:hAnsi="Times New Roman"/>
                <w:bCs/>
                <w:color w:val="000000" w:themeColor="text1"/>
                <w:lang w:eastAsia="fr-FR"/>
              </w:rPr>
              <w:t xml:space="preserve">tion des plaintes sensible </w:t>
            </w:r>
            <w:r w:rsidR="00855B3B">
              <w:rPr>
                <w:rFonts w:ascii="Times New Roman" w:eastAsia="Times New Roman" w:hAnsi="Times New Roman"/>
                <w:bCs/>
                <w:color w:val="000000" w:themeColor="text1"/>
                <w:lang w:eastAsia="fr-FR"/>
              </w:rPr>
              <w:t>à l’</w:t>
            </w:r>
            <w:r w:rsidR="00A07276" w:rsidRPr="00260790">
              <w:rPr>
                <w:rFonts w:ascii="Times New Roman" w:eastAsia="Times New Roman" w:hAnsi="Times New Roman"/>
                <w:bCs/>
                <w:color w:val="000000" w:themeColor="text1"/>
                <w:lang w:eastAsia="fr-FR"/>
              </w:rPr>
              <w:t>EAS/HS</w:t>
            </w:r>
          </w:p>
          <w:p w14:paraId="0B302006" w14:textId="77777777" w:rsidR="008F35C9" w:rsidRPr="00260790" w:rsidRDefault="008F35C9" w:rsidP="00E20250">
            <w:pPr>
              <w:tabs>
                <w:tab w:val="right" w:leader="dot" w:pos="9639"/>
              </w:tabs>
              <w:autoSpaceDE w:val="0"/>
              <w:autoSpaceDN w:val="0"/>
              <w:adjustRightInd w:val="0"/>
              <w:spacing w:after="0" w:line="240" w:lineRule="auto"/>
              <w:ind w:left="360" w:right="16"/>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Information/sensibilisation sur le MGP, les impacts et les mesures d’atténuation</w:t>
            </w:r>
          </w:p>
          <w:p w14:paraId="50493E27" w14:textId="77777777" w:rsidR="008F35C9" w:rsidRPr="00260790" w:rsidRDefault="008F35C9" w:rsidP="00E20250">
            <w:pPr>
              <w:tabs>
                <w:tab w:val="right" w:leader="dot" w:pos="9639"/>
              </w:tabs>
              <w:autoSpaceDE w:val="0"/>
              <w:autoSpaceDN w:val="0"/>
              <w:adjustRightInd w:val="0"/>
              <w:spacing w:after="0" w:line="240" w:lineRule="auto"/>
              <w:ind w:right="16"/>
              <w:jc w:val="both"/>
              <w:rPr>
                <w:rFonts w:ascii="Times New Roman" w:eastAsia="Times New Roman" w:hAnsi="Times New Roman"/>
                <w:b/>
                <w:i/>
                <w:color w:val="000000" w:themeColor="text1"/>
                <w:lang w:eastAsia="fr-FR"/>
              </w:rPr>
            </w:pPr>
            <w:r w:rsidRPr="00260790">
              <w:rPr>
                <w:rFonts w:ascii="Times New Roman" w:eastAsia="Times New Roman" w:hAnsi="Times New Roman"/>
                <w:b/>
                <w:i/>
                <w:color w:val="000000" w:themeColor="text1"/>
                <w:lang w:eastAsia="fr-FR"/>
              </w:rPr>
              <w:t xml:space="preserve">Sensibilisation sur la Sécurité </w:t>
            </w:r>
          </w:p>
          <w:p w14:paraId="24E22BF2" w14:textId="77777777" w:rsidR="008F35C9" w:rsidRPr="00260790" w:rsidRDefault="008F35C9" w:rsidP="00E20250">
            <w:pPr>
              <w:tabs>
                <w:tab w:val="right" w:leader="dot" w:pos="9639"/>
              </w:tabs>
              <w:autoSpaceDE w:val="0"/>
              <w:autoSpaceDN w:val="0"/>
              <w:adjustRightInd w:val="0"/>
              <w:spacing w:after="0" w:line="240" w:lineRule="auto"/>
              <w:ind w:left="360" w:right="16"/>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Sensibilisation sur les risques d’accident et sur les comportements à adopter et les gestes de premiers secours </w:t>
            </w:r>
          </w:p>
          <w:p w14:paraId="13BCAB39" w14:textId="77777777" w:rsidR="008F35C9" w:rsidRPr="00260790" w:rsidRDefault="008F35C9" w:rsidP="00E20250">
            <w:pPr>
              <w:tabs>
                <w:tab w:val="right" w:leader="dot" w:pos="9639"/>
              </w:tabs>
              <w:autoSpaceDE w:val="0"/>
              <w:autoSpaceDN w:val="0"/>
              <w:adjustRightInd w:val="0"/>
              <w:spacing w:after="0" w:line="240" w:lineRule="auto"/>
              <w:ind w:right="16"/>
              <w:jc w:val="both"/>
              <w:rPr>
                <w:rFonts w:ascii="Times New Roman" w:eastAsia="Times New Roman" w:hAnsi="Times New Roman"/>
                <w:b/>
                <w:i/>
                <w:color w:val="000000" w:themeColor="text1"/>
                <w:lang w:eastAsia="fr-FR"/>
              </w:rPr>
            </w:pPr>
            <w:r w:rsidRPr="00260790">
              <w:rPr>
                <w:rFonts w:ascii="Times New Roman" w:eastAsia="Times New Roman" w:hAnsi="Times New Roman"/>
                <w:b/>
                <w:i/>
                <w:color w:val="000000" w:themeColor="text1"/>
                <w:lang w:eastAsia="fr-FR"/>
              </w:rPr>
              <w:t>Sensibilisation des populations sur le VIH</w:t>
            </w:r>
          </w:p>
          <w:p w14:paraId="4801680C" w14:textId="77777777" w:rsidR="008F35C9" w:rsidRPr="00260790" w:rsidRDefault="008F35C9" w:rsidP="00E20250">
            <w:pPr>
              <w:tabs>
                <w:tab w:val="right" w:leader="dot" w:pos="9639"/>
              </w:tabs>
              <w:autoSpaceDE w:val="0"/>
              <w:autoSpaceDN w:val="0"/>
              <w:adjustRightInd w:val="0"/>
              <w:spacing w:after="0" w:line="240" w:lineRule="auto"/>
              <w:ind w:left="360" w:right="16"/>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 xml:space="preserve">Modes de contamination des IST et du VIH </w:t>
            </w:r>
          </w:p>
          <w:p w14:paraId="790172FE" w14:textId="77777777" w:rsidR="008F35C9" w:rsidRPr="00260790" w:rsidRDefault="008F35C9" w:rsidP="00E20250">
            <w:pPr>
              <w:tabs>
                <w:tab w:val="right" w:leader="dot" w:pos="9639"/>
              </w:tabs>
              <w:autoSpaceDE w:val="0"/>
              <w:autoSpaceDN w:val="0"/>
              <w:adjustRightInd w:val="0"/>
              <w:spacing w:after="0" w:line="240" w:lineRule="auto"/>
              <w:ind w:left="360" w:right="16"/>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 xml:space="preserve">Comportements à risque </w:t>
            </w:r>
          </w:p>
          <w:p w14:paraId="6A6FC8A3" w14:textId="548998BE" w:rsidR="008F35C9" w:rsidRPr="00260790" w:rsidRDefault="008F2AB8" w:rsidP="00E20250">
            <w:pPr>
              <w:tabs>
                <w:tab w:val="right" w:leader="dot" w:pos="9639"/>
              </w:tabs>
              <w:autoSpaceDE w:val="0"/>
              <w:autoSpaceDN w:val="0"/>
              <w:adjustRightInd w:val="0"/>
              <w:spacing w:after="0" w:line="240" w:lineRule="auto"/>
              <w:ind w:right="16"/>
              <w:jc w:val="both"/>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Sensibilisation sur le MGP /</w:t>
            </w:r>
            <w:r w:rsidR="009D7DDA" w:rsidRPr="00260790">
              <w:rPr>
                <w:rFonts w:ascii="Times New Roman" w:eastAsia="Times New Roman" w:hAnsi="Times New Roman"/>
                <w:b/>
                <w:color w:val="000000" w:themeColor="text1"/>
                <w:lang w:eastAsia="fr-FR"/>
              </w:rPr>
              <w:t>E</w:t>
            </w:r>
            <w:r w:rsidRPr="00260790">
              <w:rPr>
                <w:rFonts w:ascii="Times New Roman" w:eastAsia="Times New Roman" w:hAnsi="Times New Roman"/>
                <w:b/>
                <w:color w:val="000000" w:themeColor="text1"/>
                <w:lang w:eastAsia="fr-FR"/>
              </w:rPr>
              <w:t>A</w:t>
            </w:r>
            <w:r w:rsidR="008F35C9" w:rsidRPr="00260790">
              <w:rPr>
                <w:rFonts w:ascii="Times New Roman" w:eastAsia="Times New Roman" w:hAnsi="Times New Roman"/>
                <w:b/>
                <w:color w:val="000000" w:themeColor="text1"/>
                <w:lang w:eastAsia="fr-FR"/>
              </w:rPr>
              <w:t>S/HS</w:t>
            </w:r>
          </w:p>
          <w:p w14:paraId="5D70F3D9" w14:textId="35BC40E1" w:rsidR="008F35C9" w:rsidRPr="00260790" w:rsidRDefault="008F35C9" w:rsidP="00E20250">
            <w:pPr>
              <w:tabs>
                <w:tab w:val="right" w:leader="dot" w:pos="9639"/>
              </w:tabs>
              <w:autoSpaceDE w:val="0"/>
              <w:autoSpaceDN w:val="0"/>
              <w:adjustRightInd w:val="0"/>
              <w:spacing w:after="0" w:line="240" w:lineRule="auto"/>
              <w:ind w:right="16"/>
              <w:jc w:val="both"/>
              <w:rPr>
                <w:rFonts w:ascii="Times New Roman" w:eastAsia="Times New Roman" w:hAnsi="Times New Roman"/>
                <w:color w:val="000000" w:themeColor="text1"/>
                <w:lang w:eastAsia="fr-FR"/>
              </w:rPr>
            </w:pPr>
            <w:r w:rsidRPr="00260790">
              <w:rPr>
                <w:rFonts w:ascii="Times New Roman" w:eastAsia="Times New Roman" w:hAnsi="Times New Roman"/>
                <w:b/>
                <w:i/>
                <w:color w:val="000000" w:themeColor="text1"/>
                <w:lang w:eastAsia="fr-FR"/>
              </w:rPr>
              <w:t xml:space="preserve">       </w:t>
            </w:r>
            <w:r w:rsidR="00041C80" w:rsidRPr="00260790">
              <w:rPr>
                <w:rFonts w:ascii="Times New Roman" w:eastAsia="Times New Roman" w:hAnsi="Times New Roman"/>
                <w:color w:val="000000" w:themeColor="text1"/>
                <w:lang w:eastAsia="fr-FR"/>
              </w:rPr>
              <w:t xml:space="preserve">Formation sur </w:t>
            </w:r>
            <w:r w:rsidR="00A07276" w:rsidRPr="00260790">
              <w:rPr>
                <w:rFonts w:ascii="Times New Roman" w:eastAsia="Times New Roman" w:hAnsi="Times New Roman"/>
                <w:color w:val="000000" w:themeColor="text1"/>
                <w:lang w:eastAsia="fr-FR"/>
              </w:rPr>
              <w:t>l</w:t>
            </w:r>
            <w:r w:rsidR="0061132E" w:rsidRPr="00260790">
              <w:rPr>
                <w:rFonts w:ascii="Times New Roman" w:eastAsia="Times New Roman" w:hAnsi="Times New Roman"/>
                <w:color w:val="000000" w:themeColor="text1"/>
                <w:lang w:eastAsia="fr-FR"/>
              </w:rPr>
              <w:t>’</w:t>
            </w:r>
            <w:r w:rsidR="00A07276" w:rsidRPr="00260790">
              <w:rPr>
                <w:rFonts w:ascii="Times New Roman" w:eastAsia="Times New Roman" w:hAnsi="Times New Roman"/>
                <w:color w:val="000000" w:themeColor="text1"/>
                <w:lang w:eastAsia="fr-FR"/>
              </w:rPr>
              <w:t>EAS/HS</w:t>
            </w:r>
          </w:p>
          <w:p w14:paraId="5147B57B" w14:textId="225D14C7" w:rsidR="008F35C9" w:rsidRPr="00260790" w:rsidRDefault="008F35C9" w:rsidP="00E20250">
            <w:pPr>
              <w:tabs>
                <w:tab w:val="right" w:leader="dot" w:pos="9639"/>
              </w:tabs>
              <w:autoSpaceDE w:val="0"/>
              <w:autoSpaceDN w:val="0"/>
              <w:adjustRightInd w:val="0"/>
              <w:spacing w:after="0" w:line="240" w:lineRule="auto"/>
              <w:ind w:right="16"/>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       Mapping des structure</w:t>
            </w:r>
            <w:r w:rsidR="00E212B1" w:rsidRPr="00260790">
              <w:rPr>
                <w:rFonts w:ascii="Times New Roman" w:eastAsia="Times New Roman" w:hAnsi="Times New Roman"/>
                <w:color w:val="000000" w:themeColor="text1"/>
                <w:lang w:eastAsia="fr-FR"/>
              </w:rPr>
              <w:t>s</w:t>
            </w:r>
            <w:r w:rsidR="00041C80" w:rsidRPr="00260790">
              <w:rPr>
                <w:rFonts w:ascii="Times New Roman" w:eastAsia="Times New Roman" w:hAnsi="Times New Roman"/>
                <w:color w:val="000000" w:themeColor="text1"/>
                <w:lang w:eastAsia="fr-FR"/>
              </w:rPr>
              <w:t xml:space="preserve"> / </w:t>
            </w:r>
            <w:proofErr w:type="spellStart"/>
            <w:r w:rsidR="00041C80" w:rsidRPr="00260790">
              <w:rPr>
                <w:rFonts w:ascii="Times New Roman" w:eastAsia="Times New Roman" w:hAnsi="Times New Roman"/>
                <w:color w:val="000000" w:themeColor="text1"/>
                <w:lang w:eastAsia="fr-FR"/>
              </w:rPr>
              <w:t>ONGs</w:t>
            </w:r>
            <w:proofErr w:type="spellEnd"/>
            <w:r w:rsidR="00041C80" w:rsidRPr="00260790">
              <w:rPr>
                <w:rFonts w:ascii="Times New Roman" w:eastAsia="Times New Roman" w:hAnsi="Times New Roman"/>
                <w:color w:val="000000" w:themeColor="text1"/>
                <w:lang w:eastAsia="fr-FR"/>
              </w:rPr>
              <w:t xml:space="preserve"> en charge des victimes </w:t>
            </w:r>
            <w:r w:rsidR="009D7DDA" w:rsidRPr="00260790">
              <w:rPr>
                <w:rFonts w:ascii="Times New Roman" w:eastAsia="Times New Roman" w:hAnsi="Times New Roman"/>
                <w:color w:val="000000" w:themeColor="text1"/>
                <w:lang w:eastAsia="fr-FR"/>
              </w:rPr>
              <w:t>E</w:t>
            </w:r>
            <w:r w:rsidR="00041C80" w:rsidRPr="00260790">
              <w:rPr>
                <w:rFonts w:ascii="Times New Roman" w:eastAsia="Times New Roman" w:hAnsi="Times New Roman"/>
                <w:color w:val="000000" w:themeColor="text1"/>
                <w:lang w:eastAsia="fr-FR"/>
              </w:rPr>
              <w:t>A</w:t>
            </w:r>
            <w:r w:rsidRPr="00260790">
              <w:rPr>
                <w:rFonts w:ascii="Times New Roman" w:eastAsia="Times New Roman" w:hAnsi="Times New Roman"/>
                <w:color w:val="000000" w:themeColor="text1"/>
                <w:lang w:eastAsia="fr-FR"/>
              </w:rPr>
              <w:t xml:space="preserve">S/HS </w:t>
            </w:r>
          </w:p>
        </w:tc>
        <w:tc>
          <w:tcPr>
            <w:tcW w:w="1015" w:type="pct"/>
            <w:tcBorders>
              <w:top w:val="single" w:sz="4" w:space="0" w:color="auto"/>
              <w:left w:val="single" w:sz="4" w:space="0" w:color="auto"/>
              <w:bottom w:val="single" w:sz="4" w:space="0" w:color="auto"/>
              <w:right w:val="single" w:sz="4" w:space="0" w:color="auto"/>
            </w:tcBorders>
            <w:shd w:val="clear" w:color="auto" w:fill="FFFFFF"/>
            <w:vAlign w:val="center"/>
          </w:tcPr>
          <w:p w14:paraId="470A0DDE" w14:textId="77777777" w:rsidR="008F35C9" w:rsidRPr="00260790" w:rsidRDefault="008F35C9" w:rsidP="00E20250">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bCs/>
                <w:color w:val="000000" w:themeColor="text1"/>
                <w:lang w:eastAsia="fr-FR"/>
              </w:rPr>
              <w:t>CGES-ADM</w:t>
            </w:r>
            <w:r w:rsidRPr="00260790">
              <w:rPr>
                <w:rFonts w:ascii="Times New Roman" w:eastAsia="Times New Roman" w:hAnsi="Times New Roman"/>
                <w:color w:val="000000" w:themeColor="text1"/>
                <w:lang w:eastAsia="fr-FR"/>
              </w:rPr>
              <w:t xml:space="preserve"> </w:t>
            </w:r>
          </w:p>
          <w:p w14:paraId="67C2E3D9" w14:textId="77777777" w:rsidR="008F35C9" w:rsidRPr="00260790" w:rsidRDefault="008F35C9" w:rsidP="00E20250">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Entreprises</w:t>
            </w:r>
          </w:p>
          <w:p w14:paraId="3AABF2BE" w14:textId="77777777" w:rsidR="008F35C9" w:rsidRPr="00260790" w:rsidRDefault="008F35C9" w:rsidP="00E20250">
            <w:pPr>
              <w:tabs>
                <w:tab w:val="right" w:leader="dot" w:pos="9639"/>
              </w:tabs>
              <w:autoSpaceDE w:val="0"/>
              <w:autoSpaceDN w:val="0"/>
              <w:adjustRightInd w:val="0"/>
              <w:spacing w:after="240" w:line="240" w:lineRule="auto"/>
              <w:ind w:left="360"/>
              <w:jc w:val="both"/>
              <w:rPr>
                <w:rFonts w:ascii="Times New Roman" w:hAnsi="Times New Roman"/>
                <w:b/>
                <w:color w:val="000000" w:themeColor="text1"/>
                <w:lang w:eastAsia="fr-FR"/>
              </w:rPr>
            </w:pPr>
          </w:p>
        </w:tc>
      </w:tr>
      <w:tr w:rsidR="00BD1A2F" w:rsidRPr="00260790" w14:paraId="375DC601" w14:textId="77777777" w:rsidTr="00B3729F">
        <w:trPr>
          <w:trHeight w:val="77"/>
        </w:trPr>
        <w:tc>
          <w:tcPr>
            <w:tcW w:w="803" w:type="pct"/>
            <w:tcBorders>
              <w:top w:val="single" w:sz="4" w:space="0" w:color="auto"/>
              <w:left w:val="single" w:sz="4" w:space="0" w:color="auto"/>
              <w:bottom w:val="single" w:sz="4" w:space="0" w:color="auto"/>
              <w:right w:val="single" w:sz="4" w:space="0" w:color="auto"/>
            </w:tcBorders>
            <w:shd w:val="clear" w:color="auto" w:fill="FFFFFF"/>
          </w:tcPr>
          <w:p w14:paraId="2D8BCA80" w14:textId="77777777" w:rsidR="008F35C9" w:rsidRPr="00260790" w:rsidRDefault="008F35C9" w:rsidP="00E20250">
            <w:pPr>
              <w:tabs>
                <w:tab w:val="right" w:leader="dot" w:pos="9639"/>
              </w:tabs>
              <w:autoSpaceDE w:val="0"/>
              <w:autoSpaceDN w:val="0"/>
              <w:adjustRightInd w:val="0"/>
              <w:spacing w:after="0" w:line="240" w:lineRule="auto"/>
              <w:ind w:right="16"/>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Personnel Entreprise</w:t>
            </w:r>
          </w:p>
          <w:p w14:paraId="66E456B5" w14:textId="77777777" w:rsidR="008F35C9" w:rsidRPr="00260790" w:rsidRDefault="008F35C9" w:rsidP="00E20250">
            <w:pPr>
              <w:tabs>
                <w:tab w:val="right" w:leader="dot" w:pos="9639"/>
              </w:tabs>
              <w:autoSpaceDE w:val="0"/>
              <w:autoSpaceDN w:val="0"/>
              <w:adjustRightInd w:val="0"/>
              <w:spacing w:after="0" w:line="240" w:lineRule="auto"/>
              <w:ind w:right="16"/>
              <w:rPr>
                <w:rFonts w:ascii="Times New Roman" w:eastAsia="Times New Roman" w:hAnsi="Times New Roman"/>
                <w:b/>
                <w:color w:val="000000" w:themeColor="text1"/>
                <w:lang w:eastAsia="fr-FR"/>
              </w:rPr>
            </w:pPr>
          </w:p>
        </w:tc>
        <w:tc>
          <w:tcPr>
            <w:tcW w:w="3182" w:type="pct"/>
            <w:tcBorders>
              <w:top w:val="single" w:sz="4" w:space="0" w:color="auto"/>
              <w:left w:val="single" w:sz="4" w:space="0" w:color="auto"/>
              <w:bottom w:val="single" w:sz="4" w:space="0" w:color="auto"/>
              <w:right w:val="single" w:sz="4" w:space="0" w:color="auto"/>
            </w:tcBorders>
            <w:shd w:val="clear" w:color="auto" w:fill="FFFFFF"/>
            <w:hideMark/>
          </w:tcPr>
          <w:p w14:paraId="60DF3F29" w14:textId="77777777" w:rsidR="008F35C9" w:rsidRPr="00260790" w:rsidRDefault="008F35C9" w:rsidP="00E20250">
            <w:pPr>
              <w:tabs>
                <w:tab w:val="right" w:leader="dot" w:pos="9639"/>
              </w:tabs>
              <w:autoSpaceDE w:val="0"/>
              <w:autoSpaceDN w:val="0"/>
              <w:adjustRightInd w:val="0"/>
              <w:spacing w:after="0" w:line="240" w:lineRule="auto"/>
              <w:ind w:right="16"/>
              <w:jc w:val="both"/>
              <w:rPr>
                <w:rFonts w:ascii="Times New Roman" w:eastAsia="Times New Roman" w:hAnsi="Times New Roman"/>
                <w:b/>
                <w:i/>
                <w:color w:val="000000" w:themeColor="text1"/>
                <w:lang w:eastAsia="fr-FR"/>
              </w:rPr>
            </w:pPr>
            <w:r w:rsidRPr="00260790">
              <w:rPr>
                <w:rFonts w:ascii="Times New Roman" w:eastAsia="Times New Roman" w:hAnsi="Times New Roman"/>
                <w:b/>
                <w:i/>
                <w:color w:val="000000" w:themeColor="text1"/>
                <w:lang w:eastAsia="fr-FR"/>
              </w:rPr>
              <w:t>Sensibilisation/Formation sur la Santé et la sécurité au travail</w:t>
            </w:r>
          </w:p>
          <w:p w14:paraId="6F86E6D3" w14:textId="77777777" w:rsidR="008F35C9" w:rsidRPr="00260790" w:rsidRDefault="008F35C9" w:rsidP="00E20250">
            <w:pPr>
              <w:tabs>
                <w:tab w:val="right" w:leader="dot" w:pos="9639"/>
              </w:tabs>
              <w:autoSpaceDE w:val="0"/>
              <w:autoSpaceDN w:val="0"/>
              <w:adjustRightInd w:val="0"/>
              <w:spacing w:after="0" w:line="240" w:lineRule="auto"/>
              <w:ind w:left="360" w:right="16"/>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Formation et sensibilisation sur les risques en matière de santé et de sécurité liés à certaines tâches et les premiers soins, règlement intérieur, code de conduite dans les langues que les travailleurs comprennent</w:t>
            </w:r>
          </w:p>
          <w:p w14:paraId="2552322D" w14:textId="77777777" w:rsidR="008F35C9" w:rsidRPr="00260790" w:rsidRDefault="008F35C9" w:rsidP="00E20250">
            <w:pPr>
              <w:tabs>
                <w:tab w:val="right" w:leader="dot" w:pos="9639"/>
              </w:tabs>
              <w:autoSpaceDE w:val="0"/>
              <w:autoSpaceDN w:val="0"/>
              <w:adjustRightInd w:val="0"/>
              <w:spacing w:after="0" w:line="240" w:lineRule="auto"/>
              <w:ind w:left="360" w:right="16"/>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Signature du code de conduite par tout le personnel au moment de la signature du contrat</w:t>
            </w:r>
          </w:p>
          <w:p w14:paraId="5D5BB632" w14:textId="77777777" w:rsidR="008F35C9" w:rsidRPr="00260790" w:rsidRDefault="008F35C9" w:rsidP="00E20250">
            <w:pPr>
              <w:tabs>
                <w:tab w:val="right" w:leader="dot" w:pos="9639"/>
              </w:tabs>
              <w:autoSpaceDE w:val="0"/>
              <w:autoSpaceDN w:val="0"/>
              <w:adjustRightInd w:val="0"/>
              <w:spacing w:after="0" w:line="240" w:lineRule="auto"/>
              <w:ind w:left="360" w:right="16"/>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Procédures de lutte anti-incendie et interventions d’urgence sur les gestes de premier secours </w:t>
            </w:r>
          </w:p>
          <w:p w14:paraId="5A0F5B15" w14:textId="77777777" w:rsidR="009A3F4A" w:rsidRPr="00260790" w:rsidRDefault="008F35C9" w:rsidP="00E20250">
            <w:pPr>
              <w:tabs>
                <w:tab w:val="right" w:leader="dot" w:pos="9639"/>
              </w:tabs>
              <w:autoSpaceDE w:val="0"/>
              <w:autoSpaceDN w:val="0"/>
              <w:adjustRightInd w:val="0"/>
              <w:spacing w:after="0" w:line="240" w:lineRule="auto"/>
              <w:ind w:left="360" w:right="16"/>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Modes de contamination des IST et du VIH</w:t>
            </w:r>
          </w:p>
          <w:p w14:paraId="470B460E" w14:textId="210BBAF0" w:rsidR="008F35C9" w:rsidRPr="00260790" w:rsidRDefault="008F35C9" w:rsidP="00E20250">
            <w:pPr>
              <w:tabs>
                <w:tab w:val="right" w:leader="dot" w:pos="9639"/>
              </w:tabs>
              <w:autoSpaceDE w:val="0"/>
              <w:autoSpaceDN w:val="0"/>
              <w:adjustRightInd w:val="0"/>
              <w:spacing w:after="0" w:line="240" w:lineRule="auto"/>
              <w:ind w:left="360" w:right="16"/>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 xml:space="preserve">Comportements à risque / Démonstration sur les mesures de prévention et les gestes barrières </w:t>
            </w:r>
          </w:p>
          <w:p w14:paraId="168B6619" w14:textId="77777777" w:rsidR="008F35C9" w:rsidRPr="00260790" w:rsidRDefault="008F35C9" w:rsidP="00E20250">
            <w:pPr>
              <w:tabs>
                <w:tab w:val="right" w:leader="dot" w:pos="9639"/>
              </w:tabs>
              <w:autoSpaceDE w:val="0"/>
              <w:autoSpaceDN w:val="0"/>
              <w:adjustRightInd w:val="0"/>
              <w:spacing w:after="0" w:line="240" w:lineRule="auto"/>
              <w:ind w:right="16"/>
              <w:jc w:val="both"/>
              <w:rPr>
                <w:rFonts w:ascii="Times New Roman" w:eastAsia="Times New Roman" w:hAnsi="Times New Roman"/>
                <w:b/>
                <w:i/>
                <w:color w:val="000000" w:themeColor="text1"/>
                <w:lang w:eastAsia="fr-FR"/>
              </w:rPr>
            </w:pPr>
            <w:r w:rsidRPr="00260790">
              <w:rPr>
                <w:rFonts w:ascii="Times New Roman" w:eastAsia="Times New Roman" w:hAnsi="Times New Roman"/>
                <w:b/>
                <w:i/>
                <w:color w:val="000000" w:themeColor="text1"/>
                <w:lang w:eastAsia="fr-FR"/>
              </w:rPr>
              <w:lastRenderedPageBreak/>
              <w:t>Formation sur le PGES chantier</w:t>
            </w:r>
          </w:p>
          <w:p w14:paraId="7CD88CD8" w14:textId="77777777" w:rsidR="008F35C9" w:rsidRPr="00260790" w:rsidRDefault="008F35C9" w:rsidP="00E20250">
            <w:pPr>
              <w:tabs>
                <w:tab w:val="right" w:leader="dot" w:pos="9639"/>
              </w:tabs>
              <w:autoSpaceDE w:val="0"/>
              <w:autoSpaceDN w:val="0"/>
              <w:adjustRightInd w:val="0"/>
              <w:spacing w:after="0" w:line="240" w:lineRule="auto"/>
              <w:ind w:left="360" w:right="16"/>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Application des mesures du PGES et autres bonnes pratiques pendant les travaux (gestion des déchets, limitation des nuisances, etc.)</w:t>
            </w:r>
          </w:p>
          <w:p w14:paraId="1AA02A6A" w14:textId="75026139" w:rsidR="008F35C9" w:rsidRPr="00260790" w:rsidRDefault="00041C80" w:rsidP="00E20250">
            <w:pPr>
              <w:tabs>
                <w:tab w:val="right" w:leader="dot" w:pos="9639"/>
              </w:tabs>
              <w:autoSpaceDE w:val="0"/>
              <w:autoSpaceDN w:val="0"/>
              <w:adjustRightInd w:val="0"/>
              <w:spacing w:after="0" w:line="240" w:lineRule="auto"/>
              <w:ind w:right="16"/>
              <w:jc w:val="both"/>
              <w:rPr>
                <w:rFonts w:ascii="Times New Roman" w:eastAsia="Times New Roman" w:hAnsi="Times New Roman"/>
                <w:b/>
                <w:i/>
                <w:color w:val="000000" w:themeColor="text1"/>
                <w:lang w:eastAsia="fr-FR"/>
              </w:rPr>
            </w:pPr>
            <w:r w:rsidRPr="00260790">
              <w:rPr>
                <w:rFonts w:ascii="Times New Roman" w:eastAsia="Times New Roman" w:hAnsi="Times New Roman"/>
                <w:b/>
                <w:i/>
                <w:color w:val="000000" w:themeColor="text1"/>
                <w:lang w:eastAsia="fr-FR"/>
              </w:rPr>
              <w:t xml:space="preserve">Formation sur le MGP </w:t>
            </w:r>
            <w:r w:rsidR="009D7DDA" w:rsidRPr="00260790">
              <w:rPr>
                <w:rFonts w:ascii="Times New Roman" w:eastAsia="Times New Roman" w:hAnsi="Times New Roman"/>
                <w:b/>
                <w:i/>
                <w:color w:val="000000" w:themeColor="text1"/>
                <w:lang w:eastAsia="fr-FR"/>
              </w:rPr>
              <w:t>E</w:t>
            </w:r>
            <w:r w:rsidRPr="00260790">
              <w:rPr>
                <w:rFonts w:ascii="Times New Roman" w:eastAsia="Times New Roman" w:hAnsi="Times New Roman"/>
                <w:b/>
                <w:i/>
                <w:color w:val="000000" w:themeColor="text1"/>
                <w:lang w:eastAsia="fr-FR"/>
              </w:rPr>
              <w:t>A</w:t>
            </w:r>
            <w:r w:rsidR="008F35C9" w:rsidRPr="00260790">
              <w:rPr>
                <w:rFonts w:ascii="Times New Roman" w:eastAsia="Times New Roman" w:hAnsi="Times New Roman"/>
                <w:b/>
                <w:i/>
                <w:color w:val="000000" w:themeColor="text1"/>
                <w:lang w:eastAsia="fr-FR"/>
              </w:rPr>
              <w:t>S/HS</w:t>
            </w:r>
          </w:p>
          <w:p w14:paraId="0D87E660" w14:textId="62BCC47E" w:rsidR="008F35C9" w:rsidRPr="00260790" w:rsidRDefault="008F35C9" w:rsidP="00E20250">
            <w:pPr>
              <w:tabs>
                <w:tab w:val="right" w:leader="dot" w:pos="9639"/>
              </w:tabs>
              <w:autoSpaceDE w:val="0"/>
              <w:autoSpaceDN w:val="0"/>
              <w:adjustRightInd w:val="0"/>
              <w:spacing w:after="0" w:line="240" w:lineRule="auto"/>
              <w:ind w:left="360" w:right="16"/>
              <w:jc w:val="both"/>
              <w:rPr>
                <w:rFonts w:ascii="Times New Roman" w:eastAsia="Times New Roman" w:hAnsi="Times New Roman"/>
                <w:bCs/>
                <w:color w:val="000000" w:themeColor="text1"/>
                <w:lang w:eastAsia="fr-FR"/>
              </w:rPr>
            </w:pPr>
            <w:r w:rsidRPr="00260790">
              <w:rPr>
                <w:rFonts w:ascii="Times New Roman" w:eastAsia="Times New Roman" w:hAnsi="Times New Roman"/>
                <w:bCs/>
                <w:color w:val="000000" w:themeColor="text1"/>
                <w:lang w:eastAsia="fr-FR"/>
              </w:rPr>
              <w:t>Pré</w:t>
            </w:r>
            <w:r w:rsidR="00041C80" w:rsidRPr="00260790">
              <w:rPr>
                <w:rFonts w:ascii="Times New Roman" w:eastAsia="Times New Roman" w:hAnsi="Times New Roman"/>
                <w:bCs/>
                <w:color w:val="000000" w:themeColor="text1"/>
                <w:lang w:eastAsia="fr-FR"/>
              </w:rPr>
              <w:t>ventio</w:t>
            </w:r>
            <w:r w:rsidR="00855B3B">
              <w:rPr>
                <w:rFonts w:ascii="Times New Roman" w:eastAsia="Times New Roman" w:hAnsi="Times New Roman"/>
                <w:bCs/>
                <w:color w:val="000000" w:themeColor="text1"/>
                <w:lang w:eastAsia="fr-FR"/>
              </w:rPr>
              <w:t>n et prise en charge de l’</w:t>
            </w:r>
            <w:r w:rsidR="009D7DDA" w:rsidRPr="00260790">
              <w:rPr>
                <w:rFonts w:ascii="Times New Roman" w:eastAsia="Times New Roman" w:hAnsi="Times New Roman"/>
                <w:bCs/>
                <w:color w:val="000000" w:themeColor="text1"/>
                <w:lang w:eastAsia="fr-FR"/>
              </w:rPr>
              <w:t>E</w:t>
            </w:r>
            <w:r w:rsidR="00041C80" w:rsidRPr="00260790">
              <w:rPr>
                <w:rFonts w:ascii="Times New Roman" w:eastAsia="Times New Roman" w:hAnsi="Times New Roman"/>
                <w:bCs/>
                <w:color w:val="000000" w:themeColor="text1"/>
                <w:lang w:eastAsia="fr-FR"/>
              </w:rPr>
              <w:t>A</w:t>
            </w:r>
            <w:r w:rsidRPr="00260790">
              <w:rPr>
                <w:rFonts w:ascii="Times New Roman" w:eastAsia="Times New Roman" w:hAnsi="Times New Roman"/>
                <w:bCs/>
                <w:color w:val="000000" w:themeColor="text1"/>
                <w:lang w:eastAsia="fr-FR"/>
              </w:rPr>
              <w:t xml:space="preserve">S/HS, </w:t>
            </w:r>
          </w:p>
          <w:p w14:paraId="319D9764" w14:textId="77777777" w:rsidR="008F35C9" w:rsidRPr="00260790" w:rsidRDefault="008F35C9" w:rsidP="00E20250">
            <w:pPr>
              <w:tabs>
                <w:tab w:val="right" w:leader="dot" w:pos="9639"/>
              </w:tabs>
              <w:autoSpaceDE w:val="0"/>
              <w:autoSpaceDN w:val="0"/>
              <w:adjustRightInd w:val="0"/>
              <w:spacing w:after="0" w:line="240" w:lineRule="auto"/>
              <w:ind w:left="360" w:right="16"/>
              <w:jc w:val="both"/>
              <w:rPr>
                <w:rFonts w:ascii="Times New Roman" w:eastAsia="Times New Roman" w:hAnsi="Times New Roman"/>
                <w:color w:val="000000" w:themeColor="text1"/>
                <w:lang w:eastAsia="fr-FR"/>
              </w:rPr>
            </w:pPr>
            <w:r w:rsidRPr="00260790">
              <w:rPr>
                <w:rFonts w:ascii="Times New Roman" w:eastAsia="Times New Roman" w:hAnsi="Times New Roman"/>
                <w:bCs/>
                <w:color w:val="000000" w:themeColor="text1"/>
                <w:lang w:eastAsia="fr-FR"/>
              </w:rPr>
              <w:t>Fonctionnement du MGP</w:t>
            </w:r>
          </w:p>
        </w:tc>
        <w:tc>
          <w:tcPr>
            <w:tcW w:w="1015" w:type="pct"/>
            <w:tcBorders>
              <w:top w:val="single" w:sz="4" w:space="0" w:color="auto"/>
              <w:left w:val="single" w:sz="4" w:space="0" w:color="auto"/>
              <w:bottom w:val="single" w:sz="4" w:space="0" w:color="auto"/>
              <w:right w:val="single" w:sz="4" w:space="0" w:color="auto"/>
            </w:tcBorders>
            <w:shd w:val="clear" w:color="auto" w:fill="FFFFFF"/>
          </w:tcPr>
          <w:p w14:paraId="05C598BF" w14:textId="77777777" w:rsidR="008F35C9" w:rsidRPr="00260790" w:rsidRDefault="008F35C9" w:rsidP="00E20250">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lastRenderedPageBreak/>
              <w:t>MDC</w:t>
            </w:r>
          </w:p>
          <w:p w14:paraId="08817A75" w14:textId="77777777" w:rsidR="008F35C9" w:rsidRPr="00260790" w:rsidRDefault="008F35C9" w:rsidP="00E20250">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Entreprises</w:t>
            </w:r>
          </w:p>
          <w:p w14:paraId="6A438E47" w14:textId="77777777" w:rsidR="008F35C9" w:rsidRPr="00260790" w:rsidRDefault="008F35C9" w:rsidP="00E20250">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Directeur des travaux</w:t>
            </w:r>
          </w:p>
          <w:p w14:paraId="3CB62757" w14:textId="77777777" w:rsidR="008F35C9" w:rsidRPr="00260790" w:rsidRDefault="008F35C9" w:rsidP="00E20250">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Conducteurs des travaux</w:t>
            </w:r>
          </w:p>
          <w:p w14:paraId="330FFD83" w14:textId="77777777" w:rsidR="008F35C9" w:rsidRPr="00260790" w:rsidRDefault="008F35C9" w:rsidP="00E20250">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Expert HSE</w:t>
            </w:r>
          </w:p>
          <w:p w14:paraId="077D5A51" w14:textId="77777777" w:rsidR="008F35C9" w:rsidRPr="00260790" w:rsidRDefault="008F35C9" w:rsidP="00E20250">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Ouvriers</w:t>
            </w:r>
          </w:p>
          <w:p w14:paraId="6EFE9317" w14:textId="77777777" w:rsidR="008F35C9" w:rsidRPr="00260790" w:rsidRDefault="008F35C9" w:rsidP="00E20250">
            <w:pPr>
              <w:tabs>
                <w:tab w:val="right" w:leader="dot" w:pos="9639"/>
              </w:tabs>
              <w:spacing w:after="0" w:line="240" w:lineRule="auto"/>
              <w:rPr>
                <w:rFonts w:ascii="Times New Roman" w:eastAsia="Times New Roman" w:hAnsi="Times New Roman"/>
                <w:color w:val="000000" w:themeColor="text1"/>
                <w:lang w:eastAsia="fr-FR"/>
              </w:rPr>
            </w:pPr>
          </w:p>
        </w:tc>
      </w:tr>
    </w:tbl>
    <w:p w14:paraId="2381D687" w14:textId="297AC1C7" w:rsidR="008F35C9" w:rsidRPr="00260790" w:rsidRDefault="00041C80" w:rsidP="00B3729F">
      <w:pPr>
        <w:pStyle w:val="CHAPITRE1"/>
        <w:spacing w:before="240"/>
        <w:rPr>
          <w:rFonts w:cs="Times New Roman"/>
        </w:rPr>
      </w:pPr>
      <w:bookmarkStart w:id="2488" w:name="_Toc212725187"/>
      <w:bookmarkStart w:id="2489" w:name="_Toc68109770"/>
      <w:r w:rsidRPr="00260790">
        <w:rPr>
          <w:rFonts w:cs="Times New Roman"/>
        </w:rPr>
        <w:t xml:space="preserve">Mesures de lutte contre les </w:t>
      </w:r>
      <w:r w:rsidR="00A07276" w:rsidRPr="00260790">
        <w:rPr>
          <w:rFonts w:cs="Times New Roman"/>
        </w:rPr>
        <w:t>VBG/</w:t>
      </w:r>
      <w:r w:rsidR="009D7DDA" w:rsidRPr="00260790">
        <w:rPr>
          <w:rFonts w:cs="Times New Roman"/>
        </w:rPr>
        <w:t>E</w:t>
      </w:r>
      <w:r w:rsidRPr="00260790">
        <w:rPr>
          <w:rFonts w:cs="Times New Roman"/>
        </w:rPr>
        <w:t>A</w:t>
      </w:r>
      <w:r w:rsidR="008F35C9" w:rsidRPr="00260790">
        <w:rPr>
          <w:rFonts w:cs="Times New Roman"/>
        </w:rPr>
        <w:t>S/HS</w:t>
      </w:r>
      <w:bookmarkEnd w:id="2488"/>
      <w:r w:rsidR="008F35C9" w:rsidRPr="00260790">
        <w:rPr>
          <w:rFonts w:cs="Times New Roman"/>
        </w:rPr>
        <w:t xml:space="preserve"> </w:t>
      </w:r>
      <w:bookmarkEnd w:id="2489"/>
    </w:p>
    <w:p w14:paraId="470FBB6E" w14:textId="4C443995" w:rsidR="008F35C9" w:rsidRPr="00260790" w:rsidRDefault="008F35C9" w:rsidP="00E20250">
      <w:pPr>
        <w:spacing w:after="0" w:line="240" w:lineRule="auto"/>
        <w:jc w:val="both"/>
        <w:rPr>
          <w:rFonts w:ascii="Times New Roman" w:hAnsi="Times New Roman"/>
          <w:color w:val="000000" w:themeColor="text1"/>
        </w:rPr>
      </w:pPr>
      <w:r w:rsidRPr="00260790">
        <w:rPr>
          <w:rFonts w:ascii="Times New Roman" w:eastAsia="Times New Roman" w:hAnsi="Times New Roman"/>
          <w:color w:val="000000" w:themeColor="text1"/>
          <w:lang w:eastAsia="fr-FR"/>
        </w:rPr>
        <w:t>Dans cet</w:t>
      </w:r>
      <w:r w:rsidR="00041C80" w:rsidRPr="00260790">
        <w:rPr>
          <w:rFonts w:ascii="Times New Roman" w:eastAsia="Times New Roman" w:hAnsi="Times New Roman"/>
          <w:color w:val="000000" w:themeColor="text1"/>
          <w:lang w:eastAsia="fr-FR"/>
        </w:rPr>
        <w:t>te présente étude, le risque d’</w:t>
      </w:r>
      <w:r w:rsidRPr="00260790">
        <w:rPr>
          <w:rFonts w:ascii="Times New Roman" w:eastAsia="Times New Roman" w:hAnsi="Times New Roman"/>
          <w:color w:val="000000" w:themeColor="text1"/>
          <w:lang w:eastAsia="fr-FR"/>
        </w:rPr>
        <w:t>E</w:t>
      </w:r>
      <w:r w:rsidR="00041C80" w:rsidRPr="00260790">
        <w:rPr>
          <w:rFonts w:ascii="Times New Roman" w:eastAsia="Times New Roman" w:hAnsi="Times New Roman"/>
          <w:color w:val="000000" w:themeColor="text1"/>
          <w:lang w:eastAsia="fr-FR"/>
        </w:rPr>
        <w:t>A</w:t>
      </w:r>
      <w:r w:rsidRPr="00260790">
        <w:rPr>
          <w:rFonts w:ascii="Times New Roman" w:eastAsia="Times New Roman" w:hAnsi="Times New Roman"/>
          <w:color w:val="000000" w:themeColor="text1"/>
          <w:lang w:eastAsia="fr-FR"/>
        </w:rPr>
        <w:t>S/HS lié à la mise en œuvre du projet a été analysé. À cet effet, d</w:t>
      </w:r>
      <w:r w:rsidRPr="00260790">
        <w:rPr>
          <w:rFonts w:ascii="Times New Roman" w:hAnsi="Times New Roman"/>
          <w:color w:val="000000" w:themeColor="text1"/>
        </w:rPr>
        <w:t>es mesures sont préconisées pour la prise en compte du genre</w:t>
      </w:r>
      <w:r w:rsidR="00041C80" w:rsidRPr="00260790">
        <w:rPr>
          <w:rFonts w:ascii="Times New Roman" w:hAnsi="Times New Roman"/>
          <w:color w:val="000000" w:themeColor="text1"/>
        </w:rPr>
        <w:t xml:space="preserve"> incluant les mesures contre </w:t>
      </w:r>
      <w:r w:rsidR="00855B3B">
        <w:rPr>
          <w:rFonts w:ascii="Times New Roman" w:hAnsi="Times New Roman"/>
          <w:color w:val="000000" w:themeColor="text1"/>
        </w:rPr>
        <w:t>l’</w:t>
      </w:r>
      <w:r w:rsidR="00A07276" w:rsidRPr="00260790">
        <w:rPr>
          <w:rFonts w:ascii="Times New Roman" w:hAnsi="Times New Roman"/>
          <w:color w:val="000000" w:themeColor="text1"/>
        </w:rPr>
        <w:t>EAS/HS</w:t>
      </w:r>
      <w:r w:rsidRPr="00260790">
        <w:rPr>
          <w:rFonts w:ascii="Times New Roman" w:hAnsi="Times New Roman"/>
          <w:color w:val="000000" w:themeColor="text1"/>
        </w:rPr>
        <w:t xml:space="preserve"> et la prise en charge des victimes. Il s’agit notamment de :</w:t>
      </w:r>
    </w:p>
    <w:p w14:paraId="41964241" w14:textId="2AA56BA4" w:rsidR="008F35C9" w:rsidRPr="00260790" w:rsidRDefault="008F35C9" w:rsidP="001748C6">
      <w:pPr>
        <w:pStyle w:val="Paragraphedeliste"/>
        <w:numPr>
          <w:ilvl w:val="0"/>
          <w:numId w:val="103"/>
        </w:numPr>
        <w:autoSpaceDE w:val="0"/>
        <w:autoSpaceDN w:val="0"/>
        <w:adjustRightInd w:val="0"/>
        <w:spacing w:after="0"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préparer</w:t>
      </w:r>
      <w:proofErr w:type="gramEnd"/>
      <w:r w:rsidRPr="00260790">
        <w:rPr>
          <w:rFonts w:ascii="Times New Roman" w:hAnsi="Times New Roman"/>
          <w:color w:val="000000" w:themeColor="text1"/>
        </w:rPr>
        <w:t xml:space="preserve"> et la mettre en œuvre un plan de communication, d’information et de sensibilisation</w:t>
      </w:r>
      <w:r w:rsidR="00041C80" w:rsidRPr="00260790">
        <w:rPr>
          <w:rFonts w:ascii="Times New Roman" w:hAnsi="Times New Roman"/>
          <w:color w:val="000000" w:themeColor="text1"/>
        </w:rPr>
        <w:t xml:space="preserve"> des populations locales sur </w:t>
      </w:r>
      <w:r w:rsidR="0061132E" w:rsidRPr="00260790">
        <w:rPr>
          <w:rFonts w:ascii="Times New Roman" w:hAnsi="Times New Roman"/>
          <w:color w:val="000000" w:themeColor="text1"/>
        </w:rPr>
        <w:t>l’</w:t>
      </w:r>
      <w:r w:rsidR="00A07276" w:rsidRPr="00260790">
        <w:rPr>
          <w:rFonts w:ascii="Times New Roman" w:hAnsi="Times New Roman"/>
          <w:color w:val="000000" w:themeColor="text1"/>
        </w:rPr>
        <w:t>EAS/HS</w:t>
      </w:r>
      <w:r w:rsidRPr="00260790">
        <w:rPr>
          <w:rFonts w:ascii="Times New Roman" w:hAnsi="Times New Roman"/>
          <w:color w:val="000000" w:themeColor="text1"/>
        </w:rPr>
        <w:t> ;</w:t>
      </w:r>
    </w:p>
    <w:p w14:paraId="3C78828B" w14:textId="2B5BBAC7" w:rsidR="008F35C9" w:rsidRPr="00260790" w:rsidRDefault="008F35C9" w:rsidP="001748C6">
      <w:pPr>
        <w:pStyle w:val="Paragraphedeliste"/>
        <w:numPr>
          <w:ilvl w:val="0"/>
          <w:numId w:val="103"/>
        </w:numPr>
        <w:autoSpaceDE w:val="0"/>
        <w:autoSpaceDN w:val="0"/>
        <w:adjustRightInd w:val="0"/>
        <w:spacing w:after="0"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préparer</w:t>
      </w:r>
      <w:proofErr w:type="gramEnd"/>
      <w:r w:rsidRPr="00260790">
        <w:rPr>
          <w:rFonts w:ascii="Times New Roman" w:hAnsi="Times New Roman"/>
          <w:color w:val="000000" w:themeColor="text1"/>
        </w:rPr>
        <w:t xml:space="preserve"> des codes de conduite à intégrer dans les dossiers d’appel d’offres des entreprises, en vue de prévenir et d</w:t>
      </w:r>
      <w:r w:rsidR="00041C80" w:rsidRPr="00260790">
        <w:rPr>
          <w:rFonts w:ascii="Times New Roman" w:hAnsi="Times New Roman"/>
          <w:color w:val="000000" w:themeColor="text1"/>
        </w:rPr>
        <w:t xml:space="preserve">’atténuer les risques liés aux </w:t>
      </w:r>
      <w:r w:rsidR="009D7DDA" w:rsidRPr="00260790">
        <w:rPr>
          <w:rFonts w:ascii="Times New Roman" w:hAnsi="Times New Roman"/>
          <w:color w:val="000000" w:themeColor="text1"/>
        </w:rPr>
        <w:t>E</w:t>
      </w:r>
      <w:r w:rsidR="00041C80" w:rsidRPr="00260790">
        <w:rPr>
          <w:rFonts w:ascii="Times New Roman" w:hAnsi="Times New Roman"/>
          <w:color w:val="000000" w:themeColor="text1"/>
        </w:rPr>
        <w:t>A</w:t>
      </w:r>
      <w:r w:rsidRPr="00260790">
        <w:rPr>
          <w:rFonts w:ascii="Times New Roman" w:hAnsi="Times New Roman"/>
          <w:color w:val="000000" w:themeColor="text1"/>
        </w:rPr>
        <w:t>S/HS ;</w:t>
      </w:r>
    </w:p>
    <w:p w14:paraId="7634DA8C" w14:textId="469063C0" w:rsidR="008F35C9" w:rsidRPr="00260790" w:rsidRDefault="008F35C9" w:rsidP="001748C6">
      <w:pPr>
        <w:pStyle w:val="Paragraphedeliste"/>
        <w:numPr>
          <w:ilvl w:val="0"/>
          <w:numId w:val="103"/>
        </w:numPr>
        <w:autoSpaceDE w:val="0"/>
        <w:autoSpaceDN w:val="0"/>
        <w:adjustRightInd w:val="0"/>
        <w:spacing w:after="0"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veiller</w:t>
      </w:r>
      <w:proofErr w:type="gramEnd"/>
      <w:r w:rsidRPr="00260790">
        <w:rPr>
          <w:rFonts w:ascii="Times New Roman" w:hAnsi="Times New Roman"/>
          <w:color w:val="000000" w:themeColor="text1"/>
        </w:rPr>
        <w:t xml:space="preserve"> au respect des droits </w:t>
      </w:r>
      <w:r w:rsidR="00041C80" w:rsidRPr="00260790">
        <w:rPr>
          <w:rFonts w:ascii="Times New Roman" w:hAnsi="Times New Roman"/>
          <w:color w:val="000000" w:themeColor="text1"/>
        </w:rPr>
        <w:t xml:space="preserve">des femmes et à lutte contre </w:t>
      </w:r>
      <w:r w:rsidR="00A07276" w:rsidRPr="00260790">
        <w:rPr>
          <w:rFonts w:ascii="Times New Roman" w:hAnsi="Times New Roman"/>
          <w:color w:val="000000" w:themeColor="text1"/>
        </w:rPr>
        <w:t>l</w:t>
      </w:r>
      <w:r w:rsidR="0061132E" w:rsidRPr="00260790">
        <w:rPr>
          <w:rFonts w:ascii="Times New Roman" w:hAnsi="Times New Roman"/>
          <w:color w:val="000000" w:themeColor="text1"/>
        </w:rPr>
        <w:t>’</w:t>
      </w:r>
      <w:r w:rsidR="00A07276" w:rsidRPr="00260790">
        <w:rPr>
          <w:rFonts w:ascii="Times New Roman" w:hAnsi="Times New Roman"/>
          <w:color w:val="000000" w:themeColor="text1"/>
        </w:rPr>
        <w:t>EAS/HS</w:t>
      </w:r>
      <w:r w:rsidRPr="00260790">
        <w:rPr>
          <w:rFonts w:ascii="Times New Roman" w:hAnsi="Times New Roman"/>
          <w:color w:val="000000" w:themeColor="text1"/>
        </w:rPr>
        <w:t xml:space="preserve"> lors du recrutement de la main-d’œuvre ;</w:t>
      </w:r>
    </w:p>
    <w:p w14:paraId="64B114B5" w14:textId="78C4D939" w:rsidR="008F35C9" w:rsidRPr="00260790" w:rsidRDefault="008F35C9" w:rsidP="001748C6">
      <w:pPr>
        <w:pStyle w:val="Paragraphedeliste"/>
        <w:numPr>
          <w:ilvl w:val="0"/>
          <w:numId w:val="103"/>
        </w:numPr>
        <w:autoSpaceDE w:val="0"/>
        <w:autoSpaceDN w:val="0"/>
        <w:adjustRightInd w:val="0"/>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prendre</w:t>
      </w:r>
      <w:proofErr w:type="gramEnd"/>
      <w:r w:rsidRPr="00260790">
        <w:rPr>
          <w:rFonts w:ascii="Times New Roman" w:hAnsi="Times New Roman"/>
          <w:color w:val="000000" w:themeColor="text1"/>
        </w:rPr>
        <w:t xml:space="preserve"> en compte la prévention et le traitement de</w:t>
      </w:r>
      <w:r w:rsidR="00041C80" w:rsidRPr="00260790">
        <w:rPr>
          <w:rFonts w:ascii="Times New Roman" w:hAnsi="Times New Roman"/>
          <w:color w:val="000000" w:themeColor="text1"/>
        </w:rPr>
        <w:t>s plaintes sensibles (</w:t>
      </w:r>
      <w:r w:rsidR="009D7DDA" w:rsidRPr="00260790">
        <w:rPr>
          <w:rFonts w:ascii="Times New Roman" w:hAnsi="Times New Roman"/>
          <w:color w:val="000000" w:themeColor="text1"/>
        </w:rPr>
        <w:t>E</w:t>
      </w:r>
      <w:r w:rsidR="00041C80" w:rsidRPr="00260790">
        <w:rPr>
          <w:rFonts w:ascii="Times New Roman" w:hAnsi="Times New Roman"/>
          <w:color w:val="000000" w:themeColor="text1"/>
        </w:rPr>
        <w:t>A</w:t>
      </w:r>
      <w:r w:rsidRPr="00260790">
        <w:rPr>
          <w:rFonts w:ascii="Times New Roman" w:hAnsi="Times New Roman"/>
          <w:color w:val="000000" w:themeColor="text1"/>
        </w:rPr>
        <w:t>S/HS) de manière spécifique dans le MGP à mettre en place par le projet.</w:t>
      </w:r>
    </w:p>
    <w:p w14:paraId="78745AA9" w14:textId="76C6BCC8" w:rsidR="008F35C9" w:rsidRPr="00260790" w:rsidRDefault="009B2D26" w:rsidP="00E20250">
      <w:pPr>
        <w:autoSpaceDE w:val="0"/>
        <w:autoSpaceDN w:val="0"/>
        <w:adjustRightInd w:val="0"/>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Concernant les plaintes pour </w:t>
      </w:r>
      <w:r w:rsidR="008F35C9" w:rsidRPr="00260790">
        <w:rPr>
          <w:rFonts w:ascii="Times New Roman" w:hAnsi="Times New Roman"/>
          <w:color w:val="000000" w:themeColor="text1"/>
        </w:rPr>
        <w:t>l’exploitation et l’abus sexuel et le Harcèlement Sexuel, afin d’éviter pour les victimes des risques de stigmatisation, de rej</w:t>
      </w:r>
      <w:r w:rsidR="00041C80" w:rsidRPr="00260790">
        <w:rPr>
          <w:rFonts w:ascii="Times New Roman" w:hAnsi="Times New Roman"/>
          <w:color w:val="000000" w:themeColor="text1"/>
        </w:rPr>
        <w:t>et et de représailles, le Mécanisme de Gestion des P</w:t>
      </w:r>
      <w:r w:rsidR="008F35C9" w:rsidRPr="00260790">
        <w:rPr>
          <w:rFonts w:ascii="Times New Roman" w:hAnsi="Times New Roman"/>
          <w:color w:val="000000" w:themeColor="text1"/>
        </w:rPr>
        <w:t>laintes</w:t>
      </w:r>
      <w:r w:rsidR="00041C80" w:rsidRPr="00260790">
        <w:rPr>
          <w:rFonts w:ascii="Times New Roman" w:hAnsi="Times New Roman"/>
          <w:color w:val="000000" w:themeColor="text1"/>
        </w:rPr>
        <w:t xml:space="preserve"> préparé par le Projet et en cours de mise en œuvre a été actualisé</w:t>
      </w:r>
      <w:r w:rsidR="008F35C9" w:rsidRPr="00260790">
        <w:rPr>
          <w:rFonts w:ascii="Times New Roman" w:hAnsi="Times New Roman"/>
          <w:color w:val="000000" w:themeColor="text1"/>
        </w:rPr>
        <w:t xml:space="preserve"> dans le ca</w:t>
      </w:r>
      <w:r w:rsidRPr="00260790">
        <w:rPr>
          <w:rFonts w:ascii="Times New Roman" w:hAnsi="Times New Roman"/>
          <w:color w:val="000000" w:themeColor="text1"/>
        </w:rPr>
        <w:t>dre du financement additionnel. Il dispose</w:t>
      </w:r>
      <w:r w:rsidR="008F35C9" w:rsidRPr="00260790">
        <w:rPr>
          <w:rFonts w:ascii="Times New Roman" w:hAnsi="Times New Roman"/>
          <w:color w:val="000000" w:themeColor="text1"/>
        </w:rPr>
        <w:t xml:space="preserve"> de canaux appropriés pour que les plaintes puissent être enregistrées en toute confidentialité, et que le suivi des cas de violence sexiste dans le cadre du projet soit assuré de manière appropriée.</w:t>
      </w:r>
    </w:p>
    <w:p w14:paraId="22C70FB7" w14:textId="77777777" w:rsidR="008F35C9" w:rsidRPr="00260790" w:rsidRDefault="008F35C9" w:rsidP="00E20250">
      <w:pPr>
        <w:autoSpaceDE w:val="0"/>
        <w:autoSpaceDN w:val="0"/>
        <w:adjustRightInd w:val="0"/>
        <w:spacing w:line="240" w:lineRule="auto"/>
        <w:jc w:val="both"/>
        <w:rPr>
          <w:rFonts w:ascii="Times New Roman" w:hAnsi="Times New Roman"/>
          <w:color w:val="000000" w:themeColor="text1"/>
        </w:rPr>
      </w:pPr>
      <w:r w:rsidRPr="00260790">
        <w:rPr>
          <w:rFonts w:ascii="Times New Roman" w:hAnsi="Times New Roman"/>
          <w:color w:val="000000" w:themeColor="text1"/>
        </w:rPr>
        <w:t>Dans le cadre du projet, toutes les victimes seront orientées immédiatement vers les services spécialisés pour obtenir un soutien médical, psychosocial et juridique. Selon l’approche axée sur la victime, le dossier n’est clos que lorsque la victime n’a plus besoin du soutien.  Si un projet se termine alors que des dossiers de violence sexiste sont pendants, des arrangements appropriés doivent être assurés afin de garantir qu’il y a des ressources pour aider les victimes.</w:t>
      </w:r>
    </w:p>
    <w:p w14:paraId="49B29EF2" w14:textId="53F0B3E4" w:rsidR="008F35C9" w:rsidRPr="00260790" w:rsidRDefault="008F35C9" w:rsidP="00E20250">
      <w:pPr>
        <w:autoSpaceDE w:val="0"/>
        <w:autoSpaceDN w:val="0"/>
        <w:adjustRightInd w:val="0"/>
        <w:spacing w:after="0" w:line="240" w:lineRule="auto"/>
        <w:jc w:val="both"/>
        <w:rPr>
          <w:rFonts w:ascii="Times New Roman" w:hAnsi="Times New Roman"/>
          <w:color w:val="000000" w:themeColor="text1"/>
        </w:rPr>
      </w:pPr>
      <w:r w:rsidRPr="00260790">
        <w:rPr>
          <w:rFonts w:ascii="Times New Roman" w:hAnsi="Times New Roman"/>
          <w:color w:val="000000" w:themeColor="text1"/>
        </w:rPr>
        <w:t>Le cadre de résultats du projet doit aussi inclur</w:t>
      </w:r>
      <w:r w:rsidR="009B2D26" w:rsidRPr="00260790">
        <w:rPr>
          <w:rFonts w:ascii="Times New Roman" w:hAnsi="Times New Roman"/>
          <w:color w:val="000000" w:themeColor="text1"/>
        </w:rPr>
        <w:t xml:space="preserve">e des indicateurs concernant </w:t>
      </w:r>
      <w:r w:rsidR="00A07276" w:rsidRPr="00260790">
        <w:rPr>
          <w:rFonts w:ascii="Times New Roman" w:hAnsi="Times New Roman"/>
          <w:color w:val="000000" w:themeColor="text1"/>
        </w:rPr>
        <w:t>l</w:t>
      </w:r>
      <w:r w:rsidR="0061132E" w:rsidRPr="00260790">
        <w:rPr>
          <w:rFonts w:ascii="Times New Roman" w:hAnsi="Times New Roman"/>
          <w:color w:val="000000" w:themeColor="text1"/>
        </w:rPr>
        <w:t>’</w:t>
      </w:r>
      <w:r w:rsidR="00A07276" w:rsidRPr="00260790">
        <w:rPr>
          <w:rFonts w:ascii="Times New Roman" w:hAnsi="Times New Roman"/>
          <w:color w:val="000000" w:themeColor="text1"/>
        </w:rPr>
        <w:t>EAS/HS</w:t>
      </w:r>
      <w:r w:rsidRPr="00260790">
        <w:rPr>
          <w:rFonts w:ascii="Times New Roman" w:hAnsi="Times New Roman"/>
          <w:color w:val="000000" w:themeColor="text1"/>
        </w:rPr>
        <w:t xml:space="preserve">. À titre indicatif, parmi les indicateurs, on peut </w:t>
      </w:r>
      <w:r w:rsidR="00CB5833" w:rsidRPr="00260790">
        <w:rPr>
          <w:rFonts w:ascii="Times New Roman" w:hAnsi="Times New Roman"/>
          <w:color w:val="000000" w:themeColor="text1"/>
        </w:rPr>
        <w:t>citer</w:t>
      </w:r>
      <w:r w:rsidR="009B2D26" w:rsidRPr="00260790">
        <w:rPr>
          <w:rFonts w:ascii="Times New Roman" w:hAnsi="Times New Roman"/>
          <w:color w:val="000000" w:themeColor="text1"/>
        </w:rPr>
        <w:t xml:space="preserve"> </w:t>
      </w:r>
      <w:r w:rsidR="00CB5833" w:rsidRPr="00260790">
        <w:rPr>
          <w:rFonts w:ascii="Times New Roman" w:hAnsi="Times New Roman"/>
          <w:color w:val="000000" w:themeColor="text1"/>
        </w:rPr>
        <w:t>:</w:t>
      </w:r>
      <w:r w:rsidRPr="00260790">
        <w:rPr>
          <w:rFonts w:ascii="Times New Roman" w:hAnsi="Times New Roman"/>
          <w:color w:val="000000" w:themeColor="text1"/>
        </w:rPr>
        <w:t xml:space="preserve"> </w:t>
      </w:r>
    </w:p>
    <w:p w14:paraId="64887DFB" w14:textId="77777777" w:rsidR="008F35C9" w:rsidRPr="00260790" w:rsidRDefault="008F35C9" w:rsidP="001748C6">
      <w:pPr>
        <w:numPr>
          <w:ilvl w:val="0"/>
          <w:numId w:val="36"/>
        </w:numPr>
        <w:autoSpaceDE w:val="0"/>
        <w:autoSpaceDN w:val="0"/>
        <w:adjustRightInd w:val="0"/>
        <w:spacing w:after="65"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le</w:t>
      </w:r>
      <w:proofErr w:type="gramEnd"/>
      <w:r w:rsidRPr="00260790">
        <w:rPr>
          <w:rFonts w:ascii="Times New Roman" w:hAnsi="Times New Roman"/>
          <w:color w:val="000000" w:themeColor="text1"/>
        </w:rPr>
        <w:t xml:space="preserve"> nombre et la nature des cas cités,</w:t>
      </w:r>
    </w:p>
    <w:p w14:paraId="6355FEBE" w14:textId="77777777" w:rsidR="008F35C9" w:rsidRPr="00260790" w:rsidRDefault="008F35C9" w:rsidP="001748C6">
      <w:pPr>
        <w:numPr>
          <w:ilvl w:val="0"/>
          <w:numId w:val="35"/>
        </w:numPr>
        <w:autoSpaceDE w:val="0"/>
        <w:autoSpaceDN w:val="0"/>
        <w:adjustRightInd w:val="0"/>
        <w:spacing w:after="65"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le</w:t>
      </w:r>
      <w:proofErr w:type="gramEnd"/>
      <w:r w:rsidRPr="00260790">
        <w:rPr>
          <w:rFonts w:ascii="Times New Roman" w:hAnsi="Times New Roman"/>
          <w:color w:val="000000" w:themeColor="text1"/>
        </w:rPr>
        <w:t xml:space="preserve"> nombre de cas traités</w:t>
      </w:r>
    </w:p>
    <w:p w14:paraId="751AA2D3" w14:textId="77777777" w:rsidR="008F35C9" w:rsidRPr="00260790" w:rsidRDefault="008F35C9" w:rsidP="001748C6">
      <w:pPr>
        <w:numPr>
          <w:ilvl w:val="0"/>
          <w:numId w:val="35"/>
        </w:numPr>
        <w:autoSpaceDE w:val="0"/>
        <w:autoSpaceDN w:val="0"/>
        <w:adjustRightInd w:val="0"/>
        <w:spacing w:after="0"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le</w:t>
      </w:r>
      <w:proofErr w:type="gramEnd"/>
      <w:r w:rsidRPr="00260790">
        <w:rPr>
          <w:rFonts w:ascii="Times New Roman" w:hAnsi="Times New Roman"/>
          <w:color w:val="000000" w:themeColor="text1"/>
        </w:rPr>
        <w:t xml:space="preserve"> temps nécessaire pour statuer sur une plainte de violence sexiste.</w:t>
      </w:r>
    </w:p>
    <w:p w14:paraId="19E576C2" w14:textId="77777777" w:rsidR="008F35C9" w:rsidRPr="00260790" w:rsidRDefault="008F35C9" w:rsidP="001748C6">
      <w:pPr>
        <w:numPr>
          <w:ilvl w:val="0"/>
          <w:numId w:val="35"/>
        </w:numPr>
        <w:autoSpaceDE w:val="0"/>
        <w:autoSpaceDN w:val="0"/>
        <w:adjustRightInd w:val="0"/>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Le nombre de cours de formation dispensés sur la violence sexiste ; </w:t>
      </w:r>
    </w:p>
    <w:p w14:paraId="1309BEEE" w14:textId="77777777" w:rsidR="008F35C9" w:rsidRPr="00260790" w:rsidRDefault="008F35C9" w:rsidP="001748C6">
      <w:pPr>
        <w:numPr>
          <w:ilvl w:val="0"/>
          <w:numId w:val="35"/>
        </w:numPr>
        <w:autoSpaceDE w:val="0"/>
        <w:autoSpaceDN w:val="0"/>
        <w:adjustRightInd w:val="0"/>
        <w:spacing w:after="0"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le</w:t>
      </w:r>
      <w:proofErr w:type="gramEnd"/>
      <w:r w:rsidRPr="00260790">
        <w:rPr>
          <w:rFonts w:ascii="Times New Roman" w:hAnsi="Times New Roman"/>
          <w:color w:val="000000" w:themeColor="text1"/>
        </w:rPr>
        <w:t xml:space="preserve"> pourcentage de travailleurs ayant signé un code de conduite ; et/ou </w:t>
      </w:r>
    </w:p>
    <w:p w14:paraId="77EE6AC1" w14:textId="77777777" w:rsidR="008F35C9" w:rsidRPr="00260790" w:rsidRDefault="008F35C9" w:rsidP="001748C6">
      <w:pPr>
        <w:numPr>
          <w:ilvl w:val="0"/>
          <w:numId w:val="35"/>
        </w:numPr>
        <w:autoSpaceDE w:val="0"/>
        <w:autoSpaceDN w:val="0"/>
        <w:adjustRightInd w:val="0"/>
        <w:spacing w:after="0"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le</w:t>
      </w:r>
      <w:proofErr w:type="gramEnd"/>
      <w:r w:rsidRPr="00260790">
        <w:rPr>
          <w:rFonts w:ascii="Times New Roman" w:hAnsi="Times New Roman"/>
          <w:color w:val="000000" w:themeColor="text1"/>
        </w:rPr>
        <w:t xml:space="preserve"> pourcentage de personnes d’appui et de travailleurs ayant participé à la formation. </w:t>
      </w:r>
    </w:p>
    <w:p w14:paraId="10825418" w14:textId="77777777" w:rsidR="008F35C9" w:rsidRPr="00260790" w:rsidRDefault="008F35C9" w:rsidP="001748C6">
      <w:pPr>
        <w:numPr>
          <w:ilvl w:val="0"/>
          <w:numId w:val="35"/>
        </w:numPr>
        <w:autoSpaceDE w:val="0"/>
        <w:autoSpaceDN w:val="0"/>
        <w:adjustRightInd w:val="0"/>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Nombre de cas de violence sexiste transmis par le mécanisme de gestion des plaintes, ventilés par adulte/enfant et par sexe ; </w:t>
      </w:r>
    </w:p>
    <w:p w14:paraId="72E0D86F" w14:textId="77777777" w:rsidR="008F35C9" w:rsidRPr="00260790" w:rsidRDefault="008F35C9" w:rsidP="001748C6">
      <w:pPr>
        <w:numPr>
          <w:ilvl w:val="0"/>
          <w:numId w:val="35"/>
        </w:numPr>
        <w:autoSpaceDE w:val="0"/>
        <w:autoSpaceDN w:val="0"/>
        <w:adjustRightInd w:val="0"/>
        <w:spacing w:after="0"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nombre</w:t>
      </w:r>
      <w:proofErr w:type="gramEnd"/>
      <w:r w:rsidRPr="00260790">
        <w:rPr>
          <w:rFonts w:ascii="Times New Roman" w:hAnsi="Times New Roman"/>
          <w:color w:val="000000" w:themeColor="text1"/>
        </w:rPr>
        <w:t xml:space="preserve"> de dossiers ouverts, et durée moyenne depuis leur enregistrement ; et </w:t>
      </w:r>
    </w:p>
    <w:p w14:paraId="36DC119C" w14:textId="77777777" w:rsidR="008F35C9" w:rsidRPr="00260790" w:rsidRDefault="008F35C9" w:rsidP="001748C6">
      <w:pPr>
        <w:numPr>
          <w:ilvl w:val="0"/>
          <w:numId w:val="35"/>
        </w:numPr>
        <w:autoSpaceDE w:val="0"/>
        <w:autoSpaceDN w:val="0"/>
        <w:adjustRightInd w:val="0"/>
        <w:spacing w:after="0"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nombre</w:t>
      </w:r>
      <w:proofErr w:type="gramEnd"/>
      <w:r w:rsidRPr="00260790">
        <w:rPr>
          <w:rFonts w:ascii="Times New Roman" w:hAnsi="Times New Roman"/>
          <w:color w:val="000000" w:themeColor="text1"/>
        </w:rPr>
        <w:t xml:space="preserve"> d’affaires closes et durée moyenne de l’instance.</w:t>
      </w:r>
    </w:p>
    <w:p w14:paraId="339C6E1B" w14:textId="77777777" w:rsidR="008F35C9" w:rsidRPr="00260790" w:rsidRDefault="008F35C9" w:rsidP="001748C6">
      <w:pPr>
        <w:numPr>
          <w:ilvl w:val="0"/>
          <w:numId w:val="35"/>
        </w:numPr>
        <w:autoSpaceDE w:val="0"/>
        <w:autoSpaceDN w:val="0"/>
        <w:adjustRightInd w:val="0"/>
        <w:spacing w:after="0" w:line="240" w:lineRule="auto"/>
        <w:jc w:val="both"/>
        <w:rPr>
          <w:rFonts w:ascii="Times New Roman" w:hAnsi="Times New Roman"/>
          <w:color w:val="000000" w:themeColor="text1"/>
        </w:rPr>
      </w:pPr>
      <w:r w:rsidRPr="00260790">
        <w:rPr>
          <w:rFonts w:ascii="Times New Roman" w:hAnsi="Times New Roman"/>
          <w:color w:val="000000" w:themeColor="text1"/>
        </w:rPr>
        <w:t>etc.</w:t>
      </w:r>
    </w:p>
    <w:p w14:paraId="1338D2E2" w14:textId="77777777" w:rsidR="008F35C9" w:rsidRPr="00260790" w:rsidRDefault="008F35C9" w:rsidP="00E20250">
      <w:pPr>
        <w:autoSpaceDE w:val="0"/>
        <w:autoSpaceDN w:val="0"/>
        <w:adjustRightInd w:val="0"/>
        <w:spacing w:after="0" w:line="240" w:lineRule="auto"/>
        <w:jc w:val="both"/>
        <w:rPr>
          <w:rFonts w:ascii="Times New Roman" w:hAnsi="Times New Roman"/>
          <w:color w:val="000000" w:themeColor="text1"/>
        </w:rPr>
      </w:pPr>
    </w:p>
    <w:p w14:paraId="05FEF01D" w14:textId="77777777" w:rsidR="008F35C9" w:rsidRPr="00260790" w:rsidRDefault="008F35C9" w:rsidP="00855B3B">
      <w:pPr>
        <w:spacing w:after="0" w:line="240" w:lineRule="auto"/>
        <w:jc w:val="both"/>
        <w:rPr>
          <w:rFonts w:ascii="Times New Roman" w:eastAsia="Times New Roman" w:hAnsi="Times New Roman"/>
          <w:i/>
          <w:iCs/>
          <w:color w:val="000000" w:themeColor="text1"/>
          <w:lang w:eastAsia="fr-FR"/>
        </w:rPr>
      </w:pPr>
      <w:r w:rsidRPr="00260790">
        <w:rPr>
          <w:rFonts w:ascii="Times New Roman" w:eastAsia="Times New Roman" w:hAnsi="Times New Roman"/>
          <w:color w:val="000000" w:themeColor="text1"/>
          <w:lang w:eastAsia="fr-FR"/>
        </w:rPr>
        <w:t>Le tableau suivant présente la matrice du plan de gestion environnementale et sociale (PGES) du projet.</w:t>
      </w:r>
    </w:p>
    <w:p w14:paraId="204E2B01" w14:textId="77777777" w:rsidR="008F35C9" w:rsidRPr="00260790" w:rsidRDefault="008F35C9" w:rsidP="00E20250">
      <w:pPr>
        <w:autoSpaceDE w:val="0"/>
        <w:autoSpaceDN w:val="0"/>
        <w:adjustRightInd w:val="0"/>
        <w:spacing w:after="0" w:line="240" w:lineRule="auto"/>
        <w:jc w:val="both"/>
        <w:rPr>
          <w:rFonts w:ascii="Times New Roman" w:hAnsi="Times New Roman"/>
          <w:color w:val="000000" w:themeColor="text1"/>
        </w:rPr>
      </w:pPr>
    </w:p>
    <w:p w14:paraId="71D48E1E" w14:textId="77777777" w:rsidR="008F35C9" w:rsidRPr="00260790" w:rsidRDefault="008F35C9" w:rsidP="00E20250">
      <w:pPr>
        <w:spacing w:line="240" w:lineRule="auto"/>
        <w:rPr>
          <w:rFonts w:ascii="Times New Roman" w:eastAsia="Times New Roman" w:hAnsi="Times New Roman"/>
          <w:b/>
          <w:bCs/>
          <w:color w:val="000000" w:themeColor="text1"/>
          <w:lang w:eastAsia="fr-FR"/>
        </w:rPr>
      </w:pPr>
      <w:r w:rsidRPr="00260790">
        <w:rPr>
          <w:rFonts w:ascii="Times New Roman" w:hAnsi="Times New Roman"/>
          <w:color w:val="000000" w:themeColor="text1"/>
        </w:rPr>
        <w:br w:type="page"/>
      </w:r>
    </w:p>
    <w:p w14:paraId="025CFD0E" w14:textId="77777777" w:rsidR="008F35C9" w:rsidRPr="00260790" w:rsidRDefault="008F35C9" w:rsidP="00E20250">
      <w:pPr>
        <w:spacing w:line="240" w:lineRule="auto"/>
        <w:rPr>
          <w:rFonts w:ascii="Times New Roman" w:hAnsi="Times New Roman"/>
          <w:color w:val="000000" w:themeColor="text1"/>
        </w:rPr>
        <w:sectPr w:rsidR="008F35C9" w:rsidRPr="00260790" w:rsidSect="007903CC">
          <w:pgSz w:w="11906" w:h="16838"/>
          <w:pgMar w:top="1418" w:right="1418" w:bottom="1418" w:left="1418" w:header="709" w:footer="454" w:gutter="0"/>
          <w:cols w:space="720"/>
        </w:sectPr>
      </w:pPr>
    </w:p>
    <w:p w14:paraId="674CDF90" w14:textId="694F4AB5" w:rsidR="00570E16" w:rsidRDefault="008F35C9" w:rsidP="00E20250">
      <w:pPr>
        <w:spacing w:line="240" w:lineRule="auto"/>
        <w:rPr>
          <w:rFonts w:ascii="Times New Roman" w:eastAsia="Times New Roman" w:hAnsi="Times New Roman"/>
          <w:i/>
          <w:iCs/>
          <w:color w:val="000000" w:themeColor="text1"/>
          <w:lang w:eastAsia="fr-FR"/>
        </w:rPr>
      </w:pPr>
      <w:bookmarkStart w:id="2490" w:name="_Toc207781959"/>
      <w:r w:rsidRPr="00260790">
        <w:rPr>
          <w:rFonts w:ascii="Times New Roman" w:eastAsia="Times New Roman" w:hAnsi="Times New Roman"/>
          <w:i/>
          <w:iCs/>
          <w:color w:val="000000" w:themeColor="text1"/>
          <w:lang w:eastAsia="fr-FR"/>
        </w:rPr>
        <w:lastRenderedPageBreak/>
        <w:t xml:space="preserve">Tableau </w:t>
      </w:r>
      <w:r w:rsidRPr="00260790">
        <w:rPr>
          <w:rFonts w:ascii="Times New Roman" w:hAnsi="Times New Roman"/>
          <w:i/>
          <w:iCs/>
          <w:color w:val="000000" w:themeColor="text1"/>
        </w:rPr>
        <w:fldChar w:fldCharType="begin"/>
      </w:r>
      <w:r w:rsidRPr="00260790">
        <w:rPr>
          <w:rFonts w:ascii="Times New Roman" w:eastAsia="Times New Roman" w:hAnsi="Times New Roman"/>
          <w:i/>
          <w:iCs/>
          <w:color w:val="000000" w:themeColor="text1"/>
          <w:lang w:eastAsia="fr-FR"/>
        </w:rPr>
        <w:instrText xml:space="preserve"> SEQ Tableau \* ARABIC </w:instrText>
      </w:r>
      <w:r w:rsidRPr="00260790">
        <w:rPr>
          <w:rFonts w:ascii="Times New Roman" w:hAnsi="Times New Roman"/>
          <w:i/>
          <w:iCs/>
          <w:color w:val="000000" w:themeColor="text1"/>
        </w:rPr>
        <w:fldChar w:fldCharType="separate"/>
      </w:r>
      <w:r w:rsidR="003C783E">
        <w:rPr>
          <w:rFonts w:ascii="Times New Roman" w:eastAsia="Times New Roman" w:hAnsi="Times New Roman"/>
          <w:i/>
          <w:iCs/>
          <w:noProof/>
          <w:color w:val="000000" w:themeColor="text1"/>
          <w:lang w:eastAsia="fr-FR"/>
        </w:rPr>
        <w:t>118</w:t>
      </w:r>
      <w:r w:rsidRPr="00260790">
        <w:rPr>
          <w:rFonts w:ascii="Times New Roman" w:hAnsi="Times New Roman"/>
          <w:i/>
          <w:iCs/>
          <w:color w:val="000000" w:themeColor="text1"/>
        </w:rPr>
        <w:fldChar w:fldCharType="end"/>
      </w:r>
      <w:r w:rsidRPr="00260790">
        <w:rPr>
          <w:rFonts w:ascii="Times New Roman" w:eastAsia="Times New Roman" w:hAnsi="Times New Roman"/>
          <w:i/>
          <w:iCs/>
          <w:color w:val="000000" w:themeColor="text1"/>
          <w:lang w:eastAsia="fr-FR"/>
        </w:rPr>
        <w:t xml:space="preserve"> : Matrice d</w:t>
      </w:r>
      <w:r w:rsidR="009A3F4A" w:rsidRPr="00260790">
        <w:rPr>
          <w:rFonts w:ascii="Times New Roman" w:eastAsia="Times New Roman" w:hAnsi="Times New Roman"/>
          <w:i/>
          <w:iCs/>
          <w:color w:val="000000" w:themeColor="text1"/>
          <w:lang w:eastAsia="fr-FR"/>
        </w:rPr>
        <w:t>u PGES en phase préparatoire/Travaux</w:t>
      </w:r>
      <w:bookmarkEnd w:id="2490"/>
    </w:p>
    <w:tbl>
      <w:tblPr>
        <w:tblW w:w="1559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417"/>
        <w:gridCol w:w="3404"/>
        <w:gridCol w:w="1842"/>
        <w:gridCol w:w="1558"/>
        <w:gridCol w:w="1417"/>
        <w:gridCol w:w="1418"/>
        <w:gridCol w:w="994"/>
        <w:gridCol w:w="1559"/>
      </w:tblGrid>
      <w:tr w:rsidR="00570E16" w:rsidRPr="009B46E2" w14:paraId="379D0070" w14:textId="77777777" w:rsidTr="0097258B">
        <w:trPr>
          <w:trHeight w:val="63"/>
          <w:tblHeader/>
        </w:trPr>
        <w:tc>
          <w:tcPr>
            <w:tcW w:w="1984" w:type="dxa"/>
            <w:tcBorders>
              <w:top w:val="single" w:sz="4" w:space="0" w:color="auto"/>
              <w:left w:val="single" w:sz="4" w:space="0" w:color="auto"/>
              <w:bottom w:val="single" w:sz="12" w:space="0" w:color="A8D08D"/>
              <w:right w:val="single" w:sz="4" w:space="0" w:color="auto"/>
            </w:tcBorders>
            <w:shd w:val="clear" w:color="auto" w:fill="BDD6EE" w:themeFill="accent1" w:themeFillTint="66"/>
            <w:vAlign w:val="center"/>
            <w:hideMark/>
          </w:tcPr>
          <w:p w14:paraId="38AB76B4" w14:textId="77777777" w:rsidR="00570E16" w:rsidRPr="0097258B" w:rsidRDefault="00570E16" w:rsidP="00E255EE">
            <w:pPr>
              <w:spacing w:after="0" w:line="240" w:lineRule="auto"/>
              <w:ind w:left="-142" w:right="-108"/>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Composantes</w:t>
            </w:r>
          </w:p>
        </w:tc>
        <w:tc>
          <w:tcPr>
            <w:tcW w:w="1417" w:type="dxa"/>
            <w:tcBorders>
              <w:top w:val="single" w:sz="4" w:space="0" w:color="auto"/>
              <w:left w:val="single" w:sz="4" w:space="0" w:color="auto"/>
              <w:bottom w:val="single" w:sz="12" w:space="0" w:color="A8D08D"/>
              <w:right w:val="single" w:sz="4" w:space="0" w:color="auto"/>
            </w:tcBorders>
            <w:shd w:val="clear" w:color="auto" w:fill="BDD6EE" w:themeFill="accent1" w:themeFillTint="66"/>
            <w:vAlign w:val="center"/>
            <w:hideMark/>
          </w:tcPr>
          <w:p w14:paraId="24F5B6B4"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Impacts</w:t>
            </w:r>
          </w:p>
        </w:tc>
        <w:tc>
          <w:tcPr>
            <w:tcW w:w="3404" w:type="dxa"/>
            <w:tcBorders>
              <w:top w:val="single" w:sz="4" w:space="0" w:color="auto"/>
              <w:left w:val="single" w:sz="4" w:space="0" w:color="auto"/>
              <w:bottom w:val="single" w:sz="12" w:space="0" w:color="A8D08D"/>
              <w:right w:val="single" w:sz="4" w:space="0" w:color="auto"/>
            </w:tcBorders>
            <w:shd w:val="clear" w:color="auto" w:fill="BDD6EE" w:themeFill="accent1" w:themeFillTint="66"/>
          </w:tcPr>
          <w:p w14:paraId="016ECCAB"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p>
          <w:p w14:paraId="12AE7538"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Mesures d’atténuation</w:t>
            </w:r>
          </w:p>
        </w:tc>
        <w:tc>
          <w:tcPr>
            <w:tcW w:w="1842" w:type="dxa"/>
            <w:tcBorders>
              <w:top w:val="single" w:sz="4" w:space="0" w:color="auto"/>
              <w:left w:val="single" w:sz="4" w:space="0" w:color="auto"/>
              <w:bottom w:val="single" w:sz="12" w:space="0" w:color="A8D08D"/>
              <w:right w:val="single" w:sz="4" w:space="0" w:color="auto"/>
            </w:tcBorders>
            <w:shd w:val="clear" w:color="auto" w:fill="BDD6EE" w:themeFill="accent1" w:themeFillTint="66"/>
            <w:vAlign w:val="center"/>
            <w:hideMark/>
          </w:tcPr>
          <w:p w14:paraId="49D3A88E"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Indicateurs de suivi</w:t>
            </w:r>
          </w:p>
        </w:tc>
        <w:tc>
          <w:tcPr>
            <w:tcW w:w="5387"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7F6324E"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Responsabilité</w:t>
            </w:r>
          </w:p>
        </w:tc>
        <w:tc>
          <w:tcPr>
            <w:tcW w:w="1559" w:type="dxa"/>
            <w:tcBorders>
              <w:top w:val="single" w:sz="4" w:space="0" w:color="auto"/>
              <w:left w:val="single" w:sz="4" w:space="0" w:color="auto"/>
              <w:bottom w:val="single" w:sz="12" w:space="0" w:color="A8D08D"/>
              <w:right w:val="single" w:sz="4" w:space="0" w:color="auto"/>
            </w:tcBorders>
            <w:shd w:val="clear" w:color="auto" w:fill="BDD6EE" w:themeFill="accent1" w:themeFillTint="66"/>
            <w:vAlign w:val="center"/>
            <w:hideMark/>
          </w:tcPr>
          <w:p w14:paraId="1AF4ACFC"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Origine du financement</w:t>
            </w:r>
          </w:p>
        </w:tc>
      </w:tr>
      <w:tr w:rsidR="00570E16" w:rsidRPr="009B46E2" w14:paraId="2528E666" w14:textId="77777777" w:rsidTr="0097258B">
        <w:trPr>
          <w:trHeight w:val="43"/>
          <w:tblHeader/>
        </w:trPr>
        <w:tc>
          <w:tcPr>
            <w:tcW w:w="1984" w:type="dxa"/>
            <w:tcBorders>
              <w:top w:val="single" w:sz="4" w:space="0" w:color="auto"/>
              <w:left w:val="single" w:sz="4" w:space="0" w:color="auto"/>
              <w:bottom w:val="single" w:sz="12" w:space="0" w:color="A8D08D"/>
              <w:right w:val="single" w:sz="4" w:space="0" w:color="auto"/>
            </w:tcBorders>
            <w:vAlign w:val="center"/>
            <w:hideMark/>
          </w:tcPr>
          <w:p w14:paraId="1D2687B4" w14:textId="77777777" w:rsidR="00570E16" w:rsidRPr="0097258B" w:rsidRDefault="00570E16" w:rsidP="00E255EE">
            <w:pPr>
              <w:spacing w:after="0" w:line="240" w:lineRule="auto"/>
              <w:rPr>
                <w:rFonts w:ascii="Times New Roman" w:eastAsia="Times New Roman" w:hAnsi="Times New Roman"/>
                <w:b/>
                <w:bCs/>
                <w:color w:val="000000" w:themeColor="text1"/>
                <w:sz w:val="20"/>
                <w:szCs w:val="20"/>
                <w:lang w:eastAsia="fr-FR"/>
              </w:rPr>
            </w:pPr>
          </w:p>
        </w:tc>
        <w:tc>
          <w:tcPr>
            <w:tcW w:w="1417" w:type="dxa"/>
            <w:tcBorders>
              <w:top w:val="single" w:sz="4" w:space="0" w:color="auto"/>
              <w:left w:val="single" w:sz="4" w:space="0" w:color="auto"/>
              <w:bottom w:val="single" w:sz="12" w:space="0" w:color="A8D08D"/>
              <w:right w:val="single" w:sz="4" w:space="0" w:color="auto"/>
            </w:tcBorders>
            <w:vAlign w:val="center"/>
            <w:hideMark/>
          </w:tcPr>
          <w:p w14:paraId="6A30D503" w14:textId="77777777" w:rsidR="00570E16" w:rsidRPr="0097258B" w:rsidRDefault="00570E16" w:rsidP="00E255EE">
            <w:pPr>
              <w:spacing w:after="0" w:line="240" w:lineRule="auto"/>
              <w:rPr>
                <w:rFonts w:ascii="Times New Roman" w:eastAsia="Times New Roman" w:hAnsi="Times New Roman"/>
                <w:b/>
                <w:bCs/>
                <w:color w:val="000000" w:themeColor="text1"/>
                <w:sz w:val="20"/>
                <w:szCs w:val="20"/>
                <w:lang w:eastAsia="fr-FR"/>
              </w:rPr>
            </w:pPr>
          </w:p>
        </w:tc>
        <w:tc>
          <w:tcPr>
            <w:tcW w:w="3404" w:type="dxa"/>
            <w:tcBorders>
              <w:top w:val="single" w:sz="4" w:space="0" w:color="auto"/>
              <w:left w:val="single" w:sz="4" w:space="0" w:color="auto"/>
              <w:bottom w:val="single" w:sz="12" w:space="0" w:color="A8D08D"/>
              <w:right w:val="single" w:sz="4" w:space="0" w:color="auto"/>
            </w:tcBorders>
            <w:vAlign w:val="center"/>
            <w:hideMark/>
          </w:tcPr>
          <w:p w14:paraId="6E68BF03" w14:textId="77777777" w:rsidR="00570E16" w:rsidRPr="0097258B" w:rsidRDefault="00570E16" w:rsidP="00E255EE">
            <w:pPr>
              <w:spacing w:after="0" w:line="240" w:lineRule="auto"/>
              <w:rPr>
                <w:rFonts w:ascii="Times New Roman" w:eastAsia="Times New Roman" w:hAnsi="Times New Roman"/>
                <w:b/>
                <w:bCs/>
                <w:color w:val="000000" w:themeColor="text1"/>
                <w:sz w:val="20"/>
                <w:szCs w:val="20"/>
                <w:lang w:eastAsia="fr-FR"/>
              </w:rPr>
            </w:pPr>
          </w:p>
        </w:tc>
        <w:tc>
          <w:tcPr>
            <w:tcW w:w="1842" w:type="dxa"/>
            <w:tcBorders>
              <w:top w:val="single" w:sz="4" w:space="0" w:color="auto"/>
              <w:left w:val="single" w:sz="4" w:space="0" w:color="auto"/>
              <w:bottom w:val="single" w:sz="12" w:space="0" w:color="A8D08D"/>
              <w:right w:val="single" w:sz="4" w:space="0" w:color="auto"/>
            </w:tcBorders>
            <w:vAlign w:val="center"/>
            <w:hideMark/>
          </w:tcPr>
          <w:p w14:paraId="4374B7A6" w14:textId="77777777" w:rsidR="00570E16" w:rsidRPr="0097258B" w:rsidRDefault="00570E16" w:rsidP="00E255EE">
            <w:pPr>
              <w:spacing w:after="0" w:line="240" w:lineRule="auto"/>
              <w:rPr>
                <w:rFonts w:ascii="Times New Roman" w:eastAsia="Times New Roman" w:hAnsi="Times New Roman"/>
                <w:b/>
                <w:bCs/>
                <w:color w:val="000000" w:themeColor="text1"/>
                <w:sz w:val="20"/>
                <w:szCs w:val="20"/>
                <w:lang w:eastAsia="fr-FR"/>
              </w:rPr>
            </w:pPr>
          </w:p>
        </w:tc>
        <w:tc>
          <w:tcPr>
            <w:tcW w:w="1558" w:type="dxa"/>
            <w:tcBorders>
              <w:top w:val="single" w:sz="4" w:space="0" w:color="auto"/>
              <w:left w:val="single" w:sz="4" w:space="0" w:color="auto"/>
              <w:bottom w:val="single" w:sz="12" w:space="0" w:color="A8D08D"/>
              <w:right w:val="single" w:sz="4" w:space="0" w:color="auto"/>
            </w:tcBorders>
            <w:shd w:val="clear" w:color="auto" w:fill="BDD6EE" w:themeFill="accent1" w:themeFillTint="66"/>
            <w:vAlign w:val="center"/>
            <w:hideMark/>
          </w:tcPr>
          <w:p w14:paraId="6FB621CF"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Mise en œuvre</w:t>
            </w:r>
          </w:p>
        </w:tc>
        <w:tc>
          <w:tcPr>
            <w:tcW w:w="1417" w:type="dxa"/>
            <w:tcBorders>
              <w:top w:val="single" w:sz="4" w:space="0" w:color="auto"/>
              <w:left w:val="single" w:sz="4" w:space="0" w:color="auto"/>
              <w:bottom w:val="single" w:sz="12" w:space="0" w:color="A8D08D"/>
              <w:right w:val="single" w:sz="4" w:space="0" w:color="auto"/>
            </w:tcBorders>
            <w:shd w:val="clear" w:color="auto" w:fill="BDD6EE" w:themeFill="accent1" w:themeFillTint="66"/>
            <w:vAlign w:val="center"/>
            <w:hideMark/>
          </w:tcPr>
          <w:p w14:paraId="393BFF7B"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Supervision</w:t>
            </w:r>
          </w:p>
        </w:tc>
        <w:tc>
          <w:tcPr>
            <w:tcW w:w="1418" w:type="dxa"/>
            <w:tcBorders>
              <w:top w:val="single" w:sz="4" w:space="0" w:color="auto"/>
              <w:left w:val="single" w:sz="4" w:space="0" w:color="auto"/>
              <w:bottom w:val="single" w:sz="12" w:space="0" w:color="A8D08D"/>
              <w:right w:val="single" w:sz="4" w:space="0" w:color="auto"/>
            </w:tcBorders>
            <w:shd w:val="clear" w:color="auto" w:fill="BDD6EE" w:themeFill="accent1" w:themeFillTint="66"/>
            <w:vAlign w:val="center"/>
            <w:hideMark/>
          </w:tcPr>
          <w:p w14:paraId="4DC4E022"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Surveillance</w:t>
            </w:r>
          </w:p>
        </w:tc>
        <w:tc>
          <w:tcPr>
            <w:tcW w:w="994" w:type="dxa"/>
            <w:tcBorders>
              <w:top w:val="single" w:sz="4" w:space="0" w:color="auto"/>
              <w:left w:val="single" w:sz="4" w:space="0" w:color="auto"/>
              <w:bottom w:val="single" w:sz="12" w:space="0" w:color="A8D08D"/>
              <w:right w:val="single" w:sz="4" w:space="0" w:color="auto"/>
            </w:tcBorders>
            <w:shd w:val="clear" w:color="auto" w:fill="BDD6EE" w:themeFill="accent1" w:themeFillTint="66"/>
            <w:vAlign w:val="center"/>
            <w:hideMark/>
          </w:tcPr>
          <w:p w14:paraId="14D75903"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Suivi</w:t>
            </w:r>
          </w:p>
        </w:tc>
        <w:tc>
          <w:tcPr>
            <w:tcW w:w="1559" w:type="dxa"/>
            <w:tcBorders>
              <w:left w:val="single" w:sz="4" w:space="0" w:color="auto"/>
              <w:bottom w:val="single" w:sz="12" w:space="0" w:color="A8D08D"/>
              <w:right w:val="single" w:sz="4" w:space="0" w:color="auto"/>
            </w:tcBorders>
            <w:vAlign w:val="center"/>
            <w:hideMark/>
          </w:tcPr>
          <w:p w14:paraId="247E87B5" w14:textId="77777777" w:rsidR="00570E16" w:rsidRPr="0097258B" w:rsidRDefault="00570E16" w:rsidP="00E255EE">
            <w:pPr>
              <w:spacing w:after="0" w:line="240" w:lineRule="auto"/>
              <w:rPr>
                <w:rFonts w:ascii="Times New Roman" w:eastAsia="Times New Roman" w:hAnsi="Times New Roman"/>
                <w:b/>
                <w:bCs/>
                <w:color w:val="000000" w:themeColor="text1"/>
                <w:sz w:val="20"/>
                <w:szCs w:val="20"/>
                <w:lang w:eastAsia="fr-FR"/>
              </w:rPr>
            </w:pPr>
          </w:p>
        </w:tc>
      </w:tr>
      <w:tr w:rsidR="00570E16" w:rsidRPr="009B46E2" w14:paraId="17FCAE48" w14:textId="77777777" w:rsidTr="0097258B">
        <w:trPr>
          <w:trHeight w:val="232"/>
        </w:trPr>
        <w:tc>
          <w:tcPr>
            <w:tcW w:w="15593" w:type="dxa"/>
            <w:gridSpan w:val="9"/>
            <w:tcBorders>
              <w:top w:val="single" w:sz="4" w:space="0" w:color="auto"/>
              <w:left w:val="single" w:sz="4" w:space="0" w:color="auto"/>
              <w:bottom w:val="single" w:sz="4" w:space="0" w:color="auto"/>
              <w:right w:val="single" w:sz="4" w:space="0" w:color="auto"/>
            </w:tcBorders>
            <w:shd w:val="clear" w:color="auto" w:fill="FFFF00"/>
            <w:vAlign w:val="center"/>
            <w:hideMark/>
          </w:tcPr>
          <w:p w14:paraId="2D1BA103"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 xml:space="preserve">PHASE LIBÉRATION DES EMPRISES  </w:t>
            </w:r>
          </w:p>
        </w:tc>
      </w:tr>
      <w:tr w:rsidR="00570E16" w:rsidRPr="009B46E2" w14:paraId="3E6E7B3B" w14:textId="77777777" w:rsidTr="0097258B">
        <w:tc>
          <w:tcPr>
            <w:tcW w:w="1984" w:type="dxa"/>
            <w:vMerge w:val="restart"/>
            <w:tcBorders>
              <w:top w:val="single" w:sz="4" w:space="0" w:color="auto"/>
              <w:left w:val="single" w:sz="4" w:space="0" w:color="auto"/>
              <w:right w:val="single" w:sz="4" w:space="0" w:color="auto"/>
            </w:tcBorders>
            <w:vAlign w:val="center"/>
          </w:tcPr>
          <w:p w14:paraId="53B6D0DA"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Humain (socio-économique et paix sociale)</w:t>
            </w:r>
          </w:p>
        </w:tc>
        <w:tc>
          <w:tcPr>
            <w:tcW w:w="1417" w:type="dxa"/>
            <w:tcBorders>
              <w:top w:val="single" w:sz="4" w:space="0" w:color="auto"/>
              <w:left w:val="single" w:sz="4" w:space="0" w:color="auto"/>
              <w:bottom w:val="single" w:sz="4" w:space="0" w:color="auto"/>
              <w:right w:val="single" w:sz="4" w:space="0" w:color="auto"/>
            </w:tcBorders>
            <w:vAlign w:val="center"/>
          </w:tcPr>
          <w:p w14:paraId="27772D17"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Destruction des biens situés dans les emprises du projet  </w:t>
            </w:r>
          </w:p>
        </w:tc>
        <w:tc>
          <w:tcPr>
            <w:tcW w:w="3404" w:type="dxa"/>
            <w:tcBorders>
              <w:top w:val="single" w:sz="4" w:space="0" w:color="auto"/>
              <w:left w:val="single" w:sz="4" w:space="0" w:color="auto"/>
              <w:bottom w:val="single" w:sz="4" w:space="0" w:color="auto"/>
              <w:right w:val="single" w:sz="4" w:space="0" w:color="auto"/>
            </w:tcBorders>
            <w:vAlign w:val="center"/>
          </w:tcPr>
          <w:p w14:paraId="2209826E"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Informer et sensibiliser les populations sur le projet ; </w:t>
            </w:r>
          </w:p>
          <w:p w14:paraId="61DD7CD7"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Dédommager les populations pour la perte de leurs biens dans la zone d’emprise avant le début des travaux ;</w:t>
            </w:r>
          </w:p>
          <w:p w14:paraId="090B3DDE"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Mettre en place un programme de restauration des moyens de subsistance des populations affectées par le projet (assistance aux femmes vendeuses de légumes) ;</w:t>
            </w:r>
          </w:p>
          <w:p w14:paraId="0F51277F"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Mettre en place un MGP sensible à l’EAS/HS opérationnel au niveau local</w:t>
            </w:r>
          </w:p>
        </w:tc>
        <w:tc>
          <w:tcPr>
            <w:tcW w:w="1842" w:type="dxa"/>
            <w:tcBorders>
              <w:top w:val="single" w:sz="4" w:space="0" w:color="auto"/>
              <w:left w:val="single" w:sz="4" w:space="0" w:color="auto"/>
              <w:bottom w:val="single" w:sz="4" w:space="0" w:color="auto"/>
              <w:right w:val="single" w:sz="4" w:space="0" w:color="auto"/>
            </w:tcBorders>
            <w:vAlign w:val="center"/>
          </w:tcPr>
          <w:p w14:paraId="3764EF4E"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PAP indemnisé</w:t>
            </w:r>
          </w:p>
          <w:p w14:paraId="363D57B5"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de PAP satisfait de l’indemnisation</w:t>
            </w:r>
          </w:p>
          <w:p w14:paraId="6A5A8275"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plaintes recensé et traité</w:t>
            </w:r>
          </w:p>
          <w:p w14:paraId="2D4BBC30"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Effectivité d’un programme de restauration des moyens de subsistance (appui aux femmes ayant des places d’affaires) </w:t>
            </w:r>
          </w:p>
          <w:p w14:paraId="4D7F56AD"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PAP ayant bénéficié d’assistance à la réinstallation</w:t>
            </w:r>
          </w:p>
          <w:p w14:paraId="292D1180"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PAP ayant réussi leur réinstallation et %</w:t>
            </w:r>
          </w:p>
        </w:tc>
        <w:tc>
          <w:tcPr>
            <w:tcW w:w="1558" w:type="dxa"/>
            <w:tcBorders>
              <w:top w:val="single" w:sz="4" w:space="0" w:color="auto"/>
              <w:left w:val="single" w:sz="4" w:space="0" w:color="auto"/>
              <w:bottom w:val="single" w:sz="4" w:space="0" w:color="auto"/>
              <w:right w:val="single" w:sz="4" w:space="0" w:color="auto"/>
            </w:tcBorders>
            <w:vAlign w:val="center"/>
          </w:tcPr>
          <w:p w14:paraId="41052F7F"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Cellule de gestion environnementale et sociale ADM</w:t>
            </w:r>
          </w:p>
          <w:p w14:paraId="7EFBE65C"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CDREI</w:t>
            </w:r>
          </w:p>
        </w:tc>
        <w:tc>
          <w:tcPr>
            <w:tcW w:w="1417" w:type="dxa"/>
            <w:tcBorders>
              <w:top w:val="single" w:sz="4" w:space="0" w:color="auto"/>
              <w:left w:val="single" w:sz="4" w:space="0" w:color="auto"/>
              <w:bottom w:val="single" w:sz="4" w:space="0" w:color="auto"/>
              <w:right w:val="single" w:sz="4" w:space="0" w:color="auto"/>
            </w:tcBorders>
            <w:vAlign w:val="center"/>
          </w:tcPr>
          <w:p w14:paraId="20C165B7"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p w14:paraId="3667CE8F"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tc>
        <w:tc>
          <w:tcPr>
            <w:tcW w:w="1418" w:type="dxa"/>
            <w:tcBorders>
              <w:top w:val="single" w:sz="4" w:space="0" w:color="auto"/>
              <w:left w:val="single" w:sz="4" w:space="0" w:color="auto"/>
              <w:bottom w:val="single" w:sz="4" w:space="0" w:color="auto"/>
              <w:right w:val="single" w:sz="4" w:space="0" w:color="auto"/>
            </w:tcBorders>
            <w:vAlign w:val="center"/>
          </w:tcPr>
          <w:p w14:paraId="476C1CD0"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Collectivités territoriales</w:t>
            </w:r>
          </w:p>
          <w:p w14:paraId="199A41BD"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Préfet</w:t>
            </w:r>
          </w:p>
        </w:tc>
        <w:tc>
          <w:tcPr>
            <w:tcW w:w="994" w:type="dxa"/>
            <w:tcBorders>
              <w:top w:val="single" w:sz="4" w:space="0" w:color="auto"/>
              <w:left w:val="single" w:sz="4" w:space="0" w:color="auto"/>
              <w:bottom w:val="single" w:sz="4" w:space="0" w:color="auto"/>
              <w:right w:val="single" w:sz="4" w:space="0" w:color="auto"/>
            </w:tcBorders>
            <w:vAlign w:val="center"/>
          </w:tcPr>
          <w:p w14:paraId="4DD8B1E5"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CDREI</w:t>
            </w:r>
          </w:p>
          <w:p w14:paraId="0D2D8DEA" w14:textId="77777777" w:rsidR="00570E16" w:rsidRPr="0097258B" w:rsidRDefault="00570E16" w:rsidP="00E255EE">
            <w:pPr>
              <w:autoSpaceDE w:val="0"/>
              <w:autoSpaceDN w:val="0"/>
              <w:adjustRightInd w:val="0"/>
              <w:spacing w:after="0" w:line="240" w:lineRule="auto"/>
              <w:jc w:val="center"/>
              <w:rPr>
                <w:rFonts w:ascii="Times New Roman" w:eastAsia="Times New Roman" w:hAnsi="Times New Roman"/>
                <w:color w:val="000000" w:themeColor="text1"/>
                <w:sz w:val="20"/>
                <w:szCs w:val="20"/>
                <w:lang w:eastAsia="fr-FR"/>
              </w:rPr>
            </w:pPr>
          </w:p>
        </w:tc>
        <w:tc>
          <w:tcPr>
            <w:tcW w:w="1559" w:type="dxa"/>
            <w:tcBorders>
              <w:top w:val="single" w:sz="4" w:space="0" w:color="auto"/>
              <w:left w:val="single" w:sz="4" w:space="0" w:color="auto"/>
              <w:bottom w:val="single" w:sz="4" w:space="0" w:color="auto"/>
              <w:right w:val="single" w:sz="4" w:space="0" w:color="auto"/>
            </w:tcBorders>
            <w:vAlign w:val="center"/>
          </w:tcPr>
          <w:p w14:paraId="27A9F6D1"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Budget du projet </w:t>
            </w:r>
          </w:p>
        </w:tc>
      </w:tr>
      <w:tr w:rsidR="00570E16" w:rsidRPr="009B46E2" w14:paraId="72FCFFE3" w14:textId="77777777" w:rsidTr="0097258B">
        <w:tc>
          <w:tcPr>
            <w:tcW w:w="1984" w:type="dxa"/>
            <w:vMerge/>
            <w:tcBorders>
              <w:left w:val="single" w:sz="4" w:space="0" w:color="auto"/>
              <w:bottom w:val="single" w:sz="4" w:space="0" w:color="auto"/>
              <w:right w:val="single" w:sz="4" w:space="0" w:color="auto"/>
            </w:tcBorders>
            <w:vAlign w:val="center"/>
          </w:tcPr>
          <w:p w14:paraId="2F7A4EF7"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p>
        </w:tc>
        <w:tc>
          <w:tcPr>
            <w:tcW w:w="1417" w:type="dxa"/>
            <w:tcBorders>
              <w:top w:val="single" w:sz="4" w:space="0" w:color="auto"/>
              <w:left w:val="single" w:sz="4" w:space="0" w:color="auto"/>
              <w:bottom w:val="single" w:sz="4" w:space="0" w:color="auto"/>
              <w:right w:val="single" w:sz="4" w:space="0" w:color="auto"/>
            </w:tcBorders>
            <w:vAlign w:val="center"/>
          </w:tcPr>
          <w:p w14:paraId="02342CFB"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Risque de tension sociale lié à la perturbation des activités socio-économiques </w:t>
            </w:r>
          </w:p>
          <w:p w14:paraId="26AE4518"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p>
        </w:tc>
        <w:tc>
          <w:tcPr>
            <w:tcW w:w="3404" w:type="dxa"/>
            <w:tcBorders>
              <w:top w:val="single" w:sz="4" w:space="0" w:color="auto"/>
              <w:left w:val="single" w:sz="4" w:space="0" w:color="auto"/>
              <w:bottom w:val="single" w:sz="4" w:space="0" w:color="auto"/>
              <w:right w:val="single" w:sz="4" w:space="0" w:color="auto"/>
            </w:tcBorders>
            <w:vAlign w:val="center"/>
          </w:tcPr>
          <w:p w14:paraId="069D6E22"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Informer et sensibiliser les personnes affectées ;</w:t>
            </w:r>
          </w:p>
          <w:p w14:paraId="6096D29C" w14:textId="77777777" w:rsidR="00570E16" w:rsidRPr="0097258B" w:rsidRDefault="00570E16" w:rsidP="00E255EE">
            <w:pPr>
              <w:pStyle w:val="Paragraphedeliste"/>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Réaliser un Plan d’Actions de Réinstallation (PAR) ; </w:t>
            </w:r>
          </w:p>
          <w:p w14:paraId="151A96B9" w14:textId="77777777" w:rsidR="00570E16" w:rsidRPr="0097258B" w:rsidRDefault="00570E16" w:rsidP="00E255EE">
            <w:pPr>
              <w:pStyle w:val="Paragraphedeliste"/>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Identifier et compenser de façon juste et équitable les Personnes Affectées par le Projet (</w:t>
            </w:r>
            <w:proofErr w:type="spellStart"/>
            <w:r w:rsidRPr="0097258B">
              <w:rPr>
                <w:rFonts w:ascii="Times New Roman" w:eastAsia="Times New Roman" w:hAnsi="Times New Roman"/>
                <w:iCs/>
                <w:color w:val="000000" w:themeColor="text1"/>
                <w:sz w:val="20"/>
                <w:szCs w:val="20"/>
                <w:lang w:eastAsia="fr-FR"/>
              </w:rPr>
              <w:t>PAPs</w:t>
            </w:r>
            <w:proofErr w:type="spellEnd"/>
            <w:r w:rsidRPr="0097258B">
              <w:rPr>
                <w:rFonts w:ascii="Times New Roman" w:eastAsia="Times New Roman" w:hAnsi="Times New Roman"/>
                <w:iCs/>
                <w:color w:val="000000" w:themeColor="text1"/>
                <w:sz w:val="20"/>
                <w:szCs w:val="20"/>
                <w:lang w:eastAsia="fr-FR"/>
              </w:rPr>
              <w:t>) avant le démarrage des travaux ;</w:t>
            </w:r>
          </w:p>
          <w:p w14:paraId="3814E7D6"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 xml:space="preserve">Élaborer un document séparé (PAR) prenant en compte les pertes subies par les </w:t>
            </w:r>
            <w:proofErr w:type="spellStart"/>
            <w:r w:rsidRPr="0097258B">
              <w:rPr>
                <w:rFonts w:ascii="Times New Roman" w:eastAsia="Times New Roman" w:hAnsi="Times New Roman"/>
                <w:iCs/>
                <w:color w:val="000000" w:themeColor="text1"/>
                <w:sz w:val="20"/>
                <w:szCs w:val="20"/>
                <w:lang w:eastAsia="fr-FR"/>
              </w:rPr>
              <w:t>PAPs</w:t>
            </w:r>
            <w:proofErr w:type="spellEnd"/>
            <w:r w:rsidRPr="0097258B">
              <w:rPr>
                <w:rFonts w:ascii="Times New Roman" w:eastAsia="Times New Roman" w:hAnsi="Times New Roman"/>
                <w:iCs/>
                <w:color w:val="000000" w:themeColor="text1"/>
                <w:sz w:val="20"/>
                <w:szCs w:val="20"/>
                <w:lang w:eastAsia="fr-FR"/>
              </w:rPr>
              <w:t> ;</w:t>
            </w:r>
          </w:p>
          <w:p w14:paraId="150ED22A"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Respecter les délais d’exécution des travaux.</w:t>
            </w:r>
          </w:p>
        </w:tc>
        <w:tc>
          <w:tcPr>
            <w:tcW w:w="1842" w:type="dxa"/>
            <w:tcBorders>
              <w:top w:val="single" w:sz="4" w:space="0" w:color="auto"/>
              <w:left w:val="single" w:sz="4" w:space="0" w:color="auto"/>
              <w:bottom w:val="single" w:sz="4" w:space="0" w:color="auto"/>
              <w:right w:val="single" w:sz="4" w:space="0" w:color="auto"/>
            </w:tcBorders>
            <w:vAlign w:val="center"/>
          </w:tcPr>
          <w:p w14:paraId="74A14B6E"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Nombre de PAP à activité socioéconomique indemnisé</w:t>
            </w:r>
          </w:p>
          <w:p w14:paraId="6AD7A150"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de PAP satisfait de l’indemnisation</w:t>
            </w:r>
          </w:p>
          <w:p w14:paraId="6D54588B"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Nombre de plaintes recensé et traité</w:t>
            </w:r>
          </w:p>
          <w:p w14:paraId="57D5CEA5"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Effectivité d’un programme de restauration des moyens de subsistance (appui aux femmes ayant des places d’affaires) </w:t>
            </w:r>
          </w:p>
        </w:tc>
        <w:tc>
          <w:tcPr>
            <w:tcW w:w="1558" w:type="dxa"/>
            <w:tcBorders>
              <w:top w:val="single" w:sz="4" w:space="0" w:color="auto"/>
              <w:left w:val="single" w:sz="4" w:space="0" w:color="auto"/>
              <w:bottom w:val="single" w:sz="4" w:space="0" w:color="auto"/>
              <w:right w:val="single" w:sz="4" w:space="0" w:color="auto"/>
            </w:tcBorders>
            <w:vAlign w:val="center"/>
          </w:tcPr>
          <w:p w14:paraId="40657D69"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lastRenderedPageBreak/>
              <w:t>Cellule de gestion environnementale et sociale ADM</w:t>
            </w:r>
          </w:p>
          <w:p w14:paraId="10890D73"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CDREI</w:t>
            </w:r>
          </w:p>
        </w:tc>
        <w:tc>
          <w:tcPr>
            <w:tcW w:w="1417" w:type="dxa"/>
            <w:tcBorders>
              <w:top w:val="single" w:sz="4" w:space="0" w:color="auto"/>
              <w:left w:val="single" w:sz="4" w:space="0" w:color="auto"/>
              <w:bottom w:val="single" w:sz="4" w:space="0" w:color="auto"/>
              <w:right w:val="single" w:sz="4" w:space="0" w:color="auto"/>
            </w:tcBorders>
            <w:vAlign w:val="center"/>
          </w:tcPr>
          <w:p w14:paraId="74D5A242"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p w14:paraId="42BEA1A2"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tc>
        <w:tc>
          <w:tcPr>
            <w:tcW w:w="1418" w:type="dxa"/>
            <w:tcBorders>
              <w:top w:val="single" w:sz="4" w:space="0" w:color="auto"/>
              <w:left w:val="single" w:sz="4" w:space="0" w:color="auto"/>
              <w:bottom w:val="single" w:sz="4" w:space="0" w:color="auto"/>
              <w:right w:val="single" w:sz="4" w:space="0" w:color="auto"/>
            </w:tcBorders>
            <w:vAlign w:val="center"/>
          </w:tcPr>
          <w:p w14:paraId="264B8DA8"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Collectivités territoriales</w:t>
            </w:r>
          </w:p>
          <w:p w14:paraId="3B863CA6"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Préfet</w:t>
            </w:r>
          </w:p>
        </w:tc>
        <w:tc>
          <w:tcPr>
            <w:tcW w:w="994" w:type="dxa"/>
            <w:tcBorders>
              <w:top w:val="single" w:sz="4" w:space="0" w:color="auto"/>
              <w:left w:val="single" w:sz="4" w:space="0" w:color="auto"/>
              <w:bottom w:val="single" w:sz="4" w:space="0" w:color="auto"/>
              <w:right w:val="single" w:sz="4" w:space="0" w:color="auto"/>
            </w:tcBorders>
            <w:vAlign w:val="center"/>
          </w:tcPr>
          <w:p w14:paraId="27D1853F"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CDREI</w:t>
            </w:r>
          </w:p>
          <w:p w14:paraId="2BF18CAB" w14:textId="77777777" w:rsidR="00570E16" w:rsidRPr="0097258B" w:rsidRDefault="00570E16" w:rsidP="00E255EE">
            <w:pPr>
              <w:autoSpaceDE w:val="0"/>
              <w:autoSpaceDN w:val="0"/>
              <w:adjustRightInd w:val="0"/>
              <w:spacing w:after="0" w:line="240" w:lineRule="auto"/>
              <w:jc w:val="center"/>
              <w:rPr>
                <w:rFonts w:ascii="Times New Roman" w:eastAsia="Times New Roman" w:hAnsi="Times New Roman"/>
                <w:color w:val="000000" w:themeColor="text1"/>
                <w:sz w:val="20"/>
                <w:szCs w:val="20"/>
                <w:lang w:eastAsia="fr-FR"/>
              </w:rPr>
            </w:pPr>
          </w:p>
        </w:tc>
        <w:tc>
          <w:tcPr>
            <w:tcW w:w="1559" w:type="dxa"/>
            <w:tcBorders>
              <w:top w:val="single" w:sz="4" w:space="0" w:color="auto"/>
              <w:left w:val="single" w:sz="4" w:space="0" w:color="auto"/>
              <w:bottom w:val="single" w:sz="4" w:space="0" w:color="auto"/>
              <w:right w:val="single" w:sz="4" w:space="0" w:color="auto"/>
            </w:tcBorders>
            <w:vAlign w:val="center"/>
          </w:tcPr>
          <w:p w14:paraId="6CAE3A3C"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Budget du projet </w:t>
            </w:r>
          </w:p>
        </w:tc>
      </w:tr>
      <w:tr w:rsidR="00570E16" w:rsidRPr="009B46E2" w14:paraId="46332E75" w14:textId="77777777" w:rsidTr="0097258B">
        <w:trPr>
          <w:trHeight w:val="232"/>
        </w:trPr>
        <w:tc>
          <w:tcPr>
            <w:tcW w:w="15593" w:type="dxa"/>
            <w:gridSpan w:val="9"/>
            <w:tcBorders>
              <w:top w:val="single" w:sz="4" w:space="0" w:color="auto"/>
              <w:left w:val="single" w:sz="4" w:space="0" w:color="auto"/>
              <w:bottom w:val="single" w:sz="4" w:space="0" w:color="auto"/>
              <w:right w:val="single" w:sz="4" w:space="0" w:color="auto"/>
            </w:tcBorders>
            <w:shd w:val="clear" w:color="auto" w:fill="FFFF00"/>
            <w:vAlign w:val="center"/>
            <w:hideMark/>
          </w:tcPr>
          <w:p w14:paraId="6EF19D79"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 xml:space="preserve">PHASE TRAVAUX </w:t>
            </w:r>
          </w:p>
        </w:tc>
      </w:tr>
      <w:tr w:rsidR="00570E16" w:rsidRPr="009B46E2" w14:paraId="32495B41" w14:textId="77777777" w:rsidTr="0097258B">
        <w:tc>
          <w:tcPr>
            <w:tcW w:w="1984" w:type="dxa"/>
            <w:vMerge w:val="restart"/>
            <w:tcBorders>
              <w:top w:val="single" w:sz="4" w:space="0" w:color="auto"/>
              <w:left w:val="single" w:sz="4" w:space="0" w:color="auto"/>
              <w:right w:val="single" w:sz="4" w:space="0" w:color="auto"/>
            </w:tcBorders>
            <w:vAlign w:val="center"/>
          </w:tcPr>
          <w:p w14:paraId="348A0FF4"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Sol</w:t>
            </w:r>
          </w:p>
        </w:tc>
        <w:tc>
          <w:tcPr>
            <w:tcW w:w="1417" w:type="dxa"/>
            <w:tcBorders>
              <w:top w:val="single" w:sz="4" w:space="0" w:color="auto"/>
              <w:left w:val="single" w:sz="4" w:space="0" w:color="auto"/>
              <w:bottom w:val="single" w:sz="4" w:space="0" w:color="auto"/>
              <w:right w:val="single" w:sz="4" w:space="0" w:color="auto"/>
            </w:tcBorders>
            <w:vAlign w:val="center"/>
          </w:tcPr>
          <w:p w14:paraId="2F92C820"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Modification de la structure et texture du sol </w:t>
            </w:r>
          </w:p>
          <w:p w14:paraId="2D144E37"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p>
        </w:tc>
        <w:tc>
          <w:tcPr>
            <w:tcW w:w="3404" w:type="dxa"/>
            <w:tcBorders>
              <w:top w:val="single" w:sz="4" w:space="0" w:color="auto"/>
              <w:left w:val="single" w:sz="4" w:space="0" w:color="auto"/>
              <w:bottom w:val="single" w:sz="4" w:space="0" w:color="auto"/>
              <w:right w:val="single" w:sz="4" w:space="0" w:color="auto"/>
            </w:tcBorders>
            <w:vAlign w:val="center"/>
          </w:tcPr>
          <w:p w14:paraId="7F095E9B"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Respecter les emprises du tracé ;</w:t>
            </w:r>
          </w:p>
          <w:p w14:paraId="257F5D37"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Utiliser les déblais pour combler les nids de poule sur les routes ;</w:t>
            </w:r>
          </w:p>
          <w:p w14:paraId="2227D907"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Remblayer les tranchées en suivant la disposition des couches de sols ;</w:t>
            </w:r>
          </w:p>
          <w:p w14:paraId="6DBDB769"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Éviter d’enfouir les déchets des travaux </w:t>
            </w:r>
          </w:p>
        </w:tc>
        <w:tc>
          <w:tcPr>
            <w:tcW w:w="1842" w:type="dxa"/>
            <w:tcBorders>
              <w:top w:val="single" w:sz="4" w:space="0" w:color="auto"/>
              <w:left w:val="single" w:sz="4" w:space="0" w:color="auto"/>
              <w:bottom w:val="single" w:sz="4" w:space="0" w:color="auto"/>
              <w:right w:val="single" w:sz="4" w:space="0" w:color="auto"/>
            </w:tcBorders>
            <w:vAlign w:val="center"/>
          </w:tcPr>
          <w:p w14:paraId="22321721"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Présence de motte de terre liée au projet </w:t>
            </w:r>
          </w:p>
          <w:p w14:paraId="76AE1AB0"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Superficie de nids de poule comblée </w:t>
            </w:r>
          </w:p>
        </w:tc>
        <w:tc>
          <w:tcPr>
            <w:tcW w:w="1558" w:type="dxa"/>
            <w:tcBorders>
              <w:top w:val="single" w:sz="4" w:space="0" w:color="auto"/>
              <w:left w:val="single" w:sz="4" w:space="0" w:color="auto"/>
              <w:bottom w:val="single" w:sz="4" w:space="0" w:color="auto"/>
              <w:right w:val="single" w:sz="4" w:space="0" w:color="auto"/>
            </w:tcBorders>
            <w:vAlign w:val="center"/>
          </w:tcPr>
          <w:p w14:paraId="1042B9A4"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Entreprise </w:t>
            </w:r>
          </w:p>
        </w:tc>
        <w:tc>
          <w:tcPr>
            <w:tcW w:w="1417" w:type="dxa"/>
            <w:tcBorders>
              <w:top w:val="single" w:sz="4" w:space="0" w:color="auto"/>
              <w:left w:val="single" w:sz="4" w:space="0" w:color="auto"/>
              <w:bottom w:val="single" w:sz="4" w:space="0" w:color="auto"/>
              <w:right w:val="single" w:sz="4" w:space="0" w:color="auto"/>
            </w:tcBorders>
            <w:vAlign w:val="center"/>
          </w:tcPr>
          <w:p w14:paraId="6AD88B0A"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p w14:paraId="105ADCE5"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p>
        </w:tc>
        <w:tc>
          <w:tcPr>
            <w:tcW w:w="1418" w:type="dxa"/>
            <w:tcBorders>
              <w:top w:val="single" w:sz="4" w:space="0" w:color="auto"/>
              <w:left w:val="single" w:sz="4" w:space="0" w:color="auto"/>
              <w:bottom w:val="single" w:sz="4" w:space="0" w:color="auto"/>
              <w:right w:val="single" w:sz="4" w:space="0" w:color="auto"/>
            </w:tcBorders>
            <w:vAlign w:val="center"/>
          </w:tcPr>
          <w:p w14:paraId="08D90401"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tc>
        <w:tc>
          <w:tcPr>
            <w:tcW w:w="994" w:type="dxa"/>
            <w:tcBorders>
              <w:top w:val="single" w:sz="4" w:space="0" w:color="auto"/>
              <w:left w:val="single" w:sz="4" w:space="0" w:color="auto"/>
              <w:bottom w:val="single" w:sz="4" w:space="0" w:color="auto"/>
              <w:right w:val="single" w:sz="4" w:space="0" w:color="auto"/>
            </w:tcBorders>
            <w:vAlign w:val="center"/>
          </w:tcPr>
          <w:p w14:paraId="087B406E" w14:textId="77777777" w:rsidR="00570E16" w:rsidRPr="0097258B" w:rsidRDefault="00570E16" w:rsidP="00E255EE">
            <w:p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CRSE</w:t>
            </w:r>
          </w:p>
        </w:tc>
        <w:tc>
          <w:tcPr>
            <w:tcW w:w="1559" w:type="dxa"/>
            <w:tcBorders>
              <w:top w:val="single" w:sz="4" w:space="0" w:color="auto"/>
              <w:left w:val="single" w:sz="4" w:space="0" w:color="auto"/>
              <w:bottom w:val="single" w:sz="4" w:space="0" w:color="auto"/>
              <w:right w:val="single" w:sz="4" w:space="0" w:color="auto"/>
            </w:tcBorders>
            <w:vAlign w:val="center"/>
          </w:tcPr>
          <w:p w14:paraId="7B6379EC"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Budget chantier de mise en œuvre du PGES chantier</w:t>
            </w:r>
          </w:p>
        </w:tc>
      </w:tr>
      <w:tr w:rsidR="00570E16" w:rsidRPr="009B46E2" w14:paraId="597675A0" w14:textId="77777777" w:rsidTr="0097258B">
        <w:tc>
          <w:tcPr>
            <w:tcW w:w="1984" w:type="dxa"/>
            <w:vMerge/>
            <w:tcBorders>
              <w:left w:val="single" w:sz="4" w:space="0" w:color="auto"/>
              <w:bottom w:val="single" w:sz="4" w:space="0" w:color="auto"/>
              <w:right w:val="single" w:sz="4" w:space="0" w:color="auto"/>
            </w:tcBorders>
            <w:vAlign w:val="center"/>
            <w:hideMark/>
          </w:tcPr>
          <w:p w14:paraId="433EA481"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539C52D"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Pollution et dégradation du sol</w:t>
            </w:r>
          </w:p>
        </w:tc>
        <w:tc>
          <w:tcPr>
            <w:tcW w:w="3404" w:type="dxa"/>
            <w:tcBorders>
              <w:top w:val="single" w:sz="4" w:space="0" w:color="auto"/>
              <w:left w:val="single" w:sz="4" w:space="0" w:color="auto"/>
              <w:bottom w:val="single" w:sz="4" w:space="0" w:color="auto"/>
              <w:right w:val="single" w:sz="4" w:space="0" w:color="auto"/>
            </w:tcBorders>
            <w:vAlign w:val="center"/>
            <w:hideMark/>
          </w:tcPr>
          <w:p w14:paraId="244E20CC"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Informer et sensibiliser le personnel sur la gestion des déchets ;</w:t>
            </w:r>
          </w:p>
          <w:p w14:paraId="644CF698"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Mettre en place un système approprié de gestion des déchets liquides (fuites incontrôlées d’huiles et d’hydrocarbures) et déchets solides générés durant les travaux</w:t>
            </w:r>
          </w:p>
          <w:p w14:paraId="779CFFCE"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S’assurer du bon état de fonctionnement des véhicules et engins présents sur le chantier</w:t>
            </w:r>
          </w:p>
          <w:p w14:paraId="5D0E72D4"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Interdire le lavage des engins, toupie et bétonnière sur le chantier</w:t>
            </w:r>
          </w:p>
          <w:p w14:paraId="0E580590" w14:textId="77777777" w:rsidR="00570E16" w:rsidRPr="0097258B" w:rsidRDefault="00570E16" w:rsidP="00E255EE">
            <w:pPr>
              <w:numPr>
                <w:ilvl w:val="0"/>
                <w:numId w:val="13"/>
              </w:numPr>
              <w:autoSpaceDE w:val="0"/>
              <w:autoSpaceDN w:val="0"/>
              <w:adjustRightInd w:val="0"/>
              <w:spacing w:after="0" w:line="240" w:lineRule="auto"/>
              <w:ind w:left="189" w:hanging="171"/>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Imperméabiliser les aires de stockage et d’avitaillement d’hydrocarbures avec drainage et séparateur</w:t>
            </w:r>
          </w:p>
          <w:p w14:paraId="61DA10EB"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Assurer la collecte et l’élimination des déchets de chantier</w:t>
            </w:r>
          </w:p>
          <w:p w14:paraId="05C7FCA3"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Sensibiliser le personnel de chantier et les conducteurs d’engins</w:t>
            </w:r>
          </w:p>
          <w:p w14:paraId="6433B6F4"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Respecter toutes les dispositions de gestion des déchets au niveau de la base de chantier et du plan de gestion des déchets</w:t>
            </w:r>
          </w:p>
          <w:p w14:paraId="2EFEA242"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Éviter tout déversement accidentel de polluant</w:t>
            </w:r>
          </w:p>
          <w:p w14:paraId="79A37BDD"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Doter le site de manipulation des hydrocarbures et huiles de vidange de matériau absorbant (coussin, boudin, etc.)</w:t>
            </w:r>
          </w:p>
          <w:p w14:paraId="0FD3CED7"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Mettre en place une procédure d’urgence de gestion des pollutions</w:t>
            </w:r>
          </w:p>
        </w:tc>
        <w:tc>
          <w:tcPr>
            <w:tcW w:w="1842" w:type="dxa"/>
            <w:tcBorders>
              <w:top w:val="single" w:sz="4" w:space="0" w:color="auto"/>
              <w:left w:val="single" w:sz="4" w:space="0" w:color="auto"/>
              <w:bottom w:val="single" w:sz="4" w:space="0" w:color="auto"/>
              <w:right w:val="single" w:sz="4" w:space="0" w:color="auto"/>
            </w:tcBorders>
            <w:vAlign w:val="center"/>
          </w:tcPr>
          <w:p w14:paraId="4BB2C3D4"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 de véhicules et engins en bon état de fonctionnement</w:t>
            </w:r>
          </w:p>
          <w:p w14:paraId="240F7EEC"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Superficie d’aires de stockage et de ravitaillement d’hydrocarbures avec drainage et séparateur imperméabilisé</w:t>
            </w:r>
          </w:p>
          <w:p w14:paraId="0184F496"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Quantité de déchets de chantier collectés et éliminés </w:t>
            </w:r>
          </w:p>
          <w:p w14:paraId="64A7D197"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Nombre de cas de pollution constaté</w:t>
            </w:r>
          </w:p>
          <w:p w14:paraId="1520896B"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déversement accidentel de polluant enregistré</w:t>
            </w:r>
          </w:p>
          <w:p w14:paraId="1C447A9B"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cas de pollutions constatés</w:t>
            </w:r>
          </w:p>
          <w:p w14:paraId="0A2050A6" w14:textId="77777777" w:rsidR="00570E16" w:rsidRPr="0097258B" w:rsidRDefault="00570E16" w:rsidP="00E255EE">
            <w:p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p>
        </w:tc>
        <w:tc>
          <w:tcPr>
            <w:tcW w:w="1558" w:type="dxa"/>
            <w:tcBorders>
              <w:top w:val="single" w:sz="4" w:space="0" w:color="auto"/>
              <w:left w:val="single" w:sz="4" w:space="0" w:color="auto"/>
              <w:bottom w:val="single" w:sz="4" w:space="0" w:color="auto"/>
              <w:right w:val="single" w:sz="4" w:space="0" w:color="auto"/>
            </w:tcBorders>
            <w:vAlign w:val="center"/>
            <w:hideMark/>
          </w:tcPr>
          <w:p w14:paraId="14C29699"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lastRenderedPageBreak/>
              <w:t>Entreprise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181818"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F610027"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tc>
        <w:tc>
          <w:tcPr>
            <w:tcW w:w="994" w:type="dxa"/>
            <w:tcBorders>
              <w:top w:val="single" w:sz="4" w:space="0" w:color="auto"/>
              <w:left w:val="single" w:sz="4" w:space="0" w:color="auto"/>
              <w:bottom w:val="single" w:sz="4" w:space="0" w:color="auto"/>
              <w:right w:val="single" w:sz="4" w:space="0" w:color="auto"/>
            </w:tcBorders>
            <w:vAlign w:val="center"/>
            <w:hideMark/>
          </w:tcPr>
          <w:p w14:paraId="674F8AD1" w14:textId="77777777" w:rsidR="00570E16" w:rsidRPr="0097258B" w:rsidRDefault="00570E16" w:rsidP="00E255EE">
            <w:p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CRSE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18D6C08"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Budget chantier de mise en œuvre du PGES chantier</w:t>
            </w:r>
          </w:p>
        </w:tc>
      </w:tr>
      <w:tr w:rsidR="00570E16" w:rsidRPr="009B46E2" w14:paraId="5787D85B" w14:textId="77777777" w:rsidTr="0097258B">
        <w:tc>
          <w:tcPr>
            <w:tcW w:w="1984" w:type="dxa"/>
            <w:vMerge w:val="restart"/>
            <w:tcBorders>
              <w:top w:val="single" w:sz="4" w:space="0" w:color="auto"/>
              <w:left w:val="single" w:sz="4" w:space="0" w:color="auto"/>
              <w:right w:val="single" w:sz="4" w:space="0" w:color="auto"/>
            </w:tcBorders>
            <w:vAlign w:val="center"/>
            <w:hideMark/>
          </w:tcPr>
          <w:p w14:paraId="308B6B98"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Eau</w:t>
            </w:r>
          </w:p>
          <w:p w14:paraId="6FAB7258"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F4E88CA"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Pollution de la nappe </w:t>
            </w:r>
          </w:p>
        </w:tc>
        <w:tc>
          <w:tcPr>
            <w:tcW w:w="3404" w:type="dxa"/>
            <w:tcBorders>
              <w:top w:val="single" w:sz="4" w:space="0" w:color="auto"/>
              <w:left w:val="single" w:sz="4" w:space="0" w:color="auto"/>
              <w:bottom w:val="single" w:sz="4" w:space="0" w:color="auto"/>
              <w:right w:val="single" w:sz="4" w:space="0" w:color="auto"/>
            </w:tcBorders>
            <w:vAlign w:val="center"/>
            <w:hideMark/>
          </w:tcPr>
          <w:p w14:paraId="22E279BD"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Former et sensibiliser le personnel sur la préservation de l’environnement ;</w:t>
            </w:r>
          </w:p>
          <w:p w14:paraId="6564FEA8"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Mettre en place des mesures adéquates pour le ravitaillement des véhicules et de la machinerie intervenant à proximité des plans d’eau</w:t>
            </w:r>
          </w:p>
          <w:p w14:paraId="6E8A594E"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En cas de déversement accidentel, l’entrepreneur chargé des travaux devra aviser immédiatement la personne responsable de la surveillance environnementale des travaux et prendre des mesures pour arrêter la fuite, confiner </w:t>
            </w:r>
            <w:proofErr w:type="gramStart"/>
            <w:r w:rsidRPr="0097258B">
              <w:rPr>
                <w:rFonts w:ascii="Times New Roman" w:eastAsia="Times New Roman" w:hAnsi="Times New Roman"/>
                <w:iCs/>
                <w:color w:val="000000" w:themeColor="text1"/>
                <w:sz w:val="20"/>
                <w:szCs w:val="20"/>
                <w:lang w:eastAsia="fr-FR"/>
              </w:rPr>
              <w:t>et  récupérer</w:t>
            </w:r>
            <w:proofErr w:type="gramEnd"/>
            <w:r w:rsidRPr="0097258B">
              <w:rPr>
                <w:rFonts w:ascii="Times New Roman" w:eastAsia="Times New Roman" w:hAnsi="Times New Roman"/>
                <w:iCs/>
                <w:color w:val="000000" w:themeColor="text1"/>
                <w:sz w:val="20"/>
                <w:szCs w:val="20"/>
                <w:lang w:eastAsia="fr-FR"/>
              </w:rPr>
              <w:t xml:space="preserve"> le produit</w:t>
            </w:r>
          </w:p>
          <w:p w14:paraId="4C910337"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Limiter le ravitaillement en carburant/huile en dehors des stations- services</w:t>
            </w:r>
          </w:p>
          <w:p w14:paraId="723534D0"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Équiper les aires d’entretien des véhicules de séparateurs huile-eau</w:t>
            </w:r>
          </w:p>
          <w:p w14:paraId="7E37F59D"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Rendre étanches les aires d’entretien de véhicules et mettre un dispositif de récupération des huiles usagées</w:t>
            </w:r>
          </w:p>
          <w:p w14:paraId="43D67103"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Exiger à l’entrepreneur de disposer sur place de matériel d’urgence prêt à être utilisé en cas de déversement accidentel de produits polluants</w:t>
            </w:r>
          </w:p>
          <w:p w14:paraId="14BA4600"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Assurer un bon stockage des déchets et des hydrocarbures sur une plateforme étanche et dotée d’un dispositif de rétention en cas de déversement accidentel</w:t>
            </w:r>
          </w:p>
          <w:p w14:paraId="491C3389"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Utiliser des toilettes mobiles et étanches</w:t>
            </w:r>
          </w:p>
          <w:p w14:paraId="59F1D7D3"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Dépoter les boues sanitaires à la station de </w:t>
            </w:r>
            <w:proofErr w:type="spellStart"/>
            <w:r w:rsidRPr="0097258B">
              <w:rPr>
                <w:rFonts w:ascii="Times New Roman" w:eastAsia="Times New Roman" w:hAnsi="Times New Roman"/>
                <w:iCs/>
                <w:color w:val="000000" w:themeColor="text1"/>
                <w:sz w:val="20"/>
                <w:szCs w:val="20"/>
                <w:lang w:eastAsia="fr-FR"/>
              </w:rPr>
              <w:t>Cambérène</w:t>
            </w:r>
            <w:proofErr w:type="spellEnd"/>
          </w:p>
        </w:tc>
        <w:tc>
          <w:tcPr>
            <w:tcW w:w="1842" w:type="dxa"/>
            <w:tcBorders>
              <w:top w:val="single" w:sz="4" w:space="0" w:color="auto"/>
              <w:left w:val="single" w:sz="4" w:space="0" w:color="auto"/>
              <w:bottom w:val="single" w:sz="4" w:space="0" w:color="auto"/>
              <w:right w:val="single" w:sz="4" w:space="0" w:color="auto"/>
            </w:tcBorders>
            <w:vAlign w:val="center"/>
            <w:hideMark/>
          </w:tcPr>
          <w:p w14:paraId="2DF19750"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Nombre de mesures de la qualité des eaux réalisé par rapport aux normes admises (avant, durant et à la fin du projet)</w:t>
            </w:r>
          </w:p>
          <w:p w14:paraId="2846B3DA"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cas de pollution des eaux ou de déversement de polluants sur les plans d’eau enregistrés</w:t>
            </w:r>
          </w:p>
        </w:tc>
        <w:tc>
          <w:tcPr>
            <w:tcW w:w="1558" w:type="dxa"/>
            <w:tcBorders>
              <w:top w:val="single" w:sz="4" w:space="0" w:color="auto"/>
              <w:left w:val="single" w:sz="4" w:space="0" w:color="auto"/>
              <w:bottom w:val="single" w:sz="4" w:space="0" w:color="auto"/>
              <w:right w:val="single" w:sz="4" w:space="0" w:color="auto"/>
            </w:tcBorders>
            <w:vAlign w:val="center"/>
            <w:hideMark/>
          </w:tcPr>
          <w:p w14:paraId="3B6E793A"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Entreprise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82D8768"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5B05263"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tc>
        <w:tc>
          <w:tcPr>
            <w:tcW w:w="994" w:type="dxa"/>
            <w:tcBorders>
              <w:top w:val="single" w:sz="4" w:space="0" w:color="auto"/>
              <w:left w:val="single" w:sz="4" w:space="0" w:color="auto"/>
              <w:bottom w:val="single" w:sz="4" w:space="0" w:color="auto"/>
              <w:right w:val="single" w:sz="4" w:space="0" w:color="auto"/>
            </w:tcBorders>
            <w:vAlign w:val="center"/>
            <w:hideMark/>
          </w:tcPr>
          <w:p w14:paraId="78555CE1" w14:textId="77777777" w:rsidR="00570E16" w:rsidRPr="0097258B" w:rsidRDefault="00570E16" w:rsidP="00E255EE">
            <w:p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CRSE</w:t>
            </w:r>
          </w:p>
        </w:tc>
        <w:tc>
          <w:tcPr>
            <w:tcW w:w="1559" w:type="dxa"/>
            <w:tcBorders>
              <w:top w:val="single" w:sz="4" w:space="0" w:color="auto"/>
              <w:left w:val="single" w:sz="4" w:space="0" w:color="auto"/>
              <w:bottom w:val="single" w:sz="4" w:space="0" w:color="auto"/>
              <w:right w:val="single" w:sz="4" w:space="0" w:color="auto"/>
            </w:tcBorders>
            <w:vAlign w:val="center"/>
          </w:tcPr>
          <w:p w14:paraId="7DD9176D"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p>
          <w:p w14:paraId="0C649BD3"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p>
          <w:p w14:paraId="0ABA9E6F"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Budget de mise en œuvre du PGES chantier</w:t>
            </w:r>
          </w:p>
          <w:p w14:paraId="345CC551" w14:textId="77777777" w:rsidR="00570E16" w:rsidRPr="0097258B" w:rsidRDefault="00570E16" w:rsidP="00E255EE">
            <w:pPr>
              <w:autoSpaceDE w:val="0"/>
              <w:autoSpaceDN w:val="0"/>
              <w:adjustRightInd w:val="0"/>
              <w:spacing w:after="0" w:line="240" w:lineRule="auto"/>
              <w:rPr>
                <w:rFonts w:ascii="Times New Roman" w:eastAsia="Times New Roman" w:hAnsi="Times New Roman"/>
                <w:iCs/>
                <w:color w:val="000000" w:themeColor="text1"/>
                <w:sz w:val="20"/>
                <w:szCs w:val="20"/>
                <w:lang w:eastAsia="fr-FR"/>
              </w:rPr>
            </w:pPr>
          </w:p>
          <w:p w14:paraId="660A88B8" w14:textId="77777777" w:rsidR="00570E16" w:rsidRPr="0097258B" w:rsidRDefault="00570E16" w:rsidP="00E255EE">
            <w:pPr>
              <w:autoSpaceDE w:val="0"/>
              <w:autoSpaceDN w:val="0"/>
              <w:adjustRightInd w:val="0"/>
              <w:spacing w:after="0" w:line="240" w:lineRule="auto"/>
              <w:rPr>
                <w:rFonts w:ascii="Times New Roman" w:eastAsia="Times New Roman" w:hAnsi="Times New Roman"/>
                <w:iCs/>
                <w:color w:val="000000" w:themeColor="text1"/>
                <w:sz w:val="20"/>
                <w:szCs w:val="20"/>
                <w:lang w:eastAsia="fr-FR"/>
              </w:rPr>
            </w:pPr>
          </w:p>
          <w:p w14:paraId="3D2BE1F2" w14:textId="77777777" w:rsidR="00570E16" w:rsidRPr="0097258B" w:rsidRDefault="00570E16" w:rsidP="00E255EE">
            <w:pPr>
              <w:autoSpaceDE w:val="0"/>
              <w:autoSpaceDN w:val="0"/>
              <w:adjustRightInd w:val="0"/>
              <w:spacing w:after="0" w:line="240" w:lineRule="auto"/>
              <w:rPr>
                <w:rFonts w:ascii="Times New Roman" w:eastAsia="Times New Roman" w:hAnsi="Times New Roman"/>
                <w:color w:val="000000" w:themeColor="text1"/>
                <w:sz w:val="20"/>
                <w:szCs w:val="20"/>
                <w:lang w:eastAsia="fr-FR"/>
              </w:rPr>
            </w:pPr>
          </w:p>
        </w:tc>
      </w:tr>
      <w:tr w:rsidR="00570E16" w:rsidRPr="009B46E2" w14:paraId="48178978" w14:textId="77777777" w:rsidTr="0097258B">
        <w:trPr>
          <w:trHeight w:val="1079"/>
        </w:trPr>
        <w:tc>
          <w:tcPr>
            <w:tcW w:w="1984" w:type="dxa"/>
            <w:vMerge/>
            <w:tcBorders>
              <w:left w:val="single" w:sz="4" w:space="0" w:color="auto"/>
              <w:bottom w:val="single" w:sz="4" w:space="0" w:color="auto"/>
              <w:right w:val="single" w:sz="4" w:space="0" w:color="auto"/>
            </w:tcBorders>
            <w:vAlign w:val="center"/>
            <w:hideMark/>
          </w:tcPr>
          <w:p w14:paraId="1183F3ED"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E318EE9"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Modification de l’écoulement naturel des eaux pluviales</w:t>
            </w:r>
          </w:p>
        </w:tc>
        <w:tc>
          <w:tcPr>
            <w:tcW w:w="3404" w:type="dxa"/>
            <w:tcBorders>
              <w:top w:val="single" w:sz="4" w:space="0" w:color="auto"/>
              <w:left w:val="single" w:sz="4" w:space="0" w:color="auto"/>
              <w:bottom w:val="single" w:sz="4" w:space="0" w:color="auto"/>
              <w:right w:val="single" w:sz="4" w:space="0" w:color="auto"/>
            </w:tcBorders>
            <w:vAlign w:val="center"/>
            <w:hideMark/>
          </w:tcPr>
          <w:p w14:paraId="1E4442E2"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Mettre en place un système d’assainissement répondant aux normes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BC6A175"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cas d’inondation due à la m</w:t>
            </w:r>
            <w:r w:rsidRPr="0097258B">
              <w:rPr>
                <w:rFonts w:ascii="Times New Roman" w:eastAsia="Times New Roman" w:hAnsi="Times New Roman"/>
                <w:color w:val="000000" w:themeColor="text1"/>
                <w:sz w:val="20"/>
                <w:szCs w:val="20"/>
                <w:lang w:eastAsia="fr-FR"/>
              </w:rPr>
              <w:t>odification de l’écoulement naturel des eaux pluviales</w:t>
            </w:r>
          </w:p>
        </w:tc>
        <w:tc>
          <w:tcPr>
            <w:tcW w:w="1558" w:type="dxa"/>
            <w:tcBorders>
              <w:top w:val="single" w:sz="4" w:space="0" w:color="auto"/>
              <w:left w:val="single" w:sz="4" w:space="0" w:color="auto"/>
              <w:bottom w:val="single" w:sz="4" w:space="0" w:color="auto"/>
              <w:right w:val="single" w:sz="4" w:space="0" w:color="auto"/>
            </w:tcBorders>
            <w:vAlign w:val="center"/>
            <w:hideMark/>
          </w:tcPr>
          <w:p w14:paraId="4E2CD8AC"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Entreprise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9813027"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C2110B2"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tc>
        <w:tc>
          <w:tcPr>
            <w:tcW w:w="994" w:type="dxa"/>
            <w:tcBorders>
              <w:top w:val="single" w:sz="4" w:space="0" w:color="auto"/>
              <w:left w:val="single" w:sz="4" w:space="0" w:color="auto"/>
              <w:bottom w:val="single" w:sz="4" w:space="0" w:color="auto"/>
              <w:right w:val="single" w:sz="4" w:space="0" w:color="auto"/>
            </w:tcBorders>
            <w:vAlign w:val="center"/>
            <w:hideMark/>
          </w:tcPr>
          <w:p w14:paraId="7B8A7645" w14:textId="77777777" w:rsidR="00570E16" w:rsidRPr="0097258B" w:rsidRDefault="00570E16" w:rsidP="00E255EE">
            <w:p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CRSE</w:t>
            </w:r>
          </w:p>
        </w:tc>
        <w:tc>
          <w:tcPr>
            <w:tcW w:w="1559" w:type="dxa"/>
            <w:tcBorders>
              <w:top w:val="single" w:sz="4" w:space="0" w:color="auto"/>
              <w:left w:val="single" w:sz="4" w:space="0" w:color="auto"/>
              <w:bottom w:val="single" w:sz="4" w:space="0" w:color="auto"/>
              <w:right w:val="single" w:sz="4" w:space="0" w:color="auto"/>
            </w:tcBorders>
            <w:vAlign w:val="center"/>
          </w:tcPr>
          <w:p w14:paraId="09E82DB4"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p>
          <w:p w14:paraId="2B2E16CD"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p>
          <w:p w14:paraId="222D8A18"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Budget de mise en œuvre du PGES chantier</w:t>
            </w:r>
          </w:p>
        </w:tc>
      </w:tr>
      <w:tr w:rsidR="00570E16" w:rsidRPr="009B46E2" w14:paraId="4BA3844C" w14:textId="77777777" w:rsidTr="0097258B">
        <w:tc>
          <w:tcPr>
            <w:tcW w:w="1984" w:type="dxa"/>
            <w:tcBorders>
              <w:top w:val="single" w:sz="4" w:space="0" w:color="auto"/>
              <w:left w:val="single" w:sz="4" w:space="0" w:color="auto"/>
              <w:bottom w:val="single" w:sz="4" w:space="0" w:color="auto"/>
              <w:right w:val="single" w:sz="4" w:space="0" w:color="auto"/>
            </w:tcBorders>
            <w:vAlign w:val="center"/>
          </w:tcPr>
          <w:p w14:paraId="4A0196C3"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 xml:space="preserve">Inondation et cadre de travail </w:t>
            </w:r>
          </w:p>
        </w:tc>
        <w:tc>
          <w:tcPr>
            <w:tcW w:w="1417" w:type="dxa"/>
            <w:tcBorders>
              <w:top w:val="single" w:sz="4" w:space="0" w:color="auto"/>
              <w:left w:val="single" w:sz="4" w:space="0" w:color="auto"/>
              <w:bottom w:val="single" w:sz="4" w:space="0" w:color="auto"/>
              <w:right w:val="single" w:sz="4" w:space="0" w:color="auto"/>
            </w:tcBorders>
            <w:vAlign w:val="center"/>
          </w:tcPr>
          <w:p w14:paraId="3A018C55"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Remontée des eaux de la nappe dans les fouilles   </w:t>
            </w:r>
          </w:p>
        </w:tc>
        <w:tc>
          <w:tcPr>
            <w:tcW w:w="3404" w:type="dxa"/>
            <w:tcBorders>
              <w:top w:val="single" w:sz="4" w:space="0" w:color="auto"/>
              <w:left w:val="single" w:sz="4" w:space="0" w:color="auto"/>
              <w:bottom w:val="single" w:sz="4" w:space="0" w:color="auto"/>
              <w:right w:val="single" w:sz="4" w:space="0" w:color="auto"/>
            </w:tcBorders>
            <w:vAlign w:val="center"/>
          </w:tcPr>
          <w:p w14:paraId="68717C62"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Procéder au pompage des eaux de remontées</w:t>
            </w:r>
          </w:p>
          <w:p w14:paraId="64BD9DD5"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Si elles répondent aux exigences, utiliser ces eaux pour les travaux, l’humidification des voies de circulation, etc.</w:t>
            </w:r>
          </w:p>
        </w:tc>
        <w:tc>
          <w:tcPr>
            <w:tcW w:w="1842" w:type="dxa"/>
            <w:tcBorders>
              <w:top w:val="single" w:sz="4" w:space="0" w:color="auto"/>
              <w:left w:val="single" w:sz="4" w:space="0" w:color="auto"/>
              <w:bottom w:val="single" w:sz="4" w:space="0" w:color="auto"/>
              <w:right w:val="single" w:sz="4" w:space="0" w:color="auto"/>
            </w:tcBorders>
            <w:vAlign w:val="center"/>
          </w:tcPr>
          <w:p w14:paraId="595CD33D"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Effectivité de l’élaboration d’une procédure de rabattement de la nappe validée par la Mission de </w:t>
            </w:r>
            <w:proofErr w:type="spellStart"/>
            <w:r w:rsidRPr="0097258B">
              <w:rPr>
                <w:rFonts w:ascii="Times New Roman" w:eastAsia="Times New Roman" w:hAnsi="Times New Roman"/>
                <w:color w:val="000000" w:themeColor="text1"/>
                <w:sz w:val="20"/>
                <w:szCs w:val="20"/>
                <w:lang w:eastAsia="fr-FR"/>
              </w:rPr>
              <w:t>Controle</w:t>
            </w:r>
            <w:proofErr w:type="spellEnd"/>
          </w:p>
          <w:p w14:paraId="5920A359"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Quantité d’eau pompée</w:t>
            </w:r>
          </w:p>
          <w:p w14:paraId="54278584"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Quantité d’eau utilisée </w:t>
            </w:r>
          </w:p>
          <w:p w14:paraId="0B3A0048"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lastRenderedPageBreak/>
              <w:t>Quantité d’eau rejetée dans la nature</w:t>
            </w:r>
          </w:p>
        </w:tc>
        <w:tc>
          <w:tcPr>
            <w:tcW w:w="1558" w:type="dxa"/>
            <w:tcBorders>
              <w:top w:val="single" w:sz="4" w:space="0" w:color="auto"/>
              <w:left w:val="single" w:sz="4" w:space="0" w:color="auto"/>
              <w:bottom w:val="single" w:sz="4" w:space="0" w:color="auto"/>
              <w:right w:val="single" w:sz="4" w:space="0" w:color="auto"/>
            </w:tcBorders>
            <w:vAlign w:val="center"/>
          </w:tcPr>
          <w:p w14:paraId="4B299024"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lastRenderedPageBreak/>
              <w:t>Entreprise</w:t>
            </w:r>
          </w:p>
        </w:tc>
        <w:tc>
          <w:tcPr>
            <w:tcW w:w="1417" w:type="dxa"/>
            <w:tcBorders>
              <w:top w:val="single" w:sz="4" w:space="0" w:color="auto"/>
              <w:left w:val="single" w:sz="4" w:space="0" w:color="auto"/>
              <w:bottom w:val="single" w:sz="4" w:space="0" w:color="auto"/>
              <w:right w:val="single" w:sz="4" w:space="0" w:color="auto"/>
            </w:tcBorders>
            <w:vAlign w:val="center"/>
          </w:tcPr>
          <w:p w14:paraId="148B8195"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tc>
        <w:tc>
          <w:tcPr>
            <w:tcW w:w="1418" w:type="dxa"/>
            <w:tcBorders>
              <w:top w:val="single" w:sz="4" w:space="0" w:color="auto"/>
              <w:left w:val="single" w:sz="4" w:space="0" w:color="auto"/>
              <w:bottom w:val="single" w:sz="4" w:space="0" w:color="auto"/>
              <w:right w:val="single" w:sz="4" w:space="0" w:color="auto"/>
            </w:tcBorders>
            <w:vAlign w:val="center"/>
          </w:tcPr>
          <w:p w14:paraId="46F6F610"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tc>
        <w:tc>
          <w:tcPr>
            <w:tcW w:w="994" w:type="dxa"/>
            <w:tcBorders>
              <w:top w:val="single" w:sz="4" w:space="0" w:color="auto"/>
              <w:left w:val="single" w:sz="4" w:space="0" w:color="auto"/>
              <w:bottom w:val="single" w:sz="4" w:space="0" w:color="auto"/>
              <w:right w:val="single" w:sz="4" w:space="0" w:color="auto"/>
            </w:tcBorders>
            <w:vAlign w:val="center"/>
          </w:tcPr>
          <w:p w14:paraId="0B4AA1DA" w14:textId="77777777" w:rsidR="00570E16" w:rsidRPr="0097258B" w:rsidRDefault="00570E16" w:rsidP="00E255EE">
            <w:p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CRSE</w:t>
            </w:r>
          </w:p>
        </w:tc>
        <w:tc>
          <w:tcPr>
            <w:tcW w:w="1559" w:type="dxa"/>
            <w:tcBorders>
              <w:top w:val="single" w:sz="4" w:space="0" w:color="auto"/>
              <w:left w:val="single" w:sz="4" w:space="0" w:color="auto"/>
              <w:bottom w:val="single" w:sz="4" w:space="0" w:color="auto"/>
              <w:right w:val="single" w:sz="4" w:space="0" w:color="auto"/>
            </w:tcBorders>
            <w:vAlign w:val="center"/>
          </w:tcPr>
          <w:p w14:paraId="492FDA19"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p>
          <w:p w14:paraId="4BCEC9DF"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p>
          <w:p w14:paraId="57235337"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Budget de mise en œuvre du PGES chantier</w:t>
            </w:r>
          </w:p>
          <w:p w14:paraId="013C51B5" w14:textId="77777777" w:rsidR="00570E16" w:rsidRPr="0097258B" w:rsidRDefault="00570E16" w:rsidP="00E255EE">
            <w:pPr>
              <w:autoSpaceDE w:val="0"/>
              <w:autoSpaceDN w:val="0"/>
              <w:adjustRightInd w:val="0"/>
              <w:spacing w:after="0" w:line="240" w:lineRule="auto"/>
              <w:rPr>
                <w:rFonts w:ascii="Times New Roman" w:eastAsia="Times New Roman" w:hAnsi="Times New Roman"/>
                <w:iCs/>
                <w:color w:val="000000" w:themeColor="text1"/>
                <w:sz w:val="20"/>
                <w:szCs w:val="20"/>
                <w:lang w:eastAsia="fr-FR"/>
              </w:rPr>
            </w:pPr>
          </w:p>
          <w:p w14:paraId="02172F60" w14:textId="77777777" w:rsidR="00570E16" w:rsidRPr="0097258B" w:rsidRDefault="00570E16" w:rsidP="00E255EE">
            <w:pPr>
              <w:autoSpaceDE w:val="0"/>
              <w:autoSpaceDN w:val="0"/>
              <w:adjustRightInd w:val="0"/>
              <w:spacing w:after="0" w:line="240" w:lineRule="auto"/>
              <w:rPr>
                <w:rFonts w:ascii="Times New Roman" w:eastAsia="Times New Roman" w:hAnsi="Times New Roman"/>
                <w:iCs/>
                <w:color w:val="000000" w:themeColor="text1"/>
                <w:sz w:val="20"/>
                <w:szCs w:val="20"/>
                <w:lang w:eastAsia="fr-FR"/>
              </w:rPr>
            </w:pPr>
          </w:p>
          <w:p w14:paraId="4E812634" w14:textId="77777777" w:rsidR="00570E16" w:rsidRPr="0097258B" w:rsidRDefault="00570E16" w:rsidP="00E255EE">
            <w:pPr>
              <w:autoSpaceDE w:val="0"/>
              <w:autoSpaceDN w:val="0"/>
              <w:adjustRightInd w:val="0"/>
              <w:spacing w:after="0" w:line="240" w:lineRule="auto"/>
              <w:rPr>
                <w:rFonts w:ascii="Times New Roman" w:eastAsia="Times New Roman" w:hAnsi="Times New Roman"/>
                <w:color w:val="000000" w:themeColor="text1"/>
                <w:sz w:val="20"/>
                <w:szCs w:val="20"/>
                <w:lang w:eastAsia="fr-FR"/>
              </w:rPr>
            </w:pPr>
          </w:p>
        </w:tc>
      </w:tr>
      <w:tr w:rsidR="00570E16" w:rsidRPr="009B46E2" w14:paraId="19FD8B82" w14:textId="77777777" w:rsidTr="0097258B">
        <w:tc>
          <w:tcPr>
            <w:tcW w:w="1984" w:type="dxa"/>
            <w:tcBorders>
              <w:top w:val="single" w:sz="4" w:space="0" w:color="auto"/>
              <w:left w:val="single" w:sz="4" w:space="0" w:color="auto"/>
              <w:bottom w:val="single" w:sz="4" w:space="0" w:color="auto"/>
              <w:right w:val="single" w:sz="4" w:space="0" w:color="auto"/>
            </w:tcBorders>
            <w:vAlign w:val="center"/>
            <w:hideMark/>
          </w:tcPr>
          <w:p w14:paraId="5B173C50"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Air</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571A7B3"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Dégradation de la qualité de l’air</w:t>
            </w:r>
          </w:p>
        </w:tc>
        <w:tc>
          <w:tcPr>
            <w:tcW w:w="3404" w:type="dxa"/>
            <w:tcBorders>
              <w:top w:val="single" w:sz="4" w:space="0" w:color="auto"/>
              <w:left w:val="single" w:sz="4" w:space="0" w:color="auto"/>
              <w:bottom w:val="single" w:sz="4" w:space="0" w:color="auto"/>
              <w:right w:val="single" w:sz="4" w:space="0" w:color="auto"/>
            </w:tcBorders>
            <w:vAlign w:val="center"/>
            <w:hideMark/>
          </w:tcPr>
          <w:p w14:paraId="143B4151"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Arroser les voies de circulation des véhicules et engins du chantier ou utiliser toute autre méthode éprouvée</w:t>
            </w:r>
          </w:p>
          <w:p w14:paraId="4045783F"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Limiter la circulation des véhicules et engins à l’emprise de la voie d’accès et des aires de travail</w:t>
            </w:r>
          </w:p>
          <w:p w14:paraId="4422EF17"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Limiter la vitesse de circulation à 25 km/h sur les voies d’accès</w:t>
            </w:r>
          </w:p>
          <w:p w14:paraId="0B3B15E8"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Opérer avec des équipements répondant aux normes requises en termes d’émissions de gaz</w:t>
            </w:r>
          </w:p>
          <w:p w14:paraId="74C422DF"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Mettre en œuvre un programme de maintenance préventive des véhicules utilisés dans les travaux</w:t>
            </w:r>
          </w:p>
          <w:p w14:paraId="237AAAB1"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Bâcher toutes les charges en vrac sur les camions se déplaçant entre les sites de travaux</w:t>
            </w:r>
          </w:p>
          <w:p w14:paraId="33F30E82"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Humidifier le sol avant les opérations de fouilles et de terrassement</w:t>
            </w:r>
          </w:p>
          <w:p w14:paraId="0E8072A3"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Port de masques anti-poussière pour le personnel de chantier ;</w:t>
            </w:r>
          </w:p>
          <w:p w14:paraId="70BA8FC8"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Éviter le transport de sable non bâché ;</w:t>
            </w:r>
          </w:p>
          <w:p w14:paraId="402AF12E"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Limiter le stockage de sables à ciel ouvert ou les bâcher si nécessaire</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A733F69"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prélèvement effectué</w:t>
            </w:r>
          </w:p>
          <w:p w14:paraId="425486D8"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des prélèvements supérieurs à la norme NS 05 062</w:t>
            </w:r>
          </w:p>
          <w:p w14:paraId="3FC5F54B"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de véhicules et engins en bon état de fonctionnement</w:t>
            </w:r>
          </w:p>
          <w:p w14:paraId="28601C82"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plaintes des riverains relatives aux émissions de poussières</w:t>
            </w:r>
          </w:p>
        </w:tc>
        <w:tc>
          <w:tcPr>
            <w:tcW w:w="1558" w:type="dxa"/>
            <w:tcBorders>
              <w:top w:val="single" w:sz="4" w:space="0" w:color="auto"/>
              <w:left w:val="single" w:sz="4" w:space="0" w:color="auto"/>
              <w:bottom w:val="single" w:sz="4" w:space="0" w:color="auto"/>
              <w:right w:val="single" w:sz="4" w:space="0" w:color="auto"/>
            </w:tcBorders>
            <w:vAlign w:val="center"/>
            <w:hideMark/>
          </w:tcPr>
          <w:p w14:paraId="0A326E0A"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Entreprise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BB41BB2"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7975FFE"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tc>
        <w:tc>
          <w:tcPr>
            <w:tcW w:w="994" w:type="dxa"/>
            <w:tcBorders>
              <w:top w:val="single" w:sz="4" w:space="0" w:color="auto"/>
              <w:left w:val="single" w:sz="4" w:space="0" w:color="auto"/>
              <w:bottom w:val="single" w:sz="4" w:space="0" w:color="auto"/>
              <w:right w:val="single" w:sz="4" w:space="0" w:color="auto"/>
            </w:tcBorders>
            <w:vAlign w:val="center"/>
            <w:hideMark/>
          </w:tcPr>
          <w:p w14:paraId="654A756D" w14:textId="77777777" w:rsidR="00570E16" w:rsidRPr="0097258B" w:rsidRDefault="00570E16" w:rsidP="00E255EE">
            <w:p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CRSE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487D4D9"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Budget de mise en œuvre du PGES chantier</w:t>
            </w:r>
          </w:p>
        </w:tc>
      </w:tr>
      <w:tr w:rsidR="00570E16" w:rsidRPr="009B46E2" w14:paraId="13C01CCF" w14:textId="77777777" w:rsidTr="0097258B">
        <w:tc>
          <w:tcPr>
            <w:tcW w:w="1984" w:type="dxa"/>
            <w:tcBorders>
              <w:top w:val="single" w:sz="4" w:space="0" w:color="auto"/>
              <w:left w:val="single" w:sz="4" w:space="0" w:color="auto"/>
              <w:bottom w:val="single" w:sz="4" w:space="0" w:color="auto"/>
              <w:right w:val="single" w:sz="4" w:space="0" w:color="auto"/>
            </w:tcBorders>
            <w:vAlign w:val="center"/>
            <w:hideMark/>
          </w:tcPr>
          <w:p w14:paraId="2EDDCBAD"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Biodiversité</w:t>
            </w:r>
          </w:p>
        </w:tc>
        <w:tc>
          <w:tcPr>
            <w:tcW w:w="1417" w:type="dxa"/>
            <w:tcBorders>
              <w:top w:val="single" w:sz="4" w:space="0" w:color="auto"/>
              <w:left w:val="single" w:sz="4" w:space="0" w:color="auto"/>
              <w:bottom w:val="single" w:sz="4" w:space="0" w:color="auto"/>
              <w:right w:val="single" w:sz="4" w:space="0" w:color="auto"/>
            </w:tcBorders>
            <w:vAlign w:val="center"/>
          </w:tcPr>
          <w:p w14:paraId="0DDB7056"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Déboisement et perte d’individus d’espèces végétales et fauniques</w:t>
            </w:r>
          </w:p>
          <w:p w14:paraId="36714778"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p>
        </w:tc>
        <w:tc>
          <w:tcPr>
            <w:tcW w:w="3404" w:type="dxa"/>
            <w:tcBorders>
              <w:top w:val="single" w:sz="4" w:space="0" w:color="auto"/>
              <w:left w:val="single" w:sz="4" w:space="0" w:color="auto"/>
              <w:bottom w:val="single" w:sz="4" w:space="0" w:color="auto"/>
              <w:right w:val="single" w:sz="4" w:space="0" w:color="auto"/>
            </w:tcBorders>
            <w:vAlign w:val="center"/>
            <w:hideMark/>
          </w:tcPr>
          <w:p w14:paraId="32CF9139"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Établir la situation de référence pour les espèces végétales et fauniques impactées avec le service forestier</w:t>
            </w:r>
          </w:p>
          <w:p w14:paraId="60030E3F"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Établissement d’un protocole entre les entreprises et le service des Eaux et Forêts</w:t>
            </w:r>
          </w:p>
          <w:p w14:paraId="70467F38"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Respecter les dispositions légales avant les coupes d’arbres</w:t>
            </w:r>
          </w:p>
          <w:p w14:paraId="5B8B7C9B"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Conserver les arbres du site dans la mesure du possible</w:t>
            </w:r>
          </w:p>
          <w:p w14:paraId="11382A7E"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Faire un reboisement sur le site à raison de 5 arbres plantés pour un arbre coupé </w:t>
            </w:r>
          </w:p>
          <w:p w14:paraId="32C2D1A1"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Procéder à un aménagement paysager autour du site</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6F0ED9E" w14:textId="77777777" w:rsidR="00570E16" w:rsidRPr="0097258B" w:rsidRDefault="00570E16" w:rsidP="00E255EE">
            <w:pPr>
              <w:numPr>
                <w:ilvl w:val="0"/>
                <w:numId w:val="13"/>
              </w:numPr>
              <w:autoSpaceDE w:val="0"/>
              <w:autoSpaceDN w:val="0"/>
              <w:adjustRightInd w:val="0"/>
              <w:spacing w:after="0" w:line="240" w:lineRule="auto"/>
              <w:ind w:left="189" w:hanging="171"/>
              <w:contextualSpacing/>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Nombre d’arbres abattus</w:t>
            </w:r>
          </w:p>
          <w:p w14:paraId="13D8C854" w14:textId="77777777" w:rsidR="00570E16" w:rsidRPr="0097258B" w:rsidRDefault="00570E16" w:rsidP="00E255EE">
            <w:pPr>
              <w:numPr>
                <w:ilvl w:val="0"/>
                <w:numId w:val="13"/>
              </w:numPr>
              <w:autoSpaceDE w:val="0"/>
              <w:autoSpaceDN w:val="0"/>
              <w:adjustRightInd w:val="0"/>
              <w:spacing w:after="0" w:line="240" w:lineRule="auto"/>
              <w:ind w:left="189" w:hanging="171"/>
              <w:contextualSpacing/>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Montant de la taxe d’abattage payée</w:t>
            </w:r>
          </w:p>
          <w:p w14:paraId="7E89F0A4"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Nombre d’arbres plantés et taux de réussite</w:t>
            </w:r>
          </w:p>
          <w:p w14:paraId="0CE1B147"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Superficie d’aménagement paysager réalisée</w:t>
            </w:r>
          </w:p>
        </w:tc>
        <w:tc>
          <w:tcPr>
            <w:tcW w:w="1558" w:type="dxa"/>
            <w:tcBorders>
              <w:top w:val="single" w:sz="4" w:space="0" w:color="auto"/>
              <w:left w:val="single" w:sz="4" w:space="0" w:color="auto"/>
              <w:bottom w:val="single" w:sz="4" w:space="0" w:color="auto"/>
              <w:right w:val="single" w:sz="4" w:space="0" w:color="auto"/>
            </w:tcBorders>
            <w:vAlign w:val="center"/>
            <w:hideMark/>
          </w:tcPr>
          <w:p w14:paraId="495AA145"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lastRenderedPageBreak/>
              <w:t>Entreprise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4E9C1EA"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p w14:paraId="06C0EC6D"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Service forestier</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23AD0D7"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 CGES/ADM</w:t>
            </w:r>
          </w:p>
        </w:tc>
        <w:tc>
          <w:tcPr>
            <w:tcW w:w="994" w:type="dxa"/>
            <w:tcBorders>
              <w:top w:val="single" w:sz="4" w:space="0" w:color="auto"/>
              <w:left w:val="single" w:sz="4" w:space="0" w:color="auto"/>
              <w:bottom w:val="single" w:sz="4" w:space="0" w:color="auto"/>
              <w:right w:val="single" w:sz="4" w:space="0" w:color="auto"/>
            </w:tcBorders>
            <w:vAlign w:val="center"/>
            <w:hideMark/>
          </w:tcPr>
          <w:p w14:paraId="156A8746" w14:textId="77777777" w:rsidR="00570E16" w:rsidRPr="0097258B" w:rsidRDefault="00570E16" w:rsidP="00E255EE">
            <w:p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CRSE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2D440A1"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Budget de mise en œuvre du PGES chantier</w:t>
            </w:r>
          </w:p>
        </w:tc>
      </w:tr>
      <w:tr w:rsidR="00570E16" w:rsidRPr="009B46E2" w14:paraId="4B45B143" w14:textId="77777777" w:rsidTr="0097258B">
        <w:tc>
          <w:tcPr>
            <w:tcW w:w="1984" w:type="dxa"/>
            <w:tcBorders>
              <w:top w:val="single" w:sz="4" w:space="0" w:color="auto"/>
              <w:left w:val="single" w:sz="4" w:space="0" w:color="auto"/>
              <w:bottom w:val="single" w:sz="4" w:space="0" w:color="auto"/>
              <w:right w:val="single" w:sz="4" w:space="0" w:color="auto"/>
            </w:tcBorders>
            <w:vAlign w:val="center"/>
            <w:hideMark/>
          </w:tcPr>
          <w:p w14:paraId="4C1DED24"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Paysage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31F63E8"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Modification de l’esthétique du paysage</w:t>
            </w:r>
          </w:p>
        </w:tc>
        <w:tc>
          <w:tcPr>
            <w:tcW w:w="3404" w:type="dxa"/>
            <w:tcBorders>
              <w:top w:val="single" w:sz="4" w:space="0" w:color="auto"/>
              <w:left w:val="single" w:sz="4" w:space="0" w:color="auto"/>
              <w:bottom w:val="single" w:sz="4" w:space="0" w:color="auto"/>
              <w:right w:val="single" w:sz="4" w:space="0" w:color="auto"/>
            </w:tcBorders>
            <w:vAlign w:val="center"/>
            <w:hideMark/>
          </w:tcPr>
          <w:p w14:paraId="56488F5A"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Assurer la conformité avec la réglementation minière</w:t>
            </w:r>
          </w:p>
          <w:p w14:paraId="38B041E4"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Veiller à la collecte de tous les déchets et les acheminer vers des lieux appropriés </w:t>
            </w:r>
          </w:p>
          <w:p w14:paraId="5CDCABA2"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Veiller à l’acquisition de tous les permis et autorisations nécessaires à l’exploitation de carrières avant les travaux </w:t>
            </w:r>
          </w:p>
          <w:p w14:paraId="18B13D98"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Assurer le régalage des lieux et aménagements paysagers après les travaux</w:t>
            </w:r>
          </w:p>
          <w:p w14:paraId="6294BE98"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Remettre en état des sites d’emprunt et carrières après exploitation</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F60A6E8"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carrières exploitées</w:t>
            </w:r>
          </w:p>
          <w:p w14:paraId="39EFFC61"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carrières remises en état et %</w:t>
            </w:r>
          </w:p>
          <w:p w14:paraId="46B1F6DF"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sites régalés après les travaux et %</w:t>
            </w:r>
          </w:p>
        </w:tc>
        <w:tc>
          <w:tcPr>
            <w:tcW w:w="1558" w:type="dxa"/>
            <w:tcBorders>
              <w:top w:val="single" w:sz="4" w:space="0" w:color="auto"/>
              <w:left w:val="single" w:sz="4" w:space="0" w:color="auto"/>
              <w:bottom w:val="single" w:sz="4" w:space="0" w:color="auto"/>
              <w:right w:val="single" w:sz="4" w:space="0" w:color="auto"/>
            </w:tcBorders>
            <w:vAlign w:val="center"/>
            <w:hideMark/>
          </w:tcPr>
          <w:p w14:paraId="3458967D"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Entreprise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5920C35"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EEB1C15"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 CGES/ADM</w:t>
            </w:r>
          </w:p>
        </w:tc>
        <w:tc>
          <w:tcPr>
            <w:tcW w:w="994" w:type="dxa"/>
            <w:tcBorders>
              <w:top w:val="single" w:sz="4" w:space="0" w:color="auto"/>
              <w:left w:val="single" w:sz="4" w:space="0" w:color="auto"/>
              <w:bottom w:val="single" w:sz="4" w:space="0" w:color="auto"/>
              <w:right w:val="single" w:sz="4" w:space="0" w:color="auto"/>
            </w:tcBorders>
            <w:vAlign w:val="center"/>
            <w:hideMark/>
          </w:tcPr>
          <w:p w14:paraId="6CA10866" w14:textId="77777777" w:rsidR="00570E16" w:rsidRPr="0097258B" w:rsidRDefault="00570E16" w:rsidP="00E255EE">
            <w:p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CRSE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8CC28C9"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Budget chantier de mise en œuvre du PGES chantier</w:t>
            </w:r>
          </w:p>
        </w:tc>
      </w:tr>
      <w:tr w:rsidR="00570E16" w:rsidRPr="009B46E2" w14:paraId="3FD80BAA" w14:textId="77777777" w:rsidTr="0097258B">
        <w:tc>
          <w:tcPr>
            <w:tcW w:w="1984" w:type="dxa"/>
            <w:tcBorders>
              <w:top w:val="single" w:sz="4" w:space="0" w:color="auto"/>
              <w:left w:val="single" w:sz="4" w:space="0" w:color="auto"/>
              <w:bottom w:val="single" w:sz="4" w:space="0" w:color="auto"/>
              <w:right w:val="single" w:sz="4" w:space="0" w:color="auto"/>
            </w:tcBorders>
            <w:vAlign w:val="center"/>
            <w:hideMark/>
          </w:tcPr>
          <w:p w14:paraId="4BAE3620" w14:textId="77777777" w:rsidR="00570E16" w:rsidRPr="0097258B" w:rsidRDefault="00570E16" w:rsidP="00E255EE">
            <w:pPr>
              <w:spacing w:after="0" w:line="240" w:lineRule="auto"/>
              <w:rPr>
                <w:rFonts w:ascii="Times New Roman" w:eastAsia="Times New Roman" w:hAnsi="Times New Roman"/>
                <w:b/>
                <w:bCs/>
                <w:color w:val="000000" w:themeColor="text1"/>
                <w:sz w:val="20"/>
                <w:szCs w:val="20"/>
                <w:highlight w:val="yellow"/>
                <w:lang w:eastAsia="fr-FR"/>
              </w:rPr>
            </w:pPr>
            <w:r w:rsidRPr="0097258B">
              <w:rPr>
                <w:rFonts w:ascii="Times New Roman" w:eastAsia="Times New Roman" w:hAnsi="Times New Roman"/>
                <w:b/>
                <w:bCs/>
                <w:color w:val="000000" w:themeColor="text1"/>
                <w:sz w:val="20"/>
                <w:szCs w:val="20"/>
                <w:lang w:eastAsia="fr-FR"/>
              </w:rPr>
              <w:t>Patrimoine culturel et archéologique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55F3AD8" w14:textId="77777777" w:rsidR="00570E16" w:rsidRPr="0097258B" w:rsidRDefault="00570E16" w:rsidP="00E255EE">
            <w:pPr>
              <w:spacing w:after="0" w:line="240" w:lineRule="auto"/>
              <w:rPr>
                <w:rFonts w:ascii="Times New Roman" w:eastAsia="Times New Roman" w:hAnsi="Times New Roman"/>
                <w:color w:val="000000" w:themeColor="text1"/>
                <w:sz w:val="20"/>
                <w:szCs w:val="20"/>
                <w:highlight w:val="yellow"/>
                <w:lang w:eastAsia="fr-FR"/>
              </w:rPr>
            </w:pPr>
            <w:r w:rsidRPr="0097258B">
              <w:rPr>
                <w:rFonts w:ascii="Times New Roman" w:eastAsia="Times New Roman" w:hAnsi="Times New Roman"/>
                <w:color w:val="000000" w:themeColor="text1"/>
                <w:sz w:val="20"/>
                <w:szCs w:val="20"/>
                <w:lang w:eastAsia="fr-FR"/>
              </w:rPr>
              <w:t>Atteinte et/ou destruction du patrimoine archéologique</w:t>
            </w:r>
          </w:p>
        </w:tc>
        <w:tc>
          <w:tcPr>
            <w:tcW w:w="3404" w:type="dxa"/>
            <w:tcBorders>
              <w:top w:val="single" w:sz="4" w:space="0" w:color="auto"/>
              <w:left w:val="single" w:sz="4" w:space="0" w:color="auto"/>
              <w:bottom w:val="single" w:sz="4" w:space="0" w:color="auto"/>
              <w:right w:val="single" w:sz="4" w:space="0" w:color="auto"/>
            </w:tcBorders>
            <w:vAlign w:val="center"/>
            <w:hideMark/>
          </w:tcPr>
          <w:p w14:paraId="61616CC6"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En cas de découverte fortuite de vestiges, arrêter les travaux, circonscrire et protéger la zone </w:t>
            </w:r>
          </w:p>
          <w:p w14:paraId="7196CEF4"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Avertir immédiatement les services compétents pour conduite à tenir</w:t>
            </w:r>
          </w:p>
          <w:p w14:paraId="418E5D7A"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Protéger autant que possible les éventuels objets déterrés accidentellement en utilisant des couvertures en plastique</w:t>
            </w:r>
          </w:p>
          <w:p w14:paraId="0DA4EE4F"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Sensibiliser le personnel de chantier et les conducteurs d’engins</w:t>
            </w:r>
          </w:p>
          <w:p w14:paraId="0B571023"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Élaborer une procédure spécifique qui sera annexée au PGES chantier</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612D47A"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Nombre de personnes sensibilisées</w:t>
            </w:r>
          </w:p>
          <w:p w14:paraId="3B6E03EB"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découvertes fortuites et % de déclaration faite auprès services compétents</w:t>
            </w:r>
          </w:p>
        </w:tc>
        <w:tc>
          <w:tcPr>
            <w:tcW w:w="1558" w:type="dxa"/>
            <w:tcBorders>
              <w:top w:val="single" w:sz="4" w:space="0" w:color="auto"/>
              <w:left w:val="single" w:sz="4" w:space="0" w:color="auto"/>
              <w:bottom w:val="single" w:sz="4" w:space="0" w:color="auto"/>
              <w:right w:val="single" w:sz="4" w:space="0" w:color="auto"/>
            </w:tcBorders>
            <w:vAlign w:val="center"/>
            <w:hideMark/>
          </w:tcPr>
          <w:p w14:paraId="06991FAC"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Entreprise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B60C008"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9B3D5BE"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 CGES/ADM</w:t>
            </w:r>
          </w:p>
        </w:tc>
        <w:tc>
          <w:tcPr>
            <w:tcW w:w="994" w:type="dxa"/>
            <w:tcBorders>
              <w:top w:val="single" w:sz="4" w:space="0" w:color="auto"/>
              <w:left w:val="single" w:sz="4" w:space="0" w:color="auto"/>
              <w:bottom w:val="single" w:sz="4" w:space="0" w:color="auto"/>
              <w:right w:val="single" w:sz="4" w:space="0" w:color="auto"/>
            </w:tcBorders>
            <w:vAlign w:val="center"/>
            <w:hideMark/>
          </w:tcPr>
          <w:p w14:paraId="531B7D8A" w14:textId="77777777" w:rsidR="00570E16" w:rsidRPr="0097258B" w:rsidRDefault="00570E16" w:rsidP="00E255EE">
            <w:p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CRSE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0ABF4B7"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Inclus dans les coûts de mise en œuvre du PGES chantier</w:t>
            </w:r>
          </w:p>
        </w:tc>
      </w:tr>
      <w:tr w:rsidR="00570E16" w:rsidRPr="009B46E2" w14:paraId="50496487" w14:textId="77777777" w:rsidTr="0097258B">
        <w:tc>
          <w:tcPr>
            <w:tcW w:w="1984" w:type="dxa"/>
            <w:tcBorders>
              <w:top w:val="single" w:sz="4" w:space="0" w:color="auto"/>
              <w:left w:val="single" w:sz="4" w:space="0" w:color="auto"/>
              <w:bottom w:val="single" w:sz="4" w:space="0" w:color="auto"/>
              <w:right w:val="single" w:sz="4" w:space="0" w:color="auto"/>
            </w:tcBorders>
            <w:vAlign w:val="center"/>
            <w:hideMark/>
          </w:tcPr>
          <w:p w14:paraId="5E4443E9"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Bruit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BEE2299"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Nuisances sonores</w:t>
            </w:r>
          </w:p>
        </w:tc>
        <w:tc>
          <w:tcPr>
            <w:tcW w:w="3404" w:type="dxa"/>
            <w:tcBorders>
              <w:top w:val="single" w:sz="4" w:space="0" w:color="auto"/>
              <w:left w:val="single" w:sz="4" w:space="0" w:color="auto"/>
              <w:bottom w:val="single" w:sz="4" w:space="0" w:color="auto"/>
              <w:right w:val="single" w:sz="4" w:space="0" w:color="auto"/>
            </w:tcBorders>
            <w:vAlign w:val="center"/>
            <w:hideMark/>
          </w:tcPr>
          <w:p w14:paraId="79B2496E"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Procéder à l’installation de clôtures autour du site</w:t>
            </w:r>
          </w:p>
          <w:p w14:paraId="47B7F8EC"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Enregistrer et traiter toutes les plaintes liées aux travaux</w:t>
            </w:r>
          </w:p>
          <w:p w14:paraId="77D5483A"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Utiliser des engins dont les niveaux de bruit respectent les normes admises</w:t>
            </w:r>
          </w:p>
          <w:p w14:paraId="4C40D8BF"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Aménager les horaires de travail</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EC80501"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plaintes enregistrées et traitées relatives au bruit</w:t>
            </w:r>
          </w:p>
          <w:p w14:paraId="0A74ED9B"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des engins respectant les normes en termes d’émissions sonores</w:t>
            </w:r>
          </w:p>
          <w:p w14:paraId="42CBF88C"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sites clôturés et % de couverture</w:t>
            </w:r>
          </w:p>
        </w:tc>
        <w:tc>
          <w:tcPr>
            <w:tcW w:w="1558" w:type="dxa"/>
            <w:tcBorders>
              <w:top w:val="single" w:sz="4" w:space="0" w:color="auto"/>
              <w:left w:val="single" w:sz="4" w:space="0" w:color="auto"/>
              <w:bottom w:val="single" w:sz="4" w:space="0" w:color="auto"/>
              <w:right w:val="single" w:sz="4" w:space="0" w:color="auto"/>
            </w:tcBorders>
            <w:vAlign w:val="center"/>
            <w:hideMark/>
          </w:tcPr>
          <w:p w14:paraId="260AF744"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Entreprise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DBCAE78"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A7DDF01"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 CGES/ADM</w:t>
            </w:r>
          </w:p>
        </w:tc>
        <w:tc>
          <w:tcPr>
            <w:tcW w:w="994" w:type="dxa"/>
            <w:tcBorders>
              <w:top w:val="single" w:sz="4" w:space="0" w:color="auto"/>
              <w:left w:val="single" w:sz="4" w:space="0" w:color="auto"/>
              <w:bottom w:val="single" w:sz="4" w:space="0" w:color="auto"/>
              <w:right w:val="single" w:sz="4" w:space="0" w:color="auto"/>
            </w:tcBorders>
            <w:vAlign w:val="center"/>
            <w:hideMark/>
          </w:tcPr>
          <w:p w14:paraId="69E0DFAF" w14:textId="77777777" w:rsidR="00570E16" w:rsidRPr="0097258B" w:rsidRDefault="00570E16" w:rsidP="00E255EE">
            <w:p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CRSE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2F230DC"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Budget de mise en œuvre du PGES chantier</w:t>
            </w:r>
          </w:p>
        </w:tc>
      </w:tr>
      <w:tr w:rsidR="00570E16" w:rsidRPr="009B46E2" w14:paraId="5DDAD29C" w14:textId="77777777" w:rsidTr="0097258B">
        <w:tc>
          <w:tcPr>
            <w:tcW w:w="1984" w:type="dxa"/>
            <w:tcBorders>
              <w:top w:val="single" w:sz="4" w:space="0" w:color="auto"/>
              <w:left w:val="single" w:sz="4" w:space="0" w:color="auto"/>
              <w:bottom w:val="single" w:sz="4" w:space="0" w:color="auto"/>
              <w:right w:val="single" w:sz="4" w:space="0" w:color="auto"/>
            </w:tcBorders>
            <w:vAlign w:val="center"/>
            <w:hideMark/>
          </w:tcPr>
          <w:p w14:paraId="2AA26B95"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Cadre vie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405F31E"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Pollution du milieu par les déchets de chantier</w:t>
            </w:r>
          </w:p>
        </w:tc>
        <w:tc>
          <w:tcPr>
            <w:tcW w:w="3404" w:type="dxa"/>
            <w:tcBorders>
              <w:top w:val="single" w:sz="4" w:space="0" w:color="auto"/>
              <w:left w:val="single" w:sz="4" w:space="0" w:color="auto"/>
              <w:bottom w:val="single" w:sz="4" w:space="0" w:color="auto"/>
              <w:right w:val="single" w:sz="4" w:space="0" w:color="auto"/>
            </w:tcBorders>
            <w:vAlign w:val="center"/>
            <w:hideMark/>
          </w:tcPr>
          <w:p w14:paraId="634CA462"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Procéder au tri des déchets</w:t>
            </w:r>
          </w:p>
          <w:p w14:paraId="0E4B1F51"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Assurer régulièrement la collecte, l’évacuation et l’élimination des déchets vers des sites autorisés suivant les dispositions du plan de gestion des déchets (PGD)</w:t>
            </w:r>
          </w:p>
          <w:p w14:paraId="72FD267D"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Procéder au régalage et à la remise en état des lieux après les travaux</w:t>
            </w:r>
          </w:p>
          <w:p w14:paraId="74BA6EDC"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Assurer la mise en décharge des déchets après exploration de toutes les stratégies de valorisation suivant le PGD</w:t>
            </w:r>
          </w:p>
          <w:p w14:paraId="2F3BEBE1"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Conditionner les déchets par type (p. ex. huiles usées diverses, résidus d’adjuvants &amp; produits pour béton, produits absorbants &amp; terres polluées, résidus contenant des peintures, chiffons souillés), dans des conteneurs étanches et couverts (emballage d'origine, fût, benne) et </w:t>
            </w:r>
            <w:r w:rsidRPr="0097258B">
              <w:rPr>
                <w:rFonts w:ascii="Times New Roman" w:eastAsia="Times New Roman" w:hAnsi="Times New Roman"/>
                <w:iCs/>
                <w:color w:val="000000" w:themeColor="text1"/>
                <w:sz w:val="20"/>
                <w:szCs w:val="20"/>
                <w:lang w:eastAsia="fr-FR"/>
              </w:rPr>
              <w:lastRenderedPageBreak/>
              <w:t>les retourner au fournisseur ou les remettre à une entreprise d’élimination autorisée,</w:t>
            </w:r>
          </w:p>
          <w:p w14:paraId="28D4D741"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Stocker les déchets à l’abri des intempéries pour éviter leur dissémination et leur lessivage par les eaux de pluie (récipient hermétique, bac de rétention, sol étanche)</w:t>
            </w:r>
          </w:p>
          <w:p w14:paraId="08529B27"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Étiqueter correctement les fûts, bidons, cuves et faire apparaître clairement les dangers liés au produit</w:t>
            </w:r>
          </w:p>
          <w:p w14:paraId="6416E608"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Aménager un bassin de décantation pour la récupération des laitances de béton</w:t>
            </w:r>
          </w:p>
          <w:p w14:paraId="5D83A9F4"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Curer le béton solidifié et le stocker avec les autres déchets inertes</w:t>
            </w:r>
          </w:p>
          <w:p w14:paraId="1F1BE8CF"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Recycler l’eau issue de la décantation</w:t>
            </w:r>
          </w:p>
          <w:p w14:paraId="0CBF07A6"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Tenir des registres sur la typologie, la quantité, le transport et le choix et les caractéristiques du site final d'élimination des déchets générés</w:t>
            </w:r>
          </w:p>
          <w:p w14:paraId="1795127F" w14:textId="77777777" w:rsidR="00570E16" w:rsidRPr="0097258B" w:rsidRDefault="00570E16" w:rsidP="00E255EE">
            <w:pPr>
              <w:spacing w:after="0" w:line="240" w:lineRule="auto"/>
              <w:ind w:left="360" w:hanging="360"/>
              <w:contextualSpacing/>
              <w:jc w:val="both"/>
              <w:rPr>
                <w:rFonts w:ascii="Times New Roman" w:eastAsia="Times New Roman" w:hAnsi="Times New Roman"/>
                <w:b/>
                <w:iCs/>
                <w:color w:val="000000" w:themeColor="text1"/>
                <w:sz w:val="20"/>
                <w:szCs w:val="20"/>
                <w:lang w:eastAsia="fr-FR"/>
              </w:rPr>
            </w:pPr>
            <w:r w:rsidRPr="0097258B">
              <w:rPr>
                <w:rFonts w:ascii="Times New Roman" w:eastAsia="Times New Roman" w:hAnsi="Times New Roman"/>
                <w:b/>
                <w:iCs/>
                <w:color w:val="000000" w:themeColor="text1"/>
                <w:sz w:val="20"/>
                <w:szCs w:val="20"/>
                <w:lang w:eastAsia="fr-FR"/>
              </w:rPr>
              <w:t>Cas particulier des déchets d’amiantes</w:t>
            </w:r>
          </w:p>
          <w:p w14:paraId="4CF34589"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Concevoir un plan de gestion des déchets d’amiantes et soumettre à la validation de la BM et de la DIREC</w:t>
            </w:r>
          </w:p>
          <w:p w14:paraId="2BBF89D6"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Manipuler avec précaution pour éviter toute libération de poussières d'amiante dans l'air ou pertes liquides pouvant contenir de l'amiante</w:t>
            </w:r>
          </w:p>
          <w:p w14:paraId="6E17B440"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Mettre les déchets dans des contenants étanches : les conteneurs de déchets dangereux doivent être étiquetés et comporter une fiche de données de sécurité (FDS). </w:t>
            </w:r>
          </w:p>
          <w:p w14:paraId="1E6AEF77"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Remettre les déchets à un prestataire qualifié et autorisé pour leur gestion ultime (transport et élimination). Le prestataire et/ou le transporteur devra signer un formulaire indiquant le type et la quantité de déchets dangereux, ainsi que la date d’enlèvement (Bordereau de déchets Dangereux). Lorsque le transporteur remet les déchets au prestataire agréé de gestion des déchets, ce dernier signera également le même formulaire. Chaque acteur impliqué dans le transport et la gestion des déchets dangereux recevra une copie du formulaire dûment signé.</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7717795"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Quantité de déchets collectés et évacués</w:t>
            </w:r>
          </w:p>
          <w:p w14:paraId="27055052"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Quantité de déchets conditionnés</w:t>
            </w:r>
          </w:p>
          <w:p w14:paraId="11E70E51"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Fréquence de la collecte et de l’évacuation de déchets</w:t>
            </w:r>
          </w:p>
          <w:p w14:paraId="681CF990"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Temps de présence des déchets sur le chantier</w:t>
            </w:r>
          </w:p>
          <w:p w14:paraId="3A9EF5BC"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de régalage des sites après les travaux</w:t>
            </w:r>
          </w:p>
          <w:p w14:paraId="7F4600C3"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Quantité d’eau issue de la </w:t>
            </w:r>
            <w:r w:rsidRPr="0097258B">
              <w:rPr>
                <w:rFonts w:ascii="Times New Roman" w:eastAsia="Times New Roman" w:hAnsi="Times New Roman"/>
                <w:iCs/>
                <w:color w:val="000000" w:themeColor="text1"/>
                <w:sz w:val="20"/>
                <w:szCs w:val="20"/>
                <w:lang w:eastAsia="fr-FR"/>
              </w:rPr>
              <w:t>décantation recyclée</w:t>
            </w:r>
          </w:p>
          <w:p w14:paraId="3B984661"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Quantité de déchets d’amiante traité par un prestataire qualifié</w:t>
            </w:r>
          </w:p>
        </w:tc>
        <w:tc>
          <w:tcPr>
            <w:tcW w:w="1558" w:type="dxa"/>
            <w:tcBorders>
              <w:top w:val="single" w:sz="4" w:space="0" w:color="auto"/>
              <w:left w:val="single" w:sz="4" w:space="0" w:color="auto"/>
              <w:bottom w:val="single" w:sz="4" w:space="0" w:color="auto"/>
              <w:right w:val="single" w:sz="4" w:space="0" w:color="auto"/>
            </w:tcBorders>
            <w:vAlign w:val="center"/>
            <w:hideMark/>
          </w:tcPr>
          <w:p w14:paraId="5BD0D5B9"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lastRenderedPageBreak/>
              <w:t>Entreprise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5A3F5EB"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E1E1ECD"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 CGES/ADM</w:t>
            </w:r>
          </w:p>
        </w:tc>
        <w:tc>
          <w:tcPr>
            <w:tcW w:w="994" w:type="dxa"/>
            <w:tcBorders>
              <w:top w:val="single" w:sz="4" w:space="0" w:color="auto"/>
              <w:left w:val="single" w:sz="4" w:space="0" w:color="auto"/>
              <w:bottom w:val="single" w:sz="4" w:space="0" w:color="auto"/>
              <w:right w:val="single" w:sz="4" w:space="0" w:color="auto"/>
            </w:tcBorders>
            <w:vAlign w:val="center"/>
            <w:hideMark/>
          </w:tcPr>
          <w:p w14:paraId="54905DA3" w14:textId="77777777" w:rsidR="00570E16" w:rsidRPr="0097258B" w:rsidRDefault="00570E16" w:rsidP="00E255EE">
            <w:p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CRSE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16514C6"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Budget de mise en œuvre du PGES chantier</w:t>
            </w:r>
          </w:p>
        </w:tc>
      </w:tr>
      <w:tr w:rsidR="00570E16" w:rsidRPr="009B46E2" w14:paraId="279C6D2D" w14:textId="77777777" w:rsidTr="0097258B">
        <w:tc>
          <w:tcPr>
            <w:tcW w:w="1984" w:type="dxa"/>
            <w:tcBorders>
              <w:top w:val="single" w:sz="4" w:space="0" w:color="auto"/>
              <w:left w:val="single" w:sz="4" w:space="0" w:color="auto"/>
              <w:bottom w:val="single" w:sz="4" w:space="0" w:color="auto"/>
              <w:right w:val="single" w:sz="4" w:space="0" w:color="auto"/>
            </w:tcBorders>
            <w:vAlign w:val="center"/>
            <w:hideMark/>
          </w:tcPr>
          <w:p w14:paraId="2ECE8CFB"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lastRenderedPageBreak/>
              <w:t>Sécurité</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50338A6"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Risque d’accident, risque de noyade et dommage divers</w:t>
            </w:r>
          </w:p>
        </w:tc>
        <w:tc>
          <w:tcPr>
            <w:tcW w:w="3404" w:type="dxa"/>
            <w:tcBorders>
              <w:top w:val="single" w:sz="4" w:space="0" w:color="auto"/>
              <w:left w:val="single" w:sz="4" w:space="0" w:color="auto"/>
              <w:bottom w:val="single" w:sz="4" w:space="0" w:color="auto"/>
              <w:right w:val="single" w:sz="4" w:space="0" w:color="auto"/>
            </w:tcBorders>
            <w:vAlign w:val="center"/>
            <w:hideMark/>
          </w:tcPr>
          <w:p w14:paraId="27A10C60"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Baliser les espaces des travaux ; </w:t>
            </w:r>
          </w:p>
          <w:p w14:paraId="68649112"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Mettre en place des rampes d’accès suffisamment large devant les habitations, écoles et lieux de culte ;</w:t>
            </w:r>
          </w:p>
          <w:p w14:paraId="751E4357"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Éviter de laisser les tranchées ;</w:t>
            </w:r>
          </w:p>
          <w:p w14:paraId="250A5EB6"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Mettre en place des équipements de protection collective adaptés (signalisation, échafaudage, extincteur, etc.)  </w:t>
            </w:r>
          </w:p>
          <w:p w14:paraId="19E03A92"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Fournir aux employés intervenant sur le site des EPI (gants, chaussures de sécurité, casques, gilets, etc.) adaptés et veiller à leur port obligatoire</w:t>
            </w:r>
          </w:p>
          <w:p w14:paraId="4A33AD55"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Mettre en place un système de signalisation (cônes, rubans réfléchissants, GBA) au moment des travaux et systématiser la fermeture des tranchées à la fin des travaux. Ce dispositif pourrait être complété par le </w:t>
            </w:r>
            <w:r w:rsidRPr="0097258B">
              <w:rPr>
                <w:rFonts w:ascii="Times New Roman" w:eastAsia="Times New Roman" w:hAnsi="Times New Roman"/>
                <w:iCs/>
                <w:color w:val="000000" w:themeColor="text1"/>
                <w:sz w:val="20"/>
                <w:szCs w:val="20"/>
                <w:lang w:eastAsia="fr-FR"/>
              </w:rPr>
              <w:lastRenderedPageBreak/>
              <w:t>recrutement d’un gardien pour la supervision des tranchées.</w:t>
            </w:r>
          </w:p>
          <w:p w14:paraId="3B8D7BDB"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Disposer d’une boîte de pharmacie et du matériel de premier secours en cas d’accident </w:t>
            </w:r>
          </w:p>
          <w:p w14:paraId="3DD56291"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Sensibiliser le personnel de travaux sur les mesures de sécurité</w:t>
            </w:r>
          </w:p>
          <w:p w14:paraId="3E331EA1"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Notifier, avant les travaux, cation préalable aux collectivités territoriales et aux communautés de la date de début et de la durée des travaux, de la consistance des activités, des horaires de chantier, etc., à travers des rencontres, sous la forme d’affiches, d’annonces à travers les Médias communautaires, etc.</w:t>
            </w:r>
          </w:p>
          <w:p w14:paraId="4A2AEB0B"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Port obligatoire du gilet de sauvetage pour les travaux à proximité ou dans le bassin ;</w:t>
            </w:r>
          </w:p>
          <w:p w14:paraId="6B87D5B1"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Sensibilisation des travailleurs et des populations riveraines au risque de noyade </w:t>
            </w:r>
          </w:p>
          <w:p w14:paraId="551DD931"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Faciliter l’accès des sapeurs-pompiers en cas d’intervention de la zone </w:t>
            </w:r>
          </w:p>
          <w:p w14:paraId="75220A3C"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Balisage, signalisation des bassins et interdiction de l’accès au public</w:t>
            </w:r>
          </w:p>
          <w:p w14:paraId="35EF8D0B"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Formation du personnel aux premiers secours</w:t>
            </w:r>
          </w:p>
        </w:tc>
        <w:tc>
          <w:tcPr>
            <w:tcW w:w="1842" w:type="dxa"/>
            <w:tcBorders>
              <w:top w:val="single" w:sz="4" w:space="0" w:color="auto"/>
              <w:left w:val="single" w:sz="4" w:space="0" w:color="auto"/>
              <w:bottom w:val="single" w:sz="4" w:space="0" w:color="auto"/>
              <w:right w:val="single" w:sz="4" w:space="0" w:color="auto"/>
            </w:tcBorders>
            <w:vAlign w:val="center"/>
          </w:tcPr>
          <w:p w14:paraId="4202B264"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 xml:space="preserve">Niveau d’opérationnalisation </w:t>
            </w:r>
          </w:p>
          <w:p w14:paraId="7C828688"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Existence et fonctionnalité des EPC</w:t>
            </w:r>
          </w:p>
          <w:p w14:paraId="3670184D"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d’ouvriers portant des EPI, y compris les gilets de sauvetage pour ceux qui sont à proximité des bassins</w:t>
            </w:r>
          </w:p>
          <w:p w14:paraId="0561166C"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Nombre d’accidents classés par type </w:t>
            </w:r>
            <w:r w:rsidRPr="0097258B">
              <w:rPr>
                <w:rFonts w:ascii="Times New Roman" w:eastAsia="Times New Roman" w:hAnsi="Times New Roman"/>
                <w:iCs/>
                <w:color w:val="000000" w:themeColor="text1"/>
                <w:sz w:val="20"/>
                <w:szCs w:val="20"/>
                <w:lang w:eastAsia="fr-FR"/>
              </w:rPr>
              <w:lastRenderedPageBreak/>
              <w:t>survenus sur le chantier</w:t>
            </w:r>
          </w:p>
          <w:p w14:paraId="78A5D58B"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travailleurs sensibilisés</w:t>
            </w:r>
          </w:p>
          <w:p w14:paraId="0CFE2B10"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personnes formées aux premiers secours</w:t>
            </w:r>
          </w:p>
          <w:p w14:paraId="0DC6B824"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Non-conformité enregistrée</w:t>
            </w:r>
          </w:p>
          <w:p w14:paraId="1B9300D1"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populations sensibilisées</w:t>
            </w:r>
          </w:p>
          <w:p w14:paraId="71930D31"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cas de noyade enregistrée</w:t>
            </w:r>
          </w:p>
          <w:p w14:paraId="316E04A4" w14:textId="77777777" w:rsidR="00570E16" w:rsidRPr="0097258B" w:rsidRDefault="00570E16" w:rsidP="00E255EE">
            <w:pPr>
              <w:autoSpaceDE w:val="0"/>
              <w:autoSpaceDN w:val="0"/>
              <w:adjustRightInd w:val="0"/>
              <w:spacing w:after="0" w:line="240" w:lineRule="auto"/>
              <w:ind w:left="360"/>
              <w:jc w:val="both"/>
              <w:rPr>
                <w:rFonts w:ascii="Times New Roman" w:eastAsia="Times New Roman" w:hAnsi="Times New Roman"/>
                <w:iCs/>
                <w:color w:val="000000" w:themeColor="text1"/>
                <w:sz w:val="20"/>
                <w:szCs w:val="20"/>
                <w:lang w:eastAsia="fr-FR"/>
              </w:rPr>
            </w:pPr>
          </w:p>
        </w:tc>
        <w:tc>
          <w:tcPr>
            <w:tcW w:w="1558" w:type="dxa"/>
            <w:tcBorders>
              <w:top w:val="single" w:sz="4" w:space="0" w:color="auto"/>
              <w:left w:val="single" w:sz="4" w:space="0" w:color="auto"/>
              <w:bottom w:val="single" w:sz="4" w:space="0" w:color="auto"/>
              <w:right w:val="single" w:sz="4" w:space="0" w:color="auto"/>
            </w:tcBorders>
            <w:vAlign w:val="center"/>
            <w:hideMark/>
          </w:tcPr>
          <w:p w14:paraId="64B4DA5F"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lastRenderedPageBreak/>
              <w:t>Entreprise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92A63B4"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A3FA72A"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tc>
        <w:tc>
          <w:tcPr>
            <w:tcW w:w="994" w:type="dxa"/>
            <w:tcBorders>
              <w:top w:val="single" w:sz="4" w:space="0" w:color="auto"/>
              <w:left w:val="single" w:sz="4" w:space="0" w:color="auto"/>
              <w:bottom w:val="single" w:sz="4" w:space="0" w:color="auto"/>
              <w:right w:val="single" w:sz="4" w:space="0" w:color="auto"/>
            </w:tcBorders>
            <w:vAlign w:val="center"/>
            <w:hideMark/>
          </w:tcPr>
          <w:p w14:paraId="36FCC7A1"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CRSE</w:t>
            </w:r>
          </w:p>
        </w:tc>
        <w:tc>
          <w:tcPr>
            <w:tcW w:w="1559" w:type="dxa"/>
            <w:tcBorders>
              <w:top w:val="single" w:sz="4" w:space="0" w:color="auto"/>
              <w:left w:val="single" w:sz="4" w:space="0" w:color="auto"/>
              <w:bottom w:val="single" w:sz="4" w:space="0" w:color="auto"/>
              <w:right w:val="single" w:sz="4" w:space="0" w:color="auto"/>
            </w:tcBorders>
            <w:vAlign w:val="center"/>
          </w:tcPr>
          <w:p w14:paraId="1A834F5F"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Budget de mise en œuvre du PGES chantier</w:t>
            </w:r>
          </w:p>
          <w:p w14:paraId="3A88A7DC"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p>
        </w:tc>
      </w:tr>
      <w:tr w:rsidR="00570E16" w:rsidRPr="009B46E2" w14:paraId="7955F3C1" w14:textId="77777777" w:rsidTr="0097258B">
        <w:tc>
          <w:tcPr>
            <w:tcW w:w="1984" w:type="dxa"/>
            <w:tcBorders>
              <w:top w:val="single" w:sz="4" w:space="0" w:color="auto"/>
              <w:left w:val="single" w:sz="4" w:space="0" w:color="auto"/>
              <w:bottom w:val="single" w:sz="4" w:space="0" w:color="auto"/>
              <w:right w:val="single" w:sz="4" w:space="0" w:color="auto"/>
            </w:tcBorders>
            <w:vAlign w:val="center"/>
          </w:tcPr>
          <w:p w14:paraId="3715316A"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 xml:space="preserve">Sécurité </w:t>
            </w:r>
          </w:p>
        </w:tc>
        <w:tc>
          <w:tcPr>
            <w:tcW w:w="1417" w:type="dxa"/>
            <w:tcBorders>
              <w:top w:val="single" w:sz="4" w:space="0" w:color="auto"/>
              <w:left w:val="single" w:sz="4" w:space="0" w:color="auto"/>
              <w:bottom w:val="single" w:sz="4" w:space="0" w:color="auto"/>
              <w:right w:val="single" w:sz="4" w:space="0" w:color="auto"/>
            </w:tcBorders>
            <w:vAlign w:val="center"/>
          </w:tcPr>
          <w:p w14:paraId="43156FB9"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Risques d’accidents de circulation</w:t>
            </w:r>
          </w:p>
        </w:tc>
        <w:tc>
          <w:tcPr>
            <w:tcW w:w="3404" w:type="dxa"/>
            <w:tcBorders>
              <w:top w:val="single" w:sz="4" w:space="0" w:color="auto"/>
              <w:left w:val="single" w:sz="4" w:space="0" w:color="auto"/>
              <w:bottom w:val="single" w:sz="4" w:space="0" w:color="auto"/>
              <w:right w:val="single" w:sz="4" w:space="0" w:color="auto"/>
            </w:tcBorders>
            <w:vAlign w:val="center"/>
          </w:tcPr>
          <w:p w14:paraId="286BD93C"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Sensibiliser les conducteurs de véhicules du chantier et la population riveraine sur les risques d’accident ;</w:t>
            </w:r>
          </w:p>
          <w:p w14:paraId="4C79A225"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Réduire les vitesses en agglomération à 25 km/h ;</w:t>
            </w:r>
          </w:p>
          <w:p w14:paraId="714E4CFD"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Positionner les agents de régulation de la circulation au niveau de voie d’accès de la base chantier ;</w:t>
            </w:r>
          </w:p>
          <w:p w14:paraId="63EC8729"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Doter les conducteurs de véhicules du chantier des trousses de premiers secours et les former à leur utilisation ;</w:t>
            </w:r>
          </w:p>
          <w:p w14:paraId="040A167A"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Établir un plan de circulation dans les quartiers où les travaux se déroulent ;</w:t>
            </w:r>
          </w:p>
          <w:p w14:paraId="120CECFD"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Collaborer avec les structures sanitaires pour la gestion des urgences (hôpital, Urgences 24) ;</w:t>
            </w:r>
          </w:p>
          <w:p w14:paraId="14EC4EE6"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Positionner les panneaux de signalisation des travaux et baliser les travaux ; </w:t>
            </w:r>
          </w:p>
          <w:p w14:paraId="489B8EBE"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S’assurer de la formation des conducteurs de véhicules du chantier en matière de sécurité routière</w:t>
            </w:r>
          </w:p>
          <w:p w14:paraId="12BFE9EA"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Préparer un code de bonne conduite à faire signer et respecter par tous les conducteurs de véhicules du chantier</w:t>
            </w:r>
          </w:p>
        </w:tc>
        <w:tc>
          <w:tcPr>
            <w:tcW w:w="1842" w:type="dxa"/>
            <w:tcBorders>
              <w:top w:val="single" w:sz="4" w:space="0" w:color="auto"/>
              <w:left w:val="single" w:sz="4" w:space="0" w:color="auto"/>
              <w:bottom w:val="single" w:sz="4" w:space="0" w:color="auto"/>
              <w:right w:val="single" w:sz="4" w:space="0" w:color="auto"/>
            </w:tcBorders>
            <w:vAlign w:val="center"/>
          </w:tcPr>
          <w:p w14:paraId="677D7625"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 xml:space="preserve">Nombre de chauffeurs sensibilisé sur les risques d’accident et </w:t>
            </w:r>
            <w:r w:rsidRPr="0097258B">
              <w:rPr>
                <w:rFonts w:ascii="Times New Roman" w:eastAsia="Times New Roman" w:hAnsi="Times New Roman"/>
                <w:iCs/>
                <w:color w:val="000000" w:themeColor="text1"/>
                <w:sz w:val="20"/>
                <w:szCs w:val="20"/>
                <w:lang w:eastAsia="fr-FR"/>
              </w:rPr>
              <w:lastRenderedPageBreak/>
              <w:t>les mesures de prévention et %</w:t>
            </w:r>
          </w:p>
          <w:p w14:paraId="532A55DD"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d’accidents de circulation enregistré</w:t>
            </w:r>
          </w:p>
          <w:p w14:paraId="1A2CD2C2"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et % des engins entretenus</w:t>
            </w:r>
          </w:p>
          <w:p w14:paraId="449E1D4A" w14:textId="77777777" w:rsidR="00570E16" w:rsidRPr="0097258B" w:rsidRDefault="00570E16" w:rsidP="00E255EE">
            <w:pPr>
              <w:autoSpaceDE w:val="0"/>
              <w:autoSpaceDN w:val="0"/>
              <w:adjustRightInd w:val="0"/>
              <w:spacing w:after="0" w:line="240" w:lineRule="auto"/>
              <w:ind w:left="189"/>
              <w:jc w:val="both"/>
              <w:rPr>
                <w:rFonts w:ascii="Times New Roman" w:eastAsia="Times New Roman" w:hAnsi="Times New Roman"/>
                <w:iCs/>
                <w:color w:val="000000" w:themeColor="text1"/>
                <w:sz w:val="20"/>
                <w:szCs w:val="20"/>
                <w:lang w:eastAsia="fr-FR"/>
              </w:rPr>
            </w:pPr>
          </w:p>
        </w:tc>
        <w:tc>
          <w:tcPr>
            <w:tcW w:w="1558" w:type="dxa"/>
            <w:tcBorders>
              <w:top w:val="single" w:sz="4" w:space="0" w:color="auto"/>
              <w:left w:val="single" w:sz="4" w:space="0" w:color="auto"/>
              <w:bottom w:val="single" w:sz="4" w:space="0" w:color="auto"/>
              <w:right w:val="single" w:sz="4" w:space="0" w:color="auto"/>
            </w:tcBorders>
            <w:vAlign w:val="center"/>
          </w:tcPr>
          <w:p w14:paraId="00D67E4C"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lastRenderedPageBreak/>
              <w:t>Entreprises</w:t>
            </w:r>
          </w:p>
        </w:tc>
        <w:tc>
          <w:tcPr>
            <w:tcW w:w="1417" w:type="dxa"/>
            <w:tcBorders>
              <w:top w:val="single" w:sz="4" w:space="0" w:color="auto"/>
              <w:left w:val="single" w:sz="4" w:space="0" w:color="auto"/>
              <w:bottom w:val="single" w:sz="4" w:space="0" w:color="auto"/>
              <w:right w:val="single" w:sz="4" w:space="0" w:color="auto"/>
            </w:tcBorders>
            <w:vAlign w:val="center"/>
          </w:tcPr>
          <w:p w14:paraId="3FB7D7FE"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MDC </w:t>
            </w:r>
          </w:p>
        </w:tc>
        <w:tc>
          <w:tcPr>
            <w:tcW w:w="1418" w:type="dxa"/>
            <w:tcBorders>
              <w:top w:val="single" w:sz="4" w:space="0" w:color="auto"/>
              <w:left w:val="single" w:sz="4" w:space="0" w:color="auto"/>
              <w:bottom w:val="single" w:sz="4" w:space="0" w:color="auto"/>
              <w:right w:val="single" w:sz="4" w:space="0" w:color="auto"/>
            </w:tcBorders>
            <w:vAlign w:val="center"/>
          </w:tcPr>
          <w:p w14:paraId="0AE5EF77"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CGES ADM</w:t>
            </w:r>
          </w:p>
        </w:tc>
        <w:tc>
          <w:tcPr>
            <w:tcW w:w="994" w:type="dxa"/>
            <w:tcBorders>
              <w:top w:val="single" w:sz="4" w:space="0" w:color="auto"/>
              <w:left w:val="single" w:sz="4" w:space="0" w:color="auto"/>
              <w:bottom w:val="single" w:sz="4" w:space="0" w:color="auto"/>
              <w:right w:val="single" w:sz="4" w:space="0" w:color="auto"/>
            </w:tcBorders>
            <w:vAlign w:val="center"/>
          </w:tcPr>
          <w:p w14:paraId="32204C0C"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CRSE</w:t>
            </w:r>
          </w:p>
        </w:tc>
        <w:tc>
          <w:tcPr>
            <w:tcW w:w="1559" w:type="dxa"/>
            <w:tcBorders>
              <w:top w:val="single" w:sz="4" w:space="0" w:color="auto"/>
              <w:left w:val="single" w:sz="4" w:space="0" w:color="auto"/>
              <w:bottom w:val="single" w:sz="4" w:space="0" w:color="auto"/>
              <w:right w:val="single" w:sz="4" w:space="0" w:color="auto"/>
            </w:tcBorders>
            <w:vAlign w:val="center"/>
          </w:tcPr>
          <w:p w14:paraId="1C123B75"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Budget de mise en œuvre du PGES chantier</w:t>
            </w:r>
          </w:p>
          <w:p w14:paraId="027FBBD8"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p>
        </w:tc>
      </w:tr>
      <w:tr w:rsidR="00570E16" w:rsidRPr="009B46E2" w14:paraId="674F4D25" w14:textId="77777777" w:rsidTr="0097258B">
        <w:tc>
          <w:tcPr>
            <w:tcW w:w="1984" w:type="dxa"/>
            <w:tcBorders>
              <w:top w:val="single" w:sz="4" w:space="0" w:color="auto"/>
              <w:left w:val="single" w:sz="4" w:space="0" w:color="auto"/>
              <w:bottom w:val="single" w:sz="4" w:space="0" w:color="auto"/>
              <w:right w:val="single" w:sz="4" w:space="0" w:color="auto"/>
            </w:tcBorders>
            <w:vAlign w:val="center"/>
            <w:hideMark/>
          </w:tcPr>
          <w:p w14:paraId="71752C59"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Santé</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7333F0E"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Risque d’apparition de maladie</w:t>
            </w:r>
          </w:p>
        </w:tc>
        <w:tc>
          <w:tcPr>
            <w:tcW w:w="3404" w:type="dxa"/>
            <w:tcBorders>
              <w:top w:val="single" w:sz="4" w:space="0" w:color="auto"/>
              <w:left w:val="single" w:sz="4" w:space="0" w:color="auto"/>
              <w:bottom w:val="single" w:sz="4" w:space="0" w:color="auto"/>
              <w:right w:val="single" w:sz="4" w:space="0" w:color="auto"/>
            </w:tcBorders>
            <w:vAlign w:val="center"/>
            <w:hideMark/>
          </w:tcPr>
          <w:p w14:paraId="4406C524" w14:textId="77777777" w:rsidR="00570E16" w:rsidRPr="0097258B" w:rsidRDefault="00570E16" w:rsidP="00E255EE">
            <w:pPr>
              <w:autoSpaceDE w:val="0"/>
              <w:autoSpaceDN w:val="0"/>
              <w:adjustRightInd w:val="0"/>
              <w:spacing w:after="0" w:line="240" w:lineRule="auto"/>
              <w:jc w:val="both"/>
              <w:rPr>
                <w:rFonts w:ascii="Times New Roman" w:eastAsia="Times New Roman" w:hAnsi="Times New Roman"/>
                <w:iCs/>
                <w:color w:val="000000" w:themeColor="text1"/>
                <w:sz w:val="20"/>
                <w:szCs w:val="20"/>
                <w:u w:val="single"/>
                <w:lang w:eastAsia="fr-FR"/>
              </w:rPr>
            </w:pPr>
            <w:r w:rsidRPr="0097258B">
              <w:rPr>
                <w:rFonts w:ascii="Times New Roman" w:eastAsia="Times New Roman" w:hAnsi="Times New Roman"/>
                <w:iCs/>
                <w:color w:val="000000" w:themeColor="text1"/>
                <w:sz w:val="20"/>
                <w:szCs w:val="20"/>
                <w:u w:val="single"/>
                <w:lang w:eastAsia="fr-FR"/>
              </w:rPr>
              <w:t>Maladies sexuellement transmissibles</w:t>
            </w:r>
          </w:p>
          <w:p w14:paraId="52C5D3BD"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Sensibiliser le personnel de chantier et les populations sur les IST et le VIH/SIDA en collaboration avec le district sanitaire</w:t>
            </w:r>
          </w:p>
          <w:p w14:paraId="0A58D573"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Mettre en place des points de distribution de préservatifs au personnel de travaux </w:t>
            </w:r>
          </w:p>
          <w:p w14:paraId="0D0163D0"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Distribution de préservatifs au personnel ; </w:t>
            </w:r>
          </w:p>
          <w:p w14:paraId="095EDD89"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Préconisation de mesures d’hygiène individuelle et collective au sein de la base chantier ;</w:t>
            </w:r>
          </w:p>
          <w:p w14:paraId="17658260"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 xml:space="preserve">Organiser des séances de dépistage de maladies infectieuses </w:t>
            </w:r>
          </w:p>
          <w:p w14:paraId="2C4759CB" w14:textId="77777777" w:rsidR="00570E16" w:rsidRPr="0097258B" w:rsidRDefault="00570E16" w:rsidP="00E255EE">
            <w:pPr>
              <w:autoSpaceDE w:val="0"/>
              <w:autoSpaceDN w:val="0"/>
              <w:adjustRightInd w:val="0"/>
              <w:spacing w:after="0" w:line="240" w:lineRule="auto"/>
              <w:jc w:val="both"/>
              <w:rPr>
                <w:rFonts w:ascii="Times New Roman" w:eastAsia="Times New Roman" w:hAnsi="Times New Roman"/>
                <w:iCs/>
                <w:color w:val="000000" w:themeColor="text1"/>
                <w:sz w:val="20"/>
                <w:szCs w:val="20"/>
                <w:u w:val="single"/>
                <w:lang w:eastAsia="fr-FR"/>
              </w:rPr>
            </w:pPr>
            <w:r w:rsidRPr="0097258B">
              <w:rPr>
                <w:rFonts w:ascii="Times New Roman" w:eastAsia="Times New Roman" w:hAnsi="Times New Roman"/>
                <w:iCs/>
                <w:color w:val="000000" w:themeColor="text1"/>
                <w:sz w:val="20"/>
                <w:szCs w:val="20"/>
                <w:u w:val="single"/>
                <w:lang w:eastAsia="fr-FR"/>
              </w:rPr>
              <w:t>Maladies respiratoires</w:t>
            </w:r>
          </w:p>
          <w:p w14:paraId="484C8E12"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Recouvrir les camions de transport de matériaux volatils et limiter leur vitesse</w:t>
            </w:r>
          </w:p>
          <w:p w14:paraId="3BF333C3"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Arroser régulièrement les plateformes</w:t>
            </w:r>
          </w:p>
          <w:p w14:paraId="7C1596E7"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Équiper le personnel de masques à poussières et exiger leur port obligatoire</w:t>
            </w:r>
          </w:p>
          <w:p w14:paraId="634B1EAA"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Informer et sensibiliser les populations sur la nature et le programme des travaux</w:t>
            </w:r>
          </w:p>
          <w:p w14:paraId="53E45E9C" w14:textId="77777777" w:rsidR="00570E16" w:rsidRPr="0097258B" w:rsidRDefault="00570E16" w:rsidP="00E255EE">
            <w:pPr>
              <w:autoSpaceDE w:val="0"/>
              <w:autoSpaceDN w:val="0"/>
              <w:adjustRightInd w:val="0"/>
              <w:spacing w:after="0" w:line="240" w:lineRule="auto"/>
              <w:jc w:val="both"/>
              <w:rPr>
                <w:rFonts w:ascii="Times New Roman" w:eastAsia="Times New Roman" w:hAnsi="Times New Roman"/>
                <w:iCs/>
                <w:color w:val="000000" w:themeColor="text1"/>
                <w:sz w:val="20"/>
                <w:szCs w:val="20"/>
                <w:u w:val="single"/>
                <w:lang w:eastAsia="fr-FR"/>
              </w:rPr>
            </w:pPr>
            <w:r w:rsidRPr="0097258B">
              <w:rPr>
                <w:rFonts w:ascii="Times New Roman" w:eastAsia="Times New Roman" w:hAnsi="Times New Roman"/>
                <w:iCs/>
                <w:color w:val="000000" w:themeColor="text1"/>
                <w:sz w:val="20"/>
                <w:szCs w:val="20"/>
                <w:u w:val="single"/>
                <w:lang w:eastAsia="fr-FR"/>
              </w:rPr>
              <w:t>Péril fécal et maladies diarrhéiques</w:t>
            </w:r>
          </w:p>
          <w:p w14:paraId="7B0E745D"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color w:val="000000" w:themeColor="text1"/>
                <w:sz w:val="20"/>
                <w:szCs w:val="20"/>
                <w:lang w:eastAsia="fr-FR"/>
              </w:rPr>
              <w:t>I</w:t>
            </w:r>
            <w:r w:rsidRPr="0097258B">
              <w:rPr>
                <w:rFonts w:ascii="Times New Roman" w:eastAsia="Times New Roman" w:hAnsi="Times New Roman"/>
                <w:iCs/>
                <w:color w:val="000000" w:themeColor="text1"/>
                <w:sz w:val="20"/>
                <w:szCs w:val="20"/>
                <w:lang w:eastAsia="fr-FR"/>
              </w:rPr>
              <w:t>nstaller des sanitaires et vestiaires (respectant la séparation homme-femme) en nombre suffisant dans la base-vie</w:t>
            </w:r>
          </w:p>
          <w:p w14:paraId="749310FD"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Mettre en place un système d’alimentation en eau potable dans la base-vie et au niveau du chantier</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8FFA7D4"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Nombre de pathologies liées aux travaux déclarées auprès des travailleurs pendant les travaux</w:t>
            </w:r>
          </w:p>
          <w:p w14:paraId="12D65BD7"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travailleurs sensibilisés</w:t>
            </w:r>
          </w:p>
          <w:p w14:paraId="448E0931"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Nombre d’activités de sensibilisation </w:t>
            </w:r>
            <w:r w:rsidRPr="0097258B">
              <w:rPr>
                <w:rFonts w:ascii="Times New Roman" w:eastAsia="Times New Roman" w:hAnsi="Times New Roman"/>
                <w:iCs/>
                <w:color w:val="000000" w:themeColor="text1"/>
                <w:sz w:val="20"/>
                <w:szCs w:val="20"/>
                <w:lang w:eastAsia="fr-FR"/>
              </w:rPr>
              <w:lastRenderedPageBreak/>
              <w:t>des populations effectuées</w:t>
            </w:r>
          </w:p>
          <w:p w14:paraId="18037E96"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travailleurs dépistés,</w:t>
            </w:r>
          </w:p>
          <w:p w14:paraId="591BF58A"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cas d’infections déclarés liés aux travaux chez les travailleurs</w:t>
            </w:r>
          </w:p>
          <w:p w14:paraId="20A7A00D"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séances de sensibilisation réalisée sur les risques d’infection</w:t>
            </w:r>
          </w:p>
        </w:tc>
        <w:tc>
          <w:tcPr>
            <w:tcW w:w="1558" w:type="dxa"/>
            <w:tcBorders>
              <w:top w:val="single" w:sz="4" w:space="0" w:color="auto"/>
              <w:left w:val="single" w:sz="4" w:space="0" w:color="auto"/>
              <w:bottom w:val="single" w:sz="4" w:space="0" w:color="auto"/>
              <w:right w:val="single" w:sz="4" w:space="0" w:color="auto"/>
            </w:tcBorders>
            <w:vAlign w:val="center"/>
            <w:hideMark/>
          </w:tcPr>
          <w:p w14:paraId="59B3E24C"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lastRenderedPageBreak/>
              <w:t>Entreprise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4FD53B3"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580EEEA"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tc>
        <w:tc>
          <w:tcPr>
            <w:tcW w:w="994" w:type="dxa"/>
            <w:tcBorders>
              <w:top w:val="single" w:sz="4" w:space="0" w:color="auto"/>
              <w:left w:val="single" w:sz="4" w:space="0" w:color="auto"/>
              <w:bottom w:val="single" w:sz="4" w:space="0" w:color="auto"/>
              <w:right w:val="single" w:sz="4" w:space="0" w:color="auto"/>
            </w:tcBorders>
            <w:vAlign w:val="center"/>
            <w:hideMark/>
          </w:tcPr>
          <w:p w14:paraId="1E5A6EA3" w14:textId="77777777" w:rsidR="00570E16" w:rsidRPr="0097258B" w:rsidRDefault="00570E16" w:rsidP="00E255EE">
            <w:pPr>
              <w:spacing w:after="0" w:line="240" w:lineRule="auto"/>
              <w:jc w:val="center"/>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CRSE</w:t>
            </w:r>
          </w:p>
          <w:p w14:paraId="0E531EB6"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DPC</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5CDE823"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Budget de mise en œuvre du PGES chantier</w:t>
            </w:r>
          </w:p>
        </w:tc>
      </w:tr>
      <w:tr w:rsidR="00570E16" w:rsidRPr="009B46E2" w14:paraId="6A9E513C" w14:textId="77777777" w:rsidTr="0097258B">
        <w:tc>
          <w:tcPr>
            <w:tcW w:w="1984" w:type="dxa"/>
            <w:tcBorders>
              <w:top w:val="single" w:sz="4" w:space="0" w:color="auto"/>
              <w:left w:val="single" w:sz="4" w:space="0" w:color="auto"/>
              <w:bottom w:val="single" w:sz="4" w:space="0" w:color="auto"/>
              <w:right w:val="single" w:sz="4" w:space="0" w:color="auto"/>
            </w:tcBorders>
            <w:vAlign w:val="center"/>
            <w:hideMark/>
          </w:tcPr>
          <w:p w14:paraId="684F7AC0"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Emploi</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C2510AF"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Risque de conflits liés à la gestion de la main-d’œuvre locale</w:t>
            </w:r>
          </w:p>
        </w:tc>
        <w:tc>
          <w:tcPr>
            <w:tcW w:w="3404" w:type="dxa"/>
            <w:tcBorders>
              <w:top w:val="single" w:sz="4" w:space="0" w:color="auto"/>
              <w:left w:val="single" w:sz="4" w:space="0" w:color="auto"/>
              <w:bottom w:val="single" w:sz="4" w:space="0" w:color="auto"/>
              <w:right w:val="single" w:sz="4" w:space="0" w:color="auto"/>
            </w:tcBorders>
            <w:vAlign w:val="center"/>
            <w:hideMark/>
          </w:tcPr>
          <w:p w14:paraId="44FDE9DB"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Recruter en priorité la main-d’œuvre locale pour les emplois non qualifiés en tenant compte du genre</w:t>
            </w:r>
          </w:p>
          <w:p w14:paraId="5C01600E"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Respecter les dispositions de la Loi N°97-17 du 1er décembre 1997 portant Code du travail</w:t>
            </w:r>
          </w:p>
          <w:p w14:paraId="3BCEEFB3"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Mettre en place un cadre de concertation avec les populations locales pour la gestion des divergences entre le projet et les populations ; </w:t>
            </w:r>
          </w:p>
          <w:p w14:paraId="0CCE6E1D"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Respecter les prescriptions de la NES 2, Emploi et conditions de travail</w:t>
            </w:r>
          </w:p>
          <w:p w14:paraId="6662F7F8"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Privilégier la main-d’œuvre locale à compétences égales pour les emplois qualifiés</w:t>
            </w:r>
          </w:p>
          <w:p w14:paraId="7DCFD017"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Recruter autant que possible les PAP ou des personnes désignées par celles-ci</w:t>
            </w:r>
          </w:p>
          <w:p w14:paraId="286EEAE2"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Mettre en place des programmes de renforcements des capacités pour le personnel</w:t>
            </w:r>
          </w:p>
          <w:p w14:paraId="4235A290"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Mettre en place un mécanisme local de prévention et de gestion des conflits </w:t>
            </w:r>
          </w:p>
          <w:p w14:paraId="1EAA4C93"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Exiger aux entreprises qui interviennent dans le projet de veiller au respect strict de toutes les conditions de travail (rémunération, déclaration auprès des institutions de prévoyance sociale, contrats de travail, heures supplémentaires, abolition du travail forcé et des mineurs, etc.)</w:t>
            </w:r>
          </w:p>
          <w:p w14:paraId="06486A37"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Doter le chantier d’un code de bonne conduite générale</w:t>
            </w:r>
          </w:p>
          <w:p w14:paraId="231F660C"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Sensibiliser le personnel de chantier sur le respect des us, coutumes et traditions socioculturelles du milieu </w:t>
            </w:r>
          </w:p>
          <w:p w14:paraId="069A9854"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Informer et sensibiliser les populations sur les opportunités d’emploi liées au projet</w:t>
            </w:r>
          </w:p>
          <w:p w14:paraId="73D28A4E"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Afficher les critères de recrutement de manière accessible aux populations des quartiers concernés par les travaux</w:t>
            </w:r>
          </w:p>
          <w:p w14:paraId="6F10D096"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Impliquer toutes les parties prenantes dans la mise en œuvre et la gestion du projet</w:t>
            </w:r>
          </w:p>
          <w:p w14:paraId="731F0D3D"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Élaborer et mettre en place un mécanisme de gestion des plaintes</w:t>
            </w:r>
          </w:p>
          <w:p w14:paraId="094BDC04"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Assurer une bonne communication autour des activités du projet</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E444CDC"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Nombre de travailleurs recrutés au niveau local, dont femmes</w:t>
            </w:r>
          </w:p>
          <w:p w14:paraId="5D4571BB"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plaintes reçues et traitées</w:t>
            </w:r>
          </w:p>
          <w:p w14:paraId="4C28FCA8"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Âge minimal des travailleurs sur le chantier</w:t>
            </w:r>
          </w:p>
        </w:tc>
        <w:tc>
          <w:tcPr>
            <w:tcW w:w="1558" w:type="dxa"/>
            <w:tcBorders>
              <w:top w:val="single" w:sz="4" w:space="0" w:color="auto"/>
              <w:left w:val="single" w:sz="4" w:space="0" w:color="auto"/>
              <w:bottom w:val="single" w:sz="4" w:space="0" w:color="auto"/>
              <w:right w:val="single" w:sz="4" w:space="0" w:color="auto"/>
            </w:tcBorders>
            <w:vAlign w:val="center"/>
            <w:hideMark/>
          </w:tcPr>
          <w:p w14:paraId="5B719E2F"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Entreprise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0CE5328"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658F673"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tc>
        <w:tc>
          <w:tcPr>
            <w:tcW w:w="994" w:type="dxa"/>
            <w:tcBorders>
              <w:top w:val="single" w:sz="4" w:space="0" w:color="auto"/>
              <w:left w:val="single" w:sz="4" w:space="0" w:color="auto"/>
              <w:bottom w:val="single" w:sz="4" w:space="0" w:color="auto"/>
              <w:right w:val="single" w:sz="4" w:space="0" w:color="auto"/>
            </w:tcBorders>
            <w:vAlign w:val="center"/>
            <w:hideMark/>
          </w:tcPr>
          <w:p w14:paraId="4DF3A093"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CRSE</w:t>
            </w:r>
          </w:p>
        </w:tc>
        <w:tc>
          <w:tcPr>
            <w:tcW w:w="1559" w:type="dxa"/>
            <w:tcBorders>
              <w:top w:val="single" w:sz="4" w:space="0" w:color="auto"/>
              <w:left w:val="single" w:sz="4" w:space="0" w:color="auto"/>
              <w:bottom w:val="single" w:sz="4" w:space="0" w:color="auto"/>
              <w:right w:val="single" w:sz="4" w:space="0" w:color="auto"/>
            </w:tcBorders>
            <w:vAlign w:val="center"/>
          </w:tcPr>
          <w:p w14:paraId="1663F88D"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p>
          <w:p w14:paraId="14430833"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Budget de mise en œuvre du PGES chantier</w:t>
            </w:r>
          </w:p>
        </w:tc>
      </w:tr>
      <w:tr w:rsidR="00570E16" w:rsidRPr="009B46E2" w14:paraId="127AFB4A" w14:textId="77777777" w:rsidTr="0097258B">
        <w:tc>
          <w:tcPr>
            <w:tcW w:w="1984" w:type="dxa"/>
            <w:tcBorders>
              <w:top w:val="single" w:sz="4" w:space="0" w:color="auto"/>
              <w:left w:val="single" w:sz="4" w:space="0" w:color="auto"/>
              <w:bottom w:val="single" w:sz="4" w:space="0" w:color="auto"/>
              <w:right w:val="single" w:sz="4" w:space="0" w:color="auto"/>
            </w:tcBorders>
            <w:vAlign w:val="center"/>
            <w:hideMark/>
          </w:tcPr>
          <w:p w14:paraId="569F5A4A"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iCs/>
                <w:color w:val="000000" w:themeColor="text1"/>
                <w:sz w:val="20"/>
                <w:szCs w:val="20"/>
                <w:lang w:eastAsia="fr-FR"/>
              </w:rPr>
              <w:lastRenderedPageBreak/>
              <w:t xml:space="preserve"> Personnes vulnérables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A57AD83"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Risques d’EAS/HS</w:t>
            </w:r>
          </w:p>
        </w:tc>
        <w:tc>
          <w:tcPr>
            <w:tcW w:w="3404" w:type="dxa"/>
            <w:tcBorders>
              <w:top w:val="single" w:sz="4" w:space="0" w:color="auto"/>
              <w:left w:val="single" w:sz="4" w:space="0" w:color="auto"/>
              <w:bottom w:val="single" w:sz="4" w:space="0" w:color="auto"/>
              <w:right w:val="single" w:sz="4" w:space="0" w:color="auto"/>
            </w:tcBorders>
            <w:vAlign w:val="center"/>
            <w:hideMark/>
          </w:tcPr>
          <w:p w14:paraId="50A85241"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Mener des campagnes de sensibilisation régulièrement</w:t>
            </w:r>
          </w:p>
          <w:p w14:paraId="64687562"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Mettre en place un code de bonne conduite à signer par le personnel de chantier</w:t>
            </w:r>
          </w:p>
          <w:p w14:paraId="166C0E6A"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Sensibiliser le personnel sur le code de bonne conduite dans des langues comprises par le personnel</w:t>
            </w:r>
          </w:p>
          <w:p w14:paraId="4A71BBDE"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Mettre en place un mécanisme opérationnel de gestion des plaintes sensibles parallèlement au MGP mis en place par le projet</w:t>
            </w:r>
          </w:p>
          <w:p w14:paraId="084118CE"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Mettre en place un mécanisme de prise en charge des victimes d’</w:t>
            </w:r>
            <w:r w:rsidRPr="0097258B">
              <w:rPr>
                <w:rFonts w:ascii="Times New Roman" w:eastAsia="Times New Roman" w:hAnsi="Times New Roman"/>
                <w:color w:val="000000" w:themeColor="text1"/>
                <w:sz w:val="20"/>
                <w:szCs w:val="20"/>
                <w:lang w:eastAsia="fr-FR"/>
              </w:rPr>
              <w:t>EAS/HS</w:t>
            </w:r>
            <w:r w:rsidRPr="0097258B">
              <w:rPr>
                <w:rFonts w:ascii="Times New Roman" w:eastAsia="Times New Roman" w:hAnsi="Times New Roman"/>
                <w:iCs/>
                <w:color w:val="000000" w:themeColor="text1"/>
                <w:sz w:val="20"/>
                <w:szCs w:val="20"/>
                <w:lang w:eastAsia="fr-FR"/>
              </w:rPr>
              <w:t xml:space="preserve"> et </w:t>
            </w:r>
          </w:p>
          <w:p w14:paraId="4461528E"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Faire la cartographie des structures en charge des questions d’</w:t>
            </w:r>
            <w:r w:rsidRPr="0097258B">
              <w:rPr>
                <w:rFonts w:ascii="Times New Roman" w:eastAsia="Times New Roman" w:hAnsi="Times New Roman"/>
                <w:color w:val="000000" w:themeColor="text1"/>
                <w:sz w:val="20"/>
                <w:szCs w:val="20"/>
                <w:lang w:eastAsia="fr-FR"/>
              </w:rPr>
              <w:t>EAS/HS</w:t>
            </w:r>
            <w:r w:rsidRPr="0097258B">
              <w:rPr>
                <w:rFonts w:ascii="Times New Roman" w:eastAsia="Times New Roman" w:hAnsi="Times New Roman"/>
                <w:iCs/>
                <w:color w:val="000000" w:themeColor="text1"/>
                <w:sz w:val="20"/>
                <w:szCs w:val="20"/>
                <w:lang w:eastAsia="fr-FR"/>
              </w:rPr>
              <w:t xml:space="preserve"> et renforcer leurs capacités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4A8E282"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Nombre de personnes sensibilisées </w:t>
            </w:r>
          </w:p>
          <w:p w14:paraId="3E0675A9"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du personnel sensibilisé</w:t>
            </w:r>
          </w:p>
          <w:p w14:paraId="18DCA578"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plaintes reçues et % traité</w:t>
            </w:r>
          </w:p>
          <w:p w14:paraId="63C4B499"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structures de prise en charge</w:t>
            </w:r>
            <w:r w:rsidRPr="0097258B">
              <w:rPr>
                <w:rFonts w:ascii="Times New Roman" w:eastAsia="Times New Roman" w:hAnsi="Times New Roman"/>
                <w:color w:val="000000" w:themeColor="text1"/>
                <w:sz w:val="20"/>
                <w:szCs w:val="20"/>
                <w:lang w:eastAsia="fr-FR"/>
              </w:rPr>
              <w:t xml:space="preserve"> des AES/HS</w:t>
            </w:r>
            <w:r w:rsidRPr="0097258B">
              <w:rPr>
                <w:rFonts w:ascii="Times New Roman" w:eastAsia="Times New Roman" w:hAnsi="Times New Roman"/>
                <w:iCs/>
                <w:color w:val="000000" w:themeColor="text1"/>
                <w:sz w:val="20"/>
                <w:szCs w:val="20"/>
                <w:lang w:eastAsia="fr-FR"/>
              </w:rPr>
              <w:t xml:space="preserve"> renforcées</w:t>
            </w:r>
          </w:p>
          <w:p w14:paraId="0C5140C7"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victimes d</w:t>
            </w:r>
            <w:r w:rsidRPr="0097258B">
              <w:rPr>
                <w:rFonts w:ascii="Times New Roman" w:eastAsia="Times New Roman" w:hAnsi="Times New Roman"/>
                <w:color w:val="000000" w:themeColor="text1"/>
                <w:sz w:val="20"/>
                <w:szCs w:val="20"/>
                <w:lang w:eastAsia="fr-FR"/>
              </w:rPr>
              <w:t>’EAS/HS</w:t>
            </w:r>
            <w:r w:rsidRPr="0097258B">
              <w:rPr>
                <w:rFonts w:ascii="Times New Roman" w:eastAsia="Times New Roman" w:hAnsi="Times New Roman"/>
                <w:iCs/>
                <w:color w:val="000000" w:themeColor="text1"/>
                <w:sz w:val="20"/>
                <w:szCs w:val="20"/>
                <w:lang w:eastAsia="fr-FR"/>
              </w:rPr>
              <w:t xml:space="preserve"> enregistrées, % / accompagnement par les structures de prise en charge</w:t>
            </w:r>
          </w:p>
        </w:tc>
        <w:tc>
          <w:tcPr>
            <w:tcW w:w="1558" w:type="dxa"/>
            <w:tcBorders>
              <w:top w:val="single" w:sz="4" w:space="0" w:color="auto"/>
              <w:left w:val="single" w:sz="4" w:space="0" w:color="auto"/>
              <w:bottom w:val="single" w:sz="4" w:space="0" w:color="auto"/>
              <w:right w:val="single" w:sz="4" w:space="0" w:color="auto"/>
            </w:tcBorders>
            <w:vAlign w:val="center"/>
          </w:tcPr>
          <w:p w14:paraId="242EDB0D"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Entreprise</w:t>
            </w:r>
          </w:p>
          <w:p w14:paraId="34964383"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p w14:paraId="03A8BE80"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p w14:paraId="7BA0FA08"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p w14:paraId="69A4F453"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p w14:paraId="783DF1E2"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p w14:paraId="7B757438"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p w14:paraId="63F8719E"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p w14:paraId="4D2B9C2E"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p w14:paraId="1D136C20"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 Entreprise</w:t>
            </w:r>
          </w:p>
          <w:p w14:paraId="0D27D22F"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p w14:paraId="4BB6FE49"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tc>
        <w:tc>
          <w:tcPr>
            <w:tcW w:w="1417" w:type="dxa"/>
            <w:tcBorders>
              <w:top w:val="single" w:sz="4" w:space="0" w:color="auto"/>
              <w:left w:val="single" w:sz="4" w:space="0" w:color="auto"/>
              <w:bottom w:val="single" w:sz="4" w:space="0" w:color="auto"/>
              <w:right w:val="single" w:sz="4" w:space="0" w:color="auto"/>
            </w:tcBorders>
            <w:vAlign w:val="center"/>
          </w:tcPr>
          <w:p w14:paraId="46460C9D"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p w14:paraId="085EB190"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p w14:paraId="33CEA293"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p w14:paraId="193FC343"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p w14:paraId="3E329D5C"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p w14:paraId="36CB98DB"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p w14:paraId="3BB3D982"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p w14:paraId="7DAC22CB"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p w14:paraId="4FBFCC64"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p w14:paraId="0C1101E8"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tc>
        <w:tc>
          <w:tcPr>
            <w:tcW w:w="1418" w:type="dxa"/>
            <w:tcBorders>
              <w:top w:val="single" w:sz="4" w:space="0" w:color="auto"/>
              <w:left w:val="single" w:sz="4" w:space="0" w:color="auto"/>
              <w:bottom w:val="single" w:sz="4" w:space="0" w:color="auto"/>
              <w:right w:val="single" w:sz="4" w:space="0" w:color="auto"/>
            </w:tcBorders>
            <w:vAlign w:val="center"/>
          </w:tcPr>
          <w:p w14:paraId="0382D223"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p w14:paraId="4CC44CAD"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Commissions de gestion des plaintes</w:t>
            </w:r>
          </w:p>
          <w:p w14:paraId="21BE5906"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p w14:paraId="1E69FC4B"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p w14:paraId="63009D2A"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p w14:paraId="299A3EE2"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p w14:paraId="1D6B29CA"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p w14:paraId="332EDB03"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p w14:paraId="2794D783"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Autorités administratives</w:t>
            </w:r>
          </w:p>
        </w:tc>
        <w:tc>
          <w:tcPr>
            <w:tcW w:w="994" w:type="dxa"/>
            <w:tcBorders>
              <w:top w:val="single" w:sz="4" w:space="0" w:color="auto"/>
              <w:left w:val="single" w:sz="4" w:space="0" w:color="auto"/>
              <w:bottom w:val="single" w:sz="4" w:space="0" w:color="auto"/>
              <w:right w:val="single" w:sz="4" w:space="0" w:color="auto"/>
            </w:tcBorders>
            <w:vAlign w:val="center"/>
            <w:hideMark/>
          </w:tcPr>
          <w:p w14:paraId="141C72C4"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CRSE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26B8932"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26 500 000 </w:t>
            </w:r>
          </w:p>
        </w:tc>
      </w:tr>
      <w:tr w:rsidR="00570E16" w:rsidRPr="009B46E2" w14:paraId="48B4FAC7" w14:textId="77777777" w:rsidTr="0097258B">
        <w:tc>
          <w:tcPr>
            <w:tcW w:w="1984" w:type="dxa"/>
            <w:tcBorders>
              <w:top w:val="single" w:sz="4" w:space="0" w:color="auto"/>
              <w:left w:val="single" w:sz="4" w:space="0" w:color="auto"/>
              <w:right w:val="single" w:sz="4" w:space="0" w:color="auto"/>
            </w:tcBorders>
            <w:vAlign w:val="center"/>
          </w:tcPr>
          <w:p w14:paraId="1306FB3C" w14:textId="77777777" w:rsidR="00570E16" w:rsidRPr="0097258B" w:rsidRDefault="00570E16" w:rsidP="00E255EE">
            <w:pPr>
              <w:spacing w:after="0" w:line="240" w:lineRule="auto"/>
              <w:jc w:val="center"/>
              <w:rPr>
                <w:rFonts w:ascii="Times New Roman" w:eastAsia="Times New Roman" w:hAnsi="Times New Roman"/>
                <w:b/>
                <w:iCs/>
                <w:color w:val="000000" w:themeColor="text1"/>
                <w:sz w:val="20"/>
                <w:szCs w:val="20"/>
                <w:lang w:eastAsia="fr-FR"/>
              </w:rPr>
            </w:pPr>
            <w:r w:rsidRPr="0097258B">
              <w:rPr>
                <w:rFonts w:ascii="Times New Roman" w:eastAsia="Times New Roman" w:hAnsi="Times New Roman"/>
                <w:b/>
                <w:iCs/>
                <w:color w:val="000000" w:themeColor="text1"/>
                <w:sz w:val="20"/>
                <w:szCs w:val="20"/>
                <w:lang w:eastAsia="fr-FR"/>
              </w:rPr>
              <w:t xml:space="preserve">Mobilité </w:t>
            </w:r>
          </w:p>
        </w:tc>
        <w:tc>
          <w:tcPr>
            <w:tcW w:w="1417" w:type="dxa"/>
            <w:tcBorders>
              <w:top w:val="single" w:sz="4" w:space="0" w:color="auto"/>
              <w:left w:val="single" w:sz="4" w:space="0" w:color="auto"/>
              <w:bottom w:val="single" w:sz="4" w:space="0" w:color="auto"/>
              <w:right w:val="single" w:sz="4" w:space="0" w:color="auto"/>
            </w:tcBorders>
            <w:vAlign w:val="center"/>
          </w:tcPr>
          <w:p w14:paraId="0DE0ECDD"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Perturbation de la mobilité des biens et des personnes </w:t>
            </w:r>
          </w:p>
        </w:tc>
        <w:tc>
          <w:tcPr>
            <w:tcW w:w="3404" w:type="dxa"/>
            <w:tcBorders>
              <w:top w:val="single" w:sz="4" w:space="0" w:color="auto"/>
              <w:left w:val="single" w:sz="4" w:space="0" w:color="auto"/>
              <w:bottom w:val="single" w:sz="4" w:space="0" w:color="auto"/>
              <w:right w:val="single" w:sz="4" w:space="0" w:color="auto"/>
            </w:tcBorders>
            <w:vAlign w:val="center"/>
          </w:tcPr>
          <w:p w14:paraId="08EB9961"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Mettre en place et communiquer sur un plan de circulation</w:t>
            </w:r>
          </w:p>
          <w:p w14:paraId="5167CF77"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Aménager des voies de déviation</w:t>
            </w:r>
          </w:p>
          <w:p w14:paraId="168EEF09"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Évacuer tous les déblais vers des zones autorisées par le maître d’ouvrage et la commune concernée en vue de leur réutilisation</w:t>
            </w:r>
          </w:p>
          <w:p w14:paraId="0474E7D7"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 xml:space="preserve">Mettre en place un code de bonnes pratiques prévoyant la réduction de la vitesse de déplacement dans les zones habitées </w:t>
            </w:r>
          </w:p>
          <w:p w14:paraId="13EEE618"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Respecter les Poids Total Autorisé en Charge (PTAC) des véhicules </w:t>
            </w:r>
          </w:p>
          <w:p w14:paraId="4EFDE908"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Encadrer les chargements hors gabarits par les services des transports et de sécurité</w:t>
            </w:r>
          </w:p>
          <w:p w14:paraId="7DE1A83A"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Créer des voies de déviation et mettre en place une signalisation adéquate et adaptée</w:t>
            </w:r>
          </w:p>
          <w:p w14:paraId="54FFAE7B"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Informer les populations sur les désagréments liés aux travaux</w:t>
            </w:r>
          </w:p>
          <w:p w14:paraId="6FD596CC"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Procéder à un bon phasage des travaux quartier par quartier afin de limiter les perturbations de la mobilité des populations </w:t>
            </w:r>
          </w:p>
          <w:p w14:paraId="70070273"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Mettre en place des porte-drapeaux (femmes/hommes) au niveau des établissements scolaires et autres lieux publique à grande fréquentation</w:t>
            </w:r>
          </w:p>
          <w:p w14:paraId="57F5D6A9"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Exécuter les travaux par demi-chaussée aux endroits où les voies de déviation risquent de perturber les habitations ou les activités économiques ou industrielles</w:t>
            </w:r>
          </w:p>
          <w:p w14:paraId="0D38E5FE" w14:textId="77777777" w:rsidR="00570E16" w:rsidRPr="0097258B" w:rsidRDefault="00570E16" w:rsidP="00E255EE">
            <w:p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Mesures liées au repli de chantier : une fois les travaux achevés, l’Entrepreneur devra :</w:t>
            </w:r>
          </w:p>
          <w:p w14:paraId="5ADBF785"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Retirer les bâtiments temporaires, le matériel, les déchets solides et liquides, les matériaux excédentaires, les clôtures, etc.</w:t>
            </w:r>
          </w:p>
          <w:p w14:paraId="43B396A3"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 xml:space="preserve">Rectifier les défauts de drainage et régaler toutes les zones excavées </w:t>
            </w:r>
          </w:p>
          <w:p w14:paraId="5BA6C594"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Reboiser les zones initialement déboisées avec des espèces appropriées, en rapport avec les services forestiers locaux et la Mairie</w:t>
            </w:r>
          </w:p>
          <w:p w14:paraId="27F69ADB"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Protéger les ouvrages restés dangereux (puits, tranchées ouvertes, dénivelés, saillies, etc.) </w:t>
            </w:r>
          </w:p>
          <w:p w14:paraId="3A9F801A"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Rendre fonctionnels les chaussées, trottoirs, caniveaux, rampes et autres ouvrages rendus au service public</w:t>
            </w:r>
          </w:p>
          <w:p w14:paraId="1402364C"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Décontaminer le sol souillé (les parties contaminées par des huiles doivent être décaissées et remblayées par du sable non contaminé) ; </w:t>
            </w:r>
          </w:p>
          <w:p w14:paraId="33E9B4B6"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Nettoyer et détruire les fosses de vidange de manière conforme</w:t>
            </w:r>
          </w:p>
        </w:tc>
        <w:tc>
          <w:tcPr>
            <w:tcW w:w="1842" w:type="dxa"/>
            <w:tcBorders>
              <w:top w:val="single" w:sz="4" w:space="0" w:color="auto"/>
              <w:left w:val="single" w:sz="4" w:space="0" w:color="auto"/>
              <w:bottom w:val="single" w:sz="4" w:space="0" w:color="auto"/>
              <w:right w:val="single" w:sz="4" w:space="0" w:color="auto"/>
            </w:tcBorders>
            <w:vAlign w:val="center"/>
          </w:tcPr>
          <w:p w14:paraId="27C67F50"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Nombre de cas d’accident impliquant les véhicules en partance ou en provenance du chantier</w:t>
            </w:r>
          </w:p>
          <w:p w14:paraId="050EE7B3"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Effectivité d’un plan de circulation</w:t>
            </w:r>
          </w:p>
          <w:p w14:paraId="27DB6405"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porte-drapeau (femmes/hommes) recruté</w:t>
            </w:r>
          </w:p>
          <w:p w14:paraId="2698CAD1"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Nombre de séances d’information des populations </w:t>
            </w:r>
          </w:p>
        </w:tc>
        <w:tc>
          <w:tcPr>
            <w:tcW w:w="1558" w:type="dxa"/>
            <w:tcBorders>
              <w:top w:val="single" w:sz="4" w:space="0" w:color="auto"/>
              <w:left w:val="single" w:sz="4" w:space="0" w:color="auto"/>
              <w:bottom w:val="single" w:sz="4" w:space="0" w:color="auto"/>
              <w:right w:val="single" w:sz="4" w:space="0" w:color="auto"/>
            </w:tcBorders>
            <w:vAlign w:val="center"/>
          </w:tcPr>
          <w:p w14:paraId="4EA973D7"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lastRenderedPageBreak/>
              <w:t>Entreprises</w:t>
            </w:r>
          </w:p>
          <w:p w14:paraId="55CDD69F"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Concessionnaires</w:t>
            </w:r>
          </w:p>
        </w:tc>
        <w:tc>
          <w:tcPr>
            <w:tcW w:w="1417" w:type="dxa"/>
            <w:tcBorders>
              <w:top w:val="single" w:sz="4" w:space="0" w:color="auto"/>
              <w:left w:val="single" w:sz="4" w:space="0" w:color="auto"/>
              <w:bottom w:val="single" w:sz="4" w:space="0" w:color="auto"/>
              <w:right w:val="single" w:sz="4" w:space="0" w:color="auto"/>
            </w:tcBorders>
            <w:vAlign w:val="center"/>
          </w:tcPr>
          <w:p w14:paraId="54AF7198" w14:textId="77777777" w:rsidR="00570E16" w:rsidRPr="0097258B" w:rsidRDefault="00570E16" w:rsidP="00E255EE">
            <w:pPr>
              <w:spacing w:after="0" w:line="240" w:lineRule="auto"/>
              <w:jc w:val="center"/>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MDC</w:t>
            </w:r>
          </w:p>
          <w:p w14:paraId="69A5BA45" w14:textId="77777777" w:rsidR="00570E16" w:rsidRPr="0097258B" w:rsidRDefault="00570E16" w:rsidP="00E255EE">
            <w:pPr>
              <w:spacing w:after="0" w:line="240" w:lineRule="auto"/>
              <w:jc w:val="center"/>
              <w:rPr>
                <w:rFonts w:ascii="Times New Roman" w:eastAsia="Times New Roman" w:hAnsi="Times New Roman"/>
                <w:iCs/>
                <w:color w:val="000000" w:themeColor="text1"/>
                <w:sz w:val="20"/>
                <w:szCs w:val="20"/>
                <w:lang w:eastAsia="fr-FR"/>
              </w:rPr>
            </w:pPr>
          </w:p>
        </w:tc>
        <w:tc>
          <w:tcPr>
            <w:tcW w:w="1418" w:type="dxa"/>
            <w:tcBorders>
              <w:top w:val="single" w:sz="4" w:space="0" w:color="auto"/>
              <w:left w:val="single" w:sz="4" w:space="0" w:color="auto"/>
              <w:bottom w:val="single" w:sz="4" w:space="0" w:color="auto"/>
              <w:right w:val="single" w:sz="4" w:space="0" w:color="auto"/>
            </w:tcBorders>
            <w:vAlign w:val="center"/>
          </w:tcPr>
          <w:p w14:paraId="15E7D20B" w14:textId="77777777" w:rsidR="00570E16" w:rsidRPr="0097258B" w:rsidRDefault="00570E16" w:rsidP="00E255EE">
            <w:pPr>
              <w:spacing w:after="0" w:line="240" w:lineRule="auto"/>
              <w:jc w:val="center"/>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ADM</w:t>
            </w:r>
          </w:p>
          <w:p w14:paraId="7971B5D3" w14:textId="77777777" w:rsidR="00570E16" w:rsidRPr="0097258B" w:rsidRDefault="00570E16" w:rsidP="00E255EE">
            <w:pPr>
              <w:spacing w:after="0" w:line="240" w:lineRule="auto"/>
              <w:jc w:val="center"/>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Concessionnaires</w:t>
            </w:r>
          </w:p>
          <w:p w14:paraId="1A596AF2" w14:textId="77777777" w:rsidR="00570E16" w:rsidRPr="0097258B" w:rsidRDefault="00570E16" w:rsidP="00E255EE">
            <w:pPr>
              <w:spacing w:after="0" w:line="240" w:lineRule="auto"/>
              <w:jc w:val="center"/>
              <w:rPr>
                <w:rFonts w:ascii="Times New Roman" w:eastAsia="Times New Roman" w:hAnsi="Times New Roman"/>
                <w:iCs/>
                <w:color w:val="000000" w:themeColor="text1"/>
                <w:sz w:val="20"/>
                <w:szCs w:val="20"/>
                <w:lang w:eastAsia="fr-FR"/>
              </w:rPr>
            </w:pPr>
          </w:p>
        </w:tc>
        <w:tc>
          <w:tcPr>
            <w:tcW w:w="994" w:type="dxa"/>
            <w:tcBorders>
              <w:top w:val="single" w:sz="4" w:space="0" w:color="auto"/>
              <w:left w:val="single" w:sz="4" w:space="0" w:color="auto"/>
              <w:bottom w:val="single" w:sz="4" w:space="0" w:color="auto"/>
              <w:right w:val="single" w:sz="4" w:space="0" w:color="auto"/>
            </w:tcBorders>
            <w:vAlign w:val="center"/>
          </w:tcPr>
          <w:p w14:paraId="7368932A" w14:textId="77777777" w:rsidR="00570E16" w:rsidRPr="0097258B" w:rsidRDefault="00570E16" w:rsidP="00E255EE">
            <w:pPr>
              <w:spacing w:after="0" w:line="240" w:lineRule="auto"/>
              <w:jc w:val="center"/>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CRSE</w:t>
            </w:r>
          </w:p>
        </w:tc>
        <w:tc>
          <w:tcPr>
            <w:tcW w:w="1559" w:type="dxa"/>
            <w:tcBorders>
              <w:top w:val="single" w:sz="4" w:space="0" w:color="auto"/>
              <w:left w:val="single" w:sz="4" w:space="0" w:color="auto"/>
              <w:bottom w:val="single" w:sz="4" w:space="0" w:color="auto"/>
              <w:right w:val="single" w:sz="4" w:space="0" w:color="auto"/>
            </w:tcBorders>
            <w:vAlign w:val="center"/>
          </w:tcPr>
          <w:p w14:paraId="0DE29684"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PM</w:t>
            </w:r>
          </w:p>
        </w:tc>
      </w:tr>
      <w:tr w:rsidR="00570E16" w:rsidRPr="009B46E2" w14:paraId="25CF5CFA" w14:textId="77777777" w:rsidTr="0097258B">
        <w:tc>
          <w:tcPr>
            <w:tcW w:w="1984" w:type="dxa"/>
            <w:vMerge w:val="restart"/>
            <w:tcBorders>
              <w:top w:val="single" w:sz="4" w:space="0" w:color="auto"/>
              <w:left w:val="single" w:sz="4" w:space="0" w:color="auto"/>
              <w:right w:val="single" w:sz="4" w:space="0" w:color="auto"/>
            </w:tcBorders>
            <w:vAlign w:val="center"/>
          </w:tcPr>
          <w:p w14:paraId="6205804E" w14:textId="77777777" w:rsidR="00570E16" w:rsidRPr="0097258B" w:rsidRDefault="00570E16" w:rsidP="00E255EE">
            <w:pPr>
              <w:spacing w:after="0" w:line="240" w:lineRule="auto"/>
              <w:jc w:val="center"/>
              <w:rPr>
                <w:rFonts w:ascii="Times New Roman" w:eastAsia="Times New Roman" w:hAnsi="Times New Roman"/>
                <w:b/>
                <w:iCs/>
                <w:color w:val="000000" w:themeColor="text1"/>
                <w:sz w:val="20"/>
                <w:szCs w:val="20"/>
                <w:lang w:eastAsia="fr-FR"/>
              </w:rPr>
            </w:pPr>
            <w:r w:rsidRPr="0097258B">
              <w:rPr>
                <w:rFonts w:ascii="Times New Roman" w:eastAsia="Times New Roman" w:hAnsi="Times New Roman"/>
                <w:b/>
                <w:iCs/>
                <w:color w:val="000000" w:themeColor="text1"/>
                <w:sz w:val="20"/>
                <w:szCs w:val="20"/>
                <w:lang w:eastAsia="fr-FR"/>
              </w:rPr>
              <w:lastRenderedPageBreak/>
              <w:t xml:space="preserve">VRD </w:t>
            </w:r>
          </w:p>
        </w:tc>
        <w:tc>
          <w:tcPr>
            <w:tcW w:w="1417" w:type="dxa"/>
            <w:tcBorders>
              <w:top w:val="single" w:sz="4" w:space="0" w:color="auto"/>
              <w:left w:val="single" w:sz="4" w:space="0" w:color="auto"/>
              <w:bottom w:val="single" w:sz="4" w:space="0" w:color="auto"/>
              <w:right w:val="single" w:sz="4" w:space="0" w:color="auto"/>
            </w:tcBorders>
            <w:vAlign w:val="center"/>
          </w:tcPr>
          <w:p w14:paraId="08180C47"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Endommagement des réseaux de concessionnaires </w:t>
            </w:r>
          </w:p>
        </w:tc>
        <w:tc>
          <w:tcPr>
            <w:tcW w:w="3404" w:type="dxa"/>
            <w:tcBorders>
              <w:top w:val="single" w:sz="4" w:space="0" w:color="auto"/>
              <w:left w:val="single" w:sz="4" w:space="0" w:color="auto"/>
              <w:bottom w:val="single" w:sz="4" w:space="0" w:color="auto"/>
              <w:right w:val="single" w:sz="4" w:space="0" w:color="auto"/>
            </w:tcBorders>
            <w:vAlign w:val="center"/>
          </w:tcPr>
          <w:p w14:paraId="1D9BAE67"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Impliquer et collaborer étroitement et constamment avec les concessionnaires avant le début du démarrage des travaux</w:t>
            </w:r>
          </w:p>
          <w:p w14:paraId="787E5824"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S’approprier des plans de recollement des concessionnaires</w:t>
            </w:r>
          </w:p>
          <w:p w14:paraId="22085C29"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Réaliser des sondages nécessaires pour repérer les réseaux souterrains</w:t>
            </w:r>
          </w:p>
          <w:p w14:paraId="35C446C5"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Éviter autant que possible les dévoiements de réseaux par des options de contournement</w:t>
            </w:r>
          </w:p>
          <w:p w14:paraId="45DBBE0C"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Évaluer et prendre en charge tous les couts liés au dévoiement de réseaux de concessionnaires</w:t>
            </w:r>
          </w:p>
          <w:p w14:paraId="1A169AF8"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Réaliser les travaux de dévoiement de réseau dans les meilleurs délais</w:t>
            </w:r>
          </w:p>
          <w:p w14:paraId="7043CFF1"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Informer et sensibiliser les populations riveraines sur les éventuelles perturbations de réseau</w:t>
            </w:r>
          </w:p>
          <w:p w14:paraId="748D4510"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Mettre à la disposition des populations des quartiers impactés des citernes d’eau potable en quantité suffisante en cas d’interruption de la fourniture d’eau à cause due aux travaux</w:t>
            </w:r>
          </w:p>
        </w:tc>
        <w:tc>
          <w:tcPr>
            <w:tcW w:w="1842" w:type="dxa"/>
            <w:tcBorders>
              <w:top w:val="single" w:sz="4" w:space="0" w:color="auto"/>
              <w:left w:val="single" w:sz="4" w:space="0" w:color="auto"/>
              <w:bottom w:val="single" w:sz="4" w:space="0" w:color="auto"/>
              <w:right w:val="single" w:sz="4" w:space="0" w:color="auto"/>
            </w:tcBorders>
            <w:vAlign w:val="center"/>
          </w:tcPr>
          <w:p w14:paraId="6A9F6208"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Nombre de Plans des réseaux mis à disposition du projet</w:t>
            </w:r>
          </w:p>
          <w:p w14:paraId="7F80CA68"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réunion et de visite d’identification des tracés tenues avec les concessionnaires</w:t>
            </w:r>
          </w:p>
          <w:p w14:paraId="0AE20181"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Nombre de séances de sensibilisation réalisée </w:t>
            </w:r>
          </w:p>
          <w:p w14:paraId="1B605FCC"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Nombre cas de dommage </w:t>
            </w:r>
            <w:r w:rsidRPr="0097258B">
              <w:rPr>
                <w:rFonts w:ascii="Times New Roman" w:eastAsia="Times New Roman" w:hAnsi="Times New Roman"/>
                <w:iCs/>
                <w:color w:val="000000" w:themeColor="text1"/>
                <w:sz w:val="20"/>
                <w:szCs w:val="20"/>
                <w:lang w:eastAsia="fr-FR"/>
              </w:rPr>
              <w:lastRenderedPageBreak/>
              <w:t>enregistré sur les réseaux</w:t>
            </w:r>
          </w:p>
          <w:p w14:paraId="5B47D5D9"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Quantité d’eau distribuée dans les quartiers à la suite d’interruption de la fourniture d’eau à cause des travaux</w:t>
            </w:r>
          </w:p>
          <w:p w14:paraId="6DE3BD45"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d’activité d’information préalable effectuée auprès des populations avant les perturbations dans les réseaux</w:t>
            </w:r>
          </w:p>
        </w:tc>
        <w:tc>
          <w:tcPr>
            <w:tcW w:w="1558" w:type="dxa"/>
            <w:tcBorders>
              <w:top w:val="single" w:sz="4" w:space="0" w:color="auto"/>
              <w:left w:val="single" w:sz="4" w:space="0" w:color="auto"/>
              <w:bottom w:val="single" w:sz="4" w:space="0" w:color="auto"/>
              <w:right w:val="single" w:sz="4" w:space="0" w:color="auto"/>
            </w:tcBorders>
            <w:vAlign w:val="center"/>
          </w:tcPr>
          <w:p w14:paraId="54E0FF4B"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lastRenderedPageBreak/>
              <w:t xml:space="preserve">Entreprise </w:t>
            </w:r>
          </w:p>
          <w:p w14:paraId="56AECA6B"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Concessionnaires </w:t>
            </w:r>
          </w:p>
        </w:tc>
        <w:tc>
          <w:tcPr>
            <w:tcW w:w="1417" w:type="dxa"/>
            <w:tcBorders>
              <w:top w:val="single" w:sz="4" w:space="0" w:color="auto"/>
              <w:left w:val="single" w:sz="4" w:space="0" w:color="auto"/>
              <w:bottom w:val="single" w:sz="4" w:space="0" w:color="auto"/>
              <w:right w:val="single" w:sz="4" w:space="0" w:color="auto"/>
            </w:tcBorders>
            <w:vAlign w:val="center"/>
          </w:tcPr>
          <w:p w14:paraId="0A985379"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tc>
        <w:tc>
          <w:tcPr>
            <w:tcW w:w="1418" w:type="dxa"/>
            <w:tcBorders>
              <w:top w:val="single" w:sz="4" w:space="0" w:color="auto"/>
              <w:left w:val="single" w:sz="4" w:space="0" w:color="auto"/>
              <w:bottom w:val="single" w:sz="4" w:space="0" w:color="auto"/>
              <w:right w:val="single" w:sz="4" w:space="0" w:color="auto"/>
            </w:tcBorders>
            <w:vAlign w:val="center"/>
          </w:tcPr>
          <w:p w14:paraId="10C71251"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tc>
        <w:tc>
          <w:tcPr>
            <w:tcW w:w="994" w:type="dxa"/>
            <w:tcBorders>
              <w:top w:val="single" w:sz="4" w:space="0" w:color="auto"/>
              <w:left w:val="single" w:sz="4" w:space="0" w:color="auto"/>
              <w:bottom w:val="single" w:sz="4" w:space="0" w:color="auto"/>
              <w:right w:val="single" w:sz="4" w:space="0" w:color="auto"/>
            </w:tcBorders>
            <w:vAlign w:val="center"/>
          </w:tcPr>
          <w:p w14:paraId="40165A3C" w14:textId="77777777" w:rsidR="00570E16" w:rsidRPr="0097258B" w:rsidRDefault="00570E16" w:rsidP="00E255EE">
            <w:pPr>
              <w:spacing w:after="0" w:line="240" w:lineRule="auto"/>
              <w:jc w:val="center"/>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CRSE</w:t>
            </w:r>
          </w:p>
        </w:tc>
        <w:tc>
          <w:tcPr>
            <w:tcW w:w="1559" w:type="dxa"/>
            <w:tcBorders>
              <w:top w:val="single" w:sz="4" w:space="0" w:color="auto"/>
              <w:left w:val="single" w:sz="4" w:space="0" w:color="auto"/>
              <w:bottom w:val="single" w:sz="4" w:space="0" w:color="auto"/>
              <w:right w:val="single" w:sz="4" w:space="0" w:color="auto"/>
            </w:tcBorders>
            <w:vAlign w:val="center"/>
          </w:tcPr>
          <w:p w14:paraId="34907B1A"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Budget du projet </w:t>
            </w:r>
          </w:p>
        </w:tc>
      </w:tr>
      <w:tr w:rsidR="00570E16" w:rsidRPr="009B46E2" w14:paraId="00DFC71F" w14:textId="77777777" w:rsidTr="0097258B">
        <w:tc>
          <w:tcPr>
            <w:tcW w:w="1984" w:type="dxa"/>
            <w:vMerge/>
            <w:tcBorders>
              <w:left w:val="single" w:sz="4" w:space="0" w:color="auto"/>
              <w:bottom w:val="single" w:sz="4" w:space="0" w:color="auto"/>
              <w:right w:val="single" w:sz="4" w:space="0" w:color="auto"/>
            </w:tcBorders>
            <w:vAlign w:val="center"/>
          </w:tcPr>
          <w:p w14:paraId="1F2EB611" w14:textId="77777777" w:rsidR="00570E16" w:rsidRPr="0097258B" w:rsidRDefault="00570E16" w:rsidP="00E255EE">
            <w:pPr>
              <w:spacing w:after="0" w:line="240" w:lineRule="auto"/>
              <w:jc w:val="center"/>
              <w:rPr>
                <w:rFonts w:ascii="Times New Roman" w:eastAsia="Times New Roman" w:hAnsi="Times New Roman"/>
                <w:b/>
                <w:iCs/>
                <w:color w:val="000000" w:themeColor="text1"/>
                <w:sz w:val="20"/>
                <w:szCs w:val="20"/>
                <w:lang w:eastAsia="fr-FR"/>
              </w:rPr>
            </w:pPr>
          </w:p>
        </w:tc>
        <w:tc>
          <w:tcPr>
            <w:tcW w:w="1417" w:type="dxa"/>
            <w:tcBorders>
              <w:top w:val="single" w:sz="4" w:space="0" w:color="auto"/>
              <w:left w:val="single" w:sz="4" w:space="0" w:color="auto"/>
              <w:bottom w:val="single" w:sz="4" w:space="0" w:color="auto"/>
              <w:right w:val="single" w:sz="4" w:space="0" w:color="auto"/>
            </w:tcBorders>
            <w:vAlign w:val="center"/>
          </w:tcPr>
          <w:p w14:paraId="5E0B7C72"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Dégradation des routes</w:t>
            </w:r>
          </w:p>
        </w:tc>
        <w:tc>
          <w:tcPr>
            <w:tcW w:w="3404" w:type="dxa"/>
            <w:tcBorders>
              <w:top w:val="single" w:sz="4" w:space="0" w:color="auto"/>
              <w:left w:val="single" w:sz="4" w:space="0" w:color="auto"/>
              <w:bottom w:val="single" w:sz="4" w:space="0" w:color="auto"/>
              <w:right w:val="single" w:sz="4" w:space="0" w:color="auto"/>
            </w:tcBorders>
            <w:vAlign w:val="center"/>
          </w:tcPr>
          <w:p w14:paraId="79B20C2F"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Saisir l’AGEROUTE et la Direction des routes pour les routes et voiries concernées</w:t>
            </w:r>
          </w:p>
          <w:p w14:paraId="3E8A610F"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Collaborer étroitement avec AGEROUTE et la Direction des routes en cas d’intervention sur le réseau routier</w:t>
            </w:r>
          </w:p>
          <w:p w14:paraId="5DBA4B33"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Remise en état après la traversée et la pose de canalisation </w:t>
            </w:r>
          </w:p>
          <w:p w14:paraId="4EE3B9B2"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Réhabiliter toutes les voiries dégradées lors des travaux</w:t>
            </w:r>
          </w:p>
        </w:tc>
        <w:tc>
          <w:tcPr>
            <w:tcW w:w="1842" w:type="dxa"/>
            <w:tcBorders>
              <w:top w:val="single" w:sz="4" w:space="0" w:color="auto"/>
              <w:left w:val="single" w:sz="4" w:space="0" w:color="auto"/>
              <w:bottom w:val="single" w:sz="4" w:space="0" w:color="auto"/>
              <w:right w:val="single" w:sz="4" w:space="0" w:color="auto"/>
            </w:tcBorders>
            <w:vAlign w:val="center"/>
          </w:tcPr>
          <w:p w14:paraId="1157B729"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rencontres tenues avec l’AGEROUTE et la Direction des routes sur les travaux à mener</w:t>
            </w:r>
          </w:p>
          <w:p w14:paraId="6D1A5D09"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Linéaire de voirie remise en état après travaux et %</w:t>
            </w:r>
          </w:p>
          <w:p w14:paraId="32435511" w14:textId="77777777" w:rsidR="00570E16"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Linéaire de voirie dégradée</w:t>
            </w:r>
          </w:p>
          <w:p w14:paraId="4CB3AF30" w14:textId="77777777" w:rsidR="003E7451" w:rsidRDefault="003E7451" w:rsidP="003E7451">
            <w:p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p>
          <w:p w14:paraId="5F14C6C5" w14:textId="77777777" w:rsidR="003E7451" w:rsidRDefault="003E7451" w:rsidP="003E7451">
            <w:p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p>
          <w:p w14:paraId="27700481" w14:textId="77777777" w:rsidR="003E7451" w:rsidRPr="0097258B" w:rsidRDefault="003E7451" w:rsidP="003E7451">
            <w:p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p>
        </w:tc>
        <w:tc>
          <w:tcPr>
            <w:tcW w:w="1558" w:type="dxa"/>
            <w:tcBorders>
              <w:top w:val="single" w:sz="4" w:space="0" w:color="auto"/>
              <w:left w:val="single" w:sz="4" w:space="0" w:color="auto"/>
              <w:bottom w:val="single" w:sz="4" w:space="0" w:color="auto"/>
              <w:right w:val="single" w:sz="4" w:space="0" w:color="auto"/>
            </w:tcBorders>
            <w:vAlign w:val="center"/>
          </w:tcPr>
          <w:p w14:paraId="0F698170"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Entreprise </w:t>
            </w:r>
          </w:p>
          <w:p w14:paraId="5D975E7B"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AGEROUTE</w:t>
            </w:r>
          </w:p>
        </w:tc>
        <w:tc>
          <w:tcPr>
            <w:tcW w:w="1417" w:type="dxa"/>
            <w:tcBorders>
              <w:top w:val="single" w:sz="4" w:space="0" w:color="auto"/>
              <w:left w:val="single" w:sz="4" w:space="0" w:color="auto"/>
              <w:bottom w:val="single" w:sz="4" w:space="0" w:color="auto"/>
              <w:right w:val="single" w:sz="4" w:space="0" w:color="auto"/>
            </w:tcBorders>
            <w:vAlign w:val="center"/>
          </w:tcPr>
          <w:p w14:paraId="131088C0"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tc>
        <w:tc>
          <w:tcPr>
            <w:tcW w:w="1418" w:type="dxa"/>
            <w:tcBorders>
              <w:top w:val="single" w:sz="4" w:space="0" w:color="auto"/>
              <w:left w:val="single" w:sz="4" w:space="0" w:color="auto"/>
              <w:bottom w:val="single" w:sz="4" w:space="0" w:color="auto"/>
              <w:right w:val="single" w:sz="4" w:space="0" w:color="auto"/>
            </w:tcBorders>
            <w:vAlign w:val="center"/>
          </w:tcPr>
          <w:p w14:paraId="7C5AEF16"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tc>
        <w:tc>
          <w:tcPr>
            <w:tcW w:w="994" w:type="dxa"/>
            <w:tcBorders>
              <w:top w:val="single" w:sz="4" w:space="0" w:color="auto"/>
              <w:left w:val="single" w:sz="4" w:space="0" w:color="auto"/>
              <w:bottom w:val="single" w:sz="4" w:space="0" w:color="auto"/>
              <w:right w:val="single" w:sz="4" w:space="0" w:color="auto"/>
            </w:tcBorders>
            <w:vAlign w:val="center"/>
          </w:tcPr>
          <w:p w14:paraId="479307D1" w14:textId="77777777" w:rsidR="00570E16" w:rsidRPr="0097258B" w:rsidRDefault="00570E16" w:rsidP="00E255EE">
            <w:pPr>
              <w:spacing w:after="0" w:line="240" w:lineRule="auto"/>
              <w:jc w:val="center"/>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CRSE</w:t>
            </w:r>
          </w:p>
        </w:tc>
        <w:tc>
          <w:tcPr>
            <w:tcW w:w="1559" w:type="dxa"/>
            <w:tcBorders>
              <w:top w:val="single" w:sz="4" w:space="0" w:color="auto"/>
              <w:left w:val="single" w:sz="4" w:space="0" w:color="auto"/>
              <w:bottom w:val="single" w:sz="4" w:space="0" w:color="auto"/>
              <w:right w:val="single" w:sz="4" w:space="0" w:color="auto"/>
            </w:tcBorders>
            <w:vAlign w:val="center"/>
          </w:tcPr>
          <w:p w14:paraId="6E9FBB42"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Budget du projet </w:t>
            </w:r>
          </w:p>
        </w:tc>
      </w:tr>
      <w:tr w:rsidR="00570E16" w:rsidRPr="009B46E2" w14:paraId="5F83B998" w14:textId="77777777" w:rsidTr="0097258B">
        <w:tc>
          <w:tcPr>
            <w:tcW w:w="15593" w:type="dxa"/>
            <w:gridSpan w:val="9"/>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3E69235"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b/>
                <w:bCs/>
                <w:iCs/>
                <w:color w:val="000000" w:themeColor="text1"/>
                <w:sz w:val="20"/>
                <w:szCs w:val="20"/>
                <w:lang w:eastAsia="fr-FR"/>
              </w:rPr>
              <w:lastRenderedPageBreak/>
              <w:t>MESURES DE DÉVELOPPEMENT COMMUNAUTAIRES</w:t>
            </w:r>
          </w:p>
        </w:tc>
      </w:tr>
      <w:tr w:rsidR="00570E16" w:rsidRPr="009B46E2" w14:paraId="0B17C2FF" w14:textId="77777777" w:rsidTr="0097258B">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5B73E65A" w14:textId="77777777" w:rsidR="00570E16" w:rsidRPr="0097258B" w:rsidRDefault="00570E16" w:rsidP="00E255EE">
            <w:pPr>
              <w:spacing w:after="0" w:line="240" w:lineRule="auto"/>
              <w:jc w:val="center"/>
              <w:rPr>
                <w:rFonts w:ascii="Times New Roman" w:eastAsia="Times New Roman" w:hAnsi="Times New Roman"/>
                <w:b/>
                <w:iCs/>
                <w:color w:val="000000" w:themeColor="text1"/>
                <w:sz w:val="20"/>
                <w:szCs w:val="20"/>
                <w:lang w:eastAsia="fr-FR"/>
              </w:rPr>
            </w:pPr>
            <w:r w:rsidRPr="0097258B">
              <w:rPr>
                <w:rFonts w:ascii="Times New Roman" w:eastAsia="Times New Roman" w:hAnsi="Times New Roman"/>
                <w:b/>
                <w:iCs/>
                <w:color w:val="000000" w:themeColor="text1"/>
                <w:sz w:val="20"/>
                <w:szCs w:val="20"/>
                <w:lang w:eastAsia="fr-FR"/>
              </w:rPr>
              <w:t>Socio-économique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590309"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Activités prévues par le projet (PIC)</w:t>
            </w:r>
          </w:p>
        </w:tc>
        <w:tc>
          <w:tcPr>
            <w:tcW w:w="3404" w:type="dxa"/>
            <w:tcBorders>
              <w:top w:val="single" w:sz="4" w:space="0" w:color="auto"/>
              <w:left w:val="single" w:sz="4" w:space="0" w:color="auto"/>
              <w:bottom w:val="single" w:sz="4" w:space="0" w:color="auto"/>
              <w:right w:val="single" w:sz="4" w:space="0" w:color="auto"/>
            </w:tcBorders>
            <w:vAlign w:val="center"/>
            <w:hideMark/>
          </w:tcPr>
          <w:p w14:paraId="59D618CE"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Réalisation d’espaces verts, des voies de circulation, un éclairage public et la protection physique des bassins</w:t>
            </w:r>
          </w:p>
        </w:tc>
        <w:tc>
          <w:tcPr>
            <w:tcW w:w="1842" w:type="dxa"/>
            <w:tcBorders>
              <w:top w:val="single" w:sz="4" w:space="0" w:color="auto"/>
              <w:left w:val="single" w:sz="4" w:space="0" w:color="auto"/>
              <w:bottom w:val="single" w:sz="4" w:space="0" w:color="auto"/>
              <w:right w:val="single" w:sz="4" w:space="0" w:color="auto"/>
            </w:tcBorders>
            <w:vAlign w:val="center"/>
          </w:tcPr>
          <w:p w14:paraId="05827AF2"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d’espaces verts réalisés</w:t>
            </w:r>
          </w:p>
          <w:p w14:paraId="79B33CCC"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sites éclairés</w:t>
            </w:r>
          </w:p>
          <w:p w14:paraId="6C3068B9"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p>
        </w:tc>
        <w:tc>
          <w:tcPr>
            <w:tcW w:w="1558" w:type="dxa"/>
            <w:tcBorders>
              <w:top w:val="single" w:sz="4" w:space="0" w:color="auto"/>
              <w:left w:val="single" w:sz="4" w:space="0" w:color="auto"/>
              <w:bottom w:val="single" w:sz="4" w:space="0" w:color="auto"/>
              <w:right w:val="single" w:sz="4" w:space="0" w:color="auto"/>
            </w:tcBorders>
            <w:vAlign w:val="center"/>
            <w:hideMark/>
          </w:tcPr>
          <w:p w14:paraId="182E82C3"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p w14:paraId="4B5B2890"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CDREI</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32FFF39"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35ED831"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p w14:paraId="4898A944"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Facilitation sociale</w:t>
            </w:r>
          </w:p>
        </w:tc>
        <w:tc>
          <w:tcPr>
            <w:tcW w:w="994" w:type="dxa"/>
            <w:tcBorders>
              <w:top w:val="single" w:sz="4" w:space="0" w:color="auto"/>
              <w:left w:val="single" w:sz="4" w:space="0" w:color="auto"/>
              <w:bottom w:val="single" w:sz="4" w:space="0" w:color="auto"/>
              <w:right w:val="single" w:sz="4" w:space="0" w:color="auto"/>
            </w:tcBorders>
            <w:vAlign w:val="center"/>
            <w:hideMark/>
          </w:tcPr>
          <w:p w14:paraId="23A281E7"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CRSE</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2C5E397C" w14:textId="77777777" w:rsidR="00570E16" w:rsidRPr="0097258B" w:rsidRDefault="00570E16" w:rsidP="00E255EE">
            <w:pPr>
              <w:spacing w:after="0" w:line="240" w:lineRule="auto"/>
              <w:rPr>
                <w:rFonts w:ascii="Times New Roman" w:eastAsia="Times New Roman" w:hAnsi="Times New Roman"/>
                <w:color w:val="000000" w:themeColor="text1"/>
                <w:sz w:val="20"/>
                <w:szCs w:val="20"/>
                <w:highlight w:val="green"/>
                <w:lang w:eastAsia="fr-FR"/>
              </w:rPr>
            </w:pPr>
            <w:r w:rsidRPr="0097258B">
              <w:rPr>
                <w:rFonts w:ascii="Times New Roman" w:eastAsia="Times New Roman" w:hAnsi="Times New Roman"/>
                <w:color w:val="000000" w:themeColor="text1"/>
                <w:sz w:val="20"/>
                <w:szCs w:val="20"/>
                <w:lang w:eastAsia="fr-FR"/>
              </w:rPr>
              <w:t xml:space="preserve">Projet </w:t>
            </w:r>
          </w:p>
          <w:p w14:paraId="35D01739"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highlight w:val="green"/>
                <w:lang w:eastAsia="fr-FR"/>
              </w:rPr>
            </w:pPr>
          </w:p>
        </w:tc>
      </w:tr>
      <w:tr w:rsidR="00570E16" w:rsidRPr="009B46E2" w14:paraId="2DBC7DFD" w14:textId="77777777" w:rsidTr="0097258B">
        <w:tc>
          <w:tcPr>
            <w:tcW w:w="1984" w:type="dxa"/>
            <w:vMerge/>
            <w:tcBorders>
              <w:top w:val="single" w:sz="4" w:space="0" w:color="auto"/>
              <w:left w:val="single" w:sz="4" w:space="0" w:color="auto"/>
              <w:bottom w:val="single" w:sz="4" w:space="0" w:color="auto"/>
              <w:right w:val="single" w:sz="4" w:space="0" w:color="auto"/>
            </w:tcBorders>
            <w:vAlign w:val="center"/>
            <w:hideMark/>
          </w:tcPr>
          <w:p w14:paraId="29A06995" w14:textId="77777777" w:rsidR="00570E16" w:rsidRPr="0097258B" w:rsidRDefault="00570E16" w:rsidP="00E255EE">
            <w:pPr>
              <w:spacing w:after="0" w:line="240" w:lineRule="auto"/>
              <w:rPr>
                <w:rFonts w:ascii="Times New Roman" w:eastAsia="Times New Roman" w:hAnsi="Times New Roman"/>
                <w:b/>
                <w:iCs/>
                <w:color w:val="000000" w:themeColor="text1"/>
                <w:sz w:val="20"/>
                <w:szCs w:val="20"/>
                <w:lang w:eastAsia="fr-FR"/>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9FF54C5"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Mesures de bonification des impacts positifs du projet</w:t>
            </w:r>
          </w:p>
        </w:tc>
        <w:tc>
          <w:tcPr>
            <w:tcW w:w="3404" w:type="dxa"/>
            <w:tcBorders>
              <w:top w:val="single" w:sz="4" w:space="0" w:color="auto"/>
              <w:left w:val="single" w:sz="4" w:space="0" w:color="auto"/>
              <w:bottom w:val="single" w:sz="4" w:space="0" w:color="auto"/>
              <w:right w:val="single" w:sz="4" w:space="0" w:color="auto"/>
            </w:tcBorders>
            <w:vAlign w:val="center"/>
            <w:hideMark/>
          </w:tcPr>
          <w:p w14:paraId="2363C2AA"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Formation des demandeurs potentiels d’emplois sur les techniques de posage et d’entretien des pavés</w:t>
            </w:r>
          </w:p>
          <w:p w14:paraId="452FB6F8"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Équipement des quartiers en petits matériels de collecte des ordures ménagères</w:t>
            </w:r>
          </w:p>
          <w:p w14:paraId="528B1F4F"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Appui à l’amélioration des services sociaux de base (clôture d’écoles, construction de latrines et adduction d’eau dans les écoles, appui à l’équipement des structures de santé dans la zone d’intervention du projet)</w:t>
            </w:r>
          </w:p>
          <w:p w14:paraId="3E3D0406"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Appui au développement d’activités génératrices de revenus pour les femmes et autres groupes vulnérables</w:t>
            </w:r>
          </w:p>
          <w:p w14:paraId="45D02A5A"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Appui aux activités génératrices de revenus (AGR) pour les personnes vulnérables et en particulier les femmes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DF5A62B"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bénéficiaires de formation</w:t>
            </w:r>
          </w:p>
          <w:p w14:paraId="33F4B9E8"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quartiers dotés en petit matériel de collecte des ordures</w:t>
            </w:r>
          </w:p>
          <w:p w14:paraId="4E8CBD8A"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d’écoles appuyées</w:t>
            </w:r>
          </w:p>
          <w:p w14:paraId="0850432F"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structures de santé appuyé</w:t>
            </w:r>
          </w:p>
          <w:p w14:paraId="0A2E12B5"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bénéficiaires d’AGR, dont femmes</w:t>
            </w:r>
          </w:p>
        </w:tc>
        <w:tc>
          <w:tcPr>
            <w:tcW w:w="1558" w:type="dxa"/>
            <w:tcBorders>
              <w:top w:val="single" w:sz="4" w:space="0" w:color="auto"/>
              <w:left w:val="single" w:sz="4" w:space="0" w:color="auto"/>
              <w:bottom w:val="single" w:sz="4" w:space="0" w:color="auto"/>
              <w:right w:val="single" w:sz="4" w:space="0" w:color="auto"/>
            </w:tcBorders>
            <w:vAlign w:val="center"/>
            <w:hideMark/>
          </w:tcPr>
          <w:p w14:paraId="249058D0"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p w14:paraId="50ABD9BC"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CDREI</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BCCE7A6"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EDFA9CA"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p w14:paraId="5581862B"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Facilitation sociale</w:t>
            </w:r>
          </w:p>
        </w:tc>
        <w:tc>
          <w:tcPr>
            <w:tcW w:w="994" w:type="dxa"/>
            <w:tcBorders>
              <w:top w:val="single" w:sz="4" w:space="0" w:color="auto"/>
              <w:left w:val="single" w:sz="4" w:space="0" w:color="auto"/>
              <w:bottom w:val="single" w:sz="4" w:space="0" w:color="auto"/>
              <w:right w:val="single" w:sz="4" w:space="0" w:color="auto"/>
            </w:tcBorders>
            <w:vAlign w:val="center"/>
            <w:hideMark/>
          </w:tcPr>
          <w:p w14:paraId="65050D04"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CRSE</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DD133CA" w14:textId="77777777" w:rsidR="00570E16" w:rsidRPr="0097258B" w:rsidRDefault="00570E16" w:rsidP="00E255EE">
            <w:pPr>
              <w:spacing w:after="0" w:line="240" w:lineRule="auto"/>
              <w:rPr>
                <w:rFonts w:ascii="Times New Roman" w:eastAsia="Times New Roman" w:hAnsi="Times New Roman"/>
                <w:color w:val="000000" w:themeColor="text1"/>
                <w:sz w:val="20"/>
                <w:szCs w:val="20"/>
                <w:highlight w:val="green"/>
                <w:lang w:eastAsia="fr-FR"/>
              </w:rPr>
            </w:pPr>
          </w:p>
        </w:tc>
      </w:tr>
    </w:tbl>
    <w:p w14:paraId="6FCD233E" w14:textId="77777777" w:rsidR="008F35C9" w:rsidRPr="00260790" w:rsidRDefault="008F35C9" w:rsidP="00E20250">
      <w:pPr>
        <w:spacing w:after="0" w:line="240" w:lineRule="auto"/>
        <w:rPr>
          <w:rFonts w:ascii="Times New Roman" w:eastAsia="Times New Roman" w:hAnsi="Times New Roman"/>
          <w:color w:val="000000" w:themeColor="text1"/>
          <w:sz w:val="24"/>
          <w:szCs w:val="24"/>
          <w:lang w:eastAsia="fr-FR"/>
        </w:rPr>
      </w:pPr>
    </w:p>
    <w:p w14:paraId="2BCDF3CA" w14:textId="77777777" w:rsidR="008F35C9" w:rsidRPr="00260790" w:rsidRDefault="008F35C9" w:rsidP="00E20250">
      <w:pPr>
        <w:spacing w:line="240" w:lineRule="auto"/>
        <w:rPr>
          <w:rFonts w:ascii="Times New Roman" w:eastAsia="Times New Roman" w:hAnsi="Times New Roman"/>
          <w:b/>
          <w:i/>
          <w:color w:val="000000" w:themeColor="text1"/>
          <w:sz w:val="24"/>
          <w:szCs w:val="24"/>
          <w:lang w:eastAsia="fr-FR"/>
        </w:rPr>
      </w:pPr>
      <w:r w:rsidRPr="00260790">
        <w:rPr>
          <w:rFonts w:ascii="Times New Roman" w:eastAsia="Times New Roman" w:hAnsi="Times New Roman"/>
          <w:b/>
          <w:i/>
          <w:color w:val="000000" w:themeColor="text1"/>
          <w:sz w:val="24"/>
          <w:szCs w:val="24"/>
          <w:lang w:eastAsia="fr-FR"/>
        </w:rPr>
        <w:br w:type="page"/>
      </w:r>
    </w:p>
    <w:p w14:paraId="170E6660" w14:textId="46E01522" w:rsidR="008F35C9" w:rsidRPr="00260790" w:rsidRDefault="008F35C9" w:rsidP="00E20250">
      <w:pPr>
        <w:spacing w:after="0" w:line="240" w:lineRule="auto"/>
        <w:rPr>
          <w:rFonts w:ascii="Times New Roman" w:eastAsia="Times New Roman" w:hAnsi="Times New Roman"/>
          <w:i/>
          <w:color w:val="000000" w:themeColor="text1"/>
          <w:lang w:eastAsia="fr-FR"/>
        </w:rPr>
      </w:pPr>
      <w:bookmarkStart w:id="2491" w:name="_Toc207781960"/>
      <w:r w:rsidRPr="00260790">
        <w:rPr>
          <w:rFonts w:ascii="Times New Roman" w:eastAsia="Times New Roman" w:hAnsi="Times New Roman"/>
          <w:i/>
          <w:color w:val="000000" w:themeColor="text1"/>
          <w:lang w:eastAsia="fr-FR"/>
        </w:rPr>
        <w:lastRenderedPageBreak/>
        <w:t xml:space="preserve">Tableau  </w:t>
      </w:r>
      <w:r w:rsidRPr="00260790">
        <w:rPr>
          <w:rFonts w:ascii="Times New Roman" w:hAnsi="Times New Roman"/>
          <w:i/>
          <w:color w:val="000000" w:themeColor="text1"/>
        </w:rPr>
        <w:fldChar w:fldCharType="begin"/>
      </w:r>
      <w:r w:rsidRPr="00260790">
        <w:rPr>
          <w:rFonts w:ascii="Times New Roman" w:eastAsia="Times New Roman" w:hAnsi="Times New Roman"/>
          <w:i/>
          <w:color w:val="000000" w:themeColor="text1"/>
          <w:lang w:eastAsia="fr-FR"/>
        </w:rPr>
        <w:instrText xml:space="preserve"> SEQ Tableau \* ARABIC </w:instrText>
      </w:r>
      <w:r w:rsidRPr="00260790">
        <w:rPr>
          <w:rFonts w:ascii="Times New Roman" w:hAnsi="Times New Roman"/>
          <w:i/>
          <w:color w:val="000000" w:themeColor="text1"/>
        </w:rPr>
        <w:fldChar w:fldCharType="separate"/>
      </w:r>
      <w:r w:rsidR="003C783E">
        <w:rPr>
          <w:rFonts w:ascii="Times New Roman" w:eastAsia="Times New Roman" w:hAnsi="Times New Roman"/>
          <w:i/>
          <w:noProof/>
          <w:color w:val="000000" w:themeColor="text1"/>
          <w:lang w:eastAsia="fr-FR"/>
        </w:rPr>
        <w:t>119</w:t>
      </w:r>
      <w:r w:rsidRPr="00260790">
        <w:rPr>
          <w:rFonts w:ascii="Times New Roman" w:hAnsi="Times New Roman"/>
          <w:i/>
          <w:color w:val="000000" w:themeColor="text1"/>
        </w:rPr>
        <w:fldChar w:fldCharType="end"/>
      </w:r>
      <w:r w:rsidRPr="00260790">
        <w:rPr>
          <w:rFonts w:ascii="Times New Roman" w:eastAsia="Times New Roman" w:hAnsi="Times New Roman"/>
          <w:i/>
          <w:color w:val="000000" w:themeColor="text1"/>
          <w:lang w:eastAsia="fr-FR"/>
        </w:rPr>
        <w:t xml:space="preserve"> : Matrice du PGES en phase d’exploitation</w:t>
      </w:r>
      <w:bookmarkEnd w:id="2491"/>
      <w:r w:rsidRPr="00260790">
        <w:rPr>
          <w:rFonts w:ascii="Times New Roman" w:eastAsia="Times New Roman" w:hAnsi="Times New Roman"/>
          <w:i/>
          <w:color w:val="000000" w:themeColor="text1"/>
          <w:lang w:eastAsia="fr-FR"/>
        </w:rPr>
        <w:t xml:space="preserve">  </w:t>
      </w:r>
    </w:p>
    <w:p w14:paraId="4230475B" w14:textId="77777777" w:rsidR="008F35C9" w:rsidRDefault="008F35C9" w:rsidP="003E7451">
      <w:pPr>
        <w:spacing w:after="0" w:line="240" w:lineRule="auto"/>
        <w:rPr>
          <w:rFonts w:ascii="Times New Roman" w:hAnsi="Times New Roman"/>
          <w:color w:val="000000" w:themeColor="text1"/>
          <w:sz w:val="24"/>
          <w:szCs w:val="24"/>
        </w:rPr>
      </w:pPr>
    </w:p>
    <w:tbl>
      <w:tblPr>
        <w:tblW w:w="1497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9"/>
        <w:gridCol w:w="1447"/>
        <w:gridCol w:w="3496"/>
        <w:gridCol w:w="2268"/>
        <w:gridCol w:w="1134"/>
        <w:gridCol w:w="1389"/>
        <w:gridCol w:w="1417"/>
        <w:gridCol w:w="1021"/>
        <w:gridCol w:w="1418"/>
      </w:tblGrid>
      <w:tr w:rsidR="00570E16" w:rsidRPr="009B46E2" w14:paraId="280F7A0A" w14:textId="77777777" w:rsidTr="00E255EE">
        <w:trPr>
          <w:trHeight w:val="54"/>
          <w:tblHeader/>
        </w:trPr>
        <w:tc>
          <w:tcPr>
            <w:tcW w:w="1389" w:type="dxa"/>
            <w:vMerge w:val="restart"/>
            <w:tcBorders>
              <w:top w:val="single" w:sz="4" w:space="0" w:color="auto"/>
              <w:left w:val="single" w:sz="4" w:space="0" w:color="auto"/>
              <w:bottom w:val="single" w:sz="12" w:space="0" w:color="A8D08D"/>
              <w:right w:val="single" w:sz="4" w:space="0" w:color="auto"/>
            </w:tcBorders>
            <w:shd w:val="clear" w:color="auto" w:fill="BDD6EE" w:themeFill="accent1" w:themeFillTint="66"/>
            <w:vAlign w:val="center"/>
            <w:hideMark/>
          </w:tcPr>
          <w:p w14:paraId="7547461A" w14:textId="77777777" w:rsidR="00570E16" w:rsidRPr="0097258B" w:rsidRDefault="00570E16" w:rsidP="00E255EE">
            <w:pPr>
              <w:spacing w:after="0" w:line="240" w:lineRule="auto"/>
              <w:ind w:left="-142" w:right="-108"/>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Composantes</w:t>
            </w:r>
          </w:p>
        </w:tc>
        <w:tc>
          <w:tcPr>
            <w:tcW w:w="1447" w:type="dxa"/>
            <w:vMerge w:val="restart"/>
            <w:tcBorders>
              <w:top w:val="single" w:sz="4" w:space="0" w:color="auto"/>
              <w:left w:val="single" w:sz="4" w:space="0" w:color="auto"/>
              <w:bottom w:val="single" w:sz="12" w:space="0" w:color="A8D08D"/>
              <w:right w:val="single" w:sz="4" w:space="0" w:color="auto"/>
            </w:tcBorders>
            <w:shd w:val="clear" w:color="auto" w:fill="BDD6EE" w:themeFill="accent1" w:themeFillTint="66"/>
            <w:vAlign w:val="center"/>
            <w:hideMark/>
          </w:tcPr>
          <w:p w14:paraId="4A593F57"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Impacts</w:t>
            </w:r>
          </w:p>
        </w:tc>
        <w:tc>
          <w:tcPr>
            <w:tcW w:w="3496" w:type="dxa"/>
            <w:vMerge w:val="restart"/>
            <w:tcBorders>
              <w:top w:val="single" w:sz="4" w:space="0" w:color="auto"/>
              <w:left w:val="single" w:sz="4" w:space="0" w:color="auto"/>
              <w:bottom w:val="single" w:sz="12" w:space="0" w:color="A8D08D"/>
              <w:right w:val="single" w:sz="4" w:space="0" w:color="auto"/>
            </w:tcBorders>
            <w:shd w:val="clear" w:color="auto" w:fill="BDD6EE" w:themeFill="accent1" w:themeFillTint="66"/>
            <w:vAlign w:val="center"/>
          </w:tcPr>
          <w:p w14:paraId="5CDFDC06"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Mesures d’atténuation</w:t>
            </w:r>
          </w:p>
        </w:tc>
        <w:tc>
          <w:tcPr>
            <w:tcW w:w="2268" w:type="dxa"/>
            <w:vMerge w:val="restart"/>
            <w:tcBorders>
              <w:top w:val="single" w:sz="4" w:space="0" w:color="auto"/>
              <w:left w:val="single" w:sz="4" w:space="0" w:color="auto"/>
              <w:bottom w:val="single" w:sz="12" w:space="0" w:color="A8D08D"/>
              <w:right w:val="single" w:sz="4" w:space="0" w:color="auto"/>
            </w:tcBorders>
            <w:shd w:val="clear" w:color="auto" w:fill="BDD6EE" w:themeFill="accent1" w:themeFillTint="66"/>
            <w:vAlign w:val="center"/>
            <w:hideMark/>
          </w:tcPr>
          <w:p w14:paraId="1308AFD8"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Indicateurs de suivi</w:t>
            </w:r>
          </w:p>
        </w:tc>
        <w:tc>
          <w:tcPr>
            <w:tcW w:w="4961"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F4EA6E4"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Responsabilité</w:t>
            </w:r>
          </w:p>
        </w:tc>
        <w:tc>
          <w:tcPr>
            <w:tcW w:w="1418" w:type="dxa"/>
            <w:vMerge w:val="restart"/>
            <w:tcBorders>
              <w:top w:val="single" w:sz="4" w:space="0" w:color="auto"/>
              <w:left w:val="single" w:sz="4" w:space="0" w:color="auto"/>
              <w:bottom w:val="single" w:sz="12" w:space="0" w:color="A8D08D"/>
              <w:right w:val="single" w:sz="4" w:space="0" w:color="auto"/>
            </w:tcBorders>
            <w:shd w:val="clear" w:color="auto" w:fill="BDD6EE" w:themeFill="accent1" w:themeFillTint="66"/>
            <w:vAlign w:val="center"/>
            <w:hideMark/>
          </w:tcPr>
          <w:p w14:paraId="1765663A"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Origine du financement</w:t>
            </w:r>
          </w:p>
        </w:tc>
      </w:tr>
      <w:tr w:rsidR="00570E16" w:rsidRPr="009B46E2" w14:paraId="6A6D9EDB" w14:textId="77777777" w:rsidTr="00E255EE">
        <w:trPr>
          <w:trHeight w:val="34"/>
          <w:tblHeader/>
        </w:trPr>
        <w:tc>
          <w:tcPr>
            <w:tcW w:w="1389" w:type="dxa"/>
            <w:vMerge/>
            <w:tcBorders>
              <w:top w:val="single" w:sz="4" w:space="0" w:color="auto"/>
              <w:left w:val="single" w:sz="4" w:space="0" w:color="auto"/>
              <w:bottom w:val="single" w:sz="12" w:space="0" w:color="A8D08D"/>
              <w:right w:val="single" w:sz="4" w:space="0" w:color="auto"/>
            </w:tcBorders>
            <w:shd w:val="clear" w:color="auto" w:fill="FFE599" w:themeFill="accent4" w:themeFillTint="66"/>
            <w:vAlign w:val="center"/>
            <w:hideMark/>
          </w:tcPr>
          <w:p w14:paraId="74C9A999" w14:textId="77777777" w:rsidR="00570E16" w:rsidRPr="0097258B" w:rsidRDefault="00570E16" w:rsidP="00E255EE">
            <w:pPr>
              <w:spacing w:after="0" w:line="240" w:lineRule="auto"/>
              <w:rPr>
                <w:rFonts w:ascii="Times New Roman" w:eastAsia="Times New Roman" w:hAnsi="Times New Roman"/>
                <w:b/>
                <w:bCs/>
                <w:color w:val="000000" w:themeColor="text1"/>
                <w:sz w:val="20"/>
                <w:szCs w:val="20"/>
                <w:lang w:eastAsia="fr-FR"/>
              </w:rPr>
            </w:pPr>
          </w:p>
        </w:tc>
        <w:tc>
          <w:tcPr>
            <w:tcW w:w="1447" w:type="dxa"/>
            <w:vMerge/>
            <w:tcBorders>
              <w:top w:val="single" w:sz="4" w:space="0" w:color="auto"/>
              <w:left w:val="single" w:sz="4" w:space="0" w:color="auto"/>
              <w:bottom w:val="single" w:sz="12" w:space="0" w:color="A8D08D"/>
              <w:right w:val="single" w:sz="4" w:space="0" w:color="auto"/>
            </w:tcBorders>
            <w:shd w:val="clear" w:color="auto" w:fill="FFE599" w:themeFill="accent4" w:themeFillTint="66"/>
            <w:vAlign w:val="center"/>
            <w:hideMark/>
          </w:tcPr>
          <w:p w14:paraId="777C35DC" w14:textId="77777777" w:rsidR="00570E16" w:rsidRPr="0097258B" w:rsidRDefault="00570E16" w:rsidP="00E255EE">
            <w:pPr>
              <w:spacing w:after="0" w:line="240" w:lineRule="auto"/>
              <w:rPr>
                <w:rFonts w:ascii="Times New Roman" w:eastAsia="Times New Roman" w:hAnsi="Times New Roman"/>
                <w:b/>
                <w:bCs/>
                <w:color w:val="000000" w:themeColor="text1"/>
                <w:sz w:val="20"/>
                <w:szCs w:val="20"/>
                <w:lang w:eastAsia="fr-FR"/>
              </w:rPr>
            </w:pPr>
          </w:p>
        </w:tc>
        <w:tc>
          <w:tcPr>
            <w:tcW w:w="3496" w:type="dxa"/>
            <w:vMerge/>
            <w:tcBorders>
              <w:top w:val="single" w:sz="4" w:space="0" w:color="auto"/>
              <w:left w:val="single" w:sz="4" w:space="0" w:color="auto"/>
              <w:bottom w:val="single" w:sz="12" w:space="0" w:color="A8D08D"/>
              <w:right w:val="single" w:sz="4" w:space="0" w:color="auto"/>
            </w:tcBorders>
            <w:shd w:val="clear" w:color="auto" w:fill="FFE599" w:themeFill="accent4" w:themeFillTint="66"/>
            <w:vAlign w:val="center"/>
            <w:hideMark/>
          </w:tcPr>
          <w:p w14:paraId="732B2CAF" w14:textId="77777777" w:rsidR="00570E16" w:rsidRPr="0097258B" w:rsidRDefault="00570E16" w:rsidP="00E255EE">
            <w:pPr>
              <w:spacing w:after="0" w:line="240" w:lineRule="auto"/>
              <w:rPr>
                <w:rFonts w:ascii="Times New Roman" w:eastAsia="Times New Roman" w:hAnsi="Times New Roman"/>
                <w:b/>
                <w:bCs/>
                <w:color w:val="000000" w:themeColor="text1"/>
                <w:sz w:val="20"/>
                <w:szCs w:val="20"/>
                <w:lang w:eastAsia="fr-FR"/>
              </w:rPr>
            </w:pPr>
          </w:p>
        </w:tc>
        <w:tc>
          <w:tcPr>
            <w:tcW w:w="2268" w:type="dxa"/>
            <w:vMerge/>
            <w:tcBorders>
              <w:top w:val="single" w:sz="4" w:space="0" w:color="auto"/>
              <w:left w:val="single" w:sz="4" w:space="0" w:color="auto"/>
              <w:bottom w:val="single" w:sz="12" w:space="0" w:color="A8D08D"/>
              <w:right w:val="single" w:sz="4" w:space="0" w:color="auto"/>
            </w:tcBorders>
            <w:shd w:val="clear" w:color="auto" w:fill="FFE599" w:themeFill="accent4" w:themeFillTint="66"/>
            <w:vAlign w:val="center"/>
            <w:hideMark/>
          </w:tcPr>
          <w:p w14:paraId="5A5E27D7" w14:textId="77777777" w:rsidR="00570E16" w:rsidRPr="0097258B" w:rsidRDefault="00570E16" w:rsidP="00E255EE">
            <w:pPr>
              <w:spacing w:after="0" w:line="240" w:lineRule="auto"/>
              <w:rPr>
                <w:rFonts w:ascii="Times New Roman" w:eastAsia="Times New Roman" w:hAnsi="Times New Roman"/>
                <w:b/>
                <w:bCs/>
                <w:color w:val="000000" w:themeColor="text1"/>
                <w:sz w:val="20"/>
                <w:szCs w:val="20"/>
                <w:lang w:eastAsia="fr-FR"/>
              </w:rPr>
            </w:pPr>
          </w:p>
        </w:tc>
        <w:tc>
          <w:tcPr>
            <w:tcW w:w="1134" w:type="dxa"/>
            <w:tcBorders>
              <w:top w:val="single" w:sz="4" w:space="0" w:color="auto"/>
              <w:left w:val="single" w:sz="4" w:space="0" w:color="auto"/>
              <w:bottom w:val="single" w:sz="12" w:space="0" w:color="A8D08D"/>
              <w:right w:val="single" w:sz="4" w:space="0" w:color="auto"/>
            </w:tcBorders>
            <w:shd w:val="clear" w:color="auto" w:fill="BDD6EE" w:themeFill="accent1" w:themeFillTint="66"/>
            <w:vAlign w:val="center"/>
            <w:hideMark/>
          </w:tcPr>
          <w:p w14:paraId="692B3D18"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Mise en œuvre</w:t>
            </w:r>
          </w:p>
        </w:tc>
        <w:tc>
          <w:tcPr>
            <w:tcW w:w="1389" w:type="dxa"/>
            <w:tcBorders>
              <w:top w:val="single" w:sz="4" w:space="0" w:color="auto"/>
              <w:left w:val="single" w:sz="4" w:space="0" w:color="auto"/>
              <w:bottom w:val="single" w:sz="12" w:space="0" w:color="A8D08D"/>
              <w:right w:val="single" w:sz="4" w:space="0" w:color="auto"/>
            </w:tcBorders>
            <w:shd w:val="clear" w:color="auto" w:fill="BDD6EE" w:themeFill="accent1" w:themeFillTint="66"/>
            <w:vAlign w:val="center"/>
            <w:hideMark/>
          </w:tcPr>
          <w:p w14:paraId="3AD3A154"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Supervision</w:t>
            </w:r>
          </w:p>
        </w:tc>
        <w:tc>
          <w:tcPr>
            <w:tcW w:w="1417" w:type="dxa"/>
            <w:tcBorders>
              <w:top w:val="single" w:sz="4" w:space="0" w:color="auto"/>
              <w:left w:val="single" w:sz="4" w:space="0" w:color="auto"/>
              <w:bottom w:val="single" w:sz="12" w:space="0" w:color="A8D08D"/>
              <w:right w:val="single" w:sz="4" w:space="0" w:color="auto"/>
            </w:tcBorders>
            <w:shd w:val="clear" w:color="auto" w:fill="BDD6EE" w:themeFill="accent1" w:themeFillTint="66"/>
            <w:vAlign w:val="center"/>
            <w:hideMark/>
          </w:tcPr>
          <w:p w14:paraId="63E0E4A9"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Surveillance</w:t>
            </w:r>
          </w:p>
        </w:tc>
        <w:tc>
          <w:tcPr>
            <w:tcW w:w="1021" w:type="dxa"/>
            <w:tcBorders>
              <w:top w:val="single" w:sz="4" w:space="0" w:color="auto"/>
              <w:left w:val="single" w:sz="4" w:space="0" w:color="auto"/>
              <w:bottom w:val="single" w:sz="12" w:space="0" w:color="A8D08D"/>
              <w:right w:val="single" w:sz="4" w:space="0" w:color="auto"/>
            </w:tcBorders>
            <w:shd w:val="clear" w:color="auto" w:fill="BDD6EE" w:themeFill="accent1" w:themeFillTint="66"/>
            <w:vAlign w:val="center"/>
            <w:hideMark/>
          </w:tcPr>
          <w:p w14:paraId="45B11CBB"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Suivi</w:t>
            </w:r>
          </w:p>
        </w:tc>
        <w:tc>
          <w:tcPr>
            <w:tcW w:w="1418" w:type="dxa"/>
            <w:vMerge/>
            <w:tcBorders>
              <w:top w:val="single" w:sz="4" w:space="0" w:color="auto"/>
              <w:left w:val="single" w:sz="4" w:space="0" w:color="auto"/>
              <w:bottom w:val="single" w:sz="12" w:space="0" w:color="A8D08D"/>
              <w:right w:val="single" w:sz="4" w:space="0" w:color="auto"/>
            </w:tcBorders>
            <w:shd w:val="clear" w:color="auto" w:fill="FFE599" w:themeFill="accent4" w:themeFillTint="66"/>
            <w:vAlign w:val="center"/>
            <w:hideMark/>
          </w:tcPr>
          <w:p w14:paraId="36A81D02" w14:textId="77777777" w:rsidR="00570E16" w:rsidRPr="0097258B" w:rsidRDefault="00570E16" w:rsidP="00E255EE">
            <w:pPr>
              <w:spacing w:after="0" w:line="240" w:lineRule="auto"/>
              <w:rPr>
                <w:rFonts w:ascii="Times New Roman" w:eastAsia="Times New Roman" w:hAnsi="Times New Roman"/>
                <w:b/>
                <w:bCs/>
                <w:color w:val="000000" w:themeColor="text1"/>
                <w:sz w:val="20"/>
                <w:szCs w:val="20"/>
                <w:lang w:eastAsia="fr-FR"/>
              </w:rPr>
            </w:pPr>
          </w:p>
        </w:tc>
      </w:tr>
      <w:tr w:rsidR="00570E16" w:rsidRPr="009B46E2" w14:paraId="6C0657E8" w14:textId="77777777" w:rsidTr="00E255EE">
        <w:tc>
          <w:tcPr>
            <w:tcW w:w="1389" w:type="dxa"/>
            <w:vMerge w:val="restart"/>
            <w:tcBorders>
              <w:top w:val="single" w:sz="4" w:space="0" w:color="auto"/>
              <w:left w:val="single" w:sz="4" w:space="0" w:color="auto"/>
              <w:right w:val="single" w:sz="4" w:space="0" w:color="auto"/>
            </w:tcBorders>
            <w:vAlign w:val="center"/>
            <w:hideMark/>
          </w:tcPr>
          <w:p w14:paraId="0A741C31"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Biophysique</w:t>
            </w:r>
          </w:p>
        </w:tc>
        <w:tc>
          <w:tcPr>
            <w:tcW w:w="1447" w:type="dxa"/>
            <w:tcBorders>
              <w:top w:val="single" w:sz="4" w:space="0" w:color="auto"/>
              <w:left w:val="single" w:sz="4" w:space="0" w:color="auto"/>
              <w:bottom w:val="single" w:sz="4" w:space="0" w:color="auto"/>
              <w:right w:val="single" w:sz="4" w:space="0" w:color="auto"/>
            </w:tcBorders>
            <w:vAlign w:val="center"/>
            <w:hideMark/>
          </w:tcPr>
          <w:p w14:paraId="236A351B"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Perturbation de la biodiversité au niveau des zones de rejet</w:t>
            </w:r>
          </w:p>
        </w:tc>
        <w:tc>
          <w:tcPr>
            <w:tcW w:w="3496" w:type="dxa"/>
            <w:tcBorders>
              <w:top w:val="single" w:sz="4" w:space="0" w:color="auto"/>
              <w:left w:val="single" w:sz="4" w:space="0" w:color="auto"/>
              <w:bottom w:val="single" w:sz="4" w:space="0" w:color="auto"/>
              <w:right w:val="single" w:sz="4" w:space="0" w:color="auto"/>
            </w:tcBorders>
            <w:vAlign w:val="center"/>
            <w:hideMark/>
          </w:tcPr>
          <w:p w14:paraId="3C841437"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Mettre en place des dispositifs de retenue des déchets solides</w:t>
            </w:r>
          </w:p>
          <w:p w14:paraId="32085FCB"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Assurer un entretien régulier des bassins</w:t>
            </w:r>
          </w:p>
          <w:p w14:paraId="064FB21C"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Interdire formellement le déversement de déchets solides et liquides dans les bassins et les canaux de drainage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A709AF6"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d’analyses de qualité des eaux réalisées</w:t>
            </w:r>
          </w:p>
          <w:p w14:paraId="0CF5B174"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de conformité des rejets par rapport à la norme NS 05 062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A559B3"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p w14:paraId="0A6F0877"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ONAS</w:t>
            </w:r>
          </w:p>
        </w:tc>
        <w:tc>
          <w:tcPr>
            <w:tcW w:w="1389" w:type="dxa"/>
            <w:tcBorders>
              <w:top w:val="single" w:sz="4" w:space="0" w:color="auto"/>
              <w:left w:val="single" w:sz="4" w:space="0" w:color="auto"/>
              <w:bottom w:val="single" w:sz="4" w:space="0" w:color="auto"/>
              <w:right w:val="single" w:sz="4" w:space="0" w:color="auto"/>
            </w:tcBorders>
            <w:vAlign w:val="center"/>
            <w:hideMark/>
          </w:tcPr>
          <w:p w14:paraId="60A467F0"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ADM </w:t>
            </w:r>
          </w:p>
          <w:p w14:paraId="1E34508F"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roofErr w:type="spellStart"/>
            <w:r w:rsidRPr="0097258B">
              <w:rPr>
                <w:rFonts w:ascii="Times New Roman" w:eastAsia="Times New Roman" w:hAnsi="Times New Roman"/>
                <w:color w:val="000000" w:themeColor="text1"/>
                <w:sz w:val="20"/>
                <w:szCs w:val="20"/>
                <w:lang w:eastAsia="fr-FR"/>
              </w:rPr>
              <w:t>MdC</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580346C7"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p w14:paraId="10BF2F6A"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ONAS</w:t>
            </w:r>
          </w:p>
          <w:p w14:paraId="118AB74C"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roofErr w:type="spellStart"/>
            <w:r w:rsidRPr="0097258B">
              <w:rPr>
                <w:rFonts w:ascii="Times New Roman" w:eastAsia="Times New Roman" w:hAnsi="Times New Roman"/>
                <w:color w:val="000000" w:themeColor="text1"/>
                <w:sz w:val="20"/>
                <w:szCs w:val="20"/>
                <w:lang w:eastAsia="fr-FR"/>
              </w:rPr>
              <w:t>MdC</w:t>
            </w:r>
            <w:proofErr w:type="spellEnd"/>
          </w:p>
          <w:p w14:paraId="11A6A485"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tc>
        <w:tc>
          <w:tcPr>
            <w:tcW w:w="1021" w:type="dxa"/>
            <w:tcBorders>
              <w:top w:val="single" w:sz="4" w:space="0" w:color="auto"/>
              <w:left w:val="single" w:sz="4" w:space="0" w:color="auto"/>
              <w:bottom w:val="single" w:sz="4" w:space="0" w:color="auto"/>
              <w:right w:val="single" w:sz="4" w:space="0" w:color="auto"/>
            </w:tcBorders>
            <w:vAlign w:val="center"/>
            <w:hideMark/>
          </w:tcPr>
          <w:p w14:paraId="410247DA"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CRSE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F8B3F41"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Budget d’entretien des ouvrages (ONAS/ADM)</w:t>
            </w:r>
          </w:p>
        </w:tc>
      </w:tr>
      <w:tr w:rsidR="00570E16" w:rsidRPr="009B46E2" w14:paraId="794798BB" w14:textId="77777777" w:rsidTr="00E255EE">
        <w:tc>
          <w:tcPr>
            <w:tcW w:w="1389" w:type="dxa"/>
            <w:vMerge/>
            <w:tcBorders>
              <w:left w:val="single" w:sz="4" w:space="0" w:color="auto"/>
              <w:bottom w:val="single" w:sz="4" w:space="0" w:color="auto"/>
              <w:right w:val="single" w:sz="4" w:space="0" w:color="auto"/>
            </w:tcBorders>
            <w:vAlign w:val="center"/>
          </w:tcPr>
          <w:p w14:paraId="4A67616E"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p>
        </w:tc>
        <w:tc>
          <w:tcPr>
            <w:tcW w:w="1447" w:type="dxa"/>
            <w:tcBorders>
              <w:top w:val="single" w:sz="4" w:space="0" w:color="auto"/>
              <w:left w:val="single" w:sz="4" w:space="0" w:color="auto"/>
              <w:bottom w:val="single" w:sz="4" w:space="0" w:color="auto"/>
              <w:right w:val="single" w:sz="4" w:space="0" w:color="auto"/>
            </w:tcBorders>
            <w:vAlign w:val="center"/>
          </w:tcPr>
          <w:p w14:paraId="7B11A66E"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Pollution du marigot de Mbao </w:t>
            </w:r>
          </w:p>
        </w:tc>
        <w:tc>
          <w:tcPr>
            <w:tcW w:w="3496" w:type="dxa"/>
            <w:tcBorders>
              <w:top w:val="single" w:sz="4" w:space="0" w:color="auto"/>
              <w:left w:val="single" w:sz="4" w:space="0" w:color="auto"/>
              <w:bottom w:val="single" w:sz="4" w:space="0" w:color="auto"/>
              <w:right w:val="single" w:sz="4" w:space="0" w:color="auto"/>
            </w:tcBorders>
            <w:vAlign w:val="center"/>
          </w:tcPr>
          <w:p w14:paraId="6F2AB242"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Assurer l’entretien et la maintenance régulière des ouvrages </w:t>
            </w:r>
          </w:p>
          <w:p w14:paraId="5405882F"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Engager le COLIGEP dans la surveillance et le contrôle des ouvrages dans le cadre de la lutte contre toutes les formes de rejets de déchets et d’eaux usées (huiles de vidange de véhicules, eaux usées domestiques, etc.) de la part des populations</w:t>
            </w:r>
          </w:p>
          <w:p w14:paraId="734656CD"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Sensibiliser les populations sur le déversement de déchets au niveau des bassins</w:t>
            </w:r>
          </w:p>
          <w:p w14:paraId="6C7CED9B"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Sensibiliser les populations sur le piratage des réseaux pour le déversement d’eaux usées dans les caniveaux et bassins</w:t>
            </w:r>
          </w:p>
          <w:p w14:paraId="0FB44C2C"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Réaliser des analyses régulières (semestrielles) de la qualité de l’eau au niveau du marigot de Mbao </w:t>
            </w:r>
          </w:p>
          <w:p w14:paraId="12DAE703"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Suivi des eaux du marigot de Mbao </w:t>
            </w:r>
          </w:p>
        </w:tc>
        <w:tc>
          <w:tcPr>
            <w:tcW w:w="2268" w:type="dxa"/>
            <w:tcBorders>
              <w:top w:val="single" w:sz="4" w:space="0" w:color="auto"/>
              <w:left w:val="single" w:sz="4" w:space="0" w:color="auto"/>
              <w:bottom w:val="single" w:sz="4" w:space="0" w:color="auto"/>
              <w:right w:val="single" w:sz="4" w:space="0" w:color="auto"/>
            </w:tcBorders>
            <w:vAlign w:val="center"/>
          </w:tcPr>
          <w:p w14:paraId="72DD2C50"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mesures de la qualité des eaux par rapport aux normes admises (avant-durant et après projet) effectuées</w:t>
            </w:r>
          </w:p>
          <w:p w14:paraId="29F9EB2E"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cas de pollution des eaux ou de déversement de polluants sur les plans d’eau enregistrés</w:t>
            </w:r>
          </w:p>
          <w:p w14:paraId="73C00FC3"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d’activités de sensibilisation réalisées</w:t>
            </w:r>
          </w:p>
        </w:tc>
        <w:tc>
          <w:tcPr>
            <w:tcW w:w="1134" w:type="dxa"/>
            <w:tcBorders>
              <w:top w:val="single" w:sz="4" w:space="0" w:color="auto"/>
              <w:left w:val="single" w:sz="4" w:space="0" w:color="auto"/>
              <w:bottom w:val="single" w:sz="4" w:space="0" w:color="auto"/>
              <w:right w:val="single" w:sz="4" w:space="0" w:color="auto"/>
            </w:tcBorders>
            <w:vAlign w:val="center"/>
          </w:tcPr>
          <w:p w14:paraId="2A2993B1"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p w14:paraId="1813BDB4"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ONAS</w:t>
            </w:r>
          </w:p>
          <w:p w14:paraId="4861520B"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DGPRE</w:t>
            </w:r>
          </w:p>
        </w:tc>
        <w:tc>
          <w:tcPr>
            <w:tcW w:w="1389" w:type="dxa"/>
            <w:tcBorders>
              <w:top w:val="single" w:sz="4" w:space="0" w:color="auto"/>
              <w:left w:val="single" w:sz="4" w:space="0" w:color="auto"/>
              <w:bottom w:val="single" w:sz="4" w:space="0" w:color="auto"/>
              <w:right w:val="single" w:sz="4" w:space="0" w:color="auto"/>
            </w:tcBorders>
            <w:vAlign w:val="center"/>
          </w:tcPr>
          <w:p w14:paraId="58955DEA"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ADM </w:t>
            </w:r>
          </w:p>
          <w:p w14:paraId="7540C5C0"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roofErr w:type="spellStart"/>
            <w:r w:rsidRPr="0097258B">
              <w:rPr>
                <w:rFonts w:ascii="Times New Roman" w:eastAsia="Times New Roman" w:hAnsi="Times New Roman"/>
                <w:color w:val="000000" w:themeColor="text1"/>
                <w:sz w:val="20"/>
                <w:szCs w:val="20"/>
                <w:lang w:eastAsia="fr-FR"/>
              </w:rPr>
              <w:t>MdC</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50EF5E98"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p w14:paraId="0A0CD333"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ONAS</w:t>
            </w:r>
          </w:p>
          <w:p w14:paraId="290F072C"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roofErr w:type="spellStart"/>
            <w:r w:rsidRPr="0097258B">
              <w:rPr>
                <w:rFonts w:ascii="Times New Roman" w:eastAsia="Times New Roman" w:hAnsi="Times New Roman"/>
                <w:color w:val="000000" w:themeColor="text1"/>
                <w:sz w:val="20"/>
                <w:szCs w:val="20"/>
                <w:lang w:eastAsia="fr-FR"/>
              </w:rPr>
              <w:t>MdC</w:t>
            </w:r>
            <w:proofErr w:type="spellEnd"/>
          </w:p>
          <w:p w14:paraId="4092ECF0"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tc>
        <w:tc>
          <w:tcPr>
            <w:tcW w:w="1021" w:type="dxa"/>
            <w:tcBorders>
              <w:top w:val="single" w:sz="4" w:space="0" w:color="auto"/>
              <w:left w:val="single" w:sz="4" w:space="0" w:color="auto"/>
              <w:bottom w:val="single" w:sz="4" w:space="0" w:color="auto"/>
              <w:right w:val="single" w:sz="4" w:space="0" w:color="auto"/>
            </w:tcBorders>
            <w:vAlign w:val="center"/>
          </w:tcPr>
          <w:p w14:paraId="5F9897BD"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CRSE</w:t>
            </w:r>
          </w:p>
        </w:tc>
        <w:tc>
          <w:tcPr>
            <w:tcW w:w="1418" w:type="dxa"/>
            <w:tcBorders>
              <w:top w:val="single" w:sz="4" w:space="0" w:color="auto"/>
              <w:left w:val="single" w:sz="4" w:space="0" w:color="auto"/>
              <w:bottom w:val="single" w:sz="4" w:space="0" w:color="auto"/>
              <w:right w:val="single" w:sz="4" w:space="0" w:color="auto"/>
            </w:tcBorders>
            <w:vAlign w:val="center"/>
          </w:tcPr>
          <w:p w14:paraId="7C0224B8"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PM</w:t>
            </w:r>
          </w:p>
        </w:tc>
      </w:tr>
      <w:tr w:rsidR="00570E16" w:rsidRPr="009B46E2" w14:paraId="3F1365C0" w14:textId="77777777" w:rsidTr="00E255EE">
        <w:tc>
          <w:tcPr>
            <w:tcW w:w="1389" w:type="dxa"/>
            <w:vMerge/>
            <w:tcBorders>
              <w:left w:val="single" w:sz="4" w:space="0" w:color="auto"/>
              <w:bottom w:val="single" w:sz="4" w:space="0" w:color="auto"/>
              <w:right w:val="single" w:sz="4" w:space="0" w:color="auto"/>
            </w:tcBorders>
            <w:vAlign w:val="center"/>
          </w:tcPr>
          <w:p w14:paraId="4ABB41BB"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p>
        </w:tc>
        <w:tc>
          <w:tcPr>
            <w:tcW w:w="1447" w:type="dxa"/>
            <w:tcBorders>
              <w:top w:val="single" w:sz="4" w:space="0" w:color="auto"/>
              <w:left w:val="single" w:sz="4" w:space="0" w:color="auto"/>
              <w:bottom w:val="single" w:sz="4" w:space="0" w:color="auto"/>
              <w:right w:val="single" w:sz="4" w:space="0" w:color="auto"/>
            </w:tcBorders>
            <w:vAlign w:val="center"/>
          </w:tcPr>
          <w:p w14:paraId="0CD59042"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Pollution des sols (entretien des ouvrages)</w:t>
            </w:r>
          </w:p>
        </w:tc>
        <w:tc>
          <w:tcPr>
            <w:tcW w:w="3496" w:type="dxa"/>
            <w:tcBorders>
              <w:top w:val="single" w:sz="4" w:space="0" w:color="auto"/>
              <w:left w:val="single" w:sz="4" w:space="0" w:color="auto"/>
              <w:bottom w:val="single" w:sz="4" w:space="0" w:color="auto"/>
              <w:right w:val="single" w:sz="4" w:space="0" w:color="auto"/>
            </w:tcBorders>
            <w:vAlign w:val="center"/>
          </w:tcPr>
          <w:p w14:paraId="780BE7F9"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Collecter les déchets d’entretien (curage) ;</w:t>
            </w:r>
          </w:p>
          <w:p w14:paraId="7BCF3DE7"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Évacuer les déchets d’entretien vers une décharge autorisée</w:t>
            </w:r>
          </w:p>
        </w:tc>
        <w:tc>
          <w:tcPr>
            <w:tcW w:w="2268" w:type="dxa"/>
            <w:tcBorders>
              <w:top w:val="single" w:sz="4" w:space="0" w:color="auto"/>
              <w:left w:val="single" w:sz="4" w:space="0" w:color="auto"/>
              <w:bottom w:val="single" w:sz="4" w:space="0" w:color="auto"/>
              <w:right w:val="single" w:sz="4" w:space="0" w:color="auto"/>
            </w:tcBorders>
            <w:vAlign w:val="center"/>
          </w:tcPr>
          <w:p w14:paraId="5886D043"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Quantité ou % de boues de curage évacué vers une décharge autorisée </w:t>
            </w:r>
          </w:p>
          <w:p w14:paraId="46F0723B"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lastRenderedPageBreak/>
              <w:t xml:space="preserve">Fréquence d’entretien des ouvrages </w:t>
            </w:r>
          </w:p>
        </w:tc>
        <w:tc>
          <w:tcPr>
            <w:tcW w:w="1134" w:type="dxa"/>
            <w:tcBorders>
              <w:top w:val="single" w:sz="4" w:space="0" w:color="auto"/>
              <w:left w:val="single" w:sz="4" w:space="0" w:color="auto"/>
              <w:bottom w:val="single" w:sz="4" w:space="0" w:color="auto"/>
              <w:right w:val="single" w:sz="4" w:space="0" w:color="auto"/>
            </w:tcBorders>
            <w:vAlign w:val="center"/>
          </w:tcPr>
          <w:p w14:paraId="115B1DC0"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lastRenderedPageBreak/>
              <w:t>ADM</w:t>
            </w:r>
          </w:p>
          <w:p w14:paraId="6F90F9D5"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ONAS</w:t>
            </w:r>
          </w:p>
        </w:tc>
        <w:tc>
          <w:tcPr>
            <w:tcW w:w="1389" w:type="dxa"/>
            <w:tcBorders>
              <w:top w:val="single" w:sz="4" w:space="0" w:color="auto"/>
              <w:left w:val="single" w:sz="4" w:space="0" w:color="auto"/>
              <w:bottom w:val="single" w:sz="4" w:space="0" w:color="auto"/>
              <w:right w:val="single" w:sz="4" w:space="0" w:color="auto"/>
            </w:tcBorders>
            <w:vAlign w:val="center"/>
          </w:tcPr>
          <w:p w14:paraId="27CD4B3A"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ADM </w:t>
            </w:r>
          </w:p>
          <w:p w14:paraId="09CBCAAA"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roofErr w:type="spellStart"/>
            <w:r w:rsidRPr="0097258B">
              <w:rPr>
                <w:rFonts w:ascii="Times New Roman" w:eastAsia="Times New Roman" w:hAnsi="Times New Roman"/>
                <w:color w:val="000000" w:themeColor="text1"/>
                <w:sz w:val="20"/>
                <w:szCs w:val="20"/>
                <w:lang w:eastAsia="fr-FR"/>
              </w:rPr>
              <w:t>MdC</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6A2A8005"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p w14:paraId="7B7E3CB8"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ONAS</w:t>
            </w:r>
          </w:p>
          <w:p w14:paraId="34EC572E"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roofErr w:type="spellStart"/>
            <w:r w:rsidRPr="0097258B">
              <w:rPr>
                <w:rFonts w:ascii="Times New Roman" w:eastAsia="Times New Roman" w:hAnsi="Times New Roman"/>
                <w:color w:val="000000" w:themeColor="text1"/>
                <w:sz w:val="20"/>
                <w:szCs w:val="20"/>
                <w:lang w:eastAsia="fr-FR"/>
              </w:rPr>
              <w:t>MdC</w:t>
            </w:r>
            <w:proofErr w:type="spellEnd"/>
          </w:p>
          <w:p w14:paraId="69D94E9C"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tc>
        <w:tc>
          <w:tcPr>
            <w:tcW w:w="1021" w:type="dxa"/>
            <w:tcBorders>
              <w:top w:val="single" w:sz="4" w:space="0" w:color="auto"/>
              <w:left w:val="single" w:sz="4" w:space="0" w:color="auto"/>
              <w:bottom w:val="single" w:sz="4" w:space="0" w:color="auto"/>
              <w:right w:val="single" w:sz="4" w:space="0" w:color="auto"/>
            </w:tcBorders>
            <w:vAlign w:val="center"/>
          </w:tcPr>
          <w:p w14:paraId="50A99AC6"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CRSE</w:t>
            </w:r>
          </w:p>
        </w:tc>
        <w:tc>
          <w:tcPr>
            <w:tcW w:w="1418" w:type="dxa"/>
            <w:tcBorders>
              <w:top w:val="single" w:sz="4" w:space="0" w:color="auto"/>
              <w:left w:val="single" w:sz="4" w:space="0" w:color="auto"/>
              <w:bottom w:val="single" w:sz="4" w:space="0" w:color="auto"/>
              <w:right w:val="single" w:sz="4" w:space="0" w:color="auto"/>
            </w:tcBorders>
            <w:vAlign w:val="center"/>
          </w:tcPr>
          <w:p w14:paraId="15A3918C"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Budget d’entretien des ouvrages (ONAS/ADM)</w:t>
            </w:r>
          </w:p>
        </w:tc>
      </w:tr>
      <w:tr w:rsidR="00570E16" w:rsidRPr="009B46E2" w14:paraId="0EA92169" w14:textId="77777777" w:rsidTr="00E255EE">
        <w:tc>
          <w:tcPr>
            <w:tcW w:w="1389" w:type="dxa"/>
            <w:vMerge w:val="restart"/>
            <w:tcBorders>
              <w:top w:val="single" w:sz="4" w:space="0" w:color="auto"/>
              <w:left w:val="single" w:sz="4" w:space="0" w:color="auto"/>
              <w:bottom w:val="single" w:sz="4" w:space="0" w:color="auto"/>
              <w:right w:val="single" w:sz="4" w:space="0" w:color="auto"/>
            </w:tcBorders>
            <w:vAlign w:val="center"/>
            <w:hideMark/>
          </w:tcPr>
          <w:p w14:paraId="663351F0"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Qualité des eaux</w:t>
            </w:r>
          </w:p>
        </w:tc>
        <w:tc>
          <w:tcPr>
            <w:tcW w:w="1447" w:type="dxa"/>
            <w:tcBorders>
              <w:top w:val="single" w:sz="4" w:space="0" w:color="auto"/>
              <w:left w:val="single" w:sz="4" w:space="0" w:color="auto"/>
              <w:bottom w:val="single" w:sz="4" w:space="0" w:color="auto"/>
              <w:right w:val="single" w:sz="4" w:space="0" w:color="auto"/>
            </w:tcBorders>
            <w:vAlign w:val="center"/>
            <w:hideMark/>
          </w:tcPr>
          <w:p w14:paraId="59DB4033"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Piratage des réseaux et apports d’eaux usées</w:t>
            </w:r>
          </w:p>
        </w:tc>
        <w:tc>
          <w:tcPr>
            <w:tcW w:w="3496" w:type="dxa"/>
            <w:tcBorders>
              <w:top w:val="single" w:sz="4" w:space="0" w:color="auto"/>
              <w:left w:val="single" w:sz="4" w:space="0" w:color="auto"/>
              <w:bottom w:val="single" w:sz="4" w:space="0" w:color="auto"/>
              <w:right w:val="single" w:sz="4" w:space="0" w:color="auto"/>
            </w:tcBorders>
            <w:vAlign w:val="center"/>
            <w:hideMark/>
          </w:tcPr>
          <w:p w14:paraId="4B3AC077"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Sensibiliser les populations locales sur la préservation des ouvrages</w:t>
            </w:r>
          </w:p>
          <w:p w14:paraId="27F66A33"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Surveiller les ouvrages pour repérer d’éventuels piratages du réseau</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354FF9E"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séances de sensibilisation sur la préservation des ouvrages</w:t>
            </w:r>
          </w:p>
          <w:p w14:paraId="5EDF291D"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d’activités de surveillance effectuées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3919C6"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p w14:paraId="539E8B68"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ONAS</w:t>
            </w:r>
          </w:p>
        </w:tc>
        <w:tc>
          <w:tcPr>
            <w:tcW w:w="1389" w:type="dxa"/>
            <w:tcBorders>
              <w:top w:val="single" w:sz="4" w:space="0" w:color="auto"/>
              <w:left w:val="single" w:sz="4" w:space="0" w:color="auto"/>
              <w:bottom w:val="single" w:sz="4" w:space="0" w:color="auto"/>
              <w:right w:val="single" w:sz="4" w:space="0" w:color="auto"/>
            </w:tcBorders>
            <w:vAlign w:val="center"/>
            <w:hideMark/>
          </w:tcPr>
          <w:p w14:paraId="045703C1"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ADM </w:t>
            </w:r>
          </w:p>
          <w:p w14:paraId="1937B6F7"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roofErr w:type="spellStart"/>
            <w:r w:rsidRPr="0097258B">
              <w:rPr>
                <w:rFonts w:ascii="Times New Roman" w:eastAsia="Times New Roman" w:hAnsi="Times New Roman"/>
                <w:color w:val="000000" w:themeColor="text1"/>
                <w:sz w:val="20"/>
                <w:szCs w:val="20"/>
                <w:lang w:eastAsia="fr-FR"/>
              </w:rPr>
              <w:t>MdC</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0972EFE2"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p w14:paraId="196975E3"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ONAS</w:t>
            </w:r>
          </w:p>
          <w:p w14:paraId="7DDC558F"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roofErr w:type="spellStart"/>
            <w:r w:rsidRPr="0097258B">
              <w:rPr>
                <w:rFonts w:ascii="Times New Roman" w:eastAsia="Times New Roman" w:hAnsi="Times New Roman"/>
                <w:color w:val="000000" w:themeColor="text1"/>
                <w:sz w:val="20"/>
                <w:szCs w:val="20"/>
                <w:lang w:eastAsia="fr-FR"/>
              </w:rPr>
              <w:t>MdC</w:t>
            </w:r>
            <w:proofErr w:type="spellEnd"/>
          </w:p>
          <w:p w14:paraId="08CB55D3"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tc>
        <w:tc>
          <w:tcPr>
            <w:tcW w:w="1021" w:type="dxa"/>
            <w:tcBorders>
              <w:top w:val="single" w:sz="4" w:space="0" w:color="auto"/>
              <w:left w:val="single" w:sz="4" w:space="0" w:color="auto"/>
              <w:bottom w:val="single" w:sz="4" w:space="0" w:color="auto"/>
              <w:right w:val="single" w:sz="4" w:space="0" w:color="auto"/>
            </w:tcBorders>
            <w:vAlign w:val="center"/>
            <w:hideMark/>
          </w:tcPr>
          <w:p w14:paraId="7BA83154"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CRSE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E794DC3" w14:textId="77777777" w:rsidR="00570E16" w:rsidRPr="0097258B" w:rsidRDefault="00570E16" w:rsidP="00E255EE">
            <w:pPr>
              <w:autoSpaceDE w:val="0"/>
              <w:autoSpaceDN w:val="0"/>
              <w:adjustRightInd w:val="0"/>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Budget d’entretien des ouvrages (ONAS/ADM)</w:t>
            </w:r>
          </w:p>
        </w:tc>
      </w:tr>
      <w:tr w:rsidR="00570E16" w:rsidRPr="009B46E2" w14:paraId="061D5CE1" w14:textId="77777777" w:rsidTr="00E255EE">
        <w:tc>
          <w:tcPr>
            <w:tcW w:w="1389" w:type="dxa"/>
            <w:vMerge/>
            <w:tcBorders>
              <w:top w:val="single" w:sz="4" w:space="0" w:color="auto"/>
              <w:left w:val="single" w:sz="4" w:space="0" w:color="auto"/>
              <w:bottom w:val="single" w:sz="4" w:space="0" w:color="auto"/>
              <w:right w:val="single" w:sz="4" w:space="0" w:color="auto"/>
            </w:tcBorders>
            <w:vAlign w:val="center"/>
            <w:hideMark/>
          </w:tcPr>
          <w:p w14:paraId="09737E75" w14:textId="77777777" w:rsidR="00570E16" w:rsidRPr="0097258B" w:rsidRDefault="00570E16" w:rsidP="00E255EE">
            <w:pPr>
              <w:spacing w:after="0" w:line="240" w:lineRule="auto"/>
              <w:rPr>
                <w:rFonts w:ascii="Times New Roman" w:eastAsia="Times New Roman" w:hAnsi="Times New Roman"/>
                <w:b/>
                <w:bCs/>
                <w:color w:val="000000" w:themeColor="text1"/>
                <w:sz w:val="20"/>
                <w:szCs w:val="20"/>
                <w:lang w:eastAsia="fr-FR"/>
              </w:rPr>
            </w:pPr>
          </w:p>
        </w:tc>
        <w:tc>
          <w:tcPr>
            <w:tcW w:w="1447" w:type="dxa"/>
            <w:tcBorders>
              <w:top w:val="single" w:sz="4" w:space="0" w:color="auto"/>
              <w:left w:val="single" w:sz="4" w:space="0" w:color="auto"/>
              <w:bottom w:val="single" w:sz="4" w:space="0" w:color="auto"/>
              <w:right w:val="single" w:sz="4" w:space="0" w:color="auto"/>
            </w:tcBorders>
            <w:vAlign w:val="center"/>
            <w:hideMark/>
          </w:tcPr>
          <w:p w14:paraId="2EC702A8"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Dégradation de la qualité des eaux</w:t>
            </w:r>
          </w:p>
        </w:tc>
        <w:tc>
          <w:tcPr>
            <w:tcW w:w="3496" w:type="dxa"/>
            <w:tcBorders>
              <w:top w:val="single" w:sz="4" w:space="0" w:color="auto"/>
              <w:left w:val="single" w:sz="4" w:space="0" w:color="auto"/>
              <w:bottom w:val="single" w:sz="4" w:space="0" w:color="auto"/>
              <w:right w:val="single" w:sz="4" w:space="0" w:color="auto"/>
            </w:tcBorders>
            <w:vAlign w:val="center"/>
            <w:hideMark/>
          </w:tcPr>
          <w:p w14:paraId="23BDAAB2"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Mettre en place des dispositifs de retenue des déchets solides</w:t>
            </w:r>
          </w:p>
          <w:p w14:paraId="3E4A22F7"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Mettre place des dispositifs d’alevinage au niveau des bassins</w:t>
            </w:r>
          </w:p>
          <w:p w14:paraId="3D2C2F54"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Suivi de la qualité des eaux (lac et bassins)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3207BEF"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cas de pollution déclaré</w:t>
            </w:r>
          </w:p>
          <w:p w14:paraId="703F7888"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d’analyse et de missions de suivi réalisé et en conformité des rejets par rapport à la norme NS 05 062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DFFEB26"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p w14:paraId="6DECE04D"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ONAS</w:t>
            </w:r>
          </w:p>
        </w:tc>
        <w:tc>
          <w:tcPr>
            <w:tcW w:w="1389" w:type="dxa"/>
            <w:tcBorders>
              <w:top w:val="single" w:sz="4" w:space="0" w:color="auto"/>
              <w:left w:val="single" w:sz="4" w:space="0" w:color="auto"/>
              <w:bottom w:val="single" w:sz="4" w:space="0" w:color="auto"/>
              <w:right w:val="single" w:sz="4" w:space="0" w:color="auto"/>
            </w:tcBorders>
            <w:vAlign w:val="center"/>
            <w:hideMark/>
          </w:tcPr>
          <w:p w14:paraId="3365DF76"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ADM </w:t>
            </w:r>
          </w:p>
          <w:p w14:paraId="663A8483"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roofErr w:type="spellStart"/>
            <w:r w:rsidRPr="0097258B">
              <w:rPr>
                <w:rFonts w:ascii="Times New Roman" w:eastAsia="Times New Roman" w:hAnsi="Times New Roman"/>
                <w:color w:val="000000" w:themeColor="text1"/>
                <w:sz w:val="20"/>
                <w:szCs w:val="20"/>
                <w:lang w:eastAsia="fr-FR"/>
              </w:rPr>
              <w:t>MdC</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6DFA7CD7"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p w14:paraId="3D94297C"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ONAS</w:t>
            </w:r>
          </w:p>
          <w:p w14:paraId="78084ABE"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roofErr w:type="spellStart"/>
            <w:r w:rsidRPr="0097258B">
              <w:rPr>
                <w:rFonts w:ascii="Times New Roman" w:eastAsia="Times New Roman" w:hAnsi="Times New Roman"/>
                <w:color w:val="000000" w:themeColor="text1"/>
                <w:sz w:val="20"/>
                <w:szCs w:val="20"/>
                <w:lang w:eastAsia="fr-FR"/>
              </w:rPr>
              <w:t>MdC</w:t>
            </w:r>
            <w:proofErr w:type="spellEnd"/>
          </w:p>
          <w:p w14:paraId="71284CE9"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tc>
        <w:tc>
          <w:tcPr>
            <w:tcW w:w="1021" w:type="dxa"/>
            <w:tcBorders>
              <w:top w:val="single" w:sz="4" w:space="0" w:color="auto"/>
              <w:left w:val="single" w:sz="4" w:space="0" w:color="auto"/>
              <w:bottom w:val="single" w:sz="4" w:space="0" w:color="auto"/>
              <w:right w:val="single" w:sz="4" w:space="0" w:color="auto"/>
            </w:tcBorders>
            <w:vAlign w:val="center"/>
            <w:hideMark/>
          </w:tcPr>
          <w:p w14:paraId="321B8A72"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CRSE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59AFE5F" w14:textId="77777777" w:rsidR="00570E16" w:rsidRPr="0097258B" w:rsidRDefault="00570E16" w:rsidP="00E255EE">
            <w:pPr>
              <w:autoSpaceDE w:val="0"/>
              <w:autoSpaceDN w:val="0"/>
              <w:adjustRightInd w:val="0"/>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Budget d’entretien des ouvrages (ONAS/ADM)</w:t>
            </w:r>
          </w:p>
        </w:tc>
      </w:tr>
      <w:tr w:rsidR="00570E16" w:rsidRPr="009B46E2" w14:paraId="49F8A1A3" w14:textId="77777777" w:rsidTr="00E255EE">
        <w:tc>
          <w:tcPr>
            <w:tcW w:w="1389" w:type="dxa"/>
            <w:vMerge w:val="restart"/>
            <w:tcBorders>
              <w:top w:val="single" w:sz="4" w:space="0" w:color="auto"/>
              <w:left w:val="single" w:sz="4" w:space="0" w:color="auto"/>
              <w:bottom w:val="single" w:sz="4" w:space="0" w:color="auto"/>
              <w:right w:val="single" w:sz="4" w:space="0" w:color="auto"/>
            </w:tcBorders>
            <w:vAlign w:val="center"/>
          </w:tcPr>
          <w:p w14:paraId="2F80D977"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Cadre de vie</w:t>
            </w:r>
          </w:p>
          <w:p w14:paraId="7D2366C5"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p>
        </w:tc>
        <w:tc>
          <w:tcPr>
            <w:tcW w:w="1447" w:type="dxa"/>
            <w:tcBorders>
              <w:top w:val="single" w:sz="4" w:space="0" w:color="auto"/>
              <w:left w:val="single" w:sz="4" w:space="0" w:color="auto"/>
              <w:bottom w:val="single" w:sz="4" w:space="0" w:color="auto"/>
              <w:right w:val="single" w:sz="4" w:space="0" w:color="auto"/>
            </w:tcBorders>
            <w:vAlign w:val="center"/>
            <w:hideMark/>
          </w:tcPr>
          <w:p w14:paraId="522A8AC7"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Recolonisation des espaces asséchés par les populations</w:t>
            </w:r>
          </w:p>
        </w:tc>
        <w:tc>
          <w:tcPr>
            <w:tcW w:w="3496" w:type="dxa"/>
            <w:tcBorders>
              <w:top w:val="single" w:sz="4" w:space="0" w:color="auto"/>
              <w:left w:val="single" w:sz="4" w:space="0" w:color="auto"/>
              <w:bottom w:val="single" w:sz="4" w:space="0" w:color="auto"/>
              <w:right w:val="single" w:sz="4" w:space="0" w:color="auto"/>
            </w:tcBorders>
            <w:vAlign w:val="center"/>
            <w:hideMark/>
          </w:tcPr>
          <w:p w14:paraId="451ACDD5"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Faire des aménagements paysagers au niveau des espaces libérés</w:t>
            </w:r>
          </w:p>
          <w:p w14:paraId="3057408B"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Contrôler l’occupation du sol</w:t>
            </w:r>
          </w:p>
          <w:p w14:paraId="1E53D802"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Sensibiliser les populations sur les activités et les occupations incompatibles au niveau des emprises des bassins et des canaux d’évacuation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929175"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des superficies aménagées par rapport aux espaces récupérés</w:t>
            </w:r>
          </w:p>
          <w:p w14:paraId="3EE2E8FB"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d’activités de sensibilisation menées</w:t>
            </w:r>
          </w:p>
          <w:p w14:paraId="2210B6DC"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personnes touchées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43C8F2"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p w14:paraId="2180E081"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ONAS</w:t>
            </w:r>
          </w:p>
        </w:tc>
        <w:tc>
          <w:tcPr>
            <w:tcW w:w="1389" w:type="dxa"/>
            <w:tcBorders>
              <w:top w:val="single" w:sz="4" w:space="0" w:color="auto"/>
              <w:left w:val="single" w:sz="4" w:space="0" w:color="auto"/>
              <w:bottom w:val="single" w:sz="4" w:space="0" w:color="auto"/>
              <w:right w:val="single" w:sz="4" w:space="0" w:color="auto"/>
            </w:tcBorders>
            <w:vAlign w:val="center"/>
            <w:hideMark/>
          </w:tcPr>
          <w:p w14:paraId="6831809D"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ADM </w:t>
            </w:r>
          </w:p>
          <w:p w14:paraId="4E1FF960"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roofErr w:type="spellStart"/>
            <w:r w:rsidRPr="0097258B">
              <w:rPr>
                <w:rFonts w:ascii="Times New Roman" w:eastAsia="Times New Roman" w:hAnsi="Times New Roman"/>
                <w:color w:val="000000" w:themeColor="text1"/>
                <w:sz w:val="20"/>
                <w:szCs w:val="20"/>
                <w:lang w:eastAsia="fr-FR"/>
              </w:rPr>
              <w:t>MdC</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3BAEB8C2"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p w14:paraId="38F2BEFF"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ONAS</w:t>
            </w:r>
          </w:p>
          <w:p w14:paraId="53961247"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roofErr w:type="spellStart"/>
            <w:r w:rsidRPr="0097258B">
              <w:rPr>
                <w:rFonts w:ascii="Times New Roman" w:eastAsia="Times New Roman" w:hAnsi="Times New Roman"/>
                <w:color w:val="000000" w:themeColor="text1"/>
                <w:sz w:val="20"/>
                <w:szCs w:val="20"/>
                <w:lang w:eastAsia="fr-FR"/>
              </w:rPr>
              <w:t>MdC</w:t>
            </w:r>
            <w:proofErr w:type="spellEnd"/>
          </w:p>
          <w:p w14:paraId="3F481F3C"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tc>
        <w:tc>
          <w:tcPr>
            <w:tcW w:w="1021" w:type="dxa"/>
            <w:tcBorders>
              <w:top w:val="single" w:sz="4" w:space="0" w:color="auto"/>
              <w:left w:val="single" w:sz="4" w:space="0" w:color="auto"/>
              <w:bottom w:val="single" w:sz="4" w:space="0" w:color="auto"/>
              <w:right w:val="single" w:sz="4" w:space="0" w:color="auto"/>
            </w:tcBorders>
            <w:vAlign w:val="center"/>
            <w:hideMark/>
          </w:tcPr>
          <w:p w14:paraId="4CE31AC9"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CRSE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F8770A1" w14:textId="77777777" w:rsidR="00570E16" w:rsidRPr="0097258B" w:rsidRDefault="00570E16" w:rsidP="00E255EE">
            <w:pPr>
              <w:autoSpaceDE w:val="0"/>
              <w:autoSpaceDN w:val="0"/>
              <w:adjustRightInd w:val="0"/>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Budget d’entretien des ouvrages (ONAS/ADM)</w:t>
            </w:r>
          </w:p>
        </w:tc>
      </w:tr>
      <w:tr w:rsidR="00570E16" w:rsidRPr="009B46E2" w14:paraId="1BB20EF7" w14:textId="77777777" w:rsidTr="00E255EE">
        <w:tc>
          <w:tcPr>
            <w:tcW w:w="1389" w:type="dxa"/>
            <w:vMerge/>
            <w:tcBorders>
              <w:top w:val="single" w:sz="4" w:space="0" w:color="auto"/>
              <w:left w:val="single" w:sz="4" w:space="0" w:color="auto"/>
              <w:bottom w:val="single" w:sz="4" w:space="0" w:color="auto"/>
              <w:right w:val="single" w:sz="4" w:space="0" w:color="auto"/>
            </w:tcBorders>
            <w:vAlign w:val="center"/>
            <w:hideMark/>
          </w:tcPr>
          <w:p w14:paraId="625DB930" w14:textId="77777777" w:rsidR="00570E16" w:rsidRPr="0097258B" w:rsidRDefault="00570E16" w:rsidP="00E255EE">
            <w:pPr>
              <w:spacing w:after="0" w:line="240" w:lineRule="auto"/>
              <w:rPr>
                <w:rFonts w:ascii="Times New Roman" w:eastAsia="Times New Roman" w:hAnsi="Times New Roman"/>
                <w:b/>
                <w:bCs/>
                <w:color w:val="000000" w:themeColor="text1"/>
                <w:sz w:val="20"/>
                <w:szCs w:val="20"/>
                <w:lang w:eastAsia="fr-FR"/>
              </w:rPr>
            </w:pPr>
          </w:p>
        </w:tc>
        <w:tc>
          <w:tcPr>
            <w:tcW w:w="1447" w:type="dxa"/>
            <w:tcBorders>
              <w:top w:val="single" w:sz="4" w:space="0" w:color="auto"/>
              <w:left w:val="single" w:sz="4" w:space="0" w:color="auto"/>
              <w:bottom w:val="single" w:sz="4" w:space="0" w:color="auto"/>
              <w:right w:val="single" w:sz="4" w:space="0" w:color="auto"/>
            </w:tcBorders>
            <w:vAlign w:val="center"/>
            <w:hideMark/>
          </w:tcPr>
          <w:p w14:paraId="40965183"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Débordement des bassins ou de la zone de rejet et inondations des habitats riverains</w:t>
            </w:r>
          </w:p>
        </w:tc>
        <w:tc>
          <w:tcPr>
            <w:tcW w:w="3496" w:type="dxa"/>
            <w:tcBorders>
              <w:top w:val="single" w:sz="4" w:space="0" w:color="auto"/>
              <w:left w:val="single" w:sz="4" w:space="0" w:color="auto"/>
              <w:bottom w:val="single" w:sz="4" w:space="0" w:color="auto"/>
              <w:right w:val="single" w:sz="4" w:space="0" w:color="auto"/>
            </w:tcBorders>
            <w:vAlign w:val="center"/>
            <w:hideMark/>
          </w:tcPr>
          <w:p w14:paraId="61C1D7B8"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Assurer un entretien courant des ouvrages de stockage</w:t>
            </w:r>
          </w:p>
          <w:p w14:paraId="647D9278"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Prévoir un dispositif de pompage en cas de débordement des bassins </w:t>
            </w:r>
          </w:p>
          <w:p w14:paraId="406903A0"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Mettre en place un dispositif de retenue</w:t>
            </w:r>
          </w:p>
          <w:p w14:paraId="17BCD889"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Définir et mettre en œuvre un plan d’urgence spécifique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2CBB737"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d’entretien réalisé par an</w:t>
            </w:r>
          </w:p>
          <w:p w14:paraId="1C40A2B5"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cas de débordement enregistré</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AEB88A"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p w14:paraId="27EA8E94"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ONAS</w:t>
            </w:r>
          </w:p>
        </w:tc>
        <w:tc>
          <w:tcPr>
            <w:tcW w:w="1389" w:type="dxa"/>
            <w:tcBorders>
              <w:top w:val="single" w:sz="4" w:space="0" w:color="auto"/>
              <w:left w:val="single" w:sz="4" w:space="0" w:color="auto"/>
              <w:bottom w:val="single" w:sz="4" w:space="0" w:color="auto"/>
              <w:right w:val="single" w:sz="4" w:space="0" w:color="auto"/>
            </w:tcBorders>
            <w:vAlign w:val="center"/>
            <w:hideMark/>
          </w:tcPr>
          <w:p w14:paraId="6C6C94C3"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ADM </w:t>
            </w:r>
          </w:p>
          <w:p w14:paraId="1C93E43E"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roofErr w:type="spellStart"/>
            <w:r w:rsidRPr="0097258B">
              <w:rPr>
                <w:rFonts w:ascii="Times New Roman" w:eastAsia="Times New Roman" w:hAnsi="Times New Roman"/>
                <w:color w:val="000000" w:themeColor="text1"/>
                <w:sz w:val="20"/>
                <w:szCs w:val="20"/>
                <w:lang w:eastAsia="fr-FR"/>
              </w:rPr>
              <w:t>MdC</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70A7EB79"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p w14:paraId="75016FB3"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ONAS</w:t>
            </w:r>
          </w:p>
          <w:p w14:paraId="532711B3"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roofErr w:type="spellStart"/>
            <w:r w:rsidRPr="0097258B">
              <w:rPr>
                <w:rFonts w:ascii="Times New Roman" w:eastAsia="Times New Roman" w:hAnsi="Times New Roman"/>
                <w:color w:val="000000" w:themeColor="text1"/>
                <w:sz w:val="20"/>
                <w:szCs w:val="20"/>
                <w:lang w:eastAsia="fr-FR"/>
              </w:rPr>
              <w:t>MdC</w:t>
            </w:r>
            <w:proofErr w:type="spellEnd"/>
          </w:p>
          <w:p w14:paraId="1CDEDA9E"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tc>
        <w:tc>
          <w:tcPr>
            <w:tcW w:w="1021" w:type="dxa"/>
            <w:tcBorders>
              <w:top w:val="single" w:sz="4" w:space="0" w:color="auto"/>
              <w:left w:val="single" w:sz="4" w:space="0" w:color="auto"/>
              <w:bottom w:val="single" w:sz="4" w:space="0" w:color="auto"/>
              <w:right w:val="single" w:sz="4" w:space="0" w:color="auto"/>
            </w:tcBorders>
            <w:vAlign w:val="center"/>
            <w:hideMark/>
          </w:tcPr>
          <w:p w14:paraId="2C75AA07"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CRSE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908A516" w14:textId="77777777" w:rsidR="00570E16" w:rsidRPr="0097258B" w:rsidRDefault="00570E16" w:rsidP="00E255EE">
            <w:pPr>
              <w:autoSpaceDE w:val="0"/>
              <w:autoSpaceDN w:val="0"/>
              <w:adjustRightInd w:val="0"/>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Budget d’entretien des ouvrages (ONAS/ADM)</w:t>
            </w:r>
          </w:p>
        </w:tc>
      </w:tr>
      <w:tr w:rsidR="00570E16" w:rsidRPr="009B46E2" w14:paraId="46E5B414" w14:textId="77777777" w:rsidTr="00E255EE">
        <w:tc>
          <w:tcPr>
            <w:tcW w:w="1389" w:type="dxa"/>
            <w:vMerge w:val="restart"/>
            <w:tcBorders>
              <w:top w:val="single" w:sz="4" w:space="0" w:color="auto"/>
              <w:left w:val="single" w:sz="4" w:space="0" w:color="auto"/>
              <w:bottom w:val="single" w:sz="4" w:space="0" w:color="auto"/>
              <w:right w:val="single" w:sz="4" w:space="0" w:color="auto"/>
            </w:tcBorders>
            <w:vAlign w:val="center"/>
            <w:hideMark/>
          </w:tcPr>
          <w:p w14:paraId="18F4E8A2" w14:textId="77777777" w:rsidR="00570E16" w:rsidRPr="0097258B" w:rsidRDefault="00570E16" w:rsidP="00E255EE">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lastRenderedPageBreak/>
              <w:t>Santé et sécurité</w:t>
            </w:r>
          </w:p>
        </w:tc>
        <w:tc>
          <w:tcPr>
            <w:tcW w:w="1447" w:type="dxa"/>
            <w:tcBorders>
              <w:top w:val="single" w:sz="4" w:space="0" w:color="auto"/>
              <w:left w:val="single" w:sz="4" w:space="0" w:color="auto"/>
              <w:bottom w:val="single" w:sz="4" w:space="0" w:color="auto"/>
              <w:right w:val="single" w:sz="4" w:space="0" w:color="auto"/>
            </w:tcBorders>
            <w:vAlign w:val="center"/>
            <w:hideMark/>
          </w:tcPr>
          <w:p w14:paraId="068D4C99" w14:textId="77777777" w:rsidR="00570E16" w:rsidRPr="0097258B" w:rsidRDefault="00570E16" w:rsidP="00E255EE">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Risques sanitaires et sécuritaires liés au manque d’entretien des ouvrages</w:t>
            </w:r>
          </w:p>
        </w:tc>
        <w:tc>
          <w:tcPr>
            <w:tcW w:w="3496" w:type="dxa"/>
            <w:tcBorders>
              <w:top w:val="single" w:sz="4" w:space="0" w:color="auto"/>
              <w:left w:val="single" w:sz="4" w:space="0" w:color="auto"/>
              <w:bottom w:val="single" w:sz="4" w:space="0" w:color="auto"/>
              <w:right w:val="single" w:sz="4" w:space="0" w:color="auto"/>
            </w:tcBorders>
            <w:vAlign w:val="center"/>
            <w:hideMark/>
          </w:tcPr>
          <w:p w14:paraId="75C03078"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Implantation de puits de surveillance et mener des opérations semestrielles de contrôle et de suivi de la qualité des eaux de la nappe </w:t>
            </w:r>
          </w:p>
          <w:p w14:paraId="69104FD8"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Sensibiliser les populations sur les activités et les occupations incompatibles au niveau des emprises des bassins et des canaux d’évacuation</w:t>
            </w:r>
          </w:p>
          <w:p w14:paraId="31D41305"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Informer et sensibiliser les populations sur les risques de noyades.</w:t>
            </w:r>
          </w:p>
          <w:p w14:paraId="2FEA82D4"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Sensibiliser les populations sur le déversement de déchets au niveau des bassins</w:t>
            </w:r>
          </w:p>
          <w:p w14:paraId="52A9DAF4"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Sensibiliser les populations sur le piratage des réseaux pour le déversement d’eaux usées dans les caniveaux et bassins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941979C"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d’analyse de qualité des eaux en conformité des rejets par rapport à la norme NS 05 062</w:t>
            </w:r>
          </w:p>
          <w:p w14:paraId="446214C3"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Nombre de cas de maladies </w:t>
            </w:r>
          </w:p>
          <w:p w14:paraId="01C3558F"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cas d’incidents liés au manque d’entretien des ouvrages</w:t>
            </w:r>
          </w:p>
          <w:p w14:paraId="3DB604D3"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d’activités de sensibilisation menées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E3DD23"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p w14:paraId="62A740F5"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ONAS</w:t>
            </w:r>
          </w:p>
        </w:tc>
        <w:tc>
          <w:tcPr>
            <w:tcW w:w="1389" w:type="dxa"/>
            <w:tcBorders>
              <w:top w:val="single" w:sz="4" w:space="0" w:color="auto"/>
              <w:left w:val="single" w:sz="4" w:space="0" w:color="auto"/>
              <w:bottom w:val="single" w:sz="4" w:space="0" w:color="auto"/>
              <w:right w:val="single" w:sz="4" w:space="0" w:color="auto"/>
            </w:tcBorders>
            <w:vAlign w:val="center"/>
            <w:hideMark/>
          </w:tcPr>
          <w:p w14:paraId="4573EE84"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ADM </w:t>
            </w:r>
          </w:p>
          <w:p w14:paraId="0B920CEE"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roofErr w:type="spellStart"/>
            <w:r w:rsidRPr="0097258B">
              <w:rPr>
                <w:rFonts w:ascii="Times New Roman" w:eastAsia="Times New Roman" w:hAnsi="Times New Roman"/>
                <w:color w:val="000000" w:themeColor="text1"/>
                <w:sz w:val="20"/>
                <w:szCs w:val="20"/>
                <w:lang w:eastAsia="fr-FR"/>
              </w:rPr>
              <w:t>MdC</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7D06CB2B"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p w14:paraId="08AD201E"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ONAS</w:t>
            </w:r>
          </w:p>
          <w:p w14:paraId="74B5DD29"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roofErr w:type="spellStart"/>
            <w:r w:rsidRPr="0097258B">
              <w:rPr>
                <w:rFonts w:ascii="Times New Roman" w:eastAsia="Times New Roman" w:hAnsi="Times New Roman"/>
                <w:color w:val="000000" w:themeColor="text1"/>
                <w:sz w:val="20"/>
                <w:szCs w:val="20"/>
                <w:lang w:eastAsia="fr-FR"/>
              </w:rPr>
              <w:t>MdC</w:t>
            </w:r>
            <w:proofErr w:type="spellEnd"/>
          </w:p>
          <w:p w14:paraId="7FF26BEC"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tc>
        <w:tc>
          <w:tcPr>
            <w:tcW w:w="1021" w:type="dxa"/>
            <w:tcBorders>
              <w:top w:val="single" w:sz="4" w:space="0" w:color="auto"/>
              <w:left w:val="single" w:sz="4" w:space="0" w:color="auto"/>
              <w:bottom w:val="single" w:sz="4" w:space="0" w:color="auto"/>
              <w:right w:val="single" w:sz="4" w:space="0" w:color="auto"/>
            </w:tcBorders>
            <w:vAlign w:val="center"/>
            <w:hideMark/>
          </w:tcPr>
          <w:p w14:paraId="12232A82"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CRSE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2274BF" w14:textId="77777777" w:rsidR="00570E16" w:rsidRPr="0097258B" w:rsidRDefault="00570E16" w:rsidP="00E255EE">
            <w:pPr>
              <w:autoSpaceDE w:val="0"/>
              <w:autoSpaceDN w:val="0"/>
              <w:adjustRightInd w:val="0"/>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Budget d’entretien des ouvrages (ONAS/ADM)</w:t>
            </w:r>
          </w:p>
        </w:tc>
      </w:tr>
      <w:tr w:rsidR="00570E16" w:rsidRPr="009B46E2" w14:paraId="569A23B2" w14:textId="77777777" w:rsidTr="00E255EE">
        <w:tc>
          <w:tcPr>
            <w:tcW w:w="1389" w:type="dxa"/>
            <w:vMerge/>
            <w:tcBorders>
              <w:top w:val="single" w:sz="4" w:space="0" w:color="auto"/>
              <w:left w:val="single" w:sz="4" w:space="0" w:color="auto"/>
              <w:bottom w:val="single" w:sz="4" w:space="0" w:color="auto"/>
              <w:right w:val="single" w:sz="4" w:space="0" w:color="auto"/>
            </w:tcBorders>
            <w:vAlign w:val="center"/>
            <w:hideMark/>
          </w:tcPr>
          <w:p w14:paraId="753A444B" w14:textId="77777777" w:rsidR="00570E16" w:rsidRPr="0097258B" w:rsidRDefault="00570E16" w:rsidP="00E255EE">
            <w:pPr>
              <w:spacing w:after="0" w:line="240" w:lineRule="auto"/>
              <w:rPr>
                <w:rFonts w:ascii="Times New Roman" w:eastAsia="Times New Roman" w:hAnsi="Times New Roman"/>
                <w:b/>
                <w:bCs/>
                <w:color w:val="000000" w:themeColor="text1"/>
                <w:sz w:val="20"/>
                <w:szCs w:val="20"/>
                <w:lang w:eastAsia="fr-FR"/>
              </w:rPr>
            </w:pPr>
          </w:p>
        </w:tc>
        <w:tc>
          <w:tcPr>
            <w:tcW w:w="1447" w:type="dxa"/>
            <w:tcBorders>
              <w:top w:val="single" w:sz="4" w:space="0" w:color="auto"/>
              <w:left w:val="single" w:sz="4" w:space="0" w:color="auto"/>
              <w:bottom w:val="single" w:sz="4" w:space="0" w:color="auto"/>
              <w:right w:val="single" w:sz="4" w:space="0" w:color="auto"/>
            </w:tcBorders>
            <w:vAlign w:val="center"/>
            <w:hideMark/>
          </w:tcPr>
          <w:p w14:paraId="575AFA10" w14:textId="77777777" w:rsidR="00570E16" w:rsidRPr="0097258B" w:rsidRDefault="00570E16" w:rsidP="00E255EE">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Risques de noyades et d’accidents risques associés à la présence des bassins</w:t>
            </w:r>
          </w:p>
          <w:p w14:paraId="58382B93" w14:textId="77777777" w:rsidR="00570E16" w:rsidRPr="0097258B" w:rsidRDefault="00570E16" w:rsidP="00E255EE">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Affaissement des parois du bassin</w:t>
            </w:r>
          </w:p>
        </w:tc>
        <w:tc>
          <w:tcPr>
            <w:tcW w:w="3496" w:type="dxa"/>
            <w:tcBorders>
              <w:top w:val="single" w:sz="4" w:space="0" w:color="auto"/>
              <w:left w:val="single" w:sz="4" w:space="0" w:color="auto"/>
              <w:bottom w:val="single" w:sz="4" w:space="0" w:color="auto"/>
              <w:right w:val="single" w:sz="4" w:space="0" w:color="auto"/>
            </w:tcBorders>
            <w:vAlign w:val="center"/>
            <w:hideMark/>
          </w:tcPr>
          <w:p w14:paraId="7DEC9897"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Mettre en place des grilles de protection </w:t>
            </w:r>
          </w:p>
          <w:p w14:paraId="78A6D229"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 xml:space="preserve">Assurer l’éclairage des sites </w:t>
            </w:r>
          </w:p>
          <w:p w14:paraId="32D97218"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Réaliser des voies de contournement des bassins</w:t>
            </w:r>
          </w:p>
          <w:p w14:paraId="5AFADEA8"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Sensibiliser les populations riveraines, notamment les enfants sur les risques associés à la présence des bassins</w:t>
            </w:r>
          </w:p>
          <w:p w14:paraId="653CA7FF" w14:textId="77777777" w:rsidR="00570E16" w:rsidRPr="0097258B" w:rsidRDefault="00570E16" w:rsidP="00E255EE">
            <w:pPr>
              <w:numPr>
                <w:ilvl w:val="0"/>
                <w:numId w:val="13"/>
              </w:numPr>
              <w:autoSpaceDE w:val="0"/>
              <w:autoSpaceDN w:val="0"/>
              <w:adjustRightInd w:val="0"/>
              <w:spacing w:after="0" w:line="240" w:lineRule="auto"/>
              <w:ind w:left="189" w:hanging="171"/>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Définir et mettre en œuvre un plan d’urgence spécifique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305E117"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bassins protégés par des grilles</w:t>
            </w:r>
          </w:p>
          <w:p w14:paraId="73990811"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bassins éclairés</w:t>
            </w:r>
          </w:p>
          <w:p w14:paraId="50D776C6"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de bassins munis de voies piétonnes</w:t>
            </w:r>
          </w:p>
          <w:p w14:paraId="74F47AD8" w14:textId="77777777" w:rsidR="00570E16" w:rsidRPr="0097258B" w:rsidRDefault="00570E16" w:rsidP="00E255EE">
            <w:pPr>
              <w:numPr>
                <w:ilvl w:val="0"/>
                <w:numId w:val="13"/>
              </w:numPr>
              <w:autoSpaceDE w:val="0"/>
              <w:autoSpaceDN w:val="0"/>
              <w:adjustRightInd w:val="0"/>
              <w:spacing w:after="0" w:line="240" w:lineRule="auto"/>
              <w:jc w:val="both"/>
              <w:rPr>
                <w:rFonts w:ascii="Times New Roman" w:eastAsia="Times New Roman" w:hAnsi="Times New Roman"/>
                <w:iCs/>
                <w:color w:val="000000" w:themeColor="text1"/>
                <w:sz w:val="20"/>
                <w:szCs w:val="20"/>
                <w:lang w:eastAsia="fr-FR"/>
              </w:rPr>
            </w:pPr>
            <w:r w:rsidRPr="0097258B">
              <w:rPr>
                <w:rFonts w:ascii="Times New Roman" w:eastAsia="Times New Roman" w:hAnsi="Times New Roman"/>
                <w:iCs/>
                <w:color w:val="000000" w:themeColor="text1"/>
                <w:sz w:val="20"/>
                <w:szCs w:val="20"/>
                <w:lang w:eastAsia="fr-FR"/>
              </w:rPr>
              <w:t>Nombre d’accidents et noyades enregistrés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19A667"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p w14:paraId="0D11B9E1"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ONAS</w:t>
            </w:r>
          </w:p>
        </w:tc>
        <w:tc>
          <w:tcPr>
            <w:tcW w:w="1389" w:type="dxa"/>
            <w:tcBorders>
              <w:top w:val="single" w:sz="4" w:space="0" w:color="auto"/>
              <w:left w:val="single" w:sz="4" w:space="0" w:color="auto"/>
              <w:bottom w:val="single" w:sz="4" w:space="0" w:color="auto"/>
              <w:right w:val="single" w:sz="4" w:space="0" w:color="auto"/>
            </w:tcBorders>
            <w:vAlign w:val="center"/>
            <w:hideMark/>
          </w:tcPr>
          <w:p w14:paraId="7C1494E6"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ADM </w:t>
            </w:r>
          </w:p>
          <w:p w14:paraId="3CA1232E"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roofErr w:type="spellStart"/>
            <w:r w:rsidRPr="0097258B">
              <w:rPr>
                <w:rFonts w:ascii="Times New Roman" w:eastAsia="Times New Roman" w:hAnsi="Times New Roman"/>
                <w:color w:val="000000" w:themeColor="text1"/>
                <w:sz w:val="20"/>
                <w:szCs w:val="20"/>
                <w:lang w:eastAsia="fr-FR"/>
              </w:rPr>
              <w:t>MdC</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0CCF7DA5"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p w14:paraId="0F13E5EE"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ONAS</w:t>
            </w:r>
          </w:p>
          <w:p w14:paraId="09689DC7"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roofErr w:type="spellStart"/>
            <w:r w:rsidRPr="0097258B">
              <w:rPr>
                <w:rFonts w:ascii="Times New Roman" w:eastAsia="Times New Roman" w:hAnsi="Times New Roman"/>
                <w:color w:val="000000" w:themeColor="text1"/>
                <w:sz w:val="20"/>
                <w:szCs w:val="20"/>
                <w:lang w:eastAsia="fr-FR"/>
              </w:rPr>
              <w:t>MdC</w:t>
            </w:r>
            <w:proofErr w:type="spellEnd"/>
          </w:p>
          <w:p w14:paraId="0D798542"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p>
        </w:tc>
        <w:tc>
          <w:tcPr>
            <w:tcW w:w="1021" w:type="dxa"/>
            <w:tcBorders>
              <w:top w:val="single" w:sz="4" w:space="0" w:color="auto"/>
              <w:left w:val="single" w:sz="4" w:space="0" w:color="auto"/>
              <w:bottom w:val="single" w:sz="4" w:space="0" w:color="auto"/>
              <w:right w:val="single" w:sz="4" w:space="0" w:color="auto"/>
            </w:tcBorders>
            <w:vAlign w:val="center"/>
            <w:hideMark/>
          </w:tcPr>
          <w:p w14:paraId="09F9DDAB" w14:textId="77777777" w:rsidR="00570E16" w:rsidRPr="0097258B" w:rsidRDefault="00570E16" w:rsidP="00E255EE">
            <w:pPr>
              <w:spacing w:after="0" w:line="240" w:lineRule="auto"/>
              <w:jc w:val="center"/>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CRSE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1B98E6F" w14:textId="77777777" w:rsidR="00570E16" w:rsidRPr="0097258B" w:rsidRDefault="00570E16" w:rsidP="00E255EE">
            <w:pPr>
              <w:autoSpaceDE w:val="0"/>
              <w:autoSpaceDN w:val="0"/>
              <w:adjustRightInd w:val="0"/>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Budget d’entretien des ouvrages (ONAS/ADM)</w:t>
            </w:r>
          </w:p>
        </w:tc>
      </w:tr>
    </w:tbl>
    <w:p w14:paraId="11411453" w14:textId="77777777" w:rsidR="00570E16" w:rsidRPr="00260790" w:rsidRDefault="00570E16" w:rsidP="00E20250">
      <w:pPr>
        <w:spacing w:line="240" w:lineRule="auto"/>
        <w:rPr>
          <w:rFonts w:ascii="Times New Roman" w:hAnsi="Times New Roman"/>
          <w:color w:val="000000" w:themeColor="text1"/>
          <w:sz w:val="24"/>
          <w:szCs w:val="24"/>
        </w:rPr>
        <w:sectPr w:rsidR="00570E16" w:rsidRPr="00260790" w:rsidSect="00B3729F">
          <w:pgSz w:w="16817" w:h="11901" w:orient="landscape"/>
          <w:pgMar w:top="1418" w:right="1418" w:bottom="1418" w:left="1418" w:header="709" w:footer="454" w:gutter="0"/>
          <w:cols w:space="720"/>
        </w:sectPr>
      </w:pPr>
    </w:p>
    <w:p w14:paraId="08B57A84" w14:textId="77777777" w:rsidR="008F35C9" w:rsidRPr="00260790" w:rsidRDefault="008F35C9" w:rsidP="003B6588">
      <w:pPr>
        <w:pStyle w:val="CHAPITRE1"/>
        <w:rPr>
          <w:rFonts w:cs="Times New Roman"/>
        </w:rPr>
      </w:pPr>
      <w:bookmarkStart w:id="2492" w:name="_Toc212725188"/>
      <w:r w:rsidRPr="00260790">
        <w:rPr>
          <w:rFonts w:cs="Times New Roman"/>
        </w:rPr>
        <w:lastRenderedPageBreak/>
        <w:t>Mesures de renforcement des capacités</w:t>
      </w:r>
      <w:bookmarkEnd w:id="2492"/>
    </w:p>
    <w:p w14:paraId="3529BC92" w14:textId="0FA99858" w:rsidR="008F35C9" w:rsidRPr="00260790" w:rsidRDefault="008F35C9"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 xml:space="preserve">Des mesures de renforcement des capacités des institutions impliquées dans le suivi de la mise en œuvre du PGES </w:t>
      </w:r>
      <w:r w:rsidR="00285C3F" w:rsidRPr="00260790">
        <w:rPr>
          <w:rFonts w:ascii="Times New Roman" w:hAnsi="Times New Roman"/>
          <w:color w:val="000000" w:themeColor="text1"/>
          <w:lang w:eastAsia="fr-FR"/>
        </w:rPr>
        <w:t>son</w:t>
      </w:r>
      <w:r w:rsidRPr="00260790">
        <w:rPr>
          <w:rFonts w:ascii="Times New Roman" w:hAnsi="Times New Roman"/>
          <w:color w:val="000000" w:themeColor="text1"/>
          <w:lang w:eastAsia="fr-FR"/>
        </w:rPr>
        <w:t>t indispensable</w:t>
      </w:r>
      <w:r w:rsidR="00285C3F" w:rsidRPr="00260790">
        <w:rPr>
          <w:rFonts w:ascii="Times New Roman" w:hAnsi="Times New Roman"/>
          <w:color w:val="000000" w:themeColor="text1"/>
          <w:lang w:eastAsia="fr-FR"/>
        </w:rPr>
        <w:t>s</w:t>
      </w:r>
      <w:r w:rsidRPr="00260790">
        <w:rPr>
          <w:rFonts w:ascii="Times New Roman" w:hAnsi="Times New Roman"/>
          <w:color w:val="000000" w:themeColor="text1"/>
          <w:lang w:eastAsia="fr-FR"/>
        </w:rPr>
        <w:t>, particulièrement les membres du CRSE. Ils devaient être formés dans le domaine général de la gestion environnementale et sociale, notamment dans le suivi des mesures de PGES, l’opérationnalisation et le fonctionnement du MGP. Ils seront également formés à la prévention et</w:t>
      </w:r>
      <w:r w:rsidR="00AB4AB5" w:rsidRPr="00260790">
        <w:rPr>
          <w:rFonts w:ascii="Times New Roman" w:hAnsi="Times New Roman"/>
          <w:color w:val="000000" w:themeColor="text1"/>
          <w:lang w:eastAsia="fr-FR"/>
        </w:rPr>
        <w:t xml:space="preserve"> à la gestion de</w:t>
      </w:r>
      <w:r w:rsidR="0061132E" w:rsidRPr="00260790">
        <w:rPr>
          <w:rFonts w:ascii="Times New Roman" w:hAnsi="Times New Roman"/>
          <w:color w:val="000000" w:themeColor="text1"/>
          <w:lang w:eastAsia="fr-FR"/>
        </w:rPr>
        <w:t xml:space="preserve"> l’</w:t>
      </w:r>
      <w:r w:rsidR="00A07276" w:rsidRPr="00260790">
        <w:rPr>
          <w:rFonts w:ascii="Times New Roman" w:hAnsi="Times New Roman"/>
          <w:color w:val="000000" w:themeColor="text1"/>
          <w:lang w:eastAsia="fr-FR"/>
        </w:rPr>
        <w:t>EAS/HS</w:t>
      </w:r>
      <w:r w:rsidRPr="00260790">
        <w:rPr>
          <w:rFonts w:ascii="Times New Roman" w:hAnsi="Times New Roman"/>
          <w:color w:val="000000" w:themeColor="text1"/>
          <w:lang w:eastAsia="fr-FR"/>
        </w:rPr>
        <w:t xml:space="preserve"> et VCE. Il sera aussi nécessaire de renforcer certains membres du personnel de l’ADM (y compris les ESS, ESE, les chefs de projets, les ingénieurs, etc.) sur les sauvegardes, les procédures et les programmes de réinstallation. </w:t>
      </w:r>
    </w:p>
    <w:p w14:paraId="1D3403BC" w14:textId="77777777" w:rsidR="008F35C9" w:rsidRPr="00260790" w:rsidRDefault="008F35C9"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 xml:space="preserve">Il faudra pour cela également organiser des ateliers de formation sur les exigences liées au nouveau cadre environnementale et sociale de la Banque mondiale auquel se projet est soumis. </w:t>
      </w:r>
    </w:p>
    <w:p w14:paraId="6F7FFCD7" w14:textId="04D77F38" w:rsidR="008F35C9" w:rsidRPr="00260790" w:rsidRDefault="00450FA0" w:rsidP="00E20250">
      <w:pPr>
        <w:spacing w:line="240" w:lineRule="auto"/>
        <w:jc w:val="both"/>
        <w:rPr>
          <w:rFonts w:ascii="Times New Roman" w:hAnsi="Times New Roman"/>
          <w:color w:val="000000" w:themeColor="text1"/>
          <w:lang w:eastAsia="fr-FR"/>
        </w:rPr>
      </w:pPr>
      <w:r>
        <w:rPr>
          <w:rFonts w:ascii="Times New Roman" w:hAnsi="Times New Roman"/>
          <w:color w:val="000000" w:themeColor="text1"/>
          <w:lang w:eastAsia="fr-FR"/>
        </w:rPr>
        <w:t>Pour</w:t>
      </w:r>
      <w:r w:rsidR="004A57FE">
        <w:rPr>
          <w:rFonts w:ascii="Times New Roman" w:hAnsi="Times New Roman"/>
          <w:color w:val="000000" w:themeColor="text1"/>
          <w:lang w:eastAsia="fr-FR"/>
        </w:rPr>
        <w:t xml:space="preserve"> l</w:t>
      </w:r>
      <w:r w:rsidR="008F35C9" w:rsidRPr="00260790">
        <w:rPr>
          <w:rFonts w:ascii="Times New Roman" w:hAnsi="Times New Roman"/>
          <w:color w:val="000000" w:themeColor="text1"/>
          <w:lang w:eastAsia="fr-FR"/>
        </w:rPr>
        <w:t>e personnel des entreprises qui pourraient ne pas être familières avec les mesures de sauvegarde environnementale et sociale</w:t>
      </w:r>
      <w:r w:rsidR="004A57FE">
        <w:rPr>
          <w:rFonts w:ascii="Times New Roman" w:hAnsi="Times New Roman"/>
          <w:color w:val="000000" w:themeColor="text1"/>
          <w:lang w:eastAsia="fr-FR"/>
        </w:rPr>
        <w:t>,</w:t>
      </w:r>
      <w:r w:rsidR="008F35C9" w:rsidRPr="00260790">
        <w:rPr>
          <w:rFonts w:ascii="Times New Roman" w:hAnsi="Times New Roman"/>
          <w:color w:val="000000" w:themeColor="text1"/>
          <w:lang w:eastAsia="fr-FR"/>
        </w:rPr>
        <w:t xml:space="preserve"> </w:t>
      </w:r>
      <w:r w:rsidR="004A57FE">
        <w:rPr>
          <w:rFonts w:ascii="Times New Roman" w:hAnsi="Times New Roman"/>
          <w:color w:val="000000" w:themeColor="text1"/>
          <w:lang w:eastAsia="fr-FR"/>
        </w:rPr>
        <w:t>i</w:t>
      </w:r>
      <w:r w:rsidR="008F35C9" w:rsidRPr="00260790">
        <w:rPr>
          <w:rFonts w:ascii="Times New Roman" w:hAnsi="Times New Roman"/>
          <w:color w:val="000000" w:themeColor="text1"/>
          <w:lang w:eastAsia="fr-FR"/>
        </w:rPr>
        <w:t>l faudra donc assurer une mise à niveau sur les aspects de sauvegarde. Un accent particulier</w:t>
      </w:r>
      <w:r w:rsidR="00AB4AB5" w:rsidRPr="00260790">
        <w:rPr>
          <w:rFonts w:ascii="Times New Roman" w:hAnsi="Times New Roman"/>
          <w:color w:val="000000" w:themeColor="text1"/>
          <w:lang w:eastAsia="fr-FR"/>
        </w:rPr>
        <w:t xml:space="preserve"> sera mis sur la sécurité, </w:t>
      </w:r>
      <w:r w:rsidR="0061132E" w:rsidRPr="00260790">
        <w:rPr>
          <w:rFonts w:ascii="Times New Roman" w:hAnsi="Times New Roman"/>
          <w:color w:val="000000" w:themeColor="text1"/>
          <w:lang w:eastAsia="fr-FR"/>
        </w:rPr>
        <w:t>l’</w:t>
      </w:r>
      <w:r w:rsidR="005D3627" w:rsidRPr="00260790">
        <w:rPr>
          <w:rFonts w:ascii="Times New Roman" w:hAnsi="Times New Roman"/>
          <w:color w:val="000000" w:themeColor="text1"/>
          <w:lang w:eastAsia="fr-FR"/>
        </w:rPr>
        <w:t>E</w:t>
      </w:r>
      <w:r w:rsidR="00AB4AB5" w:rsidRPr="00260790">
        <w:rPr>
          <w:rFonts w:ascii="Times New Roman" w:hAnsi="Times New Roman"/>
          <w:color w:val="000000" w:themeColor="text1"/>
          <w:lang w:eastAsia="fr-FR"/>
        </w:rPr>
        <w:t>A</w:t>
      </w:r>
      <w:r w:rsidR="008F35C9" w:rsidRPr="00260790">
        <w:rPr>
          <w:rFonts w:ascii="Times New Roman" w:hAnsi="Times New Roman"/>
          <w:color w:val="000000" w:themeColor="text1"/>
          <w:lang w:eastAsia="fr-FR"/>
        </w:rPr>
        <w:t>S/HS et VCE.</w:t>
      </w:r>
    </w:p>
    <w:p w14:paraId="1C13B121" w14:textId="77777777" w:rsidR="008F35C9" w:rsidRPr="00260790" w:rsidRDefault="008F35C9" w:rsidP="00E20250">
      <w:pPr>
        <w:spacing w:line="240" w:lineRule="auto"/>
        <w:jc w:val="both"/>
        <w:rPr>
          <w:rFonts w:ascii="Times New Roman" w:hAnsi="Times New Roman"/>
          <w:color w:val="000000" w:themeColor="text1"/>
          <w:lang w:eastAsia="fr-FR"/>
        </w:rPr>
      </w:pPr>
      <w:r w:rsidRPr="00260790">
        <w:rPr>
          <w:rFonts w:ascii="Times New Roman" w:hAnsi="Times New Roman"/>
          <w:color w:val="000000" w:themeColor="text1"/>
          <w:lang w:eastAsia="fr-FR"/>
        </w:rPr>
        <w:t>Le tableau suivant résume les mesures de renforcement des capacités des parties prenantes au projet.</w:t>
      </w:r>
    </w:p>
    <w:p w14:paraId="3A7EFD8E" w14:textId="5C0E9751" w:rsidR="008F35C9" w:rsidRPr="00260790" w:rsidRDefault="008F35C9" w:rsidP="00E20250">
      <w:pPr>
        <w:pStyle w:val="Lgende"/>
        <w:keepNext/>
        <w:spacing w:line="240" w:lineRule="auto"/>
        <w:rPr>
          <w:color w:val="000000" w:themeColor="text1"/>
          <w:sz w:val="22"/>
          <w:szCs w:val="22"/>
        </w:rPr>
      </w:pPr>
      <w:bookmarkStart w:id="2493" w:name="_Toc83170609"/>
      <w:bookmarkStart w:id="2494" w:name="_Toc207781961"/>
      <w:r w:rsidRPr="00260790">
        <w:rPr>
          <w:color w:val="000000" w:themeColor="text1"/>
          <w:sz w:val="22"/>
          <w:szCs w:val="22"/>
        </w:rPr>
        <w:t xml:space="preserve">Tableau </w:t>
      </w:r>
      <w:r w:rsidRPr="00260790">
        <w:rPr>
          <w:color w:val="000000" w:themeColor="text1"/>
          <w:sz w:val="22"/>
          <w:szCs w:val="22"/>
        </w:rPr>
        <w:fldChar w:fldCharType="begin"/>
      </w:r>
      <w:r w:rsidRPr="00260790">
        <w:rPr>
          <w:color w:val="000000" w:themeColor="text1"/>
          <w:sz w:val="22"/>
          <w:szCs w:val="22"/>
        </w:rPr>
        <w:instrText xml:space="preserve"> SEQ Tableau \* ARABIC </w:instrText>
      </w:r>
      <w:r w:rsidRPr="00260790">
        <w:rPr>
          <w:color w:val="000000" w:themeColor="text1"/>
          <w:sz w:val="22"/>
          <w:szCs w:val="22"/>
        </w:rPr>
        <w:fldChar w:fldCharType="separate"/>
      </w:r>
      <w:r w:rsidR="003C783E">
        <w:rPr>
          <w:noProof/>
          <w:color w:val="000000" w:themeColor="text1"/>
          <w:sz w:val="22"/>
          <w:szCs w:val="22"/>
        </w:rPr>
        <w:t>120</w:t>
      </w:r>
      <w:r w:rsidRPr="00260790">
        <w:rPr>
          <w:color w:val="000000" w:themeColor="text1"/>
          <w:sz w:val="22"/>
          <w:szCs w:val="22"/>
        </w:rPr>
        <w:fldChar w:fldCharType="end"/>
      </w:r>
      <w:r w:rsidRPr="00260790">
        <w:rPr>
          <w:color w:val="000000" w:themeColor="text1"/>
          <w:sz w:val="22"/>
          <w:szCs w:val="22"/>
        </w:rPr>
        <w:t xml:space="preserve"> : Mesures d'information/sensibilisation et renforcement des capacités</w:t>
      </w:r>
      <w:bookmarkEnd w:id="2493"/>
      <w:bookmarkEnd w:id="2494"/>
    </w:p>
    <w:tbl>
      <w:tblPr>
        <w:tblW w:w="9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1701"/>
        <w:gridCol w:w="4441"/>
        <w:gridCol w:w="1702"/>
        <w:gridCol w:w="9"/>
        <w:gridCol w:w="1502"/>
      </w:tblGrid>
      <w:tr w:rsidR="00BD1A2F" w:rsidRPr="00260790" w14:paraId="71060C8C" w14:textId="77777777" w:rsidTr="00A00DD5">
        <w:trPr>
          <w:trHeight w:val="289"/>
          <w:tblHeader/>
        </w:trPr>
        <w:tc>
          <w:tcPr>
            <w:tcW w:w="52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4D1FDC3" w14:textId="7A046D6C" w:rsidR="008F35C9" w:rsidRPr="00260790" w:rsidRDefault="008F35C9" w:rsidP="00E20250">
            <w:pPr>
              <w:pStyle w:val="Default"/>
              <w:jc w:val="both"/>
              <w:rPr>
                <w:rFonts w:ascii="Times New Roman" w:hAnsi="Times New Roman" w:cs="Times New Roman"/>
                <w:color w:val="000000" w:themeColor="text1"/>
                <w:sz w:val="22"/>
                <w:szCs w:val="22"/>
              </w:rPr>
            </w:pPr>
            <w:r w:rsidRPr="00260790">
              <w:rPr>
                <w:rFonts w:ascii="Times New Roman" w:hAnsi="Times New Roman" w:cs="Times New Roman"/>
                <w:b/>
                <w:bCs/>
                <w:color w:val="000000" w:themeColor="text1"/>
                <w:sz w:val="22"/>
                <w:szCs w:val="22"/>
              </w:rPr>
              <w:t>N</w:t>
            </w:r>
            <w:r w:rsidR="00A00DD5">
              <w:rPr>
                <w:rFonts w:ascii="Times New Roman" w:hAnsi="Times New Roman" w:cs="Times New Roman"/>
                <w:b/>
                <w:bCs/>
                <w:color w:val="000000" w:themeColor="text1"/>
                <w:sz w:val="22"/>
                <w:szCs w:val="22"/>
              </w:rPr>
              <w:t>°</w:t>
            </w:r>
            <w:r w:rsidRPr="00260790">
              <w:rPr>
                <w:rFonts w:ascii="Times New Roman" w:hAnsi="Times New Roman" w:cs="Times New Roman"/>
                <w:b/>
                <w:bCs/>
                <w:color w:val="000000" w:themeColor="text1"/>
                <w:sz w:val="22"/>
                <w:szCs w:val="22"/>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700FF1F" w14:textId="04C53C58" w:rsidR="008F35C9" w:rsidRPr="00260790" w:rsidRDefault="008F35C9" w:rsidP="00E20250">
            <w:pPr>
              <w:pStyle w:val="Default"/>
              <w:jc w:val="both"/>
              <w:rPr>
                <w:rFonts w:ascii="Times New Roman" w:hAnsi="Times New Roman" w:cs="Times New Roman"/>
                <w:color w:val="000000" w:themeColor="text1"/>
                <w:sz w:val="22"/>
                <w:szCs w:val="22"/>
              </w:rPr>
            </w:pPr>
            <w:r w:rsidRPr="00260790">
              <w:rPr>
                <w:rFonts w:ascii="Times New Roman" w:hAnsi="Times New Roman" w:cs="Times New Roman"/>
                <w:b/>
                <w:bCs/>
                <w:color w:val="000000" w:themeColor="text1"/>
                <w:sz w:val="22"/>
                <w:szCs w:val="22"/>
              </w:rPr>
              <w:t>Activités identifié</w:t>
            </w:r>
            <w:r w:rsidR="00285C3F" w:rsidRPr="00260790">
              <w:rPr>
                <w:rFonts w:ascii="Times New Roman" w:hAnsi="Times New Roman" w:cs="Times New Roman"/>
                <w:b/>
                <w:bCs/>
                <w:color w:val="000000" w:themeColor="text1"/>
                <w:sz w:val="22"/>
                <w:szCs w:val="22"/>
              </w:rPr>
              <w:t>es</w:t>
            </w:r>
            <w:r w:rsidRPr="00260790">
              <w:rPr>
                <w:rFonts w:ascii="Times New Roman" w:hAnsi="Times New Roman" w:cs="Times New Roman"/>
                <w:b/>
                <w:bCs/>
                <w:color w:val="000000" w:themeColor="text1"/>
                <w:sz w:val="22"/>
                <w:szCs w:val="22"/>
              </w:rPr>
              <w:t xml:space="preserve"> </w:t>
            </w:r>
          </w:p>
        </w:tc>
        <w:tc>
          <w:tcPr>
            <w:tcW w:w="444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C484DEE" w14:textId="77777777" w:rsidR="008F35C9" w:rsidRPr="00260790" w:rsidRDefault="008F35C9" w:rsidP="00E20250">
            <w:pPr>
              <w:pStyle w:val="Default"/>
              <w:jc w:val="both"/>
              <w:rPr>
                <w:rFonts w:ascii="Times New Roman" w:hAnsi="Times New Roman" w:cs="Times New Roman"/>
                <w:color w:val="000000" w:themeColor="text1"/>
                <w:sz w:val="22"/>
                <w:szCs w:val="22"/>
              </w:rPr>
            </w:pPr>
            <w:r w:rsidRPr="00260790">
              <w:rPr>
                <w:rFonts w:ascii="Times New Roman" w:hAnsi="Times New Roman" w:cs="Times New Roman"/>
                <w:b/>
                <w:bCs/>
                <w:color w:val="000000" w:themeColor="text1"/>
                <w:sz w:val="22"/>
                <w:szCs w:val="22"/>
              </w:rPr>
              <w:t xml:space="preserve">Thèmes    </w:t>
            </w:r>
          </w:p>
        </w:tc>
        <w:tc>
          <w:tcPr>
            <w:tcW w:w="170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CE2A575" w14:textId="77777777" w:rsidR="008F35C9" w:rsidRPr="00260790" w:rsidRDefault="008F35C9" w:rsidP="00E20250">
            <w:pPr>
              <w:pStyle w:val="Default"/>
              <w:jc w:val="both"/>
              <w:rPr>
                <w:rFonts w:ascii="Times New Roman" w:hAnsi="Times New Roman" w:cs="Times New Roman"/>
                <w:color w:val="000000" w:themeColor="text1"/>
                <w:sz w:val="22"/>
                <w:szCs w:val="22"/>
              </w:rPr>
            </w:pPr>
            <w:r w:rsidRPr="00260790">
              <w:rPr>
                <w:rFonts w:ascii="Times New Roman" w:hAnsi="Times New Roman" w:cs="Times New Roman"/>
                <w:b/>
                <w:bCs/>
                <w:color w:val="000000" w:themeColor="text1"/>
                <w:sz w:val="22"/>
                <w:szCs w:val="22"/>
              </w:rPr>
              <w:t xml:space="preserve">Bénéficiaires </w:t>
            </w:r>
          </w:p>
        </w:tc>
        <w:tc>
          <w:tcPr>
            <w:tcW w:w="15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DF27F67" w14:textId="77777777" w:rsidR="008F35C9" w:rsidRPr="00260790" w:rsidRDefault="008F35C9" w:rsidP="00E20250">
            <w:pPr>
              <w:pStyle w:val="Default"/>
              <w:jc w:val="both"/>
              <w:rPr>
                <w:rFonts w:ascii="Times New Roman" w:hAnsi="Times New Roman" w:cs="Times New Roman"/>
                <w:color w:val="000000" w:themeColor="text1"/>
                <w:sz w:val="22"/>
                <w:szCs w:val="22"/>
              </w:rPr>
            </w:pPr>
            <w:r w:rsidRPr="00260790">
              <w:rPr>
                <w:rFonts w:ascii="Times New Roman" w:hAnsi="Times New Roman" w:cs="Times New Roman"/>
                <w:b/>
                <w:bCs/>
                <w:color w:val="000000" w:themeColor="text1"/>
                <w:sz w:val="22"/>
                <w:szCs w:val="22"/>
              </w:rPr>
              <w:t xml:space="preserve">Budget </w:t>
            </w:r>
          </w:p>
          <w:p w14:paraId="7B0E5CAB" w14:textId="77777777" w:rsidR="008F35C9" w:rsidRPr="00260790" w:rsidRDefault="008F35C9" w:rsidP="00E20250">
            <w:pPr>
              <w:pStyle w:val="Default"/>
              <w:jc w:val="both"/>
              <w:rPr>
                <w:rFonts w:ascii="Times New Roman" w:hAnsi="Times New Roman" w:cs="Times New Roman"/>
                <w:color w:val="000000" w:themeColor="text1"/>
                <w:sz w:val="22"/>
                <w:szCs w:val="22"/>
              </w:rPr>
            </w:pPr>
            <w:r w:rsidRPr="00260790">
              <w:rPr>
                <w:rFonts w:ascii="Times New Roman" w:hAnsi="Times New Roman" w:cs="Times New Roman"/>
                <w:b/>
                <w:bCs/>
                <w:color w:val="000000" w:themeColor="text1"/>
                <w:sz w:val="22"/>
                <w:szCs w:val="22"/>
              </w:rPr>
              <w:t xml:space="preserve">(CFA) </w:t>
            </w:r>
          </w:p>
        </w:tc>
      </w:tr>
      <w:tr w:rsidR="00BD1A2F" w:rsidRPr="00260790" w14:paraId="26737E88" w14:textId="77777777" w:rsidTr="00A00DD5">
        <w:trPr>
          <w:trHeight w:val="110"/>
        </w:trPr>
        <w:tc>
          <w:tcPr>
            <w:tcW w:w="9884" w:type="dxa"/>
            <w:gridSpan w:val="6"/>
            <w:tcBorders>
              <w:top w:val="single" w:sz="4" w:space="0" w:color="auto"/>
              <w:left w:val="single" w:sz="4" w:space="0" w:color="auto"/>
              <w:bottom w:val="single" w:sz="4" w:space="0" w:color="auto"/>
              <w:right w:val="single" w:sz="4" w:space="0" w:color="auto"/>
            </w:tcBorders>
            <w:vAlign w:val="center"/>
            <w:hideMark/>
          </w:tcPr>
          <w:p w14:paraId="101C3D97" w14:textId="77777777" w:rsidR="008F35C9" w:rsidRPr="00260790" w:rsidRDefault="008F35C9" w:rsidP="00E20250">
            <w:pPr>
              <w:pStyle w:val="Default"/>
              <w:jc w:val="both"/>
              <w:rPr>
                <w:rFonts w:ascii="Times New Roman" w:hAnsi="Times New Roman" w:cs="Times New Roman"/>
                <w:color w:val="000000" w:themeColor="text1"/>
                <w:sz w:val="22"/>
                <w:szCs w:val="22"/>
              </w:rPr>
            </w:pPr>
            <w:r w:rsidRPr="00260790">
              <w:rPr>
                <w:rFonts w:ascii="Times New Roman" w:hAnsi="Times New Roman" w:cs="Times New Roman"/>
                <w:b/>
                <w:bCs/>
                <w:color w:val="000000" w:themeColor="text1"/>
                <w:sz w:val="22"/>
                <w:szCs w:val="22"/>
              </w:rPr>
              <w:t>Capacité institutionnelle - Développement des compétences techniques et sensibilisation</w:t>
            </w:r>
          </w:p>
        </w:tc>
      </w:tr>
      <w:tr w:rsidR="00BD1A2F" w:rsidRPr="00260790" w14:paraId="273DFBE9" w14:textId="77777777" w:rsidTr="00A00DD5">
        <w:trPr>
          <w:trHeight w:val="2153"/>
        </w:trPr>
        <w:tc>
          <w:tcPr>
            <w:tcW w:w="529" w:type="dxa"/>
            <w:tcBorders>
              <w:top w:val="single" w:sz="4" w:space="0" w:color="auto"/>
              <w:left w:val="single" w:sz="4" w:space="0" w:color="auto"/>
              <w:bottom w:val="single" w:sz="4" w:space="0" w:color="auto"/>
              <w:right w:val="single" w:sz="4" w:space="0" w:color="auto"/>
            </w:tcBorders>
            <w:vAlign w:val="center"/>
            <w:hideMark/>
          </w:tcPr>
          <w:p w14:paraId="37C9F57B" w14:textId="77777777" w:rsidR="008F35C9" w:rsidRPr="00570E16" w:rsidRDefault="008F35C9" w:rsidP="00E20250">
            <w:pPr>
              <w:pStyle w:val="Default"/>
              <w:jc w:val="center"/>
              <w:rPr>
                <w:rFonts w:ascii="Times New Roman" w:hAnsi="Times New Roman" w:cs="Times New Roman"/>
                <w:b/>
                <w:bCs/>
                <w:color w:val="000000" w:themeColor="text1"/>
                <w:sz w:val="22"/>
                <w:szCs w:val="22"/>
              </w:rPr>
            </w:pPr>
            <w:r w:rsidRPr="00570E16">
              <w:rPr>
                <w:rFonts w:ascii="Times New Roman" w:hAnsi="Times New Roman" w:cs="Times New Roman"/>
                <w:b/>
                <w:bCs/>
                <w:color w:val="000000" w:themeColor="text1"/>
                <w:sz w:val="22"/>
                <w:szCs w:val="22"/>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DB53DD" w14:textId="74A9C69B" w:rsidR="008F35C9" w:rsidRPr="00570E16" w:rsidRDefault="008F35C9" w:rsidP="00E20250">
            <w:pPr>
              <w:pStyle w:val="Default"/>
              <w:jc w:val="both"/>
              <w:rPr>
                <w:rFonts w:ascii="Times New Roman" w:hAnsi="Times New Roman" w:cs="Times New Roman"/>
                <w:color w:val="000000" w:themeColor="text1"/>
                <w:sz w:val="22"/>
                <w:szCs w:val="22"/>
              </w:rPr>
            </w:pPr>
            <w:r w:rsidRPr="00570E16">
              <w:rPr>
                <w:rFonts w:ascii="Times New Roman" w:hAnsi="Times New Roman" w:cs="Times New Roman"/>
                <w:color w:val="000000" w:themeColor="text1"/>
                <w:sz w:val="22"/>
                <w:szCs w:val="22"/>
              </w:rPr>
              <w:t xml:space="preserve">Ateliers </w:t>
            </w:r>
            <w:r w:rsidR="00111F0D" w:rsidRPr="00570E16">
              <w:rPr>
                <w:rFonts w:ascii="Times New Roman" w:hAnsi="Times New Roman" w:cs="Times New Roman"/>
                <w:color w:val="000000" w:themeColor="text1"/>
                <w:sz w:val="22"/>
                <w:szCs w:val="22"/>
              </w:rPr>
              <w:t xml:space="preserve">de </w:t>
            </w:r>
            <w:r w:rsidRPr="00570E16">
              <w:rPr>
                <w:rFonts w:ascii="Times New Roman" w:hAnsi="Times New Roman" w:cs="Times New Roman"/>
                <w:color w:val="000000" w:themeColor="text1"/>
                <w:sz w:val="22"/>
                <w:szCs w:val="22"/>
              </w:rPr>
              <w:t>renforce</w:t>
            </w:r>
            <w:r w:rsidR="00111F0D" w:rsidRPr="00570E16">
              <w:rPr>
                <w:rFonts w:ascii="Times New Roman" w:hAnsi="Times New Roman" w:cs="Times New Roman"/>
                <w:color w:val="000000" w:themeColor="text1"/>
                <w:sz w:val="22"/>
                <w:szCs w:val="22"/>
              </w:rPr>
              <w:t>ment</w:t>
            </w:r>
            <w:r w:rsidRPr="00570E16">
              <w:rPr>
                <w:rFonts w:ascii="Times New Roman" w:hAnsi="Times New Roman" w:cs="Times New Roman"/>
                <w:color w:val="000000" w:themeColor="text1"/>
                <w:sz w:val="22"/>
                <w:szCs w:val="22"/>
              </w:rPr>
              <w:t xml:space="preserve"> </w:t>
            </w:r>
            <w:r w:rsidR="00111F0D" w:rsidRPr="00570E16">
              <w:rPr>
                <w:rFonts w:ascii="Times New Roman" w:hAnsi="Times New Roman" w:cs="Times New Roman"/>
                <w:color w:val="000000" w:themeColor="text1"/>
                <w:sz w:val="22"/>
                <w:szCs w:val="22"/>
              </w:rPr>
              <w:t xml:space="preserve">des </w:t>
            </w:r>
            <w:r w:rsidRPr="00570E16">
              <w:rPr>
                <w:rFonts w:ascii="Times New Roman" w:hAnsi="Times New Roman" w:cs="Times New Roman"/>
                <w:color w:val="000000" w:themeColor="text1"/>
                <w:sz w:val="22"/>
                <w:szCs w:val="22"/>
              </w:rPr>
              <w:t>capacité</w:t>
            </w:r>
            <w:r w:rsidR="00547A38" w:rsidRPr="00570E16">
              <w:rPr>
                <w:rFonts w:ascii="Times New Roman" w:hAnsi="Times New Roman" w:cs="Times New Roman"/>
                <w:color w:val="000000" w:themeColor="text1"/>
                <w:sz w:val="22"/>
                <w:szCs w:val="22"/>
              </w:rPr>
              <w:t>s</w:t>
            </w:r>
            <w:r w:rsidRPr="00570E16">
              <w:rPr>
                <w:rFonts w:ascii="Times New Roman" w:hAnsi="Times New Roman" w:cs="Times New Roman"/>
                <w:color w:val="000000" w:themeColor="text1"/>
                <w:sz w:val="22"/>
                <w:szCs w:val="22"/>
              </w:rPr>
              <w:t xml:space="preserve"> du CRSE à gérer les EIES et PGES.</w:t>
            </w:r>
          </w:p>
        </w:tc>
        <w:tc>
          <w:tcPr>
            <w:tcW w:w="4441" w:type="dxa"/>
            <w:tcBorders>
              <w:top w:val="single" w:sz="4" w:space="0" w:color="auto"/>
              <w:left w:val="single" w:sz="4" w:space="0" w:color="auto"/>
              <w:bottom w:val="single" w:sz="4" w:space="0" w:color="auto"/>
              <w:right w:val="single" w:sz="4" w:space="0" w:color="auto"/>
            </w:tcBorders>
            <w:vAlign w:val="center"/>
            <w:hideMark/>
          </w:tcPr>
          <w:p w14:paraId="4E2D1981" w14:textId="77777777" w:rsidR="008F35C9" w:rsidRPr="00570E16" w:rsidRDefault="008F35C9" w:rsidP="001748C6">
            <w:pPr>
              <w:pStyle w:val="Default"/>
              <w:numPr>
                <w:ilvl w:val="0"/>
                <w:numId w:val="98"/>
              </w:numPr>
              <w:jc w:val="both"/>
              <w:rPr>
                <w:rFonts w:ascii="Times New Roman" w:hAnsi="Times New Roman" w:cs="Times New Roman"/>
                <w:color w:val="000000" w:themeColor="text1"/>
                <w:sz w:val="22"/>
                <w:szCs w:val="22"/>
              </w:rPr>
            </w:pPr>
            <w:r w:rsidRPr="00570E16">
              <w:rPr>
                <w:rFonts w:ascii="Times New Roman" w:hAnsi="Times New Roman" w:cs="Times New Roman"/>
                <w:color w:val="000000" w:themeColor="text1"/>
                <w:sz w:val="22"/>
                <w:szCs w:val="22"/>
              </w:rPr>
              <w:t>Composantes du projet, activités connexes connues et enjeux associés ;</w:t>
            </w:r>
          </w:p>
          <w:p w14:paraId="333849FF" w14:textId="77777777" w:rsidR="008F35C9" w:rsidRPr="00570E16" w:rsidRDefault="008F35C9" w:rsidP="001748C6">
            <w:pPr>
              <w:pStyle w:val="Default"/>
              <w:numPr>
                <w:ilvl w:val="0"/>
                <w:numId w:val="98"/>
              </w:numPr>
              <w:jc w:val="both"/>
              <w:rPr>
                <w:rFonts w:ascii="Times New Roman" w:hAnsi="Times New Roman" w:cs="Times New Roman"/>
                <w:color w:val="000000" w:themeColor="text1"/>
                <w:sz w:val="22"/>
                <w:szCs w:val="22"/>
              </w:rPr>
            </w:pPr>
            <w:r w:rsidRPr="00570E16">
              <w:rPr>
                <w:rFonts w:ascii="Times New Roman" w:hAnsi="Times New Roman" w:cs="Times New Roman"/>
                <w:color w:val="000000" w:themeColor="text1"/>
                <w:sz w:val="22"/>
                <w:szCs w:val="22"/>
              </w:rPr>
              <w:t>Renforcement des capacités en matière de suivi du PGES ;</w:t>
            </w:r>
          </w:p>
          <w:p w14:paraId="117B9734" w14:textId="77777777" w:rsidR="008F35C9" w:rsidRPr="00570E16" w:rsidRDefault="008F35C9" w:rsidP="001748C6">
            <w:pPr>
              <w:pStyle w:val="Default"/>
              <w:numPr>
                <w:ilvl w:val="0"/>
                <w:numId w:val="98"/>
              </w:numPr>
              <w:jc w:val="both"/>
              <w:rPr>
                <w:rFonts w:ascii="Times New Roman" w:hAnsi="Times New Roman" w:cs="Times New Roman"/>
                <w:color w:val="000000" w:themeColor="text1"/>
                <w:sz w:val="22"/>
                <w:szCs w:val="22"/>
              </w:rPr>
            </w:pPr>
            <w:r w:rsidRPr="00570E16">
              <w:rPr>
                <w:rFonts w:ascii="Times New Roman" w:hAnsi="Times New Roman" w:cs="Times New Roman"/>
                <w:color w:val="000000" w:themeColor="text1"/>
                <w:sz w:val="22"/>
                <w:szCs w:val="22"/>
              </w:rPr>
              <w:t xml:space="preserve">Nouveau CES de la Banque mondiale ; </w:t>
            </w:r>
          </w:p>
          <w:p w14:paraId="4D645804" w14:textId="77777777" w:rsidR="008F35C9" w:rsidRPr="00570E16" w:rsidRDefault="008F35C9" w:rsidP="001748C6">
            <w:pPr>
              <w:pStyle w:val="Default"/>
              <w:numPr>
                <w:ilvl w:val="0"/>
                <w:numId w:val="98"/>
              </w:numPr>
              <w:jc w:val="both"/>
              <w:rPr>
                <w:rFonts w:ascii="Times New Roman" w:hAnsi="Times New Roman" w:cs="Times New Roman"/>
                <w:color w:val="000000" w:themeColor="text1"/>
                <w:sz w:val="22"/>
                <w:szCs w:val="22"/>
              </w:rPr>
            </w:pPr>
            <w:r w:rsidRPr="00570E16">
              <w:rPr>
                <w:rFonts w:ascii="Times New Roman" w:hAnsi="Times New Roman" w:cs="Times New Roman"/>
                <w:color w:val="000000" w:themeColor="text1"/>
                <w:sz w:val="22"/>
                <w:szCs w:val="22"/>
              </w:rPr>
              <w:t xml:space="preserve">Compréhension des exigences du PGES ; </w:t>
            </w:r>
          </w:p>
          <w:p w14:paraId="1D917F27" w14:textId="77777777" w:rsidR="008F35C9" w:rsidRPr="00570E16" w:rsidRDefault="008F35C9" w:rsidP="001748C6">
            <w:pPr>
              <w:pStyle w:val="Default"/>
              <w:numPr>
                <w:ilvl w:val="0"/>
                <w:numId w:val="98"/>
              </w:numPr>
              <w:jc w:val="both"/>
              <w:rPr>
                <w:rFonts w:ascii="Times New Roman" w:hAnsi="Times New Roman" w:cs="Times New Roman"/>
                <w:color w:val="000000" w:themeColor="text1"/>
                <w:sz w:val="22"/>
                <w:szCs w:val="22"/>
              </w:rPr>
            </w:pPr>
            <w:r w:rsidRPr="00570E16">
              <w:rPr>
                <w:rFonts w:ascii="Times New Roman" w:hAnsi="Times New Roman" w:cs="Times New Roman"/>
                <w:color w:val="000000" w:themeColor="text1"/>
                <w:sz w:val="22"/>
                <w:szCs w:val="22"/>
              </w:rPr>
              <w:t xml:space="preserve">Compréhension des rôles et responsabilités des membres par rapport au PGES ; </w:t>
            </w:r>
          </w:p>
          <w:p w14:paraId="71C7ABA5" w14:textId="283E62F2" w:rsidR="008F35C9" w:rsidRPr="00570E16" w:rsidRDefault="008F35C9" w:rsidP="001748C6">
            <w:pPr>
              <w:pStyle w:val="Default"/>
              <w:numPr>
                <w:ilvl w:val="0"/>
                <w:numId w:val="98"/>
              </w:numPr>
              <w:jc w:val="both"/>
              <w:rPr>
                <w:rFonts w:ascii="Times New Roman" w:hAnsi="Times New Roman" w:cs="Times New Roman"/>
                <w:color w:val="000000" w:themeColor="text1"/>
                <w:sz w:val="22"/>
                <w:szCs w:val="22"/>
              </w:rPr>
            </w:pPr>
            <w:r w:rsidRPr="00570E16">
              <w:rPr>
                <w:rFonts w:ascii="Times New Roman" w:hAnsi="Times New Roman" w:cs="Times New Roman"/>
                <w:color w:val="000000" w:themeColor="text1"/>
                <w:sz w:val="22"/>
                <w:szCs w:val="22"/>
              </w:rPr>
              <w:t>Développement des compétences des membres du CRSE en matière de prévention et de traitement des A</w:t>
            </w:r>
            <w:r w:rsidR="005D3627" w:rsidRPr="00570E16">
              <w:rPr>
                <w:rFonts w:ascii="Times New Roman" w:hAnsi="Times New Roman" w:cs="Times New Roman"/>
                <w:color w:val="000000" w:themeColor="text1"/>
                <w:sz w:val="22"/>
                <w:szCs w:val="22"/>
              </w:rPr>
              <w:t>E</w:t>
            </w:r>
            <w:r w:rsidRPr="00570E16">
              <w:rPr>
                <w:rFonts w:ascii="Times New Roman" w:hAnsi="Times New Roman" w:cs="Times New Roman"/>
                <w:color w:val="000000" w:themeColor="text1"/>
                <w:sz w:val="22"/>
                <w:szCs w:val="22"/>
              </w:rPr>
              <w:t xml:space="preserve">S/HS, violences faites aux enfants, etc. </w:t>
            </w:r>
          </w:p>
        </w:tc>
        <w:tc>
          <w:tcPr>
            <w:tcW w:w="1702" w:type="dxa"/>
            <w:tcBorders>
              <w:top w:val="single" w:sz="4" w:space="0" w:color="auto"/>
              <w:left w:val="single" w:sz="4" w:space="0" w:color="auto"/>
              <w:bottom w:val="single" w:sz="4" w:space="0" w:color="auto"/>
              <w:right w:val="single" w:sz="4" w:space="0" w:color="auto"/>
            </w:tcBorders>
            <w:vAlign w:val="center"/>
            <w:hideMark/>
          </w:tcPr>
          <w:p w14:paraId="1410C6CA" w14:textId="0AD13497" w:rsidR="008F35C9" w:rsidRPr="00570E16" w:rsidRDefault="008F35C9" w:rsidP="00E20250">
            <w:pPr>
              <w:pStyle w:val="Default"/>
              <w:jc w:val="both"/>
              <w:rPr>
                <w:rFonts w:ascii="Times New Roman" w:hAnsi="Times New Roman" w:cs="Times New Roman"/>
                <w:color w:val="000000" w:themeColor="text1"/>
                <w:sz w:val="22"/>
                <w:szCs w:val="22"/>
              </w:rPr>
            </w:pPr>
            <w:r w:rsidRPr="00570E16">
              <w:rPr>
                <w:rFonts w:ascii="Times New Roman" w:hAnsi="Times New Roman" w:cs="Times New Roman"/>
                <w:color w:val="000000" w:themeColor="text1"/>
                <w:sz w:val="22"/>
                <w:szCs w:val="22"/>
              </w:rPr>
              <w:t>D</w:t>
            </w:r>
            <w:r w:rsidR="00764275" w:rsidRPr="00570E16">
              <w:rPr>
                <w:rFonts w:ascii="Times New Roman" w:hAnsi="Times New Roman" w:cs="Times New Roman"/>
                <w:color w:val="000000" w:themeColor="text1"/>
                <w:sz w:val="22"/>
                <w:szCs w:val="22"/>
              </w:rPr>
              <w:t>IR</w:t>
            </w:r>
            <w:r w:rsidRPr="00570E16">
              <w:rPr>
                <w:rFonts w:ascii="Times New Roman" w:hAnsi="Times New Roman" w:cs="Times New Roman"/>
                <w:color w:val="000000" w:themeColor="text1"/>
                <w:sz w:val="22"/>
                <w:szCs w:val="22"/>
              </w:rPr>
              <w:t xml:space="preserve">EC/CRSE, </w:t>
            </w:r>
          </w:p>
          <w:p w14:paraId="62A6F1F2" w14:textId="77777777" w:rsidR="008F35C9" w:rsidRPr="00570E16" w:rsidRDefault="008F35C9" w:rsidP="00E20250">
            <w:pPr>
              <w:pStyle w:val="Default"/>
              <w:jc w:val="both"/>
              <w:rPr>
                <w:rFonts w:ascii="Times New Roman" w:hAnsi="Times New Roman" w:cs="Times New Roman"/>
                <w:color w:val="000000" w:themeColor="text1"/>
                <w:sz w:val="22"/>
                <w:szCs w:val="22"/>
              </w:rPr>
            </w:pPr>
            <w:r w:rsidRPr="00570E16">
              <w:rPr>
                <w:rFonts w:ascii="Times New Roman" w:hAnsi="Times New Roman" w:cs="Times New Roman"/>
                <w:color w:val="000000" w:themeColor="text1"/>
                <w:sz w:val="22"/>
                <w:szCs w:val="22"/>
              </w:rPr>
              <w:t xml:space="preserve">Autorités administratives </w:t>
            </w:r>
          </w:p>
        </w:tc>
        <w:tc>
          <w:tcPr>
            <w:tcW w:w="1511" w:type="dxa"/>
            <w:gridSpan w:val="2"/>
            <w:tcBorders>
              <w:top w:val="single" w:sz="4" w:space="0" w:color="auto"/>
              <w:left w:val="single" w:sz="4" w:space="0" w:color="auto"/>
              <w:bottom w:val="single" w:sz="4" w:space="0" w:color="auto"/>
              <w:right w:val="single" w:sz="4" w:space="0" w:color="auto"/>
            </w:tcBorders>
            <w:vAlign w:val="center"/>
            <w:hideMark/>
          </w:tcPr>
          <w:p w14:paraId="399CC474" w14:textId="5185ABF2" w:rsidR="008F35C9" w:rsidRPr="00570E16" w:rsidRDefault="00111F0D" w:rsidP="00E20250">
            <w:pPr>
              <w:pStyle w:val="Default"/>
              <w:jc w:val="both"/>
              <w:rPr>
                <w:rFonts w:ascii="Times New Roman" w:hAnsi="Times New Roman" w:cs="Times New Roman"/>
                <w:color w:val="000000" w:themeColor="text1"/>
                <w:sz w:val="22"/>
                <w:szCs w:val="22"/>
              </w:rPr>
            </w:pPr>
            <w:r w:rsidRPr="00570E16">
              <w:rPr>
                <w:rFonts w:ascii="Times New Roman" w:hAnsi="Times New Roman" w:cs="Times New Roman"/>
                <w:color w:val="000000" w:themeColor="text1"/>
                <w:sz w:val="22"/>
                <w:szCs w:val="22"/>
              </w:rPr>
              <w:t>1</w:t>
            </w:r>
            <w:r w:rsidR="008F35C9" w:rsidRPr="00570E16">
              <w:rPr>
                <w:rFonts w:ascii="Times New Roman" w:hAnsi="Times New Roman" w:cs="Times New Roman"/>
                <w:color w:val="000000" w:themeColor="text1"/>
                <w:sz w:val="22"/>
                <w:szCs w:val="22"/>
              </w:rPr>
              <w:t>5 000 000</w:t>
            </w:r>
            <w:r w:rsidR="00B64971">
              <w:rPr>
                <w:rStyle w:val="Appelnotedebasdep"/>
                <w:rFonts w:ascii="Times New Roman" w:hAnsi="Times New Roman" w:cs="Times New Roman"/>
                <w:color w:val="000000" w:themeColor="text1"/>
                <w:sz w:val="22"/>
                <w:szCs w:val="22"/>
              </w:rPr>
              <w:footnoteReference w:id="6"/>
            </w:r>
          </w:p>
          <w:p w14:paraId="4E29736D" w14:textId="77777777" w:rsidR="008F35C9" w:rsidRPr="00570E16" w:rsidRDefault="008F35C9" w:rsidP="00E20250">
            <w:pPr>
              <w:pStyle w:val="Default"/>
              <w:jc w:val="both"/>
              <w:rPr>
                <w:rFonts w:ascii="Times New Roman" w:hAnsi="Times New Roman" w:cs="Times New Roman"/>
                <w:color w:val="000000" w:themeColor="text1"/>
                <w:sz w:val="22"/>
                <w:szCs w:val="22"/>
              </w:rPr>
            </w:pPr>
            <w:r w:rsidRPr="00570E16">
              <w:rPr>
                <w:rFonts w:ascii="Times New Roman" w:hAnsi="Times New Roman" w:cs="Times New Roman"/>
                <w:color w:val="000000" w:themeColor="text1"/>
                <w:sz w:val="22"/>
                <w:szCs w:val="22"/>
              </w:rPr>
              <w:t xml:space="preserve"> </w:t>
            </w:r>
          </w:p>
        </w:tc>
      </w:tr>
      <w:tr w:rsidR="00BD1A2F" w:rsidRPr="00260790" w14:paraId="2A1B4C43" w14:textId="77777777" w:rsidTr="00A00DD5">
        <w:trPr>
          <w:trHeight w:val="81"/>
        </w:trPr>
        <w:tc>
          <w:tcPr>
            <w:tcW w:w="529" w:type="dxa"/>
            <w:tcBorders>
              <w:top w:val="single" w:sz="4" w:space="0" w:color="auto"/>
              <w:left w:val="single" w:sz="4" w:space="0" w:color="auto"/>
              <w:bottom w:val="single" w:sz="4" w:space="0" w:color="auto"/>
              <w:right w:val="single" w:sz="4" w:space="0" w:color="auto"/>
            </w:tcBorders>
            <w:vAlign w:val="center"/>
            <w:hideMark/>
          </w:tcPr>
          <w:p w14:paraId="0FF5CEEC" w14:textId="77777777" w:rsidR="008F35C9" w:rsidRPr="00260790" w:rsidRDefault="008F35C9" w:rsidP="00E20250">
            <w:pPr>
              <w:pStyle w:val="Default"/>
              <w:jc w:val="center"/>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40FECD4" w14:textId="77777777" w:rsidR="008F35C9" w:rsidRPr="00260790" w:rsidRDefault="008F35C9" w:rsidP="00E20250">
            <w:pPr>
              <w:pStyle w:val="Default"/>
              <w:jc w:val="both"/>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Renforcement des capacités du personnel de l’ADM (Ingénieurs, ESES/chef de projet)</w:t>
            </w:r>
          </w:p>
        </w:tc>
        <w:tc>
          <w:tcPr>
            <w:tcW w:w="4441" w:type="dxa"/>
            <w:tcBorders>
              <w:top w:val="single" w:sz="4" w:space="0" w:color="auto"/>
              <w:left w:val="single" w:sz="4" w:space="0" w:color="auto"/>
              <w:bottom w:val="single" w:sz="4" w:space="0" w:color="auto"/>
              <w:right w:val="single" w:sz="4" w:space="0" w:color="auto"/>
            </w:tcBorders>
            <w:vAlign w:val="center"/>
            <w:hideMark/>
          </w:tcPr>
          <w:p w14:paraId="51FD6A97" w14:textId="77777777" w:rsidR="008F35C9" w:rsidRPr="00260790" w:rsidRDefault="008F35C9" w:rsidP="001748C6">
            <w:pPr>
              <w:pStyle w:val="Default"/>
              <w:numPr>
                <w:ilvl w:val="0"/>
                <w:numId w:val="99"/>
              </w:numPr>
              <w:jc w:val="both"/>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 xml:space="preserve">Compréhension des questions de sauvegarde environnementale et sociale ; </w:t>
            </w:r>
          </w:p>
          <w:p w14:paraId="01EEFA13" w14:textId="77777777" w:rsidR="008F35C9" w:rsidRPr="00260790" w:rsidRDefault="008F35C9" w:rsidP="001748C6">
            <w:pPr>
              <w:pStyle w:val="Default"/>
              <w:numPr>
                <w:ilvl w:val="0"/>
                <w:numId w:val="99"/>
              </w:numPr>
              <w:jc w:val="both"/>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Compréhension des rôles et responsabilités du personnel de l’ADM dans la mise en œuvre du PGES ;</w:t>
            </w:r>
          </w:p>
          <w:p w14:paraId="47FC6EDD" w14:textId="7C66AD1C" w:rsidR="008F35C9" w:rsidRPr="00260790" w:rsidRDefault="008F35C9" w:rsidP="001748C6">
            <w:pPr>
              <w:pStyle w:val="Default"/>
              <w:numPr>
                <w:ilvl w:val="0"/>
                <w:numId w:val="99"/>
              </w:numPr>
              <w:jc w:val="both"/>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Prévention et prise en charge des A</w:t>
            </w:r>
            <w:r w:rsidR="005D3627" w:rsidRPr="00260790">
              <w:rPr>
                <w:rFonts w:ascii="Times New Roman" w:hAnsi="Times New Roman" w:cs="Times New Roman"/>
                <w:color w:val="000000" w:themeColor="text1"/>
                <w:sz w:val="22"/>
                <w:szCs w:val="22"/>
              </w:rPr>
              <w:t>E</w:t>
            </w:r>
            <w:r w:rsidRPr="00260790">
              <w:rPr>
                <w:rFonts w:ascii="Times New Roman" w:hAnsi="Times New Roman" w:cs="Times New Roman"/>
                <w:color w:val="000000" w:themeColor="text1"/>
                <w:sz w:val="22"/>
                <w:szCs w:val="22"/>
              </w:rPr>
              <w:t>S/HS ;</w:t>
            </w:r>
          </w:p>
          <w:p w14:paraId="3A35E476" w14:textId="77777777" w:rsidR="008F35C9" w:rsidRPr="00260790" w:rsidRDefault="008F35C9" w:rsidP="001748C6">
            <w:pPr>
              <w:pStyle w:val="Default"/>
              <w:numPr>
                <w:ilvl w:val="0"/>
                <w:numId w:val="99"/>
              </w:numPr>
              <w:jc w:val="both"/>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Rôle et fonctionnement du mécanisme de gestion des plaintes.</w:t>
            </w:r>
          </w:p>
        </w:tc>
        <w:tc>
          <w:tcPr>
            <w:tcW w:w="1702" w:type="dxa"/>
            <w:tcBorders>
              <w:top w:val="single" w:sz="4" w:space="0" w:color="auto"/>
              <w:left w:val="single" w:sz="4" w:space="0" w:color="auto"/>
              <w:bottom w:val="single" w:sz="4" w:space="0" w:color="auto"/>
              <w:right w:val="single" w:sz="4" w:space="0" w:color="auto"/>
            </w:tcBorders>
            <w:vAlign w:val="center"/>
          </w:tcPr>
          <w:p w14:paraId="408A5AFC" w14:textId="77777777" w:rsidR="008F35C9" w:rsidRPr="00260790" w:rsidRDefault="008F35C9" w:rsidP="00E20250">
            <w:pPr>
              <w:pStyle w:val="Default"/>
              <w:jc w:val="both"/>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ESE / ESS</w:t>
            </w:r>
          </w:p>
          <w:p w14:paraId="16D14067" w14:textId="77777777" w:rsidR="008F35C9" w:rsidRPr="00260790" w:rsidRDefault="008F35C9" w:rsidP="00E20250">
            <w:pPr>
              <w:pStyle w:val="Default"/>
              <w:jc w:val="both"/>
              <w:rPr>
                <w:rFonts w:ascii="Times New Roman" w:hAnsi="Times New Roman" w:cs="Times New Roman"/>
                <w:color w:val="000000" w:themeColor="text1"/>
                <w:sz w:val="22"/>
                <w:szCs w:val="22"/>
              </w:rPr>
            </w:pPr>
          </w:p>
          <w:p w14:paraId="74A07480" w14:textId="77777777" w:rsidR="008F35C9" w:rsidRPr="00260790" w:rsidRDefault="008F35C9" w:rsidP="00E20250">
            <w:pPr>
              <w:pStyle w:val="Default"/>
              <w:jc w:val="both"/>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Chef de projet</w:t>
            </w:r>
          </w:p>
          <w:p w14:paraId="4AA23E79" w14:textId="77777777" w:rsidR="008F35C9" w:rsidRPr="00260790" w:rsidRDefault="008F35C9" w:rsidP="00E20250">
            <w:pPr>
              <w:pStyle w:val="Default"/>
              <w:jc w:val="both"/>
              <w:rPr>
                <w:rFonts w:ascii="Times New Roman" w:hAnsi="Times New Roman" w:cs="Times New Roman"/>
                <w:color w:val="000000" w:themeColor="text1"/>
                <w:sz w:val="22"/>
                <w:szCs w:val="22"/>
              </w:rPr>
            </w:pPr>
          </w:p>
          <w:p w14:paraId="4D43780E" w14:textId="77777777" w:rsidR="008F35C9" w:rsidRPr="00260790" w:rsidRDefault="008F35C9" w:rsidP="00E20250">
            <w:pPr>
              <w:pStyle w:val="Default"/>
              <w:jc w:val="both"/>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 xml:space="preserve">Ingénieur </w:t>
            </w:r>
          </w:p>
        </w:tc>
        <w:tc>
          <w:tcPr>
            <w:tcW w:w="1511" w:type="dxa"/>
            <w:gridSpan w:val="2"/>
            <w:tcBorders>
              <w:top w:val="single" w:sz="4" w:space="0" w:color="auto"/>
              <w:left w:val="single" w:sz="4" w:space="0" w:color="auto"/>
              <w:bottom w:val="single" w:sz="4" w:space="0" w:color="auto"/>
              <w:right w:val="single" w:sz="4" w:space="0" w:color="auto"/>
            </w:tcBorders>
            <w:vAlign w:val="center"/>
            <w:hideMark/>
          </w:tcPr>
          <w:p w14:paraId="30619198" w14:textId="0C67A164" w:rsidR="008F35C9" w:rsidRPr="00260790" w:rsidRDefault="00111F0D" w:rsidP="00E20250">
            <w:pPr>
              <w:pStyle w:val="Default"/>
              <w:jc w:val="both"/>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1</w:t>
            </w:r>
            <w:r w:rsidR="008F35C9" w:rsidRPr="00260790">
              <w:rPr>
                <w:rFonts w:ascii="Times New Roman" w:hAnsi="Times New Roman" w:cs="Times New Roman"/>
                <w:color w:val="000000" w:themeColor="text1"/>
                <w:sz w:val="22"/>
                <w:szCs w:val="22"/>
              </w:rPr>
              <w:t>5 000 000</w:t>
            </w:r>
            <w:r w:rsidR="00B64971">
              <w:rPr>
                <w:rStyle w:val="Appelnotedebasdep"/>
                <w:rFonts w:ascii="Times New Roman" w:hAnsi="Times New Roman" w:cs="Times New Roman"/>
                <w:color w:val="000000" w:themeColor="text1"/>
                <w:sz w:val="22"/>
                <w:szCs w:val="22"/>
              </w:rPr>
              <w:footnoteReference w:id="7"/>
            </w:r>
          </w:p>
        </w:tc>
      </w:tr>
      <w:tr w:rsidR="00BD1A2F" w:rsidRPr="00260790" w14:paraId="3F7CFC47" w14:textId="77777777" w:rsidTr="00A00DD5">
        <w:trPr>
          <w:trHeight w:val="110"/>
        </w:trPr>
        <w:tc>
          <w:tcPr>
            <w:tcW w:w="9884" w:type="dxa"/>
            <w:gridSpan w:val="6"/>
            <w:tcBorders>
              <w:top w:val="single" w:sz="4" w:space="0" w:color="auto"/>
              <w:left w:val="single" w:sz="4" w:space="0" w:color="auto"/>
              <w:bottom w:val="single" w:sz="4" w:space="0" w:color="auto"/>
              <w:right w:val="single" w:sz="4" w:space="0" w:color="auto"/>
            </w:tcBorders>
            <w:vAlign w:val="center"/>
            <w:hideMark/>
          </w:tcPr>
          <w:p w14:paraId="74496A39" w14:textId="77777777" w:rsidR="008F35C9" w:rsidRPr="00260790" w:rsidRDefault="008F35C9" w:rsidP="00E20250">
            <w:pPr>
              <w:pStyle w:val="Default"/>
              <w:jc w:val="both"/>
              <w:rPr>
                <w:rFonts w:ascii="Times New Roman" w:hAnsi="Times New Roman" w:cs="Times New Roman"/>
                <w:color w:val="000000" w:themeColor="text1"/>
                <w:sz w:val="22"/>
                <w:szCs w:val="22"/>
              </w:rPr>
            </w:pPr>
            <w:r w:rsidRPr="00260790">
              <w:rPr>
                <w:rFonts w:ascii="Times New Roman" w:hAnsi="Times New Roman" w:cs="Times New Roman"/>
                <w:b/>
                <w:bCs/>
                <w:color w:val="000000" w:themeColor="text1"/>
                <w:sz w:val="22"/>
                <w:szCs w:val="22"/>
              </w:rPr>
              <w:t>Sensibilisation du public - Éducation, communication et fourniture d'informations</w:t>
            </w:r>
          </w:p>
        </w:tc>
      </w:tr>
      <w:tr w:rsidR="00BD1A2F" w:rsidRPr="00260790" w14:paraId="2B5C4AA8" w14:textId="77777777" w:rsidTr="00A00DD5">
        <w:trPr>
          <w:trHeight w:val="1345"/>
        </w:trPr>
        <w:tc>
          <w:tcPr>
            <w:tcW w:w="529" w:type="dxa"/>
            <w:tcBorders>
              <w:top w:val="single" w:sz="4" w:space="0" w:color="auto"/>
              <w:left w:val="single" w:sz="4" w:space="0" w:color="auto"/>
              <w:bottom w:val="single" w:sz="4" w:space="0" w:color="auto"/>
              <w:right w:val="single" w:sz="4" w:space="0" w:color="auto"/>
            </w:tcBorders>
            <w:vAlign w:val="center"/>
            <w:hideMark/>
          </w:tcPr>
          <w:p w14:paraId="38E6F51A" w14:textId="491DBE0C" w:rsidR="008F35C9" w:rsidRPr="00260790" w:rsidRDefault="00F738F7" w:rsidP="00E20250">
            <w:pPr>
              <w:pStyle w:val="Default"/>
              <w:jc w:val="center"/>
              <w:rPr>
                <w:rFonts w:ascii="Times New Roman" w:hAnsi="Times New Roman" w:cs="Times New Roman"/>
                <w:b/>
                <w:bCs/>
                <w:color w:val="000000" w:themeColor="text1"/>
                <w:sz w:val="22"/>
                <w:szCs w:val="22"/>
              </w:rPr>
            </w:pPr>
            <w:r w:rsidRPr="00260790">
              <w:rPr>
                <w:rFonts w:ascii="Times New Roman" w:hAnsi="Times New Roman" w:cs="Times New Roman"/>
                <w:b/>
                <w:bCs/>
                <w:color w:val="000000" w:themeColor="text1"/>
                <w:sz w:val="22"/>
                <w:szCs w:val="22"/>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F55C0F6" w14:textId="77777777" w:rsidR="008F35C9" w:rsidRPr="00260790" w:rsidRDefault="008F35C9" w:rsidP="00E20250">
            <w:pPr>
              <w:pStyle w:val="Default"/>
              <w:jc w:val="both"/>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Sensibilisation des Communautés riveraines</w:t>
            </w:r>
          </w:p>
        </w:tc>
        <w:tc>
          <w:tcPr>
            <w:tcW w:w="4441" w:type="dxa"/>
            <w:tcBorders>
              <w:top w:val="single" w:sz="4" w:space="0" w:color="auto"/>
              <w:left w:val="single" w:sz="4" w:space="0" w:color="auto"/>
              <w:bottom w:val="single" w:sz="4" w:space="0" w:color="auto"/>
              <w:right w:val="single" w:sz="4" w:space="0" w:color="auto"/>
            </w:tcBorders>
            <w:vAlign w:val="center"/>
            <w:hideMark/>
          </w:tcPr>
          <w:p w14:paraId="67D86106" w14:textId="7FD461EE" w:rsidR="008F35C9" w:rsidRPr="00260790" w:rsidRDefault="008F35C9" w:rsidP="001748C6">
            <w:pPr>
              <w:pStyle w:val="Default"/>
              <w:numPr>
                <w:ilvl w:val="0"/>
                <w:numId w:val="100"/>
              </w:numPr>
              <w:jc w:val="both"/>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Sensibilisation du public aux questions relatives au projet (Enjeu</w:t>
            </w:r>
            <w:r w:rsidR="00AB4AB5" w:rsidRPr="00260790">
              <w:rPr>
                <w:rFonts w:ascii="Times New Roman" w:hAnsi="Times New Roman" w:cs="Times New Roman"/>
                <w:color w:val="000000" w:themeColor="text1"/>
                <w:sz w:val="22"/>
                <w:szCs w:val="22"/>
              </w:rPr>
              <w:t xml:space="preserve">x environnementaux et sociaux, </w:t>
            </w:r>
            <w:r w:rsidR="005D3627" w:rsidRPr="00260790">
              <w:rPr>
                <w:rFonts w:ascii="Times New Roman" w:hAnsi="Times New Roman" w:cs="Times New Roman"/>
                <w:color w:val="000000" w:themeColor="text1"/>
                <w:sz w:val="22"/>
                <w:szCs w:val="22"/>
              </w:rPr>
              <w:t>E</w:t>
            </w:r>
            <w:r w:rsidR="00AB4AB5" w:rsidRPr="00260790">
              <w:rPr>
                <w:rFonts w:ascii="Times New Roman" w:hAnsi="Times New Roman" w:cs="Times New Roman"/>
                <w:color w:val="000000" w:themeColor="text1"/>
                <w:sz w:val="22"/>
                <w:szCs w:val="22"/>
              </w:rPr>
              <w:t>A</w:t>
            </w:r>
            <w:r w:rsidRPr="00260790">
              <w:rPr>
                <w:rFonts w:ascii="Times New Roman" w:hAnsi="Times New Roman" w:cs="Times New Roman"/>
                <w:color w:val="000000" w:themeColor="text1"/>
                <w:sz w:val="22"/>
                <w:szCs w:val="22"/>
              </w:rPr>
              <w:t xml:space="preserve">S/HS, VCE et MGP, etc.) ; </w:t>
            </w:r>
          </w:p>
          <w:p w14:paraId="730F2434" w14:textId="77777777" w:rsidR="008F35C9" w:rsidRPr="00260790" w:rsidRDefault="008F35C9" w:rsidP="001748C6">
            <w:pPr>
              <w:pStyle w:val="Default"/>
              <w:numPr>
                <w:ilvl w:val="0"/>
                <w:numId w:val="100"/>
              </w:numPr>
              <w:jc w:val="both"/>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Sensibilisation des populations sur les maladies (VIH).</w:t>
            </w:r>
          </w:p>
        </w:tc>
        <w:tc>
          <w:tcPr>
            <w:tcW w:w="1702" w:type="dxa"/>
            <w:tcBorders>
              <w:top w:val="single" w:sz="4" w:space="0" w:color="auto"/>
              <w:left w:val="single" w:sz="4" w:space="0" w:color="auto"/>
              <w:bottom w:val="single" w:sz="4" w:space="0" w:color="auto"/>
              <w:right w:val="single" w:sz="4" w:space="0" w:color="auto"/>
            </w:tcBorders>
            <w:vAlign w:val="center"/>
            <w:hideMark/>
          </w:tcPr>
          <w:p w14:paraId="26ECD6DA" w14:textId="77777777" w:rsidR="008F35C9" w:rsidRPr="00260790" w:rsidRDefault="008F35C9" w:rsidP="00E20250">
            <w:pPr>
              <w:pStyle w:val="Default"/>
              <w:jc w:val="both"/>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Collectivités territoriales</w:t>
            </w:r>
          </w:p>
          <w:p w14:paraId="66FB3BB0" w14:textId="4856680C" w:rsidR="008F35C9" w:rsidRPr="00260790" w:rsidRDefault="008F35C9" w:rsidP="00E20250">
            <w:pPr>
              <w:pStyle w:val="Default"/>
              <w:jc w:val="both"/>
              <w:rPr>
                <w:rFonts w:ascii="Times New Roman" w:hAnsi="Times New Roman" w:cs="Times New Roman"/>
                <w:color w:val="000000" w:themeColor="text1"/>
                <w:sz w:val="22"/>
                <w:szCs w:val="22"/>
              </w:rPr>
            </w:pPr>
            <w:r w:rsidRPr="00260790">
              <w:rPr>
                <w:rFonts w:ascii="Times New Roman" w:hAnsi="Times New Roman" w:cs="Times New Roman"/>
                <w:color w:val="000000" w:themeColor="text1"/>
                <w:sz w:val="22"/>
                <w:szCs w:val="22"/>
              </w:rPr>
              <w:t xml:space="preserve">Le grand public, en particulier les communautés </w:t>
            </w:r>
          </w:p>
        </w:tc>
        <w:tc>
          <w:tcPr>
            <w:tcW w:w="1511" w:type="dxa"/>
            <w:gridSpan w:val="2"/>
            <w:tcBorders>
              <w:top w:val="single" w:sz="4" w:space="0" w:color="auto"/>
              <w:left w:val="single" w:sz="4" w:space="0" w:color="auto"/>
              <w:bottom w:val="single" w:sz="4" w:space="0" w:color="auto"/>
              <w:right w:val="single" w:sz="4" w:space="0" w:color="auto"/>
            </w:tcBorders>
            <w:vAlign w:val="center"/>
            <w:hideMark/>
          </w:tcPr>
          <w:p w14:paraId="4F2DCE9D" w14:textId="3E0D9615" w:rsidR="008F35C9" w:rsidRPr="00260790" w:rsidRDefault="00024E59" w:rsidP="00E20250">
            <w:pPr>
              <w:pStyle w:val="Default"/>
              <w:jc w:val="both"/>
              <w:rPr>
                <w:rFonts w:ascii="Times New Roman" w:hAnsi="Times New Roman" w:cs="Times New Roman"/>
                <w:color w:val="000000" w:themeColor="text1"/>
                <w:sz w:val="22"/>
                <w:szCs w:val="22"/>
              </w:rPr>
            </w:pPr>
            <w:r w:rsidRPr="00757795">
              <w:rPr>
                <w:rFonts w:ascii="Times New Roman" w:hAnsi="Times New Roman" w:cs="Times New Roman"/>
                <w:color w:val="000000" w:themeColor="text1"/>
                <w:sz w:val="22"/>
                <w:szCs w:val="22"/>
              </w:rPr>
              <w:t>PM</w:t>
            </w:r>
            <w:r w:rsidR="00502D7A" w:rsidRPr="00757795">
              <w:rPr>
                <w:rFonts w:ascii="Times New Roman" w:hAnsi="Times New Roman" w:cs="Times New Roman"/>
                <w:color w:val="000000" w:themeColor="text1"/>
                <w:sz w:val="22"/>
                <w:szCs w:val="22"/>
              </w:rPr>
              <w:t xml:space="preserve"> </w:t>
            </w:r>
            <w:r w:rsidR="00EF3629">
              <w:rPr>
                <w:rFonts w:ascii="Times New Roman" w:hAnsi="Times New Roman" w:cs="Times New Roman"/>
                <w:color w:val="000000" w:themeColor="text1"/>
                <w:sz w:val="22"/>
                <w:szCs w:val="22"/>
              </w:rPr>
              <w:t>(</w:t>
            </w:r>
            <w:r w:rsidR="00502D7A" w:rsidRPr="0097258B">
              <w:rPr>
                <w:rFonts w:ascii="Times New Roman" w:hAnsi="Times New Roman"/>
                <w:sz w:val="22"/>
                <w:szCs w:val="22"/>
              </w:rPr>
              <w:t>pris en compte par le</w:t>
            </w:r>
            <w:r w:rsidR="00EF3629">
              <w:rPr>
                <w:rFonts w:ascii="Times New Roman" w:hAnsi="Times New Roman"/>
                <w:sz w:val="22"/>
                <w:szCs w:val="22"/>
              </w:rPr>
              <w:t xml:space="preserve"> PMPP via la facilitation sociale)</w:t>
            </w:r>
          </w:p>
        </w:tc>
      </w:tr>
      <w:tr w:rsidR="00BD1A2F" w:rsidRPr="00260790" w14:paraId="5B2C0381" w14:textId="77777777" w:rsidTr="00A00DD5">
        <w:trPr>
          <w:trHeight w:val="110"/>
        </w:trPr>
        <w:tc>
          <w:tcPr>
            <w:tcW w:w="8382" w:type="dxa"/>
            <w:gridSpan w:val="5"/>
            <w:tcBorders>
              <w:top w:val="single" w:sz="4" w:space="0" w:color="auto"/>
              <w:left w:val="single" w:sz="4" w:space="0" w:color="auto"/>
              <w:bottom w:val="single" w:sz="4" w:space="0" w:color="auto"/>
              <w:right w:val="single" w:sz="4" w:space="0" w:color="auto"/>
            </w:tcBorders>
            <w:shd w:val="clear" w:color="auto" w:fill="FFFF00"/>
            <w:vAlign w:val="center"/>
            <w:hideMark/>
          </w:tcPr>
          <w:p w14:paraId="0EA8DEE8" w14:textId="77777777" w:rsidR="008F35C9" w:rsidRPr="00260790" w:rsidRDefault="008F35C9" w:rsidP="00E20250">
            <w:pPr>
              <w:pStyle w:val="Default"/>
              <w:jc w:val="center"/>
              <w:rPr>
                <w:rFonts w:ascii="Times New Roman" w:hAnsi="Times New Roman" w:cs="Times New Roman"/>
                <w:color w:val="000000" w:themeColor="text1"/>
                <w:sz w:val="22"/>
                <w:szCs w:val="22"/>
              </w:rPr>
            </w:pPr>
            <w:r w:rsidRPr="00260790">
              <w:rPr>
                <w:rFonts w:ascii="Times New Roman" w:hAnsi="Times New Roman" w:cs="Times New Roman"/>
                <w:b/>
                <w:bCs/>
                <w:color w:val="000000" w:themeColor="text1"/>
                <w:sz w:val="22"/>
                <w:szCs w:val="22"/>
              </w:rPr>
              <w:t>TOTAL</w:t>
            </w:r>
          </w:p>
        </w:tc>
        <w:tc>
          <w:tcPr>
            <w:tcW w:w="150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F7C35E1" w14:textId="76D89CCD" w:rsidR="008F35C9" w:rsidRPr="00260790" w:rsidRDefault="00024E59" w:rsidP="00E20250">
            <w:pPr>
              <w:pStyle w:val="Default"/>
              <w:jc w:val="both"/>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30</w:t>
            </w:r>
            <w:r w:rsidRPr="00260790">
              <w:rPr>
                <w:rFonts w:ascii="Times New Roman" w:hAnsi="Times New Roman" w:cs="Times New Roman"/>
                <w:b/>
                <w:bCs/>
                <w:color w:val="000000" w:themeColor="text1"/>
                <w:sz w:val="22"/>
                <w:szCs w:val="22"/>
              </w:rPr>
              <w:t> </w:t>
            </w:r>
            <w:r w:rsidR="008F35C9" w:rsidRPr="00260790">
              <w:rPr>
                <w:rFonts w:ascii="Times New Roman" w:hAnsi="Times New Roman" w:cs="Times New Roman"/>
                <w:b/>
                <w:bCs/>
                <w:color w:val="000000" w:themeColor="text1"/>
                <w:sz w:val="22"/>
                <w:szCs w:val="22"/>
              </w:rPr>
              <w:t xml:space="preserve">000 000 </w:t>
            </w:r>
          </w:p>
        </w:tc>
      </w:tr>
    </w:tbl>
    <w:p w14:paraId="0FBC41AF" w14:textId="77777777" w:rsidR="008F35C9" w:rsidRPr="00260790" w:rsidRDefault="008F35C9" w:rsidP="003B6588">
      <w:pPr>
        <w:pStyle w:val="CHAPITRE1"/>
        <w:rPr>
          <w:rFonts w:cs="Times New Roman"/>
        </w:rPr>
      </w:pPr>
      <w:bookmarkStart w:id="2495" w:name="_Toc33708692"/>
      <w:bookmarkStart w:id="2496" w:name="_Toc38223844"/>
      <w:bookmarkStart w:id="2497" w:name="_Toc38224468"/>
      <w:bookmarkStart w:id="2498" w:name="_Toc38232162"/>
      <w:bookmarkStart w:id="2499" w:name="_Toc40838982"/>
      <w:bookmarkStart w:id="2500" w:name="_Toc40839206"/>
      <w:bookmarkStart w:id="2501" w:name="_Toc68109781"/>
      <w:bookmarkStart w:id="2502" w:name="_Toc56160218"/>
      <w:bookmarkStart w:id="2503" w:name="_Toc212725189"/>
      <w:bookmarkEnd w:id="2495"/>
      <w:bookmarkEnd w:id="2496"/>
      <w:bookmarkEnd w:id="2497"/>
      <w:bookmarkEnd w:id="2498"/>
      <w:bookmarkEnd w:id="2499"/>
      <w:bookmarkEnd w:id="2500"/>
      <w:bookmarkEnd w:id="2501"/>
      <w:r w:rsidRPr="00260790">
        <w:rPr>
          <w:rFonts w:cs="Times New Roman"/>
        </w:rPr>
        <w:lastRenderedPageBreak/>
        <w:t>Mécanisme de Gestion des Plaintes et règlement des griefs</w:t>
      </w:r>
      <w:bookmarkEnd w:id="2502"/>
      <w:bookmarkEnd w:id="2503"/>
      <w:r w:rsidRPr="00260790">
        <w:rPr>
          <w:rFonts w:cs="Times New Roman"/>
        </w:rPr>
        <w:t xml:space="preserve"> </w:t>
      </w:r>
    </w:p>
    <w:p w14:paraId="7FFF837D" w14:textId="77777777" w:rsidR="002A0AE9" w:rsidRPr="002A0AE9" w:rsidRDefault="002A0AE9" w:rsidP="002A0AE9">
      <w:pPr>
        <w:spacing w:line="240" w:lineRule="auto"/>
        <w:jc w:val="both"/>
        <w:rPr>
          <w:rFonts w:ascii="Times New Roman" w:eastAsia="Times New Roman" w:hAnsi="Times New Roman"/>
          <w:color w:val="000000" w:themeColor="text1"/>
          <w:lang w:eastAsia="fr-FR"/>
        </w:rPr>
      </w:pPr>
      <w:bookmarkStart w:id="2504" w:name="_Toc29856793"/>
      <w:bookmarkStart w:id="2505" w:name="_Toc29466672"/>
      <w:r w:rsidRPr="002A0AE9">
        <w:rPr>
          <w:rFonts w:ascii="Times New Roman" w:eastAsia="Times New Roman" w:hAnsi="Times New Roman"/>
          <w:color w:val="000000" w:themeColor="text1"/>
          <w:lang w:eastAsia="fr-FR"/>
        </w:rPr>
        <w:t>Le MGP vise à résoudre les plaintes et griefs de manière rapide, efficace, équitable et accessible à toutes les parties prenantes du PROGEP II, y compris les femmes, les jeunes, les groupes vulnérables et les travailleurs. Il favorise la prévention des conflits, la transparence, la redevabilité et la participation communautaire, tout en respectant les principes de confidentialité, notamment pour les cas sensibles (EAS/HS).</w:t>
      </w:r>
    </w:p>
    <w:p w14:paraId="78F94047" w14:textId="77777777" w:rsidR="00D51DF0" w:rsidRPr="0097258B" w:rsidRDefault="003C783E" w:rsidP="00D51DF0">
      <w:pPr>
        <w:spacing w:line="240" w:lineRule="auto"/>
        <w:jc w:val="both"/>
        <w:rPr>
          <w:rFonts w:ascii="Times New Roman" w:eastAsia="Times New Roman" w:hAnsi="Times New Roman"/>
          <w:i/>
          <w:iCs/>
          <w:color w:val="000000" w:themeColor="text1"/>
          <w:lang w:eastAsia="fr-FR"/>
        </w:rPr>
      </w:pPr>
      <w:r w:rsidRPr="0097258B">
        <w:rPr>
          <w:rFonts w:ascii="Times New Roman" w:hAnsi="Times New Roman"/>
          <w:i/>
          <w:iCs/>
        </w:rPr>
        <w:t xml:space="preserve">Tableau </w:t>
      </w:r>
      <w:r w:rsidRPr="0097258B">
        <w:rPr>
          <w:rFonts w:ascii="Times New Roman" w:hAnsi="Times New Roman"/>
          <w:i/>
          <w:iCs/>
        </w:rPr>
        <w:fldChar w:fldCharType="begin"/>
      </w:r>
      <w:r w:rsidRPr="0097258B">
        <w:rPr>
          <w:rFonts w:ascii="Times New Roman" w:hAnsi="Times New Roman"/>
          <w:i/>
          <w:iCs/>
        </w:rPr>
        <w:instrText xml:space="preserve"> SEQ Tableau \* ARABIC </w:instrText>
      </w:r>
      <w:r w:rsidRPr="0097258B">
        <w:rPr>
          <w:rFonts w:ascii="Times New Roman" w:hAnsi="Times New Roman"/>
          <w:i/>
          <w:iCs/>
        </w:rPr>
        <w:fldChar w:fldCharType="separate"/>
      </w:r>
      <w:r w:rsidRPr="0097258B">
        <w:rPr>
          <w:rFonts w:ascii="Times New Roman" w:hAnsi="Times New Roman"/>
          <w:i/>
          <w:iCs/>
          <w:noProof/>
        </w:rPr>
        <w:t>121</w:t>
      </w:r>
      <w:r w:rsidRPr="0097258B">
        <w:rPr>
          <w:rFonts w:ascii="Times New Roman" w:hAnsi="Times New Roman"/>
          <w:i/>
          <w:iCs/>
        </w:rPr>
        <w:fldChar w:fldCharType="end"/>
      </w:r>
      <w:r w:rsidR="00D51DF0" w:rsidRPr="0097258B">
        <w:rPr>
          <w:rFonts w:ascii="Times New Roman" w:hAnsi="Times New Roman"/>
          <w:i/>
          <w:iCs/>
        </w:rPr>
        <w:t xml:space="preserve"> : </w:t>
      </w:r>
      <w:r w:rsidR="00D51DF0" w:rsidRPr="0097258B">
        <w:rPr>
          <w:rFonts w:ascii="Times New Roman" w:eastAsia="Times New Roman" w:hAnsi="Times New Roman"/>
          <w:i/>
          <w:iCs/>
          <w:color w:val="000000" w:themeColor="text1"/>
          <w:lang w:eastAsia="fr-FR"/>
        </w:rPr>
        <w:t>Tableau récapitulatif du processus de gestion des plaintes</w:t>
      </w:r>
    </w:p>
    <w:tbl>
      <w:tblPr>
        <w:tblStyle w:val="Grilledutableau"/>
        <w:tblW w:w="9291" w:type="dxa"/>
        <w:tblLook w:val="04A0" w:firstRow="1" w:lastRow="0" w:firstColumn="1" w:lastColumn="0" w:noHBand="0" w:noVBand="1"/>
      </w:tblPr>
      <w:tblGrid>
        <w:gridCol w:w="1973"/>
        <w:gridCol w:w="2207"/>
        <w:gridCol w:w="1873"/>
        <w:gridCol w:w="3238"/>
      </w:tblGrid>
      <w:tr w:rsidR="003C783E" w:rsidRPr="003C783E" w14:paraId="2E4EC044" w14:textId="77777777" w:rsidTr="00A00DD5">
        <w:trPr>
          <w:tblHeader/>
        </w:trPr>
        <w:tc>
          <w:tcPr>
            <w:tcW w:w="1984" w:type="dxa"/>
          </w:tcPr>
          <w:p w14:paraId="45C2195B" w14:textId="77777777" w:rsidR="003C783E" w:rsidRPr="0097258B" w:rsidRDefault="003C783E" w:rsidP="00182C8E">
            <w:pPr>
              <w:rPr>
                <w:rFonts w:ascii="Times New Roman" w:hAnsi="Times New Roman"/>
                <w:b/>
                <w:bCs/>
                <w:sz w:val="22"/>
                <w:szCs w:val="22"/>
              </w:rPr>
            </w:pPr>
            <w:r w:rsidRPr="0097258B">
              <w:rPr>
                <w:rFonts w:ascii="Times New Roman" w:hAnsi="Times New Roman"/>
                <w:b/>
                <w:bCs/>
              </w:rPr>
              <w:t>Étape</w:t>
            </w:r>
          </w:p>
        </w:tc>
        <w:tc>
          <w:tcPr>
            <w:tcW w:w="2224" w:type="dxa"/>
          </w:tcPr>
          <w:p w14:paraId="42539BF0" w14:textId="77777777" w:rsidR="003C783E" w:rsidRPr="0097258B" w:rsidRDefault="003C783E" w:rsidP="00182C8E">
            <w:pPr>
              <w:rPr>
                <w:rFonts w:ascii="Times New Roman" w:hAnsi="Times New Roman"/>
                <w:b/>
                <w:bCs/>
                <w:sz w:val="22"/>
                <w:szCs w:val="22"/>
              </w:rPr>
            </w:pPr>
            <w:r w:rsidRPr="0097258B">
              <w:rPr>
                <w:rFonts w:ascii="Times New Roman" w:hAnsi="Times New Roman"/>
                <w:b/>
                <w:bCs/>
              </w:rPr>
              <w:t>Description du processus</w:t>
            </w:r>
          </w:p>
        </w:tc>
        <w:tc>
          <w:tcPr>
            <w:tcW w:w="1890" w:type="dxa"/>
          </w:tcPr>
          <w:p w14:paraId="1C9224E6" w14:textId="77777777" w:rsidR="003C783E" w:rsidRPr="0097258B" w:rsidRDefault="003C783E" w:rsidP="00182C8E">
            <w:pPr>
              <w:rPr>
                <w:rFonts w:ascii="Times New Roman" w:hAnsi="Times New Roman"/>
                <w:b/>
                <w:bCs/>
                <w:sz w:val="22"/>
                <w:szCs w:val="22"/>
              </w:rPr>
            </w:pPr>
            <w:proofErr w:type="spellStart"/>
            <w:r w:rsidRPr="0097258B">
              <w:rPr>
                <w:rFonts w:ascii="Times New Roman" w:hAnsi="Times New Roman"/>
                <w:b/>
                <w:bCs/>
              </w:rPr>
              <w:t>Calendrier</w:t>
            </w:r>
            <w:proofErr w:type="spellEnd"/>
          </w:p>
        </w:tc>
        <w:tc>
          <w:tcPr>
            <w:tcW w:w="3193" w:type="dxa"/>
          </w:tcPr>
          <w:p w14:paraId="2D9E55CF" w14:textId="77777777" w:rsidR="003C783E" w:rsidRPr="0097258B" w:rsidRDefault="003C783E" w:rsidP="00182C8E">
            <w:pPr>
              <w:rPr>
                <w:rFonts w:ascii="Times New Roman" w:hAnsi="Times New Roman"/>
                <w:b/>
                <w:bCs/>
                <w:sz w:val="22"/>
                <w:szCs w:val="22"/>
              </w:rPr>
            </w:pPr>
            <w:proofErr w:type="spellStart"/>
            <w:r w:rsidRPr="0097258B">
              <w:rPr>
                <w:rFonts w:ascii="Times New Roman" w:hAnsi="Times New Roman"/>
                <w:b/>
                <w:bCs/>
              </w:rPr>
              <w:t>Responsabilité</w:t>
            </w:r>
            <w:proofErr w:type="spellEnd"/>
          </w:p>
        </w:tc>
      </w:tr>
      <w:tr w:rsidR="003C783E" w:rsidRPr="003C783E" w14:paraId="7B49DEFA" w14:textId="77777777" w:rsidTr="00A00DD5">
        <w:tc>
          <w:tcPr>
            <w:tcW w:w="1984" w:type="dxa"/>
          </w:tcPr>
          <w:p w14:paraId="1E32B0EB" w14:textId="77777777" w:rsidR="003C783E" w:rsidRPr="00301AF6" w:rsidRDefault="003C783E" w:rsidP="00182C8E">
            <w:pPr>
              <w:rPr>
                <w:rFonts w:ascii="Times New Roman" w:hAnsi="Times New Roman"/>
                <w:sz w:val="22"/>
                <w:szCs w:val="22"/>
                <w:lang w:val="fr-FR"/>
              </w:rPr>
            </w:pPr>
            <w:r w:rsidRPr="00301AF6">
              <w:rPr>
                <w:rFonts w:ascii="Times New Roman" w:hAnsi="Times New Roman"/>
                <w:lang w:val="fr-FR"/>
              </w:rPr>
              <w:t>Structure de mise en œuvre du Mécanisme</w:t>
            </w:r>
          </w:p>
        </w:tc>
        <w:tc>
          <w:tcPr>
            <w:tcW w:w="2224" w:type="dxa"/>
          </w:tcPr>
          <w:p w14:paraId="19B9F466" w14:textId="77777777" w:rsidR="003C783E" w:rsidRPr="00301AF6" w:rsidRDefault="003C783E" w:rsidP="00182C8E">
            <w:pPr>
              <w:rPr>
                <w:rFonts w:ascii="Times New Roman" w:hAnsi="Times New Roman"/>
                <w:sz w:val="22"/>
                <w:szCs w:val="22"/>
                <w:lang w:val="fr-FR"/>
              </w:rPr>
            </w:pPr>
            <w:r w:rsidRPr="00301AF6">
              <w:rPr>
                <w:rFonts w:ascii="Times New Roman" w:hAnsi="Times New Roman"/>
                <w:lang w:val="fr-FR"/>
              </w:rPr>
              <w:t>Trois niveaux : commissions locales (quartiers), communales (mairies), départementales (préfectures). Supervision par l’ADM via l’Expert social. Comités spécifiques pour les plaintes EAS/HS.</w:t>
            </w:r>
          </w:p>
        </w:tc>
        <w:tc>
          <w:tcPr>
            <w:tcW w:w="1890" w:type="dxa"/>
          </w:tcPr>
          <w:p w14:paraId="0DE1BC68" w14:textId="77777777" w:rsidR="003C783E" w:rsidRPr="0097258B" w:rsidRDefault="003C783E" w:rsidP="00182C8E">
            <w:pPr>
              <w:rPr>
                <w:rFonts w:ascii="Times New Roman" w:hAnsi="Times New Roman"/>
                <w:sz w:val="22"/>
                <w:szCs w:val="22"/>
              </w:rPr>
            </w:pPr>
            <w:r w:rsidRPr="0097258B">
              <w:rPr>
                <w:rFonts w:ascii="Times New Roman" w:hAnsi="Times New Roman"/>
              </w:rPr>
              <w:t xml:space="preserve">En </w:t>
            </w:r>
            <w:proofErr w:type="spellStart"/>
            <w:r w:rsidRPr="0097258B">
              <w:rPr>
                <w:rFonts w:ascii="Times New Roman" w:hAnsi="Times New Roman"/>
              </w:rPr>
              <w:t>continu</w:t>
            </w:r>
            <w:proofErr w:type="spellEnd"/>
          </w:p>
        </w:tc>
        <w:tc>
          <w:tcPr>
            <w:tcW w:w="3193" w:type="dxa"/>
          </w:tcPr>
          <w:p w14:paraId="2805A2F8" w14:textId="77777777" w:rsidR="003C783E" w:rsidRPr="00301AF6" w:rsidRDefault="003C783E" w:rsidP="00182C8E">
            <w:pPr>
              <w:rPr>
                <w:rFonts w:ascii="Times New Roman" w:hAnsi="Times New Roman"/>
                <w:sz w:val="22"/>
                <w:szCs w:val="22"/>
                <w:lang w:val="fr-FR"/>
              </w:rPr>
            </w:pPr>
            <w:r w:rsidRPr="00301AF6">
              <w:rPr>
                <w:rFonts w:ascii="Times New Roman" w:hAnsi="Times New Roman"/>
                <w:lang w:val="fr-FR"/>
              </w:rPr>
              <w:t>ADM, commissions locales, communales, départementales</w:t>
            </w:r>
          </w:p>
        </w:tc>
      </w:tr>
      <w:tr w:rsidR="003C783E" w:rsidRPr="003C783E" w14:paraId="3CC397F5" w14:textId="77777777" w:rsidTr="00A00DD5">
        <w:tc>
          <w:tcPr>
            <w:tcW w:w="1984" w:type="dxa"/>
          </w:tcPr>
          <w:p w14:paraId="5BFC29AF" w14:textId="77777777" w:rsidR="003C783E" w:rsidRPr="00301AF6" w:rsidRDefault="003C783E" w:rsidP="00182C8E">
            <w:pPr>
              <w:rPr>
                <w:rFonts w:ascii="Times New Roman" w:hAnsi="Times New Roman"/>
                <w:sz w:val="22"/>
                <w:szCs w:val="22"/>
                <w:lang w:val="fr-FR"/>
              </w:rPr>
            </w:pPr>
            <w:r w:rsidRPr="00301AF6">
              <w:rPr>
                <w:rFonts w:ascii="Times New Roman" w:hAnsi="Times New Roman"/>
                <w:lang w:val="fr-FR"/>
              </w:rPr>
              <w:t>Prise en cas de grief</w:t>
            </w:r>
          </w:p>
        </w:tc>
        <w:tc>
          <w:tcPr>
            <w:tcW w:w="2224" w:type="dxa"/>
          </w:tcPr>
          <w:p w14:paraId="73D80AFE" w14:textId="77777777" w:rsidR="003C783E" w:rsidRPr="00301AF6" w:rsidRDefault="003C783E" w:rsidP="00182C8E">
            <w:pPr>
              <w:rPr>
                <w:rFonts w:ascii="Times New Roman" w:hAnsi="Times New Roman"/>
                <w:sz w:val="22"/>
                <w:szCs w:val="22"/>
                <w:lang w:val="fr-FR"/>
              </w:rPr>
            </w:pPr>
            <w:r w:rsidRPr="00301AF6">
              <w:rPr>
                <w:rFonts w:ascii="Times New Roman" w:hAnsi="Times New Roman"/>
                <w:lang w:val="fr-FR"/>
              </w:rPr>
              <w:t xml:space="preserve">Voies de dépôt : registre, téléphone, SMS, WhatsApp, </w:t>
            </w:r>
            <w:proofErr w:type="gramStart"/>
            <w:r w:rsidRPr="00301AF6">
              <w:rPr>
                <w:rFonts w:ascii="Times New Roman" w:hAnsi="Times New Roman"/>
                <w:lang w:val="fr-FR"/>
              </w:rPr>
              <w:t>email</w:t>
            </w:r>
            <w:proofErr w:type="gramEnd"/>
            <w:r w:rsidRPr="00301AF6">
              <w:rPr>
                <w:rFonts w:ascii="Times New Roman" w:hAnsi="Times New Roman"/>
                <w:lang w:val="fr-FR"/>
              </w:rPr>
              <w:t>, dépôt physique, boîte à suggestions, formulaire standardisé.</w:t>
            </w:r>
          </w:p>
        </w:tc>
        <w:tc>
          <w:tcPr>
            <w:tcW w:w="1890" w:type="dxa"/>
          </w:tcPr>
          <w:p w14:paraId="422AAC1B" w14:textId="77777777" w:rsidR="003C783E" w:rsidRPr="0097258B" w:rsidRDefault="003C783E" w:rsidP="00182C8E">
            <w:pPr>
              <w:rPr>
                <w:rFonts w:ascii="Times New Roman" w:hAnsi="Times New Roman"/>
                <w:sz w:val="22"/>
                <w:szCs w:val="22"/>
              </w:rPr>
            </w:pPr>
            <w:r w:rsidRPr="0097258B">
              <w:rPr>
                <w:rFonts w:ascii="Times New Roman" w:hAnsi="Times New Roman"/>
              </w:rPr>
              <w:t>À tout moment</w:t>
            </w:r>
          </w:p>
        </w:tc>
        <w:tc>
          <w:tcPr>
            <w:tcW w:w="3193" w:type="dxa"/>
          </w:tcPr>
          <w:p w14:paraId="7A196EFB" w14:textId="77777777" w:rsidR="003C783E" w:rsidRPr="0097258B" w:rsidRDefault="003C783E" w:rsidP="00182C8E">
            <w:pPr>
              <w:rPr>
                <w:rFonts w:ascii="Times New Roman" w:hAnsi="Times New Roman"/>
                <w:sz w:val="22"/>
                <w:szCs w:val="22"/>
              </w:rPr>
            </w:pPr>
            <w:r w:rsidRPr="0097258B">
              <w:rPr>
                <w:rFonts w:ascii="Times New Roman" w:hAnsi="Times New Roman"/>
              </w:rPr>
              <w:t xml:space="preserve">Points </w:t>
            </w:r>
            <w:proofErr w:type="spellStart"/>
            <w:r w:rsidRPr="0097258B">
              <w:rPr>
                <w:rFonts w:ascii="Times New Roman" w:hAnsi="Times New Roman"/>
              </w:rPr>
              <w:t>focaux</w:t>
            </w:r>
            <w:proofErr w:type="spellEnd"/>
            <w:r w:rsidRPr="0097258B">
              <w:rPr>
                <w:rFonts w:ascii="Times New Roman" w:hAnsi="Times New Roman"/>
              </w:rPr>
              <w:t xml:space="preserve"> </w:t>
            </w:r>
            <w:proofErr w:type="spellStart"/>
            <w:r w:rsidRPr="0097258B">
              <w:rPr>
                <w:rFonts w:ascii="Times New Roman" w:hAnsi="Times New Roman"/>
              </w:rPr>
              <w:t>locaux</w:t>
            </w:r>
            <w:proofErr w:type="spellEnd"/>
            <w:r w:rsidRPr="0097258B">
              <w:rPr>
                <w:rFonts w:ascii="Times New Roman" w:hAnsi="Times New Roman"/>
              </w:rPr>
              <w:t>, ADM</w:t>
            </w:r>
          </w:p>
        </w:tc>
      </w:tr>
      <w:tr w:rsidR="003C783E" w:rsidRPr="003C783E" w14:paraId="4F500CF3" w14:textId="77777777" w:rsidTr="00A00DD5">
        <w:tc>
          <w:tcPr>
            <w:tcW w:w="1984" w:type="dxa"/>
          </w:tcPr>
          <w:p w14:paraId="36A966C0" w14:textId="77777777" w:rsidR="003C783E" w:rsidRPr="0097258B" w:rsidRDefault="003C783E" w:rsidP="00182C8E">
            <w:pPr>
              <w:rPr>
                <w:rFonts w:ascii="Times New Roman" w:hAnsi="Times New Roman"/>
                <w:sz w:val="22"/>
                <w:szCs w:val="22"/>
              </w:rPr>
            </w:pPr>
            <w:r w:rsidRPr="0097258B">
              <w:rPr>
                <w:rFonts w:ascii="Times New Roman" w:hAnsi="Times New Roman"/>
              </w:rPr>
              <w:t xml:space="preserve">Tri, </w:t>
            </w:r>
            <w:proofErr w:type="spellStart"/>
            <w:r w:rsidRPr="0097258B">
              <w:rPr>
                <w:rFonts w:ascii="Times New Roman" w:hAnsi="Times New Roman"/>
              </w:rPr>
              <w:t>traitement</w:t>
            </w:r>
            <w:proofErr w:type="spellEnd"/>
          </w:p>
        </w:tc>
        <w:tc>
          <w:tcPr>
            <w:tcW w:w="2224" w:type="dxa"/>
          </w:tcPr>
          <w:p w14:paraId="1BD797F0" w14:textId="77777777" w:rsidR="003C783E" w:rsidRPr="00301AF6" w:rsidRDefault="003C783E" w:rsidP="00182C8E">
            <w:pPr>
              <w:rPr>
                <w:rFonts w:ascii="Times New Roman" w:hAnsi="Times New Roman"/>
                <w:sz w:val="22"/>
                <w:szCs w:val="22"/>
                <w:lang w:val="fr-FR"/>
              </w:rPr>
            </w:pPr>
            <w:r w:rsidRPr="00301AF6">
              <w:rPr>
                <w:rFonts w:ascii="Times New Roman" w:hAnsi="Times New Roman"/>
                <w:lang w:val="fr-FR"/>
              </w:rPr>
              <w:t>Catégorisation : Non sensibles, Sensibles, Travailleurs.</w:t>
            </w:r>
          </w:p>
        </w:tc>
        <w:tc>
          <w:tcPr>
            <w:tcW w:w="1890" w:type="dxa"/>
          </w:tcPr>
          <w:p w14:paraId="38EC90E7" w14:textId="77777777" w:rsidR="003C783E" w:rsidRPr="0097258B" w:rsidRDefault="003C783E" w:rsidP="00182C8E">
            <w:pPr>
              <w:rPr>
                <w:rFonts w:ascii="Times New Roman" w:hAnsi="Times New Roman"/>
                <w:sz w:val="22"/>
                <w:szCs w:val="22"/>
              </w:rPr>
            </w:pPr>
            <w:r w:rsidRPr="0097258B">
              <w:rPr>
                <w:rFonts w:ascii="Times New Roman" w:hAnsi="Times New Roman"/>
              </w:rPr>
              <w:t xml:space="preserve">À la </w:t>
            </w:r>
            <w:proofErr w:type="spellStart"/>
            <w:r w:rsidRPr="0097258B">
              <w:rPr>
                <w:rFonts w:ascii="Times New Roman" w:hAnsi="Times New Roman"/>
              </w:rPr>
              <w:t>réception</w:t>
            </w:r>
            <w:proofErr w:type="spellEnd"/>
          </w:p>
        </w:tc>
        <w:tc>
          <w:tcPr>
            <w:tcW w:w="3193" w:type="dxa"/>
          </w:tcPr>
          <w:p w14:paraId="667FC907" w14:textId="77777777" w:rsidR="003C783E" w:rsidRPr="0097258B" w:rsidRDefault="003C783E" w:rsidP="00182C8E">
            <w:pPr>
              <w:rPr>
                <w:rFonts w:ascii="Times New Roman" w:hAnsi="Times New Roman"/>
                <w:sz w:val="22"/>
                <w:szCs w:val="22"/>
              </w:rPr>
            </w:pPr>
            <w:r w:rsidRPr="0097258B">
              <w:rPr>
                <w:rFonts w:ascii="Times New Roman" w:hAnsi="Times New Roman"/>
              </w:rPr>
              <w:t xml:space="preserve">Points </w:t>
            </w:r>
            <w:proofErr w:type="spellStart"/>
            <w:r w:rsidRPr="0097258B">
              <w:rPr>
                <w:rFonts w:ascii="Times New Roman" w:hAnsi="Times New Roman"/>
              </w:rPr>
              <w:t>focaux</w:t>
            </w:r>
            <w:proofErr w:type="spellEnd"/>
            <w:r w:rsidRPr="0097258B">
              <w:rPr>
                <w:rFonts w:ascii="Times New Roman" w:hAnsi="Times New Roman"/>
              </w:rPr>
              <w:t xml:space="preserve"> </w:t>
            </w:r>
            <w:proofErr w:type="spellStart"/>
            <w:r w:rsidRPr="0097258B">
              <w:rPr>
                <w:rFonts w:ascii="Times New Roman" w:hAnsi="Times New Roman"/>
              </w:rPr>
              <w:t>locaux</w:t>
            </w:r>
            <w:proofErr w:type="spellEnd"/>
            <w:r w:rsidRPr="0097258B">
              <w:rPr>
                <w:rFonts w:ascii="Times New Roman" w:hAnsi="Times New Roman"/>
              </w:rPr>
              <w:t>, ADM</w:t>
            </w:r>
          </w:p>
        </w:tc>
      </w:tr>
      <w:tr w:rsidR="003C783E" w:rsidRPr="003C783E" w14:paraId="0CC5ECD2" w14:textId="77777777" w:rsidTr="00A00DD5">
        <w:tc>
          <w:tcPr>
            <w:tcW w:w="1984" w:type="dxa"/>
          </w:tcPr>
          <w:p w14:paraId="4D0DA656" w14:textId="66F0995A" w:rsidR="003C783E" w:rsidRPr="0097258B" w:rsidRDefault="0000071A" w:rsidP="00182C8E">
            <w:pPr>
              <w:rPr>
                <w:rFonts w:ascii="Times New Roman" w:hAnsi="Times New Roman"/>
                <w:sz w:val="22"/>
                <w:szCs w:val="22"/>
              </w:rPr>
            </w:pPr>
            <w:proofErr w:type="spellStart"/>
            <w:r>
              <w:rPr>
                <w:rFonts w:ascii="Times New Roman" w:hAnsi="Times New Roman"/>
              </w:rPr>
              <w:t>S</w:t>
            </w:r>
            <w:r w:rsidR="003C783E" w:rsidRPr="0097258B">
              <w:rPr>
                <w:rFonts w:ascii="Times New Roman" w:hAnsi="Times New Roman"/>
              </w:rPr>
              <w:t>uivi</w:t>
            </w:r>
            <w:proofErr w:type="spellEnd"/>
          </w:p>
        </w:tc>
        <w:tc>
          <w:tcPr>
            <w:tcW w:w="2224" w:type="dxa"/>
          </w:tcPr>
          <w:p w14:paraId="1FB305D7" w14:textId="77777777" w:rsidR="003C783E" w:rsidRPr="00301AF6" w:rsidRDefault="003C783E" w:rsidP="00182C8E">
            <w:pPr>
              <w:rPr>
                <w:rFonts w:ascii="Times New Roman" w:hAnsi="Times New Roman"/>
                <w:sz w:val="22"/>
                <w:szCs w:val="22"/>
                <w:lang w:val="fr-FR"/>
              </w:rPr>
            </w:pPr>
            <w:r w:rsidRPr="00301AF6">
              <w:rPr>
                <w:rFonts w:ascii="Times New Roman" w:hAnsi="Times New Roman"/>
                <w:lang w:val="fr-FR"/>
              </w:rPr>
              <w:t>Accusé de réception envoyé au plaignant.</w:t>
            </w:r>
          </w:p>
        </w:tc>
        <w:tc>
          <w:tcPr>
            <w:tcW w:w="1890" w:type="dxa"/>
          </w:tcPr>
          <w:p w14:paraId="31F3BF5B" w14:textId="77777777" w:rsidR="003C783E" w:rsidRPr="0097258B" w:rsidRDefault="003C783E" w:rsidP="00182C8E">
            <w:pPr>
              <w:rPr>
                <w:rFonts w:ascii="Times New Roman" w:hAnsi="Times New Roman"/>
                <w:sz w:val="22"/>
                <w:szCs w:val="22"/>
              </w:rPr>
            </w:pPr>
            <w:r w:rsidRPr="0097258B">
              <w:rPr>
                <w:rFonts w:ascii="Times New Roman" w:hAnsi="Times New Roman"/>
              </w:rPr>
              <w:t xml:space="preserve">Dans les 2 </w:t>
            </w:r>
            <w:proofErr w:type="spellStart"/>
            <w:r w:rsidRPr="0097258B">
              <w:rPr>
                <w:rFonts w:ascii="Times New Roman" w:hAnsi="Times New Roman"/>
              </w:rPr>
              <w:t>jours</w:t>
            </w:r>
            <w:proofErr w:type="spellEnd"/>
          </w:p>
        </w:tc>
        <w:tc>
          <w:tcPr>
            <w:tcW w:w="3193" w:type="dxa"/>
          </w:tcPr>
          <w:p w14:paraId="6F00CD03" w14:textId="77777777" w:rsidR="003C783E" w:rsidRPr="00301AF6" w:rsidRDefault="003C783E" w:rsidP="00182C8E">
            <w:pPr>
              <w:rPr>
                <w:rFonts w:ascii="Times New Roman" w:hAnsi="Times New Roman"/>
                <w:sz w:val="22"/>
                <w:szCs w:val="22"/>
                <w:lang w:val="fr-FR"/>
              </w:rPr>
            </w:pPr>
            <w:r w:rsidRPr="00301AF6">
              <w:rPr>
                <w:rFonts w:ascii="Times New Roman" w:hAnsi="Times New Roman"/>
                <w:lang w:val="fr-FR"/>
              </w:rPr>
              <w:t>Point focal de la commission locale</w:t>
            </w:r>
          </w:p>
        </w:tc>
      </w:tr>
      <w:tr w:rsidR="003C783E" w:rsidRPr="003C783E" w14:paraId="2AE49EC9" w14:textId="77777777" w:rsidTr="00A00DD5">
        <w:tc>
          <w:tcPr>
            <w:tcW w:w="1984" w:type="dxa"/>
          </w:tcPr>
          <w:p w14:paraId="201AEA04" w14:textId="77777777" w:rsidR="003C783E" w:rsidRPr="0097258B" w:rsidRDefault="003C783E" w:rsidP="00182C8E">
            <w:pPr>
              <w:rPr>
                <w:rFonts w:ascii="Times New Roman" w:hAnsi="Times New Roman"/>
                <w:sz w:val="22"/>
                <w:szCs w:val="22"/>
              </w:rPr>
            </w:pPr>
            <w:proofErr w:type="spellStart"/>
            <w:r w:rsidRPr="0097258B">
              <w:rPr>
                <w:rFonts w:ascii="Times New Roman" w:hAnsi="Times New Roman"/>
              </w:rPr>
              <w:t>Vérification</w:t>
            </w:r>
            <w:proofErr w:type="spellEnd"/>
            <w:r w:rsidRPr="0097258B">
              <w:rPr>
                <w:rFonts w:ascii="Times New Roman" w:hAnsi="Times New Roman"/>
              </w:rPr>
              <w:t xml:space="preserve">, </w:t>
            </w:r>
            <w:proofErr w:type="spellStart"/>
            <w:r w:rsidRPr="0097258B">
              <w:rPr>
                <w:rFonts w:ascii="Times New Roman" w:hAnsi="Times New Roman"/>
              </w:rPr>
              <w:t>enquête</w:t>
            </w:r>
            <w:proofErr w:type="spellEnd"/>
            <w:r w:rsidRPr="0097258B">
              <w:rPr>
                <w:rFonts w:ascii="Times New Roman" w:hAnsi="Times New Roman"/>
              </w:rPr>
              <w:t>, action</w:t>
            </w:r>
          </w:p>
        </w:tc>
        <w:tc>
          <w:tcPr>
            <w:tcW w:w="2224" w:type="dxa"/>
          </w:tcPr>
          <w:p w14:paraId="439057FF" w14:textId="77777777" w:rsidR="003C783E" w:rsidRPr="00301AF6" w:rsidRDefault="003C783E" w:rsidP="00182C8E">
            <w:pPr>
              <w:rPr>
                <w:rFonts w:ascii="Times New Roman" w:hAnsi="Times New Roman"/>
                <w:sz w:val="22"/>
                <w:szCs w:val="22"/>
                <w:lang w:val="fr-FR"/>
              </w:rPr>
            </w:pPr>
            <w:r w:rsidRPr="00301AF6">
              <w:rPr>
                <w:rFonts w:ascii="Times New Roman" w:hAnsi="Times New Roman"/>
                <w:lang w:val="fr-FR"/>
              </w:rPr>
              <w:t>Enquête menée par la commission compétente. Réponse préparée, validée et communiquée.</w:t>
            </w:r>
          </w:p>
        </w:tc>
        <w:tc>
          <w:tcPr>
            <w:tcW w:w="1890" w:type="dxa"/>
          </w:tcPr>
          <w:p w14:paraId="138CA27D" w14:textId="77777777" w:rsidR="003C783E" w:rsidRPr="0097258B" w:rsidRDefault="003C783E" w:rsidP="00182C8E">
            <w:pPr>
              <w:rPr>
                <w:rFonts w:ascii="Times New Roman" w:hAnsi="Times New Roman"/>
                <w:sz w:val="22"/>
                <w:szCs w:val="22"/>
              </w:rPr>
            </w:pPr>
            <w:r w:rsidRPr="0097258B">
              <w:rPr>
                <w:rFonts w:ascii="Times New Roman" w:hAnsi="Times New Roman"/>
              </w:rPr>
              <w:t xml:space="preserve">Dans les 10 </w:t>
            </w:r>
            <w:proofErr w:type="spellStart"/>
            <w:r w:rsidRPr="0097258B">
              <w:rPr>
                <w:rFonts w:ascii="Times New Roman" w:hAnsi="Times New Roman"/>
              </w:rPr>
              <w:t>jours</w:t>
            </w:r>
            <w:proofErr w:type="spellEnd"/>
            <w:r w:rsidRPr="0097258B">
              <w:rPr>
                <w:rFonts w:ascii="Times New Roman" w:hAnsi="Times New Roman"/>
              </w:rPr>
              <w:t xml:space="preserve"> </w:t>
            </w:r>
            <w:proofErr w:type="spellStart"/>
            <w:r w:rsidRPr="0097258B">
              <w:rPr>
                <w:rFonts w:ascii="Times New Roman" w:hAnsi="Times New Roman"/>
              </w:rPr>
              <w:t>ouvrables</w:t>
            </w:r>
            <w:proofErr w:type="spellEnd"/>
          </w:p>
        </w:tc>
        <w:tc>
          <w:tcPr>
            <w:tcW w:w="3193" w:type="dxa"/>
          </w:tcPr>
          <w:p w14:paraId="15424884" w14:textId="3B4238AF" w:rsidR="003C783E" w:rsidRPr="0097258B" w:rsidRDefault="003C783E" w:rsidP="00182C8E">
            <w:pPr>
              <w:rPr>
                <w:rFonts w:ascii="Times New Roman" w:hAnsi="Times New Roman"/>
                <w:sz w:val="22"/>
                <w:szCs w:val="22"/>
              </w:rPr>
            </w:pPr>
            <w:r w:rsidRPr="0097258B">
              <w:rPr>
                <w:rFonts w:ascii="Times New Roman" w:hAnsi="Times New Roman"/>
              </w:rPr>
              <w:t>Commissions locales/</w:t>
            </w:r>
            <w:proofErr w:type="spellStart"/>
            <w:r w:rsidR="0000071A">
              <w:rPr>
                <w:rFonts w:ascii="Times New Roman" w:hAnsi="Times New Roman"/>
              </w:rPr>
              <w:t>C</w:t>
            </w:r>
            <w:r w:rsidRPr="0097258B">
              <w:rPr>
                <w:rFonts w:ascii="Times New Roman" w:hAnsi="Times New Roman"/>
              </w:rPr>
              <w:t>ommunales</w:t>
            </w:r>
            <w:proofErr w:type="spellEnd"/>
            <w:r w:rsidRPr="0097258B">
              <w:rPr>
                <w:rFonts w:ascii="Times New Roman" w:hAnsi="Times New Roman"/>
              </w:rPr>
              <w:t>/</w:t>
            </w:r>
            <w:proofErr w:type="spellStart"/>
            <w:r w:rsidRPr="0097258B">
              <w:rPr>
                <w:rFonts w:ascii="Times New Roman" w:hAnsi="Times New Roman"/>
              </w:rPr>
              <w:t>départementales</w:t>
            </w:r>
            <w:proofErr w:type="spellEnd"/>
          </w:p>
        </w:tc>
      </w:tr>
      <w:tr w:rsidR="003C783E" w:rsidRPr="003C783E" w14:paraId="750BD5A3" w14:textId="77777777" w:rsidTr="00A00DD5">
        <w:tc>
          <w:tcPr>
            <w:tcW w:w="1984" w:type="dxa"/>
          </w:tcPr>
          <w:p w14:paraId="1FAC4CA7" w14:textId="77777777" w:rsidR="003C783E" w:rsidRPr="0097258B" w:rsidRDefault="003C783E" w:rsidP="00182C8E">
            <w:pPr>
              <w:rPr>
                <w:rFonts w:ascii="Times New Roman" w:hAnsi="Times New Roman"/>
                <w:sz w:val="22"/>
                <w:szCs w:val="22"/>
              </w:rPr>
            </w:pPr>
            <w:proofErr w:type="spellStart"/>
            <w:r w:rsidRPr="0097258B">
              <w:rPr>
                <w:rFonts w:ascii="Times New Roman" w:hAnsi="Times New Roman"/>
              </w:rPr>
              <w:t>Suivi</w:t>
            </w:r>
            <w:proofErr w:type="spellEnd"/>
            <w:r w:rsidRPr="0097258B">
              <w:rPr>
                <w:rFonts w:ascii="Times New Roman" w:hAnsi="Times New Roman"/>
              </w:rPr>
              <w:t xml:space="preserve"> et </w:t>
            </w:r>
            <w:proofErr w:type="spellStart"/>
            <w:r w:rsidRPr="0097258B">
              <w:rPr>
                <w:rFonts w:ascii="Times New Roman" w:hAnsi="Times New Roman"/>
              </w:rPr>
              <w:t>évaluation</w:t>
            </w:r>
            <w:proofErr w:type="spellEnd"/>
          </w:p>
        </w:tc>
        <w:tc>
          <w:tcPr>
            <w:tcW w:w="2224" w:type="dxa"/>
          </w:tcPr>
          <w:p w14:paraId="30056F05" w14:textId="77777777" w:rsidR="003C783E" w:rsidRPr="00301AF6" w:rsidRDefault="003C783E" w:rsidP="00182C8E">
            <w:pPr>
              <w:rPr>
                <w:rFonts w:ascii="Times New Roman" w:hAnsi="Times New Roman"/>
                <w:sz w:val="22"/>
                <w:szCs w:val="22"/>
                <w:lang w:val="fr-FR"/>
              </w:rPr>
            </w:pPr>
            <w:r w:rsidRPr="00301AF6">
              <w:rPr>
                <w:rFonts w:ascii="Times New Roman" w:hAnsi="Times New Roman"/>
                <w:lang w:val="fr-FR"/>
              </w:rPr>
              <w:t xml:space="preserve">Suivi via plateforme </w:t>
            </w:r>
            <w:proofErr w:type="spellStart"/>
            <w:r w:rsidRPr="00301AF6">
              <w:rPr>
                <w:rFonts w:ascii="Times New Roman" w:hAnsi="Times New Roman"/>
                <w:lang w:val="fr-FR"/>
              </w:rPr>
              <w:t>KoboToolbox</w:t>
            </w:r>
            <w:proofErr w:type="spellEnd"/>
            <w:r w:rsidRPr="00301AF6">
              <w:rPr>
                <w:rFonts w:ascii="Times New Roman" w:hAnsi="Times New Roman"/>
                <w:lang w:val="fr-FR"/>
              </w:rPr>
              <w:t>. Rapports périodiques à la Banque mondiale.</w:t>
            </w:r>
          </w:p>
        </w:tc>
        <w:tc>
          <w:tcPr>
            <w:tcW w:w="1890" w:type="dxa"/>
          </w:tcPr>
          <w:p w14:paraId="5B80F02D" w14:textId="77777777" w:rsidR="003C783E" w:rsidRPr="0097258B" w:rsidRDefault="003C783E" w:rsidP="00182C8E">
            <w:pPr>
              <w:rPr>
                <w:rFonts w:ascii="Times New Roman" w:hAnsi="Times New Roman"/>
                <w:sz w:val="22"/>
                <w:szCs w:val="22"/>
              </w:rPr>
            </w:pPr>
            <w:proofErr w:type="spellStart"/>
            <w:r w:rsidRPr="0097258B">
              <w:rPr>
                <w:rFonts w:ascii="Times New Roman" w:hAnsi="Times New Roman"/>
              </w:rPr>
              <w:t>Bimensuel</w:t>
            </w:r>
            <w:proofErr w:type="spellEnd"/>
          </w:p>
        </w:tc>
        <w:tc>
          <w:tcPr>
            <w:tcW w:w="3193" w:type="dxa"/>
          </w:tcPr>
          <w:p w14:paraId="7C8AD49F" w14:textId="124CC38C" w:rsidR="003C783E" w:rsidRPr="0097258B" w:rsidRDefault="003C783E" w:rsidP="00182C8E">
            <w:pPr>
              <w:rPr>
                <w:rFonts w:ascii="Times New Roman" w:hAnsi="Times New Roman"/>
                <w:sz w:val="22"/>
                <w:szCs w:val="22"/>
              </w:rPr>
            </w:pPr>
            <w:r w:rsidRPr="0097258B">
              <w:rPr>
                <w:rFonts w:ascii="Times New Roman" w:hAnsi="Times New Roman"/>
              </w:rPr>
              <w:t xml:space="preserve">ADM, </w:t>
            </w:r>
            <w:r w:rsidR="00A01AEB">
              <w:rPr>
                <w:rFonts w:ascii="Times New Roman" w:hAnsi="Times New Roman"/>
                <w:sz w:val="22"/>
                <w:szCs w:val="22"/>
              </w:rPr>
              <w:t>AEMO</w:t>
            </w:r>
            <w:r w:rsidR="00146F56">
              <w:rPr>
                <w:rFonts w:ascii="Times New Roman" w:hAnsi="Times New Roman"/>
                <w:sz w:val="22"/>
                <w:szCs w:val="22"/>
              </w:rPr>
              <w:t>, Faci</w:t>
            </w:r>
            <w:r w:rsidR="0000071A">
              <w:rPr>
                <w:rFonts w:ascii="Times New Roman" w:hAnsi="Times New Roman"/>
                <w:sz w:val="22"/>
                <w:szCs w:val="22"/>
              </w:rPr>
              <w:t>li</w:t>
            </w:r>
            <w:r w:rsidR="00146F56">
              <w:rPr>
                <w:rFonts w:ascii="Times New Roman" w:hAnsi="Times New Roman"/>
                <w:sz w:val="22"/>
                <w:szCs w:val="22"/>
              </w:rPr>
              <w:t xml:space="preserve">tation </w:t>
            </w:r>
            <w:proofErr w:type="spellStart"/>
            <w:r w:rsidR="00146F56">
              <w:rPr>
                <w:rFonts w:ascii="Times New Roman" w:hAnsi="Times New Roman"/>
                <w:sz w:val="22"/>
                <w:szCs w:val="22"/>
              </w:rPr>
              <w:t>sociale</w:t>
            </w:r>
            <w:proofErr w:type="spellEnd"/>
          </w:p>
        </w:tc>
      </w:tr>
      <w:tr w:rsidR="003C783E" w:rsidRPr="003C783E" w14:paraId="2BB87EC7" w14:textId="77777777" w:rsidTr="00A00DD5">
        <w:tc>
          <w:tcPr>
            <w:tcW w:w="1984" w:type="dxa"/>
          </w:tcPr>
          <w:p w14:paraId="620FD469" w14:textId="77777777" w:rsidR="003C783E" w:rsidRPr="0097258B" w:rsidRDefault="003C783E" w:rsidP="00182C8E">
            <w:pPr>
              <w:rPr>
                <w:rFonts w:ascii="Times New Roman" w:hAnsi="Times New Roman"/>
                <w:sz w:val="22"/>
                <w:szCs w:val="22"/>
              </w:rPr>
            </w:pPr>
            <w:r w:rsidRPr="0097258B">
              <w:rPr>
                <w:rFonts w:ascii="Times New Roman" w:hAnsi="Times New Roman"/>
              </w:rPr>
              <w:t xml:space="preserve">Communication </w:t>
            </w:r>
            <w:proofErr w:type="spellStart"/>
            <w:r w:rsidRPr="0097258B">
              <w:rPr>
                <w:rFonts w:ascii="Times New Roman" w:hAnsi="Times New Roman"/>
              </w:rPr>
              <w:t>d'une</w:t>
            </w:r>
            <w:proofErr w:type="spellEnd"/>
            <w:r w:rsidRPr="0097258B">
              <w:rPr>
                <w:rFonts w:ascii="Times New Roman" w:hAnsi="Times New Roman"/>
              </w:rPr>
              <w:t xml:space="preserve"> </w:t>
            </w:r>
            <w:proofErr w:type="spellStart"/>
            <w:r w:rsidRPr="0097258B">
              <w:rPr>
                <w:rFonts w:ascii="Times New Roman" w:hAnsi="Times New Roman"/>
              </w:rPr>
              <w:t>rétroaction</w:t>
            </w:r>
            <w:proofErr w:type="spellEnd"/>
          </w:p>
        </w:tc>
        <w:tc>
          <w:tcPr>
            <w:tcW w:w="2224" w:type="dxa"/>
          </w:tcPr>
          <w:p w14:paraId="1454A646" w14:textId="77777777" w:rsidR="003C783E" w:rsidRPr="00301AF6" w:rsidRDefault="003C783E" w:rsidP="00182C8E">
            <w:pPr>
              <w:rPr>
                <w:rFonts w:ascii="Times New Roman" w:hAnsi="Times New Roman"/>
                <w:sz w:val="22"/>
                <w:szCs w:val="22"/>
                <w:lang w:val="fr-FR"/>
              </w:rPr>
            </w:pPr>
            <w:r w:rsidRPr="00301AF6">
              <w:rPr>
                <w:rFonts w:ascii="Times New Roman" w:hAnsi="Times New Roman"/>
                <w:lang w:val="fr-FR"/>
              </w:rPr>
              <w:t>Feedback continu au plaignant. Clôture du cas documentée.</w:t>
            </w:r>
          </w:p>
        </w:tc>
        <w:tc>
          <w:tcPr>
            <w:tcW w:w="1890" w:type="dxa"/>
          </w:tcPr>
          <w:p w14:paraId="0E7B9503" w14:textId="77777777" w:rsidR="003C783E" w:rsidRPr="0097258B" w:rsidRDefault="003C783E" w:rsidP="00182C8E">
            <w:pPr>
              <w:rPr>
                <w:rFonts w:ascii="Times New Roman" w:hAnsi="Times New Roman"/>
                <w:sz w:val="22"/>
                <w:szCs w:val="22"/>
              </w:rPr>
            </w:pPr>
            <w:r w:rsidRPr="0097258B">
              <w:rPr>
                <w:rFonts w:ascii="Times New Roman" w:hAnsi="Times New Roman"/>
              </w:rPr>
              <w:t xml:space="preserve">À </w:t>
            </w:r>
            <w:proofErr w:type="spellStart"/>
            <w:r w:rsidRPr="0097258B">
              <w:rPr>
                <w:rFonts w:ascii="Times New Roman" w:hAnsi="Times New Roman"/>
              </w:rPr>
              <w:t>chaque</w:t>
            </w:r>
            <w:proofErr w:type="spellEnd"/>
            <w:r w:rsidRPr="0097258B">
              <w:rPr>
                <w:rFonts w:ascii="Times New Roman" w:hAnsi="Times New Roman"/>
              </w:rPr>
              <w:t xml:space="preserve"> étape</w:t>
            </w:r>
          </w:p>
        </w:tc>
        <w:tc>
          <w:tcPr>
            <w:tcW w:w="3193" w:type="dxa"/>
          </w:tcPr>
          <w:p w14:paraId="361055CE" w14:textId="77777777" w:rsidR="003C783E" w:rsidRPr="0097258B" w:rsidRDefault="003C783E" w:rsidP="00182C8E">
            <w:pPr>
              <w:rPr>
                <w:rFonts w:ascii="Times New Roman" w:hAnsi="Times New Roman"/>
                <w:sz w:val="22"/>
                <w:szCs w:val="22"/>
              </w:rPr>
            </w:pPr>
            <w:r w:rsidRPr="0097258B">
              <w:rPr>
                <w:rFonts w:ascii="Times New Roman" w:hAnsi="Times New Roman"/>
              </w:rPr>
              <w:t>Commissions, ADM</w:t>
            </w:r>
          </w:p>
        </w:tc>
      </w:tr>
      <w:tr w:rsidR="003C783E" w:rsidRPr="003C783E" w14:paraId="414B72C1" w14:textId="77777777" w:rsidTr="00A00DD5">
        <w:tc>
          <w:tcPr>
            <w:tcW w:w="1984" w:type="dxa"/>
          </w:tcPr>
          <w:p w14:paraId="5FE461F2" w14:textId="77777777" w:rsidR="003C783E" w:rsidRPr="0097258B" w:rsidRDefault="003C783E" w:rsidP="00182C8E">
            <w:pPr>
              <w:rPr>
                <w:rFonts w:ascii="Times New Roman" w:hAnsi="Times New Roman"/>
                <w:sz w:val="22"/>
                <w:szCs w:val="22"/>
              </w:rPr>
            </w:pPr>
            <w:r w:rsidRPr="0097258B">
              <w:rPr>
                <w:rFonts w:ascii="Times New Roman" w:hAnsi="Times New Roman"/>
              </w:rPr>
              <w:t>Formation</w:t>
            </w:r>
          </w:p>
        </w:tc>
        <w:tc>
          <w:tcPr>
            <w:tcW w:w="2224" w:type="dxa"/>
          </w:tcPr>
          <w:p w14:paraId="578E6FF5" w14:textId="77777777" w:rsidR="003C783E" w:rsidRPr="00301AF6" w:rsidRDefault="003C783E" w:rsidP="00182C8E">
            <w:pPr>
              <w:rPr>
                <w:rFonts w:ascii="Times New Roman" w:hAnsi="Times New Roman"/>
                <w:sz w:val="22"/>
                <w:szCs w:val="22"/>
                <w:lang w:val="fr-FR"/>
              </w:rPr>
            </w:pPr>
            <w:r w:rsidRPr="00301AF6">
              <w:rPr>
                <w:rFonts w:ascii="Times New Roman" w:hAnsi="Times New Roman"/>
                <w:lang w:val="fr-FR"/>
              </w:rPr>
              <w:t>Formation des membres des commissions, prestataires EAS/HS, personnel ADM.</w:t>
            </w:r>
          </w:p>
        </w:tc>
        <w:tc>
          <w:tcPr>
            <w:tcW w:w="1890" w:type="dxa"/>
          </w:tcPr>
          <w:p w14:paraId="0E69EB30" w14:textId="77777777" w:rsidR="003C783E" w:rsidRPr="0097258B" w:rsidRDefault="003C783E" w:rsidP="00182C8E">
            <w:pPr>
              <w:rPr>
                <w:rFonts w:ascii="Times New Roman" w:hAnsi="Times New Roman"/>
                <w:sz w:val="22"/>
                <w:szCs w:val="22"/>
              </w:rPr>
            </w:pPr>
            <w:r w:rsidRPr="0097258B">
              <w:rPr>
                <w:rFonts w:ascii="Times New Roman" w:hAnsi="Times New Roman"/>
              </w:rPr>
              <w:t xml:space="preserve">Sessions </w:t>
            </w:r>
            <w:proofErr w:type="spellStart"/>
            <w:r w:rsidRPr="0097258B">
              <w:rPr>
                <w:rFonts w:ascii="Times New Roman" w:hAnsi="Times New Roman"/>
              </w:rPr>
              <w:t>régulières</w:t>
            </w:r>
            <w:proofErr w:type="spellEnd"/>
          </w:p>
        </w:tc>
        <w:tc>
          <w:tcPr>
            <w:tcW w:w="3193" w:type="dxa"/>
          </w:tcPr>
          <w:p w14:paraId="10705A78" w14:textId="77777777" w:rsidR="003C783E" w:rsidRPr="0097258B" w:rsidRDefault="003C783E" w:rsidP="00182C8E">
            <w:pPr>
              <w:rPr>
                <w:rFonts w:ascii="Times New Roman" w:hAnsi="Times New Roman"/>
                <w:sz w:val="22"/>
                <w:szCs w:val="22"/>
              </w:rPr>
            </w:pPr>
            <w:r w:rsidRPr="0097258B">
              <w:rPr>
                <w:rFonts w:ascii="Times New Roman" w:hAnsi="Times New Roman"/>
              </w:rPr>
              <w:t xml:space="preserve">ADM, </w:t>
            </w:r>
            <w:proofErr w:type="spellStart"/>
            <w:r w:rsidRPr="0097258B">
              <w:rPr>
                <w:rFonts w:ascii="Times New Roman" w:hAnsi="Times New Roman"/>
              </w:rPr>
              <w:t>partenaires</w:t>
            </w:r>
            <w:proofErr w:type="spellEnd"/>
            <w:r w:rsidRPr="0097258B">
              <w:rPr>
                <w:rFonts w:ascii="Times New Roman" w:hAnsi="Times New Roman"/>
              </w:rPr>
              <w:t xml:space="preserve"> techniques</w:t>
            </w:r>
          </w:p>
        </w:tc>
      </w:tr>
      <w:tr w:rsidR="003C783E" w:rsidRPr="003C783E" w14:paraId="75EFB896" w14:textId="77777777" w:rsidTr="00A00DD5">
        <w:tc>
          <w:tcPr>
            <w:tcW w:w="1984" w:type="dxa"/>
          </w:tcPr>
          <w:p w14:paraId="067E22B2" w14:textId="77777777" w:rsidR="003C783E" w:rsidRPr="0097258B" w:rsidRDefault="003C783E" w:rsidP="00182C8E">
            <w:pPr>
              <w:rPr>
                <w:rFonts w:ascii="Times New Roman" w:hAnsi="Times New Roman"/>
                <w:sz w:val="22"/>
                <w:szCs w:val="22"/>
              </w:rPr>
            </w:pPr>
            <w:r w:rsidRPr="0097258B">
              <w:rPr>
                <w:rFonts w:ascii="Times New Roman" w:hAnsi="Times New Roman"/>
              </w:rPr>
              <w:t xml:space="preserve">Paiement de </w:t>
            </w:r>
            <w:proofErr w:type="spellStart"/>
            <w:r w:rsidRPr="0097258B">
              <w:rPr>
                <w:rFonts w:ascii="Times New Roman" w:hAnsi="Times New Roman"/>
              </w:rPr>
              <w:t>réparations</w:t>
            </w:r>
            <w:proofErr w:type="spellEnd"/>
          </w:p>
        </w:tc>
        <w:tc>
          <w:tcPr>
            <w:tcW w:w="2224" w:type="dxa"/>
          </w:tcPr>
          <w:p w14:paraId="3005AC34" w14:textId="77777777" w:rsidR="003C783E" w:rsidRPr="00301AF6" w:rsidRDefault="003C783E" w:rsidP="00182C8E">
            <w:pPr>
              <w:rPr>
                <w:rFonts w:ascii="Times New Roman" w:hAnsi="Times New Roman"/>
                <w:sz w:val="22"/>
                <w:szCs w:val="22"/>
                <w:lang w:val="fr-FR"/>
              </w:rPr>
            </w:pPr>
            <w:r w:rsidRPr="00301AF6">
              <w:rPr>
                <w:rFonts w:ascii="Times New Roman" w:hAnsi="Times New Roman"/>
                <w:lang w:val="fr-FR"/>
              </w:rPr>
              <w:t>Compensation financière ou matérielle selon les cas.</w:t>
            </w:r>
          </w:p>
        </w:tc>
        <w:tc>
          <w:tcPr>
            <w:tcW w:w="1890" w:type="dxa"/>
          </w:tcPr>
          <w:p w14:paraId="64AC20CD" w14:textId="77777777" w:rsidR="003C783E" w:rsidRPr="0097258B" w:rsidRDefault="003C783E" w:rsidP="00182C8E">
            <w:pPr>
              <w:rPr>
                <w:rFonts w:ascii="Times New Roman" w:hAnsi="Times New Roman"/>
                <w:sz w:val="22"/>
                <w:szCs w:val="22"/>
              </w:rPr>
            </w:pPr>
            <w:proofErr w:type="spellStart"/>
            <w:r w:rsidRPr="0097258B">
              <w:rPr>
                <w:rFonts w:ascii="Times New Roman" w:hAnsi="Times New Roman"/>
              </w:rPr>
              <w:t>Selon</w:t>
            </w:r>
            <w:proofErr w:type="spellEnd"/>
            <w:r w:rsidRPr="0097258B">
              <w:rPr>
                <w:rFonts w:ascii="Times New Roman" w:hAnsi="Times New Roman"/>
              </w:rPr>
              <w:t xml:space="preserve"> le </w:t>
            </w:r>
            <w:proofErr w:type="spellStart"/>
            <w:r w:rsidRPr="0097258B">
              <w:rPr>
                <w:rFonts w:ascii="Times New Roman" w:hAnsi="Times New Roman"/>
              </w:rPr>
              <w:t>cas</w:t>
            </w:r>
            <w:proofErr w:type="spellEnd"/>
          </w:p>
        </w:tc>
        <w:tc>
          <w:tcPr>
            <w:tcW w:w="3193" w:type="dxa"/>
          </w:tcPr>
          <w:p w14:paraId="3A73577A" w14:textId="77777777" w:rsidR="003C783E" w:rsidRPr="0097258B" w:rsidRDefault="003C783E" w:rsidP="00182C8E">
            <w:pPr>
              <w:rPr>
                <w:rFonts w:ascii="Times New Roman" w:hAnsi="Times New Roman"/>
                <w:sz w:val="22"/>
                <w:szCs w:val="22"/>
              </w:rPr>
            </w:pPr>
            <w:r w:rsidRPr="0097258B">
              <w:rPr>
                <w:rFonts w:ascii="Times New Roman" w:hAnsi="Times New Roman"/>
              </w:rPr>
              <w:t xml:space="preserve">ADM, </w:t>
            </w:r>
            <w:proofErr w:type="spellStart"/>
            <w:r w:rsidRPr="0097258B">
              <w:rPr>
                <w:rFonts w:ascii="Times New Roman" w:hAnsi="Times New Roman"/>
              </w:rPr>
              <w:t>entreprises</w:t>
            </w:r>
            <w:proofErr w:type="spellEnd"/>
            <w:r w:rsidRPr="0097258B">
              <w:rPr>
                <w:rFonts w:ascii="Times New Roman" w:hAnsi="Times New Roman"/>
              </w:rPr>
              <w:t xml:space="preserve">, </w:t>
            </w:r>
            <w:proofErr w:type="spellStart"/>
            <w:r w:rsidRPr="0097258B">
              <w:rPr>
                <w:rFonts w:ascii="Times New Roman" w:hAnsi="Times New Roman"/>
              </w:rPr>
              <w:t>autorités</w:t>
            </w:r>
            <w:proofErr w:type="spellEnd"/>
            <w:r w:rsidRPr="0097258B">
              <w:rPr>
                <w:rFonts w:ascii="Times New Roman" w:hAnsi="Times New Roman"/>
              </w:rPr>
              <w:t xml:space="preserve"> locales</w:t>
            </w:r>
          </w:p>
        </w:tc>
      </w:tr>
    </w:tbl>
    <w:p w14:paraId="15F5FB8F" w14:textId="571E702C" w:rsidR="002A0AE9" w:rsidRPr="002A0AE9" w:rsidRDefault="002A0AE9" w:rsidP="002A0AE9">
      <w:pPr>
        <w:spacing w:line="240" w:lineRule="auto"/>
        <w:jc w:val="both"/>
        <w:rPr>
          <w:rFonts w:ascii="Times New Roman" w:eastAsia="Times New Roman" w:hAnsi="Times New Roman"/>
          <w:color w:val="000000" w:themeColor="text1"/>
          <w:lang w:eastAsia="fr-FR"/>
        </w:rPr>
      </w:pPr>
    </w:p>
    <w:p w14:paraId="7468E9C7" w14:textId="77777777" w:rsidR="00A00DD5" w:rsidRDefault="00A00DD5">
      <w:pPr>
        <w:spacing w:line="259" w:lineRule="auto"/>
        <w:rPr>
          <w:rFonts w:ascii="Times New Roman" w:eastAsia="Times New Roman" w:hAnsi="Times New Roman"/>
          <w:color w:val="000000" w:themeColor="text1"/>
          <w:lang w:eastAsia="fr-FR"/>
        </w:rPr>
      </w:pPr>
      <w:r>
        <w:rPr>
          <w:rFonts w:ascii="Times New Roman" w:eastAsia="Times New Roman" w:hAnsi="Times New Roman"/>
          <w:color w:val="000000" w:themeColor="text1"/>
          <w:lang w:eastAsia="fr-FR"/>
        </w:rPr>
        <w:br w:type="page"/>
      </w:r>
    </w:p>
    <w:p w14:paraId="18C049D6" w14:textId="00591435" w:rsidR="002A0AE9" w:rsidRPr="007428C0" w:rsidRDefault="006D6AB4" w:rsidP="002A0AE9">
      <w:pPr>
        <w:spacing w:line="240" w:lineRule="auto"/>
        <w:jc w:val="both"/>
        <w:rPr>
          <w:rFonts w:ascii="Times New Roman" w:eastAsia="Times New Roman" w:hAnsi="Times New Roman"/>
          <w:color w:val="000000" w:themeColor="text1"/>
          <w:lang w:eastAsia="fr-FR"/>
        </w:rPr>
      </w:pPr>
      <w:r w:rsidRPr="006D6AB4">
        <w:rPr>
          <w:rFonts w:ascii="Times New Roman" w:eastAsia="Times New Roman" w:hAnsi="Times New Roman"/>
          <w:color w:val="000000" w:themeColor="text1"/>
          <w:lang w:eastAsia="fr-FR"/>
        </w:rPr>
        <w:lastRenderedPageBreak/>
        <w:t>Des mécanismes adaptés sont mis en place pour le traitement de certaines catégories de plaintes :</w:t>
      </w:r>
    </w:p>
    <w:p w14:paraId="23DD42A7" w14:textId="166CFC4F" w:rsidR="002A0AE9" w:rsidRPr="0097258B" w:rsidRDefault="002A0AE9" w:rsidP="00A00DD5">
      <w:pPr>
        <w:pStyle w:val="Paragraphedeliste"/>
        <w:numPr>
          <w:ilvl w:val="1"/>
          <w:numId w:val="384"/>
        </w:numPr>
        <w:spacing w:line="240" w:lineRule="auto"/>
        <w:ind w:left="709"/>
        <w:jc w:val="both"/>
        <w:rPr>
          <w:rFonts w:ascii="Times New Roman" w:eastAsia="Times New Roman" w:hAnsi="Times New Roman"/>
          <w:color w:val="000000" w:themeColor="text1"/>
          <w:lang w:eastAsia="fr-FR"/>
        </w:rPr>
      </w:pPr>
      <w:r w:rsidRPr="0097258B">
        <w:rPr>
          <w:rFonts w:ascii="Times New Roman" w:eastAsia="Times New Roman" w:hAnsi="Times New Roman"/>
          <w:color w:val="000000" w:themeColor="text1"/>
          <w:lang w:eastAsia="fr-FR"/>
        </w:rPr>
        <w:t xml:space="preserve">Plaintes EAS/HS : </w:t>
      </w:r>
      <w:r w:rsidR="00FD7224">
        <w:rPr>
          <w:rFonts w:ascii="Times New Roman" w:eastAsia="Times New Roman" w:hAnsi="Times New Roman"/>
          <w:color w:val="000000" w:themeColor="text1"/>
          <w:lang w:eastAsia="fr-FR"/>
        </w:rPr>
        <w:t>le t</w:t>
      </w:r>
      <w:r w:rsidRPr="0097258B">
        <w:rPr>
          <w:rFonts w:ascii="Times New Roman" w:eastAsia="Times New Roman" w:hAnsi="Times New Roman"/>
          <w:color w:val="000000" w:themeColor="text1"/>
          <w:lang w:eastAsia="fr-FR"/>
        </w:rPr>
        <w:t xml:space="preserve">raitement </w:t>
      </w:r>
      <w:r w:rsidR="00FD7224">
        <w:rPr>
          <w:rFonts w:ascii="Times New Roman" w:eastAsia="Times New Roman" w:hAnsi="Times New Roman"/>
          <w:color w:val="000000" w:themeColor="text1"/>
          <w:lang w:eastAsia="fr-FR"/>
        </w:rPr>
        <w:t xml:space="preserve">est </w:t>
      </w:r>
      <w:r w:rsidRPr="0097258B">
        <w:rPr>
          <w:rFonts w:ascii="Times New Roman" w:eastAsia="Times New Roman" w:hAnsi="Times New Roman"/>
          <w:color w:val="000000" w:themeColor="text1"/>
          <w:lang w:eastAsia="fr-FR"/>
        </w:rPr>
        <w:t xml:space="preserve">confidentiel, centré sur la survivante, sans médiation. </w:t>
      </w:r>
      <w:r w:rsidR="00237CD5">
        <w:rPr>
          <w:rFonts w:ascii="Times New Roman" w:eastAsia="Times New Roman" w:hAnsi="Times New Roman"/>
          <w:color w:val="000000" w:themeColor="text1"/>
          <w:lang w:eastAsia="fr-FR"/>
        </w:rPr>
        <w:t>Un c</w:t>
      </w:r>
      <w:r w:rsidRPr="0097258B">
        <w:rPr>
          <w:rFonts w:ascii="Times New Roman" w:eastAsia="Times New Roman" w:hAnsi="Times New Roman"/>
          <w:color w:val="000000" w:themeColor="text1"/>
          <w:lang w:eastAsia="fr-FR"/>
        </w:rPr>
        <w:t xml:space="preserve">omité départemental </w:t>
      </w:r>
      <w:r w:rsidR="00237CD5">
        <w:rPr>
          <w:rFonts w:ascii="Times New Roman" w:eastAsia="Times New Roman" w:hAnsi="Times New Roman"/>
          <w:color w:val="000000" w:themeColor="text1"/>
          <w:lang w:eastAsia="fr-FR"/>
        </w:rPr>
        <w:t xml:space="preserve">est </w:t>
      </w:r>
      <w:r w:rsidRPr="0097258B">
        <w:rPr>
          <w:rFonts w:ascii="Times New Roman" w:eastAsia="Times New Roman" w:hAnsi="Times New Roman"/>
          <w:color w:val="000000" w:themeColor="text1"/>
          <w:lang w:eastAsia="fr-FR"/>
        </w:rPr>
        <w:t>dédié</w:t>
      </w:r>
      <w:r w:rsidR="00237CD5">
        <w:rPr>
          <w:rFonts w:ascii="Times New Roman" w:eastAsia="Times New Roman" w:hAnsi="Times New Roman"/>
          <w:color w:val="000000" w:themeColor="text1"/>
          <w:lang w:eastAsia="fr-FR"/>
        </w:rPr>
        <w:t>, composé de</w:t>
      </w:r>
      <w:r w:rsidRPr="0097258B">
        <w:rPr>
          <w:rFonts w:ascii="Times New Roman" w:eastAsia="Times New Roman" w:hAnsi="Times New Roman"/>
          <w:color w:val="000000" w:themeColor="text1"/>
          <w:lang w:eastAsia="fr-FR"/>
        </w:rPr>
        <w:t xml:space="preserve"> 50 % de femmes.</w:t>
      </w:r>
    </w:p>
    <w:p w14:paraId="7A52C513" w14:textId="461F692D" w:rsidR="002A0AE9" w:rsidRPr="0097258B" w:rsidRDefault="002A0AE9" w:rsidP="00A00DD5">
      <w:pPr>
        <w:pStyle w:val="Paragraphedeliste"/>
        <w:numPr>
          <w:ilvl w:val="1"/>
          <w:numId w:val="384"/>
        </w:numPr>
        <w:spacing w:line="240" w:lineRule="auto"/>
        <w:ind w:left="709"/>
        <w:jc w:val="both"/>
        <w:rPr>
          <w:rFonts w:ascii="Times New Roman" w:eastAsia="Times New Roman" w:hAnsi="Times New Roman"/>
          <w:color w:val="000000" w:themeColor="text1"/>
          <w:lang w:eastAsia="fr-FR"/>
        </w:rPr>
      </w:pPr>
      <w:r w:rsidRPr="0097258B">
        <w:rPr>
          <w:rFonts w:ascii="Times New Roman" w:eastAsia="Times New Roman" w:hAnsi="Times New Roman"/>
          <w:color w:val="000000" w:themeColor="text1"/>
          <w:lang w:eastAsia="fr-FR"/>
        </w:rPr>
        <w:t xml:space="preserve">Plaintes des travailleurs : MGP spécifique conforme au Code du travail sénégalais. </w:t>
      </w:r>
      <w:r w:rsidR="003D5806">
        <w:rPr>
          <w:rFonts w:ascii="Times New Roman" w:eastAsia="Times New Roman" w:hAnsi="Times New Roman"/>
          <w:color w:val="000000" w:themeColor="text1"/>
          <w:lang w:eastAsia="fr-FR"/>
        </w:rPr>
        <w:t>Le r</w:t>
      </w:r>
      <w:r w:rsidRPr="0097258B">
        <w:rPr>
          <w:rFonts w:ascii="Times New Roman" w:eastAsia="Times New Roman" w:hAnsi="Times New Roman"/>
          <w:color w:val="000000" w:themeColor="text1"/>
          <w:lang w:eastAsia="fr-FR"/>
        </w:rPr>
        <w:t xml:space="preserve">ecours </w:t>
      </w:r>
      <w:r w:rsidR="003D5806">
        <w:rPr>
          <w:rFonts w:ascii="Times New Roman" w:eastAsia="Times New Roman" w:hAnsi="Times New Roman"/>
          <w:color w:val="000000" w:themeColor="text1"/>
          <w:lang w:eastAsia="fr-FR"/>
        </w:rPr>
        <w:t xml:space="preserve">est </w:t>
      </w:r>
      <w:r w:rsidRPr="0097258B">
        <w:rPr>
          <w:rFonts w:ascii="Times New Roman" w:eastAsia="Times New Roman" w:hAnsi="Times New Roman"/>
          <w:color w:val="000000" w:themeColor="text1"/>
          <w:lang w:eastAsia="fr-FR"/>
        </w:rPr>
        <w:t xml:space="preserve">possible </w:t>
      </w:r>
      <w:r w:rsidR="003D5806">
        <w:rPr>
          <w:rFonts w:ascii="Times New Roman" w:eastAsia="Times New Roman" w:hAnsi="Times New Roman"/>
          <w:color w:val="000000" w:themeColor="text1"/>
          <w:lang w:eastAsia="fr-FR"/>
        </w:rPr>
        <w:t>au niveau de</w:t>
      </w:r>
      <w:r w:rsidRPr="0097258B">
        <w:rPr>
          <w:rFonts w:ascii="Times New Roman" w:eastAsia="Times New Roman" w:hAnsi="Times New Roman"/>
          <w:color w:val="000000" w:themeColor="text1"/>
          <w:lang w:eastAsia="fr-FR"/>
        </w:rPr>
        <w:t xml:space="preserve"> l’Inspection du Travail ou au tribunal.</w:t>
      </w:r>
    </w:p>
    <w:p w14:paraId="545F63E2" w14:textId="2C85FB3C" w:rsidR="002A0AE9" w:rsidRPr="0097258B" w:rsidRDefault="002A0AE9" w:rsidP="00A00DD5">
      <w:pPr>
        <w:pStyle w:val="Paragraphedeliste"/>
        <w:numPr>
          <w:ilvl w:val="1"/>
          <w:numId w:val="384"/>
        </w:numPr>
        <w:spacing w:line="240" w:lineRule="auto"/>
        <w:ind w:left="709"/>
        <w:jc w:val="both"/>
        <w:rPr>
          <w:rFonts w:ascii="Times New Roman" w:eastAsia="Times New Roman" w:hAnsi="Times New Roman"/>
          <w:color w:val="000000" w:themeColor="text1"/>
          <w:lang w:eastAsia="fr-FR"/>
        </w:rPr>
      </w:pPr>
      <w:r w:rsidRPr="0097258B">
        <w:rPr>
          <w:rFonts w:ascii="Times New Roman" w:eastAsia="Times New Roman" w:hAnsi="Times New Roman"/>
          <w:color w:val="000000" w:themeColor="text1"/>
          <w:lang w:eastAsia="fr-FR"/>
        </w:rPr>
        <w:t xml:space="preserve">Recours judiciaire : Si le plaignant n’est pas satisfait, il peut saisir le tribunal ou des institutions comme la </w:t>
      </w:r>
      <w:proofErr w:type="spellStart"/>
      <w:r w:rsidRPr="0097258B">
        <w:rPr>
          <w:rFonts w:ascii="Times New Roman" w:eastAsia="Times New Roman" w:hAnsi="Times New Roman"/>
          <w:color w:val="000000" w:themeColor="text1"/>
          <w:lang w:eastAsia="fr-FR"/>
        </w:rPr>
        <w:t>Médiature</w:t>
      </w:r>
      <w:proofErr w:type="spellEnd"/>
      <w:r w:rsidRPr="0097258B">
        <w:rPr>
          <w:rFonts w:ascii="Times New Roman" w:eastAsia="Times New Roman" w:hAnsi="Times New Roman"/>
          <w:color w:val="000000" w:themeColor="text1"/>
          <w:lang w:eastAsia="fr-FR"/>
        </w:rPr>
        <w:t xml:space="preserve"> de la République ou le Comité Sénégalais des Droits de l’Homme.</w:t>
      </w:r>
    </w:p>
    <w:p w14:paraId="6A87CA36" w14:textId="54FD4089" w:rsidR="002A0AE9" w:rsidRPr="00B77842" w:rsidRDefault="00B77842" w:rsidP="002A0AE9">
      <w:pPr>
        <w:spacing w:line="240" w:lineRule="auto"/>
        <w:jc w:val="both"/>
        <w:rPr>
          <w:rFonts w:ascii="Times New Roman" w:eastAsia="Times New Roman" w:hAnsi="Times New Roman"/>
          <w:color w:val="000000" w:themeColor="text1"/>
          <w:lang w:eastAsia="fr-FR"/>
        </w:rPr>
      </w:pPr>
      <w:r w:rsidRPr="0097258B">
        <w:rPr>
          <w:rFonts w:ascii="Times New Roman" w:eastAsia="Times New Roman" w:hAnsi="Times New Roman"/>
          <w:color w:val="000000" w:themeColor="text1"/>
          <w:lang w:eastAsia="fr-FR"/>
        </w:rPr>
        <w:t>Les r</w:t>
      </w:r>
      <w:r w:rsidR="002A0AE9" w:rsidRPr="00B77842">
        <w:rPr>
          <w:rFonts w:ascii="Times New Roman" w:eastAsia="Times New Roman" w:hAnsi="Times New Roman"/>
          <w:color w:val="000000" w:themeColor="text1"/>
          <w:lang w:eastAsia="fr-FR"/>
        </w:rPr>
        <w:t>ésultats attendus</w:t>
      </w:r>
      <w:r w:rsidRPr="0097258B">
        <w:rPr>
          <w:rFonts w:ascii="Times New Roman" w:eastAsia="Times New Roman" w:hAnsi="Times New Roman"/>
          <w:color w:val="000000" w:themeColor="text1"/>
          <w:lang w:eastAsia="fr-FR"/>
        </w:rPr>
        <w:t xml:space="preserve"> sont : </w:t>
      </w:r>
    </w:p>
    <w:p w14:paraId="76657625" w14:textId="3DEB9713" w:rsidR="002A0AE9" w:rsidRPr="002A0AE9" w:rsidRDefault="002A0AE9" w:rsidP="00A00DD5">
      <w:pPr>
        <w:pStyle w:val="Paragraphedeliste"/>
        <w:numPr>
          <w:ilvl w:val="1"/>
          <w:numId w:val="384"/>
        </w:numPr>
        <w:spacing w:line="240" w:lineRule="auto"/>
        <w:ind w:left="709"/>
        <w:jc w:val="both"/>
        <w:rPr>
          <w:rFonts w:ascii="Times New Roman" w:eastAsia="Times New Roman" w:hAnsi="Times New Roman"/>
          <w:color w:val="000000" w:themeColor="text1"/>
          <w:lang w:eastAsia="fr-FR"/>
        </w:rPr>
      </w:pPr>
      <w:r w:rsidRPr="002A0AE9">
        <w:rPr>
          <w:rFonts w:ascii="Times New Roman" w:eastAsia="Times New Roman" w:hAnsi="Times New Roman"/>
          <w:color w:val="000000" w:themeColor="text1"/>
          <w:lang w:eastAsia="fr-FR"/>
        </w:rPr>
        <w:t>75 % des plaintes résolues dans les 30 jours.</w:t>
      </w:r>
    </w:p>
    <w:p w14:paraId="2D72654D" w14:textId="0E380DFE" w:rsidR="002A0AE9" w:rsidRPr="002A0AE9" w:rsidRDefault="002A0AE9" w:rsidP="00A00DD5">
      <w:pPr>
        <w:pStyle w:val="Paragraphedeliste"/>
        <w:numPr>
          <w:ilvl w:val="1"/>
          <w:numId w:val="384"/>
        </w:numPr>
        <w:spacing w:line="240" w:lineRule="auto"/>
        <w:ind w:left="709"/>
        <w:jc w:val="both"/>
        <w:rPr>
          <w:rFonts w:ascii="Times New Roman" w:eastAsia="Times New Roman" w:hAnsi="Times New Roman"/>
          <w:color w:val="000000" w:themeColor="text1"/>
          <w:lang w:eastAsia="fr-FR"/>
        </w:rPr>
      </w:pPr>
      <w:r w:rsidRPr="002A0AE9">
        <w:rPr>
          <w:rFonts w:ascii="Times New Roman" w:eastAsia="Times New Roman" w:hAnsi="Times New Roman"/>
          <w:color w:val="000000" w:themeColor="text1"/>
          <w:lang w:eastAsia="fr-FR"/>
        </w:rPr>
        <w:t>Toutes les plaintes enregistrées et documentées.</w:t>
      </w:r>
    </w:p>
    <w:p w14:paraId="46BF23FB" w14:textId="5EA464BD" w:rsidR="002652C1" w:rsidRDefault="002A0AE9" w:rsidP="00A00DD5">
      <w:pPr>
        <w:pStyle w:val="Paragraphedeliste"/>
        <w:numPr>
          <w:ilvl w:val="1"/>
          <w:numId w:val="384"/>
        </w:numPr>
        <w:spacing w:line="240" w:lineRule="auto"/>
        <w:ind w:left="709"/>
        <w:jc w:val="both"/>
        <w:rPr>
          <w:rFonts w:ascii="Times New Roman" w:eastAsia="Times New Roman" w:hAnsi="Times New Roman"/>
          <w:color w:val="000000" w:themeColor="text1"/>
          <w:lang w:eastAsia="fr-FR"/>
        </w:rPr>
      </w:pPr>
      <w:r w:rsidRPr="002A0AE9">
        <w:rPr>
          <w:rFonts w:ascii="Times New Roman" w:eastAsia="Times New Roman" w:hAnsi="Times New Roman"/>
          <w:color w:val="000000" w:themeColor="text1"/>
          <w:lang w:eastAsia="fr-FR"/>
        </w:rPr>
        <w:t>Renforcement de la transparence, de la redevabilité et de la confiance entre les parties prenantes.</w:t>
      </w:r>
      <w:r w:rsidR="001E66A3" w:rsidRPr="001E66A3">
        <w:rPr>
          <w:rFonts w:ascii="Times New Roman" w:eastAsia="Times New Roman" w:hAnsi="Times New Roman"/>
          <w:color w:val="000000" w:themeColor="text1"/>
          <w:lang w:eastAsia="fr-FR"/>
        </w:rPr>
        <w:t xml:space="preserve"> </w:t>
      </w:r>
    </w:p>
    <w:p w14:paraId="18A4F831" w14:textId="38F14728" w:rsidR="002A0AE9" w:rsidRPr="002A0AE9" w:rsidRDefault="001E66A3" w:rsidP="00A00DD5">
      <w:pPr>
        <w:pStyle w:val="Paragraphedeliste"/>
        <w:numPr>
          <w:ilvl w:val="1"/>
          <w:numId w:val="384"/>
        </w:numPr>
        <w:spacing w:line="240" w:lineRule="auto"/>
        <w:ind w:left="709"/>
        <w:jc w:val="both"/>
        <w:rPr>
          <w:rFonts w:ascii="Times New Roman" w:eastAsia="Times New Roman" w:hAnsi="Times New Roman"/>
          <w:color w:val="000000" w:themeColor="text1"/>
          <w:lang w:eastAsia="fr-FR"/>
        </w:rPr>
      </w:pPr>
      <w:r w:rsidRPr="002A0AE9">
        <w:rPr>
          <w:rFonts w:ascii="Times New Roman" w:eastAsia="Times New Roman" w:hAnsi="Times New Roman"/>
          <w:color w:val="000000" w:themeColor="text1"/>
          <w:lang w:eastAsia="fr-FR"/>
        </w:rPr>
        <w:t>Réduction des conflits et amélioration de la qualité de mise en œuvre du projet.</w:t>
      </w:r>
    </w:p>
    <w:p w14:paraId="5491A42B" w14:textId="5762609F" w:rsidR="008F35C9" w:rsidRPr="00260790" w:rsidRDefault="002652C1" w:rsidP="001748C6">
      <w:pPr>
        <w:pStyle w:val="Normaltableau0"/>
        <w:numPr>
          <w:ilvl w:val="1"/>
          <w:numId w:val="139"/>
        </w:numPr>
        <w:outlineLvl w:val="1"/>
        <w:rPr>
          <w:rFonts w:ascii="Times New Roman" w:hAnsi="Times New Roman"/>
          <w:b/>
          <w:bCs/>
          <w:sz w:val="22"/>
          <w:szCs w:val="22"/>
        </w:rPr>
      </w:pPr>
      <w:bookmarkStart w:id="2506" w:name="_Toc212725190"/>
      <w:r w:rsidRPr="0097258B">
        <w:rPr>
          <w:rFonts w:ascii="Times New Roman" w:hAnsi="Times New Roman"/>
          <w:b/>
          <w:bCs/>
        </w:rPr>
        <w:t xml:space="preserve">Plan </w:t>
      </w:r>
      <w:bookmarkStart w:id="2507" w:name="_Toc68109782"/>
      <w:r w:rsidR="008F35C9" w:rsidRPr="00260790">
        <w:rPr>
          <w:rFonts w:ascii="Times New Roman" w:hAnsi="Times New Roman"/>
          <w:b/>
          <w:bCs/>
          <w:sz w:val="22"/>
          <w:szCs w:val="22"/>
        </w:rPr>
        <w:t>de suivi et de surveillance environnementale et sociale</w:t>
      </w:r>
      <w:bookmarkEnd w:id="2504"/>
      <w:bookmarkEnd w:id="2505"/>
      <w:bookmarkEnd w:id="2506"/>
      <w:bookmarkEnd w:id="2507"/>
    </w:p>
    <w:p w14:paraId="7253F69C" w14:textId="77777777" w:rsidR="008F35C9" w:rsidRPr="00260790" w:rsidRDefault="008F35C9" w:rsidP="00FD308E">
      <w:pPr>
        <w:pStyle w:val="Corpsdetexte2"/>
        <w:spacing w:before="240" w:line="240" w:lineRule="auto"/>
        <w:rPr>
          <w:rFonts w:eastAsia="Times New Roman"/>
          <w:color w:val="000000" w:themeColor="text1"/>
          <w:lang w:eastAsia="fr-FR"/>
        </w:rPr>
      </w:pPr>
      <w:r w:rsidRPr="00260790">
        <w:rPr>
          <w:rFonts w:eastAsia="Times New Roman"/>
          <w:color w:val="000000" w:themeColor="text1"/>
          <w:lang w:eastAsia="fr-FR"/>
        </w:rPr>
        <w:t>Le programme de surveillance et de suivi vise à s'assurer que les mesures de bonification et d'atténuation seront mises en œuvre, qu'elles prod</w:t>
      </w:r>
      <w:bookmarkStart w:id="2508" w:name="_Toc533364406"/>
      <w:bookmarkStart w:id="2509" w:name="_Toc475991766"/>
      <w:bookmarkStart w:id="2510" w:name="_Toc448931995"/>
      <w:bookmarkStart w:id="2511" w:name="_Toc447664287"/>
      <w:bookmarkStart w:id="2512" w:name="_Toc428390172"/>
      <w:r w:rsidRPr="00260790">
        <w:rPr>
          <w:rFonts w:eastAsia="Times New Roman"/>
          <w:color w:val="000000" w:themeColor="text1"/>
          <w:lang w:eastAsia="fr-FR"/>
        </w:rPr>
        <w:t>uisent les résultats escomptés.</w:t>
      </w:r>
    </w:p>
    <w:p w14:paraId="1A28BB94" w14:textId="77777777" w:rsidR="008F35C9" w:rsidRPr="00260790" w:rsidRDefault="008F35C9" w:rsidP="003B6588">
      <w:pPr>
        <w:pStyle w:val="CHAPITRE1"/>
        <w:rPr>
          <w:rFonts w:cs="Times New Roman"/>
        </w:rPr>
      </w:pPr>
      <w:bookmarkStart w:id="2513" w:name="_Toc29856794"/>
      <w:bookmarkStart w:id="2514" w:name="_Toc29466673"/>
      <w:bookmarkStart w:id="2515" w:name="_Toc26465895"/>
      <w:bookmarkStart w:id="2516" w:name="_Toc68109783"/>
      <w:bookmarkStart w:id="2517" w:name="_Toc212725191"/>
      <w:bookmarkEnd w:id="2508"/>
      <w:bookmarkEnd w:id="2509"/>
      <w:bookmarkEnd w:id="2510"/>
      <w:bookmarkEnd w:id="2511"/>
      <w:bookmarkEnd w:id="2512"/>
      <w:r w:rsidRPr="00260790">
        <w:rPr>
          <w:rFonts w:cs="Times New Roman"/>
        </w:rPr>
        <w:t>Suivi de proximité</w:t>
      </w:r>
      <w:bookmarkEnd w:id="2513"/>
      <w:bookmarkEnd w:id="2514"/>
      <w:bookmarkEnd w:id="2515"/>
      <w:r w:rsidRPr="00260790">
        <w:rPr>
          <w:rFonts w:cs="Times New Roman"/>
        </w:rPr>
        <w:t xml:space="preserve"> ou supervision</w:t>
      </w:r>
      <w:bookmarkEnd w:id="2516"/>
      <w:bookmarkEnd w:id="2517"/>
    </w:p>
    <w:p w14:paraId="66FFDACA" w14:textId="77777777" w:rsidR="00FD308E" w:rsidRPr="00260790" w:rsidRDefault="008F35C9" w:rsidP="00E20250">
      <w:pPr>
        <w:pStyle w:val="Corpsdetexte2"/>
        <w:spacing w:after="0" w:line="240" w:lineRule="auto"/>
        <w:rPr>
          <w:rFonts w:eastAsia="Times New Roman"/>
          <w:color w:val="000000" w:themeColor="text1"/>
          <w:lang w:eastAsia="fr-FR"/>
        </w:rPr>
      </w:pPr>
      <w:r w:rsidRPr="00260790">
        <w:rPr>
          <w:rFonts w:eastAsia="Times New Roman"/>
          <w:color w:val="000000" w:themeColor="text1"/>
          <w:lang w:eastAsia="fr-FR"/>
        </w:rPr>
        <w:t xml:space="preserve">Il vise à s’assurer que les entreprises respectent les engagements et obligations en matière de protection de l’environnement et en matière sociale tout au long du projet, que les mesures d’atténuation et de bonification sont effectivement mises en œuvre pendant les travaux. </w:t>
      </w:r>
    </w:p>
    <w:p w14:paraId="27B0EED0" w14:textId="323AB1E1" w:rsidR="008F35C9" w:rsidRDefault="008F35C9" w:rsidP="00E20250">
      <w:pPr>
        <w:pStyle w:val="Corpsdetexte2"/>
        <w:spacing w:after="0" w:line="240" w:lineRule="auto"/>
        <w:rPr>
          <w:rFonts w:eastAsia="Times New Roman"/>
          <w:color w:val="000000" w:themeColor="text1"/>
          <w:lang w:eastAsia="fr-FR"/>
        </w:rPr>
      </w:pPr>
      <w:r w:rsidRPr="00260790">
        <w:rPr>
          <w:rFonts w:eastAsia="Times New Roman"/>
          <w:color w:val="000000" w:themeColor="text1"/>
          <w:lang w:eastAsia="fr-FR"/>
        </w:rPr>
        <w:t xml:space="preserve">La supervision environnementale et sociale devra être effectuée par la mission de contrôle. Durant les travaux, la Mission jouera le rôle d’interface entre les riverains et les entreprises en cas de plaintes ou de gestion des différends. </w:t>
      </w:r>
    </w:p>
    <w:p w14:paraId="10C6DCA2" w14:textId="77777777" w:rsidR="006018F5" w:rsidRPr="00260790" w:rsidRDefault="006018F5" w:rsidP="00E20250">
      <w:pPr>
        <w:pStyle w:val="Corpsdetexte2"/>
        <w:spacing w:after="0" w:line="240" w:lineRule="auto"/>
        <w:rPr>
          <w:rFonts w:eastAsia="Times New Roman"/>
          <w:color w:val="000000" w:themeColor="text1"/>
          <w:lang w:eastAsia="fr-FR"/>
        </w:rPr>
      </w:pPr>
    </w:p>
    <w:p w14:paraId="49C6776E" w14:textId="77777777" w:rsidR="008F35C9" w:rsidRPr="00260790" w:rsidRDefault="008F35C9" w:rsidP="003B6588">
      <w:pPr>
        <w:pStyle w:val="CHAPITRE1"/>
        <w:rPr>
          <w:rFonts w:cs="Times New Roman"/>
        </w:rPr>
      </w:pPr>
      <w:bookmarkStart w:id="2518" w:name="_Toc68109784"/>
      <w:bookmarkStart w:id="2519" w:name="_Toc29856795"/>
      <w:bookmarkStart w:id="2520" w:name="_Toc212725192"/>
      <w:bookmarkStart w:id="2521" w:name="_Toc29466674"/>
      <w:bookmarkStart w:id="2522" w:name="_Toc26465897"/>
      <w:r w:rsidRPr="00260790">
        <w:rPr>
          <w:rFonts w:cs="Times New Roman"/>
        </w:rPr>
        <w:t>Surveillance environnementale et sociale</w:t>
      </w:r>
      <w:bookmarkEnd w:id="2518"/>
      <w:bookmarkEnd w:id="2519"/>
      <w:bookmarkEnd w:id="2520"/>
    </w:p>
    <w:p w14:paraId="5DE096F1" w14:textId="00127283" w:rsidR="008F35C9" w:rsidRDefault="006018F5" w:rsidP="00E20250">
      <w:pPr>
        <w:pStyle w:val="Corpsdetexte2"/>
        <w:autoSpaceDE w:val="0"/>
        <w:autoSpaceDN w:val="0"/>
        <w:adjustRightInd w:val="0"/>
        <w:spacing w:after="0" w:line="240" w:lineRule="auto"/>
        <w:rPr>
          <w:color w:val="000000" w:themeColor="text1"/>
          <w:lang w:eastAsia="fr-FR"/>
        </w:rPr>
      </w:pPr>
      <w:r>
        <w:rPr>
          <w:color w:val="000000" w:themeColor="text1"/>
          <w:lang w:eastAsia="fr-FR"/>
        </w:rPr>
        <w:t>Elle sera assurée par la Cellule de Gestion Environnementale et S</w:t>
      </w:r>
      <w:r w:rsidR="008F35C9" w:rsidRPr="00260790">
        <w:rPr>
          <w:color w:val="000000" w:themeColor="text1"/>
          <w:lang w:eastAsia="fr-FR"/>
        </w:rPr>
        <w:t xml:space="preserve">ociale (CGES) de l’ADM à travers les experts en Sauvegardes Environnementales et Sociales du PROGEP II, pour veiller à la prise en compte de toutes les exigences environnementales et sociales dans la mise en œuvre et le suivi du projet. </w:t>
      </w:r>
    </w:p>
    <w:p w14:paraId="5EBFC13D" w14:textId="77777777" w:rsidR="006018F5" w:rsidRPr="00260790" w:rsidRDefault="006018F5" w:rsidP="00E20250">
      <w:pPr>
        <w:pStyle w:val="Corpsdetexte2"/>
        <w:autoSpaceDE w:val="0"/>
        <w:autoSpaceDN w:val="0"/>
        <w:adjustRightInd w:val="0"/>
        <w:spacing w:after="0" w:line="240" w:lineRule="auto"/>
        <w:rPr>
          <w:color w:val="000000" w:themeColor="text1"/>
          <w:lang w:eastAsia="fr-FR"/>
        </w:rPr>
      </w:pPr>
    </w:p>
    <w:p w14:paraId="0C0B8F8B" w14:textId="77777777" w:rsidR="008F35C9" w:rsidRPr="00260790" w:rsidRDefault="008F35C9" w:rsidP="003B6588">
      <w:pPr>
        <w:pStyle w:val="CHAPITRE1"/>
        <w:rPr>
          <w:rFonts w:cs="Times New Roman"/>
        </w:rPr>
      </w:pPr>
      <w:bookmarkStart w:id="2523" w:name="_Toc68109785"/>
      <w:bookmarkStart w:id="2524" w:name="_Toc29856796"/>
      <w:bookmarkStart w:id="2525" w:name="_Toc212725193"/>
      <w:r w:rsidRPr="00260790">
        <w:rPr>
          <w:rFonts w:cs="Times New Roman"/>
        </w:rPr>
        <w:t>Suivi environnemental et social</w:t>
      </w:r>
      <w:bookmarkEnd w:id="2521"/>
      <w:bookmarkEnd w:id="2522"/>
      <w:bookmarkEnd w:id="2523"/>
      <w:bookmarkEnd w:id="2524"/>
      <w:bookmarkEnd w:id="2525"/>
    </w:p>
    <w:p w14:paraId="328E81DE" w14:textId="29F7B9E1" w:rsidR="008F35C9"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Elle sera assurée par la DREC et le CRSE de Dakar qui vont contrôler le respect de la réglementation nationale en matière d’enviro</w:t>
      </w:r>
      <w:bookmarkStart w:id="2526" w:name="_Toc533364408"/>
      <w:bookmarkStart w:id="2527" w:name="_Toc475991768"/>
      <w:bookmarkStart w:id="2528" w:name="_Toc456717501"/>
      <w:bookmarkStart w:id="2529" w:name="_Toc448605251"/>
      <w:bookmarkStart w:id="2530" w:name="_Toc447664289"/>
      <w:bookmarkStart w:id="2531" w:name="_Toc428390174"/>
      <w:r w:rsidRPr="00260790">
        <w:rPr>
          <w:rFonts w:ascii="Times New Roman" w:eastAsia="Times New Roman" w:hAnsi="Times New Roman"/>
          <w:color w:val="000000" w:themeColor="text1"/>
          <w:lang w:eastAsia="fr-FR"/>
        </w:rPr>
        <w:t xml:space="preserve">nnement et des aspects sociaux. L’objectif du suivi est l’évaluation du respect de la mise en œuvre et de l’efficacité des mesures environnementales et sociales proposées en rapport avec les impacts identifiés.  Ainsi, tel que décrit plus loin dans le canevas de surveillance </w:t>
      </w:r>
      <w:r w:rsidR="00D70E8B" w:rsidRPr="00260790">
        <w:rPr>
          <w:rFonts w:ascii="Times New Roman" w:eastAsia="Times New Roman" w:hAnsi="Times New Roman"/>
          <w:color w:val="000000" w:themeColor="text1"/>
          <w:lang w:eastAsia="fr-FR"/>
        </w:rPr>
        <w:t xml:space="preserve">et de </w:t>
      </w:r>
      <w:r w:rsidRPr="00260790">
        <w:rPr>
          <w:rFonts w:ascii="Times New Roman" w:eastAsia="Times New Roman" w:hAnsi="Times New Roman"/>
          <w:color w:val="000000" w:themeColor="text1"/>
          <w:lang w:eastAsia="fr-FR"/>
        </w:rPr>
        <w:t>suivi environnementale et sociale, le programme de suivi décrit les éléments devant faire l’objet de suivi, les méthodes/dispositifs de suivi, les responsabilités de suivi et les coûts du suivi.</w:t>
      </w:r>
    </w:p>
    <w:p w14:paraId="3E0C3AFC" w14:textId="77777777" w:rsidR="006018F5" w:rsidRPr="00260790" w:rsidRDefault="006018F5" w:rsidP="00E20250">
      <w:pPr>
        <w:spacing w:after="0" w:line="240" w:lineRule="auto"/>
        <w:jc w:val="both"/>
        <w:rPr>
          <w:rFonts w:ascii="Times New Roman" w:eastAsia="Times New Roman" w:hAnsi="Times New Roman"/>
          <w:color w:val="000000" w:themeColor="text1"/>
          <w:lang w:eastAsia="fr-FR"/>
        </w:rPr>
      </w:pPr>
    </w:p>
    <w:p w14:paraId="2018E83C" w14:textId="77777777" w:rsidR="008F35C9" w:rsidRPr="00260790" w:rsidRDefault="008F35C9" w:rsidP="003B6588">
      <w:pPr>
        <w:pStyle w:val="CHAPITRE1"/>
        <w:rPr>
          <w:rFonts w:cs="Times New Roman"/>
        </w:rPr>
      </w:pPr>
      <w:bookmarkStart w:id="2532" w:name="_Toc212725194"/>
      <w:r w:rsidRPr="00260790">
        <w:rPr>
          <w:rFonts w:cs="Times New Roman"/>
        </w:rPr>
        <w:t>Audit de conformité environnementale et sociale</w:t>
      </w:r>
      <w:bookmarkEnd w:id="2532"/>
    </w:p>
    <w:p w14:paraId="7691FD51" w14:textId="75479398" w:rsidR="008F35C9"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Un audit de conformité environnementale et sociale sera réalisé à la fin des travaux pour s’assurer de la conformité environnementale et sociale et de la pertinence des mesures de gestion environnementale et sociale préconisées.</w:t>
      </w:r>
    </w:p>
    <w:p w14:paraId="55F6202F" w14:textId="77777777" w:rsidR="006018F5" w:rsidRPr="00260790" w:rsidRDefault="006018F5" w:rsidP="00E20250">
      <w:pPr>
        <w:spacing w:after="0" w:line="240" w:lineRule="auto"/>
        <w:jc w:val="both"/>
        <w:rPr>
          <w:rFonts w:ascii="Times New Roman" w:eastAsia="Times New Roman" w:hAnsi="Times New Roman"/>
          <w:color w:val="000000" w:themeColor="text1"/>
          <w:lang w:eastAsia="fr-FR"/>
        </w:rPr>
      </w:pPr>
    </w:p>
    <w:p w14:paraId="59AFFD1E" w14:textId="16856530" w:rsidR="008F35C9" w:rsidRPr="00260790" w:rsidRDefault="008F35C9" w:rsidP="003B6588">
      <w:pPr>
        <w:pStyle w:val="CHAPITRE1"/>
        <w:rPr>
          <w:rFonts w:cs="Times New Roman"/>
        </w:rPr>
      </w:pPr>
      <w:bookmarkStart w:id="2533" w:name="_Toc68109786"/>
      <w:bookmarkStart w:id="2534" w:name="_Toc29856797"/>
      <w:bookmarkStart w:id="2535" w:name="_Toc29466675"/>
      <w:bookmarkStart w:id="2536" w:name="_Toc26465899"/>
      <w:bookmarkStart w:id="2537" w:name="_Toc533364410"/>
      <w:bookmarkStart w:id="2538" w:name="_Toc475991770"/>
      <w:bookmarkStart w:id="2539" w:name="_Toc448932000"/>
      <w:bookmarkStart w:id="2540" w:name="_Toc212725195"/>
      <w:bookmarkEnd w:id="2526"/>
      <w:bookmarkEnd w:id="2527"/>
      <w:bookmarkEnd w:id="2528"/>
      <w:bookmarkEnd w:id="2529"/>
      <w:bookmarkEnd w:id="2530"/>
      <w:bookmarkEnd w:id="2531"/>
      <w:r w:rsidRPr="00260790">
        <w:rPr>
          <w:rFonts w:cs="Times New Roman"/>
        </w:rPr>
        <w:t>Dispositif de rapportage</w:t>
      </w:r>
      <w:bookmarkEnd w:id="2533"/>
      <w:bookmarkEnd w:id="2534"/>
      <w:bookmarkEnd w:id="2535"/>
      <w:bookmarkEnd w:id="2536"/>
      <w:bookmarkEnd w:id="2537"/>
      <w:bookmarkEnd w:id="2538"/>
      <w:bookmarkEnd w:id="2539"/>
      <w:bookmarkEnd w:id="2540"/>
    </w:p>
    <w:p w14:paraId="4F8E48EE" w14:textId="292CE998" w:rsidR="008F35C9" w:rsidRPr="00260790" w:rsidRDefault="008F35C9" w:rsidP="00E20250">
      <w:pPr>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Pour un meilleur suivi de la mise en œuvre du PGES, le dispositif d</w:t>
      </w:r>
      <w:r w:rsidR="00540279">
        <w:rPr>
          <w:rFonts w:ascii="Times New Roman" w:eastAsia="Times New Roman" w:hAnsi="Times New Roman"/>
          <w:color w:val="000000" w:themeColor="text1"/>
          <w:lang w:eastAsia="fr-FR"/>
        </w:rPr>
        <w:t>e rapportage suivant se fera ainsi</w:t>
      </w:r>
      <w:r w:rsidRPr="00260790">
        <w:rPr>
          <w:rFonts w:ascii="Times New Roman" w:eastAsia="Times New Roman" w:hAnsi="Times New Roman"/>
          <w:color w:val="000000" w:themeColor="text1"/>
          <w:lang w:eastAsia="fr-FR"/>
        </w:rPr>
        <w:t xml:space="preserve"> :</w:t>
      </w:r>
    </w:p>
    <w:p w14:paraId="2090B4EB" w14:textId="77777777" w:rsidR="008F35C9" w:rsidRPr="00260790" w:rsidRDefault="008F35C9" w:rsidP="001748C6">
      <w:pPr>
        <w:numPr>
          <w:ilvl w:val="0"/>
          <w:numId w:val="34"/>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Des rapports mensuels de surveillance de mise en œuvre du PGES produits par la MDC et les Experts en sauvegardes des entreprises ;</w:t>
      </w:r>
    </w:p>
    <w:p w14:paraId="6A7968C5" w14:textId="77777777" w:rsidR="008F35C9" w:rsidRPr="00260790" w:rsidRDefault="008F35C9" w:rsidP="001748C6">
      <w:pPr>
        <w:numPr>
          <w:ilvl w:val="0"/>
          <w:numId w:val="34"/>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lastRenderedPageBreak/>
        <w:t>Des rapports trimestriels de mise en œuvre du PROGEP II produits par la Cellule de gestion environnementale et sociale (CGES) de l’ADM et l’équipe de sauvegarde du Projet ;</w:t>
      </w:r>
    </w:p>
    <w:p w14:paraId="4EB53FC2" w14:textId="77777777" w:rsidR="008F35C9" w:rsidRPr="00260790" w:rsidRDefault="008F35C9" w:rsidP="001748C6">
      <w:pPr>
        <w:numPr>
          <w:ilvl w:val="0"/>
          <w:numId w:val="34"/>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Des rapports de suivi trimestriels/semestriels de la DREEC portant sur la supervision des paramètres environnementaux et les infractions à la réglementation.</w:t>
      </w:r>
    </w:p>
    <w:p w14:paraId="1A5BC86D" w14:textId="77777777" w:rsidR="008F35C9" w:rsidRPr="00260790" w:rsidRDefault="008F35C9" w:rsidP="00E20250">
      <w:pPr>
        <w:spacing w:after="0" w:line="240" w:lineRule="auto"/>
        <w:jc w:val="both"/>
        <w:rPr>
          <w:rFonts w:ascii="Times New Roman" w:eastAsia="Times New Roman" w:hAnsi="Times New Roman"/>
          <w:color w:val="000000" w:themeColor="text1"/>
          <w:lang w:eastAsia="fr-FR"/>
        </w:rPr>
      </w:pPr>
    </w:p>
    <w:p w14:paraId="4E24B3FF" w14:textId="77777777" w:rsidR="008F35C9" w:rsidRPr="00260790" w:rsidRDefault="008F35C9" w:rsidP="00E20250">
      <w:pPr>
        <w:spacing w:after="0" w:line="240" w:lineRule="auto"/>
        <w:contextualSpacing/>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Durant les travaux les dispositions suivantes pour le suivi environnemental et social par les contractants devront être incorporées dans tous les contrats.</w:t>
      </w:r>
    </w:p>
    <w:p w14:paraId="6590E57E" w14:textId="77777777" w:rsidR="006018F5" w:rsidRDefault="006018F5" w:rsidP="00E20250">
      <w:pPr>
        <w:spacing w:after="0" w:line="240" w:lineRule="auto"/>
        <w:jc w:val="both"/>
        <w:rPr>
          <w:rFonts w:ascii="Times New Roman" w:eastAsia="Times New Roman" w:hAnsi="Times New Roman"/>
          <w:color w:val="000000" w:themeColor="text1"/>
          <w:lang w:eastAsia="fr-FR"/>
        </w:rPr>
      </w:pPr>
    </w:p>
    <w:p w14:paraId="1045BD88" w14:textId="322F8F15" w:rsidR="008F35C9" w:rsidRPr="00260790" w:rsidRDefault="008F35C9" w:rsidP="00E20250">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contractant doit assurer le suivi, tenir des registres et soumettre des rapports périodiques à l’ADM sur les points suivants :</w:t>
      </w:r>
    </w:p>
    <w:p w14:paraId="5E84C0E1" w14:textId="77777777" w:rsidR="008F35C9" w:rsidRPr="00260790" w:rsidRDefault="008F35C9" w:rsidP="001748C6">
      <w:pPr>
        <w:pStyle w:val="Paragraphedeliste"/>
        <w:numPr>
          <w:ilvl w:val="0"/>
          <w:numId w:val="144"/>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i/>
          <w:iCs/>
          <w:color w:val="000000" w:themeColor="text1"/>
          <w:lang w:eastAsia="fr-FR"/>
        </w:rPr>
        <w:t>Disponibilité du personnel clé</w:t>
      </w:r>
      <w:r w:rsidRPr="00260790">
        <w:rPr>
          <w:rFonts w:ascii="Times New Roman" w:eastAsia="Times New Roman" w:hAnsi="Times New Roman"/>
          <w:color w:val="000000" w:themeColor="text1"/>
          <w:lang w:eastAsia="fr-FR"/>
        </w:rPr>
        <w:t xml:space="preserve"> : Responsable HSE, spécialiste de la gestion environnementale ; spécialiste de la gestion sociale ; spécialiste de la santé et de la sécurité ; responsable des relations avec la communauté ;</w:t>
      </w:r>
    </w:p>
    <w:p w14:paraId="25E8539A" w14:textId="77777777" w:rsidR="008F35C9" w:rsidRPr="00260790" w:rsidRDefault="008F35C9" w:rsidP="001748C6">
      <w:pPr>
        <w:pStyle w:val="Paragraphedeliste"/>
        <w:numPr>
          <w:ilvl w:val="0"/>
          <w:numId w:val="144"/>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i/>
          <w:iCs/>
          <w:color w:val="000000" w:themeColor="text1"/>
          <w:lang w:eastAsia="fr-FR"/>
        </w:rPr>
        <w:t>Sécurité</w:t>
      </w:r>
      <w:r w:rsidRPr="00260790">
        <w:rPr>
          <w:rFonts w:ascii="Times New Roman" w:eastAsia="Times New Roman" w:hAnsi="Times New Roman"/>
          <w:color w:val="000000" w:themeColor="text1"/>
          <w:lang w:eastAsia="fr-FR"/>
        </w:rPr>
        <w:t xml:space="preserve"> : heures travaillées, incidents enregistrables et analyse des causes profondes correspondantes (incidents avec perte de temps, cas de traitement médical), cas de premiers secours, quasi-accidents à fort potentiel, et activités correctives et préventives requises (par exemple, analyse révisée de la sécurité du travail, équipement nouveau ou différent, formation professionnelle, etc.) ;</w:t>
      </w:r>
    </w:p>
    <w:p w14:paraId="5CDC08F2" w14:textId="77777777" w:rsidR="008F35C9" w:rsidRPr="00260790" w:rsidRDefault="008F35C9" w:rsidP="001748C6">
      <w:pPr>
        <w:pStyle w:val="Paragraphedeliste"/>
        <w:numPr>
          <w:ilvl w:val="0"/>
          <w:numId w:val="144"/>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i/>
          <w:iCs/>
          <w:color w:val="000000" w:themeColor="text1"/>
          <w:lang w:eastAsia="fr-FR"/>
        </w:rPr>
        <w:t>Incidents environnementaux et accidents évités de justesse</w:t>
      </w:r>
      <w:r w:rsidRPr="00260790">
        <w:rPr>
          <w:rFonts w:ascii="Times New Roman" w:eastAsia="Times New Roman" w:hAnsi="Times New Roman"/>
          <w:color w:val="000000" w:themeColor="text1"/>
          <w:lang w:eastAsia="fr-FR"/>
        </w:rPr>
        <w:t xml:space="preserve"> : incidents environnementaux et accidents évités de justesse à fort potentiel (poussière, érosion, déversements, dégradation de l'habitat) et comment ils ont été traités, ce qui reste à faire et les leçons apprises ;</w:t>
      </w:r>
    </w:p>
    <w:p w14:paraId="00500921" w14:textId="77777777" w:rsidR="008F35C9" w:rsidRPr="00260790" w:rsidRDefault="008F35C9" w:rsidP="001748C6">
      <w:pPr>
        <w:pStyle w:val="Paragraphedeliste"/>
        <w:numPr>
          <w:ilvl w:val="0"/>
          <w:numId w:val="144"/>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i/>
          <w:iCs/>
          <w:color w:val="000000" w:themeColor="text1"/>
          <w:lang w:eastAsia="fr-FR"/>
        </w:rPr>
        <w:t>Accidents de la circulation (véhicules du projet et véhicules hors projet)</w:t>
      </w:r>
      <w:r w:rsidRPr="00260790">
        <w:rPr>
          <w:rFonts w:ascii="Times New Roman" w:eastAsia="Times New Roman" w:hAnsi="Times New Roman"/>
          <w:color w:val="000000" w:themeColor="text1"/>
          <w:lang w:eastAsia="fr-FR"/>
        </w:rPr>
        <w:t xml:space="preserve"> : indiquer la date, le lieu, les dommages, la cause, le suivi ;</w:t>
      </w:r>
    </w:p>
    <w:p w14:paraId="197AE8F8" w14:textId="77777777" w:rsidR="008F35C9" w:rsidRPr="00260790" w:rsidRDefault="008F35C9" w:rsidP="001748C6">
      <w:pPr>
        <w:pStyle w:val="Paragraphedeliste"/>
        <w:numPr>
          <w:ilvl w:val="0"/>
          <w:numId w:val="144"/>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i/>
          <w:iCs/>
          <w:color w:val="000000" w:themeColor="text1"/>
          <w:lang w:eastAsia="fr-FR"/>
        </w:rPr>
        <w:t xml:space="preserve">Statut des permis et des accords </w:t>
      </w:r>
      <w:r w:rsidRPr="00260790">
        <w:rPr>
          <w:rFonts w:ascii="Times New Roman" w:eastAsia="Times New Roman" w:hAnsi="Times New Roman"/>
          <w:color w:val="000000" w:themeColor="text1"/>
          <w:lang w:eastAsia="fr-FR"/>
        </w:rPr>
        <w:t>: zones/installations pour lesquelles des permis sont requis (carrières) ;</w:t>
      </w:r>
    </w:p>
    <w:p w14:paraId="1B482B7E" w14:textId="77777777" w:rsidR="008F35C9" w:rsidRPr="00260790" w:rsidRDefault="008F35C9" w:rsidP="001748C6">
      <w:pPr>
        <w:pStyle w:val="Paragraphedeliste"/>
        <w:numPr>
          <w:ilvl w:val="0"/>
          <w:numId w:val="144"/>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i/>
          <w:iCs/>
          <w:color w:val="000000" w:themeColor="text1"/>
          <w:lang w:eastAsia="fr-FR"/>
        </w:rPr>
        <w:t>Principaux travaux</w:t>
      </w:r>
      <w:r w:rsidRPr="00260790">
        <w:rPr>
          <w:rFonts w:ascii="Times New Roman" w:eastAsia="Times New Roman" w:hAnsi="Times New Roman"/>
          <w:color w:val="000000" w:themeColor="text1"/>
          <w:lang w:eastAsia="fr-FR"/>
        </w:rPr>
        <w:t xml:space="preserve"> : ceux qui ont été entrepris et achevés, l'état d'avancement par rapport au calendrier du projet, et les principaux fronts de travail (zones de travail) ;</w:t>
      </w:r>
    </w:p>
    <w:p w14:paraId="3AB947DD" w14:textId="77777777" w:rsidR="008F35C9" w:rsidRPr="00260790" w:rsidRDefault="008F35C9" w:rsidP="001748C6">
      <w:pPr>
        <w:pStyle w:val="Paragraphedeliste"/>
        <w:numPr>
          <w:ilvl w:val="0"/>
          <w:numId w:val="144"/>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i/>
          <w:iCs/>
          <w:color w:val="000000" w:themeColor="text1"/>
          <w:lang w:eastAsia="fr-FR"/>
        </w:rPr>
        <w:t xml:space="preserve">Exigences environnementales et sociales </w:t>
      </w:r>
      <w:r w:rsidRPr="00260790">
        <w:rPr>
          <w:rFonts w:ascii="Times New Roman" w:eastAsia="Times New Roman" w:hAnsi="Times New Roman"/>
          <w:color w:val="000000" w:themeColor="text1"/>
          <w:lang w:eastAsia="fr-FR"/>
        </w:rPr>
        <w:t>: incidents de non-conformité avec les permis et la législation nationale (non-conformité juridique), engagements du projet ou autres exigences environnementales et sociales ;</w:t>
      </w:r>
    </w:p>
    <w:p w14:paraId="7106B316" w14:textId="77777777" w:rsidR="008F35C9" w:rsidRPr="00260790" w:rsidRDefault="008F35C9" w:rsidP="001748C6">
      <w:pPr>
        <w:pStyle w:val="Paragraphedeliste"/>
        <w:numPr>
          <w:ilvl w:val="0"/>
          <w:numId w:val="144"/>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i/>
          <w:iCs/>
          <w:color w:val="000000" w:themeColor="text1"/>
          <w:lang w:eastAsia="fr-FR"/>
        </w:rPr>
        <w:t>Inspections et audits environnementaux et sociaux</w:t>
      </w:r>
      <w:r w:rsidRPr="00260790">
        <w:rPr>
          <w:rFonts w:ascii="Times New Roman" w:eastAsia="Times New Roman" w:hAnsi="Times New Roman"/>
          <w:color w:val="000000" w:themeColor="text1"/>
          <w:lang w:eastAsia="fr-FR"/>
        </w:rPr>
        <w:t xml:space="preserve"> : effectués par des contractants, des ingénieurs indépendants, des autorités contractantes ou autres avec indication de la date, du nom de l'inspecteur ou de l'auditeur, des sites visités et des dossiers examinés, des principales conclusions et des mesures prises ;</w:t>
      </w:r>
    </w:p>
    <w:p w14:paraId="29114FF9" w14:textId="77777777" w:rsidR="008F35C9" w:rsidRPr="00260790" w:rsidRDefault="008F35C9" w:rsidP="001748C6">
      <w:pPr>
        <w:pStyle w:val="Paragraphedeliste"/>
        <w:numPr>
          <w:ilvl w:val="0"/>
          <w:numId w:val="144"/>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i/>
          <w:iCs/>
          <w:color w:val="000000" w:themeColor="text1"/>
          <w:lang w:eastAsia="fr-FR"/>
        </w:rPr>
        <w:t>Travailleurs</w:t>
      </w:r>
      <w:r w:rsidRPr="00260790">
        <w:rPr>
          <w:rFonts w:ascii="Times New Roman" w:eastAsia="Times New Roman" w:hAnsi="Times New Roman"/>
          <w:color w:val="000000" w:themeColor="text1"/>
          <w:lang w:eastAsia="fr-FR"/>
        </w:rPr>
        <w:t xml:space="preserve"> : nombre de travailleurs, indication de l'origine (expatrié, local, ressortissants non locaux), sexe, âge avec preuve qu'il n'y a pas de travail des enfants, et niveau de compétence (non qualifié, qualifié, supervision, professionnel, gestion) ;</w:t>
      </w:r>
    </w:p>
    <w:p w14:paraId="1835DC66" w14:textId="6192AE51" w:rsidR="008F35C9" w:rsidRPr="00260790" w:rsidRDefault="008F35C9" w:rsidP="001748C6">
      <w:pPr>
        <w:pStyle w:val="Paragraphedeliste"/>
        <w:numPr>
          <w:ilvl w:val="0"/>
          <w:numId w:val="144"/>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i/>
          <w:iCs/>
          <w:color w:val="000000" w:themeColor="text1"/>
          <w:lang w:eastAsia="fr-FR"/>
        </w:rPr>
        <w:t>Formation environnementale et sociale, y compris l’A</w:t>
      </w:r>
      <w:r w:rsidR="005D3627" w:rsidRPr="00260790">
        <w:rPr>
          <w:rFonts w:ascii="Times New Roman" w:eastAsia="Times New Roman" w:hAnsi="Times New Roman"/>
          <w:i/>
          <w:iCs/>
          <w:color w:val="000000" w:themeColor="text1"/>
          <w:lang w:eastAsia="fr-FR"/>
        </w:rPr>
        <w:t>E</w:t>
      </w:r>
      <w:r w:rsidRPr="00260790">
        <w:rPr>
          <w:rFonts w:ascii="Times New Roman" w:eastAsia="Times New Roman" w:hAnsi="Times New Roman"/>
          <w:i/>
          <w:iCs/>
          <w:color w:val="000000" w:themeColor="text1"/>
          <w:lang w:eastAsia="fr-FR"/>
        </w:rPr>
        <w:t>S/HS :</w:t>
      </w:r>
      <w:r w:rsidRPr="00260790">
        <w:rPr>
          <w:rFonts w:ascii="Times New Roman" w:eastAsia="Times New Roman" w:hAnsi="Times New Roman"/>
          <w:color w:val="000000" w:themeColor="text1"/>
          <w:lang w:eastAsia="fr-FR"/>
        </w:rPr>
        <w:t xml:space="preserve"> dates, nombre de stagiaires et thèmes ;</w:t>
      </w:r>
    </w:p>
    <w:p w14:paraId="6554FFD5" w14:textId="77777777" w:rsidR="008F35C9" w:rsidRPr="00260790" w:rsidRDefault="008F35C9" w:rsidP="001748C6">
      <w:pPr>
        <w:pStyle w:val="Paragraphedeliste"/>
        <w:numPr>
          <w:ilvl w:val="0"/>
          <w:numId w:val="144"/>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i/>
          <w:iCs/>
          <w:color w:val="000000" w:themeColor="text1"/>
          <w:lang w:eastAsia="fr-FR"/>
        </w:rPr>
        <w:t>Gestion de l'emprise</w:t>
      </w:r>
      <w:r w:rsidRPr="00260790">
        <w:rPr>
          <w:rFonts w:ascii="Times New Roman" w:eastAsia="Times New Roman" w:hAnsi="Times New Roman"/>
          <w:color w:val="000000" w:themeColor="text1"/>
          <w:lang w:eastAsia="fr-FR"/>
        </w:rPr>
        <w:t xml:space="preserve"> : détails de tout travail effectué en dehors des limites du site ou des impacts majeurs hors site causés par la construction en cours - y compris la date, le lieu, les impacts et les actions entreprises ;</w:t>
      </w:r>
    </w:p>
    <w:p w14:paraId="08E772DD" w14:textId="77777777" w:rsidR="008F35C9" w:rsidRPr="00260790" w:rsidRDefault="008F35C9" w:rsidP="001748C6">
      <w:pPr>
        <w:pStyle w:val="Paragraphedeliste"/>
        <w:numPr>
          <w:ilvl w:val="0"/>
          <w:numId w:val="144"/>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i/>
          <w:iCs/>
          <w:color w:val="000000" w:themeColor="text1"/>
          <w:lang w:eastAsia="fr-FR"/>
        </w:rPr>
        <w:t>Engagement des parties prenantes externes</w:t>
      </w:r>
      <w:r w:rsidRPr="00260790">
        <w:rPr>
          <w:rFonts w:ascii="Times New Roman" w:eastAsia="Times New Roman" w:hAnsi="Times New Roman"/>
          <w:color w:val="000000" w:themeColor="text1"/>
          <w:lang w:eastAsia="fr-FR"/>
        </w:rPr>
        <w:t xml:space="preserve"> : faits marquants, y compris les réunions formelles et informelles, et la divulgation et la diffusion d'informations, y compris une ventilation des femmes et des hommes consultés ;</w:t>
      </w:r>
    </w:p>
    <w:p w14:paraId="322E2BA7" w14:textId="77777777" w:rsidR="008F35C9" w:rsidRPr="00260790" w:rsidRDefault="008F35C9" w:rsidP="001748C6">
      <w:pPr>
        <w:pStyle w:val="Paragraphedeliste"/>
        <w:numPr>
          <w:ilvl w:val="0"/>
          <w:numId w:val="144"/>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i/>
          <w:iCs/>
          <w:color w:val="000000" w:themeColor="text1"/>
          <w:lang w:eastAsia="fr-FR"/>
        </w:rPr>
        <w:t>Détails des risques de sécurité</w:t>
      </w:r>
      <w:r w:rsidRPr="00260790">
        <w:rPr>
          <w:rFonts w:ascii="Times New Roman" w:eastAsia="Times New Roman" w:hAnsi="Times New Roman"/>
          <w:color w:val="000000" w:themeColor="text1"/>
          <w:lang w:eastAsia="fr-FR"/>
        </w:rPr>
        <w:t xml:space="preserve"> : détails des risques auxquels les contractants peuvent être exposés pendant l'exécution de leurs travaux - les menaces peuvent provenir de tiers extérieurs au projet ;</w:t>
      </w:r>
    </w:p>
    <w:p w14:paraId="304D7551" w14:textId="77777777" w:rsidR="008F35C9" w:rsidRPr="00260790" w:rsidRDefault="008F35C9" w:rsidP="001748C6">
      <w:pPr>
        <w:pStyle w:val="Paragraphedeliste"/>
        <w:numPr>
          <w:ilvl w:val="0"/>
          <w:numId w:val="144"/>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i/>
          <w:iCs/>
          <w:color w:val="000000" w:themeColor="text1"/>
          <w:lang w:eastAsia="fr-FR"/>
        </w:rPr>
        <w:t xml:space="preserve">Griefs des travailleurs </w:t>
      </w:r>
      <w:r w:rsidRPr="00260790">
        <w:rPr>
          <w:rFonts w:ascii="Times New Roman" w:eastAsia="Times New Roman" w:hAnsi="Times New Roman"/>
          <w:color w:val="000000" w:themeColor="text1"/>
          <w:lang w:eastAsia="fr-FR"/>
        </w:rPr>
        <w:t>: détails, y compris la date de l'incident, le grief et la date de soumission ; les mesures prises et les dates ; la résolution (le cas échéant) et la date ; et le suivi restant à faire ; les griefs énumérés doivent inclure ceux reçus depuis le rapport précédent et ceux qui n'étaient pas résolus au moment de ce rapport ;</w:t>
      </w:r>
    </w:p>
    <w:p w14:paraId="269A817D" w14:textId="77777777" w:rsidR="008F35C9" w:rsidRPr="00260790" w:rsidRDefault="008F35C9" w:rsidP="001748C6">
      <w:pPr>
        <w:pStyle w:val="Paragraphedeliste"/>
        <w:numPr>
          <w:ilvl w:val="0"/>
          <w:numId w:val="144"/>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i/>
          <w:iCs/>
          <w:color w:val="000000" w:themeColor="text1"/>
          <w:lang w:eastAsia="fr-FR"/>
        </w:rPr>
        <w:t>Griefs des parties prenantes externes</w:t>
      </w:r>
      <w:r w:rsidRPr="00260790">
        <w:rPr>
          <w:rFonts w:ascii="Times New Roman" w:eastAsia="Times New Roman" w:hAnsi="Times New Roman"/>
          <w:color w:val="000000" w:themeColor="text1"/>
          <w:lang w:eastAsia="fr-FR"/>
        </w:rPr>
        <w:t xml:space="preserve"> : grief et date de soumission, action(s) prise (s) et date(s), résolution (le cas échéant) et date, et suivi à prendre - les griefs énumérés doivent inclure ceux reçus depuis le rapport précédent et ceux qui n'étaient pas résolus au moment de ce rapport. Les données relatives aux griefs doivent être ventilées par sexe ;</w:t>
      </w:r>
    </w:p>
    <w:p w14:paraId="106662D1" w14:textId="77777777" w:rsidR="008F35C9" w:rsidRPr="00260790" w:rsidRDefault="008F35C9" w:rsidP="001748C6">
      <w:pPr>
        <w:pStyle w:val="Paragraphedeliste"/>
        <w:numPr>
          <w:ilvl w:val="0"/>
          <w:numId w:val="144"/>
        </w:num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i/>
          <w:iCs/>
          <w:color w:val="000000" w:themeColor="text1"/>
          <w:lang w:eastAsia="fr-FR"/>
        </w:rPr>
        <w:t>Changements majeurs apportés aux pratiques environnementales et sociales des contractants </w:t>
      </w:r>
      <w:r w:rsidRPr="00260790">
        <w:rPr>
          <w:rFonts w:ascii="Times New Roman" w:eastAsia="Times New Roman" w:hAnsi="Times New Roman"/>
          <w:color w:val="000000" w:themeColor="text1"/>
          <w:lang w:eastAsia="fr-FR"/>
        </w:rPr>
        <w:t>;</w:t>
      </w:r>
    </w:p>
    <w:p w14:paraId="42E9AD90" w14:textId="77777777" w:rsidR="008F35C9" w:rsidRPr="00260790" w:rsidRDefault="008F35C9" w:rsidP="001748C6">
      <w:pPr>
        <w:pStyle w:val="Paragraphedeliste"/>
        <w:numPr>
          <w:ilvl w:val="0"/>
          <w:numId w:val="144"/>
        </w:numPr>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i/>
          <w:iCs/>
          <w:color w:val="000000" w:themeColor="text1"/>
          <w:lang w:eastAsia="fr-FR"/>
        </w:rPr>
        <w:lastRenderedPageBreak/>
        <w:t>Gestion des lacunes et des performances</w:t>
      </w:r>
      <w:r w:rsidRPr="00260790">
        <w:rPr>
          <w:rFonts w:ascii="Times New Roman" w:eastAsia="Times New Roman" w:hAnsi="Times New Roman"/>
          <w:color w:val="000000" w:themeColor="text1"/>
          <w:lang w:eastAsia="fr-FR"/>
        </w:rPr>
        <w:t xml:space="preserve"> : les mesures prises en réponse à des avis de lacunes ou à des observations antérieures concernant les performances en matière environnementale et sociale et/ou les plans de mesures à prendre doivent continuer à être signalées à l'autorité contractante jusqu'à ce qu'elle détermine que le problème est résolu de manière satisfaisante.</w:t>
      </w:r>
    </w:p>
    <w:p w14:paraId="19B44BA6" w14:textId="77777777" w:rsidR="008F35C9" w:rsidRPr="00260790" w:rsidRDefault="008F35C9" w:rsidP="003B6588">
      <w:pPr>
        <w:pStyle w:val="CHAPITRE1"/>
        <w:rPr>
          <w:rFonts w:cs="Times New Roman"/>
        </w:rPr>
      </w:pPr>
      <w:bookmarkStart w:id="2541" w:name="_Toc68109787"/>
      <w:bookmarkStart w:id="2542" w:name="_Toc29856798"/>
      <w:bookmarkStart w:id="2543" w:name="_Toc29466676"/>
      <w:bookmarkStart w:id="2544" w:name="_Toc26465900"/>
      <w:bookmarkStart w:id="2545" w:name="_Toc533364411"/>
      <w:bookmarkStart w:id="2546" w:name="_Toc427649325"/>
      <w:bookmarkStart w:id="2547" w:name="_Toc212725196"/>
      <w:r w:rsidRPr="00260790">
        <w:rPr>
          <w:rFonts w:cs="Times New Roman"/>
        </w:rPr>
        <w:t>Canevas de suivi environnemental et social</w:t>
      </w:r>
      <w:bookmarkEnd w:id="2541"/>
      <w:bookmarkEnd w:id="2542"/>
      <w:bookmarkEnd w:id="2543"/>
      <w:bookmarkEnd w:id="2544"/>
      <w:bookmarkEnd w:id="2545"/>
      <w:bookmarkEnd w:id="2546"/>
      <w:bookmarkEnd w:id="2547"/>
    </w:p>
    <w:p w14:paraId="6D50E387" w14:textId="35DE2C8D" w:rsidR="008F35C9" w:rsidRPr="00260790" w:rsidRDefault="008F35C9" w:rsidP="00E20250">
      <w:pPr>
        <w:spacing w:after="0" w:line="240" w:lineRule="auto"/>
        <w:jc w:val="both"/>
        <w:rPr>
          <w:rFonts w:ascii="Times New Roman" w:eastAsia="Times New Roman" w:hAnsi="Times New Roman"/>
          <w:color w:val="000000" w:themeColor="text1"/>
          <w:lang w:eastAsia="fr-FR"/>
        </w:rPr>
        <w:sectPr w:rsidR="008F35C9" w:rsidRPr="00260790" w:rsidSect="001A3C01">
          <w:pgSz w:w="11901" w:h="16817"/>
          <w:pgMar w:top="1418" w:right="1418" w:bottom="1418" w:left="1418" w:header="709" w:footer="454" w:gutter="0"/>
          <w:cols w:space="720"/>
        </w:sectPr>
      </w:pPr>
      <w:r w:rsidRPr="00260790">
        <w:rPr>
          <w:rFonts w:ascii="Times New Roman" w:eastAsia="Times New Roman" w:hAnsi="Times New Roman"/>
          <w:color w:val="000000" w:themeColor="text1"/>
          <w:lang w:eastAsia="fr-FR"/>
        </w:rPr>
        <w:t>Le suivi de l’ensemble des paramètres biophysiques et socioéconomiques est essentiel. Toutefois, pour ne pas alourdir le dispositif, il est suggéré de suivre les principaux éléments suivants :</w:t>
      </w:r>
    </w:p>
    <w:p w14:paraId="533590AD" w14:textId="1FA2C2D5" w:rsidR="008F35C9" w:rsidRPr="00260790" w:rsidRDefault="008F35C9" w:rsidP="00FD308E">
      <w:pPr>
        <w:spacing w:line="240" w:lineRule="auto"/>
        <w:rPr>
          <w:rFonts w:ascii="Times New Roman" w:eastAsia="Times New Roman" w:hAnsi="Times New Roman"/>
          <w:i/>
          <w:iCs/>
          <w:color w:val="000000" w:themeColor="text1"/>
          <w:lang w:eastAsia="fr-FR"/>
        </w:rPr>
      </w:pPr>
      <w:bookmarkStart w:id="2548" w:name="_Toc40839271"/>
      <w:bookmarkStart w:id="2549" w:name="_Toc33708783"/>
      <w:bookmarkStart w:id="2550" w:name="_Toc28367409"/>
      <w:bookmarkStart w:id="2551" w:name="_Toc207781962"/>
      <w:r w:rsidRPr="00260790">
        <w:rPr>
          <w:rFonts w:ascii="Times New Roman" w:eastAsia="Times New Roman" w:hAnsi="Times New Roman"/>
          <w:i/>
          <w:iCs/>
          <w:color w:val="000000" w:themeColor="text1"/>
          <w:lang w:eastAsia="fr-FR"/>
        </w:rPr>
        <w:lastRenderedPageBreak/>
        <w:t xml:space="preserve">Tableau </w:t>
      </w:r>
      <w:r w:rsidRPr="00260790">
        <w:rPr>
          <w:rFonts w:ascii="Times New Roman" w:hAnsi="Times New Roman"/>
          <w:color w:val="000000" w:themeColor="text1"/>
        </w:rPr>
        <w:fldChar w:fldCharType="begin"/>
      </w:r>
      <w:r w:rsidRPr="00260790">
        <w:rPr>
          <w:rFonts w:ascii="Times New Roman" w:eastAsia="Times New Roman" w:hAnsi="Times New Roman"/>
          <w:i/>
          <w:iCs/>
          <w:color w:val="000000" w:themeColor="text1"/>
          <w:lang w:eastAsia="fr-FR"/>
        </w:rPr>
        <w:instrText xml:space="preserve"> SEQ Tableau \* ARABIC </w:instrText>
      </w:r>
      <w:r w:rsidRPr="00260790">
        <w:rPr>
          <w:rFonts w:ascii="Times New Roman" w:hAnsi="Times New Roman"/>
          <w:color w:val="000000" w:themeColor="text1"/>
        </w:rPr>
        <w:fldChar w:fldCharType="separate"/>
      </w:r>
      <w:r w:rsidR="003C783E">
        <w:rPr>
          <w:rFonts w:ascii="Times New Roman" w:eastAsia="Times New Roman" w:hAnsi="Times New Roman"/>
          <w:i/>
          <w:iCs/>
          <w:noProof/>
          <w:color w:val="000000" w:themeColor="text1"/>
          <w:lang w:eastAsia="fr-FR"/>
        </w:rPr>
        <w:t>122</w:t>
      </w:r>
      <w:r w:rsidRPr="00260790">
        <w:rPr>
          <w:rFonts w:ascii="Times New Roman" w:hAnsi="Times New Roman"/>
          <w:color w:val="000000" w:themeColor="text1"/>
        </w:rPr>
        <w:fldChar w:fldCharType="end"/>
      </w:r>
      <w:r w:rsidRPr="00260790">
        <w:rPr>
          <w:rFonts w:ascii="Times New Roman" w:eastAsia="Times New Roman" w:hAnsi="Times New Roman"/>
          <w:i/>
          <w:iCs/>
          <w:color w:val="000000" w:themeColor="text1"/>
          <w:lang w:eastAsia="fr-FR"/>
        </w:rPr>
        <w:t xml:space="preserve"> : Canevas de suivi environnemental et social</w:t>
      </w:r>
      <w:bookmarkEnd w:id="2548"/>
      <w:bookmarkEnd w:id="2549"/>
      <w:bookmarkEnd w:id="2550"/>
      <w:bookmarkEnd w:id="2551"/>
    </w:p>
    <w:tbl>
      <w:tblPr>
        <w:tblpPr w:leftFromText="141" w:rightFromText="141" w:vertAnchor="text" w:tblpY="1"/>
        <w:tblOverlap w:val="never"/>
        <w:tblW w:w="1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0"/>
        <w:gridCol w:w="3093"/>
        <w:gridCol w:w="4111"/>
        <w:gridCol w:w="1370"/>
        <w:gridCol w:w="1559"/>
        <w:gridCol w:w="1488"/>
        <w:gridCol w:w="1276"/>
        <w:gridCol w:w="8"/>
      </w:tblGrid>
      <w:tr w:rsidR="00BD1A2F" w:rsidRPr="009B46E2" w14:paraId="157F602E" w14:textId="77777777" w:rsidTr="00FD308E">
        <w:trPr>
          <w:trHeight w:val="270"/>
          <w:tblHeader/>
        </w:trPr>
        <w:tc>
          <w:tcPr>
            <w:tcW w:w="158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C609432" w14:textId="77777777" w:rsidR="008F35C9" w:rsidRPr="0097258B" w:rsidRDefault="008F35C9" w:rsidP="00E20250">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Composante</w:t>
            </w:r>
          </w:p>
        </w:tc>
        <w:tc>
          <w:tcPr>
            <w:tcW w:w="3093"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7021FDE1" w14:textId="77777777" w:rsidR="008F35C9" w:rsidRPr="0097258B" w:rsidRDefault="008F35C9" w:rsidP="00E20250">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Activités de suivi</w:t>
            </w:r>
          </w:p>
        </w:tc>
        <w:tc>
          <w:tcPr>
            <w:tcW w:w="4111"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63159806" w14:textId="77777777" w:rsidR="008F35C9" w:rsidRPr="0097258B" w:rsidRDefault="008F35C9" w:rsidP="00E20250">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Indicateurs suivi</w:t>
            </w:r>
          </w:p>
        </w:tc>
        <w:tc>
          <w:tcPr>
            <w:tcW w:w="137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4E75FE9D" w14:textId="77777777" w:rsidR="008F35C9" w:rsidRPr="0097258B" w:rsidRDefault="008F35C9" w:rsidP="00E20250">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Fréquence</w:t>
            </w:r>
          </w:p>
        </w:tc>
        <w:tc>
          <w:tcPr>
            <w:tcW w:w="4331" w:type="dxa"/>
            <w:gridSpan w:val="4"/>
            <w:tcBorders>
              <w:top w:val="single" w:sz="4" w:space="0" w:color="auto"/>
              <w:left w:val="single" w:sz="4" w:space="0" w:color="auto"/>
              <w:bottom w:val="single" w:sz="4" w:space="0" w:color="auto"/>
              <w:right w:val="single" w:sz="4" w:space="0" w:color="auto"/>
            </w:tcBorders>
            <w:shd w:val="clear" w:color="auto" w:fill="E2EFD9"/>
            <w:vAlign w:val="center"/>
            <w:hideMark/>
          </w:tcPr>
          <w:p w14:paraId="1FB59E1C" w14:textId="77777777" w:rsidR="008F35C9" w:rsidRPr="0097258B" w:rsidRDefault="008F35C9" w:rsidP="00E20250">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Responsabilité</w:t>
            </w:r>
          </w:p>
        </w:tc>
      </w:tr>
      <w:tr w:rsidR="00BD1A2F" w:rsidRPr="009B46E2" w14:paraId="55115C6D" w14:textId="77777777" w:rsidTr="00FD308E">
        <w:trPr>
          <w:gridAfter w:val="1"/>
          <w:wAfter w:w="8" w:type="dxa"/>
          <w:trHeight w:val="270"/>
          <w:tblHeader/>
        </w:trPr>
        <w:tc>
          <w:tcPr>
            <w:tcW w:w="1580" w:type="dxa"/>
            <w:vMerge/>
            <w:tcBorders>
              <w:top w:val="single" w:sz="4" w:space="0" w:color="auto"/>
              <w:left w:val="single" w:sz="4" w:space="0" w:color="auto"/>
              <w:bottom w:val="single" w:sz="4" w:space="0" w:color="auto"/>
              <w:right w:val="single" w:sz="4" w:space="0" w:color="auto"/>
            </w:tcBorders>
            <w:vAlign w:val="center"/>
            <w:hideMark/>
          </w:tcPr>
          <w:p w14:paraId="52998D8A" w14:textId="77777777" w:rsidR="008F35C9" w:rsidRPr="0097258B" w:rsidRDefault="008F35C9" w:rsidP="00E20250">
            <w:pPr>
              <w:spacing w:after="0" w:line="240" w:lineRule="auto"/>
              <w:rPr>
                <w:rFonts w:ascii="Times New Roman" w:eastAsia="Times New Roman" w:hAnsi="Times New Roman"/>
                <w:b/>
                <w:bCs/>
                <w:color w:val="000000" w:themeColor="text1"/>
                <w:sz w:val="20"/>
                <w:szCs w:val="20"/>
                <w:lang w:eastAsia="fr-FR"/>
              </w:rPr>
            </w:pPr>
          </w:p>
        </w:tc>
        <w:tc>
          <w:tcPr>
            <w:tcW w:w="3093" w:type="dxa"/>
            <w:vMerge/>
            <w:tcBorders>
              <w:top w:val="single" w:sz="4" w:space="0" w:color="auto"/>
              <w:left w:val="single" w:sz="4" w:space="0" w:color="auto"/>
              <w:bottom w:val="single" w:sz="4" w:space="0" w:color="auto"/>
              <w:right w:val="single" w:sz="4" w:space="0" w:color="auto"/>
            </w:tcBorders>
            <w:vAlign w:val="center"/>
            <w:hideMark/>
          </w:tcPr>
          <w:p w14:paraId="67D7D640" w14:textId="77777777" w:rsidR="008F35C9" w:rsidRPr="0097258B" w:rsidRDefault="008F35C9" w:rsidP="00E20250">
            <w:pPr>
              <w:spacing w:after="0" w:line="240" w:lineRule="auto"/>
              <w:rPr>
                <w:rFonts w:ascii="Times New Roman" w:eastAsia="Times New Roman" w:hAnsi="Times New Roman"/>
                <w:b/>
                <w:bCs/>
                <w:color w:val="000000" w:themeColor="text1"/>
                <w:sz w:val="20"/>
                <w:szCs w:val="20"/>
                <w:lang w:eastAsia="fr-FR"/>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14:paraId="5E433D66" w14:textId="77777777" w:rsidR="008F35C9" w:rsidRPr="0097258B" w:rsidRDefault="008F35C9" w:rsidP="00E20250">
            <w:pPr>
              <w:spacing w:after="0" w:line="240" w:lineRule="auto"/>
              <w:rPr>
                <w:rFonts w:ascii="Times New Roman" w:eastAsia="Times New Roman" w:hAnsi="Times New Roman"/>
                <w:b/>
                <w:bCs/>
                <w:color w:val="000000" w:themeColor="text1"/>
                <w:sz w:val="20"/>
                <w:szCs w:val="20"/>
                <w:lang w:eastAsia="fr-FR"/>
              </w:rPr>
            </w:pP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54975E53" w14:textId="77777777" w:rsidR="008F35C9" w:rsidRPr="0097258B" w:rsidRDefault="008F35C9" w:rsidP="00E20250">
            <w:pPr>
              <w:spacing w:after="0" w:line="240" w:lineRule="auto"/>
              <w:rPr>
                <w:rFonts w:ascii="Times New Roman" w:eastAsia="Times New Roman" w:hAnsi="Times New Roman"/>
                <w:b/>
                <w:bCs/>
                <w:color w:val="000000" w:themeColor="text1"/>
                <w:sz w:val="20"/>
                <w:szCs w:val="20"/>
                <w:lang w:eastAsia="fr-FR"/>
              </w:rPr>
            </w:pP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E0A820C" w14:textId="77777777" w:rsidR="008F35C9" w:rsidRPr="0097258B" w:rsidRDefault="008F35C9" w:rsidP="00E20250">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Mise en œuvre</w:t>
            </w:r>
          </w:p>
        </w:tc>
        <w:tc>
          <w:tcPr>
            <w:tcW w:w="148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42BF5C8" w14:textId="77777777" w:rsidR="008F35C9" w:rsidRPr="0097258B" w:rsidRDefault="008F35C9" w:rsidP="00E20250">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Surveillance</w:t>
            </w:r>
          </w:p>
        </w:tc>
        <w:tc>
          <w:tcPr>
            <w:tcW w:w="127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580B0F5" w14:textId="77777777" w:rsidR="008F35C9" w:rsidRPr="0097258B" w:rsidRDefault="008F35C9" w:rsidP="00E20250">
            <w:pPr>
              <w:spacing w:after="0" w:line="240" w:lineRule="auto"/>
              <w:jc w:val="center"/>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Suivi</w:t>
            </w:r>
          </w:p>
        </w:tc>
      </w:tr>
      <w:tr w:rsidR="00BD1A2F" w:rsidRPr="009B46E2" w14:paraId="5E2F82A6" w14:textId="77777777" w:rsidTr="00FD308E">
        <w:trPr>
          <w:gridAfter w:val="1"/>
          <w:wAfter w:w="8" w:type="dxa"/>
          <w:trHeight w:val="63"/>
        </w:trPr>
        <w:tc>
          <w:tcPr>
            <w:tcW w:w="1580" w:type="dxa"/>
            <w:tcBorders>
              <w:top w:val="single" w:sz="4" w:space="0" w:color="auto"/>
              <w:left w:val="single" w:sz="4" w:space="0" w:color="auto"/>
              <w:bottom w:val="single" w:sz="4" w:space="0" w:color="auto"/>
              <w:right w:val="single" w:sz="4" w:space="0" w:color="auto"/>
            </w:tcBorders>
            <w:vAlign w:val="center"/>
            <w:hideMark/>
          </w:tcPr>
          <w:p w14:paraId="1613AEFF" w14:textId="77777777" w:rsidR="008F35C9" w:rsidRPr="0097258B" w:rsidRDefault="008F35C9" w:rsidP="00E20250">
            <w:pPr>
              <w:spacing w:after="0" w:line="240" w:lineRule="auto"/>
              <w:rPr>
                <w:rFonts w:ascii="Times New Roman" w:eastAsia="Times New Roman" w:hAnsi="Times New Roman"/>
                <w:b/>
                <w:bCs/>
                <w:color w:val="000000" w:themeColor="text1"/>
                <w:sz w:val="20"/>
                <w:szCs w:val="20"/>
                <w:lang w:eastAsia="fr-FR"/>
              </w:rPr>
            </w:pPr>
            <w:r w:rsidRPr="0097258B">
              <w:rPr>
                <w:rFonts w:ascii="Times New Roman" w:eastAsia="Times New Roman" w:hAnsi="Times New Roman"/>
                <w:b/>
                <w:bCs/>
                <w:color w:val="000000" w:themeColor="text1"/>
                <w:sz w:val="20"/>
                <w:szCs w:val="20"/>
                <w:lang w:eastAsia="fr-FR"/>
              </w:rPr>
              <w:t>Air</w:t>
            </w:r>
          </w:p>
        </w:tc>
        <w:tc>
          <w:tcPr>
            <w:tcW w:w="3093" w:type="dxa"/>
            <w:tcBorders>
              <w:top w:val="single" w:sz="4" w:space="0" w:color="auto"/>
              <w:left w:val="single" w:sz="4" w:space="0" w:color="auto"/>
              <w:bottom w:val="single" w:sz="4" w:space="0" w:color="auto"/>
              <w:right w:val="single" w:sz="4" w:space="0" w:color="auto"/>
            </w:tcBorders>
            <w:vAlign w:val="center"/>
            <w:hideMark/>
          </w:tcPr>
          <w:p w14:paraId="0C2D279C" w14:textId="77777777" w:rsidR="008F35C9" w:rsidRPr="0097258B" w:rsidRDefault="008F35C9" w:rsidP="00E20250">
            <w:pPr>
              <w:autoSpaceDE w:val="0"/>
              <w:autoSpaceDN w:val="0"/>
              <w:adjustRightInd w:val="0"/>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hAnsi="Times New Roman"/>
                <w:color w:val="000000" w:themeColor="text1"/>
                <w:sz w:val="20"/>
                <w:szCs w:val="20"/>
              </w:rPr>
              <w:t xml:space="preserve">Mesures de la qualité de l’air ambiant dans les zones sensibles </w:t>
            </w:r>
          </w:p>
        </w:tc>
        <w:tc>
          <w:tcPr>
            <w:tcW w:w="4111" w:type="dxa"/>
            <w:tcBorders>
              <w:top w:val="single" w:sz="4" w:space="0" w:color="auto"/>
              <w:left w:val="single" w:sz="4" w:space="0" w:color="auto"/>
              <w:bottom w:val="single" w:sz="4" w:space="0" w:color="auto"/>
              <w:right w:val="single" w:sz="4" w:space="0" w:color="auto"/>
            </w:tcBorders>
            <w:vAlign w:val="center"/>
          </w:tcPr>
          <w:p w14:paraId="3B553D46" w14:textId="77777777" w:rsidR="008F35C9" w:rsidRPr="0097258B" w:rsidRDefault="008F35C9" w:rsidP="00E20250">
            <w:pPr>
              <w:autoSpaceDE w:val="0"/>
              <w:autoSpaceDN w:val="0"/>
              <w:adjustRightInd w:val="0"/>
              <w:spacing w:after="0" w:line="240" w:lineRule="auto"/>
              <w:jc w:val="both"/>
              <w:rPr>
                <w:rFonts w:ascii="Times New Roman" w:eastAsia="Times New Roman" w:hAnsi="Times New Roman"/>
                <w:i/>
                <w:iCs/>
                <w:color w:val="000000" w:themeColor="text1"/>
                <w:sz w:val="20"/>
                <w:szCs w:val="20"/>
                <w:lang w:eastAsia="fr-FR"/>
              </w:rPr>
            </w:pPr>
            <w:r w:rsidRPr="0097258B">
              <w:rPr>
                <w:rFonts w:ascii="Times New Roman" w:hAnsi="Times New Roman"/>
                <w:color w:val="000000" w:themeColor="text1"/>
                <w:sz w:val="20"/>
                <w:szCs w:val="20"/>
              </w:rPr>
              <w:t xml:space="preserve">PM10, PM2,5, CO2, SO2 </w:t>
            </w:r>
          </w:p>
          <w:p w14:paraId="501C89B6"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p>
        </w:tc>
        <w:tc>
          <w:tcPr>
            <w:tcW w:w="1370" w:type="dxa"/>
            <w:tcBorders>
              <w:top w:val="single" w:sz="4" w:space="0" w:color="auto"/>
              <w:left w:val="single" w:sz="4" w:space="0" w:color="auto"/>
              <w:bottom w:val="single" w:sz="4" w:space="0" w:color="auto"/>
              <w:right w:val="single" w:sz="4" w:space="0" w:color="auto"/>
            </w:tcBorders>
            <w:vAlign w:val="center"/>
            <w:hideMark/>
          </w:tcPr>
          <w:p w14:paraId="71DBD871" w14:textId="0B635A97" w:rsidR="008F35C9" w:rsidRPr="0097258B" w:rsidRDefault="008F35C9" w:rsidP="00E20250">
            <w:pPr>
              <w:autoSpaceDE w:val="0"/>
              <w:autoSpaceDN w:val="0"/>
              <w:adjustRightInd w:val="0"/>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hAnsi="Times New Roman"/>
                <w:color w:val="000000" w:themeColor="text1"/>
                <w:sz w:val="20"/>
                <w:szCs w:val="20"/>
              </w:rPr>
              <w:t>Quotidien Mensuelle</w:t>
            </w:r>
            <w:r w:rsidR="008A3265" w:rsidRPr="0097258B">
              <w:rPr>
                <w:rFonts w:ascii="Times New Roman" w:hAnsi="Times New Roman"/>
                <w:color w:val="000000" w:themeColor="text1"/>
                <w:sz w:val="20"/>
                <w:szCs w:val="20"/>
              </w:rPr>
              <w:t>, trimestriel,</w:t>
            </w:r>
            <w:r w:rsidRPr="0097258B">
              <w:rPr>
                <w:rFonts w:ascii="Times New Roman" w:hAnsi="Times New Roman"/>
                <w:color w:val="000000" w:themeColor="text1"/>
                <w:sz w:val="20"/>
                <w:szCs w:val="20"/>
              </w:rPr>
              <w:t xml:space="preserve"> </w:t>
            </w:r>
            <w:r w:rsidR="008A3265" w:rsidRPr="0097258B">
              <w:rPr>
                <w:rFonts w:ascii="Times New Roman" w:hAnsi="Times New Roman"/>
                <w:color w:val="000000" w:themeColor="text1"/>
                <w:sz w:val="20"/>
                <w:szCs w:val="20"/>
              </w:rPr>
              <w:t>b</w:t>
            </w:r>
            <w:r w:rsidRPr="0097258B">
              <w:rPr>
                <w:rFonts w:ascii="Times New Roman" w:hAnsi="Times New Roman"/>
                <w:color w:val="000000" w:themeColor="text1"/>
                <w:sz w:val="20"/>
                <w:szCs w:val="20"/>
              </w:rPr>
              <w:t xml:space="preserve">iannuel </w:t>
            </w:r>
            <w:r w:rsidR="008A3265" w:rsidRPr="0097258B">
              <w:rPr>
                <w:rFonts w:ascii="Times New Roman" w:hAnsi="Times New Roman"/>
                <w:color w:val="000000" w:themeColor="text1"/>
                <w:sz w:val="20"/>
                <w:szCs w:val="20"/>
              </w:rPr>
              <w:t>et annuel</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A0B5247"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Entreprises</w:t>
            </w:r>
          </w:p>
        </w:tc>
        <w:tc>
          <w:tcPr>
            <w:tcW w:w="1488" w:type="dxa"/>
            <w:tcBorders>
              <w:top w:val="single" w:sz="4" w:space="0" w:color="auto"/>
              <w:left w:val="single" w:sz="4" w:space="0" w:color="auto"/>
              <w:bottom w:val="single" w:sz="4" w:space="0" w:color="auto"/>
              <w:right w:val="single" w:sz="4" w:space="0" w:color="auto"/>
            </w:tcBorders>
            <w:vAlign w:val="center"/>
            <w:hideMark/>
          </w:tcPr>
          <w:p w14:paraId="3F601E92"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tc>
        <w:tc>
          <w:tcPr>
            <w:tcW w:w="1276" w:type="dxa"/>
            <w:tcBorders>
              <w:top w:val="single" w:sz="4" w:space="0" w:color="auto"/>
              <w:left w:val="single" w:sz="4" w:space="0" w:color="auto"/>
              <w:bottom w:val="single" w:sz="4" w:space="0" w:color="auto"/>
              <w:right w:val="single" w:sz="4" w:space="0" w:color="auto"/>
            </w:tcBorders>
            <w:vAlign w:val="center"/>
          </w:tcPr>
          <w:p w14:paraId="6581AA64"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CRSE</w:t>
            </w:r>
          </w:p>
          <w:p w14:paraId="3A72B8FD"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p>
        </w:tc>
      </w:tr>
      <w:tr w:rsidR="00BD1A2F" w:rsidRPr="009B46E2" w14:paraId="7E5264D6" w14:textId="77777777" w:rsidTr="00FD308E">
        <w:trPr>
          <w:gridAfter w:val="1"/>
          <w:wAfter w:w="8" w:type="dxa"/>
        </w:trPr>
        <w:tc>
          <w:tcPr>
            <w:tcW w:w="1580" w:type="dxa"/>
            <w:tcBorders>
              <w:top w:val="single" w:sz="4" w:space="0" w:color="auto"/>
              <w:left w:val="single" w:sz="4" w:space="0" w:color="auto"/>
              <w:bottom w:val="single" w:sz="4" w:space="0" w:color="auto"/>
              <w:right w:val="single" w:sz="4" w:space="0" w:color="auto"/>
            </w:tcBorders>
            <w:vAlign w:val="center"/>
          </w:tcPr>
          <w:p w14:paraId="5FB3F1BF" w14:textId="77777777" w:rsidR="008F35C9" w:rsidRPr="0097258B" w:rsidRDefault="008F35C9" w:rsidP="00E20250">
            <w:pPr>
              <w:autoSpaceDE w:val="0"/>
              <w:autoSpaceDN w:val="0"/>
              <w:adjustRightInd w:val="0"/>
              <w:spacing w:after="0" w:line="240" w:lineRule="auto"/>
              <w:rPr>
                <w:rFonts w:ascii="Times New Roman" w:hAnsi="Times New Roman"/>
                <w:b/>
                <w:bCs/>
                <w:color w:val="000000" w:themeColor="text1"/>
                <w:sz w:val="20"/>
                <w:szCs w:val="20"/>
              </w:rPr>
            </w:pPr>
            <w:r w:rsidRPr="0097258B">
              <w:rPr>
                <w:rFonts w:ascii="Times New Roman" w:hAnsi="Times New Roman"/>
                <w:b/>
                <w:bCs/>
                <w:color w:val="000000" w:themeColor="text1"/>
                <w:sz w:val="20"/>
                <w:szCs w:val="20"/>
              </w:rPr>
              <w:t xml:space="preserve">Bruits et vibrations </w:t>
            </w:r>
          </w:p>
          <w:p w14:paraId="154E0541" w14:textId="77777777" w:rsidR="008F35C9" w:rsidRPr="0097258B" w:rsidRDefault="008F35C9" w:rsidP="00E20250">
            <w:pPr>
              <w:spacing w:after="0" w:line="240" w:lineRule="auto"/>
              <w:rPr>
                <w:rFonts w:ascii="Times New Roman" w:eastAsia="Times New Roman" w:hAnsi="Times New Roman"/>
                <w:b/>
                <w:bCs/>
                <w:color w:val="000000" w:themeColor="text1"/>
                <w:sz w:val="20"/>
                <w:szCs w:val="20"/>
                <w:lang w:eastAsia="fr-FR"/>
              </w:rPr>
            </w:pPr>
          </w:p>
        </w:tc>
        <w:tc>
          <w:tcPr>
            <w:tcW w:w="3093" w:type="dxa"/>
            <w:tcBorders>
              <w:top w:val="single" w:sz="4" w:space="0" w:color="auto"/>
              <w:left w:val="single" w:sz="4" w:space="0" w:color="auto"/>
              <w:bottom w:val="single" w:sz="4" w:space="0" w:color="auto"/>
              <w:right w:val="single" w:sz="4" w:space="0" w:color="auto"/>
            </w:tcBorders>
            <w:vAlign w:val="center"/>
            <w:hideMark/>
          </w:tcPr>
          <w:p w14:paraId="6D2C526C" w14:textId="77777777" w:rsidR="008F35C9" w:rsidRPr="0097258B" w:rsidRDefault="008F35C9"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Mesure des niveaux sonores et vibrations aux abords des habitations proches des activités minières </w:t>
            </w:r>
          </w:p>
          <w:p w14:paraId="5862E1D5" w14:textId="77777777" w:rsidR="008F35C9" w:rsidRPr="0097258B" w:rsidRDefault="008F35C9"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Suivi régulier des conditions structurales des bâtiments riverains des sites de démolition</w:t>
            </w:r>
          </w:p>
        </w:tc>
        <w:tc>
          <w:tcPr>
            <w:tcW w:w="4111" w:type="dxa"/>
            <w:tcBorders>
              <w:top w:val="single" w:sz="4" w:space="0" w:color="auto"/>
              <w:left w:val="single" w:sz="4" w:space="0" w:color="auto"/>
              <w:bottom w:val="single" w:sz="4" w:space="0" w:color="auto"/>
              <w:right w:val="single" w:sz="4" w:space="0" w:color="auto"/>
            </w:tcBorders>
            <w:vAlign w:val="center"/>
            <w:hideMark/>
          </w:tcPr>
          <w:p w14:paraId="647E9818" w14:textId="77777777" w:rsidR="008F35C9" w:rsidRPr="0097258B" w:rsidRDefault="008F35C9" w:rsidP="00E20250">
            <w:pPr>
              <w:autoSpaceDE w:val="0"/>
              <w:autoSpaceDN w:val="0"/>
              <w:adjustRightInd w:val="0"/>
              <w:spacing w:after="0" w:line="240" w:lineRule="auto"/>
              <w:jc w:val="both"/>
              <w:rPr>
                <w:rFonts w:ascii="Times New Roman" w:eastAsia="Times New Roman" w:hAnsi="Times New Roman"/>
                <w:i/>
                <w:iCs/>
                <w:color w:val="000000" w:themeColor="text1"/>
                <w:sz w:val="20"/>
                <w:szCs w:val="20"/>
                <w:lang w:eastAsia="fr-FR"/>
              </w:rPr>
            </w:pPr>
            <w:r w:rsidRPr="0097258B">
              <w:rPr>
                <w:rFonts w:ascii="Times New Roman" w:hAnsi="Times New Roman"/>
                <w:color w:val="000000" w:themeColor="text1"/>
                <w:sz w:val="20"/>
                <w:szCs w:val="20"/>
              </w:rPr>
              <w:t>Niveau de bruit en décibels,</w:t>
            </w:r>
          </w:p>
          <w:p w14:paraId="679DCA40" w14:textId="1276E39B" w:rsidR="008F35C9" w:rsidRPr="0097258B" w:rsidRDefault="008F35C9" w:rsidP="00E20250">
            <w:pPr>
              <w:autoSpaceDE w:val="0"/>
              <w:autoSpaceDN w:val="0"/>
              <w:adjustRightInd w:val="0"/>
              <w:spacing w:after="0" w:line="240" w:lineRule="auto"/>
              <w:jc w:val="both"/>
              <w:rPr>
                <w:rFonts w:ascii="Times New Roman" w:eastAsia="Times New Roman" w:hAnsi="Times New Roman"/>
                <w:i/>
                <w:iCs/>
                <w:color w:val="000000" w:themeColor="text1"/>
                <w:sz w:val="20"/>
                <w:szCs w:val="20"/>
                <w:lang w:eastAsia="fr-FR"/>
              </w:rPr>
            </w:pPr>
            <w:r w:rsidRPr="0097258B">
              <w:rPr>
                <w:rFonts w:ascii="Times New Roman" w:hAnsi="Times New Roman"/>
                <w:color w:val="000000" w:themeColor="text1"/>
                <w:sz w:val="20"/>
                <w:szCs w:val="20"/>
              </w:rPr>
              <w:t xml:space="preserve">Vitesse vibration et pseudofréquences associées </w:t>
            </w:r>
          </w:p>
          <w:p w14:paraId="2B64EAEB" w14:textId="77777777" w:rsidR="008F35C9" w:rsidRPr="0097258B" w:rsidRDefault="008F35C9" w:rsidP="00E20250">
            <w:pPr>
              <w:autoSpaceDE w:val="0"/>
              <w:autoSpaceDN w:val="0"/>
              <w:adjustRightInd w:val="0"/>
              <w:spacing w:after="0" w:line="240" w:lineRule="auto"/>
              <w:jc w:val="both"/>
              <w:rPr>
                <w:rFonts w:ascii="Times New Roman" w:eastAsia="Times New Roman" w:hAnsi="Times New Roman"/>
                <w:i/>
                <w:iCs/>
                <w:color w:val="000000" w:themeColor="text1"/>
                <w:sz w:val="20"/>
                <w:szCs w:val="20"/>
                <w:lang w:eastAsia="fr-FR"/>
              </w:rPr>
            </w:pPr>
            <w:r w:rsidRPr="0097258B">
              <w:rPr>
                <w:rFonts w:ascii="Times New Roman" w:hAnsi="Times New Roman"/>
                <w:color w:val="000000" w:themeColor="text1"/>
                <w:sz w:val="20"/>
                <w:szCs w:val="20"/>
              </w:rPr>
              <w:t>Nombre de réclamations relatives à l’État des bâtiments riverains</w:t>
            </w:r>
          </w:p>
        </w:tc>
        <w:tc>
          <w:tcPr>
            <w:tcW w:w="1370" w:type="dxa"/>
            <w:tcBorders>
              <w:top w:val="single" w:sz="4" w:space="0" w:color="auto"/>
              <w:left w:val="single" w:sz="4" w:space="0" w:color="auto"/>
              <w:bottom w:val="single" w:sz="4" w:space="0" w:color="auto"/>
              <w:right w:val="single" w:sz="4" w:space="0" w:color="auto"/>
            </w:tcBorders>
            <w:vAlign w:val="center"/>
          </w:tcPr>
          <w:p w14:paraId="599501E7" w14:textId="77777777" w:rsidR="008F35C9" w:rsidRPr="0097258B" w:rsidRDefault="008F35C9"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Mensuelle</w:t>
            </w:r>
          </w:p>
          <w:p w14:paraId="4476CE2A" w14:textId="77777777" w:rsidR="008F35C9" w:rsidRPr="0097258B" w:rsidRDefault="008F35C9" w:rsidP="00E20250">
            <w:pPr>
              <w:autoSpaceDE w:val="0"/>
              <w:autoSpaceDN w:val="0"/>
              <w:adjustRightInd w:val="0"/>
              <w:spacing w:after="0" w:line="240" w:lineRule="auto"/>
              <w:jc w:val="both"/>
              <w:rPr>
                <w:rFonts w:ascii="Times New Roman" w:hAnsi="Times New Roman"/>
                <w:color w:val="000000" w:themeColor="text1"/>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CCFF388"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Entreprises</w:t>
            </w:r>
          </w:p>
        </w:tc>
        <w:tc>
          <w:tcPr>
            <w:tcW w:w="1488" w:type="dxa"/>
            <w:tcBorders>
              <w:top w:val="single" w:sz="4" w:space="0" w:color="auto"/>
              <w:left w:val="single" w:sz="4" w:space="0" w:color="auto"/>
              <w:bottom w:val="single" w:sz="4" w:space="0" w:color="auto"/>
              <w:right w:val="single" w:sz="4" w:space="0" w:color="auto"/>
            </w:tcBorders>
            <w:vAlign w:val="center"/>
            <w:hideMark/>
          </w:tcPr>
          <w:p w14:paraId="70BE6CD0"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tc>
        <w:tc>
          <w:tcPr>
            <w:tcW w:w="1276" w:type="dxa"/>
            <w:tcBorders>
              <w:top w:val="single" w:sz="4" w:space="0" w:color="auto"/>
              <w:left w:val="single" w:sz="4" w:space="0" w:color="auto"/>
              <w:bottom w:val="single" w:sz="4" w:space="0" w:color="auto"/>
              <w:right w:val="single" w:sz="4" w:space="0" w:color="auto"/>
            </w:tcBorders>
            <w:vAlign w:val="center"/>
          </w:tcPr>
          <w:p w14:paraId="5461618B"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CRSE</w:t>
            </w:r>
          </w:p>
          <w:p w14:paraId="36E8069C"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p>
        </w:tc>
      </w:tr>
      <w:tr w:rsidR="00BD1A2F" w:rsidRPr="009B46E2" w14:paraId="732C32F4" w14:textId="77777777" w:rsidTr="00FD308E">
        <w:trPr>
          <w:gridAfter w:val="1"/>
          <w:wAfter w:w="8" w:type="dxa"/>
        </w:trPr>
        <w:tc>
          <w:tcPr>
            <w:tcW w:w="1580" w:type="dxa"/>
            <w:tcBorders>
              <w:top w:val="single" w:sz="4" w:space="0" w:color="auto"/>
              <w:left w:val="single" w:sz="4" w:space="0" w:color="auto"/>
              <w:bottom w:val="single" w:sz="4" w:space="0" w:color="auto"/>
              <w:right w:val="single" w:sz="4" w:space="0" w:color="auto"/>
            </w:tcBorders>
            <w:vAlign w:val="center"/>
            <w:hideMark/>
          </w:tcPr>
          <w:p w14:paraId="39F36199" w14:textId="77777777" w:rsidR="008F35C9" w:rsidRPr="0097258B" w:rsidRDefault="008F35C9" w:rsidP="00E20250">
            <w:pPr>
              <w:autoSpaceDE w:val="0"/>
              <w:autoSpaceDN w:val="0"/>
              <w:adjustRightInd w:val="0"/>
              <w:spacing w:after="0" w:line="240" w:lineRule="auto"/>
              <w:rPr>
                <w:rFonts w:ascii="Times New Roman" w:hAnsi="Times New Roman"/>
                <w:b/>
                <w:bCs/>
                <w:color w:val="000000" w:themeColor="text1"/>
                <w:sz w:val="20"/>
                <w:szCs w:val="20"/>
              </w:rPr>
            </w:pPr>
            <w:r w:rsidRPr="0097258B">
              <w:rPr>
                <w:rFonts w:ascii="Times New Roman" w:hAnsi="Times New Roman"/>
                <w:b/>
                <w:bCs/>
                <w:color w:val="000000" w:themeColor="text1"/>
                <w:sz w:val="20"/>
                <w:szCs w:val="20"/>
              </w:rPr>
              <w:t>Sol</w:t>
            </w:r>
          </w:p>
        </w:tc>
        <w:tc>
          <w:tcPr>
            <w:tcW w:w="3093" w:type="dxa"/>
            <w:tcBorders>
              <w:top w:val="single" w:sz="4" w:space="0" w:color="auto"/>
              <w:left w:val="single" w:sz="4" w:space="0" w:color="auto"/>
              <w:bottom w:val="single" w:sz="4" w:space="0" w:color="auto"/>
              <w:right w:val="single" w:sz="4" w:space="0" w:color="auto"/>
            </w:tcBorders>
            <w:vAlign w:val="center"/>
            <w:hideMark/>
          </w:tcPr>
          <w:p w14:paraId="48F40E29" w14:textId="77777777" w:rsidR="008F35C9" w:rsidRPr="0097258B" w:rsidRDefault="008F35C9"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eastAsia="Arial" w:hAnsi="Times New Roman"/>
                <w:color w:val="000000" w:themeColor="text1"/>
                <w:spacing w:val="-4"/>
                <w:sz w:val="20"/>
                <w:szCs w:val="20"/>
              </w:rPr>
              <w:t>M</w:t>
            </w:r>
            <w:r w:rsidRPr="0097258B">
              <w:rPr>
                <w:rFonts w:ascii="Times New Roman" w:eastAsia="Arial" w:hAnsi="Times New Roman"/>
                <w:color w:val="000000" w:themeColor="text1"/>
                <w:spacing w:val="1"/>
                <w:sz w:val="20"/>
                <w:szCs w:val="20"/>
              </w:rPr>
              <w:t>odi</w:t>
            </w:r>
            <w:r w:rsidRPr="0097258B">
              <w:rPr>
                <w:rFonts w:ascii="Times New Roman" w:eastAsia="Arial" w:hAnsi="Times New Roman"/>
                <w:color w:val="000000" w:themeColor="text1"/>
                <w:sz w:val="20"/>
                <w:szCs w:val="20"/>
              </w:rPr>
              <w:t>f</w:t>
            </w:r>
            <w:r w:rsidRPr="0097258B">
              <w:rPr>
                <w:rFonts w:ascii="Times New Roman" w:eastAsia="Arial" w:hAnsi="Times New Roman"/>
                <w:color w:val="000000" w:themeColor="text1"/>
                <w:spacing w:val="1"/>
                <w:sz w:val="20"/>
                <w:szCs w:val="20"/>
              </w:rPr>
              <w:t>ica</w:t>
            </w:r>
            <w:r w:rsidRPr="0097258B">
              <w:rPr>
                <w:rFonts w:ascii="Times New Roman" w:eastAsia="Arial" w:hAnsi="Times New Roman"/>
                <w:color w:val="000000" w:themeColor="text1"/>
                <w:sz w:val="20"/>
                <w:szCs w:val="20"/>
              </w:rPr>
              <w:t>t</w:t>
            </w:r>
            <w:r w:rsidRPr="0097258B">
              <w:rPr>
                <w:rFonts w:ascii="Times New Roman" w:eastAsia="Arial" w:hAnsi="Times New Roman"/>
                <w:color w:val="000000" w:themeColor="text1"/>
                <w:spacing w:val="1"/>
                <w:sz w:val="20"/>
                <w:szCs w:val="20"/>
              </w:rPr>
              <w:t>i</w:t>
            </w:r>
            <w:r w:rsidRPr="0097258B">
              <w:rPr>
                <w:rFonts w:ascii="Times New Roman" w:eastAsia="Arial" w:hAnsi="Times New Roman"/>
                <w:color w:val="000000" w:themeColor="text1"/>
                <w:spacing w:val="-2"/>
                <w:sz w:val="20"/>
                <w:szCs w:val="20"/>
              </w:rPr>
              <w:t>o</w:t>
            </w:r>
            <w:r w:rsidRPr="0097258B">
              <w:rPr>
                <w:rFonts w:ascii="Times New Roman" w:eastAsia="Arial" w:hAnsi="Times New Roman"/>
                <w:color w:val="000000" w:themeColor="text1"/>
                <w:sz w:val="20"/>
                <w:szCs w:val="20"/>
              </w:rPr>
              <w:t>n</w:t>
            </w:r>
            <w:r w:rsidRPr="0097258B">
              <w:rPr>
                <w:rFonts w:ascii="Times New Roman" w:eastAsia="Arial" w:hAnsi="Times New Roman"/>
                <w:color w:val="000000" w:themeColor="text1"/>
                <w:spacing w:val="22"/>
                <w:sz w:val="20"/>
                <w:szCs w:val="20"/>
              </w:rPr>
              <w:t xml:space="preserve"> </w:t>
            </w:r>
            <w:r w:rsidRPr="0097258B">
              <w:rPr>
                <w:rFonts w:ascii="Times New Roman" w:eastAsia="Arial" w:hAnsi="Times New Roman"/>
                <w:color w:val="000000" w:themeColor="text1"/>
                <w:spacing w:val="1"/>
                <w:sz w:val="20"/>
                <w:szCs w:val="20"/>
              </w:rPr>
              <w:t>e</w:t>
            </w:r>
            <w:r w:rsidRPr="0097258B">
              <w:rPr>
                <w:rFonts w:ascii="Times New Roman" w:eastAsia="Arial" w:hAnsi="Times New Roman"/>
                <w:color w:val="000000" w:themeColor="text1"/>
                <w:sz w:val="20"/>
                <w:szCs w:val="20"/>
              </w:rPr>
              <w:t>t</w:t>
            </w:r>
            <w:r w:rsidRPr="0097258B">
              <w:rPr>
                <w:rFonts w:ascii="Times New Roman" w:eastAsia="Arial" w:hAnsi="Times New Roman"/>
                <w:color w:val="000000" w:themeColor="text1"/>
                <w:spacing w:val="22"/>
                <w:sz w:val="20"/>
                <w:szCs w:val="20"/>
              </w:rPr>
              <w:t xml:space="preserve"> </w:t>
            </w:r>
            <w:r w:rsidRPr="0097258B">
              <w:rPr>
                <w:rFonts w:ascii="Times New Roman" w:eastAsia="Arial" w:hAnsi="Times New Roman"/>
                <w:color w:val="000000" w:themeColor="text1"/>
                <w:sz w:val="20"/>
                <w:szCs w:val="20"/>
              </w:rPr>
              <w:t>fr</w:t>
            </w:r>
            <w:r w:rsidRPr="0097258B">
              <w:rPr>
                <w:rFonts w:ascii="Times New Roman" w:eastAsia="Arial" w:hAnsi="Times New Roman"/>
                <w:color w:val="000000" w:themeColor="text1"/>
                <w:spacing w:val="-1"/>
                <w:sz w:val="20"/>
                <w:szCs w:val="20"/>
              </w:rPr>
              <w:t>a</w:t>
            </w:r>
            <w:r w:rsidRPr="0097258B">
              <w:rPr>
                <w:rFonts w:ascii="Times New Roman" w:eastAsia="Arial" w:hAnsi="Times New Roman"/>
                <w:color w:val="000000" w:themeColor="text1"/>
                <w:spacing w:val="1"/>
                <w:sz w:val="20"/>
                <w:szCs w:val="20"/>
              </w:rPr>
              <w:t>gi</w:t>
            </w:r>
            <w:r w:rsidRPr="0097258B">
              <w:rPr>
                <w:rFonts w:ascii="Times New Roman" w:eastAsia="Arial" w:hAnsi="Times New Roman"/>
                <w:color w:val="000000" w:themeColor="text1"/>
                <w:spacing w:val="-2"/>
                <w:sz w:val="20"/>
                <w:szCs w:val="20"/>
              </w:rPr>
              <w:t>l</w:t>
            </w:r>
            <w:r w:rsidRPr="0097258B">
              <w:rPr>
                <w:rFonts w:ascii="Times New Roman" w:eastAsia="Arial" w:hAnsi="Times New Roman"/>
                <w:color w:val="000000" w:themeColor="text1"/>
                <w:spacing w:val="1"/>
                <w:sz w:val="20"/>
                <w:szCs w:val="20"/>
              </w:rPr>
              <w:t>i</w:t>
            </w:r>
            <w:r w:rsidRPr="0097258B">
              <w:rPr>
                <w:rFonts w:ascii="Times New Roman" w:eastAsia="Arial" w:hAnsi="Times New Roman"/>
                <w:color w:val="000000" w:themeColor="text1"/>
                <w:spacing w:val="-1"/>
                <w:sz w:val="20"/>
                <w:szCs w:val="20"/>
              </w:rPr>
              <w:t>s</w:t>
            </w:r>
            <w:r w:rsidRPr="0097258B">
              <w:rPr>
                <w:rFonts w:ascii="Times New Roman" w:eastAsia="Arial" w:hAnsi="Times New Roman"/>
                <w:color w:val="000000" w:themeColor="text1"/>
                <w:spacing w:val="1"/>
                <w:sz w:val="20"/>
                <w:szCs w:val="20"/>
              </w:rPr>
              <w:t>a</w:t>
            </w:r>
            <w:r w:rsidRPr="0097258B">
              <w:rPr>
                <w:rFonts w:ascii="Times New Roman" w:eastAsia="Arial" w:hAnsi="Times New Roman"/>
                <w:color w:val="000000" w:themeColor="text1"/>
                <w:sz w:val="20"/>
                <w:szCs w:val="20"/>
              </w:rPr>
              <w:t>t</w:t>
            </w:r>
            <w:r w:rsidRPr="0097258B">
              <w:rPr>
                <w:rFonts w:ascii="Times New Roman" w:eastAsia="Arial" w:hAnsi="Times New Roman"/>
                <w:color w:val="000000" w:themeColor="text1"/>
                <w:spacing w:val="1"/>
                <w:sz w:val="20"/>
                <w:szCs w:val="20"/>
              </w:rPr>
              <w:t>i</w:t>
            </w:r>
            <w:r w:rsidRPr="0097258B">
              <w:rPr>
                <w:rFonts w:ascii="Times New Roman" w:eastAsia="Arial" w:hAnsi="Times New Roman"/>
                <w:color w:val="000000" w:themeColor="text1"/>
                <w:spacing w:val="-2"/>
                <w:sz w:val="20"/>
                <w:szCs w:val="20"/>
              </w:rPr>
              <w:t>o</w:t>
            </w:r>
            <w:r w:rsidRPr="0097258B">
              <w:rPr>
                <w:rFonts w:ascii="Times New Roman" w:eastAsia="Arial" w:hAnsi="Times New Roman"/>
                <w:color w:val="000000" w:themeColor="text1"/>
                <w:sz w:val="20"/>
                <w:szCs w:val="20"/>
              </w:rPr>
              <w:t>n</w:t>
            </w:r>
            <w:r w:rsidRPr="0097258B">
              <w:rPr>
                <w:rFonts w:ascii="Times New Roman" w:eastAsia="Arial" w:hAnsi="Times New Roman"/>
                <w:color w:val="000000" w:themeColor="text1"/>
                <w:spacing w:val="22"/>
                <w:sz w:val="20"/>
                <w:szCs w:val="20"/>
              </w:rPr>
              <w:t xml:space="preserve"> </w:t>
            </w:r>
            <w:r w:rsidRPr="0097258B">
              <w:rPr>
                <w:rFonts w:ascii="Times New Roman" w:eastAsia="Arial" w:hAnsi="Times New Roman"/>
                <w:color w:val="000000" w:themeColor="text1"/>
                <w:spacing w:val="1"/>
                <w:sz w:val="20"/>
                <w:szCs w:val="20"/>
              </w:rPr>
              <w:t>d</w:t>
            </w:r>
            <w:r w:rsidRPr="0097258B">
              <w:rPr>
                <w:rFonts w:ascii="Times New Roman" w:eastAsia="Arial" w:hAnsi="Times New Roman"/>
                <w:color w:val="000000" w:themeColor="text1"/>
                <w:sz w:val="20"/>
                <w:szCs w:val="20"/>
              </w:rPr>
              <w:t>e</w:t>
            </w:r>
            <w:r w:rsidRPr="0097258B">
              <w:rPr>
                <w:rFonts w:ascii="Times New Roman" w:eastAsia="Arial" w:hAnsi="Times New Roman"/>
                <w:color w:val="000000" w:themeColor="text1"/>
                <w:spacing w:val="20"/>
                <w:sz w:val="20"/>
                <w:szCs w:val="20"/>
              </w:rPr>
              <w:t xml:space="preserve"> </w:t>
            </w:r>
            <w:r w:rsidRPr="0097258B">
              <w:rPr>
                <w:rFonts w:ascii="Times New Roman" w:eastAsia="Arial" w:hAnsi="Times New Roman"/>
                <w:color w:val="000000" w:themeColor="text1"/>
                <w:spacing w:val="1"/>
                <w:sz w:val="20"/>
                <w:szCs w:val="20"/>
              </w:rPr>
              <w:t>l</w:t>
            </w:r>
            <w:r w:rsidRPr="0097258B">
              <w:rPr>
                <w:rFonts w:ascii="Times New Roman" w:eastAsia="Arial" w:hAnsi="Times New Roman"/>
                <w:color w:val="000000" w:themeColor="text1"/>
                <w:sz w:val="20"/>
                <w:szCs w:val="20"/>
              </w:rPr>
              <w:t>a</w:t>
            </w:r>
            <w:r w:rsidRPr="0097258B">
              <w:rPr>
                <w:rFonts w:ascii="Times New Roman" w:eastAsia="Arial" w:hAnsi="Times New Roman"/>
                <w:color w:val="000000" w:themeColor="text1"/>
                <w:spacing w:val="22"/>
                <w:sz w:val="20"/>
                <w:szCs w:val="20"/>
              </w:rPr>
              <w:t xml:space="preserve"> </w:t>
            </w:r>
            <w:r w:rsidRPr="0097258B">
              <w:rPr>
                <w:rFonts w:ascii="Times New Roman" w:eastAsia="Arial" w:hAnsi="Times New Roman"/>
                <w:color w:val="000000" w:themeColor="text1"/>
                <w:spacing w:val="1"/>
                <w:sz w:val="20"/>
                <w:szCs w:val="20"/>
              </w:rPr>
              <w:t>s</w:t>
            </w:r>
            <w:r w:rsidRPr="0097258B">
              <w:rPr>
                <w:rFonts w:ascii="Times New Roman" w:eastAsia="Arial" w:hAnsi="Times New Roman"/>
                <w:color w:val="000000" w:themeColor="text1"/>
                <w:sz w:val="20"/>
                <w:szCs w:val="20"/>
              </w:rPr>
              <w:t>tr</w:t>
            </w:r>
            <w:r w:rsidRPr="0097258B">
              <w:rPr>
                <w:rFonts w:ascii="Times New Roman" w:eastAsia="Arial" w:hAnsi="Times New Roman"/>
                <w:color w:val="000000" w:themeColor="text1"/>
                <w:spacing w:val="-1"/>
                <w:sz w:val="20"/>
                <w:szCs w:val="20"/>
              </w:rPr>
              <w:t>u</w:t>
            </w:r>
            <w:r w:rsidRPr="0097258B">
              <w:rPr>
                <w:rFonts w:ascii="Times New Roman" w:eastAsia="Arial" w:hAnsi="Times New Roman"/>
                <w:color w:val="000000" w:themeColor="text1"/>
                <w:spacing w:val="1"/>
                <w:sz w:val="20"/>
                <w:szCs w:val="20"/>
              </w:rPr>
              <w:t>c</w:t>
            </w:r>
            <w:r w:rsidRPr="0097258B">
              <w:rPr>
                <w:rFonts w:ascii="Times New Roman" w:eastAsia="Arial" w:hAnsi="Times New Roman"/>
                <w:color w:val="000000" w:themeColor="text1"/>
                <w:sz w:val="20"/>
                <w:szCs w:val="20"/>
              </w:rPr>
              <w:t>t</w:t>
            </w:r>
            <w:r w:rsidRPr="0097258B">
              <w:rPr>
                <w:rFonts w:ascii="Times New Roman" w:eastAsia="Arial" w:hAnsi="Times New Roman"/>
                <w:color w:val="000000" w:themeColor="text1"/>
                <w:spacing w:val="1"/>
                <w:sz w:val="20"/>
                <w:szCs w:val="20"/>
              </w:rPr>
              <w:t>u</w:t>
            </w:r>
            <w:r w:rsidRPr="0097258B">
              <w:rPr>
                <w:rFonts w:ascii="Times New Roman" w:eastAsia="Arial" w:hAnsi="Times New Roman"/>
                <w:color w:val="000000" w:themeColor="text1"/>
                <w:spacing w:val="-2"/>
                <w:sz w:val="20"/>
                <w:szCs w:val="20"/>
              </w:rPr>
              <w:t>r</w:t>
            </w:r>
            <w:r w:rsidRPr="0097258B">
              <w:rPr>
                <w:rFonts w:ascii="Times New Roman" w:eastAsia="Arial" w:hAnsi="Times New Roman"/>
                <w:color w:val="000000" w:themeColor="text1"/>
                <w:sz w:val="20"/>
                <w:szCs w:val="20"/>
              </w:rPr>
              <w:t>e</w:t>
            </w:r>
            <w:r w:rsidRPr="0097258B">
              <w:rPr>
                <w:rFonts w:ascii="Times New Roman" w:eastAsia="Arial" w:hAnsi="Times New Roman"/>
                <w:color w:val="000000" w:themeColor="text1"/>
                <w:spacing w:val="22"/>
                <w:sz w:val="20"/>
                <w:szCs w:val="20"/>
              </w:rPr>
              <w:t xml:space="preserve"> </w:t>
            </w:r>
            <w:r w:rsidRPr="0097258B">
              <w:rPr>
                <w:rFonts w:ascii="Times New Roman" w:eastAsia="Arial" w:hAnsi="Times New Roman"/>
                <w:color w:val="000000" w:themeColor="text1"/>
                <w:spacing w:val="1"/>
                <w:sz w:val="20"/>
                <w:szCs w:val="20"/>
              </w:rPr>
              <w:t>e</w:t>
            </w:r>
            <w:r w:rsidRPr="0097258B">
              <w:rPr>
                <w:rFonts w:ascii="Times New Roman" w:eastAsia="Arial" w:hAnsi="Times New Roman"/>
                <w:color w:val="000000" w:themeColor="text1"/>
                <w:sz w:val="20"/>
                <w:szCs w:val="20"/>
              </w:rPr>
              <w:t>t</w:t>
            </w:r>
            <w:r w:rsidRPr="0097258B">
              <w:rPr>
                <w:rFonts w:ascii="Times New Roman" w:eastAsia="Arial" w:hAnsi="Times New Roman"/>
                <w:color w:val="000000" w:themeColor="text1"/>
                <w:spacing w:val="22"/>
                <w:sz w:val="20"/>
                <w:szCs w:val="20"/>
              </w:rPr>
              <w:t xml:space="preserve"> </w:t>
            </w:r>
            <w:r w:rsidRPr="0097258B">
              <w:rPr>
                <w:rFonts w:ascii="Times New Roman" w:eastAsia="Arial" w:hAnsi="Times New Roman"/>
                <w:color w:val="000000" w:themeColor="text1"/>
                <w:spacing w:val="1"/>
                <w:sz w:val="20"/>
                <w:szCs w:val="20"/>
              </w:rPr>
              <w:t>d</w:t>
            </w:r>
            <w:r w:rsidRPr="0097258B">
              <w:rPr>
                <w:rFonts w:ascii="Times New Roman" w:eastAsia="Arial" w:hAnsi="Times New Roman"/>
                <w:color w:val="000000" w:themeColor="text1"/>
                <w:sz w:val="20"/>
                <w:szCs w:val="20"/>
              </w:rPr>
              <w:t>e</w:t>
            </w:r>
            <w:r w:rsidRPr="0097258B">
              <w:rPr>
                <w:rFonts w:ascii="Times New Roman" w:eastAsia="Arial" w:hAnsi="Times New Roman"/>
                <w:color w:val="000000" w:themeColor="text1"/>
                <w:spacing w:val="20"/>
                <w:sz w:val="20"/>
                <w:szCs w:val="20"/>
              </w:rPr>
              <w:t xml:space="preserve"> </w:t>
            </w:r>
            <w:r w:rsidRPr="0097258B">
              <w:rPr>
                <w:rFonts w:ascii="Times New Roman" w:eastAsia="Arial" w:hAnsi="Times New Roman"/>
                <w:color w:val="000000" w:themeColor="text1"/>
                <w:spacing w:val="1"/>
                <w:sz w:val="20"/>
                <w:szCs w:val="20"/>
              </w:rPr>
              <w:t>l</w:t>
            </w:r>
            <w:r w:rsidRPr="0097258B">
              <w:rPr>
                <w:rFonts w:ascii="Times New Roman" w:eastAsia="Arial" w:hAnsi="Times New Roman"/>
                <w:color w:val="000000" w:themeColor="text1"/>
                <w:sz w:val="20"/>
                <w:szCs w:val="20"/>
              </w:rPr>
              <w:t>a t</w:t>
            </w:r>
            <w:r w:rsidRPr="0097258B">
              <w:rPr>
                <w:rFonts w:ascii="Times New Roman" w:eastAsia="Arial" w:hAnsi="Times New Roman"/>
                <w:color w:val="000000" w:themeColor="text1"/>
                <w:spacing w:val="1"/>
                <w:sz w:val="20"/>
                <w:szCs w:val="20"/>
              </w:rPr>
              <w:t>e</w:t>
            </w:r>
            <w:r w:rsidRPr="0097258B">
              <w:rPr>
                <w:rFonts w:ascii="Times New Roman" w:eastAsia="Arial" w:hAnsi="Times New Roman"/>
                <w:color w:val="000000" w:themeColor="text1"/>
                <w:spacing w:val="-4"/>
                <w:sz w:val="20"/>
                <w:szCs w:val="20"/>
              </w:rPr>
              <w:t>x</w:t>
            </w:r>
            <w:r w:rsidRPr="0097258B">
              <w:rPr>
                <w:rFonts w:ascii="Times New Roman" w:eastAsia="Arial" w:hAnsi="Times New Roman"/>
                <w:color w:val="000000" w:themeColor="text1"/>
                <w:sz w:val="20"/>
                <w:szCs w:val="20"/>
              </w:rPr>
              <w:t>t</w:t>
            </w:r>
            <w:r w:rsidRPr="0097258B">
              <w:rPr>
                <w:rFonts w:ascii="Times New Roman" w:eastAsia="Arial" w:hAnsi="Times New Roman"/>
                <w:color w:val="000000" w:themeColor="text1"/>
                <w:spacing w:val="1"/>
                <w:sz w:val="20"/>
                <w:szCs w:val="20"/>
              </w:rPr>
              <w:t>u</w:t>
            </w:r>
            <w:r w:rsidRPr="0097258B">
              <w:rPr>
                <w:rFonts w:ascii="Times New Roman" w:eastAsia="Arial" w:hAnsi="Times New Roman"/>
                <w:color w:val="000000" w:themeColor="text1"/>
                <w:sz w:val="20"/>
                <w:szCs w:val="20"/>
              </w:rPr>
              <w:t>re</w:t>
            </w:r>
            <w:r w:rsidRPr="0097258B">
              <w:rPr>
                <w:rFonts w:ascii="Times New Roman" w:eastAsia="Arial" w:hAnsi="Times New Roman"/>
                <w:color w:val="000000" w:themeColor="text1"/>
                <w:spacing w:val="1"/>
                <w:sz w:val="20"/>
                <w:szCs w:val="20"/>
              </w:rPr>
              <w:t xml:space="preserve"> d</w:t>
            </w:r>
            <w:r w:rsidRPr="0097258B">
              <w:rPr>
                <w:rFonts w:ascii="Times New Roman" w:eastAsia="Arial" w:hAnsi="Times New Roman"/>
                <w:color w:val="000000" w:themeColor="text1"/>
                <w:sz w:val="20"/>
                <w:szCs w:val="20"/>
              </w:rPr>
              <w:t>u</w:t>
            </w:r>
            <w:r w:rsidRPr="0097258B">
              <w:rPr>
                <w:rFonts w:ascii="Times New Roman" w:eastAsia="Arial" w:hAnsi="Times New Roman"/>
                <w:color w:val="000000" w:themeColor="text1"/>
                <w:spacing w:val="1"/>
                <w:sz w:val="20"/>
                <w:szCs w:val="20"/>
              </w:rPr>
              <w:t xml:space="preserve"> s</w:t>
            </w:r>
            <w:r w:rsidRPr="0097258B">
              <w:rPr>
                <w:rFonts w:ascii="Times New Roman" w:eastAsia="Arial" w:hAnsi="Times New Roman"/>
                <w:color w:val="000000" w:themeColor="text1"/>
                <w:spacing w:val="-2"/>
                <w:sz w:val="20"/>
                <w:szCs w:val="20"/>
              </w:rPr>
              <w:t>o</w:t>
            </w:r>
            <w:r w:rsidRPr="0097258B">
              <w:rPr>
                <w:rFonts w:ascii="Times New Roman" w:eastAsia="Arial" w:hAnsi="Times New Roman"/>
                <w:color w:val="000000" w:themeColor="text1"/>
                <w:sz w:val="20"/>
                <w:szCs w:val="20"/>
              </w:rPr>
              <w:t>l</w:t>
            </w:r>
            <w:r w:rsidRPr="0097258B">
              <w:rPr>
                <w:rFonts w:ascii="Times New Roman" w:hAnsi="Times New Roman"/>
                <w:color w:val="000000" w:themeColor="text1"/>
                <w:sz w:val="20"/>
                <w:szCs w:val="20"/>
              </w:rPr>
              <w:t xml:space="preserve"> </w:t>
            </w:r>
          </w:p>
        </w:tc>
        <w:tc>
          <w:tcPr>
            <w:tcW w:w="4111" w:type="dxa"/>
            <w:tcBorders>
              <w:top w:val="single" w:sz="4" w:space="0" w:color="auto"/>
              <w:left w:val="single" w:sz="4" w:space="0" w:color="auto"/>
              <w:bottom w:val="single" w:sz="4" w:space="0" w:color="auto"/>
              <w:right w:val="single" w:sz="4" w:space="0" w:color="auto"/>
            </w:tcBorders>
            <w:vAlign w:val="center"/>
            <w:hideMark/>
          </w:tcPr>
          <w:p w14:paraId="55D02418" w14:textId="77777777" w:rsidR="008F35C9" w:rsidRPr="0097258B" w:rsidRDefault="008F35C9" w:rsidP="00E20250">
            <w:pPr>
              <w:spacing w:after="0" w:line="240" w:lineRule="auto"/>
              <w:jc w:val="both"/>
              <w:rPr>
                <w:rFonts w:ascii="Times New Roman" w:eastAsia="Arial" w:hAnsi="Times New Roman"/>
                <w:i/>
                <w:iCs/>
                <w:color w:val="000000" w:themeColor="text1"/>
                <w:sz w:val="20"/>
                <w:szCs w:val="20"/>
                <w:lang w:eastAsia="fr-FR"/>
              </w:rPr>
            </w:pPr>
            <w:r w:rsidRPr="0097258B">
              <w:rPr>
                <w:rFonts w:ascii="Times New Roman" w:eastAsia="Arial" w:hAnsi="Times New Roman"/>
                <w:color w:val="000000" w:themeColor="text1"/>
                <w:sz w:val="20"/>
                <w:szCs w:val="20"/>
                <w:lang w:eastAsia="fr-FR"/>
              </w:rPr>
              <w:t>V</w:t>
            </w:r>
            <w:r w:rsidRPr="0097258B">
              <w:rPr>
                <w:rFonts w:ascii="Times New Roman" w:eastAsia="Arial" w:hAnsi="Times New Roman"/>
                <w:color w:val="000000" w:themeColor="text1"/>
                <w:spacing w:val="1"/>
                <w:sz w:val="20"/>
                <w:szCs w:val="20"/>
                <w:lang w:eastAsia="fr-FR"/>
              </w:rPr>
              <w:t>olu</w:t>
            </w:r>
            <w:r w:rsidRPr="0097258B">
              <w:rPr>
                <w:rFonts w:ascii="Times New Roman" w:eastAsia="Arial" w:hAnsi="Times New Roman"/>
                <w:color w:val="000000" w:themeColor="text1"/>
                <w:spacing w:val="-1"/>
                <w:sz w:val="20"/>
                <w:szCs w:val="20"/>
                <w:lang w:eastAsia="fr-FR"/>
              </w:rPr>
              <w:t>m</w:t>
            </w:r>
            <w:r w:rsidRPr="0097258B">
              <w:rPr>
                <w:rFonts w:ascii="Times New Roman" w:eastAsia="Arial" w:hAnsi="Times New Roman"/>
                <w:color w:val="000000" w:themeColor="text1"/>
                <w:sz w:val="20"/>
                <w:szCs w:val="20"/>
                <w:lang w:eastAsia="fr-FR"/>
              </w:rPr>
              <w:t>e</w:t>
            </w:r>
            <w:r w:rsidRPr="0097258B">
              <w:rPr>
                <w:rFonts w:ascii="Times New Roman" w:eastAsia="Arial" w:hAnsi="Times New Roman"/>
                <w:color w:val="000000" w:themeColor="text1"/>
                <w:spacing w:val="1"/>
                <w:sz w:val="20"/>
                <w:szCs w:val="20"/>
                <w:lang w:eastAsia="fr-FR"/>
              </w:rPr>
              <w:t xml:space="preserve"> d</w:t>
            </w:r>
            <w:r w:rsidRPr="0097258B">
              <w:rPr>
                <w:rFonts w:ascii="Times New Roman" w:eastAsia="Arial" w:hAnsi="Times New Roman"/>
                <w:color w:val="000000" w:themeColor="text1"/>
                <w:sz w:val="20"/>
                <w:szCs w:val="20"/>
                <w:lang w:eastAsia="fr-FR"/>
              </w:rPr>
              <w:t>e</w:t>
            </w:r>
            <w:r w:rsidRPr="0097258B">
              <w:rPr>
                <w:rFonts w:ascii="Times New Roman" w:eastAsia="Arial" w:hAnsi="Times New Roman"/>
                <w:color w:val="000000" w:themeColor="text1"/>
                <w:spacing w:val="-1"/>
                <w:sz w:val="20"/>
                <w:szCs w:val="20"/>
                <w:lang w:eastAsia="fr-FR"/>
              </w:rPr>
              <w:t xml:space="preserve"> </w:t>
            </w:r>
            <w:r w:rsidRPr="0097258B">
              <w:rPr>
                <w:rFonts w:ascii="Times New Roman" w:eastAsia="Arial" w:hAnsi="Times New Roman"/>
                <w:color w:val="000000" w:themeColor="text1"/>
                <w:spacing w:val="1"/>
                <w:sz w:val="20"/>
                <w:szCs w:val="20"/>
                <w:lang w:eastAsia="fr-FR"/>
              </w:rPr>
              <w:t>te</w:t>
            </w:r>
            <w:r w:rsidRPr="0097258B">
              <w:rPr>
                <w:rFonts w:ascii="Times New Roman" w:eastAsia="Arial" w:hAnsi="Times New Roman"/>
                <w:color w:val="000000" w:themeColor="text1"/>
                <w:sz w:val="20"/>
                <w:szCs w:val="20"/>
                <w:lang w:eastAsia="fr-FR"/>
              </w:rPr>
              <w:t>rre</w:t>
            </w:r>
            <w:r w:rsidRPr="0097258B">
              <w:rPr>
                <w:rFonts w:ascii="Times New Roman" w:eastAsia="Arial" w:hAnsi="Times New Roman"/>
                <w:color w:val="000000" w:themeColor="text1"/>
                <w:spacing w:val="-1"/>
                <w:sz w:val="20"/>
                <w:szCs w:val="20"/>
                <w:lang w:eastAsia="fr-FR"/>
              </w:rPr>
              <w:t xml:space="preserve"> </w:t>
            </w:r>
            <w:r w:rsidRPr="0097258B">
              <w:rPr>
                <w:rFonts w:ascii="Times New Roman" w:eastAsia="Arial" w:hAnsi="Times New Roman"/>
                <w:color w:val="000000" w:themeColor="text1"/>
                <w:spacing w:val="1"/>
                <w:sz w:val="20"/>
                <w:szCs w:val="20"/>
                <w:lang w:eastAsia="fr-FR"/>
              </w:rPr>
              <w:t>e</w:t>
            </w:r>
            <w:r w:rsidRPr="0097258B">
              <w:rPr>
                <w:rFonts w:ascii="Times New Roman" w:eastAsia="Arial" w:hAnsi="Times New Roman"/>
                <w:color w:val="000000" w:themeColor="text1"/>
                <w:spacing w:val="2"/>
                <w:sz w:val="20"/>
                <w:szCs w:val="20"/>
                <w:lang w:eastAsia="fr-FR"/>
              </w:rPr>
              <w:t>n</w:t>
            </w:r>
            <w:r w:rsidRPr="0097258B">
              <w:rPr>
                <w:rFonts w:ascii="Times New Roman" w:eastAsia="Arial" w:hAnsi="Times New Roman"/>
                <w:color w:val="000000" w:themeColor="text1"/>
                <w:spacing w:val="-2"/>
                <w:sz w:val="20"/>
                <w:szCs w:val="20"/>
                <w:lang w:eastAsia="fr-FR"/>
              </w:rPr>
              <w:t>l</w:t>
            </w:r>
            <w:r w:rsidRPr="0097258B">
              <w:rPr>
                <w:rFonts w:ascii="Times New Roman" w:eastAsia="Arial" w:hAnsi="Times New Roman"/>
                <w:color w:val="000000" w:themeColor="text1"/>
                <w:spacing w:val="1"/>
                <w:sz w:val="20"/>
                <w:szCs w:val="20"/>
                <w:lang w:eastAsia="fr-FR"/>
              </w:rPr>
              <w:t>e</w:t>
            </w:r>
            <w:r w:rsidRPr="0097258B">
              <w:rPr>
                <w:rFonts w:ascii="Times New Roman" w:eastAsia="Arial" w:hAnsi="Times New Roman"/>
                <w:color w:val="000000" w:themeColor="text1"/>
                <w:spacing w:val="-1"/>
                <w:sz w:val="20"/>
                <w:szCs w:val="20"/>
                <w:lang w:eastAsia="fr-FR"/>
              </w:rPr>
              <w:t>v</w:t>
            </w:r>
            <w:r w:rsidRPr="0097258B">
              <w:rPr>
                <w:rFonts w:ascii="Times New Roman" w:eastAsia="Arial" w:hAnsi="Times New Roman"/>
                <w:color w:val="000000" w:themeColor="text1"/>
                <w:sz w:val="20"/>
                <w:szCs w:val="20"/>
                <w:lang w:eastAsia="fr-FR"/>
              </w:rPr>
              <w:t>é</w:t>
            </w:r>
          </w:p>
          <w:p w14:paraId="2D058775" w14:textId="77777777" w:rsidR="008F35C9" w:rsidRPr="0097258B" w:rsidRDefault="008F35C9"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 </w:t>
            </w:r>
            <w:r w:rsidRPr="0097258B">
              <w:rPr>
                <w:rFonts w:ascii="Times New Roman" w:eastAsia="Arial" w:hAnsi="Times New Roman"/>
                <w:color w:val="000000" w:themeColor="text1"/>
                <w:spacing w:val="-2"/>
                <w:sz w:val="20"/>
                <w:szCs w:val="20"/>
              </w:rPr>
              <w:t>T</w:t>
            </w:r>
            <w:r w:rsidRPr="0097258B">
              <w:rPr>
                <w:rFonts w:ascii="Times New Roman" w:eastAsia="Arial" w:hAnsi="Times New Roman"/>
                <w:color w:val="000000" w:themeColor="text1"/>
                <w:spacing w:val="1"/>
                <w:sz w:val="20"/>
                <w:szCs w:val="20"/>
              </w:rPr>
              <w:t>a</w:t>
            </w:r>
            <w:r w:rsidRPr="0097258B">
              <w:rPr>
                <w:rFonts w:ascii="Times New Roman" w:eastAsia="Arial" w:hAnsi="Times New Roman"/>
                <w:color w:val="000000" w:themeColor="text1"/>
                <w:spacing w:val="3"/>
                <w:sz w:val="20"/>
                <w:szCs w:val="20"/>
              </w:rPr>
              <w:t>u</w:t>
            </w:r>
            <w:r w:rsidRPr="0097258B">
              <w:rPr>
                <w:rFonts w:ascii="Times New Roman" w:eastAsia="Arial" w:hAnsi="Times New Roman"/>
                <w:color w:val="000000" w:themeColor="text1"/>
                <w:sz w:val="20"/>
                <w:szCs w:val="20"/>
              </w:rPr>
              <w:t>x</w:t>
            </w:r>
            <w:r w:rsidRPr="0097258B">
              <w:rPr>
                <w:rFonts w:ascii="Times New Roman" w:eastAsia="Arial" w:hAnsi="Times New Roman"/>
                <w:color w:val="000000" w:themeColor="text1"/>
                <w:spacing w:val="-3"/>
                <w:sz w:val="20"/>
                <w:szCs w:val="20"/>
              </w:rPr>
              <w:t xml:space="preserve"> </w:t>
            </w:r>
            <w:r w:rsidRPr="0097258B">
              <w:rPr>
                <w:rFonts w:ascii="Times New Roman" w:eastAsia="Arial" w:hAnsi="Times New Roman"/>
                <w:color w:val="000000" w:themeColor="text1"/>
                <w:spacing w:val="1"/>
                <w:sz w:val="20"/>
                <w:szCs w:val="20"/>
              </w:rPr>
              <w:t>d</w:t>
            </w:r>
            <w:r w:rsidRPr="0097258B">
              <w:rPr>
                <w:rFonts w:ascii="Times New Roman" w:eastAsia="Arial" w:hAnsi="Times New Roman"/>
                <w:color w:val="000000" w:themeColor="text1"/>
                <w:sz w:val="20"/>
                <w:szCs w:val="20"/>
              </w:rPr>
              <w:t>e</w:t>
            </w:r>
            <w:r w:rsidRPr="0097258B">
              <w:rPr>
                <w:rFonts w:ascii="Times New Roman" w:eastAsia="Arial" w:hAnsi="Times New Roman"/>
                <w:color w:val="000000" w:themeColor="text1"/>
                <w:spacing w:val="1"/>
                <w:sz w:val="20"/>
                <w:szCs w:val="20"/>
              </w:rPr>
              <w:t xml:space="preserve"> su</w:t>
            </w:r>
            <w:r w:rsidRPr="0097258B">
              <w:rPr>
                <w:rFonts w:ascii="Times New Roman" w:eastAsia="Arial" w:hAnsi="Times New Roman"/>
                <w:color w:val="000000" w:themeColor="text1"/>
                <w:sz w:val="20"/>
                <w:szCs w:val="20"/>
              </w:rPr>
              <w:t>rf</w:t>
            </w:r>
            <w:r w:rsidRPr="0097258B">
              <w:rPr>
                <w:rFonts w:ascii="Times New Roman" w:eastAsia="Arial" w:hAnsi="Times New Roman"/>
                <w:color w:val="000000" w:themeColor="text1"/>
                <w:spacing w:val="-1"/>
                <w:sz w:val="20"/>
                <w:szCs w:val="20"/>
              </w:rPr>
              <w:t>a</w:t>
            </w:r>
            <w:r w:rsidRPr="0097258B">
              <w:rPr>
                <w:rFonts w:ascii="Times New Roman" w:eastAsia="Arial" w:hAnsi="Times New Roman"/>
                <w:color w:val="000000" w:themeColor="text1"/>
                <w:spacing w:val="1"/>
                <w:sz w:val="20"/>
                <w:szCs w:val="20"/>
              </w:rPr>
              <w:t>c</w:t>
            </w:r>
            <w:r w:rsidRPr="0097258B">
              <w:rPr>
                <w:rFonts w:ascii="Times New Roman" w:eastAsia="Arial" w:hAnsi="Times New Roman"/>
                <w:color w:val="000000" w:themeColor="text1"/>
                <w:sz w:val="20"/>
                <w:szCs w:val="20"/>
              </w:rPr>
              <w:t>e</w:t>
            </w:r>
            <w:r w:rsidRPr="0097258B">
              <w:rPr>
                <w:rFonts w:ascii="Times New Roman" w:eastAsia="Arial" w:hAnsi="Times New Roman"/>
                <w:color w:val="000000" w:themeColor="text1"/>
                <w:spacing w:val="1"/>
                <w:sz w:val="20"/>
                <w:szCs w:val="20"/>
              </w:rPr>
              <w:t xml:space="preserve"> </w:t>
            </w:r>
            <w:r w:rsidRPr="0097258B">
              <w:rPr>
                <w:rFonts w:ascii="Times New Roman" w:eastAsia="Arial" w:hAnsi="Times New Roman"/>
                <w:color w:val="000000" w:themeColor="text1"/>
                <w:spacing w:val="-2"/>
                <w:sz w:val="20"/>
                <w:szCs w:val="20"/>
              </w:rPr>
              <w:t>r</w:t>
            </w:r>
            <w:r w:rsidRPr="0097258B">
              <w:rPr>
                <w:rFonts w:ascii="Times New Roman" w:eastAsia="Arial" w:hAnsi="Times New Roman"/>
                <w:color w:val="000000" w:themeColor="text1"/>
                <w:spacing w:val="1"/>
                <w:sz w:val="20"/>
                <w:szCs w:val="20"/>
              </w:rPr>
              <w:t>e</w:t>
            </w:r>
            <w:r w:rsidRPr="0097258B">
              <w:rPr>
                <w:rFonts w:ascii="Times New Roman" w:eastAsia="Arial" w:hAnsi="Times New Roman"/>
                <w:color w:val="000000" w:themeColor="text1"/>
                <w:spacing w:val="-1"/>
                <w:sz w:val="20"/>
                <w:szCs w:val="20"/>
              </w:rPr>
              <w:t>v</w:t>
            </w:r>
            <w:r w:rsidRPr="0097258B">
              <w:rPr>
                <w:rFonts w:ascii="Times New Roman" w:eastAsia="Arial" w:hAnsi="Times New Roman"/>
                <w:color w:val="000000" w:themeColor="text1"/>
                <w:spacing w:val="1"/>
                <w:sz w:val="20"/>
                <w:szCs w:val="20"/>
              </w:rPr>
              <w:t>ê</w:t>
            </w:r>
            <w:r w:rsidRPr="0097258B">
              <w:rPr>
                <w:rFonts w:ascii="Times New Roman" w:eastAsia="Arial" w:hAnsi="Times New Roman"/>
                <w:color w:val="000000" w:themeColor="text1"/>
                <w:sz w:val="20"/>
                <w:szCs w:val="20"/>
              </w:rPr>
              <w:t>t</w:t>
            </w:r>
            <w:r w:rsidRPr="0097258B">
              <w:rPr>
                <w:rFonts w:ascii="Times New Roman" w:eastAsia="Arial" w:hAnsi="Times New Roman"/>
                <w:color w:val="000000" w:themeColor="text1"/>
                <w:spacing w:val="1"/>
                <w:sz w:val="20"/>
                <w:szCs w:val="20"/>
              </w:rPr>
              <w:t>u</w:t>
            </w:r>
            <w:r w:rsidRPr="0097258B">
              <w:rPr>
                <w:rFonts w:ascii="Times New Roman" w:eastAsia="Arial" w:hAnsi="Times New Roman"/>
                <w:color w:val="000000" w:themeColor="text1"/>
                <w:sz w:val="20"/>
                <w:szCs w:val="20"/>
              </w:rPr>
              <w:t>e</w:t>
            </w:r>
          </w:p>
          <w:p w14:paraId="482A6C12" w14:textId="77777777" w:rsidR="008F35C9" w:rsidRPr="0097258B" w:rsidRDefault="008F35C9" w:rsidP="00E20250">
            <w:pPr>
              <w:autoSpaceDE w:val="0"/>
              <w:autoSpaceDN w:val="0"/>
              <w:adjustRightInd w:val="0"/>
              <w:spacing w:after="0" w:line="240" w:lineRule="auto"/>
              <w:jc w:val="both"/>
              <w:rPr>
                <w:rFonts w:ascii="Times New Roman" w:eastAsia="Arial" w:hAnsi="Times New Roman"/>
                <w:color w:val="000000" w:themeColor="text1"/>
                <w:sz w:val="20"/>
                <w:szCs w:val="20"/>
              </w:rPr>
            </w:pPr>
            <w:r w:rsidRPr="0097258B">
              <w:rPr>
                <w:rFonts w:ascii="Times New Roman" w:hAnsi="Times New Roman"/>
                <w:color w:val="000000" w:themeColor="text1"/>
                <w:sz w:val="20"/>
                <w:szCs w:val="20"/>
              </w:rPr>
              <w:t>Nombre d’analyse de la pollution du sol réalisée</w:t>
            </w:r>
          </w:p>
        </w:tc>
        <w:tc>
          <w:tcPr>
            <w:tcW w:w="1370" w:type="dxa"/>
            <w:tcBorders>
              <w:top w:val="single" w:sz="4" w:space="0" w:color="auto"/>
              <w:left w:val="single" w:sz="4" w:space="0" w:color="auto"/>
              <w:bottom w:val="single" w:sz="4" w:space="0" w:color="auto"/>
              <w:right w:val="single" w:sz="4" w:space="0" w:color="auto"/>
            </w:tcBorders>
            <w:vAlign w:val="center"/>
          </w:tcPr>
          <w:p w14:paraId="1E80BCD7" w14:textId="77777777" w:rsidR="008F35C9" w:rsidRPr="0097258B" w:rsidRDefault="008F35C9"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Mensuelle </w:t>
            </w:r>
          </w:p>
          <w:p w14:paraId="4BD956D3" w14:textId="77777777" w:rsidR="008F35C9" w:rsidRPr="0097258B" w:rsidRDefault="008F35C9" w:rsidP="00E20250">
            <w:pPr>
              <w:autoSpaceDE w:val="0"/>
              <w:autoSpaceDN w:val="0"/>
              <w:adjustRightInd w:val="0"/>
              <w:spacing w:after="0" w:line="240" w:lineRule="auto"/>
              <w:jc w:val="both"/>
              <w:rPr>
                <w:rFonts w:ascii="Times New Roman" w:hAnsi="Times New Roman"/>
                <w:color w:val="000000" w:themeColor="text1"/>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BE4CADF"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Entreprises</w:t>
            </w:r>
          </w:p>
        </w:tc>
        <w:tc>
          <w:tcPr>
            <w:tcW w:w="1488" w:type="dxa"/>
            <w:tcBorders>
              <w:top w:val="single" w:sz="4" w:space="0" w:color="auto"/>
              <w:left w:val="single" w:sz="4" w:space="0" w:color="auto"/>
              <w:bottom w:val="single" w:sz="4" w:space="0" w:color="auto"/>
              <w:right w:val="single" w:sz="4" w:space="0" w:color="auto"/>
            </w:tcBorders>
            <w:vAlign w:val="center"/>
            <w:hideMark/>
          </w:tcPr>
          <w:p w14:paraId="4347AE45"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F55E37"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CRSE</w:t>
            </w:r>
          </w:p>
        </w:tc>
      </w:tr>
      <w:tr w:rsidR="00BD1A2F" w:rsidRPr="009B46E2" w14:paraId="48729CAF" w14:textId="77777777" w:rsidTr="00FD308E">
        <w:trPr>
          <w:gridAfter w:val="1"/>
          <w:wAfter w:w="8" w:type="dxa"/>
          <w:trHeight w:val="343"/>
        </w:trPr>
        <w:tc>
          <w:tcPr>
            <w:tcW w:w="1580" w:type="dxa"/>
            <w:vMerge w:val="restart"/>
            <w:tcBorders>
              <w:top w:val="single" w:sz="4" w:space="0" w:color="auto"/>
              <w:left w:val="single" w:sz="4" w:space="0" w:color="auto"/>
              <w:bottom w:val="single" w:sz="4" w:space="0" w:color="auto"/>
              <w:right w:val="single" w:sz="4" w:space="0" w:color="auto"/>
            </w:tcBorders>
            <w:vAlign w:val="center"/>
            <w:hideMark/>
          </w:tcPr>
          <w:p w14:paraId="01ABA5B8" w14:textId="77777777" w:rsidR="008F35C9" w:rsidRPr="0097258B" w:rsidRDefault="008F35C9" w:rsidP="00E20250">
            <w:pPr>
              <w:autoSpaceDE w:val="0"/>
              <w:autoSpaceDN w:val="0"/>
              <w:adjustRightInd w:val="0"/>
              <w:spacing w:after="0" w:line="240" w:lineRule="auto"/>
              <w:rPr>
                <w:rFonts w:ascii="Times New Roman" w:hAnsi="Times New Roman"/>
                <w:b/>
                <w:bCs/>
                <w:color w:val="000000" w:themeColor="text1"/>
                <w:sz w:val="20"/>
                <w:szCs w:val="20"/>
              </w:rPr>
            </w:pPr>
            <w:r w:rsidRPr="0097258B">
              <w:rPr>
                <w:rFonts w:ascii="Times New Roman" w:hAnsi="Times New Roman"/>
                <w:b/>
                <w:bCs/>
                <w:color w:val="000000" w:themeColor="text1"/>
                <w:sz w:val="20"/>
                <w:szCs w:val="20"/>
              </w:rPr>
              <w:t>Eaux</w:t>
            </w:r>
          </w:p>
        </w:tc>
        <w:tc>
          <w:tcPr>
            <w:tcW w:w="3093" w:type="dxa"/>
            <w:tcBorders>
              <w:top w:val="single" w:sz="4" w:space="0" w:color="auto"/>
              <w:left w:val="single" w:sz="4" w:space="0" w:color="auto"/>
              <w:bottom w:val="single" w:sz="4" w:space="0" w:color="auto"/>
              <w:right w:val="single" w:sz="4" w:space="0" w:color="auto"/>
            </w:tcBorders>
            <w:vAlign w:val="center"/>
            <w:hideMark/>
          </w:tcPr>
          <w:p w14:paraId="310126B0" w14:textId="77777777" w:rsidR="008F35C9" w:rsidRPr="0097258B" w:rsidRDefault="008F35C9" w:rsidP="00E20250">
            <w:pPr>
              <w:spacing w:after="0" w:line="240" w:lineRule="auto"/>
              <w:jc w:val="both"/>
              <w:rPr>
                <w:rFonts w:ascii="Times New Roman" w:eastAsia="Arial" w:hAnsi="Times New Roman"/>
                <w:color w:val="000000" w:themeColor="text1"/>
                <w:sz w:val="20"/>
                <w:szCs w:val="20"/>
                <w:lang w:eastAsia="fr-FR"/>
              </w:rPr>
            </w:pPr>
            <w:r w:rsidRPr="0097258B">
              <w:rPr>
                <w:rFonts w:ascii="Times New Roman" w:eastAsia="Arial" w:hAnsi="Times New Roman"/>
                <w:color w:val="000000" w:themeColor="text1"/>
                <w:spacing w:val="-4"/>
                <w:sz w:val="20"/>
                <w:szCs w:val="20"/>
                <w:lang w:eastAsia="fr-FR"/>
              </w:rPr>
              <w:t>M</w:t>
            </w:r>
            <w:r w:rsidRPr="0097258B">
              <w:rPr>
                <w:rFonts w:ascii="Times New Roman" w:eastAsia="Arial" w:hAnsi="Times New Roman"/>
                <w:color w:val="000000" w:themeColor="text1"/>
                <w:spacing w:val="1"/>
                <w:sz w:val="20"/>
                <w:szCs w:val="20"/>
                <w:lang w:eastAsia="fr-FR"/>
              </w:rPr>
              <w:t>odi</w:t>
            </w:r>
            <w:r w:rsidRPr="0097258B">
              <w:rPr>
                <w:rFonts w:ascii="Times New Roman" w:eastAsia="Arial" w:hAnsi="Times New Roman"/>
                <w:color w:val="000000" w:themeColor="text1"/>
                <w:sz w:val="20"/>
                <w:szCs w:val="20"/>
                <w:lang w:eastAsia="fr-FR"/>
              </w:rPr>
              <w:t>f</w:t>
            </w:r>
            <w:r w:rsidRPr="0097258B">
              <w:rPr>
                <w:rFonts w:ascii="Times New Roman" w:eastAsia="Arial" w:hAnsi="Times New Roman"/>
                <w:color w:val="000000" w:themeColor="text1"/>
                <w:spacing w:val="1"/>
                <w:sz w:val="20"/>
                <w:szCs w:val="20"/>
                <w:lang w:eastAsia="fr-FR"/>
              </w:rPr>
              <w:t>ica</w:t>
            </w:r>
            <w:r w:rsidRPr="0097258B">
              <w:rPr>
                <w:rFonts w:ascii="Times New Roman" w:eastAsia="Arial" w:hAnsi="Times New Roman"/>
                <w:color w:val="000000" w:themeColor="text1"/>
                <w:sz w:val="20"/>
                <w:szCs w:val="20"/>
                <w:lang w:eastAsia="fr-FR"/>
              </w:rPr>
              <w:t>t</w:t>
            </w:r>
            <w:r w:rsidRPr="0097258B">
              <w:rPr>
                <w:rFonts w:ascii="Times New Roman" w:eastAsia="Arial" w:hAnsi="Times New Roman"/>
                <w:color w:val="000000" w:themeColor="text1"/>
                <w:spacing w:val="1"/>
                <w:sz w:val="20"/>
                <w:szCs w:val="20"/>
                <w:lang w:eastAsia="fr-FR"/>
              </w:rPr>
              <w:t>i</w:t>
            </w:r>
            <w:r w:rsidRPr="0097258B">
              <w:rPr>
                <w:rFonts w:ascii="Times New Roman" w:eastAsia="Arial" w:hAnsi="Times New Roman"/>
                <w:color w:val="000000" w:themeColor="text1"/>
                <w:spacing w:val="-2"/>
                <w:sz w:val="20"/>
                <w:szCs w:val="20"/>
                <w:lang w:eastAsia="fr-FR"/>
              </w:rPr>
              <w:t>o</w:t>
            </w:r>
            <w:r w:rsidRPr="0097258B">
              <w:rPr>
                <w:rFonts w:ascii="Times New Roman" w:eastAsia="Arial" w:hAnsi="Times New Roman"/>
                <w:color w:val="000000" w:themeColor="text1"/>
                <w:sz w:val="20"/>
                <w:szCs w:val="20"/>
                <w:lang w:eastAsia="fr-FR"/>
              </w:rPr>
              <w:t xml:space="preserve">n </w:t>
            </w:r>
            <w:r w:rsidRPr="0097258B">
              <w:rPr>
                <w:rFonts w:ascii="Times New Roman" w:eastAsia="Arial" w:hAnsi="Times New Roman"/>
                <w:color w:val="000000" w:themeColor="text1"/>
                <w:spacing w:val="1"/>
                <w:sz w:val="20"/>
                <w:szCs w:val="20"/>
                <w:lang w:eastAsia="fr-FR"/>
              </w:rPr>
              <w:t>du</w:t>
            </w:r>
            <w:r w:rsidRPr="0097258B">
              <w:rPr>
                <w:rFonts w:ascii="Times New Roman" w:eastAsia="Arial" w:hAnsi="Times New Roman"/>
                <w:color w:val="000000" w:themeColor="text1"/>
                <w:sz w:val="20"/>
                <w:szCs w:val="20"/>
                <w:lang w:eastAsia="fr-FR"/>
              </w:rPr>
              <w:t xml:space="preserve"> </w:t>
            </w:r>
            <w:r w:rsidRPr="0097258B">
              <w:rPr>
                <w:rFonts w:ascii="Times New Roman" w:eastAsia="Arial" w:hAnsi="Times New Roman"/>
                <w:color w:val="000000" w:themeColor="text1"/>
                <w:spacing w:val="1"/>
                <w:sz w:val="20"/>
                <w:szCs w:val="20"/>
                <w:lang w:eastAsia="fr-FR"/>
              </w:rPr>
              <w:t>drainage na</w:t>
            </w:r>
            <w:r w:rsidRPr="0097258B">
              <w:rPr>
                <w:rFonts w:ascii="Times New Roman" w:eastAsia="Arial" w:hAnsi="Times New Roman"/>
                <w:color w:val="000000" w:themeColor="text1"/>
                <w:spacing w:val="-2"/>
                <w:sz w:val="20"/>
                <w:szCs w:val="20"/>
                <w:lang w:eastAsia="fr-FR"/>
              </w:rPr>
              <w:t>t</w:t>
            </w:r>
            <w:r w:rsidRPr="0097258B">
              <w:rPr>
                <w:rFonts w:ascii="Times New Roman" w:eastAsia="Arial" w:hAnsi="Times New Roman"/>
                <w:color w:val="000000" w:themeColor="text1"/>
                <w:spacing w:val="1"/>
                <w:sz w:val="20"/>
                <w:szCs w:val="20"/>
                <w:lang w:eastAsia="fr-FR"/>
              </w:rPr>
              <w:t>u</w:t>
            </w:r>
            <w:r w:rsidRPr="0097258B">
              <w:rPr>
                <w:rFonts w:ascii="Times New Roman" w:eastAsia="Arial" w:hAnsi="Times New Roman"/>
                <w:color w:val="000000" w:themeColor="text1"/>
                <w:sz w:val="20"/>
                <w:szCs w:val="20"/>
                <w:lang w:eastAsia="fr-FR"/>
              </w:rPr>
              <w:t>r</w:t>
            </w:r>
            <w:r w:rsidRPr="0097258B">
              <w:rPr>
                <w:rFonts w:ascii="Times New Roman" w:eastAsia="Arial" w:hAnsi="Times New Roman"/>
                <w:color w:val="000000" w:themeColor="text1"/>
                <w:spacing w:val="1"/>
                <w:sz w:val="20"/>
                <w:szCs w:val="20"/>
                <w:lang w:eastAsia="fr-FR"/>
              </w:rPr>
              <w:t>e</w:t>
            </w:r>
            <w:r w:rsidRPr="0097258B">
              <w:rPr>
                <w:rFonts w:ascii="Times New Roman" w:eastAsia="Arial" w:hAnsi="Times New Roman"/>
                <w:color w:val="000000" w:themeColor="text1"/>
                <w:sz w:val="20"/>
                <w:szCs w:val="20"/>
                <w:lang w:eastAsia="fr-FR"/>
              </w:rPr>
              <w:t xml:space="preserve">l </w:t>
            </w:r>
            <w:r w:rsidRPr="0097258B">
              <w:rPr>
                <w:rFonts w:ascii="Times New Roman" w:eastAsia="Arial" w:hAnsi="Times New Roman"/>
                <w:color w:val="000000" w:themeColor="text1"/>
                <w:spacing w:val="1"/>
                <w:sz w:val="20"/>
                <w:szCs w:val="20"/>
                <w:lang w:eastAsia="fr-FR"/>
              </w:rPr>
              <w:t>d</w:t>
            </w:r>
            <w:r w:rsidRPr="0097258B">
              <w:rPr>
                <w:rFonts w:ascii="Times New Roman" w:eastAsia="Arial" w:hAnsi="Times New Roman"/>
                <w:color w:val="000000" w:themeColor="text1"/>
                <w:sz w:val="20"/>
                <w:szCs w:val="20"/>
                <w:lang w:eastAsia="fr-FR"/>
              </w:rPr>
              <w:t xml:space="preserve">e </w:t>
            </w:r>
            <w:r w:rsidRPr="0097258B">
              <w:rPr>
                <w:rFonts w:ascii="Times New Roman" w:eastAsia="Arial" w:hAnsi="Times New Roman"/>
                <w:color w:val="000000" w:themeColor="text1"/>
                <w:spacing w:val="-2"/>
                <w:sz w:val="20"/>
                <w:szCs w:val="20"/>
                <w:lang w:eastAsia="fr-FR"/>
              </w:rPr>
              <w:t>l</w:t>
            </w:r>
            <w:r w:rsidRPr="0097258B">
              <w:rPr>
                <w:rFonts w:ascii="Times New Roman" w:eastAsia="Arial" w:hAnsi="Times New Roman"/>
                <w:color w:val="000000" w:themeColor="text1"/>
                <w:spacing w:val="1"/>
                <w:sz w:val="20"/>
                <w:szCs w:val="20"/>
                <w:lang w:eastAsia="fr-FR"/>
              </w:rPr>
              <w:t>’é</w:t>
            </w:r>
            <w:r w:rsidRPr="0097258B">
              <w:rPr>
                <w:rFonts w:ascii="Times New Roman" w:eastAsia="Arial" w:hAnsi="Times New Roman"/>
                <w:color w:val="000000" w:themeColor="text1"/>
                <w:spacing w:val="-1"/>
                <w:sz w:val="20"/>
                <w:szCs w:val="20"/>
                <w:lang w:eastAsia="fr-FR"/>
              </w:rPr>
              <w:t>c</w:t>
            </w:r>
            <w:r w:rsidRPr="0097258B">
              <w:rPr>
                <w:rFonts w:ascii="Times New Roman" w:eastAsia="Arial" w:hAnsi="Times New Roman"/>
                <w:color w:val="000000" w:themeColor="text1"/>
                <w:spacing w:val="1"/>
                <w:sz w:val="20"/>
                <w:szCs w:val="20"/>
                <w:lang w:eastAsia="fr-FR"/>
              </w:rPr>
              <w:t>ou</w:t>
            </w:r>
            <w:r w:rsidRPr="0097258B">
              <w:rPr>
                <w:rFonts w:ascii="Times New Roman" w:eastAsia="Arial" w:hAnsi="Times New Roman"/>
                <w:color w:val="000000" w:themeColor="text1"/>
                <w:spacing w:val="-2"/>
                <w:sz w:val="20"/>
                <w:szCs w:val="20"/>
                <w:lang w:eastAsia="fr-FR"/>
              </w:rPr>
              <w:t>l</w:t>
            </w:r>
            <w:r w:rsidRPr="0097258B">
              <w:rPr>
                <w:rFonts w:ascii="Times New Roman" w:eastAsia="Arial" w:hAnsi="Times New Roman"/>
                <w:color w:val="000000" w:themeColor="text1"/>
                <w:spacing w:val="1"/>
                <w:sz w:val="20"/>
                <w:szCs w:val="20"/>
                <w:lang w:eastAsia="fr-FR"/>
              </w:rPr>
              <w:t>em</w:t>
            </w:r>
            <w:r w:rsidRPr="0097258B">
              <w:rPr>
                <w:rFonts w:ascii="Times New Roman" w:eastAsia="Arial" w:hAnsi="Times New Roman"/>
                <w:color w:val="000000" w:themeColor="text1"/>
                <w:spacing w:val="-2"/>
                <w:sz w:val="20"/>
                <w:szCs w:val="20"/>
                <w:lang w:eastAsia="fr-FR"/>
              </w:rPr>
              <w:t>e</w:t>
            </w:r>
            <w:r w:rsidRPr="0097258B">
              <w:rPr>
                <w:rFonts w:ascii="Times New Roman" w:eastAsia="Arial" w:hAnsi="Times New Roman"/>
                <w:color w:val="000000" w:themeColor="text1"/>
                <w:spacing w:val="1"/>
                <w:sz w:val="20"/>
                <w:szCs w:val="20"/>
                <w:lang w:eastAsia="fr-FR"/>
              </w:rPr>
              <w:t>n</w:t>
            </w:r>
            <w:r w:rsidRPr="0097258B">
              <w:rPr>
                <w:rFonts w:ascii="Times New Roman" w:eastAsia="Arial" w:hAnsi="Times New Roman"/>
                <w:color w:val="000000" w:themeColor="text1"/>
                <w:sz w:val="20"/>
                <w:szCs w:val="20"/>
                <w:lang w:eastAsia="fr-FR"/>
              </w:rPr>
              <w:t xml:space="preserve">t </w:t>
            </w:r>
            <w:r w:rsidRPr="0097258B">
              <w:rPr>
                <w:rFonts w:ascii="Times New Roman" w:eastAsia="Arial" w:hAnsi="Times New Roman"/>
                <w:color w:val="000000" w:themeColor="text1"/>
                <w:spacing w:val="1"/>
                <w:sz w:val="20"/>
                <w:szCs w:val="20"/>
                <w:lang w:eastAsia="fr-FR"/>
              </w:rPr>
              <w:t>de</w:t>
            </w:r>
            <w:r w:rsidRPr="0097258B">
              <w:rPr>
                <w:rFonts w:ascii="Times New Roman" w:eastAsia="Arial" w:hAnsi="Times New Roman"/>
                <w:color w:val="000000" w:themeColor="text1"/>
                <w:sz w:val="20"/>
                <w:szCs w:val="20"/>
                <w:lang w:eastAsia="fr-FR"/>
              </w:rPr>
              <w:t>s</w:t>
            </w:r>
            <w:r w:rsidRPr="0097258B">
              <w:rPr>
                <w:rFonts w:ascii="Times New Roman" w:eastAsia="Arial" w:hAnsi="Times New Roman"/>
                <w:color w:val="000000" w:themeColor="text1"/>
                <w:spacing w:val="-1"/>
                <w:sz w:val="20"/>
                <w:szCs w:val="20"/>
                <w:lang w:eastAsia="fr-FR"/>
              </w:rPr>
              <w:t xml:space="preserve"> </w:t>
            </w:r>
            <w:r w:rsidRPr="0097258B">
              <w:rPr>
                <w:rFonts w:ascii="Times New Roman" w:eastAsia="Arial" w:hAnsi="Times New Roman"/>
                <w:color w:val="000000" w:themeColor="text1"/>
                <w:spacing w:val="1"/>
                <w:sz w:val="20"/>
                <w:szCs w:val="20"/>
                <w:lang w:eastAsia="fr-FR"/>
              </w:rPr>
              <w:t>eau</w:t>
            </w:r>
            <w:r w:rsidRPr="0097258B">
              <w:rPr>
                <w:rFonts w:ascii="Times New Roman" w:eastAsia="Arial" w:hAnsi="Times New Roman"/>
                <w:color w:val="000000" w:themeColor="text1"/>
                <w:sz w:val="20"/>
                <w:szCs w:val="20"/>
                <w:lang w:eastAsia="fr-FR"/>
              </w:rPr>
              <w:t>x</w:t>
            </w:r>
          </w:p>
        </w:tc>
        <w:tc>
          <w:tcPr>
            <w:tcW w:w="4111" w:type="dxa"/>
            <w:tcBorders>
              <w:top w:val="single" w:sz="4" w:space="0" w:color="auto"/>
              <w:left w:val="single" w:sz="4" w:space="0" w:color="auto"/>
              <w:bottom w:val="single" w:sz="4" w:space="0" w:color="auto"/>
              <w:right w:val="single" w:sz="4" w:space="0" w:color="auto"/>
            </w:tcBorders>
            <w:vAlign w:val="center"/>
          </w:tcPr>
          <w:p w14:paraId="1435F32D" w14:textId="77777777" w:rsidR="008F35C9" w:rsidRPr="0097258B" w:rsidRDefault="008F35C9" w:rsidP="00E20250">
            <w:pPr>
              <w:spacing w:before="1" w:after="0" w:line="240" w:lineRule="auto"/>
              <w:jc w:val="both"/>
              <w:rPr>
                <w:rFonts w:ascii="Times New Roman" w:eastAsia="Times New Roman" w:hAnsi="Times New Roman"/>
                <w:color w:val="000000" w:themeColor="text1"/>
                <w:sz w:val="20"/>
                <w:szCs w:val="20"/>
                <w:lang w:eastAsia="fr-FR"/>
              </w:rPr>
            </w:pPr>
          </w:p>
          <w:p w14:paraId="74BEC988" w14:textId="77777777" w:rsidR="008F35C9" w:rsidRPr="0097258B" w:rsidRDefault="008F35C9" w:rsidP="00E20250">
            <w:pPr>
              <w:spacing w:after="0" w:line="240" w:lineRule="auto"/>
              <w:jc w:val="both"/>
              <w:rPr>
                <w:rFonts w:ascii="Times New Roman" w:eastAsia="Arial" w:hAnsi="Times New Roman"/>
                <w:i/>
                <w:iCs/>
                <w:color w:val="000000" w:themeColor="text1"/>
                <w:sz w:val="20"/>
                <w:szCs w:val="20"/>
                <w:lang w:eastAsia="fr-FR"/>
              </w:rPr>
            </w:pPr>
            <w:r w:rsidRPr="0097258B">
              <w:rPr>
                <w:rFonts w:ascii="Times New Roman" w:eastAsia="Arial" w:hAnsi="Times New Roman"/>
                <w:color w:val="000000" w:themeColor="text1"/>
                <w:sz w:val="20"/>
                <w:szCs w:val="20"/>
                <w:lang w:eastAsia="fr-FR"/>
              </w:rPr>
              <w:t>No</w:t>
            </w:r>
            <w:r w:rsidRPr="0097258B">
              <w:rPr>
                <w:rFonts w:ascii="Times New Roman" w:eastAsia="Arial" w:hAnsi="Times New Roman"/>
                <w:color w:val="000000" w:themeColor="text1"/>
                <w:spacing w:val="1"/>
                <w:sz w:val="20"/>
                <w:szCs w:val="20"/>
                <w:lang w:eastAsia="fr-FR"/>
              </w:rPr>
              <w:t>mb</w:t>
            </w:r>
            <w:r w:rsidRPr="0097258B">
              <w:rPr>
                <w:rFonts w:ascii="Times New Roman" w:eastAsia="Arial" w:hAnsi="Times New Roman"/>
                <w:color w:val="000000" w:themeColor="text1"/>
                <w:sz w:val="20"/>
                <w:szCs w:val="20"/>
                <w:lang w:eastAsia="fr-FR"/>
              </w:rPr>
              <w:t>re</w:t>
            </w:r>
            <w:r w:rsidRPr="0097258B">
              <w:rPr>
                <w:rFonts w:ascii="Times New Roman" w:eastAsia="Arial" w:hAnsi="Times New Roman"/>
                <w:color w:val="000000" w:themeColor="text1"/>
                <w:spacing w:val="-1"/>
                <w:sz w:val="20"/>
                <w:szCs w:val="20"/>
                <w:lang w:eastAsia="fr-FR"/>
              </w:rPr>
              <w:t xml:space="preserve"> </w:t>
            </w:r>
            <w:r w:rsidRPr="0097258B">
              <w:rPr>
                <w:rFonts w:ascii="Times New Roman" w:eastAsia="Arial" w:hAnsi="Times New Roman"/>
                <w:color w:val="000000" w:themeColor="text1"/>
                <w:spacing w:val="1"/>
                <w:sz w:val="20"/>
                <w:szCs w:val="20"/>
                <w:lang w:eastAsia="fr-FR"/>
              </w:rPr>
              <w:t>d</w:t>
            </w:r>
            <w:r w:rsidRPr="0097258B">
              <w:rPr>
                <w:rFonts w:ascii="Times New Roman" w:eastAsia="Arial" w:hAnsi="Times New Roman"/>
                <w:color w:val="000000" w:themeColor="text1"/>
                <w:sz w:val="20"/>
                <w:szCs w:val="20"/>
                <w:lang w:eastAsia="fr-FR"/>
              </w:rPr>
              <w:t>e</w:t>
            </w:r>
            <w:r w:rsidRPr="0097258B">
              <w:rPr>
                <w:rFonts w:ascii="Times New Roman" w:eastAsia="Arial" w:hAnsi="Times New Roman"/>
                <w:color w:val="000000" w:themeColor="text1"/>
                <w:spacing w:val="-1"/>
                <w:sz w:val="20"/>
                <w:szCs w:val="20"/>
                <w:lang w:eastAsia="fr-FR"/>
              </w:rPr>
              <w:t xml:space="preserve"> points bas n’obéissant plus à l’écoulement naturel des eaux </w:t>
            </w:r>
          </w:p>
        </w:tc>
        <w:tc>
          <w:tcPr>
            <w:tcW w:w="1370" w:type="dxa"/>
            <w:tcBorders>
              <w:top w:val="single" w:sz="4" w:space="0" w:color="auto"/>
              <w:left w:val="single" w:sz="4" w:space="0" w:color="auto"/>
              <w:bottom w:val="single" w:sz="4" w:space="0" w:color="auto"/>
              <w:right w:val="single" w:sz="4" w:space="0" w:color="auto"/>
            </w:tcBorders>
            <w:vAlign w:val="center"/>
            <w:hideMark/>
          </w:tcPr>
          <w:p w14:paraId="56464B7C" w14:textId="77777777" w:rsidR="008F35C9" w:rsidRPr="0097258B" w:rsidRDefault="008F35C9"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Mensuelle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1CAAF3C"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Entreprises</w:t>
            </w:r>
          </w:p>
        </w:tc>
        <w:tc>
          <w:tcPr>
            <w:tcW w:w="1488" w:type="dxa"/>
            <w:tcBorders>
              <w:top w:val="single" w:sz="4" w:space="0" w:color="auto"/>
              <w:left w:val="single" w:sz="4" w:space="0" w:color="auto"/>
              <w:bottom w:val="single" w:sz="4" w:space="0" w:color="auto"/>
              <w:right w:val="single" w:sz="4" w:space="0" w:color="auto"/>
            </w:tcBorders>
            <w:vAlign w:val="center"/>
            <w:hideMark/>
          </w:tcPr>
          <w:p w14:paraId="37B16CCF"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2CA81D23"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CRSE</w:t>
            </w:r>
          </w:p>
        </w:tc>
      </w:tr>
      <w:tr w:rsidR="00BD1A2F" w:rsidRPr="009B46E2" w14:paraId="51803FC3" w14:textId="77777777" w:rsidTr="00FD308E">
        <w:trPr>
          <w:gridAfter w:val="1"/>
          <w:wAfter w:w="8" w:type="dxa"/>
          <w:trHeight w:val="431"/>
        </w:trPr>
        <w:tc>
          <w:tcPr>
            <w:tcW w:w="1580" w:type="dxa"/>
            <w:vMerge/>
            <w:tcBorders>
              <w:top w:val="single" w:sz="4" w:space="0" w:color="auto"/>
              <w:left w:val="single" w:sz="4" w:space="0" w:color="auto"/>
              <w:bottom w:val="single" w:sz="4" w:space="0" w:color="auto"/>
              <w:right w:val="single" w:sz="4" w:space="0" w:color="auto"/>
            </w:tcBorders>
            <w:vAlign w:val="center"/>
            <w:hideMark/>
          </w:tcPr>
          <w:p w14:paraId="6FF1BEA9" w14:textId="77777777" w:rsidR="008F35C9" w:rsidRPr="0097258B" w:rsidRDefault="008F35C9" w:rsidP="00E20250">
            <w:pPr>
              <w:spacing w:after="0" w:line="240" w:lineRule="auto"/>
              <w:rPr>
                <w:rFonts w:ascii="Times New Roman" w:hAnsi="Times New Roman"/>
                <w:b/>
                <w:bCs/>
                <w:color w:val="000000" w:themeColor="text1"/>
                <w:sz w:val="20"/>
                <w:szCs w:val="20"/>
              </w:rPr>
            </w:pPr>
          </w:p>
        </w:tc>
        <w:tc>
          <w:tcPr>
            <w:tcW w:w="3093" w:type="dxa"/>
            <w:tcBorders>
              <w:top w:val="single" w:sz="4" w:space="0" w:color="auto"/>
              <w:left w:val="single" w:sz="4" w:space="0" w:color="auto"/>
              <w:bottom w:val="single" w:sz="4" w:space="0" w:color="auto"/>
              <w:right w:val="single" w:sz="4" w:space="0" w:color="auto"/>
            </w:tcBorders>
            <w:vAlign w:val="center"/>
            <w:hideMark/>
          </w:tcPr>
          <w:p w14:paraId="282C587A" w14:textId="48272FBD" w:rsidR="008F35C9" w:rsidRPr="0097258B" w:rsidRDefault="008F35C9" w:rsidP="00E20250">
            <w:pPr>
              <w:spacing w:after="0" w:line="240" w:lineRule="auto"/>
              <w:jc w:val="both"/>
              <w:rPr>
                <w:rFonts w:ascii="Times New Roman" w:eastAsia="Arial" w:hAnsi="Times New Roman"/>
                <w:color w:val="000000" w:themeColor="text1"/>
                <w:spacing w:val="-4"/>
                <w:sz w:val="20"/>
                <w:szCs w:val="20"/>
                <w:lang w:eastAsia="fr-FR"/>
              </w:rPr>
            </w:pPr>
            <w:r w:rsidRPr="0097258B">
              <w:rPr>
                <w:rFonts w:ascii="Times New Roman" w:eastAsia="Arial" w:hAnsi="Times New Roman"/>
                <w:color w:val="000000" w:themeColor="text1"/>
                <w:spacing w:val="-4"/>
                <w:sz w:val="20"/>
                <w:szCs w:val="20"/>
                <w:lang w:eastAsia="fr-FR"/>
              </w:rPr>
              <w:t>Pollution</w:t>
            </w:r>
            <w:r w:rsidR="00A21ABA" w:rsidRPr="0097258B">
              <w:rPr>
                <w:rFonts w:ascii="Times New Roman" w:eastAsia="Arial" w:hAnsi="Times New Roman"/>
                <w:color w:val="000000" w:themeColor="text1"/>
                <w:spacing w:val="-4"/>
                <w:sz w:val="20"/>
                <w:szCs w:val="20"/>
                <w:lang w:eastAsia="fr-FR"/>
              </w:rPr>
              <w:t xml:space="preserve"> </w:t>
            </w:r>
            <w:r w:rsidR="00F732D6" w:rsidRPr="0097258B">
              <w:rPr>
                <w:rFonts w:ascii="Times New Roman" w:eastAsia="Arial" w:hAnsi="Times New Roman"/>
                <w:color w:val="000000" w:themeColor="text1"/>
                <w:spacing w:val="-4"/>
                <w:sz w:val="20"/>
                <w:szCs w:val="20"/>
                <w:lang w:eastAsia="fr-FR"/>
              </w:rPr>
              <w:t>(suivi de la qualité de l’eau)</w:t>
            </w:r>
          </w:p>
        </w:tc>
        <w:tc>
          <w:tcPr>
            <w:tcW w:w="4111" w:type="dxa"/>
            <w:tcBorders>
              <w:top w:val="single" w:sz="4" w:space="0" w:color="auto"/>
              <w:left w:val="single" w:sz="4" w:space="0" w:color="auto"/>
              <w:bottom w:val="single" w:sz="4" w:space="0" w:color="auto"/>
              <w:right w:val="single" w:sz="4" w:space="0" w:color="auto"/>
            </w:tcBorders>
            <w:vAlign w:val="center"/>
            <w:hideMark/>
          </w:tcPr>
          <w:p w14:paraId="484AF632" w14:textId="77777777" w:rsidR="008F35C9" w:rsidRPr="0097258B" w:rsidRDefault="008F35C9" w:rsidP="00E20250">
            <w:pPr>
              <w:spacing w:after="0" w:line="240" w:lineRule="auto"/>
              <w:jc w:val="both"/>
              <w:rPr>
                <w:rFonts w:ascii="Times New Roman" w:eastAsia="Times New Roman" w:hAnsi="Times New Roman"/>
                <w:i/>
                <w:iCs/>
                <w:color w:val="000000" w:themeColor="text1"/>
                <w:sz w:val="20"/>
                <w:szCs w:val="20"/>
                <w:lang w:eastAsia="fr-FR"/>
              </w:rPr>
            </w:pPr>
            <w:r w:rsidRPr="0097258B">
              <w:rPr>
                <w:rFonts w:ascii="Times New Roman" w:eastAsia="Times New Roman" w:hAnsi="Times New Roman"/>
                <w:color w:val="000000" w:themeColor="text1"/>
                <w:sz w:val="20"/>
                <w:szCs w:val="20"/>
                <w:lang w:eastAsia="fr-FR"/>
              </w:rPr>
              <w:t>Paramètres physico-chimiques (</w:t>
            </w:r>
            <w:r w:rsidRPr="0097258B">
              <w:rPr>
                <w:rFonts w:ascii="Times New Roman" w:eastAsia="Arial" w:hAnsi="Times New Roman"/>
                <w:color w:val="000000" w:themeColor="text1"/>
                <w:sz w:val="20"/>
                <w:szCs w:val="20"/>
                <w:lang w:eastAsia="fr-FR"/>
              </w:rPr>
              <w:t>(</w:t>
            </w:r>
            <w:r w:rsidRPr="0097258B">
              <w:rPr>
                <w:rFonts w:ascii="Times New Roman" w:eastAsia="Arial" w:hAnsi="Times New Roman"/>
                <w:color w:val="000000" w:themeColor="text1"/>
                <w:spacing w:val="-3"/>
                <w:sz w:val="20"/>
                <w:szCs w:val="20"/>
                <w:lang w:eastAsia="fr-FR"/>
              </w:rPr>
              <w:t>M</w:t>
            </w:r>
            <w:r w:rsidRPr="0097258B">
              <w:rPr>
                <w:rFonts w:ascii="Times New Roman" w:eastAsia="Arial" w:hAnsi="Times New Roman"/>
                <w:color w:val="000000" w:themeColor="text1"/>
                <w:sz w:val="20"/>
                <w:szCs w:val="20"/>
                <w:lang w:eastAsia="fr-FR"/>
              </w:rPr>
              <w:t>ES,</w:t>
            </w:r>
            <w:r w:rsidRPr="0097258B">
              <w:rPr>
                <w:rFonts w:ascii="Times New Roman" w:eastAsia="Arial" w:hAnsi="Times New Roman"/>
                <w:color w:val="000000" w:themeColor="text1"/>
                <w:spacing w:val="-9"/>
                <w:sz w:val="20"/>
                <w:szCs w:val="20"/>
                <w:lang w:eastAsia="fr-FR"/>
              </w:rPr>
              <w:t xml:space="preserve"> </w:t>
            </w:r>
            <w:r w:rsidRPr="0097258B">
              <w:rPr>
                <w:rFonts w:ascii="Times New Roman" w:eastAsia="Arial" w:hAnsi="Times New Roman"/>
                <w:color w:val="000000" w:themeColor="text1"/>
                <w:sz w:val="20"/>
                <w:szCs w:val="20"/>
                <w:lang w:eastAsia="fr-FR"/>
              </w:rPr>
              <w:t>pH,</w:t>
            </w:r>
            <w:r w:rsidRPr="0097258B">
              <w:rPr>
                <w:rFonts w:ascii="Times New Roman" w:eastAsia="Arial" w:hAnsi="Times New Roman"/>
                <w:color w:val="000000" w:themeColor="text1"/>
                <w:spacing w:val="-9"/>
                <w:sz w:val="20"/>
                <w:szCs w:val="20"/>
                <w:lang w:eastAsia="fr-FR"/>
              </w:rPr>
              <w:t xml:space="preserve"> </w:t>
            </w:r>
            <w:r w:rsidRPr="0097258B">
              <w:rPr>
                <w:rFonts w:ascii="Times New Roman" w:eastAsia="Arial" w:hAnsi="Times New Roman"/>
                <w:color w:val="000000" w:themeColor="text1"/>
                <w:sz w:val="20"/>
                <w:szCs w:val="20"/>
                <w:lang w:eastAsia="fr-FR"/>
              </w:rPr>
              <w:t>D</w:t>
            </w:r>
            <w:r w:rsidRPr="0097258B">
              <w:rPr>
                <w:rFonts w:ascii="Times New Roman" w:eastAsia="Arial" w:hAnsi="Times New Roman"/>
                <w:color w:val="000000" w:themeColor="text1"/>
                <w:spacing w:val="-1"/>
                <w:sz w:val="20"/>
                <w:szCs w:val="20"/>
                <w:lang w:eastAsia="fr-FR"/>
              </w:rPr>
              <w:t>CO</w:t>
            </w:r>
            <w:r w:rsidRPr="0097258B">
              <w:rPr>
                <w:rFonts w:ascii="Times New Roman" w:eastAsia="Arial" w:hAnsi="Times New Roman"/>
                <w:color w:val="000000" w:themeColor="text1"/>
                <w:sz w:val="20"/>
                <w:szCs w:val="20"/>
                <w:lang w:eastAsia="fr-FR"/>
              </w:rPr>
              <w:t>,</w:t>
            </w:r>
            <w:r w:rsidRPr="0097258B">
              <w:rPr>
                <w:rFonts w:ascii="Times New Roman" w:eastAsia="Arial" w:hAnsi="Times New Roman"/>
                <w:color w:val="000000" w:themeColor="text1"/>
                <w:spacing w:val="-9"/>
                <w:sz w:val="20"/>
                <w:szCs w:val="20"/>
                <w:lang w:eastAsia="fr-FR"/>
              </w:rPr>
              <w:t xml:space="preserve"> </w:t>
            </w:r>
            <w:r w:rsidRPr="0097258B">
              <w:rPr>
                <w:rFonts w:ascii="Times New Roman" w:eastAsia="Arial" w:hAnsi="Times New Roman"/>
                <w:color w:val="000000" w:themeColor="text1"/>
                <w:spacing w:val="1"/>
                <w:sz w:val="20"/>
                <w:szCs w:val="20"/>
                <w:lang w:eastAsia="fr-FR"/>
              </w:rPr>
              <w:t>h</w:t>
            </w:r>
            <w:r w:rsidRPr="0097258B">
              <w:rPr>
                <w:rFonts w:ascii="Times New Roman" w:eastAsia="Arial" w:hAnsi="Times New Roman"/>
                <w:color w:val="000000" w:themeColor="text1"/>
                <w:spacing w:val="-1"/>
                <w:sz w:val="20"/>
                <w:szCs w:val="20"/>
                <w:lang w:eastAsia="fr-FR"/>
              </w:rPr>
              <w:t>y</w:t>
            </w:r>
            <w:r w:rsidRPr="0097258B">
              <w:rPr>
                <w:rFonts w:ascii="Times New Roman" w:eastAsia="Arial" w:hAnsi="Times New Roman"/>
                <w:color w:val="000000" w:themeColor="text1"/>
                <w:spacing w:val="1"/>
                <w:sz w:val="20"/>
                <w:szCs w:val="20"/>
                <w:lang w:eastAsia="fr-FR"/>
              </w:rPr>
              <w:t>d</w:t>
            </w:r>
            <w:r w:rsidRPr="0097258B">
              <w:rPr>
                <w:rFonts w:ascii="Times New Roman" w:eastAsia="Arial" w:hAnsi="Times New Roman"/>
                <w:color w:val="000000" w:themeColor="text1"/>
                <w:sz w:val="20"/>
                <w:szCs w:val="20"/>
                <w:lang w:eastAsia="fr-FR"/>
              </w:rPr>
              <w:t>r</w:t>
            </w:r>
            <w:r w:rsidRPr="0097258B">
              <w:rPr>
                <w:rFonts w:ascii="Times New Roman" w:eastAsia="Arial" w:hAnsi="Times New Roman"/>
                <w:color w:val="000000" w:themeColor="text1"/>
                <w:spacing w:val="1"/>
                <w:sz w:val="20"/>
                <w:szCs w:val="20"/>
                <w:lang w:eastAsia="fr-FR"/>
              </w:rPr>
              <w:t>o</w:t>
            </w:r>
            <w:r w:rsidRPr="0097258B">
              <w:rPr>
                <w:rFonts w:ascii="Times New Roman" w:eastAsia="Arial" w:hAnsi="Times New Roman"/>
                <w:color w:val="000000" w:themeColor="text1"/>
                <w:spacing w:val="-1"/>
                <w:sz w:val="20"/>
                <w:szCs w:val="20"/>
                <w:lang w:eastAsia="fr-FR"/>
              </w:rPr>
              <w:t>c</w:t>
            </w:r>
            <w:r w:rsidRPr="0097258B">
              <w:rPr>
                <w:rFonts w:ascii="Times New Roman" w:eastAsia="Arial" w:hAnsi="Times New Roman"/>
                <w:color w:val="000000" w:themeColor="text1"/>
                <w:spacing w:val="1"/>
                <w:sz w:val="20"/>
                <w:szCs w:val="20"/>
                <w:lang w:eastAsia="fr-FR"/>
              </w:rPr>
              <w:t>a</w:t>
            </w:r>
            <w:r w:rsidRPr="0097258B">
              <w:rPr>
                <w:rFonts w:ascii="Times New Roman" w:eastAsia="Arial" w:hAnsi="Times New Roman"/>
                <w:color w:val="000000" w:themeColor="text1"/>
                <w:sz w:val="20"/>
                <w:szCs w:val="20"/>
                <w:lang w:eastAsia="fr-FR"/>
              </w:rPr>
              <w:t>r</w:t>
            </w:r>
            <w:r w:rsidRPr="0097258B">
              <w:rPr>
                <w:rFonts w:ascii="Times New Roman" w:eastAsia="Arial" w:hAnsi="Times New Roman"/>
                <w:color w:val="000000" w:themeColor="text1"/>
                <w:spacing w:val="1"/>
                <w:sz w:val="20"/>
                <w:szCs w:val="20"/>
                <w:lang w:eastAsia="fr-FR"/>
              </w:rPr>
              <w:t>bu</w:t>
            </w:r>
            <w:r w:rsidRPr="0097258B">
              <w:rPr>
                <w:rFonts w:ascii="Times New Roman" w:eastAsia="Arial" w:hAnsi="Times New Roman"/>
                <w:color w:val="000000" w:themeColor="text1"/>
                <w:spacing w:val="-2"/>
                <w:sz w:val="20"/>
                <w:szCs w:val="20"/>
                <w:lang w:eastAsia="fr-FR"/>
              </w:rPr>
              <w:t>r</w:t>
            </w:r>
            <w:r w:rsidRPr="0097258B">
              <w:rPr>
                <w:rFonts w:ascii="Times New Roman" w:eastAsia="Arial" w:hAnsi="Times New Roman"/>
                <w:color w:val="000000" w:themeColor="text1"/>
                <w:spacing w:val="1"/>
                <w:sz w:val="20"/>
                <w:szCs w:val="20"/>
                <w:lang w:eastAsia="fr-FR"/>
              </w:rPr>
              <w:t>es</w:t>
            </w:r>
            <w:r w:rsidRPr="0097258B">
              <w:rPr>
                <w:rFonts w:ascii="Times New Roman" w:eastAsia="Arial" w:hAnsi="Times New Roman"/>
                <w:color w:val="000000" w:themeColor="text1"/>
                <w:sz w:val="20"/>
                <w:szCs w:val="20"/>
                <w:lang w:eastAsia="fr-FR"/>
              </w:rPr>
              <w:t xml:space="preserve">, </w:t>
            </w:r>
            <w:r w:rsidRPr="0097258B">
              <w:rPr>
                <w:rFonts w:ascii="Times New Roman" w:eastAsia="Arial" w:hAnsi="Times New Roman"/>
                <w:color w:val="000000" w:themeColor="text1"/>
                <w:spacing w:val="1"/>
                <w:sz w:val="20"/>
                <w:szCs w:val="20"/>
                <w:lang w:eastAsia="fr-FR"/>
              </w:rPr>
              <w:t>g</w:t>
            </w:r>
            <w:r w:rsidRPr="0097258B">
              <w:rPr>
                <w:rFonts w:ascii="Times New Roman" w:eastAsia="Arial" w:hAnsi="Times New Roman"/>
                <w:color w:val="000000" w:themeColor="text1"/>
                <w:sz w:val="20"/>
                <w:szCs w:val="20"/>
                <w:lang w:eastAsia="fr-FR"/>
              </w:rPr>
              <w:t>r</w:t>
            </w:r>
            <w:r w:rsidRPr="0097258B">
              <w:rPr>
                <w:rFonts w:ascii="Times New Roman" w:eastAsia="Arial" w:hAnsi="Times New Roman"/>
                <w:color w:val="000000" w:themeColor="text1"/>
                <w:spacing w:val="1"/>
                <w:sz w:val="20"/>
                <w:szCs w:val="20"/>
                <w:lang w:eastAsia="fr-FR"/>
              </w:rPr>
              <w:t>ai</w:t>
            </w:r>
            <w:r w:rsidRPr="0097258B">
              <w:rPr>
                <w:rFonts w:ascii="Times New Roman" w:eastAsia="Arial" w:hAnsi="Times New Roman"/>
                <w:color w:val="000000" w:themeColor="text1"/>
                <w:spacing w:val="-1"/>
                <w:sz w:val="20"/>
                <w:szCs w:val="20"/>
                <w:lang w:eastAsia="fr-FR"/>
              </w:rPr>
              <w:t>s</w:t>
            </w:r>
            <w:r w:rsidRPr="0097258B">
              <w:rPr>
                <w:rFonts w:ascii="Times New Roman" w:eastAsia="Arial" w:hAnsi="Times New Roman"/>
                <w:color w:val="000000" w:themeColor="text1"/>
                <w:spacing w:val="1"/>
                <w:sz w:val="20"/>
                <w:szCs w:val="20"/>
                <w:lang w:eastAsia="fr-FR"/>
              </w:rPr>
              <w:t>s</w:t>
            </w:r>
            <w:r w:rsidRPr="0097258B">
              <w:rPr>
                <w:rFonts w:ascii="Times New Roman" w:eastAsia="Arial" w:hAnsi="Times New Roman"/>
                <w:color w:val="000000" w:themeColor="text1"/>
                <w:spacing w:val="-2"/>
                <w:sz w:val="20"/>
                <w:szCs w:val="20"/>
                <w:lang w:eastAsia="fr-FR"/>
              </w:rPr>
              <w:t>e</w:t>
            </w:r>
            <w:r w:rsidRPr="0097258B">
              <w:rPr>
                <w:rFonts w:ascii="Times New Roman" w:eastAsia="Arial" w:hAnsi="Times New Roman"/>
                <w:color w:val="000000" w:themeColor="text1"/>
                <w:spacing w:val="1"/>
                <w:sz w:val="20"/>
                <w:szCs w:val="20"/>
                <w:lang w:eastAsia="fr-FR"/>
              </w:rPr>
              <w:t>s, nitrates, coliformes, plomb</w:t>
            </w:r>
            <w:r w:rsidRPr="0097258B">
              <w:rPr>
                <w:rFonts w:ascii="Times New Roman" w:eastAsia="Arial" w:hAnsi="Times New Roman"/>
                <w:color w:val="000000" w:themeColor="text1"/>
                <w:sz w:val="20"/>
                <w:szCs w:val="20"/>
                <w:lang w:eastAsia="fr-FR"/>
              </w:rPr>
              <w:t xml:space="preserve">). À comparer </w:t>
            </w:r>
            <w:r w:rsidRPr="0097258B">
              <w:rPr>
                <w:rFonts w:ascii="Times New Roman" w:eastAsia="Arial" w:hAnsi="Times New Roman"/>
                <w:color w:val="000000" w:themeColor="text1"/>
                <w:spacing w:val="1"/>
                <w:sz w:val="20"/>
                <w:szCs w:val="20"/>
                <w:lang w:eastAsia="fr-FR"/>
              </w:rPr>
              <w:t>a</w:t>
            </w:r>
            <w:r w:rsidRPr="0097258B">
              <w:rPr>
                <w:rFonts w:ascii="Times New Roman" w:eastAsia="Arial" w:hAnsi="Times New Roman"/>
                <w:color w:val="000000" w:themeColor="text1"/>
                <w:spacing w:val="-1"/>
                <w:sz w:val="20"/>
                <w:szCs w:val="20"/>
                <w:lang w:eastAsia="fr-FR"/>
              </w:rPr>
              <w:t>v</w:t>
            </w:r>
            <w:r w:rsidRPr="0097258B">
              <w:rPr>
                <w:rFonts w:ascii="Times New Roman" w:eastAsia="Arial" w:hAnsi="Times New Roman"/>
                <w:color w:val="000000" w:themeColor="text1"/>
                <w:spacing w:val="1"/>
                <w:sz w:val="20"/>
                <w:szCs w:val="20"/>
                <w:lang w:eastAsia="fr-FR"/>
              </w:rPr>
              <w:t>e</w:t>
            </w:r>
            <w:r w:rsidRPr="0097258B">
              <w:rPr>
                <w:rFonts w:ascii="Times New Roman" w:eastAsia="Arial" w:hAnsi="Times New Roman"/>
                <w:color w:val="000000" w:themeColor="text1"/>
                <w:sz w:val="20"/>
                <w:szCs w:val="20"/>
                <w:lang w:eastAsia="fr-FR"/>
              </w:rPr>
              <w:t>c</w:t>
            </w:r>
            <w:r w:rsidRPr="0097258B">
              <w:rPr>
                <w:rFonts w:ascii="Times New Roman" w:eastAsia="Arial" w:hAnsi="Times New Roman"/>
                <w:color w:val="000000" w:themeColor="text1"/>
                <w:spacing w:val="-1"/>
                <w:sz w:val="20"/>
                <w:szCs w:val="20"/>
                <w:lang w:eastAsia="fr-FR"/>
              </w:rPr>
              <w:t xml:space="preserve"> </w:t>
            </w:r>
            <w:r w:rsidRPr="0097258B">
              <w:rPr>
                <w:rFonts w:ascii="Times New Roman" w:eastAsia="Arial" w:hAnsi="Times New Roman"/>
                <w:color w:val="000000" w:themeColor="text1"/>
                <w:spacing w:val="1"/>
                <w:sz w:val="20"/>
                <w:szCs w:val="20"/>
                <w:lang w:eastAsia="fr-FR"/>
              </w:rPr>
              <w:t>l</w:t>
            </w:r>
            <w:r w:rsidRPr="0097258B">
              <w:rPr>
                <w:rFonts w:ascii="Times New Roman" w:eastAsia="Arial" w:hAnsi="Times New Roman"/>
                <w:color w:val="000000" w:themeColor="text1"/>
                <w:sz w:val="20"/>
                <w:szCs w:val="20"/>
                <w:lang w:eastAsia="fr-FR"/>
              </w:rPr>
              <w:t>a</w:t>
            </w:r>
            <w:r w:rsidRPr="0097258B">
              <w:rPr>
                <w:rFonts w:ascii="Times New Roman" w:eastAsia="Arial" w:hAnsi="Times New Roman"/>
                <w:color w:val="000000" w:themeColor="text1"/>
                <w:spacing w:val="-1"/>
                <w:sz w:val="20"/>
                <w:szCs w:val="20"/>
                <w:lang w:eastAsia="fr-FR"/>
              </w:rPr>
              <w:t xml:space="preserve"> </w:t>
            </w:r>
            <w:r w:rsidRPr="0097258B">
              <w:rPr>
                <w:rFonts w:ascii="Times New Roman" w:eastAsia="Arial" w:hAnsi="Times New Roman"/>
                <w:color w:val="000000" w:themeColor="text1"/>
                <w:spacing w:val="1"/>
                <w:sz w:val="20"/>
                <w:szCs w:val="20"/>
                <w:lang w:eastAsia="fr-FR"/>
              </w:rPr>
              <w:t>no</w:t>
            </w:r>
            <w:r w:rsidRPr="0097258B">
              <w:rPr>
                <w:rFonts w:ascii="Times New Roman" w:eastAsia="Arial" w:hAnsi="Times New Roman"/>
                <w:color w:val="000000" w:themeColor="text1"/>
                <w:spacing w:val="-2"/>
                <w:sz w:val="20"/>
                <w:szCs w:val="20"/>
                <w:lang w:eastAsia="fr-FR"/>
              </w:rPr>
              <w:t>r</w:t>
            </w:r>
            <w:r w:rsidRPr="0097258B">
              <w:rPr>
                <w:rFonts w:ascii="Times New Roman" w:eastAsia="Arial" w:hAnsi="Times New Roman"/>
                <w:color w:val="000000" w:themeColor="text1"/>
                <w:spacing w:val="1"/>
                <w:sz w:val="20"/>
                <w:szCs w:val="20"/>
                <w:lang w:eastAsia="fr-FR"/>
              </w:rPr>
              <w:t>m</w:t>
            </w:r>
            <w:r w:rsidRPr="0097258B">
              <w:rPr>
                <w:rFonts w:ascii="Times New Roman" w:eastAsia="Arial" w:hAnsi="Times New Roman"/>
                <w:color w:val="000000" w:themeColor="text1"/>
                <w:sz w:val="20"/>
                <w:szCs w:val="20"/>
                <w:lang w:eastAsia="fr-FR"/>
              </w:rPr>
              <w:t>e</w:t>
            </w:r>
            <w:r w:rsidRPr="0097258B">
              <w:rPr>
                <w:rFonts w:ascii="Times New Roman" w:eastAsia="Arial" w:hAnsi="Times New Roman"/>
                <w:color w:val="000000" w:themeColor="text1"/>
                <w:spacing w:val="1"/>
                <w:sz w:val="20"/>
                <w:szCs w:val="20"/>
                <w:lang w:eastAsia="fr-FR"/>
              </w:rPr>
              <w:t xml:space="preserve"> </w:t>
            </w:r>
            <w:r w:rsidRPr="0097258B">
              <w:rPr>
                <w:rFonts w:ascii="Times New Roman" w:eastAsia="Arial" w:hAnsi="Times New Roman"/>
                <w:color w:val="000000" w:themeColor="text1"/>
                <w:sz w:val="20"/>
                <w:szCs w:val="20"/>
                <w:lang w:eastAsia="fr-FR"/>
              </w:rPr>
              <w:t>NS</w:t>
            </w:r>
            <w:r w:rsidRPr="0097258B">
              <w:rPr>
                <w:rFonts w:ascii="Times New Roman" w:eastAsia="Arial" w:hAnsi="Times New Roman"/>
                <w:color w:val="000000" w:themeColor="text1"/>
                <w:spacing w:val="-2"/>
                <w:sz w:val="20"/>
                <w:szCs w:val="20"/>
                <w:lang w:eastAsia="fr-FR"/>
              </w:rPr>
              <w:t xml:space="preserve"> </w:t>
            </w:r>
            <w:r w:rsidRPr="0097258B">
              <w:rPr>
                <w:rFonts w:ascii="Times New Roman" w:eastAsia="Arial" w:hAnsi="Times New Roman"/>
                <w:color w:val="000000" w:themeColor="text1"/>
                <w:spacing w:val="1"/>
                <w:sz w:val="20"/>
                <w:szCs w:val="20"/>
                <w:lang w:eastAsia="fr-FR"/>
              </w:rPr>
              <w:t>0</w:t>
            </w:r>
            <w:r w:rsidRPr="0097258B">
              <w:rPr>
                <w:rFonts w:ascii="Times New Roman" w:eastAsia="Arial" w:hAnsi="Times New Roman"/>
                <w:color w:val="000000" w:themeColor="text1"/>
                <w:spacing w:val="2"/>
                <w:sz w:val="20"/>
                <w:szCs w:val="20"/>
                <w:lang w:eastAsia="fr-FR"/>
              </w:rPr>
              <w:t>5</w:t>
            </w:r>
            <w:r w:rsidRPr="0097258B">
              <w:rPr>
                <w:rFonts w:ascii="Times New Roman" w:eastAsia="Arial" w:hAnsi="Times New Roman"/>
                <w:color w:val="000000" w:themeColor="text1"/>
                <w:sz w:val="20"/>
                <w:szCs w:val="20"/>
                <w:lang w:eastAsia="fr-FR"/>
              </w:rPr>
              <w:t>-</w:t>
            </w:r>
            <w:r w:rsidRPr="0097258B">
              <w:rPr>
                <w:rFonts w:ascii="Times New Roman" w:eastAsia="Arial" w:hAnsi="Times New Roman"/>
                <w:color w:val="000000" w:themeColor="text1"/>
                <w:spacing w:val="1"/>
                <w:sz w:val="20"/>
                <w:szCs w:val="20"/>
                <w:lang w:eastAsia="fr-FR"/>
              </w:rPr>
              <w:t>06</w:t>
            </w:r>
            <w:r w:rsidRPr="0097258B">
              <w:rPr>
                <w:rFonts w:ascii="Times New Roman" w:eastAsia="Arial" w:hAnsi="Times New Roman"/>
                <w:color w:val="000000" w:themeColor="text1"/>
                <w:sz w:val="20"/>
                <w:szCs w:val="20"/>
                <w:lang w:eastAsia="fr-FR"/>
              </w:rPr>
              <w:t>1)</w:t>
            </w:r>
          </w:p>
        </w:tc>
        <w:tc>
          <w:tcPr>
            <w:tcW w:w="1370" w:type="dxa"/>
            <w:tcBorders>
              <w:top w:val="single" w:sz="4" w:space="0" w:color="auto"/>
              <w:left w:val="single" w:sz="4" w:space="0" w:color="auto"/>
              <w:bottom w:val="single" w:sz="4" w:space="0" w:color="auto"/>
              <w:right w:val="single" w:sz="4" w:space="0" w:color="auto"/>
            </w:tcBorders>
            <w:vAlign w:val="center"/>
            <w:hideMark/>
          </w:tcPr>
          <w:p w14:paraId="7ED3A6A4" w14:textId="1B6349ED" w:rsidR="008F35C9" w:rsidRPr="0097258B" w:rsidRDefault="00A1085F"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Trimestrielle</w:t>
            </w:r>
            <w:r w:rsidR="00F732D6" w:rsidRPr="0097258B">
              <w:rPr>
                <w:rFonts w:ascii="Times New Roman" w:hAnsi="Times New Roman"/>
                <w:color w:val="000000" w:themeColor="text1"/>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8ACD08D" w14:textId="4B17D407" w:rsidR="008F35C9" w:rsidRPr="0097258B" w:rsidRDefault="00A1085F"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Bureau agréé</w:t>
            </w:r>
          </w:p>
        </w:tc>
        <w:tc>
          <w:tcPr>
            <w:tcW w:w="1488" w:type="dxa"/>
            <w:tcBorders>
              <w:top w:val="single" w:sz="4" w:space="0" w:color="auto"/>
              <w:left w:val="single" w:sz="4" w:space="0" w:color="auto"/>
              <w:bottom w:val="single" w:sz="4" w:space="0" w:color="auto"/>
              <w:right w:val="single" w:sz="4" w:space="0" w:color="auto"/>
            </w:tcBorders>
            <w:vAlign w:val="center"/>
            <w:hideMark/>
          </w:tcPr>
          <w:p w14:paraId="38C96526" w14:textId="6C2DDC98" w:rsidR="008F35C9" w:rsidRPr="0097258B" w:rsidRDefault="00A1085F"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13A37ED" w14:textId="77777777" w:rsidR="008F35C9" w:rsidRPr="0097258B" w:rsidRDefault="008F35C9" w:rsidP="00E20250">
            <w:pPr>
              <w:spacing w:after="0" w:line="240" w:lineRule="auto"/>
              <w:rPr>
                <w:rFonts w:ascii="Times New Roman" w:eastAsia="Times New Roman" w:hAnsi="Times New Roman"/>
                <w:color w:val="000000" w:themeColor="text1"/>
                <w:sz w:val="20"/>
                <w:szCs w:val="20"/>
                <w:lang w:eastAsia="fr-FR"/>
              </w:rPr>
            </w:pPr>
          </w:p>
        </w:tc>
      </w:tr>
      <w:tr w:rsidR="00BD1A2F" w:rsidRPr="009B46E2" w14:paraId="77998D6C" w14:textId="77777777" w:rsidTr="00FD308E">
        <w:trPr>
          <w:gridAfter w:val="1"/>
          <w:wAfter w:w="8" w:type="dxa"/>
        </w:trPr>
        <w:tc>
          <w:tcPr>
            <w:tcW w:w="1580" w:type="dxa"/>
            <w:tcBorders>
              <w:top w:val="single" w:sz="4" w:space="0" w:color="auto"/>
              <w:left w:val="single" w:sz="4" w:space="0" w:color="auto"/>
              <w:bottom w:val="single" w:sz="4" w:space="0" w:color="auto"/>
              <w:right w:val="single" w:sz="4" w:space="0" w:color="auto"/>
            </w:tcBorders>
            <w:vAlign w:val="center"/>
            <w:hideMark/>
          </w:tcPr>
          <w:p w14:paraId="401AEC50" w14:textId="77777777" w:rsidR="008F35C9" w:rsidRPr="0097258B" w:rsidRDefault="008F35C9" w:rsidP="00E20250">
            <w:pPr>
              <w:autoSpaceDE w:val="0"/>
              <w:autoSpaceDN w:val="0"/>
              <w:adjustRightInd w:val="0"/>
              <w:spacing w:after="0" w:line="240" w:lineRule="auto"/>
              <w:rPr>
                <w:rFonts w:ascii="Times New Roman" w:hAnsi="Times New Roman"/>
                <w:b/>
                <w:bCs/>
                <w:color w:val="000000" w:themeColor="text1"/>
                <w:sz w:val="20"/>
                <w:szCs w:val="20"/>
              </w:rPr>
            </w:pPr>
            <w:r w:rsidRPr="0097258B">
              <w:rPr>
                <w:rFonts w:ascii="Times New Roman" w:hAnsi="Times New Roman"/>
                <w:b/>
                <w:bCs/>
                <w:color w:val="000000" w:themeColor="text1"/>
                <w:sz w:val="20"/>
                <w:szCs w:val="20"/>
              </w:rPr>
              <w:t>Flore</w:t>
            </w:r>
          </w:p>
        </w:tc>
        <w:tc>
          <w:tcPr>
            <w:tcW w:w="3093" w:type="dxa"/>
            <w:tcBorders>
              <w:top w:val="single" w:sz="4" w:space="0" w:color="auto"/>
              <w:left w:val="single" w:sz="4" w:space="0" w:color="auto"/>
              <w:bottom w:val="single" w:sz="4" w:space="0" w:color="auto"/>
              <w:right w:val="single" w:sz="4" w:space="0" w:color="auto"/>
            </w:tcBorders>
            <w:vAlign w:val="center"/>
            <w:hideMark/>
          </w:tcPr>
          <w:p w14:paraId="63E8960C" w14:textId="77777777" w:rsidR="008F35C9" w:rsidRPr="0097258B" w:rsidRDefault="008F35C9"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Suivi de la réussite des reboisements </w:t>
            </w:r>
          </w:p>
        </w:tc>
        <w:tc>
          <w:tcPr>
            <w:tcW w:w="4111" w:type="dxa"/>
            <w:tcBorders>
              <w:top w:val="single" w:sz="4" w:space="0" w:color="auto"/>
              <w:left w:val="single" w:sz="4" w:space="0" w:color="auto"/>
              <w:bottom w:val="single" w:sz="4" w:space="0" w:color="auto"/>
              <w:right w:val="single" w:sz="4" w:space="0" w:color="auto"/>
            </w:tcBorders>
            <w:vAlign w:val="center"/>
            <w:hideMark/>
          </w:tcPr>
          <w:p w14:paraId="6CD13428" w14:textId="77777777" w:rsidR="008F35C9" w:rsidRPr="0097258B" w:rsidRDefault="008F35C9" w:rsidP="00E20250">
            <w:pPr>
              <w:autoSpaceDE w:val="0"/>
              <w:autoSpaceDN w:val="0"/>
              <w:adjustRightInd w:val="0"/>
              <w:spacing w:after="0" w:line="240" w:lineRule="auto"/>
              <w:jc w:val="both"/>
              <w:rPr>
                <w:rFonts w:ascii="Times New Roman" w:eastAsia="Times New Roman" w:hAnsi="Times New Roman"/>
                <w:i/>
                <w:iCs/>
                <w:color w:val="000000" w:themeColor="text1"/>
                <w:sz w:val="20"/>
                <w:szCs w:val="20"/>
                <w:lang w:eastAsia="fr-FR"/>
              </w:rPr>
            </w:pPr>
            <w:r w:rsidRPr="0097258B">
              <w:rPr>
                <w:rFonts w:ascii="Times New Roman" w:hAnsi="Times New Roman"/>
                <w:color w:val="000000" w:themeColor="text1"/>
                <w:sz w:val="20"/>
                <w:szCs w:val="20"/>
              </w:rPr>
              <w:t xml:space="preserve">Superficie reboisée </w:t>
            </w:r>
          </w:p>
        </w:tc>
        <w:tc>
          <w:tcPr>
            <w:tcW w:w="1370" w:type="dxa"/>
            <w:tcBorders>
              <w:top w:val="single" w:sz="4" w:space="0" w:color="auto"/>
              <w:left w:val="single" w:sz="4" w:space="0" w:color="auto"/>
              <w:bottom w:val="single" w:sz="4" w:space="0" w:color="auto"/>
              <w:right w:val="single" w:sz="4" w:space="0" w:color="auto"/>
            </w:tcBorders>
            <w:vAlign w:val="center"/>
            <w:hideMark/>
          </w:tcPr>
          <w:p w14:paraId="30CACEA7" w14:textId="77777777" w:rsidR="008F35C9" w:rsidRPr="0097258B" w:rsidRDefault="008F35C9"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Annuelle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F66BAB3"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Entreprises</w:t>
            </w:r>
          </w:p>
        </w:tc>
        <w:tc>
          <w:tcPr>
            <w:tcW w:w="1488" w:type="dxa"/>
            <w:tcBorders>
              <w:top w:val="single" w:sz="4" w:space="0" w:color="auto"/>
              <w:left w:val="single" w:sz="4" w:space="0" w:color="auto"/>
              <w:bottom w:val="single" w:sz="4" w:space="0" w:color="auto"/>
              <w:right w:val="single" w:sz="4" w:space="0" w:color="auto"/>
            </w:tcBorders>
            <w:vAlign w:val="center"/>
            <w:hideMark/>
          </w:tcPr>
          <w:p w14:paraId="531563A8"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9CFCF8"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CRSE</w:t>
            </w:r>
          </w:p>
          <w:p w14:paraId="7FA1A73B"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IREF Dakar</w:t>
            </w:r>
          </w:p>
        </w:tc>
      </w:tr>
      <w:tr w:rsidR="00BD1A2F" w:rsidRPr="009B46E2" w14:paraId="4DE024E6" w14:textId="77777777" w:rsidTr="00FD308E">
        <w:trPr>
          <w:gridAfter w:val="1"/>
          <w:wAfter w:w="8" w:type="dxa"/>
        </w:trPr>
        <w:tc>
          <w:tcPr>
            <w:tcW w:w="1580" w:type="dxa"/>
            <w:vMerge w:val="restart"/>
            <w:tcBorders>
              <w:top w:val="single" w:sz="4" w:space="0" w:color="auto"/>
              <w:left w:val="single" w:sz="4" w:space="0" w:color="auto"/>
              <w:bottom w:val="single" w:sz="4" w:space="0" w:color="auto"/>
              <w:right w:val="single" w:sz="4" w:space="0" w:color="auto"/>
            </w:tcBorders>
            <w:vAlign w:val="center"/>
            <w:hideMark/>
          </w:tcPr>
          <w:p w14:paraId="58D36656" w14:textId="77777777" w:rsidR="008F35C9" w:rsidRPr="0097258B" w:rsidRDefault="008F35C9" w:rsidP="00E20250">
            <w:pPr>
              <w:autoSpaceDE w:val="0"/>
              <w:autoSpaceDN w:val="0"/>
              <w:adjustRightInd w:val="0"/>
              <w:spacing w:after="0" w:line="240" w:lineRule="auto"/>
              <w:rPr>
                <w:rFonts w:ascii="Times New Roman" w:hAnsi="Times New Roman"/>
                <w:b/>
                <w:bCs/>
                <w:color w:val="000000" w:themeColor="text1"/>
                <w:sz w:val="20"/>
                <w:szCs w:val="20"/>
              </w:rPr>
            </w:pPr>
            <w:r w:rsidRPr="0097258B">
              <w:rPr>
                <w:rFonts w:ascii="Times New Roman" w:hAnsi="Times New Roman"/>
                <w:b/>
                <w:bCs/>
                <w:color w:val="000000" w:themeColor="text1"/>
                <w:sz w:val="20"/>
                <w:szCs w:val="20"/>
              </w:rPr>
              <w:t>Déchet</w:t>
            </w:r>
          </w:p>
        </w:tc>
        <w:tc>
          <w:tcPr>
            <w:tcW w:w="3093" w:type="dxa"/>
            <w:tcBorders>
              <w:top w:val="single" w:sz="4" w:space="0" w:color="auto"/>
              <w:left w:val="single" w:sz="4" w:space="0" w:color="auto"/>
              <w:bottom w:val="single" w:sz="4" w:space="0" w:color="auto"/>
              <w:right w:val="single" w:sz="4" w:space="0" w:color="auto"/>
            </w:tcBorders>
            <w:vAlign w:val="center"/>
            <w:hideMark/>
          </w:tcPr>
          <w:p w14:paraId="4109E60E"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Arial" w:hAnsi="Times New Roman"/>
                <w:color w:val="000000" w:themeColor="text1"/>
                <w:sz w:val="20"/>
                <w:szCs w:val="20"/>
                <w:lang w:eastAsia="fr-FR"/>
              </w:rPr>
              <w:t>P</w:t>
            </w:r>
            <w:r w:rsidRPr="0097258B">
              <w:rPr>
                <w:rFonts w:ascii="Times New Roman" w:eastAsia="Arial" w:hAnsi="Times New Roman"/>
                <w:color w:val="000000" w:themeColor="text1"/>
                <w:spacing w:val="1"/>
                <w:sz w:val="20"/>
                <w:szCs w:val="20"/>
                <w:lang w:eastAsia="fr-FR"/>
              </w:rPr>
              <w:t>lani</w:t>
            </w:r>
            <w:r w:rsidRPr="0097258B">
              <w:rPr>
                <w:rFonts w:ascii="Times New Roman" w:eastAsia="Arial" w:hAnsi="Times New Roman"/>
                <w:color w:val="000000" w:themeColor="text1"/>
                <w:spacing w:val="-2"/>
                <w:sz w:val="20"/>
                <w:szCs w:val="20"/>
                <w:lang w:eastAsia="fr-FR"/>
              </w:rPr>
              <w:t>f</w:t>
            </w:r>
            <w:r w:rsidRPr="0097258B">
              <w:rPr>
                <w:rFonts w:ascii="Times New Roman" w:eastAsia="Arial" w:hAnsi="Times New Roman"/>
                <w:color w:val="000000" w:themeColor="text1"/>
                <w:spacing w:val="1"/>
                <w:sz w:val="20"/>
                <w:szCs w:val="20"/>
                <w:lang w:eastAsia="fr-FR"/>
              </w:rPr>
              <w:t>ic</w:t>
            </w:r>
            <w:r w:rsidRPr="0097258B">
              <w:rPr>
                <w:rFonts w:ascii="Times New Roman" w:eastAsia="Arial" w:hAnsi="Times New Roman"/>
                <w:color w:val="000000" w:themeColor="text1"/>
                <w:spacing w:val="-2"/>
                <w:sz w:val="20"/>
                <w:szCs w:val="20"/>
                <w:lang w:eastAsia="fr-FR"/>
              </w:rPr>
              <w:t>a</w:t>
            </w:r>
            <w:r w:rsidRPr="0097258B">
              <w:rPr>
                <w:rFonts w:ascii="Times New Roman" w:eastAsia="Arial" w:hAnsi="Times New Roman"/>
                <w:color w:val="000000" w:themeColor="text1"/>
                <w:sz w:val="20"/>
                <w:szCs w:val="20"/>
                <w:lang w:eastAsia="fr-FR"/>
              </w:rPr>
              <w:t>t</w:t>
            </w:r>
            <w:r w:rsidRPr="0097258B">
              <w:rPr>
                <w:rFonts w:ascii="Times New Roman" w:eastAsia="Arial" w:hAnsi="Times New Roman"/>
                <w:color w:val="000000" w:themeColor="text1"/>
                <w:spacing w:val="1"/>
                <w:sz w:val="20"/>
                <w:szCs w:val="20"/>
                <w:lang w:eastAsia="fr-FR"/>
              </w:rPr>
              <w:t>i</w:t>
            </w:r>
            <w:r w:rsidRPr="0097258B">
              <w:rPr>
                <w:rFonts w:ascii="Times New Roman" w:eastAsia="Arial" w:hAnsi="Times New Roman"/>
                <w:color w:val="000000" w:themeColor="text1"/>
                <w:spacing w:val="-2"/>
                <w:sz w:val="20"/>
                <w:szCs w:val="20"/>
                <w:lang w:eastAsia="fr-FR"/>
              </w:rPr>
              <w:t>o</w:t>
            </w:r>
            <w:r w:rsidRPr="0097258B">
              <w:rPr>
                <w:rFonts w:ascii="Times New Roman" w:eastAsia="Arial" w:hAnsi="Times New Roman"/>
                <w:color w:val="000000" w:themeColor="text1"/>
                <w:sz w:val="20"/>
                <w:szCs w:val="20"/>
                <w:lang w:eastAsia="fr-FR"/>
              </w:rPr>
              <w:t>n</w:t>
            </w:r>
            <w:r w:rsidRPr="0097258B">
              <w:rPr>
                <w:rFonts w:ascii="Times New Roman" w:eastAsia="Arial" w:hAnsi="Times New Roman"/>
                <w:color w:val="000000" w:themeColor="text1"/>
                <w:spacing w:val="-4"/>
                <w:sz w:val="20"/>
                <w:szCs w:val="20"/>
                <w:lang w:eastAsia="fr-FR"/>
              </w:rPr>
              <w:t xml:space="preserve"> </w:t>
            </w:r>
            <w:r w:rsidRPr="0097258B">
              <w:rPr>
                <w:rFonts w:ascii="Times New Roman" w:eastAsia="Arial" w:hAnsi="Times New Roman"/>
                <w:color w:val="000000" w:themeColor="text1"/>
                <w:spacing w:val="1"/>
                <w:sz w:val="20"/>
                <w:szCs w:val="20"/>
                <w:lang w:eastAsia="fr-FR"/>
              </w:rPr>
              <w:t>d</w:t>
            </w:r>
            <w:r w:rsidRPr="0097258B">
              <w:rPr>
                <w:rFonts w:ascii="Times New Roman" w:eastAsia="Arial" w:hAnsi="Times New Roman"/>
                <w:color w:val="000000" w:themeColor="text1"/>
                <w:sz w:val="20"/>
                <w:szCs w:val="20"/>
                <w:lang w:eastAsia="fr-FR"/>
              </w:rPr>
              <w:t>e</w:t>
            </w:r>
            <w:r w:rsidRPr="0097258B">
              <w:rPr>
                <w:rFonts w:ascii="Times New Roman" w:eastAsia="Arial" w:hAnsi="Times New Roman"/>
                <w:color w:val="000000" w:themeColor="text1"/>
                <w:spacing w:val="-6"/>
                <w:sz w:val="20"/>
                <w:szCs w:val="20"/>
                <w:lang w:eastAsia="fr-FR"/>
              </w:rPr>
              <w:t xml:space="preserve"> </w:t>
            </w:r>
            <w:r w:rsidRPr="0097258B">
              <w:rPr>
                <w:rFonts w:ascii="Times New Roman" w:eastAsia="Arial" w:hAnsi="Times New Roman"/>
                <w:color w:val="000000" w:themeColor="text1"/>
                <w:spacing w:val="1"/>
                <w:sz w:val="20"/>
                <w:szCs w:val="20"/>
                <w:lang w:eastAsia="fr-FR"/>
              </w:rPr>
              <w:t>l</w:t>
            </w:r>
            <w:r w:rsidRPr="0097258B">
              <w:rPr>
                <w:rFonts w:ascii="Times New Roman" w:eastAsia="Arial" w:hAnsi="Times New Roman"/>
                <w:color w:val="000000" w:themeColor="text1"/>
                <w:sz w:val="20"/>
                <w:szCs w:val="20"/>
                <w:lang w:eastAsia="fr-FR"/>
              </w:rPr>
              <w:t>a</w:t>
            </w:r>
            <w:r w:rsidRPr="0097258B">
              <w:rPr>
                <w:rFonts w:ascii="Times New Roman" w:eastAsia="Arial" w:hAnsi="Times New Roman"/>
                <w:color w:val="000000" w:themeColor="text1"/>
                <w:spacing w:val="-4"/>
                <w:sz w:val="20"/>
                <w:szCs w:val="20"/>
                <w:lang w:eastAsia="fr-FR"/>
              </w:rPr>
              <w:t xml:space="preserve"> </w:t>
            </w:r>
            <w:r w:rsidRPr="0097258B">
              <w:rPr>
                <w:rFonts w:ascii="Times New Roman" w:eastAsia="Arial" w:hAnsi="Times New Roman"/>
                <w:color w:val="000000" w:themeColor="text1"/>
                <w:spacing w:val="-2"/>
                <w:sz w:val="20"/>
                <w:szCs w:val="20"/>
                <w:lang w:eastAsia="fr-FR"/>
              </w:rPr>
              <w:t>g</w:t>
            </w:r>
            <w:r w:rsidRPr="0097258B">
              <w:rPr>
                <w:rFonts w:ascii="Times New Roman" w:eastAsia="Arial" w:hAnsi="Times New Roman"/>
                <w:color w:val="000000" w:themeColor="text1"/>
                <w:spacing w:val="1"/>
                <w:sz w:val="20"/>
                <w:szCs w:val="20"/>
                <w:lang w:eastAsia="fr-FR"/>
              </w:rPr>
              <w:t>es</w:t>
            </w:r>
            <w:r w:rsidRPr="0097258B">
              <w:rPr>
                <w:rFonts w:ascii="Times New Roman" w:eastAsia="Arial" w:hAnsi="Times New Roman"/>
                <w:color w:val="000000" w:themeColor="text1"/>
                <w:spacing w:val="-2"/>
                <w:sz w:val="20"/>
                <w:szCs w:val="20"/>
                <w:lang w:eastAsia="fr-FR"/>
              </w:rPr>
              <w:t>t</w:t>
            </w:r>
            <w:r w:rsidRPr="0097258B">
              <w:rPr>
                <w:rFonts w:ascii="Times New Roman" w:eastAsia="Arial" w:hAnsi="Times New Roman"/>
                <w:color w:val="000000" w:themeColor="text1"/>
                <w:spacing w:val="1"/>
                <w:sz w:val="20"/>
                <w:szCs w:val="20"/>
                <w:lang w:eastAsia="fr-FR"/>
              </w:rPr>
              <w:t>io</w:t>
            </w:r>
            <w:r w:rsidRPr="0097258B">
              <w:rPr>
                <w:rFonts w:ascii="Times New Roman" w:eastAsia="Arial" w:hAnsi="Times New Roman"/>
                <w:color w:val="000000" w:themeColor="text1"/>
                <w:sz w:val="20"/>
                <w:szCs w:val="20"/>
                <w:lang w:eastAsia="fr-FR"/>
              </w:rPr>
              <w:t>n</w:t>
            </w:r>
            <w:r w:rsidRPr="0097258B">
              <w:rPr>
                <w:rFonts w:ascii="Times New Roman" w:eastAsia="Arial" w:hAnsi="Times New Roman"/>
                <w:color w:val="000000" w:themeColor="text1"/>
                <w:spacing w:val="-6"/>
                <w:sz w:val="20"/>
                <w:szCs w:val="20"/>
                <w:lang w:eastAsia="fr-FR"/>
              </w:rPr>
              <w:t xml:space="preserve"> </w:t>
            </w:r>
            <w:r w:rsidRPr="0097258B">
              <w:rPr>
                <w:rFonts w:ascii="Times New Roman" w:eastAsia="Arial" w:hAnsi="Times New Roman"/>
                <w:color w:val="000000" w:themeColor="text1"/>
                <w:spacing w:val="1"/>
                <w:sz w:val="20"/>
                <w:szCs w:val="20"/>
                <w:lang w:eastAsia="fr-FR"/>
              </w:rPr>
              <w:t>de</w:t>
            </w:r>
            <w:r w:rsidRPr="0097258B">
              <w:rPr>
                <w:rFonts w:ascii="Times New Roman" w:eastAsia="Arial" w:hAnsi="Times New Roman"/>
                <w:color w:val="000000" w:themeColor="text1"/>
                <w:sz w:val="20"/>
                <w:szCs w:val="20"/>
                <w:lang w:eastAsia="fr-FR"/>
              </w:rPr>
              <w:t>s</w:t>
            </w:r>
            <w:r w:rsidRPr="0097258B">
              <w:rPr>
                <w:rFonts w:ascii="Times New Roman" w:eastAsia="Arial" w:hAnsi="Times New Roman"/>
                <w:color w:val="000000" w:themeColor="text1"/>
                <w:spacing w:val="-8"/>
                <w:sz w:val="20"/>
                <w:szCs w:val="20"/>
                <w:lang w:eastAsia="fr-FR"/>
              </w:rPr>
              <w:t xml:space="preserve"> </w:t>
            </w:r>
            <w:r w:rsidRPr="0097258B">
              <w:rPr>
                <w:rFonts w:ascii="Times New Roman" w:eastAsia="Arial" w:hAnsi="Times New Roman"/>
                <w:color w:val="000000" w:themeColor="text1"/>
                <w:spacing w:val="1"/>
                <w:sz w:val="20"/>
                <w:szCs w:val="20"/>
                <w:lang w:eastAsia="fr-FR"/>
              </w:rPr>
              <w:t>déc</w:t>
            </w:r>
            <w:r w:rsidRPr="0097258B">
              <w:rPr>
                <w:rFonts w:ascii="Times New Roman" w:eastAsia="Arial" w:hAnsi="Times New Roman"/>
                <w:color w:val="000000" w:themeColor="text1"/>
                <w:spacing w:val="-2"/>
                <w:sz w:val="20"/>
                <w:szCs w:val="20"/>
                <w:lang w:eastAsia="fr-FR"/>
              </w:rPr>
              <w:t>h</w:t>
            </w:r>
            <w:r w:rsidRPr="0097258B">
              <w:rPr>
                <w:rFonts w:ascii="Times New Roman" w:eastAsia="Arial" w:hAnsi="Times New Roman"/>
                <w:color w:val="000000" w:themeColor="text1"/>
                <w:spacing w:val="1"/>
                <w:sz w:val="20"/>
                <w:szCs w:val="20"/>
                <w:lang w:eastAsia="fr-FR"/>
              </w:rPr>
              <w:t>e</w:t>
            </w:r>
            <w:r w:rsidRPr="0097258B">
              <w:rPr>
                <w:rFonts w:ascii="Times New Roman" w:eastAsia="Arial" w:hAnsi="Times New Roman"/>
                <w:color w:val="000000" w:themeColor="text1"/>
                <w:sz w:val="20"/>
                <w:szCs w:val="20"/>
                <w:lang w:eastAsia="fr-FR"/>
              </w:rPr>
              <w:t>ts</w:t>
            </w:r>
            <w:r w:rsidRPr="0097258B">
              <w:rPr>
                <w:rFonts w:ascii="Times New Roman" w:eastAsia="Arial" w:hAnsi="Times New Roman"/>
                <w:color w:val="000000" w:themeColor="text1"/>
                <w:spacing w:val="-5"/>
                <w:sz w:val="20"/>
                <w:szCs w:val="20"/>
                <w:lang w:eastAsia="fr-FR"/>
              </w:rPr>
              <w:t xml:space="preserve"> </w:t>
            </w:r>
            <w:r w:rsidRPr="0097258B">
              <w:rPr>
                <w:rFonts w:ascii="Times New Roman" w:eastAsia="Arial" w:hAnsi="Times New Roman"/>
                <w:color w:val="000000" w:themeColor="text1"/>
                <w:spacing w:val="1"/>
                <w:sz w:val="20"/>
                <w:szCs w:val="20"/>
                <w:lang w:eastAsia="fr-FR"/>
              </w:rPr>
              <w:t>da</w:t>
            </w:r>
            <w:r w:rsidRPr="0097258B">
              <w:rPr>
                <w:rFonts w:ascii="Times New Roman" w:eastAsia="Arial" w:hAnsi="Times New Roman"/>
                <w:color w:val="000000" w:themeColor="text1"/>
                <w:spacing w:val="-2"/>
                <w:sz w:val="20"/>
                <w:szCs w:val="20"/>
                <w:lang w:eastAsia="fr-FR"/>
              </w:rPr>
              <w:t>n</w:t>
            </w:r>
            <w:r w:rsidRPr="0097258B">
              <w:rPr>
                <w:rFonts w:ascii="Times New Roman" w:eastAsia="Arial" w:hAnsi="Times New Roman"/>
                <w:color w:val="000000" w:themeColor="text1"/>
                <w:spacing w:val="1"/>
                <w:sz w:val="20"/>
                <w:szCs w:val="20"/>
                <w:lang w:eastAsia="fr-FR"/>
              </w:rPr>
              <w:t>ge</w:t>
            </w:r>
            <w:r w:rsidRPr="0097258B">
              <w:rPr>
                <w:rFonts w:ascii="Times New Roman" w:eastAsia="Arial" w:hAnsi="Times New Roman"/>
                <w:color w:val="000000" w:themeColor="text1"/>
                <w:sz w:val="20"/>
                <w:szCs w:val="20"/>
                <w:lang w:eastAsia="fr-FR"/>
              </w:rPr>
              <w:t>r</w:t>
            </w:r>
            <w:r w:rsidRPr="0097258B">
              <w:rPr>
                <w:rFonts w:ascii="Times New Roman" w:eastAsia="Arial" w:hAnsi="Times New Roman"/>
                <w:color w:val="000000" w:themeColor="text1"/>
                <w:spacing w:val="1"/>
                <w:sz w:val="20"/>
                <w:szCs w:val="20"/>
                <w:lang w:eastAsia="fr-FR"/>
              </w:rPr>
              <w:t>eu</w:t>
            </w:r>
            <w:r w:rsidRPr="0097258B">
              <w:rPr>
                <w:rFonts w:ascii="Times New Roman" w:eastAsia="Arial" w:hAnsi="Times New Roman"/>
                <w:color w:val="000000" w:themeColor="text1"/>
                <w:sz w:val="20"/>
                <w:szCs w:val="20"/>
                <w:lang w:eastAsia="fr-FR"/>
              </w:rPr>
              <w:t>x</w:t>
            </w:r>
            <w:r w:rsidRPr="0097258B">
              <w:rPr>
                <w:rFonts w:ascii="Times New Roman" w:eastAsia="Arial" w:hAnsi="Times New Roman"/>
                <w:color w:val="000000" w:themeColor="text1"/>
                <w:spacing w:val="-8"/>
                <w:sz w:val="20"/>
                <w:szCs w:val="20"/>
                <w:lang w:eastAsia="fr-FR"/>
              </w:rPr>
              <w:t xml:space="preserve"> </w:t>
            </w:r>
            <w:r w:rsidRPr="0097258B">
              <w:rPr>
                <w:rFonts w:ascii="Times New Roman" w:eastAsia="Arial" w:hAnsi="Times New Roman"/>
                <w:color w:val="000000" w:themeColor="text1"/>
                <w:spacing w:val="1"/>
                <w:sz w:val="20"/>
                <w:szCs w:val="20"/>
                <w:lang w:eastAsia="fr-FR"/>
              </w:rPr>
              <w:t>e</w:t>
            </w:r>
            <w:r w:rsidRPr="0097258B">
              <w:rPr>
                <w:rFonts w:ascii="Times New Roman" w:eastAsia="Arial" w:hAnsi="Times New Roman"/>
                <w:color w:val="000000" w:themeColor="text1"/>
                <w:sz w:val="20"/>
                <w:szCs w:val="20"/>
                <w:lang w:eastAsia="fr-FR"/>
              </w:rPr>
              <w:t xml:space="preserve">t </w:t>
            </w:r>
            <w:r w:rsidRPr="0097258B">
              <w:rPr>
                <w:rFonts w:ascii="Times New Roman" w:eastAsia="Arial" w:hAnsi="Times New Roman"/>
                <w:color w:val="000000" w:themeColor="text1"/>
                <w:spacing w:val="1"/>
                <w:sz w:val="20"/>
                <w:szCs w:val="20"/>
                <w:lang w:eastAsia="fr-FR"/>
              </w:rPr>
              <w:t>no</w:t>
            </w:r>
            <w:r w:rsidRPr="0097258B">
              <w:rPr>
                <w:rFonts w:ascii="Times New Roman" w:eastAsia="Arial" w:hAnsi="Times New Roman"/>
                <w:color w:val="000000" w:themeColor="text1"/>
                <w:sz w:val="20"/>
                <w:szCs w:val="20"/>
                <w:lang w:eastAsia="fr-FR"/>
              </w:rPr>
              <w:t>n</w:t>
            </w:r>
            <w:r w:rsidRPr="0097258B">
              <w:rPr>
                <w:rFonts w:ascii="Times New Roman" w:eastAsia="Arial" w:hAnsi="Times New Roman"/>
                <w:color w:val="000000" w:themeColor="text1"/>
                <w:spacing w:val="1"/>
                <w:sz w:val="20"/>
                <w:szCs w:val="20"/>
                <w:lang w:eastAsia="fr-FR"/>
              </w:rPr>
              <w:t xml:space="preserve"> </w:t>
            </w:r>
            <w:r w:rsidRPr="0097258B">
              <w:rPr>
                <w:rFonts w:ascii="Times New Roman" w:eastAsia="Arial" w:hAnsi="Times New Roman"/>
                <w:color w:val="000000" w:themeColor="text1"/>
                <w:spacing w:val="-1"/>
                <w:sz w:val="20"/>
                <w:szCs w:val="20"/>
                <w:lang w:eastAsia="fr-FR"/>
              </w:rPr>
              <w:t>d</w:t>
            </w:r>
            <w:r w:rsidRPr="0097258B">
              <w:rPr>
                <w:rFonts w:ascii="Times New Roman" w:eastAsia="Arial" w:hAnsi="Times New Roman"/>
                <w:color w:val="000000" w:themeColor="text1"/>
                <w:spacing w:val="1"/>
                <w:sz w:val="20"/>
                <w:szCs w:val="20"/>
                <w:lang w:eastAsia="fr-FR"/>
              </w:rPr>
              <w:t>ange</w:t>
            </w:r>
            <w:r w:rsidRPr="0097258B">
              <w:rPr>
                <w:rFonts w:ascii="Times New Roman" w:eastAsia="Arial" w:hAnsi="Times New Roman"/>
                <w:color w:val="000000" w:themeColor="text1"/>
                <w:spacing w:val="-2"/>
                <w:sz w:val="20"/>
                <w:szCs w:val="20"/>
                <w:lang w:eastAsia="fr-FR"/>
              </w:rPr>
              <w:t>r</w:t>
            </w:r>
            <w:r w:rsidRPr="0097258B">
              <w:rPr>
                <w:rFonts w:ascii="Times New Roman" w:eastAsia="Arial" w:hAnsi="Times New Roman"/>
                <w:color w:val="000000" w:themeColor="text1"/>
                <w:spacing w:val="1"/>
                <w:sz w:val="20"/>
                <w:szCs w:val="20"/>
                <w:lang w:eastAsia="fr-FR"/>
              </w:rPr>
              <w:t>eu</w:t>
            </w:r>
            <w:r w:rsidRPr="0097258B">
              <w:rPr>
                <w:rFonts w:ascii="Times New Roman" w:eastAsia="Arial" w:hAnsi="Times New Roman"/>
                <w:color w:val="000000" w:themeColor="text1"/>
                <w:sz w:val="20"/>
                <w:szCs w:val="20"/>
                <w:lang w:eastAsia="fr-FR"/>
              </w:rPr>
              <w:t>x</w:t>
            </w:r>
          </w:p>
        </w:tc>
        <w:tc>
          <w:tcPr>
            <w:tcW w:w="4111" w:type="dxa"/>
            <w:tcBorders>
              <w:top w:val="single" w:sz="4" w:space="0" w:color="auto"/>
              <w:left w:val="single" w:sz="4" w:space="0" w:color="auto"/>
              <w:bottom w:val="single" w:sz="4" w:space="0" w:color="auto"/>
              <w:right w:val="single" w:sz="4" w:space="0" w:color="auto"/>
            </w:tcBorders>
            <w:vAlign w:val="center"/>
            <w:hideMark/>
          </w:tcPr>
          <w:p w14:paraId="33CB87BF" w14:textId="77777777" w:rsidR="008F35C9" w:rsidRPr="0097258B" w:rsidRDefault="008F35C9" w:rsidP="00E20250">
            <w:pPr>
              <w:spacing w:after="0" w:line="240" w:lineRule="auto"/>
              <w:jc w:val="both"/>
              <w:rPr>
                <w:rFonts w:ascii="Times New Roman" w:eastAsia="Times New Roman" w:hAnsi="Times New Roman"/>
                <w:i/>
                <w:iCs/>
                <w:color w:val="000000" w:themeColor="text1"/>
                <w:sz w:val="20"/>
                <w:szCs w:val="20"/>
                <w:lang w:eastAsia="fr-FR"/>
              </w:rPr>
            </w:pPr>
            <w:r w:rsidRPr="0097258B">
              <w:rPr>
                <w:rFonts w:ascii="Times New Roman" w:eastAsia="Arial" w:hAnsi="Times New Roman"/>
                <w:color w:val="000000" w:themeColor="text1"/>
                <w:sz w:val="20"/>
                <w:szCs w:val="20"/>
                <w:lang w:eastAsia="fr-FR"/>
              </w:rPr>
              <w:t>P</w:t>
            </w:r>
            <w:r w:rsidRPr="0097258B">
              <w:rPr>
                <w:rFonts w:ascii="Times New Roman" w:eastAsia="Arial" w:hAnsi="Times New Roman"/>
                <w:color w:val="000000" w:themeColor="text1"/>
                <w:spacing w:val="1"/>
                <w:sz w:val="20"/>
                <w:szCs w:val="20"/>
                <w:lang w:eastAsia="fr-FR"/>
              </w:rPr>
              <w:t>la</w:t>
            </w:r>
            <w:r w:rsidRPr="0097258B">
              <w:rPr>
                <w:rFonts w:ascii="Times New Roman" w:eastAsia="Arial" w:hAnsi="Times New Roman"/>
                <w:color w:val="000000" w:themeColor="text1"/>
                <w:sz w:val="20"/>
                <w:szCs w:val="20"/>
                <w:lang w:eastAsia="fr-FR"/>
              </w:rPr>
              <w:t>n</w:t>
            </w:r>
            <w:r w:rsidRPr="0097258B">
              <w:rPr>
                <w:rFonts w:ascii="Times New Roman" w:eastAsia="Arial" w:hAnsi="Times New Roman"/>
                <w:color w:val="000000" w:themeColor="text1"/>
                <w:spacing w:val="1"/>
                <w:sz w:val="20"/>
                <w:szCs w:val="20"/>
                <w:lang w:eastAsia="fr-FR"/>
              </w:rPr>
              <w:t xml:space="preserve"> </w:t>
            </w:r>
            <w:r w:rsidRPr="0097258B">
              <w:rPr>
                <w:rFonts w:ascii="Times New Roman" w:eastAsia="Arial" w:hAnsi="Times New Roman"/>
                <w:color w:val="000000" w:themeColor="text1"/>
                <w:spacing w:val="-1"/>
                <w:sz w:val="20"/>
                <w:szCs w:val="20"/>
                <w:lang w:eastAsia="fr-FR"/>
              </w:rPr>
              <w:t>d</w:t>
            </w:r>
            <w:r w:rsidRPr="0097258B">
              <w:rPr>
                <w:rFonts w:ascii="Times New Roman" w:eastAsia="Arial" w:hAnsi="Times New Roman"/>
                <w:color w:val="000000" w:themeColor="text1"/>
                <w:sz w:val="20"/>
                <w:szCs w:val="20"/>
                <w:lang w:eastAsia="fr-FR"/>
              </w:rPr>
              <w:t>e</w:t>
            </w:r>
            <w:r w:rsidRPr="0097258B">
              <w:rPr>
                <w:rFonts w:ascii="Times New Roman" w:eastAsia="Arial" w:hAnsi="Times New Roman"/>
                <w:color w:val="000000" w:themeColor="text1"/>
                <w:spacing w:val="1"/>
                <w:sz w:val="20"/>
                <w:szCs w:val="20"/>
                <w:lang w:eastAsia="fr-FR"/>
              </w:rPr>
              <w:t xml:space="preserve"> g</w:t>
            </w:r>
            <w:r w:rsidRPr="0097258B">
              <w:rPr>
                <w:rFonts w:ascii="Times New Roman" w:eastAsia="Arial" w:hAnsi="Times New Roman"/>
                <w:color w:val="000000" w:themeColor="text1"/>
                <w:spacing w:val="-2"/>
                <w:sz w:val="20"/>
                <w:szCs w:val="20"/>
                <w:lang w:eastAsia="fr-FR"/>
              </w:rPr>
              <w:t>e</w:t>
            </w:r>
            <w:r w:rsidRPr="0097258B">
              <w:rPr>
                <w:rFonts w:ascii="Times New Roman" w:eastAsia="Arial" w:hAnsi="Times New Roman"/>
                <w:color w:val="000000" w:themeColor="text1"/>
                <w:spacing w:val="1"/>
                <w:sz w:val="20"/>
                <w:szCs w:val="20"/>
                <w:lang w:eastAsia="fr-FR"/>
              </w:rPr>
              <w:t>s</w:t>
            </w:r>
            <w:r w:rsidRPr="0097258B">
              <w:rPr>
                <w:rFonts w:ascii="Times New Roman" w:eastAsia="Arial" w:hAnsi="Times New Roman"/>
                <w:color w:val="000000" w:themeColor="text1"/>
                <w:sz w:val="20"/>
                <w:szCs w:val="20"/>
                <w:lang w:eastAsia="fr-FR"/>
              </w:rPr>
              <w:t>t</w:t>
            </w:r>
            <w:r w:rsidRPr="0097258B">
              <w:rPr>
                <w:rFonts w:ascii="Times New Roman" w:eastAsia="Arial" w:hAnsi="Times New Roman"/>
                <w:color w:val="000000" w:themeColor="text1"/>
                <w:spacing w:val="-1"/>
                <w:sz w:val="20"/>
                <w:szCs w:val="20"/>
                <w:lang w:eastAsia="fr-FR"/>
              </w:rPr>
              <w:t>i</w:t>
            </w:r>
            <w:r w:rsidRPr="0097258B">
              <w:rPr>
                <w:rFonts w:ascii="Times New Roman" w:eastAsia="Arial" w:hAnsi="Times New Roman"/>
                <w:color w:val="000000" w:themeColor="text1"/>
                <w:spacing w:val="1"/>
                <w:sz w:val="20"/>
                <w:szCs w:val="20"/>
                <w:lang w:eastAsia="fr-FR"/>
              </w:rPr>
              <w:t>o</w:t>
            </w:r>
            <w:r w:rsidRPr="0097258B">
              <w:rPr>
                <w:rFonts w:ascii="Times New Roman" w:eastAsia="Arial" w:hAnsi="Times New Roman"/>
                <w:color w:val="000000" w:themeColor="text1"/>
                <w:sz w:val="20"/>
                <w:szCs w:val="20"/>
                <w:lang w:eastAsia="fr-FR"/>
              </w:rPr>
              <w:t>n</w:t>
            </w:r>
            <w:r w:rsidRPr="0097258B">
              <w:rPr>
                <w:rFonts w:ascii="Times New Roman" w:eastAsia="Arial" w:hAnsi="Times New Roman"/>
                <w:color w:val="000000" w:themeColor="text1"/>
                <w:spacing w:val="1"/>
                <w:sz w:val="20"/>
                <w:szCs w:val="20"/>
                <w:lang w:eastAsia="fr-FR"/>
              </w:rPr>
              <w:t xml:space="preserve"> </w:t>
            </w:r>
            <w:r w:rsidRPr="0097258B">
              <w:rPr>
                <w:rFonts w:ascii="Times New Roman" w:eastAsia="Arial" w:hAnsi="Times New Roman"/>
                <w:color w:val="000000" w:themeColor="text1"/>
                <w:spacing w:val="-1"/>
                <w:sz w:val="20"/>
                <w:szCs w:val="20"/>
                <w:lang w:eastAsia="fr-FR"/>
              </w:rPr>
              <w:t>d</w:t>
            </w:r>
            <w:r w:rsidRPr="0097258B">
              <w:rPr>
                <w:rFonts w:ascii="Times New Roman" w:eastAsia="Arial" w:hAnsi="Times New Roman"/>
                <w:color w:val="000000" w:themeColor="text1"/>
                <w:spacing w:val="1"/>
                <w:sz w:val="20"/>
                <w:szCs w:val="20"/>
                <w:lang w:eastAsia="fr-FR"/>
              </w:rPr>
              <w:t>e</w:t>
            </w:r>
            <w:r w:rsidRPr="0097258B">
              <w:rPr>
                <w:rFonts w:ascii="Times New Roman" w:eastAsia="Arial" w:hAnsi="Times New Roman"/>
                <w:color w:val="000000" w:themeColor="text1"/>
                <w:sz w:val="20"/>
                <w:szCs w:val="20"/>
                <w:lang w:eastAsia="fr-FR"/>
              </w:rPr>
              <w:t>s</w:t>
            </w:r>
            <w:r w:rsidRPr="0097258B">
              <w:rPr>
                <w:rFonts w:ascii="Times New Roman" w:eastAsia="Arial" w:hAnsi="Times New Roman"/>
                <w:color w:val="000000" w:themeColor="text1"/>
                <w:spacing w:val="-1"/>
                <w:sz w:val="20"/>
                <w:szCs w:val="20"/>
                <w:lang w:eastAsia="fr-FR"/>
              </w:rPr>
              <w:t xml:space="preserve"> </w:t>
            </w:r>
            <w:r w:rsidRPr="0097258B">
              <w:rPr>
                <w:rFonts w:ascii="Times New Roman" w:eastAsia="Arial" w:hAnsi="Times New Roman"/>
                <w:color w:val="000000" w:themeColor="text1"/>
                <w:spacing w:val="1"/>
                <w:sz w:val="20"/>
                <w:szCs w:val="20"/>
                <w:lang w:eastAsia="fr-FR"/>
              </w:rPr>
              <w:t>dé</w:t>
            </w:r>
            <w:r w:rsidRPr="0097258B">
              <w:rPr>
                <w:rFonts w:ascii="Times New Roman" w:eastAsia="Arial" w:hAnsi="Times New Roman"/>
                <w:color w:val="000000" w:themeColor="text1"/>
                <w:spacing w:val="-1"/>
                <w:sz w:val="20"/>
                <w:szCs w:val="20"/>
                <w:lang w:eastAsia="fr-FR"/>
              </w:rPr>
              <w:t>c</w:t>
            </w:r>
            <w:r w:rsidRPr="0097258B">
              <w:rPr>
                <w:rFonts w:ascii="Times New Roman" w:eastAsia="Arial" w:hAnsi="Times New Roman"/>
                <w:color w:val="000000" w:themeColor="text1"/>
                <w:spacing w:val="1"/>
                <w:sz w:val="20"/>
                <w:szCs w:val="20"/>
                <w:lang w:eastAsia="fr-FR"/>
              </w:rPr>
              <w:t>he</w:t>
            </w:r>
            <w:r w:rsidRPr="0097258B">
              <w:rPr>
                <w:rFonts w:ascii="Times New Roman" w:eastAsia="Arial" w:hAnsi="Times New Roman"/>
                <w:color w:val="000000" w:themeColor="text1"/>
                <w:spacing w:val="-2"/>
                <w:sz w:val="20"/>
                <w:szCs w:val="20"/>
                <w:lang w:eastAsia="fr-FR"/>
              </w:rPr>
              <w:t>t</w:t>
            </w:r>
            <w:r w:rsidRPr="0097258B">
              <w:rPr>
                <w:rFonts w:ascii="Times New Roman" w:eastAsia="Arial" w:hAnsi="Times New Roman"/>
                <w:color w:val="000000" w:themeColor="text1"/>
                <w:sz w:val="20"/>
                <w:szCs w:val="20"/>
                <w:lang w:eastAsia="fr-FR"/>
              </w:rPr>
              <w:t>s</w:t>
            </w:r>
            <w:r w:rsidRPr="0097258B">
              <w:rPr>
                <w:rFonts w:ascii="Times New Roman" w:eastAsia="Arial" w:hAnsi="Times New Roman"/>
                <w:color w:val="000000" w:themeColor="text1"/>
                <w:spacing w:val="1"/>
                <w:sz w:val="20"/>
                <w:szCs w:val="20"/>
                <w:lang w:eastAsia="fr-FR"/>
              </w:rPr>
              <w:t xml:space="preserve"> </w:t>
            </w:r>
            <w:r w:rsidRPr="0097258B">
              <w:rPr>
                <w:rFonts w:ascii="Times New Roman" w:eastAsia="Arial" w:hAnsi="Times New Roman"/>
                <w:color w:val="000000" w:themeColor="text1"/>
                <w:spacing w:val="-1"/>
                <w:sz w:val="20"/>
                <w:szCs w:val="20"/>
                <w:lang w:eastAsia="fr-FR"/>
              </w:rPr>
              <w:t>v</w:t>
            </w:r>
            <w:r w:rsidRPr="0097258B">
              <w:rPr>
                <w:rFonts w:ascii="Times New Roman" w:eastAsia="Arial" w:hAnsi="Times New Roman"/>
                <w:color w:val="000000" w:themeColor="text1"/>
                <w:spacing w:val="1"/>
                <w:sz w:val="20"/>
                <w:szCs w:val="20"/>
                <w:lang w:eastAsia="fr-FR"/>
              </w:rPr>
              <w:t>ali</w:t>
            </w:r>
            <w:r w:rsidRPr="0097258B">
              <w:rPr>
                <w:rFonts w:ascii="Times New Roman" w:eastAsia="Arial" w:hAnsi="Times New Roman"/>
                <w:color w:val="000000" w:themeColor="text1"/>
                <w:spacing w:val="-2"/>
                <w:sz w:val="20"/>
                <w:szCs w:val="20"/>
                <w:lang w:eastAsia="fr-FR"/>
              </w:rPr>
              <w:t>d</w:t>
            </w:r>
            <w:r w:rsidRPr="0097258B">
              <w:rPr>
                <w:rFonts w:ascii="Times New Roman" w:eastAsia="Arial" w:hAnsi="Times New Roman"/>
                <w:color w:val="000000" w:themeColor="text1"/>
                <w:sz w:val="20"/>
                <w:szCs w:val="20"/>
                <w:lang w:eastAsia="fr-FR"/>
              </w:rPr>
              <w:t>é</w:t>
            </w:r>
            <w:r w:rsidRPr="0097258B">
              <w:rPr>
                <w:rFonts w:ascii="Times New Roman" w:eastAsia="Arial" w:hAnsi="Times New Roman"/>
                <w:color w:val="000000" w:themeColor="text1"/>
                <w:spacing w:val="1"/>
                <w:sz w:val="20"/>
                <w:szCs w:val="20"/>
                <w:lang w:eastAsia="fr-FR"/>
              </w:rPr>
              <w:t xml:space="preserve"> pa</w:t>
            </w:r>
            <w:r w:rsidRPr="0097258B">
              <w:rPr>
                <w:rFonts w:ascii="Times New Roman" w:eastAsia="Arial" w:hAnsi="Times New Roman"/>
                <w:color w:val="000000" w:themeColor="text1"/>
                <w:sz w:val="20"/>
                <w:szCs w:val="20"/>
                <w:lang w:eastAsia="fr-FR"/>
              </w:rPr>
              <w:t>r</w:t>
            </w:r>
            <w:r w:rsidRPr="0097258B">
              <w:rPr>
                <w:rFonts w:ascii="Times New Roman" w:eastAsia="Arial" w:hAnsi="Times New Roman"/>
                <w:color w:val="000000" w:themeColor="text1"/>
                <w:spacing w:val="-2"/>
                <w:sz w:val="20"/>
                <w:szCs w:val="20"/>
                <w:lang w:eastAsia="fr-FR"/>
              </w:rPr>
              <w:t xml:space="preserve"> </w:t>
            </w:r>
            <w:r w:rsidRPr="0097258B">
              <w:rPr>
                <w:rFonts w:ascii="Times New Roman" w:eastAsia="Arial" w:hAnsi="Times New Roman"/>
                <w:color w:val="000000" w:themeColor="text1"/>
                <w:spacing w:val="1"/>
                <w:sz w:val="20"/>
                <w:szCs w:val="20"/>
                <w:lang w:eastAsia="fr-FR"/>
              </w:rPr>
              <w:t>l</w:t>
            </w:r>
            <w:r w:rsidRPr="0097258B">
              <w:rPr>
                <w:rFonts w:ascii="Times New Roman" w:eastAsia="Arial" w:hAnsi="Times New Roman"/>
                <w:color w:val="000000" w:themeColor="text1"/>
                <w:sz w:val="20"/>
                <w:szCs w:val="20"/>
                <w:lang w:eastAsia="fr-FR"/>
              </w:rPr>
              <w:t>a</w:t>
            </w:r>
            <w:r w:rsidRPr="0097258B">
              <w:rPr>
                <w:rFonts w:ascii="Times New Roman" w:eastAsia="Arial" w:hAnsi="Times New Roman"/>
                <w:color w:val="000000" w:themeColor="text1"/>
                <w:spacing w:val="1"/>
                <w:sz w:val="20"/>
                <w:szCs w:val="20"/>
                <w:lang w:eastAsia="fr-FR"/>
              </w:rPr>
              <w:t xml:space="preserve"> </w:t>
            </w:r>
            <w:r w:rsidRPr="0097258B">
              <w:rPr>
                <w:rFonts w:ascii="Times New Roman" w:eastAsia="Arial" w:hAnsi="Times New Roman"/>
                <w:color w:val="000000" w:themeColor="text1"/>
                <w:sz w:val="20"/>
                <w:szCs w:val="20"/>
                <w:lang w:eastAsia="fr-FR"/>
              </w:rPr>
              <w:t>DREEC</w:t>
            </w:r>
          </w:p>
        </w:tc>
        <w:tc>
          <w:tcPr>
            <w:tcW w:w="1370" w:type="dxa"/>
            <w:tcBorders>
              <w:top w:val="single" w:sz="4" w:space="0" w:color="auto"/>
              <w:left w:val="single" w:sz="4" w:space="0" w:color="auto"/>
              <w:bottom w:val="single" w:sz="4" w:space="0" w:color="auto"/>
              <w:right w:val="single" w:sz="4" w:space="0" w:color="auto"/>
            </w:tcBorders>
            <w:vAlign w:val="center"/>
          </w:tcPr>
          <w:p w14:paraId="22236A01" w14:textId="77777777" w:rsidR="008F35C9" w:rsidRPr="0097258B" w:rsidRDefault="008F35C9" w:rsidP="00E20250">
            <w:pPr>
              <w:autoSpaceDE w:val="0"/>
              <w:autoSpaceDN w:val="0"/>
              <w:adjustRightInd w:val="0"/>
              <w:spacing w:after="0" w:line="240" w:lineRule="auto"/>
              <w:jc w:val="both"/>
              <w:rPr>
                <w:rFonts w:ascii="Times New Roman" w:hAnsi="Times New Roman"/>
                <w:color w:val="000000" w:themeColor="text1"/>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43A66402"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Entreprises</w:t>
            </w:r>
          </w:p>
        </w:tc>
        <w:tc>
          <w:tcPr>
            <w:tcW w:w="1488" w:type="dxa"/>
            <w:tcBorders>
              <w:top w:val="single" w:sz="4" w:space="0" w:color="auto"/>
              <w:left w:val="single" w:sz="4" w:space="0" w:color="auto"/>
              <w:bottom w:val="single" w:sz="4" w:space="0" w:color="auto"/>
              <w:right w:val="single" w:sz="4" w:space="0" w:color="auto"/>
            </w:tcBorders>
            <w:vAlign w:val="center"/>
            <w:hideMark/>
          </w:tcPr>
          <w:p w14:paraId="61576AAE"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tc>
        <w:tc>
          <w:tcPr>
            <w:tcW w:w="1276" w:type="dxa"/>
            <w:tcBorders>
              <w:top w:val="single" w:sz="4" w:space="0" w:color="auto"/>
              <w:left w:val="single" w:sz="4" w:space="0" w:color="auto"/>
              <w:bottom w:val="single" w:sz="4" w:space="0" w:color="auto"/>
              <w:right w:val="single" w:sz="4" w:space="0" w:color="auto"/>
            </w:tcBorders>
            <w:vAlign w:val="center"/>
          </w:tcPr>
          <w:p w14:paraId="71A479C3"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p>
        </w:tc>
      </w:tr>
      <w:tr w:rsidR="00BD1A2F" w:rsidRPr="009B46E2" w14:paraId="3D62834D" w14:textId="77777777" w:rsidTr="00FD308E">
        <w:trPr>
          <w:gridAfter w:val="1"/>
          <w:wAfter w:w="8" w:type="dxa"/>
        </w:trPr>
        <w:tc>
          <w:tcPr>
            <w:tcW w:w="1580" w:type="dxa"/>
            <w:vMerge/>
            <w:tcBorders>
              <w:top w:val="single" w:sz="4" w:space="0" w:color="auto"/>
              <w:left w:val="single" w:sz="4" w:space="0" w:color="auto"/>
              <w:bottom w:val="single" w:sz="4" w:space="0" w:color="auto"/>
              <w:right w:val="single" w:sz="4" w:space="0" w:color="auto"/>
            </w:tcBorders>
            <w:vAlign w:val="center"/>
            <w:hideMark/>
          </w:tcPr>
          <w:p w14:paraId="2AF47D86" w14:textId="77777777" w:rsidR="008F35C9" w:rsidRPr="0097258B" w:rsidRDefault="008F35C9" w:rsidP="00E20250">
            <w:pPr>
              <w:spacing w:after="0" w:line="240" w:lineRule="auto"/>
              <w:rPr>
                <w:rFonts w:ascii="Times New Roman" w:hAnsi="Times New Roman"/>
                <w:b/>
                <w:bCs/>
                <w:color w:val="000000" w:themeColor="text1"/>
                <w:sz w:val="20"/>
                <w:szCs w:val="20"/>
              </w:rPr>
            </w:pPr>
          </w:p>
        </w:tc>
        <w:tc>
          <w:tcPr>
            <w:tcW w:w="3093" w:type="dxa"/>
            <w:tcBorders>
              <w:top w:val="single" w:sz="4" w:space="0" w:color="auto"/>
              <w:left w:val="single" w:sz="4" w:space="0" w:color="auto"/>
              <w:bottom w:val="single" w:sz="4" w:space="0" w:color="auto"/>
              <w:right w:val="single" w:sz="4" w:space="0" w:color="auto"/>
            </w:tcBorders>
            <w:vAlign w:val="center"/>
            <w:hideMark/>
          </w:tcPr>
          <w:p w14:paraId="00803BB9" w14:textId="77777777" w:rsidR="008F35C9" w:rsidRPr="0097258B" w:rsidRDefault="008F35C9" w:rsidP="00E20250">
            <w:pPr>
              <w:spacing w:after="0" w:line="240" w:lineRule="auto"/>
              <w:jc w:val="both"/>
              <w:rPr>
                <w:rFonts w:ascii="Times New Roman" w:eastAsia="Arial" w:hAnsi="Times New Roman"/>
                <w:color w:val="000000" w:themeColor="text1"/>
                <w:sz w:val="20"/>
                <w:szCs w:val="20"/>
                <w:lang w:eastAsia="fr-FR"/>
              </w:rPr>
            </w:pPr>
            <w:r w:rsidRPr="0097258B">
              <w:rPr>
                <w:rFonts w:ascii="Times New Roman" w:eastAsia="Arial" w:hAnsi="Times New Roman"/>
                <w:color w:val="000000" w:themeColor="text1"/>
                <w:sz w:val="20"/>
                <w:szCs w:val="20"/>
                <w:lang w:eastAsia="fr-FR"/>
              </w:rPr>
              <w:t>Gestion des huiles usagées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527FEAF8" w14:textId="77777777" w:rsidR="008F35C9" w:rsidRPr="0097258B" w:rsidRDefault="008F35C9" w:rsidP="00E20250">
            <w:pPr>
              <w:spacing w:after="0" w:line="240" w:lineRule="auto"/>
              <w:jc w:val="both"/>
              <w:rPr>
                <w:rFonts w:ascii="Times New Roman" w:eastAsia="Arial" w:hAnsi="Times New Roman"/>
                <w:i/>
                <w:iCs/>
                <w:color w:val="000000" w:themeColor="text1"/>
                <w:sz w:val="20"/>
                <w:szCs w:val="20"/>
                <w:lang w:eastAsia="fr-FR"/>
              </w:rPr>
            </w:pPr>
            <w:r w:rsidRPr="0097258B">
              <w:rPr>
                <w:rFonts w:ascii="Times New Roman" w:eastAsia="Arial" w:hAnsi="Times New Roman"/>
                <w:color w:val="000000" w:themeColor="text1"/>
                <w:spacing w:val="1"/>
                <w:sz w:val="20"/>
                <w:szCs w:val="20"/>
                <w:lang w:eastAsia="fr-FR"/>
              </w:rPr>
              <w:t>Volume d</w:t>
            </w:r>
            <w:r w:rsidRPr="0097258B">
              <w:rPr>
                <w:rFonts w:ascii="Times New Roman" w:eastAsia="Arial" w:hAnsi="Times New Roman"/>
                <w:color w:val="000000" w:themeColor="text1"/>
                <w:spacing w:val="-2"/>
                <w:sz w:val="20"/>
                <w:szCs w:val="20"/>
                <w:lang w:eastAsia="fr-FR"/>
              </w:rPr>
              <w:t>e</w:t>
            </w:r>
            <w:r w:rsidRPr="0097258B">
              <w:rPr>
                <w:rFonts w:ascii="Times New Roman" w:eastAsia="Arial" w:hAnsi="Times New Roman"/>
                <w:color w:val="000000" w:themeColor="text1"/>
                <w:sz w:val="20"/>
                <w:szCs w:val="20"/>
                <w:lang w:eastAsia="fr-FR"/>
              </w:rPr>
              <w:t xml:space="preserve">s </w:t>
            </w:r>
            <w:r w:rsidRPr="0097258B">
              <w:rPr>
                <w:rFonts w:ascii="Times New Roman" w:eastAsia="Arial" w:hAnsi="Times New Roman"/>
                <w:color w:val="000000" w:themeColor="text1"/>
                <w:spacing w:val="-2"/>
                <w:sz w:val="20"/>
                <w:szCs w:val="20"/>
                <w:lang w:eastAsia="fr-FR"/>
              </w:rPr>
              <w:t>h</w:t>
            </w:r>
            <w:r w:rsidRPr="0097258B">
              <w:rPr>
                <w:rFonts w:ascii="Times New Roman" w:eastAsia="Arial" w:hAnsi="Times New Roman"/>
                <w:color w:val="000000" w:themeColor="text1"/>
                <w:spacing w:val="1"/>
                <w:sz w:val="20"/>
                <w:szCs w:val="20"/>
                <w:lang w:eastAsia="fr-FR"/>
              </w:rPr>
              <w:t>uile</w:t>
            </w:r>
            <w:r w:rsidRPr="0097258B">
              <w:rPr>
                <w:rFonts w:ascii="Times New Roman" w:eastAsia="Arial" w:hAnsi="Times New Roman"/>
                <w:color w:val="000000" w:themeColor="text1"/>
                <w:sz w:val="20"/>
                <w:szCs w:val="20"/>
                <w:lang w:eastAsia="fr-FR"/>
              </w:rPr>
              <w:t>s</w:t>
            </w:r>
            <w:r w:rsidRPr="0097258B">
              <w:rPr>
                <w:rFonts w:ascii="Times New Roman" w:eastAsia="Arial" w:hAnsi="Times New Roman"/>
                <w:color w:val="000000" w:themeColor="text1"/>
                <w:spacing w:val="50"/>
                <w:sz w:val="20"/>
                <w:szCs w:val="20"/>
                <w:lang w:eastAsia="fr-FR"/>
              </w:rPr>
              <w:t xml:space="preserve"> </w:t>
            </w:r>
            <w:r w:rsidRPr="0097258B">
              <w:rPr>
                <w:rFonts w:ascii="Times New Roman" w:eastAsia="Arial" w:hAnsi="Times New Roman"/>
                <w:color w:val="000000" w:themeColor="text1"/>
                <w:spacing w:val="1"/>
                <w:sz w:val="20"/>
                <w:szCs w:val="20"/>
                <w:lang w:eastAsia="fr-FR"/>
              </w:rPr>
              <w:t>u</w:t>
            </w:r>
            <w:r w:rsidRPr="0097258B">
              <w:rPr>
                <w:rFonts w:ascii="Times New Roman" w:eastAsia="Arial" w:hAnsi="Times New Roman"/>
                <w:color w:val="000000" w:themeColor="text1"/>
                <w:spacing w:val="-1"/>
                <w:sz w:val="20"/>
                <w:szCs w:val="20"/>
                <w:lang w:eastAsia="fr-FR"/>
              </w:rPr>
              <w:t>s</w:t>
            </w:r>
            <w:r w:rsidRPr="0097258B">
              <w:rPr>
                <w:rFonts w:ascii="Times New Roman" w:eastAsia="Arial" w:hAnsi="Times New Roman"/>
                <w:color w:val="000000" w:themeColor="text1"/>
                <w:spacing w:val="1"/>
                <w:sz w:val="20"/>
                <w:szCs w:val="20"/>
                <w:lang w:eastAsia="fr-FR"/>
              </w:rPr>
              <w:t>ée</w:t>
            </w:r>
            <w:r w:rsidRPr="0097258B">
              <w:rPr>
                <w:rFonts w:ascii="Times New Roman" w:eastAsia="Arial" w:hAnsi="Times New Roman"/>
                <w:color w:val="000000" w:themeColor="text1"/>
                <w:sz w:val="20"/>
                <w:szCs w:val="20"/>
                <w:lang w:eastAsia="fr-FR"/>
              </w:rPr>
              <w:t>s</w:t>
            </w:r>
            <w:r w:rsidRPr="0097258B">
              <w:rPr>
                <w:rFonts w:ascii="Times New Roman" w:eastAsia="Arial" w:hAnsi="Times New Roman"/>
                <w:color w:val="000000" w:themeColor="text1"/>
                <w:spacing w:val="50"/>
                <w:sz w:val="20"/>
                <w:szCs w:val="20"/>
                <w:lang w:eastAsia="fr-FR"/>
              </w:rPr>
              <w:t xml:space="preserve"> </w:t>
            </w:r>
            <w:r w:rsidRPr="0097258B">
              <w:rPr>
                <w:rFonts w:ascii="Times New Roman" w:eastAsia="Arial" w:hAnsi="Times New Roman"/>
                <w:color w:val="000000" w:themeColor="text1"/>
                <w:spacing w:val="1"/>
                <w:sz w:val="20"/>
                <w:szCs w:val="20"/>
                <w:lang w:eastAsia="fr-FR"/>
              </w:rPr>
              <w:t>g</w:t>
            </w:r>
            <w:r w:rsidRPr="0097258B">
              <w:rPr>
                <w:rFonts w:ascii="Times New Roman" w:eastAsia="Arial" w:hAnsi="Times New Roman"/>
                <w:color w:val="000000" w:themeColor="text1"/>
                <w:spacing w:val="-2"/>
                <w:sz w:val="20"/>
                <w:szCs w:val="20"/>
                <w:lang w:eastAsia="fr-FR"/>
              </w:rPr>
              <w:t>é</w:t>
            </w:r>
            <w:r w:rsidRPr="0097258B">
              <w:rPr>
                <w:rFonts w:ascii="Times New Roman" w:eastAsia="Arial" w:hAnsi="Times New Roman"/>
                <w:color w:val="000000" w:themeColor="text1"/>
                <w:spacing w:val="1"/>
                <w:sz w:val="20"/>
                <w:szCs w:val="20"/>
                <w:lang w:eastAsia="fr-FR"/>
              </w:rPr>
              <w:t>né</w:t>
            </w:r>
            <w:r w:rsidRPr="0097258B">
              <w:rPr>
                <w:rFonts w:ascii="Times New Roman" w:eastAsia="Arial" w:hAnsi="Times New Roman"/>
                <w:color w:val="000000" w:themeColor="text1"/>
                <w:sz w:val="20"/>
                <w:szCs w:val="20"/>
                <w:lang w:eastAsia="fr-FR"/>
              </w:rPr>
              <w:t>r</w:t>
            </w:r>
            <w:r w:rsidRPr="0097258B">
              <w:rPr>
                <w:rFonts w:ascii="Times New Roman" w:eastAsia="Arial" w:hAnsi="Times New Roman"/>
                <w:color w:val="000000" w:themeColor="text1"/>
                <w:spacing w:val="1"/>
                <w:sz w:val="20"/>
                <w:szCs w:val="20"/>
                <w:lang w:eastAsia="fr-FR"/>
              </w:rPr>
              <w:t>é</w:t>
            </w:r>
            <w:r w:rsidRPr="0097258B">
              <w:rPr>
                <w:rFonts w:ascii="Times New Roman" w:eastAsia="Arial" w:hAnsi="Times New Roman"/>
                <w:color w:val="000000" w:themeColor="text1"/>
                <w:spacing w:val="-2"/>
                <w:sz w:val="20"/>
                <w:szCs w:val="20"/>
                <w:lang w:eastAsia="fr-FR"/>
              </w:rPr>
              <w:t>e</w:t>
            </w:r>
            <w:r w:rsidRPr="0097258B">
              <w:rPr>
                <w:rFonts w:ascii="Times New Roman" w:eastAsia="Arial" w:hAnsi="Times New Roman"/>
                <w:color w:val="000000" w:themeColor="text1"/>
                <w:sz w:val="20"/>
                <w:szCs w:val="20"/>
                <w:lang w:eastAsia="fr-FR"/>
              </w:rPr>
              <w:t xml:space="preserve">s </w:t>
            </w:r>
            <w:r w:rsidRPr="0097258B">
              <w:rPr>
                <w:rFonts w:ascii="Times New Roman" w:eastAsia="Arial" w:hAnsi="Times New Roman"/>
                <w:color w:val="000000" w:themeColor="text1"/>
                <w:spacing w:val="2"/>
                <w:sz w:val="20"/>
                <w:szCs w:val="20"/>
                <w:lang w:eastAsia="fr-FR"/>
              </w:rPr>
              <w:t>remises</w:t>
            </w:r>
            <w:r w:rsidRPr="0097258B">
              <w:rPr>
                <w:rFonts w:ascii="Times New Roman" w:eastAsia="Arial" w:hAnsi="Times New Roman"/>
                <w:color w:val="000000" w:themeColor="text1"/>
                <w:spacing w:val="50"/>
                <w:sz w:val="20"/>
                <w:szCs w:val="20"/>
                <w:lang w:eastAsia="fr-FR"/>
              </w:rPr>
              <w:t xml:space="preserve"> </w:t>
            </w:r>
            <w:r w:rsidRPr="0097258B">
              <w:rPr>
                <w:rFonts w:ascii="Times New Roman" w:eastAsia="Arial" w:hAnsi="Times New Roman"/>
                <w:color w:val="000000" w:themeColor="text1"/>
                <w:sz w:val="20"/>
                <w:szCs w:val="20"/>
                <w:lang w:eastAsia="fr-FR"/>
              </w:rPr>
              <w:t>à</w:t>
            </w:r>
            <w:r w:rsidRPr="0097258B">
              <w:rPr>
                <w:rFonts w:ascii="Times New Roman" w:eastAsia="Arial" w:hAnsi="Times New Roman"/>
                <w:color w:val="000000" w:themeColor="text1"/>
                <w:spacing w:val="49"/>
                <w:sz w:val="20"/>
                <w:szCs w:val="20"/>
                <w:lang w:eastAsia="fr-FR"/>
              </w:rPr>
              <w:t xml:space="preserve"> </w:t>
            </w:r>
            <w:r w:rsidRPr="0097258B">
              <w:rPr>
                <w:rFonts w:ascii="Times New Roman" w:eastAsia="Arial" w:hAnsi="Times New Roman"/>
                <w:color w:val="000000" w:themeColor="text1"/>
                <w:spacing w:val="1"/>
                <w:sz w:val="20"/>
                <w:szCs w:val="20"/>
                <w:lang w:eastAsia="fr-FR"/>
              </w:rPr>
              <w:t>d</w:t>
            </w:r>
            <w:r w:rsidRPr="0097258B">
              <w:rPr>
                <w:rFonts w:ascii="Times New Roman" w:eastAsia="Arial" w:hAnsi="Times New Roman"/>
                <w:color w:val="000000" w:themeColor="text1"/>
                <w:spacing w:val="-2"/>
                <w:sz w:val="20"/>
                <w:szCs w:val="20"/>
                <w:lang w:eastAsia="fr-FR"/>
              </w:rPr>
              <w:t>e</w:t>
            </w:r>
            <w:r w:rsidRPr="0097258B">
              <w:rPr>
                <w:rFonts w:ascii="Times New Roman" w:eastAsia="Arial" w:hAnsi="Times New Roman"/>
                <w:color w:val="000000" w:themeColor="text1"/>
                <w:sz w:val="20"/>
                <w:szCs w:val="20"/>
                <w:lang w:eastAsia="fr-FR"/>
              </w:rPr>
              <w:t xml:space="preserve">s </w:t>
            </w:r>
            <w:r w:rsidRPr="0097258B">
              <w:rPr>
                <w:rFonts w:ascii="Times New Roman" w:eastAsia="Arial" w:hAnsi="Times New Roman"/>
                <w:color w:val="000000" w:themeColor="text1"/>
                <w:spacing w:val="1"/>
                <w:sz w:val="20"/>
                <w:szCs w:val="20"/>
                <w:lang w:eastAsia="fr-FR"/>
              </w:rPr>
              <w:t>en</w:t>
            </w:r>
            <w:r w:rsidRPr="0097258B">
              <w:rPr>
                <w:rFonts w:ascii="Times New Roman" w:eastAsia="Arial" w:hAnsi="Times New Roman"/>
                <w:color w:val="000000" w:themeColor="text1"/>
                <w:sz w:val="20"/>
                <w:szCs w:val="20"/>
                <w:lang w:eastAsia="fr-FR"/>
              </w:rPr>
              <w:t>tr</w:t>
            </w:r>
            <w:r w:rsidRPr="0097258B">
              <w:rPr>
                <w:rFonts w:ascii="Times New Roman" w:eastAsia="Arial" w:hAnsi="Times New Roman"/>
                <w:color w:val="000000" w:themeColor="text1"/>
                <w:spacing w:val="1"/>
                <w:sz w:val="20"/>
                <w:szCs w:val="20"/>
                <w:lang w:eastAsia="fr-FR"/>
              </w:rPr>
              <w:t>ep</w:t>
            </w:r>
            <w:r w:rsidRPr="0097258B">
              <w:rPr>
                <w:rFonts w:ascii="Times New Roman" w:eastAsia="Arial" w:hAnsi="Times New Roman"/>
                <w:color w:val="000000" w:themeColor="text1"/>
                <w:spacing w:val="-2"/>
                <w:sz w:val="20"/>
                <w:szCs w:val="20"/>
                <w:lang w:eastAsia="fr-FR"/>
              </w:rPr>
              <w:t>r</w:t>
            </w:r>
            <w:r w:rsidRPr="0097258B">
              <w:rPr>
                <w:rFonts w:ascii="Times New Roman" w:eastAsia="Arial" w:hAnsi="Times New Roman"/>
                <w:color w:val="000000" w:themeColor="text1"/>
                <w:spacing w:val="1"/>
                <w:sz w:val="20"/>
                <w:szCs w:val="20"/>
                <w:lang w:eastAsia="fr-FR"/>
              </w:rPr>
              <w:t>is</w:t>
            </w:r>
            <w:r w:rsidRPr="0097258B">
              <w:rPr>
                <w:rFonts w:ascii="Times New Roman" w:eastAsia="Arial" w:hAnsi="Times New Roman"/>
                <w:color w:val="000000" w:themeColor="text1"/>
                <w:spacing w:val="-2"/>
                <w:sz w:val="20"/>
                <w:szCs w:val="20"/>
                <w:lang w:eastAsia="fr-FR"/>
              </w:rPr>
              <w:t>e</w:t>
            </w:r>
            <w:r w:rsidRPr="0097258B">
              <w:rPr>
                <w:rFonts w:ascii="Times New Roman" w:eastAsia="Arial" w:hAnsi="Times New Roman"/>
                <w:color w:val="000000" w:themeColor="text1"/>
                <w:sz w:val="20"/>
                <w:szCs w:val="20"/>
                <w:lang w:eastAsia="fr-FR"/>
              </w:rPr>
              <w:t>s</w:t>
            </w:r>
            <w:r w:rsidRPr="0097258B">
              <w:rPr>
                <w:rFonts w:ascii="Times New Roman" w:eastAsia="Arial" w:hAnsi="Times New Roman"/>
                <w:color w:val="000000" w:themeColor="text1"/>
                <w:spacing w:val="1"/>
                <w:sz w:val="20"/>
                <w:szCs w:val="20"/>
                <w:lang w:eastAsia="fr-FR"/>
              </w:rPr>
              <w:t xml:space="preserve"> </w:t>
            </w:r>
            <w:r w:rsidRPr="0097258B">
              <w:rPr>
                <w:rFonts w:ascii="Times New Roman" w:eastAsia="Arial" w:hAnsi="Times New Roman"/>
                <w:color w:val="000000" w:themeColor="text1"/>
                <w:spacing w:val="-1"/>
                <w:sz w:val="20"/>
                <w:szCs w:val="20"/>
                <w:lang w:eastAsia="fr-FR"/>
              </w:rPr>
              <w:t>a</w:t>
            </w:r>
            <w:r w:rsidRPr="0097258B">
              <w:rPr>
                <w:rFonts w:ascii="Times New Roman" w:eastAsia="Arial" w:hAnsi="Times New Roman"/>
                <w:color w:val="000000" w:themeColor="text1"/>
                <w:spacing w:val="1"/>
                <w:sz w:val="20"/>
                <w:szCs w:val="20"/>
                <w:lang w:eastAsia="fr-FR"/>
              </w:rPr>
              <w:t>g</w:t>
            </w:r>
            <w:r w:rsidRPr="0097258B">
              <w:rPr>
                <w:rFonts w:ascii="Times New Roman" w:eastAsia="Arial" w:hAnsi="Times New Roman"/>
                <w:color w:val="000000" w:themeColor="text1"/>
                <w:sz w:val="20"/>
                <w:szCs w:val="20"/>
                <w:lang w:eastAsia="fr-FR"/>
              </w:rPr>
              <w:t>r</w:t>
            </w:r>
            <w:r w:rsidRPr="0097258B">
              <w:rPr>
                <w:rFonts w:ascii="Times New Roman" w:eastAsia="Arial" w:hAnsi="Times New Roman"/>
                <w:color w:val="000000" w:themeColor="text1"/>
                <w:spacing w:val="1"/>
                <w:sz w:val="20"/>
                <w:szCs w:val="20"/>
                <w:lang w:eastAsia="fr-FR"/>
              </w:rPr>
              <w:t>é</w:t>
            </w:r>
            <w:r w:rsidRPr="0097258B">
              <w:rPr>
                <w:rFonts w:ascii="Times New Roman" w:eastAsia="Arial" w:hAnsi="Times New Roman"/>
                <w:color w:val="000000" w:themeColor="text1"/>
                <w:spacing w:val="-2"/>
                <w:sz w:val="20"/>
                <w:szCs w:val="20"/>
                <w:lang w:eastAsia="fr-FR"/>
              </w:rPr>
              <w:t>é</w:t>
            </w:r>
            <w:r w:rsidRPr="0097258B">
              <w:rPr>
                <w:rFonts w:ascii="Times New Roman" w:eastAsia="Arial" w:hAnsi="Times New Roman"/>
                <w:color w:val="000000" w:themeColor="text1"/>
                <w:spacing w:val="1"/>
                <w:sz w:val="20"/>
                <w:szCs w:val="20"/>
                <w:lang w:eastAsia="fr-FR"/>
              </w:rPr>
              <w:t>e</w:t>
            </w:r>
            <w:r w:rsidRPr="0097258B">
              <w:rPr>
                <w:rFonts w:ascii="Times New Roman" w:eastAsia="Arial" w:hAnsi="Times New Roman"/>
                <w:color w:val="000000" w:themeColor="text1"/>
                <w:sz w:val="20"/>
                <w:szCs w:val="20"/>
                <w:lang w:eastAsia="fr-FR"/>
              </w:rPr>
              <w:t>s</w:t>
            </w:r>
          </w:p>
        </w:tc>
        <w:tc>
          <w:tcPr>
            <w:tcW w:w="1370" w:type="dxa"/>
            <w:vMerge w:val="restart"/>
            <w:tcBorders>
              <w:top w:val="single" w:sz="4" w:space="0" w:color="auto"/>
              <w:left w:val="single" w:sz="4" w:space="0" w:color="auto"/>
              <w:bottom w:val="single" w:sz="4" w:space="0" w:color="auto"/>
              <w:right w:val="single" w:sz="4" w:space="0" w:color="auto"/>
            </w:tcBorders>
            <w:vAlign w:val="center"/>
            <w:hideMark/>
          </w:tcPr>
          <w:p w14:paraId="1065FFDE" w14:textId="77777777" w:rsidR="008F35C9" w:rsidRPr="0097258B" w:rsidRDefault="008F35C9"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Quotidien</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3415A970"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Entreprises</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14:paraId="3E11F399"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51BAFA1D"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CRSE</w:t>
            </w:r>
          </w:p>
          <w:p w14:paraId="0D1A19F5"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Commune</w:t>
            </w:r>
          </w:p>
        </w:tc>
      </w:tr>
      <w:tr w:rsidR="00BD1A2F" w:rsidRPr="009B46E2" w14:paraId="3C6A20F3" w14:textId="77777777" w:rsidTr="00FD308E">
        <w:trPr>
          <w:gridAfter w:val="1"/>
          <w:wAfter w:w="8" w:type="dxa"/>
        </w:trPr>
        <w:tc>
          <w:tcPr>
            <w:tcW w:w="1580" w:type="dxa"/>
            <w:vMerge/>
            <w:tcBorders>
              <w:top w:val="single" w:sz="4" w:space="0" w:color="auto"/>
              <w:left w:val="single" w:sz="4" w:space="0" w:color="auto"/>
              <w:bottom w:val="single" w:sz="4" w:space="0" w:color="auto"/>
              <w:right w:val="single" w:sz="4" w:space="0" w:color="auto"/>
            </w:tcBorders>
            <w:vAlign w:val="center"/>
            <w:hideMark/>
          </w:tcPr>
          <w:p w14:paraId="0753FCC3" w14:textId="77777777" w:rsidR="008F35C9" w:rsidRPr="0097258B" w:rsidRDefault="008F35C9" w:rsidP="00E20250">
            <w:pPr>
              <w:spacing w:after="0" w:line="240" w:lineRule="auto"/>
              <w:rPr>
                <w:rFonts w:ascii="Times New Roman" w:hAnsi="Times New Roman"/>
                <w:b/>
                <w:bCs/>
                <w:color w:val="000000" w:themeColor="text1"/>
                <w:sz w:val="20"/>
                <w:szCs w:val="20"/>
              </w:rPr>
            </w:pPr>
          </w:p>
        </w:tc>
        <w:tc>
          <w:tcPr>
            <w:tcW w:w="3093" w:type="dxa"/>
            <w:tcBorders>
              <w:top w:val="single" w:sz="4" w:space="0" w:color="auto"/>
              <w:left w:val="single" w:sz="4" w:space="0" w:color="auto"/>
              <w:bottom w:val="single" w:sz="4" w:space="0" w:color="auto"/>
              <w:right w:val="single" w:sz="4" w:space="0" w:color="auto"/>
            </w:tcBorders>
            <w:vAlign w:val="center"/>
            <w:hideMark/>
          </w:tcPr>
          <w:p w14:paraId="3C148BDF" w14:textId="77777777" w:rsidR="008F35C9" w:rsidRPr="0097258B" w:rsidRDefault="008F35C9" w:rsidP="00E20250">
            <w:pPr>
              <w:spacing w:after="0" w:line="240" w:lineRule="auto"/>
              <w:jc w:val="both"/>
              <w:rPr>
                <w:rFonts w:ascii="Times New Roman" w:eastAsia="Arial" w:hAnsi="Times New Roman"/>
                <w:color w:val="000000" w:themeColor="text1"/>
                <w:sz w:val="20"/>
                <w:szCs w:val="20"/>
                <w:lang w:eastAsia="fr-FR"/>
              </w:rPr>
            </w:pPr>
            <w:r w:rsidRPr="0097258B">
              <w:rPr>
                <w:rFonts w:ascii="Times New Roman" w:eastAsia="Arial" w:hAnsi="Times New Roman"/>
                <w:color w:val="000000" w:themeColor="text1"/>
                <w:spacing w:val="-1"/>
                <w:sz w:val="20"/>
                <w:szCs w:val="20"/>
                <w:lang w:eastAsia="fr-FR"/>
              </w:rPr>
              <w:t>G</w:t>
            </w:r>
            <w:r w:rsidRPr="0097258B">
              <w:rPr>
                <w:rFonts w:ascii="Times New Roman" w:eastAsia="Arial" w:hAnsi="Times New Roman"/>
                <w:color w:val="000000" w:themeColor="text1"/>
                <w:spacing w:val="1"/>
                <w:sz w:val="20"/>
                <w:szCs w:val="20"/>
                <w:lang w:eastAsia="fr-FR"/>
              </w:rPr>
              <w:t>es</w:t>
            </w:r>
            <w:r w:rsidRPr="0097258B">
              <w:rPr>
                <w:rFonts w:ascii="Times New Roman" w:eastAsia="Arial" w:hAnsi="Times New Roman"/>
                <w:color w:val="000000" w:themeColor="text1"/>
                <w:sz w:val="20"/>
                <w:szCs w:val="20"/>
                <w:lang w:eastAsia="fr-FR"/>
              </w:rPr>
              <w:t>t</w:t>
            </w:r>
            <w:r w:rsidRPr="0097258B">
              <w:rPr>
                <w:rFonts w:ascii="Times New Roman" w:eastAsia="Arial" w:hAnsi="Times New Roman"/>
                <w:color w:val="000000" w:themeColor="text1"/>
                <w:spacing w:val="1"/>
                <w:sz w:val="20"/>
                <w:szCs w:val="20"/>
                <w:lang w:eastAsia="fr-FR"/>
              </w:rPr>
              <w:t>i</w:t>
            </w:r>
            <w:r w:rsidRPr="0097258B">
              <w:rPr>
                <w:rFonts w:ascii="Times New Roman" w:eastAsia="Arial" w:hAnsi="Times New Roman"/>
                <w:color w:val="000000" w:themeColor="text1"/>
                <w:spacing w:val="-2"/>
                <w:sz w:val="20"/>
                <w:szCs w:val="20"/>
                <w:lang w:eastAsia="fr-FR"/>
              </w:rPr>
              <w:t>o</w:t>
            </w:r>
            <w:r w:rsidRPr="0097258B">
              <w:rPr>
                <w:rFonts w:ascii="Times New Roman" w:eastAsia="Arial" w:hAnsi="Times New Roman"/>
                <w:color w:val="000000" w:themeColor="text1"/>
                <w:sz w:val="20"/>
                <w:szCs w:val="20"/>
                <w:lang w:eastAsia="fr-FR"/>
              </w:rPr>
              <w:t xml:space="preserve">n </w:t>
            </w:r>
            <w:r w:rsidRPr="0097258B">
              <w:rPr>
                <w:rFonts w:ascii="Times New Roman" w:eastAsia="Arial" w:hAnsi="Times New Roman"/>
                <w:color w:val="000000" w:themeColor="text1"/>
                <w:spacing w:val="1"/>
                <w:sz w:val="20"/>
                <w:szCs w:val="20"/>
                <w:lang w:eastAsia="fr-FR"/>
              </w:rPr>
              <w:t>d</w:t>
            </w:r>
            <w:r w:rsidRPr="0097258B">
              <w:rPr>
                <w:rFonts w:ascii="Times New Roman" w:eastAsia="Arial" w:hAnsi="Times New Roman"/>
                <w:color w:val="000000" w:themeColor="text1"/>
                <w:spacing w:val="-2"/>
                <w:sz w:val="20"/>
                <w:szCs w:val="20"/>
                <w:lang w:eastAsia="fr-FR"/>
              </w:rPr>
              <w:t>e</w:t>
            </w:r>
            <w:r w:rsidRPr="0097258B">
              <w:rPr>
                <w:rFonts w:ascii="Times New Roman" w:eastAsia="Arial" w:hAnsi="Times New Roman"/>
                <w:color w:val="000000" w:themeColor="text1"/>
                <w:sz w:val="20"/>
                <w:szCs w:val="20"/>
                <w:lang w:eastAsia="fr-FR"/>
              </w:rPr>
              <w:t xml:space="preserve">s </w:t>
            </w:r>
            <w:r w:rsidRPr="0097258B">
              <w:rPr>
                <w:rFonts w:ascii="Times New Roman" w:eastAsia="Arial" w:hAnsi="Times New Roman"/>
                <w:color w:val="000000" w:themeColor="text1"/>
                <w:spacing w:val="1"/>
                <w:sz w:val="20"/>
                <w:szCs w:val="20"/>
                <w:lang w:eastAsia="fr-FR"/>
              </w:rPr>
              <w:t>eau</w:t>
            </w:r>
            <w:r w:rsidRPr="0097258B">
              <w:rPr>
                <w:rFonts w:ascii="Times New Roman" w:eastAsia="Arial" w:hAnsi="Times New Roman"/>
                <w:color w:val="000000" w:themeColor="text1"/>
                <w:sz w:val="20"/>
                <w:szCs w:val="20"/>
                <w:lang w:eastAsia="fr-FR"/>
              </w:rPr>
              <w:t xml:space="preserve">x </w:t>
            </w:r>
            <w:r w:rsidRPr="0097258B">
              <w:rPr>
                <w:rFonts w:ascii="Times New Roman" w:eastAsia="Arial" w:hAnsi="Times New Roman"/>
                <w:color w:val="000000" w:themeColor="text1"/>
                <w:spacing w:val="1"/>
                <w:sz w:val="20"/>
                <w:szCs w:val="20"/>
                <w:lang w:eastAsia="fr-FR"/>
              </w:rPr>
              <w:t>d</w:t>
            </w:r>
            <w:r w:rsidRPr="0097258B">
              <w:rPr>
                <w:rFonts w:ascii="Times New Roman" w:eastAsia="Arial" w:hAnsi="Times New Roman"/>
                <w:color w:val="000000" w:themeColor="text1"/>
                <w:sz w:val="20"/>
                <w:szCs w:val="20"/>
                <w:lang w:eastAsia="fr-FR"/>
              </w:rPr>
              <w:t xml:space="preserve">e </w:t>
            </w:r>
            <w:r w:rsidRPr="0097258B">
              <w:rPr>
                <w:rFonts w:ascii="Times New Roman" w:eastAsia="Arial" w:hAnsi="Times New Roman"/>
                <w:color w:val="000000" w:themeColor="text1"/>
                <w:spacing w:val="1"/>
                <w:sz w:val="20"/>
                <w:szCs w:val="20"/>
                <w:lang w:eastAsia="fr-FR"/>
              </w:rPr>
              <w:t>la</w:t>
            </w:r>
            <w:r w:rsidRPr="0097258B">
              <w:rPr>
                <w:rFonts w:ascii="Times New Roman" w:eastAsia="Arial" w:hAnsi="Times New Roman"/>
                <w:color w:val="000000" w:themeColor="text1"/>
                <w:spacing w:val="-1"/>
                <w:sz w:val="20"/>
                <w:szCs w:val="20"/>
                <w:lang w:eastAsia="fr-FR"/>
              </w:rPr>
              <w:t>v</w:t>
            </w:r>
            <w:r w:rsidRPr="0097258B">
              <w:rPr>
                <w:rFonts w:ascii="Times New Roman" w:eastAsia="Arial" w:hAnsi="Times New Roman"/>
                <w:color w:val="000000" w:themeColor="text1"/>
                <w:spacing w:val="1"/>
                <w:sz w:val="20"/>
                <w:szCs w:val="20"/>
                <w:lang w:eastAsia="fr-FR"/>
              </w:rPr>
              <w:t>a</w:t>
            </w:r>
            <w:r w:rsidRPr="0097258B">
              <w:rPr>
                <w:rFonts w:ascii="Times New Roman" w:eastAsia="Arial" w:hAnsi="Times New Roman"/>
                <w:color w:val="000000" w:themeColor="text1"/>
                <w:spacing w:val="-2"/>
                <w:sz w:val="20"/>
                <w:szCs w:val="20"/>
                <w:lang w:eastAsia="fr-FR"/>
              </w:rPr>
              <w:t>g</w:t>
            </w:r>
            <w:r w:rsidRPr="0097258B">
              <w:rPr>
                <w:rFonts w:ascii="Times New Roman" w:eastAsia="Arial" w:hAnsi="Times New Roman"/>
                <w:color w:val="000000" w:themeColor="text1"/>
                <w:sz w:val="20"/>
                <w:szCs w:val="20"/>
                <w:lang w:eastAsia="fr-FR"/>
              </w:rPr>
              <w:t>e</w:t>
            </w:r>
            <w:r w:rsidRPr="0097258B">
              <w:rPr>
                <w:rFonts w:ascii="Times New Roman" w:eastAsia="Arial" w:hAnsi="Times New Roman"/>
                <w:color w:val="000000" w:themeColor="text1"/>
                <w:spacing w:val="30"/>
                <w:sz w:val="20"/>
                <w:szCs w:val="20"/>
                <w:lang w:eastAsia="fr-FR"/>
              </w:rPr>
              <w:t xml:space="preserve"> </w:t>
            </w:r>
            <w:r w:rsidRPr="0097258B">
              <w:rPr>
                <w:rFonts w:ascii="Times New Roman" w:eastAsia="Arial" w:hAnsi="Times New Roman"/>
                <w:color w:val="000000" w:themeColor="text1"/>
                <w:spacing w:val="1"/>
                <w:sz w:val="20"/>
                <w:szCs w:val="20"/>
                <w:lang w:eastAsia="fr-FR"/>
              </w:rPr>
              <w:t>de</w:t>
            </w:r>
            <w:r w:rsidRPr="0097258B">
              <w:rPr>
                <w:rFonts w:ascii="Times New Roman" w:eastAsia="Arial" w:hAnsi="Times New Roman"/>
                <w:color w:val="000000" w:themeColor="text1"/>
                <w:sz w:val="20"/>
                <w:szCs w:val="20"/>
                <w:lang w:eastAsia="fr-FR"/>
              </w:rPr>
              <w:t xml:space="preserve">s </w:t>
            </w:r>
            <w:r w:rsidRPr="0097258B">
              <w:rPr>
                <w:rFonts w:ascii="Times New Roman" w:eastAsia="Arial" w:hAnsi="Times New Roman"/>
                <w:color w:val="000000" w:themeColor="text1"/>
                <w:spacing w:val="1"/>
                <w:sz w:val="20"/>
                <w:szCs w:val="20"/>
                <w:lang w:eastAsia="fr-FR"/>
              </w:rPr>
              <w:t>éq</w:t>
            </w:r>
            <w:r w:rsidRPr="0097258B">
              <w:rPr>
                <w:rFonts w:ascii="Times New Roman" w:eastAsia="Arial" w:hAnsi="Times New Roman"/>
                <w:color w:val="000000" w:themeColor="text1"/>
                <w:spacing w:val="-2"/>
                <w:sz w:val="20"/>
                <w:szCs w:val="20"/>
                <w:lang w:eastAsia="fr-FR"/>
              </w:rPr>
              <w:t>u</w:t>
            </w:r>
            <w:r w:rsidRPr="0097258B">
              <w:rPr>
                <w:rFonts w:ascii="Times New Roman" w:eastAsia="Arial" w:hAnsi="Times New Roman"/>
                <w:color w:val="000000" w:themeColor="text1"/>
                <w:spacing w:val="1"/>
                <w:sz w:val="20"/>
                <w:szCs w:val="20"/>
                <w:lang w:eastAsia="fr-FR"/>
              </w:rPr>
              <w:t>ip</w:t>
            </w:r>
            <w:r w:rsidRPr="0097258B">
              <w:rPr>
                <w:rFonts w:ascii="Times New Roman" w:eastAsia="Arial" w:hAnsi="Times New Roman"/>
                <w:color w:val="000000" w:themeColor="text1"/>
                <w:spacing w:val="-2"/>
                <w:sz w:val="20"/>
                <w:szCs w:val="20"/>
                <w:lang w:eastAsia="fr-FR"/>
              </w:rPr>
              <w:t>e</w:t>
            </w:r>
            <w:r w:rsidRPr="0097258B">
              <w:rPr>
                <w:rFonts w:ascii="Times New Roman" w:eastAsia="Arial" w:hAnsi="Times New Roman"/>
                <w:color w:val="000000" w:themeColor="text1"/>
                <w:spacing w:val="1"/>
                <w:sz w:val="20"/>
                <w:szCs w:val="20"/>
                <w:lang w:eastAsia="fr-FR"/>
              </w:rPr>
              <w:t>men</w:t>
            </w:r>
            <w:r w:rsidRPr="0097258B">
              <w:rPr>
                <w:rFonts w:ascii="Times New Roman" w:eastAsia="Arial" w:hAnsi="Times New Roman"/>
                <w:color w:val="000000" w:themeColor="text1"/>
                <w:spacing w:val="-2"/>
                <w:sz w:val="20"/>
                <w:szCs w:val="20"/>
                <w:lang w:eastAsia="fr-FR"/>
              </w:rPr>
              <w:t>t</w:t>
            </w:r>
            <w:r w:rsidRPr="0097258B">
              <w:rPr>
                <w:rFonts w:ascii="Times New Roman" w:eastAsia="Arial" w:hAnsi="Times New Roman"/>
                <w:color w:val="000000" w:themeColor="text1"/>
                <w:sz w:val="20"/>
                <w:szCs w:val="20"/>
                <w:lang w:eastAsia="fr-FR"/>
              </w:rPr>
              <w:t>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7B46CB57" w14:textId="77777777" w:rsidR="008F35C9" w:rsidRPr="0097258B" w:rsidRDefault="008F35C9" w:rsidP="00E20250">
            <w:pPr>
              <w:spacing w:after="0" w:line="240" w:lineRule="auto"/>
              <w:jc w:val="both"/>
              <w:rPr>
                <w:rFonts w:ascii="Times New Roman" w:eastAsia="Arial" w:hAnsi="Times New Roman"/>
                <w:i/>
                <w:iCs/>
                <w:color w:val="000000" w:themeColor="text1"/>
                <w:spacing w:val="1"/>
                <w:sz w:val="20"/>
                <w:szCs w:val="20"/>
                <w:lang w:eastAsia="fr-FR"/>
              </w:rPr>
            </w:pPr>
            <w:r w:rsidRPr="0097258B">
              <w:rPr>
                <w:rFonts w:ascii="Times New Roman" w:eastAsia="Arial" w:hAnsi="Times New Roman"/>
                <w:color w:val="000000" w:themeColor="text1"/>
                <w:spacing w:val="2"/>
                <w:sz w:val="20"/>
                <w:szCs w:val="20"/>
                <w:lang w:eastAsia="fr-FR"/>
              </w:rPr>
              <w:t>E</w:t>
            </w:r>
            <w:r w:rsidRPr="0097258B">
              <w:rPr>
                <w:rFonts w:ascii="Times New Roman" w:eastAsia="Arial" w:hAnsi="Times New Roman"/>
                <w:color w:val="000000" w:themeColor="text1"/>
                <w:spacing w:val="-4"/>
                <w:sz w:val="20"/>
                <w:szCs w:val="20"/>
                <w:lang w:eastAsia="fr-FR"/>
              </w:rPr>
              <w:t>x</w:t>
            </w:r>
            <w:r w:rsidRPr="0097258B">
              <w:rPr>
                <w:rFonts w:ascii="Times New Roman" w:eastAsia="Arial" w:hAnsi="Times New Roman"/>
                <w:color w:val="000000" w:themeColor="text1"/>
                <w:spacing w:val="1"/>
                <w:sz w:val="20"/>
                <w:szCs w:val="20"/>
                <w:lang w:eastAsia="fr-FR"/>
              </w:rPr>
              <w:t>is</w:t>
            </w:r>
            <w:r w:rsidRPr="0097258B">
              <w:rPr>
                <w:rFonts w:ascii="Times New Roman" w:eastAsia="Arial" w:hAnsi="Times New Roman"/>
                <w:color w:val="000000" w:themeColor="text1"/>
                <w:sz w:val="20"/>
                <w:szCs w:val="20"/>
                <w:lang w:eastAsia="fr-FR"/>
              </w:rPr>
              <w:t>t</w:t>
            </w:r>
            <w:r w:rsidRPr="0097258B">
              <w:rPr>
                <w:rFonts w:ascii="Times New Roman" w:eastAsia="Arial" w:hAnsi="Times New Roman"/>
                <w:color w:val="000000" w:themeColor="text1"/>
                <w:spacing w:val="1"/>
                <w:sz w:val="20"/>
                <w:szCs w:val="20"/>
                <w:lang w:eastAsia="fr-FR"/>
              </w:rPr>
              <w:t>e</w:t>
            </w:r>
            <w:r w:rsidRPr="0097258B">
              <w:rPr>
                <w:rFonts w:ascii="Times New Roman" w:eastAsia="Arial" w:hAnsi="Times New Roman"/>
                <w:color w:val="000000" w:themeColor="text1"/>
                <w:spacing w:val="-2"/>
                <w:sz w:val="20"/>
                <w:szCs w:val="20"/>
                <w:lang w:eastAsia="fr-FR"/>
              </w:rPr>
              <w:t>n</w:t>
            </w:r>
            <w:r w:rsidRPr="0097258B">
              <w:rPr>
                <w:rFonts w:ascii="Times New Roman" w:eastAsia="Arial" w:hAnsi="Times New Roman"/>
                <w:color w:val="000000" w:themeColor="text1"/>
                <w:spacing w:val="1"/>
                <w:sz w:val="20"/>
                <w:szCs w:val="20"/>
                <w:lang w:eastAsia="fr-FR"/>
              </w:rPr>
              <w:t>c</w:t>
            </w:r>
            <w:r w:rsidRPr="0097258B">
              <w:rPr>
                <w:rFonts w:ascii="Times New Roman" w:eastAsia="Arial" w:hAnsi="Times New Roman"/>
                <w:color w:val="000000" w:themeColor="text1"/>
                <w:sz w:val="20"/>
                <w:szCs w:val="20"/>
                <w:lang w:eastAsia="fr-FR"/>
              </w:rPr>
              <w:t>e</w:t>
            </w:r>
            <w:r w:rsidRPr="0097258B">
              <w:rPr>
                <w:rFonts w:ascii="Times New Roman" w:eastAsia="Arial" w:hAnsi="Times New Roman"/>
                <w:color w:val="000000" w:themeColor="text1"/>
                <w:spacing w:val="1"/>
                <w:sz w:val="20"/>
                <w:szCs w:val="20"/>
                <w:lang w:eastAsia="fr-FR"/>
              </w:rPr>
              <w:t xml:space="preserve"> </w:t>
            </w:r>
            <w:r w:rsidRPr="0097258B">
              <w:rPr>
                <w:rFonts w:ascii="Times New Roman" w:eastAsia="Arial" w:hAnsi="Times New Roman"/>
                <w:color w:val="000000" w:themeColor="text1"/>
                <w:spacing w:val="-1"/>
                <w:sz w:val="20"/>
                <w:szCs w:val="20"/>
                <w:lang w:eastAsia="fr-FR"/>
              </w:rPr>
              <w:t>d</w:t>
            </w:r>
            <w:r w:rsidRPr="0097258B">
              <w:rPr>
                <w:rFonts w:ascii="Times New Roman" w:eastAsia="Arial" w:hAnsi="Times New Roman"/>
                <w:color w:val="000000" w:themeColor="text1"/>
                <w:spacing w:val="1"/>
                <w:sz w:val="20"/>
                <w:szCs w:val="20"/>
                <w:lang w:eastAsia="fr-FR"/>
              </w:rPr>
              <w:t>’u</w:t>
            </w:r>
            <w:r w:rsidRPr="0097258B">
              <w:rPr>
                <w:rFonts w:ascii="Times New Roman" w:eastAsia="Arial" w:hAnsi="Times New Roman"/>
                <w:color w:val="000000" w:themeColor="text1"/>
                <w:sz w:val="20"/>
                <w:szCs w:val="20"/>
                <w:lang w:eastAsia="fr-FR"/>
              </w:rPr>
              <w:t>n</w:t>
            </w:r>
            <w:r w:rsidRPr="0097258B">
              <w:rPr>
                <w:rFonts w:ascii="Times New Roman" w:eastAsia="Arial" w:hAnsi="Times New Roman"/>
                <w:color w:val="000000" w:themeColor="text1"/>
                <w:spacing w:val="-1"/>
                <w:sz w:val="20"/>
                <w:szCs w:val="20"/>
                <w:lang w:eastAsia="fr-FR"/>
              </w:rPr>
              <w:t xml:space="preserve"> </w:t>
            </w:r>
            <w:r w:rsidRPr="0097258B">
              <w:rPr>
                <w:rFonts w:ascii="Times New Roman" w:eastAsia="Arial" w:hAnsi="Times New Roman"/>
                <w:color w:val="000000" w:themeColor="text1"/>
                <w:spacing w:val="1"/>
                <w:sz w:val="20"/>
                <w:szCs w:val="20"/>
                <w:lang w:eastAsia="fr-FR"/>
              </w:rPr>
              <w:t>ba</w:t>
            </w:r>
            <w:r w:rsidRPr="0097258B">
              <w:rPr>
                <w:rFonts w:ascii="Times New Roman" w:eastAsia="Arial" w:hAnsi="Times New Roman"/>
                <w:color w:val="000000" w:themeColor="text1"/>
                <w:spacing w:val="-1"/>
                <w:sz w:val="20"/>
                <w:szCs w:val="20"/>
                <w:lang w:eastAsia="fr-FR"/>
              </w:rPr>
              <w:t>s</w:t>
            </w:r>
            <w:r w:rsidRPr="0097258B">
              <w:rPr>
                <w:rFonts w:ascii="Times New Roman" w:eastAsia="Arial" w:hAnsi="Times New Roman"/>
                <w:color w:val="000000" w:themeColor="text1"/>
                <w:spacing w:val="3"/>
                <w:sz w:val="20"/>
                <w:szCs w:val="20"/>
                <w:lang w:eastAsia="fr-FR"/>
              </w:rPr>
              <w:t>s</w:t>
            </w:r>
            <w:r w:rsidRPr="0097258B">
              <w:rPr>
                <w:rFonts w:ascii="Times New Roman" w:eastAsia="Arial" w:hAnsi="Times New Roman"/>
                <w:color w:val="000000" w:themeColor="text1"/>
                <w:spacing w:val="-2"/>
                <w:sz w:val="20"/>
                <w:szCs w:val="20"/>
                <w:lang w:eastAsia="fr-FR"/>
              </w:rPr>
              <w:t>i</w:t>
            </w:r>
            <w:r w:rsidRPr="0097258B">
              <w:rPr>
                <w:rFonts w:ascii="Times New Roman" w:eastAsia="Arial" w:hAnsi="Times New Roman"/>
                <w:color w:val="000000" w:themeColor="text1"/>
                <w:sz w:val="20"/>
                <w:szCs w:val="20"/>
                <w:lang w:eastAsia="fr-FR"/>
              </w:rPr>
              <w:t>n</w:t>
            </w:r>
            <w:r w:rsidRPr="0097258B">
              <w:rPr>
                <w:rFonts w:ascii="Times New Roman" w:eastAsia="Arial" w:hAnsi="Times New Roman"/>
                <w:color w:val="000000" w:themeColor="text1"/>
                <w:spacing w:val="1"/>
                <w:sz w:val="20"/>
                <w:szCs w:val="20"/>
                <w:lang w:eastAsia="fr-FR"/>
              </w:rPr>
              <w:t xml:space="preserve"> d</w:t>
            </w:r>
            <w:r w:rsidRPr="0097258B">
              <w:rPr>
                <w:rFonts w:ascii="Times New Roman" w:eastAsia="Arial" w:hAnsi="Times New Roman"/>
                <w:color w:val="000000" w:themeColor="text1"/>
                <w:sz w:val="20"/>
                <w:szCs w:val="20"/>
                <w:lang w:eastAsia="fr-FR"/>
              </w:rPr>
              <w:t>e</w:t>
            </w:r>
            <w:r w:rsidRPr="0097258B">
              <w:rPr>
                <w:rFonts w:ascii="Times New Roman" w:eastAsia="Arial" w:hAnsi="Times New Roman"/>
                <w:color w:val="000000" w:themeColor="text1"/>
                <w:spacing w:val="-1"/>
                <w:sz w:val="20"/>
                <w:szCs w:val="20"/>
                <w:lang w:eastAsia="fr-FR"/>
              </w:rPr>
              <w:t xml:space="preserve"> </w:t>
            </w:r>
            <w:r w:rsidRPr="0097258B">
              <w:rPr>
                <w:rFonts w:ascii="Times New Roman" w:eastAsia="Arial" w:hAnsi="Times New Roman"/>
                <w:color w:val="000000" w:themeColor="text1"/>
                <w:spacing w:val="1"/>
                <w:sz w:val="20"/>
                <w:szCs w:val="20"/>
                <w:lang w:eastAsia="fr-FR"/>
              </w:rPr>
              <w:t>dé</w:t>
            </w:r>
            <w:r w:rsidRPr="0097258B">
              <w:rPr>
                <w:rFonts w:ascii="Times New Roman" w:eastAsia="Arial" w:hAnsi="Times New Roman"/>
                <w:color w:val="000000" w:themeColor="text1"/>
                <w:spacing w:val="-1"/>
                <w:sz w:val="20"/>
                <w:szCs w:val="20"/>
                <w:lang w:eastAsia="fr-FR"/>
              </w:rPr>
              <w:t>c</w:t>
            </w:r>
            <w:r w:rsidRPr="0097258B">
              <w:rPr>
                <w:rFonts w:ascii="Times New Roman" w:eastAsia="Arial" w:hAnsi="Times New Roman"/>
                <w:color w:val="000000" w:themeColor="text1"/>
                <w:spacing w:val="-2"/>
                <w:sz w:val="20"/>
                <w:szCs w:val="20"/>
                <w:lang w:eastAsia="fr-FR"/>
              </w:rPr>
              <w:t>a</w:t>
            </w:r>
            <w:r w:rsidRPr="0097258B">
              <w:rPr>
                <w:rFonts w:ascii="Times New Roman" w:eastAsia="Arial" w:hAnsi="Times New Roman"/>
                <w:color w:val="000000" w:themeColor="text1"/>
                <w:spacing w:val="1"/>
                <w:sz w:val="20"/>
                <w:szCs w:val="20"/>
                <w:lang w:eastAsia="fr-FR"/>
              </w:rPr>
              <w:t>n</w:t>
            </w:r>
            <w:r w:rsidRPr="0097258B">
              <w:rPr>
                <w:rFonts w:ascii="Times New Roman" w:eastAsia="Arial" w:hAnsi="Times New Roman"/>
                <w:color w:val="000000" w:themeColor="text1"/>
                <w:sz w:val="20"/>
                <w:szCs w:val="20"/>
                <w:lang w:eastAsia="fr-FR"/>
              </w:rPr>
              <w:t>t</w:t>
            </w:r>
            <w:r w:rsidRPr="0097258B">
              <w:rPr>
                <w:rFonts w:ascii="Times New Roman" w:eastAsia="Arial" w:hAnsi="Times New Roman"/>
                <w:color w:val="000000" w:themeColor="text1"/>
                <w:spacing w:val="1"/>
                <w:sz w:val="20"/>
                <w:szCs w:val="20"/>
                <w:lang w:eastAsia="fr-FR"/>
              </w:rPr>
              <w:t>a</w:t>
            </w:r>
            <w:r w:rsidRPr="0097258B">
              <w:rPr>
                <w:rFonts w:ascii="Times New Roman" w:eastAsia="Arial" w:hAnsi="Times New Roman"/>
                <w:color w:val="000000" w:themeColor="text1"/>
                <w:sz w:val="20"/>
                <w:szCs w:val="20"/>
                <w:lang w:eastAsia="fr-FR"/>
              </w:rPr>
              <w:t>t</w:t>
            </w:r>
            <w:r w:rsidRPr="0097258B">
              <w:rPr>
                <w:rFonts w:ascii="Times New Roman" w:eastAsia="Arial" w:hAnsi="Times New Roman"/>
                <w:color w:val="000000" w:themeColor="text1"/>
                <w:spacing w:val="-1"/>
                <w:sz w:val="20"/>
                <w:szCs w:val="20"/>
                <w:lang w:eastAsia="fr-FR"/>
              </w:rPr>
              <w:t>i</w:t>
            </w:r>
            <w:r w:rsidRPr="0097258B">
              <w:rPr>
                <w:rFonts w:ascii="Times New Roman" w:eastAsia="Arial" w:hAnsi="Times New Roman"/>
                <w:color w:val="000000" w:themeColor="text1"/>
                <w:spacing w:val="1"/>
                <w:sz w:val="20"/>
                <w:szCs w:val="20"/>
                <w:lang w:eastAsia="fr-FR"/>
              </w:rPr>
              <w:t>o</w:t>
            </w:r>
            <w:r w:rsidRPr="0097258B">
              <w:rPr>
                <w:rFonts w:ascii="Times New Roman" w:eastAsia="Arial" w:hAnsi="Times New Roman"/>
                <w:color w:val="000000" w:themeColor="text1"/>
                <w:sz w:val="20"/>
                <w:szCs w:val="20"/>
                <w:lang w:eastAsia="fr-FR"/>
              </w:rPr>
              <w:t>n</w:t>
            </w:r>
            <w:r w:rsidRPr="0097258B">
              <w:rPr>
                <w:rFonts w:ascii="Times New Roman" w:eastAsia="Arial" w:hAnsi="Times New Roman"/>
                <w:color w:val="000000" w:themeColor="text1"/>
                <w:spacing w:val="1"/>
                <w:sz w:val="20"/>
                <w:szCs w:val="20"/>
                <w:lang w:eastAsia="fr-FR"/>
              </w:rPr>
              <w:t xml:space="preserve"> é</w:t>
            </w:r>
            <w:r w:rsidRPr="0097258B">
              <w:rPr>
                <w:rFonts w:ascii="Times New Roman" w:eastAsia="Arial" w:hAnsi="Times New Roman"/>
                <w:color w:val="000000" w:themeColor="text1"/>
                <w:spacing w:val="-2"/>
                <w:sz w:val="20"/>
                <w:szCs w:val="20"/>
                <w:lang w:eastAsia="fr-FR"/>
              </w:rPr>
              <w:t>t</w:t>
            </w:r>
            <w:r w:rsidRPr="0097258B">
              <w:rPr>
                <w:rFonts w:ascii="Times New Roman" w:eastAsia="Arial" w:hAnsi="Times New Roman"/>
                <w:color w:val="000000" w:themeColor="text1"/>
                <w:spacing w:val="1"/>
                <w:sz w:val="20"/>
                <w:szCs w:val="20"/>
                <w:lang w:eastAsia="fr-FR"/>
              </w:rPr>
              <w:t>an</w:t>
            </w:r>
            <w:r w:rsidRPr="0097258B">
              <w:rPr>
                <w:rFonts w:ascii="Times New Roman" w:eastAsia="Arial" w:hAnsi="Times New Roman"/>
                <w:color w:val="000000" w:themeColor="text1"/>
                <w:spacing w:val="-1"/>
                <w:sz w:val="20"/>
                <w:szCs w:val="20"/>
                <w:lang w:eastAsia="fr-FR"/>
              </w:rPr>
              <w:t>c</w:t>
            </w:r>
            <w:r w:rsidRPr="0097258B">
              <w:rPr>
                <w:rFonts w:ascii="Times New Roman" w:eastAsia="Arial" w:hAnsi="Times New Roman"/>
                <w:color w:val="000000" w:themeColor="text1"/>
                <w:spacing w:val="1"/>
                <w:sz w:val="20"/>
                <w:szCs w:val="20"/>
                <w:lang w:eastAsia="fr-FR"/>
              </w:rPr>
              <w:t>h</w:t>
            </w:r>
            <w:r w:rsidRPr="0097258B">
              <w:rPr>
                <w:rFonts w:ascii="Times New Roman" w:eastAsia="Arial" w:hAnsi="Times New Roman"/>
                <w:color w:val="000000" w:themeColor="text1"/>
                <w:sz w:val="20"/>
                <w:szCs w:val="20"/>
                <w:lang w:eastAsia="fr-FR"/>
              </w:rPr>
              <w:t>e</w:t>
            </w: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65F3C6EF" w14:textId="77777777" w:rsidR="008F35C9" w:rsidRPr="0097258B" w:rsidRDefault="008F35C9" w:rsidP="00E20250">
            <w:pPr>
              <w:spacing w:after="0" w:line="240" w:lineRule="auto"/>
              <w:rPr>
                <w:rFonts w:ascii="Times New Roman" w:hAnsi="Times New Roman"/>
                <w:color w:val="000000" w:themeColor="text1"/>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423A241" w14:textId="77777777" w:rsidR="008F35C9" w:rsidRPr="0097258B" w:rsidRDefault="008F35C9" w:rsidP="00E20250">
            <w:pPr>
              <w:spacing w:after="0" w:line="240" w:lineRule="auto"/>
              <w:rPr>
                <w:rFonts w:ascii="Times New Roman" w:eastAsia="Times New Roman" w:hAnsi="Times New Roman"/>
                <w:color w:val="000000" w:themeColor="text1"/>
                <w:sz w:val="20"/>
                <w:szCs w:val="20"/>
                <w:lang w:eastAsia="fr-FR"/>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14:paraId="761472DF" w14:textId="77777777" w:rsidR="008F35C9" w:rsidRPr="0097258B" w:rsidRDefault="008F35C9" w:rsidP="00E20250">
            <w:pPr>
              <w:spacing w:after="0" w:line="240" w:lineRule="auto"/>
              <w:rPr>
                <w:rFonts w:ascii="Times New Roman" w:eastAsia="Times New Roman" w:hAnsi="Times New Roman"/>
                <w:color w:val="000000" w:themeColor="text1"/>
                <w:sz w:val="20"/>
                <w:szCs w:val="20"/>
                <w:lang w:eastAsia="fr-F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987DE5C" w14:textId="77777777" w:rsidR="008F35C9" w:rsidRPr="0097258B" w:rsidRDefault="008F35C9" w:rsidP="00E20250">
            <w:pPr>
              <w:spacing w:after="0" w:line="240" w:lineRule="auto"/>
              <w:rPr>
                <w:rFonts w:ascii="Times New Roman" w:eastAsia="Times New Roman" w:hAnsi="Times New Roman"/>
                <w:color w:val="000000" w:themeColor="text1"/>
                <w:sz w:val="20"/>
                <w:szCs w:val="20"/>
                <w:lang w:eastAsia="fr-FR"/>
              </w:rPr>
            </w:pPr>
          </w:p>
        </w:tc>
      </w:tr>
      <w:tr w:rsidR="00BD1A2F" w:rsidRPr="009B46E2" w14:paraId="0A052A93" w14:textId="77777777" w:rsidTr="00FD308E">
        <w:trPr>
          <w:gridAfter w:val="1"/>
          <w:wAfter w:w="8" w:type="dxa"/>
        </w:trPr>
        <w:tc>
          <w:tcPr>
            <w:tcW w:w="1580" w:type="dxa"/>
            <w:vMerge/>
            <w:tcBorders>
              <w:top w:val="single" w:sz="4" w:space="0" w:color="auto"/>
              <w:left w:val="single" w:sz="4" w:space="0" w:color="auto"/>
              <w:bottom w:val="single" w:sz="4" w:space="0" w:color="auto"/>
              <w:right w:val="single" w:sz="4" w:space="0" w:color="auto"/>
            </w:tcBorders>
            <w:vAlign w:val="center"/>
            <w:hideMark/>
          </w:tcPr>
          <w:p w14:paraId="4E7EE697" w14:textId="77777777" w:rsidR="008F35C9" w:rsidRPr="0097258B" w:rsidRDefault="008F35C9" w:rsidP="00E20250">
            <w:pPr>
              <w:spacing w:after="0" w:line="240" w:lineRule="auto"/>
              <w:rPr>
                <w:rFonts w:ascii="Times New Roman" w:hAnsi="Times New Roman"/>
                <w:b/>
                <w:bCs/>
                <w:color w:val="000000" w:themeColor="text1"/>
                <w:sz w:val="20"/>
                <w:szCs w:val="20"/>
              </w:rPr>
            </w:pPr>
          </w:p>
        </w:tc>
        <w:tc>
          <w:tcPr>
            <w:tcW w:w="3093" w:type="dxa"/>
            <w:tcBorders>
              <w:top w:val="single" w:sz="4" w:space="0" w:color="auto"/>
              <w:left w:val="single" w:sz="4" w:space="0" w:color="auto"/>
              <w:bottom w:val="single" w:sz="4" w:space="0" w:color="auto"/>
              <w:right w:val="single" w:sz="4" w:space="0" w:color="auto"/>
            </w:tcBorders>
            <w:vAlign w:val="center"/>
            <w:hideMark/>
          </w:tcPr>
          <w:p w14:paraId="7561004D" w14:textId="77777777" w:rsidR="008F35C9" w:rsidRPr="0097258B" w:rsidRDefault="008F35C9" w:rsidP="00E20250">
            <w:pPr>
              <w:spacing w:after="0" w:line="240" w:lineRule="auto"/>
              <w:jc w:val="both"/>
              <w:rPr>
                <w:rFonts w:ascii="Times New Roman" w:eastAsia="Arial" w:hAnsi="Times New Roman"/>
                <w:color w:val="000000" w:themeColor="text1"/>
                <w:spacing w:val="-1"/>
                <w:sz w:val="20"/>
                <w:szCs w:val="20"/>
                <w:lang w:eastAsia="fr-FR"/>
              </w:rPr>
            </w:pPr>
            <w:r w:rsidRPr="0097258B">
              <w:rPr>
                <w:rFonts w:ascii="Times New Roman" w:eastAsia="Arial" w:hAnsi="Times New Roman"/>
                <w:color w:val="000000" w:themeColor="text1"/>
                <w:sz w:val="20"/>
                <w:szCs w:val="20"/>
                <w:lang w:eastAsia="fr-FR"/>
              </w:rPr>
              <w:t>Re</w:t>
            </w:r>
            <w:r w:rsidRPr="0097258B">
              <w:rPr>
                <w:rFonts w:ascii="Times New Roman" w:eastAsia="Arial" w:hAnsi="Times New Roman"/>
                <w:color w:val="000000" w:themeColor="text1"/>
                <w:spacing w:val="1"/>
                <w:sz w:val="20"/>
                <w:szCs w:val="20"/>
                <w:lang w:eastAsia="fr-FR"/>
              </w:rPr>
              <w:t>je</w:t>
            </w:r>
            <w:r w:rsidRPr="0097258B">
              <w:rPr>
                <w:rFonts w:ascii="Times New Roman" w:eastAsia="Arial" w:hAnsi="Times New Roman"/>
                <w:color w:val="000000" w:themeColor="text1"/>
                <w:sz w:val="20"/>
                <w:szCs w:val="20"/>
                <w:lang w:eastAsia="fr-FR"/>
              </w:rPr>
              <w:t>ts</w:t>
            </w:r>
            <w:r w:rsidRPr="0097258B">
              <w:rPr>
                <w:rFonts w:ascii="Times New Roman" w:eastAsia="Arial" w:hAnsi="Times New Roman"/>
                <w:color w:val="000000" w:themeColor="text1"/>
                <w:spacing w:val="-1"/>
                <w:sz w:val="20"/>
                <w:szCs w:val="20"/>
                <w:lang w:eastAsia="fr-FR"/>
              </w:rPr>
              <w:t xml:space="preserve"> </w:t>
            </w:r>
            <w:r w:rsidRPr="0097258B">
              <w:rPr>
                <w:rFonts w:ascii="Times New Roman" w:eastAsia="Arial" w:hAnsi="Times New Roman"/>
                <w:color w:val="000000" w:themeColor="text1"/>
                <w:spacing w:val="1"/>
                <w:sz w:val="20"/>
                <w:szCs w:val="20"/>
                <w:lang w:eastAsia="fr-FR"/>
              </w:rPr>
              <w:t>d</w:t>
            </w:r>
            <w:r w:rsidRPr="0097258B">
              <w:rPr>
                <w:rFonts w:ascii="Times New Roman" w:eastAsia="Arial" w:hAnsi="Times New Roman"/>
                <w:color w:val="000000" w:themeColor="text1"/>
                <w:spacing w:val="-2"/>
                <w:sz w:val="20"/>
                <w:szCs w:val="20"/>
                <w:lang w:eastAsia="fr-FR"/>
              </w:rPr>
              <w:t>e</w:t>
            </w:r>
            <w:r w:rsidRPr="0097258B">
              <w:rPr>
                <w:rFonts w:ascii="Times New Roman" w:eastAsia="Arial" w:hAnsi="Times New Roman"/>
                <w:color w:val="000000" w:themeColor="text1"/>
                <w:sz w:val="20"/>
                <w:szCs w:val="20"/>
                <w:lang w:eastAsia="fr-FR"/>
              </w:rPr>
              <w:t>s</w:t>
            </w:r>
            <w:r w:rsidRPr="0097258B">
              <w:rPr>
                <w:rFonts w:ascii="Times New Roman" w:eastAsia="Arial" w:hAnsi="Times New Roman"/>
                <w:color w:val="000000" w:themeColor="text1"/>
                <w:spacing w:val="2"/>
                <w:sz w:val="20"/>
                <w:szCs w:val="20"/>
                <w:lang w:eastAsia="fr-FR"/>
              </w:rPr>
              <w:t xml:space="preserve"> </w:t>
            </w:r>
            <w:r w:rsidRPr="0097258B">
              <w:rPr>
                <w:rFonts w:ascii="Times New Roman" w:eastAsia="Arial" w:hAnsi="Times New Roman"/>
                <w:color w:val="000000" w:themeColor="text1"/>
                <w:spacing w:val="1"/>
                <w:sz w:val="20"/>
                <w:szCs w:val="20"/>
                <w:lang w:eastAsia="fr-FR"/>
              </w:rPr>
              <w:t>e</w:t>
            </w:r>
            <w:r w:rsidRPr="0097258B">
              <w:rPr>
                <w:rFonts w:ascii="Times New Roman" w:eastAsia="Arial" w:hAnsi="Times New Roman"/>
                <w:color w:val="000000" w:themeColor="text1"/>
                <w:spacing w:val="-2"/>
                <w:sz w:val="20"/>
                <w:szCs w:val="20"/>
                <w:lang w:eastAsia="fr-FR"/>
              </w:rPr>
              <w:t>a</w:t>
            </w:r>
            <w:r w:rsidRPr="0097258B">
              <w:rPr>
                <w:rFonts w:ascii="Times New Roman" w:eastAsia="Arial" w:hAnsi="Times New Roman"/>
                <w:color w:val="000000" w:themeColor="text1"/>
                <w:spacing w:val="1"/>
                <w:sz w:val="20"/>
                <w:szCs w:val="20"/>
                <w:lang w:eastAsia="fr-FR"/>
              </w:rPr>
              <w:t>u</w:t>
            </w:r>
            <w:r w:rsidRPr="0097258B">
              <w:rPr>
                <w:rFonts w:ascii="Times New Roman" w:eastAsia="Arial" w:hAnsi="Times New Roman"/>
                <w:color w:val="000000" w:themeColor="text1"/>
                <w:sz w:val="20"/>
                <w:szCs w:val="20"/>
                <w:lang w:eastAsia="fr-FR"/>
              </w:rPr>
              <w:t>x</w:t>
            </w:r>
            <w:r w:rsidRPr="0097258B">
              <w:rPr>
                <w:rFonts w:ascii="Times New Roman" w:eastAsia="Arial" w:hAnsi="Times New Roman"/>
                <w:color w:val="000000" w:themeColor="text1"/>
                <w:spacing w:val="-3"/>
                <w:sz w:val="20"/>
                <w:szCs w:val="20"/>
                <w:lang w:eastAsia="fr-FR"/>
              </w:rPr>
              <w:t xml:space="preserve"> </w:t>
            </w:r>
            <w:r w:rsidRPr="0097258B">
              <w:rPr>
                <w:rFonts w:ascii="Times New Roman" w:eastAsia="Arial" w:hAnsi="Times New Roman"/>
                <w:color w:val="000000" w:themeColor="text1"/>
                <w:spacing w:val="1"/>
                <w:sz w:val="20"/>
                <w:szCs w:val="20"/>
                <w:lang w:eastAsia="fr-FR"/>
              </w:rPr>
              <w:t>usée</w:t>
            </w:r>
            <w:r w:rsidRPr="0097258B">
              <w:rPr>
                <w:rFonts w:ascii="Times New Roman" w:eastAsia="Arial" w:hAnsi="Times New Roman"/>
                <w:color w:val="000000" w:themeColor="text1"/>
                <w:sz w:val="20"/>
                <w:szCs w:val="20"/>
                <w:lang w:eastAsia="fr-FR"/>
              </w:rPr>
              <w:t>s (</w:t>
            </w:r>
            <w:r w:rsidRPr="0097258B">
              <w:rPr>
                <w:rFonts w:ascii="Times New Roman" w:eastAsia="Arial" w:hAnsi="Times New Roman"/>
                <w:color w:val="000000" w:themeColor="text1"/>
                <w:spacing w:val="1"/>
                <w:sz w:val="20"/>
                <w:szCs w:val="20"/>
                <w:lang w:eastAsia="fr-FR"/>
              </w:rPr>
              <w:t>ca</w:t>
            </w:r>
            <w:r w:rsidRPr="0097258B">
              <w:rPr>
                <w:rFonts w:ascii="Times New Roman" w:eastAsia="Arial" w:hAnsi="Times New Roman"/>
                <w:color w:val="000000" w:themeColor="text1"/>
                <w:spacing w:val="-1"/>
                <w:sz w:val="20"/>
                <w:szCs w:val="20"/>
                <w:lang w:eastAsia="fr-FR"/>
              </w:rPr>
              <w:t>m</w:t>
            </w:r>
            <w:r w:rsidRPr="0097258B">
              <w:rPr>
                <w:rFonts w:ascii="Times New Roman" w:eastAsia="Arial" w:hAnsi="Times New Roman"/>
                <w:color w:val="000000" w:themeColor="text1"/>
                <w:spacing w:val="1"/>
                <w:sz w:val="20"/>
                <w:szCs w:val="20"/>
                <w:lang w:eastAsia="fr-FR"/>
              </w:rPr>
              <w:t>io</w:t>
            </w:r>
            <w:r w:rsidRPr="0097258B">
              <w:rPr>
                <w:rFonts w:ascii="Times New Roman" w:eastAsia="Arial" w:hAnsi="Times New Roman"/>
                <w:color w:val="000000" w:themeColor="text1"/>
                <w:spacing w:val="-2"/>
                <w:sz w:val="20"/>
                <w:szCs w:val="20"/>
                <w:lang w:eastAsia="fr-FR"/>
              </w:rPr>
              <w:t>n</w:t>
            </w:r>
            <w:r w:rsidRPr="0097258B">
              <w:rPr>
                <w:rFonts w:ascii="Times New Roman" w:eastAsia="Arial" w:hAnsi="Times New Roman"/>
                <w:color w:val="000000" w:themeColor="text1"/>
                <w:sz w:val="20"/>
                <w:szCs w:val="20"/>
                <w:lang w:eastAsia="fr-FR"/>
              </w:rPr>
              <w:t xml:space="preserve">s   </w:t>
            </w:r>
            <w:r w:rsidRPr="0097258B">
              <w:rPr>
                <w:rFonts w:ascii="Times New Roman" w:eastAsia="Arial" w:hAnsi="Times New Roman"/>
                <w:color w:val="000000" w:themeColor="text1"/>
                <w:spacing w:val="17"/>
                <w:sz w:val="20"/>
                <w:szCs w:val="20"/>
                <w:lang w:eastAsia="fr-FR"/>
              </w:rPr>
              <w:t xml:space="preserve"> </w:t>
            </w:r>
            <w:r w:rsidRPr="0097258B">
              <w:rPr>
                <w:rFonts w:ascii="Times New Roman" w:eastAsia="Arial" w:hAnsi="Times New Roman"/>
                <w:color w:val="000000" w:themeColor="text1"/>
                <w:spacing w:val="-2"/>
                <w:sz w:val="20"/>
                <w:szCs w:val="20"/>
                <w:lang w:eastAsia="fr-FR"/>
              </w:rPr>
              <w:t>t</w:t>
            </w:r>
            <w:r w:rsidRPr="0097258B">
              <w:rPr>
                <w:rFonts w:ascii="Times New Roman" w:eastAsia="Arial" w:hAnsi="Times New Roman"/>
                <w:color w:val="000000" w:themeColor="text1"/>
                <w:spacing w:val="1"/>
                <w:sz w:val="20"/>
                <w:szCs w:val="20"/>
                <w:lang w:eastAsia="fr-FR"/>
              </w:rPr>
              <w:t>ou</w:t>
            </w:r>
            <w:r w:rsidRPr="0097258B">
              <w:rPr>
                <w:rFonts w:ascii="Times New Roman" w:eastAsia="Arial" w:hAnsi="Times New Roman"/>
                <w:color w:val="000000" w:themeColor="text1"/>
                <w:spacing w:val="-2"/>
                <w:sz w:val="20"/>
                <w:szCs w:val="20"/>
                <w:lang w:eastAsia="fr-FR"/>
              </w:rPr>
              <w:t>p</w:t>
            </w:r>
            <w:r w:rsidRPr="0097258B">
              <w:rPr>
                <w:rFonts w:ascii="Times New Roman" w:eastAsia="Arial" w:hAnsi="Times New Roman"/>
                <w:color w:val="000000" w:themeColor="text1"/>
                <w:spacing w:val="1"/>
                <w:sz w:val="20"/>
                <w:szCs w:val="20"/>
                <w:lang w:eastAsia="fr-FR"/>
              </w:rPr>
              <w:t>ie</w:t>
            </w:r>
            <w:r w:rsidRPr="0097258B">
              <w:rPr>
                <w:rFonts w:ascii="Times New Roman" w:eastAsia="Arial" w:hAnsi="Times New Roman"/>
                <w:color w:val="000000" w:themeColor="text1"/>
                <w:spacing w:val="-1"/>
                <w:sz w:val="20"/>
                <w:szCs w:val="20"/>
                <w:lang w:eastAsia="fr-FR"/>
              </w:rPr>
              <w:t>s</w:t>
            </w:r>
            <w:r w:rsidRPr="0097258B">
              <w:rPr>
                <w:rFonts w:ascii="Times New Roman" w:eastAsia="Arial" w:hAnsi="Times New Roman"/>
                <w:color w:val="000000" w:themeColor="text1"/>
                <w:sz w:val="20"/>
                <w:szCs w:val="20"/>
                <w:lang w:eastAsia="fr-FR"/>
              </w:rPr>
              <w:t xml:space="preserve">, </w:t>
            </w:r>
            <w:r w:rsidRPr="0097258B">
              <w:rPr>
                <w:rFonts w:ascii="Times New Roman" w:eastAsia="Arial" w:hAnsi="Times New Roman"/>
                <w:color w:val="000000" w:themeColor="text1"/>
                <w:spacing w:val="1"/>
                <w:sz w:val="20"/>
                <w:szCs w:val="20"/>
                <w:lang w:eastAsia="fr-FR"/>
              </w:rPr>
              <w:t>bé</w:t>
            </w:r>
            <w:r w:rsidRPr="0097258B">
              <w:rPr>
                <w:rFonts w:ascii="Times New Roman" w:eastAsia="Arial" w:hAnsi="Times New Roman"/>
                <w:color w:val="000000" w:themeColor="text1"/>
                <w:sz w:val="20"/>
                <w:szCs w:val="20"/>
                <w:lang w:eastAsia="fr-FR"/>
              </w:rPr>
              <w:t>t</w:t>
            </w:r>
            <w:r w:rsidRPr="0097258B">
              <w:rPr>
                <w:rFonts w:ascii="Times New Roman" w:eastAsia="Arial" w:hAnsi="Times New Roman"/>
                <w:color w:val="000000" w:themeColor="text1"/>
                <w:spacing w:val="-1"/>
                <w:sz w:val="20"/>
                <w:szCs w:val="20"/>
                <w:lang w:eastAsia="fr-FR"/>
              </w:rPr>
              <w:t>o</w:t>
            </w:r>
            <w:r w:rsidRPr="0097258B">
              <w:rPr>
                <w:rFonts w:ascii="Times New Roman" w:eastAsia="Arial" w:hAnsi="Times New Roman"/>
                <w:color w:val="000000" w:themeColor="text1"/>
                <w:spacing w:val="1"/>
                <w:sz w:val="20"/>
                <w:szCs w:val="20"/>
                <w:lang w:eastAsia="fr-FR"/>
              </w:rPr>
              <w:t>nn</w:t>
            </w:r>
            <w:r w:rsidRPr="0097258B">
              <w:rPr>
                <w:rFonts w:ascii="Times New Roman" w:eastAsia="Arial" w:hAnsi="Times New Roman"/>
                <w:color w:val="000000" w:themeColor="text1"/>
                <w:spacing w:val="-2"/>
                <w:sz w:val="20"/>
                <w:szCs w:val="20"/>
                <w:lang w:eastAsia="fr-FR"/>
              </w:rPr>
              <w:t>i</w:t>
            </w:r>
            <w:r w:rsidRPr="0097258B">
              <w:rPr>
                <w:rFonts w:ascii="Times New Roman" w:eastAsia="Arial" w:hAnsi="Times New Roman"/>
                <w:color w:val="000000" w:themeColor="text1"/>
                <w:spacing w:val="1"/>
                <w:sz w:val="20"/>
                <w:szCs w:val="20"/>
                <w:lang w:eastAsia="fr-FR"/>
              </w:rPr>
              <w:t>è</w:t>
            </w:r>
            <w:r w:rsidRPr="0097258B">
              <w:rPr>
                <w:rFonts w:ascii="Times New Roman" w:eastAsia="Arial" w:hAnsi="Times New Roman"/>
                <w:color w:val="000000" w:themeColor="text1"/>
                <w:sz w:val="20"/>
                <w:szCs w:val="20"/>
                <w:lang w:eastAsia="fr-FR"/>
              </w:rPr>
              <w:t>r</w:t>
            </w:r>
            <w:r w:rsidRPr="0097258B">
              <w:rPr>
                <w:rFonts w:ascii="Times New Roman" w:eastAsia="Arial" w:hAnsi="Times New Roman"/>
                <w:color w:val="000000" w:themeColor="text1"/>
                <w:spacing w:val="1"/>
                <w:sz w:val="20"/>
                <w:szCs w:val="20"/>
                <w:lang w:eastAsia="fr-FR"/>
              </w:rPr>
              <w:t>es</w:t>
            </w:r>
            <w:r w:rsidRPr="0097258B">
              <w:rPr>
                <w:rFonts w:ascii="Times New Roman" w:eastAsia="Arial" w:hAnsi="Times New Roman"/>
                <w:color w:val="000000" w:themeColor="text1"/>
                <w:sz w:val="20"/>
                <w:szCs w:val="20"/>
                <w:lang w:eastAsia="fr-FR"/>
              </w:rPr>
              <w:t xml:space="preserve">), </w:t>
            </w:r>
            <w:r w:rsidRPr="0097258B">
              <w:rPr>
                <w:rFonts w:ascii="Times New Roman" w:eastAsia="Arial" w:hAnsi="Times New Roman"/>
                <w:color w:val="000000" w:themeColor="text1"/>
                <w:spacing w:val="1"/>
                <w:sz w:val="20"/>
                <w:szCs w:val="20"/>
                <w:lang w:eastAsia="fr-FR"/>
              </w:rPr>
              <w:t>d</w:t>
            </w:r>
            <w:r w:rsidRPr="0097258B">
              <w:rPr>
                <w:rFonts w:ascii="Times New Roman" w:eastAsia="Arial" w:hAnsi="Times New Roman"/>
                <w:color w:val="000000" w:themeColor="text1"/>
                <w:spacing w:val="-2"/>
                <w:sz w:val="20"/>
                <w:szCs w:val="20"/>
                <w:lang w:eastAsia="fr-FR"/>
              </w:rPr>
              <w:t>e</w:t>
            </w:r>
            <w:r w:rsidRPr="0097258B">
              <w:rPr>
                <w:rFonts w:ascii="Times New Roman" w:eastAsia="Arial" w:hAnsi="Times New Roman"/>
                <w:color w:val="000000" w:themeColor="text1"/>
                <w:sz w:val="20"/>
                <w:szCs w:val="20"/>
                <w:lang w:eastAsia="fr-FR"/>
              </w:rPr>
              <w:t xml:space="preserve">s   </w:t>
            </w:r>
            <w:r w:rsidRPr="0097258B">
              <w:rPr>
                <w:rFonts w:ascii="Times New Roman" w:eastAsia="Arial" w:hAnsi="Times New Roman"/>
                <w:color w:val="000000" w:themeColor="text1"/>
                <w:spacing w:val="15"/>
                <w:sz w:val="20"/>
                <w:szCs w:val="20"/>
                <w:lang w:eastAsia="fr-FR"/>
              </w:rPr>
              <w:t xml:space="preserve"> </w:t>
            </w:r>
            <w:r w:rsidRPr="0097258B">
              <w:rPr>
                <w:rFonts w:ascii="Times New Roman" w:eastAsia="Arial" w:hAnsi="Times New Roman"/>
                <w:color w:val="000000" w:themeColor="text1"/>
                <w:spacing w:val="1"/>
                <w:sz w:val="20"/>
                <w:szCs w:val="20"/>
                <w:lang w:eastAsia="fr-FR"/>
              </w:rPr>
              <w:t>eau</w:t>
            </w:r>
            <w:r w:rsidRPr="0097258B">
              <w:rPr>
                <w:rFonts w:ascii="Times New Roman" w:eastAsia="Arial" w:hAnsi="Times New Roman"/>
                <w:color w:val="000000" w:themeColor="text1"/>
                <w:sz w:val="20"/>
                <w:szCs w:val="20"/>
                <w:lang w:eastAsia="fr-FR"/>
              </w:rPr>
              <w:t>x</w:t>
            </w:r>
            <w:r w:rsidRPr="0097258B">
              <w:rPr>
                <w:rFonts w:ascii="Times New Roman" w:eastAsia="Arial" w:hAnsi="Times New Roman"/>
                <w:color w:val="000000" w:themeColor="text1"/>
                <w:spacing w:val="1"/>
                <w:sz w:val="20"/>
                <w:szCs w:val="20"/>
                <w:lang w:eastAsia="fr-FR"/>
              </w:rPr>
              <w:t xml:space="preserve"> cha</w:t>
            </w:r>
            <w:r w:rsidRPr="0097258B">
              <w:rPr>
                <w:rFonts w:ascii="Times New Roman" w:eastAsia="Arial" w:hAnsi="Times New Roman"/>
                <w:color w:val="000000" w:themeColor="text1"/>
                <w:sz w:val="20"/>
                <w:szCs w:val="20"/>
                <w:lang w:eastAsia="fr-FR"/>
              </w:rPr>
              <w:t>r</w:t>
            </w:r>
            <w:r w:rsidRPr="0097258B">
              <w:rPr>
                <w:rFonts w:ascii="Times New Roman" w:eastAsia="Arial" w:hAnsi="Times New Roman"/>
                <w:color w:val="000000" w:themeColor="text1"/>
                <w:spacing w:val="-2"/>
                <w:sz w:val="20"/>
                <w:szCs w:val="20"/>
                <w:lang w:eastAsia="fr-FR"/>
              </w:rPr>
              <w:t>g</w:t>
            </w:r>
            <w:r w:rsidRPr="0097258B">
              <w:rPr>
                <w:rFonts w:ascii="Times New Roman" w:eastAsia="Arial" w:hAnsi="Times New Roman"/>
                <w:color w:val="000000" w:themeColor="text1"/>
                <w:spacing w:val="1"/>
                <w:sz w:val="20"/>
                <w:szCs w:val="20"/>
                <w:lang w:eastAsia="fr-FR"/>
              </w:rPr>
              <w:t>ée</w:t>
            </w:r>
            <w:r w:rsidRPr="0097258B">
              <w:rPr>
                <w:rFonts w:ascii="Times New Roman" w:eastAsia="Arial" w:hAnsi="Times New Roman"/>
                <w:color w:val="000000" w:themeColor="text1"/>
                <w:sz w:val="20"/>
                <w:szCs w:val="20"/>
                <w:lang w:eastAsia="fr-FR"/>
              </w:rPr>
              <w:t>s</w:t>
            </w:r>
            <w:r w:rsidRPr="0097258B">
              <w:rPr>
                <w:rFonts w:ascii="Times New Roman" w:eastAsia="Arial" w:hAnsi="Times New Roman"/>
                <w:color w:val="000000" w:themeColor="text1"/>
                <w:spacing w:val="-1"/>
                <w:sz w:val="20"/>
                <w:szCs w:val="20"/>
                <w:lang w:eastAsia="fr-FR"/>
              </w:rPr>
              <w:t xml:space="preserve"> </w:t>
            </w:r>
            <w:r w:rsidRPr="0097258B">
              <w:rPr>
                <w:rFonts w:ascii="Times New Roman" w:eastAsia="Arial" w:hAnsi="Times New Roman"/>
                <w:color w:val="000000" w:themeColor="text1"/>
                <w:spacing w:val="1"/>
                <w:sz w:val="20"/>
                <w:szCs w:val="20"/>
                <w:lang w:eastAsia="fr-FR"/>
              </w:rPr>
              <w:t>d</w:t>
            </w:r>
            <w:r w:rsidRPr="0097258B">
              <w:rPr>
                <w:rFonts w:ascii="Times New Roman" w:eastAsia="Arial" w:hAnsi="Times New Roman"/>
                <w:color w:val="000000" w:themeColor="text1"/>
                <w:sz w:val="20"/>
                <w:szCs w:val="20"/>
                <w:lang w:eastAsia="fr-FR"/>
              </w:rPr>
              <w:t>e</w:t>
            </w:r>
            <w:r w:rsidRPr="0097258B">
              <w:rPr>
                <w:rFonts w:ascii="Times New Roman" w:eastAsia="Arial" w:hAnsi="Times New Roman"/>
                <w:color w:val="000000" w:themeColor="text1"/>
                <w:spacing w:val="-1"/>
                <w:sz w:val="20"/>
                <w:szCs w:val="20"/>
                <w:lang w:eastAsia="fr-FR"/>
              </w:rPr>
              <w:t xml:space="preserve"> </w:t>
            </w:r>
            <w:r w:rsidRPr="0097258B">
              <w:rPr>
                <w:rFonts w:ascii="Times New Roman" w:eastAsia="Arial" w:hAnsi="Times New Roman"/>
                <w:color w:val="000000" w:themeColor="text1"/>
                <w:spacing w:val="1"/>
                <w:sz w:val="20"/>
                <w:szCs w:val="20"/>
                <w:lang w:eastAsia="fr-FR"/>
              </w:rPr>
              <w:t>bé</w:t>
            </w:r>
            <w:r w:rsidRPr="0097258B">
              <w:rPr>
                <w:rFonts w:ascii="Times New Roman" w:eastAsia="Arial" w:hAnsi="Times New Roman"/>
                <w:color w:val="000000" w:themeColor="text1"/>
                <w:sz w:val="20"/>
                <w:szCs w:val="20"/>
                <w:lang w:eastAsia="fr-FR"/>
              </w:rPr>
              <w:t>t</w:t>
            </w:r>
            <w:r w:rsidRPr="0097258B">
              <w:rPr>
                <w:rFonts w:ascii="Times New Roman" w:eastAsia="Arial" w:hAnsi="Times New Roman"/>
                <w:color w:val="000000" w:themeColor="text1"/>
                <w:spacing w:val="-1"/>
                <w:sz w:val="20"/>
                <w:szCs w:val="20"/>
                <w:lang w:eastAsia="fr-FR"/>
              </w:rPr>
              <w:t>o</w:t>
            </w:r>
            <w:r w:rsidRPr="0097258B">
              <w:rPr>
                <w:rFonts w:ascii="Times New Roman" w:eastAsia="Arial" w:hAnsi="Times New Roman"/>
                <w:color w:val="000000" w:themeColor="text1"/>
                <w:sz w:val="20"/>
                <w:szCs w:val="20"/>
                <w:lang w:eastAsia="fr-FR"/>
              </w:rPr>
              <w:t>n</w:t>
            </w:r>
          </w:p>
        </w:tc>
        <w:tc>
          <w:tcPr>
            <w:tcW w:w="4111" w:type="dxa"/>
            <w:tcBorders>
              <w:top w:val="single" w:sz="4" w:space="0" w:color="auto"/>
              <w:left w:val="single" w:sz="4" w:space="0" w:color="auto"/>
              <w:bottom w:val="single" w:sz="4" w:space="0" w:color="auto"/>
              <w:right w:val="single" w:sz="4" w:space="0" w:color="auto"/>
            </w:tcBorders>
            <w:vAlign w:val="center"/>
            <w:hideMark/>
          </w:tcPr>
          <w:p w14:paraId="255574D3" w14:textId="77777777" w:rsidR="008F35C9" w:rsidRPr="0097258B" w:rsidRDefault="008F35C9" w:rsidP="00E20250">
            <w:pPr>
              <w:spacing w:after="0" w:line="240" w:lineRule="auto"/>
              <w:jc w:val="both"/>
              <w:rPr>
                <w:rFonts w:ascii="Times New Roman" w:eastAsia="Arial" w:hAnsi="Times New Roman"/>
                <w:i/>
                <w:iCs/>
                <w:color w:val="000000" w:themeColor="text1"/>
                <w:sz w:val="20"/>
                <w:szCs w:val="20"/>
                <w:lang w:eastAsia="fr-FR"/>
              </w:rPr>
            </w:pPr>
            <w:r w:rsidRPr="0097258B">
              <w:rPr>
                <w:rFonts w:ascii="Times New Roman" w:eastAsia="Arial" w:hAnsi="Times New Roman"/>
                <w:color w:val="000000" w:themeColor="text1"/>
                <w:sz w:val="20"/>
                <w:szCs w:val="20"/>
                <w:lang w:eastAsia="fr-FR"/>
              </w:rPr>
              <w:t>Nombre d’infraction de non-co</w:t>
            </w:r>
            <w:r w:rsidRPr="0097258B">
              <w:rPr>
                <w:rFonts w:ascii="Times New Roman" w:eastAsia="Arial" w:hAnsi="Times New Roman"/>
                <w:color w:val="000000" w:themeColor="text1"/>
                <w:spacing w:val="1"/>
                <w:sz w:val="20"/>
                <w:szCs w:val="20"/>
                <w:lang w:eastAsia="fr-FR"/>
              </w:rPr>
              <w:t>n</w:t>
            </w:r>
            <w:r w:rsidRPr="0097258B">
              <w:rPr>
                <w:rFonts w:ascii="Times New Roman" w:eastAsia="Arial" w:hAnsi="Times New Roman"/>
                <w:color w:val="000000" w:themeColor="text1"/>
                <w:sz w:val="20"/>
                <w:szCs w:val="20"/>
                <w:lang w:eastAsia="fr-FR"/>
              </w:rPr>
              <w:t>f</w:t>
            </w:r>
            <w:r w:rsidRPr="0097258B">
              <w:rPr>
                <w:rFonts w:ascii="Times New Roman" w:eastAsia="Arial" w:hAnsi="Times New Roman"/>
                <w:color w:val="000000" w:themeColor="text1"/>
                <w:spacing w:val="1"/>
                <w:sz w:val="20"/>
                <w:szCs w:val="20"/>
                <w:lang w:eastAsia="fr-FR"/>
              </w:rPr>
              <w:t>o</w:t>
            </w:r>
            <w:r w:rsidRPr="0097258B">
              <w:rPr>
                <w:rFonts w:ascii="Times New Roman" w:eastAsia="Arial" w:hAnsi="Times New Roman"/>
                <w:color w:val="000000" w:themeColor="text1"/>
                <w:sz w:val="20"/>
                <w:szCs w:val="20"/>
                <w:lang w:eastAsia="fr-FR"/>
              </w:rPr>
              <w:t>r</w:t>
            </w:r>
            <w:r w:rsidRPr="0097258B">
              <w:rPr>
                <w:rFonts w:ascii="Times New Roman" w:eastAsia="Arial" w:hAnsi="Times New Roman"/>
                <w:color w:val="000000" w:themeColor="text1"/>
                <w:spacing w:val="-1"/>
                <w:sz w:val="20"/>
                <w:szCs w:val="20"/>
                <w:lang w:eastAsia="fr-FR"/>
              </w:rPr>
              <w:t>m</w:t>
            </w:r>
            <w:r w:rsidRPr="0097258B">
              <w:rPr>
                <w:rFonts w:ascii="Times New Roman" w:eastAsia="Arial" w:hAnsi="Times New Roman"/>
                <w:color w:val="000000" w:themeColor="text1"/>
                <w:spacing w:val="1"/>
                <w:sz w:val="20"/>
                <w:szCs w:val="20"/>
                <w:lang w:eastAsia="fr-FR"/>
              </w:rPr>
              <w:t>i</w:t>
            </w:r>
            <w:r w:rsidRPr="0097258B">
              <w:rPr>
                <w:rFonts w:ascii="Times New Roman" w:eastAsia="Arial" w:hAnsi="Times New Roman"/>
                <w:color w:val="000000" w:themeColor="text1"/>
                <w:sz w:val="20"/>
                <w:szCs w:val="20"/>
                <w:lang w:eastAsia="fr-FR"/>
              </w:rPr>
              <w:t>té</w:t>
            </w:r>
            <w:r w:rsidRPr="0097258B">
              <w:rPr>
                <w:rFonts w:ascii="Times New Roman" w:eastAsia="Arial" w:hAnsi="Times New Roman"/>
                <w:color w:val="000000" w:themeColor="text1"/>
                <w:spacing w:val="-11"/>
                <w:sz w:val="20"/>
                <w:szCs w:val="20"/>
                <w:lang w:eastAsia="fr-FR"/>
              </w:rPr>
              <w:t xml:space="preserve"> </w:t>
            </w:r>
            <w:r w:rsidRPr="0097258B">
              <w:rPr>
                <w:rFonts w:ascii="Times New Roman" w:eastAsia="Arial" w:hAnsi="Times New Roman"/>
                <w:color w:val="000000" w:themeColor="text1"/>
                <w:spacing w:val="1"/>
                <w:sz w:val="20"/>
                <w:szCs w:val="20"/>
                <w:lang w:eastAsia="fr-FR"/>
              </w:rPr>
              <w:t>d</w:t>
            </w:r>
            <w:r w:rsidRPr="0097258B">
              <w:rPr>
                <w:rFonts w:ascii="Times New Roman" w:eastAsia="Arial" w:hAnsi="Times New Roman"/>
                <w:color w:val="000000" w:themeColor="text1"/>
                <w:spacing w:val="-2"/>
                <w:sz w:val="20"/>
                <w:szCs w:val="20"/>
                <w:lang w:eastAsia="fr-FR"/>
              </w:rPr>
              <w:t>e</w:t>
            </w:r>
            <w:r w:rsidRPr="0097258B">
              <w:rPr>
                <w:rFonts w:ascii="Times New Roman" w:eastAsia="Arial" w:hAnsi="Times New Roman"/>
                <w:color w:val="000000" w:themeColor="text1"/>
                <w:sz w:val="20"/>
                <w:szCs w:val="20"/>
                <w:lang w:eastAsia="fr-FR"/>
              </w:rPr>
              <w:t>s</w:t>
            </w:r>
            <w:r w:rsidRPr="0097258B">
              <w:rPr>
                <w:rFonts w:ascii="Times New Roman" w:eastAsia="Arial" w:hAnsi="Times New Roman"/>
                <w:color w:val="000000" w:themeColor="text1"/>
                <w:spacing w:val="-8"/>
                <w:sz w:val="20"/>
                <w:szCs w:val="20"/>
                <w:lang w:eastAsia="fr-FR"/>
              </w:rPr>
              <w:t xml:space="preserve"> </w:t>
            </w:r>
            <w:r w:rsidRPr="0097258B">
              <w:rPr>
                <w:rFonts w:ascii="Times New Roman" w:eastAsia="Arial" w:hAnsi="Times New Roman"/>
                <w:color w:val="000000" w:themeColor="text1"/>
                <w:sz w:val="20"/>
                <w:szCs w:val="20"/>
                <w:lang w:eastAsia="fr-FR"/>
              </w:rPr>
              <w:t>r</w:t>
            </w:r>
            <w:r w:rsidRPr="0097258B">
              <w:rPr>
                <w:rFonts w:ascii="Times New Roman" w:eastAsia="Arial" w:hAnsi="Times New Roman"/>
                <w:color w:val="000000" w:themeColor="text1"/>
                <w:spacing w:val="1"/>
                <w:sz w:val="20"/>
                <w:szCs w:val="20"/>
                <w:lang w:eastAsia="fr-FR"/>
              </w:rPr>
              <w:t>e</w:t>
            </w:r>
            <w:r w:rsidRPr="0097258B">
              <w:rPr>
                <w:rFonts w:ascii="Times New Roman" w:eastAsia="Arial" w:hAnsi="Times New Roman"/>
                <w:color w:val="000000" w:themeColor="text1"/>
                <w:spacing w:val="-2"/>
                <w:sz w:val="20"/>
                <w:szCs w:val="20"/>
                <w:lang w:eastAsia="fr-FR"/>
              </w:rPr>
              <w:t>j</w:t>
            </w:r>
            <w:r w:rsidRPr="0097258B">
              <w:rPr>
                <w:rFonts w:ascii="Times New Roman" w:eastAsia="Arial" w:hAnsi="Times New Roman"/>
                <w:color w:val="000000" w:themeColor="text1"/>
                <w:spacing w:val="1"/>
                <w:sz w:val="20"/>
                <w:szCs w:val="20"/>
                <w:lang w:eastAsia="fr-FR"/>
              </w:rPr>
              <w:t>e</w:t>
            </w:r>
            <w:r w:rsidRPr="0097258B">
              <w:rPr>
                <w:rFonts w:ascii="Times New Roman" w:eastAsia="Arial" w:hAnsi="Times New Roman"/>
                <w:color w:val="000000" w:themeColor="text1"/>
                <w:sz w:val="20"/>
                <w:szCs w:val="20"/>
                <w:lang w:eastAsia="fr-FR"/>
              </w:rPr>
              <w:t>ts</w:t>
            </w:r>
            <w:r w:rsidRPr="0097258B">
              <w:rPr>
                <w:rFonts w:ascii="Times New Roman" w:eastAsia="Arial" w:hAnsi="Times New Roman"/>
                <w:color w:val="000000" w:themeColor="text1"/>
                <w:spacing w:val="-10"/>
                <w:sz w:val="20"/>
                <w:szCs w:val="20"/>
                <w:lang w:eastAsia="fr-FR"/>
              </w:rPr>
              <w:t xml:space="preserve"> </w:t>
            </w:r>
            <w:r w:rsidRPr="0097258B">
              <w:rPr>
                <w:rFonts w:ascii="Times New Roman" w:eastAsia="Arial" w:hAnsi="Times New Roman"/>
                <w:color w:val="000000" w:themeColor="text1"/>
                <w:sz w:val="20"/>
                <w:szCs w:val="20"/>
                <w:lang w:eastAsia="fr-FR"/>
              </w:rPr>
              <w:t>(</w:t>
            </w:r>
            <w:r w:rsidRPr="0097258B">
              <w:rPr>
                <w:rFonts w:ascii="Times New Roman" w:eastAsia="Arial" w:hAnsi="Times New Roman"/>
                <w:color w:val="000000" w:themeColor="text1"/>
                <w:spacing w:val="-3"/>
                <w:sz w:val="20"/>
                <w:szCs w:val="20"/>
                <w:lang w:eastAsia="fr-FR"/>
              </w:rPr>
              <w:t>M</w:t>
            </w:r>
            <w:r w:rsidRPr="0097258B">
              <w:rPr>
                <w:rFonts w:ascii="Times New Roman" w:eastAsia="Arial" w:hAnsi="Times New Roman"/>
                <w:color w:val="000000" w:themeColor="text1"/>
                <w:sz w:val="20"/>
                <w:szCs w:val="20"/>
                <w:lang w:eastAsia="fr-FR"/>
              </w:rPr>
              <w:t>ES,</w:t>
            </w:r>
            <w:r w:rsidRPr="0097258B">
              <w:rPr>
                <w:rFonts w:ascii="Times New Roman" w:eastAsia="Arial" w:hAnsi="Times New Roman"/>
                <w:color w:val="000000" w:themeColor="text1"/>
                <w:spacing w:val="-9"/>
                <w:sz w:val="20"/>
                <w:szCs w:val="20"/>
                <w:lang w:eastAsia="fr-FR"/>
              </w:rPr>
              <w:t xml:space="preserve"> </w:t>
            </w:r>
            <w:r w:rsidRPr="0097258B">
              <w:rPr>
                <w:rFonts w:ascii="Times New Roman" w:eastAsia="Arial" w:hAnsi="Times New Roman"/>
                <w:color w:val="000000" w:themeColor="text1"/>
                <w:sz w:val="20"/>
                <w:szCs w:val="20"/>
                <w:lang w:eastAsia="fr-FR"/>
              </w:rPr>
              <w:t>pH,</w:t>
            </w:r>
            <w:r w:rsidRPr="0097258B">
              <w:rPr>
                <w:rFonts w:ascii="Times New Roman" w:eastAsia="Arial" w:hAnsi="Times New Roman"/>
                <w:color w:val="000000" w:themeColor="text1"/>
                <w:spacing w:val="-9"/>
                <w:sz w:val="20"/>
                <w:szCs w:val="20"/>
                <w:lang w:eastAsia="fr-FR"/>
              </w:rPr>
              <w:t xml:space="preserve"> </w:t>
            </w:r>
            <w:r w:rsidRPr="0097258B">
              <w:rPr>
                <w:rFonts w:ascii="Times New Roman" w:eastAsia="Arial" w:hAnsi="Times New Roman"/>
                <w:color w:val="000000" w:themeColor="text1"/>
                <w:sz w:val="20"/>
                <w:szCs w:val="20"/>
                <w:lang w:eastAsia="fr-FR"/>
              </w:rPr>
              <w:t>D</w:t>
            </w:r>
            <w:r w:rsidRPr="0097258B">
              <w:rPr>
                <w:rFonts w:ascii="Times New Roman" w:eastAsia="Arial" w:hAnsi="Times New Roman"/>
                <w:color w:val="000000" w:themeColor="text1"/>
                <w:spacing w:val="-1"/>
                <w:sz w:val="20"/>
                <w:szCs w:val="20"/>
                <w:lang w:eastAsia="fr-FR"/>
              </w:rPr>
              <w:t>CO</w:t>
            </w:r>
            <w:r w:rsidRPr="0097258B">
              <w:rPr>
                <w:rFonts w:ascii="Times New Roman" w:eastAsia="Arial" w:hAnsi="Times New Roman"/>
                <w:color w:val="000000" w:themeColor="text1"/>
                <w:sz w:val="20"/>
                <w:szCs w:val="20"/>
                <w:lang w:eastAsia="fr-FR"/>
              </w:rPr>
              <w:t>,</w:t>
            </w:r>
            <w:r w:rsidRPr="0097258B">
              <w:rPr>
                <w:rFonts w:ascii="Times New Roman" w:eastAsia="Arial" w:hAnsi="Times New Roman"/>
                <w:color w:val="000000" w:themeColor="text1"/>
                <w:spacing w:val="-9"/>
                <w:sz w:val="20"/>
                <w:szCs w:val="20"/>
                <w:lang w:eastAsia="fr-FR"/>
              </w:rPr>
              <w:t xml:space="preserve"> </w:t>
            </w:r>
            <w:r w:rsidRPr="0097258B">
              <w:rPr>
                <w:rFonts w:ascii="Times New Roman" w:eastAsia="Arial" w:hAnsi="Times New Roman"/>
                <w:color w:val="000000" w:themeColor="text1"/>
                <w:spacing w:val="1"/>
                <w:sz w:val="20"/>
                <w:szCs w:val="20"/>
                <w:lang w:eastAsia="fr-FR"/>
              </w:rPr>
              <w:t>h</w:t>
            </w:r>
            <w:r w:rsidRPr="0097258B">
              <w:rPr>
                <w:rFonts w:ascii="Times New Roman" w:eastAsia="Arial" w:hAnsi="Times New Roman"/>
                <w:color w:val="000000" w:themeColor="text1"/>
                <w:spacing w:val="-1"/>
                <w:sz w:val="20"/>
                <w:szCs w:val="20"/>
                <w:lang w:eastAsia="fr-FR"/>
              </w:rPr>
              <w:t>y</w:t>
            </w:r>
            <w:r w:rsidRPr="0097258B">
              <w:rPr>
                <w:rFonts w:ascii="Times New Roman" w:eastAsia="Arial" w:hAnsi="Times New Roman"/>
                <w:color w:val="000000" w:themeColor="text1"/>
                <w:spacing w:val="1"/>
                <w:sz w:val="20"/>
                <w:szCs w:val="20"/>
                <w:lang w:eastAsia="fr-FR"/>
              </w:rPr>
              <w:t>d</w:t>
            </w:r>
            <w:r w:rsidRPr="0097258B">
              <w:rPr>
                <w:rFonts w:ascii="Times New Roman" w:eastAsia="Arial" w:hAnsi="Times New Roman"/>
                <w:color w:val="000000" w:themeColor="text1"/>
                <w:sz w:val="20"/>
                <w:szCs w:val="20"/>
                <w:lang w:eastAsia="fr-FR"/>
              </w:rPr>
              <w:t>r</w:t>
            </w:r>
            <w:r w:rsidRPr="0097258B">
              <w:rPr>
                <w:rFonts w:ascii="Times New Roman" w:eastAsia="Arial" w:hAnsi="Times New Roman"/>
                <w:color w:val="000000" w:themeColor="text1"/>
                <w:spacing w:val="1"/>
                <w:sz w:val="20"/>
                <w:szCs w:val="20"/>
                <w:lang w:eastAsia="fr-FR"/>
              </w:rPr>
              <w:t>o</w:t>
            </w:r>
            <w:r w:rsidRPr="0097258B">
              <w:rPr>
                <w:rFonts w:ascii="Times New Roman" w:eastAsia="Arial" w:hAnsi="Times New Roman"/>
                <w:color w:val="000000" w:themeColor="text1"/>
                <w:spacing w:val="-1"/>
                <w:sz w:val="20"/>
                <w:szCs w:val="20"/>
                <w:lang w:eastAsia="fr-FR"/>
              </w:rPr>
              <w:t>c</w:t>
            </w:r>
            <w:r w:rsidRPr="0097258B">
              <w:rPr>
                <w:rFonts w:ascii="Times New Roman" w:eastAsia="Arial" w:hAnsi="Times New Roman"/>
                <w:color w:val="000000" w:themeColor="text1"/>
                <w:spacing w:val="1"/>
                <w:sz w:val="20"/>
                <w:szCs w:val="20"/>
                <w:lang w:eastAsia="fr-FR"/>
              </w:rPr>
              <w:t>a</w:t>
            </w:r>
            <w:r w:rsidRPr="0097258B">
              <w:rPr>
                <w:rFonts w:ascii="Times New Roman" w:eastAsia="Arial" w:hAnsi="Times New Roman"/>
                <w:color w:val="000000" w:themeColor="text1"/>
                <w:sz w:val="20"/>
                <w:szCs w:val="20"/>
                <w:lang w:eastAsia="fr-FR"/>
              </w:rPr>
              <w:t>r</w:t>
            </w:r>
            <w:r w:rsidRPr="0097258B">
              <w:rPr>
                <w:rFonts w:ascii="Times New Roman" w:eastAsia="Arial" w:hAnsi="Times New Roman"/>
                <w:color w:val="000000" w:themeColor="text1"/>
                <w:spacing w:val="1"/>
                <w:sz w:val="20"/>
                <w:szCs w:val="20"/>
                <w:lang w:eastAsia="fr-FR"/>
              </w:rPr>
              <w:t>bu</w:t>
            </w:r>
            <w:r w:rsidRPr="0097258B">
              <w:rPr>
                <w:rFonts w:ascii="Times New Roman" w:eastAsia="Arial" w:hAnsi="Times New Roman"/>
                <w:color w:val="000000" w:themeColor="text1"/>
                <w:spacing w:val="-2"/>
                <w:sz w:val="20"/>
                <w:szCs w:val="20"/>
                <w:lang w:eastAsia="fr-FR"/>
              </w:rPr>
              <w:t>r</w:t>
            </w:r>
            <w:r w:rsidRPr="0097258B">
              <w:rPr>
                <w:rFonts w:ascii="Times New Roman" w:eastAsia="Arial" w:hAnsi="Times New Roman"/>
                <w:color w:val="000000" w:themeColor="text1"/>
                <w:spacing w:val="1"/>
                <w:sz w:val="20"/>
                <w:szCs w:val="20"/>
                <w:lang w:eastAsia="fr-FR"/>
              </w:rPr>
              <w:t>es</w:t>
            </w:r>
            <w:r w:rsidRPr="0097258B">
              <w:rPr>
                <w:rFonts w:ascii="Times New Roman" w:eastAsia="Arial" w:hAnsi="Times New Roman"/>
                <w:color w:val="000000" w:themeColor="text1"/>
                <w:sz w:val="20"/>
                <w:szCs w:val="20"/>
                <w:lang w:eastAsia="fr-FR"/>
              </w:rPr>
              <w:t xml:space="preserve">, </w:t>
            </w:r>
            <w:r w:rsidRPr="0097258B">
              <w:rPr>
                <w:rFonts w:ascii="Times New Roman" w:eastAsia="Arial" w:hAnsi="Times New Roman"/>
                <w:color w:val="000000" w:themeColor="text1"/>
                <w:spacing w:val="1"/>
                <w:sz w:val="20"/>
                <w:szCs w:val="20"/>
                <w:lang w:eastAsia="fr-FR"/>
              </w:rPr>
              <w:t>g</w:t>
            </w:r>
            <w:r w:rsidRPr="0097258B">
              <w:rPr>
                <w:rFonts w:ascii="Times New Roman" w:eastAsia="Arial" w:hAnsi="Times New Roman"/>
                <w:color w:val="000000" w:themeColor="text1"/>
                <w:sz w:val="20"/>
                <w:szCs w:val="20"/>
                <w:lang w:eastAsia="fr-FR"/>
              </w:rPr>
              <w:t>r</w:t>
            </w:r>
            <w:r w:rsidRPr="0097258B">
              <w:rPr>
                <w:rFonts w:ascii="Times New Roman" w:eastAsia="Arial" w:hAnsi="Times New Roman"/>
                <w:color w:val="000000" w:themeColor="text1"/>
                <w:spacing w:val="1"/>
                <w:sz w:val="20"/>
                <w:szCs w:val="20"/>
                <w:lang w:eastAsia="fr-FR"/>
              </w:rPr>
              <w:t>ai</w:t>
            </w:r>
            <w:r w:rsidRPr="0097258B">
              <w:rPr>
                <w:rFonts w:ascii="Times New Roman" w:eastAsia="Arial" w:hAnsi="Times New Roman"/>
                <w:color w:val="000000" w:themeColor="text1"/>
                <w:spacing w:val="-1"/>
                <w:sz w:val="20"/>
                <w:szCs w:val="20"/>
                <w:lang w:eastAsia="fr-FR"/>
              </w:rPr>
              <w:t>s</w:t>
            </w:r>
            <w:r w:rsidRPr="0097258B">
              <w:rPr>
                <w:rFonts w:ascii="Times New Roman" w:eastAsia="Arial" w:hAnsi="Times New Roman"/>
                <w:color w:val="000000" w:themeColor="text1"/>
                <w:spacing w:val="1"/>
                <w:sz w:val="20"/>
                <w:szCs w:val="20"/>
                <w:lang w:eastAsia="fr-FR"/>
              </w:rPr>
              <w:t>s</w:t>
            </w:r>
            <w:r w:rsidRPr="0097258B">
              <w:rPr>
                <w:rFonts w:ascii="Times New Roman" w:eastAsia="Arial" w:hAnsi="Times New Roman"/>
                <w:color w:val="000000" w:themeColor="text1"/>
                <w:spacing w:val="-2"/>
                <w:sz w:val="20"/>
                <w:szCs w:val="20"/>
                <w:lang w:eastAsia="fr-FR"/>
              </w:rPr>
              <w:t>e</w:t>
            </w:r>
            <w:r w:rsidRPr="0097258B">
              <w:rPr>
                <w:rFonts w:ascii="Times New Roman" w:eastAsia="Arial" w:hAnsi="Times New Roman"/>
                <w:color w:val="000000" w:themeColor="text1"/>
                <w:spacing w:val="1"/>
                <w:sz w:val="20"/>
                <w:szCs w:val="20"/>
                <w:lang w:eastAsia="fr-FR"/>
              </w:rPr>
              <w:t>s</w:t>
            </w:r>
            <w:r w:rsidRPr="0097258B">
              <w:rPr>
                <w:rFonts w:ascii="Times New Roman" w:eastAsia="Arial" w:hAnsi="Times New Roman"/>
                <w:color w:val="000000" w:themeColor="text1"/>
                <w:sz w:val="20"/>
                <w:szCs w:val="20"/>
                <w:lang w:eastAsia="fr-FR"/>
              </w:rPr>
              <w:t xml:space="preserve">) </w:t>
            </w:r>
            <w:r w:rsidRPr="0097258B">
              <w:rPr>
                <w:rFonts w:ascii="Times New Roman" w:eastAsia="Arial" w:hAnsi="Times New Roman"/>
                <w:color w:val="000000" w:themeColor="text1"/>
                <w:spacing w:val="1"/>
                <w:sz w:val="20"/>
                <w:szCs w:val="20"/>
                <w:lang w:eastAsia="fr-FR"/>
              </w:rPr>
              <w:t>a</w:t>
            </w:r>
            <w:r w:rsidRPr="0097258B">
              <w:rPr>
                <w:rFonts w:ascii="Times New Roman" w:eastAsia="Arial" w:hAnsi="Times New Roman"/>
                <w:color w:val="000000" w:themeColor="text1"/>
                <w:spacing w:val="-1"/>
                <w:sz w:val="20"/>
                <w:szCs w:val="20"/>
                <w:lang w:eastAsia="fr-FR"/>
              </w:rPr>
              <w:t>v</w:t>
            </w:r>
            <w:r w:rsidRPr="0097258B">
              <w:rPr>
                <w:rFonts w:ascii="Times New Roman" w:eastAsia="Arial" w:hAnsi="Times New Roman"/>
                <w:color w:val="000000" w:themeColor="text1"/>
                <w:spacing w:val="1"/>
                <w:sz w:val="20"/>
                <w:szCs w:val="20"/>
                <w:lang w:eastAsia="fr-FR"/>
              </w:rPr>
              <w:t>e</w:t>
            </w:r>
            <w:r w:rsidRPr="0097258B">
              <w:rPr>
                <w:rFonts w:ascii="Times New Roman" w:eastAsia="Arial" w:hAnsi="Times New Roman"/>
                <w:color w:val="000000" w:themeColor="text1"/>
                <w:sz w:val="20"/>
                <w:szCs w:val="20"/>
                <w:lang w:eastAsia="fr-FR"/>
              </w:rPr>
              <w:t>c</w:t>
            </w:r>
            <w:r w:rsidRPr="0097258B">
              <w:rPr>
                <w:rFonts w:ascii="Times New Roman" w:eastAsia="Arial" w:hAnsi="Times New Roman"/>
                <w:color w:val="000000" w:themeColor="text1"/>
                <w:spacing w:val="-1"/>
                <w:sz w:val="20"/>
                <w:szCs w:val="20"/>
                <w:lang w:eastAsia="fr-FR"/>
              </w:rPr>
              <w:t xml:space="preserve"> </w:t>
            </w:r>
            <w:r w:rsidRPr="0097258B">
              <w:rPr>
                <w:rFonts w:ascii="Times New Roman" w:eastAsia="Arial" w:hAnsi="Times New Roman"/>
                <w:color w:val="000000" w:themeColor="text1"/>
                <w:spacing w:val="1"/>
                <w:sz w:val="20"/>
                <w:szCs w:val="20"/>
                <w:lang w:eastAsia="fr-FR"/>
              </w:rPr>
              <w:t>l</w:t>
            </w:r>
            <w:r w:rsidRPr="0097258B">
              <w:rPr>
                <w:rFonts w:ascii="Times New Roman" w:eastAsia="Arial" w:hAnsi="Times New Roman"/>
                <w:color w:val="000000" w:themeColor="text1"/>
                <w:sz w:val="20"/>
                <w:szCs w:val="20"/>
                <w:lang w:eastAsia="fr-FR"/>
              </w:rPr>
              <w:t>a</w:t>
            </w:r>
            <w:r w:rsidRPr="0097258B">
              <w:rPr>
                <w:rFonts w:ascii="Times New Roman" w:eastAsia="Arial" w:hAnsi="Times New Roman"/>
                <w:color w:val="000000" w:themeColor="text1"/>
                <w:spacing w:val="-1"/>
                <w:sz w:val="20"/>
                <w:szCs w:val="20"/>
                <w:lang w:eastAsia="fr-FR"/>
              </w:rPr>
              <w:t xml:space="preserve"> </w:t>
            </w:r>
            <w:r w:rsidRPr="0097258B">
              <w:rPr>
                <w:rFonts w:ascii="Times New Roman" w:eastAsia="Arial" w:hAnsi="Times New Roman"/>
                <w:color w:val="000000" w:themeColor="text1"/>
                <w:spacing w:val="1"/>
                <w:sz w:val="20"/>
                <w:szCs w:val="20"/>
                <w:lang w:eastAsia="fr-FR"/>
              </w:rPr>
              <w:t>no</w:t>
            </w:r>
            <w:r w:rsidRPr="0097258B">
              <w:rPr>
                <w:rFonts w:ascii="Times New Roman" w:eastAsia="Arial" w:hAnsi="Times New Roman"/>
                <w:color w:val="000000" w:themeColor="text1"/>
                <w:spacing w:val="-2"/>
                <w:sz w:val="20"/>
                <w:szCs w:val="20"/>
                <w:lang w:eastAsia="fr-FR"/>
              </w:rPr>
              <w:t>r</w:t>
            </w:r>
            <w:r w:rsidRPr="0097258B">
              <w:rPr>
                <w:rFonts w:ascii="Times New Roman" w:eastAsia="Arial" w:hAnsi="Times New Roman"/>
                <w:color w:val="000000" w:themeColor="text1"/>
                <w:spacing w:val="1"/>
                <w:sz w:val="20"/>
                <w:szCs w:val="20"/>
                <w:lang w:eastAsia="fr-FR"/>
              </w:rPr>
              <w:t>m</w:t>
            </w:r>
            <w:r w:rsidRPr="0097258B">
              <w:rPr>
                <w:rFonts w:ascii="Times New Roman" w:eastAsia="Arial" w:hAnsi="Times New Roman"/>
                <w:color w:val="000000" w:themeColor="text1"/>
                <w:sz w:val="20"/>
                <w:szCs w:val="20"/>
                <w:lang w:eastAsia="fr-FR"/>
              </w:rPr>
              <w:t>e</w:t>
            </w:r>
            <w:r w:rsidRPr="0097258B">
              <w:rPr>
                <w:rFonts w:ascii="Times New Roman" w:eastAsia="Arial" w:hAnsi="Times New Roman"/>
                <w:color w:val="000000" w:themeColor="text1"/>
                <w:spacing w:val="1"/>
                <w:sz w:val="20"/>
                <w:szCs w:val="20"/>
                <w:lang w:eastAsia="fr-FR"/>
              </w:rPr>
              <w:t xml:space="preserve"> </w:t>
            </w:r>
            <w:r w:rsidRPr="0097258B">
              <w:rPr>
                <w:rFonts w:ascii="Times New Roman" w:eastAsia="Arial" w:hAnsi="Times New Roman"/>
                <w:color w:val="000000" w:themeColor="text1"/>
                <w:sz w:val="20"/>
                <w:szCs w:val="20"/>
                <w:lang w:eastAsia="fr-FR"/>
              </w:rPr>
              <w:t>NS</w:t>
            </w:r>
            <w:r w:rsidRPr="0097258B">
              <w:rPr>
                <w:rFonts w:ascii="Times New Roman" w:eastAsia="Arial" w:hAnsi="Times New Roman"/>
                <w:color w:val="000000" w:themeColor="text1"/>
                <w:spacing w:val="-2"/>
                <w:sz w:val="20"/>
                <w:szCs w:val="20"/>
                <w:lang w:eastAsia="fr-FR"/>
              </w:rPr>
              <w:t xml:space="preserve"> </w:t>
            </w:r>
            <w:r w:rsidRPr="0097258B">
              <w:rPr>
                <w:rFonts w:ascii="Times New Roman" w:eastAsia="Arial" w:hAnsi="Times New Roman"/>
                <w:color w:val="000000" w:themeColor="text1"/>
                <w:spacing w:val="1"/>
                <w:sz w:val="20"/>
                <w:szCs w:val="20"/>
                <w:lang w:eastAsia="fr-FR"/>
              </w:rPr>
              <w:t>0</w:t>
            </w:r>
            <w:r w:rsidRPr="0097258B">
              <w:rPr>
                <w:rFonts w:ascii="Times New Roman" w:eastAsia="Arial" w:hAnsi="Times New Roman"/>
                <w:color w:val="000000" w:themeColor="text1"/>
                <w:spacing w:val="2"/>
                <w:sz w:val="20"/>
                <w:szCs w:val="20"/>
                <w:lang w:eastAsia="fr-FR"/>
              </w:rPr>
              <w:t>5</w:t>
            </w:r>
            <w:r w:rsidRPr="0097258B">
              <w:rPr>
                <w:rFonts w:ascii="Times New Roman" w:eastAsia="Arial" w:hAnsi="Times New Roman"/>
                <w:color w:val="000000" w:themeColor="text1"/>
                <w:sz w:val="20"/>
                <w:szCs w:val="20"/>
                <w:lang w:eastAsia="fr-FR"/>
              </w:rPr>
              <w:t>-</w:t>
            </w:r>
            <w:r w:rsidRPr="0097258B">
              <w:rPr>
                <w:rFonts w:ascii="Times New Roman" w:eastAsia="Arial" w:hAnsi="Times New Roman"/>
                <w:color w:val="000000" w:themeColor="text1"/>
                <w:spacing w:val="1"/>
                <w:sz w:val="20"/>
                <w:szCs w:val="20"/>
                <w:lang w:eastAsia="fr-FR"/>
              </w:rPr>
              <w:t>06</w:t>
            </w:r>
            <w:r w:rsidRPr="0097258B">
              <w:rPr>
                <w:rFonts w:ascii="Times New Roman" w:eastAsia="Arial" w:hAnsi="Times New Roman"/>
                <w:color w:val="000000" w:themeColor="text1"/>
                <w:sz w:val="20"/>
                <w:szCs w:val="20"/>
                <w:lang w:eastAsia="fr-FR"/>
              </w:rPr>
              <w:t>1</w:t>
            </w: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5A6F7707" w14:textId="77777777" w:rsidR="008F35C9" w:rsidRPr="0097258B" w:rsidRDefault="008F35C9" w:rsidP="00E20250">
            <w:pPr>
              <w:spacing w:after="0" w:line="240" w:lineRule="auto"/>
              <w:rPr>
                <w:rFonts w:ascii="Times New Roman" w:hAnsi="Times New Roman"/>
                <w:color w:val="000000" w:themeColor="text1"/>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136201D" w14:textId="77777777" w:rsidR="008F35C9" w:rsidRPr="0097258B" w:rsidRDefault="008F35C9" w:rsidP="00E20250">
            <w:pPr>
              <w:spacing w:after="0" w:line="240" w:lineRule="auto"/>
              <w:rPr>
                <w:rFonts w:ascii="Times New Roman" w:eastAsia="Times New Roman" w:hAnsi="Times New Roman"/>
                <w:color w:val="000000" w:themeColor="text1"/>
                <w:sz w:val="20"/>
                <w:szCs w:val="20"/>
                <w:lang w:eastAsia="fr-FR"/>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14:paraId="147AA07A" w14:textId="77777777" w:rsidR="008F35C9" w:rsidRPr="0097258B" w:rsidRDefault="008F35C9" w:rsidP="00E20250">
            <w:pPr>
              <w:spacing w:after="0" w:line="240" w:lineRule="auto"/>
              <w:rPr>
                <w:rFonts w:ascii="Times New Roman" w:eastAsia="Times New Roman" w:hAnsi="Times New Roman"/>
                <w:color w:val="000000" w:themeColor="text1"/>
                <w:sz w:val="20"/>
                <w:szCs w:val="20"/>
                <w:lang w:eastAsia="fr-F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F6B14AE" w14:textId="77777777" w:rsidR="008F35C9" w:rsidRPr="0097258B" w:rsidRDefault="008F35C9" w:rsidP="00E20250">
            <w:pPr>
              <w:spacing w:after="0" w:line="240" w:lineRule="auto"/>
              <w:rPr>
                <w:rFonts w:ascii="Times New Roman" w:eastAsia="Times New Roman" w:hAnsi="Times New Roman"/>
                <w:color w:val="000000" w:themeColor="text1"/>
                <w:sz w:val="20"/>
                <w:szCs w:val="20"/>
                <w:lang w:eastAsia="fr-FR"/>
              </w:rPr>
            </w:pPr>
          </w:p>
        </w:tc>
      </w:tr>
      <w:tr w:rsidR="00BD1A2F" w:rsidRPr="009B46E2" w14:paraId="75FAFFEC" w14:textId="77777777" w:rsidTr="00FD308E">
        <w:trPr>
          <w:gridAfter w:val="1"/>
          <w:wAfter w:w="8" w:type="dxa"/>
        </w:trPr>
        <w:tc>
          <w:tcPr>
            <w:tcW w:w="1580" w:type="dxa"/>
            <w:tcBorders>
              <w:top w:val="single" w:sz="4" w:space="0" w:color="auto"/>
              <w:left w:val="single" w:sz="4" w:space="0" w:color="auto"/>
              <w:bottom w:val="single" w:sz="4" w:space="0" w:color="auto"/>
              <w:right w:val="single" w:sz="4" w:space="0" w:color="auto"/>
            </w:tcBorders>
            <w:vAlign w:val="center"/>
            <w:hideMark/>
          </w:tcPr>
          <w:p w14:paraId="033EEC9F" w14:textId="77777777" w:rsidR="008F35C9" w:rsidRPr="0097258B" w:rsidRDefault="008F35C9" w:rsidP="00E20250">
            <w:pPr>
              <w:autoSpaceDE w:val="0"/>
              <w:autoSpaceDN w:val="0"/>
              <w:adjustRightInd w:val="0"/>
              <w:spacing w:after="0" w:line="240" w:lineRule="auto"/>
              <w:rPr>
                <w:rFonts w:ascii="Times New Roman" w:hAnsi="Times New Roman"/>
                <w:b/>
                <w:bCs/>
                <w:color w:val="000000" w:themeColor="text1"/>
                <w:sz w:val="20"/>
                <w:szCs w:val="20"/>
              </w:rPr>
            </w:pPr>
            <w:r w:rsidRPr="0097258B">
              <w:rPr>
                <w:rFonts w:ascii="Times New Roman" w:hAnsi="Times New Roman"/>
                <w:b/>
                <w:bCs/>
                <w:color w:val="000000" w:themeColor="text1"/>
                <w:sz w:val="20"/>
                <w:szCs w:val="20"/>
              </w:rPr>
              <w:t>Humain</w:t>
            </w:r>
          </w:p>
        </w:tc>
        <w:tc>
          <w:tcPr>
            <w:tcW w:w="3093" w:type="dxa"/>
            <w:tcBorders>
              <w:top w:val="single" w:sz="4" w:space="0" w:color="auto"/>
              <w:left w:val="single" w:sz="4" w:space="0" w:color="auto"/>
              <w:bottom w:val="single" w:sz="4" w:space="0" w:color="auto"/>
              <w:right w:val="single" w:sz="4" w:space="0" w:color="auto"/>
            </w:tcBorders>
            <w:vAlign w:val="center"/>
            <w:hideMark/>
          </w:tcPr>
          <w:p w14:paraId="2008517A" w14:textId="04CA440F" w:rsidR="008F35C9" w:rsidRPr="0097258B" w:rsidRDefault="006018F5" w:rsidP="00E20250">
            <w:pPr>
              <w:spacing w:after="0" w:line="240" w:lineRule="auto"/>
              <w:jc w:val="both"/>
              <w:rPr>
                <w:rFonts w:ascii="Times New Roman" w:eastAsia="Arial" w:hAnsi="Times New Roman"/>
                <w:color w:val="000000" w:themeColor="text1"/>
                <w:sz w:val="20"/>
                <w:szCs w:val="20"/>
                <w:lang w:eastAsia="fr-FR"/>
              </w:rPr>
            </w:pPr>
            <w:r w:rsidRPr="0097258B">
              <w:rPr>
                <w:rFonts w:ascii="Times New Roman" w:eastAsia="Arial" w:hAnsi="Times New Roman"/>
                <w:color w:val="000000" w:themeColor="text1"/>
                <w:sz w:val="20"/>
                <w:szCs w:val="20"/>
                <w:lang w:eastAsia="fr-FR"/>
              </w:rPr>
              <w:t xml:space="preserve">Conflits </w:t>
            </w:r>
            <w:r w:rsidR="00294C19" w:rsidRPr="0097258B">
              <w:rPr>
                <w:rFonts w:ascii="Times New Roman" w:eastAsia="Arial" w:hAnsi="Times New Roman"/>
                <w:color w:val="000000" w:themeColor="text1"/>
                <w:sz w:val="20"/>
                <w:szCs w:val="20"/>
                <w:lang w:eastAsia="fr-FR"/>
              </w:rPr>
              <w:t>AES/HS</w:t>
            </w:r>
            <w:r w:rsidR="008F35C9" w:rsidRPr="0097258B">
              <w:rPr>
                <w:rFonts w:ascii="Times New Roman" w:eastAsia="Arial" w:hAnsi="Times New Roman"/>
                <w:color w:val="000000" w:themeColor="text1"/>
                <w:sz w:val="20"/>
                <w:szCs w:val="20"/>
                <w:lang w:eastAsia="fr-FR"/>
              </w:rPr>
              <w:t xml:space="preserve"> liés au projet</w:t>
            </w:r>
          </w:p>
        </w:tc>
        <w:tc>
          <w:tcPr>
            <w:tcW w:w="4111" w:type="dxa"/>
            <w:tcBorders>
              <w:top w:val="single" w:sz="4" w:space="0" w:color="auto"/>
              <w:left w:val="single" w:sz="4" w:space="0" w:color="auto"/>
              <w:bottom w:val="single" w:sz="4" w:space="0" w:color="auto"/>
              <w:right w:val="single" w:sz="4" w:space="0" w:color="auto"/>
            </w:tcBorders>
            <w:vAlign w:val="center"/>
            <w:hideMark/>
          </w:tcPr>
          <w:p w14:paraId="7A2A7442" w14:textId="77777777" w:rsidR="008F35C9" w:rsidRPr="0097258B" w:rsidRDefault="008F35C9" w:rsidP="00E20250">
            <w:pPr>
              <w:autoSpaceDE w:val="0"/>
              <w:autoSpaceDN w:val="0"/>
              <w:adjustRightInd w:val="0"/>
              <w:spacing w:after="0" w:line="240" w:lineRule="auto"/>
              <w:jc w:val="both"/>
              <w:rPr>
                <w:rFonts w:ascii="Times New Roman" w:eastAsia="Times New Roman" w:hAnsi="Times New Roman"/>
                <w:i/>
                <w:iCs/>
                <w:color w:val="000000" w:themeColor="text1"/>
                <w:sz w:val="20"/>
                <w:szCs w:val="20"/>
                <w:lang w:eastAsia="fr-FR"/>
              </w:rPr>
            </w:pPr>
            <w:r w:rsidRPr="0097258B">
              <w:rPr>
                <w:rFonts w:ascii="Times New Roman" w:hAnsi="Times New Roman"/>
                <w:color w:val="000000" w:themeColor="text1"/>
                <w:sz w:val="20"/>
                <w:szCs w:val="20"/>
              </w:rPr>
              <w:t>Nombre de plaintes reçues et traitées</w:t>
            </w:r>
          </w:p>
        </w:tc>
        <w:tc>
          <w:tcPr>
            <w:tcW w:w="1370" w:type="dxa"/>
            <w:tcBorders>
              <w:top w:val="single" w:sz="4" w:space="0" w:color="auto"/>
              <w:left w:val="single" w:sz="4" w:space="0" w:color="auto"/>
              <w:bottom w:val="single" w:sz="4" w:space="0" w:color="auto"/>
              <w:right w:val="single" w:sz="4" w:space="0" w:color="auto"/>
            </w:tcBorders>
            <w:vAlign w:val="center"/>
            <w:hideMark/>
          </w:tcPr>
          <w:p w14:paraId="49BB0EFF" w14:textId="77777777" w:rsidR="008F35C9" w:rsidRPr="0097258B" w:rsidRDefault="008F35C9"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Mensuelle</w:t>
            </w:r>
          </w:p>
        </w:tc>
        <w:tc>
          <w:tcPr>
            <w:tcW w:w="1559" w:type="dxa"/>
            <w:tcBorders>
              <w:top w:val="single" w:sz="4" w:space="0" w:color="auto"/>
              <w:left w:val="single" w:sz="4" w:space="0" w:color="auto"/>
              <w:bottom w:val="single" w:sz="4" w:space="0" w:color="auto"/>
              <w:right w:val="single" w:sz="4" w:space="0" w:color="auto"/>
            </w:tcBorders>
            <w:vAlign w:val="center"/>
          </w:tcPr>
          <w:p w14:paraId="021752C9" w14:textId="1290ECD9"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CGES</w:t>
            </w:r>
            <w:r w:rsidR="00294C19" w:rsidRPr="0097258B">
              <w:rPr>
                <w:rFonts w:ascii="Times New Roman" w:eastAsia="Times New Roman" w:hAnsi="Times New Roman"/>
                <w:color w:val="000000" w:themeColor="text1"/>
                <w:sz w:val="20"/>
                <w:szCs w:val="20"/>
                <w:lang w:eastAsia="fr-FR"/>
              </w:rPr>
              <w:t>/</w:t>
            </w:r>
            <w:r w:rsidRPr="0097258B">
              <w:rPr>
                <w:rFonts w:ascii="Times New Roman" w:eastAsia="Times New Roman" w:hAnsi="Times New Roman"/>
                <w:color w:val="000000" w:themeColor="text1"/>
                <w:sz w:val="20"/>
                <w:szCs w:val="20"/>
                <w:lang w:eastAsia="fr-FR"/>
              </w:rPr>
              <w:t>ADM</w:t>
            </w:r>
          </w:p>
        </w:tc>
        <w:tc>
          <w:tcPr>
            <w:tcW w:w="1488" w:type="dxa"/>
            <w:tcBorders>
              <w:top w:val="single" w:sz="4" w:space="0" w:color="auto"/>
              <w:left w:val="single" w:sz="4" w:space="0" w:color="auto"/>
              <w:bottom w:val="single" w:sz="4" w:space="0" w:color="auto"/>
              <w:right w:val="single" w:sz="4" w:space="0" w:color="auto"/>
            </w:tcBorders>
            <w:vAlign w:val="center"/>
            <w:hideMark/>
          </w:tcPr>
          <w:p w14:paraId="53CFAABB"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CLGP</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D5AD3D"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CRSE</w:t>
            </w:r>
          </w:p>
          <w:p w14:paraId="0063DDD2"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lastRenderedPageBreak/>
              <w:t xml:space="preserve">Maison de justice </w:t>
            </w:r>
          </w:p>
          <w:p w14:paraId="124180E8"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Commune</w:t>
            </w:r>
          </w:p>
        </w:tc>
      </w:tr>
      <w:tr w:rsidR="00BD1A2F" w:rsidRPr="009B46E2" w14:paraId="5C6F1A6D" w14:textId="77777777" w:rsidTr="00FD308E">
        <w:trPr>
          <w:gridAfter w:val="1"/>
          <w:wAfter w:w="8" w:type="dxa"/>
          <w:trHeight w:val="1359"/>
        </w:trPr>
        <w:tc>
          <w:tcPr>
            <w:tcW w:w="1580" w:type="dxa"/>
            <w:vMerge w:val="restart"/>
            <w:tcBorders>
              <w:top w:val="single" w:sz="4" w:space="0" w:color="auto"/>
              <w:left w:val="single" w:sz="4" w:space="0" w:color="auto"/>
              <w:bottom w:val="single" w:sz="4" w:space="0" w:color="auto"/>
              <w:right w:val="single" w:sz="4" w:space="0" w:color="auto"/>
            </w:tcBorders>
            <w:vAlign w:val="center"/>
            <w:hideMark/>
          </w:tcPr>
          <w:p w14:paraId="3938FF6C" w14:textId="77777777" w:rsidR="008F35C9" w:rsidRPr="0097258B" w:rsidRDefault="008F35C9" w:rsidP="00E20250">
            <w:pPr>
              <w:autoSpaceDE w:val="0"/>
              <w:autoSpaceDN w:val="0"/>
              <w:adjustRightInd w:val="0"/>
              <w:spacing w:after="0" w:line="240" w:lineRule="auto"/>
              <w:rPr>
                <w:rFonts w:ascii="Times New Roman" w:hAnsi="Times New Roman"/>
                <w:b/>
                <w:bCs/>
                <w:color w:val="000000" w:themeColor="text1"/>
                <w:sz w:val="20"/>
                <w:szCs w:val="20"/>
              </w:rPr>
            </w:pPr>
            <w:r w:rsidRPr="0097258B">
              <w:rPr>
                <w:rFonts w:ascii="Times New Roman" w:hAnsi="Times New Roman"/>
                <w:b/>
                <w:bCs/>
                <w:color w:val="000000" w:themeColor="text1"/>
                <w:sz w:val="20"/>
                <w:szCs w:val="20"/>
              </w:rPr>
              <w:t>Santé, Hygiène et sécurité</w:t>
            </w:r>
          </w:p>
        </w:tc>
        <w:tc>
          <w:tcPr>
            <w:tcW w:w="3093" w:type="dxa"/>
            <w:vMerge w:val="restart"/>
            <w:tcBorders>
              <w:top w:val="single" w:sz="4" w:space="0" w:color="auto"/>
              <w:left w:val="single" w:sz="4" w:space="0" w:color="auto"/>
              <w:bottom w:val="single" w:sz="4" w:space="0" w:color="auto"/>
              <w:right w:val="single" w:sz="4" w:space="0" w:color="auto"/>
            </w:tcBorders>
            <w:vAlign w:val="center"/>
            <w:hideMark/>
          </w:tcPr>
          <w:p w14:paraId="5AAB937F" w14:textId="77777777" w:rsidR="008F35C9" w:rsidRPr="0097258B" w:rsidRDefault="008F35C9" w:rsidP="00E20250">
            <w:pPr>
              <w:spacing w:after="0" w:line="240" w:lineRule="auto"/>
              <w:jc w:val="both"/>
              <w:rPr>
                <w:rFonts w:ascii="Times New Roman" w:eastAsia="Arial"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Respects des mesures d’hygiène et de sécurité</w:t>
            </w:r>
          </w:p>
        </w:tc>
        <w:tc>
          <w:tcPr>
            <w:tcW w:w="4111" w:type="dxa"/>
            <w:tcBorders>
              <w:top w:val="single" w:sz="4" w:space="0" w:color="auto"/>
              <w:left w:val="single" w:sz="4" w:space="0" w:color="auto"/>
              <w:bottom w:val="single" w:sz="4" w:space="0" w:color="auto"/>
              <w:right w:val="single" w:sz="4" w:space="0" w:color="auto"/>
            </w:tcBorders>
            <w:vAlign w:val="center"/>
          </w:tcPr>
          <w:p w14:paraId="034650FF" w14:textId="77777777" w:rsidR="008F35C9" w:rsidRPr="0097258B" w:rsidRDefault="008F35C9" w:rsidP="00E20250">
            <w:pPr>
              <w:spacing w:after="0" w:line="240" w:lineRule="auto"/>
              <w:jc w:val="both"/>
              <w:rPr>
                <w:rFonts w:ascii="Times New Roman" w:eastAsia="Times New Roman" w:hAnsi="Times New Roman"/>
                <w:i/>
                <w:iCs/>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Niveau de respect des mesures d’hygiène </w:t>
            </w:r>
          </w:p>
          <w:p w14:paraId="37D8AD78" w14:textId="440D6D19" w:rsidR="008F35C9" w:rsidRPr="0097258B" w:rsidRDefault="008F35C9" w:rsidP="00E20250">
            <w:pPr>
              <w:spacing w:after="0" w:line="240" w:lineRule="auto"/>
              <w:jc w:val="both"/>
              <w:rPr>
                <w:rFonts w:ascii="Times New Roman" w:eastAsia="Times New Roman" w:hAnsi="Times New Roman"/>
                <w:i/>
                <w:iCs/>
                <w:color w:val="000000" w:themeColor="text1"/>
                <w:sz w:val="20"/>
                <w:szCs w:val="20"/>
                <w:lang w:eastAsia="fr-FR"/>
              </w:rPr>
            </w:pPr>
            <w:r w:rsidRPr="0097258B">
              <w:rPr>
                <w:rFonts w:ascii="Times New Roman" w:eastAsia="Times New Roman" w:hAnsi="Times New Roman"/>
                <w:color w:val="000000" w:themeColor="text1"/>
                <w:sz w:val="20"/>
                <w:szCs w:val="20"/>
                <w:lang w:eastAsia="fr-FR"/>
              </w:rPr>
              <w:t>Existence d’un système de collecte et d’élimination des déchets au niveau du chantier</w:t>
            </w:r>
          </w:p>
        </w:tc>
        <w:tc>
          <w:tcPr>
            <w:tcW w:w="1370" w:type="dxa"/>
            <w:vMerge w:val="restart"/>
            <w:tcBorders>
              <w:top w:val="single" w:sz="4" w:space="0" w:color="auto"/>
              <w:left w:val="single" w:sz="4" w:space="0" w:color="auto"/>
              <w:bottom w:val="single" w:sz="4" w:space="0" w:color="auto"/>
              <w:right w:val="single" w:sz="4" w:space="0" w:color="auto"/>
            </w:tcBorders>
            <w:vAlign w:val="center"/>
            <w:hideMark/>
          </w:tcPr>
          <w:p w14:paraId="0E83952F" w14:textId="77777777" w:rsidR="008F35C9" w:rsidRPr="0097258B" w:rsidRDefault="008F35C9"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Quotidienne</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68FEF594" w14:textId="77777777" w:rsidR="008F35C9" w:rsidRPr="0097258B" w:rsidRDefault="008F35C9" w:rsidP="00E20250">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Entreprises</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14:paraId="18200FE0"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highlight w:val="yellow"/>
                <w:lang w:eastAsia="fr-FR"/>
              </w:rPr>
            </w:pPr>
            <w:r w:rsidRPr="0097258B">
              <w:rPr>
                <w:rFonts w:ascii="Times New Roman" w:eastAsia="Times New Roman" w:hAnsi="Times New Roman"/>
                <w:color w:val="000000" w:themeColor="text1"/>
                <w:sz w:val="20"/>
                <w:szCs w:val="20"/>
                <w:lang w:eastAsia="fr-FR"/>
              </w:rPr>
              <w:t>MDC</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210DC770"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CRSE</w:t>
            </w:r>
          </w:p>
          <w:p w14:paraId="28A8DCF8"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District sanitaire</w:t>
            </w:r>
          </w:p>
          <w:p w14:paraId="7131E24B"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Inspection du travail</w:t>
            </w:r>
          </w:p>
          <w:p w14:paraId="21C34D09"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DPC</w:t>
            </w:r>
          </w:p>
        </w:tc>
      </w:tr>
      <w:tr w:rsidR="00BD1A2F" w:rsidRPr="009B46E2" w14:paraId="56897570" w14:textId="77777777" w:rsidTr="00FD308E">
        <w:trPr>
          <w:gridAfter w:val="1"/>
          <w:wAfter w:w="8" w:type="dxa"/>
          <w:trHeight w:val="1380"/>
        </w:trPr>
        <w:tc>
          <w:tcPr>
            <w:tcW w:w="1580" w:type="dxa"/>
            <w:vMerge/>
            <w:tcBorders>
              <w:top w:val="single" w:sz="4" w:space="0" w:color="auto"/>
              <w:left w:val="single" w:sz="4" w:space="0" w:color="auto"/>
              <w:bottom w:val="single" w:sz="4" w:space="0" w:color="auto"/>
              <w:right w:val="single" w:sz="4" w:space="0" w:color="auto"/>
            </w:tcBorders>
            <w:vAlign w:val="center"/>
            <w:hideMark/>
          </w:tcPr>
          <w:p w14:paraId="2D559E5E" w14:textId="77777777" w:rsidR="008F35C9" w:rsidRPr="0097258B" w:rsidRDefault="008F35C9" w:rsidP="00E20250">
            <w:pPr>
              <w:spacing w:after="0" w:line="240" w:lineRule="auto"/>
              <w:rPr>
                <w:rFonts w:ascii="Times New Roman" w:hAnsi="Times New Roman"/>
                <w:b/>
                <w:bCs/>
                <w:color w:val="000000" w:themeColor="text1"/>
                <w:sz w:val="20"/>
                <w:szCs w:val="20"/>
              </w:rPr>
            </w:pPr>
          </w:p>
        </w:tc>
        <w:tc>
          <w:tcPr>
            <w:tcW w:w="3093" w:type="dxa"/>
            <w:vMerge/>
            <w:tcBorders>
              <w:top w:val="single" w:sz="4" w:space="0" w:color="auto"/>
              <w:left w:val="single" w:sz="4" w:space="0" w:color="auto"/>
              <w:bottom w:val="single" w:sz="4" w:space="0" w:color="auto"/>
              <w:right w:val="single" w:sz="4" w:space="0" w:color="auto"/>
            </w:tcBorders>
            <w:vAlign w:val="center"/>
            <w:hideMark/>
          </w:tcPr>
          <w:p w14:paraId="48A93CA9" w14:textId="77777777" w:rsidR="008F35C9" w:rsidRPr="0097258B" w:rsidRDefault="008F35C9" w:rsidP="00E20250">
            <w:pPr>
              <w:spacing w:after="0" w:line="240" w:lineRule="auto"/>
              <w:rPr>
                <w:rFonts w:ascii="Times New Roman" w:eastAsia="Arial" w:hAnsi="Times New Roman"/>
                <w:color w:val="000000" w:themeColor="text1"/>
                <w:sz w:val="20"/>
                <w:szCs w:val="20"/>
                <w:lang w:eastAsia="fr-FR"/>
              </w:rPr>
            </w:pPr>
          </w:p>
        </w:tc>
        <w:tc>
          <w:tcPr>
            <w:tcW w:w="4111" w:type="dxa"/>
            <w:tcBorders>
              <w:top w:val="single" w:sz="4" w:space="0" w:color="auto"/>
              <w:left w:val="single" w:sz="4" w:space="0" w:color="auto"/>
              <w:bottom w:val="single" w:sz="4" w:space="0" w:color="auto"/>
              <w:right w:val="single" w:sz="4" w:space="0" w:color="auto"/>
            </w:tcBorders>
            <w:vAlign w:val="center"/>
            <w:hideMark/>
          </w:tcPr>
          <w:p w14:paraId="1F89084C" w14:textId="77777777" w:rsidR="008F35C9" w:rsidRPr="0097258B" w:rsidRDefault="008F35C9" w:rsidP="00E20250">
            <w:pPr>
              <w:spacing w:after="0" w:line="240" w:lineRule="auto"/>
              <w:jc w:val="both"/>
              <w:rPr>
                <w:rFonts w:ascii="Times New Roman" w:eastAsia="Times New Roman" w:hAnsi="Times New Roman"/>
                <w:i/>
                <w:iCs/>
                <w:color w:val="000000" w:themeColor="text1"/>
                <w:sz w:val="20"/>
                <w:szCs w:val="20"/>
                <w:lang w:eastAsia="fr-FR"/>
              </w:rPr>
            </w:pPr>
            <w:r w:rsidRPr="0097258B">
              <w:rPr>
                <w:rFonts w:ascii="Times New Roman" w:eastAsia="Times New Roman" w:hAnsi="Times New Roman"/>
                <w:color w:val="000000" w:themeColor="text1"/>
                <w:sz w:val="20"/>
                <w:szCs w:val="20"/>
                <w:lang w:eastAsia="fr-FR"/>
              </w:rPr>
              <w:t>Existence de consignes de sécurité en cas d’accident</w:t>
            </w:r>
          </w:p>
          <w:p w14:paraId="67100A79" w14:textId="38749291" w:rsidR="008F35C9" w:rsidRPr="0097258B" w:rsidRDefault="008F35C9" w:rsidP="00E20250">
            <w:pPr>
              <w:pStyle w:val="ps"/>
              <w:keepLines w:val="0"/>
              <w:spacing w:before="0"/>
              <w:rPr>
                <w:rFonts w:ascii="Times New Roman" w:hAnsi="Times New Roman"/>
                <w:i/>
                <w:iCs/>
                <w:color w:val="000000" w:themeColor="text1"/>
                <w:lang w:val="fr-FR" w:eastAsia="fr-FR"/>
              </w:rPr>
            </w:pPr>
            <w:r w:rsidRPr="0097258B">
              <w:rPr>
                <w:rFonts w:ascii="Times New Roman" w:hAnsi="Times New Roman"/>
                <w:color w:val="000000" w:themeColor="text1"/>
                <w:lang w:val="fr-FR" w:eastAsia="fr-FR"/>
              </w:rPr>
              <w:t>Nombre d’ouvriers respectant le port d’</w:t>
            </w:r>
            <w:r w:rsidR="00590945" w:rsidRPr="0097258B">
              <w:rPr>
                <w:rFonts w:ascii="Times New Roman" w:hAnsi="Times New Roman"/>
                <w:color w:val="000000" w:themeColor="text1"/>
                <w:lang w:val="fr-FR" w:eastAsia="fr-FR"/>
              </w:rPr>
              <w:t>É</w:t>
            </w:r>
            <w:r w:rsidRPr="0097258B">
              <w:rPr>
                <w:rFonts w:ascii="Times New Roman" w:hAnsi="Times New Roman"/>
                <w:color w:val="000000" w:themeColor="text1"/>
                <w:lang w:val="fr-FR" w:eastAsia="fr-FR"/>
              </w:rPr>
              <w:t>PI</w:t>
            </w:r>
          </w:p>
          <w:p w14:paraId="6D6EAD01" w14:textId="77777777" w:rsidR="008F35C9" w:rsidRPr="0097258B" w:rsidRDefault="008F35C9" w:rsidP="00E20250">
            <w:pPr>
              <w:spacing w:after="0" w:line="240" w:lineRule="auto"/>
              <w:jc w:val="both"/>
              <w:rPr>
                <w:rFonts w:ascii="Times New Roman" w:eastAsia="Times New Roman" w:hAnsi="Times New Roman"/>
                <w:i/>
                <w:iCs/>
                <w:color w:val="000000" w:themeColor="text1"/>
                <w:sz w:val="20"/>
                <w:szCs w:val="20"/>
                <w:lang w:eastAsia="fr-FR"/>
              </w:rPr>
            </w:pPr>
            <w:r w:rsidRPr="0097258B">
              <w:rPr>
                <w:rFonts w:ascii="Times New Roman" w:eastAsia="Times New Roman" w:hAnsi="Times New Roman"/>
                <w:color w:val="000000" w:themeColor="text1"/>
                <w:sz w:val="20"/>
                <w:szCs w:val="20"/>
                <w:lang w:eastAsia="fr-FR"/>
              </w:rPr>
              <w:t>Existence d’une signalisation appropriée</w:t>
            </w:r>
          </w:p>
          <w:p w14:paraId="49EFF287" w14:textId="77777777" w:rsidR="008F35C9" w:rsidRPr="0097258B" w:rsidRDefault="008F35C9" w:rsidP="00E20250">
            <w:pPr>
              <w:spacing w:after="0" w:line="240" w:lineRule="auto"/>
              <w:jc w:val="both"/>
              <w:rPr>
                <w:rFonts w:ascii="Times New Roman" w:eastAsia="Times New Roman" w:hAnsi="Times New Roman"/>
                <w:i/>
                <w:iCs/>
                <w:color w:val="000000" w:themeColor="text1"/>
                <w:sz w:val="20"/>
                <w:szCs w:val="20"/>
                <w:lang w:eastAsia="fr-FR"/>
              </w:rPr>
            </w:pPr>
            <w:r w:rsidRPr="0097258B">
              <w:rPr>
                <w:rFonts w:ascii="Times New Roman" w:eastAsia="Times New Roman" w:hAnsi="Times New Roman"/>
                <w:color w:val="000000" w:themeColor="text1"/>
                <w:sz w:val="20"/>
                <w:szCs w:val="20"/>
                <w:lang w:eastAsia="fr-FR"/>
              </w:rPr>
              <w:t>Nombre de personnes sensibilisées (personnel et usagers)</w:t>
            </w:r>
          </w:p>
          <w:p w14:paraId="153805EE" w14:textId="77777777" w:rsidR="008F35C9" w:rsidRPr="0097258B" w:rsidRDefault="008F35C9" w:rsidP="00E20250">
            <w:pPr>
              <w:spacing w:after="0" w:line="240" w:lineRule="auto"/>
              <w:jc w:val="both"/>
              <w:rPr>
                <w:rFonts w:ascii="Times New Roman" w:eastAsia="Times New Roman" w:hAnsi="Times New Roman"/>
                <w:i/>
                <w:iCs/>
                <w:color w:val="000000" w:themeColor="text1"/>
                <w:sz w:val="20"/>
                <w:szCs w:val="20"/>
                <w:lang w:eastAsia="fr-FR"/>
              </w:rPr>
            </w:pPr>
            <w:r w:rsidRPr="0097258B">
              <w:rPr>
                <w:rFonts w:ascii="Times New Roman" w:eastAsia="Times New Roman" w:hAnsi="Times New Roman"/>
                <w:color w:val="000000" w:themeColor="text1"/>
                <w:sz w:val="20"/>
                <w:szCs w:val="20"/>
                <w:lang w:eastAsia="fr-FR"/>
              </w:rPr>
              <w:t>Nombre de plaintes enregistrées et traitées</w:t>
            </w: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2148299E" w14:textId="77777777" w:rsidR="008F35C9" w:rsidRPr="0097258B" w:rsidRDefault="008F35C9" w:rsidP="00E20250">
            <w:pPr>
              <w:spacing w:after="0" w:line="240" w:lineRule="auto"/>
              <w:rPr>
                <w:rFonts w:ascii="Times New Roman" w:hAnsi="Times New Roman"/>
                <w:color w:val="000000" w:themeColor="text1"/>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871680A" w14:textId="77777777" w:rsidR="008F35C9" w:rsidRPr="0097258B" w:rsidRDefault="008F35C9" w:rsidP="00E20250">
            <w:pPr>
              <w:spacing w:after="0" w:line="240" w:lineRule="auto"/>
              <w:rPr>
                <w:rFonts w:ascii="Times New Roman" w:eastAsia="Times New Roman" w:hAnsi="Times New Roman"/>
                <w:color w:val="000000" w:themeColor="text1"/>
                <w:sz w:val="20"/>
                <w:szCs w:val="20"/>
                <w:lang w:eastAsia="fr-FR"/>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14:paraId="61B13913" w14:textId="77777777" w:rsidR="008F35C9" w:rsidRPr="0097258B" w:rsidRDefault="008F35C9" w:rsidP="00E20250">
            <w:pPr>
              <w:spacing w:after="0" w:line="240" w:lineRule="auto"/>
              <w:rPr>
                <w:rFonts w:ascii="Times New Roman" w:eastAsia="Times New Roman" w:hAnsi="Times New Roman"/>
                <w:color w:val="000000" w:themeColor="text1"/>
                <w:sz w:val="20"/>
                <w:szCs w:val="20"/>
                <w:highlight w:val="yellow"/>
                <w:lang w:eastAsia="fr-F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6E767E4" w14:textId="77777777" w:rsidR="008F35C9" w:rsidRPr="0097258B" w:rsidRDefault="008F35C9" w:rsidP="00E20250">
            <w:pPr>
              <w:spacing w:after="0" w:line="240" w:lineRule="auto"/>
              <w:rPr>
                <w:rFonts w:ascii="Times New Roman" w:eastAsia="Times New Roman" w:hAnsi="Times New Roman"/>
                <w:color w:val="000000" w:themeColor="text1"/>
                <w:sz w:val="20"/>
                <w:szCs w:val="20"/>
                <w:lang w:eastAsia="fr-FR"/>
              </w:rPr>
            </w:pPr>
          </w:p>
        </w:tc>
      </w:tr>
      <w:tr w:rsidR="00BD1A2F" w:rsidRPr="009B46E2" w14:paraId="7A14F98C" w14:textId="77777777" w:rsidTr="0097258B">
        <w:trPr>
          <w:gridAfter w:val="1"/>
          <w:wAfter w:w="8" w:type="dxa"/>
          <w:trHeight w:val="549"/>
        </w:trPr>
        <w:tc>
          <w:tcPr>
            <w:tcW w:w="1580" w:type="dxa"/>
            <w:tcBorders>
              <w:top w:val="single" w:sz="4" w:space="0" w:color="auto"/>
              <w:left w:val="single" w:sz="4" w:space="0" w:color="auto"/>
              <w:bottom w:val="single" w:sz="4" w:space="0" w:color="auto"/>
              <w:right w:val="single" w:sz="4" w:space="0" w:color="auto"/>
            </w:tcBorders>
            <w:vAlign w:val="center"/>
          </w:tcPr>
          <w:p w14:paraId="11F152B8" w14:textId="77777777" w:rsidR="008F35C9" w:rsidRPr="0097258B" w:rsidRDefault="008F35C9" w:rsidP="00E20250">
            <w:pPr>
              <w:autoSpaceDE w:val="0"/>
              <w:autoSpaceDN w:val="0"/>
              <w:adjustRightInd w:val="0"/>
              <w:spacing w:after="0" w:line="240" w:lineRule="auto"/>
              <w:rPr>
                <w:rFonts w:ascii="Times New Roman" w:hAnsi="Times New Roman"/>
                <w:b/>
                <w:bCs/>
                <w:color w:val="000000" w:themeColor="text1"/>
                <w:sz w:val="20"/>
                <w:szCs w:val="20"/>
              </w:rPr>
            </w:pPr>
            <w:r w:rsidRPr="0097258B">
              <w:rPr>
                <w:rFonts w:ascii="Times New Roman" w:hAnsi="Times New Roman"/>
                <w:b/>
                <w:bCs/>
                <w:color w:val="000000" w:themeColor="text1"/>
                <w:sz w:val="20"/>
                <w:szCs w:val="20"/>
              </w:rPr>
              <w:t>Biophysique et Humain</w:t>
            </w:r>
          </w:p>
        </w:tc>
        <w:tc>
          <w:tcPr>
            <w:tcW w:w="3093" w:type="dxa"/>
            <w:tcBorders>
              <w:top w:val="single" w:sz="4" w:space="0" w:color="auto"/>
              <w:left w:val="single" w:sz="4" w:space="0" w:color="auto"/>
              <w:bottom w:val="single" w:sz="4" w:space="0" w:color="auto"/>
              <w:right w:val="single" w:sz="4" w:space="0" w:color="auto"/>
            </w:tcBorders>
            <w:vAlign w:val="center"/>
          </w:tcPr>
          <w:p w14:paraId="63BCCD75" w14:textId="70E16F64" w:rsidR="008F35C9" w:rsidRPr="0097258B" w:rsidRDefault="008F35C9" w:rsidP="0097258B">
            <w:pPr>
              <w:autoSpaceDE w:val="0"/>
              <w:autoSpaceDN w:val="0"/>
              <w:adjustRightInd w:val="0"/>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hAnsi="Times New Roman"/>
                <w:color w:val="000000" w:themeColor="text1"/>
                <w:sz w:val="20"/>
                <w:szCs w:val="20"/>
              </w:rPr>
              <w:t xml:space="preserve">Suivi de la mise en œuvre du PGES et respect de la réglementation nationale </w:t>
            </w:r>
          </w:p>
        </w:tc>
        <w:tc>
          <w:tcPr>
            <w:tcW w:w="4111" w:type="dxa"/>
            <w:tcBorders>
              <w:top w:val="single" w:sz="4" w:space="0" w:color="auto"/>
              <w:left w:val="single" w:sz="4" w:space="0" w:color="auto"/>
              <w:bottom w:val="single" w:sz="4" w:space="0" w:color="auto"/>
              <w:right w:val="single" w:sz="4" w:space="0" w:color="auto"/>
            </w:tcBorders>
            <w:vAlign w:val="center"/>
            <w:hideMark/>
          </w:tcPr>
          <w:p w14:paraId="5D22DE0A" w14:textId="77777777" w:rsidR="008F35C9" w:rsidRPr="0097258B" w:rsidRDefault="008F35C9"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 xml:space="preserve">Niveau de mise en œuvre du PGES </w:t>
            </w:r>
          </w:p>
        </w:tc>
        <w:tc>
          <w:tcPr>
            <w:tcW w:w="1370" w:type="dxa"/>
            <w:tcBorders>
              <w:top w:val="single" w:sz="4" w:space="0" w:color="auto"/>
              <w:left w:val="single" w:sz="4" w:space="0" w:color="auto"/>
              <w:bottom w:val="single" w:sz="4" w:space="0" w:color="auto"/>
              <w:right w:val="single" w:sz="4" w:space="0" w:color="auto"/>
            </w:tcBorders>
            <w:vAlign w:val="center"/>
            <w:hideMark/>
          </w:tcPr>
          <w:p w14:paraId="1DAD0BFD" w14:textId="77777777" w:rsidR="008F35C9" w:rsidRPr="0097258B" w:rsidRDefault="008F35C9" w:rsidP="00E20250">
            <w:pPr>
              <w:autoSpaceDE w:val="0"/>
              <w:autoSpaceDN w:val="0"/>
              <w:adjustRightInd w:val="0"/>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Trimestriel</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2B1A109" w14:textId="77777777" w:rsidR="008F35C9" w:rsidRPr="0097258B" w:rsidRDefault="008F35C9" w:rsidP="00E20250">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Entreprises</w:t>
            </w:r>
          </w:p>
        </w:tc>
        <w:tc>
          <w:tcPr>
            <w:tcW w:w="1488" w:type="dxa"/>
            <w:tcBorders>
              <w:top w:val="single" w:sz="4" w:space="0" w:color="auto"/>
              <w:left w:val="single" w:sz="4" w:space="0" w:color="auto"/>
              <w:bottom w:val="single" w:sz="4" w:space="0" w:color="auto"/>
              <w:right w:val="single" w:sz="4" w:space="0" w:color="auto"/>
            </w:tcBorders>
            <w:vAlign w:val="center"/>
            <w:hideMark/>
          </w:tcPr>
          <w:p w14:paraId="437B8B9E" w14:textId="77777777" w:rsidR="008F35C9" w:rsidRPr="0097258B" w:rsidRDefault="008F35C9" w:rsidP="00E20250">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A812D3" w14:textId="77777777" w:rsidR="008F35C9" w:rsidRPr="0097258B" w:rsidRDefault="008F35C9" w:rsidP="00E20250">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DREEC</w:t>
            </w:r>
          </w:p>
          <w:p w14:paraId="4BE70E1B" w14:textId="77777777" w:rsidR="008F35C9" w:rsidRPr="0097258B" w:rsidRDefault="008F35C9" w:rsidP="00E20250">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CRSE</w:t>
            </w:r>
          </w:p>
        </w:tc>
      </w:tr>
      <w:tr w:rsidR="00BD1A2F" w:rsidRPr="009B46E2" w14:paraId="080333FE" w14:textId="77777777" w:rsidTr="00FD308E">
        <w:trPr>
          <w:gridAfter w:val="1"/>
          <w:wAfter w:w="8" w:type="dxa"/>
          <w:trHeight w:val="1380"/>
        </w:trPr>
        <w:tc>
          <w:tcPr>
            <w:tcW w:w="1580" w:type="dxa"/>
            <w:tcBorders>
              <w:top w:val="single" w:sz="4" w:space="0" w:color="auto"/>
              <w:left w:val="single" w:sz="4" w:space="0" w:color="auto"/>
              <w:bottom w:val="single" w:sz="4" w:space="0" w:color="auto"/>
              <w:right w:val="single" w:sz="4" w:space="0" w:color="auto"/>
            </w:tcBorders>
            <w:vAlign w:val="center"/>
            <w:hideMark/>
          </w:tcPr>
          <w:p w14:paraId="11B6649A" w14:textId="77777777" w:rsidR="008F35C9" w:rsidRPr="0097258B" w:rsidRDefault="008F35C9" w:rsidP="00E20250">
            <w:pPr>
              <w:autoSpaceDE w:val="0"/>
              <w:autoSpaceDN w:val="0"/>
              <w:adjustRightInd w:val="0"/>
              <w:spacing w:after="0" w:line="240" w:lineRule="auto"/>
              <w:rPr>
                <w:rFonts w:ascii="Times New Roman" w:hAnsi="Times New Roman"/>
                <w:b/>
                <w:bCs/>
                <w:color w:val="000000" w:themeColor="text1"/>
                <w:sz w:val="20"/>
                <w:szCs w:val="20"/>
              </w:rPr>
            </w:pPr>
            <w:r w:rsidRPr="0097258B">
              <w:rPr>
                <w:rFonts w:ascii="Times New Roman" w:hAnsi="Times New Roman"/>
                <w:b/>
                <w:bCs/>
                <w:color w:val="000000" w:themeColor="text1"/>
                <w:sz w:val="20"/>
                <w:szCs w:val="20"/>
              </w:rPr>
              <w:t>Personnes vulnérables</w:t>
            </w:r>
          </w:p>
        </w:tc>
        <w:tc>
          <w:tcPr>
            <w:tcW w:w="3093" w:type="dxa"/>
            <w:tcBorders>
              <w:top w:val="single" w:sz="4" w:space="0" w:color="auto"/>
              <w:left w:val="single" w:sz="4" w:space="0" w:color="auto"/>
              <w:bottom w:val="single" w:sz="4" w:space="0" w:color="auto"/>
              <w:right w:val="single" w:sz="4" w:space="0" w:color="auto"/>
            </w:tcBorders>
            <w:vAlign w:val="center"/>
            <w:hideMark/>
          </w:tcPr>
          <w:p w14:paraId="1D3E1B6C" w14:textId="64843ABB" w:rsidR="008F35C9" w:rsidRPr="0097258B" w:rsidRDefault="008F35C9"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Suivi de la</w:t>
            </w:r>
            <w:r w:rsidR="0074434D" w:rsidRPr="0097258B">
              <w:rPr>
                <w:rFonts w:ascii="Times New Roman" w:hAnsi="Times New Roman"/>
                <w:color w:val="000000" w:themeColor="text1"/>
                <w:sz w:val="20"/>
                <w:szCs w:val="20"/>
              </w:rPr>
              <w:t xml:space="preserve"> mise en œuvre du plan d’action </w:t>
            </w:r>
            <w:r w:rsidRPr="0097258B">
              <w:rPr>
                <w:rFonts w:ascii="Times New Roman" w:hAnsi="Times New Roman"/>
                <w:color w:val="000000" w:themeColor="text1"/>
                <w:sz w:val="20"/>
                <w:szCs w:val="20"/>
              </w:rPr>
              <w:t>A</w:t>
            </w:r>
            <w:r w:rsidR="005D3627" w:rsidRPr="0097258B">
              <w:rPr>
                <w:rFonts w:ascii="Times New Roman" w:hAnsi="Times New Roman"/>
                <w:color w:val="000000" w:themeColor="text1"/>
                <w:sz w:val="20"/>
                <w:szCs w:val="20"/>
              </w:rPr>
              <w:t>E</w:t>
            </w:r>
            <w:r w:rsidRPr="0097258B">
              <w:rPr>
                <w:rFonts w:ascii="Times New Roman" w:hAnsi="Times New Roman"/>
                <w:color w:val="000000" w:themeColor="text1"/>
                <w:sz w:val="20"/>
                <w:szCs w:val="20"/>
              </w:rPr>
              <w:t>S/HS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72AECFE7"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 xml:space="preserve">Nombre de personnes informées </w:t>
            </w:r>
          </w:p>
          <w:p w14:paraId="376AD0AC" w14:textId="77777777" w:rsidR="008F35C9" w:rsidRPr="0097258B" w:rsidRDefault="008F35C9" w:rsidP="00E20250">
            <w:pPr>
              <w:spacing w:after="0" w:line="240" w:lineRule="auto"/>
              <w:jc w:val="both"/>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Nombre de campagnes de sensibilisation menées</w:t>
            </w:r>
          </w:p>
          <w:p w14:paraId="17D424CA" w14:textId="17C1E67A" w:rsidR="008F35C9" w:rsidRPr="0097258B" w:rsidRDefault="008F35C9"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Nombre de cas d</w:t>
            </w:r>
            <w:r w:rsidR="0074434D" w:rsidRPr="0097258B">
              <w:rPr>
                <w:rFonts w:ascii="Times New Roman" w:hAnsi="Times New Roman"/>
                <w:color w:val="000000" w:themeColor="text1"/>
                <w:sz w:val="20"/>
                <w:szCs w:val="20"/>
              </w:rPr>
              <w:t>’</w:t>
            </w:r>
            <w:r w:rsidRPr="0097258B">
              <w:rPr>
                <w:rFonts w:ascii="Times New Roman" w:eastAsia="Times New Roman" w:hAnsi="Times New Roman"/>
                <w:color w:val="000000" w:themeColor="text1"/>
                <w:sz w:val="20"/>
                <w:szCs w:val="20"/>
                <w:lang w:eastAsia="fr-FR"/>
              </w:rPr>
              <w:t>A</w:t>
            </w:r>
            <w:r w:rsidR="005D3627" w:rsidRPr="0097258B">
              <w:rPr>
                <w:rFonts w:ascii="Times New Roman" w:eastAsia="Times New Roman" w:hAnsi="Times New Roman"/>
                <w:color w:val="000000" w:themeColor="text1"/>
                <w:sz w:val="20"/>
                <w:szCs w:val="20"/>
                <w:lang w:eastAsia="fr-FR"/>
              </w:rPr>
              <w:t>E</w:t>
            </w:r>
            <w:r w:rsidRPr="0097258B">
              <w:rPr>
                <w:rFonts w:ascii="Times New Roman" w:eastAsia="Times New Roman" w:hAnsi="Times New Roman"/>
                <w:color w:val="000000" w:themeColor="text1"/>
                <w:sz w:val="20"/>
                <w:szCs w:val="20"/>
                <w:lang w:eastAsia="fr-FR"/>
              </w:rPr>
              <w:t>S/HS</w:t>
            </w:r>
            <w:r w:rsidRPr="0097258B">
              <w:rPr>
                <w:rFonts w:ascii="Times New Roman" w:hAnsi="Times New Roman"/>
                <w:color w:val="000000" w:themeColor="text1"/>
                <w:sz w:val="20"/>
                <w:szCs w:val="20"/>
              </w:rPr>
              <w:t xml:space="preserve"> signalé et traité</w:t>
            </w:r>
          </w:p>
          <w:p w14:paraId="409405BE" w14:textId="54E67520" w:rsidR="008F35C9" w:rsidRPr="0097258B" w:rsidRDefault="008F35C9" w:rsidP="00E20250">
            <w:pPr>
              <w:autoSpaceDE w:val="0"/>
              <w:autoSpaceDN w:val="0"/>
              <w:adjustRightInd w:val="0"/>
              <w:spacing w:after="0" w:line="240" w:lineRule="auto"/>
              <w:jc w:val="both"/>
              <w:rPr>
                <w:rFonts w:ascii="Times New Roman" w:hAnsi="Times New Roman"/>
                <w:color w:val="000000" w:themeColor="text1"/>
                <w:sz w:val="20"/>
                <w:szCs w:val="20"/>
              </w:rPr>
            </w:pPr>
            <w:r w:rsidRPr="0097258B">
              <w:rPr>
                <w:rFonts w:ascii="Times New Roman" w:hAnsi="Times New Roman"/>
                <w:color w:val="000000" w:themeColor="text1"/>
                <w:sz w:val="20"/>
                <w:szCs w:val="20"/>
              </w:rPr>
              <w:t>Nombre de victimes survivantes accompagnées (</w:t>
            </w:r>
            <w:r w:rsidR="00951960" w:rsidRPr="0097258B">
              <w:rPr>
                <w:rFonts w:ascii="Times New Roman" w:hAnsi="Times New Roman"/>
                <w:color w:val="000000" w:themeColor="text1"/>
                <w:sz w:val="20"/>
                <w:szCs w:val="20"/>
              </w:rPr>
              <w:t>psycho socialement</w:t>
            </w:r>
            <w:r w:rsidRPr="0097258B">
              <w:rPr>
                <w:rFonts w:ascii="Times New Roman" w:hAnsi="Times New Roman"/>
                <w:color w:val="000000" w:themeColor="text1"/>
                <w:sz w:val="20"/>
                <w:szCs w:val="20"/>
              </w:rPr>
              <w:t xml:space="preserve">) </w:t>
            </w:r>
          </w:p>
        </w:tc>
        <w:tc>
          <w:tcPr>
            <w:tcW w:w="1370" w:type="dxa"/>
            <w:tcBorders>
              <w:top w:val="single" w:sz="4" w:space="0" w:color="auto"/>
              <w:left w:val="single" w:sz="4" w:space="0" w:color="auto"/>
              <w:bottom w:val="single" w:sz="4" w:space="0" w:color="auto"/>
              <w:right w:val="single" w:sz="4" w:space="0" w:color="auto"/>
            </w:tcBorders>
            <w:vAlign w:val="center"/>
            <w:hideMark/>
          </w:tcPr>
          <w:p w14:paraId="09AD11E2" w14:textId="77777777" w:rsidR="008F35C9" w:rsidRPr="0097258B" w:rsidRDefault="008F35C9" w:rsidP="00E20250">
            <w:pPr>
              <w:autoSpaceDE w:val="0"/>
              <w:autoSpaceDN w:val="0"/>
              <w:adjustRightInd w:val="0"/>
              <w:spacing w:after="0" w:line="240" w:lineRule="auto"/>
              <w:rPr>
                <w:rFonts w:ascii="Times New Roman" w:hAnsi="Times New Roman"/>
                <w:color w:val="000000" w:themeColor="text1"/>
                <w:sz w:val="20"/>
                <w:szCs w:val="20"/>
              </w:rPr>
            </w:pPr>
            <w:r w:rsidRPr="0097258B">
              <w:rPr>
                <w:rFonts w:ascii="Times New Roman" w:hAnsi="Times New Roman"/>
                <w:color w:val="000000" w:themeColor="text1"/>
                <w:sz w:val="20"/>
                <w:szCs w:val="20"/>
              </w:rPr>
              <w:t>Mensuel</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F93C5FF" w14:textId="77777777" w:rsidR="008F35C9" w:rsidRPr="0097258B" w:rsidRDefault="008F35C9" w:rsidP="00E20250">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Entreprises</w:t>
            </w:r>
          </w:p>
        </w:tc>
        <w:tc>
          <w:tcPr>
            <w:tcW w:w="1488" w:type="dxa"/>
            <w:tcBorders>
              <w:top w:val="single" w:sz="4" w:space="0" w:color="auto"/>
              <w:left w:val="single" w:sz="4" w:space="0" w:color="auto"/>
              <w:bottom w:val="single" w:sz="4" w:space="0" w:color="auto"/>
              <w:right w:val="single" w:sz="4" w:space="0" w:color="auto"/>
            </w:tcBorders>
            <w:vAlign w:val="center"/>
            <w:hideMark/>
          </w:tcPr>
          <w:p w14:paraId="731F98A2" w14:textId="77777777" w:rsidR="008F35C9" w:rsidRPr="0097258B" w:rsidRDefault="008F35C9" w:rsidP="00E20250">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MDC</w:t>
            </w:r>
          </w:p>
          <w:p w14:paraId="1E2F6641" w14:textId="77777777" w:rsidR="008F35C9" w:rsidRPr="0097258B" w:rsidRDefault="008F35C9" w:rsidP="00E20250">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CGES ADM</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729891" w14:textId="77777777" w:rsidR="008F35C9" w:rsidRPr="0097258B" w:rsidRDefault="008F35C9" w:rsidP="00E20250">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Maison de justice</w:t>
            </w:r>
          </w:p>
          <w:p w14:paraId="1653BB0F" w14:textId="77777777" w:rsidR="008F35C9" w:rsidRPr="0097258B" w:rsidRDefault="008F35C9" w:rsidP="00E20250">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Services sociaux spécialisés</w:t>
            </w:r>
          </w:p>
          <w:p w14:paraId="253BF3C3" w14:textId="77777777" w:rsidR="008F35C9" w:rsidRPr="0097258B" w:rsidRDefault="008F35C9" w:rsidP="00E20250">
            <w:pPr>
              <w:spacing w:after="0" w:line="240" w:lineRule="auto"/>
              <w:rPr>
                <w:rFonts w:ascii="Times New Roman" w:eastAsia="Times New Roman" w:hAnsi="Times New Roman"/>
                <w:color w:val="000000" w:themeColor="text1"/>
                <w:sz w:val="20"/>
                <w:szCs w:val="20"/>
                <w:lang w:eastAsia="fr-FR"/>
              </w:rPr>
            </w:pPr>
            <w:r w:rsidRPr="0097258B">
              <w:rPr>
                <w:rFonts w:ascii="Times New Roman" w:eastAsia="Times New Roman" w:hAnsi="Times New Roman"/>
                <w:color w:val="000000" w:themeColor="text1"/>
                <w:sz w:val="20"/>
                <w:szCs w:val="20"/>
                <w:lang w:eastAsia="fr-FR"/>
              </w:rPr>
              <w:t>ADM</w:t>
            </w:r>
          </w:p>
        </w:tc>
      </w:tr>
    </w:tbl>
    <w:p w14:paraId="3C235D7D" w14:textId="2C18A50A" w:rsidR="008F35C9" w:rsidRPr="00260790" w:rsidRDefault="008F35C9" w:rsidP="00FD308E">
      <w:pPr>
        <w:spacing w:line="240" w:lineRule="auto"/>
        <w:rPr>
          <w:rFonts w:ascii="Times New Roman" w:eastAsia="Times New Roman" w:hAnsi="Times New Roman"/>
          <w:color w:val="000000" w:themeColor="text1"/>
          <w:sz w:val="24"/>
          <w:szCs w:val="24"/>
          <w:lang w:eastAsia="fr-FR"/>
        </w:rPr>
        <w:sectPr w:rsidR="008F35C9" w:rsidRPr="00260790" w:rsidSect="00B3729F">
          <w:pgSz w:w="16817" w:h="11901" w:orient="landscape"/>
          <w:pgMar w:top="1418" w:right="1418" w:bottom="1418" w:left="1418" w:header="709" w:footer="454" w:gutter="0"/>
          <w:cols w:space="720"/>
        </w:sectPr>
      </w:pPr>
      <w:r w:rsidRPr="00260790">
        <w:rPr>
          <w:rFonts w:ascii="Times New Roman" w:eastAsia="Times New Roman" w:hAnsi="Times New Roman"/>
          <w:color w:val="000000" w:themeColor="text1"/>
          <w:sz w:val="24"/>
          <w:szCs w:val="24"/>
          <w:lang w:eastAsia="fr-FR"/>
        </w:rPr>
        <w:br w:type="textWrapping" w:clear="all"/>
      </w:r>
    </w:p>
    <w:p w14:paraId="33C65628" w14:textId="77777777" w:rsidR="008F35C9" w:rsidRPr="00260790" w:rsidRDefault="008F35C9" w:rsidP="00E20250">
      <w:pPr>
        <w:pStyle w:val="Titre1"/>
        <w:rPr>
          <w:rFonts w:ascii="Times New Roman" w:hAnsi="Times New Roman"/>
          <w:sz w:val="22"/>
          <w:szCs w:val="22"/>
        </w:rPr>
      </w:pPr>
      <w:bookmarkStart w:id="2552" w:name="_Toc33708705"/>
      <w:bookmarkStart w:id="2553" w:name="_Toc38223856"/>
      <w:bookmarkStart w:id="2554" w:name="_Toc38224476"/>
      <w:bookmarkStart w:id="2555" w:name="_Toc38232170"/>
      <w:bookmarkStart w:id="2556" w:name="_Toc40838990"/>
      <w:bookmarkStart w:id="2557" w:name="_Toc40839214"/>
      <w:bookmarkStart w:id="2558" w:name="_Toc68109789"/>
      <w:bookmarkStart w:id="2559" w:name="_Toc33708716"/>
      <w:bookmarkStart w:id="2560" w:name="_Toc38223867"/>
      <w:bookmarkStart w:id="2561" w:name="_Toc38224487"/>
      <w:bookmarkStart w:id="2562" w:name="_Toc38232181"/>
      <w:bookmarkStart w:id="2563" w:name="_Toc40839001"/>
      <w:bookmarkStart w:id="2564" w:name="_Toc40839225"/>
      <w:bookmarkStart w:id="2565" w:name="_Toc68109800"/>
      <w:bookmarkStart w:id="2566" w:name="_Toc29856800"/>
      <w:bookmarkStart w:id="2567" w:name="_Toc68109801"/>
      <w:bookmarkStart w:id="2568" w:name="_Toc212725197"/>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r w:rsidRPr="00260790">
        <w:rPr>
          <w:rFonts w:ascii="Times New Roman" w:hAnsi="Times New Roman"/>
          <w:sz w:val="22"/>
          <w:szCs w:val="22"/>
        </w:rPr>
        <w:lastRenderedPageBreak/>
        <w:t>Coûts du Plan de Gestion Environnementale et Sociale</w:t>
      </w:r>
      <w:bookmarkEnd w:id="2566"/>
      <w:bookmarkEnd w:id="2567"/>
      <w:bookmarkEnd w:id="2568"/>
    </w:p>
    <w:p w14:paraId="5AE41CE3" w14:textId="77777777" w:rsidR="008F35C9" w:rsidRPr="00260790" w:rsidRDefault="008F35C9" w:rsidP="0000071A">
      <w:pPr>
        <w:autoSpaceDE w:val="0"/>
        <w:autoSpaceDN w:val="0"/>
        <w:adjustRightInd w:val="0"/>
        <w:spacing w:after="0" w:line="240" w:lineRule="auto"/>
        <w:ind w:right="-285"/>
        <w:jc w:val="both"/>
        <w:rPr>
          <w:rFonts w:ascii="Times New Roman" w:eastAsia="Times New Roman" w:hAnsi="Times New Roman"/>
          <w:color w:val="000000" w:themeColor="text1"/>
          <w:u w:val="single"/>
          <w:lang w:eastAsia="fr-FR"/>
        </w:rPr>
      </w:pPr>
      <w:r w:rsidRPr="00260790">
        <w:rPr>
          <w:rFonts w:ascii="Times New Roman" w:eastAsia="Times New Roman" w:hAnsi="Times New Roman"/>
          <w:color w:val="000000" w:themeColor="text1"/>
          <w:lang w:eastAsia="fr-FR"/>
        </w:rPr>
        <w:t>Le Plan de Gestion Environnementale et Sociale (PGES) intègre des mesures d'atténuation des impacts négatifs et de bonification des impacts positifs. Certaines mesures telles l'application de bonnes pratiques, etc., seront intégrées dans les dossiers d’appel d’offres (DAO), de sorte que les entreprises auront l’obligation de les mettre en œuvre sous la supervision de la Mission de contrôle (</w:t>
      </w:r>
      <w:proofErr w:type="spellStart"/>
      <w:r w:rsidRPr="00260790">
        <w:rPr>
          <w:rFonts w:ascii="Times New Roman" w:eastAsia="Times New Roman" w:hAnsi="Times New Roman"/>
          <w:color w:val="000000" w:themeColor="text1"/>
          <w:lang w:eastAsia="fr-FR"/>
        </w:rPr>
        <w:t>MdC</w:t>
      </w:r>
      <w:proofErr w:type="spellEnd"/>
      <w:r w:rsidRPr="00260790">
        <w:rPr>
          <w:rFonts w:ascii="Times New Roman" w:eastAsia="Times New Roman" w:hAnsi="Times New Roman"/>
          <w:color w:val="000000" w:themeColor="text1"/>
          <w:lang w:eastAsia="fr-FR"/>
        </w:rPr>
        <w:t xml:space="preserve">) et du CRSE dans le cadre de suivi. </w:t>
      </w:r>
    </w:p>
    <w:p w14:paraId="7C3520EE" w14:textId="77777777" w:rsidR="008F35C9" w:rsidRPr="00260790" w:rsidRDefault="008F35C9" w:rsidP="0000071A">
      <w:pPr>
        <w:autoSpaceDE w:val="0"/>
        <w:autoSpaceDN w:val="0"/>
        <w:adjustRightInd w:val="0"/>
        <w:spacing w:after="0" w:line="240" w:lineRule="auto"/>
        <w:jc w:val="both"/>
        <w:rPr>
          <w:rFonts w:ascii="Times New Roman" w:eastAsia="Times New Roman" w:hAnsi="Times New Roman"/>
          <w:color w:val="000000" w:themeColor="text1"/>
          <w:lang w:eastAsia="fr-FR"/>
        </w:rPr>
      </w:pPr>
    </w:p>
    <w:p w14:paraId="1D3D3CF4" w14:textId="77777777" w:rsidR="008F35C9" w:rsidRPr="00260790" w:rsidRDefault="008F35C9" w:rsidP="0000071A">
      <w:pPr>
        <w:spacing w:after="0" w:line="240" w:lineRule="auto"/>
        <w:ind w:right="-285"/>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L'estimation des coûts des activités du PGES va donc essentiellement porter sur les mesures environnementales et sociales non prises en compte dans les DAO. Les entreprises élaboreront également et mettront en œuvre des PGES-chantier pour rendre effective et opérationnelle la gestion des impacts environnementaux et sociaux, y compris la mise en œuvre du Plan de Gestion des Déchets (PGD). </w:t>
      </w:r>
    </w:p>
    <w:p w14:paraId="51582518" w14:textId="77777777" w:rsidR="008F35C9" w:rsidRPr="00260790" w:rsidRDefault="008F35C9" w:rsidP="0000071A">
      <w:pPr>
        <w:spacing w:after="0" w:line="240" w:lineRule="auto"/>
        <w:jc w:val="both"/>
        <w:rPr>
          <w:rFonts w:ascii="Times New Roman" w:eastAsia="Times New Roman" w:hAnsi="Times New Roman"/>
          <w:color w:val="000000" w:themeColor="text1"/>
          <w:lang w:eastAsia="fr-FR"/>
        </w:rPr>
      </w:pPr>
    </w:p>
    <w:p w14:paraId="71452BD0" w14:textId="10701155" w:rsidR="008F35C9" w:rsidRPr="0000071A" w:rsidRDefault="008F35C9" w:rsidP="0000071A">
      <w:pPr>
        <w:spacing w:after="0" w:line="240" w:lineRule="auto"/>
        <w:ind w:right="-286"/>
        <w:jc w:val="both"/>
        <w:rPr>
          <w:rFonts w:ascii="Times New Roman" w:eastAsia="Times New Roman" w:hAnsi="Times New Roman"/>
          <w:bCs/>
          <w:iCs/>
          <w:color w:val="000000" w:themeColor="text1"/>
          <w:lang w:eastAsia="fr-FR"/>
        </w:rPr>
      </w:pPr>
      <w:r w:rsidRPr="00260790">
        <w:rPr>
          <w:rFonts w:ascii="Times New Roman" w:eastAsia="Times New Roman" w:hAnsi="Times New Roman"/>
          <w:color w:val="000000" w:themeColor="text1"/>
          <w:lang w:eastAsia="fr-FR"/>
        </w:rPr>
        <w:t xml:space="preserve">Pour ce qui concerne le programme de gestion des ouvrages d’assainissement, les coûts liés à l’entretien et maintenance, de même que pour la mise en place d’un mécanisme de gestion, et les couts relatifs à </w:t>
      </w:r>
      <w:r w:rsidRPr="00260790">
        <w:rPr>
          <w:rFonts w:ascii="Times New Roman" w:eastAsia="Times New Roman" w:hAnsi="Times New Roman"/>
          <w:bCs/>
          <w:iCs/>
          <w:color w:val="000000" w:themeColor="text1"/>
          <w:lang w:eastAsia="fr-FR"/>
        </w:rPr>
        <w:t xml:space="preserve">l’étude sur la simulation du fonctionnement du système de drainage des eaux pluviales (Étude hydraulique de la tranche BM du programme d’urgence) seront prises en charge par l’ADM. </w:t>
      </w:r>
    </w:p>
    <w:p w14:paraId="3AEE1CFD" w14:textId="77777777" w:rsidR="00167937" w:rsidRPr="00260790" w:rsidRDefault="00167937" w:rsidP="0000071A">
      <w:pPr>
        <w:spacing w:after="0" w:line="240" w:lineRule="auto"/>
        <w:jc w:val="both"/>
        <w:rPr>
          <w:rFonts w:ascii="Times New Roman" w:eastAsia="Times New Roman" w:hAnsi="Times New Roman"/>
          <w:color w:val="000000" w:themeColor="text1"/>
          <w:lang w:eastAsia="fr-FR"/>
        </w:rPr>
      </w:pPr>
    </w:p>
    <w:p w14:paraId="1A611883" w14:textId="62C88FE9" w:rsidR="008F35C9" w:rsidRPr="00260790" w:rsidRDefault="00167937" w:rsidP="0000071A">
      <w:pPr>
        <w:spacing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Le tableau suivant présent le PGES avec l’estimation des co</w:t>
      </w:r>
      <w:r>
        <w:rPr>
          <w:rFonts w:ascii="Times New Roman" w:eastAsia="Times New Roman" w:hAnsi="Times New Roman"/>
          <w:color w:val="000000" w:themeColor="text1"/>
          <w:lang w:eastAsia="fr-FR"/>
        </w:rPr>
        <w:t>û</w:t>
      </w:r>
      <w:r w:rsidRPr="00260790">
        <w:rPr>
          <w:rFonts w:ascii="Times New Roman" w:eastAsia="Times New Roman" w:hAnsi="Times New Roman"/>
          <w:color w:val="000000" w:themeColor="text1"/>
          <w:lang w:eastAsia="fr-FR"/>
        </w:rPr>
        <w:t>ts des mesures préconisées</w:t>
      </w:r>
      <w:r>
        <w:rPr>
          <w:rFonts w:ascii="Times New Roman" w:eastAsia="Times New Roman" w:hAnsi="Times New Roman"/>
          <w:color w:val="000000" w:themeColor="text1"/>
          <w:lang w:eastAsia="fr-FR"/>
        </w:rPr>
        <w:t xml:space="preserve"> qui s’élèvent à </w:t>
      </w:r>
      <w:r w:rsidR="001E7DDE">
        <w:rPr>
          <w:rFonts w:ascii="Times New Roman" w:eastAsia="Times New Roman" w:hAnsi="Times New Roman"/>
          <w:color w:val="000000" w:themeColor="text1"/>
          <w:lang w:eastAsia="fr-FR"/>
        </w:rPr>
        <w:t xml:space="preserve">216 </w:t>
      </w:r>
      <w:r w:rsidR="003F689D">
        <w:rPr>
          <w:rFonts w:ascii="Times New Roman" w:eastAsia="Times New Roman" w:hAnsi="Times New Roman"/>
          <w:color w:val="000000" w:themeColor="text1"/>
          <w:lang w:eastAsia="fr-FR"/>
        </w:rPr>
        <w:t>5</w:t>
      </w:r>
      <w:r w:rsidR="001E7DDE">
        <w:rPr>
          <w:rFonts w:ascii="Times New Roman" w:eastAsia="Times New Roman" w:hAnsi="Times New Roman"/>
          <w:color w:val="000000" w:themeColor="text1"/>
          <w:lang w:eastAsia="fr-FR"/>
        </w:rPr>
        <w:t>00 000 F CFA</w:t>
      </w:r>
      <w:r w:rsidR="0000071A">
        <w:rPr>
          <w:rFonts w:ascii="Times New Roman" w:eastAsia="Times New Roman" w:hAnsi="Times New Roman"/>
          <w:color w:val="000000" w:themeColor="text1"/>
          <w:lang w:eastAsia="fr-FR"/>
        </w:rPr>
        <w:t>.</w:t>
      </w:r>
    </w:p>
    <w:p w14:paraId="107E16F8" w14:textId="0F655B0C" w:rsidR="00D46E35" w:rsidRDefault="008F35C9" w:rsidP="00E20250">
      <w:pPr>
        <w:spacing w:after="0" w:line="240" w:lineRule="auto"/>
        <w:rPr>
          <w:rFonts w:ascii="Times New Roman" w:eastAsia="Times New Roman" w:hAnsi="Times New Roman"/>
          <w:bCs/>
          <w:i/>
          <w:color w:val="000000" w:themeColor="text1"/>
          <w:lang w:eastAsia="fr-FR"/>
        </w:rPr>
      </w:pPr>
      <w:bookmarkStart w:id="2569" w:name="_Toc207781963"/>
      <w:r w:rsidRPr="00260790">
        <w:rPr>
          <w:rFonts w:ascii="Times New Roman" w:eastAsia="Times New Roman" w:hAnsi="Times New Roman"/>
          <w:i/>
          <w:color w:val="000000" w:themeColor="text1"/>
          <w:lang w:eastAsia="fr-FR"/>
        </w:rPr>
        <w:t xml:space="preserve">Tableau </w:t>
      </w:r>
      <w:r w:rsidRPr="00260790">
        <w:rPr>
          <w:rFonts w:ascii="Times New Roman" w:eastAsia="Times New Roman" w:hAnsi="Times New Roman"/>
          <w:i/>
          <w:iCs/>
          <w:color w:val="000000" w:themeColor="text1"/>
          <w:lang w:eastAsia="fr-FR"/>
        </w:rPr>
        <w:t xml:space="preserve"> </w:t>
      </w:r>
      <w:r w:rsidRPr="00260790">
        <w:rPr>
          <w:rFonts w:ascii="Times New Roman" w:hAnsi="Times New Roman"/>
          <w:color w:val="000000" w:themeColor="text1"/>
        </w:rPr>
        <w:fldChar w:fldCharType="begin"/>
      </w:r>
      <w:r w:rsidRPr="00260790">
        <w:rPr>
          <w:rFonts w:ascii="Times New Roman" w:eastAsia="Times New Roman" w:hAnsi="Times New Roman"/>
          <w:i/>
          <w:iCs/>
          <w:color w:val="000000" w:themeColor="text1"/>
          <w:lang w:eastAsia="fr-FR"/>
        </w:rPr>
        <w:instrText xml:space="preserve"> SEQ Tableau \* ARABIC </w:instrText>
      </w:r>
      <w:r w:rsidRPr="00260790">
        <w:rPr>
          <w:rFonts w:ascii="Times New Roman" w:hAnsi="Times New Roman"/>
          <w:color w:val="000000" w:themeColor="text1"/>
        </w:rPr>
        <w:fldChar w:fldCharType="separate"/>
      </w:r>
      <w:r w:rsidR="003C783E">
        <w:rPr>
          <w:rFonts w:ascii="Times New Roman" w:eastAsia="Times New Roman" w:hAnsi="Times New Roman"/>
          <w:i/>
          <w:iCs/>
          <w:noProof/>
          <w:color w:val="000000" w:themeColor="text1"/>
          <w:lang w:eastAsia="fr-FR"/>
        </w:rPr>
        <w:t>123</w:t>
      </w:r>
      <w:r w:rsidRPr="00260790">
        <w:rPr>
          <w:rFonts w:ascii="Times New Roman" w:hAnsi="Times New Roman"/>
          <w:color w:val="000000" w:themeColor="text1"/>
        </w:rPr>
        <w:fldChar w:fldCharType="end"/>
      </w:r>
      <w:r w:rsidRPr="00260790">
        <w:rPr>
          <w:rFonts w:ascii="Times New Roman" w:eastAsia="Times New Roman" w:hAnsi="Times New Roman"/>
          <w:i/>
          <w:iCs/>
          <w:color w:val="000000" w:themeColor="text1"/>
          <w:lang w:eastAsia="fr-FR"/>
        </w:rPr>
        <w:t xml:space="preserve"> :</w:t>
      </w:r>
      <w:r w:rsidRPr="00260790">
        <w:rPr>
          <w:rFonts w:ascii="Times New Roman" w:eastAsia="Times New Roman" w:hAnsi="Times New Roman"/>
          <w:i/>
          <w:color w:val="000000" w:themeColor="text1"/>
          <w:lang w:eastAsia="fr-FR"/>
        </w:rPr>
        <w:t xml:space="preserve"> </w:t>
      </w:r>
      <w:r w:rsidRPr="00260790">
        <w:rPr>
          <w:rFonts w:ascii="Times New Roman" w:eastAsia="Times New Roman" w:hAnsi="Times New Roman"/>
          <w:bCs/>
          <w:i/>
          <w:color w:val="000000" w:themeColor="text1"/>
          <w:lang w:eastAsia="fr-FR"/>
        </w:rPr>
        <w:t>Synthèse des couts du PGES</w:t>
      </w:r>
      <w:bookmarkEnd w:id="2569"/>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8222"/>
        <w:gridCol w:w="1417"/>
      </w:tblGrid>
      <w:tr w:rsidR="00D46E35" w:rsidRPr="00260790" w14:paraId="47B5D3D2" w14:textId="77777777" w:rsidTr="00D46E35">
        <w:trPr>
          <w:trHeight w:val="395"/>
          <w:tblHeader/>
        </w:trPr>
        <w:tc>
          <w:tcPr>
            <w:tcW w:w="568" w:type="dxa"/>
            <w:shd w:val="clear" w:color="auto" w:fill="BDD6EE" w:themeFill="accent1" w:themeFillTint="66"/>
            <w:vAlign w:val="center"/>
          </w:tcPr>
          <w:p w14:paraId="179B984D" w14:textId="77777777" w:rsidR="00D46E35" w:rsidRPr="00260790" w:rsidRDefault="00D46E35" w:rsidP="00D46E35">
            <w:pPr>
              <w:spacing w:after="0" w:line="240" w:lineRule="auto"/>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N°</w:t>
            </w:r>
          </w:p>
        </w:tc>
        <w:tc>
          <w:tcPr>
            <w:tcW w:w="8222" w:type="dxa"/>
            <w:shd w:val="clear" w:color="auto" w:fill="BDD6EE" w:themeFill="accent1" w:themeFillTint="66"/>
            <w:vAlign w:val="center"/>
          </w:tcPr>
          <w:p w14:paraId="472E8C4D" w14:textId="77777777" w:rsidR="00D46E35" w:rsidRPr="00260790" w:rsidRDefault="00D46E35" w:rsidP="00D46E35">
            <w:pPr>
              <w:spacing w:after="0" w:line="240" w:lineRule="auto"/>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Mesures environnementales et sociales</w:t>
            </w:r>
          </w:p>
        </w:tc>
        <w:tc>
          <w:tcPr>
            <w:tcW w:w="1417" w:type="dxa"/>
            <w:shd w:val="clear" w:color="auto" w:fill="BDD6EE" w:themeFill="accent1" w:themeFillTint="66"/>
            <w:vAlign w:val="center"/>
          </w:tcPr>
          <w:p w14:paraId="5FC94701" w14:textId="77777777" w:rsidR="00D46E35" w:rsidRPr="00260790" w:rsidRDefault="00D46E35" w:rsidP="00D46E35">
            <w:pPr>
              <w:spacing w:after="0" w:line="240" w:lineRule="auto"/>
              <w:rPr>
                <w:rFonts w:ascii="Times New Roman" w:eastAsia="Times New Roman" w:hAnsi="Times New Roman"/>
                <w:b/>
                <w:color w:val="000000" w:themeColor="text1"/>
                <w:lang w:eastAsia="fr-FR"/>
              </w:rPr>
            </w:pPr>
            <w:r w:rsidRPr="00260790">
              <w:rPr>
                <w:rFonts w:ascii="Times New Roman" w:eastAsia="Times New Roman" w:hAnsi="Times New Roman"/>
                <w:b/>
                <w:bCs/>
                <w:color w:val="000000" w:themeColor="text1"/>
                <w:lang w:eastAsia="fr-FR"/>
              </w:rPr>
              <w:t xml:space="preserve">Coûts </w:t>
            </w:r>
            <w:r w:rsidRPr="00260790">
              <w:rPr>
                <w:rFonts w:ascii="Times New Roman" w:eastAsia="Times New Roman" w:hAnsi="Times New Roman"/>
                <w:b/>
                <w:color w:val="000000" w:themeColor="text1"/>
                <w:lang w:eastAsia="fr-FR"/>
              </w:rPr>
              <w:t>FCFA</w:t>
            </w:r>
          </w:p>
        </w:tc>
      </w:tr>
      <w:tr w:rsidR="00D46E35" w:rsidRPr="00260790" w14:paraId="2B41DF96" w14:textId="77777777" w:rsidTr="00D46E35">
        <w:tc>
          <w:tcPr>
            <w:tcW w:w="568" w:type="dxa"/>
            <w:vAlign w:val="center"/>
          </w:tcPr>
          <w:p w14:paraId="258BECB1" w14:textId="77777777" w:rsidR="00D46E35" w:rsidRPr="00260790" w:rsidRDefault="00D46E35" w:rsidP="00D46E35">
            <w:pPr>
              <w:pStyle w:val="Outline1"/>
              <w:keepNext w:val="0"/>
              <w:numPr>
                <w:ilvl w:val="0"/>
                <w:numId w:val="101"/>
              </w:numPr>
              <w:spacing w:before="0"/>
              <w:rPr>
                <w:color w:val="000000" w:themeColor="text1"/>
                <w:kern w:val="0"/>
              </w:rPr>
            </w:pPr>
          </w:p>
        </w:tc>
        <w:tc>
          <w:tcPr>
            <w:tcW w:w="8222" w:type="dxa"/>
            <w:vAlign w:val="center"/>
          </w:tcPr>
          <w:p w14:paraId="04040E22" w14:textId="77777777" w:rsidR="00D46E35" w:rsidRPr="00260790" w:rsidRDefault="00D46E35" w:rsidP="00D46E35">
            <w:pPr>
              <w:spacing w:after="0" w:line="240" w:lineRule="auto"/>
              <w:ind w:right="-2"/>
              <w:jc w:val="both"/>
              <w:rPr>
                <w:rFonts w:ascii="Times New Roman" w:hAnsi="Times New Roman"/>
                <w:color w:val="000000" w:themeColor="text1"/>
                <w:lang w:eastAsia="fr-FR"/>
              </w:rPr>
            </w:pPr>
            <w:r w:rsidRPr="00260790">
              <w:rPr>
                <w:rFonts w:ascii="Times New Roman" w:hAnsi="Times New Roman"/>
                <w:color w:val="000000" w:themeColor="text1"/>
                <w:lang w:eastAsia="fr-FR"/>
              </w:rPr>
              <w:t>Mise en œuvre des clauses E&amp;S insérées dans les DAO et les dossiers d’exécution</w:t>
            </w:r>
          </w:p>
        </w:tc>
        <w:tc>
          <w:tcPr>
            <w:tcW w:w="1417" w:type="dxa"/>
            <w:vMerge w:val="restart"/>
            <w:vAlign w:val="center"/>
          </w:tcPr>
          <w:p w14:paraId="2A9EDAEF" w14:textId="77777777" w:rsidR="00D46E35" w:rsidRPr="00260790" w:rsidRDefault="00D46E35" w:rsidP="00D46E35">
            <w:pPr>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30 000 000</w:t>
            </w:r>
            <w:r>
              <w:rPr>
                <w:rStyle w:val="Appelnotedebasdep"/>
                <w:rFonts w:ascii="Times New Roman" w:eastAsia="Times New Roman" w:hAnsi="Times New Roman"/>
                <w:color w:val="000000" w:themeColor="text1"/>
                <w:lang w:eastAsia="fr-FR"/>
              </w:rPr>
              <w:footnoteReference w:id="8"/>
            </w:r>
          </w:p>
        </w:tc>
      </w:tr>
      <w:tr w:rsidR="00D46E35" w:rsidRPr="00260790" w14:paraId="4DA2AAE1" w14:textId="77777777" w:rsidTr="00D46E35">
        <w:tc>
          <w:tcPr>
            <w:tcW w:w="568" w:type="dxa"/>
            <w:vAlign w:val="center"/>
          </w:tcPr>
          <w:p w14:paraId="192B5263" w14:textId="77777777" w:rsidR="00D46E35" w:rsidRPr="00260790" w:rsidRDefault="00D46E35" w:rsidP="00D46E35">
            <w:pPr>
              <w:numPr>
                <w:ilvl w:val="0"/>
                <w:numId w:val="101"/>
              </w:numPr>
              <w:spacing w:after="0" w:line="240" w:lineRule="auto"/>
              <w:rPr>
                <w:rFonts w:ascii="Times New Roman" w:eastAsia="Times New Roman" w:hAnsi="Times New Roman"/>
                <w:color w:val="000000" w:themeColor="text1"/>
                <w:lang w:eastAsia="fr-FR"/>
              </w:rPr>
            </w:pPr>
          </w:p>
        </w:tc>
        <w:tc>
          <w:tcPr>
            <w:tcW w:w="8222" w:type="dxa"/>
            <w:vAlign w:val="center"/>
          </w:tcPr>
          <w:p w14:paraId="2E047216" w14:textId="77777777" w:rsidR="00D46E35" w:rsidRPr="00260790" w:rsidRDefault="00D46E35" w:rsidP="00D46E35">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Mise en œuvre du PGES Chantier (gestion des impacts, sensibilisation, etc.)</w:t>
            </w:r>
          </w:p>
        </w:tc>
        <w:tc>
          <w:tcPr>
            <w:tcW w:w="1417" w:type="dxa"/>
            <w:vMerge/>
            <w:vAlign w:val="center"/>
          </w:tcPr>
          <w:p w14:paraId="7B9992D3" w14:textId="77777777" w:rsidR="00D46E35" w:rsidRPr="00260790" w:rsidRDefault="00D46E35" w:rsidP="00D46E35">
            <w:pPr>
              <w:spacing w:after="0" w:line="240" w:lineRule="auto"/>
              <w:rPr>
                <w:rFonts w:ascii="Times New Roman" w:eastAsia="Times New Roman" w:hAnsi="Times New Roman"/>
                <w:color w:val="000000" w:themeColor="text1"/>
                <w:lang w:eastAsia="fr-FR"/>
              </w:rPr>
            </w:pPr>
          </w:p>
        </w:tc>
      </w:tr>
      <w:tr w:rsidR="00D46E35" w:rsidRPr="00260790" w14:paraId="1D64ACBF" w14:textId="77777777" w:rsidTr="00D46E35">
        <w:tc>
          <w:tcPr>
            <w:tcW w:w="568" w:type="dxa"/>
            <w:vAlign w:val="center"/>
          </w:tcPr>
          <w:p w14:paraId="748247E3" w14:textId="77777777" w:rsidR="00D46E35" w:rsidRPr="00260790" w:rsidRDefault="00D46E35" w:rsidP="00D46E35">
            <w:pPr>
              <w:numPr>
                <w:ilvl w:val="0"/>
                <w:numId w:val="101"/>
              </w:numPr>
              <w:spacing w:after="0" w:line="240" w:lineRule="auto"/>
              <w:rPr>
                <w:rFonts w:ascii="Times New Roman" w:eastAsia="Times New Roman" w:hAnsi="Times New Roman"/>
                <w:color w:val="000000" w:themeColor="text1"/>
                <w:lang w:eastAsia="fr-FR"/>
              </w:rPr>
            </w:pPr>
          </w:p>
        </w:tc>
        <w:tc>
          <w:tcPr>
            <w:tcW w:w="8222" w:type="dxa"/>
            <w:vAlign w:val="center"/>
          </w:tcPr>
          <w:p w14:paraId="450CBA9D" w14:textId="77777777" w:rsidR="00D46E35" w:rsidRPr="00260790" w:rsidRDefault="00D46E35" w:rsidP="00D46E35">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Mesures de reboisement compensatoire et d’aménagement paysager :</w:t>
            </w:r>
          </w:p>
          <w:p w14:paraId="145FE949" w14:textId="77777777" w:rsidR="00D46E35" w:rsidRPr="00260790" w:rsidRDefault="00D46E35" w:rsidP="00D46E35">
            <w:pPr>
              <w:numPr>
                <w:ilvl w:val="0"/>
                <w:numId w:val="97"/>
              </w:numPr>
              <w:shd w:val="clear" w:color="auto" w:fill="FFFFFF"/>
              <w:spacing w:after="0" w:line="240" w:lineRule="auto"/>
              <w:ind w:left="509"/>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Production/acquisition de plans, Plantation et protection, Suivi</w:t>
            </w:r>
          </w:p>
        </w:tc>
        <w:tc>
          <w:tcPr>
            <w:tcW w:w="1417" w:type="dxa"/>
            <w:vAlign w:val="center"/>
          </w:tcPr>
          <w:p w14:paraId="3E855D9A" w14:textId="77777777" w:rsidR="00D46E35" w:rsidRPr="00260790" w:rsidRDefault="00D46E35" w:rsidP="00D46E35">
            <w:pPr>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20 000 000</w:t>
            </w:r>
          </w:p>
        </w:tc>
      </w:tr>
      <w:tr w:rsidR="00D46E35" w:rsidRPr="00260790" w14:paraId="0A285822" w14:textId="77777777" w:rsidTr="00D46E35">
        <w:tc>
          <w:tcPr>
            <w:tcW w:w="568" w:type="dxa"/>
            <w:vAlign w:val="center"/>
          </w:tcPr>
          <w:p w14:paraId="3A43E006" w14:textId="77777777" w:rsidR="00D46E35" w:rsidRPr="00260790" w:rsidRDefault="00D46E35" w:rsidP="00D46E35">
            <w:pPr>
              <w:numPr>
                <w:ilvl w:val="0"/>
                <w:numId w:val="101"/>
              </w:numPr>
              <w:spacing w:after="0" w:line="240" w:lineRule="auto"/>
              <w:rPr>
                <w:rFonts w:ascii="Times New Roman" w:eastAsia="Times New Roman" w:hAnsi="Times New Roman"/>
                <w:color w:val="000000" w:themeColor="text1"/>
                <w:lang w:eastAsia="fr-FR"/>
              </w:rPr>
            </w:pPr>
          </w:p>
        </w:tc>
        <w:tc>
          <w:tcPr>
            <w:tcW w:w="8222" w:type="dxa"/>
            <w:vAlign w:val="center"/>
          </w:tcPr>
          <w:p w14:paraId="58F60857" w14:textId="77777777" w:rsidR="00D46E35" w:rsidRPr="00260790" w:rsidRDefault="00D46E35" w:rsidP="00D46E35">
            <w:pPr>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Mesures sociales liées aux pertes de biens, déplacement de populations, perte de sources de revenus :</w:t>
            </w:r>
          </w:p>
          <w:p w14:paraId="71AADA5A" w14:textId="77777777" w:rsidR="00D46E35" w:rsidRPr="00260790" w:rsidRDefault="00D46E35" w:rsidP="00D46E35">
            <w:pPr>
              <w:numPr>
                <w:ilvl w:val="0"/>
                <w:numId w:val="97"/>
              </w:numPr>
              <w:shd w:val="clear" w:color="auto" w:fill="FFFFFF"/>
              <w:spacing w:after="0" w:line="240" w:lineRule="auto"/>
              <w:ind w:left="509"/>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Compensation des PAP</w:t>
            </w:r>
          </w:p>
          <w:p w14:paraId="4287AC5A" w14:textId="77777777" w:rsidR="00D46E35" w:rsidRPr="00260790" w:rsidRDefault="00D46E35" w:rsidP="00D46E35">
            <w:pPr>
              <w:numPr>
                <w:ilvl w:val="0"/>
                <w:numId w:val="97"/>
              </w:numPr>
              <w:shd w:val="clear" w:color="auto" w:fill="FFFFFF"/>
              <w:spacing w:after="0" w:line="240" w:lineRule="auto"/>
              <w:ind w:left="509"/>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Appui aux personnes vulnérables</w:t>
            </w:r>
          </w:p>
          <w:p w14:paraId="69EBC3B2" w14:textId="77777777" w:rsidR="00D46E35" w:rsidRPr="00260790" w:rsidRDefault="00D46E35" w:rsidP="00D46E35">
            <w:pPr>
              <w:numPr>
                <w:ilvl w:val="0"/>
                <w:numId w:val="97"/>
              </w:numPr>
              <w:shd w:val="clear" w:color="auto" w:fill="FFFFFF"/>
              <w:spacing w:after="0" w:line="240" w:lineRule="auto"/>
              <w:ind w:left="509"/>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Mise en œuvre du PAR</w:t>
            </w:r>
          </w:p>
          <w:p w14:paraId="14BF7D0D" w14:textId="77777777" w:rsidR="00D46E35" w:rsidRPr="00260790" w:rsidRDefault="00D46E35" w:rsidP="00D46E35">
            <w:pPr>
              <w:numPr>
                <w:ilvl w:val="0"/>
                <w:numId w:val="97"/>
              </w:numPr>
              <w:shd w:val="clear" w:color="auto" w:fill="FFFFFF"/>
              <w:spacing w:after="0" w:line="240" w:lineRule="auto"/>
              <w:ind w:left="509"/>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Audit du PAR</w:t>
            </w:r>
          </w:p>
        </w:tc>
        <w:tc>
          <w:tcPr>
            <w:tcW w:w="1417" w:type="dxa"/>
            <w:vAlign w:val="center"/>
          </w:tcPr>
          <w:p w14:paraId="112D1918" w14:textId="77777777" w:rsidR="00D46E35" w:rsidRPr="00260790" w:rsidRDefault="00D46E35" w:rsidP="00D46E35">
            <w:pPr>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PM</w:t>
            </w:r>
          </w:p>
        </w:tc>
      </w:tr>
      <w:tr w:rsidR="00D46E35" w:rsidRPr="00260790" w14:paraId="6F23E2FE" w14:textId="77777777" w:rsidTr="00D46E35">
        <w:tc>
          <w:tcPr>
            <w:tcW w:w="568" w:type="dxa"/>
            <w:vAlign w:val="center"/>
          </w:tcPr>
          <w:p w14:paraId="48C9BC7C" w14:textId="77777777" w:rsidR="00D46E35" w:rsidRPr="00260790" w:rsidRDefault="00D46E35" w:rsidP="00D46E35">
            <w:pPr>
              <w:numPr>
                <w:ilvl w:val="0"/>
                <w:numId w:val="101"/>
              </w:numPr>
              <w:spacing w:after="0" w:line="240" w:lineRule="auto"/>
              <w:rPr>
                <w:rFonts w:ascii="Times New Roman" w:eastAsia="Times New Roman" w:hAnsi="Times New Roman"/>
                <w:color w:val="000000" w:themeColor="text1"/>
                <w:lang w:eastAsia="fr-FR"/>
              </w:rPr>
            </w:pPr>
          </w:p>
        </w:tc>
        <w:tc>
          <w:tcPr>
            <w:tcW w:w="8222" w:type="dxa"/>
            <w:vAlign w:val="center"/>
          </w:tcPr>
          <w:p w14:paraId="7E50BA5C" w14:textId="77777777" w:rsidR="00D46E35" w:rsidRPr="00260790" w:rsidRDefault="00D46E35" w:rsidP="00D46E35">
            <w:pPr>
              <w:shd w:val="clear" w:color="auto" w:fill="FFFFFF"/>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 Mécanisme de gestion des plaintes incluant l’EAS/HS :</w:t>
            </w:r>
          </w:p>
          <w:p w14:paraId="7A0A490A" w14:textId="77777777" w:rsidR="00D46E35" w:rsidRPr="00260790" w:rsidRDefault="00D46E35" w:rsidP="00D46E35">
            <w:pPr>
              <w:numPr>
                <w:ilvl w:val="0"/>
                <w:numId w:val="97"/>
              </w:numPr>
              <w:shd w:val="clear" w:color="auto" w:fill="FFFFFF"/>
              <w:spacing w:after="0" w:line="240" w:lineRule="auto"/>
              <w:ind w:left="509"/>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Cartographie des services de VBG dans les zones de mise en œuvre du Projet </w:t>
            </w:r>
          </w:p>
          <w:p w14:paraId="77A0FAF1" w14:textId="77777777" w:rsidR="00D46E35" w:rsidRPr="00260790" w:rsidRDefault="00D46E35" w:rsidP="00D46E35">
            <w:pPr>
              <w:numPr>
                <w:ilvl w:val="0"/>
                <w:numId w:val="97"/>
              </w:numPr>
              <w:shd w:val="clear" w:color="auto" w:fill="FFFFFF"/>
              <w:spacing w:after="0" w:line="240" w:lineRule="auto"/>
              <w:ind w:left="509"/>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Information/sensibilisation sur les dispositions du mécanisme et diffusion du dispositif de gestion des plaintes liées à l’EAS/HS à l’endroit du personnel et des communautés </w:t>
            </w:r>
          </w:p>
          <w:p w14:paraId="75C7E88F" w14:textId="77777777" w:rsidR="00D46E35" w:rsidRPr="00260790" w:rsidRDefault="00D46E35" w:rsidP="00D46E35">
            <w:pPr>
              <w:numPr>
                <w:ilvl w:val="0"/>
                <w:numId w:val="97"/>
              </w:numPr>
              <w:shd w:val="clear" w:color="auto" w:fill="FFFFFF"/>
              <w:spacing w:after="0" w:line="240" w:lineRule="auto"/>
              <w:ind w:left="509"/>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Formation du comité de gestion des plaintes liées à l’EAS/HS et des fournisseurs de services </w:t>
            </w:r>
          </w:p>
          <w:p w14:paraId="11319D47" w14:textId="77777777" w:rsidR="00D46E35" w:rsidRPr="00260790" w:rsidRDefault="00D46E35" w:rsidP="00D46E35">
            <w:pPr>
              <w:numPr>
                <w:ilvl w:val="0"/>
                <w:numId w:val="97"/>
              </w:numPr>
              <w:shd w:val="clear" w:color="auto" w:fill="FFFFFF"/>
              <w:spacing w:after="0" w:line="240" w:lineRule="auto"/>
              <w:ind w:left="509"/>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Appui au comité de gestion des plaintes liées à l’EAS/HS et aux fournisseurs de services de prise en charge des survivantes d’EAS/HS </w:t>
            </w:r>
          </w:p>
          <w:p w14:paraId="376B72DA" w14:textId="77777777" w:rsidR="00D46E35" w:rsidRPr="00260790" w:rsidRDefault="00D46E35" w:rsidP="00D46E35">
            <w:pPr>
              <w:numPr>
                <w:ilvl w:val="0"/>
                <w:numId w:val="97"/>
              </w:numPr>
              <w:shd w:val="clear" w:color="auto" w:fill="FFFFFF"/>
              <w:spacing w:after="0" w:line="240" w:lineRule="auto"/>
              <w:ind w:left="509"/>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Ateliers d’évaluation et de renforcement périodique des capacités des acteurs du MGP/Comité EAS/HS </w:t>
            </w:r>
          </w:p>
          <w:p w14:paraId="3021E8AB" w14:textId="77777777" w:rsidR="00D46E35" w:rsidRPr="00260790" w:rsidRDefault="00D46E35" w:rsidP="00D46E35">
            <w:pPr>
              <w:numPr>
                <w:ilvl w:val="0"/>
                <w:numId w:val="97"/>
              </w:numPr>
              <w:shd w:val="clear" w:color="auto" w:fill="FFFFFF"/>
              <w:spacing w:after="0" w:line="240" w:lineRule="auto"/>
              <w:ind w:left="509"/>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Information/sensibilisation sur le projet</w:t>
            </w:r>
          </w:p>
          <w:p w14:paraId="1FE7A8F0" w14:textId="77777777" w:rsidR="00D46E35" w:rsidRPr="00260790" w:rsidRDefault="00D46E35" w:rsidP="00D46E35">
            <w:pPr>
              <w:numPr>
                <w:ilvl w:val="0"/>
                <w:numId w:val="97"/>
              </w:numPr>
              <w:shd w:val="clear" w:color="auto" w:fill="FFFFFF"/>
              <w:spacing w:after="0" w:line="240" w:lineRule="auto"/>
              <w:ind w:left="509"/>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Sensibilisation sur le VIH et autres maladies </w:t>
            </w:r>
          </w:p>
          <w:p w14:paraId="1548B73D" w14:textId="77777777" w:rsidR="00D46E35" w:rsidRPr="00260790" w:rsidRDefault="00D46E35" w:rsidP="00D46E35">
            <w:pPr>
              <w:numPr>
                <w:ilvl w:val="0"/>
                <w:numId w:val="97"/>
              </w:numPr>
              <w:shd w:val="clear" w:color="auto" w:fill="FFFFFF"/>
              <w:spacing w:after="0" w:line="240" w:lineRule="auto"/>
              <w:ind w:left="509"/>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Mise en place des commissions de gestion de plaintes </w:t>
            </w:r>
          </w:p>
          <w:p w14:paraId="21AA4D8B" w14:textId="77777777" w:rsidR="00D46E35" w:rsidRPr="00260790" w:rsidRDefault="00D46E35" w:rsidP="00D46E35">
            <w:pPr>
              <w:numPr>
                <w:ilvl w:val="0"/>
                <w:numId w:val="97"/>
              </w:numPr>
              <w:shd w:val="clear" w:color="auto" w:fill="FFFFFF"/>
              <w:spacing w:after="0" w:line="240" w:lineRule="auto"/>
              <w:ind w:left="509"/>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Formation des membres des commissions sur le contenu du mécanisme de gestion des plaintes </w:t>
            </w:r>
          </w:p>
          <w:p w14:paraId="1D6D91AF" w14:textId="77777777" w:rsidR="00D46E35" w:rsidRPr="00260790" w:rsidRDefault="00D46E35" w:rsidP="00D46E35">
            <w:pPr>
              <w:numPr>
                <w:ilvl w:val="0"/>
                <w:numId w:val="97"/>
              </w:numPr>
              <w:shd w:val="clear" w:color="auto" w:fill="FFFFFF"/>
              <w:spacing w:after="0" w:line="240" w:lineRule="auto"/>
              <w:ind w:left="509"/>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 xml:space="preserve">Fonctionnement des Commissions de gestion des plaintes </w:t>
            </w:r>
          </w:p>
        </w:tc>
        <w:tc>
          <w:tcPr>
            <w:tcW w:w="1417" w:type="dxa"/>
            <w:vAlign w:val="center"/>
          </w:tcPr>
          <w:p w14:paraId="0F7AA54B" w14:textId="77777777" w:rsidR="00D46E35" w:rsidRPr="00260790" w:rsidRDefault="00D46E35" w:rsidP="00D46E35">
            <w:pPr>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26 500 000</w:t>
            </w:r>
            <w:r w:rsidRPr="00260790">
              <w:rPr>
                <w:rStyle w:val="Appelnotedebasdep"/>
                <w:rFonts w:ascii="Times New Roman" w:eastAsia="Times New Roman" w:hAnsi="Times New Roman"/>
                <w:color w:val="000000" w:themeColor="text1"/>
                <w:lang w:eastAsia="fr-FR"/>
              </w:rPr>
              <w:footnoteReference w:id="9"/>
            </w:r>
          </w:p>
        </w:tc>
      </w:tr>
      <w:tr w:rsidR="00D46E35" w:rsidRPr="00260790" w14:paraId="242ED382" w14:textId="77777777" w:rsidTr="00D46E35">
        <w:tc>
          <w:tcPr>
            <w:tcW w:w="568" w:type="dxa"/>
            <w:vAlign w:val="center"/>
          </w:tcPr>
          <w:p w14:paraId="4EC825AE" w14:textId="77777777" w:rsidR="00D46E35" w:rsidRPr="00260790" w:rsidRDefault="00D46E35" w:rsidP="00D46E35">
            <w:pPr>
              <w:numPr>
                <w:ilvl w:val="0"/>
                <w:numId w:val="101"/>
              </w:numPr>
              <w:spacing w:after="0" w:line="240" w:lineRule="auto"/>
              <w:rPr>
                <w:rFonts w:ascii="Times New Roman" w:eastAsia="Times New Roman" w:hAnsi="Times New Roman"/>
                <w:color w:val="000000" w:themeColor="text1"/>
                <w:lang w:eastAsia="fr-FR"/>
              </w:rPr>
            </w:pPr>
          </w:p>
        </w:tc>
        <w:tc>
          <w:tcPr>
            <w:tcW w:w="8222" w:type="dxa"/>
            <w:vAlign w:val="center"/>
          </w:tcPr>
          <w:p w14:paraId="6F5A6457" w14:textId="77777777" w:rsidR="00D46E35" w:rsidRPr="00260790" w:rsidRDefault="00D46E35" w:rsidP="00D46E35">
            <w:pPr>
              <w:shd w:val="clear" w:color="auto" w:fill="FFFFFF"/>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Mesures de renforcement des capacités des acteurs impliqués dans le suivi :</w:t>
            </w:r>
          </w:p>
          <w:p w14:paraId="79C85F87" w14:textId="77777777" w:rsidR="00D46E35" w:rsidRPr="00260790" w:rsidRDefault="00D46E35" w:rsidP="00D46E35">
            <w:pPr>
              <w:numPr>
                <w:ilvl w:val="0"/>
                <w:numId w:val="97"/>
              </w:numPr>
              <w:shd w:val="clear" w:color="auto" w:fill="FFFFFF"/>
              <w:spacing w:after="0" w:line="240" w:lineRule="auto"/>
              <w:ind w:left="509"/>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Composantes du projet, activités connexes connues et enjeux associés</w:t>
            </w:r>
          </w:p>
          <w:p w14:paraId="1705BD0D" w14:textId="77777777" w:rsidR="00D46E35" w:rsidRPr="00260790" w:rsidRDefault="00D46E35" w:rsidP="00D46E35">
            <w:pPr>
              <w:numPr>
                <w:ilvl w:val="0"/>
                <w:numId w:val="97"/>
              </w:numPr>
              <w:shd w:val="clear" w:color="auto" w:fill="FFFFFF"/>
              <w:spacing w:after="0" w:line="240" w:lineRule="auto"/>
              <w:ind w:left="509"/>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Renforcement des capacités en matière de procédures d'EIE et sur le nouveau cadre environnemental et social de la Banque mondiale</w:t>
            </w:r>
          </w:p>
          <w:p w14:paraId="52324AB4" w14:textId="77777777" w:rsidR="00D46E35" w:rsidRPr="00260790" w:rsidRDefault="00D46E35" w:rsidP="00D46E35">
            <w:pPr>
              <w:numPr>
                <w:ilvl w:val="0"/>
                <w:numId w:val="97"/>
              </w:numPr>
              <w:shd w:val="clear" w:color="auto" w:fill="FFFFFF"/>
              <w:spacing w:after="0" w:line="240" w:lineRule="auto"/>
              <w:ind w:left="509"/>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Exigences et stratégies / mécanismes de mise en œuvre et du suivi du PGES</w:t>
            </w:r>
          </w:p>
          <w:p w14:paraId="6E68B0F5" w14:textId="77777777" w:rsidR="00D46E35" w:rsidRPr="00260790" w:rsidRDefault="00D46E35" w:rsidP="00D46E35">
            <w:pPr>
              <w:numPr>
                <w:ilvl w:val="0"/>
                <w:numId w:val="97"/>
              </w:numPr>
              <w:shd w:val="clear" w:color="auto" w:fill="FFFFFF"/>
              <w:spacing w:after="0" w:line="240" w:lineRule="auto"/>
              <w:ind w:left="509"/>
              <w:jc w:val="both"/>
              <w:rPr>
                <w:rFonts w:ascii="Times New Roman" w:hAnsi="Times New Roman"/>
                <w:color w:val="000000" w:themeColor="text1"/>
              </w:rPr>
            </w:pPr>
            <w:r w:rsidRPr="00260790">
              <w:rPr>
                <w:rFonts w:ascii="Times New Roman" w:hAnsi="Times New Roman"/>
                <w:color w:val="000000" w:themeColor="text1"/>
              </w:rPr>
              <w:t xml:space="preserve">Renforcement des capacités des membres du CRSE en suivi </w:t>
            </w:r>
          </w:p>
        </w:tc>
        <w:tc>
          <w:tcPr>
            <w:tcW w:w="1417" w:type="dxa"/>
            <w:vAlign w:val="center"/>
          </w:tcPr>
          <w:p w14:paraId="4159917A" w14:textId="3E69872D" w:rsidR="00D46E35" w:rsidRPr="00260790" w:rsidRDefault="00757795" w:rsidP="00D46E35">
            <w:pPr>
              <w:spacing w:after="0" w:line="240" w:lineRule="auto"/>
              <w:jc w:val="center"/>
              <w:rPr>
                <w:rFonts w:ascii="Times New Roman" w:eastAsia="Times New Roman" w:hAnsi="Times New Roman"/>
                <w:color w:val="000000" w:themeColor="text1"/>
                <w:lang w:eastAsia="fr-FR"/>
              </w:rPr>
            </w:pPr>
            <w:r>
              <w:rPr>
                <w:rFonts w:ascii="Times New Roman" w:eastAsia="Times New Roman" w:hAnsi="Times New Roman"/>
                <w:color w:val="000000" w:themeColor="text1"/>
                <w:lang w:eastAsia="fr-FR"/>
              </w:rPr>
              <w:t>1</w:t>
            </w:r>
            <w:r w:rsidR="00D46E35" w:rsidRPr="00260790">
              <w:rPr>
                <w:rFonts w:ascii="Times New Roman" w:eastAsia="Times New Roman" w:hAnsi="Times New Roman"/>
                <w:color w:val="000000" w:themeColor="text1"/>
                <w:lang w:eastAsia="fr-FR"/>
              </w:rPr>
              <w:t>5 000 000</w:t>
            </w:r>
            <w:r w:rsidR="00D46E35" w:rsidRPr="00260790">
              <w:rPr>
                <w:rStyle w:val="Appelnotedebasdep"/>
                <w:rFonts w:ascii="Times New Roman" w:eastAsia="Times New Roman" w:hAnsi="Times New Roman"/>
                <w:color w:val="000000" w:themeColor="text1"/>
                <w:lang w:eastAsia="fr-FR"/>
              </w:rPr>
              <w:footnoteReference w:id="10"/>
            </w:r>
          </w:p>
        </w:tc>
      </w:tr>
      <w:tr w:rsidR="00D46E35" w:rsidRPr="00260790" w14:paraId="51F5B992" w14:textId="77777777" w:rsidTr="00D46E35">
        <w:trPr>
          <w:trHeight w:val="206"/>
        </w:trPr>
        <w:tc>
          <w:tcPr>
            <w:tcW w:w="568" w:type="dxa"/>
            <w:vMerge w:val="restart"/>
            <w:vAlign w:val="center"/>
          </w:tcPr>
          <w:p w14:paraId="3374E211" w14:textId="77777777" w:rsidR="00D46E35" w:rsidRPr="00260790" w:rsidRDefault="00D46E35" w:rsidP="00D46E35">
            <w:pPr>
              <w:numPr>
                <w:ilvl w:val="0"/>
                <w:numId w:val="101"/>
              </w:numPr>
              <w:spacing w:after="0" w:line="240" w:lineRule="auto"/>
              <w:rPr>
                <w:rFonts w:ascii="Times New Roman" w:eastAsia="Times New Roman" w:hAnsi="Times New Roman"/>
                <w:color w:val="000000" w:themeColor="text1"/>
                <w:lang w:eastAsia="fr-FR"/>
              </w:rPr>
            </w:pPr>
          </w:p>
        </w:tc>
        <w:tc>
          <w:tcPr>
            <w:tcW w:w="8222" w:type="dxa"/>
            <w:tcBorders>
              <w:bottom w:val="nil"/>
            </w:tcBorders>
            <w:vAlign w:val="center"/>
          </w:tcPr>
          <w:p w14:paraId="261176BA" w14:textId="77777777" w:rsidR="00D46E35" w:rsidRPr="00260790" w:rsidRDefault="00D46E35" w:rsidP="00D46E35">
            <w:pPr>
              <w:shd w:val="clear" w:color="auto" w:fill="FFFFFF"/>
              <w:spacing w:after="0" w:line="240" w:lineRule="auto"/>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Suivi environnemental et social par le CRSE de Dakar</w:t>
            </w:r>
          </w:p>
        </w:tc>
        <w:tc>
          <w:tcPr>
            <w:tcW w:w="1417" w:type="dxa"/>
            <w:tcBorders>
              <w:bottom w:val="nil"/>
            </w:tcBorders>
            <w:vAlign w:val="center"/>
          </w:tcPr>
          <w:p w14:paraId="07047B2A" w14:textId="77777777" w:rsidR="00D46E35" w:rsidRPr="00260790" w:rsidRDefault="00D46E35" w:rsidP="00D46E35">
            <w:pPr>
              <w:spacing w:after="0" w:line="240" w:lineRule="auto"/>
              <w:rPr>
                <w:rFonts w:ascii="Times New Roman" w:eastAsia="Times New Roman" w:hAnsi="Times New Roman"/>
                <w:color w:val="000000" w:themeColor="text1"/>
                <w:lang w:eastAsia="fr-FR"/>
              </w:rPr>
            </w:pPr>
          </w:p>
        </w:tc>
      </w:tr>
      <w:tr w:rsidR="00D46E35" w:rsidRPr="00260790" w14:paraId="2A4EE703" w14:textId="77777777" w:rsidTr="00D46E35">
        <w:tc>
          <w:tcPr>
            <w:tcW w:w="568" w:type="dxa"/>
            <w:vMerge/>
            <w:vAlign w:val="center"/>
          </w:tcPr>
          <w:p w14:paraId="5ADD0289" w14:textId="77777777" w:rsidR="00D46E35" w:rsidRPr="00260790" w:rsidRDefault="00D46E35" w:rsidP="00D46E35">
            <w:pPr>
              <w:numPr>
                <w:ilvl w:val="0"/>
                <w:numId w:val="101"/>
              </w:numPr>
              <w:spacing w:after="0" w:line="240" w:lineRule="auto"/>
              <w:rPr>
                <w:rFonts w:ascii="Times New Roman" w:eastAsia="Times New Roman" w:hAnsi="Times New Roman"/>
                <w:color w:val="000000" w:themeColor="text1"/>
                <w:lang w:eastAsia="fr-FR"/>
              </w:rPr>
            </w:pPr>
          </w:p>
        </w:tc>
        <w:tc>
          <w:tcPr>
            <w:tcW w:w="8222" w:type="dxa"/>
            <w:tcBorders>
              <w:top w:val="nil"/>
              <w:bottom w:val="nil"/>
            </w:tcBorders>
            <w:vAlign w:val="center"/>
          </w:tcPr>
          <w:p w14:paraId="6BB71C35" w14:textId="77777777" w:rsidR="00D46E35" w:rsidRPr="00260790" w:rsidRDefault="00D46E35" w:rsidP="00D46E35">
            <w:pPr>
              <w:numPr>
                <w:ilvl w:val="0"/>
                <w:numId w:val="97"/>
              </w:numPr>
              <w:shd w:val="clear" w:color="auto" w:fill="FFFFFF"/>
              <w:spacing w:after="0" w:line="240" w:lineRule="auto"/>
              <w:ind w:left="509"/>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Missions trimestrielles de suivi (appui en carburant, frais de déplacements, bureautique et frais de coordination, etc.)</w:t>
            </w:r>
          </w:p>
        </w:tc>
        <w:tc>
          <w:tcPr>
            <w:tcW w:w="1417" w:type="dxa"/>
            <w:tcBorders>
              <w:top w:val="nil"/>
              <w:bottom w:val="nil"/>
            </w:tcBorders>
            <w:vAlign w:val="center"/>
          </w:tcPr>
          <w:p w14:paraId="6AC2004F" w14:textId="77777777" w:rsidR="00D46E35" w:rsidRPr="00260790" w:rsidRDefault="00D46E35" w:rsidP="00D46E35">
            <w:pPr>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50 000 000</w:t>
            </w:r>
          </w:p>
          <w:p w14:paraId="2F92B5A2" w14:textId="77777777" w:rsidR="00D46E35" w:rsidRPr="00260790" w:rsidRDefault="00D46E35" w:rsidP="00D46E35">
            <w:pPr>
              <w:spacing w:after="0" w:line="240" w:lineRule="auto"/>
              <w:jc w:val="center"/>
              <w:rPr>
                <w:rFonts w:ascii="Times New Roman" w:eastAsia="Times New Roman" w:hAnsi="Times New Roman"/>
                <w:color w:val="000000" w:themeColor="text1"/>
                <w:lang w:eastAsia="fr-FR"/>
              </w:rPr>
            </w:pPr>
          </w:p>
        </w:tc>
      </w:tr>
      <w:tr w:rsidR="00D46E35" w:rsidRPr="00260790" w14:paraId="64C48266" w14:textId="77777777" w:rsidTr="00D46E35">
        <w:tc>
          <w:tcPr>
            <w:tcW w:w="568" w:type="dxa"/>
            <w:vMerge/>
            <w:vAlign w:val="center"/>
          </w:tcPr>
          <w:p w14:paraId="30012BCB" w14:textId="77777777" w:rsidR="00D46E35" w:rsidRPr="00260790" w:rsidRDefault="00D46E35" w:rsidP="00D46E35">
            <w:pPr>
              <w:numPr>
                <w:ilvl w:val="0"/>
                <w:numId w:val="101"/>
              </w:numPr>
              <w:spacing w:after="0" w:line="240" w:lineRule="auto"/>
              <w:rPr>
                <w:rFonts w:ascii="Times New Roman" w:eastAsia="Times New Roman" w:hAnsi="Times New Roman"/>
                <w:color w:val="000000" w:themeColor="text1"/>
                <w:lang w:eastAsia="fr-FR"/>
              </w:rPr>
            </w:pPr>
          </w:p>
        </w:tc>
        <w:tc>
          <w:tcPr>
            <w:tcW w:w="8222" w:type="dxa"/>
            <w:tcBorders>
              <w:top w:val="nil"/>
            </w:tcBorders>
            <w:vAlign w:val="center"/>
          </w:tcPr>
          <w:p w14:paraId="37F9CC16" w14:textId="77777777" w:rsidR="00D46E35" w:rsidRPr="00260790" w:rsidRDefault="00D46E35" w:rsidP="00D46E35">
            <w:pPr>
              <w:numPr>
                <w:ilvl w:val="0"/>
                <w:numId w:val="97"/>
              </w:numPr>
              <w:shd w:val="clear" w:color="auto" w:fill="FFFFFF"/>
              <w:spacing w:after="0" w:line="240" w:lineRule="auto"/>
              <w:ind w:left="509"/>
              <w:jc w:val="both"/>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Réaliser trois (3) analyses de la qualité de l’eau du marigot de Mbao (situation de référence, et annuellement : 2025 et 2026), y compris les bassins situés dans la forêt classée de Mbao</w:t>
            </w:r>
            <w:r w:rsidRPr="00260790">
              <w:rPr>
                <w:rStyle w:val="Appelnotedebasdep"/>
                <w:rFonts w:ascii="Times New Roman" w:eastAsia="Times New Roman" w:hAnsi="Times New Roman"/>
                <w:color w:val="000000" w:themeColor="text1"/>
                <w:lang w:eastAsia="fr-FR"/>
              </w:rPr>
              <w:footnoteReference w:id="11"/>
            </w:r>
          </w:p>
        </w:tc>
        <w:tc>
          <w:tcPr>
            <w:tcW w:w="1417" w:type="dxa"/>
            <w:tcBorders>
              <w:top w:val="nil"/>
            </w:tcBorders>
            <w:vAlign w:val="center"/>
          </w:tcPr>
          <w:p w14:paraId="05172A75" w14:textId="77777777" w:rsidR="00D46E35" w:rsidRPr="00260790" w:rsidRDefault="00D46E35" w:rsidP="00D46E35">
            <w:pPr>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40 000 000</w:t>
            </w:r>
            <w:r>
              <w:rPr>
                <w:rStyle w:val="Appelnotedebasdep"/>
                <w:rFonts w:ascii="Times New Roman" w:eastAsia="Times New Roman" w:hAnsi="Times New Roman"/>
                <w:color w:val="000000" w:themeColor="text1"/>
                <w:lang w:eastAsia="fr-FR"/>
              </w:rPr>
              <w:footnoteReference w:id="12"/>
            </w:r>
          </w:p>
        </w:tc>
      </w:tr>
      <w:tr w:rsidR="00D46E35" w:rsidRPr="00260790" w14:paraId="3F60C863" w14:textId="77777777" w:rsidTr="00D46E35">
        <w:tc>
          <w:tcPr>
            <w:tcW w:w="568" w:type="dxa"/>
            <w:vAlign w:val="center"/>
          </w:tcPr>
          <w:p w14:paraId="61CB7039" w14:textId="77777777" w:rsidR="00D46E35" w:rsidRPr="00260790" w:rsidRDefault="00D46E35" w:rsidP="00D46E35">
            <w:pPr>
              <w:numPr>
                <w:ilvl w:val="0"/>
                <w:numId w:val="101"/>
              </w:numPr>
              <w:spacing w:after="0" w:line="240" w:lineRule="auto"/>
              <w:rPr>
                <w:rFonts w:ascii="Times New Roman" w:eastAsia="Times New Roman" w:hAnsi="Times New Roman"/>
                <w:color w:val="000000" w:themeColor="text1"/>
                <w:lang w:eastAsia="fr-FR"/>
              </w:rPr>
            </w:pPr>
          </w:p>
        </w:tc>
        <w:tc>
          <w:tcPr>
            <w:tcW w:w="8222" w:type="dxa"/>
            <w:vAlign w:val="center"/>
          </w:tcPr>
          <w:p w14:paraId="549D2D7F" w14:textId="77777777" w:rsidR="00D46E35" w:rsidRPr="00260790" w:rsidRDefault="00D46E35" w:rsidP="00D46E35">
            <w:pPr>
              <w:shd w:val="clear" w:color="auto" w:fill="FFFFFF"/>
              <w:spacing w:after="0"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Audit de conformité environnementale et sociale</w:t>
            </w:r>
          </w:p>
        </w:tc>
        <w:tc>
          <w:tcPr>
            <w:tcW w:w="1417" w:type="dxa"/>
            <w:vAlign w:val="center"/>
          </w:tcPr>
          <w:p w14:paraId="2CE74578" w14:textId="77777777" w:rsidR="00D46E35" w:rsidRPr="00260790" w:rsidRDefault="00D46E35" w:rsidP="00D46E35">
            <w:pPr>
              <w:spacing w:after="0" w:line="240" w:lineRule="auto"/>
              <w:jc w:val="center"/>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lang w:eastAsia="fr-FR"/>
              </w:rPr>
              <w:t>20 000 000</w:t>
            </w:r>
          </w:p>
        </w:tc>
      </w:tr>
      <w:tr w:rsidR="00D46E35" w:rsidRPr="00260790" w14:paraId="3E0BD276" w14:textId="77777777" w:rsidTr="00D46E35">
        <w:tc>
          <w:tcPr>
            <w:tcW w:w="8790" w:type="dxa"/>
            <w:gridSpan w:val="2"/>
            <w:shd w:val="clear" w:color="auto" w:fill="FFFF00"/>
            <w:vAlign w:val="center"/>
          </w:tcPr>
          <w:p w14:paraId="7EF455DA" w14:textId="77777777" w:rsidR="00D46E35" w:rsidRPr="00260790" w:rsidRDefault="00D46E35" w:rsidP="00D46E35">
            <w:pPr>
              <w:spacing w:after="0" w:line="240" w:lineRule="auto"/>
              <w:jc w:val="center"/>
              <w:rPr>
                <w:rFonts w:ascii="Times New Roman" w:eastAsia="Times New Roman" w:hAnsi="Times New Roman"/>
                <w:b/>
                <w:color w:val="000000" w:themeColor="text1"/>
                <w:lang w:eastAsia="fr-FR"/>
              </w:rPr>
            </w:pPr>
            <w:r w:rsidRPr="00260790">
              <w:rPr>
                <w:rFonts w:ascii="Times New Roman" w:eastAsia="Times New Roman" w:hAnsi="Times New Roman"/>
                <w:b/>
                <w:color w:val="000000" w:themeColor="text1"/>
                <w:lang w:eastAsia="fr-FR"/>
              </w:rPr>
              <w:t>TOTAL</w:t>
            </w:r>
          </w:p>
        </w:tc>
        <w:tc>
          <w:tcPr>
            <w:tcW w:w="1417" w:type="dxa"/>
            <w:shd w:val="clear" w:color="auto" w:fill="FFFF00"/>
            <w:vAlign w:val="center"/>
          </w:tcPr>
          <w:p w14:paraId="7E8E8EDE" w14:textId="717394DF" w:rsidR="00D46E35" w:rsidRPr="00260790" w:rsidRDefault="00D46E35" w:rsidP="00D46E35">
            <w:pPr>
              <w:autoSpaceDE w:val="0"/>
              <w:autoSpaceDN w:val="0"/>
              <w:adjustRightInd w:val="0"/>
              <w:spacing w:after="0" w:line="240" w:lineRule="auto"/>
              <w:jc w:val="center"/>
              <w:rPr>
                <w:rFonts w:ascii="Times New Roman" w:eastAsia="Times New Roman" w:hAnsi="Times New Roman"/>
                <w:b/>
                <w:iCs/>
                <w:color w:val="000000" w:themeColor="text1"/>
                <w:lang w:eastAsia="fr-FR"/>
              </w:rPr>
            </w:pPr>
            <w:r w:rsidRPr="00260790">
              <w:rPr>
                <w:rFonts w:ascii="Times New Roman" w:eastAsia="Times New Roman" w:hAnsi="Times New Roman"/>
                <w:b/>
                <w:iCs/>
                <w:color w:val="000000" w:themeColor="text1"/>
                <w:lang w:eastAsia="fr-FR"/>
              </w:rPr>
              <w:t>2</w:t>
            </w:r>
            <w:r w:rsidR="00A86503">
              <w:rPr>
                <w:rFonts w:ascii="Times New Roman" w:eastAsia="Times New Roman" w:hAnsi="Times New Roman"/>
                <w:b/>
                <w:iCs/>
                <w:color w:val="000000" w:themeColor="text1"/>
                <w:lang w:eastAsia="fr-FR"/>
              </w:rPr>
              <w:t>16</w:t>
            </w:r>
            <w:r w:rsidRPr="00260790">
              <w:rPr>
                <w:rFonts w:ascii="Times New Roman" w:eastAsia="Times New Roman" w:hAnsi="Times New Roman"/>
                <w:b/>
                <w:iCs/>
                <w:color w:val="000000" w:themeColor="text1"/>
                <w:lang w:eastAsia="fr-FR"/>
              </w:rPr>
              <w:t xml:space="preserve"> 500 000</w:t>
            </w:r>
          </w:p>
        </w:tc>
      </w:tr>
    </w:tbl>
    <w:p w14:paraId="5FAB04FB" w14:textId="77777777" w:rsidR="00D46E35" w:rsidRPr="00260790" w:rsidRDefault="00D46E35" w:rsidP="00E20250">
      <w:pPr>
        <w:spacing w:after="0" w:line="240" w:lineRule="auto"/>
        <w:rPr>
          <w:rFonts w:ascii="Times New Roman" w:eastAsia="Times New Roman" w:hAnsi="Times New Roman"/>
          <w:bCs/>
          <w:i/>
          <w:color w:val="000000" w:themeColor="text1"/>
          <w:lang w:eastAsia="fr-FR"/>
        </w:rPr>
      </w:pPr>
    </w:p>
    <w:p w14:paraId="0DB0EFAF" w14:textId="612B621D" w:rsidR="008F35C9" w:rsidRPr="00260790" w:rsidRDefault="008F35C9" w:rsidP="00E20250">
      <w:pPr>
        <w:pStyle w:val="Titre1"/>
        <w:rPr>
          <w:rFonts w:ascii="Times New Roman" w:hAnsi="Times New Roman"/>
          <w:sz w:val="22"/>
          <w:szCs w:val="22"/>
        </w:rPr>
      </w:pPr>
      <w:bookmarkStart w:id="2570" w:name="_Toc212725198"/>
      <w:r w:rsidRPr="00260790">
        <w:rPr>
          <w:rFonts w:ascii="Times New Roman" w:hAnsi="Times New Roman"/>
          <w:sz w:val="22"/>
          <w:szCs w:val="22"/>
        </w:rPr>
        <w:t>CONCLUSION</w:t>
      </w:r>
      <w:bookmarkEnd w:id="2570"/>
      <w:r w:rsidRPr="00260790">
        <w:rPr>
          <w:rFonts w:ascii="Times New Roman" w:hAnsi="Times New Roman"/>
          <w:sz w:val="22"/>
          <w:szCs w:val="22"/>
        </w:rPr>
        <w:t xml:space="preserve">  </w:t>
      </w:r>
    </w:p>
    <w:p w14:paraId="57E7C166" w14:textId="3A1BBA35" w:rsidR="008F35C9" w:rsidRPr="00260790" w:rsidRDefault="008F35C9" w:rsidP="00E20250">
      <w:pPr>
        <w:pStyle w:val="p1"/>
        <w:spacing w:line="240" w:lineRule="auto"/>
        <w:rPr>
          <w:color w:val="000000" w:themeColor="text1"/>
          <w:sz w:val="22"/>
          <w:szCs w:val="22"/>
        </w:rPr>
      </w:pPr>
      <w:r w:rsidRPr="00260790">
        <w:rPr>
          <w:color w:val="000000" w:themeColor="text1"/>
          <w:sz w:val="22"/>
          <w:szCs w:val="22"/>
        </w:rPr>
        <w:t>Le projet des travaux</w:t>
      </w:r>
      <w:r w:rsidR="00A1085F" w:rsidRPr="00260790">
        <w:rPr>
          <w:color w:val="000000" w:themeColor="text1"/>
          <w:sz w:val="22"/>
          <w:szCs w:val="22"/>
        </w:rPr>
        <w:t xml:space="preserve"> </w:t>
      </w:r>
      <w:r w:rsidRPr="00260790">
        <w:rPr>
          <w:color w:val="000000" w:themeColor="text1"/>
          <w:sz w:val="22"/>
          <w:szCs w:val="22"/>
        </w:rPr>
        <w:t xml:space="preserve">du </w:t>
      </w:r>
      <w:r w:rsidR="00A1085F" w:rsidRPr="00260790">
        <w:rPr>
          <w:color w:val="000000" w:themeColor="text1"/>
          <w:sz w:val="22"/>
          <w:szCs w:val="22"/>
        </w:rPr>
        <w:t>b</w:t>
      </w:r>
      <w:r w:rsidRPr="00260790">
        <w:rPr>
          <w:color w:val="000000" w:themeColor="text1"/>
          <w:sz w:val="22"/>
          <w:szCs w:val="22"/>
        </w:rPr>
        <w:t>assin versant</w:t>
      </w:r>
      <w:r w:rsidR="00A1085F" w:rsidRPr="00260790">
        <w:rPr>
          <w:color w:val="000000" w:themeColor="text1"/>
          <w:sz w:val="22"/>
          <w:szCs w:val="22"/>
        </w:rPr>
        <w:t xml:space="preserve"> de Mbao, dans la partie restante Nord et la partie</w:t>
      </w:r>
      <w:r w:rsidRPr="00260790">
        <w:rPr>
          <w:color w:val="000000" w:themeColor="text1"/>
          <w:sz w:val="22"/>
          <w:szCs w:val="22"/>
        </w:rPr>
        <w:t xml:space="preserve"> Sud </w:t>
      </w:r>
      <w:r w:rsidR="00A1085F" w:rsidRPr="00260790">
        <w:rPr>
          <w:color w:val="000000" w:themeColor="text1"/>
          <w:sz w:val="22"/>
          <w:szCs w:val="22"/>
        </w:rPr>
        <w:t xml:space="preserve">et le </w:t>
      </w:r>
      <w:r w:rsidRPr="00260790">
        <w:rPr>
          <w:color w:val="000000" w:themeColor="text1"/>
          <w:sz w:val="22"/>
          <w:szCs w:val="22"/>
        </w:rPr>
        <w:t>marigot de Mbao</w:t>
      </w:r>
      <w:r w:rsidR="00A1085F" w:rsidRPr="00260790">
        <w:rPr>
          <w:color w:val="000000" w:themeColor="text1"/>
          <w:sz w:val="22"/>
          <w:szCs w:val="22"/>
        </w:rPr>
        <w:t xml:space="preserve"> (y compris l’exutoire)</w:t>
      </w:r>
      <w:r w:rsidRPr="00260790">
        <w:rPr>
          <w:color w:val="000000" w:themeColor="text1"/>
          <w:sz w:val="22"/>
          <w:szCs w:val="22"/>
        </w:rPr>
        <w:t xml:space="preserve"> à</w:t>
      </w:r>
      <w:r w:rsidR="00764275" w:rsidRPr="00260790">
        <w:rPr>
          <w:color w:val="000000" w:themeColor="text1"/>
          <w:sz w:val="22"/>
          <w:szCs w:val="22"/>
        </w:rPr>
        <w:t xml:space="preserve"> </w:t>
      </w:r>
      <w:proofErr w:type="spellStart"/>
      <w:r w:rsidR="00764275" w:rsidRPr="00260790">
        <w:rPr>
          <w:color w:val="000000" w:themeColor="text1"/>
          <w:sz w:val="22"/>
          <w:szCs w:val="22"/>
        </w:rPr>
        <w:t>Jaxaay</w:t>
      </w:r>
      <w:proofErr w:type="spellEnd"/>
      <w:r w:rsidR="00764275" w:rsidRPr="00260790">
        <w:rPr>
          <w:color w:val="000000" w:themeColor="text1"/>
          <w:sz w:val="22"/>
          <w:szCs w:val="22"/>
        </w:rPr>
        <w:t>-Parcelles-</w:t>
      </w:r>
      <w:proofErr w:type="spellStart"/>
      <w:r w:rsidR="00764275" w:rsidRPr="00260790">
        <w:rPr>
          <w:color w:val="000000" w:themeColor="text1"/>
          <w:sz w:val="22"/>
          <w:szCs w:val="22"/>
        </w:rPr>
        <w:t>Niakoulrap</w:t>
      </w:r>
      <w:proofErr w:type="spellEnd"/>
      <w:r w:rsidR="00764275" w:rsidRPr="00260790">
        <w:rPr>
          <w:color w:val="000000" w:themeColor="text1"/>
          <w:sz w:val="22"/>
          <w:szCs w:val="22"/>
        </w:rPr>
        <w:t xml:space="preserve">, de Rufisque Ouest (département de Rufisque), de Keur Massar Sud (Département de Keur Massar) et de Mbao (Département de Pikine) </w:t>
      </w:r>
      <w:r w:rsidRPr="00260790">
        <w:rPr>
          <w:color w:val="000000" w:themeColor="text1"/>
          <w:sz w:val="22"/>
          <w:szCs w:val="22"/>
        </w:rPr>
        <w:t>aura globalement des effets et impacts positifs considérables dans la zone. Dans ce sens, il contribuera certes à une solution durable aux phénomènes récurrents des inondations et apportera des améliorations du cadre de vie, hygiène et santé des populations vivant dans la zone ciblée.</w:t>
      </w:r>
    </w:p>
    <w:p w14:paraId="70F34210" w14:textId="77777777" w:rsidR="008F35C9" w:rsidRPr="00260790" w:rsidRDefault="008F35C9" w:rsidP="00E20250">
      <w:pPr>
        <w:pStyle w:val="p1"/>
        <w:spacing w:line="240" w:lineRule="auto"/>
        <w:rPr>
          <w:color w:val="000000" w:themeColor="text1"/>
          <w:sz w:val="22"/>
          <w:szCs w:val="22"/>
        </w:rPr>
      </w:pPr>
    </w:p>
    <w:p w14:paraId="3F3A621D" w14:textId="77777777" w:rsidR="008F35C9" w:rsidRPr="00260790" w:rsidRDefault="008F35C9" w:rsidP="00E20250">
      <w:pPr>
        <w:pStyle w:val="p1"/>
        <w:widowControl/>
        <w:spacing w:line="240" w:lineRule="auto"/>
        <w:rPr>
          <w:color w:val="000000" w:themeColor="text1"/>
          <w:sz w:val="22"/>
          <w:szCs w:val="22"/>
        </w:rPr>
      </w:pPr>
      <w:r w:rsidRPr="00260790">
        <w:rPr>
          <w:color w:val="000000" w:themeColor="text1"/>
          <w:sz w:val="22"/>
          <w:szCs w:val="22"/>
        </w:rPr>
        <w:t>Néanmoins, la réalisation du projet va générer des effets et impacts négatifs significatifs si des mesures appropriées ne sont pas prises et correctement appliquées afin de les éviter, les réduire et les atténuer. Ces impacts, pour l’essentiel, pourront être minimisés ou atténués à un niveau acceptable, du point de vue environnemental et social, par les mesures édictées dans le PGES.</w:t>
      </w:r>
    </w:p>
    <w:p w14:paraId="3DD2C794" w14:textId="77777777" w:rsidR="008F35C9" w:rsidRPr="00260790" w:rsidRDefault="008F35C9" w:rsidP="00E20250">
      <w:pPr>
        <w:pStyle w:val="p1"/>
        <w:widowControl/>
        <w:spacing w:line="240" w:lineRule="auto"/>
        <w:rPr>
          <w:color w:val="000000" w:themeColor="text1"/>
          <w:sz w:val="22"/>
          <w:szCs w:val="22"/>
        </w:rPr>
      </w:pPr>
    </w:p>
    <w:p w14:paraId="5A3F58D3" w14:textId="77777777" w:rsidR="008F35C9" w:rsidRPr="00260790" w:rsidRDefault="008F35C9" w:rsidP="00E20250">
      <w:pPr>
        <w:pStyle w:val="p1"/>
        <w:widowControl/>
        <w:spacing w:line="240" w:lineRule="auto"/>
        <w:rPr>
          <w:color w:val="000000" w:themeColor="text1"/>
          <w:sz w:val="22"/>
          <w:szCs w:val="22"/>
        </w:rPr>
      </w:pPr>
    </w:p>
    <w:p w14:paraId="4B3F6B3F" w14:textId="30F7DDF5" w:rsidR="007348B4" w:rsidRPr="00260790" w:rsidRDefault="007348B4" w:rsidP="00E20250">
      <w:pPr>
        <w:pStyle w:val="Lgende"/>
        <w:spacing w:line="240" w:lineRule="auto"/>
        <w:rPr>
          <w:color w:val="000000" w:themeColor="text1"/>
          <w:sz w:val="22"/>
          <w:szCs w:val="22"/>
        </w:rPr>
        <w:sectPr w:rsidR="007348B4" w:rsidRPr="00260790" w:rsidSect="007903CC">
          <w:pgSz w:w="11906" w:h="16838"/>
          <w:pgMar w:top="1418" w:right="1418" w:bottom="1418" w:left="1418" w:header="709" w:footer="454" w:gutter="0"/>
          <w:cols w:space="720"/>
        </w:sectPr>
      </w:pPr>
    </w:p>
    <w:p w14:paraId="01393B7A" w14:textId="77777777" w:rsidR="00167937" w:rsidRPr="00260790" w:rsidRDefault="00167937" w:rsidP="00167937">
      <w:pPr>
        <w:pStyle w:val="Corpsdetexte2"/>
        <w:spacing w:line="240" w:lineRule="auto"/>
        <w:jc w:val="center"/>
        <w:outlineLvl w:val="0"/>
        <w:rPr>
          <w:b/>
          <w:color w:val="000000" w:themeColor="text1"/>
        </w:rPr>
        <w:sectPr w:rsidR="00167937" w:rsidRPr="00260790" w:rsidSect="00167937">
          <w:footerReference w:type="even" r:id="rId153"/>
          <w:footerReference w:type="default" r:id="rId154"/>
          <w:footerReference w:type="first" r:id="rId155"/>
          <w:pgSz w:w="11906" w:h="16838"/>
          <w:pgMar w:top="1418" w:right="1418" w:bottom="1418" w:left="1418" w:header="709" w:footer="454" w:gutter="0"/>
          <w:cols w:space="708"/>
          <w:vAlign w:val="center"/>
          <w:docGrid w:linePitch="360"/>
        </w:sectPr>
      </w:pPr>
      <w:bookmarkStart w:id="2571" w:name="_Toc199431870"/>
      <w:bookmarkStart w:id="2572" w:name="_Toc212725199"/>
      <w:r w:rsidRPr="00260790">
        <w:rPr>
          <w:b/>
          <w:color w:val="000000" w:themeColor="text1"/>
        </w:rPr>
        <w:lastRenderedPageBreak/>
        <w:t>ANNEXES</w:t>
      </w:r>
      <w:bookmarkEnd w:id="2571"/>
      <w:bookmarkEnd w:id="2572"/>
    </w:p>
    <w:p w14:paraId="408C5B93" w14:textId="373AB417" w:rsidR="008F35C9" w:rsidRDefault="00EF167F" w:rsidP="00D46E35">
      <w:pPr>
        <w:spacing w:after="0" w:line="240" w:lineRule="auto"/>
        <w:rPr>
          <w:rFonts w:ascii="Times New Roman" w:hAnsi="Times New Roman"/>
          <w:i/>
          <w:iCs/>
          <w:color w:val="000000" w:themeColor="text1"/>
          <w:sz w:val="24"/>
          <w:szCs w:val="24"/>
        </w:rPr>
      </w:pPr>
      <w:bookmarkStart w:id="2573" w:name="_Toc199431871"/>
      <w:bookmarkStart w:id="2574" w:name="_Toc307381438"/>
      <w:bookmarkStart w:id="2575" w:name="_Toc66567802"/>
      <w:r w:rsidRPr="00D46E35">
        <w:rPr>
          <w:rFonts w:ascii="Times New Roman" w:hAnsi="Times New Roman"/>
          <w:iCs/>
          <w:color w:val="000000" w:themeColor="text1"/>
          <w:sz w:val="24"/>
          <w:szCs w:val="24"/>
        </w:rPr>
        <w:lastRenderedPageBreak/>
        <w:t xml:space="preserve">Annexe </w:t>
      </w:r>
      <w:r w:rsidRPr="00D46E35">
        <w:rPr>
          <w:rFonts w:ascii="Times New Roman" w:hAnsi="Times New Roman"/>
          <w:iCs/>
          <w:color w:val="000000" w:themeColor="text1"/>
          <w:sz w:val="24"/>
          <w:szCs w:val="24"/>
        </w:rPr>
        <w:fldChar w:fldCharType="begin"/>
      </w:r>
      <w:r w:rsidRPr="00D46E35">
        <w:rPr>
          <w:rFonts w:ascii="Times New Roman" w:hAnsi="Times New Roman"/>
          <w:iCs/>
          <w:color w:val="000000" w:themeColor="text1"/>
          <w:sz w:val="24"/>
          <w:szCs w:val="24"/>
        </w:rPr>
        <w:instrText xml:space="preserve"> SEQ Annexe \* ARABIC </w:instrText>
      </w:r>
      <w:r w:rsidRPr="00D46E35">
        <w:rPr>
          <w:rFonts w:ascii="Times New Roman" w:hAnsi="Times New Roman"/>
          <w:iCs/>
          <w:color w:val="000000" w:themeColor="text1"/>
          <w:sz w:val="24"/>
          <w:szCs w:val="24"/>
        </w:rPr>
        <w:fldChar w:fldCharType="separate"/>
      </w:r>
      <w:r w:rsidR="00FD308E" w:rsidRPr="00D46E35">
        <w:rPr>
          <w:rFonts w:ascii="Times New Roman" w:hAnsi="Times New Roman"/>
          <w:iCs/>
          <w:noProof/>
          <w:color w:val="000000" w:themeColor="text1"/>
          <w:sz w:val="24"/>
          <w:szCs w:val="24"/>
        </w:rPr>
        <w:t>1</w:t>
      </w:r>
      <w:r w:rsidRPr="00D46E35">
        <w:rPr>
          <w:rFonts w:ascii="Times New Roman" w:hAnsi="Times New Roman"/>
          <w:iCs/>
          <w:color w:val="000000" w:themeColor="text1"/>
          <w:sz w:val="24"/>
          <w:szCs w:val="24"/>
        </w:rPr>
        <w:fldChar w:fldCharType="end"/>
      </w:r>
      <w:r w:rsidRPr="00260790">
        <w:rPr>
          <w:rFonts w:ascii="Times New Roman" w:hAnsi="Times New Roman"/>
          <w:i/>
          <w:iCs/>
          <w:color w:val="000000" w:themeColor="text1"/>
          <w:sz w:val="24"/>
          <w:szCs w:val="24"/>
        </w:rPr>
        <w:t> </w:t>
      </w:r>
      <w:r w:rsidR="008F35C9" w:rsidRPr="00260790">
        <w:rPr>
          <w:rFonts w:ascii="Times New Roman" w:hAnsi="Times New Roman"/>
          <w:i/>
          <w:iCs/>
          <w:color w:val="000000" w:themeColor="text1"/>
          <w:sz w:val="24"/>
          <w:szCs w:val="24"/>
        </w:rPr>
        <w:t xml:space="preserve">: </w:t>
      </w:r>
      <w:r w:rsidR="00D46E35">
        <w:rPr>
          <w:rFonts w:ascii="Times New Roman" w:hAnsi="Times New Roman"/>
          <w:iCs/>
          <w:color w:val="000000" w:themeColor="text1"/>
          <w:sz w:val="24"/>
          <w:szCs w:val="24"/>
        </w:rPr>
        <w:t>T</w:t>
      </w:r>
      <w:r w:rsidR="00D46E35" w:rsidRPr="00D46E35">
        <w:rPr>
          <w:rFonts w:ascii="Times New Roman" w:hAnsi="Times New Roman"/>
          <w:iCs/>
          <w:color w:val="000000" w:themeColor="text1"/>
          <w:sz w:val="24"/>
          <w:szCs w:val="24"/>
        </w:rPr>
        <w:t>ermes de références de l’étude</w:t>
      </w:r>
      <w:bookmarkEnd w:id="2573"/>
      <w:r w:rsidR="00D46E35" w:rsidRPr="00260790">
        <w:rPr>
          <w:rFonts w:ascii="Times New Roman" w:hAnsi="Times New Roman"/>
          <w:i/>
          <w:iCs/>
          <w:color w:val="000000" w:themeColor="text1"/>
          <w:sz w:val="24"/>
          <w:szCs w:val="24"/>
        </w:rPr>
        <w:t xml:space="preserve"> </w:t>
      </w:r>
    </w:p>
    <w:p w14:paraId="621BAAB9" w14:textId="77777777" w:rsidR="00D46E35" w:rsidRPr="00260790" w:rsidRDefault="00D46E35" w:rsidP="00D46E35">
      <w:pPr>
        <w:spacing w:after="0" w:line="240" w:lineRule="auto"/>
        <w:rPr>
          <w:rFonts w:ascii="Times New Roman" w:hAnsi="Times New Roman"/>
          <w:i/>
          <w:iCs/>
          <w:color w:val="000000" w:themeColor="text1"/>
          <w:sz w:val="24"/>
          <w:szCs w:val="24"/>
        </w:rPr>
      </w:pPr>
    </w:p>
    <w:p w14:paraId="63A1DA93" w14:textId="5BD14C0D" w:rsidR="008F35C9" w:rsidRPr="00260790" w:rsidRDefault="00267147" w:rsidP="00E20250">
      <w:pPr>
        <w:spacing w:line="240" w:lineRule="auto"/>
        <w:rPr>
          <w:rFonts w:ascii="Times New Roman" w:hAnsi="Times New Roman"/>
          <w:b/>
          <w:bCs/>
          <w:color w:val="000000" w:themeColor="text1"/>
          <w:sz w:val="24"/>
          <w:szCs w:val="24"/>
        </w:rPr>
      </w:pPr>
      <w:r w:rsidRPr="00260790">
        <w:rPr>
          <w:rFonts w:ascii="Times New Roman" w:hAnsi="Times New Roman"/>
          <w:b/>
          <w:bCs/>
          <w:noProof/>
          <w:color w:val="000000" w:themeColor="text1"/>
          <w:sz w:val="24"/>
          <w:szCs w:val="24"/>
          <w:lang w:val="en-US"/>
        </w:rPr>
        <w:drawing>
          <wp:inline distT="0" distB="0" distL="0" distR="0" wp14:anchorId="075F772D" wp14:editId="468529B5">
            <wp:extent cx="5756275" cy="8120543"/>
            <wp:effectExtent l="0" t="0" r="0" b="0"/>
            <wp:docPr id="1022317757" name="Picture 1022317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317757" name=""/>
                    <pic:cNvPicPr/>
                  </pic:nvPicPr>
                  <pic:blipFill>
                    <a:blip r:embed="rId156" cstate="email">
                      <a:extLst>
                        <a:ext uri="{28A0092B-C50C-407E-A947-70E740481C1C}">
                          <a14:useLocalDpi xmlns:a14="http://schemas.microsoft.com/office/drawing/2010/main"/>
                        </a:ext>
                      </a:extLst>
                    </a:blip>
                    <a:stretch>
                      <a:fillRect/>
                    </a:stretch>
                  </pic:blipFill>
                  <pic:spPr>
                    <a:xfrm>
                      <a:off x="0" y="0"/>
                      <a:ext cx="5758794" cy="8124096"/>
                    </a:xfrm>
                    <a:prstGeom prst="rect">
                      <a:avLst/>
                    </a:prstGeom>
                  </pic:spPr>
                </pic:pic>
              </a:graphicData>
            </a:graphic>
          </wp:inline>
        </w:drawing>
      </w:r>
    </w:p>
    <w:p w14:paraId="4113802D" w14:textId="37509DBF" w:rsidR="00267147" w:rsidRPr="00260790" w:rsidRDefault="00EF167F" w:rsidP="00E20250">
      <w:pPr>
        <w:spacing w:line="240" w:lineRule="auto"/>
        <w:rPr>
          <w:rFonts w:ascii="Times New Roman" w:hAnsi="Times New Roman"/>
          <w:b/>
          <w:bCs/>
          <w:color w:val="000000" w:themeColor="text1"/>
        </w:rPr>
      </w:pPr>
      <w:r w:rsidRPr="00260790">
        <w:rPr>
          <w:rFonts w:ascii="Times New Roman" w:hAnsi="Times New Roman"/>
          <w:b/>
          <w:bCs/>
          <w:color w:val="000000" w:themeColor="text1"/>
          <w:sz w:val="24"/>
          <w:szCs w:val="24"/>
        </w:rPr>
        <w:br w:type="page"/>
      </w:r>
      <w:r w:rsidR="00267147" w:rsidRPr="00260790">
        <w:rPr>
          <w:rFonts w:ascii="Times New Roman" w:hAnsi="Times New Roman"/>
          <w:b/>
          <w:bCs/>
          <w:color w:val="000000" w:themeColor="text1"/>
        </w:rPr>
        <w:lastRenderedPageBreak/>
        <w:t>I.</w:t>
      </w:r>
      <w:r w:rsidR="00267147" w:rsidRPr="00260790">
        <w:rPr>
          <w:rFonts w:ascii="Times New Roman" w:eastAsia="Arial" w:hAnsi="Times New Roman"/>
          <w:b/>
          <w:bCs/>
          <w:color w:val="000000" w:themeColor="text1"/>
        </w:rPr>
        <w:t xml:space="preserve"> </w:t>
      </w:r>
      <w:r w:rsidR="00267147" w:rsidRPr="00260790">
        <w:rPr>
          <w:rFonts w:ascii="Times New Roman" w:eastAsia="Arial" w:hAnsi="Times New Roman"/>
          <w:b/>
          <w:bCs/>
          <w:color w:val="000000" w:themeColor="text1"/>
        </w:rPr>
        <w:tab/>
      </w:r>
      <w:r w:rsidR="00267147" w:rsidRPr="00260790">
        <w:rPr>
          <w:rFonts w:ascii="Times New Roman" w:hAnsi="Times New Roman"/>
          <w:b/>
          <w:bCs/>
          <w:color w:val="000000" w:themeColor="text1"/>
        </w:rPr>
        <w:t xml:space="preserve">CONTEXTE GÉNÉRAL ET JUSTIFICATION </w:t>
      </w:r>
    </w:p>
    <w:p w14:paraId="24290468" w14:textId="77777777" w:rsidR="00267147" w:rsidRPr="00260790" w:rsidRDefault="00267147" w:rsidP="00E20250">
      <w:pPr>
        <w:spacing w:line="240" w:lineRule="auto"/>
        <w:ind w:left="67" w:right="139"/>
        <w:jc w:val="both"/>
        <w:rPr>
          <w:rFonts w:ascii="Times New Roman" w:hAnsi="Times New Roman"/>
          <w:color w:val="000000" w:themeColor="text1"/>
        </w:rPr>
      </w:pPr>
      <w:r w:rsidRPr="00260790">
        <w:rPr>
          <w:rFonts w:ascii="Times New Roman" w:hAnsi="Times New Roman"/>
          <w:color w:val="000000" w:themeColor="text1"/>
        </w:rPr>
        <w:t xml:space="preserve">Face à l’ampleur et la récurrence des inondations accentuées par un déficit criard en infrastructures de drainage, le Gouvernement de la République du Sénégal, avec l’appui de la Banque mondiale (BM), du Fonds pour l’Environnement mondial (FEM) et du Fonds nordique de Développement (FND), avait mis en œuvre dans la période allant de décembre 2012 à mai 2020, un projet de développement urbain dénommé « Projet de Gestion des Eaux Pluviales et d’adaptation au changement climatique (PROGEP) ». D’un coût de 121,3 millions de dollars US, soit environ 65 milliards de FCFA, le PROGEP dont le périmètre d’intervention concernait, au-delà de Pikine et de Guédiawaye, l’agglomération de Saint-Louis et le Pôle urbain de Diamniadio, a été conçu comme étant une composante du Plan Décennal de Gestion des Inondations (PDGI / 2012-2022) qui est aligné sur les objectifs du Plan Sénégal Émergent (PSE) et de l’Acte 3 de la Décentralisation. </w:t>
      </w:r>
    </w:p>
    <w:p w14:paraId="5426C76D" w14:textId="77777777" w:rsidR="00267147" w:rsidRPr="00260790" w:rsidRDefault="00267147" w:rsidP="00E20250">
      <w:pPr>
        <w:spacing w:line="240" w:lineRule="auto"/>
        <w:ind w:left="67" w:right="139"/>
        <w:jc w:val="both"/>
        <w:rPr>
          <w:rFonts w:ascii="Times New Roman" w:hAnsi="Times New Roman"/>
          <w:color w:val="000000" w:themeColor="text1"/>
        </w:rPr>
      </w:pPr>
      <w:r w:rsidRPr="00260790">
        <w:rPr>
          <w:rFonts w:ascii="Times New Roman" w:hAnsi="Times New Roman"/>
          <w:color w:val="000000" w:themeColor="text1"/>
        </w:rPr>
        <w:t xml:space="preserve">Ainsi, s’appuyant sur le Plan Directeur de Drainage (PDD) de la région périurbaine de Dakar, d’importants ouvrages hydrauliques ont été réalisés à Pikine et à Guédiawaye en trois phases. </w:t>
      </w:r>
    </w:p>
    <w:p w14:paraId="76BE4478" w14:textId="77777777" w:rsidR="00267147" w:rsidRPr="00260790" w:rsidRDefault="00267147" w:rsidP="00E20250">
      <w:pPr>
        <w:spacing w:line="240" w:lineRule="auto"/>
        <w:ind w:left="67" w:right="139"/>
        <w:jc w:val="both"/>
        <w:rPr>
          <w:rFonts w:ascii="Times New Roman" w:hAnsi="Times New Roman"/>
          <w:color w:val="000000" w:themeColor="text1"/>
        </w:rPr>
      </w:pPr>
      <w:r w:rsidRPr="00260790">
        <w:rPr>
          <w:rFonts w:ascii="Times New Roman" w:hAnsi="Times New Roman"/>
          <w:color w:val="000000" w:themeColor="text1"/>
        </w:rPr>
        <w:t xml:space="preserve">Toutefois, il convient de signaler que, du fait de l’insuffisance des ressources financières disponibles et de l’ampleur des besoins, l’ensemble des ouvrages hydrauliques prévus dans le PDD de Pikine et de Guédiawaye n’a pas été réalisé.  </w:t>
      </w:r>
    </w:p>
    <w:p w14:paraId="7B0A1C19" w14:textId="77777777" w:rsidR="00267147" w:rsidRPr="00260790" w:rsidRDefault="00267147" w:rsidP="00E20250">
      <w:pPr>
        <w:spacing w:line="240" w:lineRule="auto"/>
        <w:ind w:left="67" w:right="139"/>
        <w:jc w:val="both"/>
        <w:rPr>
          <w:rFonts w:ascii="Times New Roman" w:hAnsi="Times New Roman"/>
          <w:color w:val="000000" w:themeColor="text1"/>
        </w:rPr>
      </w:pPr>
      <w:r w:rsidRPr="00260790">
        <w:rPr>
          <w:rFonts w:ascii="Times New Roman" w:hAnsi="Times New Roman"/>
          <w:color w:val="000000" w:themeColor="text1"/>
        </w:rPr>
        <w:t xml:space="preserve">Par ailleurs, les pluies diluviennes intervenues en septembre 2020 ont provoqué de graves inondations dans plusieurs localités sénégalaises, avec comme principal épicentre la zone de </w:t>
      </w:r>
    </w:p>
    <w:p w14:paraId="4DE4EF7B" w14:textId="77777777" w:rsidR="00267147" w:rsidRPr="00260790" w:rsidRDefault="00267147" w:rsidP="00E20250">
      <w:pPr>
        <w:spacing w:line="240" w:lineRule="auto"/>
        <w:ind w:left="67" w:right="139"/>
        <w:jc w:val="both"/>
        <w:rPr>
          <w:rFonts w:ascii="Times New Roman" w:hAnsi="Times New Roman"/>
          <w:color w:val="000000" w:themeColor="text1"/>
        </w:rPr>
      </w:pPr>
      <w:r w:rsidRPr="00260790">
        <w:rPr>
          <w:rFonts w:ascii="Times New Roman" w:hAnsi="Times New Roman"/>
          <w:color w:val="000000" w:themeColor="text1"/>
        </w:rPr>
        <w:t>Keur Massar-</w:t>
      </w:r>
      <w:proofErr w:type="spellStart"/>
      <w:r w:rsidRPr="00260790">
        <w:rPr>
          <w:rFonts w:ascii="Times New Roman" w:hAnsi="Times New Roman"/>
          <w:color w:val="000000" w:themeColor="text1"/>
        </w:rPr>
        <w:t>Jaxaay</w:t>
      </w:r>
      <w:proofErr w:type="spellEnd"/>
      <w:r w:rsidRPr="00260790">
        <w:rPr>
          <w:rFonts w:ascii="Times New Roman" w:hAnsi="Times New Roman"/>
          <w:color w:val="000000" w:themeColor="text1"/>
        </w:rPr>
        <w:t xml:space="preserve">, emmenant ainsi l’État à déclencher le Plan national d'Organisation des Secours (ORSEC). </w:t>
      </w:r>
    </w:p>
    <w:p w14:paraId="182737F1" w14:textId="77777777" w:rsidR="00267147" w:rsidRPr="00260790" w:rsidRDefault="00267147" w:rsidP="00E20250">
      <w:pPr>
        <w:spacing w:after="143" w:line="240" w:lineRule="auto"/>
        <w:ind w:left="67" w:right="139"/>
        <w:jc w:val="both"/>
        <w:rPr>
          <w:rFonts w:ascii="Times New Roman" w:hAnsi="Times New Roman"/>
          <w:color w:val="000000" w:themeColor="text1"/>
        </w:rPr>
      </w:pPr>
      <w:r w:rsidRPr="00260790">
        <w:rPr>
          <w:rFonts w:ascii="Times New Roman" w:hAnsi="Times New Roman"/>
          <w:color w:val="000000" w:themeColor="text1"/>
        </w:rPr>
        <w:t xml:space="preserve">À l’effet de trouver une réponse durable aux inondations, l’État du Sénégal en relation avec la Banque Mondiale et le Fonds Nordique de Développement (FND) a décidé de la mise en œuvre de la deuxième phase du </w:t>
      </w:r>
      <w:r w:rsidRPr="00260790">
        <w:rPr>
          <w:rFonts w:ascii="Times New Roman" w:hAnsi="Times New Roman"/>
          <w:b/>
          <w:color w:val="000000" w:themeColor="text1"/>
        </w:rPr>
        <w:t>Projet de Gestion des Eaux Pluviales et d’adaptation au changement climatique (PROGEP II) »</w:t>
      </w:r>
      <w:r w:rsidRPr="00260790">
        <w:rPr>
          <w:rFonts w:ascii="Times New Roman" w:hAnsi="Times New Roman"/>
          <w:color w:val="000000" w:themeColor="text1"/>
        </w:rPr>
        <w:t xml:space="preserve">. Ce projet, d’un coût global de 155 millions de (83 milliards de FCFA) dollars US, pour une durée de cinq (5) ans, vise à réduire les risques d’inondation par l’amélioration du système de drainage des eaux pluviales dans les quartiers périphériques de l’agglomération de Dakar. Il comporte les quatre composantes suivantes :  </w:t>
      </w:r>
    </w:p>
    <w:p w14:paraId="3399D146" w14:textId="77777777" w:rsidR="00267147" w:rsidRPr="00260790" w:rsidRDefault="00267147" w:rsidP="001748C6">
      <w:pPr>
        <w:numPr>
          <w:ilvl w:val="0"/>
          <w:numId w:val="197"/>
        </w:numPr>
        <w:spacing w:after="144" w:line="240" w:lineRule="auto"/>
        <w:ind w:right="139" w:hanging="360"/>
        <w:jc w:val="both"/>
        <w:rPr>
          <w:rFonts w:ascii="Times New Roman" w:hAnsi="Times New Roman"/>
          <w:color w:val="000000" w:themeColor="text1"/>
        </w:rPr>
      </w:pPr>
      <w:r w:rsidRPr="00260790">
        <w:rPr>
          <w:rFonts w:ascii="Times New Roman" w:hAnsi="Times New Roman"/>
          <w:color w:val="000000" w:themeColor="text1"/>
        </w:rPr>
        <w:t xml:space="preserve">Composante 1 : Planification et gestion urbaines intégrées tenant compte du risque climatique et de la durabilité ; </w:t>
      </w:r>
    </w:p>
    <w:p w14:paraId="2EFE312A" w14:textId="77777777" w:rsidR="00267147" w:rsidRPr="00260790" w:rsidRDefault="00267147" w:rsidP="001748C6">
      <w:pPr>
        <w:numPr>
          <w:ilvl w:val="0"/>
          <w:numId w:val="197"/>
        </w:numPr>
        <w:spacing w:after="189" w:line="240" w:lineRule="auto"/>
        <w:ind w:right="139" w:hanging="360"/>
        <w:jc w:val="both"/>
        <w:rPr>
          <w:rFonts w:ascii="Times New Roman" w:hAnsi="Times New Roman"/>
          <w:color w:val="000000" w:themeColor="text1"/>
        </w:rPr>
      </w:pPr>
      <w:r w:rsidRPr="00260790">
        <w:rPr>
          <w:rFonts w:ascii="Times New Roman" w:hAnsi="Times New Roman"/>
          <w:color w:val="000000" w:themeColor="text1"/>
        </w:rPr>
        <w:t xml:space="preserve">Composante 2 : Investissement et gestion du drainage, engagement communautaire, gestion environnementale et sociale ; </w:t>
      </w:r>
    </w:p>
    <w:p w14:paraId="68B0DDB7" w14:textId="77777777" w:rsidR="00267147" w:rsidRPr="00260790" w:rsidRDefault="00267147" w:rsidP="001748C6">
      <w:pPr>
        <w:numPr>
          <w:ilvl w:val="0"/>
          <w:numId w:val="197"/>
        </w:numPr>
        <w:spacing w:after="104" w:line="240" w:lineRule="auto"/>
        <w:ind w:right="139" w:hanging="360"/>
        <w:jc w:val="both"/>
        <w:rPr>
          <w:rFonts w:ascii="Times New Roman" w:hAnsi="Times New Roman"/>
          <w:color w:val="000000" w:themeColor="text1"/>
        </w:rPr>
      </w:pPr>
      <w:r w:rsidRPr="00260790">
        <w:rPr>
          <w:rFonts w:ascii="Times New Roman" w:hAnsi="Times New Roman"/>
          <w:color w:val="000000" w:themeColor="text1"/>
        </w:rPr>
        <w:t xml:space="preserve">Composante 3 : Composante de Réponse contingente d’urgence (CERC) ; </w:t>
      </w:r>
    </w:p>
    <w:p w14:paraId="64369DEE" w14:textId="77777777" w:rsidR="00267147" w:rsidRPr="00260790" w:rsidRDefault="00267147" w:rsidP="001748C6">
      <w:pPr>
        <w:numPr>
          <w:ilvl w:val="0"/>
          <w:numId w:val="197"/>
        </w:numPr>
        <w:spacing w:after="5" w:line="240" w:lineRule="auto"/>
        <w:ind w:right="139" w:hanging="360"/>
        <w:jc w:val="both"/>
        <w:rPr>
          <w:rFonts w:ascii="Times New Roman" w:hAnsi="Times New Roman"/>
          <w:color w:val="000000" w:themeColor="text1"/>
        </w:rPr>
      </w:pPr>
      <w:r w:rsidRPr="00260790">
        <w:rPr>
          <w:rFonts w:ascii="Times New Roman" w:hAnsi="Times New Roman"/>
          <w:color w:val="000000" w:themeColor="text1"/>
        </w:rPr>
        <w:t xml:space="preserve">Composante 4 : Gestion du projet. </w:t>
      </w:r>
    </w:p>
    <w:p w14:paraId="544B46EF" w14:textId="77777777" w:rsidR="00267147" w:rsidRPr="00260790" w:rsidRDefault="00267147" w:rsidP="00E20250">
      <w:pPr>
        <w:spacing w:line="240" w:lineRule="auto"/>
        <w:ind w:left="67" w:right="139"/>
        <w:jc w:val="both"/>
        <w:rPr>
          <w:rFonts w:ascii="Times New Roman" w:hAnsi="Times New Roman"/>
          <w:color w:val="000000" w:themeColor="text1"/>
        </w:rPr>
      </w:pPr>
      <w:r w:rsidRPr="00260790">
        <w:rPr>
          <w:rFonts w:ascii="Times New Roman" w:hAnsi="Times New Roman"/>
          <w:color w:val="000000" w:themeColor="text1"/>
        </w:rPr>
        <w:t xml:space="preserve">Une partie des travaux de la Composante 2 concerne le bassin versant de Mbao. Dans ce cadre, les travaux du secteur central (ouest) du bassin versant de Mbao ont été amorcés par l’État du Sénégal à travers le financement du BCI (2021) et par la banque mondiale à travers les travaux de MBS 3.2 et 3.4 (2022). Ceux du secteur amont (nord) et aval (sud) du bassin versant financés par la Banque mondiale seront réalisés à l’issue des études techniques en cours. Ces travaux concernent deux secteurs : le secteur amont du bassin versant de Mbao (Zone Nord) et le secteur aval du BV de Mbao (Zone Sud) avec le Marigot de MBAO et son exutoire. </w:t>
      </w:r>
    </w:p>
    <w:p w14:paraId="66ED2FBD" w14:textId="77777777" w:rsidR="00267147" w:rsidRPr="00260790" w:rsidRDefault="00267147" w:rsidP="00E20250">
      <w:pPr>
        <w:spacing w:after="40" w:line="240" w:lineRule="auto"/>
        <w:ind w:right="181"/>
        <w:jc w:val="both"/>
        <w:rPr>
          <w:rFonts w:ascii="Times New Roman" w:hAnsi="Times New Roman"/>
          <w:color w:val="000000" w:themeColor="text1"/>
        </w:rPr>
      </w:pPr>
      <w:r w:rsidRPr="00260790">
        <w:rPr>
          <w:rFonts w:ascii="Times New Roman" w:hAnsi="Times New Roman"/>
          <w:noProof/>
          <w:color w:val="000000" w:themeColor="text1"/>
          <w:lang w:val="en-US"/>
        </w:rPr>
        <w:lastRenderedPageBreak/>
        <w:drawing>
          <wp:inline distT="0" distB="0" distL="0" distR="0" wp14:anchorId="2BF1CAA6" wp14:editId="75F7FFF4">
            <wp:extent cx="5698236" cy="3192780"/>
            <wp:effectExtent l="0" t="0" r="0" b="0"/>
            <wp:docPr id="1335" name="Picture 1335"/>
            <wp:cNvGraphicFramePr/>
            <a:graphic xmlns:a="http://schemas.openxmlformats.org/drawingml/2006/main">
              <a:graphicData uri="http://schemas.openxmlformats.org/drawingml/2006/picture">
                <pic:pic xmlns:pic="http://schemas.openxmlformats.org/drawingml/2006/picture">
                  <pic:nvPicPr>
                    <pic:cNvPr id="1335" name="Picture 1335"/>
                    <pic:cNvPicPr/>
                  </pic:nvPicPr>
                  <pic:blipFill>
                    <a:blip r:embed="rId157"/>
                    <a:stretch>
                      <a:fillRect/>
                    </a:stretch>
                  </pic:blipFill>
                  <pic:spPr>
                    <a:xfrm>
                      <a:off x="0" y="0"/>
                      <a:ext cx="5698236" cy="3192780"/>
                    </a:xfrm>
                    <a:prstGeom prst="rect">
                      <a:avLst/>
                    </a:prstGeom>
                  </pic:spPr>
                </pic:pic>
              </a:graphicData>
            </a:graphic>
          </wp:inline>
        </w:drawing>
      </w:r>
      <w:r w:rsidRPr="00260790">
        <w:rPr>
          <w:rFonts w:ascii="Times New Roman" w:hAnsi="Times New Roman"/>
          <w:color w:val="000000" w:themeColor="text1"/>
        </w:rPr>
        <w:t xml:space="preserve"> </w:t>
      </w:r>
    </w:p>
    <w:p w14:paraId="344D5B99" w14:textId="77777777" w:rsidR="00267147" w:rsidRPr="00260790" w:rsidRDefault="00267147" w:rsidP="00E20250">
      <w:pPr>
        <w:spacing w:line="240" w:lineRule="auto"/>
        <w:rPr>
          <w:rFonts w:ascii="Times New Roman" w:hAnsi="Times New Roman"/>
          <w:color w:val="000000" w:themeColor="text1"/>
        </w:rPr>
      </w:pPr>
      <w:r w:rsidRPr="00260790">
        <w:rPr>
          <w:rFonts w:ascii="Times New Roman" w:hAnsi="Times New Roman"/>
          <w:color w:val="000000" w:themeColor="text1"/>
        </w:rPr>
        <w:t xml:space="preserve">Figure 1 : localisation des différents secteurs du bassin versant de Mbao </w:t>
      </w:r>
    </w:p>
    <w:p w14:paraId="5802055F" w14:textId="77777777" w:rsidR="00267147" w:rsidRPr="00260790" w:rsidRDefault="00267147" w:rsidP="00E20250">
      <w:pPr>
        <w:spacing w:line="240" w:lineRule="auto"/>
        <w:rPr>
          <w:rFonts w:ascii="Times New Roman" w:hAnsi="Times New Roman"/>
          <w:color w:val="000000" w:themeColor="text1"/>
        </w:rPr>
      </w:pPr>
      <w:proofErr w:type="gramStart"/>
      <w:r w:rsidRPr="00260790">
        <w:rPr>
          <w:rFonts w:ascii="Times New Roman" w:hAnsi="Times New Roman"/>
          <w:color w:val="000000" w:themeColor="text1"/>
        </w:rPr>
        <w:t>Concernant  la</w:t>
      </w:r>
      <w:proofErr w:type="gramEnd"/>
      <w:r w:rsidRPr="00260790">
        <w:rPr>
          <w:rFonts w:ascii="Times New Roman" w:hAnsi="Times New Roman"/>
          <w:color w:val="000000" w:themeColor="text1"/>
        </w:rPr>
        <w:t xml:space="preserve"> zone Nord du bassin versant, le programme d’aménagements prévu est : </w:t>
      </w:r>
    </w:p>
    <w:p w14:paraId="6094F523" w14:textId="4B22A3D0" w:rsidR="00267147" w:rsidRPr="00260790" w:rsidRDefault="00267147" w:rsidP="00E20250">
      <w:pPr>
        <w:spacing w:line="240" w:lineRule="auto"/>
        <w:rPr>
          <w:rFonts w:ascii="Times New Roman" w:hAnsi="Times New Roman"/>
          <w:color w:val="000000" w:themeColor="text1"/>
        </w:rPr>
      </w:pPr>
      <w:proofErr w:type="gramStart"/>
      <w:r w:rsidRPr="00260790">
        <w:rPr>
          <w:rFonts w:ascii="Times New Roman" w:hAnsi="Times New Roman"/>
          <w:color w:val="000000" w:themeColor="text1"/>
        </w:rPr>
        <w:t>bassins</w:t>
      </w:r>
      <w:proofErr w:type="gramEnd"/>
      <w:r w:rsidRPr="00260790">
        <w:rPr>
          <w:rFonts w:ascii="Times New Roman" w:hAnsi="Times New Roman"/>
          <w:color w:val="000000" w:themeColor="text1"/>
        </w:rPr>
        <w:t xml:space="preserve"> de rétention : 25 bassins (les volumes de stockage sont </w:t>
      </w:r>
      <w:r w:rsidR="00D64C41" w:rsidRPr="00260790">
        <w:rPr>
          <w:rFonts w:ascii="Times New Roman" w:hAnsi="Times New Roman"/>
          <w:color w:val="000000" w:themeColor="text1"/>
        </w:rPr>
        <w:t>à</w:t>
      </w:r>
      <w:r w:rsidRPr="00260790">
        <w:rPr>
          <w:rFonts w:ascii="Times New Roman" w:hAnsi="Times New Roman"/>
          <w:color w:val="000000" w:themeColor="text1"/>
        </w:rPr>
        <w:t xml:space="preserve"> réévaluer entièrement en raison des capacités de transit des branches 35 et 36 recalibrées à 3.9 et 5.1 m³/s) </w:t>
      </w:r>
    </w:p>
    <w:p w14:paraId="4D8D2192" w14:textId="77777777" w:rsidR="00267147" w:rsidRPr="00260790" w:rsidRDefault="00267147" w:rsidP="00E20250">
      <w:pPr>
        <w:spacing w:line="240" w:lineRule="auto"/>
        <w:rPr>
          <w:rFonts w:ascii="Times New Roman" w:hAnsi="Times New Roman"/>
          <w:color w:val="000000" w:themeColor="text1"/>
        </w:rPr>
      </w:pPr>
      <w:proofErr w:type="gramStart"/>
      <w:r w:rsidRPr="00260790">
        <w:rPr>
          <w:rFonts w:ascii="Times New Roman" w:hAnsi="Times New Roman"/>
          <w:color w:val="000000" w:themeColor="text1"/>
        </w:rPr>
        <w:t>canaux</w:t>
      </w:r>
      <w:proofErr w:type="gramEnd"/>
      <w:r w:rsidRPr="00260790">
        <w:rPr>
          <w:rFonts w:ascii="Times New Roman" w:hAnsi="Times New Roman"/>
          <w:color w:val="000000" w:themeColor="text1"/>
        </w:rPr>
        <w:t xml:space="preserve">/collecteurs : 14.1 km de section variable. </w:t>
      </w:r>
    </w:p>
    <w:p w14:paraId="3A4DC06C" w14:textId="77777777" w:rsidR="00267147" w:rsidRPr="00260790" w:rsidRDefault="00267147" w:rsidP="00E20250">
      <w:pPr>
        <w:spacing w:line="240" w:lineRule="auto"/>
        <w:rPr>
          <w:rFonts w:ascii="Times New Roman" w:hAnsi="Times New Roman"/>
          <w:color w:val="000000" w:themeColor="text1"/>
        </w:rPr>
      </w:pPr>
      <w:r w:rsidRPr="00260790">
        <w:rPr>
          <w:rFonts w:ascii="Times New Roman" w:hAnsi="Times New Roman"/>
          <w:color w:val="000000" w:themeColor="text1"/>
        </w:rPr>
        <w:t xml:space="preserve"> </w:t>
      </w:r>
    </w:p>
    <w:p w14:paraId="53DBB5AB" w14:textId="77777777" w:rsidR="00267147" w:rsidRPr="00260790" w:rsidRDefault="00267147" w:rsidP="00E20250">
      <w:pPr>
        <w:spacing w:line="240" w:lineRule="auto"/>
        <w:rPr>
          <w:rFonts w:ascii="Times New Roman" w:hAnsi="Times New Roman"/>
          <w:color w:val="000000" w:themeColor="text1"/>
        </w:rPr>
      </w:pPr>
      <w:r w:rsidRPr="00260790">
        <w:rPr>
          <w:rFonts w:ascii="Times New Roman" w:hAnsi="Times New Roman"/>
          <w:noProof/>
          <w:color w:val="000000" w:themeColor="text1"/>
          <w:lang w:val="en-US"/>
        </w:rPr>
        <mc:AlternateContent>
          <mc:Choice Requires="wpg">
            <w:drawing>
              <wp:inline distT="0" distB="0" distL="0" distR="0" wp14:anchorId="46232FC2" wp14:editId="4EEC0E27">
                <wp:extent cx="4890008" cy="3272943"/>
                <wp:effectExtent l="0" t="0" r="0" b="0"/>
                <wp:docPr id="22258" name="Group 22258"/>
                <wp:cNvGraphicFramePr/>
                <a:graphic xmlns:a="http://schemas.openxmlformats.org/drawingml/2006/main">
                  <a:graphicData uri="http://schemas.microsoft.com/office/word/2010/wordprocessingGroup">
                    <wpg:wgp>
                      <wpg:cNvGrpSpPr/>
                      <wpg:grpSpPr>
                        <a:xfrm>
                          <a:off x="0" y="0"/>
                          <a:ext cx="4890008" cy="3272943"/>
                          <a:chOff x="0" y="0"/>
                          <a:chExt cx="4890008" cy="3272943"/>
                        </a:xfrm>
                      </wpg:grpSpPr>
                      <wps:wsp>
                        <wps:cNvPr id="26506" name="Shape 26506"/>
                        <wps:cNvSpPr/>
                        <wps:spPr>
                          <a:xfrm>
                            <a:off x="0" y="889"/>
                            <a:ext cx="4851781" cy="3240659"/>
                          </a:xfrm>
                          <a:custGeom>
                            <a:avLst/>
                            <a:gdLst/>
                            <a:ahLst/>
                            <a:cxnLst/>
                            <a:rect l="0" t="0" r="0" b="0"/>
                            <a:pathLst>
                              <a:path w="4851781" h="3240659">
                                <a:moveTo>
                                  <a:pt x="0" y="0"/>
                                </a:moveTo>
                                <a:lnTo>
                                  <a:pt x="4851781" y="0"/>
                                </a:lnTo>
                                <a:lnTo>
                                  <a:pt x="4851781" y="3240659"/>
                                </a:lnTo>
                                <a:lnTo>
                                  <a:pt x="0" y="3240659"/>
                                </a:lnTo>
                                <a:lnTo>
                                  <a:pt x="0" y="0"/>
                                </a:lnTo>
                              </a:path>
                            </a:pathLst>
                          </a:custGeom>
                          <a:ln w="0" cap="flat">
                            <a:miter lim="127000"/>
                          </a:ln>
                        </wps:spPr>
                        <wps:style>
                          <a:lnRef idx="0">
                            <a:srgbClr val="000000">
                              <a:alpha val="0"/>
                            </a:srgbClr>
                          </a:lnRef>
                          <a:fillRef idx="1">
                            <a:srgbClr val="00FFFF"/>
                          </a:fillRef>
                          <a:effectRef idx="0">
                            <a:scrgbClr r="0" g="0" b="0"/>
                          </a:effectRef>
                          <a:fontRef idx="none"/>
                        </wps:style>
                        <wps:bodyPr/>
                      </wps:wsp>
                      <wps:wsp>
                        <wps:cNvPr id="1327" name="Rectangle 1327"/>
                        <wps:cNvSpPr/>
                        <wps:spPr>
                          <a:xfrm>
                            <a:off x="4851908" y="3104236"/>
                            <a:ext cx="50673" cy="224380"/>
                          </a:xfrm>
                          <a:prstGeom prst="rect">
                            <a:avLst/>
                          </a:prstGeom>
                          <a:ln>
                            <a:noFill/>
                          </a:ln>
                        </wps:spPr>
                        <wps:txbx>
                          <w:txbxContent>
                            <w:p w14:paraId="6861F018" w14:textId="77777777" w:rsidR="00041856" w:rsidRPr="000676A1" w:rsidRDefault="00041856">
                              <w:pPr>
                                <w:spacing w:line="259" w:lineRule="auto"/>
                              </w:pPr>
                              <w:r w:rsidRPr="000676A1">
                                <w:t xml:space="preserve"> </w:t>
                              </w:r>
                            </w:p>
                          </w:txbxContent>
                        </wps:txbx>
                        <wps:bodyPr horzOverflow="overflow" vert="horz" lIns="0" tIns="0" rIns="0" bIns="0" rtlCol="0">
                          <a:noAutofit/>
                        </wps:bodyPr>
                      </wps:wsp>
                      <pic:pic xmlns:pic="http://schemas.openxmlformats.org/drawingml/2006/picture">
                        <pic:nvPicPr>
                          <pic:cNvPr id="1337" name="Picture 1337"/>
                          <pic:cNvPicPr/>
                        </pic:nvPicPr>
                        <pic:blipFill>
                          <a:blip r:embed="rId158"/>
                          <a:stretch>
                            <a:fillRect/>
                          </a:stretch>
                        </pic:blipFill>
                        <pic:spPr>
                          <a:xfrm>
                            <a:off x="1270" y="0"/>
                            <a:ext cx="4844796" cy="3238500"/>
                          </a:xfrm>
                          <a:prstGeom prst="rect">
                            <a:avLst/>
                          </a:prstGeom>
                        </pic:spPr>
                      </pic:pic>
                    </wpg:wgp>
                  </a:graphicData>
                </a:graphic>
              </wp:inline>
            </w:drawing>
          </mc:Choice>
          <mc:Fallback>
            <w:pict>
              <v:group w14:anchorId="46232FC2" id="Group 22258" o:spid="_x0000_s1028" style="width:385.05pt;height:257.7pt;mso-position-horizontal-relative:char;mso-position-vertical-relative:line" coordsize="48900,32729"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">
                <v:shape id="Shape 26506" o:spid="_x0000_s1029" style="position:absolute;top:8;width:48517;height:32407;visibility:visible;mso-wrap-style:square;v-text-anchor:top" coordsize="4851781,32406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" path="m,l4851781,r,3240659l,3240659,,e" fillcolor="aqua" stroked="f" strokeweight="0">
                  <v:stroke miterlimit="83231f" joinstyle="miter"/>
                  <v:path arrowok="t" textboxrect="0,0,4851781,3240659"/>
                </v:shape>
                <v:rect id="Rectangle 1327" o:spid="_x0000_s1030" style="position:absolute;left:48519;top:31042;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" filled="f" stroked="f">
                  <v:textbox inset="0,0,0,0">
                    <w:txbxContent>
                      <w:p w14:paraId="6861F018" w14:textId="77777777" w:rsidR="00041856" w:rsidRPr="000676A1" w:rsidRDefault="00041856">
                        <w:pPr>
                          <w:spacing w:line="259" w:lineRule="auto"/>
                        </w:pPr>
                        <w:r w:rsidRPr="000676A1">
                          <w:t xml:space="preserve"> </w:t>
                        </w:r>
                      </w:p>
                    </w:txbxContent>
                  </v:textbox>
                </v:rect>
                <v:shape id="Picture 1337" o:spid="_x0000_s1031" type="#_x0000_t75" style="position:absolute;left:12;width:48448;height:323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">
                  <v:imagedata r:id="rId159" o:title=""/>
                </v:shape>
                <w10:anchorlock/>
              </v:group>
            </w:pict>
          </mc:Fallback>
        </mc:AlternateContent>
      </w:r>
    </w:p>
    <w:p w14:paraId="2ED53112"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Figure 2 : localisation des différents secteurs du bassin versant de Mbao </w:t>
      </w:r>
    </w:p>
    <w:p w14:paraId="43C8521C"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 </w:t>
      </w:r>
    </w:p>
    <w:p w14:paraId="7702DC74"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lastRenderedPageBreak/>
        <w:t>À cet effet, l'ADM qui assure la mise en œuvre du PROGEP II compte mobiliser les services d'un Cabinet ou d’un bureau d’étude</w:t>
      </w:r>
      <w:r w:rsidRPr="00260790">
        <w:rPr>
          <w:rFonts w:ascii="Times New Roman" w:hAnsi="Times New Roman"/>
          <w:b/>
          <w:color w:val="000000" w:themeColor="text1"/>
        </w:rPr>
        <w:t xml:space="preserve"> </w:t>
      </w:r>
      <w:r w:rsidRPr="00260790">
        <w:rPr>
          <w:rFonts w:ascii="Times New Roman" w:hAnsi="Times New Roman"/>
          <w:color w:val="000000" w:themeColor="text1"/>
        </w:rPr>
        <w:t xml:space="preserve">pour la réalisation des Études d’impact environnemental et social (EIES) des travaux des secteurs nord et sud du bassin versant de Mbao, y compris le marigot de Mbao et son exutoire. </w:t>
      </w:r>
    </w:p>
    <w:p w14:paraId="43D037A4"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C’est dans cette perspective que les présents termes de référence (TDR) sont élaborés pour définir le contenu de la mission, ainsi que le profil du personnel clé d’une firme qui sera recruté. </w:t>
      </w:r>
    </w:p>
    <w:p w14:paraId="25F35ED4" w14:textId="77777777" w:rsidR="00267147" w:rsidRPr="00260790" w:rsidRDefault="00267147" w:rsidP="00E20250">
      <w:pPr>
        <w:spacing w:line="240" w:lineRule="auto"/>
        <w:jc w:val="both"/>
        <w:rPr>
          <w:rFonts w:ascii="Times New Roman" w:hAnsi="Times New Roman"/>
          <w:b/>
          <w:bCs/>
          <w:color w:val="000000" w:themeColor="text1"/>
        </w:rPr>
      </w:pPr>
      <w:r w:rsidRPr="00260790">
        <w:rPr>
          <w:rFonts w:ascii="Times New Roman" w:hAnsi="Times New Roman"/>
          <w:b/>
          <w:bCs/>
          <w:color w:val="000000" w:themeColor="text1"/>
        </w:rPr>
        <w:t>II.</w:t>
      </w:r>
      <w:r w:rsidRPr="00260790">
        <w:rPr>
          <w:rFonts w:ascii="Times New Roman" w:eastAsia="Arial" w:hAnsi="Times New Roman"/>
          <w:b/>
          <w:bCs/>
          <w:color w:val="000000" w:themeColor="text1"/>
        </w:rPr>
        <w:t xml:space="preserve"> </w:t>
      </w:r>
      <w:r w:rsidRPr="00260790">
        <w:rPr>
          <w:rFonts w:ascii="Times New Roman" w:eastAsia="Arial" w:hAnsi="Times New Roman"/>
          <w:b/>
          <w:bCs/>
          <w:color w:val="000000" w:themeColor="text1"/>
        </w:rPr>
        <w:tab/>
      </w:r>
      <w:r w:rsidRPr="00260790">
        <w:rPr>
          <w:rFonts w:ascii="Times New Roman" w:hAnsi="Times New Roman"/>
          <w:b/>
          <w:bCs/>
          <w:color w:val="000000" w:themeColor="text1"/>
        </w:rPr>
        <w:t xml:space="preserve"> DESCRIPTION DES TRAVAUX  </w:t>
      </w:r>
    </w:p>
    <w:p w14:paraId="0489B31A"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travaux prévus dans le cadre de cette intervention porteront essentiellement sur le bassin versant de Mbao, afin de préserver les populations vivantes dans les zones exposées au risque d’inondation à travers la réalisation de réseaux de canalisations, de bassins d’écrêtement ainsi qu’un ouvrage de rejet à la mer. </w:t>
      </w:r>
    </w:p>
    <w:p w14:paraId="2B8AC3BD"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bassin versant du Marigot de Mbao s’étend sur une surface de l’ordre de 35 km², des environs d’Aïnou Madi (Keur Massar) à la zone de Rufisque Ouest et Mbao. Les désordres hydrauliques en cas de fortes pluies apparaissent principalement sur la partie nord du bassin versant (surface de l’ordre de 11.6 km²), à l’amont de la route de </w:t>
      </w:r>
      <w:proofErr w:type="spellStart"/>
      <w:r w:rsidRPr="00260790">
        <w:rPr>
          <w:rFonts w:ascii="Times New Roman" w:hAnsi="Times New Roman"/>
          <w:color w:val="000000" w:themeColor="text1"/>
        </w:rPr>
        <w:t>Jaxaay</w:t>
      </w:r>
      <w:proofErr w:type="spellEnd"/>
      <w:r w:rsidRPr="00260790">
        <w:rPr>
          <w:rFonts w:ascii="Times New Roman" w:hAnsi="Times New Roman"/>
          <w:color w:val="000000" w:themeColor="text1"/>
        </w:rPr>
        <w:t xml:space="preserve">. </w:t>
      </w:r>
    </w:p>
    <w:p w14:paraId="30FAC00A"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études techniques en cours d’exécution s’articulent sur une planification de la réalisation des ouvrages comprenant un programme d’investissement prioritaire pour la construction des ouvrages les plus urgents.  </w:t>
      </w:r>
    </w:p>
    <w:p w14:paraId="1EA616ED" w14:textId="77777777" w:rsidR="00267147" w:rsidRPr="00260790" w:rsidRDefault="00267147" w:rsidP="00E20250">
      <w:pPr>
        <w:spacing w:line="240" w:lineRule="auto"/>
        <w:jc w:val="both"/>
        <w:rPr>
          <w:rFonts w:ascii="Times New Roman" w:hAnsi="Times New Roman"/>
          <w:b/>
          <w:bCs/>
          <w:color w:val="000000" w:themeColor="text1"/>
        </w:rPr>
      </w:pPr>
      <w:r w:rsidRPr="00260790">
        <w:rPr>
          <w:rFonts w:ascii="Times New Roman" w:hAnsi="Times New Roman"/>
          <w:b/>
          <w:bCs/>
          <w:color w:val="000000" w:themeColor="text1"/>
        </w:rPr>
        <w:t xml:space="preserve">III. </w:t>
      </w:r>
      <w:r w:rsidRPr="00260790">
        <w:rPr>
          <w:rFonts w:ascii="Times New Roman" w:hAnsi="Times New Roman"/>
          <w:b/>
          <w:bCs/>
          <w:color w:val="000000" w:themeColor="text1"/>
        </w:rPr>
        <w:tab/>
        <w:t xml:space="preserve">CONSISTANCE DES INVESTISSEMENTS CIBLÉS  </w:t>
      </w:r>
    </w:p>
    <w:p w14:paraId="64CA4D06"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investissements ciblés dans le BV de Mbao visent à assurer la protection contre les inondations d’occurrence décennale des populations y résidant.  En effet, les études techniques seront réalisées en deux (2) étapes : </w:t>
      </w:r>
    </w:p>
    <w:p w14:paraId="3FF9D198"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Étude du bassin versant amont (zone délimitée en rouge ci-dessous) avec comme objectifs la réalisation des études techniques APS, APD et DAO des ouvrages de drainage des eaux pluviales sur la zone nord (délimitée en rouge ci-dessous) du bassin versant de Mbao. Ce travail sera réalisé en deux temps :  </w:t>
      </w:r>
    </w:p>
    <w:p w14:paraId="6DEA9C11" w14:textId="77777777" w:rsidR="00267147" w:rsidRPr="00260790" w:rsidRDefault="00267147" w:rsidP="00E20250">
      <w:p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dans</w:t>
      </w:r>
      <w:proofErr w:type="gramEnd"/>
      <w:r w:rsidRPr="00260790">
        <w:rPr>
          <w:rFonts w:ascii="Times New Roman" w:hAnsi="Times New Roman"/>
          <w:color w:val="000000" w:themeColor="text1"/>
        </w:rPr>
        <w:t xml:space="preserve"> un premier temps l’étude d’un programme dit d’urgence, déterminé à l’issue du travail de modélisation (l’objectif étant de lancer une partie des travaux avant mars 2023),  </w:t>
      </w:r>
    </w:p>
    <w:p w14:paraId="5C722EF0" w14:textId="77777777" w:rsidR="00267147" w:rsidRPr="00260790" w:rsidRDefault="00267147" w:rsidP="00E20250">
      <w:p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et</w:t>
      </w:r>
      <w:proofErr w:type="gramEnd"/>
      <w:r w:rsidRPr="00260790">
        <w:rPr>
          <w:rFonts w:ascii="Times New Roman" w:hAnsi="Times New Roman"/>
          <w:color w:val="000000" w:themeColor="text1"/>
        </w:rPr>
        <w:t xml:space="preserve"> dans un second temps l’étude de l’ensemble du programme d’aménagement restant. </w:t>
      </w:r>
    </w:p>
    <w:p w14:paraId="6DDC2FAE"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Études du sud du marigot de Mbao intégrant l’exutoire.  </w:t>
      </w:r>
    </w:p>
    <w:p w14:paraId="331E0DD6"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À titre indicatif, le programme d’aménagements globaux prévus sur l’ensemble du bassin versant de Mbao est le suivant : </w:t>
      </w:r>
    </w:p>
    <w:p w14:paraId="2305ACAD" w14:textId="7216C200" w:rsidR="00267147" w:rsidRPr="0097258B" w:rsidRDefault="00267147" w:rsidP="0097258B">
      <w:pPr>
        <w:pStyle w:val="Paragraphedeliste"/>
        <w:numPr>
          <w:ilvl w:val="0"/>
          <w:numId w:val="379"/>
        </w:numPr>
        <w:spacing w:line="240" w:lineRule="auto"/>
        <w:jc w:val="both"/>
        <w:rPr>
          <w:rFonts w:ascii="Times New Roman" w:hAnsi="Times New Roman"/>
        </w:rPr>
      </w:pPr>
      <w:proofErr w:type="gramStart"/>
      <w:r w:rsidRPr="0097258B">
        <w:rPr>
          <w:rFonts w:ascii="Times New Roman" w:hAnsi="Times New Roman"/>
        </w:rPr>
        <w:t>bassins</w:t>
      </w:r>
      <w:proofErr w:type="gramEnd"/>
      <w:r w:rsidRPr="0097258B">
        <w:rPr>
          <w:rFonts w:ascii="Times New Roman" w:hAnsi="Times New Roman"/>
        </w:rPr>
        <w:t xml:space="preserve"> de </w:t>
      </w:r>
      <w:proofErr w:type="gramStart"/>
      <w:r w:rsidRPr="0097258B">
        <w:rPr>
          <w:rFonts w:ascii="Times New Roman" w:hAnsi="Times New Roman"/>
        </w:rPr>
        <w:t>rétention  ;</w:t>
      </w:r>
      <w:proofErr w:type="gramEnd"/>
      <w:r w:rsidRPr="0097258B">
        <w:rPr>
          <w:rFonts w:ascii="Times New Roman" w:hAnsi="Times New Roman"/>
        </w:rPr>
        <w:t xml:space="preserve"> </w:t>
      </w:r>
    </w:p>
    <w:p w14:paraId="34ABF25B" w14:textId="77777777" w:rsidR="00B60955" w:rsidRPr="0097258B" w:rsidRDefault="00267147" w:rsidP="0097258B">
      <w:pPr>
        <w:pStyle w:val="Paragraphedeliste"/>
        <w:numPr>
          <w:ilvl w:val="0"/>
          <w:numId w:val="379"/>
        </w:numPr>
        <w:spacing w:line="240" w:lineRule="auto"/>
        <w:jc w:val="both"/>
        <w:rPr>
          <w:rFonts w:ascii="Times New Roman" w:hAnsi="Times New Roman"/>
        </w:rPr>
      </w:pPr>
      <w:proofErr w:type="gramStart"/>
      <w:r w:rsidRPr="0097258B">
        <w:rPr>
          <w:rFonts w:ascii="Times New Roman" w:hAnsi="Times New Roman"/>
        </w:rPr>
        <w:t>canaux</w:t>
      </w:r>
      <w:proofErr w:type="gramEnd"/>
      <w:r w:rsidRPr="0097258B">
        <w:rPr>
          <w:rFonts w:ascii="Times New Roman" w:hAnsi="Times New Roman"/>
        </w:rPr>
        <w:t xml:space="preserve">/collecteurs : 38 km de section variable ; </w:t>
      </w:r>
    </w:p>
    <w:p w14:paraId="2BBE2BD6" w14:textId="7B50755C" w:rsidR="00267147" w:rsidRPr="0097258B" w:rsidRDefault="00267147" w:rsidP="0097258B">
      <w:pPr>
        <w:pStyle w:val="Paragraphedeliste"/>
        <w:numPr>
          <w:ilvl w:val="0"/>
          <w:numId w:val="379"/>
        </w:numPr>
        <w:spacing w:line="240" w:lineRule="auto"/>
        <w:jc w:val="both"/>
        <w:rPr>
          <w:rFonts w:ascii="Times New Roman" w:hAnsi="Times New Roman"/>
        </w:rPr>
      </w:pPr>
      <w:proofErr w:type="gramStart"/>
      <w:r w:rsidRPr="0097258B">
        <w:rPr>
          <w:rFonts w:ascii="Times New Roman" w:hAnsi="Times New Roman"/>
        </w:rPr>
        <w:t>exutoires</w:t>
      </w:r>
      <w:proofErr w:type="gramEnd"/>
      <w:r w:rsidRPr="0097258B">
        <w:rPr>
          <w:rFonts w:ascii="Times New Roman" w:hAnsi="Times New Roman"/>
        </w:rPr>
        <w:t xml:space="preserve"> en mer : 1. </w:t>
      </w:r>
    </w:p>
    <w:p w14:paraId="39A4730E" w14:textId="77777777" w:rsidR="00267147" w:rsidRPr="00260790" w:rsidRDefault="00267147" w:rsidP="00E20250">
      <w:pPr>
        <w:spacing w:line="240" w:lineRule="auto"/>
        <w:rPr>
          <w:rFonts w:ascii="Times New Roman" w:hAnsi="Times New Roman"/>
          <w:color w:val="000000" w:themeColor="text1"/>
        </w:rPr>
      </w:pPr>
      <w:r w:rsidRPr="00260790">
        <w:rPr>
          <w:rFonts w:ascii="Times New Roman" w:hAnsi="Times New Roman"/>
          <w:color w:val="000000" w:themeColor="text1"/>
        </w:rPr>
        <w:t xml:space="preserve"> </w:t>
      </w:r>
    </w:p>
    <w:p w14:paraId="74DEB068" w14:textId="77777777" w:rsidR="00267147" w:rsidRPr="00260790" w:rsidRDefault="00267147" w:rsidP="00E20250">
      <w:pPr>
        <w:spacing w:line="240" w:lineRule="auto"/>
        <w:rPr>
          <w:rFonts w:ascii="Times New Roman" w:hAnsi="Times New Roman"/>
          <w:color w:val="000000" w:themeColor="text1"/>
        </w:rPr>
      </w:pPr>
      <w:r w:rsidRPr="00260790">
        <w:rPr>
          <w:rFonts w:ascii="Times New Roman" w:hAnsi="Times New Roman"/>
          <w:noProof/>
          <w:color w:val="000000" w:themeColor="text1"/>
          <w:lang w:val="en-US"/>
        </w:rPr>
        <w:lastRenderedPageBreak/>
        <mc:AlternateContent>
          <mc:Choice Requires="wpg">
            <w:drawing>
              <wp:inline distT="0" distB="0" distL="0" distR="0" wp14:anchorId="50E7BE7E" wp14:editId="6583B6D2">
                <wp:extent cx="4852162" cy="3272053"/>
                <wp:effectExtent l="0" t="0" r="0" b="0"/>
                <wp:docPr id="22773" name="Group 22773"/>
                <wp:cNvGraphicFramePr/>
                <a:graphic xmlns:a="http://schemas.openxmlformats.org/drawingml/2006/main">
                  <a:graphicData uri="http://schemas.microsoft.com/office/word/2010/wordprocessingGroup">
                    <wpg:wgp>
                      <wpg:cNvGrpSpPr/>
                      <wpg:grpSpPr>
                        <a:xfrm>
                          <a:off x="0" y="0"/>
                          <a:ext cx="4852162" cy="3272053"/>
                          <a:chOff x="0" y="0"/>
                          <a:chExt cx="4852162" cy="3272053"/>
                        </a:xfrm>
                      </wpg:grpSpPr>
                      <wps:wsp>
                        <wps:cNvPr id="26508" name="Shape 26508"/>
                        <wps:cNvSpPr/>
                        <wps:spPr>
                          <a:xfrm>
                            <a:off x="254" y="0"/>
                            <a:ext cx="4813681" cy="3240659"/>
                          </a:xfrm>
                          <a:custGeom>
                            <a:avLst/>
                            <a:gdLst/>
                            <a:ahLst/>
                            <a:cxnLst/>
                            <a:rect l="0" t="0" r="0" b="0"/>
                            <a:pathLst>
                              <a:path w="4813681" h="3240659">
                                <a:moveTo>
                                  <a:pt x="0" y="0"/>
                                </a:moveTo>
                                <a:lnTo>
                                  <a:pt x="4813681" y="0"/>
                                </a:lnTo>
                                <a:lnTo>
                                  <a:pt x="4813681" y="3240659"/>
                                </a:lnTo>
                                <a:lnTo>
                                  <a:pt x="0" y="3240659"/>
                                </a:lnTo>
                                <a:lnTo>
                                  <a:pt x="0" y="0"/>
                                </a:lnTo>
                              </a:path>
                            </a:pathLst>
                          </a:custGeom>
                          <a:ln w="0" cap="flat">
                            <a:miter lim="127000"/>
                          </a:ln>
                        </wps:spPr>
                        <wps:style>
                          <a:lnRef idx="0">
                            <a:srgbClr val="000000">
                              <a:alpha val="0"/>
                            </a:srgbClr>
                          </a:lnRef>
                          <a:fillRef idx="1">
                            <a:srgbClr val="00FFFF"/>
                          </a:fillRef>
                          <a:effectRef idx="0">
                            <a:scrgbClr r="0" g="0" b="0"/>
                          </a:effectRef>
                          <a:fontRef idx="none"/>
                        </wps:style>
                        <wps:bodyPr/>
                      </wps:wsp>
                      <wps:wsp>
                        <wps:cNvPr id="1547" name="Rectangle 1547"/>
                        <wps:cNvSpPr/>
                        <wps:spPr>
                          <a:xfrm>
                            <a:off x="4814062" y="3103346"/>
                            <a:ext cx="50673" cy="224380"/>
                          </a:xfrm>
                          <a:prstGeom prst="rect">
                            <a:avLst/>
                          </a:prstGeom>
                          <a:ln>
                            <a:noFill/>
                          </a:ln>
                        </wps:spPr>
                        <wps:txbx>
                          <w:txbxContent>
                            <w:p w14:paraId="1044B6CB" w14:textId="77777777" w:rsidR="00041856" w:rsidRPr="000676A1" w:rsidRDefault="00041856">
                              <w:pPr>
                                <w:spacing w:line="259" w:lineRule="auto"/>
                              </w:pPr>
                              <w:r w:rsidRPr="000676A1">
                                <w:t xml:space="preserve"> </w:t>
                              </w:r>
                            </w:p>
                          </w:txbxContent>
                        </wps:txbx>
                        <wps:bodyPr horzOverflow="overflow" vert="horz" lIns="0" tIns="0" rIns="0" bIns="0" rtlCol="0">
                          <a:noAutofit/>
                        </wps:bodyPr>
                      </wps:wsp>
                      <pic:pic xmlns:pic="http://schemas.openxmlformats.org/drawingml/2006/picture">
                        <pic:nvPicPr>
                          <pic:cNvPr id="1638" name="Picture 1638"/>
                          <pic:cNvPicPr/>
                        </pic:nvPicPr>
                        <pic:blipFill>
                          <a:blip r:embed="rId160"/>
                          <a:stretch>
                            <a:fillRect/>
                          </a:stretch>
                        </pic:blipFill>
                        <pic:spPr>
                          <a:xfrm>
                            <a:off x="0" y="0"/>
                            <a:ext cx="4808220" cy="3240024"/>
                          </a:xfrm>
                          <a:prstGeom prst="rect">
                            <a:avLst/>
                          </a:prstGeom>
                        </pic:spPr>
                      </pic:pic>
                    </wpg:wgp>
                  </a:graphicData>
                </a:graphic>
              </wp:inline>
            </w:drawing>
          </mc:Choice>
          <mc:Fallback>
            <w:pict>
              <v:group w14:anchorId="50E7BE7E" id="Group 22773" o:spid="_x0000_s1032" style="width:382.05pt;height:257.65pt;mso-position-horizontal-relative:char;mso-position-vertical-relative:line" coordsize="48521,32720"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">
                <v:shape id="Shape 26508" o:spid="_x0000_s1033" style="position:absolute;left:2;width:48137;height:32406;visibility:visible;mso-wrap-style:square;v-text-anchor:top" coordsize="4813681,32406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" path="m,l4813681,r,3240659l,3240659,,e" fillcolor="aqua" stroked="f" strokeweight="0">
                  <v:stroke miterlimit="83231f" joinstyle="miter"/>
                  <v:path arrowok="t" textboxrect="0,0,4813681,3240659"/>
                </v:shape>
                <v:rect id="Rectangle 1547" o:spid="_x0000_s1034" style="position:absolute;left:48140;top:31033;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" filled="f" stroked="f">
                  <v:textbox inset="0,0,0,0">
                    <w:txbxContent>
                      <w:p w14:paraId="1044B6CB" w14:textId="77777777" w:rsidR="00041856" w:rsidRPr="000676A1" w:rsidRDefault="00041856">
                        <w:pPr>
                          <w:spacing w:line="259" w:lineRule="auto"/>
                        </w:pPr>
                        <w:r w:rsidRPr="000676A1">
                          <w:t xml:space="preserve"> </w:t>
                        </w:r>
                      </w:p>
                    </w:txbxContent>
                  </v:textbox>
                </v:rect>
                <v:shape id="Picture 1638" o:spid="_x0000_s1035" type="#_x0000_t75" style="position:absolute;width:48082;height:324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">
                  <v:imagedata r:id="rId161" o:title=""/>
                </v:shape>
                <w10:anchorlock/>
              </v:group>
            </w:pict>
          </mc:Fallback>
        </mc:AlternateContent>
      </w:r>
    </w:p>
    <w:p w14:paraId="1E227B32"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Figure 3 : Localisation de la zone d’étude (tracé rouge / le tracé rouge + bleu représentant la totalité du BV de Mbao) </w:t>
      </w:r>
    </w:p>
    <w:p w14:paraId="57461B59"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 description des ouvrages à réaliser dans le bassin versant de Mbao est la suivante :  </w:t>
      </w:r>
    </w:p>
    <w:p w14:paraId="37940637"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b/>
          <w:color w:val="000000" w:themeColor="text1"/>
        </w:rPr>
        <w:t xml:space="preserve">3.1. LA CONCEPTION DES CADRES FERMES </w:t>
      </w:r>
    </w:p>
    <w:p w14:paraId="44BF4080"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Les cadres fermés seront en béton armé dosé à 350 kg/m</w:t>
      </w:r>
      <w:r w:rsidRPr="00260790">
        <w:rPr>
          <w:rFonts w:ascii="Times New Roman" w:hAnsi="Times New Roman"/>
          <w:color w:val="000000" w:themeColor="text1"/>
          <w:vertAlign w:val="superscript"/>
        </w:rPr>
        <w:t>3</w:t>
      </w:r>
      <w:r w:rsidRPr="00260790">
        <w:rPr>
          <w:rFonts w:ascii="Times New Roman" w:hAnsi="Times New Roman"/>
          <w:color w:val="000000" w:themeColor="text1"/>
        </w:rPr>
        <w:t xml:space="preserve"> de ciment. Les épaisseurs des voiles et de la dalle inférieure seront d’au moins 20 cm, et peuvent atteindre les 25 à 35 cm selon la profondeur du dalot et l’importance de la poussée des terres. La dalle sera d’au moins 20 cm selon la portée et les charges qui leur seront appliquées (charge de circulation et/ou de remblais). Les dalots seront exécutés sur du béton de propreté dosée à 150 kg/m</w:t>
      </w:r>
      <w:r w:rsidRPr="00260790">
        <w:rPr>
          <w:rFonts w:ascii="Times New Roman" w:hAnsi="Times New Roman"/>
          <w:color w:val="000000" w:themeColor="text1"/>
          <w:vertAlign w:val="superscript"/>
        </w:rPr>
        <w:t>3</w:t>
      </w:r>
      <w:r w:rsidRPr="00260790">
        <w:rPr>
          <w:rFonts w:ascii="Times New Roman" w:hAnsi="Times New Roman"/>
          <w:color w:val="000000" w:themeColor="text1"/>
        </w:rPr>
        <w:t xml:space="preserve"> qui sera elle-même posée sur une TV 25/40 d’une épaisseur de 20 Cm pour permettre la libre circulation des eaux de la nappe et éviter la déstabilisation de l’ouvrage. </w:t>
      </w:r>
    </w:p>
    <w:p w14:paraId="781A4424"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b/>
          <w:color w:val="000000" w:themeColor="text1"/>
        </w:rPr>
        <w:t xml:space="preserve">3.2. LA CONCEPTION DES BASSINS DE RETENTION </w:t>
      </w:r>
      <w:r w:rsidRPr="00260790">
        <w:rPr>
          <w:rFonts w:ascii="Times New Roman" w:hAnsi="Times New Roman"/>
          <w:color w:val="000000" w:themeColor="text1"/>
        </w:rPr>
        <w:t xml:space="preserve">Les bassins de rétention sont de deux types selon qu’ils soient destinés à être asséchés ou non. La conception des bassins se fera de la manière suivante : </w:t>
      </w:r>
    </w:p>
    <w:p w14:paraId="22B50A86"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 profondeur totale du bassin sera fonction de la côte de départ de la conduite de vidange, elle-même compatible avec le calage général du réseau tel que prévu dans le cahier des profils en long. On prendra en compte une revanche de sécurité d’au moins 20 cm entre la côte maximale que peut atteindre le plan d’eau lors des crues et la ligne supérieure de crête du bassin. </w:t>
      </w:r>
    </w:p>
    <w:p w14:paraId="16616A4F"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Afin d’éviter des investissements lourds au niveau de la présente étape du projet, le fond du bassin est nivelé et conservé à l’état naturel amélioré par un bon compactage. Il devra être profilé par des pentes transversales et longitudinales pour faciliter les écoulements des eaux.  </w:t>
      </w:r>
    </w:p>
    <w:p w14:paraId="323811F2"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pentes de talus seront de 2/1 au minimum au vu de la nature du terrain en place qui est constitué de sable argileux. Les pentes de talus seront revêtues en perrés maçonnés avec jointoiement en ciment jusqu’au pied des talus. </w:t>
      </w:r>
    </w:p>
    <w:p w14:paraId="2C154210"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accès se feront par deux rampes. Elles seront en béton armé avec ciment spécial </w:t>
      </w:r>
    </w:p>
    <w:p w14:paraId="46942EC9"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CMIII et seront d’une largeur d’au moins 5.00 m avec une porte d’accès pouvant être fermée. </w:t>
      </w:r>
    </w:p>
    <w:p w14:paraId="3DD3C018"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fond du bassin sera en terre mis en double pente dirigée vers les pieds des talus où seront projetées des cunettes après mise à la côte par remblais (selon la côte de départ de la conduite de vidange). </w:t>
      </w:r>
    </w:p>
    <w:p w14:paraId="7F7D21D8"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lastRenderedPageBreak/>
        <w:t xml:space="preserve">Des murets en dur ou en grillage pour la protection des riverains comportant trois portes, dont une grande porte au niveau de la rampe d’accès pour le passage des véhicules d’entretien. </w:t>
      </w:r>
    </w:p>
    <w:p w14:paraId="7E886675"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Des grilles de protection des départs des collecteurs de fuite pour diminuer les risques de bouchage.   </w:t>
      </w:r>
    </w:p>
    <w:p w14:paraId="51CF949C"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Des vannes pour contrôler les niveaux et les débits. </w:t>
      </w:r>
    </w:p>
    <w:p w14:paraId="2384F320"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Des panneaux de signalisation et systèmes d’éclairage seront implantés aux alentours des bassins. </w:t>
      </w:r>
    </w:p>
    <w:p w14:paraId="3E6FCCEB"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b/>
          <w:color w:val="000000" w:themeColor="text1"/>
        </w:rPr>
        <w:t xml:space="preserve">LA CONCEPTION DES REGARDS A GRILLES </w:t>
      </w:r>
    </w:p>
    <w:p w14:paraId="62153959"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Les grilles seront de forme rectangulaire. Le regard sera en béton armé dosé à 350 kg/m</w:t>
      </w:r>
      <w:r w:rsidRPr="00260790">
        <w:rPr>
          <w:rFonts w:ascii="Times New Roman" w:hAnsi="Times New Roman"/>
          <w:color w:val="000000" w:themeColor="text1"/>
          <w:vertAlign w:val="superscript"/>
        </w:rPr>
        <w:t>3</w:t>
      </w:r>
      <w:r w:rsidRPr="00260790">
        <w:rPr>
          <w:rFonts w:ascii="Times New Roman" w:hAnsi="Times New Roman"/>
          <w:color w:val="000000" w:themeColor="text1"/>
        </w:rPr>
        <w:t xml:space="preserve"> de ciment CEM III. La profondeur de la grille devra être telle que le départ de la conduite de liaison avec le dalot soit supérieur à la ligne piézométrique de l’eau dans le dalot pour éviter les retours d’eau et les débordements sur la voie. La grille sera du type série lourde résistant à une charge concentrée d’un essieu de 30T. La conduite de liaison avec le dalot sera en PVC de diamètre 300 </w:t>
      </w:r>
      <w:proofErr w:type="spellStart"/>
      <w:r w:rsidRPr="00260790">
        <w:rPr>
          <w:rFonts w:ascii="Times New Roman" w:hAnsi="Times New Roman"/>
          <w:color w:val="000000" w:themeColor="text1"/>
        </w:rPr>
        <w:t>mm.</w:t>
      </w:r>
      <w:proofErr w:type="spellEnd"/>
      <w:r w:rsidRPr="00260790">
        <w:rPr>
          <w:rFonts w:ascii="Times New Roman" w:hAnsi="Times New Roman"/>
          <w:color w:val="000000" w:themeColor="text1"/>
        </w:rPr>
        <w:t xml:space="preserve"> Au fond, sous la côte de départ de la conduite de liaison avec le dalot, on prévoira un bassin de dessablement d’une profondeur de 50 cm.  Le bassin servira à retenir le maximum de sable pour éviter leur admission dans le dalot et il devra être curé périodiquement. </w:t>
      </w:r>
    </w:p>
    <w:p w14:paraId="6345ED56"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b/>
          <w:color w:val="000000" w:themeColor="text1"/>
        </w:rPr>
        <w:t xml:space="preserve">LA CONCEPTION DES REGARDS DE VISITE </w:t>
      </w:r>
    </w:p>
    <w:p w14:paraId="0CAEEC90"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Les regards de visite seront prévus systématiquement pour tout point où il y’a changement de direction du collecteur. Ils seront prévus au maximum chaque 30 m sur les tronçons rectilignes pour faciliter les opérations de curage. Leur structure sera en béton armé dosé à 350 kg/m</w:t>
      </w:r>
      <w:r w:rsidRPr="00260790">
        <w:rPr>
          <w:rFonts w:ascii="Times New Roman" w:hAnsi="Times New Roman"/>
          <w:color w:val="000000" w:themeColor="text1"/>
          <w:vertAlign w:val="superscript"/>
        </w:rPr>
        <w:t>3</w:t>
      </w:r>
      <w:r w:rsidRPr="00260790">
        <w:rPr>
          <w:rFonts w:ascii="Times New Roman" w:hAnsi="Times New Roman"/>
          <w:color w:val="000000" w:themeColor="text1"/>
        </w:rPr>
        <w:t xml:space="preserve"> et elle sera solidaire de la structure armée de la dalle du dalot. Ils seront prévus en double, triple ou autres au même titre que le nombre de trames constituant le dalot. Il est conseillé de prévoir des ouvertures de regards au moins de 1,5 x 1,5 m</w:t>
      </w:r>
      <w:r w:rsidRPr="00260790">
        <w:rPr>
          <w:rFonts w:ascii="Times New Roman" w:hAnsi="Times New Roman"/>
          <w:color w:val="000000" w:themeColor="text1"/>
          <w:vertAlign w:val="superscript"/>
        </w:rPr>
        <w:t>2</w:t>
      </w:r>
      <w:r w:rsidRPr="00260790">
        <w:rPr>
          <w:rFonts w:ascii="Times New Roman" w:hAnsi="Times New Roman"/>
          <w:color w:val="000000" w:themeColor="text1"/>
        </w:rPr>
        <w:t xml:space="preserve"> pour faciliter l’accès aux ouvriers et l’utilisation des moyens manuels en cas de besoin. La dalle pourra être en béton armé. Le fond du regard devra être un peu plus bas que le canal pour jouer le rôle de dessableur. </w:t>
      </w:r>
    </w:p>
    <w:p w14:paraId="3C573B90" w14:textId="7BE479F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b/>
          <w:color w:val="000000" w:themeColor="text1"/>
        </w:rPr>
        <w:t xml:space="preserve">LA CONCEPTION DES DEGRILLEURS A LA SORTIE DES COLLECTEURS </w:t>
      </w:r>
    </w:p>
    <w:p w14:paraId="7994CED6"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L'installation d'une grille à l'entrée ou à la sortie (rejet dans les bassins de rétention) d'une canalisation ou d'un ouvrage de régulation permet d'optimiser leur fonctionnement en empêchant les divers objets transportés par l'eau d'y pénétrer. Il peut s'agir de feuilles d'arbres, d'herbes ou de détritus pris par le ruissellement de l’eau de pluie. </w:t>
      </w:r>
    </w:p>
    <w:p w14:paraId="5CCFEB8A"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Pour que ce système soit efficace, il doit être facilement accessible pour permettre un nettoyage régulier. L'espacement des barreaux ou de la grille doit être suffisamment adapté aux tailles des objets à stopper sans pour autant risquer de stopper l’écoulement des eaux.  </w:t>
      </w:r>
    </w:p>
    <w:p w14:paraId="2F8BFA74"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b/>
          <w:color w:val="000000" w:themeColor="text1"/>
        </w:rPr>
        <w:t xml:space="preserve">LES RESEAUX SECONDAIRES   </w:t>
      </w:r>
    </w:p>
    <w:p w14:paraId="28140E82"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réseaux secondaires permettront de collecter les eaux des points bas proches du réseau principal. Ils pourront être réalisés en PVC 400, PVC 315 ou en caniveaux ouverts ou fermés, construits en béton avec des regards.  </w:t>
      </w:r>
    </w:p>
    <w:p w14:paraId="7517BB2E"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b/>
          <w:color w:val="000000" w:themeColor="text1"/>
        </w:rPr>
        <w:t xml:space="preserve">AMENAGEMENT DES VOIRIES </w:t>
      </w:r>
    </w:p>
    <w:p w14:paraId="2A74CAEC"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Il est prévu une composante voirie pour accompagner et consolider le système de drainage. Les travaux de voirie concernent : </w:t>
      </w:r>
    </w:p>
    <w:p w14:paraId="7C7C6ED7" w14:textId="77777777" w:rsidR="00C6698E" w:rsidRPr="00260790" w:rsidRDefault="00C6698E" w:rsidP="00E20250">
      <w:pPr>
        <w:spacing w:line="240" w:lineRule="auto"/>
        <w:rPr>
          <w:rFonts w:ascii="Times New Roman" w:hAnsi="Times New Roman"/>
          <w:color w:val="000000" w:themeColor="text1"/>
        </w:rPr>
      </w:pPr>
      <w:r w:rsidRPr="00260790">
        <w:rPr>
          <w:rFonts w:ascii="Times New Roman" w:hAnsi="Times New Roman"/>
          <w:color w:val="000000" w:themeColor="text1"/>
        </w:rPr>
        <w:br w:type="page"/>
      </w:r>
    </w:p>
    <w:p w14:paraId="5D999946" w14:textId="4A09FEAF"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lastRenderedPageBreak/>
        <w:t xml:space="preserve">3.7.1. Les aménagements piétonniers autour des bassins de stockage </w:t>
      </w:r>
    </w:p>
    <w:p w14:paraId="6899EE97"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aménagements piétonniers autour des bassins seront construits en pavés de 6 cm sur une largeur de 2 m avec des bordures types jardin.  </w:t>
      </w:r>
    </w:p>
    <w:p w14:paraId="746300BA"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3.7.2. Des voiries sur canaux fermés </w:t>
      </w:r>
    </w:p>
    <w:p w14:paraId="151FD2AA" w14:textId="0AF34CD0"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Sur l'ensemble du système de drainage constitué par les canaux fermés, il sera aménagé </w:t>
      </w:r>
      <w:r w:rsidR="00951960" w:rsidRPr="00260790">
        <w:rPr>
          <w:rFonts w:ascii="Times New Roman" w:hAnsi="Times New Roman"/>
          <w:color w:val="000000" w:themeColor="text1"/>
        </w:rPr>
        <w:t>au-dessus</w:t>
      </w:r>
      <w:r w:rsidRPr="00260790">
        <w:rPr>
          <w:rFonts w:ascii="Times New Roman" w:hAnsi="Times New Roman"/>
          <w:color w:val="000000" w:themeColor="text1"/>
        </w:rPr>
        <w:t xml:space="preserve"> une voirie pour éviter l’ensablement des canaux et pour mieux protéger aussi le système.  </w:t>
      </w:r>
    </w:p>
    <w:p w14:paraId="00E1773D" w14:textId="77777777" w:rsidR="00267147" w:rsidRPr="00260790" w:rsidRDefault="00267147" w:rsidP="00E20250">
      <w:pPr>
        <w:spacing w:line="240" w:lineRule="auto"/>
        <w:jc w:val="both"/>
        <w:rPr>
          <w:rFonts w:ascii="Times New Roman" w:hAnsi="Times New Roman"/>
          <w:b/>
          <w:bCs/>
          <w:color w:val="000000" w:themeColor="text1"/>
        </w:rPr>
      </w:pPr>
      <w:r w:rsidRPr="00260790">
        <w:rPr>
          <w:rFonts w:ascii="Times New Roman" w:hAnsi="Times New Roman"/>
          <w:b/>
          <w:bCs/>
          <w:color w:val="000000" w:themeColor="text1"/>
        </w:rPr>
        <w:t xml:space="preserve">IV. </w:t>
      </w:r>
      <w:r w:rsidRPr="00260790">
        <w:rPr>
          <w:rFonts w:ascii="Times New Roman" w:hAnsi="Times New Roman"/>
          <w:b/>
          <w:bCs/>
          <w:color w:val="000000" w:themeColor="text1"/>
        </w:rPr>
        <w:tab/>
        <w:t xml:space="preserve">OBJECTIFS DE LA MISSION </w:t>
      </w:r>
    </w:p>
    <w:p w14:paraId="64A80A78"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L’objectif général est de réaliser successivement les Études d’Impact Environnemental et Social</w:t>
      </w:r>
      <w:r w:rsidRPr="00260790">
        <w:rPr>
          <w:rFonts w:ascii="Times New Roman" w:hAnsi="Times New Roman"/>
          <w:b/>
          <w:color w:val="000000" w:themeColor="text1"/>
        </w:rPr>
        <w:t xml:space="preserve"> </w:t>
      </w:r>
      <w:r w:rsidRPr="00260790">
        <w:rPr>
          <w:rFonts w:ascii="Times New Roman" w:hAnsi="Times New Roman"/>
          <w:color w:val="000000" w:themeColor="text1"/>
        </w:rPr>
        <w:t xml:space="preserve">(EIES) des travaux de la zone Nord, puis de la zone Sud du BV de Mbao.  </w:t>
      </w:r>
    </w:p>
    <w:p w14:paraId="1DA676FD"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b/>
          <w:color w:val="000000" w:themeColor="text1"/>
        </w:rPr>
        <w:t xml:space="preserve">4.1. OBJECTIFS GENERAUX ET SPECIFIQUES DES EIES </w:t>
      </w:r>
    </w:p>
    <w:p w14:paraId="162F7B3D"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EIES des zones nord et sud doivent satisfaire aux dispositions nationales en matière de gestion environnementale et sociale, et aux exigences des Normes Environnementales et Sociales (NES) de la Banque mondiale. </w:t>
      </w:r>
    </w:p>
    <w:p w14:paraId="369796E5"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Il s’agira d'évaluer les impacts environnementaux et sociaux potentiels (i) des travaux prévus et des structures associées (les différentes bases des entreprises, les routes d’accès, etc.) et (ii) et de la mise en exploitation des aménagements à réaliser, et de proposer des actions et mécanismes pouvant permettre d’éviter ou minimiser les impacts négatifs et bonifier les impacts positifs pour s’assurer que les aménagements à réaliser soient rationnels et durables du point de vue environnemental et social.  </w:t>
      </w:r>
    </w:p>
    <w:p w14:paraId="7084B0D2"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Études intègreront un Plan de Gestion Environnementale et Sociale (PGES) détaillé et budgétisé, qui inclura les dispositions institutionnelles, financières et techniques à prendre en compte durant les différentes phases (préparation, construction, exploitation) du projet, y compris celles relatives à la communication, au renforcement des capacités, au suivi-évaluation et la budgétisation des activités de mise en œuvre du PGES. </w:t>
      </w:r>
    </w:p>
    <w:p w14:paraId="2D805C21" w14:textId="69E6DECE"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Spécifiquement, il s’agira de :  </w:t>
      </w:r>
    </w:p>
    <w:p w14:paraId="305B30C9" w14:textId="77777777" w:rsidR="00267147" w:rsidRPr="00260790" w:rsidRDefault="00267147" w:rsidP="001748C6">
      <w:pPr>
        <w:pStyle w:val="Paragraphedeliste"/>
        <w:numPr>
          <w:ilvl w:val="0"/>
          <w:numId w:val="214"/>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définir</w:t>
      </w:r>
      <w:proofErr w:type="gramEnd"/>
      <w:r w:rsidRPr="00260790">
        <w:rPr>
          <w:rFonts w:ascii="Times New Roman" w:hAnsi="Times New Roman"/>
          <w:color w:val="000000" w:themeColor="text1"/>
        </w:rPr>
        <w:t xml:space="preserve"> et justifier la zone d'intervention des travaux ; </w:t>
      </w:r>
    </w:p>
    <w:p w14:paraId="356B5DD8" w14:textId="77777777" w:rsidR="00267147" w:rsidRPr="00260790" w:rsidRDefault="00267147" w:rsidP="001748C6">
      <w:pPr>
        <w:pStyle w:val="Paragraphedeliste"/>
        <w:numPr>
          <w:ilvl w:val="0"/>
          <w:numId w:val="214"/>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réaliser</w:t>
      </w:r>
      <w:proofErr w:type="gramEnd"/>
      <w:r w:rsidRPr="00260790">
        <w:rPr>
          <w:rFonts w:ascii="Times New Roman" w:hAnsi="Times New Roman"/>
          <w:color w:val="000000" w:themeColor="text1"/>
        </w:rPr>
        <w:t xml:space="preserve"> une délimitation exacte de la zone d’influence du Projet avec une cartographie des localités/Communes concernées par le </w:t>
      </w:r>
      <w:proofErr w:type="gramStart"/>
      <w:r w:rsidRPr="00260790">
        <w:rPr>
          <w:rFonts w:ascii="Times New Roman" w:hAnsi="Times New Roman"/>
          <w:color w:val="000000" w:themeColor="text1"/>
        </w:rPr>
        <w:t>Projet;</w:t>
      </w:r>
      <w:proofErr w:type="gramEnd"/>
      <w:r w:rsidRPr="00260790">
        <w:rPr>
          <w:rFonts w:ascii="Times New Roman" w:hAnsi="Times New Roman"/>
          <w:color w:val="000000" w:themeColor="text1"/>
        </w:rPr>
        <w:t xml:space="preserve"> </w:t>
      </w:r>
    </w:p>
    <w:p w14:paraId="72FC049A" w14:textId="77777777" w:rsidR="00267147" w:rsidRPr="00260790" w:rsidRDefault="00267147" w:rsidP="001748C6">
      <w:pPr>
        <w:pStyle w:val="Paragraphedeliste"/>
        <w:numPr>
          <w:ilvl w:val="0"/>
          <w:numId w:val="214"/>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réaliser</w:t>
      </w:r>
      <w:proofErr w:type="gramEnd"/>
      <w:r w:rsidRPr="00260790">
        <w:rPr>
          <w:rFonts w:ascii="Times New Roman" w:hAnsi="Times New Roman"/>
          <w:color w:val="000000" w:themeColor="text1"/>
        </w:rPr>
        <w:t xml:space="preserve"> une analyse détaillée de la sensibilité environnementale et sociale autour des différentes composantes du Projet. Dans cette analyse, une attention particulière devra être accordée aux zones protégées ou sensibles avec des informations précises sur le potentiel de biodiversité impacté (nombre d’arbres potentiellement impactés, la localisation de ces zones à déboiser, l’analyse écosystémique et les valeurs des espèces impactées, etc.). À cet effet, les variantes (sites, conception) retenues devront être documentées relativement aux critères de faisabilité techniques, environnementales et sociales ; </w:t>
      </w:r>
    </w:p>
    <w:p w14:paraId="49497FAE" w14:textId="77777777" w:rsidR="00267147" w:rsidRPr="00260790" w:rsidRDefault="00267147" w:rsidP="001748C6">
      <w:pPr>
        <w:pStyle w:val="Paragraphedeliste"/>
        <w:numPr>
          <w:ilvl w:val="0"/>
          <w:numId w:val="214"/>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définir</w:t>
      </w:r>
      <w:proofErr w:type="gramEnd"/>
      <w:r w:rsidRPr="00260790">
        <w:rPr>
          <w:rFonts w:ascii="Times New Roman" w:hAnsi="Times New Roman"/>
          <w:color w:val="000000" w:themeColor="text1"/>
        </w:rPr>
        <w:t xml:space="preserve"> des informations précises sur les critères de dimensionnement des infrastructures (bassins et réseaux) et des mesures prévues pour sécuriser les infrastructures en cas de pluies exceptionnelles ; </w:t>
      </w:r>
    </w:p>
    <w:p w14:paraId="23B41A18" w14:textId="77777777" w:rsidR="00267147" w:rsidRPr="00260790" w:rsidRDefault="00267147" w:rsidP="001748C6">
      <w:pPr>
        <w:pStyle w:val="Paragraphedeliste"/>
        <w:numPr>
          <w:ilvl w:val="0"/>
          <w:numId w:val="214"/>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faire</w:t>
      </w:r>
      <w:proofErr w:type="gramEnd"/>
      <w:r w:rsidRPr="00260790">
        <w:rPr>
          <w:rFonts w:ascii="Times New Roman" w:hAnsi="Times New Roman"/>
          <w:color w:val="000000" w:themeColor="text1"/>
        </w:rPr>
        <w:t xml:space="preserve"> le diagnostic de la situation initiale sur le plan environnemental et social ; </w:t>
      </w:r>
    </w:p>
    <w:p w14:paraId="4F59C310" w14:textId="77777777" w:rsidR="00267147" w:rsidRPr="00260790" w:rsidRDefault="00267147" w:rsidP="001748C6">
      <w:pPr>
        <w:pStyle w:val="Paragraphedeliste"/>
        <w:numPr>
          <w:ilvl w:val="0"/>
          <w:numId w:val="214"/>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identifier</w:t>
      </w:r>
      <w:proofErr w:type="gramEnd"/>
      <w:r w:rsidRPr="00260790">
        <w:rPr>
          <w:rFonts w:ascii="Times New Roman" w:hAnsi="Times New Roman"/>
          <w:color w:val="000000" w:themeColor="text1"/>
        </w:rPr>
        <w:t xml:space="preserve"> et analyser les impacts environnementaux et sociaux potentiels des travaux et des structures associées, et de la mise en exploitation des aménagements à réaliser ; </w:t>
      </w:r>
    </w:p>
    <w:p w14:paraId="419D2D6E" w14:textId="77777777" w:rsidR="00267147" w:rsidRPr="00260790" w:rsidRDefault="00267147" w:rsidP="001748C6">
      <w:pPr>
        <w:pStyle w:val="Paragraphedeliste"/>
        <w:numPr>
          <w:ilvl w:val="0"/>
          <w:numId w:val="214"/>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évaluer</w:t>
      </w:r>
      <w:proofErr w:type="gramEnd"/>
      <w:r w:rsidRPr="00260790">
        <w:rPr>
          <w:rFonts w:ascii="Times New Roman" w:hAnsi="Times New Roman"/>
          <w:color w:val="000000" w:themeColor="text1"/>
        </w:rPr>
        <w:t xml:space="preserve"> les risques et effets potentiels du projet et déterminer de manière intégrée tous les risques environnementaux et sociaux et les impacts directs, indirects et cumulatifs du projet ; </w:t>
      </w:r>
    </w:p>
    <w:p w14:paraId="45E4AF06" w14:textId="77777777" w:rsidR="00267147" w:rsidRPr="00260790" w:rsidRDefault="00267147" w:rsidP="001748C6">
      <w:pPr>
        <w:pStyle w:val="Paragraphedeliste"/>
        <w:numPr>
          <w:ilvl w:val="0"/>
          <w:numId w:val="214"/>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s’assurer</w:t>
      </w:r>
      <w:proofErr w:type="gramEnd"/>
      <w:r w:rsidRPr="00260790">
        <w:rPr>
          <w:rFonts w:ascii="Times New Roman" w:hAnsi="Times New Roman"/>
          <w:color w:val="000000" w:themeColor="text1"/>
        </w:rPr>
        <w:t xml:space="preserve"> que toutes les activités du projet sont compatibles avec les niveaux de sensibilités environnementales et sociales de la zone des travaux et conformes aux exigences réglementaires définies pour sa protection ; </w:t>
      </w:r>
    </w:p>
    <w:p w14:paraId="711B5FC1" w14:textId="77777777" w:rsidR="00267147" w:rsidRPr="00260790" w:rsidRDefault="00267147" w:rsidP="001748C6">
      <w:pPr>
        <w:pStyle w:val="Paragraphedeliste"/>
        <w:numPr>
          <w:ilvl w:val="0"/>
          <w:numId w:val="214"/>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analyser</w:t>
      </w:r>
      <w:proofErr w:type="gramEnd"/>
      <w:r w:rsidRPr="00260790">
        <w:rPr>
          <w:rFonts w:ascii="Times New Roman" w:hAnsi="Times New Roman"/>
          <w:color w:val="000000" w:themeColor="text1"/>
        </w:rPr>
        <w:t xml:space="preserve"> les variantes au projet d’aménagement de base et les étudier en termes d’avantages et d’inconvénients, par rapport à l’environnement et au contexte socioéconomique ; </w:t>
      </w:r>
    </w:p>
    <w:p w14:paraId="42356281" w14:textId="77777777" w:rsidR="00267147" w:rsidRPr="00260790" w:rsidRDefault="00267147" w:rsidP="001748C6">
      <w:pPr>
        <w:pStyle w:val="Paragraphedeliste"/>
        <w:numPr>
          <w:ilvl w:val="0"/>
          <w:numId w:val="214"/>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lastRenderedPageBreak/>
        <w:t>analyser</w:t>
      </w:r>
      <w:proofErr w:type="gramEnd"/>
      <w:r w:rsidRPr="00260790">
        <w:rPr>
          <w:rFonts w:ascii="Times New Roman" w:hAnsi="Times New Roman"/>
          <w:color w:val="000000" w:themeColor="text1"/>
        </w:rPr>
        <w:t xml:space="preserve"> les impacts découlant de toutes les activités du projet et de recommander des actions concrètes pour éviter, minimiser, restaurer ou compenser ces impacts ; </w:t>
      </w:r>
    </w:p>
    <w:p w14:paraId="1510BE37" w14:textId="77777777" w:rsidR="00267147" w:rsidRPr="00260790" w:rsidRDefault="00267147" w:rsidP="001748C6">
      <w:pPr>
        <w:pStyle w:val="Paragraphedeliste"/>
        <w:numPr>
          <w:ilvl w:val="0"/>
          <w:numId w:val="214"/>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évaluer</w:t>
      </w:r>
      <w:proofErr w:type="gramEnd"/>
      <w:r w:rsidRPr="00260790">
        <w:rPr>
          <w:rFonts w:ascii="Times New Roman" w:hAnsi="Times New Roman"/>
          <w:color w:val="000000" w:themeColor="text1"/>
        </w:rPr>
        <w:t xml:space="preserve"> le niveau de pollution et d’insalubrité de la zone des travaux, et proposer un plan/technologie/procédure appropriée de gestion des déchets ;  </w:t>
      </w:r>
    </w:p>
    <w:p w14:paraId="3E5E052B" w14:textId="77777777" w:rsidR="00267147" w:rsidRPr="00260790" w:rsidRDefault="00267147" w:rsidP="001748C6">
      <w:pPr>
        <w:pStyle w:val="Paragraphedeliste"/>
        <w:numPr>
          <w:ilvl w:val="0"/>
          <w:numId w:val="214"/>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identifier</w:t>
      </w:r>
      <w:proofErr w:type="gramEnd"/>
      <w:r w:rsidRPr="00260790">
        <w:rPr>
          <w:rFonts w:ascii="Times New Roman" w:hAnsi="Times New Roman"/>
          <w:color w:val="000000" w:themeColor="text1"/>
        </w:rPr>
        <w:t xml:space="preserve"> et évaluer les risques de sécurité associés aux travaux sur le site du projet analyser les potentiels impacts sociaux ; </w:t>
      </w:r>
    </w:p>
    <w:p w14:paraId="37F91D83" w14:textId="0201F18C" w:rsidR="00267147" w:rsidRPr="00260790" w:rsidRDefault="00267147" w:rsidP="001748C6">
      <w:pPr>
        <w:pStyle w:val="Paragraphedeliste"/>
        <w:numPr>
          <w:ilvl w:val="0"/>
          <w:numId w:val="214"/>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identifier</w:t>
      </w:r>
      <w:proofErr w:type="gramEnd"/>
      <w:r w:rsidRPr="00260790">
        <w:rPr>
          <w:rFonts w:ascii="Times New Roman" w:hAnsi="Times New Roman"/>
          <w:color w:val="000000" w:themeColor="text1"/>
        </w:rPr>
        <w:t xml:space="preserve"> et évaluer les risques d’A</w:t>
      </w:r>
      <w:r w:rsidR="005D3627" w:rsidRPr="00260790">
        <w:rPr>
          <w:rFonts w:ascii="Times New Roman" w:hAnsi="Times New Roman"/>
          <w:color w:val="000000" w:themeColor="text1"/>
        </w:rPr>
        <w:t>E</w:t>
      </w:r>
      <w:r w:rsidRPr="00260790">
        <w:rPr>
          <w:rFonts w:ascii="Times New Roman" w:hAnsi="Times New Roman"/>
          <w:color w:val="000000" w:themeColor="text1"/>
        </w:rPr>
        <w:t>S/HS, qui existent et ceux qui peuvent être générés par les travaux dans la zone d’intervention du projet, par une analyse sociale, et préparer des codes de conduite à intégrer dans les dossiers d’appel d’offres des entreprises, en vue de prévenir et d’atténuer les risques liés aux A</w:t>
      </w:r>
      <w:r w:rsidR="005D3627" w:rsidRPr="00260790">
        <w:rPr>
          <w:rFonts w:ascii="Times New Roman" w:hAnsi="Times New Roman"/>
          <w:color w:val="000000" w:themeColor="text1"/>
        </w:rPr>
        <w:t>E</w:t>
      </w:r>
      <w:r w:rsidRPr="00260790">
        <w:rPr>
          <w:rFonts w:ascii="Times New Roman" w:hAnsi="Times New Roman"/>
          <w:color w:val="000000" w:themeColor="text1"/>
        </w:rPr>
        <w:t xml:space="preserve">S/HS ; </w:t>
      </w:r>
    </w:p>
    <w:p w14:paraId="6AEDEABA" w14:textId="77777777" w:rsidR="00267147" w:rsidRPr="00260790" w:rsidRDefault="00267147" w:rsidP="001748C6">
      <w:pPr>
        <w:pStyle w:val="Paragraphedeliste"/>
        <w:numPr>
          <w:ilvl w:val="0"/>
          <w:numId w:val="214"/>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prendre</w:t>
      </w:r>
      <w:proofErr w:type="gramEnd"/>
      <w:r w:rsidRPr="00260790">
        <w:rPr>
          <w:rFonts w:ascii="Times New Roman" w:hAnsi="Times New Roman"/>
          <w:color w:val="000000" w:themeColor="text1"/>
        </w:rPr>
        <w:t xml:space="preserve"> en compte le volet exploitation /entretien des infrastructures. À cet effet, des informations précises sur les responsabilités dans le suivi et l’entretien des infrastructures devront être </w:t>
      </w:r>
      <w:proofErr w:type="gramStart"/>
      <w:r w:rsidRPr="00260790">
        <w:rPr>
          <w:rFonts w:ascii="Times New Roman" w:hAnsi="Times New Roman"/>
          <w:color w:val="000000" w:themeColor="text1"/>
        </w:rPr>
        <w:t>apportées;</w:t>
      </w:r>
      <w:proofErr w:type="gramEnd"/>
      <w:r w:rsidRPr="00260790">
        <w:rPr>
          <w:rFonts w:ascii="Times New Roman" w:hAnsi="Times New Roman"/>
          <w:color w:val="000000" w:themeColor="text1"/>
        </w:rPr>
        <w:t xml:space="preserve"> </w:t>
      </w:r>
    </w:p>
    <w:p w14:paraId="4452CDFE" w14:textId="63856445" w:rsidR="00F72622" w:rsidRPr="00260790" w:rsidRDefault="00267147" w:rsidP="001748C6">
      <w:pPr>
        <w:pStyle w:val="Paragraphedeliste"/>
        <w:numPr>
          <w:ilvl w:val="0"/>
          <w:numId w:val="214"/>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élaborer</w:t>
      </w:r>
      <w:proofErr w:type="gramEnd"/>
      <w:r w:rsidRPr="00260790">
        <w:rPr>
          <w:rFonts w:ascii="Times New Roman" w:hAnsi="Times New Roman"/>
          <w:color w:val="000000" w:themeColor="text1"/>
        </w:rPr>
        <w:t xml:space="preserve"> le Plan de Gestion Environnementale et Sociale (PGES) qui devra présenter des mesures opérationnelles, réalisables et à coûts efficients, afin de circonscrire les impacts aux différentes phases de réalisation des travaux et de mise en œuvre, en vue d’accroître les bénéfices du Projet ou de réduire à un niveau acceptable les impacts environnementaux et sociaux négatifs. Chaque mesure sera décrite en détail avec des informations techniques qui seront nécessaires pour la mise en œuvre du Projet. Il doit aussi contenir les indicateurs réalistes, mesurables et permettant de vérifier et de suivre l’exécution effective des mesures. </w:t>
      </w:r>
    </w:p>
    <w:p w14:paraId="37B55CD2" w14:textId="77777777" w:rsidR="00267147" w:rsidRPr="00260790" w:rsidRDefault="00267147" w:rsidP="00E20250">
      <w:pPr>
        <w:spacing w:line="240" w:lineRule="auto"/>
        <w:jc w:val="both"/>
        <w:rPr>
          <w:rFonts w:ascii="Times New Roman" w:hAnsi="Times New Roman"/>
          <w:b/>
          <w:bCs/>
          <w:color w:val="000000" w:themeColor="text1"/>
        </w:rPr>
      </w:pPr>
      <w:r w:rsidRPr="00260790">
        <w:rPr>
          <w:rFonts w:ascii="Times New Roman" w:hAnsi="Times New Roman"/>
          <w:b/>
          <w:bCs/>
          <w:color w:val="000000" w:themeColor="text1"/>
        </w:rPr>
        <w:t xml:space="preserve">V. </w:t>
      </w:r>
      <w:r w:rsidRPr="00260790">
        <w:rPr>
          <w:rFonts w:ascii="Times New Roman" w:hAnsi="Times New Roman"/>
          <w:b/>
          <w:bCs/>
          <w:color w:val="000000" w:themeColor="text1"/>
        </w:rPr>
        <w:tab/>
        <w:t xml:space="preserve">CHAMP D’ÉTUDE ET TÂCHES DU CABINET </w:t>
      </w:r>
    </w:p>
    <w:p w14:paraId="43B6AC12"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EIES se feront ainsi en conformité avec les procédures nationales en matière d’évaluation environnementale et sociale, les Normes Environnementales et Sociales (NES) du Cadre Environnemental et Social (CES) de la Banque mondiale et le Cadre de Gestion Environnementale et Sociale (CGES) du PROGEP II.  </w:t>
      </w:r>
    </w:p>
    <w:p w14:paraId="51F408D4"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Elles concerneront les différentes composantes de l'environnement (biophysique, humain, paysager), les aspects sociaux et socioéconomiques (description et types d’habitats, description des conditions de vie, sources de revenus, impacts, groupes vulnérables, y compris les femmes qui sont souvent affectées défavorablement par des projets similaires, etc.) et prendra en compte l’ensemble des sites/zones où des enjeux environnementaux et sociaux pertinents sont susceptibles de se manifester.  </w:t>
      </w:r>
    </w:p>
    <w:p w14:paraId="1A038223"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Cabinet pourra aussi capitaliser les Études d’Impact Environnemental et Social déjà réalisées dans le PROGEP I et le PROGEP II. </w:t>
      </w:r>
    </w:p>
    <w:p w14:paraId="13A43962"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5.1</w:t>
      </w:r>
      <w:r w:rsidRPr="00260790">
        <w:rPr>
          <w:rFonts w:ascii="Times New Roman" w:eastAsia="Arial" w:hAnsi="Times New Roman"/>
          <w:color w:val="000000" w:themeColor="text1"/>
        </w:rPr>
        <w:t xml:space="preserve"> </w:t>
      </w:r>
      <w:r w:rsidRPr="00260790">
        <w:rPr>
          <w:rFonts w:ascii="Times New Roman" w:hAnsi="Times New Roman"/>
          <w:color w:val="000000" w:themeColor="text1"/>
        </w:rPr>
        <w:t xml:space="preserve">Réalisation des Études d’impact environnemental et social </w:t>
      </w:r>
    </w:p>
    <w:p w14:paraId="1E3A0EB7"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5.1.1. Présentation du projet </w:t>
      </w:r>
    </w:p>
    <w:p w14:paraId="3453391B"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Sur la base des études techniques, les études fourniront toutes les données nécessaires à l’identification et à l’évaluation des impacts sur l’environnement aussi bien en phase des travaux qu’en phase de mise en œuvre et d’exploitation.   </w:t>
      </w:r>
    </w:p>
    <w:p w14:paraId="7C582AA4"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 présentation du projet portera notamment sur :  </w:t>
      </w:r>
    </w:p>
    <w:p w14:paraId="5D68D9FA" w14:textId="77777777" w:rsidR="00267147" w:rsidRPr="00260790" w:rsidRDefault="00267147" w:rsidP="001748C6">
      <w:pPr>
        <w:pStyle w:val="Paragraphedeliste"/>
        <w:numPr>
          <w:ilvl w:val="0"/>
          <w:numId w:val="2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le</w:t>
      </w:r>
      <w:proofErr w:type="gramEnd"/>
      <w:r w:rsidRPr="00260790">
        <w:rPr>
          <w:rFonts w:ascii="Times New Roman" w:hAnsi="Times New Roman"/>
          <w:color w:val="000000" w:themeColor="text1"/>
        </w:rPr>
        <w:t xml:space="preserve"> contexte et la description du Projet ; </w:t>
      </w:r>
    </w:p>
    <w:p w14:paraId="1A7F242A" w14:textId="77777777" w:rsidR="00267147" w:rsidRPr="00260790" w:rsidRDefault="00267147" w:rsidP="001748C6">
      <w:pPr>
        <w:pStyle w:val="Paragraphedeliste"/>
        <w:numPr>
          <w:ilvl w:val="0"/>
          <w:numId w:val="2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la</w:t>
      </w:r>
      <w:proofErr w:type="gramEnd"/>
      <w:r w:rsidRPr="00260790">
        <w:rPr>
          <w:rFonts w:ascii="Times New Roman" w:hAnsi="Times New Roman"/>
          <w:color w:val="000000" w:themeColor="text1"/>
        </w:rPr>
        <w:t xml:space="preserve"> description détaillée de la zone concernée (les travaux et les structures associées, les exutoires, etc.) en produisant une carte à la bonne échelle et en établissant les distances entre les aménagements prévus, les établissements humains, les zones protégées (forêt classée, etc.) ou sensibles ;  </w:t>
      </w:r>
    </w:p>
    <w:p w14:paraId="1A9B18A8" w14:textId="77777777" w:rsidR="00267147" w:rsidRPr="00260790" w:rsidRDefault="00267147" w:rsidP="001748C6">
      <w:pPr>
        <w:pStyle w:val="Paragraphedeliste"/>
        <w:numPr>
          <w:ilvl w:val="0"/>
          <w:numId w:val="2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la</w:t>
      </w:r>
      <w:proofErr w:type="gramEnd"/>
      <w:r w:rsidRPr="00260790">
        <w:rPr>
          <w:rFonts w:ascii="Times New Roman" w:hAnsi="Times New Roman"/>
          <w:color w:val="000000" w:themeColor="text1"/>
        </w:rPr>
        <w:t xml:space="preserve"> situation humaine et géographique des sites des travaux, la description des aménagements déjà réalisés, en cours et projetés (voirie, ouvrages, bassins, etc.)  </w:t>
      </w:r>
    </w:p>
    <w:p w14:paraId="4B0D9DC0" w14:textId="77777777" w:rsidR="00267147" w:rsidRPr="00260790" w:rsidRDefault="00267147" w:rsidP="001748C6">
      <w:pPr>
        <w:pStyle w:val="Paragraphedeliste"/>
        <w:numPr>
          <w:ilvl w:val="0"/>
          <w:numId w:val="2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le</w:t>
      </w:r>
      <w:proofErr w:type="gramEnd"/>
      <w:r w:rsidRPr="00260790">
        <w:rPr>
          <w:rFonts w:ascii="Times New Roman" w:hAnsi="Times New Roman"/>
          <w:color w:val="000000" w:themeColor="text1"/>
        </w:rPr>
        <w:t xml:space="preserve"> contexte </w:t>
      </w:r>
      <w:proofErr w:type="gramStart"/>
      <w:r w:rsidRPr="00260790">
        <w:rPr>
          <w:rFonts w:ascii="Times New Roman" w:hAnsi="Times New Roman"/>
          <w:color w:val="000000" w:themeColor="text1"/>
        </w:rPr>
        <w:t>social  par</w:t>
      </w:r>
      <w:proofErr w:type="gramEnd"/>
      <w:r w:rsidRPr="00260790">
        <w:rPr>
          <w:rFonts w:ascii="Times New Roman" w:hAnsi="Times New Roman"/>
          <w:color w:val="000000" w:themeColor="text1"/>
        </w:rPr>
        <w:t xml:space="preserve"> rapport : au taux de la pauvreté, au type d’emploi, aux relations entre les groupes différents </w:t>
      </w:r>
      <w:proofErr w:type="gramStart"/>
      <w:r w:rsidRPr="00260790">
        <w:rPr>
          <w:rFonts w:ascii="Times New Roman" w:hAnsi="Times New Roman"/>
          <w:color w:val="000000" w:themeColor="text1"/>
        </w:rPr>
        <w:t>–  en</w:t>
      </w:r>
      <w:proofErr w:type="gramEnd"/>
      <w:r w:rsidRPr="00260790">
        <w:rPr>
          <w:rFonts w:ascii="Times New Roman" w:hAnsi="Times New Roman"/>
          <w:color w:val="000000" w:themeColor="text1"/>
        </w:rPr>
        <w:t xml:space="preserve"> </w:t>
      </w:r>
      <w:proofErr w:type="gramStart"/>
      <w:r w:rsidRPr="00260790">
        <w:rPr>
          <w:rFonts w:ascii="Times New Roman" w:hAnsi="Times New Roman"/>
          <w:color w:val="000000" w:themeColor="text1"/>
        </w:rPr>
        <w:t>bref  le</w:t>
      </w:r>
      <w:proofErr w:type="gramEnd"/>
      <w:r w:rsidRPr="00260790">
        <w:rPr>
          <w:rFonts w:ascii="Times New Roman" w:hAnsi="Times New Roman"/>
          <w:color w:val="000000" w:themeColor="text1"/>
        </w:rPr>
        <w:t xml:space="preserve"> tissu social de la communauté touchée ;  </w:t>
      </w:r>
    </w:p>
    <w:p w14:paraId="6469BBD8" w14:textId="77777777" w:rsidR="00267147" w:rsidRPr="00260790" w:rsidRDefault="00267147" w:rsidP="001748C6">
      <w:pPr>
        <w:pStyle w:val="Paragraphedeliste"/>
        <w:numPr>
          <w:ilvl w:val="0"/>
          <w:numId w:val="2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la</w:t>
      </w:r>
      <w:proofErr w:type="gramEnd"/>
      <w:r w:rsidRPr="00260790">
        <w:rPr>
          <w:rFonts w:ascii="Times New Roman" w:hAnsi="Times New Roman"/>
          <w:color w:val="000000" w:themeColor="text1"/>
        </w:rPr>
        <w:t xml:space="preserve"> nature et l’importance des infrastructures ;  </w:t>
      </w:r>
    </w:p>
    <w:p w14:paraId="4758394A" w14:textId="77777777" w:rsidR="00267147" w:rsidRPr="00260790" w:rsidRDefault="00267147" w:rsidP="001748C6">
      <w:pPr>
        <w:pStyle w:val="Paragraphedeliste"/>
        <w:numPr>
          <w:ilvl w:val="0"/>
          <w:numId w:val="2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lastRenderedPageBreak/>
        <w:t>les</w:t>
      </w:r>
      <w:proofErr w:type="gramEnd"/>
      <w:r w:rsidRPr="00260790">
        <w:rPr>
          <w:rFonts w:ascii="Times New Roman" w:hAnsi="Times New Roman"/>
          <w:color w:val="000000" w:themeColor="text1"/>
        </w:rPr>
        <w:t xml:space="preserve"> activités de </w:t>
      </w:r>
      <w:proofErr w:type="spellStart"/>
      <w:r w:rsidRPr="00260790">
        <w:rPr>
          <w:rFonts w:ascii="Times New Roman" w:hAnsi="Times New Roman"/>
          <w:color w:val="000000" w:themeColor="text1"/>
        </w:rPr>
        <w:t>préconstruction</w:t>
      </w:r>
      <w:proofErr w:type="spellEnd"/>
      <w:r w:rsidRPr="00260790">
        <w:rPr>
          <w:rFonts w:ascii="Times New Roman" w:hAnsi="Times New Roman"/>
          <w:color w:val="000000" w:themeColor="text1"/>
        </w:rPr>
        <w:t xml:space="preserve"> et de construction y compris les types de matériaux et leur provenance, le matériel et les équipements ainsi que les quantités, la durée des travaux ; -</w:t>
      </w:r>
      <w:r w:rsidRPr="00260790">
        <w:rPr>
          <w:rFonts w:ascii="Times New Roman" w:eastAsia="Arial" w:hAnsi="Times New Roman"/>
          <w:color w:val="000000" w:themeColor="text1"/>
        </w:rPr>
        <w:t xml:space="preserve"> </w:t>
      </w:r>
      <w:r w:rsidRPr="00260790">
        <w:rPr>
          <w:rFonts w:ascii="Times New Roman" w:hAnsi="Times New Roman"/>
          <w:color w:val="000000" w:themeColor="text1"/>
        </w:rPr>
        <w:t xml:space="preserve">les déblais et les remblais ;  </w:t>
      </w:r>
    </w:p>
    <w:p w14:paraId="1E9AB456" w14:textId="77777777" w:rsidR="00267147" w:rsidRPr="00260790" w:rsidRDefault="00267147" w:rsidP="001748C6">
      <w:pPr>
        <w:pStyle w:val="Paragraphedeliste"/>
        <w:numPr>
          <w:ilvl w:val="0"/>
          <w:numId w:val="2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l'installation</w:t>
      </w:r>
      <w:proofErr w:type="gramEnd"/>
      <w:r w:rsidRPr="00260790">
        <w:rPr>
          <w:rFonts w:ascii="Times New Roman" w:hAnsi="Times New Roman"/>
          <w:color w:val="000000" w:themeColor="text1"/>
        </w:rPr>
        <w:t xml:space="preserve"> et le fonctionnement du chantier ; </w:t>
      </w:r>
    </w:p>
    <w:p w14:paraId="300502A9" w14:textId="77777777" w:rsidR="00267147" w:rsidRPr="00260790" w:rsidRDefault="00267147" w:rsidP="001748C6">
      <w:pPr>
        <w:pStyle w:val="Paragraphedeliste"/>
        <w:numPr>
          <w:ilvl w:val="0"/>
          <w:numId w:val="2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le</w:t>
      </w:r>
      <w:proofErr w:type="gramEnd"/>
      <w:r w:rsidRPr="00260790">
        <w:rPr>
          <w:rFonts w:ascii="Times New Roman" w:hAnsi="Times New Roman"/>
          <w:color w:val="000000" w:themeColor="text1"/>
        </w:rPr>
        <w:t xml:space="preserve"> matériel de chantier (indispensable pour la détermination des impacts en phase travaux</w:t>
      </w:r>
      <w:proofErr w:type="gramStart"/>
      <w:r w:rsidRPr="00260790">
        <w:rPr>
          <w:rFonts w:ascii="Times New Roman" w:hAnsi="Times New Roman"/>
          <w:color w:val="000000" w:themeColor="text1"/>
        </w:rPr>
        <w:t>);</w:t>
      </w:r>
      <w:proofErr w:type="gramEnd"/>
      <w:r w:rsidRPr="00260790">
        <w:rPr>
          <w:rFonts w:ascii="Times New Roman" w:hAnsi="Times New Roman"/>
          <w:color w:val="000000" w:themeColor="text1"/>
        </w:rPr>
        <w:t xml:space="preserve"> </w:t>
      </w:r>
    </w:p>
    <w:p w14:paraId="4B43E8CF" w14:textId="77777777" w:rsidR="00267147" w:rsidRPr="00260790" w:rsidRDefault="00267147" w:rsidP="001748C6">
      <w:pPr>
        <w:pStyle w:val="Paragraphedeliste"/>
        <w:numPr>
          <w:ilvl w:val="0"/>
          <w:numId w:val="2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la</w:t>
      </w:r>
      <w:proofErr w:type="gramEnd"/>
      <w:r w:rsidRPr="00260790">
        <w:rPr>
          <w:rFonts w:ascii="Times New Roman" w:hAnsi="Times New Roman"/>
          <w:color w:val="000000" w:themeColor="text1"/>
        </w:rPr>
        <w:t xml:space="preserve"> description des déchets qui seront produits et leur mode de gestion ; </w:t>
      </w:r>
    </w:p>
    <w:p w14:paraId="074717C2" w14:textId="77777777" w:rsidR="00267147" w:rsidRPr="00260790" w:rsidRDefault="00267147" w:rsidP="001748C6">
      <w:pPr>
        <w:pStyle w:val="Paragraphedeliste"/>
        <w:numPr>
          <w:ilvl w:val="0"/>
          <w:numId w:val="2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le</w:t>
      </w:r>
      <w:proofErr w:type="gramEnd"/>
      <w:r w:rsidRPr="00260790">
        <w:rPr>
          <w:rFonts w:ascii="Times New Roman" w:hAnsi="Times New Roman"/>
          <w:color w:val="000000" w:themeColor="text1"/>
        </w:rPr>
        <w:t xml:space="preserve"> transport des intrants et produits ; </w:t>
      </w:r>
    </w:p>
    <w:p w14:paraId="4D6716B0" w14:textId="77777777" w:rsidR="00267147" w:rsidRPr="00260790" w:rsidRDefault="00267147" w:rsidP="001748C6">
      <w:pPr>
        <w:pStyle w:val="Paragraphedeliste"/>
        <w:numPr>
          <w:ilvl w:val="0"/>
          <w:numId w:val="2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le</w:t>
      </w:r>
      <w:proofErr w:type="gramEnd"/>
      <w:r w:rsidRPr="00260790">
        <w:rPr>
          <w:rFonts w:ascii="Times New Roman" w:hAnsi="Times New Roman"/>
          <w:color w:val="000000" w:themeColor="text1"/>
        </w:rPr>
        <w:t xml:space="preserve"> plan de mobilisation du personnel ; </w:t>
      </w:r>
    </w:p>
    <w:p w14:paraId="06DE3409" w14:textId="77777777" w:rsidR="00267147" w:rsidRPr="00260790" w:rsidRDefault="00267147" w:rsidP="001748C6">
      <w:pPr>
        <w:pStyle w:val="Paragraphedeliste"/>
        <w:numPr>
          <w:ilvl w:val="0"/>
          <w:numId w:val="2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les</w:t>
      </w:r>
      <w:proofErr w:type="gramEnd"/>
      <w:r w:rsidRPr="00260790">
        <w:rPr>
          <w:rFonts w:ascii="Times New Roman" w:hAnsi="Times New Roman"/>
          <w:color w:val="000000" w:themeColor="text1"/>
        </w:rPr>
        <w:t xml:space="preserve"> capacités organisationnelles et techniques prévues pour la prise en charge des aspects Hygiène, Santé et sécurité durant les différentes phases du projet et/ou tout autre arrangement prévu avec des structures spécialisées ; </w:t>
      </w:r>
    </w:p>
    <w:p w14:paraId="157EE56F" w14:textId="77777777" w:rsidR="00267147" w:rsidRPr="00260790" w:rsidRDefault="00267147" w:rsidP="001748C6">
      <w:pPr>
        <w:pStyle w:val="Paragraphedeliste"/>
        <w:numPr>
          <w:ilvl w:val="0"/>
          <w:numId w:val="2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l'application</w:t>
      </w:r>
      <w:proofErr w:type="gramEnd"/>
      <w:r w:rsidRPr="00260790">
        <w:rPr>
          <w:rFonts w:ascii="Times New Roman" w:hAnsi="Times New Roman"/>
          <w:color w:val="000000" w:themeColor="text1"/>
        </w:rPr>
        <w:t xml:space="preserve"> des meilleures techniques disponibles et des meilleures pratiques environnementales et sociales ; </w:t>
      </w:r>
    </w:p>
    <w:p w14:paraId="40349496" w14:textId="77777777" w:rsidR="00267147" w:rsidRPr="00260790" w:rsidRDefault="00267147" w:rsidP="001748C6">
      <w:pPr>
        <w:pStyle w:val="Paragraphedeliste"/>
        <w:numPr>
          <w:ilvl w:val="0"/>
          <w:numId w:val="2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le</w:t>
      </w:r>
      <w:proofErr w:type="gramEnd"/>
      <w:r w:rsidRPr="00260790">
        <w:rPr>
          <w:rFonts w:ascii="Times New Roman" w:hAnsi="Times New Roman"/>
          <w:color w:val="000000" w:themeColor="text1"/>
        </w:rPr>
        <w:t xml:space="preserve"> statut juridique du site/de la zone ; </w:t>
      </w:r>
    </w:p>
    <w:p w14:paraId="3C352059" w14:textId="77777777" w:rsidR="00267147" w:rsidRPr="00260790" w:rsidRDefault="00267147" w:rsidP="001748C6">
      <w:pPr>
        <w:pStyle w:val="Paragraphedeliste"/>
        <w:numPr>
          <w:ilvl w:val="0"/>
          <w:numId w:val="215"/>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l’identification</w:t>
      </w:r>
      <w:proofErr w:type="gramEnd"/>
      <w:r w:rsidRPr="00260790">
        <w:rPr>
          <w:rFonts w:ascii="Times New Roman" w:hAnsi="Times New Roman"/>
          <w:color w:val="000000" w:themeColor="text1"/>
        </w:rPr>
        <w:t xml:space="preserve"> et l’analyse des parties prenantes en s’appuyant sur le Plan de mobilisation des Parties Prenantes élaboré dans le cadre de la préparation du Projet, et le Mécanisme de Gestion des plaintes (MGP). </w:t>
      </w:r>
    </w:p>
    <w:p w14:paraId="3654AAEA"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 description du projet devra être accompagnée de pièces graphiques indiquant la situation des sites des travaux, les zones de sensibilité socio-environnementale, les plans d’aménagement, les ouvrages, les bassins, etc., et toutes les composantes du projet.  </w:t>
      </w:r>
    </w:p>
    <w:p w14:paraId="692DA2F4"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5.1.2. Description du cadre juridique et institutionnel </w:t>
      </w:r>
    </w:p>
    <w:p w14:paraId="16D16394"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L’étude analysera le cadre politique, juridique et institutionnel pertinent pour le projet et les contraintes législatives et réglementaires pertinentes relatives à la gestion de l’environnement et des ressources naturelles, l’aménagement et l’urbanisme, la propriété et l’occupation foncières, la santé, la sécurité, l’exploitation des installations techniques et les exigences des conventions internationales ratifiées par le Sénégal. </w:t>
      </w:r>
    </w:p>
    <w:p w14:paraId="79E5DEAF"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consultant (firme) devra insister sur : </w:t>
      </w:r>
    </w:p>
    <w:p w14:paraId="53DAAE26" w14:textId="77777777" w:rsidR="00267147" w:rsidRPr="00260790" w:rsidRDefault="00267147" w:rsidP="001748C6">
      <w:pPr>
        <w:pStyle w:val="Paragraphedeliste"/>
        <w:numPr>
          <w:ilvl w:val="0"/>
          <w:numId w:val="216"/>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l’analyse</w:t>
      </w:r>
      <w:proofErr w:type="gramEnd"/>
      <w:r w:rsidRPr="00260790">
        <w:rPr>
          <w:rFonts w:ascii="Times New Roman" w:hAnsi="Times New Roman"/>
          <w:color w:val="000000" w:themeColor="text1"/>
        </w:rPr>
        <w:t xml:space="preserve"> de la cohérence du projet avec tous les textes législatifs et réglementaires pertinents ainsi que les documents de planification régionale et locale ; </w:t>
      </w:r>
    </w:p>
    <w:p w14:paraId="0757D641" w14:textId="77777777" w:rsidR="00267147" w:rsidRPr="00260790" w:rsidRDefault="00267147" w:rsidP="001748C6">
      <w:pPr>
        <w:pStyle w:val="Paragraphedeliste"/>
        <w:numPr>
          <w:ilvl w:val="0"/>
          <w:numId w:val="216"/>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l’identification</w:t>
      </w:r>
      <w:proofErr w:type="gramEnd"/>
      <w:r w:rsidRPr="00260790">
        <w:rPr>
          <w:rFonts w:ascii="Times New Roman" w:hAnsi="Times New Roman"/>
          <w:color w:val="000000" w:themeColor="text1"/>
        </w:rPr>
        <w:t xml:space="preserve"> et l’analyse des Normes Environnementales et Sociales (NES) du Cadre Environnemental et Social (CES) de la Banque mondiale et des Directives environnementales, sanitaires et sécuritaires du Groupe de la Banque mondiale pertinentes pour le Projet ; </w:t>
      </w:r>
    </w:p>
    <w:p w14:paraId="4FC33C0D" w14:textId="77777777" w:rsidR="00267147" w:rsidRPr="00260790" w:rsidRDefault="00267147" w:rsidP="001748C6">
      <w:pPr>
        <w:pStyle w:val="Paragraphedeliste"/>
        <w:numPr>
          <w:ilvl w:val="0"/>
          <w:numId w:val="216"/>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l’affectation</w:t>
      </w:r>
      <w:proofErr w:type="gramEnd"/>
      <w:r w:rsidRPr="00260790">
        <w:rPr>
          <w:rFonts w:ascii="Times New Roman" w:hAnsi="Times New Roman"/>
          <w:color w:val="000000" w:themeColor="text1"/>
        </w:rPr>
        <w:t xml:space="preserve"> du ou des sites, ainsi que les procédures administratives exigibles en direction des services techniques compétents (Direction du Cadastre, Collectivité(s) territoriale(s) concernée(s), etc.) ; </w:t>
      </w:r>
    </w:p>
    <w:p w14:paraId="0FE3A0A8" w14:textId="77777777" w:rsidR="00267147" w:rsidRPr="00260790" w:rsidRDefault="00267147" w:rsidP="001748C6">
      <w:pPr>
        <w:pStyle w:val="Paragraphedeliste"/>
        <w:numPr>
          <w:ilvl w:val="0"/>
          <w:numId w:val="216"/>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les</w:t>
      </w:r>
      <w:proofErr w:type="gramEnd"/>
      <w:r w:rsidRPr="00260790">
        <w:rPr>
          <w:rFonts w:ascii="Times New Roman" w:hAnsi="Times New Roman"/>
          <w:color w:val="000000" w:themeColor="text1"/>
        </w:rPr>
        <w:t xml:space="preserve"> principales institutions tant nationales que locales, interpellées directement ou indirectement par le projet en examinant aussi leurs mandats et leurs capacités en vue de proposer un programme de renforcement de capacités. </w:t>
      </w:r>
    </w:p>
    <w:p w14:paraId="2A971005"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5.1.3. Description de l’état initial du site </w:t>
      </w:r>
    </w:p>
    <w:p w14:paraId="004E5222"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Cette phase nécessite que soient clairement définies au démarrage de l’étude les limites géographiques concernées par les travaux et la mise en service des aménagements, en veillant notamment à ce que toute la zone d’influence du projet soit prise en compte, les zones protégées, les zones sensibles, les dépressions naturelles, les sites d’emprunt et les bases-vie des entreprises, etc.  </w:t>
      </w:r>
    </w:p>
    <w:p w14:paraId="57B18C4F"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L’analyse de l’état initial de l’environnement portera sur :  </w:t>
      </w:r>
    </w:p>
    <w:p w14:paraId="5160A81D"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i/>
          <w:color w:val="000000" w:themeColor="text1"/>
        </w:rPr>
        <w:t xml:space="preserve">5.2.3.1. Le milieu naturel </w:t>
      </w:r>
    </w:p>
    <w:p w14:paraId="16BAE629"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Dans la description du milieu naturel, les composantes environnementales de base à étudier incluent : </w:t>
      </w:r>
    </w:p>
    <w:p w14:paraId="2F645016"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lastRenderedPageBreak/>
        <w:t xml:space="preserve">La délimitation et la justification de la zone d’étude (zone d’étude restreinte et zone d’étude élargie) en particulier l’identification et la délimitation des sites sensibles ou présentant un intérêt écologique ou économique particulier dans la ou les zones d’étude avec des informations précises sur leur statut ; </w:t>
      </w:r>
    </w:p>
    <w:p w14:paraId="36611D2E"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caractéristiques physiques : climatiques, pédologiques, géomorphologiques, hydrologiques et hydrogéologiques ;  </w:t>
      </w:r>
    </w:p>
    <w:p w14:paraId="46A94899"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éléments biologiques du milieu : espèces végétales et fauniques ; </w:t>
      </w:r>
    </w:p>
    <w:p w14:paraId="6752FC15"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L’analyse de la sensibilité environnementale et sociale du projet et de ses composantes connexes au regard de la sensibilité du milieu, mettant en avant les enjeux environnementaux et sociaux associés au projet. </w:t>
      </w:r>
    </w:p>
    <w:p w14:paraId="3AC52C32"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Des informations précises devront être apportées par le consultant (firme) sur les aptitudes du milieu à accueillir durablement les travaux. </w:t>
      </w:r>
    </w:p>
    <w:p w14:paraId="7D0C673A"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i/>
          <w:color w:val="000000" w:themeColor="text1"/>
        </w:rPr>
        <w:t xml:space="preserve">5.2.3.2. Le milieu humain et socioculturel </w:t>
      </w:r>
    </w:p>
    <w:p w14:paraId="594303F8"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Cette partie concerne les composantes de l’environnement sociologique, économique et culturel du cadre d’accueil. Elle inclut en particulier : </w:t>
      </w:r>
    </w:p>
    <w:p w14:paraId="375C9512"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L’occupation actuelle des sols : avec une présentation générale de l’état actuel de l’occupation des sols, sur l’ensemble de la zone d’impact, occupation à titre permanent ou temporaire, vocation actuelle des sols, nature du patrimoine, et éventuellement situation du foncier, voies de communication passant à proximité de la zone des travaux </w:t>
      </w:r>
    </w:p>
    <w:p w14:paraId="75CFA907" w14:textId="77777777" w:rsidR="00267147" w:rsidRPr="00260790" w:rsidRDefault="00267147" w:rsidP="00E20250">
      <w:p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et</w:t>
      </w:r>
      <w:proofErr w:type="gramEnd"/>
      <w:r w:rsidRPr="00260790">
        <w:rPr>
          <w:rFonts w:ascii="Times New Roman" w:hAnsi="Times New Roman"/>
          <w:color w:val="000000" w:themeColor="text1"/>
        </w:rPr>
        <w:t xml:space="preserve"> les éventuels réseaux existants (SENELEC, SEN’EAU, SONATEL, etc.) ; </w:t>
      </w:r>
    </w:p>
    <w:p w14:paraId="3A947B69"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questions foncières et le statut juridique des sites devant être aménagés ; </w:t>
      </w:r>
    </w:p>
    <w:p w14:paraId="6D4F4D60"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activités socio-économiques actuelles et planifiées dans la zone d’implantation du projet et ses infrastructures connexes avec une analyse des interrelations avec le projet ; </w:t>
      </w:r>
    </w:p>
    <w:p w14:paraId="16583ABD"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équipements et activités de développement prévues ;  </w:t>
      </w:r>
    </w:p>
    <w:p w14:paraId="51D2167D"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 nature et la fonction des espaces riverains (zones classées, aires protégées, zones à vocation administrative, résidence, intérêt culturel, etc.) ; </w:t>
      </w:r>
    </w:p>
    <w:p w14:paraId="03B58B3C"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populations vivant éventuellement sur place (données socio-économiques) et les conditions d’habitation </w:t>
      </w:r>
      <w:proofErr w:type="gramStart"/>
      <w:r w:rsidRPr="00260790">
        <w:rPr>
          <w:rFonts w:ascii="Times New Roman" w:hAnsi="Times New Roman"/>
          <w:color w:val="000000" w:themeColor="text1"/>
        </w:rPr>
        <w:t>;  -</w:t>
      </w:r>
      <w:proofErr w:type="gramEnd"/>
      <w:r w:rsidRPr="00260790">
        <w:rPr>
          <w:rFonts w:ascii="Times New Roman" w:eastAsia="Arial" w:hAnsi="Times New Roman"/>
          <w:color w:val="000000" w:themeColor="text1"/>
        </w:rPr>
        <w:t xml:space="preserve"> </w:t>
      </w:r>
      <w:r w:rsidRPr="00260790">
        <w:rPr>
          <w:rFonts w:ascii="Times New Roman" w:hAnsi="Times New Roman"/>
          <w:color w:val="000000" w:themeColor="text1"/>
        </w:rPr>
        <w:t>La qualité et les modes de vie ; -</w:t>
      </w:r>
      <w:r w:rsidRPr="00260790">
        <w:rPr>
          <w:rFonts w:ascii="Times New Roman" w:eastAsia="Arial" w:hAnsi="Times New Roman"/>
          <w:color w:val="000000" w:themeColor="text1"/>
        </w:rPr>
        <w:t xml:space="preserve"> </w:t>
      </w:r>
      <w:r w:rsidRPr="00260790">
        <w:rPr>
          <w:rFonts w:ascii="Times New Roman" w:hAnsi="Times New Roman"/>
          <w:color w:val="000000" w:themeColor="text1"/>
        </w:rPr>
        <w:t>etc. La description de l’état initial du milieu inclura également une cartographie des différentes composantes du milieu étudié (cartographie de la vulnérabilité des populations migrantes et d’accueil).</w:t>
      </w:r>
      <w:r w:rsidRPr="00260790">
        <w:rPr>
          <w:rFonts w:ascii="Times New Roman" w:eastAsia="Arial" w:hAnsi="Times New Roman"/>
          <w:color w:val="000000" w:themeColor="text1"/>
        </w:rPr>
        <w:t xml:space="preserve"> </w:t>
      </w:r>
      <w:r w:rsidRPr="00260790">
        <w:rPr>
          <w:rFonts w:ascii="Times New Roman" w:hAnsi="Times New Roman"/>
          <w:color w:val="000000" w:themeColor="text1"/>
        </w:rPr>
        <w:t xml:space="preserve"> </w:t>
      </w:r>
    </w:p>
    <w:p w14:paraId="66AB3DC2" w14:textId="46D85165"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i/>
          <w:color w:val="000000" w:themeColor="text1"/>
        </w:rPr>
        <w:t xml:space="preserve">5.2.3.3. Présentation et analyse des variantes </w:t>
      </w:r>
    </w:p>
    <w:p w14:paraId="526D27D2"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Consultant (firme) fera une analyse de variantes des aménagements projetés et les étudiera en termes d’avantages et d’inconvénients par rapport à l’environnement et au contexte socioéconomique. </w:t>
      </w:r>
    </w:p>
    <w:p w14:paraId="78964176"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variantes retenues devront être justifiées et être en cohérence avec la réglementation applicable à la zone d’implantation et les directives contenues dans les réglementations sectorielles. Ces variantes porteront sur les aménagements et équipements prévus, le système d’assainissement, les techniques utilisées, les stratégies et les modes d’aménagement en fonction de la compatibilité des différentes composantes du milieu, la gestion des déchets et autres nuisances, etc.  </w:t>
      </w:r>
    </w:p>
    <w:p w14:paraId="375A5044"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 </w:t>
      </w:r>
    </w:p>
    <w:p w14:paraId="1EC6190C"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Consultant (firme) fera une analyse multicritère (faisabilité technique, coûts et bénéfices économiques, impacts environnementaux et acceptabilité sociale) des variantes pour en proposer une optimale à considérer comme projet à exécuter.  </w:t>
      </w:r>
    </w:p>
    <w:p w14:paraId="0A4F3C9D" w14:textId="77777777" w:rsidR="00FD308E" w:rsidRPr="00260790" w:rsidRDefault="00FD308E">
      <w:pPr>
        <w:spacing w:line="259" w:lineRule="auto"/>
        <w:rPr>
          <w:rFonts w:ascii="Times New Roman" w:hAnsi="Times New Roman"/>
          <w:i/>
          <w:color w:val="000000" w:themeColor="text1"/>
        </w:rPr>
      </w:pPr>
      <w:r w:rsidRPr="00260790">
        <w:rPr>
          <w:rFonts w:ascii="Times New Roman" w:hAnsi="Times New Roman"/>
          <w:i/>
          <w:color w:val="000000" w:themeColor="text1"/>
        </w:rPr>
        <w:br w:type="page"/>
      </w:r>
    </w:p>
    <w:p w14:paraId="282CBD33" w14:textId="3FA07903"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i/>
          <w:color w:val="000000" w:themeColor="text1"/>
        </w:rPr>
        <w:lastRenderedPageBreak/>
        <w:t xml:space="preserve">5.2.3.4. Identification et évaluation des impacts </w:t>
      </w:r>
    </w:p>
    <w:p w14:paraId="0F0D13CD"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L’analyse et l’évaluation des impacts doivent permettre de présenter les conséquences prévisibles, directes, indirectes et potentiellement cumulatives du projet dans ses différentes phases (chantier et exploitation) sur l’environnement biophysique, social et humain dans les limites du périmètre de l’étude. </w:t>
      </w:r>
    </w:p>
    <w:p w14:paraId="03BD6190"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Consultant (firme) fera une analyse de tous les impacts (positifs, négatifs, court terme, long terme, impacts directs et indirects, réversibles et irréversibles, cumulatifs) des activités liées au projet et ses aménagements connexes.  </w:t>
      </w:r>
    </w:p>
    <w:p w14:paraId="13548CBC"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 détermination des impacts devra se faire dans les phases de préparation, de travaux et d’exploitation. </w:t>
      </w:r>
    </w:p>
    <w:p w14:paraId="2DA7BD59"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Concrètement, il s’agira d’identifier les impacts en mettant un accent particulier sur : </w:t>
      </w:r>
    </w:p>
    <w:p w14:paraId="1717C9E3" w14:textId="77777777" w:rsidR="00267147" w:rsidRPr="00260790" w:rsidRDefault="00267147" w:rsidP="001748C6">
      <w:pPr>
        <w:pStyle w:val="Paragraphedeliste"/>
        <w:numPr>
          <w:ilvl w:val="0"/>
          <w:numId w:val="217"/>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 localisation cadastrale complète et le zonage des terrains touchés ; </w:t>
      </w:r>
    </w:p>
    <w:p w14:paraId="06A8D90B" w14:textId="77777777" w:rsidR="00267147" w:rsidRPr="00260790" w:rsidRDefault="00267147" w:rsidP="001748C6">
      <w:pPr>
        <w:pStyle w:val="Paragraphedeliste"/>
        <w:numPr>
          <w:ilvl w:val="0"/>
          <w:numId w:val="217"/>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 perturbation de l’utilisation actuelle et prévue des ressources naturelles ; </w:t>
      </w:r>
    </w:p>
    <w:p w14:paraId="169B2ABA" w14:textId="77777777" w:rsidR="00267147" w:rsidRPr="00260790" w:rsidRDefault="00267147" w:rsidP="001748C6">
      <w:pPr>
        <w:pStyle w:val="Paragraphedeliste"/>
        <w:numPr>
          <w:ilvl w:val="0"/>
          <w:numId w:val="217"/>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 modification de la vocation agricole ou forestière du ou des sites, pertes en superficie et en valeur économique des terres, la signification de ces pertes dans le cadre des activités économiques ou forestières de la collectivité locale concernée ; </w:t>
      </w:r>
    </w:p>
    <w:p w14:paraId="59C2F018" w14:textId="77777777" w:rsidR="00267147" w:rsidRPr="00260790" w:rsidRDefault="00267147" w:rsidP="001748C6">
      <w:pPr>
        <w:pStyle w:val="Paragraphedeliste"/>
        <w:numPr>
          <w:ilvl w:val="0"/>
          <w:numId w:val="217"/>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impacts sociaux, des travaux sur le mode de vie, la culture et les relations communautaires ; </w:t>
      </w:r>
    </w:p>
    <w:p w14:paraId="2681B059" w14:textId="77777777" w:rsidR="00267147" w:rsidRPr="00260790" w:rsidRDefault="00267147" w:rsidP="001748C6">
      <w:pPr>
        <w:pStyle w:val="Paragraphedeliste"/>
        <w:numPr>
          <w:ilvl w:val="0"/>
          <w:numId w:val="217"/>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retombées économiques locales et régionales associées et d’autres impacts économiques pour les populations (possibilités de création d’emploi, développement des services publics connexes, valorisation des terres et des propriétés, etc.) comme pour les entreprises (produits concernés, économies possibles, etc.) et les revenus des collectivités locales ; </w:t>
      </w:r>
    </w:p>
    <w:p w14:paraId="585701D3" w14:textId="77777777" w:rsidR="00267147" w:rsidRPr="00260790" w:rsidRDefault="00267147" w:rsidP="001748C6">
      <w:pPr>
        <w:pStyle w:val="Paragraphedeliste"/>
        <w:numPr>
          <w:ilvl w:val="0"/>
          <w:numId w:val="217"/>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 sécurité des populations installées de manière anarchique dans les bas-fonds (exposés aux inondations) ; </w:t>
      </w:r>
    </w:p>
    <w:p w14:paraId="1CEDDE09" w14:textId="77777777" w:rsidR="00267147" w:rsidRPr="00260790" w:rsidRDefault="00267147" w:rsidP="001748C6">
      <w:pPr>
        <w:pStyle w:val="Paragraphedeliste"/>
        <w:numPr>
          <w:ilvl w:val="0"/>
          <w:numId w:val="217"/>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morcellement des lotissements, des propriétés et des expropriations ; </w:t>
      </w:r>
    </w:p>
    <w:p w14:paraId="6C6BC5B3" w14:textId="77777777" w:rsidR="00267147" w:rsidRPr="00260790" w:rsidRDefault="00267147" w:rsidP="001748C6">
      <w:pPr>
        <w:pStyle w:val="Paragraphedeliste"/>
        <w:numPr>
          <w:ilvl w:val="0"/>
          <w:numId w:val="217"/>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L'hygiène et la salubrité en rapport avec les déchets générés ; </w:t>
      </w:r>
    </w:p>
    <w:p w14:paraId="7D8C5A56" w14:textId="77777777" w:rsidR="00267147" w:rsidRPr="00260790" w:rsidRDefault="00267147" w:rsidP="001748C6">
      <w:pPr>
        <w:pStyle w:val="Paragraphedeliste"/>
        <w:numPr>
          <w:ilvl w:val="0"/>
          <w:numId w:val="217"/>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autres sources d’impacts (activités du projet qui génèrent un impact sur l’environnement et l’humain, que ce soit pendant les travaux ou pendant l’exploitation) ; </w:t>
      </w:r>
    </w:p>
    <w:p w14:paraId="0C728E41" w14:textId="77777777" w:rsidR="00267147" w:rsidRPr="00260790" w:rsidRDefault="00267147" w:rsidP="001748C6">
      <w:pPr>
        <w:pStyle w:val="Paragraphedeliste"/>
        <w:numPr>
          <w:ilvl w:val="0"/>
          <w:numId w:val="217"/>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récepteurs d’impacts (éléments physiques, biologiques, populations, leur cadre de vie et leurs activités, y compris économiques, etc., susceptibles d’être impactés) ; </w:t>
      </w:r>
    </w:p>
    <w:p w14:paraId="21C81494" w14:textId="4D8737D8"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impacts positifs ou négatifs, directs ou indirects, à moyen et long terme sur le patrimoine culturel et historique, la qualité de l’eau, la qualité de l’air, l’environnement acoustique, la faune et la flore, les us et coutumes des populations locales, les impacts liés aux risques d’accidents, de nuisances et de modifications du cadre de vie, les risques de pollutions, l’hygiène, la santé et la sécurité des travailleurs et des riverains, etc. </w:t>
      </w:r>
    </w:p>
    <w:p w14:paraId="13CA37C0"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Impacts environnementaux, notamment sur (liste non exhaustive) la qualité des eaux des bassins de rétention, des eaux marines, des exutoires prévus, la faune et flore marine, l’environnement, etc. Lorsque les impacts sur la biodiversité sont significatifs, un Plan de Gestion de la Biodiversité sera élaboré pour la gestion des risques environnementaux potentiels associés aux différents types d’activités, y compris les travaux qui peuvent avoir un impact négatif sur les fonctions écologiques des habitats ;  </w:t>
      </w:r>
    </w:p>
    <w:p w14:paraId="4FC98D40"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Impacts à long terme pour les populations avoisinantes : la modification du cadre de vie et la perte d’activités économiques traditionnelles, notamment les impacts sur l’activité agricole, et ses dérivés, sur les couches vulnérables, défigurations du paysage et de l’harmonie du site, sécurité des populations, pertes ou restrictions d’accès (par exemple en lien avec la réduction d’espaces utilisés pour les travaux), impact sur le drainage des eaux de ruissellement ; </w:t>
      </w:r>
    </w:p>
    <w:p w14:paraId="023CBB8D"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Gênes, risques, et opportunités générés par les travaux pour les populations avoisinantes : destruction d’habitats (nécessitant réinstallation), destruction de voirie, restriction d’espace urbain (base chantier, aires de stockage), perturbation de la circulation, perturbation des activités socio - économiques, perturbation de la mobilité, nuisances sonores, détérioration de la qualité de l’air (poussières, pollution), risques d'accident et entraves à la mobilité des riverains, respect de la RSE et politique de recrutement de la main-d’œuvre locale ; </w:t>
      </w:r>
    </w:p>
    <w:p w14:paraId="6EF3C7E4"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lastRenderedPageBreak/>
        <w:t xml:space="preserve">Risques chantier classiques potentiellement aggravés par la proximité de l’environnement marin : rejet d’effluents, gestion des déchets solides, santé et sécurité des travailleurs et conditions de travail. </w:t>
      </w:r>
    </w:p>
    <w:p w14:paraId="19487476"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Dans l’analyse des impacts, un accent particulier devra être accordé aux zones protégées et à tous les écosystèmes sensibles. Afin de mieux visualiser les effets des travaux sur l’environnement, un tableau d’identification des impacts par période du projet (préparation, chantier et mise en service des ouvrages) et indiquant les milieux affectés devra être présenté. </w:t>
      </w:r>
    </w:p>
    <w:p w14:paraId="5E7E09E0"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projet devant entrainer une restriction d’accès aux activités socioéconomiques, le Consultant procèdera à une évaluation sociale pour clarifier et identifier les impacts sociaux et économiques lors des travaux et de la mise en service des ouvrages de protection. Il proposera également des mesures d’accompagnement (déplacement des activités, co-construction de solutions avec les personnes affectées) pour la période transitoire de mise en œuvre des travaux. </w:t>
      </w:r>
    </w:p>
    <w:p w14:paraId="57001687"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L’étude déterminera les impacts les plus significatifs à travers une matrice d’identification d’impacts. La caractérisation des impacts devra se faire en utilisant les critères suivants (liste non exhaustive) :  </w:t>
      </w:r>
    </w:p>
    <w:p w14:paraId="396D0C4A" w14:textId="77777777" w:rsidR="00267147" w:rsidRPr="00260790" w:rsidRDefault="00267147" w:rsidP="001748C6">
      <w:pPr>
        <w:pStyle w:val="Paragraphedeliste"/>
        <w:numPr>
          <w:ilvl w:val="0"/>
          <w:numId w:val="201"/>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nature</w:t>
      </w:r>
      <w:proofErr w:type="gramEnd"/>
      <w:r w:rsidRPr="00260790">
        <w:rPr>
          <w:rFonts w:ascii="Times New Roman" w:hAnsi="Times New Roman"/>
          <w:color w:val="000000" w:themeColor="text1"/>
        </w:rPr>
        <w:t xml:space="preserve"> </w:t>
      </w:r>
    </w:p>
    <w:p w14:paraId="277D4528" w14:textId="77777777" w:rsidR="00267147" w:rsidRPr="00260790" w:rsidRDefault="00267147" w:rsidP="001748C6">
      <w:pPr>
        <w:pStyle w:val="Paragraphedeliste"/>
        <w:numPr>
          <w:ilvl w:val="0"/>
          <w:numId w:val="201"/>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Importance  </w:t>
      </w:r>
    </w:p>
    <w:p w14:paraId="0BD2D3F2" w14:textId="77777777" w:rsidR="00267147" w:rsidRPr="00260790" w:rsidRDefault="00267147" w:rsidP="001748C6">
      <w:pPr>
        <w:pStyle w:val="Paragraphedeliste"/>
        <w:numPr>
          <w:ilvl w:val="0"/>
          <w:numId w:val="201"/>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Réversibilité  </w:t>
      </w:r>
    </w:p>
    <w:p w14:paraId="3219982C" w14:textId="77777777" w:rsidR="00267147" w:rsidRPr="00260790" w:rsidRDefault="00267147" w:rsidP="001748C6">
      <w:pPr>
        <w:pStyle w:val="Paragraphedeliste"/>
        <w:numPr>
          <w:ilvl w:val="0"/>
          <w:numId w:val="201"/>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Délai d’apparition  </w:t>
      </w:r>
    </w:p>
    <w:p w14:paraId="1AEF9EBD" w14:textId="77777777" w:rsidR="00267147" w:rsidRPr="00260790" w:rsidRDefault="00267147" w:rsidP="001748C6">
      <w:pPr>
        <w:pStyle w:val="Paragraphedeliste"/>
        <w:numPr>
          <w:ilvl w:val="0"/>
          <w:numId w:val="201"/>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Probabilité d’occurrence  </w:t>
      </w:r>
    </w:p>
    <w:p w14:paraId="75A96876" w14:textId="77777777" w:rsidR="00267147" w:rsidRPr="00260790" w:rsidRDefault="00267147" w:rsidP="001748C6">
      <w:pPr>
        <w:pStyle w:val="Paragraphedeliste"/>
        <w:numPr>
          <w:ilvl w:val="0"/>
          <w:numId w:val="201"/>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possibilité</w:t>
      </w:r>
      <w:proofErr w:type="gramEnd"/>
      <w:r w:rsidRPr="00260790">
        <w:rPr>
          <w:rFonts w:ascii="Times New Roman" w:hAnsi="Times New Roman"/>
          <w:color w:val="000000" w:themeColor="text1"/>
        </w:rPr>
        <w:t xml:space="preserve"> d’évitement, etc.  </w:t>
      </w:r>
    </w:p>
    <w:p w14:paraId="729EA430" w14:textId="77777777" w:rsidR="00C6698E"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Par ailleurs, une attention particulière devra être accordée sur tous les éléments/facteurs pouvant entraîner un effet cumulatif pour en tirer toutes les conclusions et recommandations nécessaires.</w:t>
      </w:r>
      <w:r w:rsidRPr="00260790">
        <w:rPr>
          <w:rFonts w:ascii="Times New Roman" w:hAnsi="Times New Roman"/>
          <w:b/>
          <w:color w:val="000000" w:themeColor="text1"/>
        </w:rPr>
        <w:t xml:space="preserve">   </w:t>
      </w:r>
      <w:r w:rsidRPr="00260790">
        <w:rPr>
          <w:rFonts w:ascii="Times New Roman" w:hAnsi="Times New Roman"/>
          <w:color w:val="000000" w:themeColor="text1"/>
        </w:rPr>
        <w:t xml:space="preserve">Le consultant devra s’assurer que ces impacts sont évalués et des mesures d’atténuation appropriées et efficaces sont prises pour conserver autant que possible les populations locales.  </w:t>
      </w:r>
    </w:p>
    <w:p w14:paraId="0E5306CA" w14:textId="6F24D224"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Elle devra également prendre en compte tous les projets en cours de réalisation ou prévus dans la zone, afin d’analyser leur cohérence et compatibilité. </w:t>
      </w:r>
    </w:p>
    <w:p w14:paraId="2238364C"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5.1.3. Étude de dangers  </w:t>
      </w:r>
    </w:p>
    <w:p w14:paraId="6187BCF3"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L’étude de dangers comportera une évaluation exhaustive des risques en fonction des différentes composantes et phases du projet. L’objectif est d’identifier et d’évaluer les risques en rapport avec les activités envisagées, de manière à identifier et à proposer des mesures de prévention adaptées et efficaces, permettant de maintenir la sécurité des aménagements et de l’environnement (humain, etc.) à un niveau acceptable. </w:t>
      </w:r>
    </w:p>
    <w:p w14:paraId="5E5E67AA"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consultant devra donner pour chaque scénario les défaillances, les causes et conséquences de chaque phénomène ainsi que l’occurrence initiale, la gravité initiale, le risque initial, les barrières de prévention, l’occurrence finale, les barrières de protection, la gravité finale, le risque final et enfin, le scénario résiduel et la cinétique. Toutes les mesures énoncées devront être justifiées.  Il devra également préparer une cartographie précise des zones de dangers. </w:t>
      </w:r>
    </w:p>
    <w:p w14:paraId="66BBDA51"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5.1.4. Plan de Mobilisation des parties prenantes </w:t>
      </w:r>
    </w:p>
    <w:p w14:paraId="4FB35567"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Consultant s’appuiera sur le Plan de mobilisation des parties prenantes (PMPP) préparé par le Projet, pour favoriser l’engagement des parties prenantes, qui prendra en compte : </w:t>
      </w:r>
    </w:p>
    <w:p w14:paraId="2DE0338D" w14:textId="77777777" w:rsidR="00267147" w:rsidRPr="00260790" w:rsidRDefault="00267147" w:rsidP="001748C6">
      <w:pPr>
        <w:pStyle w:val="Paragraphedeliste"/>
        <w:numPr>
          <w:ilvl w:val="0"/>
          <w:numId w:val="202"/>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les</w:t>
      </w:r>
      <w:proofErr w:type="gramEnd"/>
      <w:r w:rsidRPr="00260790">
        <w:rPr>
          <w:rFonts w:ascii="Times New Roman" w:hAnsi="Times New Roman"/>
          <w:color w:val="000000" w:themeColor="text1"/>
        </w:rPr>
        <w:t xml:space="preserve"> objectifs des consultations des parties prenantes ; </w:t>
      </w:r>
    </w:p>
    <w:p w14:paraId="0D26679E" w14:textId="77777777" w:rsidR="00267147" w:rsidRPr="00260790" w:rsidRDefault="00267147" w:rsidP="001748C6">
      <w:pPr>
        <w:pStyle w:val="Paragraphedeliste"/>
        <w:numPr>
          <w:ilvl w:val="0"/>
          <w:numId w:val="202"/>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l’identification</w:t>
      </w:r>
      <w:proofErr w:type="gramEnd"/>
      <w:r w:rsidRPr="00260790">
        <w:rPr>
          <w:rFonts w:ascii="Times New Roman" w:hAnsi="Times New Roman"/>
          <w:color w:val="000000" w:themeColor="text1"/>
        </w:rPr>
        <w:t xml:space="preserve"> et l’analyse des parties prenantes, en distinguant celles « affectées » par le projet de celles « intéressées » par le projet ; </w:t>
      </w:r>
    </w:p>
    <w:p w14:paraId="1561BF24" w14:textId="77777777" w:rsidR="00267147" w:rsidRPr="00260790" w:rsidRDefault="00267147" w:rsidP="001748C6">
      <w:pPr>
        <w:pStyle w:val="Paragraphedeliste"/>
        <w:numPr>
          <w:ilvl w:val="0"/>
          <w:numId w:val="202"/>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la</w:t>
      </w:r>
      <w:proofErr w:type="gramEnd"/>
      <w:r w:rsidRPr="00260790">
        <w:rPr>
          <w:rFonts w:ascii="Times New Roman" w:hAnsi="Times New Roman"/>
          <w:color w:val="000000" w:themeColor="text1"/>
        </w:rPr>
        <w:t xml:space="preserve"> méthodologie des consultations ; </w:t>
      </w:r>
    </w:p>
    <w:p w14:paraId="61EE7808" w14:textId="77777777" w:rsidR="00267147" w:rsidRPr="00260790" w:rsidRDefault="00267147" w:rsidP="001748C6">
      <w:pPr>
        <w:pStyle w:val="Paragraphedeliste"/>
        <w:numPr>
          <w:ilvl w:val="0"/>
          <w:numId w:val="202"/>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le</w:t>
      </w:r>
      <w:proofErr w:type="gramEnd"/>
      <w:r w:rsidRPr="00260790">
        <w:rPr>
          <w:rFonts w:ascii="Times New Roman" w:hAnsi="Times New Roman"/>
          <w:color w:val="000000" w:themeColor="text1"/>
        </w:rPr>
        <w:t xml:space="preserve"> planning : état des consultations réalisées et planning des consultations prévues tout au long du projet ; </w:t>
      </w:r>
    </w:p>
    <w:p w14:paraId="147FAE57" w14:textId="77777777" w:rsidR="00267147" w:rsidRPr="00260790" w:rsidRDefault="00267147" w:rsidP="001748C6">
      <w:pPr>
        <w:pStyle w:val="Paragraphedeliste"/>
        <w:numPr>
          <w:ilvl w:val="0"/>
          <w:numId w:val="202"/>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la</w:t>
      </w:r>
      <w:proofErr w:type="gramEnd"/>
      <w:r w:rsidRPr="00260790">
        <w:rPr>
          <w:rFonts w:ascii="Times New Roman" w:hAnsi="Times New Roman"/>
          <w:color w:val="000000" w:themeColor="text1"/>
        </w:rPr>
        <w:t xml:space="preserve"> diffusion de l’information concernant le projet auprès des parties prenantes ; </w:t>
      </w:r>
    </w:p>
    <w:p w14:paraId="014FF482" w14:textId="77777777" w:rsidR="00267147" w:rsidRPr="00260790" w:rsidRDefault="00267147" w:rsidP="001748C6">
      <w:pPr>
        <w:pStyle w:val="Paragraphedeliste"/>
        <w:numPr>
          <w:ilvl w:val="0"/>
          <w:numId w:val="202"/>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lastRenderedPageBreak/>
        <w:t>les</w:t>
      </w:r>
      <w:proofErr w:type="gramEnd"/>
      <w:r w:rsidRPr="00260790">
        <w:rPr>
          <w:rFonts w:ascii="Times New Roman" w:hAnsi="Times New Roman"/>
          <w:color w:val="000000" w:themeColor="text1"/>
        </w:rPr>
        <w:t xml:space="preserve"> résultats de la consultation : synthèse des ajustements de la conception du projet pour tenir compte des observations et demandes recueillies auprès des parties </w:t>
      </w:r>
      <w:proofErr w:type="gramStart"/>
      <w:r w:rsidRPr="00260790">
        <w:rPr>
          <w:rFonts w:ascii="Times New Roman" w:hAnsi="Times New Roman"/>
          <w:color w:val="000000" w:themeColor="text1"/>
        </w:rPr>
        <w:t>prenantes  et</w:t>
      </w:r>
      <w:proofErr w:type="gramEnd"/>
      <w:r w:rsidRPr="00260790">
        <w:rPr>
          <w:rFonts w:ascii="Times New Roman" w:hAnsi="Times New Roman"/>
          <w:color w:val="000000" w:themeColor="text1"/>
        </w:rPr>
        <w:t xml:space="preserve"> des contraintes qui s’opposent à l’atteinte des objectifs liée aux consultations ; </w:t>
      </w:r>
    </w:p>
    <w:p w14:paraId="7363DBD7" w14:textId="48DF156F" w:rsidR="00267147" w:rsidRPr="00260790" w:rsidRDefault="00267147" w:rsidP="001748C6">
      <w:pPr>
        <w:pStyle w:val="Paragraphedeliste"/>
        <w:numPr>
          <w:ilvl w:val="0"/>
          <w:numId w:val="202"/>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le</w:t>
      </w:r>
      <w:proofErr w:type="gramEnd"/>
      <w:r w:rsidRPr="00260790">
        <w:rPr>
          <w:rFonts w:ascii="Times New Roman" w:hAnsi="Times New Roman"/>
          <w:color w:val="000000" w:themeColor="text1"/>
        </w:rPr>
        <w:t xml:space="preserve"> mécanisme de gestion des plaintes pour répondre aux préoccupations des parties prenantes, recevoir les plaintes, faciliter leur règlement et assurer le suivi. En ce qui concerne les plaintes liées aux A</w:t>
      </w:r>
      <w:r w:rsidR="005D3627" w:rsidRPr="00260790">
        <w:rPr>
          <w:rFonts w:ascii="Times New Roman" w:hAnsi="Times New Roman"/>
          <w:color w:val="000000" w:themeColor="text1"/>
        </w:rPr>
        <w:t>E</w:t>
      </w:r>
      <w:r w:rsidRPr="00260790">
        <w:rPr>
          <w:rFonts w:ascii="Times New Roman" w:hAnsi="Times New Roman"/>
          <w:color w:val="000000" w:themeColor="text1"/>
        </w:rPr>
        <w:t>S/HS, recueillir les avis et propositions des femmes et des jeunes filles sur les portes d’entrée les plus accessibles et sûres pour signaler/déposer une plainte en cas de A</w:t>
      </w:r>
      <w:r w:rsidR="005D3627" w:rsidRPr="00260790">
        <w:rPr>
          <w:rFonts w:ascii="Times New Roman" w:hAnsi="Times New Roman"/>
          <w:color w:val="000000" w:themeColor="text1"/>
        </w:rPr>
        <w:t>E</w:t>
      </w:r>
      <w:r w:rsidRPr="00260790">
        <w:rPr>
          <w:rFonts w:ascii="Times New Roman" w:hAnsi="Times New Roman"/>
          <w:color w:val="000000" w:themeColor="text1"/>
        </w:rPr>
        <w:t xml:space="preserve">S/HS ; </w:t>
      </w:r>
    </w:p>
    <w:p w14:paraId="58F5C549" w14:textId="77777777" w:rsidR="00267147" w:rsidRPr="00260790" w:rsidRDefault="00267147" w:rsidP="001748C6">
      <w:pPr>
        <w:pStyle w:val="Paragraphedeliste"/>
        <w:numPr>
          <w:ilvl w:val="0"/>
          <w:numId w:val="202"/>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les</w:t>
      </w:r>
      <w:proofErr w:type="gramEnd"/>
      <w:r w:rsidRPr="00260790">
        <w:rPr>
          <w:rFonts w:ascii="Times New Roman" w:hAnsi="Times New Roman"/>
          <w:color w:val="000000" w:themeColor="text1"/>
        </w:rPr>
        <w:t xml:space="preserve"> modalités de communication auprès des parties prenantes sur la prise en compte ou non de leurs observations, demandes et plaintes. </w:t>
      </w:r>
    </w:p>
    <w:p w14:paraId="679E6266" w14:textId="77777777" w:rsidR="00267147" w:rsidRPr="00260790" w:rsidRDefault="00267147" w:rsidP="001748C6">
      <w:pPr>
        <w:pStyle w:val="Paragraphedeliste"/>
        <w:numPr>
          <w:ilvl w:val="0"/>
          <w:numId w:val="202"/>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II s’assurera que les parties prenantes soient consultées et participent à la mise en œuvre des activités pendant toute la durée des travaux et aient des informations adaptées à la nature de leurs intérêts et aux risques et effets environnementaux et sociaux potentiels du projet. </w:t>
      </w:r>
    </w:p>
    <w:p w14:paraId="4231DDF0" w14:textId="77777777" w:rsidR="00267147" w:rsidRPr="00260790" w:rsidRDefault="00267147" w:rsidP="001748C6">
      <w:pPr>
        <w:pStyle w:val="Paragraphedeliste"/>
        <w:numPr>
          <w:ilvl w:val="0"/>
          <w:numId w:val="202"/>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Il s’agira aussi de : </w:t>
      </w:r>
    </w:p>
    <w:p w14:paraId="0E1C15D5" w14:textId="77777777" w:rsidR="00267147" w:rsidRPr="00260790" w:rsidRDefault="00267147" w:rsidP="001748C6">
      <w:pPr>
        <w:pStyle w:val="Paragraphedeliste"/>
        <w:numPr>
          <w:ilvl w:val="0"/>
          <w:numId w:val="202"/>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identifier</w:t>
      </w:r>
      <w:proofErr w:type="gramEnd"/>
      <w:r w:rsidRPr="00260790">
        <w:rPr>
          <w:rFonts w:ascii="Times New Roman" w:hAnsi="Times New Roman"/>
          <w:color w:val="000000" w:themeColor="text1"/>
        </w:rPr>
        <w:t xml:space="preserve"> les contraintes limitant la participation des différentes catégories de personnes affectées par le projet, en distinguant les contraintes des hommes et des femmes, mais aussi des personnes vulnérables ; </w:t>
      </w:r>
    </w:p>
    <w:p w14:paraId="667E5774" w14:textId="77777777" w:rsidR="00267147" w:rsidRPr="00260790" w:rsidRDefault="00267147" w:rsidP="001748C6">
      <w:pPr>
        <w:pStyle w:val="Paragraphedeliste"/>
        <w:numPr>
          <w:ilvl w:val="0"/>
          <w:numId w:val="202"/>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définir</w:t>
      </w:r>
      <w:proofErr w:type="gramEnd"/>
      <w:r w:rsidRPr="00260790">
        <w:rPr>
          <w:rFonts w:ascii="Times New Roman" w:hAnsi="Times New Roman"/>
          <w:color w:val="000000" w:themeColor="text1"/>
        </w:rPr>
        <w:t xml:space="preserve"> les modes de consultation adaptés à ces différentes contraintes ; </w:t>
      </w:r>
    </w:p>
    <w:p w14:paraId="17EDFD7F" w14:textId="77777777" w:rsidR="00267147" w:rsidRPr="00260790" w:rsidRDefault="00267147" w:rsidP="001748C6">
      <w:pPr>
        <w:pStyle w:val="Paragraphedeliste"/>
        <w:numPr>
          <w:ilvl w:val="0"/>
          <w:numId w:val="202"/>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assurer</w:t>
      </w:r>
      <w:proofErr w:type="gramEnd"/>
      <w:r w:rsidRPr="00260790">
        <w:rPr>
          <w:rFonts w:ascii="Times New Roman" w:hAnsi="Times New Roman"/>
          <w:color w:val="000000" w:themeColor="text1"/>
        </w:rPr>
        <w:t xml:space="preserve"> et documenter la participation des femmes et des personnes vulnérables aux processus de consultation publique et aux processus de décision ; </w:t>
      </w:r>
    </w:p>
    <w:p w14:paraId="2022AA62" w14:textId="77777777" w:rsidR="00267147" w:rsidRPr="00260790" w:rsidRDefault="00267147" w:rsidP="001748C6">
      <w:pPr>
        <w:pStyle w:val="Paragraphedeliste"/>
        <w:numPr>
          <w:ilvl w:val="0"/>
          <w:numId w:val="202"/>
        </w:numPr>
        <w:spacing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documenter</w:t>
      </w:r>
      <w:proofErr w:type="gramEnd"/>
      <w:r w:rsidRPr="00260790">
        <w:rPr>
          <w:rFonts w:ascii="Times New Roman" w:hAnsi="Times New Roman"/>
          <w:color w:val="000000" w:themeColor="text1"/>
        </w:rPr>
        <w:t xml:space="preserve"> les attentes des différentes catégories de personnes affectées par le projet, en distinguant celles des hommes et celles des femmes.  </w:t>
      </w:r>
    </w:p>
    <w:p w14:paraId="31E08EBA" w14:textId="4B0DC20B"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L’Étude définira clairement les rôles, les responsabilités et les attributions et désignera les personnes qui seront chargées de la mise en œuvre et du suivi des activités de mobilisation des parties prenantes en conformité avec les lois et réglementations nationales, ainsi que les dispositions du CES de la Banque mondiale. </w:t>
      </w:r>
    </w:p>
    <w:p w14:paraId="0ED03A48"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5.1.5. Plan de Gestion et de Suivi Environnementale et Sociale </w:t>
      </w:r>
    </w:p>
    <w:p w14:paraId="6558A549"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i/>
          <w:color w:val="000000" w:themeColor="text1"/>
        </w:rPr>
        <w:t xml:space="preserve">5.1.5.1. Plan de Gestion Environnementale et Sociale </w:t>
      </w:r>
    </w:p>
    <w:p w14:paraId="1BC37779"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consultant devra élaborer des PGES qui feront partie intégrante des EIES. Il présentera l’ensemble des mesures d’atténuation à prendre pour éliminer les impacts négatifs issus des travaux du bassin versant de Mbao durant les différentes phases (installation, travaux, exploitation) ou les ramener à un niveau acceptable. Chaque mesure sera décrite en détail avec des informations techniques qui seront nécessaires pour comprendre les enjeux de sa mise en œuvre. </w:t>
      </w:r>
    </w:p>
    <w:p w14:paraId="34CB245D" w14:textId="28477F65"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Le consultant (firme) fera le recensement et le résumé de tous les risques et impacts environnementaux et sociaux négatifs envisagés, y compris les A</w:t>
      </w:r>
      <w:r w:rsidR="005D3627" w:rsidRPr="00260790">
        <w:rPr>
          <w:rFonts w:ascii="Times New Roman" w:hAnsi="Times New Roman"/>
          <w:color w:val="000000" w:themeColor="text1"/>
        </w:rPr>
        <w:t>E</w:t>
      </w:r>
      <w:r w:rsidRPr="00260790">
        <w:rPr>
          <w:rFonts w:ascii="Times New Roman" w:hAnsi="Times New Roman"/>
          <w:color w:val="000000" w:themeColor="text1"/>
        </w:rPr>
        <w:t>S/HS. Il prendra en compte les autres plans d’atténuation requis pour le projet (par exemple pour l’atténuation des risques A</w:t>
      </w:r>
      <w:r w:rsidR="005D3627" w:rsidRPr="00260790">
        <w:rPr>
          <w:rFonts w:ascii="Times New Roman" w:hAnsi="Times New Roman"/>
          <w:color w:val="000000" w:themeColor="text1"/>
        </w:rPr>
        <w:t>E</w:t>
      </w:r>
      <w:r w:rsidRPr="00260790">
        <w:rPr>
          <w:rFonts w:ascii="Times New Roman" w:hAnsi="Times New Roman"/>
          <w:color w:val="000000" w:themeColor="text1"/>
        </w:rPr>
        <w:t xml:space="preserve">S/HS) et s’y conformer. </w:t>
      </w:r>
    </w:p>
    <w:p w14:paraId="37616DF2"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Pour les impacts résiduels, des mesures de compensation seront proposées et pour les impacts positifs, le consultant fera une description des mesures envisagées pour les optimiser. </w:t>
      </w:r>
    </w:p>
    <w:p w14:paraId="7E3C0A57"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PGES indiquera les mesures opérationnelles et efficaces pour éviter, minimiser, restaurer et compenser les impacts négatifs et optimiser des impacts positifs identifiés ainsi que les coûts et modalités de mise en œuvre de ces mesures, les entités responsables, le plan de renforcement de capacités et les indicateurs à suivre.  </w:t>
      </w:r>
    </w:p>
    <w:p w14:paraId="3588CC73"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En définitive, le plan sera présenté sous forme de tableaux récapitulatifs avec les impacts et mesures d’atténuation, les coûts afférents à chaque mesure d’atténuation, les indicateurs, de même que les responsabilités de mise en œuvre. </w:t>
      </w:r>
    </w:p>
    <w:p w14:paraId="26683541"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Consultant (firme) mettra un accent particulier sur tous les facteurs/éléments pouvant entraîner un effet cumulatif et en tirer toutes les conclusions ou recommandations nécessaires. Il devra en outre faire des recommandations à l’endroit des entreprises en charge des travaux et les missions de contrôle.  </w:t>
      </w:r>
    </w:p>
    <w:p w14:paraId="54C613A7" w14:textId="77777777" w:rsidR="005E7ED1" w:rsidRPr="00260790" w:rsidRDefault="005E7ED1">
      <w:pPr>
        <w:spacing w:line="259" w:lineRule="auto"/>
        <w:rPr>
          <w:rFonts w:ascii="Times New Roman" w:hAnsi="Times New Roman"/>
          <w:i/>
          <w:color w:val="000000" w:themeColor="text1"/>
        </w:rPr>
      </w:pPr>
      <w:r w:rsidRPr="00260790">
        <w:rPr>
          <w:rFonts w:ascii="Times New Roman" w:hAnsi="Times New Roman"/>
          <w:i/>
          <w:color w:val="000000" w:themeColor="text1"/>
        </w:rPr>
        <w:br w:type="page"/>
      </w:r>
    </w:p>
    <w:p w14:paraId="06CFC9B2" w14:textId="1A0BE111"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i/>
          <w:color w:val="000000" w:themeColor="text1"/>
        </w:rPr>
        <w:lastRenderedPageBreak/>
        <w:t xml:space="preserve">5.1.5.2. Plan de Suivi Environnemental et Social  </w:t>
      </w:r>
    </w:p>
    <w:p w14:paraId="082FA77F"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consultant (firme) indiquera les liens entre les impacts identifiés et les indicateurs à mesurer, les méthodes à employer, la fréquence des mesures et la définition des seuils déclenchant les modalités de correction.  </w:t>
      </w:r>
    </w:p>
    <w:p w14:paraId="5ED4F5B5"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plan de suivi doit identifier les paramètres de suivi, y compris les paramètres à mesurer, les méthodes à utiliser, les lieux d’échantillonnage, la fréquence des mesures, la définition des seuils qui indiqueront la nécessité d’appliquer des mesures correctives, ainsi que les coûts relatifs aux activités de suivi.  </w:t>
      </w:r>
    </w:p>
    <w:p w14:paraId="63498D25"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Ce plan devra être présenté sous forme de tableau avec tous les aspects des modalités de surveillance et de suivi évalués en termes de coûts et les responsabilités clairement définies, en tenant compte des différentes phases. Il devra définir un dispositif institutionnel de mise en œuvre du plan de suivi qui devra être établi de façon claire, précise et opérationnelle. Il faudra préciser les rôles et les responsabilités de chaque institution/organisation interpellée dans la mise en œuvre du projet.  </w:t>
      </w:r>
    </w:p>
    <w:p w14:paraId="223AEF35"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programme de suivi vise à s’assurer que les mesures d’atténuation sont effectivement mises en œuvre, qu’elles génèrent les résultats escomptés et qu’elles sont soit modifiées ou annulées si elles ne produisent pas de résultats satisfaisants. </w:t>
      </w:r>
    </w:p>
    <w:p w14:paraId="38B5B035"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Des rapports de surveillance et de suivi environnementaux devront être planifiés à toutes les phases du projet pour vérifier le niveau d’exécution des mesures d’atténuation et évaluer les effets des activités sur l’environnement. </w:t>
      </w:r>
    </w:p>
    <w:p w14:paraId="2D35A49E"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i/>
          <w:color w:val="000000" w:themeColor="text1"/>
        </w:rPr>
        <w:t xml:space="preserve">5.1.5.3. Dispositif institutionnel </w:t>
      </w:r>
    </w:p>
    <w:p w14:paraId="54891385"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L’Étude devra établir, de façon claire, précise et opérationnelle le dispositif de mise en œuvre des mesures d’atténuation et de suivi. Il devra déterminer les rôles et responsabilités de toutes les parties prenantes interpellées ou impliquées dans l’exécution et l’exploitation du projet, et devra évaluer de manière sommaire les capacités de ces institutions et les besoins de renforcement de ces dernières pour une mise en œuvre correcte du PGES. </w:t>
      </w:r>
    </w:p>
    <w:p w14:paraId="11FF3277"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i/>
          <w:color w:val="000000" w:themeColor="text1"/>
        </w:rPr>
        <w:t xml:space="preserve">5.1.5.4. Participation et Consultation publique </w:t>
      </w:r>
    </w:p>
    <w:p w14:paraId="5888EF74"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 participation des populations est un élément essentiel du processus d’évaluation environnementale et sociale et un moyen de s’assurer que le projet intègre les préoccupations des populations locales. Elle devra permettre d’évaluer l’acceptabilité sociale et économique des travaux prévus par les populations et autres acteurs impliqués et de préparer la mise en œuvre d’un plan de communication pour éviter d’éventuels conflits sociaux et faciliter l’appropriation par les parties prenantes.  </w:t>
      </w:r>
    </w:p>
    <w:p w14:paraId="6192A613"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Dans la conduite de cette étape, le Consultant devra respecter les directives nationales et se conformer aux NES de la Banque mondiale en matière de consultation et de participation des communautés potentiellement affectées, des services étatiques et de toutes les parties prenantes concernées.  </w:t>
      </w:r>
    </w:p>
    <w:p w14:paraId="51FA10ED"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Les consultations publiques devront s’étendre aux services techniques centraux et régionaux et aux autorités administratives et locales. </w:t>
      </w:r>
    </w:p>
    <w:p w14:paraId="14D6C071"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En plus des entretiens avec les institutions (services de l’État, organismes non étatiques, etc.), des séances d’information seront organisées avec les autorités locales et les populations riveraines, afin de leur présenter le projet dans un résumé simple et recueillir leur avis et suggestion en vue de les prendre en compte si possible. Des informations précises devront être apportées sur le niveau de prise en charge des préoccupations/craintes/attentes des différentes parties prenantes lors des consultations. </w:t>
      </w:r>
    </w:p>
    <w:p w14:paraId="02311F06"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résumé des points discutés (questions, réponses, etc.) sera synthétisé dans le rapport et la liste des personnes consultées devra être annexée au rapport des EIES. </w:t>
      </w:r>
    </w:p>
    <w:p w14:paraId="12D9336E" w14:textId="77777777" w:rsidR="005E7ED1" w:rsidRPr="00260790" w:rsidRDefault="005E7ED1">
      <w:pPr>
        <w:spacing w:line="259" w:lineRule="auto"/>
        <w:rPr>
          <w:rFonts w:ascii="Times New Roman" w:hAnsi="Times New Roman"/>
          <w:color w:val="000000" w:themeColor="text1"/>
        </w:rPr>
      </w:pPr>
      <w:r w:rsidRPr="00260790">
        <w:rPr>
          <w:rFonts w:ascii="Times New Roman" w:hAnsi="Times New Roman"/>
          <w:color w:val="000000" w:themeColor="text1"/>
        </w:rPr>
        <w:br w:type="page"/>
      </w:r>
    </w:p>
    <w:p w14:paraId="11481A63" w14:textId="4DECDCA3"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lastRenderedPageBreak/>
        <w:t>VI.</w:t>
      </w:r>
      <w:r w:rsidRPr="00260790">
        <w:rPr>
          <w:rFonts w:ascii="Times New Roman" w:eastAsia="Arial" w:hAnsi="Times New Roman"/>
          <w:color w:val="000000" w:themeColor="text1"/>
        </w:rPr>
        <w:t xml:space="preserve"> </w:t>
      </w:r>
      <w:r w:rsidRPr="00260790">
        <w:rPr>
          <w:rFonts w:ascii="Times New Roman" w:eastAsia="Arial" w:hAnsi="Times New Roman"/>
          <w:color w:val="000000" w:themeColor="text1"/>
        </w:rPr>
        <w:tab/>
      </w:r>
      <w:r w:rsidRPr="00260790">
        <w:rPr>
          <w:rFonts w:ascii="Times New Roman" w:hAnsi="Times New Roman"/>
          <w:color w:val="000000" w:themeColor="text1"/>
        </w:rPr>
        <w:t xml:space="preserve">COMPOSITION DE L’ÉQUIPE </w:t>
      </w:r>
    </w:p>
    <w:p w14:paraId="1628F483"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cabinet ou le bureau retenu doit disposer d’un agrément du </w:t>
      </w:r>
      <w:proofErr w:type="gramStart"/>
      <w:r w:rsidRPr="00260790">
        <w:rPr>
          <w:rFonts w:ascii="Times New Roman" w:hAnsi="Times New Roman"/>
          <w:color w:val="000000" w:themeColor="text1"/>
        </w:rPr>
        <w:t>Ministère de l’Environnement</w:t>
      </w:r>
      <w:proofErr w:type="gramEnd"/>
      <w:r w:rsidRPr="00260790">
        <w:rPr>
          <w:rFonts w:ascii="Times New Roman" w:hAnsi="Times New Roman"/>
          <w:color w:val="000000" w:themeColor="text1"/>
        </w:rPr>
        <w:t xml:space="preserve"> et du Développement Durable pour la réalisation des études d’impact sur l’environnement conformément à la réglementation en vigueur. </w:t>
      </w:r>
    </w:p>
    <w:p w14:paraId="738222B5"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Du fait de la diversité des tâches à réaliser, le cabinet devra être suffisamment apte à mener l’ensemble des tâches et disposer de toutes les compétences requises pour la bonne exécution de la mission dans les délais requis. Les attestations de bonne exécution fournies par les clients doivent comporter la première page des contrats ainsi que les dernières pages des signatures par rapport à chaque contrat attestant de l’expérience du candidat. Les expériences ne répondant pas à cette obligation ne seront pas considérées. </w:t>
      </w:r>
    </w:p>
    <w:p w14:paraId="0E77AB42"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Il devra fournir le personnel clé suivant : </w:t>
      </w:r>
    </w:p>
    <w:p w14:paraId="187B2019"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b/>
          <w:color w:val="000000" w:themeColor="text1"/>
        </w:rPr>
        <w:t xml:space="preserve">Un Expert en Évaluation Environnementale et Sociale (ou équivalent) : </w:t>
      </w:r>
      <w:r w:rsidRPr="00260790">
        <w:rPr>
          <w:rFonts w:ascii="Times New Roman" w:hAnsi="Times New Roman"/>
          <w:color w:val="000000" w:themeColor="text1"/>
        </w:rPr>
        <w:t xml:space="preserve">titulaire d’un diplôme de niveau Bac+5 en Sciences Environnementales, sociales, économiques ou équivalent et disposant d’au moins dix (10) ans d’expérience dans l’élaboration des Évaluations Environnementales et Sociales. De même, il doit avoir participé au moins à l’élaboration de cinq (5) Études d’Impact Environnemental et Social (EIES), dont au moins deux (2) liées à des projets d’aménagements similaires (drainage, voiries, gestion des inondations, etc.) et de travaux d’assainissement. </w:t>
      </w:r>
    </w:p>
    <w:p w14:paraId="61E357A5"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b/>
          <w:color w:val="000000" w:themeColor="text1"/>
        </w:rPr>
        <w:t xml:space="preserve">Un Expert en Biodiversité : </w:t>
      </w:r>
      <w:r w:rsidRPr="00260790">
        <w:rPr>
          <w:rFonts w:ascii="Times New Roman" w:hAnsi="Times New Roman"/>
          <w:color w:val="000000" w:themeColor="text1"/>
        </w:rPr>
        <w:t>titulaire d’un diplôme de niveau Bac+4 en Sciences naturelles ou équivalent, ayant une connaissance approfondie en biodiversité et habitats naturels et disposant d’au moins sept (7) ans d’expérience dans l’élaboration d’Évaluation Environnementale et Sociale. De même, il doit avoir participé au moins à quatre (4) Études d’Impact Environnemental et Social (EIES), dont au moins deux (2) liées à des projets d’aménagements similaires (drainage, voiries, gestion des inondations, etc.) et de travaux d’assainissement.</w:t>
      </w:r>
      <w:r w:rsidRPr="00260790">
        <w:rPr>
          <w:rFonts w:ascii="Times New Roman" w:hAnsi="Times New Roman"/>
          <w:b/>
          <w:color w:val="000000" w:themeColor="text1"/>
        </w:rPr>
        <w:t xml:space="preserve"> </w:t>
      </w:r>
    </w:p>
    <w:p w14:paraId="27B0DC94"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b/>
          <w:color w:val="000000" w:themeColor="text1"/>
        </w:rPr>
        <w:t xml:space="preserve">Un hydraulicien, ingénieur Génie Civil </w:t>
      </w:r>
      <w:r w:rsidRPr="00260790">
        <w:rPr>
          <w:rFonts w:ascii="Times New Roman" w:hAnsi="Times New Roman"/>
          <w:color w:val="000000" w:themeColor="text1"/>
        </w:rPr>
        <w:t xml:space="preserve">:  titulaire d’un diplôme d’ingénieur en génie Civil, hydraulique de niveau Bac+5.  Il doit disposer d’une expérience professionnelle d’au moins dix (10) ans dans le cadre des aménagements hydrauliques et de gestion des eaux pluviales. Il doit avoir participé au moins à trois (3) Études d’Impact Environnemental et Social (EIES), dont au moins deux (2) liées à des projets d’aménagements similaires (drainage, voiries, gestion des inondations, etc.) et de travaux d’assainissement. </w:t>
      </w:r>
    </w:p>
    <w:p w14:paraId="470AEEBC" w14:textId="31057086"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b/>
          <w:color w:val="000000" w:themeColor="text1"/>
        </w:rPr>
        <w:t xml:space="preserve">Un Spécialiste en étude de dangers </w:t>
      </w:r>
      <w:r w:rsidRPr="00260790">
        <w:rPr>
          <w:rFonts w:ascii="Times New Roman" w:hAnsi="Times New Roman"/>
          <w:color w:val="000000" w:themeColor="text1"/>
        </w:rPr>
        <w:t xml:space="preserve">: titulaire d’un diplôme de niveau Bac+5 en QHSE ou équivalent et disposant d’au moins sept (7) ans d’expérience dans l’élaboration d’Évaluation Environnementale et Sociale. De même, il doit avoir participé au moins à quatre (4) Études d’Impact Environnemental et Social (EIES) en tant qu’Expert en étude de dangers, dont au moins deux (2) liées à des projets d’aménagements (drainage, voiries, gestion des inondations, etc.) et de travaux d’assainissement. </w:t>
      </w:r>
    </w:p>
    <w:p w14:paraId="7B0B5DAD"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b/>
          <w:color w:val="000000" w:themeColor="text1"/>
        </w:rPr>
        <w:t xml:space="preserve">Un spécialiste en pollution et nuisances et gestion des risques </w:t>
      </w:r>
      <w:r w:rsidRPr="00260790">
        <w:rPr>
          <w:rFonts w:ascii="Times New Roman" w:hAnsi="Times New Roman"/>
          <w:color w:val="000000" w:themeColor="text1"/>
        </w:rPr>
        <w:t xml:space="preserve">: titulaire d’un diplôme de niveau Bac+5 en QHSE ou équivalent et justifiant d’au moins sept (7) ans d’expérience dans l’élaboration d’Évaluation Environnementale et Sociale. De même, il doit avoir participé en tant qu’Expert en pollution et nuisances, gestion des risques dans la préparation d’au moins quatre (4) Études d’Impact Environnemental et Social (EIES), dont au moins deux (2) liées à des projets d’aménagements similaires (drainage, voiries, gestion des inondations, etc.) et de travaux d’assainissement. </w:t>
      </w:r>
    </w:p>
    <w:p w14:paraId="2251DE55"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Cabinet proposera le personnel complémentaire qu’il jugera nécessaire pour la bonne exécution des missions susmentionnées. </w:t>
      </w:r>
    </w:p>
    <w:p w14:paraId="39CB3287" w14:textId="77777777" w:rsidR="00267147" w:rsidRPr="00260790" w:rsidRDefault="00267147" w:rsidP="00E20250">
      <w:pPr>
        <w:spacing w:line="240" w:lineRule="auto"/>
        <w:jc w:val="both"/>
        <w:rPr>
          <w:rFonts w:ascii="Times New Roman" w:hAnsi="Times New Roman"/>
          <w:b/>
          <w:bCs/>
          <w:color w:val="000000" w:themeColor="text1"/>
        </w:rPr>
      </w:pPr>
      <w:r w:rsidRPr="00260790">
        <w:rPr>
          <w:rFonts w:ascii="Times New Roman" w:hAnsi="Times New Roman"/>
          <w:b/>
          <w:bCs/>
          <w:color w:val="000000" w:themeColor="text1"/>
        </w:rPr>
        <w:t xml:space="preserve">VII. </w:t>
      </w:r>
      <w:r w:rsidRPr="00260790">
        <w:rPr>
          <w:rFonts w:ascii="Times New Roman" w:hAnsi="Times New Roman"/>
          <w:b/>
          <w:bCs/>
          <w:color w:val="000000" w:themeColor="text1"/>
        </w:rPr>
        <w:tab/>
        <w:t xml:space="preserve">DURÉE DE LA MISSION </w:t>
      </w:r>
    </w:p>
    <w:p w14:paraId="435E421B" w14:textId="77777777" w:rsidR="00267147" w:rsidRPr="00260790" w:rsidRDefault="00267147" w:rsidP="00E20250">
      <w:pPr>
        <w:spacing w:line="240" w:lineRule="auto"/>
        <w:jc w:val="both"/>
        <w:rPr>
          <w:rFonts w:ascii="Times New Roman" w:hAnsi="Times New Roman"/>
          <w:color w:val="000000" w:themeColor="text1"/>
        </w:rPr>
      </w:pPr>
      <w:r w:rsidRPr="00E130BA">
        <w:rPr>
          <w:rFonts w:ascii="Times New Roman" w:hAnsi="Times New Roman"/>
          <w:color w:val="000000" w:themeColor="text1"/>
          <w:highlight w:val="yellow"/>
        </w:rPr>
        <w:t xml:space="preserve">La durée de la mission est de 90 jours </w:t>
      </w:r>
      <w:proofErr w:type="gramStart"/>
      <w:r w:rsidRPr="00E130BA">
        <w:rPr>
          <w:rFonts w:ascii="Times New Roman" w:hAnsi="Times New Roman"/>
          <w:color w:val="000000" w:themeColor="text1"/>
          <w:highlight w:val="yellow"/>
        </w:rPr>
        <w:t>calendaires</w:t>
      </w:r>
      <w:proofErr w:type="gramEnd"/>
      <w:r w:rsidRPr="00E130BA">
        <w:rPr>
          <w:rFonts w:ascii="Times New Roman" w:hAnsi="Times New Roman"/>
          <w:color w:val="000000" w:themeColor="text1"/>
          <w:highlight w:val="yellow"/>
        </w:rPr>
        <w:t xml:space="preserve"> hors validation des documents. Le planning de réalisation des études sera phasé en fonction de la disponibilité des données techniques</w:t>
      </w:r>
      <w:r w:rsidRPr="00260790">
        <w:rPr>
          <w:rFonts w:ascii="Times New Roman" w:hAnsi="Times New Roman"/>
          <w:color w:val="000000" w:themeColor="text1"/>
        </w:rPr>
        <w:t xml:space="preserve">.  </w:t>
      </w:r>
    </w:p>
    <w:p w14:paraId="01E10A53" w14:textId="77777777" w:rsidR="005E7ED1" w:rsidRPr="00260790" w:rsidRDefault="005E7ED1">
      <w:pPr>
        <w:spacing w:line="259" w:lineRule="auto"/>
        <w:rPr>
          <w:rFonts w:ascii="Times New Roman" w:hAnsi="Times New Roman"/>
          <w:b/>
          <w:bCs/>
          <w:color w:val="000000" w:themeColor="text1"/>
        </w:rPr>
      </w:pPr>
      <w:r w:rsidRPr="00260790">
        <w:rPr>
          <w:rFonts w:ascii="Times New Roman" w:hAnsi="Times New Roman"/>
          <w:b/>
          <w:bCs/>
          <w:color w:val="000000" w:themeColor="text1"/>
        </w:rPr>
        <w:br w:type="page"/>
      </w:r>
    </w:p>
    <w:p w14:paraId="29B28F9F" w14:textId="3196D11D" w:rsidR="00267147" w:rsidRPr="00260790" w:rsidRDefault="00267147" w:rsidP="00E20250">
      <w:pPr>
        <w:spacing w:line="240" w:lineRule="auto"/>
        <w:jc w:val="both"/>
        <w:rPr>
          <w:rFonts w:ascii="Times New Roman" w:hAnsi="Times New Roman"/>
          <w:b/>
          <w:bCs/>
          <w:color w:val="000000" w:themeColor="text1"/>
        </w:rPr>
      </w:pPr>
      <w:r w:rsidRPr="00260790">
        <w:rPr>
          <w:rFonts w:ascii="Times New Roman" w:hAnsi="Times New Roman"/>
          <w:b/>
          <w:bCs/>
          <w:color w:val="000000" w:themeColor="text1"/>
        </w:rPr>
        <w:lastRenderedPageBreak/>
        <w:t xml:space="preserve">VIII. </w:t>
      </w:r>
      <w:r w:rsidRPr="00260790">
        <w:rPr>
          <w:rFonts w:ascii="Times New Roman" w:hAnsi="Times New Roman"/>
          <w:b/>
          <w:bCs/>
          <w:color w:val="000000" w:themeColor="text1"/>
        </w:rPr>
        <w:tab/>
        <w:t xml:space="preserve">VOLUMES DES PRESTATIONS, RAPPORT ET VALIDATION </w:t>
      </w:r>
    </w:p>
    <w:p w14:paraId="423C7EBC"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8.1</w:t>
      </w:r>
      <w:r w:rsidRPr="00260790">
        <w:rPr>
          <w:rFonts w:ascii="Times New Roman" w:eastAsia="Arial" w:hAnsi="Times New Roman"/>
          <w:color w:val="000000" w:themeColor="text1"/>
        </w:rPr>
        <w:t xml:space="preserve"> </w:t>
      </w:r>
      <w:r w:rsidRPr="00260790">
        <w:rPr>
          <w:rFonts w:ascii="Times New Roman" w:hAnsi="Times New Roman"/>
          <w:color w:val="000000" w:themeColor="text1"/>
        </w:rPr>
        <w:t xml:space="preserve">Volume des prestations et production de rapports </w:t>
      </w:r>
    </w:p>
    <w:p w14:paraId="25D6C013" w14:textId="77777777" w:rsidR="00267147" w:rsidRPr="00260790" w:rsidRDefault="0026714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 xml:space="preserve">Les livrables sont séquencés suivant la production des APS, APD et DAO des études techniques en cours : </w:t>
      </w:r>
    </w:p>
    <w:p w14:paraId="3A936135" w14:textId="77777777" w:rsidR="00267147" w:rsidRPr="00260790" w:rsidRDefault="00267147" w:rsidP="001748C6">
      <w:pPr>
        <w:pStyle w:val="Paragraphedeliste"/>
        <w:numPr>
          <w:ilvl w:val="0"/>
          <w:numId w:val="203"/>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L’EIES pour les travaux prioritaires de la zone nord du BV de Mbao ; </w:t>
      </w:r>
    </w:p>
    <w:p w14:paraId="430512F5" w14:textId="77777777" w:rsidR="00267147" w:rsidRPr="00260790" w:rsidRDefault="00267147" w:rsidP="001748C6">
      <w:pPr>
        <w:pStyle w:val="Paragraphedeliste"/>
        <w:numPr>
          <w:ilvl w:val="0"/>
          <w:numId w:val="203"/>
        </w:num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L’EIES pour la seconde tranche (zone sud) des travaux du bassin versant de Mbao.  </w:t>
      </w:r>
    </w:p>
    <w:p w14:paraId="34B51FA4"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Ainsi, le cabinet fournira un rapport d’orientation méthodologique cinq (5) jours après le démarrage des prestations.  </w:t>
      </w:r>
    </w:p>
    <w:p w14:paraId="6DCB8ECB" w14:textId="2268FED8"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Dès la disponibilité de l'APS de la partie nord du BV de Mbao à T0, l'EIES de la zone nord seront amorcées. Pour les secondes études, dès la disponibilité de l'APS de la partie sud du BV de Mbao à T0, le Bureau retenu démarrera l’EIES pour les travaux restants. Une version provisoire du rapport de l’EIES sera déposée, trente-cinq (35) jours après le démarrage de chaque mission (T0 + 35) en trente (30) exemplaires au niveau de l’ADM et une copie électronique en version de MS WORD à transmettre à la Direction de l’Environnement et des Établissements Classés (DEEC)</w:t>
      </w:r>
      <w:r w:rsidRPr="00260790">
        <w:rPr>
          <w:rFonts w:ascii="Times New Roman" w:hAnsi="Times New Roman"/>
          <w:color w:val="000000" w:themeColor="text1"/>
          <w:vertAlign w:val="superscript"/>
        </w:rPr>
        <w:t xml:space="preserve"> </w:t>
      </w:r>
      <w:r w:rsidRPr="00260790">
        <w:rPr>
          <w:rFonts w:ascii="Times New Roman" w:hAnsi="Times New Roman"/>
          <w:color w:val="000000" w:themeColor="text1"/>
        </w:rPr>
        <w:t xml:space="preserve">pour son examen par le Comité Technique de </w:t>
      </w:r>
      <w:r w:rsidR="00951960" w:rsidRPr="00260790">
        <w:rPr>
          <w:rFonts w:ascii="Times New Roman" w:hAnsi="Times New Roman"/>
          <w:color w:val="000000" w:themeColor="text1"/>
        </w:rPr>
        <w:t>pré validation</w:t>
      </w:r>
      <w:r w:rsidRPr="00260790">
        <w:rPr>
          <w:rFonts w:ascii="Times New Roman" w:hAnsi="Times New Roman"/>
          <w:color w:val="000000" w:themeColor="text1"/>
        </w:rPr>
        <w:t xml:space="preserve">, conformément à la législation sénégalaise en matière d’Étude d’Impact Environnemental et Social.  </w:t>
      </w:r>
    </w:p>
    <w:p w14:paraId="591D290F"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L’ADM en rapport avec les collectivités territoriales concernées, le Consultant (firme) et, avec l’appui de la DREEC de Dakar, organisera, cinq (5) jours après la pré-validation, l’audience publique, en conformité avec les directives de la loi 2001-01 du 15 janvier 2001 portant code de l’environnement. Le consultant (firme) devra incorporer tous les commentaires et suggestions des populations, du Gouvernement du Sénégal et de la Banque mondiale dans les rapports finaux à diffuser.  </w:t>
      </w:r>
    </w:p>
    <w:p w14:paraId="4645AE18" w14:textId="77777777" w:rsidR="00267147" w:rsidRPr="00260790" w:rsidRDefault="0026714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 rapport final de l’étude sera produit cinq (5) jours après intégration de toutes les observations. Il sera déposé à l’ADM en quinze (15) exemplaires en version française et une copie électronique en version MS Word pour les textes et Excel pour les tableaux sur clé USB. </w:t>
      </w:r>
    </w:p>
    <w:p w14:paraId="7A34A987" w14:textId="06FE49B0" w:rsidR="00267147" w:rsidRPr="00260790" w:rsidRDefault="00267147" w:rsidP="00E20250">
      <w:pPr>
        <w:spacing w:after="124" w:line="240" w:lineRule="auto"/>
        <w:ind w:right="111"/>
        <w:jc w:val="both"/>
        <w:rPr>
          <w:rFonts w:ascii="Times New Roman" w:hAnsi="Times New Roman"/>
          <w:color w:val="000000" w:themeColor="text1"/>
        </w:rPr>
      </w:pPr>
      <w:r w:rsidRPr="00260790">
        <w:rPr>
          <w:rFonts w:ascii="Times New Roman" w:hAnsi="Times New Roman"/>
          <w:b/>
          <w:color w:val="000000" w:themeColor="text1"/>
        </w:rPr>
        <w:t>8.2</w:t>
      </w:r>
      <w:r w:rsidRPr="00260790">
        <w:rPr>
          <w:rFonts w:ascii="Times New Roman" w:eastAsia="Arial" w:hAnsi="Times New Roman"/>
          <w:b/>
          <w:color w:val="000000" w:themeColor="text1"/>
        </w:rPr>
        <w:t xml:space="preserve"> </w:t>
      </w:r>
      <w:r w:rsidRPr="00260790">
        <w:rPr>
          <w:rFonts w:ascii="Times New Roman" w:hAnsi="Times New Roman"/>
          <w:b/>
          <w:color w:val="000000" w:themeColor="text1"/>
        </w:rPr>
        <w:t xml:space="preserve">Contenu du rapport d’étude d’impact environnemental et social </w:t>
      </w:r>
    </w:p>
    <w:p w14:paraId="5158A5F0" w14:textId="77777777" w:rsidR="00267147" w:rsidRPr="00260790" w:rsidRDefault="00267147" w:rsidP="00E20250">
      <w:pPr>
        <w:spacing w:after="30" w:line="240" w:lineRule="auto"/>
        <w:ind w:left="67" w:right="139"/>
        <w:jc w:val="both"/>
        <w:rPr>
          <w:rFonts w:ascii="Times New Roman" w:hAnsi="Times New Roman"/>
          <w:color w:val="000000" w:themeColor="text1"/>
        </w:rPr>
      </w:pPr>
      <w:r w:rsidRPr="00260790">
        <w:rPr>
          <w:rFonts w:ascii="Times New Roman" w:hAnsi="Times New Roman"/>
          <w:color w:val="000000" w:themeColor="text1"/>
        </w:rPr>
        <w:t xml:space="preserve">Le rapport d’Étude d’Impact Environnemental et Social devra être structuré conformément à la réglementation et comprendre les parties suivantes : </w:t>
      </w:r>
    </w:p>
    <w:p w14:paraId="50E2D8CE" w14:textId="77777777" w:rsidR="00267147" w:rsidRPr="00260790" w:rsidRDefault="00267147" w:rsidP="001748C6">
      <w:pPr>
        <w:numPr>
          <w:ilvl w:val="0"/>
          <w:numId w:val="198"/>
        </w:numPr>
        <w:spacing w:after="5" w:line="240" w:lineRule="auto"/>
        <w:ind w:right="139" w:hanging="427"/>
        <w:jc w:val="both"/>
        <w:rPr>
          <w:rFonts w:ascii="Times New Roman" w:hAnsi="Times New Roman"/>
          <w:color w:val="000000" w:themeColor="text1"/>
        </w:rPr>
      </w:pPr>
      <w:r w:rsidRPr="00260790">
        <w:rPr>
          <w:rFonts w:ascii="Times New Roman" w:hAnsi="Times New Roman"/>
          <w:color w:val="000000" w:themeColor="text1"/>
        </w:rPr>
        <w:t xml:space="preserve">Sommaire </w:t>
      </w:r>
    </w:p>
    <w:p w14:paraId="29A430E7" w14:textId="77777777" w:rsidR="00267147" w:rsidRPr="00260790" w:rsidRDefault="00267147" w:rsidP="001748C6">
      <w:pPr>
        <w:numPr>
          <w:ilvl w:val="0"/>
          <w:numId w:val="198"/>
        </w:numPr>
        <w:spacing w:after="5" w:line="240" w:lineRule="auto"/>
        <w:ind w:right="139" w:hanging="427"/>
        <w:jc w:val="both"/>
        <w:rPr>
          <w:rFonts w:ascii="Times New Roman" w:hAnsi="Times New Roman"/>
          <w:color w:val="000000" w:themeColor="text1"/>
        </w:rPr>
      </w:pPr>
      <w:r w:rsidRPr="00260790">
        <w:rPr>
          <w:rFonts w:ascii="Times New Roman" w:hAnsi="Times New Roman"/>
          <w:color w:val="000000" w:themeColor="text1"/>
        </w:rPr>
        <w:t xml:space="preserve">Acronymes </w:t>
      </w:r>
    </w:p>
    <w:p w14:paraId="1AF4CE22" w14:textId="77777777" w:rsidR="00267147" w:rsidRPr="00260790" w:rsidRDefault="00267147" w:rsidP="001748C6">
      <w:pPr>
        <w:numPr>
          <w:ilvl w:val="0"/>
          <w:numId w:val="198"/>
        </w:numPr>
        <w:spacing w:after="5" w:line="240" w:lineRule="auto"/>
        <w:ind w:right="139" w:hanging="427"/>
        <w:jc w:val="both"/>
        <w:rPr>
          <w:rFonts w:ascii="Times New Roman" w:hAnsi="Times New Roman"/>
          <w:color w:val="000000" w:themeColor="text1"/>
        </w:rPr>
      </w:pPr>
      <w:r w:rsidRPr="00260790">
        <w:rPr>
          <w:rFonts w:ascii="Times New Roman" w:hAnsi="Times New Roman"/>
          <w:color w:val="000000" w:themeColor="text1"/>
        </w:rPr>
        <w:t xml:space="preserve">Introduction </w:t>
      </w:r>
    </w:p>
    <w:p w14:paraId="3C94BB61" w14:textId="77777777" w:rsidR="00267147" w:rsidRPr="00260790" w:rsidRDefault="00267147" w:rsidP="001748C6">
      <w:pPr>
        <w:numPr>
          <w:ilvl w:val="0"/>
          <w:numId w:val="198"/>
        </w:numPr>
        <w:spacing w:after="5" w:line="240" w:lineRule="auto"/>
        <w:ind w:right="139" w:hanging="427"/>
        <w:jc w:val="both"/>
        <w:rPr>
          <w:rFonts w:ascii="Times New Roman" w:hAnsi="Times New Roman"/>
          <w:color w:val="000000" w:themeColor="text1"/>
        </w:rPr>
      </w:pPr>
      <w:r w:rsidRPr="00260790">
        <w:rPr>
          <w:rFonts w:ascii="Times New Roman" w:hAnsi="Times New Roman"/>
          <w:color w:val="000000" w:themeColor="text1"/>
        </w:rPr>
        <w:t xml:space="preserve">Résumé exécutif en français </w:t>
      </w:r>
    </w:p>
    <w:p w14:paraId="30E54797" w14:textId="77777777" w:rsidR="00267147" w:rsidRPr="00260790" w:rsidRDefault="00267147" w:rsidP="001748C6">
      <w:pPr>
        <w:numPr>
          <w:ilvl w:val="0"/>
          <w:numId w:val="198"/>
        </w:numPr>
        <w:spacing w:after="5" w:line="240" w:lineRule="auto"/>
        <w:ind w:right="139" w:hanging="427"/>
        <w:jc w:val="both"/>
        <w:rPr>
          <w:rFonts w:ascii="Times New Roman" w:hAnsi="Times New Roman"/>
          <w:color w:val="000000" w:themeColor="text1"/>
        </w:rPr>
      </w:pPr>
      <w:r w:rsidRPr="00260790">
        <w:rPr>
          <w:rFonts w:ascii="Times New Roman" w:hAnsi="Times New Roman"/>
          <w:color w:val="000000" w:themeColor="text1"/>
        </w:rPr>
        <w:t xml:space="preserve">Résumé exécutif en anglais </w:t>
      </w:r>
    </w:p>
    <w:p w14:paraId="66F82D0B" w14:textId="4115D3FA" w:rsidR="00267147" w:rsidRPr="00260790" w:rsidRDefault="00267147" w:rsidP="001748C6">
      <w:pPr>
        <w:numPr>
          <w:ilvl w:val="0"/>
          <w:numId w:val="198"/>
        </w:numPr>
        <w:spacing w:after="25" w:line="240" w:lineRule="auto"/>
        <w:ind w:right="139" w:hanging="427"/>
        <w:jc w:val="both"/>
        <w:rPr>
          <w:rFonts w:ascii="Times New Roman" w:hAnsi="Times New Roman"/>
          <w:color w:val="000000" w:themeColor="text1"/>
        </w:rPr>
      </w:pPr>
      <w:r w:rsidRPr="00260790">
        <w:rPr>
          <w:rFonts w:ascii="Times New Roman" w:hAnsi="Times New Roman"/>
          <w:color w:val="000000" w:themeColor="text1"/>
        </w:rPr>
        <w:t xml:space="preserve">Conditions environnementales et socio-économiques de base et analyse de la sensibilité du </w:t>
      </w:r>
      <w:proofErr w:type="gramStart"/>
      <w:r w:rsidRPr="00260790">
        <w:rPr>
          <w:rFonts w:ascii="Times New Roman" w:hAnsi="Times New Roman"/>
          <w:color w:val="000000" w:themeColor="text1"/>
        </w:rPr>
        <w:t>milieu;</w:t>
      </w:r>
      <w:proofErr w:type="gramEnd"/>
      <w:r w:rsidRPr="00260790">
        <w:rPr>
          <w:rFonts w:ascii="Times New Roman" w:hAnsi="Times New Roman"/>
          <w:color w:val="000000" w:themeColor="text1"/>
        </w:rPr>
        <w:t xml:space="preserve"> </w:t>
      </w:r>
    </w:p>
    <w:p w14:paraId="59E4D9E2" w14:textId="77777777" w:rsidR="00267147" w:rsidRPr="00260790" w:rsidRDefault="00267147" w:rsidP="001748C6">
      <w:pPr>
        <w:numPr>
          <w:ilvl w:val="0"/>
          <w:numId w:val="198"/>
        </w:numPr>
        <w:spacing w:after="5" w:line="240" w:lineRule="auto"/>
        <w:ind w:right="139" w:hanging="427"/>
        <w:jc w:val="both"/>
        <w:rPr>
          <w:rFonts w:ascii="Times New Roman" w:hAnsi="Times New Roman"/>
          <w:color w:val="000000" w:themeColor="text1"/>
        </w:rPr>
      </w:pPr>
      <w:r w:rsidRPr="00260790">
        <w:rPr>
          <w:rFonts w:ascii="Times New Roman" w:hAnsi="Times New Roman"/>
          <w:color w:val="000000" w:themeColor="text1"/>
        </w:rPr>
        <w:t xml:space="preserve">Consultation publique ; </w:t>
      </w:r>
    </w:p>
    <w:p w14:paraId="3B87999B" w14:textId="77777777" w:rsidR="00267147" w:rsidRPr="00260790" w:rsidRDefault="00267147" w:rsidP="001748C6">
      <w:pPr>
        <w:numPr>
          <w:ilvl w:val="0"/>
          <w:numId w:val="198"/>
        </w:numPr>
        <w:spacing w:after="28" w:line="240" w:lineRule="auto"/>
        <w:ind w:right="139" w:hanging="427"/>
        <w:jc w:val="both"/>
        <w:rPr>
          <w:rFonts w:ascii="Times New Roman" w:hAnsi="Times New Roman"/>
          <w:color w:val="000000" w:themeColor="text1"/>
        </w:rPr>
      </w:pPr>
      <w:r w:rsidRPr="00260790">
        <w:rPr>
          <w:rFonts w:ascii="Times New Roman" w:hAnsi="Times New Roman"/>
          <w:color w:val="000000" w:themeColor="text1"/>
        </w:rPr>
        <w:t xml:space="preserve">Analyse des variantes et description du projet retenu ; </w:t>
      </w:r>
    </w:p>
    <w:p w14:paraId="5C1C955D" w14:textId="3155BBE3" w:rsidR="00267147" w:rsidRPr="00260790" w:rsidRDefault="00267147" w:rsidP="001748C6">
      <w:pPr>
        <w:numPr>
          <w:ilvl w:val="0"/>
          <w:numId w:val="198"/>
        </w:numPr>
        <w:spacing w:after="5" w:line="240" w:lineRule="auto"/>
        <w:ind w:right="139" w:hanging="427"/>
        <w:jc w:val="both"/>
        <w:rPr>
          <w:rFonts w:ascii="Times New Roman" w:hAnsi="Times New Roman"/>
          <w:color w:val="000000" w:themeColor="text1"/>
        </w:rPr>
      </w:pPr>
      <w:r w:rsidRPr="00260790">
        <w:rPr>
          <w:rFonts w:ascii="Times New Roman" w:hAnsi="Times New Roman"/>
          <w:color w:val="000000" w:themeColor="text1"/>
        </w:rPr>
        <w:t xml:space="preserve">Analyse du cadre juridique et institutionnel de l’évaluation environnementale et sociale du </w:t>
      </w:r>
      <w:proofErr w:type="gramStart"/>
      <w:r w:rsidRPr="00260790">
        <w:rPr>
          <w:rFonts w:ascii="Times New Roman" w:hAnsi="Times New Roman"/>
          <w:color w:val="000000" w:themeColor="text1"/>
        </w:rPr>
        <w:t>projet;</w:t>
      </w:r>
      <w:proofErr w:type="gramEnd"/>
      <w:r w:rsidRPr="00260790">
        <w:rPr>
          <w:rFonts w:ascii="Times New Roman" w:hAnsi="Times New Roman"/>
          <w:color w:val="000000" w:themeColor="text1"/>
        </w:rPr>
        <w:t xml:space="preserve"> </w:t>
      </w:r>
    </w:p>
    <w:p w14:paraId="4F9B0A9E" w14:textId="77777777" w:rsidR="00267147" w:rsidRPr="00260790" w:rsidRDefault="00267147" w:rsidP="001748C6">
      <w:pPr>
        <w:numPr>
          <w:ilvl w:val="0"/>
          <w:numId w:val="198"/>
        </w:numPr>
        <w:spacing w:after="5" w:line="240" w:lineRule="auto"/>
        <w:ind w:right="139" w:hanging="427"/>
        <w:jc w:val="both"/>
        <w:rPr>
          <w:rFonts w:ascii="Times New Roman" w:hAnsi="Times New Roman"/>
          <w:color w:val="000000" w:themeColor="text1"/>
        </w:rPr>
      </w:pPr>
      <w:r w:rsidRPr="00260790">
        <w:rPr>
          <w:rFonts w:ascii="Times New Roman" w:hAnsi="Times New Roman"/>
          <w:color w:val="000000" w:themeColor="text1"/>
        </w:rPr>
        <w:t xml:space="preserve">Analyse des impacts ;  </w:t>
      </w:r>
    </w:p>
    <w:p w14:paraId="09F33694" w14:textId="77777777" w:rsidR="00267147" w:rsidRPr="00260790" w:rsidRDefault="00267147" w:rsidP="001748C6">
      <w:pPr>
        <w:numPr>
          <w:ilvl w:val="0"/>
          <w:numId w:val="198"/>
        </w:numPr>
        <w:spacing w:after="36" w:line="240" w:lineRule="auto"/>
        <w:ind w:right="139" w:hanging="427"/>
        <w:jc w:val="both"/>
        <w:rPr>
          <w:rFonts w:ascii="Times New Roman" w:hAnsi="Times New Roman"/>
          <w:color w:val="000000" w:themeColor="text1"/>
        </w:rPr>
      </w:pPr>
      <w:r w:rsidRPr="00260790">
        <w:rPr>
          <w:rFonts w:ascii="Times New Roman" w:hAnsi="Times New Roman"/>
          <w:color w:val="000000" w:themeColor="text1"/>
        </w:rPr>
        <w:t xml:space="preserve">Analyse des risques environnementaux et sociaux et dangers du projet ; </w:t>
      </w:r>
    </w:p>
    <w:p w14:paraId="528183D0" w14:textId="77777777" w:rsidR="00267147" w:rsidRPr="00260790" w:rsidRDefault="00267147" w:rsidP="001748C6">
      <w:pPr>
        <w:numPr>
          <w:ilvl w:val="0"/>
          <w:numId w:val="198"/>
        </w:numPr>
        <w:spacing w:after="5" w:line="240" w:lineRule="auto"/>
        <w:ind w:right="139" w:hanging="427"/>
        <w:jc w:val="both"/>
        <w:rPr>
          <w:rFonts w:ascii="Times New Roman" w:hAnsi="Times New Roman"/>
          <w:color w:val="000000" w:themeColor="text1"/>
        </w:rPr>
      </w:pPr>
      <w:r w:rsidRPr="00260790">
        <w:rPr>
          <w:rFonts w:ascii="Times New Roman" w:hAnsi="Times New Roman"/>
          <w:color w:val="000000" w:themeColor="text1"/>
        </w:rPr>
        <w:t xml:space="preserve">Mesures et actions clés du Plan d’Engagement Environnemental et Social ;  </w:t>
      </w:r>
    </w:p>
    <w:p w14:paraId="4DAA974E" w14:textId="77777777" w:rsidR="00267147" w:rsidRPr="00260790" w:rsidRDefault="00267147" w:rsidP="001748C6">
      <w:pPr>
        <w:numPr>
          <w:ilvl w:val="1"/>
          <w:numId w:val="198"/>
        </w:numPr>
        <w:spacing w:after="5" w:line="240" w:lineRule="auto"/>
        <w:ind w:right="139" w:hanging="360"/>
        <w:jc w:val="both"/>
        <w:rPr>
          <w:rFonts w:ascii="Times New Roman" w:hAnsi="Times New Roman"/>
          <w:color w:val="000000" w:themeColor="text1"/>
        </w:rPr>
      </w:pPr>
      <w:r w:rsidRPr="00260790">
        <w:rPr>
          <w:rFonts w:ascii="Times New Roman" w:hAnsi="Times New Roman"/>
          <w:color w:val="000000" w:themeColor="text1"/>
        </w:rPr>
        <w:t xml:space="preserve">Plan de Gestion Environnementale et Sociale ; </w:t>
      </w:r>
    </w:p>
    <w:p w14:paraId="247B75E3" w14:textId="77777777" w:rsidR="00267147" w:rsidRPr="00260790" w:rsidRDefault="00267147" w:rsidP="001748C6">
      <w:pPr>
        <w:numPr>
          <w:ilvl w:val="1"/>
          <w:numId w:val="198"/>
        </w:numPr>
        <w:spacing w:after="5" w:line="240" w:lineRule="auto"/>
        <w:ind w:right="139" w:hanging="360"/>
        <w:jc w:val="both"/>
        <w:rPr>
          <w:rFonts w:ascii="Times New Roman" w:hAnsi="Times New Roman"/>
          <w:color w:val="000000" w:themeColor="text1"/>
        </w:rPr>
      </w:pPr>
      <w:r w:rsidRPr="00260790">
        <w:rPr>
          <w:rFonts w:ascii="Times New Roman" w:hAnsi="Times New Roman"/>
          <w:color w:val="000000" w:themeColor="text1"/>
        </w:rPr>
        <w:t xml:space="preserve">Plan de Mobilisation des Parties prenantes ; </w:t>
      </w:r>
    </w:p>
    <w:p w14:paraId="2F66442E" w14:textId="77777777" w:rsidR="00267147" w:rsidRPr="00260790" w:rsidRDefault="00267147" w:rsidP="001748C6">
      <w:pPr>
        <w:numPr>
          <w:ilvl w:val="1"/>
          <w:numId w:val="198"/>
        </w:numPr>
        <w:spacing w:after="5" w:line="240" w:lineRule="auto"/>
        <w:ind w:right="139" w:hanging="360"/>
        <w:jc w:val="both"/>
        <w:rPr>
          <w:rFonts w:ascii="Times New Roman" w:hAnsi="Times New Roman"/>
          <w:color w:val="000000" w:themeColor="text1"/>
        </w:rPr>
      </w:pPr>
      <w:r w:rsidRPr="00260790">
        <w:rPr>
          <w:rFonts w:ascii="Times New Roman" w:hAnsi="Times New Roman"/>
          <w:color w:val="000000" w:themeColor="text1"/>
        </w:rPr>
        <w:t xml:space="preserve">Description des mesures d’atténuation selon leur chronologie (avant le démarrage, démarrage des travaux, pendant les travaux, pendant l’exploitation) et de leurs coûts ; les mesures seront codifiées par source et en relation avec la codification des impacts ; </w:t>
      </w:r>
    </w:p>
    <w:p w14:paraId="015273D4" w14:textId="77777777" w:rsidR="00267147" w:rsidRPr="00260790" w:rsidRDefault="00267147" w:rsidP="001748C6">
      <w:pPr>
        <w:numPr>
          <w:ilvl w:val="1"/>
          <w:numId w:val="198"/>
        </w:numPr>
        <w:spacing w:after="5" w:line="240" w:lineRule="auto"/>
        <w:ind w:right="139" w:hanging="360"/>
        <w:jc w:val="both"/>
        <w:rPr>
          <w:rFonts w:ascii="Times New Roman" w:hAnsi="Times New Roman"/>
          <w:color w:val="000000" w:themeColor="text1"/>
        </w:rPr>
      </w:pPr>
      <w:r w:rsidRPr="00260790">
        <w:rPr>
          <w:rFonts w:ascii="Times New Roman" w:hAnsi="Times New Roman"/>
          <w:color w:val="000000" w:themeColor="text1"/>
        </w:rPr>
        <w:t xml:space="preserve">Cadre organisationnel de mise en œuvre du PGES ; </w:t>
      </w:r>
    </w:p>
    <w:p w14:paraId="53323AB2" w14:textId="77777777" w:rsidR="00267147" w:rsidRPr="00260790" w:rsidRDefault="00267147" w:rsidP="001748C6">
      <w:pPr>
        <w:numPr>
          <w:ilvl w:val="1"/>
          <w:numId w:val="198"/>
        </w:numPr>
        <w:spacing w:after="5" w:line="240" w:lineRule="auto"/>
        <w:ind w:right="139" w:hanging="360"/>
        <w:jc w:val="both"/>
        <w:rPr>
          <w:rFonts w:ascii="Times New Roman" w:hAnsi="Times New Roman"/>
          <w:color w:val="000000" w:themeColor="text1"/>
        </w:rPr>
      </w:pPr>
      <w:r w:rsidRPr="00260790">
        <w:rPr>
          <w:rFonts w:ascii="Times New Roman" w:hAnsi="Times New Roman"/>
          <w:color w:val="000000" w:themeColor="text1"/>
        </w:rPr>
        <w:t xml:space="preserve">Mécanisme de suivi-évaluation du PGES ; </w:t>
      </w:r>
    </w:p>
    <w:p w14:paraId="49029EB9" w14:textId="77777777" w:rsidR="00267147" w:rsidRPr="00260790" w:rsidRDefault="00267147" w:rsidP="001748C6">
      <w:pPr>
        <w:numPr>
          <w:ilvl w:val="1"/>
          <w:numId w:val="198"/>
        </w:numPr>
        <w:spacing w:after="5" w:line="240" w:lineRule="auto"/>
        <w:ind w:right="139" w:hanging="360"/>
        <w:jc w:val="both"/>
        <w:rPr>
          <w:rFonts w:ascii="Times New Roman" w:hAnsi="Times New Roman"/>
          <w:color w:val="000000" w:themeColor="text1"/>
        </w:rPr>
      </w:pPr>
      <w:r w:rsidRPr="00260790">
        <w:rPr>
          <w:rFonts w:ascii="Times New Roman" w:hAnsi="Times New Roman"/>
          <w:color w:val="000000" w:themeColor="text1"/>
        </w:rPr>
        <w:t xml:space="preserve">Tableau de synthèse du PGES ; </w:t>
      </w:r>
      <w:r w:rsidRPr="00260790">
        <w:rPr>
          <w:rFonts w:ascii="Times New Roman" w:eastAsia="Segoe UI Symbol" w:hAnsi="Times New Roman"/>
          <w:color w:val="000000" w:themeColor="text1"/>
        </w:rPr>
        <w:t></w:t>
      </w:r>
      <w:r w:rsidRPr="00260790">
        <w:rPr>
          <w:rFonts w:ascii="Times New Roman" w:eastAsia="Arial" w:hAnsi="Times New Roman"/>
          <w:color w:val="000000" w:themeColor="text1"/>
        </w:rPr>
        <w:t xml:space="preserve"> </w:t>
      </w:r>
      <w:r w:rsidRPr="00260790">
        <w:rPr>
          <w:rFonts w:ascii="Times New Roman" w:eastAsia="Arial" w:hAnsi="Times New Roman"/>
          <w:color w:val="000000" w:themeColor="text1"/>
        </w:rPr>
        <w:tab/>
      </w:r>
      <w:r w:rsidRPr="00260790">
        <w:rPr>
          <w:rFonts w:ascii="Times New Roman" w:hAnsi="Times New Roman"/>
          <w:color w:val="000000" w:themeColor="text1"/>
        </w:rPr>
        <w:t xml:space="preserve">Conclusion et recommandations principales ; </w:t>
      </w:r>
    </w:p>
    <w:p w14:paraId="048FFF45" w14:textId="77777777" w:rsidR="00267147" w:rsidRPr="00260790" w:rsidRDefault="00267147" w:rsidP="001748C6">
      <w:pPr>
        <w:numPr>
          <w:ilvl w:val="0"/>
          <w:numId w:val="198"/>
        </w:numPr>
        <w:spacing w:after="5" w:line="240" w:lineRule="auto"/>
        <w:ind w:right="139" w:hanging="427"/>
        <w:jc w:val="both"/>
        <w:rPr>
          <w:rFonts w:ascii="Times New Roman" w:hAnsi="Times New Roman"/>
          <w:color w:val="000000" w:themeColor="text1"/>
        </w:rPr>
      </w:pPr>
      <w:r w:rsidRPr="00260790">
        <w:rPr>
          <w:rFonts w:ascii="Times New Roman" w:hAnsi="Times New Roman"/>
          <w:color w:val="000000" w:themeColor="text1"/>
        </w:rPr>
        <w:lastRenderedPageBreak/>
        <w:t xml:space="preserve">Annexes. </w:t>
      </w:r>
    </w:p>
    <w:p w14:paraId="2340A84D" w14:textId="77777777" w:rsidR="00267147" w:rsidRPr="00260790" w:rsidRDefault="00267147" w:rsidP="001748C6">
      <w:pPr>
        <w:numPr>
          <w:ilvl w:val="2"/>
          <w:numId w:val="199"/>
        </w:numPr>
        <w:spacing w:after="5" w:line="240" w:lineRule="auto"/>
        <w:ind w:right="139" w:hanging="360"/>
        <w:jc w:val="both"/>
        <w:rPr>
          <w:rFonts w:ascii="Times New Roman" w:hAnsi="Times New Roman"/>
          <w:color w:val="000000" w:themeColor="text1"/>
        </w:rPr>
      </w:pPr>
      <w:r w:rsidRPr="00260790">
        <w:rPr>
          <w:rFonts w:ascii="Times New Roman" w:hAnsi="Times New Roman"/>
          <w:color w:val="000000" w:themeColor="text1"/>
        </w:rPr>
        <w:t xml:space="preserve">Bibliographie et références </w:t>
      </w:r>
    </w:p>
    <w:p w14:paraId="0285483A" w14:textId="77777777" w:rsidR="00267147" w:rsidRPr="00260790" w:rsidRDefault="00267147" w:rsidP="001748C6">
      <w:pPr>
        <w:numPr>
          <w:ilvl w:val="2"/>
          <w:numId w:val="199"/>
        </w:numPr>
        <w:spacing w:after="57" w:line="240" w:lineRule="auto"/>
        <w:ind w:right="139" w:hanging="360"/>
        <w:jc w:val="both"/>
        <w:rPr>
          <w:rFonts w:ascii="Times New Roman" w:hAnsi="Times New Roman"/>
          <w:color w:val="000000" w:themeColor="text1"/>
        </w:rPr>
      </w:pPr>
      <w:r w:rsidRPr="00260790">
        <w:rPr>
          <w:rFonts w:ascii="Times New Roman" w:hAnsi="Times New Roman"/>
          <w:color w:val="000000" w:themeColor="text1"/>
        </w:rPr>
        <w:t xml:space="preserve">Liste des personnes consultées (nom, prénoms, structures, localités,) </w:t>
      </w:r>
    </w:p>
    <w:p w14:paraId="4E3079AA" w14:textId="77777777" w:rsidR="00267147" w:rsidRPr="00260790" w:rsidRDefault="00267147" w:rsidP="001748C6">
      <w:pPr>
        <w:numPr>
          <w:ilvl w:val="2"/>
          <w:numId w:val="199"/>
        </w:numPr>
        <w:spacing w:after="5" w:line="240" w:lineRule="auto"/>
        <w:ind w:right="139" w:hanging="360"/>
        <w:jc w:val="both"/>
        <w:rPr>
          <w:rFonts w:ascii="Times New Roman" w:hAnsi="Times New Roman"/>
          <w:color w:val="000000" w:themeColor="text1"/>
        </w:rPr>
      </w:pPr>
      <w:r w:rsidRPr="00260790">
        <w:rPr>
          <w:rFonts w:ascii="Times New Roman" w:hAnsi="Times New Roman"/>
          <w:color w:val="000000" w:themeColor="text1"/>
        </w:rPr>
        <w:t xml:space="preserve">TDR de l’étude </w:t>
      </w:r>
    </w:p>
    <w:p w14:paraId="34B84920" w14:textId="77777777" w:rsidR="00267147" w:rsidRPr="00260790" w:rsidRDefault="00267147" w:rsidP="001748C6">
      <w:pPr>
        <w:numPr>
          <w:ilvl w:val="2"/>
          <w:numId w:val="199"/>
        </w:numPr>
        <w:spacing w:after="5" w:line="240" w:lineRule="auto"/>
        <w:ind w:right="139" w:hanging="360"/>
        <w:jc w:val="both"/>
        <w:rPr>
          <w:rFonts w:ascii="Times New Roman" w:hAnsi="Times New Roman"/>
          <w:color w:val="000000" w:themeColor="text1"/>
        </w:rPr>
      </w:pPr>
      <w:r w:rsidRPr="00260790">
        <w:rPr>
          <w:rFonts w:ascii="Times New Roman" w:hAnsi="Times New Roman"/>
          <w:color w:val="000000" w:themeColor="text1"/>
        </w:rPr>
        <w:t xml:space="preserve">PV des rencontres de consultation formelle du public ; </w:t>
      </w:r>
    </w:p>
    <w:p w14:paraId="1CDA1D5B" w14:textId="77777777" w:rsidR="00267147" w:rsidRPr="00260790" w:rsidRDefault="00267147" w:rsidP="001748C6">
      <w:pPr>
        <w:numPr>
          <w:ilvl w:val="2"/>
          <w:numId w:val="199"/>
        </w:numPr>
        <w:spacing w:after="5" w:line="240" w:lineRule="auto"/>
        <w:ind w:right="139" w:hanging="360"/>
        <w:jc w:val="both"/>
        <w:rPr>
          <w:rFonts w:ascii="Times New Roman" w:hAnsi="Times New Roman"/>
          <w:color w:val="000000" w:themeColor="text1"/>
        </w:rPr>
      </w:pPr>
      <w:r w:rsidRPr="00260790">
        <w:rPr>
          <w:rFonts w:ascii="Times New Roman" w:hAnsi="Times New Roman"/>
          <w:color w:val="000000" w:themeColor="text1"/>
        </w:rPr>
        <w:t xml:space="preserve">Clauses environnementales et sociales à insérer dans le contrat des entreprises </w:t>
      </w:r>
    </w:p>
    <w:p w14:paraId="76A4DF88" w14:textId="77777777" w:rsidR="00267147" w:rsidRPr="00260790" w:rsidRDefault="00267147" w:rsidP="001748C6">
      <w:pPr>
        <w:numPr>
          <w:ilvl w:val="2"/>
          <w:numId w:val="199"/>
        </w:numPr>
        <w:spacing w:after="5" w:line="240" w:lineRule="auto"/>
        <w:ind w:right="139" w:hanging="360"/>
        <w:jc w:val="both"/>
        <w:rPr>
          <w:rFonts w:ascii="Times New Roman" w:hAnsi="Times New Roman"/>
          <w:color w:val="000000" w:themeColor="text1"/>
        </w:rPr>
      </w:pPr>
      <w:r w:rsidRPr="00260790">
        <w:rPr>
          <w:rFonts w:ascii="Times New Roman" w:hAnsi="Times New Roman"/>
          <w:color w:val="000000" w:themeColor="text1"/>
        </w:rPr>
        <w:t xml:space="preserve">Etc. </w:t>
      </w:r>
    </w:p>
    <w:p w14:paraId="2E205C71" w14:textId="77777777" w:rsidR="00267147" w:rsidRPr="00260790" w:rsidRDefault="00267147" w:rsidP="00E20250">
      <w:pPr>
        <w:spacing w:after="0" w:line="240" w:lineRule="auto"/>
        <w:ind w:left="72"/>
        <w:jc w:val="both"/>
        <w:rPr>
          <w:rFonts w:ascii="Times New Roman" w:hAnsi="Times New Roman"/>
          <w:color w:val="000000" w:themeColor="text1"/>
        </w:rPr>
      </w:pPr>
      <w:r w:rsidRPr="00260790">
        <w:rPr>
          <w:rFonts w:ascii="Times New Roman" w:hAnsi="Times New Roman"/>
          <w:color w:val="000000" w:themeColor="text1"/>
        </w:rPr>
        <w:t xml:space="preserve"> </w:t>
      </w:r>
    </w:p>
    <w:p w14:paraId="3CEFA7C3" w14:textId="2A873471" w:rsidR="00267147" w:rsidRPr="00260790" w:rsidRDefault="00267147" w:rsidP="00E20250">
      <w:pPr>
        <w:spacing w:line="240" w:lineRule="auto"/>
        <w:jc w:val="both"/>
        <w:rPr>
          <w:rFonts w:ascii="Times New Roman" w:hAnsi="Times New Roman"/>
          <w:b/>
          <w:bCs/>
          <w:color w:val="000000" w:themeColor="text1"/>
        </w:rPr>
      </w:pPr>
      <w:r w:rsidRPr="00260790">
        <w:rPr>
          <w:rFonts w:ascii="Times New Roman" w:hAnsi="Times New Roman"/>
          <w:b/>
          <w:bCs/>
          <w:color w:val="000000" w:themeColor="text1"/>
        </w:rPr>
        <w:br w:type="page"/>
      </w:r>
    </w:p>
    <w:p w14:paraId="11B4AC36" w14:textId="77777777" w:rsidR="00F96EE3" w:rsidRPr="00260790" w:rsidRDefault="00F96EE3" w:rsidP="00E20250">
      <w:pPr>
        <w:spacing w:line="240" w:lineRule="auto"/>
        <w:rPr>
          <w:rFonts w:ascii="Times New Roman" w:hAnsi="Times New Roman"/>
          <w:b/>
          <w:bCs/>
          <w:color w:val="000000" w:themeColor="text1"/>
        </w:rPr>
        <w:sectPr w:rsidR="00F96EE3" w:rsidRPr="00260790" w:rsidSect="007903CC">
          <w:footerReference w:type="even" r:id="rId162"/>
          <w:footerReference w:type="default" r:id="rId163"/>
          <w:footerReference w:type="first" r:id="rId164"/>
          <w:pgSz w:w="11906" w:h="16838"/>
          <w:pgMar w:top="1418" w:right="1418" w:bottom="1418" w:left="1418" w:header="709" w:footer="454" w:gutter="0"/>
          <w:cols w:space="708"/>
          <w:docGrid w:linePitch="360"/>
        </w:sectPr>
      </w:pPr>
    </w:p>
    <w:p w14:paraId="534B358F" w14:textId="0F65387E" w:rsidR="008F35C9" w:rsidRPr="00260790" w:rsidRDefault="00F96EE3" w:rsidP="00E20250">
      <w:pPr>
        <w:pStyle w:val="Lgende"/>
        <w:spacing w:line="240" w:lineRule="auto"/>
        <w:rPr>
          <w:b/>
          <w:bCs/>
          <w:color w:val="000000" w:themeColor="text1"/>
          <w:sz w:val="22"/>
          <w:szCs w:val="22"/>
        </w:rPr>
      </w:pPr>
      <w:bookmarkStart w:id="2576" w:name="_Toc199431872"/>
      <w:r w:rsidRPr="00260790">
        <w:rPr>
          <w:b/>
          <w:bCs/>
          <w:color w:val="000000" w:themeColor="text1"/>
          <w:sz w:val="22"/>
          <w:szCs w:val="22"/>
        </w:rPr>
        <w:lastRenderedPageBreak/>
        <w:t xml:space="preserve">Annexe </w:t>
      </w:r>
      <w:r w:rsidRPr="00260790">
        <w:rPr>
          <w:b/>
          <w:bCs/>
          <w:color w:val="000000" w:themeColor="text1"/>
          <w:sz w:val="22"/>
          <w:szCs w:val="22"/>
        </w:rPr>
        <w:fldChar w:fldCharType="begin"/>
      </w:r>
      <w:r w:rsidRPr="00260790">
        <w:rPr>
          <w:b/>
          <w:bCs/>
          <w:color w:val="000000" w:themeColor="text1"/>
          <w:sz w:val="22"/>
          <w:szCs w:val="22"/>
        </w:rPr>
        <w:instrText xml:space="preserve"> SEQ Annexe \* ARABIC </w:instrText>
      </w:r>
      <w:r w:rsidRPr="00260790">
        <w:rPr>
          <w:b/>
          <w:bCs/>
          <w:color w:val="000000" w:themeColor="text1"/>
          <w:sz w:val="22"/>
          <w:szCs w:val="22"/>
        </w:rPr>
        <w:fldChar w:fldCharType="separate"/>
      </w:r>
      <w:r w:rsidR="00E26512" w:rsidRPr="00260790">
        <w:rPr>
          <w:b/>
          <w:bCs/>
          <w:color w:val="000000" w:themeColor="text1"/>
          <w:sz w:val="22"/>
          <w:szCs w:val="22"/>
        </w:rPr>
        <w:t>3</w:t>
      </w:r>
      <w:r w:rsidRPr="00260790">
        <w:rPr>
          <w:b/>
          <w:bCs/>
          <w:color w:val="000000" w:themeColor="text1"/>
          <w:sz w:val="22"/>
          <w:szCs w:val="22"/>
        </w:rPr>
        <w:fldChar w:fldCharType="end"/>
      </w:r>
      <w:r w:rsidRPr="00260790">
        <w:rPr>
          <w:b/>
          <w:bCs/>
          <w:color w:val="000000" w:themeColor="text1"/>
          <w:sz w:val="22"/>
          <w:szCs w:val="22"/>
        </w:rPr>
        <w:t xml:space="preserve"> </w:t>
      </w:r>
      <w:r w:rsidR="00EF167F" w:rsidRPr="00260790">
        <w:rPr>
          <w:b/>
          <w:bCs/>
          <w:color w:val="000000" w:themeColor="text1"/>
          <w:sz w:val="22"/>
          <w:szCs w:val="22"/>
        </w:rPr>
        <w:t xml:space="preserve">: </w:t>
      </w:r>
      <w:r w:rsidR="008F35C9" w:rsidRPr="00260790">
        <w:rPr>
          <w:b/>
          <w:bCs/>
          <w:color w:val="000000" w:themeColor="text1"/>
          <w:sz w:val="22"/>
          <w:szCs w:val="22"/>
        </w:rPr>
        <w:t>COMPTE RENDU DES CONSULTATIONS DES PARTIES PRENANTES</w:t>
      </w:r>
      <w:bookmarkEnd w:id="2576"/>
      <w:r w:rsidR="008F35C9" w:rsidRPr="00260790">
        <w:rPr>
          <w:b/>
          <w:bCs/>
          <w:color w:val="000000" w:themeColor="text1"/>
          <w:sz w:val="22"/>
          <w:szCs w:val="22"/>
        </w:rPr>
        <w:t xml:space="preserve"> </w:t>
      </w:r>
    </w:p>
    <w:tbl>
      <w:tblPr>
        <w:tblStyle w:val="Grilledutableau"/>
        <w:tblW w:w="14459" w:type="dxa"/>
        <w:tblInd w:w="-5" w:type="dxa"/>
        <w:tblLook w:val="04A0" w:firstRow="1" w:lastRow="0" w:firstColumn="1" w:lastColumn="0" w:noHBand="0" w:noVBand="1"/>
      </w:tblPr>
      <w:tblGrid>
        <w:gridCol w:w="1781"/>
        <w:gridCol w:w="2896"/>
        <w:gridCol w:w="3403"/>
        <w:gridCol w:w="6379"/>
      </w:tblGrid>
      <w:tr w:rsidR="00BD1A2F" w:rsidRPr="00260790" w14:paraId="1947AB36" w14:textId="77777777" w:rsidTr="005E7ED1">
        <w:trPr>
          <w:tblHeader/>
        </w:trPr>
        <w:tc>
          <w:tcPr>
            <w:tcW w:w="1781" w:type="dxa"/>
            <w:shd w:val="clear" w:color="auto" w:fill="A8D08D" w:themeFill="accent6" w:themeFillTint="99"/>
            <w:vAlign w:val="center"/>
          </w:tcPr>
          <w:p w14:paraId="2C172F4A" w14:textId="77777777" w:rsidR="00A45BEB" w:rsidRPr="00260790" w:rsidRDefault="00A45BEB" w:rsidP="00E20250">
            <w:pPr>
              <w:spacing w:line="240" w:lineRule="auto"/>
              <w:rPr>
                <w:rFonts w:ascii="Times New Roman" w:hAnsi="Times New Roman"/>
                <w:b/>
                <w:color w:val="000000" w:themeColor="text1"/>
                <w:sz w:val="22"/>
                <w:szCs w:val="22"/>
                <w:lang w:val="fr-FR"/>
              </w:rPr>
            </w:pPr>
            <w:bookmarkStart w:id="2577" w:name="_Toc131605703"/>
            <w:bookmarkStart w:id="2578" w:name="_Toc151411379"/>
            <w:r w:rsidRPr="00260790">
              <w:rPr>
                <w:rFonts w:ascii="Times New Roman" w:hAnsi="Times New Roman"/>
                <w:b/>
                <w:color w:val="000000" w:themeColor="text1"/>
                <w:sz w:val="22"/>
                <w:szCs w:val="22"/>
                <w:lang w:val="fr-FR"/>
              </w:rPr>
              <w:t>Acteurs et dates</w:t>
            </w:r>
          </w:p>
        </w:tc>
        <w:tc>
          <w:tcPr>
            <w:tcW w:w="2896" w:type="dxa"/>
            <w:shd w:val="clear" w:color="auto" w:fill="A8D08D" w:themeFill="accent6" w:themeFillTint="99"/>
            <w:vAlign w:val="center"/>
          </w:tcPr>
          <w:p w14:paraId="107DEDEC" w14:textId="77777777" w:rsidR="00A45BEB" w:rsidRPr="00260790" w:rsidRDefault="00A45BEB" w:rsidP="00E20250">
            <w:pPr>
              <w:spacing w:line="240" w:lineRule="auto"/>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Avis et perception du projet</w:t>
            </w:r>
          </w:p>
        </w:tc>
        <w:tc>
          <w:tcPr>
            <w:tcW w:w="3403" w:type="dxa"/>
            <w:shd w:val="clear" w:color="auto" w:fill="A8D08D" w:themeFill="accent6" w:themeFillTint="99"/>
            <w:vAlign w:val="center"/>
          </w:tcPr>
          <w:p w14:paraId="4A1D2783" w14:textId="77777777" w:rsidR="00A45BEB" w:rsidRPr="00260790" w:rsidRDefault="00A45BEB" w:rsidP="00E20250">
            <w:pPr>
              <w:spacing w:line="240" w:lineRule="auto"/>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Préoccupation et craintes</w:t>
            </w:r>
          </w:p>
        </w:tc>
        <w:tc>
          <w:tcPr>
            <w:tcW w:w="6379" w:type="dxa"/>
            <w:shd w:val="clear" w:color="auto" w:fill="A8D08D" w:themeFill="accent6" w:themeFillTint="99"/>
            <w:vAlign w:val="center"/>
          </w:tcPr>
          <w:p w14:paraId="5B81AFF2" w14:textId="77777777" w:rsidR="00A45BEB" w:rsidRPr="00260790" w:rsidRDefault="00A45BEB" w:rsidP="00E20250">
            <w:pPr>
              <w:spacing w:line="240" w:lineRule="auto"/>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Suggestions et recommandations</w:t>
            </w:r>
          </w:p>
        </w:tc>
      </w:tr>
      <w:tr w:rsidR="00BD1A2F" w:rsidRPr="00260790" w14:paraId="27630B5B" w14:textId="77777777" w:rsidTr="005E7ED1">
        <w:tc>
          <w:tcPr>
            <w:tcW w:w="1781" w:type="dxa"/>
            <w:vAlign w:val="center"/>
          </w:tcPr>
          <w:p w14:paraId="6D7FF75A"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 xml:space="preserve">Direction de la surveillance et du contrôle de l’occupation du </w:t>
            </w:r>
            <w:proofErr w:type="gramStart"/>
            <w:r w:rsidRPr="00260790">
              <w:rPr>
                <w:rFonts w:ascii="Times New Roman" w:hAnsi="Times New Roman"/>
                <w:b/>
                <w:color w:val="000000" w:themeColor="text1"/>
                <w:sz w:val="22"/>
                <w:szCs w:val="22"/>
                <w:lang w:val="fr-FR"/>
              </w:rPr>
              <w:t>sol  (</w:t>
            </w:r>
            <w:proofErr w:type="gramEnd"/>
            <w:r w:rsidRPr="00260790">
              <w:rPr>
                <w:rFonts w:ascii="Times New Roman" w:hAnsi="Times New Roman"/>
                <w:b/>
                <w:color w:val="000000" w:themeColor="text1"/>
                <w:sz w:val="22"/>
                <w:szCs w:val="22"/>
                <w:lang w:val="fr-FR"/>
              </w:rPr>
              <w:t xml:space="preserve"> DSCOS)</w:t>
            </w:r>
          </w:p>
          <w:p w14:paraId="61413580"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Rencontre avec la spécialiste de l’environnement</w:t>
            </w:r>
          </w:p>
          <w:p w14:paraId="1DAE4871"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30/09/2024</w:t>
            </w:r>
          </w:p>
          <w:p w14:paraId="421DE1D4"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p>
        </w:tc>
        <w:tc>
          <w:tcPr>
            <w:tcW w:w="2896" w:type="dxa"/>
            <w:vAlign w:val="center"/>
          </w:tcPr>
          <w:p w14:paraId="0F6D667F"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Bonne appréciation du projet : la DSCOS et l’Agence de développement municipal ont d’ailleurs signé un protocole d’accord lors de la première phase du PROGEP dans le cadre d’une bonne sécurisation des emprises et du contrôle de l’occupation des sols dans les zones ciblées par le PROGEP I.</w:t>
            </w:r>
          </w:p>
        </w:tc>
        <w:tc>
          <w:tcPr>
            <w:tcW w:w="3403" w:type="dxa"/>
            <w:vAlign w:val="center"/>
          </w:tcPr>
          <w:p w14:paraId="7301DFDD"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Sécurisation des emprises surtout si elles sont sujettes à des occupations irrégulières</w:t>
            </w:r>
          </w:p>
          <w:p w14:paraId="29F6174D"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Occupations irrégulières des habitants aux alentours du marigot de Mbao.</w:t>
            </w:r>
          </w:p>
          <w:p w14:paraId="60E89BBE" w14:textId="29BEA432"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Entraves à la gestion des eaux pluviales du</w:t>
            </w:r>
            <w:r w:rsidR="00775C84" w:rsidRPr="00260790">
              <w:rPr>
                <w:rFonts w:ascii="Times New Roman" w:hAnsi="Times New Roman"/>
                <w:color w:val="000000" w:themeColor="text1"/>
                <w:sz w:val="22"/>
                <w:szCs w:val="22"/>
                <w:lang w:val="fr-FR"/>
              </w:rPr>
              <w:t>e</w:t>
            </w:r>
            <w:r w:rsidRPr="00260790">
              <w:rPr>
                <w:rFonts w:ascii="Times New Roman" w:hAnsi="Times New Roman"/>
                <w:color w:val="000000" w:themeColor="text1"/>
                <w:sz w:val="22"/>
                <w:szCs w:val="22"/>
                <w:lang w:val="fr-FR"/>
              </w:rPr>
              <w:t xml:space="preserve">s aux occupations irrégulières </w:t>
            </w:r>
          </w:p>
        </w:tc>
        <w:tc>
          <w:tcPr>
            <w:tcW w:w="6379" w:type="dxa"/>
            <w:vAlign w:val="center"/>
          </w:tcPr>
          <w:p w14:paraId="56ABBFC2"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bookmarkStart w:id="2579" w:name="_Hlk183392363"/>
            <w:r w:rsidRPr="00260790">
              <w:rPr>
                <w:rFonts w:ascii="Times New Roman" w:hAnsi="Times New Roman"/>
                <w:color w:val="000000" w:themeColor="text1"/>
                <w:sz w:val="22"/>
                <w:szCs w:val="22"/>
                <w:lang w:val="fr-FR"/>
              </w:rPr>
              <w:t>Renforcer la relation entre la DSCOS et l’ADM dans le cadre de ce projet</w:t>
            </w:r>
          </w:p>
          <w:bookmarkEnd w:id="2579"/>
          <w:p w14:paraId="15E8595C"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Renforcer la capacité de la DSCOS par rapport au PAR (plan d’actions et de réinstallation) et aux changements climatiques. </w:t>
            </w:r>
          </w:p>
          <w:p w14:paraId="0DB8D6C5"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Sécuriser les bassins  </w:t>
            </w:r>
          </w:p>
          <w:p w14:paraId="07140DD3"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bookmarkStart w:id="2580" w:name="_Hlk183392460"/>
            <w:r w:rsidRPr="00260790">
              <w:rPr>
                <w:rFonts w:ascii="Times New Roman" w:hAnsi="Times New Roman"/>
                <w:color w:val="000000" w:themeColor="text1"/>
                <w:sz w:val="22"/>
                <w:szCs w:val="22"/>
                <w:lang w:val="fr-FR"/>
              </w:rPr>
              <w:t>Reprofiler le marigot.</w:t>
            </w:r>
            <w:bookmarkEnd w:id="2580"/>
          </w:p>
        </w:tc>
      </w:tr>
      <w:tr w:rsidR="00BD1A2F" w:rsidRPr="00260790" w14:paraId="46221A3D" w14:textId="77777777" w:rsidTr="005E7ED1">
        <w:tc>
          <w:tcPr>
            <w:tcW w:w="1781" w:type="dxa"/>
            <w:vAlign w:val="center"/>
          </w:tcPr>
          <w:p w14:paraId="1DB76246"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Brigade nationale des sapeurs-pompiers</w:t>
            </w:r>
          </w:p>
          <w:p w14:paraId="1F41E475"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proofErr w:type="gramStart"/>
            <w:r w:rsidRPr="00260790">
              <w:rPr>
                <w:rFonts w:ascii="Times New Roman" w:hAnsi="Times New Roman"/>
                <w:b/>
                <w:color w:val="000000" w:themeColor="text1"/>
                <w:sz w:val="22"/>
                <w:szCs w:val="22"/>
                <w:lang w:val="fr-FR"/>
              </w:rPr>
              <w:t>( BNSP</w:t>
            </w:r>
            <w:proofErr w:type="gramEnd"/>
            <w:r w:rsidRPr="00260790">
              <w:rPr>
                <w:rFonts w:ascii="Times New Roman" w:hAnsi="Times New Roman"/>
                <w:b/>
                <w:color w:val="000000" w:themeColor="text1"/>
                <w:sz w:val="22"/>
                <w:szCs w:val="22"/>
                <w:lang w:val="fr-FR"/>
              </w:rPr>
              <w:t>)</w:t>
            </w:r>
          </w:p>
          <w:p w14:paraId="3DE62BDA"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Rencontre avec les deux adjudants-chefs</w:t>
            </w:r>
          </w:p>
          <w:p w14:paraId="422D31BF"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30/09/2024</w:t>
            </w:r>
          </w:p>
        </w:tc>
        <w:tc>
          <w:tcPr>
            <w:tcW w:w="2896" w:type="dxa"/>
            <w:vAlign w:val="center"/>
          </w:tcPr>
          <w:p w14:paraId="5ADA4746" w14:textId="7A275FA3"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Bonne perception du projet : c’est un projet important</w:t>
            </w:r>
            <w:r w:rsidR="006F7A0B" w:rsidRPr="00260790">
              <w:rPr>
                <w:rFonts w:ascii="Times New Roman" w:hAnsi="Times New Roman"/>
                <w:color w:val="000000" w:themeColor="text1"/>
                <w:sz w:val="22"/>
                <w:szCs w:val="22"/>
                <w:lang w:val="fr-FR"/>
              </w:rPr>
              <w:t>,</w:t>
            </w:r>
            <w:r w:rsidRPr="00260790">
              <w:rPr>
                <w:rFonts w:ascii="Times New Roman" w:hAnsi="Times New Roman"/>
                <w:color w:val="000000" w:themeColor="text1"/>
                <w:sz w:val="22"/>
                <w:szCs w:val="22"/>
                <w:lang w:val="fr-FR"/>
              </w:rPr>
              <w:t xml:space="preserve"> car il participe au soulagement de la population surtout avec les inondations.</w:t>
            </w:r>
          </w:p>
        </w:tc>
        <w:tc>
          <w:tcPr>
            <w:tcW w:w="3403" w:type="dxa"/>
            <w:vAlign w:val="center"/>
          </w:tcPr>
          <w:p w14:paraId="02ED2EF0"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Le non-respect des mesures par le personnel de chantier pouvant créer des accidents </w:t>
            </w:r>
          </w:p>
          <w:p w14:paraId="602E4CE1"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La non-sécurisation des bassins pouvant créer des chutes accidentelles.</w:t>
            </w:r>
          </w:p>
          <w:p w14:paraId="6B484D92"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L’absence de dispositif de secours pour le personnel</w:t>
            </w:r>
          </w:p>
          <w:p w14:paraId="4FD4D838"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La non-initiation du personnel par rapport à l’utilisation des moyens d’interventions et gestes de premiers secours.</w:t>
            </w:r>
          </w:p>
          <w:p w14:paraId="3377B1B0"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La non- appropriation du projet par la population.</w:t>
            </w:r>
          </w:p>
          <w:p w14:paraId="11E88282" w14:textId="77777777" w:rsidR="00A45BEB" w:rsidRPr="00260790" w:rsidRDefault="00A45BEB" w:rsidP="00E20250">
            <w:pPr>
              <w:pStyle w:val="Paragraphedeliste"/>
              <w:spacing w:line="240" w:lineRule="auto"/>
              <w:ind w:left="177"/>
              <w:jc w:val="both"/>
              <w:rPr>
                <w:rFonts w:ascii="Times New Roman" w:hAnsi="Times New Roman"/>
                <w:color w:val="000000" w:themeColor="text1"/>
                <w:sz w:val="22"/>
                <w:szCs w:val="22"/>
                <w:lang w:val="fr-FR"/>
              </w:rPr>
            </w:pPr>
          </w:p>
        </w:tc>
        <w:tc>
          <w:tcPr>
            <w:tcW w:w="6379" w:type="dxa"/>
            <w:vAlign w:val="center"/>
          </w:tcPr>
          <w:p w14:paraId="1FE37957"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Installer des bases de chantiers pour les ouvriers</w:t>
            </w:r>
          </w:p>
          <w:p w14:paraId="74B2B659" w14:textId="6184BA9D"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Respecter les normes de sécurité pour le personnel de chantier </w:t>
            </w:r>
            <w:proofErr w:type="gramStart"/>
            <w:r w:rsidRPr="00260790">
              <w:rPr>
                <w:rFonts w:ascii="Times New Roman" w:hAnsi="Times New Roman"/>
                <w:color w:val="000000" w:themeColor="text1"/>
                <w:sz w:val="22"/>
                <w:szCs w:val="22"/>
                <w:lang w:val="fr-FR"/>
              </w:rPr>
              <w:t>( équipement</w:t>
            </w:r>
            <w:proofErr w:type="gramEnd"/>
            <w:r w:rsidRPr="00260790">
              <w:rPr>
                <w:rFonts w:ascii="Times New Roman" w:hAnsi="Times New Roman"/>
                <w:color w:val="000000" w:themeColor="text1"/>
                <w:sz w:val="22"/>
                <w:szCs w:val="22"/>
                <w:lang w:val="fr-FR"/>
              </w:rPr>
              <w:t xml:space="preserve"> de protection individuel, équipement</w:t>
            </w:r>
            <w:r w:rsidR="00664800" w:rsidRPr="00260790">
              <w:rPr>
                <w:rFonts w:ascii="Times New Roman" w:hAnsi="Times New Roman"/>
                <w:color w:val="000000" w:themeColor="text1"/>
                <w:sz w:val="22"/>
                <w:szCs w:val="22"/>
                <w:lang w:val="fr-FR"/>
              </w:rPr>
              <w:t>s</w:t>
            </w:r>
            <w:r w:rsidRPr="00260790">
              <w:rPr>
                <w:rFonts w:ascii="Times New Roman" w:hAnsi="Times New Roman"/>
                <w:color w:val="000000" w:themeColor="text1"/>
                <w:sz w:val="22"/>
                <w:szCs w:val="22"/>
                <w:lang w:val="fr-FR"/>
              </w:rPr>
              <w:t xml:space="preserve"> de sécurité appropriés) arrosage du site</w:t>
            </w:r>
          </w:p>
          <w:p w14:paraId="070A79EF"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Organiser des visites médicales pour les ouvriers.</w:t>
            </w:r>
          </w:p>
          <w:p w14:paraId="37F47435"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Octroyer des moyens de secours par rapport au risque comme les extincteurs</w:t>
            </w:r>
          </w:p>
          <w:p w14:paraId="381AD971"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Installer des cuves de carburant pour le ravitaillement des voitures et des engins durant les travaux</w:t>
            </w:r>
          </w:p>
          <w:p w14:paraId="791482C3"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Sécuriser les bassins pour éviter les chutes accidentelles avec les murs et les grillages de protection</w:t>
            </w:r>
          </w:p>
          <w:p w14:paraId="22E97451"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Déployer un dispositif d’éclairage suffisant autour des bassins</w:t>
            </w:r>
          </w:p>
          <w:p w14:paraId="71201C77"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Mettre des panneaux de signalisation autour des bassins</w:t>
            </w:r>
          </w:p>
          <w:p w14:paraId="77F107A6"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Déployer des dispositifs de résistance à chaque point d’entrée des canalisations, des eaux de drainage ainsi qu’au niveau des regards pour éviter toute chute accidentelle pouvant obstruer le réseau</w:t>
            </w:r>
          </w:p>
          <w:p w14:paraId="74BF6642"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Désigner un personnel chargé de la surveillance et doté d’un minimum de matériel </w:t>
            </w:r>
            <w:proofErr w:type="gramStart"/>
            <w:r w:rsidRPr="00260790">
              <w:rPr>
                <w:rFonts w:ascii="Times New Roman" w:hAnsi="Times New Roman"/>
                <w:color w:val="000000" w:themeColor="text1"/>
                <w:sz w:val="22"/>
                <w:szCs w:val="22"/>
                <w:lang w:val="fr-FR"/>
              </w:rPr>
              <w:t>( téléphones</w:t>
            </w:r>
            <w:proofErr w:type="gramEnd"/>
            <w:r w:rsidRPr="00260790">
              <w:rPr>
                <w:rFonts w:ascii="Times New Roman" w:hAnsi="Times New Roman"/>
                <w:color w:val="000000" w:themeColor="text1"/>
                <w:sz w:val="22"/>
                <w:szCs w:val="22"/>
                <w:lang w:val="fr-FR"/>
              </w:rPr>
              <w:t xml:space="preserve"> avec ligne directe, gilets de sauvetage, herse à grappin multiple</w:t>
            </w:r>
          </w:p>
          <w:p w14:paraId="6DC2F506"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Installer un système de recueil et de filtrage de déchets à chaque </w:t>
            </w:r>
            <w:r w:rsidRPr="00260790">
              <w:rPr>
                <w:rFonts w:ascii="Times New Roman" w:hAnsi="Times New Roman"/>
                <w:color w:val="000000" w:themeColor="text1"/>
                <w:sz w:val="22"/>
                <w:szCs w:val="22"/>
                <w:lang w:val="fr-FR"/>
              </w:rPr>
              <w:lastRenderedPageBreak/>
              <w:t xml:space="preserve">sortie des bassins pour permettre à </w:t>
            </w:r>
            <w:proofErr w:type="gramStart"/>
            <w:r w:rsidRPr="00260790">
              <w:rPr>
                <w:rFonts w:ascii="Times New Roman" w:hAnsi="Times New Roman"/>
                <w:color w:val="000000" w:themeColor="text1"/>
                <w:sz w:val="22"/>
                <w:szCs w:val="22"/>
                <w:lang w:val="fr-FR"/>
              </w:rPr>
              <w:t>l’ UCG</w:t>
            </w:r>
            <w:proofErr w:type="gramEnd"/>
            <w:r w:rsidRPr="00260790">
              <w:rPr>
                <w:rFonts w:ascii="Times New Roman" w:hAnsi="Times New Roman"/>
                <w:color w:val="000000" w:themeColor="text1"/>
                <w:sz w:val="22"/>
                <w:szCs w:val="22"/>
                <w:lang w:val="fr-FR"/>
              </w:rPr>
              <w:t xml:space="preserve"> de gérer les déchets.</w:t>
            </w:r>
          </w:p>
          <w:p w14:paraId="6B3EDB8B"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Renforcer les capacités du personnel à l’utilisation des moyens d’intervention et gestes de premiers secours et à l’affichage des consignes par rapport aux bases de chantiers et aux bassins.</w:t>
            </w:r>
          </w:p>
          <w:p w14:paraId="657940C8" w14:textId="3E85AA9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Installer de l’aménagement vert autour des bassins avec des jardins publics</w:t>
            </w:r>
            <w:r w:rsidR="001A5354" w:rsidRPr="00260790">
              <w:rPr>
                <w:rFonts w:ascii="Times New Roman" w:hAnsi="Times New Roman"/>
                <w:color w:val="000000" w:themeColor="text1"/>
                <w:sz w:val="22"/>
                <w:szCs w:val="22"/>
                <w:lang w:val="fr-FR"/>
              </w:rPr>
              <w:t>,</w:t>
            </w:r>
            <w:r w:rsidRPr="00260790">
              <w:rPr>
                <w:rFonts w:ascii="Times New Roman" w:hAnsi="Times New Roman"/>
                <w:color w:val="000000" w:themeColor="text1"/>
                <w:sz w:val="22"/>
                <w:szCs w:val="22"/>
                <w:lang w:val="fr-FR"/>
              </w:rPr>
              <w:t xml:space="preserve"> etc.</w:t>
            </w:r>
          </w:p>
          <w:p w14:paraId="77B71809"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Sensibiliser la population par rapport au projet.</w:t>
            </w:r>
          </w:p>
        </w:tc>
      </w:tr>
      <w:tr w:rsidR="00BD1A2F" w:rsidRPr="00260790" w14:paraId="629CADE9" w14:textId="77777777" w:rsidTr="005E7ED1">
        <w:tc>
          <w:tcPr>
            <w:tcW w:w="1781" w:type="dxa"/>
            <w:vAlign w:val="center"/>
          </w:tcPr>
          <w:p w14:paraId="25557180"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DREEC</w:t>
            </w:r>
          </w:p>
          <w:p w14:paraId="59EFFF16"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 xml:space="preserve">Rencontre avec le chef de service </w:t>
            </w:r>
          </w:p>
          <w:p w14:paraId="6719C2AF"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30/10/2024</w:t>
            </w:r>
          </w:p>
        </w:tc>
        <w:tc>
          <w:tcPr>
            <w:tcW w:w="2896" w:type="dxa"/>
            <w:vAlign w:val="center"/>
          </w:tcPr>
          <w:p w14:paraId="624EAFA7"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Avis favorable au projet dans la mesure où la mise en œuvre est bien faite.</w:t>
            </w:r>
          </w:p>
        </w:tc>
        <w:tc>
          <w:tcPr>
            <w:tcW w:w="3403" w:type="dxa"/>
            <w:vAlign w:val="center"/>
          </w:tcPr>
          <w:p w14:paraId="7FB59213"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Occupations irrégulières de la population autour du Marigot.</w:t>
            </w:r>
          </w:p>
          <w:p w14:paraId="73B1DF21"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Pollution du marigot à cause des branchements clandestins qui produisent des eaux usées </w:t>
            </w:r>
          </w:p>
          <w:p w14:paraId="09C9FB57"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Déversement des ordures ménagères dans le marigot rendant celui-ci pollué.</w:t>
            </w:r>
          </w:p>
          <w:p w14:paraId="24BBDFF2"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Rétrécissement du marigot à cause des habitations.</w:t>
            </w:r>
          </w:p>
          <w:p w14:paraId="568B0840"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La non-sécurisation du marigot provoquant des chutes, des accidents pour le bétail</w:t>
            </w:r>
          </w:p>
          <w:p w14:paraId="2EC86813"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Coupure de la connexion entre la mer et le marigot rendant difficile le passage des eaux pluviales et créant des inondations.</w:t>
            </w:r>
          </w:p>
          <w:p w14:paraId="594D7F29"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Surcharge du marigot </w:t>
            </w:r>
          </w:p>
        </w:tc>
        <w:tc>
          <w:tcPr>
            <w:tcW w:w="6379" w:type="dxa"/>
            <w:vAlign w:val="center"/>
          </w:tcPr>
          <w:p w14:paraId="0D143512"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 </w:t>
            </w:r>
            <w:bookmarkStart w:id="2581" w:name="_Hlk183392547"/>
            <w:r w:rsidRPr="00260790">
              <w:rPr>
                <w:rFonts w:ascii="Times New Roman" w:hAnsi="Times New Roman"/>
                <w:color w:val="000000" w:themeColor="text1"/>
                <w:sz w:val="22"/>
                <w:szCs w:val="22"/>
                <w:lang w:val="fr-FR"/>
              </w:rPr>
              <w:t>Dévier la connexion entre la mer et le marigot pour faciliter le passage des eaux pluviales.</w:t>
            </w:r>
            <w:bookmarkEnd w:id="2581"/>
          </w:p>
          <w:p w14:paraId="5B44999A" w14:textId="3CFFE4F2"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Reprofiler, sécuriser le marigot et établir une bonne connexion entre les bassins et le marigot</w:t>
            </w:r>
            <w:r w:rsidR="005C5B32" w:rsidRPr="00260790">
              <w:rPr>
                <w:rFonts w:ascii="Times New Roman" w:hAnsi="Times New Roman"/>
                <w:color w:val="000000" w:themeColor="text1"/>
                <w:sz w:val="22"/>
                <w:szCs w:val="22"/>
                <w:lang w:val="fr-FR"/>
              </w:rPr>
              <w:t>,</w:t>
            </w:r>
            <w:r w:rsidRPr="00260790">
              <w:rPr>
                <w:rFonts w:ascii="Times New Roman" w:hAnsi="Times New Roman"/>
                <w:color w:val="000000" w:themeColor="text1"/>
                <w:sz w:val="22"/>
                <w:szCs w:val="22"/>
                <w:lang w:val="fr-FR"/>
              </w:rPr>
              <w:t xml:space="preserve"> mais également entre le marigot et la mer.</w:t>
            </w:r>
          </w:p>
          <w:p w14:paraId="71C58D46"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 Faciliter une bonne prise en charge des ordures ménagères pour éviter les branchements clandestins déversant sur le marigot.</w:t>
            </w:r>
          </w:p>
          <w:p w14:paraId="42C99896" w14:textId="3FFEE491"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Adopter un bon plan de communication, de sensibilisation envers la population sur le projet</w:t>
            </w:r>
            <w:r w:rsidR="005C5B32" w:rsidRPr="00260790">
              <w:rPr>
                <w:rFonts w:ascii="Times New Roman" w:hAnsi="Times New Roman"/>
                <w:color w:val="000000" w:themeColor="text1"/>
                <w:sz w:val="22"/>
                <w:szCs w:val="22"/>
                <w:lang w:val="fr-FR"/>
              </w:rPr>
              <w:t>,</w:t>
            </w:r>
            <w:r w:rsidRPr="00260790">
              <w:rPr>
                <w:rFonts w:ascii="Times New Roman" w:hAnsi="Times New Roman"/>
                <w:color w:val="000000" w:themeColor="text1"/>
                <w:sz w:val="22"/>
                <w:szCs w:val="22"/>
                <w:lang w:val="fr-FR"/>
              </w:rPr>
              <w:t xml:space="preserve"> mais également sur les attitudes communautaires à adopter pour faciliter une bonne gestion des bassins et du marigot.</w:t>
            </w:r>
          </w:p>
          <w:p w14:paraId="4AEF8A62"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Déplacer les ménages qui sont installés à côté des bassins et du marigot et Réaliser un PAR pour leurs compensations.</w:t>
            </w:r>
          </w:p>
        </w:tc>
      </w:tr>
      <w:tr w:rsidR="00BD1A2F" w:rsidRPr="00260790" w14:paraId="1397F4D2" w14:textId="77777777" w:rsidTr="005E7ED1">
        <w:tc>
          <w:tcPr>
            <w:tcW w:w="1781" w:type="dxa"/>
            <w:vAlign w:val="center"/>
          </w:tcPr>
          <w:p w14:paraId="2FC8BB75"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Forêts classées de Mbao</w:t>
            </w:r>
          </w:p>
          <w:p w14:paraId="42CC3BFD"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 xml:space="preserve">Rencontre avec le commandant coordonnateur de la cellule de mise en œuvre du plan d’aménagement </w:t>
            </w:r>
            <w:r w:rsidRPr="00260790">
              <w:rPr>
                <w:rFonts w:ascii="Times New Roman" w:hAnsi="Times New Roman"/>
                <w:b/>
                <w:color w:val="000000" w:themeColor="text1"/>
                <w:sz w:val="22"/>
                <w:szCs w:val="22"/>
                <w:lang w:val="fr-FR"/>
              </w:rPr>
              <w:lastRenderedPageBreak/>
              <w:t xml:space="preserve">et le chef de secteur forestier de Pikine </w:t>
            </w:r>
          </w:p>
          <w:p w14:paraId="30263380"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30/10/2024</w:t>
            </w:r>
          </w:p>
        </w:tc>
        <w:tc>
          <w:tcPr>
            <w:tcW w:w="2896" w:type="dxa"/>
            <w:vAlign w:val="center"/>
          </w:tcPr>
          <w:p w14:paraId="44928021"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 xml:space="preserve">C’est un projet d’urgence qui peut soulager la population avec les inondations surtout avec une bonne mise en œuvre. </w:t>
            </w:r>
          </w:p>
        </w:tc>
        <w:tc>
          <w:tcPr>
            <w:tcW w:w="3403" w:type="dxa"/>
            <w:vAlign w:val="center"/>
          </w:tcPr>
          <w:p w14:paraId="434A4888"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Coupures excessives de milliers d’arbres sans avoir de compensations en retour</w:t>
            </w:r>
          </w:p>
          <w:p w14:paraId="13CD5B61"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Non-respect des engagements du protocole entre les Eaux et forêts et l’ADM par rapport au paiement des compensations.</w:t>
            </w:r>
          </w:p>
          <w:p w14:paraId="48376723"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Ensablement entre le marigot et la </w:t>
            </w:r>
            <w:r w:rsidRPr="00260790">
              <w:rPr>
                <w:rFonts w:ascii="Times New Roman" w:hAnsi="Times New Roman"/>
                <w:color w:val="000000" w:themeColor="text1"/>
                <w:sz w:val="22"/>
                <w:szCs w:val="22"/>
                <w:lang w:val="fr-FR"/>
              </w:rPr>
              <w:lastRenderedPageBreak/>
              <w:t>mer créant des obstructions rendant difficile l’évacuation des eaux pluviales.</w:t>
            </w:r>
          </w:p>
          <w:p w14:paraId="107C8DD3"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La non-sécurisation des bassins.</w:t>
            </w:r>
          </w:p>
          <w:p w14:paraId="15597E8B"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Obstruction du passage des eaux pluviales avec la présence de TER et l’autoroute à péage dans le bassin versant nord de la zone</w:t>
            </w:r>
          </w:p>
          <w:p w14:paraId="25585864"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Stagnation de l’eau dans la zone qui abrite l’autoroute à péage et le </w:t>
            </w:r>
            <w:proofErr w:type="gramStart"/>
            <w:r w:rsidRPr="00260790">
              <w:rPr>
                <w:rFonts w:ascii="Times New Roman" w:hAnsi="Times New Roman"/>
                <w:color w:val="000000" w:themeColor="text1"/>
                <w:sz w:val="22"/>
                <w:szCs w:val="22"/>
                <w:lang w:val="fr-FR"/>
              </w:rPr>
              <w:t>TER .</w:t>
            </w:r>
            <w:proofErr w:type="gramEnd"/>
          </w:p>
          <w:p w14:paraId="4943A927"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Pollution du marigot à cause des branchements clandestins.</w:t>
            </w:r>
          </w:p>
          <w:p w14:paraId="43BD192E"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Mauvais emplacement de l’usine Africa Fish très proche du marigot.</w:t>
            </w:r>
          </w:p>
          <w:p w14:paraId="487BD5A6"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Branchements clandestins dans le bassin versant nord causant la présence de nitrates dans le marigot provoquant la mort des poissons.</w:t>
            </w:r>
          </w:p>
          <w:p w14:paraId="51C01646"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Pollution du marigot dû aux eaux usées des fosses septiques et des déchets déversés par les ménages installés aux alentours du marigot.</w:t>
            </w:r>
          </w:p>
          <w:p w14:paraId="51235485"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Présence d’une forte dépression avec de l’eau en permanence dû au mauvais fonctionnement et au sous dimensionnement des ouvrages hydrauliques du TER et de l’autoroute à Péage causant la mort de plusieurs arbres</w:t>
            </w:r>
          </w:p>
        </w:tc>
        <w:tc>
          <w:tcPr>
            <w:tcW w:w="6379" w:type="dxa"/>
            <w:vAlign w:val="center"/>
          </w:tcPr>
          <w:p w14:paraId="536E4B08"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 xml:space="preserve">Déloger les habitants à côté du marigot. </w:t>
            </w:r>
            <w:proofErr w:type="gramStart"/>
            <w:r w:rsidRPr="00260790">
              <w:rPr>
                <w:rFonts w:ascii="Times New Roman" w:hAnsi="Times New Roman"/>
                <w:color w:val="000000" w:themeColor="text1"/>
                <w:sz w:val="22"/>
                <w:szCs w:val="22"/>
                <w:lang w:val="fr-FR"/>
              </w:rPr>
              <w:t>et</w:t>
            </w:r>
            <w:proofErr w:type="gramEnd"/>
            <w:r w:rsidRPr="00260790">
              <w:rPr>
                <w:rFonts w:ascii="Times New Roman" w:hAnsi="Times New Roman"/>
                <w:color w:val="000000" w:themeColor="text1"/>
                <w:sz w:val="22"/>
                <w:szCs w:val="22"/>
                <w:lang w:val="fr-FR"/>
              </w:rPr>
              <w:t xml:space="preserve"> leur trouver un site de relogement</w:t>
            </w:r>
          </w:p>
          <w:p w14:paraId="49414E25"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Déplacer l’usine de poissons Africa </w:t>
            </w:r>
            <w:proofErr w:type="spellStart"/>
            <w:r w:rsidRPr="00260790">
              <w:rPr>
                <w:rFonts w:ascii="Times New Roman" w:hAnsi="Times New Roman"/>
                <w:color w:val="000000" w:themeColor="text1"/>
                <w:sz w:val="22"/>
                <w:szCs w:val="22"/>
                <w:lang w:val="fr-FR"/>
              </w:rPr>
              <w:t>fish</w:t>
            </w:r>
            <w:proofErr w:type="spellEnd"/>
            <w:r w:rsidRPr="00260790">
              <w:rPr>
                <w:rFonts w:ascii="Times New Roman" w:hAnsi="Times New Roman"/>
                <w:color w:val="000000" w:themeColor="text1"/>
                <w:sz w:val="22"/>
                <w:szCs w:val="22"/>
                <w:lang w:val="fr-FR"/>
              </w:rPr>
              <w:t xml:space="preserve"> dans un autre endroit éloigné du marigot.</w:t>
            </w:r>
          </w:p>
          <w:p w14:paraId="695FABEB"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Réactualiser le protocole d’accord et respecter les engagements pris par ADM vis à vis de la Direction des Eaux et Forêts </w:t>
            </w:r>
          </w:p>
          <w:p w14:paraId="16534558"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Reprofiler le marigot.</w:t>
            </w:r>
          </w:p>
        </w:tc>
      </w:tr>
      <w:tr w:rsidR="00BD1A2F" w:rsidRPr="00260790" w14:paraId="33A4B8A4" w14:textId="77777777" w:rsidTr="005E7ED1">
        <w:tc>
          <w:tcPr>
            <w:tcW w:w="1781" w:type="dxa"/>
            <w:vAlign w:val="center"/>
          </w:tcPr>
          <w:p w14:paraId="4797EA70" w14:textId="77777777" w:rsidR="00A45BEB" w:rsidRPr="00260790" w:rsidRDefault="00A45BEB" w:rsidP="00E20250">
            <w:pPr>
              <w:spacing w:line="240" w:lineRule="auto"/>
              <w:jc w:val="both"/>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 xml:space="preserve">Inspection régionale des </w:t>
            </w:r>
            <w:r w:rsidRPr="00260790">
              <w:rPr>
                <w:rFonts w:ascii="Times New Roman" w:hAnsi="Times New Roman"/>
                <w:b/>
                <w:color w:val="000000" w:themeColor="text1"/>
                <w:sz w:val="22"/>
                <w:szCs w:val="22"/>
                <w:lang w:val="fr-FR"/>
              </w:rPr>
              <w:lastRenderedPageBreak/>
              <w:t xml:space="preserve">Eaux et forêts (IREF) Rencontre avec le chef de service  </w:t>
            </w:r>
          </w:p>
          <w:p w14:paraId="2A09B5D6" w14:textId="77777777" w:rsidR="00A45BEB" w:rsidRPr="00260790" w:rsidRDefault="00A45BEB" w:rsidP="00E20250">
            <w:pPr>
              <w:spacing w:line="240" w:lineRule="auto"/>
              <w:jc w:val="both"/>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30 /10 /2024</w:t>
            </w:r>
          </w:p>
        </w:tc>
        <w:tc>
          <w:tcPr>
            <w:tcW w:w="2896" w:type="dxa"/>
            <w:vAlign w:val="center"/>
          </w:tcPr>
          <w:p w14:paraId="5191A2D7" w14:textId="77777777" w:rsidR="00A45BEB" w:rsidRPr="00260790" w:rsidRDefault="00A45BEB" w:rsidP="00E20250">
            <w:pPr>
              <w:spacing w:line="240" w:lineRule="auto"/>
              <w:jc w:val="both"/>
              <w:rPr>
                <w:rFonts w:ascii="Times New Roman" w:hAnsi="Times New Roman"/>
                <w:color w:val="000000" w:themeColor="text1"/>
                <w:sz w:val="22"/>
                <w:szCs w:val="22"/>
                <w:lang w:val="fr-FR"/>
              </w:rPr>
            </w:pPr>
          </w:p>
          <w:p w14:paraId="5B20F29D" w14:textId="61BF2A5B"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C’est un projet auquel nous </w:t>
            </w:r>
            <w:r w:rsidRPr="00260790">
              <w:rPr>
                <w:rFonts w:ascii="Times New Roman" w:hAnsi="Times New Roman"/>
                <w:color w:val="000000" w:themeColor="text1"/>
                <w:sz w:val="22"/>
                <w:szCs w:val="22"/>
                <w:lang w:val="fr-FR"/>
              </w:rPr>
              <w:lastRenderedPageBreak/>
              <w:t>avons participé précisément à la Phase I du PROGEP. C’est un projet qui, certes, soulage la population des inondations</w:t>
            </w:r>
            <w:r w:rsidR="005C5B32" w:rsidRPr="00260790">
              <w:rPr>
                <w:rFonts w:ascii="Times New Roman" w:hAnsi="Times New Roman"/>
                <w:color w:val="000000" w:themeColor="text1"/>
                <w:sz w:val="22"/>
                <w:szCs w:val="22"/>
                <w:lang w:val="fr-FR"/>
              </w:rPr>
              <w:t>,</w:t>
            </w:r>
            <w:r w:rsidRPr="00260790">
              <w:rPr>
                <w:rFonts w:ascii="Times New Roman" w:hAnsi="Times New Roman"/>
                <w:color w:val="000000" w:themeColor="text1"/>
                <w:sz w:val="22"/>
                <w:szCs w:val="22"/>
                <w:lang w:val="fr-FR"/>
              </w:rPr>
              <w:t xml:space="preserve"> mais en retour les mesures de compensations n’ont pas été respectées ; ainsi, la forêt est transformée en zone humide avec beaucoup de dommages collatéraux. </w:t>
            </w:r>
          </w:p>
        </w:tc>
        <w:tc>
          <w:tcPr>
            <w:tcW w:w="3403" w:type="dxa"/>
            <w:vAlign w:val="center"/>
          </w:tcPr>
          <w:p w14:paraId="1A084914"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 xml:space="preserve">Coupures excessives d’arbre sans compensations en retour (4790 </w:t>
            </w:r>
            <w:r w:rsidRPr="00260790">
              <w:rPr>
                <w:rFonts w:ascii="Times New Roman" w:hAnsi="Times New Roman"/>
                <w:color w:val="000000" w:themeColor="text1"/>
                <w:sz w:val="22"/>
                <w:szCs w:val="22"/>
                <w:lang w:val="fr-FR"/>
              </w:rPr>
              <w:lastRenderedPageBreak/>
              <w:t>pieds coupés)</w:t>
            </w:r>
          </w:p>
          <w:p w14:paraId="4AE84826"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Problème de stabilisation des bassins et de la forêt classée.</w:t>
            </w:r>
          </w:p>
          <w:p w14:paraId="4C24C95F"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Non-respect des promesses tenues lors du PROGEP I et Craintes que ce non-respect se reproduise au PROGEP II.</w:t>
            </w:r>
          </w:p>
          <w:p w14:paraId="3A4E2D1C"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Non respects des engagements pris par l’ADM et le service des eaux et forêts.</w:t>
            </w:r>
          </w:p>
          <w:p w14:paraId="64255EB7"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Inondation de la forêt classée avec les eaux usées évacuées par les communautés voisines</w:t>
            </w:r>
          </w:p>
          <w:p w14:paraId="08AF80A1" w14:textId="70BE6F65"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Présence d’occupation</w:t>
            </w:r>
            <w:r w:rsidR="00664800" w:rsidRPr="00260790">
              <w:rPr>
                <w:rFonts w:ascii="Times New Roman" w:hAnsi="Times New Roman"/>
                <w:color w:val="000000" w:themeColor="text1"/>
                <w:sz w:val="22"/>
                <w:szCs w:val="22"/>
                <w:lang w:val="fr-FR"/>
              </w:rPr>
              <w:t>s</w:t>
            </w:r>
            <w:r w:rsidRPr="00260790">
              <w:rPr>
                <w:rFonts w:ascii="Times New Roman" w:hAnsi="Times New Roman"/>
                <w:color w:val="000000" w:themeColor="text1"/>
                <w:sz w:val="22"/>
                <w:szCs w:val="22"/>
                <w:lang w:val="fr-FR"/>
              </w:rPr>
              <w:t xml:space="preserve"> irrégulière</w:t>
            </w:r>
            <w:r w:rsidR="00664800" w:rsidRPr="00260790">
              <w:rPr>
                <w:rFonts w:ascii="Times New Roman" w:hAnsi="Times New Roman"/>
                <w:color w:val="000000" w:themeColor="text1"/>
                <w:sz w:val="22"/>
                <w:szCs w:val="22"/>
                <w:lang w:val="fr-FR"/>
              </w:rPr>
              <w:t>s</w:t>
            </w:r>
            <w:r w:rsidRPr="00260790">
              <w:rPr>
                <w:rFonts w:ascii="Times New Roman" w:hAnsi="Times New Roman"/>
                <w:color w:val="000000" w:themeColor="text1"/>
                <w:sz w:val="22"/>
                <w:szCs w:val="22"/>
                <w:lang w:val="fr-FR"/>
              </w:rPr>
              <w:t>.</w:t>
            </w:r>
          </w:p>
        </w:tc>
        <w:tc>
          <w:tcPr>
            <w:tcW w:w="6379" w:type="dxa"/>
            <w:vAlign w:val="center"/>
          </w:tcPr>
          <w:p w14:paraId="4FE6546A"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Respecter les engagements tenus dans le protocole entre l’ADM et le service des eaux et forêts</w:t>
            </w:r>
          </w:p>
          <w:p w14:paraId="52413BA0"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Stabiliser les bassins.</w:t>
            </w:r>
          </w:p>
          <w:p w14:paraId="2B995027"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Reprofiler le marigot.</w:t>
            </w:r>
          </w:p>
        </w:tc>
      </w:tr>
      <w:tr w:rsidR="00BD1A2F" w:rsidRPr="00260790" w14:paraId="54033A4D" w14:textId="77777777" w:rsidTr="005E7ED1">
        <w:tc>
          <w:tcPr>
            <w:tcW w:w="1781" w:type="dxa"/>
            <w:vAlign w:val="center"/>
          </w:tcPr>
          <w:p w14:paraId="514C4890"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 xml:space="preserve">ANAT </w:t>
            </w:r>
          </w:p>
          <w:p w14:paraId="7688A61C"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Rencontre le 04/11/2024</w:t>
            </w:r>
          </w:p>
        </w:tc>
        <w:tc>
          <w:tcPr>
            <w:tcW w:w="2896" w:type="dxa"/>
            <w:vAlign w:val="center"/>
          </w:tcPr>
          <w:p w14:paraId="73596C4A"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Bon projet </w:t>
            </w:r>
          </w:p>
        </w:tc>
        <w:tc>
          <w:tcPr>
            <w:tcW w:w="3403" w:type="dxa"/>
            <w:vAlign w:val="center"/>
          </w:tcPr>
          <w:p w14:paraId="489C5748" w14:textId="54C45B98"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Exiguïté de l’exutoire pour recevoir toute la quantité d’eau de pluie</w:t>
            </w:r>
          </w:p>
          <w:p w14:paraId="30CD3D7F"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Les arbres qui seront détruits sont-ils remplacés</w:t>
            </w:r>
          </w:p>
          <w:p w14:paraId="4CBD10E5"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Risques sanitaires liés à l’eau des bassins avec prolifération des moustiques et autres reptiles </w:t>
            </w:r>
          </w:p>
          <w:p w14:paraId="0C3E0047" w14:textId="0BFAB143"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La main</w:t>
            </w:r>
            <w:r w:rsidR="00F32B75" w:rsidRPr="00260790">
              <w:rPr>
                <w:rFonts w:ascii="Times New Roman" w:hAnsi="Times New Roman"/>
                <w:color w:val="000000" w:themeColor="text1"/>
                <w:sz w:val="22"/>
                <w:szCs w:val="22"/>
                <w:lang w:val="fr-FR"/>
              </w:rPr>
              <w:t>-</w:t>
            </w:r>
            <w:r w:rsidRPr="00260790">
              <w:rPr>
                <w:rFonts w:ascii="Times New Roman" w:hAnsi="Times New Roman"/>
                <w:color w:val="000000" w:themeColor="text1"/>
                <w:sz w:val="22"/>
                <w:szCs w:val="22"/>
                <w:lang w:val="fr-FR"/>
              </w:rPr>
              <w:t>d’œuvre locale sera-t-elle recrutée lors des travaux</w:t>
            </w:r>
          </w:p>
        </w:tc>
        <w:tc>
          <w:tcPr>
            <w:tcW w:w="6379" w:type="dxa"/>
            <w:vAlign w:val="center"/>
          </w:tcPr>
          <w:p w14:paraId="419D6A87"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Veiller à avoir un bon diamètre de l’exutoire pour faciliter le passage de l’eau et pour cela il faudra bien paramétrer le débit en se basant sur les années où on a reçu le maximum d’eau</w:t>
            </w:r>
          </w:p>
          <w:p w14:paraId="4F0C8280"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Compenser les arbres coupés ; travailler en étroite collaboration avec les Eaux et Forêts</w:t>
            </w:r>
          </w:p>
          <w:p w14:paraId="2DF750F4"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Veiller au respect des délais d’exécution des travaux</w:t>
            </w:r>
          </w:p>
          <w:p w14:paraId="03E95C10"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Bien sécuriser les installations pour éviter tout accident</w:t>
            </w:r>
          </w:p>
          <w:p w14:paraId="2A7D86DD"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Mettre en place des mesures de protection contre tout risque sanitaire</w:t>
            </w:r>
          </w:p>
          <w:p w14:paraId="2CAB96D7"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Associer les populations dans la sensibilisation avant, pendant et lors de la mise en œuvre</w:t>
            </w:r>
          </w:p>
          <w:p w14:paraId="4DC685AE"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Respecter les RSE dans le recrutement des populations locales</w:t>
            </w:r>
          </w:p>
        </w:tc>
      </w:tr>
      <w:tr w:rsidR="00BD1A2F" w:rsidRPr="00260790" w14:paraId="78B5231F" w14:textId="77777777" w:rsidTr="005E7ED1">
        <w:tc>
          <w:tcPr>
            <w:tcW w:w="1781" w:type="dxa"/>
            <w:vAlign w:val="center"/>
          </w:tcPr>
          <w:p w14:paraId="1AE090DD"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Rencontre avec le Service Régional pour le Développement des Territoires</w:t>
            </w:r>
          </w:p>
          <w:p w14:paraId="34222F8C"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 xml:space="preserve">04/11/2024 </w:t>
            </w:r>
          </w:p>
        </w:tc>
        <w:tc>
          <w:tcPr>
            <w:tcW w:w="2896" w:type="dxa"/>
            <w:vAlign w:val="center"/>
          </w:tcPr>
          <w:p w14:paraId="1E86EFB8"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Projet très pertinent</w:t>
            </w:r>
          </w:p>
        </w:tc>
        <w:tc>
          <w:tcPr>
            <w:tcW w:w="3403" w:type="dxa"/>
            <w:vAlign w:val="center"/>
          </w:tcPr>
          <w:p w14:paraId="39A721DD"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Quels rôles le Collectivités territoriales vont-elles assumer dans le projet ?</w:t>
            </w:r>
          </w:p>
          <w:p w14:paraId="5BCAE1B7"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Y aura-t-il des mécanismes de gestion des griefs</w:t>
            </w:r>
          </w:p>
          <w:p w14:paraId="11421FCC"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Faudra bien sensibiliser et accompagner les places d’affaires</w:t>
            </w:r>
          </w:p>
        </w:tc>
        <w:tc>
          <w:tcPr>
            <w:tcW w:w="6379" w:type="dxa"/>
            <w:vAlign w:val="center"/>
          </w:tcPr>
          <w:p w14:paraId="30CA8151"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En phase travaux : </w:t>
            </w:r>
          </w:p>
          <w:p w14:paraId="63CFE0B5" w14:textId="77777777" w:rsidR="00A45BEB" w:rsidRPr="00260790" w:rsidRDefault="00A45BEB" w:rsidP="00E20250">
            <w:pPr>
              <w:pStyle w:val="Paragraphedeliste"/>
              <w:spacing w:line="240" w:lineRule="auto"/>
              <w:ind w:left="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impliquer les Collectivités territoriales dans les étapes pertinentes des travaux</w:t>
            </w:r>
          </w:p>
          <w:p w14:paraId="38EC6941" w14:textId="77777777" w:rsidR="00A45BEB" w:rsidRPr="00260790" w:rsidRDefault="00A45BEB" w:rsidP="001748C6">
            <w:pPr>
              <w:pStyle w:val="Paragraphedeliste"/>
              <w:widowControl w:val="0"/>
              <w:numPr>
                <w:ilvl w:val="0"/>
                <w:numId w:val="209"/>
              </w:numPr>
              <w:autoSpaceDE w:val="0"/>
              <w:autoSpaceDN w:val="0"/>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Ne pas entraver la libre circulation des personnes et des biens surtout pour les personnes vulnérables</w:t>
            </w:r>
          </w:p>
          <w:p w14:paraId="608EB2DC" w14:textId="77777777" w:rsidR="00A45BEB" w:rsidRPr="00260790" w:rsidRDefault="00A45BEB" w:rsidP="001748C6">
            <w:pPr>
              <w:pStyle w:val="Paragraphedeliste"/>
              <w:widowControl w:val="0"/>
              <w:numPr>
                <w:ilvl w:val="0"/>
                <w:numId w:val="209"/>
              </w:numPr>
              <w:autoSpaceDE w:val="0"/>
              <w:autoSpaceDN w:val="0"/>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Accompagner la migration des places d’affaires</w:t>
            </w:r>
          </w:p>
          <w:p w14:paraId="5D70905D" w14:textId="77777777" w:rsidR="00A45BEB" w:rsidRPr="00260790" w:rsidRDefault="00A45BEB" w:rsidP="001748C6">
            <w:pPr>
              <w:pStyle w:val="Paragraphedeliste"/>
              <w:widowControl w:val="0"/>
              <w:numPr>
                <w:ilvl w:val="0"/>
                <w:numId w:val="209"/>
              </w:numPr>
              <w:autoSpaceDE w:val="0"/>
              <w:autoSpaceDN w:val="0"/>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Mettre en place un mécanisme de gestion des griefs</w:t>
            </w:r>
          </w:p>
          <w:p w14:paraId="425F35F2" w14:textId="77777777" w:rsidR="00A45BEB" w:rsidRPr="00260790" w:rsidRDefault="00A45BEB" w:rsidP="001748C6">
            <w:pPr>
              <w:pStyle w:val="Paragraphedeliste"/>
              <w:widowControl w:val="0"/>
              <w:numPr>
                <w:ilvl w:val="0"/>
                <w:numId w:val="209"/>
              </w:numPr>
              <w:autoSpaceDE w:val="0"/>
              <w:autoSpaceDN w:val="0"/>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Procéder à une meilleure réinstallation des PAP</w:t>
            </w:r>
          </w:p>
          <w:p w14:paraId="59A56FE9" w14:textId="77777777" w:rsidR="00A45BEB" w:rsidRPr="00260790" w:rsidRDefault="00A45BEB" w:rsidP="001748C6">
            <w:pPr>
              <w:pStyle w:val="Paragraphedeliste"/>
              <w:widowControl w:val="0"/>
              <w:numPr>
                <w:ilvl w:val="0"/>
                <w:numId w:val="209"/>
              </w:numPr>
              <w:autoSpaceDE w:val="0"/>
              <w:autoSpaceDN w:val="0"/>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Sécuriser les aires de travaux de chantier</w:t>
            </w:r>
          </w:p>
          <w:p w14:paraId="3AC3262C" w14:textId="77777777" w:rsidR="00A45BEB" w:rsidRPr="00260790" w:rsidRDefault="00A45BEB" w:rsidP="001748C6">
            <w:pPr>
              <w:pStyle w:val="Paragraphedeliste"/>
              <w:widowControl w:val="0"/>
              <w:numPr>
                <w:ilvl w:val="0"/>
                <w:numId w:val="210"/>
              </w:numPr>
              <w:autoSpaceDE w:val="0"/>
              <w:autoSpaceDN w:val="0"/>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En phase d’exploitation ;</w:t>
            </w:r>
          </w:p>
          <w:p w14:paraId="6B9C285E" w14:textId="77777777" w:rsidR="00A45BEB" w:rsidRPr="00260790" w:rsidRDefault="00A45BEB" w:rsidP="001748C6">
            <w:pPr>
              <w:pStyle w:val="Paragraphedeliste"/>
              <w:widowControl w:val="0"/>
              <w:numPr>
                <w:ilvl w:val="0"/>
                <w:numId w:val="209"/>
              </w:numPr>
              <w:autoSpaceDE w:val="0"/>
              <w:autoSpaceDN w:val="0"/>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Associer les Collectivités territoriales dans la gouvernance des ouvrages </w:t>
            </w:r>
          </w:p>
          <w:p w14:paraId="60C59BCD" w14:textId="77777777" w:rsidR="00A45BEB" w:rsidRPr="00260790" w:rsidRDefault="00A45BEB" w:rsidP="001748C6">
            <w:pPr>
              <w:pStyle w:val="Paragraphedeliste"/>
              <w:widowControl w:val="0"/>
              <w:numPr>
                <w:ilvl w:val="0"/>
                <w:numId w:val="209"/>
              </w:numPr>
              <w:autoSpaceDE w:val="0"/>
              <w:autoSpaceDN w:val="0"/>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Sécuriser et bien baliser les ouvrages et autres équipements de drainage, de stockage et d’épuration</w:t>
            </w:r>
          </w:p>
          <w:p w14:paraId="17F6F8D8" w14:textId="2B6EFF0E" w:rsidR="00A45BEB" w:rsidRPr="00260790" w:rsidRDefault="00E60FA9" w:rsidP="001748C6">
            <w:pPr>
              <w:pStyle w:val="Paragraphedeliste"/>
              <w:widowControl w:val="0"/>
              <w:numPr>
                <w:ilvl w:val="0"/>
                <w:numId w:val="209"/>
              </w:numPr>
              <w:autoSpaceDE w:val="0"/>
              <w:autoSpaceDN w:val="0"/>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É</w:t>
            </w:r>
            <w:r w:rsidR="00A45BEB" w:rsidRPr="00260790">
              <w:rPr>
                <w:rFonts w:ascii="Times New Roman" w:hAnsi="Times New Roman"/>
                <w:color w:val="000000" w:themeColor="text1"/>
                <w:sz w:val="22"/>
                <w:szCs w:val="22"/>
                <w:lang w:val="fr-FR"/>
              </w:rPr>
              <w:t>laborer un plan de maintenance et d’entretien des ouvrages réalisés</w:t>
            </w:r>
          </w:p>
        </w:tc>
      </w:tr>
      <w:tr w:rsidR="00BD1A2F" w:rsidRPr="00260790" w14:paraId="635009D5" w14:textId="77777777" w:rsidTr="005E7ED1">
        <w:tc>
          <w:tcPr>
            <w:tcW w:w="1781" w:type="dxa"/>
            <w:vAlign w:val="center"/>
          </w:tcPr>
          <w:p w14:paraId="5811665A"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Rencontre avec Direction générale de l’Assainissement le 05/11/2024</w:t>
            </w:r>
          </w:p>
        </w:tc>
        <w:tc>
          <w:tcPr>
            <w:tcW w:w="2896" w:type="dxa"/>
            <w:vAlign w:val="center"/>
          </w:tcPr>
          <w:p w14:paraId="2E9081E8"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p>
        </w:tc>
        <w:tc>
          <w:tcPr>
            <w:tcW w:w="3403" w:type="dxa"/>
            <w:vAlign w:val="center"/>
          </w:tcPr>
          <w:p w14:paraId="78D47ABE"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p>
        </w:tc>
        <w:tc>
          <w:tcPr>
            <w:tcW w:w="6379" w:type="dxa"/>
            <w:vAlign w:val="center"/>
          </w:tcPr>
          <w:p w14:paraId="0A75C695"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p>
        </w:tc>
      </w:tr>
      <w:tr w:rsidR="00BD1A2F" w:rsidRPr="00260790" w14:paraId="380A9220" w14:textId="77777777" w:rsidTr="005E7ED1">
        <w:tc>
          <w:tcPr>
            <w:tcW w:w="1781" w:type="dxa"/>
            <w:vAlign w:val="center"/>
          </w:tcPr>
          <w:p w14:paraId="10962A11"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bookmarkStart w:id="2582" w:name="_Hlk183389488"/>
            <w:r w:rsidRPr="00260790">
              <w:rPr>
                <w:rFonts w:ascii="Times New Roman" w:hAnsi="Times New Roman"/>
                <w:b/>
                <w:color w:val="000000" w:themeColor="text1"/>
                <w:sz w:val="22"/>
                <w:szCs w:val="22"/>
                <w:lang w:val="fr-FR"/>
              </w:rPr>
              <w:t>Rencontre avec APIX le 07/11/2024</w:t>
            </w:r>
          </w:p>
        </w:tc>
        <w:tc>
          <w:tcPr>
            <w:tcW w:w="2896" w:type="dxa"/>
            <w:vAlign w:val="center"/>
          </w:tcPr>
          <w:p w14:paraId="6BD8810D"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C’est un projet qui constitue une suite à la résolution des problèmes d’inondation dans la zone de Keur Massar</w:t>
            </w:r>
          </w:p>
          <w:p w14:paraId="6BDBB65F" w14:textId="5C3B79E6"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Il y a deux ouvrages hydrauliques sur l’autoroute à péage et un ouvrage sur la ligne du TER et un canal au niveau du péage qui permet d’évacuer les eaux de pluie</w:t>
            </w:r>
          </w:p>
        </w:tc>
        <w:tc>
          <w:tcPr>
            <w:tcW w:w="3403" w:type="dxa"/>
            <w:vAlign w:val="center"/>
          </w:tcPr>
          <w:p w14:paraId="66F054DE"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Comment résoudre la problématique de la continuité hydraulique ?</w:t>
            </w:r>
          </w:p>
          <w:p w14:paraId="2CF4BA51"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Le nbre conséquent d’ouvrages hydrauliques (bassins et canaux de drainage) va occuper une emprise conséquente de la forêt qui a déjà subi des réductions de surfaces avec l’autoroute et les occupations anthropiques</w:t>
            </w:r>
          </w:p>
          <w:p w14:paraId="439C7DF5"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La quantité énorme d’eau que reçoit la FC va entrainer des conséquences néfastes sur la gestion de la FC par une modification du milieu (biotope et </w:t>
            </w:r>
            <w:proofErr w:type="gramStart"/>
            <w:r w:rsidRPr="00260790">
              <w:rPr>
                <w:rFonts w:ascii="Times New Roman" w:hAnsi="Times New Roman"/>
                <w:color w:val="000000" w:themeColor="text1"/>
                <w:sz w:val="22"/>
                <w:szCs w:val="22"/>
                <w:lang w:val="fr-FR"/>
              </w:rPr>
              <w:t>biocénose)  avec</w:t>
            </w:r>
            <w:proofErr w:type="gramEnd"/>
            <w:r w:rsidRPr="00260790">
              <w:rPr>
                <w:rFonts w:ascii="Times New Roman" w:hAnsi="Times New Roman"/>
                <w:color w:val="000000" w:themeColor="text1"/>
                <w:sz w:val="22"/>
                <w:szCs w:val="22"/>
                <w:lang w:val="fr-FR"/>
              </w:rPr>
              <w:t xml:space="preserve">  un phénomène d’eutrophisation, une invasion des bassins par le typha, ce qui va réduire leur fonctionnalité et le volume des bassins ; ces typhas </w:t>
            </w:r>
            <w:r w:rsidRPr="00260790">
              <w:rPr>
                <w:rFonts w:ascii="Times New Roman" w:hAnsi="Times New Roman"/>
                <w:color w:val="000000" w:themeColor="text1"/>
                <w:sz w:val="22"/>
                <w:szCs w:val="22"/>
                <w:lang w:val="fr-FR"/>
              </w:rPr>
              <w:lastRenderedPageBreak/>
              <w:t xml:space="preserve">entrainent une compétition avec le milieu naturel par une prolifération des insectes et des oiseaux </w:t>
            </w:r>
          </w:p>
          <w:p w14:paraId="6598F33F"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L’eau qui vient en amont draine du sable qui s’accumule et bouche certains ouvrages</w:t>
            </w:r>
          </w:p>
          <w:p w14:paraId="37B8B086"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Au niveau du marigot, le biseau salé remonte vers l’intérieur des terres de la FC ce qui entraine une baisse des superficies exploitées par les maraichers</w:t>
            </w:r>
          </w:p>
          <w:p w14:paraId="4358C917" w14:textId="70C06722"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L’usage des engrais et pesticides pollue le marigot en plus des déchets ménagers ;</w:t>
            </w:r>
          </w:p>
          <w:p w14:paraId="40274AFA"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APIX SA travaille sur un projet d’aménagement des Forêts classées de Mbao et Sébikhotane</w:t>
            </w:r>
          </w:p>
          <w:p w14:paraId="3E742792" w14:textId="7DC8BFB8"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La FC est utilisée comme une solution aux problèmes d’inondation</w:t>
            </w:r>
            <w:r w:rsidR="005C5B32" w:rsidRPr="00260790">
              <w:rPr>
                <w:rFonts w:ascii="Times New Roman" w:hAnsi="Times New Roman"/>
                <w:color w:val="000000" w:themeColor="text1"/>
                <w:sz w:val="22"/>
                <w:szCs w:val="22"/>
                <w:lang w:val="fr-FR"/>
              </w:rPr>
              <w:t>,</w:t>
            </w:r>
            <w:r w:rsidRPr="00260790">
              <w:rPr>
                <w:rFonts w:ascii="Times New Roman" w:hAnsi="Times New Roman"/>
                <w:color w:val="000000" w:themeColor="text1"/>
                <w:sz w:val="22"/>
                <w:szCs w:val="22"/>
                <w:lang w:val="fr-FR"/>
              </w:rPr>
              <w:t xml:space="preserve"> mais on ne tient pas compte de ses besoins et exigences propres</w:t>
            </w:r>
          </w:p>
          <w:p w14:paraId="091EE236"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Le lit du marigot est occupé par les habitations</w:t>
            </w:r>
          </w:p>
        </w:tc>
        <w:tc>
          <w:tcPr>
            <w:tcW w:w="6379" w:type="dxa"/>
            <w:vAlign w:val="center"/>
          </w:tcPr>
          <w:p w14:paraId="00D8E0C0"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Prévoir des schémas d’entretien des bassins de manière durable par des engins de faucardage avec des équipes dédiées</w:t>
            </w:r>
          </w:p>
          <w:p w14:paraId="1B32E2E5"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Entretenir les ouvrages hydrauliques pour faciliter le transit</w:t>
            </w:r>
          </w:p>
          <w:p w14:paraId="0A372710"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Demander à l’exploitant du TER d’entretenir les ouvrages hydrauliques ferroviaires</w:t>
            </w:r>
          </w:p>
          <w:p w14:paraId="00E254D0"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APIX SA a besoin d’informations sur le projet ADM notamment sa localisation et son envergure pour mieux harmoniser les interventions</w:t>
            </w:r>
          </w:p>
          <w:p w14:paraId="05DC700B"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Intégrer le déplacement des populations qui occupent le lit du marigot par la mise en place d’un PAR</w:t>
            </w:r>
          </w:p>
          <w:p w14:paraId="74C301DD"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Demander à APIX SA les études techniques et paysagers sur le marigot dont il dispose et qui recommandent des ouvrages hydrauliques pour gérer la remontée du biseau salé.</w:t>
            </w:r>
          </w:p>
          <w:p w14:paraId="782B8141"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ADM doit contribuer au projet d’aménagement de la FC de Mbao en rapport avec APIX SA</w:t>
            </w:r>
          </w:p>
        </w:tc>
      </w:tr>
      <w:tr w:rsidR="00BD1A2F" w:rsidRPr="00260790" w14:paraId="07F33423" w14:textId="77777777" w:rsidTr="005E7ED1">
        <w:tc>
          <w:tcPr>
            <w:tcW w:w="1781" w:type="dxa"/>
            <w:vAlign w:val="center"/>
          </w:tcPr>
          <w:p w14:paraId="0894A4AE" w14:textId="204189DA" w:rsidR="00A45BEB" w:rsidRPr="00260790" w:rsidRDefault="00A45BEB" w:rsidP="00E20250">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Rencont</w:t>
            </w:r>
            <w:r w:rsidR="0076309E" w:rsidRPr="00260790">
              <w:rPr>
                <w:rFonts w:ascii="Times New Roman" w:hAnsi="Times New Roman"/>
                <w:b/>
                <w:color w:val="000000" w:themeColor="text1"/>
                <w:sz w:val="22"/>
                <w:szCs w:val="22"/>
                <w:lang w:val="fr-FR"/>
              </w:rPr>
              <w:t>rer</w:t>
            </w:r>
            <w:r w:rsidRPr="00260790">
              <w:rPr>
                <w:rFonts w:ascii="Times New Roman" w:hAnsi="Times New Roman"/>
                <w:b/>
                <w:color w:val="000000" w:themeColor="text1"/>
                <w:sz w:val="22"/>
                <w:szCs w:val="22"/>
                <w:lang w:val="fr-FR"/>
              </w:rPr>
              <w:t xml:space="preserve"> avec SONATEL le 07/11/2024</w:t>
            </w:r>
          </w:p>
        </w:tc>
        <w:tc>
          <w:tcPr>
            <w:tcW w:w="2896" w:type="dxa"/>
            <w:vAlign w:val="center"/>
          </w:tcPr>
          <w:p w14:paraId="497E4C86"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C’est un bon projet</w:t>
            </w:r>
          </w:p>
        </w:tc>
        <w:tc>
          <w:tcPr>
            <w:tcW w:w="3403" w:type="dxa"/>
            <w:vAlign w:val="center"/>
          </w:tcPr>
          <w:p w14:paraId="0D4A9C0E"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Ne connait pas la consistance des travaux par rapport à leur réseau</w:t>
            </w:r>
          </w:p>
          <w:p w14:paraId="025183BB"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Sonatel a été fortement impacté par les travaux de la première phase du PROGEP</w:t>
            </w:r>
          </w:p>
        </w:tc>
        <w:tc>
          <w:tcPr>
            <w:tcW w:w="6379" w:type="dxa"/>
            <w:vAlign w:val="center"/>
          </w:tcPr>
          <w:p w14:paraId="0C374AB8"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Fournir les plans de format DWG/KMZ pour faire la superposition avec le réseau existant afin de voir les zones de conflits ou d’empiétements sur le réseau</w:t>
            </w:r>
          </w:p>
          <w:p w14:paraId="403A27A6"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Il faudra alors deux options : rester sur place et sécuriser le réseau ou bien se déplacer si les travaux ne permettent pas de rester sur place</w:t>
            </w:r>
          </w:p>
          <w:p w14:paraId="120FDB9F"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Avant démarrage des travaux, effectuer des sondages avec le Comité de suivi</w:t>
            </w:r>
          </w:p>
          <w:p w14:paraId="05692288"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Sécuriser en amont le réseau avant le démarrage des travaux</w:t>
            </w:r>
          </w:p>
          <w:p w14:paraId="2D5E5EA0"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Intégrer les coûts de dévoiement du réseau dans le projet</w:t>
            </w:r>
          </w:p>
          <w:p w14:paraId="1860E1D7" w14:textId="0D522579" w:rsidR="00A45BEB" w:rsidRPr="00260790" w:rsidRDefault="00E221B6"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É</w:t>
            </w:r>
            <w:r w:rsidR="00A45BEB" w:rsidRPr="00260790">
              <w:rPr>
                <w:rFonts w:ascii="Times New Roman" w:hAnsi="Times New Roman"/>
                <w:color w:val="000000" w:themeColor="text1"/>
                <w:sz w:val="22"/>
                <w:szCs w:val="22"/>
                <w:lang w:val="fr-FR"/>
              </w:rPr>
              <w:t>viter des désagréments aux population</w:t>
            </w:r>
            <w:r w:rsidR="0076309E" w:rsidRPr="00260790">
              <w:rPr>
                <w:rFonts w:ascii="Times New Roman" w:hAnsi="Times New Roman"/>
                <w:color w:val="000000" w:themeColor="text1"/>
                <w:sz w:val="22"/>
                <w:szCs w:val="22"/>
                <w:lang w:val="fr-FR"/>
              </w:rPr>
              <w:t>s</w:t>
            </w:r>
            <w:r w:rsidR="00A45BEB" w:rsidRPr="00260790">
              <w:rPr>
                <w:rFonts w:ascii="Times New Roman" w:hAnsi="Times New Roman"/>
                <w:color w:val="000000" w:themeColor="text1"/>
                <w:sz w:val="22"/>
                <w:szCs w:val="22"/>
                <w:lang w:val="fr-FR"/>
              </w:rPr>
              <w:t xml:space="preserve"> en cas d’impacts négatifs sur le réseau</w:t>
            </w:r>
          </w:p>
          <w:p w14:paraId="57C4B40B"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Mettre en place un Comité de suivi bien informé</w:t>
            </w:r>
          </w:p>
          <w:p w14:paraId="303BFA04"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Avoir le planning des travaux des entreprises</w:t>
            </w:r>
          </w:p>
        </w:tc>
      </w:tr>
      <w:bookmarkEnd w:id="2582"/>
      <w:tr w:rsidR="00BD1A2F" w:rsidRPr="00260790" w14:paraId="12E6C96E" w14:textId="77777777" w:rsidTr="005E7ED1">
        <w:tc>
          <w:tcPr>
            <w:tcW w:w="1781" w:type="dxa"/>
            <w:vAlign w:val="center"/>
          </w:tcPr>
          <w:p w14:paraId="1823DD89"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Rencontre avec la DGPI le 07/11/2024</w:t>
            </w:r>
          </w:p>
        </w:tc>
        <w:tc>
          <w:tcPr>
            <w:tcW w:w="2896" w:type="dxa"/>
            <w:vAlign w:val="center"/>
          </w:tcPr>
          <w:p w14:paraId="32F69ACD"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Bon projet en continuité avec la première phase du PROGEP </w:t>
            </w:r>
          </w:p>
        </w:tc>
        <w:tc>
          <w:tcPr>
            <w:tcW w:w="3403" w:type="dxa"/>
            <w:vAlign w:val="center"/>
          </w:tcPr>
          <w:p w14:paraId="399D6FA2"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De la RNI à la mer : les buses ne sont plus fonctionnelles</w:t>
            </w:r>
          </w:p>
          <w:p w14:paraId="67D0666D" w14:textId="23744C0E"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De l’autoroute à péage à la RNI : le mauvais transit des eaux de pluie via le marigot entraine des inondations dans les quartiers contigus à la FC</w:t>
            </w:r>
          </w:p>
        </w:tc>
        <w:tc>
          <w:tcPr>
            <w:tcW w:w="6379" w:type="dxa"/>
            <w:vAlign w:val="center"/>
          </w:tcPr>
          <w:p w14:paraId="40F655DD"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Reprofiler et draguer le marigot</w:t>
            </w:r>
          </w:p>
          <w:p w14:paraId="4548D933" w14:textId="3F96784C"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Aménager l’exutoire en mer avec un système de clapets antiretour qui permettront d’éviter l’engraissement marine</w:t>
            </w:r>
          </w:p>
          <w:p w14:paraId="16C1522C"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Faire un traitement particulier de la zone qui traverse la FC entre la RNI et l’autoroute</w:t>
            </w:r>
          </w:p>
          <w:p w14:paraId="117A10E5"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ADM doit prendre en charge l’entretien des ouvrages hydrauliques de l’autoroute et du TER pour améliorer l’hydraulicité du marigot</w:t>
            </w:r>
          </w:p>
        </w:tc>
      </w:tr>
      <w:tr w:rsidR="00BD1A2F" w:rsidRPr="00260790" w14:paraId="5FD1120A" w14:textId="77777777" w:rsidTr="005E7ED1">
        <w:tc>
          <w:tcPr>
            <w:tcW w:w="1781" w:type="dxa"/>
            <w:vAlign w:val="center"/>
          </w:tcPr>
          <w:p w14:paraId="3ACA4931"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Rencontre avec SENELEC le 08/11/2024</w:t>
            </w:r>
          </w:p>
        </w:tc>
        <w:tc>
          <w:tcPr>
            <w:tcW w:w="2896" w:type="dxa"/>
            <w:vAlign w:val="center"/>
          </w:tcPr>
          <w:p w14:paraId="7D66BA88" w14:textId="77777777" w:rsidR="00A45BEB" w:rsidRPr="00260790" w:rsidRDefault="00A45BEB" w:rsidP="00E20250">
            <w:pPr>
              <w:spacing w:line="240" w:lineRule="auto"/>
              <w:jc w:val="both"/>
              <w:rPr>
                <w:rFonts w:ascii="Times New Roman" w:hAnsi="Times New Roman"/>
                <w:color w:val="000000" w:themeColor="text1"/>
                <w:sz w:val="22"/>
                <w:szCs w:val="22"/>
                <w:lang w:val="fr-FR"/>
              </w:rPr>
            </w:pPr>
          </w:p>
        </w:tc>
        <w:tc>
          <w:tcPr>
            <w:tcW w:w="3403" w:type="dxa"/>
            <w:vAlign w:val="center"/>
          </w:tcPr>
          <w:p w14:paraId="690EFC86" w14:textId="77777777" w:rsidR="00A45BEB" w:rsidRPr="00260790" w:rsidRDefault="00A45BEB" w:rsidP="00E20250">
            <w:pPr>
              <w:spacing w:line="240" w:lineRule="auto"/>
              <w:jc w:val="both"/>
              <w:rPr>
                <w:rFonts w:ascii="Times New Roman" w:hAnsi="Times New Roman"/>
                <w:color w:val="000000" w:themeColor="text1"/>
                <w:sz w:val="22"/>
                <w:szCs w:val="22"/>
                <w:lang w:val="fr-FR"/>
              </w:rPr>
            </w:pPr>
          </w:p>
        </w:tc>
        <w:tc>
          <w:tcPr>
            <w:tcW w:w="6379" w:type="dxa"/>
            <w:vAlign w:val="center"/>
          </w:tcPr>
          <w:p w14:paraId="7EFA89F3"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Demande la localisation des ouvrages sur carte KMZ pour mieux identifier par superposition des cartes l’emplacement du réseau SENELEC</w:t>
            </w:r>
          </w:p>
          <w:p w14:paraId="6C8B3758"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En cas d’empiétement sur le réseau, trouver avec ADM une solution technique</w:t>
            </w:r>
          </w:p>
          <w:p w14:paraId="33D725C7"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SENELEC devra être informée de l’avancement des travaux durant toute la période du projet pour veiller à la non-agression de son réseau</w:t>
            </w:r>
          </w:p>
        </w:tc>
      </w:tr>
      <w:tr w:rsidR="00BD1A2F" w:rsidRPr="00260790" w14:paraId="14FEBD36" w14:textId="77777777" w:rsidTr="005E7ED1">
        <w:tc>
          <w:tcPr>
            <w:tcW w:w="1781" w:type="dxa"/>
            <w:vAlign w:val="center"/>
          </w:tcPr>
          <w:p w14:paraId="72AE0629"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Rencontre avec Sen Eau le 08/11/2024</w:t>
            </w:r>
          </w:p>
        </w:tc>
        <w:tc>
          <w:tcPr>
            <w:tcW w:w="2896" w:type="dxa"/>
            <w:vAlign w:val="center"/>
          </w:tcPr>
          <w:p w14:paraId="192F4EC1"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C’est un projet structurant et Sen Eau a participé à la visite de terrain pour l’identification des différents sites</w:t>
            </w:r>
          </w:p>
          <w:p w14:paraId="46ECFF54"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Les ouvrages de SEN EAU (ALG2 et ALG3 prolongée) sont hyper sensibles</w:t>
            </w:r>
          </w:p>
        </w:tc>
        <w:tc>
          <w:tcPr>
            <w:tcW w:w="3403" w:type="dxa"/>
            <w:vAlign w:val="center"/>
          </w:tcPr>
          <w:p w14:paraId="0D0C22B8" w14:textId="57268AA8"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Sen Eau souhaite que les travaux n’impactent pas son réseau notamment les conduites ALG2 et ALG3 prolongée</w:t>
            </w:r>
            <w:r w:rsidR="00BD2CEA" w:rsidRPr="00260790">
              <w:rPr>
                <w:rFonts w:ascii="Times New Roman" w:hAnsi="Times New Roman"/>
                <w:color w:val="000000" w:themeColor="text1"/>
                <w:sz w:val="22"/>
                <w:szCs w:val="22"/>
                <w:lang w:val="fr-FR"/>
              </w:rPr>
              <w:t>s</w:t>
            </w:r>
            <w:r w:rsidRPr="00260790">
              <w:rPr>
                <w:rFonts w:ascii="Times New Roman" w:hAnsi="Times New Roman"/>
                <w:color w:val="000000" w:themeColor="text1"/>
                <w:sz w:val="22"/>
                <w:szCs w:val="22"/>
                <w:lang w:val="fr-FR"/>
              </w:rPr>
              <w:t xml:space="preserve"> ainsi que la conduite de refoulement de Beer </w:t>
            </w:r>
            <w:proofErr w:type="spellStart"/>
            <w:r w:rsidRPr="00260790">
              <w:rPr>
                <w:rFonts w:ascii="Times New Roman" w:hAnsi="Times New Roman"/>
                <w:color w:val="000000" w:themeColor="text1"/>
                <w:sz w:val="22"/>
                <w:szCs w:val="22"/>
                <w:lang w:val="fr-FR"/>
              </w:rPr>
              <w:t>Thialane</w:t>
            </w:r>
            <w:proofErr w:type="spellEnd"/>
            <w:r w:rsidRPr="00260790">
              <w:rPr>
                <w:rFonts w:ascii="Times New Roman" w:hAnsi="Times New Roman"/>
                <w:color w:val="000000" w:themeColor="text1"/>
                <w:sz w:val="22"/>
                <w:szCs w:val="22"/>
                <w:lang w:val="fr-FR"/>
              </w:rPr>
              <w:t>.</w:t>
            </w:r>
          </w:p>
          <w:p w14:paraId="259CA138"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La SONES </w:t>
            </w:r>
            <w:proofErr w:type="gramStart"/>
            <w:r w:rsidRPr="00260790">
              <w:rPr>
                <w:rFonts w:ascii="Times New Roman" w:hAnsi="Times New Roman"/>
                <w:color w:val="000000" w:themeColor="text1"/>
                <w:sz w:val="22"/>
                <w:szCs w:val="22"/>
                <w:lang w:val="fr-FR"/>
              </w:rPr>
              <w:t>a</w:t>
            </w:r>
            <w:proofErr w:type="gramEnd"/>
            <w:r w:rsidRPr="00260790">
              <w:rPr>
                <w:rFonts w:ascii="Times New Roman" w:hAnsi="Times New Roman"/>
                <w:color w:val="000000" w:themeColor="text1"/>
                <w:sz w:val="22"/>
                <w:szCs w:val="22"/>
                <w:lang w:val="fr-FR"/>
              </w:rPr>
              <w:t xml:space="preserve"> son mot à dire et devra donc être consultée</w:t>
            </w:r>
          </w:p>
        </w:tc>
        <w:tc>
          <w:tcPr>
            <w:tcW w:w="6379" w:type="dxa"/>
            <w:vAlign w:val="center"/>
          </w:tcPr>
          <w:p w14:paraId="04E1B9EA"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Protéger les conduites ALG2 et ALG3 prolongée</w:t>
            </w:r>
          </w:p>
          <w:p w14:paraId="62A5EDF1"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Disposer des résultats de l’étude d’exécution du projet surtout sur l’implantation des différents collecteurs</w:t>
            </w:r>
          </w:p>
          <w:p w14:paraId="12A62FA3"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Bien prendre en charge le déplacement des populations par un PAR</w:t>
            </w:r>
          </w:p>
          <w:p w14:paraId="0C7E4813"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Informer SEN EAU du déguerpissement des populations pour qu’elle transfère son réseau afin d’éviter des pertes d’eau et des factures impayées</w:t>
            </w:r>
          </w:p>
          <w:p w14:paraId="639FBBCB"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Faire des sondages avant le démarrage des travaux</w:t>
            </w:r>
          </w:p>
          <w:p w14:paraId="01F4521C"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Consulter la SONES qui est gestionnaire du réseau</w:t>
            </w:r>
          </w:p>
        </w:tc>
      </w:tr>
      <w:tr w:rsidR="00BD1A2F" w:rsidRPr="00260790" w14:paraId="25F57F78" w14:textId="77777777" w:rsidTr="005E7ED1">
        <w:tc>
          <w:tcPr>
            <w:tcW w:w="1781" w:type="dxa"/>
            <w:vAlign w:val="center"/>
          </w:tcPr>
          <w:p w14:paraId="0BAD8D93"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Rencontre avec AGEROUTE le 11/11/2024</w:t>
            </w:r>
          </w:p>
        </w:tc>
        <w:tc>
          <w:tcPr>
            <w:tcW w:w="2896" w:type="dxa"/>
            <w:vAlign w:val="center"/>
          </w:tcPr>
          <w:p w14:paraId="1C1CF96D" w14:textId="0A91D2D4"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C’est un bon projet et AGEROUTE adhère compl</w:t>
            </w:r>
            <w:r w:rsidR="00BD2CEA" w:rsidRPr="00260790">
              <w:rPr>
                <w:rFonts w:ascii="Times New Roman" w:hAnsi="Times New Roman"/>
                <w:color w:val="000000" w:themeColor="text1"/>
                <w:sz w:val="22"/>
                <w:szCs w:val="22"/>
                <w:lang w:val="fr-FR"/>
              </w:rPr>
              <w:t>è</w:t>
            </w:r>
            <w:r w:rsidRPr="00260790">
              <w:rPr>
                <w:rFonts w:ascii="Times New Roman" w:hAnsi="Times New Roman"/>
                <w:color w:val="000000" w:themeColor="text1"/>
                <w:sz w:val="22"/>
                <w:szCs w:val="22"/>
                <w:lang w:val="fr-FR"/>
              </w:rPr>
              <w:t>tement à ça</w:t>
            </w:r>
          </w:p>
          <w:p w14:paraId="1E9986D8"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AGEROUTRE est disposée </w:t>
            </w:r>
            <w:r w:rsidRPr="00260790">
              <w:rPr>
                <w:rFonts w:ascii="Times New Roman" w:hAnsi="Times New Roman"/>
                <w:color w:val="000000" w:themeColor="text1"/>
                <w:sz w:val="22"/>
                <w:szCs w:val="22"/>
                <w:lang w:val="fr-FR"/>
              </w:rPr>
              <w:lastRenderedPageBreak/>
              <w:t>à accompagner ADM surtout au niveau des bassins et de la voirie</w:t>
            </w:r>
          </w:p>
        </w:tc>
        <w:tc>
          <w:tcPr>
            <w:tcW w:w="3403" w:type="dxa"/>
            <w:vAlign w:val="center"/>
          </w:tcPr>
          <w:p w14:paraId="02D6C172"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Le problème majeur dans ce genre de travaux ce sont les exutoires</w:t>
            </w:r>
          </w:p>
          <w:p w14:paraId="03C7F601"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D’autres structures comme PROMOVILLES et les </w:t>
            </w:r>
            <w:r w:rsidRPr="00260790">
              <w:rPr>
                <w:rFonts w:ascii="Times New Roman" w:hAnsi="Times New Roman"/>
                <w:color w:val="000000" w:themeColor="text1"/>
                <w:sz w:val="22"/>
                <w:szCs w:val="22"/>
                <w:lang w:val="fr-FR"/>
              </w:rPr>
              <w:lastRenderedPageBreak/>
              <w:t>communes interviennent dans la voirie</w:t>
            </w:r>
          </w:p>
          <w:p w14:paraId="293531B3"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p>
        </w:tc>
        <w:tc>
          <w:tcPr>
            <w:tcW w:w="6379" w:type="dxa"/>
            <w:vAlign w:val="center"/>
          </w:tcPr>
          <w:p w14:paraId="78C06661"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Avoir de bons exutoires pour une bonne évacuation des eaux pluviales</w:t>
            </w:r>
          </w:p>
          <w:p w14:paraId="08247EF1"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Revoir avec ADM le dimensionnement de tous les projets de DAKAR sur tout ce qui concerne l’évacuation des eaux pluviales</w:t>
            </w:r>
          </w:p>
          <w:p w14:paraId="7B26A602"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Internaliser toutes les activités d’assainissement et voiries pour harmoniser les interventions</w:t>
            </w:r>
          </w:p>
          <w:p w14:paraId="14BB9F5A"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Mettre en place un Comité de pilotage pour une bonne concertation entre les acteurs</w:t>
            </w:r>
          </w:p>
          <w:p w14:paraId="7CDD0680"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Prendre en compte le Plan d’Aménagement de la ville de Dakar </w:t>
            </w:r>
          </w:p>
          <w:p w14:paraId="464F4F4A"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Créer des intercommunalités pour mieux gérer les travaux</w:t>
            </w:r>
          </w:p>
          <w:p w14:paraId="6BA1AE36" w14:textId="1751D2FA"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Favoriser les travaux à haute intensité de main</w:t>
            </w:r>
            <w:r w:rsidR="00F32B75" w:rsidRPr="00260790">
              <w:rPr>
                <w:rFonts w:ascii="Times New Roman" w:hAnsi="Times New Roman"/>
                <w:color w:val="000000" w:themeColor="text1"/>
                <w:sz w:val="22"/>
                <w:szCs w:val="22"/>
                <w:lang w:val="fr-FR"/>
              </w:rPr>
              <w:t>-</w:t>
            </w:r>
            <w:r w:rsidRPr="00260790">
              <w:rPr>
                <w:rFonts w:ascii="Times New Roman" w:hAnsi="Times New Roman"/>
                <w:color w:val="000000" w:themeColor="text1"/>
                <w:sz w:val="22"/>
                <w:szCs w:val="22"/>
                <w:lang w:val="fr-FR"/>
              </w:rPr>
              <w:t>d’œuvre pour l’emploi des jeunes (les voiries en pavés utilisent beaucoup de jeunes)</w:t>
            </w:r>
          </w:p>
          <w:p w14:paraId="34A52FC6"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Sensibiliser les communes sur l’utilisation des bassins</w:t>
            </w:r>
          </w:p>
          <w:p w14:paraId="402696D2" w14:textId="391790FF" w:rsidR="00A45BEB" w:rsidRPr="00260790" w:rsidRDefault="00E221B6"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É</w:t>
            </w:r>
            <w:r w:rsidR="00A45BEB" w:rsidRPr="00260790">
              <w:rPr>
                <w:rFonts w:ascii="Times New Roman" w:hAnsi="Times New Roman"/>
                <w:color w:val="000000" w:themeColor="text1"/>
                <w:sz w:val="22"/>
                <w:szCs w:val="22"/>
                <w:lang w:val="fr-FR"/>
              </w:rPr>
              <w:t>viter les dépôts d’ordures sur la voirie</w:t>
            </w:r>
          </w:p>
          <w:p w14:paraId="2374D29A" w14:textId="582247C0"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Créer les possibilités d’utiliser cette eau de pluie pour des activités agricoles(maraichage) avec la création de petits réseaux</w:t>
            </w:r>
          </w:p>
          <w:p w14:paraId="53C02F64"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Mettre en place certaines activités connexes comme la pisciculture pour mettre en valeur les quantités d’eau récupérées</w:t>
            </w:r>
          </w:p>
          <w:p w14:paraId="0EE6FA2E"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Mettre en place un plan de lutte contre les maladies vectorielles comme le paludisme en impliquant le Service d’hygiène et les postes de santé des communes environnantes</w:t>
            </w:r>
          </w:p>
          <w:p w14:paraId="4E186AEF"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Travailler avec les concessionnaires qui ont des réseaux souterrains en tenant compte des projets présents et futurs</w:t>
            </w:r>
          </w:p>
          <w:p w14:paraId="19CB43D2"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Mettre en place un bon plan de reboisement pour renforcer l’environnement de Dakar, aux abords des bassins et places aménagés avec des espèces adaptées.   </w:t>
            </w:r>
          </w:p>
        </w:tc>
      </w:tr>
      <w:tr w:rsidR="00BD1A2F" w:rsidRPr="00260790" w14:paraId="01872A6F" w14:textId="77777777" w:rsidTr="005E7ED1">
        <w:tc>
          <w:tcPr>
            <w:tcW w:w="1781" w:type="dxa"/>
            <w:vAlign w:val="center"/>
          </w:tcPr>
          <w:p w14:paraId="5627F090"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Rencontre avec l’Inspection régionale du travail et de la Sécurité sociale (IRTSS) le 11/11/2024</w:t>
            </w:r>
          </w:p>
        </w:tc>
        <w:tc>
          <w:tcPr>
            <w:tcW w:w="2896" w:type="dxa"/>
            <w:vAlign w:val="center"/>
          </w:tcPr>
          <w:p w14:paraId="5544B993"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Cela fait suite à une étude antérieure dans la zone de Keur Massar</w:t>
            </w:r>
          </w:p>
        </w:tc>
        <w:tc>
          <w:tcPr>
            <w:tcW w:w="3403" w:type="dxa"/>
            <w:vAlign w:val="center"/>
          </w:tcPr>
          <w:p w14:paraId="48902082"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Respect par les Entreprises des dispositions du </w:t>
            </w:r>
            <w:bookmarkStart w:id="2583" w:name="_Hlk183390595"/>
            <w:r w:rsidRPr="00260790">
              <w:rPr>
                <w:rFonts w:ascii="Times New Roman" w:hAnsi="Times New Roman"/>
                <w:color w:val="000000" w:themeColor="text1"/>
                <w:sz w:val="22"/>
                <w:szCs w:val="22"/>
                <w:lang w:val="fr-FR"/>
              </w:rPr>
              <w:t>Code du travail et autres décrets d’application</w:t>
            </w:r>
          </w:p>
          <w:bookmarkEnd w:id="2583"/>
          <w:p w14:paraId="5C3BE87A"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Le nombre d’ouvriers qui seront sur les chantiers</w:t>
            </w:r>
          </w:p>
          <w:p w14:paraId="01527494"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Quelle est la durée des travaux ?</w:t>
            </w:r>
          </w:p>
        </w:tc>
        <w:tc>
          <w:tcPr>
            <w:tcW w:w="6379" w:type="dxa"/>
            <w:vAlign w:val="center"/>
          </w:tcPr>
          <w:p w14:paraId="534F0697"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Les entreprises devront faire une déclaration d’implantation ou d’ouverture des chantiers à l’IRTSS </w:t>
            </w:r>
          </w:p>
          <w:p w14:paraId="19BCAADF"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Faire des contrats de travail à tous les travailleurs, soit des contrats de fin de chantiers ou des contrats à Durée déterminée</w:t>
            </w:r>
          </w:p>
          <w:p w14:paraId="75F3EE0C"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Respecter les dispositions du Code du travail sur l’utilisation des journaliers</w:t>
            </w:r>
          </w:p>
          <w:p w14:paraId="2A0035AD"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 Respecter les dispositions du décret 2009-1412 du 23/12/2009 en cas d’utilisation des sociétés d’intérim ou travail temporaire</w:t>
            </w:r>
          </w:p>
          <w:p w14:paraId="6517F64D"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Respecter les dispositions du décret 70180 du 20/02/70 fixant les conditions d’emploi des travailleurs journaliers ou saisonniers</w:t>
            </w:r>
          </w:p>
          <w:p w14:paraId="6350DA9C"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Déposer les contrats à l’IRTSS et à l’affiliation des institutions de prévoyance sociale (IPRES, CSS et IPM)</w:t>
            </w:r>
          </w:p>
          <w:p w14:paraId="2FDF8F6E"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bookmarkStart w:id="2584" w:name="_Hlk183393260"/>
            <w:r w:rsidRPr="00260790">
              <w:rPr>
                <w:rFonts w:ascii="Times New Roman" w:hAnsi="Times New Roman"/>
                <w:color w:val="000000" w:themeColor="text1"/>
                <w:sz w:val="22"/>
                <w:szCs w:val="22"/>
                <w:lang w:val="fr-FR"/>
              </w:rPr>
              <w:t xml:space="preserve">Respecter les dispositions du </w:t>
            </w:r>
            <w:bookmarkEnd w:id="2584"/>
            <w:r w:rsidRPr="00260790">
              <w:rPr>
                <w:rFonts w:ascii="Times New Roman" w:hAnsi="Times New Roman"/>
                <w:color w:val="000000" w:themeColor="text1"/>
                <w:sz w:val="22"/>
                <w:szCs w:val="22"/>
                <w:lang w:val="fr-FR"/>
              </w:rPr>
              <w:t>décret 2006-1249 du 15/01/2006 pour les chantiers temporaires et/ou mobiles, faire l’avis préalable prévu dans le décret, à déposer obligatoirement à l’IRTSS et à afficher au niveau des chantiers</w:t>
            </w:r>
          </w:p>
          <w:p w14:paraId="2E8E32FF" w14:textId="362764AC" w:rsidR="00A45BEB" w:rsidRPr="00260790" w:rsidRDefault="00E60FA9"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É</w:t>
            </w:r>
            <w:r w:rsidR="00A45BEB" w:rsidRPr="00260790">
              <w:rPr>
                <w:rFonts w:ascii="Times New Roman" w:hAnsi="Times New Roman"/>
                <w:color w:val="000000" w:themeColor="text1"/>
                <w:sz w:val="22"/>
                <w:szCs w:val="22"/>
                <w:lang w:val="fr-FR"/>
              </w:rPr>
              <w:t>laborer un plan de sécurité et nommer un coordinateur en matière de sécurité et santé au travail</w:t>
            </w:r>
          </w:p>
          <w:p w14:paraId="204737C8"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Définir un plan de circulation avec une signalisation de sécurité</w:t>
            </w:r>
          </w:p>
          <w:p w14:paraId="6733B0A5"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Aménager des vestiaires et des toilettes conformes et bien entretenues</w:t>
            </w:r>
          </w:p>
          <w:p w14:paraId="450CA499"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Doter les travailleurs d’EPI complets</w:t>
            </w:r>
          </w:p>
          <w:p w14:paraId="111368B0" w14:textId="204DDEBF" w:rsidR="00A45BEB" w:rsidRPr="00260790" w:rsidRDefault="005A5E13"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É</w:t>
            </w:r>
            <w:r w:rsidR="00A45BEB" w:rsidRPr="00260790">
              <w:rPr>
                <w:rFonts w:ascii="Times New Roman" w:hAnsi="Times New Roman"/>
                <w:color w:val="000000" w:themeColor="text1"/>
                <w:sz w:val="22"/>
                <w:szCs w:val="22"/>
                <w:lang w:val="fr-FR"/>
              </w:rPr>
              <w:t xml:space="preserve">tablir un programme de lutte contre le VIH/SIDA avec les activités de sensibilisation et de dépistages volontaires conformément à l’arrêté 14-9561 du 23/09/2014 relatif à l’information, l’éducation, la formation en matière de VIH/SIDA sur les lieux de travail </w:t>
            </w:r>
          </w:p>
          <w:p w14:paraId="30A3D904"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Intégrer dans les cahiers de charges les dispositions concernant la santé et la sécurité au travail dans les DAO</w:t>
            </w:r>
          </w:p>
          <w:p w14:paraId="18C94752"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En fonction des effectifs, organiser des élections de délégués du personnel (à partir de 11 travailleurs) et installer à partir de 50 travailleurs, un comité d’hygiène et de sécurité</w:t>
            </w:r>
          </w:p>
          <w:p w14:paraId="7CC1D899"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Indiquer dans le rapport PGES les prévisions des effectifs qui seront recrutés dans les différentes phases du projet en précisant les aspects GENRE</w:t>
            </w:r>
          </w:p>
          <w:p w14:paraId="339F4E2F"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Tous ces aspects seront suivis dans le PGES et le Plan de suivi avec comme indicateur majeur le nombre de contrats visés par l’IRTSS de Dakar.</w:t>
            </w:r>
          </w:p>
        </w:tc>
      </w:tr>
      <w:tr w:rsidR="00BD1A2F" w:rsidRPr="00260790" w14:paraId="44D3DAA4" w14:textId="77777777" w:rsidTr="005E7ED1">
        <w:tc>
          <w:tcPr>
            <w:tcW w:w="1781" w:type="dxa"/>
            <w:vAlign w:val="center"/>
          </w:tcPr>
          <w:p w14:paraId="39739122"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Rencontre avec DGUA le 13/11/2024</w:t>
            </w:r>
          </w:p>
        </w:tc>
        <w:tc>
          <w:tcPr>
            <w:tcW w:w="2896" w:type="dxa"/>
            <w:vAlign w:val="center"/>
          </w:tcPr>
          <w:p w14:paraId="219390A8"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p>
        </w:tc>
        <w:tc>
          <w:tcPr>
            <w:tcW w:w="3403" w:type="dxa"/>
            <w:vAlign w:val="center"/>
          </w:tcPr>
          <w:p w14:paraId="35215107"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bookmarkStart w:id="2585" w:name="_Hlk183390656"/>
            <w:r w:rsidRPr="00260790">
              <w:rPr>
                <w:rFonts w:ascii="Times New Roman" w:hAnsi="Times New Roman"/>
                <w:color w:val="000000" w:themeColor="text1"/>
                <w:sz w:val="22"/>
                <w:szCs w:val="22"/>
                <w:lang w:val="fr-FR"/>
              </w:rPr>
              <w:t>Existe-t-il des documents de planification notamment des extraits de plan des sites concernés par le projet</w:t>
            </w:r>
          </w:p>
          <w:bookmarkEnd w:id="2585"/>
          <w:p w14:paraId="5A2E44C5"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Y a-t-il des opérations d’aménagement (déguerpissement </w:t>
            </w:r>
            <w:r w:rsidRPr="00260790">
              <w:rPr>
                <w:rFonts w:ascii="Times New Roman" w:hAnsi="Times New Roman"/>
                <w:color w:val="000000" w:themeColor="text1"/>
                <w:sz w:val="22"/>
                <w:szCs w:val="22"/>
                <w:lang w:val="fr-FR"/>
              </w:rPr>
              <w:lastRenderedPageBreak/>
              <w:t>et réinstallations) soit restructuration urbaine et régulation foncière</w:t>
            </w:r>
          </w:p>
          <w:p w14:paraId="3C11217E"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Y aura-t-il des déplacés dans le projet</w:t>
            </w:r>
          </w:p>
        </w:tc>
        <w:tc>
          <w:tcPr>
            <w:tcW w:w="6379" w:type="dxa"/>
            <w:vAlign w:val="center"/>
          </w:tcPr>
          <w:p w14:paraId="783EB623"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 xml:space="preserve"> ADM doit fournir des extraits de plan cadastral de délimitation des bassins versants avec des coordonnées géographiques certifiées conformes</w:t>
            </w:r>
          </w:p>
          <w:p w14:paraId="18DE54FA"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Trouver des sites de recasement des impactés ; élaborer un document d’urbanisme qui est le Plan d’Aménagement de zone (PAZ)</w:t>
            </w:r>
          </w:p>
          <w:p w14:paraId="246EC2D4"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Mettre en place une Commission départementale de recensement et </w:t>
            </w:r>
            <w:r w:rsidRPr="00260790">
              <w:rPr>
                <w:rFonts w:ascii="Times New Roman" w:hAnsi="Times New Roman"/>
                <w:color w:val="000000" w:themeColor="text1"/>
                <w:sz w:val="22"/>
                <w:szCs w:val="22"/>
                <w:lang w:val="fr-FR"/>
              </w:rPr>
              <w:lastRenderedPageBreak/>
              <w:t>d’évaluation des impenses pour déterminer les indemnisations et dédommagements en espèces ou en nature</w:t>
            </w:r>
          </w:p>
          <w:p w14:paraId="483507D9"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S’approcher de l’Urbanisme (DGUA/DPUR) pour l’élaboration d’un document d’urbanisme de la zone à aménager</w:t>
            </w:r>
          </w:p>
          <w:p w14:paraId="357AD897"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Mettre à disposition une cartographie de localisation des bassins à aménager et ceux à construire incluant leurs tailles </w:t>
            </w:r>
          </w:p>
        </w:tc>
      </w:tr>
      <w:tr w:rsidR="00BD1A2F" w:rsidRPr="00260790" w14:paraId="6A207727" w14:textId="77777777" w:rsidTr="005E7ED1">
        <w:tc>
          <w:tcPr>
            <w:tcW w:w="1781" w:type="dxa"/>
            <w:vAlign w:val="center"/>
          </w:tcPr>
          <w:p w14:paraId="0E77B1DA"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Rencontre avec ONAS le 13/11/2024</w:t>
            </w:r>
          </w:p>
        </w:tc>
        <w:tc>
          <w:tcPr>
            <w:tcW w:w="2896" w:type="dxa"/>
            <w:vAlign w:val="center"/>
          </w:tcPr>
          <w:p w14:paraId="20EEBDBB"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ONAS est partie prenante du PROGEP</w:t>
            </w:r>
          </w:p>
        </w:tc>
        <w:tc>
          <w:tcPr>
            <w:tcW w:w="3403" w:type="dxa"/>
            <w:vAlign w:val="center"/>
          </w:tcPr>
          <w:p w14:paraId="01F177FE"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Toutes les eaux usées sont déversées dans le marigot de Mbao</w:t>
            </w:r>
          </w:p>
          <w:p w14:paraId="27950293"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bookmarkStart w:id="2586" w:name="_Hlk183390697"/>
            <w:r w:rsidRPr="00260790">
              <w:rPr>
                <w:rFonts w:ascii="Times New Roman" w:hAnsi="Times New Roman"/>
                <w:color w:val="000000" w:themeColor="text1"/>
                <w:sz w:val="22"/>
                <w:szCs w:val="22"/>
                <w:lang w:val="fr-FR"/>
              </w:rPr>
              <w:t>Le lit du marigot est occupé en partie par les habitations de Keur Mbaye Fall et Mbao</w:t>
            </w:r>
          </w:p>
          <w:bookmarkEnd w:id="2586"/>
          <w:p w14:paraId="1A9076D5"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ONAS a lancé une étude de Plan Directeur pour l’Aménagement des eaux usées de la zone de Mbao, Keur Mbaye Fall et ZAC Mbao</w:t>
            </w:r>
          </w:p>
          <w:p w14:paraId="332B810D"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ONAS prévoit de construire une station d’épuration dans la FC (bassin versant nord) qui prendra en charge tous les projets de lotissement futurs dans cette zone sur un horizon de 25 ans</w:t>
            </w:r>
          </w:p>
        </w:tc>
        <w:tc>
          <w:tcPr>
            <w:tcW w:w="6379" w:type="dxa"/>
            <w:vAlign w:val="center"/>
          </w:tcPr>
          <w:p w14:paraId="2702A7FD"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Mettre en place un programme global de gestion des eaux usées autour du marigot</w:t>
            </w:r>
          </w:p>
          <w:p w14:paraId="2BF36DB4"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Empêcher toutes les connexions des eaux usées vers le marigot</w:t>
            </w:r>
          </w:p>
          <w:p w14:paraId="34C44F3C"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Voir avec la SONAGED pour les déchets solides</w:t>
            </w:r>
          </w:p>
        </w:tc>
      </w:tr>
      <w:tr w:rsidR="00BD1A2F" w:rsidRPr="00260790" w14:paraId="4A0EC428" w14:textId="77777777" w:rsidTr="005E7ED1">
        <w:tc>
          <w:tcPr>
            <w:tcW w:w="1781" w:type="dxa"/>
            <w:vAlign w:val="center"/>
          </w:tcPr>
          <w:p w14:paraId="7A880282"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Rencontre avec la Direction de la Protection civile</w:t>
            </w:r>
          </w:p>
          <w:p w14:paraId="4ED53248"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DPC le 14/11/2024</w:t>
            </w:r>
          </w:p>
        </w:tc>
        <w:tc>
          <w:tcPr>
            <w:tcW w:w="2896" w:type="dxa"/>
            <w:vAlign w:val="center"/>
          </w:tcPr>
          <w:p w14:paraId="63F6D423"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Nous sommes toujours associés à ce type de projet, avant, pendant et après les travaux</w:t>
            </w:r>
          </w:p>
          <w:p w14:paraId="0F3536B5"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C’est un projet qui vise à réduire les inondations et à évacuer les eaux pluviales</w:t>
            </w:r>
          </w:p>
        </w:tc>
        <w:tc>
          <w:tcPr>
            <w:tcW w:w="3403" w:type="dxa"/>
            <w:vAlign w:val="center"/>
          </w:tcPr>
          <w:p w14:paraId="07807820"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Est-ce que le projet intègre des ouvrages d’assainissement des eaux usées ?</w:t>
            </w:r>
          </w:p>
          <w:p w14:paraId="668D2A35"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Est-ce que l’ensemble des risques pendant ls travaux et en exploitation ont été identifiés</w:t>
            </w:r>
          </w:p>
          <w:p w14:paraId="50991123"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Risques de chutes des personnes et ensevelissement des ouvrages</w:t>
            </w:r>
          </w:p>
          <w:p w14:paraId="1B335C69"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Risques de dommages créés par les engins au niveau des infrastructures mitoyennes, ce qui </w:t>
            </w:r>
            <w:r w:rsidRPr="00260790">
              <w:rPr>
                <w:rFonts w:ascii="Times New Roman" w:hAnsi="Times New Roman"/>
                <w:color w:val="000000" w:themeColor="text1"/>
                <w:sz w:val="22"/>
                <w:szCs w:val="22"/>
                <w:lang w:val="fr-FR"/>
              </w:rPr>
              <w:lastRenderedPageBreak/>
              <w:t>occasionne des conflits</w:t>
            </w:r>
          </w:p>
        </w:tc>
        <w:tc>
          <w:tcPr>
            <w:tcW w:w="6379" w:type="dxa"/>
            <w:vAlign w:val="center"/>
          </w:tcPr>
          <w:p w14:paraId="1C6CE2D1"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Traiter les eaux usées avant de les mettre dans les bassins</w:t>
            </w:r>
          </w:p>
          <w:p w14:paraId="18462805"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En phase travaux : </w:t>
            </w:r>
          </w:p>
          <w:p w14:paraId="567A1537" w14:textId="77777777" w:rsidR="00A45BEB" w:rsidRPr="00260790" w:rsidRDefault="00A45BEB" w:rsidP="001748C6">
            <w:pPr>
              <w:pStyle w:val="Paragraphedeliste"/>
              <w:widowControl w:val="0"/>
              <w:numPr>
                <w:ilvl w:val="0"/>
                <w:numId w:val="209"/>
              </w:numPr>
              <w:autoSpaceDE w:val="0"/>
              <w:autoSpaceDN w:val="0"/>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Mettre en place des dispositifs de protection et de balisage nécessaires surtout en cas de traversée d’établissements humains</w:t>
            </w:r>
          </w:p>
          <w:p w14:paraId="248CD12C" w14:textId="77777777" w:rsidR="00A45BEB" w:rsidRPr="00260790" w:rsidRDefault="00A45BEB" w:rsidP="001748C6">
            <w:pPr>
              <w:pStyle w:val="Paragraphedeliste"/>
              <w:widowControl w:val="0"/>
              <w:numPr>
                <w:ilvl w:val="0"/>
                <w:numId w:val="209"/>
              </w:numPr>
              <w:autoSpaceDE w:val="0"/>
              <w:autoSpaceDN w:val="0"/>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Avoir une acceptabilité sociale du projet</w:t>
            </w:r>
          </w:p>
          <w:p w14:paraId="494157EE" w14:textId="66670B11" w:rsidR="00A45BEB" w:rsidRPr="00260790" w:rsidRDefault="00E60FA9" w:rsidP="001748C6">
            <w:pPr>
              <w:pStyle w:val="Paragraphedeliste"/>
              <w:widowControl w:val="0"/>
              <w:numPr>
                <w:ilvl w:val="0"/>
                <w:numId w:val="209"/>
              </w:numPr>
              <w:autoSpaceDE w:val="0"/>
              <w:autoSpaceDN w:val="0"/>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É</w:t>
            </w:r>
            <w:r w:rsidR="00A45BEB" w:rsidRPr="00260790">
              <w:rPr>
                <w:rFonts w:ascii="Times New Roman" w:hAnsi="Times New Roman"/>
                <w:color w:val="000000" w:themeColor="text1"/>
                <w:sz w:val="22"/>
                <w:szCs w:val="22"/>
                <w:lang w:val="fr-FR"/>
              </w:rPr>
              <w:t xml:space="preserve">laborer et mettre en œuvre un Plan de Communication </w:t>
            </w:r>
          </w:p>
          <w:p w14:paraId="6AD72238" w14:textId="77777777" w:rsidR="00A45BEB" w:rsidRPr="00260790" w:rsidRDefault="00A45BEB" w:rsidP="00E20250">
            <w:pPr>
              <w:spacing w:line="240" w:lineRule="auto"/>
              <w:ind w:left="360"/>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Au niveau bassins :</w:t>
            </w:r>
          </w:p>
          <w:p w14:paraId="5A48B999" w14:textId="77777777" w:rsidR="00A45BEB" w:rsidRPr="00260790" w:rsidRDefault="00A45BEB" w:rsidP="001748C6">
            <w:pPr>
              <w:pStyle w:val="Paragraphedeliste"/>
              <w:widowControl w:val="0"/>
              <w:numPr>
                <w:ilvl w:val="0"/>
                <w:numId w:val="209"/>
              </w:numPr>
              <w:autoSpaceDE w:val="0"/>
              <w:autoSpaceDN w:val="0"/>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Mettre en place un dispositif adapté pour éviter toute intrusion d’animaux ou d’êtres humains</w:t>
            </w:r>
          </w:p>
          <w:p w14:paraId="33051B25" w14:textId="1A208889" w:rsidR="00A45BEB" w:rsidRPr="00260790" w:rsidRDefault="00A45BEB" w:rsidP="001748C6">
            <w:pPr>
              <w:pStyle w:val="Paragraphedeliste"/>
              <w:widowControl w:val="0"/>
              <w:numPr>
                <w:ilvl w:val="0"/>
                <w:numId w:val="209"/>
              </w:numPr>
              <w:autoSpaceDE w:val="0"/>
              <w:autoSpaceDN w:val="0"/>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Prévoir des dispositifs pour évacuer les trop</w:t>
            </w:r>
            <w:r w:rsidR="00BD2CEA" w:rsidRPr="00260790">
              <w:rPr>
                <w:rFonts w:ascii="Times New Roman" w:hAnsi="Times New Roman"/>
                <w:color w:val="000000" w:themeColor="text1"/>
                <w:sz w:val="22"/>
                <w:szCs w:val="22"/>
                <w:lang w:val="fr-FR"/>
              </w:rPr>
              <w:t>-</w:t>
            </w:r>
            <w:r w:rsidRPr="00260790">
              <w:rPr>
                <w:rFonts w:ascii="Times New Roman" w:hAnsi="Times New Roman"/>
                <w:color w:val="000000" w:themeColor="text1"/>
                <w:sz w:val="22"/>
                <w:szCs w:val="22"/>
                <w:lang w:val="fr-FR"/>
              </w:rPr>
              <w:t>pleins d’eau</w:t>
            </w:r>
          </w:p>
          <w:p w14:paraId="65EF17E1" w14:textId="77777777" w:rsidR="00A45BEB" w:rsidRPr="00260790" w:rsidRDefault="00A45BEB" w:rsidP="001748C6">
            <w:pPr>
              <w:pStyle w:val="Paragraphedeliste"/>
              <w:widowControl w:val="0"/>
              <w:numPr>
                <w:ilvl w:val="0"/>
                <w:numId w:val="209"/>
              </w:numPr>
              <w:autoSpaceDE w:val="0"/>
              <w:autoSpaceDN w:val="0"/>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Si les canaux de drainage sont enterrés, prévoir un dispositif pour qu’ils résistent aux chocs des engins et véhicules dans les voies de passage</w:t>
            </w:r>
          </w:p>
          <w:p w14:paraId="207410D8" w14:textId="77777777" w:rsidR="00A45BEB" w:rsidRPr="00260790" w:rsidRDefault="00A45BEB" w:rsidP="001748C6">
            <w:pPr>
              <w:pStyle w:val="Paragraphedeliste"/>
              <w:widowControl w:val="0"/>
              <w:numPr>
                <w:ilvl w:val="0"/>
                <w:numId w:val="209"/>
              </w:numPr>
              <w:autoSpaceDE w:val="0"/>
              <w:autoSpaceDN w:val="0"/>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Sensibiliser les populations sur les risques liés aux ouvrages</w:t>
            </w:r>
          </w:p>
          <w:p w14:paraId="1FB6FCD9" w14:textId="77777777" w:rsidR="00A45BEB" w:rsidRPr="00260790" w:rsidRDefault="00A45BEB" w:rsidP="001748C6">
            <w:pPr>
              <w:pStyle w:val="Paragraphedeliste"/>
              <w:widowControl w:val="0"/>
              <w:numPr>
                <w:ilvl w:val="0"/>
                <w:numId w:val="209"/>
              </w:numPr>
              <w:autoSpaceDE w:val="0"/>
              <w:autoSpaceDN w:val="0"/>
              <w:spacing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Prévoir un plan de réponse en cas d’inondation </w:t>
            </w:r>
          </w:p>
        </w:tc>
      </w:tr>
      <w:tr w:rsidR="00BD1A2F" w:rsidRPr="00260790" w14:paraId="7E18DE53" w14:textId="77777777" w:rsidTr="005E7ED1">
        <w:tc>
          <w:tcPr>
            <w:tcW w:w="1781" w:type="dxa"/>
            <w:vAlign w:val="center"/>
          </w:tcPr>
          <w:p w14:paraId="33881CA1" w14:textId="77777777" w:rsidR="00A45BEB" w:rsidRPr="00260790" w:rsidRDefault="00A45BEB" w:rsidP="00E20250">
            <w:pPr>
              <w:spacing w:line="240" w:lineRule="auto"/>
              <w:jc w:val="center"/>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Assainissement</w:t>
            </w:r>
          </w:p>
          <w:p w14:paraId="07BF2E20"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05/11/24</w:t>
            </w:r>
          </w:p>
        </w:tc>
        <w:tc>
          <w:tcPr>
            <w:tcW w:w="2896" w:type="dxa"/>
            <w:vAlign w:val="center"/>
          </w:tcPr>
          <w:p w14:paraId="4C5928BD" w14:textId="77777777" w:rsidR="00A45BEB" w:rsidRPr="00260790" w:rsidRDefault="00A45BEB" w:rsidP="00E20250">
            <w:pPr>
              <w:spacing w:line="240" w:lineRule="auto"/>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Avis favorable au projet, du moment où la problématique des inondations existe toujours. Ce projet pourrait permettre d’avoir des solutions durables et soulager les populations.</w:t>
            </w:r>
          </w:p>
          <w:p w14:paraId="137CAD75" w14:textId="77777777" w:rsidR="00A45BEB" w:rsidRPr="00260790" w:rsidRDefault="00A45BEB" w:rsidP="00E20250">
            <w:pPr>
              <w:spacing w:line="240" w:lineRule="auto"/>
              <w:rPr>
                <w:rFonts w:ascii="Times New Roman" w:hAnsi="Times New Roman"/>
                <w:color w:val="000000" w:themeColor="text1"/>
                <w:sz w:val="22"/>
                <w:szCs w:val="22"/>
                <w:lang w:val="fr-FR"/>
              </w:rPr>
            </w:pPr>
          </w:p>
        </w:tc>
        <w:tc>
          <w:tcPr>
            <w:tcW w:w="3403" w:type="dxa"/>
            <w:vAlign w:val="center"/>
          </w:tcPr>
          <w:p w14:paraId="31173054"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Problème d’eutrophisation </w:t>
            </w:r>
          </w:p>
          <w:p w14:paraId="61A5E3A6"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Sur la gestion des eaux usées et pluviales</w:t>
            </w:r>
          </w:p>
          <w:p w14:paraId="341B4F0B"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Production d’eaux usées (Lavage des véhicules et engins de chantiers</w:t>
            </w:r>
          </w:p>
          <w:p w14:paraId="16B41684"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Risque de pollution du sol</w:t>
            </w:r>
          </w:p>
          <w:p w14:paraId="15D07E4D"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Gestion des Eaux usées domestiques</w:t>
            </w:r>
          </w:p>
          <w:p w14:paraId="7A8A1A39"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Craintes par rapport à la gestion des déchets solides et liquides</w:t>
            </w:r>
          </w:p>
          <w:p w14:paraId="1F1CFD23"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Gérer les déchets spéciaux (contenant des huiles mortes …) et aussi des déchets solides ménagères (cartons, </w:t>
            </w:r>
            <w:proofErr w:type="gramStart"/>
            <w:r w:rsidRPr="00260790">
              <w:rPr>
                <w:rFonts w:ascii="Times New Roman" w:hAnsi="Times New Roman"/>
                <w:color w:val="000000" w:themeColor="text1"/>
                <w:sz w:val="22"/>
                <w:szCs w:val="22"/>
                <w:lang w:val="fr-FR"/>
              </w:rPr>
              <w:t>ordures ,</w:t>
            </w:r>
            <w:proofErr w:type="gramEnd"/>
            <w:r w:rsidRPr="00260790">
              <w:rPr>
                <w:rFonts w:ascii="Times New Roman" w:hAnsi="Times New Roman"/>
                <w:color w:val="000000" w:themeColor="text1"/>
                <w:sz w:val="22"/>
                <w:szCs w:val="22"/>
                <w:lang w:val="fr-FR"/>
              </w:rPr>
              <w:t xml:space="preserve"> bois …)</w:t>
            </w:r>
          </w:p>
          <w:p w14:paraId="3627E7EE" w14:textId="6D229ED2"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Utilisation de la main</w:t>
            </w:r>
            <w:r w:rsidR="00F32B75" w:rsidRPr="00260790">
              <w:rPr>
                <w:rFonts w:ascii="Times New Roman" w:hAnsi="Times New Roman"/>
                <w:color w:val="000000" w:themeColor="text1"/>
                <w:sz w:val="22"/>
                <w:szCs w:val="22"/>
                <w:lang w:val="fr-FR"/>
              </w:rPr>
              <w:t>-</w:t>
            </w:r>
            <w:r w:rsidRPr="00260790">
              <w:rPr>
                <w:rFonts w:ascii="Times New Roman" w:hAnsi="Times New Roman"/>
                <w:color w:val="000000" w:themeColor="text1"/>
                <w:sz w:val="22"/>
                <w:szCs w:val="22"/>
                <w:lang w:val="fr-FR"/>
              </w:rPr>
              <w:t>d’œuvre locale</w:t>
            </w:r>
          </w:p>
          <w:p w14:paraId="33F9627D"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bookmarkStart w:id="2587" w:name="_Hlk183391728"/>
            <w:r w:rsidRPr="00260790">
              <w:rPr>
                <w:rFonts w:ascii="Times New Roman" w:hAnsi="Times New Roman"/>
                <w:color w:val="000000" w:themeColor="text1"/>
                <w:sz w:val="22"/>
                <w:szCs w:val="22"/>
                <w:lang w:val="fr-FR"/>
              </w:rPr>
              <w:t xml:space="preserve">Perturbation de la population et du cadre de vie </w:t>
            </w:r>
          </w:p>
          <w:bookmarkEnd w:id="2587"/>
          <w:p w14:paraId="014424C3"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Craintes sur les aspects socio-économiques</w:t>
            </w:r>
          </w:p>
          <w:p w14:paraId="2E430E07" w14:textId="6433E130" w:rsidR="00A45BEB" w:rsidRPr="00260790" w:rsidRDefault="008341E6"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bookmarkStart w:id="2588" w:name="_Hlk183390809"/>
            <w:r w:rsidRPr="00260790">
              <w:rPr>
                <w:rFonts w:ascii="Times New Roman" w:hAnsi="Times New Roman"/>
                <w:color w:val="000000" w:themeColor="text1"/>
                <w:sz w:val="22"/>
                <w:szCs w:val="22"/>
                <w:lang w:val="fr-FR"/>
              </w:rPr>
              <w:t>É</w:t>
            </w:r>
            <w:r w:rsidR="00A45BEB" w:rsidRPr="00260790">
              <w:rPr>
                <w:rFonts w:ascii="Times New Roman" w:hAnsi="Times New Roman"/>
                <w:color w:val="000000" w:themeColor="text1"/>
                <w:sz w:val="22"/>
                <w:szCs w:val="22"/>
                <w:lang w:val="fr-FR"/>
              </w:rPr>
              <w:t>manation de poussières (Risque de pneumopathie)</w:t>
            </w:r>
          </w:p>
          <w:p w14:paraId="5D7DFD6E"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Nuisances sonores</w:t>
            </w:r>
            <w:bookmarkEnd w:id="2588"/>
          </w:p>
        </w:tc>
        <w:tc>
          <w:tcPr>
            <w:tcW w:w="6379" w:type="dxa"/>
            <w:vAlign w:val="center"/>
          </w:tcPr>
          <w:p w14:paraId="457056F7"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Faire de tel sorte que les habitations ne gênent plus l’écoulement naturel (Dépression de Mbao, les eaux convergent naturellement)</w:t>
            </w:r>
          </w:p>
          <w:p w14:paraId="01C5167A"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Penser à une toilette mobile et des aires de repos pour les travailleurs des chantiers </w:t>
            </w:r>
          </w:p>
          <w:p w14:paraId="00FC0A82" w14:textId="3552D4DE" w:rsidR="00A45BEB" w:rsidRPr="00260790" w:rsidRDefault="00AB5509"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É</w:t>
            </w:r>
            <w:r w:rsidR="00A45BEB" w:rsidRPr="00260790">
              <w:rPr>
                <w:rFonts w:ascii="Times New Roman" w:hAnsi="Times New Roman"/>
                <w:color w:val="000000" w:themeColor="text1"/>
                <w:sz w:val="22"/>
                <w:szCs w:val="22"/>
                <w:lang w:val="fr-FR"/>
              </w:rPr>
              <w:t xml:space="preserve">vacuer régulièrement le contenu des toilettes mobiles et eaux uses (Utilisation de camions de </w:t>
            </w:r>
            <w:proofErr w:type="gramStart"/>
            <w:r w:rsidR="00A45BEB" w:rsidRPr="00260790">
              <w:rPr>
                <w:rFonts w:ascii="Times New Roman" w:hAnsi="Times New Roman"/>
                <w:color w:val="000000" w:themeColor="text1"/>
                <w:sz w:val="22"/>
                <w:szCs w:val="22"/>
                <w:lang w:val="fr-FR"/>
              </w:rPr>
              <w:t>vidange )</w:t>
            </w:r>
            <w:proofErr w:type="gramEnd"/>
          </w:p>
          <w:p w14:paraId="602BDBF1"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Penser aussi aux eaux pluviales</w:t>
            </w:r>
          </w:p>
          <w:p w14:paraId="0DA19EAA"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proofErr w:type="gramStart"/>
            <w:r w:rsidRPr="00260790">
              <w:rPr>
                <w:rFonts w:ascii="Times New Roman" w:hAnsi="Times New Roman"/>
                <w:color w:val="000000" w:themeColor="text1"/>
                <w:sz w:val="22"/>
                <w:szCs w:val="22"/>
                <w:lang w:val="fr-FR"/>
              </w:rPr>
              <w:t>Faire</w:t>
            </w:r>
            <w:proofErr w:type="gramEnd"/>
            <w:r w:rsidRPr="00260790">
              <w:rPr>
                <w:rFonts w:ascii="Times New Roman" w:hAnsi="Times New Roman"/>
                <w:color w:val="000000" w:themeColor="text1"/>
                <w:sz w:val="22"/>
                <w:szCs w:val="22"/>
                <w:lang w:val="fr-FR"/>
              </w:rPr>
              <w:t xml:space="preserve"> le travail progressivement </w:t>
            </w:r>
          </w:p>
          <w:p w14:paraId="0C5098A2"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bookmarkStart w:id="2589" w:name="_Hlk183393108"/>
            <w:r w:rsidRPr="00260790">
              <w:rPr>
                <w:rFonts w:ascii="Times New Roman" w:hAnsi="Times New Roman"/>
                <w:color w:val="000000" w:themeColor="text1"/>
                <w:sz w:val="22"/>
                <w:szCs w:val="22"/>
                <w:lang w:val="fr-FR"/>
              </w:rPr>
              <w:t>Collecter et stocker les déchets spéciaux et les remettre à des structures agréées</w:t>
            </w:r>
          </w:p>
          <w:bookmarkEnd w:id="2589"/>
          <w:p w14:paraId="0AFC2D29"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Collecter et évacuer les déchets solides vers les ordures ménagères (camions de ramassage …)</w:t>
            </w:r>
          </w:p>
          <w:p w14:paraId="075D3B1D"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Tenir compte des commodités pour les travailleurs </w:t>
            </w:r>
          </w:p>
          <w:p w14:paraId="1EB18A60"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Connaitre le statut juridique de ces lieux entre les deux communes.</w:t>
            </w:r>
          </w:p>
          <w:p w14:paraId="1C163941"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Privilégier l’emploi local</w:t>
            </w:r>
          </w:p>
          <w:p w14:paraId="1B9F24D1"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Faire des visites médicales</w:t>
            </w:r>
          </w:p>
          <w:p w14:paraId="4354343A"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Disposer d’EPI pour les travailleurs </w:t>
            </w:r>
          </w:p>
          <w:p w14:paraId="106467CB"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Prendre en compte les aspects socio-économiques </w:t>
            </w:r>
          </w:p>
          <w:p w14:paraId="76EE9E99"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Arroser régulièrement les chantiers pour réduire les poussières</w:t>
            </w:r>
          </w:p>
          <w:p w14:paraId="3B475B34"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Respecter les normes de bruit </w:t>
            </w:r>
          </w:p>
          <w:p w14:paraId="3B82AAE4"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Respecter la charge de travail </w:t>
            </w:r>
          </w:p>
          <w:p w14:paraId="1EE2ADDE" w14:textId="45BD07BD"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Bien évaluer les impenses pour les impact</w:t>
            </w:r>
            <w:r w:rsidR="00BD2CEA" w:rsidRPr="00260790">
              <w:rPr>
                <w:rFonts w:ascii="Times New Roman" w:hAnsi="Times New Roman"/>
                <w:color w:val="000000" w:themeColor="text1"/>
                <w:sz w:val="22"/>
                <w:szCs w:val="22"/>
                <w:lang w:val="fr-FR"/>
              </w:rPr>
              <w:t>és</w:t>
            </w:r>
            <w:r w:rsidRPr="00260790">
              <w:rPr>
                <w:rFonts w:ascii="Times New Roman" w:hAnsi="Times New Roman"/>
                <w:color w:val="000000" w:themeColor="text1"/>
                <w:sz w:val="22"/>
                <w:szCs w:val="22"/>
                <w:lang w:val="fr-FR"/>
              </w:rPr>
              <w:t xml:space="preserve"> </w:t>
            </w:r>
          </w:p>
          <w:p w14:paraId="7934EA99"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Se rapprocher de la police de l’assainissement qui est en phase d’expérimentation dans la zone.</w:t>
            </w:r>
          </w:p>
        </w:tc>
      </w:tr>
      <w:tr w:rsidR="00BD1A2F" w:rsidRPr="00260790" w14:paraId="479EF054" w14:textId="77777777" w:rsidTr="005E7ED1">
        <w:tc>
          <w:tcPr>
            <w:tcW w:w="1781" w:type="dxa"/>
            <w:vAlign w:val="center"/>
          </w:tcPr>
          <w:p w14:paraId="1B1601D4" w14:textId="77777777" w:rsidR="00A45BEB" w:rsidRPr="00260790" w:rsidRDefault="00A45BEB" w:rsidP="00E20250">
            <w:pPr>
              <w:spacing w:line="240" w:lineRule="auto"/>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Rencontre avec SRAT Dakar le 06/11/2024</w:t>
            </w:r>
          </w:p>
        </w:tc>
        <w:tc>
          <w:tcPr>
            <w:tcW w:w="2896" w:type="dxa"/>
            <w:vAlign w:val="center"/>
          </w:tcPr>
          <w:p w14:paraId="3650D63E" w14:textId="59CF6ECE" w:rsidR="00A45BEB" w:rsidRPr="00260790" w:rsidRDefault="00A45BEB" w:rsidP="00E20250">
            <w:pPr>
              <w:pStyle w:val="Default"/>
              <w:jc w:val="both"/>
              <w:rPr>
                <w:rFonts w:ascii="Times New Roman" w:hAnsi="Times New Roman" w:cs="Times New Roman"/>
                <w:color w:val="000000" w:themeColor="text1"/>
                <w:sz w:val="22"/>
                <w:szCs w:val="22"/>
                <w:lang w:val="fr-FR"/>
              </w:rPr>
            </w:pPr>
            <w:r w:rsidRPr="00260790">
              <w:rPr>
                <w:rFonts w:ascii="Times New Roman" w:hAnsi="Times New Roman" w:cs="Times New Roman"/>
                <w:color w:val="000000" w:themeColor="text1"/>
                <w:sz w:val="22"/>
                <w:szCs w:val="22"/>
                <w:lang w:val="fr-FR"/>
              </w:rPr>
              <w:t>C’est un projet structurant et à fort</w:t>
            </w:r>
            <w:r w:rsidR="00CD5F86" w:rsidRPr="00260790">
              <w:rPr>
                <w:rFonts w:ascii="Times New Roman" w:hAnsi="Times New Roman" w:cs="Times New Roman"/>
                <w:color w:val="000000" w:themeColor="text1"/>
                <w:sz w:val="22"/>
                <w:szCs w:val="22"/>
                <w:lang w:val="fr-FR"/>
              </w:rPr>
              <w:t>e</w:t>
            </w:r>
            <w:r w:rsidRPr="00260790">
              <w:rPr>
                <w:rFonts w:ascii="Times New Roman" w:hAnsi="Times New Roman" w:cs="Times New Roman"/>
                <w:color w:val="000000" w:themeColor="text1"/>
                <w:sz w:val="22"/>
                <w:szCs w:val="22"/>
                <w:lang w:val="fr-FR"/>
              </w:rPr>
              <w:t xml:space="preserve"> incidence sur l’espace qui va participer à :</w:t>
            </w:r>
          </w:p>
          <w:p w14:paraId="5637D327" w14:textId="77777777" w:rsidR="00A45BEB" w:rsidRPr="00260790" w:rsidRDefault="00A45BEB" w:rsidP="00E20250">
            <w:pPr>
              <w:pStyle w:val="Default"/>
              <w:jc w:val="both"/>
              <w:rPr>
                <w:rFonts w:ascii="Times New Roman" w:hAnsi="Times New Roman" w:cs="Times New Roman"/>
                <w:color w:val="000000" w:themeColor="text1"/>
                <w:sz w:val="22"/>
                <w:szCs w:val="22"/>
                <w:lang w:val="fr-FR"/>
              </w:rPr>
            </w:pPr>
          </w:p>
          <w:p w14:paraId="36AC55B6"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La réduction des risques d’inondation dans les parties nord et sud du bassin versant de Mbao ;</w:t>
            </w:r>
          </w:p>
          <w:p w14:paraId="0C60F918"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La gestion durable de l’environnement et des ressources naturelles ;</w:t>
            </w:r>
          </w:p>
          <w:p w14:paraId="7F40B640"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L’amélioration et la sécurisation du cadre de vie.</w:t>
            </w:r>
          </w:p>
          <w:p w14:paraId="709CBFB7" w14:textId="77777777" w:rsidR="00A45BEB" w:rsidRPr="00260790" w:rsidRDefault="00A45BEB" w:rsidP="00E20250">
            <w:pPr>
              <w:pStyle w:val="Paragraphedeliste"/>
              <w:spacing w:line="240" w:lineRule="auto"/>
              <w:rPr>
                <w:rFonts w:ascii="Times New Roman" w:hAnsi="Times New Roman"/>
                <w:color w:val="000000" w:themeColor="text1"/>
                <w:sz w:val="22"/>
                <w:szCs w:val="22"/>
                <w:lang w:val="fr-FR"/>
              </w:rPr>
            </w:pPr>
          </w:p>
          <w:p w14:paraId="4873C318" w14:textId="77777777" w:rsidR="00A45BEB" w:rsidRPr="00260790" w:rsidRDefault="00A45BEB" w:rsidP="00E20250">
            <w:pPr>
              <w:spacing w:line="240" w:lineRule="auto"/>
              <w:rPr>
                <w:rFonts w:ascii="Times New Roman" w:hAnsi="Times New Roman"/>
                <w:color w:val="000000" w:themeColor="text1"/>
                <w:sz w:val="22"/>
                <w:szCs w:val="22"/>
                <w:lang w:val="fr-FR"/>
              </w:rPr>
            </w:pPr>
          </w:p>
        </w:tc>
        <w:tc>
          <w:tcPr>
            <w:tcW w:w="3403" w:type="dxa"/>
            <w:vAlign w:val="center"/>
          </w:tcPr>
          <w:p w14:paraId="1C10540D"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Enjeux</w:t>
            </w:r>
          </w:p>
          <w:p w14:paraId="39753284" w14:textId="77777777" w:rsidR="00A45BEB" w:rsidRPr="00260790" w:rsidRDefault="00A45BEB" w:rsidP="001748C6">
            <w:pPr>
              <w:pStyle w:val="Default"/>
              <w:widowControl w:val="0"/>
              <w:numPr>
                <w:ilvl w:val="0"/>
                <w:numId w:val="208"/>
              </w:numPr>
              <w:ind w:left="177" w:hanging="177"/>
              <w:jc w:val="both"/>
              <w:rPr>
                <w:rFonts w:ascii="Times New Roman" w:eastAsia="Times New Roman" w:hAnsi="Times New Roman" w:cs="Times New Roman"/>
                <w:color w:val="000000" w:themeColor="text1"/>
                <w:sz w:val="22"/>
                <w:szCs w:val="22"/>
                <w:lang w:val="fr-FR"/>
              </w:rPr>
            </w:pPr>
            <w:r w:rsidRPr="00260790">
              <w:rPr>
                <w:rFonts w:ascii="Times New Roman" w:eastAsia="Times New Roman" w:hAnsi="Times New Roman" w:cs="Times New Roman"/>
                <w:color w:val="000000" w:themeColor="text1"/>
                <w:sz w:val="22"/>
                <w:szCs w:val="22"/>
                <w:lang w:val="fr-FR"/>
              </w:rPr>
              <w:t>Les enjeux du projet</w:t>
            </w:r>
          </w:p>
          <w:p w14:paraId="601FC9D8"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Le maintien de la fonctionnalité </w:t>
            </w:r>
            <w:r w:rsidRPr="00260790">
              <w:rPr>
                <w:rFonts w:ascii="Times New Roman" w:hAnsi="Times New Roman"/>
                <w:color w:val="000000" w:themeColor="text1"/>
                <w:sz w:val="22"/>
                <w:szCs w:val="22"/>
                <w:lang w:val="fr-FR"/>
              </w:rPr>
              <w:lastRenderedPageBreak/>
              <w:t>écologique et la protection du bassin versant de Mbao ;</w:t>
            </w:r>
          </w:p>
          <w:p w14:paraId="3E8F3FC8" w14:textId="7FDEB53F"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La préservation et la protection de l’environnement et du cadre de vie dans ces p</w:t>
            </w:r>
            <w:r w:rsidR="00CD5F86" w:rsidRPr="00260790">
              <w:rPr>
                <w:rFonts w:ascii="Times New Roman" w:hAnsi="Times New Roman"/>
                <w:color w:val="000000" w:themeColor="text1"/>
                <w:sz w:val="22"/>
                <w:szCs w:val="22"/>
                <w:lang w:val="fr-FR"/>
              </w:rPr>
              <w:t>a</w:t>
            </w:r>
            <w:r w:rsidRPr="00260790">
              <w:rPr>
                <w:rFonts w:ascii="Times New Roman" w:hAnsi="Times New Roman"/>
                <w:color w:val="000000" w:themeColor="text1"/>
                <w:sz w:val="22"/>
                <w:szCs w:val="22"/>
                <w:lang w:val="fr-FR"/>
              </w:rPr>
              <w:t>rt</w:t>
            </w:r>
            <w:r w:rsidR="00CD5F86" w:rsidRPr="00260790">
              <w:rPr>
                <w:rFonts w:ascii="Times New Roman" w:hAnsi="Times New Roman"/>
                <w:color w:val="000000" w:themeColor="text1"/>
                <w:sz w:val="22"/>
                <w:szCs w:val="22"/>
                <w:lang w:val="fr-FR"/>
              </w:rPr>
              <w:t>i</w:t>
            </w:r>
            <w:r w:rsidRPr="00260790">
              <w:rPr>
                <w:rFonts w:ascii="Times New Roman" w:hAnsi="Times New Roman"/>
                <w:color w:val="000000" w:themeColor="text1"/>
                <w:sz w:val="22"/>
                <w:szCs w:val="22"/>
                <w:lang w:val="fr-FR"/>
              </w:rPr>
              <w:t>es ;</w:t>
            </w:r>
          </w:p>
          <w:p w14:paraId="188EAD1B"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L’amélioration de la gestion des risques d’inondation dans la zone ;</w:t>
            </w:r>
          </w:p>
          <w:p w14:paraId="3493A94B"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Le bon fonctionnement hydraulique des ouvrages en période de forte pluie ; </w:t>
            </w:r>
          </w:p>
          <w:p w14:paraId="1FD27CD6"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proofErr w:type="gramStart"/>
            <w:r w:rsidRPr="00260790">
              <w:rPr>
                <w:rFonts w:ascii="Times New Roman" w:hAnsi="Times New Roman"/>
                <w:color w:val="000000" w:themeColor="text1"/>
                <w:sz w:val="22"/>
                <w:szCs w:val="22"/>
                <w:lang w:val="fr-FR"/>
              </w:rPr>
              <w:t>la</w:t>
            </w:r>
            <w:proofErr w:type="gramEnd"/>
            <w:r w:rsidRPr="00260790">
              <w:rPr>
                <w:rFonts w:ascii="Times New Roman" w:hAnsi="Times New Roman"/>
                <w:color w:val="000000" w:themeColor="text1"/>
                <w:sz w:val="22"/>
                <w:szCs w:val="22"/>
                <w:lang w:val="fr-FR"/>
              </w:rPr>
              <w:t xml:space="preserve"> protection et la réduction de la vulnérabilité des personnes et des biens ;</w:t>
            </w:r>
          </w:p>
          <w:p w14:paraId="690BE85E"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bookmarkStart w:id="2590" w:name="_Hlk183390925"/>
            <w:proofErr w:type="gramStart"/>
            <w:r w:rsidRPr="00260790">
              <w:rPr>
                <w:rFonts w:ascii="Times New Roman" w:hAnsi="Times New Roman"/>
                <w:color w:val="000000" w:themeColor="text1"/>
                <w:sz w:val="22"/>
                <w:szCs w:val="22"/>
                <w:lang w:val="fr-FR"/>
              </w:rPr>
              <w:t>la</w:t>
            </w:r>
            <w:proofErr w:type="gramEnd"/>
            <w:r w:rsidRPr="00260790">
              <w:rPr>
                <w:rFonts w:ascii="Times New Roman" w:hAnsi="Times New Roman"/>
                <w:color w:val="000000" w:themeColor="text1"/>
                <w:sz w:val="22"/>
                <w:szCs w:val="22"/>
                <w:lang w:val="fr-FR"/>
              </w:rPr>
              <w:t xml:space="preserve"> libération des emprises et la réinstallation des populations et des activités affectées par le projet ;</w:t>
            </w:r>
          </w:p>
          <w:bookmarkEnd w:id="2590"/>
          <w:p w14:paraId="08DE5B0F"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La maîtrise des incidences des ouvrages de protection sur les milieux naturels ; </w:t>
            </w:r>
          </w:p>
          <w:p w14:paraId="5557FA0E" w14:textId="77777777" w:rsidR="00A45BEB" w:rsidRPr="00260790" w:rsidRDefault="00A45BEB" w:rsidP="001748C6">
            <w:pPr>
              <w:pStyle w:val="Default"/>
              <w:widowControl w:val="0"/>
              <w:numPr>
                <w:ilvl w:val="0"/>
                <w:numId w:val="208"/>
              </w:numPr>
              <w:ind w:left="177" w:hanging="177"/>
              <w:jc w:val="both"/>
              <w:rPr>
                <w:rFonts w:ascii="Times New Roman" w:eastAsia="Times New Roman" w:hAnsi="Times New Roman" w:cs="Times New Roman"/>
                <w:color w:val="000000" w:themeColor="text1"/>
                <w:sz w:val="22"/>
                <w:szCs w:val="22"/>
                <w:lang w:val="fr-FR"/>
              </w:rPr>
            </w:pPr>
            <w:r w:rsidRPr="00260790">
              <w:rPr>
                <w:rFonts w:ascii="Times New Roman" w:eastAsia="Times New Roman" w:hAnsi="Times New Roman" w:cs="Times New Roman"/>
                <w:color w:val="000000" w:themeColor="text1"/>
                <w:sz w:val="22"/>
                <w:szCs w:val="22"/>
                <w:lang w:val="fr-FR"/>
              </w:rPr>
              <w:t>La réduction des nuisances induites par les travaux.</w:t>
            </w:r>
          </w:p>
          <w:p w14:paraId="2B20E05A" w14:textId="77777777" w:rsidR="00A45BEB" w:rsidRPr="00260790" w:rsidRDefault="00A45BEB" w:rsidP="001748C6">
            <w:pPr>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p>
          <w:p w14:paraId="274B9A70"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Préoccupations et craintes</w:t>
            </w:r>
          </w:p>
          <w:p w14:paraId="1A7087F1"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L’occupation de voies de drainage d’eaux pluviales dans la zone ;</w:t>
            </w:r>
          </w:p>
          <w:p w14:paraId="6A1BE670"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proofErr w:type="gramStart"/>
            <w:r w:rsidRPr="00260790">
              <w:rPr>
                <w:rFonts w:ascii="Times New Roman" w:hAnsi="Times New Roman"/>
                <w:color w:val="000000" w:themeColor="text1"/>
                <w:sz w:val="22"/>
                <w:szCs w:val="22"/>
                <w:lang w:val="fr-FR"/>
              </w:rPr>
              <w:t>la</w:t>
            </w:r>
            <w:proofErr w:type="gramEnd"/>
            <w:r w:rsidRPr="00260790">
              <w:rPr>
                <w:rFonts w:ascii="Times New Roman" w:hAnsi="Times New Roman"/>
                <w:color w:val="000000" w:themeColor="text1"/>
                <w:sz w:val="22"/>
                <w:szCs w:val="22"/>
                <w:lang w:val="fr-FR"/>
              </w:rPr>
              <w:t xml:space="preserve"> proximité et/ou l’affleurement de la nappe dans le secteur ;</w:t>
            </w:r>
          </w:p>
          <w:p w14:paraId="4B64583D"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La forte pression foncière ;</w:t>
            </w:r>
          </w:p>
          <w:p w14:paraId="6399F82C"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bookmarkStart w:id="2591" w:name="_Hlk183390958"/>
            <w:r w:rsidRPr="00260790">
              <w:rPr>
                <w:rFonts w:ascii="Times New Roman" w:hAnsi="Times New Roman"/>
                <w:color w:val="000000" w:themeColor="text1"/>
                <w:sz w:val="22"/>
                <w:szCs w:val="22"/>
                <w:lang w:val="fr-FR"/>
              </w:rPr>
              <w:t>L’urbanisation rapide et incontrôlée dans la zone ;</w:t>
            </w:r>
          </w:p>
          <w:bookmarkEnd w:id="2591"/>
          <w:p w14:paraId="24D28BEC"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L’existence d’habitats spontanés </w:t>
            </w:r>
            <w:r w:rsidRPr="00260790">
              <w:rPr>
                <w:rFonts w:ascii="Times New Roman" w:hAnsi="Times New Roman"/>
                <w:color w:val="000000" w:themeColor="text1"/>
                <w:sz w:val="22"/>
                <w:szCs w:val="22"/>
                <w:lang w:val="fr-FR"/>
              </w:rPr>
              <w:lastRenderedPageBreak/>
              <w:t>et de quartiers irréguliers ;</w:t>
            </w:r>
          </w:p>
          <w:p w14:paraId="3C4EB1B4"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La libération des emprises des sites devant accueillir les ouvrages hydrauliques ;</w:t>
            </w:r>
          </w:p>
          <w:p w14:paraId="32041F7B"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La sécurisation des emprises des ouvrages d’assainissement ;</w:t>
            </w:r>
          </w:p>
          <w:p w14:paraId="63388A66"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Le dimensionnement des aménagements prévus (canalisations, bassins de rétention, voirie, collecteurs, etc.) ;</w:t>
            </w:r>
          </w:p>
          <w:p w14:paraId="0B22474C"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Les impacts cumulés avec les projets et programmes en cours ou prévus dans la zone ; </w:t>
            </w:r>
          </w:p>
          <w:p w14:paraId="0941F22E" w14:textId="3F9A39F2" w:rsidR="00A45BEB" w:rsidRPr="00260790" w:rsidRDefault="00A45BEB" w:rsidP="001748C6">
            <w:pPr>
              <w:pStyle w:val="Paragraphedeliste"/>
              <w:widowControl w:val="0"/>
              <w:numPr>
                <w:ilvl w:val="0"/>
                <w:numId w:val="208"/>
              </w:numPr>
              <w:autoSpaceDE w:val="0"/>
              <w:autoSpaceDN w:val="0"/>
              <w:adjustRightInd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La non-actualisation des études du Plan Directeur de Drainage (PDD) de la région périurbaine de Dakar qui date de 2012. </w:t>
            </w:r>
          </w:p>
        </w:tc>
        <w:tc>
          <w:tcPr>
            <w:tcW w:w="6379" w:type="dxa"/>
            <w:vAlign w:val="center"/>
          </w:tcPr>
          <w:p w14:paraId="41F48290" w14:textId="6F4D3D81" w:rsidR="00A45BEB" w:rsidRPr="00260790" w:rsidRDefault="00A45BEB" w:rsidP="001748C6">
            <w:pPr>
              <w:pStyle w:val="Paragraphedeliste"/>
              <w:widowControl w:val="0"/>
              <w:numPr>
                <w:ilvl w:val="0"/>
                <w:numId w:val="208"/>
              </w:numPr>
              <w:autoSpaceDE w:val="0"/>
              <w:autoSpaceDN w:val="0"/>
              <w:adjustRightInd w:val="0"/>
              <w:spacing w:line="240" w:lineRule="auto"/>
              <w:ind w:left="177" w:hanging="177"/>
              <w:jc w:val="both"/>
              <w:rPr>
                <w:rFonts w:ascii="Times New Roman" w:hAnsi="Times New Roman"/>
                <w:color w:val="000000" w:themeColor="text1"/>
                <w:sz w:val="22"/>
                <w:szCs w:val="22"/>
                <w:lang w:val="fr-FR"/>
              </w:rPr>
            </w:pPr>
            <w:bookmarkStart w:id="2592" w:name="_Hlk183392944"/>
            <w:r w:rsidRPr="00260790">
              <w:rPr>
                <w:rFonts w:ascii="Times New Roman" w:hAnsi="Times New Roman"/>
                <w:color w:val="000000" w:themeColor="text1"/>
                <w:sz w:val="22"/>
                <w:szCs w:val="22"/>
                <w:lang w:val="fr-FR"/>
              </w:rPr>
              <w:lastRenderedPageBreak/>
              <w:t>L’analyse de l’état initial, évaluer les types et cas d’occupation des voies naturel</w:t>
            </w:r>
            <w:r w:rsidR="00CD5F86" w:rsidRPr="00260790">
              <w:rPr>
                <w:rFonts w:ascii="Times New Roman" w:hAnsi="Times New Roman"/>
                <w:color w:val="000000" w:themeColor="text1"/>
                <w:sz w:val="22"/>
                <w:szCs w:val="22"/>
                <w:lang w:val="fr-FR"/>
              </w:rPr>
              <w:t>le</w:t>
            </w:r>
            <w:r w:rsidRPr="00260790">
              <w:rPr>
                <w:rFonts w:ascii="Times New Roman" w:hAnsi="Times New Roman"/>
                <w:color w:val="000000" w:themeColor="text1"/>
                <w:sz w:val="22"/>
                <w:szCs w:val="22"/>
                <w:lang w:val="fr-FR"/>
              </w:rPr>
              <w:t>s de drainage des eaux de ruissellement dans la zone nord et sud du bassin versant </w:t>
            </w:r>
            <w:bookmarkEnd w:id="2592"/>
            <w:r w:rsidRPr="00260790">
              <w:rPr>
                <w:rFonts w:ascii="Times New Roman" w:hAnsi="Times New Roman"/>
                <w:color w:val="000000" w:themeColor="text1"/>
                <w:sz w:val="22"/>
                <w:szCs w:val="22"/>
                <w:lang w:val="fr-FR"/>
              </w:rPr>
              <w:t xml:space="preserve">; </w:t>
            </w:r>
          </w:p>
          <w:p w14:paraId="5C419C76" w14:textId="77777777" w:rsidR="00A45BEB" w:rsidRPr="00260790" w:rsidRDefault="00A45BEB" w:rsidP="001748C6">
            <w:pPr>
              <w:pStyle w:val="Paragraphedeliste"/>
              <w:widowControl w:val="0"/>
              <w:numPr>
                <w:ilvl w:val="0"/>
                <w:numId w:val="208"/>
              </w:numPr>
              <w:autoSpaceDE w:val="0"/>
              <w:autoSpaceDN w:val="0"/>
              <w:adjustRightInd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Réaliser la cartographie du réseau hydrographique du bassin versant du Mbao et sa modélisation à partir du Modèle Numérique de Terrain (MNT) ; </w:t>
            </w:r>
          </w:p>
          <w:p w14:paraId="5C1C4603" w14:textId="77777777" w:rsidR="00A45BEB" w:rsidRPr="00260790" w:rsidRDefault="00A45BEB" w:rsidP="001748C6">
            <w:pPr>
              <w:pStyle w:val="Paragraphedeliste"/>
              <w:widowControl w:val="0"/>
              <w:numPr>
                <w:ilvl w:val="0"/>
                <w:numId w:val="208"/>
              </w:numPr>
              <w:autoSpaceDE w:val="0"/>
              <w:autoSpaceDN w:val="0"/>
              <w:adjustRightInd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Analyse des variantes techniques concernant au moins</w:t>
            </w:r>
          </w:p>
          <w:p w14:paraId="43B6D78D" w14:textId="77777777" w:rsidR="00A45BEB" w:rsidRPr="00260790" w:rsidRDefault="00A45BEB" w:rsidP="001748C6">
            <w:pPr>
              <w:pStyle w:val="Paragraphedeliste"/>
              <w:numPr>
                <w:ilvl w:val="0"/>
                <w:numId w:val="212"/>
              </w:numPr>
              <w:spacing w:after="160" w:line="240" w:lineRule="auto"/>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La localisation, la configuration des bassins de rétention prévus et les caractéristiques des sites d’emplacement ainsi que l’aménagement autour des bassins ;</w:t>
            </w:r>
          </w:p>
          <w:p w14:paraId="58781CBB" w14:textId="77777777" w:rsidR="00A45BEB" w:rsidRPr="00260790" w:rsidRDefault="00A45BEB" w:rsidP="001748C6">
            <w:pPr>
              <w:pStyle w:val="Paragraphedeliste"/>
              <w:numPr>
                <w:ilvl w:val="0"/>
                <w:numId w:val="212"/>
              </w:numPr>
              <w:spacing w:after="160" w:line="240" w:lineRule="auto"/>
              <w:jc w:val="both"/>
              <w:rPr>
                <w:rFonts w:ascii="Times New Roman" w:hAnsi="Times New Roman"/>
                <w:color w:val="000000" w:themeColor="text1"/>
                <w:sz w:val="22"/>
                <w:szCs w:val="22"/>
                <w:lang w:val="fr-FR"/>
              </w:rPr>
            </w:pPr>
            <w:proofErr w:type="gramStart"/>
            <w:r w:rsidRPr="00260790">
              <w:rPr>
                <w:rFonts w:ascii="Times New Roman" w:hAnsi="Times New Roman"/>
                <w:color w:val="000000" w:themeColor="text1"/>
                <w:sz w:val="22"/>
                <w:szCs w:val="22"/>
                <w:lang w:val="fr-FR"/>
              </w:rPr>
              <w:t>le</w:t>
            </w:r>
            <w:proofErr w:type="gramEnd"/>
            <w:r w:rsidRPr="00260790">
              <w:rPr>
                <w:rFonts w:ascii="Times New Roman" w:hAnsi="Times New Roman"/>
                <w:color w:val="000000" w:themeColor="text1"/>
                <w:sz w:val="22"/>
                <w:szCs w:val="22"/>
                <w:lang w:val="fr-FR"/>
              </w:rPr>
              <w:t xml:space="preserve"> tracé des réseaux de canalisation (canaux, collecteurs</w:t>
            </w:r>
            <w:proofErr w:type="gramStart"/>
            <w:r w:rsidRPr="00260790">
              <w:rPr>
                <w:rFonts w:ascii="Times New Roman" w:hAnsi="Times New Roman"/>
                <w:color w:val="000000" w:themeColor="text1"/>
                <w:sz w:val="22"/>
                <w:szCs w:val="22"/>
                <w:lang w:val="fr-FR"/>
              </w:rPr>
              <w:t>);</w:t>
            </w:r>
            <w:proofErr w:type="gramEnd"/>
            <w:r w:rsidRPr="00260790">
              <w:rPr>
                <w:rFonts w:ascii="Times New Roman" w:hAnsi="Times New Roman"/>
                <w:color w:val="000000" w:themeColor="text1"/>
                <w:sz w:val="22"/>
                <w:szCs w:val="22"/>
                <w:lang w:val="fr-FR"/>
              </w:rPr>
              <w:t xml:space="preserve"> </w:t>
            </w:r>
          </w:p>
          <w:p w14:paraId="12F309FA" w14:textId="77777777" w:rsidR="00A45BEB" w:rsidRPr="00260790" w:rsidRDefault="00A45BEB" w:rsidP="001748C6">
            <w:pPr>
              <w:pStyle w:val="Paragraphedeliste"/>
              <w:numPr>
                <w:ilvl w:val="0"/>
                <w:numId w:val="212"/>
              </w:numPr>
              <w:spacing w:after="160" w:line="240" w:lineRule="auto"/>
              <w:jc w:val="both"/>
              <w:rPr>
                <w:rFonts w:ascii="Times New Roman" w:hAnsi="Times New Roman"/>
                <w:color w:val="000000" w:themeColor="text1"/>
                <w:sz w:val="22"/>
                <w:szCs w:val="22"/>
                <w:lang w:val="fr-FR"/>
              </w:rPr>
            </w:pPr>
            <w:proofErr w:type="gramStart"/>
            <w:r w:rsidRPr="00260790">
              <w:rPr>
                <w:rFonts w:ascii="Times New Roman" w:hAnsi="Times New Roman"/>
                <w:color w:val="000000" w:themeColor="text1"/>
                <w:sz w:val="22"/>
                <w:szCs w:val="22"/>
                <w:lang w:val="fr-FR"/>
              </w:rPr>
              <w:t>le</w:t>
            </w:r>
            <w:proofErr w:type="gramEnd"/>
            <w:r w:rsidRPr="00260790">
              <w:rPr>
                <w:rFonts w:ascii="Times New Roman" w:hAnsi="Times New Roman"/>
                <w:color w:val="000000" w:themeColor="text1"/>
                <w:sz w:val="22"/>
                <w:szCs w:val="22"/>
                <w:lang w:val="fr-FR"/>
              </w:rPr>
              <w:t xml:space="preserve"> tracé de l’ouvrage de rejet en mer ;</w:t>
            </w:r>
          </w:p>
          <w:p w14:paraId="10D27FB5" w14:textId="77777777" w:rsidR="00A45BEB" w:rsidRPr="00260790" w:rsidRDefault="00A45BEB" w:rsidP="001748C6">
            <w:pPr>
              <w:pStyle w:val="Paragraphedeliste"/>
              <w:numPr>
                <w:ilvl w:val="0"/>
                <w:numId w:val="212"/>
              </w:numPr>
              <w:spacing w:after="160" w:line="240" w:lineRule="auto"/>
              <w:jc w:val="both"/>
              <w:rPr>
                <w:rFonts w:ascii="Times New Roman" w:hAnsi="Times New Roman"/>
                <w:color w:val="000000" w:themeColor="text1"/>
                <w:sz w:val="22"/>
                <w:szCs w:val="22"/>
                <w:lang w:val="fr-FR"/>
              </w:rPr>
            </w:pPr>
            <w:proofErr w:type="gramStart"/>
            <w:r w:rsidRPr="00260790">
              <w:rPr>
                <w:rFonts w:ascii="Times New Roman" w:hAnsi="Times New Roman"/>
                <w:color w:val="000000" w:themeColor="text1"/>
                <w:sz w:val="22"/>
                <w:szCs w:val="22"/>
                <w:lang w:val="fr-FR"/>
              </w:rPr>
              <w:t>la</w:t>
            </w:r>
            <w:proofErr w:type="gramEnd"/>
            <w:r w:rsidRPr="00260790">
              <w:rPr>
                <w:rFonts w:ascii="Times New Roman" w:hAnsi="Times New Roman"/>
                <w:color w:val="000000" w:themeColor="text1"/>
                <w:sz w:val="22"/>
                <w:szCs w:val="22"/>
                <w:lang w:val="fr-FR"/>
              </w:rPr>
              <w:t xml:space="preserve"> typologie ainsi que les caractéristiques techniques des voiries à construire ; </w:t>
            </w:r>
          </w:p>
          <w:p w14:paraId="767A0BF5" w14:textId="77777777" w:rsidR="00A45BEB" w:rsidRPr="00260790" w:rsidRDefault="00A45BEB" w:rsidP="001748C6">
            <w:pPr>
              <w:pStyle w:val="Paragraphedeliste"/>
              <w:numPr>
                <w:ilvl w:val="0"/>
                <w:numId w:val="212"/>
              </w:numPr>
              <w:spacing w:after="160" w:line="240" w:lineRule="auto"/>
              <w:jc w:val="both"/>
              <w:rPr>
                <w:rFonts w:ascii="Times New Roman" w:hAnsi="Times New Roman"/>
                <w:color w:val="000000" w:themeColor="text1"/>
                <w:sz w:val="22"/>
                <w:szCs w:val="22"/>
                <w:lang w:val="fr-FR"/>
              </w:rPr>
            </w:pPr>
            <w:proofErr w:type="gramStart"/>
            <w:r w:rsidRPr="00260790">
              <w:rPr>
                <w:rFonts w:ascii="Times New Roman" w:hAnsi="Times New Roman"/>
                <w:color w:val="000000" w:themeColor="text1"/>
                <w:sz w:val="22"/>
                <w:szCs w:val="22"/>
                <w:lang w:val="fr-FR"/>
              </w:rPr>
              <w:t>la</w:t>
            </w:r>
            <w:proofErr w:type="gramEnd"/>
            <w:r w:rsidRPr="00260790">
              <w:rPr>
                <w:rFonts w:ascii="Times New Roman" w:hAnsi="Times New Roman"/>
                <w:color w:val="000000" w:themeColor="text1"/>
                <w:sz w:val="22"/>
                <w:szCs w:val="22"/>
                <w:lang w:val="fr-FR"/>
              </w:rPr>
              <w:t xml:space="preserve"> justification des choix de travaux retenus pour chaque aménagement. </w:t>
            </w:r>
          </w:p>
          <w:p w14:paraId="4329A19A" w14:textId="77777777" w:rsidR="00A45BEB" w:rsidRPr="00260790" w:rsidRDefault="00A45BEB" w:rsidP="001748C6">
            <w:pPr>
              <w:pStyle w:val="Paragraphedeliste"/>
              <w:widowControl w:val="0"/>
              <w:numPr>
                <w:ilvl w:val="0"/>
                <w:numId w:val="208"/>
              </w:numPr>
              <w:autoSpaceDE w:val="0"/>
              <w:autoSpaceDN w:val="0"/>
              <w:adjustRightInd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Intégrer la cartographie de la zone d'intervention des travaux au moins :</w:t>
            </w:r>
          </w:p>
          <w:p w14:paraId="2F29647E" w14:textId="77777777" w:rsidR="00A45BEB" w:rsidRPr="00260790" w:rsidRDefault="00A45BEB" w:rsidP="001748C6">
            <w:pPr>
              <w:pStyle w:val="Paragraphedeliste"/>
              <w:numPr>
                <w:ilvl w:val="0"/>
                <w:numId w:val="213"/>
              </w:numPr>
              <w:spacing w:after="160" w:line="240" w:lineRule="auto"/>
              <w:rPr>
                <w:rFonts w:ascii="Times New Roman" w:hAnsi="Times New Roman"/>
                <w:color w:val="000000" w:themeColor="text1"/>
                <w:sz w:val="22"/>
                <w:szCs w:val="22"/>
                <w:lang w:val="fr-FR"/>
              </w:rPr>
            </w:pPr>
            <w:proofErr w:type="gramStart"/>
            <w:r w:rsidRPr="00260790">
              <w:rPr>
                <w:rFonts w:ascii="Times New Roman" w:hAnsi="Times New Roman"/>
                <w:color w:val="000000" w:themeColor="text1"/>
                <w:sz w:val="22"/>
                <w:szCs w:val="22"/>
                <w:lang w:val="fr-FR"/>
              </w:rPr>
              <w:t>du</w:t>
            </w:r>
            <w:proofErr w:type="gramEnd"/>
            <w:r w:rsidRPr="00260790">
              <w:rPr>
                <w:rFonts w:ascii="Times New Roman" w:hAnsi="Times New Roman"/>
                <w:color w:val="000000" w:themeColor="text1"/>
                <w:sz w:val="22"/>
                <w:szCs w:val="22"/>
                <w:lang w:val="fr-FR"/>
              </w:rPr>
              <w:t xml:space="preserve"> réseau hydraulique dans la zone,</w:t>
            </w:r>
          </w:p>
          <w:p w14:paraId="6200FD8E" w14:textId="77777777" w:rsidR="00A45BEB" w:rsidRPr="00260790" w:rsidRDefault="00A45BEB" w:rsidP="001748C6">
            <w:pPr>
              <w:pStyle w:val="Paragraphedeliste"/>
              <w:numPr>
                <w:ilvl w:val="0"/>
                <w:numId w:val="213"/>
              </w:numPr>
              <w:spacing w:after="160" w:line="240" w:lineRule="auto"/>
              <w:rPr>
                <w:rFonts w:ascii="Times New Roman" w:hAnsi="Times New Roman"/>
                <w:color w:val="000000" w:themeColor="text1"/>
                <w:sz w:val="22"/>
                <w:szCs w:val="22"/>
                <w:lang w:val="fr-FR"/>
              </w:rPr>
            </w:pPr>
            <w:proofErr w:type="gramStart"/>
            <w:r w:rsidRPr="00260790">
              <w:rPr>
                <w:rFonts w:ascii="Times New Roman" w:hAnsi="Times New Roman"/>
                <w:color w:val="000000" w:themeColor="text1"/>
                <w:sz w:val="22"/>
                <w:szCs w:val="22"/>
                <w:lang w:val="fr-FR"/>
              </w:rPr>
              <w:t>de</w:t>
            </w:r>
            <w:proofErr w:type="gramEnd"/>
            <w:r w:rsidRPr="00260790">
              <w:rPr>
                <w:rFonts w:ascii="Times New Roman" w:hAnsi="Times New Roman"/>
                <w:color w:val="000000" w:themeColor="text1"/>
                <w:sz w:val="22"/>
                <w:szCs w:val="22"/>
                <w:lang w:val="fr-FR"/>
              </w:rPr>
              <w:t xml:space="preserve"> la géologie,</w:t>
            </w:r>
          </w:p>
          <w:p w14:paraId="5B0C0AE0" w14:textId="77777777" w:rsidR="00A45BEB" w:rsidRPr="00260790" w:rsidRDefault="00A45BEB" w:rsidP="001748C6">
            <w:pPr>
              <w:pStyle w:val="Paragraphedeliste"/>
              <w:numPr>
                <w:ilvl w:val="0"/>
                <w:numId w:val="213"/>
              </w:numPr>
              <w:spacing w:after="160" w:line="240" w:lineRule="auto"/>
              <w:rPr>
                <w:rFonts w:ascii="Times New Roman" w:hAnsi="Times New Roman"/>
                <w:color w:val="000000" w:themeColor="text1"/>
                <w:sz w:val="22"/>
                <w:szCs w:val="22"/>
                <w:lang w:val="fr-FR"/>
              </w:rPr>
            </w:pPr>
            <w:proofErr w:type="gramStart"/>
            <w:r w:rsidRPr="00260790">
              <w:rPr>
                <w:rFonts w:ascii="Times New Roman" w:hAnsi="Times New Roman"/>
                <w:color w:val="000000" w:themeColor="text1"/>
                <w:sz w:val="22"/>
                <w:szCs w:val="22"/>
                <w:lang w:val="fr-FR"/>
              </w:rPr>
              <w:t>des</w:t>
            </w:r>
            <w:proofErr w:type="gramEnd"/>
            <w:r w:rsidRPr="00260790">
              <w:rPr>
                <w:rFonts w:ascii="Times New Roman" w:hAnsi="Times New Roman"/>
                <w:color w:val="000000" w:themeColor="text1"/>
                <w:sz w:val="22"/>
                <w:szCs w:val="22"/>
                <w:lang w:val="fr-FR"/>
              </w:rPr>
              <w:t xml:space="preserve"> sols et du sous-sol,</w:t>
            </w:r>
          </w:p>
          <w:p w14:paraId="780A087E" w14:textId="77777777" w:rsidR="00A45BEB" w:rsidRPr="00260790" w:rsidRDefault="00A45BEB" w:rsidP="001748C6">
            <w:pPr>
              <w:pStyle w:val="Paragraphedeliste"/>
              <w:numPr>
                <w:ilvl w:val="0"/>
                <w:numId w:val="213"/>
              </w:numPr>
              <w:spacing w:after="160" w:line="240" w:lineRule="auto"/>
              <w:rPr>
                <w:rFonts w:ascii="Times New Roman" w:hAnsi="Times New Roman"/>
                <w:color w:val="000000" w:themeColor="text1"/>
                <w:sz w:val="22"/>
                <w:szCs w:val="22"/>
                <w:lang w:val="fr-FR"/>
              </w:rPr>
            </w:pPr>
            <w:proofErr w:type="gramStart"/>
            <w:r w:rsidRPr="00260790">
              <w:rPr>
                <w:rFonts w:ascii="Times New Roman" w:hAnsi="Times New Roman"/>
                <w:color w:val="000000" w:themeColor="text1"/>
                <w:sz w:val="22"/>
                <w:szCs w:val="22"/>
                <w:lang w:val="fr-FR"/>
              </w:rPr>
              <w:t>la</w:t>
            </w:r>
            <w:proofErr w:type="gramEnd"/>
            <w:r w:rsidRPr="00260790">
              <w:rPr>
                <w:rFonts w:ascii="Times New Roman" w:hAnsi="Times New Roman"/>
                <w:color w:val="000000" w:themeColor="text1"/>
                <w:sz w:val="22"/>
                <w:szCs w:val="22"/>
                <w:lang w:val="fr-FR"/>
              </w:rPr>
              <w:t xml:space="preserve"> topographie,</w:t>
            </w:r>
          </w:p>
          <w:p w14:paraId="33F4B0CD" w14:textId="77777777" w:rsidR="00A45BEB" w:rsidRPr="00260790" w:rsidRDefault="00A45BEB" w:rsidP="001748C6">
            <w:pPr>
              <w:pStyle w:val="Paragraphedeliste"/>
              <w:numPr>
                <w:ilvl w:val="0"/>
                <w:numId w:val="213"/>
              </w:numPr>
              <w:spacing w:after="160" w:line="240" w:lineRule="auto"/>
              <w:rPr>
                <w:rFonts w:ascii="Times New Roman" w:hAnsi="Times New Roman"/>
                <w:color w:val="000000" w:themeColor="text1"/>
                <w:sz w:val="22"/>
                <w:szCs w:val="22"/>
                <w:lang w:val="fr-FR"/>
              </w:rPr>
            </w:pPr>
            <w:proofErr w:type="gramStart"/>
            <w:r w:rsidRPr="00260790">
              <w:rPr>
                <w:rFonts w:ascii="Times New Roman" w:hAnsi="Times New Roman"/>
                <w:color w:val="000000" w:themeColor="text1"/>
                <w:sz w:val="22"/>
                <w:szCs w:val="22"/>
                <w:lang w:val="fr-FR"/>
              </w:rPr>
              <w:t>de</w:t>
            </w:r>
            <w:proofErr w:type="gramEnd"/>
            <w:r w:rsidRPr="00260790">
              <w:rPr>
                <w:rFonts w:ascii="Times New Roman" w:hAnsi="Times New Roman"/>
                <w:color w:val="000000" w:themeColor="text1"/>
                <w:sz w:val="22"/>
                <w:szCs w:val="22"/>
                <w:lang w:val="fr-FR"/>
              </w:rPr>
              <w:t xml:space="preserve"> l’occupation du sol…</w:t>
            </w:r>
          </w:p>
          <w:p w14:paraId="4D2F7905" w14:textId="77777777" w:rsidR="00A45BEB" w:rsidRPr="00260790" w:rsidRDefault="00A45BEB" w:rsidP="001748C6">
            <w:pPr>
              <w:pStyle w:val="Paragraphedeliste"/>
              <w:widowControl w:val="0"/>
              <w:numPr>
                <w:ilvl w:val="0"/>
                <w:numId w:val="208"/>
              </w:numPr>
              <w:autoSpaceDE w:val="0"/>
              <w:autoSpaceDN w:val="0"/>
              <w:adjustRightInd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Soumettre au visa de localisation les projets structurants du PROGEP II pour une meilleure cohérence des interventions avec les orientations retenues par les documents de planification de l’aménagement et du développement durable des territoires ;</w:t>
            </w:r>
          </w:p>
          <w:p w14:paraId="314298C6" w14:textId="77777777" w:rsidR="00A45BEB" w:rsidRPr="00260790" w:rsidRDefault="00A45BEB" w:rsidP="001748C6">
            <w:pPr>
              <w:pStyle w:val="Paragraphedeliste"/>
              <w:widowControl w:val="0"/>
              <w:numPr>
                <w:ilvl w:val="0"/>
                <w:numId w:val="208"/>
              </w:numPr>
              <w:autoSpaceDE w:val="0"/>
              <w:autoSpaceDN w:val="0"/>
              <w:adjustRightInd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Prendre en compte les modifications actuelles du tracé du réseau des cours d’eau sur les zones devant accueillir les aménagements prévus définis par le </w:t>
            </w:r>
            <w:proofErr w:type="gramStart"/>
            <w:r w:rsidRPr="00260790">
              <w:rPr>
                <w:rFonts w:ascii="Times New Roman" w:hAnsi="Times New Roman"/>
                <w:color w:val="000000" w:themeColor="text1"/>
                <w:sz w:val="22"/>
                <w:szCs w:val="22"/>
                <w:lang w:val="fr-FR"/>
              </w:rPr>
              <w:t>PDD;</w:t>
            </w:r>
            <w:proofErr w:type="gramEnd"/>
          </w:p>
          <w:p w14:paraId="62EBA33E" w14:textId="77777777" w:rsidR="00A45BEB" w:rsidRPr="00260790" w:rsidRDefault="00A45BEB" w:rsidP="001748C6">
            <w:pPr>
              <w:pStyle w:val="Paragraphedeliste"/>
              <w:widowControl w:val="0"/>
              <w:numPr>
                <w:ilvl w:val="0"/>
                <w:numId w:val="208"/>
              </w:numPr>
              <w:autoSpaceDE w:val="0"/>
              <w:autoSpaceDN w:val="0"/>
              <w:adjustRightInd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Prendre en compte l’absence ou la faiblesse du réseau d’assainissement des eaux usées dans la zone ;</w:t>
            </w:r>
          </w:p>
          <w:p w14:paraId="04E26E06" w14:textId="77777777" w:rsidR="00A45BEB" w:rsidRPr="00260790" w:rsidRDefault="00A45BEB" w:rsidP="001748C6">
            <w:pPr>
              <w:pStyle w:val="Paragraphedeliste"/>
              <w:widowControl w:val="0"/>
              <w:numPr>
                <w:ilvl w:val="0"/>
                <w:numId w:val="208"/>
              </w:numPr>
              <w:autoSpaceDE w:val="0"/>
              <w:autoSpaceDN w:val="0"/>
              <w:adjustRightInd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La prise en compte de facteurs externes pouvant bloquer ou retarder la mise en œuvre du projet ;</w:t>
            </w:r>
          </w:p>
          <w:p w14:paraId="7DA39040" w14:textId="77777777" w:rsidR="00A45BEB" w:rsidRPr="00260790" w:rsidRDefault="00A45BEB" w:rsidP="001748C6">
            <w:pPr>
              <w:pStyle w:val="Paragraphedeliste"/>
              <w:widowControl w:val="0"/>
              <w:numPr>
                <w:ilvl w:val="0"/>
                <w:numId w:val="208"/>
              </w:numPr>
              <w:autoSpaceDE w:val="0"/>
              <w:autoSpaceDN w:val="0"/>
              <w:adjustRightInd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L’articulation avec les autres plans, programmes et documents de </w:t>
            </w:r>
            <w:proofErr w:type="gramStart"/>
            <w:r w:rsidRPr="00260790">
              <w:rPr>
                <w:rFonts w:ascii="Times New Roman" w:hAnsi="Times New Roman"/>
                <w:color w:val="000000" w:themeColor="text1"/>
                <w:sz w:val="22"/>
                <w:szCs w:val="22"/>
                <w:lang w:val="fr-FR"/>
              </w:rPr>
              <w:t>planification  (</w:t>
            </w:r>
            <w:proofErr w:type="gramEnd"/>
            <w:r w:rsidRPr="00260790">
              <w:rPr>
                <w:rFonts w:ascii="Times New Roman" w:hAnsi="Times New Roman"/>
                <w:color w:val="000000" w:themeColor="text1"/>
                <w:sz w:val="22"/>
                <w:szCs w:val="22"/>
                <w:lang w:val="fr-FR"/>
              </w:rPr>
              <w:t>PDD, PNADT, PUD, etc.) ;</w:t>
            </w:r>
          </w:p>
          <w:p w14:paraId="06E1F0AC" w14:textId="77777777" w:rsidR="00A45BEB" w:rsidRPr="00260790" w:rsidRDefault="00A45BEB" w:rsidP="001748C6">
            <w:pPr>
              <w:pStyle w:val="Paragraphedeliste"/>
              <w:widowControl w:val="0"/>
              <w:numPr>
                <w:ilvl w:val="0"/>
                <w:numId w:val="208"/>
              </w:numPr>
              <w:autoSpaceDE w:val="0"/>
              <w:autoSpaceDN w:val="0"/>
              <w:adjustRightInd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lastRenderedPageBreak/>
              <w:t>Prendre en compte le dispositif de franchissements des ouvrages hydrauliques adapté ;</w:t>
            </w:r>
          </w:p>
          <w:p w14:paraId="24DAAEE8" w14:textId="77777777" w:rsidR="00A45BEB" w:rsidRPr="00260790" w:rsidRDefault="00A45BEB" w:rsidP="001748C6">
            <w:pPr>
              <w:pStyle w:val="Paragraphedeliste"/>
              <w:widowControl w:val="0"/>
              <w:numPr>
                <w:ilvl w:val="0"/>
                <w:numId w:val="208"/>
              </w:numPr>
              <w:autoSpaceDE w:val="0"/>
              <w:autoSpaceDN w:val="0"/>
              <w:adjustRightInd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Impliquer les acteurs locaux notamment les CT et les organisations locales </w:t>
            </w:r>
            <w:proofErr w:type="gramStart"/>
            <w:r w:rsidRPr="00260790">
              <w:rPr>
                <w:rFonts w:ascii="Times New Roman" w:hAnsi="Times New Roman"/>
                <w:color w:val="000000" w:themeColor="text1"/>
                <w:sz w:val="22"/>
                <w:szCs w:val="22"/>
                <w:lang w:val="fr-FR"/>
              </w:rPr>
              <w:t>concernées;</w:t>
            </w:r>
            <w:proofErr w:type="gramEnd"/>
            <w:r w:rsidRPr="00260790">
              <w:rPr>
                <w:rFonts w:ascii="Times New Roman" w:hAnsi="Times New Roman"/>
                <w:color w:val="000000" w:themeColor="text1"/>
                <w:sz w:val="22"/>
                <w:szCs w:val="22"/>
                <w:lang w:val="fr-FR"/>
              </w:rPr>
              <w:t xml:space="preserve"> </w:t>
            </w:r>
          </w:p>
          <w:p w14:paraId="7474CB80" w14:textId="1DDC3F0E" w:rsidR="00A45BEB" w:rsidRPr="00260790" w:rsidRDefault="00E60FA9" w:rsidP="001748C6">
            <w:pPr>
              <w:pStyle w:val="Paragraphedeliste"/>
              <w:widowControl w:val="0"/>
              <w:numPr>
                <w:ilvl w:val="0"/>
                <w:numId w:val="208"/>
              </w:numPr>
              <w:autoSpaceDE w:val="0"/>
              <w:autoSpaceDN w:val="0"/>
              <w:adjustRightInd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É</w:t>
            </w:r>
            <w:r w:rsidR="00A45BEB" w:rsidRPr="00260790">
              <w:rPr>
                <w:rFonts w:ascii="Times New Roman" w:hAnsi="Times New Roman"/>
                <w:color w:val="000000" w:themeColor="text1"/>
                <w:sz w:val="22"/>
                <w:szCs w:val="22"/>
                <w:lang w:val="fr-FR"/>
              </w:rPr>
              <w:t>laborer un schéma directeur d’aménagement et de Développement du BV de Mbao et de ses environs ;</w:t>
            </w:r>
          </w:p>
          <w:p w14:paraId="3FAFE9CE" w14:textId="77777777" w:rsidR="00A45BEB" w:rsidRPr="00260790" w:rsidRDefault="00A45BEB" w:rsidP="001748C6">
            <w:pPr>
              <w:pStyle w:val="Paragraphedeliste"/>
              <w:widowControl w:val="0"/>
              <w:numPr>
                <w:ilvl w:val="0"/>
                <w:numId w:val="208"/>
              </w:numPr>
              <w:autoSpaceDE w:val="0"/>
              <w:autoSpaceDN w:val="0"/>
              <w:adjustRightInd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Renforcer le volet communication et information et gestion des plaintes du projet. </w:t>
            </w:r>
          </w:p>
          <w:p w14:paraId="5AA96ADC" w14:textId="77777777" w:rsidR="00A45BEB" w:rsidRPr="00260790" w:rsidRDefault="00A45BEB" w:rsidP="00E20250">
            <w:pPr>
              <w:pStyle w:val="Paragraphedeliste"/>
              <w:spacing w:line="240" w:lineRule="auto"/>
              <w:jc w:val="both"/>
              <w:rPr>
                <w:rFonts w:ascii="Times New Roman" w:hAnsi="Times New Roman"/>
                <w:color w:val="000000" w:themeColor="text1"/>
                <w:sz w:val="22"/>
                <w:szCs w:val="22"/>
                <w:lang w:val="fr-FR"/>
              </w:rPr>
            </w:pPr>
          </w:p>
          <w:p w14:paraId="307570C2" w14:textId="77777777" w:rsidR="00A45BEB" w:rsidRPr="00260790" w:rsidRDefault="00A45BEB" w:rsidP="001748C6">
            <w:pPr>
              <w:pStyle w:val="Paragraphedeliste"/>
              <w:numPr>
                <w:ilvl w:val="0"/>
                <w:numId w:val="211"/>
              </w:numPr>
              <w:autoSpaceDE w:val="0"/>
              <w:autoSpaceDN w:val="0"/>
              <w:adjustRightInd w:val="0"/>
              <w:spacing w:line="240" w:lineRule="auto"/>
              <w:jc w:val="both"/>
              <w:rPr>
                <w:rFonts w:ascii="Times New Roman" w:hAnsi="Times New Roman"/>
                <w:b/>
                <w:color w:val="000000" w:themeColor="text1"/>
                <w:sz w:val="22"/>
                <w:szCs w:val="22"/>
                <w:lang w:val="fr-FR" w:eastAsia="fr-FR"/>
              </w:rPr>
            </w:pPr>
            <w:r w:rsidRPr="00260790">
              <w:rPr>
                <w:rFonts w:ascii="Times New Roman" w:hAnsi="Times New Roman"/>
                <w:b/>
                <w:color w:val="000000" w:themeColor="text1"/>
                <w:sz w:val="22"/>
                <w:szCs w:val="22"/>
                <w:lang w:val="fr-FR" w:eastAsia="fr-FR"/>
              </w:rPr>
              <w:t>Besoins en appui institutionnel et en renforcement de capacités</w:t>
            </w:r>
          </w:p>
          <w:p w14:paraId="24739F77" w14:textId="77777777" w:rsidR="00A45BEB" w:rsidRPr="00260790" w:rsidRDefault="00A45BEB" w:rsidP="00E20250">
            <w:pPr>
              <w:adjustRightInd w:val="0"/>
              <w:spacing w:line="240" w:lineRule="auto"/>
              <w:jc w:val="both"/>
              <w:rPr>
                <w:rFonts w:ascii="Times New Roman" w:hAnsi="Times New Roman"/>
                <w:color w:val="000000" w:themeColor="text1"/>
                <w:sz w:val="22"/>
                <w:szCs w:val="22"/>
                <w:lang w:val="fr-FR"/>
              </w:rPr>
            </w:pPr>
          </w:p>
          <w:p w14:paraId="02B95BAC"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Renforcement des moyens logistiques du SRAT de Dakar.</w:t>
            </w:r>
          </w:p>
          <w:p w14:paraId="1BFE74E2"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Formation en évaluation des incidences des ouvrages de drainage sur l'environnement ;</w:t>
            </w:r>
          </w:p>
          <w:p w14:paraId="0BD6B9B4"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 xml:space="preserve">Formation sur la cartographie de la sensibilité environnementale des zones lacustres et marines. </w:t>
            </w:r>
          </w:p>
        </w:tc>
      </w:tr>
      <w:tr w:rsidR="00BD1A2F" w:rsidRPr="00260790" w14:paraId="2A3675D2" w14:textId="77777777" w:rsidTr="005E7ED1">
        <w:tc>
          <w:tcPr>
            <w:tcW w:w="1781" w:type="dxa"/>
            <w:vAlign w:val="center"/>
          </w:tcPr>
          <w:p w14:paraId="37769A5C" w14:textId="77777777" w:rsidR="00A45BEB" w:rsidRPr="00260790" w:rsidRDefault="00A45BEB" w:rsidP="00E20250">
            <w:pPr>
              <w:spacing w:line="240" w:lineRule="auto"/>
              <w:jc w:val="center"/>
              <w:rPr>
                <w:rFonts w:ascii="Times New Roman" w:hAnsi="Times New Roman"/>
                <w:b/>
                <w:color w:val="000000" w:themeColor="text1"/>
                <w:sz w:val="22"/>
                <w:szCs w:val="22"/>
                <w:lang w:val="fr-FR"/>
              </w:rPr>
            </w:pPr>
          </w:p>
          <w:p w14:paraId="5C0C9F13" w14:textId="77777777" w:rsidR="00A45BEB" w:rsidRPr="00260790" w:rsidRDefault="00A45BEB" w:rsidP="00E20250">
            <w:pPr>
              <w:spacing w:line="240" w:lineRule="auto"/>
              <w:jc w:val="center"/>
              <w:rPr>
                <w:rFonts w:ascii="Times New Roman" w:hAnsi="Times New Roman"/>
                <w:color w:val="000000" w:themeColor="text1"/>
                <w:sz w:val="22"/>
                <w:szCs w:val="22"/>
                <w:lang w:val="fr-FR"/>
              </w:rPr>
            </w:pPr>
            <w:r w:rsidRPr="00260790">
              <w:rPr>
                <w:rFonts w:ascii="Times New Roman" w:hAnsi="Times New Roman"/>
                <w:b/>
                <w:color w:val="000000" w:themeColor="text1"/>
                <w:sz w:val="22"/>
                <w:szCs w:val="22"/>
                <w:lang w:val="fr-FR"/>
              </w:rPr>
              <w:t>Rencontre avec la DGPRE le 18/11/2024</w:t>
            </w:r>
          </w:p>
        </w:tc>
        <w:tc>
          <w:tcPr>
            <w:tcW w:w="2896" w:type="dxa"/>
            <w:vAlign w:val="center"/>
          </w:tcPr>
          <w:p w14:paraId="6B3F8C11" w14:textId="77777777" w:rsidR="00A45BEB" w:rsidRPr="00260790" w:rsidRDefault="00A45BEB" w:rsidP="00E20250">
            <w:pPr>
              <w:spacing w:line="240" w:lineRule="auto"/>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Avis favorable au projet : c’est un projet qui peut vraiment apporter un ouf de soulagement à la population. Si c’est bien mis en œuvre, il peut régler le problème des inondations.</w:t>
            </w:r>
          </w:p>
        </w:tc>
        <w:tc>
          <w:tcPr>
            <w:tcW w:w="3403" w:type="dxa"/>
            <w:vAlign w:val="center"/>
          </w:tcPr>
          <w:p w14:paraId="7FED6527"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Risques d’obstruction des ruissellements naturels.</w:t>
            </w:r>
          </w:p>
          <w:p w14:paraId="514E8878"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Impact du projet sur les habitations installées à côté du marigot.</w:t>
            </w:r>
          </w:p>
          <w:p w14:paraId="4CD654CF"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Impact des extensions des travaux de l’autoroute à péage sur le bon fonctionnement des ouvrages d’évacuation.</w:t>
            </w:r>
          </w:p>
          <w:p w14:paraId="558074A5"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bookmarkStart w:id="2593" w:name="_Hlk183391020"/>
            <w:r w:rsidRPr="00260790">
              <w:rPr>
                <w:rFonts w:ascii="Times New Roman" w:hAnsi="Times New Roman"/>
                <w:color w:val="000000" w:themeColor="text1"/>
                <w:sz w:val="22"/>
                <w:szCs w:val="22"/>
                <w:lang w:val="fr-FR"/>
              </w:rPr>
              <w:t>Manque de précision dans la cartographie des ouvrages dans les TDRs.</w:t>
            </w:r>
          </w:p>
          <w:bookmarkEnd w:id="2593"/>
          <w:p w14:paraId="3C07C9EA" w14:textId="77777777" w:rsidR="00A45BEB" w:rsidRPr="00260790" w:rsidRDefault="00A45BEB" w:rsidP="00E20250">
            <w:pPr>
              <w:spacing w:line="240" w:lineRule="auto"/>
              <w:ind w:left="360"/>
              <w:rPr>
                <w:rFonts w:ascii="Times New Roman" w:hAnsi="Times New Roman"/>
                <w:color w:val="000000" w:themeColor="text1"/>
                <w:sz w:val="22"/>
                <w:szCs w:val="22"/>
                <w:lang w:val="fr-FR"/>
              </w:rPr>
            </w:pPr>
          </w:p>
        </w:tc>
        <w:tc>
          <w:tcPr>
            <w:tcW w:w="6379" w:type="dxa"/>
            <w:vAlign w:val="center"/>
          </w:tcPr>
          <w:p w14:paraId="11D9E609"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bookmarkStart w:id="2594" w:name="_Hlk183392724"/>
            <w:r w:rsidRPr="00260790">
              <w:rPr>
                <w:rFonts w:ascii="Times New Roman" w:hAnsi="Times New Roman"/>
                <w:color w:val="000000" w:themeColor="text1"/>
                <w:sz w:val="22"/>
                <w:szCs w:val="22"/>
                <w:lang w:val="fr-FR"/>
              </w:rPr>
              <w:t>Faire une bonne caractérisation en cartographiant les réseaux hydrographiques.</w:t>
            </w:r>
          </w:p>
          <w:bookmarkEnd w:id="2594"/>
          <w:p w14:paraId="6F5A9A71"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Faire une bonne cartographie des occupations des sols et identifier l’emplacement de l’exutoire et voir s’il n’y pas d’impacts.</w:t>
            </w:r>
          </w:p>
          <w:p w14:paraId="01E3E394"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Revoir la délimitation globale des deux bassins versants.</w:t>
            </w:r>
          </w:p>
          <w:p w14:paraId="1E9E6847"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Faire un bon reprofilage du marigot.</w:t>
            </w:r>
          </w:p>
          <w:p w14:paraId="3E133886"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bookmarkStart w:id="2595" w:name="_Hlk183392751"/>
            <w:r w:rsidRPr="00260790">
              <w:rPr>
                <w:rFonts w:ascii="Times New Roman" w:hAnsi="Times New Roman"/>
                <w:color w:val="000000" w:themeColor="text1"/>
                <w:sz w:val="22"/>
                <w:szCs w:val="22"/>
                <w:lang w:val="fr-FR"/>
              </w:rPr>
              <w:t xml:space="preserve">Disposer d’une autorisation du ministère de l’hydraulique </w:t>
            </w:r>
            <w:bookmarkEnd w:id="2595"/>
            <w:r w:rsidRPr="00260790">
              <w:rPr>
                <w:rFonts w:ascii="Times New Roman" w:hAnsi="Times New Roman"/>
                <w:color w:val="000000" w:themeColor="text1"/>
                <w:sz w:val="22"/>
                <w:szCs w:val="22"/>
                <w:lang w:val="fr-FR"/>
              </w:rPr>
              <w:t>qui pourra évaluer les capacités du bassin et l’impact qu’il peut avoir sur les ruissellements naturels.</w:t>
            </w:r>
          </w:p>
          <w:p w14:paraId="026C372A"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Respect du cadre réglementaire et tenir compte des décrets 98 - 55 portant sur l’utilisation et la construction des ouvrages de captages et de rejets et intégrer des mesures d’accompagnement sur les rejets.</w:t>
            </w:r>
          </w:p>
          <w:p w14:paraId="0C8CE881"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Extraire le sable et les gravats et assurer une bonne gestion des ordures sans porter préjudice à la population.</w:t>
            </w:r>
          </w:p>
          <w:p w14:paraId="14C050B8"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Mettre un mécanisme de suivi.</w:t>
            </w:r>
          </w:p>
          <w:p w14:paraId="30E561A0"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proofErr w:type="spellStart"/>
            <w:r w:rsidRPr="00260790">
              <w:rPr>
                <w:rFonts w:ascii="Times New Roman" w:hAnsi="Times New Roman"/>
                <w:color w:val="000000" w:themeColor="text1"/>
                <w:sz w:val="22"/>
                <w:szCs w:val="22"/>
                <w:lang w:val="fr-FR"/>
              </w:rPr>
              <w:lastRenderedPageBreak/>
              <w:t>Etudier</w:t>
            </w:r>
            <w:proofErr w:type="spellEnd"/>
            <w:r w:rsidRPr="00260790">
              <w:rPr>
                <w:rFonts w:ascii="Times New Roman" w:hAnsi="Times New Roman"/>
                <w:color w:val="000000" w:themeColor="text1"/>
                <w:sz w:val="22"/>
                <w:szCs w:val="22"/>
                <w:lang w:val="fr-FR"/>
              </w:rPr>
              <w:t xml:space="preserve"> la relation entre l’écoulement des cours d’eaux qui vont vers la mer et la nappe phréatique pour voir les impacts.</w:t>
            </w:r>
          </w:p>
          <w:p w14:paraId="6ADF09F5"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Impliquer la DGPRE au comité de suivi du projet</w:t>
            </w:r>
          </w:p>
          <w:p w14:paraId="098DE17F"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Faire un bon PAR pour les impactés.</w:t>
            </w:r>
          </w:p>
          <w:p w14:paraId="23108CFF"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Mettre en place des échelles et des stations hydrométriques.</w:t>
            </w:r>
          </w:p>
          <w:p w14:paraId="4CFDCD88"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Mettre en place des ouvrages de suivi souterrains et de surface avec une station hydrométrique pour l’écoulement des eaux de surface</w:t>
            </w:r>
          </w:p>
          <w:p w14:paraId="3FC2AB67"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Respecter la distance entre les installations du projet et les habitations.</w:t>
            </w:r>
          </w:p>
        </w:tc>
      </w:tr>
      <w:tr w:rsidR="00BD1A2F" w:rsidRPr="00260790" w14:paraId="686B81F9" w14:textId="77777777" w:rsidTr="005E7ED1">
        <w:tc>
          <w:tcPr>
            <w:tcW w:w="1781" w:type="dxa"/>
            <w:vAlign w:val="center"/>
          </w:tcPr>
          <w:p w14:paraId="0652C63F" w14:textId="77777777" w:rsidR="00A45BEB" w:rsidRPr="00260790" w:rsidRDefault="00A45BEB" w:rsidP="00E20250">
            <w:pPr>
              <w:spacing w:line="240" w:lineRule="auto"/>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 xml:space="preserve">Rencontre avec l’ASECNA </w:t>
            </w:r>
          </w:p>
          <w:p w14:paraId="308C00E8" w14:textId="77777777" w:rsidR="00A45BEB" w:rsidRPr="00260790" w:rsidRDefault="00A45BEB" w:rsidP="00E20250">
            <w:pPr>
              <w:spacing w:line="240" w:lineRule="auto"/>
              <w:rPr>
                <w:rFonts w:ascii="Times New Roman" w:hAnsi="Times New Roman"/>
                <w:b/>
                <w:color w:val="000000" w:themeColor="text1"/>
                <w:sz w:val="22"/>
                <w:szCs w:val="22"/>
                <w:lang w:val="fr-FR"/>
              </w:rPr>
            </w:pPr>
            <w:r w:rsidRPr="00260790">
              <w:rPr>
                <w:rFonts w:ascii="Times New Roman" w:hAnsi="Times New Roman"/>
                <w:b/>
                <w:color w:val="000000" w:themeColor="text1"/>
                <w:sz w:val="22"/>
                <w:szCs w:val="22"/>
                <w:lang w:val="fr-FR"/>
              </w:rPr>
              <w:t>20/11/2024</w:t>
            </w:r>
          </w:p>
        </w:tc>
        <w:tc>
          <w:tcPr>
            <w:tcW w:w="2896" w:type="dxa"/>
            <w:vAlign w:val="center"/>
          </w:tcPr>
          <w:p w14:paraId="060B8998" w14:textId="4CE2881F" w:rsidR="00A45BEB" w:rsidRPr="00260790" w:rsidRDefault="00A45BEB" w:rsidP="00E20250">
            <w:pPr>
              <w:spacing w:line="240" w:lineRule="auto"/>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Avis très favorable au projet</w:t>
            </w:r>
            <w:r w:rsidR="006F7A0B" w:rsidRPr="00260790">
              <w:rPr>
                <w:rFonts w:ascii="Times New Roman" w:hAnsi="Times New Roman"/>
                <w:color w:val="000000" w:themeColor="text1"/>
                <w:sz w:val="22"/>
                <w:szCs w:val="22"/>
                <w:lang w:val="fr-FR"/>
              </w:rPr>
              <w:t>,</w:t>
            </w:r>
            <w:r w:rsidRPr="00260790">
              <w:rPr>
                <w:rFonts w:ascii="Times New Roman" w:hAnsi="Times New Roman"/>
                <w:color w:val="000000" w:themeColor="text1"/>
                <w:sz w:val="22"/>
                <w:szCs w:val="22"/>
                <w:lang w:val="fr-FR"/>
              </w:rPr>
              <w:t xml:space="preserve"> car pouvant soulager la population contre les inondations. C’est un projet à saluer et une bonne mise en œuvre de celui-ci serait très bénéfique au niveau communautaire.</w:t>
            </w:r>
          </w:p>
        </w:tc>
        <w:tc>
          <w:tcPr>
            <w:tcW w:w="3403" w:type="dxa"/>
            <w:vAlign w:val="center"/>
          </w:tcPr>
          <w:p w14:paraId="03AA405F"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Risques que les ouvrages du projet impactent les installations de l’ASECNA dans la zone</w:t>
            </w:r>
          </w:p>
          <w:p w14:paraId="3574402C"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Risque que les ouvrages du projet impactent une bonne émission des antennes surtout si l’eau stagne.</w:t>
            </w:r>
          </w:p>
          <w:p w14:paraId="47CEB2A6"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Risques d’accidents ou de chutes si les alentours bassins ne sont sécurisés et clôturés.</w:t>
            </w:r>
          </w:p>
        </w:tc>
        <w:tc>
          <w:tcPr>
            <w:tcW w:w="6379" w:type="dxa"/>
            <w:vAlign w:val="center"/>
          </w:tcPr>
          <w:p w14:paraId="5FA85BE6"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Recueillir des informations pour voir s’il n’y a pas d’autres projets dans la zone avant de mettre en œuvre le projet.</w:t>
            </w:r>
          </w:p>
          <w:p w14:paraId="58DA7F57"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Faire en sorte que les ouvrages n’impactent pas les émissions des antennes de l’ASECNA.</w:t>
            </w:r>
          </w:p>
          <w:p w14:paraId="5153FEF3"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L’ADM doit faire une bonne cartographie des ouvrages avec une bonne précision de l’emplacement des installations du projet et les partager à l’ASECNA ; Ce qui permettra à la structure d’identifier les préoccupations et proposer des recommandations adaptées par rapport à chaque crainte.</w:t>
            </w:r>
          </w:p>
          <w:p w14:paraId="1E68A205"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L’ADM doit partager les échéances de mise en œuvre à l’ASECNA et ce qui permettre à l’agence de voir si les dates sont bien choisies.</w:t>
            </w:r>
          </w:p>
          <w:p w14:paraId="2F1C6951"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Impliquer l’ASECNA et établir un protocole avec l’ADM dans le cadre d’une meilleure prise en charge des préoccupations et des recommandations proposées par l’agence.</w:t>
            </w:r>
          </w:p>
          <w:p w14:paraId="7001178C"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Assurer une bonne gestion des ordures et proposer des alternatives pour que la population ne puisse pas déverser les ordures dans les bassins.</w:t>
            </w:r>
          </w:p>
          <w:p w14:paraId="74F14EDE" w14:textId="77777777" w:rsidR="00A45BEB" w:rsidRPr="00260790" w:rsidRDefault="00A45BEB" w:rsidP="001748C6">
            <w:pPr>
              <w:pStyle w:val="Paragraphedeliste"/>
              <w:widowControl w:val="0"/>
              <w:numPr>
                <w:ilvl w:val="0"/>
                <w:numId w:val="208"/>
              </w:numPr>
              <w:autoSpaceDE w:val="0"/>
              <w:autoSpaceDN w:val="0"/>
              <w:spacing w:line="240" w:lineRule="auto"/>
              <w:ind w:left="177" w:hanging="177"/>
              <w:jc w:val="both"/>
              <w:rPr>
                <w:rFonts w:ascii="Times New Roman" w:hAnsi="Times New Roman"/>
                <w:color w:val="000000" w:themeColor="text1"/>
                <w:sz w:val="22"/>
                <w:szCs w:val="22"/>
                <w:lang w:val="fr-FR"/>
              </w:rPr>
            </w:pPr>
            <w:r w:rsidRPr="00260790">
              <w:rPr>
                <w:rFonts w:ascii="Times New Roman" w:hAnsi="Times New Roman"/>
                <w:color w:val="000000" w:themeColor="text1"/>
                <w:sz w:val="22"/>
                <w:szCs w:val="22"/>
                <w:lang w:val="fr-FR"/>
              </w:rPr>
              <w:t>Assurer une maintenance correcte des ouvrages du projet</w:t>
            </w:r>
          </w:p>
        </w:tc>
      </w:tr>
    </w:tbl>
    <w:p w14:paraId="54E28928" w14:textId="77777777" w:rsidR="00F96EE3" w:rsidRPr="00260790" w:rsidRDefault="00F96EE3" w:rsidP="00E20250">
      <w:pPr>
        <w:spacing w:line="240" w:lineRule="auto"/>
        <w:rPr>
          <w:rFonts w:ascii="Times New Roman" w:hAnsi="Times New Roman"/>
          <w:b/>
          <w:bCs/>
          <w:color w:val="000000" w:themeColor="text1"/>
        </w:rPr>
      </w:pPr>
      <w:r w:rsidRPr="00260790">
        <w:rPr>
          <w:rFonts w:ascii="Times New Roman" w:hAnsi="Times New Roman"/>
          <w:b/>
          <w:bCs/>
          <w:color w:val="000000" w:themeColor="text1"/>
        </w:rPr>
        <w:br w:type="page"/>
      </w:r>
    </w:p>
    <w:p w14:paraId="5B3F3D93" w14:textId="77777777" w:rsidR="00F96EE3" w:rsidRPr="00260790" w:rsidRDefault="00F96EE3" w:rsidP="00E20250">
      <w:pPr>
        <w:spacing w:line="240" w:lineRule="auto"/>
        <w:jc w:val="both"/>
        <w:rPr>
          <w:rFonts w:ascii="Times New Roman" w:hAnsi="Times New Roman"/>
          <w:b/>
          <w:bCs/>
          <w:color w:val="000000" w:themeColor="text1"/>
        </w:rPr>
        <w:sectPr w:rsidR="00F96EE3" w:rsidRPr="00260790" w:rsidSect="00FD308E">
          <w:pgSz w:w="16817" w:h="11901" w:orient="landscape"/>
          <w:pgMar w:top="1418" w:right="1418" w:bottom="1418" w:left="1418" w:header="709" w:footer="454" w:gutter="0"/>
          <w:cols w:space="708"/>
          <w:docGrid w:linePitch="360"/>
        </w:sectPr>
      </w:pPr>
    </w:p>
    <w:p w14:paraId="15D9052C" w14:textId="67EDD086" w:rsidR="005F3FB7" w:rsidRPr="00260790" w:rsidRDefault="00F96EE3" w:rsidP="00E20250">
      <w:pPr>
        <w:pStyle w:val="Lgende"/>
        <w:spacing w:line="240" w:lineRule="auto"/>
        <w:rPr>
          <w:b/>
          <w:bCs/>
          <w:color w:val="000000" w:themeColor="text1"/>
          <w:sz w:val="22"/>
          <w:szCs w:val="22"/>
        </w:rPr>
      </w:pPr>
      <w:bookmarkStart w:id="2596" w:name="_Toc199431873"/>
      <w:r w:rsidRPr="00260790">
        <w:rPr>
          <w:b/>
          <w:bCs/>
          <w:color w:val="000000" w:themeColor="text1"/>
          <w:sz w:val="22"/>
          <w:szCs w:val="22"/>
        </w:rPr>
        <w:lastRenderedPageBreak/>
        <w:t xml:space="preserve">Annexe </w:t>
      </w:r>
      <w:r w:rsidRPr="00260790">
        <w:rPr>
          <w:b/>
          <w:bCs/>
          <w:color w:val="000000" w:themeColor="text1"/>
          <w:sz w:val="22"/>
          <w:szCs w:val="22"/>
        </w:rPr>
        <w:fldChar w:fldCharType="begin"/>
      </w:r>
      <w:r w:rsidRPr="00260790">
        <w:rPr>
          <w:b/>
          <w:bCs/>
          <w:color w:val="000000" w:themeColor="text1"/>
          <w:sz w:val="22"/>
          <w:szCs w:val="22"/>
        </w:rPr>
        <w:instrText xml:space="preserve"> SEQ Annexe \* ARABIC </w:instrText>
      </w:r>
      <w:r w:rsidRPr="00260790">
        <w:rPr>
          <w:b/>
          <w:bCs/>
          <w:color w:val="000000" w:themeColor="text1"/>
          <w:sz w:val="22"/>
          <w:szCs w:val="22"/>
        </w:rPr>
        <w:fldChar w:fldCharType="separate"/>
      </w:r>
      <w:r w:rsidR="00A00DD5">
        <w:rPr>
          <w:b/>
          <w:bCs/>
          <w:noProof/>
          <w:color w:val="000000" w:themeColor="text1"/>
          <w:sz w:val="22"/>
          <w:szCs w:val="22"/>
        </w:rPr>
        <w:t>3</w:t>
      </w:r>
      <w:r w:rsidRPr="00260790">
        <w:rPr>
          <w:b/>
          <w:bCs/>
          <w:color w:val="000000" w:themeColor="text1"/>
          <w:sz w:val="22"/>
          <w:szCs w:val="22"/>
        </w:rPr>
        <w:fldChar w:fldCharType="end"/>
      </w:r>
      <w:r w:rsidRPr="00260790">
        <w:rPr>
          <w:b/>
          <w:bCs/>
          <w:color w:val="000000" w:themeColor="text1"/>
          <w:sz w:val="22"/>
          <w:szCs w:val="22"/>
        </w:rPr>
        <w:t xml:space="preserve"> : </w:t>
      </w:r>
      <w:r w:rsidR="005F3FB7" w:rsidRPr="00260790">
        <w:rPr>
          <w:b/>
          <w:bCs/>
          <w:color w:val="000000" w:themeColor="text1"/>
          <w:sz w:val="22"/>
          <w:szCs w:val="22"/>
        </w:rPr>
        <w:t>Bibliographie</w:t>
      </w:r>
      <w:bookmarkEnd w:id="2574"/>
      <w:bookmarkEnd w:id="2575"/>
      <w:bookmarkEnd w:id="2577"/>
      <w:bookmarkEnd w:id="2578"/>
      <w:bookmarkEnd w:id="2596"/>
    </w:p>
    <w:p w14:paraId="41A83962" w14:textId="77777777" w:rsidR="005F3FB7" w:rsidRPr="00260790" w:rsidRDefault="005F3FB7" w:rsidP="001748C6">
      <w:pPr>
        <w:numPr>
          <w:ilvl w:val="0"/>
          <w:numId w:val="74"/>
        </w:numPr>
        <w:tabs>
          <w:tab w:val="num" w:pos="1440"/>
        </w:tabs>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Lignes directrices relatives à l’assainissement et à la santé [Guidelines on </w:t>
      </w:r>
      <w:proofErr w:type="spellStart"/>
      <w:r w:rsidRPr="00260790">
        <w:rPr>
          <w:rFonts w:ascii="Times New Roman" w:eastAsia="Times New Roman" w:hAnsi="Times New Roman"/>
          <w:color w:val="000000" w:themeColor="text1"/>
        </w:rPr>
        <w:t>sanitation</w:t>
      </w:r>
      <w:proofErr w:type="spellEnd"/>
      <w:r w:rsidRPr="00260790">
        <w:rPr>
          <w:rFonts w:ascii="Times New Roman" w:eastAsia="Times New Roman" w:hAnsi="Times New Roman"/>
          <w:color w:val="000000" w:themeColor="text1"/>
        </w:rPr>
        <w:t xml:space="preserve"> and </w:t>
      </w:r>
      <w:proofErr w:type="spellStart"/>
      <w:r w:rsidRPr="00260790">
        <w:rPr>
          <w:rFonts w:ascii="Times New Roman" w:eastAsia="Times New Roman" w:hAnsi="Times New Roman"/>
          <w:color w:val="000000" w:themeColor="text1"/>
        </w:rPr>
        <w:t>health</w:t>
      </w:r>
      <w:proofErr w:type="spellEnd"/>
      <w:r w:rsidRPr="00260790">
        <w:rPr>
          <w:rFonts w:ascii="Times New Roman" w:eastAsia="Times New Roman" w:hAnsi="Times New Roman"/>
          <w:color w:val="000000" w:themeColor="text1"/>
        </w:rPr>
        <w:t>]. Genève : Organisation mondiale de la Santé ; 2019. Licence : CC BY-NC-SA 3.0 IGO.</w:t>
      </w:r>
    </w:p>
    <w:p w14:paraId="6DAE3A9E" w14:textId="77777777" w:rsidR="005F3FB7" w:rsidRPr="00260790" w:rsidRDefault="005F3FB7" w:rsidP="001748C6">
      <w:pPr>
        <w:numPr>
          <w:ilvl w:val="0"/>
          <w:numId w:val="74"/>
        </w:numPr>
        <w:tabs>
          <w:tab w:val="num" w:pos="1440"/>
        </w:tabs>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Rapport final - CGES PROGEP II </w:t>
      </w:r>
    </w:p>
    <w:p w14:paraId="500BAD51" w14:textId="77777777" w:rsidR="005F3FB7" w:rsidRPr="00260790" w:rsidRDefault="005F3FB7" w:rsidP="001748C6">
      <w:pPr>
        <w:numPr>
          <w:ilvl w:val="0"/>
          <w:numId w:val="74"/>
        </w:numPr>
        <w:tabs>
          <w:tab w:val="num" w:pos="1440"/>
        </w:tabs>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Rapport Final EIES des travaux d’urgence du bassin de </w:t>
      </w:r>
      <w:proofErr w:type="spellStart"/>
      <w:r w:rsidRPr="00260790">
        <w:rPr>
          <w:rFonts w:ascii="Times New Roman" w:eastAsia="Times New Roman" w:hAnsi="Times New Roman"/>
          <w:color w:val="000000" w:themeColor="text1"/>
        </w:rPr>
        <w:t>Mbeubeuss</w:t>
      </w:r>
      <w:proofErr w:type="spellEnd"/>
      <w:r w:rsidRPr="00260790">
        <w:rPr>
          <w:rFonts w:ascii="Times New Roman" w:eastAsia="Times New Roman" w:hAnsi="Times New Roman"/>
          <w:color w:val="000000" w:themeColor="text1"/>
        </w:rPr>
        <w:t xml:space="preserve"> et des travaux confortatifs (PROGEP II) - Juillet 2022</w:t>
      </w:r>
    </w:p>
    <w:p w14:paraId="6B04E83F" w14:textId="77777777" w:rsidR="005F3FB7" w:rsidRPr="00260790" w:rsidRDefault="005F3FB7" w:rsidP="001748C6">
      <w:pPr>
        <w:numPr>
          <w:ilvl w:val="0"/>
          <w:numId w:val="74"/>
        </w:numPr>
        <w:tabs>
          <w:tab w:val="num" w:pos="1440"/>
        </w:tabs>
        <w:spacing w:after="0" w:line="240" w:lineRule="auto"/>
        <w:jc w:val="both"/>
        <w:rPr>
          <w:rFonts w:ascii="Times New Roman" w:eastAsia="Times New Roman" w:hAnsi="Times New Roman"/>
          <w:color w:val="000000" w:themeColor="text1"/>
          <w:lang w:val="en-GB"/>
        </w:rPr>
      </w:pPr>
      <w:r w:rsidRPr="00260790">
        <w:rPr>
          <w:rFonts w:ascii="Times New Roman" w:eastAsia="Times New Roman" w:hAnsi="Times New Roman"/>
          <w:color w:val="000000" w:themeColor="text1"/>
          <w:lang w:val="en-GB"/>
        </w:rPr>
        <w:t>Rapport Final EIES Phase Urgence BCI PROGEP II</w:t>
      </w:r>
    </w:p>
    <w:p w14:paraId="364EA156" w14:textId="68F76D74" w:rsidR="005F3FB7" w:rsidRPr="00260790" w:rsidRDefault="005F3FB7" w:rsidP="001748C6">
      <w:pPr>
        <w:pStyle w:val="Paragraphedeliste"/>
        <w:numPr>
          <w:ilvl w:val="0"/>
          <w:numId w:val="74"/>
        </w:numPr>
        <w:spacing w:before="100" w:beforeAutospacing="1" w:after="100" w:afterAutospacing="1"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rPr>
        <w:t>Rapport Final EIES PROGEP Phase II - 2</w:t>
      </w:r>
      <w:r w:rsidRPr="00260790">
        <w:rPr>
          <w:rFonts w:ascii="Times New Roman" w:eastAsia="Times New Roman" w:hAnsi="Times New Roman"/>
          <w:color w:val="000000" w:themeColor="text1"/>
          <w:vertAlign w:val="superscript"/>
        </w:rPr>
        <w:t>e</w:t>
      </w:r>
      <w:r w:rsidRPr="00260790">
        <w:rPr>
          <w:rFonts w:ascii="Times New Roman" w:eastAsia="Times New Roman" w:hAnsi="Times New Roman"/>
          <w:color w:val="000000" w:themeColor="text1"/>
        </w:rPr>
        <w:t xml:space="preserve"> tranche : Bassin versant </w:t>
      </w:r>
      <w:proofErr w:type="spellStart"/>
      <w:r w:rsidRPr="00260790">
        <w:rPr>
          <w:rFonts w:ascii="Times New Roman" w:eastAsia="Times New Roman" w:hAnsi="Times New Roman"/>
          <w:color w:val="000000" w:themeColor="text1"/>
        </w:rPr>
        <w:t>Mbeubeuss</w:t>
      </w:r>
      <w:proofErr w:type="spellEnd"/>
      <w:r w:rsidRPr="00260790">
        <w:rPr>
          <w:rFonts w:ascii="Times New Roman" w:eastAsia="Times New Roman" w:hAnsi="Times New Roman"/>
          <w:color w:val="000000" w:themeColor="text1"/>
        </w:rPr>
        <w:t xml:space="preserve"> - </w:t>
      </w:r>
      <w:r w:rsidR="00F523F1" w:rsidRPr="00260790">
        <w:rPr>
          <w:rFonts w:ascii="Times New Roman" w:eastAsia="Times New Roman" w:hAnsi="Times New Roman"/>
          <w:color w:val="000000" w:themeColor="text1"/>
        </w:rPr>
        <w:t>j</w:t>
      </w:r>
      <w:r w:rsidRPr="00260790">
        <w:rPr>
          <w:rFonts w:ascii="Times New Roman" w:eastAsia="Times New Roman" w:hAnsi="Times New Roman"/>
          <w:color w:val="000000" w:themeColor="text1"/>
        </w:rPr>
        <w:t>anvier 2015</w:t>
      </w:r>
    </w:p>
    <w:p w14:paraId="0190422D" w14:textId="77777777" w:rsidR="005F3FB7" w:rsidRPr="00260790" w:rsidRDefault="005F3FB7" w:rsidP="001748C6">
      <w:pPr>
        <w:pStyle w:val="Paragraphedeliste"/>
        <w:numPr>
          <w:ilvl w:val="0"/>
          <w:numId w:val="74"/>
        </w:numPr>
        <w:spacing w:before="100" w:beforeAutospacing="1" w:after="100" w:afterAutospacing="1" w:line="240" w:lineRule="auto"/>
        <w:rPr>
          <w:rFonts w:ascii="Times New Roman" w:eastAsia="Times New Roman" w:hAnsi="Times New Roman"/>
          <w:color w:val="000000" w:themeColor="text1"/>
          <w:lang w:eastAsia="fr-FR"/>
        </w:rPr>
      </w:pPr>
      <w:r w:rsidRPr="00260790">
        <w:rPr>
          <w:rFonts w:ascii="Times New Roman" w:eastAsia="Times New Roman" w:hAnsi="Times New Roman"/>
          <w:color w:val="000000" w:themeColor="text1"/>
        </w:rPr>
        <w:t>Rapport final CGES du PROGEP II - 2021</w:t>
      </w:r>
    </w:p>
    <w:p w14:paraId="16477B56" w14:textId="77777777" w:rsidR="005F3FB7" w:rsidRPr="00260790" w:rsidRDefault="005F3FB7" w:rsidP="001748C6">
      <w:pPr>
        <w:numPr>
          <w:ilvl w:val="0"/>
          <w:numId w:val="74"/>
        </w:numPr>
        <w:tabs>
          <w:tab w:val="num" w:pos="1440"/>
        </w:tabs>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Rapport Final- EIES Phase 1 PROGEP - décembre 2011</w:t>
      </w:r>
    </w:p>
    <w:p w14:paraId="4F53548E" w14:textId="77777777" w:rsidR="005F3FB7" w:rsidRPr="00260790" w:rsidRDefault="005F3FB7" w:rsidP="001748C6">
      <w:pPr>
        <w:numPr>
          <w:ilvl w:val="0"/>
          <w:numId w:val="74"/>
        </w:numPr>
        <w:tabs>
          <w:tab w:val="num" w:pos="1440"/>
        </w:tabs>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Mécanisme de gestion des griefs et plaintes PROGEP</w:t>
      </w:r>
    </w:p>
    <w:p w14:paraId="4ADFA769" w14:textId="77777777" w:rsidR="005F3FB7" w:rsidRPr="00260790" w:rsidRDefault="005F3FB7" w:rsidP="001748C6">
      <w:pPr>
        <w:numPr>
          <w:ilvl w:val="0"/>
          <w:numId w:val="74"/>
        </w:numPr>
        <w:tabs>
          <w:tab w:val="num" w:pos="1440"/>
        </w:tabs>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Plan directeur de drainage (PDD) des eaux pluviales de la région Périurbaine de Dakar</w:t>
      </w:r>
    </w:p>
    <w:p w14:paraId="012644CF" w14:textId="77777777" w:rsidR="005F3FB7" w:rsidRPr="00260790" w:rsidRDefault="005F3FB7" w:rsidP="001748C6">
      <w:pPr>
        <w:numPr>
          <w:ilvl w:val="0"/>
          <w:numId w:val="74"/>
        </w:numPr>
        <w:tabs>
          <w:tab w:val="num" w:pos="1440"/>
        </w:tabs>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PLAN DIRECTEUR D’URBANISME DE DAKAR HORIZON « 2025 », </w:t>
      </w:r>
    </w:p>
    <w:p w14:paraId="342A6EA0" w14:textId="77777777" w:rsidR="005F3FB7" w:rsidRPr="00260790" w:rsidRDefault="005F3FB7" w:rsidP="001748C6">
      <w:pPr>
        <w:numPr>
          <w:ilvl w:val="0"/>
          <w:numId w:val="74"/>
        </w:numPr>
        <w:tabs>
          <w:tab w:val="num" w:pos="1440"/>
        </w:tabs>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Plan Directeur d’Aménagement et de Sauvegarde des Niayes et Zones Vertes de Dakar – PDAS, PASDUNES, octobre 2004</w:t>
      </w:r>
    </w:p>
    <w:p w14:paraId="5AE2B728" w14:textId="73A742CF" w:rsidR="005F3FB7" w:rsidRPr="00260790" w:rsidRDefault="005F3FB7" w:rsidP="001748C6">
      <w:pPr>
        <w:numPr>
          <w:ilvl w:val="0"/>
          <w:numId w:val="74"/>
        </w:numPr>
        <w:tabs>
          <w:tab w:val="num" w:pos="1440"/>
        </w:tabs>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Loi n°20</w:t>
      </w:r>
      <w:r w:rsidR="00DD2AD7" w:rsidRPr="00260790">
        <w:rPr>
          <w:rFonts w:ascii="Times New Roman" w:eastAsia="Times New Roman" w:hAnsi="Times New Roman"/>
          <w:color w:val="000000" w:themeColor="text1"/>
        </w:rPr>
        <w:t>23</w:t>
      </w:r>
      <w:r w:rsidRPr="00260790">
        <w:rPr>
          <w:rFonts w:ascii="Times New Roman" w:eastAsia="Times New Roman" w:hAnsi="Times New Roman"/>
          <w:color w:val="000000" w:themeColor="text1"/>
        </w:rPr>
        <w:t>-</w:t>
      </w:r>
      <w:r w:rsidR="00DD2AD7" w:rsidRPr="00260790">
        <w:rPr>
          <w:rFonts w:ascii="Times New Roman" w:eastAsia="Times New Roman" w:hAnsi="Times New Roman"/>
          <w:color w:val="000000" w:themeColor="text1"/>
        </w:rPr>
        <w:t>15</w:t>
      </w:r>
      <w:r w:rsidRPr="00260790">
        <w:rPr>
          <w:rFonts w:ascii="Times New Roman" w:eastAsia="Times New Roman" w:hAnsi="Times New Roman"/>
          <w:color w:val="000000" w:themeColor="text1"/>
        </w:rPr>
        <w:t xml:space="preserve"> du </w:t>
      </w:r>
      <w:r w:rsidR="00BE0393" w:rsidRPr="00260790">
        <w:rPr>
          <w:rFonts w:ascii="Times New Roman" w:eastAsia="Times New Roman" w:hAnsi="Times New Roman"/>
          <w:color w:val="000000" w:themeColor="text1"/>
        </w:rPr>
        <w:t>02 août 2023</w:t>
      </w:r>
      <w:r w:rsidRPr="00260790">
        <w:rPr>
          <w:rFonts w:ascii="Times New Roman" w:eastAsia="Times New Roman" w:hAnsi="Times New Roman"/>
          <w:color w:val="000000" w:themeColor="text1"/>
        </w:rPr>
        <w:t>portant Code de l’environnement ;</w:t>
      </w:r>
    </w:p>
    <w:p w14:paraId="4699665D" w14:textId="77777777" w:rsidR="005F3FB7" w:rsidRPr="00260790" w:rsidRDefault="005F3FB7" w:rsidP="001748C6">
      <w:pPr>
        <w:numPr>
          <w:ilvl w:val="0"/>
          <w:numId w:val="74"/>
        </w:numPr>
        <w:tabs>
          <w:tab w:val="num" w:pos="1440"/>
        </w:tabs>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Loi n° 64-46 du 17 juin 1964 relative au domaine national ;</w:t>
      </w:r>
    </w:p>
    <w:p w14:paraId="05F8E471" w14:textId="77777777" w:rsidR="005F3FB7" w:rsidRPr="00260790" w:rsidRDefault="005F3FB7" w:rsidP="001748C6">
      <w:pPr>
        <w:numPr>
          <w:ilvl w:val="0"/>
          <w:numId w:val="74"/>
        </w:numPr>
        <w:tabs>
          <w:tab w:val="num" w:pos="1440"/>
        </w:tabs>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Loi n° 72-02 du 1er février 1972 modifiée ;</w:t>
      </w:r>
    </w:p>
    <w:p w14:paraId="386070AF" w14:textId="77777777" w:rsidR="005F3FB7" w:rsidRPr="00260790" w:rsidRDefault="005F3FB7" w:rsidP="001748C6">
      <w:pPr>
        <w:numPr>
          <w:ilvl w:val="0"/>
          <w:numId w:val="74"/>
        </w:numPr>
        <w:tabs>
          <w:tab w:val="num" w:pos="1440"/>
        </w:tabs>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Loi n° 96-06 du 22 mars 1996 portant Code des collectivités territoriales ;</w:t>
      </w:r>
    </w:p>
    <w:p w14:paraId="66CFB4CD" w14:textId="77777777" w:rsidR="005F3FB7" w:rsidRPr="00260790" w:rsidRDefault="005F3FB7" w:rsidP="001748C6">
      <w:pPr>
        <w:numPr>
          <w:ilvl w:val="0"/>
          <w:numId w:val="74"/>
        </w:numPr>
        <w:tabs>
          <w:tab w:val="num" w:pos="1440"/>
        </w:tabs>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Loi n° 96-07 du 22 mars 1996 portant transfert de compétences aux régions, communes et communautés rurales ;</w:t>
      </w:r>
    </w:p>
    <w:p w14:paraId="49580466" w14:textId="77777777" w:rsidR="005F3FB7" w:rsidRPr="00260790" w:rsidRDefault="005F3FB7" w:rsidP="001748C6">
      <w:pPr>
        <w:numPr>
          <w:ilvl w:val="0"/>
          <w:numId w:val="74"/>
        </w:numPr>
        <w:tabs>
          <w:tab w:val="num" w:pos="1440"/>
        </w:tabs>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Stratégie National et Plan National d’Action pour la Conservation de la Biodiversité, </w:t>
      </w:r>
      <w:proofErr w:type="gramStart"/>
      <w:r w:rsidRPr="00260790">
        <w:rPr>
          <w:rFonts w:ascii="Times New Roman" w:eastAsia="Times New Roman" w:hAnsi="Times New Roman"/>
          <w:color w:val="000000" w:themeColor="text1"/>
        </w:rPr>
        <w:t>Ministère de l’Environnement</w:t>
      </w:r>
      <w:proofErr w:type="gramEnd"/>
      <w:r w:rsidRPr="00260790">
        <w:rPr>
          <w:rFonts w:ascii="Times New Roman" w:eastAsia="Times New Roman" w:hAnsi="Times New Roman"/>
          <w:color w:val="000000" w:themeColor="text1"/>
        </w:rPr>
        <w:t xml:space="preserve"> et de la Protection de la nature, Dakar, 1998</w:t>
      </w:r>
    </w:p>
    <w:p w14:paraId="50AD946C" w14:textId="77777777" w:rsidR="005F3FB7" w:rsidRPr="00260790" w:rsidRDefault="005F3FB7" w:rsidP="001748C6">
      <w:pPr>
        <w:numPr>
          <w:ilvl w:val="0"/>
          <w:numId w:val="74"/>
        </w:numPr>
        <w:tabs>
          <w:tab w:val="num" w:pos="1440"/>
        </w:tabs>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Plan National d’Aménagement et de Développement Territorial (PNADT) Horizon 2035</w:t>
      </w:r>
    </w:p>
    <w:p w14:paraId="2E23C522" w14:textId="77777777" w:rsidR="005F3FB7" w:rsidRPr="00260790" w:rsidRDefault="005F3FB7" w:rsidP="001748C6">
      <w:pPr>
        <w:numPr>
          <w:ilvl w:val="0"/>
          <w:numId w:val="74"/>
        </w:numPr>
        <w:tabs>
          <w:tab w:val="num" w:pos="1440"/>
        </w:tabs>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Plan Directeur d’Urbanisme de Dakar et ses Environs Horizon 2035</w:t>
      </w:r>
    </w:p>
    <w:p w14:paraId="2D4E7149" w14:textId="77777777" w:rsidR="005F3FB7" w:rsidRPr="00260790" w:rsidRDefault="005F3FB7" w:rsidP="001748C6">
      <w:pPr>
        <w:numPr>
          <w:ilvl w:val="0"/>
          <w:numId w:val="74"/>
        </w:numPr>
        <w:tabs>
          <w:tab w:val="num" w:pos="1440"/>
        </w:tabs>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Projections démographiques 2013 2025 ANSD Sénégal</w:t>
      </w:r>
    </w:p>
    <w:p w14:paraId="355CBF62" w14:textId="77777777" w:rsidR="005F3FB7" w:rsidRPr="00260790" w:rsidRDefault="005F3FB7" w:rsidP="001748C6">
      <w:pPr>
        <w:numPr>
          <w:ilvl w:val="0"/>
          <w:numId w:val="74"/>
        </w:numPr>
        <w:tabs>
          <w:tab w:val="num" w:pos="1440"/>
        </w:tabs>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Rapport national de présentation des Cartes de pauvreté / ANSD –2016</w:t>
      </w:r>
    </w:p>
    <w:p w14:paraId="4226DF7A" w14:textId="77777777" w:rsidR="005F3FB7" w:rsidRPr="00260790" w:rsidRDefault="005F3FB7" w:rsidP="001748C6">
      <w:pPr>
        <w:numPr>
          <w:ilvl w:val="0"/>
          <w:numId w:val="74"/>
        </w:numPr>
        <w:tabs>
          <w:tab w:val="num" w:pos="1440"/>
        </w:tabs>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Rapport sur l’emploi, le chômage et les conditions d’activité dans l’agglomération de Dakar </w:t>
      </w:r>
    </w:p>
    <w:p w14:paraId="68583318" w14:textId="77777777" w:rsidR="005F3FB7" w:rsidRPr="00260790" w:rsidRDefault="005F3FB7" w:rsidP="001748C6">
      <w:pPr>
        <w:numPr>
          <w:ilvl w:val="0"/>
          <w:numId w:val="74"/>
        </w:numPr>
        <w:tabs>
          <w:tab w:val="num" w:pos="1440"/>
        </w:tabs>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Étude sur l’analyse de la qualité et de la pollution des eaux des bassins et de l’exutoire de </w:t>
      </w:r>
      <w:proofErr w:type="spellStart"/>
      <w:r w:rsidRPr="00260790">
        <w:rPr>
          <w:rFonts w:ascii="Times New Roman" w:eastAsia="Times New Roman" w:hAnsi="Times New Roman"/>
          <w:color w:val="000000" w:themeColor="text1"/>
        </w:rPr>
        <w:t>Dalifort</w:t>
      </w:r>
      <w:proofErr w:type="spellEnd"/>
      <w:r w:rsidRPr="00260790">
        <w:rPr>
          <w:rFonts w:ascii="Times New Roman" w:eastAsia="Times New Roman" w:hAnsi="Times New Roman"/>
          <w:color w:val="000000" w:themeColor="text1"/>
        </w:rPr>
        <w:t xml:space="preserve">, et de l’ouvrage de la branche 20 à </w:t>
      </w:r>
      <w:proofErr w:type="spellStart"/>
      <w:r w:rsidRPr="00260790">
        <w:rPr>
          <w:rFonts w:ascii="Times New Roman" w:eastAsia="Times New Roman" w:hAnsi="Times New Roman"/>
          <w:color w:val="000000" w:themeColor="text1"/>
        </w:rPr>
        <w:t>Mbeubeuss</w:t>
      </w:r>
      <w:proofErr w:type="spellEnd"/>
      <w:r w:rsidRPr="00260790">
        <w:rPr>
          <w:rFonts w:ascii="Times New Roman" w:eastAsia="Times New Roman" w:hAnsi="Times New Roman"/>
          <w:color w:val="000000" w:themeColor="text1"/>
        </w:rPr>
        <w:t xml:space="preserve"> - Rapport final – 2020</w:t>
      </w:r>
    </w:p>
    <w:p w14:paraId="142D726B" w14:textId="5975B84F" w:rsidR="00DD2AD7" w:rsidRPr="00260790" w:rsidRDefault="00DD2AD7" w:rsidP="001748C6">
      <w:pPr>
        <w:numPr>
          <w:ilvl w:val="0"/>
          <w:numId w:val="74"/>
        </w:numPr>
        <w:tabs>
          <w:tab w:val="num" w:pos="1440"/>
        </w:tabs>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PDC de Keur Massar Sud</w:t>
      </w:r>
    </w:p>
    <w:p w14:paraId="0F7E39C5" w14:textId="026B167C" w:rsidR="00DD2AD7" w:rsidRPr="00260790" w:rsidRDefault="00DD2AD7" w:rsidP="001748C6">
      <w:pPr>
        <w:numPr>
          <w:ilvl w:val="0"/>
          <w:numId w:val="74"/>
        </w:numPr>
        <w:tabs>
          <w:tab w:val="num" w:pos="1440"/>
        </w:tabs>
        <w:spacing w:after="0"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PDC de </w:t>
      </w:r>
      <w:proofErr w:type="spellStart"/>
      <w:r w:rsidRPr="00260790">
        <w:rPr>
          <w:rFonts w:ascii="Times New Roman" w:eastAsia="Times New Roman" w:hAnsi="Times New Roman"/>
          <w:color w:val="000000" w:themeColor="text1"/>
        </w:rPr>
        <w:t>Jaxaay</w:t>
      </w:r>
      <w:proofErr w:type="spellEnd"/>
      <w:r w:rsidRPr="00260790">
        <w:rPr>
          <w:rFonts w:ascii="Times New Roman" w:eastAsia="Times New Roman" w:hAnsi="Times New Roman"/>
          <w:color w:val="000000" w:themeColor="text1"/>
        </w:rPr>
        <w:t xml:space="preserve"> Parcelles Assainies </w:t>
      </w:r>
      <w:proofErr w:type="spellStart"/>
      <w:r w:rsidRPr="00260790">
        <w:rPr>
          <w:rFonts w:ascii="Times New Roman" w:eastAsia="Times New Roman" w:hAnsi="Times New Roman"/>
          <w:color w:val="000000" w:themeColor="text1"/>
        </w:rPr>
        <w:t>Niakoul</w:t>
      </w:r>
      <w:proofErr w:type="spellEnd"/>
      <w:r w:rsidRPr="00260790">
        <w:rPr>
          <w:rFonts w:ascii="Times New Roman" w:eastAsia="Times New Roman" w:hAnsi="Times New Roman"/>
          <w:color w:val="000000" w:themeColor="text1"/>
        </w:rPr>
        <w:t xml:space="preserve"> Rap</w:t>
      </w:r>
    </w:p>
    <w:p w14:paraId="1AAD0F84" w14:textId="49B6A30D" w:rsidR="005F3FB7" w:rsidRPr="00260790" w:rsidRDefault="005F3FB7" w:rsidP="00E20250">
      <w:pPr>
        <w:spacing w:line="240" w:lineRule="auto"/>
        <w:rPr>
          <w:rFonts w:ascii="Times New Roman" w:hAnsi="Times New Roman"/>
          <w:b/>
          <w:bCs/>
          <w:color w:val="000000" w:themeColor="text1"/>
        </w:rPr>
      </w:pPr>
      <w:bookmarkStart w:id="2597" w:name="_Toc131605704"/>
      <w:r w:rsidRPr="00260790">
        <w:rPr>
          <w:rFonts w:ascii="Times New Roman" w:eastAsia="Times New Roman" w:hAnsi="Times New Roman"/>
          <w:color w:val="000000" w:themeColor="text1"/>
          <w:sz w:val="24"/>
          <w:szCs w:val="24"/>
        </w:rPr>
        <w:br w:type="page"/>
      </w:r>
      <w:bookmarkStart w:id="2598" w:name="_Toc66567799"/>
      <w:bookmarkStart w:id="2599" w:name="_Toc151411380"/>
      <w:bookmarkStart w:id="2600" w:name="_Toc199431874"/>
      <w:r w:rsidR="00316406" w:rsidRPr="00260790">
        <w:rPr>
          <w:rFonts w:ascii="Times New Roman" w:hAnsi="Times New Roman"/>
          <w:b/>
          <w:bCs/>
          <w:color w:val="000000" w:themeColor="text1"/>
        </w:rPr>
        <w:lastRenderedPageBreak/>
        <w:t xml:space="preserve">Annexe </w:t>
      </w:r>
      <w:r w:rsidR="00316406" w:rsidRPr="00260790">
        <w:rPr>
          <w:rFonts w:ascii="Times New Roman" w:hAnsi="Times New Roman"/>
          <w:b/>
          <w:bCs/>
          <w:color w:val="000000" w:themeColor="text1"/>
        </w:rPr>
        <w:fldChar w:fldCharType="begin"/>
      </w:r>
      <w:r w:rsidR="00316406" w:rsidRPr="00260790">
        <w:rPr>
          <w:rFonts w:ascii="Times New Roman" w:hAnsi="Times New Roman"/>
          <w:b/>
          <w:bCs/>
          <w:color w:val="000000" w:themeColor="text1"/>
        </w:rPr>
        <w:instrText xml:space="preserve"> SEQ Annexe \* ARABIC </w:instrText>
      </w:r>
      <w:r w:rsidR="00316406" w:rsidRPr="00260790">
        <w:rPr>
          <w:rFonts w:ascii="Times New Roman" w:hAnsi="Times New Roman"/>
          <w:b/>
          <w:bCs/>
          <w:color w:val="000000" w:themeColor="text1"/>
        </w:rPr>
        <w:fldChar w:fldCharType="separate"/>
      </w:r>
      <w:r w:rsidR="0048082D" w:rsidRPr="00260790">
        <w:rPr>
          <w:rFonts w:ascii="Times New Roman" w:hAnsi="Times New Roman"/>
          <w:b/>
          <w:bCs/>
          <w:noProof/>
          <w:color w:val="000000" w:themeColor="text1"/>
        </w:rPr>
        <w:t>4</w:t>
      </w:r>
      <w:r w:rsidR="00316406" w:rsidRPr="00260790">
        <w:rPr>
          <w:rFonts w:ascii="Times New Roman" w:hAnsi="Times New Roman"/>
          <w:b/>
          <w:bCs/>
          <w:color w:val="000000" w:themeColor="text1"/>
        </w:rPr>
        <w:fldChar w:fldCharType="end"/>
      </w:r>
      <w:r w:rsidRPr="00260790">
        <w:rPr>
          <w:rFonts w:ascii="Times New Roman" w:hAnsi="Times New Roman"/>
          <w:b/>
          <w:bCs/>
          <w:color w:val="000000" w:themeColor="text1"/>
        </w:rPr>
        <w:t> : Clauses environnementales et sociales à insérer dans les dossiers d’appel d’offre</w:t>
      </w:r>
      <w:bookmarkEnd w:id="2597"/>
      <w:bookmarkEnd w:id="2598"/>
      <w:bookmarkEnd w:id="2599"/>
      <w:r w:rsidR="00B545C1" w:rsidRPr="00260790">
        <w:rPr>
          <w:rFonts w:ascii="Times New Roman" w:hAnsi="Times New Roman"/>
          <w:b/>
          <w:bCs/>
          <w:color w:val="000000" w:themeColor="text1"/>
        </w:rPr>
        <w:t>s</w:t>
      </w:r>
      <w:bookmarkEnd w:id="2600"/>
      <w:r w:rsidRPr="00260790">
        <w:rPr>
          <w:rFonts w:ascii="Times New Roman" w:hAnsi="Times New Roman"/>
          <w:b/>
          <w:bCs/>
          <w:color w:val="000000" w:themeColor="text1"/>
        </w:rPr>
        <w:t xml:space="preserve">  </w:t>
      </w:r>
    </w:p>
    <w:p w14:paraId="7C38EEBA" w14:textId="772EEDC7" w:rsidR="005F3FB7" w:rsidRPr="00260790" w:rsidRDefault="005F3FB7" w:rsidP="0048082D">
      <w:pPr>
        <w:spacing w:line="240" w:lineRule="auto"/>
        <w:jc w:val="both"/>
        <w:rPr>
          <w:rFonts w:ascii="Times New Roman" w:eastAsia="Times New Roman" w:hAnsi="Times New Roman"/>
          <w:color w:val="000000" w:themeColor="text1"/>
        </w:rPr>
      </w:pPr>
      <w:r w:rsidRPr="00260790">
        <w:rPr>
          <w:rFonts w:ascii="Times New Roman" w:eastAsia="Times New Roman" w:hAnsi="Times New Roman"/>
          <w:color w:val="000000" w:themeColor="text1"/>
        </w:rPr>
        <w:t>Les présentes clauses sont destinées à aider les personnes en charge de la rédaction de dossiers d’appels d’offres et des marchés d’exécution des travaux (cahiers des prescriptions techniques), afin qu’elles puissent intégrer dans ces documents des prescriptions permettant d’optimiser la protection de l’environnement et du milieu socio-économique. Les clauses sont spécifiques à toutes les activités de chantier pouvant être source de nuisances environnementales et sociales.  Elles devront constituer une partie intégrante des dossiers d’appels d’offres ou de marchés d’exécution des travaux.</w:t>
      </w:r>
    </w:p>
    <w:p w14:paraId="29BA9EF5" w14:textId="77777777" w:rsidR="005F3FB7" w:rsidRPr="00260790" w:rsidRDefault="005F3FB7" w:rsidP="00E20250">
      <w:pPr>
        <w:spacing w:after="0" w:line="240" w:lineRule="auto"/>
        <w:jc w:val="both"/>
        <w:rPr>
          <w:rFonts w:ascii="Times New Roman" w:eastAsia="Times New Roman" w:hAnsi="Times New Roman"/>
          <w:b/>
          <w:bCs/>
          <w:i/>
          <w:color w:val="000000" w:themeColor="text1"/>
        </w:rPr>
      </w:pPr>
      <w:bookmarkStart w:id="2601" w:name="_Toc268772040"/>
      <w:bookmarkStart w:id="2602" w:name="_Toc270951397"/>
      <w:r w:rsidRPr="00260790">
        <w:rPr>
          <w:rFonts w:ascii="Times New Roman" w:eastAsia="Times New Roman" w:hAnsi="Times New Roman"/>
          <w:b/>
          <w:bCs/>
          <w:i/>
          <w:color w:val="000000" w:themeColor="text1"/>
        </w:rPr>
        <w:t xml:space="preserve">Paramètres Environnementaux et Sociaux à Considérer dans les contrats d’exécution des travaux d’infrastructures </w:t>
      </w:r>
      <w:bookmarkEnd w:id="2601"/>
      <w:bookmarkEnd w:id="2602"/>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5F3FB7" w:rsidRPr="00260790" w14:paraId="1DF0C5D7" w14:textId="77777777" w:rsidTr="0048082D">
        <w:tc>
          <w:tcPr>
            <w:tcW w:w="9918" w:type="dxa"/>
          </w:tcPr>
          <w:p w14:paraId="7770D44C"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S’assurer de l’élaboration d’un plan de reboisement compensatoire qui sera soumis à l’approbation de l’ADM en cas d’élimination de la végétation pour  compenser d’éventuels abattages                                                                                                                                                                                                                                                                                                                                                                                                                                                                                                                                                                                                                                                                                                                                                                                                                                                                                                                                                                                                                                                                                                                                                                                                                                                                                                                                                                                                                                                                                                                                                                                                                                                                                                                                                                                                                                                                                                                                                                                                                                                                                                                                                                                                                                                                                                                                                                                                                                                                                                                                                                                                                                                                                                                                                                                                                                                                                                                                                                                                                                                                                                                                                                                                                                                                                                                                                                                                                                                                                                                                                                                                                                                                                                                                                                                                                                                                                                                                                                                                                                                                                                                                                                                                                                                                                                                                                                                                                                                                                                                                                                                                                                                                                                                                                                                                                                                                                                                                                                                                                                                                                                                                                                                                                                                                                                                                                                                                                                                                                                                                                                                                                                                                                                                                                                                                                                                                                                                                                                                                                                                                                                                                                                                                                                                                                                                                                                                                                                                                                                                                                                                                                                                                                                                                                                                                                                                                                                                                                                                                                                                                                                                                                                                                                                                                                                                                                                                                                                                                                                                                                                                                                                                                                                                                                                                                                                                                                                                                                                                                                                                                                                                                                                                                                                                                                                                                                                                                                                                                                                                                                                                                                                                                                                                                                                                                                                                                                                                                                                                                                                                                                                                                                                                                                                                                                                                                                                                                                                                                                                                                                                                                                                                                                                                                                                                                                                                                                                                                                                                                                                                                                                                                                                                                                                                                                                                                                                                                                                                                                                                                                                                                                                                                                                                                                                                                                                                                                                                                                                                                                                                                                                                                                                                                                                                                                                                                                                                                                                                                                                                                                                                                                                                                                                                </w:t>
            </w:r>
          </w:p>
          <w:p w14:paraId="3E8D69C3"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Éviter le plus que possible de détruire les habitats naturels ;</w:t>
            </w:r>
          </w:p>
          <w:p w14:paraId="521F24F2"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Utiliser le site de décharge officiel autorisé par les autorités locales ;</w:t>
            </w:r>
          </w:p>
          <w:p w14:paraId="0FD94038"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Ne pas obstruer le passage aux riverains ;</w:t>
            </w:r>
          </w:p>
          <w:p w14:paraId="1C8151D4"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Veiller au respect des mesures d’hygiène et de sécurité des installations de chantiers ;</w:t>
            </w:r>
          </w:p>
          <w:p w14:paraId="282CEF4F"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Protéger les propriétés avoisinantes du chantier ;</w:t>
            </w:r>
          </w:p>
          <w:p w14:paraId="5EE57381"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Éviter d’endommager la végétation existante ;</w:t>
            </w:r>
          </w:p>
          <w:p w14:paraId="238CF27C"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Éviter de compacter le sol hors de l’emprise des bâtiments et de le rendre imperméable et inapte à l’infiltration ;</w:t>
            </w:r>
          </w:p>
          <w:p w14:paraId="713F319F"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Éviter de nuire la population locale en utilisant des matériels qui font beaucoup de bruit ;</w:t>
            </w:r>
          </w:p>
          <w:p w14:paraId="205F91E8"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Ne pas brûler des déchets sur le chantier ;</w:t>
            </w:r>
          </w:p>
          <w:p w14:paraId="0D6D2F8D"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Assurer la collecte et l’élimination des déchets occasionnés par les travaux ;</w:t>
            </w:r>
          </w:p>
          <w:p w14:paraId="30C5E587"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Intégrer le plus que possible les gens de la communauté pour éviter les conflits entre le personnel de chantier et la population locale. </w:t>
            </w:r>
          </w:p>
          <w:p w14:paraId="33033373"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Éviter le dégagement des mauvaises odeurs lié à la réparation des latrines ;</w:t>
            </w:r>
          </w:p>
          <w:p w14:paraId="1CD9A097"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Procéder à la gestion rationnelle des carrières selon les réglementations en vigueur ;</w:t>
            </w:r>
          </w:p>
          <w:p w14:paraId="63F28437"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Sensibiliser le personnel de chantier sur les IST/VIH/SIDA ;</w:t>
            </w:r>
          </w:p>
          <w:p w14:paraId="69C71722"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Respecter les sites culturels ;</w:t>
            </w:r>
          </w:p>
          <w:p w14:paraId="15CF5570"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Tenir compte des nuisances (bruit, poussière) et de la sécurité de la population en organisant le chantier ;</w:t>
            </w:r>
          </w:p>
          <w:p w14:paraId="4E0D543F"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Éviter tout rejet des eaux usées dans les rigoles de fondation, les carrières sources de contamination potentielle de la nappe phréatique et de développement des insectes vecteurs de maladie ;</w:t>
            </w:r>
          </w:p>
          <w:p w14:paraId="7065D551" w14:textId="5E64E80C" w:rsidR="005F3FB7" w:rsidRPr="00260790" w:rsidRDefault="00B545C1"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É</w:t>
            </w:r>
            <w:r w:rsidR="005F3FB7" w:rsidRPr="00260790">
              <w:rPr>
                <w:rFonts w:ascii="Times New Roman" w:eastAsia="Times New Roman" w:hAnsi="Times New Roman"/>
                <w:color w:val="000000" w:themeColor="text1"/>
              </w:rPr>
              <w:t>loigner les centres d’entreposage le plus que possible des maisons, des églises, etc. ;</w:t>
            </w:r>
          </w:p>
          <w:p w14:paraId="0DB57BDD"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Arroser pour réduire la propagation de la poussière ;</w:t>
            </w:r>
          </w:p>
          <w:p w14:paraId="065D9572"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Éviter tout rejet d’eaux usées, déversement accidentel ou non d’huile usagée et déversement de polluants sur les sols, dans les eaux superficielles ou souterraines, dans les égouts, les fosses de drainage, etc. ;</w:t>
            </w:r>
          </w:p>
          <w:p w14:paraId="4F3AE6D1"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Installer des structures permettant d’éviter l’obstruction des réseaux d’assainissement pour ne pas exposer le bâtiment à l’inondation ;</w:t>
            </w:r>
          </w:p>
          <w:p w14:paraId="21B5C6CE"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Mettre une couverture au-dessus des débris de chantier destinés au site de décharge ;</w:t>
            </w:r>
          </w:p>
          <w:p w14:paraId="55988F5F"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Prendre et veiller à l’application de mesures de sécurité pour le personnel de chantier ; </w:t>
            </w:r>
          </w:p>
          <w:p w14:paraId="58C114BD"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Prévoir de l’eau potable pour le personnel de chantier.</w:t>
            </w:r>
          </w:p>
          <w:p w14:paraId="02457FB7"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Aménager des installations d’accueil du personnel (aire de repos, cantine…) en tenant compte de l’effectif de pointe du chantier</w:t>
            </w:r>
          </w:p>
          <w:p w14:paraId="3F4135EB"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Assurer le suivi sanitaire du personnel conformément à la règlementation</w:t>
            </w:r>
          </w:p>
          <w:p w14:paraId="43BE592E"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 xml:space="preserve">Mettre en place des dispositions et mesures permettant d’éviter la propagation de la maladie à Coronavirus (SARS </w:t>
            </w:r>
            <w:proofErr w:type="spellStart"/>
            <w:r w:rsidRPr="00260790">
              <w:rPr>
                <w:rFonts w:ascii="Times New Roman" w:eastAsia="Times New Roman" w:hAnsi="Times New Roman"/>
                <w:color w:val="000000" w:themeColor="text1"/>
              </w:rPr>
              <w:t>Cov</w:t>
            </w:r>
            <w:proofErr w:type="spellEnd"/>
            <w:r w:rsidRPr="00260790">
              <w:rPr>
                <w:rFonts w:ascii="Times New Roman" w:eastAsia="Times New Roman" w:hAnsi="Times New Roman"/>
                <w:color w:val="000000" w:themeColor="text1"/>
              </w:rPr>
              <w:t xml:space="preserve"> 2)</w:t>
            </w:r>
          </w:p>
          <w:p w14:paraId="78701E43"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Faire l’état de référence des différents sites occupés pour les besoins de la remise en état de ces sites à la fin des travaux</w:t>
            </w:r>
          </w:p>
          <w:p w14:paraId="0045E768" w14:textId="77777777"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Notifier à l’ADM et Bureau de contrôle de tout incident, accident ou évènement dangereux dans les 24 heures</w:t>
            </w:r>
          </w:p>
          <w:p w14:paraId="507E7239" w14:textId="54BD432A" w:rsidR="005F3FB7" w:rsidRPr="00260790" w:rsidRDefault="005F3FB7" w:rsidP="001748C6">
            <w:pPr>
              <w:numPr>
                <w:ilvl w:val="0"/>
                <w:numId w:val="75"/>
              </w:numPr>
              <w:spacing w:after="0" w:line="240" w:lineRule="auto"/>
              <w:ind w:hanging="332"/>
              <w:rPr>
                <w:rFonts w:ascii="Times New Roman" w:eastAsia="Times New Roman" w:hAnsi="Times New Roman"/>
                <w:color w:val="000000" w:themeColor="text1"/>
              </w:rPr>
            </w:pPr>
            <w:r w:rsidRPr="00260790">
              <w:rPr>
                <w:rFonts w:ascii="Times New Roman" w:eastAsia="Times New Roman" w:hAnsi="Times New Roman"/>
                <w:color w:val="000000" w:themeColor="text1"/>
              </w:rPr>
              <w:t>Assurer l’accueil HSE des travailleurs et une formation continue durant toute la période des travaux</w:t>
            </w:r>
          </w:p>
        </w:tc>
      </w:tr>
    </w:tbl>
    <w:p w14:paraId="38E27996" w14:textId="77777777" w:rsidR="005F3FB7" w:rsidRPr="00260790" w:rsidRDefault="005F3FB7" w:rsidP="00E20250">
      <w:pPr>
        <w:spacing w:line="240" w:lineRule="auto"/>
        <w:ind w:left="360"/>
        <w:jc w:val="both"/>
        <w:rPr>
          <w:rFonts w:ascii="Times New Roman" w:hAnsi="Times New Roman"/>
          <w:b/>
          <w:color w:val="000000" w:themeColor="text1"/>
        </w:rPr>
      </w:pPr>
      <w:bookmarkStart w:id="2603" w:name="_Toc55559800"/>
      <w:bookmarkStart w:id="2604" w:name="_Toc69115771"/>
      <w:bookmarkStart w:id="2605" w:name="_Toc174234519"/>
      <w:bookmarkStart w:id="2606" w:name="_Toc254872688"/>
    </w:p>
    <w:p w14:paraId="635F36F9" w14:textId="6026FED5" w:rsidR="005F3FB7" w:rsidRPr="00260790" w:rsidRDefault="005F3FB7" w:rsidP="001748C6">
      <w:pPr>
        <w:numPr>
          <w:ilvl w:val="0"/>
          <w:numId w:val="96"/>
        </w:numPr>
        <w:spacing w:line="240" w:lineRule="auto"/>
        <w:jc w:val="both"/>
        <w:rPr>
          <w:rFonts w:ascii="Times New Roman" w:hAnsi="Times New Roman"/>
          <w:b/>
          <w:color w:val="000000" w:themeColor="text1"/>
        </w:rPr>
      </w:pPr>
      <w:r w:rsidRPr="00260790">
        <w:rPr>
          <w:rFonts w:ascii="Times New Roman" w:hAnsi="Times New Roman"/>
          <w:b/>
          <w:color w:val="000000" w:themeColor="text1"/>
        </w:rPr>
        <w:lastRenderedPageBreak/>
        <w:t>OBLIGATIONS ENVIRONNEMENTALES ET SOCIALES G</w:t>
      </w:r>
      <w:r w:rsidR="00B545C1" w:rsidRPr="00260790">
        <w:rPr>
          <w:rFonts w:ascii="Times New Roman" w:hAnsi="Times New Roman"/>
          <w:b/>
          <w:color w:val="000000" w:themeColor="text1"/>
        </w:rPr>
        <w:t>ÉNÉ</w:t>
      </w:r>
      <w:r w:rsidRPr="00260790">
        <w:rPr>
          <w:rFonts w:ascii="Times New Roman" w:hAnsi="Times New Roman"/>
          <w:b/>
          <w:color w:val="000000" w:themeColor="text1"/>
        </w:rPr>
        <w:t>RALES DE L’ENTREPRENEUR</w:t>
      </w:r>
      <w:bookmarkEnd w:id="2603"/>
      <w:bookmarkEnd w:id="2604"/>
    </w:p>
    <w:p w14:paraId="56CCD33C" w14:textId="77777777" w:rsidR="005F3FB7" w:rsidRPr="00260790" w:rsidRDefault="005F3FB7" w:rsidP="00E20250">
      <w:pPr>
        <w:keepLines/>
        <w:spacing w:before="48" w:after="48" w:line="240" w:lineRule="auto"/>
        <w:rPr>
          <w:rFonts w:ascii="Times New Roman" w:hAnsi="Times New Roman"/>
          <w:color w:val="000000" w:themeColor="text1"/>
        </w:rPr>
      </w:pPr>
      <w:r w:rsidRPr="00260790">
        <w:rPr>
          <w:rFonts w:ascii="Times New Roman" w:hAnsi="Times New Roman"/>
          <w:color w:val="000000" w:themeColor="text1"/>
        </w:rPr>
        <w:t>Les obligations environnementales et sociales générales de l’Entrepreneur au titre du présent marché comprennent, sans préjudice d'autres dispositions officielles en vigueur :</w:t>
      </w:r>
    </w:p>
    <w:p w14:paraId="0AD08A67" w14:textId="77777777" w:rsidR="005F3FB7" w:rsidRPr="00260790" w:rsidRDefault="005F3FB7" w:rsidP="001748C6">
      <w:pPr>
        <w:keepLines/>
        <w:numPr>
          <w:ilvl w:val="0"/>
          <w:numId w:val="107"/>
        </w:numPr>
        <w:spacing w:before="120" w:after="200" w:line="240" w:lineRule="auto"/>
        <w:jc w:val="both"/>
        <w:rPr>
          <w:rFonts w:ascii="Times New Roman" w:hAnsi="Times New Roman"/>
          <w:color w:val="000000" w:themeColor="text1"/>
        </w:rPr>
      </w:pPr>
      <w:r w:rsidRPr="00260790">
        <w:rPr>
          <w:rFonts w:ascii="Times New Roman" w:hAnsi="Times New Roman"/>
          <w:color w:val="000000" w:themeColor="text1"/>
        </w:rPr>
        <w:t>L’Entrepreneur devra respecter les dispositions légales et réglementaires environnementales et sociales en vigueur au Sénégal, les dispositions contractuelles du présent marché, ainsi que les conditions fixées par les diverses autorisations ou agréments requis ;</w:t>
      </w:r>
    </w:p>
    <w:p w14:paraId="7D5A5094" w14:textId="77777777" w:rsidR="005F3FB7" w:rsidRPr="00260790" w:rsidRDefault="005F3FB7" w:rsidP="001748C6">
      <w:pPr>
        <w:keepLines/>
        <w:numPr>
          <w:ilvl w:val="0"/>
          <w:numId w:val="107"/>
        </w:numPr>
        <w:spacing w:before="120" w:after="200" w:line="240" w:lineRule="auto"/>
        <w:jc w:val="both"/>
        <w:rPr>
          <w:rFonts w:ascii="Times New Roman" w:hAnsi="Times New Roman"/>
          <w:color w:val="000000" w:themeColor="text1"/>
        </w:rPr>
      </w:pPr>
      <w:r w:rsidRPr="00260790">
        <w:rPr>
          <w:rFonts w:ascii="Times New Roman" w:hAnsi="Times New Roman"/>
          <w:color w:val="000000" w:themeColor="text1"/>
        </w:rPr>
        <w:t>L’Entrepreneur prendra en compte les conclusions de l’Étude d’Impact Environnemental et Social (EIES) et du Plan d’Action de Réinstallation (PAR) qui seront réalisés par le Projet dans le cadre de ce présent Marché ;</w:t>
      </w:r>
    </w:p>
    <w:p w14:paraId="0CD242B1" w14:textId="77777777" w:rsidR="005F3FB7" w:rsidRPr="00260790" w:rsidRDefault="005F3FB7" w:rsidP="001748C6">
      <w:pPr>
        <w:keepLines/>
        <w:numPr>
          <w:ilvl w:val="0"/>
          <w:numId w:val="107"/>
        </w:numPr>
        <w:spacing w:before="120" w:after="200" w:line="240" w:lineRule="auto"/>
        <w:jc w:val="both"/>
        <w:rPr>
          <w:rFonts w:ascii="Times New Roman" w:hAnsi="Times New Roman"/>
          <w:color w:val="000000" w:themeColor="text1"/>
        </w:rPr>
      </w:pPr>
      <w:r w:rsidRPr="00260790">
        <w:rPr>
          <w:rFonts w:ascii="Times New Roman" w:hAnsi="Times New Roman"/>
          <w:color w:val="000000" w:themeColor="text1"/>
        </w:rPr>
        <w:t>L’Entrepreneur assumera pleinement et entièrement les conséquences de ses choix et actions; en particulier, et sans préjudice des dispositions réglementaires en vigueur, il assure le cas échéant la réparation à ses frais et selon la technique et les délais les plus appropriés, notamment en regard du degré de sensibilité du site concerné, des dommages causés à l'environnement et aux riverains par le non-respect de sa part des dispositions réglementaires et/ou administratives et/ou des prescriptions techniques applicables, ainsi que le paiement des amendes, dommages et intérêts ou autres pénalités dont il se verrait en charge ;</w:t>
      </w:r>
    </w:p>
    <w:p w14:paraId="79553CC4" w14:textId="77777777" w:rsidR="005F3FB7" w:rsidRPr="00260790" w:rsidRDefault="005F3FB7" w:rsidP="001748C6">
      <w:pPr>
        <w:keepLines/>
        <w:numPr>
          <w:ilvl w:val="0"/>
          <w:numId w:val="107"/>
        </w:numPr>
        <w:spacing w:before="120" w:after="200" w:line="240" w:lineRule="auto"/>
        <w:jc w:val="both"/>
        <w:rPr>
          <w:rFonts w:ascii="Times New Roman" w:hAnsi="Times New Roman"/>
          <w:color w:val="000000" w:themeColor="text1"/>
        </w:rPr>
      </w:pPr>
      <w:r w:rsidRPr="00260790">
        <w:rPr>
          <w:rFonts w:ascii="Times New Roman" w:hAnsi="Times New Roman"/>
          <w:color w:val="000000" w:themeColor="text1"/>
        </w:rPr>
        <w:t>L’Entrepreneur mettra en œuvre tous ses moyens pour assurer la qualité environnementale et sociale des opérations objet du présent marché, et pour ne pas entamer la qualité de vie des populations environnantes ;</w:t>
      </w:r>
    </w:p>
    <w:p w14:paraId="56091B72" w14:textId="77777777" w:rsidR="005F3FB7" w:rsidRPr="00260790" w:rsidRDefault="005F3FB7" w:rsidP="001748C6">
      <w:pPr>
        <w:keepLines/>
        <w:numPr>
          <w:ilvl w:val="0"/>
          <w:numId w:val="107"/>
        </w:numPr>
        <w:spacing w:before="120" w:after="200" w:line="240" w:lineRule="auto"/>
        <w:jc w:val="both"/>
        <w:rPr>
          <w:rFonts w:ascii="Times New Roman" w:hAnsi="Times New Roman"/>
          <w:color w:val="000000" w:themeColor="text1"/>
        </w:rPr>
      </w:pPr>
      <w:r w:rsidRPr="00260790">
        <w:rPr>
          <w:rFonts w:ascii="Times New Roman" w:hAnsi="Times New Roman"/>
          <w:color w:val="000000" w:themeColor="text1"/>
        </w:rPr>
        <w:t>L’Entrepreneur mettra en place une stratégie environnementale et sociale interne à ses services pour s'acquitter de ses obligations en la matière, stratégie incluant notamment :</w:t>
      </w:r>
    </w:p>
    <w:p w14:paraId="366EC226" w14:textId="78AA5D38" w:rsidR="005F3FB7" w:rsidRPr="00260790" w:rsidRDefault="005F3FB7" w:rsidP="001748C6">
      <w:pPr>
        <w:keepLines/>
        <w:numPr>
          <w:ilvl w:val="0"/>
          <w:numId w:val="107"/>
        </w:numPr>
        <w:spacing w:before="120" w:after="200" w:line="240" w:lineRule="auto"/>
        <w:jc w:val="both"/>
        <w:rPr>
          <w:rFonts w:ascii="Times New Roman" w:hAnsi="Times New Roman"/>
          <w:color w:val="000000" w:themeColor="text1"/>
        </w:rPr>
      </w:pPr>
      <w:r w:rsidRPr="00260790">
        <w:rPr>
          <w:rFonts w:ascii="Times New Roman" w:hAnsi="Times New Roman"/>
          <w:color w:val="000000" w:themeColor="text1"/>
        </w:rPr>
        <w:t xml:space="preserve">La mobilisation permanente des spécialistes </w:t>
      </w:r>
      <w:r w:rsidR="00B53C0F" w:rsidRPr="00260790">
        <w:rPr>
          <w:rFonts w:ascii="Times New Roman" w:hAnsi="Times New Roman"/>
          <w:color w:val="000000" w:themeColor="text1"/>
        </w:rPr>
        <w:t>(</w:t>
      </w:r>
      <w:r w:rsidR="001C3644" w:rsidRPr="00260790">
        <w:rPr>
          <w:rFonts w:ascii="Times New Roman" w:hAnsi="Times New Roman"/>
          <w:color w:val="000000" w:themeColor="text1"/>
        </w:rPr>
        <w:t xml:space="preserve">spécialiste en </w:t>
      </w:r>
      <w:r w:rsidRPr="00260790">
        <w:rPr>
          <w:rFonts w:ascii="Times New Roman" w:hAnsi="Times New Roman"/>
          <w:color w:val="000000" w:themeColor="text1"/>
        </w:rPr>
        <w:t>environnement</w:t>
      </w:r>
      <w:r w:rsidR="001C3644" w:rsidRPr="00260790">
        <w:rPr>
          <w:rFonts w:ascii="Times New Roman" w:hAnsi="Times New Roman"/>
          <w:color w:val="000000" w:themeColor="text1"/>
        </w:rPr>
        <w:t xml:space="preserve">, spécialiste </w:t>
      </w:r>
      <w:proofErr w:type="gramStart"/>
      <w:r w:rsidR="001C3644" w:rsidRPr="00260790">
        <w:rPr>
          <w:rFonts w:ascii="Times New Roman" w:hAnsi="Times New Roman"/>
          <w:color w:val="000000" w:themeColor="text1"/>
        </w:rPr>
        <w:t xml:space="preserve">en </w:t>
      </w:r>
      <w:r w:rsidRPr="00260790">
        <w:rPr>
          <w:rFonts w:ascii="Times New Roman" w:hAnsi="Times New Roman"/>
          <w:color w:val="000000" w:themeColor="text1"/>
        </w:rPr>
        <w:t xml:space="preserve"> Hygiène</w:t>
      </w:r>
      <w:proofErr w:type="gramEnd"/>
      <w:r w:rsidRPr="00260790">
        <w:rPr>
          <w:rFonts w:ascii="Times New Roman" w:hAnsi="Times New Roman"/>
          <w:color w:val="000000" w:themeColor="text1"/>
        </w:rPr>
        <w:t>, Santé et Sécurité</w:t>
      </w:r>
      <w:r w:rsidR="001C3644" w:rsidRPr="00260790">
        <w:rPr>
          <w:rFonts w:ascii="Times New Roman" w:hAnsi="Times New Roman"/>
          <w:color w:val="000000" w:themeColor="text1"/>
        </w:rPr>
        <w:t xml:space="preserve"> au Travail </w:t>
      </w:r>
      <w:proofErr w:type="gramStart"/>
      <w:r w:rsidR="001C3644" w:rsidRPr="00260790">
        <w:rPr>
          <w:rFonts w:ascii="Times New Roman" w:hAnsi="Times New Roman"/>
          <w:color w:val="000000" w:themeColor="text1"/>
        </w:rPr>
        <w:t xml:space="preserve">et </w:t>
      </w:r>
      <w:r w:rsidRPr="00260790">
        <w:rPr>
          <w:rFonts w:ascii="Times New Roman" w:hAnsi="Times New Roman"/>
          <w:color w:val="000000" w:themeColor="text1"/>
        </w:rPr>
        <w:t xml:space="preserve"> en</w:t>
      </w:r>
      <w:proofErr w:type="gramEnd"/>
      <w:r w:rsidRPr="00260790">
        <w:rPr>
          <w:rFonts w:ascii="Times New Roman" w:hAnsi="Times New Roman"/>
          <w:color w:val="000000" w:themeColor="text1"/>
        </w:rPr>
        <w:t xml:space="preserve"> Ingénierie sociale et Genre) qui doivent être présents à plein temps sur les chantiers pendant les heures de travail ;</w:t>
      </w:r>
    </w:p>
    <w:p w14:paraId="521B0E8F" w14:textId="77777777" w:rsidR="005F3FB7" w:rsidRPr="00260790" w:rsidRDefault="005F3FB7" w:rsidP="001748C6">
      <w:pPr>
        <w:keepLines/>
        <w:numPr>
          <w:ilvl w:val="0"/>
          <w:numId w:val="107"/>
        </w:numPr>
        <w:spacing w:before="120" w:after="200" w:line="240" w:lineRule="auto"/>
        <w:jc w:val="both"/>
        <w:rPr>
          <w:rFonts w:ascii="Times New Roman" w:hAnsi="Times New Roman"/>
          <w:color w:val="000000" w:themeColor="text1"/>
        </w:rPr>
      </w:pPr>
      <w:r w:rsidRPr="00260790">
        <w:rPr>
          <w:rFonts w:ascii="Times New Roman" w:hAnsi="Times New Roman"/>
          <w:color w:val="000000" w:themeColor="text1"/>
        </w:rPr>
        <w:t>La mise en place un système intégré environnemental, social, sanitaire et de sécurité conforme aux normes ISO 14001 et ISO 45001 ;</w:t>
      </w:r>
    </w:p>
    <w:p w14:paraId="730A6D38" w14:textId="77777777" w:rsidR="005F3FB7" w:rsidRPr="00260790" w:rsidRDefault="005F3FB7" w:rsidP="001748C6">
      <w:pPr>
        <w:keepLines/>
        <w:numPr>
          <w:ilvl w:val="0"/>
          <w:numId w:val="107"/>
        </w:numPr>
        <w:spacing w:before="120" w:after="200" w:line="240" w:lineRule="auto"/>
        <w:jc w:val="both"/>
        <w:rPr>
          <w:rFonts w:ascii="Times New Roman" w:hAnsi="Times New Roman"/>
          <w:color w:val="000000" w:themeColor="text1"/>
        </w:rPr>
      </w:pPr>
      <w:r w:rsidRPr="00260790">
        <w:rPr>
          <w:rFonts w:ascii="Times New Roman" w:hAnsi="Times New Roman"/>
          <w:color w:val="000000" w:themeColor="text1"/>
        </w:rPr>
        <w:t xml:space="preserve">L’Entrepreneur soumettra avant toute mise en œuvre des activités d’aménagement du site ou la livraison des matériaux sur le site un Plan de Gestion Environnementale et sociale, un Plan Hygiène et Sécurité (PHS), un Plan d’Intervention d’Urgence. </w:t>
      </w:r>
    </w:p>
    <w:p w14:paraId="720D0569" w14:textId="6A5E0DA4" w:rsidR="005F3FB7" w:rsidRPr="00260790" w:rsidRDefault="005F3FB7" w:rsidP="001748C6">
      <w:pPr>
        <w:keepLines/>
        <w:numPr>
          <w:ilvl w:val="0"/>
          <w:numId w:val="107"/>
        </w:numPr>
        <w:spacing w:before="120" w:after="200" w:line="240" w:lineRule="auto"/>
        <w:jc w:val="both"/>
        <w:rPr>
          <w:rFonts w:ascii="Times New Roman" w:hAnsi="Times New Roman"/>
          <w:color w:val="000000" w:themeColor="text1"/>
        </w:rPr>
      </w:pPr>
      <w:r w:rsidRPr="00260790">
        <w:rPr>
          <w:rFonts w:ascii="Times New Roman" w:hAnsi="Times New Roman"/>
          <w:color w:val="000000" w:themeColor="text1"/>
        </w:rPr>
        <w:t>Le contrôle régulier du respect des dispositions environnementales et sociales de toute nature prescrite, et le suivi environnemental et social ;</w:t>
      </w:r>
    </w:p>
    <w:p w14:paraId="789587F3" w14:textId="77777777" w:rsidR="005F3FB7" w:rsidRPr="00260790" w:rsidRDefault="005F3FB7" w:rsidP="001748C6">
      <w:pPr>
        <w:keepLines/>
        <w:numPr>
          <w:ilvl w:val="0"/>
          <w:numId w:val="107"/>
        </w:numPr>
        <w:spacing w:before="120" w:after="200" w:line="240" w:lineRule="auto"/>
        <w:jc w:val="both"/>
        <w:rPr>
          <w:rFonts w:ascii="Times New Roman" w:hAnsi="Times New Roman"/>
          <w:color w:val="000000" w:themeColor="text1"/>
        </w:rPr>
      </w:pPr>
      <w:r w:rsidRPr="00260790">
        <w:rPr>
          <w:rFonts w:ascii="Times New Roman" w:hAnsi="Times New Roman"/>
          <w:color w:val="000000" w:themeColor="text1"/>
        </w:rPr>
        <w:t>L'information systématique de l’Ingénieur pour chaque incident ou accident, dommage, dégradation causée à l'environnement ou aux résidents ou à leurs biens physiques dans le cadre des travaux, ainsi que sa consignation dans un répertoire spécifique contresigné par l’Ingénieur et dans le journal de chantier ;</w:t>
      </w:r>
    </w:p>
    <w:p w14:paraId="1B8D6A65" w14:textId="77777777" w:rsidR="005F3FB7" w:rsidRPr="00260790" w:rsidRDefault="005F3FB7" w:rsidP="001748C6">
      <w:pPr>
        <w:keepLines/>
        <w:numPr>
          <w:ilvl w:val="0"/>
          <w:numId w:val="107"/>
        </w:numPr>
        <w:spacing w:before="48" w:after="48" w:line="240" w:lineRule="auto"/>
        <w:contextualSpacing/>
        <w:jc w:val="both"/>
        <w:rPr>
          <w:rFonts w:ascii="Times New Roman" w:hAnsi="Times New Roman"/>
          <w:color w:val="000000" w:themeColor="text1"/>
        </w:rPr>
      </w:pPr>
      <w:r w:rsidRPr="00260790">
        <w:rPr>
          <w:rFonts w:ascii="Times New Roman" w:hAnsi="Times New Roman"/>
          <w:color w:val="000000" w:themeColor="text1"/>
        </w:rPr>
        <w:t>L’Entrepreneur prendra en compte les aspects genre dans la mise en œuvre de ses activités au même titre que ceux de l’hygiène, la sécurité et l’environnement. Elle veillera entre autres mesures à imposer dans les bases vie des règles strictes qui visent à protéger les mineurs et les personnes vulnérables, à mettre en place un Mécanisme de Gestion des Plaintes et réclamations (MGP), y compris les types de réclamations devant être enregistrées et la manière d’assurer la confidentialité, particulièrement la protection de toute personne rapportant des accusations d’AES. Elle assurera la Prévention et le traitement d’AES.</w:t>
      </w:r>
    </w:p>
    <w:p w14:paraId="1B375493" w14:textId="77777777" w:rsidR="005F3FB7" w:rsidRPr="00260790" w:rsidRDefault="005F3FB7" w:rsidP="001748C6">
      <w:pPr>
        <w:keepLines/>
        <w:numPr>
          <w:ilvl w:val="0"/>
          <w:numId w:val="107"/>
        </w:numPr>
        <w:spacing w:before="120" w:after="200" w:line="240" w:lineRule="auto"/>
        <w:jc w:val="both"/>
        <w:rPr>
          <w:rFonts w:ascii="Times New Roman" w:hAnsi="Times New Roman"/>
          <w:color w:val="000000" w:themeColor="text1"/>
        </w:rPr>
      </w:pPr>
      <w:r w:rsidRPr="00260790">
        <w:rPr>
          <w:rFonts w:ascii="Times New Roman" w:hAnsi="Times New Roman"/>
          <w:color w:val="000000" w:themeColor="text1"/>
        </w:rPr>
        <w:t>L'information et la formation appropriée de ses personnels, cadres compris, en vue de la sécurisation et/ou de la qualité des opérations ;</w:t>
      </w:r>
    </w:p>
    <w:p w14:paraId="34B44180" w14:textId="77777777" w:rsidR="005F3FB7" w:rsidRPr="00260790" w:rsidRDefault="005F3FB7" w:rsidP="001748C6">
      <w:pPr>
        <w:keepLines/>
        <w:numPr>
          <w:ilvl w:val="0"/>
          <w:numId w:val="107"/>
        </w:numPr>
        <w:spacing w:before="120" w:after="200" w:line="240" w:lineRule="auto"/>
        <w:jc w:val="both"/>
        <w:rPr>
          <w:rFonts w:ascii="Times New Roman" w:hAnsi="Times New Roman"/>
          <w:color w:val="000000" w:themeColor="text1"/>
        </w:rPr>
      </w:pPr>
      <w:r w:rsidRPr="00260790">
        <w:rPr>
          <w:rFonts w:ascii="Times New Roman" w:hAnsi="Times New Roman"/>
          <w:color w:val="000000" w:themeColor="text1"/>
        </w:rPr>
        <w:lastRenderedPageBreak/>
        <w:t>La prise de sanctions appropriées contre ses personnels ne respectant pas les prescriptions et dispositions applicables aux aspects environnementaux et sociaux.</w:t>
      </w:r>
    </w:p>
    <w:p w14:paraId="0241AAE3" w14:textId="77777777" w:rsidR="005F3FB7" w:rsidRPr="00260790" w:rsidRDefault="005F3FB7" w:rsidP="001748C6">
      <w:pPr>
        <w:numPr>
          <w:ilvl w:val="0"/>
          <w:numId w:val="96"/>
        </w:numPr>
        <w:spacing w:line="240" w:lineRule="auto"/>
        <w:jc w:val="both"/>
        <w:rPr>
          <w:rFonts w:ascii="Times New Roman" w:hAnsi="Times New Roman"/>
          <w:b/>
          <w:color w:val="000000" w:themeColor="text1"/>
        </w:rPr>
      </w:pPr>
      <w:bookmarkStart w:id="2607" w:name="_Toc55559801"/>
      <w:bookmarkStart w:id="2608" w:name="_Toc69115772"/>
      <w:r w:rsidRPr="00260790">
        <w:rPr>
          <w:rFonts w:ascii="Times New Roman" w:hAnsi="Times New Roman"/>
          <w:b/>
          <w:color w:val="000000" w:themeColor="text1"/>
        </w:rPr>
        <w:t>OBLIGATIONS ENVIRONNEMENTALES ET SOCIALES PARTICULIERES DE L’ENTREPRENEUR</w:t>
      </w:r>
      <w:bookmarkEnd w:id="2607"/>
      <w:bookmarkEnd w:id="2608"/>
    </w:p>
    <w:p w14:paraId="2C4582B5" w14:textId="77777777" w:rsidR="005F3FB7" w:rsidRPr="00260790" w:rsidRDefault="005F3FB7" w:rsidP="00E20250">
      <w:pPr>
        <w:keepLines/>
        <w:spacing w:before="48" w:after="48" w:line="240" w:lineRule="auto"/>
        <w:jc w:val="both"/>
        <w:rPr>
          <w:rFonts w:ascii="Times New Roman" w:hAnsi="Times New Roman"/>
          <w:color w:val="000000" w:themeColor="text1"/>
        </w:rPr>
      </w:pPr>
      <w:r w:rsidRPr="00260790">
        <w:rPr>
          <w:rFonts w:ascii="Times New Roman" w:hAnsi="Times New Roman"/>
          <w:color w:val="000000" w:themeColor="text1"/>
        </w:rPr>
        <w:t>Les obligations environnementales et sociales particulières de l’Entrepreneur au titre du présent marché comprennent notamment, sans préjudice de l'application des textes officiels en vigueur :</w:t>
      </w:r>
    </w:p>
    <w:p w14:paraId="01B43519" w14:textId="77777777" w:rsidR="005F3FB7" w:rsidRPr="00260790" w:rsidRDefault="005F3FB7" w:rsidP="001748C6">
      <w:pPr>
        <w:keepLines/>
        <w:numPr>
          <w:ilvl w:val="0"/>
          <w:numId w:val="107"/>
        </w:numPr>
        <w:spacing w:before="120" w:after="200"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la</w:t>
      </w:r>
      <w:proofErr w:type="gramEnd"/>
      <w:r w:rsidRPr="00260790">
        <w:rPr>
          <w:rFonts w:ascii="Times New Roman" w:hAnsi="Times New Roman"/>
          <w:color w:val="000000" w:themeColor="text1"/>
        </w:rPr>
        <w:t xml:space="preserve"> reconnaissance des zones, aires, éléments ou périodes sensibles sur le plan environnemental ou social ;</w:t>
      </w:r>
    </w:p>
    <w:p w14:paraId="7965B44E" w14:textId="353E479D" w:rsidR="005F3FB7" w:rsidRPr="00260790" w:rsidRDefault="005F3FB7" w:rsidP="001748C6">
      <w:pPr>
        <w:keepLines/>
        <w:numPr>
          <w:ilvl w:val="0"/>
          <w:numId w:val="107"/>
        </w:numPr>
        <w:spacing w:before="120" w:after="200"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l'utilisation</w:t>
      </w:r>
      <w:proofErr w:type="gramEnd"/>
      <w:r w:rsidRPr="00260790">
        <w:rPr>
          <w:rFonts w:ascii="Times New Roman" w:hAnsi="Times New Roman"/>
          <w:color w:val="000000" w:themeColor="text1"/>
        </w:rPr>
        <w:t xml:space="preserve"> rationnelle et économique de l'eau pour le chantier sans porter concurrence avec l'alimentation en eau des riverains, ainsi que la préservation stricte de leur qualité ;</w:t>
      </w:r>
    </w:p>
    <w:p w14:paraId="4DC30554" w14:textId="77777777" w:rsidR="005F3FB7" w:rsidRPr="00260790" w:rsidRDefault="005F3FB7" w:rsidP="001748C6">
      <w:pPr>
        <w:keepLines/>
        <w:numPr>
          <w:ilvl w:val="0"/>
          <w:numId w:val="107"/>
        </w:numPr>
        <w:spacing w:before="120" w:after="200"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la</w:t>
      </w:r>
      <w:proofErr w:type="gramEnd"/>
      <w:r w:rsidRPr="00260790">
        <w:rPr>
          <w:rFonts w:ascii="Times New Roman" w:hAnsi="Times New Roman"/>
          <w:color w:val="000000" w:themeColor="text1"/>
        </w:rPr>
        <w:t xml:space="preserve"> réalisation de constats initiaux de l'état de surface des sites d'emprise provisoire (toutes catégories), précisant la nature et la qualité du couvert végétal et des sols, les sensibilités éventuelles, </w:t>
      </w:r>
      <w:proofErr w:type="gramStart"/>
      <w:r w:rsidRPr="00260790">
        <w:rPr>
          <w:rFonts w:ascii="Times New Roman" w:hAnsi="Times New Roman"/>
          <w:color w:val="000000" w:themeColor="text1"/>
        </w:rPr>
        <w:t>etc.;</w:t>
      </w:r>
      <w:proofErr w:type="gramEnd"/>
    </w:p>
    <w:p w14:paraId="4DB05523" w14:textId="77777777" w:rsidR="005F3FB7" w:rsidRPr="00260790" w:rsidRDefault="005F3FB7" w:rsidP="001748C6">
      <w:pPr>
        <w:keepLines/>
        <w:numPr>
          <w:ilvl w:val="0"/>
          <w:numId w:val="107"/>
        </w:numPr>
        <w:spacing w:before="120" w:after="200"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la</w:t>
      </w:r>
      <w:proofErr w:type="gramEnd"/>
      <w:r w:rsidRPr="00260790">
        <w:rPr>
          <w:rFonts w:ascii="Times New Roman" w:hAnsi="Times New Roman"/>
          <w:color w:val="000000" w:themeColor="text1"/>
        </w:rPr>
        <w:t xml:space="preserve"> réalisation de constats finaux (réception environnementale et sociale) des sites, précisant notamment leur état par rapport à l'initial, et ce en vue des réceptions de travaux et pour définir les opérations de remise en état puis, le cas échéant, de réhabilitation ou de réaménagement approprié des sites de travaux (drainage éventuel des eaux stagnantes, réalisation des plantations arborées compensatoires, etc.) libérés par l’Entrepreneur au fur et à mesure de l'avancement des travaux ;</w:t>
      </w:r>
    </w:p>
    <w:p w14:paraId="00BEEF98" w14:textId="314E0F41" w:rsidR="005F3FB7" w:rsidRPr="00260790" w:rsidRDefault="005F3FB7" w:rsidP="001748C6">
      <w:pPr>
        <w:keepLines/>
        <w:numPr>
          <w:ilvl w:val="0"/>
          <w:numId w:val="107"/>
        </w:numPr>
        <w:spacing w:before="120" w:after="200"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le</w:t>
      </w:r>
      <w:proofErr w:type="gramEnd"/>
      <w:r w:rsidRPr="00260790">
        <w:rPr>
          <w:rFonts w:ascii="Times New Roman" w:hAnsi="Times New Roman"/>
          <w:color w:val="000000" w:themeColor="text1"/>
        </w:rPr>
        <w:t xml:space="preserve"> contrôle des risques pour la santé propre aux travaux et au personnel de l’Entrepreneur, notamment l'adoption de règles d'hygiène minimale sur son installation et vis-à-vis des riverains, le contrôle par arrosage des envols de poussière en zones habitées et le contrôle des eaux stagnantes ;</w:t>
      </w:r>
    </w:p>
    <w:p w14:paraId="37FA3F75" w14:textId="1AABF374" w:rsidR="005F3FB7" w:rsidRPr="00260790" w:rsidRDefault="005F3FB7" w:rsidP="001748C6">
      <w:pPr>
        <w:keepLines/>
        <w:numPr>
          <w:ilvl w:val="0"/>
          <w:numId w:val="107"/>
        </w:numPr>
        <w:spacing w:before="120" w:after="200"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l’Entrepreneur</w:t>
      </w:r>
      <w:proofErr w:type="gramEnd"/>
      <w:r w:rsidRPr="00260790">
        <w:rPr>
          <w:rFonts w:ascii="Times New Roman" w:hAnsi="Times New Roman"/>
          <w:color w:val="000000" w:themeColor="text1"/>
        </w:rPr>
        <w:t xml:space="preserve"> doit organiser des réunions afin d’informer les villageois sur le démarrage et la nature des travaux prévus, leur durée et toute conséquence qu’ils pourraient comporter, notamment la poussière, la fumée ou le bruit, qui pourrait être ressenti par les populations environnantes, ainsi que sur les mesures d’atténuation éventuelles ;</w:t>
      </w:r>
    </w:p>
    <w:p w14:paraId="16614FE9" w14:textId="77777777" w:rsidR="005F3FB7" w:rsidRPr="00260790" w:rsidRDefault="005F3FB7" w:rsidP="001748C6">
      <w:pPr>
        <w:keepLines/>
        <w:numPr>
          <w:ilvl w:val="0"/>
          <w:numId w:val="107"/>
        </w:numPr>
        <w:spacing w:before="120" w:after="200" w:line="240" w:lineRule="auto"/>
        <w:jc w:val="both"/>
        <w:rPr>
          <w:rFonts w:ascii="Times New Roman" w:hAnsi="Times New Roman"/>
          <w:color w:val="000000" w:themeColor="text1"/>
        </w:rPr>
      </w:pPr>
      <w:r w:rsidRPr="00260790">
        <w:rPr>
          <w:rFonts w:ascii="Times New Roman" w:hAnsi="Times New Roman"/>
          <w:color w:val="000000" w:themeColor="text1"/>
        </w:rPr>
        <w:t>Tous les véhicules de chantier doivent circuler à faible allure (25 km/h au maximum), dans un rayon de 100 m de part et d’autre de là où des enfants sont ou pourraient être présents ;</w:t>
      </w:r>
    </w:p>
    <w:p w14:paraId="2E436BDF" w14:textId="77777777" w:rsidR="005F3FB7" w:rsidRPr="00260790" w:rsidRDefault="005F3FB7" w:rsidP="001748C6">
      <w:pPr>
        <w:keepLines/>
        <w:numPr>
          <w:ilvl w:val="0"/>
          <w:numId w:val="107"/>
        </w:numPr>
        <w:spacing w:before="120" w:after="200"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la</w:t>
      </w:r>
      <w:proofErr w:type="gramEnd"/>
      <w:r w:rsidRPr="00260790">
        <w:rPr>
          <w:rFonts w:ascii="Times New Roman" w:hAnsi="Times New Roman"/>
          <w:color w:val="000000" w:themeColor="text1"/>
        </w:rPr>
        <w:t xml:space="preserve"> minimisation des pollutions et des nuisances générées par les travaux ;</w:t>
      </w:r>
    </w:p>
    <w:p w14:paraId="6B8E15C3" w14:textId="77777777" w:rsidR="005F3FB7" w:rsidRPr="00260790" w:rsidRDefault="005F3FB7" w:rsidP="001748C6">
      <w:pPr>
        <w:keepLines/>
        <w:numPr>
          <w:ilvl w:val="0"/>
          <w:numId w:val="107"/>
        </w:numPr>
        <w:spacing w:before="120" w:after="200"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l'interdiction</w:t>
      </w:r>
      <w:proofErr w:type="gramEnd"/>
      <w:r w:rsidRPr="00260790">
        <w:rPr>
          <w:rFonts w:ascii="Times New Roman" w:hAnsi="Times New Roman"/>
          <w:color w:val="000000" w:themeColor="text1"/>
        </w:rPr>
        <w:t xml:space="preserve"> stricte de recours au feu pour le débroussaillage et le nettoyage des sites ;</w:t>
      </w:r>
    </w:p>
    <w:p w14:paraId="44E5CC2E" w14:textId="77777777" w:rsidR="005F3FB7" w:rsidRPr="00260790" w:rsidRDefault="005F3FB7" w:rsidP="001748C6">
      <w:pPr>
        <w:keepLines/>
        <w:numPr>
          <w:ilvl w:val="0"/>
          <w:numId w:val="107"/>
        </w:numPr>
        <w:spacing w:before="120" w:after="200"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la</w:t>
      </w:r>
      <w:proofErr w:type="gramEnd"/>
      <w:r w:rsidRPr="00260790">
        <w:rPr>
          <w:rFonts w:ascii="Times New Roman" w:hAnsi="Times New Roman"/>
          <w:color w:val="000000" w:themeColor="text1"/>
        </w:rPr>
        <w:t xml:space="preserve"> préservation maximale des ressources naturelles, et l'économie des consommations d'espace, de sol et de végétation ; </w:t>
      </w:r>
    </w:p>
    <w:p w14:paraId="3ED6E1BE" w14:textId="77777777" w:rsidR="005F3FB7" w:rsidRPr="00260790" w:rsidRDefault="005F3FB7" w:rsidP="001748C6">
      <w:pPr>
        <w:keepLines/>
        <w:numPr>
          <w:ilvl w:val="0"/>
          <w:numId w:val="107"/>
        </w:numPr>
        <w:spacing w:before="120" w:after="200"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l'arrosage</w:t>
      </w:r>
      <w:proofErr w:type="gramEnd"/>
      <w:r w:rsidRPr="00260790">
        <w:rPr>
          <w:rFonts w:ascii="Times New Roman" w:hAnsi="Times New Roman"/>
          <w:color w:val="000000" w:themeColor="text1"/>
        </w:rPr>
        <w:t>, l'entretien et le remplacement éventuel des plants mis en place dans le cadre des travaux objet du présent marché, durant la période des travaux et durant la période de garantie.</w:t>
      </w:r>
    </w:p>
    <w:p w14:paraId="549F187A" w14:textId="77777777" w:rsidR="005F3FB7" w:rsidRPr="00260790" w:rsidRDefault="005F3FB7" w:rsidP="00E20250">
      <w:pPr>
        <w:spacing w:after="0" w:line="240" w:lineRule="auto"/>
        <w:rPr>
          <w:rFonts w:ascii="Times New Roman" w:hAnsi="Times New Roman"/>
          <w:b/>
          <w:color w:val="000000" w:themeColor="text1"/>
        </w:rPr>
      </w:pPr>
      <w:bookmarkStart w:id="2609" w:name="_Toc55559802"/>
      <w:bookmarkStart w:id="2610" w:name="_Toc69115773"/>
      <w:r w:rsidRPr="00260790">
        <w:rPr>
          <w:rFonts w:ascii="Times New Roman" w:hAnsi="Times New Roman"/>
          <w:b/>
          <w:color w:val="000000" w:themeColor="text1"/>
        </w:rPr>
        <w:br w:type="page"/>
      </w:r>
    </w:p>
    <w:p w14:paraId="767AF415" w14:textId="5CCBE19D" w:rsidR="005F3FB7" w:rsidRPr="00260790" w:rsidRDefault="005F3FB7" w:rsidP="001748C6">
      <w:pPr>
        <w:numPr>
          <w:ilvl w:val="0"/>
          <w:numId w:val="96"/>
        </w:numPr>
        <w:spacing w:line="240" w:lineRule="auto"/>
        <w:jc w:val="both"/>
        <w:rPr>
          <w:rFonts w:ascii="Times New Roman" w:hAnsi="Times New Roman"/>
          <w:b/>
          <w:color w:val="000000" w:themeColor="text1"/>
        </w:rPr>
      </w:pPr>
      <w:r w:rsidRPr="00260790">
        <w:rPr>
          <w:rFonts w:ascii="Times New Roman" w:hAnsi="Times New Roman"/>
          <w:b/>
          <w:color w:val="000000" w:themeColor="text1"/>
        </w:rPr>
        <w:lastRenderedPageBreak/>
        <w:t>DISPOSITIONS SPÉCIFIQUES POUR L’EX</w:t>
      </w:r>
      <w:r w:rsidR="00610151" w:rsidRPr="00260790">
        <w:rPr>
          <w:rFonts w:ascii="Times New Roman" w:hAnsi="Times New Roman"/>
          <w:b/>
          <w:color w:val="000000" w:themeColor="text1"/>
        </w:rPr>
        <w:t>É</w:t>
      </w:r>
      <w:r w:rsidRPr="00260790">
        <w:rPr>
          <w:rFonts w:ascii="Times New Roman" w:hAnsi="Times New Roman"/>
          <w:b/>
          <w:color w:val="000000" w:themeColor="text1"/>
        </w:rPr>
        <w:t>CUTION DES SP</w:t>
      </w:r>
      <w:r w:rsidR="00610151" w:rsidRPr="00260790">
        <w:rPr>
          <w:rFonts w:ascii="Times New Roman" w:hAnsi="Times New Roman"/>
          <w:b/>
          <w:color w:val="000000" w:themeColor="text1"/>
        </w:rPr>
        <w:t>É</w:t>
      </w:r>
      <w:r w:rsidRPr="00260790">
        <w:rPr>
          <w:rFonts w:ascii="Times New Roman" w:hAnsi="Times New Roman"/>
          <w:b/>
          <w:color w:val="000000" w:themeColor="text1"/>
        </w:rPr>
        <w:t>CIFICATIONS ENVIRONNEMENTALES ET SOCIALES</w:t>
      </w:r>
      <w:bookmarkEnd w:id="2609"/>
      <w:bookmarkEnd w:id="2610"/>
    </w:p>
    <w:p w14:paraId="65F2BBD1" w14:textId="77777777" w:rsidR="005F3FB7" w:rsidRPr="00260790" w:rsidRDefault="005F3FB7" w:rsidP="001748C6">
      <w:pPr>
        <w:numPr>
          <w:ilvl w:val="1"/>
          <w:numId w:val="96"/>
        </w:numPr>
        <w:spacing w:line="240" w:lineRule="auto"/>
        <w:rPr>
          <w:rFonts w:ascii="Times New Roman" w:hAnsi="Times New Roman"/>
          <w:color w:val="000000" w:themeColor="text1"/>
        </w:rPr>
      </w:pPr>
      <w:bookmarkStart w:id="2611" w:name="_Toc55559803"/>
      <w:bookmarkStart w:id="2612" w:name="_Toc69115774"/>
      <w:r w:rsidRPr="00260790">
        <w:rPr>
          <w:rFonts w:ascii="Times New Roman" w:hAnsi="Times New Roman"/>
          <w:b/>
          <w:bCs/>
          <w:color w:val="000000" w:themeColor="text1"/>
        </w:rPr>
        <w:t>Élaboration du</w:t>
      </w:r>
      <w:r w:rsidRPr="00260790">
        <w:rPr>
          <w:rFonts w:ascii="Times New Roman" w:hAnsi="Times New Roman"/>
          <w:b/>
          <w:color w:val="000000" w:themeColor="text1"/>
        </w:rPr>
        <w:t xml:space="preserve"> Plan de Gestion Environnementale et sociale (PGES)</w:t>
      </w:r>
      <w:bookmarkEnd w:id="2611"/>
      <w:bookmarkEnd w:id="2612"/>
      <w:r w:rsidRPr="00260790">
        <w:rPr>
          <w:rFonts w:ascii="Times New Roman" w:hAnsi="Times New Roman"/>
          <w:b/>
          <w:color w:val="000000" w:themeColor="text1"/>
        </w:rPr>
        <w:t xml:space="preserve"> </w:t>
      </w:r>
    </w:p>
    <w:p w14:paraId="2C1C3A3C"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Dans un délai de </w:t>
      </w:r>
      <w:r w:rsidRPr="00260790">
        <w:rPr>
          <w:rFonts w:ascii="Times New Roman" w:eastAsia="MS Mincho" w:hAnsi="Times New Roman"/>
          <w:b/>
          <w:color w:val="000000" w:themeColor="text1"/>
          <w:lang w:eastAsia="ja-JP"/>
        </w:rPr>
        <w:t>30</w:t>
      </w:r>
      <w:r w:rsidRPr="00260790">
        <w:rPr>
          <w:rFonts w:ascii="Times New Roman" w:eastAsia="MS Mincho" w:hAnsi="Times New Roman"/>
          <w:color w:val="000000" w:themeColor="text1"/>
          <w:lang w:eastAsia="ja-JP"/>
        </w:rPr>
        <w:t xml:space="preserve"> jours à compter de la notification de l'attribution du marché, l'Entrepreneur devra établir et soumettre à l'approbation du Maître d’œuvre un </w:t>
      </w:r>
      <w:r w:rsidRPr="00260790">
        <w:rPr>
          <w:rFonts w:ascii="Times New Roman" w:eastAsia="MS Mincho" w:hAnsi="Times New Roman"/>
          <w:b/>
          <w:color w:val="000000" w:themeColor="text1"/>
          <w:lang w:eastAsia="ja-JP"/>
        </w:rPr>
        <w:t xml:space="preserve">Plan de Gestion Environnementale et sociale (PGES) </w:t>
      </w:r>
      <w:r w:rsidRPr="00260790">
        <w:rPr>
          <w:rFonts w:ascii="Times New Roman" w:eastAsia="MS Mincho" w:hAnsi="Times New Roman"/>
          <w:color w:val="000000" w:themeColor="text1"/>
          <w:lang w:eastAsia="ja-JP"/>
        </w:rPr>
        <w:t>pour le chantier, détaillé et comportant les informations suivantes :</w:t>
      </w:r>
    </w:p>
    <w:p w14:paraId="51F2EC8F" w14:textId="77777777" w:rsidR="005F3FB7" w:rsidRPr="00260790" w:rsidRDefault="005F3FB7" w:rsidP="001748C6">
      <w:pPr>
        <w:widowControl w:val="0"/>
        <w:numPr>
          <w:ilvl w:val="1"/>
          <w:numId w:val="78"/>
        </w:numPr>
        <w:spacing w:before="80" w:after="80" w:line="240" w:lineRule="auto"/>
        <w:ind w:left="1434" w:hanging="357"/>
        <w:jc w:val="both"/>
        <w:rPr>
          <w:rFonts w:ascii="Times New Roman" w:eastAsia="MS Mincho" w:hAnsi="Times New Roman"/>
          <w:color w:val="000000" w:themeColor="text1"/>
          <w:lang w:eastAsia="ja-JP"/>
        </w:rPr>
      </w:pPr>
      <w:proofErr w:type="gramStart"/>
      <w:r w:rsidRPr="00260790">
        <w:rPr>
          <w:rFonts w:ascii="Times New Roman" w:eastAsia="MS Mincho" w:hAnsi="Times New Roman"/>
          <w:color w:val="000000" w:themeColor="text1"/>
          <w:lang w:eastAsia="ja-JP"/>
        </w:rPr>
        <w:t>un</w:t>
      </w:r>
      <w:proofErr w:type="gramEnd"/>
      <w:r w:rsidRPr="00260790">
        <w:rPr>
          <w:rFonts w:ascii="Times New Roman" w:eastAsia="MS Mincho" w:hAnsi="Times New Roman"/>
          <w:color w:val="000000" w:themeColor="text1"/>
          <w:lang w:eastAsia="ja-JP"/>
        </w:rPr>
        <w:t xml:space="preserve"> plan d’occupation du sol indiquant l’emplacement de la base-vie et les différentes zones du chantier selon les composantes du projet, les implantations prévues et une description des aménagements ;</w:t>
      </w:r>
    </w:p>
    <w:p w14:paraId="6F69FED7" w14:textId="77777777" w:rsidR="005F3FB7" w:rsidRPr="00260790" w:rsidRDefault="005F3FB7" w:rsidP="001748C6">
      <w:pPr>
        <w:widowControl w:val="0"/>
        <w:numPr>
          <w:ilvl w:val="1"/>
          <w:numId w:val="78"/>
        </w:numPr>
        <w:spacing w:before="80" w:after="80" w:line="240" w:lineRule="auto"/>
        <w:ind w:left="1434" w:hanging="357"/>
        <w:jc w:val="both"/>
        <w:rPr>
          <w:rFonts w:ascii="Times New Roman" w:eastAsia="MS Mincho" w:hAnsi="Times New Roman"/>
          <w:color w:val="000000" w:themeColor="text1"/>
          <w:lang w:eastAsia="ja-JP"/>
        </w:rPr>
      </w:pPr>
      <w:proofErr w:type="gramStart"/>
      <w:r w:rsidRPr="00260790">
        <w:rPr>
          <w:rFonts w:ascii="Times New Roman" w:eastAsia="MS Mincho" w:hAnsi="Times New Roman"/>
          <w:color w:val="000000" w:themeColor="text1"/>
          <w:lang w:eastAsia="ja-JP"/>
        </w:rPr>
        <w:t>l'organigramme</w:t>
      </w:r>
      <w:proofErr w:type="gramEnd"/>
      <w:r w:rsidRPr="00260790">
        <w:rPr>
          <w:rFonts w:ascii="Times New Roman" w:eastAsia="MS Mincho" w:hAnsi="Times New Roman"/>
          <w:color w:val="000000" w:themeColor="text1"/>
          <w:lang w:eastAsia="ja-JP"/>
        </w:rPr>
        <w:t xml:space="preserve"> du personnel dirigeant avec identification claire de la (des) personne(s) responsable(s) de la gestion environnementale et sociale du projet ;</w:t>
      </w:r>
    </w:p>
    <w:p w14:paraId="50627697" w14:textId="77777777" w:rsidR="005F3FB7" w:rsidRPr="00260790" w:rsidRDefault="005F3FB7" w:rsidP="001748C6">
      <w:pPr>
        <w:widowControl w:val="0"/>
        <w:numPr>
          <w:ilvl w:val="1"/>
          <w:numId w:val="78"/>
        </w:numPr>
        <w:spacing w:before="80" w:after="80" w:line="240" w:lineRule="auto"/>
        <w:ind w:left="1434" w:hanging="357"/>
        <w:jc w:val="both"/>
        <w:rPr>
          <w:rFonts w:ascii="Times New Roman" w:eastAsia="MS Mincho" w:hAnsi="Times New Roman"/>
          <w:color w:val="000000" w:themeColor="text1"/>
          <w:lang w:eastAsia="ja-JP"/>
        </w:rPr>
      </w:pPr>
      <w:proofErr w:type="gramStart"/>
      <w:r w:rsidRPr="00260790">
        <w:rPr>
          <w:rFonts w:ascii="Times New Roman" w:eastAsia="MS Mincho" w:hAnsi="Times New Roman"/>
          <w:color w:val="000000" w:themeColor="text1"/>
          <w:lang w:eastAsia="ja-JP"/>
        </w:rPr>
        <w:t>le</w:t>
      </w:r>
      <w:proofErr w:type="gramEnd"/>
      <w:r w:rsidRPr="00260790">
        <w:rPr>
          <w:rFonts w:ascii="Times New Roman" w:eastAsia="MS Mincho" w:hAnsi="Times New Roman"/>
          <w:color w:val="000000" w:themeColor="text1"/>
          <w:lang w:eastAsia="ja-JP"/>
        </w:rPr>
        <w:t xml:space="preserve"> mode et source d'approvisionnement en eau du chantier ;</w:t>
      </w:r>
    </w:p>
    <w:p w14:paraId="6C6C5BB0" w14:textId="77777777" w:rsidR="005F3FB7" w:rsidRPr="00260790" w:rsidRDefault="005F3FB7" w:rsidP="001748C6">
      <w:pPr>
        <w:widowControl w:val="0"/>
        <w:numPr>
          <w:ilvl w:val="1"/>
          <w:numId w:val="78"/>
        </w:numPr>
        <w:spacing w:before="80" w:after="80" w:line="240" w:lineRule="auto"/>
        <w:ind w:left="1434" w:hanging="357"/>
        <w:jc w:val="both"/>
        <w:rPr>
          <w:rFonts w:ascii="Times New Roman" w:eastAsia="MS Mincho" w:hAnsi="Times New Roman"/>
          <w:color w:val="000000" w:themeColor="text1"/>
          <w:lang w:eastAsia="ja-JP"/>
        </w:rPr>
      </w:pPr>
      <w:proofErr w:type="gramStart"/>
      <w:r w:rsidRPr="00260790">
        <w:rPr>
          <w:rFonts w:ascii="Times New Roman" w:eastAsia="MS Mincho" w:hAnsi="Times New Roman"/>
          <w:color w:val="000000" w:themeColor="text1"/>
          <w:lang w:eastAsia="ja-JP"/>
        </w:rPr>
        <w:t>les</w:t>
      </w:r>
      <w:proofErr w:type="gramEnd"/>
      <w:r w:rsidRPr="00260790">
        <w:rPr>
          <w:rFonts w:ascii="Times New Roman" w:eastAsia="MS Mincho" w:hAnsi="Times New Roman"/>
          <w:color w:val="000000" w:themeColor="text1"/>
          <w:lang w:eastAsia="ja-JP"/>
        </w:rPr>
        <w:t xml:space="preserve"> mesures d’hygiène et de sécurité, y compris le règlement interne de chantier ;</w:t>
      </w:r>
    </w:p>
    <w:p w14:paraId="1406712A" w14:textId="77777777" w:rsidR="005F3FB7" w:rsidRPr="00260790" w:rsidRDefault="005F3FB7" w:rsidP="001748C6">
      <w:pPr>
        <w:widowControl w:val="0"/>
        <w:numPr>
          <w:ilvl w:val="1"/>
          <w:numId w:val="78"/>
        </w:numPr>
        <w:spacing w:before="80" w:after="80" w:line="240" w:lineRule="auto"/>
        <w:ind w:left="1434" w:hanging="357"/>
        <w:jc w:val="both"/>
        <w:rPr>
          <w:rFonts w:ascii="Times New Roman" w:eastAsia="MS Mincho" w:hAnsi="Times New Roman"/>
          <w:color w:val="000000" w:themeColor="text1"/>
          <w:lang w:eastAsia="ja-JP"/>
        </w:rPr>
      </w:pPr>
      <w:proofErr w:type="gramStart"/>
      <w:r w:rsidRPr="00260790">
        <w:rPr>
          <w:rFonts w:ascii="Times New Roman" w:eastAsia="MS Mincho" w:hAnsi="Times New Roman"/>
          <w:color w:val="000000" w:themeColor="text1"/>
          <w:lang w:eastAsia="ja-JP"/>
        </w:rPr>
        <w:t>un</w:t>
      </w:r>
      <w:proofErr w:type="gramEnd"/>
      <w:r w:rsidRPr="00260790">
        <w:rPr>
          <w:rFonts w:ascii="Times New Roman" w:eastAsia="MS Mincho" w:hAnsi="Times New Roman"/>
          <w:color w:val="000000" w:themeColor="text1"/>
          <w:lang w:eastAsia="ja-JP"/>
        </w:rPr>
        <w:t xml:space="preserve"> plan de gestion des déchets de chantier (type de déchets prévus, mode de récolte, mode et lieu de stockage, mode et lieu d'élimination) ;</w:t>
      </w:r>
    </w:p>
    <w:p w14:paraId="56302668" w14:textId="77777777" w:rsidR="005F3FB7" w:rsidRPr="00260790" w:rsidRDefault="005F3FB7" w:rsidP="001748C6">
      <w:pPr>
        <w:widowControl w:val="0"/>
        <w:numPr>
          <w:ilvl w:val="1"/>
          <w:numId w:val="78"/>
        </w:numPr>
        <w:spacing w:before="80" w:after="80" w:line="240" w:lineRule="auto"/>
        <w:ind w:left="1434" w:hanging="357"/>
        <w:jc w:val="both"/>
        <w:rPr>
          <w:rFonts w:ascii="Times New Roman" w:eastAsia="MS Mincho" w:hAnsi="Times New Roman"/>
          <w:color w:val="000000" w:themeColor="text1"/>
          <w:lang w:eastAsia="ja-JP"/>
        </w:rPr>
      </w:pPr>
      <w:proofErr w:type="gramStart"/>
      <w:r w:rsidRPr="00260790">
        <w:rPr>
          <w:rFonts w:ascii="Times New Roman" w:eastAsia="MS Mincho" w:hAnsi="Times New Roman"/>
          <w:color w:val="000000" w:themeColor="text1"/>
          <w:lang w:eastAsia="ja-JP"/>
        </w:rPr>
        <w:t>un</w:t>
      </w:r>
      <w:proofErr w:type="gramEnd"/>
      <w:r w:rsidRPr="00260790">
        <w:rPr>
          <w:rFonts w:ascii="Times New Roman" w:eastAsia="MS Mincho" w:hAnsi="Times New Roman"/>
          <w:color w:val="000000" w:themeColor="text1"/>
          <w:lang w:eastAsia="ja-JP"/>
        </w:rPr>
        <w:t xml:space="preserve"> plan de gestion avec les mesures prévues pour éviter et lutter contre les pollutions et les déversements accidentels ;</w:t>
      </w:r>
    </w:p>
    <w:p w14:paraId="103E4EEF" w14:textId="77777777" w:rsidR="005F3FB7" w:rsidRPr="00260790" w:rsidRDefault="005F3FB7" w:rsidP="001748C6">
      <w:pPr>
        <w:widowControl w:val="0"/>
        <w:numPr>
          <w:ilvl w:val="1"/>
          <w:numId w:val="78"/>
        </w:numPr>
        <w:spacing w:before="80" w:after="80" w:line="240" w:lineRule="auto"/>
        <w:ind w:left="1434" w:hanging="357"/>
        <w:jc w:val="both"/>
        <w:rPr>
          <w:rFonts w:ascii="Times New Roman" w:eastAsia="MS Mincho" w:hAnsi="Times New Roman"/>
          <w:color w:val="000000" w:themeColor="text1"/>
          <w:lang w:eastAsia="ja-JP"/>
        </w:rPr>
      </w:pPr>
      <w:proofErr w:type="gramStart"/>
      <w:r w:rsidRPr="00260790">
        <w:rPr>
          <w:rFonts w:ascii="Times New Roman" w:eastAsia="MS Mincho" w:hAnsi="Times New Roman"/>
          <w:color w:val="000000" w:themeColor="text1"/>
          <w:lang w:eastAsia="ja-JP"/>
        </w:rPr>
        <w:t>un</w:t>
      </w:r>
      <w:proofErr w:type="gramEnd"/>
      <w:r w:rsidRPr="00260790">
        <w:rPr>
          <w:rFonts w:ascii="Times New Roman" w:eastAsia="MS Mincho" w:hAnsi="Times New Roman"/>
          <w:color w:val="000000" w:themeColor="text1"/>
          <w:lang w:eastAsia="ja-JP"/>
        </w:rPr>
        <w:t xml:space="preserve"> plan de communication et d'information dirigées vers les populations locales ainsi que vers les autorités locales et nationales.</w:t>
      </w:r>
    </w:p>
    <w:p w14:paraId="4166D08F" w14:textId="1FF84548" w:rsidR="005F3FB7" w:rsidRPr="00260790" w:rsidRDefault="005F3FB7" w:rsidP="001748C6">
      <w:pPr>
        <w:widowControl w:val="0"/>
        <w:numPr>
          <w:ilvl w:val="1"/>
          <w:numId w:val="78"/>
        </w:numPr>
        <w:spacing w:before="80" w:after="80" w:line="240" w:lineRule="auto"/>
        <w:ind w:left="1434" w:hanging="357"/>
        <w:jc w:val="both"/>
        <w:rPr>
          <w:rFonts w:ascii="Times New Roman" w:eastAsia="MS Mincho" w:hAnsi="Times New Roman"/>
          <w:color w:val="000000" w:themeColor="text1"/>
          <w:lang w:eastAsia="ja-JP"/>
        </w:rPr>
      </w:pPr>
      <w:proofErr w:type="gramStart"/>
      <w:r w:rsidRPr="00260790">
        <w:rPr>
          <w:rFonts w:ascii="Times New Roman" w:eastAsia="MS Mincho" w:hAnsi="Times New Roman"/>
          <w:color w:val="000000" w:themeColor="text1"/>
          <w:lang w:eastAsia="ja-JP"/>
        </w:rPr>
        <w:t>un</w:t>
      </w:r>
      <w:proofErr w:type="gramEnd"/>
      <w:r w:rsidRPr="00260790">
        <w:rPr>
          <w:rFonts w:ascii="Times New Roman" w:eastAsia="MS Mincho" w:hAnsi="Times New Roman"/>
          <w:color w:val="000000" w:themeColor="text1"/>
          <w:lang w:eastAsia="ja-JP"/>
        </w:rPr>
        <w:t xml:space="preserve"> mécanisme de gestion des Plaintes pour les travailleurs et les populations riveraines, y compris celles sur les </w:t>
      </w:r>
      <w:r w:rsidR="009D7DDA" w:rsidRPr="00260790">
        <w:rPr>
          <w:rFonts w:ascii="Times New Roman" w:eastAsia="MS Mincho" w:hAnsi="Times New Roman"/>
          <w:color w:val="000000" w:themeColor="text1"/>
          <w:lang w:eastAsia="ja-JP"/>
        </w:rPr>
        <w:t>AES/</w:t>
      </w:r>
      <w:proofErr w:type="gramStart"/>
      <w:r w:rsidR="009D7DDA" w:rsidRPr="00260790">
        <w:rPr>
          <w:rFonts w:ascii="Times New Roman" w:eastAsia="MS Mincho" w:hAnsi="Times New Roman"/>
          <w:color w:val="000000" w:themeColor="text1"/>
          <w:lang w:eastAsia="ja-JP"/>
        </w:rPr>
        <w:t>HS</w:t>
      </w:r>
      <w:r w:rsidRPr="00260790">
        <w:rPr>
          <w:rFonts w:ascii="Times New Roman" w:eastAsia="MS Mincho" w:hAnsi="Times New Roman"/>
          <w:color w:val="000000" w:themeColor="text1"/>
          <w:lang w:eastAsia="ja-JP"/>
        </w:rPr>
        <w:t>;</w:t>
      </w:r>
      <w:proofErr w:type="gramEnd"/>
    </w:p>
    <w:p w14:paraId="205BDE76" w14:textId="77777777" w:rsidR="005F3FB7" w:rsidRPr="00260790" w:rsidRDefault="005F3FB7" w:rsidP="001748C6">
      <w:pPr>
        <w:widowControl w:val="0"/>
        <w:numPr>
          <w:ilvl w:val="1"/>
          <w:numId w:val="78"/>
        </w:numPr>
        <w:spacing w:before="80" w:after="80" w:line="240" w:lineRule="auto"/>
        <w:ind w:left="1434" w:hanging="357"/>
        <w:jc w:val="both"/>
        <w:rPr>
          <w:rFonts w:ascii="Times New Roman" w:eastAsia="MS Mincho" w:hAnsi="Times New Roman"/>
          <w:color w:val="000000" w:themeColor="text1"/>
          <w:lang w:eastAsia="ja-JP"/>
        </w:rPr>
      </w:pPr>
      <w:proofErr w:type="gramStart"/>
      <w:r w:rsidRPr="00260790">
        <w:rPr>
          <w:rFonts w:ascii="Times New Roman" w:eastAsia="MS Mincho" w:hAnsi="Times New Roman"/>
          <w:color w:val="000000" w:themeColor="text1"/>
          <w:lang w:eastAsia="ja-JP"/>
        </w:rPr>
        <w:t>un</w:t>
      </w:r>
      <w:proofErr w:type="gramEnd"/>
      <w:r w:rsidRPr="00260790">
        <w:rPr>
          <w:rFonts w:ascii="Times New Roman" w:eastAsia="MS Mincho" w:hAnsi="Times New Roman"/>
          <w:color w:val="000000" w:themeColor="text1"/>
          <w:lang w:eastAsia="ja-JP"/>
        </w:rPr>
        <w:t xml:space="preserve"> plan de sauvegarde et de protection des ressources culturelles ;</w:t>
      </w:r>
    </w:p>
    <w:p w14:paraId="7F72068B" w14:textId="77777777" w:rsidR="005F3FB7" w:rsidRPr="00260790" w:rsidRDefault="005F3FB7" w:rsidP="001748C6">
      <w:pPr>
        <w:widowControl w:val="0"/>
        <w:numPr>
          <w:ilvl w:val="1"/>
          <w:numId w:val="78"/>
        </w:numPr>
        <w:spacing w:before="80" w:after="80" w:line="240" w:lineRule="auto"/>
        <w:ind w:left="1434" w:hanging="357"/>
        <w:jc w:val="both"/>
        <w:rPr>
          <w:rFonts w:ascii="Times New Roman" w:eastAsia="MS Mincho" w:hAnsi="Times New Roman"/>
          <w:color w:val="000000" w:themeColor="text1"/>
          <w:lang w:eastAsia="ja-JP"/>
        </w:rPr>
      </w:pPr>
      <w:proofErr w:type="gramStart"/>
      <w:r w:rsidRPr="00260790">
        <w:rPr>
          <w:rFonts w:ascii="Times New Roman" w:eastAsia="MS Mincho" w:hAnsi="Times New Roman"/>
          <w:color w:val="000000" w:themeColor="text1"/>
          <w:lang w:eastAsia="ja-JP"/>
        </w:rPr>
        <w:t>les</w:t>
      </w:r>
      <w:proofErr w:type="gramEnd"/>
      <w:r w:rsidRPr="00260790">
        <w:rPr>
          <w:rFonts w:ascii="Times New Roman" w:eastAsia="MS Mincho" w:hAnsi="Times New Roman"/>
          <w:color w:val="000000" w:themeColor="text1"/>
          <w:lang w:eastAsia="ja-JP"/>
        </w:rPr>
        <w:t xml:space="preserve"> mesures de remise en état des lieux à la fin des travaux.</w:t>
      </w:r>
    </w:p>
    <w:p w14:paraId="5471ECBE" w14:textId="074772C1" w:rsidR="005F3FB7" w:rsidRPr="00260790" w:rsidRDefault="005F3FB7" w:rsidP="001748C6">
      <w:pPr>
        <w:numPr>
          <w:ilvl w:val="1"/>
          <w:numId w:val="96"/>
        </w:numPr>
        <w:spacing w:line="240" w:lineRule="auto"/>
        <w:rPr>
          <w:rFonts w:ascii="Times New Roman" w:hAnsi="Times New Roman"/>
          <w:b/>
          <w:bCs/>
          <w:color w:val="000000" w:themeColor="text1"/>
        </w:rPr>
      </w:pPr>
      <w:bookmarkStart w:id="2613" w:name="_Toc55559804"/>
      <w:bookmarkStart w:id="2614" w:name="_Toc69115775"/>
      <w:r w:rsidRPr="00260790">
        <w:rPr>
          <w:rFonts w:ascii="Times New Roman" w:hAnsi="Times New Roman"/>
          <w:b/>
          <w:bCs/>
          <w:color w:val="000000" w:themeColor="text1"/>
        </w:rPr>
        <w:t>Plan Hygiène Santé Sécurité (PHS)</w:t>
      </w:r>
      <w:bookmarkEnd w:id="2613"/>
      <w:bookmarkEnd w:id="2614"/>
    </w:p>
    <w:p w14:paraId="319424BE" w14:textId="77777777" w:rsidR="005F3FB7" w:rsidRPr="00260790" w:rsidRDefault="005F3FB7" w:rsidP="00E20250">
      <w:pPr>
        <w:spacing w:line="240" w:lineRule="auto"/>
        <w:rPr>
          <w:rFonts w:ascii="Times New Roman" w:hAnsi="Times New Roman"/>
          <w:color w:val="000000" w:themeColor="text1"/>
        </w:rPr>
      </w:pPr>
      <w:bookmarkStart w:id="2615" w:name="_Toc55559805"/>
      <w:bookmarkStart w:id="2616" w:name="_Toc69115776"/>
      <w:r w:rsidRPr="00260790">
        <w:rPr>
          <w:rFonts w:ascii="Times New Roman" w:hAnsi="Times New Roman"/>
          <w:color w:val="000000" w:themeColor="text1"/>
        </w:rPr>
        <w:t xml:space="preserve">L’Entrepreneur préparera également le </w:t>
      </w:r>
      <w:r w:rsidRPr="00260790">
        <w:rPr>
          <w:rFonts w:ascii="Times New Roman" w:hAnsi="Times New Roman"/>
          <w:b/>
          <w:color w:val="000000" w:themeColor="text1"/>
        </w:rPr>
        <w:t>Plan Hygiène Sécurité (PHS)</w:t>
      </w:r>
      <w:r w:rsidRPr="00260790">
        <w:rPr>
          <w:rFonts w:ascii="Times New Roman" w:hAnsi="Times New Roman"/>
          <w:color w:val="000000" w:themeColor="text1"/>
        </w:rPr>
        <w:t xml:space="preserve"> qui identifiera et caractérisera :</w:t>
      </w:r>
      <w:bookmarkEnd w:id="2615"/>
      <w:bookmarkEnd w:id="2616"/>
    </w:p>
    <w:p w14:paraId="1B526032" w14:textId="77777777" w:rsidR="005F3FB7" w:rsidRPr="00260790" w:rsidRDefault="005F3FB7" w:rsidP="001748C6">
      <w:pPr>
        <w:numPr>
          <w:ilvl w:val="0"/>
          <w:numId w:val="81"/>
        </w:numPr>
        <w:spacing w:after="0" w:line="240" w:lineRule="auto"/>
        <w:ind w:left="1452" w:hanging="709"/>
        <w:jc w:val="both"/>
        <w:rPr>
          <w:rFonts w:ascii="Times New Roman" w:hAnsi="Times New Roman"/>
          <w:color w:val="000000" w:themeColor="text1"/>
        </w:rPr>
      </w:pPr>
      <w:proofErr w:type="gramStart"/>
      <w:r w:rsidRPr="00260790">
        <w:rPr>
          <w:rFonts w:ascii="Times New Roman" w:hAnsi="Times New Roman"/>
          <w:color w:val="000000" w:themeColor="text1"/>
        </w:rPr>
        <w:t>tous</w:t>
      </w:r>
      <w:proofErr w:type="gramEnd"/>
      <w:r w:rsidRPr="00260790">
        <w:rPr>
          <w:rFonts w:ascii="Times New Roman" w:hAnsi="Times New Roman"/>
          <w:color w:val="000000" w:themeColor="text1"/>
        </w:rPr>
        <w:t xml:space="preserve"> les risques de sécurité et de santé liés à la conduite des travaux, en identifiant les risques spécifiques liés au genre ;</w:t>
      </w:r>
    </w:p>
    <w:p w14:paraId="42412978" w14:textId="77777777" w:rsidR="005F3FB7" w:rsidRPr="00260790" w:rsidRDefault="005F3FB7" w:rsidP="001748C6">
      <w:pPr>
        <w:numPr>
          <w:ilvl w:val="0"/>
          <w:numId w:val="81"/>
        </w:numPr>
        <w:spacing w:after="0" w:line="240" w:lineRule="auto"/>
        <w:ind w:left="1452" w:hanging="709"/>
        <w:jc w:val="both"/>
        <w:rPr>
          <w:rFonts w:ascii="Times New Roman" w:hAnsi="Times New Roman"/>
          <w:color w:val="000000" w:themeColor="text1"/>
        </w:rPr>
      </w:pPr>
      <w:proofErr w:type="gramStart"/>
      <w:r w:rsidRPr="00260790">
        <w:rPr>
          <w:rFonts w:ascii="Times New Roman" w:hAnsi="Times New Roman"/>
          <w:color w:val="000000" w:themeColor="text1"/>
        </w:rPr>
        <w:t>les</w:t>
      </w:r>
      <w:proofErr w:type="gramEnd"/>
      <w:r w:rsidRPr="00260790">
        <w:rPr>
          <w:rFonts w:ascii="Times New Roman" w:hAnsi="Times New Roman"/>
          <w:color w:val="000000" w:themeColor="text1"/>
        </w:rPr>
        <w:t xml:space="preserve"> mesures de prévention et de protection contre les risques prévues pour la conduite des travaux, en distinguant, le cas échéant, les mesures concernant les hommes et les femmes ;</w:t>
      </w:r>
    </w:p>
    <w:p w14:paraId="58E0A920" w14:textId="77777777" w:rsidR="005F3FB7" w:rsidRPr="00260790" w:rsidRDefault="005F3FB7" w:rsidP="001748C6">
      <w:pPr>
        <w:numPr>
          <w:ilvl w:val="0"/>
          <w:numId w:val="81"/>
        </w:numPr>
        <w:spacing w:after="0" w:line="240" w:lineRule="auto"/>
        <w:ind w:left="1452" w:hanging="709"/>
        <w:jc w:val="both"/>
        <w:rPr>
          <w:rFonts w:ascii="Times New Roman" w:hAnsi="Times New Roman"/>
          <w:color w:val="000000" w:themeColor="text1"/>
        </w:rPr>
      </w:pPr>
      <w:proofErr w:type="gramStart"/>
      <w:r w:rsidRPr="00260790">
        <w:rPr>
          <w:rFonts w:ascii="Times New Roman" w:hAnsi="Times New Roman"/>
          <w:color w:val="000000" w:themeColor="text1"/>
        </w:rPr>
        <w:t>les</w:t>
      </w:r>
      <w:proofErr w:type="gramEnd"/>
      <w:r w:rsidRPr="00260790">
        <w:rPr>
          <w:rFonts w:ascii="Times New Roman" w:hAnsi="Times New Roman"/>
          <w:color w:val="000000" w:themeColor="text1"/>
        </w:rPr>
        <w:t xml:space="preserve"> ressources humaines et matérielles impliquées, </w:t>
      </w:r>
    </w:p>
    <w:p w14:paraId="3DC503DF" w14:textId="77777777" w:rsidR="005F3FB7" w:rsidRPr="00260790" w:rsidRDefault="005F3FB7" w:rsidP="001748C6">
      <w:pPr>
        <w:numPr>
          <w:ilvl w:val="0"/>
          <w:numId w:val="81"/>
        </w:numPr>
        <w:spacing w:after="0" w:line="240" w:lineRule="auto"/>
        <w:ind w:left="1452" w:hanging="709"/>
        <w:jc w:val="both"/>
        <w:rPr>
          <w:rFonts w:ascii="Times New Roman" w:hAnsi="Times New Roman"/>
          <w:color w:val="000000" w:themeColor="text1"/>
        </w:rPr>
      </w:pPr>
      <w:proofErr w:type="gramStart"/>
      <w:r w:rsidRPr="00260790">
        <w:rPr>
          <w:rFonts w:ascii="Times New Roman" w:hAnsi="Times New Roman"/>
          <w:color w:val="000000" w:themeColor="text1"/>
        </w:rPr>
        <w:t>les</w:t>
      </w:r>
      <w:proofErr w:type="gramEnd"/>
      <w:r w:rsidRPr="00260790">
        <w:rPr>
          <w:rFonts w:ascii="Times New Roman" w:hAnsi="Times New Roman"/>
          <w:color w:val="000000" w:themeColor="text1"/>
        </w:rPr>
        <w:t xml:space="preserve"> travaux nécessitant des permis de travail, et</w:t>
      </w:r>
    </w:p>
    <w:p w14:paraId="4A325448" w14:textId="77777777" w:rsidR="005F3FB7" w:rsidRPr="00260790" w:rsidRDefault="005F3FB7" w:rsidP="001748C6">
      <w:pPr>
        <w:numPr>
          <w:ilvl w:val="0"/>
          <w:numId w:val="81"/>
        </w:numPr>
        <w:spacing w:after="0" w:line="240" w:lineRule="auto"/>
        <w:ind w:left="1452" w:hanging="709"/>
        <w:jc w:val="both"/>
        <w:rPr>
          <w:rFonts w:ascii="Times New Roman" w:hAnsi="Times New Roman"/>
          <w:color w:val="000000" w:themeColor="text1"/>
        </w:rPr>
      </w:pPr>
      <w:proofErr w:type="gramStart"/>
      <w:r w:rsidRPr="00260790">
        <w:rPr>
          <w:rFonts w:ascii="Times New Roman" w:hAnsi="Times New Roman"/>
          <w:color w:val="000000" w:themeColor="text1"/>
        </w:rPr>
        <w:t>le</w:t>
      </w:r>
      <w:proofErr w:type="gramEnd"/>
      <w:r w:rsidRPr="00260790">
        <w:rPr>
          <w:rFonts w:ascii="Times New Roman" w:hAnsi="Times New Roman"/>
          <w:color w:val="000000" w:themeColor="text1"/>
        </w:rPr>
        <w:t xml:space="preserve"> plan d’intervention d’urgence à mettre en œuvre en cas d’accident.</w:t>
      </w:r>
    </w:p>
    <w:p w14:paraId="07D838EF" w14:textId="77777777" w:rsidR="005F3FB7" w:rsidRPr="00260790" w:rsidRDefault="005F3FB7" w:rsidP="00E20250">
      <w:pPr>
        <w:spacing w:after="0" w:line="240" w:lineRule="auto"/>
        <w:ind w:left="743"/>
        <w:jc w:val="both"/>
        <w:rPr>
          <w:rFonts w:ascii="Times New Roman" w:hAnsi="Times New Roman"/>
          <w:color w:val="000000" w:themeColor="text1"/>
        </w:rPr>
      </w:pPr>
    </w:p>
    <w:p w14:paraId="0D0CD616" w14:textId="77777777" w:rsidR="005F3FB7" w:rsidRPr="00260790" w:rsidRDefault="005F3FB7" w:rsidP="001748C6">
      <w:pPr>
        <w:numPr>
          <w:ilvl w:val="1"/>
          <w:numId w:val="96"/>
        </w:numPr>
        <w:spacing w:line="240" w:lineRule="auto"/>
        <w:rPr>
          <w:rFonts w:ascii="Times New Roman" w:hAnsi="Times New Roman"/>
          <w:b/>
          <w:bCs/>
          <w:color w:val="000000" w:themeColor="text1"/>
        </w:rPr>
      </w:pPr>
      <w:bookmarkStart w:id="2617" w:name="_Toc55559806"/>
      <w:bookmarkStart w:id="2618" w:name="_Toc69115777"/>
      <w:r w:rsidRPr="00260790">
        <w:rPr>
          <w:rFonts w:ascii="Times New Roman" w:hAnsi="Times New Roman"/>
          <w:b/>
          <w:bCs/>
          <w:color w:val="000000" w:themeColor="text1"/>
        </w:rPr>
        <w:t>Responsables de l’Environnement, Hygiène Santé Sécurité et du Social</w:t>
      </w:r>
      <w:bookmarkEnd w:id="2617"/>
      <w:bookmarkEnd w:id="2618"/>
    </w:p>
    <w:p w14:paraId="407DB261" w14:textId="77777777" w:rsidR="005F3FB7" w:rsidRPr="00260790" w:rsidRDefault="005F3FB7" w:rsidP="00E20250">
      <w:pPr>
        <w:keepLines/>
        <w:spacing w:before="48" w:after="48" w:line="240" w:lineRule="auto"/>
        <w:jc w:val="both"/>
        <w:rPr>
          <w:rFonts w:ascii="Times New Roman" w:hAnsi="Times New Roman"/>
          <w:color w:val="000000" w:themeColor="text1"/>
        </w:rPr>
      </w:pPr>
      <w:r w:rsidRPr="00260790">
        <w:rPr>
          <w:rFonts w:ascii="Times New Roman" w:hAnsi="Times New Roman"/>
          <w:color w:val="000000" w:themeColor="text1"/>
        </w:rPr>
        <w:t>Afin de veiller au respect de ses engagements en matière d’environnement, de social d’hygiène de santé et sécurité et à la mise en œuvre des mesures contenues dans sa stratégie et le PGES Chantier, l’Entrepreneur doit désigner l’Environnementaliste, l’Expert Hygiène, Santé et Sécurité (HSS) et l’Expert en Ingénierie sociale et Genre.</w:t>
      </w:r>
    </w:p>
    <w:p w14:paraId="31310968" w14:textId="77777777" w:rsidR="005F3FB7" w:rsidRPr="00260790" w:rsidRDefault="005F3FB7" w:rsidP="0048082D">
      <w:pPr>
        <w:tabs>
          <w:tab w:val="left" w:pos="284"/>
        </w:tabs>
        <w:spacing w:before="60" w:after="0" w:line="240" w:lineRule="auto"/>
        <w:jc w:val="both"/>
        <w:rPr>
          <w:rFonts w:ascii="Times New Roman" w:hAnsi="Times New Roman"/>
          <w:b/>
          <w:color w:val="000000" w:themeColor="text1"/>
          <w:lang w:eastAsia="x-none"/>
        </w:rPr>
      </w:pPr>
    </w:p>
    <w:p w14:paraId="4142B046" w14:textId="77777777" w:rsidR="005F3FB7" w:rsidRPr="00260790" w:rsidRDefault="005F3FB7" w:rsidP="00E20250">
      <w:pPr>
        <w:tabs>
          <w:tab w:val="left" w:pos="284"/>
        </w:tabs>
        <w:spacing w:before="60" w:line="240" w:lineRule="auto"/>
        <w:jc w:val="both"/>
        <w:rPr>
          <w:rFonts w:ascii="Times New Roman" w:hAnsi="Times New Roman"/>
          <w:color w:val="000000" w:themeColor="text1"/>
        </w:rPr>
      </w:pPr>
      <w:r w:rsidRPr="00260790">
        <w:rPr>
          <w:rFonts w:ascii="Times New Roman" w:hAnsi="Times New Roman"/>
          <w:b/>
          <w:color w:val="000000" w:themeColor="text1"/>
          <w:lang w:eastAsia="x-none"/>
        </w:rPr>
        <w:t xml:space="preserve">L’environnementaliste </w:t>
      </w:r>
      <w:r w:rsidRPr="00260790">
        <w:rPr>
          <w:rFonts w:ascii="Times New Roman" w:hAnsi="Times New Roman"/>
          <w:color w:val="000000" w:themeColor="text1"/>
        </w:rPr>
        <w:t>est chargé de veiller à la mise en œuvre des précautions et des mesures environnementales et sociales.</w:t>
      </w:r>
    </w:p>
    <w:p w14:paraId="367150EF" w14:textId="3AC71977" w:rsidR="005F3FB7" w:rsidRPr="00260790" w:rsidRDefault="005F3FB7" w:rsidP="00E20250">
      <w:pPr>
        <w:tabs>
          <w:tab w:val="left" w:pos="284"/>
        </w:tabs>
        <w:spacing w:before="60" w:line="240" w:lineRule="auto"/>
        <w:jc w:val="both"/>
        <w:rPr>
          <w:rFonts w:ascii="Times New Roman" w:hAnsi="Times New Roman"/>
          <w:color w:val="000000" w:themeColor="text1"/>
          <w:lang w:eastAsia="x-none"/>
        </w:rPr>
      </w:pPr>
      <w:r w:rsidRPr="00260790">
        <w:rPr>
          <w:rFonts w:ascii="Times New Roman" w:hAnsi="Times New Roman"/>
          <w:b/>
          <w:color w:val="000000" w:themeColor="text1"/>
          <w:lang w:eastAsia="x-none"/>
        </w:rPr>
        <w:t>L</w:t>
      </w:r>
      <w:r w:rsidR="004D4294" w:rsidRPr="00260790">
        <w:rPr>
          <w:rFonts w:ascii="Times New Roman" w:hAnsi="Times New Roman"/>
          <w:b/>
          <w:color w:val="000000" w:themeColor="text1"/>
          <w:lang w:eastAsia="x-none"/>
        </w:rPr>
        <w:t>e spécialiste en</w:t>
      </w:r>
      <w:r w:rsidRPr="00260790">
        <w:rPr>
          <w:rFonts w:ascii="Times New Roman" w:hAnsi="Times New Roman"/>
          <w:b/>
          <w:color w:val="000000" w:themeColor="text1"/>
          <w:lang w:eastAsia="x-none"/>
        </w:rPr>
        <w:t xml:space="preserve"> Hygiène, Santé et Sécurité (HSS) </w:t>
      </w:r>
      <w:r w:rsidRPr="00260790">
        <w:rPr>
          <w:rFonts w:ascii="Times New Roman" w:hAnsi="Times New Roman"/>
          <w:color w:val="000000" w:themeColor="text1"/>
        </w:rPr>
        <w:t>veillera à ce que les règles d’hygiène, de sécurité et de protection de l’environnement soient rigoureusement suivies par tout son personnel aussi bien que les personnes en contact avec le chantier.</w:t>
      </w:r>
    </w:p>
    <w:p w14:paraId="343AC30E" w14:textId="0328C845" w:rsidR="005F3FB7" w:rsidRPr="00260790" w:rsidRDefault="005F3FB7" w:rsidP="00E20250">
      <w:pPr>
        <w:tabs>
          <w:tab w:val="left" w:pos="284"/>
        </w:tabs>
        <w:spacing w:before="60" w:line="240" w:lineRule="auto"/>
        <w:jc w:val="both"/>
        <w:rPr>
          <w:rFonts w:ascii="Times New Roman" w:hAnsi="Times New Roman"/>
          <w:color w:val="000000" w:themeColor="text1"/>
          <w:lang w:eastAsia="x-none"/>
        </w:rPr>
      </w:pPr>
      <w:r w:rsidRPr="00260790">
        <w:rPr>
          <w:rFonts w:ascii="Times New Roman" w:hAnsi="Times New Roman"/>
          <w:b/>
          <w:color w:val="000000" w:themeColor="text1"/>
          <w:lang w:eastAsia="x-none"/>
        </w:rPr>
        <w:lastRenderedPageBreak/>
        <w:t>L</w:t>
      </w:r>
      <w:r w:rsidR="004D4294" w:rsidRPr="00260790">
        <w:rPr>
          <w:rFonts w:ascii="Times New Roman" w:hAnsi="Times New Roman"/>
          <w:b/>
          <w:color w:val="000000" w:themeColor="text1"/>
          <w:lang w:eastAsia="x-none"/>
        </w:rPr>
        <w:t xml:space="preserve">e spécialiste </w:t>
      </w:r>
      <w:r w:rsidRPr="00260790">
        <w:rPr>
          <w:rFonts w:ascii="Times New Roman" w:hAnsi="Times New Roman"/>
          <w:b/>
          <w:color w:val="000000" w:themeColor="text1"/>
          <w:lang w:eastAsia="x-none"/>
        </w:rPr>
        <w:t xml:space="preserve">en Ingénierie sociale et Genre et </w:t>
      </w:r>
      <w:r w:rsidRPr="00260790">
        <w:rPr>
          <w:rFonts w:ascii="Times New Roman" w:hAnsi="Times New Roman"/>
          <w:color w:val="000000" w:themeColor="text1"/>
          <w:lang w:eastAsia="x-none"/>
        </w:rPr>
        <w:t xml:space="preserve">sera chargé de veiller au respect des engagements de l’Entrepreneur en matière de sauvegardes sociales (genre, emploi local, lutte contre les </w:t>
      </w:r>
      <w:r w:rsidR="009D7DDA" w:rsidRPr="00260790">
        <w:rPr>
          <w:rFonts w:ascii="Times New Roman" w:hAnsi="Times New Roman"/>
          <w:color w:val="000000" w:themeColor="text1"/>
          <w:lang w:eastAsia="x-none"/>
        </w:rPr>
        <w:t>AES/HS</w:t>
      </w:r>
      <w:r w:rsidRPr="00260790">
        <w:rPr>
          <w:rFonts w:ascii="Times New Roman" w:hAnsi="Times New Roman"/>
          <w:color w:val="000000" w:themeColor="text1"/>
          <w:lang w:eastAsia="x-none"/>
        </w:rPr>
        <w:t>, MGP, etc.).</w:t>
      </w:r>
    </w:p>
    <w:p w14:paraId="4D59CEF2"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L'Entrepreneur doit mettre en place un service médical courant et d’urgence à la base-vie, pour son personnel. Il doit interdire l’accès du chantier au public, le protéger par des balises et des panneaux de signalisation, indiquer les différents accès et prendre toutes les mesures d’ordre et de sécurité propres à éviter les accidents.</w:t>
      </w:r>
    </w:p>
    <w:p w14:paraId="0964F21C" w14:textId="77777777" w:rsidR="005F3FB7" w:rsidRPr="00260790" w:rsidRDefault="005F3FB7" w:rsidP="001748C6">
      <w:pPr>
        <w:numPr>
          <w:ilvl w:val="1"/>
          <w:numId w:val="96"/>
        </w:numPr>
        <w:spacing w:line="240" w:lineRule="auto"/>
        <w:rPr>
          <w:rFonts w:ascii="Times New Roman" w:hAnsi="Times New Roman"/>
          <w:b/>
          <w:bCs/>
          <w:color w:val="000000" w:themeColor="text1"/>
        </w:rPr>
      </w:pPr>
      <w:bookmarkStart w:id="2619" w:name="_Toc55559807"/>
      <w:bookmarkStart w:id="2620" w:name="_Toc69115778"/>
      <w:r w:rsidRPr="00260790">
        <w:rPr>
          <w:rFonts w:ascii="Times New Roman" w:hAnsi="Times New Roman"/>
          <w:b/>
          <w:bCs/>
          <w:color w:val="000000" w:themeColor="text1"/>
        </w:rPr>
        <w:t>Dispositions préalables pour l’exécution des travaux</w:t>
      </w:r>
      <w:bookmarkEnd w:id="2619"/>
      <w:bookmarkEnd w:id="2620"/>
    </w:p>
    <w:p w14:paraId="00A8C7A2" w14:textId="77777777" w:rsidR="005F3FB7" w:rsidRPr="00260790" w:rsidRDefault="005F3FB7" w:rsidP="001748C6">
      <w:pPr>
        <w:numPr>
          <w:ilvl w:val="0"/>
          <w:numId w:val="82"/>
        </w:numPr>
        <w:spacing w:before="120" w:after="120" w:line="240" w:lineRule="auto"/>
        <w:contextualSpacing/>
        <w:jc w:val="both"/>
        <w:rPr>
          <w:rFonts w:ascii="Times New Roman" w:hAnsi="Times New Roman"/>
          <w:b/>
          <w:bCs/>
          <w:color w:val="000000" w:themeColor="text1"/>
        </w:rPr>
      </w:pPr>
      <w:r w:rsidRPr="00260790">
        <w:rPr>
          <w:rFonts w:ascii="Times New Roman" w:hAnsi="Times New Roman"/>
          <w:b/>
          <w:bCs/>
          <w:color w:val="000000" w:themeColor="text1"/>
        </w:rPr>
        <w:t>Respect de la législation et de la réglementions nationale</w:t>
      </w:r>
    </w:p>
    <w:p w14:paraId="65FF52D0"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L’Entrepreneur et ses sous-traitants doivent : connaître, respecter et appliquer les lois et règlements en vigueur dans le pays relatif à l’environnement, aux normes de rejet et de bruit, à l’élimination des déchets solides et liquides, aux heures de travail, etc.</w:t>
      </w:r>
    </w:p>
    <w:p w14:paraId="0F18E1EA"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L'Entrepreneur doit prendre toutes les mesures appropriées en vue de minimiser les atteintes à l’environnement et assumer la responsabilité de toute réclamation liée au non-respect de l’environnement.</w:t>
      </w:r>
    </w:p>
    <w:p w14:paraId="489F7F9C"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Aucune exigence de cette section ne sera interprétée comme une dérogation aux lois et réglementations de protection environnementale sénégalaises applicables. En particulier, mais sans s’y limiter, l’Entrepreneur et ses sous-traitants seront tenus de respecter, tout au long de la durée des travaux les principaux textes de la réglementation en vigueur au Sénégal quant à la protection de l'environnement, de l’hygiène et de la sécurité des chantiers qui sont récapitulés dans le tableau suivant.</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7225"/>
      </w:tblGrid>
      <w:tr w:rsidR="00BD1A2F" w:rsidRPr="00260790" w14:paraId="28695C24" w14:textId="77777777" w:rsidTr="005F3FB7">
        <w:trPr>
          <w:trHeight w:val="255"/>
          <w:tblHeader/>
          <w:jc w:val="center"/>
        </w:trPr>
        <w:tc>
          <w:tcPr>
            <w:tcW w:w="2130" w:type="dxa"/>
            <w:vAlign w:val="center"/>
          </w:tcPr>
          <w:p w14:paraId="1533CDF5" w14:textId="77777777" w:rsidR="005F3FB7" w:rsidRPr="00260790" w:rsidRDefault="005F3FB7" w:rsidP="00E20250">
            <w:pPr>
              <w:spacing w:after="0" w:line="240" w:lineRule="auto"/>
              <w:ind w:left="576" w:hanging="576"/>
              <w:jc w:val="both"/>
              <w:rPr>
                <w:rFonts w:ascii="Times New Roman" w:hAnsi="Times New Roman"/>
                <w:b/>
                <w:bCs/>
                <w:color w:val="000000" w:themeColor="text1"/>
              </w:rPr>
            </w:pPr>
            <w:r w:rsidRPr="00260790">
              <w:rPr>
                <w:rFonts w:ascii="Times New Roman" w:hAnsi="Times New Roman"/>
                <w:b/>
                <w:bCs/>
                <w:color w:val="000000" w:themeColor="text1"/>
              </w:rPr>
              <w:t>Secteur /domaine</w:t>
            </w:r>
          </w:p>
        </w:tc>
        <w:tc>
          <w:tcPr>
            <w:tcW w:w="7225" w:type="dxa"/>
            <w:vAlign w:val="center"/>
          </w:tcPr>
          <w:p w14:paraId="7F70E0B4" w14:textId="77777777" w:rsidR="005F3FB7" w:rsidRPr="00260790" w:rsidRDefault="005F3FB7" w:rsidP="00E20250">
            <w:pPr>
              <w:spacing w:after="0" w:line="240" w:lineRule="auto"/>
              <w:ind w:left="576" w:hanging="576"/>
              <w:jc w:val="both"/>
              <w:rPr>
                <w:rFonts w:ascii="Times New Roman" w:hAnsi="Times New Roman"/>
                <w:b/>
                <w:bCs/>
                <w:color w:val="000000" w:themeColor="text1"/>
              </w:rPr>
            </w:pPr>
            <w:r w:rsidRPr="00260790">
              <w:rPr>
                <w:rFonts w:ascii="Times New Roman" w:hAnsi="Times New Roman"/>
                <w:b/>
                <w:bCs/>
                <w:color w:val="000000" w:themeColor="text1"/>
              </w:rPr>
              <w:t>Bases légales</w:t>
            </w:r>
          </w:p>
        </w:tc>
      </w:tr>
      <w:tr w:rsidR="00BD1A2F" w:rsidRPr="00260790" w14:paraId="44EBCC5B" w14:textId="77777777" w:rsidTr="005F3FB7">
        <w:trPr>
          <w:cantSplit/>
          <w:trHeight w:val="255"/>
          <w:jc w:val="center"/>
        </w:trPr>
        <w:tc>
          <w:tcPr>
            <w:tcW w:w="2130" w:type="dxa"/>
            <w:vMerge w:val="restart"/>
            <w:vAlign w:val="center"/>
          </w:tcPr>
          <w:p w14:paraId="6D00A991" w14:textId="77777777" w:rsidR="005F3FB7" w:rsidRPr="00260790" w:rsidRDefault="005F3FB7" w:rsidP="00E20250">
            <w:pPr>
              <w:spacing w:after="0" w:line="240" w:lineRule="auto"/>
              <w:ind w:left="576" w:hanging="576"/>
              <w:rPr>
                <w:rFonts w:ascii="Times New Roman" w:hAnsi="Times New Roman"/>
                <w:b/>
                <w:bCs/>
                <w:color w:val="000000" w:themeColor="text1"/>
              </w:rPr>
            </w:pPr>
            <w:r w:rsidRPr="00260790">
              <w:rPr>
                <w:rFonts w:ascii="Times New Roman" w:hAnsi="Times New Roman"/>
                <w:b/>
                <w:bCs/>
                <w:color w:val="000000" w:themeColor="text1"/>
              </w:rPr>
              <w:t>Atmosphère</w:t>
            </w:r>
          </w:p>
        </w:tc>
        <w:tc>
          <w:tcPr>
            <w:tcW w:w="7225" w:type="dxa"/>
            <w:vAlign w:val="center"/>
          </w:tcPr>
          <w:p w14:paraId="4D760D5F" w14:textId="77777777" w:rsidR="005F3FB7" w:rsidRPr="00260790"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Loi n° 83-71 du 5 juillet 1983 portant Code de l’hygiène</w:t>
            </w:r>
          </w:p>
        </w:tc>
      </w:tr>
      <w:tr w:rsidR="00BD1A2F" w:rsidRPr="00260790" w14:paraId="04081040" w14:textId="77777777" w:rsidTr="005F3FB7">
        <w:trPr>
          <w:cantSplit/>
          <w:trHeight w:val="255"/>
          <w:jc w:val="center"/>
        </w:trPr>
        <w:tc>
          <w:tcPr>
            <w:tcW w:w="2130" w:type="dxa"/>
            <w:vMerge/>
            <w:vAlign w:val="center"/>
          </w:tcPr>
          <w:p w14:paraId="250B868B" w14:textId="77777777" w:rsidR="005F3FB7" w:rsidRPr="00260790" w:rsidRDefault="005F3FB7" w:rsidP="00E20250">
            <w:pPr>
              <w:spacing w:after="0" w:line="240" w:lineRule="auto"/>
              <w:ind w:left="576" w:hanging="576"/>
              <w:rPr>
                <w:rFonts w:ascii="Times New Roman" w:hAnsi="Times New Roman"/>
                <w:b/>
                <w:bCs/>
                <w:color w:val="000000" w:themeColor="text1"/>
              </w:rPr>
            </w:pPr>
          </w:p>
        </w:tc>
        <w:tc>
          <w:tcPr>
            <w:tcW w:w="7225" w:type="dxa"/>
            <w:vAlign w:val="center"/>
          </w:tcPr>
          <w:p w14:paraId="463540E9" w14:textId="77777777" w:rsidR="005F3FB7" w:rsidRPr="00260790" w:rsidRDefault="005F3FB7" w:rsidP="00E20250">
            <w:pPr>
              <w:spacing w:after="0" w:line="240" w:lineRule="auto"/>
              <w:ind w:left="576" w:hanging="576"/>
              <w:jc w:val="both"/>
              <w:rPr>
                <w:rFonts w:ascii="Times New Roman" w:hAnsi="Times New Roman"/>
                <w:color w:val="000000" w:themeColor="text1"/>
              </w:rPr>
            </w:pPr>
            <w:r w:rsidRPr="00260790">
              <w:rPr>
                <w:rFonts w:ascii="Times New Roman" w:hAnsi="Times New Roman"/>
                <w:color w:val="000000" w:themeColor="text1"/>
              </w:rPr>
              <w:t>Loi n° 2001-01 du 15 janvier 2001</w:t>
            </w:r>
          </w:p>
        </w:tc>
      </w:tr>
      <w:tr w:rsidR="00BD1A2F" w:rsidRPr="00260790" w14:paraId="35D761DB" w14:textId="77777777" w:rsidTr="005F3FB7">
        <w:trPr>
          <w:cantSplit/>
          <w:trHeight w:val="255"/>
          <w:jc w:val="center"/>
        </w:trPr>
        <w:tc>
          <w:tcPr>
            <w:tcW w:w="2130" w:type="dxa"/>
            <w:vMerge/>
            <w:vAlign w:val="center"/>
          </w:tcPr>
          <w:p w14:paraId="4464266A" w14:textId="77777777" w:rsidR="005F3FB7" w:rsidRPr="00260790" w:rsidRDefault="005F3FB7" w:rsidP="00E20250">
            <w:pPr>
              <w:spacing w:after="0" w:line="240" w:lineRule="auto"/>
              <w:ind w:left="576" w:hanging="576"/>
              <w:rPr>
                <w:rFonts w:ascii="Times New Roman" w:hAnsi="Times New Roman"/>
                <w:b/>
                <w:bCs/>
                <w:color w:val="000000" w:themeColor="text1"/>
              </w:rPr>
            </w:pPr>
          </w:p>
        </w:tc>
        <w:tc>
          <w:tcPr>
            <w:tcW w:w="7225" w:type="dxa"/>
            <w:vAlign w:val="center"/>
          </w:tcPr>
          <w:p w14:paraId="51228F11" w14:textId="77777777" w:rsidR="005F3FB7" w:rsidRPr="00260790"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Arrêté interministériel n° 7358 du 5 novembre 2003 fixant les conditions d’application de la Norme NS 05-062 sur la pollution atmosphérique</w:t>
            </w:r>
          </w:p>
        </w:tc>
      </w:tr>
      <w:tr w:rsidR="00BD1A2F" w:rsidRPr="00260790" w14:paraId="3466109B" w14:textId="77777777" w:rsidTr="005F3FB7">
        <w:trPr>
          <w:cantSplit/>
          <w:trHeight w:val="255"/>
          <w:jc w:val="center"/>
        </w:trPr>
        <w:tc>
          <w:tcPr>
            <w:tcW w:w="2130" w:type="dxa"/>
            <w:vMerge w:val="restart"/>
            <w:vAlign w:val="center"/>
          </w:tcPr>
          <w:p w14:paraId="22D1F0DE" w14:textId="77777777" w:rsidR="005F3FB7" w:rsidRPr="00260790" w:rsidRDefault="005F3FB7" w:rsidP="00E20250">
            <w:pPr>
              <w:spacing w:after="0" w:line="240" w:lineRule="auto"/>
              <w:rPr>
                <w:rFonts w:ascii="Times New Roman" w:hAnsi="Times New Roman"/>
                <w:b/>
                <w:bCs/>
                <w:color w:val="000000" w:themeColor="text1"/>
              </w:rPr>
            </w:pPr>
            <w:r w:rsidRPr="00260790">
              <w:rPr>
                <w:rFonts w:ascii="Times New Roman" w:hAnsi="Times New Roman"/>
                <w:b/>
                <w:bCs/>
                <w:color w:val="000000" w:themeColor="text1"/>
              </w:rPr>
              <w:t>Eau</w:t>
            </w:r>
          </w:p>
        </w:tc>
        <w:tc>
          <w:tcPr>
            <w:tcW w:w="7225" w:type="dxa"/>
            <w:vAlign w:val="center"/>
          </w:tcPr>
          <w:p w14:paraId="6B12341C" w14:textId="77777777" w:rsidR="005F3FB7" w:rsidRPr="00260790"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Loi n° 81-13 du 4 mars 1981 portant Code de l’eau</w:t>
            </w:r>
          </w:p>
        </w:tc>
      </w:tr>
      <w:tr w:rsidR="00BD1A2F" w:rsidRPr="00260790" w14:paraId="6D5F5FA4" w14:textId="77777777" w:rsidTr="005F3FB7">
        <w:trPr>
          <w:cantSplit/>
          <w:trHeight w:val="255"/>
          <w:jc w:val="center"/>
        </w:trPr>
        <w:tc>
          <w:tcPr>
            <w:tcW w:w="2130" w:type="dxa"/>
            <w:vMerge/>
            <w:vAlign w:val="center"/>
          </w:tcPr>
          <w:p w14:paraId="4A97DCA8" w14:textId="77777777" w:rsidR="005F3FB7" w:rsidRPr="00260790" w:rsidRDefault="005F3FB7" w:rsidP="00E20250">
            <w:pPr>
              <w:spacing w:after="0" w:line="240" w:lineRule="auto"/>
              <w:ind w:left="576" w:hanging="576"/>
              <w:rPr>
                <w:rFonts w:ascii="Times New Roman" w:hAnsi="Times New Roman"/>
                <w:b/>
                <w:bCs/>
                <w:color w:val="000000" w:themeColor="text1"/>
              </w:rPr>
            </w:pPr>
          </w:p>
        </w:tc>
        <w:tc>
          <w:tcPr>
            <w:tcW w:w="7225" w:type="dxa"/>
            <w:vAlign w:val="center"/>
          </w:tcPr>
          <w:p w14:paraId="3EF8E469" w14:textId="77777777" w:rsidR="005F3FB7" w:rsidRPr="00260790" w:rsidRDefault="005F3FB7" w:rsidP="00E20250">
            <w:pPr>
              <w:spacing w:after="0" w:line="240" w:lineRule="auto"/>
              <w:ind w:left="576" w:hanging="576"/>
              <w:jc w:val="both"/>
              <w:rPr>
                <w:rFonts w:ascii="Times New Roman" w:hAnsi="Times New Roman"/>
                <w:color w:val="000000" w:themeColor="text1"/>
              </w:rPr>
            </w:pPr>
            <w:r w:rsidRPr="00260790">
              <w:rPr>
                <w:rFonts w:ascii="Times New Roman" w:hAnsi="Times New Roman"/>
                <w:color w:val="000000" w:themeColor="text1"/>
              </w:rPr>
              <w:t>Décret n° 98-556 du 25 juin 1998 relatif à la police de l’eau</w:t>
            </w:r>
          </w:p>
        </w:tc>
      </w:tr>
      <w:tr w:rsidR="00BD1A2F" w:rsidRPr="00260790" w14:paraId="6767F19D" w14:textId="77777777" w:rsidTr="005F3FB7">
        <w:trPr>
          <w:cantSplit/>
          <w:trHeight w:val="255"/>
          <w:jc w:val="center"/>
        </w:trPr>
        <w:tc>
          <w:tcPr>
            <w:tcW w:w="2130" w:type="dxa"/>
            <w:vMerge/>
            <w:vAlign w:val="center"/>
          </w:tcPr>
          <w:p w14:paraId="7EE50C10" w14:textId="77777777" w:rsidR="005F3FB7" w:rsidRPr="00260790" w:rsidRDefault="005F3FB7" w:rsidP="00E20250">
            <w:pPr>
              <w:spacing w:after="0" w:line="240" w:lineRule="auto"/>
              <w:ind w:left="576" w:hanging="576"/>
              <w:rPr>
                <w:rFonts w:ascii="Times New Roman" w:hAnsi="Times New Roman"/>
                <w:b/>
                <w:bCs/>
                <w:color w:val="000000" w:themeColor="text1"/>
              </w:rPr>
            </w:pPr>
          </w:p>
        </w:tc>
        <w:tc>
          <w:tcPr>
            <w:tcW w:w="7225" w:type="dxa"/>
            <w:vAlign w:val="center"/>
          </w:tcPr>
          <w:p w14:paraId="340CBAD3" w14:textId="77777777" w:rsidR="005F3FB7" w:rsidRPr="00260790" w:rsidRDefault="005F3FB7" w:rsidP="00E20250">
            <w:pPr>
              <w:spacing w:after="0" w:line="240" w:lineRule="auto"/>
              <w:ind w:left="576" w:hanging="576"/>
              <w:jc w:val="both"/>
              <w:rPr>
                <w:rFonts w:ascii="Times New Roman" w:hAnsi="Times New Roman"/>
                <w:color w:val="000000" w:themeColor="text1"/>
              </w:rPr>
            </w:pPr>
            <w:r w:rsidRPr="00260790">
              <w:rPr>
                <w:rFonts w:ascii="Times New Roman" w:hAnsi="Times New Roman"/>
                <w:color w:val="000000" w:themeColor="text1"/>
              </w:rPr>
              <w:t>Loi n° 2001-01 du 15 janvier 2001 portant Code de l’environnement</w:t>
            </w:r>
          </w:p>
        </w:tc>
      </w:tr>
      <w:tr w:rsidR="00BD1A2F" w:rsidRPr="00260790" w14:paraId="6A49DCBE" w14:textId="77777777" w:rsidTr="005F3FB7">
        <w:trPr>
          <w:cantSplit/>
          <w:trHeight w:val="255"/>
          <w:jc w:val="center"/>
        </w:trPr>
        <w:tc>
          <w:tcPr>
            <w:tcW w:w="2130" w:type="dxa"/>
            <w:vMerge/>
            <w:vAlign w:val="center"/>
          </w:tcPr>
          <w:p w14:paraId="19AD0062" w14:textId="77777777" w:rsidR="005F3FB7" w:rsidRPr="00260790" w:rsidRDefault="005F3FB7" w:rsidP="00E20250">
            <w:pPr>
              <w:spacing w:after="0" w:line="240" w:lineRule="auto"/>
              <w:ind w:left="576" w:hanging="576"/>
              <w:rPr>
                <w:rFonts w:ascii="Times New Roman" w:hAnsi="Times New Roman"/>
                <w:b/>
                <w:bCs/>
                <w:color w:val="000000" w:themeColor="text1"/>
              </w:rPr>
            </w:pPr>
          </w:p>
        </w:tc>
        <w:tc>
          <w:tcPr>
            <w:tcW w:w="7225" w:type="dxa"/>
            <w:vAlign w:val="center"/>
          </w:tcPr>
          <w:p w14:paraId="1CF47C1B" w14:textId="77777777" w:rsidR="005F3FB7" w:rsidRPr="00260790" w:rsidRDefault="005F3FB7" w:rsidP="00E20250">
            <w:pPr>
              <w:spacing w:after="0" w:line="240" w:lineRule="auto"/>
              <w:ind w:left="31"/>
              <w:jc w:val="both"/>
              <w:rPr>
                <w:rFonts w:ascii="Times New Roman" w:hAnsi="Times New Roman"/>
                <w:color w:val="000000" w:themeColor="text1"/>
              </w:rPr>
            </w:pPr>
            <w:r w:rsidRPr="00260790">
              <w:rPr>
                <w:rFonts w:ascii="Times New Roman" w:hAnsi="Times New Roman"/>
                <w:color w:val="000000" w:themeColor="text1"/>
              </w:rPr>
              <w:t>Décret N</w:t>
            </w:r>
            <w:r w:rsidRPr="00260790">
              <w:rPr>
                <w:rFonts w:ascii="Times New Roman" w:hAnsi="Times New Roman"/>
                <w:color w:val="000000" w:themeColor="text1"/>
                <w:vertAlign w:val="superscript"/>
              </w:rPr>
              <w:t>o</w:t>
            </w:r>
            <w:r w:rsidRPr="00260790">
              <w:rPr>
                <w:rFonts w:ascii="Times New Roman" w:hAnsi="Times New Roman"/>
                <w:color w:val="000000" w:themeColor="text1"/>
              </w:rPr>
              <w:t xml:space="preserve"> 2001-282 du 12 avril 2001 portant application du Code de l’Environnement</w:t>
            </w:r>
          </w:p>
        </w:tc>
      </w:tr>
      <w:tr w:rsidR="00BD1A2F" w:rsidRPr="00260790" w14:paraId="0A0F3B46" w14:textId="77777777" w:rsidTr="005F3FB7">
        <w:trPr>
          <w:cantSplit/>
          <w:trHeight w:val="255"/>
          <w:jc w:val="center"/>
        </w:trPr>
        <w:tc>
          <w:tcPr>
            <w:tcW w:w="2130" w:type="dxa"/>
            <w:vMerge/>
            <w:vAlign w:val="center"/>
          </w:tcPr>
          <w:p w14:paraId="2EA6430F" w14:textId="77777777" w:rsidR="005F3FB7" w:rsidRPr="00260790" w:rsidRDefault="005F3FB7" w:rsidP="00E20250">
            <w:pPr>
              <w:spacing w:after="0" w:line="240" w:lineRule="auto"/>
              <w:ind w:left="576" w:hanging="576"/>
              <w:rPr>
                <w:rFonts w:ascii="Times New Roman" w:hAnsi="Times New Roman"/>
                <w:b/>
                <w:bCs/>
                <w:color w:val="000000" w:themeColor="text1"/>
              </w:rPr>
            </w:pPr>
          </w:p>
        </w:tc>
        <w:tc>
          <w:tcPr>
            <w:tcW w:w="7225" w:type="dxa"/>
            <w:vAlign w:val="center"/>
          </w:tcPr>
          <w:p w14:paraId="3B676EB7" w14:textId="77777777" w:rsidR="005F3FB7" w:rsidRPr="00260790" w:rsidRDefault="005F3FB7" w:rsidP="00E20250">
            <w:pPr>
              <w:spacing w:after="0" w:line="240" w:lineRule="auto"/>
              <w:ind w:left="576" w:hanging="576"/>
              <w:jc w:val="both"/>
              <w:rPr>
                <w:rFonts w:ascii="Times New Roman" w:hAnsi="Times New Roman"/>
                <w:color w:val="000000" w:themeColor="text1"/>
              </w:rPr>
            </w:pPr>
            <w:r w:rsidRPr="00260790">
              <w:rPr>
                <w:rFonts w:ascii="Times New Roman" w:hAnsi="Times New Roman"/>
                <w:color w:val="000000" w:themeColor="text1"/>
              </w:rPr>
              <w:t>Norme NS 05-061 de juillet 2001 sur les eaux usées</w:t>
            </w:r>
          </w:p>
        </w:tc>
      </w:tr>
      <w:tr w:rsidR="00BD1A2F" w:rsidRPr="00260790" w14:paraId="5103165D" w14:textId="77777777" w:rsidTr="005F3FB7">
        <w:trPr>
          <w:cantSplit/>
          <w:trHeight w:val="255"/>
          <w:jc w:val="center"/>
        </w:trPr>
        <w:tc>
          <w:tcPr>
            <w:tcW w:w="2130" w:type="dxa"/>
            <w:vMerge w:val="restart"/>
            <w:vAlign w:val="center"/>
          </w:tcPr>
          <w:p w14:paraId="0561A946" w14:textId="77777777" w:rsidR="005F3FB7" w:rsidRPr="00260790" w:rsidRDefault="005F3FB7" w:rsidP="00E20250">
            <w:pPr>
              <w:spacing w:after="0" w:line="240" w:lineRule="auto"/>
              <w:rPr>
                <w:rFonts w:ascii="Times New Roman" w:hAnsi="Times New Roman"/>
                <w:b/>
                <w:bCs/>
                <w:color w:val="000000" w:themeColor="text1"/>
              </w:rPr>
            </w:pPr>
            <w:r w:rsidRPr="00260790">
              <w:rPr>
                <w:rFonts w:ascii="Times New Roman" w:hAnsi="Times New Roman"/>
                <w:b/>
                <w:bCs/>
                <w:color w:val="000000" w:themeColor="text1"/>
              </w:rPr>
              <w:t>Foresterie</w:t>
            </w:r>
          </w:p>
        </w:tc>
        <w:tc>
          <w:tcPr>
            <w:tcW w:w="7225" w:type="dxa"/>
            <w:vAlign w:val="center"/>
          </w:tcPr>
          <w:p w14:paraId="0EA7A8CA" w14:textId="77777777" w:rsidR="005F3FB7" w:rsidRPr="00260790"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Loi n°98-03 du 8/01/98</w:t>
            </w:r>
          </w:p>
        </w:tc>
      </w:tr>
      <w:tr w:rsidR="00BD1A2F" w:rsidRPr="00260790" w14:paraId="7BCA0A16" w14:textId="77777777" w:rsidTr="005F3FB7">
        <w:trPr>
          <w:cantSplit/>
          <w:trHeight w:val="255"/>
          <w:jc w:val="center"/>
        </w:trPr>
        <w:tc>
          <w:tcPr>
            <w:tcW w:w="2130" w:type="dxa"/>
            <w:vMerge/>
            <w:vAlign w:val="center"/>
          </w:tcPr>
          <w:p w14:paraId="7E7DC479" w14:textId="77777777" w:rsidR="005F3FB7" w:rsidRPr="00260790" w:rsidRDefault="005F3FB7" w:rsidP="00E20250">
            <w:pPr>
              <w:spacing w:after="0" w:line="240" w:lineRule="auto"/>
              <w:ind w:left="576" w:hanging="576"/>
              <w:rPr>
                <w:rFonts w:ascii="Times New Roman" w:hAnsi="Times New Roman"/>
                <w:b/>
                <w:bCs/>
                <w:color w:val="000000" w:themeColor="text1"/>
              </w:rPr>
            </w:pPr>
          </w:p>
        </w:tc>
        <w:tc>
          <w:tcPr>
            <w:tcW w:w="7225" w:type="dxa"/>
            <w:vAlign w:val="center"/>
          </w:tcPr>
          <w:p w14:paraId="39E75C3B" w14:textId="77777777" w:rsidR="005F3FB7" w:rsidRPr="00260790" w:rsidRDefault="005F3FB7" w:rsidP="00E20250">
            <w:pPr>
              <w:spacing w:after="0" w:line="240" w:lineRule="auto"/>
              <w:ind w:left="576" w:hanging="576"/>
              <w:jc w:val="both"/>
              <w:rPr>
                <w:rFonts w:ascii="Times New Roman" w:hAnsi="Times New Roman"/>
                <w:color w:val="000000" w:themeColor="text1"/>
              </w:rPr>
            </w:pPr>
            <w:r w:rsidRPr="00260790">
              <w:rPr>
                <w:rFonts w:ascii="Times New Roman" w:hAnsi="Times New Roman"/>
                <w:color w:val="000000" w:themeColor="text1"/>
              </w:rPr>
              <w:t>Décret n°98-164 du 20/02/98</w:t>
            </w:r>
          </w:p>
        </w:tc>
      </w:tr>
      <w:tr w:rsidR="00BD1A2F" w:rsidRPr="00260790" w14:paraId="446609CD" w14:textId="77777777" w:rsidTr="005F3FB7">
        <w:trPr>
          <w:cantSplit/>
          <w:trHeight w:val="255"/>
          <w:jc w:val="center"/>
        </w:trPr>
        <w:tc>
          <w:tcPr>
            <w:tcW w:w="2130" w:type="dxa"/>
            <w:vAlign w:val="center"/>
          </w:tcPr>
          <w:p w14:paraId="10F1F936" w14:textId="77777777" w:rsidR="005F3FB7" w:rsidRPr="00260790" w:rsidRDefault="005F3FB7" w:rsidP="00E20250">
            <w:pPr>
              <w:spacing w:after="0" w:line="240" w:lineRule="auto"/>
              <w:rPr>
                <w:rFonts w:ascii="Times New Roman" w:hAnsi="Times New Roman"/>
                <w:b/>
                <w:bCs/>
                <w:color w:val="000000" w:themeColor="text1"/>
              </w:rPr>
            </w:pPr>
            <w:r w:rsidRPr="00260790">
              <w:rPr>
                <w:rFonts w:ascii="Times New Roman" w:hAnsi="Times New Roman"/>
                <w:b/>
                <w:bCs/>
                <w:color w:val="000000" w:themeColor="text1"/>
              </w:rPr>
              <w:t>Déchets</w:t>
            </w:r>
          </w:p>
        </w:tc>
        <w:tc>
          <w:tcPr>
            <w:tcW w:w="7225" w:type="dxa"/>
            <w:vAlign w:val="center"/>
          </w:tcPr>
          <w:p w14:paraId="2DF252FA" w14:textId="77777777" w:rsidR="005F3FB7" w:rsidRPr="00260790"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Loi n° 2001-01 du 15 janvier 2001 portant Code de l’environnement</w:t>
            </w:r>
          </w:p>
        </w:tc>
      </w:tr>
      <w:tr w:rsidR="00BD1A2F" w:rsidRPr="00260790" w14:paraId="70384B47" w14:textId="77777777" w:rsidTr="005F3FB7">
        <w:trPr>
          <w:cantSplit/>
          <w:trHeight w:val="255"/>
          <w:jc w:val="center"/>
        </w:trPr>
        <w:tc>
          <w:tcPr>
            <w:tcW w:w="2130" w:type="dxa"/>
            <w:vMerge w:val="restart"/>
            <w:vAlign w:val="center"/>
          </w:tcPr>
          <w:p w14:paraId="1992D42B" w14:textId="77777777" w:rsidR="005F3FB7" w:rsidRPr="00260790" w:rsidRDefault="005F3FB7" w:rsidP="00E20250">
            <w:pPr>
              <w:spacing w:after="0" w:line="240" w:lineRule="auto"/>
              <w:rPr>
                <w:rFonts w:ascii="Times New Roman" w:hAnsi="Times New Roman"/>
                <w:b/>
                <w:bCs/>
                <w:color w:val="000000" w:themeColor="text1"/>
              </w:rPr>
            </w:pPr>
            <w:r w:rsidRPr="00260790">
              <w:rPr>
                <w:rFonts w:ascii="Times New Roman" w:hAnsi="Times New Roman"/>
                <w:b/>
                <w:bCs/>
                <w:color w:val="000000" w:themeColor="text1"/>
              </w:rPr>
              <w:t>Hygiène</w:t>
            </w:r>
          </w:p>
        </w:tc>
        <w:tc>
          <w:tcPr>
            <w:tcW w:w="7225" w:type="dxa"/>
            <w:vAlign w:val="center"/>
          </w:tcPr>
          <w:p w14:paraId="30E22F2B" w14:textId="77777777" w:rsidR="005F3FB7" w:rsidRPr="00260790"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Loi No 83-71 du 05 juillet 1983 portant Code de l’Hygiène</w:t>
            </w:r>
          </w:p>
        </w:tc>
      </w:tr>
      <w:tr w:rsidR="00BD1A2F" w:rsidRPr="00260790" w14:paraId="280ACFBD" w14:textId="77777777" w:rsidTr="005F3FB7">
        <w:trPr>
          <w:cantSplit/>
          <w:trHeight w:val="255"/>
          <w:jc w:val="center"/>
        </w:trPr>
        <w:tc>
          <w:tcPr>
            <w:tcW w:w="2130" w:type="dxa"/>
            <w:vMerge/>
            <w:vAlign w:val="center"/>
          </w:tcPr>
          <w:p w14:paraId="3AACC7A6" w14:textId="77777777" w:rsidR="005F3FB7" w:rsidRPr="00260790" w:rsidRDefault="005F3FB7" w:rsidP="00E20250">
            <w:pPr>
              <w:spacing w:after="0" w:line="240" w:lineRule="auto"/>
              <w:ind w:left="576" w:hanging="576"/>
              <w:rPr>
                <w:rFonts w:ascii="Times New Roman" w:hAnsi="Times New Roman"/>
                <w:color w:val="000000" w:themeColor="text1"/>
              </w:rPr>
            </w:pPr>
          </w:p>
        </w:tc>
        <w:tc>
          <w:tcPr>
            <w:tcW w:w="7225" w:type="dxa"/>
            <w:vAlign w:val="center"/>
          </w:tcPr>
          <w:p w14:paraId="1173F1AA" w14:textId="77777777" w:rsidR="005F3FB7" w:rsidRPr="00260790" w:rsidRDefault="005F3FB7" w:rsidP="00E20250">
            <w:pPr>
              <w:spacing w:after="0" w:line="240" w:lineRule="auto"/>
              <w:ind w:left="37"/>
              <w:jc w:val="both"/>
              <w:rPr>
                <w:rFonts w:ascii="Times New Roman" w:hAnsi="Times New Roman"/>
                <w:color w:val="000000" w:themeColor="text1"/>
              </w:rPr>
            </w:pPr>
            <w:r w:rsidRPr="00260790">
              <w:rPr>
                <w:rFonts w:ascii="Times New Roman" w:hAnsi="Times New Roman"/>
                <w:color w:val="000000" w:themeColor="text1"/>
              </w:rPr>
              <w:t>Décret No 94-244 du 07 mars 1994 fixant les modalités d’organisation et de fonctionnement des comités d’hygiène et de sécurité du travail</w:t>
            </w:r>
          </w:p>
        </w:tc>
      </w:tr>
      <w:tr w:rsidR="00BD1A2F" w:rsidRPr="00260790" w14:paraId="01E3A8F8" w14:textId="77777777" w:rsidTr="005F3FB7">
        <w:trPr>
          <w:cantSplit/>
          <w:trHeight w:val="255"/>
          <w:jc w:val="center"/>
        </w:trPr>
        <w:tc>
          <w:tcPr>
            <w:tcW w:w="2130" w:type="dxa"/>
            <w:vMerge/>
            <w:vAlign w:val="center"/>
          </w:tcPr>
          <w:p w14:paraId="41D05C5A" w14:textId="77777777" w:rsidR="005F3FB7" w:rsidRPr="00260790" w:rsidRDefault="005F3FB7" w:rsidP="00E20250">
            <w:pPr>
              <w:spacing w:after="0" w:line="240" w:lineRule="auto"/>
              <w:ind w:left="576" w:hanging="576"/>
              <w:rPr>
                <w:rFonts w:ascii="Times New Roman" w:hAnsi="Times New Roman"/>
                <w:color w:val="000000" w:themeColor="text1"/>
              </w:rPr>
            </w:pPr>
          </w:p>
        </w:tc>
        <w:tc>
          <w:tcPr>
            <w:tcW w:w="7225" w:type="dxa"/>
            <w:vAlign w:val="center"/>
          </w:tcPr>
          <w:p w14:paraId="7173C89A" w14:textId="77777777" w:rsidR="005F3FB7" w:rsidRPr="00260790" w:rsidRDefault="005F3FB7" w:rsidP="00E20250">
            <w:pPr>
              <w:spacing w:after="0" w:line="240" w:lineRule="auto"/>
              <w:ind w:left="576" w:hanging="576"/>
              <w:jc w:val="both"/>
              <w:rPr>
                <w:rFonts w:ascii="Times New Roman" w:hAnsi="Times New Roman"/>
                <w:color w:val="000000" w:themeColor="text1"/>
              </w:rPr>
            </w:pPr>
            <w:r w:rsidRPr="00260790">
              <w:rPr>
                <w:rFonts w:ascii="Times New Roman" w:hAnsi="Times New Roman"/>
                <w:color w:val="000000" w:themeColor="text1"/>
              </w:rPr>
              <w:t>Loi n° 2001-01 du 15 janvier 2001 portant Code de l’environnement</w:t>
            </w:r>
          </w:p>
        </w:tc>
      </w:tr>
      <w:tr w:rsidR="00BD1A2F" w:rsidRPr="00260790" w14:paraId="47E5E554" w14:textId="77777777" w:rsidTr="005F3FB7">
        <w:trPr>
          <w:cantSplit/>
          <w:trHeight w:val="255"/>
          <w:jc w:val="center"/>
        </w:trPr>
        <w:tc>
          <w:tcPr>
            <w:tcW w:w="2130" w:type="dxa"/>
            <w:vMerge/>
            <w:vAlign w:val="center"/>
          </w:tcPr>
          <w:p w14:paraId="15D5F0A9" w14:textId="77777777" w:rsidR="005F3FB7" w:rsidRPr="00260790" w:rsidRDefault="005F3FB7" w:rsidP="00E20250">
            <w:pPr>
              <w:spacing w:after="0" w:line="240" w:lineRule="auto"/>
              <w:ind w:left="576" w:hanging="576"/>
              <w:rPr>
                <w:rFonts w:ascii="Times New Roman" w:hAnsi="Times New Roman"/>
                <w:color w:val="000000" w:themeColor="text1"/>
              </w:rPr>
            </w:pPr>
          </w:p>
        </w:tc>
        <w:tc>
          <w:tcPr>
            <w:tcW w:w="7225" w:type="dxa"/>
            <w:vAlign w:val="center"/>
          </w:tcPr>
          <w:p w14:paraId="4B7E5093" w14:textId="77777777" w:rsidR="005F3FB7" w:rsidRPr="00260790" w:rsidRDefault="005F3FB7" w:rsidP="00E20250">
            <w:pPr>
              <w:spacing w:after="0" w:line="240" w:lineRule="auto"/>
              <w:ind w:left="31"/>
              <w:jc w:val="both"/>
              <w:rPr>
                <w:rFonts w:ascii="Times New Roman" w:hAnsi="Times New Roman"/>
                <w:color w:val="000000" w:themeColor="text1"/>
              </w:rPr>
            </w:pPr>
            <w:r w:rsidRPr="00260790">
              <w:rPr>
                <w:rFonts w:ascii="Times New Roman" w:hAnsi="Times New Roman"/>
                <w:color w:val="000000" w:themeColor="text1"/>
              </w:rPr>
              <w:t>Décret N</w:t>
            </w:r>
            <w:r w:rsidRPr="00260790">
              <w:rPr>
                <w:rFonts w:ascii="Times New Roman" w:hAnsi="Times New Roman"/>
                <w:color w:val="000000" w:themeColor="text1"/>
                <w:vertAlign w:val="superscript"/>
              </w:rPr>
              <w:t>o</w:t>
            </w:r>
            <w:r w:rsidRPr="00260790">
              <w:rPr>
                <w:rFonts w:ascii="Times New Roman" w:hAnsi="Times New Roman"/>
                <w:color w:val="000000" w:themeColor="text1"/>
              </w:rPr>
              <w:t xml:space="preserve"> 2001-282 du 12 avril 2001 portant application du Code de l’Environnement</w:t>
            </w:r>
          </w:p>
        </w:tc>
      </w:tr>
      <w:tr w:rsidR="00BD1A2F" w:rsidRPr="00260790" w14:paraId="13D79193" w14:textId="77777777" w:rsidTr="005F3FB7">
        <w:trPr>
          <w:cantSplit/>
          <w:trHeight w:val="255"/>
          <w:jc w:val="center"/>
        </w:trPr>
        <w:tc>
          <w:tcPr>
            <w:tcW w:w="2130" w:type="dxa"/>
            <w:vMerge/>
            <w:vAlign w:val="center"/>
          </w:tcPr>
          <w:p w14:paraId="599B9DC2" w14:textId="77777777" w:rsidR="005F3FB7" w:rsidRPr="00260790" w:rsidRDefault="005F3FB7" w:rsidP="00E20250">
            <w:pPr>
              <w:spacing w:after="0" w:line="240" w:lineRule="auto"/>
              <w:ind w:left="576" w:hanging="576"/>
              <w:rPr>
                <w:rFonts w:ascii="Times New Roman" w:hAnsi="Times New Roman"/>
                <w:color w:val="000000" w:themeColor="text1"/>
              </w:rPr>
            </w:pPr>
          </w:p>
        </w:tc>
        <w:tc>
          <w:tcPr>
            <w:tcW w:w="7225" w:type="dxa"/>
            <w:vAlign w:val="center"/>
          </w:tcPr>
          <w:p w14:paraId="41FFF7F0" w14:textId="77777777" w:rsidR="005F3FB7" w:rsidRPr="00260790" w:rsidRDefault="005F3FB7" w:rsidP="00E20250">
            <w:pPr>
              <w:spacing w:after="0" w:line="240" w:lineRule="auto"/>
              <w:ind w:left="576" w:hanging="576"/>
              <w:jc w:val="both"/>
              <w:rPr>
                <w:rFonts w:ascii="Times New Roman" w:hAnsi="Times New Roman"/>
                <w:color w:val="000000" w:themeColor="text1"/>
              </w:rPr>
            </w:pPr>
            <w:r w:rsidRPr="00260790">
              <w:rPr>
                <w:rFonts w:ascii="Times New Roman" w:hAnsi="Times New Roman"/>
                <w:color w:val="000000" w:themeColor="text1"/>
              </w:rPr>
              <w:t>Arrêté interministériel N</w:t>
            </w:r>
            <w:r w:rsidRPr="00260790">
              <w:rPr>
                <w:rFonts w:ascii="Times New Roman" w:hAnsi="Times New Roman"/>
                <w:color w:val="000000" w:themeColor="text1"/>
                <w:vertAlign w:val="superscript"/>
              </w:rPr>
              <w:t>o</w:t>
            </w:r>
            <w:r w:rsidRPr="00260790">
              <w:rPr>
                <w:rFonts w:ascii="Times New Roman" w:hAnsi="Times New Roman"/>
                <w:color w:val="000000" w:themeColor="text1"/>
              </w:rPr>
              <w:t xml:space="preserve"> 04862 MEPN/MEMI/MINT du 14 juillet 1999</w:t>
            </w:r>
          </w:p>
        </w:tc>
      </w:tr>
      <w:tr w:rsidR="00BD1A2F" w:rsidRPr="00260790" w14:paraId="509C9EBE" w14:textId="77777777" w:rsidTr="005F3FB7">
        <w:trPr>
          <w:cantSplit/>
          <w:trHeight w:val="255"/>
          <w:jc w:val="center"/>
        </w:trPr>
        <w:tc>
          <w:tcPr>
            <w:tcW w:w="2130" w:type="dxa"/>
            <w:vAlign w:val="center"/>
          </w:tcPr>
          <w:p w14:paraId="4FF870A5" w14:textId="77777777" w:rsidR="005F3FB7" w:rsidRPr="00260790" w:rsidRDefault="005F3FB7" w:rsidP="00E20250">
            <w:pPr>
              <w:spacing w:after="0" w:line="240" w:lineRule="auto"/>
              <w:rPr>
                <w:rFonts w:ascii="Times New Roman" w:hAnsi="Times New Roman"/>
                <w:b/>
                <w:bCs/>
                <w:color w:val="000000" w:themeColor="text1"/>
              </w:rPr>
            </w:pPr>
            <w:r w:rsidRPr="00260790">
              <w:rPr>
                <w:rFonts w:ascii="Times New Roman" w:hAnsi="Times New Roman"/>
                <w:b/>
                <w:bCs/>
                <w:color w:val="000000" w:themeColor="text1"/>
              </w:rPr>
              <w:t>Produits chimiques</w:t>
            </w:r>
          </w:p>
        </w:tc>
        <w:tc>
          <w:tcPr>
            <w:tcW w:w="7225" w:type="dxa"/>
            <w:vAlign w:val="center"/>
          </w:tcPr>
          <w:p w14:paraId="09064548" w14:textId="77777777" w:rsidR="005F3FB7" w:rsidRPr="00260790"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Loi n° 2001-01 du 15 janvier 2001 portant Code de l’environnement</w:t>
            </w:r>
          </w:p>
        </w:tc>
      </w:tr>
      <w:tr w:rsidR="00BD1A2F" w:rsidRPr="00260790" w14:paraId="2547F05C" w14:textId="77777777" w:rsidTr="005F3FB7">
        <w:trPr>
          <w:cantSplit/>
          <w:trHeight w:val="255"/>
          <w:jc w:val="center"/>
        </w:trPr>
        <w:tc>
          <w:tcPr>
            <w:tcW w:w="2130" w:type="dxa"/>
            <w:vMerge w:val="restart"/>
            <w:vAlign w:val="center"/>
          </w:tcPr>
          <w:p w14:paraId="2382B2B8" w14:textId="77777777" w:rsidR="005F3FB7" w:rsidRPr="00260790" w:rsidRDefault="005F3FB7" w:rsidP="00E20250">
            <w:pPr>
              <w:spacing w:after="0" w:line="240" w:lineRule="auto"/>
              <w:rPr>
                <w:rFonts w:ascii="Times New Roman" w:hAnsi="Times New Roman"/>
                <w:b/>
                <w:bCs/>
                <w:color w:val="000000" w:themeColor="text1"/>
              </w:rPr>
            </w:pPr>
            <w:r w:rsidRPr="00260790">
              <w:rPr>
                <w:rFonts w:ascii="Times New Roman" w:hAnsi="Times New Roman"/>
                <w:b/>
                <w:bCs/>
                <w:color w:val="000000" w:themeColor="text1"/>
              </w:rPr>
              <w:t>Urbanisme</w:t>
            </w:r>
          </w:p>
        </w:tc>
        <w:tc>
          <w:tcPr>
            <w:tcW w:w="7225" w:type="dxa"/>
            <w:vAlign w:val="center"/>
          </w:tcPr>
          <w:p w14:paraId="680F128F" w14:textId="77777777" w:rsidR="005F3FB7" w:rsidRPr="00260790"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Loi n° 71-12 du 25 septembre 1971 fixant le régime des monuments historiques et celui des fouilles et découvertes</w:t>
            </w:r>
          </w:p>
        </w:tc>
      </w:tr>
      <w:tr w:rsidR="00BD1A2F" w:rsidRPr="00260790" w14:paraId="4F97F746" w14:textId="77777777" w:rsidTr="005F3FB7">
        <w:trPr>
          <w:cantSplit/>
          <w:trHeight w:val="255"/>
          <w:jc w:val="center"/>
        </w:trPr>
        <w:tc>
          <w:tcPr>
            <w:tcW w:w="2130" w:type="dxa"/>
            <w:vMerge/>
            <w:vAlign w:val="center"/>
          </w:tcPr>
          <w:p w14:paraId="53DCCF4A" w14:textId="77777777" w:rsidR="005F3FB7" w:rsidRPr="00260790" w:rsidRDefault="005F3FB7" w:rsidP="00E20250">
            <w:pPr>
              <w:spacing w:after="0" w:line="240" w:lineRule="auto"/>
              <w:ind w:left="576" w:hanging="576"/>
              <w:rPr>
                <w:rFonts w:ascii="Times New Roman" w:hAnsi="Times New Roman"/>
                <w:b/>
                <w:bCs/>
                <w:color w:val="000000" w:themeColor="text1"/>
              </w:rPr>
            </w:pPr>
          </w:p>
        </w:tc>
        <w:tc>
          <w:tcPr>
            <w:tcW w:w="7225" w:type="dxa"/>
            <w:vAlign w:val="center"/>
          </w:tcPr>
          <w:p w14:paraId="590929DD" w14:textId="77777777" w:rsidR="005F3FB7" w:rsidRPr="00260790"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Loi n° 96-07 du 22 mars 1996 portant transfert de compétences aux régions, communes et communautés rurales</w:t>
            </w:r>
          </w:p>
        </w:tc>
      </w:tr>
      <w:tr w:rsidR="00BD1A2F" w:rsidRPr="00260790" w14:paraId="494EE3FE" w14:textId="77777777" w:rsidTr="005F3FB7">
        <w:trPr>
          <w:cantSplit/>
          <w:trHeight w:val="255"/>
          <w:jc w:val="center"/>
        </w:trPr>
        <w:tc>
          <w:tcPr>
            <w:tcW w:w="2130" w:type="dxa"/>
            <w:vMerge w:val="restart"/>
            <w:vAlign w:val="center"/>
          </w:tcPr>
          <w:p w14:paraId="13F6192A" w14:textId="77777777" w:rsidR="005F3FB7" w:rsidRPr="00260790" w:rsidRDefault="005F3FB7" w:rsidP="00E20250">
            <w:pPr>
              <w:spacing w:after="0" w:line="240" w:lineRule="auto"/>
              <w:rPr>
                <w:rFonts w:ascii="Times New Roman" w:hAnsi="Times New Roman"/>
                <w:b/>
                <w:bCs/>
                <w:color w:val="000000" w:themeColor="text1"/>
              </w:rPr>
            </w:pPr>
            <w:r w:rsidRPr="00260790">
              <w:rPr>
                <w:rFonts w:ascii="Times New Roman" w:hAnsi="Times New Roman"/>
                <w:b/>
                <w:bCs/>
                <w:color w:val="000000" w:themeColor="text1"/>
              </w:rPr>
              <w:t>Santé, Sécurité</w:t>
            </w:r>
          </w:p>
        </w:tc>
        <w:tc>
          <w:tcPr>
            <w:tcW w:w="7225" w:type="dxa"/>
            <w:vAlign w:val="center"/>
          </w:tcPr>
          <w:p w14:paraId="633026D7" w14:textId="77777777" w:rsidR="005F3FB7" w:rsidRPr="00260790"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Loi n° 2001-01 du 15 janvier 2001 portant Code de l’environnement et son décret d’application</w:t>
            </w:r>
          </w:p>
        </w:tc>
      </w:tr>
      <w:tr w:rsidR="00BD1A2F" w:rsidRPr="00260790" w14:paraId="023B965B" w14:textId="77777777" w:rsidTr="005F3FB7">
        <w:trPr>
          <w:cantSplit/>
          <w:trHeight w:val="255"/>
          <w:jc w:val="center"/>
        </w:trPr>
        <w:tc>
          <w:tcPr>
            <w:tcW w:w="2130" w:type="dxa"/>
            <w:vMerge/>
            <w:vAlign w:val="center"/>
          </w:tcPr>
          <w:p w14:paraId="728D5199" w14:textId="77777777" w:rsidR="005F3FB7" w:rsidRPr="00260790" w:rsidRDefault="005F3FB7" w:rsidP="00E20250">
            <w:pPr>
              <w:spacing w:after="0" w:line="240" w:lineRule="auto"/>
              <w:ind w:left="360"/>
              <w:jc w:val="both"/>
              <w:rPr>
                <w:rFonts w:ascii="Times New Roman" w:hAnsi="Times New Roman"/>
                <w:b/>
                <w:bCs/>
                <w:color w:val="000000" w:themeColor="text1"/>
              </w:rPr>
            </w:pPr>
          </w:p>
        </w:tc>
        <w:tc>
          <w:tcPr>
            <w:tcW w:w="7225" w:type="dxa"/>
            <w:vAlign w:val="center"/>
          </w:tcPr>
          <w:p w14:paraId="328061FB" w14:textId="77777777" w:rsidR="005F3FB7" w:rsidRPr="00260790"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Loi n</w:t>
            </w:r>
            <w:r w:rsidRPr="00260790">
              <w:rPr>
                <w:rFonts w:ascii="Times New Roman" w:hAnsi="Times New Roman"/>
                <w:color w:val="000000" w:themeColor="text1"/>
                <w:vertAlign w:val="superscript"/>
              </w:rPr>
              <w:t>o</w:t>
            </w:r>
            <w:r w:rsidRPr="00260790">
              <w:rPr>
                <w:rFonts w:ascii="Times New Roman" w:hAnsi="Times New Roman"/>
                <w:color w:val="000000" w:themeColor="text1"/>
              </w:rPr>
              <w:t xml:space="preserve"> 97-17 du 1</w:t>
            </w:r>
            <w:r w:rsidRPr="00260790">
              <w:rPr>
                <w:rFonts w:ascii="Times New Roman" w:hAnsi="Times New Roman"/>
                <w:color w:val="000000" w:themeColor="text1"/>
                <w:vertAlign w:val="superscript"/>
              </w:rPr>
              <w:t>er</w:t>
            </w:r>
            <w:r w:rsidRPr="00260790">
              <w:rPr>
                <w:rFonts w:ascii="Times New Roman" w:hAnsi="Times New Roman"/>
                <w:color w:val="000000" w:themeColor="text1"/>
              </w:rPr>
              <w:t xml:space="preserve"> décembre 1997 portant Code du travail</w:t>
            </w:r>
          </w:p>
        </w:tc>
      </w:tr>
      <w:tr w:rsidR="00BD1A2F" w:rsidRPr="00260790" w14:paraId="14E2766E" w14:textId="77777777" w:rsidTr="005F3FB7">
        <w:trPr>
          <w:cantSplit/>
          <w:trHeight w:val="255"/>
          <w:jc w:val="center"/>
        </w:trPr>
        <w:tc>
          <w:tcPr>
            <w:tcW w:w="2130" w:type="dxa"/>
            <w:vMerge/>
            <w:vAlign w:val="center"/>
          </w:tcPr>
          <w:p w14:paraId="4303CF11" w14:textId="77777777" w:rsidR="005F3FB7" w:rsidRPr="00260790" w:rsidRDefault="005F3FB7" w:rsidP="00E20250">
            <w:pPr>
              <w:spacing w:after="0" w:line="240" w:lineRule="auto"/>
              <w:ind w:left="360"/>
              <w:jc w:val="both"/>
              <w:rPr>
                <w:rFonts w:ascii="Times New Roman" w:hAnsi="Times New Roman"/>
                <w:b/>
                <w:bCs/>
                <w:color w:val="000000" w:themeColor="text1"/>
              </w:rPr>
            </w:pPr>
          </w:p>
        </w:tc>
        <w:tc>
          <w:tcPr>
            <w:tcW w:w="7225" w:type="dxa"/>
            <w:vAlign w:val="center"/>
          </w:tcPr>
          <w:p w14:paraId="042B86E3" w14:textId="77777777" w:rsidR="005F3FB7" w:rsidRPr="00260790" w:rsidRDefault="005F3FB7" w:rsidP="00E20250">
            <w:pPr>
              <w:spacing w:after="0" w:line="240" w:lineRule="auto"/>
              <w:ind w:left="37"/>
              <w:jc w:val="both"/>
              <w:rPr>
                <w:rFonts w:ascii="Times New Roman" w:hAnsi="Times New Roman"/>
                <w:color w:val="000000" w:themeColor="text1"/>
              </w:rPr>
            </w:pPr>
            <w:r w:rsidRPr="00260790">
              <w:rPr>
                <w:rFonts w:ascii="Times New Roman" w:hAnsi="Times New Roman"/>
                <w:color w:val="000000" w:themeColor="text1"/>
              </w:rPr>
              <w:t>Décret N</w:t>
            </w:r>
            <w:r w:rsidRPr="00260790">
              <w:rPr>
                <w:rFonts w:ascii="Times New Roman" w:hAnsi="Times New Roman"/>
                <w:color w:val="000000" w:themeColor="text1"/>
                <w:vertAlign w:val="superscript"/>
              </w:rPr>
              <w:t>o</w:t>
            </w:r>
            <w:r w:rsidRPr="00260790">
              <w:rPr>
                <w:rFonts w:ascii="Times New Roman" w:hAnsi="Times New Roman"/>
                <w:color w:val="000000" w:themeColor="text1"/>
              </w:rPr>
              <w:t xml:space="preserve"> 94-244 du 07 mars 1994 fixant les modalités d’organisation et de fonctionnement des comités d’hygiène et de sécurité du travail</w:t>
            </w:r>
          </w:p>
        </w:tc>
      </w:tr>
      <w:tr w:rsidR="00BD1A2F" w:rsidRPr="00260790" w14:paraId="45756DEA" w14:textId="77777777" w:rsidTr="005F3FB7">
        <w:trPr>
          <w:cantSplit/>
          <w:trHeight w:val="255"/>
          <w:jc w:val="center"/>
        </w:trPr>
        <w:tc>
          <w:tcPr>
            <w:tcW w:w="2130" w:type="dxa"/>
            <w:vMerge/>
            <w:vAlign w:val="center"/>
          </w:tcPr>
          <w:p w14:paraId="4EE603C5" w14:textId="77777777" w:rsidR="005F3FB7" w:rsidRPr="00260790" w:rsidRDefault="005F3FB7" w:rsidP="00E20250">
            <w:pPr>
              <w:spacing w:after="0" w:line="240" w:lineRule="auto"/>
              <w:ind w:left="360"/>
              <w:jc w:val="both"/>
              <w:rPr>
                <w:rFonts w:ascii="Times New Roman" w:hAnsi="Times New Roman"/>
                <w:b/>
                <w:bCs/>
                <w:color w:val="000000" w:themeColor="text1"/>
              </w:rPr>
            </w:pPr>
          </w:p>
        </w:tc>
        <w:tc>
          <w:tcPr>
            <w:tcW w:w="7225" w:type="dxa"/>
            <w:vAlign w:val="center"/>
          </w:tcPr>
          <w:p w14:paraId="692B840A" w14:textId="77777777" w:rsidR="005F3FB7" w:rsidRPr="00260790"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Décret n°2006-1249 du 15 novembre 2006 fixant les prescriptions minimales de santé et de sécurité pour les chantiers temporaires ou mobiles</w:t>
            </w:r>
          </w:p>
        </w:tc>
      </w:tr>
      <w:tr w:rsidR="005F3FB7" w:rsidRPr="00260790" w14:paraId="00F08443" w14:textId="77777777" w:rsidTr="005F3FB7">
        <w:trPr>
          <w:cantSplit/>
          <w:trHeight w:val="255"/>
          <w:jc w:val="center"/>
        </w:trPr>
        <w:tc>
          <w:tcPr>
            <w:tcW w:w="2130" w:type="dxa"/>
            <w:vAlign w:val="center"/>
          </w:tcPr>
          <w:p w14:paraId="450694A1" w14:textId="77777777" w:rsidR="005F3FB7" w:rsidRPr="00260790" w:rsidRDefault="005F3FB7" w:rsidP="00E20250">
            <w:pPr>
              <w:spacing w:after="0" w:line="240" w:lineRule="auto"/>
              <w:ind w:left="22"/>
              <w:jc w:val="both"/>
              <w:rPr>
                <w:rFonts w:ascii="Times New Roman" w:hAnsi="Times New Roman"/>
                <w:b/>
                <w:bCs/>
                <w:color w:val="000000" w:themeColor="text1"/>
              </w:rPr>
            </w:pPr>
            <w:r w:rsidRPr="00260790">
              <w:rPr>
                <w:rFonts w:ascii="Times New Roman" w:hAnsi="Times New Roman"/>
                <w:b/>
                <w:bCs/>
                <w:color w:val="000000" w:themeColor="text1"/>
              </w:rPr>
              <w:t>Droits fondamentaux des travailleurs</w:t>
            </w:r>
          </w:p>
        </w:tc>
        <w:tc>
          <w:tcPr>
            <w:tcW w:w="7225" w:type="dxa"/>
            <w:vAlign w:val="center"/>
          </w:tcPr>
          <w:p w14:paraId="2880D089" w14:textId="77777777" w:rsidR="005F3FB7" w:rsidRPr="00260790"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La Constitution sénégalaise adoptée par référendum du 7 janvier 2001</w:t>
            </w:r>
          </w:p>
          <w:p w14:paraId="70CCEEC2" w14:textId="77777777" w:rsidR="005F3FB7" w:rsidRPr="00260790"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Le nouveau Code du travail sénégalais issu de la loi no 97-17 du 1er décembre 1997 est la principale source du droit du travail</w:t>
            </w:r>
          </w:p>
        </w:tc>
      </w:tr>
    </w:tbl>
    <w:p w14:paraId="260EB484" w14:textId="77777777" w:rsidR="005F3FB7" w:rsidRPr="00260790" w:rsidRDefault="005F3FB7" w:rsidP="00E20250">
      <w:pPr>
        <w:spacing w:before="120" w:after="120" w:line="240" w:lineRule="auto"/>
        <w:ind w:left="720"/>
        <w:contextualSpacing/>
        <w:jc w:val="both"/>
        <w:rPr>
          <w:rFonts w:ascii="Times New Roman" w:hAnsi="Times New Roman"/>
          <w:b/>
          <w:bCs/>
          <w:color w:val="000000" w:themeColor="text1"/>
        </w:rPr>
      </w:pPr>
    </w:p>
    <w:p w14:paraId="1D2FEBF2" w14:textId="77777777" w:rsidR="005F3FB7" w:rsidRPr="00260790" w:rsidRDefault="005F3FB7" w:rsidP="001748C6">
      <w:pPr>
        <w:numPr>
          <w:ilvl w:val="0"/>
          <w:numId w:val="82"/>
        </w:numPr>
        <w:spacing w:before="120" w:after="120" w:line="240" w:lineRule="auto"/>
        <w:contextualSpacing/>
        <w:jc w:val="both"/>
        <w:rPr>
          <w:rFonts w:ascii="Times New Roman" w:hAnsi="Times New Roman"/>
          <w:b/>
          <w:bCs/>
          <w:color w:val="000000" w:themeColor="text1"/>
        </w:rPr>
      </w:pPr>
      <w:r w:rsidRPr="00260790">
        <w:rPr>
          <w:rFonts w:ascii="Times New Roman" w:hAnsi="Times New Roman"/>
          <w:b/>
          <w:bCs/>
          <w:color w:val="000000" w:themeColor="text1"/>
        </w:rPr>
        <w:t xml:space="preserve">Implantation du chantier (installations de chantier) </w:t>
      </w:r>
    </w:p>
    <w:p w14:paraId="527B6689" w14:textId="77777777" w:rsidR="005F3FB7" w:rsidRPr="00260790" w:rsidRDefault="005F3FB7" w:rsidP="00E20250">
      <w:pPr>
        <w:spacing w:before="120" w:after="12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Préalablement à l'occupation des sites par ses installations, l'entrepreneur peut demander l'établissement préalable d'un constat des lieux. Ce constat est alors établi contradictoirement par le maître d’œuvre concerné par le site, en présence de l'entrepreneur. </w:t>
      </w:r>
    </w:p>
    <w:p w14:paraId="63198021" w14:textId="77777777" w:rsidR="005F3FB7" w:rsidRPr="00260790" w:rsidRDefault="005F3FB7" w:rsidP="00E20250">
      <w:pPr>
        <w:spacing w:before="120" w:after="120" w:line="240" w:lineRule="auto"/>
        <w:jc w:val="both"/>
        <w:rPr>
          <w:rFonts w:ascii="Times New Roman" w:hAnsi="Times New Roman"/>
          <w:color w:val="000000" w:themeColor="text1"/>
        </w:rPr>
      </w:pPr>
      <w:r w:rsidRPr="00260790">
        <w:rPr>
          <w:rFonts w:ascii="Times New Roman" w:hAnsi="Times New Roman"/>
          <w:color w:val="000000" w:themeColor="text1"/>
        </w:rPr>
        <w:t>Le plan d’installation de chantier devra tenir compte autant que possible, des aménagements et mesures de protection suivants :</w:t>
      </w:r>
    </w:p>
    <w:p w14:paraId="645558CA" w14:textId="77777777" w:rsidR="005F3FB7" w:rsidRPr="00260790" w:rsidRDefault="005F3FB7" w:rsidP="001748C6">
      <w:pPr>
        <w:numPr>
          <w:ilvl w:val="0"/>
          <w:numId w:val="83"/>
        </w:numPr>
        <w:spacing w:before="120" w:after="120" w:line="240" w:lineRule="auto"/>
        <w:contextualSpacing/>
        <w:jc w:val="both"/>
        <w:rPr>
          <w:rFonts w:ascii="Times New Roman" w:hAnsi="Times New Roman"/>
          <w:color w:val="000000" w:themeColor="text1"/>
        </w:rPr>
      </w:pPr>
      <w:proofErr w:type="gramStart"/>
      <w:r w:rsidRPr="00260790">
        <w:rPr>
          <w:rFonts w:ascii="Times New Roman" w:hAnsi="Times New Roman"/>
          <w:color w:val="000000" w:themeColor="text1"/>
        </w:rPr>
        <w:t>le</w:t>
      </w:r>
      <w:proofErr w:type="gramEnd"/>
      <w:r w:rsidRPr="00260790">
        <w:rPr>
          <w:rFonts w:ascii="Times New Roman" w:hAnsi="Times New Roman"/>
          <w:color w:val="000000" w:themeColor="text1"/>
        </w:rPr>
        <w:t xml:space="preserve"> site choisi doit être situé à une distance d’au moins 100 m des points et plans d’eau ;</w:t>
      </w:r>
    </w:p>
    <w:p w14:paraId="393C1F51" w14:textId="77777777" w:rsidR="005F3FB7" w:rsidRPr="00260790" w:rsidRDefault="005F3FB7" w:rsidP="001748C6">
      <w:pPr>
        <w:numPr>
          <w:ilvl w:val="0"/>
          <w:numId w:val="83"/>
        </w:numPr>
        <w:spacing w:before="120" w:after="120" w:line="240" w:lineRule="auto"/>
        <w:contextualSpacing/>
        <w:jc w:val="both"/>
        <w:rPr>
          <w:rFonts w:ascii="Times New Roman" w:hAnsi="Times New Roman"/>
          <w:color w:val="000000" w:themeColor="text1"/>
        </w:rPr>
      </w:pPr>
      <w:proofErr w:type="gramStart"/>
      <w:r w:rsidRPr="00260790">
        <w:rPr>
          <w:rFonts w:ascii="Times New Roman" w:hAnsi="Times New Roman"/>
          <w:color w:val="000000" w:themeColor="text1"/>
        </w:rPr>
        <w:t>le</w:t>
      </w:r>
      <w:proofErr w:type="gramEnd"/>
      <w:r w:rsidRPr="00260790">
        <w:rPr>
          <w:rFonts w:ascii="Times New Roman" w:hAnsi="Times New Roman"/>
          <w:color w:val="000000" w:themeColor="text1"/>
        </w:rPr>
        <w:t xml:space="preserve"> site doit être éloigné des habitations d’au moins 100 m pour éviter les nuisances ;</w:t>
      </w:r>
    </w:p>
    <w:p w14:paraId="528A2969" w14:textId="77777777" w:rsidR="005F3FB7" w:rsidRPr="00260790" w:rsidRDefault="005F3FB7" w:rsidP="001748C6">
      <w:pPr>
        <w:numPr>
          <w:ilvl w:val="0"/>
          <w:numId w:val="83"/>
        </w:numPr>
        <w:spacing w:before="120" w:after="120" w:line="240" w:lineRule="auto"/>
        <w:contextualSpacing/>
        <w:jc w:val="both"/>
        <w:rPr>
          <w:rFonts w:ascii="Times New Roman" w:hAnsi="Times New Roman"/>
          <w:color w:val="000000" w:themeColor="text1"/>
        </w:rPr>
      </w:pPr>
      <w:proofErr w:type="gramStart"/>
      <w:r w:rsidRPr="00260790">
        <w:rPr>
          <w:rFonts w:ascii="Times New Roman" w:hAnsi="Times New Roman"/>
          <w:color w:val="000000" w:themeColor="text1"/>
        </w:rPr>
        <w:t>le</w:t>
      </w:r>
      <w:proofErr w:type="gramEnd"/>
      <w:r w:rsidRPr="00260790">
        <w:rPr>
          <w:rFonts w:ascii="Times New Roman" w:hAnsi="Times New Roman"/>
          <w:color w:val="000000" w:themeColor="text1"/>
        </w:rPr>
        <w:t xml:space="preserve"> site doit être distant d’au moins 30 m des voies de communication (pistes, routes, etc.).</w:t>
      </w:r>
    </w:p>
    <w:p w14:paraId="196389D2" w14:textId="77777777" w:rsidR="005F3FB7" w:rsidRPr="00260790" w:rsidRDefault="005F3FB7" w:rsidP="00E20250">
      <w:pPr>
        <w:spacing w:before="120" w:after="120" w:line="240" w:lineRule="auto"/>
        <w:jc w:val="both"/>
        <w:rPr>
          <w:rFonts w:ascii="Times New Roman" w:hAnsi="Times New Roman"/>
          <w:color w:val="000000" w:themeColor="text1"/>
        </w:rPr>
      </w:pPr>
      <w:r w:rsidRPr="00260790">
        <w:rPr>
          <w:rFonts w:ascii="Times New Roman" w:hAnsi="Times New Roman"/>
          <w:color w:val="000000" w:themeColor="text1"/>
        </w:rPr>
        <w:t>Enfin, le site devra être choisi en dehors des zones sensibles afin de limiter l’abattage des arbres, la destruction d’habitations, de magasins, de commerces ou d’ateliers, de zones agricoles, d’élevage ou de maraichage.</w:t>
      </w:r>
    </w:p>
    <w:p w14:paraId="1AAB0D9D" w14:textId="77777777" w:rsidR="005F3FB7" w:rsidRPr="00260790" w:rsidRDefault="005F3FB7" w:rsidP="00E20250">
      <w:pPr>
        <w:spacing w:before="120" w:after="120" w:line="240" w:lineRule="auto"/>
        <w:jc w:val="both"/>
        <w:rPr>
          <w:rFonts w:ascii="Times New Roman" w:hAnsi="Times New Roman"/>
          <w:color w:val="000000" w:themeColor="text1"/>
        </w:rPr>
      </w:pPr>
      <w:r w:rsidRPr="00260790">
        <w:rPr>
          <w:rFonts w:ascii="Times New Roman" w:hAnsi="Times New Roman"/>
          <w:color w:val="000000" w:themeColor="text1"/>
        </w:rPr>
        <w:t>Les aires de stockage ou de manipulation de produits dangereux, toxiques, inflammables ou polluants devront être aménagées afin d’assurer une protection efficace du sol et du sous-sol.</w:t>
      </w:r>
    </w:p>
    <w:p w14:paraId="2F360F16" w14:textId="77777777" w:rsidR="005F3FB7" w:rsidRPr="00260790" w:rsidRDefault="005F3FB7" w:rsidP="001748C6">
      <w:pPr>
        <w:numPr>
          <w:ilvl w:val="0"/>
          <w:numId w:val="82"/>
        </w:numPr>
        <w:spacing w:before="120" w:after="120" w:line="240" w:lineRule="auto"/>
        <w:contextualSpacing/>
        <w:jc w:val="both"/>
        <w:rPr>
          <w:rFonts w:ascii="Times New Roman" w:hAnsi="Times New Roman"/>
          <w:b/>
          <w:bCs/>
          <w:color w:val="000000" w:themeColor="text1"/>
        </w:rPr>
      </w:pPr>
      <w:r w:rsidRPr="00260790">
        <w:rPr>
          <w:rFonts w:ascii="Times New Roman" w:hAnsi="Times New Roman"/>
          <w:b/>
          <w:bCs/>
          <w:color w:val="000000" w:themeColor="text1"/>
        </w:rPr>
        <w:t>Permis/autorisations/protocoles avant le démarrage des travaux</w:t>
      </w:r>
    </w:p>
    <w:p w14:paraId="47ED8AAB" w14:textId="77777777" w:rsidR="005F3FB7" w:rsidRPr="00260790" w:rsidRDefault="005F3FB7" w:rsidP="00E20250">
      <w:pPr>
        <w:spacing w:before="120" w:after="120" w:line="240" w:lineRule="auto"/>
        <w:jc w:val="both"/>
        <w:rPr>
          <w:rFonts w:ascii="Times New Roman" w:hAnsi="Times New Roman"/>
          <w:color w:val="000000" w:themeColor="text1"/>
        </w:rPr>
      </w:pPr>
      <w:r w:rsidRPr="00260790">
        <w:rPr>
          <w:rFonts w:ascii="Times New Roman" w:hAnsi="Times New Roman"/>
          <w:color w:val="000000" w:themeColor="text1"/>
        </w:rPr>
        <w:t>L’entreprise est tenue de connaître et de se conformer aux lois et règlements nationaux concernant la protection de l’environnement et des ressources naturelles. Avant de commencer les travaux, elle devra se procurer toutes les autorisations nécessaires (</w:t>
      </w:r>
      <w:r w:rsidRPr="00260790">
        <w:rPr>
          <w:rFonts w:ascii="Times New Roman" w:hAnsi="Times New Roman"/>
          <w:b/>
          <w:color w:val="000000" w:themeColor="text1"/>
          <w:u w:val="single"/>
        </w:rPr>
        <w:t>Eaux et forêts</w:t>
      </w:r>
      <w:r w:rsidRPr="00260790">
        <w:rPr>
          <w:rFonts w:ascii="Times New Roman" w:hAnsi="Times New Roman"/>
          <w:color w:val="000000" w:themeColor="text1"/>
        </w:rPr>
        <w:t xml:space="preserve"> pour l’abatage des espèces végétales situées dans les emprises, </w:t>
      </w:r>
      <w:r w:rsidRPr="00260790">
        <w:rPr>
          <w:rFonts w:ascii="Times New Roman" w:hAnsi="Times New Roman"/>
          <w:b/>
          <w:color w:val="000000" w:themeColor="text1"/>
        </w:rPr>
        <w:t>Mines &amp; Géologie</w:t>
      </w:r>
      <w:r w:rsidRPr="00260790">
        <w:rPr>
          <w:rFonts w:ascii="Times New Roman" w:hAnsi="Times New Roman"/>
          <w:color w:val="000000" w:themeColor="text1"/>
        </w:rPr>
        <w:t xml:space="preserve"> pour l’ouverture et l’exploitation des carrières/emprunts, </w:t>
      </w:r>
      <w:r w:rsidRPr="00260790">
        <w:rPr>
          <w:rFonts w:ascii="Times New Roman" w:hAnsi="Times New Roman"/>
          <w:b/>
          <w:color w:val="000000" w:themeColor="text1"/>
        </w:rPr>
        <w:t>Hydraulique</w:t>
      </w:r>
      <w:r w:rsidRPr="00260790">
        <w:rPr>
          <w:rFonts w:ascii="Times New Roman" w:hAnsi="Times New Roman"/>
          <w:color w:val="000000" w:themeColor="text1"/>
        </w:rPr>
        <w:t xml:space="preserve"> pour la construction de forage et utilisation de points d’eau, </w:t>
      </w:r>
      <w:r w:rsidRPr="00260790">
        <w:rPr>
          <w:rFonts w:ascii="Times New Roman" w:hAnsi="Times New Roman"/>
          <w:b/>
          <w:color w:val="000000" w:themeColor="text1"/>
        </w:rPr>
        <w:t>Inspection du Travail</w:t>
      </w:r>
      <w:r w:rsidRPr="00260790">
        <w:rPr>
          <w:rFonts w:ascii="Times New Roman" w:hAnsi="Times New Roman"/>
          <w:color w:val="000000" w:themeColor="text1"/>
        </w:rPr>
        <w:t xml:space="preserve"> pour la déclaration du chantier, </w:t>
      </w:r>
      <w:r w:rsidRPr="00260790">
        <w:rPr>
          <w:rFonts w:ascii="Times New Roman" w:hAnsi="Times New Roman"/>
          <w:b/>
          <w:color w:val="000000" w:themeColor="text1"/>
        </w:rPr>
        <w:t xml:space="preserve">Commune </w:t>
      </w:r>
      <w:r w:rsidRPr="00260790">
        <w:rPr>
          <w:rFonts w:ascii="Times New Roman" w:hAnsi="Times New Roman"/>
          <w:color w:val="000000" w:themeColor="text1"/>
        </w:rPr>
        <w:t xml:space="preserve">pour la mise en dépôt de déchets, etc.). </w:t>
      </w:r>
    </w:p>
    <w:p w14:paraId="7EEDAD7D" w14:textId="77777777" w:rsidR="005F3FB7" w:rsidRPr="00260790" w:rsidRDefault="005F3FB7" w:rsidP="001748C6">
      <w:pPr>
        <w:numPr>
          <w:ilvl w:val="0"/>
          <w:numId w:val="82"/>
        </w:numPr>
        <w:spacing w:before="120" w:after="120" w:line="240" w:lineRule="auto"/>
        <w:contextualSpacing/>
        <w:jc w:val="both"/>
        <w:rPr>
          <w:rFonts w:ascii="Times New Roman" w:hAnsi="Times New Roman"/>
          <w:b/>
          <w:bCs/>
          <w:color w:val="000000" w:themeColor="text1"/>
        </w:rPr>
      </w:pPr>
      <w:r w:rsidRPr="00260790">
        <w:rPr>
          <w:rFonts w:ascii="Times New Roman" w:hAnsi="Times New Roman"/>
          <w:b/>
          <w:bCs/>
          <w:color w:val="000000" w:themeColor="text1"/>
        </w:rPr>
        <w:t xml:space="preserve">Barrières et clôtures de chantiers </w:t>
      </w:r>
    </w:p>
    <w:p w14:paraId="7F259FC6" w14:textId="77777777" w:rsidR="005F3FB7" w:rsidRPr="00260790" w:rsidRDefault="005F3FB7" w:rsidP="00E20250">
      <w:pPr>
        <w:spacing w:before="120" w:after="120" w:line="240" w:lineRule="auto"/>
        <w:jc w:val="both"/>
        <w:rPr>
          <w:rFonts w:ascii="Times New Roman" w:hAnsi="Times New Roman"/>
          <w:color w:val="000000" w:themeColor="text1"/>
        </w:rPr>
      </w:pPr>
      <w:r w:rsidRPr="00260790">
        <w:rPr>
          <w:rFonts w:ascii="Times New Roman" w:hAnsi="Times New Roman"/>
          <w:color w:val="000000" w:themeColor="text1"/>
        </w:rPr>
        <w:t xml:space="preserve">L’entrepreneur doit maintenir en état les clôtures et barrières de son chantier. Si le dispositif de mise en place des barrières nécessite des remises en ordre, le Maître d'Œuvre le notifiera à l'entreprise. Si le désordre est constaté en heures ouvrées, il est d’abord notifié une « mise en demeure » à l’entreprise défaillante. Si le désordre est constaté en heures chômées, l’intervention est automatiquement déclenchée à partir de l’astreinte. </w:t>
      </w:r>
    </w:p>
    <w:p w14:paraId="616F6970" w14:textId="77777777" w:rsidR="005F3FB7" w:rsidRPr="00260790" w:rsidRDefault="005F3FB7" w:rsidP="001748C6">
      <w:pPr>
        <w:numPr>
          <w:ilvl w:val="0"/>
          <w:numId w:val="82"/>
        </w:numPr>
        <w:spacing w:before="120" w:after="120" w:line="240" w:lineRule="auto"/>
        <w:contextualSpacing/>
        <w:jc w:val="both"/>
        <w:rPr>
          <w:rFonts w:ascii="Times New Roman" w:hAnsi="Times New Roman"/>
          <w:b/>
          <w:bCs/>
          <w:color w:val="000000" w:themeColor="text1"/>
        </w:rPr>
      </w:pPr>
      <w:r w:rsidRPr="00260790">
        <w:rPr>
          <w:rFonts w:ascii="Times New Roman" w:hAnsi="Times New Roman"/>
          <w:b/>
          <w:bCs/>
          <w:color w:val="000000" w:themeColor="text1"/>
        </w:rPr>
        <w:t xml:space="preserve">Équipements </w:t>
      </w:r>
    </w:p>
    <w:p w14:paraId="0A2CC6EE" w14:textId="77777777" w:rsidR="005F3FB7" w:rsidRPr="00260790" w:rsidRDefault="005F3FB7" w:rsidP="00E20250">
      <w:pPr>
        <w:spacing w:before="120" w:after="120" w:line="240" w:lineRule="auto"/>
        <w:jc w:val="both"/>
        <w:rPr>
          <w:rFonts w:ascii="Times New Roman" w:hAnsi="Times New Roman"/>
          <w:color w:val="000000" w:themeColor="text1"/>
        </w:rPr>
      </w:pPr>
      <w:r w:rsidRPr="00260790">
        <w:rPr>
          <w:rFonts w:ascii="Times New Roman" w:hAnsi="Times New Roman"/>
          <w:color w:val="000000" w:themeColor="text1"/>
        </w:rPr>
        <w:t xml:space="preserve">Les aires de bureaux et de logement doivent être pourvues d’installations sanitaires (latrines, fosses septiques, puits perdus, lavabos et douches) en fonction du nombre des ouvriers. Des réservoirs d’eau devront être installés en quantité et qualité suffisantes et adéquates aux besoins. </w:t>
      </w:r>
    </w:p>
    <w:p w14:paraId="72D858BF" w14:textId="77777777" w:rsidR="005F3FB7" w:rsidRPr="00260790" w:rsidRDefault="005F3FB7" w:rsidP="001748C6">
      <w:pPr>
        <w:numPr>
          <w:ilvl w:val="0"/>
          <w:numId w:val="82"/>
        </w:numPr>
        <w:spacing w:before="120" w:after="120" w:line="240" w:lineRule="auto"/>
        <w:contextualSpacing/>
        <w:jc w:val="both"/>
        <w:rPr>
          <w:rFonts w:ascii="Times New Roman" w:hAnsi="Times New Roman"/>
          <w:b/>
          <w:bCs/>
          <w:color w:val="000000" w:themeColor="text1"/>
        </w:rPr>
      </w:pPr>
      <w:r w:rsidRPr="00260790">
        <w:rPr>
          <w:rFonts w:ascii="Times New Roman" w:hAnsi="Times New Roman"/>
          <w:b/>
          <w:bCs/>
          <w:color w:val="000000" w:themeColor="text1"/>
        </w:rPr>
        <w:t xml:space="preserve">Règlement intérieur </w:t>
      </w:r>
    </w:p>
    <w:p w14:paraId="70D191BE" w14:textId="77777777" w:rsidR="005F3FB7" w:rsidRPr="00260790" w:rsidRDefault="005F3FB7" w:rsidP="00E20250">
      <w:pPr>
        <w:spacing w:before="120" w:after="120" w:line="240" w:lineRule="auto"/>
        <w:ind w:left="576" w:hanging="576"/>
        <w:jc w:val="both"/>
        <w:rPr>
          <w:rFonts w:ascii="Times New Roman" w:hAnsi="Times New Roman"/>
          <w:color w:val="000000" w:themeColor="text1"/>
        </w:rPr>
      </w:pPr>
      <w:r w:rsidRPr="00260790">
        <w:rPr>
          <w:rFonts w:ascii="Times New Roman" w:hAnsi="Times New Roman"/>
          <w:color w:val="000000" w:themeColor="text1"/>
        </w:rPr>
        <w:t xml:space="preserve">Un règlement interne de l’installation du chantier doit mentionner spécifiquement : </w:t>
      </w:r>
    </w:p>
    <w:p w14:paraId="32D117B1" w14:textId="77777777" w:rsidR="005F3FB7" w:rsidRPr="00260790" w:rsidRDefault="005F3FB7" w:rsidP="001748C6">
      <w:pPr>
        <w:numPr>
          <w:ilvl w:val="0"/>
          <w:numId w:val="83"/>
        </w:numPr>
        <w:spacing w:before="120" w:after="120" w:line="240" w:lineRule="auto"/>
        <w:contextualSpacing/>
        <w:jc w:val="both"/>
        <w:rPr>
          <w:rFonts w:ascii="Times New Roman" w:hAnsi="Times New Roman"/>
          <w:color w:val="000000" w:themeColor="text1"/>
        </w:rPr>
      </w:pPr>
      <w:r w:rsidRPr="00260790">
        <w:rPr>
          <w:rFonts w:ascii="Times New Roman" w:hAnsi="Times New Roman"/>
          <w:color w:val="000000" w:themeColor="text1"/>
        </w:rPr>
        <w:t xml:space="preserve">Le rappel sommaire des bonnes pratiques et comportements sur le chantier (ce qu’il faut faire et ce qu’il ne faut pas faire sur le chantier en matière de protection de l’environnement, les règles d’hygiène et de gestion des déchets, les mesures de sécurités et de protection, les dispositions en cas d’urgence, etc.) </w:t>
      </w:r>
    </w:p>
    <w:p w14:paraId="1A86A9E9" w14:textId="77777777" w:rsidR="005F3FB7" w:rsidRPr="00260790" w:rsidRDefault="005F3FB7" w:rsidP="001748C6">
      <w:pPr>
        <w:numPr>
          <w:ilvl w:val="0"/>
          <w:numId w:val="83"/>
        </w:numPr>
        <w:spacing w:before="120" w:after="120" w:line="240" w:lineRule="auto"/>
        <w:contextualSpacing/>
        <w:jc w:val="both"/>
        <w:rPr>
          <w:rFonts w:ascii="Times New Roman" w:hAnsi="Times New Roman"/>
          <w:color w:val="000000" w:themeColor="text1"/>
        </w:rPr>
      </w:pPr>
      <w:proofErr w:type="gramStart"/>
      <w:r w:rsidRPr="00260790">
        <w:rPr>
          <w:rFonts w:ascii="Times New Roman" w:hAnsi="Times New Roman"/>
          <w:color w:val="000000" w:themeColor="text1"/>
        </w:rPr>
        <w:t>les</w:t>
      </w:r>
      <w:proofErr w:type="gramEnd"/>
      <w:r w:rsidRPr="00260790">
        <w:rPr>
          <w:rFonts w:ascii="Times New Roman" w:hAnsi="Times New Roman"/>
          <w:color w:val="000000" w:themeColor="text1"/>
        </w:rPr>
        <w:t xml:space="preserve"> règles de sécurité (vitesse des véhicules de chantier limitée 40 km/h en agglomération) ; </w:t>
      </w:r>
    </w:p>
    <w:p w14:paraId="3B31037F" w14:textId="2284961F" w:rsidR="005F3FB7" w:rsidRPr="00260790" w:rsidRDefault="005F3FB7" w:rsidP="001748C6">
      <w:pPr>
        <w:numPr>
          <w:ilvl w:val="0"/>
          <w:numId w:val="83"/>
        </w:numPr>
        <w:spacing w:before="120" w:after="120" w:line="240" w:lineRule="auto"/>
        <w:contextualSpacing/>
        <w:jc w:val="both"/>
        <w:rPr>
          <w:rFonts w:ascii="Times New Roman" w:hAnsi="Times New Roman"/>
          <w:color w:val="000000" w:themeColor="text1"/>
        </w:rPr>
      </w:pPr>
      <w:proofErr w:type="gramStart"/>
      <w:r w:rsidRPr="00260790">
        <w:rPr>
          <w:rFonts w:ascii="Times New Roman" w:hAnsi="Times New Roman"/>
          <w:color w:val="000000" w:themeColor="text1"/>
        </w:rPr>
        <w:t>le</w:t>
      </w:r>
      <w:proofErr w:type="gramEnd"/>
      <w:r w:rsidRPr="00260790">
        <w:rPr>
          <w:rFonts w:ascii="Times New Roman" w:hAnsi="Times New Roman"/>
          <w:color w:val="000000" w:themeColor="text1"/>
        </w:rPr>
        <w:t xml:space="preserve"> respect des us et coutumes loc</w:t>
      </w:r>
      <w:r w:rsidR="001747BF" w:rsidRPr="00260790">
        <w:rPr>
          <w:rFonts w:ascii="Times New Roman" w:hAnsi="Times New Roman"/>
          <w:color w:val="000000" w:themeColor="text1"/>
        </w:rPr>
        <w:t>aux</w:t>
      </w:r>
      <w:r w:rsidRPr="00260790">
        <w:rPr>
          <w:rFonts w:ascii="Times New Roman" w:hAnsi="Times New Roman"/>
          <w:color w:val="000000" w:themeColor="text1"/>
        </w:rPr>
        <w:t> ;</w:t>
      </w:r>
    </w:p>
    <w:p w14:paraId="625FED49" w14:textId="77777777" w:rsidR="005F3FB7" w:rsidRPr="00260790" w:rsidRDefault="005F3FB7" w:rsidP="001748C6">
      <w:pPr>
        <w:numPr>
          <w:ilvl w:val="0"/>
          <w:numId w:val="83"/>
        </w:numPr>
        <w:spacing w:before="120" w:after="120" w:line="240" w:lineRule="auto"/>
        <w:contextualSpacing/>
        <w:jc w:val="both"/>
        <w:rPr>
          <w:rFonts w:ascii="Times New Roman" w:hAnsi="Times New Roman"/>
          <w:color w:val="000000" w:themeColor="text1"/>
        </w:rPr>
      </w:pPr>
      <w:proofErr w:type="gramStart"/>
      <w:r w:rsidRPr="00260790">
        <w:rPr>
          <w:rFonts w:ascii="Times New Roman" w:hAnsi="Times New Roman"/>
          <w:color w:val="000000" w:themeColor="text1"/>
        </w:rPr>
        <w:t>la</w:t>
      </w:r>
      <w:proofErr w:type="gramEnd"/>
      <w:r w:rsidRPr="00260790">
        <w:rPr>
          <w:rFonts w:ascii="Times New Roman" w:hAnsi="Times New Roman"/>
          <w:color w:val="000000" w:themeColor="text1"/>
        </w:rPr>
        <w:t xml:space="preserve"> protection contre les IST/VIH/SIDA et contre la maladie à coronavirus ; </w:t>
      </w:r>
    </w:p>
    <w:p w14:paraId="151EF4AC" w14:textId="77777777" w:rsidR="005F3FB7" w:rsidRPr="00260790" w:rsidRDefault="005F3FB7" w:rsidP="001748C6">
      <w:pPr>
        <w:numPr>
          <w:ilvl w:val="0"/>
          <w:numId w:val="83"/>
        </w:numPr>
        <w:spacing w:before="120" w:after="120" w:line="240" w:lineRule="auto"/>
        <w:contextualSpacing/>
        <w:jc w:val="both"/>
        <w:rPr>
          <w:rFonts w:ascii="Times New Roman" w:hAnsi="Times New Roman"/>
          <w:color w:val="000000" w:themeColor="text1"/>
        </w:rPr>
      </w:pPr>
      <w:r w:rsidRPr="00260790">
        <w:rPr>
          <w:rFonts w:ascii="Times New Roman" w:hAnsi="Times New Roman"/>
          <w:color w:val="000000" w:themeColor="text1"/>
        </w:rPr>
        <w:t xml:space="preserve">Les horaires de la journée de travail respectent les lois et règlements nationaux en vigueur à la date d'exécution des prestations ; </w:t>
      </w:r>
    </w:p>
    <w:p w14:paraId="5F9D1438" w14:textId="77777777" w:rsidR="005F3FB7" w:rsidRPr="00260790" w:rsidRDefault="005F3FB7" w:rsidP="001748C6">
      <w:pPr>
        <w:numPr>
          <w:ilvl w:val="0"/>
          <w:numId w:val="83"/>
        </w:numPr>
        <w:spacing w:before="120" w:after="120" w:line="240" w:lineRule="auto"/>
        <w:contextualSpacing/>
        <w:jc w:val="both"/>
        <w:rPr>
          <w:rFonts w:ascii="Times New Roman" w:hAnsi="Times New Roman"/>
          <w:color w:val="000000" w:themeColor="text1"/>
        </w:rPr>
      </w:pPr>
      <w:r w:rsidRPr="00260790">
        <w:rPr>
          <w:rFonts w:ascii="Times New Roman" w:hAnsi="Times New Roman"/>
          <w:color w:val="000000" w:themeColor="text1"/>
        </w:rPr>
        <w:lastRenderedPageBreak/>
        <w:t xml:space="preserve">Le calendrier des jours fériés. </w:t>
      </w:r>
    </w:p>
    <w:p w14:paraId="281D88DA" w14:textId="77777777" w:rsidR="005F3FB7" w:rsidRPr="00260790" w:rsidRDefault="005F3FB7" w:rsidP="00E20250">
      <w:pPr>
        <w:spacing w:before="120" w:after="120" w:line="240" w:lineRule="auto"/>
        <w:jc w:val="both"/>
        <w:rPr>
          <w:rFonts w:ascii="Times New Roman" w:hAnsi="Times New Roman"/>
          <w:color w:val="000000" w:themeColor="text1"/>
        </w:rPr>
      </w:pPr>
      <w:r w:rsidRPr="00260790">
        <w:rPr>
          <w:rFonts w:ascii="Times New Roman" w:hAnsi="Times New Roman"/>
          <w:color w:val="000000" w:themeColor="text1"/>
        </w:rPr>
        <w:t xml:space="preserve">Des séances d’information et de sensibilisation sont à tenir régulièrement et le règlement est à afficher visiblement dans les diverses installations. </w:t>
      </w:r>
    </w:p>
    <w:p w14:paraId="1017EB3D" w14:textId="77777777" w:rsidR="005F3FB7" w:rsidRPr="00260790" w:rsidRDefault="005F3FB7" w:rsidP="001748C6">
      <w:pPr>
        <w:numPr>
          <w:ilvl w:val="0"/>
          <w:numId w:val="82"/>
        </w:numPr>
        <w:spacing w:before="120" w:after="120" w:line="240" w:lineRule="auto"/>
        <w:contextualSpacing/>
        <w:jc w:val="both"/>
        <w:rPr>
          <w:rFonts w:ascii="Times New Roman" w:hAnsi="Times New Roman"/>
          <w:b/>
          <w:bCs/>
          <w:color w:val="000000" w:themeColor="text1"/>
        </w:rPr>
      </w:pPr>
      <w:r w:rsidRPr="00260790">
        <w:rPr>
          <w:rFonts w:ascii="Times New Roman" w:hAnsi="Times New Roman"/>
          <w:b/>
          <w:bCs/>
          <w:color w:val="000000" w:themeColor="text1"/>
        </w:rPr>
        <w:t xml:space="preserve">Sécurité sur les chantiers </w:t>
      </w:r>
    </w:p>
    <w:p w14:paraId="00A8470D" w14:textId="77777777" w:rsidR="005F3FB7" w:rsidRPr="00260790" w:rsidRDefault="005F3FB7" w:rsidP="00E20250">
      <w:pPr>
        <w:spacing w:before="120" w:after="120" w:line="240" w:lineRule="auto"/>
        <w:jc w:val="both"/>
        <w:rPr>
          <w:rFonts w:ascii="Times New Roman" w:hAnsi="Times New Roman"/>
          <w:color w:val="000000" w:themeColor="text1"/>
        </w:rPr>
      </w:pPr>
      <w:r w:rsidRPr="00260790">
        <w:rPr>
          <w:rFonts w:ascii="Times New Roman" w:hAnsi="Times New Roman"/>
          <w:color w:val="000000" w:themeColor="text1"/>
        </w:rPr>
        <w:t xml:space="preserve">L’entreprise sera soumise aux régimes particuliers d’hygiène et de sécurité définis par la réglementation en vigueur au Sénégal. Il organisera un service médical courant et d’urgence à la base-vie/base chantier, adapté à l’effectif de son personnel. De plus, il devra disposer dans son équipe d’un Responsable Hygiène Sécurité qui veillera à assurer une sécurité maximum sur le chantier et dans la base-vie/base chantier, tant pour les travailleurs que pour la population et autres personnes en contact avec le chantier. </w:t>
      </w:r>
    </w:p>
    <w:p w14:paraId="52BA6090" w14:textId="77777777" w:rsidR="005F3FB7" w:rsidRPr="00260790" w:rsidRDefault="005F3FB7" w:rsidP="001748C6">
      <w:pPr>
        <w:numPr>
          <w:ilvl w:val="0"/>
          <w:numId w:val="82"/>
        </w:numPr>
        <w:spacing w:before="120" w:after="120" w:line="240" w:lineRule="auto"/>
        <w:contextualSpacing/>
        <w:jc w:val="both"/>
        <w:rPr>
          <w:rFonts w:ascii="Times New Roman" w:hAnsi="Times New Roman"/>
          <w:b/>
          <w:bCs/>
          <w:color w:val="000000" w:themeColor="text1"/>
        </w:rPr>
      </w:pPr>
      <w:r w:rsidRPr="00260790">
        <w:rPr>
          <w:rFonts w:ascii="Times New Roman" w:hAnsi="Times New Roman"/>
          <w:b/>
          <w:bCs/>
          <w:color w:val="000000" w:themeColor="text1"/>
        </w:rPr>
        <w:t>Repérage des réseaux de concessionnaires</w:t>
      </w:r>
    </w:p>
    <w:p w14:paraId="53175FE9" w14:textId="77777777" w:rsidR="005F3FB7" w:rsidRPr="00260790" w:rsidRDefault="005F3FB7" w:rsidP="00E20250">
      <w:pPr>
        <w:spacing w:before="160" w:line="240" w:lineRule="auto"/>
        <w:jc w:val="both"/>
        <w:rPr>
          <w:rFonts w:ascii="Times New Roman" w:hAnsi="Times New Roman"/>
          <w:color w:val="000000" w:themeColor="text1"/>
        </w:rPr>
      </w:pPr>
      <w:r w:rsidRPr="00260790">
        <w:rPr>
          <w:rFonts w:ascii="Times New Roman" w:hAnsi="Times New Roman"/>
          <w:color w:val="000000" w:themeColor="text1"/>
        </w:rPr>
        <w:t>Avant le démarrage des travaux, l’Entrepreneur doit valider le plan de repérage des réseaux des concessionnaires [SONES (eau potable), SENELEC (électricité), SONATEL/EXPRESSO/FREE (téléphone), ONAS (égout)] et s'assurera de l'exactitude de ce plan par des sondages. Toute déviation notée fera l'objet d'un procès-verbal signé par toutes les parties (Entrepreneur, Maître d’œuvre, concessionnaires).</w:t>
      </w:r>
    </w:p>
    <w:p w14:paraId="72D488CB" w14:textId="77777777" w:rsidR="005F3FB7" w:rsidRPr="00260790" w:rsidRDefault="005F3FB7" w:rsidP="00E20250">
      <w:pPr>
        <w:spacing w:before="120" w:after="120" w:line="240" w:lineRule="auto"/>
        <w:ind w:left="576" w:hanging="576"/>
        <w:jc w:val="both"/>
        <w:rPr>
          <w:rFonts w:ascii="Times New Roman" w:hAnsi="Times New Roman"/>
          <w:b/>
          <w:bCs/>
          <w:color w:val="000000" w:themeColor="text1"/>
        </w:rPr>
      </w:pPr>
      <w:r w:rsidRPr="00260790">
        <w:rPr>
          <w:rFonts w:ascii="Times New Roman" w:hAnsi="Times New Roman"/>
          <w:b/>
          <w:bCs/>
          <w:color w:val="000000" w:themeColor="text1"/>
        </w:rPr>
        <w:t>Approvisionnement en eau du chantier</w:t>
      </w:r>
    </w:p>
    <w:p w14:paraId="5E90C3B0"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La recherche et l’exploitation des points d’eau sont à la charge de l’Entrepreneur. L’Entrepreneur doit s’assurer que les besoins en eau du chantier ne portent pas préjudice aux sources d’eau utilisées par les communautés locales. </w:t>
      </w:r>
    </w:p>
    <w:p w14:paraId="72B01F29" w14:textId="6B7A758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L’eau de surface destinée à la consommation humaine (personnel de chantier) doit être désinfectée par chloration ou autre procédé approuvé par les services environnementaux et sanitaires concernés. Si l’eau n’est pas entièrement conforme aux critères de qualité d’une eau potable, l’Entrepreneur doit prendre des mesures alternatives telles que la fourniture d’eau embouteillée ou l’installation de réservoirs d'eau en quantité et en qualité suffisante. Cette eau doit être conforme au règlement sur les eaux potables. Il est possible d’utiliser l’eau non potable pour les toilettes, douches et lavabos. Dans ces cas de figure, l’Entrepreneur doit aviser les employés et placer bien en vue des affiches avec la mention « EAU NON POTABLE ».</w:t>
      </w:r>
    </w:p>
    <w:p w14:paraId="69A85B22" w14:textId="77777777" w:rsidR="005F3FB7" w:rsidRPr="00260790" w:rsidRDefault="005F3FB7" w:rsidP="00E20250">
      <w:pPr>
        <w:spacing w:before="120" w:after="120" w:line="240" w:lineRule="auto"/>
        <w:ind w:left="576" w:hanging="576"/>
        <w:jc w:val="both"/>
        <w:rPr>
          <w:rFonts w:ascii="Times New Roman" w:hAnsi="Times New Roman"/>
          <w:b/>
          <w:bCs/>
          <w:color w:val="000000" w:themeColor="text1"/>
        </w:rPr>
      </w:pPr>
      <w:r w:rsidRPr="00260790">
        <w:rPr>
          <w:rFonts w:ascii="Times New Roman" w:hAnsi="Times New Roman"/>
          <w:b/>
          <w:bCs/>
          <w:color w:val="000000" w:themeColor="text1"/>
        </w:rPr>
        <w:t>Sauvegarde des biens et propriétés riveraines</w:t>
      </w:r>
    </w:p>
    <w:p w14:paraId="7ABD0F46"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L’entrepreneur devra, sous le contrôle de l’expert environnementaliste de la mission de contrôle et de supervision des travaux, nettoyer et éliminer à ses frais toute forme de pollution due à ses activités, et indemniser ceux qui auront subi les effets de cette pollution. </w:t>
      </w:r>
    </w:p>
    <w:p w14:paraId="41FFEE29" w14:textId="77777777" w:rsidR="005F3FB7" w:rsidRPr="00260790" w:rsidRDefault="005F3FB7" w:rsidP="00E20250">
      <w:pPr>
        <w:spacing w:before="120" w:after="120" w:line="240" w:lineRule="auto"/>
        <w:ind w:left="576" w:hanging="576"/>
        <w:jc w:val="both"/>
        <w:rPr>
          <w:rFonts w:ascii="Times New Roman" w:hAnsi="Times New Roman"/>
          <w:b/>
          <w:bCs/>
          <w:color w:val="000000" w:themeColor="text1"/>
        </w:rPr>
      </w:pPr>
      <w:r w:rsidRPr="00260790">
        <w:rPr>
          <w:rFonts w:ascii="Times New Roman" w:hAnsi="Times New Roman"/>
          <w:b/>
          <w:bCs/>
          <w:color w:val="000000" w:themeColor="text1"/>
        </w:rPr>
        <w:t>Protection du personnel de chantier</w:t>
      </w:r>
    </w:p>
    <w:p w14:paraId="12606CF2" w14:textId="77777777" w:rsidR="005F3FB7" w:rsidRPr="00260790" w:rsidRDefault="005F3FB7" w:rsidP="00E20250">
      <w:pPr>
        <w:keepLines/>
        <w:spacing w:after="200" w:line="240" w:lineRule="auto"/>
        <w:jc w:val="both"/>
        <w:rPr>
          <w:rFonts w:ascii="Times New Roman" w:hAnsi="Times New Roman"/>
          <w:color w:val="000000" w:themeColor="text1"/>
        </w:rPr>
      </w:pPr>
      <w:r w:rsidRPr="00260790">
        <w:rPr>
          <w:rFonts w:ascii="Times New Roman" w:hAnsi="Times New Roman"/>
          <w:color w:val="000000" w:themeColor="text1"/>
        </w:rPr>
        <w:t>L’Entrepreneur doit fournir aux travailleurs des vêtements et équipements de protection qui soient appropriés pour l’exécution de leurs activités. Ceux-ci comprennent, cette liste n’étant pas exhaustive :</w:t>
      </w:r>
    </w:p>
    <w:p w14:paraId="18402F6C" w14:textId="77777777" w:rsidR="005F3FB7" w:rsidRPr="00260790" w:rsidRDefault="005F3FB7" w:rsidP="001748C6">
      <w:pPr>
        <w:pStyle w:val="Sansinterligne"/>
        <w:numPr>
          <w:ilvl w:val="0"/>
          <w:numId w:val="108"/>
        </w:numPr>
        <w:rPr>
          <w:rFonts w:ascii="Times New Roman" w:hAnsi="Times New Roman"/>
          <w:color w:val="000000" w:themeColor="text1"/>
          <w:lang w:val="fr-FR"/>
        </w:rPr>
      </w:pPr>
      <w:r w:rsidRPr="00260790">
        <w:rPr>
          <w:rFonts w:ascii="Times New Roman" w:hAnsi="Times New Roman"/>
          <w:color w:val="000000" w:themeColor="text1"/>
          <w:lang w:val="fr-FR"/>
        </w:rPr>
        <w:t>Les bottes Wellington ;</w:t>
      </w:r>
    </w:p>
    <w:p w14:paraId="7167FBDA" w14:textId="77777777" w:rsidR="005F3FB7" w:rsidRPr="00260790" w:rsidRDefault="005F3FB7" w:rsidP="001748C6">
      <w:pPr>
        <w:pStyle w:val="Sansinterligne"/>
        <w:numPr>
          <w:ilvl w:val="0"/>
          <w:numId w:val="108"/>
        </w:numPr>
        <w:rPr>
          <w:rFonts w:ascii="Times New Roman" w:hAnsi="Times New Roman"/>
          <w:color w:val="000000" w:themeColor="text1"/>
          <w:lang w:val="fr-FR"/>
        </w:rPr>
      </w:pPr>
      <w:r w:rsidRPr="00260790">
        <w:rPr>
          <w:rFonts w:ascii="Times New Roman" w:hAnsi="Times New Roman"/>
          <w:color w:val="000000" w:themeColor="text1"/>
          <w:lang w:val="fr-FR"/>
        </w:rPr>
        <w:t>Les bottes de chantier, les bottes à embout d'acier ou des bottes similaires ;</w:t>
      </w:r>
    </w:p>
    <w:p w14:paraId="3D35CE2F" w14:textId="77777777" w:rsidR="005F3FB7" w:rsidRPr="00260790" w:rsidRDefault="005F3FB7" w:rsidP="001748C6">
      <w:pPr>
        <w:pStyle w:val="Sansinterligne"/>
        <w:numPr>
          <w:ilvl w:val="0"/>
          <w:numId w:val="108"/>
        </w:numPr>
        <w:rPr>
          <w:rFonts w:ascii="Times New Roman" w:hAnsi="Times New Roman"/>
          <w:color w:val="000000" w:themeColor="text1"/>
          <w:lang w:val="fr-FR"/>
        </w:rPr>
      </w:pPr>
      <w:r w:rsidRPr="00260790">
        <w:rPr>
          <w:rFonts w:ascii="Times New Roman" w:hAnsi="Times New Roman"/>
          <w:color w:val="000000" w:themeColor="text1"/>
          <w:lang w:val="fr-FR"/>
        </w:rPr>
        <w:t>Les gants de travail ;</w:t>
      </w:r>
    </w:p>
    <w:p w14:paraId="5433C1CE" w14:textId="77777777" w:rsidR="005F3FB7" w:rsidRPr="00260790" w:rsidRDefault="005F3FB7" w:rsidP="001748C6">
      <w:pPr>
        <w:pStyle w:val="Sansinterligne"/>
        <w:numPr>
          <w:ilvl w:val="0"/>
          <w:numId w:val="108"/>
        </w:numPr>
        <w:rPr>
          <w:rFonts w:ascii="Times New Roman" w:hAnsi="Times New Roman"/>
          <w:color w:val="000000" w:themeColor="text1"/>
          <w:lang w:val="fr-FR"/>
        </w:rPr>
      </w:pPr>
      <w:r w:rsidRPr="00260790">
        <w:rPr>
          <w:rFonts w:ascii="Times New Roman" w:hAnsi="Times New Roman"/>
          <w:color w:val="000000" w:themeColor="text1"/>
          <w:lang w:val="fr-FR"/>
        </w:rPr>
        <w:t>Les casques de protection</w:t>
      </w:r>
    </w:p>
    <w:p w14:paraId="609EE8C8" w14:textId="77777777" w:rsidR="005F3FB7" w:rsidRPr="00260790" w:rsidRDefault="005F3FB7" w:rsidP="001748C6">
      <w:pPr>
        <w:pStyle w:val="Sansinterligne"/>
        <w:numPr>
          <w:ilvl w:val="0"/>
          <w:numId w:val="108"/>
        </w:numPr>
        <w:rPr>
          <w:rFonts w:ascii="Times New Roman" w:hAnsi="Times New Roman"/>
          <w:color w:val="000000" w:themeColor="text1"/>
          <w:lang w:val="fr-FR"/>
        </w:rPr>
      </w:pPr>
      <w:r w:rsidRPr="00260790">
        <w:rPr>
          <w:rFonts w:ascii="Times New Roman" w:hAnsi="Times New Roman"/>
          <w:color w:val="000000" w:themeColor="text1"/>
          <w:lang w:val="fr-FR"/>
        </w:rPr>
        <w:t>Les lunettes de protection i</w:t>
      </w:r>
    </w:p>
    <w:p w14:paraId="4B551E8B" w14:textId="77777777" w:rsidR="005F3FB7" w:rsidRPr="00260790" w:rsidRDefault="005F3FB7" w:rsidP="001748C6">
      <w:pPr>
        <w:pStyle w:val="Sansinterligne"/>
        <w:numPr>
          <w:ilvl w:val="0"/>
          <w:numId w:val="108"/>
        </w:numPr>
        <w:rPr>
          <w:rFonts w:ascii="Times New Roman" w:hAnsi="Times New Roman"/>
          <w:color w:val="000000" w:themeColor="text1"/>
          <w:lang w:val="fr-FR"/>
        </w:rPr>
      </w:pPr>
      <w:r w:rsidRPr="00260790">
        <w:rPr>
          <w:rFonts w:ascii="Times New Roman" w:hAnsi="Times New Roman"/>
          <w:color w:val="000000" w:themeColor="text1"/>
          <w:lang w:val="fr-FR"/>
        </w:rPr>
        <w:t>Les protège-oreilles ;</w:t>
      </w:r>
    </w:p>
    <w:p w14:paraId="1B8184D4" w14:textId="77777777" w:rsidR="005F3FB7" w:rsidRPr="00260790" w:rsidRDefault="005F3FB7" w:rsidP="001748C6">
      <w:pPr>
        <w:pStyle w:val="Sansinterligne"/>
        <w:numPr>
          <w:ilvl w:val="0"/>
          <w:numId w:val="108"/>
        </w:numPr>
        <w:rPr>
          <w:rFonts w:ascii="Times New Roman" w:hAnsi="Times New Roman"/>
          <w:color w:val="000000" w:themeColor="text1"/>
          <w:lang w:val="fr-FR"/>
        </w:rPr>
      </w:pPr>
      <w:r w:rsidRPr="00260790">
        <w:rPr>
          <w:rFonts w:ascii="Times New Roman" w:hAnsi="Times New Roman"/>
          <w:color w:val="000000" w:themeColor="text1"/>
          <w:lang w:val="fr-FR"/>
        </w:rPr>
        <w:t xml:space="preserve">Les produits de nettoyage des mains (gel hydro alcoolique désinfectant) </w:t>
      </w:r>
    </w:p>
    <w:p w14:paraId="52D173AF" w14:textId="77777777" w:rsidR="005F3FB7" w:rsidRPr="00260790" w:rsidRDefault="005F3FB7" w:rsidP="001748C6">
      <w:pPr>
        <w:pStyle w:val="Sansinterligne"/>
        <w:numPr>
          <w:ilvl w:val="0"/>
          <w:numId w:val="108"/>
        </w:numPr>
        <w:rPr>
          <w:rFonts w:ascii="Times New Roman" w:hAnsi="Times New Roman"/>
          <w:color w:val="000000" w:themeColor="text1"/>
          <w:lang w:val="fr-FR"/>
        </w:rPr>
      </w:pPr>
      <w:r w:rsidRPr="00260790">
        <w:rPr>
          <w:rFonts w:ascii="Times New Roman" w:hAnsi="Times New Roman"/>
          <w:color w:val="000000" w:themeColor="text1"/>
          <w:lang w:val="fr-FR"/>
        </w:rPr>
        <w:t>Les masques pour éviter l’inhalation de la poussière</w:t>
      </w:r>
    </w:p>
    <w:p w14:paraId="484FE308" w14:textId="77777777" w:rsidR="005F3FB7" w:rsidRPr="00260790" w:rsidRDefault="005F3FB7" w:rsidP="001748C6">
      <w:pPr>
        <w:pStyle w:val="Sansinterligne"/>
        <w:numPr>
          <w:ilvl w:val="0"/>
          <w:numId w:val="108"/>
        </w:numPr>
        <w:rPr>
          <w:rFonts w:ascii="Times New Roman" w:hAnsi="Times New Roman"/>
          <w:color w:val="000000" w:themeColor="text1"/>
          <w:lang w:val="fr-FR"/>
        </w:rPr>
      </w:pPr>
      <w:r w:rsidRPr="00260790">
        <w:rPr>
          <w:rFonts w:ascii="Times New Roman" w:hAnsi="Times New Roman"/>
          <w:color w:val="000000" w:themeColor="text1"/>
          <w:lang w:val="fr-FR"/>
        </w:rPr>
        <w:t>Masques contre la COVID-19.</w:t>
      </w:r>
    </w:p>
    <w:p w14:paraId="5D3EF4C5" w14:textId="77777777" w:rsidR="0048082D" w:rsidRPr="00260790" w:rsidRDefault="0048082D">
      <w:pPr>
        <w:spacing w:line="259" w:lineRule="auto"/>
        <w:rPr>
          <w:rFonts w:ascii="Times New Roman" w:hAnsi="Times New Roman"/>
          <w:color w:val="000000" w:themeColor="text1"/>
        </w:rPr>
      </w:pPr>
      <w:r w:rsidRPr="00260790">
        <w:rPr>
          <w:rFonts w:ascii="Times New Roman" w:hAnsi="Times New Roman"/>
          <w:color w:val="000000" w:themeColor="text1"/>
        </w:rPr>
        <w:br w:type="page"/>
      </w:r>
    </w:p>
    <w:p w14:paraId="3BC5774F" w14:textId="7A0CEF22" w:rsidR="005F3FB7" w:rsidRPr="00260790" w:rsidRDefault="005F3FB7" w:rsidP="00E20250">
      <w:pPr>
        <w:spacing w:line="240" w:lineRule="auto"/>
        <w:ind w:left="578" w:hanging="578"/>
        <w:jc w:val="both"/>
        <w:rPr>
          <w:rFonts w:ascii="Times New Roman" w:hAnsi="Times New Roman"/>
          <w:color w:val="000000" w:themeColor="text1"/>
        </w:rPr>
      </w:pPr>
      <w:r w:rsidRPr="00260790">
        <w:rPr>
          <w:rFonts w:ascii="Times New Roman" w:hAnsi="Times New Roman"/>
          <w:color w:val="000000" w:themeColor="text1"/>
        </w:rPr>
        <w:lastRenderedPageBreak/>
        <w:t>Le tableau ci-après rappel les travaux nécessitant une protection individuelle.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8"/>
        <w:gridCol w:w="7283"/>
      </w:tblGrid>
      <w:tr w:rsidR="00BD1A2F" w:rsidRPr="00260790" w14:paraId="1B0556FE" w14:textId="77777777" w:rsidTr="0048082D">
        <w:tc>
          <w:tcPr>
            <w:tcW w:w="9351" w:type="dxa"/>
            <w:gridSpan w:val="2"/>
          </w:tcPr>
          <w:p w14:paraId="217EDD87" w14:textId="77777777" w:rsidR="005F3FB7" w:rsidRPr="00260790" w:rsidRDefault="005F3FB7" w:rsidP="00E20250">
            <w:pPr>
              <w:tabs>
                <w:tab w:val="left" w:pos="1815"/>
              </w:tabs>
              <w:spacing w:after="0" w:line="240" w:lineRule="auto"/>
              <w:ind w:left="576" w:hanging="576"/>
              <w:rPr>
                <w:rFonts w:ascii="Times New Roman" w:hAnsi="Times New Roman"/>
                <w:b/>
                <w:bCs/>
                <w:color w:val="000000" w:themeColor="text1"/>
              </w:rPr>
            </w:pPr>
            <w:r w:rsidRPr="00260790">
              <w:rPr>
                <w:rFonts w:ascii="Times New Roman" w:hAnsi="Times New Roman"/>
                <w:b/>
                <w:bCs/>
                <w:color w:val="000000" w:themeColor="text1"/>
              </w:rPr>
              <w:t xml:space="preserve">       Liste indicative des travaux nécessitant le port d’une protection individuelle</w:t>
            </w:r>
          </w:p>
        </w:tc>
      </w:tr>
      <w:tr w:rsidR="00BD1A2F" w:rsidRPr="00260790" w14:paraId="5879CE5C" w14:textId="77777777" w:rsidTr="0048082D">
        <w:trPr>
          <w:trHeight w:val="280"/>
        </w:trPr>
        <w:tc>
          <w:tcPr>
            <w:tcW w:w="2068" w:type="dxa"/>
          </w:tcPr>
          <w:p w14:paraId="36E704AC" w14:textId="77777777" w:rsidR="005F3FB7" w:rsidRPr="00260790" w:rsidRDefault="005F3FB7" w:rsidP="00E20250">
            <w:pPr>
              <w:tabs>
                <w:tab w:val="left" w:pos="1815"/>
              </w:tabs>
              <w:spacing w:after="0" w:line="240" w:lineRule="auto"/>
              <w:ind w:left="576" w:hanging="576"/>
              <w:rPr>
                <w:rFonts w:ascii="Times New Roman" w:hAnsi="Times New Roman"/>
                <w:b/>
                <w:bCs/>
                <w:color w:val="000000" w:themeColor="text1"/>
              </w:rPr>
            </w:pPr>
            <w:r w:rsidRPr="00260790">
              <w:rPr>
                <w:rFonts w:ascii="Times New Roman" w:hAnsi="Times New Roman"/>
                <w:b/>
                <w:bCs/>
                <w:color w:val="000000" w:themeColor="text1"/>
              </w:rPr>
              <w:t>Casques</w:t>
            </w:r>
          </w:p>
        </w:tc>
        <w:tc>
          <w:tcPr>
            <w:tcW w:w="7283" w:type="dxa"/>
          </w:tcPr>
          <w:p w14:paraId="57AB0F61" w14:textId="77777777" w:rsidR="005F3FB7" w:rsidRPr="00260790" w:rsidRDefault="005F3FB7" w:rsidP="00E20250">
            <w:pPr>
              <w:tabs>
                <w:tab w:val="left" w:pos="1815"/>
              </w:tabs>
              <w:spacing w:after="0" w:line="240" w:lineRule="auto"/>
              <w:ind w:left="34"/>
              <w:rPr>
                <w:rFonts w:ascii="Times New Roman" w:hAnsi="Times New Roman"/>
                <w:color w:val="000000" w:themeColor="text1"/>
              </w:rPr>
            </w:pPr>
            <w:r w:rsidRPr="00260790">
              <w:rPr>
                <w:rFonts w:ascii="Times New Roman" w:hAnsi="Times New Roman"/>
                <w:color w:val="000000" w:themeColor="text1"/>
              </w:rPr>
              <w:t>Tous travaux présentant le risque de chute d’objets à partir d’un niveau supérieur</w:t>
            </w:r>
          </w:p>
        </w:tc>
      </w:tr>
      <w:tr w:rsidR="00BD1A2F" w:rsidRPr="00260790" w14:paraId="4E95C51B" w14:textId="77777777" w:rsidTr="0048082D">
        <w:tc>
          <w:tcPr>
            <w:tcW w:w="2068" w:type="dxa"/>
          </w:tcPr>
          <w:p w14:paraId="53EE7C42" w14:textId="77777777" w:rsidR="005F3FB7" w:rsidRPr="00260790" w:rsidRDefault="005F3FB7" w:rsidP="00E20250">
            <w:pPr>
              <w:tabs>
                <w:tab w:val="left" w:pos="1815"/>
              </w:tabs>
              <w:spacing w:after="0" w:line="240" w:lineRule="auto"/>
              <w:ind w:left="576" w:hanging="576"/>
              <w:rPr>
                <w:rFonts w:ascii="Times New Roman" w:hAnsi="Times New Roman"/>
                <w:b/>
                <w:bCs/>
                <w:color w:val="000000" w:themeColor="text1"/>
              </w:rPr>
            </w:pPr>
            <w:r w:rsidRPr="00260790">
              <w:rPr>
                <w:rFonts w:ascii="Times New Roman" w:hAnsi="Times New Roman"/>
                <w:b/>
                <w:bCs/>
                <w:color w:val="000000" w:themeColor="text1"/>
              </w:rPr>
              <w:t>Harnais</w:t>
            </w:r>
          </w:p>
        </w:tc>
        <w:tc>
          <w:tcPr>
            <w:tcW w:w="7283" w:type="dxa"/>
          </w:tcPr>
          <w:p w14:paraId="7F21CBD6" w14:textId="77777777" w:rsidR="005F3FB7" w:rsidRPr="00260790" w:rsidRDefault="005F3FB7" w:rsidP="00E20250">
            <w:pPr>
              <w:tabs>
                <w:tab w:val="left" w:pos="1815"/>
              </w:tabs>
              <w:spacing w:after="0" w:line="240" w:lineRule="auto"/>
              <w:rPr>
                <w:rFonts w:ascii="Times New Roman" w:hAnsi="Times New Roman"/>
                <w:color w:val="000000" w:themeColor="text1"/>
              </w:rPr>
            </w:pPr>
            <w:r w:rsidRPr="00260790">
              <w:rPr>
                <w:rFonts w:ascii="Times New Roman" w:hAnsi="Times New Roman"/>
                <w:color w:val="000000" w:themeColor="text1"/>
              </w:rPr>
              <w:t>Tous travaux exceptionnels non répétitifs et de courte durée exposant à un risque de chute de hauteur</w:t>
            </w:r>
          </w:p>
        </w:tc>
      </w:tr>
      <w:tr w:rsidR="00BD1A2F" w:rsidRPr="00260790" w14:paraId="5EFA4A2E" w14:textId="77777777" w:rsidTr="0048082D">
        <w:tc>
          <w:tcPr>
            <w:tcW w:w="2068" w:type="dxa"/>
          </w:tcPr>
          <w:p w14:paraId="62B77A18" w14:textId="77777777" w:rsidR="005F3FB7" w:rsidRPr="00260790" w:rsidRDefault="005F3FB7" w:rsidP="00E20250">
            <w:pPr>
              <w:tabs>
                <w:tab w:val="left" w:pos="1815"/>
              </w:tabs>
              <w:spacing w:after="0" w:line="240" w:lineRule="auto"/>
              <w:ind w:left="-24"/>
              <w:rPr>
                <w:rFonts w:ascii="Times New Roman" w:hAnsi="Times New Roman"/>
                <w:b/>
                <w:bCs/>
                <w:color w:val="000000" w:themeColor="text1"/>
              </w:rPr>
            </w:pPr>
            <w:r w:rsidRPr="00260790">
              <w:rPr>
                <w:rFonts w:ascii="Times New Roman" w:hAnsi="Times New Roman"/>
                <w:b/>
                <w:bCs/>
                <w:color w:val="000000" w:themeColor="text1"/>
              </w:rPr>
              <w:t>Chaussures, bottes</w:t>
            </w:r>
          </w:p>
        </w:tc>
        <w:tc>
          <w:tcPr>
            <w:tcW w:w="7283" w:type="dxa"/>
          </w:tcPr>
          <w:p w14:paraId="33D3CA07" w14:textId="77777777" w:rsidR="005F3FB7" w:rsidRPr="00260790" w:rsidRDefault="005F3FB7" w:rsidP="00E20250">
            <w:pPr>
              <w:tabs>
                <w:tab w:val="left" w:pos="1815"/>
              </w:tabs>
              <w:spacing w:after="0" w:line="240" w:lineRule="auto"/>
              <w:ind w:hanging="27"/>
              <w:rPr>
                <w:rFonts w:ascii="Times New Roman" w:hAnsi="Times New Roman"/>
                <w:color w:val="000000" w:themeColor="text1"/>
              </w:rPr>
            </w:pPr>
            <w:r w:rsidRPr="00260790">
              <w:rPr>
                <w:rFonts w:ascii="Times New Roman" w:hAnsi="Times New Roman"/>
                <w:color w:val="000000" w:themeColor="text1"/>
              </w:rPr>
              <w:t>Tous travaux présentant le risque de chute d’objets manutentionnés sur les pieds ou d’écrasement ou de perforation de la semelle par objets pointus</w:t>
            </w:r>
          </w:p>
        </w:tc>
      </w:tr>
      <w:tr w:rsidR="00BD1A2F" w:rsidRPr="00260790" w14:paraId="498ABA61" w14:textId="77777777" w:rsidTr="0048082D">
        <w:tc>
          <w:tcPr>
            <w:tcW w:w="2068" w:type="dxa"/>
          </w:tcPr>
          <w:p w14:paraId="42FCA62B" w14:textId="77777777" w:rsidR="005F3FB7" w:rsidRPr="00260790" w:rsidRDefault="005F3FB7" w:rsidP="00E20250">
            <w:pPr>
              <w:tabs>
                <w:tab w:val="left" w:pos="1815"/>
              </w:tabs>
              <w:spacing w:after="0" w:line="240" w:lineRule="auto"/>
              <w:rPr>
                <w:rFonts w:ascii="Times New Roman" w:hAnsi="Times New Roman"/>
                <w:b/>
                <w:bCs/>
                <w:color w:val="000000" w:themeColor="text1"/>
              </w:rPr>
            </w:pPr>
            <w:r w:rsidRPr="00260790">
              <w:rPr>
                <w:rFonts w:ascii="Times New Roman" w:hAnsi="Times New Roman"/>
                <w:b/>
                <w:bCs/>
                <w:color w:val="000000" w:themeColor="text1"/>
              </w:rPr>
              <w:t>Lunettes, masques</w:t>
            </w:r>
          </w:p>
        </w:tc>
        <w:tc>
          <w:tcPr>
            <w:tcW w:w="7283" w:type="dxa"/>
          </w:tcPr>
          <w:p w14:paraId="717FA931" w14:textId="77777777" w:rsidR="005F3FB7" w:rsidRPr="00260790" w:rsidRDefault="005F3FB7" w:rsidP="00E20250">
            <w:pPr>
              <w:tabs>
                <w:tab w:val="left" w:pos="1815"/>
              </w:tabs>
              <w:spacing w:after="0" w:line="240" w:lineRule="auto"/>
              <w:ind w:hanging="27"/>
              <w:rPr>
                <w:rFonts w:ascii="Times New Roman" w:hAnsi="Times New Roman"/>
                <w:color w:val="000000" w:themeColor="text1"/>
              </w:rPr>
            </w:pPr>
            <w:r w:rsidRPr="00260790">
              <w:rPr>
                <w:rFonts w:ascii="Times New Roman" w:hAnsi="Times New Roman"/>
                <w:color w:val="000000" w:themeColor="text1"/>
              </w:rPr>
              <w:t>Tous travaux présentant le risque de projection dans les yeux (burinage, meulage, manipulation de produits acides ou caustiques, etc.) ou exposant à des sources lumineuses de forte puissance (soudage, etc.)</w:t>
            </w:r>
          </w:p>
        </w:tc>
      </w:tr>
      <w:tr w:rsidR="00BD1A2F" w:rsidRPr="00260790" w14:paraId="09EFBD87" w14:textId="77777777" w:rsidTr="0048082D">
        <w:tc>
          <w:tcPr>
            <w:tcW w:w="2068" w:type="dxa"/>
          </w:tcPr>
          <w:p w14:paraId="6A1D058F" w14:textId="77777777" w:rsidR="005F3FB7" w:rsidRPr="00260790" w:rsidRDefault="005F3FB7" w:rsidP="00E20250">
            <w:pPr>
              <w:tabs>
                <w:tab w:val="left" w:pos="1815"/>
              </w:tabs>
              <w:spacing w:after="0" w:line="240" w:lineRule="auto"/>
              <w:rPr>
                <w:rFonts w:ascii="Times New Roman" w:hAnsi="Times New Roman"/>
                <w:b/>
                <w:bCs/>
                <w:color w:val="000000" w:themeColor="text1"/>
              </w:rPr>
            </w:pPr>
            <w:r w:rsidRPr="00260790">
              <w:rPr>
                <w:rFonts w:ascii="Times New Roman" w:hAnsi="Times New Roman"/>
                <w:b/>
                <w:bCs/>
                <w:color w:val="000000" w:themeColor="text1"/>
              </w:rPr>
              <w:t>Masques, cagoules</w:t>
            </w:r>
          </w:p>
        </w:tc>
        <w:tc>
          <w:tcPr>
            <w:tcW w:w="7283" w:type="dxa"/>
          </w:tcPr>
          <w:p w14:paraId="766B357C" w14:textId="77777777" w:rsidR="005F3FB7" w:rsidRPr="00260790" w:rsidRDefault="005F3FB7" w:rsidP="00E20250">
            <w:pPr>
              <w:tabs>
                <w:tab w:val="left" w:pos="1815"/>
              </w:tabs>
              <w:spacing w:after="0" w:line="240" w:lineRule="auto"/>
              <w:rPr>
                <w:rFonts w:ascii="Times New Roman" w:hAnsi="Times New Roman"/>
                <w:color w:val="000000" w:themeColor="text1"/>
              </w:rPr>
            </w:pPr>
            <w:r w:rsidRPr="00260790">
              <w:rPr>
                <w:rFonts w:ascii="Times New Roman" w:hAnsi="Times New Roman"/>
                <w:color w:val="000000" w:themeColor="text1"/>
              </w:rPr>
              <w:t>Tous travaux effectués dans les milieux pollués (poussières, gaz toxiques, etc.)</w:t>
            </w:r>
          </w:p>
        </w:tc>
      </w:tr>
      <w:tr w:rsidR="00BD1A2F" w:rsidRPr="00260790" w14:paraId="2BE571D4" w14:textId="77777777" w:rsidTr="0048082D">
        <w:tc>
          <w:tcPr>
            <w:tcW w:w="2068" w:type="dxa"/>
          </w:tcPr>
          <w:p w14:paraId="4D4691AC" w14:textId="77777777" w:rsidR="005F3FB7" w:rsidRPr="00260790" w:rsidRDefault="005F3FB7" w:rsidP="00E20250">
            <w:pPr>
              <w:tabs>
                <w:tab w:val="left" w:pos="1815"/>
              </w:tabs>
              <w:spacing w:after="0" w:line="240" w:lineRule="auto"/>
              <w:rPr>
                <w:rFonts w:ascii="Times New Roman" w:hAnsi="Times New Roman"/>
                <w:b/>
                <w:bCs/>
                <w:color w:val="000000" w:themeColor="text1"/>
              </w:rPr>
            </w:pPr>
            <w:r w:rsidRPr="00260790">
              <w:rPr>
                <w:rFonts w:ascii="Times New Roman" w:hAnsi="Times New Roman"/>
                <w:b/>
                <w:bCs/>
                <w:color w:val="000000" w:themeColor="text1"/>
              </w:rPr>
              <w:t>Tabliers</w:t>
            </w:r>
          </w:p>
        </w:tc>
        <w:tc>
          <w:tcPr>
            <w:tcW w:w="7283" w:type="dxa"/>
          </w:tcPr>
          <w:p w14:paraId="274F6514" w14:textId="77777777" w:rsidR="005F3FB7" w:rsidRPr="00260790" w:rsidRDefault="005F3FB7" w:rsidP="00E20250">
            <w:pPr>
              <w:tabs>
                <w:tab w:val="left" w:pos="1815"/>
              </w:tabs>
              <w:spacing w:after="0" w:line="240" w:lineRule="auto"/>
              <w:rPr>
                <w:rFonts w:ascii="Times New Roman" w:hAnsi="Times New Roman"/>
                <w:color w:val="000000" w:themeColor="text1"/>
              </w:rPr>
            </w:pPr>
            <w:r w:rsidRPr="00260790">
              <w:rPr>
                <w:rFonts w:ascii="Times New Roman" w:hAnsi="Times New Roman"/>
                <w:color w:val="000000" w:themeColor="text1"/>
              </w:rPr>
              <w:t>Tous travaux présentant des risques de projection sur le corps (soudage, manipulation de produits dangereux, etc.)</w:t>
            </w:r>
          </w:p>
        </w:tc>
      </w:tr>
      <w:tr w:rsidR="00BD1A2F" w:rsidRPr="00260790" w14:paraId="7139846E" w14:textId="77777777" w:rsidTr="0048082D">
        <w:tc>
          <w:tcPr>
            <w:tcW w:w="2068" w:type="dxa"/>
          </w:tcPr>
          <w:p w14:paraId="1C4CA962" w14:textId="77777777" w:rsidR="005F3FB7" w:rsidRPr="00260790" w:rsidRDefault="005F3FB7" w:rsidP="00E20250">
            <w:pPr>
              <w:tabs>
                <w:tab w:val="left" w:pos="1815"/>
              </w:tabs>
              <w:spacing w:after="0" w:line="240" w:lineRule="auto"/>
              <w:rPr>
                <w:rFonts w:ascii="Times New Roman" w:hAnsi="Times New Roman"/>
                <w:b/>
                <w:bCs/>
                <w:color w:val="000000" w:themeColor="text1"/>
              </w:rPr>
            </w:pPr>
            <w:r w:rsidRPr="00260790">
              <w:rPr>
                <w:rFonts w:ascii="Times New Roman" w:hAnsi="Times New Roman"/>
                <w:b/>
                <w:bCs/>
                <w:color w:val="000000" w:themeColor="text1"/>
              </w:rPr>
              <w:t>Casques antibruit, bouchons</w:t>
            </w:r>
          </w:p>
        </w:tc>
        <w:tc>
          <w:tcPr>
            <w:tcW w:w="7283" w:type="dxa"/>
          </w:tcPr>
          <w:p w14:paraId="440AE680" w14:textId="77777777" w:rsidR="005F3FB7" w:rsidRPr="00260790" w:rsidRDefault="005F3FB7" w:rsidP="00E20250">
            <w:pPr>
              <w:tabs>
                <w:tab w:val="left" w:pos="1815"/>
              </w:tabs>
              <w:spacing w:after="0" w:line="240" w:lineRule="auto"/>
              <w:ind w:left="34"/>
              <w:rPr>
                <w:rFonts w:ascii="Times New Roman" w:hAnsi="Times New Roman"/>
                <w:color w:val="000000" w:themeColor="text1"/>
              </w:rPr>
            </w:pPr>
            <w:r w:rsidRPr="00260790">
              <w:rPr>
                <w:rFonts w:ascii="Times New Roman" w:hAnsi="Times New Roman"/>
                <w:color w:val="000000" w:themeColor="text1"/>
              </w:rPr>
              <w:t xml:space="preserve">Tous travaux exposant à des niveaux sonores supérieurs à 80 </w:t>
            </w:r>
            <w:proofErr w:type="spellStart"/>
            <w:r w:rsidRPr="00260790">
              <w:rPr>
                <w:rFonts w:ascii="Times New Roman" w:hAnsi="Times New Roman"/>
                <w:color w:val="000000" w:themeColor="text1"/>
              </w:rPr>
              <w:t>dBA</w:t>
            </w:r>
            <w:proofErr w:type="spellEnd"/>
            <w:r w:rsidRPr="00260790">
              <w:rPr>
                <w:rFonts w:ascii="Times New Roman" w:hAnsi="Times New Roman"/>
                <w:color w:val="000000" w:themeColor="text1"/>
              </w:rPr>
              <w:t xml:space="preserve"> (marteaux-piqueurs, battage palplanches, conduite d’engins, meulage, etc.)</w:t>
            </w:r>
          </w:p>
        </w:tc>
      </w:tr>
    </w:tbl>
    <w:p w14:paraId="469A5830"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L’Entrepreneur doit veiller au port scrupuleux des équipements de protection sur le chantier. </w:t>
      </w:r>
    </w:p>
    <w:p w14:paraId="2A35F664" w14:textId="77777777" w:rsidR="005F3FB7" w:rsidRPr="00260790" w:rsidRDefault="005F3FB7" w:rsidP="00E20250">
      <w:pPr>
        <w:spacing w:before="120" w:after="120" w:line="240" w:lineRule="auto"/>
        <w:ind w:left="576" w:hanging="576"/>
        <w:jc w:val="both"/>
        <w:rPr>
          <w:rFonts w:ascii="Times New Roman" w:hAnsi="Times New Roman"/>
          <w:b/>
          <w:bCs/>
          <w:color w:val="000000" w:themeColor="text1"/>
        </w:rPr>
      </w:pPr>
      <w:r w:rsidRPr="00260790">
        <w:rPr>
          <w:rFonts w:ascii="Times New Roman" w:hAnsi="Times New Roman"/>
          <w:b/>
          <w:bCs/>
          <w:color w:val="000000" w:themeColor="text1"/>
        </w:rPr>
        <w:t>Mesures d’abattage d’arbres/arbustes et de déboisement</w:t>
      </w:r>
    </w:p>
    <w:p w14:paraId="733A22B5" w14:textId="77BA195D"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En cas de déboisement, les arbres/arbustes abattus doivent être découpés et stockés à des endroits agréés par le Maître d’œuvre. Les arbres abattus ne doivent pas être abandonnés sur place, ni brûlé</w:t>
      </w:r>
      <w:r w:rsidR="001747BF" w:rsidRPr="00260790">
        <w:rPr>
          <w:rFonts w:ascii="Times New Roman" w:eastAsia="MS Mincho" w:hAnsi="Times New Roman"/>
          <w:color w:val="000000" w:themeColor="text1"/>
          <w:lang w:eastAsia="ja-JP"/>
        </w:rPr>
        <w:t>e</w:t>
      </w:r>
      <w:r w:rsidRPr="00260790">
        <w:rPr>
          <w:rFonts w:ascii="Times New Roman" w:eastAsia="MS Mincho" w:hAnsi="Times New Roman"/>
          <w:color w:val="000000" w:themeColor="text1"/>
          <w:lang w:eastAsia="ja-JP"/>
        </w:rPr>
        <w:t xml:space="preserve"> ni enf</w:t>
      </w:r>
      <w:r w:rsidR="001747BF" w:rsidRPr="00260790">
        <w:rPr>
          <w:rFonts w:ascii="Times New Roman" w:eastAsia="MS Mincho" w:hAnsi="Times New Roman"/>
          <w:color w:val="000000" w:themeColor="text1"/>
          <w:lang w:eastAsia="ja-JP"/>
        </w:rPr>
        <w:t>o</w:t>
      </w:r>
      <w:r w:rsidRPr="00260790">
        <w:rPr>
          <w:rFonts w:ascii="Times New Roman" w:eastAsia="MS Mincho" w:hAnsi="Times New Roman"/>
          <w:color w:val="000000" w:themeColor="text1"/>
          <w:lang w:eastAsia="ja-JP"/>
        </w:rPr>
        <w:t>ui</w:t>
      </w:r>
      <w:r w:rsidR="001747BF" w:rsidRPr="00260790">
        <w:rPr>
          <w:rFonts w:ascii="Times New Roman" w:eastAsia="MS Mincho" w:hAnsi="Times New Roman"/>
          <w:color w:val="000000" w:themeColor="text1"/>
          <w:lang w:eastAsia="ja-JP"/>
        </w:rPr>
        <w:t>e</w:t>
      </w:r>
      <w:r w:rsidRPr="00260790">
        <w:rPr>
          <w:rFonts w:ascii="Times New Roman" w:eastAsia="MS Mincho" w:hAnsi="Times New Roman"/>
          <w:color w:val="000000" w:themeColor="text1"/>
          <w:lang w:eastAsia="ja-JP"/>
        </w:rPr>
        <w:t xml:space="preserve"> sous les matériaux de terrassement. </w:t>
      </w:r>
    </w:p>
    <w:p w14:paraId="1852656E" w14:textId="77777777" w:rsidR="005F3FB7" w:rsidRPr="00260790" w:rsidRDefault="005F3FB7" w:rsidP="00E20250">
      <w:pPr>
        <w:spacing w:before="120" w:after="120" w:line="240" w:lineRule="auto"/>
        <w:ind w:left="576" w:hanging="576"/>
        <w:jc w:val="both"/>
        <w:rPr>
          <w:rFonts w:ascii="Times New Roman" w:hAnsi="Times New Roman"/>
          <w:b/>
          <w:bCs/>
          <w:color w:val="000000" w:themeColor="text1"/>
        </w:rPr>
      </w:pPr>
      <w:r w:rsidRPr="00260790">
        <w:rPr>
          <w:rFonts w:ascii="Times New Roman" w:hAnsi="Times New Roman"/>
          <w:b/>
          <w:bCs/>
          <w:color w:val="000000" w:themeColor="text1"/>
        </w:rPr>
        <w:t>Désignation d’un personnel d’astreinte</w:t>
      </w:r>
    </w:p>
    <w:p w14:paraId="2C09E130"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L’Entrepreneur doit assurer la garde, la surveillance et le maintien en sécurité de son chantier y compris en dehors des heures de présence sur les divers sites. Pendant toute la durée des travaux, l’Entrepreneur est tenu d’avoir un personnel en astreinte, en dehors des heures de travail, tous les jours sans exception (samedi, dimanche, jours fériés), de jour comme de nuit, pour pallier tout incident et/ou accident susceptible de se produire en relation avec les travaux. </w:t>
      </w:r>
    </w:p>
    <w:p w14:paraId="1210B912" w14:textId="77777777" w:rsidR="005F3FB7" w:rsidRPr="00260790" w:rsidRDefault="005F3FB7" w:rsidP="00E20250">
      <w:pPr>
        <w:spacing w:before="120" w:after="120" w:line="240" w:lineRule="auto"/>
        <w:ind w:left="576" w:hanging="576"/>
        <w:jc w:val="both"/>
        <w:rPr>
          <w:rFonts w:ascii="Times New Roman" w:hAnsi="Times New Roman"/>
          <w:b/>
          <w:bCs/>
          <w:color w:val="000000" w:themeColor="text1"/>
        </w:rPr>
      </w:pPr>
      <w:r w:rsidRPr="00260790">
        <w:rPr>
          <w:rFonts w:ascii="Times New Roman" w:hAnsi="Times New Roman"/>
          <w:b/>
          <w:bCs/>
          <w:color w:val="000000" w:themeColor="text1"/>
        </w:rPr>
        <w:t>Mesures contre les entraves à la circulation</w:t>
      </w:r>
    </w:p>
    <w:p w14:paraId="269897B8"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L’Entrepreneur doit éviter d’obstruer les accès publics. Il doit maintenir en permanence la circulation et l’accès des riverains en cours de travaux. L’Entrepreneur veillera à ce qu’aucune fouille ou tranchée ne reste ouverte la nuit, sans signalisation adéquate acceptée par le Maître d’œuvre. L’Entrepreneur doit veiller à ce que les déviations provisoires permettent une circulation sans danger et proposer des panneaux de signalisation, pour les sorties de camions au niveau des travaux de chantier. </w:t>
      </w:r>
    </w:p>
    <w:p w14:paraId="47013FD1" w14:textId="77777777" w:rsidR="005F3FB7" w:rsidRPr="00260790" w:rsidRDefault="005F3FB7" w:rsidP="00E20250">
      <w:pPr>
        <w:spacing w:before="120" w:after="120" w:line="240" w:lineRule="auto"/>
        <w:jc w:val="both"/>
        <w:rPr>
          <w:rFonts w:ascii="Times New Roman" w:hAnsi="Times New Roman"/>
          <w:color w:val="000000" w:themeColor="text1"/>
        </w:rPr>
      </w:pPr>
      <w:r w:rsidRPr="00260790">
        <w:rPr>
          <w:rFonts w:ascii="Times New Roman" w:hAnsi="Times New Roman"/>
          <w:color w:val="000000" w:themeColor="text1"/>
        </w:rPr>
        <w:t xml:space="preserve">L’entrepreneur doit maintenir en permanence la circulation et l'accès des riverains en cours de travaux. Les riverains concernés sont ceux dont l'habitat existait avant la notification du marché. Le maintien des chantiers en activité pendant la nuit sera subordonné à l'autorisation du Maître d'œuvre. Si l’entrepreneur a reçu l'autorisation ou l'ordre d'exécuter des travaux pendant la nuit, il s'engagera à les exécuter de manière à ne pas causer de trouble aux habitants et établissements riverains proches du chantier. </w:t>
      </w:r>
    </w:p>
    <w:p w14:paraId="15FA03D4" w14:textId="77777777" w:rsidR="005F3FB7" w:rsidRPr="00260790" w:rsidRDefault="005F3FB7" w:rsidP="00E20250">
      <w:pPr>
        <w:spacing w:before="120" w:after="120" w:line="240" w:lineRule="auto"/>
        <w:jc w:val="both"/>
        <w:rPr>
          <w:rFonts w:ascii="Times New Roman" w:hAnsi="Times New Roman"/>
          <w:color w:val="000000" w:themeColor="text1"/>
        </w:rPr>
      </w:pPr>
      <w:r w:rsidRPr="00260790">
        <w:rPr>
          <w:rFonts w:ascii="Times New Roman" w:hAnsi="Times New Roman"/>
          <w:color w:val="000000" w:themeColor="text1"/>
        </w:rPr>
        <w:t xml:space="preserve">Le mode d'éclairage devra être soumis à l'agrément de l’Expert Hygiène-Sécurité et Environnemental de la mission de contrôle et de supervision des travaux. L’entrepreneur veillera à ce qu'aucune fouille ou tranchée ne reste ouverte la nuit, entre 18 heures et 6 heures, sans signalisation adéquate acceptée par l’environnementaliste. L’entrepreneur devra mettre en application une limitation de vitesse pour tous ses véhicules circulant sur la voie publique. </w:t>
      </w:r>
    </w:p>
    <w:p w14:paraId="7DD6CA6B" w14:textId="77777777" w:rsidR="0048082D" w:rsidRPr="00260790" w:rsidRDefault="0048082D">
      <w:pPr>
        <w:spacing w:line="259" w:lineRule="auto"/>
        <w:rPr>
          <w:rFonts w:ascii="Times New Roman" w:hAnsi="Times New Roman"/>
          <w:b/>
          <w:bCs/>
          <w:color w:val="000000" w:themeColor="text1"/>
        </w:rPr>
      </w:pPr>
      <w:r w:rsidRPr="00260790">
        <w:rPr>
          <w:rFonts w:ascii="Times New Roman" w:hAnsi="Times New Roman"/>
          <w:b/>
          <w:bCs/>
          <w:color w:val="000000" w:themeColor="text1"/>
        </w:rPr>
        <w:br w:type="page"/>
      </w:r>
    </w:p>
    <w:p w14:paraId="337199C2" w14:textId="3B09B0F7" w:rsidR="005F3FB7" w:rsidRPr="00260790" w:rsidRDefault="005F3FB7" w:rsidP="00E20250">
      <w:pPr>
        <w:spacing w:before="120" w:after="120" w:line="240" w:lineRule="auto"/>
        <w:ind w:left="576" w:hanging="576"/>
        <w:jc w:val="both"/>
        <w:rPr>
          <w:rFonts w:ascii="Times New Roman" w:hAnsi="Times New Roman"/>
          <w:b/>
          <w:bCs/>
          <w:color w:val="000000" w:themeColor="text1"/>
        </w:rPr>
      </w:pPr>
      <w:r w:rsidRPr="00260790">
        <w:rPr>
          <w:rFonts w:ascii="Times New Roman" w:hAnsi="Times New Roman"/>
          <w:b/>
          <w:bCs/>
          <w:color w:val="000000" w:themeColor="text1"/>
        </w:rPr>
        <w:lastRenderedPageBreak/>
        <w:t>Ouverture et exploitation de carrières/emprunts temporaires</w:t>
      </w:r>
    </w:p>
    <w:p w14:paraId="282474BB" w14:textId="77777777" w:rsidR="005F3FB7" w:rsidRPr="00260790" w:rsidRDefault="005F3FB7" w:rsidP="00E20250">
      <w:pPr>
        <w:spacing w:after="200" w:line="240" w:lineRule="auto"/>
        <w:jc w:val="both"/>
        <w:rPr>
          <w:rFonts w:ascii="Times New Roman" w:hAnsi="Times New Roman"/>
          <w:color w:val="000000" w:themeColor="text1"/>
        </w:rPr>
      </w:pPr>
      <w:r w:rsidRPr="00260790">
        <w:rPr>
          <w:rFonts w:ascii="Times New Roman" w:hAnsi="Times New Roman"/>
          <w:color w:val="000000" w:themeColor="text1"/>
        </w:rPr>
        <w:t>L’exploitation des carrières/emprunts est réglementée par le Code minier. L’entrepreneur devra demander les autorisations prévues par le Code minier et prendra à sa charge tous les frais y afférents, y compris les droits d’entrée fixes, redevance de prélèvement et les frais de dédommagements éventuels aux propriétaires.</w:t>
      </w:r>
    </w:p>
    <w:p w14:paraId="199EE7D4" w14:textId="77777777" w:rsidR="005F3FB7" w:rsidRPr="00260790" w:rsidRDefault="005F3FB7" w:rsidP="00E20250">
      <w:pPr>
        <w:spacing w:after="200" w:line="240" w:lineRule="auto"/>
        <w:jc w:val="both"/>
        <w:rPr>
          <w:rFonts w:ascii="Times New Roman" w:hAnsi="Times New Roman"/>
          <w:color w:val="000000" w:themeColor="text1"/>
        </w:rPr>
      </w:pPr>
      <w:r w:rsidRPr="00260790">
        <w:rPr>
          <w:rFonts w:ascii="Times New Roman" w:hAnsi="Times New Roman"/>
          <w:color w:val="000000" w:themeColor="text1"/>
        </w:rPr>
        <w:t xml:space="preserve">Localiser les carrières/emprunts les plus près possibles des travaux afin de minimiser les distances de transport des matériaux. Conserver une distance minimale de 100 mètres entre les gîtes identifiés et les aires d’habitation humaine ou d’exploitation agricole. Localiser les voies d’accès aux gîtes en concertation avec les Autorités locales concernées </w:t>
      </w:r>
      <w:proofErr w:type="gramStart"/>
      <w:r w:rsidRPr="00260790">
        <w:rPr>
          <w:rFonts w:ascii="Times New Roman" w:hAnsi="Times New Roman"/>
          <w:color w:val="000000" w:themeColor="text1"/>
        </w:rPr>
        <w:t>de façon à ce</w:t>
      </w:r>
      <w:proofErr w:type="gramEnd"/>
      <w:r w:rsidRPr="00260790">
        <w:rPr>
          <w:rFonts w:ascii="Times New Roman" w:hAnsi="Times New Roman"/>
          <w:color w:val="000000" w:themeColor="text1"/>
        </w:rPr>
        <w:t xml:space="preserve"> qu’elles puissent être utilisées par les populations après les travaux. Éviter dans la mesure du possible de circuler avec du matériel lourd hors des voies d’accès afin de minimiser la compaction des sols.</w:t>
      </w:r>
    </w:p>
    <w:p w14:paraId="003064D8" w14:textId="77777777" w:rsidR="005F3FB7" w:rsidRPr="00260790" w:rsidRDefault="005F3FB7" w:rsidP="00E20250">
      <w:pPr>
        <w:spacing w:before="120" w:after="120" w:line="240" w:lineRule="auto"/>
        <w:jc w:val="both"/>
        <w:rPr>
          <w:rFonts w:ascii="Times New Roman" w:hAnsi="Times New Roman"/>
          <w:color w:val="000000" w:themeColor="text1"/>
        </w:rPr>
      </w:pPr>
      <w:r w:rsidRPr="00260790">
        <w:rPr>
          <w:rFonts w:ascii="Times New Roman" w:hAnsi="Times New Roman"/>
          <w:color w:val="000000" w:themeColor="text1"/>
        </w:rPr>
        <w:t xml:space="preserve">Dès l’ouverture du gîte, prévoir un espace adéquat pour entreposer les matériaux de décapage du site </w:t>
      </w:r>
      <w:proofErr w:type="gramStart"/>
      <w:r w:rsidRPr="00260790">
        <w:rPr>
          <w:rFonts w:ascii="Times New Roman" w:hAnsi="Times New Roman"/>
          <w:color w:val="000000" w:themeColor="text1"/>
        </w:rPr>
        <w:t>de manière à ce</w:t>
      </w:r>
      <w:proofErr w:type="gramEnd"/>
      <w:r w:rsidRPr="00260790">
        <w:rPr>
          <w:rFonts w:ascii="Times New Roman" w:hAnsi="Times New Roman"/>
          <w:color w:val="000000" w:themeColor="text1"/>
        </w:rPr>
        <w:t xml:space="preserve"> qu’il soit facile de les remettre en place une fois que les réserves auront été épuisées. Séparer si possible les couches superficielles du sol (humifères) des matériaux sous-jacents. Dans le cas de carrière/emprunt temporaire privé ouvert par l’Entrepreneur, à la fin de l’exploitation du site, remettre les lieux en état en nivelant le site et de manière à limiter l’érosion. Dans le cas où le gîte serait gardé ouvert pour l’entretien de la piste, en contrôler l’accès par une barrière.</w:t>
      </w:r>
    </w:p>
    <w:p w14:paraId="5B99681E" w14:textId="77777777" w:rsidR="005F3FB7" w:rsidRPr="00260790" w:rsidRDefault="005F3FB7" w:rsidP="00E20250">
      <w:pPr>
        <w:spacing w:before="120" w:after="120" w:line="240" w:lineRule="auto"/>
        <w:jc w:val="both"/>
        <w:rPr>
          <w:rFonts w:ascii="Times New Roman" w:hAnsi="Times New Roman"/>
          <w:color w:val="000000" w:themeColor="text1"/>
        </w:rPr>
      </w:pPr>
      <w:r w:rsidRPr="00260790">
        <w:rPr>
          <w:rFonts w:ascii="Times New Roman" w:hAnsi="Times New Roman"/>
          <w:color w:val="000000" w:themeColor="text1"/>
        </w:rPr>
        <w:t>Le contractant doit vérifier qu'il n'y a pas de travail des enfants ou de travail forcé dans les carrières.</w:t>
      </w:r>
    </w:p>
    <w:p w14:paraId="49114F19" w14:textId="77777777" w:rsidR="005F3FB7" w:rsidRPr="00260790" w:rsidRDefault="005F3FB7" w:rsidP="00E20250">
      <w:pPr>
        <w:spacing w:before="120" w:after="120" w:line="240" w:lineRule="auto"/>
        <w:ind w:left="576" w:hanging="576"/>
        <w:jc w:val="both"/>
        <w:rPr>
          <w:rFonts w:ascii="Times New Roman" w:hAnsi="Times New Roman"/>
          <w:b/>
          <w:bCs/>
          <w:color w:val="000000" w:themeColor="text1"/>
        </w:rPr>
      </w:pPr>
      <w:r w:rsidRPr="00260790">
        <w:rPr>
          <w:rFonts w:ascii="Times New Roman" w:hAnsi="Times New Roman"/>
          <w:b/>
          <w:bCs/>
          <w:color w:val="000000" w:themeColor="text1"/>
        </w:rPr>
        <w:t>Mesures pour les travaux de terrassement</w:t>
      </w:r>
    </w:p>
    <w:p w14:paraId="38144661" w14:textId="77777777" w:rsidR="005F3FB7" w:rsidRPr="00260790" w:rsidRDefault="005F3FB7" w:rsidP="00E20250">
      <w:pPr>
        <w:spacing w:before="120" w:after="120" w:line="240" w:lineRule="auto"/>
        <w:jc w:val="both"/>
        <w:rPr>
          <w:rFonts w:ascii="Times New Roman" w:hAnsi="Times New Roman"/>
          <w:color w:val="000000" w:themeColor="text1"/>
        </w:rPr>
      </w:pPr>
      <w:r w:rsidRPr="00260790">
        <w:rPr>
          <w:rFonts w:ascii="Times New Roman" w:hAnsi="Times New Roman"/>
          <w:color w:val="000000" w:themeColor="text1"/>
        </w:rPr>
        <w:t>L’Entrepreneur doit limiter au strict minimum le décapage, le déblaiement, le remblayage et le nivellement des aires de travail afin de prévenir l’érosion des zones avoisinantes.</w:t>
      </w:r>
    </w:p>
    <w:p w14:paraId="7CDCB7F9" w14:textId="396BF388" w:rsidR="005F3FB7" w:rsidRPr="00260790" w:rsidRDefault="005F3FB7" w:rsidP="00E20250">
      <w:pPr>
        <w:spacing w:before="120" w:after="120" w:line="240" w:lineRule="auto"/>
        <w:rPr>
          <w:rFonts w:ascii="Times New Roman" w:hAnsi="Times New Roman"/>
          <w:color w:val="000000" w:themeColor="text1"/>
        </w:rPr>
      </w:pPr>
      <w:r w:rsidRPr="00260790">
        <w:rPr>
          <w:rFonts w:ascii="Times New Roman" w:hAnsi="Times New Roman"/>
          <w:color w:val="000000" w:themeColor="text1"/>
        </w:rPr>
        <w:t>L’Entrepreneur doit stocker les déblais non réutilisés dans des aires d’entreposage s’il est prévu de les utiliser plus tard, sinon il doit les transporter dans des zones de remblais autorisés au préalable ou autre site approuvé par les autorités compétentes.</w:t>
      </w:r>
    </w:p>
    <w:p w14:paraId="3A8AC943" w14:textId="77777777" w:rsidR="005F3FB7" w:rsidRPr="00260790" w:rsidRDefault="005F3FB7" w:rsidP="00E20250">
      <w:pPr>
        <w:spacing w:before="120" w:after="120" w:line="240" w:lineRule="auto"/>
        <w:ind w:left="576" w:hanging="576"/>
        <w:rPr>
          <w:rFonts w:ascii="Times New Roman" w:hAnsi="Times New Roman"/>
          <w:b/>
          <w:bCs/>
          <w:color w:val="000000" w:themeColor="text1"/>
        </w:rPr>
      </w:pPr>
      <w:r w:rsidRPr="00260790">
        <w:rPr>
          <w:rFonts w:ascii="Times New Roman" w:hAnsi="Times New Roman"/>
          <w:b/>
          <w:bCs/>
          <w:color w:val="000000" w:themeColor="text1"/>
        </w:rPr>
        <w:t>Mesures de transport et de stockage des matériaux</w:t>
      </w:r>
    </w:p>
    <w:p w14:paraId="7957E847" w14:textId="77777777" w:rsidR="005F3FB7" w:rsidRPr="00260790" w:rsidRDefault="005F3FB7" w:rsidP="00E20250">
      <w:pPr>
        <w:spacing w:before="160" w:line="240" w:lineRule="auto"/>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Lors de l’exécution des travaux, l’Entrepreneur doit :</w:t>
      </w:r>
    </w:p>
    <w:p w14:paraId="3C76DCEF" w14:textId="77777777" w:rsidR="005F3FB7" w:rsidRPr="00260790" w:rsidRDefault="005F3FB7" w:rsidP="001748C6">
      <w:pPr>
        <w:widowControl w:val="0"/>
        <w:numPr>
          <w:ilvl w:val="0"/>
          <w:numId w:val="78"/>
        </w:numPr>
        <w:spacing w:after="0" w:line="240" w:lineRule="auto"/>
        <w:jc w:val="both"/>
        <w:rPr>
          <w:rFonts w:ascii="Times New Roman" w:eastAsia="MS Mincho" w:hAnsi="Times New Roman"/>
          <w:color w:val="000000" w:themeColor="text1"/>
          <w:lang w:eastAsia="ja-JP"/>
        </w:rPr>
      </w:pPr>
      <w:proofErr w:type="gramStart"/>
      <w:r w:rsidRPr="00260790">
        <w:rPr>
          <w:rFonts w:ascii="Times New Roman" w:eastAsia="MS Mincho" w:hAnsi="Times New Roman"/>
          <w:color w:val="000000" w:themeColor="text1"/>
          <w:lang w:eastAsia="ja-JP"/>
        </w:rPr>
        <w:t>limiter</w:t>
      </w:r>
      <w:proofErr w:type="gramEnd"/>
      <w:r w:rsidRPr="00260790">
        <w:rPr>
          <w:rFonts w:ascii="Times New Roman" w:eastAsia="MS Mincho" w:hAnsi="Times New Roman"/>
          <w:color w:val="000000" w:themeColor="text1"/>
          <w:lang w:eastAsia="ja-JP"/>
        </w:rPr>
        <w:t xml:space="preserve"> la vitesse des véhicules sur le chantier par l’installation de panneaux de signalisation et des porteurs de drapeaux ;</w:t>
      </w:r>
    </w:p>
    <w:p w14:paraId="3706A174" w14:textId="77777777" w:rsidR="005F3FB7" w:rsidRPr="00260790" w:rsidRDefault="005F3FB7" w:rsidP="001748C6">
      <w:pPr>
        <w:widowControl w:val="0"/>
        <w:numPr>
          <w:ilvl w:val="0"/>
          <w:numId w:val="78"/>
        </w:numPr>
        <w:spacing w:after="0" w:line="240" w:lineRule="auto"/>
        <w:jc w:val="both"/>
        <w:rPr>
          <w:rFonts w:ascii="Times New Roman" w:eastAsia="MS Mincho" w:hAnsi="Times New Roman"/>
          <w:color w:val="000000" w:themeColor="text1"/>
          <w:lang w:eastAsia="ja-JP"/>
        </w:rPr>
      </w:pPr>
      <w:proofErr w:type="gramStart"/>
      <w:r w:rsidRPr="00260790">
        <w:rPr>
          <w:rFonts w:ascii="Times New Roman" w:eastAsia="MS Mincho" w:hAnsi="Times New Roman"/>
          <w:color w:val="000000" w:themeColor="text1"/>
          <w:lang w:eastAsia="ja-JP"/>
        </w:rPr>
        <w:t>arroser</w:t>
      </w:r>
      <w:proofErr w:type="gramEnd"/>
      <w:r w:rsidRPr="00260790">
        <w:rPr>
          <w:rFonts w:ascii="Times New Roman" w:eastAsia="MS Mincho" w:hAnsi="Times New Roman"/>
          <w:color w:val="000000" w:themeColor="text1"/>
          <w:lang w:eastAsia="ja-JP"/>
        </w:rPr>
        <w:t xml:space="preserve"> régulièrement les voies de circulation dans les zones habitées (s’il s’agit de la voirie non bitumée) ;</w:t>
      </w:r>
    </w:p>
    <w:p w14:paraId="146CB6CF" w14:textId="77777777" w:rsidR="005F3FB7" w:rsidRPr="00260790" w:rsidRDefault="005F3FB7" w:rsidP="001748C6">
      <w:pPr>
        <w:widowControl w:val="0"/>
        <w:numPr>
          <w:ilvl w:val="0"/>
          <w:numId w:val="78"/>
        </w:numPr>
        <w:spacing w:after="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 </w:t>
      </w:r>
      <w:proofErr w:type="gramStart"/>
      <w:r w:rsidRPr="00260790">
        <w:rPr>
          <w:rFonts w:ascii="Times New Roman" w:eastAsia="MS Mincho" w:hAnsi="Times New Roman"/>
          <w:color w:val="000000" w:themeColor="text1"/>
          <w:lang w:eastAsia="ja-JP"/>
        </w:rPr>
        <w:t>prévoir</w:t>
      </w:r>
      <w:proofErr w:type="gramEnd"/>
      <w:r w:rsidRPr="00260790">
        <w:rPr>
          <w:rFonts w:ascii="Times New Roman" w:eastAsia="MS Mincho" w:hAnsi="Times New Roman"/>
          <w:color w:val="000000" w:themeColor="text1"/>
          <w:lang w:eastAsia="ja-JP"/>
        </w:rPr>
        <w:t xml:space="preserve"> des déviations par des pistes et voiries existantes dans la mesure du possible.</w:t>
      </w:r>
    </w:p>
    <w:p w14:paraId="29ADEA9C" w14:textId="77777777" w:rsidR="005F3FB7" w:rsidRPr="00260790" w:rsidRDefault="005F3FB7" w:rsidP="00E20250">
      <w:pPr>
        <w:spacing w:after="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Dans les zones d'habitation, l’Entrepreneur doit établir l'horaire et l'itinéraire des véhicules lourds qui doivent circuler à l'extérieur des chantiers de façon à réduire les nuisances (bruit, poussière et congestion de la circulation) et le porter à l’approbation du Maître d’œuvre.</w:t>
      </w:r>
    </w:p>
    <w:p w14:paraId="100E1A1F"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Pour assurer l'ordre dans le trafic et la sécurité sur les routes, le sable, le ciment et les autres matériaux fins doivent être contenus hermétiquement durant le transport afin d'éviter l’envol de poussière et le déversement en cours de transport. Les matériaux contenant des particules fines doivent être recouverts d'une bâche fixée solidement. L’Entrepreneur doit prendre des protections spéciales (filets, bâches) contre les risques de projections, émanations et chutes d’objets.</w:t>
      </w:r>
    </w:p>
    <w:p w14:paraId="080CDAA0"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L’Entrepreneur peut aménager des zones secondaires pour le stationnement des engins qui ne sont pas autorisés à stationner sur la voie publique à tout moment et de l’emprise des chantiers. Ces zones peuvent comporter également un espace permettant les travaux de soudure, d’assemblage, de petit usinage, et de petit entretien d’engins. Ces zones ne pourront pas stocker des hydrocarbures.</w:t>
      </w:r>
    </w:p>
    <w:p w14:paraId="702BEAEA" w14:textId="7D6A6DB6"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Tout stockage de quelque nature que ce soit est formellement interdit dans l’environnement immédiat, en dehors des emprises de chantiers et des zones prédéfinies.</w:t>
      </w:r>
    </w:p>
    <w:p w14:paraId="5BA15F19" w14:textId="77777777" w:rsidR="0048082D" w:rsidRPr="00260790" w:rsidRDefault="0048082D">
      <w:pPr>
        <w:spacing w:line="259" w:lineRule="auto"/>
        <w:rPr>
          <w:rFonts w:ascii="Times New Roman" w:hAnsi="Times New Roman"/>
          <w:b/>
          <w:bCs/>
          <w:color w:val="000000" w:themeColor="text1"/>
        </w:rPr>
      </w:pPr>
      <w:r w:rsidRPr="00260790">
        <w:rPr>
          <w:rFonts w:ascii="Times New Roman" w:hAnsi="Times New Roman"/>
          <w:b/>
          <w:bCs/>
          <w:color w:val="000000" w:themeColor="text1"/>
        </w:rPr>
        <w:br w:type="page"/>
      </w:r>
    </w:p>
    <w:p w14:paraId="5FDFF516" w14:textId="34207125" w:rsidR="005F3FB7" w:rsidRPr="00260790" w:rsidRDefault="005F3FB7" w:rsidP="00E20250">
      <w:pPr>
        <w:spacing w:before="120" w:after="120" w:line="240" w:lineRule="auto"/>
        <w:ind w:left="576" w:hanging="576"/>
        <w:jc w:val="both"/>
        <w:rPr>
          <w:rFonts w:ascii="Times New Roman" w:hAnsi="Times New Roman"/>
          <w:b/>
          <w:bCs/>
          <w:color w:val="000000" w:themeColor="text1"/>
        </w:rPr>
      </w:pPr>
      <w:r w:rsidRPr="00260790">
        <w:rPr>
          <w:rFonts w:ascii="Times New Roman" w:hAnsi="Times New Roman"/>
          <w:b/>
          <w:bCs/>
          <w:color w:val="000000" w:themeColor="text1"/>
        </w:rPr>
        <w:lastRenderedPageBreak/>
        <w:t>Mesures de circulation des engins/véhicules de chantier</w:t>
      </w:r>
    </w:p>
    <w:p w14:paraId="2DCA445B"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Seuls les matériels strictement indispensables sont tolérés sur le chantier. En dehors des accès, des lieux de passage désignés et des aires de travail, il est interdit de circuler avec des engins de chantier.</w:t>
      </w:r>
    </w:p>
    <w:p w14:paraId="43AD1819" w14:textId="7DB38DE2"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L’Entrepreneur doit s’assurer de la limitation de vitesse pour tous ses véhicules circulant sur la voie publique, avec un maximum de </w:t>
      </w:r>
      <w:r w:rsidR="00EB7F82">
        <w:rPr>
          <w:rFonts w:ascii="Times New Roman" w:eastAsia="MS Mincho" w:hAnsi="Times New Roman"/>
          <w:color w:val="000000" w:themeColor="text1"/>
          <w:lang w:eastAsia="ja-JP"/>
        </w:rPr>
        <w:t>5</w:t>
      </w:r>
      <w:r w:rsidRPr="00260790">
        <w:rPr>
          <w:rFonts w:ascii="Times New Roman" w:eastAsia="MS Mincho" w:hAnsi="Times New Roman"/>
          <w:color w:val="000000" w:themeColor="text1"/>
          <w:lang w:eastAsia="ja-JP"/>
        </w:rPr>
        <w:t xml:space="preserve">0 km/h en rase campagne et </w:t>
      </w:r>
      <w:r w:rsidR="00EB7F82">
        <w:rPr>
          <w:rFonts w:ascii="Times New Roman" w:eastAsia="MS Mincho" w:hAnsi="Times New Roman"/>
          <w:color w:val="000000" w:themeColor="text1"/>
          <w:lang w:eastAsia="ja-JP"/>
        </w:rPr>
        <w:t>25</w:t>
      </w:r>
      <w:r w:rsidR="00EB7F82" w:rsidRPr="00260790">
        <w:rPr>
          <w:rFonts w:ascii="Times New Roman" w:eastAsia="MS Mincho" w:hAnsi="Times New Roman"/>
          <w:color w:val="000000" w:themeColor="text1"/>
          <w:lang w:eastAsia="ja-JP"/>
        </w:rPr>
        <w:t xml:space="preserve"> </w:t>
      </w:r>
      <w:r w:rsidRPr="00260790">
        <w:rPr>
          <w:rFonts w:ascii="Times New Roman" w:eastAsia="MS Mincho" w:hAnsi="Times New Roman"/>
          <w:color w:val="000000" w:themeColor="text1"/>
          <w:lang w:eastAsia="ja-JP"/>
        </w:rPr>
        <w:t>km/h au niveau des agglomérations et à la traversée des zones habitées. Les conducteurs dépassant ces limites doivent faire l’objet de mesures disciplinaires pouvant aller jusqu’au licenciement. La pose de ralentisseurs aux entrées des agglomérations sera préconisée.</w:t>
      </w:r>
    </w:p>
    <w:p w14:paraId="62824408" w14:textId="76FFDFFE"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Les véhicules de l’Entrepreneur doivent en toute circonstance se conformer aux prescriptions du </w:t>
      </w:r>
      <w:r w:rsidR="00567D18" w:rsidRPr="00260790">
        <w:rPr>
          <w:rFonts w:ascii="Times New Roman" w:eastAsia="MS Mincho" w:hAnsi="Times New Roman"/>
          <w:color w:val="000000" w:themeColor="text1"/>
          <w:lang w:eastAsia="ja-JP"/>
        </w:rPr>
        <w:t>C</w:t>
      </w:r>
      <w:r w:rsidRPr="00260790">
        <w:rPr>
          <w:rFonts w:ascii="Times New Roman" w:eastAsia="MS Mincho" w:hAnsi="Times New Roman"/>
          <w:color w:val="000000" w:themeColor="text1"/>
          <w:lang w:eastAsia="ja-JP"/>
        </w:rPr>
        <w:t>ode de la route en vigueur, notamment en ce qui concerne le poids des véhicules en charge.</w:t>
      </w:r>
    </w:p>
    <w:p w14:paraId="3A78D5A7"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L’Entrepreneur devra, en période sèche, arroser régulièrement les pistes empruntées par ses engins de transport pour éviter la poussière, plus particulièrement au niveau des zones habitées.</w:t>
      </w:r>
    </w:p>
    <w:p w14:paraId="48A92CFA" w14:textId="77777777" w:rsidR="005F3FB7" w:rsidRPr="00260790" w:rsidRDefault="005F3FB7" w:rsidP="00E20250">
      <w:pPr>
        <w:spacing w:before="160" w:line="240" w:lineRule="auto"/>
        <w:jc w:val="both"/>
        <w:rPr>
          <w:rFonts w:ascii="Times New Roman" w:hAnsi="Times New Roman"/>
          <w:b/>
          <w:bCs/>
          <w:color w:val="000000" w:themeColor="text1"/>
        </w:rPr>
      </w:pPr>
      <w:r w:rsidRPr="00260790">
        <w:rPr>
          <w:rFonts w:ascii="Times New Roman" w:hAnsi="Times New Roman"/>
          <w:b/>
          <w:bCs/>
          <w:color w:val="000000" w:themeColor="text1"/>
        </w:rPr>
        <w:t>Mesures de transport et de stockage de produits pétroliers et contaminants</w:t>
      </w:r>
    </w:p>
    <w:p w14:paraId="1D2F4D56"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L’Entrepreneur doit transporter les produits pétroliers, les lubrifiants et les autres matières dangereuses de façon sécuritaire, dans des bacs étanches sur lesquels le nom du produit est clairement identifié. La livraison doit être effectuée par des camions-citernes conformes à la réglementation en vigueur et les conducteurs doivent être sensibilisés sur les dégâts en cas d’accident. </w:t>
      </w:r>
    </w:p>
    <w:p w14:paraId="3AB69FE7"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Les opérations de transbordement vers les citernes de stockage doivent être effectuées par un personnel averti. Les citernes de stockage doivent être étanches et posées sur des surfaces protégées disposant d'un système de protection contre des déversements accidentels. </w:t>
      </w:r>
    </w:p>
    <w:p w14:paraId="0B213B96"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L’Entrepreneur doit installer ses entrepôts de combustible, de lubrifiants et de produits pétroliers à une distance d’au moins 100 m des plans et cours d’eau. Les lieux d'entreposage doivent être localisés à l’extérieur de toute zone inondable et d’habitation. Les lieux d'entreposage doivent être bien identifiés pour éviter des collisions entre les véhicules de chantier et les réservoirs de produits pétroliers.</w:t>
      </w:r>
    </w:p>
    <w:p w14:paraId="14F794BB"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L’Entrepreneur doit protéger les réservoirs de produits pétroliers et les équipements de remplissage par une cuvette pour la rétention du contenu en cas de déversement accidentel. Tous les réservoirs doivent être fermés quand ils ne sont pas utilisés. </w:t>
      </w:r>
    </w:p>
    <w:p w14:paraId="791175FD"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L’Entrepreneur doit informer et sensibiliser son personnel :</w:t>
      </w:r>
    </w:p>
    <w:p w14:paraId="2DE8639F" w14:textId="77777777" w:rsidR="005F3FB7" w:rsidRPr="00260790" w:rsidRDefault="005F3FB7" w:rsidP="001748C6">
      <w:pPr>
        <w:widowControl w:val="0"/>
        <w:numPr>
          <w:ilvl w:val="0"/>
          <w:numId w:val="79"/>
        </w:numPr>
        <w:spacing w:after="0" w:line="240" w:lineRule="auto"/>
        <w:jc w:val="both"/>
        <w:rPr>
          <w:rFonts w:ascii="Times New Roman" w:eastAsia="MS Mincho" w:hAnsi="Times New Roman"/>
          <w:color w:val="000000" w:themeColor="text1"/>
          <w:lang w:eastAsia="ja-JP"/>
        </w:rPr>
      </w:pPr>
      <w:proofErr w:type="gramStart"/>
      <w:r w:rsidRPr="00260790">
        <w:rPr>
          <w:rFonts w:ascii="Times New Roman" w:eastAsia="MS Mincho" w:hAnsi="Times New Roman"/>
          <w:color w:val="000000" w:themeColor="text1"/>
          <w:lang w:eastAsia="ja-JP"/>
        </w:rPr>
        <w:t>quant</w:t>
      </w:r>
      <w:proofErr w:type="gramEnd"/>
      <w:r w:rsidRPr="00260790">
        <w:rPr>
          <w:rFonts w:ascii="Times New Roman" w:eastAsia="MS Mincho" w:hAnsi="Times New Roman"/>
          <w:color w:val="000000" w:themeColor="text1"/>
          <w:lang w:eastAsia="ja-JP"/>
        </w:rPr>
        <w:t xml:space="preserve"> aux consignes particulières à suivre afin d’éviter tout risque de déversement accidentel lors de la manipulation et de l’utilisation des produits pétroliers ;</w:t>
      </w:r>
    </w:p>
    <w:p w14:paraId="47429637" w14:textId="77777777" w:rsidR="005F3FB7" w:rsidRPr="00260790" w:rsidRDefault="005F3FB7" w:rsidP="001748C6">
      <w:pPr>
        <w:widowControl w:val="0"/>
        <w:numPr>
          <w:ilvl w:val="0"/>
          <w:numId w:val="79"/>
        </w:numPr>
        <w:spacing w:after="0" w:line="240" w:lineRule="auto"/>
        <w:jc w:val="both"/>
        <w:rPr>
          <w:rFonts w:ascii="Times New Roman" w:eastAsia="MS Mincho" w:hAnsi="Times New Roman"/>
          <w:color w:val="000000" w:themeColor="text1"/>
          <w:lang w:eastAsia="ja-JP"/>
        </w:rPr>
      </w:pPr>
      <w:proofErr w:type="gramStart"/>
      <w:r w:rsidRPr="00260790">
        <w:rPr>
          <w:rFonts w:ascii="Times New Roman" w:eastAsia="MS Mincho" w:hAnsi="Times New Roman"/>
          <w:color w:val="000000" w:themeColor="text1"/>
          <w:lang w:eastAsia="ja-JP"/>
        </w:rPr>
        <w:t>sur</w:t>
      </w:r>
      <w:proofErr w:type="gramEnd"/>
      <w:r w:rsidRPr="00260790">
        <w:rPr>
          <w:rFonts w:ascii="Times New Roman" w:eastAsia="MS Mincho" w:hAnsi="Times New Roman"/>
          <w:color w:val="000000" w:themeColor="text1"/>
          <w:lang w:eastAsia="ja-JP"/>
        </w:rPr>
        <w:t xml:space="preserve"> les mesures d’interventions à mettre en place en cas de sinistre afin d’éviter tout déversement accidentel.</w:t>
      </w:r>
    </w:p>
    <w:p w14:paraId="60899272" w14:textId="77777777" w:rsidR="005F3FB7" w:rsidRPr="00260790" w:rsidRDefault="005F3FB7" w:rsidP="00E20250">
      <w:pPr>
        <w:spacing w:before="160" w:line="240" w:lineRule="auto"/>
        <w:jc w:val="both"/>
        <w:rPr>
          <w:rFonts w:ascii="Times New Roman" w:hAnsi="Times New Roman"/>
          <w:b/>
          <w:bCs/>
          <w:color w:val="000000" w:themeColor="text1"/>
        </w:rPr>
      </w:pPr>
      <w:r w:rsidRPr="00260790">
        <w:rPr>
          <w:rFonts w:ascii="Times New Roman" w:hAnsi="Times New Roman"/>
          <w:b/>
          <w:bCs/>
          <w:color w:val="000000" w:themeColor="text1"/>
        </w:rPr>
        <w:t>Mesures en cas de déversements accidentels/fuites de produits pétroliers et contaminants</w:t>
      </w:r>
    </w:p>
    <w:p w14:paraId="18C410C9"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L’Entrepreneur doit préparer un plan d’urgence en cas de déversement accidentel de contaminants et le soumettre au Maître d’œuvre avant le début des travaux. Les mesures de lutte et de contrôle contre les déversements de produits contaminants sur le chantier doivent être clairement identifiées et les travailleurs doivent les connaître et pouvoir les mettre en œuvre en cas d’accident.  L’Entrepreneur doit mettre en place sur le chantier : </w:t>
      </w:r>
    </w:p>
    <w:p w14:paraId="34C49BAE" w14:textId="77777777" w:rsidR="005F3FB7" w:rsidRPr="00260790" w:rsidRDefault="005F3FB7" w:rsidP="001748C6">
      <w:pPr>
        <w:widowControl w:val="0"/>
        <w:numPr>
          <w:ilvl w:val="0"/>
          <w:numId w:val="84"/>
        </w:numPr>
        <w:spacing w:after="0" w:line="240" w:lineRule="auto"/>
        <w:jc w:val="both"/>
        <w:rPr>
          <w:rFonts w:ascii="Times New Roman" w:eastAsia="MS Mincho" w:hAnsi="Times New Roman"/>
          <w:color w:val="000000" w:themeColor="text1"/>
          <w:lang w:eastAsia="ja-JP"/>
        </w:rPr>
      </w:pPr>
      <w:proofErr w:type="gramStart"/>
      <w:r w:rsidRPr="00260790">
        <w:rPr>
          <w:rFonts w:ascii="Times New Roman" w:eastAsia="MS Mincho" w:hAnsi="Times New Roman"/>
          <w:color w:val="000000" w:themeColor="text1"/>
          <w:lang w:eastAsia="ja-JP"/>
        </w:rPr>
        <w:t>du</w:t>
      </w:r>
      <w:proofErr w:type="gramEnd"/>
      <w:r w:rsidRPr="00260790">
        <w:rPr>
          <w:rFonts w:ascii="Times New Roman" w:eastAsia="MS Mincho" w:hAnsi="Times New Roman"/>
          <w:color w:val="000000" w:themeColor="text1"/>
          <w:lang w:eastAsia="ja-JP"/>
        </w:rPr>
        <w:t xml:space="preserve"> matériel de lutte contre les déversements [(absorbants (sciures de bois, granulés, coussins, sable, tourbe, etc.] pelles, pompes, machinerie, contenants, gants, isolants, etc.</w:t>
      </w:r>
      <w:proofErr w:type="gramStart"/>
      <w:r w:rsidRPr="00260790">
        <w:rPr>
          <w:rFonts w:ascii="Times New Roman" w:eastAsia="MS Mincho" w:hAnsi="Times New Roman"/>
          <w:color w:val="000000" w:themeColor="text1"/>
          <w:lang w:eastAsia="ja-JP"/>
        </w:rPr>
        <w:t>);</w:t>
      </w:r>
      <w:proofErr w:type="gramEnd"/>
      <w:r w:rsidRPr="00260790">
        <w:rPr>
          <w:rFonts w:ascii="Times New Roman" w:eastAsia="MS Mincho" w:hAnsi="Times New Roman"/>
          <w:color w:val="000000" w:themeColor="text1"/>
          <w:lang w:eastAsia="ja-JP"/>
        </w:rPr>
        <w:t xml:space="preserve"> </w:t>
      </w:r>
    </w:p>
    <w:p w14:paraId="75951F93" w14:textId="77777777" w:rsidR="005F3FB7" w:rsidRPr="00260790" w:rsidRDefault="005F3FB7" w:rsidP="001748C6">
      <w:pPr>
        <w:widowControl w:val="0"/>
        <w:numPr>
          <w:ilvl w:val="0"/>
          <w:numId w:val="84"/>
        </w:numPr>
        <w:spacing w:after="0" w:line="240" w:lineRule="auto"/>
        <w:jc w:val="both"/>
        <w:rPr>
          <w:rFonts w:ascii="Times New Roman" w:eastAsia="MS Mincho" w:hAnsi="Times New Roman"/>
          <w:color w:val="000000" w:themeColor="text1"/>
          <w:lang w:eastAsia="ja-JP"/>
        </w:rPr>
      </w:pPr>
      <w:proofErr w:type="gramStart"/>
      <w:r w:rsidRPr="00260790">
        <w:rPr>
          <w:rFonts w:ascii="Times New Roman" w:eastAsia="MS Mincho" w:hAnsi="Times New Roman"/>
          <w:color w:val="000000" w:themeColor="text1"/>
          <w:lang w:eastAsia="ja-JP"/>
        </w:rPr>
        <w:t>du</w:t>
      </w:r>
      <w:proofErr w:type="gramEnd"/>
      <w:r w:rsidRPr="00260790">
        <w:rPr>
          <w:rFonts w:ascii="Times New Roman" w:eastAsia="MS Mincho" w:hAnsi="Times New Roman"/>
          <w:color w:val="000000" w:themeColor="text1"/>
          <w:lang w:eastAsia="ja-JP"/>
        </w:rPr>
        <w:t xml:space="preserve"> matériel de communication (radio émettrice, téléphone, etc.) ; </w:t>
      </w:r>
    </w:p>
    <w:p w14:paraId="74E94189" w14:textId="77777777" w:rsidR="005F3FB7" w:rsidRPr="00260790" w:rsidRDefault="005F3FB7" w:rsidP="001748C6">
      <w:pPr>
        <w:widowControl w:val="0"/>
        <w:numPr>
          <w:ilvl w:val="0"/>
          <w:numId w:val="84"/>
        </w:numPr>
        <w:spacing w:after="0" w:line="240" w:lineRule="auto"/>
        <w:jc w:val="both"/>
        <w:rPr>
          <w:rFonts w:ascii="Times New Roman" w:eastAsia="MS Mincho" w:hAnsi="Times New Roman"/>
          <w:color w:val="000000" w:themeColor="text1"/>
          <w:lang w:eastAsia="ja-JP"/>
        </w:rPr>
      </w:pPr>
      <w:proofErr w:type="gramStart"/>
      <w:r w:rsidRPr="00260790">
        <w:rPr>
          <w:rFonts w:ascii="Times New Roman" w:eastAsia="MS Mincho" w:hAnsi="Times New Roman"/>
          <w:color w:val="000000" w:themeColor="text1"/>
          <w:lang w:eastAsia="ja-JP"/>
        </w:rPr>
        <w:t>matériel</w:t>
      </w:r>
      <w:proofErr w:type="gramEnd"/>
      <w:r w:rsidRPr="00260790">
        <w:rPr>
          <w:rFonts w:ascii="Times New Roman" w:eastAsia="MS Mincho" w:hAnsi="Times New Roman"/>
          <w:color w:val="000000" w:themeColor="text1"/>
          <w:lang w:eastAsia="ja-JP"/>
        </w:rPr>
        <w:t xml:space="preserve"> de sécurité (signalisation, balisage, etc.).</w:t>
      </w:r>
    </w:p>
    <w:p w14:paraId="5E448B65" w14:textId="77777777" w:rsidR="0048082D" w:rsidRPr="00260790" w:rsidRDefault="0048082D">
      <w:pPr>
        <w:spacing w:line="259" w:lineRule="auto"/>
        <w:rPr>
          <w:rFonts w:ascii="Times New Roman" w:hAnsi="Times New Roman"/>
          <w:b/>
          <w:bCs/>
          <w:color w:val="000000" w:themeColor="text1"/>
        </w:rPr>
      </w:pPr>
      <w:r w:rsidRPr="00260790">
        <w:rPr>
          <w:rFonts w:ascii="Times New Roman" w:hAnsi="Times New Roman"/>
          <w:b/>
          <w:bCs/>
          <w:color w:val="000000" w:themeColor="text1"/>
        </w:rPr>
        <w:br w:type="page"/>
      </w:r>
    </w:p>
    <w:p w14:paraId="33841DC8" w14:textId="58CA26EF" w:rsidR="005F3FB7" w:rsidRPr="00260790" w:rsidRDefault="005F3FB7" w:rsidP="00E20250">
      <w:pPr>
        <w:spacing w:before="120" w:after="120" w:line="240" w:lineRule="auto"/>
        <w:ind w:left="576" w:hanging="576"/>
        <w:jc w:val="both"/>
        <w:rPr>
          <w:rFonts w:ascii="Times New Roman" w:hAnsi="Times New Roman"/>
          <w:b/>
          <w:bCs/>
          <w:color w:val="000000" w:themeColor="text1"/>
        </w:rPr>
      </w:pPr>
      <w:r w:rsidRPr="00260790">
        <w:rPr>
          <w:rFonts w:ascii="Times New Roman" w:hAnsi="Times New Roman"/>
          <w:b/>
          <w:bCs/>
          <w:color w:val="000000" w:themeColor="text1"/>
        </w:rPr>
        <w:lastRenderedPageBreak/>
        <w:t>Protection des eaux</w:t>
      </w:r>
    </w:p>
    <w:p w14:paraId="6E77429E"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 risque majeur pour les eaux pendant la période des travaux concerne les installations de stockage et de manipulation des hydrocarbures et des produits toxiques, ainsi que les opérations de transport et de transfert de ces produits.</w:t>
      </w:r>
    </w:p>
    <w:p w14:paraId="704393BE"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 personnel chargé des opérations impliquant des produits polluants devra être formé en conséquence. Les matériels de transport et de stockage de ces produits devront répondre aux normes réglementaires. Les règles suivantes sont à respecter :</w:t>
      </w:r>
    </w:p>
    <w:p w14:paraId="6B87D309" w14:textId="77777777" w:rsidR="005F3FB7" w:rsidRPr="00260790" w:rsidRDefault="005F3FB7" w:rsidP="001748C6">
      <w:pPr>
        <w:widowControl w:val="0"/>
        <w:numPr>
          <w:ilvl w:val="0"/>
          <w:numId w:val="80"/>
        </w:numPr>
        <w:spacing w:before="80" w:after="80" w:line="240" w:lineRule="auto"/>
        <w:ind w:left="993"/>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Les véhicules de transport de produits polluants devront être en bon état de fonctionnement et régulièrement entretenu, en particulier, les citernes, les vannes, les systèmes de distribution, les pompes ;</w:t>
      </w:r>
    </w:p>
    <w:p w14:paraId="54B7F994" w14:textId="77777777" w:rsidR="005F3FB7" w:rsidRPr="00260790" w:rsidRDefault="005F3FB7" w:rsidP="001748C6">
      <w:pPr>
        <w:widowControl w:val="0"/>
        <w:numPr>
          <w:ilvl w:val="0"/>
          <w:numId w:val="80"/>
        </w:numPr>
        <w:spacing w:before="80" w:after="80" w:line="240" w:lineRule="auto"/>
        <w:ind w:left="993"/>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Un inventaire des produits toxiques sera établi et remis au maître d'ouvrage ;</w:t>
      </w:r>
    </w:p>
    <w:p w14:paraId="30EE7F9A" w14:textId="77777777" w:rsidR="005F3FB7" w:rsidRPr="00260790" w:rsidRDefault="005F3FB7" w:rsidP="001748C6">
      <w:pPr>
        <w:widowControl w:val="0"/>
        <w:numPr>
          <w:ilvl w:val="0"/>
          <w:numId w:val="80"/>
        </w:numPr>
        <w:spacing w:before="80" w:after="80" w:line="240" w:lineRule="auto"/>
        <w:ind w:left="993"/>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Les produits seront séparés en catégories similaires ;</w:t>
      </w:r>
    </w:p>
    <w:p w14:paraId="48A212CF" w14:textId="77777777" w:rsidR="005F3FB7" w:rsidRPr="00260790" w:rsidRDefault="005F3FB7" w:rsidP="001748C6">
      <w:pPr>
        <w:widowControl w:val="0"/>
        <w:numPr>
          <w:ilvl w:val="0"/>
          <w:numId w:val="80"/>
        </w:numPr>
        <w:spacing w:before="80" w:after="80" w:line="240" w:lineRule="auto"/>
        <w:ind w:left="993"/>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Les travailleurs ayant à manipuler ces produits utiliseront des vêtements et des équipements de protection et emploieront des techniques de manipulation adaptées ;</w:t>
      </w:r>
    </w:p>
    <w:p w14:paraId="0CB85D34" w14:textId="316A0CE1" w:rsidR="005F3FB7" w:rsidRPr="00260790" w:rsidRDefault="005F3FB7" w:rsidP="001748C6">
      <w:pPr>
        <w:widowControl w:val="0"/>
        <w:numPr>
          <w:ilvl w:val="0"/>
          <w:numId w:val="80"/>
        </w:numPr>
        <w:spacing w:before="80" w:after="80" w:line="240" w:lineRule="auto"/>
        <w:ind w:left="993"/>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L'accès des locaux de stockages est réservé au personnel autorisé. Les aires de stockage seront protégées par des clôtures. Elles devront être aménagées pour assurer une protection efficace du sol et du sous-sol et permettre la récupération et l'évacuation des produits et/ou terres éventuellement pollués ;</w:t>
      </w:r>
    </w:p>
    <w:p w14:paraId="17DC4ABE" w14:textId="77777777" w:rsidR="005F3FB7" w:rsidRPr="00260790" w:rsidRDefault="005F3FB7" w:rsidP="001748C6">
      <w:pPr>
        <w:widowControl w:val="0"/>
        <w:numPr>
          <w:ilvl w:val="0"/>
          <w:numId w:val="80"/>
        </w:numPr>
        <w:spacing w:before="80" w:after="80" w:line="240" w:lineRule="auto"/>
        <w:ind w:left="993"/>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Il est strictement interdit de déverser de l'huile usagée sur le sol. L'entrepreneur devra assurer la collecte des huiles usagées sur les sites de maintenance des engins dans des fûts adaptés aux opérations de vidange des engins et véhicules. Le sol de ces sites devra être protégé vis-à-vis de tout déversement accidentel.</w:t>
      </w:r>
    </w:p>
    <w:p w14:paraId="792C0CFF" w14:textId="77777777" w:rsidR="005F3FB7" w:rsidRPr="00260790" w:rsidRDefault="005F3FB7" w:rsidP="00E20250">
      <w:pPr>
        <w:spacing w:before="120" w:after="120" w:line="240" w:lineRule="auto"/>
        <w:ind w:left="576" w:hanging="576"/>
        <w:jc w:val="both"/>
        <w:rPr>
          <w:rFonts w:ascii="Times New Roman" w:hAnsi="Times New Roman"/>
          <w:b/>
          <w:bCs/>
          <w:color w:val="000000" w:themeColor="text1"/>
        </w:rPr>
      </w:pPr>
      <w:r w:rsidRPr="00260790">
        <w:rPr>
          <w:rFonts w:ascii="Times New Roman" w:hAnsi="Times New Roman"/>
          <w:b/>
          <w:bCs/>
          <w:color w:val="000000" w:themeColor="text1"/>
        </w:rPr>
        <w:t>Protection des milieux humides, de la faune et de la flore</w:t>
      </w:r>
    </w:p>
    <w:p w14:paraId="29FB98C3"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Il est interdit à l’Entrepreneur d’effectuer des aménagements temporaires (aires d’entreposage et de stationnement, chemins de contournement ou de travail, etc.) dans des milieux humides, notamment en évitant le comblement des mares temporaires existantes. En cas de plantations, l’Entrepreneur doit s'adapter à la végétation locale et veiller à ne pas introduire de nouvelles espèces sans l’avis des services forestiers. Pour toutes les aires déboisées sises à l’extérieur de l’emprise et requises par l’Entrepreneur pour les besoins de ses travaux, la terre végétale extraite doit être mise en réserve. </w:t>
      </w:r>
    </w:p>
    <w:p w14:paraId="342029B6" w14:textId="77777777" w:rsidR="005F3FB7" w:rsidRPr="00260790" w:rsidRDefault="005F3FB7" w:rsidP="00E20250">
      <w:pPr>
        <w:spacing w:before="160" w:line="240" w:lineRule="auto"/>
        <w:jc w:val="both"/>
        <w:rPr>
          <w:rFonts w:ascii="Times New Roman" w:hAnsi="Times New Roman"/>
          <w:b/>
          <w:bCs/>
          <w:color w:val="000000" w:themeColor="text1"/>
        </w:rPr>
      </w:pPr>
      <w:r w:rsidRPr="00260790">
        <w:rPr>
          <w:rFonts w:ascii="Times New Roman" w:hAnsi="Times New Roman"/>
          <w:b/>
          <w:bCs/>
          <w:color w:val="000000" w:themeColor="text1"/>
        </w:rPr>
        <w:t>Prévention contre les feux de brousse</w:t>
      </w:r>
    </w:p>
    <w:p w14:paraId="50ECFFC9"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L’Entrepreneur est responsable de la prévention des feux de brousse sur l’étendue de ses travaux, incluant la base de chantier, les zones d’emprunt/carrières et les accès. Il doit strictement observer les instructions, lois et règlements édictés par les autorités compétentes. </w:t>
      </w:r>
    </w:p>
    <w:p w14:paraId="2F1DA59A" w14:textId="77777777" w:rsidR="005F3FB7" w:rsidRPr="00260790" w:rsidRDefault="005F3FB7" w:rsidP="00E20250">
      <w:pPr>
        <w:spacing w:before="160" w:line="240" w:lineRule="auto"/>
        <w:jc w:val="both"/>
        <w:rPr>
          <w:rFonts w:ascii="Times New Roman" w:hAnsi="Times New Roman"/>
          <w:b/>
          <w:bCs/>
          <w:color w:val="000000" w:themeColor="text1"/>
        </w:rPr>
      </w:pPr>
      <w:r w:rsidRPr="00260790">
        <w:rPr>
          <w:rFonts w:ascii="Times New Roman" w:hAnsi="Times New Roman"/>
          <w:b/>
          <w:bCs/>
          <w:color w:val="000000" w:themeColor="text1"/>
        </w:rPr>
        <w:t>Gestion des déchets liquides</w:t>
      </w:r>
    </w:p>
    <w:p w14:paraId="1F66C7C9"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Les installations sanitaires sont établies en accord avec le Maître d’œuvre. Il est interdit à l’Entrepreneur de rejeter les effluents liquides pouvant entrainer des stagnations et incommodités pour le voisinage, ou des pollutions des eaux de surface ou souterraines. L’Entrepreneur doit mettre en place un système d’assainissement autonome approprié (fosse étanche ou septique, etc.). L’Entrepreneur devra éviter tout déversement ou rejet d’eaux usées, d’eaux de vidange des fosses, de boues de vidange des fosses, hydrocarbures, et polluants de toute nature, dans les eaux superficielles ou souterraines, dans les égouts, fossés de drainage ou à la mer. Les points de rejet et de vidange seront indiqués à l’Entrepreneur par le Maître d’œuvre.</w:t>
      </w:r>
    </w:p>
    <w:p w14:paraId="51B6DFA4" w14:textId="77777777" w:rsidR="0048082D" w:rsidRPr="00260790" w:rsidRDefault="0048082D">
      <w:pPr>
        <w:spacing w:line="259" w:lineRule="auto"/>
        <w:rPr>
          <w:rFonts w:ascii="Times New Roman" w:hAnsi="Times New Roman"/>
          <w:b/>
          <w:bCs/>
          <w:color w:val="000000" w:themeColor="text1"/>
        </w:rPr>
      </w:pPr>
      <w:r w:rsidRPr="00260790">
        <w:rPr>
          <w:rFonts w:ascii="Times New Roman" w:hAnsi="Times New Roman"/>
          <w:b/>
          <w:bCs/>
          <w:color w:val="000000" w:themeColor="text1"/>
        </w:rPr>
        <w:br w:type="page"/>
      </w:r>
    </w:p>
    <w:p w14:paraId="450B1E65" w14:textId="1F210B2F" w:rsidR="005F3FB7" w:rsidRPr="00260790" w:rsidRDefault="005F3FB7" w:rsidP="00E20250">
      <w:pPr>
        <w:spacing w:before="160" w:line="240" w:lineRule="auto"/>
        <w:jc w:val="both"/>
        <w:rPr>
          <w:rFonts w:ascii="Times New Roman" w:hAnsi="Times New Roman"/>
          <w:b/>
          <w:bCs/>
          <w:color w:val="000000" w:themeColor="text1"/>
        </w:rPr>
      </w:pPr>
      <w:r w:rsidRPr="00260790">
        <w:rPr>
          <w:rFonts w:ascii="Times New Roman" w:hAnsi="Times New Roman"/>
          <w:b/>
          <w:bCs/>
          <w:color w:val="000000" w:themeColor="text1"/>
        </w:rPr>
        <w:lastRenderedPageBreak/>
        <w:t>Gestion des déchets solides</w:t>
      </w:r>
    </w:p>
    <w:p w14:paraId="5699E141"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L’Entrepreneur doit déposer les ordures ménagères dans des poubelles et devant être vidée périodiquement. En cas d’évacuation par les camions du chantier, les bennes doivent être étanches. Pour des raisons d’hygiène, et pour ne pas attirer les vecteurs, une collecte quotidienne est recommandée, surtout durant les périodes de chaleur. L’Entrepreneur doit éliminer ou recycler les déchets de manière soutenable. L’Entrepreneur doit acheminer les déchets, si possible, vers la décharge publique ou un site autorisé.</w:t>
      </w:r>
    </w:p>
    <w:p w14:paraId="68636F46" w14:textId="77777777" w:rsidR="005F3FB7" w:rsidRPr="00260790" w:rsidRDefault="005F3FB7" w:rsidP="00E20250">
      <w:pPr>
        <w:spacing w:before="160" w:line="240" w:lineRule="auto"/>
        <w:jc w:val="both"/>
        <w:rPr>
          <w:rFonts w:ascii="Times New Roman" w:hAnsi="Times New Roman"/>
          <w:b/>
          <w:bCs/>
          <w:color w:val="000000" w:themeColor="text1"/>
        </w:rPr>
      </w:pPr>
      <w:r w:rsidRPr="00260790">
        <w:rPr>
          <w:rFonts w:ascii="Times New Roman" w:hAnsi="Times New Roman"/>
          <w:b/>
          <w:bCs/>
          <w:color w:val="000000" w:themeColor="text1"/>
        </w:rPr>
        <w:t>Mesures contre la pollution sonore</w:t>
      </w:r>
    </w:p>
    <w:p w14:paraId="49B0C983"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L’Entrepreneur est tenu de limiter les bruits de chantier susceptibles d’importuner les riverains, soit par une durée exagérément longue, soit par leur prolongation en dehors des heures normales de travail. L’Entrepreneur est tenu d’utiliser des engins/véhicules en bon état et veiller à leur entretien régulier.</w:t>
      </w:r>
    </w:p>
    <w:p w14:paraId="1E2F94D0" w14:textId="77777777" w:rsidR="005F3FB7" w:rsidRPr="00260790" w:rsidRDefault="005F3FB7" w:rsidP="00E20250">
      <w:pPr>
        <w:spacing w:before="160" w:line="240" w:lineRule="auto"/>
        <w:jc w:val="both"/>
        <w:rPr>
          <w:rFonts w:ascii="Times New Roman" w:hAnsi="Times New Roman"/>
          <w:b/>
          <w:bCs/>
          <w:color w:val="000000" w:themeColor="text1"/>
        </w:rPr>
      </w:pPr>
      <w:r w:rsidRPr="00260790">
        <w:rPr>
          <w:rFonts w:ascii="Times New Roman" w:hAnsi="Times New Roman"/>
          <w:b/>
          <w:bCs/>
          <w:color w:val="000000" w:themeColor="text1"/>
        </w:rPr>
        <w:t>Voies de contournement et chemins d’accès temporaires</w:t>
      </w:r>
    </w:p>
    <w:p w14:paraId="226CAA75"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L’utilisation de routes locales doit faire l’objet d’une entente préalable avec les autorités locales.  Pour éviter leur dégradation prématurée, l’Entrepreneur doit maintenir les routes locales et pistes en bon état durant la construction et les remettre à leur état original à la fin des travaux.</w:t>
      </w:r>
    </w:p>
    <w:p w14:paraId="3DD41B80" w14:textId="77777777" w:rsidR="005F3FB7" w:rsidRPr="00260790" w:rsidRDefault="005F3FB7" w:rsidP="00E20250">
      <w:pPr>
        <w:spacing w:before="160" w:line="240" w:lineRule="auto"/>
        <w:jc w:val="both"/>
        <w:rPr>
          <w:rFonts w:ascii="Times New Roman" w:eastAsia="MS Mincho" w:hAnsi="Times New Roman"/>
          <w:b/>
          <w:bCs/>
          <w:color w:val="000000" w:themeColor="text1"/>
        </w:rPr>
      </w:pPr>
      <w:r w:rsidRPr="00260790">
        <w:rPr>
          <w:rFonts w:ascii="Times New Roman" w:hAnsi="Times New Roman"/>
          <w:b/>
          <w:bCs/>
          <w:color w:val="000000" w:themeColor="text1"/>
        </w:rPr>
        <w:t>Entretien des engins/véhicules et équipements de chantier</w:t>
      </w:r>
    </w:p>
    <w:p w14:paraId="0D2FE4E8"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L'Entrepreneur doit respecter les normes d’entretien des engins de chantiers et des véhicules et effectuer le ravitaillement en carburant et lubrifiant dans un lieu désigné à cet effet. Sur le site, une provision de matières absorbantes et d’isolants (coussins, feuilles, boudins et fibre de tourbe, etc.) ainsi que des récipients étanches bien identifiés, destinés à recevoir les résidus pétroliers et les déchets, doivent être présents. </w:t>
      </w:r>
    </w:p>
    <w:p w14:paraId="016D3EE0"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L'Entrepreneur doit exécuter, sous surveillance constante, toute manipulation de carburant, d'huile ou d'autres produits contaminants, y compris le transvasement, afin d'éviter le déversement. L'Entrepreneur doit recueillir, traiter ou recycler tous les résidus pétroliers, les huiles usagées et les déchets produits lors des activités d'entretien ou de réparation de la machinerie. Il lui est interdit de les rejeter dans l'environnement ou sur le site du chantier. </w:t>
      </w:r>
    </w:p>
    <w:p w14:paraId="5711B964"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L'Entrepreneur doit effectuer les vidanges dans des fûts étanches et conserver les huiles usagées pour les remettre au fournisseur (recyclage). Les pièces de rechange usagées doivent être éliminées suivant la réglementation en vigueur. La traçabilité de ces déchets sera assurée par des bordereaux de suivi de déchets qui seront archivés sur le site.</w:t>
      </w:r>
    </w:p>
    <w:p w14:paraId="5E021D00"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Les aires de lavage et d'entretien d'engins doivent être bétonnées et pourvues d'un ouvrage de récupération des huiles et graisses, avec une pente orientée de manière à éviter l'écoulement des produits polluants vers les sols non revêtus. Les bétonnières et les équipements servant au transport et à la pose du béton doivent être lavés dans des aires prévues à cet effet.</w:t>
      </w:r>
    </w:p>
    <w:p w14:paraId="121F6EFB" w14:textId="77777777" w:rsidR="005F3FB7" w:rsidRPr="00260790" w:rsidRDefault="005F3FB7" w:rsidP="001748C6">
      <w:pPr>
        <w:numPr>
          <w:ilvl w:val="1"/>
          <w:numId w:val="96"/>
        </w:numPr>
        <w:spacing w:line="240" w:lineRule="auto"/>
        <w:rPr>
          <w:rFonts w:ascii="Times New Roman" w:hAnsi="Times New Roman"/>
          <w:b/>
          <w:bCs/>
          <w:color w:val="000000" w:themeColor="text1"/>
        </w:rPr>
      </w:pPr>
      <w:bookmarkStart w:id="2621" w:name="_Toc55559808"/>
      <w:bookmarkStart w:id="2622" w:name="_Toc69115779"/>
      <w:r w:rsidRPr="00260790">
        <w:rPr>
          <w:rFonts w:ascii="Times New Roman" w:hAnsi="Times New Roman"/>
          <w:b/>
          <w:bCs/>
          <w:color w:val="000000" w:themeColor="text1"/>
        </w:rPr>
        <w:t>Dispositions relatives à la gestion sociale</w:t>
      </w:r>
      <w:bookmarkEnd w:id="2621"/>
      <w:bookmarkEnd w:id="2622"/>
    </w:p>
    <w:p w14:paraId="5AF14ED3" w14:textId="77777777" w:rsidR="005F3FB7" w:rsidRPr="00260790" w:rsidRDefault="005F3FB7" w:rsidP="00E20250">
      <w:pPr>
        <w:spacing w:before="160" w:line="240" w:lineRule="auto"/>
        <w:jc w:val="both"/>
        <w:rPr>
          <w:rFonts w:ascii="Times New Roman" w:eastAsia="MS Mincho" w:hAnsi="Times New Roman"/>
          <w:b/>
          <w:color w:val="000000" w:themeColor="text1"/>
          <w:lang w:eastAsia="ja-JP"/>
        </w:rPr>
      </w:pPr>
      <w:r w:rsidRPr="00260790">
        <w:rPr>
          <w:rFonts w:ascii="Times New Roman" w:eastAsia="MS Mincho" w:hAnsi="Times New Roman"/>
          <w:b/>
          <w:color w:val="000000" w:themeColor="text1"/>
          <w:lang w:eastAsia="ja-JP"/>
        </w:rPr>
        <w:t>Gestion des ressources humaines</w:t>
      </w:r>
    </w:p>
    <w:p w14:paraId="7669E4F8"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 Maître d’œuvre peut exiger à tout moment de l’Entrepreneur, la justification qu’il est en règle, en ce qui concerne l’application à son personnel employé à l’exécution des travaux objet du Marché, à l’égard de la législation sociale, notamment en matière de salaires, d’hygiène et de sécurité.</w:t>
      </w:r>
    </w:p>
    <w:p w14:paraId="5781E2A5"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Indépendamment des obligations prescrites par les lois et règlements concernant la main-d'œuvre, l’Entrepreneur est tenu de communiquer au Maître d’œuvre, sur sa demande, la liste nominative à jour du personnel qu’il emploie avec leur qualification.</w:t>
      </w:r>
    </w:p>
    <w:p w14:paraId="1499ADD6" w14:textId="77777777" w:rsidR="0048082D" w:rsidRPr="00260790" w:rsidRDefault="0048082D">
      <w:pPr>
        <w:spacing w:line="259" w:lineRule="auto"/>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br w:type="page"/>
      </w:r>
    </w:p>
    <w:p w14:paraId="2CE0CB27" w14:textId="6FAE810C"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lastRenderedPageBreak/>
        <w:t>L’Entrepreneur peut, s’il le juge utile et après accord du Maître d’œuvre, demander et utiliser après les avoir obtenues les dérogations à la réglementation en vigueur et aux conventions collectives existantes.  Aucune majoration du ou des prix ni aucun paiement supplémentaire n’est accordé à l’Entrepreneur du fait de ces dérogations.</w:t>
      </w:r>
    </w:p>
    <w:p w14:paraId="46DE70A2"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L’Entrepreneur doit, sauf disposition contraire du Marché, procéder au recrutement du personnel et de la main-d'œuvre, d’origine nationale ou non, ainsi qu’à leur rémunération, hébergement, ravitaillement et transport dans le strict respect de la réglementation en vigueur en se conformant, en particulier, à la réglementation du travail (notamment en ce qui concerne les horaires de travail et les jours de repos), à la réglementation sociale et à l’ensemble de la réglementation applicable en matière d’hygiène et de sécurité.</w:t>
      </w:r>
    </w:p>
    <w:p w14:paraId="5E93CC0B"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 Maître d’œuvre peut exiger le départ du chantier de toute personne employée par l’Entrepreneur faisant preuve d’incapacité ou coupable de négligences, imprudences répétées ou défaut de probité et, plus généralement, de toute personne employée par lui et dont l’action est contraire à la bonne exécution des travaux.</w:t>
      </w:r>
    </w:p>
    <w:p w14:paraId="6707AFFD"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L’Entrepreneur supporte seul les conséquences dommageables des fraudes ou malfaçons commises par les personnes qu’il emploie dans l’exécution des travaux.</w:t>
      </w:r>
    </w:p>
    <w:p w14:paraId="2CF76FA0" w14:textId="77777777" w:rsidR="005F3FB7" w:rsidRPr="00260790" w:rsidRDefault="005F3FB7" w:rsidP="00E20250">
      <w:pPr>
        <w:spacing w:before="160" w:line="240" w:lineRule="auto"/>
        <w:jc w:val="both"/>
        <w:rPr>
          <w:rFonts w:ascii="Times New Roman" w:eastAsia="MS Mincho" w:hAnsi="Times New Roman"/>
          <w:b/>
          <w:color w:val="000000" w:themeColor="text1"/>
          <w:lang w:eastAsia="ja-JP"/>
        </w:rPr>
      </w:pPr>
      <w:r w:rsidRPr="00260790">
        <w:rPr>
          <w:rFonts w:ascii="Times New Roman" w:eastAsia="MS Mincho" w:hAnsi="Times New Roman"/>
          <w:b/>
          <w:color w:val="000000" w:themeColor="text1"/>
          <w:lang w:eastAsia="ja-JP"/>
        </w:rPr>
        <w:t>Prescriptions spécifiques au recrutement du personnel non qualifié</w:t>
      </w:r>
    </w:p>
    <w:p w14:paraId="2B822A7D"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Pour l'emploi des personnels non qualifiés, l'Entrepreneur devra mettre en œuvre un certain nombre de prescriptions :</w:t>
      </w:r>
    </w:p>
    <w:p w14:paraId="3BA4BD53" w14:textId="77777777" w:rsidR="005F3FB7" w:rsidRPr="00260790" w:rsidRDefault="005F3FB7" w:rsidP="001748C6">
      <w:pPr>
        <w:widowControl w:val="0"/>
        <w:numPr>
          <w:ilvl w:val="0"/>
          <w:numId w:val="85"/>
        </w:numPr>
        <w:spacing w:before="80" w:after="8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Maximiser l'emploi de personnes issues des populations voisines du chantier.</w:t>
      </w:r>
    </w:p>
    <w:p w14:paraId="39FFF0AB" w14:textId="77777777" w:rsidR="005F3FB7" w:rsidRPr="00260790" w:rsidRDefault="005F3FB7" w:rsidP="001748C6">
      <w:pPr>
        <w:widowControl w:val="0"/>
        <w:numPr>
          <w:ilvl w:val="0"/>
          <w:numId w:val="85"/>
        </w:numPr>
        <w:spacing w:before="80" w:after="8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Établir une répartition équitable des emplois non qualifiés entre les différentes zones habitations répartis dans chaque site.</w:t>
      </w:r>
    </w:p>
    <w:p w14:paraId="2AC0AFF5" w14:textId="77777777" w:rsidR="005F3FB7" w:rsidRPr="00260790" w:rsidRDefault="005F3FB7" w:rsidP="001748C6">
      <w:pPr>
        <w:widowControl w:val="0"/>
        <w:numPr>
          <w:ilvl w:val="0"/>
          <w:numId w:val="85"/>
        </w:numPr>
        <w:spacing w:before="80" w:after="8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Établir des procédures d'embauche et de débauche transparentes.</w:t>
      </w:r>
    </w:p>
    <w:p w14:paraId="3D2B09B2" w14:textId="77777777" w:rsidR="005F3FB7" w:rsidRPr="00260790" w:rsidRDefault="005F3FB7" w:rsidP="001748C6">
      <w:pPr>
        <w:widowControl w:val="0"/>
        <w:numPr>
          <w:ilvl w:val="0"/>
          <w:numId w:val="85"/>
        </w:numPr>
        <w:spacing w:before="80" w:after="8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Établir une politique de communication et d'information explicitant ces procédures d'embauche et de débauche. Cette politique de communication s'adressera aux populations et aux diverses autorités administratives. </w:t>
      </w:r>
    </w:p>
    <w:p w14:paraId="371FB447" w14:textId="77777777" w:rsidR="005F3FB7" w:rsidRPr="00260790" w:rsidRDefault="005F3FB7" w:rsidP="001748C6">
      <w:pPr>
        <w:widowControl w:val="0"/>
        <w:numPr>
          <w:ilvl w:val="0"/>
          <w:numId w:val="85"/>
        </w:numPr>
        <w:spacing w:before="80" w:after="8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S'assurer que les conditions d'embauche et de débauche soient parfaitement comprises et acceptées.</w:t>
      </w:r>
    </w:p>
    <w:p w14:paraId="5653CDA0"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Les mesures de sécurités et de santé en vigueur sur le chantier devront être appliquées avec un soin particulier au personnel sans qualification recruté temporairement.</w:t>
      </w:r>
    </w:p>
    <w:p w14:paraId="6804580D"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Dans son offre, l'entrepreneur fournira une estimation approximative préalable du nombre de personnes non qualifiées qu'il envisage de recruter.</w:t>
      </w:r>
    </w:p>
    <w:p w14:paraId="09B2DE44"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Pendant l'exécution du chantier, l'Entrepreneur établira un tableau de suivi de l'embauche et de la débauche du personnel non qualifié. Il contiendra au moins les données suivantes : une liste nominative, la durée (en jours) de l'embauche, la date d'embauche, la date de débauche et l'origine géographique du personnel temporaire (village). À chaque vague d'embauche et/ou de débauche, un tableau réactualisé sera transmis au Maître d'œuvre.</w:t>
      </w:r>
    </w:p>
    <w:p w14:paraId="2E058DA1" w14:textId="77777777" w:rsidR="005F3FB7" w:rsidRPr="00260790" w:rsidRDefault="005F3FB7" w:rsidP="00E20250">
      <w:pPr>
        <w:spacing w:before="160" w:line="240" w:lineRule="auto"/>
        <w:jc w:val="both"/>
        <w:rPr>
          <w:rFonts w:ascii="Times New Roman" w:eastAsia="MS Mincho" w:hAnsi="Times New Roman"/>
          <w:b/>
          <w:color w:val="000000" w:themeColor="text1"/>
          <w:lang w:eastAsia="ja-JP"/>
        </w:rPr>
      </w:pPr>
      <w:r w:rsidRPr="00260790">
        <w:rPr>
          <w:rFonts w:ascii="Times New Roman" w:eastAsia="MS Mincho" w:hAnsi="Times New Roman"/>
          <w:b/>
          <w:color w:val="000000" w:themeColor="text1"/>
          <w:lang w:eastAsia="ja-JP"/>
        </w:rPr>
        <w:t>Communication &amp; Information dirigées vers la population locale, les autorités locales et nationales</w:t>
      </w:r>
    </w:p>
    <w:p w14:paraId="26171270"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Un premier volet concernera l'information et la communication générales relatives au chantier. </w:t>
      </w:r>
    </w:p>
    <w:p w14:paraId="5E2B07F6"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Ses objectifs sont :</w:t>
      </w:r>
    </w:p>
    <w:p w14:paraId="33DD47D4" w14:textId="77777777" w:rsidR="005F3FB7" w:rsidRPr="00260790" w:rsidRDefault="005F3FB7" w:rsidP="001748C6">
      <w:pPr>
        <w:widowControl w:val="0"/>
        <w:numPr>
          <w:ilvl w:val="0"/>
          <w:numId w:val="86"/>
        </w:numPr>
        <w:spacing w:before="80" w:after="80" w:line="240" w:lineRule="auto"/>
        <w:ind w:hanging="578"/>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D'informer les populations et les autorités locales et nationales à propos des objectifs du projet ;</w:t>
      </w:r>
    </w:p>
    <w:p w14:paraId="4B19533A" w14:textId="77777777" w:rsidR="005F3FB7" w:rsidRPr="00260790" w:rsidRDefault="005F3FB7" w:rsidP="001748C6">
      <w:pPr>
        <w:widowControl w:val="0"/>
        <w:numPr>
          <w:ilvl w:val="0"/>
          <w:numId w:val="86"/>
        </w:numPr>
        <w:spacing w:before="80" w:after="80" w:line="240" w:lineRule="auto"/>
        <w:ind w:hanging="578"/>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D'informer les populations et les autorités à propos du déroulement des travaux et de leur calendrier afin d'assurer, entre autres, la sécurité et de leur permettre d'organiser leurs activités en tenant compte du déroulement du chantier ;</w:t>
      </w:r>
    </w:p>
    <w:p w14:paraId="259AAF4A" w14:textId="77777777" w:rsidR="005F3FB7" w:rsidRPr="00260790" w:rsidRDefault="005F3FB7" w:rsidP="001748C6">
      <w:pPr>
        <w:widowControl w:val="0"/>
        <w:numPr>
          <w:ilvl w:val="0"/>
          <w:numId w:val="86"/>
        </w:numPr>
        <w:spacing w:before="80" w:after="80" w:line="240" w:lineRule="auto"/>
        <w:ind w:hanging="578"/>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De rendre transparente la politique d'embauche et de débauche du personnel sans qualification ;</w:t>
      </w:r>
    </w:p>
    <w:p w14:paraId="3A436DD8" w14:textId="77777777" w:rsidR="005F3FB7" w:rsidRPr="00260790" w:rsidRDefault="005F3FB7" w:rsidP="001748C6">
      <w:pPr>
        <w:widowControl w:val="0"/>
        <w:numPr>
          <w:ilvl w:val="0"/>
          <w:numId w:val="86"/>
        </w:numPr>
        <w:spacing w:before="80" w:after="80" w:line="240" w:lineRule="auto"/>
        <w:ind w:hanging="578"/>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lastRenderedPageBreak/>
        <w:t>De permettre aux populations et autorités d'émettre leurs objections ou leurs remarques par rapport au projet afin que l'ensemble des parties prenantes trouvent, si nécessaire, une conciliation ;</w:t>
      </w:r>
    </w:p>
    <w:p w14:paraId="47D9C7A4" w14:textId="77777777" w:rsidR="005F3FB7" w:rsidRPr="00260790" w:rsidRDefault="005F3FB7" w:rsidP="001748C6">
      <w:pPr>
        <w:widowControl w:val="0"/>
        <w:numPr>
          <w:ilvl w:val="0"/>
          <w:numId w:val="86"/>
        </w:numPr>
        <w:spacing w:before="80" w:after="80" w:line="240" w:lineRule="auto"/>
        <w:ind w:hanging="578"/>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De rendre transparente la politique de recueil, traitement et transmission des doléances vis-à-vis du chantier ou de l'Entrepreneur (Cf. gestion des conflits) ;</w:t>
      </w:r>
    </w:p>
    <w:p w14:paraId="08CCC60F" w14:textId="77777777" w:rsidR="005F3FB7" w:rsidRPr="00260790" w:rsidRDefault="005F3FB7" w:rsidP="001748C6">
      <w:pPr>
        <w:widowControl w:val="0"/>
        <w:numPr>
          <w:ilvl w:val="0"/>
          <w:numId w:val="86"/>
        </w:numPr>
        <w:spacing w:before="80" w:after="80" w:line="240" w:lineRule="auto"/>
        <w:ind w:hanging="578"/>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D'identifier à l'avance les échéances socio-économiques et/ou les difficultés que pourrait rencontrer le chantier ;</w:t>
      </w:r>
    </w:p>
    <w:p w14:paraId="32D6DB02"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Cette diffusion de l'information devrait permettre de construire des relations de coopération avec les autorités nationales et locales.</w:t>
      </w:r>
    </w:p>
    <w:p w14:paraId="779C9FFC"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L'Entrepreneur est libre de choisir les moyens de communication et d'information pourvu que leur efficacité soit avérée ; c'est-à-dire que les populations ainsi que les autorités locales et nationales sont averties de l'ensemble des points évoqués dans les paragraphes précédents et suivants avant l'ouverture d'un chantier dans leur voisinage.</w:t>
      </w:r>
    </w:p>
    <w:p w14:paraId="4EB27298"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Chaque opération d'information et de communication fera l'objet d'un rapport au Maître d'œuvre. Si le support du message est un tract ou une affiche, un exemplaire sera communiqué au maître d'œuvre et les points d'affichage et/ou de distribution seront notifiés. Si la communication s'est effectuée au cours d'une réunion ou par un moyen audiovisuel, le rapport contiendra les thématiques du message, les interventions du public, ses questions et les réponses fournies par le délégué de l'Entrepreneur, le nom des personnes qui ont pris part à la séance d'information, y compris le(s) délégué(s) de l'Entrepreneur.</w:t>
      </w:r>
    </w:p>
    <w:p w14:paraId="2EE3085D" w14:textId="77777777" w:rsidR="005F3FB7" w:rsidRPr="00260790" w:rsidRDefault="005F3FB7" w:rsidP="00E20250">
      <w:pPr>
        <w:spacing w:before="160" w:line="240" w:lineRule="auto"/>
        <w:jc w:val="both"/>
        <w:rPr>
          <w:rFonts w:ascii="Times New Roman" w:eastAsia="MS Mincho" w:hAnsi="Times New Roman"/>
          <w:b/>
          <w:color w:val="000000" w:themeColor="text1"/>
          <w:lang w:eastAsia="ja-JP"/>
        </w:rPr>
      </w:pPr>
      <w:r w:rsidRPr="00260790">
        <w:rPr>
          <w:rFonts w:ascii="Times New Roman" w:eastAsia="MS Mincho" w:hAnsi="Times New Roman"/>
          <w:b/>
          <w:smallCaps/>
          <w:color w:val="000000" w:themeColor="text1"/>
          <w:lang w:eastAsia="ja-JP"/>
        </w:rPr>
        <w:t>G</w:t>
      </w:r>
      <w:r w:rsidRPr="00260790">
        <w:rPr>
          <w:rFonts w:ascii="Times New Roman" w:eastAsia="MS Mincho" w:hAnsi="Times New Roman"/>
          <w:b/>
          <w:color w:val="000000" w:themeColor="text1"/>
          <w:lang w:eastAsia="ja-JP"/>
        </w:rPr>
        <w:t>estion des confits</w:t>
      </w:r>
    </w:p>
    <w:p w14:paraId="56C494C7"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Les conflits pourront être collectifs ou individuels. L'Entrepreneur proposera des procédures pour trouver une solution à ces conflits. Elles pourront être modifiées pour que l'ensemble des parties prenantes les acceptent et les jugent équitables à la fois dans leur processus de résolution et leur processus de règlement. Si l'Entrepreneur est reconnu comme fautive, elle appliquera une procédure correctrice ou compensatrice qu'elle aura mise au point et qui devra être rapide et équitable. </w:t>
      </w:r>
    </w:p>
    <w:p w14:paraId="4E8C6A96"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Les conflits collectifs et individuels feront l'objet d'une procédure de consignation élaboré par l'Entrepreneur. </w:t>
      </w:r>
    </w:p>
    <w:p w14:paraId="7BE1E397"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Ce rapport fera l'objet d'une transmission rapide au Maître d'œuvre. Si possible, tout conflit collectif sera signalé immédiatement au Maître d'œuvre par un moyen de communication à déterminer par l'Entrepreneur.</w:t>
      </w:r>
    </w:p>
    <w:p w14:paraId="23E515AA"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Dès l'offre, l'Entrepreneur nommera un responsable de la résolution des conflits dont la fonction sera de diriger les négociations et résolutions afférentes, de consigner la nature du conflit, l'identité des parties prenantes, les étapes de sa résolution et de sa clôture. Ces informations pourront faire l'objet de rapports successifs disjoints, mais, lorsque le conflit sera clos, un rapport global sera élaboré.</w:t>
      </w:r>
    </w:p>
    <w:p w14:paraId="267CCD56" w14:textId="77777777" w:rsidR="005F3FB7" w:rsidRPr="00260790" w:rsidRDefault="005F3FB7" w:rsidP="00E20250">
      <w:pPr>
        <w:spacing w:after="200" w:line="240" w:lineRule="auto"/>
        <w:ind w:left="576" w:hanging="576"/>
        <w:jc w:val="both"/>
        <w:rPr>
          <w:rFonts w:ascii="Times New Roman" w:hAnsi="Times New Roman"/>
          <w:color w:val="000000" w:themeColor="text1"/>
        </w:rPr>
      </w:pPr>
      <w:r w:rsidRPr="00260790">
        <w:rPr>
          <w:rFonts w:ascii="Times New Roman" w:hAnsi="Times New Roman"/>
          <w:b/>
          <w:color w:val="000000" w:themeColor="text1"/>
        </w:rPr>
        <w:t>Mécanisme de Gestion des Plaintes</w:t>
      </w:r>
    </w:p>
    <w:p w14:paraId="1CDE2706" w14:textId="0753E6F9" w:rsidR="005F3FB7" w:rsidRPr="00260790" w:rsidRDefault="00300366" w:rsidP="00E20250">
      <w:pPr>
        <w:spacing w:after="200" w:line="240" w:lineRule="auto"/>
        <w:jc w:val="both"/>
        <w:rPr>
          <w:rFonts w:ascii="Times New Roman" w:hAnsi="Times New Roman"/>
          <w:color w:val="000000" w:themeColor="text1"/>
        </w:rPr>
      </w:pPr>
      <w:r w:rsidRPr="00260790">
        <w:rPr>
          <w:rFonts w:ascii="Times New Roman" w:hAnsi="Times New Roman"/>
          <w:color w:val="000000" w:themeColor="text1"/>
        </w:rPr>
        <w:t xml:space="preserve">L’Entrepreneur </w:t>
      </w:r>
      <w:r w:rsidR="005E7219" w:rsidRPr="00260790">
        <w:rPr>
          <w:rFonts w:ascii="Times New Roman" w:hAnsi="Times New Roman"/>
          <w:color w:val="000000" w:themeColor="text1"/>
        </w:rPr>
        <w:t xml:space="preserve">utilisera comme référentiel le PGMO du projet pour élaborer </w:t>
      </w:r>
      <w:r w:rsidR="0048082D" w:rsidRPr="00260790">
        <w:rPr>
          <w:rFonts w:ascii="Times New Roman" w:hAnsi="Times New Roman"/>
          <w:color w:val="000000" w:themeColor="text1"/>
        </w:rPr>
        <w:t>son mécanisme</w:t>
      </w:r>
      <w:r w:rsidR="005F3FB7" w:rsidRPr="00260790">
        <w:rPr>
          <w:rFonts w:ascii="Times New Roman" w:hAnsi="Times New Roman"/>
          <w:color w:val="000000" w:themeColor="text1"/>
        </w:rPr>
        <w:t xml:space="preserve"> de règlement des griefs conformément à son mandat. Ces plaintes peuvent comprendre des différends entre les fournisseurs et le contractant, les impacts environnementaux et sociaux, la santé et la sécurité au travail et les problèmes de main-d’œuvre, qui peuvent être traités par un mécanisme distinct traitant des relations de travail et d'autres problèmes professionnels et les populations riveraines au chantier. </w:t>
      </w:r>
    </w:p>
    <w:p w14:paraId="118BCF4C" w14:textId="77777777" w:rsidR="005F3FB7" w:rsidRPr="00260790" w:rsidRDefault="005F3FB7" w:rsidP="00E20250">
      <w:pPr>
        <w:spacing w:before="160" w:line="240" w:lineRule="auto"/>
        <w:jc w:val="both"/>
        <w:rPr>
          <w:rFonts w:ascii="Times New Roman" w:eastAsia="MS Mincho" w:hAnsi="Times New Roman"/>
          <w:b/>
          <w:color w:val="000000" w:themeColor="text1"/>
          <w:lang w:eastAsia="ja-JP"/>
        </w:rPr>
      </w:pPr>
      <w:r w:rsidRPr="00260790">
        <w:rPr>
          <w:rFonts w:ascii="Times New Roman" w:eastAsia="MS Mincho" w:hAnsi="Times New Roman"/>
          <w:b/>
          <w:color w:val="000000" w:themeColor="text1"/>
          <w:lang w:eastAsia="ja-JP"/>
        </w:rPr>
        <w:t>Protection des sites sacrés et sites archéologiques</w:t>
      </w:r>
    </w:p>
    <w:p w14:paraId="3B9C6057"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L’Entrepreneur doit prendre toutes les dispositions nécessaires pour respecter les sites cultuels et culturels (cimetières, sites sacrés, etc.) dans le voisinage des travaux et ne pas leur porter atteinte. Pour cela, elle devra s’assurer au préalable de leur typologie et de leur implantation avant le démarrage des travaux.</w:t>
      </w:r>
    </w:p>
    <w:p w14:paraId="7928B940"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lastRenderedPageBreak/>
        <w:t>Si, au cours des travaux, des vestiges d’intérêt cultuel, historique ou archéologique sont découverts, l’Entrepreneur doit suivre la procédure suivante :</w:t>
      </w:r>
    </w:p>
    <w:p w14:paraId="2A57CFAD" w14:textId="77777777" w:rsidR="005F3FB7" w:rsidRPr="00260790" w:rsidRDefault="005F3FB7" w:rsidP="001748C6">
      <w:pPr>
        <w:widowControl w:val="0"/>
        <w:numPr>
          <w:ilvl w:val="0"/>
          <w:numId w:val="87"/>
        </w:numPr>
        <w:spacing w:after="0" w:line="240" w:lineRule="auto"/>
        <w:jc w:val="both"/>
        <w:rPr>
          <w:rFonts w:ascii="Times New Roman" w:eastAsia="MS Mincho" w:hAnsi="Times New Roman"/>
          <w:color w:val="000000" w:themeColor="text1"/>
          <w:lang w:eastAsia="ja-JP"/>
        </w:rPr>
      </w:pPr>
      <w:proofErr w:type="gramStart"/>
      <w:r w:rsidRPr="00260790">
        <w:rPr>
          <w:rFonts w:ascii="Times New Roman" w:eastAsia="MS Mincho" w:hAnsi="Times New Roman"/>
          <w:color w:val="000000" w:themeColor="text1"/>
          <w:lang w:eastAsia="ja-JP"/>
        </w:rPr>
        <w:t>arrêter</w:t>
      </w:r>
      <w:proofErr w:type="gramEnd"/>
      <w:r w:rsidRPr="00260790">
        <w:rPr>
          <w:rFonts w:ascii="Times New Roman" w:eastAsia="MS Mincho" w:hAnsi="Times New Roman"/>
          <w:color w:val="000000" w:themeColor="text1"/>
          <w:lang w:eastAsia="ja-JP"/>
        </w:rPr>
        <w:t xml:space="preserve"> les travaux dans la zone concernée ;</w:t>
      </w:r>
    </w:p>
    <w:p w14:paraId="05C6EA68" w14:textId="77777777" w:rsidR="005F3FB7" w:rsidRPr="00260790" w:rsidRDefault="005F3FB7" w:rsidP="001748C6">
      <w:pPr>
        <w:widowControl w:val="0"/>
        <w:numPr>
          <w:ilvl w:val="0"/>
          <w:numId w:val="87"/>
        </w:numPr>
        <w:spacing w:after="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 </w:t>
      </w:r>
      <w:proofErr w:type="gramStart"/>
      <w:r w:rsidRPr="00260790">
        <w:rPr>
          <w:rFonts w:ascii="Times New Roman" w:eastAsia="MS Mincho" w:hAnsi="Times New Roman"/>
          <w:color w:val="000000" w:themeColor="text1"/>
          <w:lang w:eastAsia="ja-JP"/>
        </w:rPr>
        <w:t>aviser</w:t>
      </w:r>
      <w:proofErr w:type="gramEnd"/>
      <w:r w:rsidRPr="00260790">
        <w:rPr>
          <w:rFonts w:ascii="Times New Roman" w:eastAsia="MS Mincho" w:hAnsi="Times New Roman"/>
          <w:color w:val="000000" w:themeColor="text1"/>
          <w:lang w:eastAsia="ja-JP"/>
        </w:rPr>
        <w:t xml:space="preserve"> immédiatement le Maître d’œuvre qui doit prendre des dispositions afin de protéger le site pour éviter toute destruction ; un périmètre de protection doit être identifié et matérialisé sur le site et aucune activité ne devra s’y </w:t>
      </w:r>
      <w:proofErr w:type="gramStart"/>
      <w:r w:rsidRPr="00260790">
        <w:rPr>
          <w:rFonts w:ascii="Times New Roman" w:eastAsia="MS Mincho" w:hAnsi="Times New Roman"/>
          <w:color w:val="000000" w:themeColor="text1"/>
          <w:lang w:eastAsia="ja-JP"/>
        </w:rPr>
        <w:t>dérouler;</w:t>
      </w:r>
      <w:proofErr w:type="gramEnd"/>
      <w:r w:rsidRPr="00260790">
        <w:rPr>
          <w:rFonts w:ascii="Times New Roman" w:eastAsia="MS Mincho" w:hAnsi="Times New Roman"/>
          <w:color w:val="000000" w:themeColor="text1"/>
          <w:lang w:eastAsia="ja-JP"/>
        </w:rPr>
        <w:t xml:space="preserve"> </w:t>
      </w:r>
    </w:p>
    <w:p w14:paraId="3B1B40FE" w14:textId="77777777" w:rsidR="005F3FB7" w:rsidRPr="00260790" w:rsidRDefault="005F3FB7" w:rsidP="001748C6">
      <w:pPr>
        <w:widowControl w:val="0"/>
        <w:numPr>
          <w:ilvl w:val="0"/>
          <w:numId w:val="87"/>
        </w:numPr>
        <w:spacing w:after="0" w:line="240" w:lineRule="auto"/>
        <w:jc w:val="both"/>
        <w:rPr>
          <w:rFonts w:ascii="Times New Roman" w:eastAsia="MS Mincho" w:hAnsi="Times New Roman"/>
          <w:color w:val="000000" w:themeColor="text1"/>
          <w:lang w:eastAsia="ja-JP"/>
        </w:rPr>
      </w:pPr>
      <w:proofErr w:type="gramStart"/>
      <w:r w:rsidRPr="00260790">
        <w:rPr>
          <w:rFonts w:ascii="Times New Roman" w:eastAsia="MS Mincho" w:hAnsi="Times New Roman"/>
          <w:color w:val="000000" w:themeColor="text1"/>
          <w:lang w:eastAsia="ja-JP"/>
        </w:rPr>
        <w:t>s’interdire</w:t>
      </w:r>
      <w:proofErr w:type="gramEnd"/>
      <w:r w:rsidRPr="00260790">
        <w:rPr>
          <w:rFonts w:ascii="Times New Roman" w:eastAsia="MS Mincho" w:hAnsi="Times New Roman"/>
          <w:color w:val="000000" w:themeColor="text1"/>
          <w:lang w:eastAsia="ja-JP"/>
        </w:rPr>
        <w:t xml:space="preserve"> d’enlever et de déplacer les objets et les vestiges ;</w:t>
      </w:r>
    </w:p>
    <w:p w14:paraId="1F99265E" w14:textId="77777777" w:rsidR="005F3FB7" w:rsidRPr="00260790" w:rsidRDefault="005F3FB7" w:rsidP="001748C6">
      <w:pPr>
        <w:widowControl w:val="0"/>
        <w:numPr>
          <w:ilvl w:val="0"/>
          <w:numId w:val="87"/>
        </w:numPr>
        <w:spacing w:after="0" w:line="240" w:lineRule="auto"/>
        <w:jc w:val="both"/>
        <w:rPr>
          <w:rFonts w:ascii="Times New Roman" w:eastAsia="MS Mincho" w:hAnsi="Times New Roman"/>
          <w:color w:val="000000" w:themeColor="text1"/>
          <w:lang w:eastAsia="ja-JP"/>
        </w:rPr>
      </w:pPr>
      <w:proofErr w:type="gramStart"/>
      <w:r w:rsidRPr="00260790">
        <w:rPr>
          <w:rFonts w:ascii="Times New Roman" w:eastAsia="MS Mincho" w:hAnsi="Times New Roman"/>
          <w:color w:val="000000" w:themeColor="text1"/>
          <w:lang w:eastAsia="ja-JP"/>
        </w:rPr>
        <w:t>il</w:t>
      </w:r>
      <w:proofErr w:type="gramEnd"/>
      <w:r w:rsidRPr="00260790">
        <w:rPr>
          <w:rFonts w:ascii="Times New Roman" w:eastAsia="MS Mincho" w:hAnsi="Times New Roman"/>
          <w:color w:val="000000" w:themeColor="text1"/>
          <w:lang w:eastAsia="ja-JP"/>
        </w:rPr>
        <w:t xml:space="preserve"> doit mettre en lieu sûr ceux qui auraient été détachés fortuitement du sol. Les travaux doivent être suspendus à l’intérieur du périmètre de protection jusqu’à ce que l’organisme national responsable des sites historiques et archéologiques ait donné l’autorisation de les poursuivre. </w:t>
      </w:r>
    </w:p>
    <w:p w14:paraId="5161B2AC"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Sans préjudice de la réglementation en vigueur, lorsque les travaux mettent au jour des restes humains, l’Entrepreneur en informe immédiatement l’autorité compétente sur le territoire de laquelle cette découverte a été faite et en rend compte au Maître d’œuvre.</w:t>
      </w:r>
    </w:p>
    <w:p w14:paraId="2C10581D"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L’Entrepreneur n’a aucun droit sur les matériaux et objets, de toute nature, trouvés sur les chantiers en cours de travaux, notamment dans les fouilles ou dans les démolitions, mais il a le droit à être indemnisé des dépenses justifiées si le Maître d’œuvre lui demande de les extraire ou de les conserver avec des soins particuliers.</w:t>
      </w:r>
    </w:p>
    <w:p w14:paraId="0A110C08" w14:textId="77777777" w:rsidR="005F3FB7" w:rsidRPr="00260790" w:rsidRDefault="005F3FB7" w:rsidP="00E20250">
      <w:pPr>
        <w:spacing w:after="200" w:line="240" w:lineRule="auto"/>
        <w:ind w:left="576" w:hanging="576"/>
        <w:jc w:val="both"/>
        <w:rPr>
          <w:rFonts w:ascii="Times New Roman" w:hAnsi="Times New Roman"/>
          <w:b/>
          <w:color w:val="000000" w:themeColor="text1"/>
        </w:rPr>
      </w:pPr>
      <w:r w:rsidRPr="00260790">
        <w:rPr>
          <w:rFonts w:ascii="Times New Roman" w:hAnsi="Times New Roman"/>
          <w:b/>
          <w:color w:val="000000" w:themeColor="text1"/>
        </w:rPr>
        <w:t>Abus et Exploitation sexuels/ Harcèlement Sexuel (AES/HS)</w:t>
      </w:r>
    </w:p>
    <w:p w14:paraId="4B074AEC" w14:textId="77777777" w:rsidR="005F3FB7" w:rsidRPr="00260790" w:rsidRDefault="005F3FB7" w:rsidP="001748C6">
      <w:pPr>
        <w:numPr>
          <w:ilvl w:val="0"/>
          <w:numId w:val="91"/>
        </w:numPr>
        <w:tabs>
          <w:tab w:val="left" w:pos="1410"/>
        </w:tabs>
        <w:spacing w:after="200" w:line="240" w:lineRule="auto"/>
        <w:contextualSpacing/>
        <w:jc w:val="both"/>
        <w:rPr>
          <w:rFonts w:ascii="Times New Roman" w:hAnsi="Times New Roman"/>
          <w:i/>
          <w:iCs/>
          <w:color w:val="000000" w:themeColor="text1"/>
          <w:u w:val="single"/>
        </w:rPr>
      </w:pPr>
      <w:r w:rsidRPr="00260790">
        <w:rPr>
          <w:rFonts w:ascii="Times New Roman" w:hAnsi="Times New Roman"/>
          <w:i/>
          <w:iCs/>
          <w:color w:val="000000" w:themeColor="text1"/>
          <w:u w:val="single"/>
        </w:rPr>
        <w:t xml:space="preserve">Préambule </w:t>
      </w:r>
      <w:r w:rsidRPr="00260790">
        <w:rPr>
          <w:rFonts w:ascii="Times New Roman" w:hAnsi="Times New Roman"/>
          <w:i/>
          <w:iCs/>
          <w:color w:val="000000" w:themeColor="text1"/>
        </w:rPr>
        <w:t>de la sacralité de la personne humaine</w:t>
      </w:r>
    </w:p>
    <w:p w14:paraId="71D22C87" w14:textId="77777777" w:rsidR="005F3FB7" w:rsidRPr="00260790" w:rsidRDefault="005F3FB7" w:rsidP="00E20250">
      <w:pPr>
        <w:spacing w:after="120" w:line="240" w:lineRule="auto"/>
        <w:jc w:val="both"/>
        <w:rPr>
          <w:rFonts w:ascii="Times New Roman" w:hAnsi="Times New Roman"/>
          <w:iCs/>
          <w:color w:val="000000" w:themeColor="text1"/>
        </w:rPr>
      </w:pPr>
      <w:r w:rsidRPr="00260790">
        <w:rPr>
          <w:rFonts w:ascii="Times New Roman" w:hAnsi="Times New Roman"/>
          <w:iCs/>
          <w:color w:val="000000" w:themeColor="text1"/>
        </w:rPr>
        <w:t>La personne humaine est sacrée dans sa dignité et ne peut faire l’objet d’un traitement inhumain, cruel et dégradant sous aucune forme. Par conséquent, les actes de barbarie suivants sont sévèrement réprimés :</w:t>
      </w:r>
    </w:p>
    <w:p w14:paraId="27032D5B" w14:textId="77777777" w:rsidR="005F3FB7" w:rsidRPr="00260790" w:rsidRDefault="005F3FB7" w:rsidP="001748C6">
      <w:pPr>
        <w:numPr>
          <w:ilvl w:val="0"/>
          <w:numId w:val="91"/>
        </w:numPr>
        <w:tabs>
          <w:tab w:val="left" w:pos="1410"/>
        </w:tabs>
        <w:spacing w:after="200" w:line="240" w:lineRule="auto"/>
        <w:contextualSpacing/>
        <w:jc w:val="both"/>
        <w:rPr>
          <w:rFonts w:ascii="Times New Roman" w:hAnsi="Times New Roman"/>
          <w:i/>
          <w:iCs/>
          <w:color w:val="000000" w:themeColor="text1"/>
          <w:u w:val="single"/>
        </w:rPr>
      </w:pPr>
      <w:r w:rsidRPr="00260790">
        <w:rPr>
          <w:rFonts w:ascii="Times New Roman" w:hAnsi="Times New Roman"/>
          <w:i/>
          <w:iCs/>
          <w:color w:val="000000" w:themeColor="text1"/>
          <w:u w:val="single"/>
        </w:rPr>
        <w:t>Du Harcèlement moral</w:t>
      </w:r>
    </w:p>
    <w:p w14:paraId="3FEFCEB4" w14:textId="77777777" w:rsidR="005F3FB7" w:rsidRPr="00260790" w:rsidRDefault="005F3FB7" w:rsidP="00E20250">
      <w:pPr>
        <w:spacing w:after="200" w:line="240" w:lineRule="auto"/>
        <w:jc w:val="both"/>
        <w:rPr>
          <w:rFonts w:ascii="Times New Roman" w:hAnsi="Times New Roman"/>
          <w:iCs/>
          <w:color w:val="000000" w:themeColor="text1"/>
        </w:rPr>
      </w:pPr>
      <w:r w:rsidRPr="00260790">
        <w:rPr>
          <w:rFonts w:ascii="Times New Roman" w:hAnsi="Times New Roman"/>
          <w:iCs/>
          <w:color w:val="000000" w:themeColor="text1"/>
        </w:rPr>
        <w:t xml:space="preserve">Aucun Employé et apprenant de l’Entreprise, ses sous-traitants ainsi que ses partenaires sécuritaires et autres ne doivent subir ou faire subir des agissements répétés de harcèlement moral ayant pour objet ou effet une dégradation des conditions de travail susceptibles de porter atteinte aux droits et à la dignité, d’altérer sa santé physique ou compromettre son avenir professionnel. </w:t>
      </w:r>
    </w:p>
    <w:p w14:paraId="6DD9B6A4" w14:textId="77777777" w:rsidR="005F3FB7" w:rsidRPr="00260790" w:rsidRDefault="005F3FB7" w:rsidP="00E20250">
      <w:pPr>
        <w:spacing w:after="200" w:line="240" w:lineRule="auto"/>
        <w:jc w:val="both"/>
        <w:rPr>
          <w:rFonts w:ascii="Times New Roman" w:hAnsi="Times New Roman"/>
          <w:iCs/>
          <w:color w:val="000000" w:themeColor="text1"/>
        </w:rPr>
      </w:pPr>
      <w:r w:rsidRPr="00260790">
        <w:rPr>
          <w:rFonts w:ascii="Times New Roman" w:hAnsi="Times New Roman"/>
          <w:iCs/>
          <w:color w:val="000000" w:themeColor="text1"/>
        </w:rPr>
        <w:t>Aucun salarié ne peut être sanctionné, licencié ou faire l’objet d’une mesure discriminatoire pour avoir subi ou refusé de subir les agissements définis ci-dessus ou pour avoir témoigné de tels agissements ou les avoir relatés.</w:t>
      </w:r>
    </w:p>
    <w:p w14:paraId="544096F5" w14:textId="77777777" w:rsidR="005F3FB7" w:rsidRPr="00260790" w:rsidRDefault="005F3FB7" w:rsidP="00E20250">
      <w:pPr>
        <w:spacing w:after="200" w:line="240" w:lineRule="auto"/>
        <w:jc w:val="both"/>
        <w:rPr>
          <w:rFonts w:ascii="Times New Roman" w:hAnsi="Times New Roman"/>
          <w:iCs/>
          <w:color w:val="000000" w:themeColor="text1"/>
        </w:rPr>
      </w:pPr>
      <w:r w:rsidRPr="00260790">
        <w:rPr>
          <w:rFonts w:ascii="Times New Roman" w:hAnsi="Times New Roman"/>
          <w:iCs/>
          <w:color w:val="000000" w:themeColor="text1"/>
        </w:rPr>
        <w:t>Est donc passible d’une sanction disciplinaire tout Employé et apprenant de l’Entreprise, ses sous-traitants ainsi que ses partenaires sécuritaires qui aura commis de tels actes répréhensibles.</w:t>
      </w:r>
    </w:p>
    <w:p w14:paraId="4CEC05B4" w14:textId="77777777" w:rsidR="005F3FB7" w:rsidRPr="00260790" w:rsidRDefault="005F3FB7" w:rsidP="001748C6">
      <w:pPr>
        <w:numPr>
          <w:ilvl w:val="0"/>
          <w:numId w:val="91"/>
        </w:numPr>
        <w:tabs>
          <w:tab w:val="left" w:pos="1410"/>
        </w:tabs>
        <w:spacing w:after="200" w:line="240" w:lineRule="auto"/>
        <w:contextualSpacing/>
        <w:jc w:val="both"/>
        <w:rPr>
          <w:rFonts w:ascii="Times New Roman" w:hAnsi="Times New Roman"/>
          <w:i/>
          <w:iCs/>
          <w:color w:val="000000" w:themeColor="text1"/>
          <w:u w:val="single"/>
        </w:rPr>
      </w:pPr>
      <w:r w:rsidRPr="00260790">
        <w:rPr>
          <w:rFonts w:ascii="Times New Roman" w:hAnsi="Times New Roman"/>
          <w:i/>
          <w:iCs/>
          <w:color w:val="000000" w:themeColor="text1"/>
          <w:u w:val="single"/>
        </w:rPr>
        <w:t>Des violences physiques</w:t>
      </w:r>
    </w:p>
    <w:p w14:paraId="15A395EC" w14:textId="77777777" w:rsidR="005F3FB7" w:rsidRPr="00260790" w:rsidRDefault="005F3FB7" w:rsidP="00E20250">
      <w:pPr>
        <w:spacing w:after="200" w:line="240" w:lineRule="auto"/>
        <w:jc w:val="both"/>
        <w:rPr>
          <w:rFonts w:ascii="Times New Roman" w:hAnsi="Times New Roman"/>
          <w:iCs/>
          <w:color w:val="000000" w:themeColor="text1"/>
        </w:rPr>
      </w:pPr>
      <w:r w:rsidRPr="00260790">
        <w:rPr>
          <w:rFonts w:ascii="Times New Roman" w:hAnsi="Times New Roman"/>
          <w:iCs/>
          <w:color w:val="000000" w:themeColor="text1"/>
        </w:rPr>
        <w:t xml:space="preserve">Aucun Employé et apprenant de l’Entreprise, ses sous-traitants ainsi que ses partenaires sécuritaires et autres ne doivent subir ou faire subir des violences physiques, sous toutes ses formes, des voies de fait, des coups et blessures volontaires, des mutilations physiques à l’endroit de tout être humain ou ses biens personnels. </w:t>
      </w:r>
    </w:p>
    <w:p w14:paraId="3FBB35CF" w14:textId="77777777" w:rsidR="005F3FB7" w:rsidRPr="00260790" w:rsidRDefault="005F3FB7" w:rsidP="001748C6">
      <w:pPr>
        <w:numPr>
          <w:ilvl w:val="0"/>
          <w:numId w:val="91"/>
        </w:numPr>
        <w:tabs>
          <w:tab w:val="left" w:pos="1410"/>
        </w:tabs>
        <w:spacing w:after="200" w:line="240" w:lineRule="auto"/>
        <w:contextualSpacing/>
        <w:jc w:val="both"/>
        <w:rPr>
          <w:rFonts w:ascii="Times New Roman" w:hAnsi="Times New Roman"/>
          <w:i/>
          <w:iCs/>
          <w:color w:val="000000" w:themeColor="text1"/>
          <w:u w:val="single"/>
        </w:rPr>
      </w:pPr>
      <w:r w:rsidRPr="00260790">
        <w:rPr>
          <w:rFonts w:ascii="Times New Roman" w:hAnsi="Times New Roman"/>
          <w:i/>
          <w:iCs/>
          <w:color w:val="000000" w:themeColor="text1"/>
          <w:u w:val="single"/>
        </w:rPr>
        <w:t>De proxénétisme, harcèlement et violences sexuels et pédophilie</w:t>
      </w:r>
    </w:p>
    <w:p w14:paraId="0C0C0D16" w14:textId="5B6CE2AC" w:rsidR="005F3FB7" w:rsidRPr="00260790" w:rsidRDefault="005F3FB7" w:rsidP="00E20250">
      <w:pPr>
        <w:spacing w:after="200" w:line="240" w:lineRule="auto"/>
        <w:jc w:val="both"/>
        <w:rPr>
          <w:rFonts w:ascii="Times New Roman" w:hAnsi="Times New Roman"/>
          <w:iCs/>
          <w:color w:val="000000" w:themeColor="text1"/>
        </w:rPr>
      </w:pPr>
      <w:r w:rsidRPr="00260790">
        <w:rPr>
          <w:rFonts w:ascii="Times New Roman" w:hAnsi="Times New Roman"/>
          <w:iCs/>
          <w:color w:val="000000" w:themeColor="text1"/>
        </w:rPr>
        <w:t>Conformément aux textes nationaux, régionaux et internationaux sur le proxénétisme, le harcèlement et les violences sexuelles contre les femmes, la pédophilie et le respect des us et coutumes des populations et des relations humaines d’une manière générale, tout acte de proxénétisme, harcèlement, abus, violences sexuelles, pédophilie ( cf. : (i) Résolution 48/104 des Nations Unies relative à la déclaration sur l’élimination des violences contre les femmes et (ii) Résolution 2011/33 sur la prévention, la protection et la coopération internationale contre l’utilisation des nouvelles technologies d’information pour abuser et/ou exploiter les enfants) sera immédiatement sanctionné par un licenciement dès la première constatation de la faute, avec transmission des éléments caractéristiques de la faute pour les poursuites judiciaires par l’autorité publique compétente s’il y échec.</w:t>
      </w:r>
    </w:p>
    <w:p w14:paraId="455EB206" w14:textId="77777777" w:rsidR="005F3FB7" w:rsidRPr="00260790" w:rsidRDefault="005F3FB7" w:rsidP="00E20250">
      <w:pPr>
        <w:spacing w:before="160" w:line="240" w:lineRule="auto"/>
        <w:jc w:val="both"/>
        <w:rPr>
          <w:rFonts w:ascii="Times New Roman" w:eastAsia="MS Mincho" w:hAnsi="Times New Roman"/>
          <w:b/>
          <w:color w:val="000000" w:themeColor="text1"/>
          <w:lang w:eastAsia="ja-JP"/>
        </w:rPr>
      </w:pPr>
      <w:r w:rsidRPr="00260790">
        <w:rPr>
          <w:rFonts w:ascii="Times New Roman" w:eastAsia="MS Mincho" w:hAnsi="Times New Roman"/>
          <w:b/>
          <w:color w:val="000000" w:themeColor="text1"/>
          <w:lang w:eastAsia="ja-JP"/>
        </w:rPr>
        <w:lastRenderedPageBreak/>
        <w:t>Sauvegarde et protection des ressources culturelles</w:t>
      </w:r>
    </w:p>
    <w:p w14:paraId="5CE07063"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En ce qui concerne les artefacts, les objets naturels, les espaces présentant un caractère sacré, cérémoniel, religieux ou historique aux yeux des populations, l'Entrepreneur devra s'enquérir de leur existence bien avant l'ouverture d'une portion du chantier (y compris les zones extérieures, zone d'emprunt ou de dépôt). En cas de présence de tels objets ou espaces, l'entrepreneur en avertira promptement le Maître d'œuvre. Autant que possible, leur déplacement ou leur destruction sont à proscrire. L'ensemble du personnel ne doit pas les toucher ou y pénétrer sans une autorisation de la personne ou du groupe en charge de ces objets ou espaces. Cette personne ou ce groupe doivent être formellement identifiés, si cela est possible. </w:t>
      </w:r>
    </w:p>
    <w:p w14:paraId="2944687F"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Si la réalisation du projet implique impérativement la destruction ou le déplacement d'un tel objet ou d'une telle zone, une procédure de compensation sera mise en place en concertation avec le maître d'œuvre.</w:t>
      </w:r>
    </w:p>
    <w:p w14:paraId="4069A482"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En aucun cas, l'exécution du chantier ne doit empêcher le libre accès à un lieu de culte, un cimetière.</w:t>
      </w:r>
    </w:p>
    <w:p w14:paraId="2FD8D6EF" w14:textId="77777777" w:rsidR="005F3FB7" w:rsidRPr="00260790" w:rsidRDefault="005F3FB7" w:rsidP="001748C6">
      <w:pPr>
        <w:numPr>
          <w:ilvl w:val="1"/>
          <w:numId w:val="96"/>
        </w:numPr>
        <w:spacing w:line="240" w:lineRule="auto"/>
        <w:rPr>
          <w:rFonts w:ascii="Times New Roman" w:hAnsi="Times New Roman"/>
          <w:b/>
          <w:bCs/>
          <w:color w:val="000000" w:themeColor="text1"/>
        </w:rPr>
      </w:pPr>
      <w:bookmarkStart w:id="2623" w:name="_Toc55559809"/>
      <w:bookmarkStart w:id="2624" w:name="_Toc69115780"/>
      <w:r w:rsidRPr="00260790">
        <w:rPr>
          <w:rFonts w:ascii="Times New Roman" w:hAnsi="Times New Roman"/>
          <w:b/>
          <w:bCs/>
          <w:color w:val="000000" w:themeColor="text1"/>
        </w:rPr>
        <w:t>Dispositions relatives à la gestion de l’hygiène de la santé et de la sécurité</w:t>
      </w:r>
      <w:bookmarkEnd w:id="2623"/>
      <w:bookmarkEnd w:id="2624"/>
    </w:p>
    <w:p w14:paraId="2CBA6225"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L’Entrepreneur doit prendre sur ses chantiers toutes les mesures d’ordre et de sécurité propres à éviter des accidents, tant à l’égard du personnel qu’à l’égard des tiers. Il est tenu d’observer tous les règlements et consignes de l’autorité compétente. Il assure notamment l’éclairage et le gardiennage de ses chantiers, ainsi que leur signalisation tant intérieure qu’extérieure.  Il assure également, en tant que de besoin, la clôture de ses chantiers.</w:t>
      </w:r>
    </w:p>
    <w:p w14:paraId="0553FEAF"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Il doit prendre toutes les précautions nécessaires pour éviter que les travaux ne causent un danger aux tiers, notamment pour la circulation publique si celle-ci n’a pas été déviée. Les points de passage dangereux, le long et à la traversée des voies de communication, doivent être protégés par des garde</w:t>
      </w:r>
      <w:r w:rsidRPr="00260790">
        <w:rPr>
          <w:rFonts w:ascii="Times New Roman" w:eastAsia="MS Mincho" w:hAnsi="Times New Roman"/>
          <w:color w:val="000000" w:themeColor="text1"/>
          <w:lang w:eastAsia="ja-JP"/>
        </w:rPr>
        <w:noBreakHyphen/>
        <w:t>corps provisoires ou par tout autre dispositif approprié ; ils doivent être éclairés et, au besoin, gardés.</w:t>
      </w:r>
    </w:p>
    <w:p w14:paraId="025E3FDE"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L’Entrepreneur doit prendre les dispositions utiles pour assurer l’hygiène des installations de chantier destinées au personnel, notamment par l’établissement des réseaux de voirie, d’alimentation en eau potable et d’assainissement, si l’importance des chantiers le justifie. </w:t>
      </w:r>
    </w:p>
    <w:p w14:paraId="74C4D547"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Sauf dispositions contraires du Marché, toutes les mesures d’ordre, de sécurité et d’hygiène prescrites ci-dessus sont à la charge de l’Entrepreneur :</w:t>
      </w:r>
    </w:p>
    <w:p w14:paraId="3E36F663" w14:textId="77777777" w:rsidR="005F3FB7" w:rsidRPr="00260790" w:rsidRDefault="005F3FB7" w:rsidP="00E20250">
      <w:pPr>
        <w:spacing w:before="160" w:line="240" w:lineRule="auto"/>
        <w:jc w:val="both"/>
        <w:rPr>
          <w:rFonts w:ascii="Times New Roman" w:eastAsia="MS Mincho" w:hAnsi="Times New Roman"/>
          <w:b/>
          <w:color w:val="000000" w:themeColor="text1"/>
          <w:lang w:eastAsia="ja-JP"/>
        </w:rPr>
      </w:pPr>
      <w:r w:rsidRPr="00260790">
        <w:rPr>
          <w:rFonts w:ascii="Times New Roman" w:eastAsia="MS Mincho" w:hAnsi="Times New Roman"/>
          <w:b/>
          <w:color w:val="000000" w:themeColor="text1"/>
          <w:lang w:eastAsia="ja-JP"/>
        </w:rPr>
        <w:t>Signalisation des travaux</w:t>
      </w:r>
    </w:p>
    <w:p w14:paraId="5D970C9B" w14:textId="45422759"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L’Entrepreneur doit placer, préalablement à l’ouverture des chantiers et chaque fois que de besoins, une</w:t>
      </w:r>
      <w:r w:rsidR="008E7327" w:rsidRPr="00260790">
        <w:rPr>
          <w:rFonts w:ascii="Times New Roman" w:eastAsia="MS Mincho" w:hAnsi="Times New Roman"/>
          <w:color w:val="000000" w:themeColor="text1"/>
          <w:lang w:eastAsia="ja-JP"/>
        </w:rPr>
        <w:t xml:space="preserve"> </w:t>
      </w:r>
      <w:proofErr w:type="spellStart"/>
      <w:r w:rsidRPr="00260790">
        <w:rPr>
          <w:rFonts w:ascii="Times New Roman" w:eastAsia="MS Mincho" w:hAnsi="Times New Roman"/>
          <w:color w:val="000000" w:themeColor="text1"/>
          <w:lang w:eastAsia="ja-JP"/>
        </w:rPr>
        <w:t>présignalisation</w:t>
      </w:r>
      <w:proofErr w:type="spellEnd"/>
      <w:r w:rsidRPr="00260790">
        <w:rPr>
          <w:rFonts w:ascii="Times New Roman" w:eastAsia="MS Mincho" w:hAnsi="Times New Roman"/>
          <w:color w:val="000000" w:themeColor="text1"/>
          <w:lang w:eastAsia="ja-JP"/>
        </w:rPr>
        <w:t xml:space="preserve"> et une signalisation (porte-drapeaux ; panneaux ; bandes réflectorisées sur les obstacles, barrières) des chantiers à longue distance (sortie de carrières/emprunts ou de bases-vie/base chantier, circuit utilisé par les engins, etc.) qui répondent aux lois et règlements en vigueur.</w:t>
      </w:r>
    </w:p>
    <w:p w14:paraId="06CB6B95" w14:textId="77777777" w:rsidR="005F3FB7" w:rsidRPr="00260790" w:rsidRDefault="005F3FB7" w:rsidP="00E20250">
      <w:pPr>
        <w:spacing w:before="160" w:line="240" w:lineRule="auto"/>
        <w:jc w:val="both"/>
        <w:rPr>
          <w:rFonts w:ascii="Times New Roman" w:eastAsia="MS Mincho" w:hAnsi="Times New Roman"/>
          <w:b/>
          <w:color w:val="000000" w:themeColor="text1"/>
          <w:lang w:eastAsia="ja-JP"/>
        </w:rPr>
      </w:pPr>
      <w:bookmarkStart w:id="2625" w:name="_Toc204503005"/>
      <w:bookmarkStart w:id="2626" w:name="_Toc286929991"/>
      <w:bookmarkStart w:id="2627" w:name="_Toc286930284"/>
      <w:bookmarkStart w:id="2628" w:name="_Toc295226194"/>
      <w:r w:rsidRPr="00260790">
        <w:rPr>
          <w:rFonts w:ascii="Times New Roman" w:eastAsia="MS Mincho" w:hAnsi="Times New Roman"/>
          <w:b/>
          <w:color w:val="000000" w:themeColor="text1"/>
          <w:lang w:eastAsia="ja-JP"/>
        </w:rPr>
        <w:t>Panneaux</w:t>
      </w:r>
      <w:bookmarkEnd w:id="2625"/>
      <w:bookmarkEnd w:id="2626"/>
      <w:bookmarkEnd w:id="2627"/>
      <w:bookmarkEnd w:id="2628"/>
    </w:p>
    <w:p w14:paraId="44EADB5E" w14:textId="77777777" w:rsidR="005F3FB7" w:rsidRPr="00260790" w:rsidRDefault="005F3FB7" w:rsidP="00E20250">
      <w:pPr>
        <w:spacing w:after="0" w:line="240" w:lineRule="auto"/>
        <w:jc w:val="both"/>
        <w:rPr>
          <w:rFonts w:ascii="Times New Roman" w:hAnsi="Times New Roman"/>
          <w:color w:val="000000" w:themeColor="text1"/>
        </w:rPr>
      </w:pPr>
      <w:r w:rsidRPr="00260790">
        <w:rPr>
          <w:rFonts w:ascii="Times New Roman" w:hAnsi="Times New Roman"/>
          <w:color w:val="000000" w:themeColor="text1"/>
        </w:rPr>
        <w:t>Il incombe à l’Entrepreneur de fournir toutes les signalisations nécessaires pour les travaux. Celles-ci doivent comprendre, cette liste n’étant pas exhaustive :</w:t>
      </w:r>
    </w:p>
    <w:p w14:paraId="00EE6D62" w14:textId="77777777" w:rsidR="005F3FB7" w:rsidRPr="00260790" w:rsidRDefault="005F3FB7" w:rsidP="001748C6">
      <w:pPr>
        <w:numPr>
          <w:ilvl w:val="0"/>
          <w:numId w:val="92"/>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La signalisation routière classique ;</w:t>
      </w:r>
    </w:p>
    <w:p w14:paraId="55E6FFF9" w14:textId="77777777" w:rsidR="005F3FB7" w:rsidRPr="00260790" w:rsidRDefault="005F3FB7" w:rsidP="001748C6">
      <w:pPr>
        <w:numPr>
          <w:ilvl w:val="0"/>
          <w:numId w:val="92"/>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Les signaux d’avertissement/danger ;</w:t>
      </w:r>
    </w:p>
    <w:p w14:paraId="19F6D637" w14:textId="77777777" w:rsidR="005F3FB7" w:rsidRPr="00260790" w:rsidRDefault="005F3FB7" w:rsidP="001748C6">
      <w:pPr>
        <w:numPr>
          <w:ilvl w:val="0"/>
          <w:numId w:val="92"/>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Les signaux de contrôle ;</w:t>
      </w:r>
    </w:p>
    <w:p w14:paraId="2D84CA5B" w14:textId="77777777" w:rsidR="005F3FB7" w:rsidRPr="00260790" w:rsidRDefault="005F3FB7" w:rsidP="001748C6">
      <w:pPr>
        <w:numPr>
          <w:ilvl w:val="0"/>
          <w:numId w:val="92"/>
        </w:numPr>
        <w:spacing w:after="0" w:line="240" w:lineRule="auto"/>
        <w:jc w:val="both"/>
        <w:rPr>
          <w:rFonts w:ascii="Times New Roman" w:hAnsi="Times New Roman"/>
          <w:color w:val="000000" w:themeColor="text1"/>
        </w:rPr>
      </w:pPr>
      <w:r w:rsidRPr="00260790">
        <w:rPr>
          <w:rFonts w:ascii="Times New Roman" w:hAnsi="Times New Roman"/>
          <w:color w:val="000000" w:themeColor="text1"/>
        </w:rPr>
        <w:t>Les signaux de sécurité ; et</w:t>
      </w:r>
    </w:p>
    <w:p w14:paraId="5A53DEBF" w14:textId="77777777" w:rsidR="005F3FB7" w:rsidRPr="00260790" w:rsidRDefault="005F3FB7" w:rsidP="001748C6">
      <w:pPr>
        <w:numPr>
          <w:ilvl w:val="0"/>
          <w:numId w:val="92"/>
        </w:numPr>
        <w:spacing w:after="0" w:line="240" w:lineRule="auto"/>
        <w:jc w:val="both"/>
        <w:rPr>
          <w:rFonts w:ascii="Times New Roman" w:hAnsi="Times New Roman"/>
          <w:color w:val="000000" w:themeColor="text1"/>
        </w:rPr>
      </w:pPr>
      <w:proofErr w:type="gramStart"/>
      <w:r w:rsidRPr="00260790">
        <w:rPr>
          <w:rFonts w:ascii="Times New Roman" w:hAnsi="Times New Roman"/>
          <w:color w:val="000000" w:themeColor="text1"/>
        </w:rPr>
        <w:t>les</w:t>
      </w:r>
      <w:proofErr w:type="gramEnd"/>
      <w:r w:rsidRPr="00260790">
        <w:rPr>
          <w:rFonts w:ascii="Times New Roman" w:hAnsi="Times New Roman"/>
          <w:color w:val="000000" w:themeColor="text1"/>
        </w:rPr>
        <w:t xml:space="preserve"> signaux d’orientation.</w:t>
      </w:r>
    </w:p>
    <w:p w14:paraId="5E952F7C" w14:textId="77777777" w:rsidR="005F3FB7" w:rsidRPr="00260790" w:rsidRDefault="005F3FB7" w:rsidP="00E20250">
      <w:pPr>
        <w:spacing w:after="200" w:line="240" w:lineRule="auto"/>
        <w:jc w:val="both"/>
        <w:rPr>
          <w:rFonts w:ascii="Times New Roman" w:hAnsi="Times New Roman"/>
          <w:color w:val="000000" w:themeColor="text1"/>
        </w:rPr>
      </w:pPr>
      <w:r w:rsidRPr="00260790">
        <w:rPr>
          <w:rFonts w:ascii="Times New Roman" w:hAnsi="Times New Roman"/>
          <w:color w:val="000000" w:themeColor="text1"/>
        </w:rPr>
        <w:t>Le libellé sur toute la signalisation doit être en français. La taille, la couleur et les inscriptions sur tous les panneaux, ainsi que l’emplacement de ceux-ci seront soumis à l’approbation de l’Ingénieur.</w:t>
      </w:r>
    </w:p>
    <w:p w14:paraId="1C4B89AE" w14:textId="77777777" w:rsidR="005F3FB7"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t xml:space="preserve">L’Entrepreneur doit assurer l’entretien de toute la signalisation mise en place par lui-même. </w:t>
      </w:r>
    </w:p>
    <w:p w14:paraId="18EDA5B1" w14:textId="77777777" w:rsidR="005F3FB7" w:rsidRPr="00260790" w:rsidRDefault="005F3FB7" w:rsidP="00E20250">
      <w:pPr>
        <w:spacing w:line="240" w:lineRule="auto"/>
        <w:jc w:val="both"/>
        <w:rPr>
          <w:rFonts w:ascii="Times New Roman" w:hAnsi="Times New Roman"/>
          <w:color w:val="000000" w:themeColor="text1"/>
        </w:rPr>
      </w:pPr>
      <w:r w:rsidRPr="00260790">
        <w:rPr>
          <w:rFonts w:ascii="Times New Roman" w:hAnsi="Times New Roman"/>
          <w:color w:val="000000" w:themeColor="text1"/>
        </w:rPr>
        <w:lastRenderedPageBreak/>
        <w:t>Si le Maître d’œuvre estime que le système de signalisation mis en place par l’Entrepreneur est insuffisant pour assurer la sécurité ou n’est pas satisfaisant sous d’autres rapports, l’Entrepreneur doit compléter, amender ou changer le système, à la satisfaction du Maître d’œuvre.</w:t>
      </w:r>
    </w:p>
    <w:p w14:paraId="6FFA23BB" w14:textId="77777777" w:rsidR="005F3FB7" w:rsidRPr="00260790" w:rsidRDefault="005F3FB7" w:rsidP="00E20250">
      <w:pPr>
        <w:spacing w:before="160" w:line="240" w:lineRule="auto"/>
        <w:jc w:val="both"/>
        <w:rPr>
          <w:rFonts w:ascii="Times New Roman" w:eastAsia="MS Mincho" w:hAnsi="Times New Roman"/>
          <w:b/>
          <w:color w:val="000000" w:themeColor="text1"/>
          <w:lang w:eastAsia="ja-JP"/>
        </w:rPr>
      </w:pPr>
      <w:bookmarkStart w:id="2629" w:name="_Toc204503002"/>
      <w:bookmarkStart w:id="2630" w:name="_Toc286929988"/>
      <w:bookmarkStart w:id="2631" w:name="_Toc286930281"/>
      <w:bookmarkStart w:id="2632" w:name="_Toc295226191"/>
      <w:r w:rsidRPr="00260790">
        <w:rPr>
          <w:rFonts w:ascii="Times New Roman" w:eastAsia="MS Mincho" w:hAnsi="Times New Roman"/>
          <w:b/>
          <w:color w:val="000000" w:themeColor="text1"/>
          <w:lang w:eastAsia="ja-JP"/>
        </w:rPr>
        <w:t>Activités à proximité des équipements électriques</w:t>
      </w:r>
      <w:bookmarkEnd w:id="2629"/>
      <w:bookmarkEnd w:id="2630"/>
      <w:bookmarkEnd w:id="2631"/>
      <w:bookmarkEnd w:id="2632"/>
    </w:p>
    <w:p w14:paraId="6A39B21F" w14:textId="77777777" w:rsidR="005F3FB7" w:rsidRPr="00260790" w:rsidRDefault="005F3FB7" w:rsidP="00E20250">
      <w:pPr>
        <w:spacing w:after="200" w:line="240" w:lineRule="auto"/>
        <w:jc w:val="both"/>
        <w:rPr>
          <w:rFonts w:ascii="Times New Roman" w:hAnsi="Times New Roman"/>
          <w:b/>
          <w:color w:val="000000" w:themeColor="text1"/>
        </w:rPr>
      </w:pPr>
      <w:r w:rsidRPr="00260790">
        <w:rPr>
          <w:rFonts w:ascii="Times New Roman" w:hAnsi="Times New Roman"/>
          <w:color w:val="000000" w:themeColor="text1"/>
        </w:rPr>
        <w:t>Pour des raisons de sûreté et de sécurité, l’Entrepreneur doit avoir achevé la construction de toutes les clôtures de sécurité nécessaires autour des appareils électriques et mécaniques, avant que lesdits appareils ne soient branchés à une quelconque source d’alimentation en électricité.</w:t>
      </w:r>
    </w:p>
    <w:p w14:paraId="42732C66" w14:textId="77777777" w:rsidR="005F3FB7" w:rsidRPr="00260790" w:rsidRDefault="005F3FB7" w:rsidP="00E20250">
      <w:pPr>
        <w:spacing w:after="200" w:line="240" w:lineRule="auto"/>
        <w:ind w:left="576" w:hanging="576"/>
        <w:jc w:val="both"/>
        <w:rPr>
          <w:rFonts w:ascii="Times New Roman" w:hAnsi="Times New Roman"/>
          <w:b/>
          <w:color w:val="000000" w:themeColor="text1"/>
        </w:rPr>
      </w:pPr>
      <w:r w:rsidRPr="00260790">
        <w:rPr>
          <w:rFonts w:ascii="Times New Roman" w:hAnsi="Times New Roman"/>
          <w:b/>
          <w:color w:val="000000" w:themeColor="text1"/>
        </w:rPr>
        <w:t>Consignes de sécurité</w:t>
      </w:r>
    </w:p>
    <w:p w14:paraId="577B166D" w14:textId="77777777" w:rsidR="005F3FB7" w:rsidRPr="00260790" w:rsidRDefault="005F3FB7" w:rsidP="00E20250">
      <w:pPr>
        <w:spacing w:after="200" w:line="240" w:lineRule="auto"/>
        <w:jc w:val="both"/>
        <w:rPr>
          <w:rFonts w:ascii="Times New Roman" w:hAnsi="Times New Roman"/>
          <w:color w:val="000000" w:themeColor="text1"/>
        </w:rPr>
      </w:pPr>
      <w:r w:rsidRPr="00260790">
        <w:rPr>
          <w:rFonts w:ascii="Times New Roman" w:hAnsi="Times New Roman"/>
          <w:color w:val="000000" w:themeColor="text1"/>
        </w:rPr>
        <w:t>L’Entrepreneur doit donner à ses employés et à ceux de ses sous-traitants, ainsi qu’au personnel de l’Ingénieur, à ses propres frais, des instructions de sécurité imprimées en Français ou dans toutes autres langues utilisées par ses employés sur le chantier.</w:t>
      </w:r>
    </w:p>
    <w:p w14:paraId="2818377B" w14:textId="77777777" w:rsidR="005F3FB7" w:rsidRPr="00260790" w:rsidRDefault="005F3FB7" w:rsidP="00E20250">
      <w:pPr>
        <w:spacing w:after="200" w:line="240" w:lineRule="auto"/>
        <w:ind w:left="576" w:hanging="576"/>
        <w:jc w:val="both"/>
        <w:rPr>
          <w:rFonts w:ascii="Times New Roman" w:hAnsi="Times New Roman"/>
          <w:b/>
          <w:color w:val="000000" w:themeColor="text1"/>
        </w:rPr>
      </w:pPr>
      <w:r w:rsidRPr="00260790">
        <w:rPr>
          <w:rFonts w:ascii="Times New Roman" w:hAnsi="Times New Roman"/>
          <w:b/>
          <w:color w:val="000000" w:themeColor="text1"/>
        </w:rPr>
        <w:t>Services de premiers secours et services médicaux</w:t>
      </w:r>
    </w:p>
    <w:p w14:paraId="44152208" w14:textId="77777777" w:rsidR="005F3FB7" w:rsidRPr="00260790" w:rsidRDefault="005F3FB7" w:rsidP="00E20250">
      <w:pPr>
        <w:spacing w:after="200" w:line="240" w:lineRule="auto"/>
        <w:jc w:val="both"/>
        <w:rPr>
          <w:rFonts w:ascii="Times New Roman" w:hAnsi="Times New Roman"/>
          <w:color w:val="000000" w:themeColor="text1"/>
        </w:rPr>
      </w:pPr>
      <w:r w:rsidRPr="00260790">
        <w:rPr>
          <w:rFonts w:ascii="Times New Roman" w:hAnsi="Times New Roman"/>
          <w:color w:val="000000" w:themeColor="text1"/>
        </w:rPr>
        <w:t>L’Entrepreneur est entièrement responsable de la fourniture à son personnel et à ses ouvriers des services de premiers secours nécessaires, y compris le transfert des membres du personnel blessé à l’hôpital ou dans d’autres lieux appropriés, le cas échéant.</w:t>
      </w:r>
    </w:p>
    <w:p w14:paraId="79C75728" w14:textId="77777777" w:rsidR="005F3FB7" w:rsidRPr="00260790" w:rsidRDefault="005F3FB7" w:rsidP="00E20250">
      <w:pPr>
        <w:spacing w:after="200" w:line="240" w:lineRule="auto"/>
        <w:jc w:val="both"/>
        <w:rPr>
          <w:rFonts w:ascii="Times New Roman" w:hAnsi="Times New Roman"/>
          <w:color w:val="000000" w:themeColor="text1"/>
        </w:rPr>
      </w:pPr>
      <w:r w:rsidRPr="00260790">
        <w:rPr>
          <w:rFonts w:ascii="Times New Roman" w:hAnsi="Times New Roman"/>
          <w:color w:val="000000" w:themeColor="text1"/>
        </w:rPr>
        <w:t>L’Entrepreneur doit fournir, gérer et conserver des stocks de médicaments et d’équipements médicaux dont la couverture, la quantité et les normes sont jugées satisfaisantes, par un médecin, pour les premiers secours. En outre, il doit veiller à ce qu’un ou plusieurs employés sur le site de travail soit/soient initié(s) à la fourniture des services de premiers secours et assurer l’évacuation médicale, le cas échéant.</w:t>
      </w:r>
    </w:p>
    <w:p w14:paraId="6F6799F5" w14:textId="77777777" w:rsidR="005F3FB7" w:rsidRPr="00260790" w:rsidRDefault="005F3FB7" w:rsidP="00E20250">
      <w:pPr>
        <w:spacing w:after="200" w:line="240" w:lineRule="auto"/>
        <w:jc w:val="both"/>
        <w:rPr>
          <w:rFonts w:ascii="Times New Roman" w:hAnsi="Times New Roman"/>
          <w:color w:val="000000" w:themeColor="text1"/>
        </w:rPr>
      </w:pPr>
      <w:r w:rsidRPr="00260790">
        <w:rPr>
          <w:rFonts w:ascii="Times New Roman" w:hAnsi="Times New Roman"/>
          <w:color w:val="000000" w:themeColor="text1"/>
        </w:rPr>
        <w:t>L’Entrepreneur doit obtenir et suivre les conseils d’un médecin sur des questions telles que l’alimentation en eau, l’assainissement, l’élimination des déchets et des eaux usées, ainsi que l’installation de grillages-moustiquaires, les mesures préventives contre le paludisme et concernant la santé et l’hygiène professionnelles. Il est nécessaire qu’une partie des employés de l’Entrepreneur, en principe un homme par groupe, soit initiée aux rudiments des premiers secours.</w:t>
      </w:r>
    </w:p>
    <w:p w14:paraId="748A32BA" w14:textId="77777777" w:rsidR="005F3FB7" w:rsidRPr="00260790" w:rsidRDefault="005F3FB7" w:rsidP="00E20250">
      <w:pPr>
        <w:spacing w:before="160" w:line="240" w:lineRule="auto"/>
        <w:jc w:val="both"/>
        <w:rPr>
          <w:rFonts w:ascii="Times New Roman" w:eastAsia="MS Mincho" w:hAnsi="Times New Roman"/>
          <w:b/>
          <w:color w:val="000000" w:themeColor="text1"/>
          <w:lang w:eastAsia="ja-JP"/>
        </w:rPr>
      </w:pPr>
      <w:r w:rsidRPr="00260790">
        <w:rPr>
          <w:rFonts w:ascii="Times New Roman" w:eastAsia="MS Mincho" w:hAnsi="Times New Roman"/>
          <w:b/>
          <w:color w:val="000000" w:themeColor="text1"/>
          <w:lang w:eastAsia="ja-JP"/>
        </w:rPr>
        <w:t>Protection contre les IST/VIH/SIDA, la maladie à Coronavirus et autres maladies liées aux travaux</w:t>
      </w:r>
    </w:p>
    <w:p w14:paraId="74C90AF8"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L’Entrepreneur doit informer et sensibiliser son personnel sur les risques liés aux IST/VIH/SIDA et à la pandémie à Coronavirus. Il doit mettre à la disposition du personnel des préservatifs contre les IST/VIH/SIDA et des stations de lavage des mains, gel hydroalcoolique et masque pour faire observer les gestes barrières contre le Coronavirus.</w:t>
      </w:r>
    </w:p>
    <w:p w14:paraId="5FB6C09B"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L’Entrepreneur doit informer et sensibiliser son personnel sur la sécurité et l’hygiène au travail. Il doit veiller à préserver la santé des travailleurs et des populations riveraines, en prenant des mesures appropriées contre d’autres maladies liées aux travaux et à l’environnement dans lequel ils se déroulent : maladies respiratoires dues notamment au volume important de poussière et de gaz émis lors des travaux ; paludisme, gastro-entérites et autres maladies diarrhéiques dues à la forte prolifération de moustiques, aux changements de climat et à la qualité de l’eau et des aliments consommés ; maladies sévissant de manière endémique dans la zone.</w:t>
      </w:r>
    </w:p>
    <w:p w14:paraId="0107E589"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L’Entrepreneur doit prévoir des mesures de prévention suivantes contre les risques de maladie :</w:t>
      </w:r>
    </w:p>
    <w:p w14:paraId="26FD697A" w14:textId="77777777" w:rsidR="005F3FB7" w:rsidRPr="00260790" w:rsidRDefault="005F3FB7" w:rsidP="001748C6">
      <w:pPr>
        <w:widowControl w:val="0"/>
        <w:numPr>
          <w:ilvl w:val="0"/>
          <w:numId w:val="88"/>
        </w:numPr>
        <w:spacing w:before="160" w:line="240" w:lineRule="auto"/>
        <w:jc w:val="both"/>
        <w:rPr>
          <w:rFonts w:ascii="Times New Roman" w:eastAsia="MS Mincho" w:hAnsi="Times New Roman"/>
          <w:color w:val="000000" w:themeColor="text1"/>
          <w:lang w:eastAsia="ja-JP"/>
        </w:rPr>
      </w:pPr>
      <w:proofErr w:type="gramStart"/>
      <w:r w:rsidRPr="00260790">
        <w:rPr>
          <w:rFonts w:ascii="Times New Roman" w:eastAsia="MS Mincho" w:hAnsi="Times New Roman"/>
          <w:color w:val="000000" w:themeColor="text1"/>
          <w:lang w:eastAsia="ja-JP"/>
        </w:rPr>
        <w:t>instaurer</w:t>
      </w:r>
      <w:proofErr w:type="gramEnd"/>
      <w:r w:rsidRPr="00260790">
        <w:rPr>
          <w:rFonts w:ascii="Times New Roman" w:eastAsia="MS Mincho" w:hAnsi="Times New Roman"/>
          <w:color w:val="000000" w:themeColor="text1"/>
          <w:lang w:eastAsia="ja-JP"/>
        </w:rPr>
        <w:t xml:space="preserve"> le port de masques, d’uniformes et autres chaussures adaptées ;</w:t>
      </w:r>
    </w:p>
    <w:p w14:paraId="62C42358" w14:textId="77777777" w:rsidR="005F3FB7" w:rsidRPr="00260790" w:rsidRDefault="005F3FB7" w:rsidP="001748C6">
      <w:pPr>
        <w:widowControl w:val="0"/>
        <w:numPr>
          <w:ilvl w:val="0"/>
          <w:numId w:val="88"/>
        </w:num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 </w:t>
      </w:r>
      <w:proofErr w:type="gramStart"/>
      <w:r w:rsidRPr="00260790">
        <w:rPr>
          <w:rFonts w:ascii="Times New Roman" w:eastAsia="MS Mincho" w:hAnsi="Times New Roman"/>
          <w:color w:val="000000" w:themeColor="text1"/>
          <w:lang w:eastAsia="ja-JP"/>
        </w:rPr>
        <w:t>installer</w:t>
      </w:r>
      <w:proofErr w:type="gramEnd"/>
      <w:r w:rsidRPr="00260790">
        <w:rPr>
          <w:rFonts w:ascii="Times New Roman" w:eastAsia="MS Mincho" w:hAnsi="Times New Roman"/>
          <w:color w:val="000000" w:themeColor="text1"/>
          <w:lang w:eastAsia="ja-JP"/>
        </w:rPr>
        <w:t xml:space="preserve"> systématiquement des infirmeries et fournir gratuitement au personnel de chantier les médicaments de base nécessaires aux soins d’urgence.  </w:t>
      </w:r>
    </w:p>
    <w:p w14:paraId="69233BD5" w14:textId="77777777" w:rsidR="0048082D" w:rsidRPr="00260790" w:rsidRDefault="0048082D">
      <w:pPr>
        <w:spacing w:line="259" w:lineRule="auto"/>
        <w:rPr>
          <w:rFonts w:ascii="Times New Roman" w:eastAsia="MS Mincho" w:hAnsi="Times New Roman"/>
          <w:b/>
          <w:color w:val="000000" w:themeColor="text1"/>
          <w:lang w:eastAsia="ja-JP"/>
        </w:rPr>
      </w:pPr>
      <w:r w:rsidRPr="00260790">
        <w:rPr>
          <w:rFonts w:ascii="Times New Roman" w:eastAsia="MS Mincho" w:hAnsi="Times New Roman"/>
          <w:b/>
          <w:color w:val="000000" w:themeColor="text1"/>
          <w:lang w:eastAsia="ja-JP"/>
        </w:rPr>
        <w:br w:type="page"/>
      </w:r>
    </w:p>
    <w:p w14:paraId="198CCAE3" w14:textId="53D33849" w:rsidR="005F3FB7" w:rsidRPr="00260790" w:rsidRDefault="005F3FB7" w:rsidP="00E20250">
      <w:pPr>
        <w:spacing w:before="160" w:line="240" w:lineRule="auto"/>
        <w:jc w:val="both"/>
        <w:rPr>
          <w:rFonts w:ascii="Times New Roman" w:eastAsia="MS Mincho" w:hAnsi="Times New Roman"/>
          <w:b/>
          <w:color w:val="000000" w:themeColor="text1"/>
          <w:lang w:eastAsia="ja-JP"/>
        </w:rPr>
      </w:pPr>
      <w:r w:rsidRPr="00260790">
        <w:rPr>
          <w:rFonts w:ascii="Times New Roman" w:eastAsia="MS Mincho" w:hAnsi="Times New Roman"/>
          <w:b/>
          <w:color w:val="000000" w:themeColor="text1"/>
          <w:lang w:eastAsia="ja-JP"/>
        </w:rPr>
        <w:lastRenderedPageBreak/>
        <w:t>Formation</w:t>
      </w:r>
    </w:p>
    <w:p w14:paraId="49503570"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Destiné à ses employés permanents ou temporaires, l'Entrepreneur constituera un plan de formation à la sécurité sur le chantier (importance du port des protections individuelles, règles de circulation, abstinence alcoolique, etc.) et à la santé au travail et dans la vie quotidienne (prévention des IST/VIH/SIDA, prévention contre le Coronavirus, prévention du paludisme, prévention du péril fécal, prévention de la bilharziose, techniques de portage des charges lourdes…).</w:t>
      </w:r>
    </w:p>
    <w:p w14:paraId="251EF4C3"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Une petite formation sera donnée à tout visiteur du chantier. Elle consistera en une présentation du projet et des consignes de sécurité à respecter sur le chantier.</w:t>
      </w:r>
    </w:p>
    <w:p w14:paraId="2FA0A5F9"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Chaque séance de formation sera consignée dans un formulaire mis au point par l'Entrepreneur qui comprendra, au moins, le nom des cibles, leur statut, l'intitulé de la formation et la date.</w:t>
      </w:r>
    </w:p>
    <w:p w14:paraId="410BFFB9" w14:textId="77777777" w:rsidR="005F3FB7" w:rsidRPr="00260790" w:rsidRDefault="005F3FB7" w:rsidP="00E20250">
      <w:pPr>
        <w:spacing w:after="200" w:line="240" w:lineRule="auto"/>
        <w:ind w:left="576" w:hanging="576"/>
        <w:jc w:val="both"/>
        <w:rPr>
          <w:rFonts w:ascii="Times New Roman" w:hAnsi="Times New Roman"/>
          <w:b/>
          <w:color w:val="000000" w:themeColor="text1"/>
        </w:rPr>
      </w:pPr>
      <w:r w:rsidRPr="00260790">
        <w:rPr>
          <w:rFonts w:ascii="Times New Roman" w:hAnsi="Times New Roman"/>
          <w:b/>
          <w:color w:val="000000" w:themeColor="text1"/>
        </w:rPr>
        <w:t>Rapports sur les incidents/accidents</w:t>
      </w:r>
    </w:p>
    <w:p w14:paraId="045E33E1" w14:textId="77777777" w:rsidR="005F3FB7" w:rsidRPr="00260790" w:rsidRDefault="005F3FB7" w:rsidP="00E20250">
      <w:pPr>
        <w:spacing w:after="200" w:line="240" w:lineRule="auto"/>
        <w:jc w:val="both"/>
        <w:rPr>
          <w:rFonts w:ascii="Times New Roman" w:hAnsi="Times New Roman"/>
          <w:color w:val="000000" w:themeColor="text1"/>
        </w:rPr>
      </w:pPr>
      <w:r w:rsidRPr="00260790">
        <w:rPr>
          <w:rFonts w:ascii="Times New Roman" w:hAnsi="Times New Roman"/>
          <w:color w:val="000000" w:themeColor="text1"/>
        </w:rPr>
        <w:t>L’Entrepreneur doit rendre compte à l’Ingénieur, dans les meilleurs délais, de tous accidents ou incidents entrainant la mort, de graves blessures causées à des membres du personnel ou aux autres travailleurs, des découvertes archéologiques fortuites, des dégâts aux biens publics ou privés, ou le déversement de matériaux ou liquides dangereux. En outre, il doit soumettre des rapports mensuels sur tous les accidents dont sont victimes les membres du personnel et autres travailleurs, qui se traduisent par une perte de temps, selon la formule exigée par le Maître d’œuvre.</w:t>
      </w:r>
    </w:p>
    <w:p w14:paraId="2CF8DFC8" w14:textId="77777777" w:rsidR="005F3FB7" w:rsidRPr="00260790" w:rsidRDefault="005F3FB7" w:rsidP="00E20250">
      <w:pPr>
        <w:spacing w:after="200" w:line="240" w:lineRule="auto"/>
        <w:ind w:left="576" w:hanging="576"/>
        <w:jc w:val="both"/>
        <w:rPr>
          <w:rFonts w:ascii="Times New Roman" w:hAnsi="Times New Roman"/>
          <w:b/>
          <w:color w:val="000000" w:themeColor="text1"/>
        </w:rPr>
      </w:pPr>
      <w:r w:rsidRPr="00260790">
        <w:rPr>
          <w:rFonts w:ascii="Times New Roman" w:hAnsi="Times New Roman"/>
          <w:b/>
          <w:color w:val="000000" w:themeColor="text1"/>
        </w:rPr>
        <w:t>Rapports mensuels sur les aspects environnementaux, sociaux, sanitaires et sécuritaires</w:t>
      </w:r>
    </w:p>
    <w:p w14:paraId="62ADD977" w14:textId="77777777" w:rsidR="005F3FB7" w:rsidRPr="00260790" w:rsidRDefault="005F3FB7" w:rsidP="00E20250">
      <w:pPr>
        <w:keepLines/>
        <w:spacing w:before="48" w:after="48" w:line="240" w:lineRule="auto"/>
        <w:jc w:val="both"/>
        <w:rPr>
          <w:rFonts w:ascii="Times New Roman" w:hAnsi="Times New Roman"/>
          <w:color w:val="000000" w:themeColor="text1"/>
        </w:rPr>
      </w:pPr>
      <w:r w:rsidRPr="00260790">
        <w:rPr>
          <w:rFonts w:ascii="Times New Roman" w:hAnsi="Times New Roman"/>
          <w:color w:val="000000" w:themeColor="text1"/>
        </w:rPr>
        <w:t>L’Entrepreneur doit élaborer et soumettre à l’Ingénieur, pour approbation, des rapports mensuels d’activité sur le respect des dispositions relatives à la mise en œuvre des activités d’atténuation des impacts. Ces rapports devraient contenir des informations sur les points ci-après :</w:t>
      </w:r>
    </w:p>
    <w:p w14:paraId="427C93F4" w14:textId="77777777" w:rsidR="005F3FB7" w:rsidRPr="00260790" w:rsidRDefault="005F3FB7" w:rsidP="001748C6">
      <w:pPr>
        <w:keepLines/>
        <w:numPr>
          <w:ilvl w:val="0"/>
          <w:numId w:val="109"/>
        </w:numPr>
        <w:spacing w:before="40" w:after="40" w:line="240" w:lineRule="auto"/>
        <w:ind w:left="426"/>
        <w:jc w:val="both"/>
        <w:rPr>
          <w:rFonts w:ascii="Times New Roman" w:hAnsi="Times New Roman"/>
          <w:color w:val="000000" w:themeColor="text1"/>
        </w:rPr>
      </w:pPr>
      <w:r w:rsidRPr="00260790">
        <w:rPr>
          <w:rFonts w:ascii="Times New Roman" w:hAnsi="Times New Roman"/>
          <w:color w:val="000000" w:themeColor="text1"/>
        </w:rPr>
        <w:t>Les mesures environnementales, sociales et sécuritaires, notamment les autorisations sollicitées auprès des autorités locales et nationales ;</w:t>
      </w:r>
    </w:p>
    <w:p w14:paraId="4044DCCB" w14:textId="77777777" w:rsidR="005F3FB7" w:rsidRPr="00260790" w:rsidRDefault="005F3FB7" w:rsidP="001748C6">
      <w:pPr>
        <w:keepLines/>
        <w:numPr>
          <w:ilvl w:val="0"/>
          <w:numId w:val="109"/>
        </w:numPr>
        <w:spacing w:before="40" w:after="40" w:line="240" w:lineRule="auto"/>
        <w:ind w:left="426"/>
        <w:jc w:val="both"/>
        <w:rPr>
          <w:rFonts w:ascii="Times New Roman" w:hAnsi="Times New Roman"/>
          <w:color w:val="000000" w:themeColor="text1"/>
        </w:rPr>
      </w:pPr>
      <w:r w:rsidRPr="00260790">
        <w:rPr>
          <w:rFonts w:ascii="Times New Roman" w:hAnsi="Times New Roman"/>
          <w:color w:val="000000" w:themeColor="text1"/>
        </w:rPr>
        <w:t>Les problèmes liés aux aspects environnementaux, sociaux, sanitaires et sécuritaires (les incidents, notamment les retards, les conséquences en termes de coûts, etc. qui en découlent) ;</w:t>
      </w:r>
    </w:p>
    <w:p w14:paraId="2CD739D4" w14:textId="77777777" w:rsidR="005F3FB7" w:rsidRPr="00260790" w:rsidRDefault="005F3FB7" w:rsidP="001748C6">
      <w:pPr>
        <w:keepLines/>
        <w:numPr>
          <w:ilvl w:val="0"/>
          <w:numId w:val="109"/>
        </w:numPr>
        <w:spacing w:before="40" w:after="40" w:line="240" w:lineRule="auto"/>
        <w:ind w:left="426"/>
        <w:jc w:val="both"/>
        <w:rPr>
          <w:rFonts w:ascii="Times New Roman" w:hAnsi="Times New Roman"/>
          <w:color w:val="000000" w:themeColor="text1"/>
        </w:rPr>
      </w:pPr>
      <w:r w:rsidRPr="00260790">
        <w:rPr>
          <w:rFonts w:ascii="Times New Roman" w:hAnsi="Times New Roman"/>
          <w:color w:val="000000" w:themeColor="text1"/>
        </w:rPr>
        <w:t>Le non-respect des conditions contractuelles par l’Entrepreneur ;</w:t>
      </w:r>
    </w:p>
    <w:p w14:paraId="57D24AF0" w14:textId="77777777" w:rsidR="005F3FB7" w:rsidRPr="00260790" w:rsidRDefault="005F3FB7" w:rsidP="001748C6">
      <w:pPr>
        <w:keepLines/>
        <w:numPr>
          <w:ilvl w:val="0"/>
          <w:numId w:val="109"/>
        </w:numPr>
        <w:spacing w:before="40" w:after="40" w:line="240" w:lineRule="auto"/>
        <w:ind w:left="426"/>
        <w:jc w:val="both"/>
        <w:rPr>
          <w:rFonts w:ascii="Times New Roman" w:hAnsi="Times New Roman"/>
          <w:color w:val="000000" w:themeColor="text1"/>
        </w:rPr>
      </w:pPr>
      <w:r w:rsidRPr="00260790">
        <w:rPr>
          <w:rFonts w:ascii="Times New Roman" w:hAnsi="Times New Roman"/>
          <w:color w:val="000000" w:themeColor="text1"/>
        </w:rPr>
        <w:t>Les changements liés aux hypothèses, conditions, mesures, plans et aux activités réelles au titre des aspects environnementaux, sanitaires et sécuritaires ;</w:t>
      </w:r>
    </w:p>
    <w:p w14:paraId="3991B99F" w14:textId="77777777" w:rsidR="005F3FB7" w:rsidRPr="00260790" w:rsidRDefault="005F3FB7" w:rsidP="001748C6">
      <w:pPr>
        <w:keepLines/>
        <w:numPr>
          <w:ilvl w:val="0"/>
          <w:numId w:val="109"/>
        </w:numPr>
        <w:spacing w:before="40" w:after="40" w:line="240" w:lineRule="auto"/>
        <w:ind w:left="426"/>
        <w:jc w:val="both"/>
        <w:rPr>
          <w:rFonts w:ascii="Times New Roman" w:hAnsi="Times New Roman"/>
          <w:color w:val="000000" w:themeColor="text1"/>
        </w:rPr>
      </w:pPr>
      <w:r w:rsidRPr="00260790">
        <w:rPr>
          <w:rFonts w:ascii="Times New Roman" w:hAnsi="Times New Roman"/>
          <w:color w:val="000000" w:themeColor="text1"/>
        </w:rPr>
        <w:t>Les observations faites, les préoccupations exprimées et/ou les décisions prises concernant la gestion de l’environnement, de la santé et de la sécurité au cours des réunions sur le chantier ;</w:t>
      </w:r>
    </w:p>
    <w:p w14:paraId="268AD9D6" w14:textId="77777777" w:rsidR="005F3FB7" w:rsidRPr="00260790" w:rsidRDefault="005F3FB7" w:rsidP="001748C6">
      <w:pPr>
        <w:keepLines/>
        <w:numPr>
          <w:ilvl w:val="0"/>
          <w:numId w:val="109"/>
        </w:numPr>
        <w:spacing w:before="40" w:after="40" w:line="240" w:lineRule="auto"/>
        <w:ind w:left="426"/>
        <w:jc w:val="both"/>
        <w:rPr>
          <w:rFonts w:ascii="Times New Roman" w:hAnsi="Times New Roman"/>
          <w:color w:val="000000" w:themeColor="text1"/>
        </w:rPr>
      </w:pPr>
      <w:r w:rsidRPr="00260790">
        <w:rPr>
          <w:rFonts w:ascii="Times New Roman" w:hAnsi="Times New Roman"/>
          <w:color w:val="000000" w:themeColor="text1"/>
        </w:rPr>
        <w:t>Les découvertes archéologiques éventuelles ;</w:t>
      </w:r>
    </w:p>
    <w:p w14:paraId="37D3AEC0" w14:textId="77777777" w:rsidR="005F3FB7" w:rsidRPr="00260790" w:rsidRDefault="005F3FB7" w:rsidP="001748C6">
      <w:pPr>
        <w:keepLines/>
        <w:numPr>
          <w:ilvl w:val="0"/>
          <w:numId w:val="109"/>
        </w:numPr>
        <w:spacing w:before="40" w:after="40" w:line="240" w:lineRule="auto"/>
        <w:ind w:left="426"/>
        <w:jc w:val="both"/>
        <w:rPr>
          <w:rFonts w:ascii="Times New Roman" w:hAnsi="Times New Roman"/>
          <w:color w:val="000000" w:themeColor="text1"/>
        </w:rPr>
      </w:pPr>
      <w:r w:rsidRPr="00260790">
        <w:rPr>
          <w:rFonts w:ascii="Times New Roman" w:hAnsi="Times New Roman"/>
          <w:color w:val="000000" w:themeColor="text1"/>
        </w:rPr>
        <w:t xml:space="preserve">Le suivi de l’état et de l’efficacité des mesures de protection et/ou des mesures correctives identifiées dans les formulaires de notification d’incident ou par tout autre moyen ; </w:t>
      </w:r>
    </w:p>
    <w:p w14:paraId="4EE3C494" w14:textId="77777777" w:rsidR="005F3FB7" w:rsidRPr="00260790" w:rsidRDefault="005F3FB7" w:rsidP="001748C6">
      <w:pPr>
        <w:keepLines/>
        <w:numPr>
          <w:ilvl w:val="0"/>
          <w:numId w:val="109"/>
        </w:numPr>
        <w:spacing w:before="40" w:after="40" w:line="240" w:lineRule="auto"/>
        <w:ind w:left="426"/>
        <w:jc w:val="both"/>
        <w:rPr>
          <w:rFonts w:ascii="Times New Roman" w:hAnsi="Times New Roman"/>
          <w:color w:val="000000" w:themeColor="text1"/>
        </w:rPr>
      </w:pPr>
      <w:r w:rsidRPr="00260790">
        <w:rPr>
          <w:rFonts w:ascii="Times New Roman" w:hAnsi="Times New Roman"/>
          <w:color w:val="000000" w:themeColor="text1"/>
        </w:rPr>
        <w:t>Le suivi, notamment les mesures de protection, l’état des mesures et leur efficacité, concernant le non-respect des conditions contractuelles ;</w:t>
      </w:r>
    </w:p>
    <w:p w14:paraId="12F950E3" w14:textId="77777777" w:rsidR="005F3FB7" w:rsidRPr="00260790" w:rsidRDefault="005F3FB7" w:rsidP="001748C6">
      <w:pPr>
        <w:keepLines/>
        <w:numPr>
          <w:ilvl w:val="0"/>
          <w:numId w:val="109"/>
        </w:numPr>
        <w:spacing w:before="40" w:after="40" w:line="240" w:lineRule="auto"/>
        <w:ind w:left="426"/>
        <w:jc w:val="both"/>
        <w:rPr>
          <w:rFonts w:ascii="Times New Roman" w:hAnsi="Times New Roman"/>
          <w:color w:val="000000" w:themeColor="text1"/>
        </w:rPr>
      </w:pPr>
      <w:r w:rsidRPr="00260790">
        <w:rPr>
          <w:rFonts w:ascii="Times New Roman" w:hAnsi="Times New Roman"/>
          <w:color w:val="000000" w:themeColor="text1"/>
        </w:rPr>
        <w:t>L’état de mise en œuvre des mesures en rapport avec celles initialement prévues et présenter les nouvelles mesures prises en fonction des nécessités sur le terrain.</w:t>
      </w:r>
    </w:p>
    <w:p w14:paraId="12484186" w14:textId="77777777" w:rsidR="005F3FB7" w:rsidRPr="00260790" w:rsidRDefault="005F3FB7" w:rsidP="00E20250">
      <w:pPr>
        <w:spacing w:after="200" w:line="240" w:lineRule="auto"/>
        <w:ind w:left="576" w:hanging="576"/>
        <w:rPr>
          <w:rFonts w:ascii="Times New Roman" w:hAnsi="Times New Roman"/>
          <w:b/>
          <w:color w:val="000000" w:themeColor="text1"/>
        </w:rPr>
      </w:pPr>
      <w:r w:rsidRPr="00260790">
        <w:rPr>
          <w:rFonts w:ascii="Times New Roman" w:hAnsi="Times New Roman"/>
          <w:b/>
          <w:color w:val="000000" w:themeColor="text1"/>
        </w:rPr>
        <w:t>Contrôle de l’exécution des clauses environnementales et sociales</w:t>
      </w:r>
    </w:p>
    <w:p w14:paraId="79067736" w14:textId="77777777" w:rsidR="005F3FB7" w:rsidRPr="00260790" w:rsidRDefault="005F3FB7" w:rsidP="00E20250">
      <w:pPr>
        <w:spacing w:after="200" w:line="240" w:lineRule="auto"/>
        <w:jc w:val="both"/>
        <w:rPr>
          <w:rFonts w:ascii="Times New Roman" w:hAnsi="Times New Roman"/>
          <w:color w:val="000000" w:themeColor="text1"/>
        </w:rPr>
      </w:pPr>
      <w:r w:rsidRPr="00260790">
        <w:rPr>
          <w:rFonts w:ascii="Times New Roman" w:hAnsi="Times New Roman"/>
          <w:color w:val="000000" w:themeColor="text1"/>
        </w:rPr>
        <w:t>Le contrôle du respect et de l’effectivité de la mise en œuvre des clauses environnementales et sociales par l’Entrepreneur est effectué par le Maître d’œuvre, dont l’équipe doit comprendre un expert environnementaliste et un expert social qui feront partie intégrante de la mission de contrôle des travaux.</w:t>
      </w:r>
    </w:p>
    <w:p w14:paraId="08184D8A" w14:textId="07BB4920" w:rsidR="005F3FB7" w:rsidRPr="00260790" w:rsidRDefault="005F3FB7" w:rsidP="00E20250">
      <w:pPr>
        <w:spacing w:after="200" w:line="240" w:lineRule="auto"/>
        <w:ind w:left="576" w:hanging="576"/>
        <w:jc w:val="both"/>
        <w:rPr>
          <w:rFonts w:ascii="Times New Roman" w:hAnsi="Times New Roman"/>
          <w:b/>
          <w:color w:val="000000" w:themeColor="text1"/>
        </w:rPr>
      </w:pPr>
      <w:r w:rsidRPr="00260790">
        <w:rPr>
          <w:rFonts w:ascii="Times New Roman" w:hAnsi="Times New Roman"/>
          <w:b/>
          <w:color w:val="000000" w:themeColor="text1"/>
        </w:rPr>
        <w:t>Notification</w:t>
      </w:r>
    </w:p>
    <w:p w14:paraId="27636D31" w14:textId="77777777" w:rsidR="005F3FB7" w:rsidRPr="00260790" w:rsidRDefault="005F3FB7" w:rsidP="00E20250">
      <w:pPr>
        <w:spacing w:after="200" w:line="240" w:lineRule="auto"/>
        <w:jc w:val="both"/>
        <w:rPr>
          <w:rFonts w:ascii="Times New Roman" w:hAnsi="Times New Roman"/>
          <w:color w:val="000000" w:themeColor="text1"/>
        </w:rPr>
      </w:pPr>
      <w:r w:rsidRPr="00260790">
        <w:rPr>
          <w:rFonts w:ascii="Times New Roman" w:hAnsi="Times New Roman"/>
          <w:color w:val="000000" w:themeColor="text1"/>
        </w:rPr>
        <w:t>Le Maître d’œuvre notifie par écrit à l’Entrepreneur tous les cas de défaut ou non-exécution des mesures environnementales et sociales. L’Entrepreneur doit redresser tout manquement aux prescriptions dûment notifiées à lui par le Maître d’œuvre. La reprise des travaux ou les travaux supplémentaires découlant du non-respect des clauses sont à la charge de l’Entrepreneur.</w:t>
      </w:r>
    </w:p>
    <w:p w14:paraId="2C60C446" w14:textId="77777777" w:rsidR="005F3FB7" w:rsidRPr="00260790" w:rsidRDefault="005F3FB7" w:rsidP="00E20250">
      <w:pPr>
        <w:spacing w:after="200" w:line="240" w:lineRule="auto"/>
        <w:ind w:left="576" w:hanging="576"/>
        <w:jc w:val="both"/>
        <w:rPr>
          <w:rFonts w:ascii="Times New Roman" w:hAnsi="Times New Roman"/>
          <w:b/>
          <w:color w:val="000000" w:themeColor="text1"/>
        </w:rPr>
      </w:pPr>
      <w:r w:rsidRPr="00260790">
        <w:rPr>
          <w:rFonts w:ascii="Times New Roman" w:hAnsi="Times New Roman"/>
          <w:b/>
          <w:color w:val="000000" w:themeColor="text1"/>
        </w:rPr>
        <w:lastRenderedPageBreak/>
        <w:t>Sanction</w:t>
      </w:r>
    </w:p>
    <w:p w14:paraId="1756723F" w14:textId="77777777" w:rsidR="005F3FB7" w:rsidRPr="00260790" w:rsidRDefault="005F3FB7" w:rsidP="00E20250">
      <w:pPr>
        <w:spacing w:after="200" w:line="240" w:lineRule="auto"/>
        <w:jc w:val="both"/>
        <w:rPr>
          <w:rFonts w:ascii="Times New Roman" w:hAnsi="Times New Roman"/>
          <w:color w:val="000000" w:themeColor="text1"/>
        </w:rPr>
      </w:pPr>
      <w:r w:rsidRPr="00260790">
        <w:rPr>
          <w:rFonts w:ascii="Times New Roman" w:hAnsi="Times New Roman"/>
          <w:color w:val="000000" w:themeColor="text1"/>
        </w:rPr>
        <w:t>En application des dispositions contractuelles, le non-respect des clauses environnementales et sociales, dûment constaté par le Maître d’œuvre, peut être un motif de résiliation du contrat. L’Entrepreneur ayant fait l’objet d’une résiliation pour cause de non-application des clauses environnementales et sociales s’expose à des sanctions allant jusqu’à la suspension du droit de soumissionner pour une période déterminée par le Maître d’ouvrage, avec une réfaction sur le prix et un blocage de la retenue de garantie.</w:t>
      </w:r>
    </w:p>
    <w:p w14:paraId="6A6992EE" w14:textId="77777777" w:rsidR="005F3FB7" w:rsidRPr="00260790" w:rsidRDefault="005F3FB7" w:rsidP="00E20250">
      <w:pPr>
        <w:spacing w:before="160" w:line="240" w:lineRule="auto"/>
        <w:jc w:val="both"/>
        <w:rPr>
          <w:rFonts w:ascii="Times New Roman" w:eastAsia="MS Mincho" w:hAnsi="Times New Roman"/>
          <w:b/>
          <w:color w:val="000000" w:themeColor="text1"/>
          <w:lang w:eastAsia="ja-JP"/>
        </w:rPr>
      </w:pPr>
      <w:r w:rsidRPr="00260790">
        <w:rPr>
          <w:rFonts w:ascii="Times New Roman" w:eastAsia="MS Mincho" w:hAnsi="Times New Roman"/>
          <w:b/>
          <w:color w:val="000000" w:themeColor="text1"/>
          <w:lang w:eastAsia="ja-JP"/>
        </w:rPr>
        <w:t xml:space="preserve">Repli de chantier </w:t>
      </w:r>
    </w:p>
    <w:p w14:paraId="6F36AF91"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À toute libération de site, l'Entrepreneur laisse les lieux propres à leur affectation immédiate. Il ne peut être libéré de ses engagements et de sa responsabilité concernant leur usage sans qu'il ait formellement fait constater ce bon état. L'Entrepreneur réalisera tous les aménagements nécessaires à la remise en état des lieux. Il est tenu de replier tous ses équipements et matériaux et ne peut les abandonner sur le site ou les environs.</w:t>
      </w:r>
    </w:p>
    <w:p w14:paraId="1FFA383A" w14:textId="77777777" w:rsidR="005F3FB7" w:rsidRPr="00260790" w:rsidRDefault="005F3FB7" w:rsidP="0048082D">
      <w:pPr>
        <w:spacing w:before="160" w:after="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Une fois les travaux achevés, l’Entrepreneur doit :</w:t>
      </w:r>
    </w:p>
    <w:p w14:paraId="5D4BC7EF" w14:textId="77777777" w:rsidR="005F3FB7" w:rsidRPr="00260790" w:rsidRDefault="005F3FB7" w:rsidP="001748C6">
      <w:pPr>
        <w:widowControl w:val="0"/>
        <w:numPr>
          <w:ilvl w:val="0"/>
          <w:numId w:val="89"/>
        </w:numPr>
        <w:spacing w:after="0" w:line="240" w:lineRule="auto"/>
        <w:jc w:val="both"/>
        <w:rPr>
          <w:rFonts w:ascii="Times New Roman" w:eastAsia="MS Mincho" w:hAnsi="Times New Roman"/>
          <w:color w:val="000000" w:themeColor="text1"/>
          <w:lang w:eastAsia="ja-JP"/>
        </w:rPr>
      </w:pPr>
      <w:proofErr w:type="gramStart"/>
      <w:r w:rsidRPr="00260790">
        <w:rPr>
          <w:rFonts w:ascii="Times New Roman" w:eastAsia="MS Mincho" w:hAnsi="Times New Roman"/>
          <w:color w:val="000000" w:themeColor="text1"/>
          <w:lang w:eastAsia="ja-JP"/>
        </w:rPr>
        <w:t>retirer</w:t>
      </w:r>
      <w:proofErr w:type="gramEnd"/>
      <w:r w:rsidRPr="00260790">
        <w:rPr>
          <w:rFonts w:ascii="Times New Roman" w:eastAsia="MS Mincho" w:hAnsi="Times New Roman"/>
          <w:color w:val="000000" w:themeColor="text1"/>
          <w:lang w:eastAsia="ja-JP"/>
        </w:rPr>
        <w:t xml:space="preserve"> les bâtiments temporaires, le matériel, les déchets solides et liquides, les matériaux excédentaires, les clôtures, </w:t>
      </w:r>
      <w:proofErr w:type="gramStart"/>
      <w:r w:rsidRPr="00260790">
        <w:rPr>
          <w:rFonts w:ascii="Times New Roman" w:eastAsia="MS Mincho" w:hAnsi="Times New Roman"/>
          <w:color w:val="000000" w:themeColor="text1"/>
          <w:lang w:eastAsia="ja-JP"/>
        </w:rPr>
        <w:t>etc.;</w:t>
      </w:r>
      <w:proofErr w:type="gramEnd"/>
    </w:p>
    <w:p w14:paraId="3F4204E0" w14:textId="77777777" w:rsidR="005F3FB7" w:rsidRPr="00260790" w:rsidRDefault="005F3FB7" w:rsidP="001748C6">
      <w:pPr>
        <w:widowControl w:val="0"/>
        <w:numPr>
          <w:ilvl w:val="0"/>
          <w:numId w:val="89"/>
        </w:numPr>
        <w:spacing w:after="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 </w:t>
      </w:r>
      <w:proofErr w:type="gramStart"/>
      <w:r w:rsidRPr="00260790">
        <w:rPr>
          <w:rFonts w:ascii="Times New Roman" w:eastAsia="MS Mincho" w:hAnsi="Times New Roman"/>
          <w:color w:val="000000" w:themeColor="text1"/>
          <w:lang w:eastAsia="ja-JP"/>
        </w:rPr>
        <w:t>rectifier</w:t>
      </w:r>
      <w:proofErr w:type="gramEnd"/>
      <w:r w:rsidRPr="00260790">
        <w:rPr>
          <w:rFonts w:ascii="Times New Roman" w:eastAsia="MS Mincho" w:hAnsi="Times New Roman"/>
          <w:color w:val="000000" w:themeColor="text1"/>
          <w:lang w:eastAsia="ja-JP"/>
        </w:rPr>
        <w:t xml:space="preserve"> les défauts de drainage et régaler toutes les zones </w:t>
      </w:r>
      <w:proofErr w:type="gramStart"/>
      <w:r w:rsidRPr="00260790">
        <w:rPr>
          <w:rFonts w:ascii="Times New Roman" w:eastAsia="MS Mincho" w:hAnsi="Times New Roman"/>
          <w:color w:val="000000" w:themeColor="text1"/>
          <w:lang w:eastAsia="ja-JP"/>
        </w:rPr>
        <w:t>excavées;</w:t>
      </w:r>
      <w:proofErr w:type="gramEnd"/>
      <w:r w:rsidRPr="00260790">
        <w:rPr>
          <w:rFonts w:ascii="Times New Roman" w:eastAsia="MS Mincho" w:hAnsi="Times New Roman"/>
          <w:color w:val="000000" w:themeColor="text1"/>
          <w:lang w:eastAsia="ja-JP"/>
        </w:rPr>
        <w:t xml:space="preserve"> </w:t>
      </w:r>
    </w:p>
    <w:p w14:paraId="62C1D22D" w14:textId="77777777" w:rsidR="005F3FB7" w:rsidRPr="00260790" w:rsidRDefault="005F3FB7" w:rsidP="001748C6">
      <w:pPr>
        <w:widowControl w:val="0"/>
        <w:numPr>
          <w:ilvl w:val="0"/>
          <w:numId w:val="89"/>
        </w:numPr>
        <w:spacing w:after="0" w:line="240" w:lineRule="auto"/>
        <w:jc w:val="both"/>
        <w:rPr>
          <w:rFonts w:ascii="Times New Roman" w:eastAsia="MS Mincho" w:hAnsi="Times New Roman"/>
          <w:color w:val="000000" w:themeColor="text1"/>
          <w:lang w:eastAsia="ja-JP"/>
        </w:rPr>
      </w:pPr>
      <w:proofErr w:type="gramStart"/>
      <w:r w:rsidRPr="00260790">
        <w:rPr>
          <w:rFonts w:ascii="Times New Roman" w:eastAsia="MS Mincho" w:hAnsi="Times New Roman"/>
          <w:color w:val="000000" w:themeColor="text1"/>
          <w:lang w:eastAsia="ja-JP"/>
        </w:rPr>
        <w:t>reboiser</w:t>
      </w:r>
      <w:proofErr w:type="gramEnd"/>
      <w:r w:rsidRPr="00260790">
        <w:rPr>
          <w:rFonts w:ascii="Times New Roman" w:eastAsia="MS Mincho" w:hAnsi="Times New Roman"/>
          <w:color w:val="000000" w:themeColor="text1"/>
          <w:lang w:eastAsia="ja-JP"/>
        </w:rPr>
        <w:t xml:space="preserve"> les zones initialement déboisées avec des espèces appropriées, en rapport avec les services forestiers locaux ;</w:t>
      </w:r>
    </w:p>
    <w:p w14:paraId="40A8E928" w14:textId="77777777" w:rsidR="005F3FB7" w:rsidRPr="00260790" w:rsidRDefault="005F3FB7" w:rsidP="001748C6">
      <w:pPr>
        <w:widowControl w:val="0"/>
        <w:numPr>
          <w:ilvl w:val="0"/>
          <w:numId w:val="89"/>
        </w:numPr>
        <w:spacing w:after="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 </w:t>
      </w:r>
      <w:proofErr w:type="gramStart"/>
      <w:r w:rsidRPr="00260790">
        <w:rPr>
          <w:rFonts w:ascii="Times New Roman" w:eastAsia="MS Mincho" w:hAnsi="Times New Roman"/>
          <w:color w:val="000000" w:themeColor="text1"/>
          <w:lang w:eastAsia="ja-JP"/>
        </w:rPr>
        <w:t>protéger</w:t>
      </w:r>
      <w:proofErr w:type="gramEnd"/>
      <w:r w:rsidRPr="00260790">
        <w:rPr>
          <w:rFonts w:ascii="Times New Roman" w:eastAsia="MS Mincho" w:hAnsi="Times New Roman"/>
          <w:color w:val="000000" w:themeColor="text1"/>
          <w:lang w:eastAsia="ja-JP"/>
        </w:rPr>
        <w:t xml:space="preserve"> les ouvrages restés dangereux (puits, tranchées ouvertes, dénivelés, saillies, etc.) ; </w:t>
      </w:r>
    </w:p>
    <w:p w14:paraId="2B057115" w14:textId="77777777" w:rsidR="005F3FB7" w:rsidRPr="00260790" w:rsidRDefault="005F3FB7" w:rsidP="001748C6">
      <w:pPr>
        <w:widowControl w:val="0"/>
        <w:numPr>
          <w:ilvl w:val="0"/>
          <w:numId w:val="89"/>
        </w:numPr>
        <w:spacing w:after="0" w:line="240" w:lineRule="auto"/>
        <w:jc w:val="both"/>
        <w:rPr>
          <w:rFonts w:ascii="Times New Roman" w:eastAsia="MS Mincho" w:hAnsi="Times New Roman"/>
          <w:color w:val="000000" w:themeColor="text1"/>
          <w:lang w:eastAsia="ja-JP"/>
        </w:rPr>
      </w:pPr>
      <w:proofErr w:type="gramStart"/>
      <w:r w:rsidRPr="00260790">
        <w:rPr>
          <w:rFonts w:ascii="Times New Roman" w:eastAsia="MS Mincho" w:hAnsi="Times New Roman"/>
          <w:color w:val="000000" w:themeColor="text1"/>
          <w:lang w:eastAsia="ja-JP"/>
        </w:rPr>
        <w:t>rendre</w:t>
      </w:r>
      <w:proofErr w:type="gramEnd"/>
      <w:r w:rsidRPr="00260790">
        <w:rPr>
          <w:rFonts w:ascii="Times New Roman" w:eastAsia="MS Mincho" w:hAnsi="Times New Roman"/>
          <w:color w:val="000000" w:themeColor="text1"/>
          <w:lang w:eastAsia="ja-JP"/>
        </w:rPr>
        <w:t xml:space="preserve"> fonctionnels les chaussées, trottoirs, caniveaux, rampes et autres ouvrages rendus au service public ;</w:t>
      </w:r>
    </w:p>
    <w:p w14:paraId="0AD00C66" w14:textId="77777777" w:rsidR="005F3FB7" w:rsidRPr="00260790" w:rsidRDefault="005F3FB7" w:rsidP="001748C6">
      <w:pPr>
        <w:widowControl w:val="0"/>
        <w:numPr>
          <w:ilvl w:val="0"/>
          <w:numId w:val="89"/>
        </w:numPr>
        <w:spacing w:after="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 </w:t>
      </w:r>
      <w:proofErr w:type="gramStart"/>
      <w:r w:rsidRPr="00260790">
        <w:rPr>
          <w:rFonts w:ascii="Times New Roman" w:eastAsia="MS Mincho" w:hAnsi="Times New Roman"/>
          <w:color w:val="000000" w:themeColor="text1"/>
          <w:lang w:eastAsia="ja-JP"/>
        </w:rPr>
        <w:t>décontaminer</w:t>
      </w:r>
      <w:proofErr w:type="gramEnd"/>
      <w:r w:rsidRPr="00260790">
        <w:rPr>
          <w:rFonts w:ascii="Times New Roman" w:eastAsia="MS Mincho" w:hAnsi="Times New Roman"/>
          <w:color w:val="000000" w:themeColor="text1"/>
          <w:lang w:eastAsia="ja-JP"/>
        </w:rPr>
        <w:t xml:space="preserve"> les sols souillés (les parties contaminées doivent être décaissées et remblayées par du sable) ; </w:t>
      </w:r>
    </w:p>
    <w:p w14:paraId="6A784965" w14:textId="77777777" w:rsidR="005F3FB7" w:rsidRPr="00260790" w:rsidRDefault="005F3FB7" w:rsidP="001748C6">
      <w:pPr>
        <w:widowControl w:val="0"/>
        <w:numPr>
          <w:ilvl w:val="0"/>
          <w:numId w:val="89"/>
        </w:numPr>
        <w:spacing w:after="0" w:line="240" w:lineRule="auto"/>
        <w:jc w:val="both"/>
        <w:rPr>
          <w:rFonts w:ascii="Times New Roman" w:eastAsia="MS Mincho" w:hAnsi="Times New Roman"/>
          <w:color w:val="000000" w:themeColor="text1"/>
          <w:lang w:eastAsia="ja-JP"/>
        </w:rPr>
      </w:pPr>
      <w:proofErr w:type="gramStart"/>
      <w:r w:rsidRPr="00260790">
        <w:rPr>
          <w:rFonts w:ascii="Times New Roman" w:eastAsia="MS Mincho" w:hAnsi="Times New Roman"/>
          <w:color w:val="000000" w:themeColor="text1"/>
          <w:lang w:eastAsia="ja-JP"/>
        </w:rPr>
        <w:t>nettoyer</w:t>
      </w:r>
      <w:proofErr w:type="gramEnd"/>
      <w:r w:rsidRPr="00260790">
        <w:rPr>
          <w:rFonts w:ascii="Times New Roman" w:eastAsia="MS Mincho" w:hAnsi="Times New Roman"/>
          <w:color w:val="000000" w:themeColor="text1"/>
          <w:lang w:eastAsia="ja-JP"/>
        </w:rPr>
        <w:t xml:space="preserve"> et détruire les fosses de vidange. </w:t>
      </w:r>
    </w:p>
    <w:p w14:paraId="23A48534"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 xml:space="preserve">S'il est de l'intérêt du Maître d’Ouvrage ou des collectivités territoriales de récupérer les installations fixes pour une utilisation future, l'Entrepreneur doit les céder sans dédommagements lors du repli. Les installations permanentes qui ont été endommagées doivent être réparées par l’Entrepreneur et remises dans un état équivalent à ce qu’elles étaient avant le début des travaux. Les voies d’accès devront être remises à leur état initial. Partout où le sol a été compacté (aires de travail, voies de circulation, etc.), l’Entrepreneur doit scarifier le sol sur au moins 15 cm de profondeur pour faciliter la régénération de la végétation. Les revêtements de béton, les pavés et les dalles doivent être enlevés et les sites recouverts de terre et envoyés aux sites de rejet autorisés. </w:t>
      </w:r>
    </w:p>
    <w:p w14:paraId="7996E9BD"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En cas de défaillance de l'Entrepreneur pour l'exécution des travaux de remise en état, ceux-ci sont effectués par une entreprise du choix du Maître d’Ouvrage, en rapport avec les services concernés et aux frais du défaillant.</w:t>
      </w:r>
    </w:p>
    <w:p w14:paraId="2D91ED4D" w14:textId="77777777" w:rsidR="005F3FB7" w:rsidRPr="00260790" w:rsidRDefault="005F3FB7" w:rsidP="00E20250">
      <w:pPr>
        <w:spacing w:before="16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Après le repli de tout le matériel, un procès-verbal constatant la remise en état du site doit être dressé et joint au procès-verbal de réception des travaux. La non-remise en état des lieux doit entrainer le refus de réception des travaux. Dans ce cas, le pourcentage non encore libéré du montant du poste « installation de chantier » sera retenu pour servir à assurer le repli de chantier.</w:t>
      </w:r>
    </w:p>
    <w:p w14:paraId="52495D57" w14:textId="77777777" w:rsidR="005F3FB7" w:rsidRPr="00260790" w:rsidRDefault="005F3FB7" w:rsidP="00E20250">
      <w:pPr>
        <w:spacing w:after="0" w:line="240" w:lineRule="auto"/>
        <w:jc w:val="both"/>
        <w:rPr>
          <w:rFonts w:ascii="Times New Roman" w:eastAsia="MS Mincho" w:hAnsi="Times New Roman"/>
          <w:color w:val="000000" w:themeColor="text1"/>
          <w:lang w:eastAsia="ja-JP"/>
        </w:rPr>
      </w:pPr>
      <w:r w:rsidRPr="00260790">
        <w:rPr>
          <w:rFonts w:ascii="Times New Roman" w:eastAsia="MS Mincho" w:hAnsi="Times New Roman"/>
          <w:color w:val="000000" w:themeColor="text1"/>
          <w:lang w:eastAsia="ja-JP"/>
        </w:rPr>
        <w:t>Lors du démantèlement d’ouvrages en milieux instables, l’Entrepreneur doit prendre les précautions suivantes pour ne pas accentuer l’instabilité du sol :</w:t>
      </w:r>
    </w:p>
    <w:p w14:paraId="638EBF8D" w14:textId="77777777" w:rsidR="005F3FB7" w:rsidRPr="00260790" w:rsidRDefault="005F3FB7" w:rsidP="001748C6">
      <w:pPr>
        <w:widowControl w:val="0"/>
        <w:numPr>
          <w:ilvl w:val="0"/>
          <w:numId w:val="90"/>
        </w:numPr>
        <w:spacing w:after="0" w:line="240" w:lineRule="auto"/>
        <w:jc w:val="both"/>
        <w:rPr>
          <w:rFonts w:ascii="Times New Roman" w:eastAsia="MS Mincho" w:hAnsi="Times New Roman"/>
          <w:color w:val="000000" w:themeColor="text1"/>
          <w:lang w:eastAsia="ja-JP"/>
        </w:rPr>
      </w:pPr>
      <w:proofErr w:type="gramStart"/>
      <w:r w:rsidRPr="00260790">
        <w:rPr>
          <w:rFonts w:ascii="Times New Roman" w:eastAsia="MS Mincho" w:hAnsi="Times New Roman"/>
          <w:color w:val="000000" w:themeColor="text1"/>
          <w:lang w:eastAsia="ja-JP"/>
        </w:rPr>
        <w:t>éviter</w:t>
      </w:r>
      <w:proofErr w:type="gramEnd"/>
      <w:r w:rsidRPr="00260790">
        <w:rPr>
          <w:rFonts w:ascii="Times New Roman" w:eastAsia="MS Mincho" w:hAnsi="Times New Roman"/>
          <w:color w:val="000000" w:themeColor="text1"/>
          <w:lang w:eastAsia="ja-JP"/>
        </w:rPr>
        <w:t xml:space="preserve"> toute circulation lourde et toute surcharge dans la zone d’instabilité ;</w:t>
      </w:r>
    </w:p>
    <w:p w14:paraId="7657621B" w14:textId="77777777" w:rsidR="005F3FB7" w:rsidRPr="00260790" w:rsidRDefault="005F3FB7" w:rsidP="001748C6">
      <w:pPr>
        <w:widowControl w:val="0"/>
        <w:numPr>
          <w:ilvl w:val="0"/>
          <w:numId w:val="90"/>
        </w:numPr>
        <w:spacing w:after="0" w:line="240" w:lineRule="auto"/>
        <w:jc w:val="both"/>
        <w:rPr>
          <w:rFonts w:ascii="Times New Roman" w:eastAsia="MS Mincho" w:hAnsi="Times New Roman"/>
          <w:color w:val="000000" w:themeColor="text1"/>
          <w:lang w:eastAsia="ja-JP"/>
        </w:rPr>
      </w:pPr>
      <w:proofErr w:type="gramStart"/>
      <w:r w:rsidRPr="00260790">
        <w:rPr>
          <w:rFonts w:ascii="Times New Roman" w:eastAsia="MS Mincho" w:hAnsi="Times New Roman"/>
          <w:color w:val="000000" w:themeColor="text1"/>
          <w:lang w:eastAsia="ja-JP"/>
        </w:rPr>
        <w:t>conserver</w:t>
      </w:r>
      <w:proofErr w:type="gramEnd"/>
      <w:r w:rsidRPr="00260790">
        <w:rPr>
          <w:rFonts w:ascii="Times New Roman" w:eastAsia="MS Mincho" w:hAnsi="Times New Roman"/>
          <w:color w:val="000000" w:themeColor="text1"/>
          <w:lang w:eastAsia="ja-JP"/>
        </w:rPr>
        <w:t xml:space="preserve"> autant que possible le couvert végétal ou reconstituer celui-ci en utilisant des espèces locales appropriées en cas de risques d’érosion.</w:t>
      </w:r>
    </w:p>
    <w:p w14:paraId="115B9681" w14:textId="77777777" w:rsidR="005F3FB7" w:rsidRPr="00260790" w:rsidRDefault="005F3FB7" w:rsidP="00E20250">
      <w:pPr>
        <w:spacing w:after="200" w:line="240" w:lineRule="auto"/>
        <w:jc w:val="both"/>
        <w:rPr>
          <w:rFonts w:ascii="Times New Roman" w:hAnsi="Times New Roman"/>
          <w:b/>
          <w:color w:val="000000" w:themeColor="text1"/>
        </w:rPr>
      </w:pPr>
      <w:r w:rsidRPr="00260790">
        <w:rPr>
          <w:rFonts w:ascii="Times New Roman" w:hAnsi="Times New Roman"/>
          <w:b/>
          <w:color w:val="000000" w:themeColor="text1"/>
        </w:rPr>
        <w:t xml:space="preserve">Réception des travaux </w:t>
      </w:r>
    </w:p>
    <w:p w14:paraId="01A98D89" w14:textId="77777777" w:rsidR="005F3FB7" w:rsidRPr="00260790" w:rsidRDefault="005F3FB7" w:rsidP="00E20250">
      <w:pPr>
        <w:spacing w:after="200" w:line="240" w:lineRule="auto"/>
        <w:jc w:val="both"/>
        <w:rPr>
          <w:rFonts w:ascii="Times New Roman" w:hAnsi="Times New Roman"/>
          <w:color w:val="000000" w:themeColor="text1"/>
        </w:rPr>
      </w:pPr>
      <w:r w:rsidRPr="00260790">
        <w:rPr>
          <w:rFonts w:ascii="Times New Roman" w:hAnsi="Times New Roman"/>
          <w:color w:val="000000" w:themeColor="text1"/>
        </w:rPr>
        <w:t xml:space="preserve">Le non-respect des présentes clauses environnementales expose l’Entrepreneur au refus de réception provisoire ou définitive des travaux, par la Commission de réception. L’exécution de chaque mesure environnementale et sociale peut faire l’objet d’une réception partielle impliquant les services compétents concernés. </w:t>
      </w:r>
    </w:p>
    <w:p w14:paraId="60A77CDC" w14:textId="77777777" w:rsidR="005F3FB7" w:rsidRPr="00260790" w:rsidRDefault="005F3FB7" w:rsidP="00E20250">
      <w:pPr>
        <w:spacing w:after="200" w:line="240" w:lineRule="auto"/>
        <w:ind w:left="576" w:hanging="576"/>
        <w:jc w:val="both"/>
        <w:rPr>
          <w:rFonts w:ascii="Times New Roman" w:hAnsi="Times New Roman"/>
          <w:b/>
          <w:color w:val="000000" w:themeColor="text1"/>
        </w:rPr>
      </w:pPr>
      <w:r w:rsidRPr="00260790">
        <w:rPr>
          <w:rFonts w:ascii="Times New Roman" w:hAnsi="Times New Roman"/>
          <w:b/>
          <w:color w:val="000000" w:themeColor="text1"/>
        </w:rPr>
        <w:lastRenderedPageBreak/>
        <w:t>Obligations au titre de la garantie</w:t>
      </w:r>
    </w:p>
    <w:p w14:paraId="146DF7B1" w14:textId="77777777" w:rsidR="005F3FB7" w:rsidRPr="00260790" w:rsidRDefault="005F3FB7" w:rsidP="00E20250">
      <w:pPr>
        <w:spacing w:after="200" w:line="240" w:lineRule="auto"/>
        <w:jc w:val="both"/>
        <w:rPr>
          <w:rFonts w:ascii="Times New Roman" w:hAnsi="Times New Roman"/>
          <w:color w:val="000000" w:themeColor="text1"/>
        </w:rPr>
      </w:pPr>
      <w:r w:rsidRPr="00260790">
        <w:rPr>
          <w:rFonts w:ascii="Times New Roman" w:hAnsi="Times New Roman"/>
          <w:color w:val="000000" w:themeColor="text1"/>
        </w:rPr>
        <w:t xml:space="preserve">Les obligations de l’Entrepreneur courent jusqu’à la réception définitive des travaux qui ne sera acquise qu’après complète exécution des travaux d’amélioration de l’environnement prévus au contrat. </w:t>
      </w:r>
    </w:p>
    <w:p w14:paraId="59C3F23A" w14:textId="42FD2A6A" w:rsidR="005F3FB7" w:rsidRPr="00260790" w:rsidRDefault="005F3FB7" w:rsidP="001748C6">
      <w:pPr>
        <w:numPr>
          <w:ilvl w:val="0"/>
          <w:numId w:val="96"/>
        </w:numPr>
        <w:spacing w:line="240" w:lineRule="auto"/>
        <w:jc w:val="both"/>
        <w:rPr>
          <w:rFonts w:ascii="Times New Roman" w:hAnsi="Times New Roman"/>
          <w:b/>
          <w:color w:val="000000" w:themeColor="text1"/>
        </w:rPr>
      </w:pPr>
      <w:bookmarkStart w:id="2633" w:name="_Toc55559810"/>
      <w:bookmarkStart w:id="2634" w:name="_Toc69115781"/>
      <w:r w:rsidRPr="00260790">
        <w:rPr>
          <w:rFonts w:ascii="Times New Roman" w:hAnsi="Times New Roman"/>
          <w:b/>
          <w:color w:val="000000" w:themeColor="text1"/>
        </w:rPr>
        <w:t>SUIVI DE LA MISE EN ŒUVRE DU PGES CHANTIER ET DU PHS</w:t>
      </w:r>
      <w:bookmarkEnd w:id="2633"/>
      <w:bookmarkEnd w:id="2634"/>
    </w:p>
    <w:p w14:paraId="4D308C5D" w14:textId="77777777" w:rsidR="005F3FB7" w:rsidRPr="00260790" w:rsidRDefault="005F3FB7" w:rsidP="00E20250">
      <w:pPr>
        <w:spacing w:line="240" w:lineRule="auto"/>
        <w:rPr>
          <w:rFonts w:ascii="Times New Roman" w:hAnsi="Times New Roman"/>
          <w:b/>
          <w:color w:val="000000" w:themeColor="text1"/>
        </w:rPr>
      </w:pPr>
      <w:bookmarkStart w:id="2635" w:name="_Toc69115782"/>
      <w:r w:rsidRPr="00260790">
        <w:rPr>
          <w:rFonts w:ascii="Times New Roman" w:hAnsi="Times New Roman"/>
          <w:b/>
          <w:color w:val="000000" w:themeColor="text1"/>
        </w:rPr>
        <w:t>Activités de surveillance environnementale et sociale</w:t>
      </w:r>
      <w:bookmarkEnd w:id="2635"/>
    </w:p>
    <w:p w14:paraId="5A8597D6" w14:textId="77777777" w:rsidR="005F3FB7" w:rsidRPr="00260790" w:rsidRDefault="005F3FB7" w:rsidP="00E20250">
      <w:pPr>
        <w:keepLines/>
        <w:spacing w:after="200" w:line="240" w:lineRule="auto"/>
        <w:jc w:val="both"/>
        <w:rPr>
          <w:rFonts w:ascii="Times New Roman" w:hAnsi="Times New Roman"/>
          <w:color w:val="000000" w:themeColor="text1"/>
        </w:rPr>
      </w:pPr>
      <w:r w:rsidRPr="00260790">
        <w:rPr>
          <w:rFonts w:ascii="Times New Roman" w:hAnsi="Times New Roman"/>
          <w:color w:val="000000" w:themeColor="text1"/>
        </w:rPr>
        <w:t>Il sera demandé à l’Ingénieur, et plus particulièrement à son représentant pour la supervision environnementale et sociale, l’Expert Environnement hygiène et Sécurité et l’Expert en ingénierie sociale et Genre, d'assurer formellement la surveillance environnementale et sociale du Projet, sur la base des activités suivantes :</w:t>
      </w:r>
    </w:p>
    <w:p w14:paraId="521ED498" w14:textId="77777777" w:rsidR="005F3FB7" w:rsidRPr="00260790" w:rsidRDefault="005F3FB7" w:rsidP="001748C6">
      <w:pPr>
        <w:keepLines/>
        <w:numPr>
          <w:ilvl w:val="0"/>
          <w:numId w:val="93"/>
        </w:numPr>
        <w:spacing w:after="200" w:line="240" w:lineRule="auto"/>
        <w:jc w:val="both"/>
        <w:rPr>
          <w:rFonts w:ascii="Times New Roman" w:hAnsi="Times New Roman"/>
          <w:color w:val="000000" w:themeColor="text1"/>
        </w:rPr>
      </w:pPr>
      <w:r w:rsidRPr="00260790">
        <w:rPr>
          <w:rFonts w:ascii="Times New Roman" w:hAnsi="Times New Roman"/>
          <w:color w:val="000000" w:themeColor="text1"/>
        </w:rPr>
        <w:t>Visites d’inspection régulière des chantiers ;</w:t>
      </w:r>
    </w:p>
    <w:p w14:paraId="03CE9B9F" w14:textId="77777777" w:rsidR="005F3FB7" w:rsidRPr="00260790" w:rsidRDefault="005F3FB7" w:rsidP="001748C6">
      <w:pPr>
        <w:keepLines/>
        <w:numPr>
          <w:ilvl w:val="0"/>
          <w:numId w:val="93"/>
        </w:numPr>
        <w:spacing w:after="200" w:line="240" w:lineRule="auto"/>
        <w:jc w:val="both"/>
        <w:rPr>
          <w:rFonts w:ascii="Times New Roman" w:hAnsi="Times New Roman"/>
          <w:color w:val="000000" w:themeColor="text1"/>
        </w:rPr>
      </w:pPr>
      <w:r w:rsidRPr="00260790">
        <w:rPr>
          <w:rFonts w:ascii="Times New Roman" w:hAnsi="Times New Roman"/>
          <w:color w:val="000000" w:themeColor="text1"/>
        </w:rPr>
        <w:t>Revue et approbation du PGES de Chantier et du PHS ;</w:t>
      </w:r>
    </w:p>
    <w:p w14:paraId="2834D26B" w14:textId="77777777" w:rsidR="005F3FB7" w:rsidRPr="00260790" w:rsidRDefault="005F3FB7" w:rsidP="001748C6">
      <w:pPr>
        <w:keepLines/>
        <w:numPr>
          <w:ilvl w:val="0"/>
          <w:numId w:val="93"/>
        </w:numPr>
        <w:spacing w:after="200" w:line="240" w:lineRule="auto"/>
        <w:jc w:val="both"/>
        <w:rPr>
          <w:rFonts w:ascii="Times New Roman" w:hAnsi="Times New Roman"/>
          <w:color w:val="000000" w:themeColor="text1"/>
        </w:rPr>
      </w:pPr>
      <w:r w:rsidRPr="00260790">
        <w:rPr>
          <w:rFonts w:ascii="Times New Roman" w:hAnsi="Times New Roman"/>
          <w:color w:val="000000" w:themeColor="text1"/>
        </w:rPr>
        <w:t>Évaluation et approbation des opérateurs sous-traitants de l’Entrepreneur pour les mesures d’accompagnement ;</w:t>
      </w:r>
    </w:p>
    <w:p w14:paraId="0D791A6E" w14:textId="77777777" w:rsidR="005F3FB7" w:rsidRPr="00260790" w:rsidRDefault="005F3FB7" w:rsidP="001748C6">
      <w:pPr>
        <w:keepLines/>
        <w:numPr>
          <w:ilvl w:val="0"/>
          <w:numId w:val="93"/>
        </w:numPr>
        <w:spacing w:after="200" w:line="240" w:lineRule="auto"/>
        <w:jc w:val="both"/>
        <w:rPr>
          <w:rFonts w:ascii="Times New Roman" w:hAnsi="Times New Roman"/>
          <w:color w:val="000000" w:themeColor="text1"/>
        </w:rPr>
      </w:pPr>
      <w:r w:rsidRPr="00260790">
        <w:rPr>
          <w:rFonts w:ascii="Times New Roman" w:hAnsi="Times New Roman"/>
          <w:color w:val="000000" w:themeColor="text1"/>
        </w:rPr>
        <w:t>Documenter les fiches de surveillance de base-vie et base-chantier, de chantiers et travaux, de carrière et de site d’emprunt ;</w:t>
      </w:r>
    </w:p>
    <w:p w14:paraId="79F7B357" w14:textId="77777777" w:rsidR="005F3FB7" w:rsidRPr="00260790" w:rsidRDefault="005F3FB7" w:rsidP="001748C6">
      <w:pPr>
        <w:keepLines/>
        <w:numPr>
          <w:ilvl w:val="0"/>
          <w:numId w:val="93"/>
        </w:numPr>
        <w:spacing w:after="200" w:line="240" w:lineRule="auto"/>
        <w:jc w:val="both"/>
        <w:rPr>
          <w:rFonts w:ascii="Times New Roman" w:hAnsi="Times New Roman"/>
          <w:color w:val="000000" w:themeColor="text1"/>
        </w:rPr>
      </w:pPr>
      <w:r w:rsidRPr="00260790">
        <w:rPr>
          <w:rFonts w:ascii="Times New Roman" w:hAnsi="Times New Roman"/>
          <w:color w:val="000000" w:themeColor="text1"/>
        </w:rPr>
        <w:t>Rédaction du chapitre Environnement, Social, Hygiène, Santé et Sécurité dans les rapports périodiques de chantier ;</w:t>
      </w:r>
    </w:p>
    <w:p w14:paraId="2EA81874" w14:textId="77777777" w:rsidR="005F3FB7" w:rsidRPr="00260790" w:rsidRDefault="005F3FB7" w:rsidP="001748C6">
      <w:pPr>
        <w:keepLines/>
        <w:numPr>
          <w:ilvl w:val="0"/>
          <w:numId w:val="93"/>
        </w:numPr>
        <w:spacing w:after="200" w:line="240" w:lineRule="auto"/>
        <w:jc w:val="both"/>
        <w:rPr>
          <w:rFonts w:ascii="Times New Roman" w:hAnsi="Times New Roman"/>
          <w:color w:val="000000" w:themeColor="text1"/>
        </w:rPr>
      </w:pPr>
      <w:r w:rsidRPr="00260790">
        <w:rPr>
          <w:rFonts w:ascii="Times New Roman" w:hAnsi="Times New Roman"/>
          <w:color w:val="000000" w:themeColor="text1"/>
        </w:rPr>
        <w:t>Audit de conformité environnementale et sociale de fin de chantier et réception environnementale et sociale (finale) des travaux.</w:t>
      </w:r>
    </w:p>
    <w:p w14:paraId="01BED9C2" w14:textId="77777777" w:rsidR="005F3FB7" w:rsidRPr="00260790" w:rsidRDefault="005F3FB7" w:rsidP="00E20250">
      <w:pPr>
        <w:spacing w:line="240" w:lineRule="auto"/>
        <w:rPr>
          <w:rFonts w:ascii="Times New Roman" w:hAnsi="Times New Roman"/>
          <w:b/>
          <w:color w:val="000000" w:themeColor="text1"/>
        </w:rPr>
      </w:pPr>
      <w:bookmarkStart w:id="2636" w:name="_Toc69115783"/>
      <w:r w:rsidRPr="00260790">
        <w:rPr>
          <w:rFonts w:ascii="Times New Roman" w:hAnsi="Times New Roman"/>
          <w:b/>
          <w:color w:val="000000" w:themeColor="text1"/>
        </w:rPr>
        <w:t>Rapports de surveillance environnementale et sociale</w:t>
      </w:r>
      <w:bookmarkEnd w:id="2636"/>
    </w:p>
    <w:p w14:paraId="11B4A31F" w14:textId="77777777" w:rsidR="005F3FB7" w:rsidRPr="00260790" w:rsidRDefault="005F3FB7" w:rsidP="00E20250">
      <w:pPr>
        <w:keepLines/>
        <w:spacing w:after="200" w:line="240" w:lineRule="auto"/>
        <w:rPr>
          <w:rFonts w:ascii="Times New Roman" w:hAnsi="Times New Roman"/>
          <w:color w:val="000000" w:themeColor="text1"/>
        </w:rPr>
      </w:pPr>
      <w:r w:rsidRPr="00260790">
        <w:rPr>
          <w:rFonts w:ascii="Times New Roman" w:hAnsi="Times New Roman"/>
          <w:color w:val="000000" w:themeColor="text1"/>
        </w:rPr>
        <w:t>Les indicateurs de surveillance seront renseignés sur la mise en œuvre des mesures préconisées par le PGES Chantier, le PHS, le PGES et le PAR.</w:t>
      </w:r>
    </w:p>
    <w:p w14:paraId="59E2A638" w14:textId="77777777" w:rsidR="005F3FB7" w:rsidRPr="00260790" w:rsidRDefault="005F3FB7" w:rsidP="00E20250">
      <w:pPr>
        <w:keepLines/>
        <w:spacing w:after="200" w:line="240" w:lineRule="auto"/>
        <w:jc w:val="both"/>
        <w:rPr>
          <w:rFonts w:ascii="Times New Roman" w:hAnsi="Times New Roman"/>
          <w:color w:val="000000" w:themeColor="text1"/>
        </w:rPr>
      </w:pPr>
      <w:r w:rsidRPr="00260790">
        <w:rPr>
          <w:rFonts w:ascii="Times New Roman" w:hAnsi="Times New Roman"/>
          <w:color w:val="000000" w:themeColor="text1"/>
        </w:rPr>
        <w:t>L’Environnementaliste, l’Expert hygiène et Sécurité et l’Expert en ingénierie sociale et Genre seront chargés d’élaborer le chapitre « Environnement, Social, Hygiène, Santé et Sécurité » du rapport de chantier sur la base d’observation de terrains et de discussions avec les parties prenantes.</w:t>
      </w:r>
    </w:p>
    <w:p w14:paraId="670F8789" w14:textId="77777777" w:rsidR="005F3FB7" w:rsidRPr="00260790" w:rsidRDefault="005F3FB7" w:rsidP="00E20250">
      <w:pPr>
        <w:keepLines/>
        <w:spacing w:after="200" w:line="240" w:lineRule="auto"/>
        <w:jc w:val="both"/>
        <w:rPr>
          <w:rFonts w:ascii="Times New Roman" w:hAnsi="Times New Roman"/>
          <w:color w:val="000000" w:themeColor="text1"/>
        </w:rPr>
      </w:pPr>
      <w:r w:rsidRPr="00260790">
        <w:rPr>
          <w:rFonts w:ascii="Times New Roman" w:hAnsi="Times New Roman"/>
          <w:color w:val="000000" w:themeColor="text1"/>
        </w:rPr>
        <w:t>En ce qui concerne la surveillance environnementale et sociale des travaux, la documentation environnementale et sociale comprendra une série de fiches d’inspection regroupées en trois registres : registres des base-vie et installations fixes, registre des emprunts, registre des chantiers qui seront préparés en fonction des réalités de terrain.</w:t>
      </w:r>
    </w:p>
    <w:p w14:paraId="59CF80C3" w14:textId="77777777" w:rsidR="005F3FB7" w:rsidRPr="00260790" w:rsidRDefault="005F3FB7" w:rsidP="00E20250">
      <w:pPr>
        <w:keepLines/>
        <w:spacing w:after="200" w:line="240" w:lineRule="auto"/>
        <w:ind w:left="576" w:hanging="576"/>
        <w:jc w:val="both"/>
        <w:rPr>
          <w:rFonts w:ascii="Times New Roman" w:hAnsi="Times New Roman"/>
          <w:color w:val="000000" w:themeColor="text1"/>
        </w:rPr>
      </w:pPr>
      <w:r w:rsidRPr="00260790">
        <w:rPr>
          <w:rFonts w:ascii="Times New Roman" w:hAnsi="Times New Roman"/>
          <w:color w:val="000000" w:themeColor="text1"/>
        </w:rPr>
        <w:t>La partie environnementale et sociale du rapport de chantier sera présentée selon le canevas suivant :</w:t>
      </w:r>
    </w:p>
    <w:p w14:paraId="088BAB8F" w14:textId="77777777" w:rsidR="005F3FB7" w:rsidRPr="00260790" w:rsidRDefault="005F3FB7" w:rsidP="001748C6">
      <w:pPr>
        <w:keepLines/>
        <w:numPr>
          <w:ilvl w:val="0"/>
          <w:numId w:val="94"/>
        </w:numPr>
        <w:tabs>
          <w:tab w:val="left" w:pos="284"/>
        </w:tabs>
        <w:spacing w:after="0" w:line="240" w:lineRule="auto"/>
        <w:jc w:val="both"/>
        <w:rPr>
          <w:rFonts w:ascii="Times New Roman" w:hAnsi="Times New Roman"/>
          <w:color w:val="000000" w:themeColor="text1"/>
        </w:rPr>
      </w:pPr>
      <w:r w:rsidRPr="00260790">
        <w:rPr>
          <w:rFonts w:ascii="Times New Roman" w:hAnsi="Times New Roman"/>
          <w:color w:val="000000" w:themeColor="text1"/>
        </w:rPr>
        <w:t>Bilan de la surveillance environnementale : énumération des sites surveillés et présentation des fiches d’inspections ;</w:t>
      </w:r>
    </w:p>
    <w:p w14:paraId="714143F2" w14:textId="77777777" w:rsidR="005F3FB7" w:rsidRPr="00260790" w:rsidRDefault="005F3FB7" w:rsidP="001748C6">
      <w:pPr>
        <w:keepLines/>
        <w:numPr>
          <w:ilvl w:val="0"/>
          <w:numId w:val="94"/>
        </w:numPr>
        <w:tabs>
          <w:tab w:val="left" w:pos="284"/>
        </w:tabs>
        <w:spacing w:after="0" w:line="240" w:lineRule="auto"/>
        <w:jc w:val="both"/>
        <w:rPr>
          <w:rFonts w:ascii="Times New Roman" w:hAnsi="Times New Roman"/>
          <w:color w:val="000000" w:themeColor="text1"/>
        </w:rPr>
      </w:pPr>
      <w:r w:rsidRPr="00260790">
        <w:rPr>
          <w:rFonts w:ascii="Times New Roman" w:hAnsi="Times New Roman"/>
          <w:color w:val="000000" w:themeColor="text1"/>
        </w:rPr>
        <w:t>Bilan de l’avancement des actions prévues dans le PGES Chantier et le PHS ;</w:t>
      </w:r>
    </w:p>
    <w:p w14:paraId="6FD88130" w14:textId="77777777" w:rsidR="005F3FB7" w:rsidRPr="00260790" w:rsidRDefault="005F3FB7" w:rsidP="001748C6">
      <w:pPr>
        <w:keepLines/>
        <w:numPr>
          <w:ilvl w:val="0"/>
          <w:numId w:val="94"/>
        </w:numPr>
        <w:tabs>
          <w:tab w:val="left" w:pos="284"/>
        </w:tabs>
        <w:spacing w:after="0" w:line="240" w:lineRule="auto"/>
        <w:jc w:val="both"/>
        <w:rPr>
          <w:rFonts w:ascii="Times New Roman" w:hAnsi="Times New Roman"/>
          <w:color w:val="000000" w:themeColor="text1"/>
        </w:rPr>
      </w:pPr>
      <w:r w:rsidRPr="00260790">
        <w:rPr>
          <w:rFonts w:ascii="Times New Roman" w:hAnsi="Times New Roman"/>
          <w:color w:val="000000" w:themeColor="text1"/>
        </w:rPr>
        <w:t>Bilan des non-conformités par thème : bruit, poussières, gestion des carburants, gestion des lubrifiants, gestion des déchets solides, etc. ;</w:t>
      </w:r>
    </w:p>
    <w:p w14:paraId="5FE10C64" w14:textId="77777777" w:rsidR="005F3FB7" w:rsidRPr="00260790" w:rsidRDefault="005F3FB7" w:rsidP="001748C6">
      <w:pPr>
        <w:keepLines/>
        <w:numPr>
          <w:ilvl w:val="0"/>
          <w:numId w:val="94"/>
        </w:numPr>
        <w:tabs>
          <w:tab w:val="left" w:pos="284"/>
        </w:tabs>
        <w:spacing w:after="0" w:line="240" w:lineRule="auto"/>
        <w:jc w:val="both"/>
        <w:rPr>
          <w:rFonts w:ascii="Times New Roman" w:hAnsi="Times New Roman"/>
          <w:color w:val="000000" w:themeColor="text1"/>
        </w:rPr>
      </w:pPr>
      <w:r w:rsidRPr="00260790">
        <w:rPr>
          <w:rFonts w:ascii="Times New Roman" w:hAnsi="Times New Roman"/>
          <w:color w:val="000000" w:themeColor="text1"/>
        </w:rPr>
        <w:t>Bilan de la correspondance environnementale et sociale adressée à l’Entrepreneur et des réponses de celui-ci ;</w:t>
      </w:r>
    </w:p>
    <w:p w14:paraId="57A53F34" w14:textId="77777777" w:rsidR="005F3FB7" w:rsidRPr="00260790" w:rsidRDefault="005F3FB7" w:rsidP="001748C6">
      <w:pPr>
        <w:keepLines/>
        <w:numPr>
          <w:ilvl w:val="0"/>
          <w:numId w:val="94"/>
        </w:numPr>
        <w:tabs>
          <w:tab w:val="left" w:pos="284"/>
        </w:tabs>
        <w:spacing w:after="0" w:line="240" w:lineRule="auto"/>
        <w:jc w:val="both"/>
        <w:rPr>
          <w:rFonts w:ascii="Times New Roman" w:hAnsi="Times New Roman"/>
          <w:color w:val="000000" w:themeColor="text1"/>
        </w:rPr>
      </w:pPr>
      <w:r w:rsidRPr="00260790">
        <w:rPr>
          <w:rFonts w:ascii="Times New Roman" w:hAnsi="Times New Roman"/>
          <w:color w:val="000000" w:themeColor="text1"/>
        </w:rPr>
        <w:t>Conclusions et actions prévues.</w:t>
      </w:r>
    </w:p>
    <w:p w14:paraId="797696C9" w14:textId="77777777" w:rsidR="005F3FB7" w:rsidRPr="00260790" w:rsidRDefault="005F3FB7" w:rsidP="00E20250">
      <w:pPr>
        <w:spacing w:line="240" w:lineRule="auto"/>
        <w:rPr>
          <w:rFonts w:ascii="Times New Roman" w:hAnsi="Times New Roman"/>
          <w:b/>
          <w:color w:val="000000" w:themeColor="text1"/>
        </w:rPr>
      </w:pPr>
      <w:bookmarkStart w:id="2637" w:name="_Toc69115784"/>
    </w:p>
    <w:p w14:paraId="5583A89C" w14:textId="77777777" w:rsidR="005F3FB7" w:rsidRPr="00260790" w:rsidRDefault="005F3FB7" w:rsidP="00E20250">
      <w:pPr>
        <w:spacing w:after="0" w:line="240" w:lineRule="auto"/>
        <w:rPr>
          <w:rFonts w:ascii="Times New Roman" w:hAnsi="Times New Roman"/>
          <w:b/>
          <w:color w:val="000000" w:themeColor="text1"/>
        </w:rPr>
      </w:pPr>
      <w:r w:rsidRPr="00260790">
        <w:rPr>
          <w:rFonts w:ascii="Times New Roman" w:hAnsi="Times New Roman"/>
          <w:b/>
          <w:color w:val="000000" w:themeColor="text1"/>
        </w:rPr>
        <w:br w:type="page"/>
      </w:r>
    </w:p>
    <w:p w14:paraId="36E851CC" w14:textId="77777777" w:rsidR="005F3FB7" w:rsidRPr="00260790" w:rsidRDefault="005F3FB7" w:rsidP="00E20250">
      <w:pPr>
        <w:spacing w:line="240" w:lineRule="auto"/>
        <w:rPr>
          <w:rFonts w:ascii="Times New Roman" w:hAnsi="Times New Roman"/>
          <w:b/>
          <w:color w:val="000000" w:themeColor="text1"/>
        </w:rPr>
      </w:pPr>
      <w:r w:rsidRPr="00260790">
        <w:rPr>
          <w:rFonts w:ascii="Times New Roman" w:hAnsi="Times New Roman"/>
          <w:b/>
          <w:color w:val="000000" w:themeColor="text1"/>
        </w:rPr>
        <w:lastRenderedPageBreak/>
        <w:t>Réunions de suivi</w:t>
      </w:r>
      <w:bookmarkEnd w:id="2637"/>
    </w:p>
    <w:p w14:paraId="0996D2E2" w14:textId="77777777" w:rsidR="005F3FB7" w:rsidRPr="00260790" w:rsidRDefault="005F3FB7" w:rsidP="00E20250">
      <w:pPr>
        <w:keepLines/>
        <w:spacing w:before="48" w:after="48" w:line="240" w:lineRule="auto"/>
        <w:jc w:val="both"/>
        <w:rPr>
          <w:rFonts w:ascii="Times New Roman" w:hAnsi="Times New Roman"/>
          <w:color w:val="000000" w:themeColor="text1"/>
        </w:rPr>
      </w:pPr>
      <w:r w:rsidRPr="00260790">
        <w:rPr>
          <w:rFonts w:ascii="Times New Roman" w:hAnsi="Times New Roman"/>
          <w:color w:val="000000" w:themeColor="text1"/>
        </w:rPr>
        <w:t>Des réunions (a priori mensuelles) avec l’entrepreneur concernant la mise en œuvre seront tenues régulièrement en présence des spécialistes de l’Ingénieur et de l’Entrepreneur.</w:t>
      </w:r>
    </w:p>
    <w:p w14:paraId="7A24DE6C" w14:textId="77777777" w:rsidR="005F3FB7" w:rsidRPr="00260790" w:rsidRDefault="005F3FB7" w:rsidP="00E20250">
      <w:pPr>
        <w:keepLines/>
        <w:spacing w:before="48" w:after="48" w:line="240" w:lineRule="auto"/>
        <w:jc w:val="both"/>
        <w:rPr>
          <w:rFonts w:ascii="Times New Roman" w:hAnsi="Times New Roman"/>
          <w:color w:val="000000" w:themeColor="text1"/>
        </w:rPr>
      </w:pPr>
      <w:r w:rsidRPr="00260790">
        <w:rPr>
          <w:rFonts w:ascii="Times New Roman" w:hAnsi="Times New Roman"/>
          <w:color w:val="000000" w:themeColor="text1"/>
        </w:rPr>
        <w:t xml:space="preserve">Les décisions prises durant ces réunions seront mises par écrit et envoyées aux concernés. Si nécessaire, l’Ingénieur peut solliciter à n’importe quel moment une réunion avec l’entrepreneur. </w:t>
      </w:r>
    </w:p>
    <w:p w14:paraId="7375C985" w14:textId="77777777" w:rsidR="005F3FB7" w:rsidRPr="00260790" w:rsidRDefault="005F3FB7" w:rsidP="00E20250">
      <w:pPr>
        <w:keepLines/>
        <w:spacing w:before="48" w:after="48" w:line="240" w:lineRule="auto"/>
        <w:ind w:left="576" w:hanging="576"/>
        <w:jc w:val="both"/>
        <w:rPr>
          <w:rFonts w:ascii="Times New Roman" w:hAnsi="Times New Roman"/>
          <w:color w:val="000000" w:themeColor="text1"/>
        </w:rPr>
      </w:pPr>
      <w:r w:rsidRPr="00260790">
        <w:rPr>
          <w:rFonts w:ascii="Times New Roman" w:hAnsi="Times New Roman"/>
          <w:color w:val="000000" w:themeColor="text1"/>
        </w:rPr>
        <w:t>Les ordres du jour et les documents connexes seront conservés par l’Ingénieur.</w:t>
      </w:r>
    </w:p>
    <w:p w14:paraId="08C0EFED" w14:textId="77777777" w:rsidR="005F3FB7" w:rsidRPr="00260790" w:rsidRDefault="005F3FB7" w:rsidP="00E20250">
      <w:pPr>
        <w:spacing w:line="240" w:lineRule="auto"/>
        <w:rPr>
          <w:rFonts w:ascii="Times New Roman" w:hAnsi="Times New Roman"/>
          <w:b/>
          <w:color w:val="000000" w:themeColor="text1"/>
        </w:rPr>
      </w:pPr>
      <w:bookmarkStart w:id="2638" w:name="_Toc69115785"/>
      <w:r w:rsidRPr="00260790">
        <w:rPr>
          <w:rFonts w:ascii="Times New Roman" w:hAnsi="Times New Roman"/>
          <w:b/>
          <w:color w:val="000000" w:themeColor="text1"/>
        </w:rPr>
        <w:t>Réunions Environnement, Social, Hygiène, Santé et Sécurité (avec les employés)</w:t>
      </w:r>
      <w:bookmarkEnd w:id="2638"/>
    </w:p>
    <w:p w14:paraId="6CC10D45" w14:textId="77777777" w:rsidR="005F3FB7" w:rsidRPr="00260790" w:rsidRDefault="005F3FB7" w:rsidP="00E20250">
      <w:pPr>
        <w:keepLines/>
        <w:spacing w:before="48" w:after="48" w:line="240" w:lineRule="auto"/>
        <w:jc w:val="both"/>
        <w:rPr>
          <w:rFonts w:ascii="Times New Roman" w:hAnsi="Times New Roman"/>
          <w:color w:val="000000" w:themeColor="text1"/>
        </w:rPr>
      </w:pPr>
      <w:r w:rsidRPr="00260790">
        <w:rPr>
          <w:rFonts w:ascii="Times New Roman" w:hAnsi="Times New Roman"/>
          <w:color w:val="000000" w:themeColor="text1"/>
        </w:rPr>
        <w:t>L’Entrepreneur organisera avec son personnel des réunions relatives à la santé et à la sécurité dans le but de suivre régulièrement les problèmes liés à la sécurité au travail. Les réunions auront lieu régulièrement, en présence de l’ADM ou de son représentant.</w:t>
      </w:r>
    </w:p>
    <w:p w14:paraId="4526F66B" w14:textId="77777777" w:rsidR="005F3FB7" w:rsidRPr="00260790" w:rsidRDefault="005F3FB7" w:rsidP="00E20250">
      <w:pPr>
        <w:spacing w:line="240" w:lineRule="auto"/>
        <w:rPr>
          <w:rFonts w:ascii="Times New Roman" w:hAnsi="Times New Roman"/>
          <w:b/>
          <w:color w:val="000000" w:themeColor="text1"/>
        </w:rPr>
      </w:pPr>
      <w:bookmarkStart w:id="2639" w:name="_Toc69115786"/>
      <w:r w:rsidRPr="00260790">
        <w:rPr>
          <w:rFonts w:ascii="Times New Roman" w:hAnsi="Times New Roman"/>
          <w:b/>
          <w:color w:val="000000" w:themeColor="text1"/>
        </w:rPr>
        <w:t>Réunions d’examen de la conformité environnementale et sociale</w:t>
      </w:r>
      <w:bookmarkEnd w:id="2639"/>
    </w:p>
    <w:p w14:paraId="02C84582" w14:textId="77777777" w:rsidR="005F3FB7" w:rsidRPr="00260790" w:rsidRDefault="005F3FB7" w:rsidP="00E20250">
      <w:pPr>
        <w:keepLines/>
        <w:spacing w:before="48" w:after="48" w:line="240" w:lineRule="auto"/>
        <w:jc w:val="both"/>
        <w:rPr>
          <w:rFonts w:ascii="Times New Roman" w:hAnsi="Times New Roman"/>
          <w:color w:val="000000" w:themeColor="text1"/>
        </w:rPr>
      </w:pPr>
      <w:r w:rsidRPr="00260790">
        <w:rPr>
          <w:rFonts w:ascii="Times New Roman" w:hAnsi="Times New Roman"/>
          <w:color w:val="000000" w:themeColor="text1"/>
        </w:rPr>
        <w:t>L’Entrepreneur participera à des réunions d’examen environnemental et social qui seront convoquées par l’Ingénieur pour débattre de la conformité environnementale et sociale des activités du Projet. Ces réunions seront aussi l’occasion d’échanger les points de vue et de résoudre les éventuels problèmes environnementaux et sociaux en suspens et/ou de régler les questions concernant des actions correctives.</w:t>
      </w:r>
    </w:p>
    <w:p w14:paraId="581F4F83" w14:textId="77777777" w:rsidR="005F3FB7" w:rsidRPr="00260790" w:rsidRDefault="005F3FB7" w:rsidP="00E20250">
      <w:pPr>
        <w:spacing w:line="240" w:lineRule="auto"/>
        <w:rPr>
          <w:rFonts w:ascii="Times New Roman" w:hAnsi="Times New Roman"/>
          <w:b/>
          <w:color w:val="000000" w:themeColor="text1"/>
        </w:rPr>
      </w:pPr>
      <w:bookmarkStart w:id="2640" w:name="_Toc69115787"/>
      <w:r w:rsidRPr="00260790">
        <w:rPr>
          <w:rFonts w:ascii="Times New Roman" w:hAnsi="Times New Roman"/>
          <w:b/>
          <w:color w:val="000000" w:themeColor="text1"/>
        </w:rPr>
        <w:t>Amélioration des procédures</w:t>
      </w:r>
      <w:bookmarkEnd w:id="2640"/>
    </w:p>
    <w:p w14:paraId="443A32C7" w14:textId="77777777" w:rsidR="005F3FB7" w:rsidRPr="00260790" w:rsidRDefault="005F3FB7" w:rsidP="00E20250">
      <w:pPr>
        <w:keepLines/>
        <w:spacing w:before="48" w:after="48" w:line="240" w:lineRule="auto"/>
        <w:jc w:val="both"/>
        <w:rPr>
          <w:rFonts w:ascii="Times New Roman" w:hAnsi="Times New Roman"/>
          <w:color w:val="000000" w:themeColor="text1"/>
        </w:rPr>
      </w:pPr>
      <w:r w:rsidRPr="00260790">
        <w:rPr>
          <w:rFonts w:ascii="Times New Roman" w:hAnsi="Times New Roman"/>
          <w:color w:val="000000" w:themeColor="text1"/>
        </w:rPr>
        <w:t>Sur la base des constats faits lors du suivi de l’application du PGES Chantier et du PHS, l’Entrepreneur fera toute suggestion de nature à améliorer les procédures pour une mise en œuvre efficiente du PGES Chantier et du PHS. Ces suggestions seront examinées et approuvées par l’Ingénieur sur la base de documents écrits garantissant la traçabilité.</w:t>
      </w:r>
    </w:p>
    <w:p w14:paraId="2542AD33" w14:textId="77777777" w:rsidR="005F3FB7" w:rsidRPr="00260790" w:rsidRDefault="005F3FB7" w:rsidP="00E20250">
      <w:pPr>
        <w:pStyle w:val="Sansinterligne"/>
        <w:rPr>
          <w:rFonts w:ascii="Times New Roman" w:hAnsi="Times New Roman"/>
          <w:color w:val="000000" w:themeColor="text1"/>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0"/>
        <w:gridCol w:w="897"/>
        <w:gridCol w:w="1036"/>
        <w:gridCol w:w="727"/>
        <w:gridCol w:w="1040"/>
        <w:gridCol w:w="313"/>
        <w:gridCol w:w="1450"/>
        <w:gridCol w:w="1817"/>
      </w:tblGrid>
      <w:tr w:rsidR="00BD1A2F" w:rsidRPr="00260790" w14:paraId="57798B63" w14:textId="77777777" w:rsidTr="004F2A79">
        <w:trPr>
          <w:cantSplit/>
          <w:trHeight w:val="81"/>
        </w:trPr>
        <w:tc>
          <w:tcPr>
            <w:tcW w:w="982" w:type="pct"/>
            <w:vAlign w:val="center"/>
          </w:tcPr>
          <w:p w14:paraId="09FB3BF2" w14:textId="77777777" w:rsidR="005F3FB7" w:rsidRPr="00260790" w:rsidRDefault="005F3FB7" w:rsidP="00E20250">
            <w:pPr>
              <w:spacing w:after="0" w:line="240" w:lineRule="auto"/>
              <w:ind w:left="576" w:hanging="576"/>
              <w:rPr>
                <w:rFonts w:ascii="Times New Roman" w:hAnsi="Times New Roman"/>
                <w:bCs/>
                <w:color w:val="000000" w:themeColor="text1"/>
              </w:rPr>
            </w:pPr>
            <w:r w:rsidRPr="00260790">
              <w:rPr>
                <w:rFonts w:ascii="Times New Roman" w:hAnsi="Times New Roman"/>
                <w:color w:val="000000" w:themeColor="text1"/>
              </w:rPr>
              <w:br w:type="page"/>
            </w:r>
            <w:r w:rsidRPr="00260790">
              <w:rPr>
                <w:rFonts w:ascii="Times New Roman" w:hAnsi="Times New Roman"/>
                <w:color w:val="000000" w:themeColor="text1"/>
              </w:rPr>
              <w:br w:type="page"/>
            </w:r>
          </w:p>
        </w:tc>
        <w:tc>
          <w:tcPr>
            <w:tcW w:w="3015" w:type="pct"/>
            <w:gridSpan w:val="6"/>
            <w:vAlign w:val="center"/>
          </w:tcPr>
          <w:p w14:paraId="06377228" w14:textId="77777777" w:rsidR="005F3FB7" w:rsidRPr="00260790" w:rsidRDefault="005F3FB7" w:rsidP="00E20250">
            <w:pPr>
              <w:spacing w:after="0" w:line="240" w:lineRule="auto"/>
              <w:ind w:left="576" w:hanging="576"/>
              <w:rPr>
                <w:rFonts w:ascii="Times New Roman" w:hAnsi="Times New Roman"/>
                <w:b/>
                <w:color w:val="000000" w:themeColor="text1"/>
              </w:rPr>
            </w:pPr>
            <w:r w:rsidRPr="00260790">
              <w:rPr>
                <w:rFonts w:ascii="Times New Roman" w:hAnsi="Times New Roman"/>
                <w:b/>
                <w:color w:val="000000" w:themeColor="text1"/>
              </w:rPr>
              <w:t xml:space="preserve">Projet : </w:t>
            </w:r>
          </w:p>
          <w:p w14:paraId="182327B3" w14:textId="77777777" w:rsidR="005F3FB7" w:rsidRPr="00260790" w:rsidRDefault="005F3FB7" w:rsidP="00E20250">
            <w:pPr>
              <w:spacing w:after="0" w:line="240" w:lineRule="auto"/>
              <w:ind w:left="576" w:hanging="576"/>
              <w:rPr>
                <w:rFonts w:ascii="Times New Roman" w:hAnsi="Times New Roman"/>
                <w:b/>
                <w:color w:val="000000" w:themeColor="text1"/>
              </w:rPr>
            </w:pPr>
            <w:r w:rsidRPr="00260790">
              <w:rPr>
                <w:rFonts w:ascii="Times New Roman" w:hAnsi="Times New Roman"/>
                <w:b/>
                <w:color w:val="000000" w:themeColor="text1"/>
              </w:rPr>
              <w:t>NOTIFICATION D’INCIDENT</w:t>
            </w:r>
          </w:p>
        </w:tc>
        <w:tc>
          <w:tcPr>
            <w:tcW w:w="1003" w:type="pct"/>
            <w:vAlign w:val="center"/>
          </w:tcPr>
          <w:p w14:paraId="17B6B63A" w14:textId="77777777" w:rsidR="005F3FB7" w:rsidRPr="00260790" w:rsidRDefault="005F3FB7" w:rsidP="00E20250">
            <w:pPr>
              <w:spacing w:after="0" w:line="240" w:lineRule="auto"/>
              <w:ind w:left="576" w:hanging="576"/>
              <w:rPr>
                <w:rFonts w:ascii="Times New Roman" w:hAnsi="Times New Roman"/>
                <w:color w:val="000000" w:themeColor="text1"/>
              </w:rPr>
            </w:pPr>
          </w:p>
        </w:tc>
      </w:tr>
      <w:tr w:rsidR="00BD1A2F" w:rsidRPr="00260790" w14:paraId="281B2056" w14:textId="77777777" w:rsidTr="004F2A79">
        <w:trPr>
          <w:cantSplit/>
          <w:trHeight w:val="81"/>
        </w:trPr>
        <w:tc>
          <w:tcPr>
            <w:tcW w:w="3024" w:type="pct"/>
            <w:gridSpan w:val="5"/>
            <w:tcBorders>
              <w:top w:val="single" w:sz="4" w:space="0" w:color="auto"/>
              <w:left w:val="single" w:sz="4" w:space="0" w:color="auto"/>
              <w:bottom w:val="single" w:sz="4" w:space="0" w:color="auto"/>
              <w:right w:val="single" w:sz="4" w:space="0" w:color="auto"/>
            </w:tcBorders>
            <w:vAlign w:val="center"/>
          </w:tcPr>
          <w:p w14:paraId="6CE53745" w14:textId="77777777" w:rsidR="005F3FB7" w:rsidRPr="00260790" w:rsidRDefault="005F3FB7" w:rsidP="00E20250">
            <w:pPr>
              <w:spacing w:after="0" w:line="240" w:lineRule="auto"/>
              <w:ind w:left="576" w:hanging="576"/>
              <w:rPr>
                <w:rFonts w:ascii="Times New Roman" w:hAnsi="Times New Roman"/>
                <w:color w:val="000000" w:themeColor="text1"/>
              </w:rPr>
            </w:pPr>
            <w:r w:rsidRPr="00260790">
              <w:rPr>
                <w:rFonts w:ascii="Times New Roman" w:hAnsi="Times New Roman"/>
                <w:color w:val="000000" w:themeColor="text1"/>
              </w:rPr>
              <w:t>Numéro ID :</w:t>
            </w:r>
          </w:p>
        </w:tc>
        <w:tc>
          <w:tcPr>
            <w:tcW w:w="1976" w:type="pct"/>
            <w:gridSpan w:val="3"/>
            <w:tcBorders>
              <w:top w:val="single" w:sz="4" w:space="0" w:color="auto"/>
              <w:left w:val="single" w:sz="4" w:space="0" w:color="auto"/>
              <w:bottom w:val="single" w:sz="4" w:space="0" w:color="auto"/>
              <w:right w:val="single" w:sz="4" w:space="0" w:color="auto"/>
            </w:tcBorders>
            <w:vAlign w:val="center"/>
          </w:tcPr>
          <w:p w14:paraId="308637E5" w14:textId="77777777" w:rsidR="005F3FB7" w:rsidRPr="00260790" w:rsidRDefault="005F3FB7" w:rsidP="00E20250">
            <w:pPr>
              <w:spacing w:after="0" w:line="240" w:lineRule="auto"/>
              <w:ind w:left="360" w:firstLine="360"/>
              <w:rPr>
                <w:rFonts w:ascii="Times New Roman" w:hAnsi="Times New Roman"/>
                <w:color w:val="000000" w:themeColor="text1"/>
              </w:rPr>
            </w:pPr>
            <w:r w:rsidRPr="00260790">
              <w:rPr>
                <w:rFonts w:ascii="Times New Roman" w:hAnsi="Times New Roman"/>
                <w:color w:val="000000" w:themeColor="text1"/>
              </w:rPr>
              <w:t>Date : (jj-mm-</w:t>
            </w:r>
            <w:proofErr w:type="spellStart"/>
            <w:r w:rsidRPr="00260790">
              <w:rPr>
                <w:rFonts w:ascii="Times New Roman" w:hAnsi="Times New Roman"/>
                <w:color w:val="000000" w:themeColor="text1"/>
              </w:rPr>
              <w:t>aaaa</w:t>
            </w:r>
            <w:proofErr w:type="spellEnd"/>
            <w:r w:rsidRPr="00260790">
              <w:rPr>
                <w:rFonts w:ascii="Times New Roman" w:hAnsi="Times New Roman"/>
                <w:color w:val="000000" w:themeColor="text1"/>
              </w:rPr>
              <w:t>) :</w:t>
            </w:r>
          </w:p>
        </w:tc>
      </w:tr>
      <w:tr w:rsidR="00BD1A2F" w:rsidRPr="00260790" w14:paraId="125B6A59" w14:textId="77777777" w:rsidTr="004F2A79">
        <w:trPr>
          <w:cantSplit/>
          <w:trHeight w:val="81"/>
        </w:trPr>
        <w:tc>
          <w:tcPr>
            <w:tcW w:w="2049" w:type="pct"/>
            <w:gridSpan w:val="3"/>
            <w:tcBorders>
              <w:top w:val="single" w:sz="4" w:space="0" w:color="auto"/>
              <w:left w:val="single" w:sz="4" w:space="0" w:color="auto"/>
              <w:bottom w:val="single" w:sz="4" w:space="0" w:color="auto"/>
              <w:right w:val="single" w:sz="4" w:space="0" w:color="auto"/>
            </w:tcBorders>
            <w:vAlign w:val="center"/>
          </w:tcPr>
          <w:p w14:paraId="33B45C68" w14:textId="77777777" w:rsidR="005F3FB7" w:rsidRPr="00260790" w:rsidRDefault="005F3FB7" w:rsidP="00E20250">
            <w:pPr>
              <w:spacing w:after="0" w:line="240" w:lineRule="auto"/>
              <w:ind w:left="360" w:firstLine="360"/>
              <w:rPr>
                <w:rFonts w:ascii="Times New Roman" w:hAnsi="Times New Roman"/>
                <w:color w:val="000000" w:themeColor="text1"/>
              </w:rPr>
            </w:pPr>
            <w:r w:rsidRPr="00260790">
              <w:rPr>
                <w:rFonts w:ascii="Times New Roman" w:hAnsi="Times New Roman"/>
                <w:color w:val="000000" w:themeColor="text1"/>
              </w:rPr>
              <w:t>Activité :</w:t>
            </w:r>
          </w:p>
        </w:tc>
        <w:tc>
          <w:tcPr>
            <w:tcW w:w="2951" w:type="pct"/>
            <w:gridSpan w:val="5"/>
            <w:tcBorders>
              <w:top w:val="single" w:sz="4" w:space="0" w:color="auto"/>
              <w:left w:val="single" w:sz="4" w:space="0" w:color="auto"/>
              <w:bottom w:val="single" w:sz="4" w:space="0" w:color="auto"/>
              <w:right w:val="single" w:sz="4" w:space="0" w:color="auto"/>
            </w:tcBorders>
            <w:vAlign w:val="center"/>
          </w:tcPr>
          <w:p w14:paraId="2949E177" w14:textId="77777777" w:rsidR="005F3FB7" w:rsidRPr="00260790" w:rsidRDefault="005F3FB7" w:rsidP="00E20250">
            <w:pPr>
              <w:spacing w:after="0" w:line="240" w:lineRule="auto"/>
              <w:ind w:left="360" w:firstLine="360"/>
              <w:rPr>
                <w:rFonts w:ascii="Times New Roman" w:hAnsi="Times New Roman"/>
                <w:color w:val="000000" w:themeColor="text1"/>
              </w:rPr>
            </w:pPr>
            <w:r w:rsidRPr="00260790">
              <w:rPr>
                <w:rFonts w:ascii="Times New Roman" w:hAnsi="Times New Roman"/>
                <w:color w:val="000000" w:themeColor="text1"/>
              </w:rPr>
              <w:t>Lieu d’implantation :</w:t>
            </w:r>
          </w:p>
        </w:tc>
      </w:tr>
      <w:tr w:rsidR="00BD1A2F" w:rsidRPr="00260790" w14:paraId="3D5F334A" w14:textId="77777777" w:rsidTr="004F2A79">
        <w:trPr>
          <w:cantSplit/>
          <w:trHeight w:val="81"/>
        </w:trPr>
        <w:tc>
          <w:tcPr>
            <w:tcW w:w="3997" w:type="pct"/>
            <w:gridSpan w:val="7"/>
            <w:tcBorders>
              <w:top w:val="single" w:sz="4" w:space="0" w:color="auto"/>
              <w:left w:val="single" w:sz="4" w:space="0" w:color="auto"/>
              <w:bottom w:val="single" w:sz="4" w:space="0" w:color="auto"/>
              <w:right w:val="single" w:sz="4" w:space="0" w:color="auto"/>
            </w:tcBorders>
            <w:vAlign w:val="center"/>
          </w:tcPr>
          <w:p w14:paraId="580BA32F" w14:textId="77777777" w:rsidR="005F3FB7" w:rsidRPr="00260790" w:rsidRDefault="005F3FB7" w:rsidP="00E20250">
            <w:pPr>
              <w:spacing w:after="0" w:line="240" w:lineRule="auto"/>
              <w:ind w:left="360" w:firstLine="360"/>
              <w:rPr>
                <w:rFonts w:ascii="Times New Roman" w:hAnsi="Times New Roman"/>
                <w:color w:val="000000" w:themeColor="text1"/>
              </w:rPr>
            </w:pPr>
            <w:r w:rsidRPr="00260790">
              <w:rPr>
                <w:rFonts w:ascii="Times New Roman" w:hAnsi="Times New Roman"/>
                <w:color w:val="000000" w:themeColor="text1"/>
              </w:rPr>
              <w:t>Type et description de l’incident :</w:t>
            </w:r>
          </w:p>
        </w:tc>
        <w:tc>
          <w:tcPr>
            <w:tcW w:w="1003" w:type="pct"/>
            <w:tcBorders>
              <w:top w:val="single" w:sz="4" w:space="0" w:color="auto"/>
              <w:left w:val="single" w:sz="4" w:space="0" w:color="auto"/>
              <w:bottom w:val="single" w:sz="4" w:space="0" w:color="auto"/>
              <w:right w:val="single" w:sz="4" w:space="0" w:color="auto"/>
            </w:tcBorders>
            <w:vAlign w:val="center"/>
          </w:tcPr>
          <w:p w14:paraId="51802D85" w14:textId="77777777" w:rsidR="005F3FB7" w:rsidRPr="00260790" w:rsidRDefault="005F3FB7" w:rsidP="00E20250">
            <w:pPr>
              <w:spacing w:after="0" w:line="240" w:lineRule="auto"/>
              <w:ind w:left="360" w:firstLine="360"/>
              <w:rPr>
                <w:rFonts w:ascii="Times New Roman" w:hAnsi="Times New Roman"/>
                <w:color w:val="000000" w:themeColor="text1"/>
              </w:rPr>
            </w:pPr>
            <w:r w:rsidRPr="00260790">
              <w:rPr>
                <w:rFonts w:ascii="Times New Roman" w:hAnsi="Times New Roman"/>
                <w:color w:val="000000" w:themeColor="text1"/>
              </w:rPr>
              <w:t>Gravité</w:t>
            </w:r>
          </w:p>
        </w:tc>
      </w:tr>
      <w:tr w:rsidR="00BD1A2F" w:rsidRPr="00260790" w14:paraId="2D0BF274" w14:textId="77777777" w:rsidTr="004F2A79">
        <w:trPr>
          <w:cantSplit/>
          <w:trHeight w:val="81"/>
        </w:trPr>
        <w:tc>
          <w:tcPr>
            <w:tcW w:w="3997" w:type="pct"/>
            <w:gridSpan w:val="7"/>
            <w:tcBorders>
              <w:top w:val="single" w:sz="4" w:space="0" w:color="auto"/>
              <w:left w:val="single" w:sz="4" w:space="0" w:color="auto"/>
              <w:bottom w:val="nil"/>
              <w:right w:val="single" w:sz="4" w:space="0" w:color="auto"/>
            </w:tcBorders>
            <w:vAlign w:val="center"/>
          </w:tcPr>
          <w:p w14:paraId="083F6DE9" w14:textId="77777777" w:rsidR="005F3FB7" w:rsidRPr="00260790" w:rsidRDefault="005F3FB7" w:rsidP="004F2A79">
            <w:pPr>
              <w:spacing w:after="0" w:line="240" w:lineRule="auto"/>
              <w:rPr>
                <w:rFonts w:ascii="Times New Roman" w:hAnsi="Times New Roman"/>
                <w:color w:val="000000" w:themeColor="text1"/>
              </w:rPr>
            </w:pPr>
          </w:p>
        </w:tc>
        <w:tc>
          <w:tcPr>
            <w:tcW w:w="1003" w:type="pct"/>
            <w:tcBorders>
              <w:top w:val="single" w:sz="4" w:space="0" w:color="auto"/>
              <w:left w:val="single" w:sz="4" w:space="0" w:color="auto"/>
              <w:bottom w:val="nil"/>
              <w:right w:val="single" w:sz="4" w:space="0" w:color="auto"/>
            </w:tcBorders>
            <w:vAlign w:val="center"/>
          </w:tcPr>
          <w:p w14:paraId="046836D3" w14:textId="77777777" w:rsidR="005F3FB7" w:rsidRPr="00260790" w:rsidRDefault="005F3FB7" w:rsidP="00E20250">
            <w:pPr>
              <w:spacing w:after="0" w:line="240" w:lineRule="auto"/>
              <w:ind w:left="360" w:firstLine="360"/>
              <w:rPr>
                <w:rFonts w:ascii="Times New Roman" w:hAnsi="Times New Roman"/>
                <w:color w:val="000000" w:themeColor="text1"/>
              </w:rPr>
            </w:pPr>
            <w:r w:rsidRPr="00260790">
              <w:rPr>
                <w:rFonts w:ascii="Times New Roman" w:hAnsi="Times New Roman"/>
                <w:color w:val="000000" w:themeColor="text1"/>
              </w:rPr>
              <w:t>Élevée</w:t>
            </w:r>
          </w:p>
        </w:tc>
      </w:tr>
      <w:tr w:rsidR="00BD1A2F" w:rsidRPr="00260790" w14:paraId="68736A87" w14:textId="77777777" w:rsidTr="004F2A79">
        <w:trPr>
          <w:cantSplit/>
          <w:trHeight w:val="91"/>
        </w:trPr>
        <w:tc>
          <w:tcPr>
            <w:tcW w:w="3997" w:type="pct"/>
            <w:gridSpan w:val="7"/>
            <w:tcBorders>
              <w:top w:val="nil"/>
              <w:left w:val="single" w:sz="4" w:space="0" w:color="auto"/>
              <w:bottom w:val="nil"/>
              <w:right w:val="single" w:sz="4" w:space="0" w:color="auto"/>
            </w:tcBorders>
            <w:vAlign w:val="center"/>
          </w:tcPr>
          <w:p w14:paraId="3E610FA7" w14:textId="77777777" w:rsidR="005F3FB7" w:rsidRPr="00260790" w:rsidRDefault="005F3FB7" w:rsidP="004F2A79">
            <w:pPr>
              <w:spacing w:after="0" w:line="240" w:lineRule="auto"/>
              <w:rPr>
                <w:rFonts w:ascii="Times New Roman" w:hAnsi="Times New Roman"/>
                <w:color w:val="000000" w:themeColor="text1"/>
              </w:rPr>
            </w:pPr>
          </w:p>
        </w:tc>
        <w:tc>
          <w:tcPr>
            <w:tcW w:w="1003" w:type="pct"/>
            <w:tcBorders>
              <w:top w:val="nil"/>
              <w:left w:val="single" w:sz="4" w:space="0" w:color="auto"/>
              <w:bottom w:val="nil"/>
              <w:right w:val="single" w:sz="4" w:space="0" w:color="auto"/>
            </w:tcBorders>
            <w:vAlign w:val="center"/>
          </w:tcPr>
          <w:p w14:paraId="2CA24665" w14:textId="77777777" w:rsidR="005F3FB7" w:rsidRPr="00260790" w:rsidRDefault="005F3FB7" w:rsidP="00E20250">
            <w:pPr>
              <w:spacing w:after="0" w:line="240" w:lineRule="auto"/>
              <w:ind w:left="360" w:firstLine="360"/>
              <w:rPr>
                <w:rFonts w:ascii="Times New Roman" w:hAnsi="Times New Roman"/>
                <w:color w:val="000000" w:themeColor="text1"/>
              </w:rPr>
            </w:pPr>
            <w:r w:rsidRPr="00260790">
              <w:rPr>
                <w:rFonts w:ascii="Times New Roman" w:hAnsi="Times New Roman"/>
                <w:color w:val="000000" w:themeColor="text1"/>
              </w:rPr>
              <w:t>Moyenne</w:t>
            </w:r>
          </w:p>
        </w:tc>
      </w:tr>
      <w:tr w:rsidR="00BD1A2F" w:rsidRPr="00260790" w14:paraId="39C09042" w14:textId="77777777" w:rsidTr="004F2A79">
        <w:trPr>
          <w:cantSplit/>
          <w:trHeight w:val="91"/>
        </w:trPr>
        <w:tc>
          <w:tcPr>
            <w:tcW w:w="3997" w:type="pct"/>
            <w:gridSpan w:val="7"/>
            <w:tcBorders>
              <w:top w:val="nil"/>
              <w:left w:val="single" w:sz="4" w:space="0" w:color="auto"/>
              <w:bottom w:val="single" w:sz="4" w:space="0" w:color="auto"/>
              <w:right w:val="single" w:sz="4" w:space="0" w:color="auto"/>
            </w:tcBorders>
            <w:vAlign w:val="center"/>
          </w:tcPr>
          <w:p w14:paraId="2ECAB514" w14:textId="77777777" w:rsidR="005F3FB7" w:rsidRPr="00260790" w:rsidRDefault="005F3FB7" w:rsidP="004F2A79">
            <w:pPr>
              <w:spacing w:after="0" w:line="240" w:lineRule="auto"/>
              <w:rPr>
                <w:rFonts w:ascii="Times New Roman" w:hAnsi="Times New Roman"/>
                <w:color w:val="000000" w:themeColor="text1"/>
              </w:rPr>
            </w:pPr>
          </w:p>
        </w:tc>
        <w:tc>
          <w:tcPr>
            <w:tcW w:w="1003" w:type="pct"/>
            <w:tcBorders>
              <w:top w:val="nil"/>
              <w:left w:val="single" w:sz="4" w:space="0" w:color="auto"/>
              <w:bottom w:val="single" w:sz="4" w:space="0" w:color="auto"/>
              <w:right w:val="single" w:sz="4" w:space="0" w:color="auto"/>
            </w:tcBorders>
            <w:vAlign w:val="center"/>
          </w:tcPr>
          <w:p w14:paraId="319199A8" w14:textId="77777777" w:rsidR="005F3FB7" w:rsidRPr="00260790" w:rsidRDefault="005F3FB7" w:rsidP="00E20250">
            <w:pPr>
              <w:spacing w:after="0" w:line="240" w:lineRule="auto"/>
              <w:ind w:left="360" w:firstLine="360"/>
              <w:rPr>
                <w:rFonts w:ascii="Times New Roman" w:hAnsi="Times New Roman"/>
                <w:color w:val="000000" w:themeColor="text1"/>
              </w:rPr>
            </w:pPr>
            <w:r w:rsidRPr="00260790">
              <w:rPr>
                <w:rFonts w:ascii="Times New Roman" w:hAnsi="Times New Roman"/>
                <w:color w:val="000000" w:themeColor="text1"/>
              </w:rPr>
              <w:t>Faible</w:t>
            </w:r>
          </w:p>
        </w:tc>
      </w:tr>
      <w:tr w:rsidR="00BD1A2F" w:rsidRPr="00260790" w14:paraId="5E4EEF86" w14:textId="77777777" w:rsidTr="004F2A79">
        <w:trPr>
          <w:cantSplit/>
          <w:trHeight w:val="81"/>
        </w:trPr>
        <w:tc>
          <w:tcPr>
            <w:tcW w:w="3024" w:type="pct"/>
            <w:gridSpan w:val="5"/>
            <w:tcBorders>
              <w:top w:val="single" w:sz="4" w:space="0" w:color="auto"/>
              <w:left w:val="single" w:sz="4" w:space="0" w:color="auto"/>
              <w:bottom w:val="single" w:sz="4" w:space="0" w:color="auto"/>
              <w:right w:val="single" w:sz="4" w:space="0" w:color="auto"/>
            </w:tcBorders>
            <w:vAlign w:val="center"/>
          </w:tcPr>
          <w:p w14:paraId="2B6AFFBB" w14:textId="77777777" w:rsidR="005F3FB7" w:rsidRPr="00260790" w:rsidRDefault="005F3FB7" w:rsidP="00E20250">
            <w:pPr>
              <w:spacing w:after="0" w:line="240" w:lineRule="auto"/>
              <w:ind w:left="360" w:firstLine="360"/>
              <w:rPr>
                <w:rFonts w:ascii="Times New Roman" w:hAnsi="Times New Roman"/>
                <w:color w:val="000000" w:themeColor="text1"/>
              </w:rPr>
            </w:pPr>
            <w:r w:rsidRPr="00260790">
              <w:rPr>
                <w:rFonts w:ascii="Times New Roman" w:hAnsi="Times New Roman"/>
                <w:color w:val="000000" w:themeColor="text1"/>
              </w:rPr>
              <w:t>Type et quantité du produit déversé :</w:t>
            </w:r>
          </w:p>
        </w:tc>
        <w:tc>
          <w:tcPr>
            <w:tcW w:w="1976" w:type="pct"/>
            <w:gridSpan w:val="3"/>
            <w:tcBorders>
              <w:top w:val="single" w:sz="4" w:space="0" w:color="auto"/>
              <w:left w:val="single" w:sz="4" w:space="0" w:color="auto"/>
              <w:bottom w:val="single" w:sz="4" w:space="0" w:color="auto"/>
              <w:right w:val="single" w:sz="4" w:space="0" w:color="auto"/>
            </w:tcBorders>
            <w:vAlign w:val="center"/>
          </w:tcPr>
          <w:p w14:paraId="42E174E9" w14:textId="77777777" w:rsidR="005F3FB7" w:rsidRPr="00260790" w:rsidRDefault="005F3FB7" w:rsidP="00E20250">
            <w:pPr>
              <w:spacing w:after="0" w:line="240" w:lineRule="auto"/>
              <w:ind w:left="360" w:firstLine="360"/>
              <w:rPr>
                <w:rFonts w:ascii="Times New Roman" w:hAnsi="Times New Roman"/>
                <w:color w:val="000000" w:themeColor="text1"/>
              </w:rPr>
            </w:pPr>
            <w:r w:rsidRPr="00260790">
              <w:rPr>
                <w:rFonts w:ascii="Times New Roman" w:hAnsi="Times New Roman"/>
                <w:color w:val="000000" w:themeColor="text1"/>
              </w:rPr>
              <w:t>Personnes concernées :</w:t>
            </w:r>
          </w:p>
        </w:tc>
      </w:tr>
      <w:tr w:rsidR="00BD1A2F" w:rsidRPr="00260790" w14:paraId="77921914" w14:textId="77777777" w:rsidTr="004F2A79">
        <w:trPr>
          <w:cantSplit/>
          <w:trHeight w:val="81"/>
        </w:trPr>
        <w:tc>
          <w:tcPr>
            <w:tcW w:w="3024" w:type="pct"/>
            <w:gridSpan w:val="5"/>
            <w:tcBorders>
              <w:top w:val="single" w:sz="4" w:space="0" w:color="auto"/>
              <w:left w:val="single" w:sz="4" w:space="0" w:color="auto"/>
              <w:bottom w:val="single" w:sz="4" w:space="0" w:color="auto"/>
              <w:right w:val="single" w:sz="4" w:space="0" w:color="auto"/>
            </w:tcBorders>
            <w:vAlign w:val="center"/>
          </w:tcPr>
          <w:p w14:paraId="1547E291" w14:textId="77777777" w:rsidR="005F3FB7" w:rsidRPr="00260790" w:rsidRDefault="005F3FB7" w:rsidP="00E20250">
            <w:pPr>
              <w:spacing w:after="0" w:line="240" w:lineRule="auto"/>
              <w:ind w:left="360" w:firstLine="360"/>
              <w:rPr>
                <w:rFonts w:ascii="Times New Roman" w:hAnsi="Times New Roman"/>
                <w:color w:val="000000" w:themeColor="text1"/>
              </w:rPr>
            </w:pPr>
            <w:r w:rsidRPr="00260790">
              <w:rPr>
                <w:rFonts w:ascii="Times New Roman" w:hAnsi="Times New Roman"/>
                <w:color w:val="000000" w:themeColor="text1"/>
              </w:rPr>
              <w:t>Équipements concernés :</w:t>
            </w:r>
          </w:p>
        </w:tc>
        <w:tc>
          <w:tcPr>
            <w:tcW w:w="1976" w:type="pct"/>
            <w:gridSpan w:val="3"/>
            <w:tcBorders>
              <w:top w:val="single" w:sz="4" w:space="0" w:color="auto"/>
              <w:left w:val="single" w:sz="4" w:space="0" w:color="auto"/>
              <w:bottom w:val="single" w:sz="4" w:space="0" w:color="auto"/>
              <w:right w:val="single" w:sz="4" w:space="0" w:color="auto"/>
            </w:tcBorders>
            <w:vAlign w:val="center"/>
          </w:tcPr>
          <w:p w14:paraId="01CB83F6" w14:textId="77777777" w:rsidR="005F3FB7" w:rsidRPr="00260790" w:rsidRDefault="005F3FB7" w:rsidP="00E20250">
            <w:pPr>
              <w:spacing w:after="0" w:line="240" w:lineRule="auto"/>
              <w:ind w:left="360" w:firstLine="360"/>
              <w:rPr>
                <w:rFonts w:ascii="Times New Roman" w:hAnsi="Times New Roman"/>
                <w:color w:val="000000" w:themeColor="text1"/>
              </w:rPr>
            </w:pPr>
            <w:r w:rsidRPr="00260790">
              <w:rPr>
                <w:rFonts w:ascii="Times New Roman" w:hAnsi="Times New Roman"/>
                <w:color w:val="000000" w:themeColor="text1"/>
              </w:rPr>
              <w:t>Sous-traitants concernés :</w:t>
            </w:r>
          </w:p>
        </w:tc>
      </w:tr>
      <w:tr w:rsidR="00BD1A2F" w:rsidRPr="00260790" w14:paraId="4BE9832C" w14:textId="77777777" w:rsidTr="004F2A79">
        <w:trPr>
          <w:cantSplit/>
          <w:trHeight w:val="81"/>
        </w:trPr>
        <w:tc>
          <w:tcPr>
            <w:tcW w:w="3024" w:type="pct"/>
            <w:gridSpan w:val="5"/>
            <w:tcBorders>
              <w:top w:val="single" w:sz="4" w:space="0" w:color="auto"/>
              <w:left w:val="single" w:sz="4" w:space="0" w:color="auto"/>
              <w:bottom w:val="single" w:sz="4" w:space="0" w:color="auto"/>
              <w:right w:val="single" w:sz="4" w:space="0" w:color="auto"/>
            </w:tcBorders>
            <w:vAlign w:val="center"/>
          </w:tcPr>
          <w:p w14:paraId="3AD9149F" w14:textId="77777777" w:rsidR="005F3FB7" w:rsidRPr="00260790" w:rsidRDefault="005F3FB7" w:rsidP="00E20250">
            <w:pPr>
              <w:spacing w:after="0" w:line="240" w:lineRule="auto"/>
              <w:ind w:left="360" w:firstLine="360"/>
              <w:rPr>
                <w:rFonts w:ascii="Times New Roman" w:hAnsi="Times New Roman"/>
                <w:color w:val="000000" w:themeColor="text1"/>
              </w:rPr>
            </w:pPr>
            <w:r w:rsidRPr="00260790">
              <w:rPr>
                <w:rFonts w:ascii="Times New Roman" w:hAnsi="Times New Roman"/>
                <w:color w:val="000000" w:themeColor="text1"/>
              </w:rPr>
              <w:t>Implication de tierce partie :</w:t>
            </w:r>
          </w:p>
        </w:tc>
        <w:tc>
          <w:tcPr>
            <w:tcW w:w="1976" w:type="pct"/>
            <w:gridSpan w:val="3"/>
            <w:tcBorders>
              <w:top w:val="single" w:sz="4" w:space="0" w:color="auto"/>
              <w:left w:val="single" w:sz="4" w:space="0" w:color="auto"/>
              <w:bottom w:val="single" w:sz="4" w:space="0" w:color="auto"/>
              <w:right w:val="single" w:sz="4" w:space="0" w:color="auto"/>
            </w:tcBorders>
            <w:vAlign w:val="center"/>
          </w:tcPr>
          <w:p w14:paraId="34F8E803" w14:textId="77777777" w:rsidR="005F3FB7" w:rsidRPr="00260790" w:rsidRDefault="005F3FB7" w:rsidP="00E20250">
            <w:pPr>
              <w:spacing w:after="0" w:line="240" w:lineRule="auto"/>
              <w:ind w:left="360" w:firstLine="360"/>
              <w:rPr>
                <w:rFonts w:ascii="Times New Roman" w:hAnsi="Times New Roman"/>
                <w:color w:val="000000" w:themeColor="text1"/>
              </w:rPr>
            </w:pPr>
            <w:r w:rsidRPr="00260790">
              <w:rPr>
                <w:rFonts w:ascii="Times New Roman" w:hAnsi="Times New Roman"/>
                <w:color w:val="000000" w:themeColor="text1"/>
              </w:rPr>
              <w:t>Notifié par :</w:t>
            </w:r>
          </w:p>
        </w:tc>
      </w:tr>
      <w:tr w:rsidR="00BD1A2F" w:rsidRPr="00260790" w14:paraId="0F9029A8" w14:textId="77777777" w:rsidTr="004F2A79">
        <w:trPr>
          <w:cantSplit/>
          <w:trHeight w:val="81"/>
        </w:trPr>
        <w:tc>
          <w:tcPr>
            <w:tcW w:w="5000" w:type="pct"/>
            <w:gridSpan w:val="8"/>
            <w:tcBorders>
              <w:top w:val="single" w:sz="4" w:space="0" w:color="auto"/>
              <w:left w:val="single" w:sz="4" w:space="0" w:color="auto"/>
              <w:bottom w:val="single" w:sz="4" w:space="0" w:color="auto"/>
              <w:right w:val="single" w:sz="4" w:space="0" w:color="auto"/>
            </w:tcBorders>
            <w:vAlign w:val="center"/>
          </w:tcPr>
          <w:p w14:paraId="5859FEC8" w14:textId="77777777" w:rsidR="005F3FB7" w:rsidRPr="00260790" w:rsidRDefault="005F3FB7" w:rsidP="00E20250">
            <w:pPr>
              <w:spacing w:after="0" w:line="240" w:lineRule="auto"/>
              <w:ind w:left="360" w:firstLine="360"/>
              <w:rPr>
                <w:rFonts w:ascii="Times New Roman" w:hAnsi="Times New Roman"/>
                <w:color w:val="000000" w:themeColor="text1"/>
              </w:rPr>
            </w:pPr>
            <w:r w:rsidRPr="00260790">
              <w:rPr>
                <w:rFonts w:ascii="Times New Roman" w:hAnsi="Times New Roman"/>
                <w:color w:val="000000" w:themeColor="text1"/>
              </w:rPr>
              <w:t>Identification de la cause profonde de l’incident :</w:t>
            </w:r>
          </w:p>
        </w:tc>
      </w:tr>
      <w:tr w:rsidR="00BD1A2F" w:rsidRPr="00260790" w14:paraId="56CB448D" w14:textId="77777777" w:rsidTr="004F2A79">
        <w:trPr>
          <w:cantSplit/>
          <w:trHeight w:val="81"/>
        </w:trPr>
        <w:tc>
          <w:tcPr>
            <w:tcW w:w="5000" w:type="pct"/>
            <w:gridSpan w:val="8"/>
            <w:tcBorders>
              <w:top w:val="single" w:sz="4" w:space="0" w:color="auto"/>
              <w:left w:val="single" w:sz="4" w:space="0" w:color="auto"/>
              <w:bottom w:val="single" w:sz="4" w:space="0" w:color="auto"/>
              <w:right w:val="single" w:sz="4" w:space="0" w:color="auto"/>
            </w:tcBorders>
            <w:vAlign w:val="center"/>
          </w:tcPr>
          <w:p w14:paraId="289AD432" w14:textId="77777777" w:rsidR="005F3FB7" w:rsidRPr="00260790" w:rsidRDefault="005F3FB7" w:rsidP="00E20250">
            <w:pPr>
              <w:spacing w:after="0" w:line="240" w:lineRule="auto"/>
              <w:ind w:left="360" w:firstLine="360"/>
              <w:rPr>
                <w:rFonts w:ascii="Times New Roman" w:hAnsi="Times New Roman"/>
                <w:color w:val="000000" w:themeColor="text1"/>
              </w:rPr>
            </w:pPr>
            <w:r w:rsidRPr="00260790">
              <w:rPr>
                <w:rFonts w:ascii="Times New Roman" w:hAnsi="Times New Roman"/>
                <w:color w:val="000000" w:themeColor="text1"/>
              </w:rPr>
              <w:t>Mesures correctives prises :</w:t>
            </w:r>
          </w:p>
        </w:tc>
      </w:tr>
      <w:tr w:rsidR="00BD1A2F" w:rsidRPr="00260790" w14:paraId="74140EE1" w14:textId="77777777" w:rsidTr="004F2A79">
        <w:trPr>
          <w:cantSplit/>
          <w:trHeight w:val="81"/>
        </w:trPr>
        <w:tc>
          <w:tcPr>
            <w:tcW w:w="5000" w:type="pct"/>
            <w:gridSpan w:val="8"/>
            <w:tcBorders>
              <w:top w:val="single" w:sz="4" w:space="0" w:color="auto"/>
              <w:left w:val="single" w:sz="4" w:space="0" w:color="auto"/>
              <w:bottom w:val="single" w:sz="4" w:space="0" w:color="auto"/>
              <w:right w:val="single" w:sz="4" w:space="0" w:color="auto"/>
            </w:tcBorders>
            <w:vAlign w:val="center"/>
          </w:tcPr>
          <w:p w14:paraId="4F11AC83" w14:textId="77777777" w:rsidR="005F3FB7" w:rsidRPr="00260790" w:rsidRDefault="005F3FB7" w:rsidP="00E20250">
            <w:pPr>
              <w:spacing w:after="0" w:line="240" w:lineRule="auto"/>
              <w:ind w:left="360" w:firstLine="360"/>
              <w:rPr>
                <w:rFonts w:ascii="Times New Roman" w:hAnsi="Times New Roman"/>
                <w:color w:val="000000" w:themeColor="text1"/>
              </w:rPr>
            </w:pPr>
            <w:r w:rsidRPr="00260790">
              <w:rPr>
                <w:rFonts w:ascii="Times New Roman" w:hAnsi="Times New Roman"/>
                <w:color w:val="000000" w:themeColor="text1"/>
              </w:rPr>
              <w:t>Mesures correctives à prendre :</w:t>
            </w:r>
          </w:p>
        </w:tc>
      </w:tr>
      <w:tr w:rsidR="00BD1A2F" w:rsidRPr="00260790" w14:paraId="4C578018" w14:textId="77777777" w:rsidTr="004F2A79">
        <w:trPr>
          <w:cantSplit/>
          <w:trHeight w:val="81"/>
        </w:trPr>
        <w:tc>
          <w:tcPr>
            <w:tcW w:w="5000" w:type="pct"/>
            <w:gridSpan w:val="8"/>
            <w:tcBorders>
              <w:top w:val="single" w:sz="4" w:space="0" w:color="auto"/>
              <w:left w:val="single" w:sz="4" w:space="0" w:color="auto"/>
              <w:bottom w:val="single" w:sz="4" w:space="0" w:color="auto"/>
              <w:right w:val="single" w:sz="4" w:space="0" w:color="auto"/>
            </w:tcBorders>
            <w:vAlign w:val="center"/>
          </w:tcPr>
          <w:p w14:paraId="408BC027" w14:textId="77777777" w:rsidR="005F3FB7" w:rsidRPr="00260790" w:rsidRDefault="005F3FB7" w:rsidP="00E20250">
            <w:pPr>
              <w:spacing w:after="0" w:line="240" w:lineRule="auto"/>
              <w:ind w:left="360" w:firstLine="360"/>
              <w:rPr>
                <w:rFonts w:ascii="Times New Roman" w:hAnsi="Times New Roman"/>
                <w:color w:val="000000" w:themeColor="text1"/>
              </w:rPr>
            </w:pPr>
            <w:r w:rsidRPr="00260790">
              <w:rPr>
                <w:rFonts w:ascii="Times New Roman" w:hAnsi="Times New Roman"/>
                <w:color w:val="000000" w:themeColor="text1"/>
              </w:rPr>
              <w:t>Mesures prises pour éviter toute reproduction :</w:t>
            </w:r>
          </w:p>
        </w:tc>
      </w:tr>
      <w:tr w:rsidR="00BD1A2F" w:rsidRPr="00260790" w14:paraId="6ADC4DE3" w14:textId="77777777" w:rsidTr="004F2A79">
        <w:trPr>
          <w:cantSplit/>
          <w:trHeight w:val="81"/>
        </w:trPr>
        <w:tc>
          <w:tcPr>
            <w:tcW w:w="5000" w:type="pct"/>
            <w:gridSpan w:val="8"/>
            <w:tcBorders>
              <w:top w:val="single" w:sz="4" w:space="0" w:color="auto"/>
              <w:left w:val="single" w:sz="4" w:space="0" w:color="auto"/>
              <w:bottom w:val="single" w:sz="4" w:space="0" w:color="auto"/>
              <w:right w:val="single" w:sz="4" w:space="0" w:color="auto"/>
            </w:tcBorders>
            <w:vAlign w:val="center"/>
          </w:tcPr>
          <w:p w14:paraId="53D9F016" w14:textId="77777777" w:rsidR="005F3FB7" w:rsidRPr="00260790" w:rsidRDefault="005F3FB7" w:rsidP="00E20250">
            <w:pPr>
              <w:spacing w:after="0" w:line="240" w:lineRule="auto"/>
              <w:ind w:left="360" w:firstLine="360"/>
              <w:rPr>
                <w:rFonts w:ascii="Times New Roman" w:hAnsi="Times New Roman"/>
                <w:color w:val="000000" w:themeColor="text1"/>
              </w:rPr>
            </w:pPr>
            <w:r w:rsidRPr="00260790">
              <w:rPr>
                <w:rFonts w:ascii="Times New Roman" w:hAnsi="Times New Roman"/>
                <w:color w:val="000000" w:themeColor="text1"/>
              </w:rPr>
              <w:t>Numéros de référence de la documentation photo :</w:t>
            </w:r>
          </w:p>
        </w:tc>
      </w:tr>
      <w:tr w:rsidR="00BD1A2F" w:rsidRPr="00260790" w14:paraId="71F559B3" w14:textId="77777777" w:rsidTr="005F3FB7">
        <w:trPr>
          <w:cantSplit/>
          <w:trHeight w:val="373"/>
        </w:trPr>
        <w:tc>
          <w:tcPr>
            <w:tcW w:w="5000" w:type="pct"/>
            <w:gridSpan w:val="8"/>
            <w:tcBorders>
              <w:top w:val="single" w:sz="4" w:space="0" w:color="auto"/>
              <w:left w:val="single" w:sz="4" w:space="0" w:color="auto"/>
              <w:bottom w:val="single" w:sz="4" w:space="0" w:color="auto"/>
              <w:right w:val="single" w:sz="4" w:space="0" w:color="auto"/>
            </w:tcBorders>
            <w:vAlign w:val="center"/>
          </w:tcPr>
          <w:p w14:paraId="20A4EBC3" w14:textId="77777777" w:rsidR="005F3FB7" w:rsidRPr="00260790" w:rsidRDefault="005F3FB7" w:rsidP="00E20250">
            <w:pPr>
              <w:spacing w:after="0" w:line="240" w:lineRule="auto"/>
              <w:ind w:left="360" w:firstLine="360"/>
              <w:rPr>
                <w:rFonts w:ascii="Times New Roman" w:hAnsi="Times New Roman"/>
                <w:color w:val="000000" w:themeColor="text1"/>
              </w:rPr>
            </w:pPr>
            <w:r w:rsidRPr="00260790">
              <w:rPr>
                <w:rFonts w:ascii="Times New Roman" w:hAnsi="Times New Roman"/>
                <w:color w:val="000000" w:themeColor="text1"/>
              </w:rPr>
              <w:t>Personne(s) responsable(s) de la mise en œuvre des mesures correctives ou d’atténuation :</w:t>
            </w:r>
          </w:p>
        </w:tc>
      </w:tr>
      <w:tr w:rsidR="00BD1A2F" w:rsidRPr="00260790" w14:paraId="0BD3E2EF" w14:textId="77777777" w:rsidTr="004F2A79">
        <w:trPr>
          <w:cantSplit/>
          <w:trHeight w:val="81"/>
        </w:trPr>
        <w:tc>
          <w:tcPr>
            <w:tcW w:w="2450" w:type="pct"/>
            <w:gridSpan w:val="4"/>
            <w:tcBorders>
              <w:top w:val="single" w:sz="4" w:space="0" w:color="auto"/>
              <w:left w:val="single" w:sz="4" w:space="0" w:color="auto"/>
              <w:bottom w:val="single" w:sz="4" w:space="0" w:color="auto"/>
              <w:right w:val="single" w:sz="4" w:space="0" w:color="auto"/>
            </w:tcBorders>
            <w:vAlign w:val="center"/>
          </w:tcPr>
          <w:p w14:paraId="6C7F1B44" w14:textId="77777777" w:rsidR="005F3FB7" w:rsidRPr="00260790" w:rsidRDefault="005F3FB7" w:rsidP="00E20250">
            <w:pPr>
              <w:spacing w:after="0" w:line="240" w:lineRule="auto"/>
              <w:ind w:left="360" w:firstLine="360"/>
              <w:rPr>
                <w:rFonts w:ascii="Times New Roman" w:hAnsi="Times New Roman"/>
                <w:color w:val="000000" w:themeColor="text1"/>
              </w:rPr>
            </w:pPr>
            <w:r w:rsidRPr="00260790">
              <w:rPr>
                <w:rFonts w:ascii="Times New Roman" w:hAnsi="Times New Roman"/>
                <w:color w:val="000000" w:themeColor="text1"/>
              </w:rPr>
              <w:t>Délai de clôture (jj-mm-</w:t>
            </w:r>
            <w:proofErr w:type="spellStart"/>
            <w:r w:rsidRPr="00260790">
              <w:rPr>
                <w:rFonts w:ascii="Times New Roman" w:hAnsi="Times New Roman"/>
                <w:color w:val="000000" w:themeColor="text1"/>
              </w:rPr>
              <w:t>aaaa</w:t>
            </w:r>
            <w:proofErr w:type="spellEnd"/>
            <w:r w:rsidRPr="00260790">
              <w:rPr>
                <w:rFonts w:ascii="Times New Roman" w:hAnsi="Times New Roman"/>
                <w:color w:val="000000" w:themeColor="text1"/>
              </w:rPr>
              <w:t>) :</w:t>
            </w:r>
          </w:p>
        </w:tc>
        <w:tc>
          <w:tcPr>
            <w:tcW w:w="2550" w:type="pct"/>
            <w:gridSpan w:val="4"/>
            <w:tcBorders>
              <w:top w:val="single" w:sz="4" w:space="0" w:color="auto"/>
              <w:left w:val="single" w:sz="4" w:space="0" w:color="auto"/>
              <w:bottom w:val="single" w:sz="4" w:space="0" w:color="auto"/>
              <w:right w:val="single" w:sz="4" w:space="0" w:color="auto"/>
            </w:tcBorders>
            <w:vAlign w:val="center"/>
          </w:tcPr>
          <w:p w14:paraId="6345E7A0" w14:textId="77777777" w:rsidR="005F3FB7" w:rsidRPr="00260790" w:rsidRDefault="005F3FB7" w:rsidP="00E20250">
            <w:pPr>
              <w:spacing w:after="0" w:line="240" w:lineRule="auto"/>
              <w:ind w:left="360" w:firstLine="360"/>
              <w:rPr>
                <w:rFonts w:ascii="Times New Roman" w:hAnsi="Times New Roman"/>
                <w:color w:val="000000" w:themeColor="text1"/>
              </w:rPr>
            </w:pPr>
            <w:r w:rsidRPr="00260790">
              <w:rPr>
                <w:rFonts w:ascii="Times New Roman" w:hAnsi="Times New Roman"/>
                <w:color w:val="000000" w:themeColor="text1"/>
              </w:rPr>
              <w:t>Date de clôture (jj-mm-</w:t>
            </w:r>
            <w:proofErr w:type="spellStart"/>
            <w:r w:rsidRPr="00260790">
              <w:rPr>
                <w:rFonts w:ascii="Times New Roman" w:hAnsi="Times New Roman"/>
                <w:color w:val="000000" w:themeColor="text1"/>
              </w:rPr>
              <w:t>aaaa</w:t>
            </w:r>
            <w:proofErr w:type="spellEnd"/>
            <w:r w:rsidRPr="00260790">
              <w:rPr>
                <w:rFonts w:ascii="Times New Roman" w:hAnsi="Times New Roman"/>
                <w:color w:val="000000" w:themeColor="text1"/>
              </w:rPr>
              <w:t>) :</w:t>
            </w:r>
          </w:p>
        </w:tc>
      </w:tr>
      <w:tr w:rsidR="00BD1A2F" w:rsidRPr="00260790" w14:paraId="69FC6877" w14:textId="77777777" w:rsidTr="004F2A79">
        <w:trPr>
          <w:cantSplit/>
          <w:trHeight w:val="81"/>
        </w:trPr>
        <w:tc>
          <w:tcPr>
            <w:tcW w:w="1477" w:type="pct"/>
            <w:gridSpan w:val="2"/>
            <w:tcBorders>
              <w:top w:val="single" w:sz="4" w:space="0" w:color="auto"/>
              <w:left w:val="single" w:sz="4" w:space="0" w:color="auto"/>
              <w:bottom w:val="single" w:sz="4" w:space="0" w:color="auto"/>
              <w:right w:val="single" w:sz="4" w:space="0" w:color="auto"/>
            </w:tcBorders>
            <w:vAlign w:val="center"/>
          </w:tcPr>
          <w:p w14:paraId="5AB59D53" w14:textId="77777777" w:rsidR="005F3FB7" w:rsidRPr="00260790" w:rsidRDefault="005F3FB7" w:rsidP="00E20250">
            <w:pPr>
              <w:spacing w:after="0" w:line="240" w:lineRule="auto"/>
              <w:ind w:left="576" w:hanging="576"/>
              <w:rPr>
                <w:rFonts w:ascii="Times New Roman" w:hAnsi="Times New Roman"/>
                <w:color w:val="000000" w:themeColor="text1"/>
              </w:rPr>
            </w:pPr>
          </w:p>
        </w:tc>
        <w:tc>
          <w:tcPr>
            <w:tcW w:w="1720" w:type="pct"/>
            <w:gridSpan w:val="4"/>
            <w:tcBorders>
              <w:top w:val="single" w:sz="4" w:space="0" w:color="auto"/>
              <w:left w:val="single" w:sz="4" w:space="0" w:color="auto"/>
              <w:bottom w:val="single" w:sz="4" w:space="0" w:color="auto"/>
              <w:right w:val="single" w:sz="4" w:space="0" w:color="auto"/>
            </w:tcBorders>
            <w:vAlign w:val="center"/>
          </w:tcPr>
          <w:p w14:paraId="04616354" w14:textId="77777777" w:rsidR="005F3FB7" w:rsidRPr="00260790" w:rsidRDefault="005F3FB7" w:rsidP="00E20250">
            <w:pPr>
              <w:spacing w:after="0" w:line="240" w:lineRule="auto"/>
              <w:ind w:left="360" w:firstLine="360"/>
              <w:rPr>
                <w:rFonts w:ascii="Times New Roman" w:hAnsi="Times New Roman"/>
                <w:color w:val="000000" w:themeColor="text1"/>
              </w:rPr>
            </w:pPr>
            <w:r w:rsidRPr="00260790">
              <w:rPr>
                <w:rFonts w:ascii="Times New Roman" w:hAnsi="Times New Roman"/>
                <w:color w:val="000000" w:themeColor="text1"/>
              </w:rPr>
              <w:t>Agent de protection de l’environnement</w:t>
            </w:r>
          </w:p>
        </w:tc>
        <w:tc>
          <w:tcPr>
            <w:tcW w:w="1802" w:type="pct"/>
            <w:gridSpan w:val="2"/>
            <w:tcBorders>
              <w:top w:val="single" w:sz="4" w:space="0" w:color="auto"/>
              <w:left w:val="single" w:sz="4" w:space="0" w:color="auto"/>
              <w:bottom w:val="single" w:sz="4" w:space="0" w:color="auto"/>
              <w:right w:val="single" w:sz="4" w:space="0" w:color="auto"/>
            </w:tcBorders>
            <w:vAlign w:val="center"/>
          </w:tcPr>
          <w:p w14:paraId="272C4FC1" w14:textId="77777777" w:rsidR="005F3FB7" w:rsidRPr="00260790" w:rsidRDefault="005F3FB7" w:rsidP="00E20250">
            <w:pPr>
              <w:spacing w:after="0" w:line="240" w:lineRule="auto"/>
              <w:ind w:left="360" w:firstLine="360"/>
              <w:rPr>
                <w:rFonts w:ascii="Times New Roman" w:hAnsi="Times New Roman"/>
                <w:color w:val="000000" w:themeColor="text1"/>
              </w:rPr>
            </w:pPr>
            <w:r w:rsidRPr="00260790">
              <w:rPr>
                <w:rFonts w:ascii="Times New Roman" w:hAnsi="Times New Roman"/>
                <w:color w:val="000000" w:themeColor="text1"/>
              </w:rPr>
              <w:t>Ingénieur superviseur</w:t>
            </w:r>
          </w:p>
        </w:tc>
      </w:tr>
      <w:tr w:rsidR="00BD1A2F" w:rsidRPr="00260790" w14:paraId="026424BA" w14:textId="77777777" w:rsidTr="004F2A79">
        <w:trPr>
          <w:cantSplit/>
          <w:trHeight w:val="81"/>
        </w:trPr>
        <w:tc>
          <w:tcPr>
            <w:tcW w:w="1477" w:type="pct"/>
            <w:gridSpan w:val="2"/>
            <w:tcBorders>
              <w:top w:val="single" w:sz="4" w:space="0" w:color="auto"/>
              <w:left w:val="single" w:sz="4" w:space="0" w:color="auto"/>
              <w:bottom w:val="single" w:sz="4" w:space="0" w:color="auto"/>
              <w:right w:val="single" w:sz="4" w:space="0" w:color="auto"/>
            </w:tcBorders>
            <w:vAlign w:val="center"/>
          </w:tcPr>
          <w:p w14:paraId="134096C4" w14:textId="77777777" w:rsidR="005F3FB7" w:rsidRPr="00260790" w:rsidRDefault="005F3FB7" w:rsidP="00E20250">
            <w:pPr>
              <w:spacing w:after="0" w:line="240" w:lineRule="auto"/>
              <w:ind w:left="360" w:firstLine="360"/>
              <w:rPr>
                <w:rFonts w:ascii="Times New Roman" w:hAnsi="Times New Roman"/>
                <w:color w:val="000000" w:themeColor="text1"/>
              </w:rPr>
            </w:pPr>
            <w:r w:rsidRPr="00260790">
              <w:rPr>
                <w:rFonts w:ascii="Times New Roman" w:hAnsi="Times New Roman"/>
                <w:color w:val="000000" w:themeColor="text1"/>
              </w:rPr>
              <w:t>Nom</w:t>
            </w:r>
          </w:p>
        </w:tc>
        <w:tc>
          <w:tcPr>
            <w:tcW w:w="1720" w:type="pct"/>
            <w:gridSpan w:val="4"/>
            <w:tcBorders>
              <w:top w:val="single" w:sz="4" w:space="0" w:color="auto"/>
              <w:left w:val="single" w:sz="4" w:space="0" w:color="auto"/>
              <w:bottom w:val="single" w:sz="4" w:space="0" w:color="auto"/>
              <w:right w:val="single" w:sz="4" w:space="0" w:color="auto"/>
            </w:tcBorders>
            <w:vAlign w:val="center"/>
          </w:tcPr>
          <w:p w14:paraId="2FE4A882" w14:textId="77777777" w:rsidR="005F3FB7" w:rsidRPr="00260790" w:rsidRDefault="005F3FB7" w:rsidP="00E20250">
            <w:pPr>
              <w:spacing w:after="0" w:line="240" w:lineRule="auto"/>
              <w:ind w:left="576" w:hanging="576"/>
              <w:rPr>
                <w:rFonts w:ascii="Times New Roman" w:hAnsi="Times New Roman"/>
                <w:color w:val="000000" w:themeColor="text1"/>
              </w:rPr>
            </w:pPr>
          </w:p>
        </w:tc>
        <w:tc>
          <w:tcPr>
            <w:tcW w:w="1802" w:type="pct"/>
            <w:gridSpan w:val="2"/>
            <w:tcBorders>
              <w:top w:val="single" w:sz="4" w:space="0" w:color="auto"/>
              <w:left w:val="single" w:sz="4" w:space="0" w:color="auto"/>
              <w:bottom w:val="single" w:sz="4" w:space="0" w:color="auto"/>
              <w:right w:val="single" w:sz="4" w:space="0" w:color="auto"/>
            </w:tcBorders>
            <w:vAlign w:val="center"/>
          </w:tcPr>
          <w:p w14:paraId="72214BC1" w14:textId="77777777" w:rsidR="005F3FB7" w:rsidRPr="00260790" w:rsidRDefault="005F3FB7" w:rsidP="00E20250">
            <w:pPr>
              <w:spacing w:after="0" w:line="240" w:lineRule="auto"/>
              <w:ind w:left="576" w:hanging="576"/>
              <w:rPr>
                <w:rFonts w:ascii="Times New Roman" w:hAnsi="Times New Roman"/>
                <w:color w:val="000000" w:themeColor="text1"/>
              </w:rPr>
            </w:pPr>
          </w:p>
        </w:tc>
      </w:tr>
      <w:tr w:rsidR="00BD1A2F" w:rsidRPr="00260790" w14:paraId="4B9E02DB" w14:textId="77777777" w:rsidTr="004F2A79">
        <w:trPr>
          <w:cantSplit/>
          <w:trHeight w:val="81"/>
        </w:trPr>
        <w:tc>
          <w:tcPr>
            <w:tcW w:w="1477" w:type="pct"/>
            <w:gridSpan w:val="2"/>
            <w:tcBorders>
              <w:top w:val="single" w:sz="4" w:space="0" w:color="auto"/>
              <w:left w:val="single" w:sz="4" w:space="0" w:color="auto"/>
              <w:bottom w:val="single" w:sz="4" w:space="0" w:color="auto"/>
              <w:right w:val="single" w:sz="4" w:space="0" w:color="auto"/>
            </w:tcBorders>
            <w:vAlign w:val="center"/>
          </w:tcPr>
          <w:p w14:paraId="56E19F8D" w14:textId="77777777" w:rsidR="005F3FB7" w:rsidRPr="00260790" w:rsidRDefault="005F3FB7" w:rsidP="00E20250">
            <w:pPr>
              <w:spacing w:after="0" w:line="240" w:lineRule="auto"/>
              <w:ind w:left="360" w:firstLine="360"/>
              <w:rPr>
                <w:rFonts w:ascii="Times New Roman" w:hAnsi="Times New Roman"/>
                <w:color w:val="000000" w:themeColor="text1"/>
              </w:rPr>
            </w:pPr>
            <w:r w:rsidRPr="00260790">
              <w:rPr>
                <w:rFonts w:ascii="Times New Roman" w:hAnsi="Times New Roman"/>
                <w:color w:val="000000" w:themeColor="text1"/>
              </w:rPr>
              <w:t>Signature</w:t>
            </w:r>
          </w:p>
        </w:tc>
        <w:tc>
          <w:tcPr>
            <w:tcW w:w="1720" w:type="pct"/>
            <w:gridSpan w:val="4"/>
            <w:tcBorders>
              <w:top w:val="single" w:sz="4" w:space="0" w:color="auto"/>
              <w:left w:val="single" w:sz="4" w:space="0" w:color="auto"/>
              <w:bottom w:val="single" w:sz="4" w:space="0" w:color="auto"/>
              <w:right w:val="single" w:sz="4" w:space="0" w:color="auto"/>
            </w:tcBorders>
            <w:vAlign w:val="center"/>
          </w:tcPr>
          <w:p w14:paraId="28B2D5F8" w14:textId="77777777" w:rsidR="005F3FB7" w:rsidRPr="00260790" w:rsidRDefault="005F3FB7" w:rsidP="00E20250">
            <w:pPr>
              <w:spacing w:after="0" w:line="240" w:lineRule="auto"/>
              <w:ind w:left="576" w:hanging="576"/>
              <w:rPr>
                <w:rFonts w:ascii="Times New Roman" w:hAnsi="Times New Roman"/>
                <w:color w:val="000000" w:themeColor="text1"/>
              </w:rPr>
            </w:pPr>
          </w:p>
        </w:tc>
        <w:tc>
          <w:tcPr>
            <w:tcW w:w="1802" w:type="pct"/>
            <w:gridSpan w:val="2"/>
            <w:tcBorders>
              <w:top w:val="single" w:sz="4" w:space="0" w:color="auto"/>
              <w:left w:val="single" w:sz="4" w:space="0" w:color="auto"/>
              <w:bottom w:val="single" w:sz="4" w:space="0" w:color="auto"/>
              <w:right w:val="single" w:sz="4" w:space="0" w:color="auto"/>
            </w:tcBorders>
            <w:vAlign w:val="center"/>
          </w:tcPr>
          <w:p w14:paraId="6FC74B3B" w14:textId="77777777" w:rsidR="005F3FB7" w:rsidRPr="00260790" w:rsidRDefault="005F3FB7" w:rsidP="00E20250">
            <w:pPr>
              <w:spacing w:after="0" w:line="240" w:lineRule="auto"/>
              <w:ind w:left="576" w:hanging="576"/>
              <w:rPr>
                <w:rFonts w:ascii="Times New Roman" w:hAnsi="Times New Roman"/>
                <w:color w:val="000000" w:themeColor="text1"/>
              </w:rPr>
            </w:pPr>
          </w:p>
        </w:tc>
      </w:tr>
      <w:tr w:rsidR="00BD1A2F" w:rsidRPr="00260790" w14:paraId="12CE9590" w14:textId="77777777" w:rsidTr="004F2A79">
        <w:trPr>
          <w:cantSplit/>
          <w:trHeight w:val="81"/>
        </w:trPr>
        <w:tc>
          <w:tcPr>
            <w:tcW w:w="1477" w:type="pct"/>
            <w:gridSpan w:val="2"/>
            <w:tcBorders>
              <w:top w:val="single" w:sz="4" w:space="0" w:color="auto"/>
              <w:left w:val="single" w:sz="4" w:space="0" w:color="auto"/>
              <w:bottom w:val="single" w:sz="4" w:space="0" w:color="auto"/>
              <w:right w:val="single" w:sz="4" w:space="0" w:color="auto"/>
            </w:tcBorders>
            <w:vAlign w:val="center"/>
          </w:tcPr>
          <w:p w14:paraId="07E05F1B" w14:textId="1D72047E" w:rsidR="005F3FB7" w:rsidRPr="00260790" w:rsidRDefault="005F3FB7" w:rsidP="00E20250">
            <w:pPr>
              <w:spacing w:after="0" w:line="240" w:lineRule="auto"/>
              <w:ind w:left="360"/>
              <w:rPr>
                <w:rFonts w:ascii="Times New Roman" w:hAnsi="Times New Roman"/>
                <w:color w:val="000000" w:themeColor="text1"/>
              </w:rPr>
            </w:pPr>
            <w:r w:rsidRPr="00260790">
              <w:rPr>
                <w:rFonts w:ascii="Times New Roman" w:hAnsi="Times New Roman"/>
                <w:color w:val="000000" w:themeColor="text1"/>
              </w:rPr>
              <w:t>Date (jj-mm</w:t>
            </w:r>
            <w:r w:rsidR="005C19B2" w:rsidRPr="00260790">
              <w:rPr>
                <w:rFonts w:ascii="Times New Roman" w:hAnsi="Times New Roman"/>
                <w:color w:val="000000" w:themeColor="text1"/>
              </w:rPr>
              <w:t>-</w:t>
            </w:r>
            <w:proofErr w:type="spellStart"/>
            <w:r w:rsidRPr="00260790">
              <w:rPr>
                <w:rFonts w:ascii="Times New Roman" w:hAnsi="Times New Roman"/>
                <w:color w:val="000000" w:themeColor="text1"/>
              </w:rPr>
              <w:t>aaaa</w:t>
            </w:r>
            <w:proofErr w:type="spellEnd"/>
            <w:r w:rsidRPr="00260790">
              <w:rPr>
                <w:rFonts w:ascii="Times New Roman" w:hAnsi="Times New Roman"/>
                <w:color w:val="000000" w:themeColor="text1"/>
              </w:rPr>
              <w:t>)</w:t>
            </w:r>
          </w:p>
        </w:tc>
        <w:tc>
          <w:tcPr>
            <w:tcW w:w="1720" w:type="pct"/>
            <w:gridSpan w:val="4"/>
            <w:tcBorders>
              <w:top w:val="single" w:sz="4" w:space="0" w:color="auto"/>
              <w:left w:val="single" w:sz="4" w:space="0" w:color="auto"/>
              <w:bottom w:val="single" w:sz="4" w:space="0" w:color="auto"/>
              <w:right w:val="single" w:sz="4" w:space="0" w:color="auto"/>
            </w:tcBorders>
            <w:vAlign w:val="center"/>
          </w:tcPr>
          <w:p w14:paraId="45AD5697" w14:textId="77777777" w:rsidR="005F3FB7" w:rsidRPr="00260790" w:rsidRDefault="005F3FB7" w:rsidP="00E20250">
            <w:pPr>
              <w:spacing w:after="0" w:line="240" w:lineRule="auto"/>
              <w:ind w:left="576" w:hanging="576"/>
              <w:rPr>
                <w:rFonts w:ascii="Times New Roman" w:hAnsi="Times New Roman"/>
                <w:color w:val="000000" w:themeColor="text1"/>
              </w:rPr>
            </w:pPr>
          </w:p>
        </w:tc>
        <w:tc>
          <w:tcPr>
            <w:tcW w:w="1802" w:type="pct"/>
            <w:gridSpan w:val="2"/>
            <w:tcBorders>
              <w:top w:val="single" w:sz="4" w:space="0" w:color="auto"/>
              <w:left w:val="single" w:sz="4" w:space="0" w:color="auto"/>
              <w:bottom w:val="single" w:sz="4" w:space="0" w:color="auto"/>
              <w:right w:val="single" w:sz="4" w:space="0" w:color="auto"/>
            </w:tcBorders>
            <w:vAlign w:val="center"/>
          </w:tcPr>
          <w:p w14:paraId="25DFB925" w14:textId="77777777" w:rsidR="005F3FB7" w:rsidRPr="00260790" w:rsidRDefault="005F3FB7" w:rsidP="00E20250">
            <w:pPr>
              <w:spacing w:after="0" w:line="240" w:lineRule="auto"/>
              <w:ind w:left="576" w:hanging="576"/>
              <w:rPr>
                <w:rFonts w:ascii="Times New Roman" w:hAnsi="Times New Roman"/>
                <w:color w:val="000000" w:themeColor="text1"/>
              </w:rPr>
            </w:pPr>
          </w:p>
        </w:tc>
      </w:tr>
    </w:tbl>
    <w:p w14:paraId="1A4C75FA" w14:textId="77777777" w:rsidR="005F3FB7" w:rsidRPr="00260790" w:rsidRDefault="005F3FB7" w:rsidP="00E20250">
      <w:pPr>
        <w:spacing w:after="200" w:line="240" w:lineRule="auto"/>
        <w:ind w:left="576" w:hanging="576"/>
        <w:rPr>
          <w:rFonts w:ascii="Times New Roman" w:hAnsi="Times New Roman"/>
          <w:color w:val="000000" w:themeColor="text1"/>
        </w:rPr>
      </w:pPr>
    </w:p>
    <w:p w14:paraId="0256C84C" w14:textId="77777777" w:rsidR="005F3FB7" w:rsidRPr="00260790" w:rsidRDefault="005F3FB7" w:rsidP="00E20250">
      <w:pPr>
        <w:spacing w:after="0" w:line="240" w:lineRule="auto"/>
        <w:rPr>
          <w:rFonts w:ascii="Times New Roman" w:hAnsi="Times New Roman"/>
          <w:color w:val="000000" w:themeColor="text1"/>
        </w:rPr>
      </w:pPr>
      <w:r w:rsidRPr="00260790">
        <w:rPr>
          <w:rFonts w:ascii="Times New Roman" w:hAnsi="Times New Roman"/>
          <w:color w:val="000000" w:themeColor="text1"/>
        </w:rPr>
        <w:br w:type="page"/>
      </w:r>
    </w:p>
    <w:p w14:paraId="564EC23B" w14:textId="77777777" w:rsidR="005F3FB7" w:rsidRPr="00260790" w:rsidRDefault="005F3FB7" w:rsidP="00E20250">
      <w:pPr>
        <w:spacing w:after="0" w:line="240" w:lineRule="auto"/>
        <w:ind w:left="576" w:hanging="576"/>
        <w:rPr>
          <w:rFonts w:ascii="Times New Roman" w:hAnsi="Times New Roman"/>
          <w:color w:val="000000" w:themeColor="text1"/>
        </w:rPr>
      </w:pPr>
      <w:r w:rsidRPr="00260790">
        <w:rPr>
          <w:rFonts w:ascii="Times New Roman" w:hAnsi="Times New Roman"/>
          <w:color w:val="000000" w:themeColor="text1"/>
        </w:rPr>
        <w:lastRenderedPageBreak/>
        <w:t>Veuillez intégrer ou annexer les informations suivantes, le cas échéant.</w:t>
      </w:r>
    </w:p>
    <w:p w14:paraId="267E3B3D" w14:textId="77777777" w:rsidR="005F3FB7" w:rsidRPr="00260790" w:rsidRDefault="005F3FB7" w:rsidP="00E20250">
      <w:pPr>
        <w:spacing w:after="0" w:line="240" w:lineRule="auto"/>
        <w:ind w:left="576" w:hanging="576"/>
        <w:rPr>
          <w:rFonts w:ascii="Times New Roman" w:hAnsi="Times New Roman"/>
          <w:color w:val="000000" w:themeColor="text1"/>
        </w:rPr>
      </w:pPr>
    </w:p>
    <w:p w14:paraId="53B3498F" w14:textId="77777777" w:rsidR="005F3FB7" w:rsidRPr="00260790" w:rsidRDefault="005F3FB7" w:rsidP="001748C6">
      <w:pPr>
        <w:keepLines/>
        <w:numPr>
          <w:ilvl w:val="0"/>
          <w:numId w:val="95"/>
        </w:numPr>
        <w:spacing w:after="0" w:line="240" w:lineRule="auto"/>
        <w:rPr>
          <w:rFonts w:ascii="Times New Roman" w:hAnsi="Times New Roman"/>
          <w:color w:val="000000" w:themeColor="text1"/>
        </w:rPr>
      </w:pPr>
      <w:r w:rsidRPr="00260790">
        <w:rPr>
          <w:rFonts w:ascii="Times New Roman" w:hAnsi="Times New Roman"/>
          <w:color w:val="000000" w:themeColor="text1"/>
        </w:rPr>
        <w:t>Détails particuliers</w:t>
      </w:r>
    </w:p>
    <w:p w14:paraId="2019C7D8" w14:textId="77777777" w:rsidR="005F3FB7" w:rsidRPr="00260790" w:rsidRDefault="005F3FB7" w:rsidP="001748C6">
      <w:pPr>
        <w:keepLines/>
        <w:numPr>
          <w:ilvl w:val="0"/>
          <w:numId w:val="95"/>
        </w:numPr>
        <w:spacing w:after="0" w:line="240" w:lineRule="auto"/>
        <w:rPr>
          <w:rFonts w:ascii="Times New Roman" w:hAnsi="Times New Roman"/>
          <w:color w:val="000000" w:themeColor="text1"/>
        </w:rPr>
      </w:pPr>
      <w:r w:rsidRPr="00260790">
        <w:rPr>
          <w:rFonts w:ascii="Times New Roman" w:hAnsi="Times New Roman"/>
          <w:color w:val="000000" w:themeColor="text1"/>
        </w:rPr>
        <w:t>Date</w:t>
      </w:r>
    </w:p>
    <w:p w14:paraId="18147B98" w14:textId="77777777" w:rsidR="005F3FB7" w:rsidRPr="00260790" w:rsidRDefault="005F3FB7" w:rsidP="001748C6">
      <w:pPr>
        <w:keepLines/>
        <w:numPr>
          <w:ilvl w:val="0"/>
          <w:numId w:val="95"/>
        </w:numPr>
        <w:spacing w:after="0" w:line="240" w:lineRule="auto"/>
        <w:rPr>
          <w:rFonts w:ascii="Times New Roman" w:hAnsi="Times New Roman"/>
          <w:color w:val="000000" w:themeColor="text1"/>
        </w:rPr>
      </w:pPr>
      <w:r w:rsidRPr="00260790">
        <w:rPr>
          <w:rFonts w:ascii="Times New Roman" w:hAnsi="Times New Roman"/>
          <w:color w:val="000000" w:themeColor="text1"/>
        </w:rPr>
        <w:t>Heure</w:t>
      </w:r>
    </w:p>
    <w:p w14:paraId="64D62CB1" w14:textId="77777777" w:rsidR="005F3FB7" w:rsidRPr="00260790" w:rsidRDefault="005F3FB7" w:rsidP="001748C6">
      <w:pPr>
        <w:keepLines/>
        <w:numPr>
          <w:ilvl w:val="0"/>
          <w:numId w:val="95"/>
        </w:numPr>
        <w:spacing w:after="0" w:line="240" w:lineRule="auto"/>
        <w:rPr>
          <w:rFonts w:ascii="Times New Roman" w:hAnsi="Times New Roman"/>
          <w:color w:val="000000" w:themeColor="text1"/>
        </w:rPr>
      </w:pPr>
      <w:r w:rsidRPr="00260790">
        <w:rPr>
          <w:rFonts w:ascii="Times New Roman" w:hAnsi="Times New Roman"/>
          <w:color w:val="000000" w:themeColor="text1"/>
        </w:rPr>
        <w:t>Conditions atmosphériques /visibilité</w:t>
      </w:r>
    </w:p>
    <w:p w14:paraId="077D5E2B" w14:textId="77777777" w:rsidR="005F3FB7" w:rsidRPr="00260790" w:rsidRDefault="005F3FB7" w:rsidP="001748C6">
      <w:pPr>
        <w:keepLines/>
        <w:numPr>
          <w:ilvl w:val="0"/>
          <w:numId w:val="95"/>
        </w:numPr>
        <w:spacing w:after="0" w:line="240" w:lineRule="auto"/>
        <w:rPr>
          <w:rFonts w:ascii="Times New Roman" w:hAnsi="Times New Roman"/>
          <w:color w:val="000000" w:themeColor="text1"/>
        </w:rPr>
      </w:pPr>
      <w:r w:rsidRPr="00260790">
        <w:rPr>
          <w:rFonts w:ascii="Times New Roman" w:hAnsi="Times New Roman"/>
          <w:color w:val="000000" w:themeColor="text1"/>
        </w:rPr>
        <w:t xml:space="preserve">État de la route </w:t>
      </w:r>
    </w:p>
    <w:p w14:paraId="6F923F41" w14:textId="77777777" w:rsidR="005F3FB7" w:rsidRPr="00260790" w:rsidRDefault="005F3FB7" w:rsidP="001748C6">
      <w:pPr>
        <w:keepLines/>
        <w:numPr>
          <w:ilvl w:val="0"/>
          <w:numId w:val="95"/>
        </w:numPr>
        <w:spacing w:after="0" w:line="240" w:lineRule="auto"/>
        <w:rPr>
          <w:rFonts w:ascii="Times New Roman" w:hAnsi="Times New Roman"/>
          <w:color w:val="000000" w:themeColor="text1"/>
        </w:rPr>
      </w:pPr>
      <w:r w:rsidRPr="00260790">
        <w:rPr>
          <w:rFonts w:ascii="Times New Roman" w:hAnsi="Times New Roman"/>
          <w:color w:val="000000" w:themeColor="text1"/>
        </w:rPr>
        <w:t>Lieu précis, notamment les coordonnées GPS, de l’incident (y compris les découvertes archéologiques fortuites)</w:t>
      </w:r>
    </w:p>
    <w:p w14:paraId="5891A430" w14:textId="77777777" w:rsidR="005F3FB7" w:rsidRPr="00260790" w:rsidRDefault="005F3FB7" w:rsidP="001748C6">
      <w:pPr>
        <w:keepLines/>
        <w:numPr>
          <w:ilvl w:val="0"/>
          <w:numId w:val="95"/>
        </w:numPr>
        <w:spacing w:after="0" w:line="240" w:lineRule="auto"/>
        <w:rPr>
          <w:rFonts w:ascii="Times New Roman" w:hAnsi="Times New Roman"/>
          <w:color w:val="000000" w:themeColor="text1"/>
        </w:rPr>
      </w:pPr>
      <w:r w:rsidRPr="00260790">
        <w:rPr>
          <w:rFonts w:ascii="Times New Roman" w:hAnsi="Times New Roman"/>
          <w:color w:val="000000" w:themeColor="text1"/>
        </w:rPr>
        <w:t>Personnes concernées</w:t>
      </w:r>
    </w:p>
    <w:p w14:paraId="66549DC7" w14:textId="77777777" w:rsidR="005F3FB7" w:rsidRPr="00260790" w:rsidRDefault="005F3FB7" w:rsidP="001748C6">
      <w:pPr>
        <w:keepLines/>
        <w:numPr>
          <w:ilvl w:val="0"/>
          <w:numId w:val="95"/>
        </w:numPr>
        <w:spacing w:after="0" w:line="240" w:lineRule="auto"/>
        <w:rPr>
          <w:rFonts w:ascii="Times New Roman" w:hAnsi="Times New Roman"/>
          <w:color w:val="000000" w:themeColor="text1"/>
        </w:rPr>
      </w:pPr>
      <w:r w:rsidRPr="00260790">
        <w:rPr>
          <w:rFonts w:ascii="Times New Roman" w:hAnsi="Times New Roman"/>
          <w:color w:val="000000" w:themeColor="text1"/>
        </w:rPr>
        <w:t>Nom(s)</w:t>
      </w:r>
    </w:p>
    <w:p w14:paraId="5735BB0D" w14:textId="77777777" w:rsidR="005F3FB7" w:rsidRPr="00260790" w:rsidRDefault="005F3FB7" w:rsidP="001748C6">
      <w:pPr>
        <w:keepLines/>
        <w:numPr>
          <w:ilvl w:val="0"/>
          <w:numId w:val="95"/>
        </w:numPr>
        <w:spacing w:after="0" w:line="240" w:lineRule="auto"/>
        <w:rPr>
          <w:rFonts w:ascii="Times New Roman" w:hAnsi="Times New Roman"/>
          <w:color w:val="000000" w:themeColor="text1"/>
        </w:rPr>
      </w:pPr>
      <w:r w:rsidRPr="00260790">
        <w:rPr>
          <w:rFonts w:ascii="Times New Roman" w:hAnsi="Times New Roman"/>
          <w:color w:val="000000" w:themeColor="text1"/>
        </w:rPr>
        <w:t>Âge(s)</w:t>
      </w:r>
    </w:p>
    <w:p w14:paraId="4355C0CF" w14:textId="77777777" w:rsidR="005F3FB7" w:rsidRPr="00260790" w:rsidRDefault="005F3FB7" w:rsidP="001748C6">
      <w:pPr>
        <w:keepLines/>
        <w:numPr>
          <w:ilvl w:val="0"/>
          <w:numId w:val="95"/>
        </w:numPr>
        <w:spacing w:after="0" w:line="240" w:lineRule="auto"/>
        <w:rPr>
          <w:rFonts w:ascii="Times New Roman" w:hAnsi="Times New Roman"/>
          <w:color w:val="000000" w:themeColor="text1"/>
        </w:rPr>
      </w:pPr>
      <w:r w:rsidRPr="00260790">
        <w:rPr>
          <w:rFonts w:ascii="Times New Roman" w:hAnsi="Times New Roman"/>
          <w:color w:val="000000" w:themeColor="text1"/>
        </w:rPr>
        <w:t>Expérience</w:t>
      </w:r>
    </w:p>
    <w:p w14:paraId="4BD28BEE" w14:textId="77777777" w:rsidR="005F3FB7" w:rsidRPr="00260790" w:rsidRDefault="005F3FB7" w:rsidP="001748C6">
      <w:pPr>
        <w:keepLines/>
        <w:numPr>
          <w:ilvl w:val="0"/>
          <w:numId w:val="95"/>
        </w:numPr>
        <w:spacing w:after="0" w:line="240" w:lineRule="auto"/>
        <w:rPr>
          <w:rFonts w:ascii="Times New Roman" w:hAnsi="Times New Roman"/>
          <w:color w:val="000000" w:themeColor="text1"/>
        </w:rPr>
      </w:pPr>
      <w:r w:rsidRPr="00260790">
        <w:rPr>
          <w:rFonts w:ascii="Times New Roman" w:hAnsi="Times New Roman"/>
          <w:color w:val="000000" w:themeColor="text1"/>
        </w:rPr>
        <w:t>Date d’entrée dans la société</w:t>
      </w:r>
    </w:p>
    <w:p w14:paraId="674F1548" w14:textId="77777777" w:rsidR="005F3FB7" w:rsidRPr="00260790" w:rsidRDefault="005F3FB7" w:rsidP="001748C6">
      <w:pPr>
        <w:keepLines/>
        <w:numPr>
          <w:ilvl w:val="0"/>
          <w:numId w:val="95"/>
        </w:numPr>
        <w:spacing w:after="0" w:line="240" w:lineRule="auto"/>
        <w:rPr>
          <w:rFonts w:ascii="Times New Roman" w:hAnsi="Times New Roman"/>
          <w:color w:val="000000" w:themeColor="text1"/>
        </w:rPr>
      </w:pPr>
      <w:r w:rsidRPr="00260790">
        <w:rPr>
          <w:rFonts w:ascii="Times New Roman" w:hAnsi="Times New Roman"/>
          <w:color w:val="000000" w:themeColor="text1"/>
        </w:rPr>
        <w:t>Dernier contrôle médical</w:t>
      </w:r>
    </w:p>
    <w:p w14:paraId="5FF0539B" w14:textId="77777777" w:rsidR="005F3FB7" w:rsidRPr="00260790" w:rsidRDefault="005F3FB7" w:rsidP="001748C6">
      <w:pPr>
        <w:keepLines/>
        <w:numPr>
          <w:ilvl w:val="0"/>
          <w:numId w:val="95"/>
        </w:numPr>
        <w:spacing w:after="0" w:line="240" w:lineRule="auto"/>
        <w:rPr>
          <w:rFonts w:ascii="Times New Roman" w:hAnsi="Times New Roman"/>
          <w:color w:val="000000" w:themeColor="text1"/>
        </w:rPr>
      </w:pPr>
      <w:r w:rsidRPr="00260790">
        <w:rPr>
          <w:rFonts w:ascii="Times New Roman" w:hAnsi="Times New Roman"/>
          <w:color w:val="000000" w:themeColor="text1"/>
        </w:rPr>
        <w:t>Traitement médical en cours</w:t>
      </w:r>
    </w:p>
    <w:p w14:paraId="21C44318" w14:textId="77777777" w:rsidR="005F3FB7" w:rsidRPr="00260790" w:rsidRDefault="005F3FB7" w:rsidP="001748C6">
      <w:pPr>
        <w:keepLines/>
        <w:numPr>
          <w:ilvl w:val="0"/>
          <w:numId w:val="95"/>
        </w:numPr>
        <w:spacing w:after="0" w:line="240" w:lineRule="auto"/>
        <w:rPr>
          <w:rFonts w:ascii="Times New Roman" w:hAnsi="Times New Roman"/>
          <w:color w:val="000000" w:themeColor="text1"/>
        </w:rPr>
      </w:pPr>
      <w:r w:rsidRPr="00260790">
        <w:rPr>
          <w:rFonts w:ascii="Times New Roman" w:hAnsi="Times New Roman"/>
          <w:color w:val="000000" w:themeColor="text1"/>
        </w:rPr>
        <w:t>Preuves de toxicomanie /alcoolisme</w:t>
      </w:r>
    </w:p>
    <w:p w14:paraId="014EA4C6" w14:textId="77777777" w:rsidR="005F3FB7" w:rsidRPr="00260790" w:rsidRDefault="005F3FB7" w:rsidP="001748C6">
      <w:pPr>
        <w:keepLines/>
        <w:numPr>
          <w:ilvl w:val="0"/>
          <w:numId w:val="95"/>
        </w:numPr>
        <w:spacing w:after="0" w:line="240" w:lineRule="auto"/>
        <w:rPr>
          <w:rFonts w:ascii="Times New Roman" w:hAnsi="Times New Roman"/>
          <w:color w:val="000000" w:themeColor="text1"/>
        </w:rPr>
      </w:pPr>
      <w:r w:rsidRPr="00260790">
        <w:rPr>
          <w:rFonts w:ascii="Times New Roman" w:hAnsi="Times New Roman"/>
          <w:color w:val="000000" w:themeColor="text1"/>
        </w:rPr>
        <w:t>Dernière réunion sur la sécurité à laquelle la/les personne(s) a/ont participé</w:t>
      </w:r>
    </w:p>
    <w:p w14:paraId="4113E41F" w14:textId="77777777" w:rsidR="005F3FB7" w:rsidRPr="00260790" w:rsidRDefault="005F3FB7" w:rsidP="001748C6">
      <w:pPr>
        <w:keepLines/>
        <w:numPr>
          <w:ilvl w:val="0"/>
          <w:numId w:val="95"/>
        </w:numPr>
        <w:spacing w:after="0" w:line="240" w:lineRule="auto"/>
        <w:rPr>
          <w:rFonts w:ascii="Times New Roman" w:hAnsi="Times New Roman"/>
          <w:color w:val="000000" w:themeColor="text1"/>
        </w:rPr>
      </w:pPr>
      <w:r w:rsidRPr="00260790">
        <w:rPr>
          <w:rFonts w:ascii="Times New Roman" w:hAnsi="Times New Roman"/>
          <w:color w:val="000000" w:themeColor="text1"/>
        </w:rPr>
        <w:t>Antécédents d’infractions /incidents.</w:t>
      </w:r>
    </w:p>
    <w:p w14:paraId="6BAE1B4C" w14:textId="77777777" w:rsidR="005F3FB7" w:rsidRPr="00260790" w:rsidRDefault="005F3FB7" w:rsidP="001748C6">
      <w:pPr>
        <w:keepLines/>
        <w:numPr>
          <w:ilvl w:val="0"/>
          <w:numId w:val="95"/>
        </w:numPr>
        <w:spacing w:after="0" w:line="240" w:lineRule="auto"/>
        <w:rPr>
          <w:rFonts w:ascii="Times New Roman" w:hAnsi="Times New Roman"/>
          <w:color w:val="000000" w:themeColor="text1"/>
        </w:rPr>
      </w:pPr>
      <w:r w:rsidRPr="00260790">
        <w:rPr>
          <w:rFonts w:ascii="Times New Roman" w:hAnsi="Times New Roman"/>
          <w:color w:val="000000" w:themeColor="text1"/>
        </w:rPr>
        <w:t>Photos, témoignages et description des mesures du PGES</w:t>
      </w:r>
    </w:p>
    <w:p w14:paraId="63662A44" w14:textId="77777777" w:rsidR="005F3FB7" w:rsidRPr="00260790" w:rsidRDefault="005F3FB7" w:rsidP="001748C6">
      <w:pPr>
        <w:keepLines/>
        <w:numPr>
          <w:ilvl w:val="0"/>
          <w:numId w:val="95"/>
        </w:numPr>
        <w:spacing w:after="0" w:line="240" w:lineRule="auto"/>
        <w:rPr>
          <w:rFonts w:ascii="Times New Roman" w:hAnsi="Times New Roman"/>
          <w:color w:val="000000" w:themeColor="text1"/>
        </w:rPr>
      </w:pPr>
      <w:r w:rsidRPr="00260790">
        <w:rPr>
          <w:rFonts w:ascii="Times New Roman" w:hAnsi="Times New Roman"/>
          <w:color w:val="000000" w:themeColor="text1"/>
        </w:rPr>
        <w:t>Description des mesures correctives ou d’atténuation mises en œuvre</w:t>
      </w:r>
    </w:p>
    <w:p w14:paraId="61704F3D" w14:textId="77777777" w:rsidR="005F3FB7" w:rsidRPr="00260790" w:rsidRDefault="005F3FB7" w:rsidP="00E20250">
      <w:pPr>
        <w:snapToGrid w:val="0"/>
        <w:spacing w:after="0" w:line="240" w:lineRule="auto"/>
        <w:ind w:right="4"/>
        <w:rPr>
          <w:rFonts w:ascii="Times New Roman" w:hAnsi="Times New Roman"/>
          <w:b/>
          <w:smallCaps/>
          <w:color w:val="000000" w:themeColor="text1"/>
        </w:rPr>
      </w:pPr>
    </w:p>
    <w:bookmarkEnd w:id="2605"/>
    <w:bookmarkEnd w:id="2606"/>
    <w:p w14:paraId="2C9CBD84" w14:textId="77777777" w:rsidR="005F3FB7" w:rsidRPr="00260790" w:rsidRDefault="005F3FB7" w:rsidP="00E20250">
      <w:pPr>
        <w:pStyle w:val="Corpsdetexte2"/>
        <w:spacing w:after="0" w:line="240" w:lineRule="auto"/>
        <w:rPr>
          <w:color w:val="000000" w:themeColor="text1"/>
        </w:rPr>
      </w:pPr>
    </w:p>
    <w:p w14:paraId="141F2914" w14:textId="10F526AB" w:rsidR="00A96C36" w:rsidRPr="00260790" w:rsidRDefault="00A96C36" w:rsidP="00E20250">
      <w:pPr>
        <w:pStyle w:val="Lgende"/>
        <w:spacing w:line="240" w:lineRule="auto"/>
        <w:rPr>
          <w:color w:val="000000" w:themeColor="text1"/>
          <w:sz w:val="22"/>
          <w:szCs w:val="22"/>
        </w:rPr>
      </w:pPr>
    </w:p>
    <w:sectPr w:rsidR="00A96C36" w:rsidRPr="00260790" w:rsidSect="007903CC">
      <w:pgSz w:w="11906" w:h="16838"/>
      <w:pgMar w:top="1418" w:right="1418" w:bottom="1418"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43E91" w14:textId="77777777" w:rsidR="004E0577" w:rsidRPr="000676A1" w:rsidRDefault="004E0577" w:rsidP="005F3FB7">
      <w:pPr>
        <w:spacing w:after="0" w:line="240" w:lineRule="auto"/>
      </w:pPr>
      <w:r w:rsidRPr="000676A1">
        <w:separator/>
      </w:r>
    </w:p>
  </w:endnote>
  <w:endnote w:type="continuationSeparator" w:id="0">
    <w:p w14:paraId="79BBA0D5" w14:textId="77777777" w:rsidR="004E0577" w:rsidRPr="000676A1" w:rsidRDefault="004E0577" w:rsidP="005F3FB7">
      <w:pPr>
        <w:spacing w:after="0" w:line="240" w:lineRule="auto"/>
      </w:pPr>
      <w:r w:rsidRPr="000676A1">
        <w:continuationSeparator/>
      </w:r>
    </w:p>
  </w:endnote>
  <w:endnote w:type="continuationNotice" w:id="1">
    <w:p w14:paraId="1C827F01" w14:textId="77777777" w:rsidR="004E0577" w:rsidRPr="000676A1" w:rsidRDefault="004E05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New Roman Gras">
    <w:altName w:val="Times New Roman"/>
    <w:panose1 w:val="020B0604020202020204"/>
    <w:charset w:val="00"/>
    <w:family w:val="auto"/>
    <w:pitch w:val="variable"/>
    <w:sig w:usb0="E0002AEF" w:usb1="C0007841" w:usb2="00000009" w:usb3="00000000" w:csb0="000001FF" w:csb1="00000000"/>
  </w:font>
  <w:font w:name="Myriad Pro Black">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20B0604020202020204"/>
    <w:charset w:val="00"/>
    <w:family w:val="auto"/>
    <w:pitch w:val="variable"/>
    <w:sig w:usb0="E0002AEF" w:usb1="C0007841" w:usb2="00000009" w:usb3="00000000" w:csb0="000001FF" w:csb1="00000000"/>
  </w:font>
  <w:font w:name="Sitka Subheading Semibold">
    <w:panose1 w:val="00000000000000000000"/>
    <w:charset w:val="00"/>
    <w:family w:val="auto"/>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20B0604020202020204"/>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Myriad Web Pro">
    <w:altName w:val="Calibri"/>
    <w:panose1 w:val="020B06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Narrow">
    <w:altName w:val="Arial"/>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HOLIC+TimesNewRoman">
    <w:altName w:val="Times New Roman"/>
    <w:panose1 w:val="020B0604020202020204"/>
    <w:charset w:val="00"/>
    <w:family w:val="roman"/>
    <w:notTrueType/>
    <w:pitch w:val="default"/>
    <w:sig w:usb0="00000003" w:usb1="00000000" w:usb2="00000000" w:usb3="00000000" w:csb0="00000001" w:csb1="00000000"/>
  </w:font>
  <w:font w:name="TimesNewRomanPS">
    <w:altName w:val="Times New Roman"/>
    <w:panose1 w:val="020B0604020202020204"/>
    <w:charset w:val="00"/>
    <w:family w:val="roman"/>
    <w:notTrueType/>
    <w:pitch w:val="default"/>
    <w:sig w:usb0="00000003" w:usb1="00000000" w:usb2="00000000" w:usb3="00000000" w:csb0="00000001" w:csb1="00000000"/>
  </w:font>
  <w:font w:name="Dax">
    <w:altName w:val="Calibri"/>
    <w:panose1 w:val="020B0604020202020204"/>
    <w:charset w:val="00"/>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Gras">
    <w:altName w:val="Arial"/>
    <w:panose1 w:val="020B0604020202020204"/>
    <w:charset w:val="00"/>
    <w:family w:val="roman"/>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aiandra GD">
    <w:panose1 w:val="020E0502030308020204"/>
    <w:charset w:val="4D"/>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Univers">
    <w:panose1 w:val="020B0503020202020204"/>
    <w:charset w:val="00"/>
    <w:family w:val="swiss"/>
    <w:pitch w:val="variable"/>
    <w:sig w:usb0="80000287" w:usb1="00000000" w:usb2="00000000" w:usb3="00000000" w:csb0="0000000F" w:csb1="00000000"/>
  </w:font>
  <w:font w:name="Adobe Caslon Pro">
    <w:altName w:val="Georgia"/>
    <w:panose1 w:val="020B0604020202020204"/>
    <w:charset w:val="00"/>
    <w:family w:val="roman"/>
    <w:notTrueType/>
    <w:pitch w:val="variable"/>
    <w:sig w:usb0="00000007" w:usb1="00000001" w:usb2="00000000" w:usb3="00000000" w:csb0="00000093" w:csb1="00000000"/>
  </w:font>
  <w:font w:name="AvantGarde">
    <w:altName w:val="Century Gothic"/>
    <w:panose1 w:val="020B0604020202020204"/>
    <w:charset w:val="00"/>
    <w:family w:val="swiss"/>
    <w:notTrueType/>
    <w:pitch w:val="default"/>
    <w:sig w:usb0="00000003" w:usb1="00000000" w:usb2="00000000" w:usb3="00000000" w:csb0="00000001" w:csb1="00000000"/>
  </w:font>
  <w:font w:name="Montserrat ExtraBold">
    <w:panose1 w:val="00000900000000000000"/>
    <w:charset w:val="4D"/>
    <w:family w:val="auto"/>
    <w:pitch w:val="variable"/>
    <w:sig w:usb0="2000020F" w:usb1="00000003" w:usb2="00000000" w:usb3="00000000" w:csb0="00000197" w:csb1="00000000"/>
  </w:font>
  <w:font w:name="Leitura News Roman 3">
    <w:altName w:val="Cambria"/>
    <w:panose1 w:val="020B0604020202020204"/>
    <w:charset w:val="00"/>
    <w:family w:val="roman"/>
    <w:notTrueType/>
    <w:pitch w:val="default"/>
    <w:sig w:usb0="00000003" w:usb1="00000000" w:usb2="00000000" w:usb3="00000000" w:csb0="00000001" w:csb1="00000000"/>
  </w:font>
  <w:font w:name="Adobe Garamond Pro">
    <w:panose1 w:val="020B0604020202020204"/>
    <w:charset w:val="00"/>
    <w:family w:val="roman"/>
    <w:notTrueType/>
    <w:pitch w:val="variable"/>
    <w:sig w:usb0="00000007" w:usb1="00000001" w:usb2="00000000" w:usb3="00000000" w:csb0="00000093" w:csb1="00000000"/>
  </w:font>
  <w:font w:name="IKFZMH+FrutusT-Ligh">
    <w:altName w:val="Calibri"/>
    <w:panose1 w:val="020B0604020202020204"/>
    <w:charset w:val="00"/>
    <w:family w:val="swiss"/>
    <w:notTrueType/>
    <w:pitch w:val="default"/>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Yu Mincho">
    <w:panose1 w:val="02020400000000000000"/>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VAZCQF+GillSans-BoldItalic">
    <w:altName w:val="Calibri"/>
    <w:panose1 w:val="020B0604020202020204"/>
    <w:charset w:val="00"/>
    <w:family w:val="swiss"/>
    <w:notTrueType/>
    <w:pitch w:val="default"/>
    <w:sig w:usb0="00000003" w:usb1="00000000" w:usb2="00000000" w:usb3="00000000" w:csb0="00000001" w:csb1="00000000"/>
  </w:font>
  <w:font w:name="Times">
    <w:altName w:val="Times New Roman"/>
    <w:panose1 w:val="020B0604020202020204"/>
    <w:charset w:val="00"/>
    <w:family w:val="auto"/>
    <w:pitch w:val="variable"/>
    <w:sig w:usb0="E00002FF" w:usb1="5000205A" w:usb2="00000000" w:usb3="00000000" w:csb0="0000019F" w:csb1="00000000"/>
  </w:font>
  <w:font w:name="Consolas">
    <w:panose1 w:val="020B0609020204030204"/>
    <w:charset w:val="00"/>
    <w:family w:val="modern"/>
    <w:pitch w:val="fixed"/>
    <w:sig w:usb0="E10002FF" w:usb1="4000FCFF" w:usb2="00000009" w:usb3="00000000" w:csb0="0000019F" w:csb1="00000000"/>
  </w:font>
  <w:font w:name="GeoSlb712 Lt BT">
    <w:altName w:val="Bookman Old Style"/>
    <w:panose1 w:val="020B0604020202020204"/>
    <w:charset w:val="00"/>
    <w:family w:val="roman"/>
    <w:pitch w:val="variable"/>
    <w:sig w:usb0="00000007" w:usb1="00000000" w:usb2="00000000" w:usb3="00000000" w:csb0="00000011" w:csb1="00000000"/>
  </w:font>
  <w:font w:name="Agency FB">
    <w:panose1 w:val="020B0503020202020204"/>
    <w:charset w:val="4D"/>
    <w:family w:val="swiss"/>
    <w:pitch w:val="variable"/>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Algerian">
    <w:panose1 w:val="04020705040A02060702"/>
    <w:charset w:val="4D"/>
    <w:family w:val="decorative"/>
    <w:pitch w:val="variable"/>
    <w:sig w:usb0="00000003" w:usb1="00000000" w:usb2="00000000" w:usb3="00000000" w:csb0="00000001" w:csb1="00000000"/>
  </w:font>
  <w:font w:name="Liberation Serif">
    <w:altName w:val="MS Gothic"/>
    <w:panose1 w:val="020B0604020202020204"/>
    <w:charset w:val="80"/>
    <w:family w:val="roman"/>
    <w:pitch w:val="variable"/>
  </w:font>
  <w:font w:name="DejaVu Sans">
    <w:panose1 w:val="020B0604020202020204"/>
    <w:charset w:val="00"/>
    <w:family w:val="swiss"/>
    <w:pitch w:val="variable"/>
    <w:sig w:usb0="E7002EFF" w:usb1="D200FDFF" w:usb2="0A246029" w:usb3="00000000" w:csb0="000001FF" w:csb1="00000000"/>
  </w:font>
  <w:font w:name="HelveticaNeueLT Std Med Cn">
    <w:altName w:val="Arial"/>
    <w:panose1 w:val="020B0604020202020204"/>
    <w:charset w:val="00"/>
    <w:family w:val="swiss"/>
    <w:notTrueType/>
    <w:pitch w:val="default"/>
    <w:sig w:usb0="00000003" w:usb1="00000000" w:usb2="00000000" w:usb3="00000000" w:csb0="00000001" w:csb1="00000000"/>
  </w:font>
  <w:font w:name="HGGFHE+Garamond">
    <w:altName w:val="Cambria"/>
    <w:panose1 w:val="020B0604020202020204"/>
    <w:charset w:val="00"/>
    <w:family w:val="roman"/>
    <w:notTrueType/>
    <w:pitch w:val="default"/>
    <w:sig w:usb0="00000003" w:usb1="00000000" w:usb2="00000000" w:usb3="00000000" w:csb0="00000001" w:csb1="00000000"/>
  </w:font>
  <w:font w:name="JIOEDP+Arial,Bold">
    <w:altName w:val="Cambria"/>
    <w:panose1 w:val="020B0604020202020204"/>
    <w:charset w:val="00"/>
    <w:family w:val="swiss"/>
    <w:notTrueType/>
    <w:pitch w:val="default"/>
    <w:sig w:usb0="00000003" w:usb1="00000000" w:usb2="00000000" w:usb3="00000000" w:csb0="00000001" w:csb1="00000000"/>
  </w:font>
  <w:font w:name="JINPEF+Arial">
    <w:altName w:val="Cambria"/>
    <w:panose1 w:val="020B0604020202020204"/>
    <w:charset w:val="00"/>
    <w:family w:val="swiss"/>
    <w:notTrueType/>
    <w:pitch w:val="default"/>
    <w:sig w:usb0="00000003" w:usb1="00000000" w:usb2="00000000" w:usb3="00000000" w:csb0="00000001" w:csb1="00000000"/>
  </w:font>
  <w:font w:name="Gill Sans">
    <w:panose1 w:val="020B0502020104020203"/>
    <w:charset w:val="B1"/>
    <w:family w:val="swiss"/>
    <w:pitch w:val="variable"/>
    <w:sig w:usb0="80000A67" w:usb1="00000000" w:usb2="00000000" w:usb3="00000000" w:csb0="000001F7" w:csb1="00000000"/>
  </w:font>
  <w:font w:name="HelveticaNeue MediumCond">
    <w:altName w:val="HelveticaNeue MediumCond"/>
    <w:panose1 w:val="020B0604020202020204"/>
    <w:charset w:val="00"/>
    <w:family w:val="swiss"/>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ourier">
    <w:panose1 w:val="02070309020205020404"/>
    <w:charset w:val="00"/>
    <w:family w:val="auto"/>
    <w:pitch w:val="variable"/>
    <w:sig w:usb0="00000003" w:usb1="00000000" w:usb2="00000000" w:usb3="00000000" w:csb0="00000003" w:csb1="00000000"/>
  </w:font>
  <w:font w:name="GBCBBE+TimesNewRoman,Bold">
    <w:altName w:val="Cambria"/>
    <w:panose1 w:val="020B0604020202020204"/>
    <w:charset w:val="00"/>
    <w:family w:val="roman"/>
    <w:pitch w:val="default"/>
    <w:sig w:usb0="00000003" w:usb1="00000000" w:usb2="00000000" w:usb3="00000000" w:csb0="00000001" w:csb1="00000000"/>
  </w:font>
  <w:font w:name="New York">
    <w:altName w:val="Times New Roman"/>
    <w:panose1 w:val="020B0604020202020204"/>
    <w:charset w:val="00"/>
    <w:family w:val="roman"/>
    <w:pitch w:val="variable"/>
    <w:sig w:usb0="00000003" w:usb1="00000000" w:usb2="00000000" w:usb3="00000000" w:csb0="00000001" w:csb1="00000000"/>
  </w:font>
  <w:font w:name="ヒラギノ角ゴ Pro W3">
    <w:panose1 w:val="020B0604020202020204"/>
    <w:charset w:val="80"/>
    <w:family w:val="auto"/>
    <w:pitch w:val="variable"/>
    <w:sig w:usb0="E00002FF" w:usb1="7AC7FFFF" w:usb2="00000012" w:usb3="00000000" w:csb0="0002000D" w:csb1="00000000"/>
  </w:font>
  <w:font w:name="Geneva">
    <w:panose1 w:val="020B0503030404040204"/>
    <w:charset w:val="00"/>
    <w:family w:val="swiss"/>
    <w:pitch w:val="variable"/>
    <w:sig w:usb0="E00002FF" w:usb1="5200205F" w:usb2="00A0C000" w:usb3="00000000" w:csb0="0000019F" w:csb1="00000000"/>
  </w:font>
  <w:font w:name="SDFIMD+TTE17EDD50t00">
    <w:altName w:val="Calibri"/>
    <w:panose1 w:val="020B0604020202020204"/>
    <w:charset w:val="00"/>
    <w:family w:val="swiss"/>
    <w:pitch w:val="default"/>
    <w:sig w:usb0="00000000" w:usb1="00000000" w:usb2="00000000" w:usb3="00000000" w:csb0="00000001" w:csb1="00000000"/>
  </w:font>
  <w:font w:name="FangSong_GB2312">
    <w:panose1 w:val="020B0604020202020204"/>
    <w:charset w:val="86"/>
    <w:family w:val="modern"/>
    <w:pitch w:val="fixed"/>
    <w:sig w:usb0="800002BF" w:usb1="38CF7CFA" w:usb2="00000016" w:usb3="00000000" w:csb0="00040001" w:csb1="00000000"/>
  </w:font>
  <w:font w:name="Chicago">
    <w:altName w:val="Arial"/>
    <w:panose1 w:val="020B0604020202020204"/>
    <w:charset w:val="00"/>
    <w:family w:val="swiss"/>
    <w:pitch w:val="default"/>
    <w:sig w:usb0="00000000"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Optima">
    <w:panose1 w:val="02000503060000020004"/>
    <w:charset w:val="00"/>
    <w:family w:val="auto"/>
    <w:pitch w:val="variable"/>
    <w:sig w:usb0="80000067"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MT">
    <w:altName w:val="MS Gothic"/>
    <w:panose1 w:val="020B0604020202020204"/>
    <w:charset w:val="00"/>
    <w:family w:val="swiss"/>
    <w:notTrueType/>
    <w:pitch w:val="default"/>
    <w:sig w:usb0="00000003" w:usb1="00000000" w:usb2="00000000" w:usb3="00000000" w:csb0="00000001" w:csb1="00000000"/>
  </w:font>
  <w:font w:name="Calibri-Bold">
    <w:panose1 w:val="020B0604020202020204"/>
    <w:charset w:val="00"/>
    <w:family w:val="swiss"/>
    <w:pitch w:val="variable"/>
    <w:sig w:usb0="E00002FF" w:usb1="4000ACFF" w:usb2="00000001" w:usb3="00000000" w:csb0="0000019F" w:csb1="00000000"/>
  </w:font>
  <w:font w:name="SymbolMT">
    <w:panose1 w:val="020B0604020202020204"/>
    <w:charset w:val="88"/>
    <w:family w:val="auto"/>
    <w:notTrueType/>
    <w:pitch w:val="default"/>
    <w:sig w:usb0="00000001" w:usb1="08080000" w:usb2="00000010" w:usb3="00000000" w:csb0="00100000" w:csb1="00000000"/>
  </w:font>
  <w:font w:name="Frutiger-Roman">
    <w:panose1 w:val="020B0604020202020204"/>
    <w:charset w:val="00"/>
    <w:family w:val="roman"/>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TimesNewRoman">
    <w:altName w:val="Times New Roman"/>
    <w:panose1 w:val="020B0604020202020204"/>
    <w:charset w:val="00"/>
    <w:family w:val="roman"/>
    <w:notTrueType/>
    <w:pitch w:val="default"/>
    <w:sig w:usb0="00000003" w:usb1="00000000" w:usb2="00000000" w:usb3="00000000" w:csb0="00000001" w:csb1="00000000"/>
  </w:font>
  <w:font w:name="Univers (W1)">
    <w:panose1 w:val="020B0604020202020204"/>
    <w:charset w:val="00"/>
    <w:family w:val="swiss"/>
    <w:notTrueType/>
    <w:pitch w:val="variable"/>
    <w:sig w:usb0="00000003" w:usb1="00000000" w:usb2="00000000" w:usb3="00000000" w:csb0="00000001" w:csb1="00000000"/>
  </w:font>
  <w:font w:name="KLKDLB+Garamond">
    <w:altName w:val="Garamond"/>
    <w:panose1 w:val="020B0604020202020204"/>
    <w:charset w:val="00"/>
    <w:family w:val="roman"/>
    <w:notTrueType/>
    <w:pitch w:val="default"/>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Arial (W1)">
    <w:altName w:val="Times New Roman"/>
    <w:panose1 w:val="020B060402020202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OpenSymbol">
    <w:panose1 w:val="020B0604020202020204"/>
    <w:charset w:val="00"/>
    <w:family w:val="auto"/>
    <w:pitch w:val="default"/>
  </w:font>
  <w:font w:name="Latha">
    <w:panose1 w:val="020B0604020202020204"/>
    <w:charset w:val="00"/>
    <w:family w:val="swiss"/>
    <w:pitch w:val="variable"/>
    <w:sig w:usb0="00100003" w:usb1="00000000" w:usb2="00000000" w:usb3="00000000" w:csb0="00000001" w:csb1="00000000"/>
  </w:font>
  <w:font w:name="Tms Rmn">
    <w:panose1 w:val="020B0604020202020204"/>
    <w:charset w:val="00"/>
    <w:family w:val="roman"/>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Courier PS">
    <w:altName w:val="Courier New"/>
    <w:panose1 w:val="020B0604020202020204"/>
    <w:charset w:val="00"/>
    <w:family w:val="auto"/>
    <w:pitch w:val="variable"/>
    <w:sig w:usb0="00000003" w:usb1="00000000" w:usb2="00000000" w:usb3="00000000" w:csb0="00000003" w:csb1="00000000"/>
  </w:font>
  <w:font w:name="Roman PS">
    <w:altName w:val="Cambria"/>
    <w:panose1 w:val="020B0604020202020204"/>
    <w:charset w:val="00"/>
    <w:family w:val="roman"/>
    <w:notTrueType/>
    <w:pitch w:val="default"/>
    <w:sig w:usb0="00000003" w:usb1="00000000" w:usb2="00000000" w:usb3="00000000" w:csb0="00000001" w:csb1="00000000"/>
  </w:font>
  <w:font w:name="elite">
    <w:altName w:val="Cambria"/>
    <w:panose1 w:val="020B0604020202020204"/>
    <w:charset w:val="00"/>
    <w:family w:val="modern"/>
    <w:notTrueType/>
    <w:pitch w:val="default"/>
    <w:sig w:usb0="00000003" w:usb1="00000000" w:usb2="00000000" w:usb3="00000000" w:csb0="00000001" w:csb1="00000000"/>
  </w:font>
  <w:font w:name="prestige">
    <w:panose1 w:val="020B0604020202020204"/>
    <w:charset w:val="00"/>
    <w:family w:val="modern"/>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Montserrat Medium">
    <w:panose1 w:val="00000600000000000000"/>
    <w:charset w:val="4D"/>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26E91" w14:textId="1310B55F" w:rsidR="00041856" w:rsidRPr="0023614B" w:rsidRDefault="00041856" w:rsidP="005F3FB7">
    <w:pPr>
      <w:pStyle w:val="Pieddepage"/>
      <w:framePr w:wrap="none" w:vAnchor="text" w:hAnchor="page" w:x="5772" w:y="-70"/>
      <w:rPr>
        <w:rStyle w:val="Numrodepage"/>
        <w:rFonts w:ascii="Times New Roman" w:hAnsi="Times New Roman"/>
        <w:sz w:val="20"/>
        <w:szCs w:val="20"/>
      </w:rPr>
    </w:pPr>
    <w:r w:rsidRPr="0023614B">
      <w:rPr>
        <w:rStyle w:val="Numrodepage"/>
        <w:rFonts w:ascii="Times New Roman" w:hAnsi="Times New Roman"/>
        <w:sz w:val="20"/>
        <w:szCs w:val="20"/>
      </w:rPr>
      <w:fldChar w:fldCharType="begin"/>
    </w:r>
    <w:r w:rsidRPr="0023614B">
      <w:rPr>
        <w:rStyle w:val="Numrodepage"/>
        <w:rFonts w:ascii="Times New Roman" w:hAnsi="Times New Roman"/>
        <w:sz w:val="20"/>
        <w:szCs w:val="20"/>
      </w:rPr>
      <w:instrText xml:space="preserve">PAGE  </w:instrText>
    </w:r>
    <w:r w:rsidRPr="0023614B">
      <w:rPr>
        <w:rStyle w:val="Numrodepage"/>
        <w:rFonts w:ascii="Times New Roman" w:hAnsi="Times New Roman"/>
        <w:sz w:val="20"/>
        <w:szCs w:val="20"/>
      </w:rPr>
      <w:fldChar w:fldCharType="separate"/>
    </w:r>
    <w:r w:rsidR="00ED0C66">
      <w:rPr>
        <w:rStyle w:val="Numrodepage"/>
        <w:rFonts w:ascii="Times New Roman" w:hAnsi="Times New Roman"/>
        <w:noProof/>
        <w:sz w:val="20"/>
        <w:szCs w:val="20"/>
      </w:rPr>
      <w:t>94</w:t>
    </w:r>
    <w:r w:rsidRPr="0023614B">
      <w:rPr>
        <w:rStyle w:val="Numrodepage"/>
        <w:rFonts w:ascii="Times New Roman" w:hAnsi="Times New Roman"/>
        <w:sz w:val="20"/>
        <w:szCs w:val="20"/>
      </w:rPr>
      <w:fldChar w:fldCharType="end"/>
    </w:r>
  </w:p>
  <w:p w14:paraId="3418AA49" w14:textId="77777777" w:rsidR="00041856" w:rsidRDefault="00041856" w:rsidP="005F3FB7">
    <w:pPr>
      <w:pStyle w:val="Pieddepage"/>
      <w:ind w:right="360"/>
      <w:jc w:val="center"/>
    </w:pPr>
  </w:p>
  <w:p w14:paraId="314984DE" w14:textId="77777777" w:rsidR="00041856" w:rsidRDefault="00041856">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44981" w14:textId="228F8ED3" w:rsidR="00041856" w:rsidRDefault="00041856">
    <w:pPr>
      <w:pStyle w:val="Pieddepag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682496605"/>
      <w:docPartObj>
        <w:docPartGallery w:val="Page Numbers (Bottom of Page)"/>
        <w:docPartUnique/>
      </w:docPartObj>
    </w:sdtPr>
    <w:sdtContent>
      <w:p w14:paraId="43BA59A7" w14:textId="3FA8E814" w:rsidR="00041856" w:rsidRDefault="00041856" w:rsidP="00E255EE">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C4195FC" w14:textId="511368BC" w:rsidR="00041856" w:rsidRDefault="00041856">
    <w:pPr>
      <w:pStyle w:val="Pieddepage"/>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488164072"/>
      <w:docPartObj>
        <w:docPartGallery w:val="Page Numbers (Bottom of Page)"/>
        <w:docPartUnique/>
      </w:docPartObj>
    </w:sdtPr>
    <w:sdtContent>
      <w:p w14:paraId="6724B925" w14:textId="3FC58994" w:rsidR="00041856" w:rsidRDefault="00041856" w:rsidP="00E255EE">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sidR="00111235">
          <w:rPr>
            <w:rStyle w:val="Numrodepage"/>
            <w:noProof/>
          </w:rPr>
          <w:t>306</w:t>
        </w:r>
        <w:r>
          <w:rPr>
            <w:rStyle w:val="Numrodepage"/>
          </w:rPr>
          <w:fldChar w:fldCharType="end"/>
        </w:r>
      </w:p>
    </w:sdtContent>
  </w:sdt>
  <w:p w14:paraId="3380CDFB" w14:textId="3DFB2770" w:rsidR="00041856" w:rsidRDefault="00041856">
    <w:pPr>
      <w:pStyle w:val="Pieddepage"/>
      <w:jc w:val="center"/>
    </w:pPr>
    <w:r>
      <w:tab/>
    </w:r>
    <w:r>
      <w:tab/>
    </w:r>
  </w:p>
  <w:p w14:paraId="6F6AF0C5" w14:textId="77777777" w:rsidR="00041856" w:rsidRPr="009C3D7D" w:rsidRDefault="00041856" w:rsidP="003A0E4A">
    <w:pPr>
      <w:pStyle w:val="Pieddepage"/>
      <w:tabs>
        <w:tab w:val="clear" w:pos="4536"/>
        <w:tab w:val="clear" w:pos="9072"/>
        <w:tab w:val="left" w:pos="5771"/>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D7549" w14:textId="5F906C73" w:rsidR="00041856" w:rsidRDefault="00041856">
    <w:pPr>
      <w:pStyle w:val="Pieddepage"/>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431398705"/>
      <w:docPartObj>
        <w:docPartGallery w:val="Page Numbers (Bottom of Page)"/>
        <w:docPartUnique/>
      </w:docPartObj>
    </w:sdtPr>
    <w:sdtContent>
      <w:p w14:paraId="3A64F972" w14:textId="109E7988" w:rsidR="00041856" w:rsidRDefault="00041856" w:rsidP="00E255EE">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66BBF29" w14:textId="2DE3A59D" w:rsidR="00041856" w:rsidRDefault="00041856">
    <w:pPr>
      <w:pStyle w:val="Pieddepage"/>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407066406"/>
      <w:docPartObj>
        <w:docPartGallery w:val="Page Numbers (Bottom of Page)"/>
        <w:docPartUnique/>
      </w:docPartObj>
    </w:sdtPr>
    <w:sdtContent>
      <w:p w14:paraId="096B8D47" w14:textId="2EC99458" w:rsidR="00041856" w:rsidRDefault="00041856" w:rsidP="00E255EE">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sidR="00111235">
          <w:rPr>
            <w:rStyle w:val="Numrodepage"/>
            <w:noProof/>
          </w:rPr>
          <w:t>310</w:t>
        </w:r>
        <w:r>
          <w:rPr>
            <w:rStyle w:val="Numrodepage"/>
          </w:rPr>
          <w:fldChar w:fldCharType="end"/>
        </w:r>
      </w:p>
    </w:sdtContent>
  </w:sdt>
  <w:p w14:paraId="7B176019" w14:textId="6FED9B4B" w:rsidR="00041856" w:rsidRPr="000676A1" w:rsidRDefault="00041856">
    <w:pPr>
      <w:pStyle w:val="Pieddepage"/>
      <w:jc w:val="center"/>
    </w:pPr>
    <w:r w:rsidRPr="000676A1">
      <w:tab/>
    </w:r>
    <w:r w:rsidRPr="000676A1">
      <w:tab/>
    </w:r>
  </w:p>
  <w:p w14:paraId="4ACE86A3" w14:textId="77777777" w:rsidR="00041856" w:rsidRPr="000676A1" w:rsidRDefault="00041856" w:rsidP="00217D7F">
    <w:pPr>
      <w:pStyle w:val="Pieddepage"/>
      <w:tabs>
        <w:tab w:val="clear" w:pos="4536"/>
        <w:tab w:val="clear" w:pos="9072"/>
        <w:tab w:val="left" w:pos="5771"/>
      </w:tabs>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E4541" w14:textId="3DB9FAD6" w:rsidR="00041856" w:rsidRDefault="00041856">
    <w:pPr>
      <w:pStyle w:val="Pieddepage"/>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47443" w14:textId="507ED147" w:rsidR="00041856" w:rsidRDefault="00041856">
    <w:pPr>
      <w:pStyle w:val="Pieddepage"/>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C5926" w14:textId="0738FE3C" w:rsidR="00041856" w:rsidRPr="00D46E35" w:rsidRDefault="00041856">
    <w:pPr>
      <w:pStyle w:val="Pieddepage"/>
      <w:jc w:val="center"/>
      <w:rPr>
        <w:rFonts w:ascii="Times New Roman" w:hAnsi="Times New Roman"/>
      </w:rPr>
    </w:pPr>
    <w:r w:rsidRPr="00D46E35">
      <w:rPr>
        <w:rFonts w:ascii="Times New Roman" w:hAnsi="Times New Roman"/>
      </w:rPr>
      <w:fldChar w:fldCharType="begin"/>
    </w:r>
    <w:r w:rsidRPr="00D46E35">
      <w:rPr>
        <w:rFonts w:ascii="Times New Roman" w:hAnsi="Times New Roman"/>
      </w:rPr>
      <w:instrText>PAGE   \* MERGEFORMAT</w:instrText>
    </w:r>
    <w:r w:rsidRPr="00D46E35">
      <w:rPr>
        <w:rFonts w:ascii="Times New Roman" w:hAnsi="Times New Roman"/>
      </w:rPr>
      <w:fldChar w:fldCharType="separate"/>
    </w:r>
    <w:r w:rsidR="00111235">
      <w:rPr>
        <w:rFonts w:ascii="Times New Roman" w:hAnsi="Times New Roman"/>
        <w:noProof/>
      </w:rPr>
      <w:t>374</w:t>
    </w:r>
    <w:r w:rsidRPr="00D46E35">
      <w:rPr>
        <w:rFonts w:ascii="Times New Roman" w:hAnsi="Times New Roman"/>
      </w:rPr>
      <w:fldChar w:fldCharType="end"/>
    </w:r>
  </w:p>
  <w:p w14:paraId="0944C3CD" w14:textId="77777777" w:rsidR="00041856" w:rsidRPr="000676A1" w:rsidRDefault="00041856"/>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F331B" w14:textId="50A3E208" w:rsidR="00041856" w:rsidRDefault="0004185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28475" w14:textId="5BE05314" w:rsidR="00041856" w:rsidRDefault="00041856">
    <w:pPr>
      <w:pStyle w:val="Pieddepage"/>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D57C2" w14:textId="77777777" w:rsidR="00167937" w:rsidRDefault="00167937">
    <w:pPr>
      <w:pStyle w:val="Pieddepage"/>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36196" w14:textId="77777777" w:rsidR="00167937" w:rsidRPr="000676A1" w:rsidRDefault="00167937">
    <w:pPr>
      <w:pStyle w:val="Pieddepage"/>
      <w:jc w:val="center"/>
    </w:pPr>
    <w:r w:rsidRPr="000676A1">
      <w:fldChar w:fldCharType="begin"/>
    </w:r>
    <w:r w:rsidRPr="000676A1">
      <w:instrText>PAGE   \* MERGEFORMAT</w:instrText>
    </w:r>
    <w:r w:rsidRPr="000676A1">
      <w:fldChar w:fldCharType="separate"/>
    </w:r>
    <w:r>
      <w:rPr>
        <w:noProof/>
      </w:rPr>
      <w:t>400</w:t>
    </w:r>
    <w:r w:rsidRPr="000676A1">
      <w:fldChar w:fldCharType="end"/>
    </w:r>
  </w:p>
  <w:p w14:paraId="04A3911C" w14:textId="77777777" w:rsidR="00167937" w:rsidRPr="000676A1" w:rsidRDefault="00167937">
    <w:pPr>
      <w:pStyle w:val="Pieddepage"/>
      <w:rPr>
        <w:rFonts w:ascii="Times New Roman" w:hAnsi="Times New Roman"/>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52BF2" w14:textId="77777777" w:rsidR="00167937" w:rsidRDefault="00167937">
    <w:pPr>
      <w:pStyle w:val="Pieddepage"/>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B714F" w14:textId="3742F6C2" w:rsidR="00041856" w:rsidRDefault="00041856">
    <w:pPr>
      <w:pStyle w:val="Pieddepage"/>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AF7D0" w14:textId="782D5854" w:rsidR="00041856" w:rsidRPr="000676A1" w:rsidRDefault="00041856">
    <w:pPr>
      <w:pStyle w:val="Pieddepage"/>
      <w:jc w:val="center"/>
    </w:pPr>
    <w:r w:rsidRPr="000676A1">
      <w:fldChar w:fldCharType="begin"/>
    </w:r>
    <w:r w:rsidRPr="000676A1">
      <w:instrText>PAGE   \* MERGEFORMAT</w:instrText>
    </w:r>
    <w:r w:rsidRPr="000676A1">
      <w:fldChar w:fldCharType="separate"/>
    </w:r>
    <w:r w:rsidR="00111235">
      <w:rPr>
        <w:noProof/>
      </w:rPr>
      <w:t>429</w:t>
    </w:r>
    <w:r w:rsidRPr="000676A1">
      <w:fldChar w:fldCharType="end"/>
    </w:r>
  </w:p>
  <w:p w14:paraId="00B1E532" w14:textId="77777777" w:rsidR="00041856" w:rsidRPr="000676A1" w:rsidRDefault="00041856">
    <w:pPr>
      <w:pStyle w:val="Pieddepage"/>
      <w:rPr>
        <w:rFonts w:ascii="Times New Roman" w:hAnsi="Times New Roman"/>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12235" w14:textId="18D57FFE" w:rsidR="00041856" w:rsidRDefault="0004185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14893" w14:textId="417D638B" w:rsidR="00041856" w:rsidRPr="000676A1" w:rsidRDefault="00041856" w:rsidP="005F3FB7">
    <w:pPr>
      <w:pStyle w:val="Pieddepage"/>
      <w:framePr w:wrap="none" w:vAnchor="text" w:hAnchor="page" w:x="5772" w:y="-70"/>
      <w:rPr>
        <w:rStyle w:val="Numrodepage"/>
        <w:rFonts w:ascii="Times New Roman" w:hAnsi="Times New Roman"/>
        <w:sz w:val="20"/>
        <w:szCs w:val="20"/>
      </w:rPr>
    </w:pPr>
    <w:r w:rsidRPr="000676A1">
      <w:rPr>
        <w:rStyle w:val="Numrodepage"/>
        <w:rFonts w:ascii="Times New Roman" w:hAnsi="Times New Roman"/>
        <w:sz w:val="20"/>
        <w:szCs w:val="20"/>
      </w:rPr>
      <w:fldChar w:fldCharType="begin"/>
    </w:r>
    <w:r w:rsidRPr="000676A1">
      <w:rPr>
        <w:rStyle w:val="Numrodepage"/>
        <w:rFonts w:ascii="Times New Roman" w:hAnsi="Times New Roman"/>
        <w:sz w:val="20"/>
        <w:szCs w:val="20"/>
      </w:rPr>
      <w:instrText xml:space="preserve">PAGE  </w:instrText>
    </w:r>
    <w:r w:rsidRPr="000676A1">
      <w:rPr>
        <w:rStyle w:val="Numrodepage"/>
        <w:rFonts w:ascii="Times New Roman" w:hAnsi="Times New Roman"/>
        <w:sz w:val="20"/>
        <w:szCs w:val="20"/>
      </w:rPr>
      <w:fldChar w:fldCharType="separate"/>
    </w:r>
    <w:r w:rsidR="0094602E">
      <w:rPr>
        <w:rStyle w:val="Numrodepage"/>
        <w:rFonts w:ascii="Times New Roman" w:hAnsi="Times New Roman"/>
        <w:noProof/>
        <w:sz w:val="20"/>
        <w:szCs w:val="20"/>
      </w:rPr>
      <w:t>167</w:t>
    </w:r>
    <w:r w:rsidRPr="000676A1">
      <w:rPr>
        <w:rStyle w:val="Numrodepage"/>
        <w:rFonts w:ascii="Times New Roman" w:hAnsi="Times New Roman"/>
        <w:sz w:val="20"/>
        <w:szCs w:val="20"/>
      </w:rPr>
      <w:fldChar w:fldCharType="end"/>
    </w:r>
  </w:p>
  <w:p w14:paraId="5A39E713" w14:textId="77777777" w:rsidR="00041856" w:rsidRPr="000676A1" w:rsidRDefault="00041856" w:rsidP="005F3FB7">
    <w:pPr>
      <w:pStyle w:val="Pieddepage"/>
      <w:ind w:right="360"/>
      <w:jc w:val="center"/>
    </w:pPr>
  </w:p>
  <w:p w14:paraId="7A629C2A" w14:textId="77777777" w:rsidR="00041856" w:rsidRPr="000676A1" w:rsidRDefault="00041856">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1F5F8" w14:textId="7CBEB021" w:rsidR="00041856" w:rsidRDefault="00041856">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B697E" w14:textId="048D8622" w:rsidR="00041856" w:rsidRDefault="00041856" w:rsidP="003A0E4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20BAD54D" w14:textId="77777777" w:rsidR="00041856" w:rsidRDefault="00041856" w:rsidP="003A0E4A">
    <w:pPr>
      <w:pStyle w:val="Pieddepage"/>
      <w:framePr w:wrap="around" w:vAnchor="text" w:hAnchor="margin" w:xAlign="right" w:y="1"/>
      <w:ind w:right="360"/>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3A95AC3C" w14:textId="77777777" w:rsidR="00041856" w:rsidRDefault="00041856" w:rsidP="003A0E4A">
    <w:pPr>
      <w:pStyle w:val="Pieddepage"/>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1F80E" w14:textId="0AC2B670" w:rsidR="00041856" w:rsidRDefault="00041856">
    <w:pPr>
      <w:pStyle w:val="Pieddepage"/>
      <w:jc w:val="center"/>
    </w:pPr>
  </w:p>
  <w:sdt>
    <w:sdtPr>
      <w:id w:val="1927139850"/>
      <w:docPartObj>
        <w:docPartGallery w:val="Page Numbers (Bottom of Page)"/>
        <w:docPartUnique/>
      </w:docPartObj>
    </w:sdtPr>
    <w:sdtEndPr>
      <w:rPr>
        <w:rFonts w:ascii="Times New Roman" w:hAnsi="Times New Roman"/>
        <w:sz w:val="20"/>
        <w:szCs w:val="20"/>
      </w:rPr>
    </w:sdtEndPr>
    <w:sdtContent>
      <w:p w14:paraId="17BAD8A6" w14:textId="1F53668F" w:rsidR="00041856" w:rsidRPr="0097258B" w:rsidRDefault="00041856">
        <w:pPr>
          <w:pStyle w:val="Pieddepage"/>
          <w:jc w:val="center"/>
          <w:rPr>
            <w:rFonts w:ascii="Times New Roman" w:hAnsi="Times New Roman"/>
            <w:sz w:val="20"/>
            <w:szCs w:val="20"/>
          </w:rPr>
        </w:pPr>
        <w:r w:rsidRPr="0097258B">
          <w:rPr>
            <w:rFonts w:ascii="Times New Roman" w:hAnsi="Times New Roman"/>
            <w:sz w:val="20"/>
            <w:szCs w:val="20"/>
          </w:rPr>
          <w:fldChar w:fldCharType="begin"/>
        </w:r>
        <w:r w:rsidRPr="0097258B">
          <w:rPr>
            <w:rFonts w:ascii="Times New Roman" w:hAnsi="Times New Roman"/>
            <w:sz w:val="20"/>
            <w:szCs w:val="20"/>
          </w:rPr>
          <w:instrText>PAGE   \* MERGEFORMAT</w:instrText>
        </w:r>
        <w:r w:rsidRPr="0097258B">
          <w:rPr>
            <w:rFonts w:ascii="Times New Roman" w:hAnsi="Times New Roman"/>
            <w:sz w:val="20"/>
            <w:szCs w:val="20"/>
          </w:rPr>
          <w:fldChar w:fldCharType="separate"/>
        </w:r>
        <w:r w:rsidR="00111235">
          <w:rPr>
            <w:rFonts w:ascii="Times New Roman" w:hAnsi="Times New Roman"/>
            <w:noProof/>
            <w:sz w:val="20"/>
            <w:szCs w:val="20"/>
          </w:rPr>
          <w:t>290</w:t>
        </w:r>
        <w:r w:rsidRPr="0097258B">
          <w:rPr>
            <w:rFonts w:ascii="Times New Roman" w:hAnsi="Times New Roman"/>
            <w:sz w:val="20"/>
            <w:szCs w:val="20"/>
          </w:rPr>
          <w:fldChar w:fldCharType="end"/>
        </w:r>
      </w:p>
    </w:sdtContent>
  </w:sdt>
  <w:p w14:paraId="3A85D128" w14:textId="77777777" w:rsidR="00041856" w:rsidRDefault="00041856">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0EC2E" w14:textId="570065B3" w:rsidR="00041856" w:rsidRDefault="00041856">
    <w:pPr>
      <w:pStyle w:val="Pieddepa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928381066"/>
      <w:docPartObj>
        <w:docPartGallery w:val="Page Numbers (Bottom of Page)"/>
        <w:docPartUnique/>
      </w:docPartObj>
    </w:sdtPr>
    <w:sdtContent>
      <w:p w14:paraId="17E0B4AA" w14:textId="15634068" w:rsidR="00041856" w:rsidRDefault="00041856" w:rsidP="00E255EE">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F9B4A01" w14:textId="54915EBF" w:rsidR="00041856" w:rsidRDefault="00041856">
    <w:pPr>
      <w:pStyle w:val="Pieddepage"/>
    </w:pPr>
  </w:p>
  <w:p w14:paraId="6372EF3D" w14:textId="77777777" w:rsidR="00041856" w:rsidRDefault="00041856"/>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855419180"/>
      <w:docPartObj>
        <w:docPartGallery w:val="Page Numbers (Bottom of Page)"/>
        <w:docPartUnique/>
      </w:docPartObj>
    </w:sdtPr>
    <w:sdtEndPr>
      <w:rPr>
        <w:rStyle w:val="Numrodepage"/>
        <w:sz w:val="20"/>
        <w:szCs w:val="20"/>
      </w:rPr>
    </w:sdtEndPr>
    <w:sdtContent>
      <w:p w14:paraId="21BF93C2" w14:textId="00DE3B25" w:rsidR="00041856" w:rsidRPr="0097258B" w:rsidRDefault="00041856" w:rsidP="00E255EE">
        <w:pPr>
          <w:pStyle w:val="Pieddepage"/>
          <w:framePr w:wrap="none" w:vAnchor="text" w:hAnchor="margin" w:xAlign="center" w:y="1"/>
          <w:rPr>
            <w:rStyle w:val="Numrodepage"/>
            <w:sz w:val="20"/>
            <w:szCs w:val="20"/>
          </w:rPr>
        </w:pPr>
        <w:r w:rsidRPr="0097258B">
          <w:rPr>
            <w:rStyle w:val="Numrodepage"/>
            <w:sz w:val="20"/>
            <w:szCs w:val="20"/>
          </w:rPr>
          <w:fldChar w:fldCharType="begin"/>
        </w:r>
        <w:r w:rsidRPr="0097258B">
          <w:rPr>
            <w:rStyle w:val="Numrodepage"/>
            <w:sz w:val="20"/>
            <w:szCs w:val="20"/>
          </w:rPr>
          <w:instrText xml:space="preserve"> PAGE </w:instrText>
        </w:r>
        <w:r w:rsidRPr="0097258B">
          <w:rPr>
            <w:rStyle w:val="Numrodepage"/>
            <w:sz w:val="20"/>
            <w:szCs w:val="20"/>
          </w:rPr>
          <w:fldChar w:fldCharType="separate"/>
        </w:r>
        <w:r w:rsidR="00111235">
          <w:rPr>
            <w:rStyle w:val="Numrodepage"/>
            <w:noProof/>
            <w:sz w:val="20"/>
            <w:szCs w:val="20"/>
          </w:rPr>
          <w:t>299</w:t>
        </w:r>
        <w:r w:rsidRPr="0097258B">
          <w:rPr>
            <w:rStyle w:val="Numrodepage"/>
            <w:sz w:val="20"/>
            <w:szCs w:val="20"/>
          </w:rPr>
          <w:fldChar w:fldCharType="end"/>
        </w:r>
      </w:p>
    </w:sdtContent>
  </w:sdt>
  <w:p w14:paraId="1C0BDBF6" w14:textId="450E6E29" w:rsidR="00041856" w:rsidRPr="0097258B" w:rsidRDefault="00041856">
    <w:pPr>
      <w:pStyle w:val="Pieddepage"/>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AC7AC" w14:textId="77777777" w:rsidR="004E0577" w:rsidRPr="000676A1" w:rsidRDefault="004E0577" w:rsidP="005F3FB7">
      <w:pPr>
        <w:spacing w:after="0" w:line="240" w:lineRule="auto"/>
      </w:pPr>
      <w:r w:rsidRPr="000676A1">
        <w:separator/>
      </w:r>
    </w:p>
  </w:footnote>
  <w:footnote w:type="continuationSeparator" w:id="0">
    <w:p w14:paraId="2406CA53" w14:textId="77777777" w:rsidR="004E0577" w:rsidRPr="000676A1" w:rsidRDefault="004E0577" w:rsidP="005F3FB7">
      <w:pPr>
        <w:spacing w:after="0" w:line="240" w:lineRule="auto"/>
      </w:pPr>
      <w:r w:rsidRPr="000676A1">
        <w:continuationSeparator/>
      </w:r>
    </w:p>
  </w:footnote>
  <w:footnote w:type="continuationNotice" w:id="1">
    <w:p w14:paraId="32A42F81" w14:textId="77777777" w:rsidR="004E0577" w:rsidRPr="000676A1" w:rsidRDefault="004E0577">
      <w:pPr>
        <w:spacing w:after="0" w:line="240" w:lineRule="auto"/>
      </w:pPr>
    </w:p>
  </w:footnote>
  <w:footnote w:id="2">
    <w:p w14:paraId="48A66780" w14:textId="77777777" w:rsidR="00041856" w:rsidRPr="007A0798" w:rsidRDefault="00041856" w:rsidP="007A0798">
      <w:pPr>
        <w:pStyle w:val="p1"/>
        <w:widowControl/>
        <w:tabs>
          <w:tab w:val="clear" w:pos="720"/>
          <w:tab w:val="num" w:pos="0"/>
        </w:tabs>
        <w:autoSpaceDE w:val="0"/>
        <w:autoSpaceDN w:val="0"/>
        <w:adjustRightInd w:val="0"/>
        <w:spacing w:line="240" w:lineRule="auto"/>
        <w:rPr>
          <w:color w:val="000000" w:themeColor="text1"/>
          <w:sz w:val="20"/>
        </w:rPr>
      </w:pPr>
      <w:r>
        <w:rPr>
          <w:rStyle w:val="Appelnotedebasdep"/>
        </w:rPr>
        <w:footnoteRef/>
      </w:r>
      <w:r>
        <w:t xml:space="preserve"> </w:t>
      </w:r>
      <w:r w:rsidRPr="007A0798">
        <w:rPr>
          <w:color w:val="000000" w:themeColor="text1"/>
          <w:sz w:val="20"/>
        </w:rPr>
        <w:t>La liste complète de ces directives figure à l'adresse :</w:t>
      </w:r>
    </w:p>
    <w:p w14:paraId="4CA10117" w14:textId="32DD8087" w:rsidR="00041856" w:rsidRPr="000F50A4" w:rsidRDefault="00041856" w:rsidP="007A0798">
      <w:pPr>
        <w:pStyle w:val="Notedebasdepage"/>
        <w:spacing w:after="0" w:line="240" w:lineRule="auto"/>
        <w:jc w:val="both"/>
      </w:pPr>
      <w:hyperlink r:id="rId1" w:history="1">
        <w:r w:rsidRPr="007A0798">
          <w:rPr>
            <w:rStyle w:val="Lienhypertexte"/>
            <w:rFonts w:ascii="Times New Roman" w:hAnsi="Times New Roman"/>
            <w:lang w:eastAsia="fr-FR"/>
          </w:rPr>
          <w:t>https://www.ifc.org/wps/wcm/connect/topics_ext_content/ifc_external_corporate_site/sustainability-at-ifc/policies-standards/ehs-guidelines</w:t>
        </w:r>
      </w:hyperlink>
      <w:r w:rsidRPr="007A0798">
        <w:rPr>
          <w:rFonts w:ascii="Times New Roman" w:eastAsia="Times New Roman" w:hAnsi="Times New Roman"/>
          <w:color w:val="000000" w:themeColor="text1"/>
          <w:u w:val="single"/>
          <w:lang w:eastAsia="fr-FR"/>
        </w:rPr>
        <w:t>.</w:t>
      </w:r>
    </w:p>
  </w:footnote>
  <w:footnote w:id="3">
    <w:p w14:paraId="777B8B9A" w14:textId="77777777" w:rsidR="00041856" w:rsidRDefault="00041856" w:rsidP="002B26A5">
      <w:pPr>
        <w:pStyle w:val="Notedebasdepage"/>
      </w:pPr>
      <w:r>
        <w:rPr>
          <w:rStyle w:val="Appelnotedebasdep"/>
        </w:rPr>
        <w:footnoteRef/>
      </w:r>
      <w:r>
        <w:t xml:space="preserve"> </w:t>
      </w:r>
      <w:r w:rsidRPr="002060A8">
        <w:rPr>
          <w:rFonts w:ascii="Times New Roman" w:hAnsi="Times New Roman"/>
        </w:rPr>
        <w:t>Produits Forestiers Non Ligneux</w:t>
      </w:r>
    </w:p>
  </w:footnote>
  <w:footnote w:id="4">
    <w:p w14:paraId="1520FD1A" w14:textId="77777777" w:rsidR="00041856" w:rsidRDefault="00041856" w:rsidP="00DE241D">
      <w:pPr>
        <w:pStyle w:val="Notedebasdepage"/>
      </w:pPr>
      <w:r>
        <w:rPr>
          <w:rStyle w:val="Appelnotedebasdep"/>
          <w:rFonts w:eastAsiaTheme="majorEastAsia"/>
        </w:rPr>
        <w:footnoteRef/>
      </w:r>
      <w:r>
        <w:t xml:space="preserve"> </w:t>
      </w:r>
      <w:proofErr w:type="spellStart"/>
      <w:r w:rsidRPr="0000071A">
        <w:rPr>
          <w:rStyle w:val="lang-en"/>
          <w:rFonts w:ascii="Times New Roman" w:eastAsiaTheme="majorEastAsia" w:hAnsi="Times New Roman"/>
          <w:i/>
          <w:iCs/>
        </w:rPr>
        <w:t>Representative</w:t>
      </w:r>
      <w:proofErr w:type="spellEnd"/>
      <w:r w:rsidRPr="0000071A">
        <w:rPr>
          <w:rStyle w:val="lang-en"/>
          <w:rFonts w:ascii="Times New Roman" w:eastAsiaTheme="majorEastAsia" w:hAnsi="Times New Roman"/>
          <w:i/>
          <w:iCs/>
        </w:rPr>
        <w:t xml:space="preserve"> Concentration </w:t>
      </w:r>
      <w:proofErr w:type="spellStart"/>
      <w:r w:rsidRPr="0000071A">
        <w:rPr>
          <w:rStyle w:val="lang-en"/>
          <w:rFonts w:ascii="Times New Roman" w:eastAsiaTheme="majorEastAsia" w:hAnsi="Times New Roman"/>
          <w:i/>
          <w:iCs/>
        </w:rPr>
        <w:t>Pathway</w:t>
      </w:r>
      <w:proofErr w:type="spellEnd"/>
    </w:p>
  </w:footnote>
  <w:footnote w:id="5">
    <w:p w14:paraId="4A64C278" w14:textId="27D18BB4" w:rsidR="00041856" w:rsidRPr="000676A1" w:rsidRDefault="00041856" w:rsidP="008F35C9">
      <w:pPr>
        <w:pStyle w:val="Notedebasdepage"/>
        <w:jc w:val="both"/>
        <w:rPr>
          <w:rFonts w:ascii="Times New Roman" w:hAnsi="Times New Roman"/>
        </w:rPr>
      </w:pPr>
      <w:r w:rsidRPr="000676A1">
        <w:rPr>
          <w:rStyle w:val="Appelnotedebasdep"/>
          <w:rFonts w:ascii="Times New Roman" w:hAnsi="Times New Roman"/>
        </w:rPr>
        <w:footnoteRef/>
      </w:r>
      <w:r w:rsidRPr="000676A1">
        <w:rPr>
          <w:rFonts w:ascii="Times New Roman" w:hAnsi="Times New Roman"/>
        </w:rPr>
        <w:t xml:space="preserve"> Dans le cas où des déchets d’amiantes sont identifiés durant la libération des emprises, il faudra préalablement élaborer un plan de gestion des déchets d’amiantes soumis à l’approbation préalable de la Banque et de la D</w:t>
      </w:r>
      <w:r>
        <w:rPr>
          <w:rFonts w:ascii="Times New Roman" w:hAnsi="Times New Roman"/>
        </w:rPr>
        <w:t>IR</w:t>
      </w:r>
      <w:r w:rsidRPr="000676A1">
        <w:rPr>
          <w:rFonts w:ascii="Times New Roman" w:hAnsi="Times New Roman"/>
        </w:rPr>
        <w:t>EC avant sa mise en œuvre.</w:t>
      </w:r>
    </w:p>
  </w:footnote>
  <w:footnote w:id="6">
    <w:p w14:paraId="10224453" w14:textId="690B69B7" w:rsidR="00041856" w:rsidRPr="0097258B" w:rsidRDefault="00041856" w:rsidP="0097258B">
      <w:pPr>
        <w:pStyle w:val="Notedebasdepage"/>
        <w:spacing w:after="0" w:line="257" w:lineRule="auto"/>
        <w:rPr>
          <w:rFonts w:ascii="Times New Roman" w:hAnsi="Times New Roman"/>
        </w:rPr>
      </w:pPr>
      <w:r w:rsidRPr="0097258B">
        <w:rPr>
          <w:rStyle w:val="Appelnotedebasdep"/>
          <w:rFonts w:ascii="Times New Roman" w:hAnsi="Times New Roman"/>
        </w:rPr>
        <w:footnoteRef/>
      </w:r>
      <w:r w:rsidRPr="0097258B">
        <w:rPr>
          <w:rFonts w:ascii="Times New Roman" w:hAnsi="Times New Roman"/>
        </w:rPr>
        <w:t xml:space="preserve"> Déjà pris en compte par le Projet (Plan de renforcement des capacités en GES)</w:t>
      </w:r>
    </w:p>
  </w:footnote>
  <w:footnote w:id="7">
    <w:p w14:paraId="7EA738CA" w14:textId="5DCA09BA" w:rsidR="00041856" w:rsidRDefault="00041856" w:rsidP="0097258B">
      <w:pPr>
        <w:pStyle w:val="Notedebasdepage"/>
        <w:spacing w:after="0" w:line="257" w:lineRule="auto"/>
      </w:pPr>
      <w:r w:rsidRPr="0097258B">
        <w:rPr>
          <w:rStyle w:val="Appelnotedebasdep"/>
          <w:rFonts w:ascii="Times New Roman" w:hAnsi="Times New Roman"/>
        </w:rPr>
        <w:footnoteRef/>
      </w:r>
      <w:r w:rsidRPr="0097258B">
        <w:rPr>
          <w:rFonts w:ascii="Times New Roman" w:hAnsi="Times New Roman"/>
        </w:rPr>
        <w:t xml:space="preserve"> Idem</w:t>
      </w:r>
    </w:p>
  </w:footnote>
  <w:footnote w:id="8">
    <w:p w14:paraId="6695BD6D" w14:textId="77777777" w:rsidR="00041856" w:rsidRPr="00970EA1" w:rsidRDefault="00041856" w:rsidP="00D46E35">
      <w:pPr>
        <w:pStyle w:val="Notedebasdepage"/>
        <w:spacing w:after="0"/>
        <w:rPr>
          <w:rFonts w:ascii="Times New Roman" w:hAnsi="Times New Roman"/>
          <w:sz w:val="18"/>
          <w:szCs w:val="18"/>
        </w:rPr>
      </w:pPr>
      <w:r w:rsidRPr="00970EA1">
        <w:rPr>
          <w:rStyle w:val="Appelnotedebasdep"/>
          <w:rFonts w:ascii="Times New Roman" w:hAnsi="Times New Roman"/>
          <w:sz w:val="18"/>
          <w:szCs w:val="18"/>
        </w:rPr>
        <w:footnoteRef/>
      </w:r>
      <w:r w:rsidRPr="00970EA1">
        <w:rPr>
          <w:rFonts w:ascii="Times New Roman" w:hAnsi="Times New Roman"/>
          <w:sz w:val="18"/>
          <w:szCs w:val="18"/>
        </w:rPr>
        <w:t xml:space="preserve"> A prendre en charge dans les DAO et les contrats des entreprises en charge des travaux</w:t>
      </w:r>
    </w:p>
  </w:footnote>
  <w:footnote w:id="9">
    <w:p w14:paraId="1990E028" w14:textId="77777777" w:rsidR="00041856" w:rsidRPr="00970EA1" w:rsidRDefault="00041856" w:rsidP="00D46E35">
      <w:pPr>
        <w:pStyle w:val="Notedebasdepage"/>
        <w:spacing w:after="0" w:line="257" w:lineRule="auto"/>
        <w:rPr>
          <w:rFonts w:ascii="Times New Roman" w:hAnsi="Times New Roman"/>
          <w:sz w:val="18"/>
          <w:szCs w:val="18"/>
        </w:rPr>
      </w:pPr>
      <w:r w:rsidRPr="00970EA1">
        <w:rPr>
          <w:rStyle w:val="Appelnotedebasdep"/>
          <w:rFonts w:ascii="Times New Roman" w:hAnsi="Times New Roman"/>
          <w:sz w:val="18"/>
          <w:szCs w:val="18"/>
        </w:rPr>
        <w:footnoteRef/>
      </w:r>
      <w:r w:rsidRPr="00970EA1">
        <w:rPr>
          <w:rFonts w:ascii="Times New Roman" w:hAnsi="Times New Roman"/>
          <w:sz w:val="18"/>
          <w:szCs w:val="18"/>
        </w:rPr>
        <w:t xml:space="preserve"> Pris en compte dans le financement additionnel du PROGEP II</w:t>
      </w:r>
    </w:p>
  </w:footnote>
  <w:footnote w:id="10">
    <w:p w14:paraId="65F42509" w14:textId="69001A3F" w:rsidR="00041856" w:rsidRPr="00970EA1" w:rsidRDefault="00041856" w:rsidP="00D46E35">
      <w:pPr>
        <w:pStyle w:val="Notedebasdepage"/>
        <w:spacing w:after="0" w:line="257" w:lineRule="auto"/>
        <w:rPr>
          <w:rFonts w:ascii="Times New Roman" w:hAnsi="Times New Roman"/>
          <w:sz w:val="18"/>
          <w:szCs w:val="18"/>
        </w:rPr>
      </w:pPr>
      <w:r w:rsidRPr="00970EA1">
        <w:rPr>
          <w:rStyle w:val="Appelnotedebasdep"/>
          <w:rFonts w:ascii="Times New Roman" w:hAnsi="Times New Roman"/>
          <w:sz w:val="18"/>
          <w:szCs w:val="18"/>
        </w:rPr>
        <w:footnoteRef/>
      </w:r>
      <w:r w:rsidRPr="00970EA1">
        <w:rPr>
          <w:rFonts w:ascii="Times New Roman" w:hAnsi="Times New Roman"/>
          <w:sz w:val="18"/>
          <w:szCs w:val="18"/>
        </w:rPr>
        <w:t xml:space="preserve"> Déjà pris en compte par le Projet</w:t>
      </w:r>
      <w:r>
        <w:rPr>
          <w:rFonts w:ascii="Times New Roman" w:hAnsi="Times New Roman"/>
          <w:sz w:val="18"/>
          <w:szCs w:val="18"/>
        </w:rPr>
        <w:t xml:space="preserve"> (Plan de renforcement des capacités en GES)</w:t>
      </w:r>
    </w:p>
  </w:footnote>
  <w:footnote w:id="11">
    <w:p w14:paraId="623DC78C" w14:textId="77777777" w:rsidR="00041856" w:rsidRPr="00970EA1" w:rsidRDefault="00041856" w:rsidP="00D46E35">
      <w:pPr>
        <w:pStyle w:val="Notedebasdepage"/>
        <w:spacing w:after="0"/>
        <w:rPr>
          <w:rFonts w:ascii="Times New Roman" w:hAnsi="Times New Roman"/>
          <w:sz w:val="18"/>
          <w:szCs w:val="18"/>
        </w:rPr>
      </w:pPr>
      <w:r w:rsidRPr="00970EA1">
        <w:rPr>
          <w:rStyle w:val="Appelnotedebasdep"/>
          <w:rFonts w:ascii="Times New Roman" w:hAnsi="Times New Roman"/>
          <w:sz w:val="18"/>
          <w:szCs w:val="18"/>
        </w:rPr>
        <w:footnoteRef/>
      </w:r>
      <w:r w:rsidRPr="00970EA1">
        <w:rPr>
          <w:rFonts w:ascii="Times New Roman" w:hAnsi="Times New Roman"/>
          <w:sz w:val="18"/>
          <w:szCs w:val="18"/>
        </w:rPr>
        <w:t xml:space="preserve"> Déjà pris en charge par le projet.</w:t>
      </w:r>
    </w:p>
  </w:footnote>
  <w:footnote w:id="12">
    <w:p w14:paraId="771D3AAB" w14:textId="77777777" w:rsidR="00041856" w:rsidRPr="003F0269" w:rsidRDefault="00041856" w:rsidP="00D46E35">
      <w:pPr>
        <w:pStyle w:val="Notedebasdepage"/>
        <w:spacing w:after="0"/>
      </w:pPr>
      <w:r w:rsidRPr="00970EA1">
        <w:rPr>
          <w:rStyle w:val="Appelnotedebasdep"/>
          <w:rFonts w:ascii="Times New Roman" w:hAnsi="Times New Roman"/>
          <w:sz w:val="18"/>
          <w:szCs w:val="18"/>
        </w:rPr>
        <w:footnoteRef/>
      </w:r>
      <w:r w:rsidRPr="00970EA1">
        <w:rPr>
          <w:rFonts w:ascii="Times New Roman" w:hAnsi="Times New Roman"/>
          <w:sz w:val="18"/>
          <w:szCs w:val="18"/>
        </w:rPr>
        <w:t xml:space="preserve"> Déjà pris en charge par le projet.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63041" w14:textId="77777777" w:rsidR="00041856" w:rsidRDefault="00041856">
    <w:pPr>
      <w:pStyle w:val="En-tte"/>
    </w:pPr>
  </w:p>
  <w:p w14:paraId="61D60DE5" w14:textId="77777777" w:rsidR="00041856" w:rsidRDefault="000418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49D8D" w14:textId="77777777" w:rsidR="00041856" w:rsidRPr="00636360" w:rsidRDefault="00041856" w:rsidP="003A0E4A">
    <w:pPr>
      <w:pStyle w:val="En-tte"/>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084AD" w14:textId="77777777" w:rsidR="00041856" w:rsidRDefault="0004185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A77999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7.35pt;visibility:visible" o:bullet="t">
        <v:imagedata r:id="rId1" o:title=""/>
      </v:shape>
    </w:pict>
  </w:numPicBullet>
  <w:abstractNum w:abstractNumId="0" w15:restartNumberingAfterBreak="0">
    <w:nsid w:val="FFFFFF7F"/>
    <w:multiLevelType w:val="singleLevel"/>
    <w:tmpl w:val="A0A09CD2"/>
    <w:lvl w:ilvl="0">
      <w:start w:val="1"/>
      <w:numFmt w:val="lowerLetter"/>
      <w:pStyle w:val="Listenumros2"/>
      <w:lvlText w:val="%1)"/>
      <w:lvlJc w:val="left"/>
      <w:pPr>
        <w:tabs>
          <w:tab w:val="num" w:pos="0"/>
        </w:tabs>
        <w:ind w:left="0" w:hanging="360"/>
      </w:pPr>
      <w:rPr>
        <w:rFonts w:hint="default"/>
        <w:b w:val="0"/>
        <w:i w:val="0"/>
      </w:rPr>
    </w:lvl>
  </w:abstractNum>
  <w:abstractNum w:abstractNumId="1" w15:restartNumberingAfterBreak="0">
    <w:nsid w:val="FFFFFF82"/>
    <w:multiLevelType w:val="singleLevel"/>
    <w:tmpl w:val="319A5C42"/>
    <w:lvl w:ilvl="0">
      <w:start w:val="1"/>
      <w:numFmt w:val="bullet"/>
      <w:pStyle w:val="Listepuce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08341EDA"/>
    <w:lvl w:ilvl="0">
      <w:start w:val="1"/>
      <w:numFmt w:val="bullet"/>
      <w:pStyle w:val="Listepuces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1506F534"/>
    <w:styleLink w:val="ListHeadings1"/>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BF0F0AA"/>
    <w:lvl w:ilvl="0">
      <w:start w:val="1"/>
      <w:numFmt w:val="bullet"/>
      <w:pStyle w:val="Listepuces"/>
      <w:lvlText w:val=""/>
      <w:lvlJc w:val="left"/>
      <w:pPr>
        <w:tabs>
          <w:tab w:val="num" w:pos="360"/>
        </w:tabs>
        <w:ind w:left="360" w:hanging="360"/>
      </w:pPr>
      <w:rPr>
        <w:rFonts w:ascii="Symbol" w:hAnsi="Symbol" w:hint="default"/>
      </w:rPr>
    </w:lvl>
  </w:abstractNum>
  <w:abstractNum w:abstractNumId="5" w15:restartNumberingAfterBreak="0">
    <w:nsid w:val="00000007"/>
    <w:multiLevelType w:val="hybridMultilevel"/>
    <w:tmpl w:val="C88E8C20"/>
    <w:lvl w:ilvl="0" w:tplc="FFFFFFFF">
      <w:start w:val="1"/>
      <w:numFmt w:val="bullet"/>
      <w:lvlText w:val=""/>
      <w:lvlJc w:val="left"/>
      <w:pPr>
        <w:ind w:left="720" w:hanging="360"/>
      </w:pPr>
      <w:rPr>
        <w:rFonts w:ascii="Symbol" w:hAnsi="Symbol" w:cs="Garamond" w:hint="default"/>
        <w:sz w:val="18"/>
        <w:szCs w:val="18"/>
      </w:rPr>
    </w:lvl>
    <w:lvl w:ilvl="1" w:tplc="040C0003">
      <w:start w:val="1"/>
      <w:numFmt w:val="bullet"/>
      <w:lvlRestart w:val="0"/>
      <w:lvlText w:val="o"/>
      <w:lvlJc w:val="left"/>
      <w:pPr>
        <w:ind w:left="1440" w:hanging="360"/>
      </w:pPr>
      <w:rPr>
        <w:rFonts w:ascii="Courier New" w:hAnsi="Courier New" w:cs="Garamond" w:hint="default"/>
      </w:rPr>
    </w:lvl>
    <w:lvl w:ilvl="2" w:tplc="040C0005">
      <w:start w:val="1"/>
      <w:numFmt w:val="bullet"/>
      <w:lvlRestart w:val="0"/>
      <w:lvlText w:val=""/>
      <w:lvlJc w:val="left"/>
      <w:pPr>
        <w:ind w:left="2160" w:hanging="360"/>
      </w:pPr>
      <w:rPr>
        <w:rFonts w:ascii="Wingdings" w:hAnsi="Wingdings" w:hint="default"/>
      </w:rPr>
    </w:lvl>
    <w:lvl w:ilvl="3" w:tplc="040C0001">
      <w:start w:val="1"/>
      <w:numFmt w:val="bullet"/>
      <w:lvlRestart w:val="0"/>
      <w:lvlText w:val=""/>
      <w:lvlJc w:val="left"/>
      <w:pPr>
        <w:ind w:left="2880" w:hanging="360"/>
      </w:pPr>
      <w:rPr>
        <w:rFonts w:ascii="Symbol" w:hAnsi="Symbol" w:hint="default"/>
      </w:rPr>
    </w:lvl>
    <w:lvl w:ilvl="4" w:tplc="040C0003">
      <w:start w:val="1"/>
      <w:numFmt w:val="bullet"/>
      <w:lvlRestart w:val="0"/>
      <w:lvlText w:val="o"/>
      <w:lvlJc w:val="left"/>
      <w:pPr>
        <w:ind w:left="3600" w:hanging="360"/>
      </w:pPr>
      <w:rPr>
        <w:rFonts w:ascii="Courier New" w:hAnsi="Courier New" w:cs="Garamond" w:hint="default"/>
      </w:rPr>
    </w:lvl>
    <w:lvl w:ilvl="5" w:tplc="040C0005">
      <w:start w:val="1"/>
      <w:numFmt w:val="bullet"/>
      <w:lvlRestart w:val="0"/>
      <w:lvlText w:val=""/>
      <w:lvlJc w:val="left"/>
      <w:pPr>
        <w:ind w:left="4320" w:hanging="360"/>
      </w:pPr>
      <w:rPr>
        <w:rFonts w:ascii="Wingdings" w:hAnsi="Wingdings" w:hint="default"/>
      </w:rPr>
    </w:lvl>
    <w:lvl w:ilvl="6" w:tplc="040C0001">
      <w:start w:val="1"/>
      <w:numFmt w:val="bullet"/>
      <w:lvlRestart w:val="0"/>
      <w:lvlText w:val=""/>
      <w:lvlJc w:val="left"/>
      <w:pPr>
        <w:ind w:left="5040" w:hanging="360"/>
      </w:pPr>
      <w:rPr>
        <w:rFonts w:ascii="Symbol" w:hAnsi="Symbol" w:hint="default"/>
      </w:rPr>
    </w:lvl>
    <w:lvl w:ilvl="7" w:tplc="040C0003">
      <w:start w:val="1"/>
      <w:numFmt w:val="bullet"/>
      <w:lvlRestart w:val="0"/>
      <w:lvlText w:val="o"/>
      <w:lvlJc w:val="left"/>
      <w:pPr>
        <w:ind w:left="5760" w:hanging="360"/>
      </w:pPr>
      <w:rPr>
        <w:rFonts w:ascii="Courier New" w:hAnsi="Courier New" w:cs="Garamond" w:hint="default"/>
      </w:rPr>
    </w:lvl>
    <w:lvl w:ilvl="8" w:tplc="040C0005">
      <w:start w:val="1"/>
      <w:numFmt w:val="bullet"/>
      <w:lvlRestart w:val="0"/>
      <w:lvlText w:val=""/>
      <w:lvlJc w:val="left"/>
      <w:pPr>
        <w:ind w:left="6480" w:hanging="360"/>
      </w:pPr>
      <w:rPr>
        <w:rFonts w:ascii="Wingdings" w:hAnsi="Wingdings" w:hint="default"/>
      </w:rPr>
    </w:lvl>
  </w:abstractNum>
  <w:abstractNum w:abstractNumId="6" w15:restartNumberingAfterBreak="0">
    <w:nsid w:val="00000008"/>
    <w:multiLevelType w:val="hybridMultilevel"/>
    <w:tmpl w:val="6A20C2C0"/>
    <w:lvl w:ilvl="0" w:tplc="040C000B">
      <w:start w:val="1"/>
      <w:numFmt w:val="bullet"/>
      <w:lvlText w:val=""/>
      <w:lvlJc w:val="left"/>
      <w:pPr>
        <w:ind w:left="786" w:hanging="360"/>
      </w:pPr>
      <w:rPr>
        <w:rFonts w:ascii="Wingdings" w:hAnsi="Wingdings" w:hint="default"/>
      </w:rPr>
    </w:lvl>
    <w:lvl w:ilvl="1" w:tplc="040C0003">
      <w:start w:val="1"/>
      <w:numFmt w:val="bullet"/>
      <w:lvlRestart w:val="0"/>
      <w:lvlText w:val="o"/>
      <w:lvlJc w:val="left"/>
      <w:pPr>
        <w:ind w:left="1440" w:hanging="360"/>
      </w:pPr>
      <w:rPr>
        <w:rFonts w:ascii="Courier New" w:hAnsi="Courier New" w:cs="Courier New" w:hint="default"/>
      </w:rPr>
    </w:lvl>
    <w:lvl w:ilvl="2" w:tplc="040C0005">
      <w:start w:val="1"/>
      <w:numFmt w:val="bullet"/>
      <w:lvlRestart w:val="0"/>
      <w:lvlText w:val=""/>
      <w:lvlJc w:val="left"/>
      <w:pPr>
        <w:ind w:left="2160" w:hanging="360"/>
      </w:pPr>
      <w:rPr>
        <w:rFonts w:ascii="Wingdings" w:hAnsi="Wingdings" w:hint="default"/>
      </w:rPr>
    </w:lvl>
    <w:lvl w:ilvl="3" w:tplc="040C0001">
      <w:start w:val="1"/>
      <w:numFmt w:val="bullet"/>
      <w:lvlRestart w:val="0"/>
      <w:lvlText w:val=""/>
      <w:lvlJc w:val="left"/>
      <w:pPr>
        <w:ind w:left="2880" w:hanging="360"/>
      </w:pPr>
      <w:rPr>
        <w:rFonts w:ascii="Symbol" w:hAnsi="Symbol" w:hint="default"/>
      </w:rPr>
    </w:lvl>
    <w:lvl w:ilvl="4" w:tplc="040C0003">
      <w:start w:val="1"/>
      <w:numFmt w:val="bullet"/>
      <w:lvlRestart w:val="0"/>
      <w:lvlText w:val="o"/>
      <w:lvlJc w:val="left"/>
      <w:pPr>
        <w:ind w:left="3600" w:hanging="360"/>
      </w:pPr>
      <w:rPr>
        <w:rFonts w:ascii="Courier New" w:hAnsi="Courier New" w:cs="Courier New" w:hint="default"/>
      </w:rPr>
    </w:lvl>
    <w:lvl w:ilvl="5" w:tplc="040C0005">
      <w:start w:val="1"/>
      <w:numFmt w:val="bullet"/>
      <w:lvlRestart w:val="0"/>
      <w:lvlText w:val=""/>
      <w:lvlJc w:val="left"/>
      <w:pPr>
        <w:ind w:left="4320" w:hanging="360"/>
      </w:pPr>
      <w:rPr>
        <w:rFonts w:ascii="Wingdings" w:hAnsi="Wingdings" w:hint="default"/>
      </w:rPr>
    </w:lvl>
    <w:lvl w:ilvl="6" w:tplc="040C0001">
      <w:start w:val="1"/>
      <w:numFmt w:val="bullet"/>
      <w:lvlRestart w:val="0"/>
      <w:lvlText w:val=""/>
      <w:lvlJc w:val="left"/>
      <w:pPr>
        <w:ind w:left="5040" w:hanging="360"/>
      </w:pPr>
      <w:rPr>
        <w:rFonts w:ascii="Symbol" w:hAnsi="Symbol" w:hint="default"/>
      </w:rPr>
    </w:lvl>
    <w:lvl w:ilvl="7" w:tplc="040C0003">
      <w:start w:val="1"/>
      <w:numFmt w:val="bullet"/>
      <w:lvlRestart w:val="0"/>
      <w:lvlText w:val="o"/>
      <w:lvlJc w:val="left"/>
      <w:pPr>
        <w:ind w:left="5760" w:hanging="360"/>
      </w:pPr>
      <w:rPr>
        <w:rFonts w:ascii="Courier New" w:hAnsi="Courier New" w:cs="Courier New" w:hint="default"/>
      </w:rPr>
    </w:lvl>
    <w:lvl w:ilvl="8" w:tplc="040C0005">
      <w:start w:val="1"/>
      <w:numFmt w:val="bullet"/>
      <w:lvlRestart w:val="0"/>
      <w:lvlText w:val=""/>
      <w:lvlJc w:val="left"/>
      <w:pPr>
        <w:ind w:left="6480" w:hanging="360"/>
      </w:pPr>
      <w:rPr>
        <w:rFonts w:ascii="Wingdings" w:hAnsi="Wingdings" w:hint="default"/>
      </w:rPr>
    </w:lvl>
  </w:abstractNum>
  <w:abstractNum w:abstractNumId="7" w15:restartNumberingAfterBreak="0">
    <w:nsid w:val="0000001B"/>
    <w:multiLevelType w:val="multilevel"/>
    <w:tmpl w:val="29F63806"/>
    <w:lvl w:ilvl="0">
      <w:start w:val="1"/>
      <w:numFmt w:val="decimal"/>
      <w:pStyle w:val="AATitre3"/>
      <w:lvlText w:val="%1."/>
      <w:lvlJc w:val="left"/>
      <w:pPr>
        <w:tabs>
          <w:tab w:val="num" w:pos="1827"/>
        </w:tabs>
        <w:ind w:left="0" w:firstLine="0"/>
      </w:pPr>
      <w:rPr>
        <w:rFonts w:ascii="Times New Roman Gras" w:hAnsi="Times New Roman Gras" w:hint="default"/>
        <w:b/>
        <w:i w:val="0"/>
        <w:color w:val="auto"/>
        <w:sz w:val="22"/>
        <w:u w:val="none"/>
      </w:rPr>
    </w:lvl>
    <w:lvl w:ilvl="1">
      <w:start w:val="1"/>
      <w:numFmt w:val="decimal"/>
      <w:lvlText w:val="%1.%2"/>
      <w:lvlJc w:val="left"/>
      <w:pPr>
        <w:tabs>
          <w:tab w:val="num" w:pos="2234"/>
        </w:tabs>
        <w:ind w:left="0" w:firstLine="0"/>
      </w:pPr>
      <w:rPr>
        <w:rFonts w:ascii="Myriad Pro Black" w:hAnsi="Myriad Pro Black" w:cs="Myriad Pro Black" w:hint="default"/>
        <w:b w:val="0"/>
        <w:i w:val="0"/>
        <w:color w:val="auto"/>
        <w:sz w:val="22"/>
        <w:u w:val="none"/>
      </w:rPr>
    </w:lvl>
    <w:lvl w:ilvl="2">
      <w:start w:val="1"/>
      <w:numFmt w:val="decimal"/>
      <w:lvlText w:val="%1.%2.%3"/>
      <w:lvlJc w:val="left"/>
      <w:pPr>
        <w:tabs>
          <w:tab w:val="num" w:pos="1827"/>
        </w:tabs>
        <w:ind w:left="0" w:firstLine="0"/>
      </w:pPr>
      <w:rPr>
        <w:rFonts w:ascii="Myriad Pro Black" w:hAnsi="Myriad Pro Black" w:cs="Myriad Pro Black" w:hint="default"/>
        <w:b w:val="0"/>
        <w:i w:val="0"/>
        <w:color w:val="auto"/>
        <w:sz w:val="22"/>
        <w:u w:val="none"/>
      </w:rPr>
    </w:lvl>
    <w:lvl w:ilvl="3">
      <w:start w:val="1"/>
      <w:numFmt w:val="lowerLetter"/>
      <w:lvlText w:val="(%4)"/>
      <w:lvlJc w:val="left"/>
      <w:pPr>
        <w:tabs>
          <w:tab w:val="num" w:pos="360"/>
        </w:tabs>
        <w:ind w:left="360" w:hanging="360"/>
      </w:pPr>
      <w:rPr>
        <w:rFonts w:ascii="Arial" w:hAnsi="Arial" w:hint="default"/>
        <w:b/>
        <w:i w:val="0"/>
        <w:sz w:val="20"/>
      </w:rPr>
    </w:lvl>
    <w:lvl w:ilvl="4">
      <w:start w:val="1"/>
      <w:numFmt w:val="lowerRoman"/>
      <w:lvlText w:val="(%5)"/>
      <w:lvlJc w:val="left"/>
      <w:pPr>
        <w:tabs>
          <w:tab w:val="num" w:pos="720"/>
        </w:tabs>
        <w:ind w:left="360" w:hanging="360"/>
      </w:pPr>
      <w:rPr>
        <w:rFonts w:ascii="Arial" w:hAnsi="Arial" w:hint="default"/>
        <w:b w:val="0"/>
        <w:i w:val="0"/>
        <w:sz w:val="20"/>
      </w:rPr>
    </w:lvl>
    <w:lvl w:ilvl="5">
      <w:start w:val="1"/>
      <w:numFmt w:val="decimal"/>
      <w:lvlText w:val="%1.%2.%3.%4.%5.%6"/>
      <w:lvlJc w:val="left"/>
      <w:pPr>
        <w:tabs>
          <w:tab w:val="num" w:pos="1845"/>
        </w:tabs>
        <w:ind w:left="0" w:firstLine="0"/>
      </w:pPr>
      <w:rPr>
        <w:rFonts w:hint="default"/>
      </w:rPr>
    </w:lvl>
    <w:lvl w:ilvl="6">
      <w:start w:val="1"/>
      <w:numFmt w:val="decimal"/>
      <w:lvlText w:val="%1.%2.%3.%4.%5.%6.%7"/>
      <w:lvlJc w:val="left"/>
      <w:pPr>
        <w:tabs>
          <w:tab w:val="num" w:pos="1989"/>
        </w:tabs>
        <w:ind w:left="0" w:firstLine="0"/>
      </w:pPr>
      <w:rPr>
        <w:rFonts w:hint="default"/>
      </w:rPr>
    </w:lvl>
    <w:lvl w:ilvl="7">
      <w:start w:val="1"/>
      <w:numFmt w:val="decimal"/>
      <w:lvlText w:val="%1.%2.%3.%4.%5.%6.%7.%8"/>
      <w:lvlJc w:val="left"/>
      <w:pPr>
        <w:tabs>
          <w:tab w:val="num" w:pos="2133"/>
        </w:tabs>
        <w:ind w:left="0" w:firstLine="0"/>
      </w:pPr>
      <w:rPr>
        <w:rFonts w:hint="default"/>
      </w:rPr>
    </w:lvl>
    <w:lvl w:ilvl="8">
      <w:start w:val="1"/>
      <w:numFmt w:val="decimal"/>
      <w:lvlText w:val="%1.%2.%3.%4.%5.%6.%7.%8.%9"/>
      <w:lvlJc w:val="left"/>
      <w:pPr>
        <w:tabs>
          <w:tab w:val="num" w:pos="2277"/>
        </w:tabs>
        <w:ind w:left="0" w:firstLine="0"/>
      </w:pPr>
      <w:rPr>
        <w:rFonts w:hint="default"/>
      </w:rPr>
    </w:lvl>
  </w:abstractNum>
  <w:abstractNum w:abstractNumId="8" w15:restartNumberingAfterBreak="0">
    <w:nsid w:val="00000021"/>
    <w:multiLevelType w:val="hybridMultilevel"/>
    <w:tmpl w:val="708C126E"/>
    <w:lvl w:ilvl="0" w:tplc="040C0001">
      <w:start w:val="1"/>
      <w:numFmt w:val="bullet"/>
      <w:lvlText w:val=""/>
      <w:lvlJc w:val="left"/>
      <w:pPr>
        <w:ind w:left="720" w:hanging="360"/>
      </w:pPr>
      <w:rPr>
        <w:rFonts w:ascii="Symbol" w:hAnsi="Symbol" w:hint="default"/>
      </w:rPr>
    </w:lvl>
    <w:lvl w:ilvl="1" w:tplc="040C0003">
      <w:start w:val="1"/>
      <w:numFmt w:val="bullet"/>
      <w:lvlRestart w:val="0"/>
      <w:lvlText w:val="o"/>
      <w:lvlJc w:val="left"/>
      <w:pPr>
        <w:ind w:left="1440" w:hanging="360"/>
      </w:pPr>
      <w:rPr>
        <w:rFonts w:ascii="Courier New" w:hAnsi="Courier New" w:cs="Courier New" w:hint="default"/>
      </w:rPr>
    </w:lvl>
    <w:lvl w:ilvl="2" w:tplc="040C0005">
      <w:start w:val="1"/>
      <w:numFmt w:val="bullet"/>
      <w:lvlRestart w:val="0"/>
      <w:lvlText w:val=""/>
      <w:lvlJc w:val="left"/>
      <w:pPr>
        <w:ind w:left="2160" w:hanging="360"/>
      </w:pPr>
      <w:rPr>
        <w:rFonts w:ascii="Wingdings" w:hAnsi="Wingdings" w:hint="default"/>
      </w:rPr>
    </w:lvl>
    <w:lvl w:ilvl="3" w:tplc="040C0001">
      <w:start w:val="1"/>
      <w:numFmt w:val="bullet"/>
      <w:lvlRestart w:val="0"/>
      <w:lvlText w:val=""/>
      <w:lvlJc w:val="left"/>
      <w:pPr>
        <w:ind w:left="2880" w:hanging="360"/>
      </w:pPr>
      <w:rPr>
        <w:rFonts w:ascii="Symbol" w:hAnsi="Symbol" w:hint="default"/>
      </w:rPr>
    </w:lvl>
    <w:lvl w:ilvl="4" w:tplc="040C0003">
      <w:start w:val="1"/>
      <w:numFmt w:val="bullet"/>
      <w:lvlRestart w:val="0"/>
      <w:lvlText w:val="o"/>
      <w:lvlJc w:val="left"/>
      <w:pPr>
        <w:ind w:left="3600" w:hanging="360"/>
      </w:pPr>
      <w:rPr>
        <w:rFonts w:ascii="Courier New" w:hAnsi="Courier New" w:cs="Courier New" w:hint="default"/>
      </w:rPr>
    </w:lvl>
    <w:lvl w:ilvl="5" w:tplc="040C0005">
      <w:start w:val="1"/>
      <w:numFmt w:val="bullet"/>
      <w:lvlRestart w:val="0"/>
      <w:lvlText w:val=""/>
      <w:lvlJc w:val="left"/>
      <w:pPr>
        <w:ind w:left="4320" w:hanging="360"/>
      </w:pPr>
      <w:rPr>
        <w:rFonts w:ascii="Wingdings" w:hAnsi="Wingdings" w:hint="default"/>
      </w:rPr>
    </w:lvl>
    <w:lvl w:ilvl="6" w:tplc="040C0001">
      <w:start w:val="1"/>
      <w:numFmt w:val="bullet"/>
      <w:lvlRestart w:val="0"/>
      <w:lvlText w:val=""/>
      <w:lvlJc w:val="left"/>
      <w:pPr>
        <w:ind w:left="5040" w:hanging="360"/>
      </w:pPr>
      <w:rPr>
        <w:rFonts w:ascii="Symbol" w:hAnsi="Symbol" w:hint="default"/>
      </w:rPr>
    </w:lvl>
    <w:lvl w:ilvl="7" w:tplc="040C0003">
      <w:start w:val="1"/>
      <w:numFmt w:val="bullet"/>
      <w:lvlRestart w:val="0"/>
      <w:lvlText w:val="o"/>
      <w:lvlJc w:val="left"/>
      <w:pPr>
        <w:ind w:left="5760" w:hanging="360"/>
      </w:pPr>
      <w:rPr>
        <w:rFonts w:ascii="Courier New" w:hAnsi="Courier New" w:cs="Courier New" w:hint="default"/>
      </w:rPr>
    </w:lvl>
    <w:lvl w:ilvl="8" w:tplc="040C0005">
      <w:start w:val="1"/>
      <w:numFmt w:val="bullet"/>
      <w:lvlRestart w:val="0"/>
      <w:lvlText w:val=""/>
      <w:lvlJc w:val="left"/>
      <w:pPr>
        <w:ind w:left="6480" w:hanging="360"/>
      </w:pPr>
      <w:rPr>
        <w:rFonts w:ascii="Wingdings" w:hAnsi="Wingdings" w:hint="default"/>
      </w:rPr>
    </w:lvl>
  </w:abstractNum>
  <w:abstractNum w:abstractNumId="9" w15:restartNumberingAfterBreak="0">
    <w:nsid w:val="00000030"/>
    <w:multiLevelType w:val="hybridMultilevel"/>
    <w:tmpl w:val="274AAAFA"/>
    <w:lvl w:ilvl="0" w:tplc="CB5656FA">
      <w:start w:val="1"/>
      <w:numFmt w:val="bullet"/>
      <w:lvlText w:val=""/>
      <w:lvlJc w:val="left"/>
      <w:pPr>
        <w:ind w:left="720" w:hanging="360"/>
      </w:pPr>
      <w:rPr>
        <w:rFonts w:ascii="Symbol" w:hAnsi="Symbol" w:hint="default"/>
      </w:rPr>
    </w:lvl>
    <w:lvl w:ilvl="1" w:tplc="040C0003">
      <w:start w:val="1"/>
      <w:numFmt w:val="bullet"/>
      <w:lvlRestart w:val="0"/>
      <w:lvlText w:val="o"/>
      <w:lvlJc w:val="left"/>
      <w:pPr>
        <w:ind w:left="1440" w:hanging="360"/>
      </w:pPr>
      <w:rPr>
        <w:rFonts w:ascii="Courier New" w:hAnsi="Courier New" w:cs="Courier New" w:hint="default"/>
      </w:rPr>
    </w:lvl>
    <w:lvl w:ilvl="2" w:tplc="040C0005">
      <w:start w:val="1"/>
      <w:numFmt w:val="bullet"/>
      <w:lvlRestart w:val="0"/>
      <w:lvlText w:val=""/>
      <w:lvlJc w:val="left"/>
      <w:pPr>
        <w:ind w:left="2160" w:hanging="360"/>
      </w:pPr>
      <w:rPr>
        <w:rFonts w:ascii="Wingdings" w:hAnsi="Wingdings" w:hint="default"/>
      </w:rPr>
    </w:lvl>
    <w:lvl w:ilvl="3" w:tplc="040C0001">
      <w:start w:val="1"/>
      <w:numFmt w:val="bullet"/>
      <w:lvlRestart w:val="0"/>
      <w:lvlText w:val=""/>
      <w:lvlJc w:val="left"/>
      <w:pPr>
        <w:ind w:left="2880" w:hanging="360"/>
      </w:pPr>
      <w:rPr>
        <w:rFonts w:ascii="Symbol" w:hAnsi="Symbol" w:hint="default"/>
      </w:rPr>
    </w:lvl>
    <w:lvl w:ilvl="4" w:tplc="040C0003">
      <w:start w:val="1"/>
      <w:numFmt w:val="bullet"/>
      <w:lvlRestart w:val="0"/>
      <w:lvlText w:val="o"/>
      <w:lvlJc w:val="left"/>
      <w:pPr>
        <w:ind w:left="3600" w:hanging="360"/>
      </w:pPr>
      <w:rPr>
        <w:rFonts w:ascii="Courier New" w:hAnsi="Courier New" w:cs="Courier New" w:hint="default"/>
      </w:rPr>
    </w:lvl>
    <w:lvl w:ilvl="5" w:tplc="040C0005">
      <w:start w:val="1"/>
      <w:numFmt w:val="bullet"/>
      <w:lvlRestart w:val="0"/>
      <w:lvlText w:val=""/>
      <w:lvlJc w:val="left"/>
      <w:pPr>
        <w:ind w:left="4320" w:hanging="360"/>
      </w:pPr>
      <w:rPr>
        <w:rFonts w:ascii="Wingdings" w:hAnsi="Wingdings" w:hint="default"/>
      </w:rPr>
    </w:lvl>
    <w:lvl w:ilvl="6" w:tplc="040C0001">
      <w:start w:val="1"/>
      <w:numFmt w:val="bullet"/>
      <w:lvlRestart w:val="0"/>
      <w:lvlText w:val=""/>
      <w:lvlJc w:val="left"/>
      <w:pPr>
        <w:ind w:left="5040" w:hanging="360"/>
      </w:pPr>
      <w:rPr>
        <w:rFonts w:ascii="Symbol" w:hAnsi="Symbol" w:hint="default"/>
      </w:rPr>
    </w:lvl>
    <w:lvl w:ilvl="7" w:tplc="040C0003">
      <w:start w:val="1"/>
      <w:numFmt w:val="bullet"/>
      <w:lvlRestart w:val="0"/>
      <w:lvlText w:val="o"/>
      <w:lvlJc w:val="left"/>
      <w:pPr>
        <w:ind w:left="5760" w:hanging="360"/>
      </w:pPr>
      <w:rPr>
        <w:rFonts w:ascii="Courier New" w:hAnsi="Courier New" w:cs="Courier New" w:hint="default"/>
      </w:rPr>
    </w:lvl>
    <w:lvl w:ilvl="8" w:tplc="040C0005">
      <w:start w:val="1"/>
      <w:numFmt w:val="bullet"/>
      <w:lvlRestart w:val="0"/>
      <w:lvlText w:val=""/>
      <w:lvlJc w:val="left"/>
      <w:pPr>
        <w:ind w:left="6480" w:hanging="360"/>
      </w:pPr>
      <w:rPr>
        <w:rFonts w:ascii="Wingdings" w:hAnsi="Wingdings" w:hint="default"/>
      </w:rPr>
    </w:lvl>
  </w:abstractNum>
  <w:abstractNum w:abstractNumId="10" w15:restartNumberingAfterBreak="0">
    <w:nsid w:val="005B518D"/>
    <w:multiLevelType w:val="hybridMultilevel"/>
    <w:tmpl w:val="9DBEFC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08633EE"/>
    <w:multiLevelType w:val="hybridMultilevel"/>
    <w:tmpl w:val="FE06BF08"/>
    <w:lvl w:ilvl="0" w:tplc="13DC41A2">
      <w:start w:val="1"/>
      <w:numFmt w:val="bullet"/>
      <w:lvlText w:val=""/>
      <w:lvlJc w:val="left"/>
      <w:pPr>
        <w:ind w:left="360" w:hanging="360"/>
      </w:pPr>
      <w:rPr>
        <w:rFonts w:ascii="Wingdings" w:hAnsi="Wingdings" w:hint="default"/>
        <w:b w:val="0"/>
        <w:i w:val="0"/>
        <w:strike w:val="0"/>
        <w:dstrike w:val="0"/>
        <w:color w:val="000000"/>
        <w:w w:val="100"/>
        <w:sz w:val="22"/>
        <w:szCs w:val="22"/>
        <w:u w:val="none" w:color="000000"/>
        <w:bdr w:val="none" w:sz="0" w:space="0" w:color="auto"/>
        <w:shd w:val="clear" w:color="auto" w:fill="auto"/>
        <w:vertAlign w:val="baseline"/>
        <w:lang w:val="fr-FR" w:eastAsia="fr-FR" w:bidi="fr-FR"/>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00C24856"/>
    <w:multiLevelType w:val="hybridMultilevel"/>
    <w:tmpl w:val="765E63D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011415E9"/>
    <w:multiLevelType w:val="hybridMultilevel"/>
    <w:tmpl w:val="91981184"/>
    <w:lvl w:ilvl="0" w:tplc="800A7BB0">
      <w:start w:val="1"/>
      <w:numFmt w:val="bullet"/>
      <w:pStyle w:val="PuceNiveau1"/>
      <w:lvlText w:val=""/>
      <w:lvlJc w:val="left"/>
      <w:pPr>
        <w:ind w:left="720" w:hanging="360"/>
      </w:pPr>
      <w:rPr>
        <w:rFonts w:ascii="Symbol" w:hAnsi="Symbol" w:hint="default"/>
        <w:b w:val="0"/>
        <w:bCs w:val="0"/>
        <w:i w:val="0"/>
        <w:iCs w:val="0"/>
        <w:caps w:val="0"/>
        <w:smallCaps w:val="0"/>
        <w:strike w:val="0"/>
        <w:dstrike w:val="0"/>
        <w:noProof w:val="0"/>
        <w:vanish w:val="0"/>
        <w:color w:val="00818B"/>
        <w:spacing w:val="0"/>
        <w:kern w:val="0"/>
        <w:position w:val="0"/>
        <w:u w:val="none"/>
        <w:effect w:val="none"/>
        <w:vertAlign w:val="baseline"/>
        <w:em w:val="none"/>
        <w:specVanish w:val="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125279A"/>
    <w:multiLevelType w:val="hybridMultilevel"/>
    <w:tmpl w:val="0E2ACAD8"/>
    <w:lvl w:ilvl="0" w:tplc="E334E61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018F6F2D"/>
    <w:multiLevelType w:val="multilevel"/>
    <w:tmpl w:val="BE541958"/>
    <w:lvl w:ilvl="0">
      <w:start w:val="1"/>
      <w:numFmt w:val="upperLetter"/>
      <w:lvlText w:val="%1."/>
      <w:lvlJc w:val="left"/>
      <w:pPr>
        <w:tabs>
          <w:tab w:val="num" w:pos="360"/>
        </w:tabs>
        <w:ind w:left="360" w:hanging="360"/>
      </w:pPr>
      <w:rPr>
        <w:rFonts w:hint="default"/>
      </w:rPr>
    </w:lvl>
    <w:lvl w:ilvl="1">
      <w:start w:val="1"/>
      <w:numFmt w:val="decimal"/>
      <w:pStyle w:val="Retraitcorpsdetexte3"/>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39E762F"/>
    <w:multiLevelType w:val="hybridMultilevel"/>
    <w:tmpl w:val="EBF6BE5A"/>
    <w:lvl w:ilvl="0" w:tplc="0C0C000B">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03A1647A"/>
    <w:multiLevelType w:val="singleLevel"/>
    <w:tmpl w:val="E35E471A"/>
    <w:lvl w:ilvl="0">
      <w:start w:val="408"/>
      <w:numFmt w:val="bullet"/>
      <w:pStyle w:val="enumration1"/>
      <w:lvlText w:val="-"/>
      <w:lvlJc w:val="left"/>
      <w:pPr>
        <w:tabs>
          <w:tab w:val="num" w:pos="360"/>
        </w:tabs>
        <w:ind w:left="360" w:hanging="360"/>
      </w:pPr>
      <w:rPr>
        <w:rFonts w:ascii="Times New Roman" w:hAnsi="Times New Roman" w:hint="default"/>
      </w:rPr>
    </w:lvl>
  </w:abstractNum>
  <w:abstractNum w:abstractNumId="18" w15:restartNumberingAfterBreak="0">
    <w:nsid w:val="041670B8"/>
    <w:multiLevelType w:val="hybridMultilevel"/>
    <w:tmpl w:val="33464F20"/>
    <w:lvl w:ilvl="0" w:tplc="040C0005">
      <w:start w:val="1"/>
      <w:numFmt w:val="bullet"/>
      <w:lvlText w:val=""/>
      <w:lvlJc w:val="left"/>
      <w:pPr>
        <w:tabs>
          <w:tab w:val="num" w:pos="360"/>
        </w:tabs>
        <w:ind w:left="360" w:hanging="360"/>
      </w:pPr>
      <w:rPr>
        <w:rFonts w:ascii="Wingdings" w:hAnsi="Wingdings" w:hint="default"/>
        <w:sz w:val="16"/>
      </w:rPr>
    </w:lvl>
    <w:lvl w:ilvl="1" w:tplc="040C0003">
      <w:start w:val="1"/>
      <w:numFmt w:val="bullet"/>
      <w:pStyle w:val="TxBrp29"/>
      <w:lvlText w:val=""/>
      <w:lvlJc w:val="left"/>
      <w:pPr>
        <w:tabs>
          <w:tab w:val="num" w:pos="1440"/>
        </w:tabs>
        <w:ind w:left="1440" w:hanging="360"/>
      </w:pPr>
      <w:rPr>
        <w:rFonts w:ascii="Symbol" w:hAnsi="Symbol" w:hint="default"/>
        <w:sz w:val="16"/>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4294C69"/>
    <w:multiLevelType w:val="multilevel"/>
    <w:tmpl w:val="262E10A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051813B0"/>
    <w:multiLevelType w:val="hybridMultilevel"/>
    <w:tmpl w:val="D946099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056D5082"/>
    <w:multiLevelType w:val="hybridMultilevel"/>
    <w:tmpl w:val="A97EE35C"/>
    <w:lvl w:ilvl="0" w:tplc="10DC2B3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5DF7745"/>
    <w:multiLevelType w:val="hybridMultilevel"/>
    <w:tmpl w:val="A6546CA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060A4D3A"/>
    <w:multiLevelType w:val="hybridMultilevel"/>
    <w:tmpl w:val="06C40AFA"/>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064D7A15"/>
    <w:multiLevelType w:val="hybridMultilevel"/>
    <w:tmpl w:val="8FF4E8BE"/>
    <w:lvl w:ilvl="0" w:tplc="832E0812">
      <w:start w:val="1"/>
      <w:numFmt w:val="bullet"/>
      <w:lvlText w:val=""/>
      <w:lvlJc w:val="left"/>
      <w:pPr>
        <w:ind w:left="7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0ECD22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986709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59CEA3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4A2B1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0067AF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66102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B2F0B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F465D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06BE5116"/>
    <w:multiLevelType w:val="hybridMultilevel"/>
    <w:tmpl w:val="0D0A88F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06BE5E71"/>
    <w:multiLevelType w:val="hybridMultilevel"/>
    <w:tmpl w:val="FA0064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7" w15:restartNumberingAfterBreak="0">
    <w:nsid w:val="06F515D5"/>
    <w:multiLevelType w:val="hybridMultilevel"/>
    <w:tmpl w:val="82AEAB72"/>
    <w:lvl w:ilvl="0" w:tplc="6AE09CCA">
      <w:start w:val="10"/>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0725514D"/>
    <w:multiLevelType w:val="hybridMultilevel"/>
    <w:tmpl w:val="79A061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07504322"/>
    <w:multiLevelType w:val="hybridMultilevel"/>
    <w:tmpl w:val="6FB85256"/>
    <w:lvl w:ilvl="0" w:tplc="6AE09CCA">
      <w:start w:val="10"/>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0854225D"/>
    <w:multiLevelType w:val="hybridMultilevel"/>
    <w:tmpl w:val="FF82A7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09133ED5"/>
    <w:multiLevelType w:val="singleLevel"/>
    <w:tmpl w:val="825A385A"/>
    <w:lvl w:ilvl="0">
      <w:start w:val="1"/>
      <w:numFmt w:val="decimal"/>
      <w:pStyle w:val="Normal11pt"/>
      <w:lvlText w:val="%1."/>
      <w:lvlJc w:val="left"/>
      <w:pPr>
        <w:tabs>
          <w:tab w:val="num" w:pos="360"/>
        </w:tabs>
        <w:ind w:left="0" w:firstLine="0"/>
      </w:pPr>
      <w:rPr>
        <w:rFonts w:hint="default"/>
        <w:b/>
        <w:i w:val="0"/>
        <w:sz w:val="18"/>
        <w:szCs w:val="22"/>
      </w:rPr>
    </w:lvl>
  </w:abstractNum>
  <w:abstractNum w:abstractNumId="32" w15:restartNumberingAfterBreak="0">
    <w:nsid w:val="09511ED5"/>
    <w:multiLevelType w:val="hybridMultilevel"/>
    <w:tmpl w:val="356E36F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09AE7ABF"/>
    <w:multiLevelType w:val="singleLevel"/>
    <w:tmpl w:val="992A7FCA"/>
    <w:lvl w:ilvl="0">
      <w:numFmt w:val="bullet"/>
      <w:pStyle w:val="PDSHeading1"/>
      <w:lvlText w:val="-"/>
      <w:lvlJc w:val="left"/>
      <w:pPr>
        <w:tabs>
          <w:tab w:val="num" w:pos="435"/>
        </w:tabs>
        <w:ind w:left="435" w:hanging="435"/>
      </w:pPr>
      <w:rPr>
        <w:rFonts w:hint="default"/>
        <w:color w:val="auto"/>
      </w:rPr>
    </w:lvl>
  </w:abstractNum>
  <w:abstractNum w:abstractNumId="34" w15:restartNumberingAfterBreak="0">
    <w:nsid w:val="09CF742D"/>
    <w:multiLevelType w:val="hybridMultilevel"/>
    <w:tmpl w:val="775205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0A494DF1"/>
    <w:multiLevelType w:val="hybridMultilevel"/>
    <w:tmpl w:val="25768E8E"/>
    <w:lvl w:ilvl="0" w:tplc="040C0001">
      <w:start w:val="2"/>
      <w:numFmt w:val="bullet"/>
      <w:pStyle w:val="StyleListe-"/>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0A4C3E46"/>
    <w:multiLevelType w:val="hybridMultilevel"/>
    <w:tmpl w:val="62BC522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0B062176"/>
    <w:multiLevelType w:val="hybridMultilevel"/>
    <w:tmpl w:val="99B2CF18"/>
    <w:lvl w:ilvl="0" w:tplc="20000001">
      <w:start w:val="1"/>
      <w:numFmt w:val="bullet"/>
      <w:lvlText w:val=""/>
      <w:lvlJc w:val="left"/>
      <w:pPr>
        <w:ind w:left="720" w:hanging="360"/>
      </w:pPr>
      <w:rPr>
        <w:rFonts w:ascii="Symbol" w:hAnsi="Symbol" w:hint="default"/>
        <w:color w:val="auto"/>
        <w:sz w:val="24"/>
        <w:szCs w:val="24"/>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0B352D41"/>
    <w:multiLevelType w:val="hybridMultilevel"/>
    <w:tmpl w:val="C88E8C20"/>
    <w:lvl w:ilvl="0" w:tplc="FFFFFFFF">
      <w:start w:val="1"/>
      <w:numFmt w:val="bullet"/>
      <w:lvlText w:val=""/>
      <w:lvlJc w:val="left"/>
      <w:pPr>
        <w:ind w:left="720" w:hanging="360"/>
      </w:pPr>
      <w:rPr>
        <w:rFonts w:ascii="Symbol" w:hAnsi="Symbol" w:cs="Garamond" w:hint="default"/>
        <w:sz w:val="18"/>
        <w:szCs w:val="18"/>
      </w:rPr>
    </w:lvl>
    <w:lvl w:ilvl="1" w:tplc="040C0003" w:tentative="1">
      <w:start w:val="1"/>
      <w:numFmt w:val="bullet"/>
      <w:lvlText w:val="o"/>
      <w:lvlJc w:val="left"/>
      <w:pPr>
        <w:ind w:left="1440" w:hanging="360"/>
      </w:pPr>
      <w:rPr>
        <w:rFonts w:ascii="Courier New" w:hAnsi="Courier New" w:cs="Garamond"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Garamond"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Garamond"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0C1240BB"/>
    <w:multiLevelType w:val="hybridMultilevel"/>
    <w:tmpl w:val="EFE279A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0D0A6CA4"/>
    <w:multiLevelType w:val="hybridMultilevel"/>
    <w:tmpl w:val="1CF65B8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0D645748"/>
    <w:multiLevelType w:val="hybridMultilevel"/>
    <w:tmpl w:val="2D1C0D78"/>
    <w:lvl w:ilvl="0" w:tplc="0409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0DB761CC"/>
    <w:multiLevelType w:val="hybridMultilevel"/>
    <w:tmpl w:val="7EE6C130"/>
    <w:lvl w:ilvl="0" w:tplc="040C000D">
      <w:start w:val="1"/>
      <w:numFmt w:val="bullet"/>
      <w:lvlText w:val=""/>
      <w:lvlJc w:val="left"/>
      <w:pPr>
        <w:ind w:left="1378" w:hanging="360"/>
      </w:pPr>
      <w:rPr>
        <w:rFonts w:ascii="Wingdings" w:hAnsi="Wingdings" w:hint="default"/>
        <w:b w:val="0"/>
        <w:bCs w:val="0"/>
        <w:i w:val="0"/>
        <w:iCs w:val="0"/>
        <w:w w:val="99"/>
        <w:sz w:val="20"/>
        <w:szCs w:val="20"/>
        <w:lang w:val="fr-FR" w:eastAsia="en-US" w:bidi="ar-SA"/>
      </w:rPr>
    </w:lvl>
    <w:lvl w:ilvl="1" w:tplc="040C0003" w:tentative="1">
      <w:start w:val="1"/>
      <w:numFmt w:val="bullet"/>
      <w:lvlText w:val="o"/>
      <w:lvlJc w:val="left"/>
      <w:pPr>
        <w:ind w:left="2098" w:hanging="360"/>
      </w:pPr>
      <w:rPr>
        <w:rFonts w:ascii="Courier New" w:hAnsi="Courier New" w:cs="Courier New" w:hint="default"/>
      </w:rPr>
    </w:lvl>
    <w:lvl w:ilvl="2" w:tplc="040C0005" w:tentative="1">
      <w:start w:val="1"/>
      <w:numFmt w:val="bullet"/>
      <w:lvlText w:val=""/>
      <w:lvlJc w:val="left"/>
      <w:pPr>
        <w:ind w:left="2818" w:hanging="360"/>
      </w:pPr>
      <w:rPr>
        <w:rFonts w:ascii="Wingdings" w:hAnsi="Wingdings" w:hint="default"/>
      </w:rPr>
    </w:lvl>
    <w:lvl w:ilvl="3" w:tplc="040C0001" w:tentative="1">
      <w:start w:val="1"/>
      <w:numFmt w:val="bullet"/>
      <w:lvlText w:val=""/>
      <w:lvlJc w:val="left"/>
      <w:pPr>
        <w:ind w:left="3538" w:hanging="360"/>
      </w:pPr>
      <w:rPr>
        <w:rFonts w:ascii="Symbol" w:hAnsi="Symbol" w:hint="default"/>
      </w:rPr>
    </w:lvl>
    <w:lvl w:ilvl="4" w:tplc="040C0003" w:tentative="1">
      <w:start w:val="1"/>
      <w:numFmt w:val="bullet"/>
      <w:lvlText w:val="o"/>
      <w:lvlJc w:val="left"/>
      <w:pPr>
        <w:ind w:left="4258" w:hanging="360"/>
      </w:pPr>
      <w:rPr>
        <w:rFonts w:ascii="Courier New" w:hAnsi="Courier New" w:cs="Courier New" w:hint="default"/>
      </w:rPr>
    </w:lvl>
    <w:lvl w:ilvl="5" w:tplc="040C0005" w:tentative="1">
      <w:start w:val="1"/>
      <w:numFmt w:val="bullet"/>
      <w:lvlText w:val=""/>
      <w:lvlJc w:val="left"/>
      <w:pPr>
        <w:ind w:left="4978" w:hanging="360"/>
      </w:pPr>
      <w:rPr>
        <w:rFonts w:ascii="Wingdings" w:hAnsi="Wingdings" w:hint="default"/>
      </w:rPr>
    </w:lvl>
    <w:lvl w:ilvl="6" w:tplc="040C0001" w:tentative="1">
      <w:start w:val="1"/>
      <w:numFmt w:val="bullet"/>
      <w:lvlText w:val=""/>
      <w:lvlJc w:val="left"/>
      <w:pPr>
        <w:ind w:left="5698" w:hanging="360"/>
      </w:pPr>
      <w:rPr>
        <w:rFonts w:ascii="Symbol" w:hAnsi="Symbol" w:hint="default"/>
      </w:rPr>
    </w:lvl>
    <w:lvl w:ilvl="7" w:tplc="040C0003" w:tentative="1">
      <w:start w:val="1"/>
      <w:numFmt w:val="bullet"/>
      <w:lvlText w:val="o"/>
      <w:lvlJc w:val="left"/>
      <w:pPr>
        <w:ind w:left="6418" w:hanging="360"/>
      </w:pPr>
      <w:rPr>
        <w:rFonts w:ascii="Courier New" w:hAnsi="Courier New" w:cs="Courier New" w:hint="default"/>
      </w:rPr>
    </w:lvl>
    <w:lvl w:ilvl="8" w:tplc="040C0005" w:tentative="1">
      <w:start w:val="1"/>
      <w:numFmt w:val="bullet"/>
      <w:lvlText w:val=""/>
      <w:lvlJc w:val="left"/>
      <w:pPr>
        <w:ind w:left="7138" w:hanging="360"/>
      </w:pPr>
      <w:rPr>
        <w:rFonts w:ascii="Wingdings" w:hAnsi="Wingdings" w:hint="default"/>
      </w:rPr>
    </w:lvl>
  </w:abstractNum>
  <w:abstractNum w:abstractNumId="43" w15:restartNumberingAfterBreak="0">
    <w:nsid w:val="0DC6257C"/>
    <w:multiLevelType w:val="singleLevel"/>
    <w:tmpl w:val="FFFFFFFF"/>
    <w:lvl w:ilvl="0">
      <w:start w:val="1"/>
      <w:numFmt w:val="bullet"/>
      <w:pStyle w:val="Projet"/>
      <w:lvlText w:val=""/>
      <w:legacy w:legacy="1" w:legacySpace="0" w:legacyIndent="360"/>
      <w:lvlJc w:val="left"/>
      <w:pPr>
        <w:ind w:left="360" w:hanging="360"/>
      </w:pPr>
      <w:rPr>
        <w:rFonts w:ascii="Wingdings" w:hAnsi="Wingdings" w:hint="default"/>
        <w:sz w:val="16"/>
      </w:rPr>
    </w:lvl>
  </w:abstractNum>
  <w:abstractNum w:abstractNumId="44" w15:restartNumberingAfterBreak="0">
    <w:nsid w:val="0DCF7BC5"/>
    <w:multiLevelType w:val="hybridMultilevel"/>
    <w:tmpl w:val="03DEC9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0E323711"/>
    <w:multiLevelType w:val="hybridMultilevel"/>
    <w:tmpl w:val="8328FC1E"/>
    <w:lvl w:ilvl="0" w:tplc="FD9617FA">
      <w:start w:val="4"/>
      <w:numFmt w:val="bullet"/>
      <w:lvlText w:val="-"/>
      <w:lvlJc w:val="left"/>
      <w:pPr>
        <w:ind w:left="587" w:hanging="360"/>
      </w:pPr>
      <w:rPr>
        <w:rFonts w:ascii="Times New Roman" w:eastAsia="Times New Roman" w:hAnsi="Times New Roman" w:cs="Times New Roman" w:hint="default"/>
        <w:b/>
        <w: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0EC84E50"/>
    <w:multiLevelType w:val="hybridMultilevel"/>
    <w:tmpl w:val="309666A2"/>
    <w:lvl w:ilvl="0" w:tplc="FD9617FA">
      <w:start w:val="4"/>
      <w:numFmt w:val="bullet"/>
      <w:lvlText w:val="-"/>
      <w:lvlJc w:val="left"/>
      <w:pPr>
        <w:ind w:left="720" w:hanging="360"/>
      </w:pPr>
      <w:rPr>
        <w:rFonts w:ascii="Times New Roman" w:eastAsia="Times New Roman" w:hAnsi="Times New Roman" w:cs="Times New Roman" w:hint="default"/>
        <w:b/>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0F683538"/>
    <w:multiLevelType w:val="multilevel"/>
    <w:tmpl w:val="D4600AEC"/>
    <w:lvl w:ilvl="0">
      <w:start w:val="1"/>
      <w:numFmt w:val="decimal"/>
      <w:pStyle w:val="StyleLgendeGauche25cmPremireligne0cm"/>
      <w:suff w:val="space"/>
      <w:lvlText w:val="Tableau %1 :"/>
      <w:lvlJc w:val="left"/>
      <w:pPr>
        <w:ind w:left="-850" w:firstLine="1418"/>
      </w:pPr>
      <w:rPr>
        <w:rFonts w:ascii="Arial" w:hAnsi="Arial" w:hint="default"/>
        <w:b/>
        <w:i/>
        <w:color w:val="993366"/>
        <w:sz w:val="18"/>
        <w:szCs w:val="20"/>
      </w:rPr>
    </w:lvl>
    <w:lvl w:ilvl="1">
      <w:start w:val="1"/>
      <w:numFmt w:val="none"/>
      <w:suff w:val="nothing"/>
      <w:lvlText w:val=""/>
      <w:lvlJc w:val="left"/>
      <w:pPr>
        <w:ind w:left="-850" w:firstLine="0"/>
      </w:pPr>
      <w:rPr>
        <w:rFonts w:hint="default"/>
      </w:rPr>
    </w:lvl>
    <w:lvl w:ilvl="2">
      <w:start w:val="1"/>
      <w:numFmt w:val="none"/>
      <w:suff w:val="nothing"/>
      <w:lvlText w:val=""/>
      <w:lvlJc w:val="left"/>
      <w:pPr>
        <w:ind w:left="-850" w:firstLine="0"/>
      </w:pPr>
      <w:rPr>
        <w:rFonts w:hint="default"/>
      </w:rPr>
    </w:lvl>
    <w:lvl w:ilvl="3">
      <w:start w:val="1"/>
      <w:numFmt w:val="none"/>
      <w:suff w:val="nothing"/>
      <w:lvlText w:val=""/>
      <w:lvlJc w:val="left"/>
      <w:pPr>
        <w:ind w:left="-850" w:firstLine="0"/>
      </w:pPr>
      <w:rPr>
        <w:rFonts w:hint="default"/>
      </w:rPr>
    </w:lvl>
    <w:lvl w:ilvl="4">
      <w:start w:val="1"/>
      <w:numFmt w:val="none"/>
      <w:suff w:val="nothing"/>
      <w:lvlText w:val=""/>
      <w:lvlJc w:val="left"/>
      <w:pPr>
        <w:ind w:left="-850" w:firstLine="0"/>
      </w:pPr>
      <w:rPr>
        <w:rFonts w:hint="default"/>
      </w:rPr>
    </w:lvl>
    <w:lvl w:ilvl="5">
      <w:start w:val="1"/>
      <w:numFmt w:val="none"/>
      <w:suff w:val="nothing"/>
      <w:lvlText w:val=""/>
      <w:lvlJc w:val="left"/>
      <w:pPr>
        <w:ind w:left="-850" w:firstLine="0"/>
      </w:pPr>
      <w:rPr>
        <w:rFonts w:hint="default"/>
      </w:rPr>
    </w:lvl>
    <w:lvl w:ilvl="6">
      <w:start w:val="1"/>
      <w:numFmt w:val="none"/>
      <w:suff w:val="nothing"/>
      <w:lvlText w:val=""/>
      <w:lvlJc w:val="left"/>
      <w:pPr>
        <w:ind w:left="-850" w:firstLine="0"/>
      </w:pPr>
      <w:rPr>
        <w:rFonts w:hint="default"/>
      </w:rPr>
    </w:lvl>
    <w:lvl w:ilvl="7">
      <w:start w:val="1"/>
      <w:numFmt w:val="none"/>
      <w:suff w:val="nothing"/>
      <w:lvlText w:val=""/>
      <w:lvlJc w:val="left"/>
      <w:pPr>
        <w:ind w:left="-850" w:firstLine="0"/>
      </w:pPr>
      <w:rPr>
        <w:rFonts w:hint="default"/>
      </w:rPr>
    </w:lvl>
    <w:lvl w:ilvl="8">
      <w:start w:val="1"/>
      <w:numFmt w:val="none"/>
      <w:suff w:val="nothing"/>
      <w:lvlText w:val=""/>
      <w:lvlJc w:val="left"/>
      <w:pPr>
        <w:ind w:left="-850" w:firstLine="0"/>
      </w:pPr>
      <w:rPr>
        <w:rFonts w:hint="default"/>
      </w:rPr>
    </w:lvl>
  </w:abstractNum>
  <w:abstractNum w:abstractNumId="48" w15:restartNumberingAfterBreak="0">
    <w:nsid w:val="0F7E1776"/>
    <w:multiLevelType w:val="hybridMultilevel"/>
    <w:tmpl w:val="8F16AF0C"/>
    <w:lvl w:ilvl="0" w:tplc="FD9617FA">
      <w:start w:val="4"/>
      <w:numFmt w:val="bullet"/>
      <w:lvlText w:val="-"/>
      <w:lvlJc w:val="left"/>
      <w:pPr>
        <w:ind w:left="720" w:hanging="360"/>
      </w:pPr>
      <w:rPr>
        <w:rFonts w:ascii="Times New Roman" w:eastAsia="Times New Roman" w:hAnsi="Times New Roman" w:cs="Times New Roman" w:hint="default"/>
        <w:b/>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0F846D4E"/>
    <w:multiLevelType w:val="hybridMultilevel"/>
    <w:tmpl w:val="F42A9DF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0FF840F7"/>
    <w:multiLevelType w:val="hybridMultilevel"/>
    <w:tmpl w:val="6736040A"/>
    <w:lvl w:ilvl="0" w:tplc="4E7C5804">
      <w:start w:val="1"/>
      <w:numFmt w:val="lowerRoman"/>
      <w:lvlText w:val="(%1)"/>
      <w:lvlJc w:val="left"/>
      <w:pPr>
        <w:ind w:left="720" w:hanging="720"/>
      </w:pPr>
      <w:rPr>
        <w:rFonts w:hint="default"/>
        <w:color w:val="auto"/>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1" w15:restartNumberingAfterBreak="0">
    <w:nsid w:val="10582BAE"/>
    <w:multiLevelType w:val="multilevel"/>
    <w:tmpl w:val="9DE28CC8"/>
    <w:lvl w:ilvl="0">
      <w:start w:val="7"/>
      <w:numFmt w:val="decimal"/>
      <w:lvlText w:val="%1."/>
      <w:lvlJc w:val="left"/>
      <w:pPr>
        <w:ind w:left="360" w:hanging="360"/>
      </w:pPr>
      <w:rPr>
        <w:rFonts w:hint="default"/>
      </w:rPr>
    </w:lvl>
    <w:lvl w:ilvl="1">
      <w:numFmt w:val="bullet"/>
      <w:lvlText w:val=""/>
      <w:lvlJc w:val="left"/>
      <w:pPr>
        <w:ind w:left="360" w:hanging="360"/>
      </w:pPr>
      <w:rPr>
        <w:rFonts w:ascii="Wingdings" w:hAnsi="Wingding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106F2CB6"/>
    <w:multiLevelType w:val="hybridMultilevel"/>
    <w:tmpl w:val="ABE06272"/>
    <w:lvl w:ilvl="0" w:tplc="99B89F50">
      <w:start w:val="1"/>
      <w:numFmt w:val="lowerLetter"/>
      <w:pStyle w:val="ClauseSubList"/>
      <w:lvlText w:val="(%1)"/>
      <w:lvlJc w:val="left"/>
      <w:pPr>
        <w:tabs>
          <w:tab w:val="num" w:pos="576"/>
        </w:tabs>
        <w:ind w:left="576" w:hanging="576"/>
      </w:pPr>
      <w:rPr>
        <w:rFonts w:ascii="Times New Roman" w:hAnsi="Times New Roman" w:cs="Times New Roman" w:hint="default"/>
        <w:b w:val="0"/>
        <w:i w:val="0"/>
        <w:color w:val="auto"/>
        <w:sz w:val="24"/>
        <w:szCs w:val="24"/>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10774724"/>
    <w:multiLevelType w:val="hybridMultilevel"/>
    <w:tmpl w:val="0836585C"/>
    <w:lvl w:ilvl="0" w:tplc="26306BA6">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4" w15:restartNumberingAfterBreak="0">
    <w:nsid w:val="11006600"/>
    <w:multiLevelType w:val="hybridMultilevel"/>
    <w:tmpl w:val="3924A4A8"/>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620"/>
        </w:tabs>
        <w:ind w:left="1620" w:hanging="360"/>
      </w:pPr>
      <w:rPr>
        <w:rFonts w:ascii="Courier New" w:hAnsi="Courier New" w:cs="Symbol" w:hint="default"/>
      </w:rPr>
    </w:lvl>
    <w:lvl w:ilvl="2" w:tplc="040C0005" w:tentative="1">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cs="Symbol"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cs="Symbol" w:hint="default"/>
      </w:rPr>
    </w:lvl>
    <w:lvl w:ilvl="8" w:tplc="040C0005" w:tentative="1">
      <w:start w:val="1"/>
      <w:numFmt w:val="bullet"/>
      <w:lvlText w:val=""/>
      <w:lvlJc w:val="left"/>
      <w:pPr>
        <w:tabs>
          <w:tab w:val="num" w:pos="6660"/>
        </w:tabs>
        <w:ind w:left="6660" w:hanging="360"/>
      </w:pPr>
      <w:rPr>
        <w:rFonts w:ascii="Wingdings" w:hAnsi="Wingdings" w:hint="default"/>
      </w:rPr>
    </w:lvl>
  </w:abstractNum>
  <w:abstractNum w:abstractNumId="55" w15:restartNumberingAfterBreak="0">
    <w:nsid w:val="11343DC5"/>
    <w:multiLevelType w:val="hybridMultilevel"/>
    <w:tmpl w:val="E0384C68"/>
    <w:lvl w:ilvl="0" w:tplc="A0B61414">
      <w:start w:val="1"/>
      <w:numFmt w:val="bullet"/>
      <w:lvlText w:val=""/>
      <w:lvlJc w:val="left"/>
      <w:pPr>
        <w:ind w:left="720" w:hanging="360"/>
      </w:pPr>
      <w:rPr>
        <w:rFonts w:ascii="Symbol" w:hAnsi="Symbol" w:hint="default"/>
        <w:kern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11482C09"/>
    <w:multiLevelType w:val="hybridMultilevel"/>
    <w:tmpl w:val="178CB9BA"/>
    <w:lvl w:ilvl="0" w:tplc="CB5656F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129F0FC1"/>
    <w:multiLevelType w:val="multilevel"/>
    <w:tmpl w:val="317E123E"/>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8" w15:restartNumberingAfterBreak="0">
    <w:nsid w:val="12DE0634"/>
    <w:multiLevelType w:val="hybridMultilevel"/>
    <w:tmpl w:val="4C2A66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134C7D77"/>
    <w:multiLevelType w:val="hybridMultilevel"/>
    <w:tmpl w:val="F9DC24FC"/>
    <w:lvl w:ilvl="0" w:tplc="B8A657FC">
      <w:start w:val="1"/>
      <w:numFmt w:val="lowerLetter"/>
      <w:lvlText w:val="(%1)"/>
      <w:lvlJc w:val="left"/>
      <w:pPr>
        <w:ind w:left="927" w:hanging="360"/>
      </w:pPr>
      <w:rPr>
        <w:rFonts w:cs="Times New Roman" w:hint="default"/>
        <w:b w:val="0"/>
        <w:sz w:val="24"/>
        <w:szCs w:val="24"/>
      </w:rPr>
    </w:lvl>
    <w:lvl w:ilvl="1" w:tplc="040C0019">
      <w:start w:val="1"/>
      <w:numFmt w:val="lowerLetter"/>
      <w:lvlText w:val="%2."/>
      <w:lvlJc w:val="left"/>
      <w:pPr>
        <w:ind w:left="1656" w:hanging="360"/>
      </w:pPr>
    </w:lvl>
    <w:lvl w:ilvl="2" w:tplc="040C001B" w:tentative="1">
      <w:start w:val="1"/>
      <w:numFmt w:val="lowerRoman"/>
      <w:lvlText w:val="%3."/>
      <w:lvlJc w:val="right"/>
      <w:pPr>
        <w:ind w:left="2376" w:hanging="180"/>
      </w:pPr>
    </w:lvl>
    <w:lvl w:ilvl="3" w:tplc="040C000F" w:tentative="1">
      <w:start w:val="1"/>
      <w:numFmt w:val="decimal"/>
      <w:lvlText w:val="%4."/>
      <w:lvlJc w:val="left"/>
      <w:pPr>
        <w:ind w:left="3096" w:hanging="360"/>
      </w:pPr>
    </w:lvl>
    <w:lvl w:ilvl="4" w:tplc="040C0019" w:tentative="1">
      <w:start w:val="1"/>
      <w:numFmt w:val="lowerLetter"/>
      <w:lvlText w:val="%5."/>
      <w:lvlJc w:val="left"/>
      <w:pPr>
        <w:ind w:left="3816" w:hanging="360"/>
      </w:pPr>
    </w:lvl>
    <w:lvl w:ilvl="5" w:tplc="040C001B" w:tentative="1">
      <w:start w:val="1"/>
      <w:numFmt w:val="lowerRoman"/>
      <w:lvlText w:val="%6."/>
      <w:lvlJc w:val="right"/>
      <w:pPr>
        <w:ind w:left="4536" w:hanging="180"/>
      </w:pPr>
    </w:lvl>
    <w:lvl w:ilvl="6" w:tplc="040C000F" w:tentative="1">
      <w:start w:val="1"/>
      <w:numFmt w:val="decimal"/>
      <w:lvlText w:val="%7."/>
      <w:lvlJc w:val="left"/>
      <w:pPr>
        <w:ind w:left="5256" w:hanging="360"/>
      </w:pPr>
    </w:lvl>
    <w:lvl w:ilvl="7" w:tplc="040C0019" w:tentative="1">
      <w:start w:val="1"/>
      <w:numFmt w:val="lowerLetter"/>
      <w:lvlText w:val="%8."/>
      <w:lvlJc w:val="left"/>
      <w:pPr>
        <w:ind w:left="5976" w:hanging="360"/>
      </w:pPr>
    </w:lvl>
    <w:lvl w:ilvl="8" w:tplc="040C001B" w:tentative="1">
      <w:start w:val="1"/>
      <w:numFmt w:val="lowerRoman"/>
      <w:lvlText w:val="%9."/>
      <w:lvlJc w:val="right"/>
      <w:pPr>
        <w:ind w:left="6696" w:hanging="180"/>
      </w:pPr>
    </w:lvl>
  </w:abstractNum>
  <w:abstractNum w:abstractNumId="60" w15:restartNumberingAfterBreak="0">
    <w:nsid w:val="136E1C9E"/>
    <w:multiLevelType w:val="hybridMultilevel"/>
    <w:tmpl w:val="216EFCFC"/>
    <w:lvl w:ilvl="0" w:tplc="E64A39D8">
      <w:start w:val="1"/>
      <w:numFmt w:val="lowerRoman"/>
      <w:lvlText w:val="(%1)"/>
      <w:lvlJc w:val="left"/>
      <w:pPr>
        <w:ind w:left="1440" w:hanging="720"/>
      </w:pPr>
      <w:rPr>
        <w:rFonts w:hint="default"/>
        <w:color w:val="auto"/>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1" w15:restartNumberingAfterBreak="0">
    <w:nsid w:val="140E15F9"/>
    <w:multiLevelType w:val="hybridMultilevel"/>
    <w:tmpl w:val="47C6C2CC"/>
    <w:lvl w:ilvl="0" w:tplc="46547DCA">
      <w:numFmt w:val="bullet"/>
      <w:lvlText w:val="-"/>
      <w:lvlJc w:val="left"/>
      <w:pPr>
        <w:ind w:left="360" w:hanging="360"/>
      </w:pPr>
      <w:rPr>
        <w:rFonts w:ascii="Arial" w:eastAsia="Times New Roman" w:hAnsi="Arial" w:cs="Arial" w:hint="default"/>
        <w:color w:val="auto"/>
        <w:sz w:val="22"/>
        <w:szCs w:val="22"/>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2" w15:restartNumberingAfterBreak="0">
    <w:nsid w:val="159D4FF9"/>
    <w:multiLevelType w:val="hybridMultilevel"/>
    <w:tmpl w:val="966AC9D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3" w15:restartNumberingAfterBreak="0">
    <w:nsid w:val="15D70E8E"/>
    <w:multiLevelType w:val="multilevel"/>
    <w:tmpl w:val="3BE2A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62A72F8"/>
    <w:multiLevelType w:val="hybridMultilevel"/>
    <w:tmpl w:val="C14884DC"/>
    <w:lvl w:ilvl="0" w:tplc="8E2482F6">
      <w:start w:val="1"/>
      <w:numFmt w:val="bullet"/>
      <w:lvlText w:val=""/>
      <w:lvlJc w:val="left"/>
      <w:pPr>
        <w:ind w:left="720" w:hanging="360"/>
      </w:pPr>
      <w:rPr>
        <w:rFonts w:ascii="Wingdings" w:hAnsi="Wingdings" w:hint="default"/>
        <w:b w:val="0"/>
        <w:bCs w:val="0"/>
        <w:i w:val="0"/>
        <w:iCs w:val="0"/>
        <w:w w:val="100"/>
        <w:sz w:val="22"/>
        <w:szCs w:val="22"/>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16D46A47"/>
    <w:multiLevelType w:val="hybridMultilevel"/>
    <w:tmpl w:val="C68EB6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16DB767C"/>
    <w:multiLevelType w:val="hybridMultilevel"/>
    <w:tmpl w:val="94DC5B5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7" w15:restartNumberingAfterBreak="0">
    <w:nsid w:val="16E4584E"/>
    <w:multiLevelType w:val="hybridMultilevel"/>
    <w:tmpl w:val="F310352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15:restartNumberingAfterBreak="0">
    <w:nsid w:val="17321D2D"/>
    <w:multiLevelType w:val="hybridMultilevel"/>
    <w:tmpl w:val="0B3438EC"/>
    <w:lvl w:ilvl="0" w:tplc="E334E61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9" w15:restartNumberingAfterBreak="0">
    <w:nsid w:val="174311CB"/>
    <w:multiLevelType w:val="hybridMultilevel"/>
    <w:tmpl w:val="B17EC60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175A1B7F"/>
    <w:multiLevelType w:val="hybridMultilevel"/>
    <w:tmpl w:val="1AC2E540"/>
    <w:lvl w:ilvl="0" w:tplc="5C4EB47E">
      <w:numFmt w:val="bullet"/>
      <w:lvlText w:val="-"/>
      <w:lvlJc w:val="left"/>
      <w:pPr>
        <w:ind w:left="720" w:hanging="360"/>
      </w:pPr>
      <w:rPr>
        <w:rFonts w:ascii="Times New Roman" w:eastAsia="Times New Roman" w:hAnsi="Times New Roman" w:cs="Times New Roman"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18290A95"/>
    <w:multiLevelType w:val="multilevel"/>
    <w:tmpl w:val="0500239C"/>
    <w:lvl w:ilvl="0">
      <w:start w:val="1"/>
      <w:numFmt w:val="decimal"/>
      <w:pStyle w:val="Section5"/>
      <w:lvlText w:val="Section 5.%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ascii="Times New Roman" w:hAnsi="Times New Roman" w:hint="default"/>
        <w:b w:val="0"/>
        <w:i w:val="0"/>
        <w:color w:val="auto"/>
        <w:sz w:val="24"/>
        <w:szCs w:val="24"/>
      </w:rPr>
    </w:lvl>
    <w:lvl w:ilvl="2">
      <w:start w:val="1"/>
      <w:numFmt w:val="lowerRoman"/>
      <w:lvlText w:val="(%3)"/>
      <w:lvlJc w:val="left"/>
      <w:pPr>
        <w:tabs>
          <w:tab w:val="num" w:pos="2160"/>
        </w:tabs>
        <w:ind w:left="0" w:firstLine="1440"/>
      </w:pPr>
      <w:rPr>
        <w:rFonts w:ascii="Times New Roman" w:eastAsia="Times New Roman" w:hAnsi="Times New Roman" w:cs="Times New Roman" w:hint="default"/>
        <w:i w:val="0"/>
      </w:rPr>
    </w:lvl>
    <w:lvl w:ilvl="3">
      <w:start w:val="1"/>
      <w:numFmt w:val="decimal"/>
      <w:lvlText w:val="(%4)"/>
      <w:lvlJc w:val="left"/>
      <w:pPr>
        <w:tabs>
          <w:tab w:val="num" w:pos="2880"/>
        </w:tabs>
        <w:ind w:left="0" w:firstLine="2160"/>
      </w:pPr>
      <w:rPr>
        <w:rFonts w:hint="default"/>
        <w:i w:val="0"/>
      </w:rPr>
    </w:lvl>
    <w:lvl w:ilvl="4">
      <w:start w:val="1"/>
      <w:numFmt w:val="upperLetter"/>
      <w:lvlText w:val="(%5)"/>
      <w:lvlJc w:val="left"/>
      <w:pPr>
        <w:tabs>
          <w:tab w:val="num" w:pos="4320"/>
        </w:tabs>
        <w:ind w:left="4320" w:hanging="720"/>
      </w:pPr>
      <w:rPr>
        <w:rFonts w:hint="default"/>
        <w:i w:val="0"/>
      </w:rPr>
    </w:lvl>
    <w:lvl w:ilvl="5">
      <w:start w:val="1"/>
      <w:numFmt w:val="lowerRoman"/>
      <w:lvlText w:val="(%6)"/>
      <w:lvlJc w:val="left"/>
      <w:pPr>
        <w:tabs>
          <w:tab w:val="num" w:pos="5040"/>
        </w:tabs>
        <w:ind w:left="5040" w:hanging="720"/>
      </w:pPr>
      <w:rPr>
        <w:rFonts w:hint="default"/>
      </w:rPr>
    </w:lvl>
    <w:lvl w:ilvl="6">
      <w:start w:val="1"/>
      <w:numFmt w:val="lowerRoman"/>
      <w:lvlText w:val="(%7)"/>
      <w:lvlJc w:val="left"/>
      <w:pPr>
        <w:tabs>
          <w:tab w:val="num" w:pos="6840"/>
        </w:tabs>
        <w:ind w:left="6840" w:hanging="720"/>
      </w:pPr>
      <w:rPr>
        <w:rFonts w:hint="default"/>
      </w:rPr>
    </w:lvl>
    <w:lvl w:ilvl="7">
      <w:start w:val="1"/>
      <w:numFmt w:val="lowerLetter"/>
      <w:lvlText w:val="%8."/>
      <w:lvlJc w:val="left"/>
      <w:pPr>
        <w:tabs>
          <w:tab w:val="num" w:pos="3240"/>
        </w:tabs>
        <w:ind w:left="3240" w:hanging="432"/>
      </w:pPr>
      <w:rPr>
        <w:rFonts w:hint="default"/>
      </w:rPr>
    </w:lvl>
    <w:lvl w:ilvl="8">
      <w:start w:val="1"/>
      <w:numFmt w:val="lowerRoman"/>
      <w:lvlText w:val="%9."/>
      <w:lvlJc w:val="right"/>
      <w:pPr>
        <w:tabs>
          <w:tab w:val="num" w:pos="3384"/>
        </w:tabs>
        <w:ind w:left="3384" w:hanging="144"/>
      </w:pPr>
      <w:rPr>
        <w:rFonts w:hint="default"/>
      </w:rPr>
    </w:lvl>
  </w:abstractNum>
  <w:abstractNum w:abstractNumId="72" w15:restartNumberingAfterBreak="0">
    <w:nsid w:val="19325AC3"/>
    <w:multiLevelType w:val="hybridMultilevel"/>
    <w:tmpl w:val="DD08163A"/>
    <w:lvl w:ilvl="0" w:tplc="8E2482F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193B2132"/>
    <w:multiLevelType w:val="hybridMultilevel"/>
    <w:tmpl w:val="EBF603BC"/>
    <w:lvl w:ilvl="0" w:tplc="244A8EF0">
      <w:start w:val="1"/>
      <w:numFmt w:val="bullet"/>
      <w:lvlText w:val=""/>
      <w:lvlJc w:val="left"/>
      <w:pPr>
        <w:ind w:left="587"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15:restartNumberingAfterBreak="0">
    <w:nsid w:val="193E0DCD"/>
    <w:multiLevelType w:val="hybridMultilevel"/>
    <w:tmpl w:val="65AE4080"/>
    <w:lvl w:ilvl="0" w:tplc="26306BA6">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5" w15:restartNumberingAfterBreak="0">
    <w:nsid w:val="19A166B9"/>
    <w:multiLevelType w:val="hybridMultilevel"/>
    <w:tmpl w:val="D1BA8D78"/>
    <w:lvl w:ilvl="0" w:tplc="040C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6" w15:restartNumberingAfterBreak="0">
    <w:nsid w:val="19F33719"/>
    <w:multiLevelType w:val="hybridMultilevel"/>
    <w:tmpl w:val="EE140BC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15:restartNumberingAfterBreak="0">
    <w:nsid w:val="1A3B7275"/>
    <w:multiLevelType w:val="hybridMultilevel"/>
    <w:tmpl w:val="1446137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15:restartNumberingAfterBreak="0">
    <w:nsid w:val="1AF847E5"/>
    <w:multiLevelType w:val="hybridMultilevel"/>
    <w:tmpl w:val="AC441EA6"/>
    <w:lvl w:ilvl="0" w:tplc="6AE09CCA">
      <w:start w:val="10"/>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9" w15:restartNumberingAfterBreak="0">
    <w:nsid w:val="1AFC7E59"/>
    <w:multiLevelType w:val="multilevel"/>
    <w:tmpl w:val="FE60330E"/>
    <w:styleLink w:val="PucesTecsult7"/>
    <w:lvl w:ilvl="0">
      <w:start w:val="1"/>
      <w:numFmt w:val="decimal"/>
      <w:lvlText w:val="%1"/>
      <w:lvlJc w:val="left"/>
      <w:pPr>
        <w:ind w:left="432" w:hanging="432"/>
      </w:pPr>
      <w:rPr>
        <w:rFonts w:hint="default"/>
      </w:r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720" w:hanging="720"/>
      </w:pPr>
      <w:rPr>
        <w:b/>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0" w15:restartNumberingAfterBreak="0">
    <w:nsid w:val="1B135E6E"/>
    <w:multiLevelType w:val="hybridMultilevel"/>
    <w:tmpl w:val="BB4AB826"/>
    <w:lvl w:ilvl="0" w:tplc="2520B51C">
      <w:numFmt w:val="bullet"/>
      <w:lvlText w:val=""/>
      <w:lvlJc w:val="left"/>
      <w:pPr>
        <w:ind w:left="786" w:hanging="360"/>
      </w:pPr>
      <w:rPr>
        <w:rFonts w:ascii="Wingdings" w:hAnsi="Wingdings" w:hint="default"/>
        <w:color w:val="auto"/>
      </w:rPr>
    </w:lvl>
    <w:lvl w:ilvl="1" w:tplc="040C0003">
      <w:start w:val="1"/>
      <w:numFmt w:val="bullet"/>
      <w:lvlText w:val="o"/>
      <w:lvlJc w:val="left"/>
      <w:pPr>
        <w:ind w:left="1506" w:hanging="360"/>
      </w:pPr>
      <w:rPr>
        <w:rFonts w:ascii="Courier New" w:hAnsi="Courier New" w:cs="Garamond"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Garamond"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Garamond" w:hint="default"/>
      </w:rPr>
    </w:lvl>
    <w:lvl w:ilvl="8" w:tplc="040C0005" w:tentative="1">
      <w:start w:val="1"/>
      <w:numFmt w:val="bullet"/>
      <w:lvlText w:val=""/>
      <w:lvlJc w:val="left"/>
      <w:pPr>
        <w:ind w:left="6546" w:hanging="360"/>
      </w:pPr>
      <w:rPr>
        <w:rFonts w:ascii="Wingdings" w:hAnsi="Wingdings" w:hint="default"/>
      </w:rPr>
    </w:lvl>
  </w:abstractNum>
  <w:abstractNum w:abstractNumId="81" w15:restartNumberingAfterBreak="0">
    <w:nsid w:val="1BC765CA"/>
    <w:multiLevelType w:val="multilevel"/>
    <w:tmpl w:val="6474330C"/>
    <w:lvl w:ilvl="0">
      <w:start w:val="6"/>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1D1315EA"/>
    <w:multiLevelType w:val="hybridMultilevel"/>
    <w:tmpl w:val="D7568AB0"/>
    <w:lvl w:ilvl="0" w:tplc="E334E61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3" w15:restartNumberingAfterBreak="0">
    <w:nsid w:val="1D271FF6"/>
    <w:multiLevelType w:val="hybridMultilevel"/>
    <w:tmpl w:val="91A25C0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15:restartNumberingAfterBreak="0">
    <w:nsid w:val="1D5A3454"/>
    <w:multiLevelType w:val="hybridMultilevel"/>
    <w:tmpl w:val="595EE6E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15:restartNumberingAfterBreak="0">
    <w:nsid w:val="1EAD1C63"/>
    <w:multiLevelType w:val="hybridMultilevel"/>
    <w:tmpl w:val="6F28C8A4"/>
    <w:lvl w:ilvl="0" w:tplc="8E2482F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1F4B2835"/>
    <w:multiLevelType w:val="hybridMultilevel"/>
    <w:tmpl w:val="5F2455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15:restartNumberingAfterBreak="0">
    <w:nsid w:val="1F565485"/>
    <w:multiLevelType w:val="hybridMultilevel"/>
    <w:tmpl w:val="C59A5804"/>
    <w:lvl w:ilvl="0" w:tplc="FDA089C4">
      <w:start w:val="1"/>
      <w:numFmt w:val="bullet"/>
      <w:lvlText w:val="-"/>
      <w:lvlJc w:val="left"/>
      <w:pPr>
        <w:ind w:left="720" w:hanging="360"/>
      </w:pPr>
      <w:rPr>
        <w:rFonts w:ascii="Sitka Subheading Semibold" w:hAnsi="Sitka Subheading Semibol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8" w15:restartNumberingAfterBreak="0">
    <w:nsid w:val="20405F21"/>
    <w:multiLevelType w:val="hybridMultilevel"/>
    <w:tmpl w:val="810AFD36"/>
    <w:lvl w:ilvl="0" w:tplc="E334E61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9" w15:restartNumberingAfterBreak="0">
    <w:nsid w:val="20436F5E"/>
    <w:multiLevelType w:val="hybridMultilevel"/>
    <w:tmpl w:val="91E2EF2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0" w15:restartNumberingAfterBreak="0">
    <w:nsid w:val="20755A9B"/>
    <w:multiLevelType w:val="hybridMultilevel"/>
    <w:tmpl w:val="A47CAC76"/>
    <w:lvl w:ilvl="0" w:tplc="A1C6953A">
      <w:start w:val="1"/>
      <w:numFmt w:val="bullet"/>
      <w:pStyle w:val="ebs"/>
      <w:lvlText w:val=""/>
      <w:lvlJc w:val="left"/>
      <w:pPr>
        <w:ind w:left="1429" w:hanging="360"/>
      </w:pPr>
      <w:rPr>
        <w:rFonts w:ascii="Wingdings" w:hAnsi="Wingdings" w:hint="default"/>
        <w:color w:val="auto"/>
      </w:rPr>
    </w:lvl>
    <w:lvl w:ilvl="1" w:tplc="4900F876" w:tentative="1">
      <w:start w:val="1"/>
      <w:numFmt w:val="bullet"/>
      <w:lvlText w:val="o"/>
      <w:lvlJc w:val="left"/>
      <w:pPr>
        <w:ind w:left="2149" w:hanging="360"/>
      </w:pPr>
      <w:rPr>
        <w:rFonts w:ascii="Courier New" w:hAnsi="Courier New" w:cs="Courier New" w:hint="default"/>
      </w:rPr>
    </w:lvl>
    <w:lvl w:ilvl="2" w:tplc="9084970A" w:tentative="1">
      <w:start w:val="1"/>
      <w:numFmt w:val="bullet"/>
      <w:lvlText w:val=""/>
      <w:lvlJc w:val="left"/>
      <w:pPr>
        <w:ind w:left="2869" w:hanging="360"/>
      </w:pPr>
      <w:rPr>
        <w:rFonts w:ascii="Wingdings" w:hAnsi="Wingdings" w:hint="default"/>
      </w:rPr>
    </w:lvl>
    <w:lvl w:ilvl="3" w:tplc="09766EEA" w:tentative="1">
      <w:start w:val="1"/>
      <w:numFmt w:val="bullet"/>
      <w:lvlText w:val=""/>
      <w:lvlJc w:val="left"/>
      <w:pPr>
        <w:ind w:left="3589" w:hanging="360"/>
      </w:pPr>
      <w:rPr>
        <w:rFonts w:ascii="Symbol" w:hAnsi="Symbol" w:hint="default"/>
      </w:rPr>
    </w:lvl>
    <w:lvl w:ilvl="4" w:tplc="93E4019E" w:tentative="1">
      <w:start w:val="1"/>
      <w:numFmt w:val="bullet"/>
      <w:lvlText w:val="o"/>
      <w:lvlJc w:val="left"/>
      <w:pPr>
        <w:ind w:left="4309" w:hanging="360"/>
      </w:pPr>
      <w:rPr>
        <w:rFonts w:ascii="Courier New" w:hAnsi="Courier New" w:cs="Courier New" w:hint="default"/>
      </w:rPr>
    </w:lvl>
    <w:lvl w:ilvl="5" w:tplc="6D50FA98" w:tentative="1">
      <w:start w:val="1"/>
      <w:numFmt w:val="bullet"/>
      <w:lvlText w:val=""/>
      <w:lvlJc w:val="left"/>
      <w:pPr>
        <w:ind w:left="5029" w:hanging="360"/>
      </w:pPr>
      <w:rPr>
        <w:rFonts w:ascii="Wingdings" w:hAnsi="Wingdings" w:hint="default"/>
      </w:rPr>
    </w:lvl>
    <w:lvl w:ilvl="6" w:tplc="4CB06B5C" w:tentative="1">
      <w:start w:val="1"/>
      <w:numFmt w:val="bullet"/>
      <w:lvlText w:val=""/>
      <w:lvlJc w:val="left"/>
      <w:pPr>
        <w:ind w:left="5749" w:hanging="360"/>
      </w:pPr>
      <w:rPr>
        <w:rFonts w:ascii="Symbol" w:hAnsi="Symbol" w:hint="default"/>
      </w:rPr>
    </w:lvl>
    <w:lvl w:ilvl="7" w:tplc="407AD406" w:tentative="1">
      <w:start w:val="1"/>
      <w:numFmt w:val="bullet"/>
      <w:lvlText w:val="o"/>
      <w:lvlJc w:val="left"/>
      <w:pPr>
        <w:ind w:left="6469" w:hanging="360"/>
      </w:pPr>
      <w:rPr>
        <w:rFonts w:ascii="Courier New" w:hAnsi="Courier New" w:cs="Courier New" w:hint="default"/>
      </w:rPr>
    </w:lvl>
    <w:lvl w:ilvl="8" w:tplc="A46C6D6A" w:tentative="1">
      <w:start w:val="1"/>
      <w:numFmt w:val="bullet"/>
      <w:lvlText w:val=""/>
      <w:lvlJc w:val="left"/>
      <w:pPr>
        <w:ind w:left="7189" w:hanging="360"/>
      </w:pPr>
      <w:rPr>
        <w:rFonts w:ascii="Wingdings" w:hAnsi="Wingdings" w:hint="default"/>
      </w:rPr>
    </w:lvl>
  </w:abstractNum>
  <w:abstractNum w:abstractNumId="91" w15:restartNumberingAfterBreak="0">
    <w:nsid w:val="20C67F47"/>
    <w:multiLevelType w:val="hybridMultilevel"/>
    <w:tmpl w:val="194CFB20"/>
    <w:lvl w:ilvl="0" w:tplc="68CCF72C">
      <w:start w:val="1"/>
      <w:numFmt w:val="bullet"/>
      <w:lvlText w:val=""/>
      <w:lvlJc w:val="left"/>
      <w:pPr>
        <w:ind w:left="587"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15:restartNumberingAfterBreak="0">
    <w:nsid w:val="20F1628C"/>
    <w:multiLevelType w:val="hybridMultilevel"/>
    <w:tmpl w:val="D2708DDC"/>
    <w:lvl w:ilvl="0" w:tplc="2520B51C">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15:restartNumberingAfterBreak="0">
    <w:nsid w:val="216D0625"/>
    <w:multiLevelType w:val="hybridMultilevel"/>
    <w:tmpl w:val="D3A4CBB4"/>
    <w:styleLink w:val="ListBullets1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4" w15:restartNumberingAfterBreak="0">
    <w:nsid w:val="219D297D"/>
    <w:multiLevelType w:val="hybridMultilevel"/>
    <w:tmpl w:val="D146272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5" w15:restartNumberingAfterBreak="0">
    <w:nsid w:val="21D10F56"/>
    <w:multiLevelType w:val="hybridMultilevel"/>
    <w:tmpl w:val="F2D09E68"/>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6" w15:restartNumberingAfterBreak="0">
    <w:nsid w:val="223B6508"/>
    <w:multiLevelType w:val="hybridMultilevel"/>
    <w:tmpl w:val="529231FC"/>
    <w:lvl w:ilvl="0" w:tplc="13DC41A2">
      <w:start w:val="1"/>
      <w:numFmt w:val="bullet"/>
      <w:lvlText w:val=""/>
      <w:lvlJc w:val="left"/>
      <w:pPr>
        <w:ind w:left="720" w:hanging="360"/>
      </w:pPr>
      <w:rPr>
        <w:rFonts w:ascii="Wingdings" w:hAnsi="Wingdings" w:hint="default"/>
        <w:w w:val="100"/>
        <w:sz w:val="22"/>
        <w:szCs w:val="22"/>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7" w15:restartNumberingAfterBreak="0">
    <w:nsid w:val="227B10CB"/>
    <w:multiLevelType w:val="hybridMultilevel"/>
    <w:tmpl w:val="F94C9916"/>
    <w:lvl w:ilvl="0" w:tplc="6AE09CCA">
      <w:start w:val="1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8" w15:restartNumberingAfterBreak="0">
    <w:nsid w:val="22833565"/>
    <w:multiLevelType w:val="multilevel"/>
    <w:tmpl w:val="088092F6"/>
    <w:styleLink w:val="Listeactuelle1"/>
    <w:lvl w:ilvl="0">
      <w:start w:val="1"/>
      <w:numFmt w:val="bullet"/>
      <w:lvlText w:val=""/>
      <w:lvlJc w:val="left"/>
      <w:pPr>
        <w:ind w:left="1068" w:hanging="360"/>
      </w:pPr>
      <w:rPr>
        <w:rFonts w:ascii="Wingdings" w:hAnsi="Wingdings"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99" w15:restartNumberingAfterBreak="0">
    <w:nsid w:val="22931BED"/>
    <w:multiLevelType w:val="hybridMultilevel"/>
    <w:tmpl w:val="948094D8"/>
    <w:lvl w:ilvl="0" w:tplc="040C000D">
      <w:start w:val="1"/>
      <w:numFmt w:val="bullet"/>
      <w:lvlText w:val=""/>
      <w:lvlJc w:val="left"/>
      <w:pPr>
        <w:ind w:left="72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0" w15:restartNumberingAfterBreak="0">
    <w:nsid w:val="22B24F73"/>
    <w:multiLevelType w:val="hybridMultilevel"/>
    <w:tmpl w:val="74185B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1" w15:restartNumberingAfterBreak="0">
    <w:nsid w:val="22D927E5"/>
    <w:multiLevelType w:val="hybridMultilevel"/>
    <w:tmpl w:val="E092038C"/>
    <w:lvl w:ilvl="0" w:tplc="040C0001">
      <w:start w:val="1"/>
      <w:numFmt w:val="bullet"/>
      <w:lvlText w:val=""/>
      <w:lvlJc w:val="left"/>
      <w:pPr>
        <w:ind w:left="360" w:hanging="360"/>
      </w:pPr>
      <w:rPr>
        <w:rFonts w:ascii="Symbol" w:hAnsi="Symbol" w:hint="default"/>
        <w:sz w:val="20"/>
        <w:szCs w:val="20"/>
      </w:rPr>
    </w:lvl>
    <w:lvl w:ilvl="1" w:tplc="040C0003">
      <w:start w:val="1"/>
      <w:numFmt w:val="bullet"/>
      <w:lvlText w:val="o"/>
      <w:lvlJc w:val="left"/>
      <w:pPr>
        <w:ind w:left="1353"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102" w15:restartNumberingAfterBreak="0">
    <w:nsid w:val="23192EFF"/>
    <w:multiLevelType w:val="hybridMultilevel"/>
    <w:tmpl w:val="C5CA58AC"/>
    <w:lvl w:ilvl="0" w:tplc="F8C682A4">
      <w:start w:val="1"/>
      <w:numFmt w:val="bullet"/>
      <w:pStyle w:val="liste1"/>
      <w:lvlText w:val=""/>
      <w:lvlJc w:val="left"/>
      <w:pPr>
        <w:tabs>
          <w:tab w:val="num" w:pos="375"/>
        </w:tabs>
        <w:ind w:left="375" w:hanging="360"/>
      </w:pPr>
      <w:rPr>
        <w:rFonts w:ascii="Wingdings" w:hAnsi="Wingdings" w:hint="default"/>
      </w:rPr>
    </w:lvl>
    <w:lvl w:ilvl="1" w:tplc="4AC86B18">
      <w:start w:val="1"/>
      <w:numFmt w:val="bullet"/>
      <w:pStyle w:val="liste2"/>
      <w:lvlText w:val="o"/>
      <w:lvlJc w:val="left"/>
      <w:pPr>
        <w:tabs>
          <w:tab w:val="num" w:pos="1095"/>
        </w:tabs>
        <w:ind w:left="1095" w:hanging="360"/>
      </w:pPr>
      <w:rPr>
        <w:rFonts w:ascii="Courier New" w:hAnsi="Courier New" w:hint="default"/>
      </w:rPr>
    </w:lvl>
    <w:lvl w:ilvl="2" w:tplc="040C0005">
      <w:start w:val="1"/>
      <w:numFmt w:val="bullet"/>
      <w:lvlText w:val=""/>
      <w:lvlJc w:val="left"/>
      <w:pPr>
        <w:tabs>
          <w:tab w:val="num" w:pos="1815"/>
        </w:tabs>
        <w:ind w:left="1815" w:hanging="360"/>
      </w:pPr>
      <w:rPr>
        <w:rFonts w:ascii="Wingdings" w:hAnsi="Wingdings" w:hint="default"/>
      </w:rPr>
    </w:lvl>
    <w:lvl w:ilvl="3" w:tplc="040C0001" w:tentative="1">
      <w:start w:val="1"/>
      <w:numFmt w:val="bullet"/>
      <w:lvlText w:val=""/>
      <w:lvlJc w:val="left"/>
      <w:pPr>
        <w:tabs>
          <w:tab w:val="num" w:pos="2535"/>
        </w:tabs>
        <w:ind w:left="2535" w:hanging="360"/>
      </w:pPr>
      <w:rPr>
        <w:rFonts w:ascii="Symbol" w:hAnsi="Symbol" w:hint="default"/>
      </w:rPr>
    </w:lvl>
    <w:lvl w:ilvl="4" w:tplc="040C0003" w:tentative="1">
      <w:start w:val="1"/>
      <w:numFmt w:val="bullet"/>
      <w:lvlText w:val="o"/>
      <w:lvlJc w:val="left"/>
      <w:pPr>
        <w:tabs>
          <w:tab w:val="num" w:pos="3255"/>
        </w:tabs>
        <w:ind w:left="3255" w:hanging="360"/>
      </w:pPr>
      <w:rPr>
        <w:rFonts w:ascii="Courier New" w:hAnsi="Courier New" w:hint="default"/>
      </w:rPr>
    </w:lvl>
    <w:lvl w:ilvl="5" w:tplc="040C0005" w:tentative="1">
      <w:start w:val="1"/>
      <w:numFmt w:val="bullet"/>
      <w:lvlText w:val=""/>
      <w:lvlJc w:val="left"/>
      <w:pPr>
        <w:tabs>
          <w:tab w:val="num" w:pos="3975"/>
        </w:tabs>
        <w:ind w:left="3975" w:hanging="360"/>
      </w:pPr>
      <w:rPr>
        <w:rFonts w:ascii="Wingdings" w:hAnsi="Wingdings" w:hint="default"/>
      </w:rPr>
    </w:lvl>
    <w:lvl w:ilvl="6" w:tplc="040C0001" w:tentative="1">
      <w:start w:val="1"/>
      <w:numFmt w:val="bullet"/>
      <w:lvlText w:val=""/>
      <w:lvlJc w:val="left"/>
      <w:pPr>
        <w:tabs>
          <w:tab w:val="num" w:pos="4695"/>
        </w:tabs>
        <w:ind w:left="4695" w:hanging="360"/>
      </w:pPr>
      <w:rPr>
        <w:rFonts w:ascii="Symbol" w:hAnsi="Symbol" w:hint="default"/>
      </w:rPr>
    </w:lvl>
    <w:lvl w:ilvl="7" w:tplc="040C0003" w:tentative="1">
      <w:start w:val="1"/>
      <w:numFmt w:val="bullet"/>
      <w:lvlText w:val="o"/>
      <w:lvlJc w:val="left"/>
      <w:pPr>
        <w:tabs>
          <w:tab w:val="num" w:pos="5415"/>
        </w:tabs>
        <w:ind w:left="5415" w:hanging="360"/>
      </w:pPr>
      <w:rPr>
        <w:rFonts w:ascii="Courier New" w:hAnsi="Courier New" w:hint="default"/>
      </w:rPr>
    </w:lvl>
    <w:lvl w:ilvl="8" w:tplc="040C0005" w:tentative="1">
      <w:start w:val="1"/>
      <w:numFmt w:val="bullet"/>
      <w:lvlText w:val=""/>
      <w:lvlJc w:val="left"/>
      <w:pPr>
        <w:tabs>
          <w:tab w:val="num" w:pos="6135"/>
        </w:tabs>
        <w:ind w:left="6135" w:hanging="360"/>
      </w:pPr>
      <w:rPr>
        <w:rFonts w:ascii="Wingdings" w:hAnsi="Wingdings" w:hint="default"/>
      </w:rPr>
    </w:lvl>
  </w:abstractNum>
  <w:abstractNum w:abstractNumId="103" w15:restartNumberingAfterBreak="0">
    <w:nsid w:val="23A63FFD"/>
    <w:multiLevelType w:val="multilevel"/>
    <w:tmpl w:val="06BA4612"/>
    <w:styleLink w:val="WWNum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4" w15:restartNumberingAfterBreak="0">
    <w:nsid w:val="23C90E08"/>
    <w:multiLevelType w:val="multilevel"/>
    <w:tmpl w:val="3C6EAC4A"/>
    <w:lvl w:ilvl="0">
      <w:start w:val="1"/>
      <w:numFmt w:val="decimal"/>
      <w:pStyle w:val="Section3"/>
      <w:lvlText w:val="Section 3.%1"/>
      <w:lvlJc w:val="left"/>
      <w:pPr>
        <w:tabs>
          <w:tab w:val="num" w:pos="1440"/>
        </w:tabs>
        <w:ind w:left="0" w:firstLine="0"/>
      </w:pPr>
      <w:rPr>
        <w:rFonts w:ascii="Times New Roman" w:hAnsi="Times New Roman" w:hint="default"/>
        <w:b w:val="0"/>
        <w:i w:val="0"/>
        <w:color w:val="auto"/>
        <w:sz w:val="24"/>
      </w:rPr>
    </w:lvl>
    <w:lvl w:ilvl="1">
      <w:start w:val="1"/>
      <w:numFmt w:val="lowerLetter"/>
      <w:lvlText w:val="(%2)"/>
      <w:lvlJc w:val="left"/>
      <w:pPr>
        <w:tabs>
          <w:tab w:val="num" w:pos="1440"/>
        </w:tabs>
        <w:ind w:left="0" w:firstLine="720"/>
      </w:pPr>
      <w:rPr>
        <w:rFonts w:ascii="Times New Roman" w:hAnsi="Times New Roman" w:hint="default"/>
        <w:b w:val="0"/>
        <w:i w:val="0"/>
        <w:color w:val="auto"/>
        <w:sz w:val="24"/>
      </w:rPr>
    </w:lvl>
    <w:lvl w:ilvl="2">
      <w:start w:val="1"/>
      <w:numFmt w:val="lowerRoman"/>
      <w:lvlText w:val="(%3)"/>
      <w:lvlJc w:val="left"/>
      <w:pPr>
        <w:tabs>
          <w:tab w:val="num" w:pos="2160"/>
        </w:tabs>
        <w:ind w:left="0" w:firstLine="1440"/>
      </w:pPr>
      <w:rPr>
        <w:rFonts w:ascii="Times New Roman" w:hAnsi="Times New Roman" w:hint="default"/>
        <w:b w:val="0"/>
        <w:i w:val="0"/>
        <w:color w:val="auto"/>
        <w:sz w:val="24"/>
      </w:rPr>
    </w:lvl>
    <w:lvl w:ilvl="3">
      <w:start w:val="1"/>
      <w:numFmt w:val="decimal"/>
      <w:lvlText w:val="(%4)"/>
      <w:lvlJc w:val="left"/>
      <w:pPr>
        <w:tabs>
          <w:tab w:val="num" w:pos="2880"/>
        </w:tabs>
        <w:ind w:left="0" w:firstLine="2160"/>
      </w:pPr>
      <w:rPr>
        <w:rFonts w:ascii="Times New Roman" w:hAnsi="Times New Roman" w:hint="default"/>
        <w:b w:val="0"/>
        <w:i w:val="0"/>
        <w:color w:val="auto"/>
        <w:sz w:val="24"/>
      </w:rPr>
    </w:lvl>
    <w:lvl w:ilvl="4">
      <w:start w:val="1"/>
      <w:numFmt w:val="upperLetter"/>
      <w:lvlText w:val="(%5)"/>
      <w:lvlJc w:val="left"/>
      <w:pPr>
        <w:tabs>
          <w:tab w:val="num" w:pos="3600"/>
        </w:tabs>
        <w:ind w:left="3600" w:hanging="720"/>
      </w:pPr>
      <w:rPr>
        <w:rFonts w:ascii="Times New Roman" w:hAnsi="Times New Roman" w:hint="default"/>
        <w:b w:val="0"/>
        <w:i w:val="0"/>
        <w:color w:val="auto"/>
        <w:sz w:val="24"/>
      </w:rPr>
    </w:lvl>
    <w:lvl w:ilvl="5">
      <w:start w:val="1"/>
      <w:numFmt w:val="lowerRoman"/>
      <w:lvlText w:val="(%6)"/>
      <w:lvlJc w:val="left"/>
      <w:pPr>
        <w:tabs>
          <w:tab w:val="num" w:pos="4320"/>
        </w:tabs>
        <w:ind w:left="4320" w:hanging="720"/>
      </w:pPr>
      <w:rPr>
        <w:rFonts w:ascii="Times New Roman" w:hAnsi="Times New Roman" w:hint="default"/>
        <w:b w:val="0"/>
        <w:i w:val="0"/>
        <w:color w:val="auto"/>
        <w:sz w:val="24"/>
      </w:rPr>
    </w:lvl>
    <w:lvl w:ilvl="6">
      <w:start w:val="1"/>
      <w:numFmt w:val="lowerLetter"/>
      <w:lvlText w:val="%7."/>
      <w:lvlJc w:val="left"/>
      <w:pPr>
        <w:tabs>
          <w:tab w:val="num" w:pos="5040"/>
        </w:tabs>
        <w:ind w:left="5040" w:hanging="720"/>
      </w:pPr>
      <w:rPr>
        <w:rFonts w:ascii="Times New Roman" w:hAnsi="Times New Roman" w:hint="default"/>
        <w:b w:val="0"/>
        <w:i w:val="0"/>
        <w:color w:val="auto"/>
        <w:sz w:val="24"/>
      </w:rPr>
    </w:lvl>
    <w:lvl w:ilvl="7">
      <w:start w:val="1"/>
      <w:numFmt w:val="lowerLetter"/>
      <w:lvlText w:val="%8."/>
      <w:lvlJc w:val="left"/>
      <w:pPr>
        <w:tabs>
          <w:tab w:val="num" w:pos="5760"/>
        </w:tabs>
        <w:ind w:left="5760" w:hanging="720"/>
      </w:pPr>
      <w:rPr>
        <w:rFonts w:hint="default"/>
      </w:rPr>
    </w:lvl>
    <w:lvl w:ilvl="8">
      <w:start w:val="1"/>
      <w:numFmt w:val="none"/>
      <w:lvlText w:val=""/>
      <w:lvlJc w:val="left"/>
      <w:pPr>
        <w:tabs>
          <w:tab w:val="num" w:pos="2304"/>
        </w:tabs>
        <w:ind w:left="2304" w:hanging="1584"/>
      </w:pPr>
      <w:rPr>
        <w:rFonts w:hint="default"/>
      </w:rPr>
    </w:lvl>
  </w:abstractNum>
  <w:abstractNum w:abstractNumId="105" w15:restartNumberingAfterBreak="0">
    <w:nsid w:val="241A246C"/>
    <w:multiLevelType w:val="hybridMultilevel"/>
    <w:tmpl w:val="9C4E09D4"/>
    <w:lvl w:ilvl="0" w:tplc="19A2E1A2">
      <w:start w:val="1"/>
      <w:numFmt w:val="upperRoman"/>
      <w:pStyle w:val="ESSpara"/>
      <w:lvlText w:val="%1."/>
      <w:lvlJc w:val="left"/>
      <w:pPr>
        <w:ind w:left="720" w:hanging="72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06" w15:restartNumberingAfterBreak="0">
    <w:nsid w:val="245A3A65"/>
    <w:multiLevelType w:val="hybridMultilevel"/>
    <w:tmpl w:val="E180B0E4"/>
    <w:lvl w:ilvl="0" w:tplc="8E2482F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7" w15:restartNumberingAfterBreak="0">
    <w:nsid w:val="26E97AE6"/>
    <w:multiLevelType w:val="hybridMultilevel"/>
    <w:tmpl w:val="DB3657DE"/>
    <w:lvl w:ilvl="0" w:tplc="E334E61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8" w15:restartNumberingAfterBreak="0">
    <w:nsid w:val="26EE4091"/>
    <w:multiLevelType w:val="hybridMultilevel"/>
    <w:tmpl w:val="21807E9E"/>
    <w:lvl w:ilvl="0" w:tplc="6AE09CCA">
      <w:start w:val="10"/>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9" w15:restartNumberingAfterBreak="0">
    <w:nsid w:val="28F56B7F"/>
    <w:multiLevelType w:val="hybridMultilevel"/>
    <w:tmpl w:val="3DF65D6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0" w15:restartNumberingAfterBreak="0">
    <w:nsid w:val="294F6357"/>
    <w:multiLevelType w:val="hybridMultilevel"/>
    <w:tmpl w:val="6976401E"/>
    <w:lvl w:ilvl="0" w:tplc="8E2482F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1" w15:restartNumberingAfterBreak="0">
    <w:nsid w:val="29D344DD"/>
    <w:multiLevelType w:val="hybridMultilevel"/>
    <w:tmpl w:val="115403FA"/>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2" w15:restartNumberingAfterBreak="0">
    <w:nsid w:val="29EB4B97"/>
    <w:multiLevelType w:val="hybridMultilevel"/>
    <w:tmpl w:val="52202980"/>
    <w:lvl w:ilvl="0" w:tplc="6AE09CCA">
      <w:start w:val="1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3" w15:restartNumberingAfterBreak="0">
    <w:nsid w:val="2A757940"/>
    <w:multiLevelType w:val="hybridMultilevel"/>
    <w:tmpl w:val="076E75FA"/>
    <w:lvl w:ilvl="0" w:tplc="85C4509E">
      <w:start w:val="1"/>
      <w:numFmt w:val="lowerRoman"/>
      <w:lvlText w:val="(%1)"/>
      <w:lvlJc w:val="left"/>
      <w:pPr>
        <w:ind w:left="1440" w:hanging="720"/>
      </w:pPr>
      <w:rPr>
        <w:rFonts w:hint="default"/>
        <w:color w:val="auto"/>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4" w15:restartNumberingAfterBreak="0">
    <w:nsid w:val="2B256298"/>
    <w:multiLevelType w:val="hybridMultilevel"/>
    <w:tmpl w:val="2EAE23DC"/>
    <w:lvl w:ilvl="0" w:tplc="040C000F">
      <w:start w:val="1"/>
      <w:numFmt w:val="bullet"/>
      <w:lvlText w:val="-"/>
      <w:lvlJc w:val="left"/>
      <w:pPr>
        <w:ind w:left="360" w:hanging="360"/>
      </w:pPr>
      <w:rPr>
        <w:rFonts w:ascii="Tahoma" w:hAnsi="Tahoma" w:hint="default"/>
      </w:rPr>
    </w:lvl>
    <w:lvl w:ilvl="1" w:tplc="040C0019" w:tentative="1">
      <w:start w:val="1"/>
      <w:numFmt w:val="bullet"/>
      <w:lvlText w:val="o"/>
      <w:lvlJc w:val="left"/>
      <w:pPr>
        <w:ind w:left="1440" w:hanging="360"/>
      </w:pPr>
      <w:rPr>
        <w:rFonts w:ascii="Courier New" w:hAnsi="Courier New" w:cs="Courier New" w:hint="default"/>
      </w:rPr>
    </w:lvl>
    <w:lvl w:ilvl="2" w:tplc="040C001B">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115" w15:restartNumberingAfterBreak="0">
    <w:nsid w:val="2BC30A91"/>
    <w:multiLevelType w:val="hybridMultilevel"/>
    <w:tmpl w:val="2D2EB460"/>
    <w:lvl w:ilvl="0" w:tplc="7670066A">
      <w:start w:val="1"/>
      <w:numFmt w:val="bullet"/>
      <w:lvlText w:val="•"/>
      <w:lvlJc w:val="left"/>
      <w:pPr>
        <w:ind w:left="9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C0003" w:tentative="1">
      <w:start w:val="1"/>
      <w:numFmt w:val="bullet"/>
      <w:lvlText w:val="o"/>
      <w:lvlJc w:val="left"/>
      <w:pPr>
        <w:ind w:left="1908" w:hanging="360"/>
      </w:pPr>
      <w:rPr>
        <w:rFonts w:ascii="Courier New" w:hAnsi="Courier New" w:cs="Courier New" w:hint="default"/>
      </w:rPr>
    </w:lvl>
    <w:lvl w:ilvl="2" w:tplc="040C0005" w:tentative="1">
      <w:start w:val="1"/>
      <w:numFmt w:val="bullet"/>
      <w:lvlText w:val=""/>
      <w:lvlJc w:val="left"/>
      <w:pPr>
        <w:ind w:left="2628" w:hanging="360"/>
      </w:pPr>
      <w:rPr>
        <w:rFonts w:ascii="Wingdings" w:hAnsi="Wingdings" w:hint="default"/>
      </w:rPr>
    </w:lvl>
    <w:lvl w:ilvl="3" w:tplc="040C0001" w:tentative="1">
      <w:start w:val="1"/>
      <w:numFmt w:val="bullet"/>
      <w:lvlText w:val=""/>
      <w:lvlJc w:val="left"/>
      <w:pPr>
        <w:ind w:left="3348" w:hanging="360"/>
      </w:pPr>
      <w:rPr>
        <w:rFonts w:ascii="Symbol" w:hAnsi="Symbol" w:hint="default"/>
      </w:rPr>
    </w:lvl>
    <w:lvl w:ilvl="4" w:tplc="040C0003" w:tentative="1">
      <w:start w:val="1"/>
      <w:numFmt w:val="bullet"/>
      <w:lvlText w:val="o"/>
      <w:lvlJc w:val="left"/>
      <w:pPr>
        <w:ind w:left="4068" w:hanging="360"/>
      </w:pPr>
      <w:rPr>
        <w:rFonts w:ascii="Courier New" w:hAnsi="Courier New" w:cs="Courier New" w:hint="default"/>
      </w:rPr>
    </w:lvl>
    <w:lvl w:ilvl="5" w:tplc="040C0005" w:tentative="1">
      <w:start w:val="1"/>
      <w:numFmt w:val="bullet"/>
      <w:lvlText w:val=""/>
      <w:lvlJc w:val="left"/>
      <w:pPr>
        <w:ind w:left="4788" w:hanging="360"/>
      </w:pPr>
      <w:rPr>
        <w:rFonts w:ascii="Wingdings" w:hAnsi="Wingdings" w:hint="default"/>
      </w:rPr>
    </w:lvl>
    <w:lvl w:ilvl="6" w:tplc="040C0001" w:tentative="1">
      <w:start w:val="1"/>
      <w:numFmt w:val="bullet"/>
      <w:lvlText w:val=""/>
      <w:lvlJc w:val="left"/>
      <w:pPr>
        <w:ind w:left="5508" w:hanging="360"/>
      </w:pPr>
      <w:rPr>
        <w:rFonts w:ascii="Symbol" w:hAnsi="Symbol" w:hint="default"/>
      </w:rPr>
    </w:lvl>
    <w:lvl w:ilvl="7" w:tplc="040C0003" w:tentative="1">
      <w:start w:val="1"/>
      <w:numFmt w:val="bullet"/>
      <w:lvlText w:val="o"/>
      <w:lvlJc w:val="left"/>
      <w:pPr>
        <w:ind w:left="6228" w:hanging="360"/>
      </w:pPr>
      <w:rPr>
        <w:rFonts w:ascii="Courier New" w:hAnsi="Courier New" w:cs="Courier New" w:hint="default"/>
      </w:rPr>
    </w:lvl>
    <w:lvl w:ilvl="8" w:tplc="040C0005" w:tentative="1">
      <w:start w:val="1"/>
      <w:numFmt w:val="bullet"/>
      <w:lvlText w:val=""/>
      <w:lvlJc w:val="left"/>
      <w:pPr>
        <w:ind w:left="6948" w:hanging="360"/>
      </w:pPr>
      <w:rPr>
        <w:rFonts w:ascii="Wingdings" w:hAnsi="Wingdings" w:hint="default"/>
      </w:rPr>
    </w:lvl>
  </w:abstractNum>
  <w:abstractNum w:abstractNumId="116" w15:restartNumberingAfterBreak="0">
    <w:nsid w:val="2BE249F5"/>
    <w:multiLevelType w:val="hybridMultilevel"/>
    <w:tmpl w:val="03006144"/>
    <w:lvl w:ilvl="0" w:tplc="E334E61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7" w15:restartNumberingAfterBreak="0">
    <w:nsid w:val="2C3473C7"/>
    <w:multiLevelType w:val="hybridMultilevel"/>
    <w:tmpl w:val="C496201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8" w15:restartNumberingAfterBreak="0">
    <w:nsid w:val="2C347B18"/>
    <w:multiLevelType w:val="hybridMultilevel"/>
    <w:tmpl w:val="49A0F518"/>
    <w:lvl w:ilvl="0" w:tplc="040C000D">
      <w:start w:val="1"/>
      <w:numFmt w:val="bullet"/>
      <w:lvlText w:val=""/>
      <w:lvlJc w:val="left"/>
      <w:pPr>
        <w:ind w:left="720" w:hanging="360"/>
      </w:pPr>
      <w:rPr>
        <w:rFonts w:ascii="Wingdings" w:hAnsi="Wingdings" w:hint="default"/>
        <w:b w:val="0"/>
        <w:bCs w:val="0"/>
        <w:i w:val="0"/>
        <w:iCs w:val="0"/>
        <w:w w:val="99"/>
        <w:sz w:val="20"/>
        <w:szCs w:val="20"/>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9" w15:restartNumberingAfterBreak="0">
    <w:nsid w:val="2CA03254"/>
    <w:multiLevelType w:val="multilevel"/>
    <w:tmpl w:val="ED2A0D70"/>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0" w15:restartNumberingAfterBreak="0">
    <w:nsid w:val="2CEE671E"/>
    <w:multiLevelType w:val="hybridMultilevel"/>
    <w:tmpl w:val="8DC8C6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1" w15:restartNumberingAfterBreak="0">
    <w:nsid w:val="2E1056FF"/>
    <w:multiLevelType w:val="singleLevel"/>
    <w:tmpl w:val="EB1E94B4"/>
    <w:lvl w:ilvl="0">
      <w:start w:val="1"/>
      <w:numFmt w:val="decimal"/>
      <w:pStyle w:val="Block"/>
      <w:lvlText w:val="%1."/>
      <w:lvlJc w:val="left"/>
      <w:pPr>
        <w:tabs>
          <w:tab w:val="num" w:pos="360"/>
        </w:tabs>
        <w:ind w:left="360" w:hanging="360"/>
      </w:pPr>
    </w:lvl>
  </w:abstractNum>
  <w:abstractNum w:abstractNumId="122" w15:restartNumberingAfterBreak="0">
    <w:nsid w:val="2E2163BC"/>
    <w:multiLevelType w:val="hybridMultilevel"/>
    <w:tmpl w:val="2342F1A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123" w15:restartNumberingAfterBreak="0">
    <w:nsid w:val="2E8E47E7"/>
    <w:multiLevelType w:val="hybridMultilevel"/>
    <w:tmpl w:val="78783618"/>
    <w:lvl w:ilvl="0" w:tplc="6AE09CCA">
      <w:start w:val="10"/>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4" w15:restartNumberingAfterBreak="0">
    <w:nsid w:val="2F06262A"/>
    <w:multiLevelType w:val="hybridMultilevel"/>
    <w:tmpl w:val="83303F6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5" w15:restartNumberingAfterBreak="0">
    <w:nsid w:val="2F12144E"/>
    <w:multiLevelType w:val="hybridMultilevel"/>
    <w:tmpl w:val="30C092B4"/>
    <w:lvl w:ilvl="0" w:tplc="676AB9B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BC3DA0">
      <w:start w:val="1"/>
      <w:numFmt w:val="bullet"/>
      <w:lvlText w:val="o"/>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1AD1EE">
      <w:start w:val="1"/>
      <w:numFmt w:val="bullet"/>
      <w:lvlRestart w:val="0"/>
      <w:lvlText w:val="-"/>
      <w:lvlJc w:val="left"/>
      <w:pPr>
        <w:ind w:left="1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72612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F0D5B0">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9AECA2">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C2971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88FDE">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EC5530">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3102474B"/>
    <w:multiLevelType w:val="hybridMultilevel"/>
    <w:tmpl w:val="8322509A"/>
    <w:lvl w:ilvl="0" w:tplc="BC6617D6">
      <w:start w:val="1"/>
      <w:numFmt w:val="decimal"/>
      <w:lvlText w:val="%1."/>
      <w:lvlJc w:val="left"/>
      <w:pPr>
        <w:ind w:left="360" w:hanging="360"/>
      </w:pPr>
      <w:rPr>
        <w:rFonts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7" w15:restartNumberingAfterBreak="0">
    <w:nsid w:val="310D7795"/>
    <w:multiLevelType w:val="multilevel"/>
    <w:tmpl w:val="E6840B40"/>
    <w:lvl w:ilvl="0">
      <w:start w:val="1"/>
      <w:numFmt w:val="decimal"/>
      <w:pStyle w:val="Style7"/>
      <w:lvlText w:val="%1."/>
      <w:lvlJc w:val="left"/>
      <w:pPr>
        <w:ind w:left="720" w:hanging="360"/>
      </w:pPr>
    </w:lvl>
    <w:lvl w:ilvl="1">
      <w:start w:val="1"/>
      <w:numFmt w:val="decimal"/>
      <w:isLgl/>
      <w:lvlText w:val="%1.%2."/>
      <w:lvlJc w:val="left"/>
      <w:pPr>
        <w:ind w:left="720" w:hanging="360"/>
      </w:pPr>
      <w:rPr>
        <w:rFonts w:hint="default"/>
      </w:rPr>
    </w:lvl>
    <w:lvl w:ilvl="2">
      <w:start w:val="1"/>
      <w:numFmt w:val="decimal"/>
      <w:pStyle w:val="titre4"/>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322A2C9B"/>
    <w:multiLevelType w:val="hybridMultilevel"/>
    <w:tmpl w:val="EB141A9E"/>
    <w:lvl w:ilvl="0" w:tplc="E334E61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9" w15:restartNumberingAfterBreak="0">
    <w:nsid w:val="3278688B"/>
    <w:multiLevelType w:val="multilevel"/>
    <w:tmpl w:val="674C4C44"/>
    <w:lvl w:ilvl="0">
      <w:start w:val="1"/>
      <w:numFmt w:val="decimal"/>
      <w:lvlText w:val="CHAPITRE %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TITRE3"/>
      <w:lvlText w:val="%1.%2.%3."/>
      <w:lvlJc w:val="left"/>
      <w:pPr>
        <w:tabs>
          <w:tab w:val="num" w:pos="794"/>
        </w:tabs>
        <w:ind w:left="794" w:hanging="794"/>
      </w:pPr>
      <w:rPr>
        <w:rFonts w:hint="default"/>
      </w:rPr>
    </w:lvl>
    <w:lvl w:ilvl="3">
      <w:start w:val="1"/>
      <w:numFmt w:val="decimal"/>
      <w:pStyle w:val="TITRE5"/>
      <w:lvlText w:val="%1.%2.%3.%4."/>
      <w:lvlJc w:val="left"/>
      <w:pPr>
        <w:tabs>
          <w:tab w:val="num" w:pos="907"/>
        </w:tabs>
        <w:ind w:left="907" w:hanging="907"/>
      </w:pPr>
      <w:rPr>
        <w:rFonts w:hint="default"/>
      </w:rPr>
    </w:lvl>
    <w:lvl w:ilvl="4">
      <w:start w:val="1"/>
      <w:numFmt w:val="lowerLetter"/>
      <w:pStyle w:val="TITRE6"/>
      <w:lvlText w:val="%5."/>
      <w:lvlJc w:val="left"/>
      <w:pPr>
        <w:tabs>
          <w:tab w:val="num" w:pos="454"/>
        </w:tabs>
        <w:ind w:left="454" w:hanging="45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3283021E"/>
    <w:multiLevelType w:val="hybridMultilevel"/>
    <w:tmpl w:val="C576CFD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1" w15:restartNumberingAfterBreak="0">
    <w:nsid w:val="328E2364"/>
    <w:multiLevelType w:val="hybridMultilevel"/>
    <w:tmpl w:val="D37E086E"/>
    <w:lvl w:ilvl="0" w:tplc="040C000D">
      <w:start w:val="1"/>
      <w:numFmt w:val="bullet"/>
      <w:lvlText w:val=""/>
      <w:lvlJc w:val="left"/>
      <w:pPr>
        <w:ind w:left="720" w:hanging="360"/>
      </w:pPr>
      <w:rPr>
        <w:rFonts w:ascii="Wingdings" w:hAnsi="Wingdings" w:hint="default"/>
        <w:b w:val="0"/>
        <w:bCs w:val="0"/>
        <w:i w:val="0"/>
        <w:iCs w:val="0"/>
        <w:w w:val="99"/>
        <w:sz w:val="20"/>
        <w:szCs w:val="20"/>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2" w15:restartNumberingAfterBreak="0">
    <w:nsid w:val="32CF676E"/>
    <w:multiLevelType w:val="hybridMultilevel"/>
    <w:tmpl w:val="0E7C20EE"/>
    <w:lvl w:ilvl="0" w:tplc="AA2C0EBE">
      <w:start w:val="1"/>
      <w:numFmt w:val="bullet"/>
      <w:pStyle w:val="BulletsR2"/>
      <w:lvlText w:val="o"/>
      <w:lvlJc w:val="left"/>
      <w:pPr>
        <w:tabs>
          <w:tab w:val="num" w:pos="1700"/>
        </w:tabs>
        <w:ind w:left="1700" w:hanging="360"/>
      </w:pPr>
      <w:rPr>
        <w:rFonts w:ascii="Courier New" w:hAnsi="Courier New" w:hint="default"/>
      </w:rPr>
    </w:lvl>
    <w:lvl w:ilvl="1" w:tplc="040C0003" w:tentative="1">
      <w:start w:val="1"/>
      <w:numFmt w:val="bullet"/>
      <w:lvlText w:val="o"/>
      <w:lvlJc w:val="left"/>
      <w:pPr>
        <w:tabs>
          <w:tab w:val="num" w:pos="2420"/>
        </w:tabs>
        <w:ind w:left="2420" w:hanging="360"/>
      </w:pPr>
      <w:rPr>
        <w:rFonts w:ascii="Courier New" w:hAnsi="Courier New" w:hint="default"/>
      </w:rPr>
    </w:lvl>
    <w:lvl w:ilvl="2" w:tplc="040C0005" w:tentative="1">
      <w:start w:val="1"/>
      <w:numFmt w:val="bullet"/>
      <w:lvlText w:val=""/>
      <w:lvlJc w:val="left"/>
      <w:pPr>
        <w:tabs>
          <w:tab w:val="num" w:pos="3140"/>
        </w:tabs>
        <w:ind w:left="3140" w:hanging="360"/>
      </w:pPr>
      <w:rPr>
        <w:rFonts w:ascii="Wingdings" w:hAnsi="Wingdings" w:hint="default"/>
      </w:rPr>
    </w:lvl>
    <w:lvl w:ilvl="3" w:tplc="040C0001" w:tentative="1">
      <w:start w:val="1"/>
      <w:numFmt w:val="bullet"/>
      <w:lvlText w:val=""/>
      <w:lvlJc w:val="left"/>
      <w:pPr>
        <w:tabs>
          <w:tab w:val="num" w:pos="3860"/>
        </w:tabs>
        <w:ind w:left="3860" w:hanging="360"/>
      </w:pPr>
      <w:rPr>
        <w:rFonts w:ascii="Symbol" w:hAnsi="Symbol" w:hint="default"/>
      </w:rPr>
    </w:lvl>
    <w:lvl w:ilvl="4" w:tplc="040C0003" w:tentative="1">
      <w:start w:val="1"/>
      <w:numFmt w:val="bullet"/>
      <w:lvlText w:val="o"/>
      <w:lvlJc w:val="left"/>
      <w:pPr>
        <w:tabs>
          <w:tab w:val="num" w:pos="4580"/>
        </w:tabs>
        <w:ind w:left="4580" w:hanging="360"/>
      </w:pPr>
      <w:rPr>
        <w:rFonts w:ascii="Courier New" w:hAnsi="Courier New" w:hint="default"/>
      </w:rPr>
    </w:lvl>
    <w:lvl w:ilvl="5" w:tplc="040C0005" w:tentative="1">
      <w:start w:val="1"/>
      <w:numFmt w:val="bullet"/>
      <w:lvlText w:val=""/>
      <w:lvlJc w:val="left"/>
      <w:pPr>
        <w:tabs>
          <w:tab w:val="num" w:pos="5300"/>
        </w:tabs>
        <w:ind w:left="5300" w:hanging="360"/>
      </w:pPr>
      <w:rPr>
        <w:rFonts w:ascii="Wingdings" w:hAnsi="Wingdings" w:hint="default"/>
      </w:rPr>
    </w:lvl>
    <w:lvl w:ilvl="6" w:tplc="040C0001" w:tentative="1">
      <w:start w:val="1"/>
      <w:numFmt w:val="bullet"/>
      <w:lvlText w:val=""/>
      <w:lvlJc w:val="left"/>
      <w:pPr>
        <w:tabs>
          <w:tab w:val="num" w:pos="6020"/>
        </w:tabs>
        <w:ind w:left="6020" w:hanging="360"/>
      </w:pPr>
      <w:rPr>
        <w:rFonts w:ascii="Symbol" w:hAnsi="Symbol" w:hint="default"/>
      </w:rPr>
    </w:lvl>
    <w:lvl w:ilvl="7" w:tplc="040C0003" w:tentative="1">
      <w:start w:val="1"/>
      <w:numFmt w:val="bullet"/>
      <w:lvlText w:val="o"/>
      <w:lvlJc w:val="left"/>
      <w:pPr>
        <w:tabs>
          <w:tab w:val="num" w:pos="6740"/>
        </w:tabs>
        <w:ind w:left="6740" w:hanging="360"/>
      </w:pPr>
      <w:rPr>
        <w:rFonts w:ascii="Courier New" w:hAnsi="Courier New" w:hint="default"/>
      </w:rPr>
    </w:lvl>
    <w:lvl w:ilvl="8" w:tplc="040C0005" w:tentative="1">
      <w:start w:val="1"/>
      <w:numFmt w:val="bullet"/>
      <w:lvlText w:val=""/>
      <w:lvlJc w:val="left"/>
      <w:pPr>
        <w:tabs>
          <w:tab w:val="num" w:pos="7460"/>
        </w:tabs>
        <w:ind w:left="7460" w:hanging="360"/>
      </w:pPr>
      <w:rPr>
        <w:rFonts w:ascii="Wingdings" w:hAnsi="Wingdings" w:hint="default"/>
      </w:rPr>
    </w:lvl>
  </w:abstractNum>
  <w:abstractNum w:abstractNumId="133" w15:restartNumberingAfterBreak="0">
    <w:nsid w:val="33502E85"/>
    <w:multiLevelType w:val="hybridMultilevel"/>
    <w:tmpl w:val="666EE416"/>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4" w15:restartNumberingAfterBreak="0">
    <w:nsid w:val="338063C1"/>
    <w:multiLevelType w:val="hybridMultilevel"/>
    <w:tmpl w:val="11EA7AA0"/>
    <w:lvl w:ilvl="0" w:tplc="355C91BA">
      <w:start w:val="1"/>
      <w:numFmt w:val="lowerRoman"/>
      <w:lvlText w:val="(%1)"/>
      <w:lvlJc w:val="left"/>
      <w:pPr>
        <w:ind w:left="1440" w:hanging="72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5" w15:restartNumberingAfterBreak="0">
    <w:nsid w:val="33B6064F"/>
    <w:multiLevelType w:val="hybridMultilevel"/>
    <w:tmpl w:val="5D4E1418"/>
    <w:lvl w:ilvl="0" w:tplc="C1A2EED4">
      <w:start w:val="1"/>
      <w:numFmt w:val="bullet"/>
      <w:lvlText w:val=""/>
      <w:lvlJc w:val="left"/>
      <w:pPr>
        <w:ind w:left="360" w:hanging="360"/>
      </w:pPr>
      <w:rPr>
        <w:rFonts w:ascii="Symbol" w:hAnsi="Symbol" w:hint="default"/>
        <w:sz w:val="20"/>
        <w:szCs w:val="20"/>
      </w:rPr>
    </w:lvl>
    <w:lvl w:ilvl="1" w:tplc="040C0003">
      <w:start w:val="1"/>
      <w:numFmt w:val="bullet"/>
      <w:lvlText w:val="o"/>
      <w:lvlJc w:val="left"/>
      <w:pPr>
        <w:ind w:left="928"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6" w15:restartNumberingAfterBreak="0">
    <w:nsid w:val="33B97D71"/>
    <w:multiLevelType w:val="hybridMultilevel"/>
    <w:tmpl w:val="7C7AE4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7" w15:restartNumberingAfterBreak="0">
    <w:nsid w:val="33FB65F7"/>
    <w:multiLevelType w:val="hybridMultilevel"/>
    <w:tmpl w:val="14347E2C"/>
    <w:styleLink w:val="WWNum41"/>
    <w:lvl w:ilvl="0" w:tplc="1722BF10">
      <w:start w:val="1"/>
      <w:numFmt w:val="bullet"/>
      <w:lvlText w:val=""/>
      <w:lvlJc w:val="left"/>
      <w:pPr>
        <w:ind w:left="1068" w:hanging="360"/>
      </w:pPr>
      <w:rPr>
        <w:rFonts w:ascii="Symbol" w:hAnsi="Symbol" w:hint="default"/>
      </w:rPr>
    </w:lvl>
    <w:lvl w:ilvl="1" w:tplc="280C0003" w:tentative="1">
      <w:start w:val="1"/>
      <w:numFmt w:val="bullet"/>
      <w:lvlText w:val="o"/>
      <w:lvlJc w:val="left"/>
      <w:pPr>
        <w:ind w:left="1788" w:hanging="360"/>
      </w:pPr>
      <w:rPr>
        <w:rFonts w:ascii="Courier New" w:hAnsi="Courier New" w:cs="Courier New" w:hint="default"/>
      </w:rPr>
    </w:lvl>
    <w:lvl w:ilvl="2" w:tplc="280C0005" w:tentative="1">
      <w:start w:val="1"/>
      <w:numFmt w:val="bullet"/>
      <w:lvlText w:val=""/>
      <w:lvlJc w:val="left"/>
      <w:pPr>
        <w:ind w:left="2508" w:hanging="360"/>
      </w:pPr>
      <w:rPr>
        <w:rFonts w:ascii="Wingdings" w:hAnsi="Wingdings" w:hint="default"/>
      </w:rPr>
    </w:lvl>
    <w:lvl w:ilvl="3" w:tplc="280C0001" w:tentative="1">
      <w:start w:val="1"/>
      <w:numFmt w:val="bullet"/>
      <w:lvlText w:val=""/>
      <w:lvlJc w:val="left"/>
      <w:pPr>
        <w:ind w:left="3228" w:hanging="360"/>
      </w:pPr>
      <w:rPr>
        <w:rFonts w:ascii="Symbol" w:hAnsi="Symbol" w:hint="default"/>
      </w:rPr>
    </w:lvl>
    <w:lvl w:ilvl="4" w:tplc="280C0003" w:tentative="1">
      <w:start w:val="1"/>
      <w:numFmt w:val="bullet"/>
      <w:lvlText w:val="o"/>
      <w:lvlJc w:val="left"/>
      <w:pPr>
        <w:ind w:left="3948" w:hanging="360"/>
      </w:pPr>
      <w:rPr>
        <w:rFonts w:ascii="Courier New" w:hAnsi="Courier New" w:cs="Courier New" w:hint="default"/>
      </w:rPr>
    </w:lvl>
    <w:lvl w:ilvl="5" w:tplc="280C0005" w:tentative="1">
      <w:start w:val="1"/>
      <w:numFmt w:val="bullet"/>
      <w:lvlText w:val=""/>
      <w:lvlJc w:val="left"/>
      <w:pPr>
        <w:ind w:left="4668" w:hanging="360"/>
      </w:pPr>
      <w:rPr>
        <w:rFonts w:ascii="Wingdings" w:hAnsi="Wingdings" w:hint="default"/>
      </w:rPr>
    </w:lvl>
    <w:lvl w:ilvl="6" w:tplc="280C0001" w:tentative="1">
      <w:start w:val="1"/>
      <w:numFmt w:val="bullet"/>
      <w:lvlText w:val=""/>
      <w:lvlJc w:val="left"/>
      <w:pPr>
        <w:ind w:left="5388" w:hanging="360"/>
      </w:pPr>
      <w:rPr>
        <w:rFonts w:ascii="Symbol" w:hAnsi="Symbol" w:hint="default"/>
      </w:rPr>
    </w:lvl>
    <w:lvl w:ilvl="7" w:tplc="280C0003" w:tentative="1">
      <w:start w:val="1"/>
      <w:numFmt w:val="bullet"/>
      <w:lvlText w:val="o"/>
      <w:lvlJc w:val="left"/>
      <w:pPr>
        <w:ind w:left="6108" w:hanging="360"/>
      </w:pPr>
      <w:rPr>
        <w:rFonts w:ascii="Courier New" w:hAnsi="Courier New" w:cs="Courier New" w:hint="default"/>
      </w:rPr>
    </w:lvl>
    <w:lvl w:ilvl="8" w:tplc="280C0005" w:tentative="1">
      <w:start w:val="1"/>
      <w:numFmt w:val="bullet"/>
      <w:lvlText w:val=""/>
      <w:lvlJc w:val="left"/>
      <w:pPr>
        <w:ind w:left="6828" w:hanging="360"/>
      </w:pPr>
      <w:rPr>
        <w:rFonts w:ascii="Wingdings" w:hAnsi="Wingdings" w:hint="default"/>
      </w:rPr>
    </w:lvl>
  </w:abstractNum>
  <w:abstractNum w:abstractNumId="138" w15:restartNumberingAfterBreak="0">
    <w:nsid w:val="3442106E"/>
    <w:multiLevelType w:val="hybridMultilevel"/>
    <w:tmpl w:val="1D4AF95A"/>
    <w:lvl w:ilvl="0" w:tplc="FDA089C4">
      <w:start w:val="1"/>
      <w:numFmt w:val="bullet"/>
      <w:lvlText w:val="-"/>
      <w:lvlJc w:val="left"/>
      <w:pPr>
        <w:ind w:left="720" w:hanging="360"/>
      </w:pPr>
      <w:rPr>
        <w:rFonts w:ascii="Sitka Subheading Semibold" w:hAnsi="Sitka Subheading Semibol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9" w15:restartNumberingAfterBreak="0">
    <w:nsid w:val="3445018A"/>
    <w:multiLevelType w:val="hybridMultilevel"/>
    <w:tmpl w:val="9C305B9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0" w15:restartNumberingAfterBreak="0">
    <w:nsid w:val="345A1E7A"/>
    <w:multiLevelType w:val="hybridMultilevel"/>
    <w:tmpl w:val="ABDCB7F0"/>
    <w:lvl w:ilvl="0" w:tplc="F758AE1C">
      <w:start w:val="1"/>
      <w:numFmt w:val="decimal"/>
      <w:lvlText w:val="%1."/>
      <w:lvlJc w:val="left"/>
      <w:pPr>
        <w:ind w:left="720" w:hanging="360"/>
      </w:pPr>
      <w:rPr>
        <w:b w:val="0"/>
        <w:bCs w:val="0"/>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1" w15:restartNumberingAfterBreak="0">
    <w:nsid w:val="3460073A"/>
    <w:multiLevelType w:val="hybridMultilevel"/>
    <w:tmpl w:val="68DC1F24"/>
    <w:lvl w:ilvl="0" w:tplc="13DC41A2">
      <w:start w:val="1"/>
      <w:numFmt w:val="bullet"/>
      <w:lvlText w:val=""/>
      <w:lvlJc w:val="left"/>
      <w:pPr>
        <w:ind w:left="720" w:hanging="360"/>
      </w:pPr>
      <w:rPr>
        <w:rFonts w:ascii="Wingdings" w:hAnsi="Wingdings" w:hint="default"/>
        <w:w w:val="100"/>
        <w:sz w:val="22"/>
        <w:szCs w:val="22"/>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2" w15:restartNumberingAfterBreak="0">
    <w:nsid w:val="348A61E1"/>
    <w:multiLevelType w:val="hybridMultilevel"/>
    <w:tmpl w:val="EA0086C4"/>
    <w:lvl w:ilvl="0" w:tplc="280C000B">
      <w:start w:val="1"/>
      <w:numFmt w:val="bullet"/>
      <w:lvlText w:val=""/>
      <w:lvlJc w:val="left"/>
      <w:pPr>
        <w:ind w:left="720" w:hanging="360"/>
      </w:pPr>
      <w:rPr>
        <w:rFonts w:ascii="Wingdings" w:hAnsi="Wingdings"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143" w15:restartNumberingAfterBreak="0">
    <w:nsid w:val="3529345B"/>
    <w:multiLevelType w:val="hybridMultilevel"/>
    <w:tmpl w:val="293E7952"/>
    <w:lvl w:ilvl="0" w:tplc="5FDCFC78">
      <w:start w:val="3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4" w15:restartNumberingAfterBreak="0">
    <w:nsid w:val="357E71E6"/>
    <w:multiLevelType w:val="hybridMultilevel"/>
    <w:tmpl w:val="F8184F94"/>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5" w15:restartNumberingAfterBreak="0">
    <w:nsid w:val="35A667CB"/>
    <w:multiLevelType w:val="hybridMultilevel"/>
    <w:tmpl w:val="6BA640EA"/>
    <w:lvl w:ilvl="0" w:tplc="FDA089C4">
      <w:start w:val="1"/>
      <w:numFmt w:val="bullet"/>
      <w:lvlText w:val="-"/>
      <w:lvlJc w:val="left"/>
      <w:pPr>
        <w:ind w:left="1440" w:hanging="360"/>
      </w:pPr>
      <w:rPr>
        <w:rFonts w:ascii="Sitka Subheading Semibold" w:hAnsi="Sitka Subheading Semibold"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6" w15:restartNumberingAfterBreak="0">
    <w:nsid w:val="35D72B2F"/>
    <w:multiLevelType w:val="multilevel"/>
    <w:tmpl w:val="E19E0844"/>
    <w:lvl w:ilvl="0">
      <w:start w:val="1"/>
      <w:numFmt w:val="decimal"/>
      <w:pStyle w:val="Niveau1"/>
      <w:lvlText w:val="%1."/>
      <w:lvlJc w:val="left"/>
      <w:pPr>
        <w:tabs>
          <w:tab w:val="num" w:pos="737"/>
        </w:tabs>
        <w:ind w:left="737" w:hanging="737"/>
      </w:pPr>
      <w:rPr>
        <w:b/>
        <w:i w:val="0"/>
      </w:rPr>
    </w:lvl>
    <w:lvl w:ilvl="1">
      <w:start w:val="1"/>
      <w:numFmt w:val="decimal"/>
      <w:pStyle w:val="Niveau2"/>
      <w:lvlText w:val="%1.%2."/>
      <w:lvlJc w:val="left"/>
      <w:pPr>
        <w:tabs>
          <w:tab w:val="num" w:pos="720"/>
        </w:tabs>
        <w:ind w:left="0" w:firstLine="0"/>
      </w:pPr>
      <w:rPr>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7" w15:restartNumberingAfterBreak="0">
    <w:nsid w:val="35E677E5"/>
    <w:multiLevelType w:val="hybridMultilevel"/>
    <w:tmpl w:val="B4BC050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8" w15:restartNumberingAfterBreak="0">
    <w:nsid w:val="3609416C"/>
    <w:multiLevelType w:val="hybridMultilevel"/>
    <w:tmpl w:val="0D6A0CE2"/>
    <w:lvl w:ilvl="0" w:tplc="46547DCA">
      <w:numFmt w:val="bullet"/>
      <w:lvlText w:val="-"/>
      <w:lvlJc w:val="left"/>
      <w:pPr>
        <w:ind w:left="360" w:hanging="360"/>
      </w:pPr>
      <w:rPr>
        <w:rFonts w:ascii="Arial" w:eastAsia="Times New Roman" w:hAnsi="Arial" w:cs="Arial" w:hint="default"/>
        <w:color w:val="auto"/>
        <w:sz w:val="22"/>
        <w:szCs w:val="2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9" w15:restartNumberingAfterBreak="0">
    <w:nsid w:val="36121CFC"/>
    <w:multiLevelType w:val="hybridMultilevel"/>
    <w:tmpl w:val="9D4051D8"/>
    <w:lvl w:ilvl="0" w:tplc="1A36EF7C">
      <w:start w:val="1"/>
      <w:numFmt w:val="bullet"/>
      <w:lvlText w:val="•"/>
      <w:lvlJc w:val="left"/>
      <w:pPr>
        <w:ind w:left="360" w:hanging="360"/>
      </w:pPr>
      <w:rPr>
        <w:rFonts w:ascii="Arial" w:eastAsia="Arial" w:hAnsi="Aria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0" w15:restartNumberingAfterBreak="0">
    <w:nsid w:val="3636045A"/>
    <w:multiLevelType w:val="hybridMultilevel"/>
    <w:tmpl w:val="493E2072"/>
    <w:lvl w:ilvl="0" w:tplc="E334E61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1" w15:restartNumberingAfterBreak="0">
    <w:nsid w:val="365D4FD3"/>
    <w:multiLevelType w:val="hybridMultilevel"/>
    <w:tmpl w:val="1818A6E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2" w15:restartNumberingAfterBreak="0">
    <w:nsid w:val="36F213F6"/>
    <w:multiLevelType w:val="hybridMultilevel"/>
    <w:tmpl w:val="0E4E201E"/>
    <w:lvl w:ilvl="0" w:tplc="63D094CE">
      <w:start w:val="1"/>
      <w:numFmt w:val="bullet"/>
      <w:pStyle w:val="csabullet3"/>
      <w:lvlText w:val="-"/>
      <w:lvlJc w:val="left"/>
      <w:pPr>
        <w:ind w:left="720" w:hanging="360"/>
      </w:pPr>
      <w:rPr>
        <w:rFonts w:ascii="Courier New" w:hAnsi="Courier New"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379878D4"/>
    <w:multiLevelType w:val="hybridMultilevel"/>
    <w:tmpl w:val="81DA196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4" w15:restartNumberingAfterBreak="0">
    <w:nsid w:val="37AC70AC"/>
    <w:multiLevelType w:val="hybridMultilevel"/>
    <w:tmpl w:val="B0C2B8A8"/>
    <w:lvl w:ilvl="0" w:tplc="6AE09CCA">
      <w:start w:val="1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5" w15:restartNumberingAfterBreak="0">
    <w:nsid w:val="37AF6328"/>
    <w:multiLevelType w:val="hybridMultilevel"/>
    <w:tmpl w:val="CA6669CA"/>
    <w:lvl w:ilvl="0" w:tplc="CB5656F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6" w15:restartNumberingAfterBreak="0">
    <w:nsid w:val="37E33337"/>
    <w:multiLevelType w:val="hybridMultilevel"/>
    <w:tmpl w:val="EA9C0706"/>
    <w:lvl w:ilvl="0" w:tplc="07AE086A">
      <w:start w:val="1"/>
      <w:numFmt w:val="bullet"/>
      <w:pStyle w:val="SMB3"/>
      <w:lvlText w:val=""/>
      <w:lvlJc w:val="left"/>
      <w:pPr>
        <w:ind w:left="765"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7" w15:restartNumberingAfterBreak="0">
    <w:nsid w:val="380C5322"/>
    <w:multiLevelType w:val="multilevel"/>
    <w:tmpl w:val="A182867E"/>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8" w15:restartNumberingAfterBreak="0">
    <w:nsid w:val="38217FAE"/>
    <w:multiLevelType w:val="hybridMultilevel"/>
    <w:tmpl w:val="CE40063C"/>
    <w:lvl w:ilvl="0" w:tplc="6AE09CCA">
      <w:start w:val="10"/>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9" w15:restartNumberingAfterBreak="0">
    <w:nsid w:val="382D62C3"/>
    <w:multiLevelType w:val="hybridMultilevel"/>
    <w:tmpl w:val="F70E8ED6"/>
    <w:lvl w:ilvl="0" w:tplc="530E90DC">
      <w:numFmt w:val="bullet"/>
      <w:pStyle w:val="Tiret"/>
      <w:lvlText w:val="-"/>
      <w:lvlJc w:val="left"/>
      <w:pPr>
        <w:tabs>
          <w:tab w:val="num" w:pos="502"/>
        </w:tabs>
        <w:ind w:left="502" w:hanging="360"/>
      </w:pPr>
      <w:rPr>
        <w:rFonts w:ascii="Times New Roman" w:eastAsia="Times New Roman" w:hAnsi="Times New Roman" w:cs="Times New Roman" w:hint="default"/>
      </w:rPr>
    </w:lvl>
    <w:lvl w:ilvl="1" w:tplc="040C0003">
      <w:numFmt w:val="bullet"/>
      <w:lvlText w:val=""/>
      <w:lvlJc w:val="left"/>
      <w:pPr>
        <w:tabs>
          <w:tab w:val="num" w:pos="1353"/>
        </w:tabs>
        <w:ind w:left="1353" w:hanging="360"/>
      </w:pPr>
      <w:rPr>
        <w:rFonts w:ascii="Symbol" w:eastAsia="Times New Roman" w:hAnsi="Symbol"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161" w15:restartNumberingAfterBreak="0">
    <w:nsid w:val="3A1D2FA5"/>
    <w:multiLevelType w:val="multilevel"/>
    <w:tmpl w:val="2D767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A8C43B2"/>
    <w:multiLevelType w:val="hybridMultilevel"/>
    <w:tmpl w:val="6680D2B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3" w15:restartNumberingAfterBreak="0">
    <w:nsid w:val="3AC67303"/>
    <w:multiLevelType w:val="hybridMultilevel"/>
    <w:tmpl w:val="16ECC2A2"/>
    <w:lvl w:ilvl="0" w:tplc="C6F8CB50">
      <w:start w:val="1"/>
      <w:numFmt w:val="bullet"/>
      <w:lvlText w:val=""/>
      <w:lvlJc w:val="left"/>
      <w:pPr>
        <w:tabs>
          <w:tab w:val="num" w:pos="360"/>
        </w:tabs>
        <w:ind w:left="360" w:hanging="360"/>
      </w:pPr>
      <w:rPr>
        <w:rFonts w:ascii="Symbol" w:hAnsi="Symbol" w:hint="default"/>
      </w:r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164" w15:restartNumberingAfterBreak="0">
    <w:nsid w:val="3ACA04DA"/>
    <w:multiLevelType w:val="hybridMultilevel"/>
    <w:tmpl w:val="BEF40F7A"/>
    <w:lvl w:ilvl="0" w:tplc="D206B9C6">
      <w:numFmt w:val="bullet"/>
      <w:lvlText w:val="-"/>
      <w:lvlJc w:val="left"/>
      <w:pPr>
        <w:ind w:left="720" w:hanging="3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3AD53CAB"/>
    <w:multiLevelType w:val="hybridMultilevel"/>
    <w:tmpl w:val="4CEA1778"/>
    <w:lvl w:ilvl="0" w:tplc="6AE09CCA">
      <w:start w:val="1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6" w15:restartNumberingAfterBreak="0">
    <w:nsid w:val="3B4910FD"/>
    <w:multiLevelType w:val="hybridMultilevel"/>
    <w:tmpl w:val="FA8A114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7" w15:restartNumberingAfterBreak="0">
    <w:nsid w:val="3BA8648E"/>
    <w:multiLevelType w:val="hybridMultilevel"/>
    <w:tmpl w:val="E2DA40D4"/>
    <w:lvl w:ilvl="0" w:tplc="8E2482F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8" w15:restartNumberingAfterBreak="0">
    <w:nsid w:val="3C071FE4"/>
    <w:multiLevelType w:val="hybridMultilevel"/>
    <w:tmpl w:val="6C847FCE"/>
    <w:lvl w:ilvl="0" w:tplc="530E90DC">
      <w:start w:val="1"/>
      <w:numFmt w:val="bullet"/>
      <w:pStyle w:val="ESIATableaucase"/>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9" w15:restartNumberingAfterBreak="0">
    <w:nsid w:val="3C152536"/>
    <w:multiLevelType w:val="hybridMultilevel"/>
    <w:tmpl w:val="6BA6625E"/>
    <w:lvl w:ilvl="0" w:tplc="040C000D">
      <w:start w:val="1"/>
      <w:numFmt w:val="bullet"/>
      <w:lvlText w:val=""/>
      <w:lvlJc w:val="left"/>
      <w:pPr>
        <w:ind w:left="720" w:hanging="360"/>
      </w:pPr>
      <w:rPr>
        <w:rFonts w:ascii="Wingdings" w:hAnsi="Wingdings" w:hint="default"/>
        <w:b w:val="0"/>
        <w:bCs w:val="0"/>
        <w:i w:val="0"/>
        <w:iCs w:val="0"/>
        <w:w w:val="99"/>
        <w:sz w:val="20"/>
        <w:szCs w:val="20"/>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0" w15:restartNumberingAfterBreak="0">
    <w:nsid w:val="3D744809"/>
    <w:multiLevelType w:val="hybridMultilevel"/>
    <w:tmpl w:val="73249D82"/>
    <w:lvl w:ilvl="0" w:tplc="FD9617FA">
      <w:start w:val="4"/>
      <w:numFmt w:val="bullet"/>
      <w:lvlText w:val="-"/>
      <w:lvlJc w:val="left"/>
      <w:pPr>
        <w:ind w:left="720" w:hanging="360"/>
      </w:pPr>
      <w:rPr>
        <w:rFonts w:ascii="Times New Roman" w:eastAsia="Times New Roman" w:hAnsi="Times New Roman" w:cs="Times New Roman" w:hint="default"/>
        <w:b/>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1" w15:restartNumberingAfterBreak="0">
    <w:nsid w:val="3D941A19"/>
    <w:multiLevelType w:val="hybridMultilevel"/>
    <w:tmpl w:val="BFE41F24"/>
    <w:lvl w:ilvl="0" w:tplc="FFFFFFFF">
      <w:start w:val="1"/>
      <w:numFmt w:val="bullet"/>
      <w:pStyle w:val="pucepoint"/>
      <w:lvlText w:val=""/>
      <w:lvlJc w:val="left"/>
      <w:pPr>
        <w:tabs>
          <w:tab w:val="num" w:pos="360"/>
        </w:tabs>
        <w:ind w:left="360" w:hanging="360"/>
      </w:pPr>
      <w:rPr>
        <w:rFonts w:ascii="Symbol" w:hAnsi="Symbol" w:hint="default"/>
        <w:sz w:val="1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3DB62F10"/>
    <w:multiLevelType w:val="hybridMultilevel"/>
    <w:tmpl w:val="A3742D08"/>
    <w:lvl w:ilvl="0" w:tplc="B226D158">
      <w:start w:val="1"/>
      <w:numFmt w:val="low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3" w15:restartNumberingAfterBreak="0">
    <w:nsid w:val="3DD4221D"/>
    <w:multiLevelType w:val="multilevel"/>
    <w:tmpl w:val="11A42B50"/>
    <w:styleLink w:val="ListBullets"/>
    <w:lvl w:ilvl="0">
      <w:start w:val="1"/>
      <w:numFmt w:val="bullet"/>
      <w:lvlText w:val=""/>
      <w:lvlJc w:val="left"/>
      <w:pPr>
        <w:ind w:left="284" w:hanging="284"/>
      </w:pPr>
      <w:rPr>
        <w:rFonts w:ascii="Wingdings" w:hAnsi="Wingdings" w:hint="default"/>
        <w:color w:val="4F81BD"/>
        <w:sz w:val="14"/>
      </w:rPr>
    </w:lvl>
    <w:lvl w:ilvl="1">
      <w:start w:val="1"/>
      <w:numFmt w:val="bullet"/>
      <w:lvlText w:val=""/>
      <w:lvlJc w:val="left"/>
      <w:pPr>
        <w:ind w:left="568" w:hanging="284"/>
      </w:pPr>
      <w:rPr>
        <w:rFonts w:ascii="Wingdings" w:hAnsi="Wingdings" w:hint="default"/>
        <w:color w:val="4F81BD"/>
        <w:sz w:val="14"/>
      </w:rPr>
    </w:lvl>
    <w:lvl w:ilvl="2">
      <w:start w:val="1"/>
      <w:numFmt w:val="bullet"/>
      <w:lvlText w:val=""/>
      <w:lvlJc w:val="left"/>
      <w:pPr>
        <w:ind w:left="852" w:hanging="284"/>
      </w:pPr>
      <w:rPr>
        <w:rFonts w:ascii="Wingdings" w:hAnsi="Wingdings" w:hint="default"/>
        <w:color w:val="4F81BD"/>
        <w:sz w:val="12"/>
      </w:rPr>
    </w:lvl>
    <w:lvl w:ilvl="3">
      <w:start w:val="1"/>
      <w:numFmt w:val="bullet"/>
      <w:lvlText w:val=""/>
      <w:lvlJc w:val="left"/>
      <w:pPr>
        <w:ind w:left="1136" w:hanging="284"/>
      </w:pPr>
      <w:rPr>
        <w:rFonts w:ascii="Wingdings" w:hAnsi="Wingding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74" w15:restartNumberingAfterBreak="0">
    <w:nsid w:val="3E404B24"/>
    <w:multiLevelType w:val="hybridMultilevel"/>
    <w:tmpl w:val="F40C2676"/>
    <w:lvl w:ilvl="0" w:tplc="24A664D0">
      <w:start w:val="1"/>
      <w:numFmt w:val="lowerRoman"/>
      <w:lvlText w:val="(%1)"/>
      <w:lvlJc w:val="left"/>
      <w:pPr>
        <w:ind w:left="780" w:hanging="72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175" w15:restartNumberingAfterBreak="0">
    <w:nsid w:val="3E493987"/>
    <w:multiLevelType w:val="hybridMultilevel"/>
    <w:tmpl w:val="623C20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6" w15:restartNumberingAfterBreak="0">
    <w:nsid w:val="3E51754D"/>
    <w:multiLevelType w:val="hybridMultilevel"/>
    <w:tmpl w:val="978AFE7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7" w15:restartNumberingAfterBreak="0">
    <w:nsid w:val="3EA21AB9"/>
    <w:multiLevelType w:val="multilevel"/>
    <w:tmpl w:val="A44A5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EC675FF"/>
    <w:multiLevelType w:val="hybridMultilevel"/>
    <w:tmpl w:val="E29634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9" w15:restartNumberingAfterBreak="0">
    <w:nsid w:val="3FA84DA5"/>
    <w:multiLevelType w:val="hybridMultilevel"/>
    <w:tmpl w:val="021C4F12"/>
    <w:lvl w:ilvl="0" w:tplc="7C183582">
      <w:numFmt w:val="bullet"/>
      <w:lvlText w:val="-"/>
      <w:lvlJc w:val="left"/>
      <w:pPr>
        <w:ind w:left="720" w:hanging="360"/>
      </w:pPr>
      <w:rPr>
        <w:rFonts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0" w15:restartNumberingAfterBreak="0">
    <w:nsid w:val="400F330C"/>
    <w:multiLevelType w:val="hybridMultilevel"/>
    <w:tmpl w:val="8B801FBA"/>
    <w:lvl w:ilvl="0" w:tplc="E87207B8">
      <w:start w:val="13"/>
      <w:numFmt w:val="bullet"/>
      <w:lvlText w:val="-"/>
      <w:lvlJc w:val="left"/>
      <w:pPr>
        <w:ind w:left="360" w:hanging="360"/>
      </w:pPr>
      <w:rPr>
        <w:rFonts w:ascii="Times New Roman" w:eastAsia="Calibri" w:hAnsi="Times New Roman" w:cs="Times New Roman" w:hint="default"/>
      </w:rPr>
    </w:lvl>
    <w:lvl w:ilvl="1" w:tplc="040C0003" w:tentative="1">
      <w:start w:val="1"/>
      <w:numFmt w:val="bullet"/>
      <w:lvlText w:val="o"/>
      <w:lvlJc w:val="left"/>
      <w:pPr>
        <w:ind w:left="1080" w:hanging="360"/>
      </w:pPr>
      <w:rPr>
        <w:rFonts w:ascii="Courier New" w:hAnsi="Courier New" w:cs="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Symbol"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Symbol" w:hint="default"/>
      </w:rPr>
    </w:lvl>
    <w:lvl w:ilvl="8" w:tplc="040C0005" w:tentative="1">
      <w:start w:val="1"/>
      <w:numFmt w:val="bullet"/>
      <w:lvlText w:val=""/>
      <w:lvlJc w:val="left"/>
      <w:pPr>
        <w:ind w:left="6120" w:hanging="360"/>
      </w:pPr>
      <w:rPr>
        <w:rFonts w:ascii="Wingdings" w:hAnsi="Wingdings" w:hint="default"/>
      </w:rPr>
    </w:lvl>
  </w:abstractNum>
  <w:abstractNum w:abstractNumId="181" w15:restartNumberingAfterBreak="0">
    <w:nsid w:val="404D0DD2"/>
    <w:multiLevelType w:val="hybridMultilevel"/>
    <w:tmpl w:val="E258D91A"/>
    <w:lvl w:ilvl="0" w:tplc="E334E61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2" w15:restartNumberingAfterBreak="0">
    <w:nsid w:val="407E5666"/>
    <w:multiLevelType w:val="hybridMultilevel"/>
    <w:tmpl w:val="B9D0F6A0"/>
    <w:lvl w:ilvl="0" w:tplc="DFA8B15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3" w15:restartNumberingAfterBreak="0">
    <w:nsid w:val="40AF365F"/>
    <w:multiLevelType w:val="hybridMultilevel"/>
    <w:tmpl w:val="3F620970"/>
    <w:lvl w:ilvl="0" w:tplc="280C000D">
      <w:start w:val="1"/>
      <w:numFmt w:val="bullet"/>
      <w:lvlText w:val=""/>
      <w:lvlJc w:val="left"/>
      <w:pPr>
        <w:ind w:left="720" w:hanging="360"/>
      </w:pPr>
      <w:rPr>
        <w:rFonts w:ascii="Wingdings" w:hAnsi="Wingdings" w:hint="default"/>
      </w:rPr>
    </w:lvl>
    <w:lvl w:ilvl="1" w:tplc="280C0003">
      <w:start w:val="1"/>
      <w:numFmt w:val="bullet"/>
      <w:lvlText w:val="o"/>
      <w:lvlJc w:val="left"/>
      <w:pPr>
        <w:ind w:left="1440" w:hanging="360"/>
      </w:pPr>
      <w:rPr>
        <w:rFonts w:ascii="Courier New" w:hAnsi="Courier New" w:cs="Courier New" w:hint="default"/>
      </w:rPr>
    </w:lvl>
    <w:lvl w:ilvl="2" w:tplc="280C0005">
      <w:start w:val="1"/>
      <w:numFmt w:val="bullet"/>
      <w:lvlText w:val=""/>
      <w:lvlJc w:val="left"/>
      <w:pPr>
        <w:ind w:left="2160" w:hanging="360"/>
      </w:pPr>
      <w:rPr>
        <w:rFonts w:ascii="Wingdings" w:hAnsi="Wingdings" w:hint="default"/>
      </w:rPr>
    </w:lvl>
    <w:lvl w:ilvl="3" w:tplc="280C0001">
      <w:start w:val="1"/>
      <w:numFmt w:val="bullet"/>
      <w:lvlText w:val=""/>
      <w:lvlJc w:val="left"/>
      <w:pPr>
        <w:ind w:left="2880" w:hanging="360"/>
      </w:pPr>
      <w:rPr>
        <w:rFonts w:ascii="Symbol" w:hAnsi="Symbol" w:hint="default"/>
      </w:rPr>
    </w:lvl>
    <w:lvl w:ilvl="4" w:tplc="280C0003">
      <w:start w:val="1"/>
      <w:numFmt w:val="bullet"/>
      <w:lvlText w:val="o"/>
      <w:lvlJc w:val="left"/>
      <w:pPr>
        <w:ind w:left="3600" w:hanging="360"/>
      </w:pPr>
      <w:rPr>
        <w:rFonts w:ascii="Courier New" w:hAnsi="Courier New" w:cs="Courier New" w:hint="default"/>
      </w:rPr>
    </w:lvl>
    <w:lvl w:ilvl="5" w:tplc="280C0005">
      <w:start w:val="1"/>
      <w:numFmt w:val="bullet"/>
      <w:lvlText w:val=""/>
      <w:lvlJc w:val="left"/>
      <w:pPr>
        <w:ind w:left="4320" w:hanging="360"/>
      </w:pPr>
      <w:rPr>
        <w:rFonts w:ascii="Wingdings" w:hAnsi="Wingdings" w:hint="default"/>
      </w:rPr>
    </w:lvl>
    <w:lvl w:ilvl="6" w:tplc="280C0001">
      <w:start w:val="1"/>
      <w:numFmt w:val="bullet"/>
      <w:lvlText w:val=""/>
      <w:lvlJc w:val="left"/>
      <w:pPr>
        <w:ind w:left="5040" w:hanging="360"/>
      </w:pPr>
      <w:rPr>
        <w:rFonts w:ascii="Symbol" w:hAnsi="Symbol" w:hint="default"/>
      </w:rPr>
    </w:lvl>
    <w:lvl w:ilvl="7" w:tplc="280C0003">
      <w:start w:val="1"/>
      <w:numFmt w:val="bullet"/>
      <w:lvlText w:val="o"/>
      <w:lvlJc w:val="left"/>
      <w:pPr>
        <w:ind w:left="5760" w:hanging="360"/>
      </w:pPr>
      <w:rPr>
        <w:rFonts w:ascii="Courier New" w:hAnsi="Courier New" w:cs="Courier New" w:hint="default"/>
      </w:rPr>
    </w:lvl>
    <w:lvl w:ilvl="8" w:tplc="280C0005">
      <w:start w:val="1"/>
      <w:numFmt w:val="bullet"/>
      <w:lvlText w:val=""/>
      <w:lvlJc w:val="left"/>
      <w:pPr>
        <w:ind w:left="6480" w:hanging="360"/>
      </w:pPr>
      <w:rPr>
        <w:rFonts w:ascii="Wingdings" w:hAnsi="Wingdings" w:hint="default"/>
      </w:rPr>
    </w:lvl>
  </w:abstractNum>
  <w:abstractNum w:abstractNumId="184" w15:restartNumberingAfterBreak="0">
    <w:nsid w:val="40BD573D"/>
    <w:multiLevelType w:val="hybridMultilevel"/>
    <w:tmpl w:val="8BB2A868"/>
    <w:lvl w:ilvl="0" w:tplc="44643D4A">
      <w:start w:val="1"/>
      <w:numFmt w:val="bullet"/>
      <w:pStyle w:val="Pucebleuegras"/>
      <w:lvlText w:val=""/>
      <w:lvlJc w:val="left"/>
      <w:pPr>
        <w:ind w:left="1920" w:hanging="360"/>
      </w:pPr>
      <w:rPr>
        <w:rFonts w:ascii="Wingdings" w:hAnsi="Wingdings" w:hint="default"/>
        <w:b/>
        <w:i w:val="0"/>
        <w:caps w:val="0"/>
        <w:strike w:val="0"/>
        <w:dstrike w:val="0"/>
        <w:vanish w:val="0"/>
        <w:color w:val="ED7D31"/>
        <w:w w:val="100"/>
        <w:position w:val="0"/>
        <w:sz w:val="16"/>
        <w:szCs w:val="16"/>
        <w:u w:val="none"/>
        <w:vertAlign w:val="baseline"/>
      </w:rPr>
    </w:lvl>
    <w:lvl w:ilvl="1" w:tplc="040C0003" w:tentative="1">
      <w:start w:val="1"/>
      <w:numFmt w:val="bullet"/>
      <w:lvlText w:val="o"/>
      <w:lvlJc w:val="left"/>
      <w:pPr>
        <w:ind w:left="-5439" w:hanging="360"/>
      </w:pPr>
      <w:rPr>
        <w:rFonts w:ascii="Courier New" w:hAnsi="Courier New" w:cs="Courier New" w:hint="default"/>
      </w:rPr>
    </w:lvl>
    <w:lvl w:ilvl="2" w:tplc="040C0005" w:tentative="1">
      <w:start w:val="1"/>
      <w:numFmt w:val="bullet"/>
      <w:lvlText w:val=""/>
      <w:lvlJc w:val="left"/>
      <w:pPr>
        <w:ind w:left="-4719" w:hanging="360"/>
      </w:pPr>
      <w:rPr>
        <w:rFonts w:ascii="Wingdings" w:hAnsi="Wingdings" w:hint="default"/>
      </w:rPr>
    </w:lvl>
    <w:lvl w:ilvl="3" w:tplc="040C0001" w:tentative="1">
      <w:start w:val="1"/>
      <w:numFmt w:val="bullet"/>
      <w:lvlText w:val=""/>
      <w:lvlJc w:val="left"/>
      <w:pPr>
        <w:ind w:left="-3999" w:hanging="360"/>
      </w:pPr>
      <w:rPr>
        <w:rFonts w:ascii="Symbol" w:hAnsi="Symbol" w:hint="default"/>
      </w:rPr>
    </w:lvl>
    <w:lvl w:ilvl="4" w:tplc="040C0003" w:tentative="1">
      <w:start w:val="1"/>
      <w:numFmt w:val="bullet"/>
      <w:lvlText w:val="o"/>
      <w:lvlJc w:val="left"/>
      <w:pPr>
        <w:ind w:left="-3279" w:hanging="360"/>
      </w:pPr>
      <w:rPr>
        <w:rFonts w:ascii="Courier New" w:hAnsi="Courier New" w:cs="Courier New" w:hint="default"/>
      </w:rPr>
    </w:lvl>
    <w:lvl w:ilvl="5" w:tplc="040C0005" w:tentative="1">
      <w:start w:val="1"/>
      <w:numFmt w:val="bullet"/>
      <w:lvlText w:val=""/>
      <w:lvlJc w:val="left"/>
      <w:pPr>
        <w:ind w:left="-2559" w:hanging="360"/>
      </w:pPr>
      <w:rPr>
        <w:rFonts w:ascii="Wingdings" w:hAnsi="Wingdings" w:hint="default"/>
      </w:rPr>
    </w:lvl>
    <w:lvl w:ilvl="6" w:tplc="040C0001" w:tentative="1">
      <w:start w:val="1"/>
      <w:numFmt w:val="bullet"/>
      <w:lvlText w:val=""/>
      <w:lvlJc w:val="left"/>
      <w:pPr>
        <w:ind w:left="-1839" w:hanging="360"/>
      </w:pPr>
      <w:rPr>
        <w:rFonts w:ascii="Symbol" w:hAnsi="Symbol" w:hint="default"/>
      </w:rPr>
    </w:lvl>
    <w:lvl w:ilvl="7" w:tplc="040C0003" w:tentative="1">
      <w:start w:val="1"/>
      <w:numFmt w:val="bullet"/>
      <w:lvlText w:val="o"/>
      <w:lvlJc w:val="left"/>
      <w:pPr>
        <w:ind w:left="-1119" w:hanging="360"/>
      </w:pPr>
      <w:rPr>
        <w:rFonts w:ascii="Courier New" w:hAnsi="Courier New" w:cs="Courier New" w:hint="default"/>
      </w:rPr>
    </w:lvl>
    <w:lvl w:ilvl="8" w:tplc="040C0005" w:tentative="1">
      <w:start w:val="1"/>
      <w:numFmt w:val="bullet"/>
      <w:lvlText w:val=""/>
      <w:lvlJc w:val="left"/>
      <w:pPr>
        <w:ind w:left="-399" w:hanging="360"/>
      </w:pPr>
      <w:rPr>
        <w:rFonts w:ascii="Wingdings" w:hAnsi="Wingdings" w:hint="default"/>
      </w:rPr>
    </w:lvl>
  </w:abstractNum>
  <w:abstractNum w:abstractNumId="185" w15:restartNumberingAfterBreak="0">
    <w:nsid w:val="41047997"/>
    <w:multiLevelType w:val="hybridMultilevel"/>
    <w:tmpl w:val="7674E0AE"/>
    <w:lvl w:ilvl="0" w:tplc="2520B51C">
      <w:numFmt w:val="bullet"/>
      <w:lvlText w:val=""/>
      <w:lvlJc w:val="left"/>
      <w:pPr>
        <w:ind w:left="720" w:hanging="360"/>
      </w:pPr>
      <w:rPr>
        <w:rFonts w:ascii="Wingdings" w:hAnsi="Wingdings" w:hint="default"/>
        <w:color w:val="auto"/>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186" w15:restartNumberingAfterBreak="0">
    <w:nsid w:val="412F7C6D"/>
    <w:multiLevelType w:val="hybridMultilevel"/>
    <w:tmpl w:val="8C08906E"/>
    <w:lvl w:ilvl="0" w:tplc="FFFFFFFF">
      <w:start w:val="1"/>
      <w:numFmt w:val="bullet"/>
      <w:lvlText w:val="-"/>
      <w:lvlJc w:val="left"/>
      <w:pPr>
        <w:ind w:left="360" w:hanging="360"/>
      </w:pPr>
      <w:rPr>
        <w:rFonts w:ascii="Arial" w:eastAsia="Times New Roman" w:hAnsi="Arial" w:cs="Arial" w:hint="default"/>
      </w:rPr>
    </w:lvl>
    <w:lvl w:ilvl="1" w:tplc="49386C6A">
      <w:numFmt w:val="bullet"/>
      <w:lvlText w:val="•"/>
      <w:lvlJc w:val="left"/>
      <w:pPr>
        <w:ind w:left="1080" w:hanging="360"/>
      </w:pPr>
      <w:rPr>
        <w:rFonts w:ascii="Times New Roman" w:eastAsia="Calibri" w:hAnsi="Times New Roman" w:cs="Times New Roman"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7" w15:restartNumberingAfterBreak="0">
    <w:nsid w:val="41B46585"/>
    <w:multiLevelType w:val="hybridMultilevel"/>
    <w:tmpl w:val="C2F01178"/>
    <w:lvl w:ilvl="0" w:tplc="6AE09CCA">
      <w:start w:val="10"/>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8" w15:restartNumberingAfterBreak="0">
    <w:nsid w:val="41F479A4"/>
    <w:multiLevelType w:val="hybridMultilevel"/>
    <w:tmpl w:val="60A883DE"/>
    <w:lvl w:ilvl="0" w:tplc="040C000D">
      <w:start w:val="1"/>
      <w:numFmt w:val="bullet"/>
      <w:lvlText w:val=""/>
      <w:lvlJc w:val="left"/>
      <w:pPr>
        <w:ind w:left="720" w:hanging="360"/>
      </w:pPr>
      <w:rPr>
        <w:rFonts w:ascii="Wingdings" w:hAnsi="Wingdings" w:hint="default"/>
        <w:b w:val="0"/>
        <w:bCs w:val="0"/>
        <w:i w:val="0"/>
        <w:iCs w:val="0"/>
        <w:w w:val="99"/>
        <w:sz w:val="20"/>
        <w:szCs w:val="20"/>
        <w:lang w:val="fr-FR" w:eastAsia="en-US" w:bidi="ar-SA"/>
      </w:rPr>
    </w:lvl>
    <w:lvl w:ilvl="1" w:tplc="FFFFFFFF">
      <w:start w:val="1"/>
      <w:numFmt w:val="bullet"/>
      <w:lvlText w:val=""/>
      <w:lvlJc w:val="left"/>
      <w:pPr>
        <w:ind w:left="720" w:hanging="360"/>
      </w:pPr>
      <w:rPr>
        <w:rFonts w:ascii="Wingdings" w:hAnsi="Wingdings" w:hint="default"/>
      </w:rPr>
    </w:lvl>
    <w:lvl w:ilvl="2" w:tplc="FFFFFFFF">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9" w15:restartNumberingAfterBreak="0">
    <w:nsid w:val="41FC28E3"/>
    <w:multiLevelType w:val="hybridMultilevel"/>
    <w:tmpl w:val="A0F42670"/>
    <w:lvl w:ilvl="0" w:tplc="E334E61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0" w15:restartNumberingAfterBreak="0">
    <w:nsid w:val="4267231D"/>
    <w:multiLevelType w:val="hybridMultilevel"/>
    <w:tmpl w:val="6E22A3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1" w15:restartNumberingAfterBreak="0">
    <w:nsid w:val="42C6751C"/>
    <w:multiLevelType w:val="hybridMultilevel"/>
    <w:tmpl w:val="EAF0A144"/>
    <w:lvl w:ilvl="0" w:tplc="4CD4AFA6">
      <w:start w:val="1"/>
      <w:numFmt w:val="lowerLetter"/>
      <w:pStyle w:val="Section1Header2"/>
      <w:lvlText w:val="(%1)"/>
      <w:lvlJc w:val="left"/>
      <w:pPr>
        <w:tabs>
          <w:tab w:val="num" w:pos="576"/>
        </w:tabs>
        <w:ind w:left="1008" w:hanging="432"/>
      </w:pPr>
      <w:rPr>
        <w:rFonts w:hint="default"/>
      </w:rPr>
    </w:lvl>
    <w:lvl w:ilvl="1" w:tplc="302EC25A">
      <w:start w:val="3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2" w15:restartNumberingAfterBreak="0">
    <w:nsid w:val="42EA48A8"/>
    <w:multiLevelType w:val="multilevel"/>
    <w:tmpl w:val="EDB604DE"/>
    <w:styleLink w:val="ListHeadings"/>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93" w15:restartNumberingAfterBreak="0">
    <w:nsid w:val="432C20AE"/>
    <w:multiLevelType w:val="hybridMultilevel"/>
    <w:tmpl w:val="D0BC63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4" w15:restartNumberingAfterBreak="0">
    <w:nsid w:val="43414C31"/>
    <w:multiLevelType w:val="hybridMultilevel"/>
    <w:tmpl w:val="B6EE76D0"/>
    <w:lvl w:ilvl="0" w:tplc="040C000D">
      <w:start w:val="1"/>
      <w:numFmt w:val="bullet"/>
      <w:lvlText w:val=""/>
      <w:lvlJc w:val="left"/>
      <w:pPr>
        <w:ind w:left="1018" w:hanging="360"/>
      </w:pPr>
      <w:rPr>
        <w:rFonts w:ascii="Wingdings" w:hAnsi="Wingdings" w:hint="default"/>
        <w:b w:val="0"/>
        <w:bCs w:val="0"/>
        <w:i w:val="0"/>
        <w:iCs w:val="0"/>
        <w:w w:val="99"/>
        <w:sz w:val="20"/>
        <w:szCs w:val="20"/>
        <w:lang w:val="fr-FR" w:eastAsia="en-US" w:bidi="ar-SA"/>
      </w:rPr>
    </w:lvl>
    <w:lvl w:ilvl="1" w:tplc="FFFFFFFF" w:tentative="1">
      <w:start w:val="1"/>
      <w:numFmt w:val="bullet"/>
      <w:lvlText w:val="o"/>
      <w:lvlJc w:val="left"/>
      <w:pPr>
        <w:ind w:left="1738" w:hanging="360"/>
      </w:pPr>
      <w:rPr>
        <w:rFonts w:ascii="Courier New" w:hAnsi="Courier New" w:cs="Courier New" w:hint="default"/>
      </w:rPr>
    </w:lvl>
    <w:lvl w:ilvl="2" w:tplc="FFFFFFFF" w:tentative="1">
      <w:start w:val="1"/>
      <w:numFmt w:val="bullet"/>
      <w:lvlText w:val=""/>
      <w:lvlJc w:val="left"/>
      <w:pPr>
        <w:ind w:left="2458" w:hanging="360"/>
      </w:pPr>
      <w:rPr>
        <w:rFonts w:ascii="Wingdings" w:hAnsi="Wingdings" w:hint="default"/>
      </w:rPr>
    </w:lvl>
    <w:lvl w:ilvl="3" w:tplc="FFFFFFFF" w:tentative="1">
      <w:start w:val="1"/>
      <w:numFmt w:val="bullet"/>
      <w:lvlText w:val=""/>
      <w:lvlJc w:val="left"/>
      <w:pPr>
        <w:ind w:left="3178" w:hanging="360"/>
      </w:pPr>
      <w:rPr>
        <w:rFonts w:ascii="Symbol" w:hAnsi="Symbol" w:hint="default"/>
      </w:rPr>
    </w:lvl>
    <w:lvl w:ilvl="4" w:tplc="FFFFFFFF" w:tentative="1">
      <w:start w:val="1"/>
      <w:numFmt w:val="bullet"/>
      <w:lvlText w:val="o"/>
      <w:lvlJc w:val="left"/>
      <w:pPr>
        <w:ind w:left="3898" w:hanging="360"/>
      </w:pPr>
      <w:rPr>
        <w:rFonts w:ascii="Courier New" w:hAnsi="Courier New" w:cs="Courier New" w:hint="default"/>
      </w:rPr>
    </w:lvl>
    <w:lvl w:ilvl="5" w:tplc="FFFFFFFF" w:tentative="1">
      <w:start w:val="1"/>
      <w:numFmt w:val="bullet"/>
      <w:lvlText w:val=""/>
      <w:lvlJc w:val="left"/>
      <w:pPr>
        <w:ind w:left="4618" w:hanging="360"/>
      </w:pPr>
      <w:rPr>
        <w:rFonts w:ascii="Wingdings" w:hAnsi="Wingdings" w:hint="default"/>
      </w:rPr>
    </w:lvl>
    <w:lvl w:ilvl="6" w:tplc="FFFFFFFF" w:tentative="1">
      <w:start w:val="1"/>
      <w:numFmt w:val="bullet"/>
      <w:lvlText w:val=""/>
      <w:lvlJc w:val="left"/>
      <w:pPr>
        <w:ind w:left="5338" w:hanging="360"/>
      </w:pPr>
      <w:rPr>
        <w:rFonts w:ascii="Symbol" w:hAnsi="Symbol" w:hint="default"/>
      </w:rPr>
    </w:lvl>
    <w:lvl w:ilvl="7" w:tplc="FFFFFFFF" w:tentative="1">
      <w:start w:val="1"/>
      <w:numFmt w:val="bullet"/>
      <w:lvlText w:val="o"/>
      <w:lvlJc w:val="left"/>
      <w:pPr>
        <w:ind w:left="6058" w:hanging="360"/>
      </w:pPr>
      <w:rPr>
        <w:rFonts w:ascii="Courier New" w:hAnsi="Courier New" w:cs="Courier New" w:hint="default"/>
      </w:rPr>
    </w:lvl>
    <w:lvl w:ilvl="8" w:tplc="FFFFFFFF" w:tentative="1">
      <w:start w:val="1"/>
      <w:numFmt w:val="bullet"/>
      <w:lvlText w:val=""/>
      <w:lvlJc w:val="left"/>
      <w:pPr>
        <w:ind w:left="6778" w:hanging="360"/>
      </w:pPr>
      <w:rPr>
        <w:rFonts w:ascii="Wingdings" w:hAnsi="Wingdings" w:hint="default"/>
      </w:rPr>
    </w:lvl>
  </w:abstractNum>
  <w:abstractNum w:abstractNumId="195" w15:restartNumberingAfterBreak="0">
    <w:nsid w:val="4397431A"/>
    <w:multiLevelType w:val="hybridMultilevel"/>
    <w:tmpl w:val="F6A81AEE"/>
    <w:lvl w:ilvl="0" w:tplc="040C0005">
      <w:start w:val="4"/>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6" w15:restartNumberingAfterBreak="0">
    <w:nsid w:val="43BB2D12"/>
    <w:multiLevelType w:val="multilevel"/>
    <w:tmpl w:val="5C500776"/>
    <w:lvl w:ilvl="0">
      <w:start w:val="2"/>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7" w15:restartNumberingAfterBreak="0">
    <w:nsid w:val="43C34FA6"/>
    <w:multiLevelType w:val="multilevel"/>
    <w:tmpl w:val="41141704"/>
    <w:lvl w:ilvl="0">
      <w:start w:val="1"/>
      <w:numFmt w:val="decimal"/>
      <w:pStyle w:val="Header1-Clauses"/>
      <w:lvlText w:val="%1."/>
      <w:lvlJc w:val="left"/>
      <w:pPr>
        <w:ind w:left="360" w:hanging="360"/>
      </w:pPr>
      <w:rPr>
        <w:rFonts w:hint="default"/>
      </w:rPr>
    </w:lvl>
    <w:lvl w:ilvl="1">
      <w:start w:val="1"/>
      <w:numFmt w:val="decimal"/>
      <w:pStyle w:val="Header1-Clauses"/>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8" w15:restartNumberingAfterBreak="0">
    <w:nsid w:val="44147398"/>
    <w:multiLevelType w:val="hybridMultilevel"/>
    <w:tmpl w:val="8C785F1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9" w15:restartNumberingAfterBreak="0">
    <w:nsid w:val="44BF1A1A"/>
    <w:multiLevelType w:val="hybridMultilevel"/>
    <w:tmpl w:val="2662D776"/>
    <w:lvl w:ilvl="0" w:tplc="42AC2A1C">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0" w15:restartNumberingAfterBreak="0">
    <w:nsid w:val="45A16F1C"/>
    <w:multiLevelType w:val="hybridMultilevel"/>
    <w:tmpl w:val="BBE0FBB8"/>
    <w:lvl w:ilvl="0" w:tplc="E334E61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1" w15:restartNumberingAfterBreak="0">
    <w:nsid w:val="45FC23C7"/>
    <w:multiLevelType w:val="hybridMultilevel"/>
    <w:tmpl w:val="3EE8BB4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2" w15:restartNumberingAfterBreak="0">
    <w:nsid w:val="46A56CDF"/>
    <w:multiLevelType w:val="hybridMultilevel"/>
    <w:tmpl w:val="F6688B66"/>
    <w:lvl w:ilvl="0" w:tplc="6AE09CCA">
      <w:start w:val="1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3" w15:restartNumberingAfterBreak="0">
    <w:nsid w:val="46B41A6D"/>
    <w:multiLevelType w:val="hybridMultilevel"/>
    <w:tmpl w:val="EBEC7016"/>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204" w15:restartNumberingAfterBreak="0">
    <w:nsid w:val="46B551EB"/>
    <w:multiLevelType w:val="hybridMultilevel"/>
    <w:tmpl w:val="E1724F04"/>
    <w:lvl w:ilvl="0" w:tplc="E334E61A">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5" w15:restartNumberingAfterBreak="0">
    <w:nsid w:val="46DB78F4"/>
    <w:multiLevelType w:val="hybridMultilevel"/>
    <w:tmpl w:val="E8CC5E10"/>
    <w:lvl w:ilvl="0" w:tplc="040C000D">
      <w:start w:val="1"/>
      <w:numFmt w:val="bullet"/>
      <w:lvlText w:val=""/>
      <w:lvlJc w:val="left"/>
      <w:pPr>
        <w:ind w:left="720" w:hanging="360"/>
      </w:pPr>
      <w:rPr>
        <w:rFonts w:ascii="Wingdings" w:hAnsi="Wingdings" w:hint="default"/>
        <w:b w:val="0"/>
        <w:bCs w:val="0"/>
        <w:i w:val="0"/>
        <w:iCs w:val="0"/>
        <w:w w:val="99"/>
        <w:sz w:val="20"/>
        <w:szCs w:val="20"/>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6" w15:restartNumberingAfterBreak="0">
    <w:nsid w:val="478161A0"/>
    <w:multiLevelType w:val="hybridMultilevel"/>
    <w:tmpl w:val="77687610"/>
    <w:lvl w:ilvl="0" w:tplc="DAAA378C">
      <w:start w:val="1"/>
      <w:numFmt w:val="lowerRoman"/>
      <w:lvlText w:val="(%1)"/>
      <w:lvlJc w:val="left"/>
      <w:pPr>
        <w:ind w:left="780" w:hanging="72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207" w15:restartNumberingAfterBreak="0">
    <w:nsid w:val="47BA7DCE"/>
    <w:multiLevelType w:val="hybridMultilevel"/>
    <w:tmpl w:val="B39CD8FC"/>
    <w:lvl w:ilvl="0" w:tplc="A1D28F70">
      <w:start w:val="1"/>
      <w:numFmt w:val="lowerLetter"/>
      <w:pStyle w:val="SimpleLista"/>
      <w:lvlText w:val="(%1)"/>
      <w:lvlJc w:val="left"/>
      <w:pPr>
        <w:tabs>
          <w:tab w:val="num" w:pos="1080"/>
        </w:tabs>
        <w:ind w:left="1080" w:hanging="360"/>
      </w:pPr>
      <w:rPr>
        <w:rFonts w:hint="default"/>
      </w:rPr>
    </w:lvl>
    <w:lvl w:ilvl="1" w:tplc="569614E6">
      <w:start w:val="1"/>
      <w:numFmt w:val="lowerLetter"/>
      <w:lvlText w:val="%2."/>
      <w:lvlJc w:val="left"/>
      <w:pPr>
        <w:tabs>
          <w:tab w:val="num" w:pos="1440"/>
        </w:tabs>
        <w:ind w:left="1440" w:hanging="360"/>
      </w:pPr>
    </w:lvl>
    <w:lvl w:ilvl="2" w:tplc="31AE45B0" w:tentative="1">
      <w:start w:val="1"/>
      <w:numFmt w:val="lowerRoman"/>
      <w:lvlText w:val="%3."/>
      <w:lvlJc w:val="right"/>
      <w:pPr>
        <w:tabs>
          <w:tab w:val="num" w:pos="2160"/>
        </w:tabs>
        <w:ind w:left="2160" w:hanging="180"/>
      </w:pPr>
    </w:lvl>
    <w:lvl w:ilvl="3" w:tplc="D82A8524" w:tentative="1">
      <w:start w:val="1"/>
      <w:numFmt w:val="decimal"/>
      <w:lvlText w:val="%4."/>
      <w:lvlJc w:val="left"/>
      <w:pPr>
        <w:tabs>
          <w:tab w:val="num" w:pos="2880"/>
        </w:tabs>
        <w:ind w:left="2880" w:hanging="360"/>
      </w:pPr>
    </w:lvl>
    <w:lvl w:ilvl="4" w:tplc="2864CDA4" w:tentative="1">
      <w:start w:val="1"/>
      <w:numFmt w:val="lowerLetter"/>
      <w:lvlText w:val="%5."/>
      <w:lvlJc w:val="left"/>
      <w:pPr>
        <w:tabs>
          <w:tab w:val="num" w:pos="3600"/>
        </w:tabs>
        <w:ind w:left="3600" w:hanging="360"/>
      </w:pPr>
    </w:lvl>
    <w:lvl w:ilvl="5" w:tplc="8A627348" w:tentative="1">
      <w:start w:val="1"/>
      <w:numFmt w:val="lowerRoman"/>
      <w:lvlText w:val="%6."/>
      <w:lvlJc w:val="right"/>
      <w:pPr>
        <w:tabs>
          <w:tab w:val="num" w:pos="4320"/>
        </w:tabs>
        <w:ind w:left="4320" w:hanging="180"/>
      </w:pPr>
    </w:lvl>
    <w:lvl w:ilvl="6" w:tplc="0164C702" w:tentative="1">
      <w:start w:val="1"/>
      <w:numFmt w:val="decimal"/>
      <w:lvlText w:val="%7."/>
      <w:lvlJc w:val="left"/>
      <w:pPr>
        <w:tabs>
          <w:tab w:val="num" w:pos="5040"/>
        </w:tabs>
        <w:ind w:left="5040" w:hanging="360"/>
      </w:pPr>
    </w:lvl>
    <w:lvl w:ilvl="7" w:tplc="52A62E9A" w:tentative="1">
      <w:start w:val="1"/>
      <w:numFmt w:val="lowerLetter"/>
      <w:lvlText w:val="%8."/>
      <w:lvlJc w:val="left"/>
      <w:pPr>
        <w:tabs>
          <w:tab w:val="num" w:pos="5760"/>
        </w:tabs>
        <w:ind w:left="5760" w:hanging="360"/>
      </w:pPr>
    </w:lvl>
    <w:lvl w:ilvl="8" w:tplc="2692328E" w:tentative="1">
      <w:start w:val="1"/>
      <w:numFmt w:val="lowerRoman"/>
      <w:lvlText w:val="%9."/>
      <w:lvlJc w:val="right"/>
      <w:pPr>
        <w:tabs>
          <w:tab w:val="num" w:pos="6480"/>
        </w:tabs>
        <w:ind w:left="6480" w:hanging="180"/>
      </w:pPr>
    </w:lvl>
  </w:abstractNum>
  <w:abstractNum w:abstractNumId="208" w15:restartNumberingAfterBreak="0">
    <w:nsid w:val="47D90C4C"/>
    <w:multiLevelType w:val="hybridMultilevel"/>
    <w:tmpl w:val="63BECF6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9" w15:restartNumberingAfterBreak="0">
    <w:nsid w:val="48053E23"/>
    <w:multiLevelType w:val="hybridMultilevel"/>
    <w:tmpl w:val="4A16BDE0"/>
    <w:lvl w:ilvl="0" w:tplc="AE6C0A26">
      <w:start w:val="4"/>
      <w:numFmt w:val="bullet"/>
      <w:lvlText w:val=""/>
      <w:lvlJc w:val="left"/>
      <w:pPr>
        <w:ind w:left="720" w:hanging="360"/>
      </w:pPr>
      <w:rPr>
        <w:rFonts w:ascii="Symbol" w:eastAsia="Times New Roman" w:hAnsi="Symbol" w:hint="default"/>
      </w:rPr>
    </w:lvl>
    <w:lvl w:ilvl="1" w:tplc="C22E0462" w:tentative="1">
      <w:start w:val="1"/>
      <w:numFmt w:val="bullet"/>
      <w:lvlText w:val="o"/>
      <w:lvlJc w:val="left"/>
      <w:pPr>
        <w:ind w:left="1440" w:hanging="360"/>
      </w:pPr>
      <w:rPr>
        <w:rFonts w:ascii="Courier New" w:hAnsi="Courier New" w:hint="default"/>
      </w:rPr>
    </w:lvl>
    <w:lvl w:ilvl="2" w:tplc="80BAEF7C" w:tentative="1">
      <w:start w:val="1"/>
      <w:numFmt w:val="bullet"/>
      <w:lvlText w:val=""/>
      <w:lvlJc w:val="left"/>
      <w:pPr>
        <w:ind w:left="2160" w:hanging="360"/>
      </w:pPr>
      <w:rPr>
        <w:rFonts w:ascii="Wingdings" w:hAnsi="Wingdings" w:hint="default"/>
      </w:rPr>
    </w:lvl>
    <w:lvl w:ilvl="3" w:tplc="241484A4" w:tentative="1">
      <w:start w:val="1"/>
      <w:numFmt w:val="bullet"/>
      <w:lvlText w:val=""/>
      <w:lvlJc w:val="left"/>
      <w:pPr>
        <w:ind w:left="2880" w:hanging="360"/>
      </w:pPr>
      <w:rPr>
        <w:rFonts w:ascii="Symbol" w:hAnsi="Symbol" w:hint="default"/>
      </w:rPr>
    </w:lvl>
    <w:lvl w:ilvl="4" w:tplc="2A5C916C" w:tentative="1">
      <w:start w:val="1"/>
      <w:numFmt w:val="bullet"/>
      <w:lvlText w:val="o"/>
      <w:lvlJc w:val="left"/>
      <w:pPr>
        <w:ind w:left="3600" w:hanging="360"/>
      </w:pPr>
      <w:rPr>
        <w:rFonts w:ascii="Courier New" w:hAnsi="Courier New" w:hint="default"/>
      </w:rPr>
    </w:lvl>
    <w:lvl w:ilvl="5" w:tplc="683AE312" w:tentative="1">
      <w:start w:val="1"/>
      <w:numFmt w:val="bullet"/>
      <w:lvlText w:val=""/>
      <w:lvlJc w:val="left"/>
      <w:pPr>
        <w:ind w:left="4320" w:hanging="360"/>
      </w:pPr>
      <w:rPr>
        <w:rFonts w:ascii="Wingdings" w:hAnsi="Wingdings" w:hint="default"/>
      </w:rPr>
    </w:lvl>
    <w:lvl w:ilvl="6" w:tplc="BDD400BA" w:tentative="1">
      <w:start w:val="1"/>
      <w:numFmt w:val="bullet"/>
      <w:lvlText w:val=""/>
      <w:lvlJc w:val="left"/>
      <w:pPr>
        <w:ind w:left="5040" w:hanging="360"/>
      </w:pPr>
      <w:rPr>
        <w:rFonts w:ascii="Symbol" w:hAnsi="Symbol" w:hint="default"/>
      </w:rPr>
    </w:lvl>
    <w:lvl w:ilvl="7" w:tplc="19F06DE4" w:tentative="1">
      <w:start w:val="1"/>
      <w:numFmt w:val="bullet"/>
      <w:lvlText w:val="o"/>
      <w:lvlJc w:val="left"/>
      <w:pPr>
        <w:ind w:left="5760" w:hanging="360"/>
      </w:pPr>
      <w:rPr>
        <w:rFonts w:ascii="Courier New" w:hAnsi="Courier New" w:hint="default"/>
      </w:rPr>
    </w:lvl>
    <w:lvl w:ilvl="8" w:tplc="3C2CF238" w:tentative="1">
      <w:start w:val="1"/>
      <w:numFmt w:val="bullet"/>
      <w:lvlText w:val=""/>
      <w:lvlJc w:val="left"/>
      <w:pPr>
        <w:ind w:left="6480" w:hanging="360"/>
      </w:pPr>
      <w:rPr>
        <w:rFonts w:ascii="Wingdings" w:hAnsi="Wingdings" w:hint="default"/>
      </w:rPr>
    </w:lvl>
  </w:abstractNum>
  <w:abstractNum w:abstractNumId="210" w15:restartNumberingAfterBreak="0">
    <w:nsid w:val="48411A65"/>
    <w:multiLevelType w:val="singleLevel"/>
    <w:tmpl w:val="040C0001"/>
    <w:lvl w:ilvl="0">
      <w:start w:val="1"/>
      <w:numFmt w:val="bullet"/>
      <w:pStyle w:val="E0"/>
      <w:lvlText w:val=""/>
      <w:lvlJc w:val="left"/>
      <w:pPr>
        <w:tabs>
          <w:tab w:val="num" w:pos="360"/>
        </w:tabs>
        <w:ind w:left="360" w:hanging="360"/>
      </w:pPr>
      <w:rPr>
        <w:rFonts w:ascii="Symbol" w:hAnsi="Symbol" w:hint="default"/>
      </w:rPr>
    </w:lvl>
  </w:abstractNum>
  <w:abstractNum w:abstractNumId="211" w15:restartNumberingAfterBreak="0">
    <w:nsid w:val="48657C99"/>
    <w:multiLevelType w:val="hybridMultilevel"/>
    <w:tmpl w:val="565A4E3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2" w15:restartNumberingAfterBreak="0">
    <w:nsid w:val="489E1E8C"/>
    <w:multiLevelType w:val="hybridMultilevel"/>
    <w:tmpl w:val="FA5883BA"/>
    <w:lvl w:ilvl="0" w:tplc="175A2D68">
      <w:numFmt w:val="bullet"/>
      <w:lvlText w:val=""/>
      <w:lvlJc w:val="left"/>
      <w:pPr>
        <w:ind w:left="720" w:hanging="360"/>
      </w:pPr>
      <w:rPr>
        <w:rFonts w:ascii="Wingdings" w:eastAsia="Wingdings" w:hAnsi="Wingdings" w:cs="Wingdings" w:hint="default"/>
        <w:b w:val="0"/>
        <w:bCs w:val="0"/>
        <w:i w:val="0"/>
        <w:iCs w:val="0"/>
        <w:w w:val="99"/>
        <w:sz w:val="20"/>
        <w:szCs w:val="20"/>
        <w:lang w:val="fr-FR" w:eastAsia="en-US" w:bidi="ar-SA"/>
      </w:rPr>
    </w:lvl>
    <w:lvl w:ilvl="1" w:tplc="040C000D">
      <w:start w:val="1"/>
      <w:numFmt w:val="bullet"/>
      <w:lvlText w:val=""/>
      <w:lvlJc w:val="left"/>
      <w:pPr>
        <w:ind w:left="720" w:hanging="360"/>
      </w:pPr>
      <w:rPr>
        <w:rFonts w:ascii="Wingdings" w:hAnsi="Wingdings" w:hint="default"/>
      </w:rPr>
    </w:lvl>
    <w:lvl w:ilvl="2" w:tplc="040C000D">
      <w:start w:val="1"/>
      <w:numFmt w:val="bullet"/>
      <w:lvlText w:val=""/>
      <w:lvlJc w:val="left"/>
      <w:pPr>
        <w:ind w:left="72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3" w15:restartNumberingAfterBreak="0">
    <w:nsid w:val="48B46841"/>
    <w:multiLevelType w:val="hybridMultilevel"/>
    <w:tmpl w:val="966C1250"/>
    <w:lvl w:ilvl="0" w:tplc="040C0019">
      <w:start w:val="1"/>
      <w:numFmt w:val="lowerRoman"/>
      <w:pStyle w:val="Pucei"/>
      <w:lvlText w:val="%1)"/>
      <w:lvlJc w:val="left"/>
      <w:pPr>
        <w:tabs>
          <w:tab w:val="num" w:pos="720"/>
        </w:tabs>
        <w:ind w:left="360" w:hanging="360"/>
      </w:pPr>
    </w:lvl>
    <w:lvl w:ilvl="1" w:tplc="040C0019">
      <w:start w:val="1"/>
      <w:numFmt w:val="bullet"/>
      <w:lvlText w:val="o"/>
      <w:lvlJc w:val="left"/>
      <w:pPr>
        <w:tabs>
          <w:tab w:val="num" w:pos="1440"/>
        </w:tabs>
        <w:ind w:left="1440" w:hanging="360"/>
      </w:pPr>
      <w:rPr>
        <w:rFonts w:ascii="Courier New" w:hAnsi="Courier New" w:cs="Times New Roman" w:hint="default"/>
      </w:rPr>
    </w:lvl>
    <w:lvl w:ilvl="2" w:tplc="040C001B">
      <w:start w:val="1"/>
      <w:numFmt w:val="bullet"/>
      <w:lvlText w:val=""/>
      <w:lvlJc w:val="left"/>
      <w:pPr>
        <w:tabs>
          <w:tab w:val="num" w:pos="2160"/>
        </w:tabs>
        <w:ind w:left="2160" w:hanging="360"/>
      </w:pPr>
      <w:rPr>
        <w:rFonts w:ascii="Wingdings" w:hAnsi="Wingdings" w:hint="default"/>
      </w:rPr>
    </w:lvl>
    <w:lvl w:ilvl="3" w:tplc="040C000F">
      <w:start w:val="1"/>
      <w:numFmt w:val="bullet"/>
      <w:lvlText w:val=""/>
      <w:lvlJc w:val="left"/>
      <w:pPr>
        <w:tabs>
          <w:tab w:val="num" w:pos="2880"/>
        </w:tabs>
        <w:ind w:left="2880" w:hanging="360"/>
      </w:pPr>
      <w:rPr>
        <w:rFonts w:ascii="Symbol" w:hAnsi="Symbol" w:hint="default"/>
      </w:rPr>
    </w:lvl>
    <w:lvl w:ilvl="4" w:tplc="040C0019">
      <w:start w:val="1"/>
      <w:numFmt w:val="bullet"/>
      <w:lvlText w:val="o"/>
      <w:lvlJc w:val="left"/>
      <w:pPr>
        <w:tabs>
          <w:tab w:val="num" w:pos="3600"/>
        </w:tabs>
        <w:ind w:left="3600" w:hanging="360"/>
      </w:pPr>
      <w:rPr>
        <w:rFonts w:ascii="Courier New" w:hAnsi="Courier New" w:cs="Times New Roman" w:hint="default"/>
      </w:rPr>
    </w:lvl>
    <w:lvl w:ilvl="5" w:tplc="040C001B">
      <w:start w:val="1"/>
      <w:numFmt w:val="bullet"/>
      <w:lvlText w:val=""/>
      <w:lvlJc w:val="left"/>
      <w:pPr>
        <w:tabs>
          <w:tab w:val="num" w:pos="4320"/>
        </w:tabs>
        <w:ind w:left="4320" w:hanging="360"/>
      </w:pPr>
      <w:rPr>
        <w:rFonts w:ascii="Wingdings" w:hAnsi="Wingdings" w:hint="default"/>
      </w:rPr>
    </w:lvl>
    <w:lvl w:ilvl="6" w:tplc="040C000F">
      <w:start w:val="1"/>
      <w:numFmt w:val="bullet"/>
      <w:lvlText w:val=""/>
      <w:lvlJc w:val="left"/>
      <w:pPr>
        <w:tabs>
          <w:tab w:val="num" w:pos="5040"/>
        </w:tabs>
        <w:ind w:left="5040" w:hanging="360"/>
      </w:pPr>
      <w:rPr>
        <w:rFonts w:ascii="Symbol" w:hAnsi="Symbol" w:hint="default"/>
      </w:rPr>
    </w:lvl>
    <w:lvl w:ilvl="7" w:tplc="040C0019">
      <w:start w:val="1"/>
      <w:numFmt w:val="bullet"/>
      <w:lvlText w:val="o"/>
      <w:lvlJc w:val="left"/>
      <w:pPr>
        <w:tabs>
          <w:tab w:val="num" w:pos="5760"/>
        </w:tabs>
        <w:ind w:left="5760" w:hanging="360"/>
      </w:pPr>
      <w:rPr>
        <w:rFonts w:ascii="Courier New" w:hAnsi="Courier New" w:cs="Times New Roman" w:hint="default"/>
      </w:rPr>
    </w:lvl>
    <w:lvl w:ilvl="8" w:tplc="040C001B">
      <w:start w:val="1"/>
      <w:numFmt w:val="bullet"/>
      <w:lvlText w:val=""/>
      <w:lvlJc w:val="left"/>
      <w:pPr>
        <w:tabs>
          <w:tab w:val="num" w:pos="6480"/>
        </w:tabs>
        <w:ind w:left="6480" w:hanging="360"/>
      </w:pPr>
      <w:rPr>
        <w:rFonts w:ascii="Wingdings" w:hAnsi="Wingdings" w:hint="default"/>
      </w:rPr>
    </w:lvl>
  </w:abstractNum>
  <w:abstractNum w:abstractNumId="214" w15:restartNumberingAfterBreak="0">
    <w:nsid w:val="493823E5"/>
    <w:multiLevelType w:val="hybridMultilevel"/>
    <w:tmpl w:val="6D34E224"/>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Aria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Arial"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Arial"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15" w15:restartNumberingAfterBreak="0">
    <w:nsid w:val="496E4F57"/>
    <w:multiLevelType w:val="hybridMultilevel"/>
    <w:tmpl w:val="8B548E54"/>
    <w:lvl w:ilvl="0" w:tplc="FFFFFFFF">
      <w:start w:val="1"/>
      <w:numFmt w:val="bullet"/>
      <w:pStyle w:val="ec"/>
      <w:lvlText w:val=""/>
      <w:lvlJc w:val="left"/>
      <w:pPr>
        <w:tabs>
          <w:tab w:val="num" w:pos="339"/>
        </w:tabs>
        <w:ind w:left="565" w:hanging="226"/>
      </w:pPr>
      <w:rPr>
        <w:rFonts w:ascii="Symbol" w:hAnsi="Symbol" w:hint="default"/>
        <w:sz w:val="16"/>
      </w:rPr>
    </w:lvl>
    <w:lvl w:ilvl="1" w:tplc="040C0003">
      <w:start w:val="1"/>
      <w:numFmt w:val="bullet"/>
      <w:lvlText w:val="o"/>
      <w:lvlJc w:val="left"/>
      <w:pPr>
        <w:tabs>
          <w:tab w:val="num" w:pos="758"/>
        </w:tabs>
        <w:ind w:left="758" w:hanging="360"/>
      </w:pPr>
      <w:rPr>
        <w:rFonts w:ascii="Courier New" w:hAnsi="Courier New" w:cs="Times New Roman" w:hint="default"/>
      </w:rPr>
    </w:lvl>
    <w:lvl w:ilvl="2" w:tplc="040C0005">
      <w:start w:val="1"/>
      <w:numFmt w:val="bullet"/>
      <w:lvlText w:val=""/>
      <w:lvlJc w:val="left"/>
      <w:pPr>
        <w:tabs>
          <w:tab w:val="num" w:pos="1478"/>
        </w:tabs>
        <w:ind w:left="1478" w:hanging="360"/>
      </w:pPr>
      <w:rPr>
        <w:rFonts w:ascii="Wingdings" w:hAnsi="Wingdings" w:hint="default"/>
      </w:rPr>
    </w:lvl>
    <w:lvl w:ilvl="3" w:tplc="040C0001">
      <w:start w:val="1"/>
      <w:numFmt w:val="bullet"/>
      <w:lvlText w:val=""/>
      <w:lvlJc w:val="left"/>
      <w:pPr>
        <w:tabs>
          <w:tab w:val="num" w:pos="2198"/>
        </w:tabs>
        <w:ind w:left="2198" w:hanging="360"/>
      </w:pPr>
      <w:rPr>
        <w:rFonts w:ascii="Symbol" w:hAnsi="Symbol" w:hint="default"/>
      </w:rPr>
    </w:lvl>
    <w:lvl w:ilvl="4" w:tplc="040C0003">
      <w:start w:val="1"/>
      <w:numFmt w:val="bullet"/>
      <w:lvlText w:val="o"/>
      <w:lvlJc w:val="left"/>
      <w:pPr>
        <w:tabs>
          <w:tab w:val="num" w:pos="2918"/>
        </w:tabs>
        <w:ind w:left="2918" w:hanging="360"/>
      </w:pPr>
      <w:rPr>
        <w:rFonts w:ascii="Courier New" w:hAnsi="Courier New" w:cs="Times New Roman" w:hint="default"/>
      </w:rPr>
    </w:lvl>
    <w:lvl w:ilvl="5" w:tplc="040C0005">
      <w:start w:val="1"/>
      <w:numFmt w:val="bullet"/>
      <w:lvlText w:val=""/>
      <w:lvlJc w:val="left"/>
      <w:pPr>
        <w:tabs>
          <w:tab w:val="num" w:pos="3638"/>
        </w:tabs>
        <w:ind w:left="3638" w:hanging="360"/>
      </w:pPr>
      <w:rPr>
        <w:rFonts w:ascii="Wingdings" w:hAnsi="Wingdings" w:hint="default"/>
      </w:rPr>
    </w:lvl>
    <w:lvl w:ilvl="6" w:tplc="040C0001">
      <w:start w:val="1"/>
      <w:numFmt w:val="bullet"/>
      <w:lvlText w:val=""/>
      <w:lvlJc w:val="left"/>
      <w:pPr>
        <w:tabs>
          <w:tab w:val="num" w:pos="4358"/>
        </w:tabs>
        <w:ind w:left="4358" w:hanging="360"/>
      </w:pPr>
      <w:rPr>
        <w:rFonts w:ascii="Symbol" w:hAnsi="Symbol" w:hint="default"/>
      </w:rPr>
    </w:lvl>
    <w:lvl w:ilvl="7" w:tplc="040C0003">
      <w:start w:val="1"/>
      <w:numFmt w:val="bullet"/>
      <w:lvlText w:val="o"/>
      <w:lvlJc w:val="left"/>
      <w:pPr>
        <w:tabs>
          <w:tab w:val="num" w:pos="5078"/>
        </w:tabs>
        <w:ind w:left="5078" w:hanging="360"/>
      </w:pPr>
      <w:rPr>
        <w:rFonts w:ascii="Courier New" w:hAnsi="Courier New" w:cs="Times New Roman" w:hint="default"/>
      </w:rPr>
    </w:lvl>
    <w:lvl w:ilvl="8" w:tplc="040C0005">
      <w:start w:val="1"/>
      <w:numFmt w:val="bullet"/>
      <w:lvlText w:val=""/>
      <w:lvlJc w:val="left"/>
      <w:pPr>
        <w:tabs>
          <w:tab w:val="num" w:pos="5798"/>
        </w:tabs>
        <w:ind w:left="5798" w:hanging="360"/>
      </w:pPr>
      <w:rPr>
        <w:rFonts w:ascii="Wingdings" w:hAnsi="Wingdings" w:hint="default"/>
      </w:rPr>
    </w:lvl>
  </w:abstractNum>
  <w:abstractNum w:abstractNumId="216" w15:restartNumberingAfterBreak="0">
    <w:nsid w:val="499D51C3"/>
    <w:multiLevelType w:val="multilevel"/>
    <w:tmpl w:val="C23880F4"/>
    <w:lvl w:ilvl="0">
      <w:start w:val="4"/>
      <w:numFmt w:val="decimal"/>
      <w:lvlText w:val="%1."/>
      <w:lvlJc w:val="left"/>
      <w:pPr>
        <w:ind w:left="360" w:hanging="360"/>
      </w:pPr>
      <w:rPr>
        <w:rFonts w:hint="default"/>
        <w:color w:val="000000" w:themeColor="text1"/>
      </w:rPr>
    </w:lvl>
    <w:lvl w:ilvl="1">
      <w:start w:val="2"/>
      <w:numFmt w:val="decimal"/>
      <w:lvlText w:val="%1.%2."/>
      <w:lvlJc w:val="left"/>
      <w:pPr>
        <w:ind w:left="720" w:hanging="36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17" w15:restartNumberingAfterBreak="0">
    <w:nsid w:val="4A0B3A46"/>
    <w:multiLevelType w:val="hybridMultilevel"/>
    <w:tmpl w:val="49187430"/>
    <w:lvl w:ilvl="0" w:tplc="8780A158">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Wingdings"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8" w15:restartNumberingAfterBreak="0">
    <w:nsid w:val="4A561AC9"/>
    <w:multiLevelType w:val="hybridMultilevel"/>
    <w:tmpl w:val="80B28AC8"/>
    <w:lvl w:ilvl="0" w:tplc="FD9617FA">
      <w:start w:val="4"/>
      <w:numFmt w:val="bullet"/>
      <w:lvlText w:val="-"/>
      <w:lvlJc w:val="left"/>
      <w:pPr>
        <w:ind w:left="720" w:hanging="360"/>
      </w:pPr>
      <w:rPr>
        <w:rFonts w:ascii="Times New Roman" w:eastAsia="Times New Roman" w:hAnsi="Times New Roman" w:cs="Times New Roman" w:hint="default"/>
        <w:b/>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9" w15:restartNumberingAfterBreak="0">
    <w:nsid w:val="4AF54CAB"/>
    <w:multiLevelType w:val="hybridMultilevel"/>
    <w:tmpl w:val="EBF6E37A"/>
    <w:lvl w:ilvl="0" w:tplc="FD9617FA">
      <w:start w:val="4"/>
      <w:numFmt w:val="bullet"/>
      <w:lvlText w:val="-"/>
      <w:lvlJc w:val="left"/>
      <w:pPr>
        <w:ind w:left="720" w:hanging="360"/>
      </w:pPr>
      <w:rPr>
        <w:rFonts w:ascii="Times New Roman" w:eastAsia="Times New Roman" w:hAnsi="Times New Roman" w:cs="Times New Roman" w:hint="default"/>
        <w:b/>
        <w: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0" w15:restartNumberingAfterBreak="0">
    <w:nsid w:val="4B5D6783"/>
    <w:multiLevelType w:val="hybridMultilevel"/>
    <w:tmpl w:val="6776AAA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1" w15:restartNumberingAfterBreak="0">
    <w:nsid w:val="4B832C54"/>
    <w:multiLevelType w:val="hybridMultilevel"/>
    <w:tmpl w:val="A23EC0D8"/>
    <w:styleLink w:val="ListBullets1"/>
    <w:lvl w:ilvl="0" w:tplc="040C0007">
      <w:start w:val="1"/>
      <w:numFmt w:val="bullet"/>
      <w:lvlText w:val=""/>
      <w:lvlJc w:val="left"/>
      <w:pPr>
        <w:ind w:left="1820" w:hanging="360"/>
      </w:pPr>
      <w:rPr>
        <w:rFonts w:ascii="Symbol" w:hAnsi="Symbol" w:hint="default"/>
      </w:rPr>
    </w:lvl>
    <w:lvl w:ilvl="1" w:tplc="040C0003" w:tentative="1">
      <w:start w:val="1"/>
      <w:numFmt w:val="bullet"/>
      <w:lvlText w:val="o"/>
      <w:lvlJc w:val="left"/>
      <w:pPr>
        <w:ind w:left="2540" w:hanging="360"/>
      </w:pPr>
      <w:rPr>
        <w:rFonts w:ascii="Courier New" w:hAnsi="Courier New" w:hint="default"/>
      </w:rPr>
    </w:lvl>
    <w:lvl w:ilvl="2" w:tplc="040C0005" w:tentative="1">
      <w:start w:val="1"/>
      <w:numFmt w:val="bullet"/>
      <w:lvlText w:val=""/>
      <w:lvlJc w:val="left"/>
      <w:pPr>
        <w:ind w:left="3260" w:hanging="360"/>
      </w:pPr>
      <w:rPr>
        <w:rFonts w:ascii="Wingdings" w:hAnsi="Wingdings" w:hint="default"/>
      </w:rPr>
    </w:lvl>
    <w:lvl w:ilvl="3" w:tplc="040C0001" w:tentative="1">
      <w:start w:val="1"/>
      <w:numFmt w:val="bullet"/>
      <w:lvlText w:val=""/>
      <w:lvlJc w:val="left"/>
      <w:pPr>
        <w:ind w:left="3980" w:hanging="360"/>
      </w:pPr>
      <w:rPr>
        <w:rFonts w:ascii="Symbol" w:hAnsi="Symbol" w:hint="default"/>
      </w:rPr>
    </w:lvl>
    <w:lvl w:ilvl="4" w:tplc="040C0003" w:tentative="1">
      <w:start w:val="1"/>
      <w:numFmt w:val="bullet"/>
      <w:lvlText w:val="o"/>
      <w:lvlJc w:val="left"/>
      <w:pPr>
        <w:ind w:left="4700" w:hanging="360"/>
      </w:pPr>
      <w:rPr>
        <w:rFonts w:ascii="Courier New" w:hAnsi="Courier New" w:hint="default"/>
      </w:rPr>
    </w:lvl>
    <w:lvl w:ilvl="5" w:tplc="040C0005" w:tentative="1">
      <w:start w:val="1"/>
      <w:numFmt w:val="bullet"/>
      <w:lvlText w:val=""/>
      <w:lvlJc w:val="left"/>
      <w:pPr>
        <w:ind w:left="5420" w:hanging="360"/>
      </w:pPr>
      <w:rPr>
        <w:rFonts w:ascii="Wingdings" w:hAnsi="Wingdings" w:hint="default"/>
      </w:rPr>
    </w:lvl>
    <w:lvl w:ilvl="6" w:tplc="040C0001" w:tentative="1">
      <w:start w:val="1"/>
      <w:numFmt w:val="bullet"/>
      <w:lvlText w:val=""/>
      <w:lvlJc w:val="left"/>
      <w:pPr>
        <w:ind w:left="6140" w:hanging="360"/>
      </w:pPr>
      <w:rPr>
        <w:rFonts w:ascii="Symbol" w:hAnsi="Symbol" w:hint="default"/>
      </w:rPr>
    </w:lvl>
    <w:lvl w:ilvl="7" w:tplc="040C0003" w:tentative="1">
      <w:start w:val="1"/>
      <w:numFmt w:val="bullet"/>
      <w:lvlText w:val="o"/>
      <w:lvlJc w:val="left"/>
      <w:pPr>
        <w:ind w:left="6860" w:hanging="360"/>
      </w:pPr>
      <w:rPr>
        <w:rFonts w:ascii="Courier New" w:hAnsi="Courier New" w:hint="default"/>
      </w:rPr>
    </w:lvl>
    <w:lvl w:ilvl="8" w:tplc="040C0005" w:tentative="1">
      <w:start w:val="1"/>
      <w:numFmt w:val="bullet"/>
      <w:lvlText w:val=""/>
      <w:lvlJc w:val="left"/>
      <w:pPr>
        <w:ind w:left="7580" w:hanging="360"/>
      </w:pPr>
      <w:rPr>
        <w:rFonts w:ascii="Wingdings" w:hAnsi="Wingdings" w:hint="default"/>
      </w:rPr>
    </w:lvl>
  </w:abstractNum>
  <w:abstractNum w:abstractNumId="222" w15:restartNumberingAfterBreak="0">
    <w:nsid w:val="4BD74AC0"/>
    <w:multiLevelType w:val="hybridMultilevel"/>
    <w:tmpl w:val="C5805B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3" w15:restartNumberingAfterBreak="0">
    <w:nsid w:val="4C482C53"/>
    <w:multiLevelType w:val="hybridMultilevel"/>
    <w:tmpl w:val="5EBA937C"/>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4" w15:restartNumberingAfterBreak="0">
    <w:nsid w:val="4C4B2AEA"/>
    <w:multiLevelType w:val="multilevel"/>
    <w:tmpl w:val="BA7E1DB4"/>
    <w:lvl w:ilvl="0">
      <w:start w:val="1"/>
      <w:numFmt w:val="lowerLetter"/>
      <w:pStyle w:val="ListAlpha2"/>
      <w:lvlText w:val="(%1)"/>
      <w:lvlJc w:val="left"/>
      <w:pPr>
        <w:tabs>
          <w:tab w:val="num" w:pos="624"/>
        </w:tabs>
        <w:ind w:left="624" w:hanging="624"/>
      </w:pPr>
      <w:rPr>
        <w:rFonts w:ascii="CG Times" w:hAnsi="CG Times" w:cs="Times New Roman"/>
        <w:b w:val="0"/>
        <w:i w:val="0"/>
        <w:sz w:val="20"/>
      </w:rPr>
    </w:lvl>
    <w:lvl w:ilvl="1">
      <w:start w:val="1"/>
      <w:numFmt w:val="lowerLetter"/>
      <w:pStyle w:val="ListAlpha2"/>
      <w:lvlText w:val="(%2)"/>
      <w:lvlJc w:val="left"/>
      <w:pPr>
        <w:tabs>
          <w:tab w:val="num" w:pos="1237"/>
        </w:tabs>
        <w:ind w:left="1237" w:hanging="793"/>
      </w:pPr>
      <w:rPr>
        <w:rFonts w:ascii="Times New Roman" w:eastAsia="Times New Roman" w:hAnsi="Times New Roman" w:cs="Times New Roman" w:hint="default"/>
        <w:b w:val="0"/>
        <w:i w:val="0"/>
        <w:sz w:val="22"/>
        <w:szCs w:val="22"/>
      </w:rPr>
    </w:lvl>
    <w:lvl w:ilvl="2">
      <w:start w:val="1"/>
      <w:numFmt w:val="lowerLetter"/>
      <w:lvlText w:val="(%3)"/>
      <w:lvlJc w:val="left"/>
      <w:pPr>
        <w:tabs>
          <w:tab w:val="num" w:pos="1748"/>
        </w:tabs>
        <w:ind w:left="1748" w:hanging="511"/>
      </w:pPr>
      <w:rPr>
        <w:rFonts w:cs="Times New Roman"/>
        <w:b w:val="0"/>
        <w:i w:val="0"/>
        <w:sz w:val="20"/>
      </w:rPr>
    </w:lvl>
    <w:lvl w:ilvl="3">
      <w:start w:val="1"/>
      <w:numFmt w:val="lowerLetter"/>
      <w:lvlText w:val="(%4)"/>
      <w:lvlJc w:val="left"/>
      <w:pPr>
        <w:tabs>
          <w:tab w:val="num" w:pos="1748"/>
        </w:tabs>
        <w:ind w:left="1748" w:hanging="511"/>
      </w:pPr>
      <w:rPr>
        <w:rFonts w:cs="Times New Roman"/>
        <w:b w:val="0"/>
        <w:i w:val="0"/>
        <w:sz w:val="20"/>
      </w:rPr>
    </w:lvl>
    <w:lvl w:ilvl="4">
      <w:start w:val="1"/>
      <w:numFmt w:val="lowerRoman"/>
      <w:lvlText w:val="(%5)"/>
      <w:lvlJc w:val="left"/>
      <w:pPr>
        <w:tabs>
          <w:tab w:val="num" w:pos="2258"/>
        </w:tabs>
        <w:ind w:left="2258" w:hanging="510"/>
      </w:pPr>
      <w:rPr>
        <w:rFonts w:cs="Times New Roman"/>
        <w:b w:val="0"/>
        <w:i w:val="0"/>
        <w:sz w:val="22"/>
        <w:szCs w:val="22"/>
      </w:rPr>
    </w:lvl>
    <w:lvl w:ilvl="5">
      <w:start w:val="1"/>
      <w:numFmt w:val="decimal"/>
      <w:lvlText w:val="(%6)"/>
      <w:lvlJc w:val="left"/>
      <w:pPr>
        <w:tabs>
          <w:tab w:val="num" w:pos="2768"/>
        </w:tabs>
        <w:ind w:left="2768" w:hanging="510"/>
      </w:pPr>
      <w:rPr>
        <w:rFonts w:cs="Times New Roman"/>
        <w:b w:val="0"/>
        <w:i w:val="0"/>
        <w:sz w:val="20"/>
      </w:rPr>
    </w:lvl>
    <w:lvl w:ilvl="6">
      <w:start w:val="1"/>
      <w:numFmt w:val="none"/>
      <w:suff w:val="nothing"/>
      <w:lvlText w:val=""/>
      <w:lvlJc w:val="left"/>
      <w:pPr>
        <w:ind w:left="-180"/>
      </w:pPr>
      <w:rPr>
        <w:rFonts w:cs="Times New Roman"/>
      </w:rPr>
    </w:lvl>
    <w:lvl w:ilvl="7">
      <w:start w:val="1"/>
      <w:numFmt w:val="none"/>
      <w:suff w:val="nothing"/>
      <w:lvlText w:val=""/>
      <w:lvlJc w:val="left"/>
      <w:pPr>
        <w:ind w:left="-180"/>
      </w:pPr>
      <w:rPr>
        <w:rFonts w:cs="Times New Roman"/>
      </w:rPr>
    </w:lvl>
    <w:lvl w:ilvl="8">
      <w:start w:val="1"/>
      <w:numFmt w:val="decimal"/>
      <w:lvlRestart w:val="0"/>
      <w:lvlText w:val="SCHEDULE %9"/>
      <w:lvlJc w:val="left"/>
      <w:pPr>
        <w:tabs>
          <w:tab w:val="num" w:pos="-180"/>
        </w:tabs>
        <w:ind w:left="-180"/>
      </w:pPr>
      <w:rPr>
        <w:rFonts w:cs="Times New Roman"/>
        <w:b/>
        <w:i w:val="0"/>
        <w:caps/>
        <w:smallCaps w:val="0"/>
        <w:sz w:val="22"/>
      </w:rPr>
    </w:lvl>
  </w:abstractNum>
  <w:abstractNum w:abstractNumId="225" w15:restartNumberingAfterBreak="0">
    <w:nsid w:val="4D07598E"/>
    <w:multiLevelType w:val="hybridMultilevel"/>
    <w:tmpl w:val="BD6C790E"/>
    <w:lvl w:ilvl="0" w:tplc="FD9617FA">
      <w:start w:val="4"/>
      <w:numFmt w:val="bullet"/>
      <w:lvlText w:val="-"/>
      <w:lvlJc w:val="left"/>
      <w:pPr>
        <w:ind w:left="720" w:hanging="360"/>
      </w:pPr>
      <w:rPr>
        <w:rFonts w:ascii="Times New Roman" w:eastAsia="Times New Roman" w:hAnsi="Times New Roman" w:cs="Times New Roman" w:hint="default"/>
        <w:b/>
        <w:i/>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6" w15:restartNumberingAfterBreak="0">
    <w:nsid w:val="4D3B1D19"/>
    <w:multiLevelType w:val="hybridMultilevel"/>
    <w:tmpl w:val="1A4C3EC2"/>
    <w:lvl w:ilvl="0" w:tplc="2C88D466">
      <w:start w:val="1"/>
      <w:numFmt w:val="bullet"/>
      <w:pStyle w:val="Pucetableau1"/>
      <w:lvlText w:val=""/>
      <w:lvlJc w:val="left"/>
      <w:pPr>
        <w:ind w:left="720" w:hanging="360"/>
      </w:pPr>
      <w:rPr>
        <w:rFonts w:ascii="Wingdings" w:hAnsi="Wingdings" w:hint="default"/>
        <w:b w:val="0"/>
        <w:i w:val="0"/>
        <w:color w:val="000080"/>
        <w:sz w:val="16"/>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7" w15:restartNumberingAfterBreak="0">
    <w:nsid w:val="4D4C3506"/>
    <w:multiLevelType w:val="multilevel"/>
    <w:tmpl w:val="35FC7A34"/>
    <w:styleLink w:val="Listeactuelle2"/>
    <w:lvl w:ilvl="0">
      <w:start w:val="1"/>
      <w:numFmt w:val="bullet"/>
      <w:lvlText w:val=""/>
      <w:lvlJc w:val="left"/>
      <w:pPr>
        <w:ind w:left="720" w:hanging="360"/>
      </w:pPr>
      <w:rPr>
        <w:rFonts w:ascii="Wingdings" w:hAnsi="Wingdings"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228" w15:restartNumberingAfterBreak="0">
    <w:nsid w:val="4E350417"/>
    <w:multiLevelType w:val="hybridMultilevel"/>
    <w:tmpl w:val="029C6E22"/>
    <w:lvl w:ilvl="0" w:tplc="FFFFFFFF">
      <w:numFmt w:val="bullet"/>
      <w:lvlText w:val="-"/>
      <w:lvlJc w:val="left"/>
      <w:pPr>
        <w:ind w:left="360" w:hanging="360"/>
      </w:pPr>
      <w:rPr>
        <w:rFonts w:ascii="Arial" w:eastAsia="Times New Roman" w:hAnsi="Arial" w:cs="Arial" w:hint="default"/>
        <w:color w:val="auto"/>
        <w:sz w:val="22"/>
        <w:szCs w:val="22"/>
      </w:rPr>
    </w:lvl>
    <w:lvl w:ilvl="1" w:tplc="FD9617FA">
      <w:start w:val="4"/>
      <w:numFmt w:val="bullet"/>
      <w:lvlText w:val="-"/>
      <w:lvlJc w:val="left"/>
      <w:pPr>
        <w:ind w:left="720" w:hanging="360"/>
      </w:pPr>
      <w:rPr>
        <w:rFonts w:ascii="Times New Roman" w:eastAsia="Times New Roman" w:hAnsi="Times New Roman" w:cs="Times New Roman" w:hint="default"/>
        <w:b/>
        <w:i/>
        <w:sz w:val="20"/>
        <w:szCs w:val="20"/>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9" w15:restartNumberingAfterBreak="0">
    <w:nsid w:val="4E4910AD"/>
    <w:multiLevelType w:val="hybridMultilevel"/>
    <w:tmpl w:val="E0AEF4E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0" w15:restartNumberingAfterBreak="0">
    <w:nsid w:val="4E734A97"/>
    <w:multiLevelType w:val="hybridMultilevel"/>
    <w:tmpl w:val="8B96793C"/>
    <w:lvl w:ilvl="0" w:tplc="0C0C0001">
      <w:start w:val="1"/>
      <w:numFmt w:val="bullet"/>
      <w:lvlText w:val=""/>
      <w:lvlJc w:val="left"/>
      <w:pPr>
        <w:ind w:left="763" w:hanging="360"/>
      </w:pPr>
      <w:rPr>
        <w:rFonts w:ascii="Symbol" w:hAnsi="Symbol" w:hint="default"/>
      </w:rPr>
    </w:lvl>
    <w:lvl w:ilvl="1" w:tplc="040C0003">
      <w:start w:val="1"/>
      <w:numFmt w:val="bullet"/>
      <w:lvlText w:val="o"/>
      <w:lvlJc w:val="left"/>
      <w:pPr>
        <w:ind w:left="1483" w:hanging="360"/>
      </w:pPr>
      <w:rPr>
        <w:rFonts w:ascii="Courier New" w:hAnsi="Courier New" w:cs="Courier New" w:hint="default"/>
      </w:rPr>
    </w:lvl>
    <w:lvl w:ilvl="2" w:tplc="040C0005">
      <w:start w:val="1"/>
      <w:numFmt w:val="bullet"/>
      <w:lvlText w:val=""/>
      <w:lvlJc w:val="left"/>
      <w:pPr>
        <w:ind w:left="2203" w:hanging="360"/>
      </w:pPr>
      <w:rPr>
        <w:rFonts w:ascii="Wingdings" w:hAnsi="Wingdings" w:hint="default"/>
      </w:rPr>
    </w:lvl>
    <w:lvl w:ilvl="3" w:tplc="040C0001">
      <w:start w:val="1"/>
      <w:numFmt w:val="bullet"/>
      <w:lvlText w:val=""/>
      <w:lvlJc w:val="left"/>
      <w:pPr>
        <w:ind w:left="2923" w:hanging="360"/>
      </w:pPr>
      <w:rPr>
        <w:rFonts w:ascii="Symbol" w:hAnsi="Symbol" w:hint="default"/>
      </w:rPr>
    </w:lvl>
    <w:lvl w:ilvl="4" w:tplc="040C0003">
      <w:start w:val="1"/>
      <w:numFmt w:val="bullet"/>
      <w:lvlText w:val="o"/>
      <w:lvlJc w:val="left"/>
      <w:pPr>
        <w:ind w:left="3643" w:hanging="360"/>
      </w:pPr>
      <w:rPr>
        <w:rFonts w:ascii="Courier New" w:hAnsi="Courier New" w:cs="Courier New" w:hint="default"/>
      </w:rPr>
    </w:lvl>
    <w:lvl w:ilvl="5" w:tplc="040C0005">
      <w:start w:val="1"/>
      <w:numFmt w:val="bullet"/>
      <w:lvlText w:val=""/>
      <w:lvlJc w:val="left"/>
      <w:pPr>
        <w:ind w:left="4363" w:hanging="360"/>
      </w:pPr>
      <w:rPr>
        <w:rFonts w:ascii="Wingdings" w:hAnsi="Wingdings" w:hint="default"/>
      </w:rPr>
    </w:lvl>
    <w:lvl w:ilvl="6" w:tplc="040C0001">
      <w:start w:val="1"/>
      <w:numFmt w:val="bullet"/>
      <w:lvlText w:val=""/>
      <w:lvlJc w:val="left"/>
      <w:pPr>
        <w:ind w:left="5083" w:hanging="360"/>
      </w:pPr>
      <w:rPr>
        <w:rFonts w:ascii="Symbol" w:hAnsi="Symbol" w:hint="default"/>
      </w:rPr>
    </w:lvl>
    <w:lvl w:ilvl="7" w:tplc="040C0003">
      <w:start w:val="1"/>
      <w:numFmt w:val="bullet"/>
      <w:lvlText w:val="o"/>
      <w:lvlJc w:val="left"/>
      <w:pPr>
        <w:ind w:left="5803" w:hanging="360"/>
      </w:pPr>
      <w:rPr>
        <w:rFonts w:ascii="Courier New" w:hAnsi="Courier New" w:cs="Courier New" w:hint="default"/>
      </w:rPr>
    </w:lvl>
    <w:lvl w:ilvl="8" w:tplc="040C0005">
      <w:start w:val="1"/>
      <w:numFmt w:val="bullet"/>
      <w:lvlText w:val=""/>
      <w:lvlJc w:val="left"/>
      <w:pPr>
        <w:ind w:left="6523" w:hanging="360"/>
      </w:pPr>
      <w:rPr>
        <w:rFonts w:ascii="Wingdings" w:hAnsi="Wingdings" w:hint="default"/>
      </w:rPr>
    </w:lvl>
  </w:abstractNum>
  <w:abstractNum w:abstractNumId="231" w15:restartNumberingAfterBreak="0">
    <w:nsid w:val="4F8B3E89"/>
    <w:multiLevelType w:val="hybridMultilevel"/>
    <w:tmpl w:val="707E2F7A"/>
    <w:lvl w:ilvl="0" w:tplc="FFFFFFFF">
      <w:start w:val="1"/>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2" w15:restartNumberingAfterBreak="0">
    <w:nsid w:val="504111CE"/>
    <w:multiLevelType w:val="hybridMultilevel"/>
    <w:tmpl w:val="614064A0"/>
    <w:lvl w:ilvl="0" w:tplc="2FD42DF4">
      <w:start w:val="1"/>
      <w:numFmt w:val="upperLetter"/>
      <w:pStyle w:val="TNXA"/>
      <w:lvlText w:val="Annexe %1."/>
      <w:lvlJc w:val="left"/>
      <w:pPr>
        <w:ind w:left="720" w:hanging="360"/>
      </w:pPr>
      <w:rPr>
        <w:rFonts w:cs="Times New Roman"/>
        <w:b w:val="0"/>
        <w:bCs w:val="0"/>
        <w:i w:val="0"/>
        <w:iCs w:val="0"/>
        <w:caps w:val="0"/>
        <w:smallCaps w:val="0"/>
        <w:strike w:val="0"/>
        <w:dstrike w:val="0"/>
        <w:noProof w:val="0"/>
        <w:vanish w:val="0"/>
        <w:color w:val="6EAA00"/>
        <w:spacing w:val="0"/>
        <w:kern w:val="0"/>
        <w:position w:val="0"/>
        <w:sz w:val="30"/>
        <w:szCs w:val="30"/>
        <w:u w:val="none"/>
        <w:effect w:val="none"/>
        <w:vertAlign w:val="baseline"/>
        <w:em w:val="none"/>
        <w:specVanish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3" w15:restartNumberingAfterBreak="0">
    <w:nsid w:val="507028E4"/>
    <w:multiLevelType w:val="hybridMultilevel"/>
    <w:tmpl w:val="CE96DB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4" w15:restartNumberingAfterBreak="0">
    <w:nsid w:val="50B62942"/>
    <w:multiLevelType w:val="hybridMultilevel"/>
    <w:tmpl w:val="6B10D9B6"/>
    <w:lvl w:ilvl="0" w:tplc="040C0007">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5" w15:restartNumberingAfterBreak="0">
    <w:nsid w:val="510041A0"/>
    <w:multiLevelType w:val="hybridMultilevel"/>
    <w:tmpl w:val="CDC217D2"/>
    <w:lvl w:ilvl="0" w:tplc="04100001">
      <w:start w:val="1"/>
      <w:numFmt w:val="bullet"/>
      <w:lvlText w:val=""/>
      <w:lvlJc w:val="left"/>
      <w:pPr>
        <w:ind w:left="1287" w:hanging="360"/>
      </w:pPr>
      <w:rPr>
        <w:rFonts w:ascii="Symbol" w:hAnsi="Symbol" w:hint="default"/>
      </w:rPr>
    </w:lvl>
    <w:lvl w:ilvl="1" w:tplc="04100003">
      <w:start w:val="1"/>
      <w:numFmt w:val="lowerLetter"/>
      <w:pStyle w:val="elencoalfabetico"/>
      <w:lvlText w:val="%2)"/>
      <w:lvlJc w:val="left"/>
      <w:pPr>
        <w:ind w:left="2352" w:hanging="705"/>
      </w:pPr>
    </w:lvl>
    <w:lvl w:ilvl="2" w:tplc="04100005">
      <w:numFmt w:val="bullet"/>
      <w:lvlText w:val="-"/>
      <w:lvlJc w:val="left"/>
      <w:pPr>
        <w:ind w:left="2727" w:hanging="360"/>
      </w:pPr>
      <w:rPr>
        <w:rFonts w:ascii="Times New Roman" w:eastAsia="Times New Roman" w:hAnsi="Times New Roman" w:cs="Times New Roman" w:hint="default"/>
      </w:rPr>
    </w:lvl>
    <w:lvl w:ilvl="3" w:tplc="04100001">
      <w:start w:val="1"/>
      <w:numFmt w:val="bullet"/>
      <w:lvlText w:val=""/>
      <w:lvlJc w:val="left"/>
      <w:pPr>
        <w:ind w:left="3447" w:hanging="360"/>
      </w:pPr>
      <w:rPr>
        <w:rFonts w:ascii="Symbol" w:hAnsi="Symbol" w:hint="default"/>
      </w:rPr>
    </w:lvl>
    <w:lvl w:ilvl="4" w:tplc="04100003">
      <w:start w:val="1"/>
      <w:numFmt w:val="bullet"/>
      <w:lvlText w:val="o"/>
      <w:lvlJc w:val="left"/>
      <w:pPr>
        <w:ind w:left="4167" w:hanging="360"/>
      </w:pPr>
      <w:rPr>
        <w:rFonts w:ascii="Courier New" w:hAnsi="Courier New" w:cs="Courier New" w:hint="default"/>
      </w:rPr>
    </w:lvl>
    <w:lvl w:ilvl="5" w:tplc="04100005">
      <w:start w:val="1"/>
      <w:numFmt w:val="bullet"/>
      <w:lvlText w:val=""/>
      <w:lvlJc w:val="left"/>
      <w:pPr>
        <w:ind w:left="4887" w:hanging="360"/>
      </w:pPr>
      <w:rPr>
        <w:rFonts w:ascii="Wingdings" w:hAnsi="Wingdings" w:hint="default"/>
      </w:rPr>
    </w:lvl>
    <w:lvl w:ilvl="6" w:tplc="04100001">
      <w:start w:val="1"/>
      <w:numFmt w:val="bullet"/>
      <w:lvlText w:val=""/>
      <w:lvlJc w:val="left"/>
      <w:pPr>
        <w:ind w:left="5607" w:hanging="360"/>
      </w:pPr>
      <w:rPr>
        <w:rFonts w:ascii="Symbol" w:hAnsi="Symbol" w:hint="default"/>
      </w:rPr>
    </w:lvl>
    <w:lvl w:ilvl="7" w:tplc="04100003">
      <w:start w:val="1"/>
      <w:numFmt w:val="bullet"/>
      <w:lvlText w:val="o"/>
      <w:lvlJc w:val="left"/>
      <w:pPr>
        <w:ind w:left="6327" w:hanging="360"/>
      </w:pPr>
      <w:rPr>
        <w:rFonts w:ascii="Courier New" w:hAnsi="Courier New" w:cs="Courier New" w:hint="default"/>
      </w:rPr>
    </w:lvl>
    <w:lvl w:ilvl="8" w:tplc="04100005">
      <w:start w:val="1"/>
      <w:numFmt w:val="bullet"/>
      <w:lvlText w:val=""/>
      <w:lvlJc w:val="left"/>
      <w:pPr>
        <w:ind w:left="7047" w:hanging="360"/>
      </w:pPr>
      <w:rPr>
        <w:rFonts w:ascii="Wingdings" w:hAnsi="Wingdings" w:hint="default"/>
      </w:rPr>
    </w:lvl>
  </w:abstractNum>
  <w:abstractNum w:abstractNumId="236" w15:restartNumberingAfterBreak="0">
    <w:nsid w:val="51376580"/>
    <w:multiLevelType w:val="hybridMultilevel"/>
    <w:tmpl w:val="6EE83D72"/>
    <w:lvl w:ilvl="0" w:tplc="FD9617FA">
      <w:start w:val="4"/>
      <w:numFmt w:val="bullet"/>
      <w:lvlText w:val="-"/>
      <w:lvlJc w:val="left"/>
      <w:pPr>
        <w:ind w:left="720" w:hanging="360"/>
      </w:pPr>
      <w:rPr>
        <w:rFonts w:ascii="Times New Roman" w:eastAsia="Times New Roman" w:hAnsi="Times New Roman" w:cs="Times New Roman" w:hint="default"/>
        <w:b/>
        <w:i/>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7" w15:restartNumberingAfterBreak="0">
    <w:nsid w:val="5140512F"/>
    <w:multiLevelType w:val="hybridMultilevel"/>
    <w:tmpl w:val="780E5574"/>
    <w:lvl w:ilvl="0" w:tplc="040C000F">
      <w:numFmt w:val="bullet"/>
      <w:lvlText w:val="-"/>
      <w:lvlJc w:val="left"/>
      <w:pPr>
        <w:ind w:left="360" w:hanging="360"/>
      </w:pPr>
      <w:rPr>
        <w:rFonts w:ascii="Arial" w:eastAsia="Times New Roman" w:hAnsi="Arial" w:cs="Aria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238" w15:restartNumberingAfterBreak="0">
    <w:nsid w:val="51766C0C"/>
    <w:multiLevelType w:val="hybridMultilevel"/>
    <w:tmpl w:val="9360568A"/>
    <w:lvl w:ilvl="0" w:tplc="E334E61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9" w15:restartNumberingAfterBreak="0">
    <w:nsid w:val="51A55C62"/>
    <w:multiLevelType w:val="hybridMultilevel"/>
    <w:tmpl w:val="C7C453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0" w15:restartNumberingAfterBreak="0">
    <w:nsid w:val="51B42569"/>
    <w:multiLevelType w:val="hybridMultilevel"/>
    <w:tmpl w:val="12D4AF70"/>
    <w:lvl w:ilvl="0" w:tplc="040C0001">
      <w:start w:val="1"/>
      <w:numFmt w:val="bullet"/>
      <w:lvlText w:val=""/>
      <w:lvlJc w:val="left"/>
      <w:pPr>
        <w:ind w:left="720" w:hanging="360"/>
      </w:pPr>
      <w:rPr>
        <w:rFonts w:ascii="Symbol" w:hAnsi="Symbol" w:hint="default"/>
        <w:b/>
        <w:i w:val="0"/>
        <w:color w:val="auto"/>
        <w:w w:val="100"/>
        <w:sz w:val="20"/>
        <w:szCs w:val="20"/>
        <w:lang w:val="fr-FR" w:eastAsia="en-US" w:bidi="ar-SA"/>
      </w:rPr>
    </w:lvl>
    <w:lvl w:ilvl="1" w:tplc="040C0003">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1068"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1" w15:restartNumberingAfterBreak="0">
    <w:nsid w:val="51FF61E9"/>
    <w:multiLevelType w:val="multilevel"/>
    <w:tmpl w:val="CF80E4FE"/>
    <w:styleLink w:val="Style17"/>
    <w:lvl w:ilvl="0">
      <w:start w:val="5"/>
      <w:numFmt w:val="decimal"/>
      <w:lvlText w:val="%1."/>
      <w:lvlJc w:val="left"/>
      <w:pPr>
        <w:ind w:left="360" w:hanging="360"/>
      </w:pPr>
      <w:rPr>
        <w:rFonts w:hint="default"/>
      </w:rPr>
    </w:lvl>
    <w:lvl w:ilvl="1">
      <w:start w:val="1"/>
      <w:numFmt w:val="decimal"/>
      <w:lvlText w:val="%1.%2."/>
      <w:lvlJc w:val="left"/>
      <w:pPr>
        <w:ind w:left="851" w:hanging="851"/>
      </w:pPr>
      <w:rPr>
        <w:rFonts w:ascii="Times New Roman Gras" w:hAnsi="Times New Roman Gras" w:hint="default"/>
        <w:b/>
        <w:i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2" w15:restartNumberingAfterBreak="0">
    <w:nsid w:val="5211194E"/>
    <w:multiLevelType w:val="hybridMultilevel"/>
    <w:tmpl w:val="FD207DE0"/>
    <w:lvl w:ilvl="0" w:tplc="FD9617FA">
      <w:start w:val="4"/>
      <w:numFmt w:val="bullet"/>
      <w:lvlText w:val="-"/>
      <w:lvlJc w:val="left"/>
      <w:pPr>
        <w:ind w:left="720" w:hanging="360"/>
      </w:pPr>
      <w:rPr>
        <w:rFonts w:ascii="Times New Roman" w:eastAsia="Times New Roman" w:hAnsi="Times New Roman" w:cs="Times New Roman" w:hint="default"/>
        <w:b/>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3" w15:restartNumberingAfterBreak="0">
    <w:nsid w:val="52222A1C"/>
    <w:multiLevelType w:val="hybridMultilevel"/>
    <w:tmpl w:val="AA96E5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4" w15:restartNumberingAfterBreak="0">
    <w:nsid w:val="535A7956"/>
    <w:multiLevelType w:val="hybridMultilevel"/>
    <w:tmpl w:val="63B6B3FC"/>
    <w:lvl w:ilvl="0" w:tplc="7A048802">
      <w:start w:val="1"/>
      <w:numFmt w:val="bullet"/>
      <w:lvlText w:val="-"/>
      <w:lvlJc w:val="left"/>
      <w:pPr>
        <w:ind w:left="360" w:hanging="360"/>
      </w:pPr>
      <w:rPr>
        <w:rFonts w:ascii="Arial" w:hAnsi="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5" w15:restartNumberingAfterBreak="0">
    <w:nsid w:val="535F2BF9"/>
    <w:multiLevelType w:val="hybridMultilevel"/>
    <w:tmpl w:val="3DF688E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6" w15:restartNumberingAfterBreak="0">
    <w:nsid w:val="54C30E55"/>
    <w:multiLevelType w:val="hybridMultilevel"/>
    <w:tmpl w:val="6F3E0E86"/>
    <w:lvl w:ilvl="0" w:tplc="FD9617FA">
      <w:start w:val="4"/>
      <w:numFmt w:val="bullet"/>
      <w:lvlText w:val="-"/>
      <w:lvlJc w:val="left"/>
      <w:pPr>
        <w:ind w:left="720" w:hanging="360"/>
      </w:pPr>
      <w:rPr>
        <w:rFonts w:ascii="Times New Roman" w:eastAsia="Times New Roman" w:hAnsi="Times New Roman" w:cs="Times New Roman" w:hint="default"/>
        <w:b/>
        <w:i/>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7" w15:restartNumberingAfterBreak="0">
    <w:nsid w:val="54EF0C75"/>
    <w:multiLevelType w:val="hybridMultilevel"/>
    <w:tmpl w:val="13841888"/>
    <w:lvl w:ilvl="0" w:tplc="040C000F">
      <w:start w:val="1"/>
      <w:numFmt w:val="bullet"/>
      <w:lvlText w:val="-"/>
      <w:lvlJc w:val="left"/>
      <w:pPr>
        <w:ind w:left="720" w:hanging="360"/>
      </w:pPr>
      <w:rPr>
        <w:rFonts w:ascii="Tahom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8" w15:restartNumberingAfterBreak="0">
    <w:nsid w:val="55556E9C"/>
    <w:multiLevelType w:val="hybridMultilevel"/>
    <w:tmpl w:val="47C48B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9" w15:restartNumberingAfterBreak="0">
    <w:nsid w:val="565D75EA"/>
    <w:multiLevelType w:val="hybridMultilevel"/>
    <w:tmpl w:val="AF827A7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0" w15:restartNumberingAfterBreak="0">
    <w:nsid w:val="56B6553D"/>
    <w:multiLevelType w:val="hybridMultilevel"/>
    <w:tmpl w:val="99501F50"/>
    <w:lvl w:ilvl="0" w:tplc="E334E61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1" w15:restartNumberingAfterBreak="0">
    <w:nsid w:val="571507CA"/>
    <w:multiLevelType w:val="hybridMultilevel"/>
    <w:tmpl w:val="F1BA117C"/>
    <w:lvl w:ilvl="0" w:tplc="040C000F">
      <w:start w:val="1"/>
      <w:numFmt w:val="bullet"/>
      <w:lvlText w:val="-"/>
      <w:lvlJc w:val="left"/>
      <w:pPr>
        <w:ind w:left="720" w:hanging="360"/>
      </w:pPr>
      <w:rPr>
        <w:rFonts w:ascii="Tahom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2" w15:restartNumberingAfterBreak="0">
    <w:nsid w:val="57231190"/>
    <w:multiLevelType w:val="multilevel"/>
    <w:tmpl w:val="309E801C"/>
    <w:lvl w:ilvl="0">
      <w:start w:val="1"/>
      <w:numFmt w:val="decimal"/>
      <w:pStyle w:val="StyleHeader1-ClausesLeft0Hanging03After0pt"/>
      <w:lvlText w:val="%1."/>
      <w:lvlJc w:val="left"/>
      <w:pPr>
        <w:tabs>
          <w:tab w:val="num" w:pos="572"/>
        </w:tabs>
        <w:ind w:left="572" w:hanging="360"/>
      </w:pPr>
      <w:rPr>
        <w:i w:val="0"/>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253" w15:restartNumberingAfterBreak="0">
    <w:nsid w:val="57482054"/>
    <w:multiLevelType w:val="hybridMultilevel"/>
    <w:tmpl w:val="D03AC756"/>
    <w:lvl w:ilvl="0" w:tplc="99A834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15:restartNumberingAfterBreak="0">
    <w:nsid w:val="57621A18"/>
    <w:multiLevelType w:val="hybridMultilevel"/>
    <w:tmpl w:val="8E2A4774"/>
    <w:lvl w:ilvl="0" w:tplc="0ECE4660">
      <w:start w:val="1"/>
      <w:numFmt w:val="bullet"/>
      <w:pStyle w:val="Listebullet-dernier"/>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255" w15:restartNumberingAfterBreak="0">
    <w:nsid w:val="57923C58"/>
    <w:multiLevelType w:val="hybridMultilevel"/>
    <w:tmpl w:val="6EB0DFB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6" w15:restartNumberingAfterBreak="0">
    <w:nsid w:val="579C53D4"/>
    <w:multiLevelType w:val="hybridMultilevel"/>
    <w:tmpl w:val="ECCC0270"/>
    <w:lvl w:ilvl="0" w:tplc="81E6EC6C">
      <w:numFmt w:val="bullet"/>
      <w:pStyle w:val="Pucestableau"/>
      <w:lvlText w:val="-"/>
      <w:lvlJc w:val="left"/>
      <w:pPr>
        <w:ind w:left="360" w:hanging="360"/>
      </w:pPr>
      <w:rPr>
        <w:rFonts w:hint="default"/>
      </w:rPr>
    </w:lvl>
    <w:lvl w:ilvl="1" w:tplc="9BF6CBDC" w:tentative="1">
      <w:start w:val="1"/>
      <w:numFmt w:val="bullet"/>
      <w:lvlText w:val="o"/>
      <w:lvlJc w:val="left"/>
      <w:pPr>
        <w:ind w:left="1080" w:hanging="360"/>
      </w:pPr>
      <w:rPr>
        <w:rFonts w:ascii="Courier New" w:hAnsi="Courier New" w:cs="Courier New" w:hint="default"/>
      </w:rPr>
    </w:lvl>
    <w:lvl w:ilvl="2" w:tplc="74CAF650" w:tentative="1">
      <w:start w:val="1"/>
      <w:numFmt w:val="bullet"/>
      <w:lvlText w:val=""/>
      <w:lvlJc w:val="left"/>
      <w:pPr>
        <w:ind w:left="1800" w:hanging="360"/>
      </w:pPr>
      <w:rPr>
        <w:rFonts w:ascii="Wingdings" w:hAnsi="Wingdings" w:hint="default"/>
      </w:rPr>
    </w:lvl>
    <w:lvl w:ilvl="3" w:tplc="EC4A96FA" w:tentative="1">
      <w:start w:val="1"/>
      <w:numFmt w:val="bullet"/>
      <w:lvlText w:val=""/>
      <w:lvlJc w:val="left"/>
      <w:pPr>
        <w:ind w:left="2520" w:hanging="360"/>
      </w:pPr>
      <w:rPr>
        <w:rFonts w:ascii="Symbol" w:hAnsi="Symbol" w:hint="default"/>
      </w:rPr>
    </w:lvl>
    <w:lvl w:ilvl="4" w:tplc="7A4EA0F4" w:tentative="1">
      <w:start w:val="1"/>
      <w:numFmt w:val="bullet"/>
      <w:lvlText w:val="o"/>
      <w:lvlJc w:val="left"/>
      <w:pPr>
        <w:ind w:left="3240" w:hanging="360"/>
      </w:pPr>
      <w:rPr>
        <w:rFonts w:ascii="Courier New" w:hAnsi="Courier New" w:cs="Courier New" w:hint="default"/>
      </w:rPr>
    </w:lvl>
    <w:lvl w:ilvl="5" w:tplc="53EE277E" w:tentative="1">
      <w:start w:val="1"/>
      <w:numFmt w:val="bullet"/>
      <w:lvlText w:val=""/>
      <w:lvlJc w:val="left"/>
      <w:pPr>
        <w:ind w:left="3960" w:hanging="360"/>
      </w:pPr>
      <w:rPr>
        <w:rFonts w:ascii="Wingdings" w:hAnsi="Wingdings" w:hint="default"/>
      </w:rPr>
    </w:lvl>
    <w:lvl w:ilvl="6" w:tplc="99DE53E0" w:tentative="1">
      <w:start w:val="1"/>
      <w:numFmt w:val="bullet"/>
      <w:lvlText w:val=""/>
      <w:lvlJc w:val="left"/>
      <w:pPr>
        <w:ind w:left="4680" w:hanging="360"/>
      </w:pPr>
      <w:rPr>
        <w:rFonts w:ascii="Symbol" w:hAnsi="Symbol" w:hint="default"/>
      </w:rPr>
    </w:lvl>
    <w:lvl w:ilvl="7" w:tplc="1E3A18B2" w:tentative="1">
      <w:start w:val="1"/>
      <w:numFmt w:val="bullet"/>
      <w:lvlText w:val="o"/>
      <w:lvlJc w:val="left"/>
      <w:pPr>
        <w:ind w:left="5400" w:hanging="360"/>
      </w:pPr>
      <w:rPr>
        <w:rFonts w:ascii="Courier New" w:hAnsi="Courier New" w:cs="Courier New" w:hint="default"/>
      </w:rPr>
    </w:lvl>
    <w:lvl w:ilvl="8" w:tplc="DE4E145C" w:tentative="1">
      <w:start w:val="1"/>
      <w:numFmt w:val="bullet"/>
      <w:lvlText w:val=""/>
      <w:lvlJc w:val="left"/>
      <w:pPr>
        <w:ind w:left="6120" w:hanging="360"/>
      </w:pPr>
      <w:rPr>
        <w:rFonts w:ascii="Wingdings" w:hAnsi="Wingdings" w:hint="default"/>
      </w:rPr>
    </w:lvl>
  </w:abstractNum>
  <w:abstractNum w:abstractNumId="257" w15:restartNumberingAfterBreak="0">
    <w:nsid w:val="57D664E5"/>
    <w:multiLevelType w:val="hybridMultilevel"/>
    <w:tmpl w:val="D21CFDF2"/>
    <w:lvl w:ilvl="0" w:tplc="E334E61A">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8" w15:restartNumberingAfterBreak="0">
    <w:nsid w:val="57DE19FB"/>
    <w:multiLevelType w:val="hybridMultilevel"/>
    <w:tmpl w:val="B7CA5A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9" w15:restartNumberingAfterBreak="0">
    <w:nsid w:val="586556B6"/>
    <w:multiLevelType w:val="hybridMultilevel"/>
    <w:tmpl w:val="A8E2512C"/>
    <w:lvl w:ilvl="0" w:tplc="26306BA6">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0" w15:restartNumberingAfterBreak="0">
    <w:nsid w:val="58852F3F"/>
    <w:multiLevelType w:val="hybridMultilevel"/>
    <w:tmpl w:val="628E4F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1" w15:restartNumberingAfterBreak="0">
    <w:nsid w:val="59380445"/>
    <w:multiLevelType w:val="hybridMultilevel"/>
    <w:tmpl w:val="093EE7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2" w15:restartNumberingAfterBreak="0">
    <w:nsid w:val="594339FE"/>
    <w:multiLevelType w:val="hybridMultilevel"/>
    <w:tmpl w:val="F7A868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3" w15:restartNumberingAfterBreak="0">
    <w:nsid w:val="59636A18"/>
    <w:multiLevelType w:val="hybridMultilevel"/>
    <w:tmpl w:val="CE16DCAA"/>
    <w:lvl w:ilvl="0" w:tplc="68CCF72C">
      <w:start w:val="1"/>
      <w:numFmt w:val="bullet"/>
      <w:lvlText w:val=""/>
      <w:lvlJc w:val="left"/>
      <w:pPr>
        <w:ind w:left="587"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4" w15:restartNumberingAfterBreak="0">
    <w:nsid w:val="596A709B"/>
    <w:multiLevelType w:val="multilevel"/>
    <w:tmpl w:val="9236AADE"/>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5" w15:restartNumberingAfterBreak="0">
    <w:nsid w:val="5B016D4B"/>
    <w:multiLevelType w:val="hybridMultilevel"/>
    <w:tmpl w:val="2FC865AA"/>
    <w:lvl w:ilvl="0" w:tplc="46547DCA">
      <w:numFmt w:val="bullet"/>
      <w:lvlText w:val="-"/>
      <w:lvlJc w:val="left"/>
      <w:pPr>
        <w:ind w:left="360" w:hanging="360"/>
      </w:pPr>
      <w:rPr>
        <w:rFonts w:ascii="Arial" w:eastAsia="Times New Roman" w:hAnsi="Arial" w:cs="Arial" w:hint="default"/>
        <w:color w:val="auto"/>
        <w:sz w:val="22"/>
        <w:szCs w:val="2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6" w15:restartNumberingAfterBreak="0">
    <w:nsid w:val="5E192341"/>
    <w:multiLevelType w:val="multilevel"/>
    <w:tmpl w:val="2902A63A"/>
    <w:lvl w:ilvl="0">
      <w:start w:val="1"/>
      <w:numFmt w:val="decimal"/>
      <w:pStyle w:val="Titre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CHAPITRE1"/>
      <w:lvlText w:val="%1.%2.%3."/>
      <w:lvlJc w:val="left"/>
      <w:pPr>
        <w:ind w:left="1224" w:hanging="504"/>
      </w:pPr>
      <w:rPr>
        <w:rFonts w:hint="default"/>
      </w:rPr>
    </w:lvl>
    <w:lvl w:ilvl="3">
      <w:start w:val="1"/>
      <w:numFmt w:val="decimal"/>
      <w:lvlText w:val="%1.%2.%3.%4."/>
      <w:lvlJc w:val="left"/>
      <w:pPr>
        <w:ind w:left="1728" w:hanging="648"/>
      </w:pPr>
      <w:rPr>
        <w:rFonts w:hint="default"/>
        <w:i/>
        <w:i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7" w15:restartNumberingAfterBreak="0">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8" w15:restartNumberingAfterBreak="0">
    <w:nsid w:val="5E750B61"/>
    <w:multiLevelType w:val="hybridMultilevel"/>
    <w:tmpl w:val="87E62D5E"/>
    <w:lvl w:ilvl="0" w:tplc="040C0001">
      <w:numFmt w:val="bullet"/>
      <w:lvlText w:val="-"/>
      <w:lvlJc w:val="left"/>
      <w:pPr>
        <w:ind w:left="720" w:hanging="360"/>
      </w:pPr>
      <w:rPr>
        <w:rFonts w:ascii="Times New Roman" w:eastAsia="Times New Roman" w:hAnsi="Times New Roman" w:cs="Times New Roman" w:hint="default"/>
        <w:b/>
        <w:i w:val="0"/>
        <w:color w:val="auto"/>
        <w:sz w:val="20"/>
        <w:szCs w:val="2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9" w15:restartNumberingAfterBreak="0">
    <w:nsid w:val="5E831932"/>
    <w:multiLevelType w:val="hybridMultilevel"/>
    <w:tmpl w:val="C54EC43A"/>
    <w:lvl w:ilvl="0" w:tplc="6AE09CCA">
      <w:start w:val="10"/>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0" w15:restartNumberingAfterBreak="0">
    <w:nsid w:val="5ECE45D8"/>
    <w:multiLevelType w:val="hybridMultilevel"/>
    <w:tmpl w:val="0712783C"/>
    <w:lvl w:ilvl="0" w:tplc="2E90A764">
      <w:numFmt w:val="bullet"/>
      <w:pStyle w:val="Nomal"/>
      <w:lvlText w:val=""/>
      <w:lvlJc w:val="left"/>
      <w:pPr>
        <w:ind w:left="502" w:hanging="360"/>
      </w:pPr>
      <w:rPr>
        <w:rFonts w:ascii="Symbol" w:hAnsi="Symbol" w:hint="default"/>
        <w:b/>
        <w:color w:val="auto"/>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1" w15:restartNumberingAfterBreak="0">
    <w:nsid w:val="5EDD0BDD"/>
    <w:multiLevelType w:val="multilevel"/>
    <w:tmpl w:val="EBA2346A"/>
    <w:lvl w:ilvl="0">
      <w:start w:val="1"/>
      <w:numFmt w:val="decimal"/>
      <w:pStyle w:val="DFSTitre3"/>
      <w:lvlText w:val="%1."/>
      <w:lvlJc w:val="left"/>
      <w:pPr>
        <w:tabs>
          <w:tab w:val="num" w:pos="1134"/>
        </w:tabs>
        <w:ind w:left="1134" w:hanging="1134"/>
      </w:pPr>
      <w:rPr>
        <w:rFonts w:cs="Times New Roman" w:hint="default"/>
      </w:rPr>
    </w:lvl>
    <w:lvl w:ilvl="1">
      <w:start w:val="1"/>
      <w:numFmt w:val="decimal"/>
      <w:pStyle w:val="DFSTitre4"/>
      <w:lvlText w:val="%1.%2"/>
      <w:lvlJc w:val="left"/>
      <w:pPr>
        <w:tabs>
          <w:tab w:val="num" w:pos="1134"/>
        </w:tabs>
        <w:ind w:left="1134" w:hanging="1134"/>
      </w:pPr>
      <w:rPr>
        <w:rFonts w:cs="Times New Roman" w:hint="default"/>
      </w:rPr>
    </w:lvl>
    <w:lvl w:ilvl="2">
      <w:start w:val="1"/>
      <w:numFmt w:val="decimal"/>
      <w:pStyle w:val="DFSTitre3"/>
      <w:lvlText w:val="%1.%2.%3"/>
      <w:lvlJc w:val="left"/>
      <w:pPr>
        <w:tabs>
          <w:tab w:val="num" w:pos="1702"/>
        </w:tabs>
        <w:ind w:left="1702" w:hanging="1134"/>
      </w:pPr>
      <w:rPr>
        <w:rFonts w:cs="Times New Roman" w:hint="default"/>
        <w:b w:val="0"/>
        <w:color w:val="auto"/>
      </w:rPr>
    </w:lvl>
    <w:lvl w:ilvl="3">
      <w:start w:val="1"/>
      <w:numFmt w:val="decimal"/>
      <w:pStyle w:val="DFSTitre4"/>
      <w:lvlText w:val="%1.%2.%3.%4"/>
      <w:lvlJc w:val="left"/>
      <w:pPr>
        <w:tabs>
          <w:tab w:val="num" w:pos="1134"/>
        </w:tabs>
        <w:ind w:left="1134" w:hanging="1134"/>
      </w:pPr>
      <w:rPr>
        <w:rFonts w:cs="Times New Roman" w:hint="default"/>
      </w:rPr>
    </w:lvl>
    <w:lvl w:ilvl="4">
      <w:start w:val="1"/>
      <w:numFmt w:val="lowerRoman"/>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2" w15:restartNumberingAfterBreak="0">
    <w:nsid w:val="5EF6449A"/>
    <w:multiLevelType w:val="hybridMultilevel"/>
    <w:tmpl w:val="B7EC8050"/>
    <w:lvl w:ilvl="0" w:tplc="040C0001">
      <w:start w:val="1"/>
      <w:numFmt w:val="bullet"/>
      <w:lvlText w:val=""/>
      <w:lvlJc w:val="left"/>
      <w:pPr>
        <w:ind w:left="36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73" w15:restartNumberingAfterBreak="0">
    <w:nsid w:val="5F145B14"/>
    <w:multiLevelType w:val="hybridMultilevel"/>
    <w:tmpl w:val="BE983D1E"/>
    <w:lvl w:ilvl="0" w:tplc="14BA808A">
      <w:start w:val="1"/>
      <w:numFmt w:val="low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74" w15:restartNumberingAfterBreak="0">
    <w:nsid w:val="60085848"/>
    <w:multiLevelType w:val="hybridMultilevel"/>
    <w:tmpl w:val="EF9A8712"/>
    <w:lvl w:ilvl="0" w:tplc="E162F742">
      <w:start w:val="4"/>
      <w:numFmt w:val="bullet"/>
      <w:lvlText w:val="-"/>
      <w:lvlJc w:val="left"/>
      <w:pPr>
        <w:ind w:left="720" w:hanging="360"/>
      </w:pPr>
      <w:rPr>
        <w:rFonts w:ascii="Arial" w:eastAsia="Times New Roman" w:hAnsi="Arial" w:cs="Arial" w:hint="default"/>
        <w:b/>
        <w:bCs w:val="0"/>
        <w:i w:val="0"/>
        <w:iCs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5" w15:restartNumberingAfterBreak="0">
    <w:nsid w:val="601D7FCF"/>
    <w:multiLevelType w:val="hybridMultilevel"/>
    <w:tmpl w:val="2E2CAFC8"/>
    <w:lvl w:ilvl="0" w:tplc="2520B51C">
      <w:numFmt w:val="bullet"/>
      <w:lvlText w:val=""/>
      <w:lvlJc w:val="left"/>
      <w:pPr>
        <w:ind w:left="720" w:hanging="360"/>
      </w:pPr>
      <w:rPr>
        <w:rFonts w:ascii="Wingdings" w:hAnsi="Wingdings" w:hint="default"/>
        <w:color w:val="auto"/>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276" w15:restartNumberingAfterBreak="0">
    <w:nsid w:val="60543045"/>
    <w:multiLevelType w:val="hybridMultilevel"/>
    <w:tmpl w:val="4E00AE66"/>
    <w:lvl w:ilvl="0" w:tplc="040C000D">
      <w:start w:val="1"/>
      <w:numFmt w:val="bullet"/>
      <w:lvlText w:val=""/>
      <w:lvlJc w:val="left"/>
      <w:pPr>
        <w:ind w:left="1018" w:hanging="360"/>
      </w:pPr>
      <w:rPr>
        <w:rFonts w:ascii="Wingdings" w:hAnsi="Wingdings" w:hint="default"/>
        <w:b w:val="0"/>
        <w:bCs w:val="0"/>
        <w:i w:val="0"/>
        <w:iCs w:val="0"/>
        <w:w w:val="99"/>
        <w:sz w:val="20"/>
        <w:szCs w:val="20"/>
        <w:lang w:val="fr-FR" w:eastAsia="en-US" w:bidi="ar-SA"/>
      </w:rPr>
    </w:lvl>
    <w:lvl w:ilvl="1" w:tplc="040C0003" w:tentative="1">
      <w:start w:val="1"/>
      <w:numFmt w:val="bullet"/>
      <w:lvlText w:val="o"/>
      <w:lvlJc w:val="left"/>
      <w:pPr>
        <w:ind w:left="1738" w:hanging="360"/>
      </w:pPr>
      <w:rPr>
        <w:rFonts w:ascii="Courier New" w:hAnsi="Courier New" w:cs="Courier New" w:hint="default"/>
      </w:rPr>
    </w:lvl>
    <w:lvl w:ilvl="2" w:tplc="040C0005" w:tentative="1">
      <w:start w:val="1"/>
      <w:numFmt w:val="bullet"/>
      <w:lvlText w:val=""/>
      <w:lvlJc w:val="left"/>
      <w:pPr>
        <w:ind w:left="2458" w:hanging="360"/>
      </w:pPr>
      <w:rPr>
        <w:rFonts w:ascii="Wingdings" w:hAnsi="Wingdings" w:hint="default"/>
      </w:rPr>
    </w:lvl>
    <w:lvl w:ilvl="3" w:tplc="040C0001" w:tentative="1">
      <w:start w:val="1"/>
      <w:numFmt w:val="bullet"/>
      <w:lvlText w:val=""/>
      <w:lvlJc w:val="left"/>
      <w:pPr>
        <w:ind w:left="3178" w:hanging="360"/>
      </w:pPr>
      <w:rPr>
        <w:rFonts w:ascii="Symbol" w:hAnsi="Symbol" w:hint="default"/>
      </w:rPr>
    </w:lvl>
    <w:lvl w:ilvl="4" w:tplc="040C0003" w:tentative="1">
      <w:start w:val="1"/>
      <w:numFmt w:val="bullet"/>
      <w:lvlText w:val="o"/>
      <w:lvlJc w:val="left"/>
      <w:pPr>
        <w:ind w:left="3898" w:hanging="360"/>
      </w:pPr>
      <w:rPr>
        <w:rFonts w:ascii="Courier New" w:hAnsi="Courier New" w:cs="Courier New" w:hint="default"/>
      </w:rPr>
    </w:lvl>
    <w:lvl w:ilvl="5" w:tplc="040C0005" w:tentative="1">
      <w:start w:val="1"/>
      <w:numFmt w:val="bullet"/>
      <w:lvlText w:val=""/>
      <w:lvlJc w:val="left"/>
      <w:pPr>
        <w:ind w:left="4618" w:hanging="360"/>
      </w:pPr>
      <w:rPr>
        <w:rFonts w:ascii="Wingdings" w:hAnsi="Wingdings" w:hint="default"/>
      </w:rPr>
    </w:lvl>
    <w:lvl w:ilvl="6" w:tplc="040C0001" w:tentative="1">
      <w:start w:val="1"/>
      <w:numFmt w:val="bullet"/>
      <w:lvlText w:val=""/>
      <w:lvlJc w:val="left"/>
      <w:pPr>
        <w:ind w:left="5338" w:hanging="360"/>
      </w:pPr>
      <w:rPr>
        <w:rFonts w:ascii="Symbol" w:hAnsi="Symbol" w:hint="default"/>
      </w:rPr>
    </w:lvl>
    <w:lvl w:ilvl="7" w:tplc="040C0003" w:tentative="1">
      <w:start w:val="1"/>
      <w:numFmt w:val="bullet"/>
      <w:lvlText w:val="o"/>
      <w:lvlJc w:val="left"/>
      <w:pPr>
        <w:ind w:left="6058" w:hanging="360"/>
      </w:pPr>
      <w:rPr>
        <w:rFonts w:ascii="Courier New" w:hAnsi="Courier New" w:cs="Courier New" w:hint="default"/>
      </w:rPr>
    </w:lvl>
    <w:lvl w:ilvl="8" w:tplc="040C0005" w:tentative="1">
      <w:start w:val="1"/>
      <w:numFmt w:val="bullet"/>
      <w:lvlText w:val=""/>
      <w:lvlJc w:val="left"/>
      <w:pPr>
        <w:ind w:left="6778" w:hanging="360"/>
      </w:pPr>
      <w:rPr>
        <w:rFonts w:ascii="Wingdings" w:hAnsi="Wingdings" w:hint="default"/>
      </w:rPr>
    </w:lvl>
  </w:abstractNum>
  <w:abstractNum w:abstractNumId="277" w15:restartNumberingAfterBreak="0">
    <w:nsid w:val="60EE506B"/>
    <w:multiLevelType w:val="hybridMultilevel"/>
    <w:tmpl w:val="E3B2AF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8" w15:restartNumberingAfterBreak="0">
    <w:nsid w:val="61274EE7"/>
    <w:multiLevelType w:val="hybridMultilevel"/>
    <w:tmpl w:val="8A2C320C"/>
    <w:styleLink w:val="Style233"/>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9" w15:restartNumberingAfterBreak="0">
    <w:nsid w:val="61913E30"/>
    <w:multiLevelType w:val="hybridMultilevel"/>
    <w:tmpl w:val="E6E8D3C6"/>
    <w:lvl w:ilvl="0" w:tplc="FFFFFFFF">
      <w:start w:val="1"/>
      <w:numFmt w:val="bullet"/>
      <w:pStyle w:val="Lgendedestableaux"/>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Wingding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Wingdings" w:hint="default"/>
      </w:rPr>
    </w:lvl>
    <w:lvl w:ilvl="8" w:tplc="FFFFFFFF" w:tentative="1">
      <w:start w:val="1"/>
      <w:numFmt w:val="bullet"/>
      <w:lvlText w:val=""/>
      <w:lvlJc w:val="left"/>
      <w:pPr>
        <w:ind w:left="6480" w:hanging="360"/>
      </w:pPr>
      <w:rPr>
        <w:rFonts w:ascii="Wingdings" w:hAnsi="Wingdings" w:hint="default"/>
      </w:rPr>
    </w:lvl>
  </w:abstractNum>
  <w:abstractNum w:abstractNumId="280" w15:restartNumberingAfterBreak="0">
    <w:nsid w:val="624B255C"/>
    <w:multiLevelType w:val="hybridMultilevel"/>
    <w:tmpl w:val="C8D8B7A6"/>
    <w:lvl w:ilvl="0" w:tplc="26306BA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1" w15:restartNumberingAfterBreak="0">
    <w:nsid w:val="627F6938"/>
    <w:multiLevelType w:val="hybridMultilevel"/>
    <w:tmpl w:val="D166C21C"/>
    <w:lvl w:ilvl="0" w:tplc="040C0007">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2" w15:restartNumberingAfterBreak="0">
    <w:nsid w:val="62B744DB"/>
    <w:multiLevelType w:val="hybridMultilevel"/>
    <w:tmpl w:val="BA4C742C"/>
    <w:lvl w:ilvl="0" w:tplc="1690E9D6">
      <w:start w:val="1"/>
      <w:numFmt w:val="bullet"/>
      <w:pStyle w:val="StyleListe"/>
      <w:lvlText w:val=""/>
      <w:lvlJc w:val="left"/>
      <w:pPr>
        <w:ind w:left="579" w:hanging="360"/>
      </w:pPr>
      <w:rPr>
        <w:rFonts w:ascii="Wingdings" w:hAnsi="Wingdings" w:hint="default"/>
      </w:rPr>
    </w:lvl>
    <w:lvl w:ilvl="1" w:tplc="040C0003" w:tentative="1">
      <w:start w:val="1"/>
      <w:numFmt w:val="bullet"/>
      <w:lvlText w:val="o"/>
      <w:lvlJc w:val="left"/>
      <w:pPr>
        <w:ind w:left="1299" w:hanging="360"/>
      </w:pPr>
      <w:rPr>
        <w:rFonts w:ascii="Courier New" w:hAnsi="Courier New" w:cs="Courier New" w:hint="default"/>
      </w:rPr>
    </w:lvl>
    <w:lvl w:ilvl="2" w:tplc="040C0005" w:tentative="1">
      <w:start w:val="1"/>
      <w:numFmt w:val="bullet"/>
      <w:lvlText w:val=""/>
      <w:lvlJc w:val="left"/>
      <w:pPr>
        <w:ind w:left="2019" w:hanging="360"/>
      </w:pPr>
      <w:rPr>
        <w:rFonts w:ascii="Wingdings" w:hAnsi="Wingdings" w:hint="default"/>
      </w:rPr>
    </w:lvl>
    <w:lvl w:ilvl="3" w:tplc="040C0001" w:tentative="1">
      <w:start w:val="1"/>
      <w:numFmt w:val="bullet"/>
      <w:lvlText w:val=""/>
      <w:lvlJc w:val="left"/>
      <w:pPr>
        <w:ind w:left="2739" w:hanging="360"/>
      </w:pPr>
      <w:rPr>
        <w:rFonts w:ascii="Symbol" w:hAnsi="Symbol" w:hint="default"/>
      </w:rPr>
    </w:lvl>
    <w:lvl w:ilvl="4" w:tplc="040C0003" w:tentative="1">
      <w:start w:val="1"/>
      <w:numFmt w:val="bullet"/>
      <w:lvlText w:val="o"/>
      <w:lvlJc w:val="left"/>
      <w:pPr>
        <w:ind w:left="3459" w:hanging="360"/>
      </w:pPr>
      <w:rPr>
        <w:rFonts w:ascii="Courier New" w:hAnsi="Courier New" w:cs="Courier New" w:hint="default"/>
      </w:rPr>
    </w:lvl>
    <w:lvl w:ilvl="5" w:tplc="040C0005" w:tentative="1">
      <w:start w:val="1"/>
      <w:numFmt w:val="bullet"/>
      <w:lvlText w:val=""/>
      <w:lvlJc w:val="left"/>
      <w:pPr>
        <w:ind w:left="4179" w:hanging="360"/>
      </w:pPr>
      <w:rPr>
        <w:rFonts w:ascii="Wingdings" w:hAnsi="Wingdings" w:hint="default"/>
      </w:rPr>
    </w:lvl>
    <w:lvl w:ilvl="6" w:tplc="040C0001" w:tentative="1">
      <w:start w:val="1"/>
      <w:numFmt w:val="bullet"/>
      <w:lvlText w:val=""/>
      <w:lvlJc w:val="left"/>
      <w:pPr>
        <w:ind w:left="4899" w:hanging="360"/>
      </w:pPr>
      <w:rPr>
        <w:rFonts w:ascii="Symbol" w:hAnsi="Symbol" w:hint="default"/>
      </w:rPr>
    </w:lvl>
    <w:lvl w:ilvl="7" w:tplc="040C0003" w:tentative="1">
      <w:start w:val="1"/>
      <w:numFmt w:val="bullet"/>
      <w:lvlText w:val="o"/>
      <w:lvlJc w:val="left"/>
      <w:pPr>
        <w:ind w:left="5619" w:hanging="360"/>
      </w:pPr>
      <w:rPr>
        <w:rFonts w:ascii="Courier New" w:hAnsi="Courier New" w:cs="Courier New" w:hint="default"/>
      </w:rPr>
    </w:lvl>
    <w:lvl w:ilvl="8" w:tplc="040C0005" w:tentative="1">
      <w:start w:val="1"/>
      <w:numFmt w:val="bullet"/>
      <w:lvlText w:val=""/>
      <w:lvlJc w:val="left"/>
      <w:pPr>
        <w:ind w:left="6339" w:hanging="360"/>
      </w:pPr>
      <w:rPr>
        <w:rFonts w:ascii="Wingdings" w:hAnsi="Wingdings" w:hint="default"/>
      </w:rPr>
    </w:lvl>
  </w:abstractNum>
  <w:abstractNum w:abstractNumId="283" w15:restartNumberingAfterBreak="0">
    <w:nsid w:val="632719F5"/>
    <w:multiLevelType w:val="hybridMultilevel"/>
    <w:tmpl w:val="FDE2688E"/>
    <w:lvl w:ilvl="0" w:tplc="E162F742">
      <w:start w:val="4"/>
      <w:numFmt w:val="bullet"/>
      <w:lvlText w:val="-"/>
      <w:lvlJc w:val="left"/>
      <w:pPr>
        <w:ind w:left="720" w:hanging="360"/>
      </w:pPr>
      <w:rPr>
        <w:rFonts w:ascii="Arial" w:eastAsia="Times New Roman" w:hAnsi="Arial" w:cs="Arial" w:hint="default"/>
        <w:b/>
        <w:bCs w:val="0"/>
        <w:i w:val="0"/>
        <w:iCs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4" w15:restartNumberingAfterBreak="0">
    <w:nsid w:val="642B0F3B"/>
    <w:multiLevelType w:val="hybridMultilevel"/>
    <w:tmpl w:val="D57CA536"/>
    <w:styleLink w:val="WarmGray11"/>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5" w15:restartNumberingAfterBreak="0">
    <w:nsid w:val="642D51B7"/>
    <w:multiLevelType w:val="multilevel"/>
    <w:tmpl w:val="642D51B7"/>
    <w:lvl w:ilvl="0">
      <w:start w:val="1"/>
      <w:numFmt w:val="bullet"/>
      <w:pStyle w:val="BulletList"/>
      <w:lvlText w:val=""/>
      <w:lvlJc w:val="left"/>
      <w:rPr>
        <w:rFonts w:ascii="Symbol" w:hAnsi="Symbol" w:hint="default"/>
        <w:b w:val="0"/>
        <w:bCs w:val="0"/>
        <w:i w:val="0"/>
        <w:iCs w:val="0"/>
        <w:caps w:val="0"/>
        <w:smallCaps w:val="0"/>
        <w:strike w:val="0"/>
        <w:dstrike w:val="0"/>
        <w:vanish w:val="0"/>
        <w:color w:val="003366"/>
        <w:spacing w:val="0"/>
        <w:position w:val="0"/>
        <w:u w:val="none"/>
        <w:vertAlign w:val="baseline"/>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86" w15:restartNumberingAfterBreak="0">
    <w:nsid w:val="643F1C53"/>
    <w:multiLevelType w:val="hybridMultilevel"/>
    <w:tmpl w:val="A1549A9A"/>
    <w:lvl w:ilvl="0" w:tplc="929E606A">
      <w:start w:val="1"/>
      <w:numFmt w:val="bullet"/>
      <w:lvlText w:val="•"/>
      <w:lvlJc w:val="left"/>
      <w:pPr>
        <w:ind w:left="4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32365E">
      <w:start w:val="1"/>
      <w:numFmt w:val="bullet"/>
      <w:lvlText w:val="-"/>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127D46">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167ED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7A472C">
      <w:start w:val="1"/>
      <w:numFmt w:val="bullet"/>
      <w:lvlText w:val="o"/>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C0A762">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D6B1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EE0254">
      <w:start w:val="1"/>
      <w:numFmt w:val="bullet"/>
      <w:lvlText w:val="o"/>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D21C76">
      <w:start w:val="1"/>
      <w:numFmt w:val="bullet"/>
      <w:lvlText w:val="▪"/>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7" w15:restartNumberingAfterBreak="0">
    <w:nsid w:val="64DB6420"/>
    <w:multiLevelType w:val="hybridMultilevel"/>
    <w:tmpl w:val="E31672FC"/>
    <w:lvl w:ilvl="0" w:tplc="040C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8" w15:restartNumberingAfterBreak="0">
    <w:nsid w:val="64F97969"/>
    <w:multiLevelType w:val="hybridMultilevel"/>
    <w:tmpl w:val="1A5CABDE"/>
    <w:lvl w:ilvl="0" w:tplc="040C0001">
      <w:start w:val="1"/>
      <w:numFmt w:val="bullet"/>
      <w:pStyle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9" w15:restartNumberingAfterBreak="0">
    <w:nsid w:val="65385618"/>
    <w:multiLevelType w:val="multilevel"/>
    <w:tmpl w:val="90BAB174"/>
    <w:lvl w:ilvl="0">
      <w:start w:val="1"/>
      <w:numFmt w:val="decimal"/>
      <w:lvlText w:val="%1."/>
      <w:lvlJc w:val="left"/>
      <w:pPr>
        <w:ind w:left="432" w:hanging="432"/>
      </w:pPr>
      <w:rPr>
        <w:rFonts w:hint="default"/>
        <w:caps/>
      </w:rPr>
    </w:lvl>
    <w:lvl w:ilvl="1">
      <w:start w:val="1"/>
      <w:numFmt w:val="decimal"/>
      <w:lvlText w:val="%2."/>
      <w:lvlJc w:val="left"/>
      <w:pPr>
        <w:ind w:left="360" w:hanging="360"/>
      </w:pPr>
      <w:rPr>
        <w:rFonts w:hint="default"/>
        <w:b/>
      </w:rPr>
    </w:lvl>
    <w:lvl w:ilvl="2">
      <w:start w:val="1"/>
      <w:numFmt w:val="decimal"/>
      <w:pStyle w:val="Titre30"/>
      <w:lvlText w:val="%1.%2.%3"/>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itre40"/>
      <w:lvlText w:val="%1.%2.%3.%4"/>
      <w:lvlJc w:val="left"/>
      <w:pPr>
        <w:ind w:left="864" w:hanging="864"/>
      </w:pPr>
      <w:rPr>
        <w:rFonts w:hint="default"/>
      </w:rPr>
    </w:lvl>
    <w:lvl w:ilvl="4">
      <w:start w:val="1"/>
      <w:numFmt w:val="decimal"/>
      <w:pStyle w:val="Titre50"/>
      <w:lvlText w:val="%1.%2.%3.%4.%5"/>
      <w:lvlJc w:val="left"/>
      <w:pPr>
        <w:ind w:left="1008" w:hanging="1008"/>
      </w:pPr>
      <w:rPr>
        <w:rFonts w:hint="default"/>
      </w:rPr>
    </w:lvl>
    <w:lvl w:ilvl="5">
      <w:start w:val="1"/>
      <w:numFmt w:val="decimal"/>
      <w:pStyle w:val="Titre60"/>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290" w15:restartNumberingAfterBreak="0">
    <w:nsid w:val="653F727C"/>
    <w:multiLevelType w:val="hybridMultilevel"/>
    <w:tmpl w:val="8A22BC14"/>
    <w:lvl w:ilvl="0" w:tplc="2520B51C">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1" w15:restartNumberingAfterBreak="0">
    <w:nsid w:val="6548469F"/>
    <w:multiLevelType w:val="hybridMultilevel"/>
    <w:tmpl w:val="34700E46"/>
    <w:lvl w:ilvl="0" w:tplc="FFFFFFFF">
      <w:start w:val="1"/>
      <w:numFmt w:val="bullet"/>
      <w:pStyle w:val="Puce2"/>
      <w:lvlText w:val=""/>
      <w:lvlJc w:val="left"/>
      <w:pPr>
        <w:tabs>
          <w:tab w:val="num" w:pos="1304"/>
        </w:tabs>
        <w:ind w:left="1304" w:hanging="397"/>
      </w:pPr>
      <w:rPr>
        <w:rFonts w:ascii="Wingdings" w:hAnsi="Wingdings" w:hint="default"/>
      </w:rPr>
    </w:lvl>
    <w:lvl w:ilvl="1" w:tplc="FFFFFFFF">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2" w15:restartNumberingAfterBreak="0">
    <w:nsid w:val="65C57BC3"/>
    <w:multiLevelType w:val="hybridMultilevel"/>
    <w:tmpl w:val="6A1401A4"/>
    <w:lvl w:ilvl="0" w:tplc="E334E61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3" w15:restartNumberingAfterBreak="0">
    <w:nsid w:val="661D4585"/>
    <w:multiLevelType w:val="hybridMultilevel"/>
    <w:tmpl w:val="66DA383E"/>
    <w:lvl w:ilvl="0" w:tplc="19262A8C">
      <w:start w:val="1"/>
      <w:numFmt w:val="bullet"/>
      <w:lvlText w:val=""/>
      <w:lvlJc w:val="left"/>
      <w:pPr>
        <w:ind w:left="720" w:hanging="360"/>
      </w:pPr>
      <w:rPr>
        <w:rFonts w:ascii="Wingdings" w:hAnsi="Wingdings"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94" w15:restartNumberingAfterBreak="0">
    <w:nsid w:val="663C472C"/>
    <w:multiLevelType w:val="hybridMultilevel"/>
    <w:tmpl w:val="0B0ABFD4"/>
    <w:lvl w:ilvl="0" w:tplc="2D36F280">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5" w15:restartNumberingAfterBreak="0">
    <w:nsid w:val="663D7894"/>
    <w:multiLevelType w:val="hybridMultilevel"/>
    <w:tmpl w:val="2D1E601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6" w15:restartNumberingAfterBreak="0">
    <w:nsid w:val="66691090"/>
    <w:multiLevelType w:val="multilevel"/>
    <w:tmpl w:val="DA2EA568"/>
    <w:lvl w:ilvl="0">
      <w:start w:val="1"/>
      <w:numFmt w:val="decimal"/>
      <w:pStyle w:val="St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7" w15:restartNumberingAfterBreak="0">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15:restartNumberingAfterBreak="0">
    <w:nsid w:val="67C25210"/>
    <w:multiLevelType w:val="hybridMultilevel"/>
    <w:tmpl w:val="78BC4F3A"/>
    <w:lvl w:ilvl="0" w:tplc="E334E61A">
      <w:start w:val="1"/>
      <w:numFmt w:val="bullet"/>
      <w:lvlText w:val="•"/>
      <w:lvlJc w:val="left"/>
      <w:pPr>
        <w:ind w:left="467" w:hanging="360"/>
      </w:pPr>
      <w:rPr>
        <w:rFonts w:ascii="Arial" w:eastAsia="Arial" w:hAnsi="Arial" w:cs="Arial" w:hint="default"/>
        <w:b w:val="0"/>
        <w:bCs w:val="0"/>
        <w:i w:val="0"/>
        <w:iCs w:val="0"/>
        <w:strike w:val="0"/>
        <w:dstrike w:val="0"/>
        <w:color w:val="000000"/>
        <w:w w:val="99"/>
        <w:sz w:val="24"/>
        <w:szCs w:val="24"/>
        <w:u w:val="none" w:color="000000"/>
        <w:bdr w:val="none" w:sz="0" w:space="0" w:color="auto"/>
        <w:shd w:val="clear" w:color="auto" w:fill="auto"/>
        <w:vertAlign w:val="baseline"/>
        <w:lang w:val="fr-FR" w:eastAsia="en-US" w:bidi="ar-SA"/>
      </w:rPr>
    </w:lvl>
    <w:lvl w:ilvl="1" w:tplc="FFFFFFFF">
      <w:numFmt w:val="bullet"/>
      <w:lvlText w:val="•"/>
      <w:lvlJc w:val="left"/>
      <w:pPr>
        <w:ind w:left="1159" w:hanging="360"/>
      </w:pPr>
      <w:rPr>
        <w:rFonts w:hint="default"/>
        <w:lang w:val="fr-FR" w:eastAsia="en-US" w:bidi="ar-SA"/>
      </w:rPr>
    </w:lvl>
    <w:lvl w:ilvl="2" w:tplc="FFFFFFFF">
      <w:numFmt w:val="bullet"/>
      <w:lvlText w:val="•"/>
      <w:lvlJc w:val="left"/>
      <w:pPr>
        <w:ind w:left="1858" w:hanging="360"/>
      </w:pPr>
      <w:rPr>
        <w:rFonts w:hint="default"/>
        <w:lang w:val="fr-FR" w:eastAsia="en-US" w:bidi="ar-SA"/>
      </w:rPr>
    </w:lvl>
    <w:lvl w:ilvl="3" w:tplc="FFFFFFFF">
      <w:numFmt w:val="bullet"/>
      <w:lvlText w:val="•"/>
      <w:lvlJc w:val="left"/>
      <w:pPr>
        <w:ind w:left="2558" w:hanging="360"/>
      </w:pPr>
      <w:rPr>
        <w:rFonts w:hint="default"/>
        <w:lang w:val="fr-FR" w:eastAsia="en-US" w:bidi="ar-SA"/>
      </w:rPr>
    </w:lvl>
    <w:lvl w:ilvl="4" w:tplc="FFFFFFFF">
      <w:numFmt w:val="bullet"/>
      <w:lvlText w:val="•"/>
      <w:lvlJc w:val="left"/>
      <w:pPr>
        <w:ind w:left="3257" w:hanging="360"/>
      </w:pPr>
      <w:rPr>
        <w:rFonts w:hint="default"/>
        <w:lang w:val="fr-FR" w:eastAsia="en-US" w:bidi="ar-SA"/>
      </w:rPr>
    </w:lvl>
    <w:lvl w:ilvl="5" w:tplc="FFFFFFFF">
      <w:numFmt w:val="bullet"/>
      <w:lvlText w:val="•"/>
      <w:lvlJc w:val="left"/>
      <w:pPr>
        <w:ind w:left="3957" w:hanging="360"/>
      </w:pPr>
      <w:rPr>
        <w:rFonts w:hint="default"/>
        <w:lang w:val="fr-FR" w:eastAsia="en-US" w:bidi="ar-SA"/>
      </w:rPr>
    </w:lvl>
    <w:lvl w:ilvl="6" w:tplc="FFFFFFFF">
      <w:numFmt w:val="bullet"/>
      <w:lvlText w:val="•"/>
      <w:lvlJc w:val="left"/>
      <w:pPr>
        <w:ind w:left="4656" w:hanging="360"/>
      </w:pPr>
      <w:rPr>
        <w:rFonts w:hint="default"/>
        <w:lang w:val="fr-FR" w:eastAsia="en-US" w:bidi="ar-SA"/>
      </w:rPr>
    </w:lvl>
    <w:lvl w:ilvl="7" w:tplc="FFFFFFFF">
      <w:numFmt w:val="bullet"/>
      <w:lvlText w:val="•"/>
      <w:lvlJc w:val="left"/>
      <w:pPr>
        <w:ind w:left="5355" w:hanging="360"/>
      </w:pPr>
      <w:rPr>
        <w:rFonts w:hint="default"/>
        <w:lang w:val="fr-FR" w:eastAsia="en-US" w:bidi="ar-SA"/>
      </w:rPr>
    </w:lvl>
    <w:lvl w:ilvl="8" w:tplc="FFFFFFFF">
      <w:numFmt w:val="bullet"/>
      <w:lvlText w:val="•"/>
      <w:lvlJc w:val="left"/>
      <w:pPr>
        <w:ind w:left="6055" w:hanging="360"/>
      </w:pPr>
      <w:rPr>
        <w:rFonts w:hint="default"/>
        <w:lang w:val="fr-FR" w:eastAsia="en-US" w:bidi="ar-SA"/>
      </w:rPr>
    </w:lvl>
  </w:abstractNum>
  <w:abstractNum w:abstractNumId="299" w15:restartNumberingAfterBreak="0">
    <w:nsid w:val="68055DFC"/>
    <w:multiLevelType w:val="hybridMultilevel"/>
    <w:tmpl w:val="277C233A"/>
    <w:lvl w:ilvl="0" w:tplc="DFA8B156">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300" w15:restartNumberingAfterBreak="0">
    <w:nsid w:val="68136D19"/>
    <w:multiLevelType w:val="hybridMultilevel"/>
    <w:tmpl w:val="551A2C4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1" w15:restartNumberingAfterBreak="0">
    <w:nsid w:val="6848507A"/>
    <w:multiLevelType w:val="hybridMultilevel"/>
    <w:tmpl w:val="C92C36EC"/>
    <w:lvl w:ilvl="0" w:tplc="04090001">
      <w:start w:val="6"/>
      <w:numFmt w:val="bullet"/>
      <w:lvlText w:val="-"/>
      <w:lvlJc w:val="left"/>
      <w:pPr>
        <w:tabs>
          <w:tab w:val="num" w:pos="1065"/>
        </w:tabs>
        <w:ind w:left="1065" w:hanging="360"/>
      </w:pPr>
      <w:rPr>
        <w:rFonts w:ascii="Times New Roman" w:eastAsia="Times New Roman" w:hAnsi="Times New Roman" w:cs="Times New Roman" w:hint="default"/>
      </w:rPr>
    </w:lvl>
    <w:lvl w:ilvl="1" w:tplc="040C0003">
      <w:start w:val="1"/>
      <w:numFmt w:val="upperRoman"/>
      <w:pStyle w:val="Normalcentr"/>
      <w:lvlText w:val="%2."/>
      <w:lvlJc w:val="right"/>
      <w:pPr>
        <w:tabs>
          <w:tab w:val="num" w:pos="1605"/>
        </w:tabs>
        <w:ind w:left="1605" w:hanging="180"/>
      </w:pPr>
      <w:rPr>
        <w:rFonts w:hint="default"/>
      </w:rPr>
    </w:lvl>
    <w:lvl w:ilvl="2" w:tplc="040C0005">
      <w:start w:val="1"/>
      <w:numFmt w:val="bullet"/>
      <w:lvlText w:val=""/>
      <w:lvlJc w:val="left"/>
      <w:pPr>
        <w:tabs>
          <w:tab w:val="num" w:pos="2505"/>
        </w:tabs>
        <w:ind w:left="2505" w:hanging="360"/>
      </w:pPr>
      <w:rPr>
        <w:rFonts w:ascii="Wingdings" w:hAnsi="Wingdings" w:hint="default"/>
      </w:rPr>
    </w:lvl>
    <w:lvl w:ilvl="3" w:tplc="040C0001">
      <w:numFmt w:val="bullet"/>
      <w:lvlText w:val="-"/>
      <w:lvlJc w:val="left"/>
      <w:pPr>
        <w:tabs>
          <w:tab w:val="num" w:pos="3225"/>
        </w:tabs>
        <w:ind w:left="3225" w:hanging="360"/>
      </w:pPr>
      <w:rPr>
        <w:rFonts w:ascii="Times New Roman" w:eastAsia="Times New Roman" w:hAnsi="Times New Roman" w:cs="Times New Roman" w:hint="default"/>
      </w:rPr>
    </w:lvl>
    <w:lvl w:ilvl="4" w:tplc="040C0003">
      <w:start w:val="3"/>
      <w:numFmt w:val="upperLetter"/>
      <w:lvlText w:val="%5-"/>
      <w:lvlJc w:val="left"/>
      <w:pPr>
        <w:ind w:left="4020" w:hanging="435"/>
      </w:pPr>
      <w:rPr>
        <w:rFonts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302" w15:restartNumberingAfterBreak="0">
    <w:nsid w:val="68863B14"/>
    <w:multiLevelType w:val="hybridMultilevel"/>
    <w:tmpl w:val="309E8D6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3" w15:restartNumberingAfterBreak="0">
    <w:nsid w:val="68E42EAC"/>
    <w:multiLevelType w:val="hybridMultilevel"/>
    <w:tmpl w:val="91A4D99E"/>
    <w:lvl w:ilvl="0" w:tplc="FD9617FA">
      <w:start w:val="4"/>
      <w:numFmt w:val="bullet"/>
      <w:lvlText w:val="-"/>
      <w:lvlJc w:val="left"/>
      <w:pPr>
        <w:ind w:left="720" w:hanging="360"/>
      </w:pPr>
      <w:rPr>
        <w:rFonts w:ascii="Times New Roman" w:eastAsia="Times New Roman" w:hAnsi="Times New Roman" w:cs="Times New Roman" w:hint="default"/>
        <w:b/>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4" w15:restartNumberingAfterBreak="0">
    <w:nsid w:val="68F13D54"/>
    <w:multiLevelType w:val="hybridMultilevel"/>
    <w:tmpl w:val="09FC78A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5" w15:restartNumberingAfterBreak="0">
    <w:nsid w:val="68F95B91"/>
    <w:multiLevelType w:val="hybridMultilevel"/>
    <w:tmpl w:val="34A4C072"/>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306" w15:restartNumberingAfterBreak="0">
    <w:nsid w:val="690403B0"/>
    <w:multiLevelType w:val="hybridMultilevel"/>
    <w:tmpl w:val="59185544"/>
    <w:lvl w:ilvl="0" w:tplc="FD9617FA">
      <w:start w:val="4"/>
      <w:numFmt w:val="bullet"/>
      <w:lvlText w:val="-"/>
      <w:lvlJc w:val="left"/>
      <w:pPr>
        <w:ind w:left="360" w:hanging="360"/>
      </w:pPr>
      <w:rPr>
        <w:rFonts w:ascii="Times New Roman" w:eastAsia="Times New Roman" w:hAnsi="Times New Roman" w:cs="Times New Roman" w:hint="default"/>
        <w:b/>
        <w:i/>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7" w15:restartNumberingAfterBreak="0">
    <w:nsid w:val="69900EB2"/>
    <w:multiLevelType w:val="hybridMultilevel"/>
    <w:tmpl w:val="9FBEDE58"/>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Aria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Arial"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Arial"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08" w15:restartNumberingAfterBreak="0">
    <w:nsid w:val="699A7A1A"/>
    <w:multiLevelType w:val="hybridMultilevel"/>
    <w:tmpl w:val="FD30A63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9" w15:restartNumberingAfterBreak="0">
    <w:nsid w:val="6A3B1C1E"/>
    <w:multiLevelType w:val="multilevel"/>
    <w:tmpl w:val="94AC1FC0"/>
    <w:lvl w:ilvl="0">
      <w:start w:val="1"/>
      <w:numFmt w:val="decimal"/>
      <w:pStyle w:val="S7-Header2"/>
      <w:lvlText w:val="%1."/>
      <w:lvlJc w:val="left"/>
      <w:pPr>
        <w:tabs>
          <w:tab w:val="num" w:pos="360"/>
        </w:tabs>
        <w:ind w:left="36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0" w15:restartNumberingAfterBreak="0">
    <w:nsid w:val="6A3C452A"/>
    <w:multiLevelType w:val="hybridMultilevel"/>
    <w:tmpl w:val="B31CDF8E"/>
    <w:lvl w:ilvl="0" w:tplc="040C000D">
      <w:start w:val="1"/>
      <w:numFmt w:val="bullet"/>
      <w:lvlText w:val=""/>
      <w:lvlJc w:val="left"/>
      <w:pPr>
        <w:ind w:left="720" w:hanging="360"/>
      </w:pPr>
      <w:rPr>
        <w:rFonts w:ascii="Wingdings" w:hAnsi="Wingdings" w:hint="default"/>
        <w:b/>
        <w:color w:val="00336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1" w15:restartNumberingAfterBreak="0">
    <w:nsid w:val="6A5208A1"/>
    <w:multiLevelType w:val="hybridMultilevel"/>
    <w:tmpl w:val="5E38EF10"/>
    <w:lvl w:ilvl="0" w:tplc="FD9617FA">
      <w:start w:val="4"/>
      <w:numFmt w:val="bullet"/>
      <w:lvlText w:val="-"/>
      <w:lvlJc w:val="left"/>
      <w:pPr>
        <w:ind w:left="720" w:hanging="360"/>
      </w:pPr>
      <w:rPr>
        <w:rFonts w:ascii="Times New Roman" w:eastAsia="Times New Roman" w:hAnsi="Times New Roman" w:cs="Times New Roman" w:hint="default"/>
        <w:b/>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2" w15:restartNumberingAfterBreak="0">
    <w:nsid w:val="6A576413"/>
    <w:multiLevelType w:val="hybridMultilevel"/>
    <w:tmpl w:val="EB42E100"/>
    <w:lvl w:ilvl="0" w:tplc="1B2EFD80">
      <w:start w:val="1"/>
      <w:numFmt w:val="bullet"/>
      <w:pStyle w:val="HPuces1"/>
      <w:lvlText w:val="-"/>
      <w:lvlJc w:val="left"/>
      <w:pPr>
        <w:ind w:left="720" w:hanging="360"/>
      </w:pPr>
      <w:rPr>
        <w:rFonts w:ascii="Calibri" w:hAnsi="Calibri"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3" w15:restartNumberingAfterBreak="0">
    <w:nsid w:val="6A7715B0"/>
    <w:multiLevelType w:val="hybridMultilevel"/>
    <w:tmpl w:val="869ECEA8"/>
    <w:lvl w:ilvl="0" w:tplc="E334E61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4" w15:restartNumberingAfterBreak="0">
    <w:nsid w:val="6AD11012"/>
    <w:multiLevelType w:val="hybridMultilevel"/>
    <w:tmpl w:val="101A1BFC"/>
    <w:lvl w:ilvl="0" w:tplc="13DC41A2">
      <w:start w:val="1"/>
      <w:numFmt w:val="bullet"/>
      <w:lvlText w:val=""/>
      <w:lvlJc w:val="left"/>
      <w:pPr>
        <w:ind w:left="720" w:hanging="360"/>
      </w:pPr>
      <w:rPr>
        <w:rFonts w:ascii="Wingdings" w:hAnsi="Wingdings" w:hint="default"/>
        <w:w w:val="100"/>
        <w:sz w:val="22"/>
        <w:szCs w:val="22"/>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5" w15:restartNumberingAfterBreak="0">
    <w:nsid w:val="6B7C4F28"/>
    <w:multiLevelType w:val="singleLevel"/>
    <w:tmpl w:val="56E4F6FE"/>
    <w:lvl w:ilvl="0">
      <w:start w:val="3"/>
      <w:numFmt w:val="bullet"/>
      <w:pStyle w:val="puce20"/>
      <w:lvlText w:val="-"/>
      <w:lvlJc w:val="left"/>
      <w:pPr>
        <w:tabs>
          <w:tab w:val="num" w:pos="360"/>
        </w:tabs>
        <w:ind w:left="360" w:hanging="360"/>
      </w:pPr>
      <w:rPr>
        <w:rFonts w:ascii="Times New Roman" w:hAnsi="Times New Roman" w:cs="Times New Roman" w:hint="default"/>
      </w:rPr>
    </w:lvl>
  </w:abstractNum>
  <w:abstractNum w:abstractNumId="316" w15:restartNumberingAfterBreak="0">
    <w:nsid w:val="6C9840FA"/>
    <w:multiLevelType w:val="hybridMultilevel"/>
    <w:tmpl w:val="D1B6EE6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7" w15:restartNumberingAfterBreak="0">
    <w:nsid w:val="6CE56D2E"/>
    <w:multiLevelType w:val="hybridMultilevel"/>
    <w:tmpl w:val="665C37E4"/>
    <w:lvl w:ilvl="0" w:tplc="FD9617FA">
      <w:start w:val="4"/>
      <w:numFmt w:val="bullet"/>
      <w:lvlText w:val="-"/>
      <w:lvlJc w:val="left"/>
      <w:pPr>
        <w:ind w:left="360" w:hanging="360"/>
      </w:pPr>
      <w:rPr>
        <w:rFonts w:ascii="Times New Roman" w:eastAsia="Times New Roman" w:hAnsi="Times New Roman" w:cs="Times New Roman" w:hint="default"/>
        <w:b/>
        <w:i/>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8" w15:restartNumberingAfterBreak="0">
    <w:nsid w:val="6CF075D3"/>
    <w:multiLevelType w:val="hybridMultilevel"/>
    <w:tmpl w:val="005652FA"/>
    <w:lvl w:ilvl="0" w:tplc="6AE09CCA">
      <w:start w:val="1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9" w15:restartNumberingAfterBreak="0">
    <w:nsid w:val="6D617983"/>
    <w:multiLevelType w:val="hybridMultilevel"/>
    <w:tmpl w:val="DAB4A52A"/>
    <w:lvl w:ilvl="0" w:tplc="FD9617FA">
      <w:start w:val="4"/>
      <w:numFmt w:val="bullet"/>
      <w:lvlText w:val="-"/>
      <w:lvlJc w:val="left"/>
      <w:pPr>
        <w:ind w:left="720" w:hanging="360"/>
      </w:pPr>
      <w:rPr>
        <w:rFonts w:ascii="Times New Roman" w:eastAsia="Times New Roman" w:hAnsi="Times New Roman" w:cs="Times New Roman" w:hint="default"/>
        <w:b/>
        <w:i/>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0" w15:restartNumberingAfterBreak="0">
    <w:nsid w:val="6DA3511C"/>
    <w:multiLevelType w:val="hybridMultilevel"/>
    <w:tmpl w:val="2348003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1" w15:restartNumberingAfterBreak="0">
    <w:nsid w:val="6DCB667F"/>
    <w:multiLevelType w:val="hybridMultilevel"/>
    <w:tmpl w:val="A8E876DA"/>
    <w:lvl w:ilvl="0" w:tplc="E8C2F3AE">
      <w:start w:val="1"/>
      <w:numFmt w:val="none"/>
      <w:pStyle w:val="BulletsMamelles"/>
      <w:lvlText w:val=""/>
      <w:lvlJc w:val="left"/>
      <w:pPr>
        <w:ind w:left="420" w:hanging="420"/>
      </w:pPr>
      <w:rPr>
        <w:rFonts w:ascii="Symbol" w:hAnsi="Symbol" w:hint="default"/>
      </w:rPr>
    </w:lvl>
    <w:lvl w:ilvl="1" w:tplc="27D2FFE0">
      <w:start w:val="1"/>
      <w:numFmt w:val="decimal"/>
      <w:lvlText w:val="%2."/>
      <w:lvlJc w:val="left"/>
      <w:pPr>
        <w:ind w:left="1272" w:hanging="852"/>
      </w:p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322" w15:restartNumberingAfterBreak="0">
    <w:nsid w:val="6DE77CA7"/>
    <w:multiLevelType w:val="hybridMultilevel"/>
    <w:tmpl w:val="80F8473C"/>
    <w:lvl w:ilvl="0" w:tplc="C88E85C6">
      <w:start w:val="2002"/>
      <w:numFmt w:val="decimal"/>
      <w:pStyle w:val="Russite"/>
      <w:lvlText w:val="%1"/>
      <w:lvlJc w:val="left"/>
      <w:pPr>
        <w:tabs>
          <w:tab w:val="num" w:pos="1071"/>
        </w:tabs>
        <w:ind w:left="1071" w:hanging="930"/>
      </w:pPr>
      <w:rPr>
        <w:rFonts w:hint="default"/>
        <w:b w:val="0"/>
        <w:sz w:val="20"/>
      </w:rPr>
    </w:lvl>
    <w:lvl w:ilvl="1" w:tplc="040C0019" w:tentative="1">
      <w:start w:val="1"/>
      <w:numFmt w:val="lowerLetter"/>
      <w:lvlText w:val="%2."/>
      <w:lvlJc w:val="left"/>
      <w:pPr>
        <w:tabs>
          <w:tab w:val="num" w:pos="1221"/>
        </w:tabs>
        <w:ind w:left="1221" w:hanging="360"/>
      </w:pPr>
    </w:lvl>
    <w:lvl w:ilvl="2" w:tplc="040C001B" w:tentative="1">
      <w:start w:val="1"/>
      <w:numFmt w:val="lowerRoman"/>
      <w:lvlText w:val="%3."/>
      <w:lvlJc w:val="right"/>
      <w:pPr>
        <w:tabs>
          <w:tab w:val="num" w:pos="1941"/>
        </w:tabs>
        <w:ind w:left="1941" w:hanging="180"/>
      </w:pPr>
    </w:lvl>
    <w:lvl w:ilvl="3" w:tplc="040C000F" w:tentative="1">
      <w:start w:val="1"/>
      <w:numFmt w:val="decimal"/>
      <w:lvlText w:val="%4."/>
      <w:lvlJc w:val="left"/>
      <w:pPr>
        <w:tabs>
          <w:tab w:val="num" w:pos="2661"/>
        </w:tabs>
        <w:ind w:left="2661" w:hanging="360"/>
      </w:pPr>
    </w:lvl>
    <w:lvl w:ilvl="4" w:tplc="040C0019" w:tentative="1">
      <w:start w:val="1"/>
      <w:numFmt w:val="lowerLetter"/>
      <w:lvlText w:val="%5."/>
      <w:lvlJc w:val="left"/>
      <w:pPr>
        <w:tabs>
          <w:tab w:val="num" w:pos="3381"/>
        </w:tabs>
        <w:ind w:left="3381" w:hanging="360"/>
      </w:pPr>
    </w:lvl>
    <w:lvl w:ilvl="5" w:tplc="040C001B" w:tentative="1">
      <w:start w:val="1"/>
      <w:numFmt w:val="lowerRoman"/>
      <w:lvlText w:val="%6."/>
      <w:lvlJc w:val="right"/>
      <w:pPr>
        <w:tabs>
          <w:tab w:val="num" w:pos="4101"/>
        </w:tabs>
        <w:ind w:left="4101" w:hanging="180"/>
      </w:pPr>
    </w:lvl>
    <w:lvl w:ilvl="6" w:tplc="040C000F" w:tentative="1">
      <w:start w:val="1"/>
      <w:numFmt w:val="decimal"/>
      <w:lvlText w:val="%7."/>
      <w:lvlJc w:val="left"/>
      <w:pPr>
        <w:tabs>
          <w:tab w:val="num" w:pos="4821"/>
        </w:tabs>
        <w:ind w:left="4821" w:hanging="360"/>
      </w:pPr>
    </w:lvl>
    <w:lvl w:ilvl="7" w:tplc="040C0019" w:tentative="1">
      <w:start w:val="1"/>
      <w:numFmt w:val="lowerLetter"/>
      <w:lvlText w:val="%8."/>
      <w:lvlJc w:val="left"/>
      <w:pPr>
        <w:tabs>
          <w:tab w:val="num" w:pos="5541"/>
        </w:tabs>
        <w:ind w:left="5541" w:hanging="360"/>
      </w:pPr>
    </w:lvl>
    <w:lvl w:ilvl="8" w:tplc="040C001B" w:tentative="1">
      <w:start w:val="1"/>
      <w:numFmt w:val="lowerRoman"/>
      <w:lvlText w:val="%9."/>
      <w:lvlJc w:val="right"/>
      <w:pPr>
        <w:tabs>
          <w:tab w:val="num" w:pos="6261"/>
        </w:tabs>
        <w:ind w:left="6261" w:hanging="180"/>
      </w:pPr>
    </w:lvl>
  </w:abstractNum>
  <w:abstractNum w:abstractNumId="323" w15:restartNumberingAfterBreak="0">
    <w:nsid w:val="6DE83911"/>
    <w:multiLevelType w:val="hybridMultilevel"/>
    <w:tmpl w:val="E25CA780"/>
    <w:lvl w:ilvl="0" w:tplc="FFFFFFFF">
      <w:start w:val="4"/>
      <w:numFmt w:val="bullet"/>
      <w:pStyle w:val="Puce"/>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4" w15:restartNumberingAfterBreak="0">
    <w:nsid w:val="6E296C52"/>
    <w:multiLevelType w:val="hybridMultilevel"/>
    <w:tmpl w:val="982C579A"/>
    <w:lvl w:ilvl="0" w:tplc="040C000F">
      <w:start w:val="1"/>
      <w:numFmt w:val="decimal"/>
      <w:lvlText w:val="%1."/>
      <w:lvlJc w:val="left"/>
      <w:pPr>
        <w:ind w:left="153" w:hanging="360"/>
      </w:pPr>
    </w:lvl>
    <w:lvl w:ilvl="1" w:tplc="040C0019">
      <w:start w:val="1"/>
      <w:numFmt w:val="lowerLetter"/>
      <w:lvlText w:val="%2."/>
      <w:lvlJc w:val="left"/>
      <w:pPr>
        <w:ind w:left="873" w:hanging="360"/>
      </w:pPr>
    </w:lvl>
    <w:lvl w:ilvl="2" w:tplc="040C001B">
      <w:start w:val="1"/>
      <w:numFmt w:val="lowerRoman"/>
      <w:lvlText w:val="%3."/>
      <w:lvlJc w:val="right"/>
      <w:pPr>
        <w:ind w:left="1593" w:hanging="180"/>
      </w:pPr>
    </w:lvl>
    <w:lvl w:ilvl="3" w:tplc="040C000F">
      <w:start w:val="1"/>
      <w:numFmt w:val="decimal"/>
      <w:lvlText w:val="%4."/>
      <w:lvlJc w:val="left"/>
      <w:pPr>
        <w:ind w:left="2313" w:hanging="360"/>
      </w:pPr>
    </w:lvl>
    <w:lvl w:ilvl="4" w:tplc="040C0019">
      <w:start w:val="1"/>
      <w:numFmt w:val="lowerLetter"/>
      <w:lvlText w:val="%5."/>
      <w:lvlJc w:val="left"/>
      <w:pPr>
        <w:ind w:left="3033" w:hanging="360"/>
      </w:pPr>
    </w:lvl>
    <w:lvl w:ilvl="5" w:tplc="040C001B">
      <w:start w:val="1"/>
      <w:numFmt w:val="lowerRoman"/>
      <w:lvlText w:val="%6."/>
      <w:lvlJc w:val="right"/>
      <w:pPr>
        <w:ind w:left="3753" w:hanging="180"/>
      </w:pPr>
    </w:lvl>
    <w:lvl w:ilvl="6" w:tplc="040C000F">
      <w:start w:val="1"/>
      <w:numFmt w:val="decimal"/>
      <w:lvlText w:val="%7."/>
      <w:lvlJc w:val="left"/>
      <w:pPr>
        <w:ind w:left="4473" w:hanging="360"/>
      </w:pPr>
    </w:lvl>
    <w:lvl w:ilvl="7" w:tplc="040C0019">
      <w:start w:val="1"/>
      <w:numFmt w:val="lowerLetter"/>
      <w:lvlText w:val="%8."/>
      <w:lvlJc w:val="left"/>
      <w:pPr>
        <w:ind w:left="5193" w:hanging="360"/>
      </w:pPr>
    </w:lvl>
    <w:lvl w:ilvl="8" w:tplc="040C001B">
      <w:start w:val="1"/>
      <w:numFmt w:val="lowerRoman"/>
      <w:lvlText w:val="%9."/>
      <w:lvlJc w:val="right"/>
      <w:pPr>
        <w:ind w:left="5913" w:hanging="180"/>
      </w:pPr>
    </w:lvl>
  </w:abstractNum>
  <w:abstractNum w:abstractNumId="325" w15:restartNumberingAfterBreak="0">
    <w:nsid w:val="6E41727F"/>
    <w:multiLevelType w:val="hybridMultilevel"/>
    <w:tmpl w:val="6E4E230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6" w15:restartNumberingAfterBreak="0">
    <w:nsid w:val="6F085AB3"/>
    <w:multiLevelType w:val="hybridMultilevel"/>
    <w:tmpl w:val="385EF3FA"/>
    <w:lvl w:ilvl="0" w:tplc="6FD22D8A">
      <w:start w:val="1"/>
      <w:numFmt w:val="lowerRoman"/>
      <w:lvlText w:val="(%1)"/>
      <w:lvlJc w:val="left"/>
      <w:pPr>
        <w:ind w:left="435" w:hanging="720"/>
      </w:pPr>
      <w:rPr>
        <w:rFonts w:hint="default"/>
      </w:rPr>
    </w:lvl>
    <w:lvl w:ilvl="1" w:tplc="040C0019" w:tentative="1">
      <w:start w:val="1"/>
      <w:numFmt w:val="lowerLetter"/>
      <w:lvlText w:val="%2."/>
      <w:lvlJc w:val="left"/>
      <w:pPr>
        <w:ind w:left="795" w:hanging="360"/>
      </w:pPr>
    </w:lvl>
    <w:lvl w:ilvl="2" w:tplc="040C001B" w:tentative="1">
      <w:start w:val="1"/>
      <w:numFmt w:val="lowerRoman"/>
      <w:lvlText w:val="%3."/>
      <w:lvlJc w:val="right"/>
      <w:pPr>
        <w:ind w:left="1515" w:hanging="180"/>
      </w:pPr>
    </w:lvl>
    <w:lvl w:ilvl="3" w:tplc="040C000F" w:tentative="1">
      <w:start w:val="1"/>
      <w:numFmt w:val="decimal"/>
      <w:lvlText w:val="%4."/>
      <w:lvlJc w:val="left"/>
      <w:pPr>
        <w:ind w:left="2235" w:hanging="360"/>
      </w:pPr>
    </w:lvl>
    <w:lvl w:ilvl="4" w:tplc="040C0019" w:tentative="1">
      <w:start w:val="1"/>
      <w:numFmt w:val="lowerLetter"/>
      <w:lvlText w:val="%5."/>
      <w:lvlJc w:val="left"/>
      <w:pPr>
        <w:ind w:left="2955" w:hanging="360"/>
      </w:pPr>
    </w:lvl>
    <w:lvl w:ilvl="5" w:tplc="040C001B" w:tentative="1">
      <w:start w:val="1"/>
      <w:numFmt w:val="lowerRoman"/>
      <w:lvlText w:val="%6."/>
      <w:lvlJc w:val="right"/>
      <w:pPr>
        <w:ind w:left="3675" w:hanging="180"/>
      </w:pPr>
    </w:lvl>
    <w:lvl w:ilvl="6" w:tplc="040C000F" w:tentative="1">
      <w:start w:val="1"/>
      <w:numFmt w:val="decimal"/>
      <w:lvlText w:val="%7."/>
      <w:lvlJc w:val="left"/>
      <w:pPr>
        <w:ind w:left="4395" w:hanging="360"/>
      </w:pPr>
    </w:lvl>
    <w:lvl w:ilvl="7" w:tplc="040C0019" w:tentative="1">
      <w:start w:val="1"/>
      <w:numFmt w:val="lowerLetter"/>
      <w:lvlText w:val="%8."/>
      <w:lvlJc w:val="left"/>
      <w:pPr>
        <w:ind w:left="5115" w:hanging="360"/>
      </w:pPr>
    </w:lvl>
    <w:lvl w:ilvl="8" w:tplc="040C001B" w:tentative="1">
      <w:start w:val="1"/>
      <w:numFmt w:val="lowerRoman"/>
      <w:lvlText w:val="%9."/>
      <w:lvlJc w:val="right"/>
      <w:pPr>
        <w:ind w:left="5835" w:hanging="180"/>
      </w:pPr>
    </w:lvl>
  </w:abstractNum>
  <w:abstractNum w:abstractNumId="327" w15:restartNumberingAfterBreak="0">
    <w:nsid w:val="6F251CE2"/>
    <w:multiLevelType w:val="hybridMultilevel"/>
    <w:tmpl w:val="1798A876"/>
    <w:lvl w:ilvl="0" w:tplc="621E8968">
      <w:start w:val="1"/>
      <w:numFmt w:val="bullet"/>
      <w:pStyle w:val="StyleCorpsdetexte"/>
      <w:lvlText w:val=""/>
      <w:lvlJc w:val="left"/>
      <w:pPr>
        <w:tabs>
          <w:tab w:val="num" w:pos="833"/>
        </w:tabs>
        <w:ind w:left="1140" w:hanging="360"/>
      </w:pPr>
      <w:rPr>
        <w:rFonts w:ascii="Wingdings" w:hAnsi="Wingdings" w:hint="default"/>
        <w:sz w:val="24"/>
        <w:szCs w:val="24"/>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8" w15:restartNumberingAfterBreak="0">
    <w:nsid w:val="6F31738E"/>
    <w:multiLevelType w:val="hybridMultilevel"/>
    <w:tmpl w:val="C6926E90"/>
    <w:lvl w:ilvl="0" w:tplc="6AE09CCA">
      <w:start w:val="10"/>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9" w15:restartNumberingAfterBreak="0">
    <w:nsid w:val="6F642361"/>
    <w:multiLevelType w:val="hybridMultilevel"/>
    <w:tmpl w:val="F56E4102"/>
    <w:lvl w:ilvl="0" w:tplc="EC32D236">
      <w:start w:val="16"/>
      <w:numFmt w:val="bullet"/>
      <w:lvlText w:val="-"/>
      <w:lvlJc w:val="left"/>
      <w:pPr>
        <w:ind w:left="1080" w:hanging="360"/>
      </w:pPr>
      <w:rPr>
        <w:rFonts w:ascii="Times New Roman" w:eastAsiaTheme="minorHAnsi" w:hAnsi="Times New Roman" w:cs="Times New Roman"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30" w15:restartNumberingAfterBreak="0">
    <w:nsid w:val="6FF304C9"/>
    <w:multiLevelType w:val="hybridMultilevel"/>
    <w:tmpl w:val="8392F4FA"/>
    <w:lvl w:ilvl="0" w:tplc="2520B51C">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1" w15:restartNumberingAfterBreak="0">
    <w:nsid w:val="7070544A"/>
    <w:multiLevelType w:val="hybridMultilevel"/>
    <w:tmpl w:val="C46846B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2" w15:restartNumberingAfterBreak="0">
    <w:nsid w:val="7149513A"/>
    <w:multiLevelType w:val="hybridMultilevel"/>
    <w:tmpl w:val="D93A0F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3" w15:restartNumberingAfterBreak="0">
    <w:nsid w:val="715A55E6"/>
    <w:multiLevelType w:val="hybridMultilevel"/>
    <w:tmpl w:val="3364EF26"/>
    <w:lvl w:ilvl="0" w:tplc="E334E61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4" w15:restartNumberingAfterBreak="0">
    <w:nsid w:val="71B219D4"/>
    <w:multiLevelType w:val="hybridMultilevel"/>
    <w:tmpl w:val="3BE8BE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5" w15:restartNumberingAfterBreak="0">
    <w:nsid w:val="71BE4D01"/>
    <w:multiLevelType w:val="hybridMultilevel"/>
    <w:tmpl w:val="CF86F3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6" w15:restartNumberingAfterBreak="0">
    <w:nsid w:val="71C155CA"/>
    <w:multiLevelType w:val="multilevel"/>
    <w:tmpl w:val="3F760D18"/>
    <w:lvl w:ilvl="0">
      <w:start w:val="1"/>
      <w:numFmt w:val="decimal"/>
      <w:pStyle w:val="ACEnumberedparagraph"/>
      <w:lvlText w:val="%1"/>
      <w:lvlJc w:val="left"/>
      <w:pPr>
        <w:ind w:left="-9" w:hanging="360"/>
      </w:pPr>
      <w:rPr>
        <w:rFonts w:ascii="Arial" w:hAnsi="Arial" w:hint="default"/>
        <w:b w:val="0"/>
        <w:i/>
        <w:color w:val="000000"/>
        <w:spacing w:val="0"/>
        <w:w w:val="100"/>
        <w:position w:val="6"/>
        <w:sz w:val="14"/>
        <w:szCs w:val="18"/>
      </w:rPr>
    </w:lvl>
    <w:lvl w:ilvl="1">
      <w:start w:val="5"/>
      <w:numFmt w:val="decimal"/>
      <w:lvlText w:val="%2."/>
      <w:lvlJc w:val="left"/>
      <w:pPr>
        <w:ind w:left="1440" w:hanging="360"/>
      </w:pPr>
      <w:rPr>
        <w:b/>
        <w:sz w:val="28"/>
        <w:szCs w:val="2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7" w15:restartNumberingAfterBreak="0">
    <w:nsid w:val="71C158CE"/>
    <w:multiLevelType w:val="hybridMultilevel"/>
    <w:tmpl w:val="55CA9E58"/>
    <w:lvl w:ilvl="0" w:tplc="2520B51C">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8" w15:restartNumberingAfterBreak="0">
    <w:nsid w:val="71FA413C"/>
    <w:multiLevelType w:val="hybridMultilevel"/>
    <w:tmpl w:val="C9904604"/>
    <w:lvl w:ilvl="0" w:tplc="104237EC">
      <w:start w:val="1"/>
      <w:numFmt w:val="decimal"/>
      <w:pStyle w:val="ParaWB"/>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9" w15:restartNumberingAfterBreak="0">
    <w:nsid w:val="72423193"/>
    <w:multiLevelType w:val="hybridMultilevel"/>
    <w:tmpl w:val="37F295A0"/>
    <w:lvl w:ilvl="0" w:tplc="E334E61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0" w15:restartNumberingAfterBreak="0">
    <w:nsid w:val="729761B8"/>
    <w:multiLevelType w:val="hybridMultilevel"/>
    <w:tmpl w:val="3398C10A"/>
    <w:lvl w:ilvl="0" w:tplc="2520B51C">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1" w15:restartNumberingAfterBreak="0">
    <w:nsid w:val="730B3EA0"/>
    <w:multiLevelType w:val="hybridMultilevel"/>
    <w:tmpl w:val="7D0CB420"/>
    <w:lvl w:ilvl="0" w:tplc="FD9617FA">
      <w:start w:val="4"/>
      <w:numFmt w:val="bullet"/>
      <w:lvlText w:val="-"/>
      <w:lvlJc w:val="left"/>
      <w:pPr>
        <w:ind w:left="720" w:hanging="360"/>
      </w:pPr>
      <w:rPr>
        <w:rFonts w:ascii="Times New Roman" w:eastAsia="Times New Roman" w:hAnsi="Times New Roman" w:cs="Times New Roman" w:hint="default"/>
        <w:b/>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2" w15:restartNumberingAfterBreak="0">
    <w:nsid w:val="73666453"/>
    <w:multiLevelType w:val="hybridMultilevel"/>
    <w:tmpl w:val="16B80042"/>
    <w:lvl w:ilvl="0" w:tplc="8E2482F6">
      <w:start w:val="1"/>
      <w:numFmt w:val="bullet"/>
      <w:lvlText w:val=""/>
      <w:lvlJc w:val="left"/>
      <w:pPr>
        <w:ind w:left="720" w:hanging="360"/>
      </w:pPr>
      <w:rPr>
        <w:rFonts w:ascii="Wingdings" w:hAnsi="Wingdings" w:hint="default"/>
        <w:b w:val="0"/>
        <w:bCs w:val="0"/>
        <w:i w:val="0"/>
        <w:iCs w:val="0"/>
        <w:w w:val="100"/>
        <w:sz w:val="22"/>
        <w:szCs w:val="22"/>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3" w15:restartNumberingAfterBreak="0">
    <w:nsid w:val="737F20E1"/>
    <w:multiLevelType w:val="hybridMultilevel"/>
    <w:tmpl w:val="455C2764"/>
    <w:lvl w:ilvl="0" w:tplc="040C000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4" w15:restartNumberingAfterBreak="0">
    <w:nsid w:val="739267F0"/>
    <w:multiLevelType w:val="hybridMultilevel"/>
    <w:tmpl w:val="486A87E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5" w15:restartNumberingAfterBreak="0">
    <w:nsid w:val="73C11663"/>
    <w:multiLevelType w:val="multilevel"/>
    <w:tmpl w:val="EBF4B88C"/>
    <w:lvl w:ilvl="0">
      <w:start w:val="1"/>
      <w:numFmt w:val="decimal"/>
      <w:lvlText w:val="%1."/>
      <w:lvlJc w:val="left"/>
      <w:pPr>
        <w:tabs>
          <w:tab w:val="num" w:pos="360"/>
        </w:tabs>
        <w:ind w:left="360" w:hanging="360"/>
      </w:pPr>
      <w:rPr>
        <w:rFonts w:hint="default"/>
      </w:rPr>
    </w:lvl>
    <w:lvl w:ilvl="1">
      <w:start w:val="1"/>
      <w:numFmt w:val="decimal"/>
      <w:pStyle w:val="Outline3"/>
      <w:lvlText w:val="%1.%2"/>
      <w:lvlJc w:val="left"/>
      <w:pPr>
        <w:tabs>
          <w:tab w:val="num" w:pos="720"/>
        </w:tabs>
        <w:ind w:left="720" w:hanging="720"/>
      </w:pPr>
      <w:rPr>
        <w:rFonts w:hint="default"/>
      </w:rPr>
    </w:lvl>
    <w:lvl w:ilvl="2">
      <w:start w:val="1"/>
      <w:numFmt w:val="lowerLetter"/>
      <w:lvlText w:val="(%3)"/>
      <w:lvlJc w:val="left"/>
      <w:pPr>
        <w:tabs>
          <w:tab w:val="num" w:pos="1440"/>
        </w:tabs>
        <w:ind w:left="1080" w:hanging="360"/>
      </w:pPr>
      <w:rPr>
        <w:rFonts w:hint="default"/>
      </w:rPr>
    </w:lvl>
    <w:lvl w:ilvl="3">
      <w:start w:val="1"/>
      <w:numFmt w:val="lowerRoman"/>
      <w:lvlText w:val="(%4)"/>
      <w:lvlJc w:val="left"/>
      <w:pPr>
        <w:tabs>
          <w:tab w:val="num" w:pos="216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346" w15:restartNumberingAfterBreak="0">
    <w:nsid w:val="740E0D30"/>
    <w:multiLevelType w:val="hybridMultilevel"/>
    <w:tmpl w:val="4A167D14"/>
    <w:lvl w:ilvl="0" w:tplc="0ECE4660">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47" w15:restartNumberingAfterBreak="0">
    <w:nsid w:val="743D1066"/>
    <w:multiLevelType w:val="hybridMultilevel"/>
    <w:tmpl w:val="B0A05D42"/>
    <w:lvl w:ilvl="0" w:tplc="8E2482F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8" w15:restartNumberingAfterBreak="0">
    <w:nsid w:val="747D3D89"/>
    <w:multiLevelType w:val="hybridMultilevel"/>
    <w:tmpl w:val="5936E292"/>
    <w:styleLink w:val="Style2331"/>
    <w:lvl w:ilvl="0" w:tplc="D2442058">
      <w:start w:val="7"/>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9" w15:restartNumberingAfterBreak="0">
    <w:nsid w:val="74937E16"/>
    <w:multiLevelType w:val="hybridMultilevel"/>
    <w:tmpl w:val="3B22D812"/>
    <w:lvl w:ilvl="0" w:tplc="040C000D">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50" w15:restartNumberingAfterBreak="0">
    <w:nsid w:val="74942EE6"/>
    <w:multiLevelType w:val="hybridMultilevel"/>
    <w:tmpl w:val="E61A0C9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1" w15:restartNumberingAfterBreak="0">
    <w:nsid w:val="750C1DEB"/>
    <w:multiLevelType w:val="hybridMultilevel"/>
    <w:tmpl w:val="EBA24216"/>
    <w:lvl w:ilvl="0" w:tplc="8E2482F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2" w15:restartNumberingAfterBreak="0">
    <w:nsid w:val="752B5428"/>
    <w:multiLevelType w:val="hybridMultilevel"/>
    <w:tmpl w:val="B8B0DB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3" w15:restartNumberingAfterBreak="0">
    <w:nsid w:val="755623CD"/>
    <w:multiLevelType w:val="hybridMultilevel"/>
    <w:tmpl w:val="6FF0ACE2"/>
    <w:lvl w:ilvl="0" w:tplc="FFFFFFFF">
      <w:start w:val="1"/>
      <w:numFmt w:val="bullet"/>
      <w:pStyle w:val="StyleGaramondJustifi"/>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4" w15:restartNumberingAfterBreak="0">
    <w:nsid w:val="757E435B"/>
    <w:multiLevelType w:val="hybridMultilevel"/>
    <w:tmpl w:val="530EA254"/>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55" w15:restartNumberingAfterBreak="0">
    <w:nsid w:val="759F2470"/>
    <w:multiLevelType w:val="multilevel"/>
    <w:tmpl w:val="1AA2FB1E"/>
    <w:styleLink w:val="WWNum3"/>
    <w:lvl w:ilvl="0">
      <w:numFmt w:val="bullet"/>
      <w:lvlText w:val=""/>
      <w:lvlJc w:val="left"/>
      <w:pPr>
        <w:ind w:left="785"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6" w15:restartNumberingAfterBreak="0">
    <w:nsid w:val="75B56B10"/>
    <w:multiLevelType w:val="hybridMultilevel"/>
    <w:tmpl w:val="473E798A"/>
    <w:lvl w:ilvl="0" w:tplc="8E2482F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7" w15:restartNumberingAfterBreak="0">
    <w:nsid w:val="75C971A2"/>
    <w:multiLevelType w:val="hybridMultilevel"/>
    <w:tmpl w:val="35F8B85C"/>
    <w:lvl w:ilvl="0" w:tplc="6AE09CCA">
      <w:start w:val="10"/>
      <w:numFmt w:val="bullet"/>
      <w:lvlText w:val="-"/>
      <w:lvlJc w:val="left"/>
      <w:pPr>
        <w:ind w:left="502" w:hanging="360"/>
      </w:pPr>
      <w:rPr>
        <w:rFonts w:ascii="Times New Roman" w:eastAsia="Times New Roman" w:hAnsi="Times New Roman" w:cs="Times New Roman"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358" w15:restartNumberingAfterBreak="0">
    <w:nsid w:val="75EF15CB"/>
    <w:multiLevelType w:val="hybridMultilevel"/>
    <w:tmpl w:val="9528B550"/>
    <w:lvl w:ilvl="0" w:tplc="7670066A">
      <w:start w:val="1"/>
      <w:numFmt w:val="bullet"/>
      <w:lvlText w:val="•"/>
      <w:lvlJc w:val="left"/>
      <w:pPr>
        <w:ind w:left="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FD6736C">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94AD47C">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0487892">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5640092">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8AC5A1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B6C16B2">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A4948A">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EEE02CE">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59" w15:restartNumberingAfterBreak="0">
    <w:nsid w:val="762116FB"/>
    <w:multiLevelType w:val="hybridMultilevel"/>
    <w:tmpl w:val="28441CF0"/>
    <w:lvl w:ilvl="0" w:tplc="8E2482F6">
      <w:start w:val="1"/>
      <w:numFmt w:val="bullet"/>
      <w:lvlText w:val=""/>
      <w:lvlJc w:val="left"/>
      <w:pPr>
        <w:ind w:left="720" w:hanging="360"/>
      </w:pPr>
      <w:rPr>
        <w:rFonts w:ascii="Wingdings" w:hAnsi="Wingdings" w:hint="default"/>
        <w:b w:val="0"/>
        <w:bCs w:val="0"/>
        <w:i w:val="0"/>
        <w:iCs w:val="0"/>
        <w:w w:val="100"/>
        <w:sz w:val="22"/>
        <w:szCs w:val="22"/>
        <w:lang w:val="fr-FR" w:eastAsia="fr-FR" w:bidi="fr-FR"/>
      </w:rPr>
    </w:lvl>
    <w:lvl w:ilvl="1" w:tplc="040C000D">
      <w:start w:val="1"/>
      <w:numFmt w:val="bullet"/>
      <w:lvlText w:val=""/>
      <w:lvlJc w:val="left"/>
      <w:pPr>
        <w:ind w:left="720" w:hanging="360"/>
      </w:pPr>
      <w:rPr>
        <w:rFonts w:ascii="Wingdings" w:hAnsi="Wingdings" w:hint="default"/>
      </w:rPr>
    </w:lvl>
    <w:lvl w:ilvl="2" w:tplc="040C000D">
      <w:start w:val="1"/>
      <w:numFmt w:val="bullet"/>
      <w:lvlText w:val=""/>
      <w:lvlJc w:val="left"/>
      <w:pPr>
        <w:ind w:left="72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0" w15:restartNumberingAfterBreak="0">
    <w:nsid w:val="76666C3F"/>
    <w:multiLevelType w:val="multilevel"/>
    <w:tmpl w:val="EC809CAA"/>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1440"/>
        </w:tabs>
        <w:ind w:left="1440" w:hanging="360"/>
      </w:pPr>
      <w:rPr>
        <w:rFonts w:hint="default"/>
        <w:b/>
        <w:i w:val="0"/>
      </w:rPr>
    </w:lvl>
    <w:lvl w:ilvl="2">
      <w:start w:val="1"/>
      <w:numFmt w:val="decimal"/>
      <w:lvlText w:val="%1.%2.%3."/>
      <w:lvlJc w:val="left"/>
      <w:pPr>
        <w:tabs>
          <w:tab w:val="num" w:pos="2880"/>
        </w:tabs>
        <w:ind w:left="2880" w:hanging="720"/>
      </w:pPr>
      <w:rPr>
        <w:rFonts w:ascii="Times New Roman" w:hAnsi="Times New Roman" w:cs="Times New Roman" w:hint="default"/>
        <w:b/>
        <w:i w:val="0"/>
        <w:sz w:val="22"/>
        <w:szCs w:val="22"/>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61" w15:restartNumberingAfterBreak="0">
    <w:nsid w:val="76AF7059"/>
    <w:multiLevelType w:val="multilevel"/>
    <w:tmpl w:val="D3840974"/>
    <w:styleLink w:val="Style12"/>
    <w:lvl w:ilvl="0">
      <w:start w:val="4"/>
      <w:numFmt w:val="decimal"/>
      <w:lvlText w:val="%1."/>
      <w:lvlJc w:val="left"/>
      <w:pPr>
        <w:ind w:left="360" w:hanging="360"/>
      </w:pPr>
      <w:rPr>
        <w:rFonts w:hint="default"/>
      </w:rPr>
    </w:lvl>
    <w:lvl w:ilvl="1">
      <w:start w:val="1"/>
      <w:numFmt w:val="decimal"/>
      <w:lvlText w:val="%1.%2."/>
      <w:lvlJc w:val="left"/>
      <w:pPr>
        <w:ind w:left="851" w:hanging="851"/>
      </w:pPr>
      <w:rPr>
        <w:rFonts w:ascii="Times New Roman Gras" w:hAnsi="Times New Roman Gras" w:hint="default"/>
        <w:b/>
        <w:i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76D356BB"/>
    <w:multiLevelType w:val="hybridMultilevel"/>
    <w:tmpl w:val="4A6ECF44"/>
    <w:lvl w:ilvl="0" w:tplc="8E2482F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3" w15:restartNumberingAfterBreak="0">
    <w:nsid w:val="78F074A1"/>
    <w:multiLevelType w:val="hybridMultilevel"/>
    <w:tmpl w:val="5D3AD688"/>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4" w15:restartNumberingAfterBreak="0">
    <w:nsid w:val="7921352B"/>
    <w:multiLevelType w:val="hybridMultilevel"/>
    <w:tmpl w:val="C19E5C84"/>
    <w:lvl w:ilvl="0" w:tplc="5C464B16">
      <w:start w:val="1"/>
      <w:numFmt w:val="bullet"/>
      <w:pStyle w:val="Evidence"/>
      <w:lvlText w:val=""/>
      <w:lvlJc w:val="left"/>
      <w:pPr>
        <w:tabs>
          <w:tab w:val="num" w:pos="1191"/>
        </w:tabs>
        <w:ind w:left="1191" w:hanging="34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5" w15:restartNumberingAfterBreak="0">
    <w:nsid w:val="792F5110"/>
    <w:multiLevelType w:val="hybridMultilevel"/>
    <w:tmpl w:val="DDB4FCF8"/>
    <w:lvl w:ilvl="0" w:tplc="456E1326">
      <w:start w:val="1"/>
      <w:numFmt w:val="lowerRoman"/>
      <w:lvlText w:val="(%1)"/>
      <w:lvlJc w:val="left"/>
      <w:pPr>
        <w:ind w:left="780" w:hanging="72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366" w15:restartNumberingAfterBreak="0">
    <w:nsid w:val="79601CA3"/>
    <w:multiLevelType w:val="hybridMultilevel"/>
    <w:tmpl w:val="962242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7" w15:restartNumberingAfterBreak="0">
    <w:nsid w:val="79CF4304"/>
    <w:multiLevelType w:val="hybridMultilevel"/>
    <w:tmpl w:val="5A366688"/>
    <w:lvl w:ilvl="0" w:tplc="E162F742">
      <w:start w:val="4"/>
      <w:numFmt w:val="bullet"/>
      <w:lvlText w:val="-"/>
      <w:lvlJc w:val="left"/>
      <w:pPr>
        <w:ind w:left="720" w:hanging="360"/>
      </w:pPr>
      <w:rPr>
        <w:rFonts w:ascii="Arial" w:eastAsia="Times New Roman" w:hAnsi="Arial" w:cs="Arial" w:hint="default"/>
        <w:b/>
        <w:bCs w:val="0"/>
        <w:i w:val="0"/>
        <w:iCs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8" w15:restartNumberingAfterBreak="0">
    <w:nsid w:val="79E339D9"/>
    <w:multiLevelType w:val="hybridMultilevel"/>
    <w:tmpl w:val="CDCED7FA"/>
    <w:lvl w:ilvl="0" w:tplc="E334E61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229" w:hanging="360"/>
      </w:pPr>
      <w:rPr>
        <w:rFonts w:ascii="Courier New" w:hAnsi="Courier New" w:cs="Courier New" w:hint="default"/>
      </w:rPr>
    </w:lvl>
    <w:lvl w:ilvl="2" w:tplc="040C0005" w:tentative="1">
      <w:start w:val="1"/>
      <w:numFmt w:val="bullet"/>
      <w:lvlText w:val=""/>
      <w:lvlJc w:val="left"/>
      <w:pPr>
        <w:ind w:left="949" w:hanging="360"/>
      </w:pPr>
      <w:rPr>
        <w:rFonts w:ascii="Wingdings" w:hAnsi="Wingdings" w:hint="default"/>
      </w:rPr>
    </w:lvl>
    <w:lvl w:ilvl="3" w:tplc="040C0001" w:tentative="1">
      <w:start w:val="1"/>
      <w:numFmt w:val="bullet"/>
      <w:lvlText w:val=""/>
      <w:lvlJc w:val="left"/>
      <w:pPr>
        <w:ind w:left="1669" w:hanging="360"/>
      </w:pPr>
      <w:rPr>
        <w:rFonts w:ascii="Symbol" w:hAnsi="Symbol" w:hint="default"/>
      </w:rPr>
    </w:lvl>
    <w:lvl w:ilvl="4" w:tplc="040C0003" w:tentative="1">
      <w:start w:val="1"/>
      <w:numFmt w:val="bullet"/>
      <w:lvlText w:val="o"/>
      <w:lvlJc w:val="left"/>
      <w:pPr>
        <w:ind w:left="2389" w:hanging="360"/>
      </w:pPr>
      <w:rPr>
        <w:rFonts w:ascii="Courier New" w:hAnsi="Courier New" w:cs="Courier New" w:hint="default"/>
      </w:rPr>
    </w:lvl>
    <w:lvl w:ilvl="5" w:tplc="040C0005" w:tentative="1">
      <w:start w:val="1"/>
      <w:numFmt w:val="bullet"/>
      <w:lvlText w:val=""/>
      <w:lvlJc w:val="left"/>
      <w:pPr>
        <w:ind w:left="3109" w:hanging="360"/>
      </w:pPr>
      <w:rPr>
        <w:rFonts w:ascii="Wingdings" w:hAnsi="Wingdings" w:hint="default"/>
      </w:rPr>
    </w:lvl>
    <w:lvl w:ilvl="6" w:tplc="040C0001" w:tentative="1">
      <w:start w:val="1"/>
      <w:numFmt w:val="bullet"/>
      <w:lvlText w:val=""/>
      <w:lvlJc w:val="left"/>
      <w:pPr>
        <w:ind w:left="3829" w:hanging="360"/>
      </w:pPr>
      <w:rPr>
        <w:rFonts w:ascii="Symbol" w:hAnsi="Symbol" w:hint="default"/>
      </w:rPr>
    </w:lvl>
    <w:lvl w:ilvl="7" w:tplc="040C0003" w:tentative="1">
      <w:start w:val="1"/>
      <w:numFmt w:val="bullet"/>
      <w:lvlText w:val="o"/>
      <w:lvlJc w:val="left"/>
      <w:pPr>
        <w:ind w:left="4549" w:hanging="360"/>
      </w:pPr>
      <w:rPr>
        <w:rFonts w:ascii="Courier New" w:hAnsi="Courier New" w:cs="Courier New" w:hint="default"/>
      </w:rPr>
    </w:lvl>
    <w:lvl w:ilvl="8" w:tplc="040C0005" w:tentative="1">
      <w:start w:val="1"/>
      <w:numFmt w:val="bullet"/>
      <w:lvlText w:val=""/>
      <w:lvlJc w:val="left"/>
      <w:pPr>
        <w:ind w:left="5269" w:hanging="360"/>
      </w:pPr>
      <w:rPr>
        <w:rFonts w:ascii="Wingdings" w:hAnsi="Wingdings" w:hint="default"/>
      </w:rPr>
    </w:lvl>
  </w:abstractNum>
  <w:abstractNum w:abstractNumId="369" w15:restartNumberingAfterBreak="0">
    <w:nsid w:val="7B0E220E"/>
    <w:multiLevelType w:val="singleLevel"/>
    <w:tmpl w:val="9D2AE6B8"/>
    <w:lvl w:ilvl="0">
      <w:start w:val="1"/>
      <w:numFmt w:val="bullet"/>
      <w:pStyle w:val="Listepuce"/>
      <w:lvlText w:val=""/>
      <w:lvlJc w:val="left"/>
      <w:pPr>
        <w:tabs>
          <w:tab w:val="num" w:pos="360"/>
        </w:tabs>
        <w:ind w:left="360" w:hanging="360"/>
      </w:pPr>
      <w:rPr>
        <w:rFonts w:ascii="Wingdings" w:hAnsi="Wingdings" w:hint="default"/>
      </w:rPr>
    </w:lvl>
  </w:abstractNum>
  <w:abstractNum w:abstractNumId="370" w15:restartNumberingAfterBreak="0">
    <w:nsid w:val="7B1A6BB7"/>
    <w:multiLevelType w:val="hybridMultilevel"/>
    <w:tmpl w:val="6F8E10F2"/>
    <w:lvl w:ilvl="0" w:tplc="FFFFFFFF">
      <w:start w:val="1"/>
      <w:numFmt w:val="bullet"/>
      <w:pStyle w:val="E1"/>
      <w:lvlText w:val=""/>
      <w:lvlJc w:val="left"/>
      <w:pPr>
        <w:tabs>
          <w:tab w:val="num" w:pos="284"/>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1" w15:restartNumberingAfterBreak="0">
    <w:nsid w:val="7B2B76EB"/>
    <w:multiLevelType w:val="hybridMultilevel"/>
    <w:tmpl w:val="D1D8D03C"/>
    <w:lvl w:ilvl="0" w:tplc="040C0019">
      <w:numFmt w:val="bullet"/>
      <w:lvlText w:val="-"/>
      <w:lvlJc w:val="left"/>
      <w:pPr>
        <w:ind w:left="720" w:hanging="360"/>
      </w:pPr>
      <w:rPr>
        <w:rFonts w:ascii="Times New Roman" w:eastAsia="Times New Roman" w:hAnsi="Times New Roman" w:cs="Times New Roman" w:hint="default"/>
        <w:b/>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2" w15:restartNumberingAfterBreak="0">
    <w:nsid w:val="7B9F5825"/>
    <w:multiLevelType w:val="singleLevel"/>
    <w:tmpl w:val="040C0001"/>
    <w:lvl w:ilvl="0">
      <w:start w:val="1"/>
      <w:numFmt w:val="bullet"/>
      <w:pStyle w:val="xartnum1"/>
      <w:lvlText w:val=""/>
      <w:lvlJc w:val="left"/>
      <w:pPr>
        <w:ind w:left="720" w:hanging="360"/>
      </w:pPr>
      <w:rPr>
        <w:rFonts w:ascii="Symbol" w:hAnsi="Symbol" w:hint="default"/>
      </w:rPr>
    </w:lvl>
  </w:abstractNum>
  <w:abstractNum w:abstractNumId="373" w15:restartNumberingAfterBreak="0">
    <w:nsid w:val="7BC349D4"/>
    <w:multiLevelType w:val="hybridMultilevel"/>
    <w:tmpl w:val="FDE4D010"/>
    <w:lvl w:ilvl="0" w:tplc="E162F742">
      <w:start w:val="4"/>
      <w:numFmt w:val="bullet"/>
      <w:lvlText w:val="-"/>
      <w:lvlJc w:val="left"/>
      <w:pPr>
        <w:ind w:left="720" w:hanging="360"/>
      </w:pPr>
      <w:rPr>
        <w:rFonts w:ascii="Arial" w:eastAsia="Times New Roman" w:hAnsi="Arial" w:cs="Arial" w:hint="default"/>
        <w:b/>
        <w:bCs w:val="0"/>
        <w:i w:val="0"/>
        <w:iCs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4" w15:restartNumberingAfterBreak="0">
    <w:nsid w:val="7CD9687D"/>
    <w:multiLevelType w:val="multilevel"/>
    <w:tmpl w:val="A912B6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Style5"/>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5" w15:restartNumberingAfterBreak="0">
    <w:nsid w:val="7CED5635"/>
    <w:multiLevelType w:val="hybridMultilevel"/>
    <w:tmpl w:val="16A87EA8"/>
    <w:lvl w:ilvl="0" w:tplc="799A8FD4">
      <w:start w:val="1"/>
      <w:numFmt w:val="decimal"/>
      <w:pStyle w:val="NumroR1"/>
      <w:lvlText w:val="%1."/>
      <w:lvlJc w:val="left"/>
      <w:pPr>
        <w:tabs>
          <w:tab w:val="num" w:pos="824"/>
        </w:tabs>
        <w:ind w:left="824" w:hanging="360"/>
      </w:pPr>
      <w:rPr>
        <w:rFonts w:hint="default"/>
      </w:rPr>
    </w:lvl>
    <w:lvl w:ilvl="1" w:tplc="040C0003">
      <w:start w:val="1"/>
      <w:numFmt w:val="bullet"/>
      <w:lvlText w:val=""/>
      <w:lvlJc w:val="left"/>
      <w:pPr>
        <w:tabs>
          <w:tab w:val="num" w:pos="1724"/>
        </w:tabs>
        <w:ind w:left="1724" w:hanging="360"/>
      </w:pPr>
      <w:rPr>
        <w:rFonts w:ascii="Symbol" w:hAnsi="Symbol" w:hint="default"/>
      </w:rPr>
    </w:lvl>
    <w:lvl w:ilvl="2" w:tplc="040C0005" w:tentative="1">
      <w:start w:val="1"/>
      <w:numFmt w:val="lowerRoman"/>
      <w:lvlText w:val="%3."/>
      <w:lvlJc w:val="right"/>
      <w:pPr>
        <w:tabs>
          <w:tab w:val="num" w:pos="2444"/>
        </w:tabs>
        <w:ind w:left="2444" w:hanging="180"/>
      </w:pPr>
    </w:lvl>
    <w:lvl w:ilvl="3" w:tplc="040C0001" w:tentative="1">
      <w:start w:val="1"/>
      <w:numFmt w:val="decimal"/>
      <w:lvlText w:val="%4."/>
      <w:lvlJc w:val="left"/>
      <w:pPr>
        <w:tabs>
          <w:tab w:val="num" w:pos="3164"/>
        </w:tabs>
        <w:ind w:left="3164" w:hanging="360"/>
      </w:pPr>
    </w:lvl>
    <w:lvl w:ilvl="4" w:tplc="040C0003" w:tentative="1">
      <w:start w:val="1"/>
      <w:numFmt w:val="lowerLetter"/>
      <w:lvlText w:val="%5."/>
      <w:lvlJc w:val="left"/>
      <w:pPr>
        <w:tabs>
          <w:tab w:val="num" w:pos="3884"/>
        </w:tabs>
        <w:ind w:left="3884" w:hanging="360"/>
      </w:pPr>
    </w:lvl>
    <w:lvl w:ilvl="5" w:tplc="040C0005" w:tentative="1">
      <w:start w:val="1"/>
      <w:numFmt w:val="lowerRoman"/>
      <w:lvlText w:val="%6."/>
      <w:lvlJc w:val="right"/>
      <w:pPr>
        <w:tabs>
          <w:tab w:val="num" w:pos="4604"/>
        </w:tabs>
        <w:ind w:left="4604" w:hanging="180"/>
      </w:pPr>
    </w:lvl>
    <w:lvl w:ilvl="6" w:tplc="040C0001" w:tentative="1">
      <w:start w:val="1"/>
      <w:numFmt w:val="decimal"/>
      <w:lvlText w:val="%7."/>
      <w:lvlJc w:val="left"/>
      <w:pPr>
        <w:tabs>
          <w:tab w:val="num" w:pos="5324"/>
        </w:tabs>
        <w:ind w:left="5324" w:hanging="360"/>
      </w:pPr>
    </w:lvl>
    <w:lvl w:ilvl="7" w:tplc="040C0003" w:tentative="1">
      <w:start w:val="1"/>
      <w:numFmt w:val="lowerLetter"/>
      <w:lvlText w:val="%8."/>
      <w:lvlJc w:val="left"/>
      <w:pPr>
        <w:tabs>
          <w:tab w:val="num" w:pos="6044"/>
        </w:tabs>
        <w:ind w:left="6044" w:hanging="360"/>
      </w:pPr>
    </w:lvl>
    <w:lvl w:ilvl="8" w:tplc="040C0005" w:tentative="1">
      <w:start w:val="1"/>
      <w:numFmt w:val="lowerRoman"/>
      <w:lvlText w:val="%9."/>
      <w:lvlJc w:val="right"/>
      <w:pPr>
        <w:tabs>
          <w:tab w:val="num" w:pos="6764"/>
        </w:tabs>
        <w:ind w:left="6764" w:hanging="180"/>
      </w:pPr>
    </w:lvl>
  </w:abstractNum>
  <w:abstractNum w:abstractNumId="376" w15:restartNumberingAfterBreak="0">
    <w:nsid w:val="7D5036CA"/>
    <w:multiLevelType w:val="hybridMultilevel"/>
    <w:tmpl w:val="16262C90"/>
    <w:lvl w:ilvl="0" w:tplc="040C000D">
      <w:start w:val="1"/>
      <w:numFmt w:val="bullet"/>
      <w:lvlText w:val=""/>
      <w:lvlJc w:val="left"/>
      <w:pPr>
        <w:ind w:left="1018" w:hanging="360"/>
      </w:pPr>
      <w:rPr>
        <w:rFonts w:ascii="Wingdings" w:hAnsi="Wingdings" w:hint="default"/>
        <w:b w:val="0"/>
        <w:bCs w:val="0"/>
        <w:i w:val="0"/>
        <w:iCs w:val="0"/>
        <w:w w:val="99"/>
        <w:sz w:val="20"/>
        <w:szCs w:val="20"/>
        <w:lang w:val="fr-FR" w:eastAsia="en-US" w:bidi="ar-SA"/>
      </w:rPr>
    </w:lvl>
    <w:lvl w:ilvl="1" w:tplc="040C0003" w:tentative="1">
      <w:start w:val="1"/>
      <w:numFmt w:val="bullet"/>
      <w:lvlText w:val="o"/>
      <w:lvlJc w:val="left"/>
      <w:pPr>
        <w:ind w:left="1738" w:hanging="360"/>
      </w:pPr>
      <w:rPr>
        <w:rFonts w:ascii="Courier New" w:hAnsi="Courier New" w:cs="Courier New" w:hint="default"/>
      </w:rPr>
    </w:lvl>
    <w:lvl w:ilvl="2" w:tplc="040C0005" w:tentative="1">
      <w:start w:val="1"/>
      <w:numFmt w:val="bullet"/>
      <w:lvlText w:val=""/>
      <w:lvlJc w:val="left"/>
      <w:pPr>
        <w:ind w:left="2458" w:hanging="360"/>
      </w:pPr>
      <w:rPr>
        <w:rFonts w:ascii="Wingdings" w:hAnsi="Wingdings" w:hint="default"/>
      </w:rPr>
    </w:lvl>
    <w:lvl w:ilvl="3" w:tplc="040C0001" w:tentative="1">
      <w:start w:val="1"/>
      <w:numFmt w:val="bullet"/>
      <w:lvlText w:val=""/>
      <w:lvlJc w:val="left"/>
      <w:pPr>
        <w:ind w:left="3178" w:hanging="360"/>
      </w:pPr>
      <w:rPr>
        <w:rFonts w:ascii="Symbol" w:hAnsi="Symbol" w:hint="default"/>
      </w:rPr>
    </w:lvl>
    <w:lvl w:ilvl="4" w:tplc="040C0003" w:tentative="1">
      <w:start w:val="1"/>
      <w:numFmt w:val="bullet"/>
      <w:lvlText w:val="o"/>
      <w:lvlJc w:val="left"/>
      <w:pPr>
        <w:ind w:left="3898" w:hanging="360"/>
      </w:pPr>
      <w:rPr>
        <w:rFonts w:ascii="Courier New" w:hAnsi="Courier New" w:cs="Courier New" w:hint="default"/>
      </w:rPr>
    </w:lvl>
    <w:lvl w:ilvl="5" w:tplc="040C0005" w:tentative="1">
      <w:start w:val="1"/>
      <w:numFmt w:val="bullet"/>
      <w:lvlText w:val=""/>
      <w:lvlJc w:val="left"/>
      <w:pPr>
        <w:ind w:left="4618" w:hanging="360"/>
      </w:pPr>
      <w:rPr>
        <w:rFonts w:ascii="Wingdings" w:hAnsi="Wingdings" w:hint="default"/>
      </w:rPr>
    </w:lvl>
    <w:lvl w:ilvl="6" w:tplc="040C0001" w:tentative="1">
      <w:start w:val="1"/>
      <w:numFmt w:val="bullet"/>
      <w:lvlText w:val=""/>
      <w:lvlJc w:val="left"/>
      <w:pPr>
        <w:ind w:left="5338" w:hanging="360"/>
      </w:pPr>
      <w:rPr>
        <w:rFonts w:ascii="Symbol" w:hAnsi="Symbol" w:hint="default"/>
      </w:rPr>
    </w:lvl>
    <w:lvl w:ilvl="7" w:tplc="040C0003" w:tentative="1">
      <w:start w:val="1"/>
      <w:numFmt w:val="bullet"/>
      <w:lvlText w:val="o"/>
      <w:lvlJc w:val="left"/>
      <w:pPr>
        <w:ind w:left="6058" w:hanging="360"/>
      </w:pPr>
      <w:rPr>
        <w:rFonts w:ascii="Courier New" w:hAnsi="Courier New" w:cs="Courier New" w:hint="default"/>
      </w:rPr>
    </w:lvl>
    <w:lvl w:ilvl="8" w:tplc="040C0005" w:tentative="1">
      <w:start w:val="1"/>
      <w:numFmt w:val="bullet"/>
      <w:lvlText w:val=""/>
      <w:lvlJc w:val="left"/>
      <w:pPr>
        <w:ind w:left="6778" w:hanging="360"/>
      </w:pPr>
      <w:rPr>
        <w:rFonts w:ascii="Wingdings" w:hAnsi="Wingdings" w:hint="default"/>
      </w:rPr>
    </w:lvl>
  </w:abstractNum>
  <w:abstractNum w:abstractNumId="377" w15:restartNumberingAfterBreak="0">
    <w:nsid w:val="7D8827E0"/>
    <w:multiLevelType w:val="hybridMultilevel"/>
    <w:tmpl w:val="FD2054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8" w15:restartNumberingAfterBreak="0">
    <w:nsid w:val="7E182211"/>
    <w:multiLevelType w:val="hybridMultilevel"/>
    <w:tmpl w:val="3B1E5B4A"/>
    <w:lvl w:ilvl="0" w:tplc="E334E61A">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9" w15:restartNumberingAfterBreak="0">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0" w15:restartNumberingAfterBreak="0">
    <w:nsid w:val="7E9A2907"/>
    <w:multiLevelType w:val="hybridMultilevel"/>
    <w:tmpl w:val="8322509A"/>
    <w:lvl w:ilvl="0" w:tplc="FFFFFFFF">
      <w:start w:val="1"/>
      <w:numFmt w:val="decimal"/>
      <w:lvlText w:val="%1."/>
      <w:lvlJc w:val="left"/>
      <w:pPr>
        <w:ind w:left="360" w:hanging="360"/>
      </w:pPr>
      <w:rPr>
        <w:rFonts w:hint="default"/>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1" w15:restartNumberingAfterBreak="0">
    <w:nsid w:val="7EC470B0"/>
    <w:multiLevelType w:val="hybridMultilevel"/>
    <w:tmpl w:val="8322509A"/>
    <w:lvl w:ilvl="0" w:tplc="FFFFFFFF">
      <w:start w:val="1"/>
      <w:numFmt w:val="decimal"/>
      <w:lvlText w:val="%1."/>
      <w:lvlJc w:val="left"/>
      <w:pPr>
        <w:ind w:left="360" w:hanging="360"/>
      </w:pPr>
      <w:rPr>
        <w:rFonts w:hint="default"/>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2" w15:restartNumberingAfterBreak="0">
    <w:nsid w:val="7EC9384E"/>
    <w:multiLevelType w:val="multilevel"/>
    <w:tmpl w:val="789A1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3" w15:restartNumberingAfterBreak="0">
    <w:nsid w:val="7EE616B2"/>
    <w:multiLevelType w:val="hybridMultilevel"/>
    <w:tmpl w:val="D78EE1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4" w15:restartNumberingAfterBreak="0">
    <w:nsid w:val="7EF43691"/>
    <w:multiLevelType w:val="singleLevel"/>
    <w:tmpl w:val="248447A4"/>
    <w:lvl w:ilvl="0">
      <w:start w:val="1"/>
      <w:numFmt w:val="bullet"/>
      <w:pStyle w:val="bulletedbodytext"/>
      <w:lvlText w:val=""/>
      <w:lvlJc w:val="left"/>
      <w:pPr>
        <w:tabs>
          <w:tab w:val="num" w:pos="360"/>
        </w:tabs>
        <w:ind w:left="360" w:hanging="360"/>
      </w:pPr>
      <w:rPr>
        <w:rFonts w:ascii="Symbol" w:hAnsi="Symbol" w:hint="default"/>
      </w:rPr>
    </w:lvl>
  </w:abstractNum>
  <w:num w:numId="1" w16cid:durableId="1048380404">
    <w:abstractNumId w:val="326"/>
  </w:num>
  <w:num w:numId="2" w16cid:durableId="336738067">
    <w:abstractNumId w:val="277"/>
  </w:num>
  <w:num w:numId="3" w16cid:durableId="140730403">
    <w:abstractNumId w:val="289"/>
  </w:num>
  <w:num w:numId="4" w16cid:durableId="325020076">
    <w:abstractNumId w:val="4"/>
  </w:num>
  <w:num w:numId="5" w16cid:durableId="1210000253">
    <w:abstractNumId w:val="358"/>
  </w:num>
  <w:num w:numId="6" w16cid:durableId="930359982">
    <w:abstractNumId w:val="170"/>
  </w:num>
  <w:num w:numId="7" w16cid:durableId="1065685374">
    <w:abstractNumId w:val="242"/>
  </w:num>
  <w:num w:numId="8" w16cid:durableId="1371345619">
    <w:abstractNumId w:val="341"/>
  </w:num>
  <w:num w:numId="9" w16cid:durableId="1475217092">
    <w:abstractNumId w:val="13"/>
  </w:num>
  <w:num w:numId="10" w16cid:durableId="1300571486">
    <w:abstractNumId w:val="352"/>
  </w:num>
  <w:num w:numId="11" w16cid:durableId="1694266650">
    <w:abstractNumId w:val="121"/>
  </w:num>
  <w:num w:numId="12" w16cid:durableId="482048859">
    <w:abstractNumId w:val="136"/>
  </w:num>
  <w:num w:numId="13" w16cid:durableId="1678580430">
    <w:abstractNumId w:val="114"/>
  </w:num>
  <w:num w:numId="14" w16cid:durableId="1359501411">
    <w:abstractNumId w:val="135"/>
  </w:num>
  <w:num w:numId="15" w16cid:durableId="1668513434">
    <w:abstractNumId w:val="2"/>
  </w:num>
  <w:num w:numId="16" w16cid:durableId="1501700053">
    <w:abstractNumId w:val="0"/>
  </w:num>
  <w:num w:numId="17" w16cid:durableId="1838693344">
    <w:abstractNumId w:val="384"/>
  </w:num>
  <w:num w:numId="18" w16cid:durableId="194317305">
    <w:abstractNumId w:val="336"/>
  </w:num>
  <w:num w:numId="19" w16cid:durableId="1865047025">
    <w:abstractNumId w:val="15"/>
  </w:num>
  <w:num w:numId="20" w16cid:durableId="244807699">
    <w:abstractNumId w:val="345"/>
  </w:num>
  <w:num w:numId="21" w16cid:durableId="1943948738">
    <w:abstractNumId w:val="33"/>
  </w:num>
  <w:num w:numId="22" w16cid:durableId="1279723407">
    <w:abstractNumId w:val="372"/>
  </w:num>
  <w:num w:numId="23" w16cid:durableId="1811825883">
    <w:abstractNumId w:val="369"/>
  </w:num>
  <w:num w:numId="24" w16cid:durableId="1878662945">
    <w:abstractNumId w:val="301"/>
  </w:num>
  <w:num w:numId="25" w16cid:durableId="257063760">
    <w:abstractNumId w:val="323"/>
  </w:num>
  <w:num w:numId="26" w16cid:durableId="571044119">
    <w:abstractNumId w:val="279"/>
  </w:num>
  <w:num w:numId="27" w16cid:durableId="1512181080">
    <w:abstractNumId w:val="171"/>
  </w:num>
  <w:num w:numId="28" w16cid:durableId="707991620">
    <w:abstractNumId w:val="271"/>
  </w:num>
  <w:num w:numId="29" w16cid:durableId="1311640419">
    <w:abstractNumId w:val="296"/>
  </w:num>
  <w:num w:numId="30" w16cid:durableId="411198235">
    <w:abstractNumId w:val="102"/>
  </w:num>
  <w:num w:numId="31" w16cid:durableId="891964446">
    <w:abstractNumId w:val="184"/>
  </w:num>
  <w:num w:numId="32" w16cid:durableId="583534007">
    <w:abstractNumId w:val="1"/>
  </w:num>
  <w:num w:numId="33" w16cid:durableId="1402216153">
    <w:abstractNumId w:val="186"/>
  </w:num>
  <w:num w:numId="34" w16cid:durableId="1408962741">
    <w:abstractNumId w:val="343"/>
  </w:num>
  <w:num w:numId="35" w16cid:durableId="116149842">
    <w:abstractNumId w:val="255"/>
  </w:num>
  <w:num w:numId="36" w16cid:durableId="575285584">
    <w:abstractNumId w:val="222"/>
  </w:num>
  <w:num w:numId="37" w16cid:durableId="2015717804">
    <w:abstractNumId w:val="101"/>
  </w:num>
  <w:num w:numId="38" w16cid:durableId="1567567205">
    <w:abstractNumId w:val="294"/>
  </w:num>
  <w:num w:numId="39" w16cid:durableId="263005178">
    <w:abstractNumId w:val="230"/>
  </w:num>
  <w:num w:numId="40" w16cid:durableId="1408769100">
    <w:abstractNumId w:val="3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37466004">
    <w:abstractNumId w:val="236"/>
  </w:num>
  <w:num w:numId="42" w16cid:durableId="1489514714">
    <w:abstractNumId w:val="214"/>
  </w:num>
  <w:num w:numId="43" w16cid:durableId="682245245">
    <w:abstractNumId w:val="307"/>
  </w:num>
  <w:num w:numId="44" w16cid:durableId="1227305730">
    <w:abstractNumId w:val="152"/>
  </w:num>
  <w:num w:numId="45" w16cid:durableId="1440106109">
    <w:abstractNumId w:val="232"/>
  </w:num>
  <w:num w:numId="46" w16cid:durableId="1889956659">
    <w:abstractNumId w:val="156"/>
  </w:num>
  <w:num w:numId="47" w16cid:durableId="2095123787">
    <w:abstractNumId w:val="10"/>
  </w:num>
  <w:num w:numId="48" w16cid:durableId="1532113694">
    <w:abstractNumId w:val="190"/>
  </w:num>
  <w:num w:numId="49" w16cid:durableId="1540631393">
    <w:abstractNumId w:val="27"/>
  </w:num>
  <w:num w:numId="50" w16cid:durableId="1178495379">
    <w:abstractNumId w:val="175"/>
  </w:num>
  <w:num w:numId="51" w16cid:durableId="1041125196">
    <w:abstractNumId w:val="357"/>
  </w:num>
  <w:num w:numId="52" w16cid:durableId="530533901">
    <w:abstractNumId w:val="202"/>
  </w:num>
  <w:num w:numId="53" w16cid:durableId="1148479588">
    <w:abstractNumId w:val="154"/>
  </w:num>
  <w:num w:numId="54" w16cid:durableId="497381662">
    <w:abstractNumId w:val="97"/>
  </w:num>
  <w:num w:numId="55" w16cid:durableId="375549771">
    <w:abstractNumId w:val="318"/>
  </w:num>
  <w:num w:numId="56" w16cid:durableId="1112168629">
    <w:abstractNumId w:val="165"/>
  </w:num>
  <w:num w:numId="57" w16cid:durableId="70395380">
    <w:abstractNumId w:val="112"/>
  </w:num>
  <w:num w:numId="58" w16cid:durableId="395472536">
    <w:abstractNumId w:val="269"/>
  </w:num>
  <w:num w:numId="59" w16cid:durableId="1106191661">
    <w:abstractNumId w:val="25"/>
  </w:num>
  <w:num w:numId="60" w16cid:durableId="244147397">
    <w:abstractNumId w:val="120"/>
  </w:num>
  <w:num w:numId="61" w16cid:durableId="23101027">
    <w:abstractNumId w:val="187"/>
  </w:num>
  <w:num w:numId="62" w16cid:durableId="595986519">
    <w:abstractNumId w:val="123"/>
  </w:num>
  <w:num w:numId="63" w16cid:durableId="2091390086">
    <w:abstractNumId w:val="78"/>
  </w:num>
  <w:num w:numId="64" w16cid:durableId="1949964722">
    <w:abstractNumId w:val="158"/>
  </w:num>
  <w:num w:numId="65" w16cid:durableId="2029138492">
    <w:abstractNumId w:val="29"/>
  </w:num>
  <w:num w:numId="66" w16cid:durableId="1668171082">
    <w:abstractNumId w:val="328"/>
  </w:num>
  <w:num w:numId="67" w16cid:durableId="1005939213">
    <w:abstractNumId w:val="108"/>
  </w:num>
  <w:num w:numId="68" w16cid:durableId="776103459">
    <w:abstractNumId w:val="65"/>
  </w:num>
  <w:num w:numId="69" w16cid:durableId="1437287973">
    <w:abstractNumId w:val="44"/>
  </w:num>
  <w:num w:numId="70" w16cid:durableId="162209099">
    <w:abstractNumId w:val="199"/>
  </w:num>
  <w:num w:numId="71" w16cid:durableId="1270966389">
    <w:abstractNumId w:val="153"/>
  </w:num>
  <w:num w:numId="72" w16cid:durableId="1526628296">
    <w:abstractNumId w:val="306"/>
  </w:num>
  <w:num w:numId="73" w16cid:durableId="341901515">
    <w:abstractNumId w:val="319"/>
  </w:num>
  <w:num w:numId="74" w16cid:durableId="1721398203">
    <w:abstractNumId w:val="360"/>
  </w:num>
  <w:num w:numId="75" w16cid:durableId="361127300">
    <w:abstractNumId w:val="163"/>
  </w:num>
  <w:num w:numId="76" w16cid:durableId="527111076">
    <w:abstractNumId w:val="240"/>
  </w:num>
  <w:num w:numId="77" w16cid:durableId="1940596171">
    <w:abstractNumId w:val="268"/>
  </w:num>
  <w:num w:numId="78" w16cid:durableId="534582278">
    <w:abstractNumId w:val="134"/>
  </w:num>
  <w:num w:numId="79" w16cid:durableId="1979914997">
    <w:abstractNumId w:val="59"/>
  </w:num>
  <w:num w:numId="80" w16cid:durableId="2079548216">
    <w:abstractNumId w:val="113"/>
  </w:num>
  <w:num w:numId="81" w16cid:durableId="394166117">
    <w:abstractNumId w:val="20"/>
  </w:num>
  <w:num w:numId="82" w16cid:durableId="1333990753">
    <w:abstractNumId w:val="100"/>
  </w:num>
  <w:num w:numId="83" w16cid:durableId="710764390">
    <w:abstractNumId w:val="69"/>
  </w:num>
  <w:num w:numId="84" w16cid:durableId="1446120934">
    <w:abstractNumId w:val="172"/>
  </w:num>
  <w:num w:numId="85" w16cid:durableId="1244029558">
    <w:abstractNumId w:val="60"/>
  </w:num>
  <w:num w:numId="86" w16cid:durableId="484976238">
    <w:abstractNumId w:val="50"/>
  </w:num>
  <w:num w:numId="87" w16cid:durableId="764616141">
    <w:abstractNumId w:val="365"/>
  </w:num>
  <w:num w:numId="88" w16cid:durableId="2065332182">
    <w:abstractNumId w:val="174"/>
  </w:num>
  <w:num w:numId="89" w16cid:durableId="117070267">
    <w:abstractNumId w:val="273"/>
  </w:num>
  <w:num w:numId="90" w16cid:durableId="1945067111">
    <w:abstractNumId w:val="206"/>
  </w:num>
  <w:num w:numId="91" w16cid:durableId="1901600594">
    <w:abstractNumId w:val="124"/>
  </w:num>
  <w:num w:numId="92" w16cid:durableId="1726948253">
    <w:abstractNumId w:val="209"/>
  </w:num>
  <w:num w:numId="93" w16cid:durableId="343092174">
    <w:abstractNumId w:val="91"/>
  </w:num>
  <w:num w:numId="94" w16cid:durableId="1059131784">
    <w:abstractNumId w:val="263"/>
  </w:num>
  <w:num w:numId="95" w16cid:durableId="287442946">
    <w:abstractNumId w:val="73"/>
  </w:num>
  <w:num w:numId="96" w16cid:durableId="1794444878">
    <w:abstractNumId w:val="157"/>
  </w:num>
  <w:num w:numId="97" w16cid:durableId="1105465607">
    <w:abstractNumId w:val="34"/>
  </w:num>
  <w:num w:numId="98" w16cid:durableId="1342196473">
    <w:abstractNumId w:val="94"/>
  </w:num>
  <w:num w:numId="99" w16cid:durableId="783497391">
    <w:abstractNumId w:val="62"/>
  </w:num>
  <w:num w:numId="100" w16cid:durableId="197013596">
    <w:abstractNumId w:val="89"/>
  </w:num>
  <w:num w:numId="101" w16cid:durableId="1295133346">
    <w:abstractNumId w:val="126"/>
  </w:num>
  <w:num w:numId="102" w16cid:durableId="1298727577">
    <w:abstractNumId w:val="79"/>
  </w:num>
  <w:num w:numId="103" w16cid:durableId="529729180">
    <w:abstractNumId w:val="178"/>
  </w:num>
  <w:num w:numId="104" w16cid:durableId="751316620">
    <w:abstractNumId w:val="76"/>
  </w:num>
  <w:num w:numId="105" w16cid:durableId="1446541657">
    <w:abstractNumId w:val="329"/>
  </w:num>
  <w:num w:numId="106" w16cid:durableId="206778">
    <w:abstractNumId w:val="19"/>
  </w:num>
  <w:num w:numId="107" w16cid:durableId="730536901">
    <w:abstractNumId w:val="219"/>
  </w:num>
  <w:num w:numId="108" w16cid:durableId="122040492">
    <w:abstractNumId w:val="303"/>
  </w:num>
  <w:num w:numId="109" w16cid:durableId="995113777">
    <w:abstractNumId w:val="45"/>
  </w:num>
  <w:num w:numId="110" w16cid:durableId="1019819088">
    <w:abstractNumId w:val="75"/>
  </w:num>
  <w:num w:numId="111" w16cid:durableId="1817186181">
    <w:abstractNumId w:val="179"/>
  </w:num>
  <w:num w:numId="112" w16cid:durableId="1522814821">
    <w:abstractNumId w:val="98"/>
  </w:num>
  <w:num w:numId="113" w16cid:durableId="180440945">
    <w:abstractNumId w:val="227"/>
  </w:num>
  <w:num w:numId="114" w16cid:durableId="1632857097">
    <w:abstractNumId w:val="70"/>
  </w:num>
  <w:num w:numId="115" w16cid:durableId="695623722">
    <w:abstractNumId w:val="37"/>
  </w:num>
  <w:num w:numId="116" w16cid:durableId="519007232">
    <w:abstractNumId w:val="248"/>
  </w:num>
  <w:num w:numId="117" w16cid:durableId="924798817">
    <w:abstractNumId w:val="231"/>
  </w:num>
  <w:num w:numId="118" w16cid:durableId="1338966480">
    <w:abstractNumId w:val="36"/>
  </w:num>
  <w:num w:numId="119" w16cid:durableId="875115963">
    <w:abstractNumId w:val="234"/>
  </w:num>
  <w:num w:numId="120" w16cid:durableId="872427341">
    <w:abstractNumId w:val="61"/>
  </w:num>
  <w:num w:numId="121" w16cid:durableId="1221748727">
    <w:abstractNumId w:val="265"/>
  </w:num>
  <w:num w:numId="122" w16cid:durableId="1485973045">
    <w:abstractNumId w:val="148"/>
  </w:num>
  <w:num w:numId="123" w16cid:durableId="1003511425">
    <w:abstractNumId w:val="288"/>
  </w:num>
  <w:num w:numId="124" w16cid:durableId="920334149">
    <w:abstractNumId w:val="90"/>
  </w:num>
  <w:num w:numId="125" w16cid:durableId="2009938426">
    <w:abstractNumId w:val="256"/>
  </w:num>
  <w:num w:numId="126" w16cid:durableId="1706322345">
    <w:abstractNumId w:val="192"/>
  </w:num>
  <w:num w:numId="127" w16cid:durableId="1439833218">
    <w:abstractNumId w:val="245"/>
  </w:num>
  <w:num w:numId="128" w16cid:durableId="360982257">
    <w:abstractNumId w:val="346"/>
  </w:num>
  <w:num w:numId="129" w16cid:durableId="23486937">
    <w:abstractNumId w:val="95"/>
  </w:num>
  <w:num w:numId="130" w16cid:durableId="31273910">
    <w:abstractNumId w:val="284"/>
  </w:num>
  <w:num w:numId="131" w16cid:durableId="208149835">
    <w:abstractNumId w:val="3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2142503397">
    <w:abstractNumId w:val="173"/>
  </w:num>
  <w:num w:numId="133" w16cid:durableId="1606419183">
    <w:abstractNumId w:val="139"/>
  </w:num>
  <w:num w:numId="134" w16cid:durableId="1304315114">
    <w:abstractNumId w:val="261"/>
  </w:num>
  <w:num w:numId="135" w16cid:durableId="625425887">
    <w:abstractNumId w:val="243"/>
  </w:num>
  <w:num w:numId="136" w16cid:durableId="1440904572">
    <w:abstractNumId w:val="193"/>
  </w:num>
  <w:num w:numId="137" w16cid:durableId="396367557">
    <w:abstractNumId w:val="366"/>
  </w:num>
  <w:num w:numId="138" w16cid:durableId="467094291">
    <w:abstractNumId w:val="151"/>
  </w:num>
  <w:num w:numId="139" w16cid:durableId="460421871">
    <w:abstractNumId w:val="266"/>
  </w:num>
  <w:num w:numId="140" w16cid:durableId="1602033901">
    <w:abstractNumId w:val="281"/>
  </w:num>
  <w:num w:numId="141" w16cid:durableId="17046253">
    <w:abstractNumId w:val="335"/>
  </w:num>
  <w:num w:numId="142" w16cid:durableId="61370763">
    <w:abstractNumId w:val="247"/>
  </w:num>
  <w:num w:numId="143" w16cid:durableId="149176658">
    <w:abstractNumId w:val="251"/>
  </w:num>
  <w:num w:numId="144" w16cid:durableId="593785267">
    <w:abstractNumId w:val="317"/>
  </w:num>
  <w:num w:numId="145" w16cid:durableId="1427187417">
    <w:abstractNumId w:val="270"/>
  </w:num>
  <w:num w:numId="146" w16cid:durableId="1579945609">
    <w:abstractNumId w:val="375"/>
  </w:num>
  <w:num w:numId="147" w16cid:durableId="1895116284">
    <w:abstractNumId w:val="327"/>
  </w:num>
  <w:num w:numId="148" w16cid:durableId="1743680339">
    <w:abstractNumId w:val="35"/>
  </w:num>
  <w:num w:numId="149" w16cid:durableId="237518640">
    <w:abstractNumId w:val="132"/>
  </w:num>
  <w:num w:numId="150" w16cid:durableId="314262609">
    <w:abstractNumId w:val="314"/>
  </w:num>
  <w:num w:numId="151" w16cid:durableId="1702706467">
    <w:abstractNumId w:val="122"/>
  </w:num>
  <w:num w:numId="152" w16cid:durableId="629550764">
    <w:abstractNumId w:val="223"/>
  </w:num>
  <w:num w:numId="153" w16cid:durableId="168561831">
    <w:abstractNumId w:val="111"/>
  </w:num>
  <w:num w:numId="154" w16cid:durableId="1390226605">
    <w:abstractNumId w:val="66"/>
  </w:num>
  <w:num w:numId="155" w16cid:durableId="803892462">
    <w:abstractNumId w:val="16"/>
  </w:num>
  <w:num w:numId="156" w16cid:durableId="903300648">
    <w:abstractNumId w:val="211"/>
  </w:num>
  <w:num w:numId="157" w16cid:durableId="1105927704">
    <w:abstractNumId w:val="23"/>
  </w:num>
  <w:num w:numId="158" w16cid:durableId="574389796">
    <w:abstractNumId w:val="38"/>
  </w:num>
  <w:num w:numId="159" w16cid:durableId="1634942395">
    <w:abstractNumId w:val="49"/>
  </w:num>
  <w:num w:numId="160" w16cid:durableId="1226261884">
    <w:abstractNumId w:val="220"/>
  </w:num>
  <w:num w:numId="161" w16cid:durableId="786772687">
    <w:abstractNumId w:val="262"/>
  </w:num>
  <w:num w:numId="162" w16cid:durableId="513227036">
    <w:abstractNumId w:val="58"/>
  </w:num>
  <w:num w:numId="163" w16cid:durableId="1577860479">
    <w:abstractNumId w:val="332"/>
  </w:num>
  <w:num w:numId="164" w16cid:durableId="1888491689">
    <w:abstractNumId w:val="233"/>
  </w:num>
  <w:num w:numId="165" w16cid:durableId="196630156">
    <w:abstractNumId w:val="86"/>
  </w:num>
  <w:num w:numId="166" w16cid:durableId="2112774967">
    <w:abstractNumId w:val="28"/>
  </w:num>
  <w:num w:numId="167" w16cid:durableId="844174836">
    <w:abstractNumId w:val="155"/>
  </w:num>
  <w:num w:numId="168" w16cid:durableId="1783114564">
    <w:abstractNumId w:val="371"/>
  </w:num>
  <w:num w:numId="169" w16cid:durableId="1864854690">
    <w:abstractNumId w:val="377"/>
  </w:num>
  <w:num w:numId="170" w16cid:durableId="1224172308">
    <w:abstractNumId w:val="195"/>
  </w:num>
  <w:num w:numId="171" w16cid:durableId="1864590923">
    <w:abstractNumId w:val="54"/>
  </w:num>
  <w:num w:numId="172" w16cid:durableId="213586590">
    <w:abstractNumId w:val="208"/>
  </w:num>
  <w:num w:numId="173" w16cid:durableId="66156117">
    <w:abstractNumId w:val="56"/>
  </w:num>
  <w:num w:numId="174" w16cid:durableId="1884754337">
    <w:abstractNumId w:val="5"/>
  </w:num>
  <w:num w:numId="175" w16cid:durableId="1086613178">
    <w:abstractNumId w:val="6"/>
  </w:num>
  <w:num w:numId="176" w16cid:durableId="418411980">
    <w:abstractNumId w:val="253"/>
  </w:num>
  <w:num w:numId="177" w16cid:durableId="1973633051">
    <w:abstractNumId w:val="8"/>
  </w:num>
  <w:num w:numId="178" w16cid:durableId="842234390">
    <w:abstractNumId w:val="9"/>
  </w:num>
  <w:num w:numId="179" w16cid:durableId="550310957">
    <w:abstractNumId w:val="162"/>
  </w:num>
  <w:num w:numId="180" w16cid:durableId="1067529050">
    <w:abstractNumId w:val="239"/>
  </w:num>
  <w:num w:numId="181" w16cid:durableId="985859216">
    <w:abstractNumId w:val="260"/>
  </w:num>
  <w:num w:numId="182" w16cid:durableId="372730080">
    <w:abstractNumId w:val="213"/>
    <w:lvlOverride w:ilvl="0">
      <w:startOverride w:val="1"/>
    </w:lvlOverride>
    <w:lvlOverride w:ilvl="1"/>
    <w:lvlOverride w:ilvl="2"/>
    <w:lvlOverride w:ilvl="3"/>
    <w:lvlOverride w:ilvl="4"/>
    <w:lvlOverride w:ilvl="5"/>
    <w:lvlOverride w:ilvl="6"/>
    <w:lvlOverride w:ilvl="7"/>
    <w:lvlOverride w:ilvl="8"/>
  </w:num>
  <w:num w:numId="183" w16cid:durableId="910235224">
    <w:abstractNumId w:val="315"/>
  </w:num>
  <w:num w:numId="184" w16cid:durableId="1193686229">
    <w:abstractNumId w:val="142"/>
  </w:num>
  <w:num w:numId="185" w16cid:durableId="1318849098">
    <w:abstractNumId w:val="83"/>
  </w:num>
  <w:num w:numId="186" w16cid:durableId="640695876">
    <w:abstractNumId w:val="203"/>
  </w:num>
  <w:num w:numId="187" w16cid:durableId="1801193768">
    <w:abstractNumId w:val="180"/>
  </w:num>
  <w:num w:numId="188" w16cid:durableId="1635790276">
    <w:abstractNumId w:val="272"/>
  </w:num>
  <w:num w:numId="189" w16cid:durableId="1680034825">
    <w:abstractNumId w:val="55"/>
  </w:num>
  <w:num w:numId="190" w16cid:durableId="1428843678">
    <w:abstractNumId w:val="177"/>
  </w:num>
  <w:num w:numId="191" w16cid:durableId="473452768">
    <w:abstractNumId w:val="117"/>
  </w:num>
  <w:num w:numId="192" w16cid:durableId="34085360">
    <w:abstractNumId w:val="80"/>
  </w:num>
  <w:num w:numId="193" w16cid:durableId="1345791392">
    <w:abstractNumId w:val="217"/>
  </w:num>
  <w:num w:numId="194" w16cid:durableId="1462575396">
    <w:abstractNumId w:val="374"/>
  </w:num>
  <w:num w:numId="195" w16cid:durableId="1877817444">
    <w:abstractNumId w:val="183"/>
  </w:num>
  <w:num w:numId="196" w16cid:durableId="1225219993">
    <w:abstractNumId w:val="316"/>
  </w:num>
  <w:num w:numId="197" w16cid:durableId="789782092">
    <w:abstractNumId w:val="24"/>
  </w:num>
  <w:num w:numId="198" w16cid:durableId="979841779">
    <w:abstractNumId w:val="286"/>
  </w:num>
  <w:num w:numId="199" w16cid:durableId="1838954378">
    <w:abstractNumId w:val="125"/>
  </w:num>
  <w:num w:numId="200" w16cid:durableId="987442527">
    <w:abstractNumId w:val="48"/>
  </w:num>
  <w:num w:numId="201" w16cid:durableId="936987170">
    <w:abstractNumId w:val="46"/>
  </w:num>
  <w:num w:numId="202" w16cid:durableId="142310146">
    <w:abstractNumId w:val="218"/>
  </w:num>
  <w:num w:numId="203" w16cid:durableId="1115902037">
    <w:abstractNumId w:val="311"/>
  </w:num>
  <w:num w:numId="204" w16cid:durableId="348877715">
    <w:abstractNumId w:val="299"/>
  </w:num>
  <w:num w:numId="205" w16cid:durableId="1615668858">
    <w:abstractNumId w:val="354"/>
  </w:num>
  <w:num w:numId="206" w16cid:durableId="338121277">
    <w:abstractNumId w:val="293"/>
  </w:num>
  <w:num w:numId="207" w16cid:durableId="549458436">
    <w:abstractNumId w:val="383"/>
  </w:num>
  <w:num w:numId="208" w16cid:durableId="202645280">
    <w:abstractNumId w:val="363"/>
  </w:num>
  <w:num w:numId="209" w16cid:durableId="1769619153">
    <w:abstractNumId w:val="143"/>
  </w:num>
  <w:num w:numId="210" w16cid:durableId="1843885598">
    <w:abstractNumId w:val="258"/>
  </w:num>
  <w:num w:numId="211" w16cid:durableId="510418152">
    <w:abstractNumId w:val="320"/>
  </w:num>
  <w:num w:numId="212" w16cid:durableId="1941528614">
    <w:abstractNumId w:val="87"/>
  </w:num>
  <w:num w:numId="213" w16cid:durableId="976647543">
    <w:abstractNumId w:val="145"/>
  </w:num>
  <w:num w:numId="214" w16cid:durableId="1109541883">
    <w:abstractNumId w:val="283"/>
  </w:num>
  <w:num w:numId="215" w16cid:durableId="1990941821">
    <w:abstractNumId w:val="274"/>
  </w:num>
  <w:num w:numId="216" w16cid:durableId="2028436180">
    <w:abstractNumId w:val="367"/>
  </w:num>
  <w:num w:numId="217" w16cid:durableId="1614164988">
    <w:abstractNumId w:val="373"/>
  </w:num>
  <w:num w:numId="218" w16cid:durableId="930508583">
    <w:abstractNumId w:val="312"/>
  </w:num>
  <w:num w:numId="219" w16cid:durableId="1247692167">
    <w:abstractNumId w:val="241"/>
  </w:num>
  <w:num w:numId="220" w16cid:durableId="1836459143">
    <w:abstractNumId w:val="361"/>
  </w:num>
  <w:num w:numId="221" w16cid:durableId="864946986">
    <w:abstractNumId w:val="160"/>
  </w:num>
  <w:num w:numId="222" w16cid:durableId="118453154">
    <w:abstractNumId w:val="267"/>
  </w:num>
  <w:num w:numId="223" w16cid:durableId="38093602">
    <w:abstractNumId w:val="197"/>
  </w:num>
  <w:num w:numId="224" w16cid:durableId="1373457448">
    <w:abstractNumId w:val="338"/>
  </w:num>
  <w:num w:numId="225" w16cid:durableId="1054347913">
    <w:abstractNumId w:val="379"/>
  </w:num>
  <w:num w:numId="226" w16cid:durableId="502935784">
    <w:abstractNumId w:val="127"/>
  </w:num>
  <w:num w:numId="227" w16cid:durableId="1337466613">
    <w:abstractNumId w:val="297"/>
  </w:num>
  <w:num w:numId="228" w16cid:durableId="233636365">
    <w:abstractNumId w:val="7"/>
  </w:num>
  <w:num w:numId="229" w16cid:durableId="1016886982">
    <w:abstractNumId w:val="224"/>
  </w:num>
  <w:num w:numId="230" w16cid:durableId="778524180">
    <w:abstractNumId w:val="370"/>
  </w:num>
  <w:num w:numId="231" w16cid:durableId="272596743">
    <w:abstractNumId w:val="43"/>
  </w:num>
  <w:num w:numId="232" w16cid:durableId="1957444396">
    <w:abstractNumId w:val="282"/>
  </w:num>
  <w:num w:numId="233" w16cid:durableId="763306486">
    <w:abstractNumId w:val="322"/>
  </w:num>
  <w:num w:numId="234" w16cid:durableId="1957757900">
    <w:abstractNumId w:val="137"/>
  </w:num>
  <w:num w:numId="235" w16cid:durableId="1227450401">
    <w:abstractNumId w:val="93"/>
  </w:num>
  <w:num w:numId="236" w16cid:durableId="233202167">
    <w:abstractNumId w:val="3"/>
  </w:num>
  <w:num w:numId="237" w16cid:durableId="1101727492">
    <w:abstractNumId w:val="146"/>
  </w:num>
  <w:num w:numId="238" w16cid:durableId="966859572">
    <w:abstractNumId w:val="221"/>
  </w:num>
  <w:num w:numId="239" w16cid:durableId="385573352">
    <w:abstractNumId w:val="47"/>
  </w:num>
  <w:num w:numId="240" w16cid:durableId="2000234782">
    <w:abstractNumId w:val="168"/>
  </w:num>
  <w:num w:numId="241" w16cid:durableId="1065564788">
    <w:abstractNumId w:val="129"/>
  </w:num>
  <w:num w:numId="242" w16cid:durableId="1011420429">
    <w:abstractNumId w:val="353"/>
  </w:num>
  <w:num w:numId="243" w16cid:durableId="254284879">
    <w:abstractNumId w:val="159"/>
  </w:num>
  <w:num w:numId="244" w16cid:durableId="784740528">
    <w:abstractNumId w:val="355"/>
  </w:num>
  <w:num w:numId="245" w16cid:durableId="968972320">
    <w:abstractNumId w:val="57"/>
  </w:num>
  <w:num w:numId="246" w16cid:durableId="161898336">
    <w:abstractNumId w:val="119"/>
  </w:num>
  <w:num w:numId="247" w16cid:durableId="1281453291">
    <w:abstractNumId w:val="103"/>
  </w:num>
  <w:num w:numId="248" w16cid:durableId="652833553">
    <w:abstractNumId w:val="264"/>
  </w:num>
  <w:num w:numId="249" w16cid:durableId="1181041243">
    <w:abstractNumId w:val="348"/>
  </w:num>
  <w:num w:numId="250" w16cid:durableId="1593466416">
    <w:abstractNumId w:val="235"/>
    <w:lvlOverride w:ilvl="0"/>
    <w:lvlOverride w:ilvl="1">
      <w:startOverride w:val="1"/>
    </w:lvlOverride>
    <w:lvlOverride w:ilvl="2"/>
    <w:lvlOverride w:ilvl="3"/>
    <w:lvlOverride w:ilvl="4"/>
    <w:lvlOverride w:ilvl="5"/>
    <w:lvlOverride w:ilvl="6"/>
    <w:lvlOverride w:ilvl="7"/>
    <w:lvlOverride w:ilvl="8"/>
  </w:num>
  <w:num w:numId="251" w16cid:durableId="407577872">
    <w:abstractNumId w:val="321"/>
    <w:lvlOverride w:ilvl="0">
      <w:startOverride w:val="1"/>
    </w:lvlOverride>
    <w:lvlOverride w:ilvl="1">
      <w:startOverride w:val="1"/>
    </w:lvlOverride>
    <w:lvlOverride w:ilvl="2"/>
    <w:lvlOverride w:ilvl="3"/>
    <w:lvlOverride w:ilvl="4"/>
    <w:lvlOverride w:ilvl="5"/>
    <w:lvlOverride w:ilvl="6"/>
    <w:lvlOverride w:ilvl="7"/>
    <w:lvlOverride w:ilvl="8"/>
  </w:num>
  <w:num w:numId="252" w16cid:durableId="172271006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16cid:durableId="1164737250">
    <w:abstractNumId w:val="278"/>
  </w:num>
  <w:num w:numId="254" w16cid:durableId="887882221">
    <w:abstractNumId w:val="207"/>
  </w:num>
  <w:num w:numId="255" w16cid:durableId="425812999">
    <w:abstractNumId w:val="309"/>
  </w:num>
  <w:num w:numId="256" w16cid:durableId="1068766970">
    <w:abstractNumId w:val="18"/>
  </w:num>
  <w:num w:numId="257" w16cid:durableId="501972305">
    <w:abstractNumId w:val="364"/>
  </w:num>
  <w:num w:numId="258" w16cid:durableId="1417248417">
    <w:abstractNumId w:val="17"/>
  </w:num>
  <w:num w:numId="259" w16cid:durableId="577594027">
    <w:abstractNumId w:val="252"/>
  </w:num>
  <w:num w:numId="260" w16cid:durableId="745305874">
    <w:abstractNumId w:val="191"/>
  </w:num>
  <w:num w:numId="261" w16cid:durableId="1726491034">
    <w:abstractNumId w:val="52"/>
  </w:num>
  <w:num w:numId="262" w16cid:durableId="539709959">
    <w:abstractNumId w:val="71"/>
  </w:num>
  <w:num w:numId="263" w16cid:durableId="1842885762">
    <w:abstractNumId w:val="104"/>
  </w:num>
  <w:num w:numId="264" w16cid:durableId="2025201762">
    <w:abstractNumId w:val="31"/>
  </w:num>
  <w:num w:numId="265" w16cid:durableId="523634725">
    <w:abstractNumId w:val="291"/>
  </w:num>
  <w:num w:numId="266" w16cid:durableId="770974762">
    <w:abstractNumId w:val="210"/>
  </w:num>
  <w:num w:numId="267" w16cid:durableId="1559248653">
    <w:abstractNumId w:val="215"/>
  </w:num>
  <w:num w:numId="268" w16cid:durableId="1345013119">
    <w:abstractNumId w:val="212"/>
  </w:num>
  <w:num w:numId="269" w16cid:durableId="92749919">
    <w:abstractNumId w:val="276"/>
  </w:num>
  <w:num w:numId="270" w16cid:durableId="448665584">
    <w:abstractNumId w:val="42"/>
  </w:num>
  <w:num w:numId="271" w16cid:durableId="1444348371">
    <w:abstractNumId w:val="376"/>
  </w:num>
  <w:num w:numId="272" w16cid:durableId="1774322518">
    <w:abstractNumId w:val="285"/>
  </w:num>
  <w:num w:numId="273" w16cid:durableId="1940213623">
    <w:abstractNumId w:val="226"/>
  </w:num>
  <w:num w:numId="274" w16cid:durableId="189497319">
    <w:abstractNumId w:val="310"/>
  </w:num>
  <w:num w:numId="275" w16cid:durableId="201213730">
    <w:abstractNumId w:val="254"/>
  </w:num>
  <w:num w:numId="276" w16cid:durableId="37553654">
    <w:abstractNumId w:val="185"/>
  </w:num>
  <w:num w:numId="277" w16cid:durableId="543255448">
    <w:abstractNumId w:val="53"/>
  </w:num>
  <w:num w:numId="278" w16cid:durableId="661127539">
    <w:abstractNumId w:val="259"/>
  </w:num>
  <w:num w:numId="279" w16cid:durableId="847602704">
    <w:abstractNumId w:val="74"/>
  </w:num>
  <w:num w:numId="280" w16cid:durableId="1791703218">
    <w:abstractNumId w:val="280"/>
  </w:num>
  <w:num w:numId="281" w16cid:durableId="877278308">
    <w:abstractNumId w:val="51"/>
  </w:num>
  <w:num w:numId="282" w16cid:durableId="949748382">
    <w:abstractNumId w:val="275"/>
  </w:num>
  <w:num w:numId="283" w16cid:durableId="37751907">
    <w:abstractNumId w:val="189"/>
  </w:num>
  <w:num w:numId="284" w16cid:durableId="2118527316">
    <w:abstractNumId w:val="333"/>
  </w:num>
  <w:num w:numId="285" w16cid:durableId="1864171976">
    <w:abstractNumId w:val="116"/>
  </w:num>
  <w:num w:numId="286" w16cid:durableId="1263880203">
    <w:abstractNumId w:val="88"/>
  </w:num>
  <w:num w:numId="287" w16cid:durableId="1683432667">
    <w:abstractNumId w:val="250"/>
  </w:num>
  <w:num w:numId="288" w16cid:durableId="1086272267">
    <w:abstractNumId w:val="181"/>
  </w:num>
  <w:num w:numId="289" w16cid:durableId="21783450">
    <w:abstractNumId w:val="82"/>
  </w:num>
  <w:num w:numId="290" w16cid:durableId="327487013">
    <w:abstractNumId w:val="150"/>
  </w:num>
  <w:num w:numId="291" w16cid:durableId="321010634">
    <w:abstractNumId w:val="340"/>
  </w:num>
  <w:num w:numId="292" w16cid:durableId="461769732">
    <w:abstractNumId w:val="330"/>
  </w:num>
  <w:num w:numId="293" w16cid:durableId="573784052">
    <w:abstractNumId w:val="92"/>
  </w:num>
  <w:num w:numId="294" w16cid:durableId="590553790">
    <w:abstractNumId w:val="96"/>
  </w:num>
  <w:num w:numId="295" w16cid:durableId="1262488934">
    <w:abstractNumId w:val="140"/>
  </w:num>
  <w:num w:numId="296" w16cid:durableId="1955089924">
    <w:abstractNumId w:val="347"/>
  </w:num>
  <w:num w:numId="297" w16cid:durableId="1879048308">
    <w:abstractNumId w:val="200"/>
  </w:num>
  <w:num w:numId="298" w16cid:durableId="1465199864">
    <w:abstractNumId w:val="304"/>
  </w:num>
  <w:num w:numId="299" w16cid:durableId="2110850090">
    <w:abstractNumId w:val="325"/>
  </w:num>
  <w:num w:numId="300" w16cid:durableId="722143847">
    <w:abstractNumId w:val="72"/>
  </w:num>
  <w:num w:numId="301" w16cid:durableId="827670119">
    <w:abstractNumId w:val="249"/>
  </w:num>
  <w:num w:numId="302" w16cid:durableId="574559082">
    <w:abstractNumId w:val="368"/>
  </w:num>
  <w:num w:numId="303" w16cid:durableId="1418668850">
    <w:abstractNumId w:val="201"/>
  </w:num>
  <w:num w:numId="304" w16cid:durableId="2027779505">
    <w:abstractNumId w:val="359"/>
  </w:num>
  <w:num w:numId="305" w16cid:durableId="1603563430">
    <w:abstractNumId w:val="149"/>
  </w:num>
  <w:num w:numId="306" w16cid:durableId="293145803">
    <w:abstractNumId w:val="107"/>
  </w:num>
  <w:num w:numId="307" w16cid:durableId="40714618">
    <w:abstractNumId w:val="331"/>
  </w:num>
  <w:num w:numId="308" w16cid:durableId="1842159031">
    <w:abstractNumId w:val="194"/>
  </w:num>
  <w:num w:numId="309" w16cid:durableId="1212956848">
    <w:abstractNumId w:val="133"/>
  </w:num>
  <w:num w:numId="310" w16cid:durableId="1375618411">
    <w:abstractNumId w:val="237"/>
  </w:num>
  <w:num w:numId="311" w16cid:durableId="67768328">
    <w:abstractNumId w:val="144"/>
  </w:num>
  <w:num w:numId="312" w16cid:durableId="1152135309">
    <w:abstractNumId w:val="26"/>
  </w:num>
  <w:num w:numId="313" w16cid:durableId="1793089660">
    <w:abstractNumId w:val="128"/>
  </w:num>
  <w:num w:numId="314" w16cid:durableId="1291547503">
    <w:abstractNumId w:val="188"/>
  </w:num>
  <w:num w:numId="315" w16cid:durableId="712846231">
    <w:abstractNumId w:val="339"/>
  </w:num>
  <w:num w:numId="316" w16cid:durableId="128524741">
    <w:abstractNumId w:val="302"/>
  </w:num>
  <w:num w:numId="317" w16cid:durableId="1283077821">
    <w:abstractNumId w:val="67"/>
  </w:num>
  <w:num w:numId="318" w16cid:durableId="1497375760">
    <w:abstractNumId w:val="292"/>
  </w:num>
  <w:num w:numId="319" w16cid:durableId="1259558238">
    <w:abstractNumId w:val="229"/>
  </w:num>
  <w:num w:numId="320" w16cid:durableId="855313290">
    <w:abstractNumId w:val="147"/>
  </w:num>
  <w:num w:numId="321" w16cid:durableId="161967834">
    <w:abstractNumId w:val="39"/>
  </w:num>
  <w:num w:numId="322" w16cid:durableId="1012150937">
    <w:abstractNumId w:val="130"/>
  </w:num>
  <w:num w:numId="323" w16cid:durableId="1274248756">
    <w:abstractNumId w:val="40"/>
  </w:num>
  <w:num w:numId="324" w16cid:durableId="1177037869">
    <w:abstractNumId w:val="295"/>
  </w:num>
  <w:num w:numId="325" w16cid:durableId="750851455">
    <w:abstractNumId w:val="298"/>
  </w:num>
  <w:num w:numId="326" w16cid:durableId="1795978182">
    <w:abstractNumId w:val="14"/>
  </w:num>
  <w:num w:numId="327" w16cid:durableId="1672219936">
    <w:abstractNumId w:val="68"/>
  </w:num>
  <w:num w:numId="328" w16cid:durableId="2111732495">
    <w:abstractNumId w:val="109"/>
  </w:num>
  <w:num w:numId="329" w16cid:durableId="777876369">
    <w:abstractNumId w:val="77"/>
  </w:num>
  <w:num w:numId="330" w16cid:durableId="1416123810">
    <w:abstractNumId w:val="99"/>
  </w:num>
  <w:num w:numId="331" w16cid:durableId="259918781">
    <w:abstractNumId w:val="313"/>
  </w:num>
  <w:num w:numId="332" w16cid:durableId="1402218079">
    <w:abstractNumId w:val="351"/>
  </w:num>
  <w:num w:numId="333" w16cid:durableId="1318532883">
    <w:abstractNumId w:val="84"/>
  </w:num>
  <w:num w:numId="334" w16cid:durableId="423377463">
    <w:abstractNumId w:val="106"/>
  </w:num>
  <w:num w:numId="335" w16cid:durableId="954560379">
    <w:abstractNumId w:val="110"/>
  </w:num>
  <w:num w:numId="336" w16cid:durableId="1999308672">
    <w:abstractNumId w:val="356"/>
  </w:num>
  <w:num w:numId="337" w16cid:durableId="1377392623">
    <w:abstractNumId w:val="362"/>
  </w:num>
  <w:num w:numId="338" w16cid:durableId="1948198024">
    <w:abstractNumId w:val="350"/>
  </w:num>
  <w:num w:numId="339" w16cid:durableId="1364599738">
    <w:abstractNumId w:val="378"/>
  </w:num>
  <w:num w:numId="340" w16cid:durableId="1539852670">
    <w:abstractNumId w:val="337"/>
  </w:num>
  <w:num w:numId="341" w16cid:durableId="2030526314">
    <w:abstractNumId w:val="21"/>
  </w:num>
  <w:num w:numId="342" w16cid:durableId="162471396">
    <w:abstractNumId w:val="225"/>
  </w:num>
  <w:num w:numId="343" w16cid:durableId="1035735123">
    <w:abstractNumId w:val="164"/>
  </w:num>
  <w:num w:numId="344" w16cid:durableId="1013344098">
    <w:abstractNumId w:val="141"/>
  </w:num>
  <w:num w:numId="345" w16cid:durableId="2123303380">
    <w:abstractNumId w:val="244"/>
  </w:num>
  <w:num w:numId="346" w16cid:durableId="357780633">
    <w:abstractNumId w:val="32"/>
  </w:num>
  <w:num w:numId="347" w16cid:durableId="2067020355">
    <w:abstractNumId w:val="81"/>
  </w:num>
  <w:num w:numId="348" w16cid:durableId="1532917009">
    <w:abstractNumId w:val="349"/>
  </w:num>
  <w:num w:numId="349" w16cid:durableId="1069114007">
    <w:abstractNumId w:val="198"/>
  </w:num>
  <w:num w:numId="350" w16cid:durableId="1815948321">
    <w:abstractNumId w:val="12"/>
  </w:num>
  <w:num w:numId="351" w16cid:durableId="390085031">
    <w:abstractNumId w:val="216"/>
  </w:num>
  <w:num w:numId="352" w16cid:durableId="13503449">
    <w:abstractNumId w:val="257"/>
  </w:num>
  <w:num w:numId="353" w16cid:durableId="1575117510">
    <w:abstractNumId w:val="204"/>
  </w:num>
  <w:num w:numId="354" w16cid:durableId="2030911476">
    <w:abstractNumId w:val="85"/>
  </w:num>
  <w:num w:numId="355" w16cid:durableId="1340042677">
    <w:abstractNumId w:val="167"/>
  </w:num>
  <w:num w:numId="356" w16cid:durableId="1404914294">
    <w:abstractNumId w:val="344"/>
  </w:num>
  <w:num w:numId="357" w16cid:durableId="756630631">
    <w:abstractNumId w:val="300"/>
  </w:num>
  <w:num w:numId="358" w16cid:durableId="1006858479">
    <w:abstractNumId w:val="22"/>
  </w:num>
  <w:num w:numId="359" w16cid:durableId="1904631618">
    <w:abstractNumId w:val="176"/>
  </w:num>
  <w:num w:numId="360" w16cid:durableId="231887038">
    <w:abstractNumId w:val="64"/>
  </w:num>
  <w:num w:numId="361" w16cid:durableId="626158884">
    <w:abstractNumId w:val="342"/>
  </w:num>
  <w:num w:numId="362" w16cid:durableId="2050450351">
    <w:abstractNumId w:val="131"/>
  </w:num>
  <w:num w:numId="363" w16cid:durableId="591283228">
    <w:abstractNumId w:val="205"/>
  </w:num>
  <w:num w:numId="364" w16cid:durableId="1564873057">
    <w:abstractNumId w:val="169"/>
  </w:num>
  <w:num w:numId="365" w16cid:durableId="1515656455">
    <w:abstractNumId w:val="238"/>
  </w:num>
  <w:num w:numId="366" w16cid:durableId="1737584679">
    <w:abstractNumId w:val="118"/>
  </w:num>
  <w:num w:numId="367" w16cid:durableId="1975987640">
    <w:abstractNumId w:val="308"/>
  </w:num>
  <w:num w:numId="368" w16cid:durableId="2015372058">
    <w:abstractNumId w:val="380"/>
  </w:num>
  <w:num w:numId="369" w16cid:durableId="1900169809">
    <w:abstractNumId w:val="11"/>
  </w:num>
  <w:num w:numId="370" w16cid:durableId="1459569280">
    <w:abstractNumId w:val="182"/>
  </w:num>
  <w:num w:numId="371" w16cid:durableId="111366559">
    <w:abstractNumId w:val="228"/>
  </w:num>
  <w:num w:numId="372" w16cid:durableId="1607888383">
    <w:abstractNumId w:val="196"/>
  </w:num>
  <w:num w:numId="373" w16cid:durableId="839351440">
    <w:abstractNumId w:val="115"/>
  </w:num>
  <w:num w:numId="374" w16cid:durableId="938021354">
    <w:abstractNumId w:val="246"/>
  </w:num>
  <w:num w:numId="375" w16cid:durableId="228537639">
    <w:abstractNumId w:val="334"/>
  </w:num>
  <w:num w:numId="376" w16cid:durableId="827936354">
    <w:abstractNumId w:val="30"/>
  </w:num>
  <w:num w:numId="377" w16cid:durableId="1341741071">
    <w:abstractNumId w:val="382"/>
  </w:num>
  <w:num w:numId="378" w16cid:durableId="903029196">
    <w:abstractNumId w:val="305"/>
  </w:num>
  <w:num w:numId="379" w16cid:durableId="1587153408">
    <w:abstractNumId w:val="138"/>
  </w:num>
  <w:num w:numId="380" w16cid:durableId="1751544127">
    <w:abstractNumId w:val="266"/>
    <w:lvlOverride w:ilvl="0">
      <w:startOverride w:val="7"/>
    </w:lvlOverride>
    <w:lvlOverride w:ilvl="1">
      <w:startOverride w:val="2"/>
    </w:lvlOverride>
    <w:lvlOverride w:ilvl="2">
      <w:startOverride w:val="7"/>
    </w:lvlOverride>
  </w:num>
  <w:num w:numId="381" w16cid:durableId="1622684638">
    <w:abstractNumId w:val="266"/>
    <w:lvlOverride w:ilvl="0">
      <w:startOverride w:val="7"/>
    </w:lvlOverride>
    <w:lvlOverride w:ilvl="1">
      <w:startOverride w:val="2"/>
    </w:lvlOverride>
    <w:lvlOverride w:ilvl="2">
      <w:startOverride w:val="10"/>
    </w:lvlOverride>
  </w:num>
  <w:num w:numId="382" w16cid:durableId="1007371493">
    <w:abstractNumId w:val="290"/>
  </w:num>
  <w:num w:numId="383" w16cid:durableId="634336794">
    <w:abstractNumId w:val="287"/>
  </w:num>
  <w:num w:numId="384" w16cid:durableId="288244516">
    <w:abstractNumId w:val="166"/>
  </w:num>
  <w:num w:numId="385" w16cid:durableId="1374697408">
    <w:abstractNumId w:val="289"/>
  </w:num>
  <w:num w:numId="386" w16cid:durableId="111093749">
    <w:abstractNumId w:val="289"/>
  </w:num>
  <w:num w:numId="387" w16cid:durableId="46340993">
    <w:abstractNumId w:val="289"/>
  </w:num>
  <w:num w:numId="388" w16cid:durableId="1832140485">
    <w:abstractNumId w:val="289"/>
  </w:num>
  <w:num w:numId="389" w16cid:durableId="1925332904">
    <w:abstractNumId w:val="289"/>
  </w:num>
  <w:num w:numId="390" w16cid:durableId="740448560">
    <w:abstractNumId w:val="289"/>
  </w:num>
  <w:num w:numId="391" w16cid:durableId="678393785">
    <w:abstractNumId w:val="289"/>
  </w:num>
  <w:num w:numId="392" w16cid:durableId="1712877460">
    <w:abstractNumId w:val="289"/>
  </w:num>
  <w:num w:numId="393" w16cid:durableId="1433628315">
    <w:abstractNumId w:val="289"/>
  </w:num>
  <w:num w:numId="394" w16cid:durableId="1618834968">
    <w:abstractNumId w:val="289"/>
  </w:num>
  <w:num w:numId="395" w16cid:durableId="324553608">
    <w:abstractNumId w:val="161"/>
  </w:num>
  <w:num w:numId="396" w16cid:durableId="1552838926">
    <w:abstractNumId w:val="63"/>
  </w:num>
  <w:num w:numId="397" w16cid:durableId="391972575">
    <w:abstractNumId w:val="41"/>
  </w:num>
  <w:numIdMacAtCleanup w:val="3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FB7"/>
    <w:rsid w:val="00000324"/>
    <w:rsid w:val="000004E2"/>
    <w:rsid w:val="0000071A"/>
    <w:rsid w:val="00001112"/>
    <w:rsid w:val="000015A1"/>
    <w:rsid w:val="00002B73"/>
    <w:rsid w:val="000044A3"/>
    <w:rsid w:val="000049AD"/>
    <w:rsid w:val="00005CFD"/>
    <w:rsid w:val="00007523"/>
    <w:rsid w:val="000079AF"/>
    <w:rsid w:val="000079CC"/>
    <w:rsid w:val="000101BA"/>
    <w:rsid w:val="00010551"/>
    <w:rsid w:val="000126DA"/>
    <w:rsid w:val="00012F8C"/>
    <w:rsid w:val="00013437"/>
    <w:rsid w:val="00013C3B"/>
    <w:rsid w:val="00014522"/>
    <w:rsid w:val="0001465D"/>
    <w:rsid w:val="00014AB9"/>
    <w:rsid w:val="00015911"/>
    <w:rsid w:val="0001698E"/>
    <w:rsid w:val="00016B7F"/>
    <w:rsid w:val="000211A0"/>
    <w:rsid w:val="00021A97"/>
    <w:rsid w:val="00021D9E"/>
    <w:rsid w:val="00022583"/>
    <w:rsid w:val="000231AA"/>
    <w:rsid w:val="00023800"/>
    <w:rsid w:val="00023E5A"/>
    <w:rsid w:val="00023FBF"/>
    <w:rsid w:val="00024E59"/>
    <w:rsid w:val="00025308"/>
    <w:rsid w:val="00026372"/>
    <w:rsid w:val="0002713D"/>
    <w:rsid w:val="00027952"/>
    <w:rsid w:val="00030618"/>
    <w:rsid w:val="00030836"/>
    <w:rsid w:val="00030CD9"/>
    <w:rsid w:val="000313C8"/>
    <w:rsid w:val="00031BA9"/>
    <w:rsid w:val="00033B61"/>
    <w:rsid w:val="00035394"/>
    <w:rsid w:val="000373F2"/>
    <w:rsid w:val="000402CF"/>
    <w:rsid w:val="00041856"/>
    <w:rsid w:val="00041C80"/>
    <w:rsid w:val="00042562"/>
    <w:rsid w:val="0004293D"/>
    <w:rsid w:val="0004393E"/>
    <w:rsid w:val="000449A6"/>
    <w:rsid w:val="0004538A"/>
    <w:rsid w:val="00045C31"/>
    <w:rsid w:val="00046EA0"/>
    <w:rsid w:val="00050BDC"/>
    <w:rsid w:val="00051169"/>
    <w:rsid w:val="0005149D"/>
    <w:rsid w:val="00051512"/>
    <w:rsid w:val="000516EB"/>
    <w:rsid w:val="0005370F"/>
    <w:rsid w:val="00054273"/>
    <w:rsid w:val="00054447"/>
    <w:rsid w:val="000545CE"/>
    <w:rsid w:val="0005529A"/>
    <w:rsid w:val="000552B7"/>
    <w:rsid w:val="00055B08"/>
    <w:rsid w:val="0005621C"/>
    <w:rsid w:val="000608C4"/>
    <w:rsid w:val="00063E6A"/>
    <w:rsid w:val="000676A1"/>
    <w:rsid w:val="0007029C"/>
    <w:rsid w:val="0007079B"/>
    <w:rsid w:val="0007096F"/>
    <w:rsid w:val="00071D63"/>
    <w:rsid w:val="00072998"/>
    <w:rsid w:val="000735CA"/>
    <w:rsid w:val="00073991"/>
    <w:rsid w:val="00074C1A"/>
    <w:rsid w:val="00076D3E"/>
    <w:rsid w:val="00076F8C"/>
    <w:rsid w:val="000770DF"/>
    <w:rsid w:val="00077AC8"/>
    <w:rsid w:val="00077BD6"/>
    <w:rsid w:val="0008105E"/>
    <w:rsid w:val="000815BE"/>
    <w:rsid w:val="00081BBA"/>
    <w:rsid w:val="000837C0"/>
    <w:rsid w:val="00084389"/>
    <w:rsid w:val="00084AED"/>
    <w:rsid w:val="00085448"/>
    <w:rsid w:val="00085FCF"/>
    <w:rsid w:val="000870E1"/>
    <w:rsid w:val="000876D4"/>
    <w:rsid w:val="00087779"/>
    <w:rsid w:val="00090F6D"/>
    <w:rsid w:val="00091A43"/>
    <w:rsid w:val="00091E7F"/>
    <w:rsid w:val="000932F3"/>
    <w:rsid w:val="000940E2"/>
    <w:rsid w:val="00094DF9"/>
    <w:rsid w:val="0009514D"/>
    <w:rsid w:val="000967EB"/>
    <w:rsid w:val="00096D61"/>
    <w:rsid w:val="0009768C"/>
    <w:rsid w:val="000A1683"/>
    <w:rsid w:val="000A50AF"/>
    <w:rsid w:val="000A6B9C"/>
    <w:rsid w:val="000A70F6"/>
    <w:rsid w:val="000A7C9D"/>
    <w:rsid w:val="000A7F38"/>
    <w:rsid w:val="000B07DF"/>
    <w:rsid w:val="000B110D"/>
    <w:rsid w:val="000B1995"/>
    <w:rsid w:val="000B2711"/>
    <w:rsid w:val="000B33B5"/>
    <w:rsid w:val="000B3A24"/>
    <w:rsid w:val="000B48FA"/>
    <w:rsid w:val="000B4DE8"/>
    <w:rsid w:val="000B5811"/>
    <w:rsid w:val="000B62B6"/>
    <w:rsid w:val="000B7CC9"/>
    <w:rsid w:val="000C0068"/>
    <w:rsid w:val="000C038C"/>
    <w:rsid w:val="000C0794"/>
    <w:rsid w:val="000C0B5E"/>
    <w:rsid w:val="000C0E75"/>
    <w:rsid w:val="000C13F3"/>
    <w:rsid w:val="000C19D9"/>
    <w:rsid w:val="000C27DF"/>
    <w:rsid w:val="000C2B69"/>
    <w:rsid w:val="000C3952"/>
    <w:rsid w:val="000C3D40"/>
    <w:rsid w:val="000C4E04"/>
    <w:rsid w:val="000C51C0"/>
    <w:rsid w:val="000C5477"/>
    <w:rsid w:val="000C563A"/>
    <w:rsid w:val="000C6BD8"/>
    <w:rsid w:val="000C76FA"/>
    <w:rsid w:val="000D3624"/>
    <w:rsid w:val="000D3900"/>
    <w:rsid w:val="000D4299"/>
    <w:rsid w:val="000D52B7"/>
    <w:rsid w:val="000D7F9F"/>
    <w:rsid w:val="000E0E14"/>
    <w:rsid w:val="000E24E6"/>
    <w:rsid w:val="000E3B93"/>
    <w:rsid w:val="000E41EE"/>
    <w:rsid w:val="000E53E6"/>
    <w:rsid w:val="000E6E9D"/>
    <w:rsid w:val="000F2137"/>
    <w:rsid w:val="000F4044"/>
    <w:rsid w:val="000F4291"/>
    <w:rsid w:val="000F4C15"/>
    <w:rsid w:val="000F50A4"/>
    <w:rsid w:val="000F56B2"/>
    <w:rsid w:val="000F6CC9"/>
    <w:rsid w:val="000F7964"/>
    <w:rsid w:val="000F7AC8"/>
    <w:rsid w:val="001002E0"/>
    <w:rsid w:val="00101B08"/>
    <w:rsid w:val="0010352B"/>
    <w:rsid w:val="0010720F"/>
    <w:rsid w:val="00107350"/>
    <w:rsid w:val="001108C4"/>
    <w:rsid w:val="001110D7"/>
    <w:rsid w:val="00111235"/>
    <w:rsid w:val="001118C5"/>
    <w:rsid w:val="00111F0D"/>
    <w:rsid w:val="00112C3B"/>
    <w:rsid w:val="001138C7"/>
    <w:rsid w:val="00116068"/>
    <w:rsid w:val="00116426"/>
    <w:rsid w:val="00121632"/>
    <w:rsid w:val="00121ECD"/>
    <w:rsid w:val="00121EE4"/>
    <w:rsid w:val="001227C7"/>
    <w:rsid w:val="00122887"/>
    <w:rsid w:val="0012433F"/>
    <w:rsid w:val="00124950"/>
    <w:rsid w:val="00127E48"/>
    <w:rsid w:val="00132FEE"/>
    <w:rsid w:val="0013371A"/>
    <w:rsid w:val="00133DEE"/>
    <w:rsid w:val="00134948"/>
    <w:rsid w:val="00134B97"/>
    <w:rsid w:val="00134DC4"/>
    <w:rsid w:val="001354B0"/>
    <w:rsid w:val="00136E95"/>
    <w:rsid w:val="00137249"/>
    <w:rsid w:val="00140117"/>
    <w:rsid w:val="0014060C"/>
    <w:rsid w:val="001407E5"/>
    <w:rsid w:val="00140F87"/>
    <w:rsid w:val="001429F5"/>
    <w:rsid w:val="001434F1"/>
    <w:rsid w:val="00143A7D"/>
    <w:rsid w:val="00144157"/>
    <w:rsid w:val="00144A4A"/>
    <w:rsid w:val="00144D58"/>
    <w:rsid w:val="00146CC3"/>
    <w:rsid w:val="00146F56"/>
    <w:rsid w:val="00147089"/>
    <w:rsid w:val="00147AB0"/>
    <w:rsid w:val="00150AD0"/>
    <w:rsid w:val="00150E6B"/>
    <w:rsid w:val="00152877"/>
    <w:rsid w:val="00153A65"/>
    <w:rsid w:val="0015545B"/>
    <w:rsid w:val="001618D8"/>
    <w:rsid w:val="00162DF2"/>
    <w:rsid w:val="001632B6"/>
    <w:rsid w:val="0016475B"/>
    <w:rsid w:val="00164AE0"/>
    <w:rsid w:val="00164D6C"/>
    <w:rsid w:val="0016506C"/>
    <w:rsid w:val="001658B7"/>
    <w:rsid w:val="00166404"/>
    <w:rsid w:val="00166506"/>
    <w:rsid w:val="0016654C"/>
    <w:rsid w:val="00167206"/>
    <w:rsid w:val="0016786A"/>
    <w:rsid w:val="00167937"/>
    <w:rsid w:val="00170A2F"/>
    <w:rsid w:val="00170D61"/>
    <w:rsid w:val="00170DFC"/>
    <w:rsid w:val="001717BE"/>
    <w:rsid w:val="00173129"/>
    <w:rsid w:val="00173397"/>
    <w:rsid w:val="001737B8"/>
    <w:rsid w:val="00173C82"/>
    <w:rsid w:val="001747BF"/>
    <w:rsid w:val="001748C6"/>
    <w:rsid w:val="001757C7"/>
    <w:rsid w:val="001774A9"/>
    <w:rsid w:val="00177E44"/>
    <w:rsid w:val="00180886"/>
    <w:rsid w:val="001811B0"/>
    <w:rsid w:val="001815FE"/>
    <w:rsid w:val="001816AA"/>
    <w:rsid w:val="00182140"/>
    <w:rsid w:val="00184E72"/>
    <w:rsid w:val="0018540F"/>
    <w:rsid w:val="00185803"/>
    <w:rsid w:val="00185FC5"/>
    <w:rsid w:val="00186B88"/>
    <w:rsid w:val="00186D14"/>
    <w:rsid w:val="00190111"/>
    <w:rsid w:val="001902B0"/>
    <w:rsid w:val="001914BF"/>
    <w:rsid w:val="00192FF7"/>
    <w:rsid w:val="001932B7"/>
    <w:rsid w:val="001936D7"/>
    <w:rsid w:val="00193F74"/>
    <w:rsid w:val="00194AB1"/>
    <w:rsid w:val="00194C89"/>
    <w:rsid w:val="0019510E"/>
    <w:rsid w:val="001957FD"/>
    <w:rsid w:val="00196EC8"/>
    <w:rsid w:val="00196EE4"/>
    <w:rsid w:val="001972F1"/>
    <w:rsid w:val="00197687"/>
    <w:rsid w:val="00197B35"/>
    <w:rsid w:val="001A020A"/>
    <w:rsid w:val="001A0C1A"/>
    <w:rsid w:val="001A11D6"/>
    <w:rsid w:val="001A141D"/>
    <w:rsid w:val="001A3970"/>
    <w:rsid w:val="001A3C01"/>
    <w:rsid w:val="001A3CBD"/>
    <w:rsid w:val="001A3D96"/>
    <w:rsid w:val="001A43C4"/>
    <w:rsid w:val="001A5354"/>
    <w:rsid w:val="001A6EAB"/>
    <w:rsid w:val="001A721C"/>
    <w:rsid w:val="001A7729"/>
    <w:rsid w:val="001A7B9A"/>
    <w:rsid w:val="001B118E"/>
    <w:rsid w:val="001B16E8"/>
    <w:rsid w:val="001B2DEB"/>
    <w:rsid w:val="001B35E1"/>
    <w:rsid w:val="001B4702"/>
    <w:rsid w:val="001B4746"/>
    <w:rsid w:val="001B538F"/>
    <w:rsid w:val="001B5413"/>
    <w:rsid w:val="001B637A"/>
    <w:rsid w:val="001C0C9B"/>
    <w:rsid w:val="001C158F"/>
    <w:rsid w:val="001C239E"/>
    <w:rsid w:val="001C3478"/>
    <w:rsid w:val="001C3644"/>
    <w:rsid w:val="001C3FA4"/>
    <w:rsid w:val="001C5FCF"/>
    <w:rsid w:val="001C660D"/>
    <w:rsid w:val="001D0CD1"/>
    <w:rsid w:val="001D0D01"/>
    <w:rsid w:val="001D209A"/>
    <w:rsid w:val="001D22B7"/>
    <w:rsid w:val="001D2346"/>
    <w:rsid w:val="001D3229"/>
    <w:rsid w:val="001D3822"/>
    <w:rsid w:val="001D3990"/>
    <w:rsid w:val="001D58A8"/>
    <w:rsid w:val="001D67AD"/>
    <w:rsid w:val="001E07DB"/>
    <w:rsid w:val="001E0A5F"/>
    <w:rsid w:val="001E0D80"/>
    <w:rsid w:val="001E11CF"/>
    <w:rsid w:val="001E2C29"/>
    <w:rsid w:val="001E4A30"/>
    <w:rsid w:val="001E5622"/>
    <w:rsid w:val="001E5CE4"/>
    <w:rsid w:val="001E650D"/>
    <w:rsid w:val="001E66A3"/>
    <w:rsid w:val="001E7CDA"/>
    <w:rsid w:val="001E7CE3"/>
    <w:rsid w:val="001E7DA6"/>
    <w:rsid w:val="001E7DDE"/>
    <w:rsid w:val="001F0241"/>
    <w:rsid w:val="001F079E"/>
    <w:rsid w:val="001F185B"/>
    <w:rsid w:val="001F2A2A"/>
    <w:rsid w:val="001F4392"/>
    <w:rsid w:val="001F569C"/>
    <w:rsid w:val="001F5C70"/>
    <w:rsid w:val="001F68D3"/>
    <w:rsid w:val="001F75CB"/>
    <w:rsid w:val="001F7B71"/>
    <w:rsid w:val="0020023B"/>
    <w:rsid w:val="00201178"/>
    <w:rsid w:val="002026F6"/>
    <w:rsid w:val="00202EF4"/>
    <w:rsid w:val="00204603"/>
    <w:rsid w:val="00204F1B"/>
    <w:rsid w:val="002064FD"/>
    <w:rsid w:val="00206717"/>
    <w:rsid w:val="00207AA2"/>
    <w:rsid w:val="002100C9"/>
    <w:rsid w:val="002102EF"/>
    <w:rsid w:val="0021033D"/>
    <w:rsid w:val="002109AA"/>
    <w:rsid w:val="002110EC"/>
    <w:rsid w:val="00211A00"/>
    <w:rsid w:val="00212749"/>
    <w:rsid w:val="00213007"/>
    <w:rsid w:val="00215849"/>
    <w:rsid w:val="0021688C"/>
    <w:rsid w:val="00217933"/>
    <w:rsid w:val="00217D7F"/>
    <w:rsid w:val="00220394"/>
    <w:rsid w:val="002204F0"/>
    <w:rsid w:val="0022067B"/>
    <w:rsid w:val="002219D3"/>
    <w:rsid w:val="00222001"/>
    <w:rsid w:val="00222034"/>
    <w:rsid w:val="002222FD"/>
    <w:rsid w:val="00223661"/>
    <w:rsid w:val="00224D07"/>
    <w:rsid w:val="00224E2A"/>
    <w:rsid w:val="00225883"/>
    <w:rsid w:val="00230EEA"/>
    <w:rsid w:val="00231791"/>
    <w:rsid w:val="00231B0A"/>
    <w:rsid w:val="0023335A"/>
    <w:rsid w:val="00233385"/>
    <w:rsid w:val="00234618"/>
    <w:rsid w:val="00234E26"/>
    <w:rsid w:val="00236802"/>
    <w:rsid w:val="002373BD"/>
    <w:rsid w:val="00237CD5"/>
    <w:rsid w:val="00241C93"/>
    <w:rsid w:val="0024448C"/>
    <w:rsid w:val="002447E7"/>
    <w:rsid w:val="00246442"/>
    <w:rsid w:val="002502AC"/>
    <w:rsid w:val="00250B25"/>
    <w:rsid w:val="00251E91"/>
    <w:rsid w:val="00252138"/>
    <w:rsid w:val="00254BA1"/>
    <w:rsid w:val="00257893"/>
    <w:rsid w:val="00260790"/>
    <w:rsid w:val="00260AFC"/>
    <w:rsid w:val="002612A4"/>
    <w:rsid w:val="00261919"/>
    <w:rsid w:val="0026249C"/>
    <w:rsid w:val="002624C2"/>
    <w:rsid w:val="00262E0C"/>
    <w:rsid w:val="002630C1"/>
    <w:rsid w:val="002632FB"/>
    <w:rsid w:val="002640BB"/>
    <w:rsid w:val="002652C1"/>
    <w:rsid w:val="00267043"/>
    <w:rsid w:val="00267147"/>
    <w:rsid w:val="00270267"/>
    <w:rsid w:val="0027032A"/>
    <w:rsid w:val="00270F6C"/>
    <w:rsid w:val="002731AB"/>
    <w:rsid w:val="002735D9"/>
    <w:rsid w:val="00273847"/>
    <w:rsid w:val="00273EE7"/>
    <w:rsid w:val="00274415"/>
    <w:rsid w:val="002747C4"/>
    <w:rsid w:val="00275B5D"/>
    <w:rsid w:val="00275B86"/>
    <w:rsid w:val="00276D5B"/>
    <w:rsid w:val="00277D6A"/>
    <w:rsid w:val="00277DD2"/>
    <w:rsid w:val="00280903"/>
    <w:rsid w:val="00281495"/>
    <w:rsid w:val="0028256E"/>
    <w:rsid w:val="002825A5"/>
    <w:rsid w:val="002826F4"/>
    <w:rsid w:val="002827B0"/>
    <w:rsid w:val="00283C49"/>
    <w:rsid w:val="00283C9C"/>
    <w:rsid w:val="00283CEA"/>
    <w:rsid w:val="0028402C"/>
    <w:rsid w:val="0028589B"/>
    <w:rsid w:val="00285C3F"/>
    <w:rsid w:val="0028620A"/>
    <w:rsid w:val="00287895"/>
    <w:rsid w:val="002903E7"/>
    <w:rsid w:val="0029155A"/>
    <w:rsid w:val="00291A74"/>
    <w:rsid w:val="00292075"/>
    <w:rsid w:val="00292B83"/>
    <w:rsid w:val="002931AD"/>
    <w:rsid w:val="002939C0"/>
    <w:rsid w:val="00294859"/>
    <w:rsid w:val="00294C19"/>
    <w:rsid w:val="00295B0C"/>
    <w:rsid w:val="00295E4C"/>
    <w:rsid w:val="00296EDE"/>
    <w:rsid w:val="00296F15"/>
    <w:rsid w:val="002A0371"/>
    <w:rsid w:val="002A0AE9"/>
    <w:rsid w:val="002A2647"/>
    <w:rsid w:val="002A343A"/>
    <w:rsid w:val="002A5F1B"/>
    <w:rsid w:val="002A76A5"/>
    <w:rsid w:val="002A7FB2"/>
    <w:rsid w:val="002B26A5"/>
    <w:rsid w:val="002B27AE"/>
    <w:rsid w:val="002B2D7F"/>
    <w:rsid w:val="002B425B"/>
    <w:rsid w:val="002B4FC6"/>
    <w:rsid w:val="002B5526"/>
    <w:rsid w:val="002B5ED9"/>
    <w:rsid w:val="002B6A80"/>
    <w:rsid w:val="002C0071"/>
    <w:rsid w:val="002C09D5"/>
    <w:rsid w:val="002C153D"/>
    <w:rsid w:val="002C3583"/>
    <w:rsid w:val="002C3E54"/>
    <w:rsid w:val="002C5316"/>
    <w:rsid w:val="002C5740"/>
    <w:rsid w:val="002C5EBF"/>
    <w:rsid w:val="002C5F0E"/>
    <w:rsid w:val="002C7CFF"/>
    <w:rsid w:val="002D2065"/>
    <w:rsid w:val="002D2AE3"/>
    <w:rsid w:val="002D3EB6"/>
    <w:rsid w:val="002D3FD8"/>
    <w:rsid w:val="002D49CD"/>
    <w:rsid w:val="002D4AAF"/>
    <w:rsid w:val="002D501B"/>
    <w:rsid w:val="002D5047"/>
    <w:rsid w:val="002D6652"/>
    <w:rsid w:val="002D71AF"/>
    <w:rsid w:val="002D7745"/>
    <w:rsid w:val="002D78C1"/>
    <w:rsid w:val="002E02B5"/>
    <w:rsid w:val="002E053E"/>
    <w:rsid w:val="002E07E7"/>
    <w:rsid w:val="002E1CF8"/>
    <w:rsid w:val="002E1DDD"/>
    <w:rsid w:val="002E3E00"/>
    <w:rsid w:val="002E474C"/>
    <w:rsid w:val="002E6484"/>
    <w:rsid w:val="002E65B3"/>
    <w:rsid w:val="002E770C"/>
    <w:rsid w:val="002F0C6D"/>
    <w:rsid w:val="002F269F"/>
    <w:rsid w:val="002F5E42"/>
    <w:rsid w:val="002F6D88"/>
    <w:rsid w:val="002F7162"/>
    <w:rsid w:val="00300366"/>
    <w:rsid w:val="003011AD"/>
    <w:rsid w:val="003011F6"/>
    <w:rsid w:val="00301735"/>
    <w:rsid w:val="00301AF6"/>
    <w:rsid w:val="00302DE5"/>
    <w:rsid w:val="00303329"/>
    <w:rsid w:val="0030341A"/>
    <w:rsid w:val="00303E3D"/>
    <w:rsid w:val="00304699"/>
    <w:rsid w:val="00306789"/>
    <w:rsid w:val="00307676"/>
    <w:rsid w:val="00310909"/>
    <w:rsid w:val="00310DB8"/>
    <w:rsid w:val="00311466"/>
    <w:rsid w:val="00311B48"/>
    <w:rsid w:val="00313052"/>
    <w:rsid w:val="003139DC"/>
    <w:rsid w:val="00313FF6"/>
    <w:rsid w:val="003144FA"/>
    <w:rsid w:val="0031474C"/>
    <w:rsid w:val="00314817"/>
    <w:rsid w:val="003151E4"/>
    <w:rsid w:val="00315C56"/>
    <w:rsid w:val="00316406"/>
    <w:rsid w:val="00316991"/>
    <w:rsid w:val="00317003"/>
    <w:rsid w:val="003204D0"/>
    <w:rsid w:val="00321024"/>
    <w:rsid w:val="00321F7B"/>
    <w:rsid w:val="003221B4"/>
    <w:rsid w:val="0032224E"/>
    <w:rsid w:val="00323261"/>
    <w:rsid w:val="00323D35"/>
    <w:rsid w:val="00324491"/>
    <w:rsid w:val="00324C47"/>
    <w:rsid w:val="00326747"/>
    <w:rsid w:val="00326E43"/>
    <w:rsid w:val="00326E9B"/>
    <w:rsid w:val="00330876"/>
    <w:rsid w:val="00331261"/>
    <w:rsid w:val="00331A1E"/>
    <w:rsid w:val="00332CE7"/>
    <w:rsid w:val="0033445B"/>
    <w:rsid w:val="00335B60"/>
    <w:rsid w:val="00341EC9"/>
    <w:rsid w:val="003421B0"/>
    <w:rsid w:val="00342BDF"/>
    <w:rsid w:val="003442D3"/>
    <w:rsid w:val="0034435E"/>
    <w:rsid w:val="003450D3"/>
    <w:rsid w:val="00346A47"/>
    <w:rsid w:val="00346B79"/>
    <w:rsid w:val="003473EF"/>
    <w:rsid w:val="00347C88"/>
    <w:rsid w:val="00347F33"/>
    <w:rsid w:val="0035009B"/>
    <w:rsid w:val="0035101D"/>
    <w:rsid w:val="00351C36"/>
    <w:rsid w:val="00353499"/>
    <w:rsid w:val="00353D19"/>
    <w:rsid w:val="00355058"/>
    <w:rsid w:val="00355086"/>
    <w:rsid w:val="003553C3"/>
    <w:rsid w:val="003557E9"/>
    <w:rsid w:val="003563DF"/>
    <w:rsid w:val="00360B38"/>
    <w:rsid w:val="00361149"/>
    <w:rsid w:val="00361901"/>
    <w:rsid w:val="003655ED"/>
    <w:rsid w:val="00367009"/>
    <w:rsid w:val="00367037"/>
    <w:rsid w:val="00367106"/>
    <w:rsid w:val="003671EA"/>
    <w:rsid w:val="00367575"/>
    <w:rsid w:val="003678D7"/>
    <w:rsid w:val="00372199"/>
    <w:rsid w:val="003730C6"/>
    <w:rsid w:val="00374161"/>
    <w:rsid w:val="00374D30"/>
    <w:rsid w:val="00375D6D"/>
    <w:rsid w:val="003767B7"/>
    <w:rsid w:val="00376940"/>
    <w:rsid w:val="003771B2"/>
    <w:rsid w:val="003775C6"/>
    <w:rsid w:val="003776D3"/>
    <w:rsid w:val="003806F0"/>
    <w:rsid w:val="00381A2F"/>
    <w:rsid w:val="00381AB8"/>
    <w:rsid w:val="003827C1"/>
    <w:rsid w:val="00382D1C"/>
    <w:rsid w:val="003847E9"/>
    <w:rsid w:val="003851CD"/>
    <w:rsid w:val="00385A18"/>
    <w:rsid w:val="00386558"/>
    <w:rsid w:val="0038739A"/>
    <w:rsid w:val="00390F2B"/>
    <w:rsid w:val="00391190"/>
    <w:rsid w:val="003919BF"/>
    <w:rsid w:val="00396CD0"/>
    <w:rsid w:val="00396E39"/>
    <w:rsid w:val="00397335"/>
    <w:rsid w:val="00397777"/>
    <w:rsid w:val="003A0E4A"/>
    <w:rsid w:val="003A0FC5"/>
    <w:rsid w:val="003A16A1"/>
    <w:rsid w:val="003A1889"/>
    <w:rsid w:val="003A1AEE"/>
    <w:rsid w:val="003A1B33"/>
    <w:rsid w:val="003A335A"/>
    <w:rsid w:val="003A3BEE"/>
    <w:rsid w:val="003A499E"/>
    <w:rsid w:val="003B0913"/>
    <w:rsid w:val="003B1E41"/>
    <w:rsid w:val="003B377D"/>
    <w:rsid w:val="003B3DB5"/>
    <w:rsid w:val="003B49F1"/>
    <w:rsid w:val="003B4E58"/>
    <w:rsid w:val="003B5D64"/>
    <w:rsid w:val="003B6588"/>
    <w:rsid w:val="003B68C1"/>
    <w:rsid w:val="003B7C40"/>
    <w:rsid w:val="003C19A0"/>
    <w:rsid w:val="003C1ED1"/>
    <w:rsid w:val="003C3246"/>
    <w:rsid w:val="003C37CA"/>
    <w:rsid w:val="003C3804"/>
    <w:rsid w:val="003C5BD9"/>
    <w:rsid w:val="003C6007"/>
    <w:rsid w:val="003C783E"/>
    <w:rsid w:val="003C7DEC"/>
    <w:rsid w:val="003D0A45"/>
    <w:rsid w:val="003D11DB"/>
    <w:rsid w:val="003D1A42"/>
    <w:rsid w:val="003D45EE"/>
    <w:rsid w:val="003D4D90"/>
    <w:rsid w:val="003D5257"/>
    <w:rsid w:val="003D5806"/>
    <w:rsid w:val="003D6265"/>
    <w:rsid w:val="003D6F3F"/>
    <w:rsid w:val="003D7AAF"/>
    <w:rsid w:val="003E164B"/>
    <w:rsid w:val="003E18E8"/>
    <w:rsid w:val="003E290E"/>
    <w:rsid w:val="003E2A6B"/>
    <w:rsid w:val="003E40A0"/>
    <w:rsid w:val="003E7020"/>
    <w:rsid w:val="003E7451"/>
    <w:rsid w:val="003F0269"/>
    <w:rsid w:val="003F2357"/>
    <w:rsid w:val="003F47D7"/>
    <w:rsid w:val="003F689D"/>
    <w:rsid w:val="003F6C88"/>
    <w:rsid w:val="00400786"/>
    <w:rsid w:val="004009F5"/>
    <w:rsid w:val="0040410D"/>
    <w:rsid w:val="00404512"/>
    <w:rsid w:val="00405FB0"/>
    <w:rsid w:val="0040691A"/>
    <w:rsid w:val="004073D0"/>
    <w:rsid w:val="004101F1"/>
    <w:rsid w:val="00411227"/>
    <w:rsid w:val="00413C1E"/>
    <w:rsid w:val="00413F5C"/>
    <w:rsid w:val="00415919"/>
    <w:rsid w:val="00416A2F"/>
    <w:rsid w:val="00420059"/>
    <w:rsid w:val="004201C2"/>
    <w:rsid w:val="004224E9"/>
    <w:rsid w:val="00423838"/>
    <w:rsid w:val="00424655"/>
    <w:rsid w:val="00425189"/>
    <w:rsid w:val="00426C3F"/>
    <w:rsid w:val="00432B07"/>
    <w:rsid w:val="00432E67"/>
    <w:rsid w:val="00433011"/>
    <w:rsid w:val="0043423B"/>
    <w:rsid w:val="00440D64"/>
    <w:rsid w:val="0044176E"/>
    <w:rsid w:val="00441A5C"/>
    <w:rsid w:val="004429F9"/>
    <w:rsid w:val="00442D58"/>
    <w:rsid w:val="00443232"/>
    <w:rsid w:val="00443FC8"/>
    <w:rsid w:val="004442B8"/>
    <w:rsid w:val="0044433A"/>
    <w:rsid w:val="004447FB"/>
    <w:rsid w:val="0044527E"/>
    <w:rsid w:val="00445A5E"/>
    <w:rsid w:val="00445E18"/>
    <w:rsid w:val="00447479"/>
    <w:rsid w:val="00447C1D"/>
    <w:rsid w:val="00450748"/>
    <w:rsid w:val="00450CDE"/>
    <w:rsid w:val="00450FA0"/>
    <w:rsid w:val="00451F8A"/>
    <w:rsid w:val="00451FD6"/>
    <w:rsid w:val="00452745"/>
    <w:rsid w:val="00452A30"/>
    <w:rsid w:val="00452C04"/>
    <w:rsid w:val="004532CC"/>
    <w:rsid w:val="004536C4"/>
    <w:rsid w:val="00453709"/>
    <w:rsid w:val="00453B27"/>
    <w:rsid w:val="00454008"/>
    <w:rsid w:val="0045409E"/>
    <w:rsid w:val="00454117"/>
    <w:rsid w:val="00455F4B"/>
    <w:rsid w:val="004562C3"/>
    <w:rsid w:val="00456882"/>
    <w:rsid w:val="004568DD"/>
    <w:rsid w:val="00456965"/>
    <w:rsid w:val="00457EE1"/>
    <w:rsid w:val="004600EA"/>
    <w:rsid w:val="00461214"/>
    <w:rsid w:val="004614F2"/>
    <w:rsid w:val="0046196E"/>
    <w:rsid w:val="00461AE9"/>
    <w:rsid w:val="004623DF"/>
    <w:rsid w:val="00463A96"/>
    <w:rsid w:val="00463B32"/>
    <w:rsid w:val="0046437F"/>
    <w:rsid w:val="004643C7"/>
    <w:rsid w:val="00464782"/>
    <w:rsid w:val="00465E73"/>
    <w:rsid w:val="00465EA5"/>
    <w:rsid w:val="0046669C"/>
    <w:rsid w:val="00467305"/>
    <w:rsid w:val="00467B27"/>
    <w:rsid w:val="00467EB1"/>
    <w:rsid w:val="004711FA"/>
    <w:rsid w:val="0047272E"/>
    <w:rsid w:val="00472CB1"/>
    <w:rsid w:val="00473BAA"/>
    <w:rsid w:val="004749F1"/>
    <w:rsid w:val="00476003"/>
    <w:rsid w:val="00476EC1"/>
    <w:rsid w:val="00477D62"/>
    <w:rsid w:val="0048082D"/>
    <w:rsid w:val="0048106C"/>
    <w:rsid w:val="0048165C"/>
    <w:rsid w:val="004826B7"/>
    <w:rsid w:val="00482F0A"/>
    <w:rsid w:val="00484558"/>
    <w:rsid w:val="0048506A"/>
    <w:rsid w:val="0048544B"/>
    <w:rsid w:val="0048621B"/>
    <w:rsid w:val="00486E3B"/>
    <w:rsid w:val="00486EB4"/>
    <w:rsid w:val="0048764D"/>
    <w:rsid w:val="0049088E"/>
    <w:rsid w:val="004940DD"/>
    <w:rsid w:val="00495ECC"/>
    <w:rsid w:val="00496167"/>
    <w:rsid w:val="00496AAE"/>
    <w:rsid w:val="00496F3E"/>
    <w:rsid w:val="004A12CF"/>
    <w:rsid w:val="004A3612"/>
    <w:rsid w:val="004A3B9C"/>
    <w:rsid w:val="004A42BA"/>
    <w:rsid w:val="004A4B71"/>
    <w:rsid w:val="004A5401"/>
    <w:rsid w:val="004A5531"/>
    <w:rsid w:val="004A57FE"/>
    <w:rsid w:val="004A6185"/>
    <w:rsid w:val="004A6428"/>
    <w:rsid w:val="004A67CF"/>
    <w:rsid w:val="004A7452"/>
    <w:rsid w:val="004A7AA0"/>
    <w:rsid w:val="004A7C5E"/>
    <w:rsid w:val="004B103B"/>
    <w:rsid w:val="004B3175"/>
    <w:rsid w:val="004B4568"/>
    <w:rsid w:val="004B4772"/>
    <w:rsid w:val="004C0BC9"/>
    <w:rsid w:val="004C1EAD"/>
    <w:rsid w:val="004C3808"/>
    <w:rsid w:val="004C3A19"/>
    <w:rsid w:val="004C489A"/>
    <w:rsid w:val="004C5B8E"/>
    <w:rsid w:val="004C707B"/>
    <w:rsid w:val="004C734F"/>
    <w:rsid w:val="004D0E86"/>
    <w:rsid w:val="004D0FE9"/>
    <w:rsid w:val="004D11DF"/>
    <w:rsid w:val="004D13E4"/>
    <w:rsid w:val="004D16C3"/>
    <w:rsid w:val="004D1765"/>
    <w:rsid w:val="004D18CD"/>
    <w:rsid w:val="004D225A"/>
    <w:rsid w:val="004D33E2"/>
    <w:rsid w:val="004D4294"/>
    <w:rsid w:val="004D4A03"/>
    <w:rsid w:val="004D4ACD"/>
    <w:rsid w:val="004D5259"/>
    <w:rsid w:val="004D5AFF"/>
    <w:rsid w:val="004D6419"/>
    <w:rsid w:val="004D6D66"/>
    <w:rsid w:val="004D7A12"/>
    <w:rsid w:val="004D7B97"/>
    <w:rsid w:val="004D7E5C"/>
    <w:rsid w:val="004E0134"/>
    <w:rsid w:val="004E0569"/>
    <w:rsid w:val="004E0577"/>
    <w:rsid w:val="004E06A0"/>
    <w:rsid w:val="004E1F97"/>
    <w:rsid w:val="004E27BA"/>
    <w:rsid w:val="004E29D0"/>
    <w:rsid w:val="004E357C"/>
    <w:rsid w:val="004E43D7"/>
    <w:rsid w:val="004E55E4"/>
    <w:rsid w:val="004E69EB"/>
    <w:rsid w:val="004E7CBF"/>
    <w:rsid w:val="004F19DD"/>
    <w:rsid w:val="004F2A79"/>
    <w:rsid w:val="004F33C9"/>
    <w:rsid w:val="004F4179"/>
    <w:rsid w:val="004F482F"/>
    <w:rsid w:val="004F5B9A"/>
    <w:rsid w:val="004F6D4C"/>
    <w:rsid w:val="004F74A5"/>
    <w:rsid w:val="005006F5"/>
    <w:rsid w:val="00500A15"/>
    <w:rsid w:val="00502D7A"/>
    <w:rsid w:val="005055B6"/>
    <w:rsid w:val="0050661C"/>
    <w:rsid w:val="005067A1"/>
    <w:rsid w:val="00510B6D"/>
    <w:rsid w:val="00512DC4"/>
    <w:rsid w:val="00513381"/>
    <w:rsid w:val="0051360E"/>
    <w:rsid w:val="0051398E"/>
    <w:rsid w:val="005143BD"/>
    <w:rsid w:val="005151E6"/>
    <w:rsid w:val="00515B56"/>
    <w:rsid w:val="00516228"/>
    <w:rsid w:val="005162DA"/>
    <w:rsid w:val="0051750F"/>
    <w:rsid w:val="005178D9"/>
    <w:rsid w:val="00520476"/>
    <w:rsid w:val="005210D6"/>
    <w:rsid w:val="0052155D"/>
    <w:rsid w:val="0052289A"/>
    <w:rsid w:val="00522B8D"/>
    <w:rsid w:val="00523616"/>
    <w:rsid w:val="005237E4"/>
    <w:rsid w:val="0052672F"/>
    <w:rsid w:val="00526DC6"/>
    <w:rsid w:val="00530817"/>
    <w:rsid w:val="00530881"/>
    <w:rsid w:val="00532A76"/>
    <w:rsid w:val="0053306D"/>
    <w:rsid w:val="0053327A"/>
    <w:rsid w:val="005365CD"/>
    <w:rsid w:val="00540279"/>
    <w:rsid w:val="00540BF1"/>
    <w:rsid w:val="00540D1A"/>
    <w:rsid w:val="005424D3"/>
    <w:rsid w:val="00544EAA"/>
    <w:rsid w:val="00545757"/>
    <w:rsid w:val="00545984"/>
    <w:rsid w:val="005471F8"/>
    <w:rsid w:val="00547A38"/>
    <w:rsid w:val="00547F46"/>
    <w:rsid w:val="00550766"/>
    <w:rsid w:val="00550B7A"/>
    <w:rsid w:val="00550D75"/>
    <w:rsid w:val="00551C5B"/>
    <w:rsid w:val="00552171"/>
    <w:rsid w:val="00553D59"/>
    <w:rsid w:val="0055580C"/>
    <w:rsid w:val="00557ACA"/>
    <w:rsid w:val="00560302"/>
    <w:rsid w:val="00560ECB"/>
    <w:rsid w:val="005610F4"/>
    <w:rsid w:val="0056282E"/>
    <w:rsid w:val="00562CC3"/>
    <w:rsid w:val="00563ED1"/>
    <w:rsid w:val="00564308"/>
    <w:rsid w:val="005645DC"/>
    <w:rsid w:val="0056528C"/>
    <w:rsid w:val="005655CB"/>
    <w:rsid w:val="0056572D"/>
    <w:rsid w:val="00566D4C"/>
    <w:rsid w:val="005673B3"/>
    <w:rsid w:val="00567D18"/>
    <w:rsid w:val="00570E16"/>
    <w:rsid w:val="00571C68"/>
    <w:rsid w:val="005743E7"/>
    <w:rsid w:val="0057660C"/>
    <w:rsid w:val="00576769"/>
    <w:rsid w:val="0057735C"/>
    <w:rsid w:val="00577DD7"/>
    <w:rsid w:val="0058019C"/>
    <w:rsid w:val="00580969"/>
    <w:rsid w:val="00581AF4"/>
    <w:rsid w:val="00581F82"/>
    <w:rsid w:val="00582BC0"/>
    <w:rsid w:val="00583ED2"/>
    <w:rsid w:val="00584E11"/>
    <w:rsid w:val="00584EA5"/>
    <w:rsid w:val="005855A2"/>
    <w:rsid w:val="0058592F"/>
    <w:rsid w:val="005865F2"/>
    <w:rsid w:val="00586A50"/>
    <w:rsid w:val="00587356"/>
    <w:rsid w:val="005900E7"/>
    <w:rsid w:val="00590945"/>
    <w:rsid w:val="00591EA1"/>
    <w:rsid w:val="005930FB"/>
    <w:rsid w:val="005956A3"/>
    <w:rsid w:val="0059573A"/>
    <w:rsid w:val="005967F3"/>
    <w:rsid w:val="00596CFF"/>
    <w:rsid w:val="00597C8C"/>
    <w:rsid w:val="005A00FB"/>
    <w:rsid w:val="005A0317"/>
    <w:rsid w:val="005A135D"/>
    <w:rsid w:val="005A15BE"/>
    <w:rsid w:val="005A2448"/>
    <w:rsid w:val="005A3997"/>
    <w:rsid w:val="005A4992"/>
    <w:rsid w:val="005A4E05"/>
    <w:rsid w:val="005A5E13"/>
    <w:rsid w:val="005A5F64"/>
    <w:rsid w:val="005A69E2"/>
    <w:rsid w:val="005A6CA0"/>
    <w:rsid w:val="005A74A9"/>
    <w:rsid w:val="005A78A5"/>
    <w:rsid w:val="005B007A"/>
    <w:rsid w:val="005B0EB6"/>
    <w:rsid w:val="005B56F9"/>
    <w:rsid w:val="005B60AA"/>
    <w:rsid w:val="005B70AF"/>
    <w:rsid w:val="005B75F0"/>
    <w:rsid w:val="005C0490"/>
    <w:rsid w:val="005C19B2"/>
    <w:rsid w:val="005C5227"/>
    <w:rsid w:val="005C598A"/>
    <w:rsid w:val="005C5B32"/>
    <w:rsid w:val="005C6734"/>
    <w:rsid w:val="005C710F"/>
    <w:rsid w:val="005C7136"/>
    <w:rsid w:val="005C7753"/>
    <w:rsid w:val="005D034E"/>
    <w:rsid w:val="005D1E4C"/>
    <w:rsid w:val="005D2672"/>
    <w:rsid w:val="005D2C27"/>
    <w:rsid w:val="005D3627"/>
    <w:rsid w:val="005D4EB8"/>
    <w:rsid w:val="005D77D7"/>
    <w:rsid w:val="005D78EF"/>
    <w:rsid w:val="005E0312"/>
    <w:rsid w:val="005E41A4"/>
    <w:rsid w:val="005E61F7"/>
    <w:rsid w:val="005E6A75"/>
    <w:rsid w:val="005E6EB7"/>
    <w:rsid w:val="005E7219"/>
    <w:rsid w:val="005E75CE"/>
    <w:rsid w:val="005E7ED1"/>
    <w:rsid w:val="005F1904"/>
    <w:rsid w:val="005F1949"/>
    <w:rsid w:val="005F274B"/>
    <w:rsid w:val="005F345A"/>
    <w:rsid w:val="005F358E"/>
    <w:rsid w:val="005F3B71"/>
    <w:rsid w:val="005F3FB7"/>
    <w:rsid w:val="005F4DFE"/>
    <w:rsid w:val="005F6323"/>
    <w:rsid w:val="005F76FB"/>
    <w:rsid w:val="0060032A"/>
    <w:rsid w:val="006018F5"/>
    <w:rsid w:val="00602EC3"/>
    <w:rsid w:val="00604EB9"/>
    <w:rsid w:val="0060501C"/>
    <w:rsid w:val="0060559A"/>
    <w:rsid w:val="00607573"/>
    <w:rsid w:val="00610151"/>
    <w:rsid w:val="00611144"/>
    <w:rsid w:val="0061132E"/>
    <w:rsid w:val="006135C9"/>
    <w:rsid w:val="0061434A"/>
    <w:rsid w:val="00615864"/>
    <w:rsid w:val="00615C28"/>
    <w:rsid w:val="006160C4"/>
    <w:rsid w:val="006163D8"/>
    <w:rsid w:val="006166B1"/>
    <w:rsid w:val="00616E42"/>
    <w:rsid w:val="00616F33"/>
    <w:rsid w:val="0062073B"/>
    <w:rsid w:val="00620CE3"/>
    <w:rsid w:val="0062106A"/>
    <w:rsid w:val="0062123B"/>
    <w:rsid w:val="00622174"/>
    <w:rsid w:val="00622450"/>
    <w:rsid w:val="00624378"/>
    <w:rsid w:val="006256EB"/>
    <w:rsid w:val="0062612E"/>
    <w:rsid w:val="006273D4"/>
    <w:rsid w:val="0062756C"/>
    <w:rsid w:val="006316E3"/>
    <w:rsid w:val="00631D0A"/>
    <w:rsid w:val="006328C3"/>
    <w:rsid w:val="00632C4D"/>
    <w:rsid w:val="006337B8"/>
    <w:rsid w:val="00635CFB"/>
    <w:rsid w:val="00636360"/>
    <w:rsid w:val="0063783B"/>
    <w:rsid w:val="0063799B"/>
    <w:rsid w:val="006426A7"/>
    <w:rsid w:val="00642E8C"/>
    <w:rsid w:val="0064541B"/>
    <w:rsid w:val="006460AB"/>
    <w:rsid w:val="00646F57"/>
    <w:rsid w:val="00647A80"/>
    <w:rsid w:val="00652FD0"/>
    <w:rsid w:val="00655197"/>
    <w:rsid w:val="00656F1F"/>
    <w:rsid w:val="00656FE3"/>
    <w:rsid w:val="00657D0F"/>
    <w:rsid w:val="00660540"/>
    <w:rsid w:val="006634D7"/>
    <w:rsid w:val="00664311"/>
    <w:rsid w:val="00664800"/>
    <w:rsid w:val="006648A0"/>
    <w:rsid w:val="006671D5"/>
    <w:rsid w:val="00667EE6"/>
    <w:rsid w:val="0067162D"/>
    <w:rsid w:val="006723E7"/>
    <w:rsid w:val="006725D9"/>
    <w:rsid w:val="00673D54"/>
    <w:rsid w:val="00675A1D"/>
    <w:rsid w:val="00675C29"/>
    <w:rsid w:val="0067744B"/>
    <w:rsid w:val="00677613"/>
    <w:rsid w:val="00680177"/>
    <w:rsid w:val="00680C47"/>
    <w:rsid w:val="00681F7E"/>
    <w:rsid w:val="0068276B"/>
    <w:rsid w:val="0068409B"/>
    <w:rsid w:val="00684722"/>
    <w:rsid w:val="006865E4"/>
    <w:rsid w:val="006900AF"/>
    <w:rsid w:val="00690863"/>
    <w:rsid w:val="00690BF6"/>
    <w:rsid w:val="00691329"/>
    <w:rsid w:val="00691D3A"/>
    <w:rsid w:val="00692054"/>
    <w:rsid w:val="00692108"/>
    <w:rsid w:val="00692546"/>
    <w:rsid w:val="006941BC"/>
    <w:rsid w:val="00695720"/>
    <w:rsid w:val="00696E19"/>
    <w:rsid w:val="006970E5"/>
    <w:rsid w:val="006A3C45"/>
    <w:rsid w:val="006A3FF4"/>
    <w:rsid w:val="006A5EFC"/>
    <w:rsid w:val="006A6836"/>
    <w:rsid w:val="006B051B"/>
    <w:rsid w:val="006B0FE1"/>
    <w:rsid w:val="006B11FA"/>
    <w:rsid w:val="006B1821"/>
    <w:rsid w:val="006B1C8E"/>
    <w:rsid w:val="006B2607"/>
    <w:rsid w:val="006B2FA7"/>
    <w:rsid w:val="006B3173"/>
    <w:rsid w:val="006B3C3D"/>
    <w:rsid w:val="006B3CA3"/>
    <w:rsid w:val="006B3DA1"/>
    <w:rsid w:val="006B42DF"/>
    <w:rsid w:val="006B49F6"/>
    <w:rsid w:val="006B4AB8"/>
    <w:rsid w:val="006B4CCD"/>
    <w:rsid w:val="006B52F4"/>
    <w:rsid w:val="006B56BC"/>
    <w:rsid w:val="006B5F81"/>
    <w:rsid w:val="006B6203"/>
    <w:rsid w:val="006B66EC"/>
    <w:rsid w:val="006B7C70"/>
    <w:rsid w:val="006C01E3"/>
    <w:rsid w:val="006C0A44"/>
    <w:rsid w:val="006C12D8"/>
    <w:rsid w:val="006C2242"/>
    <w:rsid w:val="006C3711"/>
    <w:rsid w:val="006C3C9A"/>
    <w:rsid w:val="006C4E9F"/>
    <w:rsid w:val="006C544C"/>
    <w:rsid w:val="006C5E0A"/>
    <w:rsid w:val="006C6102"/>
    <w:rsid w:val="006C62C4"/>
    <w:rsid w:val="006C6F09"/>
    <w:rsid w:val="006C7666"/>
    <w:rsid w:val="006D1548"/>
    <w:rsid w:val="006D2E19"/>
    <w:rsid w:val="006D609E"/>
    <w:rsid w:val="006D6AB4"/>
    <w:rsid w:val="006E0EA3"/>
    <w:rsid w:val="006E3279"/>
    <w:rsid w:val="006E3E49"/>
    <w:rsid w:val="006E5378"/>
    <w:rsid w:val="006E5E5B"/>
    <w:rsid w:val="006E7442"/>
    <w:rsid w:val="006F0B1B"/>
    <w:rsid w:val="006F211A"/>
    <w:rsid w:val="006F2B00"/>
    <w:rsid w:val="006F2F59"/>
    <w:rsid w:val="006F4D09"/>
    <w:rsid w:val="006F590E"/>
    <w:rsid w:val="006F5910"/>
    <w:rsid w:val="006F7250"/>
    <w:rsid w:val="006F754B"/>
    <w:rsid w:val="006F7A0B"/>
    <w:rsid w:val="007001EB"/>
    <w:rsid w:val="00701930"/>
    <w:rsid w:val="00701B60"/>
    <w:rsid w:val="00704297"/>
    <w:rsid w:val="007048CF"/>
    <w:rsid w:val="007054E9"/>
    <w:rsid w:val="00705715"/>
    <w:rsid w:val="007057A0"/>
    <w:rsid w:val="00707CEC"/>
    <w:rsid w:val="00710B44"/>
    <w:rsid w:val="00712A11"/>
    <w:rsid w:val="00716761"/>
    <w:rsid w:val="007168EC"/>
    <w:rsid w:val="00716DDA"/>
    <w:rsid w:val="00720294"/>
    <w:rsid w:val="00720B35"/>
    <w:rsid w:val="00722430"/>
    <w:rsid w:val="0072485B"/>
    <w:rsid w:val="00724DEB"/>
    <w:rsid w:val="00725848"/>
    <w:rsid w:val="00726136"/>
    <w:rsid w:val="00730DA8"/>
    <w:rsid w:val="00731EE8"/>
    <w:rsid w:val="00732619"/>
    <w:rsid w:val="0073289E"/>
    <w:rsid w:val="007335A5"/>
    <w:rsid w:val="007338FC"/>
    <w:rsid w:val="007348B4"/>
    <w:rsid w:val="00737D49"/>
    <w:rsid w:val="00740E9A"/>
    <w:rsid w:val="00741428"/>
    <w:rsid w:val="00741512"/>
    <w:rsid w:val="00742852"/>
    <w:rsid w:val="007428C0"/>
    <w:rsid w:val="00742CBE"/>
    <w:rsid w:val="00743ABA"/>
    <w:rsid w:val="0074434D"/>
    <w:rsid w:val="00744A13"/>
    <w:rsid w:val="00747878"/>
    <w:rsid w:val="007508C3"/>
    <w:rsid w:val="007510C6"/>
    <w:rsid w:val="00751489"/>
    <w:rsid w:val="00755457"/>
    <w:rsid w:val="00755D5D"/>
    <w:rsid w:val="00756954"/>
    <w:rsid w:val="00757795"/>
    <w:rsid w:val="00757D15"/>
    <w:rsid w:val="007614C9"/>
    <w:rsid w:val="007628AF"/>
    <w:rsid w:val="00762D99"/>
    <w:rsid w:val="0076309E"/>
    <w:rsid w:val="00764275"/>
    <w:rsid w:val="00765415"/>
    <w:rsid w:val="00765E63"/>
    <w:rsid w:val="00766B5D"/>
    <w:rsid w:val="00767394"/>
    <w:rsid w:val="007677F6"/>
    <w:rsid w:val="00767863"/>
    <w:rsid w:val="00770A42"/>
    <w:rsid w:val="007714D4"/>
    <w:rsid w:val="00771AE5"/>
    <w:rsid w:val="00772F06"/>
    <w:rsid w:val="00773FD7"/>
    <w:rsid w:val="00774473"/>
    <w:rsid w:val="00775A84"/>
    <w:rsid w:val="00775C84"/>
    <w:rsid w:val="00775E6D"/>
    <w:rsid w:val="00776041"/>
    <w:rsid w:val="007770B2"/>
    <w:rsid w:val="00777EBF"/>
    <w:rsid w:val="00780380"/>
    <w:rsid w:val="00780F90"/>
    <w:rsid w:val="007811D5"/>
    <w:rsid w:val="007816AF"/>
    <w:rsid w:val="007816E2"/>
    <w:rsid w:val="00781908"/>
    <w:rsid w:val="00784E84"/>
    <w:rsid w:val="007851C4"/>
    <w:rsid w:val="00787523"/>
    <w:rsid w:val="0078790A"/>
    <w:rsid w:val="007901F7"/>
    <w:rsid w:val="007903CC"/>
    <w:rsid w:val="007906C2"/>
    <w:rsid w:val="007915D7"/>
    <w:rsid w:val="00791869"/>
    <w:rsid w:val="00792E57"/>
    <w:rsid w:val="00793110"/>
    <w:rsid w:val="00793AA3"/>
    <w:rsid w:val="00794AD0"/>
    <w:rsid w:val="00797D71"/>
    <w:rsid w:val="007A0798"/>
    <w:rsid w:val="007A0C28"/>
    <w:rsid w:val="007A0E63"/>
    <w:rsid w:val="007A14D3"/>
    <w:rsid w:val="007A182A"/>
    <w:rsid w:val="007A1A92"/>
    <w:rsid w:val="007A217C"/>
    <w:rsid w:val="007A2534"/>
    <w:rsid w:val="007A4BEE"/>
    <w:rsid w:val="007A4DAB"/>
    <w:rsid w:val="007A535D"/>
    <w:rsid w:val="007A58D1"/>
    <w:rsid w:val="007A5F7C"/>
    <w:rsid w:val="007B0C09"/>
    <w:rsid w:val="007B2400"/>
    <w:rsid w:val="007B2F0A"/>
    <w:rsid w:val="007B30AA"/>
    <w:rsid w:val="007B54C9"/>
    <w:rsid w:val="007B7AE8"/>
    <w:rsid w:val="007C0734"/>
    <w:rsid w:val="007C0BB7"/>
    <w:rsid w:val="007C10E7"/>
    <w:rsid w:val="007C17BB"/>
    <w:rsid w:val="007C2AA5"/>
    <w:rsid w:val="007C3FB6"/>
    <w:rsid w:val="007C45E8"/>
    <w:rsid w:val="007C4A08"/>
    <w:rsid w:val="007D124E"/>
    <w:rsid w:val="007D12ED"/>
    <w:rsid w:val="007D173F"/>
    <w:rsid w:val="007D17C2"/>
    <w:rsid w:val="007D18F5"/>
    <w:rsid w:val="007D1E62"/>
    <w:rsid w:val="007D2834"/>
    <w:rsid w:val="007D291E"/>
    <w:rsid w:val="007D2C84"/>
    <w:rsid w:val="007D3300"/>
    <w:rsid w:val="007D3C5A"/>
    <w:rsid w:val="007D5818"/>
    <w:rsid w:val="007D599A"/>
    <w:rsid w:val="007D5D1E"/>
    <w:rsid w:val="007E0678"/>
    <w:rsid w:val="007E074B"/>
    <w:rsid w:val="007E107F"/>
    <w:rsid w:val="007E2661"/>
    <w:rsid w:val="007E2EB7"/>
    <w:rsid w:val="007E2F77"/>
    <w:rsid w:val="007E3900"/>
    <w:rsid w:val="007E438A"/>
    <w:rsid w:val="007E46AC"/>
    <w:rsid w:val="007E49EA"/>
    <w:rsid w:val="007E55A9"/>
    <w:rsid w:val="007E6555"/>
    <w:rsid w:val="007E66AF"/>
    <w:rsid w:val="007F0E18"/>
    <w:rsid w:val="007F1D21"/>
    <w:rsid w:val="007F35B6"/>
    <w:rsid w:val="007F43F4"/>
    <w:rsid w:val="007F579E"/>
    <w:rsid w:val="007F57A0"/>
    <w:rsid w:val="007F64DA"/>
    <w:rsid w:val="007F6A95"/>
    <w:rsid w:val="007F6D20"/>
    <w:rsid w:val="00801597"/>
    <w:rsid w:val="008022B1"/>
    <w:rsid w:val="00802E46"/>
    <w:rsid w:val="00803510"/>
    <w:rsid w:val="00804B24"/>
    <w:rsid w:val="0080572E"/>
    <w:rsid w:val="008059DA"/>
    <w:rsid w:val="00805E85"/>
    <w:rsid w:val="00805FA8"/>
    <w:rsid w:val="00810165"/>
    <w:rsid w:val="0081106B"/>
    <w:rsid w:val="008120BC"/>
    <w:rsid w:val="00812A26"/>
    <w:rsid w:val="00812AB4"/>
    <w:rsid w:val="00812CD1"/>
    <w:rsid w:val="00814301"/>
    <w:rsid w:val="008149B2"/>
    <w:rsid w:val="00816401"/>
    <w:rsid w:val="00816846"/>
    <w:rsid w:val="008173ED"/>
    <w:rsid w:val="008179C0"/>
    <w:rsid w:val="00820D4D"/>
    <w:rsid w:val="00820ED7"/>
    <w:rsid w:val="008214B9"/>
    <w:rsid w:val="008217CA"/>
    <w:rsid w:val="00822EE6"/>
    <w:rsid w:val="00823CE6"/>
    <w:rsid w:val="008256D6"/>
    <w:rsid w:val="00826010"/>
    <w:rsid w:val="0083250E"/>
    <w:rsid w:val="00832F65"/>
    <w:rsid w:val="00833778"/>
    <w:rsid w:val="008341E6"/>
    <w:rsid w:val="00834256"/>
    <w:rsid w:val="008344F0"/>
    <w:rsid w:val="00834F3A"/>
    <w:rsid w:val="008354FA"/>
    <w:rsid w:val="008357CC"/>
    <w:rsid w:val="00835EF8"/>
    <w:rsid w:val="00836244"/>
    <w:rsid w:val="00844EAE"/>
    <w:rsid w:val="00845335"/>
    <w:rsid w:val="00845DDE"/>
    <w:rsid w:val="00847571"/>
    <w:rsid w:val="00847F96"/>
    <w:rsid w:val="008530D4"/>
    <w:rsid w:val="00854BB0"/>
    <w:rsid w:val="00855B3B"/>
    <w:rsid w:val="0085738E"/>
    <w:rsid w:val="008600BD"/>
    <w:rsid w:val="008608DB"/>
    <w:rsid w:val="00860B96"/>
    <w:rsid w:val="008614FA"/>
    <w:rsid w:val="00861B32"/>
    <w:rsid w:val="00861FE4"/>
    <w:rsid w:val="00862D3A"/>
    <w:rsid w:val="0086390D"/>
    <w:rsid w:val="00863E7D"/>
    <w:rsid w:val="0086545E"/>
    <w:rsid w:val="008674BE"/>
    <w:rsid w:val="00870764"/>
    <w:rsid w:val="00870D49"/>
    <w:rsid w:val="00871BFE"/>
    <w:rsid w:val="00872233"/>
    <w:rsid w:val="00872742"/>
    <w:rsid w:val="00872BB3"/>
    <w:rsid w:val="008735C9"/>
    <w:rsid w:val="00873A5E"/>
    <w:rsid w:val="00873E37"/>
    <w:rsid w:val="0087433E"/>
    <w:rsid w:val="008748B7"/>
    <w:rsid w:val="008749D9"/>
    <w:rsid w:val="00874DDA"/>
    <w:rsid w:val="00874E76"/>
    <w:rsid w:val="00877246"/>
    <w:rsid w:val="00880269"/>
    <w:rsid w:val="0088133E"/>
    <w:rsid w:val="008815EA"/>
    <w:rsid w:val="0088335C"/>
    <w:rsid w:val="00884067"/>
    <w:rsid w:val="00885177"/>
    <w:rsid w:val="00887CBB"/>
    <w:rsid w:val="008907BE"/>
    <w:rsid w:val="00892467"/>
    <w:rsid w:val="00893E08"/>
    <w:rsid w:val="0089634A"/>
    <w:rsid w:val="00896F7C"/>
    <w:rsid w:val="008A05AE"/>
    <w:rsid w:val="008A1823"/>
    <w:rsid w:val="008A3265"/>
    <w:rsid w:val="008A3B6D"/>
    <w:rsid w:val="008A43B5"/>
    <w:rsid w:val="008A50C4"/>
    <w:rsid w:val="008A55A9"/>
    <w:rsid w:val="008A61AF"/>
    <w:rsid w:val="008A6684"/>
    <w:rsid w:val="008B08D9"/>
    <w:rsid w:val="008B307F"/>
    <w:rsid w:val="008B4531"/>
    <w:rsid w:val="008B5810"/>
    <w:rsid w:val="008C1C15"/>
    <w:rsid w:val="008C1FE5"/>
    <w:rsid w:val="008C3514"/>
    <w:rsid w:val="008C3954"/>
    <w:rsid w:val="008C444D"/>
    <w:rsid w:val="008C45AF"/>
    <w:rsid w:val="008C5839"/>
    <w:rsid w:val="008C61B3"/>
    <w:rsid w:val="008C69BE"/>
    <w:rsid w:val="008C6D12"/>
    <w:rsid w:val="008C76AB"/>
    <w:rsid w:val="008D1824"/>
    <w:rsid w:val="008D1DB5"/>
    <w:rsid w:val="008D2994"/>
    <w:rsid w:val="008D3033"/>
    <w:rsid w:val="008D55ED"/>
    <w:rsid w:val="008D5B4F"/>
    <w:rsid w:val="008D5B7D"/>
    <w:rsid w:val="008D5D04"/>
    <w:rsid w:val="008D71D0"/>
    <w:rsid w:val="008D7474"/>
    <w:rsid w:val="008E0358"/>
    <w:rsid w:val="008E0372"/>
    <w:rsid w:val="008E0555"/>
    <w:rsid w:val="008E062B"/>
    <w:rsid w:val="008E1BA0"/>
    <w:rsid w:val="008E2B72"/>
    <w:rsid w:val="008E53B6"/>
    <w:rsid w:val="008E5F0F"/>
    <w:rsid w:val="008E6B07"/>
    <w:rsid w:val="008E7327"/>
    <w:rsid w:val="008E7D67"/>
    <w:rsid w:val="008F04B6"/>
    <w:rsid w:val="008F0E98"/>
    <w:rsid w:val="008F1CB7"/>
    <w:rsid w:val="008F2109"/>
    <w:rsid w:val="008F2AB8"/>
    <w:rsid w:val="008F35C9"/>
    <w:rsid w:val="008F3CDA"/>
    <w:rsid w:val="008F3EDD"/>
    <w:rsid w:val="008F4D69"/>
    <w:rsid w:val="008F63FD"/>
    <w:rsid w:val="008F6FD6"/>
    <w:rsid w:val="008F7BC6"/>
    <w:rsid w:val="009000F3"/>
    <w:rsid w:val="00901D33"/>
    <w:rsid w:val="009026B8"/>
    <w:rsid w:val="00902E42"/>
    <w:rsid w:val="0090459C"/>
    <w:rsid w:val="009077F7"/>
    <w:rsid w:val="00910849"/>
    <w:rsid w:val="0091261F"/>
    <w:rsid w:val="0091396D"/>
    <w:rsid w:val="00914A86"/>
    <w:rsid w:val="009151BC"/>
    <w:rsid w:val="009167D1"/>
    <w:rsid w:val="0092023F"/>
    <w:rsid w:val="0092128E"/>
    <w:rsid w:val="009217F0"/>
    <w:rsid w:val="00921EC4"/>
    <w:rsid w:val="00923924"/>
    <w:rsid w:val="00923F25"/>
    <w:rsid w:val="0092483A"/>
    <w:rsid w:val="009264F1"/>
    <w:rsid w:val="00926559"/>
    <w:rsid w:val="009267AE"/>
    <w:rsid w:val="0092689F"/>
    <w:rsid w:val="009270A4"/>
    <w:rsid w:val="00927358"/>
    <w:rsid w:val="009273F5"/>
    <w:rsid w:val="009301E6"/>
    <w:rsid w:val="00930FC6"/>
    <w:rsid w:val="00931345"/>
    <w:rsid w:val="009313A4"/>
    <w:rsid w:val="00932493"/>
    <w:rsid w:val="00932650"/>
    <w:rsid w:val="009326BB"/>
    <w:rsid w:val="00933E46"/>
    <w:rsid w:val="009340F0"/>
    <w:rsid w:val="0093430C"/>
    <w:rsid w:val="00935981"/>
    <w:rsid w:val="009404FD"/>
    <w:rsid w:val="00940B76"/>
    <w:rsid w:val="009414A7"/>
    <w:rsid w:val="00943B38"/>
    <w:rsid w:val="00943C1D"/>
    <w:rsid w:val="00944DE7"/>
    <w:rsid w:val="00945B00"/>
    <w:rsid w:val="00945B4F"/>
    <w:rsid w:val="0094602E"/>
    <w:rsid w:val="00946EB5"/>
    <w:rsid w:val="00947F82"/>
    <w:rsid w:val="0095130B"/>
    <w:rsid w:val="0095149D"/>
    <w:rsid w:val="0095158A"/>
    <w:rsid w:val="0095190F"/>
    <w:rsid w:val="00951960"/>
    <w:rsid w:val="009519AE"/>
    <w:rsid w:val="009527B4"/>
    <w:rsid w:val="0095388D"/>
    <w:rsid w:val="009539DC"/>
    <w:rsid w:val="00953D43"/>
    <w:rsid w:val="00955643"/>
    <w:rsid w:val="00955E80"/>
    <w:rsid w:val="00955FA8"/>
    <w:rsid w:val="0095600A"/>
    <w:rsid w:val="009562C1"/>
    <w:rsid w:val="00956CB6"/>
    <w:rsid w:val="0095700D"/>
    <w:rsid w:val="00957B1B"/>
    <w:rsid w:val="00957D20"/>
    <w:rsid w:val="00960071"/>
    <w:rsid w:val="00960B05"/>
    <w:rsid w:val="00960D18"/>
    <w:rsid w:val="00960FCC"/>
    <w:rsid w:val="00961692"/>
    <w:rsid w:val="00961A8C"/>
    <w:rsid w:val="00961AEC"/>
    <w:rsid w:val="0096229B"/>
    <w:rsid w:val="00962CFA"/>
    <w:rsid w:val="009650F5"/>
    <w:rsid w:val="0097067C"/>
    <w:rsid w:val="00970EA1"/>
    <w:rsid w:val="0097186F"/>
    <w:rsid w:val="009721EA"/>
    <w:rsid w:val="0097258B"/>
    <w:rsid w:val="00973410"/>
    <w:rsid w:val="00974320"/>
    <w:rsid w:val="00974D85"/>
    <w:rsid w:val="009750FF"/>
    <w:rsid w:val="00977A1E"/>
    <w:rsid w:val="00977E95"/>
    <w:rsid w:val="009810C2"/>
    <w:rsid w:val="00981F00"/>
    <w:rsid w:val="0098241A"/>
    <w:rsid w:val="00982AAE"/>
    <w:rsid w:val="0098325A"/>
    <w:rsid w:val="009849C3"/>
    <w:rsid w:val="009854CD"/>
    <w:rsid w:val="00985722"/>
    <w:rsid w:val="00987C98"/>
    <w:rsid w:val="00991AE8"/>
    <w:rsid w:val="00993EE2"/>
    <w:rsid w:val="00994157"/>
    <w:rsid w:val="0099499F"/>
    <w:rsid w:val="009959D6"/>
    <w:rsid w:val="009965A6"/>
    <w:rsid w:val="009979E2"/>
    <w:rsid w:val="009A0287"/>
    <w:rsid w:val="009A0A45"/>
    <w:rsid w:val="009A1E69"/>
    <w:rsid w:val="009A212E"/>
    <w:rsid w:val="009A3F4A"/>
    <w:rsid w:val="009A483E"/>
    <w:rsid w:val="009A4AA2"/>
    <w:rsid w:val="009A6615"/>
    <w:rsid w:val="009A73FB"/>
    <w:rsid w:val="009A7592"/>
    <w:rsid w:val="009B0822"/>
    <w:rsid w:val="009B16E4"/>
    <w:rsid w:val="009B23A6"/>
    <w:rsid w:val="009B2D26"/>
    <w:rsid w:val="009B428A"/>
    <w:rsid w:val="009B46E2"/>
    <w:rsid w:val="009B536A"/>
    <w:rsid w:val="009B573D"/>
    <w:rsid w:val="009B712B"/>
    <w:rsid w:val="009B7637"/>
    <w:rsid w:val="009B78C0"/>
    <w:rsid w:val="009B7B9A"/>
    <w:rsid w:val="009C162E"/>
    <w:rsid w:val="009C3D4C"/>
    <w:rsid w:val="009C5E87"/>
    <w:rsid w:val="009C711C"/>
    <w:rsid w:val="009C7194"/>
    <w:rsid w:val="009C77B4"/>
    <w:rsid w:val="009C7B66"/>
    <w:rsid w:val="009D0F01"/>
    <w:rsid w:val="009D12AA"/>
    <w:rsid w:val="009D15F1"/>
    <w:rsid w:val="009D3A22"/>
    <w:rsid w:val="009D3F10"/>
    <w:rsid w:val="009D488C"/>
    <w:rsid w:val="009D523D"/>
    <w:rsid w:val="009D652F"/>
    <w:rsid w:val="009D69BD"/>
    <w:rsid w:val="009D7961"/>
    <w:rsid w:val="009D7DA4"/>
    <w:rsid w:val="009D7DDA"/>
    <w:rsid w:val="009E0AC2"/>
    <w:rsid w:val="009E150C"/>
    <w:rsid w:val="009E2C18"/>
    <w:rsid w:val="009E3071"/>
    <w:rsid w:val="009E4304"/>
    <w:rsid w:val="009E47A7"/>
    <w:rsid w:val="009E627F"/>
    <w:rsid w:val="009E6890"/>
    <w:rsid w:val="009F4921"/>
    <w:rsid w:val="009F53E2"/>
    <w:rsid w:val="009F5A84"/>
    <w:rsid w:val="009F73F2"/>
    <w:rsid w:val="009F7D68"/>
    <w:rsid w:val="009F7FCD"/>
    <w:rsid w:val="00A001EE"/>
    <w:rsid w:val="00A00912"/>
    <w:rsid w:val="00A00DD5"/>
    <w:rsid w:val="00A010EF"/>
    <w:rsid w:val="00A01AEB"/>
    <w:rsid w:val="00A02CEA"/>
    <w:rsid w:val="00A02DCB"/>
    <w:rsid w:val="00A033DC"/>
    <w:rsid w:val="00A044C9"/>
    <w:rsid w:val="00A06FAB"/>
    <w:rsid w:val="00A07276"/>
    <w:rsid w:val="00A07614"/>
    <w:rsid w:val="00A100A3"/>
    <w:rsid w:val="00A1085F"/>
    <w:rsid w:val="00A111B1"/>
    <w:rsid w:val="00A11AE2"/>
    <w:rsid w:val="00A1287C"/>
    <w:rsid w:val="00A132DA"/>
    <w:rsid w:val="00A1460E"/>
    <w:rsid w:val="00A150FE"/>
    <w:rsid w:val="00A15D06"/>
    <w:rsid w:val="00A165BA"/>
    <w:rsid w:val="00A16B31"/>
    <w:rsid w:val="00A1719C"/>
    <w:rsid w:val="00A17579"/>
    <w:rsid w:val="00A20675"/>
    <w:rsid w:val="00A21ABA"/>
    <w:rsid w:val="00A22B13"/>
    <w:rsid w:val="00A22FC0"/>
    <w:rsid w:val="00A23676"/>
    <w:rsid w:val="00A243F1"/>
    <w:rsid w:val="00A251CE"/>
    <w:rsid w:val="00A314A5"/>
    <w:rsid w:val="00A32AF0"/>
    <w:rsid w:val="00A340E3"/>
    <w:rsid w:val="00A3506D"/>
    <w:rsid w:val="00A35A7F"/>
    <w:rsid w:val="00A36AAC"/>
    <w:rsid w:val="00A37743"/>
    <w:rsid w:val="00A37AA5"/>
    <w:rsid w:val="00A37B2A"/>
    <w:rsid w:val="00A418FC"/>
    <w:rsid w:val="00A42204"/>
    <w:rsid w:val="00A42319"/>
    <w:rsid w:val="00A424DE"/>
    <w:rsid w:val="00A42526"/>
    <w:rsid w:val="00A4287C"/>
    <w:rsid w:val="00A430A0"/>
    <w:rsid w:val="00A43308"/>
    <w:rsid w:val="00A435E1"/>
    <w:rsid w:val="00A45366"/>
    <w:rsid w:val="00A45519"/>
    <w:rsid w:val="00A45BEB"/>
    <w:rsid w:val="00A464EC"/>
    <w:rsid w:val="00A46660"/>
    <w:rsid w:val="00A4683B"/>
    <w:rsid w:val="00A46BF3"/>
    <w:rsid w:val="00A47292"/>
    <w:rsid w:val="00A47BB9"/>
    <w:rsid w:val="00A47E89"/>
    <w:rsid w:val="00A50730"/>
    <w:rsid w:val="00A5201F"/>
    <w:rsid w:val="00A5232B"/>
    <w:rsid w:val="00A52CE1"/>
    <w:rsid w:val="00A55219"/>
    <w:rsid w:val="00A5576B"/>
    <w:rsid w:val="00A55C9E"/>
    <w:rsid w:val="00A57255"/>
    <w:rsid w:val="00A5726F"/>
    <w:rsid w:val="00A601BF"/>
    <w:rsid w:val="00A604E6"/>
    <w:rsid w:val="00A60D7E"/>
    <w:rsid w:val="00A6127F"/>
    <w:rsid w:val="00A6132C"/>
    <w:rsid w:val="00A615C5"/>
    <w:rsid w:val="00A61CFE"/>
    <w:rsid w:val="00A61F48"/>
    <w:rsid w:val="00A63058"/>
    <w:rsid w:val="00A6497A"/>
    <w:rsid w:val="00A64EBE"/>
    <w:rsid w:val="00A65997"/>
    <w:rsid w:val="00A66415"/>
    <w:rsid w:val="00A712DD"/>
    <w:rsid w:val="00A717AA"/>
    <w:rsid w:val="00A71F60"/>
    <w:rsid w:val="00A73EF8"/>
    <w:rsid w:val="00A75562"/>
    <w:rsid w:val="00A75951"/>
    <w:rsid w:val="00A7795D"/>
    <w:rsid w:val="00A77CC0"/>
    <w:rsid w:val="00A8038E"/>
    <w:rsid w:val="00A80DF3"/>
    <w:rsid w:val="00A818F7"/>
    <w:rsid w:val="00A82FF7"/>
    <w:rsid w:val="00A83463"/>
    <w:rsid w:val="00A837A1"/>
    <w:rsid w:val="00A842B5"/>
    <w:rsid w:val="00A8571F"/>
    <w:rsid w:val="00A8575F"/>
    <w:rsid w:val="00A85C3A"/>
    <w:rsid w:val="00A86503"/>
    <w:rsid w:val="00A86859"/>
    <w:rsid w:val="00A871AF"/>
    <w:rsid w:val="00A874B8"/>
    <w:rsid w:val="00A916F0"/>
    <w:rsid w:val="00A91A2C"/>
    <w:rsid w:val="00A91AD3"/>
    <w:rsid w:val="00A9205C"/>
    <w:rsid w:val="00A92412"/>
    <w:rsid w:val="00A92B22"/>
    <w:rsid w:val="00A92D4E"/>
    <w:rsid w:val="00A93F12"/>
    <w:rsid w:val="00A9535A"/>
    <w:rsid w:val="00A96C36"/>
    <w:rsid w:val="00AA01BC"/>
    <w:rsid w:val="00AA2BEA"/>
    <w:rsid w:val="00AA3258"/>
    <w:rsid w:val="00AA38FD"/>
    <w:rsid w:val="00AA3B10"/>
    <w:rsid w:val="00AA4B1A"/>
    <w:rsid w:val="00AA6CC5"/>
    <w:rsid w:val="00AA758A"/>
    <w:rsid w:val="00AA7DBA"/>
    <w:rsid w:val="00AB2353"/>
    <w:rsid w:val="00AB3355"/>
    <w:rsid w:val="00AB361B"/>
    <w:rsid w:val="00AB4649"/>
    <w:rsid w:val="00AB4689"/>
    <w:rsid w:val="00AB4AB5"/>
    <w:rsid w:val="00AB4CEC"/>
    <w:rsid w:val="00AB4EE2"/>
    <w:rsid w:val="00AB5509"/>
    <w:rsid w:val="00AB5DEE"/>
    <w:rsid w:val="00AB5FDE"/>
    <w:rsid w:val="00AB6D4B"/>
    <w:rsid w:val="00AB76DB"/>
    <w:rsid w:val="00AC074C"/>
    <w:rsid w:val="00AC1E38"/>
    <w:rsid w:val="00AC224F"/>
    <w:rsid w:val="00AC22E1"/>
    <w:rsid w:val="00AC5EEF"/>
    <w:rsid w:val="00AC7489"/>
    <w:rsid w:val="00AC7FD6"/>
    <w:rsid w:val="00AD031D"/>
    <w:rsid w:val="00AD2996"/>
    <w:rsid w:val="00AD2CDE"/>
    <w:rsid w:val="00AD379A"/>
    <w:rsid w:val="00AD5211"/>
    <w:rsid w:val="00AD5A5E"/>
    <w:rsid w:val="00AD6528"/>
    <w:rsid w:val="00AE0AD9"/>
    <w:rsid w:val="00AE17ED"/>
    <w:rsid w:val="00AE2917"/>
    <w:rsid w:val="00AE4695"/>
    <w:rsid w:val="00AE70EE"/>
    <w:rsid w:val="00AE763D"/>
    <w:rsid w:val="00AF0110"/>
    <w:rsid w:val="00AF0419"/>
    <w:rsid w:val="00AF3895"/>
    <w:rsid w:val="00AF402A"/>
    <w:rsid w:val="00AF4117"/>
    <w:rsid w:val="00AF60C9"/>
    <w:rsid w:val="00AF670D"/>
    <w:rsid w:val="00B02A3F"/>
    <w:rsid w:val="00B04349"/>
    <w:rsid w:val="00B049A8"/>
    <w:rsid w:val="00B05535"/>
    <w:rsid w:val="00B1117D"/>
    <w:rsid w:val="00B11558"/>
    <w:rsid w:val="00B11E49"/>
    <w:rsid w:val="00B143FB"/>
    <w:rsid w:val="00B148BF"/>
    <w:rsid w:val="00B161CE"/>
    <w:rsid w:val="00B1768D"/>
    <w:rsid w:val="00B178D8"/>
    <w:rsid w:val="00B20C6C"/>
    <w:rsid w:val="00B21BA0"/>
    <w:rsid w:val="00B224B0"/>
    <w:rsid w:val="00B23B41"/>
    <w:rsid w:val="00B248AB"/>
    <w:rsid w:val="00B24AEA"/>
    <w:rsid w:val="00B250FA"/>
    <w:rsid w:val="00B266F8"/>
    <w:rsid w:val="00B27762"/>
    <w:rsid w:val="00B27D4F"/>
    <w:rsid w:val="00B3058D"/>
    <w:rsid w:val="00B32012"/>
    <w:rsid w:val="00B32370"/>
    <w:rsid w:val="00B33512"/>
    <w:rsid w:val="00B35F66"/>
    <w:rsid w:val="00B36F27"/>
    <w:rsid w:val="00B3729F"/>
    <w:rsid w:val="00B37685"/>
    <w:rsid w:val="00B40EA0"/>
    <w:rsid w:val="00B41864"/>
    <w:rsid w:val="00B4495C"/>
    <w:rsid w:val="00B4526E"/>
    <w:rsid w:val="00B47535"/>
    <w:rsid w:val="00B47E51"/>
    <w:rsid w:val="00B523CC"/>
    <w:rsid w:val="00B528A5"/>
    <w:rsid w:val="00B52F5E"/>
    <w:rsid w:val="00B53730"/>
    <w:rsid w:val="00B5387D"/>
    <w:rsid w:val="00B53C0F"/>
    <w:rsid w:val="00B53E56"/>
    <w:rsid w:val="00B54466"/>
    <w:rsid w:val="00B545C1"/>
    <w:rsid w:val="00B55F06"/>
    <w:rsid w:val="00B56ED3"/>
    <w:rsid w:val="00B57398"/>
    <w:rsid w:val="00B57667"/>
    <w:rsid w:val="00B57857"/>
    <w:rsid w:val="00B60955"/>
    <w:rsid w:val="00B60B76"/>
    <w:rsid w:val="00B6303A"/>
    <w:rsid w:val="00B63178"/>
    <w:rsid w:val="00B6457A"/>
    <w:rsid w:val="00B64971"/>
    <w:rsid w:val="00B67332"/>
    <w:rsid w:val="00B70721"/>
    <w:rsid w:val="00B7141B"/>
    <w:rsid w:val="00B734BC"/>
    <w:rsid w:val="00B74B47"/>
    <w:rsid w:val="00B763AB"/>
    <w:rsid w:val="00B77842"/>
    <w:rsid w:val="00B80B0F"/>
    <w:rsid w:val="00B818FC"/>
    <w:rsid w:val="00B860E5"/>
    <w:rsid w:val="00B870B2"/>
    <w:rsid w:val="00B87DAA"/>
    <w:rsid w:val="00B901C3"/>
    <w:rsid w:val="00B91396"/>
    <w:rsid w:val="00B9151D"/>
    <w:rsid w:val="00B91D59"/>
    <w:rsid w:val="00B91DF9"/>
    <w:rsid w:val="00B943AB"/>
    <w:rsid w:val="00B9494E"/>
    <w:rsid w:val="00BA0612"/>
    <w:rsid w:val="00BA103C"/>
    <w:rsid w:val="00BA1B90"/>
    <w:rsid w:val="00BA21A6"/>
    <w:rsid w:val="00BA3AD9"/>
    <w:rsid w:val="00BA3CD1"/>
    <w:rsid w:val="00BA4641"/>
    <w:rsid w:val="00BA5901"/>
    <w:rsid w:val="00BA6943"/>
    <w:rsid w:val="00BA7071"/>
    <w:rsid w:val="00BA756B"/>
    <w:rsid w:val="00BB16F4"/>
    <w:rsid w:val="00BB4735"/>
    <w:rsid w:val="00BB5E0F"/>
    <w:rsid w:val="00BC09AC"/>
    <w:rsid w:val="00BC0A71"/>
    <w:rsid w:val="00BC10CF"/>
    <w:rsid w:val="00BC123A"/>
    <w:rsid w:val="00BC1591"/>
    <w:rsid w:val="00BC25C6"/>
    <w:rsid w:val="00BC28D0"/>
    <w:rsid w:val="00BC2BE6"/>
    <w:rsid w:val="00BC2E4A"/>
    <w:rsid w:val="00BC5A46"/>
    <w:rsid w:val="00BC6504"/>
    <w:rsid w:val="00BC6B05"/>
    <w:rsid w:val="00BD1A2F"/>
    <w:rsid w:val="00BD1F04"/>
    <w:rsid w:val="00BD2333"/>
    <w:rsid w:val="00BD252D"/>
    <w:rsid w:val="00BD2CEA"/>
    <w:rsid w:val="00BD337F"/>
    <w:rsid w:val="00BD4391"/>
    <w:rsid w:val="00BD7710"/>
    <w:rsid w:val="00BD7C5A"/>
    <w:rsid w:val="00BE0393"/>
    <w:rsid w:val="00BE293A"/>
    <w:rsid w:val="00BE2AA9"/>
    <w:rsid w:val="00BE39CA"/>
    <w:rsid w:val="00BE3CC6"/>
    <w:rsid w:val="00BE3D56"/>
    <w:rsid w:val="00BE3DFD"/>
    <w:rsid w:val="00BE474E"/>
    <w:rsid w:val="00BE4B6A"/>
    <w:rsid w:val="00BE4E2A"/>
    <w:rsid w:val="00BE5A2E"/>
    <w:rsid w:val="00BE5B7A"/>
    <w:rsid w:val="00BE6BFE"/>
    <w:rsid w:val="00BF19E3"/>
    <w:rsid w:val="00BF2DFE"/>
    <w:rsid w:val="00BF2E4C"/>
    <w:rsid w:val="00BF432E"/>
    <w:rsid w:val="00BF54F6"/>
    <w:rsid w:val="00BF674F"/>
    <w:rsid w:val="00BF685C"/>
    <w:rsid w:val="00BF68F9"/>
    <w:rsid w:val="00BF6ECD"/>
    <w:rsid w:val="00BF70EE"/>
    <w:rsid w:val="00C000D3"/>
    <w:rsid w:val="00C008BF"/>
    <w:rsid w:val="00C00A12"/>
    <w:rsid w:val="00C01E4A"/>
    <w:rsid w:val="00C01E60"/>
    <w:rsid w:val="00C028F0"/>
    <w:rsid w:val="00C02D86"/>
    <w:rsid w:val="00C03576"/>
    <w:rsid w:val="00C0407F"/>
    <w:rsid w:val="00C04A79"/>
    <w:rsid w:val="00C0511F"/>
    <w:rsid w:val="00C068B4"/>
    <w:rsid w:val="00C10971"/>
    <w:rsid w:val="00C11423"/>
    <w:rsid w:val="00C11C6A"/>
    <w:rsid w:val="00C12D79"/>
    <w:rsid w:val="00C13D24"/>
    <w:rsid w:val="00C13EC2"/>
    <w:rsid w:val="00C14E6F"/>
    <w:rsid w:val="00C15F69"/>
    <w:rsid w:val="00C16ACC"/>
    <w:rsid w:val="00C17453"/>
    <w:rsid w:val="00C1756B"/>
    <w:rsid w:val="00C17D51"/>
    <w:rsid w:val="00C208A9"/>
    <w:rsid w:val="00C20B11"/>
    <w:rsid w:val="00C21529"/>
    <w:rsid w:val="00C219FB"/>
    <w:rsid w:val="00C21A18"/>
    <w:rsid w:val="00C220D3"/>
    <w:rsid w:val="00C23264"/>
    <w:rsid w:val="00C2344B"/>
    <w:rsid w:val="00C23798"/>
    <w:rsid w:val="00C239BD"/>
    <w:rsid w:val="00C23C05"/>
    <w:rsid w:val="00C23CE3"/>
    <w:rsid w:val="00C2543E"/>
    <w:rsid w:val="00C25B2A"/>
    <w:rsid w:val="00C264A0"/>
    <w:rsid w:val="00C26532"/>
    <w:rsid w:val="00C277BD"/>
    <w:rsid w:val="00C27D61"/>
    <w:rsid w:val="00C319EE"/>
    <w:rsid w:val="00C32589"/>
    <w:rsid w:val="00C34600"/>
    <w:rsid w:val="00C34C0F"/>
    <w:rsid w:val="00C34DF7"/>
    <w:rsid w:val="00C36AF3"/>
    <w:rsid w:val="00C37925"/>
    <w:rsid w:val="00C409E9"/>
    <w:rsid w:val="00C41B69"/>
    <w:rsid w:val="00C420DE"/>
    <w:rsid w:val="00C438E3"/>
    <w:rsid w:val="00C4424F"/>
    <w:rsid w:val="00C44F01"/>
    <w:rsid w:val="00C458D5"/>
    <w:rsid w:val="00C465FA"/>
    <w:rsid w:val="00C46C0A"/>
    <w:rsid w:val="00C470F7"/>
    <w:rsid w:val="00C4757F"/>
    <w:rsid w:val="00C477C3"/>
    <w:rsid w:val="00C47A6D"/>
    <w:rsid w:val="00C47F28"/>
    <w:rsid w:val="00C51B66"/>
    <w:rsid w:val="00C52E25"/>
    <w:rsid w:val="00C538EE"/>
    <w:rsid w:val="00C539DD"/>
    <w:rsid w:val="00C546C6"/>
    <w:rsid w:val="00C562BE"/>
    <w:rsid w:val="00C56324"/>
    <w:rsid w:val="00C56785"/>
    <w:rsid w:val="00C57E7F"/>
    <w:rsid w:val="00C6108E"/>
    <w:rsid w:val="00C615AF"/>
    <w:rsid w:val="00C61696"/>
    <w:rsid w:val="00C62870"/>
    <w:rsid w:val="00C62EE2"/>
    <w:rsid w:val="00C6377F"/>
    <w:rsid w:val="00C64D07"/>
    <w:rsid w:val="00C6698E"/>
    <w:rsid w:val="00C66E25"/>
    <w:rsid w:val="00C676F2"/>
    <w:rsid w:val="00C67E35"/>
    <w:rsid w:val="00C701F0"/>
    <w:rsid w:val="00C70745"/>
    <w:rsid w:val="00C707E2"/>
    <w:rsid w:val="00C707E6"/>
    <w:rsid w:val="00C720A0"/>
    <w:rsid w:val="00C7225F"/>
    <w:rsid w:val="00C74A5F"/>
    <w:rsid w:val="00C74A72"/>
    <w:rsid w:val="00C76494"/>
    <w:rsid w:val="00C77E07"/>
    <w:rsid w:val="00C81EEE"/>
    <w:rsid w:val="00C82150"/>
    <w:rsid w:val="00C838D5"/>
    <w:rsid w:val="00C84A07"/>
    <w:rsid w:val="00C85439"/>
    <w:rsid w:val="00C860EB"/>
    <w:rsid w:val="00C906C9"/>
    <w:rsid w:val="00C90AC3"/>
    <w:rsid w:val="00C91B95"/>
    <w:rsid w:val="00C92650"/>
    <w:rsid w:val="00C9704F"/>
    <w:rsid w:val="00C97DCA"/>
    <w:rsid w:val="00CA1B79"/>
    <w:rsid w:val="00CA5797"/>
    <w:rsid w:val="00CA57EC"/>
    <w:rsid w:val="00CA7113"/>
    <w:rsid w:val="00CB02DF"/>
    <w:rsid w:val="00CB1D63"/>
    <w:rsid w:val="00CB2279"/>
    <w:rsid w:val="00CB24C8"/>
    <w:rsid w:val="00CB2FF9"/>
    <w:rsid w:val="00CB406C"/>
    <w:rsid w:val="00CB53C6"/>
    <w:rsid w:val="00CB5833"/>
    <w:rsid w:val="00CB7199"/>
    <w:rsid w:val="00CB73E9"/>
    <w:rsid w:val="00CB7E88"/>
    <w:rsid w:val="00CC0BAB"/>
    <w:rsid w:val="00CC1FC8"/>
    <w:rsid w:val="00CC235B"/>
    <w:rsid w:val="00CC2600"/>
    <w:rsid w:val="00CC2B1E"/>
    <w:rsid w:val="00CC2B2B"/>
    <w:rsid w:val="00CC3A37"/>
    <w:rsid w:val="00CC3ABF"/>
    <w:rsid w:val="00CC42EA"/>
    <w:rsid w:val="00CC43C5"/>
    <w:rsid w:val="00CC4588"/>
    <w:rsid w:val="00CC49AE"/>
    <w:rsid w:val="00CC5138"/>
    <w:rsid w:val="00CC517D"/>
    <w:rsid w:val="00CC5213"/>
    <w:rsid w:val="00CC5926"/>
    <w:rsid w:val="00CC5BD4"/>
    <w:rsid w:val="00CC7F68"/>
    <w:rsid w:val="00CD17EC"/>
    <w:rsid w:val="00CD1A1E"/>
    <w:rsid w:val="00CD1E60"/>
    <w:rsid w:val="00CD1EB5"/>
    <w:rsid w:val="00CD2393"/>
    <w:rsid w:val="00CD2DFF"/>
    <w:rsid w:val="00CD4CE0"/>
    <w:rsid w:val="00CD4EC4"/>
    <w:rsid w:val="00CD5F86"/>
    <w:rsid w:val="00CD6BBA"/>
    <w:rsid w:val="00CD794D"/>
    <w:rsid w:val="00CE04D7"/>
    <w:rsid w:val="00CE050B"/>
    <w:rsid w:val="00CE0D47"/>
    <w:rsid w:val="00CE10C2"/>
    <w:rsid w:val="00CE51BC"/>
    <w:rsid w:val="00CE5F7A"/>
    <w:rsid w:val="00CE6B9A"/>
    <w:rsid w:val="00CE6C3A"/>
    <w:rsid w:val="00CF0163"/>
    <w:rsid w:val="00CF07EA"/>
    <w:rsid w:val="00CF2612"/>
    <w:rsid w:val="00CF269F"/>
    <w:rsid w:val="00CF393E"/>
    <w:rsid w:val="00CF40A4"/>
    <w:rsid w:val="00CF43AD"/>
    <w:rsid w:val="00CF5400"/>
    <w:rsid w:val="00CF55A2"/>
    <w:rsid w:val="00CF57F7"/>
    <w:rsid w:val="00CF587E"/>
    <w:rsid w:val="00CF73EB"/>
    <w:rsid w:val="00CF7542"/>
    <w:rsid w:val="00D014C0"/>
    <w:rsid w:val="00D01CA9"/>
    <w:rsid w:val="00D024FE"/>
    <w:rsid w:val="00D02839"/>
    <w:rsid w:val="00D03B89"/>
    <w:rsid w:val="00D04A07"/>
    <w:rsid w:val="00D04BB8"/>
    <w:rsid w:val="00D05003"/>
    <w:rsid w:val="00D0596E"/>
    <w:rsid w:val="00D064BF"/>
    <w:rsid w:val="00D0715F"/>
    <w:rsid w:val="00D07823"/>
    <w:rsid w:val="00D07E3F"/>
    <w:rsid w:val="00D104A8"/>
    <w:rsid w:val="00D11A57"/>
    <w:rsid w:val="00D14087"/>
    <w:rsid w:val="00D151C7"/>
    <w:rsid w:val="00D17C69"/>
    <w:rsid w:val="00D201A6"/>
    <w:rsid w:val="00D204CF"/>
    <w:rsid w:val="00D2117C"/>
    <w:rsid w:val="00D23949"/>
    <w:rsid w:val="00D25ACF"/>
    <w:rsid w:val="00D26719"/>
    <w:rsid w:val="00D31D09"/>
    <w:rsid w:val="00D33D33"/>
    <w:rsid w:val="00D34CFF"/>
    <w:rsid w:val="00D3500B"/>
    <w:rsid w:val="00D35996"/>
    <w:rsid w:val="00D3606B"/>
    <w:rsid w:val="00D36293"/>
    <w:rsid w:val="00D401ED"/>
    <w:rsid w:val="00D43B78"/>
    <w:rsid w:val="00D44619"/>
    <w:rsid w:val="00D45AD6"/>
    <w:rsid w:val="00D45E79"/>
    <w:rsid w:val="00D46820"/>
    <w:rsid w:val="00D468B3"/>
    <w:rsid w:val="00D46E35"/>
    <w:rsid w:val="00D472AC"/>
    <w:rsid w:val="00D50D20"/>
    <w:rsid w:val="00D51DF0"/>
    <w:rsid w:val="00D536BB"/>
    <w:rsid w:val="00D53DE8"/>
    <w:rsid w:val="00D564BE"/>
    <w:rsid w:val="00D56C93"/>
    <w:rsid w:val="00D613DE"/>
    <w:rsid w:val="00D6213D"/>
    <w:rsid w:val="00D64C41"/>
    <w:rsid w:val="00D64D94"/>
    <w:rsid w:val="00D6633C"/>
    <w:rsid w:val="00D669EF"/>
    <w:rsid w:val="00D677CF"/>
    <w:rsid w:val="00D67F1B"/>
    <w:rsid w:val="00D70026"/>
    <w:rsid w:val="00D70CA7"/>
    <w:rsid w:val="00D70DC1"/>
    <w:rsid w:val="00D70E8B"/>
    <w:rsid w:val="00D7113A"/>
    <w:rsid w:val="00D71364"/>
    <w:rsid w:val="00D7166D"/>
    <w:rsid w:val="00D731CB"/>
    <w:rsid w:val="00D7331E"/>
    <w:rsid w:val="00D73DD3"/>
    <w:rsid w:val="00D74441"/>
    <w:rsid w:val="00D756BE"/>
    <w:rsid w:val="00D76070"/>
    <w:rsid w:val="00D766C3"/>
    <w:rsid w:val="00D76736"/>
    <w:rsid w:val="00D76890"/>
    <w:rsid w:val="00D80B6B"/>
    <w:rsid w:val="00D80CE2"/>
    <w:rsid w:val="00D819E9"/>
    <w:rsid w:val="00D83B80"/>
    <w:rsid w:val="00D91CA7"/>
    <w:rsid w:val="00D92335"/>
    <w:rsid w:val="00D92854"/>
    <w:rsid w:val="00D92C7D"/>
    <w:rsid w:val="00D93251"/>
    <w:rsid w:val="00D935C3"/>
    <w:rsid w:val="00D94EFF"/>
    <w:rsid w:val="00D9532B"/>
    <w:rsid w:val="00D97BAB"/>
    <w:rsid w:val="00D97BD1"/>
    <w:rsid w:val="00D97DDA"/>
    <w:rsid w:val="00DA012D"/>
    <w:rsid w:val="00DA1C60"/>
    <w:rsid w:val="00DA20B2"/>
    <w:rsid w:val="00DA320E"/>
    <w:rsid w:val="00DA3FC8"/>
    <w:rsid w:val="00DA4509"/>
    <w:rsid w:val="00DA482F"/>
    <w:rsid w:val="00DA4EB3"/>
    <w:rsid w:val="00DA6FDC"/>
    <w:rsid w:val="00DB0460"/>
    <w:rsid w:val="00DB0746"/>
    <w:rsid w:val="00DB17A5"/>
    <w:rsid w:val="00DB1DB9"/>
    <w:rsid w:val="00DB2C71"/>
    <w:rsid w:val="00DB348A"/>
    <w:rsid w:val="00DB626E"/>
    <w:rsid w:val="00DB6A52"/>
    <w:rsid w:val="00DB6B08"/>
    <w:rsid w:val="00DB7166"/>
    <w:rsid w:val="00DB7227"/>
    <w:rsid w:val="00DB7F82"/>
    <w:rsid w:val="00DC0553"/>
    <w:rsid w:val="00DC1505"/>
    <w:rsid w:val="00DC2213"/>
    <w:rsid w:val="00DC5176"/>
    <w:rsid w:val="00DC59AA"/>
    <w:rsid w:val="00DC59FC"/>
    <w:rsid w:val="00DC7CA5"/>
    <w:rsid w:val="00DD097E"/>
    <w:rsid w:val="00DD1D13"/>
    <w:rsid w:val="00DD2AD7"/>
    <w:rsid w:val="00DD4050"/>
    <w:rsid w:val="00DD43B2"/>
    <w:rsid w:val="00DD5420"/>
    <w:rsid w:val="00DD5EE8"/>
    <w:rsid w:val="00DD735B"/>
    <w:rsid w:val="00DE085A"/>
    <w:rsid w:val="00DE145F"/>
    <w:rsid w:val="00DE241D"/>
    <w:rsid w:val="00DE3556"/>
    <w:rsid w:val="00DE3AF4"/>
    <w:rsid w:val="00DE48E4"/>
    <w:rsid w:val="00DE4C1C"/>
    <w:rsid w:val="00DE579F"/>
    <w:rsid w:val="00DE585B"/>
    <w:rsid w:val="00DE6F32"/>
    <w:rsid w:val="00DE7536"/>
    <w:rsid w:val="00DE7A63"/>
    <w:rsid w:val="00DF11FE"/>
    <w:rsid w:val="00DF12C4"/>
    <w:rsid w:val="00DF2A7A"/>
    <w:rsid w:val="00DF307A"/>
    <w:rsid w:val="00DF4AEB"/>
    <w:rsid w:val="00DF5699"/>
    <w:rsid w:val="00DF6019"/>
    <w:rsid w:val="00DF7BC4"/>
    <w:rsid w:val="00DF7D10"/>
    <w:rsid w:val="00E02656"/>
    <w:rsid w:val="00E03C32"/>
    <w:rsid w:val="00E05851"/>
    <w:rsid w:val="00E05A70"/>
    <w:rsid w:val="00E06E98"/>
    <w:rsid w:val="00E07D1E"/>
    <w:rsid w:val="00E10B5A"/>
    <w:rsid w:val="00E10F88"/>
    <w:rsid w:val="00E114F7"/>
    <w:rsid w:val="00E11A82"/>
    <w:rsid w:val="00E11CFD"/>
    <w:rsid w:val="00E12059"/>
    <w:rsid w:val="00E12930"/>
    <w:rsid w:val="00E12C81"/>
    <w:rsid w:val="00E130BA"/>
    <w:rsid w:val="00E14A89"/>
    <w:rsid w:val="00E16513"/>
    <w:rsid w:val="00E1729F"/>
    <w:rsid w:val="00E17544"/>
    <w:rsid w:val="00E20250"/>
    <w:rsid w:val="00E20F07"/>
    <w:rsid w:val="00E212B1"/>
    <w:rsid w:val="00E221B6"/>
    <w:rsid w:val="00E22DD5"/>
    <w:rsid w:val="00E22F50"/>
    <w:rsid w:val="00E23E20"/>
    <w:rsid w:val="00E255EE"/>
    <w:rsid w:val="00E257D3"/>
    <w:rsid w:val="00E26368"/>
    <w:rsid w:val="00E26512"/>
    <w:rsid w:val="00E26C09"/>
    <w:rsid w:val="00E3048E"/>
    <w:rsid w:val="00E30CAF"/>
    <w:rsid w:val="00E3321E"/>
    <w:rsid w:val="00E34E18"/>
    <w:rsid w:val="00E35978"/>
    <w:rsid w:val="00E35F69"/>
    <w:rsid w:val="00E403B9"/>
    <w:rsid w:val="00E41690"/>
    <w:rsid w:val="00E41EF0"/>
    <w:rsid w:val="00E424AF"/>
    <w:rsid w:val="00E46284"/>
    <w:rsid w:val="00E50C65"/>
    <w:rsid w:val="00E53A91"/>
    <w:rsid w:val="00E53FAB"/>
    <w:rsid w:val="00E540DC"/>
    <w:rsid w:val="00E54912"/>
    <w:rsid w:val="00E54AE4"/>
    <w:rsid w:val="00E554D9"/>
    <w:rsid w:val="00E55ADB"/>
    <w:rsid w:val="00E56AA6"/>
    <w:rsid w:val="00E56C16"/>
    <w:rsid w:val="00E56ECC"/>
    <w:rsid w:val="00E573F9"/>
    <w:rsid w:val="00E57793"/>
    <w:rsid w:val="00E57904"/>
    <w:rsid w:val="00E6057E"/>
    <w:rsid w:val="00E60F85"/>
    <w:rsid w:val="00E60FA9"/>
    <w:rsid w:val="00E61A72"/>
    <w:rsid w:val="00E61F2C"/>
    <w:rsid w:val="00E61FB8"/>
    <w:rsid w:val="00E62335"/>
    <w:rsid w:val="00E62849"/>
    <w:rsid w:val="00E647B7"/>
    <w:rsid w:val="00E65A79"/>
    <w:rsid w:val="00E66258"/>
    <w:rsid w:val="00E66828"/>
    <w:rsid w:val="00E66882"/>
    <w:rsid w:val="00E66989"/>
    <w:rsid w:val="00E66BAC"/>
    <w:rsid w:val="00E67DCB"/>
    <w:rsid w:val="00E70382"/>
    <w:rsid w:val="00E70955"/>
    <w:rsid w:val="00E70BB6"/>
    <w:rsid w:val="00E70D92"/>
    <w:rsid w:val="00E70DA3"/>
    <w:rsid w:val="00E70E5E"/>
    <w:rsid w:val="00E71184"/>
    <w:rsid w:val="00E71B21"/>
    <w:rsid w:val="00E75398"/>
    <w:rsid w:val="00E75586"/>
    <w:rsid w:val="00E768DF"/>
    <w:rsid w:val="00E7779B"/>
    <w:rsid w:val="00E77C71"/>
    <w:rsid w:val="00E804A3"/>
    <w:rsid w:val="00E808B5"/>
    <w:rsid w:val="00E82041"/>
    <w:rsid w:val="00E822F8"/>
    <w:rsid w:val="00E829E1"/>
    <w:rsid w:val="00E82F0D"/>
    <w:rsid w:val="00E835C6"/>
    <w:rsid w:val="00E8370F"/>
    <w:rsid w:val="00E85211"/>
    <w:rsid w:val="00E86574"/>
    <w:rsid w:val="00E870C7"/>
    <w:rsid w:val="00E87594"/>
    <w:rsid w:val="00E905E7"/>
    <w:rsid w:val="00E906DB"/>
    <w:rsid w:val="00E90A3B"/>
    <w:rsid w:val="00E91380"/>
    <w:rsid w:val="00E92D6F"/>
    <w:rsid w:val="00E92E0B"/>
    <w:rsid w:val="00E932B3"/>
    <w:rsid w:val="00E93580"/>
    <w:rsid w:val="00E93E0D"/>
    <w:rsid w:val="00E948CE"/>
    <w:rsid w:val="00E953A4"/>
    <w:rsid w:val="00E956AE"/>
    <w:rsid w:val="00E95E65"/>
    <w:rsid w:val="00E95E8B"/>
    <w:rsid w:val="00E97759"/>
    <w:rsid w:val="00EA0432"/>
    <w:rsid w:val="00EA1087"/>
    <w:rsid w:val="00EA1906"/>
    <w:rsid w:val="00EA25C8"/>
    <w:rsid w:val="00EA2679"/>
    <w:rsid w:val="00EA3953"/>
    <w:rsid w:val="00EA3D21"/>
    <w:rsid w:val="00EA3DA9"/>
    <w:rsid w:val="00EA5596"/>
    <w:rsid w:val="00EA5EEA"/>
    <w:rsid w:val="00EA6CB3"/>
    <w:rsid w:val="00EA7C2A"/>
    <w:rsid w:val="00EB0A0E"/>
    <w:rsid w:val="00EB1836"/>
    <w:rsid w:val="00EB1C97"/>
    <w:rsid w:val="00EB25BC"/>
    <w:rsid w:val="00EB5D3D"/>
    <w:rsid w:val="00EB5EF6"/>
    <w:rsid w:val="00EB64FA"/>
    <w:rsid w:val="00EB65B7"/>
    <w:rsid w:val="00EB7F82"/>
    <w:rsid w:val="00EB7FC0"/>
    <w:rsid w:val="00EC004C"/>
    <w:rsid w:val="00EC02E3"/>
    <w:rsid w:val="00EC0DDD"/>
    <w:rsid w:val="00EC0E84"/>
    <w:rsid w:val="00EC120E"/>
    <w:rsid w:val="00EC19E7"/>
    <w:rsid w:val="00EC1D39"/>
    <w:rsid w:val="00EC41D6"/>
    <w:rsid w:val="00EC5262"/>
    <w:rsid w:val="00EC5987"/>
    <w:rsid w:val="00EC6029"/>
    <w:rsid w:val="00EC657D"/>
    <w:rsid w:val="00EC6BFB"/>
    <w:rsid w:val="00EC787E"/>
    <w:rsid w:val="00EC7A4C"/>
    <w:rsid w:val="00EC7B3D"/>
    <w:rsid w:val="00EC7B94"/>
    <w:rsid w:val="00EC7C13"/>
    <w:rsid w:val="00ED0C66"/>
    <w:rsid w:val="00ED132B"/>
    <w:rsid w:val="00ED1FF2"/>
    <w:rsid w:val="00ED2D56"/>
    <w:rsid w:val="00ED3840"/>
    <w:rsid w:val="00ED5102"/>
    <w:rsid w:val="00ED57AA"/>
    <w:rsid w:val="00ED6F3F"/>
    <w:rsid w:val="00EE067E"/>
    <w:rsid w:val="00EE281C"/>
    <w:rsid w:val="00EE2E72"/>
    <w:rsid w:val="00EE2FEE"/>
    <w:rsid w:val="00EE358A"/>
    <w:rsid w:val="00EE432D"/>
    <w:rsid w:val="00EE5156"/>
    <w:rsid w:val="00EE61F7"/>
    <w:rsid w:val="00EE6387"/>
    <w:rsid w:val="00EE65AD"/>
    <w:rsid w:val="00EE75D3"/>
    <w:rsid w:val="00EE777D"/>
    <w:rsid w:val="00EF06EC"/>
    <w:rsid w:val="00EF1302"/>
    <w:rsid w:val="00EF167F"/>
    <w:rsid w:val="00EF1D93"/>
    <w:rsid w:val="00EF2B3F"/>
    <w:rsid w:val="00EF2B67"/>
    <w:rsid w:val="00EF2E93"/>
    <w:rsid w:val="00EF3466"/>
    <w:rsid w:val="00EF3629"/>
    <w:rsid w:val="00EF4FAC"/>
    <w:rsid w:val="00EF5429"/>
    <w:rsid w:val="00F01729"/>
    <w:rsid w:val="00F0379A"/>
    <w:rsid w:val="00F03945"/>
    <w:rsid w:val="00F03BCE"/>
    <w:rsid w:val="00F03D9F"/>
    <w:rsid w:val="00F03F37"/>
    <w:rsid w:val="00F04E9D"/>
    <w:rsid w:val="00F04ED6"/>
    <w:rsid w:val="00F05952"/>
    <w:rsid w:val="00F05962"/>
    <w:rsid w:val="00F06525"/>
    <w:rsid w:val="00F06A62"/>
    <w:rsid w:val="00F06D23"/>
    <w:rsid w:val="00F07D0F"/>
    <w:rsid w:val="00F101BD"/>
    <w:rsid w:val="00F1148C"/>
    <w:rsid w:val="00F11A3D"/>
    <w:rsid w:val="00F1392E"/>
    <w:rsid w:val="00F14F96"/>
    <w:rsid w:val="00F1516F"/>
    <w:rsid w:val="00F152BA"/>
    <w:rsid w:val="00F15861"/>
    <w:rsid w:val="00F15D7E"/>
    <w:rsid w:val="00F20891"/>
    <w:rsid w:val="00F214B2"/>
    <w:rsid w:val="00F2151A"/>
    <w:rsid w:val="00F218CC"/>
    <w:rsid w:val="00F21972"/>
    <w:rsid w:val="00F21E3D"/>
    <w:rsid w:val="00F239F4"/>
    <w:rsid w:val="00F23B94"/>
    <w:rsid w:val="00F25629"/>
    <w:rsid w:val="00F2663A"/>
    <w:rsid w:val="00F273E0"/>
    <w:rsid w:val="00F27840"/>
    <w:rsid w:val="00F27B7F"/>
    <w:rsid w:val="00F32B75"/>
    <w:rsid w:val="00F33A95"/>
    <w:rsid w:val="00F34B9E"/>
    <w:rsid w:val="00F34E73"/>
    <w:rsid w:val="00F3507C"/>
    <w:rsid w:val="00F350B5"/>
    <w:rsid w:val="00F35B5A"/>
    <w:rsid w:val="00F36100"/>
    <w:rsid w:val="00F364B7"/>
    <w:rsid w:val="00F364DB"/>
    <w:rsid w:val="00F3691F"/>
    <w:rsid w:val="00F36DF6"/>
    <w:rsid w:val="00F404F0"/>
    <w:rsid w:val="00F418B0"/>
    <w:rsid w:val="00F42CE5"/>
    <w:rsid w:val="00F4492E"/>
    <w:rsid w:val="00F452AA"/>
    <w:rsid w:val="00F479B9"/>
    <w:rsid w:val="00F508B0"/>
    <w:rsid w:val="00F523F1"/>
    <w:rsid w:val="00F5446C"/>
    <w:rsid w:val="00F54728"/>
    <w:rsid w:val="00F54F76"/>
    <w:rsid w:val="00F550FC"/>
    <w:rsid w:val="00F55195"/>
    <w:rsid w:val="00F5601D"/>
    <w:rsid w:val="00F57B4E"/>
    <w:rsid w:val="00F606D0"/>
    <w:rsid w:val="00F62061"/>
    <w:rsid w:val="00F63410"/>
    <w:rsid w:val="00F63904"/>
    <w:rsid w:val="00F63D86"/>
    <w:rsid w:val="00F646D6"/>
    <w:rsid w:val="00F64A2E"/>
    <w:rsid w:val="00F64BC1"/>
    <w:rsid w:val="00F66D44"/>
    <w:rsid w:val="00F70CC9"/>
    <w:rsid w:val="00F71AF7"/>
    <w:rsid w:val="00F72056"/>
    <w:rsid w:val="00F723B1"/>
    <w:rsid w:val="00F72622"/>
    <w:rsid w:val="00F72A30"/>
    <w:rsid w:val="00F72ECE"/>
    <w:rsid w:val="00F732D6"/>
    <w:rsid w:val="00F738F7"/>
    <w:rsid w:val="00F73A69"/>
    <w:rsid w:val="00F73D98"/>
    <w:rsid w:val="00F75903"/>
    <w:rsid w:val="00F768BF"/>
    <w:rsid w:val="00F769C6"/>
    <w:rsid w:val="00F76FE4"/>
    <w:rsid w:val="00F77B63"/>
    <w:rsid w:val="00F81260"/>
    <w:rsid w:val="00F81552"/>
    <w:rsid w:val="00F82087"/>
    <w:rsid w:val="00F825D3"/>
    <w:rsid w:val="00F82805"/>
    <w:rsid w:val="00F83414"/>
    <w:rsid w:val="00F8391F"/>
    <w:rsid w:val="00F8431C"/>
    <w:rsid w:val="00F847E1"/>
    <w:rsid w:val="00F84FC6"/>
    <w:rsid w:val="00F86BCA"/>
    <w:rsid w:val="00F87874"/>
    <w:rsid w:val="00F87A23"/>
    <w:rsid w:val="00F87CBA"/>
    <w:rsid w:val="00F902F2"/>
    <w:rsid w:val="00F91D65"/>
    <w:rsid w:val="00F9441E"/>
    <w:rsid w:val="00F95799"/>
    <w:rsid w:val="00F958D8"/>
    <w:rsid w:val="00F96EE3"/>
    <w:rsid w:val="00FA08CC"/>
    <w:rsid w:val="00FA14FE"/>
    <w:rsid w:val="00FA2CA3"/>
    <w:rsid w:val="00FA4622"/>
    <w:rsid w:val="00FA4EFC"/>
    <w:rsid w:val="00FA5599"/>
    <w:rsid w:val="00FA5A02"/>
    <w:rsid w:val="00FA66F0"/>
    <w:rsid w:val="00FA6D42"/>
    <w:rsid w:val="00FB3BF2"/>
    <w:rsid w:val="00FB4E78"/>
    <w:rsid w:val="00FC0256"/>
    <w:rsid w:val="00FC1FAA"/>
    <w:rsid w:val="00FC2E5B"/>
    <w:rsid w:val="00FC3356"/>
    <w:rsid w:val="00FC3618"/>
    <w:rsid w:val="00FC3FC1"/>
    <w:rsid w:val="00FC4C30"/>
    <w:rsid w:val="00FC524C"/>
    <w:rsid w:val="00FC59DA"/>
    <w:rsid w:val="00FC732A"/>
    <w:rsid w:val="00FC7A12"/>
    <w:rsid w:val="00FD2F93"/>
    <w:rsid w:val="00FD308E"/>
    <w:rsid w:val="00FD35B7"/>
    <w:rsid w:val="00FD5022"/>
    <w:rsid w:val="00FD5129"/>
    <w:rsid w:val="00FD553B"/>
    <w:rsid w:val="00FD5CC8"/>
    <w:rsid w:val="00FD6614"/>
    <w:rsid w:val="00FD6806"/>
    <w:rsid w:val="00FD7224"/>
    <w:rsid w:val="00FD76D6"/>
    <w:rsid w:val="00FE0BF7"/>
    <w:rsid w:val="00FE10F1"/>
    <w:rsid w:val="00FE2644"/>
    <w:rsid w:val="00FE4734"/>
    <w:rsid w:val="00FE5B5C"/>
    <w:rsid w:val="00FE5BC1"/>
    <w:rsid w:val="00FE63B1"/>
    <w:rsid w:val="00FE68D4"/>
    <w:rsid w:val="00FF0043"/>
    <w:rsid w:val="00FF04E5"/>
    <w:rsid w:val="00FF1493"/>
    <w:rsid w:val="00FF25CF"/>
    <w:rsid w:val="00FF4443"/>
    <w:rsid w:val="00FF5B76"/>
    <w:rsid w:val="00FF6069"/>
    <w:rsid w:val="00FF79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18708"/>
  <w15:chartTrackingRefBased/>
  <w15:docId w15:val="{B21C04FB-5EB2-7D47-8086-03AB3E43E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qFormat="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iPriority="0" w:unhideWhenUsed="1" w:qFormat="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61"/>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1"/>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1"/>
    <w:lsdException w:name="Medium Grid 3 Accent 1" w:uiPriority="69"/>
    <w:lsdException w:name="Dark List Accent 1" w:uiPriority="70"/>
    <w:lsdException w:name="Colorful Shading Accent 1" w:uiPriority="71"/>
    <w:lsdException w:name="Colorful List Accent 1" w:uiPriority="34"/>
    <w:lsdException w:name="Colorful Grid Accent 1" w:uiPriority="29"/>
    <w:lsdException w:name="Light Shading Accent 2" w:uiPriority="30"/>
    <w:lsdException w:name="Light List Accent 2" w:uiPriority="61"/>
    <w:lsdException w:name="Light Grid Accent 2" w:uiPriority="62"/>
    <w:lsdException w:name="Medium Shading 1 Accent 2" w:uiPriority="1"/>
    <w:lsdException w:name="Medium Shading 2 Accent 2" w:uiPriority="64"/>
    <w:lsdException w:name="Medium List 1 Accent 2" w:uiPriority="61"/>
    <w:lsdException w:name="Medium List 2 Accent 2" w:uiPriority="66"/>
    <w:lsdException w:name="Medium Grid 1 Accent 2" w:uiPriority="34"/>
    <w:lsdException w:name="Medium Grid 2 Accent 2" w:uiPriority="68"/>
    <w:lsdException w:name="Medium Grid 3 Accent 2" w:uiPriority="69"/>
    <w:lsdException w:name="Dark List Accent 2" w:uiPriority="61"/>
    <w:lsdException w:name="Colorful Shading Accent 2" w:uiPriority="71"/>
    <w:lsdException w:name="Colorful List Accent 2" w:uiPriority="1"/>
    <w:lsdException w:name="Colorful Grid Accent 2" w:uiPriority="73"/>
    <w:lsdException w:name="Light Shading Accent 3" w:uiPriority="60"/>
    <w:lsdException w:name="Light List Accent 3" w:uiPriority="61" w:qFormat="1"/>
    <w:lsdException w:name="Light Grid Accent 3" w:uiPriority="34"/>
    <w:lsdException w:name="Medium Shading 1 Accent 3" w:uiPriority="29"/>
    <w:lsdException w:name="Medium Shading 2 Accent 3" w:uiPriority="30"/>
    <w:lsdException w:name="Medium List 1 Accent 3" w:uiPriority="61"/>
    <w:lsdException w:name="Medium List 2 Accent 3" w:uiPriority="66"/>
    <w:lsdException w:name="Medium Grid 1 Accent 3" w:uiPriority="67"/>
    <w:lsdException w:name="Medium Grid 2 Accent 3" w:uiPriority="68"/>
    <w:lsdException w:name="Medium Grid 3 Accent 3" w:uiPriority="70"/>
    <w:lsdException w:name="Dark List Accent 3" w:uiPriority="61"/>
    <w:lsdException w:name="Colorful Shading Accent 3" w:uiPriority="0"/>
    <w:lsdException w:name="Colorful List Accent 3" w:uiPriority="29"/>
    <w:lsdException w:name="Colorful Grid Accent 3" w:uiPriority="30"/>
    <w:lsdException w:name="Light Shading Accent 4" w:uiPriority="61"/>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34"/>
    <w:lsdException w:name="Medium Grid 1 Accent 4" w:uiPriority="29"/>
    <w:lsdException w:name="Medium Grid 2 Accent 4" w:uiPriority="30"/>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1"/>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1"/>
    <w:lsdException w:name="Dark List Accent 5" w:uiPriority="61"/>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0"/>
    <w:lsdException w:name="Medium Grid 3 Accent 6" w:uiPriority="69"/>
    <w:lsdException w:name="Dark List Accent 6" w:uiPriority="61"/>
    <w:lsdException w:name="Colorful Shading Accent 6" w:uiPriority="71"/>
    <w:lsdException w:name="Colorful List Accent 6" w:uiPriority="63"/>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42"/>
    <w:lsdException w:name="Plain Table 3" w:uiPriority="61" w:qFormat="1"/>
    <w:lsdException w:name="Plain Table 4" w:uiPriority="21" w:qFormat="1"/>
    <w:lsdException w:name="Plain Table 5" w:uiPriority="63" w:qFormat="1"/>
    <w:lsdException w:name="Grid Table Light" w:uiPriority="40"/>
    <w:lsdException w:name="Grid Table 1 Light" w:uiPriority="46"/>
    <w:lsdException w:name="Grid Table 2" w:uiPriority="0"/>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0"/>
    <w:lsdException w:name="Grid Table 3 Accent 1" w:uiPriority="69" w:qFormat="1"/>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0"/>
    <w:lsdException w:name="Grid Table 5 Dark Accent 2" w:uiPriority="50"/>
    <w:lsdException w:name="Grid Table 6 Colorful Accent 2" w:uiPriority="51"/>
    <w:lsdException w:name="Grid Table 7 Colorful Accent 2" w:uiPriority="50"/>
    <w:lsdException w:name="Grid Table 1 Light Accent 3" w:uiPriority="41"/>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47"/>
    <w:lsdException w:name="Grid Table 7 Colorful Accent 3" w:uiPriority="52"/>
    <w:lsdException w:name="Grid Table 1 Light Accent 4" w:uiPriority="49"/>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7"/>
    <w:lsdException w:name="Grid Table 4 Accent 6" w:uiPriority="49"/>
    <w:lsdException w:name="Grid Table 5 Dark Accent 6" w:uiPriority="49"/>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9"/>
    <w:lsdException w:name="List Table 2 Accent 1" w:uiPriority="50"/>
    <w:lsdException w:name="List Table 3 Accent 1" w:uiPriority="48"/>
    <w:lsdException w:name="List Table 4 Accent 1" w:uiPriority="49"/>
    <w:lsdException w:name="List Table 5 Dark Accent 1" w:uiPriority="48"/>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48"/>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49"/>
    <w:lsdException w:name="List Table 6 Colorful Accent 3" w:uiPriority="50"/>
    <w:lsdException w:name="List Table 7 Colorful Accent 3" w:uiPriority="52"/>
    <w:lsdException w:name="List Table 1 Light Accent 4" w:uiPriority="46"/>
    <w:lsdException w:name="List Table 2 Accent 4" w:uiPriority="46"/>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8"/>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FB7"/>
    <w:pPr>
      <w:spacing w:line="256" w:lineRule="auto"/>
    </w:pPr>
    <w:rPr>
      <w:rFonts w:ascii="Calibri" w:eastAsia="Calibri" w:hAnsi="Calibri" w:cs="Times New Roman"/>
    </w:rPr>
  </w:style>
  <w:style w:type="paragraph" w:styleId="Titre1">
    <w:name w:val="heading 1"/>
    <w:aliases w:val="Titre 1 Car Car Car Car Car Car Car Car Car Car Car Car Car Car Car Car Car Car,Main Heading,TCI 1.  Heading,Main Heading 1,Document Header1,1,2,3,11,annexe,CHAPITRE,4,41,5,6,61,7,8,81,9,811,10,ARTICLE GM.1- QUALITE,Chapitre, Main Heading, 1"/>
    <w:basedOn w:val="Normal"/>
    <w:next w:val="Normal"/>
    <w:link w:val="Titre1Car"/>
    <w:autoRedefine/>
    <w:qFormat/>
    <w:rsid w:val="00E7779B"/>
    <w:pPr>
      <w:keepNext/>
      <w:keepLines/>
      <w:numPr>
        <w:numId w:val="139"/>
      </w:numPr>
      <w:spacing w:before="240" w:after="240" w:line="240" w:lineRule="auto"/>
      <w:ind w:right="-284"/>
      <w:jc w:val="both"/>
      <w:outlineLvl w:val="0"/>
    </w:pPr>
    <w:rPr>
      <w:rFonts w:ascii="Times New Roman Gras" w:eastAsia="Times New Roman" w:hAnsi="Times New Roman Gras"/>
      <w:b/>
      <w:bCs/>
      <w:caps/>
      <w:kern w:val="32"/>
      <w:sz w:val="24"/>
      <w:szCs w:val="24"/>
      <w:lang w:eastAsia="fr-FR"/>
    </w:rPr>
  </w:style>
  <w:style w:type="paragraph" w:styleId="Titre2">
    <w:name w:val="heading 2"/>
    <w:aliases w:val="Paranum,alec2,an,(1.1),Heading 2 Char3,Heading 2 Char1 Char,Heading 2 Char Char Char,Heading 2 Char1 Char Char Char,Heading 2 Char Char Char Char Char,Heading 2 Char1 Char Char Char Char Char,Heading 2 Char Char Char Char Char Char Cha,Major"/>
    <w:basedOn w:val="Normal"/>
    <w:next w:val="Normal"/>
    <w:link w:val="Titre2Car"/>
    <w:uiPriority w:val="9"/>
    <w:qFormat/>
    <w:rsid w:val="005F3FB7"/>
    <w:pPr>
      <w:keepNext/>
      <w:pBdr>
        <w:bottom w:val="single" w:sz="12" w:space="1" w:color="auto"/>
      </w:pBdr>
      <w:spacing w:before="240" w:after="240" w:line="240" w:lineRule="auto"/>
      <w:outlineLvl w:val="1"/>
    </w:pPr>
    <w:rPr>
      <w:rFonts w:ascii="Times New Roman" w:eastAsia="Times New Roman" w:hAnsi="Times New Roman"/>
      <w:b/>
      <w:bCs/>
      <w:color w:val="0070C0"/>
      <w:sz w:val="24"/>
      <w:szCs w:val="24"/>
      <w:lang w:eastAsia="fr-FR"/>
    </w:rPr>
  </w:style>
  <w:style w:type="paragraph" w:styleId="Titre30">
    <w:name w:val="heading 3"/>
    <w:aliases w:val=" Centered,Centered,annex,(1.1.1.),Heading 3 Char,Centered Char,centered Char, Centered Char,Left Char, centered Char,centered,Left, centered,Section,Section + Gauche,Gauche :  0 cm,Suspendu : 1,6 cm,Avant : 24 pt + Gau...,Sec,titre n3,A-Titre "/>
    <w:basedOn w:val="Normal"/>
    <w:next w:val="Normal"/>
    <w:link w:val="Titre3Car"/>
    <w:uiPriority w:val="9"/>
    <w:qFormat/>
    <w:rsid w:val="005F3FB7"/>
    <w:pPr>
      <w:keepNext/>
      <w:numPr>
        <w:ilvl w:val="2"/>
        <w:numId w:val="3"/>
      </w:numPr>
      <w:spacing w:before="240" w:after="240" w:line="240" w:lineRule="auto"/>
      <w:outlineLvl w:val="2"/>
    </w:pPr>
    <w:rPr>
      <w:rFonts w:ascii="Times New Roman" w:eastAsia="Times New Roman" w:hAnsi="Times New Roman"/>
      <w:b/>
      <w:bCs/>
      <w:color w:val="0070C0"/>
      <w:szCs w:val="24"/>
      <w:lang w:eastAsia="fr-FR"/>
    </w:rPr>
  </w:style>
  <w:style w:type="paragraph" w:styleId="Titre40">
    <w:name w:val="heading 4"/>
    <w:aliases w:val="Centred,Cen.,A,(1.1.1.1.),Sous-Section,Sous-Sectipson,T4,Sous-Sectipson + Gauche :  0 cm,Premiè...,Première ligne : 0 cm...,MainPara,Première ligne : 0 cm,Titre 4 Car Car Car Car Car, Sub-Clause Sub-paragraph,Titre 4 Annexes,§1.1.1.1,§1.1.1.1."/>
    <w:basedOn w:val="Normal"/>
    <w:next w:val="Normal"/>
    <w:link w:val="Titre4Car"/>
    <w:uiPriority w:val="9"/>
    <w:qFormat/>
    <w:rsid w:val="005F3FB7"/>
    <w:pPr>
      <w:keepNext/>
      <w:numPr>
        <w:ilvl w:val="3"/>
        <w:numId w:val="3"/>
      </w:numPr>
      <w:spacing w:before="240" w:after="60"/>
      <w:outlineLvl w:val="3"/>
    </w:pPr>
    <w:rPr>
      <w:rFonts w:eastAsia="Times New Roman"/>
      <w:b/>
      <w:bCs/>
      <w:sz w:val="28"/>
      <w:szCs w:val="28"/>
    </w:rPr>
  </w:style>
  <w:style w:type="paragraph" w:styleId="Titre50">
    <w:name w:val="heading 5"/>
    <w:aliases w:val="Side, Side,T 2,2.2.3.2,Titre 3-,Titre 1b,Titre 1b1,Titre figure,Titre 5 A.B.C,intercalaire,T5,Titre pad 5,police procédure,H5,Heading 5.§1.1.1.1.1.,Titre 1b2,Titre figure1,Titre 1b11,intercalaire1,Titre pad 51,T51,police procédure1"/>
    <w:basedOn w:val="Normal"/>
    <w:next w:val="Normal"/>
    <w:link w:val="Titre5Car"/>
    <w:uiPriority w:val="9"/>
    <w:qFormat/>
    <w:rsid w:val="005F3FB7"/>
    <w:pPr>
      <w:numPr>
        <w:ilvl w:val="4"/>
        <w:numId w:val="3"/>
      </w:numPr>
      <w:spacing w:before="240" w:after="60"/>
      <w:outlineLvl w:val="4"/>
    </w:pPr>
    <w:rPr>
      <w:rFonts w:eastAsia="Times New Roman"/>
      <w:b/>
      <w:bCs/>
      <w:i/>
      <w:iCs/>
      <w:sz w:val="26"/>
      <w:szCs w:val="26"/>
    </w:rPr>
  </w:style>
  <w:style w:type="paragraph" w:styleId="Titre60">
    <w:name w:val="heading 6"/>
    <w:aliases w:val="ann,(a,b,..),T6,Titre 6 Car Car Car,T62,H6,_Tableau titre,E6,Style Sommaire,Gras"/>
    <w:basedOn w:val="Normal"/>
    <w:next w:val="Normal"/>
    <w:link w:val="Titre6Car"/>
    <w:uiPriority w:val="9"/>
    <w:qFormat/>
    <w:rsid w:val="005F3FB7"/>
    <w:pPr>
      <w:numPr>
        <w:ilvl w:val="5"/>
        <w:numId w:val="3"/>
      </w:numPr>
      <w:spacing w:before="240" w:after="60"/>
      <w:outlineLvl w:val="5"/>
    </w:pPr>
    <w:rPr>
      <w:rFonts w:eastAsia="Times New Roman"/>
      <w:b/>
      <w:bCs/>
    </w:rPr>
  </w:style>
  <w:style w:type="paragraph" w:styleId="Titre7">
    <w:name w:val="heading 7"/>
    <w:aliases w:val="Annexes"/>
    <w:basedOn w:val="Normal"/>
    <w:next w:val="Normal"/>
    <w:link w:val="Titre7Car"/>
    <w:uiPriority w:val="9"/>
    <w:qFormat/>
    <w:rsid w:val="005F3FB7"/>
    <w:pPr>
      <w:numPr>
        <w:ilvl w:val="6"/>
        <w:numId w:val="3"/>
      </w:numPr>
      <w:spacing w:before="240" w:after="60"/>
      <w:outlineLvl w:val="6"/>
    </w:pPr>
    <w:rPr>
      <w:rFonts w:eastAsia="Times New Roman"/>
      <w:sz w:val="24"/>
      <w:szCs w:val="24"/>
    </w:rPr>
  </w:style>
  <w:style w:type="paragraph" w:styleId="Titre8">
    <w:name w:val="heading 8"/>
    <w:aliases w:val="Chapitre @"/>
    <w:basedOn w:val="Normal"/>
    <w:next w:val="Normal"/>
    <w:link w:val="Titre8Car"/>
    <w:uiPriority w:val="9"/>
    <w:qFormat/>
    <w:rsid w:val="005F3FB7"/>
    <w:pPr>
      <w:numPr>
        <w:ilvl w:val="7"/>
        <w:numId w:val="3"/>
      </w:numPr>
      <w:spacing w:before="240" w:after="60"/>
      <w:outlineLvl w:val="7"/>
    </w:pPr>
    <w:rPr>
      <w:rFonts w:eastAsia="Times New Roman"/>
      <w:i/>
      <w:iCs/>
      <w:sz w:val="24"/>
      <w:szCs w:val="24"/>
    </w:rPr>
  </w:style>
  <w:style w:type="paragraph" w:styleId="Titre9">
    <w:name w:val="heading 9"/>
    <w:aliases w:val="Heading 9-paranum,Chapitre-"/>
    <w:basedOn w:val="Normal"/>
    <w:next w:val="Normal"/>
    <w:link w:val="Titre9Car"/>
    <w:uiPriority w:val="9"/>
    <w:qFormat/>
    <w:rsid w:val="005F3FB7"/>
    <w:pPr>
      <w:numPr>
        <w:ilvl w:val="8"/>
        <w:numId w:val="3"/>
      </w:numPr>
      <w:spacing w:before="240" w:after="60"/>
      <w:outlineLvl w:val="8"/>
    </w:pPr>
    <w:rPr>
      <w:rFonts w:ascii="Calibri Light" w:eastAsia="Times New Roman" w:hAnsi="Calibri Ligh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1 Car Car Car Car Car Car Car Car Car Car Car Car Car Car Car Car Car Car Car,Main Heading Car,TCI 1.  Heading Car,Main Heading 1 Car,Document Header1 Car,1 Car,2 Car,3 Car1,11 Car,annexe Car,CHAPITRE Car,4 Car,41 Car,5 Car,6 Car,7 Car"/>
    <w:basedOn w:val="Policepardfaut"/>
    <w:link w:val="Titre1"/>
    <w:qFormat/>
    <w:rsid w:val="00E7779B"/>
    <w:rPr>
      <w:rFonts w:ascii="Times New Roman Gras" w:eastAsia="Times New Roman" w:hAnsi="Times New Roman Gras" w:cs="Times New Roman"/>
      <w:b/>
      <w:bCs/>
      <w:caps/>
      <w:kern w:val="32"/>
      <w:sz w:val="24"/>
      <w:szCs w:val="24"/>
      <w:lang w:eastAsia="fr-FR"/>
    </w:rPr>
  </w:style>
  <w:style w:type="character" w:customStyle="1" w:styleId="Titre2Car">
    <w:name w:val="Titre 2 Car"/>
    <w:aliases w:val="Paranum Car,alec2 Car,an Car,(1.1) Car,Heading 2 Char3 Car,Heading 2 Char1 Char Car,Heading 2 Char Char Char Car,Heading 2 Char1 Char Char Char Car,Heading 2 Char Char Char Char Char Car,Heading 2 Char1 Char Char Char Char Char Car,Major Car"/>
    <w:basedOn w:val="Policepardfaut"/>
    <w:link w:val="Titre2"/>
    <w:uiPriority w:val="9"/>
    <w:qFormat/>
    <w:rsid w:val="005F3FB7"/>
    <w:rPr>
      <w:rFonts w:ascii="Times New Roman" w:eastAsia="Times New Roman" w:hAnsi="Times New Roman" w:cs="Times New Roman"/>
      <w:b/>
      <w:bCs/>
      <w:color w:val="0070C0"/>
      <w:sz w:val="24"/>
      <w:szCs w:val="24"/>
      <w:lang w:val="en-US" w:eastAsia="fr-FR"/>
    </w:rPr>
  </w:style>
  <w:style w:type="character" w:customStyle="1" w:styleId="Titre3Car">
    <w:name w:val="Titre 3 Car"/>
    <w:aliases w:val=" Centered Car,Centered Car,annex Car,(1.1.1.) Car,Heading 3 Char Car,Centered Char Car,centered Char Car, Centered Char Car,Left Char Car, centered Char Car,centered Car,Left Car, centered Car,Section Car,Section + Gauche Car,6 cm Car"/>
    <w:basedOn w:val="Policepardfaut"/>
    <w:link w:val="Titre30"/>
    <w:uiPriority w:val="9"/>
    <w:qFormat/>
    <w:rsid w:val="005F3FB7"/>
    <w:rPr>
      <w:rFonts w:ascii="Times New Roman" w:eastAsia="Times New Roman" w:hAnsi="Times New Roman" w:cs="Times New Roman"/>
      <w:b/>
      <w:bCs/>
      <w:color w:val="0070C0"/>
      <w:szCs w:val="24"/>
      <w:lang w:eastAsia="fr-FR"/>
    </w:rPr>
  </w:style>
  <w:style w:type="character" w:customStyle="1" w:styleId="Titre4Car">
    <w:name w:val="Titre 4 Car"/>
    <w:aliases w:val="Centred Car,Cen. Car,A Car,(1.1.1.1.) Car,Sous-Section Car,Sous-Sectipson Car,T4 Car,Sous-Sectipson + Gauche :  0 cm Car,Premiè... Car,Première ligne : 0 cm... Car,MainPara Car,Première ligne : 0 cm Car,Titre 4 Car Car Car Car Car Car"/>
    <w:basedOn w:val="Policepardfaut"/>
    <w:link w:val="Titre40"/>
    <w:uiPriority w:val="9"/>
    <w:rsid w:val="005F3FB7"/>
    <w:rPr>
      <w:rFonts w:ascii="Calibri" w:eastAsia="Times New Roman" w:hAnsi="Calibri" w:cs="Times New Roman"/>
      <w:b/>
      <w:bCs/>
      <w:sz w:val="28"/>
      <w:szCs w:val="28"/>
    </w:rPr>
  </w:style>
  <w:style w:type="character" w:customStyle="1" w:styleId="Titre5Car">
    <w:name w:val="Titre 5 Car"/>
    <w:aliases w:val="Side Car, Side Car,T 2 Car,2.2.3.2 Car,Titre 3- Car,Titre 1b Car,Titre 1b1 Car,Titre figure Car,Titre 5 A.B.C Car,intercalaire Car,T5 Car,Titre pad 5 Car,police procédure Car,H5 Car,Heading 5.§1.1.1.1.1. Car,Titre 1b2 Car,Titre figure1 Car"/>
    <w:basedOn w:val="Policepardfaut"/>
    <w:link w:val="Titre50"/>
    <w:uiPriority w:val="9"/>
    <w:rsid w:val="005F3FB7"/>
    <w:rPr>
      <w:rFonts w:ascii="Calibri" w:eastAsia="Times New Roman" w:hAnsi="Calibri" w:cs="Times New Roman"/>
      <w:b/>
      <w:bCs/>
      <w:i/>
      <w:iCs/>
      <w:sz w:val="26"/>
      <w:szCs w:val="26"/>
    </w:rPr>
  </w:style>
  <w:style w:type="character" w:customStyle="1" w:styleId="Titre6Car">
    <w:name w:val="Titre 6 Car"/>
    <w:aliases w:val="ann Car,(a Car,b Car,..) Car,T6 Car,Titre 6 Car Car Car Car,T62 Car,H6 Car,_Tableau titre Car,E6 Car,Style Sommaire Car,Gras Car"/>
    <w:basedOn w:val="Policepardfaut"/>
    <w:link w:val="Titre60"/>
    <w:uiPriority w:val="9"/>
    <w:rsid w:val="005F3FB7"/>
    <w:rPr>
      <w:rFonts w:ascii="Calibri" w:eastAsia="Times New Roman" w:hAnsi="Calibri" w:cs="Times New Roman"/>
      <w:b/>
      <w:bCs/>
    </w:rPr>
  </w:style>
  <w:style w:type="character" w:customStyle="1" w:styleId="Titre7Car">
    <w:name w:val="Titre 7 Car"/>
    <w:aliases w:val="Annexes Car"/>
    <w:basedOn w:val="Policepardfaut"/>
    <w:link w:val="Titre7"/>
    <w:uiPriority w:val="9"/>
    <w:rsid w:val="005F3FB7"/>
    <w:rPr>
      <w:rFonts w:ascii="Calibri" w:eastAsia="Times New Roman" w:hAnsi="Calibri" w:cs="Times New Roman"/>
      <w:sz w:val="24"/>
      <w:szCs w:val="24"/>
    </w:rPr>
  </w:style>
  <w:style w:type="character" w:customStyle="1" w:styleId="Titre8Car">
    <w:name w:val="Titre 8 Car"/>
    <w:aliases w:val="Chapitre @ Car"/>
    <w:basedOn w:val="Policepardfaut"/>
    <w:link w:val="Titre8"/>
    <w:uiPriority w:val="9"/>
    <w:rsid w:val="005F3FB7"/>
    <w:rPr>
      <w:rFonts w:ascii="Calibri" w:eastAsia="Times New Roman" w:hAnsi="Calibri" w:cs="Times New Roman"/>
      <w:i/>
      <w:iCs/>
      <w:sz w:val="24"/>
      <w:szCs w:val="24"/>
    </w:rPr>
  </w:style>
  <w:style w:type="character" w:customStyle="1" w:styleId="Titre9Car">
    <w:name w:val="Titre 9 Car"/>
    <w:aliases w:val="Heading 9-paranum Car,Chapitre- Car"/>
    <w:basedOn w:val="Policepardfaut"/>
    <w:link w:val="Titre9"/>
    <w:uiPriority w:val="9"/>
    <w:rsid w:val="005F3FB7"/>
    <w:rPr>
      <w:rFonts w:ascii="Calibri Light" w:eastAsia="Times New Roman" w:hAnsi="Calibri Light" w:cs="Times New Roman"/>
    </w:rPr>
  </w:style>
  <w:style w:type="paragraph" w:styleId="En-tte">
    <w:name w:val="header"/>
    <w:aliases w:val="En-tête client,Car2,/ pied de page,Kopfzeile Angebot,En-tête CV,BRL TeT,heading 3 after h2,h,ContentsHeader,h3+,hd,he,*Header,Section Header,En-tête1,E.e,Cover Page,normal3,En-tête11,E.e1,et pied de page,En-tête SQ,he1,he2,he3,he4,he5,he6,he7,KP"/>
    <w:basedOn w:val="Normal"/>
    <w:link w:val="En-tteCar"/>
    <w:uiPriority w:val="99"/>
    <w:unhideWhenUsed/>
    <w:qFormat/>
    <w:rsid w:val="005F3FB7"/>
    <w:pPr>
      <w:tabs>
        <w:tab w:val="center" w:pos="4536"/>
        <w:tab w:val="right" w:pos="9072"/>
      </w:tabs>
    </w:pPr>
  </w:style>
  <w:style w:type="character" w:customStyle="1" w:styleId="En-tteCar">
    <w:name w:val="En-tête Car"/>
    <w:aliases w:val="En-tête client Car,Car2 Car,/ pied de page Car,Kopfzeile Angebot Car,En-tête CV Car,BRL TeT Car,heading 3 after h2 Car,h Car,ContentsHeader Car,h3+ Car,hd Car,he Car,*Header Car,Section Header Car,En-tête1 Car,E.e Car,Cover Page Car,E.e1 Car"/>
    <w:basedOn w:val="Policepardfaut"/>
    <w:link w:val="En-tte"/>
    <w:uiPriority w:val="99"/>
    <w:qFormat/>
    <w:rsid w:val="005F3FB7"/>
    <w:rPr>
      <w:rFonts w:ascii="Calibri" w:eastAsia="Calibri" w:hAnsi="Calibri" w:cs="Times New Roman"/>
      <w:lang w:val="en-US"/>
    </w:rPr>
  </w:style>
  <w:style w:type="paragraph" w:styleId="Pieddepage">
    <w:name w:val="footer"/>
    <w:aliases w:val="puces points,H Pied page,CONGPied de page,CPied de page,ASPied de page"/>
    <w:basedOn w:val="Normal"/>
    <w:link w:val="PieddepageCar"/>
    <w:uiPriority w:val="99"/>
    <w:unhideWhenUsed/>
    <w:qFormat/>
    <w:rsid w:val="005F3FB7"/>
    <w:pPr>
      <w:tabs>
        <w:tab w:val="center" w:pos="4536"/>
        <w:tab w:val="right" w:pos="9072"/>
      </w:tabs>
    </w:pPr>
  </w:style>
  <w:style w:type="character" w:customStyle="1" w:styleId="PieddepageCar">
    <w:name w:val="Pied de page Car"/>
    <w:aliases w:val="puces points Car,H Pied page Car,CONGPied de page Car,CPied de page Car,ASPied de page Car"/>
    <w:basedOn w:val="Policepardfaut"/>
    <w:link w:val="Pieddepage"/>
    <w:uiPriority w:val="99"/>
    <w:qFormat/>
    <w:rsid w:val="005F3FB7"/>
    <w:rPr>
      <w:rFonts w:ascii="Calibri" w:eastAsia="Calibri" w:hAnsi="Calibri" w:cs="Times New Roman"/>
      <w:lang w:val="en-US"/>
    </w:rPr>
  </w:style>
  <w:style w:type="paragraph" w:styleId="Corpsdetexte">
    <w:name w:val="Body Text"/>
    <w:aliases w:val="tx,Body Text jaga,gl,Body Text Char1,Body Text Char Char,Body Text Char2 Char Char,Body Text Char1 Char Char Char,Body Text Char Char Char Char Char,Body Text Char1 Char Char Char Char Char,Body Text Char Char Char Char Char Char Char,Bod"/>
    <w:basedOn w:val="Normal"/>
    <w:link w:val="CorpsdetexteCar"/>
    <w:uiPriority w:val="1"/>
    <w:unhideWhenUsed/>
    <w:qFormat/>
    <w:rsid w:val="005F3FB7"/>
    <w:pPr>
      <w:pBdr>
        <w:top w:val="single" w:sz="4" w:space="1" w:color="auto"/>
        <w:left w:val="single" w:sz="4" w:space="4" w:color="auto"/>
        <w:bottom w:val="single" w:sz="4" w:space="11" w:color="auto"/>
        <w:right w:val="single" w:sz="4" w:space="4" w:color="auto"/>
      </w:pBdr>
      <w:shd w:val="clear" w:color="auto" w:fill="002060"/>
      <w:tabs>
        <w:tab w:val="center" w:pos="4393"/>
      </w:tabs>
      <w:spacing w:after="0" w:line="240" w:lineRule="auto"/>
      <w:jc w:val="center"/>
    </w:pPr>
    <w:rPr>
      <w:rFonts w:ascii="Times New Roman" w:eastAsia="Times New Roman" w:hAnsi="Times New Roman"/>
      <w:b/>
      <w:sz w:val="32"/>
      <w:szCs w:val="28"/>
      <w:lang w:eastAsia="fr-FR"/>
    </w:rPr>
  </w:style>
  <w:style w:type="character" w:customStyle="1" w:styleId="CorpsdetexteCar">
    <w:name w:val="Corps de texte Car"/>
    <w:aliases w:val="tx Car,Body Text jaga Car,gl Car,Body Text Char1 Car,Body Text Char Char Car,Body Text Char2 Char Char Car,Body Text Char1 Char Char Char Car,Body Text Char Char Char Char Char Car,Body Text Char1 Char Char Char Char Char Car,Bod Car"/>
    <w:basedOn w:val="Policepardfaut"/>
    <w:link w:val="Corpsdetexte"/>
    <w:uiPriority w:val="1"/>
    <w:qFormat/>
    <w:rsid w:val="005F3FB7"/>
    <w:rPr>
      <w:rFonts w:ascii="Times New Roman" w:eastAsia="Times New Roman" w:hAnsi="Times New Roman" w:cs="Times New Roman"/>
      <w:b/>
      <w:sz w:val="32"/>
      <w:szCs w:val="28"/>
      <w:shd w:val="clear" w:color="auto" w:fill="002060"/>
      <w:lang w:val="en-US" w:eastAsia="fr-FR"/>
    </w:rPr>
  </w:style>
  <w:style w:type="paragraph" w:styleId="Corpsdetexte2">
    <w:name w:val="Body Text 2"/>
    <w:basedOn w:val="Normal"/>
    <w:link w:val="Corpsdetexte2Car"/>
    <w:uiPriority w:val="99"/>
    <w:unhideWhenUsed/>
    <w:rsid w:val="005F3FB7"/>
    <w:pPr>
      <w:jc w:val="both"/>
    </w:pPr>
    <w:rPr>
      <w:rFonts w:ascii="Times New Roman" w:hAnsi="Times New Roman"/>
    </w:rPr>
  </w:style>
  <w:style w:type="character" w:customStyle="1" w:styleId="Corpsdetexte2Car">
    <w:name w:val="Corps de texte 2 Car"/>
    <w:basedOn w:val="Policepardfaut"/>
    <w:link w:val="Corpsdetexte2"/>
    <w:uiPriority w:val="99"/>
    <w:rsid w:val="005F3FB7"/>
    <w:rPr>
      <w:rFonts w:ascii="Times New Roman" w:eastAsia="Calibri" w:hAnsi="Times New Roman" w:cs="Times New Roman"/>
      <w:lang w:val="en-US"/>
    </w:rPr>
  </w:style>
  <w:style w:type="paragraph" w:styleId="Corpsdetexte3">
    <w:name w:val="Body Text 3"/>
    <w:basedOn w:val="Normal"/>
    <w:link w:val="Corpsdetexte3Car"/>
    <w:uiPriority w:val="99"/>
    <w:unhideWhenUsed/>
    <w:rsid w:val="005F3FB7"/>
    <w:pPr>
      <w:spacing w:after="0" w:line="240" w:lineRule="auto"/>
      <w:jc w:val="center"/>
    </w:pPr>
    <w:rPr>
      <w:rFonts w:ascii="Times New Roman" w:eastAsia="Times New Roman" w:hAnsi="Times New Roman"/>
      <w:b/>
      <w:color w:val="2F5496"/>
      <w:sz w:val="32"/>
      <w:szCs w:val="24"/>
      <w:lang w:eastAsia="fr-FR"/>
    </w:rPr>
  </w:style>
  <w:style w:type="character" w:customStyle="1" w:styleId="Corpsdetexte3Car">
    <w:name w:val="Corps de texte 3 Car"/>
    <w:basedOn w:val="Policepardfaut"/>
    <w:link w:val="Corpsdetexte3"/>
    <w:uiPriority w:val="99"/>
    <w:rsid w:val="005F3FB7"/>
    <w:rPr>
      <w:rFonts w:ascii="Times New Roman" w:eastAsia="Times New Roman" w:hAnsi="Times New Roman" w:cs="Times New Roman"/>
      <w:b/>
      <w:color w:val="2F5496"/>
      <w:sz w:val="32"/>
      <w:szCs w:val="24"/>
      <w:lang w:val="en-US" w:eastAsia="fr-FR"/>
    </w:rPr>
  </w:style>
  <w:style w:type="table" w:styleId="Grilledutableau">
    <w:name w:val="Table Grid"/>
    <w:aliases w:val="GT0,Vale 4,Table long document,mtbs,SGS Table Basic 1,csa standard,Medium Grid 1 - Accent 20,IT Park_Citation,Pwc Table,Smart Text Table,Table Italic,BPUA Table,CV table,CV1,EY Table,TNS table,TabelEcorys,Table Grid (Appendix list)"/>
    <w:basedOn w:val="TableauNormal"/>
    <w:uiPriority w:val="59"/>
    <w:qFormat/>
    <w:rsid w:val="005F3FB7"/>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ar"/>
    <w:qFormat/>
    <w:rsid w:val="005F3FB7"/>
    <w:pPr>
      <w:pBdr>
        <w:bottom w:val="single" w:sz="12" w:space="1" w:color="auto"/>
      </w:pBdr>
      <w:spacing w:before="120"/>
    </w:pPr>
    <w:rPr>
      <w:rFonts w:ascii="Times New Roman" w:hAnsi="Times New Roman"/>
      <w:b/>
      <w:caps/>
      <w:color w:val="C45911"/>
      <w:sz w:val="24"/>
    </w:rPr>
  </w:style>
  <w:style w:type="paragraph" w:customStyle="1" w:styleId="Tramemoyenne1-Accent11">
    <w:name w:val="Trame moyenne 1 - Accent 11"/>
    <w:link w:val="Tramemoyenne1-Accent1Car"/>
    <w:uiPriority w:val="1"/>
    <w:qFormat/>
    <w:rsid w:val="005F3FB7"/>
    <w:pPr>
      <w:spacing w:after="0" w:line="240" w:lineRule="auto"/>
    </w:pPr>
    <w:rPr>
      <w:rFonts w:ascii="Calibri" w:eastAsia="Calibri" w:hAnsi="Calibri" w:cs="Times New Roman"/>
    </w:rPr>
  </w:style>
  <w:style w:type="character" w:customStyle="1" w:styleId="Style1Car">
    <w:name w:val="Style1 Car"/>
    <w:link w:val="Style1"/>
    <w:rsid w:val="005F3FB7"/>
    <w:rPr>
      <w:rFonts w:ascii="Times New Roman" w:eastAsia="Calibri" w:hAnsi="Times New Roman" w:cs="Times New Roman"/>
      <w:b/>
      <w:caps/>
      <w:color w:val="C45911"/>
      <w:sz w:val="24"/>
      <w:lang w:val="en-US"/>
    </w:rPr>
  </w:style>
  <w:style w:type="paragraph" w:customStyle="1" w:styleId="ps">
    <w:name w:val="ps"/>
    <w:basedOn w:val="Normal"/>
    <w:link w:val="psCar"/>
    <w:qFormat/>
    <w:rsid w:val="005F3FB7"/>
    <w:pPr>
      <w:keepLines/>
      <w:spacing w:before="240" w:after="0" w:line="240" w:lineRule="auto"/>
      <w:jc w:val="both"/>
    </w:pPr>
    <w:rPr>
      <w:rFonts w:ascii="Arial" w:eastAsia="Times New Roman" w:hAnsi="Arial"/>
      <w:sz w:val="20"/>
      <w:szCs w:val="20"/>
      <w:lang w:val="x-none" w:eastAsia="x-none"/>
    </w:rPr>
  </w:style>
  <w:style w:type="character" w:customStyle="1" w:styleId="psCar">
    <w:name w:val="ps Car"/>
    <w:link w:val="ps"/>
    <w:locked/>
    <w:rsid w:val="005F3FB7"/>
    <w:rPr>
      <w:rFonts w:ascii="Arial" w:eastAsia="Times New Roman" w:hAnsi="Arial" w:cs="Times New Roman"/>
      <w:sz w:val="20"/>
      <w:szCs w:val="20"/>
      <w:lang w:val="x-none" w:eastAsia="x-none"/>
    </w:rPr>
  </w:style>
  <w:style w:type="paragraph" w:customStyle="1" w:styleId="Grillemoyenne1-Accent22">
    <w:name w:val="Grille moyenne 1 - Accent 22"/>
    <w:aliases w:val="Paragraphe  revu,Bullets,Liste 1,Paragraphe de liste1,Texte Général,itens,Bullet L1,References,Numbered List Paragraph,ReferencesCxSpLast,List Paragraph (numbered (a)),List Paragraph nowy,- List tir,liste 1,puce 1,Puces,Bo"/>
    <w:basedOn w:val="Normal"/>
    <w:link w:val="Grillemoyenne1-Accent2Car1"/>
    <w:uiPriority w:val="34"/>
    <w:qFormat/>
    <w:rsid w:val="005F3FB7"/>
    <w:pPr>
      <w:spacing w:after="0" w:line="240" w:lineRule="auto"/>
      <w:ind w:left="720"/>
      <w:contextualSpacing/>
    </w:pPr>
    <w:rPr>
      <w:rFonts w:ascii="Times New Roman" w:eastAsia="Times New Roman" w:hAnsi="Times New Roman"/>
      <w:sz w:val="24"/>
      <w:szCs w:val="24"/>
      <w:lang w:eastAsia="fr-FR"/>
    </w:rPr>
  </w:style>
  <w:style w:type="character" w:customStyle="1" w:styleId="Grillemoyenne1-Accent2Car1">
    <w:name w:val="Grille moyenne 1 - Accent 2 Car1"/>
    <w:aliases w:val="Paragraphe  revu Car,Bullets Car,Liste 1 Car,Paragraphe de liste1 Car,Texte Général Car,itens Car,Bullet L1 Car,References Car,Numbered List Paragraph Car,ReferencesCxSpLast Car,List Paragraph (numbered (a)) Car,figure C"/>
    <w:link w:val="Grillemoyenne1-Accent22"/>
    <w:uiPriority w:val="34"/>
    <w:qFormat/>
    <w:locked/>
    <w:rsid w:val="005F3FB7"/>
    <w:rPr>
      <w:rFonts w:ascii="Times New Roman" w:eastAsia="Times New Roman" w:hAnsi="Times New Roman" w:cs="Times New Roman"/>
      <w:sz w:val="24"/>
      <w:szCs w:val="24"/>
      <w:lang w:val="en-US" w:eastAsia="fr-FR"/>
    </w:rPr>
  </w:style>
  <w:style w:type="paragraph" w:customStyle="1" w:styleId="Ca1">
    <w:name w:val="Ca1"/>
    <w:basedOn w:val="Normal"/>
    <w:next w:val="Normal"/>
    <w:uiPriority w:val="99"/>
    <w:unhideWhenUsed/>
    <w:qFormat/>
    <w:rsid w:val="005F3FB7"/>
    <w:pPr>
      <w:spacing w:after="200" w:line="240" w:lineRule="auto"/>
    </w:pPr>
    <w:rPr>
      <w:rFonts w:ascii="Times New Roman" w:eastAsia="Times New Roman" w:hAnsi="Times New Roman"/>
      <w:i/>
      <w:iCs/>
      <w:color w:val="44546A"/>
      <w:sz w:val="18"/>
      <w:szCs w:val="18"/>
      <w:lang w:eastAsia="fr-FR"/>
    </w:rPr>
  </w:style>
  <w:style w:type="character" w:customStyle="1" w:styleId="LgendeCar2">
    <w:name w:val="Légende Car2"/>
    <w:aliases w:val="Beschriftung Tab Car,Beschriftung oben Car,Map Car,StyleLégende Car,annexes Car,Légende Car Car,Légende Car1 Car1,Légende Car1 Car Car,Légende1 Car,Légende Car2 Car Car,Légende Car3 Car,Légende Car Car Car Car,Légende Car1 Car Car Car Car"/>
    <w:link w:val="Lgende"/>
    <w:uiPriority w:val="35"/>
    <w:qFormat/>
    <w:locked/>
    <w:rsid w:val="005F3FB7"/>
    <w:rPr>
      <w:rFonts w:ascii="Times New Roman" w:eastAsia="Times New Roman" w:hAnsi="Times New Roman" w:cs="Times New Roman"/>
      <w:i/>
      <w:iCs/>
      <w:color w:val="44546A"/>
      <w:sz w:val="18"/>
      <w:szCs w:val="18"/>
      <w:lang w:eastAsia="fr-FR"/>
    </w:rPr>
  </w:style>
  <w:style w:type="paragraph" w:customStyle="1" w:styleId="Default">
    <w:name w:val="Default"/>
    <w:link w:val="DefaultCar"/>
    <w:qFormat/>
    <w:rsid w:val="005F3FB7"/>
    <w:pPr>
      <w:autoSpaceDE w:val="0"/>
      <w:autoSpaceDN w:val="0"/>
      <w:adjustRightInd w:val="0"/>
      <w:spacing w:after="0" w:line="240" w:lineRule="auto"/>
    </w:pPr>
    <w:rPr>
      <w:rFonts w:ascii="Myriad Web Pro" w:eastAsia="Calibri" w:hAnsi="Myriad Web Pro" w:cs="Myriad Web Pro"/>
      <w:color w:val="000000"/>
      <w:sz w:val="24"/>
      <w:szCs w:val="24"/>
    </w:rPr>
  </w:style>
  <w:style w:type="character" w:customStyle="1" w:styleId="DefaultCar">
    <w:name w:val="Default Car"/>
    <w:link w:val="Default"/>
    <w:rsid w:val="005F3FB7"/>
    <w:rPr>
      <w:rFonts w:ascii="Myriad Web Pro" w:eastAsia="Calibri" w:hAnsi="Myriad Web Pro" w:cs="Myriad Web Pro"/>
      <w:color w:val="000000"/>
      <w:sz w:val="24"/>
      <w:szCs w:val="24"/>
    </w:rPr>
  </w:style>
  <w:style w:type="table" w:customStyle="1" w:styleId="TableGrid">
    <w:name w:val="TableGrid"/>
    <w:rsid w:val="005F3FB7"/>
    <w:pPr>
      <w:spacing w:after="0" w:line="240" w:lineRule="auto"/>
    </w:pPr>
    <w:rPr>
      <w:rFonts w:ascii="Calibri" w:eastAsia="Times New Roman" w:hAnsi="Calibri" w:cs="Times New Roman"/>
      <w:lang w:eastAsia="fr-FR"/>
    </w:rPr>
    <w:tblPr>
      <w:tblCellMar>
        <w:top w:w="0" w:type="dxa"/>
        <w:left w:w="0" w:type="dxa"/>
        <w:bottom w:w="0" w:type="dxa"/>
        <w:right w:w="0" w:type="dxa"/>
      </w:tblCellMar>
    </w:tblPr>
  </w:style>
  <w:style w:type="paragraph" w:styleId="NormalWeb">
    <w:name w:val="Normal (Web)"/>
    <w:basedOn w:val="Normal"/>
    <w:link w:val="NormalWebCar"/>
    <w:uiPriority w:val="99"/>
    <w:unhideWhenUsed/>
    <w:qFormat/>
    <w:rsid w:val="005F3FB7"/>
    <w:pPr>
      <w:spacing w:before="100" w:beforeAutospacing="1" w:after="100" w:afterAutospacing="1" w:line="240" w:lineRule="auto"/>
      <w:jc w:val="both"/>
    </w:pPr>
    <w:rPr>
      <w:rFonts w:ascii="Times New Roman" w:eastAsia="Times New Roman" w:hAnsi="Times New Roman"/>
      <w:sz w:val="24"/>
      <w:szCs w:val="24"/>
      <w:lang w:eastAsia="fr-FR"/>
    </w:rPr>
  </w:style>
  <w:style w:type="character" w:customStyle="1" w:styleId="NormalWebCar">
    <w:name w:val="Normal (Web) Car"/>
    <w:link w:val="NormalWeb"/>
    <w:uiPriority w:val="99"/>
    <w:rsid w:val="005F3FB7"/>
    <w:rPr>
      <w:rFonts w:ascii="Times New Roman" w:eastAsia="Times New Roman" w:hAnsi="Times New Roman" w:cs="Times New Roman"/>
      <w:sz w:val="24"/>
      <w:szCs w:val="24"/>
      <w:lang w:val="en-US" w:eastAsia="fr-FR"/>
    </w:rPr>
  </w:style>
  <w:style w:type="character" w:styleId="lev">
    <w:name w:val="Strong"/>
    <w:uiPriority w:val="22"/>
    <w:qFormat/>
    <w:rsid w:val="005F3FB7"/>
    <w:rPr>
      <w:b/>
      <w:bCs/>
    </w:rPr>
  </w:style>
  <w:style w:type="character" w:styleId="Lienhypertexte">
    <w:name w:val="Hyperlink"/>
    <w:uiPriority w:val="99"/>
    <w:unhideWhenUsed/>
    <w:rsid w:val="005F3FB7"/>
    <w:rPr>
      <w:color w:val="0000FF"/>
      <w:u w:val="single"/>
    </w:rPr>
  </w:style>
  <w:style w:type="paragraph" w:styleId="Commentaire">
    <w:name w:val="annotation text"/>
    <w:aliases w:val="Comment Text1,Comment Text Char1,Comment Text Char Char, Char2 Char Char Char,Char2 Char Char Char, Car1,Car1"/>
    <w:basedOn w:val="Normal"/>
    <w:link w:val="CommentaireCar"/>
    <w:uiPriority w:val="99"/>
    <w:unhideWhenUsed/>
    <w:qFormat/>
    <w:rsid w:val="005F3FB7"/>
    <w:pPr>
      <w:spacing w:after="0" w:line="240" w:lineRule="auto"/>
      <w:jc w:val="both"/>
    </w:pPr>
    <w:rPr>
      <w:rFonts w:ascii="Arial" w:hAnsi="Arial"/>
      <w:sz w:val="20"/>
      <w:szCs w:val="20"/>
      <w:lang w:val="x-none" w:eastAsia="fr-FR"/>
    </w:rPr>
  </w:style>
  <w:style w:type="character" w:customStyle="1" w:styleId="CommentaireCar">
    <w:name w:val="Commentaire Car"/>
    <w:aliases w:val="Comment Text1 Car,Comment Text Char1 Car,Comment Text Char Char Car, Char2 Char Char Char Car,Char2 Char Char Char Car, Car1 Car,Car1 Car"/>
    <w:basedOn w:val="Policepardfaut"/>
    <w:link w:val="Commentaire"/>
    <w:uiPriority w:val="99"/>
    <w:qFormat/>
    <w:rsid w:val="005F3FB7"/>
    <w:rPr>
      <w:rFonts w:ascii="Arial" w:eastAsia="Calibri" w:hAnsi="Arial" w:cs="Times New Roman"/>
      <w:sz w:val="20"/>
      <w:szCs w:val="20"/>
      <w:lang w:val="x-none" w:eastAsia="fr-FR"/>
    </w:rPr>
  </w:style>
  <w:style w:type="paragraph" w:styleId="Retraitcorpsdetexte2">
    <w:name w:val="Body Text Indent 2"/>
    <w:basedOn w:val="Normal"/>
    <w:link w:val="Retraitcorpsdetexte2Car"/>
    <w:uiPriority w:val="99"/>
    <w:unhideWhenUsed/>
    <w:rsid w:val="005F3FB7"/>
    <w:pPr>
      <w:spacing w:after="120" w:line="480" w:lineRule="auto"/>
      <w:ind w:left="283"/>
      <w:jc w:val="both"/>
    </w:pPr>
    <w:rPr>
      <w:sz w:val="20"/>
      <w:szCs w:val="20"/>
      <w:lang w:val="x-none" w:eastAsia="fr-FR"/>
    </w:rPr>
  </w:style>
  <w:style w:type="character" w:customStyle="1" w:styleId="Retraitcorpsdetexte2Car">
    <w:name w:val="Retrait corps de texte 2 Car"/>
    <w:basedOn w:val="Policepardfaut"/>
    <w:link w:val="Retraitcorpsdetexte2"/>
    <w:uiPriority w:val="99"/>
    <w:rsid w:val="005F3FB7"/>
    <w:rPr>
      <w:rFonts w:ascii="Calibri" w:eastAsia="Calibri" w:hAnsi="Calibri" w:cs="Times New Roman"/>
      <w:sz w:val="20"/>
      <w:szCs w:val="20"/>
      <w:lang w:val="x-none" w:eastAsia="fr-FR"/>
    </w:rPr>
  </w:style>
  <w:style w:type="paragraph" w:styleId="Listepuces">
    <w:name w:val="List Bullet"/>
    <w:basedOn w:val="Normal"/>
    <w:link w:val="ListepucesCar"/>
    <w:uiPriority w:val="99"/>
    <w:unhideWhenUsed/>
    <w:qFormat/>
    <w:rsid w:val="005F3FB7"/>
    <w:pPr>
      <w:numPr>
        <w:numId w:val="4"/>
      </w:numPr>
      <w:spacing w:after="0" w:line="240" w:lineRule="auto"/>
      <w:contextualSpacing/>
      <w:jc w:val="both"/>
    </w:pPr>
    <w:rPr>
      <w:rFonts w:ascii="Arial" w:eastAsia="Times New Roman" w:hAnsi="Arial"/>
      <w:sz w:val="24"/>
      <w:szCs w:val="24"/>
      <w:lang w:eastAsia="fr-FR"/>
    </w:rPr>
  </w:style>
  <w:style w:type="paragraph" w:customStyle="1" w:styleId="ql-align-justify">
    <w:name w:val="ql-align-justify"/>
    <w:basedOn w:val="Normal"/>
    <w:uiPriority w:val="99"/>
    <w:rsid w:val="005F3FB7"/>
    <w:pPr>
      <w:spacing w:before="100" w:beforeAutospacing="1" w:after="100" w:afterAutospacing="1" w:line="240" w:lineRule="auto"/>
    </w:pPr>
    <w:rPr>
      <w:rFonts w:ascii="Times New Roman" w:eastAsia="Times New Roman" w:hAnsi="Times New Roman"/>
      <w:sz w:val="24"/>
      <w:szCs w:val="24"/>
      <w:lang w:eastAsia="fr-FR"/>
    </w:rPr>
  </w:style>
  <w:style w:type="paragraph" w:styleId="Textedebulles">
    <w:name w:val="Balloon Text"/>
    <w:basedOn w:val="Normal"/>
    <w:link w:val="TextedebullesCar"/>
    <w:uiPriority w:val="99"/>
    <w:unhideWhenUsed/>
    <w:qFormat/>
    <w:rsid w:val="005F3FB7"/>
    <w:pPr>
      <w:spacing w:after="0" w:line="240" w:lineRule="auto"/>
    </w:pPr>
    <w:rPr>
      <w:rFonts w:ascii="Segoe UI" w:eastAsia="Times New Roman" w:hAnsi="Segoe UI" w:cs="Segoe UI"/>
      <w:sz w:val="18"/>
      <w:szCs w:val="18"/>
      <w:lang w:eastAsia="fr-FR"/>
    </w:rPr>
  </w:style>
  <w:style w:type="character" w:customStyle="1" w:styleId="TextedebullesCar">
    <w:name w:val="Texte de bulles Car"/>
    <w:basedOn w:val="Policepardfaut"/>
    <w:link w:val="Textedebulles"/>
    <w:uiPriority w:val="99"/>
    <w:qFormat/>
    <w:rsid w:val="005F3FB7"/>
    <w:rPr>
      <w:rFonts w:ascii="Segoe UI" w:eastAsia="Times New Roman" w:hAnsi="Segoe UI" w:cs="Segoe UI"/>
      <w:sz w:val="18"/>
      <w:szCs w:val="18"/>
      <w:lang w:val="en-US" w:eastAsia="fr-FR"/>
    </w:rPr>
  </w:style>
  <w:style w:type="paragraph" w:customStyle="1" w:styleId="rtejustify">
    <w:name w:val="rtejustify"/>
    <w:basedOn w:val="Normal"/>
    <w:rsid w:val="005F3FB7"/>
    <w:pPr>
      <w:spacing w:before="100" w:beforeAutospacing="1" w:after="100" w:afterAutospacing="1" w:line="240" w:lineRule="auto"/>
    </w:pPr>
    <w:rPr>
      <w:rFonts w:ascii="Times New Roman" w:eastAsia="Times New Roman" w:hAnsi="Times New Roman"/>
      <w:sz w:val="24"/>
      <w:szCs w:val="24"/>
    </w:rPr>
  </w:style>
  <w:style w:type="paragraph" w:styleId="Titre">
    <w:name w:val="Title"/>
    <w:aliases w:val="Titre11"/>
    <w:basedOn w:val="Normal"/>
    <w:next w:val="Normal"/>
    <w:link w:val="TitreCar"/>
    <w:uiPriority w:val="10"/>
    <w:qFormat/>
    <w:rsid w:val="005F3FB7"/>
    <w:pPr>
      <w:pBdr>
        <w:top w:val="single" w:sz="12" w:space="1" w:color="C0504D"/>
      </w:pBdr>
      <w:spacing w:after="200" w:line="240" w:lineRule="auto"/>
      <w:jc w:val="right"/>
    </w:pPr>
    <w:rPr>
      <w:rFonts w:eastAsia="Times New Roman"/>
      <w:smallCaps/>
      <w:sz w:val="48"/>
      <w:szCs w:val="48"/>
      <w:lang w:bidi="en-US"/>
    </w:rPr>
  </w:style>
  <w:style w:type="character" w:customStyle="1" w:styleId="TitreCar">
    <w:name w:val="Titre Car"/>
    <w:aliases w:val="Titre11 Car"/>
    <w:basedOn w:val="Policepardfaut"/>
    <w:link w:val="Titre"/>
    <w:uiPriority w:val="10"/>
    <w:rsid w:val="005F3FB7"/>
    <w:rPr>
      <w:rFonts w:ascii="Calibri" w:eastAsia="Times New Roman" w:hAnsi="Calibri" w:cs="Times New Roman"/>
      <w:smallCaps/>
      <w:sz w:val="48"/>
      <w:szCs w:val="48"/>
      <w:lang w:val="en-US" w:bidi="en-US"/>
    </w:rPr>
  </w:style>
  <w:style w:type="character" w:styleId="Lienhypertextesuivivisit">
    <w:name w:val="FollowedHyperlink"/>
    <w:uiPriority w:val="99"/>
    <w:unhideWhenUsed/>
    <w:rsid w:val="005F3FB7"/>
    <w:rPr>
      <w:color w:val="954F72"/>
      <w:u w:val="single"/>
    </w:rPr>
  </w:style>
  <w:style w:type="paragraph" w:styleId="Notedebasdepage">
    <w:name w:val="footnote text"/>
    <w:aliases w:val="Footnote Text Char Char Char Char Char Char Char Char Char Char Char Char Char Char Char Char Char Char Char Char Char,FOOTNOTES,fn,single space,footnote text,f,Char,Footnote Text Char2 Char,Footnote Text Char1 Char Char,Ch,Geneva 9"/>
    <w:basedOn w:val="Normal"/>
    <w:link w:val="NotedebasdepageCar"/>
    <w:uiPriority w:val="99"/>
    <w:unhideWhenUsed/>
    <w:qFormat/>
    <w:rsid w:val="005F3FB7"/>
    <w:rPr>
      <w:sz w:val="20"/>
      <w:szCs w:val="20"/>
    </w:rPr>
  </w:style>
  <w:style w:type="character" w:customStyle="1" w:styleId="NotedebasdepageCar">
    <w:name w:val="Note de bas de page Car"/>
    <w:aliases w:val="Footnote Text Char Char Char Char Char Char Char Char Char Char Char Char Char Char Char Char Char Char Char Char Char Car,FOOTNOTES Car,fn Car,single space Car,footnote text Car,f Car,Char Car,Footnote Text Char2 Char Car,Ch Car"/>
    <w:basedOn w:val="Policepardfaut"/>
    <w:link w:val="Notedebasdepage"/>
    <w:uiPriority w:val="99"/>
    <w:qFormat/>
    <w:rsid w:val="005F3FB7"/>
    <w:rPr>
      <w:rFonts w:ascii="Calibri" w:eastAsia="Calibri" w:hAnsi="Calibri" w:cs="Times New Roman"/>
      <w:sz w:val="20"/>
      <w:szCs w:val="20"/>
      <w:lang w:val="en-US"/>
    </w:rPr>
  </w:style>
  <w:style w:type="character" w:styleId="Appelnotedebasdep">
    <w:name w:val="footnote reference"/>
    <w:aliases w:val="16 Point,Superscript 6 Point,ftref,BVI fnr, BVI fnr,fr,Footnote Reference Number,Used by Word for Help footnote symbols,Char Char Char Char Car Char,Footnote Reference1,Ref,de nota al pie,Footnote,Знак сноски 1,heading1,Style 6,R"/>
    <w:link w:val="CarattereCarattereCharCharCharCharCharCharZchn"/>
    <w:uiPriority w:val="99"/>
    <w:unhideWhenUsed/>
    <w:qFormat/>
    <w:rsid w:val="005F3FB7"/>
    <w:rPr>
      <w:vertAlign w:val="superscript"/>
    </w:rPr>
  </w:style>
  <w:style w:type="character" w:styleId="Marquedecommentaire">
    <w:name w:val="annotation reference"/>
    <w:unhideWhenUsed/>
    <w:qFormat/>
    <w:rsid w:val="005F3FB7"/>
    <w:rPr>
      <w:sz w:val="18"/>
      <w:szCs w:val="18"/>
    </w:rPr>
  </w:style>
  <w:style w:type="paragraph" w:styleId="Objetducommentaire">
    <w:name w:val="annotation subject"/>
    <w:basedOn w:val="Commentaire"/>
    <w:next w:val="Commentaire"/>
    <w:link w:val="ObjetducommentaireCar"/>
    <w:uiPriority w:val="99"/>
    <w:unhideWhenUsed/>
    <w:qFormat/>
    <w:rsid w:val="005F3FB7"/>
    <w:pPr>
      <w:spacing w:after="160" w:line="259" w:lineRule="auto"/>
      <w:jc w:val="left"/>
    </w:pPr>
    <w:rPr>
      <w:rFonts w:ascii="Calibri" w:hAnsi="Calibri"/>
      <w:b/>
      <w:bCs/>
      <w:lang w:val="fr-FR" w:eastAsia="en-US"/>
    </w:rPr>
  </w:style>
  <w:style w:type="character" w:customStyle="1" w:styleId="ObjetducommentaireCar">
    <w:name w:val="Objet du commentaire Car"/>
    <w:basedOn w:val="CommentaireCar"/>
    <w:link w:val="Objetducommentaire"/>
    <w:uiPriority w:val="99"/>
    <w:qFormat/>
    <w:rsid w:val="005F3FB7"/>
    <w:rPr>
      <w:rFonts w:ascii="Calibri" w:eastAsia="Calibri" w:hAnsi="Calibri" w:cs="Times New Roman"/>
      <w:b/>
      <w:bCs/>
      <w:sz w:val="20"/>
      <w:szCs w:val="20"/>
      <w:lang w:val="x-none" w:eastAsia="fr-FR"/>
    </w:rPr>
  </w:style>
  <w:style w:type="paragraph" w:customStyle="1" w:styleId="AText">
    <w:name w:val="A_Text"/>
    <w:basedOn w:val="Normal"/>
    <w:link w:val="ATextChar"/>
    <w:uiPriority w:val="99"/>
    <w:qFormat/>
    <w:rsid w:val="005F3FB7"/>
    <w:pPr>
      <w:spacing w:before="120" w:after="0" w:line="240" w:lineRule="auto"/>
      <w:jc w:val="both"/>
    </w:pPr>
    <w:rPr>
      <w:rFonts w:ascii="Arial" w:eastAsia="Times New Roman" w:hAnsi="Arial" w:cs="Arial"/>
      <w:lang w:val="de-DE" w:eastAsia="de-DE"/>
    </w:rPr>
  </w:style>
  <w:style w:type="character" w:customStyle="1" w:styleId="ATextChar">
    <w:name w:val="A_Text Char"/>
    <w:link w:val="AText"/>
    <w:uiPriority w:val="99"/>
    <w:rsid w:val="005F3FB7"/>
    <w:rPr>
      <w:rFonts w:ascii="Arial" w:eastAsia="Times New Roman" w:hAnsi="Arial" w:cs="Arial"/>
      <w:lang w:val="de-DE" w:eastAsia="de-DE"/>
    </w:rPr>
  </w:style>
  <w:style w:type="paragraph" w:customStyle="1" w:styleId="TitreInfosQualit">
    <w:name w:val="Titre Infos Qualité"/>
    <w:next w:val="Normal"/>
    <w:uiPriority w:val="99"/>
    <w:rsid w:val="005F3FB7"/>
    <w:pPr>
      <w:spacing w:before="120" w:after="360" w:line="240" w:lineRule="auto"/>
    </w:pPr>
    <w:rPr>
      <w:rFonts w:ascii="Arial" w:eastAsia="Times New Roman" w:hAnsi="Arial" w:cs="Times New Roman"/>
      <w:color w:val="808080"/>
      <w:sz w:val="32"/>
      <w:szCs w:val="24"/>
      <w:lang w:eastAsia="fr-FR"/>
    </w:rPr>
  </w:style>
  <w:style w:type="table" w:customStyle="1" w:styleId="TableauGrille4-Accentuation11">
    <w:name w:val="Tableau Grille 4 - Accentuation 11"/>
    <w:basedOn w:val="TableauNormal"/>
    <w:uiPriority w:val="49"/>
    <w:rsid w:val="005F3FB7"/>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Appelnotedebasdep"/>
    <w:uiPriority w:val="99"/>
    <w:rsid w:val="005F3FB7"/>
    <w:pPr>
      <w:spacing w:line="240" w:lineRule="exact"/>
      <w:ind w:left="360" w:hanging="360"/>
      <w:jc w:val="both"/>
    </w:pPr>
    <w:rPr>
      <w:rFonts w:asciiTheme="minorHAnsi" w:eastAsiaTheme="minorHAnsi" w:hAnsiTheme="minorHAnsi" w:cstheme="minorBidi"/>
      <w:vertAlign w:val="superscript"/>
    </w:rPr>
  </w:style>
  <w:style w:type="table" w:customStyle="1" w:styleId="SGSTableBasic11">
    <w:name w:val="SGS Table Basic 11"/>
    <w:basedOn w:val="TableauNormal"/>
    <w:next w:val="Grilledutableau"/>
    <w:uiPriority w:val="39"/>
    <w:qFormat/>
    <w:rsid w:val="005F3FB7"/>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Liste31">
    <w:name w:val="Tableau Liste 31"/>
    <w:basedOn w:val="TableauNormal"/>
    <w:next w:val="TableauListe32"/>
    <w:uiPriority w:val="48"/>
    <w:rsid w:val="005F3FB7"/>
    <w:pPr>
      <w:spacing w:after="0" w:line="300" w:lineRule="exact"/>
      <w:jc w:val="both"/>
    </w:pPr>
    <w:rPr>
      <w:rFonts w:ascii="Times New Roman" w:eastAsia="Times New Roman" w:hAnsi="Times New Roman" w:cs="Times New Roman"/>
      <w:sz w:val="20"/>
      <w:szCs w:val="20"/>
      <w:lang w:val="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Liste32">
    <w:name w:val="Tableau Liste 32"/>
    <w:basedOn w:val="TableauNormal"/>
    <w:uiPriority w:val="48"/>
    <w:rsid w:val="005F3FB7"/>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customStyle="1" w:styleId="cg">
    <w:name w:val="cg"/>
    <w:basedOn w:val="Normal"/>
    <w:uiPriority w:val="99"/>
    <w:rsid w:val="005F3FB7"/>
    <w:pPr>
      <w:keepLines/>
      <w:spacing w:before="40" w:after="40" w:line="240" w:lineRule="auto"/>
    </w:pPr>
    <w:rPr>
      <w:rFonts w:ascii="Arial" w:eastAsia="Times New Roman" w:hAnsi="Arial" w:cs="Arial"/>
      <w:sz w:val="18"/>
      <w:szCs w:val="18"/>
      <w:lang w:eastAsia="fr-FR"/>
    </w:rPr>
  </w:style>
  <w:style w:type="table" w:customStyle="1" w:styleId="SGSTableBasic12">
    <w:name w:val="SGS Table Basic 12"/>
    <w:basedOn w:val="TableauNormal"/>
    <w:next w:val="Grilledutableau"/>
    <w:uiPriority w:val="39"/>
    <w:qFormat/>
    <w:rsid w:val="005F3FB7"/>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GSTableBasic13">
    <w:name w:val="SGS Table Basic 13"/>
    <w:basedOn w:val="TableauNormal"/>
    <w:next w:val="Grilledutableau"/>
    <w:uiPriority w:val="39"/>
    <w:qFormat/>
    <w:rsid w:val="005F3FB7"/>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IllustrationINSUCO">
    <w:name w:val="SourceIllustration_INSUCO"/>
    <w:basedOn w:val="Lgende"/>
    <w:autoRedefine/>
    <w:qFormat/>
    <w:rsid w:val="005F3FB7"/>
    <w:pPr>
      <w:spacing w:before="20" w:after="120" w:line="240" w:lineRule="auto"/>
      <w:contextualSpacing/>
      <w:jc w:val="center"/>
    </w:pPr>
    <w:rPr>
      <w:rFonts w:ascii="Helvetica Narrow" w:eastAsia="Calibri" w:hAnsi="Helvetica Narrow"/>
      <w:bCs/>
      <w:iCs w:val="0"/>
      <w:color w:val="0099A8"/>
      <w:lang w:eastAsia="en-US"/>
    </w:rPr>
  </w:style>
  <w:style w:type="table" w:customStyle="1" w:styleId="Rfrenceintense1">
    <w:name w:val="Référence intense1"/>
    <w:aliases w:val="insuco3"/>
    <w:basedOn w:val="Grilledutableau"/>
    <w:uiPriority w:val="60"/>
    <w:qFormat/>
    <w:rsid w:val="005F3FB7"/>
    <w:rPr>
      <w:rFonts w:ascii="Arial" w:hAnsi="Arial"/>
      <w:sz w:val="16"/>
      <w:szCs w:val="22"/>
    </w:rPr>
    <w:tblPr>
      <w:tblStyleRowBandSize w:val="1"/>
      <w:tblStyleColBandSize w:val="1"/>
      <w:tblBorders>
        <w:top w:val="single" w:sz="18" w:space="0" w:color="14726E"/>
        <w:left w:val="none" w:sz="0" w:space="0" w:color="auto"/>
        <w:bottom w:val="single" w:sz="18" w:space="0" w:color="14726E"/>
        <w:right w:val="none" w:sz="0" w:space="0" w:color="auto"/>
        <w:insideH w:val="none" w:sz="0" w:space="0" w:color="auto"/>
        <w:insideV w:val="none" w:sz="0" w:space="0" w:color="auto"/>
      </w:tblBorders>
    </w:tblPr>
    <w:tcPr>
      <w:vAlign w:val="center"/>
    </w:tcPr>
    <w:tblStylePr w:type="firstRow">
      <w:pPr>
        <w:wordWrap/>
        <w:spacing w:before="0" w:beforeAutospacing="0" w:afterLines="0" w:afterAutospacing="0" w:line="240" w:lineRule="auto"/>
      </w:pPr>
      <w:rPr>
        <w:b/>
        <w:bCs/>
      </w:rPr>
      <w:tblPr/>
      <w:tcPr>
        <w:tcBorders>
          <w:top w:val="single" w:sz="12" w:space="0" w:color="14726E"/>
          <w:left w:val="nil"/>
          <w:bottom w:val="single" w:sz="12" w:space="0" w:color="14726E"/>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styleId="Numrodepage">
    <w:name w:val="page number"/>
    <w:uiPriority w:val="99"/>
    <w:unhideWhenUsed/>
    <w:rsid w:val="005F3FB7"/>
  </w:style>
  <w:style w:type="paragraph" w:customStyle="1" w:styleId="NoteBasPage">
    <w:name w:val="NoteBasPage"/>
    <w:basedOn w:val="Notedebasdepage"/>
    <w:autoRedefine/>
    <w:qFormat/>
    <w:rsid w:val="005F3FB7"/>
    <w:pPr>
      <w:spacing w:before="60" w:after="60" w:line="240" w:lineRule="auto"/>
      <w:jc w:val="both"/>
    </w:pPr>
    <w:rPr>
      <w:rFonts w:ascii="Arial Narrow" w:hAnsi="Arial Narrow"/>
      <w:szCs w:val="18"/>
      <w:lang w:val="fr-BE"/>
    </w:rPr>
  </w:style>
  <w:style w:type="table" w:customStyle="1" w:styleId="mtbs1">
    <w:name w:val="mtbs1"/>
    <w:basedOn w:val="TableauNormal"/>
    <w:next w:val="Grilledutableau"/>
    <w:uiPriority w:val="39"/>
    <w:qFormat/>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ceNiveau1">
    <w:name w:val="PuceNiveau1"/>
    <w:basedOn w:val="Normal"/>
    <w:uiPriority w:val="99"/>
    <w:qFormat/>
    <w:rsid w:val="005F3FB7"/>
    <w:pPr>
      <w:numPr>
        <w:numId w:val="9"/>
      </w:numPr>
      <w:spacing w:before="60" w:after="60" w:line="240" w:lineRule="auto"/>
      <w:jc w:val="both"/>
    </w:pPr>
    <w:rPr>
      <w:rFonts w:ascii="Arial" w:hAnsi="Arial"/>
      <w:sz w:val="20"/>
      <w:szCs w:val="24"/>
      <w:lang w:eastAsia="fr-FR"/>
    </w:rPr>
  </w:style>
  <w:style w:type="paragraph" w:styleId="TM2">
    <w:name w:val="toc 2"/>
    <w:basedOn w:val="Normal"/>
    <w:next w:val="Normal"/>
    <w:autoRedefine/>
    <w:uiPriority w:val="39"/>
    <w:unhideWhenUsed/>
    <w:qFormat/>
    <w:rsid w:val="005F3FB7"/>
    <w:pPr>
      <w:spacing w:after="0"/>
      <w:ind w:left="220"/>
    </w:pPr>
    <w:rPr>
      <w:rFonts w:asciiTheme="minorHAnsi" w:hAnsiTheme="minorHAnsi" w:cstheme="minorHAnsi"/>
      <w:smallCaps/>
      <w:sz w:val="20"/>
      <w:szCs w:val="20"/>
    </w:rPr>
  </w:style>
  <w:style w:type="table" w:customStyle="1" w:styleId="Grilledutableau1">
    <w:name w:val="Grille du tableau1"/>
    <w:basedOn w:val="TableauNormal"/>
    <w:next w:val="Grilledutableau"/>
    <w:uiPriority w:val="59"/>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4-Accentuation21">
    <w:name w:val="Tableau Grille 4 - Accentuation 21"/>
    <w:basedOn w:val="TableauNormal"/>
    <w:uiPriority w:val="40"/>
    <w:rsid w:val="005F3FB7"/>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auGrille5Fonc-Accentuation21">
    <w:name w:val="Tableau Grille 5 Foncé - Accentuation 21"/>
    <w:basedOn w:val="TableauNormal"/>
    <w:next w:val="TableauGrille5Fonc-Accentuation22"/>
    <w:uiPriority w:val="50"/>
    <w:rsid w:val="005F3FB7"/>
    <w:pPr>
      <w:spacing w:after="0" w:line="240" w:lineRule="auto"/>
    </w:pPr>
    <w:rPr>
      <w:rFonts w:ascii="Calibri" w:eastAsia="Calibri" w:hAnsi="Calibri" w:cs="Times New Roman"/>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TableauGrille5Fonc-Accentuation22">
    <w:name w:val="Tableau Grille 5 Foncé - Accentuation 22"/>
    <w:basedOn w:val="TableauNormal"/>
    <w:uiPriority w:val="50"/>
    <w:rsid w:val="005F3FB7"/>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TableauGrille5Fonc-Accentuation41">
    <w:name w:val="Tableau Grille 5 Foncé - Accentuation 41"/>
    <w:basedOn w:val="TableauNormal"/>
    <w:uiPriority w:val="50"/>
    <w:rsid w:val="005F3FB7"/>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paragraph" w:customStyle="1" w:styleId="16PointChar">
    <w:name w:val="16 Point Char"/>
    <w:aliases w:val="Superscript 6 Point Char,ftref Char,BVI fnr Char,Footnote Reference Number Char,Normal + Font:9 Point Char,Superscript 3 Point Times Char"/>
    <w:basedOn w:val="Normal"/>
    <w:next w:val="Normal"/>
    <w:uiPriority w:val="99"/>
    <w:rsid w:val="005F3FB7"/>
    <w:pPr>
      <w:spacing w:line="240" w:lineRule="exact"/>
    </w:pPr>
    <w:rPr>
      <w:vertAlign w:val="superscript"/>
    </w:rPr>
  </w:style>
  <w:style w:type="table" w:customStyle="1" w:styleId="Grilledutableau2">
    <w:name w:val="Grille du tableau2"/>
    <w:basedOn w:val="TableauNormal"/>
    <w:next w:val="Grilledutableau"/>
    <w:uiPriority w:val="59"/>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qFormat/>
    <w:rsid w:val="008907BE"/>
    <w:pPr>
      <w:tabs>
        <w:tab w:val="left" w:pos="440"/>
        <w:tab w:val="right" w:leader="dot" w:pos="9054"/>
      </w:tabs>
      <w:spacing w:before="120" w:after="120"/>
      <w:jc w:val="both"/>
    </w:pPr>
    <w:rPr>
      <w:rFonts w:ascii="Times New Roman" w:hAnsi="Times New Roman"/>
      <w:b/>
      <w:bCs/>
      <w:caps/>
      <w:noProof/>
      <w:sz w:val="20"/>
      <w:szCs w:val="20"/>
    </w:rPr>
  </w:style>
  <w:style w:type="paragraph" w:styleId="TM3">
    <w:name w:val="toc 3"/>
    <w:basedOn w:val="Normal"/>
    <w:next w:val="Normal"/>
    <w:autoRedefine/>
    <w:uiPriority w:val="39"/>
    <w:unhideWhenUsed/>
    <w:qFormat/>
    <w:rsid w:val="005F3FB7"/>
    <w:pPr>
      <w:spacing w:after="0"/>
      <w:ind w:left="440"/>
    </w:pPr>
    <w:rPr>
      <w:rFonts w:asciiTheme="minorHAnsi" w:hAnsiTheme="minorHAnsi" w:cstheme="minorHAnsi"/>
      <w:i/>
      <w:iCs/>
      <w:sz w:val="20"/>
      <w:szCs w:val="20"/>
    </w:rPr>
  </w:style>
  <w:style w:type="paragraph" w:styleId="TM4">
    <w:name w:val="toc 4"/>
    <w:basedOn w:val="Normal"/>
    <w:next w:val="Normal"/>
    <w:autoRedefine/>
    <w:uiPriority w:val="39"/>
    <w:unhideWhenUsed/>
    <w:qFormat/>
    <w:rsid w:val="005F3FB7"/>
    <w:pPr>
      <w:spacing w:after="0"/>
      <w:ind w:left="660"/>
    </w:pPr>
    <w:rPr>
      <w:rFonts w:asciiTheme="minorHAnsi" w:hAnsiTheme="minorHAnsi" w:cstheme="minorHAnsi"/>
      <w:sz w:val="18"/>
      <w:szCs w:val="18"/>
    </w:rPr>
  </w:style>
  <w:style w:type="paragraph" w:customStyle="1" w:styleId="TableauGrille31">
    <w:name w:val="Tableau Grille 31"/>
    <w:basedOn w:val="Titre1"/>
    <w:next w:val="Normal"/>
    <w:uiPriority w:val="39"/>
    <w:unhideWhenUsed/>
    <w:qFormat/>
    <w:rsid w:val="005F3FB7"/>
    <w:pPr>
      <w:numPr>
        <w:numId w:val="0"/>
      </w:numPr>
      <w:spacing w:line="259" w:lineRule="auto"/>
      <w:ind w:right="0"/>
      <w:jc w:val="left"/>
      <w:outlineLvl w:val="9"/>
    </w:pPr>
    <w:rPr>
      <w:rFonts w:ascii="Calibri Light" w:hAnsi="Calibri Light"/>
      <w:b w:val="0"/>
      <w:bCs w:val="0"/>
      <w:caps w:val="0"/>
      <w:kern w:val="0"/>
      <w:sz w:val="32"/>
    </w:rPr>
  </w:style>
  <w:style w:type="paragraph" w:styleId="TM5">
    <w:name w:val="toc 5"/>
    <w:basedOn w:val="Normal"/>
    <w:next w:val="Normal"/>
    <w:autoRedefine/>
    <w:uiPriority w:val="39"/>
    <w:unhideWhenUsed/>
    <w:qFormat/>
    <w:rsid w:val="005F3FB7"/>
    <w:pPr>
      <w:spacing w:after="0"/>
      <w:ind w:left="880"/>
    </w:pPr>
    <w:rPr>
      <w:rFonts w:asciiTheme="minorHAnsi" w:hAnsiTheme="minorHAnsi" w:cstheme="minorHAnsi"/>
      <w:sz w:val="18"/>
      <w:szCs w:val="18"/>
    </w:rPr>
  </w:style>
  <w:style w:type="paragraph" w:styleId="TM6">
    <w:name w:val="toc 6"/>
    <w:basedOn w:val="Normal"/>
    <w:next w:val="Normal"/>
    <w:autoRedefine/>
    <w:uiPriority w:val="39"/>
    <w:unhideWhenUsed/>
    <w:qFormat/>
    <w:rsid w:val="005F3FB7"/>
    <w:pPr>
      <w:spacing w:after="0"/>
      <w:ind w:left="1100"/>
    </w:pPr>
    <w:rPr>
      <w:rFonts w:asciiTheme="minorHAnsi" w:hAnsiTheme="minorHAnsi" w:cstheme="minorHAnsi"/>
      <w:sz w:val="18"/>
      <w:szCs w:val="18"/>
    </w:rPr>
  </w:style>
  <w:style w:type="paragraph" w:styleId="TM7">
    <w:name w:val="toc 7"/>
    <w:basedOn w:val="Normal"/>
    <w:next w:val="Normal"/>
    <w:autoRedefine/>
    <w:uiPriority w:val="39"/>
    <w:unhideWhenUsed/>
    <w:qFormat/>
    <w:rsid w:val="005F3FB7"/>
    <w:pPr>
      <w:spacing w:after="0"/>
      <w:ind w:left="1320"/>
    </w:pPr>
    <w:rPr>
      <w:rFonts w:asciiTheme="minorHAnsi" w:hAnsiTheme="minorHAnsi" w:cstheme="minorHAnsi"/>
      <w:sz w:val="18"/>
      <w:szCs w:val="18"/>
    </w:rPr>
  </w:style>
  <w:style w:type="paragraph" w:styleId="TM8">
    <w:name w:val="toc 8"/>
    <w:basedOn w:val="Normal"/>
    <w:next w:val="Normal"/>
    <w:autoRedefine/>
    <w:uiPriority w:val="39"/>
    <w:unhideWhenUsed/>
    <w:qFormat/>
    <w:rsid w:val="005F3FB7"/>
    <w:pPr>
      <w:spacing w:after="0"/>
      <w:ind w:left="1540"/>
    </w:pPr>
    <w:rPr>
      <w:rFonts w:asciiTheme="minorHAnsi" w:hAnsiTheme="minorHAnsi" w:cstheme="minorHAnsi"/>
      <w:sz w:val="18"/>
      <w:szCs w:val="18"/>
    </w:rPr>
  </w:style>
  <w:style w:type="paragraph" w:styleId="TM9">
    <w:name w:val="toc 9"/>
    <w:basedOn w:val="Normal"/>
    <w:next w:val="Normal"/>
    <w:autoRedefine/>
    <w:uiPriority w:val="39"/>
    <w:unhideWhenUsed/>
    <w:qFormat/>
    <w:rsid w:val="005F3FB7"/>
    <w:pPr>
      <w:spacing w:after="0"/>
      <w:ind w:left="1760"/>
    </w:pPr>
    <w:rPr>
      <w:rFonts w:asciiTheme="minorHAnsi" w:hAnsiTheme="minorHAnsi" w:cstheme="minorHAnsi"/>
      <w:sz w:val="18"/>
      <w:szCs w:val="18"/>
    </w:rPr>
  </w:style>
  <w:style w:type="table" w:customStyle="1" w:styleId="mtbs2">
    <w:name w:val="mtbs2"/>
    <w:basedOn w:val="TableauNormal"/>
    <w:next w:val="Grilledutableau"/>
    <w:uiPriority w:val="39"/>
    <w:qFormat/>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
    <w:name w:val="Block"/>
    <w:basedOn w:val="Normal"/>
    <w:uiPriority w:val="99"/>
    <w:rsid w:val="005F3FB7"/>
    <w:pPr>
      <w:widowControl w:val="0"/>
      <w:numPr>
        <w:numId w:val="11"/>
      </w:numPr>
      <w:tabs>
        <w:tab w:val="clear" w:pos="360"/>
      </w:tabs>
      <w:spacing w:after="0" w:line="240" w:lineRule="auto"/>
      <w:ind w:left="0" w:firstLine="0"/>
    </w:pPr>
    <w:rPr>
      <w:rFonts w:ascii="Times New Roman" w:eastAsia="Times New Roman" w:hAnsi="Times New Roman"/>
      <w:b/>
      <w:bCs/>
    </w:rPr>
  </w:style>
  <w:style w:type="table" w:customStyle="1" w:styleId="Grilledutableau3">
    <w:name w:val="Grille du tableau3"/>
    <w:basedOn w:val="TableauNormal"/>
    <w:next w:val="Grilledutableau"/>
    <w:uiPriority w:val="59"/>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AU10">
    <w:name w:val="NIVEAU 1"/>
    <w:next w:val="Normal"/>
    <w:autoRedefine/>
    <w:uiPriority w:val="99"/>
    <w:qFormat/>
    <w:rsid w:val="005F3FB7"/>
    <w:pPr>
      <w:spacing w:before="120" w:after="163" w:line="240" w:lineRule="auto"/>
    </w:pPr>
    <w:rPr>
      <w:rFonts w:ascii="Times New Roman" w:eastAsia="Calibri" w:hAnsi="Times New Roman" w:cs="Calibri"/>
      <w:b/>
      <w:color w:val="000000"/>
      <w:sz w:val="28"/>
      <w:lang w:eastAsia="fr-FR"/>
    </w:rPr>
  </w:style>
  <w:style w:type="table" w:customStyle="1" w:styleId="Grilledutableau4">
    <w:name w:val="Grille du tableau4"/>
    <w:basedOn w:val="TableauNormal"/>
    <w:next w:val="Grilledutableau"/>
    <w:uiPriority w:val="59"/>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auNormal"/>
    <w:next w:val="Grilledutableau"/>
    <w:uiPriority w:val="59"/>
    <w:rsid w:val="005F3FB7"/>
    <w:pPr>
      <w:spacing w:after="0" w:line="240" w:lineRule="auto"/>
    </w:pPr>
    <w:rPr>
      <w:rFonts w:ascii="Calibri" w:eastAsia="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tbs3">
    <w:name w:val="mtbs3"/>
    <w:basedOn w:val="TableauNormal"/>
    <w:next w:val="Grilledutableau"/>
    <w:uiPriority w:val="39"/>
    <w:qFormat/>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formatHTML">
    <w:name w:val="HTML Preformatted"/>
    <w:basedOn w:val="Normal"/>
    <w:link w:val="PrformatHTMLCar"/>
    <w:uiPriority w:val="99"/>
    <w:unhideWhenUsed/>
    <w:rsid w:val="005F3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rsid w:val="005F3FB7"/>
    <w:rPr>
      <w:rFonts w:ascii="Courier New" w:eastAsia="Times New Roman" w:hAnsi="Courier New" w:cs="Courier New"/>
      <w:sz w:val="20"/>
      <w:szCs w:val="20"/>
      <w:lang w:val="en-US"/>
    </w:rPr>
  </w:style>
  <w:style w:type="character" w:customStyle="1" w:styleId="fontstyle01">
    <w:name w:val="fontstyle01"/>
    <w:rsid w:val="005F3FB7"/>
    <w:rPr>
      <w:rFonts w:ascii="Tahoma" w:hAnsi="Tahoma" w:cs="Tahoma" w:hint="default"/>
      <w:b w:val="0"/>
      <w:bCs w:val="0"/>
      <w:i w:val="0"/>
      <w:iCs w:val="0"/>
      <w:color w:val="000000"/>
      <w:sz w:val="24"/>
      <w:szCs w:val="24"/>
    </w:rPr>
  </w:style>
  <w:style w:type="table" w:customStyle="1" w:styleId="Grille1">
    <w:name w:val="Grille1"/>
    <w:basedOn w:val="TableauNormal"/>
    <w:next w:val="Grilledutableau"/>
    <w:uiPriority w:val="39"/>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tbs4">
    <w:name w:val="mtbs4"/>
    <w:basedOn w:val="TableauNormal"/>
    <w:next w:val="Grilledutableau"/>
    <w:uiPriority w:val="39"/>
    <w:qFormat/>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desillustrations">
    <w:name w:val="table of figures"/>
    <w:aliases w:val="Tableaux,tableau-et-figure"/>
    <w:basedOn w:val="Normal"/>
    <w:next w:val="Normal"/>
    <w:uiPriority w:val="99"/>
    <w:unhideWhenUsed/>
    <w:qFormat/>
    <w:rsid w:val="005F3FB7"/>
  </w:style>
  <w:style w:type="paragraph" w:styleId="Lgende">
    <w:name w:val="caption"/>
    <w:aliases w:val="Beschriftung Tab,Beschriftung oben,Map,StyleLégende,annexes,Légende Car,Légende Car1,Légende Car1 Car,Légende1,Légende Car2 Car,Légende Car3,Légende Car Car Car,Légende Car1 Car Car Car,Légende1 Car Car,Légende Car1 Car1 Car,Légende Car Car1,Ca"/>
    <w:basedOn w:val="Normal"/>
    <w:next w:val="Normal"/>
    <w:link w:val="LgendeCar2"/>
    <w:uiPriority w:val="35"/>
    <w:qFormat/>
    <w:rsid w:val="005F3FB7"/>
    <w:rPr>
      <w:rFonts w:ascii="Times New Roman" w:eastAsia="Times New Roman" w:hAnsi="Times New Roman"/>
      <w:i/>
      <w:iCs/>
      <w:color w:val="44546A"/>
      <w:sz w:val="18"/>
      <w:szCs w:val="18"/>
      <w:lang w:eastAsia="fr-FR"/>
    </w:rPr>
  </w:style>
  <w:style w:type="paragraph" w:styleId="Retraitcorpsdetexte">
    <w:name w:val="Body Text Indent"/>
    <w:basedOn w:val="Normal"/>
    <w:link w:val="RetraitcorpsdetexteCar"/>
    <w:uiPriority w:val="99"/>
    <w:unhideWhenUsed/>
    <w:rsid w:val="005F3FB7"/>
    <w:pPr>
      <w:tabs>
        <w:tab w:val="num" w:pos="0"/>
      </w:tabs>
      <w:spacing w:after="0" w:line="0" w:lineRule="atLeast"/>
      <w:ind w:left="3"/>
      <w:jc w:val="both"/>
    </w:pPr>
    <w:rPr>
      <w:rFonts w:ascii="Times New Roman" w:eastAsia="Times New Roman" w:hAnsi="Times New Roman" w:cs="Arial"/>
      <w:sz w:val="24"/>
      <w:szCs w:val="20"/>
      <w:lang w:eastAsia="fr-FR"/>
    </w:rPr>
  </w:style>
  <w:style w:type="character" w:customStyle="1" w:styleId="RetraitcorpsdetexteCar">
    <w:name w:val="Retrait corps de texte Car"/>
    <w:basedOn w:val="Policepardfaut"/>
    <w:link w:val="Retraitcorpsdetexte"/>
    <w:uiPriority w:val="99"/>
    <w:rsid w:val="005F3FB7"/>
    <w:rPr>
      <w:rFonts w:ascii="Times New Roman" w:eastAsia="Times New Roman" w:hAnsi="Times New Roman" w:cs="Arial"/>
      <w:sz w:val="24"/>
      <w:szCs w:val="20"/>
      <w:lang w:val="en-US" w:eastAsia="fr-FR"/>
    </w:rPr>
  </w:style>
  <w:style w:type="table" w:customStyle="1" w:styleId="TableauGrille1Clair-Accentuation61">
    <w:name w:val="Tableau Grille 1 Clair - Accentuation 61"/>
    <w:basedOn w:val="TableauNormal"/>
    <w:uiPriority w:val="46"/>
    <w:rsid w:val="005F3FB7"/>
    <w:pPr>
      <w:spacing w:after="0" w:line="240" w:lineRule="auto"/>
    </w:pPr>
    <w:rPr>
      <w:rFonts w:ascii="Calibri" w:eastAsia="Calibri" w:hAnsi="Calibri" w:cs="Times New Roman"/>
      <w:lang w:val="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TableauGrille1Clair-Accentuation611">
    <w:name w:val="Tableau Grille 1 Clair - Accentuation 611"/>
    <w:basedOn w:val="TableauNormal"/>
    <w:uiPriority w:val="46"/>
    <w:rsid w:val="005F3FB7"/>
    <w:pPr>
      <w:spacing w:after="0" w:line="240" w:lineRule="auto"/>
    </w:pPr>
    <w:rPr>
      <w:rFonts w:ascii="Calibri" w:eastAsia="Calibri" w:hAnsi="Calibri" w:cs="Times New Roman"/>
      <w:lang w:val="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TableauGrille1Clair-Accentuation62">
    <w:name w:val="Tableau Grille 1 Clair - Accentuation 62"/>
    <w:basedOn w:val="TableauNormal"/>
    <w:uiPriority w:val="46"/>
    <w:rsid w:val="005F3FB7"/>
    <w:pPr>
      <w:spacing w:after="0" w:line="240" w:lineRule="auto"/>
    </w:pPr>
    <w:rPr>
      <w:rFonts w:ascii="Calibri" w:eastAsia="Calibri" w:hAnsi="Calibri" w:cs="Times New Roman"/>
      <w:lang w:val="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SGSTableBasic14">
    <w:name w:val="SGS Table Basic 14"/>
    <w:basedOn w:val="TableauNormal"/>
    <w:next w:val="Grilledutableau"/>
    <w:uiPriority w:val="59"/>
    <w:qFormat/>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
    <w:name w:val="citation"/>
    <w:rsid w:val="005F3FB7"/>
  </w:style>
  <w:style w:type="paragraph" w:customStyle="1" w:styleId="ftrefCharCarCharCarCharCarCharCarCharCar">
    <w:name w:val="ftref Char Car Char Car Char Car Char Car Char Car"/>
    <w:aliases w:val="ftref Char Car Char Car Char Car Char Car Char Car Char Car Car,ftref Char Car Char Car Char Car Char Car Char Car Char Car Car Char Car Car Char Car Car"/>
    <w:basedOn w:val="Normal"/>
    <w:next w:val="Normal"/>
    <w:uiPriority w:val="99"/>
    <w:qFormat/>
    <w:rsid w:val="005F3FB7"/>
    <w:pPr>
      <w:spacing w:after="0" w:line="240" w:lineRule="exact"/>
      <w:jc w:val="both"/>
    </w:pPr>
    <w:rPr>
      <w:vertAlign w:val="superscript"/>
    </w:rPr>
  </w:style>
  <w:style w:type="paragraph" w:styleId="Listepuces2">
    <w:name w:val="List Bullet 2"/>
    <w:basedOn w:val="Normal"/>
    <w:link w:val="Listepuces2Car"/>
    <w:uiPriority w:val="99"/>
    <w:rsid w:val="005F3FB7"/>
    <w:pPr>
      <w:numPr>
        <w:numId w:val="15"/>
      </w:numPr>
      <w:spacing w:after="0" w:line="240" w:lineRule="auto"/>
      <w:contextualSpacing/>
    </w:pPr>
    <w:rPr>
      <w:rFonts w:ascii="Times New Roman" w:eastAsia="Times New Roman" w:hAnsi="Times New Roman"/>
      <w:sz w:val="24"/>
      <w:szCs w:val="24"/>
      <w:lang w:eastAsia="fr-FR"/>
    </w:rPr>
  </w:style>
  <w:style w:type="table" w:customStyle="1" w:styleId="TableGrid1">
    <w:name w:val="TableGrid1"/>
    <w:rsid w:val="005F3FB7"/>
    <w:pPr>
      <w:spacing w:after="0" w:line="240" w:lineRule="auto"/>
    </w:pPr>
    <w:rPr>
      <w:rFonts w:ascii="Calibri" w:eastAsia="Times New Roman" w:hAnsi="Calibri" w:cs="Times New Roman"/>
      <w:lang w:eastAsia="fr-FR"/>
    </w:rPr>
    <w:tblPr>
      <w:tblCellMar>
        <w:top w:w="0" w:type="dxa"/>
        <w:left w:w="0" w:type="dxa"/>
        <w:bottom w:w="0" w:type="dxa"/>
        <w:right w:w="0" w:type="dxa"/>
      </w:tblCellMar>
    </w:tblPr>
  </w:style>
  <w:style w:type="paragraph" w:customStyle="1" w:styleId="Listecouleur-Accent11">
    <w:name w:val="Liste couleur - Accent 11"/>
    <w:basedOn w:val="Normal"/>
    <w:link w:val="Listecouleur-Accent1Car"/>
    <w:uiPriority w:val="34"/>
    <w:qFormat/>
    <w:rsid w:val="005F3FB7"/>
    <w:pPr>
      <w:spacing w:after="0" w:line="240" w:lineRule="auto"/>
      <w:ind w:left="720"/>
      <w:contextualSpacing/>
      <w:jc w:val="both"/>
    </w:pPr>
    <w:rPr>
      <w:rFonts w:ascii="Arial" w:eastAsia="Times New Roman" w:hAnsi="Arial"/>
      <w:sz w:val="24"/>
      <w:szCs w:val="24"/>
      <w:lang w:val="x-none" w:eastAsia="x-none"/>
    </w:rPr>
  </w:style>
  <w:style w:type="character" w:customStyle="1" w:styleId="Listecouleur-Accent1Car">
    <w:name w:val="Liste couleur - Accent 1 Car"/>
    <w:link w:val="Listecouleur-Accent11"/>
    <w:uiPriority w:val="34"/>
    <w:locked/>
    <w:rsid w:val="005F3FB7"/>
    <w:rPr>
      <w:rFonts w:ascii="Arial" w:eastAsia="Times New Roman" w:hAnsi="Arial" w:cs="Times New Roman"/>
      <w:sz w:val="24"/>
      <w:szCs w:val="24"/>
      <w:lang w:val="x-none" w:eastAsia="x-none"/>
    </w:rPr>
  </w:style>
  <w:style w:type="character" w:customStyle="1" w:styleId="CarCarCarCar">
    <w:name w:val="Car Car Car Car"/>
    <w:aliases w:val="AGT ESIA Car, Car Car,Fig Car,Table Caption Car,Table Car,Figure Car,headings Car,CPR Caption Car,CPR Caption Char Car,Table1 Car,Figure1 Car,headings1 Char Car,headings1 Car,Table Char Car,Figure Char Car,headings Char Car,HB Car,Car Ca"/>
    <w:qFormat/>
    <w:rsid w:val="005F3FB7"/>
    <w:rPr>
      <w:rFonts w:ascii="Times New Roman" w:eastAsia="Times New Roman" w:hAnsi="Times New Roman"/>
      <w:b/>
      <w:lang w:val="x-none"/>
    </w:rPr>
  </w:style>
  <w:style w:type="paragraph" w:customStyle="1" w:styleId="p1">
    <w:name w:val="p1"/>
    <w:basedOn w:val="Normal"/>
    <w:rsid w:val="005F3FB7"/>
    <w:pPr>
      <w:widowControl w:val="0"/>
      <w:tabs>
        <w:tab w:val="left" w:pos="720"/>
      </w:tabs>
      <w:spacing w:after="0" w:line="240" w:lineRule="atLeast"/>
      <w:jc w:val="both"/>
    </w:pPr>
    <w:rPr>
      <w:rFonts w:ascii="Times New Roman" w:eastAsia="Times New Roman" w:hAnsi="Times New Roman"/>
      <w:snapToGrid w:val="0"/>
      <w:sz w:val="24"/>
      <w:szCs w:val="20"/>
      <w:lang w:eastAsia="fr-FR"/>
    </w:rPr>
  </w:style>
  <w:style w:type="paragraph" w:customStyle="1" w:styleId="Grillemoyenne1-Accent21">
    <w:name w:val="Grille moyenne 1 - Accent 21"/>
    <w:basedOn w:val="Normal"/>
    <w:link w:val="Grillemoyenne1-Accent2Car"/>
    <w:uiPriority w:val="99"/>
    <w:qFormat/>
    <w:rsid w:val="005F3FB7"/>
    <w:pPr>
      <w:spacing w:after="0" w:line="240" w:lineRule="auto"/>
      <w:ind w:left="720"/>
      <w:contextualSpacing/>
      <w:jc w:val="both"/>
    </w:pPr>
    <w:rPr>
      <w:rFonts w:ascii="Arial" w:eastAsia="Times New Roman" w:hAnsi="Arial"/>
      <w:sz w:val="24"/>
      <w:szCs w:val="24"/>
      <w:lang w:val="x-none" w:eastAsia="x-none"/>
    </w:rPr>
  </w:style>
  <w:style w:type="character" w:customStyle="1" w:styleId="Grillemoyenne1-Accent2Car">
    <w:name w:val="Grille moyenne 1 - Accent 2 Car"/>
    <w:aliases w:val="Puces Car,List Paragraph nowy Car,List Paragraph1 Car,lp1 Car,Puce Car1,Citation List Car1,본문(내용) Car1,List Paragraph (numbered (a)) Car1,figure Car1,Bullets Car1,Medium Grid 1 - Accent 21 Car,References Car1,Puces Car1"/>
    <w:link w:val="Grillemoyenne1-Accent21"/>
    <w:uiPriority w:val="99"/>
    <w:qFormat/>
    <w:rsid w:val="005F3FB7"/>
    <w:rPr>
      <w:rFonts w:ascii="Arial" w:eastAsia="Times New Roman" w:hAnsi="Arial" w:cs="Times New Roman"/>
      <w:sz w:val="24"/>
      <w:szCs w:val="24"/>
      <w:lang w:val="x-none" w:eastAsia="x-none"/>
    </w:rPr>
  </w:style>
  <w:style w:type="paragraph" w:customStyle="1" w:styleId="Puceetretraitniveau01">
    <w:name w:val="Puce et retrait niveau 01"/>
    <w:basedOn w:val="Normal"/>
    <w:rsid w:val="005F3FB7"/>
    <w:pPr>
      <w:tabs>
        <w:tab w:val="num" w:pos="851"/>
      </w:tabs>
      <w:spacing w:before="120" w:after="0" w:line="288" w:lineRule="auto"/>
      <w:ind w:left="851" w:hanging="284"/>
      <w:jc w:val="both"/>
    </w:pPr>
    <w:rPr>
      <w:rFonts w:ascii="Arial" w:eastAsia="Times New Roman" w:hAnsi="Arial"/>
      <w:sz w:val="24"/>
      <w:szCs w:val="24"/>
      <w:lang w:eastAsia="fr-FR"/>
    </w:rPr>
  </w:style>
  <w:style w:type="character" w:customStyle="1" w:styleId="goohl4">
    <w:name w:val="goohl4"/>
    <w:rsid w:val="005F3FB7"/>
  </w:style>
  <w:style w:type="paragraph" w:customStyle="1" w:styleId="BodyText22">
    <w:name w:val="Body Text 22"/>
    <w:basedOn w:val="Normal"/>
    <w:rsid w:val="005F3FB7"/>
    <w:pPr>
      <w:autoSpaceDE w:val="0"/>
      <w:autoSpaceDN w:val="0"/>
      <w:spacing w:after="0" w:line="240" w:lineRule="auto"/>
      <w:jc w:val="both"/>
    </w:pPr>
    <w:rPr>
      <w:rFonts w:ascii="Times New Roman" w:eastAsia="Times New Roman" w:hAnsi="Times New Roman"/>
      <w:sz w:val="24"/>
      <w:szCs w:val="24"/>
      <w:lang w:eastAsia="fr-FR"/>
    </w:rPr>
  </w:style>
  <w:style w:type="character" w:customStyle="1" w:styleId="TextedebullesCar1">
    <w:name w:val="Texte de bulles Car1"/>
    <w:uiPriority w:val="99"/>
    <w:rsid w:val="005F3FB7"/>
    <w:rPr>
      <w:rFonts w:ascii="Segoe UI" w:eastAsia="Times New Roman" w:hAnsi="Segoe UI" w:cs="Segoe UI"/>
      <w:sz w:val="18"/>
      <w:szCs w:val="18"/>
      <w:lang w:eastAsia="fr-FR"/>
    </w:rPr>
  </w:style>
  <w:style w:type="paragraph" w:styleId="Sous-titre">
    <w:name w:val="Subtitle"/>
    <w:aliases w:val="Titre 3-1"/>
    <w:basedOn w:val="Normal"/>
    <w:next w:val="Normal"/>
    <w:link w:val="Sous-titreCar"/>
    <w:uiPriority w:val="99"/>
    <w:qFormat/>
    <w:rsid w:val="005F3FB7"/>
    <w:pPr>
      <w:numPr>
        <w:ilvl w:val="1"/>
      </w:numPr>
      <w:spacing w:after="0" w:line="240" w:lineRule="auto"/>
      <w:jc w:val="both"/>
    </w:pPr>
    <w:rPr>
      <w:rFonts w:ascii="Cambria" w:eastAsia="Times New Roman" w:hAnsi="Cambria"/>
      <w:i/>
      <w:iCs/>
      <w:color w:val="4F81BD"/>
      <w:spacing w:val="15"/>
      <w:sz w:val="24"/>
      <w:szCs w:val="24"/>
      <w:lang w:val="x-none" w:eastAsia="fr-FR"/>
    </w:rPr>
  </w:style>
  <w:style w:type="character" w:customStyle="1" w:styleId="Sous-titreCar">
    <w:name w:val="Sous-titre Car"/>
    <w:aliases w:val="Titre 3-1 Car"/>
    <w:basedOn w:val="Policepardfaut"/>
    <w:link w:val="Sous-titre"/>
    <w:uiPriority w:val="99"/>
    <w:rsid w:val="005F3FB7"/>
    <w:rPr>
      <w:rFonts w:ascii="Cambria" w:eastAsia="Times New Roman" w:hAnsi="Cambria" w:cs="Times New Roman"/>
      <w:i/>
      <w:iCs/>
      <w:color w:val="4F81BD"/>
      <w:spacing w:val="15"/>
      <w:sz w:val="24"/>
      <w:szCs w:val="24"/>
      <w:lang w:val="x-none" w:eastAsia="fr-FR"/>
    </w:rPr>
  </w:style>
  <w:style w:type="character" w:customStyle="1" w:styleId="Tableausimple31">
    <w:name w:val="Tableau simple 31"/>
    <w:uiPriority w:val="19"/>
    <w:qFormat/>
    <w:rsid w:val="005F3FB7"/>
    <w:rPr>
      <w:i/>
      <w:iCs/>
      <w:color w:val="808080"/>
    </w:rPr>
  </w:style>
  <w:style w:type="character" w:styleId="Accentuation">
    <w:name w:val="Emphasis"/>
    <w:uiPriority w:val="20"/>
    <w:qFormat/>
    <w:rsid w:val="005F3FB7"/>
    <w:rPr>
      <w:i/>
      <w:iCs/>
    </w:rPr>
  </w:style>
  <w:style w:type="character" w:customStyle="1" w:styleId="Tableausimple41">
    <w:name w:val="Tableau simple 41"/>
    <w:uiPriority w:val="21"/>
    <w:qFormat/>
    <w:rsid w:val="005F3FB7"/>
    <w:rPr>
      <w:b/>
      <w:bCs/>
      <w:i/>
      <w:iCs/>
      <w:color w:val="4F81BD"/>
    </w:rPr>
  </w:style>
  <w:style w:type="paragraph" w:customStyle="1" w:styleId="Grillemoyenne2-Accent21">
    <w:name w:val="Grille moyenne 2 - Accent 21"/>
    <w:basedOn w:val="Normal"/>
    <w:next w:val="Normal"/>
    <w:link w:val="Grillemoyenne2-Accent2Car"/>
    <w:uiPriority w:val="29"/>
    <w:qFormat/>
    <w:rsid w:val="005F3FB7"/>
    <w:pPr>
      <w:spacing w:after="0" w:line="240" w:lineRule="auto"/>
      <w:jc w:val="both"/>
    </w:pPr>
    <w:rPr>
      <w:i/>
      <w:iCs/>
      <w:color w:val="000000"/>
      <w:sz w:val="20"/>
      <w:szCs w:val="20"/>
      <w:lang w:val="x-none" w:eastAsia="fr-FR"/>
    </w:rPr>
  </w:style>
  <w:style w:type="character" w:customStyle="1" w:styleId="Grillemoyenne2-Accent2Car">
    <w:name w:val="Grille moyenne 2 - Accent 2 Car"/>
    <w:link w:val="Grillemoyenne2-Accent21"/>
    <w:uiPriority w:val="29"/>
    <w:rsid w:val="005F3FB7"/>
    <w:rPr>
      <w:rFonts w:ascii="Calibri" w:eastAsia="Calibri" w:hAnsi="Calibri" w:cs="Times New Roman"/>
      <w:i/>
      <w:iCs/>
      <w:color w:val="000000"/>
      <w:sz w:val="20"/>
      <w:szCs w:val="20"/>
      <w:lang w:val="x-none" w:eastAsia="fr-FR"/>
    </w:rPr>
  </w:style>
  <w:style w:type="paragraph" w:customStyle="1" w:styleId="Grillemoyenne3-Accent21">
    <w:name w:val="Grille moyenne 3 - Accent 21"/>
    <w:basedOn w:val="Normal"/>
    <w:next w:val="Normal"/>
    <w:link w:val="Grillemoyenne3-Accent2Car"/>
    <w:uiPriority w:val="30"/>
    <w:qFormat/>
    <w:rsid w:val="005F3FB7"/>
    <w:pPr>
      <w:pBdr>
        <w:bottom w:val="single" w:sz="4" w:space="4" w:color="4F81BD"/>
      </w:pBdr>
      <w:spacing w:before="200" w:after="280" w:line="240" w:lineRule="auto"/>
      <w:ind w:left="936" w:right="936"/>
      <w:jc w:val="both"/>
    </w:pPr>
    <w:rPr>
      <w:b/>
      <w:bCs/>
      <w:i/>
      <w:iCs/>
      <w:color w:val="4F81BD"/>
      <w:sz w:val="20"/>
      <w:szCs w:val="20"/>
      <w:lang w:val="x-none" w:eastAsia="fr-FR"/>
    </w:rPr>
  </w:style>
  <w:style w:type="character" w:customStyle="1" w:styleId="Grillemoyenne3-Accent2Car">
    <w:name w:val="Grille moyenne 3 - Accent 2 Car"/>
    <w:link w:val="Grillemoyenne3-Accent21"/>
    <w:uiPriority w:val="30"/>
    <w:rsid w:val="005F3FB7"/>
    <w:rPr>
      <w:rFonts w:ascii="Calibri" w:eastAsia="Calibri" w:hAnsi="Calibri" w:cs="Times New Roman"/>
      <w:b/>
      <w:bCs/>
      <w:i/>
      <w:iCs/>
      <w:color w:val="4F81BD"/>
      <w:sz w:val="20"/>
      <w:szCs w:val="20"/>
      <w:lang w:val="x-none" w:eastAsia="fr-FR"/>
    </w:rPr>
  </w:style>
  <w:style w:type="character" w:customStyle="1" w:styleId="Tableausimple51">
    <w:name w:val="Tableau simple 51"/>
    <w:uiPriority w:val="31"/>
    <w:qFormat/>
    <w:rsid w:val="005F3FB7"/>
    <w:rPr>
      <w:smallCaps/>
      <w:color w:val="C0504D"/>
      <w:u w:val="single"/>
    </w:rPr>
  </w:style>
  <w:style w:type="character" w:customStyle="1" w:styleId="Grilledetableauclaire1">
    <w:name w:val="Grille de tableau claire1"/>
    <w:uiPriority w:val="32"/>
    <w:qFormat/>
    <w:rsid w:val="005F3FB7"/>
    <w:rPr>
      <w:b/>
      <w:bCs/>
      <w:smallCaps/>
      <w:color w:val="C0504D"/>
      <w:spacing w:val="5"/>
      <w:u w:val="single"/>
    </w:rPr>
  </w:style>
  <w:style w:type="character" w:customStyle="1" w:styleId="TableauGrille1Clair1">
    <w:name w:val="Tableau Grille 1 Clair1"/>
    <w:uiPriority w:val="33"/>
    <w:qFormat/>
    <w:rsid w:val="005F3FB7"/>
    <w:rPr>
      <w:b/>
      <w:bCs/>
      <w:smallCaps/>
      <w:spacing w:val="5"/>
    </w:rPr>
  </w:style>
  <w:style w:type="character" w:customStyle="1" w:styleId="A14">
    <w:name w:val="A14"/>
    <w:uiPriority w:val="99"/>
    <w:rsid w:val="005F3FB7"/>
    <w:rPr>
      <w:color w:val="000000"/>
      <w:sz w:val="22"/>
      <w:szCs w:val="22"/>
    </w:rPr>
  </w:style>
  <w:style w:type="paragraph" w:customStyle="1" w:styleId="ea">
    <w:name w:val="ea"/>
    <w:basedOn w:val="Normal"/>
    <w:link w:val="eaCar"/>
    <w:qFormat/>
    <w:rsid w:val="005F3FB7"/>
    <w:pPr>
      <w:keepLines/>
      <w:tabs>
        <w:tab w:val="left" w:pos="284"/>
      </w:tabs>
      <w:spacing w:before="120" w:after="0" w:line="240" w:lineRule="auto"/>
      <w:jc w:val="both"/>
    </w:pPr>
    <w:rPr>
      <w:rFonts w:ascii="Arial" w:eastAsia="Times New Roman" w:hAnsi="Arial"/>
      <w:sz w:val="20"/>
      <w:szCs w:val="20"/>
      <w:lang w:val="x-none" w:eastAsia="x-none"/>
    </w:rPr>
  </w:style>
  <w:style w:type="character" w:customStyle="1" w:styleId="eaCar">
    <w:name w:val="ea Car"/>
    <w:link w:val="ea"/>
    <w:locked/>
    <w:rsid w:val="005F3FB7"/>
    <w:rPr>
      <w:rFonts w:ascii="Arial" w:eastAsia="Times New Roman" w:hAnsi="Arial" w:cs="Times New Roman"/>
      <w:sz w:val="20"/>
      <w:szCs w:val="20"/>
      <w:lang w:val="x-none" w:eastAsia="x-none"/>
    </w:rPr>
  </w:style>
  <w:style w:type="paragraph" w:customStyle="1" w:styleId="text">
    <w:name w:val="text"/>
    <w:basedOn w:val="Normal"/>
    <w:uiPriority w:val="99"/>
    <w:rsid w:val="005F3FB7"/>
    <w:pPr>
      <w:spacing w:before="100" w:beforeAutospacing="1" w:after="100" w:afterAutospacing="1" w:line="240" w:lineRule="auto"/>
      <w:jc w:val="both"/>
    </w:pPr>
    <w:rPr>
      <w:rFonts w:ascii="Verdana" w:eastAsia="Times New Roman" w:hAnsi="Verdana"/>
      <w:sz w:val="24"/>
      <w:szCs w:val="24"/>
      <w:lang w:eastAsia="fr-FR"/>
    </w:rPr>
  </w:style>
  <w:style w:type="paragraph" w:customStyle="1" w:styleId="RetraitelaGalite">
    <w:name w:val="Retraite à la Galite"/>
    <w:basedOn w:val="Default"/>
    <w:next w:val="Default"/>
    <w:uiPriority w:val="99"/>
    <w:rsid w:val="005F3FB7"/>
    <w:pPr>
      <w:spacing w:line="300" w:lineRule="auto"/>
      <w:jc w:val="both"/>
    </w:pPr>
    <w:rPr>
      <w:rFonts w:ascii="CHOLIC+TimesNewRoman" w:hAnsi="CHOLIC+TimesNewRoman" w:cs="Times New Roman"/>
      <w:color w:val="auto"/>
    </w:rPr>
  </w:style>
  <w:style w:type="character" w:customStyle="1" w:styleId="Corpsdetexte3Car1">
    <w:name w:val="Corps de texte 3 Car1"/>
    <w:uiPriority w:val="99"/>
    <w:rsid w:val="005F3FB7"/>
    <w:rPr>
      <w:rFonts w:ascii="Times New Roman" w:eastAsia="Times New Roman" w:hAnsi="Times New Roman" w:cs="Times New Roman"/>
      <w:sz w:val="16"/>
      <w:szCs w:val="16"/>
      <w:lang w:eastAsia="fr-FR"/>
    </w:rPr>
  </w:style>
  <w:style w:type="paragraph" w:customStyle="1" w:styleId="CharChar1CarCarCarCar">
    <w:name w:val="Char Char1 Car Car Car Car"/>
    <w:basedOn w:val="Normal"/>
    <w:rsid w:val="005F3FB7"/>
    <w:pPr>
      <w:spacing w:after="0" w:line="240" w:lineRule="exact"/>
      <w:jc w:val="both"/>
    </w:pPr>
    <w:rPr>
      <w:rFonts w:ascii="Tahoma" w:eastAsia="Times New Roman" w:hAnsi="Tahoma" w:cs="Arial"/>
      <w:sz w:val="24"/>
      <w:szCs w:val="24"/>
      <w:lang w:eastAsia="fr-FR"/>
    </w:rPr>
  </w:style>
  <w:style w:type="paragraph" w:customStyle="1" w:styleId="p2">
    <w:name w:val="p2"/>
    <w:basedOn w:val="Normal"/>
    <w:uiPriority w:val="99"/>
    <w:rsid w:val="005F3FB7"/>
    <w:pPr>
      <w:widowControl w:val="0"/>
      <w:tabs>
        <w:tab w:val="left" w:pos="720"/>
      </w:tabs>
      <w:snapToGrid w:val="0"/>
      <w:spacing w:after="0" w:line="280" w:lineRule="atLeast"/>
      <w:jc w:val="both"/>
    </w:pPr>
    <w:rPr>
      <w:rFonts w:ascii="Arial" w:eastAsia="Times New Roman" w:hAnsi="Arial" w:cs="Arial"/>
      <w:sz w:val="24"/>
      <w:szCs w:val="20"/>
      <w:lang w:eastAsia="fr-FR"/>
    </w:rPr>
  </w:style>
  <w:style w:type="paragraph" w:styleId="Textebrut">
    <w:name w:val="Plain Text"/>
    <w:aliases w:val="普通文字 Char,普通文字,正常段落,普通文字 Char Char,普通文字 Char Char Char Char Char"/>
    <w:basedOn w:val="Normal"/>
    <w:link w:val="TextebrutCar"/>
    <w:uiPriority w:val="99"/>
    <w:rsid w:val="005F3FB7"/>
    <w:pPr>
      <w:spacing w:before="60" w:after="60" w:line="240" w:lineRule="auto"/>
      <w:jc w:val="both"/>
    </w:pPr>
    <w:rPr>
      <w:rFonts w:ascii="Courier New" w:eastAsia="Times New Roman" w:hAnsi="Courier New"/>
      <w:sz w:val="20"/>
      <w:szCs w:val="20"/>
      <w:lang w:val="x-none" w:eastAsia="x-none"/>
    </w:rPr>
  </w:style>
  <w:style w:type="character" w:customStyle="1" w:styleId="TextebrutCar">
    <w:name w:val="Texte brut Car"/>
    <w:aliases w:val="普通文字 Char Car,普通文字 Car,正常段落 Car,普通文字 Char Char Car,普通文字 Char Char Char Char Char Car"/>
    <w:basedOn w:val="Policepardfaut"/>
    <w:link w:val="Textebrut"/>
    <w:uiPriority w:val="99"/>
    <w:rsid w:val="005F3FB7"/>
    <w:rPr>
      <w:rFonts w:ascii="Courier New" w:eastAsia="Times New Roman" w:hAnsi="Courier New" w:cs="Times New Roman"/>
      <w:sz w:val="20"/>
      <w:szCs w:val="20"/>
      <w:lang w:val="x-none" w:eastAsia="x-none"/>
    </w:rPr>
  </w:style>
  <w:style w:type="paragraph" w:customStyle="1" w:styleId="85pttableboxtext">
    <w:name w:val="8.5 pt table &amp; box text"/>
    <w:basedOn w:val="Normal"/>
    <w:uiPriority w:val="99"/>
    <w:rsid w:val="005F3FB7"/>
    <w:pPr>
      <w:spacing w:before="40" w:after="60" w:line="240" w:lineRule="auto"/>
      <w:ind w:left="29" w:right="29"/>
      <w:jc w:val="both"/>
    </w:pPr>
    <w:rPr>
      <w:rFonts w:ascii="Arial" w:eastAsia="Times New Roman" w:hAnsi="Arial"/>
      <w:sz w:val="17"/>
      <w:szCs w:val="20"/>
      <w:lang w:eastAsia="fr-FR"/>
    </w:rPr>
  </w:style>
  <w:style w:type="character" w:customStyle="1" w:styleId="ObjetducommentaireCar1">
    <w:name w:val="Objet du commentaire Car1"/>
    <w:rsid w:val="005F3FB7"/>
    <w:rPr>
      <w:rFonts w:ascii="Arial" w:eastAsia="Calibri" w:hAnsi="Arial" w:cs="Times New Roman"/>
      <w:b/>
      <w:bCs/>
      <w:sz w:val="20"/>
      <w:szCs w:val="20"/>
      <w:lang w:val="x-none" w:eastAsia="fr-FR"/>
    </w:rPr>
  </w:style>
  <w:style w:type="character" w:customStyle="1" w:styleId="apple-converted-space">
    <w:name w:val="apple-converted-space"/>
    <w:rsid w:val="005F3FB7"/>
  </w:style>
  <w:style w:type="paragraph" w:customStyle="1" w:styleId="TITRE4EIE">
    <w:name w:val="TITRE 4 EIE"/>
    <w:basedOn w:val="Normal"/>
    <w:uiPriority w:val="99"/>
    <w:rsid w:val="005F3FB7"/>
    <w:pPr>
      <w:tabs>
        <w:tab w:val="num" w:pos="360"/>
      </w:tabs>
      <w:spacing w:before="100" w:beforeAutospacing="1" w:after="100" w:afterAutospacing="1" w:line="240" w:lineRule="auto"/>
      <w:jc w:val="both"/>
    </w:pPr>
    <w:rPr>
      <w:rFonts w:eastAsia="Times New Roman"/>
      <w:bCs/>
      <w:i/>
      <w:iCs/>
      <w:sz w:val="24"/>
      <w:szCs w:val="20"/>
      <w:u w:val="single"/>
      <w:lang w:eastAsia="fr-FR"/>
    </w:rPr>
  </w:style>
  <w:style w:type="paragraph" w:customStyle="1" w:styleId="Tableau8">
    <w:name w:val="Tableau 8"/>
    <w:basedOn w:val="Normal"/>
    <w:uiPriority w:val="99"/>
    <w:qFormat/>
    <w:rsid w:val="005F3FB7"/>
    <w:pPr>
      <w:widowControl w:val="0"/>
      <w:spacing w:after="0" w:line="240" w:lineRule="auto"/>
      <w:jc w:val="both"/>
    </w:pPr>
    <w:rPr>
      <w:rFonts w:eastAsia="Times New Roman"/>
      <w:sz w:val="16"/>
      <w:szCs w:val="16"/>
      <w:lang w:val="fr-CA" w:eastAsia="fr-FR"/>
    </w:rPr>
  </w:style>
  <w:style w:type="paragraph" w:styleId="Listenumros2">
    <w:name w:val="List Number 2"/>
    <w:basedOn w:val="Normal"/>
    <w:rsid w:val="005F3FB7"/>
    <w:pPr>
      <w:numPr>
        <w:numId w:val="16"/>
      </w:numPr>
      <w:spacing w:after="0" w:line="240" w:lineRule="auto"/>
      <w:jc w:val="both"/>
    </w:pPr>
    <w:rPr>
      <w:rFonts w:ascii="Times New Roman" w:eastAsia="Times New Roman" w:hAnsi="Times New Roman"/>
      <w:sz w:val="24"/>
      <w:szCs w:val="24"/>
      <w:lang w:eastAsia="fr-FR"/>
    </w:rPr>
  </w:style>
  <w:style w:type="paragraph" w:customStyle="1" w:styleId="Texte1">
    <w:name w:val="Texte 1"/>
    <w:basedOn w:val="Normal"/>
    <w:rsid w:val="005F3FB7"/>
    <w:pPr>
      <w:widowControl w:val="0"/>
      <w:spacing w:after="0" w:line="288" w:lineRule="auto"/>
      <w:ind w:left="907"/>
      <w:jc w:val="both"/>
    </w:pPr>
    <w:rPr>
      <w:rFonts w:ascii="Arial" w:eastAsia="Times New Roman" w:hAnsi="Arial" w:cs="Arial"/>
      <w:kern w:val="2"/>
      <w:sz w:val="21"/>
      <w:szCs w:val="24"/>
      <w:lang w:val="fr-CA" w:eastAsia="fr-FR"/>
    </w:rPr>
  </w:style>
  <w:style w:type="character" w:customStyle="1" w:styleId="NotedefinCar">
    <w:name w:val="Note de fin Car"/>
    <w:link w:val="Notedefin"/>
    <w:uiPriority w:val="99"/>
    <w:rsid w:val="005F3FB7"/>
    <w:rPr>
      <w:rFonts w:eastAsia="Times New Roman"/>
      <w:lang w:val="x-none" w:eastAsia="x-none"/>
    </w:rPr>
  </w:style>
  <w:style w:type="paragraph" w:customStyle="1" w:styleId="Notedefin1">
    <w:name w:val="Note de fin1"/>
    <w:basedOn w:val="Normal"/>
    <w:next w:val="Notedefin"/>
    <w:uiPriority w:val="99"/>
    <w:unhideWhenUsed/>
    <w:rsid w:val="005F3FB7"/>
    <w:pPr>
      <w:spacing w:after="0" w:line="240" w:lineRule="auto"/>
      <w:jc w:val="both"/>
    </w:pPr>
    <w:rPr>
      <w:rFonts w:eastAsia="Times New Roman"/>
      <w:lang w:val="x-none" w:eastAsia="x-none"/>
    </w:rPr>
  </w:style>
  <w:style w:type="character" w:customStyle="1" w:styleId="NotedefinCar1">
    <w:name w:val="Note de fin Car1"/>
    <w:uiPriority w:val="99"/>
    <w:semiHidden/>
    <w:rsid w:val="005F3FB7"/>
    <w:rPr>
      <w:rFonts w:ascii="Times New Roman" w:eastAsia="Times New Roman" w:hAnsi="Times New Roman" w:cs="Times New Roman"/>
      <w:sz w:val="20"/>
      <w:szCs w:val="20"/>
      <w:lang w:eastAsia="fr-FR"/>
    </w:rPr>
  </w:style>
  <w:style w:type="paragraph" w:customStyle="1" w:styleId="Lgtableau">
    <w:name w:val="Lég tableau"/>
    <w:basedOn w:val="Lgende"/>
    <w:autoRedefine/>
    <w:uiPriority w:val="99"/>
    <w:qFormat/>
    <w:rsid w:val="005F3FB7"/>
    <w:pPr>
      <w:keepNext/>
      <w:spacing w:before="60" w:after="0" w:line="240" w:lineRule="auto"/>
    </w:pPr>
    <w:rPr>
      <w:iCs w:val="0"/>
      <w:color w:val="auto"/>
      <w:szCs w:val="20"/>
      <w:lang w:val="fr-CA"/>
    </w:rPr>
  </w:style>
  <w:style w:type="paragraph" w:customStyle="1" w:styleId="bulletedbodytext">
    <w:name w:val="bulleted body text"/>
    <w:basedOn w:val="Normal"/>
    <w:rsid w:val="005F3FB7"/>
    <w:pPr>
      <w:numPr>
        <w:numId w:val="17"/>
      </w:numPr>
      <w:spacing w:before="40" w:after="120" w:line="240" w:lineRule="auto"/>
      <w:jc w:val="both"/>
    </w:pPr>
    <w:rPr>
      <w:rFonts w:ascii="Times New Roman" w:eastAsia="Times New Roman" w:hAnsi="Times New Roman"/>
      <w:sz w:val="21"/>
      <w:szCs w:val="20"/>
      <w:lang w:eastAsia="fr-FR"/>
    </w:rPr>
  </w:style>
  <w:style w:type="paragraph" w:customStyle="1" w:styleId="TIT2">
    <w:name w:val="TIT 2"/>
    <w:basedOn w:val="Normal"/>
    <w:rsid w:val="005F3FB7"/>
    <w:pPr>
      <w:spacing w:after="0" w:line="240" w:lineRule="atLeast"/>
      <w:jc w:val="both"/>
    </w:pPr>
    <w:rPr>
      <w:rFonts w:ascii="TimesNewRomanPS" w:eastAsia="Times New Roman" w:hAnsi="TimesNewRomanPS"/>
      <w:b/>
      <w:color w:val="000000"/>
      <w:sz w:val="24"/>
      <w:szCs w:val="20"/>
      <w:u w:val="single"/>
      <w:lang w:eastAsia="fr-FR"/>
    </w:rPr>
  </w:style>
  <w:style w:type="character" w:customStyle="1" w:styleId="st">
    <w:name w:val="st"/>
    <w:rsid w:val="005F3FB7"/>
  </w:style>
  <w:style w:type="paragraph" w:customStyle="1" w:styleId="a">
    <w:name w:val="_"/>
    <w:basedOn w:val="Normal"/>
    <w:uiPriority w:val="99"/>
    <w:rsid w:val="005F3FB7"/>
    <w:pPr>
      <w:widowControl w:val="0"/>
      <w:spacing w:after="0" w:line="240" w:lineRule="auto"/>
      <w:ind w:left="1440" w:hanging="720"/>
      <w:jc w:val="both"/>
    </w:pPr>
    <w:rPr>
      <w:rFonts w:ascii="Arial" w:eastAsia="Times New Roman" w:hAnsi="Arial"/>
      <w:snapToGrid w:val="0"/>
      <w:sz w:val="24"/>
      <w:szCs w:val="20"/>
      <w:lang w:eastAsia="fr-FR"/>
    </w:rPr>
  </w:style>
  <w:style w:type="paragraph" w:customStyle="1" w:styleId="Pa8">
    <w:name w:val="Pa8"/>
    <w:basedOn w:val="Normal"/>
    <w:next w:val="Normal"/>
    <w:uiPriority w:val="99"/>
    <w:rsid w:val="005F3FB7"/>
    <w:pPr>
      <w:autoSpaceDE w:val="0"/>
      <w:autoSpaceDN w:val="0"/>
      <w:adjustRightInd w:val="0"/>
      <w:spacing w:after="0" w:line="201" w:lineRule="atLeast"/>
      <w:jc w:val="both"/>
    </w:pPr>
    <w:rPr>
      <w:rFonts w:ascii="Dax" w:hAnsi="Dax"/>
      <w:sz w:val="24"/>
      <w:szCs w:val="24"/>
      <w:lang w:eastAsia="fr-FR"/>
    </w:rPr>
  </w:style>
  <w:style w:type="paragraph" w:customStyle="1" w:styleId="Pa19">
    <w:name w:val="Pa19"/>
    <w:basedOn w:val="Normal"/>
    <w:next w:val="Normal"/>
    <w:uiPriority w:val="99"/>
    <w:rsid w:val="005F3FB7"/>
    <w:pPr>
      <w:autoSpaceDE w:val="0"/>
      <w:autoSpaceDN w:val="0"/>
      <w:adjustRightInd w:val="0"/>
      <w:spacing w:after="0" w:line="201" w:lineRule="atLeast"/>
      <w:jc w:val="both"/>
    </w:pPr>
    <w:rPr>
      <w:rFonts w:ascii="Dax" w:hAnsi="Dax"/>
      <w:sz w:val="24"/>
      <w:szCs w:val="24"/>
      <w:lang w:eastAsia="fr-FR"/>
    </w:rPr>
  </w:style>
  <w:style w:type="paragraph" w:customStyle="1" w:styleId="Pa17">
    <w:name w:val="Pa17"/>
    <w:basedOn w:val="Normal"/>
    <w:next w:val="Normal"/>
    <w:uiPriority w:val="99"/>
    <w:rsid w:val="005F3FB7"/>
    <w:pPr>
      <w:autoSpaceDE w:val="0"/>
      <w:autoSpaceDN w:val="0"/>
      <w:adjustRightInd w:val="0"/>
      <w:spacing w:after="0" w:line="221" w:lineRule="atLeast"/>
      <w:jc w:val="both"/>
    </w:pPr>
    <w:rPr>
      <w:rFonts w:ascii="Dax" w:hAnsi="Dax"/>
      <w:sz w:val="24"/>
      <w:szCs w:val="24"/>
      <w:lang w:eastAsia="fr-FR"/>
    </w:rPr>
  </w:style>
  <w:style w:type="paragraph" w:customStyle="1" w:styleId="Pa4">
    <w:name w:val="Pa4"/>
    <w:basedOn w:val="Default"/>
    <w:next w:val="Default"/>
    <w:uiPriority w:val="99"/>
    <w:rsid w:val="005F3FB7"/>
    <w:pPr>
      <w:spacing w:line="241" w:lineRule="atLeast"/>
      <w:jc w:val="both"/>
    </w:pPr>
    <w:rPr>
      <w:rFonts w:ascii="Arial" w:hAnsi="Arial" w:cs="Arial"/>
      <w:color w:val="auto"/>
    </w:rPr>
  </w:style>
  <w:style w:type="paragraph" w:customStyle="1" w:styleId="Pa5">
    <w:name w:val="Pa5"/>
    <w:basedOn w:val="Default"/>
    <w:next w:val="Default"/>
    <w:uiPriority w:val="99"/>
    <w:rsid w:val="005F3FB7"/>
    <w:pPr>
      <w:spacing w:line="241" w:lineRule="atLeast"/>
      <w:jc w:val="both"/>
    </w:pPr>
    <w:rPr>
      <w:rFonts w:ascii="Arial" w:hAnsi="Arial" w:cs="Arial"/>
      <w:color w:val="auto"/>
    </w:rPr>
  </w:style>
  <w:style w:type="character" w:customStyle="1" w:styleId="ExplorateurdedocumentsCar">
    <w:name w:val="Explorateur de documents Car"/>
    <w:link w:val="Explorateurdedocuments"/>
    <w:uiPriority w:val="99"/>
    <w:rsid w:val="005F3FB7"/>
    <w:rPr>
      <w:rFonts w:ascii="Lucida Grande" w:eastAsia="Times New Roman" w:hAnsi="Lucida Grande"/>
      <w:sz w:val="24"/>
      <w:szCs w:val="24"/>
      <w:lang w:val="x-none" w:eastAsia="x-none"/>
    </w:rPr>
  </w:style>
  <w:style w:type="paragraph" w:customStyle="1" w:styleId="Explorateurdedocuments1">
    <w:name w:val="Explorateur de documents1"/>
    <w:basedOn w:val="Normal"/>
    <w:next w:val="Explorateurdedocuments"/>
    <w:uiPriority w:val="99"/>
    <w:semiHidden/>
    <w:unhideWhenUsed/>
    <w:rsid w:val="005F3FB7"/>
    <w:pPr>
      <w:spacing w:after="0" w:line="240" w:lineRule="auto"/>
      <w:jc w:val="both"/>
    </w:pPr>
    <w:rPr>
      <w:rFonts w:ascii="Lucida Grande" w:eastAsia="Times New Roman" w:hAnsi="Lucida Grande"/>
      <w:sz w:val="24"/>
      <w:szCs w:val="24"/>
      <w:lang w:val="x-none" w:eastAsia="x-none"/>
    </w:rPr>
  </w:style>
  <w:style w:type="character" w:customStyle="1" w:styleId="ExplorateurdedocumentsCar1">
    <w:name w:val="Explorateur de documents Car1"/>
    <w:uiPriority w:val="99"/>
    <w:semiHidden/>
    <w:rsid w:val="005F3FB7"/>
    <w:rPr>
      <w:rFonts w:ascii="Segoe UI" w:eastAsia="Times New Roman" w:hAnsi="Segoe UI" w:cs="Segoe UI"/>
      <w:sz w:val="16"/>
      <w:szCs w:val="16"/>
      <w:lang w:eastAsia="fr-FR"/>
    </w:rPr>
  </w:style>
  <w:style w:type="paragraph" w:customStyle="1" w:styleId="enumerate1">
    <w:name w:val="enumerate 1."/>
    <w:basedOn w:val="Normal"/>
    <w:uiPriority w:val="99"/>
    <w:rsid w:val="005F3FB7"/>
    <w:pPr>
      <w:widowControl w:val="0"/>
      <w:adjustRightInd w:val="0"/>
      <w:snapToGrid w:val="0"/>
      <w:spacing w:afterLines="50" w:after="0" w:line="320" w:lineRule="exact"/>
      <w:ind w:leftChars="400" w:left="1280" w:hangingChars="200" w:hanging="440"/>
      <w:jc w:val="both"/>
    </w:pPr>
    <w:rPr>
      <w:rFonts w:ascii="Times New Roman" w:eastAsia="MS Mincho" w:hAnsi="Times New Roman"/>
      <w:bCs/>
      <w:sz w:val="24"/>
      <w:szCs w:val="24"/>
      <w:lang w:val="en-GB" w:eastAsia="ja-JP"/>
    </w:rPr>
  </w:style>
  <w:style w:type="paragraph" w:customStyle="1" w:styleId="Listecouleur-Accent111">
    <w:name w:val="Liste couleur - Accent 111"/>
    <w:basedOn w:val="Normal"/>
    <w:uiPriority w:val="34"/>
    <w:qFormat/>
    <w:rsid w:val="005F3FB7"/>
    <w:pPr>
      <w:spacing w:after="200" w:line="276" w:lineRule="auto"/>
      <w:ind w:left="720"/>
      <w:contextualSpacing/>
    </w:pPr>
    <w:rPr>
      <w:sz w:val="24"/>
      <w:szCs w:val="24"/>
      <w:lang w:eastAsia="fr-FR"/>
    </w:rPr>
  </w:style>
  <w:style w:type="paragraph" w:customStyle="1" w:styleId="twunmatched">
    <w:name w:val="twunmatched"/>
    <w:basedOn w:val="Normal"/>
    <w:rsid w:val="005F3FB7"/>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s1">
    <w:name w:val="s1"/>
    <w:rsid w:val="005F3FB7"/>
  </w:style>
  <w:style w:type="paragraph" w:styleId="Retraitnormal">
    <w:name w:val="Normal Indent"/>
    <w:basedOn w:val="Normal"/>
    <w:uiPriority w:val="99"/>
    <w:rsid w:val="005F3FB7"/>
    <w:pPr>
      <w:spacing w:after="0" w:line="240" w:lineRule="auto"/>
      <w:ind w:left="708"/>
    </w:pPr>
    <w:rPr>
      <w:rFonts w:ascii="Times New Roman" w:eastAsia="Times New Roman" w:hAnsi="Times New Roman"/>
      <w:sz w:val="24"/>
      <w:szCs w:val="20"/>
      <w:lang w:eastAsia="fr-FR"/>
    </w:rPr>
  </w:style>
  <w:style w:type="table" w:customStyle="1" w:styleId="Grille11">
    <w:name w:val="Grille11"/>
    <w:basedOn w:val="TableauNormal"/>
    <w:next w:val="Grilledutableau"/>
    <w:uiPriority w:val="39"/>
    <w:rsid w:val="005F3FB7"/>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ieddepage3">
    <w:name w:val="pied de page 3"/>
    <w:basedOn w:val="Normal"/>
    <w:uiPriority w:val="99"/>
    <w:qFormat/>
    <w:rsid w:val="005F3FB7"/>
    <w:pPr>
      <w:tabs>
        <w:tab w:val="left" w:pos="360"/>
        <w:tab w:val="center" w:pos="4536"/>
        <w:tab w:val="right" w:pos="9072"/>
      </w:tabs>
      <w:spacing w:after="0" w:line="240" w:lineRule="auto"/>
      <w:ind w:right="360"/>
      <w:jc w:val="both"/>
    </w:pPr>
    <w:rPr>
      <w:rFonts w:ascii="Arial" w:hAnsi="Arial" w:cs="Arial"/>
      <w:i/>
      <w:iCs/>
      <w:sz w:val="16"/>
      <w:szCs w:val="16"/>
      <w:lang w:eastAsia="fr-FR"/>
    </w:rPr>
  </w:style>
  <w:style w:type="paragraph" w:customStyle="1" w:styleId="commanditaire">
    <w:name w:val="commanditaire"/>
    <w:basedOn w:val="Normal"/>
    <w:autoRedefine/>
    <w:uiPriority w:val="99"/>
    <w:rsid w:val="005F3FB7"/>
    <w:pPr>
      <w:spacing w:after="0" w:line="240" w:lineRule="auto"/>
      <w:jc w:val="center"/>
    </w:pPr>
    <w:rPr>
      <w:rFonts w:ascii="Arial Gras" w:eastAsia="Times New Roman" w:hAnsi="Arial Gras" w:cs="Arial"/>
      <w:b/>
      <w:color w:val="000000"/>
      <w:w w:val="130"/>
      <w:sz w:val="18"/>
      <w:szCs w:val="24"/>
      <w:lang w:val="fr-CA" w:eastAsia="fr-FR"/>
    </w:rPr>
  </w:style>
  <w:style w:type="paragraph" w:customStyle="1" w:styleId="Normal12">
    <w:name w:val="Normal12"/>
    <w:basedOn w:val="Normal"/>
    <w:uiPriority w:val="99"/>
    <w:rsid w:val="005F3FB7"/>
    <w:pPr>
      <w:tabs>
        <w:tab w:val="left" w:pos="1134"/>
      </w:tabs>
      <w:spacing w:after="0" w:line="240" w:lineRule="auto"/>
      <w:jc w:val="both"/>
    </w:pPr>
    <w:rPr>
      <w:rFonts w:ascii="Times New Roman" w:eastAsia="Times New Roman" w:hAnsi="Times New Roman"/>
      <w:sz w:val="23"/>
      <w:szCs w:val="20"/>
      <w:lang w:eastAsia="fr-FR"/>
    </w:rPr>
  </w:style>
  <w:style w:type="character" w:customStyle="1" w:styleId="Tramemoyenne1-Accent1Car">
    <w:name w:val="Trame moyenne 1 - Accent 1 Car"/>
    <w:link w:val="Tramemoyenne1-Accent11"/>
    <w:uiPriority w:val="1"/>
    <w:rsid w:val="005F3FB7"/>
    <w:rPr>
      <w:rFonts w:ascii="Calibri" w:eastAsia="Calibri" w:hAnsi="Calibri" w:cs="Times New Roman"/>
    </w:rPr>
  </w:style>
  <w:style w:type="character" w:customStyle="1" w:styleId="apple-style-span">
    <w:name w:val="apple-style-span"/>
    <w:rsid w:val="005F3FB7"/>
  </w:style>
  <w:style w:type="paragraph" w:customStyle="1" w:styleId="ACEnumberedparagraph">
    <w:name w:val="ACE_numbered_paragraph"/>
    <w:basedOn w:val="Normal"/>
    <w:uiPriority w:val="99"/>
    <w:qFormat/>
    <w:rsid w:val="005F3FB7"/>
    <w:pPr>
      <w:numPr>
        <w:numId w:val="18"/>
      </w:numPr>
      <w:spacing w:after="280" w:line="290" w:lineRule="exact"/>
    </w:pPr>
    <w:rPr>
      <w:rFonts w:ascii="Arial" w:eastAsia="Times New Roman" w:hAnsi="Arial" w:cs="Arial"/>
      <w:noProof/>
      <w:sz w:val="19"/>
      <w:szCs w:val="19"/>
      <w:lang w:eastAsia="nl-BE"/>
    </w:rPr>
  </w:style>
  <w:style w:type="paragraph" w:customStyle="1" w:styleId="font5">
    <w:name w:val="font5"/>
    <w:basedOn w:val="Normal"/>
    <w:rsid w:val="005F3FB7"/>
    <w:pPr>
      <w:suppressAutoHyphens/>
      <w:overflowPunct w:val="0"/>
      <w:autoSpaceDE w:val="0"/>
      <w:autoSpaceDN w:val="0"/>
      <w:adjustRightInd w:val="0"/>
      <w:spacing w:before="100" w:after="100" w:line="264" w:lineRule="auto"/>
      <w:jc w:val="both"/>
      <w:textAlignment w:val="baseline"/>
    </w:pPr>
    <w:rPr>
      <w:rFonts w:ascii="Tahoma" w:eastAsia="Franklin Gothic Book" w:hAnsi="Tahoma" w:cs="Tahoma"/>
      <w:sz w:val="16"/>
      <w:szCs w:val="16"/>
      <w:lang w:eastAsia="fr-FR"/>
    </w:rPr>
  </w:style>
  <w:style w:type="paragraph" w:customStyle="1" w:styleId="RefCharCarCharCar">
    <w:name w:val="Ref Char Car Char Car"/>
    <w:aliases w:val="de nota al pie Char Car Char Car,16 Point Char Car Char Car,Superscript 6 Point Char Car Char Car,ftref Char Car Char Car,BVI fnr Char Car Char Car,BVI fnr Car Car Char Car Char Car,Ref Car"/>
    <w:basedOn w:val="Normal"/>
    <w:uiPriority w:val="99"/>
    <w:rsid w:val="005F3FB7"/>
    <w:pPr>
      <w:spacing w:after="0" w:line="240" w:lineRule="exact"/>
    </w:pPr>
    <w:rPr>
      <w:sz w:val="20"/>
      <w:szCs w:val="20"/>
      <w:vertAlign w:val="superscript"/>
      <w:lang w:val="x-none" w:eastAsia="x-none"/>
    </w:rPr>
  </w:style>
  <w:style w:type="character" w:customStyle="1" w:styleId="familyname">
    <w:name w:val="familyname"/>
    <w:rsid w:val="005F3FB7"/>
  </w:style>
  <w:style w:type="character" w:customStyle="1" w:styleId="number">
    <w:name w:val="number"/>
    <w:rsid w:val="005F3FB7"/>
  </w:style>
  <w:style w:type="character" w:customStyle="1" w:styleId="Titre10">
    <w:name w:val="Titre1"/>
    <w:rsid w:val="005F3FB7"/>
  </w:style>
  <w:style w:type="paragraph" w:customStyle="1" w:styleId="TITRE11111">
    <w:name w:val="TITRE 1.1.1.1.1."/>
    <w:basedOn w:val="Normal"/>
    <w:uiPriority w:val="99"/>
    <w:qFormat/>
    <w:rsid w:val="005F3FB7"/>
    <w:pPr>
      <w:tabs>
        <w:tab w:val="num" w:pos="1985"/>
      </w:tabs>
      <w:spacing w:after="120" w:line="240" w:lineRule="auto"/>
      <w:ind w:left="2211" w:hanging="623"/>
      <w:outlineLvl w:val="4"/>
    </w:pPr>
    <w:rPr>
      <w:rFonts w:eastAsia="Times New Roman" w:cs="Arial"/>
      <w:b/>
      <w:color w:val="F79646"/>
      <w:sz w:val="24"/>
      <w:szCs w:val="24"/>
      <w:u w:val="single"/>
      <w:lang w:eastAsia="fr-FR"/>
    </w:rPr>
  </w:style>
  <w:style w:type="character" w:customStyle="1" w:styleId="CommentaireCar1">
    <w:name w:val="Commentaire Car1"/>
    <w:aliases w:val="Comment Text1 Car1,Comment Text Char1 Car1,Comment Text Char Char Car1,Char2 Char Char Char Car1,Car1 Car1, Car1 Car1"/>
    <w:uiPriority w:val="99"/>
    <w:rsid w:val="005F3FB7"/>
    <w:rPr>
      <w:sz w:val="20"/>
      <w:szCs w:val="20"/>
    </w:rPr>
  </w:style>
  <w:style w:type="paragraph" w:customStyle="1" w:styleId="TxBrp8">
    <w:name w:val="TxBr_p8"/>
    <w:basedOn w:val="Normal"/>
    <w:rsid w:val="005F3FB7"/>
    <w:pPr>
      <w:widowControl w:val="0"/>
      <w:tabs>
        <w:tab w:val="left" w:pos="368"/>
      </w:tabs>
      <w:spacing w:after="0" w:line="255" w:lineRule="atLeast"/>
      <w:ind w:left="731" w:hanging="363"/>
    </w:pPr>
    <w:rPr>
      <w:rFonts w:ascii="Times New Roman" w:eastAsia="Times New Roman" w:hAnsi="Times New Roman"/>
      <w:snapToGrid w:val="0"/>
      <w:sz w:val="24"/>
      <w:szCs w:val="20"/>
      <w:lang w:eastAsia="fr-FR"/>
    </w:rPr>
  </w:style>
  <w:style w:type="paragraph" w:customStyle="1" w:styleId="PargrafodaLista1">
    <w:name w:val="Parágrafo da Lista1"/>
    <w:basedOn w:val="Normal"/>
    <w:uiPriority w:val="34"/>
    <w:qFormat/>
    <w:rsid w:val="005F3FB7"/>
    <w:pPr>
      <w:spacing w:after="0" w:line="240" w:lineRule="auto"/>
      <w:ind w:left="708"/>
    </w:pPr>
    <w:rPr>
      <w:rFonts w:ascii="Times New Roman" w:eastAsia="Times New Roman" w:hAnsi="Times New Roman"/>
      <w:sz w:val="24"/>
      <w:szCs w:val="24"/>
      <w:lang w:eastAsia="fr-FR"/>
    </w:rPr>
  </w:style>
  <w:style w:type="character" w:customStyle="1" w:styleId="Titre20">
    <w:name w:val="Titre2"/>
    <w:rsid w:val="005F3FB7"/>
  </w:style>
  <w:style w:type="character" w:customStyle="1" w:styleId="Mentionnonrsolue1">
    <w:name w:val="Mention non résolue1"/>
    <w:uiPriority w:val="99"/>
    <w:unhideWhenUsed/>
    <w:rsid w:val="005F3FB7"/>
    <w:rPr>
      <w:color w:val="605E5C"/>
      <w:shd w:val="clear" w:color="auto" w:fill="E1DFDD"/>
    </w:rPr>
  </w:style>
  <w:style w:type="paragraph" w:customStyle="1" w:styleId="Corpsdetexte4">
    <w:name w:val="Corps de texte 4"/>
    <w:basedOn w:val="Normal"/>
    <w:rsid w:val="005F3FB7"/>
    <w:pPr>
      <w:spacing w:after="240" w:line="240" w:lineRule="auto"/>
      <w:jc w:val="both"/>
    </w:pPr>
    <w:rPr>
      <w:rFonts w:ascii="Times New Roman" w:eastAsia="Times New Roman" w:hAnsi="Times New Roman"/>
      <w:szCs w:val="20"/>
      <w:lang w:eastAsia="fr-FR"/>
    </w:rPr>
  </w:style>
  <w:style w:type="paragraph" w:customStyle="1" w:styleId="Retraitcorpsdetexte31">
    <w:name w:val="Retrait corps de texte 31"/>
    <w:basedOn w:val="Normal"/>
    <w:rsid w:val="005F3FB7"/>
    <w:pPr>
      <w:widowControl w:val="0"/>
      <w:tabs>
        <w:tab w:val="num" w:pos="360"/>
      </w:tabs>
      <w:spacing w:after="0" w:line="240" w:lineRule="auto"/>
      <w:jc w:val="both"/>
    </w:pPr>
    <w:rPr>
      <w:rFonts w:ascii="Times New Roman" w:eastAsia="Times New Roman" w:hAnsi="Times New Roman"/>
      <w:szCs w:val="20"/>
      <w:lang w:eastAsia="fr-FR"/>
    </w:rPr>
  </w:style>
  <w:style w:type="paragraph" w:customStyle="1" w:styleId="Outline">
    <w:name w:val="Outline"/>
    <w:basedOn w:val="Normal"/>
    <w:uiPriority w:val="99"/>
    <w:rsid w:val="005F3FB7"/>
    <w:pPr>
      <w:spacing w:before="240" w:after="0" w:line="240" w:lineRule="auto"/>
    </w:pPr>
    <w:rPr>
      <w:rFonts w:ascii="Times New Roman" w:eastAsia="Times New Roman" w:hAnsi="Times New Roman"/>
      <w:kern w:val="28"/>
      <w:szCs w:val="20"/>
      <w:lang w:eastAsia="fr-FR"/>
    </w:rPr>
  </w:style>
  <w:style w:type="paragraph" w:styleId="Retraitcorpsdetexte3">
    <w:name w:val="Body Text Indent 3"/>
    <w:basedOn w:val="Normal"/>
    <w:link w:val="Retraitcorpsdetexte3Car"/>
    <w:uiPriority w:val="99"/>
    <w:rsid w:val="005F3FB7"/>
    <w:pPr>
      <w:numPr>
        <w:ilvl w:val="1"/>
        <w:numId w:val="19"/>
      </w:numPr>
      <w:tabs>
        <w:tab w:val="clear" w:pos="360"/>
      </w:tabs>
      <w:spacing w:after="120" w:line="240" w:lineRule="auto"/>
      <w:ind w:left="283"/>
    </w:pPr>
    <w:rPr>
      <w:rFonts w:ascii="Times New Roman" w:eastAsia="Times New Roman" w:hAnsi="Times New Roman"/>
      <w:sz w:val="16"/>
      <w:szCs w:val="16"/>
      <w:lang w:val="x-none" w:eastAsia="x-none"/>
    </w:rPr>
  </w:style>
  <w:style w:type="character" w:customStyle="1" w:styleId="Retraitcorpsdetexte3Car">
    <w:name w:val="Retrait corps de texte 3 Car"/>
    <w:basedOn w:val="Policepardfaut"/>
    <w:link w:val="Retraitcorpsdetexte3"/>
    <w:uiPriority w:val="99"/>
    <w:rsid w:val="005F3FB7"/>
    <w:rPr>
      <w:rFonts w:ascii="Times New Roman" w:eastAsia="Times New Roman" w:hAnsi="Times New Roman" w:cs="Times New Roman"/>
      <w:sz w:val="16"/>
      <w:szCs w:val="16"/>
      <w:lang w:val="x-none" w:eastAsia="x-none"/>
    </w:rPr>
  </w:style>
  <w:style w:type="paragraph" w:customStyle="1" w:styleId="Outline1">
    <w:name w:val="Outline1"/>
    <w:basedOn w:val="Outline"/>
    <w:next w:val="Outline2"/>
    <w:rsid w:val="005F3FB7"/>
    <w:pPr>
      <w:keepNext/>
      <w:tabs>
        <w:tab w:val="num" w:pos="360"/>
      </w:tabs>
      <w:ind w:left="360" w:hanging="360"/>
    </w:pPr>
    <w:rPr>
      <w:szCs w:val="22"/>
    </w:rPr>
  </w:style>
  <w:style w:type="paragraph" w:customStyle="1" w:styleId="Outline2">
    <w:name w:val="Outline2"/>
    <w:basedOn w:val="Normal"/>
    <w:rsid w:val="005F3FB7"/>
    <w:pPr>
      <w:tabs>
        <w:tab w:val="num" w:pos="864"/>
      </w:tabs>
      <w:spacing w:before="240" w:after="0" w:line="240" w:lineRule="auto"/>
      <w:ind w:left="864" w:hanging="504"/>
    </w:pPr>
    <w:rPr>
      <w:rFonts w:ascii="Times New Roman" w:eastAsia="Times New Roman" w:hAnsi="Times New Roman"/>
      <w:kern w:val="28"/>
      <w:lang w:eastAsia="fr-FR"/>
    </w:rPr>
  </w:style>
  <w:style w:type="paragraph" w:customStyle="1" w:styleId="Outline3">
    <w:name w:val="Outline3"/>
    <w:basedOn w:val="Normal"/>
    <w:rsid w:val="005F3FB7"/>
    <w:pPr>
      <w:numPr>
        <w:ilvl w:val="1"/>
        <w:numId w:val="20"/>
      </w:numPr>
      <w:tabs>
        <w:tab w:val="clear" w:pos="720"/>
        <w:tab w:val="num" w:pos="1368"/>
      </w:tabs>
      <w:spacing w:before="240" w:after="0" w:line="240" w:lineRule="auto"/>
      <w:ind w:left="1368" w:hanging="504"/>
    </w:pPr>
    <w:rPr>
      <w:rFonts w:ascii="Times New Roman" w:eastAsia="Times New Roman" w:hAnsi="Times New Roman"/>
      <w:kern w:val="28"/>
      <w:lang w:eastAsia="fr-FR"/>
    </w:rPr>
  </w:style>
  <w:style w:type="paragraph" w:customStyle="1" w:styleId="Outline4">
    <w:name w:val="Outline4"/>
    <w:basedOn w:val="Normal"/>
    <w:rsid w:val="005F3FB7"/>
    <w:pPr>
      <w:tabs>
        <w:tab w:val="num" w:pos="1872"/>
      </w:tabs>
      <w:spacing w:before="240" w:after="0" w:line="240" w:lineRule="auto"/>
      <w:ind w:left="1872" w:hanging="504"/>
    </w:pPr>
    <w:rPr>
      <w:rFonts w:ascii="Times New Roman" w:eastAsia="Times New Roman" w:hAnsi="Times New Roman"/>
      <w:kern w:val="28"/>
      <w:lang w:eastAsia="fr-FR"/>
    </w:rPr>
  </w:style>
  <w:style w:type="paragraph" w:customStyle="1" w:styleId="BodyTextKeep">
    <w:name w:val="Body Text Keep"/>
    <w:basedOn w:val="Corpsdetexte"/>
    <w:rsid w:val="005F3FB7"/>
    <w:pPr>
      <w:keepNext/>
      <w:pBdr>
        <w:top w:val="none" w:sz="0" w:space="0" w:color="auto"/>
        <w:left w:val="none" w:sz="0" w:space="0" w:color="auto"/>
        <w:bottom w:val="none" w:sz="0" w:space="0" w:color="auto"/>
        <w:right w:val="none" w:sz="0" w:space="0" w:color="auto"/>
      </w:pBdr>
      <w:shd w:val="clear" w:color="auto" w:fill="auto"/>
      <w:tabs>
        <w:tab w:val="clear" w:pos="4393"/>
      </w:tabs>
      <w:spacing w:after="240" w:line="240" w:lineRule="atLeast"/>
      <w:jc w:val="both"/>
    </w:pPr>
    <w:rPr>
      <w:rFonts w:ascii="Garamond" w:hAnsi="Garamond"/>
      <w:b w:val="0"/>
      <w:sz w:val="20"/>
      <w:szCs w:val="20"/>
      <w:lang w:eastAsia="en-US"/>
    </w:rPr>
  </w:style>
  <w:style w:type="paragraph" w:customStyle="1" w:styleId="Style4">
    <w:name w:val="Style4"/>
    <w:basedOn w:val="Tabledesillustrations"/>
    <w:next w:val="Tabledesillustrations"/>
    <w:link w:val="Style4Char"/>
    <w:qFormat/>
    <w:rsid w:val="005F3FB7"/>
    <w:pPr>
      <w:spacing w:after="0" w:line="240" w:lineRule="auto"/>
      <w:ind w:left="480" w:hanging="480"/>
      <w:jc w:val="both"/>
    </w:pPr>
    <w:rPr>
      <w:rFonts w:ascii="Times New Roman" w:eastAsia="Times New Roman" w:hAnsi="Times New Roman"/>
      <w:b/>
      <w:bCs/>
      <w:sz w:val="24"/>
      <w:szCs w:val="24"/>
      <w:u w:val="single"/>
      <w:lang w:val="fr-CA" w:eastAsia="fr-FR"/>
    </w:rPr>
  </w:style>
  <w:style w:type="paragraph" w:customStyle="1" w:styleId="Style2">
    <w:name w:val="Style2"/>
    <w:basedOn w:val="Titre2"/>
    <w:link w:val="Style2Char"/>
    <w:qFormat/>
    <w:rsid w:val="005F3FB7"/>
    <w:pPr>
      <w:pBdr>
        <w:bottom w:val="none" w:sz="0" w:space="0" w:color="auto"/>
      </w:pBdr>
      <w:spacing w:before="0" w:after="0"/>
      <w:ind w:hanging="360"/>
      <w:jc w:val="both"/>
    </w:pPr>
    <w:rPr>
      <w:rFonts w:ascii="Comic Sans MS" w:hAnsi="Comic Sans MS"/>
      <w:b w:val="0"/>
      <w:bCs w:val="0"/>
      <w:color w:val="auto"/>
      <w:sz w:val="20"/>
      <w:lang w:val="x-none" w:eastAsia="x-none"/>
    </w:rPr>
  </w:style>
  <w:style w:type="paragraph" w:customStyle="1" w:styleId="MainParanoChapter">
    <w:name w:val="Main Para no Chapter #"/>
    <w:basedOn w:val="Normal"/>
    <w:uiPriority w:val="99"/>
    <w:rsid w:val="005F3FB7"/>
    <w:pPr>
      <w:tabs>
        <w:tab w:val="num" w:pos="1065"/>
      </w:tabs>
      <w:spacing w:after="240" w:line="240" w:lineRule="auto"/>
      <w:outlineLvl w:val="1"/>
    </w:pPr>
    <w:rPr>
      <w:rFonts w:ascii="Times New Roman" w:eastAsia="Times New Roman" w:hAnsi="Times New Roman"/>
      <w:sz w:val="24"/>
      <w:szCs w:val="24"/>
    </w:rPr>
  </w:style>
  <w:style w:type="paragraph" w:customStyle="1" w:styleId="BankNormal">
    <w:name w:val="BankNormal"/>
    <w:basedOn w:val="Normal"/>
    <w:link w:val="BankNormalChar"/>
    <w:rsid w:val="005F3FB7"/>
    <w:pPr>
      <w:spacing w:after="240" w:line="240" w:lineRule="auto"/>
    </w:pPr>
    <w:rPr>
      <w:rFonts w:ascii="Times New Roman" w:eastAsia="Times New Roman" w:hAnsi="Times New Roman"/>
      <w:sz w:val="24"/>
      <w:szCs w:val="20"/>
    </w:rPr>
  </w:style>
  <w:style w:type="paragraph" w:customStyle="1" w:styleId="para">
    <w:name w:val="para"/>
    <w:basedOn w:val="Normal"/>
    <w:rsid w:val="005F3FB7"/>
    <w:pPr>
      <w:spacing w:after="0" w:line="240" w:lineRule="auto"/>
      <w:ind w:firstLine="284"/>
      <w:jc w:val="both"/>
    </w:pPr>
    <w:rPr>
      <w:rFonts w:ascii="Times New Roman" w:eastAsia="Times New Roman" w:hAnsi="Times New Roman"/>
      <w:sz w:val="24"/>
      <w:szCs w:val="24"/>
    </w:rPr>
  </w:style>
  <w:style w:type="paragraph" w:customStyle="1" w:styleId="PDSHeading2">
    <w:name w:val="PDS Heading 2"/>
    <w:next w:val="Normal"/>
    <w:rsid w:val="005F3FB7"/>
    <w:pPr>
      <w:keepNext/>
      <w:tabs>
        <w:tab w:val="num" w:pos="360"/>
      </w:tabs>
      <w:spacing w:after="0" w:line="240" w:lineRule="auto"/>
    </w:pPr>
    <w:rPr>
      <w:rFonts w:ascii="Times New Roman" w:eastAsia="Times New Roman" w:hAnsi="Times New Roman" w:cs="Times New Roman"/>
      <w:b/>
      <w:sz w:val="24"/>
      <w:szCs w:val="20"/>
      <w:lang w:val="en-US"/>
    </w:rPr>
  </w:style>
  <w:style w:type="paragraph" w:customStyle="1" w:styleId="PDSHeading10">
    <w:name w:val="PDS Heading 1"/>
    <w:next w:val="PDSHeading2"/>
    <w:rsid w:val="005F3FB7"/>
    <w:pPr>
      <w:keepNext/>
      <w:tabs>
        <w:tab w:val="num" w:pos="360"/>
      </w:tabs>
      <w:spacing w:after="0" w:line="240" w:lineRule="auto"/>
      <w:ind w:left="360" w:hanging="360"/>
      <w:outlineLvl w:val="0"/>
    </w:pPr>
    <w:rPr>
      <w:rFonts w:ascii="Times New Roman" w:eastAsia="Times New Roman" w:hAnsi="Times New Roman" w:cs="Times New Roman"/>
      <w:b/>
      <w:caps/>
      <w:sz w:val="24"/>
      <w:szCs w:val="20"/>
      <w:lang w:val="en-US"/>
    </w:rPr>
  </w:style>
  <w:style w:type="paragraph" w:customStyle="1" w:styleId="PDSHeading1">
    <w:name w:val="PDSHeading1"/>
    <w:next w:val="Normal"/>
    <w:rsid w:val="005F3FB7"/>
    <w:pPr>
      <w:numPr>
        <w:numId w:val="21"/>
      </w:numPr>
      <w:tabs>
        <w:tab w:val="clear" w:pos="435"/>
      </w:tabs>
      <w:spacing w:after="0" w:line="240" w:lineRule="auto"/>
      <w:ind w:left="0" w:firstLine="0"/>
    </w:pPr>
    <w:rPr>
      <w:rFonts w:ascii="Times New Roman" w:eastAsia="Times New Roman" w:hAnsi="Times New Roman" w:cs="Times New Roman"/>
      <w:b/>
      <w:sz w:val="24"/>
      <w:szCs w:val="20"/>
      <w:lang w:val="en-US"/>
    </w:rPr>
  </w:style>
  <w:style w:type="paragraph" w:customStyle="1" w:styleId="MainParawithChapter">
    <w:name w:val="Main Para with Chapter#"/>
    <w:basedOn w:val="Normal"/>
    <w:rsid w:val="005F3FB7"/>
    <w:pPr>
      <w:spacing w:after="240" w:line="240" w:lineRule="auto"/>
      <w:outlineLvl w:val="1"/>
    </w:pPr>
    <w:rPr>
      <w:rFonts w:ascii="Times New Roman" w:eastAsia="Times New Roman" w:hAnsi="Times New Roman"/>
      <w:sz w:val="24"/>
      <w:szCs w:val="24"/>
    </w:rPr>
  </w:style>
  <w:style w:type="character" w:customStyle="1" w:styleId="spelle">
    <w:name w:val="spelle"/>
    <w:rsid w:val="005F3FB7"/>
  </w:style>
  <w:style w:type="paragraph" w:customStyle="1" w:styleId="TxBrp7">
    <w:name w:val="TxBr_p7"/>
    <w:basedOn w:val="Normal"/>
    <w:rsid w:val="005F3FB7"/>
    <w:pPr>
      <w:widowControl w:val="0"/>
      <w:tabs>
        <w:tab w:val="left" w:pos="204"/>
      </w:tabs>
      <w:spacing w:after="0" w:line="255" w:lineRule="atLeast"/>
    </w:pPr>
    <w:rPr>
      <w:rFonts w:ascii="Times New Roman" w:eastAsia="Times New Roman" w:hAnsi="Times New Roman"/>
      <w:snapToGrid w:val="0"/>
      <w:sz w:val="24"/>
      <w:szCs w:val="20"/>
    </w:rPr>
  </w:style>
  <w:style w:type="character" w:customStyle="1" w:styleId="grame">
    <w:name w:val="grame"/>
    <w:rsid w:val="005F3FB7"/>
  </w:style>
  <w:style w:type="character" w:customStyle="1" w:styleId="MachinecrireHTML2">
    <w:name w:val="Machine à écrire HTML2"/>
    <w:rsid w:val="005F3FB7"/>
    <w:rPr>
      <w:rFonts w:ascii="Courier New" w:eastAsia="Times New Roman" w:hAnsi="Courier New" w:cs="Courier New"/>
      <w:sz w:val="20"/>
      <w:szCs w:val="20"/>
    </w:rPr>
  </w:style>
  <w:style w:type="character" w:styleId="MachinecrireHTML">
    <w:name w:val="HTML Typewriter"/>
    <w:rsid w:val="005F3FB7"/>
    <w:rPr>
      <w:rFonts w:ascii="Arial Unicode MS" w:eastAsia="Arial Unicode MS" w:hAnsi="Arial Unicode MS" w:cs="Arial Unicode MS"/>
      <w:sz w:val="20"/>
      <w:szCs w:val="20"/>
    </w:rPr>
  </w:style>
  <w:style w:type="paragraph" w:customStyle="1" w:styleId="Spacebetweennumberedparas">
    <w:name w:val="Space between numbered paras"/>
    <w:basedOn w:val="Normal"/>
    <w:next w:val="Titre1"/>
    <w:rsid w:val="005F3FB7"/>
    <w:pPr>
      <w:overflowPunct w:val="0"/>
      <w:autoSpaceDE w:val="0"/>
      <w:autoSpaceDN w:val="0"/>
      <w:adjustRightInd w:val="0"/>
      <w:spacing w:after="0" w:line="240" w:lineRule="auto"/>
      <w:textAlignment w:val="baseline"/>
    </w:pPr>
    <w:rPr>
      <w:rFonts w:ascii="Times New Roman" w:eastAsia="Times New Roman" w:hAnsi="Times New Roman"/>
      <w:szCs w:val="20"/>
    </w:rPr>
  </w:style>
  <w:style w:type="paragraph" w:customStyle="1" w:styleId="Retraitpuces1">
    <w:name w:val="Retrait à puces 1"/>
    <w:basedOn w:val="Normal"/>
    <w:rsid w:val="005F3FB7"/>
    <w:pPr>
      <w:tabs>
        <w:tab w:val="num" w:pos="435"/>
      </w:tabs>
      <w:spacing w:after="120" w:line="240" w:lineRule="auto"/>
      <w:ind w:left="435" w:hanging="435"/>
      <w:jc w:val="both"/>
    </w:pPr>
    <w:rPr>
      <w:rFonts w:ascii="Times New Roman" w:eastAsia="Times New Roman" w:hAnsi="Times New Roman"/>
      <w:sz w:val="24"/>
      <w:szCs w:val="20"/>
      <w:lang w:eastAsia="fr-FR"/>
    </w:rPr>
  </w:style>
  <w:style w:type="paragraph" w:customStyle="1" w:styleId="CarcterCarCarCarcterCarcter">
    <w:name w:val="Carácter Car Car Carácter Carácter"/>
    <w:basedOn w:val="Normal"/>
    <w:rsid w:val="005F3FB7"/>
    <w:pPr>
      <w:spacing w:line="240" w:lineRule="exact"/>
    </w:pPr>
    <w:rPr>
      <w:rFonts w:ascii="Book Antiqua" w:eastAsia="Times New Roman" w:hAnsi="Book Antiqua"/>
      <w:sz w:val="20"/>
      <w:szCs w:val="20"/>
    </w:rPr>
  </w:style>
  <w:style w:type="character" w:customStyle="1" w:styleId="bandeautitre1">
    <w:name w:val="bandeautitre1"/>
    <w:rsid w:val="005F3FB7"/>
    <w:rPr>
      <w:b/>
      <w:bCs/>
      <w:color w:val="666666"/>
      <w:sz w:val="30"/>
      <w:szCs w:val="30"/>
    </w:rPr>
  </w:style>
  <w:style w:type="character" w:customStyle="1" w:styleId="textenormalpb1">
    <w:name w:val="textenormalpb1"/>
    <w:rsid w:val="005F3FB7"/>
    <w:rPr>
      <w:rFonts w:ascii="Verdana" w:hAnsi="Verdana" w:cs="Times New Roman"/>
      <w:color w:val="2933AB"/>
      <w:sz w:val="20"/>
      <w:szCs w:val="20"/>
    </w:rPr>
  </w:style>
  <w:style w:type="character" w:customStyle="1" w:styleId="citecrochet1">
    <w:name w:val="cite_crochet1"/>
    <w:rsid w:val="005F3FB7"/>
    <w:rPr>
      <w:vanish/>
      <w:webHidden w:val="0"/>
      <w:specVanish w:val="0"/>
    </w:rPr>
  </w:style>
  <w:style w:type="paragraph" w:customStyle="1" w:styleId="Corpsdetexte21">
    <w:name w:val="Corps de texte 21"/>
    <w:basedOn w:val="Normal"/>
    <w:autoRedefine/>
    <w:rsid w:val="005F3FB7"/>
    <w:pPr>
      <w:widowControl w:val="0"/>
      <w:spacing w:after="120" w:line="240" w:lineRule="auto"/>
      <w:ind w:left="900" w:hanging="360"/>
      <w:jc w:val="both"/>
    </w:pPr>
    <w:rPr>
      <w:rFonts w:ascii="Maiandra GD" w:eastAsia="Times New Roman" w:hAnsi="Maiandra GD"/>
      <w:b/>
      <w:bCs/>
      <w:lang w:val="fr-CH" w:eastAsia="fr-FR"/>
    </w:rPr>
  </w:style>
  <w:style w:type="paragraph" w:customStyle="1" w:styleId="xartnum1">
    <w:name w:val="x_artnum1"/>
    <w:basedOn w:val="Normal"/>
    <w:uiPriority w:val="99"/>
    <w:rsid w:val="005F3FB7"/>
    <w:pPr>
      <w:numPr>
        <w:numId w:val="22"/>
      </w:numPr>
      <w:spacing w:before="240" w:after="0" w:line="240" w:lineRule="auto"/>
      <w:ind w:left="240" w:right="180" w:firstLine="0"/>
    </w:pPr>
    <w:rPr>
      <w:rFonts w:ascii="Arial" w:eastAsia="Times New Roman" w:hAnsi="Arial" w:cs="Arial"/>
      <w:b/>
      <w:bCs/>
      <w:color w:val="0000FF"/>
      <w:sz w:val="24"/>
      <w:szCs w:val="24"/>
      <w:lang w:eastAsia="fr-FR"/>
    </w:rPr>
  </w:style>
  <w:style w:type="paragraph" w:customStyle="1" w:styleId="xpar1">
    <w:name w:val="x_par1"/>
    <w:basedOn w:val="Normal"/>
    <w:uiPriority w:val="99"/>
    <w:rsid w:val="005F3FB7"/>
    <w:pPr>
      <w:spacing w:before="60" w:after="0" w:line="240" w:lineRule="auto"/>
      <w:ind w:left="240" w:right="240"/>
    </w:pPr>
    <w:rPr>
      <w:rFonts w:ascii="Arial" w:eastAsia="Times New Roman" w:hAnsi="Arial" w:cs="Arial"/>
      <w:color w:val="000000"/>
      <w:sz w:val="24"/>
      <w:szCs w:val="24"/>
      <w:lang w:eastAsia="fr-FR"/>
    </w:rPr>
  </w:style>
  <w:style w:type="character" w:customStyle="1" w:styleId="editsection">
    <w:name w:val="editsection"/>
    <w:rsid w:val="005F3FB7"/>
  </w:style>
  <w:style w:type="character" w:customStyle="1" w:styleId="mw-headline">
    <w:name w:val="mw-headline"/>
    <w:rsid w:val="005F3FB7"/>
  </w:style>
  <w:style w:type="character" w:customStyle="1" w:styleId="addtype">
    <w:name w:val="addtype"/>
    <w:rsid w:val="005F3FB7"/>
  </w:style>
  <w:style w:type="paragraph" w:customStyle="1" w:styleId="Normal1">
    <w:name w:val="Normal1"/>
    <w:basedOn w:val="Normal"/>
    <w:link w:val="normalCar"/>
    <w:uiPriority w:val="99"/>
    <w:rsid w:val="005F3FB7"/>
    <w:pPr>
      <w:tabs>
        <w:tab w:val="left" w:pos="1134"/>
      </w:tabs>
      <w:spacing w:after="0" w:line="240" w:lineRule="auto"/>
      <w:jc w:val="both"/>
    </w:pPr>
    <w:rPr>
      <w:rFonts w:ascii="Times New Roman" w:eastAsia="Times New Roman" w:hAnsi="Times New Roman"/>
      <w:sz w:val="23"/>
      <w:szCs w:val="20"/>
      <w:lang w:val="x-none" w:eastAsia="x-none"/>
    </w:rPr>
  </w:style>
  <w:style w:type="character" w:customStyle="1" w:styleId="normalCar">
    <w:name w:val="normal Car"/>
    <w:link w:val="Normal1"/>
    <w:uiPriority w:val="99"/>
    <w:rsid w:val="005F3FB7"/>
    <w:rPr>
      <w:rFonts w:ascii="Times New Roman" w:eastAsia="Times New Roman" w:hAnsi="Times New Roman" w:cs="Times New Roman"/>
      <w:sz w:val="23"/>
      <w:szCs w:val="20"/>
      <w:lang w:val="x-none" w:eastAsia="x-none"/>
    </w:rPr>
  </w:style>
  <w:style w:type="character" w:customStyle="1" w:styleId="ouvrage">
    <w:name w:val="ouvrage"/>
    <w:rsid w:val="005F3FB7"/>
  </w:style>
  <w:style w:type="character" w:styleId="CitationHTML">
    <w:name w:val="HTML Cite"/>
    <w:unhideWhenUsed/>
    <w:rsid w:val="005F3FB7"/>
    <w:rPr>
      <w:i/>
      <w:iCs/>
    </w:rPr>
  </w:style>
  <w:style w:type="character" w:customStyle="1" w:styleId="longtext1">
    <w:name w:val="long_text1"/>
    <w:rsid w:val="005F3FB7"/>
    <w:rPr>
      <w:sz w:val="20"/>
      <w:szCs w:val="20"/>
    </w:rPr>
  </w:style>
  <w:style w:type="paragraph" w:customStyle="1" w:styleId="aligncenter">
    <w:name w:val="align_center"/>
    <w:basedOn w:val="Normal"/>
    <w:uiPriority w:val="99"/>
    <w:rsid w:val="005F3FB7"/>
    <w:pPr>
      <w:spacing w:before="100" w:beforeAutospacing="1" w:after="100" w:afterAutospacing="1" w:line="240" w:lineRule="auto"/>
    </w:pPr>
    <w:rPr>
      <w:rFonts w:ascii="Times New Roman" w:eastAsia="Times New Roman" w:hAnsi="Times New Roman"/>
      <w:sz w:val="24"/>
      <w:szCs w:val="24"/>
      <w:lang w:eastAsia="fr-FR"/>
    </w:rPr>
  </w:style>
  <w:style w:type="paragraph" w:customStyle="1" w:styleId="Listepuce">
    <w:name w:val="Liste à puce"/>
    <w:basedOn w:val="Normal"/>
    <w:uiPriority w:val="99"/>
    <w:rsid w:val="005F3FB7"/>
    <w:pPr>
      <w:numPr>
        <w:numId w:val="23"/>
      </w:numPr>
      <w:tabs>
        <w:tab w:val="clear" w:pos="360"/>
      </w:tabs>
      <w:spacing w:after="0" w:line="360" w:lineRule="auto"/>
      <w:ind w:left="720"/>
      <w:jc w:val="both"/>
    </w:pPr>
    <w:rPr>
      <w:rFonts w:ascii="Arial" w:eastAsia="Times New Roman" w:hAnsi="Arial" w:cs="Arial"/>
      <w:color w:val="000000"/>
      <w:szCs w:val="24"/>
      <w:lang w:val="fr-CA" w:eastAsia="fr-FR"/>
    </w:rPr>
  </w:style>
  <w:style w:type="paragraph" w:customStyle="1" w:styleId="RapEIS">
    <w:name w:val="RapEIS"/>
    <w:basedOn w:val="TM1"/>
    <w:link w:val="RapEISCar"/>
    <w:autoRedefine/>
    <w:uiPriority w:val="99"/>
    <w:rsid w:val="005F3FB7"/>
    <w:pPr>
      <w:tabs>
        <w:tab w:val="left" w:pos="480"/>
        <w:tab w:val="right" w:leader="dot" w:pos="9639"/>
      </w:tabs>
      <w:spacing w:line="240" w:lineRule="auto"/>
      <w:ind w:right="-567"/>
    </w:pPr>
    <w:rPr>
      <w:rFonts w:eastAsia="Times New Roman"/>
      <w:b w:val="0"/>
      <w:caps w:val="0"/>
    </w:rPr>
  </w:style>
  <w:style w:type="paragraph" w:customStyle="1" w:styleId="Aidemem1">
    <w:name w:val="Aidemem1"/>
    <w:basedOn w:val="Normal"/>
    <w:next w:val="Aidemem2"/>
    <w:rsid w:val="005F3FB7"/>
    <w:pPr>
      <w:widowControl w:val="0"/>
      <w:tabs>
        <w:tab w:val="num" w:pos="360"/>
        <w:tab w:val="left" w:pos="851"/>
      </w:tabs>
      <w:spacing w:before="240" w:after="240" w:line="240" w:lineRule="auto"/>
      <w:jc w:val="both"/>
    </w:pPr>
    <w:rPr>
      <w:rFonts w:ascii="Times New Roman Gras" w:eastAsia="Times New Roman" w:hAnsi="Times New Roman Gras"/>
      <w:b/>
      <w:bCs/>
      <w:smallCaps/>
      <w:snapToGrid w:val="0"/>
      <w:szCs w:val="20"/>
      <w:u w:val="single"/>
    </w:rPr>
  </w:style>
  <w:style w:type="paragraph" w:customStyle="1" w:styleId="Aidemem2">
    <w:name w:val="Aidemem2"/>
    <w:basedOn w:val="Normal"/>
    <w:rsid w:val="005F3FB7"/>
    <w:pPr>
      <w:widowControl w:val="0"/>
      <w:tabs>
        <w:tab w:val="num" w:pos="720"/>
        <w:tab w:val="left" w:pos="851"/>
      </w:tabs>
      <w:suppressAutoHyphens/>
      <w:spacing w:before="120" w:after="120" w:line="240" w:lineRule="auto"/>
      <w:jc w:val="both"/>
    </w:pPr>
    <w:rPr>
      <w:rFonts w:ascii="Times New Roman" w:eastAsia="Times New Roman" w:hAnsi="Times New Roman"/>
      <w:snapToGrid w:val="0"/>
      <w:szCs w:val="20"/>
    </w:rPr>
  </w:style>
  <w:style w:type="paragraph" w:customStyle="1" w:styleId="BodyText21">
    <w:name w:val="Body Text 21"/>
    <w:basedOn w:val="Normal"/>
    <w:autoRedefine/>
    <w:uiPriority w:val="99"/>
    <w:rsid w:val="005F3FB7"/>
    <w:pPr>
      <w:widowControl w:val="0"/>
      <w:autoSpaceDE w:val="0"/>
      <w:autoSpaceDN w:val="0"/>
      <w:spacing w:after="0" w:line="240" w:lineRule="auto"/>
      <w:ind w:right="-517"/>
      <w:jc w:val="both"/>
    </w:pPr>
    <w:rPr>
      <w:rFonts w:ascii="Times New Roman" w:eastAsia="Times New Roman" w:hAnsi="Times New Roman"/>
      <w:sz w:val="18"/>
      <w:szCs w:val="18"/>
      <w:lang w:eastAsia="fr-FR"/>
    </w:rPr>
  </w:style>
  <w:style w:type="paragraph" w:customStyle="1" w:styleId="Puce1">
    <w:name w:val="Puce 1"/>
    <w:basedOn w:val="Normal"/>
    <w:next w:val="Normal"/>
    <w:link w:val="Puce1Car"/>
    <w:uiPriority w:val="99"/>
    <w:qFormat/>
    <w:rsid w:val="005F3FB7"/>
    <w:pPr>
      <w:tabs>
        <w:tab w:val="num" w:pos="340"/>
      </w:tabs>
      <w:spacing w:after="0" w:line="360" w:lineRule="auto"/>
      <w:ind w:left="340" w:hanging="340"/>
      <w:jc w:val="both"/>
    </w:pPr>
    <w:rPr>
      <w:rFonts w:ascii="Arial" w:eastAsia="Times New Roman" w:hAnsi="Arial"/>
      <w:sz w:val="20"/>
      <w:szCs w:val="20"/>
      <w:lang w:eastAsia="fr-FR"/>
    </w:rPr>
  </w:style>
  <w:style w:type="paragraph" w:customStyle="1" w:styleId="Standard">
    <w:name w:val="Standard"/>
    <w:uiPriority w:val="99"/>
    <w:rsid w:val="005F3FB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puce0">
    <w:name w:val="puce"/>
    <w:basedOn w:val="Normal"/>
    <w:uiPriority w:val="99"/>
    <w:rsid w:val="005F3FB7"/>
    <w:pPr>
      <w:tabs>
        <w:tab w:val="num" w:pos="360"/>
        <w:tab w:val="left" w:pos="709"/>
      </w:tabs>
      <w:spacing w:after="0" w:line="240" w:lineRule="auto"/>
      <w:ind w:left="360" w:hanging="360"/>
      <w:jc w:val="both"/>
    </w:pPr>
    <w:rPr>
      <w:rFonts w:ascii="Arial" w:eastAsia="Times New Roman" w:hAnsi="Arial" w:cs="Arial"/>
      <w:szCs w:val="20"/>
    </w:rPr>
  </w:style>
  <w:style w:type="paragraph" w:customStyle="1" w:styleId="Corpsdetexte31">
    <w:name w:val="Corps de texte 31"/>
    <w:basedOn w:val="Normal"/>
    <w:rsid w:val="005F3FB7"/>
    <w:pPr>
      <w:tabs>
        <w:tab w:val="left" w:pos="720"/>
      </w:tabs>
      <w:spacing w:after="0" w:line="240" w:lineRule="auto"/>
      <w:jc w:val="both"/>
    </w:pPr>
    <w:rPr>
      <w:rFonts w:ascii="Times New Roman" w:eastAsia="Times New Roman" w:hAnsi="Times New Roman"/>
      <w:sz w:val="24"/>
      <w:szCs w:val="20"/>
      <w:lang w:eastAsia="fr-FR"/>
    </w:rPr>
  </w:style>
  <w:style w:type="paragraph" w:customStyle="1" w:styleId="Titre11">
    <w:name w:val="Titre 11"/>
    <w:basedOn w:val="Default"/>
    <w:next w:val="Default"/>
    <w:uiPriority w:val="9"/>
    <w:qFormat/>
    <w:rsid w:val="005F3FB7"/>
    <w:rPr>
      <w:rFonts w:ascii="Times New Roman" w:eastAsia="Times New Roman" w:hAnsi="Times New Roman" w:cs="Times New Roman"/>
      <w:color w:val="auto"/>
      <w:lang w:eastAsia="fr-FR"/>
    </w:rPr>
  </w:style>
  <w:style w:type="character" w:customStyle="1" w:styleId="hps">
    <w:name w:val="hps"/>
    <w:rsid w:val="005F3FB7"/>
  </w:style>
  <w:style w:type="paragraph" w:customStyle="1" w:styleId="yiv281670054msonormal">
    <w:name w:val="yiv281670054msonormal"/>
    <w:basedOn w:val="Normal"/>
    <w:rsid w:val="005F3FB7"/>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spipsurligne">
    <w:name w:val="spip_surligne"/>
    <w:rsid w:val="005F3FB7"/>
  </w:style>
  <w:style w:type="paragraph" w:customStyle="1" w:styleId="Normal3">
    <w:name w:val="Normal 3"/>
    <w:basedOn w:val="Normal"/>
    <w:uiPriority w:val="99"/>
    <w:rsid w:val="005F3FB7"/>
    <w:pPr>
      <w:spacing w:after="0" w:line="240" w:lineRule="auto"/>
      <w:jc w:val="both"/>
    </w:pPr>
    <w:rPr>
      <w:rFonts w:ascii="Arial" w:eastAsia="Times New Roman" w:hAnsi="Arial" w:cs="Arial"/>
      <w:snapToGrid w:val="0"/>
      <w:lang w:val="fr-CA" w:eastAsia="fr-FR"/>
    </w:rPr>
  </w:style>
  <w:style w:type="paragraph" w:customStyle="1" w:styleId="AMbullet">
    <w:name w:val="AM bullet"/>
    <w:basedOn w:val="Normal"/>
    <w:rsid w:val="005F3FB7"/>
    <w:pPr>
      <w:tabs>
        <w:tab w:val="num" w:pos="360"/>
        <w:tab w:val="left" w:pos="720"/>
        <w:tab w:val="left" w:pos="1440"/>
      </w:tabs>
      <w:spacing w:after="0" w:line="240" w:lineRule="auto"/>
      <w:ind w:left="360" w:right="14" w:hanging="360"/>
      <w:jc w:val="both"/>
    </w:pPr>
    <w:rPr>
      <w:rFonts w:ascii="Times New Roman" w:eastAsia="Times New Roman" w:hAnsi="Times New Roman"/>
      <w:sz w:val="24"/>
      <w:lang w:eastAsia="fr-FR"/>
    </w:rPr>
  </w:style>
  <w:style w:type="paragraph" w:customStyle="1" w:styleId="xl65">
    <w:name w:val="xl65"/>
    <w:basedOn w:val="Normal"/>
    <w:rsid w:val="005F3FB7"/>
    <w:pPr>
      <w:pBdr>
        <w:bottom w:val="single" w:sz="4" w:space="0" w:color="auto"/>
        <w:right w:val="single" w:sz="4" w:space="0" w:color="auto"/>
      </w:pBdr>
      <w:spacing w:before="100" w:after="100" w:line="240" w:lineRule="auto"/>
    </w:pPr>
    <w:rPr>
      <w:rFonts w:ascii="Arial" w:eastAsia="Arial Unicode MS" w:hAnsi="Arial"/>
      <w:b/>
      <w:sz w:val="24"/>
      <w:szCs w:val="24"/>
      <w:lang w:eastAsia="fr-FR"/>
    </w:rPr>
  </w:style>
  <w:style w:type="paragraph" w:customStyle="1" w:styleId="MAMA">
    <w:name w:val="MAMA"/>
    <w:basedOn w:val="Normal"/>
    <w:uiPriority w:val="99"/>
    <w:rsid w:val="005F3FB7"/>
    <w:pPr>
      <w:spacing w:before="120" w:after="0" w:line="360" w:lineRule="auto"/>
      <w:ind w:firstLine="851"/>
      <w:jc w:val="both"/>
    </w:pPr>
    <w:rPr>
      <w:rFonts w:ascii="Times New Roman" w:eastAsia="Times New Roman" w:hAnsi="Times New Roman"/>
      <w:sz w:val="24"/>
      <w:szCs w:val="24"/>
      <w:lang w:eastAsia="fr-FR"/>
    </w:rPr>
  </w:style>
  <w:style w:type="paragraph" w:styleId="Normalcentr">
    <w:name w:val="Block Text"/>
    <w:basedOn w:val="Normal"/>
    <w:uiPriority w:val="99"/>
    <w:rsid w:val="005F3FB7"/>
    <w:pPr>
      <w:numPr>
        <w:ilvl w:val="1"/>
        <w:numId w:val="24"/>
      </w:numPr>
      <w:tabs>
        <w:tab w:val="clear" w:pos="1605"/>
        <w:tab w:val="left" w:pos="-720"/>
      </w:tabs>
      <w:suppressAutoHyphens/>
      <w:spacing w:before="100" w:after="100" w:line="240" w:lineRule="auto"/>
      <w:ind w:left="480" w:right="-74" w:firstLine="0"/>
      <w:jc w:val="both"/>
    </w:pPr>
    <w:rPr>
      <w:rFonts w:ascii="Times New Roman" w:eastAsia="Times New Roman" w:hAnsi="Times New Roman"/>
      <w:color w:val="000000"/>
      <w:spacing w:val="-3"/>
      <w:sz w:val="24"/>
      <w:szCs w:val="24"/>
      <w:lang w:eastAsia="fr-FR"/>
    </w:rPr>
  </w:style>
  <w:style w:type="paragraph" w:customStyle="1" w:styleId="Style9">
    <w:name w:val="Style9"/>
    <w:basedOn w:val="Normal"/>
    <w:link w:val="Style9Char"/>
    <w:qFormat/>
    <w:rsid w:val="005F3FB7"/>
    <w:pPr>
      <w:tabs>
        <w:tab w:val="num" w:pos="1605"/>
      </w:tabs>
      <w:spacing w:after="0" w:line="240" w:lineRule="auto"/>
      <w:ind w:left="1605" w:hanging="180"/>
    </w:pPr>
    <w:rPr>
      <w:rFonts w:ascii="Times New Roman" w:eastAsia="Times New Roman" w:hAnsi="Times New Roman"/>
      <w:sz w:val="24"/>
      <w:szCs w:val="24"/>
      <w:lang w:eastAsia="fr-FR"/>
    </w:rPr>
  </w:style>
  <w:style w:type="character" w:styleId="Appeldenotedefin">
    <w:name w:val="endnote reference"/>
    <w:uiPriority w:val="99"/>
    <w:unhideWhenUsed/>
    <w:rsid w:val="005F3FB7"/>
    <w:rPr>
      <w:vertAlign w:val="superscript"/>
    </w:rPr>
  </w:style>
  <w:style w:type="paragraph" w:customStyle="1" w:styleId="Paragraphedeliste11">
    <w:name w:val="Paragraphe de liste11"/>
    <w:basedOn w:val="Normal"/>
    <w:uiPriority w:val="99"/>
    <w:qFormat/>
    <w:rsid w:val="005F3FB7"/>
    <w:pPr>
      <w:spacing w:after="200" w:line="276" w:lineRule="auto"/>
      <w:ind w:left="720"/>
    </w:pPr>
    <w:rPr>
      <w:rFonts w:eastAsia="Times New Roman" w:cs="Calibri"/>
      <w:lang w:eastAsia="fr-FR"/>
    </w:rPr>
  </w:style>
  <w:style w:type="paragraph" w:customStyle="1" w:styleId="Nomdesocit">
    <w:name w:val="Nom de société"/>
    <w:basedOn w:val="Normal"/>
    <w:rsid w:val="005F3FB7"/>
    <w:pPr>
      <w:tabs>
        <w:tab w:val="num" w:pos="360"/>
      </w:tabs>
      <w:spacing w:after="0" w:line="240" w:lineRule="auto"/>
      <w:ind w:left="360" w:hanging="360"/>
    </w:pPr>
    <w:rPr>
      <w:rFonts w:ascii="Times New Roman" w:eastAsia="Times New Roman" w:hAnsi="Times New Roman"/>
      <w:sz w:val="20"/>
      <w:szCs w:val="20"/>
      <w:lang w:eastAsia="fr-FR"/>
    </w:rPr>
  </w:style>
  <w:style w:type="paragraph" w:customStyle="1" w:styleId="Table-FigureTitle">
    <w:name w:val="Table-Figure Title"/>
    <w:basedOn w:val="Normal"/>
    <w:uiPriority w:val="99"/>
    <w:rsid w:val="005F3FB7"/>
    <w:pPr>
      <w:spacing w:after="120" w:line="240" w:lineRule="auto"/>
    </w:pPr>
    <w:rPr>
      <w:rFonts w:ascii="Arial" w:eastAsia="Times New Roman" w:hAnsi="Arial"/>
      <w:b/>
      <w:szCs w:val="24"/>
    </w:rPr>
  </w:style>
  <w:style w:type="paragraph" w:customStyle="1" w:styleId="yiv1732061606msolistparagraph">
    <w:name w:val="yiv1732061606msolistparagraph"/>
    <w:basedOn w:val="Normal"/>
    <w:uiPriority w:val="99"/>
    <w:rsid w:val="005F3FB7"/>
    <w:pPr>
      <w:spacing w:before="100" w:beforeAutospacing="1" w:after="100" w:afterAutospacing="1" w:line="240" w:lineRule="auto"/>
    </w:pPr>
    <w:rPr>
      <w:rFonts w:ascii="Times New Roman" w:eastAsia="Times New Roman" w:hAnsi="Times New Roman"/>
      <w:sz w:val="24"/>
      <w:szCs w:val="24"/>
      <w:lang w:eastAsia="fr-FR"/>
    </w:rPr>
  </w:style>
  <w:style w:type="paragraph" w:customStyle="1" w:styleId="yiv916813975msonormal">
    <w:name w:val="yiv916813975msonormal"/>
    <w:basedOn w:val="Normal"/>
    <w:uiPriority w:val="99"/>
    <w:rsid w:val="005F3FB7"/>
    <w:pPr>
      <w:spacing w:before="100" w:beforeAutospacing="1" w:after="100" w:afterAutospacing="1" w:line="240" w:lineRule="auto"/>
    </w:pPr>
    <w:rPr>
      <w:rFonts w:ascii="Times New Roman" w:eastAsia="Times New Roman" w:hAnsi="Times New Roman"/>
      <w:sz w:val="24"/>
      <w:szCs w:val="24"/>
      <w:lang w:eastAsia="fr-FR"/>
    </w:rPr>
  </w:style>
  <w:style w:type="paragraph" w:customStyle="1" w:styleId="Puce">
    <w:name w:val="Puce"/>
    <w:basedOn w:val="Normal"/>
    <w:uiPriority w:val="99"/>
    <w:rsid w:val="005F3FB7"/>
    <w:pPr>
      <w:numPr>
        <w:numId w:val="25"/>
      </w:numPr>
      <w:spacing w:after="120" w:line="240" w:lineRule="auto"/>
      <w:jc w:val="both"/>
    </w:pPr>
    <w:rPr>
      <w:rFonts w:ascii="Times New Roman" w:eastAsia="Times New Roman" w:hAnsi="Times New Roman"/>
      <w:sz w:val="24"/>
      <w:szCs w:val="20"/>
      <w:lang w:val="fr-CA" w:eastAsia="fr-FR"/>
    </w:rPr>
  </w:style>
  <w:style w:type="paragraph" w:customStyle="1" w:styleId="CM76">
    <w:name w:val="CM76"/>
    <w:basedOn w:val="Default"/>
    <w:next w:val="Default"/>
    <w:uiPriority w:val="99"/>
    <w:rsid w:val="005F3FB7"/>
    <w:pPr>
      <w:widowControl w:val="0"/>
      <w:spacing w:after="113"/>
    </w:pPr>
    <w:rPr>
      <w:rFonts w:ascii="Times New Roman" w:eastAsia="Times New Roman" w:hAnsi="Times New Roman" w:cs="Times New Roman"/>
      <w:color w:val="auto"/>
      <w:lang w:eastAsia="fr-FR"/>
    </w:rPr>
  </w:style>
  <w:style w:type="paragraph" w:customStyle="1" w:styleId="CM96">
    <w:name w:val="CM96"/>
    <w:basedOn w:val="Default"/>
    <w:next w:val="Default"/>
    <w:uiPriority w:val="99"/>
    <w:rsid w:val="005F3FB7"/>
    <w:pPr>
      <w:widowControl w:val="0"/>
      <w:spacing w:after="628"/>
    </w:pPr>
    <w:rPr>
      <w:rFonts w:ascii="Times New Roman" w:eastAsia="Times New Roman" w:hAnsi="Times New Roman" w:cs="Times New Roman"/>
      <w:color w:val="auto"/>
      <w:lang w:eastAsia="fr-FR"/>
    </w:rPr>
  </w:style>
  <w:style w:type="paragraph" w:customStyle="1" w:styleId="CM61">
    <w:name w:val="CM61"/>
    <w:basedOn w:val="Default"/>
    <w:next w:val="Default"/>
    <w:uiPriority w:val="99"/>
    <w:rsid w:val="005F3FB7"/>
    <w:pPr>
      <w:widowControl w:val="0"/>
      <w:spacing w:line="383" w:lineRule="atLeast"/>
    </w:pPr>
    <w:rPr>
      <w:rFonts w:ascii="Times New Roman" w:eastAsia="Times New Roman" w:hAnsi="Times New Roman" w:cs="Times New Roman"/>
      <w:color w:val="auto"/>
      <w:lang w:eastAsia="fr-FR"/>
    </w:rPr>
  </w:style>
  <w:style w:type="paragraph" w:customStyle="1" w:styleId="CM62">
    <w:name w:val="CM62"/>
    <w:basedOn w:val="Default"/>
    <w:next w:val="Default"/>
    <w:uiPriority w:val="99"/>
    <w:rsid w:val="005F3FB7"/>
    <w:pPr>
      <w:widowControl w:val="0"/>
      <w:spacing w:line="383" w:lineRule="atLeast"/>
    </w:pPr>
    <w:rPr>
      <w:rFonts w:ascii="Times New Roman" w:eastAsia="Times New Roman" w:hAnsi="Times New Roman" w:cs="Times New Roman"/>
      <w:color w:val="auto"/>
      <w:lang w:eastAsia="fr-FR"/>
    </w:rPr>
  </w:style>
  <w:style w:type="paragraph" w:customStyle="1" w:styleId="ecxmsonormal">
    <w:name w:val="ecxmsonormal"/>
    <w:basedOn w:val="Normal"/>
    <w:rsid w:val="005F3FB7"/>
    <w:pPr>
      <w:spacing w:before="100" w:beforeAutospacing="1" w:after="100" w:afterAutospacing="1" w:line="240" w:lineRule="auto"/>
    </w:pPr>
    <w:rPr>
      <w:rFonts w:ascii="Times New Roman" w:eastAsia="Times New Roman" w:hAnsi="Times New Roman"/>
      <w:sz w:val="24"/>
      <w:szCs w:val="24"/>
      <w:lang w:eastAsia="fr-FR"/>
    </w:rPr>
  </w:style>
  <w:style w:type="paragraph" w:customStyle="1" w:styleId="ecxmsolistparagraph">
    <w:name w:val="ecxmsolistparagraph"/>
    <w:basedOn w:val="Normal"/>
    <w:uiPriority w:val="99"/>
    <w:rsid w:val="005F3FB7"/>
    <w:pPr>
      <w:spacing w:before="100" w:beforeAutospacing="1" w:after="100" w:afterAutospacing="1" w:line="240" w:lineRule="auto"/>
    </w:pPr>
    <w:rPr>
      <w:rFonts w:ascii="Times New Roman" w:eastAsia="Times New Roman" w:hAnsi="Times New Roman"/>
      <w:sz w:val="24"/>
      <w:szCs w:val="24"/>
      <w:lang w:eastAsia="fr-FR"/>
    </w:rPr>
  </w:style>
  <w:style w:type="paragraph" w:customStyle="1" w:styleId="yiv3426639617msonormal">
    <w:name w:val="yiv3426639617msonormal"/>
    <w:basedOn w:val="Normal"/>
    <w:uiPriority w:val="99"/>
    <w:rsid w:val="005F3FB7"/>
    <w:pPr>
      <w:spacing w:before="100" w:beforeAutospacing="1" w:after="100" w:afterAutospacing="1" w:line="240" w:lineRule="auto"/>
    </w:pPr>
    <w:rPr>
      <w:rFonts w:ascii="Times New Roman" w:eastAsia="Times New Roman" w:hAnsi="Times New Roman"/>
      <w:sz w:val="24"/>
      <w:szCs w:val="24"/>
      <w:lang w:eastAsia="fr-FR"/>
    </w:rPr>
  </w:style>
  <w:style w:type="paragraph" w:customStyle="1" w:styleId="Lgendedestableaux">
    <w:name w:val="Légende des tableaux"/>
    <w:basedOn w:val="Normal"/>
    <w:uiPriority w:val="99"/>
    <w:qFormat/>
    <w:rsid w:val="005F3FB7"/>
    <w:pPr>
      <w:numPr>
        <w:numId w:val="26"/>
      </w:numPr>
      <w:tabs>
        <w:tab w:val="left" w:pos="851"/>
      </w:tabs>
      <w:spacing w:before="120" w:after="120" w:line="312" w:lineRule="auto"/>
      <w:jc w:val="both"/>
    </w:pPr>
    <w:rPr>
      <w:rFonts w:ascii="Arial Narrow" w:eastAsia="Cambria" w:hAnsi="Arial Narrow"/>
    </w:rPr>
  </w:style>
  <w:style w:type="paragraph" w:customStyle="1" w:styleId="Paragraphedeliste3">
    <w:name w:val="Paragraphe de liste3"/>
    <w:basedOn w:val="Normal"/>
    <w:qFormat/>
    <w:rsid w:val="005F3FB7"/>
    <w:pPr>
      <w:spacing w:after="200" w:line="276" w:lineRule="auto"/>
      <w:ind w:left="720"/>
      <w:contextualSpacing/>
    </w:pPr>
    <w:rPr>
      <w:lang w:val="fr-HT"/>
    </w:rPr>
  </w:style>
  <w:style w:type="paragraph" w:customStyle="1" w:styleId="TableContents">
    <w:name w:val="Table Contents"/>
    <w:basedOn w:val="Standard"/>
    <w:uiPriority w:val="99"/>
    <w:rsid w:val="005F3FB7"/>
    <w:pPr>
      <w:widowControl/>
      <w:suppressLineNumbers/>
    </w:pPr>
    <w:rPr>
      <w:rFonts w:eastAsia="Times New Roman" w:cs="Times New Roman"/>
      <w:lang w:bidi="ar-SA"/>
    </w:rPr>
  </w:style>
  <w:style w:type="paragraph" w:customStyle="1" w:styleId="titresbt">
    <w:name w:val="titresbt"/>
    <w:basedOn w:val="Normal"/>
    <w:uiPriority w:val="99"/>
    <w:rsid w:val="005F3FB7"/>
    <w:pPr>
      <w:spacing w:before="160" w:after="48" w:line="240" w:lineRule="auto"/>
    </w:pPr>
    <w:rPr>
      <w:rFonts w:ascii="Times New Roman" w:eastAsia="Times New Roman" w:hAnsi="Times New Roman"/>
      <w:lang w:eastAsia="fr-FR"/>
    </w:rPr>
  </w:style>
  <w:style w:type="paragraph" w:customStyle="1" w:styleId="Sansinterligne1">
    <w:name w:val="Sans interligne1"/>
    <w:uiPriority w:val="1"/>
    <w:qFormat/>
    <w:rsid w:val="005F3FB7"/>
    <w:pPr>
      <w:spacing w:after="0" w:line="240" w:lineRule="auto"/>
    </w:pPr>
    <w:rPr>
      <w:rFonts w:ascii="Calibri" w:eastAsia="Times New Roman" w:hAnsi="Calibri" w:cs="Times New Roman"/>
      <w:sz w:val="20"/>
      <w:szCs w:val="20"/>
      <w:lang w:eastAsia="fr-FR"/>
    </w:rPr>
  </w:style>
  <w:style w:type="character" w:customStyle="1" w:styleId="Titre3CarCar1">
    <w:name w:val="Titre 3 Car Car1"/>
    <w:aliases w:val="Titre 3 Car Car Car Car1,titre n3 Car,3 Car Car,Titre 3 Car Car Car Car2,titre n3 Car1,3 Car,Titre 3 Car1,Centered Car1,annex Car1,(1.1.1.) Car1,Heading 3 Char Car1,Centered Char Car1,centered Char Car1,Left Char Car1,centered Car1"/>
    <w:uiPriority w:val="9"/>
    <w:rsid w:val="005F3FB7"/>
    <w:rPr>
      <w:rFonts w:ascii="Arial" w:hAnsi="Arial" w:cs="Arial"/>
      <w:b/>
      <w:bCs/>
      <w:sz w:val="26"/>
      <w:szCs w:val="26"/>
      <w:lang w:val="fr-FR" w:eastAsia="fr-FR" w:bidi="ar-SA"/>
    </w:rPr>
  </w:style>
  <w:style w:type="character" w:customStyle="1" w:styleId="nowrap">
    <w:name w:val="nowrap"/>
    <w:rsid w:val="005F3FB7"/>
  </w:style>
  <w:style w:type="paragraph" w:styleId="Liste20">
    <w:name w:val="List 2"/>
    <w:basedOn w:val="Normal"/>
    <w:rsid w:val="005F3FB7"/>
    <w:pPr>
      <w:widowControl w:val="0"/>
      <w:suppressAutoHyphens/>
      <w:spacing w:before="120" w:beforeAutospacing="1" w:after="120" w:afterAutospacing="1" w:line="240" w:lineRule="auto"/>
      <w:ind w:left="566" w:hanging="283"/>
      <w:jc w:val="both"/>
    </w:pPr>
    <w:rPr>
      <w:rFonts w:ascii="Times New Roman" w:eastAsia="SimSun" w:hAnsi="Times New Roman"/>
      <w:kern w:val="1"/>
      <w:sz w:val="24"/>
      <w:szCs w:val="24"/>
      <w:lang w:val="it-IT" w:eastAsia="hi-IN" w:bidi="hi-IN"/>
    </w:rPr>
  </w:style>
  <w:style w:type="paragraph" w:customStyle="1" w:styleId="spip">
    <w:name w:val="spip"/>
    <w:basedOn w:val="Normal"/>
    <w:rsid w:val="005F3FB7"/>
    <w:pPr>
      <w:spacing w:before="100" w:beforeAutospacing="1" w:after="100" w:afterAutospacing="1" w:line="240" w:lineRule="auto"/>
    </w:pPr>
    <w:rPr>
      <w:rFonts w:ascii="Times New Roman" w:eastAsia="Times New Roman" w:hAnsi="Times New Roman"/>
      <w:sz w:val="24"/>
      <w:szCs w:val="24"/>
      <w:lang w:eastAsia="fr-FR"/>
    </w:rPr>
  </w:style>
  <w:style w:type="paragraph" w:customStyle="1" w:styleId="ftrefCharCarCharCarCharCarCharCarCharCarCharCarCharCarCharCarCharCarCharCarCharCarChar">
    <w:name w:val="ftref Char Car Char Car Char Car Char Car Char Car Char Car Char Car Char Car Char Car Char Car Char Car Char"/>
    <w:basedOn w:val="Normal"/>
    <w:next w:val="Normal"/>
    <w:uiPriority w:val="99"/>
    <w:rsid w:val="005F3FB7"/>
    <w:pPr>
      <w:spacing w:line="240" w:lineRule="exact"/>
    </w:pPr>
    <w:rPr>
      <w:rFonts w:ascii="Cambria" w:eastAsia="Times New Roman" w:hAnsi="Cambria"/>
      <w:sz w:val="24"/>
      <w:szCs w:val="24"/>
      <w:vertAlign w:val="superscript"/>
      <w:lang w:eastAsia="fr-FR"/>
    </w:rPr>
  </w:style>
  <w:style w:type="paragraph" w:customStyle="1" w:styleId="BodyText31">
    <w:name w:val="Body Text 31"/>
    <w:basedOn w:val="Normal"/>
    <w:rsid w:val="005F3FB7"/>
    <w:pPr>
      <w:tabs>
        <w:tab w:val="left" w:pos="720"/>
      </w:tabs>
      <w:spacing w:after="0" w:line="240" w:lineRule="auto"/>
      <w:jc w:val="both"/>
    </w:pPr>
    <w:rPr>
      <w:rFonts w:ascii="Times New Roman" w:eastAsia="Times New Roman" w:hAnsi="Times New Roman"/>
      <w:sz w:val="24"/>
      <w:szCs w:val="20"/>
      <w:lang w:eastAsia="fr-FR"/>
    </w:rPr>
  </w:style>
  <w:style w:type="paragraph" w:customStyle="1" w:styleId="OtherHeader">
    <w:name w:val="OtherHeader"/>
    <w:basedOn w:val="En-tte"/>
    <w:next w:val="Normal"/>
    <w:rsid w:val="005F3FB7"/>
    <w:pPr>
      <w:tabs>
        <w:tab w:val="clear" w:pos="4536"/>
        <w:tab w:val="clear" w:pos="9072"/>
        <w:tab w:val="left" w:pos="4153"/>
        <w:tab w:val="right" w:pos="7655"/>
        <w:tab w:val="right" w:pos="8306"/>
      </w:tabs>
      <w:overflowPunct w:val="0"/>
      <w:autoSpaceDE w:val="0"/>
      <w:autoSpaceDN w:val="0"/>
      <w:adjustRightInd w:val="0"/>
      <w:spacing w:before="360" w:after="240" w:line="264" w:lineRule="auto"/>
      <w:textAlignment w:val="baseline"/>
    </w:pPr>
    <w:rPr>
      <w:rFonts w:ascii="Book Antiqua" w:eastAsia="Times New Roman" w:hAnsi="Book Antiqua"/>
      <w:b/>
      <w:i/>
      <w:caps/>
      <w:szCs w:val="20"/>
    </w:rPr>
  </w:style>
  <w:style w:type="paragraph" w:customStyle="1" w:styleId="pucepoint">
    <w:name w:val="puce point"/>
    <w:basedOn w:val="Normal"/>
    <w:link w:val="pucepointCar"/>
    <w:uiPriority w:val="99"/>
    <w:rsid w:val="005F3FB7"/>
    <w:pPr>
      <w:numPr>
        <w:numId w:val="27"/>
      </w:numPr>
      <w:spacing w:after="0" w:line="240" w:lineRule="auto"/>
      <w:jc w:val="both"/>
    </w:pPr>
    <w:rPr>
      <w:rFonts w:ascii="Arial" w:eastAsia="Times New Roman" w:hAnsi="Arial"/>
      <w:position w:val="-7"/>
      <w:szCs w:val="20"/>
      <w:lang w:val="fr-CA" w:eastAsia="fr-CA"/>
    </w:rPr>
  </w:style>
  <w:style w:type="character" w:customStyle="1" w:styleId="pucepointCar">
    <w:name w:val="puce point Car"/>
    <w:link w:val="pucepoint"/>
    <w:uiPriority w:val="99"/>
    <w:rsid w:val="005F3FB7"/>
    <w:rPr>
      <w:rFonts w:ascii="Arial" w:eastAsia="Times New Roman" w:hAnsi="Arial" w:cs="Times New Roman"/>
      <w:position w:val="-7"/>
      <w:szCs w:val="20"/>
      <w:lang w:val="fr-CA" w:eastAsia="fr-CA"/>
    </w:rPr>
  </w:style>
  <w:style w:type="paragraph" w:customStyle="1" w:styleId="Text0">
    <w:name w:val="Text"/>
    <w:basedOn w:val="Normal"/>
    <w:uiPriority w:val="99"/>
    <w:rsid w:val="005F3FB7"/>
    <w:pPr>
      <w:spacing w:line="240" w:lineRule="auto"/>
    </w:pPr>
    <w:rPr>
      <w:rFonts w:ascii="Garamond" w:eastAsia="Times New Roman" w:hAnsi="Garamond"/>
      <w:szCs w:val="24"/>
    </w:rPr>
  </w:style>
  <w:style w:type="paragraph" w:customStyle="1" w:styleId="n">
    <w:name w:val="n"/>
    <w:basedOn w:val="Normal"/>
    <w:uiPriority w:val="99"/>
    <w:rsid w:val="005F3FB7"/>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fl">
    <w:name w:val="fl"/>
    <w:rsid w:val="005F3FB7"/>
  </w:style>
  <w:style w:type="paragraph" w:customStyle="1" w:styleId="DFSTitre1">
    <w:name w:val="DFS_Titre 1"/>
    <w:basedOn w:val="Normal"/>
    <w:uiPriority w:val="99"/>
    <w:rsid w:val="005F3FB7"/>
    <w:pPr>
      <w:tabs>
        <w:tab w:val="num" w:pos="1134"/>
      </w:tabs>
      <w:spacing w:after="0" w:line="240" w:lineRule="auto"/>
      <w:ind w:left="1134" w:hanging="1134"/>
    </w:pPr>
    <w:rPr>
      <w:rFonts w:ascii="Times New Roman" w:eastAsia="Times New Roman" w:hAnsi="Times New Roman"/>
      <w:sz w:val="20"/>
      <w:szCs w:val="20"/>
    </w:rPr>
  </w:style>
  <w:style w:type="paragraph" w:customStyle="1" w:styleId="DFSTitre2">
    <w:name w:val="DFS_Titre 2"/>
    <w:basedOn w:val="Normal"/>
    <w:uiPriority w:val="99"/>
    <w:rsid w:val="005F3FB7"/>
    <w:pPr>
      <w:tabs>
        <w:tab w:val="num" w:pos="1134"/>
      </w:tabs>
      <w:spacing w:after="0" w:line="240" w:lineRule="auto"/>
      <w:ind w:left="1134" w:hanging="1134"/>
    </w:pPr>
    <w:rPr>
      <w:rFonts w:ascii="Times New Roman" w:eastAsia="Times New Roman" w:hAnsi="Times New Roman"/>
      <w:sz w:val="20"/>
      <w:szCs w:val="20"/>
    </w:rPr>
  </w:style>
  <w:style w:type="paragraph" w:customStyle="1" w:styleId="DFSTitre3">
    <w:name w:val="DFS_Titre 3"/>
    <w:basedOn w:val="Normal"/>
    <w:uiPriority w:val="99"/>
    <w:rsid w:val="005F3FB7"/>
    <w:pPr>
      <w:numPr>
        <w:ilvl w:val="2"/>
        <w:numId w:val="28"/>
      </w:numPr>
      <w:spacing w:after="0" w:line="240" w:lineRule="auto"/>
    </w:pPr>
    <w:rPr>
      <w:rFonts w:ascii="Times New Roman" w:eastAsia="Times New Roman" w:hAnsi="Times New Roman"/>
      <w:sz w:val="20"/>
      <w:szCs w:val="20"/>
    </w:rPr>
  </w:style>
  <w:style w:type="paragraph" w:customStyle="1" w:styleId="DFSTitre4">
    <w:name w:val="DFS_Titre 4"/>
    <w:basedOn w:val="Normal"/>
    <w:uiPriority w:val="99"/>
    <w:rsid w:val="005F3FB7"/>
    <w:pPr>
      <w:numPr>
        <w:ilvl w:val="3"/>
        <w:numId w:val="28"/>
      </w:numPr>
      <w:spacing w:after="0" w:line="240" w:lineRule="auto"/>
    </w:pPr>
    <w:rPr>
      <w:rFonts w:ascii="Times New Roman" w:eastAsia="Times New Roman" w:hAnsi="Times New Roman"/>
      <w:sz w:val="20"/>
      <w:szCs w:val="20"/>
    </w:rPr>
  </w:style>
  <w:style w:type="paragraph" w:customStyle="1" w:styleId="bio">
    <w:name w:val="bio"/>
    <w:basedOn w:val="Normal"/>
    <w:uiPriority w:val="99"/>
    <w:rsid w:val="005F3FB7"/>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gch">
    <w:name w:val="gch"/>
    <w:rsid w:val="005F3FB7"/>
  </w:style>
  <w:style w:type="paragraph" w:customStyle="1" w:styleId="Heading11">
    <w:name w:val="Heading 11"/>
    <w:basedOn w:val="Default"/>
    <w:next w:val="Default"/>
    <w:uiPriority w:val="99"/>
    <w:rsid w:val="005F3FB7"/>
    <w:rPr>
      <w:rFonts w:ascii="Times New Roman" w:eastAsia="Times New Roman" w:hAnsi="Times New Roman" w:cs="Times New Roman"/>
      <w:color w:val="auto"/>
      <w:lang w:eastAsia="fr-FR"/>
    </w:rPr>
  </w:style>
  <w:style w:type="paragraph" w:customStyle="1" w:styleId="ListParagraph1">
    <w:name w:val="List Paragraph1"/>
    <w:basedOn w:val="Normal"/>
    <w:uiPriority w:val="99"/>
    <w:qFormat/>
    <w:rsid w:val="005F3FB7"/>
    <w:pPr>
      <w:spacing w:after="200" w:line="276" w:lineRule="auto"/>
      <w:ind w:left="720"/>
      <w:contextualSpacing/>
    </w:pPr>
    <w:rPr>
      <w:lang w:val="fr-HT"/>
    </w:rPr>
  </w:style>
  <w:style w:type="paragraph" w:customStyle="1" w:styleId="St1">
    <w:name w:val="St1"/>
    <w:basedOn w:val="Normal"/>
    <w:uiPriority w:val="99"/>
    <w:rsid w:val="005F3FB7"/>
    <w:pPr>
      <w:numPr>
        <w:numId w:val="29"/>
      </w:numPr>
      <w:spacing w:after="0" w:line="240" w:lineRule="auto"/>
      <w:ind w:right="-720"/>
      <w:jc w:val="both"/>
    </w:pPr>
    <w:rPr>
      <w:rFonts w:ascii="Univers" w:eastAsia="Times New Roman" w:hAnsi="Univers"/>
      <w:b/>
      <w:caps/>
      <w:szCs w:val="20"/>
      <w:u w:val="single"/>
    </w:rPr>
  </w:style>
  <w:style w:type="paragraph" w:customStyle="1" w:styleId="textecourant">
    <w:name w:val="textecourant"/>
    <w:basedOn w:val="Normal"/>
    <w:uiPriority w:val="99"/>
    <w:rsid w:val="005F3FB7"/>
    <w:pPr>
      <w:spacing w:before="100" w:beforeAutospacing="1" w:after="100" w:afterAutospacing="1" w:line="240" w:lineRule="auto"/>
    </w:pPr>
    <w:rPr>
      <w:rFonts w:ascii="Times New Roman" w:eastAsia="Times New Roman" w:hAnsi="Times New Roman"/>
      <w:sz w:val="24"/>
      <w:szCs w:val="24"/>
    </w:rPr>
  </w:style>
  <w:style w:type="character" w:customStyle="1" w:styleId="hidden-xs">
    <w:name w:val="hidden-xs"/>
    <w:rsid w:val="005F3FB7"/>
  </w:style>
  <w:style w:type="paragraph" w:customStyle="1" w:styleId="Numrodechapitre">
    <w:name w:val="Numéro de chapitre"/>
    <w:basedOn w:val="Normal"/>
    <w:uiPriority w:val="99"/>
    <w:rsid w:val="005F3FB7"/>
    <w:pPr>
      <w:keepNext/>
      <w:overflowPunct w:val="0"/>
      <w:autoSpaceDE w:val="0"/>
      <w:autoSpaceDN w:val="0"/>
      <w:adjustRightInd w:val="0"/>
      <w:spacing w:before="600" w:line="260" w:lineRule="atLeast"/>
      <w:jc w:val="center"/>
      <w:textAlignment w:val="baseline"/>
    </w:pPr>
    <w:rPr>
      <w:rFonts w:ascii="Times New Roman" w:eastAsia="Times New Roman" w:hAnsi="Times New Roman"/>
      <w:color w:val="000000"/>
      <w:sz w:val="24"/>
      <w:szCs w:val="20"/>
      <w:lang w:eastAsia="fr-FR"/>
    </w:rPr>
  </w:style>
  <w:style w:type="paragraph" w:customStyle="1" w:styleId="Pa10">
    <w:name w:val="Pa10"/>
    <w:basedOn w:val="Default"/>
    <w:next w:val="Default"/>
    <w:rsid w:val="005F3FB7"/>
    <w:pPr>
      <w:spacing w:line="221" w:lineRule="atLeast"/>
    </w:pPr>
    <w:rPr>
      <w:rFonts w:ascii="Calibri" w:hAnsi="Calibri" w:cs="Times New Roman"/>
      <w:color w:val="auto"/>
    </w:rPr>
  </w:style>
  <w:style w:type="character" w:customStyle="1" w:styleId="A10">
    <w:name w:val="A10"/>
    <w:uiPriority w:val="99"/>
    <w:rsid w:val="005F3FB7"/>
    <w:rPr>
      <w:rFonts w:cs="Calibri"/>
      <w:color w:val="000000"/>
      <w:sz w:val="12"/>
      <w:szCs w:val="12"/>
    </w:rPr>
  </w:style>
  <w:style w:type="character" w:customStyle="1" w:styleId="A12">
    <w:name w:val="A12"/>
    <w:uiPriority w:val="99"/>
    <w:rsid w:val="005F3FB7"/>
    <w:rPr>
      <w:rFonts w:cs="Calibri"/>
      <w:b/>
      <w:bCs/>
      <w:color w:val="000000"/>
    </w:rPr>
  </w:style>
  <w:style w:type="character" w:customStyle="1" w:styleId="A3">
    <w:name w:val="A3"/>
    <w:uiPriority w:val="99"/>
    <w:rsid w:val="005F3FB7"/>
    <w:rPr>
      <w:rFonts w:cs="Calibri"/>
      <w:color w:val="000000"/>
      <w:sz w:val="22"/>
      <w:szCs w:val="22"/>
    </w:rPr>
  </w:style>
  <w:style w:type="character" w:customStyle="1" w:styleId="A4">
    <w:name w:val="A4"/>
    <w:uiPriority w:val="99"/>
    <w:rsid w:val="005F3FB7"/>
    <w:rPr>
      <w:rFonts w:cs="Calibri"/>
      <w:color w:val="000000"/>
      <w:sz w:val="20"/>
      <w:szCs w:val="20"/>
    </w:rPr>
  </w:style>
  <w:style w:type="paragraph" w:customStyle="1" w:styleId="Pa16">
    <w:name w:val="Pa16"/>
    <w:basedOn w:val="Default"/>
    <w:next w:val="Default"/>
    <w:uiPriority w:val="99"/>
    <w:rsid w:val="005F3FB7"/>
    <w:pPr>
      <w:spacing w:line="221" w:lineRule="atLeast"/>
    </w:pPr>
    <w:rPr>
      <w:rFonts w:ascii="Calibri" w:hAnsi="Calibri" w:cs="Times New Roman"/>
      <w:color w:val="auto"/>
    </w:rPr>
  </w:style>
  <w:style w:type="character" w:customStyle="1" w:styleId="A15">
    <w:name w:val="A15"/>
    <w:uiPriority w:val="99"/>
    <w:rsid w:val="005F3FB7"/>
    <w:rPr>
      <w:rFonts w:ascii="Times New Roman" w:hAnsi="Times New Roman" w:cs="Times New Roman"/>
      <w:color w:val="000000"/>
      <w:sz w:val="22"/>
      <w:szCs w:val="22"/>
    </w:rPr>
  </w:style>
  <w:style w:type="paragraph" w:customStyle="1" w:styleId="Adressedest">
    <w:name w:val="Adresse dest."/>
    <w:basedOn w:val="Normal"/>
    <w:uiPriority w:val="99"/>
    <w:rsid w:val="005F3FB7"/>
    <w:pPr>
      <w:spacing w:after="0" w:line="240" w:lineRule="auto"/>
    </w:pPr>
    <w:rPr>
      <w:rFonts w:ascii="Times New Roman" w:eastAsia="Times New Roman" w:hAnsi="Times New Roman"/>
      <w:sz w:val="24"/>
      <w:szCs w:val="24"/>
      <w:lang w:eastAsia="fr-FR"/>
    </w:rPr>
  </w:style>
  <w:style w:type="character" w:customStyle="1" w:styleId="soustitre">
    <w:name w:val="soustitre"/>
    <w:rsid w:val="005F3FB7"/>
  </w:style>
  <w:style w:type="character" w:customStyle="1" w:styleId="information-label">
    <w:name w:val="information-label"/>
    <w:rsid w:val="005F3FB7"/>
  </w:style>
  <w:style w:type="character" w:customStyle="1" w:styleId="A7">
    <w:name w:val="A7"/>
    <w:uiPriority w:val="99"/>
    <w:rsid w:val="005F3FB7"/>
    <w:rPr>
      <w:rFonts w:cs="Adobe Caslon Pro"/>
      <w:color w:val="000000"/>
      <w:sz w:val="22"/>
      <w:szCs w:val="22"/>
    </w:rPr>
  </w:style>
  <w:style w:type="paragraph" w:customStyle="1" w:styleId="Pa2">
    <w:name w:val="Pa2"/>
    <w:basedOn w:val="Default"/>
    <w:next w:val="Default"/>
    <w:uiPriority w:val="99"/>
    <w:rsid w:val="005F3FB7"/>
    <w:pPr>
      <w:spacing w:line="241" w:lineRule="atLeast"/>
    </w:pPr>
    <w:rPr>
      <w:rFonts w:ascii="Adobe Caslon Pro" w:hAnsi="Adobe Caslon Pro" w:cs="Times New Roman"/>
      <w:color w:val="auto"/>
    </w:rPr>
  </w:style>
  <w:style w:type="paragraph" w:customStyle="1" w:styleId="Pa3">
    <w:name w:val="Pa3"/>
    <w:basedOn w:val="Default"/>
    <w:next w:val="Default"/>
    <w:uiPriority w:val="99"/>
    <w:rsid w:val="005F3FB7"/>
    <w:pPr>
      <w:spacing w:line="241" w:lineRule="atLeast"/>
    </w:pPr>
    <w:rPr>
      <w:rFonts w:ascii="AvantGarde" w:hAnsi="AvantGarde" w:cs="Times New Roman"/>
      <w:color w:val="auto"/>
    </w:rPr>
  </w:style>
  <w:style w:type="character" w:customStyle="1" w:styleId="A9">
    <w:name w:val="A9"/>
    <w:uiPriority w:val="99"/>
    <w:rsid w:val="005F3FB7"/>
    <w:rPr>
      <w:rFonts w:cs="AvantGarde"/>
      <w:color w:val="000000"/>
      <w:sz w:val="16"/>
      <w:szCs w:val="16"/>
    </w:rPr>
  </w:style>
  <w:style w:type="paragraph" w:customStyle="1" w:styleId="texte">
    <w:name w:val="texte"/>
    <w:basedOn w:val="Normal"/>
    <w:rsid w:val="005F3FB7"/>
    <w:pPr>
      <w:spacing w:before="100" w:beforeAutospacing="1" w:after="100" w:afterAutospacing="1" w:line="240" w:lineRule="auto"/>
    </w:pPr>
    <w:rPr>
      <w:rFonts w:ascii="Times New Roman" w:eastAsia="Times New Roman" w:hAnsi="Times New Roman"/>
      <w:sz w:val="24"/>
      <w:szCs w:val="24"/>
      <w:lang w:eastAsia="fr-FR"/>
    </w:rPr>
  </w:style>
  <w:style w:type="character" w:styleId="VariableHTML">
    <w:name w:val="HTML Variable"/>
    <w:rsid w:val="005F3FB7"/>
    <w:rPr>
      <w:i/>
      <w:iCs/>
      <w:lang w:val="fr-FR"/>
    </w:rPr>
  </w:style>
  <w:style w:type="paragraph" w:customStyle="1" w:styleId="Tableaun">
    <w:name w:val="Tableau n°"/>
    <w:basedOn w:val="Normal"/>
    <w:next w:val="Normal"/>
    <w:uiPriority w:val="99"/>
    <w:rsid w:val="005F3FB7"/>
    <w:pPr>
      <w:keepNext/>
      <w:tabs>
        <w:tab w:val="num" w:pos="435"/>
      </w:tabs>
      <w:spacing w:after="120" w:line="240" w:lineRule="auto"/>
      <w:ind w:left="435" w:hanging="435"/>
    </w:pPr>
    <w:rPr>
      <w:rFonts w:ascii="Arial" w:eastAsia="Times New Roman" w:hAnsi="Arial"/>
      <w:b/>
      <w:szCs w:val="20"/>
    </w:rPr>
  </w:style>
  <w:style w:type="character" w:customStyle="1" w:styleId="CharacterStyle6">
    <w:name w:val="Character Style 6"/>
    <w:rsid w:val="005F3FB7"/>
    <w:rPr>
      <w:rFonts w:ascii="Arial" w:hAnsi="Arial" w:cs="Arial"/>
      <w:color w:val="000000"/>
      <w:sz w:val="24"/>
      <w:szCs w:val="24"/>
    </w:rPr>
  </w:style>
  <w:style w:type="paragraph" w:customStyle="1" w:styleId="Style170">
    <w:name w:val="Style 17"/>
    <w:uiPriority w:val="99"/>
    <w:rsid w:val="005F3FB7"/>
    <w:pPr>
      <w:widowControl w:val="0"/>
      <w:autoSpaceDE w:val="0"/>
      <w:autoSpaceDN w:val="0"/>
      <w:spacing w:after="0" w:line="240" w:lineRule="auto"/>
      <w:ind w:left="1224"/>
    </w:pPr>
    <w:rPr>
      <w:rFonts w:ascii="Arial" w:eastAsia="Times New Roman" w:hAnsi="Arial" w:cs="Arial"/>
      <w:color w:val="000000"/>
      <w:sz w:val="24"/>
      <w:szCs w:val="24"/>
      <w:lang w:eastAsia="fr-FR"/>
    </w:rPr>
  </w:style>
  <w:style w:type="character" w:customStyle="1" w:styleId="A2">
    <w:name w:val="A2"/>
    <w:uiPriority w:val="99"/>
    <w:rsid w:val="005F3FB7"/>
    <w:rPr>
      <w:rFonts w:cs="AvantGarde"/>
      <w:color w:val="000000"/>
      <w:sz w:val="20"/>
      <w:szCs w:val="20"/>
    </w:rPr>
  </w:style>
  <w:style w:type="paragraph" w:customStyle="1" w:styleId="Pa0">
    <w:name w:val="Pa0"/>
    <w:basedOn w:val="Default"/>
    <w:next w:val="Default"/>
    <w:uiPriority w:val="99"/>
    <w:rsid w:val="005F3FB7"/>
    <w:pPr>
      <w:spacing w:line="241" w:lineRule="atLeast"/>
    </w:pPr>
    <w:rPr>
      <w:rFonts w:ascii="Adobe Caslon Pro" w:hAnsi="Adobe Caslon Pro" w:cs="Times New Roman"/>
      <w:color w:val="auto"/>
      <w:lang w:eastAsia="fr-FR"/>
    </w:rPr>
  </w:style>
  <w:style w:type="paragraph" w:customStyle="1" w:styleId="liste2">
    <w:name w:val="liste2"/>
    <w:basedOn w:val="Normal"/>
    <w:uiPriority w:val="99"/>
    <w:rsid w:val="005F3FB7"/>
    <w:pPr>
      <w:numPr>
        <w:ilvl w:val="1"/>
        <w:numId w:val="30"/>
      </w:numPr>
      <w:spacing w:before="120" w:after="60" w:line="240" w:lineRule="auto"/>
      <w:jc w:val="both"/>
    </w:pPr>
    <w:rPr>
      <w:rFonts w:ascii="Verdana" w:eastAsia="Times New Roman" w:hAnsi="Verdana"/>
      <w:sz w:val="18"/>
      <w:szCs w:val="20"/>
      <w:lang w:val="fr-CA" w:eastAsia="fr-FR"/>
    </w:rPr>
  </w:style>
  <w:style w:type="paragraph" w:customStyle="1" w:styleId="liste1">
    <w:name w:val="liste1"/>
    <w:basedOn w:val="Normal"/>
    <w:uiPriority w:val="99"/>
    <w:rsid w:val="005F3FB7"/>
    <w:pPr>
      <w:widowControl w:val="0"/>
      <w:numPr>
        <w:numId w:val="30"/>
      </w:numPr>
      <w:spacing w:before="120" w:after="60" w:line="240" w:lineRule="auto"/>
      <w:jc w:val="both"/>
    </w:pPr>
    <w:rPr>
      <w:rFonts w:ascii="Verdana" w:eastAsia="Times New Roman" w:hAnsi="Verdana"/>
      <w:sz w:val="18"/>
      <w:szCs w:val="20"/>
      <w:lang w:val="en-GB" w:eastAsia="fr-FR"/>
    </w:rPr>
  </w:style>
  <w:style w:type="paragraph" w:customStyle="1" w:styleId="Annexe">
    <w:name w:val="Annexe"/>
    <w:basedOn w:val="Normal"/>
    <w:next w:val="Normal"/>
    <w:uiPriority w:val="99"/>
    <w:rsid w:val="005F3FB7"/>
    <w:pPr>
      <w:spacing w:after="0" w:line="300" w:lineRule="atLeast"/>
      <w:jc w:val="center"/>
    </w:pPr>
    <w:rPr>
      <w:rFonts w:ascii="Times New Roman" w:eastAsia="Times New Roman" w:hAnsi="Times New Roman"/>
      <w:b/>
      <w:sz w:val="24"/>
      <w:szCs w:val="24"/>
    </w:rPr>
  </w:style>
  <w:style w:type="paragraph" w:customStyle="1" w:styleId="Headinga">
    <w:name w:val="Heading a"/>
    <w:basedOn w:val="Normal"/>
    <w:uiPriority w:val="99"/>
    <w:rsid w:val="005F3FB7"/>
    <w:pPr>
      <w:widowControl w:val="0"/>
      <w:spacing w:after="120" w:line="240" w:lineRule="auto"/>
    </w:pPr>
    <w:rPr>
      <w:rFonts w:ascii="Times New Roman" w:eastAsia="Times New Roman" w:hAnsi="Times New Roman"/>
      <w:szCs w:val="20"/>
    </w:rPr>
  </w:style>
  <w:style w:type="paragraph" w:customStyle="1" w:styleId="Listemoyenne2-Accent41">
    <w:name w:val="Liste moyenne 2 - Accent 41"/>
    <w:aliases w:val="List_Paragraph"/>
    <w:basedOn w:val="Normal"/>
    <w:uiPriority w:val="34"/>
    <w:qFormat/>
    <w:rsid w:val="005F3FB7"/>
    <w:pPr>
      <w:spacing w:after="200" w:line="276" w:lineRule="auto"/>
      <w:ind w:left="720"/>
      <w:contextualSpacing/>
    </w:pPr>
    <w:rPr>
      <w:rFonts w:eastAsia="Times New Roman"/>
      <w:lang w:bidi="fr-FR"/>
    </w:rPr>
  </w:style>
  <w:style w:type="paragraph" w:customStyle="1" w:styleId="FootnoteRefinFtNote">
    <w:name w:val="Footnote Ref in FtNote"/>
    <w:aliases w:val="SUPERS,16 Point Char Char Char Char,Superscript 6 Point Char Char Char Char,Appel note de bas de page Char Char Char Char,ftref Char Char Char Char,BVI fnr Char Char Char Char,BVI fnr Char Char Char Char Char"/>
    <w:basedOn w:val="Normal"/>
    <w:uiPriority w:val="99"/>
    <w:rsid w:val="005F3FB7"/>
    <w:pPr>
      <w:spacing w:line="240" w:lineRule="exact"/>
    </w:pPr>
    <w:rPr>
      <w:sz w:val="20"/>
      <w:szCs w:val="20"/>
      <w:vertAlign w:val="superscript"/>
      <w:lang w:eastAsia="fr-FR"/>
    </w:rPr>
  </w:style>
  <w:style w:type="paragraph" w:customStyle="1" w:styleId="Pa24">
    <w:name w:val="Pa24"/>
    <w:basedOn w:val="Default"/>
    <w:next w:val="Default"/>
    <w:uiPriority w:val="99"/>
    <w:rsid w:val="005F3FB7"/>
    <w:pPr>
      <w:spacing w:line="181" w:lineRule="atLeast"/>
    </w:pPr>
    <w:rPr>
      <w:rFonts w:ascii="Montserrat ExtraBold" w:hAnsi="Montserrat ExtraBold" w:cs="Times New Roman"/>
      <w:color w:val="auto"/>
      <w:lang w:eastAsia="fr-FR"/>
    </w:rPr>
  </w:style>
  <w:style w:type="character" w:customStyle="1" w:styleId="A11">
    <w:name w:val="A11"/>
    <w:uiPriority w:val="99"/>
    <w:rsid w:val="005F3FB7"/>
    <w:rPr>
      <w:rFonts w:cs="Leitura News Roman 3"/>
      <w:color w:val="000000"/>
      <w:sz w:val="17"/>
      <w:szCs w:val="17"/>
    </w:rPr>
  </w:style>
  <w:style w:type="character" w:customStyle="1" w:styleId="A1">
    <w:name w:val="A1"/>
    <w:uiPriority w:val="99"/>
    <w:rsid w:val="005F3FB7"/>
    <w:rPr>
      <w:rFonts w:cs="Adobe Garamond Pro"/>
      <w:b/>
      <w:bCs/>
      <w:color w:val="000000"/>
      <w:sz w:val="52"/>
      <w:szCs w:val="52"/>
    </w:rPr>
  </w:style>
  <w:style w:type="character" w:customStyle="1" w:styleId="footnotedescriptionChar">
    <w:name w:val="footnote description Char"/>
    <w:link w:val="footnotedescription"/>
    <w:locked/>
    <w:rsid w:val="005F3FB7"/>
    <w:rPr>
      <w:rFonts w:ascii="Times New Roman" w:eastAsia="Times New Roman" w:hAnsi="Times New Roman"/>
      <w:i/>
      <w:color w:val="181717"/>
      <w:sz w:val="18"/>
    </w:rPr>
  </w:style>
  <w:style w:type="paragraph" w:customStyle="1" w:styleId="footnotedescription">
    <w:name w:val="footnote description"/>
    <w:next w:val="Normal"/>
    <w:link w:val="footnotedescriptionChar"/>
    <w:rsid w:val="005F3FB7"/>
    <w:pPr>
      <w:spacing w:after="0" w:line="247" w:lineRule="auto"/>
      <w:ind w:right="61"/>
      <w:jc w:val="both"/>
    </w:pPr>
    <w:rPr>
      <w:rFonts w:ascii="Times New Roman" w:eastAsia="Times New Roman" w:hAnsi="Times New Roman"/>
      <w:i/>
      <w:color w:val="181717"/>
      <w:sz w:val="18"/>
    </w:rPr>
  </w:style>
  <w:style w:type="character" w:customStyle="1" w:styleId="footnotemark">
    <w:name w:val="footnote mark"/>
    <w:rsid w:val="005F3FB7"/>
    <w:rPr>
      <w:rFonts w:ascii="Times New Roman" w:eastAsia="Times New Roman" w:hAnsi="Times New Roman" w:cs="Times New Roman" w:hint="default"/>
      <w:color w:val="181717"/>
      <w:sz w:val="18"/>
      <w:vertAlign w:val="superscript"/>
    </w:rPr>
  </w:style>
  <w:style w:type="character" w:customStyle="1" w:styleId="txt-bgcolor-c5000b">
    <w:name w:val="txt-bgcolor-c5000b"/>
    <w:rsid w:val="005F3FB7"/>
  </w:style>
  <w:style w:type="character" w:customStyle="1" w:styleId="txt-bgcolor-aecf00">
    <w:name w:val="txt-bgcolor-aecf00"/>
    <w:rsid w:val="005F3FB7"/>
  </w:style>
  <w:style w:type="character" w:customStyle="1" w:styleId="txt-bgcolor-ff950e">
    <w:name w:val="txt-bgcolor-ff950e"/>
    <w:rsid w:val="005F3FB7"/>
  </w:style>
  <w:style w:type="character" w:customStyle="1" w:styleId="txt-bgcolor-009933">
    <w:name w:val="txt-bgcolor-009933"/>
    <w:rsid w:val="005F3FB7"/>
  </w:style>
  <w:style w:type="paragraph" w:customStyle="1" w:styleId="Pucebleuegras">
    <w:name w:val="Puce bleue gras"/>
    <w:basedOn w:val="Normal"/>
    <w:uiPriority w:val="99"/>
    <w:qFormat/>
    <w:rsid w:val="005F3FB7"/>
    <w:pPr>
      <w:numPr>
        <w:numId w:val="31"/>
      </w:numPr>
      <w:spacing w:after="240" w:line="240" w:lineRule="auto"/>
      <w:ind w:left="1559" w:hanging="425"/>
    </w:pPr>
    <w:rPr>
      <w:rFonts w:ascii="Arial" w:eastAsia="Times New Roman" w:hAnsi="Arial"/>
      <w:b/>
      <w:bCs/>
      <w:sz w:val="20"/>
      <w:szCs w:val="20"/>
      <w:lang w:val="x-none" w:eastAsia="fr-FR"/>
    </w:rPr>
  </w:style>
  <w:style w:type="paragraph" w:customStyle="1" w:styleId="TT2">
    <w:name w:val="TT2"/>
    <w:basedOn w:val="Pucebleuegras"/>
    <w:link w:val="TT2Car"/>
    <w:uiPriority w:val="99"/>
    <w:qFormat/>
    <w:rsid w:val="005F3FB7"/>
    <w:pPr>
      <w:spacing w:before="360"/>
      <w:ind w:left="1920" w:hanging="360"/>
    </w:pPr>
    <w:rPr>
      <w:b w:val="0"/>
      <w:bCs w:val="0"/>
    </w:rPr>
  </w:style>
  <w:style w:type="character" w:customStyle="1" w:styleId="TT2Car">
    <w:name w:val="TT2 Car"/>
    <w:link w:val="TT2"/>
    <w:uiPriority w:val="99"/>
    <w:rsid w:val="005F3FB7"/>
    <w:rPr>
      <w:rFonts w:ascii="Arial" w:eastAsia="Times New Roman" w:hAnsi="Arial" w:cs="Times New Roman"/>
      <w:sz w:val="20"/>
      <w:szCs w:val="20"/>
      <w:lang w:val="x-none" w:eastAsia="fr-FR"/>
    </w:rPr>
  </w:style>
  <w:style w:type="table" w:customStyle="1" w:styleId="TableNormal1">
    <w:name w:val="Table Normal1"/>
    <w:uiPriority w:val="2"/>
    <w:semiHidden/>
    <w:unhideWhenUsed/>
    <w:qFormat/>
    <w:rsid w:val="005F3FB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F3FB7"/>
    <w:pPr>
      <w:widowControl w:val="0"/>
      <w:autoSpaceDE w:val="0"/>
      <w:autoSpaceDN w:val="0"/>
      <w:spacing w:after="0" w:line="240" w:lineRule="auto"/>
    </w:pPr>
    <w:rPr>
      <w:rFonts w:ascii="Times New Roman" w:eastAsia="Times New Roman" w:hAnsi="Times New Roman"/>
      <w:lang w:eastAsia="fr-FR"/>
    </w:rPr>
  </w:style>
  <w:style w:type="paragraph" w:customStyle="1" w:styleId="Listecouleur-Accent12">
    <w:name w:val="Liste couleur - Accent 12"/>
    <w:aliases w:val="Liste couleur - Accent 121,Akapit z listą BS"/>
    <w:basedOn w:val="Normal"/>
    <w:uiPriority w:val="34"/>
    <w:qFormat/>
    <w:rsid w:val="005F3FB7"/>
    <w:pPr>
      <w:spacing w:after="0" w:line="240" w:lineRule="auto"/>
      <w:ind w:left="708"/>
    </w:pPr>
    <w:rPr>
      <w:rFonts w:ascii="Times New Roman" w:eastAsia="Times New Roman" w:hAnsi="Times New Roman"/>
      <w:sz w:val="20"/>
      <w:szCs w:val="20"/>
      <w:lang w:eastAsia="fr-FR"/>
    </w:rPr>
  </w:style>
  <w:style w:type="character" w:customStyle="1" w:styleId="Mentionnonrsolue2">
    <w:name w:val="Mention non résolue2"/>
    <w:uiPriority w:val="99"/>
    <w:unhideWhenUsed/>
    <w:rsid w:val="005F3FB7"/>
    <w:rPr>
      <w:color w:val="605E5C"/>
      <w:shd w:val="clear" w:color="auto" w:fill="E1DFDD"/>
    </w:rPr>
  </w:style>
  <w:style w:type="character" w:customStyle="1" w:styleId="Title1">
    <w:name w:val="Title1"/>
    <w:rsid w:val="005F3FB7"/>
  </w:style>
  <w:style w:type="character" w:customStyle="1" w:styleId="textexposedshow">
    <w:name w:val="text_exposed_show"/>
    <w:rsid w:val="005F3FB7"/>
  </w:style>
  <w:style w:type="paragraph" w:customStyle="1" w:styleId="SuggestedText">
    <w:name w:val="Suggested Text"/>
    <w:basedOn w:val="Corpsdetexte"/>
    <w:uiPriority w:val="99"/>
    <w:qFormat/>
    <w:rsid w:val="005F3FB7"/>
    <w:pPr>
      <w:pBdr>
        <w:top w:val="none" w:sz="0" w:space="0" w:color="auto"/>
        <w:left w:val="none" w:sz="0" w:space="0" w:color="auto"/>
        <w:bottom w:val="none" w:sz="0" w:space="0" w:color="auto"/>
        <w:right w:val="none" w:sz="0" w:space="0" w:color="auto"/>
      </w:pBdr>
      <w:shd w:val="clear" w:color="auto" w:fill="auto"/>
      <w:tabs>
        <w:tab w:val="clear" w:pos="4393"/>
      </w:tabs>
      <w:spacing w:before="60" w:after="60"/>
      <w:ind w:left="851"/>
      <w:jc w:val="left"/>
    </w:pPr>
    <w:rPr>
      <w:rFonts w:eastAsia="Calibri"/>
      <w:b w:val="0"/>
      <w:i/>
      <w:iCs/>
      <w:sz w:val="24"/>
      <w:szCs w:val="24"/>
      <w:lang w:eastAsia="en-US"/>
    </w:rPr>
  </w:style>
  <w:style w:type="paragraph" w:styleId="Listepuces3">
    <w:name w:val="List Bullet 3"/>
    <w:basedOn w:val="Normal"/>
    <w:uiPriority w:val="99"/>
    <w:unhideWhenUsed/>
    <w:rsid w:val="005F3FB7"/>
    <w:pPr>
      <w:numPr>
        <w:numId w:val="32"/>
      </w:numPr>
      <w:spacing w:after="0" w:line="240" w:lineRule="auto"/>
      <w:contextualSpacing/>
    </w:pPr>
    <w:rPr>
      <w:rFonts w:ascii="Times New Roman" w:eastAsia="Times New Roman" w:hAnsi="Times New Roman"/>
      <w:sz w:val="24"/>
      <w:szCs w:val="24"/>
      <w:lang w:eastAsia="fr-FR"/>
    </w:rPr>
  </w:style>
  <w:style w:type="paragraph" w:customStyle="1" w:styleId="Listemoyenne2-Accent21">
    <w:name w:val="Liste moyenne 2 - Accent 21"/>
    <w:hidden/>
    <w:uiPriority w:val="99"/>
    <w:semiHidden/>
    <w:rsid w:val="005F3FB7"/>
    <w:pPr>
      <w:spacing w:after="0" w:line="240" w:lineRule="auto"/>
    </w:pPr>
    <w:rPr>
      <w:rFonts w:ascii="Times New Roman" w:eastAsia="Times New Roman" w:hAnsi="Times New Roman" w:cs="Times New Roman"/>
      <w:sz w:val="24"/>
      <w:szCs w:val="24"/>
      <w:lang w:eastAsia="fr-FR"/>
    </w:rPr>
  </w:style>
  <w:style w:type="table" w:styleId="Grilledetableau3">
    <w:name w:val="Table Grid 3"/>
    <w:basedOn w:val="TableauNormal"/>
    <w:rsid w:val="005F3FB7"/>
    <w:pPr>
      <w:spacing w:after="0" w:line="240" w:lineRule="auto"/>
    </w:pPr>
    <w:rPr>
      <w:rFonts w:ascii="Times New Roman" w:eastAsia="Times New Roman" w:hAnsi="Times New Roman" w:cs="Times New Roman"/>
      <w:sz w:val="24"/>
      <w:szCs w:val="24"/>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auGrille1Clair-Accentuation6111">
    <w:name w:val="Tableau Grille 1 Clair - Accentuation 6111"/>
    <w:basedOn w:val="TableauNormal"/>
    <w:uiPriority w:val="46"/>
    <w:rsid w:val="005F3FB7"/>
    <w:pPr>
      <w:spacing w:after="0" w:line="240" w:lineRule="auto"/>
    </w:pPr>
    <w:rPr>
      <w:rFonts w:ascii="Calibri" w:eastAsia="Calibri" w:hAnsi="Calibri" w:cs="Times New Roman"/>
      <w:lang w:val="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character" w:customStyle="1" w:styleId="ExplorateurdedocumentCar1">
    <w:name w:val="Explorateur de document Car1"/>
    <w:uiPriority w:val="99"/>
    <w:rsid w:val="005F3FB7"/>
    <w:rPr>
      <w:rFonts w:ascii="Lucida Grande" w:eastAsia="Times New Roman" w:hAnsi="Lucida Grande" w:cs="Lucida Grande"/>
    </w:rPr>
  </w:style>
  <w:style w:type="paragraph" w:customStyle="1" w:styleId="Titre21">
    <w:name w:val="Titre 21"/>
    <w:basedOn w:val="Normal"/>
    <w:uiPriority w:val="9"/>
    <w:qFormat/>
    <w:rsid w:val="005F3FB7"/>
    <w:pPr>
      <w:widowControl w:val="0"/>
      <w:autoSpaceDE w:val="0"/>
      <w:autoSpaceDN w:val="0"/>
      <w:spacing w:after="0" w:line="240" w:lineRule="auto"/>
      <w:ind w:left="1108" w:hanging="852"/>
      <w:outlineLvl w:val="2"/>
    </w:pPr>
    <w:rPr>
      <w:rFonts w:ascii="Arial" w:eastAsia="Arial" w:hAnsi="Arial" w:cs="Arial"/>
      <w:b/>
      <w:bCs/>
      <w:sz w:val="20"/>
      <w:szCs w:val="20"/>
    </w:rPr>
  </w:style>
  <w:style w:type="character" w:customStyle="1" w:styleId="UnresolvedMention1">
    <w:name w:val="Unresolved Mention1"/>
    <w:uiPriority w:val="99"/>
    <w:semiHidden/>
    <w:unhideWhenUsed/>
    <w:rsid w:val="005F3FB7"/>
    <w:rPr>
      <w:color w:val="605E5C"/>
      <w:shd w:val="clear" w:color="auto" w:fill="E1DFDD"/>
    </w:rPr>
  </w:style>
  <w:style w:type="character" w:customStyle="1" w:styleId="CarteCar">
    <w:name w:val="Carte Car"/>
    <w:aliases w:val="LégendeJS Car,Tableau1 Car,Tableau2 Car,Tableau11 Car,Photographie Car,Char Car Car Car,Char Car Car Car Car Car Car,Char Car Car Car Car Car Car Car Car,Car Car Car Car Car Car Car Car Car Car Car,Car Car Car Car Car Car,Car3 Car"/>
    <w:uiPriority w:val="35"/>
    <w:rsid w:val="005F3FB7"/>
    <w:rPr>
      <w:b/>
      <w:sz w:val="24"/>
      <w:lang w:eastAsia="en-US"/>
    </w:rPr>
  </w:style>
  <w:style w:type="table" w:customStyle="1" w:styleId="TableauGrille4-Accentuation111">
    <w:name w:val="Tableau Grille 4 - Accentuation 111"/>
    <w:basedOn w:val="TableauNormal"/>
    <w:uiPriority w:val="49"/>
    <w:rsid w:val="005F3FB7"/>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GSTableBasic111">
    <w:name w:val="SGS Table Basic 111"/>
    <w:basedOn w:val="TableauNormal"/>
    <w:next w:val="Grilledutableau"/>
    <w:uiPriority w:val="39"/>
    <w:qFormat/>
    <w:rsid w:val="005F3FB7"/>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Liste311">
    <w:name w:val="Tableau Liste 311"/>
    <w:basedOn w:val="TableauNormal"/>
    <w:next w:val="TableauListe32"/>
    <w:uiPriority w:val="48"/>
    <w:rsid w:val="005F3FB7"/>
    <w:pPr>
      <w:spacing w:after="0" w:line="300" w:lineRule="exact"/>
      <w:jc w:val="both"/>
    </w:pPr>
    <w:rPr>
      <w:rFonts w:ascii="Times New Roman" w:eastAsia="Times New Roman" w:hAnsi="Times New Roman" w:cs="Times New Roman"/>
      <w:sz w:val="20"/>
      <w:szCs w:val="20"/>
      <w:lang w:val="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Liste321">
    <w:name w:val="Tableau Liste 321"/>
    <w:basedOn w:val="TableauNormal"/>
    <w:uiPriority w:val="48"/>
    <w:rsid w:val="005F3FB7"/>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SGSTableBasic121">
    <w:name w:val="SGS Table Basic 121"/>
    <w:basedOn w:val="TableauNormal"/>
    <w:next w:val="Grilledutableau"/>
    <w:uiPriority w:val="39"/>
    <w:qFormat/>
    <w:rsid w:val="005F3FB7"/>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GSTableBasic131">
    <w:name w:val="SGS Table Basic 131"/>
    <w:basedOn w:val="TableauNormal"/>
    <w:next w:val="Grilledutableau"/>
    <w:uiPriority w:val="39"/>
    <w:qFormat/>
    <w:rsid w:val="005F3FB7"/>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uco31">
    <w:name w:val="insuco31"/>
    <w:basedOn w:val="Grilledutableau"/>
    <w:next w:val="Rfrenceintense1"/>
    <w:uiPriority w:val="60"/>
    <w:rsid w:val="005F3FB7"/>
    <w:rPr>
      <w:rFonts w:ascii="Arial" w:hAnsi="Arial"/>
      <w:sz w:val="16"/>
      <w:szCs w:val="22"/>
    </w:rPr>
    <w:tblPr>
      <w:tblStyleRowBandSize w:val="1"/>
      <w:tblStyleColBandSize w:val="1"/>
      <w:tblBorders>
        <w:top w:val="single" w:sz="18" w:space="0" w:color="14726E"/>
        <w:left w:val="none" w:sz="0" w:space="0" w:color="auto"/>
        <w:bottom w:val="single" w:sz="18" w:space="0" w:color="14726E"/>
        <w:right w:val="none" w:sz="0" w:space="0" w:color="auto"/>
        <w:insideH w:val="none" w:sz="0" w:space="0" w:color="auto"/>
        <w:insideV w:val="none" w:sz="0" w:space="0" w:color="auto"/>
      </w:tblBorders>
    </w:tblPr>
    <w:tcPr>
      <w:vAlign w:val="center"/>
    </w:tcPr>
    <w:tblStylePr w:type="firstRow">
      <w:pPr>
        <w:wordWrap/>
        <w:spacing w:before="0" w:beforeAutospacing="0" w:afterLines="0" w:afterAutospacing="0" w:line="240" w:lineRule="auto"/>
      </w:pPr>
      <w:rPr>
        <w:b/>
        <w:bCs/>
      </w:rPr>
      <w:tblPr/>
      <w:tcPr>
        <w:tcBorders>
          <w:top w:val="single" w:sz="12" w:space="0" w:color="14726E"/>
          <w:left w:val="nil"/>
          <w:bottom w:val="single" w:sz="12" w:space="0" w:color="14726E"/>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tbs11">
    <w:name w:val="mtbs11"/>
    <w:basedOn w:val="TableauNormal"/>
    <w:next w:val="Grilledutableau"/>
    <w:uiPriority w:val="39"/>
    <w:qFormat/>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auNormal"/>
    <w:next w:val="Grilledutableau"/>
    <w:uiPriority w:val="59"/>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4-Accentuation211">
    <w:name w:val="Tableau Grille 4 - Accentuation 211"/>
    <w:basedOn w:val="TableauNormal"/>
    <w:uiPriority w:val="49"/>
    <w:rsid w:val="005F3FB7"/>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auGrille5Fonc-Accentuation211">
    <w:name w:val="Tableau Grille 5 Foncé - Accentuation 211"/>
    <w:basedOn w:val="TableauNormal"/>
    <w:next w:val="TableauGrille5Fonc-Accentuation22"/>
    <w:uiPriority w:val="50"/>
    <w:rsid w:val="005F3FB7"/>
    <w:pPr>
      <w:spacing w:after="0" w:line="240" w:lineRule="auto"/>
    </w:pPr>
    <w:rPr>
      <w:rFonts w:ascii="Calibri" w:eastAsia="Calibri" w:hAnsi="Calibri" w:cs="Times New Roman"/>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TableauGrille5Fonc-Accentuation221">
    <w:name w:val="Tableau Grille 5 Foncé - Accentuation 221"/>
    <w:basedOn w:val="TableauNormal"/>
    <w:uiPriority w:val="50"/>
    <w:rsid w:val="005F3FB7"/>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TableauGrille5Fonc-Accentuation411">
    <w:name w:val="Tableau Grille 5 Foncé - Accentuation 411"/>
    <w:basedOn w:val="TableauNormal"/>
    <w:uiPriority w:val="50"/>
    <w:rsid w:val="005F3FB7"/>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lledutableau21">
    <w:name w:val="Grille du tableau21"/>
    <w:basedOn w:val="TableauNormal"/>
    <w:next w:val="Grilledutableau"/>
    <w:uiPriority w:val="59"/>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tbs21">
    <w:name w:val="mtbs21"/>
    <w:basedOn w:val="TableauNormal"/>
    <w:next w:val="Grilledutableau"/>
    <w:uiPriority w:val="39"/>
    <w:qFormat/>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
    <w:name w:val="Grille du tableau31"/>
    <w:basedOn w:val="TableauNormal"/>
    <w:next w:val="Grilledutableau"/>
    <w:uiPriority w:val="59"/>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
    <w:name w:val="Grille du tableau41"/>
    <w:basedOn w:val="TableauNormal"/>
    <w:next w:val="Grilledutableau"/>
    <w:uiPriority w:val="59"/>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
    <w:name w:val="Grille du tableau111"/>
    <w:basedOn w:val="TableauNormal"/>
    <w:next w:val="Grilledutableau"/>
    <w:uiPriority w:val="59"/>
    <w:rsid w:val="005F3FB7"/>
    <w:pPr>
      <w:spacing w:after="0" w:line="240" w:lineRule="auto"/>
    </w:pPr>
    <w:rPr>
      <w:rFonts w:ascii="Calibri" w:eastAsia="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tbs31">
    <w:name w:val="mtbs31"/>
    <w:basedOn w:val="TableauNormal"/>
    <w:next w:val="Grilledutableau"/>
    <w:uiPriority w:val="39"/>
    <w:qFormat/>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tbs41">
    <w:name w:val="mtbs41"/>
    <w:basedOn w:val="TableauNormal"/>
    <w:next w:val="Grilledutableau"/>
    <w:uiPriority w:val="39"/>
    <w:qFormat/>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1">
    <w:name w:val="Titre 2 Car1"/>
    <w:aliases w:val="Paranum Car1,alec2 Car1,an Car1,(1.1) Car1,Heading 2 Char3 Car1,Heading 2 Char1 Char Car1,Heading 2 Char Char Char Car1,Heading 2 Char1 Char Char Char Car1,Heading 2 Char Char Char Char Char Car1,Titre secondaire (2) Car2,Heading 2 Car1"/>
    <w:uiPriority w:val="9"/>
    <w:rsid w:val="005F3FB7"/>
    <w:rPr>
      <w:rFonts w:ascii="Calibri Light" w:eastAsia="Times New Roman" w:hAnsi="Calibri Light" w:cs="Times New Roman"/>
      <w:color w:val="2F5496"/>
      <w:sz w:val="26"/>
      <w:szCs w:val="26"/>
    </w:rPr>
  </w:style>
  <w:style w:type="character" w:customStyle="1" w:styleId="Titre4Car1">
    <w:name w:val="Titre 4 Car1"/>
    <w:aliases w:val="Centred Car1,Cen. Car1,A Car1,(1.1.1.1.) Car1,Sous-Section Car1,Sous-Sectipson Car1,T4 Car1,Sous-Sectipson + Gauche :  0 cm Car1,Premiè... Car1,Première ligne : 0 cm... Car1,MainPara Car1,Première ligne : 0 cm Car1,ClauseSubSub_No&amp;Name Car1"/>
    <w:uiPriority w:val="9"/>
    <w:semiHidden/>
    <w:rsid w:val="005F3FB7"/>
    <w:rPr>
      <w:rFonts w:ascii="Calibri Light" w:eastAsia="Times New Roman" w:hAnsi="Calibri Light" w:cs="Times New Roman"/>
      <w:i/>
      <w:iCs/>
      <w:color w:val="2F5496"/>
      <w:sz w:val="22"/>
      <w:szCs w:val="22"/>
    </w:rPr>
  </w:style>
  <w:style w:type="character" w:customStyle="1" w:styleId="Titre5Car1">
    <w:name w:val="Titre 5 Car1"/>
    <w:aliases w:val="Side Car1,T 2 Car1,2.2.3.2 Car1,Soustit Car1,H5 Car1"/>
    <w:uiPriority w:val="9"/>
    <w:rsid w:val="005F3FB7"/>
    <w:rPr>
      <w:rFonts w:ascii="Calibri Light" w:eastAsia="Times New Roman" w:hAnsi="Calibri Light" w:cs="Times New Roman"/>
      <w:color w:val="2F5496"/>
      <w:sz w:val="22"/>
      <w:szCs w:val="22"/>
    </w:rPr>
  </w:style>
  <w:style w:type="character" w:customStyle="1" w:styleId="Titre6Car1">
    <w:name w:val="Titre 6 Car1"/>
    <w:aliases w:val="ann Car1,(a Car1,b Car1,..) Car1"/>
    <w:uiPriority w:val="9"/>
    <w:rsid w:val="005F3FB7"/>
    <w:rPr>
      <w:rFonts w:ascii="Calibri Light" w:eastAsia="Times New Roman" w:hAnsi="Calibri Light" w:cs="Times New Roman"/>
      <w:color w:val="1F3763"/>
      <w:sz w:val="22"/>
      <w:szCs w:val="22"/>
    </w:rPr>
  </w:style>
  <w:style w:type="paragraph" w:customStyle="1" w:styleId="msonormal0">
    <w:name w:val="msonormal"/>
    <w:basedOn w:val="Normal"/>
    <w:rsid w:val="005F3FB7"/>
    <w:pPr>
      <w:spacing w:before="100" w:beforeAutospacing="1" w:after="100" w:afterAutospacing="1" w:line="240" w:lineRule="auto"/>
      <w:jc w:val="both"/>
    </w:pPr>
    <w:rPr>
      <w:rFonts w:ascii="Times New Roman" w:eastAsia="Times New Roman" w:hAnsi="Times New Roman"/>
      <w:sz w:val="24"/>
      <w:szCs w:val="24"/>
      <w:lang w:eastAsia="fr-FR"/>
    </w:rPr>
  </w:style>
  <w:style w:type="character" w:customStyle="1" w:styleId="Titre9Car1">
    <w:name w:val="Titre 9 Car1"/>
    <w:aliases w:val="Heading 9-paranum Car1"/>
    <w:uiPriority w:val="9"/>
    <w:rsid w:val="005F3FB7"/>
    <w:rPr>
      <w:rFonts w:ascii="Calibri Light" w:eastAsia="Times New Roman" w:hAnsi="Calibri Light" w:cs="Times New Roman"/>
      <w:i/>
      <w:iCs/>
      <w:color w:val="272727"/>
      <w:sz w:val="21"/>
      <w:szCs w:val="21"/>
    </w:rPr>
  </w:style>
  <w:style w:type="character" w:customStyle="1" w:styleId="NotedebasdepageCar1">
    <w:name w:val="Note de bas de page Car1"/>
    <w:aliases w:val="Note de bas de pages Car1,NBP Car1,single space Car1,footnote text Car1,fn Car1,FOOTNOTES Car1,Footnote Text Char1 Char Car1,Footnote Text Char Char Char1 Car1,Footnote Text Char1 Char Char Char1 Car1,Nbpage Moens Car,f Car1"/>
    <w:uiPriority w:val="99"/>
    <w:rsid w:val="005F3FB7"/>
    <w:rPr>
      <w:sz w:val="20"/>
      <w:szCs w:val="20"/>
    </w:rPr>
  </w:style>
  <w:style w:type="character" w:customStyle="1" w:styleId="En-tteCar1">
    <w:name w:val="En-tête Car1"/>
    <w:aliases w:val="En-tête client Car1,Car2 Car1,/ pied de page Car1,Kopfzeile Angebot Car1,En-tête CV Car1,BRL TeT Car1,Kopfzeile Char Char Car1, Char Char Char Car1,heading 3 after h2 Car1,h Car1,ContentsHeader Car1,KPMG Car1,STYLE NORMAL Car1,Header1 Car1"/>
    <w:uiPriority w:val="99"/>
    <w:rsid w:val="005F3FB7"/>
  </w:style>
  <w:style w:type="character" w:customStyle="1" w:styleId="CorpsdetexteCar1">
    <w:name w:val="Corps de texte Car1"/>
    <w:aliases w:val="tx Car1,Body Text jaga Car1,gl Car1,Body Text Char1 Car1,Body Text Char Char Car1,Body Text Char2 Char Char Car1,Body Text Char1 Char Char Char Car1,Body Text Char Char Char Char Char Car1,Bod Car1,Corps de texte Car Car Car Car1"/>
    <w:uiPriority w:val="99"/>
    <w:rsid w:val="005F3FB7"/>
  </w:style>
  <w:style w:type="character" w:customStyle="1" w:styleId="Mentionnonrsolue3">
    <w:name w:val="Mention non résolue3"/>
    <w:uiPriority w:val="99"/>
    <w:semiHidden/>
    <w:rsid w:val="005F3FB7"/>
    <w:rPr>
      <w:color w:val="605E5C"/>
      <w:shd w:val="clear" w:color="auto" w:fill="E1DFDD"/>
    </w:rPr>
  </w:style>
  <w:style w:type="paragraph" w:styleId="Notedefin">
    <w:name w:val="endnote text"/>
    <w:basedOn w:val="Normal"/>
    <w:link w:val="NotedefinCar"/>
    <w:uiPriority w:val="99"/>
    <w:unhideWhenUsed/>
    <w:rsid w:val="005F3FB7"/>
    <w:rPr>
      <w:rFonts w:asciiTheme="minorHAnsi" w:eastAsia="Times New Roman" w:hAnsiTheme="minorHAnsi" w:cstheme="minorBidi"/>
      <w:lang w:val="x-none" w:eastAsia="x-none"/>
    </w:rPr>
  </w:style>
  <w:style w:type="character" w:customStyle="1" w:styleId="NotedefinCar2">
    <w:name w:val="Note de fin Car2"/>
    <w:basedOn w:val="Policepardfaut"/>
    <w:uiPriority w:val="99"/>
    <w:semiHidden/>
    <w:rsid w:val="005F3FB7"/>
    <w:rPr>
      <w:rFonts w:ascii="Calibri" w:eastAsia="Calibri" w:hAnsi="Calibri" w:cs="Times New Roman"/>
      <w:sz w:val="20"/>
      <w:szCs w:val="20"/>
      <w:lang w:val="en-US"/>
    </w:rPr>
  </w:style>
  <w:style w:type="paragraph" w:styleId="Explorateurdedocuments">
    <w:name w:val="Document Map"/>
    <w:basedOn w:val="Normal"/>
    <w:link w:val="ExplorateurdedocumentsCar"/>
    <w:uiPriority w:val="99"/>
    <w:unhideWhenUsed/>
    <w:rsid w:val="005F3FB7"/>
    <w:rPr>
      <w:rFonts w:ascii="Lucida Grande" w:eastAsia="Times New Roman" w:hAnsi="Lucida Grande" w:cstheme="minorBidi"/>
      <w:sz w:val="24"/>
      <w:szCs w:val="24"/>
      <w:lang w:val="x-none" w:eastAsia="x-none"/>
    </w:rPr>
  </w:style>
  <w:style w:type="character" w:customStyle="1" w:styleId="ExplorateurdedocumentsCar2">
    <w:name w:val="Explorateur de documents Car2"/>
    <w:basedOn w:val="Policepardfaut"/>
    <w:uiPriority w:val="99"/>
    <w:semiHidden/>
    <w:rsid w:val="005F3FB7"/>
    <w:rPr>
      <w:rFonts w:ascii="Segoe UI" w:eastAsia="Calibri" w:hAnsi="Segoe UI" w:cs="Segoe UI"/>
      <w:sz w:val="16"/>
      <w:szCs w:val="16"/>
      <w:lang w:val="en-US"/>
    </w:rPr>
  </w:style>
  <w:style w:type="table" w:customStyle="1" w:styleId="TableauGrille1Clair-Accentuation612">
    <w:name w:val="Tableau Grille 1 Clair - Accentuation 612"/>
    <w:basedOn w:val="TableauNormal"/>
    <w:uiPriority w:val="46"/>
    <w:rsid w:val="005F3FB7"/>
    <w:pPr>
      <w:spacing w:after="0" w:line="240" w:lineRule="auto"/>
    </w:pPr>
    <w:rPr>
      <w:rFonts w:ascii="Calibri" w:eastAsia="Calibri" w:hAnsi="Calibri" w:cs="Times New Roman"/>
      <w:lang w:val="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TableauGrille1Clair-Accentuation6112">
    <w:name w:val="Tableau Grille 1 Clair - Accentuation 6112"/>
    <w:basedOn w:val="TableauNormal"/>
    <w:uiPriority w:val="46"/>
    <w:rsid w:val="005F3FB7"/>
    <w:pPr>
      <w:spacing w:after="0" w:line="240" w:lineRule="auto"/>
    </w:pPr>
    <w:rPr>
      <w:rFonts w:ascii="Calibri" w:eastAsia="Calibri" w:hAnsi="Calibri" w:cs="Times New Roman"/>
      <w:lang w:val="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TableauGrille1Clair-Accentuation621">
    <w:name w:val="Tableau Grille 1 Clair - Accentuation 621"/>
    <w:basedOn w:val="TableauNormal"/>
    <w:uiPriority w:val="46"/>
    <w:rsid w:val="005F3FB7"/>
    <w:pPr>
      <w:spacing w:after="0" w:line="240" w:lineRule="auto"/>
    </w:pPr>
    <w:rPr>
      <w:rFonts w:ascii="Calibri" w:eastAsia="Calibri" w:hAnsi="Calibri" w:cs="Times New Roman"/>
      <w:lang w:val="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SGSTableBasic15">
    <w:name w:val="SGS Table Basic 15"/>
    <w:basedOn w:val="TableauNormal"/>
    <w:next w:val="Grilledutableau"/>
    <w:uiPriority w:val="39"/>
    <w:qFormat/>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12">
    <w:name w:val="Grille12"/>
    <w:basedOn w:val="TableauNormal"/>
    <w:next w:val="Grilledutableau"/>
    <w:uiPriority w:val="39"/>
    <w:rsid w:val="005F3FB7"/>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5F3FB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auGrille1Clair-Accentuation61111">
    <w:name w:val="Tableau Grille 1 Clair - Accentuation 61111"/>
    <w:basedOn w:val="TableauNormal"/>
    <w:uiPriority w:val="46"/>
    <w:rsid w:val="005F3FB7"/>
    <w:pPr>
      <w:spacing w:after="0" w:line="240" w:lineRule="auto"/>
    </w:pPr>
    <w:rPr>
      <w:rFonts w:ascii="Calibri" w:eastAsia="Calibri" w:hAnsi="Calibri" w:cs="Times New Roman"/>
      <w:lang w:val="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T01">
    <w:name w:val="GT01"/>
    <w:basedOn w:val="TableauNormal"/>
    <w:next w:val="Grilledutableau"/>
    <w:uiPriority w:val="39"/>
    <w:qFormat/>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T02">
    <w:name w:val="GT02"/>
    <w:basedOn w:val="TableauNormal"/>
    <w:next w:val="Grilledutableau"/>
    <w:uiPriority w:val="39"/>
    <w:qFormat/>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612">
    <w:name w:val="Liste claire - Accent 612"/>
    <w:basedOn w:val="TableauNormal"/>
    <w:next w:val="Bibliographie1"/>
    <w:uiPriority w:val="61"/>
    <w:rsid w:val="005F3FB7"/>
    <w:pPr>
      <w:spacing w:after="0" w:line="240" w:lineRule="auto"/>
    </w:pPr>
    <w:rPr>
      <w:rFonts w:ascii="Times New Roman" w:eastAsia="Calibri" w:hAnsi="Times New Roman" w:cs="Times New Roman"/>
      <w:sz w:val="24"/>
      <w:szCs w:val="24"/>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1">
    <w:name w:val="Liste claire - Accent 61"/>
    <w:basedOn w:val="TableauNormal"/>
    <w:next w:val="Bibliographie1"/>
    <w:uiPriority w:val="61"/>
    <w:rsid w:val="005F3FB7"/>
    <w:pPr>
      <w:spacing w:after="0" w:line="240" w:lineRule="auto"/>
    </w:pPr>
    <w:rPr>
      <w:rFonts w:ascii="Times New Roman" w:eastAsia="Calibri" w:hAnsi="Times New Roman" w:cs="Times New Roman"/>
      <w:sz w:val="24"/>
      <w:szCs w:val="24"/>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2">
    <w:name w:val="Liste claire - Accent 62"/>
    <w:basedOn w:val="TableauNormal"/>
    <w:next w:val="Bibliographie1"/>
    <w:uiPriority w:val="61"/>
    <w:unhideWhenUsed/>
    <w:rsid w:val="005F3FB7"/>
    <w:pPr>
      <w:spacing w:after="0" w:line="240" w:lineRule="auto"/>
    </w:pPr>
    <w:rPr>
      <w:rFonts w:ascii="Calibri" w:eastAsia="Calibri" w:hAnsi="Calibri" w:cs="Times New Roman"/>
      <w:lang w:val="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paragraph" w:customStyle="1" w:styleId="En-ttedetabledesmatires1">
    <w:name w:val="En-tête de table des matières1"/>
    <w:basedOn w:val="Titre1"/>
    <w:next w:val="Normal"/>
    <w:uiPriority w:val="39"/>
    <w:unhideWhenUsed/>
    <w:qFormat/>
    <w:rsid w:val="005F3FB7"/>
    <w:pPr>
      <w:numPr>
        <w:numId w:val="0"/>
      </w:numPr>
      <w:spacing w:after="0" w:line="259" w:lineRule="auto"/>
      <w:ind w:right="0"/>
      <w:jc w:val="left"/>
      <w:outlineLvl w:val="9"/>
    </w:pPr>
    <w:rPr>
      <w:rFonts w:ascii="Calibri Light" w:hAnsi="Calibri Light"/>
      <w:b w:val="0"/>
      <w:bCs w:val="0"/>
      <w:caps w:val="0"/>
      <w:color w:val="2E74B5"/>
      <w:kern w:val="0"/>
      <w:sz w:val="32"/>
    </w:rPr>
  </w:style>
  <w:style w:type="character" w:customStyle="1" w:styleId="Emphaseple1">
    <w:name w:val="Emphase pâle1"/>
    <w:uiPriority w:val="19"/>
    <w:qFormat/>
    <w:rsid w:val="005F3FB7"/>
    <w:rPr>
      <w:i/>
      <w:iCs/>
      <w:color w:val="808080"/>
    </w:rPr>
  </w:style>
  <w:style w:type="character" w:customStyle="1" w:styleId="TableauGrille3-Accentuation11">
    <w:name w:val="Tableau Grille 3 - Accentuation 11"/>
    <w:uiPriority w:val="33"/>
    <w:qFormat/>
    <w:rsid w:val="005F3FB7"/>
    <w:rPr>
      <w:b/>
      <w:bCs/>
      <w:smallCaps/>
      <w:spacing w:val="5"/>
    </w:rPr>
  </w:style>
  <w:style w:type="paragraph" w:customStyle="1" w:styleId="Titre31">
    <w:name w:val="Titre3"/>
    <w:basedOn w:val="Normal"/>
    <w:next w:val="Normal"/>
    <w:link w:val="Titre3Car0"/>
    <w:qFormat/>
    <w:rsid w:val="005F3FB7"/>
    <w:pPr>
      <w:spacing w:after="200" w:line="276" w:lineRule="auto"/>
    </w:pPr>
    <w:rPr>
      <w:rFonts w:ascii="Times New Roman" w:eastAsia="Times New Roman" w:hAnsi="Times New Roman"/>
      <w:sz w:val="24"/>
      <w:szCs w:val="24"/>
      <w:lang w:eastAsia="fr-FR"/>
    </w:rPr>
  </w:style>
  <w:style w:type="table" w:customStyle="1" w:styleId="Grilledutableau13">
    <w:name w:val="Grille du tableau13"/>
    <w:basedOn w:val="TableauNormal"/>
    <w:next w:val="Grilledutableau"/>
    <w:uiPriority w:val="59"/>
    <w:rsid w:val="005F3FB7"/>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sabodytext">
    <w:name w:val="csa body text"/>
    <w:basedOn w:val="Normal"/>
    <w:link w:val="csabodytextChar"/>
    <w:uiPriority w:val="99"/>
    <w:qFormat/>
    <w:rsid w:val="005F3FB7"/>
    <w:pPr>
      <w:spacing w:after="240" w:line="240" w:lineRule="auto"/>
    </w:pPr>
  </w:style>
  <w:style w:type="character" w:customStyle="1" w:styleId="csabodytextChar">
    <w:name w:val="csa body text Char"/>
    <w:link w:val="csabodytext"/>
    <w:uiPriority w:val="99"/>
    <w:locked/>
    <w:rsid w:val="005F3FB7"/>
    <w:rPr>
      <w:rFonts w:ascii="Calibri" w:eastAsia="Calibri" w:hAnsi="Calibri" w:cs="Times New Roman"/>
      <w:lang w:val="en-US"/>
    </w:rPr>
  </w:style>
  <w:style w:type="paragraph" w:customStyle="1" w:styleId="csabullet3">
    <w:name w:val="csa bullet 3"/>
    <w:basedOn w:val="Normal"/>
    <w:next w:val="csabodytext"/>
    <w:uiPriority w:val="99"/>
    <w:qFormat/>
    <w:rsid w:val="005F3FB7"/>
    <w:pPr>
      <w:numPr>
        <w:numId w:val="44"/>
      </w:numPr>
      <w:tabs>
        <w:tab w:val="num" w:pos="360"/>
      </w:tabs>
      <w:spacing w:after="240" w:line="240" w:lineRule="auto"/>
      <w:ind w:left="1080"/>
      <w:contextualSpacing/>
    </w:pPr>
    <w:rPr>
      <w:lang w:val="fr-CA"/>
    </w:rPr>
  </w:style>
  <w:style w:type="character" w:customStyle="1" w:styleId="A8">
    <w:name w:val="A8"/>
    <w:uiPriority w:val="99"/>
    <w:rsid w:val="005F3FB7"/>
    <w:rPr>
      <w:rFonts w:cs="IKFZMH+FrutusT-Ligh"/>
      <w:color w:val="000000"/>
    </w:rPr>
  </w:style>
  <w:style w:type="paragraph" w:customStyle="1" w:styleId="Pa65">
    <w:name w:val="Pa65"/>
    <w:basedOn w:val="Default"/>
    <w:next w:val="Default"/>
    <w:uiPriority w:val="99"/>
    <w:rsid w:val="005F3FB7"/>
    <w:pPr>
      <w:spacing w:line="241" w:lineRule="atLeast"/>
    </w:pPr>
    <w:rPr>
      <w:rFonts w:ascii="IKFZMH+FrutusT-Ligh" w:hAnsi="IKFZMH+FrutusT-Ligh" w:cs="Times New Roman"/>
      <w:color w:val="auto"/>
    </w:rPr>
  </w:style>
  <w:style w:type="character" w:customStyle="1" w:styleId="A5">
    <w:name w:val="A5"/>
    <w:uiPriority w:val="99"/>
    <w:rsid w:val="005F3FB7"/>
    <w:rPr>
      <w:rFonts w:cs="IKFZMH+FrutusT-Ligh"/>
      <w:color w:val="000000"/>
      <w:sz w:val="20"/>
      <w:szCs w:val="20"/>
    </w:rPr>
  </w:style>
  <w:style w:type="table" w:customStyle="1" w:styleId="Grilledutableau22">
    <w:name w:val="Grille du tableau22"/>
    <w:basedOn w:val="TableauNormal"/>
    <w:next w:val="Grilledutableau"/>
    <w:uiPriority w:val="59"/>
    <w:rsid w:val="005F3FB7"/>
    <w:pPr>
      <w:spacing w:after="0" w:line="240" w:lineRule="auto"/>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112">
    <w:name w:val="Grille du tableau112"/>
    <w:basedOn w:val="TableauNormal"/>
    <w:next w:val="Grilledutableau"/>
    <w:uiPriority w:val="59"/>
    <w:rsid w:val="005F3FB7"/>
    <w:pPr>
      <w:spacing w:after="0" w:line="240" w:lineRule="auto"/>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MB4">
    <w:name w:val="SMB4"/>
    <w:basedOn w:val="Normal"/>
    <w:autoRedefine/>
    <w:uiPriority w:val="99"/>
    <w:qFormat/>
    <w:rsid w:val="005F3FB7"/>
    <w:pPr>
      <w:overflowPunct w:val="0"/>
      <w:autoSpaceDE w:val="0"/>
      <w:autoSpaceDN w:val="0"/>
      <w:adjustRightInd w:val="0"/>
      <w:spacing w:after="0" w:line="23" w:lineRule="atLeast"/>
      <w:textAlignment w:val="baseline"/>
      <w:outlineLvl w:val="3"/>
    </w:pPr>
    <w:rPr>
      <w:rFonts w:ascii="Times New Roman" w:eastAsia="Times New Roman" w:hAnsi="Times New Roman"/>
      <w:b/>
      <w:sz w:val="24"/>
      <w:szCs w:val="24"/>
      <w:lang w:eastAsia="fr-FR"/>
    </w:rPr>
  </w:style>
  <w:style w:type="table" w:customStyle="1" w:styleId="Grilleclaire-Accent11">
    <w:name w:val="Grille claire - Accent 11"/>
    <w:basedOn w:val="TableauNormal"/>
    <w:uiPriority w:val="62"/>
    <w:rsid w:val="005F3FB7"/>
    <w:pPr>
      <w:spacing w:after="0" w:line="240" w:lineRule="auto"/>
    </w:pPr>
    <w:rPr>
      <w:rFonts w:ascii="Calibri" w:eastAsia="Times New Roman" w:hAnsi="Calibri" w:cs="Times New Roman"/>
      <w:lang w:val="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Yu Gothic" w:eastAsia="Times New Roman" w:hAnsi="Yu Gothic"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Yu Gothic" w:eastAsia="Times New Roman" w:hAnsi="Yu Gothic"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Yu Gothic" w:eastAsia="Times New Roman" w:hAnsi="Yu Gothic" w:cs="Times New Roman"/>
        <w:b/>
        <w:bCs/>
      </w:rPr>
    </w:tblStylePr>
    <w:tblStylePr w:type="lastCol">
      <w:rPr>
        <w:rFonts w:ascii="Yu Gothic" w:eastAsia="Times New Roman" w:hAnsi="Yu Gothic"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paragraph" w:customStyle="1" w:styleId="TNXA">
    <w:name w:val="TNXA"/>
    <w:basedOn w:val="Normal"/>
    <w:uiPriority w:val="99"/>
    <w:qFormat/>
    <w:rsid w:val="005F3FB7"/>
    <w:pPr>
      <w:pageBreakBefore/>
      <w:numPr>
        <w:numId w:val="45"/>
      </w:numPr>
      <w:tabs>
        <w:tab w:val="left" w:pos="1985"/>
      </w:tabs>
      <w:spacing w:before="4400" w:after="0" w:line="240" w:lineRule="auto"/>
      <w:ind w:left="0" w:firstLine="0"/>
    </w:pPr>
    <w:rPr>
      <w:rFonts w:ascii="Arial Black" w:eastAsia="Times New Roman" w:hAnsi="Arial Black"/>
      <w:caps/>
      <w:color w:val="00375A"/>
      <w:sz w:val="36"/>
      <w:szCs w:val="36"/>
      <w:lang w:eastAsia="fr-FR"/>
    </w:rPr>
  </w:style>
  <w:style w:type="table" w:customStyle="1" w:styleId="Listefonce-Accent11">
    <w:name w:val="Liste foncée - Accent 11"/>
    <w:basedOn w:val="TableauNormal"/>
    <w:next w:val="Grillemoyenne3-Accent3"/>
    <w:uiPriority w:val="70"/>
    <w:rsid w:val="005F3FB7"/>
    <w:pPr>
      <w:spacing w:after="0" w:line="240" w:lineRule="auto"/>
    </w:pPr>
    <w:rPr>
      <w:rFonts w:ascii="Calibri" w:eastAsia="Calibri" w:hAnsi="Calibri" w:cs="Times New Roman"/>
      <w:color w:val="FFFFFF"/>
      <w:lang w:val="en-US" w:bidi="en-US"/>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paragraph" w:customStyle="1" w:styleId="SMB3">
    <w:name w:val="SMB3"/>
    <w:basedOn w:val="Normal"/>
    <w:autoRedefine/>
    <w:uiPriority w:val="99"/>
    <w:qFormat/>
    <w:rsid w:val="005F3FB7"/>
    <w:pPr>
      <w:numPr>
        <w:numId w:val="46"/>
      </w:numPr>
      <w:overflowPunct w:val="0"/>
      <w:autoSpaceDE w:val="0"/>
      <w:autoSpaceDN w:val="0"/>
      <w:adjustRightInd w:val="0"/>
      <w:spacing w:before="240" w:after="240" w:line="23" w:lineRule="atLeast"/>
      <w:textAlignment w:val="baseline"/>
      <w:outlineLvl w:val="2"/>
    </w:pPr>
    <w:rPr>
      <w:rFonts w:ascii="Times New Roman" w:eastAsia="Times New Roman" w:hAnsi="Times New Roman"/>
      <w:b/>
      <w:bCs/>
      <w:lang w:val="fr-CA" w:eastAsia="fr-FR"/>
    </w:rPr>
  </w:style>
  <w:style w:type="table" w:customStyle="1" w:styleId="Trameclaire-Accent11">
    <w:name w:val="Trame claire - Accent 11"/>
    <w:basedOn w:val="TableauNormal"/>
    <w:uiPriority w:val="60"/>
    <w:rsid w:val="005F3FB7"/>
    <w:pPr>
      <w:spacing w:after="0" w:line="240" w:lineRule="auto"/>
    </w:pPr>
    <w:rPr>
      <w:rFonts w:ascii="Calibri" w:eastAsia="Times New Roman" w:hAnsi="Calibri" w:cs="Times New Roman"/>
      <w:color w:val="2E74B5"/>
      <w:lang w:val="en-US"/>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customStyle="1" w:styleId="Indent1">
    <w:name w:val="Indent1"/>
    <w:basedOn w:val="Normal"/>
    <w:rsid w:val="005F3FB7"/>
    <w:pPr>
      <w:spacing w:before="120" w:after="0" w:line="240" w:lineRule="auto"/>
      <w:ind w:left="1134" w:right="284"/>
      <w:jc w:val="both"/>
    </w:pPr>
    <w:rPr>
      <w:rFonts w:ascii="Arial" w:eastAsia="Times New Roman" w:hAnsi="Arial"/>
      <w:noProof/>
      <w:color w:val="000000"/>
      <w:sz w:val="20"/>
      <w:szCs w:val="20"/>
      <w:lang w:val="en-GB"/>
    </w:rPr>
  </w:style>
  <w:style w:type="character" w:customStyle="1" w:styleId="Titre2Car0">
    <w:name w:val="Titre2 Car"/>
    <w:rsid w:val="005F3FB7"/>
    <w:rPr>
      <w:rFonts w:ascii="Times New Roman" w:eastAsia="Times New Roman" w:hAnsi="Times New Roman" w:cs="Times New Roman"/>
      <w:sz w:val="24"/>
      <w:szCs w:val="24"/>
      <w:lang w:eastAsia="fr-FR"/>
    </w:rPr>
  </w:style>
  <w:style w:type="character" w:customStyle="1" w:styleId="Titre3Car0">
    <w:name w:val="Titre3 Car"/>
    <w:link w:val="Titre31"/>
    <w:rsid w:val="005F3FB7"/>
    <w:rPr>
      <w:rFonts w:ascii="Times New Roman" w:eastAsia="Times New Roman" w:hAnsi="Times New Roman" w:cs="Times New Roman"/>
      <w:sz w:val="24"/>
      <w:szCs w:val="24"/>
      <w:lang w:eastAsia="fr-FR"/>
    </w:rPr>
  </w:style>
  <w:style w:type="table" w:customStyle="1" w:styleId="Tableausimple21">
    <w:name w:val="Tableau simple 21"/>
    <w:basedOn w:val="TableauNormal"/>
    <w:uiPriority w:val="42"/>
    <w:rsid w:val="005F3FB7"/>
    <w:pPr>
      <w:spacing w:after="0" w:line="240" w:lineRule="auto"/>
    </w:pPr>
    <w:rPr>
      <w:rFonts w:ascii="Calibri" w:eastAsia="Calibri" w:hAnsi="Calibri" w:cs="Times New Roman"/>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Bibliographie1">
    <w:name w:val="Bibliographie1"/>
    <w:basedOn w:val="TableauNormal"/>
    <w:uiPriority w:val="61"/>
    <w:unhideWhenUsed/>
    <w:rsid w:val="005F3FB7"/>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character" w:customStyle="1" w:styleId="TableauGrille6Couleur1">
    <w:name w:val="Tableau Grille 6 Couleur1"/>
    <w:uiPriority w:val="51"/>
    <w:qFormat/>
    <w:rsid w:val="005F3FB7"/>
    <w:rPr>
      <w:i/>
      <w:iCs/>
      <w:color w:val="404040"/>
    </w:rPr>
  </w:style>
  <w:style w:type="table" w:styleId="Grillemoyenne3-Accent3">
    <w:name w:val="Medium Grid 3 Accent 3"/>
    <w:basedOn w:val="TableauNormal"/>
    <w:uiPriority w:val="70"/>
    <w:semiHidden/>
    <w:unhideWhenUsed/>
    <w:rsid w:val="005F3FB7"/>
    <w:pPr>
      <w:spacing w:after="0" w:line="240" w:lineRule="auto"/>
    </w:pPr>
    <w:rPr>
      <w:rFonts w:ascii="Calibri" w:eastAsia="Calibri" w:hAnsi="Calibri" w:cs="Times New Roman"/>
      <w:color w:val="FFFFFF"/>
      <w:sz w:val="20"/>
      <w:szCs w:val="20"/>
      <w:lang w:val="en-US"/>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GT03">
    <w:name w:val="GT03"/>
    <w:basedOn w:val="TableauNormal"/>
    <w:next w:val="Grilledutableau"/>
    <w:uiPriority w:val="39"/>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3">
    <w:name w:val="Grille du tableau23"/>
    <w:basedOn w:val="TableauNormal"/>
    <w:next w:val="Grilledutableau"/>
    <w:uiPriority w:val="59"/>
    <w:rsid w:val="005F3FB7"/>
    <w:pPr>
      <w:spacing w:after="0" w:line="240" w:lineRule="auto"/>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simple11">
    <w:name w:val="Tableau simple 11"/>
    <w:basedOn w:val="TableauNormal"/>
    <w:next w:val="TableauGrille1Clair-Accentuation3"/>
    <w:uiPriority w:val="41"/>
    <w:rsid w:val="005F3FB7"/>
    <w:pPr>
      <w:spacing w:after="0" w:line="240" w:lineRule="auto"/>
    </w:pPr>
    <w:rPr>
      <w:rFonts w:ascii="Calibri" w:eastAsia="Calibri" w:hAnsi="Calibri" w:cs="Times New Roman"/>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auGrille1Clair-Accentuation3">
    <w:name w:val="Grid Table 1 Light Accent 3"/>
    <w:basedOn w:val="TableauNormal"/>
    <w:uiPriority w:val="41"/>
    <w:rsid w:val="005F3FB7"/>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SGSTableBasic112">
    <w:name w:val="SGS Table Basic 112"/>
    <w:basedOn w:val="TableauNormal"/>
    <w:next w:val="Grilledutableau"/>
    <w:uiPriority w:val="39"/>
    <w:qFormat/>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12">
    <w:name w:val="Tableau simple 12"/>
    <w:basedOn w:val="TableauNormal"/>
    <w:next w:val="TableauGrille1Clair-Accentuation3"/>
    <w:uiPriority w:val="41"/>
    <w:rsid w:val="005F3FB7"/>
    <w:pPr>
      <w:spacing w:after="0" w:line="240" w:lineRule="auto"/>
    </w:pPr>
    <w:rPr>
      <w:rFonts w:ascii="Calibri" w:eastAsia="Calibri" w:hAnsi="Calibri" w:cs="Times New Roman"/>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3">
    <w:name w:val="Table Normal3"/>
    <w:uiPriority w:val="2"/>
    <w:semiHidden/>
    <w:unhideWhenUsed/>
    <w:qFormat/>
    <w:rsid w:val="005F3FB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Grilledutableau14">
    <w:name w:val="Grille du tableau14"/>
    <w:basedOn w:val="TableauNormal"/>
    <w:next w:val="Grilledutableau"/>
    <w:uiPriority w:val="59"/>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GSTableBasic113">
    <w:name w:val="SGS Table Basic 113"/>
    <w:basedOn w:val="TableauNormal"/>
    <w:next w:val="Grilledutableau"/>
    <w:uiPriority w:val="39"/>
    <w:qFormat/>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NRefeCharChar">
    <w:name w:val="FNRefe Char Char"/>
    <w:aliases w:val=" BVI fnr Car Car Car Car Char Char Char Char Char, BVI fnr Car Car Char Char Char,4_G,BVI fnr Car Car Car Car Char Char Char Char Char,BVI fnr Car Car Char Char Char,BVI fnr Car Char Char Char,BVI fnr Char Char,BVI fnr Char Char Char"/>
    <w:basedOn w:val="Normal"/>
    <w:uiPriority w:val="99"/>
    <w:rsid w:val="005F3FB7"/>
    <w:pPr>
      <w:spacing w:after="0" w:line="240" w:lineRule="exact"/>
    </w:pPr>
    <w:rPr>
      <w:rFonts w:eastAsia="Yu Mincho"/>
      <w:vertAlign w:val="superscript"/>
      <w:lang w:eastAsia="fr-FR"/>
    </w:rPr>
  </w:style>
  <w:style w:type="paragraph" w:customStyle="1" w:styleId="Stylegrand1">
    <w:name w:val="Style grand 1"/>
    <w:basedOn w:val="Titre1"/>
    <w:link w:val="Stylegrand1Car"/>
    <w:autoRedefine/>
    <w:uiPriority w:val="99"/>
    <w:qFormat/>
    <w:rsid w:val="005F3FB7"/>
    <w:rPr>
      <w:rFonts w:eastAsia="Calibri"/>
    </w:rPr>
  </w:style>
  <w:style w:type="character" w:customStyle="1" w:styleId="Stylegrand1Car">
    <w:name w:val="Style grand 1 Car"/>
    <w:basedOn w:val="Titre1Car"/>
    <w:link w:val="Stylegrand1"/>
    <w:uiPriority w:val="99"/>
    <w:rsid w:val="005F3FB7"/>
    <w:rPr>
      <w:rFonts w:ascii="Times New Roman Gras" w:eastAsia="Calibri" w:hAnsi="Times New Roman Gras" w:cs="Times New Roman"/>
      <w:b/>
      <w:bCs/>
      <w:caps/>
      <w:kern w:val="32"/>
      <w:sz w:val="24"/>
      <w:szCs w:val="24"/>
      <w:lang w:eastAsia="fr-FR"/>
    </w:rPr>
  </w:style>
  <w:style w:type="paragraph" w:customStyle="1" w:styleId="Grillemoyenne21">
    <w:name w:val="Grille moyenne 21"/>
    <w:link w:val="Grillemoyenne2Car1"/>
    <w:uiPriority w:val="1"/>
    <w:qFormat/>
    <w:rsid w:val="005F3FB7"/>
    <w:pPr>
      <w:spacing w:after="0" w:line="240" w:lineRule="auto"/>
    </w:pPr>
    <w:rPr>
      <w:rFonts w:ascii="Calibri" w:eastAsia="Calibri" w:hAnsi="Calibri" w:cs="Times New Roman"/>
    </w:rPr>
  </w:style>
  <w:style w:type="paragraph" w:customStyle="1" w:styleId="ColorfulList-Accent11">
    <w:name w:val="Colorful List - Accent 11"/>
    <w:aliases w:val="figure,liste à puces,Lvl 1 Bullet,Indent Normal,Colorful List - Accent 111,Citation List,Numbered paragraph,FIDA liste,Casella di testo,Main numbered paragraph,Titulo 4,I..1,List Paragraph2,Grille claire - Accent 32,style11"/>
    <w:basedOn w:val="Normal"/>
    <w:uiPriority w:val="99"/>
    <w:qFormat/>
    <w:rsid w:val="005F3FB7"/>
    <w:pPr>
      <w:spacing w:before="120" w:after="120" w:line="300" w:lineRule="exact"/>
      <w:ind w:left="708"/>
      <w:jc w:val="both"/>
    </w:pPr>
    <w:rPr>
      <w:rFonts w:ascii="Arial" w:eastAsia="Times New Roman" w:hAnsi="Arial"/>
      <w:szCs w:val="24"/>
    </w:rPr>
  </w:style>
  <w:style w:type="table" w:customStyle="1" w:styleId="TableauListe315">
    <w:name w:val="Tableau Liste 315"/>
    <w:basedOn w:val="TableauNormal"/>
    <w:uiPriority w:val="48"/>
    <w:rsid w:val="005F3FB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Grilledutableau6">
    <w:name w:val="Grille du tableau6"/>
    <w:basedOn w:val="TableauNormal"/>
    <w:next w:val="Grilledutableau"/>
    <w:uiPriority w:val="59"/>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1Clair2">
    <w:name w:val="Tableau Grille 1 Clair2"/>
    <w:basedOn w:val="TableauNormal"/>
    <w:next w:val="TableauGrille3-Accentuation1"/>
    <w:rsid w:val="005F3FB7"/>
    <w:pPr>
      <w:spacing w:after="0" w:line="240" w:lineRule="auto"/>
    </w:pPr>
    <w:rPr>
      <w:rFonts w:ascii="Calibri" w:eastAsia="Calibri" w:hAnsi="Calibri" w:cs="Times New Roman"/>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eauGrille3-Accentuation1">
    <w:name w:val="Grid Table 3 Accent 1"/>
    <w:basedOn w:val="TableauNormal"/>
    <w:uiPriority w:val="69"/>
    <w:qFormat/>
    <w:rsid w:val="005F3FB7"/>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MediumGrid21">
    <w:name w:val="Medium Grid 21"/>
    <w:link w:val="MediumGrid2Char"/>
    <w:uiPriority w:val="1"/>
    <w:qFormat/>
    <w:rsid w:val="005F3FB7"/>
    <w:pPr>
      <w:spacing w:after="0" w:line="240" w:lineRule="auto"/>
    </w:pPr>
    <w:rPr>
      <w:rFonts w:ascii="Calibri" w:eastAsia="Calibri" w:hAnsi="Calibri" w:cs="Times New Roman"/>
    </w:rPr>
  </w:style>
  <w:style w:type="table" w:styleId="TableauGrille7Couleur-Accentuation2">
    <w:name w:val="Grid Table 7 Colorful Accent 2"/>
    <w:basedOn w:val="TableauNormal"/>
    <w:uiPriority w:val="50"/>
    <w:rsid w:val="005F3FB7"/>
    <w:pPr>
      <w:spacing w:after="0" w:line="240" w:lineRule="auto"/>
    </w:pPr>
    <w:rPr>
      <w:rFonts w:ascii="Calibri" w:eastAsia="Calibri" w:hAnsi="Calibri" w:cs="Times New Roman"/>
      <w:sz w:val="24"/>
      <w:szCs w:val="24"/>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lledutableau7">
    <w:name w:val="Grille du tableau7"/>
    <w:basedOn w:val="TableauNormal"/>
    <w:next w:val="Grilledutableau"/>
    <w:uiPriority w:val="59"/>
    <w:rsid w:val="005F3FB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auNormal"/>
    <w:next w:val="Grilledutableau"/>
    <w:uiPriority w:val="59"/>
    <w:rsid w:val="005F3FB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GSTableBasic16">
    <w:name w:val="SGS Table Basic 16"/>
    <w:basedOn w:val="TableauNormal"/>
    <w:next w:val="Grilledutableau"/>
    <w:uiPriority w:val="59"/>
    <w:qFormat/>
    <w:rsid w:val="005F3FB7"/>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5F3FB7"/>
    <w:pPr>
      <w:spacing w:after="0" w:line="240" w:lineRule="auto"/>
    </w:pPr>
    <w:rPr>
      <w:rFonts w:ascii="Calibri" w:eastAsia="Times New Roman" w:hAnsi="Calibri" w:cs="Times New Roman"/>
      <w:lang w:eastAsia="fr-FR"/>
    </w:rPr>
    <w:tblPr>
      <w:tblCellMar>
        <w:top w:w="0" w:type="dxa"/>
        <w:left w:w="0" w:type="dxa"/>
        <w:bottom w:w="0" w:type="dxa"/>
        <w:right w:w="0" w:type="dxa"/>
      </w:tblCellMar>
    </w:tblPr>
  </w:style>
  <w:style w:type="table" w:customStyle="1" w:styleId="TableauGrille4-Accentuation112">
    <w:name w:val="Tableau Grille 4 - Accentuation 112"/>
    <w:basedOn w:val="TableauNormal"/>
    <w:uiPriority w:val="49"/>
    <w:rsid w:val="005F3FB7"/>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GSTableBasic114">
    <w:name w:val="SGS Table Basic 114"/>
    <w:basedOn w:val="TableauNormal"/>
    <w:next w:val="Grilledutableau"/>
    <w:uiPriority w:val="59"/>
    <w:qFormat/>
    <w:rsid w:val="005F3FB7"/>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Liste312">
    <w:name w:val="Tableau Liste 312"/>
    <w:basedOn w:val="TableauNormal"/>
    <w:next w:val="TableauListe32"/>
    <w:uiPriority w:val="48"/>
    <w:rsid w:val="005F3FB7"/>
    <w:pPr>
      <w:spacing w:after="0" w:line="300" w:lineRule="exact"/>
      <w:jc w:val="both"/>
    </w:pPr>
    <w:rPr>
      <w:rFonts w:ascii="Times New Roman" w:eastAsia="Times New Roman" w:hAnsi="Times New Roman" w:cs="Times New Roman"/>
      <w:sz w:val="20"/>
      <w:szCs w:val="20"/>
      <w:lang w:val="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Liste322">
    <w:name w:val="Tableau Liste 322"/>
    <w:basedOn w:val="TableauNormal"/>
    <w:uiPriority w:val="48"/>
    <w:rsid w:val="005F3FB7"/>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SGSTableBasic122">
    <w:name w:val="SGS Table Basic 122"/>
    <w:basedOn w:val="TableauNormal"/>
    <w:next w:val="Grilledutableau"/>
    <w:uiPriority w:val="59"/>
    <w:qFormat/>
    <w:rsid w:val="005F3FB7"/>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GSTableBasic132">
    <w:name w:val="SGS Table Basic 132"/>
    <w:basedOn w:val="TableauNormal"/>
    <w:next w:val="Grilledutableau"/>
    <w:uiPriority w:val="59"/>
    <w:qFormat/>
    <w:rsid w:val="005F3FB7"/>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uco32">
    <w:name w:val="insuco32"/>
    <w:basedOn w:val="Grilledutableau"/>
    <w:uiPriority w:val="60"/>
    <w:qFormat/>
    <w:rsid w:val="005F3FB7"/>
    <w:rPr>
      <w:rFonts w:ascii="Arial" w:hAnsi="Arial"/>
      <w:sz w:val="16"/>
      <w:szCs w:val="22"/>
    </w:rPr>
    <w:tblPr>
      <w:tblStyleRowBandSize w:val="1"/>
      <w:tblStyleColBandSize w:val="1"/>
      <w:tblBorders>
        <w:top w:val="single" w:sz="18" w:space="0" w:color="14726E"/>
        <w:left w:val="none" w:sz="0" w:space="0" w:color="auto"/>
        <w:bottom w:val="single" w:sz="18" w:space="0" w:color="14726E"/>
        <w:right w:val="none" w:sz="0" w:space="0" w:color="auto"/>
        <w:insideH w:val="none" w:sz="0" w:space="0" w:color="auto"/>
        <w:insideV w:val="none" w:sz="0" w:space="0" w:color="auto"/>
      </w:tblBorders>
    </w:tblPr>
    <w:tcPr>
      <w:vAlign w:val="center"/>
    </w:tcPr>
    <w:tblStylePr w:type="firstRow">
      <w:pPr>
        <w:wordWrap/>
        <w:spacing w:before="0" w:beforeAutospacing="0" w:afterLines="0" w:afterAutospacing="0" w:line="240" w:lineRule="auto"/>
      </w:pPr>
      <w:rPr>
        <w:b/>
        <w:bCs/>
      </w:rPr>
      <w:tblPr/>
      <w:tcPr>
        <w:tcBorders>
          <w:top w:val="single" w:sz="12" w:space="0" w:color="14726E"/>
          <w:left w:val="nil"/>
          <w:bottom w:val="single" w:sz="12" w:space="0" w:color="14726E"/>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tbs12">
    <w:name w:val="mtbs12"/>
    <w:basedOn w:val="TableauNormal"/>
    <w:next w:val="Grilledutableau"/>
    <w:uiPriority w:val="39"/>
    <w:qFormat/>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
    <w:name w:val="Grille du tableau15"/>
    <w:basedOn w:val="TableauNormal"/>
    <w:next w:val="Grilledutableau"/>
    <w:uiPriority w:val="59"/>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4-Accentuation212">
    <w:name w:val="Tableau Grille 4 - Accentuation 212"/>
    <w:basedOn w:val="TableauNormal"/>
    <w:uiPriority w:val="49"/>
    <w:rsid w:val="005F3FB7"/>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auGrille5Fonc-Accentuation212">
    <w:name w:val="Tableau Grille 5 Foncé - Accentuation 212"/>
    <w:basedOn w:val="TableauNormal"/>
    <w:next w:val="TableauGrille5Fonc-Accentuation22"/>
    <w:uiPriority w:val="50"/>
    <w:rsid w:val="005F3FB7"/>
    <w:pPr>
      <w:spacing w:after="0" w:line="240" w:lineRule="auto"/>
    </w:pPr>
    <w:rPr>
      <w:rFonts w:ascii="Calibri" w:eastAsia="Calibri" w:hAnsi="Calibri" w:cs="Times New Roman"/>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TableauGrille5Fonc-Accentuation222">
    <w:name w:val="Tableau Grille 5 Foncé - Accentuation 222"/>
    <w:basedOn w:val="TableauNormal"/>
    <w:uiPriority w:val="50"/>
    <w:rsid w:val="005F3FB7"/>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TableauGrille5Fonc-Accentuation412">
    <w:name w:val="Tableau Grille 5 Foncé - Accentuation 412"/>
    <w:basedOn w:val="TableauNormal"/>
    <w:uiPriority w:val="50"/>
    <w:rsid w:val="005F3FB7"/>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lledutableau24">
    <w:name w:val="Grille du tableau24"/>
    <w:basedOn w:val="TableauNormal"/>
    <w:next w:val="Grilledutableau"/>
    <w:uiPriority w:val="39"/>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tbs22">
    <w:name w:val="mtbs22"/>
    <w:basedOn w:val="TableauNormal"/>
    <w:next w:val="Grilledutableau"/>
    <w:uiPriority w:val="39"/>
    <w:qFormat/>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
    <w:name w:val="Grille du tableau32"/>
    <w:basedOn w:val="TableauNormal"/>
    <w:next w:val="Grilledutableau"/>
    <w:uiPriority w:val="59"/>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
    <w:name w:val="Grille du tableau42"/>
    <w:basedOn w:val="TableauNormal"/>
    <w:next w:val="Grilledutableau"/>
    <w:uiPriority w:val="59"/>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auNormal"/>
    <w:next w:val="Grilledutableau"/>
    <w:uiPriority w:val="59"/>
    <w:rsid w:val="005F3FB7"/>
    <w:pPr>
      <w:spacing w:after="0" w:line="240" w:lineRule="auto"/>
    </w:pPr>
    <w:rPr>
      <w:rFonts w:ascii="Calibri" w:eastAsia="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tbs32">
    <w:name w:val="mtbs32"/>
    <w:basedOn w:val="TableauNormal"/>
    <w:next w:val="Grilledutableau"/>
    <w:uiPriority w:val="39"/>
    <w:qFormat/>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13">
    <w:name w:val="Grille13"/>
    <w:basedOn w:val="TableauNormal"/>
    <w:next w:val="Grilledutableau"/>
    <w:uiPriority w:val="39"/>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tbs42">
    <w:name w:val="mtbs42"/>
    <w:basedOn w:val="TableauNormal"/>
    <w:next w:val="Grilledutableau"/>
    <w:uiPriority w:val="39"/>
    <w:qFormat/>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1Clair-Accentuation613">
    <w:name w:val="Tableau Grille 1 Clair - Accentuation 613"/>
    <w:basedOn w:val="TableauNormal"/>
    <w:uiPriority w:val="46"/>
    <w:rsid w:val="005F3FB7"/>
    <w:pPr>
      <w:spacing w:after="0" w:line="240" w:lineRule="auto"/>
    </w:pPr>
    <w:rPr>
      <w:rFonts w:ascii="Calibri" w:eastAsia="Calibri" w:hAnsi="Calibri" w:cs="Times New Roman"/>
      <w:lang w:val="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TableauGrille1Clair-Accentuation6113">
    <w:name w:val="Tableau Grille 1 Clair - Accentuation 6113"/>
    <w:basedOn w:val="TableauNormal"/>
    <w:uiPriority w:val="46"/>
    <w:rsid w:val="005F3FB7"/>
    <w:pPr>
      <w:spacing w:after="0" w:line="240" w:lineRule="auto"/>
    </w:pPr>
    <w:rPr>
      <w:rFonts w:ascii="Calibri" w:eastAsia="Calibri" w:hAnsi="Calibri" w:cs="Times New Roman"/>
      <w:lang w:val="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TableauGrille1Clair-Accentuation622">
    <w:name w:val="Tableau Grille 1 Clair - Accentuation 622"/>
    <w:basedOn w:val="TableauNormal"/>
    <w:uiPriority w:val="46"/>
    <w:rsid w:val="005F3FB7"/>
    <w:pPr>
      <w:spacing w:after="0" w:line="240" w:lineRule="auto"/>
    </w:pPr>
    <w:rPr>
      <w:rFonts w:ascii="Calibri" w:eastAsia="Calibri" w:hAnsi="Calibri" w:cs="Times New Roman"/>
      <w:lang w:val="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SGSTableBasic141">
    <w:name w:val="SGS Table Basic 141"/>
    <w:basedOn w:val="TableauNormal"/>
    <w:next w:val="Grilledutableau"/>
    <w:uiPriority w:val="59"/>
    <w:qFormat/>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5F3FB7"/>
    <w:pPr>
      <w:spacing w:after="0" w:line="240" w:lineRule="auto"/>
    </w:pPr>
    <w:rPr>
      <w:rFonts w:ascii="Calibri" w:eastAsia="Times New Roman" w:hAnsi="Calibri" w:cs="Times New Roman"/>
      <w:lang w:eastAsia="fr-FR"/>
    </w:rPr>
    <w:tblPr>
      <w:tblCellMar>
        <w:top w:w="0" w:type="dxa"/>
        <w:left w:w="0" w:type="dxa"/>
        <w:bottom w:w="0" w:type="dxa"/>
        <w:right w:w="0" w:type="dxa"/>
      </w:tblCellMar>
    </w:tblPr>
  </w:style>
  <w:style w:type="table" w:customStyle="1" w:styleId="Grille111">
    <w:name w:val="Grille111"/>
    <w:basedOn w:val="TableauNormal"/>
    <w:next w:val="Grilledutableau"/>
    <w:uiPriority w:val="39"/>
    <w:rsid w:val="005F3FB7"/>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
    <w:name w:val="Table Normal12"/>
    <w:uiPriority w:val="2"/>
    <w:semiHidden/>
    <w:unhideWhenUsed/>
    <w:qFormat/>
    <w:rsid w:val="005F3FB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Grilledetableau31">
    <w:name w:val="Grille de tableau 31"/>
    <w:basedOn w:val="TableauNormal"/>
    <w:next w:val="Grilledetableau3"/>
    <w:rsid w:val="005F3FB7"/>
    <w:pPr>
      <w:spacing w:after="0" w:line="240" w:lineRule="auto"/>
    </w:pPr>
    <w:rPr>
      <w:rFonts w:ascii="Times New Roman" w:eastAsia="Times New Roman" w:hAnsi="Times New Roman" w:cs="Times New Roman"/>
      <w:sz w:val="24"/>
      <w:szCs w:val="24"/>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auGrille1Clair-Accentuation61112">
    <w:name w:val="Tableau Grille 1 Clair - Accentuation 61112"/>
    <w:basedOn w:val="TableauNormal"/>
    <w:uiPriority w:val="46"/>
    <w:rsid w:val="005F3FB7"/>
    <w:pPr>
      <w:spacing w:after="0" w:line="240" w:lineRule="auto"/>
    </w:pPr>
    <w:rPr>
      <w:rFonts w:ascii="Calibri" w:eastAsia="Calibri" w:hAnsi="Calibri" w:cs="Times New Roman"/>
      <w:lang w:val="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TableauGrille4-Accentuation1111">
    <w:name w:val="Tableau Grille 4 - Accentuation 1111"/>
    <w:basedOn w:val="TableauNormal"/>
    <w:uiPriority w:val="49"/>
    <w:rsid w:val="005F3FB7"/>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GSTableBasic1111">
    <w:name w:val="SGS Table Basic 1111"/>
    <w:basedOn w:val="TableauNormal"/>
    <w:next w:val="Grilledutableau"/>
    <w:uiPriority w:val="59"/>
    <w:qFormat/>
    <w:rsid w:val="005F3FB7"/>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Liste3111">
    <w:name w:val="Tableau Liste 3111"/>
    <w:basedOn w:val="TableauNormal"/>
    <w:next w:val="TableauListe32"/>
    <w:uiPriority w:val="48"/>
    <w:rsid w:val="005F3FB7"/>
    <w:pPr>
      <w:spacing w:after="0" w:line="300" w:lineRule="exact"/>
      <w:jc w:val="both"/>
    </w:pPr>
    <w:rPr>
      <w:rFonts w:ascii="Times New Roman" w:eastAsia="Times New Roman" w:hAnsi="Times New Roman" w:cs="Times New Roman"/>
      <w:sz w:val="20"/>
      <w:szCs w:val="20"/>
      <w:lang w:val="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Liste3211">
    <w:name w:val="Tableau Liste 3211"/>
    <w:basedOn w:val="TableauNormal"/>
    <w:uiPriority w:val="48"/>
    <w:rsid w:val="005F3FB7"/>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SGSTableBasic1211">
    <w:name w:val="SGS Table Basic 1211"/>
    <w:basedOn w:val="TableauNormal"/>
    <w:next w:val="Grilledutableau"/>
    <w:uiPriority w:val="59"/>
    <w:qFormat/>
    <w:rsid w:val="005F3FB7"/>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GSTableBasic1311">
    <w:name w:val="SGS Table Basic 1311"/>
    <w:basedOn w:val="TableauNormal"/>
    <w:next w:val="Grilledutableau"/>
    <w:uiPriority w:val="59"/>
    <w:qFormat/>
    <w:rsid w:val="005F3FB7"/>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uco311">
    <w:name w:val="insuco311"/>
    <w:basedOn w:val="Grilledutableau"/>
    <w:next w:val="Rfrenceintense1"/>
    <w:uiPriority w:val="60"/>
    <w:rsid w:val="005F3FB7"/>
    <w:rPr>
      <w:rFonts w:ascii="Arial" w:hAnsi="Arial"/>
      <w:sz w:val="16"/>
      <w:szCs w:val="22"/>
    </w:rPr>
    <w:tblPr>
      <w:tblStyleRowBandSize w:val="1"/>
      <w:tblStyleColBandSize w:val="1"/>
      <w:tblBorders>
        <w:top w:val="single" w:sz="18" w:space="0" w:color="14726E"/>
        <w:left w:val="none" w:sz="0" w:space="0" w:color="auto"/>
        <w:bottom w:val="single" w:sz="18" w:space="0" w:color="14726E"/>
        <w:right w:val="none" w:sz="0" w:space="0" w:color="auto"/>
        <w:insideH w:val="none" w:sz="0" w:space="0" w:color="auto"/>
        <w:insideV w:val="none" w:sz="0" w:space="0" w:color="auto"/>
      </w:tblBorders>
    </w:tblPr>
    <w:tcPr>
      <w:vAlign w:val="center"/>
    </w:tcPr>
    <w:tblStylePr w:type="firstRow">
      <w:pPr>
        <w:wordWrap/>
        <w:spacing w:before="0" w:beforeAutospacing="0" w:afterLines="0" w:afterAutospacing="0" w:line="240" w:lineRule="auto"/>
      </w:pPr>
      <w:rPr>
        <w:b/>
        <w:bCs/>
      </w:rPr>
      <w:tblPr/>
      <w:tcPr>
        <w:tcBorders>
          <w:top w:val="single" w:sz="12" w:space="0" w:color="14726E"/>
          <w:left w:val="nil"/>
          <w:bottom w:val="single" w:sz="12" w:space="0" w:color="14726E"/>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tbs111">
    <w:name w:val="mtbs111"/>
    <w:basedOn w:val="TableauNormal"/>
    <w:next w:val="Grilledutableau"/>
    <w:uiPriority w:val="39"/>
    <w:qFormat/>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auNormal"/>
    <w:next w:val="Grilledutableau"/>
    <w:uiPriority w:val="59"/>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4-Accentuation2111">
    <w:name w:val="Tableau Grille 4 - Accentuation 2111"/>
    <w:basedOn w:val="TableauNormal"/>
    <w:uiPriority w:val="49"/>
    <w:rsid w:val="005F3FB7"/>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auGrille5Fonc-Accentuation2111">
    <w:name w:val="Tableau Grille 5 Foncé - Accentuation 2111"/>
    <w:basedOn w:val="TableauNormal"/>
    <w:next w:val="TableauGrille5Fonc-Accentuation22"/>
    <w:uiPriority w:val="50"/>
    <w:rsid w:val="005F3FB7"/>
    <w:pPr>
      <w:spacing w:after="0" w:line="240" w:lineRule="auto"/>
    </w:pPr>
    <w:rPr>
      <w:rFonts w:ascii="Calibri" w:eastAsia="Calibri" w:hAnsi="Calibri" w:cs="Times New Roman"/>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TableauGrille5Fonc-Accentuation2211">
    <w:name w:val="Tableau Grille 5 Foncé - Accentuation 2211"/>
    <w:basedOn w:val="TableauNormal"/>
    <w:uiPriority w:val="50"/>
    <w:rsid w:val="005F3FB7"/>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TableauGrille5Fonc-Accentuation4111">
    <w:name w:val="Tableau Grille 5 Foncé - Accentuation 4111"/>
    <w:basedOn w:val="TableauNormal"/>
    <w:uiPriority w:val="50"/>
    <w:rsid w:val="005F3FB7"/>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lledutableau211">
    <w:name w:val="Grille du tableau211"/>
    <w:basedOn w:val="TableauNormal"/>
    <w:next w:val="Grilledutableau"/>
    <w:uiPriority w:val="59"/>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tbs211">
    <w:name w:val="mtbs211"/>
    <w:basedOn w:val="TableauNormal"/>
    <w:next w:val="Grilledutableau"/>
    <w:uiPriority w:val="39"/>
    <w:qFormat/>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
    <w:name w:val="Grille du tableau311"/>
    <w:basedOn w:val="TableauNormal"/>
    <w:next w:val="Grilledutableau"/>
    <w:uiPriority w:val="59"/>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
    <w:name w:val="Grille du tableau411"/>
    <w:basedOn w:val="TableauNormal"/>
    <w:next w:val="Grilledutableau"/>
    <w:uiPriority w:val="59"/>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auNormal"/>
    <w:next w:val="Grilledutableau"/>
    <w:uiPriority w:val="59"/>
    <w:rsid w:val="005F3FB7"/>
    <w:pPr>
      <w:spacing w:after="0" w:line="240" w:lineRule="auto"/>
    </w:pPr>
    <w:rPr>
      <w:rFonts w:ascii="Calibri" w:eastAsia="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tbs311">
    <w:name w:val="mtbs311"/>
    <w:basedOn w:val="TableauNormal"/>
    <w:next w:val="Grilledutableau"/>
    <w:uiPriority w:val="39"/>
    <w:qFormat/>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tbs411">
    <w:name w:val="mtbs411"/>
    <w:basedOn w:val="TableauNormal"/>
    <w:next w:val="Grilledutableau"/>
    <w:uiPriority w:val="39"/>
    <w:qFormat/>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1Clair-Accentuation6121">
    <w:name w:val="Tableau Grille 1 Clair - Accentuation 6121"/>
    <w:basedOn w:val="TableauNormal"/>
    <w:uiPriority w:val="46"/>
    <w:rsid w:val="005F3FB7"/>
    <w:pPr>
      <w:spacing w:after="0" w:line="240" w:lineRule="auto"/>
    </w:pPr>
    <w:rPr>
      <w:rFonts w:ascii="Calibri" w:eastAsia="Calibri" w:hAnsi="Calibri" w:cs="Times New Roman"/>
      <w:lang w:val="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TableauGrille1Clair-Accentuation61121">
    <w:name w:val="Tableau Grille 1 Clair - Accentuation 61121"/>
    <w:basedOn w:val="TableauNormal"/>
    <w:uiPriority w:val="46"/>
    <w:rsid w:val="005F3FB7"/>
    <w:pPr>
      <w:spacing w:after="0" w:line="240" w:lineRule="auto"/>
    </w:pPr>
    <w:rPr>
      <w:rFonts w:ascii="Calibri" w:eastAsia="Calibri" w:hAnsi="Calibri" w:cs="Times New Roman"/>
      <w:lang w:val="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TableauGrille1Clair-Accentuation6211">
    <w:name w:val="Tableau Grille 1 Clair - Accentuation 6211"/>
    <w:basedOn w:val="TableauNormal"/>
    <w:uiPriority w:val="46"/>
    <w:rsid w:val="005F3FB7"/>
    <w:pPr>
      <w:spacing w:after="0" w:line="240" w:lineRule="auto"/>
    </w:pPr>
    <w:rPr>
      <w:rFonts w:ascii="Calibri" w:eastAsia="Calibri" w:hAnsi="Calibri" w:cs="Times New Roman"/>
      <w:lang w:val="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SGSTableBasic151">
    <w:name w:val="SGS Table Basic 151"/>
    <w:basedOn w:val="TableauNormal"/>
    <w:next w:val="Grilledutableau"/>
    <w:uiPriority w:val="39"/>
    <w:qFormat/>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121">
    <w:name w:val="Grille121"/>
    <w:basedOn w:val="TableauNormal"/>
    <w:next w:val="Grilledutableau"/>
    <w:uiPriority w:val="39"/>
    <w:rsid w:val="005F3FB7"/>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1">
    <w:name w:val="Table Normal111"/>
    <w:uiPriority w:val="2"/>
    <w:semiHidden/>
    <w:unhideWhenUsed/>
    <w:qFormat/>
    <w:rsid w:val="005F3FB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auGrille1Clair-Accentuation611111">
    <w:name w:val="Tableau Grille 1 Clair - Accentuation 611111"/>
    <w:basedOn w:val="TableauNormal"/>
    <w:uiPriority w:val="46"/>
    <w:rsid w:val="005F3FB7"/>
    <w:pPr>
      <w:spacing w:after="0" w:line="240" w:lineRule="auto"/>
    </w:pPr>
    <w:rPr>
      <w:rFonts w:ascii="Calibri" w:eastAsia="Calibri" w:hAnsi="Calibri" w:cs="Times New Roman"/>
      <w:lang w:val="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T011">
    <w:name w:val="GT011"/>
    <w:basedOn w:val="TableauNormal"/>
    <w:next w:val="Grilledutableau"/>
    <w:uiPriority w:val="39"/>
    <w:qFormat/>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T021">
    <w:name w:val="GT021"/>
    <w:basedOn w:val="TableauNormal"/>
    <w:next w:val="Grilledutableau"/>
    <w:uiPriority w:val="39"/>
    <w:qFormat/>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6121">
    <w:name w:val="Liste claire - Accent 6121"/>
    <w:basedOn w:val="TableauNormal"/>
    <w:next w:val="Bibliographie1"/>
    <w:uiPriority w:val="61"/>
    <w:rsid w:val="005F3FB7"/>
    <w:pPr>
      <w:spacing w:after="0" w:line="240" w:lineRule="auto"/>
    </w:pPr>
    <w:rPr>
      <w:rFonts w:ascii="Times New Roman" w:eastAsia="Calibri" w:hAnsi="Times New Roman" w:cs="Times New Roman"/>
      <w:sz w:val="24"/>
      <w:szCs w:val="24"/>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11">
    <w:name w:val="Liste claire - Accent 611"/>
    <w:basedOn w:val="TableauNormal"/>
    <w:next w:val="Bibliographie1"/>
    <w:uiPriority w:val="61"/>
    <w:rsid w:val="005F3FB7"/>
    <w:pPr>
      <w:spacing w:after="0" w:line="240" w:lineRule="auto"/>
    </w:pPr>
    <w:rPr>
      <w:rFonts w:ascii="Times New Roman" w:eastAsia="Calibri" w:hAnsi="Times New Roman" w:cs="Times New Roman"/>
      <w:sz w:val="24"/>
      <w:szCs w:val="24"/>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21">
    <w:name w:val="Liste claire - Accent 621"/>
    <w:basedOn w:val="TableauNormal"/>
    <w:next w:val="Bibliographie1"/>
    <w:uiPriority w:val="61"/>
    <w:unhideWhenUsed/>
    <w:rsid w:val="005F3FB7"/>
    <w:pPr>
      <w:spacing w:after="0" w:line="240" w:lineRule="auto"/>
    </w:pPr>
    <w:rPr>
      <w:rFonts w:ascii="Calibri" w:eastAsia="Calibri" w:hAnsi="Calibri" w:cs="Times New Roman"/>
      <w:lang w:val="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Grilledutableau131">
    <w:name w:val="Grille du tableau131"/>
    <w:basedOn w:val="TableauNormal"/>
    <w:next w:val="Grilledutableau"/>
    <w:uiPriority w:val="59"/>
    <w:rsid w:val="005F3FB7"/>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1">
    <w:name w:val="Grille du tableau221"/>
    <w:basedOn w:val="TableauNormal"/>
    <w:next w:val="Grilledutableau"/>
    <w:uiPriority w:val="59"/>
    <w:rsid w:val="005F3FB7"/>
    <w:pPr>
      <w:spacing w:after="0" w:line="240" w:lineRule="auto"/>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1121">
    <w:name w:val="Grille du tableau1121"/>
    <w:basedOn w:val="TableauNormal"/>
    <w:next w:val="Grilledutableau"/>
    <w:uiPriority w:val="59"/>
    <w:rsid w:val="005F3FB7"/>
    <w:pPr>
      <w:spacing w:after="0" w:line="240" w:lineRule="auto"/>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claire-Accent111">
    <w:name w:val="Grille claire - Accent 111"/>
    <w:basedOn w:val="TableauNormal"/>
    <w:uiPriority w:val="62"/>
    <w:rsid w:val="005F3FB7"/>
    <w:pPr>
      <w:spacing w:after="0" w:line="240" w:lineRule="auto"/>
    </w:pPr>
    <w:rPr>
      <w:rFonts w:ascii="Calibri" w:eastAsia="Times New Roman" w:hAnsi="Calibri" w:cs="Times New Roman"/>
      <w:lang w:val="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Yu Gothic" w:eastAsia="Times New Roman" w:hAnsi="Yu Gothic"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Yu Gothic" w:eastAsia="Times New Roman" w:hAnsi="Yu Gothic"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Yu Gothic" w:eastAsia="Times New Roman" w:hAnsi="Yu Gothic" w:cs="Times New Roman"/>
        <w:b/>
        <w:bCs/>
      </w:rPr>
    </w:tblStylePr>
    <w:tblStylePr w:type="lastCol">
      <w:rPr>
        <w:rFonts w:ascii="Yu Gothic" w:eastAsia="Times New Roman" w:hAnsi="Yu Gothic"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stefonce-Accent111">
    <w:name w:val="Liste foncée - Accent 111"/>
    <w:basedOn w:val="TableauNormal"/>
    <w:next w:val="Grillemoyenne3-Accent3"/>
    <w:uiPriority w:val="70"/>
    <w:rsid w:val="005F3FB7"/>
    <w:pPr>
      <w:spacing w:after="0" w:line="240" w:lineRule="auto"/>
    </w:pPr>
    <w:rPr>
      <w:rFonts w:ascii="Calibri" w:eastAsia="Calibri" w:hAnsi="Calibri" w:cs="Times New Roman"/>
      <w:color w:val="FFFFFF"/>
      <w:lang w:val="en-US" w:bidi="en-US"/>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Trameclaire-Accent111">
    <w:name w:val="Trame claire - Accent 111"/>
    <w:basedOn w:val="TableauNormal"/>
    <w:uiPriority w:val="60"/>
    <w:rsid w:val="005F3FB7"/>
    <w:pPr>
      <w:spacing w:after="0" w:line="240" w:lineRule="auto"/>
    </w:pPr>
    <w:rPr>
      <w:rFonts w:ascii="Calibri" w:eastAsia="Times New Roman" w:hAnsi="Calibri" w:cs="Times New Roman"/>
      <w:color w:val="2E74B5"/>
      <w:lang w:val="en-US"/>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Tableausimple211">
    <w:name w:val="Tableau simple 211"/>
    <w:basedOn w:val="TableauNormal"/>
    <w:uiPriority w:val="42"/>
    <w:rsid w:val="005F3FB7"/>
    <w:pPr>
      <w:spacing w:after="0" w:line="240" w:lineRule="auto"/>
    </w:pPr>
    <w:rPr>
      <w:rFonts w:ascii="Calibri" w:eastAsia="Calibri" w:hAnsi="Calibri" w:cs="Times New Roman"/>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Bibliographie11">
    <w:name w:val="Bibliographie11"/>
    <w:basedOn w:val="TableauNormal"/>
    <w:uiPriority w:val="61"/>
    <w:unhideWhenUsed/>
    <w:rsid w:val="005F3FB7"/>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Trameclaire-Accent31">
    <w:name w:val="Trame claire - Accent 31"/>
    <w:basedOn w:val="TableauNormal"/>
    <w:next w:val="Grillemoyenne3-Accent3"/>
    <w:uiPriority w:val="70"/>
    <w:semiHidden/>
    <w:unhideWhenUsed/>
    <w:rsid w:val="005F3FB7"/>
    <w:pPr>
      <w:spacing w:after="0" w:line="240" w:lineRule="auto"/>
    </w:pPr>
    <w:rPr>
      <w:rFonts w:ascii="Calibri" w:eastAsia="Calibri" w:hAnsi="Calibri" w:cs="Times New Roman"/>
      <w:color w:val="FFFFFF"/>
      <w:sz w:val="20"/>
      <w:szCs w:val="20"/>
      <w:lang w:val="en-US"/>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GT031">
    <w:name w:val="GT031"/>
    <w:basedOn w:val="TableauNormal"/>
    <w:next w:val="Grilledutableau"/>
    <w:uiPriority w:val="39"/>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31">
    <w:name w:val="Grille du tableau231"/>
    <w:basedOn w:val="TableauNormal"/>
    <w:next w:val="Grilledutableau"/>
    <w:uiPriority w:val="59"/>
    <w:rsid w:val="005F3FB7"/>
    <w:pPr>
      <w:spacing w:after="0" w:line="240" w:lineRule="auto"/>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simple111">
    <w:name w:val="Tableau simple 111"/>
    <w:basedOn w:val="TableauNormal"/>
    <w:next w:val="TableauGrille1Clair-Accentuation3"/>
    <w:uiPriority w:val="41"/>
    <w:rsid w:val="005F3FB7"/>
    <w:pPr>
      <w:spacing w:after="0" w:line="240" w:lineRule="auto"/>
    </w:pPr>
    <w:rPr>
      <w:rFonts w:ascii="Calibri" w:eastAsia="Calibri" w:hAnsi="Calibri" w:cs="Times New Roman"/>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Grille6Couleur-Accentuation11">
    <w:name w:val="Tableau Grille 6 Couleur - Accentuation 11"/>
    <w:basedOn w:val="TableauNormal"/>
    <w:next w:val="TableauGrille1Clair-Accentuation3"/>
    <w:uiPriority w:val="41"/>
    <w:rsid w:val="005F3FB7"/>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SGSTableBasic1121">
    <w:name w:val="SGS Table Basic 1121"/>
    <w:basedOn w:val="TableauNormal"/>
    <w:next w:val="Grilledutableau"/>
    <w:uiPriority w:val="39"/>
    <w:qFormat/>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
    <w:name w:val="Grille du tableau51"/>
    <w:basedOn w:val="TableauNormal"/>
    <w:next w:val="Grilledutableau"/>
    <w:uiPriority w:val="59"/>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121">
    <w:name w:val="Tableau simple 121"/>
    <w:basedOn w:val="TableauNormal"/>
    <w:next w:val="TableauGrille1Clair-Accentuation3"/>
    <w:uiPriority w:val="41"/>
    <w:rsid w:val="005F3FB7"/>
    <w:pPr>
      <w:spacing w:after="0" w:line="240" w:lineRule="auto"/>
    </w:pPr>
    <w:rPr>
      <w:rFonts w:ascii="Calibri" w:eastAsia="Calibri" w:hAnsi="Calibri" w:cs="Times New Roman"/>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2">
    <w:name w:val="Table Normal2"/>
    <w:uiPriority w:val="2"/>
    <w:semiHidden/>
    <w:unhideWhenUsed/>
    <w:qFormat/>
    <w:rsid w:val="005F3FB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Grilledutableau141">
    <w:name w:val="Grille du tableau141"/>
    <w:basedOn w:val="TableauNormal"/>
    <w:next w:val="Grilledutableau"/>
    <w:uiPriority w:val="59"/>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GSTableBasic1131">
    <w:name w:val="SGS Table Basic 1131"/>
    <w:basedOn w:val="TableauNormal"/>
    <w:next w:val="Grilledutableau"/>
    <w:uiPriority w:val="39"/>
    <w:qFormat/>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Liste3151">
    <w:name w:val="Tableau Liste 3151"/>
    <w:basedOn w:val="TableauNormal"/>
    <w:uiPriority w:val="48"/>
    <w:rsid w:val="005F3FB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Grilledutableau61">
    <w:name w:val="Grille du tableau61"/>
    <w:basedOn w:val="TableauNormal"/>
    <w:next w:val="Grilledutableau"/>
    <w:uiPriority w:val="59"/>
    <w:rsid w:val="005F3F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1Clair21">
    <w:name w:val="Tableau Grille 1 Clair21"/>
    <w:basedOn w:val="TableauNormal"/>
    <w:next w:val="TableauGrille3-Accentuation1"/>
    <w:rsid w:val="005F3FB7"/>
    <w:pPr>
      <w:spacing w:after="0" w:line="240" w:lineRule="auto"/>
    </w:pPr>
    <w:rPr>
      <w:rFonts w:ascii="Calibri" w:eastAsia="Calibri" w:hAnsi="Calibri" w:cs="Times New Roman"/>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auGrille1Clair3">
    <w:name w:val="Tableau Grille 1 Clair3"/>
    <w:basedOn w:val="TableauNormal"/>
    <w:next w:val="TableauGrille3-Accentuation1"/>
    <w:uiPriority w:val="46"/>
    <w:qFormat/>
    <w:rsid w:val="005F3FB7"/>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auGrille5Fonc-Accentuation11">
    <w:name w:val="Tableau Grille 5 Foncé - Accentuation 11"/>
    <w:basedOn w:val="TableauNormal"/>
    <w:next w:val="TableauGrille7Couleur-Accentuation2"/>
    <w:uiPriority w:val="50"/>
    <w:rsid w:val="005F3FB7"/>
    <w:pPr>
      <w:spacing w:after="0" w:line="240" w:lineRule="auto"/>
    </w:pPr>
    <w:rPr>
      <w:rFonts w:ascii="Calibri" w:eastAsia="Calibri" w:hAnsi="Calibri" w:cs="Times New Roman"/>
      <w:sz w:val="24"/>
      <w:szCs w:val="24"/>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lledutableau71">
    <w:name w:val="Grille du tableau71"/>
    <w:basedOn w:val="TableauNormal"/>
    <w:next w:val="Grilledutableau"/>
    <w:uiPriority w:val="59"/>
    <w:rsid w:val="005F3FB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1">
    <w:name w:val="Grille du tableau81"/>
    <w:basedOn w:val="TableauNormal"/>
    <w:next w:val="Grilledutableau"/>
    <w:uiPriority w:val="59"/>
    <w:rsid w:val="005F3FB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Tiret lettres,Ha,lp1,Bull,Numbered Paragraph,IBL List Paragraph,123 List Paragraph,Objectifs,Medium Grid 1 - Accent 21,List Bullet Mary,Table/Figure Heading,texte tableau,Yalgo corps,Checkmark,L3 - Normal,Titre 10,RM1,kepala,Graphic"/>
    <w:basedOn w:val="Normal"/>
    <w:uiPriority w:val="34"/>
    <w:qFormat/>
    <w:rsid w:val="005F3FB7"/>
    <w:pPr>
      <w:ind w:left="720"/>
      <w:contextualSpacing/>
    </w:pPr>
  </w:style>
  <w:style w:type="paragraph" w:styleId="Rvision">
    <w:name w:val="Revision"/>
    <w:hidden/>
    <w:uiPriority w:val="71"/>
    <w:unhideWhenUsed/>
    <w:rsid w:val="005F3FB7"/>
    <w:pPr>
      <w:spacing w:after="0" w:line="240" w:lineRule="auto"/>
    </w:pPr>
    <w:rPr>
      <w:rFonts w:ascii="Calibri" w:eastAsia="Calibri" w:hAnsi="Calibri" w:cs="Times New Roman"/>
      <w:lang w:val="en-US"/>
    </w:rPr>
  </w:style>
  <w:style w:type="numbering" w:customStyle="1" w:styleId="PucesTecsult7">
    <w:name w:val="Puces Tecsult7"/>
    <w:rsid w:val="005F3FB7"/>
    <w:pPr>
      <w:numPr>
        <w:numId w:val="102"/>
      </w:numPr>
    </w:pPr>
  </w:style>
  <w:style w:type="character" w:customStyle="1" w:styleId="ListLabel10">
    <w:name w:val="ListLabel 10"/>
    <w:qFormat/>
    <w:rsid w:val="005F3FB7"/>
    <w:rPr>
      <w:rFonts w:cs="Calibri"/>
    </w:rPr>
  </w:style>
  <w:style w:type="character" w:customStyle="1" w:styleId="Mentionnonrsolue4">
    <w:name w:val="Mention non résolue4"/>
    <w:basedOn w:val="Policepardfaut"/>
    <w:uiPriority w:val="99"/>
    <w:unhideWhenUsed/>
    <w:rsid w:val="005F3FB7"/>
    <w:rPr>
      <w:color w:val="605E5C"/>
      <w:shd w:val="clear" w:color="auto" w:fill="E1DFDD"/>
    </w:rPr>
  </w:style>
  <w:style w:type="paragraph" w:styleId="Sansinterligne">
    <w:name w:val="No Spacing"/>
    <w:aliases w:val="INTRO"/>
    <w:link w:val="SansinterligneCar"/>
    <w:uiPriority w:val="1"/>
    <w:qFormat/>
    <w:rsid w:val="005F3FB7"/>
    <w:pPr>
      <w:spacing w:after="0" w:line="240" w:lineRule="auto"/>
    </w:pPr>
    <w:rPr>
      <w:rFonts w:ascii="Calibri" w:eastAsia="Calibri" w:hAnsi="Calibri" w:cs="Times New Roman"/>
      <w:lang w:val="en-US"/>
    </w:rPr>
  </w:style>
  <w:style w:type="character" w:customStyle="1" w:styleId="UnresolvedMention2">
    <w:name w:val="Unresolved Mention2"/>
    <w:basedOn w:val="Policepardfaut"/>
    <w:uiPriority w:val="99"/>
    <w:unhideWhenUsed/>
    <w:rsid w:val="005F3FB7"/>
    <w:rPr>
      <w:color w:val="605E5C"/>
      <w:shd w:val="clear" w:color="auto" w:fill="E1DFDD"/>
    </w:rPr>
  </w:style>
  <w:style w:type="character" w:customStyle="1" w:styleId="Mentionnonrsolue5">
    <w:name w:val="Mention non résolue5"/>
    <w:basedOn w:val="Policepardfaut"/>
    <w:uiPriority w:val="99"/>
    <w:unhideWhenUsed/>
    <w:rsid w:val="005F3FB7"/>
    <w:rPr>
      <w:color w:val="605E5C"/>
      <w:shd w:val="clear" w:color="auto" w:fill="E1DFDD"/>
    </w:rPr>
  </w:style>
  <w:style w:type="table" w:customStyle="1" w:styleId="Grilledutableau9">
    <w:name w:val="Grille du tableau9"/>
    <w:basedOn w:val="TableauNormal"/>
    <w:next w:val="Grilledutableau"/>
    <w:uiPriority w:val="59"/>
    <w:rsid w:val="005F3FB7"/>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6">
    <w:name w:val="Mention non résolue6"/>
    <w:basedOn w:val="Policepardfaut"/>
    <w:uiPriority w:val="99"/>
    <w:unhideWhenUsed/>
    <w:rsid w:val="005F3FB7"/>
    <w:rPr>
      <w:color w:val="605E5C"/>
      <w:shd w:val="clear" w:color="auto" w:fill="E1DFDD"/>
    </w:rPr>
  </w:style>
  <w:style w:type="numbering" w:customStyle="1" w:styleId="Listeactuelle1">
    <w:name w:val="Liste actuelle1"/>
    <w:uiPriority w:val="99"/>
    <w:rsid w:val="005F3FB7"/>
    <w:pPr>
      <w:numPr>
        <w:numId w:val="112"/>
      </w:numPr>
    </w:pPr>
  </w:style>
  <w:style w:type="numbering" w:customStyle="1" w:styleId="Listeactuelle2">
    <w:name w:val="Liste actuelle2"/>
    <w:uiPriority w:val="99"/>
    <w:rsid w:val="005F3FB7"/>
    <w:pPr>
      <w:numPr>
        <w:numId w:val="113"/>
      </w:numPr>
    </w:pPr>
  </w:style>
  <w:style w:type="paragraph" w:customStyle="1" w:styleId="Igip1">
    <w:name w:val="Igip1"/>
    <w:basedOn w:val="Normal"/>
    <w:link w:val="Igip1ZchnZchn"/>
    <w:qFormat/>
    <w:rsid w:val="005F3FB7"/>
    <w:pPr>
      <w:spacing w:after="0" w:line="288" w:lineRule="auto"/>
      <w:ind w:left="1134"/>
      <w:jc w:val="both"/>
    </w:pPr>
    <w:rPr>
      <w:rFonts w:ascii="Arial" w:eastAsia="Times New Roman" w:hAnsi="Arial"/>
      <w:sz w:val="20"/>
      <w:szCs w:val="20"/>
      <w:lang w:eastAsia="x-none"/>
    </w:rPr>
  </w:style>
  <w:style w:type="character" w:customStyle="1" w:styleId="Igip1ZchnZchn">
    <w:name w:val="Igip1 Zchn Zchn"/>
    <w:link w:val="Igip1"/>
    <w:rsid w:val="005F3FB7"/>
    <w:rPr>
      <w:rFonts w:ascii="Arial" w:eastAsia="Times New Roman" w:hAnsi="Arial" w:cs="Times New Roman"/>
      <w:sz w:val="20"/>
      <w:szCs w:val="20"/>
      <w:lang w:eastAsia="x-none"/>
    </w:rPr>
  </w:style>
  <w:style w:type="table" w:styleId="Grillemoyenne1-Accent2">
    <w:name w:val="Medium Grid 1 Accent 2"/>
    <w:basedOn w:val="TableauNormal"/>
    <w:uiPriority w:val="34"/>
    <w:unhideWhenUsed/>
    <w:rsid w:val="005F3FB7"/>
    <w:pPr>
      <w:spacing w:after="0" w:line="240" w:lineRule="auto"/>
    </w:pPr>
    <w:rPr>
      <w:sz w:val="24"/>
      <w:szCs w:val="24"/>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Grilledutableau10">
    <w:name w:val="Grille du tableau10"/>
    <w:basedOn w:val="TableauNormal"/>
    <w:next w:val="Grilledutableau"/>
    <w:uiPriority w:val="59"/>
    <w:rsid w:val="005F3FB7"/>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auNormal"/>
    <w:next w:val="Grilledutableau"/>
    <w:uiPriority w:val="59"/>
    <w:rsid w:val="005F3FB7"/>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mttranslationsastextitem">
    <w:name w:val="lmt__translations_as_text__item"/>
    <w:basedOn w:val="Normal"/>
    <w:uiPriority w:val="99"/>
    <w:rsid w:val="005F3FB7"/>
    <w:pPr>
      <w:spacing w:before="100" w:beforeAutospacing="1" w:after="100" w:afterAutospacing="1" w:line="240" w:lineRule="auto"/>
    </w:pPr>
    <w:rPr>
      <w:rFonts w:ascii="Times New Roman" w:eastAsia="Times New Roman" w:hAnsi="Times New Roman"/>
      <w:sz w:val="24"/>
      <w:szCs w:val="24"/>
      <w:lang w:val="fr-SN" w:eastAsia="fr-FR"/>
    </w:rPr>
  </w:style>
  <w:style w:type="character" w:customStyle="1" w:styleId="Mentionnonrsolue7">
    <w:name w:val="Mention non résolue7"/>
    <w:basedOn w:val="Policepardfaut"/>
    <w:uiPriority w:val="99"/>
    <w:unhideWhenUsed/>
    <w:rsid w:val="005F3FB7"/>
    <w:rPr>
      <w:color w:val="605E5C"/>
      <w:shd w:val="clear" w:color="auto" w:fill="E1DFDD"/>
    </w:rPr>
  </w:style>
  <w:style w:type="paragraph" w:customStyle="1" w:styleId="yiv7464114228ydp5655dc9emsonormal">
    <w:name w:val="yiv7464114228ydp5655dc9emsonormal"/>
    <w:basedOn w:val="Normal"/>
    <w:uiPriority w:val="99"/>
    <w:rsid w:val="005F3FB7"/>
    <w:pPr>
      <w:spacing w:before="100" w:beforeAutospacing="1" w:after="100" w:afterAutospacing="1" w:line="240" w:lineRule="auto"/>
    </w:pPr>
    <w:rPr>
      <w:rFonts w:ascii="Times New Roman" w:eastAsia="Times New Roman" w:hAnsi="Times New Roman"/>
      <w:sz w:val="24"/>
      <w:szCs w:val="24"/>
      <w:lang w:val="fr-SN" w:eastAsia="fr-FR"/>
    </w:rPr>
  </w:style>
  <w:style w:type="character" w:customStyle="1" w:styleId="yiv7464114228ydp5655dc9ea0">
    <w:name w:val="yiv7464114228ydp5655dc9ea0"/>
    <w:basedOn w:val="Policepardfaut"/>
    <w:rsid w:val="005F3FB7"/>
  </w:style>
  <w:style w:type="character" w:customStyle="1" w:styleId="yiv7464114228ydp5655dc9ea1">
    <w:name w:val="yiv7464114228ydp5655dc9ea1"/>
    <w:basedOn w:val="Policepardfaut"/>
    <w:rsid w:val="005F3FB7"/>
  </w:style>
  <w:style w:type="numbering" w:customStyle="1" w:styleId="ListBullets">
    <w:name w:val="List Bullets"/>
    <w:uiPriority w:val="99"/>
    <w:rsid w:val="00E77C71"/>
    <w:pPr>
      <w:numPr>
        <w:numId w:val="132"/>
      </w:numPr>
    </w:pPr>
  </w:style>
  <w:style w:type="paragraph" w:customStyle="1" w:styleId="Bullet">
    <w:name w:val="Bullet"/>
    <w:basedOn w:val="Listepuces"/>
    <w:link w:val="BulletChar"/>
    <w:qFormat/>
    <w:rsid w:val="00E77C71"/>
    <w:pPr>
      <w:numPr>
        <w:numId w:val="123"/>
      </w:numPr>
      <w:spacing w:line="271" w:lineRule="auto"/>
      <w:contextualSpacing w:val="0"/>
    </w:pPr>
    <w:rPr>
      <w:rFonts w:eastAsia="MS Mincho" w:cs="Arial"/>
      <w:color w:val="000000"/>
      <w:sz w:val="20"/>
      <w:lang w:eastAsia="en-GB"/>
    </w:rPr>
  </w:style>
  <w:style w:type="character" w:customStyle="1" w:styleId="BulletChar">
    <w:name w:val="Bullet Char"/>
    <w:link w:val="Bullet"/>
    <w:rsid w:val="00E77C71"/>
    <w:rPr>
      <w:rFonts w:ascii="Arial" w:eastAsia="MS Mincho" w:hAnsi="Arial" w:cs="Arial"/>
      <w:color w:val="000000"/>
      <w:sz w:val="20"/>
      <w:szCs w:val="24"/>
      <w:lang w:eastAsia="en-GB"/>
    </w:rPr>
  </w:style>
  <w:style w:type="paragraph" w:customStyle="1" w:styleId="CarCarCarCarCarCarCarCar">
    <w:name w:val="Car Car Car Car Car Car Car Car"/>
    <w:basedOn w:val="Normal"/>
    <w:rsid w:val="00E77C71"/>
    <w:pPr>
      <w:spacing w:line="240" w:lineRule="exact"/>
    </w:pPr>
    <w:rPr>
      <w:rFonts w:ascii="Arial" w:eastAsia="Times New Roman" w:hAnsi="Arial"/>
      <w:sz w:val="20"/>
      <w:szCs w:val="20"/>
    </w:rPr>
  </w:style>
  <w:style w:type="character" w:customStyle="1" w:styleId="texte10">
    <w:name w:val="texte1"/>
    <w:basedOn w:val="Policepardfaut"/>
    <w:rsid w:val="00E77C71"/>
  </w:style>
  <w:style w:type="table" w:styleId="Grillemoyenne2-Accent6">
    <w:name w:val="Medium Grid 2 Accent 6"/>
    <w:basedOn w:val="TableauNormal"/>
    <w:uiPriority w:val="60"/>
    <w:rsid w:val="00E77C71"/>
    <w:pPr>
      <w:spacing w:after="0" w:line="240" w:lineRule="auto"/>
    </w:pPr>
    <w:rPr>
      <w:rFonts w:ascii="Calibri" w:eastAsia="MS Gothic" w:hAnsi="Calibri"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paragraph" w:customStyle="1" w:styleId="article">
    <w:name w:val="article"/>
    <w:basedOn w:val="Normal"/>
    <w:rsid w:val="00E77C71"/>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style50">
    <w:name w:val="style5"/>
    <w:basedOn w:val="Policepardfaut"/>
    <w:rsid w:val="00E77C71"/>
  </w:style>
  <w:style w:type="paragraph" w:customStyle="1" w:styleId="Retrait">
    <w:name w:val="Retrait"/>
    <w:basedOn w:val="Normal"/>
    <w:autoRedefine/>
    <w:rsid w:val="00E77C71"/>
    <w:pPr>
      <w:tabs>
        <w:tab w:val="left" w:pos="5542"/>
      </w:tabs>
      <w:spacing w:after="120" w:line="360" w:lineRule="auto"/>
      <w:jc w:val="both"/>
    </w:pPr>
    <w:rPr>
      <w:rFonts w:ascii="Times New Roman" w:eastAsia="Times New Roman" w:hAnsi="Times New Roman"/>
      <w:sz w:val="24"/>
      <w:szCs w:val="24"/>
      <w:lang w:eastAsia="fr-FR"/>
    </w:rPr>
  </w:style>
  <w:style w:type="paragraph" w:customStyle="1" w:styleId="a20">
    <w:name w:val="a2"/>
    <w:basedOn w:val="Normal"/>
    <w:rsid w:val="00E77C71"/>
    <w:pPr>
      <w:spacing w:after="0" w:line="240" w:lineRule="auto"/>
      <w:jc w:val="both"/>
    </w:pPr>
    <w:rPr>
      <w:rFonts w:ascii="Arial" w:eastAsia="Times New Roman" w:hAnsi="Arial"/>
      <w:b/>
      <w:sz w:val="24"/>
      <w:szCs w:val="20"/>
      <w:lang w:eastAsia="fr-FR"/>
    </w:rPr>
  </w:style>
  <w:style w:type="paragraph" w:customStyle="1" w:styleId="a40">
    <w:name w:val="a4"/>
    <w:basedOn w:val="Normal"/>
    <w:rsid w:val="00E77C71"/>
    <w:pPr>
      <w:widowControl w:val="0"/>
      <w:tabs>
        <w:tab w:val="num" w:pos="1069"/>
      </w:tabs>
      <w:spacing w:before="120" w:after="120" w:line="240" w:lineRule="auto"/>
      <w:ind w:left="1069" w:hanging="360"/>
      <w:jc w:val="both"/>
      <w:outlineLvl w:val="0"/>
    </w:pPr>
    <w:rPr>
      <w:rFonts w:ascii="Arial" w:eastAsia="Times New Roman" w:hAnsi="Arial"/>
      <w:i/>
      <w:sz w:val="24"/>
      <w:szCs w:val="20"/>
      <w:lang w:eastAsia="fr-FR"/>
    </w:rPr>
  </w:style>
  <w:style w:type="paragraph" w:customStyle="1" w:styleId="CM4">
    <w:name w:val="CM4"/>
    <w:basedOn w:val="Normal"/>
    <w:next w:val="Normal"/>
    <w:rsid w:val="00E77C71"/>
    <w:pPr>
      <w:widowControl w:val="0"/>
      <w:autoSpaceDE w:val="0"/>
      <w:autoSpaceDN w:val="0"/>
      <w:adjustRightInd w:val="0"/>
      <w:spacing w:after="0" w:line="240" w:lineRule="auto"/>
    </w:pPr>
    <w:rPr>
      <w:rFonts w:ascii="Times New Roman" w:eastAsia="MS Mincho" w:hAnsi="Times New Roman"/>
      <w:sz w:val="24"/>
      <w:szCs w:val="24"/>
      <w:lang w:eastAsia="fr-FR"/>
    </w:rPr>
  </w:style>
  <w:style w:type="paragraph" w:customStyle="1" w:styleId="Tab">
    <w:name w:val="Tab"/>
    <w:basedOn w:val="Corpsdetexte"/>
    <w:rsid w:val="00E77C71"/>
    <w:pPr>
      <w:pBdr>
        <w:top w:val="none" w:sz="0" w:space="0" w:color="auto"/>
        <w:left w:val="none" w:sz="0" w:space="0" w:color="auto"/>
        <w:bottom w:val="none" w:sz="0" w:space="0" w:color="auto"/>
        <w:right w:val="none" w:sz="0" w:space="0" w:color="auto"/>
      </w:pBdr>
      <w:shd w:val="clear" w:color="auto" w:fill="auto"/>
      <w:tabs>
        <w:tab w:val="clear" w:pos="4393"/>
      </w:tabs>
      <w:spacing w:line="370" w:lineRule="auto"/>
    </w:pPr>
    <w:rPr>
      <w:rFonts w:ascii="Arial" w:hAnsi="Arial"/>
      <w:b w:val="0"/>
      <w:snapToGrid w:val="0"/>
      <w:sz w:val="18"/>
      <w:szCs w:val="20"/>
    </w:rPr>
  </w:style>
  <w:style w:type="table" w:customStyle="1" w:styleId="Ombrageclair1">
    <w:name w:val="Ombrage clair1"/>
    <w:basedOn w:val="TableauNormal"/>
    <w:uiPriority w:val="60"/>
    <w:rsid w:val="00E77C71"/>
    <w:pPr>
      <w:spacing w:after="0" w:line="240" w:lineRule="auto"/>
    </w:pPr>
    <w:rPr>
      <w:rFonts w:ascii="Cambria" w:eastAsia="Cambria"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Ombrageclair2">
    <w:name w:val="Ombrage clair2"/>
    <w:basedOn w:val="TableauNormal"/>
    <w:uiPriority w:val="60"/>
    <w:rsid w:val="00E77C71"/>
    <w:pPr>
      <w:spacing w:after="0" w:line="240" w:lineRule="auto"/>
    </w:pPr>
    <w:rPr>
      <w:rFonts w:ascii="Cambria" w:eastAsia="Cambria"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eclaire1">
    <w:name w:val="Liste claire1"/>
    <w:basedOn w:val="TableauNormal"/>
    <w:uiPriority w:val="61"/>
    <w:rsid w:val="00E77C71"/>
    <w:pPr>
      <w:spacing w:after="0" w:line="240" w:lineRule="auto"/>
    </w:pPr>
    <w:rPr>
      <w:rFonts w:ascii="Cambria" w:eastAsia="Cambria" w:hAnsi="Cambria"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En-ttedetabledesmatires">
    <w:name w:val="TOC Heading"/>
    <w:basedOn w:val="Titre1"/>
    <w:next w:val="Normal"/>
    <w:uiPriority w:val="39"/>
    <w:unhideWhenUsed/>
    <w:qFormat/>
    <w:rsid w:val="00E77C71"/>
    <w:pPr>
      <w:numPr>
        <w:numId w:val="0"/>
      </w:numPr>
      <w:spacing w:before="480" w:after="0" w:line="276" w:lineRule="auto"/>
      <w:ind w:right="0"/>
      <w:jc w:val="left"/>
      <w:outlineLvl w:val="9"/>
    </w:pPr>
    <w:rPr>
      <w:rFonts w:ascii="Calibri" w:eastAsia="MS Gothic" w:hAnsi="Calibri"/>
      <w:caps w:val="0"/>
      <w:color w:val="365F91"/>
      <w:kern w:val="0"/>
      <w:sz w:val="28"/>
      <w:szCs w:val="28"/>
      <w:lang w:eastAsia="en-US"/>
    </w:rPr>
  </w:style>
  <w:style w:type="character" w:customStyle="1" w:styleId="SansinterligneCar">
    <w:name w:val="Sans interligne Car"/>
    <w:aliases w:val="INTRO Car"/>
    <w:link w:val="Sansinterligne"/>
    <w:uiPriority w:val="1"/>
    <w:rsid w:val="00E77C71"/>
    <w:rPr>
      <w:rFonts w:ascii="Calibri" w:eastAsia="Calibri" w:hAnsi="Calibri" w:cs="Times New Roman"/>
      <w:lang w:val="en-US"/>
    </w:rPr>
  </w:style>
  <w:style w:type="character" w:customStyle="1" w:styleId="eaChar">
    <w:name w:val="ea Char"/>
    <w:rsid w:val="00E77C71"/>
    <w:rPr>
      <w:rFonts w:ascii="Arial" w:eastAsia="Times New Roman" w:hAnsi="Arial" w:cs="Arial"/>
      <w:sz w:val="20"/>
      <w:szCs w:val="20"/>
      <w:lang w:eastAsia="fr-FR"/>
    </w:rPr>
  </w:style>
  <w:style w:type="paragraph" w:customStyle="1" w:styleId="ebs">
    <w:name w:val="ebs"/>
    <w:basedOn w:val="Normal"/>
    <w:rsid w:val="00E77C71"/>
    <w:pPr>
      <w:keepLines/>
      <w:numPr>
        <w:numId w:val="124"/>
      </w:numPr>
      <w:spacing w:before="60" w:after="0" w:line="240" w:lineRule="auto"/>
      <w:jc w:val="both"/>
    </w:pPr>
    <w:rPr>
      <w:rFonts w:ascii="Tahoma" w:eastAsia="Times New Roman" w:hAnsi="Tahoma" w:cs="Tahoma"/>
      <w:sz w:val="20"/>
      <w:szCs w:val="20"/>
      <w:lang w:eastAsia="fr-FR"/>
    </w:rPr>
  </w:style>
  <w:style w:type="character" w:customStyle="1" w:styleId="Listepuces2Car">
    <w:name w:val="Liste à puces 2 Car"/>
    <w:link w:val="Listepuces2"/>
    <w:uiPriority w:val="99"/>
    <w:rsid w:val="00E77C71"/>
    <w:rPr>
      <w:rFonts w:ascii="Times New Roman" w:eastAsia="Times New Roman" w:hAnsi="Times New Roman" w:cs="Times New Roman"/>
      <w:sz w:val="24"/>
      <w:szCs w:val="24"/>
      <w:lang w:eastAsia="fr-FR"/>
    </w:rPr>
  </w:style>
  <w:style w:type="paragraph" w:customStyle="1" w:styleId="story-writer">
    <w:name w:val="story-writer"/>
    <w:basedOn w:val="Normal"/>
    <w:uiPriority w:val="99"/>
    <w:rsid w:val="00E77C71"/>
    <w:pPr>
      <w:spacing w:before="100" w:beforeAutospacing="1" w:after="100" w:afterAutospacing="1" w:line="240" w:lineRule="auto"/>
    </w:pPr>
    <w:rPr>
      <w:rFonts w:ascii="Arial" w:eastAsia="Times New Roman" w:hAnsi="Arial" w:cs="Arial"/>
      <w:sz w:val="24"/>
      <w:szCs w:val="24"/>
      <w:lang w:eastAsia="fr-FR"/>
    </w:rPr>
  </w:style>
  <w:style w:type="paragraph" w:customStyle="1" w:styleId="font7">
    <w:name w:val="font7"/>
    <w:basedOn w:val="Normal"/>
    <w:uiPriority w:val="99"/>
    <w:rsid w:val="00E77C71"/>
    <w:pPr>
      <w:spacing w:before="100" w:beforeAutospacing="1" w:after="100" w:afterAutospacing="1" w:line="240" w:lineRule="auto"/>
    </w:pPr>
    <w:rPr>
      <w:rFonts w:ascii="Times New Roman" w:eastAsia="Arial Unicode MS" w:hAnsi="Times New Roman"/>
    </w:rPr>
  </w:style>
  <w:style w:type="paragraph" w:customStyle="1" w:styleId="Indice1">
    <w:name w:val="Indice1"/>
    <w:basedOn w:val="Normal"/>
    <w:uiPriority w:val="99"/>
    <w:rsid w:val="00E77C71"/>
    <w:pPr>
      <w:tabs>
        <w:tab w:val="num" w:pos="360"/>
      </w:tabs>
      <w:spacing w:after="0" w:line="240" w:lineRule="auto"/>
      <w:ind w:left="360" w:hanging="360"/>
    </w:pPr>
    <w:rPr>
      <w:rFonts w:ascii="Times New Roman" w:eastAsia="Times New Roman" w:hAnsi="Times New Roman"/>
    </w:rPr>
  </w:style>
  <w:style w:type="paragraph" w:customStyle="1" w:styleId="bodytexte">
    <w:name w:val="bodytexte"/>
    <w:basedOn w:val="Normal"/>
    <w:uiPriority w:val="99"/>
    <w:rsid w:val="00E77C71"/>
    <w:pPr>
      <w:spacing w:before="100" w:beforeAutospacing="1" w:after="100" w:afterAutospacing="1" w:line="240" w:lineRule="auto"/>
      <w:ind w:firstLine="540"/>
      <w:jc w:val="both"/>
    </w:pPr>
    <w:rPr>
      <w:rFonts w:ascii="Times New Roman" w:eastAsia="Times New Roman" w:hAnsi="Times New Roman"/>
      <w:sz w:val="24"/>
      <w:szCs w:val="24"/>
      <w:lang w:eastAsia="fr-FR"/>
    </w:rPr>
  </w:style>
  <w:style w:type="paragraph" w:customStyle="1" w:styleId="Tabellenabsatz1">
    <w:name w:val="Tabellenabsatz 1"/>
    <w:basedOn w:val="Corpsdetexte"/>
    <w:uiPriority w:val="99"/>
    <w:rsid w:val="00E77C71"/>
    <w:pPr>
      <w:pBdr>
        <w:top w:val="none" w:sz="0" w:space="0" w:color="auto"/>
        <w:left w:val="none" w:sz="0" w:space="0" w:color="auto"/>
        <w:bottom w:val="none" w:sz="0" w:space="0" w:color="auto"/>
        <w:right w:val="none" w:sz="0" w:space="0" w:color="auto"/>
      </w:pBdr>
      <w:shd w:val="clear" w:color="auto" w:fill="auto"/>
      <w:tabs>
        <w:tab w:val="clear" w:pos="4393"/>
      </w:tabs>
      <w:overflowPunct w:val="0"/>
      <w:autoSpaceDE w:val="0"/>
      <w:autoSpaceDN w:val="0"/>
      <w:adjustRightInd w:val="0"/>
      <w:spacing w:before="60"/>
      <w:ind w:left="283" w:hanging="283"/>
      <w:jc w:val="left"/>
      <w:textAlignment w:val="baseline"/>
    </w:pPr>
    <w:rPr>
      <w:rFonts w:ascii="Arial" w:hAnsi="Arial" w:cs="Arial"/>
      <w:b w:val="0"/>
      <w:sz w:val="20"/>
      <w:szCs w:val="20"/>
      <w:lang w:val="en-GB" w:eastAsia="ja-JP"/>
    </w:rPr>
  </w:style>
  <w:style w:type="paragraph" w:customStyle="1" w:styleId="Tabellenabsatz2">
    <w:name w:val="Tabellenabsatz 2"/>
    <w:basedOn w:val="Corpsdetexte"/>
    <w:uiPriority w:val="99"/>
    <w:rsid w:val="00E77C71"/>
    <w:pPr>
      <w:pBdr>
        <w:top w:val="none" w:sz="0" w:space="0" w:color="auto"/>
        <w:left w:val="none" w:sz="0" w:space="0" w:color="auto"/>
        <w:bottom w:val="none" w:sz="0" w:space="0" w:color="auto"/>
        <w:right w:val="none" w:sz="0" w:space="0" w:color="auto"/>
      </w:pBdr>
      <w:shd w:val="clear" w:color="auto" w:fill="auto"/>
      <w:tabs>
        <w:tab w:val="clear" w:pos="4393"/>
      </w:tabs>
      <w:overflowPunct w:val="0"/>
      <w:autoSpaceDE w:val="0"/>
      <w:autoSpaceDN w:val="0"/>
      <w:adjustRightInd w:val="0"/>
      <w:ind w:left="567" w:hanging="283"/>
      <w:jc w:val="left"/>
      <w:textAlignment w:val="baseline"/>
    </w:pPr>
    <w:rPr>
      <w:rFonts w:ascii="Arial" w:hAnsi="Arial" w:cs="Arial"/>
      <w:b w:val="0"/>
      <w:sz w:val="18"/>
      <w:szCs w:val="18"/>
      <w:lang w:val="en-GB" w:eastAsia="ja-JP"/>
    </w:rPr>
  </w:style>
  <w:style w:type="paragraph" w:styleId="Listenumros3">
    <w:name w:val="List Number 3"/>
    <w:uiPriority w:val="99"/>
    <w:rsid w:val="00E77C71"/>
    <w:pPr>
      <w:tabs>
        <w:tab w:val="num" w:pos="360"/>
      </w:tabs>
      <w:snapToGrid w:val="0"/>
      <w:spacing w:after="0" w:line="240" w:lineRule="auto"/>
    </w:pPr>
    <w:rPr>
      <w:rFonts w:ascii="Times New Roman" w:eastAsia="Times New Roman" w:hAnsi="Times New Roman" w:cs="Times New Roman"/>
      <w:szCs w:val="20"/>
    </w:rPr>
  </w:style>
  <w:style w:type="paragraph" w:customStyle="1" w:styleId="Textepardfaut">
    <w:name w:val="Texte par défaut"/>
    <w:basedOn w:val="Normal"/>
    <w:uiPriority w:val="99"/>
    <w:rsid w:val="00E77C71"/>
    <w:pPr>
      <w:overflowPunct w:val="0"/>
      <w:autoSpaceDE w:val="0"/>
      <w:autoSpaceDN w:val="0"/>
      <w:adjustRightInd w:val="0"/>
      <w:spacing w:after="0" w:line="240" w:lineRule="auto"/>
      <w:textAlignment w:val="baseline"/>
    </w:pPr>
    <w:rPr>
      <w:rFonts w:ascii="Times New Roman" w:eastAsia="Times New Roman" w:hAnsi="Times New Roman"/>
      <w:sz w:val="24"/>
      <w:szCs w:val="20"/>
      <w:lang w:val="fr-CA" w:eastAsia="fr-FR"/>
    </w:rPr>
  </w:style>
  <w:style w:type="paragraph" w:customStyle="1" w:styleId="Adresse1">
    <w:name w:val="Adresse 1"/>
    <w:basedOn w:val="Normal"/>
    <w:uiPriority w:val="99"/>
    <w:rsid w:val="00E77C71"/>
    <w:pPr>
      <w:framePr w:w="2160" w:wrap="notBeside" w:vAnchor="page" w:hAnchor="page" w:x="8281" w:y="1153"/>
      <w:spacing w:after="0" w:line="160" w:lineRule="atLeast"/>
      <w:jc w:val="both"/>
    </w:pPr>
    <w:rPr>
      <w:rFonts w:ascii="Arial" w:eastAsia="Times New Roman" w:hAnsi="Arial"/>
      <w:sz w:val="14"/>
      <w:szCs w:val="14"/>
      <w:lang w:eastAsia="fr-FR"/>
    </w:rPr>
  </w:style>
  <w:style w:type="paragraph" w:customStyle="1" w:styleId="C1PlainText">
    <w:name w:val="C1 Plain Text"/>
    <w:basedOn w:val="Normal"/>
    <w:uiPriority w:val="99"/>
    <w:rsid w:val="00E77C71"/>
    <w:pPr>
      <w:overflowPunct w:val="0"/>
      <w:autoSpaceDE w:val="0"/>
      <w:autoSpaceDN w:val="0"/>
      <w:adjustRightInd w:val="0"/>
      <w:spacing w:before="120" w:after="120" w:line="240" w:lineRule="auto"/>
      <w:ind w:left="1298"/>
      <w:jc w:val="both"/>
      <w:textAlignment w:val="baseline"/>
    </w:pPr>
    <w:rPr>
      <w:rFonts w:ascii="Times New Roman" w:eastAsia="Times New Roman" w:hAnsi="Times New Roman"/>
      <w:sz w:val="24"/>
      <w:szCs w:val="20"/>
    </w:rPr>
  </w:style>
  <w:style w:type="paragraph" w:styleId="Listecontinue">
    <w:name w:val="List Continue"/>
    <w:basedOn w:val="Normal"/>
    <w:uiPriority w:val="99"/>
    <w:rsid w:val="00E77C71"/>
    <w:pPr>
      <w:spacing w:after="120" w:line="240" w:lineRule="auto"/>
      <w:ind w:left="283"/>
    </w:pPr>
    <w:rPr>
      <w:rFonts w:ascii="Times New Roman" w:eastAsia="PMingLiU" w:hAnsi="Times New Roman"/>
      <w:sz w:val="24"/>
      <w:szCs w:val="24"/>
      <w:lang w:eastAsia="zh-TW"/>
    </w:rPr>
  </w:style>
  <w:style w:type="paragraph" w:customStyle="1" w:styleId="Grilleclaire-Accent31">
    <w:name w:val="Grille claire - Accent 31"/>
    <w:basedOn w:val="Normal"/>
    <w:uiPriority w:val="34"/>
    <w:qFormat/>
    <w:rsid w:val="00E77C71"/>
    <w:pPr>
      <w:spacing w:after="0" w:line="240" w:lineRule="auto"/>
      <w:ind w:left="708"/>
    </w:pPr>
    <w:rPr>
      <w:rFonts w:ascii="Times New Roman" w:eastAsia="Times New Roman" w:hAnsi="Times New Roman"/>
      <w:sz w:val="24"/>
      <w:szCs w:val="24"/>
      <w:lang w:eastAsia="fr-FR"/>
    </w:rPr>
  </w:style>
  <w:style w:type="paragraph" w:customStyle="1" w:styleId="Level5">
    <w:name w:val="Level5"/>
    <w:basedOn w:val="Normal"/>
    <w:uiPriority w:val="99"/>
    <w:rsid w:val="00E77C71"/>
    <w:pPr>
      <w:tabs>
        <w:tab w:val="decimal" w:pos="720"/>
        <w:tab w:val="num" w:pos="1000"/>
      </w:tabs>
      <w:spacing w:before="40" w:after="40" w:line="240" w:lineRule="auto"/>
      <w:ind w:left="1000" w:hanging="432"/>
      <w:jc w:val="both"/>
    </w:pPr>
    <w:rPr>
      <w:rFonts w:ascii="Arial" w:eastAsia="Times New Roman" w:hAnsi="Arial" w:cs="Arial"/>
      <w:lang w:val="en-GB" w:eastAsia="zh-CN"/>
    </w:rPr>
  </w:style>
  <w:style w:type="character" w:customStyle="1" w:styleId="txtcourant">
    <w:name w:val="txtcourant"/>
    <w:basedOn w:val="Policepardfaut"/>
    <w:rsid w:val="00E77C71"/>
  </w:style>
  <w:style w:type="paragraph" w:customStyle="1" w:styleId="Pa14">
    <w:name w:val="Pa14"/>
    <w:basedOn w:val="Normal"/>
    <w:next w:val="Normal"/>
    <w:rsid w:val="00E77C71"/>
    <w:pPr>
      <w:autoSpaceDE w:val="0"/>
      <w:autoSpaceDN w:val="0"/>
      <w:adjustRightInd w:val="0"/>
      <w:spacing w:after="0" w:line="200" w:lineRule="atLeast"/>
    </w:pPr>
    <w:rPr>
      <w:rFonts w:ascii="VAZCQF+GillSans-BoldItalic" w:hAnsi="VAZCQF+GillSans-BoldItalic"/>
      <w:sz w:val="24"/>
      <w:szCs w:val="24"/>
    </w:rPr>
  </w:style>
  <w:style w:type="paragraph" w:customStyle="1" w:styleId="Heading1a">
    <w:name w:val="Heading 1a"/>
    <w:basedOn w:val="Titre1"/>
    <w:next w:val="Normal"/>
    <w:uiPriority w:val="99"/>
    <w:rsid w:val="00E77C71"/>
    <w:pPr>
      <w:numPr>
        <w:numId w:val="0"/>
      </w:numPr>
      <w:spacing w:before="720"/>
      <w:ind w:right="0"/>
      <w:jc w:val="center"/>
      <w:outlineLvl w:val="9"/>
    </w:pPr>
    <w:rPr>
      <w:rFonts w:ascii="Times New Roman Bold" w:hAnsi="Times New Roman Bold"/>
      <w:bCs w:val="0"/>
      <w:caps w:val="0"/>
      <w:kern w:val="0"/>
      <w:sz w:val="32"/>
      <w:szCs w:val="20"/>
      <w:lang w:val="en-US" w:eastAsia="en-US"/>
    </w:rPr>
  </w:style>
  <w:style w:type="paragraph" w:customStyle="1" w:styleId="introduction">
    <w:name w:val="introduction"/>
    <w:basedOn w:val="Normal"/>
    <w:rsid w:val="00E77C71"/>
    <w:pPr>
      <w:spacing w:beforeLines="1" w:afterLines="1" w:after="0" w:line="240" w:lineRule="auto"/>
    </w:pPr>
    <w:rPr>
      <w:rFonts w:ascii="Times" w:eastAsia="Cambria" w:hAnsi="Times"/>
      <w:sz w:val="20"/>
      <w:szCs w:val="20"/>
      <w:lang w:eastAsia="fr-FR"/>
    </w:rPr>
  </w:style>
  <w:style w:type="paragraph" w:customStyle="1" w:styleId="surtitre">
    <w:name w:val="surtitre"/>
    <w:basedOn w:val="Normal"/>
    <w:rsid w:val="00E77C71"/>
    <w:pPr>
      <w:spacing w:beforeLines="1" w:afterLines="1" w:after="0" w:line="240" w:lineRule="auto"/>
    </w:pPr>
    <w:rPr>
      <w:rFonts w:ascii="Times" w:eastAsia="Cambria" w:hAnsi="Times"/>
      <w:sz w:val="20"/>
      <w:szCs w:val="20"/>
      <w:lang w:eastAsia="fr-FR"/>
    </w:rPr>
  </w:style>
  <w:style w:type="character" w:customStyle="1" w:styleId="nobr">
    <w:name w:val="nobr"/>
    <w:basedOn w:val="Policepardfaut"/>
    <w:rsid w:val="00E77C71"/>
  </w:style>
  <w:style w:type="paragraph" w:styleId="Liste">
    <w:name w:val="List"/>
    <w:aliases w:val="1. List"/>
    <w:basedOn w:val="Normal"/>
    <w:uiPriority w:val="99"/>
    <w:rsid w:val="00E77C71"/>
    <w:pPr>
      <w:spacing w:after="0" w:line="240" w:lineRule="auto"/>
      <w:ind w:left="283" w:hanging="283"/>
    </w:pPr>
    <w:rPr>
      <w:rFonts w:ascii="Times New Roman" w:eastAsia="Times New Roman" w:hAnsi="Times New Roman"/>
      <w:color w:val="333333"/>
      <w:sz w:val="24"/>
      <w:szCs w:val="28"/>
      <w:lang w:eastAsia="fr-FR"/>
    </w:rPr>
  </w:style>
  <w:style w:type="paragraph" w:customStyle="1" w:styleId="TxBrt29">
    <w:name w:val="TxBr_t29"/>
    <w:basedOn w:val="Normal"/>
    <w:rsid w:val="00E77C71"/>
    <w:pPr>
      <w:widowControl w:val="0"/>
      <w:spacing w:after="0" w:line="240" w:lineRule="atLeast"/>
    </w:pPr>
    <w:rPr>
      <w:rFonts w:ascii="Times New Roman" w:eastAsia="Times New Roman" w:hAnsi="Times New Roman"/>
      <w:snapToGrid w:val="0"/>
      <w:sz w:val="24"/>
      <w:szCs w:val="24"/>
    </w:rPr>
  </w:style>
  <w:style w:type="character" w:customStyle="1" w:styleId="tw4winMark">
    <w:name w:val="tw4winMark"/>
    <w:rsid w:val="00E77C71"/>
    <w:rPr>
      <w:rFonts w:ascii="Courier New" w:hAnsi="Courier New" w:cs="Courier New"/>
      <w:vanish/>
      <w:color w:val="800080"/>
      <w:vertAlign w:val="subscript"/>
    </w:rPr>
  </w:style>
  <w:style w:type="paragraph" w:customStyle="1" w:styleId="a0">
    <w:name w:val="a"/>
    <w:basedOn w:val="Normal"/>
    <w:uiPriority w:val="99"/>
    <w:rsid w:val="00E77C71"/>
    <w:pPr>
      <w:autoSpaceDE w:val="0"/>
      <w:autoSpaceDN w:val="0"/>
      <w:spacing w:after="0" w:line="240" w:lineRule="atLeast"/>
    </w:pPr>
    <w:rPr>
      <w:rFonts w:ascii="Courier New" w:eastAsia="Times New Roman" w:hAnsi="Courier New" w:cs="Courier New"/>
      <w:sz w:val="24"/>
      <w:szCs w:val="24"/>
    </w:rPr>
  </w:style>
  <w:style w:type="paragraph" w:customStyle="1" w:styleId="PrformatHTML1">
    <w:name w:val="Préformaté HTML1"/>
    <w:basedOn w:val="Normal"/>
    <w:rsid w:val="00E77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eastAsia="fr-FR"/>
    </w:rPr>
  </w:style>
  <w:style w:type="paragraph" w:customStyle="1" w:styleId="textenormal">
    <w:name w:val="texte normal"/>
    <w:basedOn w:val="Normal"/>
    <w:rsid w:val="00E77C71"/>
    <w:pPr>
      <w:keepLines/>
      <w:tabs>
        <w:tab w:val="left" w:pos="7020"/>
        <w:tab w:val="left" w:pos="18540"/>
      </w:tabs>
      <w:suppressAutoHyphens/>
      <w:spacing w:before="120" w:after="120" w:line="240" w:lineRule="auto"/>
      <w:jc w:val="both"/>
    </w:pPr>
    <w:rPr>
      <w:rFonts w:ascii="Times New Roman" w:eastAsia="Times New Roman" w:hAnsi="Times New Roman"/>
      <w:sz w:val="24"/>
      <w:szCs w:val="20"/>
      <w:lang w:val="fr-CA" w:eastAsia="fr-FR"/>
    </w:rPr>
  </w:style>
  <w:style w:type="paragraph" w:customStyle="1" w:styleId="listepuces20">
    <w:name w:val="liste à puces_2"/>
    <w:basedOn w:val="Normal"/>
    <w:rsid w:val="00E77C71"/>
    <w:pPr>
      <w:tabs>
        <w:tab w:val="left" w:pos="1080"/>
      </w:tabs>
      <w:spacing w:after="60" w:line="252" w:lineRule="auto"/>
      <w:ind w:left="1077" w:hanging="357"/>
      <w:jc w:val="both"/>
    </w:pPr>
    <w:rPr>
      <w:rFonts w:ascii="Times New Roman" w:eastAsia="Times New Roman" w:hAnsi="Times New Roman"/>
      <w:szCs w:val="20"/>
      <w:lang w:eastAsia="fr-FR"/>
    </w:rPr>
  </w:style>
  <w:style w:type="character" w:customStyle="1" w:styleId="lienexterne">
    <w:name w:val="lien_externe"/>
    <w:basedOn w:val="Policepardfaut"/>
    <w:rsid w:val="00E77C71"/>
  </w:style>
  <w:style w:type="character" w:customStyle="1" w:styleId="RetraitcorpsdetexteCar1">
    <w:name w:val="Retrait corps de texte Car1"/>
    <w:uiPriority w:val="99"/>
    <w:rsid w:val="00E77C71"/>
    <w:rPr>
      <w:rFonts w:ascii="Calibri" w:eastAsia="Calibri" w:hAnsi="Calibri" w:cs="Times New Roman"/>
    </w:rPr>
  </w:style>
  <w:style w:type="paragraph" w:customStyle="1" w:styleId="TITRE111">
    <w:name w:val="TITRE 1.1.1."/>
    <w:basedOn w:val="Normal"/>
    <w:qFormat/>
    <w:rsid w:val="00E77C71"/>
    <w:pPr>
      <w:tabs>
        <w:tab w:val="num" w:pos="1418"/>
      </w:tabs>
      <w:spacing w:after="120" w:line="240" w:lineRule="auto"/>
      <w:ind w:left="1418" w:hanging="851"/>
      <w:outlineLvl w:val="2"/>
    </w:pPr>
    <w:rPr>
      <w:rFonts w:eastAsia="Times New Roman" w:cs="Arial"/>
      <w:b/>
      <w:smallCaps/>
      <w:sz w:val="28"/>
      <w:szCs w:val="24"/>
      <w:u w:val="single"/>
      <w:lang w:eastAsia="fr-FR"/>
    </w:rPr>
  </w:style>
  <w:style w:type="paragraph" w:customStyle="1" w:styleId="TITRE1111">
    <w:name w:val="TITRE 1.1.1.1"/>
    <w:basedOn w:val="Normal"/>
    <w:uiPriority w:val="99"/>
    <w:qFormat/>
    <w:rsid w:val="00E77C71"/>
    <w:pPr>
      <w:tabs>
        <w:tab w:val="num" w:pos="2126"/>
      </w:tabs>
      <w:spacing w:after="120" w:line="240" w:lineRule="auto"/>
      <w:ind w:left="2128" w:hanging="851"/>
      <w:outlineLvl w:val="3"/>
    </w:pPr>
    <w:rPr>
      <w:rFonts w:eastAsia="Times New Roman" w:cs="Arial"/>
      <w:b/>
      <w:sz w:val="24"/>
      <w:szCs w:val="24"/>
      <w:u w:val="single"/>
      <w:lang w:eastAsia="fr-FR"/>
    </w:rPr>
  </w:style>
  <w:style w:type="paragraph" w:customStyle="1" w:styleId="TITRE110">
    <w:name w:val="TITRE 1.1"/>
    <w:basedOn w:val="Normal"/>
    <w:link w:val="TITRE11Car"/>
    <w:qFormat/>
    <w:rsid w:val="00E77C71"/>
    <w:pPr>
      <w:tabs>
        <w:tab w:val="num" w:pos="1134"/>
      </w:tabs>
      <w:spacing w:before="120" w:after="120" w:line="240" w:lineRule="auto"/>
      <w:ind w:left="1134" w:hanging="850"/>
      <w:outlineLvl w:val="1"/>
    </w:pPr>
    <w:rPr>
      <w:rFonts w:eastAsia="Times New Roman"/>
      <w:b/>
      <w:smallCaps/>
      <w:sz w:val="32"/>
      <w:szCs w:val="24"/>
      <w:u w:val="single"/>
      <w:lang w:val="x-none" w:eastAsia="x-none"/>
    </w:rPr>
  </w:style>
  <w:style w:type="character" w:customStyle="1" w:styleId="TITRE11Car">
    <w:name w:val="TITRE 1.1 Car"/>
    <w:link w:val="TITRE110"/>
    <w:rsid w:val="00E77C71"/>
    <w:rPr>
      <w:rFonts w:ascii="Calibri" w:eastAsia="Times New Roman" w:hAnsi="Calibri" w:cs="Times New Roman"/>
      <w:b/>
      <w:smallCaps/>
      <w:sz w:val="32"/>
      <w:szCs w:val="24"/>
      <w:u w:val="single"/>
      <w:lang w:val="x-none" w:eastAsia="x-none"/>
    </w:rPr>
  </w:style>
  <w:style w:type="character" w:styleId="Titredulivre">
    <w:name w:val="Book Title"/>
    <w:uiPriority w:val="33"/>
    <w:qFormat/>
    <w:rsid w:val="00E77C71"/>
    <w:rPr>
      <w:b/>
      <w:bCs/>
      <w:smallCaps/>
      <w:spacing w:val="5"/>
    </w:rPr>
  </w:style>
  <w:style w:type="paragraph" w:customStyle="1" w:styleId="Header9-1">
    <w:name w:val="Header 9-1"/>
    <w:basedOn w:val="Normal"/>
    <w:rsid w:val="00E77C71"/>
    <w:pPr>
      <w:keepNext/>
      <w:framePr w:hSpace="141" w:wrap="around" w:vAnchor="text" w:hAnchor="margin" w:y="275"/>
      <w:tabs>
        <w:tab w:val="left" w:pos="170"/>
        <w:tab w:val="num" w:pos="1290"/>
      </w:tabs>
      <w:autoSpaceDE w:val="0"/>
      <w:autoSpaceDN w:val="0"/>
      <w:adjustRightInd w:val="0"/>
      <w:spacing w:after="60" w:line="240" w:lineRule="auto"/>
      <w:ind w:left="1290" w:hanging="777"/>
      <w:outlineLvl w:val="1"/>
    </w:pPr>
    <w:rPr>
      <w:rFonts w:ascii="Arial" w:eastAsia="Times New Roman" w:hAnsi="Arial" w:cs="Arial"/>
      <w:bCs/>
      <w:iCs/>
      <w:u w:val="single"/>
      <w:lang w:val="fr-CA"/>
    </w:rPr>
  </w:style>
  <w:style w:type="paragraph" w:customStyle="1" w:styleId="Listecouleur-Accent13">
    <w:name w:val="Liste couleur - Accent 13"/>
    <w:basedOn w:val="Normal"/>
    <w:uiPriority w:val="34"/>
    <w:qFormat/>
    <w:rsid w:val="00E77C71"/>
    <w:pPr>
      <w:spacing w:after="200" w:line="276" w:lineRule="auto"/>
      <w:ind w:left="720"/>
      <w:contextualSpacing/>
    </w:pPr>
  </w:style>
  <w:style w:type="paragraph" w:customStyle="1" w:styleId="Grillemoyenne1-Accent211">
    <w:name w:val="Grille moyenne 1 - Accent 211"/>
    <w:basedOn w:val="Normal"/>
    <w:uiPriority w:val="34"/>
    <w:qFormat/>
    <w:rsid w:val="00E77C71"/>
    <w:pPr>
      <w:spacing w:after="0" w:line="240" w:lineRule="auto"/>
      <w:ind w:left="708"/>
    </w:pPr>
    <w:rPr>
      <w:rFonts w:ascii="Times New Roman" w:eastAsia="Times New Roman" w:hAnsi="Times New Roman"/>
      <w:sz w:val="24"/>
      <w:szCs w:val="24"/>
      <w:lang w:eastAsia="fr-FR"/>
    </w:rPr>
  </w:style>
  <w:style w:type="paragraph" w:customStyle="1" w:styleId="Listecouleur-Accent14">
    <w:name w:val="Liste couleur - Accent 14"/>
    <w:basedOn w:val="Normal"/>
    <w:uiPriority w:val="34"/>
    <w:qFormat/>
    <w:rsid w:val="00E77C71"/>
    <w:pPr>
      <w:spacing w:after="200" w:line="276" w:lineRule="auto"/>
      <w:ind w:left="720"/>
      <w:contextualSpacing/>
    </w:pPr>
    <w:rPr>
      <w:rFonts w:ascii="Times New Roman" w:hAnsi="Times New Roman"/>
      <w:sz w:val="24"/>
      <w:szCs w:val="24"/>
    </w:rPr>
  </w:style>
  <w:style w:type="character" w:customStyle="1" w:styleId="Corpsdetexte2Car1">
    <w:name w:val="Corps de texte 2 Car1"/>
    <w:uiPriority w:val="99"/>
    <w:semiHidden/>
    <w:rsid w:val="00E77C71"/>
    <w:rPr>
      <w:rFonts w:ascii="Calibri" w:eastAsia="Calibri" w:hAnsi="Calibri" w:cs="Times New Roman"/>
    </w:rPr>
  </w:style>
  <w:style w:type="character" w:customStyle="1" w:styleId="PrformatHTMLCar1">
    <w:name w:val="Préformaté HTML Car1"/>
    <w:uiPriority w:val="99"/>
    <w:semiHidden/>
    <w:rsid w:val="00E77C71"/>
    <w:rPr>
      <w:rFonts w:ascii="Consolas" w:eastAsia="Calibri" w:hAnsi="Consolas" w:cs="Consolas"/>
      <w:sz w:val="20"/>
      <w:szCs w:val="20"/>
    </w:rPr>
  </w:style>
  <w:style w:type="character" w:customStyle="1" w:styleId="Retraitcorpsdetexte3Car1">
    <w:name w:val="Retrait corps de texte 3 Car1"/>
    <w:uiPriority w:val="99"/>
    <w:rsid w:val="00E77C71"/>
    <w:rPr>
      <w:rFonts w:ascii="Calibri" w:eastAsia="Calibri" w:hAnsi="Calibri" w:cs="Times New Roman"/>
      <w:sz w:val="16"/>
      <w:szCs w:val="16"/>
    </w:rPr>
  </w:style>
  <w:style w:type="character" w:customStyle="1" w:styleId="Retraitcorpsdetexte2Car1">
    <w:name w:val="Retrait corps de texte 2 Car1"/>
    <w:uiPriority w:val="99"/>
    <w:rsid w:val="00E77C71"/>
    <w:rPr>
      <w:rFonts w:ascii="Calibri" w:eastAsia="Calibri" w:hAnsi="Calibri" w:cs="Times New Roman"/>
    </w:rPr>
  </w:style>
  <w:style w:type="character" w:customStyle="1" w:styleId="BankNormalChar">
    <w:name w:val="BankNormal Char"/>
    <w:link w:val="BankNormal"/>
    <w:rsid w:val="00E77C71"/>
    <w:rPr>
      <w:rFonts w:ascii="Times New Roman" w:eastAsia="Times New Roman" w:hAnsi="Times New Roman" w:cs="Times New Roman"/>
      <w:sz w:val="24"/>
      <w:szCs w:val="20"/>
      <w:lang w:val="en-US"/>
    </w:rPr>
  </w:style>
  <w:style w:type="paragraph" w:customStyle="1" w:styleId="MaintextNormal">
    <w:name w:val="Maintext Normal"/>
    <w:basedOn w:val="Normal"/>
    <w:link w:val="MaintextNormalChar"/>
    <w:qFormat/>
    <w:rsid w:val="00E77C71"/>
    <w:pPr>
      <w:spacing w:before="240" w:after="240" w:line="240" w:lineRule="auto"/>
      <w:ind w:left="540" w:hanging="360"/>
      <w:jc w:val="both"/>
    </w:pPr>
    <w:rPr>
      <w:rFonts w:ascii="Times New Roman" w:hAnsi="Times New Roman"/>
      <w:sz w:val="24"/>
      <w:lang w:val="en-GB"/>
    </w:rPr>
  </w:style>
  <w:style w:type="character" w:customStyle="1" w:styleId="MaintextNormalChar">
    <w:name w:val="Maintext Normal Char"/>
    <w:link w:val="MaintextNormal"/>
    <w:rsid w:val="00E77C71"/>
    <w:rPr>
      <w:rFonts w:ascii="Times New Roman" w:eastAsia="Calibri" w:hAnsi="Times New Roman" w:cs="Times New Roman"/>
      <w:sz w:val="24"/>
      <w:lang w:val="en-GB"/>
    </w:rPr>
  </w:style>
  <w:style w:type="paragraph" w:customStyle="1" w:styleId="P20">
    <w:name w:val="P2"/>
    <w:link w:val="P2Car"/>
    <w:rsid w:val="00E77C71"/>
    <w:pPr>
      <w:keepLines/>
      <w:spacing w:before="120" w:after="0" w:line="240" w:lineRule="exact"/>
      <w:ind w:left="1152"/>
      <w:jc w:val="both"/>
    </w:pPr>
    <w:rPr>
      <w:rFonts w:ascii="Arial" w:eastAsia="Times New Roman" w:hAnsi="Arial" w:cs="Times New Roman"/>
      <w:sz w:val="24"/>
      <w:szCs w:val="24"/>
      <w:lang w:val="en-US" w:eastAsia="fr-FR"/>
    </w:rPr>
  </w:style>
  <w:style w:type="character" w:customStyle="1" w:styleId="P2Car">
    <w:name w:val="P2 Car"/>
    <w:link w:val="P20"/>
    <w:rsid w:val="00E77C71"/>
    <w:rPr>
      <w:rFonts w:ascii="Arial" w:eastAsia="Times New Roman" w:hAnsi="Arial" w:cs="Times New Roman"/>
      <w:sz w:val="24"/>
      <w:szCs w:val="24"/>
      <w:lang w:val="en-US" w:eastAsia="fr-FR"/>
    </w:rPr>
  </w:style>
  <w:style w:type="paragraph" w:customStyle="1" w:styleId="Normal2">
    <w:name w:val="Normal2"/>
    <w:basedOn w:val="Normal"/>
    <w:rsid w:val="00E77C71"/>
    <w:pPr>
      <w:tabs>
        <w:tab w:val="left" w:pos="1134"/>
      </w:tabs>
      <w:spacing w:after="0" w:line="240" w:lineRule="auto"/>
      <w:jc w:val="both"/>
    </w:pPr>
    <w:rPr>
      <w:rFonts w:ascii="Times New Roman" w:eastAsia="Times New Roman" w:hAnsi="Times New Roman"/>
      <w:sz w:val="23"/>
      <w:szCs w:val="20"/>
    </w:rPr>
  </w:style>
  <w:style w:type="paragraph" w:customStyle="1" w:styleId="Puce1-8pts">
    <w:name w:val="Puce1-8 pts"/>
    <w:uiPriority w:val="99"/>
    <w:rsid w:val="00E77C71"/>
    <w:pPr>
      <w:keepLines/>
      <w:tabs>
        <w:tab w:val="num" w:pos="425"/>
        <w:tab w:val="right" w:leader="dot" w:pos="7371"/>
      </w:tabs>
      <w:spacing w:before="240" w:after="0" w:line="240" w:lineRule="auto"/>
      <w:ind w:left="425" w:hanging="425"/>
      <w:jc w:val="both"/>
    </w:pPr>
    <w:rPr>
      <w:rFonts w:ascii="Arial" w:eastAsia="Times New Roman" w:hAnsi="Arial" w:cs="Times New Roman"/>
      <w:sz w:val="20"/>
      <w:szCs w:val="20"/>
      <w:lang w:eastAsia="fr-FR"/>
    </w:rPr>
  </w:style>
  <w:style w:type="paragraph" w:customStyle="1" w:styleId="cea">
    <w:name w:val="cea"/>
    <w:basedOn w:val="Normal"/>
    <w:rsid w:val="00E77C71"/>
    <w:pPr>
      <w:keepLines/>
      <w:tabs>
        <w:tab w:val="num" w:pos="360"/>
      </w:tabs>
      <w:spacing w:before="40" w:after="0" w:line="240" w:lineRule="auto"/>
      <w:ind w:left="340" w:hanging="340"/>
    </w:pPr>
    <w:rPr>
      <w:rFonts w:ascii="Arial Narrow" w:eastAsia="Times New Roman" w:hAnsi="Arial Narrow" w:cs="Arial"/>
      <w:sz w:val="20"/>
      <w:szCs w:val="20"/>
      <w:lang w:eastAsia="fr-FR"/>
    </w:rPr>
  </w:style>
  <w:style w:type="paragraph" w:customStyle="1" w:styleId="Ital-Bull">
    <w:name w:val="Ital-Bull"/>
    <w:basedOn w:val="Normal"/>
    <w:rsid w:val="00E77C71"/>
    <w:pPr>
      <w:tabs>
        <w:tab w:val="num" w:pos="1211"/>
      </w:tabs>
      <w:spacing w:after="0" w:line="240" w:lineRule="auto"/>
      <w:ind w:left="1191" w:hanging="340"/>
      <w:jc w:val="both"/>
    </w:pPr>
    <w:rPr>
      <w:rFonts w:ascii="GeoSlb712 Lt BT" w:eastAsia="Times New Roman" w:hAnsi="GeoSlb712 Lt BT"/>
      <w:i/>
      <w:iCs/>
      <w:color w:val="000000"/>
      <w:lang w:eastAsia="fr-FR"/>
    </w:rPr>
  </w:style>
  <w:style w:type="paragraph" w:customStyle="1" w:styleId="TITRE12">
    <w:name w:val="TITRE1."/>
    <w:basedOn w:val="Normal"/>
    <w:qFormat/>
    <w:rsid w:val="00E77C71"/>
    <w:pPr>
      <w:spacing w:after="120" w:line="240" w:lineRule="auto"/>
      <w:outlineLvl w:val="0"/>
    </w:pPr>
    <w:rPr>
      <w:rFonts w:ascii="Agency FB" w:eastAsia="Times New Roman" w:hAnsi="Agency FB"/>
      <w:b/>
      <w:caps/>
      <w:spacing w:val="40"/>
      <w:sz w:val="28"/>
      <w:szCs w:val="20"/>
      <w:lang w:eastAsia="fr-FR"/>
    </w:rPr>
  </w:style>
  <w:style w:type="paragraph" w:customStyle="1" w:styleId="category">
    <w:name w:val="category"/>
    <w:basedOn w:val="Normal"/>
    <w:rsid w:val="00E77C71"/>
    <w:pPr>
      <w:overflowPunct w:val="0"/>
      <w:autoSpaceDE w:val="0"/>
      <w:autoSpaceDN w:val="0"/>
      <w:adjustRightInd w:val="0"/>
      <w:spacing w:after="0" w:line="240" w:lineRule="auto"/>
      <w:textAlignment w:val="baseline"/>
    </w:pPr>
    <w:rPr>
      <w:rFonts w:ascii="Times" w:eastAsia="Times New Roman" w:hAnsi="Times"/>
      <w:b/>
      <w:szCs w:val="20"/>
      <w:lang w:eastAsia="fr-FR"/>
    </w:rPr>
  </w:style>
  <w:style w:type="paragraph" w:customStyle="1" w:styleId="sous-projet">
    <w:name w:val="sous-projet"/>
    <w:basedOn w:val="projet0"/>
    <w:rsid w:val="00E77C71"/>
  </w:style>
  <w:style w:type="paragraph" w:customStyle="1" w:styleId="projet0">
    <w:name w:val="projet"/>
    <w:basedOn w:val="Normal"/>
    <w:rsid w:val="00E77C71"/>
    <w:pPr>
      <w:spacing w:before="240" w:after="0" w:line="240" w:lineRule="atLeast"/>
      <w:ind w:left="1980" w:right="-349" w:hanging="280"/>
      <w:jc w:val="both"/>
    </w:pPr>
    <w:rPr>
      <w:rFonts w:ascii="Palatino" w:eastAsia="Times New Roman" w:hAnsi="Palatino"/>
      <w:sz w:val="24"/>
      <w:szCs w:val="20"/>
      <w:lang w:eastAsia="fr-FR"/>
    </w:rPr>
  </w:style>
  <w:style w:type="character" w:customStyle="1" w:styleId="AdresseHTMLCar">
    <w:name w:val="Adresse HTML Car"/>
    <w:link w:val="AdresseHTML"/>
    <w:rsid w:val="00E77C71"/>
    <w:rPr>
      <w:rFonts w:ascii="Arial" w:eastAsia="Times New Roman" w:hAnsi="Arial" w:cs="Times New Roman"/>
      <w:i/>
      <w:iCs/>
      <w:szCs w:val="20"/>
      <w:lang w:val="fr-CA"/>
    </w:rPr>
  </w:style>
  <w:style w:type="paragraph" w:styleId="AdresseHTML">
    <w:name w:val="HTML Address"/>
    <w:basedOn w:val="Normal"/>
    <w:link w:val="AdresseHTMLCar"/>
    <w:rsid w:val="00E77C71"/>
    <w:pPr>
      <w:spacing w:after="0" w:line="240" w:lineRule="auto"/>
    </w:pPr>
    <w:rPr>
      <w:rFonts w:ascii="Arial" w:eastAsia="Times New Roman" w:hAnsi="Arial"/>
      <w:i/>
      <w:iCs/>
      <w:szCs w:val="20"/>
      <w:lang w:val="fr-CA"/>
    </w:rPr>
  </w:style>
  <w:style w:type="character" w:customStyle="1" w:styleId="AdresseHTMLCar1">
    <w:name w:val="Adresse HTML Car1"/>
    <w:basedOn w:val="Policepardfaut"/>
    <w:uiPriority w:val="99"/>
    <w:semiHidden/>
    <w:rsid w:val="00E77C71"/>
    <w:rPr>
      <w:rFonts w:ascii="Calibri" w:eastAsia="Calibri" w:hAnsi="Calibri" w:cs="Times New Roman"/>
      <w:i/>
      <w:iCs/>
      <w:lang w:val="en-US"/>
    </w:rPr>
  </w:style>
  <w:style w:type="character" w:customStyle="1" w:styleId="DateCar">
    <w:name w:val="Date Car"/>
    <w:link w:val="Date"/>
    <w:rsid w:val="00E77C71"/>
    <w:rPr>
      <w:rFonts w:ascii="Arial" w:eastAsia="Times New Roman" w:hAnsi="Arial" w:cs="Times New Roman"/>
      <w:szCs w:val="20"/>
      <w:lang w:val="fr-CA"/>
    </w:rPr>
  </w:style>
  <w:style w:type="paragraph" w:styleId="Date">
    <w:name w:val="Date"/>
    <w:basedOn w:val="Normal"/>
    <w:next w:val="Normal"/>
    <w:link w:val="DateCar"/>
    <w:rsid w:val="00E77C71"/>
    <w:pPr>
      <w:spacing w:after="0" w:line="240" w:lineRule="auto"/>
    </w:pPr>
    <w:rPr>
      <w:rFonts w:ascii="Arial" w:eastAsia="Times New Roman" w:hAnsi="Arial"/>
      <w:szCs w:val="20"/>
      <w:lang w:val="fr-CA"/>
    </w:rPr>
  </w:style>
  <w:style w:type="character" w:customStyle="1" w:styleId="DateCar1">
    <w:name w:val="Date Car1"/>
    <w:basedOn w:val="Policepardfaut"/>
    <w:uiPriority w:val="99"/>
    <w:rsid w:val="00E77C71"/>
    <w:rPr>
      <w:rFonts w:ascii="Calibri" w:eastAsia="Calibri" w:hAnsi="Calibri" w:cs="Times New Roman"/>
      <w:lang w:val="en-US"/>
    </w:rPr>
  </w:style>
  <w:style w:type="character" w:customStyle="1" w:styleId="En-ttedemessageCar">
    <w:name w:val="En-tête de message Car"/>
    <w:link w:val="En-ttedemessage"/>
    <w:rsid w:val="00E77C71"/>
    <w:rPr>
      <w:rFonts w:ascii="Arial" w:eastAsia="Times New Roman" w:hAnsi="Arial" w:cs="Arial"/>
      <w:shd w:val="pct20" w:color="auto" w:fill="auto"/>
      <w:lang w:val="fr-CA"/>
    </w:rPr>
  </w:style>
  <w:style w:type="paragraph" w:styleId="En-ttedemessage">
    <w:name w:val="Message Header"/>
    <w:basedOn w:val="Normal"/>
    <w:link w:val="En-ttedemessageCar"/>
    <w:rsid w:val="00E77C7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lang w:val="fr-CA"/>
    </w:rPr>
  </w:style>
  <w:style w:type="character" w:customStyle="1" w:styleId="En-ttedemessageCar1">
    <w:name w:val="En-tête de message Car1"/>
    <w:basedOn w:val="Policepardfaut"/>
    <w:uiPriority w:val="99"/>
    <w:semiHidden/>
    <w:rsid w:val="00E77C71"/>
    <w:rPr>
      <w:rFonts w:asciiTheme="majorHAnsi" w:eastAsiaTheme="majorEastAsia" w:hAnsiTheme="majorHAnsi" w:cstheme="majorBidi"/>
      <w:sz w:val="24"/>
      <w:szCs w:val="24"/>
      <w:shd w:val="pct20" w:color="auto" w:fill="auto"/>
      <w:lang w:val="en-US"/>
    </w:rPr>
  </w:style>
  <w:style w:type="character" w:customStyle="1" w:styleId="FormuledepolitesseCar">
    <w:name w:val="Formule de politesse Car"/>
    <w:link w:val="Formuledepolitesse"/>
    <w:rsid w:val="00E77C71"/>
    <w:rPr>
      <w:rFonts w:ascii="Arial" w:eastAsia="Times New Roman" w:hAnsi="Arial" w:cs="Times New Roman"/>
      <w:szCs w:val="20"/>
      <w:lang w:val="fr-CA"/>
    </w:rPr>
  </w:style>
  <w:style w:type="paragraph" w:styleId="Formuledepolitesse">
    <w:name w:val="Closing"/>
    <w:basedOn w:val="Normal"/>
    <w:link w:val="FormuledepolitesseCar"/>
    <w:rsid w:val="00E77C71"/>
    <w:pPr>
      <w:spacing w:after="0" w:line="240" w:lineRule="auto"/>
      <w:ind w:left="4252"/>
    </w:pPr>
    <w:rPr>
      <w:rFonts w:ascii="Arial" w:eastAsia="Times New Roman" w:hAnsi="Arial"/>
      <w:szCs w:val="20"/>
      <w:lang w:val="fr-CA"/>
    </w:rPr>
  </w:style>
  <w:style w:type="character" w:customStyle="1" w:styleId="FormuledepolitesseCar1">
    <w:name w:val="Formule de politesse Car1"/>
    <w:basedOn w:val="Policepardfaut"/>
    <w:uiPriority w:val="99"/>
    <w:semiHidden/>
    <w:rsid w:val="00E77C71"/>
    <w:rPr>
      <w:rFonts w:ascii="Calibri" w:eastAsia="Calibri" w:hAnsi="Calibri" w:cs="Times New Roman"/>
      <w:lang w:val="en-US"/>
    </w:rPr>
  </w:style>
  <w:style w:type="character" w:customStyle="1" w:styleId="FormulepolitesseCar1">
    <w:name w:val="Formule politesse Car1"/>
    <w:basedOn w:val="Policepardfaut"/>
    <w:uiPriority w:val="99"/>
    <w:semiHidden/>
    <w:rsid w:val="00E77C71"/>
  </w:style>
  <w:style w:type="paragraph" w:styleId="Liste5">
    <w:name w:val="List 5"/>
    <w:basedOn w:val="Normal"/>
    <w:rsid w:val="00E77C71"/>
    <w:pPr>
      <w:spacing w:after="0" w:line="240" w:lineRule="auto"/>
      <w:ind w:left="1415" w:hanging="283"/>
    </w:pPr>
    <w:rPr>
      <w:rFonts w:ascii="Arial" w:eastAsia="Times New Roman" w:hAnsi="Arial"/>
      <w:szCs w:val="20"/>
      <w:lang w:val="fr-CA" w:eastAsia="fr-FR"/>
    </w:rPr>
  </w:style>
  <w:style w:type="paragraph" w:styleId="Listenumros">
    <w:name w:val="List Number"/>
    <w:basedOn w:val="Normal"/>
    <w:uiPriority w:val="99"/>
    <w:rsid w:val="00E77C71"/>
    <w:pPr>
      <w:tabs>
        <w:tab w:val="num" w:pos="360"/>
      </w:tabs>
      <w:spacing w:after="0" w:line="240" w:lineRule="auto"/>
      <w:ind w:left="360" w:hanging="360"/>
    </w:pPr>
    <w:rPr>
      <w:rFonts w:ascii="Arial" w:eastAsia="Times New Roman" w:hAnsi="Arial"/>
      <w:szCs w:val="20"/>
      <w:lang w:val="fr-CA" w:eastAsia="fr-FR"/>
    </w:rPr>
  </w:style>
  <w:style w:type="paragraph" w:styleId="Listenumros4">
    <w:name w:val="List Number 4"/>
    <w:basedOn w:val="Normal"/>
    <w:rsid w:val="00E77C71"/>
    <w:pPr>
      <w:tabs>
        <w:tab w:val="num" w:pos="1209"/>
      </w:tabs>
      <w:spacing w:after="0" w:line="240" w:lineRule="auto"/>
      <w:ind w:left="1209" w:hanging="360"/>
    </w:pPr>
    <w:rPr>
      <w:rFonts w:ascii="Arial" w:eastAsia="Times New Roman" w:hAnsi="Arial"/>
      <w:szCs w:val="20"/>
      <w:lang w:val="fr-CA" w:eastAsia="fr-FR"/>
    </w:rPr>
  </w:style>
  <w:style w:type="paragraph" w:styleId="Listepuces4">
    <w:name w:val="List Bullet 4"/>
    <w:basedOn w:val="Normal"/>
    <w:autoRedefine/>
    <w:rsid w:val="00E77C71"/>
    <w:pPr>
      <w:tabs>
        <w:tab w:val="num" w:pos="1209"/>
      </w:tabs>
      <w:spacing w:after="0" w:line="240" w:lineRule="auto"/>
      <w:ind w:left="1209" w:hanging="360"/>
    </w:pPr>
    <w:rPr>
      <w:rFonts w:ascii="Arial" w:eastAsia="Times New Roman" w:hAnsi="Arial"/>
      <w:szCs w:val="20"/>
      <w:lang w:val="fr-CA" w:eastAsia="fr-FR"/>
    </w:rPr>
  </w:style>
  <w:style w:type="paragraph" w:styleId="Listepuces5">
    <w:name w:val="List Bullet 5"/>
    <w:basedOn w:val="Normal"/>
    <w:autoRedefine/>
    <w:rsid w:val="00E77C71"/>
    <w:pPr>
      <w:spacing w:after="0" w:line="240" w:lineRule="auto"/>
      <w:ind w:left="432" w:hanging="360"/>
    </w:pPr>
    <w:rPr>
      <w:rFonts w:ascii="Arial" w:eastAsia="Times New Roman" w:hAnsi="Arial"/>
      <w:szCs w:val="20"/>
      <w:lang w:val="fr-CA" w:eastAsia="fr-FR"/>
    </w:rPr>
  </w:style>
  <w:style w:type="character" w:customStyle="1" w:styleId="Retrait1religneCar">
    <w:name w:val="Retrait 1re ligne Car"/>
    <w:link w:val="Retrait1religne"/>
    <w:rsid w:val="00E77C71"/>
    <w:rPr>
      <w:rFonts w:ascii="Arial" w:eastAsia="Times New Roman" w:hAnsi="Arial" w:cs="Times New Roman"/>
      <w:szCs w:val="20"/>
      <w:lang w:val="fr-CA"/>
    </w:rPr>
  </w:style>
  <w:style w:type="paragraph" w:styleId="Retrait1religne">
    <w:name w:val="Body Text First Indent"/>
    <w:basedOn w:val="Corpsdetexte"/>
    <w:link w:val="Retrait1religneCar"/>
    <w:rsid w:val="00E77C71"/>
    <w:pPr>
      <w:pBdr>
        <w:top w:val="none" w:sz="0" w:space="0" w:color="auto"/>
        <w:left w:val="none" w:sz="0" w:space="0" w:color="auto"/>
        <w:bottom w:val="none" w:sz="0" w:space="0" w:color="auto"/>
        <w:right w:val="none" w:sz="0" w:space="0" w:color="auto"/>
      </w:pBdr>
      <w:shd w:val="clear" w:color="auto" w:fill="auto"/>
      <w:tabs>
        <w:tab w:val="clear" w:pos="4393"/>
      </w:tabs>
      <w:spacing w:after="120"/>
      <w:ind w:firstLine="210"/>
      <w:jc w:val="left"/>
    </w:pPr>
    <w:rPr>
      <w:rFonts w:ascii="Arial" w:hAnsi="Arial"/>
      <w:b w:val="0"/>
      <w:sz w:val="22"/>
      <w:szCs w:val="20"/>
      <w:lang w:val="fr-CA" w:eastAsia="en-US"/>
    </w:rPr>
  </w:style>
  <w:style w:type="character" w:customStyle="1" w:styleId="Retrait1religneCar1">
    <w:name w:val="Retrait 1re ligne Car1"/>
    <w:basedOn w:val="CorpsdetexteCar"/>
    <w:uiPriority w:val="99"/>
    <w:semiHidden/>
    <w:rsid w:val="00E77C71"/>
    <w:rPr>
      <w:rFonts w:ascii="Calibri" w:eastAsia="Calibri" w:hAnsi="Calibri" w:cs="Times New Roman"/>
      <w:b w:val="0"/>
      <w:sz w:val="32"/>
      <w:szCs w:val="28"/>
      <w:shd w:val="clear" w:color="auto" w:fill="002060"/>
      <w:lang w:val="en-US" w:eastAsia="fr-FR"/>
    </w:rPr>
  </w:style>
  <w:style w:type="character" w:customStyle="1" w:styleId="Retrait1religneCar10">
    <w:name w:val="Retrait 1ère ligne Car1"/>
    <w:basedOn w:val="Policepardfaut"/>
    <w:uiPriority w:val="99"/>
    <w:semiHidden/>
    <w:rsid w:val="00E77C71"/>
    <w:rPr>
      <w:rFonts w:ascii="Cambria" w:eastAsia="MS Mincho" w:hAnsi="Cambria" w:cs="Times New Roman"/>
      <w:sz w:val="24"/>
      <w:szCs w:val="24"/>
      <w:lang w:val="en-GB" w:eastAsia="fr-FR"/>
    </w:rPr>
  </w:style>
  <w:style w:type="character" w:customStyle="1" w:styleId="Retraitcorpset1religCar">
    <w:name w:val="Retrait corps et 1re lig. Car"/>
    <w:link w:val="Retraitcorpset1relig"/>
    <w:rsid w:val="00E77C71"/>
    <w:rPr>
      <w:rFonts w:ascii="Arial" w:eastAsia="Times New Roman" w:hAnsi="Arial" w:cs="Times New Roman"/>
      <w:szCs w:val="20"/>
      <w:lang w:val="fr-CA"/>
    </w:rPr>
  </w:style>
  <w:style w:type="paragraph" w:styleId="Retraitcorpset1relig">
    <w:name w:val="Body Text First Indent 2"/>
    <w:basedOn w:val="Retraitcorpsdetexte"/>
    <w:link w:val="Retraitcorpset1religCar"/>
    <w:rsid w:val="00E77C71"/>
    <w:pPr>
      <w:tabs>
        <w:tab w:val="clear" w:pos="0"/>
      </w:tabs>
      <w:spacing w:after="120" w:line="240" w:lineRule="auto"/>
      <w:ind w:left="283" w:firstLine="210"/>
      <w:jc w:val="left"/>
    </w:pPr>
    <w:rPr>
      <w:rFonts w:ascii="Arial" w:hAnsi="Arial" w:cs="Times New Roman"/>
      <w:sz w:val="22"/>
      <w:lang w:val="fr-CA" w:eastAsia="en-US"/>
    </w:rPr>
  </w:style>
  <w:style w:type="character" w:customStyle="1" w:styleId="Retraitcorpset1religCar1">
    <w:name w:val="Retrait corps et 1re lig. Car1"/>
    <w:basedOn w:val="RetraitcorpsdetexteCar"/>
    <w:uiPriority w:val="99"/>
    <w:semiHidden/>
    <w:rsid w:val="00E77C71"/>
    <w:rPr>
      <w:rFonts w:ascii="Calibri" w:eastAsia="Calibri" w:hAnsi="Calibri" w:cs="Times New Roman"/>
      <w:sz w:val="24"/>
      <w:szCs w:val="20"/>
      <w:lang w:val="en-US" w:eastAsia="fr-FR"/>
    </w:rPr>
  </w:style>
  <w:style w:type="character" w:customStyle="1" w:styleId="Retraitcorpset1religCar10">
    <w:name w:val="Retrait corps et 1ère lig. Car1"/>
    <w:uiPriority w:val="99"/>
    <w:semiHidden/>
    <w:rsid w:val="00E77C71"/>
    <w:rPr>
      <w:rFonts w:ascii="Times New Roman" w:eastAsia="Times New Roman" w:hAnsi="Times New Roman" w:cs="Times New Roman"/>
      <w:b w:val="0"/>
      <w:bCs w:val="0"/>
      <w:lang w:val="fr-FR"/>
    </w:rPr>
  </w:style>
  <w:style w:type="character" w:customStyle="1" w:styleId="SalutationsCar">
    <w:name w:val="Salutations Car"/>
    <w:link w:val="Salutations"/>
    <w:rsid w:val="00E77C71"/>
    <w:rPr>
      <w:rFonts w:ascii="Arial" w:eastAsia="Times New Roman" w:hAnsi="Arial" w:cs="Times New Roman"/>
      <w:szCs w:val="20"/>
      <w:lang w:val="fr-CA"/>
    </w:rPr>
  </w:style>
  <w:style w:type="paragraph" w:styleId="Salutations">
    <w:name w:val="Salutation"/>
    <w:basedOn w:val="Normal"/>
    <w:next w:val="Normal"/>
    <w:link w:val="SalutationsCar"/>
    <w:rsid w:val="00E77C71"/>
    <w:pPr>
      <w:spacing w:after="0" w:line="240" w:lineRule="auto"/>
    </w:pPr>
    <w:rPr>
      <w:rFonts w:ascii="Arial" w:eastAsia="Times New Roman" w:hAnsi="Arial"/>
      <w:szCs w:val="20"/>
      <w:lang w:val="fr-CA"/>
    </w:rPr>
  </w:style>
  <w:style w:type="character" w:customStyle="1" w:styleId="SalutationsCar1">
    <w:name w:val="Salutations Car1"/>
    <w:basedOn w:val="Policepardfaut"/>
    <w:rsid w:val="00E77C71"/>
    <w:rPr>
      <w:rFonts w:ascii="Calibri" w:eastAsia="Calibri" w:hAnsi="Calibri" w:cs="Times New Roman"/>
      <w:lang w:val="en-US"/>
    </w:rPr>
  </w:style>
  <w:style w:type="character" w:customStyle="1" w:styleId="SignatureCar">
    <w:name w:val="Signature Car"/>
    <w:link w:val="Signature"/>
    <w:rsid w:val="00E77C71"/>
    <w:rPr>
      <w:rFonts w:ascii="Arial" w:eastAsia="Times New Roman" w:hAnsi="Arial" w:cs="Times New Roman"/>
      <w:szCs w:val="20"/>
      <w:lang w:val="fr-CA"/>
    </w:rPr>
  </w:style>
  <w:style w:type="paragraph" w:styleId="Signature">
    <w:name w:val="Signature"/>
    <w:basedOn w:val="Normal"/>
    <w:link w:val="SignatureCar"/>
    <w:rsid w:val="00E77C71"/>
    <w:pPr>
      <w:spacing w:after="0" w:line="240" w:lineRule="auto"/>
      <w:ind w:left="4252"/>
    </w:pPr>
    <w:rPr>
      <w:rFonts w:ascii="Arial" w:eastAsia="Times New Roman" w:hAnsi="Arial"/>
      <w:szCs w:val="20"/>
      <w:lang w:val="fr-CA"/>
    </w:rPr>
  </w:style>
  <w:style w:type="character" w:customStyle="1" w:styleId="SignatureCar1">
    <w:name w:val="Signature Car1"/>
    <w:basedOn w:val="Policepardfaut"/>
    <w:uiPriority w:val="99"/>
    <w:semiHidden/>
    <w:rsid w:val="00E77C71"/>
    <w:rPr>
      <w:rFonts w:ascii="Calibri" w:eastAsia="Calibri" w:hAnsi="Calibri" w:cs="Times New Roman"/>
      <w:lang w:val="en-US"/>
    </w:rPr>
  </w:style>
  <w:style w:type="character" w:customStyle="1" w:styleId="SignaturelectroniqueCar">
    <w:name w:val="Signature électronique Car"/>
    <w:link w:val="Signaturelectronique"/>
    <w:rsid w:val="00E77C71"/>
    <w:rPr>
      <w:rFonts w:ascii="Arial" w:eastAsia="Times New Roman" w:hAnsi="Arial" w:cs="Times New Roman"/>
      <w:szCs w:val="20"/>
      <w:lang w:val="fr-CA"/>
    </w:rPr>
  </w:style>
  <w:style w:type="paragraph" w:styleId="Signaturelectronique">
    <w:name w:val="E-mail Signature"/>
    <w:basedOn w:val="Normal"/>
    <w:link w:val="SignaturelectroniqueCar"/>
    <w:rsid w:val="00E77C71"/>
    <w:pPr>
      <w:spacing w:after="0" w:line="240" w:lineRule="auto"/>
    </w:pPr>
    <w:rPr>
      <w:rFonts w:ascii="Arial" w:eastAsia="Times New Roman" w:hAnsi="Arial"/>
      <w:szCs w:val="20"/>
      <w:lang w:val="fr-CA"/>
    </w:rPr>
  </w:style>
  <w:style w:type="character" w:customStyle="1" w:styleId="SignaturelectroniqueCar1">
    <w:name w:val="Signature électronique Car1"/>
    <w:basedOn w:val="Policepardfaut"/>
    <w:uiPriority w:val="99"/>
    <w:semiHidden/>
    <w:rsid w:val="00E77C71"/>
    <w:rPr>
      <w:rFonts w:ascii="Calibri" w:eastAsia="Calibri" w:hAnsi="Calibri" w:cs="Times New Roman"/>
      <w:lang w:val="en-US"/>
    </w:rPr>
  </w:style>
  <w:style w:type="character" w:customStyle="1" w:styleId="TextedemacroCar">
    <w:name w:val="Texte de macro Car"/>
    <w:link w:val="Textedemacro"/>
    <w:semiHidden/>
    <w:rsid w:val="00E77C71"/>
    <w:rPr>
      <w:rFonts w:ascii="Courier New" w:eastAsia="Times New Roman" w:hAnsi="Courier New" w:cs="Courier New"/>
      <w:sz w:val="20"/>
      <w:szCs w:val="20"/>
      <w:lang w:val="fr-CA"/>
    </w:rPr>
  </w:style>
  <w:style w:type="paragraph" w:styleId="Textedemacro">
    <w:name w:val="macro"/>
    <w:link w:val="TextedemacroCar"/>
    <w:semiHidden/>
    <w:rsid w:val="00E77C7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fr-CA"/>
    </w:rPr>
  </w:style>
  <w:style w:type="character" w:customStyle="1" w:styleId="TextedemacroCar1">
    <w:name w:val="Texte de macro Car1"/>
    <w:basedOn w:val="Policepardfaut"/>
    <w:uiPriority w:val="99"/>
    <w:semiHidden/>
    <w:rsid w:val="00E77C71"/>
    <w:rPr>
      <w:rFonts w:ascii="Consolas" w:eastAsia="Calibri" w:hAnsi="Consolas" w:cs="Times New Roman"/>
      <w:sz w:val="20"/>
      <w:szCs w:val="20"/>
      <w:lang w:val="en-US"/>
    </w:rPr>
  </w:style>
  <w:style w:type="character" w:customStyle="1" w:styleId="TitredenoteCar">
    <w:name w:val="Titre de note Car"/>
    <w:link w:val="Titredenote"/>
    <w:rsid w:val="00E77C71"/>
    <w:rPr>
      <w:rFonts w:ascii="Arial" w:eastAsia="Times New Roman" w:hAnsi="Arial" w:cs="Times New Roman"/>
      <w:szCs w:val="20"/>
      <w:lang w:val="fr-CA"/>
    </w:rPr>
  </w:style>
  <w:style w:type="paragraph" w:styleId="Titredenote">
    <w:name w:val="Note Heading"/>
    <w:basedOn w:val="Normal"/>
    <w:next w:val="Normal"/>
    <w:link w:val="TitredenoteCar"/>
    <w:rsid w:val="00E77C71"/>
    <w:pPr>
      <w:spacing w:after="0" w:line="240" w:lineRule="auto"/>
    </w:pPr>
    <w:rPr>
      <w:rFonts w:ascii="Arial" w:eastAsia="Times New Roman" w:hAnsi="Arial"/>
      <w:szCs w:val="20"/>
      <w:lang w:val="fr-CA"/>
    </w:rPr>
  </w:style>
  <w:style w:type="character" w:customStyle="1" w:styleId="TitredenoteCar1">
    <w:name w:val="Titre de note Car1"/>
    <w:basedOn w:val="Policepardfaut"/>
    <w:uiPriority w:val="99"/>
    <w:semiHidden/>
    <w:rsid w:val="00E77C71"/>
    <w:rPr>
      <w:rFonts w:ascii="Calibri" w:eastAsia="Calibri" w:hAnsi="Calibri" w:cs="Times New Roman"/>
      <w:lang w:val="en-US"/>
    </w:rPr>
  </w:style>
  <w:style w:type="paragraph" w:customStyle="1" w:styleId="tableau">
    <w:name w:val="tableau"/>
    <w:basedOn w:val="Corpsdetexte2"/>
    <w:uiPriority w:val="99"/>
    <w:rsid w:val="00E77C71"/>
    <w:pPr>
      <w:spacing w:before="120" w:after="0" w:line="240" w:lineRule="auto"/>
    </w:pPr>
    <w:rPr>
      <w:rFonts w:eastAsia="Times New Roman"/>
      <w:sz w:val="24"/>
      <w:szCs w:val="24"/>
      <w:lang w:eastAsia="fr-FR"/>
    </w:rPr>
  </w:style>
  <w:style w:type="paragraph" w:customStyle="1" w:styleId="Puce21">
    <w:name w:val="Puce 2"/>
    <w:basedOn w:val="Normal"/>
    <w:uiPriority w:val="99"/>
    <w:rsid w:val="00E77C71"/>
    <w:pPr>
      <w:tabs>
        <w:tab w:val="num" w:pos="1440"/>
      </w:tabs>
      <w:spacing w:after="120" w:line="312" w:lineRule="auto"/>
      <w:ind w:left="1440" w:hanging="360"/>
      <w:jc w:val="both"/>
    </w:pPr>
    <w:rPr>
      <w:rFonts w:ascii="Times New Roman" w:eastAsia="Times New Roman" w:hAnsi="Times New Roman"/>
      <w:sz w:val="24"/>
      <w:szCs w:val="20"/>
      <w:lang w:val="fr-CA" w:eastAsia="fr-FR"/>
    </w:rPr>
  </w:style>
  <w:style w:type="paragraph" w:customStyle="1" w:styleId="No1">
    <w:name w:val="No 1"/>
    <w:rsid w:val="00E77C71"/>
    <w:pPr>
      <w:spacing w:after="120" w:line="312" w:lineRule="auto"/>
      <w:ind w:left="360" w:hanging="360"/>
      <w:jc w:val="both"/>
    </w:pPr>
    <w:rPr>
      <w:rFonts w:ascii="Times New Roman" w:eastAsia="Times New Roman" w:hAnsi="Times New Roman" w:cs="Times New Roman"/>
      <w:sz w:val="24"/>
      <w:szCs w:val="20"/>
      <w:lang w:val="fr-CA" w:eastAsia="fr-FR"/>
    </w:rPr>
  </w:style>
  <w:style w:type="paragraph" w:customStyle="1" w:styleId="parag">
    <w:name w:val="parag"/>
    <w:basedOn w:val="Normal"/>
    <w:qFormat/>
    <w:rsid w:val="00E77C71"/>
    <w:pPr>
      <w:spacing w:after="0" w:line="360" w:lineRule="auto"/>
      <w:ind w:firstLine="709"/>
      <w:jc w:val="both"/>
    </w:pPr>
    <w:rPr>
      <w:rFonts w:ascii="Times New Roman" w:eastAsia="Times New Roman" w:hAnsi="Times New Roman"/>
      <w:sz w:val="24"/>
      <w:szCs w:val="24"/>
      <w:lang w:eastAsia="fr-FR"/>
    </w:rPr>
  </w:style>
  <w:style w:type="paragraph" w:customStyle="1" w:styleId="TITRE22">
    <w:name w:val="TITRE 2"/>
    <w:basedOn w:val="Normal"/>
    <w:rsid w:val="00E77C71"/>
    <w:pPr>
      <w:tabs>
        <w:tab w:val="num" w:pos="1023"/>
      </w:tabs>
      <w:spacing w:after="0" w:line="240" w:lineRule="auto"/>
      <w:ind w:left="953" w:hanging="290"/>
      <w:jc w:val="both"/>
    </w:pPr>
    <w:rPr>
      <w:rFonts w:ascii="Times New Roman" w:eastAsia="Times New Roman" w:hAnsi="Times New Roman"/>
      <w:b/>
      <w:sz w:val="24"/>
      <w:szCs w:val="24"/>
      <w:lang w:eastAsia="fr-FR"/>
    </w:rPr>
  </w:style>
  <w:style w:type="paragraph" w:styleId="Citation0">
    <w:name w:val="Quote"/>
    <w:basedOn w:val="Normal"/>
    <w:next w:val="Normal"/>
    <w:link w:val="CitationCar"/>
    <w:uiPriority w:val="29"/>
    <w:qFormat/>
    <w:rsid w:val="00E77C71"/>
    <w:pPr>
      <w:spacing w:after="0" w:line="240" w:lineRule="auto"/>
    </w:pPr>
    <w:rPr>
      <w:rFonts w:eastAsia="Times New Roman"/>
      <w:i/>
      <w:iCs/>
      <w:color w:val="000000"/>
      <w:lang w:bidi="en-US"/>
    </w:rPr>
  </w:style>
  <w:style w:type="character" w:customStyle="1" w:styleId="CitationCar">
    <w:name w:val="Citation Car"/>
    <w:basedOn w:val="Policepardfaut"/>
    <w:link w:val="Citation0"/>
    <w:uiPriority w:val="29"/>
    <w:rsid w:val="00E77C71"/>
    <w:rPr>
      <w:rFonts w:ascii="Calibri" w:eastAsia="Times New Roman" w:hAnsi="Calibri" w:cs="Times New Roman"/>
      <w:i/>
      <w:iCs/>
      <w:color w:val="000000"/>
      <w:lang w:val="en-US" w:bidi="en-US"/>
    </w:rPr>
  </w:style>
  <w:style w:type="paragraph" w:styleId="Citationintense">
    <w:name w:val="Intense Quote"/>
    <w:basedOn w:val="Normal"/>
    <w:next w:val="Normal"/>
    <w:link w:val="CitationintenseCar"/>
    <w:uiPriority w:val="30"/>
    <w:qFormat/>
    <w:rsid w:val="00E77C71"/>
    <w:pPr>
      <w:pBdr>
        <w:bottom w:val="single" w:sz="4" w:space="4" w:color="4F81BD"/>
      </w:pBdr>
      <w:spacing w:before="200" w:after="280" w:line="240" w:lineRule="auto"/>
      <w:ind w:left="936" w:right="936"/>
    </w:pPr>
    <w:rPr>
      <w:rFonts w:eastAsia="Times New Roman"/>
      <w:b/>
      <w:bCs/>
      <w:i/>
      <w:iCs/>
      <w:color w:val="4F81BD"/>
      <w:lang w:bidi="en-US"/>
    </w:rPr>
  </w:style>
  <w:style w:type="character" w:customStyle="1" w:styleId="CitationintenseCar">
    <w:name w:val="Citation intense Car"/>
    <w:basedOn w:val="Policepardfaut"/>
    <w:link w:val="Citationintense"/>
    <w:uiPriority w:val="30"/>
    <w:rsid w:val="00E77C71"/>
    <w:rPr>
      <w:rFonts w:ascii="Calibri" w:eastAsia="Times New Roman" w:hAnsi="Calibri" w:cs="Times New Roman"/>
      <w:b/>
      <w:bCs/>
      <w:i/>
      <w:iCs/>
      <w:color w:val="4F81BD"/>
      <w:lang w:val="en-US" w:bidi="en-US"/>
    </w:rPr>
  </w:style>
  <w:style w:type="character" w:styleId="Rfrenceintense">
    <w:name w:val="Intense Reference"/>
    <w:uiPriority w:val="32"/>
    <w:qFormat/>
    <w:rsid w:val="00E77C71"/>
    <w:rPr>
      <w:b/>
      <w:bCs/>
      <w:smallCaps/>
      <w:color w:val="C0504D"/>
      <w:spacing w:val="5"/>
      <w:u w:val="single"/>
    </w:rPr>
  </w:style>
  <w:style w:type="paragraph" w:customStyle="1" w:styleId="Bullet1diamond">
    <w:name w:val="Bullet1(diamond)"/>
    <w:basedOn w:val="Indent1"/>
    <w:rsid w:val="00E77C71"/>
    <w:pPr>
      <w:tabs>
        <w:tab w:val="num" w:pos="1494"/>
      </w:tabs>
      <w:ind w:left="1418" w:hanging="284"/>
    </w:pPr>
    <w:rPr>
      <w:noProof w:val="0"/>
    </w:rPr>
  </w:style>
  <w:style w:type="paragraph" w:customStyle="1" w:styleId="CHAP6">
    <w:name w:val="CHAP 6"/>
    <w:basedOn w:val="Style2"/>
    <w:rsid w:val="00E77C71"/>
    <w:pPr>
      <w:tabs>
        <w:tab w:val="num" w:pos="720"/>
      </w:tabs>
      <w:ind w:left="720" w:hanging="720"/>
      <w:jc w:val="left"/>
      <w:outlineLvl w:val="2"/>
    </w:pPr>
    <w:rPr>
      <w:rFonts w:ascii="Arial" w:hAnsi="Arial"/>
      <w:b/>
      <w:u w:val="single"/>
      <w:lang w:val="fr-FR" w:eastAsia="en-US"/>
    </w:rPr>
  </w:style>
  <w:style w:type="paragraph" w:customStyle="1" w:styleId="IMPACT1">
    <w:name w:val="IMPACT1"/>
    <w:basedOn w:val="CHAP6"/>
    <w:rsid w:val="00E77C71"/>
    <w:pPr>
      <w:tabs>
        <w:tab w:val="clear" w:pos="720"/>
        <w:tab w:val="num" w:pos="1004"/>
      </w:tabs>
      <w:ind w:left="1080" w:hanging="360"/>
    </w:pPr>
    <w:rPr>
      <w:szCs w:val="20"/>
    </w:rPr>
  </w:style>
  <w:style w:type="paragraph" w:customStyle="1" w:styleId="IMPACT4">
    <w:name w:val="IMPACT4"/>
    <w:basedOn w:val="Normal"/>
    <w:rsid w:val="00E77C71"/>
    <w:pPr>
      <w:tabs>
        <w:tab w:val="num" w:pos="1800"/>
      </w:tabs>
      <w:spacing w:after="0" w:line="240" w:lineRule="auto"/>
      <w:ind w:left="1800" w:hanging="360"/>
    </w:pPr>
    <w:rPr>
      <w:rFonts w:ascii="Tahoma" w:eastAsia="Times New Roman" w:hAnsi="Tahoma"/>
      <w:b/>
      <w:sz w:val="20"/>
      <w:szCs w:val="24"/>
      <w:lang w:val="fr-CA"/>
    </w:rPr>
  </w:style>
  <w:style w:type="paragraph" w:customStyle="1" w:styleId="impact5">
    <w:name w:val="impact 5"/>
    <w:basedOn w:val="Normal"/>
    <w:rsid w:val="00E77C71"/>
    <w:pPr>
      <w:tabs>
        <w:tab w:val="num" w:pos="360"/>
      </w:tabs>
      <w:spacing w:after="0" w:line="240" w:lineRule="auto"/>
    </w:pPr>
    <w:rPr>
      <w:rFonts w:ascii="Times New Roman" w:eastAsia="Times New Roman" w:hAnsi="Times New Roman"/>
      <w:sz w:val="24"/>
      <w:szCs w:val="24"/>
      <w:lang w:val="fr-CA"/>
    </w:rPr>
  </w:style>
  <w:style w:type="paragraph" w:customStyle="1" w:styleId="impactver4">
    <w:name w:val="impact ver4"/>
    <w:basedOn w:val="Normal"/>
    <w:autoRedefine/>
    <w:rsid w:val="00E77C71"/>
    <w:pPr>
      <w:tabs>
        <w:tab w:val="num" w:pos="360"/>
      </w:tabs>
      <w:spacing w:before="100" w:beforeAutospacing="1" w:after="100" w:afterAutospacing="1" w:line="240" w:lineRule="auto"/>
      <w:ind w:left="360" w:hanging="360"/>
    </w:pPr>
    <w:rPr>
      <w:rFonts w:ascii="Arial" w:eastAsia="Arial Unicode MS" w:hAnsi="Arial" w:cs="Arial"/>
      <w:b/>
      <w:sz w:val="20"/>
      <w:szCs w:val="20"/>
      <w:u w:val="single"/>
      <w:lang w:val="fr-CA"/>
    </w:rPr>
  </w:style>
  <w:style w:type="paragraph" w:customStyle="1" w:styleId="StyleIMPACT1Gauche-02cmPremireligne0cm">
    <w:name w:val="Style IMPACT1 + Gauche :  -02 cm Première ligne : 0 cm"/>
    <w:basedOn w:val="IMPACT1"/>
    <w:rsid w:val="00E77C71"/>
    <w:pPr>
      <w:numPr>
        <w:ilvl w:val="2"/>
      </w:numPr>
      <w:tabs>
        <w:tab w:val="num" w:pos="1004"/>
      </w:tabs>
      <w:spacing w:before="240" w:after="240"/>
      <w:ind w:left="749" w:hanging="505"/>
    </w:pPr>
    <w:rPr>
      <w:bCs/>
    </w:rPr>
  </w:style>
  <w:style w:type="paragraph" w:customStyle="1" w:styleId="Entete">
    <w:name w:val="Entete"/>
    <w:basedOn w:val="Titre1"/>
    <w:rsid w:val="00E77C71"/>
    <w:pPr>
      <w:keepLines w:val="0"/>
      <w:numPr>
        <w:numId w:val="0"/>
      </w:numPr>
      <w:tabs>
        <w:tab w:val="num" w:pos="360"/>
      </w:tabs>
      <w:autoSpaceDE w:val="0"/>
      <w:autoSpaceDN w:val="0"/>
      <w:adjustRightInd w:val="0"/>
      <w:spacing w:before="0" w:after="0" w:line="360" w:lineRule="auto"/>
      <w:ind w:left="340" w:right="0" w:hanging="340"/>
      <w:jc w:val="left"/>
    </w:pPr>
    <w:rPr>
      <w:rFonts w:ascii="Arial" w:hAnsi="Arial" w:cs="Arial"/>
      <w:kern w:val="0"/>
      <w:szCs w:val="20"/>
      <w:u w:val="single"/>
      <w:lang w:eastAsia="en-US"/>
    </w:rPr>
  </w:style>
  <w:style w:type="paragraph" w:customStyle="1" w:styleId="header2-1">
    <w:name w:val="header 2-1"/>
    <w:basedOn w:val="Titre2"/>
    <w:rsid w:val="00E77C71"/>
    <w:pPr>
      <w:framePr w:hSpace="141" w:wrap="around" w:vAnchor="text" w:hAnchor="margin" w:y="275"/>
      <w:pBdr>
        <w:bottom w:val="none" w:sz="0" w:space="0" w:color="auto"/>
      </w:pBdr>
      <w:tabs>
        <w:tab w:val="num" w:pos="794"/>
      </w:tabs>
      <w:autoSpaceDE w:val="0"/>
      <w:autoSpaceDN w:val="0"/>
      <w:adjustRightInd w:val="0"/>
      <w:spacing w:before="60" w:after="0"/>
      <w:ind w:left="794" w:hanging="567"/>
    </w:pPr>
    <w:rPr>
      <w:rFonts w:ascii="Arial" w:hAnsi="Arial" w:cs="Arial"/>
      <w:b w:val="0"/>
      <w:bCs w:val="0"/>
      <w:color w:val="auto"/>
      <w:lang w:eastAsia="en-US"/>
    </w:rPr>
  </w:style>
  <w:style w:type="paragraph" w:customStyle="1" w:styleId="HEADER3-1">
    <w:name w:val="HEADER 3-1"/>
    <w:basedOn w:val="Titre2"/>
    <w:rsid w:val="00E77C71"/>
    <w:pPr>
      <w:framePr w:hSpace="141" w:wrap="around" w:vAnchor="text" w:hAnchor="margin" w:y="275"/>
      <w:pBdr>
        <w:bottom w:val="none" w:sz="0" w:space="0" w:color="auto"/>
      </w:pBdr>
      <w:tabs>
        <w:tab w:val="left" w:pos="170"/>
        <w:tab w:val="num" w:pos="567"/>
      </w:tabs>
      <w:autoSpaceDE w:val="0"/>
      <w:autoSpaceDN w:val="0"/>
      <w:adjustRightInd w:val="0"/>
      <w:spacing w:before="0" w:after="60"/>
      <w:ind w:left="567" w:hanging="567"/>
    </w:pPr>
    <w:rPr>
      <w:rFonts w:ascii="Arial" w:hAnsi="Arial" w:cs="Arial"/>
      <w:bCs w:val="0"/>
      <w:color w:val="auto"/>
      <w:u w:val="single"/>
      <w:lang w:eastAsia="en-US"/>
    </w:rPr>
  </w:style>
  <w:style w:type="paragraph" w:customStyle="1" w:styleId="HEADER4-1">
    <w:name w:val="HEADER4-1"/>
    <w:basedOn w:val="Titre2"/>
    <w:rsid w:val="00E77C71"/>
    <w:pPr>
      <w:framePr w:hSpace="141" w:wrap="around" w:vAnchor="text" w:hAnchor="margin" w:y="275"/>
      <w:pBdr>
        <w:bottom w:val="none" w:sz="0" w:space="0" w:color="auto"/>
      </w:pBdr>
      <w:tabs>
        <w:tab w:val="left" w:pos="170"/>
        <w:tab w:val="num" w:pos="1080"/>
      </w:tabs>
      <w:autoSpaceDE w:val="0"/>
      <w:autoSpaceDN w:val="0"/>
      <w:adjustRightInd w:val="0"/>
      <w:spacing w:before="0" w:after="60"/>
      <w:ind w:left="1080" w:hanging="567"/>
    </w:pPr>
    <w:rPr>
      <w:rFonts w:ascii="Arial" w:hAnsi="Arial" w:cs="Arial"/>
      <w:bCs w:val="0"/>
      <w:color w:val="auto"/>
      <w:u w:val="single"/>
      <w:lang w:eastAsia="en-US"/>
    </w:rPr>
  </w:style>
  <w:style w:type="paragraph" w:customStyle="1" w:styleId="Header5-1">
    <w:name w:val="Header5-1"/>
    <w:basedOn w:val="Titre2"/>
    <w:rsid w:val="00E77C71"/>
    <w:pPr>
      <w:framePr w:hSpace="141" w:wrap="around" w:vAnchor="text" w:hAnchor="margin" w:y="275"/>
      <w:pBdr>
        <w:bottom w:val="none" w:sz="0" w:space="0" w:color="auto"/>
      </w:pBdr>
      <w:tabs>
        <w:tab w:val="num" w:pos="909"/>
      </w:tabs>
      <w:autoSpaceDE w:val="0"/>
      <w:autoSpaceDN w:val="0"/>
      <w:adjustRightInd w:val="0"/>
      <w:spacing w:before="100" w:after="60"/>
      <w:ind w:left="567" w:hanging="567"/>
    </w:pPr>
    <w:rPr>
      <w:rFonts w:ascii="Arial" w:hAnsi="Arial" w:cs="Arial"/>
      <w:bCs w:val="0"/>
      <w:color w:val="auto"/>
      <w:u w:val="single"/>
      <w:lang w:eastAsia="en-US"/>
    </w:rPr>
  </w:style>
  <w:style w:type="paragraph" w:customStyle="1" w:styleId="Header6-1">
    <w:name w:val="Header 6-1"/>
    <w:basedOn w:val="Titre2"/>
    <w:rsid w:val="00E77C71"/>
    <w:pPr>
      <w:framePr w:hSpace="141" w:wrap="around" w:vAnchor="text" w:hAnchor="margin" w:y="275"/>
      <w:pBdr>
        <w:bottom w:val="none" w:sz="0" w:space="0" w:color="auto"/>
      </w:pBdr>
      <w:tabs>
        <w:tab w:val="num" w:pos="567"/>
      </w:tabs>
      <w:autoSpaceDE w:val="0"/>
      <w:autoSpaceDN w:val="0"/>
      <w:adjustRightInd w:val="0"/>
      <w:spacing w:before="0" w:after="60"/>
      <w:ind w:left="567" w:hanging="454"/>
    </w:pPr>
    <w:rPr>
      <w:rFonts w:ascii="Arial" w:hAnsi="Arial" w:cs="Arial"/>
      <w:bCs w:val="0"/>
      <w:color w:val="auto"/>
      <w:u w:val="single"/>
      <w:lang w:eastAsia="en-US"/>
    </w:rPr>
  </w:style>
  <w:style w:type="paragraph" w:customStyle="1" w:styleId="HEADER7-1">
    <w:name w:val="HEADER 7-1"/>
    <w:basedOn w:val="Titre2"/>
    <w:rsid w:val="00E77C71"/>
    <w:pPr>
      <w:framePr w:hSpace="141" w:wrap="around" w:vAnchor="text" w:hAnchor="margin" w:y="275"/>
      <w:pBdr>
        <w:bottom w:val="none" w:sz="0" w:space="0" w:color="auto"/>
      </w:pBdr>
      <w:tabs>
        <w:tab w:val="left" w:pos="170"/>
        <w:tab w:val="num" w:pos="1251"/>
      </w:tabs>
      <w:autoSpaceDE w:val="0"/>
      <w:autoSpaceDN w:val="0"/>
      <w:adjustRightInd w:val="0"/>
      <w:spacing w:before="0" w:after="60"/>
      <w:ind w:left="1251" w:hanging="738"/>
    </w:pPr>
    <w:rPr>
      <w:rFonts w:ascii="Arial" w:hAnsi="Arial" w:cs="Arial"/>
      <w:bCs w:val="0"/>
      <w:color w:val="auto"/>
      <w:u w:val="single"/>
      <w:lang w:eastAsia="en-US"/>
    </w:rPr>
  </w:style>
  <w:style w:type="paragraph" w:customStyle="1" w:styleId="header10-1">
    <w:name w:val="header10-1"/>
    <w:basedOn w:val="Header9-1"/>
    <w:rsid w:val="00E77C71"/>
    <w:pPr>
      <w:framePr w:wrap="around"/>
    </w:pPr>
  </w:style>
  <w:style w:type="paragraph" w:customStyle="1" w:styleId="S10">
    <w:name w:val="S1"/>
    <w:basedOn w:val="Normal"/>
    <w:link w:val="S1Car"/>
    <w:qFormat/>
    <w:rsid w:val="00E77C71"/>
    <w:pPr>
      <w:spacing w:before="120" w:after="120" w:line="240" w:lineRule="auto"/>
      <w:ind w:left="720" w:hanging="360"/>
      <w:jc w:val="center"/>
      <w:outlineLvl w:val="0"/>
    </w:pPr>
    <w:rPr>
      <w:rFonts w:ascii="Algerian" w:eastAsia="Times New Roman" w:hAnsi="Algerian"/>
      <w:color w:val="00B0F0"/>
      <w:sz w:val="48"/>
      <w:szCs w:val="24"/>
      <w:lang w:val="fr-CA"/>
    </w:rPr>
  </w:style>
  <w:style w:type="character" w:customStyle="1" w:styleId="S1Car">
    <w:name w:val="S1 Car"/>
    <w:link w:val="S10"/>
    <w:rsid w:val="00E77C71"/>
    <w:rPr>
      <w:rFonts w:ascii="Algerian" w:eastAsia="Times New Roman" w:hAnsi="Algerian" w:cs="Times New Roman"/>
      <w:color w:val="00B0F0"/>
      <w:sz w:val="48"/>
      <w:szCs w:val="24"/>
      <w:lang w:val="fr-CA"/>
    </w:rPr>
  </w:style>
  <w:style w:type="paragraph" w:customStyle="1" w:styleId="S2">
    <w:name w:val="S2"/>
    <w:basedOn w:val="Normal"/>
    <w:link w:val="S2Car"/>
    <w:qFormat/>
    <w:rsid w:val="00E77C71"/>
    <w:pPr>
      <w:spacing w:before="120" w:after="240" w:line="360" w:lineRule="auto"/>
      <w:ind w:left="1440" w:hanging="360"/>
      <w:outlineLvl w:val="1"/>
    </w:pPr>
    <w:rPr>
      <w:rFonts w:eastAsia="Times New Roman"/>
      <w:b/>
      <w:caps/>
      <w:sz w:val="28"/>
      <w:szCs w:val="24"/>
      <w:u w:val="single"/>
      <w:lang w:val="fr-CA"/>
    </w:rPr>
  </w:style>
  <w:style w:type="character" w:customStyle="1" w:styleId="S2Car">
    <w:name w:val="S2 Car"/>
    <w:link w:val="S2"/>
    <w:rsid w:val="00E77C71"/>
    <w:rPr>
      <w:rFonts w:ascii="Calibri" w:eastAsia="Times New Roman" w:hAnsi="Calibri" w:cs="Times New Roman"/>
      <w:b/>
      <w:caps/>
      <w:sz w:val="28"/>
      <w:szCs w:val="24"/>
      <w:u w:val="single"/>
      <w:lang w:val="fr-CA"/>
    </w:rPr>
  </w:style>
  <w:style w:type="paragraph" w:customStyle="1" w:styleId="S3">
    <w:name w:val="S3"/>
    <w:basedOn w:val="Normal"/>
    <w:link w:val="S3Car"/>
    <w:qFormat/>
    <w:rsid w:val="00E77C71"/>
    <w:pPr>
      <w:spacing w:before="240" w:after="240" w:line="360" w:lineRule="auto"/>
      <w:ind w:left="180" w:hanging="180"/>
      <w:outlineLvl w:val="2"/>
    </w:pPr>
    <w:rPr>
      <w:rFonts w:eastAsia="Times New Roman"/>
      <w:b/>
      <w:caps/>
      <w:sz w:val="26"/>
      <w:szCs w:val="24"/>
      <w:u w:val="single"/>
    </w:rPr>
  </w:style>
  <w:style w:type="character" w:customStyle="1" w:styleId="S3Car">
    <w:name w:val="S3 Car"/>
    <w:link w:val="S3"/>
    <w:rsid w:val="00E77C71"/>
    <w:rPr>
      <w:rFonts w:ascii="Calibri" w:eastAsia="Times New Roman" w:hAnsi="Calibri" w:cs="Times New Roman"/>
      <w:b/>
      <w:caps/>
      <w:sz w:val="26"/>
      <w:szCs w:val="24"/>
      <w:u w:val="single"/>
    </w:rPr>
  </w:style>
  <w:style w:type="paragraph" w:customStyle="1" w:styleId="S4">
    <w:name w:val="S4"/>
    <w:basedOn w:val="Normal"/>
    <w:link w:val="S4Car"/>
    <w:qFormat/>
    <w:rsid w:val="00E77C71"/>
    <w:pPr>
      <w:spacing w:before="240" w:after="240" w:line="360" w:lineRule="auto"/>
      <w:ind w:left="2880" w:hanging="360"/>
      <w:outlineLvl w:val="3"/>
    </w:pPr>
    <w:rPr>
      <w:rFonts w:eastAsia="Times New Roman"/>
      <w:b/>
      <w:smallCaps/>
      <w:sz w:val="24"/>
      <w:szCs w:val="24"/>
      <w:u w:val="single"/>
    </w:rPr>
  </w:style>
  <w:style w:type="character" w:customStyle="1" w:styleId="S4Car">
    <w:name w:val="S4 Car"/>
    <w:link w:val="S4"/>
    <w:rsid w:val="00E77C71"/>
    <w:rPr>
      <w:rFonts w:ascii="Calibri" w:eastAsia="Times New Roman" w:hAnsi="Calibri" w:cs="Times New Roman"/>
      <w:b/>
      <w:smallCaps/>
      <w:sz w:val="24"/>
      <w:szCs w:val="24"/>
      <w:u w:val="single"/>
    </w:rPr>
  </w:style>
  <w:style w:type="paragraph" w:customStyle="1" w:styleId="S5">
    <w:name w:val="S5"/>
    <w:basedOn w:val="Normal"/>
    <w:link w:val="S5Car"/>
    <w:qFormat/>
    <w:rsid w:val="00E77C71"/>
    <w:pPr>
      <w:spacing w:before="240" w:after="240" w:line="360" w:lineRule="auto"/>
      <w:ind w:left="720"/>
      <w:outlineLvl w:val="4"/>
    </w:pPr>
    <w:rPr>
      <w:rFonts w:eastAsia="Times New Roman"/>
      <w:b/>
      <w:i/>
      <w:szCs w:val="24"/>
      <w:lang w:eastAsia="fr-FR"/>
    </w:rPr>
  </w:style>
  <w:style w:type="character" w:customStyle="1" w:styleId="S5Car">
    <w:name w:val="S5 Car"/>
    <w:link w:val="S5"/>
    <w:rsid w:val="00E77C71"/>
    <w:rPr>
      <w:rFonts w:ascii="Calibri" w:eastAsia="Times New Roman" w:hAnsi="Calibri" w:cs="Times New Roman"/>
      <w:b/>
      <w:i/>
      <w:szCs w:val="24"/>
      <w:lang w:eastAsia="fr-FR"/>
    </w:rPr>
  </w:style>
  <w:style w:type="paragraph" w:customStyle="1" w:styleId="TITRE112">
    <w:name w:val="TITRE 1.1."/>
    <w:basedOn w:val="Normal"/>
    <w:link w:val="TITRE11Car0"/>
    <w:qFormat/>
    <w:rsid w:val="00E77C71"/>
    <w:pPr>
      <w:keepNext/>
      <w:spacing w:after="120" w:line="240" w:lineRule="auto"/>
      <w:ind w:left="720" w:hanging="360"/>
      <w:outlineLvl w:val="1"/>
    </w:pPr>
    <w:rPr>
      <w:rFonts w:ascii="Times New Roman" w:eastAsia="Times New Roman" w:hAnsi="Times New Roman" w:cs="Arial"/>
      <w:b/>
      <w:smallCaps/>
      <w:color w:val="948A54"/>
      <w:sz w:val="44"/>
      <w:szCs w:val="24"/>
      <w:u w:val="single" w:color="595959"/>
      <w:lang w:eastAsia="fr-FR"/>
    </w:rPr>
  </w:style>
  <w:style w:type="character" w:customStyle="1" w:styleId="TITRE11Car0">
    <w:name w:val="TITRE 1.1. Car"/>
    <w:link w:val="TITRE112"/>
    <w:rsid w:val="00E77C71"/>
    <w:rPr>
      <w:rFonts w:ascii="Times New Roman" w:eastAsia="Times New Roman" w:hAnsi="Times New Roman" w:cs="Arial"/>
      <w:b/>
      <w:smallCaps/>
      <w:color w:val="948A54"/>
      <w:sz w:val="44"/>
      <w:szCs w:val="24"/>
      <w:u w:val="single" w:color="595959"/>
      <w:lang w:eastAsia="fr-FR"/>
    </w:rPr>
  </w:style>
  <w:style w:type="paragraph" w:customStyle="1" w:styleId="Style3">
    <w:name w:val="Style3"/>
    <w:basedOn w:val="Normal"/>
    <w:link w:val="Style3Char"/>
    <w:qFormat/>
    <w:rsid w:val="00E77C71"/>
    <w:pPr>
      <w:spacing w:after="120" w:line="240" w:lineRule="auto"/>
      <w:ind w:left="720" w:hanging="360"/>
      <w:outlineLvl w:val="2"/>
    </w:pPr>
    <w:rPr>
      <w:rFonts w:eastAsia="Times New Roman"/>
      <w:smallCaps/>
      <w:color w:val="595959"/>
      <w:sz w:val="24"/>
      <w:u w:val="single"/>
      <w:lang w:eastAsia="fr-FR"/>
    </w:rPr>
  </w:style>
  <w:style w:type="paragraph" w:customStyle="1" w:styleId="C5Bullet">
    <w:name w:val="C5 Bullet"/>
    <w:basedOn w:val="Corpsdetexte"/>
    <w:link w:val="C5BulletChar"/>
    <w:uiPriority w:val="99"/>
    <w:rsid w:val="00E77C71"/>
    <w:pPr>
      <w:pBdr>
        <w:top w:val="none" w:sz="0" w:space="0" w:color="auto"/>
        <w:left w:val="none" w:sz="0" w:space="0" w:color="auto"/>
        <w:bottom w:val="none" w:sz="0" w:space="0" w:color="auto"/>
        <w:right w:val="none" w:sz="0" w:space="0" w:color="auto"/>
      </w:pBdr>
      <w:shd w:val="clear" w:color="auto" w:fill="auto"/>
      <w:tabs>
        <w:tab w:val="clear" w:pos="4393"/>
      </w:tabs>
      <w:spacing w:after="120" w:line="360" w:lineRule="auto"/>
      <w:jc w:val="both"/>
    </w:pPr>
    <w:rPr>
      <w:b w:val="0"/>
      <w:sz w:val="22"/>
      <w:szCs w:val="20"/>
      <w:lang w:val="en-CA" w:eastAsia="en-US"/>
    </w:rPr>
  </w:style>
  <w:style w:type="character" w:customStyle="1" w:styleId="C5BulletChar">
    <w:name w:val="C5 Bullet Char"/>
    <w:link w:val="C5Bullet"/>
    <w:uiPriority w:val="99"/>
    <w:locked/>
    <w:rsid w:val="00E77C71"/>
    <w:rPr>
      <w:rFonts w:ascii="Times New Roman" w:eastAsia="Times New Roman" w:hAnsi="Times New Roman" w:cs="Times New Roman"/>
      <w:szCs w:val="20"/>
      <w:lang w:val="en-CA"/>
    </w:rPr>
  </w:style>
  <w:style w:type="paragraph" w:customStyle="1" w:styleId="NoSpacing1">
    <w:name w:val="No Spacing1"/>
    <w:basedOn w:val="Normal"/>
    <w:link w:val="NoSpacingChar"/>
    <w:qFormat/>
    <w:rsid w:val="00E77C71"/>
    <w:pPr>
      <w:spacing w:after="0" w:line="240" w:lineRule="auto"/>
    </w:pPr>
    <w:rPr>
      <w:lang w:eastAsia="fr-FR"/>
    </w:rPr>
  </w:style>
  <w:style w:type="character" w:customStyle="1" w:styleId="NoSpacingChar">
    <w:name w:val="No Spacing Char"/>
    <w:link w:val="NoSpacing1"/>
    <w:rsid w:val="00E77C71"/>
    <w:rPr>
      <w:rFonts w:ascii="Calibri" w:eastAsia="Calibri" w:hAnsi="Calibri" w:cs="Times New Roman"/>
      <w:lang w:eastAsia="fr-FR"/>
    </w:rPr>
  </w:style>
  <w:style w:type="table" w:styleId="Listecouleur-Accent1">
    <w:name w:val="Colorful List Accent 1"/>
    <w:basedOn w:val="TableauNormal"/>
    <w:uiPriority w:val="34"/>
    <w:rsid w:val="00E77C71"/>
    <w:pPr>
      <w:spacing w:after="0" w:line="240" w:lineRule="auto"/>
    </w:pPr>
    <w:rPr>
      <w:rFonts w:ascii="Times New Roman" w:eastAsia="Times New Roman" w:hAnsi="Times New Roman" w:cs="Times New Roman"/>
      <w:sz w:val="20"/>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Titresansno">
    <w:name w:val="Titre sans no"/>
    <w:basedOn w:val="Titre1"/>
    <w:next w:val="Corpsdetexte"/>
    <w:link w:val="TitresansnoCar"/>
    <w:qFormat/>
    <w:rsid w:val="00E77C71"/>
    <w:pPr>
      <w:numPr>
        <w:numId w:val="0"/>
      </w:numPr>
      <w:tabs>
        <w:tab w:val="left" w:pos="1071"/>
      </w:tabs>
      <w:spacing w:after="0" w:line="480" w:lineRule="exact"/>
      <w:ind w:right="0"/>
      <w:jc w:val="left"/>
    </w:pPr>
    <w:rPr>
      <w:rFonts w:ascii="Times New Roman" w:hAnsi="Times New Roman"/>
      <w:b w:val="0"/>
      <w:caps w:val="0"/>
      <w:color w:val="0076CC"/>
      <w:kern w:val="0"/>
      <w:sz w:val="40"/>
      <w:szCs w:val="40"/>
      <w:lang w:val="en-US" w:eastAsia="en-US"/>
    </w:rPr>
  </w:style>
  <w:style w:type="character" w:customStyle="1" w:styleId="TitresansnoCar">
    <w:name w:val="Titre sans no Car"/>
    <w:link w:val="Titresansno"/>
    <w:rsid w:val="00E77C71"/>
    <w:rPr>
      <w:rFonts w:ascii="Times New Roman" w:eastAsia="Times New Roman" w:hAnsi="Times New Roman" w:cs="Times New Roman"/>
      <w:bCs/>
      <w:color w:val="0076CC"/>
      <w:sz w:val="40"/>
      <w:szCs w:val="40"/>
      <w:lang w:val="en-US"/>
    </w:rPr>
  </w:style>
  <w:style w:type="paragraph" w:customStyle="1" w:styleId="Grillecouleur-Accent11">
    <w:name w:val="Grille couleur - Accent 11"/>
    <w:basedOn w:val="Normal"/>
    <w:next w:val="Normal"/>
    <w:link w:val="Grillecouleur-Accent1Car"/>
    <w:uiPriority w:val="29"/>
    <w:qFormat/>
    <w:rsid w:val="00E77C71"/>
    <w:pPr>
      <w:spacing w:after="200" w:line="276" w:lineRule="auto"/>
    </w:pPr>
    <w:rPr>
      <w:rFonts w:eastAsia="Times New Roman"/>
      <w:i/>
      <w:iCs/>
      <w:color w:val="000000"/>
      <w:sz w:val="20"/>
      <w:szCs w:val="20"/>
      <w:lang w:eastAsia="x-none" w:bidi="en-US"/>
    </w:rPr>
  </w:style>
  <w:style w:type="character" w:customStyle="1" w:styleId="Grillecouleur-Accent1Car">
    <w:name w:val="Grille couleur - Accent 1 Car"/>
    <w:link w:val="Grillecouleur-Accent11"/>
    <w:uiPriority w:val="29"/>
    <w:rsid w:val="00E77C71"/>
    <w:rPr>
      <w:rFonts w:ascii="Calibri" w:eastAsia="Times New Roman" w:hAnsi="Calibri" w:cs="Times New Roman"/>
      <w:i/>
      <w:iCs/>
      <w:color w:val="000000"/>
      <w:sz w:val="20"/>
      <w:szCs w:val="20"/>
      <w:lang w:val="en-US" w:eastAsia="x-none" w:bidi="en-US"/>
    </w:rPr>
  </w:style>
  <w:style w:type="paragraph" w:customStyle="1" w:styleId="Trameclaire-Accent21">
    <w:name w:val="Trame claire - Accent 21"/>
    <w:basedOn w:val="Normal"/>
    <w:next w:val="Normal"/>
    <w:link w:val="Trameclaire-Accent2Car"/>
    <w:uiPriority w:val="30"/>
    <w:qFormat/>
    <w:rsid w:val="00E77C71"/>
    <w:pPr>
      <w:pBdr>
        <w:bottom w:val="single" w:sz="4" w:space="4" w:color="4F81BD"/>
      </w:pBdr>
      <w:spacing w:before="200" w:after="280" w:line="276" w:lineRule="auto"/>
      <w:ind w:left="936" w:right="936"/>
    </w:pPr>
    <w:rPr>
      <w:rFonts w:eastAsia="Times New Roman"/>
      <w:b/>
      <w:bCs/>
      <w:i/>
      <w:iCs/>
      <w:color w:val="4F81BD"/>
      <w:sz w:val="20"/>
      <w:szCs w:val="20"/>
      <w:lang w:eastAsia="x-none" w:bidi="en-US"/>
    </w:rPr>
  </w:style>
  <w:style w:type="character" w:customStyle="1" w:styleId="Trameclaire-Accent2Car">
    <w:name w:val="Trame claire - Accent 2 Car"/>
    <w:link w:val="Trameclaire-Accent21"/>
    <w:uiPriority w:val="30"/>
    <w:rsid w:val="00E77C71"/>
    <w:rPr>
      <w:rFonts w:ascii="Calibri" w:eastAsia="Times New Roman" w:hAnsi="Calibri" w:cs="Times New Roman"/>
      <w:b/>
      <w:bCs/>
      <w:i/>
      <w:iCs/>
      <w:color w:val="4F81BD"/>
      <w:sz w:val="20"/>
      <w:szCs w:val="20"/>
      <w:lang w:val="en-US" w:eastAsia="x-none" w:bidi="en-US"/>
    </w:rPr>
  </w:style>
  <w:style w:type="character" w:customStyle="1" w:styleId="Accentuationdiscrte1">
    <w:name w:val="Accentuation discrète1"/>
    <w:uiPriority w:val="19"/>
    <w:qFormat/>
    <w:rsid w:val="00E77C71"/>
    <w:rPr>
      <w:i/>
      <w:iCs/>
      <w:color w:val="808080"/>
    </w:rPr>
  </w:style>
  <w:style w:type="character" w:customStyle="1" w:styleId="Forteaccentuation1">
    <w:name w:val="Forte accentuation1"/>
    <w:uiPriority w:val="21"/>
    <w:qFormat/>
    <w:rsid w:val="00E77C71"/>
    <w:rPr>
      <w:b/>
      <w:bCs/>
      <w:i/>
      <w:iCs/>
      <w:color w:val="4F81BD"/>
    </w:rPr>
  </w:style>
  <w:style w:type="character" w:customStyle="1" w:styleId="Rfrenceple1">
    <w:name w:val="Référence pâle1"/>
    <w:uiPriority w:val="31"/>
    <w:qFormat/>
    <w:rsid w:val="00E77C71"/>
    <w:rPr>
      <w:smallCaps/>
      <w:color w:val="C0504D"/>
      <w:u w:val="single"/>
    </w:rPr>
  </w:style>
  <w:style w:type="character" w:customStyle="1" w:styleId="Titredulivre1">
    <w:name w:val="Titre du livre1"/>
    <w:uiPriority w:val="33"/>
    <w:qFormat/>
    <w:rsid w:val="00E77C71"/>
    <w:rPr>
      <w:b/>
      <w:bCs/>
      <w:smallCaps/>
      <w:spacing w:val="5"/>
    </w:rPr>
  </w:style>
  <w:style w:type="paragraph" w:customStyle="1" w:styleId="Sansinterligne11">
    <w:name w:val="Sans interligne11"/>
    <w:uiPriority w:val="1"/>
    <w:qFormat/>
    <w:rsid w:val="00E77C71"/>
    <w:pPr>
      <w:widowControl w:val="0"/>
      <w:suppressAutoHyphens/>
      <w:spacing w:after="0" w:line="240" w:lineRule="auto"/>
    </w:pPr>
    <w:rPr>
      <w:rFonts w:ascii="Liberation Serif" w:eastAsia="DejaVu Sans" w:hAnsi="Liberation Serif" w:cs="Mangal"/>
      <w:kern w:val="1"/>
      <w:sz w:val="24"/>
      <w:szCs w:val="21"/>
      <w:lang w:eastAsia="hi-IN" w:bidi="hi-IN"/>
    </w:rPr>
  </w:style>
  <w:style w:type="table" w:styleId="Listeclaire-Accent6">
    <w:name w:val="Light List Accent 6"/>
    <w:basedOn w:val="TableauNormal"/>
    <w:uiPriority w:val="61"/>
    <w:rsid w:val="00E77C71"/>
    <w:pPr>
      <w:spacing w:after="0" w:line="240" w:lineRule="auto"/>
    </w:pPr>
    <w:rPr>
      <w:rFonts w:ascii="Cambria" w:eastAsia="Cambria" w:hAnsi="Cambria" w:cs="Times New Roman"/>
      <w:lang w:val="fr-CA"/>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steclaire">
    <w:name w:val="Light List"/>
    <w:basedOn w:val="TableauNormal"/>
    <w:uiPriority w:val="61"/>
    <w:rsid w:val="00E77C71"/>
    <w:pPr>
      <w:spacing w:after="0" w:line="240" w:lineRule="auto"/>
    </w:pPr>
    <w:rPr>
      <w:rFonts w:ascii="Cambria" w:eastAsia="Cambria" w:hAnsi="Cambria" w:cs="Times New Roman"/>
      <w:lang w:val="fr-C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Pa13">
    <w:name w:val="Pa13"/>
    <w:basedOn w:val="Default"/>
    <w:next w:val="Default"/>
    <w:uiPriority w:val="99"/>
    <w:rsid w:val="00E77C71"/>
    <w:pPr>
      <w:spacing w:line="221" w:lineRule="atLeast"/>
    </w:pPr>
    <w:rPr>
      <w:rFonts w:ascii="HelveticaNeueLT Std Med Cn" w:eastAsia="Cambria" w:hAnsi="HelveticaNeueLT Std Med Cn" w:cs="Times New Roman"/>
      <w:color w:val="auto"/>
      <w:lang w:val="fr-CA"/>
    </w:rPr>
  </w:style>
  <w:style w:type="paragraph" w:customStyle="1" w:styleId="Pa20">
    <w:name w:val="Pa20"/>
    <w:basedOn w:val="Default"/>
    <w:next w:val="Default"/>
    <w:uiPriority w:val="99"/>
    <w:rsid w:val="00E77C71"/>
    <w:pPr>
      <w:spacing w:line="221" w:lineRule="atLeast"/>
    </w:pPr>
    <w:rPr>
      <w:rFonts w:ascii="HelveticaNeueLT Std Med Cn" w:eastAsia="Cambria" w:hAnsi="HelveticaNeueLT Std Med Cn" w:cs="Times New Roman"/>
      <w:color w:val="auto"/>
      <w:lang w:val="fr-CA"/>
    </w:rPr>
  </w:style>
  <w:style w:type="numbering" w:customStyle="1" w:styleId="Aucuneliste1">
    <w:name w:val="Aucune liste1"/>
    <w:next w:val="Aucuneliste"/>
    <w:uiPriority w:val="99"/>
    <w:semiHidden/>
    <w:unhideWhenUsed/>
    <w:rsid w:val="00E77C71"/>
  </w:style>
  <w:style w:type="character" w:customStyle="1" w:styleId="Listecouleur-Accent1Car1">
    <w:name w:val="Liste couleur - Accent 1 Car1"/>
    <w:uiPriority w:val="34"/>
    <w:locked/>
    <w:rsid w:val="00E77C71"/>
    <w:rPr>
      <w:rFonts w:ascii="Calibri" w:eastAsia="Calibri" w:hAnsi="Calibri" w:cs="Times New Roman"/>
    </w:rPr>
  </w:style>
  <w:style w:type="paragraph" w:customStyle="1" w:styleId="CoverClientName">
    <w:name w:val="CoverClientName"/>
    <w:basedOn w:val="Normal"/>
    <w:next w:val="Normal"/>
    <w:rsid w:val="00E77C71"/>
    <w:pPr>
      <w:overflowPunct w:val="0"/>
      <w:autoSpaceDE w:val="0"/>
      <w:autoSpaceDN w:val="0"/>
      <w:adjustRightInd w:val="0"/>
      <w:spacing w:after="480" w:line="264" w:lineRule="auto"/>
      <w:textAlignment w:val="baseline"/>
    </w:pPr>
    <w:rPr>
      <w:rFonts w:ascii="Book Antiqua" w:eastAsia="Times New Roman" w:hAnsi="Book Antiqua"/>
      <w:szCs w:val="20"/>
      <w:lang w:val="en-GB"/>
    </w:rPr>
  </w:style>
  <w:style w:type="paragraph" w:customStyle="1" w:styleId="CorpsdeTexteConserver">
    <w:name w:val="Corps de Texte Conserver"/>
    <w:basedOn w:val="Normal"/>
    <w:next w:val="Normal"/>
    <w:uiPriority w:val="99"/>
    <w:rsid w:val="00E77C71"/>
    <w:pPr>
      <w:autoSpaceDE w:val="0"/>
      <w:autoSpaceDN w:val="0"/>
      <w:adjustRightInd w:val="0"/>
      <w:spacing w:after="0" w:line="240" w:lineRule="auto"/>
    </w:pPr>
    <w:rPr>
      <w:rFonts w:ascii="HGGFHE+Garamond" w:eastAsia="Cambria" w:hAnsi="HGGFHE+Garamond"/>
      <w:sz w:val="24"/>
      <w:szCs w:val="24"/>
    </w:rPr>
  </w:style>
  <w:style w:type="character" w:customStyle="1" w:styleId="pucefinorange">
    <w:name w:val="puce_fin_orange"/>
    <w:basedOn w:val="Policepardfaut"/>
    <w:rsid w:val="00E77C71"/>
  </w:style>
  <w:style w:type="paragraph" w:customStyle="1" w:styleId="Pucestableau">
    <w:name w:val="Puces tableau"/>
    <w:basedOn w:val="Normal"/>
    <w:qFormat/>
    <w:rsid w:val="00E77C71"/>
    <w:pPr>
      <w:numPr>
        <w:numId w:val="125"/>
      </w:numPr>
      <w:spacing w:after="0" w:line="240" w:lineRule="auto"/>
    </w:pPr>
    <w:rPr>
      <w:rFonts w:ascii="Tahoma" w:eastAsia="Times New Roman" w:hAnsi="Tahoma" w:cs="Tahoma"/>
      <w:bCs/>
      <w:sz w:val="16"/>
      <w:szCs w:val="16"/>
      <w:lang w:eastAsia="fr-FR"/>
    </w:rPr>
  </w:style>
  <w:style w:type="paragraph" w:customStyle="1" w:styleId="Titre3Centeredcenteredalec3">
    <w:name w:val="Titre 3.Centered.centered.alec3"/>
    <w:basedOn w:val="Titre30"/>
    <w:next w:val="Normal"/>
    <w:rsid w:val="00E77C71"/>
    <w:pPr>
      <w:keepNext w:val="0"/>
      <w:numPr>
        <w:ilvl w:val="0"/>
        <w:numId w:val="0"/>
      </w:numPr>
      <w:pBdr>
        <w:bottom w:val="dashSmallGap" w:sz="4" w:space="1" w:color="auto"/>
      </w:pBdr>
      <w:spacing w:before="0" w:after="0"/>
      <w:ind w:left="1843" w:hanging="1080"/>
      <w:jc w:val="both"/>
    </w:pPr>
    <w:rPr>
      <w:rFonts w:ascii="Tahoma" w:hAnsi="Tahoma" w:cs="Tahoma"/>
      <w:color w:val="92D050"/>
      <w:szCs w:val="22"/>
    </w:rPr>
  </w:style>
  <w:style w:type="numbering" w:customStyle="1" w:styleId="Aucuneliste2">
    <w:name w:val="Aucune liste2"/>
    <w:next w:val="Aucuneliste"/>
    <w:uiPriority w:val="99"/>
    <w:semiHidden/>
    <w:unhideWhenUsed/>
    <w:rsid w:val="00E77C71"/>
  </w:style>
  <w:style w:type="numbering" w:customStyle="1" w:styleId="ListBullets1">
    <w:name w:val="List Bullets1"/>
    <w:uiPriority w:val="99"/>
    <w:rsid w:val="00E77C71"/>
    <w:pPr>
      <w:numPr>
        <w:numId w:val="238"/>
      </w:numPr>
    </w:pPr>
  </w:style>
  <w:style w:type="numbering" w:customStyle="1" w:styleId="ListHeadings">
    <w:name w:val="List Headings"/>
    <w:uiPriority w:val="99"/>
    <w:rsid w:val="00E77C71"/>
    <w:pPr>
      <w:numPr>
        <w:numId w:val="126"/>
      </w:numPr>
    </w:pPr>
  </w:style>
  <w:style w:type="table" w:customStyle="1" w:styleId="RHDHVTable">
    <w:name w:val="RHDHV Table"/>
    <w:basedOn w:val="TableauNormal"/>
    <w:uiPriority w:val="99"/>
    <w:unhideWhenUsed/>
    <w:rsid w:val="00E77C71"/>
    <w:pPr>
      <w:spacing w:after="0" w:line="271" w:lineRule="auto"/>
    </w:pPr>
    <w:rPr>
      <w:rFonts w:ascii="Cambria" w:eastAsia="MS Mincho" w:hAnsi="Cambria" w:cs="Times New Roman"/>
      <w:color w:val="000000"/>
      <w:sz w:val="20"/>
      <w:szCs w:val="20"/>
      <w:lang w:eastAsia="en-GB"/>
    </w:rPr>
    <w:tblPr>
      <w:tblBorders>
        <w:insideH w:val="single" w:sz="8" w:space="0" w:color="FFFFFF"/>
        <w:insideV w:val="single" w:sz="8" w:space="0" w:color="FFFFFF"/>
      </w:tblBorders>
      <w:tblCellMar>
        <w:top w:w="57" w:type="dxa"/>
        <w:left w:w="0" w:type="dxa"/>
        <w:bottom w:w="57" w:type="dxa"/>
        <w:right w:w="0" w:type="dxa"/>
      </w:tblCellMar>
    </w:tblPr>
    <w:tcPr>
      <w:shd w:val="clear" w:color="auto" w:fill="D9E2F3"/>
      <w:vAlign w:val="center"/>
    </w:tcPr>
    <w:tblStylePr w:type="firstRow">
      <w:rPr>
        <w:b/>
      </w:rPr>
      <w:tblPr/>
      <w:tcPr>
        <w:tcBorders>
          <w:top w:val="nil"/>
          <w:left w:val="nil"/>
          <w:bottom w:val="nil"/>
          <w:right w:val="nil"/>
          <w:insideH w:val="nil"/>
          <w:insideV w:val="single" w:sz="8" w:space="0" w:color="FFFFFF"/>
          <w:tl2br w:val="nil"/>
          <w:tr2bl w:val="nil"/>
        </w:tcBorders>
        <w:shd w:val="clear" w:color="auto" w:fill="4472C4"/>
      </w:tcPr>
    </w:tblStylePr>
    <w:tblStylePr w:type="lastRow">
      <w:tblPr/>
      <w:tcPr>
        <w:tcBorders>
          <w:top w:val="nil"/>
          <w:left w:val="nil"/>
          <w:bottom w:val="nil"/>
          <w:right w:val="nil"/>
          <w:insideH w:val="nil"/>
          <w:insideV w:val="single" w:sz="8" w:space="0" w:color="FFFFFF"/>
          <w:tl2br w:val="nil"/>
          <w:tr2bl w:val="nil"/>
        </w:tcBorders>
        <w:shd w:val="clear" w:color="auto" w:fill="B4C6E7"/>
      </w:tcPr>
    </w:tblStylePr>
    <w:tblStylePr w:type="swCell">
      <w:tblPr/>
      <w:tcPr>
        <w:tcBorders>
          <w:top w:val="nil"/>
          <w:left w:val="nil"/>
          <w:bottom w:val="nil"/>
          <w:right w:val="nil"/>
          <w:insideH w:val="nil"/>
          <w:insideV w:val="nil"/>
          <w:tl2br w:val="nil"/>
          <w:tr2bl w:val="nil"/>
        </w:tcBorders>
        <w:shd w:val="clear" w:color="auto" w:fill="FFFFFF"/>
      </w:tcPr>
    </w:tblStylePr>
  </w:style>
  <w:style w:type="paragraph" w:customStyle="1" w:styleId="AAtitre30">
    <w:name w:val="AAtitre3"/>
    <w:basedOn w:val="Normal"/>
    <w:uiPriority w:val="99"/>
    <w:rsid w:val="00E77C71"/>
    <w:pPr>
      <w:spacing w:after="0" w:line="360" w:lineRule="auto"/>
      <w:jc w:val="both"/>
    </w:pPr>
    <w:rPr>
      <w:rFonts w:ascii="Arial Narrow" w:eastAsia="Times New Roman" w:hAnsi="Arial Narrow"/>
      <w:color w:val="008080"/>
      <w:szCs w:val="24"/>
      <w:lang w:val="fr-CH" w:eastAsia="fr-FR"/>
    </w:rPr>
  </w:style>
  <w:style w:type="numbering" w:customStyle="1" w:styleId="WarmGray11">
    <w:name w:val="Warm Gray11"/>
    <w:uiPriority w:val="99"/>
    <w:rsid w:val="00E77C71"/>
    <w:pPr>
      <w:numPr>
        <w:numId w:val="130"/>
      </w:numPr>
    </w:pPr>
  </w:style>
  <w:style w:type="character" w:styleId="Accentuationlgre">
    <w:name w:val="Subtle Emphasis"/>
    <w:basedOn w:val="Policepardfaut"/>
    <w:uiPriority w:val="19"/>
    <w:qFormat/>
    <w:rsid w:val="00E77C71"/>
    <w:rPr>
      <w:i/>
      <w:iCs/>
      <w:color w:val="404040" w:themeColor="text1" w:themeTint="BF"/>
    </w:rPr>
  </w:style>
  <w:style w:type="character" w:styleId="Accentuationintense">
    <w:name w:val="Intense Emphasis"/>
    <w:aliases w:val="Emphase intense1,Accentuation intense1"/>
    <w:basedOn w:val="Policepardfaut"/>
    <w:uiPriority w:val="21"/>
    <w:qFormat/>
    <w:rsid w:val="00E77C71"/>
    <w:rPr>
      <w:i/>
      <w:iCs/>
      <w:color w:val="5B9BD5" w:themeColor="accent1"/>
    </w:rPr>
  </w:style>
  <w:style w:type="character" w:styleId="Rfrencelgre">
    <w:name w:val="Subtle Reference"/>
    <w:aliases w:val="Référence pâle2,Référence légère1"/>
    <w:basedOn w:val="Policepardfaut"/>
    <w:uiPriority w:val="31"/>
    <w:qFormat/>
    <w:rsid w:val="00E77C71"/>
    <w:rPr>
      <w:smallCaps/>
      <w:color w:val="5A5A5A" w:themeColor="text1" w:themeTint="A5"/>
    </w:rPr>
  </w:style>
  <w:style w:type="character" w:customStyle="1" w:styleId="PieddepageCar1">
    <w:name w:val="Pied de page Car1"/>
    <w:aliases w:val="puces points Car1,H Pied page Car1,CONGPied de page Car1,CPied de page Car1,ASPied de page Car1"/>
    <w:basedOn w:val="Policepardfaut"/>
    <w:uiPriority w:val="99"/>
    <w:rsid w:val="008F35C9"/>
  </w:style>
  <w:style w:type="table" w:customStyle="1" w:styleId="Grilledutableau17">
    <w:name w:val="Grille du tableau17"/>
    <w:basedOn w:val="TableauNormal"/>
    <w:next w:val="Grilledutableau"/>
    <w:uiPriority w:val="59"/>
    <w:rsid w:val="00C00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
    <w:name w:val="Aucune liste3"/>
    <w:next w:val="Aucuneliste"/>
    <w:uiPriority w:val="99"/>
    <w:semiHidden/>
    <w:unhideWhenUsed/>
    <w:rsid w:val="000608C4"/>
  </w:style>
  <w:style w:type="table" w:customStyle="1" w:styleId="Grilledutableau18">
    <w:name w:val="Grille du tableau18"/>
    <w:basedOn w:val="TableauNormal"/>
    <w:next w:val="Grilledutableau"/>
    <w:uiPriority w:val="59"/>
    <w:rsid w:val="004A3B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8">
    <w:name w:val="Mention non résolue8"/>
    <w:basedOn w:val="Policepardfaut"/>
    <w:uiPriority w:val="99"/>
    <w:semiHidden/>
    <w:unhideWhenUsed/>
    <w:rsid w:val="00101B08"/>
    <w:rPr>
      <w:color w:val="605E5C"/>
      <w:shd w:val="clear" w:color="auto" w:fill="E1DFDD"/>
    </w:rPr>
  </w:style>
  <w:style w:type="paragraph" w:customStyle="1" w:styleId="Normale">
    <w:name w:val="Normale"/>
    <w:rsid w:val="0010720F"/>
    <w:pPr>
      <w:suppressAutoHyphens/>
      <w:autoSpaceDN w:val="0"/>
      <w:spacing w:after="200" w:line="276" w:lineRule="auto"/>
    </w:pPr>
    <w:rPr>
      <w:rFonts w:ascii="Calibri" w:eastAsia="Calibri" w:hAnsi="Calibri" w:cs="Times New Roman"/>
      <w:lang w:val="it-IT"/>
    </w:rPr>
  </w:style>
  <w:style w:type="character" w:customStyle="1" w:styleId="nowrap1">
    <w:name w:val="nowrap1"/>
    <w:basedOn w:val="Policepardfaut"/>
    <w:rsid w:val="0010720F"/>
  </w:style>
  <w:style w:type="paragraph" w:customStyle="1" w:styleId="Nomal">
    <w:name w:val="Nomal"/>
    <w:basedOn w:val="Normal"/>
    <w:link w:val="NomalCar"/>
    <w:autoRedefine/>
    <w:qFormat/>
    <w:rsid w:val="0010720F"/>
    <w:pPr>
      <w:numPr>
        <w:numId w:val="145"/>
      </w:numPr>
      <w:spacing w:after="0" w:line="360" w:lineRule="auto"/>
      <w:ind w:left="142"/>
      <w:jc w:val="both"/>
    </w:pPr>
    <w:rPr>
      <w:rFonts w:ascii="Arial" w:eastAsia="Times New Roman" w:hAnsi="Arial" w:cs="Arial"/>
      <w:u w:val="single"/>
    </w:rPr>
  </w:style>
  <w:style w:type="character" w:customStyle="1" w:styleId="NomalCar">
    <w:name w:val="Nomal Car"/>
    <w:link w:val="Nomal"/>
    <w:rsid w:val="0010720F"/>
    <w:rPr>
      <w:rFonts w:ascii="Arial" w:eastAsia="Times New Roman" w:hAnsi="Arial" w:cs="Arial"/>
      <w:u w:val="single"/>
    </w:rPr>
  </w:style>
  <w:style w:type="paragraph" w:customStyle="1" w:styleId="Listeclaire-Accent31">
    <w:name w:val="Liste claire - Accent 31"/>
    <w:hidden/>
    <w:uiPriority w:val="99"/>
    <w:semiHidden/>
    <w:rsid w:val="0010720F"/>
    <w:pPr>
      <w:spacing w:after="0" w:line="240" w:lineRule="auto"/>
    </w:pPr>
    <w:rPr>
      <w:rFonts w:ascii="Calibri" w:eastAsia="Calibri" w:hAnsi="Calibri" w:cs="Times New Roman"/>
    </w:rPr>
  </w:style>
  <w:style w:type="paragraph" w:customStyle="1" w:styleId="Grillemoyenne2-Accent11">
    <w:name w:val="Grille moyenne 2 - Accent 11"/>
    <w:link w:val="Grillemoyenne2-Accent1Car"/>
    <w:uiPriority w:val="1"/>
    <w:qFormat/>
    <w:rsid w:val="0010720F"/>
    <w:pPr>
      <w:spacing w:after="0" w:line="240" w:lineRule="auto"/>
    </w:pPr>
    <w:rPr>
      <w:rFonts w:ascii="Calibri" w:eastAsia="Times New Roman" w:hAnsi="Calibri" w:cs="Times New Roman"/>
      <w:lang w:eastAsia="fr-FR"/>
    </w:rPr>
  </w:style>
  <w:style w:type="character" w:customStyle="1" w:styleId="Grillemoyenne2-Accent1Car">
    <w:name w:val="Grille moyenne 2 - Accent 1 Car"/>
    <w:link w:val="Grillemoyenne2-Accent11"/>
    <w:uiPriority w:val="1"/>
    <w:rsid w:val="0010720F"/>
    <w:rPr>
      <w:rFonts w:ascii="Calibri" w:eastAsia="Times New Roman" w:hAnsi="Calibri" w:cs="Times New Roman"/>
      <w:lang w:eastAsia="fr-FR"/>
    </w:rPr>
  </w:style>
  <w:style w:type="paragraph" w:customStyle="1" w:styleId="CHAPITRE1">
    <w:name w:val="CHAPITRE1"/>
    <w:basedOn w:val="Titre1"/>
    <w:next w:val="Corpsdetexte"/>
    <w:autoRedefine/>
    <w:qFormat/>
    <w:rsid w:val="003B6588"/>
    <w:pPr>
      <w:numPr>
        <w:ilvl w:val="2"/>
      </w:numPr>
      <w:shd w:val="clear" w:color="auto" w:fill="E9EFF7"/>
      <w:spacing w:before="0"/>
      <w:ind w:right="0"/>
      <w:outlineLvl w:val="3"/>
    </w:pPr>
    <w:rPr>
      <w:rFonts w:ascii="Times New Roman" w:eastAsia="Cambria" w:hAnsi="Times New Roman" w:cs="Arial"/>
      <w:b w:val="0"/>
      <w:bCs w:val="0"/>
      <w:caps w:val="0"/>
      <w:kern w:val="0"/>
      <w:sz w:val="22"/>
      <w:szCs w:val="22"/>
      <w:lang w:bidi="en-US"/>
    </w:rPr>
  </w:style>
  <w:style w:type="paragraph" w:customStyle="1" w:styleId="CHAPITRE">
    <w:name w:val="CHAPITRE."/>
    <w:basedOn w:val="Titre1"/>
    <w:next w:val="Corpsdetexte"/>
    <w:autoRedefine/>
    <w:qFormat/>
    <w:rsid w:val="0010720F"/>
    <w:pPr>
      <w:numPr>
        <w:numId w:val="0"/>
      </w:numPr>
      <w:shd w:val="clear" w:color="auto" w:fill="FFFFFF"/>
      <w:spacing w:before="480" w:after="0"/>
      <w:ind w:left="1784" w:right="0" w:hanging="360"/>
    </w:pPr>
    <w:rPr>
      <w:rFonts w:ascii="Times New Roman" w:eastAsia="Cambria" w:hAnsi="Times New Roman" w:cs="Arial"/>
      <w:caps w:val="0"/>
      <w:color w:val="0070C0"/>
      <w:kern w:val="0"/>
      <w:lang w:bidi="en-US"/>
    </w:rPr>
  </w:style>
  <w:style w:type="paragraph" w:customStyle="1" w:styleId="Pardeliste1">
    <w:name w:val="Par. de liste1"/>
    <w:basedOn w:val="Normal"/>
    <w:uiPriority w:val="34"/>
    <w:qFormat/>
    <w:rsid w:val="0010720F"/>
    <w:pPr>
      <w:spacing w:before="100" w:beforeAutospacing="1" w:after="100" w:afterAutospacing="1" w:line="273" w:lineRule="auto"/>
      <w:ind w:left="720"/>
      <w:contextualSpacing/>
      <w:jc w:val="both"/>
    </w:pPr>
    <w:rPr>
      <w:rFonts w:ascii="Times New Roman" w:hAnsi="Times New Roman"/>
      <w:sz w:val="24"/>
      <w:szCs w:val="24"/>
      <w:lang w:eastAsia="fr-FR"/>
    </w:rPr>
  </w:style>
  <w:style w:type="table" w:customStyle="1" w:styleId="TableauGrille4-Accentuation51">
    <w:name w:val="Tableau Grille 4 - Accentuation 51"/>
    <w:basedOn w:val="TableauNormal"/>
    <w:uiPriority w:val="49"/>
    <w:rsid w:val="0010720F"/>
    <w:pPr>
      <w:spacing w:after="0" w:line="240" w:lineRule="auto"/>
    </w:pPr>
    <w:rPr>
      <w:rFonts w:ascii="Calibri" w:eastAsia="Calibri" w:hAnsi="Calibri" w:cs="Times New Roman"/>
      <w:sz w:val="24"/>
      <w:szCs w:val="24"/>
      <w:lang w:eastAsia="fr-F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eauGrille5Fonc-Accentuation51">
    <w:name w:val="Tableau Grille 5 Foncé - Accentuation 51"/>
    <w:basedOn w:val="TableauNormal"/>
    <w:uiPriority w:val="50"/>
    <w:rsid w:val="0010720F"/>
    <w:pPr>
      <w:spacing w:after="0" w:line="240" w:lineRule="auto"/>
    </w:pPr>
    <w:rPr>
      <w:rFonts w:ascii="Calibri" w:eastAsia="Calibri" w:hAnsi="Calibri" w:cs="Times New Roman"/>
      <w:sz w:val="24"/>
      <w:szCs w:val="24"/>
      <w:lang w:eastAsia="fr-F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eauGrille2-Accentuation11">
    <w:name w:val="Tableau Grille 2 - Accentuation 11"/>
    <w:basedOn w:val="TableauNormal"/>
    <w:uiPriority w:val="47"/>
    <w:rsid w:val="0010720F"/>
    <w:pPr>
      <w:spacing w:after="0" w:line="240" w:lineRule="auto"/>
    </w:pPr>
    <w:rPr>
      <w:rFonts w:ascii="Calibri" w:eastAsia="Calibri" w:hAnsi="Calibri" w:cs="Times New Roman"/>
      <w:sz w:val="20"/>
      <w:szCs w:val="20"/>
      <w:lang w:eastAsia="fr-FR"/>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BulletsR1">
    <w:name w:val="BulletsR1"/>
    <w:basedOn w:val="Normal"/>
    <w:link w:val="BulletsR1Car"/>
    <w:rsid w:val="0010720F"/>
    <w:pPr>
      <w:widowControl w:val="0"/>
      <w:spacing w:before="80" w:after="0" w:line="240" w:lineRule="auto"/>
      <w:jc w:val="both"/>
    </w:pPr>
    <w:rPr>
      <w:rFonts w:ascii="Arial" w:eastAsia="Times New Roman" w:hAnsi="Arial"/>
      <w:szCs w:val="20"/>
      <w:lang w:val="fr-BE" w:eastAsia="fr-FR"/>
    </w:rPr>
  </w:style>
  <w:style w:type="paragraph" w:customStyle="1" w:styleId="BoulletsR1">
    <w:name w:val="BoulletsR1"/>
    <w:basedOn w:val="BulletsR1"/>
    <w:link w:val="BoulletsR1Car"/>
    <w:qFormat/>
    <w:rsid w:val="0010720F"/>
    <w:pPr>
      <w:spacing w:line="300" w:lineRule="exact"/>
      <w:ind w:left="720" w:hanging="360"/>
    </w:pPr>
    <w:rPr>
      <w:rFonts w:eastAsia="Calibri" w:cs="Arial"/>
      <w:szCs w:val="22"/>
      <w:lang w:val="fr-CA"/>
    </w:rPr>
  </w:style>
  <w:style w:type="character" w:customStyle="1" w:styleId="BoulletsR1Car">
    <w:name w:val="BoulletsR1 Car"/>
    <w:link w:val="BoulletsR1"/>
    <w:rsid w:val="0010720F"/>
    <w:rPr>
      <w:rFonts w:ascii="Arial" w:eastAsia="Calibri" w:hAnsi="Arial" w:cs="Arial"/>
      <w:lang w:val="fr-CA" w:eastAsia="fr-FR"/>
    </w:rPr>
  </w:style>
  <w:style w:type="paragraph" w:customStyle="1" w:styleId="EDE4">
    <w:name w:val="EDE 4"/>
    <w:basedOn w:val="Titre2"/>
    <w:next w:val="Normal"/>
    <w:link w:val="EDE4Car"/>
    <w:qFormat/>
    <w:rsid w:val="0010720F"/>
    <w:pPr>
      <w:keepNext w:val="0"/>
      <w:keepLines/>
      <w:pBdr>
        <w:bottom w:val="none" w:sz="0" w:space="0" w:color="auto"/>
      </w:pBdr>
      <w:spacing w:before="40" w:after="160" w:line="300" w:lineRule="exact"/>
      <w:ind w:left="864" w:hanging="864"/>
      <w:jc w:val="both"/>
    </w:pPr>
    <w:rPr>
      <w:rFonts w:ascii="Arial" w:hAnsi="Arial"/>
      <w:bCs w:val="0"/>
      <w:i/>
      <w:iCs/>
      <w:color w:val="auto"/>
      <w:sz w:val="22"/>
      <w:szCs w:val="22"/>
    </w:rPr>
  </w:style>
  <w:style w:type="character" w:customStyle="1" w:styleId="EDE4Car">
    <w:name w:val="EDE 4 Car"/>
    <w:link w:val="EDE4"/>
    <w:rsid w:val="0010720F"/>
    <w:rPr>
      <w:rFonts w:ascii="Arial" w:eastAsia="Times New Roman" w:hAnsi="Arial" w:cs="Times New Roman"/>
      <w:b/>
      <w:i/>
      <w:iCs/>
      <w:lang w:eastAsia="fr-FR"/>
    </w:rPr>
  </w:style>
  <w:style w:type="table" w:customStyle="1" w:styleId="TableauGrille412">
    <w:name w:val="Tableau Grille 412"/>
    <w:basedOn w:val="TableauNormal"/>
    <w:uiPriority w:val="49"/>
    <w:rsid w:val="0010720F"/>
    <w:pPr>
      <w:spacing w:after="0" w:line="300" w:lineRule="exact"/>
      <w:jc w:val="both"/>
    </w:pPr>
    <w:rPr>
      <w:rFonts w:ascii="Times New Roman" w:eastAsia="Times New Roman" w:hAnsi="Times New Roman" w:cs="Times New Roman"/>
      <w:sz w:val="20"/>
      <w:szCs w:val="20"/>
      <w:lang w:eastAsia="fr-F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Liste310">
    <w:name w:val="Tableau Liste 310"/>
    <w:basedOn w:val="TableauNormal"/>
    <w:next w:val="TableauListe31"/>
    <w:uiPriority w:val="48"/>
    <w:rsid w:val="0010720F"/>
    <w:pPr>
      <w:spacing w:after="0" w:line="240" w:lineRule="auto"/>
      <w:jc w:val="both"/>
    </w:pPr>
    <w:rPr>
      <w:rFonts w:ascii="Calibri" w:eastAsia="Calibri" w:hAnsi="Calibri" w:cs="Times New Roman"/>
      <w:sz w:val="20"/>
      <w:szCs w:val="20"/>
      <w:lang w:eastAsia="fr-FR"/>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Grille41">
    <w:name w:val="Tableau Grille 41"/>
    <w:basedOn w:val="TableauNormal"/>
    <w:uiPriority w:val="49"/>
    <w:rsid w:val="0010720F"/>
    <w:pPr>
      <w:spacing w:after="0" w:line="300" w:lineRule="exact"/>
      <w:jc w:val="both"/>
    </w:pPr>
    <w:rPr>
      <w:rFonts w:ascii="Times New Roman" w:eastAsia="Times New Roman" w:hAnsi="Times New Roman" w:cs="Times New Roman"/>
      <w:sz w:val="20"/>
      <w:szCs w:val="20"/>
      <w:lang w:eastAsia="fr-F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Liste34">
    <w:name w:val="Tableau Liste 34"/>
    <w:basedOn w:val="TableauNormal"/>
    <w:next w:val="TableauListe31"/>
    <w:uiPriority w:val="48"/>
    <w:rsid w:val="0010720F"/>
    <w:pPr>
      <w:spacing w:after="0" w:line="300" w:lineRule="exact"/>
      <w:jc w:val="both"/>
    </w:pPr>
    <w:rPr>
      <w:rFonts w:ascii="Times New Roman" w:eastAsia="Times New Roman" w:hAnsi="Times New Roman" w:cs="Times New Roman"/>
      <w:sz w:val="20"/>
      <w:szCs w:val="20"/>
      <w:lang w:eastAsia="fr-FR"/>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Liste316">
    <w:name w:val="Tableau Liste 316"/>
    <w:basedOn w:val="TableauNormal"/>
    <w:next w:val="TableauNormal"/>
    <w:uiPriority w:val="48"/>
    <w:rsid w:val="0010720F"/>
    <w:pPr>
      <w:spacing w:after="0" w:line="240" w:lineRule="auto"/>
    </w:pPr>
    <w:rPr>
      <w:rFonts w:ascii="Calibri" w:eastAsia="Calibri" w:hAnsi="Calibri" w:cs="Times New Roman"/>
      <w:sz w:val="20"/>
      <w:szCs w:val="20"/>
      <w:lang w:eastAsia="fr-FR"/>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customStyle="1" w:styleId="Texte0">
    <w:name w:val="Texte"/>
    <w:link w:val="TexteCar"/>
    <w:rsid w:val="0010720F"/>
    <w:pPr>
      <w:widowControl w:val="0"/>
      <w:spacing w:after="0" w:line="300" w:lineRule="exact"/>
      <w:ind w:left="360"/>
      <w:jc w:val="both"/>
    </w:pPr>
    <w:rPr>
      <w:rFonts w:ascii="Times New Roman" w:eastAsia="Times New Roman" w:hAnsi="Times New Roman" w:cs="Times New Roman"/>
      <w:sz w:val="24"/>
      <w:szCs w:val="20"/>
      <w:lang w:val="fr-BE" w:eastAsia="fr-FR"/>
    </w:rPr>
  </w:style>
  <w:style w:type="character" w:customStyle="1" w:styleId="TexteCar">
    <w:name w:val="Texte Car"/>
    <w:link w:val="Texte0"/>
    <w:rsid w:val="0010720F"/>
    <w:rPr>
      <w:rFonts w:ascii="Times New Roman" w:eastAsia="Times New Roman" w:hAnsi="Times New Roman" w:cs="Times New Roman"/>
      <w:sz w:val="24"/>
      <w:szCs w:val="20"/>
      <w:lang w:val="fr-BE" w:eastAsia="fr-FR"/>
    </w:rPr>
  </w:style>
  <w:style w:type="table" w:customStyle="1" w:styleId="TableauListe37">
    <w:name w:val="Tableau Liste 37"/>
    <w:basedOn w:val="TableauNormal"/>
    <w:next w:val="TableauListe31"/>
    <w:uiPriority w:val="48"/>
    <w:rsid w:val="0010720F"/>
    <w:pPr>
      <w:spacing w:after="0" w:line="240" w:lineRule="auto"/>
    </w:pPr>
    <w:rPr>
      <w:rFonts w:ascii="Times New Roman" w:eastAsia="Times New Roman" w:hAnsi="Times New Roman" w:cs="Times New Roman"/>
      <w:sz w:val="20"/>
      <w:szCs w:val="20"/>
      <w:lang w:eastAsia="fr-FR"/>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SGSTableBasic1292">
    <w:name w:val="SGS Table Basic 1292"/>
    <w:basedOn w:val="TableauNormal"/>
    <w:next w:val="Grilledutableau"/>
    <w:uiPriority w:val="39"/>
    <w:rsid w:val="0010720F"/>
    <w:pPr>
      <w:spacing w:after="0" w:line="240" w:lineRule="auto"/>
    </w:pPr>
    <w:rPr>
      <w:rFonts w:ascii="Calibri" w:eastAsia="Times New Roman"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GSTableBasic1294">
    <w:name w:val="SGS Table Basic 1294"/>
    <w:basedOn w:val="TableauNormal"/>
    <w:next w:val="Grilledutableau"/>
    <w:uiPriority w:val="39"/>
    <w:rsid w:val="0010720F"/>
    <w:pPr>
      <w:spacing w:after="0" w:line="240" w:lineRule="auto"/>
    </w:pPr>
    <w:rPr>
      <w:rFonts w:ascii="Calibri" w:eastAsia="Times New Roman"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GSTableBasic164">
    <w:name w:val="SGS Table Basic 164"/>
    <w:basedOn w:val="TableauNormal"/>
    <w:next w:val="Grilledutableau"/>
    <w:uiPriority w:val="59"/>
    <w:rsid w:val="0010720F"/>
    <w:pPr>
      <w:spacing w:after="0" w:line="240" w:lineRule="auto"/>
    </w:pPr>
    <w:rPr>
      <w:rFonts w:ascii="Calibri" w:eastAsia="Calibri" w:hAnsi="Calibri" w:cs="Times New Roman"/>
      <w:sz w:val="24"/>
      <w:szCs w:val="24"/>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GSTableBasic133">
    <w:name w:val="SGS Table Basic 133"/>
    <w:basedOn w:val="TableauNormal"/>
    <w:next w:val="Grilledutableau"/>
    <w:uiPriority w:val="39"/>
    <w:rsid w:val="0010720F"/>
    <w:pPr>
      <w:spacing w:after="0" w:line="240" w:lineRule="auto"/>
    </w:pPr>
    <w:rPr>
      <w:rFonts w:ascii="Calibri" w:eastAsia="Times New Roman"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4-Accentuation12">
    <w:name w:val="Tableau Grille 4 - Accentuation 12"/>
    <w:basedOn w:val="TableauNormal"/>
    <w:uiPriority w:val="49"/>
    <w:rsid w:val="0010720F"/>
    <w:pPr>
      <w:spacing w:after="0" w:line="240" w:lineRule="auto"/>
    </w:pPr>
    <w:rPr>
      <w:rFonts w:ascii="Calibri" w:eastAsia="Calibri" w:hAnsi="Calibri" w:cs="Times New Roman"/>
      <w:sz w:val="20"/>
      <w:szCs w:val="20"/>
      <w:lang w:eastAsia="fr-F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Tramemoyenne2-Accent31">
    <w:name w:val="Trame moyenne 2 - Accent 31"/>
    <w:basedOn w:val="Normal"/>
    <w:next w:val="Normal"/>
    <w:link w:val="Tramemoyenne2-Accent3Car"/>
    <w:uiPriority w:val="30"/>
    <w:qFormat/>
    <w:rsid w:val="0010720F"/>
    <w:pPr>
      <w:pBdr>
        <w:top w:val="single" w:sz="4" w:space="10" w:color="4F81BD"/>
        <w:bottom w:val="single" w:sz="4" w:space="10" w:color="4F81BD"/>
      </w:pBdr>
      <w:spacing w:before="360" w:after="360" w:line="240" w:lineRule="auto"/>
      <w:ind w:left="864" w:right="864"/>
      <w:jc w:val="center"/>
    </w:pPr>
    <w:rPr>
      <w:i/>
      <w:iCs/>
      <w:color w:val="4F81BD"/>
      <w:sz w:val="24"/>
      <w:szCs w:val="24"/>
    </w:rPr>
  </w:style>
  <w:style w:type="character" w:customStyle="1" w:styleId="Tramemoyenne2-Accent3Car">
    <w:name w:val="Trame moyenne 2 - Accent 3 Car"/>
    <w:link w:val="Tramemoyenne2-Accent31"/>
    <w:uiPriority w:val="30"/>
    <w:rsid w:val="0010720F"/>
    <w:rPr>
      <w:rFonts w:ascii="Calibri" w:eastAsia="Calibri" w:hAnsi="Calibri" w:cs="Times New Roman"/>
      <w:i/>
      <w:iCs/>
      <w:color w:val="4F81BD"/>
      <w:sz w:val="24"/>
      <w:szCs w:val="24"/>
    </w:rPr>
  </w:style>
  <w:style w:type="paragraph" w:customStyle="1" w:styleId="NumroR1">
    <w:name w:val="NuméroR1"/>
    <w:basedOn w:val="Normal"/>
    <w:uiPriority w:val="99"/>
    <w:rsid w:val="0010720F"/>
    <w:pPr>
      <w:widowControl w:val="0"/>
      <w:numPr>
        <w:numId w:val="146"/>
      </w:numPr>
      <w:tabs>
        <w:tab w:val="clear" w:pos="824"/>
        <w:tab w:val="num" w:pos="3696"/>
      </w:tabs>
      <w:spacing w:after="0" w:line="300" w:lineRule="exact"/>
      <w:ind w:left="3696"/>
      <w:jc w:val="both"/>
    </w:pPr>
    <w:rPr>
      <w:rFonts w:ascii="Times New Roman" w:eastAsia="Times New Roman" w:hAnsi="Times New Roman"/>
      <w:sz w:val="24"/>
      <w:szCs w:val="20"/>
      <w:lang w:val="fr-BE" w:eastAsia="fr-FR"/>
    </w:rPr>
  </w:style>
  <w:style w:type="character" w:customStyle="1" w:styleId="BulletsR1Car">
    <w:name w:val="BulletsR1 Car"/>
    <w:link w:val="BulletsR1"/>
    <w:rsid w:val="0010720F"/>
    <w:rPr>
      <w:rFonts w:ascii="Arial" w:eastAsia="Times New Roman" w:hAnsi="Arial" w:cs="Times New Roman"/>
      <w:szCs w:val="20"/>
      <w:lang w:val="fr-BE" w:eastAsia="fr-FR"/>
    </w:rPr>
  </w:style>
  <w:style w:type="paragraph" w:customStyle="1" w:styleId="StyleCorpsdetexte">
    <w:name w:val="Style Corps de texte"/>
    <w:basedOn w:val="Normal"/>
    <w:rsid w:val="0010720F"/>
    <w:pPr>
      <w:numPr>
        <w:numId w:val="147"/>
      </w:numPr>
      <w:spacing w:before="120" w:after="120" w:line="240" w:lineRule="auto"/>
      <w:jc w:val="both"/>
    </w:pPr>
    <w:rPr>
      <w:rFonts w:ascii="Arial" w:eastAsia="Times New Roman" w:hAnsi="Arial"/>
      <w:sz w:val="20"/>
      <w:szCs w:val="24"/>
      <w:lang w:eastAsia="fr-FR"/>
    </w:rPr>
  </w:style>
  <w:style w:type="paragraph" w:customStyle="1" w:styleId="TexteR1">
    <w:name w:val="TexteR1"/>
    <w:basedOn w:val="Lgende"/>
    <w:rsid w:val="0010720F"/>
    <w:pPr>
      <w:widowControl w:val="0"/>
      <w:spacing w:before="80" w:after="0" w:line="300" w:lineRule="exact"/>
      <w:ind w:left="1080"/>
      <w:jc w:val="both"/>
    </w:pPr>
    <w:rPr>
      <w:i w:val="0"/>
      <w:iCs w:val="0"/>
      <w:color w:val="auto"/>
      <w:sz w:val="24"/>
      <w:szCs w:val="20"/>
      <w:lang w:val="fr-BE"/>
    </w:rPr>
  </w:style>
  <w:style w:type="paragraph" w:customStyle="1" w:styleId="StyleListe-">
    <w:name w:val="Style Liste-"/>
    <w:basedOn w:val="Normal"/>
    <w:link w:val="StyleListe-Car"/>
    <w:qFormat/>
    <w:rsid w:val="0010720F"/>
    <w:pPr>
      <w:numPr>
        <w:numId w:val="148"/>
      </w:numPr>
      <w:tabs>
        <w:tab w:val="left" w:pos="284"/>
      </w:tabs>
      <w:spacing w:before="120" w:after="80" w:line="276" w:lineRule="auto"/>
      <w:contextualSpacing/>
      <w:jc w:val="both"/>
    </w:pPr>
    <w:rPr>
      <w:rFonts w:ascii="Arial" w:hAnsi="Arial"/>
      <w:spacing w:val="-3"/>
      <w:sz w:val="20"/>
      <w:szCs w:val="20"/>
      <w:lang w:val="fr-BE"/>
    </w:rPr>
  </w:style>
  <w:style w:type="paragraph" w:customStyle="1" w:styleId="TitreLocal">
    <w:name w:val="TitreLocal"/>
    <w:basedOn w:val="Normal"/>
    <w:next w:val="Texte0"/>
    <w:rsid w:val="0010720F"/>
    <w:pPr>
      <w:keepNext/>
      <w:spacing w:before="360" w:after="120" w:line="300" w:lineRule="exact"/>
      <w:jc w:val="both"/>
    </w:pPr>
    <w:rPr>
      <w:rFonts w:ascii="Arial" w:eastAsia="Times New Roman" w:hAnsi="Arial"/>
      <w:szCs w:val="24"/>
      <w:u w:val="single"/>
      <w:lang w:val="fr-CA" w:eastAsia="fr-FR"/>
    </w:rPr>
  </w:style>
  <w:style w:type="table" w:customStyle="1" w:styleId="TableauGrille2-Accentuation51">
    <w:name w:val="Tableau Grille 2 - Accentuation 51"/>
    <w:basedOn w:val="TableauNormal"/>
    <w:uiPriority w:val="47"/>
    <w:rsid w:val="0010720F"/>
    <w:pPr>
      <w:spacing w:after="0" w:line="240" w:lineRule="auto"/>
    </w:pPr>
    <w:rPr>
      <w:rFonts w:ascii="Calibri" w:eastAsia="Calibri" w:hAnsi="Calibri" w:cs="Times New Roman"/>
      <w:sz w:val="24"/>
      <w:szCs w:val="24"/>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
    <w:name w:val="No List1"/>
    <w:next w:val="Aucuneliste"/>
    <w:uiPriority w:val="99"/>
    <w:semiHidden/>
    <w:unhideWhenUsed/>
    <w:rsid w:val="0010720F"/>
  </w:style>
  <w:style w:type="table" w:customStyle="1" w:styleId="ListTable31">
    <w:name w:val="List Table 31"/>
    <w:basedOn w:val="TableauNormal"/>
    <w:uiPriority w:val="48"/>
    <w:rsid w:val="0010720F"/>
    <w:pPr>
      <w:spacing w:after="0" w:line="240" w:lineRule="auto"/>
    </w:pPr>
    <w:rPr>
      <w:rFonts w:ascii="Times New Roman" w:eastAsia="Times New Roman" w:hAnsi="Times New Roman" w:cs="Times New Roman"/>
      <w:sz w:val="20"/>
      <w:szCs w:val="20"/>
      <w:lang w:eastAsia="fr-FR"/>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Liste371">
    <w:name w:val="Tableau Liste 371"/>
    <w:basedOn w:val="TableauNormal"/>
    <w:next w:val="TableauListe31"/>
    <w:uiPriority w:val="48"/>
    <w:rsid w:val="0010720F"/>
    <w:pPr>
      <w:spacing w:after="0" w:line="240" w:lineRule="auto"/>
    </w:pPr>
    <w:rPr>
      <w:rFonts w:ascii="Times New Roman" w:eastAsia="Times New Roman" w:hAnsi="Times New Roman" w:cs="Times New Roman"/>
      <w:sz w:val="20"/>
      <w:szCs w:val="20"/>
      <w:lang w:eastAsia="fr-FR"/>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Grid10">
    <w:name w:val="Table Grid1"/>
    <w:basedOn w:val="TableauNormal"/>
    <w:next w:val="Grilledutableau"/>
    <w:uiPriority w:val="39"/>
    <w:rsid w:val="0010720F"/>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leEmphasis1">
    <w:name w:val="Subtle Emphasis1"/>
    <w:uiPriority w:val="19"/>
    <w:qFormat/>
    <w:rsid w:val="0010720F"/>
    <w:rPr>
      <w:i/>
      <w:iCs/>
      <w:color w:val="404040"/>
    </w:rPr>
  </w:style>
  <w:style w:type="paragraph" w:customStyle="1" w:styleId="FigTexte">
    <w:name w:val="FigTexte"/>
    <w:basedOn w:val="Normal"/>
    <w:next w:val="Normal"/>
    <w:link w:val="FigTexteCar"/>
    <w:rsid w:val="0010720F"/>
    <w:pPr>
      <w:widowControl w:val="0"/>
      <w:spacing w:before="160" w:after="240" w:line="240" w:lineRule="auto"/>
      <w:jc w:val="center"/>
    </w:pPr>
    <w:rPr>
      <w:rFonts w:ascii="Times New Roman" w:eastAsia="Times New Roman" w:hAnsi="Times New Roman"/>
      <w:i/>
      <w:iCs/>
      <w:sz w:val="24"/>
      <w:szCs w:val="24"/>
      <w:lang w:val="fr-BE" w:eastAsia="fr-FR"/>
    </w:rPr>
  </w:style>
  <w:style w:type="character" w:customStyle="1" w:styleId="FigTexteCar">
    <w:name w:val="FigTexte Car"/>
    <w:link w:val="FigTexte"/>
    <w:rsid w:val="0010720F"/>
    <w:rPr>
      <w:rFonts w:ascii="Times New Roman" w:eastAsia="Times New Roman" w:hAnsi="Times New Roman" w:cs="Times New Roman"/>
      <w:i/>
      <w:iCs/>
      <w:sz w:val="24"/>
      <w:szCs w:val="24"/>
      <w:lang w:val="fr-BE" w:eastAsia="fr-FR"/>
    </w:rPr>
  </w:style>
  <w:style w:type="table" w:customStyle="1" w:styleId="SGSTableBasic170">
    <w:name w:val="SGS Table Basic 170"/>
    <w:basedOn w:val="TableauNormal"/>
    <w:next w:val="Grilledutableau"/>
    <w:uiPriority w:val="59"/>
    <w:rsid w:val="0010720F"/>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DE2">
    <w:name w:val="EDE 2"/>
    <w:basedOn w:val="Titre2"/>
    <w:next w:val="Normal"/>
    <w:uiPriority w:val="99"/>
    <w:qFormat/>
    <w:rsid w:val="0010720F"/>
    <w:pPr>
      <w:keepNext w:val="0"/>
      <w:keepLines/>
      <w:pBdr>
        <w:bottom w:val="none" w:sz="0" w:space="0" w:color="auto"/>
      </w:pBdr>
      <w:spacing w:after="160" w:line="300" w:lineRule="exact"/>
      <w:ind w:left="864" w:hanging="864"/>
      <w:jc w:val="both"/>
    </w:pPr>
    <w:rPr>
      <w:rFonts w:ascii="Arial" w:hAnsi="Arial" w:cs="Arial"/>
      <w:iCs/>
      <w:color w:val="auto"/>
      <w:sz w:val="22"/>
      <w:szCs w:val="28"/>
      <w:lang w:val="fr-CA"/>
    </w:rPr>
  </w:style>
  <w:style w:type="paragraph" w:customStyle="1" w:styleId="BulletsR2">
    <w:name w:val="BulletsR2"/>
    <w:basedOn w:val="Texte0"/>
    <w:autoRedefine/>
    <w:rsid w:val="0010720F"/>
    <w:pPr>
      <w:numPr>
        <w:numId w:val="149"/>
      </w:numPr>
      <w:spacing w:before="80" w:line="240" w:lineRule="auto"/>
    </w:pPr>
    <w:rPr>
      <w:rFonts w:ascii="Arial" w:hAnsi="Arial"/>
      <w:sz w:val="22"/>
    </w:rPr>
  </w:style>
  <w:style w:type="paragraph" w:customStyle="1" w:styleId="BoulletsR2">
    <w:name w:val="BoulletsR2"/>
    <w:basedOn w:val="BulletsR2"/>
    <w:link w:val="BoulletsR2Car"/>
    <w:autoRedefine/>
    <w:qFormat/>
    <w:rsid w:val="0010720F"/>
    <w:pPr>
      <w:spacing w:before="0" w:line="300" w:lineRule="exact"/>
    </w:pPr>
    <w:rPr>
      <w:rFonts w:cs="Arial"/>
      <w:szCs w:val="22"/>
      <w:lang w:val="fr-CA"/>
    </w:rPr>
  </w:style>
  <w:style w:type="character" w:customStyle="1" w:styleId="BoulletsR2Car">
    <w:name w:val="BoulletsR2 Car"/>
    <w:link w:val="BoulletsR2"/>
    <w:rsid w:val="0010720F"/>
    <w:rPr>
      <w:rFonts w:ascii="Arial" w:eastAsia="Times New Roman" w:hAnsi="Arial" w:cs="Arial"/>
      <w:lang w:val="fr-CA" w:eastAsia="fr-FR"/>
    </w:rPr>
  </w:style>
  <w:style w:type="table" w:customStyle="1" w:styleId="TableNormal4">
    <w:name w:val="Table Normal4"/>
    <w:uiPriority w:val="2"/>
    <w:semiHidden/>
    <w:unhideWhenUsed/>
    <w:qFormat/>
    <w:rsid w:val="0010720F"/>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styleId="TableauListe1Clair-Accentuation1">
    <w:name w:val="List Table 1 Light Accent 1"/>
    <w:basedOn w:val="TableauNormal"/>
    <w:uiPriority w:val="49"/>
    <w:rsid w:val="0010720F"/>
    <w:pPr>
      <w:spacing w:after="0" w:line="240" w:lineRule="auto"/>
    </w:pPr>
    <w:rPr>
      <w:rFonts w:ascii="Calibri" w:eastAsia="Calibri" w:hAnsi="Calibri" w:cs="Times New Roman"/>
      <w:sz w:val="24"/>
      <w:szCs w:val="24"/>
      <w:lang w:eastAsia="fr-F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TableauListe2-Accentuation1">
    <w:name w:val="List Table 2 Accent 1"/>
    <w:basedOn w:val="TableauNormal"/>
    <w:uiPriority w:val="50"/>
    <w:rsid w:val="0010720F"/>
    <w:pPr>
      <w:spacing w:after="0" w:line="240" w:lineRule="auto"/>
    </w:pPr>
    <w:rPr>
      <w:rFonts w:ascii="Calibri" w:eastAsia="Calibri" w:hAnsi="Calibri" w:cs="Times New Roman"/>
      <w:sz w:val="24"/>
      <w:szCs w:val="24"/>
      <w:lang w:eastAsia="fr-F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styleId="TableauGrille6Couleur-Accentuation3">
    <w:name w:val="Grid Table 6 Colorful Accent 3"/>
    <w:basedOn w:val="TableauNormal"/>
    <w:uiPriority w:val="47"/>
    <w:rsid w:val="0010720F"/>
    <w:pPr>
      <w:spacing w:after="0" w:line="240" w:lineRule="auto"/>
    </w:pPr>
    <w:rPr>
      <w:rFonts w:ascii="Calibri" w:eastAsia="Calibri" w:hAnsi="Calibri" w:cs="Times New Roman"/>
      <w:sz w:val="20"/>
      <w:szCs w:val="20"/>
      <w:lang w:eastAsia="fr-FR"/>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eauListe7Couleur-Accentuation2">
    <w:name w:val="List Table 7 Colorful Accent 2"/>
    <w:basedOn w:val="TableauNormal"/>
    <w:uiPriority w:val="48"/>
    <w:rsid w:val="0010720F"/>
    <w:pPr>
      <w:spacing w:after="0" w:line="240" w:lineRule="auto"/>
    </w:pPr>
    <w:rPr>
      <w:rFonts w:ascii="Calibri" w:eastAsia="Calibri" w:hAnsi="Calibri" w:cs="Times New Roman"/>
      <w:sz w:val="20"/>
      <w:szCs w:val="20"/>
      <w:lang w:eastAsia="fr-FR"/>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TableauGrille1Clair-Accentuation4">
    <w:name w:val="Grid Table 1 Light Accent 4"/>
    <w:basedOn w:val="TableauNormal"/>
    <w:uiPriority w:val="49"/>
    <w:rsid w:val="0010720F"/>
    <w:pPr>
      <w:spacing w:after="0" w:line="240" w:lineRule="auto"/>
    </w:pPr>
    <w:rPr>
      <w:rFonts w:ascii="Calibri" w:eastAsia="Calibri" w:hAnsi="Calibri" w:cs="Times New Roman"/>
      <w:sz w:val="20"/>
      <w:szCs w:val="20"/>
      <w:lang w:eastAsia="fr-F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Entteetpieddepage">
    <w:name w:val="Entête et pied de page"/>
    <w:basedOn w:val="En-tte"/>
    <w:next w:val="Normal"/>
    <w:link w:val="EntteetpieddepageCar"/>
    <w:autoRedefine/>
    <w:qFormat/>
    <w:rsid w:val="0010720F"/>
    <w:pPr>
      <w:pBdr>
        <w:bottom w:val="single" w:sz="4" w:space="1" w:color="auto"/>
      </w:pBdr>
      <w:tabs>
        <w:tab w:val="clear" w:pos="4536"/>
        <w:tab w:val="clear" w:pos="9072"/>
        <w:tab w:val="right" w:pos="9639"/>
        <w:tab w:val="right" w:pos="14580"/>
      </w:tabs>
      <w:spacing w:after="0" w:line="240" w:lineRule="auto"/>
    </w:pPr>
    <w:rPr>
      <w:rFonts w:ascii="Arial" w:eastAsia="Times New Roman" w:hAnsi="Arial" w:cs="Arial"/>
      <w:snapToGrid w:val="0"/>
      <w:sz w:val="16"/>
      <w:szCs w:val="16"/>
      <w:lang w:val="fr-CA"/>
    </w:rPr>
  </w:style>
  <w:style w:type="character" w:customStyle="1" w:styleId="EntteetpieddepageCar">
    <w:name w:val="Entête et pied de page Car"/>
    <w:link w:val="Entteetpieddepage"/>
    <w:rsid w:val="0010720F"/>
    <w:rPr>
      <w:rFonts w:ascii="Arial" w:eastAsia="Times New Roman" w:hAnsi="Arial" w:cs="Arial"/>
      <w:snapToGrid w:val="0"/>
      <w:sz w:val="16"/>
      <w:szCs w:val="16"/>
      <w:lang w:val="fr-CA"/>
    </w:rPr>
  </w:style>
  <w:style w:type="paragraph" w:customStyle="1" w:styleId="lgendeFigure">
    <w:name w:val="légende Figure"/>
    <w:basedOn w:val="Normal"/>
    <w:link w:val="lgendeFigureCar"/>
    <w:qFormat/>
    <w:rsid w:val="0010720F"/>
    <w:pPr>
      <w:spacing w:before="120" w:after="120" w:line="240" w:lineRule="auto"/>
      <w:ind w:right="-425"/>
      <w:jc w:val="center"/>
    </w:pPr>
    <w:rPr>
      <w:rFonts w:ascii="Arial" w:eastAsia="Times New Roman" w:hAnsi="Arial" w:cs="Arial"/>
      <w:b/>
      <w:color w:val="0E05BB"/>
      <w:sz w:val="18"/>
      <w:szCs w:val="18"/>
    </w:rPr>
  </w:style>
  <w:style w:type="character" w:customStyle="1" w:styleId="lgendeFigureCar">
    <w:name w:val="légende Figure Car"/>
    <w:link w:val="lgendeFigure"/>
    <w:rsid w:val="0010720F"/>
    <w:rPr>
      <w:rFonts w:ascii="Arial" w:eastAsia="Times New Roman" w:hAnsi="Arial" w:cs="Arial"/>
      <w:b/>
      <w:color w:val="0E05BB"/>
      <w:sz w:val="18"/>
      <w:szCs w:val="18"/>
    </w:rPr>
  </w:style>
  <w:style w:type="character" w:customStyle="1" w:styleId="Tramemoyenne1-Accent1Car1">
    <w:name w:val="Trame moyenne 1 - Accent 1 Car1"/>
    <w:uiPriority w:val="1"/>
    <w:rsid w:val="0010720F"/>
    <w:rPr>
      <w:rFonts w:ascii="Calibri" w:eastAsia="Times New Roman" w:hAnsi="Calibri" w:cs="Times New Roman"/>
      <w:lang w:eastAsia="fr-FR"/>
    </w:rPr>
  </w:style>
  <w:style w:type="table" w:styleId="TableauListe5Fonc-Accentuation1">
    <w:name w:val="List Table 5 Dark Accent 1"/>
    <w:basedOn w:val="TableauNormal"/>
    <w:uiPriority w:val="48"/>
    <w:rsid w:val="0010720F"/>
    <w:pPr>
      <w:spacing w:after="0" w:line="240" w:lineRule="auto"/>
    </w:pPr>
    <w:rPr>
      <w:rFonts w:ascii="Calibri" w:eastAsia="Calibri" w:hAnsi="Calibri" w:cs="Times New Roman"/>
      <w:sz w:val="20"/>
      <w:szCs w:val="20"/>
      <w:lang w:eastAsia="fr-FR"/>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Liste33">
    <w:name w:val="Tableau Liste 33"/>
    <w:basedOn w:val="TableauNormal"/>
    <w:next w:val="TableauListe5Fonc-Accentuation1"/>
    <w:uiPriority w:val="48"/>
    <w:rsid w:val="0010720F"/>
    <w:pPr>
      <w:spacing w:after="0" w:line="240" w:lineRule="auto"/>
    </w:pPr>
    <w:rPr>
      <w:rFonts w:ascii="Times New Roman" w:eastAsia="Times New Roman" w:hAnsi="Times New Roman" w:cs="Times New Roman"/>
      <w:sz w:val="20"/>
      <w:szCs w:val="20"/>
      <w:lang w:eastAsia="fr-FR"/>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Liste35">
    <w:name w:val="Tableau Liste 35"/>
    <w:basedOn w:val="TableauNormal"/>
    <w:next w:val="TableauListe5Fonc-Accentuation1"/>
    <w:uiPriority w:val="48"/>
    <w:rsid w:val="0010720F"/>
    <w:pPr>
      <w:spacing w:after="0" w:line="240" w:lineRule="auto"/>
    </w:pPr>
    <w:rPr>
      <w:rFonts w:ascii="Times New Roman" w:eastAsia="Times New Roman" w:hAnsi="Times New Roman" w:cs="Times New Roman"/>
      <w:sz w:val="20"/>
      <w:szCs w:val="20"/>
      <w:lang w:eastAsia="fr-FR"/>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Liste36">
    <w:name w:val="Tableau Liste 36"/>
    <w:basedOn w:val="TableauNormal"/>
    <w:next w:val="TableauListe5Fonc-Accentuation1"/>
    <w:uiPriority w:val="48"/>
    <w:rsid w:val="0010720F"/>
    <w:pPr>
      <w:spacing w:after="0" w:line="240" w:lineRule="auto"/>
    </w:pPr>
    <w:rPr>
      <w:rFonts w:ascii="Times New Roman" w:eastAsia="Times New Roman" w:hAnsi="Times New Roman" w:cs="Times New Roman"/>
      <w:sz w:val="20"/>
      <w:szCs w:val="20"/>
      <w:lang w:eastAsia="fr-FR"/>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customStyle="1" w:styleId="LgendeTab">
    <w:name w:val="LégendeTab"/>
    <w:basedOn w:val="Normal"/>
    <w:link w:val="FigTextCar"/>
    <w:qFormat/>
    <w:rsid w:val="0010720F"/>
    <w:pPr>
      <w:spacing w:after="0" w:line="300" w:lineRule="exact"/>
      <w:jc w:val="both"/>
    </w:pPr>
    <w:rPr>
      <w:rFonts w:ascii="Arial" w:eastAsia="Times New Roman" w:hAnsi="Arial"/>
      <w:b/>
      <w:szCs w:val="24"/>
      <w:lang w:val="fr-CA"/>
    </w:rPr>
  </w:style>
  <w:style w:type="character" w:customStyle="1" w:styleId="FigTextCar">
    <w:name w:val="FigText Car"/>
    <w:link w:val="LgendeTab"/>
    <w:rsid w:val="0010720F"/>
    <w:rPr>
      <w:rFonts w:ascii="Arial" w:eastAsia="Times New Roman" w:hAnsi="Arial" w:cs="Times New Roman"/>
      <w:b/>
      <w:szCs w:val="24"/>
      <w:lang w:val="fr-CA"/>
    </w:rPr>
  </w:style>
  <w:style w:type="paragraph" w:customStyle="1" w:styleId="Titre0">
    <w:name w:val="Titre 0"/>
    <w:basedOn w:val="Normal"/>
    <w:next w:val="Texte0"/>
    <w:link w:val="Titre0Car"/>
    <w:autoRedefine/>
    <w:qFormat/>
    <w:rsid w:val="0010720F"/>
    <w:pPr>
      <w:pageBreakBefore/>
      <w:pBdr>
        <w:bottom w:val="thickThinSmallGap" w:sz="24" w:space="1" w:color="7F7F7F"/>
      </w:pBdr>
      <w:shd w:val="clear" w:color="auto" w:fill="000000"/>
      <w:tabs>
        <w:tab w:val="left" w:pos="284"/>
        <w:tab w:val="left" w:pos="567"/>
        <w:tab w:val="left" w:pos="851"/>
      </w:tabs>
      <w:spacing w:before="240" w:after="240" w:line="300" w:lineRule="exact"/>
      <w:ind w:left="1080" w:hanging="720"/>
      <w:jc w:val="center"/>
      <w:outlineLvl w:val="0"/>
    </w:pPr>
    <w:rPr>
      <w:rFonts w:ascii="Times New Roman" w:eastAsia="Times New Roman" w:hAnsi="Times New Roman"/>
      <w:b/>
      <w:caps/>
      <w:sz w:val="28"/>
      <w:szCs w:val="28"/>
    </w:rPr>
  </w:style>
  <w:style w:type="character" w:customStyle="1" w:styleId="Titre0Car">
    <w:name w:val="Titre 0 Car"/>
    <w:link w:val="Titre0"/>
    <w:rsid w:val="0010720F"/>
    <w:rPr>
      <w:rFonts w:ascii="Times New Roman" w:eastAsia="Times New Roman" w:hAnsi="Times New Roman" w:cs="Times New Roman"/>
      <w:b/>
      <w:caps/>
      <w:sz w:val="28"/>
      <w:szCs w:val="28"/>
      <w:shd w:val="clear" w:color="auto" w:fill="000000"/>
    </w:rPr>
  </w:style>
  <w:style w:type="paragraph" w:customStyle="1" w:styleId="Lgendetableau">
    <w:name w:val="Légende tableau"/>
    <w:basedOn w:val="Lgende"/>
    <w:link w:val="LgendetableauCar"/>
    <w:autoRedefine/>
    <w:qFormat/>
    <w:rsid w:val="0010720F"/>
    <w:pPr>
      <w:spacing w:before="240" w:after="240" w:line="300" w:lineRule="exact"/>
      <w:jc w:val="both"/>
    </w:pPr>
    <w:rPr>
      <w:rFonts w:ascii="Arial" w:eastAsia="Calibri" w:hAnsi="Arial"/>
      <w:b/>
      <w:bCs/>
      <w:i w:val="0"/>
      <w:iCs w:val="0"/>
      <w:noProof/>
      <w:color w:val="auto"/>
      <w:sz w:val="22"/>
      <w:szCs w:val="22"/>
      <w:lang w:val="x-none" w:eastAsia="en-US"/>
    </w:rPr>
  </w:style>
  <w:style w:type="character" w:customStyle="1" w:styleId="LgendetableauCar">
    <w:name w:val="Légende tableau Car"/>
    <w:link w:val="Lgendetableau"/>
    <w:rsid w:val="0010720F"/>
    <w:rPr>
      <w:rFonts w:ascii="Arial" w:eastAsia="Calibri" w:hAnsi="Arial" w:cs="Times New Roman"/>
      <w:b/>
      <w:bCs/>
      <w:noProof/>
      <w:lang w:val="x-none"/>
    </w:rPr>
  </w:style>
  <w:style w:type="table" w:styleId="TableauListe3">
    <w:name w:val="List Table 3"/>
    <w:basedOn w:val="TableauNormal"/>
    <w:uiPriority w:val="48"/>
    <w:rsid w:val="0010720F"/>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customStyle="1" w:styleId="Grillemoyenne22">
    <w:name w:val="Grille moyenne 22"/>
    <w:link w:val="Grillemoyenne2Car"/>
    <w:uiPriority w:val="1"/>
    <w:qFormat/>
    <w:rsid w:val="0010720F"/>
    <w:pPr>
      <w:spacing w:after="0" w:line="240" w:lineRule="auto"/>
    </w:pPr>
    <w:rPr>
      <w:rFonts w:ascii="Calibri" w:eastAsia="Times New Roman" w:hAnsi="Calibri" w:cs="Times New Roman"/>
      <w:lang w:eastAsia="fr-FR"/>
    </w:rPr>
  </w:style>
  <w:style w:type="character" w:customStyle="1" w:styleId="Grillemoyenne2Car">
    <w:name w:val="Grille moyenne 2 Car"/>
    <w:link w:val="Grillemoyenne22"/>
    <w:uiPriority w:val="1"/>
    <w:rsid w:val="0010720F"/>
    <w:rPr>
      <w:rFonts w:ascii="Calibri" w:eastAsia="Times New Roman" w:hAnsi="Calibri" w:cs="Times New Roman"/>
      <w:lang w:eastAsia="fr-FR"/>
    </w:rPr>
  </w:style>
  <w:style w:type="table" w:customStyle="1" w:styleId="Grilledetableauclaire7">
    <w:name w:val="Grille de tableau claire7"/>
    <w:basedOn w:val="TableauNormal"/>
    <w:uiPriority w:val="40"/>
    <w:rsid w:val="0010720F"/>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lledetableauclaire2">
    <w:name w:val="Grille de tableau claire2"/>
    <w:basedOn w:val="TableauNormal"/>
    <w:next w:val="Grilledetableauclaire7"/>
    <w:uiPriority w:val="40"/>
    <w:rsid w:val="0010720F"/>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lledetableauclaire3">
    <w:name w:val="Grille de tableau claire3"/>
    <w:basedOn w:val="TableauNormal"/>
    <w:next w:val="Grilledetableauclaire7"/>
    <w:uiPriority w:val="40"/>
    <w:rsid w:val="0010720F"/>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lledetableauclaire4">
    <w:name w:val="Grille de tableau claire4"/>
    <w:basedOn w:val="TableauNormal"/>
    <w:next w:val="Grilledetableauclaire7"/>
    <w:uiPriority w:val="40"/>
    <w:rsid w:val="0010720F"/>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lledetableauclaire5">
    <w:name w:val="Grille de tableau claire5"/>
    <w:basedOn w:val="TableauNormal"/>
    <w:next w:val="Grilledetableauclaire7"/>
    <w:uiPriority w:val="40"/>
    <w:rsid w:val="0010720F"/>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auGrille4-Accentuation1">
    <w:name w:val="Grid Table 4 Accent 1"/>
    <w:basedOn w:val="TableauNormal"/>
    <w:uiPriority w:val="49"/>
    <w:rsid w:val="0010720F"/>
    <w:pPr>
      <w:spacing w:after="0" w:line="240" w:lineRule="auto"/>
    </w:pPr>
    <w:rPr>
      <w:rFonts w:ascii="Calibri" w:eastAsia="Calibri"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ableauGrille32">
    <w:name w:val="Tableau Grille 32"/>
    <w:basedOn w:val="Titre1"/>
    <w:next w:val="Normal"/>
    <w:uiPriority w:val="39"/>
    <w:unhideWhenUsed/>
    <w:qFormat/>
    <w:rsid w:val="0010720F"/>
    <w:pPr>
      <w:numPr>
        <w:numId w:val="0"/>
      </w:numPr>
      <w:spacing w:after="0" w:line="259" w:lineRule="auto"/>
      <w:ind w:right="0"/>
      <w:jc w:val="left"/>
      <w:outlineLvl w:val="9"/>
    </w:pPr>
    <w:rPr>
      <w:rFonts w:ascii="Calibri Light" w:hAnsi="Calibri Light"/>
      <w:b w:val="0"/>
      <w:bCs w:val="0"/>
      <w:caps w:val="0"/>
      <w:color w:val="2E74B5"/>
      <w:kern w:val="0"/>
      <w:sz w:val="32"/>
      <w:szCs w:val="32"/>
    </w:rPr>
  </w:style>
  <w:style w:type="paragraph" w:customStyle="1" w:styleId="bodytabletext">
    <w:name w:val="body table text"/>
    <w:basedOn w:val="Corpsdetexte"/>
    <w:link w:val="bodytabletextChar"/>
    <w:qFormat/>
    <w:rsid w:val="0010720F"/>
    <w:pPr>
      <w:framePr w:hSpace="141" w:wrap="around" w:vAnchor="text" w:hAnchor="margin" w:y="193"/>
      <w:pBdr>
        <w:top w:val="none" w:sz="0" w:space="0" w:color="auto"/>
        <w:left w:val="none" w:sz="0" w:space="0" w:color="auto"/>
        <w:bottom w:val="none" w:sz="0" w:space="0" w:color="auto"/>
        <w:right w:val="none" w:sz="0" w:space="0" w:color="auto"/>
      </w:pBdr>
      <w:shd w:val="clear" w:color="auto" w:fill="auto"/>
      <w:tabs>
        <w:tab w:val="clear" w:pos="4393"/>
      </w:tabs>
      <w:spacing w:line="271" w:lineRule="auto"/>
      <w:jc w:val="left"/>
    </w:pPr>
    <w:rPr>
      <w:rFonts w:ascii="Arial" w:hAnsi="Arial" w:cs="Arial"/>
      <w:b w:val="0"/>
      <w:color w:val="000000"/>
      <w:sz w:val="20"/>
      <w:szCs w:val="20"/>
      <w:lang w:eastAsia="en-GB"/>
    </w:rPr>
  </w:style>
  <w:style w:type="character" w:customStyle="1" w:styleId="bodytabletextChar">
    <w:name w:val="body table text Char"/>
    <w:link w:val="bodytabletext"/>
    <w:rsid w:val="0010720F"/>
    <w:rPr>
      <w:rFonts w:ascii="Arial" w:eastAsia="Times New Roman" w:hAnsi="Arial" w:cs="Arial"/>
      <w:color w:val="000000"/>
      <w:sz w:val="20"/>
      <w:szCs w:val="20"/>
      <w:lang w:eastAsia="en-GB"/>
    </w:rPr>
  </w:style>
  <w:style w:type="table" w:customStyle="1" w:styleId="RHDHVTableNormal">
    <w:name w:val="RHDHV Table Normal"/>
    <w:basedOn w:val="TableauNormal"/>
    <w:uiPriority w:val="99"/>
    <w:unhideWhenUsed/>
    <w:rsid w:val="0010720F"/>
    <w:pPr>
      <w:spacing w:after="0" w:line="271" w:lineRule="auto"/>
    </w:pPr>
    <w:rPr>
      <w:rFonts w:ascii="Calibri" w:eastAsia="Times New Roman" w:hAnsi="Calibri" w:cs="Times New Roman"/>
      <w:color w:val="000000"/>
      <w:sz w:val="24"/>
      <w:szCs w:val="24"/>
      <w:lang w:val="en-GB" w:eastAsia="en-GB"/>
    </w:rPr>
    <w:tblPr>
      <w:tblCellMar>
        <w:top w:w="57" w:type="dxa"/>
        <w:left w:w="0" w:type="dxa"/>
        <w:bottom w:w="57" w:type="dxa"/>
        <w:right w:w="0" w:type="dxa"/>
      </w:tblCellMar>
    </w:tblPr>
    <w:tcPr>
      <w:vAlign w:val="center"/>
    </w:tcPr>
  </w:style>
  <w:style w:type="character" w:customStyle="1" w:styleId="ff1">
    <w:name w:val="ff1"/>
    <w:rsid w:val="0010720F"/>
  </w:style>
  <w:style w:type="character" w:customStyle="1" w:styleId="lsc">
    <w:name w:val="lsc"/>
    <w:rsid w:val="0010720F"/>
  </w:style>
  <w:style w:type="character" w:customStyle="1" w:styleId="ls28">
    <w:name w:val="ls28"/>
    <w:rsid w:val="0010720F"/>
  </w:style>
  <w:style w:type="table" w:customStyle="1" w:styleId="TableauGrille21">
    <w:name w:val="Tableau Grille 21"/>
    <w:basedOn w:val="TableauNormal"/>
    <w:uiPriority w:val="47"/>
    <w:rsid w:val="0010720F"/>
    <w:pPr>
      <w:spacing w:after="0" w:line="240" w:lineRule="auto"/>
    </w:pPr>
    <w:rPr>
      <w:rFonts w:ascii="Calibri" w:eastAsia="Times New Roman" w:hAnsi="Calibri" w:cs="Times New Roman"/>
      <w:sz w:val="24"/>
      <w:szCs w:val="24"/>
      <w:lang w:eastAsia="fr-FR"/>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a13">
    <w:name w:val="a1"/>
    <w:basedOn w:val="Normal"/>
    <w:rsid w:val="0010720F"/>
    <w:pPr>
      <w:autoSpaceDE w:val="0"/>
      <w:autoSpaceDN w:val="0"/>
      <w:spacing w:after="0" w:line="240" w:lineRule="atLeast"/>
    </w:pPr>
    <w:rPr>
      <w:rFonts w:ascii="Courier New" w:eastAsia="Times New Roman" w:hAnsi="Courier New" w:cs="Courier New"/>
      <w:sz w:val="24"/>
      <w:szCs w:val="24"/>
    </w:rPr>
  </w:style>
  <w:style w:type="character" w:customStyle="1" w:styleId="Tableausimple32">
    <w:name w:val="Tableau simple 32"/>
    <w:uiPriority w:val="19"/>
    <w:qFormat/>
    <w:rsid w:val="0010720F"/>
    <w:rPr>
      <w:i/>
      <w:iCs/>
      <w:color w:val="808080"/>
    </w:rPr>
  </w:style>
  <w:style w:type="paragraph" w:customStyle="1" w:styleId="Grillecouleur-Accent12">
    <w:name w:val="Grille couleur - Accent 12"/>
    <w:basedOn w:val="Normal"/>
    <w:next w:val="Normal"/>
    <w:link w:val="Grillecouleur-Accent1Car1"/>
    <w:uiPriority w:val="29"/>
    <w:qFormat/>
    <w:rsid w:val="0010720F"/>
    <w:pPr>
      <w:spacing w:after="0" w:line="240" w:lineRule="auto"/>
    </w:pPr>
    <w:rPr>
      <w:rFonts w:eastAsia="Times New Roman"/>
      <w:i/>
      <w:iCs/>
      <w:color w:val="000000"/>
      <w:lang w:bidi="en-US"/>
    </w:rPr>
  </w:style>
  <w:style w:type="character" w:customStyle="1" w:styleId="Grillecouleur-Accent1Car1">
    <w:name w:val="Grille couleur - Accent 1 Car1"/>
    <w:link w:val="Grillecouleur-Accent12"/>
    <w:uiPriority w:val="29"/>
    <w:rsid w:val="0010720F"/>
    <w:rPr>
      <w:rFonts w:ascii="Calibri" w:eastAsia="Times New Roman" w:hAnsi="Calibri" w:cs="Times New Roman"/>
      <w:i/>
      <w:iCs/>
      <w:color w:val="000000"/>
      <w:lang w:val="en-US" w:bidi="en-US"/>
    </w:rPr>
  </w:style>
  <w:style w:type="paragraph" w:customStyle="1" w:styleId="Trameclaire-Accent22">
    <w:name w:val="Trame claire - Accent 22"/>
    <w:basedOn w:val="Normal"/>
    <w:next w:val="Normal"/>
    <w:link w:val="Trameclaire-Accent2Car1"/>
    <w:uiPriority w:val="30"/>
    <w:qFormat/>
    <w:rsid w:val="0010720F"/>
    <w:pPr>
      <w:pBdr>
        <w:bottom w:val="single" w:sz="4" w:space="4" w:color="4F81BD"/>
      </w:pBdr>
      <w:spacing w:before="200" w:after="280" w:line="240" w:lineRule="auto"/>
      <w:ind w:left="936" w:right="936"/>
    </w:pPr>
    <w:rPr>
      <w:rFonts w:eastAsia="Times New Roman"/>
      <w:b/>
      <w:bCs/>
      <w:i/>
      <w:iCs/>
      <w:color w:val="4F81BD"/>
      <w:lang w:bidi="en-US"/>
    </w:rPr>
  </w:style>
  <w:style w:type="character" w:customStyle="1" w:styleId="Trameclaire-Accent2Car1">
    <w:name w:val="Trame claire - Accent 2 Car1"/>
    <w:link w:val="Trameclaire-Accent22"/>
    <w:uiPriority w:val="30"/>
    <w:rsid w:val="0010720F"/>
    <w:rPr>
      <w:rFonts w:ascii="Calibri" w:eastAsia="Times New Roman" w:hAnsi="Calibri" w:cs="Times New Roman"/>
      <w:b/>
      <w:bCs/>
      <w:i/>
      <w:iCs/>
      <w:color w:val="4F81BD"/>
      <w:lang w:val="en-US" w:bidi="en-US"/>
    </w:rPr>
  </w:style>
  <w:style w:type="character" w:customStyle="1" w:styleId="Tableausimple42">
    <w:name w:val="Tableau simple 42"/>
    <w:uiPriority w:val="21"/>
    <w:qFormat/>
    <w:rsid w:val="0010720F"/>
    <w:rPr>
      <w:b/>
      <w:bCs/>
      <w:i/>
      <w:iCs/>
      <w:color w:val="4F81BD"/>
    </w:rPr>
  </w:style>
  <w:style w:type="character" w:customStyle="1" w:styleId="Grilledetableauclaire6">
    <w:name w:val="Grille de tableau claire6"/>
    <w:uiPriority w:val="32"/>
    <w:qFormat/>
    <w:rsid w:val="0010720F"/>
    <w:rPr>
      <w:b/>
      <w:bCs/>
      <w:smallCaps/>
      <w:color w:val="C0504D"/>
      <w:spacing w:val="5"/>
      <w:u w:val="single"/>
    </w:rPr>
  </w:style>
  <w:style w:type="table" w:styleId="Listefonce-Accent6">
    <w:name w:val="Dark List Accent 6"/>
    <w:basedOn w:val="TableauNormal"/>
    <w:uiPriority w:val="61"/>
    <w:rsid w:val="0010720F"/>
    <w:pPr>
      <w:spacing w:after="0" w:line="240" w:lineRule="auto"/>
    </w:pPr>
    <w:rPr>
      <w:rFonts w:ascii="Calibri" w:eastAsia="Calibri" w:hAnsi="Calibri" w:cs="Times New Roman"/>
      <w:lang w:val="fr-CA"/>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istefonce">
    <w:name w:val="Dark List"/>
    <w:basedOn w:val="TableauNormal"/>
    <w:uiPriority w:val="61"/>
    <w:rsid w:val="0010720F"/>
    <w:pPr>
      <w:spacing w:after="0" w:line="240" w:lineRule="auto"/>
    </w:pPr>
    <w:rPr>
      <w:rFonts w:ascii="Calibri" w:eastAsia="Calibri" w:hAnsi="Calibri" w:cs="Times New Roman"/>
      <w:lang w:val="fr-C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Aucuneliste11">
    <w:name w:val="Aucune liste11"/>
    <w:next w:val="Aucuneliste"/>
    <w:uiPriority w:val="99"/>
    <w:semiHidden/>
    <w:unhideWhenUsed/>
    <w:rsid w:val="0010720F"/>
  </w:style>
  <w:style w:type="paragraph" w:customStyle="1" w:styleId="CM35">
    <w:name w:val="CM35"/>
    <w:basedOn w:val="Default"/>
    <w:next w:val="Default"/>
    <w:uiPriority w:val="99"/>
    <w:rsid w:val="0010720F"/>
    <w:pPr>
      <w:widowControl w:val="0"/>
    </w:pPr>
    <w:rPr>
      <w:rFonts w:ascii="Arial" w:eastAsia="SimSun" w:hAnsi="Arial" w:cs="Times New Roman"/>
      <w:color w:val="auto"/>
      <w:lang w:eastAsia="zh-CN"/>
    </w:rPr>
  </w:style>
  <w:style w:type="character" w:customStyle="1" w:styleId="Titre1Car1">
    <w:name w:val="Titre 1 Car1"/>
    <w:aliases w:val="Main Heading Car1,TCI 1.  Heading Car1,Main Heading 1 Car1,Document Header1 Car1,Heading 11 Car2,Heading 11 Car Car1,Titre 11 Car1,An_Über 1 Car1,TITRE 1 + Droite :  8 Car1,5 cm Car1,Avant : 25 pt Car1,Après : 12 pt Car1,Haut: (Simp... Car1"/>
    <w:uiPriority w:val="9"/>
    <w:rsid w:val="0010720F"/>
    <w:rPr>
      <w:rFonts w:ascii="Cambria" w:eastAsia="Times New Roman" w:hAnsi="Cambria" w:cs="Times New Roman"/>
      <w:color w:val="365F91"/>
      <w:sz w:val="32"/>
      <w:szCs w:val="32"/>
      <w:lang w:val="fr-CH"/>
    </w:rPr>
  </w:style>
  <w:style w:type="paragraph" w:styleId="Index1">
    <w:name w:val="index 1"/>
    <w:basedOn w:val="Normal"/>
    <w:next w:val="Normal"/>
    <w:autoRedefine/>
    <w:uiPriority w:val="99"/>
    <w:unhideWhenUsed/>
    <w:rsid w:val="0010720F"/>
    <w:pPr>
      <w:spacing w:after="200" w:line="276" w:lineRule="auto"/>
      <w:ind w:left="220" w:hanging="220"/>
    </w:pPr>
    <w:rPr>
      <w:rFonts w:eastAsia="Times New Roman"/>
      <w:lang w:bidi="fr-FR"/>
    </w:rPr>
  </w:style>
  <w:style w:type="paragraph" w:styleId="Tabledesrfrencesjuridiques">
    <w:name w:val="table of authorities"/>
    <w:basedOn w:val="Normal"/>
    <w:next w:val="Normal"/>
    <w:uiPriority w:val="99"/>
    <w:unhideWhenUsed/>
    <w:rsid w:val="0010720F"/>
    <w:pPr>
      <w:spacing w:after="0" w:line="240" w:lineRule="auto"/>
      <w:ind w:left="240" w:hanging="240"/>
    </w:pPr>
    <w:rPr>
      <w:rFonts w:eastAsia="Times New Roman"/>
      <w:sz w:val="20"/>
      <w:szCs w:val="20"/>
      <w:lang w:eastAsia="fr-FR"/>
    </w:rPr>
  </w:style>
  <w:style w:type="paragraph" w:styleId="TitreTR">
    <w:name w:val="toa heading"/>
    <w:basedOn w:val="Normal"/>
    <w:next w:val="Normal"/>
    <w:uiPriority w:val="99"/>
    <w:unhideWhenUsed/>
    <w:rsid w:val="0010720F"/>
    <w:pPr>
      <w:spacing w:before="240" w:after="120" w:line="240" w:lineRule="auto"/>
      <w:jc w:val="center"/>
    </w:pPr>
    <w:rPr>
      <w:rFonts w:eastAsia="Times New Roman" w:cs="Arial"/>
      <w:smallCaps/>
      <w:u w:val="single"/>
      <w:lang w:eastAsia="fr-FR"/>
    </w:rPr>
  </w:style>
  <w:style w:type="paragraph" w:customStyle="1" w:styleId="Pucei">
    <w:name w:val="Puce i"/>
    <w:basedOn w:val="Normal"/>
    <w:uiPriority w:val="99"/>
    <w:rsid w:val="0010720F"/>
    <w:pPr>
      <w:numPr>
        <w:numId w:val="182"/>
      </w:numPr>
      <w:tabs>
        <w:tab w:val="left" w:pos="360"/>
      </w:tabs>
      <w:spacing w:after="0" w:line="312" w:lineRule="auto"/>
      <w:jc w:val="both"/>
    </w:pPr>
    <w:rPr>
      <w:rFonts w:ascii="Arial" w:eastAsia="Times New Roman" w:hAnsi="Arial"/>
      <w:szCs w:val="20"/>
      <w:lang w:val="fr-CA" w:eastAsia="fr-FR"/>
    </w:rPr>
  </w:style>
  <w:style w:type="paragraph" w:customStyle="1" w:styleId="AAtitre1">
    <w:name w:val="AAtitre1"/>
    <w:basedOn w:val="Normal"/>
    <w:uiPriority w:val="99"/>
    <w:rsid w:val="0010720F"/>
    <w:pPr>
      <w:spacing w:after="0" w:line="360" w:lineRule="auto"/>
      <w:jc w:val="both"/>
    </w:pPr>
    <w:rPr>
      <w:rFonts w:ascii="Arial Narrow" w:eastAsia="Times New Roman" w:hAnsi="Arial Narrow"/>
      <w:b/>
      <w:color w:val="008080"/>
      <w:sz w:val="24"/>
      <w:szCs w:val="24"/>
      <w:lang w:val="fr-CH" w:eastAsia="fr-FR"/>
    </w:rPr>
  </w:style>
  <w:style w:type="paragraph" w:customStyle="1" w:styleId="CM2">
    <w:name w:val="CM2"/>
    <w:basedOn w:val="Default"/>
    <w:next w:val="Default"/>
    <w:uiPriority w:val="99"/>
    <w:rsid w:val="0010720F"/>
    <w:pPr>
      <w:widowControl w:val="0"/>
    </w:pPr>
    <w:rPr>
      <w:rFonts w:ascii="Arial" w:eastAsia="SimSun" w:hAnsi="Arial" w:cs="Times New Roman"/>
      <w:color w:val="auto"/>
      <w:lang w:eastAsia="zh-CN"/>
    </w:rPr>
  </w:style>
  <w:style w:type="paragraph" w:customStyle="1" w:styleId="berschrift3">
    <w:name w:val="Überschrift 3"/>
    <w:basedOn w:val="Normal"/>
    <w:next w:val="Normal"/>
    <w:uiPriority w:val="99"/>
    <w:rsid w:val="0010720F"/>
    <w:pPr>
      <w:autoSpaceDE w:val="0"/>
      <w:autoSpaceDN w:val="0"/>
      <w:adjustRightInd w:val="0"/>
      <w:spacing w:before="360" w:after="0" w:line="240" w:lineRule="auto"/>
    </w:pPr>
    <w:rPr>
      <w:rFonts w:ascii="Arial" w:eastAsia="Times New Roman" w:hAnsi="Arial"/>
      <w:sz w:val="24"/>
      <w:szCs w:val="24"/>
      <w:lang w:val="fr-CH" w:eastAsia="fr-FR"/>
    </w:rPr>
  </w:style>
  <w:style w:type="paragraph" w:customStyle="1" w:styleId="BSVZiffer">
    <w:name w:val="BSV Ziffer"/>
    <w:basedOn w:val="Default"/>
    <w:next w:val="Default"/>
    <w:uiPriority w:val="99"/>
    <w:rsid w:val="0010720F"/>
    <w:rPr>
      <w:rFonts w:ascii="JIOEDP+Arial,Bold" w:eastAsia="Times New Roman" w:hAnsi="JIOEDP+Arial,Bold" w:cs="Times New Roman"/>
      <w:color w:val="auto"/>
      <w:lang w:val="en-US"/>
    </w:rPr>
  </w:style>
  <w:style w:type="paragraph" w:customStyle="1" w:styleId="BSVAbsatz">
    <w:name w:val="BSV Absatz"/>
    <w:basedOn w:val="Default"/>
    <w:next w:val="Default"/>
    <w:uiPriority w:val="99"/>
    <w:rsid w:val="0010720F"/>
    <w:rPr>
      <w:rFonts w:ascii="JIOEDP+Arial,Bold" w:eastAsia="Times New Roman" w:hAnsi="JIOEDP+Arial,Bold" w:cs="Times New Roman"/>
      <w:color w:val="auto"/>
      <w:lang w:val="en-US"/>
    </w:rPr>
  </w:style>
  <w:style w:type="paragraph" w:customStyle="1" w:styleId="Text11">
    <w:name w:val="Text 11"/>
    <w:basedOn w:val="Default"/>
    <w:next w:val="Default"/>
    <w:uiPriority w:val="99"/>
    <w:rsid w:val="0010720F"/>
    <w:rPr>
      <w:rFonts w:ascii="JINPEF+Arial" w:eastAsia="Times New Roman" w:hAnsi="JINPEF+Arial" w:cs="Times New Roman"/>
      <w:color w:val="auto"/>
      <w:lang w:val="en-US"/>
    </w:rPr>
  </w:style>
  <w:style w:type="paragraph" w:customStyle="1" w:styleId="berschrift2">
    <w:name w:val="Überschrift 2"/>
    <w:basedOn w:val="Default"/>
    <w:next w:val="Default"/>
    <w:uiPriority w:val="99"/>
    <w:rsid w:val="0010720F"/>
    <w:rPr>
      <w:rFonts w:ascii="JIOEDP+Arial,Bold" w:eastAsia="Times New Roman" w:hAnsi="JIOEDP+Arial,Bold" w:cs="Times New Roman"/>
      <w:color w:val="auto"/>
      <w:lang w:val="en-US"/>
    </w:rPr>
  </w:style>
  <w:style w:type="paragraph" w:customStyle="1" w:styleId="BSVZif-Lit">
    <w:name w:val="BSV Zif-Lit"/>
    <w:basedOn w:val="Default"/>
    <w:next w:val="Default"/>
    <w:uiPriority w:val="99"/>
    <w:rsid w:val="0010720F"/>
    <w:rPr>
      <w:rFonts w:ascii="JIOEDP+Arial,Bold" w:eastAsia="Times New Roman" w:hAnsi="JIOEDP+Arial,Bold" w:cs="Times New Roman"/>
      <w:color w:val="auto"/>
      <w:lang w:val="en-US"/>
    </w:rPr>
  </w:style>
  <w:style w:type="paragraph" w:customStyle="1" w:styleId="Textkrper-Einzug">
    <w:name w:val="Textkörper-Einzug"/>
    <w:basedOn w:val="Default"/>
    <w:next w:val="Default"/>
    <w:uiPriority w:val="99"/>
    <w:rsid w:val="0010720F"/>
    <w:rPr>
      <w:rFonts w:ascii="JIOEDP+Arial,Bold" w:eastAsia="Times New Roman" w:hAnsi="JIOEDP+Arial,Bold" w:cs="Times New Roman"/>
      <w:color w:val="auto"/>
      <w:lang w:val="en-US"/>
    </w:rPr>
  </w:style>
  <w:style w:type="paragraph" w:customStyle="1" w:styleId="CM5">
    <w:name w:val="CM5"/>
    <w:basedOn w:val="Default"/>
    <w:next w:val="Default"/>
    <w:uiPriority w:val="99"/>
    <w:rsid w:val="0010720F"/>
    <w:pPr>
      <w:widowControl w:val="0"/>
    </w:pPr>
    <w:rPr>
      <w:rFonts w:ascii="Arial" w:eastAsia="Times New Roman" w:hAnsi="Arial" w:cs="Times New Roman"/>
      <w:color w:val="auto"/>
      <w:lang w:val="en-US"/>
    </w:rPr>
  </w:style>
  <w:style w:type="paragraph" w:customStyle="1" w:styleId="N1">
    <w:name w:val="N1"/>
    <w:basedOn w:val="Normal"/>
    <w:uiPriority w:val="99"/>
    <w:rsid w:val="0010720F"/>
    <w:pPr>
      <w:overflowPunct w:val="0"/>
      <w:autoSpaceDE w:val="0"/>
      <w:autoSpaceDN w:val="0"/>
      <w:adjustRightInd w:val="0"/>
      <w:spacing w:after="0" w:line="360" w:lineRule="atLeast"/>
      <w:jc w:val="both"/>
    </w:pPr>
    <w:rPr>
      <w:rFonts w:ascii="Times New Roman" w:eastAsia="Times New Roman" w:hAnsi="Times New Roman"/>
      <w:sz w:val="24"/>
      <w:szCs w:val="20"/>
      <w:lang w:eastAsia="fr-FR"/>
    </w:rPr>
  </w:style>
  <w:style w:type="paragraph" w:customStyle="1" w:styleId="puce20">
    <w:name w:val="puce2"/>
    <w:basedOn w:val="Normal"/>
    <w:next w:val="Normal"/>
    <w:uiPriority w:val="99"/>
    <w:rsid w:val="0010720F"/>
    <w:pPr>
      <w:numPr>
        <w:numId w:val="183"/>
      </w:numPr>
      <w:spacing w:after="60" w:line="240" w:lineRule="auto"/>
      <w:ind w:left="709" w:hanging="340"/>
      <w:jc w:val="both"/>
    </w:pPr>
    <w:rPr>
      <w:rFonts w:ascii="Arial" w:eastAsia="Times New Roman" w:hAnsi="Arial"/>
      <w:szCs w:val="20"/>
      <w:lang w:eastAsia="fr-FR"/>
    </w:rPr>
  </w:style>
  <w:style w:type="paragraph" w:customStyle="1" w:styleId="TxBrp2">
    <w:name w:val="TxBr_p2"/>
    <w:basedOn w:val="Normal"/>
    <w:uiPriority w:val="99"/>
    <w:rsid w:val="0010720F"/>
    <w:pPr>
      <w:widowControl w:val="0"/>
      <w:tabs>
        <w:tab w:val="left" w:pos="204"/>
      </w:tabs>
      <w:autoSpaceDE w:val="0"/>
      <w:autoSpaceDN w:val="0"/>
      <w:adjustRightInd w:val="0"/>
      <w:spacing w:after="0" w:line="243" w:lineRule="atLeast"/>
      <w:jc w:val="both"/>
    </w:pPr>
    <w:rPr>
      <w:rFonts w:ascii="Times New Roman" w:eastAsia="Times New Roman" w:hAnsi="Times New Roman"/>
      <w:sz w:val="24"/>
      <w:szCs w:val="24"/>
    </w:rPr>
  </w:style>
  <w:style w:type="paragraph" w:customStyle="1" w:styleId="BipTxfer">
    <w:name w:val="Bip Tx fer"/>
    <w:uiPriority w:val="99"/>
    <w:rsid w:val="0010720F"/>
    <w:pPr>
      <w:tabs>
        <w:tab w:val="left" w:pos="510"/>
        <w:tab w:val="right" w:pos="9327"/>
      </w:tabs>
      <w:spacing w:after="0" w:line="260" w:lineRule="exact"/>
      <w:jc w:val="both"/>
    </w:pPr>
    <w:rPr>
      <w:rFonts w:ascii="Times" w:eastAsia="Times New Roman" w:hAnsi="Times" w:cs="Times New Roman"/>
      <w:noProof/>
      <w:sz w:val="25"/>
      <w:szCs w:val="20"/>
      <w:lang w:eastAsia="fr-FR"/>
    </w:rPr>
  </w:style>
  <w:style w:type="character" w:customStyle="1" w:styleId="corpsdetexteCar0">
    <w:name w:val="corps de texte Car"/>
    <w:link w:val="corpsdetexte0"/>
    <w:locked/>
    <w:rsid w:val="0010720F"/>
    <w:rPr>
      <w:rFonts w:ascii="Cambria" w:hAnsi="Cambria"/>
      <w:lang w:val="en-US" w:bidi="en-US"/>
    </w:rPr>
  </w:style>
  <w:style w:type="paragraph" w:customStyle="1" w:styleId="corpsdetexte0">
    <w:name w:val="corps de texte"/>
    <w:basedOn w:val="Normal"/>
    <w:link w:val="corpsdetexteCar0"/>
    <w:rsid w:val="0010720F"/>
    <w:pPr>
      <w:spacing w:after="120" w:line="252" w:lineRule="auto"/>
      <w:jc w:val="both"/>
    </w:pPr>
    <w:rPr>
      <w:rFonts w:ascii="Cambria" w:eastAsiaTheme="minorHAnsi" w:hAnsi="Cambria" w:cstheme="minorBidi"/>
      <w:lang w:bidi="en-US"/>
    </w:rPr>
  </w:style>
  <w:style w:type="paragraph" w:customStyle="1" w:styleId="Textedebul">
    <w:name w:val="Texte de bul"/>
    <w:basedOn w:val="Normal"/>
    <w:uiPriority w:val="99"/>
    <w:semiHidden/>
    <w:rsid w:val="0010720F"/>
    <w:pPr>
      <w:spacing w:after="0" w:line="240" w:lineRule="auto"/>
    </w:pPr>
    <w:rPr>
      <w:rFonts w:ascii="Tahoma" w:eastAsia="Times New Roman" w:hAnsi="Tahoma" w:cs="Tahoma"/>
      <w:sz w:val="16"/>
      <w:szCs w:val="16"/>
      <w:lang w:bidi="fr-FR"/>
    </w:rPr>
  </w:style>
  <w:style w:type="paragraph" w:customStyle="1" w:styleId="En-tt">
    <w:name w:val="En-têt"/>
    <w:basedOn w:val="Normal"/>
    <w:uiPriority w:val="99"/>
    <w:rsid w:val="0010720F"/>
    <w:pPr>
      <w:tabs>
        <w:tab w:val="center" w:pos="4536"/>
        <w:tab w:val="right" w:pos="9072"/>
      </w:tabs>
      <w:spacing w:after="0" w:line="240" w:lineRule="auto"/>
    </w:pPr>
    <w:rPr>
      <w:rFonts w:eastAsia="Times New Roman"/>
      <w:lang w:bidi="fr-FR"/>
    </w:rPr>
  </w:style>
  <w:style w:type="paragraph" w:customStyle="1" w:styleId="Piedd">
    <w:name w:val="Pied d"/>
    <w:basedOn w:val="Normal"/>
    <w:uiPriority w:val="99"/>
    <w:rsid w:val="0010720F"/>
    <w:pPr>
      <w:tabs>
        <w:tab w:val="center" w:pos="4536"/>
        <w:tab w:val="right" w:pos="9072"/>
      </w:tabs>
      <w:spacing w:after="0" w:line="240" w:lineRule="auto"/>
    </w:pPr>
    <w:rPr>
      <w:rFonts w:eastAsia="Times New Roman"/>
      <w:lang w:bidi="fr-FR"/>
    </w:rPr>
  </w:style>
  <w:style w:type="paragraph" w:customStyle="1" w:styleId="Explorateur">
    <w:name w:val="Explorateur"/>
    <w:basedOn w:val="Normal"/>
    <w:uiPriority w:val="99"/>
    <w:rsid w:val="0010720F"/>
    <w:pPr>
      <w:spacing w:after="0" w:line="240" w:lineRule="auto"/>
    </w:pPr>
    <w:rPr>
      <w:rFonts w:ascii="Tahoma" w:eastAsia="Times New Roman" w:hAnsi="Tahoma" w:cs="Tahoma"/>
      <w:sz w:val="16"/>
      <w:szCs w:val="16"/>
      <w:lang w:bidi="fr-FR"/>
    </w:rPr>
  </w:style>
  <w:style w:type="paragraph" w:customStyle="1" w:styleId="Notedebasd">
    <w:name w:val="Note de bas d"/>
    <w:basedOn w:val="Normal"/>
    <w:uiPriority w:val="99"/>
    <w:semiHidden/>
    <w:rsid w:val="0010720F"/>
    <w:pPr>
      <w:spacing w:after="0" w:line="240" w:lineRule="auto"/>
    </w:pPr>
    <w:rPr>
      <w:rFonts w:ascii="Times New Roman" w:eastAsia="SimSun" w:hAnsi="Times New Roman"/>
      <w:sz w:val="20"/>
      <w:szCs w:val="20"/>
      <w:lang w:eastAsia="zh-CN" w:bidi="fr-FR"/>
    </w:rPr>
  </w:style>
  <w:style w:type="paragraph" w:customStyle="1" w:styleId="Tabledesillust">
    <w:name w:val="Table des illust"/>
    <w:basedOn w:val="Normal"/>
    <w:next w:val="Normal"/>
    <w:uiPriority w:val="99"/>
    <w:rsid w:val="0010720F"/>
    <w:pPr>
      <w:spacing w:after="0" w:line="240" w:lineRule="auto"/>
    </w:pPr>
    <w:rPr>
      <w:rFonts w:ascii="Times New Roman" w:hAnsi="Times New Roman"/>
      <w:sz w:val="24"/>
      <w:szCs w:val="24"/>
      <w:lang w:eastAsia="fr-FR" w:bidi="fr-FR"/>
    </w:rPr>
  </w:style>
  <w:style w:type="paragraph" w:customStyle="1" w:styleId="Sub-Para1underX">
    <w:name w:val="Sub-Para 1 under X."/>
    <w:basedOn w:val="Normal"/>
    <w:uiPriority w:val="99"/>
    <w:rsid w:val="0010720F"/>
    <w:pPr>
      <w:tabs>
        <w:tab w:val="num" w:pos="1080"/>
      </w:tabs>
      <w:spacing w:after="240" w:line="240" w:lineRule="auto"/>
      <w:ind w:left="720" w:hanging="360"/>
      <w:outlineLvl w:val="2"/>
    </w:pPr>
    <w:rPr>
      <w:rFonts w:ascii="Times New Roman" w:eastAsia="Times New Roman" w:hAnsi="Times New Roman"/>
      <w:sz w:val="24"/>
      <w:szCs w:val="24"/>
    </w:rPr>
  </w:style>
  <w:style w:type="paragraph" w:customStyle="1" w:styleId="Sub-Para2underX">
    <w:name w:val="Sub-Para 2 under X."/>
    <w:basedOn w:val="Normal"/>
    <w:uiPriority w:val="99"/>
    <w:rsid w:val="0010720F"/>
    <w:pPr>
      <w:tabs>
        <w:tab w:val="num" w:pos="1800"/>
      </w:tabs>
      <w:spacing w:after="240" w:line="240" w:lineRule="auto"/>
      <w:ind w:left="1080" w:hanging="360"/>
      <w:outlineLvl w:val="3"/>
    </w:pPr>
    <w:rPr>
      <w:rFonts w:ascii="Times New Roman" w:eastAsia="Times New Roman" w:hAnsi="Times New Roman"/>
      <w:sz w:val="24"/>
      <w:szCs w:val="24"/>
    </w:rPr>
  </w:style>
  <w:style w:type="paragraph" w:customStyle="1" w:styleId="Sub-Para3underX">
    <w:name w:val="Sub-Para 3 under X."/>
    <w:basedOn w:val="Normal"/>
    <w:uiPriority w:val="99"/>
    <w:rsid w:val="0010720F"/>
    <w:pPr>
      <w:tabs>
        <w:tab w:val="num" w:pos="1440"/>
      </w:tabs>
      <w:spacing w:after="240" w:line="240" w:lineRule="auto"/>
      <w:ind w:left="1440" w:hanging="360"/>
      <w:outlineLvl w:val="4"/>
    </w:pPr>
    <w:rPr>
      <w:rFonts w:ascii="Times New Roman" w:eastAsia="Times New Roman" w:hAnsi="Times New Roman"/>
      <w:sz w:val="24"/>
      <w:szCs w:val="24"/>
    </w:rPr>
  </w:style>
  <w:style w:type="paragraph" w:customStyle="1" w:styleId="Sub-Para4underX">
    <w:name w:val="Sub-Para 4 under X."/>
    <w:basedOn w:val="Normal"/>
    <w:uiPriority w:val="99"/>
    <w:rsid w:val="0010720F"/>
    <w:pPr>
      <w:tabs>
        <w:tab w:val="num" w:pos="2160"/>
      </w:tabs>
      <w:spacing w:after="240" w:line="240" w:lineRule="auto"/>
      <w:ind w:left="1800" w:hanging="360"/>
      <w:outlineLvl w:val="5"/>
    </w:pPr>
    <w:rPr>
      <w:rFonts w:ascii="Times New Roman" w:eastAsia="Times New Roman" w:hAnsi="Times New Roman"/>
      <w:sz w:val="24"/>
      <w:szCs w:val="24"/>
    </w:rPr>
  </w:style>
  <w:style w:type="paragraph" w:customStyle="1" w:styleId="style10">
    <w:name w:val="style1"/>
    <w:basedOn w:val="Normal"/>
    <w:uiPriority w:val="99"/>
    <w:rsid w:val="0010720F"/>
    <w:pPr>
      <w:spacing w:before="100" w:beforeAutospacing="1" w:after="100" w:afterAutospacing="1" w:line="240" w:lineRule="auto"/>
    </w:pPr>
    <w:rPr>
      <w:rFonts w:ascii="Times New Roman" w:eastAsia="Times New Roman" w:hAnsi="Times New Roman"/>
      <w:sz w:val="24"/>
      <w:szCs w:val="24"/>
      <w:lang w:eastAsia="fr-FR"/>
    </w:rPr>
  </w:style>
  <w:style w:type="paragraph" w:customStyle="1" w:styleId="CM23">
    <w:name w:val="CM23"/>
    <w:basedOn w:val="Default"/>
    <w:next w:val="Default"/>
    <w:uiPriority w:val="99"/>
    <w:rsid w:val="0010720F"/>
    <w:pPr>
      <w:widowControl w:val="0"/>
      <w:spacing w:line="216" w:lineRule="atLeast"/>
    </w:pPr>
    <w:rPr>
      <w:rFonts w:ascii="Gill Sans" w:eastAsia="Times New Roman" w:hAnsi="Gill Sans" w:cs="Gill Sans"/>
      <w:color w:val="auto"/>
      <w:lang w:eastAsia="fr-FR"/>
    </w:rPr>
  </w:style>
  <w:style w:type="character" w:customStyle="1" w:styleId="Grillemoyenne11">
    <w:name w:val="Grille moyenne 11"/>
    <w:uiPriority w:val="99"/>
    <w:semiHidden/>
    <w:rsid w:val="0010720F"/>
    <w:rPr>
      <w:color w:val="808080"/>
    </w:rPr>
  </w:style>
  <w:style w:type="character" w:customStyle="1" w:styleId="Titre3CarCarCar">
    <w:name w:val="Titre 3 Car Car Car"/>
    <w:rsid w:val="0010720F"/>
    <w:rPr>
      <w:rFonts w:ascii="Arial" w:hAnsi="Arial" w:cs="Arial" w:hint="default"/>
      <w:b/>
      <w:bCs/>
      <w:sz w:val="26"/>
      <w:szCs w:val="26"/>
      <w:lang w:val="fr-FR" w:eastAsia="fr-FR" w:bidi="ar-SA"/>
    </w:rPr>
  </w:style>
  <w:style w:type="character" w:customStyle="1" w:styleId="titrea">
    <w:name w:val="titre"/>
    <w:rsid w:val="0010720F"/>
  </w:style>
  <w:style w:type="character" w:customStyle="1" w:styleId="CarCar10">
    <w:name w:val="Car Car10"/>
    <w:rsid w:val="0010720F"/>
    <w:rPr>
      <w:rFonts w:ascii="Arial" w:hAnsi="Arial" w:cs="Arial" w:hint="default"/>
      <w:b/>
      <w:bCs/>
      <w:kern w:val="32"/>
      <w:sz w:val="32"/>
      <w:szCs w:val="32"/>
      <w:lang w:val="fr-FR" w:eastAsia="fr-FR" w:bidi="ar-SA"/>
    </w:rPr>
  </w:style>
  <w:style w:type="character" w:customStyle="1" w:styleId="Titre3CarCarCar1">
    <w:name w:val="Titre 3 Car Car Car1"/>
    <w:rsid w:val="0010720F"/>
    <w:rPr>
      <w:rFonts w:ascii="Arial" w:hAnsi="Arial" w:cs="Arial" w:hint="default"/>
      <w:b/>
      <w:bCs/>
      <w:sz w:val="26"/>
      <w:szCs w:val="26"/>
      <w:lang w:val="fr-FR" w:eastAsia="fr-FR" w:bidi="ar-SA"/>
    </w:rPr>
  </w:style>
  <w:style w:type="character" w:customStyle="1" w:styleId="texte-r">
    <w:name w:val="texte-r"/>
    <w:rsid w:val="0010720F"/>
  </w:style>
  <w:style w:type="character" w:customStyle="1" w:styleId="Chapitre3CarCar">
    <w:name w:val="Chapitre 3 Car Car"/>
    <w:rsid w:val="0010720F"/>
    <w:rPr>
      <w:rFonts w:ascii="Arial" w:eastAsia="Times New Roman" w:hAnsi="Arial" w:cs="Arial" w:hint="default"/>
      <w:b/>
      <w:bCs/>
      <w:sz w:val="26"/>
      <w:szCs w:val="26"/>
    </w:rPr>
  </w:style>
  <w:style w:type="character" w:customStyle="1" w:styleId="crayon">
    <w:name w:val="crayon"/>
    <w:rsid w:val="0010720F"/>
  </w:style>
  <w:style w:type="character" w:customStyle="1" w:styleId="spipsurligne1">
    <w:name w:val="spip_surligne1"/>
    <w:rsid w:val="0010720F"/>
    <w:rPr>
      <w:shd w:val="clear" w:color="auto" w:fill="FFFF66"/>
    </w:rPr>
  </w:style>
  <w:style w:type="character" w:customStyle="1" w:styleId="sectiontable1">
    <w:name w:val="sectiontable1"/>
    <w:rsid w:val="0010720F"/>
    <w:rPr>
      <w:b/>
      <w:bCs/>
      <w:sz w:val="24"/>
      <w:szCs w:val="24"/>
    </w:rPr>
  </w:style>
  <w:style w:type="character" w:customStyle="1" w:styleId="date1">
    <w:name w:val="date1"/>
    <w:rsid w:val="0010720F"/>
    <w:rPr>
      <w:rFonts w:ascii="Verdana" w:hAnsi="Verdana" w:hint="default"/>
      <w:sz w:val="17"/>
      <w:szCs w:val="17"/>
    </w:rPr>
  </w:style>
  <w:style w:type="character" w:customStyle="1" w:styleId="BalloonTextChar">
    <w:name w:val="Balloon Text Char"/>
    <w:uiPriority w:val="99"/>
    <w:semiHidden/>
    <w:rsid w:val="0010720F"/>
    <w:rPr>
      <w:rFonts w:ascii="Tahoma" w:hAnsi="Tahoma" w:cs="Tahoma" w:hint="default"/>
      <w:sz w:val="16"/>
    </w:rPr>
  </w:style>
  <w:style w:type="character" w:customStyle="1" w:styleId="HeaderChar">
    <w:name w:val="Header Char"/>
    <w:rsid w:val="0010720F"/>
    <w:rPr>
      <w:rFonts w:ascii="Times New Roman" w:hAnsi="Times New Roman" w:cs="Times New Roman" w:hint="default"/>
    </w:rPr>
  </w:style>
  <w:style w:type="character" w:customStyle="1" w:styleId="FooterChar">
    <w:name w:val="Footer Char"/>
    <w:rsid w:val="0010720F"/>
    <w:rPr>
      <w:rFonts w:ascii="Times New Roman" w:hAnsi="Times New Roman" w:cs="Times New Roman" w:hint="default"/>
    </w:rPr>
  </w:style>
  <w:style w:type="character" w:customStyle="1" w:styleId="DocumentMapChar">
    <w:name w:val="Document Map Char"/>
    <w:uiPriority w:val="99"/>
    <w:rsid w:val="0010720F"/>
    <w:rPr>
      <w:rFonts w:ascii="Tahoma" w:hAnsi="Tahoma" w:cs="Tahoma" w:hint="default"/>
      <w:sz w:val="16"/>
    </w:rPr>
  </w:style>
  <w:style w:type="character" w:customStyle="1" w:styleId="ParanumChar">
    <w:name w:val="Paranum Char"/>
    <w:aliases w:val="alec2 Char,Titre secondaire (2) Char,Titre secondaire (2) Car Char"/>
    <w:rsid w:val="0010720F"/>
    <w:rPr>
      <w:rFonts w:ascii="Arial" w:hAnsi="Arial" w:cs="Arial" w:hint="default"/>
      <w:b/>
      <w:bCs/>
      <w:i/>
      <w:iCs/>
      <w:sz w:val="28"/>
      <w:lang w:val="fr-CH" w:eastAsia="fr-FR"/>
    </w:rPr>
  </w:style>
  <w:style w:type="character" w:customStyle="1" w:styleId="Chapitre3Char">
    <w:name w:val="Chapitre 3 Char"/>
    <w:rsid w:val="0010720F"/>
    <w:rPr>
      <w:rFonts w:ascii="Arial" w:hAnsi="Arial" w:cs="Arial" w:hint="default"/>
      <w:b/>
      <w:bCs/>
      <w:sz w:val="26"/>
    </w:rPr>
  </w:style>
  <w:style w:type="character" w:customStyle="1" w:styleId="Heading4Char">
    <w:name w:val="Heading 4 Char"/>
    <w:rsid w:val="0010720F"/>
    <w:rPr>
      <w:rFonts w:ascii="Times New Roman" w:hAnsi="Times New Roman" w:cs="Times New Roman" w:hint="default"/>
      <w:b/>
      <w:bCs/>
      <w:sz w:val="28"/>
    </w:rPr>
  </w:style>
  <w:style w:type="character" w:customStyle="1" w:styleId="BodyTextChar">
    <w:name w:val="Body Text Char"/>
    <w:aliases w:val="Body Text jaga Char,gl Char"/>
    <w:rsid w:val="0010720F"/>
    <w:rPr>
      <w:rFonts w:ascii="Times New Roman" w:hAnsi="Times New Roman" w:cs="Times New Roman" w:hint="default"/>
      <w:sz w:val="20"/>
    </w:rPr>
  </w:style>
  <w:style w:type="character" w:customStyle="1" w:styleId="Lienhype">
    <w:name w:val="Lien hype"/>
    <w:rsid w:val="0010720F"/>
    <w:rPr>
      <w:rFonts w:ascii="Times New Roman" w:hAnsi="Times New Roman" w:cs="Times New Roman" w:hint="default"/>
      <w:color w:val="0000FF"/>
      <w:sz w:val="22"/>
      <w:u w:val="single"/>
    </w:rPr>
  </w:style>
  <w:style w:type="character" w:customStyle="1" w:styleId="Numrodep">
    <w:name w:val="Numéro de p"/>
    <w:rsid w:val="0010720F"/>
    <w:rPr>
      <w:rFonts w:ascii="Times New Roman" w:hAnsi="Times New Roman" w:cs="Times New Roman" w:hint="default"/>
    </w:rPr>
  </w:style>
  <w:style w:type="character" w:customStyle="1" w:styleId="Heading1Char">
    <w:name w:val="Heading 1 Char"/>
    <w:rsid w:val="0010720F"/>
    <w:rPr>
      <w:rFonts w:ascii="Cambria" w:hAnsi="Cambria" w:cs="Times New Roman" w:hint="default"/>
      <w:b/>
      <w:bCs/>
      <w:color w:val="365F91"/>
      <w:sz w:val="28"/>
    </w:rPr>
  </w:style>
  <w:style w:type="character" w:customStyle="1" w:styleId="TitleChar">
    <w:name w:val="Title Char"/>
    <w:rsid w:val="0010720F"/>
    <w:rPr>
      <w:rFonts w:ascii="Times New Roman" w:hAnsi="Times New Roman" w:cs="Times New Roman" w:hint="default"/>
      <w:b/>
      <w:bCs/>
      <w:sz w:val="24"/>
    </w:rPr>
  </w:style>
  <w:style w:type="character" w:customStyle="1" w:styleId="FootnoteTextChar">
    <w:name w:val="Footnote Text Char"/>
    <w:rsid w:val="0010720F"/>
    <w:rPr>
      <w:rFonts w:ascii="Times New Roman" w:eastAsia="SimSun" w:hAnsi="Times New Roman" w:cs="Times New Roman" w:hint="default"/>
      <w:sz w:val="20"/>
      <w:lang w:eastAsia="zh-CN"/>
    </w:rPr>
  </w:style>
  <w:style w:type="character" w:customStyle="1" w:styleId="Marquenotebasde">
    <w:name w:val="Marque note bas de"/>
    <w:semiHidden/>
    <w:rsid w:val="0010720F"/>
    <w:rPr>
      <w:rFonts w:ascii="Times New Roman" w:hAnsi="Times New Roman" w:cs="Times New Roman" w:hint="default"/>
      <w:vertAlign w:val="superscript"/>
    </w:rPr>
  </w:style>
  <w:style w:type="character" w:customStyle="1" w:styleId="citecrochet">
    <w:name w:val="cite_crochet"/>
    <w:rsid w:val="0010720F"/>
  </w:style>
  <w:style w:type="character" w:customStyle="1" w:styleId="needref">
    <w:name w:val="need_ref"/>
    <w:rsid w:val="0010720F"/>
  </w:style>
  <w:style w:type="character" w:customStyle="1" w:styleId="noarchive">
    <w:name w:val="noarchive"/>
    <w:rsid w:val="0010720F"/>
  </w:style>
  <w:style w:type="character" w:customStyle="1" w:styleId="listlineodd">
    <w:name w:val="listlineodd"/>
    <w:rsid w:val="0010720F"/>
  </w:style>
  <w:style w:type="character" w:customStyle="1" w:styleId="mailaddresscontainer">
    <w:name w:val="mailaddresscontainer"/>
    <w:rsid w:val="0010720F"/>
  </w:style>
  <w:style w:type="table" w:styleId="Colonnesdetableau3">
    <w:name w:val="Table Columns 3"/>
    <w:basedOn w:val="TableauNormal"/>
    <w:unhideWhenUsed/>
    <w:rsid w:val="0010720F"/>
    <w:pPr>
      <w:spacing w:after="0" w:line="240" w:lineRule="auto"/>
    </w:pPr>
    <w:rPr>
      <w:rFonts w:ascii="Cambria" w:eastAsia="Cambria" w:hAnsi="Cambria" w:cs="Times New Roman"/>
      <w:b/>
      <w:bCs/>
      <w:sz w:val="20"/>
      <w:szCs w:val="20"/>
      <w:lang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Grilledetableau1">
    <w:name w:val="Table Grid 1"/>
    <w:basedOn w:val="TableauNormal"/>
    <w:semiHidden/>
    <w:unhideWhenUsed/>
    <w:rsid w:val="0010720F"/>
    <w:pPr>
      <w:spacing w:after="0" w:line="240" w:lineRule="auto"/>
    </w:pPr>
    <w:rPr>
      <w:rFonts w:ascii="Calibri" w:eastAsia="Calibri" w:hAnsi="Calibri" w:cs="Times New Roman"/>
      <w:sz w:val="20"/>
      <w:szCs w:val="20"/>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8">
    <w:name w:val="Table Grid 8"/>
    <w:basedOn w:val="TableauNormal"/>
    <w:unhideWhenUsed/>
    <w:rsid w:val="0010720F"/>
    <w:pPr>
      <w:spacing w:after="0" w:line="240" w:lineRule="auto"/>
    </w:pPr>
    <w:rPr>
      <w:rFonts w:ascii="Times New Roman" w:eastAsia="Times New Roman" w:hAnsi="Times New Roman" w:cs="Times New Roman"/>
      <w:sz w:val="20"/>
      <w:szCs w:val="20"/>
      <w:lang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7">
    <w:name w:val="Table List 7"/>
    <w:basedOn w:val="TableauNormal"/>
    <w:unhideWhenUsed/>
    <w:rsid w:val="0010720F"/>
    <w:pPr>
      <w:spacing w:after="0" w:line="240" w:lineRule="auto"/>
    </w:pPr>
    <w:rPr>
      <w:rFonts w:ascii="Times New Roman" w:eastAsia="Times New Roman" w:hAnsi="Times New Roman" w:cs="Times New Roman"/>
      <w:sz w:val="20"/>
      <w:szCs w:val="20"/>
      <w:lang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nhideWhenUsed/>
    <w:rsid w:val="0010720F"/>
    <w:pPr>
      <w:spacing w:after="0" w:line="240" w:lineRule="auto"/>
    </w:pPr>
    <w:rPr>
      <w:rFonts w:ascii="Times New Roman" w:eastAsia="Times New Roman" w:hAnsi="Times New Roman" w:cs="Times New Roman"/>
      <w:sz w:val="20"/>
      <w:szCs w:val="20"/>
      <w:lang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web2">
    <w:name w:val="Table Web 2"/>
    <w:basedOn w:val="TableauNormal"/>
    <w:semiHidden/>
    <w:unhideWhenUsed/>
    <w:rsid w:val="0010720F"/>
    <w:pPr>
      <w:spacing w:after="0" w:line="240" w:lineRule="auto"/>
    </w:pPr>
    <w:rPr>
      <w:rFonts w:ascii="Times New Roman" w:eastAsia="Times New Roman" w:hAnsi="Times New Roman" w:cs="Times New Roman"/>
      <w:sz w:val="20"/>
      <w:szCs w:val="20"/>
      <w:lang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Listemoyenne1-Accent3">
    <w:name w:val="Medium List 1 Accent 3"/>
    <w:basedOn w:val="TableauNormal"/>
    <w:uiPriority w:val="61"/>
    <w:semiHidden/>
    <w:unhideWhenUsed/>
    <w:rsid w:val="0010720F"/>
    <w:pPr>
      <w:spacing w:after="0" w:line="240" w:lineRule="auto"/>
    </w:pPr>
    <w:rPr>
      <w:rFonts w:ascii="Times New Roman" w:eastAsia="Calibri" w:hAnsi="Times New Roman" w:cs="Times New Roman"/>
      <w:sz w:val="24"/>
      <w:szCs w:val="24"/>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ramemoyenne1-Accent61">
    <w:name w:val="Trame moyenne 1 - Accent 61"/>
    <w:basedOn w:val="TableauNormal"/>
    <w:next w:val="Listecouleur-Accent6"/>
    <w:uiPriority w:val="63"/>
    <w:semiHidden/>
    <w:unhideWhenUsed/>
    <w:rsid w:val="0010720F"/>
    <w:pPr>
      <w:spacing w:after="0" w:line="240" w:lineRule="auto"/>
    </w:pPr>
    <w:rPr>
      <w:rFonts w:ascii="Times New Roman" w:eastAsia="Calibri" w:hAnsi="Times New Roman" w:cs="Times New Roman"/>
      <w:sz w:val="24"/>
      <w:szCs w:val="24"/>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auNorm">
    <w:name w:val="Tableau Norm"/>
    <w:semiHidden/>
    <w:rsid w:val="0010720F"/>
    <w:pPr>
      <w:spacing w:after="0" w:line="240" w:lineRule="auto"/>
    </w:pPr>
    <w:rPr>
      <w:rFonts w:ascii="Calibri" w:eastAsia="Times New Roman" w:hAnsi="Calibri" w:cs="Times New Roman"/>
      <w:sz w:val="20"/>
      <w:szCs w:val="20"/>
      <w:lang w:bidi="fr-FR"/>
    </w:rPr>
    <w:tblPr>
      <w:tblCellMar>
        <w:top w:w="0" w:type="dxa"/>
        <w:left w:w="108" w:type="dxa"/>
        <w:bottom w:w="0" w:type="dxa"/>
        <w:right w:w="108" w:type="dxa"/>
      </w:tblCellMar>
    </w:tblPr>
  </w:style>
  <w:style w:type="table" w:styleId="Listecouleur-Accent6">
    <w:name w:val="Colorful List Accent 6"/>
    <w:basedOn w:val="TableauNormal"/>
    <w:uiPriority w:val="63"/>
    <w:semiHidden/>
    <w:unhideWhenUsed/>
    <w:rsid w:val="0010720F"/>
    <w:pPr>
      <w:spacing w:after="0" w:line="240" w:lineRule="auto"/>
    </w:pPr>
    <w:rPr>
      <w:rFonts w:ascii="Calibri" w:eastAsia="Calibri" w:hAnsi="Calibri" w:cs="Times New Roman"/>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character" w:customStyle="1" w:styleId="Textedelespacerserv">
    <w:name w:val="Texte de l’espace réservé"/>
    <w:uiPriority w:val="99"/>
    <w:semiHidden/>
    <w:rsid w:val="0010720F"/>
    <w:rPr>
      <w:color w:val="808080"/>
    </w:rPr>
  </w:style>
  <w:style w:type="table" w:customStyle="1" w:styleId="Grilledutableau19">
    <w:name w:val="Grille du tableau19"/>
    <w:basedOn w:val="TableauNormal"/>
    <w:next w:val="Grilledutableau"/>
    <w:uiPriority w:val="59"/>
    <w:rsid w:val="0010720F"/>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21">
    <w:name w:val="Tableau web 21"/>
    <w:basedOn w:val="TableauNormal"/>
    <w:next w:val="Tableauweb2"/>
    <w:rsid w:val="0010720F"/>
    <w:pPr>
      <w:spacing w:after="0" w:line="240" w:lineRule="auto"/>
    </w:pPr>
    <w:rPr>
      <w:rFonts w:ascii="Times New Roman" w:eastAsia="Times New Roman" w:hAnsi="Times New Roman" w:cs="Times New Roman"/>
      <w:sz w:val="20"/>
      <w:szCs w:val="20"/>
      <w:lang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Grilledetableau81">
    <w:name w:val="Grille de tableau 81"/>
    <w:basedOn w:val="TableauNormal"/>
    <w:next w:val="Grilledetableau8"/>
    <w:rsid w:val="0010720F"/>
    <w:pPr>
      <w:spacing w:after="0" w:line="240" w:lineRule="auto"/>
    </w:pPr>
    <w:rPr>
      <w:rFonts w:ascii="Times New Roman" w:eastAsia="Times New Roman" w:hAnsi="Times New Roman" w:cs="Times New Roman"/>
      <w:sz w:val="20"/>
      <w:szCs w:val="20"/>
      <w:lang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ramemoyenne1-Accent62">
    <w:name w:val="Trame moyenne 1 - Accent 62"/>
    <w:basedOn w:val="TableauNormal"/>
    <w:next w:val="Listecouleur-Accent6"/>
    <w:uiPriority w:val="63"/>
    <w:rsid w:val="0010720F"/>
    <w:pPr>
      <w:spacing w:after="0" w:line="240" w:lineRule="auto"/>
    </w:pPr>
    <w:rPr>
      <w:rFonts w:ascii="Times New Roman" w:eastAsia="Calibri" w:hAnsi="Times New Roman" w:cs="Times New Roman"/>
      <w:sz w:val="24"/>
      <w:szCs w:val="24"/>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stefonce-Accent21">
    <w:name w:val="Liste foncée - Accent 21"/>
    <w:basedOn w:val="TableauNormal"/>
    <w:next w:val="Listemoyenne1-Accent3"/>
    <w:uiPriority w:val="61"/>
    <w:rsid w:val="0010720F"/>
    <w:pPr>
      <w:spacing w:after="0" w:line="240" w:lineRule="auto"/>
    </w:pPr>
    <w:rPr>
      <w:rFonts w:ascii="Times New Roman" w:eastAsia="Calibri" w:hAnsi="Times New Roman" w:cs="Times New Roman"/>
      <w:sz w:val="24"/>
      <w:szCs w:val="24"/>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steclaire-Accent63">
    <w:name w:val="Liste claire - Accent 63"/>
    <w:basedOn w:val="TableauNormal"/>
    <w:next w:val="Listefonce-Accent6"/>
    <w:uiPriority w:val="61"/>
    <w:rsid w:val="0010720F"/>
    <w:pPr>
      <w:spacing w:after="0" w:line="240" w:lineRule="auto"/>
    </w:pPr>
    <w:rPr>
      <w:rFonts w:ascii="Times New Roman" w:eastAsia="Calibri" w:hAnsi="Times New Roman" w:cs="Times New Roman"/>
      <w:sz w:val="24"/>
      <w:szCs w:val="24"/>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lledetableau11">
    <w:name w:val="Grille de tableau 11"/>
    <w:basedOn w:val="TableauNormal"/>
    <w:next w:val="Grilledetableau1"/>
    <w:rsid w:val="0010720F"/>
    <w:pPr>
      <w:spacing w:after="0" w:line="240" w:lineRule="auto"/>
    </w:pPr>
    <w:rPr>
      <w:rFonts w:ascii="Calibri" w:eastAsia="Calibri" w:hAnsi="Calibri" w:cs="Times New Roman"/>
      <w:sz w:val="20"/>
      <w:szCs w:val="20"/>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utableau72">
    <w:name w:val="Grille du tableau72"/>
    <w:basedOn w:val="TableauNormal"/>
    <w:next w:val="Grilledutableau"/>
    <w:uiPriority w:val="59"/>
    <w:rsid w:val="001072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4">
    <w:name w:val="Aucune liste4"/>
    <w:next w:val="Aucuneliste"/>
    <w:uiPriority w:val="99"/>
    <w:semiHidden/>
    <w:unhideWhenUsed/>
    <w:rsid w:val="0010720F"/>
  </w:style>
  <w:style w:type="table" w:customStyle="1" w:styleId="Grilledutableau20">
    <w:name w:val="Grille du tableau20"/>
    <w:basedOn w:val="TableauNormal"/>
    <w:next w:val="Grilledutableau"/>
    <w:uiPriority w:val="59"/>
    <w:rsid w:val="0010720F"/>
    <w:pPr>
      <w:spacing w:after="0" w:line="240" w:lineRule="auto"/>
    </w:pPr>
    <w:rPr>
      <w:rFonts w:ascii="Calibri" w:eastAsia="Calibri" w:hAnsi="Calibri" w:cs="Times New Roman"/>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613">
    <w:name w:val="Liste claire - Accent 613"/>
    <w:basedOn w:val="TableauNormal"/>
    <w:next w:val="Listefonce-Accent6"/>
    <w:uiPriority w:val="61"/>
    <w:rsid w:val="0010720F"/>
    <w:pPr>
      <w:spacing w:after="0" w:line="240" w:lineRule="auto"/>
    </w:pPr>
    <w:rPr>
      <w:rFonts w:ascii="Times New Roman" w:eastAsia="Calibri" w:hAnsi="Times New Roman" w:cs="Times New Roman"/>
      <w:sz w:val="24"/>
      <w:szCs w:val="24"/>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4">
    <w:name w:val="Liste claire - Accent 64"/>
    <w:basedOn w:val="TableauNormal"/>
    <w:next w:val="Listefonce-Accent6"/>
    <w:uiPriority w:val="61"/>
    <w:rsid w:val="0010720F"/>
    <w:pPr>
      <w:spacing w:after="0" w:line="240" w:lineRule="auto"/>
    </w:pPr>
    <w:rPr>
      <w:rFonts w:ascii="Calibri" w:eastAsia="Calibri" w:hAnsi="Calibri" w:cs="Times New Roman"/>
      <w:lang w:val="fr-CA"/>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111">
    <w:name w:val="Liste claire - Accent 6111"/>
    <w:basedOn w:val="TableauNormal"/>
    <w:next w:val="Listefonce-Accent6"/>
    <w:uiPriority w:val="61"/>
    <w:rsid w:val="0010720F"/>
    <w:pPr>
      <w:spacing w:after="0" w:line="240" w:lineRule="auto"/>
    </w:pPr>
    <w:rPr>
      <w:rFonts w:ascii="Times New Roman" w:eastAsia="Calibri" w:hAnsi="Times New Roman" w:cs="Times New Roman"/>
      <w:sz w:val="24"/>
      <w:szCs w:val="24"/>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122">
    <w:name w:val="Liste claire - Accent 6122"/>
    <w:basedOn w:val="TableauNormal"/>
    <w:next w:val="Listefonce-Accent6"/>
    <w:uiPriority w:val="61"/>
    <w:rsid w:val="0010720F"/>
    <w:pPr>
      <w:spacing w:after="0" w:line="240" w:lineRule="auto"/>
    </w:pPr>
    <w:rPr>
      <w:rFonts w:ascii="Times New Roman" w:eastAsia="Calibri" w:hAnsi="Times New Roman" w:cs="Times New Roman"/>
      <w:sz w:val="24"/>
      <w:szCs w:val="24"/>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lledutableau110">
    <w:name w:val="Grille du tableau110"/>
    <w:basedOn w:val="TableauNormal"/>
    <w:next w:val="Grilledutableau"/>
    <w:uiPriority w:val="59"/>
    <w:rsid w:val="0010720F"/>
    <w:pPr>
      <w:spacing w:after="0" w:line="240" w:lineRule="auto"/>
    </w:pPr>
    <w:rPr>
      <w:rFonts w:ascii="Calibri" w:eastAsia="Calibri" w:hAnsi="Calibri" w:cs="Times New Roman"/>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11">
    <w:name w:val="Liste claire11"/>
    <w:basedOn w:val="TableauNormal"/>
    <w:uiPriority w:val="61"/>
    <w:rsid w:val="0010720F"/>
    <w:pPr>
      <w:spacing w:after="0" w:line="240" w:lineRule="auto"/>
    </w:pPr>
    <w:rPr>
      <w:rFonts w:ascii="Calibri" w:eastAsia="Times New Roman" w:hAnsi="Calibri" w:cs="Times New Roman"/>
      <w:lang w:val="fr-CA" w:eastAsia="fr-F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Pa18">
    <w:name w:val="Pa18"/>
    <w:basedOn w:val="Default"/>
    <w:next w:val="Default"/>
    <w:uiPriority w:val="99"/>
    <w:rsid w:val="0010720F"/>
    <w:pPr>
      <w:spacing w:line="281" w:lineRule="atLeast"/>
    </w:pPr>
    <w:rPr>
      <w:rFonts w:ascii="HelveticaNeue MediumCond" w:hAnsi="HelveticaNeue MediumCond" w:cs="Times New Roman"/>
      <w:color w:val="auto"/>
    </w:rPr>
  </w:style>
  <w:style w:type="character" w:customStyle="1" w:styleId="definition">
    <w:name w:val="definition"/>
    <w:rsid w:val="0010720F"/>
  </w:style>
  <w:style w:type="character" w:customStyle="1" w:styleId="classtooltips2">
    <w:name w:val="classtooltips2"/>
    <w:rsid w:val="0010720F"/>
  </w:style>
  <w:style w:type="table" w:customStyle="1" w:styleId="Listeclaire2">
    <w:name w:val="Liste claire2"/>
    <w:basedOn w:val="TableauNormal"/>
    <w:next w:val="Listefonce"/>
    <w:uiPriority w:val="61"/>
    <w:rsid w:val="0010720F"/>
    <w:pPr>
      <w:spacing w:after="0" w:line="240" w:lineRule="auto"/>
    </w:pPr>
    <w:rPr>
      <w:rFonts w:ascii="Calibri" w:eastAsia="Calibri" w:hAnsi="Calibri" w:cs="Times New Roman"/>
      <w:lang w:val="fr-C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auGrille1Clair-Accentuation11">
    <w:name w:val="Tableau Grille 1 Clair - Accentuation 11"/>
    <w:basedOn w:val="TableauNormal"/>
    <w:uiPriority w:val="46"/>
    <w:rsid w:val="0010720F"/>
    <w:pPr>
      <w:spacing w:after="0" w:line="240" w:lineRule="auto"/>
    </w:pPr>
    <w:rPr>
      <w:rFonts w:ascii="Calibri" w:eastAsia="Calibri" w:hAnsi="Calibri" w:cs="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eauGrille1Clair-Accentuation51">
    <w:name w:val="Tableau Grille 1 Clair - Accentuation 51"/>
    <w:basedOn w:val="TableauNormal"/>
    <w:next w:val="TableauNormal"/>
    <w:uiPriority w:val="46"/>
    <w:rsid w:val="0010720F"/>
    <w:pPr>
      <w:spacing w:after="0" w:line="240" w:lineRule="auto"/>
    </w:pPr>
    <w:rPr>
      <w:rFonts w:ascii="Calibri" w:eastAsia="Calibri" w:hAnsi="Calibri" w:cs="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10720F"/>
    <w:pPr>
      <w:spacing w:after="0" w:line="240" w:lineRule="auto"/>
    </w:pPr>
    <w:rPr>
      <w:rFonts w:ascii="Calibri" w:eastAsia="Calibri" w:hAnsi="Calibri" w:cs="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lledutableau25">
    <w:name w:val="Grille du tableau25"/>
    <w:basedOn w:val="TableauNormal"/>
    <w:next w:val="Grilledutableau"/>
    <w:uiPriority w:val="59"/>
    <w:rsid w:val="001072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10720F"/>
    <w:pPr>
      <w:spacing w:after="200" w:line="276" w:lineRule="auto"/>
      <w:outlineLvl w:val="0"/>
    </w:pPr>
    <w:rPr>
      <w:rFonts w:ascii="Helvetica" w:eastAsia="Arial Unicode MS" w:hAnsi="Helvetica" w:cs="Times New Roman"/>
      <w:color w:val="000000"/>
      <w:szCs w:val="20"/>
      <w:u w:color="000000"/>
      <w:lang w:eastAsia="fr-FR"/>
    </w:rPr>
  </w:style>
  <w:style w:type="paragraph" w:customStyle="1" w:styleId="TM31">
    <w:name w:val="TM 31"/>
    <w:basedOn w:val="Normal"/>
    <w:next w:val="Normal"/>
    <w:autoRedefine/>
    <w:uiPriority w:val="39"/>
    <w:qFormat/>
    <w:rsid w:val="0010720F"/>
    <w:pPr>
      <w:spacing w:after="0" w:line="276" w:lineRule="auto"/>
      <w:ind w:left="440"/>
      <w:jc w:val="both"/>
    </w:pPr>
    <w:rPr>
      <w:i/>
      <w:iCs/>
      <w:sz w:val="20"/>
      <w:szCs w:val="20"/>
    </w:rPr>
  </w:style>
  <w:style w:type="paragraph" w:customStyle="1" w:styleId="TM11">
    <w:name w:val="TM 11"/>
    <w:basedOn w:val="Normal"/>
    <w:next w:val="Normal"/>
    <w:autoRedefine/>
    <w:uiPriority w:val="39"/>
    <w:qFormat/>
    <w:rsid w:val="0010720F"/>
    <w:pPr>
      <w:spacing w:before="120" w:after="120" w:line="276" w:lineRule="auto"/>
      <w:jc w:val="both"/>
    </w:pPr>
    <w:rPr>
      <w:b/>
      <w:bCs/>
      <w:caps/>
      <w:sz w:val="20"/>
      <w:szCs w:val="20"/>
    </w:rPr>
  </w:style>
  <w:style w:type="paragraph" w:customStyle="1" w:styleId="TM21">
    <w:name w:val="TM 21"/>
    <w:basedOn w:val="Normal"/>
    <w:next w:val="Normal"/>
    <w:autoRedefine/>
    <w:uiPriority w:val="39"/>
    <w:qFormat/>
    <w:rsid w:val="0010720F"/>
    <w:pPr>
      <w:spacing w:after="0" w:line="276" w:lineRule="auto"/>
      <w:ind w:left="220"/>
      <w:jc w:val="both"/>
    </w:pPr>
    <w:rPr>
      <w:smallCaps/>
      <w:sz w:val="20"/>
      <w:szCs w:val="20"/>
    </w:rPr>
  </w:style>
  <w:style w:type="character" w:customStyle="1" w:styleId="description">
    <w:name w:val="description"/>
    <w:rsid w:val="0010720F"/>
  </w:style>
  <w:style w:type="paragraph" w:customStyle="1" w:styleId="BodyText23">
    <w:name w:val="Body Text 23"/>
    <w:basedOn w:val="Normal"/>
    <w:rsid w:val="0010720F"/>
    <w:pPr>
      <w:overflowPunct w:val="0"/>
      <w:autoSpaceDE w:val="0"/>
      <w:autoSpaceDN w:val="0"/>
      <w:adjustRightInd w:val="0"/>
      <w:spacing w:after="0" w:line="240" w:lineRule="auto"/>
      <w:jc w:val="both"/>
      <w:textAlignment w:val="baseline"/>
    </w:pPr>
    <w:rPr>
      <w:rFonts w:ascii="Arial" w:eastAsia="Times New Roman" w:hAnsi="Arial"/>
      <w:sz w:val="24"/>
      <w:szCs w:val="20"/>
      <w:lang w:eastAsia="fr-FR"/>
    </w:rPr>
  </w:style>
  <w:style w:type="paragraph" w:customStyle="1" w:styleId="BankNormal0">
    <w:name w:val="Bank Normal"/>
    <w:basedOn w:val="En-tte"/>
    <w:rsid w:val="0010720F"/>
    <w:pPr>
      <w:tabs>
        <w:tab w:val="clear" w:pos="4536"/>
        <w:tab w:val="clear" w:pos="9072"/>
      </w:tabs>
      <w:spacing w:after="240" w:line="240" w:lineRule="auto"/>
      <w:jc w:val="both"/>
    </w:pPr>
    <w:rPr>
      <w:rFonts w:ascii="Times New Roman" w:eastAsia="Times New Roman" w:hAnsi="Times New Roman" w:cs="Arial"/>
      <w:bCs/>
      <w:sz w:val="24"/>
      <w:szCs w:val="24"/>
    </w:rPr>
  </w:style>
  <w:style w:type="paragraph" w:customStyle="1" w:styleId="symbole">
    <w:name w:val="symbole"/>
    <w:basedOn w:val="Normal"/>
    <w:rsid w:val="0010720F"/>
    <w:pPr>
      <w:spacing w:before="540" w:after="100" w:afterAutospacing="1" w:line="240" w:lineRule="auto"/>
      <w:jc w:val="both"/>
    </w:pPr>
    <w:rPr>
      <w:rFonts w:ascii="Times New Roman" w:eastAsia="Times New Roman" w:hAnsi="Times New Roman"/>
      <w:sz w:val="24"/>
      <w:szCs w:val="24"/>
      <w:lang w:eastAsia="fr-FR"/>
    </w:rPr>
  </w:style>
  <w:style w:type="character" w:customStyle="1" w:styleId="Hyperlink1">
    <w:name w:val="Hyperlink1"/>
    <w:rsid w:val="0010720F"/>
    <w:rPr>
      <w:color w:val="0000FF"/>
      <w:u w:val="single"/>
    </w:rPr>
  </w:style>
  <w:style w:type="character" w:customStyle="1" w:styleId="datainfo1">
    <w:name w:val="datainfo1"/>
    <w:rsid w:val="0010720F"/>
    <w:rPr>
      <w:rFonts w:ascii="Arial" w:hAnsi="Arial" w:cs="Arial" w:hint="default"/>
      <w:color w:val="000000"/>
      <w:sz w:val="16"/>
      <w:szCs w:val="16"/>
    </w:rPr>
  </w:style>
  <w:style w:type="character" w:customStyle="1" w:styleId="En-tteCarCar">
    <w:name w:val="En-tête Car Car"/>
    <w:rsid w:val="0010720F"/>
    <w:rPr>
      <w:lang w:val="fr-FR" w:eastAsia="fr-FR" w:bidi="ar-SA"/>
    </w:rPr>
  </w:style>
  <w:style w:type="paragraph" w:customStyle="1" w:styleId="BodyTextIndent31">
    <w:name w:val="Body Text Indent 31"/>
    <w:basedOn w:val="Normal"/>
    <w:rsid w:val="0010720F"/>
    <w:pPr>
      <w:widowControl w:val="0"/>
      <w:tabs>
        <w:tab w:val="num" w:pos="360"/>
      </w:tabs>
      <w:spacing w:after="0" w:line="240" w:lineRule="auto"/>
      <w:jc w:val="both"/>
    </w:pPr>
    <w:rPr>
      <w:rFonts w:ascii="Times New Roman" w:eastAsia="Times New Roman" w:hAnsi="Times New Roman"/>
      <w:sz w:val="24"/>
      <w:szCs w:val="20"/>
      <w:lang w:eastAsia="fr-FR"/>
    </w:rPr>
  </w:style>
  <w:style w:type="paragraph" w:customStyle="1" w:styleId="9-Intervalle">
    <w:name w:val="9 - Intervalle"/>
    <w:basedOn w:val="Normal"/>
    <w:rsid w:val="0010720F"/>
    <w:pPr>
      <w:tabs>
        <w:tab w:val="left" w:pos="709"/>
        <w:tab w:val="left" w:pos="1360"/>
        <w:tab w:val="right" w:pos="9072"/>
        <w:tab w:val="right" w:pos="9100"/>
      </w:tabs>
      <w:autoSpaceDE w:val="0"/>
      <w:autoSpaceDN w:val="0"/>
      <w:adjustRightInd w:val="0"/>
      <w:spacing w:after="0" w:line="100" w:lineRule="exact"/>
      <w:jc w:val="both"/>
    </w:pPr>
    <w:rPr>
      <w:rFonts w:ascii="Times New Roman" w:eastAsia="Times New Roman" w:hAnsi="Times New Roman"/>
      <w:sz w:val="16"/>
      <w:szCs w:val="16"/>
      <w:lang w:eastAsia="fr-FR"/>
    </w:rPr>
  </w:style>
  <w:style w:type="paragraph" w:customStyle="1" w:styleId="Textebrut1">
    <w:name w:val="Texte brut1"/>
    <w:basedOn w:val="Normal"/>
    <w:rsid w:val="0010720F"/>
    <w:pPr>
      <w:spacing w:after="0" w:line="240" w:lineRule="auto"/>
      <w:jc w:val="both"/>
    </w:pPr>
    <w:rPr>
      <w:rFonts w:ascii="Courier New" w:eastAsia="Times New Roman" w:hAnsi="Courier New"/>
      <w:sz w:val="20"/>
      <w:szCs w:val="20"/>
      <w:lang w:eastAsia="fr-FR"/>
    </w:rPr>
  </w:style>
  <w:style w:type="character" w:customStyle="1" w:styleId="txt1">
    <w:name w:val="txt1"/>
    <w:rsid w:val="0010720F"/>
    <w:rPr>
      <w:rFonts w:ascii="Arial" w:hAnsi="Arial" w:cs="Arial" w:hint="default"/>
      <w:sz w:val="20"/>
      <w:szCs w:val="20"/>
    </w:rPr>
  </w:style>
  <w:style w:type="paragraph" w:customStyle="1" w:styleId="style8">
    <w:name w:val="style8"/>
    <w:basedOn w:val="Normal"/>
    <w:rsid w:val="0010720F"/>
    <w:pPr>
      <w:spacing w:before="100" w:beforeAutospacing="1" w:after="100" w:afterAutospacing="1" w:line="240" w:lineRule="auto"/>
      <w:jc w:val="both"/>
    </w:pPr>
    <w:rPr>
      <w:rFonts w:ascii="Times New Roman" w:eastAsia="Times New Roman" w:hAnsi="Times New Roman"/>
      <w:sz w:val="24"/>
      <w:szCs w:val="24"/>
      <w:lang w:eastAsia="fr-FR"/>
    </w:rPr>
  </w:style>
  <w:style w:type="paragraph" w:customStyle="1" w:styleId="Preformatted">
    <w:name w:val="Preformatted"/>
    <w:basedOn w:val="Normal"/>
    <w:rsid w:val="0010720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snapToGrid w:val="0"/>
      <w:sz w:val="20"/>
      <w:szCs w:val="20"/>
      <w:lang w:eastAsia="fr-FR"/>
    </w:rPr>
  </w:style>
  <w:style w:type="character" w:customStyle="1" w:styleId="longtext">
    <w:name w:val="long_text"/>
    <w:rsid w:val="0010720F"/>
  </w:style>
  <w:style w:type="paragraph" w:customStyle="1" w:styleId="Style51">
    <w:name w:val="Style 5"/>
    <w:basedOn w:val="Normal"/>
    <w:rsid w:val="0010720F"/>
    <w:pPr>
      <w:widowControl w:val="0"/>
      <w:autoSpaceDE w:val="0"/>
      <w:autoSpaceDN w:val="0"/>
      <w:spacing w:after="0" w:line="228" w:lineRule="exact"/>
      <w:jc w:val="both"/>
    </w:pPr>
    <w:rPr>
      <w:rFonts w:ascii="Times New Roman" w:eastAsia="Times New Roman" w:hAnsi="Times New Roman"/>
      <w:sz w:val="24"/>
      <w:szCs w:val="24"/>
      <w:lang w:eastAsia="fr-FR"/>
    </w:rPr>
  </w:style>
  <w:style w:type="paragraph" w:customStyle="1" w:styleId="Ttr4">
    <w:name w:val="Ttr 4"/>
    <w:basedOn w:val="Normal"/>
    <w:next w:val="Standard"/>
    <w:rsid w:val="0010720F"/>
    <w:pPr>
      <w:spacing w:after="0" w:line="240" w:lineRule="auto"/>
      <w:jc w:val="both"/>
    </w:pPr>
    <w:rPr>
      <w:rFonts w:ascii="Times New Roman" w:eastAsia="Times New Roman" w:hAnsi="Times New Roman"/>
      <w:i/>
      <w:sz w:val="24"/>
      <w:szCs w:val="20"/>
      <w:u w:val="single"/>
      <w:lang w:eastAsia="fr-FR"/>
    </w:rPr>
  </w:style>
  <w:style w:type="paragraph" w:customStyle="1" w:styleId="ModelNrmlSingle">
    <w:name w:val="ModelNrmlSingle"/>
    <w:basedOn w:val="Normal"/>
    <w:link w:val="ModelNrmlSingleChar"/>
    <w:rsid w:val="0010720F"/>
    <w:pPr>
      <w:spacing w:after="240" w:line="240" w:lineRule="auto"/>
      <w:ind w:firstLine="720"/>
      <w:jc w:val="both"/>
    </w:pPr>
    <w:rPr>
      <w:rFonts w:ascii="Times New Roman" w:eastAsia="Times New Roman" w:hAnsi="Times New Roman"/>
      <w:snapToGrid w:val="0"/>
      <w:sz w:val="24"/>
      <w:szCs w:val="20"/>
      <w:lang w:eastAsia="zh-CN"/>
    </w:rPr>
  </w:style>
  <w:style w:type="paragraph" w:customStyle="1" w:styleId="ModelNrmlDouble">
    <w:name w:val="ModelNrmlDouble"/>
    <w:basedOn w:val="Normal"/>
    <w:rsid w:val="0010720F"/>
    <w:pPr>
      <w:spacing w:after="360" w:line="480" w:lineRule="auto"/>
      <w:ind w:firstLine="720"/>
      <w:jc w:val="both"/>
    </w:pPr>
    <w:rPr>
      <w:rFonts w:ascii="Times New Roman" w:eastAsia="Times New Roman" w:hAnsi="Times New Roman"/>
      <w:snapToGrid w:val="0"/>
      <w:sz w:val="24"/>
      <w:szCs w:val="20"/>
      <w:lang w:eastAsia="zh-CN"/>
    </w:rPr>
  </w:style>
  <w:style w:type="paragraph" w:customStyle="1" w:styleId="AAtitre2">
    <w:name w:val="AAtitre2"/>
    <w:basedOn w:val="Normal"/>
    <w:rsid w:val="0010720F"/>
    <w:pPr>
      <w:spacing w:after="0" w:line="360" w:lineRule="auto"/>
      <w:jc w:val="both"/>
    </w:pPr>
    <w:rPr>
      <w:rFonts w:ascii="Arial Narrow" w:eastAsia="Times New Roman" w:hAnsi="Arial Narrow"/>
      <w:b/>
      <w:color w:val="008080"/>
      <w:sz w:val="24"/>
      <w:szCs w:val="24"/>
      <w:lang w:eastAsia="fr-FR"/>
    </w:rPr>
  </w:style>
  <w:style w:type="paragraph" w:customStyle="1" w:styleId="TM41">
    <w:name w:val="TM 41"/>
    <w:basedOn w:val="Normal"/>
    <w:next w:val="Normal"/>
    <w:autoRedefine/>
    <w:uiPriority w:val="39"/>
    <w:rsid w:val="0010720F"/>
    <w:pPr>
      <w:spacing w:after="0" w:line="276" w:lineRule="auto"/>
      <w:ind w:left="660"/>
      <w:jc w:val="both"/>
    </w:pPr>
    <w:rPr>
      <w:sz w:val="18"/>
      <w:szCs w:val="18"/>
    </w:rPr>
  </w:style>
  <w:style w:type="paragraph" w:customStyle="1" w:styleId="TM51">
    <w:name w:val="TM 51"/>
    <w:basedOn w:val="Normal"/>
    <w:next w:val="Normal"/>
    <w:autoRedefine/>
    <w:uiPriority w:val="39"/>
    <w:rsid w:val="0010720F"/>
    <w:pPr>
      <w:spacing w:after="0" w:line="276" w:lineRule="auto"/>
      <w:ind w:left="880"/>
      <w:jc w:val="both"/>
    </w:pPr>
    <w:rPr>
      <w:sz w:val="18"/>
      <w:szCs w:val="18"/>
    </w:rPr>
  </w:style>
  <w:style w:type="paragraph" w:customStyle="1" w:styleId="TM61">
    <w:name w:val="TM 61"/>
    <w:basedOn w:val="Normal"/>
    <w:next w:val="Normal"/>
    <w:autoRedefine/>
    <w:uiPriority w:val="39"/>
    <w:rsid w:val="0010720F"/>
    <w:pPr>
      <w:spacing w:after="0" w:line="276" w:lineRule="auto"/>
      <w:ind w:left="1100"/>
      <w:jc w:val="both"/>
    </w:pPr>
    <w:rPr>
      <w:sz w:val="18"/>
      <w:szCs w:val="18"/>
    </w:rPr>
  </w:style>
  <w:style w:type="paragraph" w:customStyle="1" w:styleId="TM71">
    <w:name w:val="TM 71"/>
    <w:basedOn w:val="Normal"/>
    <w:next w:val="Normal"/>
    <w:autoRedefine/>
    <w:uiPriority w:val="39"/>
    <w:rsid w:val="0010720F"/>
    <w:pPr>
      <w:spacing w:after="0" w:line="276" w:lineRule="auto"/>
      <w:ind w:left="1320"/>
      <w:jc w:val="both"/>
    </w:pPr>
    <w:rPr>
      <w:sz w:val="18"/>
      <w:szCs w:val="18"/>
    </w:rPr>
  </w:style>
  <w:style w:type="paragraph" w:customStyle="1" w:styleId="TM81">
    <w:name w:val="TM 81"/>
    <w:basedOn w:val="Normal"/>
    <w:next w:val="Normal"/>
    <w:autoRedefine/>
    <w:uiPriority w:val="39"/>
    <w:rsid w:val="0010720F"/>
    <w:pPr>
      <w:spacing w:after="0" w:line="276" w:lineRule="auto"/>
      <w:ind w:left="1540"/>
      <w:jc w:val="both"/>
    </w:pPr>
    <w:rPr>
      <w:sz w:val="18"/>
      <w:szCs w:val="18"/>
    </w:rPr>
  </w:style>
  <w:style w:type="paragraph" w:customStyle="1" w:styleId="TM91">
    <w:name w:val="TM 91"/>
    <w:basedOn w:val="Normal"/>
    <w:next w:val="Normal"/>
    <w:autoRedefine/>
    <w:uiPriority w:val="39"/>
    <w:rsid w:val="0010720F"/>
    <w:pPr>
      <w:spacing w:after="0" w:line="276" w:lineRule="auto"/>
      <w:ind w:left="1760"/>
      <w:jc w:val="both"/>
    </w:pPr>
    <w:rPr>
      <w:sz w:val="18"/>
      <w:szCs w:val="18"/>
    </w:rPr>
  </w:style>
  <w:style w:type="paragraph" w:customStyle="1" w:styleId="Document1">
    <w:name w:val="Document 1"/>
    <w:rsid w:val="0010720F"/>
    <w:pPr>
      <w:keepNext/>
      <w:keepLines/>
      <w:widowControl w:val="0"/>
      <w:tabs>
        <w:tab w:val="left" w:pos="-720"/>
      </w:tabs>
      <w:suppressAutoHyphens/>
      <w:autoSpaceDE w:val="0"/>
      <w:autoSpaceDN w:val="0"/>
      <w:adjustRightInd w:val="0"/>
      <w:spacing w:after="0" w:line="240" w:lineRule="atLeast"/>
    </w:pPr>
    <w:rPr>
      <w:rFonts w:ascii="Courier New" w:eastAsia="Times New Roman" w:hAnsi="Courier New" w:cs="Courier New"/>
      <w:sz w:val="24"/>
      <w:szCs w:val="24"/>
      <w:lang w:val="en-US" w:eastAsia="fr-FR"/>
    </w:rPr>
  </w:style>
  <w:style w:type="paragraph" w:customStyle="1" w:styleId="StyleTitre2Gras">
    <w:name w:val="Style Titre 2 + Gras"/>
    <w:basedOn w:val="Titre2"/>
    <w:rsid w:val="0010720F"/>
    <w:pPr>
      <w:keepLines/>
      <w:pBdr>
        <w:bottom w:val="none" w:sz="0" w:space="0" w:color="auto"/>
      </w:pBdr>
      <w:tabs>
        <w:tab w:val="num" w:pos="360"/>
        <w:tab w:val="left" w:pos="576"/>
        <w:tab w:val="left" w:pos="1145"/>
        <w:tab w:val="left" w:pos="1276"/>
      </w:tabs>
      <w:autoSpaceDE w:val="0"/>
      <w:autoSpaceDN w:val="0"/>
      <w:adjustRightInd w:val="0"/>
      <w:spacing w:before="40" w:after="0"/>
      <w:ind w:left="360" w:hanging="360"/>
      <w:jc w:val="both"/>
    </w:pPr>
    <w:rPr>
      <w:rFonts w:ascii="Arial" w:hAnsi="Arial" w:cs="Arial"/>
      <w:b w:val="0"/>
      <w:color w:val="0000FF"/>
      <w:lang w:eastAsia="en-US"/>
    </w:rPr>
  </w:style>
  <w:style w:type="paragraph" w:customStyle="1" w:styleId="StyleTitre2Justifi">
    <w:name w:val="Style Titre 2 + Justifié"/>
    <w:basedOn w:val="Normal"/>
    <w:rsid w:val="0010720F"/>
    <w:pPr>
      <w:tabs>
        <w:tab w:val="num" w:pos="1065"/>
      </w:tabs>
      <w:spacing w:after="0" w:line="240" w:lineRule="auto"/>
      <w:ind w:left="1065" w:hanging="360"/>
      <w:jc w:val="both"/>
    </w:pPr>
    <w:rPr>
      <w:rFonts w:ascii="GeoSlb712 Lt BT" w:eastAsia="Times New Roman" w:hAnsi="GeoSlb712 Lt BT"/>
      <w:sz w:val="24"/>
      <w:lang w:eastAsia="fr-FR"/>
    </w:rPr>
  </w:style>
  <w:style w:type="paragraph" w:customStyle="1" w:styleId="Nom">
    <w:name w:val="Nom"/>
    <w:basedOn w:val="Normal"/>
    <w:next w:val="Normal"/>
    <w:rsid w:val="0010720F"/>
    <w:pPr>
      <w:pBdr>
        <w:bottom w:val="single" w:sz="6" w:space="4" w:color="auto"/>
      </w:pBdr>
      <w:spacing w:after="440" w:line="240" w:lineRule="atLeast"/>
      <w:jc w:val="both"/>
    </w:pPr>
    <w:rPr>
      <w:rFonts w:ascii="Arial Black" w:eastAsia="Times New Roman" w:hAnsi="Arial Black"/>
      <w:spacing w:val="-35"/>
      <w:sz w:val="54"/>
      <w:szCs w:val="20"/>
    </w:rPr>
  </w:style>
  <w:style w:type="paragraph" w:customStyle="1" w:styleId="RightPar1">
    <w:name w:val="Right Par 1"/>
    <w:rsid w:val="0010720F"/>
    <w:pPr>
      <w:tabs>
        <w:tab w:val="left" w:pos="-720"/>
        <w:tab w:val="left" w:pos="0"/>
        <w:tab w:val="decimal" w:pos="720"/>
      </w:tabs>
      <w:suppressAutoHyphens/>
      <w:spacing w:after="0" w:line="240" w:lineRule="auto"/>
      <w:ind w:left="720" w:hanging="432"/>
    </w:pPr>
    <w:rPr>
      <w:rFonts w:ascii="Courier" w:eastAsia="Times New Roman" w:hAnsi="Courier" w:cs="Times New Roman"/>
      <w:sz w:val="20"/>
      <w:szCs w:val="20"/>
      <w:lang w:val="en-US" w:eastAsia="fr-FR"/>
    </w:rPr>
  </w:style>
  <w:style w:type="paragraph" w:customStyle="1" w:styleId="RightPar2">
    <w:name w:val="Right Par 2"/>
    <w:rsid w:val="0010720F"/>
    <w:pPr>
      <w:tabs>
        <w:tab w:val="left" w:pos="-720"/>
        <w:tab w:val="left" w:pos="0"/>
        <w:tab w:val="left" w:pos="720"/>
        <w:tab w:val="decimal" w:pos="1440"/>
      </w:tabs>
      <w:suppressAutoHyphens/>
      <w:spacing w:after="0" w:line="240" w:lineRule="auto"/>
      <w:ind w:left="1440" w:hanging="432"/>
    </w:pPr>
    <w:rPr>
      <w:rFonts w:ascii="Courier" w:eastAsia="Times New Roman" w:hAnsi="Courier" w:cs="Times New Roman"/>
      <w:sz w:val="20"/>
      <w:szCs w:val="20"/>
      <w:lang w:val="en-US" w:eastAsia="fr-FR"/>
    </w:rPr>
  </w:style>
  <w:style w:type="paragraph" w:customStyle="1" w:styleId="RightPar3">
    <w:name w:val="Right Par 3"/>
    <w:rsid w:val="0010720F"/>
    <w:pPr>
      <w:tabs>
        <w:tab w:val="left" w:pos="-720"/>
        <w:tab w:val="left" w:pos="0"/>
        <w:tab w:val="left" w:pos="720"/>
        <w:tab w:val="left" w:pos="1440"/>
        <w:tab w:val="decimal" w:pos="2160"/>
      </w:tabs>
      <w:suppressAutoHyphens/>
      <w:spacing w:after="0" w:line="240" w:lineRule="auto"/>
      <w:ind w:left="2160" w:hanging="432"/>
    </w:pPr>
    <w:rPr>
      <w:rFonts w:ascii="Courier" w:eastAsia="Times New Roman" w:hAnsi="Courier" w:cs="Times New Roman"/>
      <w:sz w:val="20"/>
      <w:szCs w:val="20"/>
      <w:lang w:val="en-US" w:eastAsia="fr-FR"/>
    </w:rPr>
  </w:style>
  <w:style w:type="paragraph" w:customStyle="1" w:styleId="RightPar4">
    <w:name w:val="Right Par 4"/>
    <w:rsid w:val="0010720F"/>
    <w:pPr>
      <w:tabs>
        <w:tab w:val="left" w:pos="-720"/>
        <w:tab w:val="left" w:pos="0"/>
        <w:tab w:val="left" w:pos="720"/>
        <w:tab w:val="left" w:pos="1440"/>
        <w:tab w:val="left" w:pos="2160"/>
        <w:tab w:val="decimal" w:pos="2880"/>
      </w:tabs>
      <w:suppressAutoHyphens/>
      <w:spacing w:after="0" w:line="240" w:lineRule="auto"/>
      <w:ind w:left="2880" w:hanging="432"/>
    </w:pPr>
    <w:rPr>
      <w:rFonts w:ascii="Courier" w:eastAsia="Times New Roman" w:hAnsi="Courier" w:cs="Times New Roman"/>
      <w:sz w:val="20"/>
      <w:szCs w:val="20"/>
      <w:lang w:val="en-US" w:eastAsia="fr-FR"/>
    </w:rPr>
  </w:style>
  <w:style w:type="paragraph" w:customStyle="1" w:styleId="RightPar5">
    <w:name w:val="Right Par 5"/>
    <w:rsid w:val="0010720F"/>
    <w:pPr>
      <w:tabs>
        <w:tab w:val="left" w:pos="-720"/>
        <w:tab w:val="left" w:pos="0"/>
        <w:tab w:val="left" w:pos="720"/>
        <w:tab w:val="left" w:pos="1440"/>
        <w:tab w:val="left" w:pos="2160"/>
        <w:tab w:val="left" w:pos="2880"/>
        <w:tab w:val="decimal" w:pos="3600"/>
      </w:tabs>
      <w:suppressAutoHyphens/>
      <w:spacing w:after="0" w:line="240" w:lineRule="auto"/>
      <w:ind w:left="3600" w:hanging="576"/>
    </w:pPr>
    <w:rPr>
      <w:rFonts w:ascii="Courier" w:eastAsia="Times New Roman" w:hAnsi="Courier" w:cs="Times New Roman"/>
      <w:sz w:val="20"/>
      <w:szCs w:val="20"/>
      <w:lang w:val="en-US" w:eastAsia="fr-FR"/>
    </w:rPr>
  </w:style>
  <w:style w:type="paragraph" w:customStyle="1" w:styleId="RightPar6">
    <w:name w:val="Right Par 6"/>
    <w:rsid w:val="0010720F"/>
    <w:pPr>
      <w:tabs>
        <w:tab w:val="left" w:pos="-720"/>
        <w:tab w:val="left" w:pos="0"/>
        <w:tab w:val="left" w:pos="720"/>
        <w:tab w:val="left" w:pos="1440"/>
        <w:tab w:val="left" w:pos="2160"/>
        <w:tab w:val="left" w:pos="2880"/>
        <w:tab w:val="left" w:pos="3600"/>
        <w:tab w:val="decimal" w:pos="4320"/>
      </w:tabs>
      <w:suppressAutoHyphens/>
      <w:spacing w:after="0" w:line="240" w:lineRule="auto"/>
      <w:ind w:left="4320" w:hanging="576"/>
    </w:pPr>
    <w:rPr>
      <w:rFonts w:ascii="Courier" w:eastAsia="Times New Roman" w:hAnsi="Courier" w:cs="Times New Roman"/>
      <w:sz w:val="20"/>
      <w:szCs w:val="20"/>
      <w:lang w:val="en-US" w:eastAsia="fr-FR"/>
    </w:rPr>
  </w:style>
  <w:style w:type="paragraph" w:customStyle="1" w:styleId="RightPar7">
    <w:name w:val="Right Par 7"/>
    <w:rsid w:val="0010720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left="5040" w:hanging="432"/>
    </w:pPr>
    <w:rPr>
      <w:rFonts w:ascii="Courier" w:eastAsia="Times New Roman" w:hAnsi="Courier" w:cs="Times New Roman"/>
      <w:sz w:val="20"/>
      <w:szCs w:val="20"/>
      <w:lang w:val="en-US" w:eastAsia="fr-FR"/>
    </w:rPr>
  </w:style>
  <w:style w:type="paragraph" w:customStyle="1" w:styleId="RightPar8">
    <w:name w:val="Right Par 8"/>
    <w:rsid w:val="0010720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left="5760" w:hanging="432"/>
    </w:pPr>
    <w:rPr>
      <w:rFonts w:ascii="Courier" w:eastAsia="Times New Roman" w:hAnsi="Courier" w:cs="Times New Roman"/>
      <w:sz w:val="20"/>
      <w:szCs w:val="20"/>
      <w:lang w:val="en-US" w:eastAsia="fr-FR"/>
    </w:rPr>
  </w:style>
  <w:style w:type="paragraph" w:customStyle="1" w:styleId="Technical5">
    <w:name w:val="Technical 5"/>
    <w:rsid w:val="0010720F"/>
    <w:pPr>
      <w:tabs>
        <w:tab w:val="left" w:pos="-720"/>
      </w:tabs>
      <w:suppressAutoHyphens/>
      <w:spacing w:after="0" w:line="240" w:lineRule="auto"/>
      <w:ind w:firstLine="720"/>
    </w:pPr>
    <w:rPr>
      <w:rFonts w:ascii="Courier" w:eastAsia="Times New Roman" w:hAnsi="Courier" w:cs="Times New Roman"/>
      <w:b/>
      <w:sz w:val="20"/>
      <w:szCs w:val="20"/>
      <w:lang w:val="en-US" w:eastAsia="fr-FR"/>
    </w:rPr>
  </w:style>
  <w:style w:type="paragraph" w:customStyle="1" w:styleId="Technical6">
    <w:name w:val="Technical 6"/>
    <w:rsid w:val="0010720F"/>
    <w:pPr>
      <w:tabs>
        <w:tab w:val="left" w:pos="-720"/>
      </w:tabs>
      <w:suppressAutoHyphens/>
      <w:spacing w:after="0" w:line="240" w:lineRule="auto"/>
      <w:ind w:firstLine="720"/>
    </w:pPr>
    <w:rPr>
      <w:rFonts w:ascii="Courier" w:eastAsia="Times New Roman" w:hAnsi="Courier" w:cs="Times New Roman"/>
      <w:b/>
      <w:sz w:val="20"/>
      <w:szCs w:val="20"/>
      <w:lang w:val="en-US" w:eastAsia="fr-FR"/>
    </w:rPr>
  </w:style>
  <w:style w:type="paragraph" w:customStyle="1" w:styleId="Technical4">
    <w:name w:val="Technical 4"/>
    <w:rsid w:val="0010720F"/>
    <w:pPr>
      <w:tabs>
        <w:tab w:val="left" w:pos="-720"/>
      </w:tabs>
      <w:suppressAutoHyphens/>
      <w:spacing w:after="0" w:line="240" w:lineRule="auto"/>
    </w:pPr>
    <w:rPr>
      <w:rFonts w:ascii="Courier" w:eastAsia="Times New Roman" w:hAnsi="Courier" w:cs="Times New Roman"/>
      <w:b/>
      <w:sz w:val="20"/>
      <w:szCs w:val="20"/>
      <w:lang w:val="en-US" w:eastAsia="fr-FR"/>
    </w:rPr>
  </w:style>
  <w:style w:type="paragraph" w:customStyle="1" w:styleId="Technical7">
    <w:name w:val="Technical 7"/>
    <w:rsid w:val="0010720F"/>
    <w:pPr>
      <w:tabs>
        <w:tab w:val="left" w:pos="-720"/>
      </w:tabs>
      <w:suppressAutoHyphens/>
      <w:spacing w:after="0" w:line="240" w:lineRule="auto"/>
      <w:ind w:firstLine="720"/>
    </w:pPr>
    <w:rPr>
      <w:rFonts w:ascii="Courier" w:eastAsia="Times New Roman" w:hAnsi="Courier" w:cs="Times New Roman"/>
      <w:b/>
      <w:sz w:val="20"/>
      <w:szCs w:val="20"/>
      <w:lang w:val="en-US" w:eastAsia="fr-FR"/>
    </w:rPr>
  </w:style>
  <w:style w:type="paragraph" w:customStyle="1" w:styleId="Technical8">
    <w:name w:val="Technical 8"/>
    <w:rsid w:val="0010720F"/>
    <w:pPr>
      <w:tabs>
        <w:tab w:val="left" w:pos="-720"/>
      </w:tabs>
      <w:suppressAutoHyphens/>
      <w:spacing w:after="0" w:line="240" w:lineRule="auto"/>
      <w:ind w:firstLine="720"/>
    </w:pPr>
    <w:rPr>
      <w:rFonts w:ascii="Courier" w:eastAsia="Times New Roman" w:hAnsi="Courier" w:cs="Times New Roman"/>
      <w:b/>
      <w:sz w:val="20"/>
      <w:szCs w:val="20"/>
      <w:lang w:val="en-US" w:eastAsia="fr-FR"/>
    </w:rPr>
  </w:style>
  <w:style w:type="paragraph" w:customStyle="1" w:styleId="Pleading">
    <w:name w:val="Pleading"/>
    <w:rsid w:val="0010720F"/>
    <w:pPr>
      <w:tabs>
        <w:tab w:val="left" w:pos="-720"/>
      </w:tabs>
      <w:suppressAutoHyphens/>
      <w:spacing w:after="0" w:line="240" w:lineRule="exact"/>
    </w:pPr>
    <w:rPr>
      <w:rFonts w:ascii="Courier" w:eastAsia="Times New Roman" w:hAnsi="Courier" w:cs="Times New Roman"/>
      <w:sz w:val="20"/>
      <w:szCs w:val="20"/>
      <w:lang w:val="en-US" w:eastAsia="fr-FR"/>
    </w:rPr>
  </w:style>
  <w:style w:type="paragraph" w:customStyle="1" w:styleId="sommario1">
    <w:name w:val="sommario 1"/>
    <w:basedOn w:val="Normal"/>
    <w:rsid w:val="0010720F"/>
    <w:pPr>
      <w:tabs>
        <w:tab w:val="left" w:leader="dot" w:pos="9000"/>
        <w:tab w:val="right" w:pos="9360"/>
      </w:tabs>
      <w:suppressAutoHyphens/>
      <w:spacing w:before="480" w:after="0" w:line="240" w:lineRule="auto"/>
      <w:ind w:left="720" w:right="720" w:hanging="720"/>
      <w:jc w:val="both"/>
    </w:pPr>
    <w:rPr>
      <w:rFonts w:ascii="Courier" w:eastAsia="Times New Roman" w:hAnsi="Courier"/>
      <w:sz w:val="20"/>
      <w:szCs w:val="20"/>
      <w:lang w:eastAsia="fr-FR"/>
    </w:rPr>
  </w:style>
  <w:style w:type="paragraph" w:customStyle="1" w:styleId="sommario2">
    <w:name w:val="sommario 2"/>
    <w:basedOn w:val="Normal"/>
    <w:rsid w:val="0010720F"/>
    <w:pPr>
      <w:tabs>
        <w:tab w:val="left" w:leader="dot" w:pos="9000"/>
        <w:tab w:val="right" w:pos="9360"/>
      </w:tabs>
      <w:suppressAutoHyphens/>
      <w:spacing w:after="0" w:line="240" w:lineRule="auto"/>
      <w:ind w:left="1440" w:right="720" w:hanging="720"/>
      <w:jc w:val="both"/>
    </w:pPr>
    <w:rPr>
      <w:rFonts w:ascii="Courier" w:eastAsia="Times New Roman" w:hAnsi="Courier"/>
      <w:sz w:val="20"/>
      <w:szCs w:val="20"/>
      <w:lang w:eastAsia="fr-FR"/>
    </w:rPr>
  </w:style>
  <w:style w:type="paragraph" w:customStyle="1" w:styleId="sommario3">
    <w:name w:val="sommario 3"/>
    <w:basedOn w:val="Normal"/>
    <w:rsid w:val="0010720F"/>
    <w:pPr>
      <w:tabs>
        <w:tab w:val="left" w:leader="dot" w:pos="9000"/>
        <w:tab w:val="right" w:pos="9360"/>
      </w:tabs>
      <w:suppressAutoHyphens/>
      <w:spacing w:after="0" w:line="240" w:lineRule="auto"/>
      <w:ind w:left="2160" w:right="720" w:hanging="720"/>
      <w:jc w:val="both"/>
    </w:pPr>
    <w:rPr>
      <w:rFonts w:ascii="Courier" w:eastAsia="Times New Roman" w:hAnsi="Courier"/>
      <w:sz w:val="20"/>
      <w:szCs w:val="20"/>
      <w:lang w:eastAsia="fr-FR"/>
    </w:rPr>
  </w:style>
  <w:style w:type="paragraph" w:customStyle="1" w:styleId="sommario4">
    <w:name w:val="sommario 4"/>
    <w:basedOn w:val="Normal"/>
    <w:rsid w:val="0010720F"/>
    <w:pPr>
      <w:tabs>
        <w:tab w:val="left" w:leader="dot" w:pos="9000"/>
        <w:tab w:val="right" w:pos="9360"/>
      </w:tabs>
      <w:suppressAutoHyphens/>
      <w:spacing w:after="0" w:line="240" w:lineRule="auto"/>
      <w:ind w:left="2880" w:right="720" w:hanging="720"/>
      <w:jc w:val="both"/>
    </w:pPr>
    <w:rPr>
      <w:rFonts w:ascii="Courier" w:eastAsia="Times New Roman" w:hAnsi="Courier"/>
      <w:sz w:val="20"/>
      <w:szCs w:val="20"/>
      <w:lang w:eastAsia="fr-FR"/>
    </w:rPr>
  </w:style>
  <w:style w:type="paragraph" w:customStyle="1" w:styleId="sommario5">
    <w:name w:val="sommario 5"/>
    <w:basedOn w:val="Normal"/>
    <w:rsid w:val="0010720F"/>
    <w:pPr>
      <w:tabs>
        <w:tab w:val="left" w:leader="dot" w:pos="9000"/>
        <w:tab w:val="right" w:pos="9360"/>
      </w:tabs>
      <w:suppressAutoHyphens/>
      <w:spacing w:after="0" w:line="240" w:lineRule="auto"/>
      <w:ind w:left="3600" w:right="720" w:hanging="720"/>
      <w:jc w:val="both"/>
    </w:pPr>
    <w:rPr>
      <w:rFonts w:ascii="Courier" w:eastAsia="Times New Roman" w:hAnsi="Courier"/>
      <w:sz w:val="20"/>
      <w:szCs w:val="20"/>
      <w:lang w:eastAsia="fr-FR"/>
    </w:rPr>
  </w:style>
  <w:style w:type="paragraph" w:customStyle="1" w:styleId="sommario6">
    <w:name w:val="sommario 6"/>
    <w:basedOn w:val="Normal"/>
    <w:rsid w:val="0010720F"/>
    <w:pPr>
      <w:tabs>
        <w:tab w:val="left" w:pos="9000"/>
        <w:tab w:val="right" w:pos="9360"/>
      </w:tabs>
      <w:suppressAutoHyphens/>
      <w:spacing w:after="0" w:line="240" w:lineRule="auto"/>
      <w:ind w:left="720" w:hanging="720"/>
      <w:jc w:val="both"/>
    </w:pPr>
    <w:rPr>
      <w:rFonts w:ascii="Courier" w:eastAsia="Times New Roman" w:hAnsi="Courier"/>
      <w:sz w:val="20"/>
      <w:szCs w:val="20"/>
      <w:lang w:eastAsia="fr-FR"/>
    </w:rPr>
  </w:style>
  <w:style w:type="paragraph" w:customStyle="1" w:styleId="sommario7">
    <w:name w:val="sommario 7"/>
    <w:basedOn w:val="Normal"/>
    <w:rsid w:val="0010720F"/>
    <w:pPr>
      <w:suppressAutoHyphens/>
      <w:spacing w:after="0" w:line="240" w:lineRule="auto"/>
      <w:ind w:left="720" w:hanging="720"/>
      <w:jc w:val="both"/>
    </w:pPr>
    <w:rPr>
      <w:rFonts w:ascii="Courier" w:eastAsia="Times New Roman" w:hAnsi="Courier"/>
      <w:sz w:val="20"/>
      <w:szCs w:val="20"/>
      <w:lang w:eastAsia="fr-FR"/>
    </w:rPr>
  </w:style>
  <w:style w:type="paragraph" w:customStyle="1" w:styleId="sommario8">
    <w:name w:val="sommario 8"/>
    <w:basedOn w:val="Normal"/>
    <w:rsid w:val="0010720F"/>
    <w:pPr>
      <w:tabs>
        <w:tab w:val="left" w:pos="9000"/>
        <w:tab w:val="right" w:pos="9360"/>
      </w:tabs>
      <w:suppressAutoHyphens/>
      <w:spacing w:after="0" w:line="240" w:lineRule="auto"/>
      <w:ind w:left="720" w:hanging="720"/>
      <w:jc w:val="both"/>
    </w:pPr>
    <w:rPr>
      <w:rFonts w:ascii="Courier" w:eastAsia="Times New Roman" w:hAnsi="Courier"/>
      <w:sz w:val="20"/>
      <w:szCs w:val="20"/>
      <w:lang w:eastAsia="fr-FR"/>
    </w:rPr>
  </w:style>
  <w:style w:type="paragraph" w:customStyle="1" w:styleId="sommario9">
    <w:name w:val="sommario 9"/>
    <w:basedOn w:val="Normal"/>
    <w:rsid w:val="0010720F"/>
    <w:pPr>
      <w:tabs>
        <w:tab w:val="left" w:leader="dot" w:pos="9000"/>
        <w:tab w:val="right" w:pos="9360"/>
      </w:tabs>
      <w:suppressAutoHyphens/>
      <w:spacing w:after="0" w:line="240" w:lineRule="auto"/>
      <w:ind w:left="720" w:hanging="720"/>
      <w:jc w:val="both"/>
    </w:pPr>
    <w:rPr>
      <w:rFonts w:ascii="Courier" w:eastAsia="Times New Roman" w:hAnsi="Courier"/>
      <w:sz w:val="20"/>
      <w:szCs w:val="20"/>
      <w:lang w:eastAsia="fr-FR"/>
    </w:rPr>
  </w:style>
  <w:style w:type="paragraph" w:customStyle="1" w:styleId="indice10">
    <w:name w:val="indice 1"/>
    <w:basedOn w:val="Normal"/>
    <w:rsid w:val="0010720F"/>
    <w:pPr>
      <w:tabs>
        <w:tab w:val="left" w:leader="dot" w:pos="9000"/>
        <w:tab w:val="right" w:pos="9360"/>
      </w:tabs>
      <w:suppressAutoHyphens/>
      <w:spacing w:after="0" w:line="240" w:lineRule="auto"/>
      <w:ind w:left="1440" w:right="720" w:hanging="1440"/>
      <w:jc w:val="both"/>
    </w:pPr>
    <w:rPr>
      <w:rFonts w:ascii="Courier" w:eastAsia="Times New Roman" w:hAnsi="Courier"/>
      <w:sz w:val="20"/>
      <w:szCs w:val="20"/>
      <w:lang w:eastAsia="fr-FR"/>
    </w:rPr>
  </w:style>
  <w:style w:type="paragraph" w:customStyle="1" w:styleId="indice2">
    <w:name w:val="indice 2"/>
    <w:basedOn w:val="Normal"/>
    <w:rsid w:val="0010720F"/>
    <w:pPr>
      <w:tabs>
        <w:tab w:val="left" w:leader="dot" w:pos="9000"/>
        <w:tab w:val="right" w:pos="9360"/>
      </w:tabs>
      <w:suppressAutoHyphens/>
      <w:spacing w:after="0" w:line="240" w:lineRule="auto"/>
      <w:ind w:left="1440" w:right="720" w:hanging="720"/>
      <w:jc w:val="both"/>
    </w:pPr>
    <w:rPr>
      <w:rFonts w:ascii="Courier" w:eastAsia="Times New Roman" w:hAnsi="Courier"/>
      <w:sz w:val="20"/>
      <w:szCs w:val="20"/>
      <w:lang w:eastAsia="fr-FR"/>
    </w:rPr>
  </w:style>
  <w:style w:type="paragraph" w:customStyle="1" w:styleId="titoloindicefonti">
    <w:name w:val="titolo indice fonti"/>
    <w:basedOn w:val="Normal"/>
    <w:rsid w:val="0010720F"/>
    <w:pPr>
      <w:tabs>
        <w:tab w:val="left" w:pos="9000"/>
        <w:tab w:val="right" w:pos="9360"/>
      </w:tabs>
      <w:suppressAutoHyphens/>
      <w:spacing w:after="0" w:line="240" w:lineRule="auto"/>
      <w:jc w:val="both"/>
    </w:pPr>
    <w:rPr>
      <w:rFonts w:ascii="Courier" w:eastAsia="Times New Roman" w:hAnsi="Courier"/>
      <w:sz w:val="20"/>
      <w:szCs w:val="20"/>
      <w:lang w:eastAsia="fr-FR"/>
    </w:rPr>
  </w:style>
  <w:style w:type="paragraph" w:customStyle="1" w:styleId="didascalia">
    <w:name w:val="didascalia"/>
    <w:basedOn w:val="Normal"/>
    <w:rsid w:val="0010720F"/>
    <w:pPr>
      <w:spacing w:after="0" w:line="240" w:lineRule="auto"/>
      <w:jc w:val="both"/>
    </w:pPr>
    <w:rPr>
      <w:rFonts w:ascii="Courier" w:eastAsia="Times New Roman" w:hAnsi="Courier"/>
      <w:sz w:val="24"/>
      <w:szCs w:val="20"/>
      <w:lang w:val="it-IT" w:eastAsia="fr-FR"/>
    </w:rPr>
  </w:style>
  <w:style w:type="character" w:customStyle="1" w:styleId="EquationCaption">
    <w:name w:val="_Equation Caption"/>
    <w:rsid w:val="0010720F"/>
  </w:style>
  <w:style w:type="paragraph" w:customStyle="1" w:styleId="CM30">
    <w:name w:val="CM30"/>
    <w:basedOn w:val="Default"/>
    <w:next w:val="Default"/>
    <w:rsid w:val="0010720F"/>
    <w:pPr>
      <w:widowControl w:val="0"/>
    </w:pPr>
    <w:rPr>
      <w:rFonts w:ascii="GBCBBE+TimesNewRoman,Bold" w:eastAsia="SimSun" w:hAnsi="GBCBBE+TimesNewRoman,Bold" w:cs="Times New Roman"/>
      <w:color w:val="auto"/>
      <w:lang w:eastAsia="zh-CN"/>
    </w:rPr>
  </w:style>
  <w:style w:type="character" w:customStyle="1" w:styleId="color-for-auto">
    <w:name w:val="color-for-auto"/>
    <w:rsid w:val="0010720F"/>
  </w:style>
  <w:style w:type="character" w:customStyle="1" w:styleId="justify">
    <w:name w:val="justify"/>
    <w:rsid w:val="0010720F"/>
  </w:style>
  <w:style w:type="paragraph" w:customStyle="1" w:styleId="yiv1672359858msolistparagraph">
    <w:name w:val="yiv1672359858msolistparagraph"/>
    <w:basedOn w:val="Normal"/>
    <w:rsid w:val="0010720F"/>
    <w:pPr>
      <w:spacing w:before="100" w:beforeAutospacing="1" w:after="100" w:afterAutospacing="1" w:line="240" w:lineRule="auto"/>
      <w:jc w:val="both"/>
    </w:pPr>
    <w:rPr>
      <w:rFonts w:ascii="Times New Roman" w:eastAsia="Times New Roman" w:hAnsi="Times New Roman"/>
      <w:sz w:val="24"/>
      <w:szCs w:val="24"/>
      <w:lang w:val="fr-BE" w:eastAsia="fr-BE"/>
    </w:rPr>
  </w:style>
  <w:style w:type="paragraph" w:styleId="Adressedestinataire">
    <w:name w:val="envelope address"/>
    <w:basedOn w:val="Normal"/>
    <w:rsid w:val="0010720F"/>
    <w:pPr>
      <w:framePr w:w="7938" w:h="1985" w:hRule="exact" w:hSpace="141" w:wrap="auto" w:hAnchor="page" w:xAlign="center" w:yAlign="bottom"/>
      <w:spacing w:after="0" w:line="240" w:lineRule="auto"/>
      <w:ind w:left="2835"/>
      <w:jc w:val="both"/>
    </w:pPr>
    <w:rPr>
      <w:rFonts w:ascii="Arial" w:eastAsia="Times New Roman" w:hAnsi="Arial" w:cs="Arial"/>
      <w:sz w:val="24"/>
      <w:szCs w:val="24"/>
      <w:lang w:val="fr-CA" w:eastAsia="fr-FR"/>
    </w:rPr>
  </w:style>
  <w:style w:type="paragraph" w:customStyle="1" w:styleId="Bullet1">
    <w:name w:val="Bullet1"/>
    <w:basedOn w:val="Normal"/>
    <w:rsid w:val="0010720F"/>
    <w:pPr>
      <w:tabs>
        <w:tab w:val="left" w:pos="2880"/>
        <w:tab w:val="left" w:pos="4620"/>
      </w:tabs>
      <w:spacing w:after="0" w:line="240" w:lineRule="auto"/>
      <w:ind w:left="1800" w:hanging="360"/>
      <w:jc w:val="both"/>
    </w:pPr>
    <w:rPr>
      <w:rFonts w:ascii="Palatino" w:eastAsia="Times New Roman" w:hAnsi="Palatino"/>
      <w:sz w:val="24"/>
      <w:szCs w:val="20"/>
      <w:lang w:val="en-CA" w:eastAsia="fr-FR"/>
    </w:rPr>
  </w:style>
  <w:style w:type="paragraph" w:customStyle="1" w:styleId="domaine">
    <w:name w:val="domaine"/>
    <w:basedOn w:val="Normal"/>
    <w:rsid w:val="0010720F"/>
    <w:pPr>
      <w:tabs>
        <w:tab w:val="left" w:pos="560"/>
        <w:tab w:val="left" w:pos="1720"/>
        <w:tab w:val="left" w:pos="4560"/>
      </w:tabs>
      <w:spacing w:before="240" w:after="240" w:line="240" w:lineRule="auto"/>
      <w:ind w:right="-346"/>
      <w:jc w:val="both"/>
    </w:pPr>
    <w:rPr>
      <w:rFonts w:ascii="Palatino" w:eastAsia="Times New Roman" w:hAnsi="Palatino"/>
      <w:b/>
      <w:sz w:val="24"/>
      <w:szCs w:val="20"/>
      <w:lang w:eastAsia="fr-FR"/>
    </w:rPr>
  </w:style>
  <w:style w:type="paragraph" w:customStyle="1" w:styleId="client">
    <w:name w:val="client"/>
    <w:basedOn w:val="Normal"/>
    <w:rsid w:val="0010720F"/>
    <w:pPr>
      <w:tabs>
        <w:tab w:val="left" w:pos="4560"/>
      </w:tabs>
      <w:spacing w:after="0" w:line="240" w:lineRule="auto"/>
      <w:ind w:left="1368" w:right="-346" w:hanging="274"/>
      <w:jc w:val="both"/>
    </w:pPr>
    <w:rPr>
      <w:rFonts w:ascii="New York" w:eastAsia="Times New Roman" w:hAnsi="New York"/>
      <w:i/>
      <w:sz w:val="24"/>
      <w:szCs w:val="20"/>
      <w:lang w:eastAsia="fr-FR"/>
    </w:rPr>
  </w:style>
  <w:style w:type="paragraph" w:customStyle="1" w:styleId="ProposalHeading2">
    <w:name w:val="Proposal Heading 2"/>
    <w:basedOn w:val="Normal"/>
    <w:rsid w:val="0010720F"/>
    <w:pPr>
      <w:spacing w:after="240" w:line="240" w:lineRule="auto"/>
      <w:jc w:val="both"/>
    </w:pPr>
    <w:rPr>
      <w:rFonts w:ascii="Arial" w:eastAsia="Times New Roman" w:hAnsi="Arial"/>
      <w:b/>
      <w:sz w:val="24"/>
      <w:szCs w:val="24"/>
    </w:rPr>
  </w:style>
  <w:style w:type="paragraph" w:customStyle="1" w:styleId="titresa">
    <w:name w:val="titresa"/>
    <w:basedOn w:val="Normal"/>
    <w:rsid w:val="0010720F"/>
    <w:pPr>
      <w:keepNext/>
      <w:keepLines/>
      <w:spacing w:before="120" w:after="48" w:line="240" w:lineRule="auto"/>
      <w:jc w:val="both"/>
    </w:pPr>
    <w:rPr>
      <w:rFonts w:ascii="Times New Roman" w:eastAsia="Times New Roman" w:hAnsi="Times New Roman"/>
      <w:b/>
      <w:sz w:val="24"/>
      <w:szCs w:val="20"/>
      <w:lang w:eastAsia="fr-FR"/>
    </w:rPr>
  </w:style>
  <w:style w:type="paragraph" w:styleId="Adresseexpditeur">
    <w:name w:val="envelope return"/>
    <w:basedOn w:val="Normal"/>
    <w:rsid w:val="0010720F"/>
    <w:pPr>
      <w:spacing w:after="0" w:line="240" w:lineRule="auto"/>
      <w:jc w:val="both"/>
    </w:pPr>
    <w:rPr>
      <w:rFonts w:ascii="Arial" w:eastAsia="Times New Roman" w:hAnsi="Arial" w:cs="Arial"/>
      <w:sz w:val="20"/>
      <w:szCs w:val="20"/>
      <w:lang w:val="fr-CA" w:eastAsia="fr-FR"/>
    </w:rPr>
  </w:style>
  <w:style w:type="paragraph" w:styleId="Index2">
    <w:name w:val="index 2"/>
    <w:basedOn w:val="Normal"/>
    <w:next w:val="Normal"/>
    <w:autoRedefine/>
    <w:rsid w:val="0010720F"/>
    <w:pPr>
      <w:spacing w:after="0" w:line="240" w:lineRule="auto"/>
      <w:ind w:left="440" w:hanging="220"/>
      <w:jc w:val="both"/>
    </w:pPr>
    <w:rPr>
      <w:rFonts w:ascii="Arial" w:eastAsia="Times New Roman" w:hAnsi="Arial"/>
      <w:sz w:val="24"/>
      <w:szCs w:val="20"/>
      <w:lang w:val="fr-CA" w:eastAsia="fr-FR"/>
    </w:rPr>
  </w:style>
  <w:style w:type="paragraph" w:styleId="Index3">
    <w:name w:val="index 3"/>
    <w:basedOn w:val="Normal"/>
    <w:next w:val="Normal"/>
    <w:autoRedefine/>
    <w:rsid w:val="0010720F"/>
    <w:pPr>
      <w:spacing w:after="0" w:line="240" w:lineRule="auto"/>
      <w:ind w:left="660" w:hanging="220"/>
      <w:jc w:val="both"/>
    </w:pPr>
    <w:rPr>
      <w:rFonts w:ascii="Arial" w:eastAsia="Times New Roman" w:hAnsi="Arial"/>
      <w:sz w:val="24"/>
      <w:szCs w:val="20"/>
      <w:lang w:val="fr-CA" w:eastAsia="fr-FR"/>
    </w:rPr>
  </w:style>
  <w:style w:type="paragraph" w:styleId="Index4">
    <w:name w:val="index 4"/>
    <w:basedOn w:val="Normal"/>
    <w:next w:val="Normal"/>
    <w:autoRedefine/>
    <w:rsid w:val="0010720F"/>
    <w:pPr>
      <w:spacing w:after="0" w:line="240" w:lineRule="auto"/>
      <w:ind w:left="880" w:hanging="220"/>
      <w:jc w:val="both"/>
    </w:pPr>
    <w:rPr>
      <w:rFonts w:ascii="Arial" w:eastAsia="Times New Roman" w:hAnsi="Arial"/>
      <w:sz w:val="24"/>
      <w:szCs w:val="20"/>
      <w:lang w:val="fr-CA" w:eastAsia="fr-FR"/>
    </w:rPr>
  </w:style>
  <w:style w:type="paragraph" w:styleId="Index5">
    <w:name w:val="index 5"/>
    <w:basedOn w:val="Normal"/>
    <w:next w:val="Normal"/>
    <w:autoRedefine/>
    <w:rsid w:val="0010720F"/>
    <w:pPr>
      <w:spacing w:after="0" w:line="240" w:lineRule="auto"/>
      <w:ind w:left="1100" w:hanging="220"/>
      <w:jc w:val="both"/>
    </w:pPr>
    <w:rPr>
      <w:rFonts w:ascii="Arial" w:eastAsia="Times New Roman" w:hAnsi="Arial"/>
      <w:sz w:val="24"/>
      <w:szCs w:val="20"/>
      <w:lang w:val="fr-CA" w:eastAsia="fr-FR"/>
    </w:rPr>
  </w:style>
  <w:style w:type="paragraph" w:styleId="Index6">
    <w:name w:val="index 6"/>
    <w:basedOn w:val="Normal"/>
    <w:next w:val="Normal"/>
    <w:autoRedefine/>
    <w:rsid w:val="0010720F"/>
    <w:pPr>
      <w:spacing w:after="0" w:line="240" w:lineRule="auto"/>
      <w:ind w:left="1320" w:hanging="220"/>
      <w:jc w:val="both"/>
    </w:pPr>
    <w:rPr>
      <w:rFonts w:ascii="Arial" w:eastAsia="Times New Roman" w:hAnsi="Arial"/>
      <w:sz w:val="24"/>
      <w:szCs w:val="20"/>
      <w:lang w:val="fr-CA" w:eastAsia="fr-FR"/>
    </w:rPr>
  </w:style>
  <w:style w:type="paragraph" w:styleId="Index7">
    <w:name w:val="index 7"/>
    <w:basedOn w:val="Normal"/>
    <w:next w:val="Normal"/>
    <w:autoRedefine/>
    <w:rsid w:val="0010720F"/>
    <w:pPr>
      <w:spacing w:after="0" w:line="240" w:lineRule="auto"/>
      <w:ind w:left="1540" w:hanging="220"/>
      <w:jc w:val="both"/>
    </w:pPr>
    <w:rPr>
      <w:rFonts w:ascii="Arial" w:eastAsia="Times New Roman" w:hAnsi="Arial"/>
      <w:sz w:val="24"/>
      <w:szCs w:val="20"/>
      <w:lang w:val="fr-CA" w:eastAsia="fr-FR"/>
    </w:rPr>
  </w:style>
  <w:style w:type="paragraph" w:styleId="Index8">
    <w:name w:val="index 8"/>
    <w:basedOn w:val="Normal"/>
    <w:next w:val="Normal"/>
    <w:autoRedefine/>
    <w:rsid w:val="0010720F"/>
    <w:pPr>
      <w:spacing w:after="0" w:line="240" w:lineRule="auto"/>
      <w:ind w:left="1760" w:hanging="220"/>
      <w:jc w:val="both"/>
    </w:pPr>
    <w:rPr>
      <w:rFonts w:ascii="Arial" w:eastAsia="Times New Roman" w:hAnsi="Arial"/>
      <w:sz w:val="24"/>
      <w:szCs w:val="20"/>
      <w:lang w:val="fr-CA" w:eastAsia="fr-FR"/>
    </w:rPr>
  </w:style>
  <w:style w:type="paragraph" w:styleId="Index9">
    <w:name w:val="index 9"/>
    <w:basedOn w:val="Normal"/>
    <w:next w:val="Normal"/>
    <w:autoRedefine/>
    <w:rsid w:val="0010720F"/>
    <w:pPr>
      <w:spacing w:after="0" w:line="240" w:lineRule="auto"/>
      <w:ind w:left="1980" w:hanging="220"/>
      <w:jc w:val="both"/>
    </w:pPr>
    <w:rPr>
      <w:rFonts w:ascii="Arial" w:eastAsia="Times New Roman" w:hAnsi="Arial"/>
      <w:sz w:val="24"/>
      <w:szCs w:val="20"/>
      <w:lang w:val="fr-CA" w:eastAsia="fr-FR"/>
    </w:rPr>
  </w:style>
  <w:style w:type="paragraph" w:styleId="Liste3">
    <w:name w:val="List 3"/>
    <w:basedOn w:val="Normal"/>
    <w:rsid w:val="0010720F"/>
    <w:pPr>
      <w:spacing w:after="0" w:line="240" w:lineRule="auto"/>
      <w:ind w:left="849" w:hanging="283"/>
      <w:jc w:val="both"/>
    </w:pPr>
    <w:rPr>
      <w:rFonts w:ascii="Arial" w:eastAsia="Times New Roman" w:hAnsi="Arial"/>
      <w:sz w:val="24"/>
      <w:szCs w:val="20"/>
      <w:lang w:val="fr-CA" w:eastAsia="fr-FR"/>
    </w:rPr>
  </w:style>
  <w:style w:type="paragraph" w:styleId="Liste4">
    <w:name w:val="List 4"/>
    <w:basedOn w:val="Normal"/>
    <w:rsid w:val="0010720F"/>
    <w:pPr>
      <w:spacing w:after="0" w:line="240" w:lineRule="auto"/>
      <w:ind w:left="1132" w:hanging="283"/>
      <w:jc w:val="both"/>
    </w:pPr>
    <w:rPr>
      <w:rFonts w:ascii="Arial" w:eastAsia="Times New Roman" w:hAnsi="Arial"/>
      <w:sz w:val="24"/>
      <w:szCs w:val="20"/>
      <w:lang w:val="fr-CA" w:eastAsia="fr-FR"/>
    </w:rPr>
  </w:style>
  <w:style w:type="paragraph" w:styleId="Listenumros5">
    <w:name w:val="List Number 5"/>
    <w:basedOn w:val="Normal"/>
    <w:rsid w:val="0010720F"/>
    <w:pPr>
      <w:tabs>
        <w:tab w:val="num" w:pos="1492"/>
      </w:tabs>
      <w:spacing w:after="0" w:line="240" w:lineRule="auto"/>
      <w:ind w:left="1492" w:hanging="360"/>
      <w:jc w:val="both"/>
    </w:pPr>
    <w:rPr>
      <w:rFonts w:ascii="Arial" w:eastAsia="Times New Roman" w:hAnsi="Arial"/>
      <w:sz w:val="24"/>
      <w:szCs w:val="20"/>
      <w:lang w:val="fr-CA" w:eastAsia="fr-FR"/>
    </w:rPr>
  </w:style>
  <w:style w:type="paragraph" w:styleId="Listecontinue2">
    <w:name w:val="List Continue 2"/>
    <w:basedOn w:val="Normal"/>
    <w:rsid w:val="0010720F"/>
    <w:pPr>
      <w:spacing w:after="120" w:line="240" w:lineRule="auto"/>
      <w:ind w:left="566"/>
      <w:jc w:val="both"/>
    </w:pPr>
    <w:rPr>
      <w:rFonts w:ascii="Arial" w:eastAsia="Times New Roman" w:hAnsi="Arial"/>
      <w:sz w:val="24"/>
      <w:szCs w:val="20"/>
      <w:lang w:val="fr-CA" w:eastAsia="fr-FR"/>
    </w:rPr>
  </w:style>
  <w:style w:type="paragraph" w:styleId="Listecontinue3">
    <w:name w:val="List Continue 3"/>
    <w:basedOn w:val="Normal"/>
    <w:rsid w:val="0010720F"/>
    <w:pPr>
      <w:spacing w:after="120" w:line="240" w:lineRule="auto"/>
      <w:ind w:left="849"/>
      <w:jc w:val="both"/>
    </w:pPr>
    <w:rPr>
      <w:rFonts w:ascii="Arial" w:eastAsia="Times New Roman" w:hAnsi="Arial"/>
      <w:sz w:val="24"/>
      <w:szCs w:val="20"/>
      <w:lang w:val="fr-CA" w:eastAsia="fr-FR"/>
    </w:rPr>
  </w:style>
  <w:style w:type="paragraph" w:styleId="Listecontinue4">
    <w:name w:val="List Continue 4"/>
    <w:basedOn w:val="Normal"/>
    <w:rsid w:val="0010720F"/>
    <w:pPr>
      <w:spacing w:after="120" w:line="240" w:lineRule="auto"/>
      <w:ind w:left="1132"/>
      <w:jc w:val="both"/>
    </w:pPr>
    <w:rPr>
      <w:rFonts w:ascii="Arial" w:eastAsia="Times New Roman" w:hAnsi="Arial"/>
      <w:sz w:val="24"/>
      <w:szCs w:val="20"/>
      <w:lang w:val="fr-CA" w:eastAsia="fr-FR"/>
    </w:rPr>
  </w:style>
  <w:style w:type="paragraph" w:styleId="Listecontinue5">
    <w:name w:val="List Continue 5"/>
    <w:basedOn w:val="Normal"/>
    <w:rsid w:val="0010720F"/>
    <w:pPr>
      <w:spacing w:after="120" w:line="240" w:lineRule="auto"/>
      <w:ind w:left="1415"/>
      <w:jc w:val="both"/>
    </w:pPr>
    <w:rPr>
      <w:rFonts w:ascii="Arial" w:eastAsia="Times New Roman" w:hAnsi="Arial"/>
      <w:sz w:val="24"/>
      <w:szCs w:val="20"/>
      <w:lang w:val="fr-CA" w:eastAsia="fr-FR"/>
    </w:rPr>
  </w:style>
  <w:style w:type="paragraph" w:styleId="Titreindex">
    <w:name w:val="index heading"/>
    <w:basedOn w:val="Normal"/>
    <w:next w:val="Index1"/>
    <w:rsid w:val="0010720F"/>
    <w:pPr>
      <w:spacing w:after="0" w:line="240" w:lineRule="auto"/>
      <w:jc w:val="both"/>
    </w:pPr>
    <w:rPr>
      <w:rFonts w:ascii="Arial" w:eastAsia="Times New Roman" w:hAnsi="Arial" w:cs="Arial"/>
      <w:b/>
      <w:bCs/>
      <w:sz w:val="24"/>
      <w:szCs w:val="20"/>
      <w:lang w:val="fr-CA" w:eastAsia="fr-FR"/>
    </w:rPr>
  </w:style>
  <w:style w:type="paragraph" w:customStyle="1" w:styleId="point">
    <w:name w:val="point"/>
    <w:basedOn w:val="Normal"/>
    <w:rsid w:val="0010720F"/>
    <w:pPr>
      <w:tabs>
        <w:tab w:val="num" w:pos="1092"/>
      </w:tabs>
      <w:spacing w:after="0" w:line="240" w:lineRule="auto"/>
      <w:ind w:left="1092" w:hanging="372"/>
      <w:jc w:val="both"/>
    </w:pPr>
    <w:rPr>
      <w:rFonts w:ascii="Times New Roman" w:eastAsia="Times New Roman" w:hAnsi="Times New Roman"/>
      <w:sz w:val="24"/>
      <w:szCs w:val="24"/>
      <w:lang w:val="fr-CA" w:eastAsia="fr-FR"/>
    </w:rPr>
  </w:style>
  <w:style w:type="paragraph" w:customStyle="1" w:styleId="BodyText1">
    <w:name w:val="Body Text1"/>
    <w:basedOn w:val="Normal"/>
    <w:link w:val="BodytextChar0"/>
    <w:qFormat/>
    <w:rsid w:val="0010720F"/>
    <w:pPr>
      <w:spacing w:after="0" w:line="240" w:lineRule="auto"/>
      <w:jc w:val="both"/>
    </w:pPr>
    <w:rPr>
      <w:rFonts w:ascii="New York" w:eastAsia="Times New Roman" w:hAnsi="New York"/>
      <w:b/>
      <w:sz w:val="24"/>
      <w:szCs w:val="20"/>
      <w:lang w:eastAsia="fr-FR"/>
    </w:rPr>
  </w:style>
  <w:style w:type="paragraph" w:customStyle="1" w:styleId="Corps">
    <w:name w:val="Corps"/>
    <w:rsid w:val="0010720F"/>
    <w:pPr>
      <w:spacing w:after="240" w:line="240" w:lineRule="auto"/>
    </w:pPr>
    <w:rPr>
      <w:rFonts w:ascii="Arial" w:eastAsia="ヒラギノ角ゴ Pro W3" w:hAnsi="Arial" w:cs="Times New Roman"/>
      <w:color w:val="000000"/>
      <w:sz w:val="18"/>
      <w:szCs w:val="20"/>
      <w:lang w:eastAsia="fr-FR"/>
    </w:rPr>
  </w:style>
  <w:style w:type="paragraph" w:customStyle="1" w:styleId="xl41">
    <w:name w:val="xl41"/>
    <w:basedOn w:val="Normal"/>
    <w:rsid w:val="0010720F"/>
    <w:pPr>
      <w:spacing w:before="100" w:beforeAutospacing="1" w:after="100" w:afterAutospacing="1" w:line="240" w:lineRule="auto"/>
      <w:jc w:val="both"/>
    </w:pPr>
    <w:rPr>
      <w:rFonts w:ascii="Times New Roman" w:eastAsia="Arial Unicode MS" w:hAnsi="Times New Roman"/>
      <w:sz w:val="20"/>
      <w:szCs w:val="20"/>
      <w:lang w:val="it-IT" w:eastAsia="it-IT"/>
    </w:rPr>
  </w:style>
  <w:style w:type="paragraph" w:customStyle="1" w:styleId="Normalpuce">
    <w:name w:val="Normal puce"/>
    <w:basedOn w:val="Default"/>
    <w:next w:val="Default"/>
    <w:uiPriority w:val="99"/>
    <w:rsid w:val="0010720F"/>
    <w:rPr>
      <w:rFonts w:ascii="Times New Roman" w:eastAsia="Times New Roman" w:hAnsi="Times New Roman" w:cs="Times New Roman"/>
      <w:color w:val="auto"/>
      <w:lang w:eastAsia="fr-FR"/>
    </w:rPr>
  </w:style>
  <w:style w:type="character" w:customStyle="1" w:styleId="legende1">
    <w:name w:val="legende1"/>
    <w:rsid w:val="0010720F"/>
    <w:rPr>
      <w:rFonts w:ascii="Verdana" w:hAnsi="Verdana" w:hint="default"/>
      <w:i/>
      <w:iCs/>
      <w:color w:val="663300"/>
      <w:sz w:val="15"/>
      <w:szCs w:val="15"/>
    </w:rPr>
  </w:style>
  <w:style w:type="paragraph" w:customStyle="1" w:styleId="FindingText">
    <w:name w:val="Finding Text"/>
    <w:basedOn w:val="Normal"/>
    <w:rsid w:val="0010720F"/>
    <w:pPr>
      <w:overflowPunct w:val="0"/>
      <w:autoSpaceDE w:val="0"/>
      <w:autoSpaceDN w:val="0"/>
      <w:adjustRightInd w:val="0"/>
      <w:spacing w:after="0" w:line="240" w:lineRule="auto"/>
      <w:ind w:left="1440"/>
      <w:jc w:val="both"/>
      <w:textAlignment w:val="baseline"/>
    </w:pPr>
    <w:rPr>
      <w:rFonts w:ascii="Times New Roman" w:eastAsia="Times New Roman" w:hAnsi="Times New Roman"/>
      <w:sz w:val="20"/>
      <w:szCs w:val="20"/>
      <w:lang w:eastAsia="fr-FR"/>
    </w:rPr>
  </w:style>
  <w:style w:type="character" w:customStyle="1" w:styleId="style81">
    <w:name w:val="style81"/>
    <w:rsid w:val="0010720F"/>
    <w:rPr>
      <w:rFonts w:ascii="Arial" w:hAnsi="Arial" w:cs="Arial" w:hint="default"/>
      <w:color w:val="FFFFFF"/>
      <w:sz w:val="18"/>
      <w:szCs w:val="18"/>
    </w:rPr>
  </w:style>
  <w:style w:type="paragraph" w:customStyle="1" w:styleId="corps0">
    <w:name w:val="corps"/>
    <w:basedOn w:val="Normal"/>
    <w:rsid w:val="0010720F"/>
    <w:pPr>
      <w:spacing w:before="100" w:beforeAutospacing="1" w:after="100" w:afterAutospacing="1" w:line="240" w:lineRule="auto"/>
      <w:jc w:val="both"/>
    </w:pPr>
    <w:rPr>
      <w:rFonts w:ascii="Times New Roman" w:eastAsia="Times New Roman" w:hAnsi="Times New Roman"/>
      <w:sz w:val="24"/>
      <w:szCs w:val="24"/>
      <w:lang w:eastAsia="fr-FR"/>
    </w:rPr>
  </w:style>
  <w:style w:type="paragraph" w:customStyle="1" w:styleId="title4">
    <w:name w:val="title_4"/>
    <w:basedOn w:val="Normal"/>
    <w:rsid w:val="0010720F"/>
    <w:pPr>
      <w:spacing w:before="100" w:beforeAutospacing="1" w:after="100" w:afterAutospacing="1" w:line="240" w:lineRule="auto"/>
      <w:jc w:val="both"/>
    </w:pPr>
    <w:rPr>
      <w:rFonts w:ascii="Times New Roman" w:eastAsia="Times New Roman" w:hAnsi="Times New Roman"/>
      <w:sz w:val="24"/>
      <w:szCs w:val="24"/>
      <w:lang w:eastAsia="fr-FR"/>
    </w:rPr>
  </w:style>
  <w:style w:type="character" w:customStyle="1" w:styleId="romain">
    <w:name w:val="romain"/>
    <w:rsid w:val="0010720F"/>
  </w:style>
  <w:style w:type="paragraph" w:customStyle="1" w:styleId="No2">
    <w:name w:val="No 2"/>
    <w:rsid w:val="0010720F"/>
    <w:pPr>
      <w:tabs>
        <w:tab w:val="num" w:pos="1584"/>
      </w:tabs>
      <w:spacing w:after="120" w:line="312" w:lineRule="auto"/>
      <w:ind w:left="1584" w:hanging="360"/>
      <w:jc w:val="both"/>
    </w:pPr>
    <w:rPr>
      <w:rFonts w:ascii="Times New Roman" w:eastAsia="Times New Roman" w:hAnsi="Times New Roman" w:cs="Times New Roman"/>
      <w:sz w:val="24"/>
      <w:szCs w:val="20"/>
      <w:lang w:val="fr-CA" w:eastAsia="fr-FR"/>
    </w:rPr>
  </w:style>
  <w:style w:type="paragraph" w:customStyle="1" w:styleId="titre00">
    <w:name w:val="titre 0"/>
    <w:basedOn w:val="Normal"/>
    <w:rsid w:val="0010720F"/>
    <w:pPr>
      <w:pBdr>
        <w:top w:val="double" w:sz="6" w:space="1" w:color="auto"/>
        <w:left w:val="double" w:sz="6" w:space="1" w:color="auto"/>
        <w:bottom w:val="double" w:sz="6" w:space="1" w:color="auto"/>
        <w:right w:val="double" w:sz="6" w:space="1" w:color="auto"/>
      </w:pBdr>
      <w:shd w:val="pct5" w:color="auto" w:fill="auto"/>
      <w:spacing w:after="0" w:line="360" w:lineRule="atLeast"/>
      <w:jc w:val="center"/>
    </w:pPr>
    <w:rPr>
      <w:rFonts w:ascii="Helvetica" w:eastAsia="Times New Roman" w:hAnsi="Helvetica"/>
      <w:b/>
      <w:caps/>
      <w:sz w:val="28"/>
      <w:szCs w:val="20"/>
      <w:lang w:eastAsia="fr-FR"/>
    </w:rPr>
  </w:style>
  <w:style w:type="paragraph" w:customStyle="1" w:styleId="Normal30">
    <w:name w:val="Normal3"/>
    <w:basedOn w:val="Normal"/>
    <w:rsid w:val="0010720F"/>
    <w:pPr>
      <w:tabs>
        <w:tab w:val="left" w:pos="1134"/>
      </w:tabs>
      <w:spacing w:after="0" w:line="240" w:lineRule="auto"/>
      <w:jc w:val="both"/>
    </w:pPr>
    <w:rPr>
      <w:rFonts w:ascii="Times New Roman" w:eastAsia="Times New Roman" w:hAnsi="Times New Roman"/>
      <w:sz w:val="23"/>
      <w:szCs w:val="20"/>
    </w:rPr>
  </w:style>
  <w:style w:type="paragraph" w:customStyle="1" w:styleId="xl24">
    <w:name w:val="xl24"/>
    <w:basedOn w:val="Normal"/>
    <w:rsid w:val="0010720F"/>
    <w:pPr>
      <w:pBdr>
        <w:top w:val="single" w:sz="8" w:space="0" w:color="auto"/>
        <w:bottom w:val="single" w:sz="8" w:space="0" w:color="auto"/>
      </w:pBdr>
      <w:spacing w:before="100" w:beforeAutospacing="1" w:after="100" w:afterAutospacing="1" w:line="240" w:lineRule="auto"/>
      <w:jc w:val="center"/>
    </w:pPr>
    <w:rPr>
      <w:rFonts w:ascii="Arial Unicode MS" w:eastAsia="Arial Unicode MS" w:hAnsi="Arial Unicode MS" w:cs="Arial Unicode MS"/>
      <w:sz w:val="24"/>
      <w:szCs w:val="24"/>
      <w:lang w:val="fr-CA"/>
    </w:rPr>
  </w:style>
  <w:style w:type="paragraph" w:customStyle="1" w:styleId="xl25">
    <w:name w:val="xl25"/>
    <w:basedOn w:val="Normal"/>
    <w:rsid w:val="0010720F"/>
    <w:pPr>
      <w:pBdr>
        <w:top w:val="single" w:sz="8" w:space="0" w:color="auto"/>
        <w:bottom w:val="single" w:sz="8" w:space="0" w:color="auto"/>
        <w:right w:val="single" w:sz="8" w:space="0" w:color="auto"/>
      </w:pBdr>
      <w:spacing w:before="100" w:beforeAutospacing="1" w:after="100" w:afterAutospacing="1" w:line="240" w:lineRule="auto"/>
      <w:jc w:val="both"/>
    </w:pPr>
    <w:rPr>
      <w:rFonts w:ascii="Arial Unicode MS" w:eastAsia="Arial Unicode MS" w:hAnsi="Arial Unicode MS" w:cs="Arial Unicode MS"/>
      <w:sz w:val="24"/>
      <w:szCs w:val="24"/>
      <w:lang w:val="fr-CA"/>
    </w:rPr>
  </w:style>
  <w:style w:type="paragraph" w:customStyle="1" w:styleId="xl26">
    <w:name w:val="xl26"/>
    <w:basedOn w:val="Normal"/>
    <w:rsid w:val="0010720F"/>
    <w:pPr>
      <w:pBdr>
        <w:top w:val="single" w:sz="8" w:space="0" w:color="auto"/>
        <w:left w:val="single" w:sz="8" w:space="0" w:color="auto"/>
        <w:right w:val="single" w:sz="8" w:space="0" w:color="auto"/>
      </w:pBdr>
      <w:spacing w:before="100" w:beforeAutospacing="1" w:after="100" w:afterAutospacing="1" w:line="240" w:lineRule="auto"/>
      <w:jc w:val="both"/>
    </w:pPr>
    <w:rPr>
      <w:rFonts w:ascii="Arial" w:eastAsia="Arial Unicode MS" w:hAnsi="Arial" w:cs="Arial"/>
      <w:b/>
      <w:bCs/>
      <w:sz w:val="24"/>
      <w:lang w:val="fr-CA"/>
    </w:rPr>
  </w:style>
  <w:style w:type="paragraph" w:customStyle="1" w:styleId="xl27">
    <w:name w:val="xl27"/>
    <w:basedOn w:val="Normal"/>
    <w:rsid w:val="0010720F"/>
    <w:pPr>
      <w:pBdr>
        <w:top w:val="single" w:sz="8" w:space="0" w:color="auto"/>
        <w:left w:val="single" w:sz="8" w:space="0" w:color="auto"/>
      </w:pBdr>
      <w:spacing w:before="100" w:beforeAutospacing="1" w:after="100" w:afterAutospacing="1" w:line="240" w:lineRule="auto"/>
      <w:jc w:val="center"/>
    </w:pPr>
    <w:rPr>
      <w:rFonts w:ascii="Arial Unicode MS" w:eastAsia="Arial Unicode MS" w:hAnsi="Arial Unicode MS" w:cs="Arial Unicode MS"/>
      <w:sz w:val="24"/>
      <w:szCs w:val="24"/>
      <w:lang w:val="fr-CA"/>
    </w:rPr>
  </w:style>
  <w:style w:type="paragraph" w:customStyle="1" w:styleId="xl28">
    <w:name w:val="xl28"/>
    <w:basedOn w:val="Normal"/>
    <w:rsid w:val="0010720F"/>
    <w:pPr>
      <w:pBdr>
        <w:top w:val="single" w:sz="8" w:space="0" w:color="auto"/>
      </w:pBdr>
      <w:spacing w:before="100" w:beforeAutospacing="1" w:after="100" w:afterAutospacing="1" w:line="240" w:lineRule="auto"/>
      <w:jc w:val="center"/>
    </w:pPr>
    <w:rPr>
      <w:rFonts w:ascii="Arial Unicode MS" w:eastAsia="Arial Unicode MS" w:hAnsi="Arial Unicode MS" w:cs="Arial Unicode MS"/>
      <w:sz w:val="24"/>
      <w:szCs w:val="24"/>
      <w:lang w:val="fr-CA"/>
    </w:rPr>
  </w:style>
  <w:style w:type="paragraph" w:customStyle="1" w:styleId="xl29">
    <w:name w:val="xl29"/>
    <w:basedOn w:val="Normal"/>
    <w:rsid w:val="0010720F"/>
    <w:pPr>
      <w:pBdr>
        <w:top w:val="single" w:sz="8" w:space="0" w:color="auto"/>
        <w:right w:val="single" w:sz="8" w:space="0" w:color="auto"/>
      </w:pBdr>
      <w:spacing w:before="100" w:beforeAutospacing="1" w:after="100" w:afterAutospacing="1" w:line="240" w:lineRule="auto"/>
      <w:jc w:val="both"/>
    </w:pPr>
    <w:rPr>
      <w:rFonts w:ascii="Arial Unicode MS" w:eastAsia="Arial Unicode MS" w:hAnsi="Arial Unicode MS" w:cs="Arial Unicode MS"/>
      <w:sz w:val="24"/>
      <w:szCs w:val="24"/>
      <w:lang w:val="fr-CA"/>
    </w:rPr>
  </w:style>
  <w:style w:type="paragraph" w:customStyle="1" w:styleId="xl30">
    <w:name w:val="xl30"/>
    <w:basedOn w:val="Normal"/>
    <w:rsid w:val="001072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val="fr-CA"/>
    </w:rPr>
  </w:style>
  <w:style w:type="paragraph" w:customStyle="1" w:styleId="xl31">
    <w:name w:val="xl31"/>
    <w:basedOn w:val="Normal"/>
    <w:rsid w:val="0010720F"/>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both"/>
    </w:pPr>
    <w:rPr>
      <w:rFonts w:ascii="Arial" w:eastAsia="Arial Unicode MS" w:hAnsi="Arial" w:cs="Arial"/>
      <w:sz w:val="24"/>
      <w:lang w:val="fr-CA"/>
    </w:rPr>
  </w:style>
  <w:style w:type="paragraph" w:customStyle="1" w:styleId="xl32">
    <w:name w:val="xl32"/>
    <w:basedOn w:val="Normal"/>
    <w:rsid w:val="0010720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val="fr-CA"/>
    </w:rPr>
  </w:style>
  <w:style w:type="paragraph" w:customStyle="1" w:styleId="xl33">
    <w:name w:val="xl33"/>
    <w:basedOn w:val="Normal"/>
    <w:rsid w:val="0010720F"/>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Unicode MS" w:eastAsia="Arial Unicode MS" w:hAnsi="Arial Unicode MS" w:cs="Arial Unicode MS"/>
      <w:sz w:val="24"/>
      <w:szCs w:val="24"/>
      <w:lang w:val="fr-CA"/>
    </w:rPr>
  </w:style>
  <w:style w:type="paragraph" w:customStyle="1" w:styleId="xl34">
    <w:name w:val="xl34"/>
    <w:basedOn w:val="Normal"/>
    <w:rsid w:val="0010720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both"/>
    </w:pPr>
    <w:rPr>
      <w:rFonts w:ascii="Arial" w:eastAsia="Arial Unicode MS" w:hAnsi="Arial" w:cs="Arial"/>
      <w:sz w:val="24"/>
      <w:lang w:val="fr-CA"/>
    </w:rPr>
  </w:style>
  <w:style w:type="paragraph" w:customStyle="1" w:styleId="xl35">
    <w:name w:val="xl35"/>
    <w:basedOn w:val="Normal"/>
    <w:rsid w:val="0010720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Unicode MS" w:eastAsia="Arial Unicode MS" w:hAnsi="Arial Unicode MS" w:cs="Arial Unicode MS"/>
      <w:sz w:val="24"/>
      <w:szCs w:val="24"/>
      <w:lang w:val="fr-CA"/>
    </w:rPr>
  </w:style>
  <w:style w:type="paragraph" w:customStyle="1" w:styleId="xl36">
    <w:name w:val="xl36"/>
    <w:basedOn w:val="Normal"/>
    <w:rsid w:val="0010720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both"/>
    </w:pPr>
    <w:rPr>
      <w:rFonts w:ascii="Arial" w:eastAsia="Arial Unicode MS" w:hAnsi="Arial" w:cs="Arial"/>
      <w:b/>
      <w:bCs/>
      <w:sz w:val="24"/>
      <w:u w:val="single"/>
      <w:lang w:val="fr-CA"/>
    </w:rPr>
  </w:style>
  <w:style w:type="paragraph" w:customStyle="1" w:styleId="xl37">
    <w:name w:val="xl37"/>
    <w:basedOn w:val="Normal"/>
    <w:rsid w:val="0010720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both"/>
    </w:pPr>
    <w:rPr>
      <w:rFonts w:ascii="Arial" w:eastAsia="Arial Unicode MS" w:hAnsi="Arial" w:cs="Arial"/>
      <w:b/>
      <w:bCs/>
      <w:sz w:val="24"/>
      <w:lang w:val="fr-CA"/>
    </w:rPr>
  </w:style>
  <w:style w:type="paragraph" w:customStyle="1" w:styleId="xl38">
    <w:name w:val="xl38"/>
    <w:basedOn w:val="Normal"/>
    <w:rsid w:val="0010720F"/>
    <w:pPr>
      <w:pBdr>
        <w:top w:val="single" w:sz="4" w:space="0" w:color="auto"/>
        <w:left w:val="single" w:sz="8" w:space="0" w:color="auto"/>
        <w:right w:val="single" w:sz="4" w:space="0" w:color="auto"/>
      </w:pBdr>
      <w:spacing w:before="100" w:beforeAutospacing="1" w:after="100" w:afterAutospacing="1" w:line="240" w:lineRule="auto"/>
      <w:jc w:val="both"/>
    </w:pPr>
    <w:rPr>
      <w:rFonts w:ascii="Arial" w:eastAsia="Arial Unicode MS" w:hAnsi="Arial" w:cs="Arial"/>
      <w:sz w:val="24"/>
      <w:lang w:val="fr-CA"/>
    </w:rPr>
  </w:style>
  <w:style w:type="paragraph" w:customStyle="1" w:styleId="txt">
    <w:name w:val="txt"/>
    <w:basedOn w:val="Normal"/>
    <w:rsid w:val="0010720F"/>
    <w:pPr>
      <w:spacing w:before="100" w:beforeAutospacing="1" w:after="100" w:afterAutospacing="1" w:line="240" w:lineRule="auto"/>
      <w:jc w:val="both"/>
    </w:pPr>
    <w:rPr>
      <w:rFonts w:ascii="Geneva" w:eastAsia="Arial Unicode MS" w:hAnsi="Geneva" w:cs="Arial Unicode MS"/>
      <w:color w:val="000000"/>
      <w:sz w:val="12"/>
      <w:szCs w:val="12"/>
      <w:lang w:val="en-GB"/>
    </w:rPr>
  </w:style>
  <w:style w:type="paragraph" w:customStyle="1" w:styleId="sous-titre0">
    <w:name w:val="sous-titre"/>
    <w:basedOn w:val="Normal"/>
    <w:rsid w:val="0010720F"/>
    <w:pPr>
      <w:spacing w:before="100" w:beforeAutospacing="1" w:after="100" w:afterAutospacing="1" w:line="240" w:lineRule="auto"/>
      <w:jc w:val="both"/>
    </w:pPr>
    <w:rPr>
      <w:rFonts w:ascii="Arial" w:eastAsia="Arial Unicode MS" w:hAnsi="Arial" w:cs="Arial"/>
      <w:b/>
      <w:bCs/>
      <w:color w:val="00264D"/>
      <w:sz w:val="18"/>
      <w:szCs w:val="18"/>
      <w:lang w:val="en-GB"/>
    </w:rPr>
  </w:style>
  <w:style w:type="character" w:customStyle="1" w:styleId="gras1">
    <w:name w:val="gras1"/>
    <w:rsid w:val="0010720F"/>
    <w:rPr>
      <w:b/>
      <w:bCs/>
    </w:rPr>
  </w:style>
  <w:style w:type="character" w:customStyle="1" w:styleId="txt-bleu1">
    <w:name w:val="txt-bleu1"/>
    <w:rsid w:val="0010720F"/>
    <w:rPr>
      <w:rFonts w:ascii="Geneva" w:hAnsi="Geneva" w:hint="default"/>
      <w:color w:val="00264D"/>
      <w:sz w:val="12"/>
      <w:szCs w:val="12"/>
    </w:rPr>
  </w:style>
  <w:style w:type="character" w:customStyle="1" w:styleId="txt-petit1">
    <w:name w:val="txt-petit1"/>
    <w:rsid w:val="0010720F"/>
    <w:rPr>
      <w:rFonts w:ascii="Geneva" w:hAnsi="Geneva" w:hint="default"/>
      <w:sz w:val="10"/>
      <w:szCs w:val="10"/>
    </w:rPr>
  </w:style>
  <w:style w:type="paragraph" w:customStyle="1" w:styleId="douzepix">
    <w:name w:val="douzepix"/>
    <w:basedOn w:val="Normal"/>
    <w:rsid w:val="0010720F"/>
    <w:pPr>
      <w:spacing w:before="100" w:beforeAutospacing="1" w:after="100" w:afterAutospacing="1" w:line="240" w:lineRule="auto"/>
      <w:jc w:val="both"/>
    </w:pPr>
    <w:rPr>
      <w:rFonts w:ascii="Verdana" w:eastAsia="Times New Roman" w:hAnsi="Verdana"/>
      <w:b/>
      <w:bCs/>
      <w:color w:val="990000"/>
      <w:sz w:val="20"/>
      <w:szCs w:val="20"/>
      <w:lang w:eastAsia="fr-FR"/>
    </w:rPr>
  </w:style>
  <w:style w:type="character" w:customStyle="1" w:styleId="p16">
    <w:name w:val="p16"/>
    <w:rsid w:val="0010720F"/>
  </w:style>
  <w:style w:type="character" w:customStyle="1" w:styleId="p14">
    <w:name w:val="p14"/>
    <w:rsid w:val="0010720F"/>
  </w:style>
  <w:style w:type="paragraph" w:customStyle="1" w:styleId="C6111">
    <w:name w:val="C6111"/>
    <w:basedOn w:val="Titre40"/>
    <w:rsid w:val="0010720F"/>
    <w:pPr>
      <w:numPr>
        <w:ilvl w:val="0"/>
        <w:numId w:val="0"/>
      </w:numPr>
      <w:tabs>
        <w:tab w:val="num" w:pos="1423"/>
      </w:tabs>
      <w:spacing w:before="0" w:after="0" w:line="360" w:lineRule="auto"/>
      <w:ind w:left="1423" w:hanging="720"/>
      <w:jc w:val="both"/>
    </w:pPr>
    <w:rPr>
      <w:rFonts w:ascii="Arial" w:hAnsi="Arial" w:cs="Arial"/>
      <w:bCs w:val="0"/>
      <w:sz w:val="20"/>
      <w:szCs w:val="20"/>
    </w:rPr>
  </w:style>
  <w:style w:type="paragraph" w:customStyle="1" w:styleId="Chapter1">
    <w:name w:val="Chapter1"/>
    <w:basedOn w:val="En-tte"/>
    <w:autoRedefine/>
    <w:rsid w:val="0010720F"/>
    <w:pPr>
      <w:tabs>
        <w:tab w:val="clear" w:pos="4536"/>
        <w:tab w:val="clear" w:pos="9072"/>
      </w:tabs>
      <w:spacing w:after="0" w:line="240" w:lineRule="auto"/>
      <w:jc w:val="right"/>
    </w:pPr>
    <w:rPr>
      <w:rFonts w:ascii="Arial" w:eastAsia="Times New Roman" w:hAnsi="Arial"/>
      <w:b/>
      <w:sz w:val="20"/>
      <w:szCs w:val="24"/>
      <w:u w:val="single"/>
      <w:lang w:val="fr-CA"/>
    </w:rPr>
  </w:style>
  <w:style w:type="paragraph" w:customStyle="1" w:styleId="Impact2">
    <w:name w:val="Impact2"/>
    <w:basedOn w:val="IMPACT1"/>
    <w:autoRedefine/>
    <w:rsid w:val="0010720F"/>
    <w:pPr>
      <w:keepLines/>
      <w:tabs>
        <w:tab w:val="clear" w:pos="1004"/>
        <w:tab w:val="left" w:pos="3255"/>
      </w:tabs>
      <w:spacing w:before="40" w:line="360" w:lineRule="auto"/>
      <w:ind w:left="0" w:firstLine="741"/>
      <w:jc w:val="both"/>
    </w:pPr>
    <w:rPr>
      <w:b w:val="0"/>
      <w:bCs/>
      <w:sz w:val="22"/>
      <w:szCs w:val="22"/>
      <w:u w:val="none"/>
    </w:rPr>
  </w:style>
  <w:style w:type="paragraph" w:customStyle="1" w:styleId="impact3">
    <w:name w:val="impact3"/>
    <w:basedOn w:val="Impact2"/>
    <w:autoRedefine/>
    <w:rsid w:val="0010720F"/>
  </w:style>
  <w:style w:type="paragraph" w:customStyle="1" w:styleId="Impact50">
    <w:name w:val="Impact5"/>
    <w:basedOn w:val="IMPACT4"/>
    <w:rsid w:val="0010720F"/>
  </w:style>
  <w:style w:type="paragraph" w:customStyle="1" w:styleId="StyleIMPACT1Aprs12pt">
    <w:name w:val="Style IMPACT1 + Après : 12 pt"/>
    <w:basedOn w:val="IMPACT1"/>
    <w:rsid w:val="0010720F"/>
    <w:pPr>
      <w:keepLines/>
      <w:spacing w:before="40" w:after="240"/>
      <w:jc w:val="both"/>
    </w:pPr>
    <w:rPr>
      <w:bCs/>
    </w:rPr>
  </w:style>
  <w:style w:type="paragraph" w:customStyle="1" w:styleId="StyleIMPACT1Aprs12pt1">
    <w:name w:val="Style IMPACT1 + Après : 12 pt1"/>
    <w:basedOn w:val="IMPACT1"/>
    <w:rsid w:val="0010720F"/>
    <w:pPr>
      <w:keepLines/>
      <w:spacing w:before="40" w:after="240"/>
      <w:ind w:left="1429"/>
      <w:jc w:val="both"/>
    </w:pPr>
    <w:rPr>
      <w:bCs/>
    </w:rPr>
  </w:style>
  <w:style w:type="paragraph" w:customStyle="1" w:styleId="ET-1">
    <w:name w:val="ET-1"/>
    <w:basedOn w:val="Titre30"/>
    <w:rsid w:val="0010720F"/>
    <w:pPr>
      <w:numPr>
        <w:ilvl w:val="0"/>
        <w:numId w:val="0"/>
      </w:numPr>
      <w:tabs>
        <w:tab w:val="left" w:pos="709"/>
        <w:tab w:val="num" w:pos="2041"/>
      </w:tabs>
      <w:spacing w:before="0" w:after="0"/>
      <w:ind w:left="2041" w:hanging="1814"/>
      <w:jc w:val="both"/>
    </w:pPr>
    <w:rPr>
      <w:rFonts w:eastAsia="Calibri"/>
      <w:i/>
      <w:caps/>
      <w:color w:val="FF0000"/>
      <w:sz w:val="24"/>
      <w:lang w:eastAsia="en-US"/>
    </w:rPr>
  </w:style>
  <w:style w:type="paragraph" w:customStyle="1" w:styleId="descriptif">
    <w:name w:val="descriptif"/>
    <w:basedOn w:val="Normal"/>
    <w:rsid w:val="0010720F"/>
    <w:pPr>
      <w:spacing w:before="100" w:beforeAutospacing="1" w:after="100" w:afterAutospacing="1" w:line="240" w:lineRule="auto"/>
      <w:jc w:val="both"/>
    </w:pPr>
    <w:rPr>
      <w:rFonts w:ascii="Times New Roman" w:eastAsia="Times New Roman" w:hAnsi="Times New Roman"/>
      <w:sz w:val="24"/>
      <w:szCs w:val="24"/>
      <w:lang w:eastAsia="fr-FR"/>
    </w:rPr>
  </w:style>
  <w:style w:type="paragraph" w:customStyle="1" w:styleId="Corpsdetexte22">
    <w:name w:val="Corps de texte 22"/>
    <w:basedOn w:val="Normal"/>
    <w:rsid w:val="0010720F"/>
    <w:pPr>
      <w:overflowPunct w:val="0"/>
      <w:autoSpaceDE w:val="0"/>
      <w:autoSpaceDN w:val="0"/>
      <w:adjustRightInd w:val="0"/>
      <w:spacing w:before="120" w:after="120" w:line="240" w:lineRule="auto"/>
      <w:jc w:val="both"/>
      <w:textAlignment w:val="baseline"/>
    </w:pPr>
    <w:rPr>
      <w:rFonts w:ascii="Arial" w:eastAsia="Times New Roman" w:hAnsi="Arial"/>
      <w:sz w:val="24"/>
      <w:szCs w:val="20"/>
      <w:lang w:eastAsia="fr-FR"/>
    </w:rPr>
  </w:style>
  <w:style w:type="paragraph" w:customStyle="1" w:styleId="Style">
    <w:name w:val="Style"/>
    <w:rsid w:val="0010720F"/>
    <w:pPr>
      <w:widowControl w:val="0"/>
      <w:autoSpaceDE w:val="0"/>
      <w:autoSpaceDN w:val="0"/>
      <w:adjustRightInd w:val="0"/>
      <w:spacing w:after="0" w:line="240" w:lineRule="auto"/>
    </w:pPr>
    <w:rPr>
      <w:rFonts w:ascii="Times New Roman" w:eastAsia="Times New Roman" w:hAnsi="Times New Roman" w:cs="Times New Roman"/>
      <w:sz w:val="24"/>
      <w:szCs w:val="24"/>
      <w:lang w:eastAsia="fr-FR"/>
    </w:rPr>
  </w:style>
  <w:style w:type="paragraph" w:customStyle="1" w:styleId="Tramecouleur-Accent11">
    <w:name w:val="Trame couleur - Accent 11"/>
    <w:hidden/>
    <w:uiPriority w:val="99"/>
    <w:semiHidden/>
    <w:rsid w:val="0010720F"/>
    <w:pPr>
      <w:spacing w:after="0" w:line="240" w:lineRule="auto"/>
    </w:pPr>
    <w:rPr>
      <w:rFonts w:ascii="Calibri" w:eastAsia="Calibri" w:hAnsi="Calibri" w:cs="Times New Roman"/>
    </w:rPr>
  </w:style>
  <w:style w:type="paragraph" w:customStyle="1" w:styleId="Tramecouleur-Accent12">
    <w:name w:val="Trame couleur - Accent 12"/>
    <w:hidden/>
    <w:uiPriority w:val="99"/>
    <w:semiHidden/>
    <w:rsid w:val="0010720F"/>
    <w:pPr>
      <w:spacing w:after="0" w:line="240" w:lineRule="auto"/>
    </w:pPr>
    <w:rPr>
      <w:rFonts w:ascii="Calibri" w:eastAsia="Calibri" w:hAnsi="Calibri" w:cs="Times New Roman"/>
    </w:rPr>
  </w:style>
  <w:style w:type="paragraph" w:customStyle="1" w:styleId="CM34">
    <w:name w:val="CM34"/>
    <w:basedOn w:val="Default"/>
    <w:next w:val="Default"/>
    <w:uiPriority w:val="99"/>
    <w:rsid w:val="0010720F"/>
    <w:pPr>
      <w:widowControl w:val="0"/>
    </w:pPr>
    <w:rPr>
      <w:rFonts w:ascii="SDFIMD+TTE17EDD50t00" w:eastAsia="MS Mincho" w:hAnsi="SDFIMD+TTE17EDD50t00" w:cs="Times New Roman"/>
      <w:color w:val="auto"/>
      <w:lang w:eastAsia="fr-FR"/>
    </w:rPr>
  </w:style>
  <w:style w:type="paragraph" w:customStyle="1" w:styleId="BVIfnrCarCarCarCarCarCar">
    <w:name w:val="BVI fnr Car Car Car Car Car Car"/>
    <w:aliases w:val="BVI fnr Car Car Car Car1 Car Car Car Car,BVI fnr Car Car Car Car Car Car Car,BVI fnr Car Car Car Car Car Car Car Car Car Car,BVI fnr Car Car Car Car Char Car Car Car Car Car Car Car,BVI fnr Car Car"/>
    <w:basedOn w:val="Normal"/>
    <w:next w:val="Normal"/>
    <w:uiPriority w:val="99"/>
    <w:rsid w:val="0010720F"/>
    <w:pPr>
      <w:spacing w:line="240" w:lineRule="exact"/>
    </w:pPr>
    <w:rPr>
      <w:rFonts w:eastAsia="Times New Roman"/>
      <w:sz w:val="21"/>
      <w:szCs w:val="21"/>
      <w:vertAlign w:val="superscript"/>
    </w:rPr>
  </w:style>
  <w:style w:type="character" w:customStyle="1" w:styleId="Mentionnonrsolue9">
    <w:name w:val="Mention non résolue9"/>
    <w:uiPriority w:val="99"/>
    <w:semiHidden/>
    <w:unhideWhenUsed/>
    <w:rsid w:val="0010720F"/>
    <w:rPr>
      <w:color w:val="605E5C"/>
      <w:shd w:val="clear" w:color="auto" w:fill="E1DFDD"/>
    </w:rPr>
  </w:style>
  <w:style w:type="numbering" w:customStyle="1" w:styleId="Aucuneliste5">
    <w:name w:val="Aucune liste5"/>
    <w:next w:val="Aucuneliste"/>
    <w:uiPriority w:val="99"/>
    <w:semiHidden/>
    <w:unhideWhenUsed/>
    <w:rsid w:val="0010720F"/>
  </w:style>
  <w:style w:type="table" w:customStyle="1" w:styleId="Listecouleur-Accent15">
    <w:name w:val="Liste couleur - Accent 15"/>
    <w:basedOn w:val="TableauNormal"/>
    <w:uiPriority w:val="34"/>
    <w:semiHidden/>
    <w:unhideWhenUsed/>
    <w:rsid w:val="0010720F"/>
    <w:pPr>
      <w:spacing w:after="0" w:line="240" w:lineRule="auto"/>
    </w:pPr>
    <w:rPr>
      <w:rFonts w:ascii="Cambria" w:eastAsia="Calibri" w:hAnsi="Cambria" w:cs="Times New Roman"/>
      <w:sz w:val="24"/>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character" w:customStyle="1" w:styleId="Grillemoyenne2Car1">
    <w:name w:val="Grille moyenne 2 Car1"/>
    <w:link w:val="Grillemoyenne21"/>
    <w:uiPriority w:val="1"/>
    <w:rsid w:val="0010720F"/>
    <w:rPr>
      <w:rFonts w:ascii="Calibri" w:eastAsia="Calibri" w:hAnsi="Calibri" w:cs="Times New Roman"/>
    </w:rPr>
  </w:style>
  <w:style w:type="paragraph" w:customStyle="1" w:styleId="Style5">
    <w:name w:val="Style5"/>
    <w:basedOn w:val="Titre50"/>
    <w:link w:val="Style5Char"/>
    <w:autoRedefine/>
    <w:qFormat/>
    <w:rsid w:val="0010720F"/>
    <w:pPr>
      <w:keepNext/>
      <w:keepLines/>
      <w:numPr>
        <w:ilvl w:val="5"/>
        <w:numId w:val="194"/>
      </w:numPr>
      <w:tabs>
        <w:tab w:val="clear" w:pos="4320"/>
      </w:tabs>
      <w:spacing w:before="40" w:after="0" w:line="259" w:lineRule="auto"/>
      <w:ind w:left="1080" w:hanging="1080"/>
    </w:pPr>
    <w:rPr>
      <w:rFonts w:ascii="Calibri Light" w:hAnsi="Calibri Light"/>
      <w:b w:val="0"/>
      <w:bCs w:val="0"/>
      <w:i w:val="0"/>
      <w:iCs w:val="0"/>
      <w:color w:val="2F5496"/>
      <w:sz w:val="22"/>
      <w:szCs w:val="22"/>
    </w:rPr>
  </w:style>
  <w:style w:type="character" w:customStyle="1" w:styleId="hgkelc">
    <w:name w:val="hgkelc"/>
    <w:rsid w:val="0010720F"/>
  </w:style>
  <w:style w:type="paragraph" w:customStyle="1" w:styleId="Listemoyenne1-Accent41">
    <w:name w:val="Liste moyenne 1 - Accent 41"/>
    <w:hidden/>
    <w:uiPriority w:val="99"/>
    <w:semiHidden/>
    <w:rsid w:val="0010720F"/>
    <w:pPr>
      <w:spacing w:after="0" w:line="240" w:lineRule="auto"/>
    </w:pPr>
    <w:rPr>
      <w:rFonts w:ascii="Calibri" w:eastAsia="Calibri" w:hAnsi="Calibri" w:cs="Times New Roman"/>
    </w:rPr>
  </w:style>
  <w:style w:type="paragraph" w:customStyle="1" w:styleId="Listecouleur-Accent21">
    <w:name w:val="Liste couleur - Accent 21"/>
    <w:link w:val="Listecouleur-Accent2Car"/>
    <w:uiPriority w:val="1"/>
    <w:qFormat/>
    <w:rsid w:val="0010720F"/>
    <w:pPr>
      <w:spacing w:after="0" w:line="240" w:lineRule="auto"/>
    </w:pPr>
    <w:rPr>
      <w:rFonts w:ascii="Calibri" w:eastAsia="Times New Roman" w:hAnsi="Calibri" w:cs="Times New Roman"/>
      <w:lang w:eastAsia="fr-FR"/>
    </w:rPr>
  </w:style>
  <w:style w:type="character" w:customStyle="1" w:styleId="Listecouleur-Accent2Car">
    <w:name w:val="Liste couleur - Accent 2 Car"/>
    <w:link w:val="Listecouleur-Accent21"/>
    <w:uiPriority w:val="1"/>
    <w:rsid w:val="0010720F"/>
    <w:rPr>
      <w:rFonts w:ascii="Calibri" w:eastAsia="Times New Roman" w:hAnsi="Calibri" w:cs="Times New Roman"/>
      <w:lang w:eastAsia="fr-FR"/>
    </w:rPr>
  </w:style>
  <w:style w:type="paragraph" w:customStyle="1" w:styleId="Grillemoyenne2-Accent41">
    <w:name w:val="Grille moyenne 2 - Accent 41"/>
    <w:basedOn w:val="Normal"/>
    <w:next w:val="Normal"/>
    <w:link w:val="Grillemoyenne2-Accent4Car"/>
    <w:uiPriority w:val="30"/>
    <w:qFormat/>
    <w:rsid w:val="0010720F"/>
    <w:pPr>
      <w:pBdr>
        <w:top w:val="single" w:sz="4" w:space="10" w:color="4F81BD"/>
        <w:bottom w:val="single" w:sz="4" w:space="10" w:color="4F81BD"/>
      </w:pBdr>
      <w:spacing w:before="360" w:after="360" w:line="240" w:lineRule="auto"/>
      <w:ind w:left="864" w:right="864"/>
      <w:jc w:val="center"/>
    </w:pPr>
    <w:rPr>
      <w:i/>
      <w:iCs/>
      <w:color w:val="4F81BD"/>
      <w:sz w:val="24"/>
      <w:szCs w:val="24"/>
    </w:rPr>
  </w:style>
  <w:style w:type="character" w:customStyle="1" w:styleId="Grillemoyenne2-Accent4Car">
    <w:name w:val="Grille moyenne 2 - Accent 4 Car"/>
    <w:link w:val="Grillemoyenne2-Accent41"/>
    <w:uiPriority w:val="30"/>
    <w:rsid w:val="0010720F"/>
    <w:rPr>
      <w:rFonts w:ascii="Calibri" w:eastAsia="Calibri" w:hAnsi="Calibri" w:cs="Times New Roman"/>
      <w:i/>
      <w:iCs/>
      <w:color w:val="4F81BD"/>
      <w:sz w:val="24"/>
      <w:szCs w:val="24"/>
    </w:rPr>
  </w:style>
  <w:style w:type="table" w:styleId="TableauListe5Fonc-Accentuation3">
    <w:name w:val="List Table 5 Dark Accent 3"/>
    <w:basedOn w:val="TableauNormal"/>
    <w:uiPriority w:val="49"/>
    <w:rsid w:val="0010720F"/>
    <w:pPr>
      <w:spacing w:after="0" w:line="240" w:lineRule="auto"/>
    </w:pPr>
    <w:rPr>
      <w:rFonts w:ascii="Calibri" w:eastAsia="Calibri" w:hAnsi="Calibri" w:cs="Times New Roman"/>
      <w:sz w:val="24"/>
      <w:szCs w:val="24"/>
      <w:lang w:eastAsia="fr-F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TableauListe6Couleur-Accentuation3">
    <w:name w:val="List Table 6 Colorful Accent 3"/>
    <w:basedOn w:val="TableauNormal"/>
    <w:uiPriority w:val="50"/>
    <w:rsid w:val="0010720F"/>
    <w:pPr>
      <w:spacing w:after="0" w:line="240" w:lineRule="auto"/>
    </w:pPr>
    <w:rPr>
      <w:rFonts w:ascii="Calibri" w:eastAsia="Calibri" w:hAnsi="Calibri" w:cs="Times New Roman"/>
      <w:sz w:val="24"/>
      <w:szCs w:val="24"/>
      <w:lang w:eastAsia="fr-F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styleId="TableauGrille3-Accentuation6">
    <w:name w:val="Grid Table 3 Accent 6"/>
    <w:basedOn w:val="TableauNormal"/>
    <w:uiPriority w:val="47"/>
    <w:rsid w:val="0010720F"/>
    <w:pPr>
      <w:spacing w:after="0" w:line="240" w:lineRule="auto"/>
    </w:pPr>
    <w:rPr>
      <w:rFonts w:ascii="Calibri" w:eastAsia="Calibri" w:hAnsi="Calibri" w:cs="Times New Roman"/>
      <w:sz w:val="20"/>
      <w:szCs w:val="20"/>
      <w:lang w:eastAsia="fr-FR"/>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eauListe4-Accentuation5">
    <w:name w:val="List Table 4 Accent 5"/>
    <w:basedOn w:val="TableauNormal"/>
    <w:uiPriority w:val="48"/>
    <w:rsid w:val="0010720F"/>
    <w:pPr>
      <w:spacing w:after="0" w:line="240" w:lineRule="auto"/>
    </w:pPr>
    <w:rPr>
      <w:rFonts w:ascii="Calibri" w:eastAsia="Calibri" w:hAnsi="Calibri" w:cs="Times New Roman"/>
      <w:sz w:val="20"/>
      <w:szCs w:val="20"/>
      <w:lang w:eastAsia="fr-FR"/>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TableauGrille5Fonc-Accentuation6">
    <w:name w:val="Grid Table 5 Dark Accent 6"/>
    <w:basedOn w:val="TableauNormal"/>
    <w:uiPriority w:val="49"/>
    <w:rsid w:val="0010720F"/>
    <w:pPr>
      <w:spacing w:after="0" w:line="240" w:lineRule="auto"/>
    </w:pPr>
    <w:rPr>
      <w:rFonts w:ascii="Calibri" w:eastAsia="Calibri" w:hAnsi="Calibri" w:cs="Times New Roman"/>
      <w:sz w:val="20"/>
      <w:szCs w:val="20"/>
      <w:lang w:eastAsia="fr-F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Tramemoyenne1-Accent21">
    <w:name w:val="Trame moyenne 1 - Accent 21"/>
    <w:link w:val="Tramemoyenne1-Accent2Car1"/>
    <w:uiPriority w:val="1"/>
    <w:qFormat/>
    <w:rsid w:val="0010720F"/>
    <w:pPr>
      <w:spacing w:after="0" w:line="240" w:lineRule="auto"/>
    </w:pPr>
    <w:rPr>
      <w:rFonts w:ascii="Calibri" w:eastAsia="Times New Roman" w:hAnsi="Calibri" w:cs="Times New Roman"/>
      <w:lang w:eastAsia="fr-FR"/>
    </w:rPr>
  </w:style>
  <w:style w:type="character" w:customStyle="1" w:styleId="Tramemoyenne1-Accent2Car1">
    <w:name w:val="Trame moyenne 1 - Accent 2 Car1"/>
    <w:link w:val="Tramemoyenne1-Accent21"/>
    <w:uiPriority w:val="1"/>
    <w:rsid w:val="0010720F"/>
    <w:rPr>
      <w:rFonts w:ascii="Calibri" w:eastAsia="Times New Roman" w:hAnsi="Calibri" w:cs="Times New Roman"/>
      <w:lang w:eastAsia="fr-FR"/>
    </w:rPr>
  </w:style>
  <w:style w:type="table" w:styleId="TableauListe2-Accentuation4">
    <w:name w:val="List Table 2 Accent 4"/>
    <w:basedOn w:val="TableauNormal"/>
    <w:uiPriority w:val="46"/>
    <w:rsid w:val="0010720F"/>
    <w:pPr>
      <w:spacing w:after="0" w:line="240" w:lineRule="auto"/>
    </w:pPr>
    <w:rPr>
      <w:rFonts w:ascii="Calibri" w:eastAsia="Calibri" w:hAnsi="Calibri" w:cs="Times New Roman"/>
      <w:sz w:val="20"/>
      <w:szCs w:val="20"/>
      <w:lang w:eastAsia="fr-FR"/>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TableauGrille4-Accentuation2">
    <w:name w:val="Grid Table 4 Accent 2"/>
    <w:basedOn w:val="TableauNormal"/>
    <w:uiPriority w:val="40"/>
    <w:rsid w:val="0010720F"/>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auGrille2-Accentuation1">
    <w:name w:val="Grid Table 2 Accent 1"/>
    <w:basedOn w:val="TableauNormal"/>
    <w:uiPriority w:val="40"/>
    <w:rsid w:val="0010720F"/>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Textedelespacerserv0">
    <w:name w:val="Placeholder Text"/>
    <w:uiPriority w:val="99"/>
    <w:semiHidden/>
    <w:rsid w:val="0010720F"/>
    <w:rPr>
      <w:color w:val="808080"/>
    </w:rPr>
  </w:style>
  <w:style w:type="table" w:styleId="Listefonce-Accent2">
    <w:name w:val="Dark List Accent 2"/>
    <w:basedOn w:val="TableauNormal"/>
    <w:uiPriority w:val="61"/>
    <w:unhideWhenUsed/>
    <w:rsid w:val="0010720F"/>
    <w:pPr>
      <w:spacing w:after="0" w:line="240" w:lineRule="auto"/>
    </w:pPr>
    <w:rPr>
      <w:rFonts w:ascii="Times New Roman" w:eastAsia="Calibri" w:hAnsi="Times New Roman" w:cs="Times New Roman"/>
      <w:sz w:val="24"/>
      <w:szCs w:val="24"/>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Tramemoyenne1-Accent6">
    <w:name w:val="Medium Shading 1 Accent 6"/>
    <w:basedOn w:val="TableauNormal"/>
    <w:uiPriority w:val="63"/>
    <w:unhideWhenUsed/>
    <w:rsid w:val="0010720F"/>
    <w:pPr>
      <w:spacing w:after="0" w:line="240" w:lineRule="auto"/>
    </w:pPr>
    <w:rPr>
      <w:rFonts w:ascii="Calibri" w:eastAsia="Calibri" w:hAnsi="Calibri" w:cs="Times New Roman"/>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paragraph" w:customStyle="1" w:styleId="pucetableau">
    <w:name w:val="puce tableau"/>
    <w:basedOn w:val="Normal"/>
    <w:link w:val="pucetableauCar"/>
    <w:autoRedefine/>
    <w:qFormat/>
    <w:rsid w:val="0010720F"/>
    <w:pPr>
      <w:spacing w:after="240" w:line="240" w:lineRule="auto"/>
      <w:ind w:left="720" w:hanging="360"/>
      <w:contextualSpacing/>
      <w:jc w:val="both"/>
    </w:pPr>
    <w:rPr>
      <w:rFonts w:ascii="Times New Roman" w:hAnsi="Times New Roman"/>
      <w:noProof/>
      <w:sz w:val="24"/>
      <w:szCs w:val="21"/>
      <w:lang w:eastAsia="fr-FR"/>
    </w:rPr>
  </w:style>
  <w:style w:type="character" w:customStyle="1" w:styleId="pucetableauCar">
    <w:name w:val="puce tableau Car"/>
    <w:link w:val="pucetableau"/>
    <w:rsid w:val="0010720F"/>
    <w:rPr>
      <w:rFonts w:ascii="Times New Roman" w:eastAsia="Calibri" w:hAnsi="Times New Roman" w:cs="Times New Roman"/>
      <w:noProof/>
      <w:sz w:val="24"/>
      <w:szCs w:val="21"/>
      <w:lang w:eastAsia="fr-FR"/>
    </w:rPr>
  </w:style>
  <w:style w:type="table" w:customStyle="1" w:styleId="GT06">
    <w:name w:val="GT06"/>
    <w:basedOn w:val="TableauNormal"/>
    <w:next w:val="Grilledutableau"/>
    <w:uiPriority w:val="39"/>
    <w:qFormat/>
    <w:rsid w:val="0010720F"/>
    <w:pPr>
      <w:spacing w:after="0" w:line="300" w:lineRule="exact"/>
      <w:jc w:val="both"/>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3">
    <w:name w:val="Grille du tableau143"/>
    <w:basedOn w:val="TableauNormal"/>
    <w:next w:val="Grilledutableau"/>
    <w:uiPriority w:val="59"/>
    <w:rsid w:val="001072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1">
    <w:name w:val="Plain Table 1"/>
    <w:basedOn w:val="TableauNormal"/>
    <w:uiPriority w:val="72"/>
    <w:rsid w:val="0010720F"/>
    <w:pPr>
      <w:spacing w:after="0" w:line="240" w:lineRule="auto"/>
    </w:pPr>
    <w:rPr>
      <w:rFonts w:ascii="Calibri" w:eastAsia="Calibri" w:hAnsi="Calibri" w:cs="Times New Roman"/>
      <w:sz w:val="20"/>
      <w:szCs w:val="20"/>
      <w:lang w:val="fr-SN" w:eastAsia="fr-F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ausimple10">
    <w:name w:val="Table Simple 1"/>
    <w:basedOn w:val="TableauNormal"/>
    <w:uiPriority w:val="99"/>
    <w:unhideWhenUsed/>
    <w:rsid w:val="0010720F"/>
    <w:pPr>
      <w:spacing w:after="0" w:line="240" w:lineRule="auto"/>
    </w:pPr>
    <w:rPr>
      <w:rFonts w:ascii="Calibri" w:eastAsia="Calibri" w:hAnsi="Calibri" w:cs="Times New Roman"/>
      <w:sz w:val="20"/>
      <w:szCs w:val="20"/>
      <w:lang w:val="fr-SN"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customStyle="1" w:styleId="ListBullets2">
    <w:name w:val="List Bullets2"/>
    <w:rsid w:val="0010720F"/>
  </w:style>
  <w:style w:type="paragraph" w:customStyle="1" w:styleId="nova-legacy-e-listitem">
    <w:name w:val="nova-legacy-e-list__item"/>
    <w:basedOn w:val="Normal"/>
    <w:rsid w:val="0010720F"/>
    <w:pPr>
      <w:spacing w:before="100" w:beforeAutospacing="1" w:after="100" w:afterAutospacing="1" w:line="240" w:lineRule="auto"/>
    </w:pPr>
    <w:rPr>
      <w:rFonts w:ascii="Times New Roman" w:eastAsia="Times New Roman" w:hAnsi="Times New Roman"/>
      <w:sz w:val="24"/>
      <w:szCs w:val="24"/>
      <w:lang w:val="fr-SN" w:eastAsia="fr-SN"/>
    </w:rPr>
  </w:style>
  <w:style w:type="numbering" w:customStyle="1" w:styleId="Aucuneliste6">
    <w:name w:val="Aucune liste6"/>
    <w:next w:val="Aucuneliste"/>
    <w:uiPriority w:val="99"/>
    <w:semiHidden/>
    <w:unhideWhenUsed/>
    <w:rsid w:val="0010720F"/>
  </w:style>
  <w:style w:type="numbering" w:customStyle="1" w:styleId="Aucuneliste7">
    <w:name w:val="Aucune liste7"/>
    <w:next w:val="Aucuneliste"/>
    <w:uiPriority w:val="99"/>
    <w:semiHidden/>
    <w:unhideWhenUsed/>
    <w:rsid w:val="0010720F"/>
  </w:style>
  <w:style w:type="table" w:customStyle="1" w:styleId="Grilledutableau26">
    <w:name w:val="Grille du tableau26"/>
    <w:basedOn w:val="TableauNormal"/>
    <w:next w:val="Grilledutableau"/>
    <w:uiPriority w:val="39"/>
    <w:rsid w:val="001072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0">
    <w:name w:val="Mention non résolue10"/>
    <w:basedOn w:val="Policepardfaut"/>
    <w:uiPriority w:val="99"/>
    <w:semiHidden/>
    <w:unhideWhenUsed/>
    <w:rsid w:val="004536C4"/>
    <w:rPr>
      <w:color w:val="605E5C"/>
      <w:shd w:val="clear" w:color="auto" w:fill="E1DFDD"/>
    </w:rPr>
  </w:style>
  <w:style w:type="character" w:customStyle="1" w:styleId="reference-text">
    <w:name w:val="reference-text"/>
    <w:basedOn w:val="Policepardfaut"/>
    <w:rsid w:val="00A8575F"/>
  </w:style>
  <w:style w:type="character" w:customStyle="1" w:styleId="UnresolvedMention3">
    <w:name w:val="Unresolved Mention3"/>
    <w:basedOn w:val="Policepardfaut"/>
    <w:uiPriority w:val="99"/>
    <w:semiHidden/>
    <w:unhideWhenUsed/>
    <w:rsid w:val="00677613"/>
    <w:rPr>
      <w:color w:val="605E5C"/>
      <w:shd w:val="clear" w:color="auto" w:fill="E1DFDD"/>
    </w:rPr>
  </w:style>
  <w:style w:type="character" w:customStyle="1" w:styleId="Mentionnonrsolue11">
    <w:name w:val="Mention non résolue11"/>
    <w:basedOn w:val="Policepardfaut"/>
    <w:uiPriority w:val="99"/>
    <w:unhideWhenUsed/>
    <w:rsid w:val="00E46284"/>
    <w:rPr>
      <w:color w:val="605E5C"/>
      <w:shd w:val="clear" w:color="auto" w:fill="E1DFDD"/>
    </w:rPr>
  </w:style>
  <w:style w:type="table" w:customStyle="1" w:styleId="ESTableStyle42">
    <w:name w:val="ES Table Style42"/>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table" w:styleId="Tableauprofessionnel">
    <w:name w:val="Table Professional"/>
    <w:basedOn w:val="TableauNormal"/>
    <w:uiPriority w:val="99"/>
    <w:semiHidden/>
    <w:unhideWhenUsed/>
    <w:rsid w:val="000676A1"/>
    <w:pPr>
      <w:spacing w:after="0" w:line="240" w:lineRule="auto"/>
    </w:pPr>
    <w:rPr>
      <w:rFonts w:eastAsia="SimSun"/>
      <w:sz w:val="24"/>
      <w:szCs w:val="24"/>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HPuces1">
    <w:name w:val="H Puces 1"/>
    <w:basedOn w:val="Normal"/>
    <w:link w:val="HPuces1Car"/>
    <w:autoRedefine/>
    <w:qFormat/>
    <w:rsid w:val="000676A1"/>
    <w:pPr>
      <w:numPr>
        <w:numId w:val="218"/>
      </w:numPr>
      <w:spacing w:before="120" w:after="0" w:line="280" w:lineRule="exact"/>
      <w:jc w:val="both"/>
    </w:pPr>
    <w:rPr>
      <w:rFonts w:ascii="Times New Roman" w:eastAsia="Times New Roman" w:hAnsi="Times New Roman"/>
      <w:b/>
      <w:i/>
      <w:sz w:val="21"/>
      <w:szCs w:val="20"/>
      <w:lang w:eastAsia="fr-FR"/>
      <w14:ligatures w14:val="standardContextual"/>
    </w:rPr>
  </w:style>
  <w:style w:type="character" w:customStyle="1" w:styleId="HPuces1Car">
    <w:name w:val="H Puces 1 Car"/>
    <w:basedOn w:val="Policepardfaut"/>
    <w:link w:val="HPuces1"/>
    <w:rsid w:val="000676A1"/>
    <w:rPr>
      <w:rFonts w:ascii="Times New Roman" w:eastAsia="Times New Roman" w:hAnsi="Times New Roman" w:cs="Times New Roman"/>
      <w:b/>
      <w:i/>
      <w:sz w:val="21"/>
      <w:szCs w:val="20"/>
      <w:lang w:eastAsia="fr-FR"/>
      <w14:ligatures w14:val="standardContextual"/>
    </w:rPr>
  </w:style>
  <w:style w:type="paragraph" w:customStyle="1" w:styleId="HPuces2">
    <w:name w:val="H Puces 2"/>
    <w:basedOn w:val="HPuces1"/>
    <w:link w:val="HPuces2Car"/>
    <w:autoRedefine/>
    <w:qFormat/>
    <w:rsid w:val="000676A1"/>
    <w:pPr>
      <w:numPr>
        <w:numId w:val="0"/>
      </w:numPr>
    </w:pPr>
    <w:rPr>
      <w:rFonts w:eastAsia="Calibri"/>
      <w:b w:val="0"/>
      <w:i w:val="0"/>
      <w:sz w:val="24"/>
      <w:szCs w:val="24"/>
    </w:rPr>
  </w:style>
  <w:style w:type="character" w:customStyle="1" w:styleId="HPuces2Car">
    <w:name w:val="H Puces 2 Car"/>
    <w:basedOn w:val="HPuces1Car"/>
    <w:link w:val="HPuces2"/>
    <w:rsid w:val="000676A1"/>
    <w:rPr>
      <w:rFonts w:ascii="Times New Roman" w:eastAsia="Calibri" w:hAnsi="Times New Roman" w:cs="Times New Roman"/>
      <w:b w:val="0"/>
      <w:i w:val="0"/>
      <w:sz w:val="24"/>
      <w:szCs w:val="24"/>
      <w:lang w:eastAsia="fr-FR"/>
      <w14:ligatures w14:val="standardContextual"/>
    </w:rPr>
  </w:style>
  <w:style w:type="paragraph" w:customStyle="1" w:styleId="T11">
    <w:name w:val="T11"/>
    <w:basedOn w:val="Normal"/>
    <w:next w:val="Normal"/>
    <w:uiPriority w:val="9"/>
    <w:qFormat/>
    <w:rsid w:val="000676A1"/>
    <w:pPr>
      <w:keepNext/>
      <w:keepLines/>
      <w:spacing w:before="240" w:after="0" w:line="240" w:lineRule="auto"/>
      <w:outlineLvl w:val="0"/>
    </w:pPr>
    <w:rPr>
      <w:rFonts w:ascii="Calibri Light" w:eastAsia="MS Gothic" w:hAnsi="Calibri Light"/>
      <w:color w:val="2E74B5"/>
      <w:sz w:val="32"/>
      <w:szCs w:val="32"/>
      <w14:ligatures w14:val="standardContextual"/>
    </w:rPr>
  </w:style>
  <w:style w:type="paragraph" w:customStyle="1" w:styleId="Prestation1">
    <w:name w:val="Prestation1"/>
    <w:basedOn w:val="Normal"/>
    <w:next w:val="Normal"/>
    <w:uiPriority w:val="9"/>
    <w:unhideWhenUsed/>
    <w:qFormat/>
    <w:rsid w:val="000676A1"/>
    <w:pPr>
      <w:keepNext/>
      <w:keepLines/>
      <w:spacing w:before="40" w:after="0" w:line="240" w:lineRule="auto"/>
      <w:outlineLvl w:val="2"/>
    </w:pPr>
    <w:rPr>
      <w:rFonts w:ascii="Calibri Light" w:eastAsia="MS Gothic" w:hAnsi="Calibri Light"/>
      <w:color w:val="1F4D78"/>
      <w:sz w:val="24"/>
      <w:szCs w:val="24"/>
      <w14:ligatures w14:val="standardContextual"/>
    </w:rPr>
  </w:style>
  <w:style w:type="paragraph" w:customStyle="1" w:styleId="chapitre10">
    <w:name w:val="chapitre1"/>
    <w:basedOn w:val="Normal"/>
    <w:next w:val="Normal"/>
    <w:autoRedefine/>
    <w:uiPriority w:val="9"/>
    <w:unhideWhenUsed/>
    <w:qFormat/>
    <w:rsid w:val="000676A1"/>
    <w:pPr>
      <w:keepNext/>
      <w:keepLines/>
      <w:spacing w:before="320" w:after="240" w:line="240" w:lineRule="auto"/>
      <w:jc w:val="both"/>
      <w:outlineLvl w:val="3"/>
    </w:pPr>
    <w:rPr>
      <w:rFonts w:ascii="Arial" w:eastAsia="MS Gothic" w:hAnsi="Arial" w:cs="Arial"/>
      <w:b/>
      <w:bCs/>
      <w:iCs/>
      <w:u w:val="single"/>
      <w14:ligatures w14:val="standardContextual"/>
    </w:rPr>
  </w:style>
  <w:style w:type="paragraph" w:customStyle="1" w:styleId="article1">
    <w:name w:val="article1"/>
    <w:basedOn w:val="Normal"/>
    <w:next w:val="Normal"/>
    <w:autoRedefine/>
    <w:uiPriority w:val="9"/>
    <w:unhideWhenUsed/>
    <w:qFormat/>
    <w:rsid w:val="000676A1"/>
    <w:pPr>
      <w:keepNext/>
      <w:keepLines/>
      <w:spacing w:before="200" w:after="0" w:line="280" w:lineRule="exact"/>
      <w:ind w:left="1008" w:hanging="1008"/>
      <w:jc w:val="both"/>
      <w:outlineLvl w:val="4"/>
    </w:pPr>
    <w:rPr>
      <w:rFonts w:ascii="Calibri Light" w:eastAsia="MS Gothic" w:hAnsi="Calibri Light"/>
      <w:color w:val="1F4D78"/>
      <w:sz w:val="21"/>
      <w:szCs w:val="21"/>
      <w14:ligatures w14:val="standardContextual"/>
    </w:rPr>
  </w:style>
  <w:style w:type="paragraph" w:customStyle="1" w:styleId="T61">
    <w:name w:val="T61"/>
    <w:basedOn w:val="Normal"/>
    <w:next w:val="Normal"/>
    <w:uiPriority w:val="9"/>
    <w:unhideWhenUsed/>
    <w:qFormat/>
    <w:rsid w:val="000676A1"/>
    <w:pPr>
      <w:keepNext/>
      <w:keepLines/>
      <w:spacing w:before="200" w:after="0" w:line="280" w:lineRule="exact"/>
      <w:ind w:left="1152" w:hanging="1152"/>
      <w:jc w:val="both"/>
      <w:outlineLvl w:val="5"/>
    </w:pPr>
    <w:rPr>
      <w:rFonts w:ascii="Calibri Light" w:eastAsia="MS Gothic" w:hAnsi="Calibri Light"/>
      <w:i/>
      <w:iCs/>
      <w:color w:val="1F4D78"/>
      <w:sz w:val="21"/>
      <w:szCs w:val="21"/>
      <w:lang w:val="en-US"/>
      <w14:ligatures w14:val="standardContextual"/>
    </w:rPr>
  </w:style>
  <w:style w:type="paragraph" w:customStyle="1" w:styleId="Annexes1">
    <w:name w:val="Annexes1"/>
    <w:basedOn w:val="Normal"/>
    <w:next w:val="Normal"/>
    <w:uiPriority w:val="9"/>
    <w:unhideWhenUsed/>
    <w:qFormat/>
    <w:rsid w:val="000676A1"/>
    <w:pPr>
      <w:keepNext/>
      <w:keepLines/>
      <w:spacing w:before="200" w:after="0" w:line="280" w:lineRule="exact"/>
      <w:ind w:left="1296" w:hanging="1296"/>
      <w:jc w:val="both"/>
      <w:outlineLvl w:val="6"/>
    </w:pPr>
    <w:rPr>
      <w:rFonts w:ascii="Calibri Light" w:eastAsia="MS Gothic" w:hAnsi="Calibri Light"/>
      <w:i/>
      <w:iCs/>
      <w:color w:val="404040"/>
      <w:sz w:val="21"/>
      <w:szCs w:val="21"/>
      <w:lang w:val="en-US"/>
      <w14:ligatures w14:val="standardContextual"/>
    </w:rPr>
  </w:style>
  <w:style w:type="paragraph" w:customStyle="1" w:styleId="Titre81">
    <w:name w:val="Titre 81"/>
    <w:basedOn w:val="Normal"/>
    <w:next w:val="Normal"/>
    <w:uiPriority w:val="9"/>
    <w:unhideWhenUsed/>
    <w:qFormat/>
    <w:rsid w:val="000676A1"/>
    <w:pPr>
      <w:keepNext/>
      <w:keepLines/>
      <w:spacing w:before="200" w:after="0" w:line="280" w:lineRule="exact"/>
      <w:ind w:left="1440" w:hanging="1440"/>
      <w:jc w:val="both"/>
      <w:outlineLvl w:val="7"/>
    </w:pPr>
    <w:rPr>
      <w:rFonts w:ascii="Calibri Light" w:eastAsia="MS Gothic" w:hAnsi="Calibri Light"/>
      <w:color w:val="404040"/>
      <w:sz w:val="20"/>
      <w:szCs w:val="20"/>
      <w:lang w:val="en-US"/>
      <w14:ligatures w14:val="standardContextual"/>
    </w:rPr>
  </w:style>
  <w:style w:type="paragraph" w:customStyle="1" w:styleId="Titre91">
    <w:name w:val="Titre 91"/>
    <w:basedOn w:val="Normal"/>
    <w:next w:val="Normal"/>
    <w:uiPriority w:val="9"/>
    <w:unhideWhenUsed/>
    <w:qFormat/>
    <w:rsid w:val="000676A1"/>
    <w:pPr>
      <w:keepNext/>
      <w:keepLines/>
      <w:spacing w:before="200" w:after="0" w:line="280" w:lineRule="exact"/>
      <w:ind w:left="1584" w:hanging="1584"/>
      <w:jc w:val="both"/>
      <w:outlineLvl w:val="8"/>
    </w:pPr>
    <w:rPr>
      <w:rFonts w:ascii="Calibri Light" w:eastAsia="MS Gothic" w:hAnsi="Calibri Light"/>
      <w:i/>
      <w:iCs/>
      <w:color w:val="404040"/>
      <w:sz w:val="20"/>
      <w:szCs w:val="20"/>
      <w14:ligatures w14:val="standardContextual"/>
    </w:rPr>
  </w:style>
  <w:style w:type="paragraph" w:customStyle="1" w:styleId="liste11">
    <w:name w:val="liste11"/>
    <w:basedOn w:val="Normal"/>
    <w:next w:val="Paragraphedeliste"/>
    <w:uiPriority w:val="34"/>
    <w:qFormat/>
    <w:rsid w:val="000676A1"/>
    <w:pPr>
      <w:spacing w:after="0" w:line="240" w:lineRule="auto"/>
      <w:ind w:left="720"/>
      <w:contextualSpacing/>
    </w:pPr>
    <w:rPr>
      <w:rFonts w:asciiTheme="minorHAnsi" w:eastAsia="SimSun" w:hAnsiTheme="minorHAnsi" w:cstheme="minorBidi"/>
      <w:sz w:val="24"/>
      <w:szCs w:val="24"/>
      <w14:ligatures w14:val="standardContextual"/>
    </w:rPr>
  </w:style>
  <w:style w:type="character" w:customStyle="1" w:styleId="Lienhypertexte1">
    <w:name w:val="Lien hypertexte1"/>
    <w:basedOn w:val="Policepardfaut"/>
    <w:uiPriority w:val="99"/>
    <w:unhideWhenUsed/>
    <w:rsid w:val="000676A1"/>
    <w:rPr>
      <w:color w:val="0563C1"/>
      <w:u w:val="single"/>
    </w:rPr>
  </w:style>
  <w:style w:type="paragraph" w:customStyle="1" w:styleId="HPiedpage1">
    <w:name w:val="H Pied page1"/>
    <w:basedOn w:val="Normal"/>
    <w:next w:val="Pieddepage"/>
    <w:uiPriority w:val="99"/>
    <w:unhideWhenUsed/>
    <w:qFormat/>
    <w:rsid w:val="000676A1"/>
    <w:pPr>
      <w:tabs>
        <w:tab w:val="center" w:pos="4703"/>
        <w:tab w:val="right" w:pos="9406"/>
      </w:tabs>
      <w:spacing w:after="0" w:line="240" w:lineRule="auto"/>
    </w:pPr>
    <w:rPr>
      <w:rFonts w:asciiTheme="minorHAnsi" w:eastAsia="SimSun" w:hAnsiTheme="minorHAnsi" w:cstheme="minorBidi"/>
      <w14:ligatures w14:val="standardContextual"/>
    </w:rPr>
  </w:style>
  <w:style w:type="character" w:customStyle="1" w:styleId="Lienhypertextesuivivisit1">
    <w:name w:val="Lien hypertexte suivi visité1"/>
    <w:basedOn w:val="Policepardfaut"/>
    <w:uiPriority w:val="99"/>
    <w:semiHidden/>
    <w:unhideWhenUsed/>
    <w:rsid w:val="000676A1"/>
    <w:rPr>
      <w:color w:val="954F72"/>
      <w:u w:val="single"/>
    </w:rPr>
  </w:style>
  <w:style w:type="paragraph" w:customStyle="1" w:styleId="headingsChar1">
    <w:name w:val="headings Char1"/>
    <w:basedOn w:val="Normal"/>
    <w:next w:val="Normal"/>
    <w:uiPriority w:val="35"/>
    <w:unhideWhenUsed/>
    <w:qFormat/>
    <w:rsid w:val="000676A1"/>
    <w:pPr>
      <w:spacing w:before="120" w:after="360" w:line="280" w:lineRule="exact"/>
      <w:ind w:left="709"/>
      <w:jc w:val="center"/>
    </w:pPr>
    <w:rPr>
      <w:rFonts w:ascii="Arial" w:eastAsia="SimSun" w:hAnsi="Arial" w:cs="Arial"/>
      <w:b/>
      <w:bCs/>
      <w:i/>
      <w:color w:val="5B9BD5"/>
      <w:sz w:val="16"/>
      <w:szCs w:val="18"/>
      <w14:ligatures w14:val="standardContextual"/>
    </w:rPr>
  </w:style>
  <w:style w:type="paragraph" w:customStyle="1" w:styleId="NormalWeb1">
    <w:name w:val="Normal (Web)1"/>
    <w:basedOn w:val="Normal"/>
    <w:next w:val="NormalWeb"/>
    <w:uiPriority w:val="99"/>
    <w:unhideWhenUsed/>
    <w:rsid w:val="000676A1"/>
    <w:pPr>
      <w:spacing w:before="100" w:beforeAutospacing="1" w:after="100" w:afterAutospacing="1" w:line="280" w:lineRule="exact"/>
    </w:pPr>
    <w:rPr>
      <w:rFonts w:ascii="Times New Roman" w:eastAsia="MS Mincho" w:hAnsi="Times New Roman"/>
      <w:sz w:val="24"/>
      <w:szCs w:val="24"/>
      <w:lang w:eastAsia="fr-FR"/>
      <w14:ligatures w14:val="standardContextual"/>
    </w:rPr>
  </w:style>
  <w:style w:type="paragraph" w:customStyle="1" w:styleId="Textedebulles1">
    <w:name w:val="Texte de bulles1"/>
    <w:basedOn w:val="Normal"/>
    <w:next w:val="Textedebulles"/>
    <w:semiHidden/>
    <w:unhideWhenUsed/>
    <w:rsid w:val="000676A1"/>
    <w:pPr>
      <w:spacing w:after="0" w:line="240" w:lineRule="auto"/>
    </w:pPr>
    <w:rPr>
      <w:rFonts w:ascii="Lucida Grande" w:eastAsia="SimSun" w:hAnsi="Lucida Grande" w:cstheme="minorBidi"/>
      <w:sz w:val="18"/>
      <w:szCs w:val="18"/>
      <w14:ligatures w14:val="standardContextual"/>
    </w:rPr>
  </w:style>
  <w:style w:type="paragraph" w:customStyle="1" w:styleId="Commentaire1">
    <w:name w:val="Commentaire1"/>
    <w:basedOn w:val="Normal"/>
    <w:next w:val="Commentaire"/>
    <w:uiPriority w:val="99"/>
    <w:semiHidden/>
    <w:unhideWhenUsed/>
    <w:rsid w:val="000676A1"/>
    <w:pPr>
      <w:spacing w:after="0" w:line="240" w:lineRule="auto"/>
    </w:pPr>
    <w:rPr>
      <w:rFonts w:asciiTheme="minorHAnsi" w:eastAsia="SimSun" w:hAnsiTheme="minorHAnsi" w:cstheme="minorBidi"/>
      <w:sz w:val="20"/>
      <w:szCs w:val="20"/>
      <w14:ligatures w14:val="standardContextual"/>
    </w:rPr>
  </w:style>
  <w:style w:type="paragraph" w:customStyle="1" w:styleId="Objetducommentaire1">
    <w:name w:val="Objet du commentaire1"/>
    <w:basedOn w:val="Commentaire"/>
    <w:next w:val="Commentaire"/>
    <w:semiHidden/>
    <w:unhideWhenUsed/>
    <w:rsid w:val="000676A1"/>
    <w:pPr>
      <w:jc w:val="left"/>
    </w:pPr>
    <w:rPr>
      <w:rFonts w:asciiTheme="minorHAnsi" w:eastAsia="SimSun" w:hAnsiTheme="minorHAnsi" w:cstheme="minorBidi"/>
      <w:b/>
      <w:bCs/>
      <w:lang w:val="fr-FR" w:eastAsia="en-US"/>
      <w14:ligatures w14:val="standardContextual"/>
    </w:rPr>
  </w:style>
  <w:style w:type="paragraph" w:customStyle="1" w:styleId="Rvision1">
    <w:name w:val="Révision1"/>
    <w:next w:val="Rvision"/>
    <w:hidden/>
    <w:uiPriority w:val="99"/>
    <w:semiHidden/>
    <w:rsid w:val="000676A1"/>
    <w:pPr>
      <w:spacing w:after="0" w:line="240" w:lineRule="auto"/>
    </w:pPr>
    <w:rPr>
      <w:rFonts w:eastAsia="SimSun"/>
      <w:sz w:val="24"/>
      <w:szCs w:val="24"/>
      <w14:ligatures w14:val="standardContextual"/>
    </w:rPr>
  </w:style>
  <w:style w:type="table" w:customStyle="1" w:styleId="ESTableStyle4">
    <w:name w:val="ES Table Style4"/>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table" w:customStyle="1" w:styleId="Tableauprofessionnel1">
    <w:name w:val="Tableau professionnel1"/>
    <w:basedOn w:val="TableauNormal"/>
    <w:next w:val="Tableauprofessionnel"/>
    <w:uiPriority w:val="99"/>
    <w:semiHidden/>
    <w:unhideWhenUsed/>
    <w:rsid w:val="000676A1"/>
    <w:pPr>
      <w:spacing w:after="0" w:line="240" w:lineRule="auto"/>
    </w:pPr>
    <w:rPr>
      <w:rFonts w:eastAsia="SimSun"/>
      <w:sz w:val="24"/>
      <w:szCs w:val="24"/>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FigureCaption">
    <w:name w:val="*Figure Caption"/>
    <w:basedOn w:val="Normal"/>
    <w:next w:val="En-tte"/>
    <w:uiPriority w:val="99"/>
    <w:qFormat/>
    <w:rsid w:val="000676A1"/>
    <w:pPr>
      <w:adjustRightInd w:val="0"/>
      <w:snapToGrid w:val="0"/>
      <w:spacing w:before="120" w:after="360" w:line="260" w:lineRule="atLeast"/>
    </w:pPr>
    <w:rPr>
      <w:rFonts w:ascii="Myriad Web Pro" w:eastAsia="MS Mincho" w:hAnsi="Myriad Web Pro" w:cs="Arial"/>
      <w:b/>
      <w:color w:val="003366"/>
      <w:kern w:val="2"/>
      <w:sz w:val="20"/>
      <w:szCs w:val="18"/>
      <w:lang w:val="en-GB"/>
      <w14:ligatures w14:val="standardContextual"/>
    </w:rPr>
  </w:style>
  <w:style w:type="paragraph" w:customStyle="1" w:styleId="TableCaption">
    <w:name w:val="*Table Caption"/>
    <w:basedOn w:val="Normal"/>
    <w:next w:val="En-tte"/>
    <w:qFormat/>
    <w:rsid w:val="000676A1"/>
    <w:pPr>
      <w:keepNext/>
      <w:adjustRightInd w:val="0"/>
      <w:snapToGrid w:val="0"/>
      <w:spacing w:before="240" w:after="0" w:line="260" w:lineRule="atLeast"/>
    </w:pPr>
    <w:rPr>
      <w:rFonts w:ascii="Myriad Web Pro" w:eastAsia="MS Mincho" w:hAnsi="Myriad Web Pro" w:cs="Arial"/>
      <w:b/>
      <w:color w:val="003366"/>
      <w:kern w:val="2"/>
      <w:sz w:val="20"/>
      <w:szCs w:val="21"/>
      <w:lang w:val="en-GB"/>
      <w14:ligatures w14:val="standardContextual"/>
    </w:rPr>
  </w:style>
  <w:style w:type="table" w:customStyle="1" w:styleId="ESTableStyle">
    <w:name w:val="ES Table Style"/>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bidi="my-MM"/>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character" w:customStyle="1" w:styleId="Titre7Car1">
    <w:name w:val="Titre 7 Car1"/>
    <w:basedOn w:val="Policepardfaut"/>
    <w:uiPriority w:val="9"/>
    <w:rsid w:val="000676A1"/>
    <w:rPr>
      <w:rFonts w:asciiTheme="majorHAnsi" w:eastAsiaTheme="majorEastAsia" w:hAnsiTheme="majorHAnsi" w:cstheme="majorBidi"/>
      <w:i/>
      <w:iCs/>
      <w:color w:val="404040" w:themeColor="text1" w:themeTint="BF"/>
    </w:rPr>
  </w:style>
  <w:style w:type="character" w:customStyle="1" w:styleId="Titre8Car1">
    <w:name w:val="Titre 8 Car1"/>
    <w:basedOn w:val="Policepardfaut"/>
    <w:uiPriority w:val="9"/>
    <w:rsid w:val="000676A1"/>
    <w:rPr>
      <w:rFonts w:asciiTheme="majorHAnsi" w:eastAsiaTheme="majorEastAsia" w:hAnsiTheme="majorHAnsi" w:cstheme="majorBidi"/>
      <w:color w:val="404040" w:themeColor="text1" w:themeTint="BF"/>
      <w:sz w:val="20"/>
      <w:szCs w:val="20"/>
    </w:rPr>
  </w:style>
  <w:style w:type="character" w:customStyle="1" w:styleId="TitreCar1">
    <w:name w:val="Titre Car1"/>
    <w:aliases w:val="Titre1 Car1"/>
    <w:basedOn w:val="Policepardfaut"/>
    <w:uiPriority w:val="10"/>
    <w:rsid w:val="000676A1"/>
    <w:rPr>
      <w:rFonts w:asciiTheme="majorHAnsi" w:eastAsiaTheme="majorEastAsia" w:hAnsiTheme="majorHAnsi" w:cstheme="majorBidi"/>
      <w:spacing w:val="-10"/>
      <w:kern w:val="28"/>
      <w:sz w:val="56"/>
      <w:szCs w:val="56"/>
    </w:rPr>
  </w:style>
  <w:style w:type="table" w:customStyle="1" w:styleId="ESTableStyle41">
    <w:name w:val="ES Table Style41"/>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table" w:customStyle="1" w:styleId="Tableauprofessionnel2">
    <w:name w:val="Tableau professionnel2"/>
    <w:basedOn w:val="TableauNormal"/>
    <w:next w:val="Tableauprofessionnel"/>
    <w:uiPriority w:val="99"/>
    <w:semiHidden/>
    <w:unhideWhenUsed/>
    <w:rsid w:val="000676A1"/>
    <w:pPr>
      <w:spacing w:after="0" w:line="240" w:lineRule="auto"/>
    </w:pPr>
    <w:rPr>
      <w:rFonts w:eastAsia="SimSun"/>
      <w:sz w:val="24"/>
      <w:szCs w:val="24"/>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ESTableStyle1">
    <w:name w:val="ES Table Style1"/>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bidi="my-MM"/>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table" w:customStyle="1" w:styleId="Tableauprofessionnel3">
    <w:name w:val="Tableau professionnel3"/>
    <w:basedOn w:val="TableauNormal"/>
    <w:next w:val="Tableauprofessionnel"/>
    <w:uiPriority w:val="99"/>
    <w:semiHidden/>
    <w:unhideWhenUsed/>
    <w:rsid w:val="000676A1"/>
    <w:pPr>
      <w:spacing w:after="0" w:line="240" w:lineRule="auto"/>
    </w:pPr>
    <w:rPr>
      <w:rFonts w:eastAsia="SimSun"/>
      <w:sz w:val="24"/>
      <w:szCs w:val="24"/>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ESTableStyle2">
    <w:name w:val="ES Table Style2"/>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bidi="my-MM"/>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table" w:customStyle="1" w:styleId="ESTableStyle3">
    <w:name w:val="ES Table Style3"/>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bidi="my-MM"/>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table" w:customStyle="1" w:styleId="ESTableStyle43">
    <w:name w:val="ES Table Style43"/>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table" w:customStyle="1" w:styleId="Tableauprofessionnel4">
    <w:name w:val="Tableau professionnel4"/>
    <w:basedOn w:val="TableauNormal"/>
    <w:next w:val="Tableauprofessionnel"/>
    <w:uiPriority w:val="99"/>
    <w:semiHidden/>
    <w:unhideWhenUsed/>
    <w:rsid w:val="000676A1"/>
    <w:pPr>
      <w:spacing w:after="0" w:line="240" w:lineRule="auto"/>
    </w:pPr>
    <w:rPr>
      <w:rFonts w:eastAsia="SimSun"/>
      <w:sz w:val="24"/>
      <w:szCs w:val="24"/>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ESTableStyle5">
    <w:name w:val="ES Table Style5"/>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bidi="my-MM"/>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table" w:customStyle="1" w:styleId="ESTableStyle44">
    <w:name w:val="ES Table Style44"/>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table" w:customStyle="1" w:styleId="Tableauprofessionnel5">
    <w:name w:val="Tableau professionnel5"/>
    <w:basedOn w:val="TableauNormal"/>
    <w:next w:val="Tableauprofessionnel"/>
    <w:uiPriority w:val="99"/>
    <w:semiHidden/>
    <w:unhideWhenUsed/>
    <w:rsid w:val="000676A1"/>
    <w:pPr>
      <w:spacing w:after="0" w:line="240" w:lineRule="auto"/>
    </w:pPr>
    <w:rPr>
      <w:rFonts w:eastAsia="SimSun"/>
      <w:sz w:val="24"/>
      <w:szCs w:val="24"/>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ESTableStyle6">
    <w:name w:val="ES Table Style6"/>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bidi="my-MM"/>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table" w:customStyle="1" w:styleId="ESTableStyle45">
    <w:name w:val="ES Table Style45"/>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table" w:customStyle="1" w:styleId="Tableauprofessionnel6">
    <w:name w:val="Tableau professionnel6"/>
    <w:basedOn w:val="TableauNormal"/>
    <w:next w:val="Tableauprofessionnel"/>
    <w:uiPriority w:val="99"/>
    <w:semiHidden/>
    <w:unhideWhenUsed/>
    <w:rsid w:val="000676A1"/>
    <w:pPr>
      <w:spacing w:after="0" w:line="240" w:lineRule="auto"/>
    </w:pPr>
    <w:rPr>
      <w:rFonts w:eastAsia="SimSun"/>
      <w:sz w:val="24"/>
      <w:szCs w:val="24"/>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ESTableStyle7">
    <w:name w:val="ES Table Style7"/>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bidi="my-MM"/>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table" w:customStyle="1" w:styleId="ESTableStyle46">
    <w:name w:val="ES Table Style46"/>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table" w:customStyle="1" w:styleId="Tableauprofessionnel7">
    <w:name w:val="Tableau professionnel7"/>
    <w:basedOn w:val="TableauNormal"/>
    <w:next w:val="Tableauprofessionnel"/>
    <w:uiPriority w:val="99"/>
    <w:semiHidden/>
    <w:unhideWhenUsed/>
    <w:rsid w:val="000676A1"/>
    <w:pPr>
      <w:spacing w:after="0" w:line="240" w:lineRule="auto"/>
    </w:pPr>
    <w:rPr>
      <w:rFonts w:eastAsia="SimSun"/>
      <w:sz w:val="24"/>
      <w:szCs w:val="24"/>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ESTableStyle8">
    <w:name w:val="ES Table Style8"/>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bidi="my-MM"/>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numbering" w:customStyle="1" w:styleId="Aucuneliste8">
    <w:name w:val="Aucune liste8"/>
    <w:next w:val="Aucuneliste"/>
    <w:uiPriority w:val="99"/>
    <w:semiHidden/>
    <w:unhideWhenUsed/>
    <w:rsid w:val="000676A1"/>
  </w:style>
  <w:style w:type="table" w:customStyle="1" w:styleId="ESTableStyle47">
    <w:name w:val="ES Table Style47"/>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table" w:customStyle="1" w:styleId="Tableauprofessionnel11">
    <w:name w:val="Tableau professionnel11"/>
    <w:basedOn w:val="TableauNormal"/>
    <w:next w:val="Tableauprofessionnel"/>
    <w:uiPriority w:val="99"/>
    <w:semiHidden/>
    <w:unhideWhenUsed/>
    <w:rsid w:val="000676A1"/>
    <w:pPr>
      <w:spacing w:after="0" w:line="240" w:lineRule="auto"/>
    </w:pPr>
    <w:rPr>
      <w:rFonts w:eastAsia="SimSun"/>
      <w:sz w:val="24"/>
      <w:szCs w:val="24"/>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ESTableStyle9">
    <w:name w:val="ES Table Style9"/>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bidi="my-MM"/>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table" w:customStyle="1" w:styleId="Tableauprofessionnel8">
    <w:name w:val="Tableau professionnel8"/>
    <w:basedOn w:val="TableauNormal"/>
    <w:next w:val="Tableauprofessionnel"/>
    <w:uiPriority w:val="99"/>
    <w:semiHidden/>
    <w:unhideWhenUsed/>
    <w:rsid w:val="000676A1"/>
    <w:pPr>
      <w:spacing w:after="200" w:line="276" w:lineRule="auto"/>
    </w:pPr>
    <w:rPr>
      <w:rFonts w:eastAsia="SimSun"/>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Aucuneliste21">
    <w:name w:val="Aucune liste21"/>
    <w:next w:val="Aucuneliste"/>
    <w:uiPriority w:val="99"/>
    <w:semiHidden/>
    <w:unhideWhenUsed/>
    <w:rsid w:val="000676A1"/>
  </w:style>
  <w:style w:type="table" w:customStyle="1" w:styleId="ESTableStyle411">
    <w:name w:val="ES Table Style411"/>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table" w:customStyle="1" w:styleId="Tableauprofessionnel21">
    <w:name w:val="Tableau professionnel21"/>
    <w:basedOn w:val="TableauNormal"/>
    <w:next w:val="Tableauprofessionnel"/>
    <w:uiPriority w:val="99"/>
    <w:semiHidden/>
    <w:unhideWhenUsed/>
    <w:rsid w:val="000676A1"/>
    <w:pPr>
      <w:spacing w:after="0" w:line="240" w:lineRule="auto"/>
    </w:pPr>
    <w:rPr>
      <w:rFonts w:eastAsia="SimSun"/>
      <w:sz w:val="24"/>
      <w:szCs w:val="24"/>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ESTableStyle11">
    <w:name w:val="ES Table Style11"/>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bidi="my-MM"/>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numbering" w:customStyle="1" w:styleId="Aucuneliste31">
    <w:name w:val="Aucune liste31"/>
    <w:next w:val="Aucuneliste"/>
    <w:uiPriority w:val="99"/>
    <w:semiHidden/>
    <w:unhideWhenUsed/>
    <w:rsid w:val="000676A1"/>
  </w:style>
  <w:style w:type="table" w:customStyle="1" w:styleId="ESTableStyle421">
    <w:name w:val="ES Table Style421"/>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table" w:customStyle="1" w:styleId="Tableauprofessionnel31">
    <w:name w:val="Tableau professionnel31"/>
    <w:basedOn w:val="TableauNormal"/>
    <w:next w:val="Tableauprofessionnel"/>
    <w:uiPriority w:val="99"/>
    <w:semiHidden/>
    <w:unhideWhenUsed/>
    <w:rsid w:val="000676A1"/>
    <w:pPr>
      <w:spacing w:after="0" w:line="240" w:lineRule="auto"/>
    </w:pPr>
    <w:rPr>
      <w:rFonts w:eastAsia="SimSun"/>
      <w:sz w:val="24"/>
      <w:szCs w:val="24"/>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ESTableStyle21">
    <w:name w:val="ES Table Style21"/>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bidi="my-MM"/>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table" w:customStyle="1" w:styleId="ESTableStyle31">
    <w:name w:val="ES Table Style31"/>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bidi="my-MM"/>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table" w:customStyle="1" w:styleId="Grilledutableau91">
    <w:name w:val="Grille du tableau91"/>
    <w:basedOn w:val="TableauNormal"/>
    <w:next w:val="Grilledutableau"/>
    <w:uiPriority w:val="59"/>
    <w:rsid w:val="000676A1"/>
    <w:pPr>
      <w:spacing w:after="0" w:line="240" w:lineRule="auto"/>
    </w:pPr>
    <w:rPr>
      <w:rFonts w:eastAsia="SimSun"/>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
    <w:name w:val="Grille du tableau101"/>
    <w:basedOn w:val="TableauNormal"/>
    <w:next w:val="Grilledutableau"/>
    <w:uiPriority w:val="59"/>
    <w:rsid w:val="000676A1"/>
    <w:pPr>
      <w:spacing w:after="0" w:line="240" w:lineRule="auto"/>
    </w:pPr>
    <w:rPr>
      <w:rFonts w:eastAsia="SimSun"/>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41">
    <w:name w:val="Aucune liste41"/>
    <w:next w:val="Aucuneliste"/>
    <w:uiPriority w:val="99"/>
    <w:semiHidden/>
    <w:unhideWhenUsed/>
    <w:rsid w:val="000676A1"/>
  </w:style>
  <w:style w:type="table" w:customStyle="1" w:styleId="ESTableStyle431">
    <w:name w:val="ES Table Style431"/>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table" w:customStyle="1" w:styleId="Tableauprofessionnel41">
    <w:name w:val="Tableau professionnel41"/>
    <w:basedOn w:val="TableauNormal"/>
    <w:next w:val="Tableauprofessionnel"/>
    <w:uiPriority w:val="99"/>
    <w:semiHidden/>
    <w:unhideWhenUsed/>
    <w:rsid w:val="000676A1"/>
    <w:pPr>
      <w:spacing w:after="0" w:line="240" w:lineRule="auto"/>
    </w:pPr>
    <w:rPr>
      <w:rFonts w:eastAsia="SimSun"/>
      <w:sz w:val="24"/>
      <w:szCs w:val="24"/>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ESTableStyle51">
    <w:name w:val="ES Table Style51"/>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bidi="my-MM"/>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numbering" w:customStyle="1" w:styleId="Aucuneliste51">
    <w:name w:val="Aucune liste51"/>
    <w:next w:val="Aucuneliste"/>
    <w:uiPriority w:val="99"/>
    <w:semiHidden/>
    <w:unhideWhenUsed/>
    <w:rsid w:val="000676A1"/>
  </w:style>
  <w:style w:type="table" w:customStyle="1" w:styleId="Grilledutableau151">
    <w:name w:val="Grille du tableau151"/>
    <w:basedOn w:val="TableauNormal"/>
    <w:next w:val="Grilledutableau"/>
    <w:uiPriority w:val="59"/>
    <w:rsid w:val="000676A1"/>
    <w:pPr>
      <w:spacing w:after="0" w:line="240" w:lineRule="auto"/>
    </w:pPr>
    <w:rPr>
      <w:rFonts w:eastAsia="SimSun"/>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ableStyle441">
    <w:name w:val="ES Table Style441"/>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table" w:customStyle="1" w:styleId="Tableauprofessionnel51">
    <w:name w:val="Tableau professionnel51"/>
    <w:basedOn w:val="TableauNormal"/>
    <w:next w:val="Tableauprofessionnel"/>
    <w:uiPriority w:val="99"/>
    <w:semiHidden/>
    <w:unhideWhenUsed/>
    <w:rsid w:val="000676A1"/>
    <w:pPr>
      <w:spacing w:after="0" w:line="240" w:lineRule="auto"/>
    </w:pPr>
    <w:rPr>
      <w:rFonts w:eastAsia="SimSun"/>
      <w:sz w:val="24"/>
      <w:szCs w:val="24"/>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ESTableStyle61">
    <w:name w:val="ES Table Style61"/>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bidi="my-MM"/>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numbering" w:customStyle="1" w:styleId="Aucuneliste61">
    <w:name w:val="Aucune liste61"/>
    <w:next w:val="Aucuneliste"/>
    <w:uiPriority w:val="99"/>
    <w:semiHidden/>
    <w:unhideWhenUsed/>
    <w:rsid w:val="000676A1"/>
  </w:style>
  <w:style w:type="table" w:customStyle="1" w:styleId="Grilledutableau161">
    <w:name w:val="Grille du tableau161"/>
    <w:basedOn w:val="TableauNormal"/>
    <w:next w:val="Grilledutableau"/>
    <w:uiPriority w:val="59"/>
    <w:rsid w:val="000676A1"/>
    <w:pPr>
      <w:spacing w:after="0" w:line="240" w:lineRule="auto"/>
    </w:pPr>
    <w:rPr>
      <w:rFonts w:eastAsia="SimSun"/>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ableStyle451">
    <w:name w:val="ES Table Style451"/>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table" w:customStyle="1" w:styleId="Tableauprofessionnel61">
    <w:name w:val="Tableau professionnel61"/>
    <w:basedOn w:val="TableauNormal"/>
    <w:next w:val="Tableauprofessionnel"/>
    <w:uiPriority w:val="99"/>
    <w:semiHidden/>
    <w:unhideWhenUsed/>
    <w:rsid w:val="000676A1"/>
    <w:pPr>
      <w:spacing w:after="0" w:line="240" w:lineRule="auto"/>
    </w:pPr>
    <w:rPr>
      <w:rFonts w:eastAsia="SimSun"/>
      <w:sz w:val="24"/>
      <w:szCs w:val="24"/>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ESTableStyle71">
    <w:name w:val="ES Table Style71"/>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bidi="my-MM"/>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numbering" w:customStyle="1" w:styleId="Aucuneliste71">
    <w:name w:val="Aucune liste71"/>
    <w:next w:val="Aucuneliste"/>
    <w:uiPriority w:val="99"/>
    <w:semiHidden/>
    <w:unhideWhenUsed/>
    <w:rsid w:val="000676A1"/>
  </w:style>
  <w:style w:type="table" w:customStyle="1" w:styleId="Grilledutableau171">
    <w:name w:val="Grille du tableau171"/>
    <w:basedOn w:val="TableauNormal"/>
    <w:next w:val="Grilledutableau"/>
    <w:uiPriority w:val="59"/>
    <w:rsid w:val="000676A1"/>
    <w:pPr>
      <w:spacing w:after="0" w:line="240" w:lineRule="auto"/>
    </w:pPr>
    <w:rPr>
      <w:rFonts w:eastAsia="SimSun"/>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ableStyle461">
    <w:name w:val="ES Table Style461"/>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table" w:customStyle="1" w:styleId="Tableauprofessionnel71">
    <w:name w:val="Tableau professionnel71"/>
    <w:basedOn w:val="TableauNormal"/>
    <w:next w:val="Tableauprofessionnel"/>
    <w:uiPriority w:val="99"/>
    <w:semiHidden/>
    <w:unhideWhenUsed/>
    <w:rsid w:val="000676A1"/>
    <w:pPr>
      <w:spacing w:after="0" w:line="240" w:lineRule="auto"/>
    </w:pPr>
    <w:rPr>
      <w:rFonts w:eastAsia="SimSun"/>
      <w:sz w:val="24"/>
      <w:szCs w:val="24"/>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ESTableStyle81">
    <w:name w:val="ES Table Style81"/>
    <w:basedOn w:val="Tableauprofessionnel"/>
    <w:uiPriority w:val="99"/>
    <w:rsid w:val="000676A1"/>
    <w:pPr>
      <w:adjustRightInd w:val="0"/>
      <w:snapToGrid w:val="0"/>
      <w:spacing w:after="120" w:line="240" w:lineRule="atLeast"/>
      <w:jc w:val="both"/>
    </w:pPr>
    <w:rPr>
      <w:rFonts w:ascii="Myriad Web Pro" w:eastAsia="MS Mincho" w:hAnsi="Myriad Web Pro" w:cs="Times New Roman"/>
      <w:sz w:val="18"/>
      <w:szCs w:val="20"/>
      <w:lang w:val="en-GB" w:eastAsia="en-AU" w:bidi="my-MM"/>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rFonts w:ascii="FangSong_GB2312" w:hAnsi="FangSong_GB2312"/>
        <w:b/>
        <w:bCs/>
        <w:color w:val="auto"/>
        <w:sz w:val="18"/>
      </w:rPr>
      <w:tblPr/>
      <w:tcPr>
        <w:tcBorders>
          <w:tl2br w:val="none" w:sz="0" w:space="0" w:color="auto"/>
          <w:tr2bl w:val="none" w:sz="0" w:space="0" w:color="auto"/>
        </w:tcBorders>
        <w:shd w:val="clear" w:color="auto" w:fill="D5DCE4"/>
      </w:tcPr>
    </w:tblStylePr>
  </w:style>
  <w:style w:type="table" w:customStyle="1" w:styleId="Grilledutableau142">
    <w:name w:val="Grille du tableau142"/>
    <w:basedOn w:val="TableauNormal"/>
    <w:next w:val="Grilledutableau"/>
    <w:uiPriority w:val="59"/>
    <w:rsid w:val="000676A1"/>
    <w:pPr>
      <w:spacing w:after="0" w:line="240" w:lineRule="auto"/>
    </w:pPr>
    <w:rPr>
      <w:rFonts w:eastAsia="SimSun"/>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T04">
    <w:name w:val="GT04"/>
    <w:basedOn w:val="TableauNormal"/>
    <w:next w:val="Grilledutableau"/>
    <w:uiPriority w:val="39"/>
    <w:rsid w:val="000676A1"/>
    <w:pPr>
      <w:spacing w:after="0" w:line="240" w:lineRule="auto"/>
    </w:pPr>
    <w:rPr>
      <w:rFonts w:eastAsia="Times New Roman"/>
      <w:lang w:eastAsia="fr-F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T05">
    <w:name w:val="GT05"/>
    <w:basedOn w:val="TableauNormal"/>
    <w:next w:val="Grilledutableau"/>
    <w:uiPriority w:val="39"/>
    <w:rsid w:val="000676A1"/>
    <w:pPr>
      <w:spacing w:after="0" w:line="240" w:lineRule="auto"/>
    </w:pPr>
    <w:rPr>
      <w:rFonts w:eastAsiaTheme="minorEastAsia"/>
      <w:lang w:eastAsia="fr-FR"/>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T07">
    <w:name w:val="GT07"/>
    <w:basedOn w:val="TableauNormal"/>
    <w:next w:val="Grilledutableau"/>
    <w:uiPriority w:val="39"/>
    <w:rsid w:val="000676A1"/>
    <w:pPr>
      <w:spacing w:after="0" w:line="240" w:lineRule="auto"/>
    </w:pPr>
    <w:rPr>
      <w:rFonts w:eastAsiaTheme="minorEastAsia"/>
      <w:lang w:eastAsia="fr-FR"/>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T08">
    <w:name w:val="GT08"/>
    <w:basedOn w:val="TableauNormal"/>
    <w:next w:val="Grilledutableau"/>
    <w:uiPriority w:val="39"/>
    <w:rsid w:val="000676A1"/>
    <w:pPr>
      <w:spacing w:after="0" w:line="240" w:lineRule="auto"/>
    </w:pPr>
    <w:rPr>
      <w:rFonts w:eastAsiaTheme="minorEastAsia"/>
      <w:lang w:eastAsia="fr-FR"/>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T09">
    <w:name w:val="GT09"/>
    <w:basedOn w:val="TableauNormal"/>
    <w:next w:val="Grilledutableau"/>
    <w:uiPriority w:val="39"/>
    <w:rsid w:val="000676A1"/>
    <w:pPr>
      <w:spacing w:after="0" w:line="240" w:lineRule="auto"/>
    </w:pPr>
    <w:rPr>
      <w:rFonts w:eastAsiaTheme="minorEastAsia"/>
      <w:lang w:eastAsia="fr-FR"/>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T010">
    <w:name w:val="GT010"/>
    <w:basedOn w:val="TableauNormal"/>
    <w:next w:val="Grilledutableau"/>
    <w:uiPriority w:val="39"/>
    <w:rsid w:val="000676A1"/>
    <w:pPr>
      <w:spacing w:after="0" w:line="240" w:lineRule="auto"/>
    </w:pPr>
    <w:rPr>
      <w:rFonts w:eastAsiaTheme="minorEastAsia"/>
      <w:lang w:eastAsia="fr-FR"/>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T012">
    <w:name w:val="GT012"/>
    <w:basedOn w:val="TableauNormal"/>
    <w:next w:val="Grilledutableau"/>
    <w:uiPriority w:val="39"/>
    <w:qFormat/>
    <w:rsid w:val="000676A1"/>
    <w:pPr>
      <w:spacing w:after="0" w:line="240" w:lineRule="auto"/>
    </w:pPr>
    <w:rPr>
      <w:rFonts w:eastAsiaTheme="minorEastAsia"/>
      <w:lang w:eastAsia="fr-FR"/>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T013">
    <w:name w:val="GT013"/>
    <w:basedOn w:val="TableauNormal"/>
    <w:next w:val="Grilledutableau"/>
    <w:uiPriority w:val="59"/>
    <w:qFormat/>
    <w:rsid w:val="000676A1"/>
    <w:pPr>
      <w:spacing w:after="0" w:line="240" w:lineRule="auto"/>
    </w:pPr>
    <w:rPr>
      <w:rFonts w:eastAsiaTheme="minorEastAsia"/>
      <w:lang w:eastAsia="fr-FR"/>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T014">
    <w:name w:val="GT014"/>
    <w:basedOn w:val="TableauNormal"/>
    <w:next w:val="Grilledutableau"/>
    <w:uiPriority w:val="39"/>
    <w:rsid w:val="000676A1"/>
    <w:pPr>
      <w:spacing w:after="0" w:line="240" w:lineRule="auto"/>
    </w:pPr>
    <w:rPr>
      <w:rFonts w:eastAsiaTheme="minorEastAsia"/>
      <w:lang w:eastAsia="fr-FR"/>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T015">
    <w:name w:val="GT015"/>
    <w:basedOn w:val="TableauNormal"/>
    <w:next w:val="Grilledutableau"/>
    <w:uiPriority w:val="39"/>
    <w:rsid w:val="000676A1"/>
    <w:pPr>
      <w:spacing w:after="0" w:line="240" w:lineRule="auto"/>
    </w:pPr>
    <w:rPr>
      <w:rFonts w:eastAsiaTheme="minorEastAsia"/>
      <w:lang w:eastAsia="fr-FR"/>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T016">
    <w:name w:val="GT016"/>
    <w:basedOn w:val="TableauNormal"/>
    <w:next w:val="Grilledutableau"/>
    <w:uiPriority w:val="39"/>
    <w:rsid w:val="000676A1"/>
    <w:pPr>
      <w:spacing w:after="0" w:line="240" w:lineRule="auto"/>
    </w:pPr>
    <w:rPr>
      <w:rFonts w:eastAsiaTheme="minorEastAsia"/>
      <w:lang w:eastAsia="fr-FR"/>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T017">
    <w:name w:val="GT017"/>
    <w:basedOn w:val="TableauNormal"/>
    <w:next w:val="Grilledutableau"/>
    <w:uiPriority w:val="39"/>
    <w:rsid w:val="000676A1"/>
    <w:pPr>
      <w:spacing w:after="0" w:line="240" w:lineRule="auto"/>
    </w:pPr>
    <w:rPr>
      <w:rFonts w:eastAsiaTheme="minorEastAsia"/>
      <w:lang w:eastAsia="fr-FR"/>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T018">
    <w:name w:val="GT018"/>
    <w:basedOn w:val="TableauNormal"/>
    <w:next w:val="Grilledutableau"/>
    <w:uiPriority w:val="39"/>
    <w:rsid w:val="000676A1"/>
    <w:pPr>
      <w:spacing w:after="0" w:line="240" w:lineRule="auto"/>
    </w:pPr>
    <w:rPr>
      <w:rFonts w:eastAsia="Times New Roman"/>
      <w:lang w:eastAsia="fr-F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T019">
    <w:name w:val="GT019"/>
    <w:basedOn w:val="TableauNormal"/>
    <w:next w:val="Grilledutableau"/>
    <w:uiPriority w:val="39"/>
    <w:rsid w:val="000676A1"/>
    <w:pPr>
      <w:spacing w:after="0" w:line="240" w:lineRule="auto"/>
    </w:pPr>
    <w:rPr>
      <w:rFonts w:eastAsia="Times New Roman"/>
      <w:lang w:eastAsia="fr-F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T020">
    <w:name w:val="GT020"/>
    <w:basedOn w:val="TableauNormal"/>
    <w:next w:val="Grilledutableau"/>
    <w:uiPriority w:val="39"/>
    <w:rsid w:val="000676A1"/>
    <w:pPr>
      <w:spacing w:after="0" w:line="240" w:lineRule="auto"/>
    </w:pPr>
    <w:rPr>
      <w:rFonts w:eastAsiaTheme="minorEastAsia"/>
      <w:lang w:eastAsia="fr-FR"/>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7">
    <w:name w:val="Grille du tableau27"/>
    <w:basedOn w:val="TableauNormal"/>
    <w:next w:val="Grilledutableau"/>
    <w:uiPriority w:val="39"/>
    <w:rsid w:val="000676A1"/>
    <w:pPr>
      <w:spacing w:after="0" w:line="240" w:lineRule="auto"/>
    </w:pPr>
    <w:rPr>
      <w:rFonts w:eastAsia="SimSun"/>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8">
    <w:name w:val="Grille du tableau28"/>
    <w:basedOn w:val="TableauNormal"/>
    <w:next w:val="Grilledutableau"/>
    <w:uiPriority w:val="59"/>
    <w:rsid w:val="000676A1"/>
    <w:pPr>
      <w:spacing w:after="0" w:line="240" w:lineRule="auto"/>
    </w:pPr>
    <w:rPr>
      <w:rFonts w:eastAsia="SimSun"/>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9">
    <w:name w:val="Grille du tableau29"/>
    <w:basedOn w:val="TableauNormal"/>
    <w:next w:val="Grilledutableau"/>
    <w:uiPriority w:val="39"/>
    <w:rsid w:val="000676A1"/>
    <w:pPr>
      <w:spacing w:after="0" w:line="240" w:lineRule="auto"/>
    </w:pPr>
    <w:rPr>
      <w:rFonts w:eastAsia="SimSun"/>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21"/>
    <w:basedOn w:val="Normal"/>
    <w:next w:val="Normal"/>
    <w:unhideWhenUsed/>
    <w:qFormat/>
    <w:rsid w:val="000676A1"/>
    <w:pPr>
      <w:keepNext/>
      <w:keepLines/>
      <w:spacing w:before="40" w:after="0" w:line="240" w:lineRule="auto"/>
      <w:outlineLvl w:val="1"/>
    </w:pPr>
    <w:rPr>
      <w:rFonts w:ascii="Calibri Light" w:eastAsia="MS Gothic" w:hAnsi="Calibri Light"/>
      <w:color w:val="2E74B5"/>
      <w:sz w:val="26"/>
      <w:szCs w:val="26"/>
      <w14:ligatures w14:val="standardContextual"/>
    </w:rPr>
  </w:style>
  <w:style w:type="table" w:customStyle="1" w:styleId="TableauGrille7Couleur1">
    <w:name w:val="Tableau Grille 7 Couleur1"/>
    <w:basedOn w:val="TableauNormal"/>
    <w:uiPriority w:val="52"/>
    <w:rsid w:val="000676A1"/>
    <w:pPr>
      <w:spacing w:after="0" w:line="240" w:lineRule="auto"/>
    </w:pPr>
    <w:rPr>
      <w:rFonts w:eastAsia="SimSun"/>
      <w:color w:val="000000" w:themeColor="text1"/>
      <w:sz w:val="24"/>
      <w:szCs w:val="24"/>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annex1">
    <w:name w:val="annex1"/>
    <w:basedOn w:val="Normal"/>
    <w:next w:val="Normal"/>
    <w:unhideWhenUsed/>
    <w:qFormat/>
    <w:rsid w:val="000676A1"/>
    <w:pPr>
      <w:keepNext/>
      <w:keepLines/>
      <w:spacing w:before="200" w:after="0" w:line="276" w:lineRule="auto"/>
      <w:outlineLvl w:val="2"/>
    </w:pPr>
    <w:rPr>
      <w:rFonts w:ascii="Cambria" w:eastAsia="Times New Roman" w:hAnsi="Cambria"/>
      <w:b/>
      <w:bCs/>
      <w:color w:val="4F81BD"/>
      <w14:ligatures w14:val="standardContextual"/>
    </w:rPr>
  </w:style>
  <w:style w:type="paragraph" w:customStyle="1" w:styleId="Titre41">
    <w:name w:val="Titre 41"/>
    <w:basedOn w:val="Normal"/>
    <w:next w:val="Normal"/>
    <w:uiPriority w:val="9"/>
    <w:unhideWhenUsed/>
    <w:qFormat/>
    <w:rsid w:val="000676A1"/>
    <w:pPr>
      <w:keepNext/>
      <w:keepLines/>
      <w:spacing w:before="200" w:after="0" w:line="276" w:lineRule="auto"/>
      <w:outlineLvl w:val="3"/>
    </w:pPr>
    <w:rPr>
      <w:rFonts w:ascii="Cambria" w:eastAsia="Times New Roman" w:hAnsi="Cambria"/>
      <w:b/>
      <w:bCs/>
      <w:i/>
      <w:iCs/>
      <w:color w:val="4F81BD"/>
      <w14:ligatures w14:val="standardContextual"/>
    </w:rPr>
  </w:style>
  <w:style w:type="paragraph" w:customStyle="1" w:styleId="Titre51">
    <w:name w:val="Titre 51"/>
    <w:basedOn w:val="Normal"/>
    <w:next w:val="Normal"/>
    <w:uiPriority w:val="9"/>
    <w:unhideWhenUsed/>
    <w:qFormat/>
    <w:rsid w:val="000676A1"/>
    <w:pPr>
      <w:keepNext/>
      <w:keepLines/>
      <w:spacing w:before="200" w:after="0" w:line="276" w:lineRule="auto"/>
      <w:outlineLvl w:val="4"/>
    </w:pPr>
    <w:rPr>
      <w:rFonts w:ascii="Cambria" w:eastAsia="Times New Roman" w:hAnsi="Cambria"/>
      <w:color w:val="243F60"/>
      <w14:ligatures w14:val="standardContextual"/>
    </w:rPr>
  </w:style>
  <w:style w:type="paragraph" w:customStyle="1" w:styleId="Titre61">
    <w:name w:val="Titre 61"/>
    <w:basedOn w:val="Normal"/>
    <w:next w:val="Normal"/>
    <w:uiPriority w:val="9"/>
    <w:semiHidden/>
    <w:unhideWhenUsed/>
    <w:qFormat/>
    <w:rsid w:val="000676A1"/>
    <w:pPr>
      <w:keepNext/>
      <w:keepLines/>
      <w:spacing w:before="200" w:after="0" w:line="276" w:lineRule="auto"/>
      <w:outlineLvl w:val="5"/>
    </w:pPr>
    <w:rPr>
      <w:rFonts w:ascii="Cambria" w:eastAsia="Times New Roman" w:hAnsi="Cambria"/>
      <w:i/>
      <w:iCs/>
      <w:color w:val="243F60"/>
      <w14:ligatures w14:val="standardContextual"/>
    </w:rPr>
  </w:style>
  <w:style w:type="paragraph" w:customStyle="1" w:styleId="Sous-titre1">
    <w:name w:val="Sous-titre1"/>
    <w:basedOn w:val="Normal"/>
    <w:next w:val="Normal"/>
    <w:uiPriority w:val="11"/>
    <w:qFormat/>
    <w:rsid w:val="000676A1"/>
    <w:pPr>
      <w:spacing w:after="200" w:line="276" w:lineRule="auto"/>
    </w:pPr>
    <w:rPr>
      <w:rFonts w:ascii="Cambria" w:eastAsia="Times New Roman" w:hAnsi="Cambria"/>
      <w:i/>
      <w:iCs/>
      <w:color w:val="4F81BD"/>
      <w:spacing w:val="15"/>
      <w:sz w:val="24"/>
      <w:szCs w:val="24"/>
      <w:lang w:eastAsia="fr-FR"/>
      <w14:ligatures w14:val="standardContextual"/>
    </w:rPr>
  </w:style>
  <w:style w:type="paragraph" w:customStyle="1" w:styleId="PDG16">
    <w:name w:val="PDG16"/>
    <w:basedOn w:val="Normal"/>
    <w:uiPriority w:val="99"/>
    <w:rsid w:val="000676A1"/>
    <w:pPr>
      <w:spacing w:before="120" w:after="120" w:line="240" w:lineRule="atLeast"/>
      <w:jc w:val="both"/>
    </w:pPr>
    <w:rPr>
      <w:rFonts w:ascii="Arial Narrow" w:eastAsia="Times New Roman" w:hAnsi="Arial Narrow"/>
      <w:b/>
      <w:smallCaps/>
      <w:color w:val="003366"/>
      <w:sz w:val="32"/>
      <w:szCs w:val="32"/>
      <w:lang w:eastAsia="fr-FR"/>
      <w14:ligatures w14:val="standardContextual"/>
    </w:rPr>
  </w:style>
  <w:style w:type="paragraph" w:customStyle="1" w:styleId="PARA0">
    <w:name w:val="PARA"/>
    <w:basedOn w:val="Normal"/>
    <w:rsid w:val="000676A1"/>
    <w:pPr>
      <w:keepLines/>
      <w:spacing w:before="120" w:after="0" w:line="240" w:lineRule="auto"/>
      <w:jc w:val="both"/>
    </w:pPr>
    <w:rPr>
      <w:rFonts w:ascii="Arial" w:eastAsia="Times New Roman" w:hAnsi="Arial"/>
      <w:sz w:val="20"/>
      <w:szCs w:val="20"/>
      <w:lang w:eastAsia="fr-FR"/>
      <w14:ligatures w14:val="standardContextual"/>
    </w:rPr>
  </w:style>
  <w:style w:type="paragraph" w:customStyle="1" w:styleId="Paragraphedeliste2">
    <w:name w:val="Paragraphe de liste2"/>
    <w:basedOn w:val="Normal"/>
    <w:qFormat/>
    <w:rsid w:val="000676A1"/>
    <w:pPr>
      <w:spacing w:after="0" w:line="240" w:lineRule="auto"/>
      <w:ind w:left="720"/>
      <w:jc w:val="both"/>
    </w:pPr>
    <w:rPr>
      <w:rFonts w:ascii="Arial" w:eastAsia="Times New Roman" w:hAnsi="Arial" w:cs="Arial"/>
      <w14:ligatures w14:val="standardContextual"/>
    </w:rPr>
  </w:style>
  <w:style w:type="paragraph" w:customStyle="1" w:styleId="Retrait2">
    <w:name w:val="Retrait2"/>
    <w:basedOn w:val="Corpsdetexte"/>
    <w:uiPriority w:val="99"/>
    <w:rsid w:val="000676A1"/>
    <w:pPr>
      <w:pBdr>
        <w:top w:val="none" w:sz="0" w:space="0" w:color="auto"/>
        <w:left w:val="none" w:sz="0" w:space="0" w:color="auto"/>
        <w:bottom w:val="none" w:sz="0" w:space="0" w:color="auto"/>
        <w:right w:val="none" w:sz="0" w:space="0" w:color="auto"/>
      </w:pBdr>
      <w:shd w:val="clear" w:color="auto" w:fill="auto"/>
      <w:tabs>
        <w:tab w:val="clear" w:pos="4393"/>
        <w:tab w:val="num" w:pos="360"/>
      </w:tabs>
      <w:ind w:left="340" w:hanging="340"/>
      <w:jc w:val="both"/>
    </w:pPr>
    <w:rPr>
      <w:b w:val="0"/>
      <w:bCs/>
      <w:sz w:val="22"/>
      <w:szCs w:val="24"/>
      <w14:ligatures w14:val="standardContextual"/>
    </w:rPr>
  </w:style>
  <w:style w:type="paragraph" w:customStyle="1" w:styleId="Retraittexte">
    <w:name w:val="Retrait texte"/>
    <w:basedOn w:val="Corpsdetexte"/>
    <w:uiPriority w:val="99"/>
    <w:rsid w:val="000676A1"/>
    <w:pPr>
      <w:pBdr>
        <w:top w:val="none" w:sz="0" w:space="0" w:color="auto"/>
        <w:left w:val="none" w:sz="0" w:space="0" w:color="auto"/>
        <w:bottom w:val="none" w:sz="0" w:space="0" w:color="auto"/>
        <w:right w:val="none" w:sz="0" w:space="0" w:color="auto"/>
      </w:pBdr>
      <w:shd w:val="clear" w:color="auto" w:fill="auto"/>
      <w:tabs>
        <w:tab w:val="clear" w:pos="4393"/>
      </w:tabs>
      <w:ind w:left="360" w:hanging="360"/>
      <w:jc w:val="both"/>
    </w:pPr>
    <w:rPr>
      <w:b w:val="0"/>
      <w:sz w:val="22"/>
      <w:szCs w:val="24"/>
      <w14:ligatures w14:val="standardContextual"/>
    </w:rPr>
  </w:style>
  <w:style w:type="character" w:customStyle="1" w:styleId="article-fulllettrine">
    <w:name w:val="article-full__lettrine"/>
    <w:basedOn w:val="Policepardfaut"/>
    <w:rsid w:val="000676A1"/>
  </w:style>
  <w:style w:type="character" w:customStyle="1" w:styleId="bodyinterna1">
    <w:name w:val="bodyinterna1"/>
    <w:basedOn w:val="Policepardfaut"/>
    <w:rsid w:val="000676A1"/>
    <w:rPr>
      <w:rFonts w:ascii="Arial" w:hAnsi="Arial" w:cs="Arial" w:hint="default"/>
      <w:sz w:val="20"/>
      <w:szCs w:val="20"/>
    </w:rPr>
  </w:style>
  <w:style w:type="character" w:customStyle="1" w:styleId="Sous-titreCar1">
    <w:name w:val="Sous-titre Car1"/>
    <w:aliases w:val="Titre 3-1 Car1"/>
    <w:basedOn w:val="Policepardfaut"/>
    <w:uiPriority w:val="11"/>
    <w:rsid w:val="000676A1"/>
    <w:rPr>
      <w:rFonts w:eastAsiaTheme="minorEastAsia"/>
      <w:color w:val="5A5A5A" w:themeColor="text1" w:themeTint="A5"/>
      <w:spacing w:val="15"/>
      <w:kern w:val="0"/>
    </w:rPr>
  </w:style>
  <w:style w:type="table" w:styleId="Listeclaire-Accent3">
    <w:name w:val="Light List Accent 3"/>
    <w:basedOn w:val="TableauNormal"/>
    <w:uiPriority w:val="61"/>
    <w:unhideWhenUsed/>
    <w:qFormat/>
    <w:rsid w:val="000676A1"/>
    <w:pPr>
      <w:spacing w:after="0" w:line="240" w:lineRule="auto"/>
    </w:pPr>
    <w:rPr>
      <w:rFonts w:eastAsia="SimSun"/>
      <w14:ligatures w14:val="standardContextual"/>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customStyle="1" w:styleId="088095CB421E4E02BDC9682AFEE1723A">
    <w:name w:val="088095CB421E4E02BDC9682AFEE1723A"/>
    <w:rsid w:val="000676A1"/>
    <w:pPr>
      <w:spacing w:after="200" w:line="276" w:lineRule="auto"/>
    </w:pPr>
    <w:rPr>
      <w:rFonts w:eastAsiaTheme="minorEastAsia"/>
      <w:lang w:eastAsia="fr-FR"/>
      <w14:ligatures w14:val="standardContextual"/>
    </w:rPr>
  </w:style>
  <w:style w:type="numbering" w:customStyle="1" w:styleId="Style17">
    <w:name w:val="Style17"/>
    <w:uiPriority w:val="99"/>
    <w:rsid w:val="000676A1"/>
    <w:pPr>
      <w:numPr>
        <w:numId w:val="219"/>
      </w:numPr>
    </w:pPr>
  </w:style>
  <w:style w:type="paragraph" w:customStyle="1" w:styleId="Body10">
    <w:name w:val="Body1"/>
    <w:basedOn w:val="Normal"/>
    <w:rsid w:val="000676A1"/>
    <w:pPr>
      <w:spacing w:before="60" w:after="120" w:line="240" w:lineRule="exact"/>
      <w:ind w:left="709"/>
      <w:jc w:val="both"/>
    </w:pPr>
    <w:rPr>
      <w:rFonts w:ascii="Arial" w:eastAsia="Times New Roman" w:hAnsi="Arial" w:cs="Arial"/>
      <w:sz w:val="20"/>
      <w:szCs w:val="20"/>
      <w:lang w:eastAsia="fr-FR"/>
      <w14:ligatures w14:val="standardContextual"/>
    </w:rPr>
  </w:style>
  <w:style w:type="paragraph" w:customStyle="1" w:styleId="Paragraphe">
    <w:name w:val="Paragraphe"/>
    <w:basedOn w:val="Normal"/>
    <w:rsid w:val="000676A1"/>
    <w:pPr>
      <w:overflowPunct w:val="0"/>
      <w:autoSpaceDE w:val="0"/>
      <w:autoSpaceDN w:val="0"/>
      <w:adjustRightInd w:val="0"/>
      <w:spacing w:after="120" w:line="240" w:lineRule="auto"/>
      <w:jc w:val="both"/>
      <w:textAlignment w:val="baseline"/>
    </w:pPr>
    <w:rPr>
      <w:rFonts w:ascii="Times New Roman" w:eastAsia="Times New Roman" w:hAnsi="Times New Roman"/>
      <w:sz w:val="24"/>
      <w:szCs w:val="24"/>
      <w:lang w:eastAsia="fr-FR"/>
      <w14:ligatures w14:val="standardContextual"/>
    </w:rPr>
  </w:style>
  <w:style w:type="numbering" w:customStyle="1" w:styleId="Style12">
    <w:name w:val="Style12"/>
    <w:uiPriority w:val="99"/>
    <w:rsid w:val="000676A1"/>
    <w:pPr>
      <w:numPr>
        <w:numId w:val="220"/>
      </w:numPr>
    </w:pPr>
  </w:style>
  <w:style w:type="paragraph" w:customStyle="1" w:styleId="Arial">
    <w:name w:val="Arial"/>
    <w:basedOn w:val="Normal"/>
    <w:rsid w:val="000676A1"/>
    <w:pPr>
      <w:spacing w:after="0" w:line="240" w:lineRule="auto"/>
    </w:pPr>
    <w:rPr>
      <w:rFonts w:ascii="Times New Roman" w:eastAsia="Times New Roman" w:hAnsi="Times New Roman"/>
      <w:sz w:val="21"/>
      <w:szCs w:val="21"/>
      <w:lang w:eastAsia="fr-FR"/>
      <w14:ligatures w14:val="standardContextual"/>
    </w:rPr>
  </w:style>
  <w:style w:type="paragraph" w:customStyle="1" w:styleId="TableText">
    <w:name w:val="Table_Text"/>
    <w:basedOn w:val="Default"/>
    <w:next w:val="Default"/>
    <w:rsid w:val="000676A1"/>
    <w:rPr>
      <w:rFonts w:ascii="Arial" w:eastAsia="Times New Roman" w:hAnsi="Arial" w:cs="Arial"/>
      <w:lang w:eastAsia="fr-FR"/>
      <w14:ligatures w14:val="standardContextual"/>
    </w:rPr>
  </w:style>
  <w:style w:type="table" w:customStyle="1" w:styleId="TableauGrille3-Accentuation41">
    <w:name w:val="Tableau Grille 3 - Accentuation 41"/>
    <w:basedOn w:val="TableauNormal"/>
    <w:uiPriority w:val="48"/>
    <w:rsid w:val="000676A1"/>
    <w:pPr>
      <w:spacing w:after="0" w:line="240" w:lineRule="auto"/>
    </w:pPr>
    <w:rPr>
      <w:rFonts w:eastAsia="SimSun"/>
      <w14:ligatures w14:val="standardContextual"/>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TableauGrille3-Accentuation61">
    <w:name w:val="Tableau Grille 3 - Accentuation 61"/>
    <w:basedOn w:val="TableauNormal"/>
    <w:uiPriority w:val="47"/>
    <w:rsid w:val="000676A1"/>
    <w:pPr>
      <w:spacing w:after="0" w:line="240" w:lineRule="auto"/>
    </w:pPr>
    <w:rPr>
      <w:rFonts w:eastAsia="SimSun"/>
      <w14:ligatures w14:val="standardContextual"/>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TableauGrille4-Accentuation31">
    <w:name w:val="Tableau Grille 4 - Accentuation 31"/>
    <w:basedOn w:val="TableauNormal"/>
    <w:uiPriority w:val="49"/>
    <w:rsid w:val="000676A1"/>
    <w:pPr>
      <w:spacing w:after="0" w:line="240" w:lineRule="auto"/>
    </w:pPr>
    <w:rPr>
      <w:rFonts w:eastAsia="SimSun"/>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auGrille7Couleur2">
    <w:name w:val="Tableau Grille 7 Couleur2"/>
    <w:basedOn w:val="TableauNormal"/>
    <w:uiPriority w:val="52"/>
    <w:rsid w:val="000676A1"/>
    <w:pPr>
      <w:spacing w:after="0" w:line="240" w:lineRule="auto"/>
    </w:pPr>
    <w:rPr>
      <w:rFonts w:eastAsia="SimSun"/>
      <w:color w:val="000000" w:themeColor="text1"/>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Ttulo1">
    <w:name w:val="Título1"/>
    <w:basedOn w:val="Normal"/>
    <w:rsid w:val="000676A1"/>
    <w:pPr>
      <w:spacing w:before="240" w:after="0" w:line="360" w:lineRule="atLeast"/>
      <w:jc w:val="center"/>
    </w:pPr>
    <w:rPr>
      <w:rFonts w:ascii="Arial" w:eastAsia="Times New Roman" w:hAnsi="Arial"/>
      <w:b/>
      <w:sz w:val="26"/>
      <w:szCs w:val="26"/>
      <w14:ligatures w14:val="standardContextual"/>
    </w:rPr>
  </w:style>
  <w:style w:type="character" w:customStyle="1" w:styleId="StyleListe-Car">
    <w:name w:val="Style Liste- Car"/>
    <w:basedOn w:val="Policepardfaut"/>
    <w:link w:val="StyleListe-"/>
    <w:rsid w:val="000676A1"/>
    <w:rPr>
      <w:rFonts w:ascii="Arial" w:eastAsia="Calibri" w:hAnsi="Arial" w:cs="Times New Roman"/>
      <w:spacing w:val="-3"/>
      <w:sz w:val="20"/>
      <w:szCs w:val="20"/>
      <w:lang w:val="fr-BE"/>
    </w:rPr>
  </w:style>
  <w:style w:type="character" w:customStyle="1" w:styleId="fontstyle21">
    <w:name w:val="fontstyle21"/>
    <w:basedOn w:val="Policepardfaut"/>
    <w:rsid w:val="000676A1"/>
    <w:rPr>
      <w:rFonts w:ascii="Helvetica" w:hAnsi="Helvetica" w:hint="default"/>
      <w:b w:val="0"/>
      <w:bCs w:val="0"/>
      <w:i w:val="0"/>
      <w:iCs w:val="0"/>
      <w:color w:val="000000"/>
      <w:sz w:val="22"/>
      <w:szCs w:val="22"/>
    </w:rPr>
  </w:style>
  <w:style w:type="character" w:customStyle="1" w:styleId="fontstyle31">
    <w:name w:val="fontstyle31"/>
    <w:basedOn w:val="Policepardfaut"/>
    <w:rsid w:val="000676A1"/>
    <w:rPr>
      <w:rFonts w:ascii="Symbol" w:hAnsi="Symbol" w:hint="default"/>
      <w:b w:val="0"/>
      <w:bCs w:val="0"/>
      <w:i w:val="0"/>
      <w:iCs w:val="0"/>
      <w:color w:val="000000"/>
      <w:sz w:val="22"/>
      <w:szCs w:val="22"/>
    </w:rPr>
  </w:style>
  <w:style w:type="paragraph" w:customStyle="1" w:styleId="rtetext-column">
    <w:name w:val="rtetext-column"/>
    <w:basedOn w:val="Normal"/>
    <w:rsid w:val="000676A1"/>
    <w:pPr>
      <w:spacing w:before="100" w:beforeAutospacing="1" w:after="100" w:afterAutospacing="1" w:line="240" w:lineRule="auto"/>
    </w:pPr>
    <w:rPr>
      <w:rFonts w:ascii="Times New Roman" w:eastAsia="Times New Roman" w:hAnsi="Times New Roman"/>
      <w:sz w:val="24"/>
      <w:szCs w:val="24"/>
      <w:lang w:eastAsia="fr-FR"/>
      <w14:ligatures w14:val="standardContextual"/>
    </w:rPr>
  </w:style>
  <w:style w:type="character" w:customStyle="1" w:styleId="BodyTextIndentChar">
    <w:name w:val="Body Text Indent Char"/>
    <w:uiPriority w:val="99"/>
    <w:semiHidden/>
    <w:rsid w:val="000676A1"/>
    <w:rPr>
      <w:rFonts w:ascii="Times New Roman" w:hAnsi="Times New Roman"/>
      <w:sz w:val="24"/>
      <w:szCs w:val="24"/>
    </w:rPr>
  </w:style>
  <w:style w:type="character" w:customStyle="1" w:styleId="shorttext">
    <w:name w:val="short_text"/>
    <w:basedOn w:val="Policepardfaut"/>
    <w:rsid w:val="000676A1"/>
  </w:style>
  <w:style w:type="paragraph" w:customStyle="1" w:styleId="Alinea">
    <w:name w:val="Alinea"/>
    <w:basedOn w:val="Normal"/>
    <w:rsid w:val="000676A1"/>
    <w:pPr>
      <w:tabs>
        <w:tab w:val="right" w:leader="dot" w:pos="7088"/>
      </w:tabs>
      <w:autoSpaceDE w:val="0"/>
      <w:autoSpaceDN w:val="0"/>
      <w:adjustRightInd w:val="0"/>
      <w:spacing w:before="150" w:after="0" w:line="240" w:lineRule="auto"/>
      <w:jc w:val="both"/>
    </w:pPr>
    <w:rPr>
      <w:rFonts w:ascii="Helvetica" w:eastAsia="Times New Roman" w:hAnsi="Helvetica" w:cs="Helvetica"/>
      <w:sz w:val="20"/>
      <w:szCs w:val="20"/>
      <w:lang w:eastAsia="fr-FR"/>
      <w14:ligatures w14:val="standardContextual"/>
    </w:rPr>
  </w:style>
  <w:style w:type="paragraph" w:customStyle="1" w:styleId="Tartq">
    <w:name w:val="Tartq"/>
    <w:basedOn w:val="Normal"/>
    <w:rsid w:val="000676A1"/>
    <w:pPr>
      <w:autoSpaceDE w:val="0"/>
      <w:autoSpaceDN w:val="0"/>
      <w:adjustRightInd w:val="0"/>
      <w:spacing w:before="470" w:after="50" w:line="240" w:lineRule="auto"/>
      <w:jc w:val="both"/>
    </w:pPr>
    <w:rPr>
      <w:rFonts w:ascii="Helvetica" w:eastAsia="Times New Roman" w:hAnsi="Helvetica" w:cs="Helvetica"/>
      <w:b/>
      <w:bCs/>
      <w:sz w:val="24"/>
      <w:szCs w:val="24"/>
      <w:lang w:eastAsia="fr-FR"/>
      <w14:ligatures w14:val="standardContextual"/>
    </w:rPr>
  </w:style>
  <w:style w:type="paragraph" w:customStyle="1" w:styleId="GridTable31">
    <w:name w:val="Grid Table 31"/>
    <w:basedOn w:val="Titre1"/>
    <w:next w:val="Normal"/>
    <w:uiPriority w:val="39"/>
    <w:unhideWhenUsed/>
    <w:qFormat/>
    <w:rsid w:val="000676A1"/>
    <w:pPr>
      <w:numPr>
        <w:numId w:val="0"/>
      </w:numPr>
      <w:spacing w:before="480" w:after="0" w:line="276" w:lineRule="auto"/>
      <w:ind w:left="787" w:right="0" w:hanging="360"/>
      <w:jc w:val="left"/>
      <w:outlineLvl w:val="9"/>
    </w:pPr>
    <w:rPr>
      <w:rFonts w:ascii="Times New Roman" w:eastAsia="Calibri" w:hAnsi="Times New Roman"/>
      <w:bCs w:val="0"/>
      <w:caps w:val="0"/>
      <w:kern w:val="0"/>
      <w:sz w:val="28"/>
      <w:szCs w:val="28"/>
      <w:lang w:eastAsia="en-US"/>
      <w14:ligatures w14:val="standardContextual"/>
    </w:rPr>
  </w:style>
  <w:style w:type="table" w:styleId="Listefonce-Accent3">
    <w:name w:val="Dark List Accent 3"/>
    <w:basedOn w:val="TableauNormal"/>
    <w:uiPriority w:val="61"/>
    <w:unhideWhenUsed/>
    <w:rsid w:val="000676A1"/>
    <w:pPr>
      <w:spacing w:after="0" w:line="240" w:lineRule="auto"/>
    </w:pPr>
    <w:rPr>
      <w:rFonts w:ascii="Calibri" w:eastAsia="Calibri" w:hAnsi="Calibri" w:cs="Times New Roman"/>
      <w:sz w:val="20"/>
      <w:szCs w:val="20"/>
      <w:lang w:eastAsia="fr-FR"/>
      <w14:ligatures w14:val="standardContextual"/>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auGrille5Fonc-Accentuation61">
    <w:name w:val="Tableau Grille 5 Foncé - Accentuation 61"/>
    <w:basedOn w:val="TableauNormal"/>
    <w:uiPriority w:val="49"/>
    <w:rsid w:val="000676A1"/>
    <w:pPr>
      <w:spacing w:after="0" w:line="240" w:lineRule="auto"/>
    </w:pPr>
    <w:rPr>
      <w:rFonts w:eastAsia="SimSun"/>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customStyle="1" w:styleId="ParagraphedelisteChar">
    <w:name w:val="Paragraphe de liste Char"/>
    <w:rsid w:val="000676A1"/>
    <w:rPr>
      <w:rFonts w:ascii="Times New Roman" w:eastAsia="Times New Roman" w:hAnsi="Times New Roman" w:cs="Times New Roman"/>
      <w:sz w:val="24"/>
      <w:szCs w:val="24"/>
      <w:lang w:val="en-US"/>
    </w:rPr>
  </w:style>
  <w:style w:type="character" w:customStyle="1" w:styleId="Titre4Car2">
    <w:name w:val="Titre 4 Car2"/>
    <w:aliases w:val="Sub-Clause Sub-paragraph Car1, Sub-Clause Sub-paragraph Car2"/>
    <w:basedOn w:val="Policepardfaut"/>
    <w:uiPriority w:val="9"/>
    <w:rsid w:val="000676A1"/>
    <w:rPr>
      <w:rFonts w:ascii="Times New Roman" w:eastAsia="Times New Roman" w:hAnsi="Times New Roman" w:cs="Times New Roman"/>
      <w:b/>
      <w:bCs/>
      <w:sz w:val="20"/>
      <w:szCs w:val="24"/>
      <w:lang w:val="en-US"/>
    </w:rPr>
  </w:style>
  <w:style w:type="paragraph" w:customStyle="1" w:styleId="Clauses">
    <w:name w:val="Clauses"/>
    <w:basedOn w:val="Normal"/>
    <w:rsid w:val="000676A1"/>
    <w:pPr>
      <w:keepLines/>
      <w:numPr>
        <w:numId w:val="221"/>
      </w:numPr>
      <w:spacing w:after="120" w:line="240" w:lineRule="auto"/>
      <w:outlineLvl w:val="0"/>
    </w:pPr>
    <w:rPr>
      <w:rFonts w:ascii="Times New Roman Bold" w:eastAsia="Times New Roman" w:hAnsi="Times New Roman Bold"/>
      <w:b/>
      <w:sz w:val="24"/>
      <w:szCs w:val="20"/>
      <w:lang w:val="es-ES_tradnl" w:eastAsia="en-GB"/>
      <w14:ligatures w14:val="standardContextual"/>
    </w:rPr>
  </w:style>
  <w:style w:type="paragraph" w:customStyle="1" w:styleId="Normala">
    <w:name w:val="Normal(a)"/>
    <w:basedOn w:val="Normal"/>
    <w:rsid w:val="000676A1"/>
    <w:pPr>
      <w:keepLines/>
      <w:tabs>
        <w:tab w:val="left" w:pos="1418"/>
        <w:tab w:val="num" w:pos="1712"/>
      </w:tabs>
      <w:spacing w:after="120" w:line="240" w:lineRule="auto"/>
      <w:ind w:left="1418" w:hanging="426"/>
      <w:jc w:val="both"/>
    </w:pPr>
    <w:rPr>
      <w:rFonts w:ascii="Times New Roman" w:eastAsia="Times New Roman" w:hAnsi="Times New Roman"/>
      <w:sz w:val="24"/>
      <w:szCs w:val="20"/>
      <w:lang w:val="en-GB" w:eastAsia="en-GB"/>
      <w14:ligatures w14:val="standardContextual"/>
    </w:rPr>
  </w:style>
  <w:style w:type="paragraph" w:customStyle="1" w:styleId="Normali">
    <w:name w:val="Normal(i)"/>
    <w:basedOn w:val="Normala"/>
    <w:rsid w:val="000676A1"/>
  </w:style>
  <w:style w:type="paragraph" w:customStyle="1" w:styleId="Normal10">
    <w:name w:val="Normal(1)"/>
    <w:basedOn w:val="Normal"/>
    <w:rsid w:val="000676A1"/>
    <w:pPr>
      <w:tabs>
        <w:tab w:val="num" w:pos="709"/>
      </w:tabs>
      <w:spacing w:after="120" w:line="240" w:lineRule="auto"/>
      <w:ind w:left="709" w:hanging="709"/>
      <w:jc w:val="both"/>
    </w:pPr>
    <w:rPr>
      <w:rFonts w:ascii="Times New Roman" w:eastAsia="Times New Roman" w:hAnsi="Times New Roman"/>
      <w:sz w:val="24"/>
      <w:szCs w:val="20"/>
      <w:lang w:val="en-GB" w:eastAsia="en-GB"/>
      <w14:ligatures w14:val="standardContextual"/>
    </w:rPr>
  </w:style>
  <w:style w:type="paragraph" w:customStyle="1" w:styleId="xl143">
    <w:name w:val="xl143"/>
    <w:basedOn w:val="Normal"/>
    <w:rsid w:val="000676A1"/>
    <w:pPr>
      <w:pBdr>
        <w:left w:val="single" w:sz="4" w:space="0" w:color="auto"/>
        <w:right w:val="single" w:sz="4" w:space="0" w:color="000000"/>
      </w:pBdr>
      <w:spacing w:before="100" w:beforeAutospacing="1" w:after="100" w:afterAutospacing="1" w:line="240" w:lineRule="auto"/>
    </w:pPr>
    <w:rPr>
      <w:rFonts w:ascii="Times New Roman" w:eastAsia="Times New Roman" w:hAnsi="Times New Roman"/>
      <w:b/>
      <w:bCs/>
      <w:sz w:val="20"/>
      <w:szCs w:val="20"/>
      <w:u w:val="single"/>
      <w:lang w:val="it-IT" w:eastAsia="it-IT"/>
      <w14:ligatures w14:val="standardContextual"/>
    </w:rPr>
  </w:style>
  <w:style w:type="paragraph" w:customStyle="1" w:styleId="A1-Heading1">
    <w:name w:val="A1-Heading1"/>
    <w:basedOn w:val="Titre1"/>
    <w:rsid w:val="000676A1"/>
    <w:pPr>
      <w:keepNext w:val="0"/>
      <w:keepLines w:val="0"/>
      <w:numPr>
        <w:numId w:val="0"/>
      </w:numPr>
      <w:ind w:right="0"/>
      <w:jc w:val="center"/>
    </w:pPr>
    <w:rPr>
      <w:rFonts w:ascii="Times New Roman" w:hAnsi="Times New Roman"/>
      <w:bCs w:val="0"/>
      <w:caps w:val="0"/>
      <w:kern w:val="0"/>
      <w:sz w:val="32"/>
      <w:szCs w:val="20"/>
      <w:lang w:val="en-US" w:eastAsia="en-US"/>
      <w14:ligatures w14:val="standardContextual"/>
    </w:rPr>
  </w:style>
  <w:style w:type="paragraph" w:customStyle="1" w:styleId="A1-Heading2">
    <w:name w:val="A1-Heading2"/>
    <w:basedOn w:val="Titre2"/>
    <w:link w:val="A1-Heading2Char"/>
    <w:rsid w:val="000676A1"/>
    <w:pPr>
      <w:keepNext w:val="0"/>
      <w:pBdr>
        <w:bottom w:val="none" w:sz="0" w:space="0" w:color="auto"/>
      </w:pBdr>
      <w:tabs>
        <w:tab w:val="left" w:pos="360"/>
      </w:tabs>
      <w:spacing w:before="0" w:after="0"/>
      <w:ind w:left="720" w:hanging="360"/>
      <w:contextualSpacing/>
      <w:jc w:val="center"/>
    </w:pPr>
    <w:rPr>
      <w:smallCaps/>
      <w:color w:val="auto"/>
      <w:lang w:val="en-GB" w:eastAsia="en-US"/>
      <w14:ligatures w14:val="standardContextual"/>
    </w:rPr>
  </w:style>
  <w:style w:type="character" w:customStyle="1" w:styleId="A1-Heading2Char">
    <w:name w:val="A1-Heading2 Char"/>
    <w:link w:val="A1-Heading2"/>
    <w:rsid w:val="000676A1"/>
    <w:rPr>
      <w:rFonts w:ascii="Times New Roman" w:eastAsia="Times New Roman" w:hAnsi="Times New Roman" w:cs="Times New Roman"/>
      <w:b/>
      <w:bCs/>
      <w:smallCaps/>
      <w:sz w:val="24"/>
      <w:szCs w:val="24"/>
      <w:lang w:val="en-GB"/>
      <w14:ligatures w14:val="standardContextual"/>
    </w:rPr>
  </w:style>
  <w:style w:type="paragraph" w:customStyle="1" w:styleId="A2-Heading1">
    <w:name w:val="A2-Heading 1"/>
    <w:basedOn w:val="Titre1"/>
    <w:rsid w:val="000676A1"/>
    <w:pPr>
      <w:keepNext w:val="0"/>
      <w:keepLines w:val="0"/>
      <w:numPr>
        <w:ilvl w:val="12"/>
        <w:numId w:val="0"/>
      </w:numPr>
      <w:spacing w:before="0" w:after="0"/>
      <w:ind w:right="0"/>
      <w:jc w:val="center"/>
    </w:pPr>
    <w:rPr>
      <w:rFonts w:ascii="Times New Roman Bold" w:hAnsi="Times New Roman Bold"/>
      <w:bCs w:val="0"/>
      <w:caps w:val="0"/>
      <w:kern w:val="0"/>
      <w:sz w:val="32"/>
      <w:lang w:val="en-US" w:eastAsia="en-US"/>
      <w14:ligatures w14:val="standardContextual"/>
    </w:rPr>
  </w:style>
  <w:style w:type="paragraph" w:customStyle="1" w:styleId="A2-Heading2">
    <w:name w:val="A2-Heading 2"/>
    <w:basedOn w:val="Titre2"/>
    <w:rsid w:val="000676A1"/>
    <w:pPr>
      <w:keepNext w:val="0"/>
      <w:pBdr>
        <w:bottom w:val="none" w:sz="0" w:space="0" w:color="auto"/>
      </w:pBdr>
      <w:tabs>
        <w:tab w:val="num" w:pos="360"/>
      </w:tabs>
      <w:spacing w:before="0" w:after="0"/>
      <w:ind w:left="720" w:hanging="720"/>
      <w:contextualSpacing/>
      <w:jc w:val="center"/>
    </w:pPr>
    <w:rPr>
      <w:smallCaps/>
      <w:color w:val="auto"/>
      <w:lang w:val="en-GB" w:eastAsia="en-US"/>
      <w14:ligatures w14:val="standardContextual"/>
    </w:rPr>
  </w:style>
  <w:style w:type="paragraph" w:customStyle="1" w:styleId="A1-Heading3">
    <w:name w:val="A1-Heading 3"/>
    <w:basedOn w:val="Titre30"/>
    <w:rsid w:val="000676A1"/>
    <w:pPr>
      <w:keepNext w:val="0"/>
      <w:keepLines/>
      <w:numPr>
        <w:ilvl w:val="0"/>
        <w:numId w:val="0"/>
      </w:numPr>
      <w:tabs>
        <w:tab w:val="left" w:pos="540"/>
      </w:tabs>
      <w:spacing w:before="0" w:after="0" w:line="336" w:lineRule="atLeast"/>
      <w:ind w:left="533" w:right="-29" w:hanging="533"/>
      <w:contextualSpacing/>
      <w:textAlignment w:val="baseline"/>
    </w:pPr>
    <w:rPr>
      <w:bCs w:val="0"/>
      <w:color w:val="auto"/>
      <w:sz w:val="24"/>
      <w:lang w:val="en-GB" w:eastAsia="en-US"/>
      <w14:ligatures w14:val="standardContextual"/>
    </w:rPr>
  </w:style>
  <w:style w:type="paragraph" w:customStyle="1" w:styleId="A1-Heading4">
    <w:name w:val="A1-Heading 4"/>
    <w:basedOn w:val="Titre40"/>
    <w:rsid w:val="000676A1"/>
    <w:pPr>
      <w:keepNext w:val="0"/>
      <w:tabs>
        <w:tab w:val="left" w:pos="720"/>
        <w:tab w:val="left" w:pos="1062"/>
        <w:tab w:val="right" w:leader="dot" w:pos="8640"/>
      </w:tabs>
      <w:spacing w:before="120" w:after="120" w:line="240" w:lineRule="auto"/>
      <w:ind w:left="1062" w:right="-573" w:hanging="720"/>
      <w:jc w:val="both"/>
    </w:pPr>
    <w:rPr>
      <w:rFonts w:ascii="Times New Roman" w:hAnsi="Times New Roman"/>
      <w:i/>
      <w:iCs/>
      <w:sz w:val="24"/>
      <w:szCs w:val="24"/>
      <w:lang w:val="en-US"/>
      <w14:ligatures w14:val="standardContextual"/>
    </w:rPr>
  </w:style>
  <w:style w:type="paragraph" w:customStyle="1" w:styleId="A2-Heading3">
    <w:name w:val="A2-Heading 3"/>
    <w:basedOn w:val="Titre30"/>
    <w:rsid w:val="000676A1"/>
    <w:pPr>
      <w:keepNext w:val="0"/>
      <w:keepLines/>
      <w:numPr>
        <w:ilvl w:val="0"/>
        <w:numId w:val="0"/>
      </w:numPr>
      <w:tabs>
        <w:tab w:val="left" w:pos="540"/>
      </w:tabs>
      <w:spacing w:before="0" w:after="0" w:line="336" w:lineRule="atLeast"/>
      <w:ind w:left="539" w:right="-34" w:hanging="539"/>
      <w:contextualSpacing/>
      <w:textAlignment w:val="baseline"/>
    </w:pPr>
    <w:rPr>
      <w:bCs w:val="0"/>
      <w:color w:val="auto"/>
      <w:sz w:val="24"/>
      <w:lang w:val="en-GB" w:eastAsia="en-US"/>
      <w14:ligatures w14:val="standardContextual"/>
    </w:rPr>
  </w:style>
  <w:style w:type="paragraph" w:customStyle="1" w:styleId="Section3-Heading1">
    <w:name w:val="Section 3 - Heading 1"/>
    <w:basedOn w:val="Normal"/>
    <w:rsid w:val="000676A1"/>
    <w:pPr>
      <w:pBdr>
        <w:bottom w:val="single" w:sz="4" w:space="1" w:color="auto"/>
      </w:pBdr>
      <w:spacing w:after="240" w:line="240" w:lineRule="auto"/>
      <w:jc w:val="center"/>
    </w:pPr>
    <w:rPr>
      <w:rFonts w:ascii="Times New Roman Bold" w:eastAsia="Times New Roman" w:hAnsi="Times New Roman Bold"/>
      <w:b/>
      <w:sz w:val="32"/>
      <w:szCs w:val="24"/>
      <w:lang w:val="en-US"/>
      <w14:ligatures w14:val="standardContextual"/>
    </w:rPr>
  </w:style>
  <w:style w:type="paragraph" w:customStyle="1" w:styleId="CharChar">
    <w:name w:val="Char Char"/>
    <w:basedOn w:val="Normal"/>
    <w:rsid w:val="000676A1"/>
    <w:pPr>
      <w:autoSpaceDE w:val="0"/>
      <w:autoSpaceDN w:val="0"/>
      <w:spacing w:line="240" w:lineRule="exact"/>
    </w:pPr>
    <w:rPr>
      <w:rFonts w:ascii="Arial" w:eastAsia="Times New Roman" w:hAnsi="Arial" w:cs="Arial"/>
      <w:b/>
      <w:sz w:val="20"/>
      <w:szCs w:val="20"/>
      <w:lang w:val="en-US" w:eastAsia="de-DE"/>
      <w14:ligatures w14:val="standardContextual"/>
    </w:rPr>
  </w:style>
  <w:style w:type="character" w:customStyle="1" w:styleId="GaramondTimesNewRoman">
    <w:name w:val="Стиль Стиль Garamond + Times New Roman"/>
    <w:rsid w:val="000676A1"/>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rsid w:val="000676A1"/>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En-tte"/>
    <w:rsid w:val="000676A1"/>
    <w:pPr>
      <w:numPr>
        <w:numId w:val="222"/>
      </w:numPr>
      <w:tabs>
        <w:tab w:val="clear" w:pos="4536"/>
        <w:tab w:val="clear" w:pos="9072"/>
      </w:tabs>
      <w:spacing w:after="0" w:line="240" w:lineRule="auto"/>
      <w:ind w:right="-88"/>
      <w:jc w:val="both"/>
    </w:pPr>
    <w:rPr>
      <w:rFonts w:ascii="Arial" w:eastAsia="Times New Roman" w:hAnsi="Arial" w:cs="Arial"/>
      <w:bCs/>
      <w:szCs w:val="24"/>
      <w:lang w:val="en-GB"/>
      <w14:ligatures w14:val="standardContextual"/>
    </w:rPr>
  </w:style>
  <w:style w:type="paragraph" w:customStyle="1" w:styleId="Subtitulos">
    <w:name w:val="Subtitulos"/>
    <w:basedOn w:val="Titre2"/>
    <w:rsid w:val="000676A1"/>
    <w:pPr>
      <w:keepNext w:val="0"/>
      <w:pBdr>
        <w:bottom w:val="none" w:sz="0" w:space="0" w:color="auto"/>
      </w:pBdr>
      <w:tabs>
        <w:tab w:val="left" w:pos="360"/>
      </w:tabs>
      <w:spacing w:before="120" w:after="120"/>
      <w:contextualSpacing/>
    </w:pPr>
    <w:rPr>
      <w:rFonts w:ascii="Times New Roman Bold" w:hAnsi="Times New Roman Bold"/>
      <w:bCs w:val="0"/>
      <w:color w:val="auto"/>
      <w:szCs w:val="20"/>
      <w:lang w:val="es-ES_tradnl" w:eastAsia="en-US"/>
      <w14:ligatures w14:val="standardContextual"/>
    </w:rPr>
  </w:style>
  <w:style w:type="paragraph" w:customStyle="1" w:styleId="41Autolist4">
    <w:name w:val="4.1 Autolist4"/>
    <w:basedOn w:val="Normal"/>
    <w:next w:val="Normal"/>
    <w:rsid w:val="000676A1"/>
    <w:pPr>
      <w:keepNext/>
      <w:spacing w:before="120" w:after="120" w:line="240" w:lineRule="auto"/>
      <w:jc w:val="both"/>
    </w:pPr>
    <w:rPr>
      <w:rFonts w:ascii="Times New Roman" w:eastAsia="Times New Roman" w:hAnsi="Times New Roman"/>
      <w:sz w:val="24"/>
      <w:szCs w:val="20"/>
      <w:lang w:val="en-US"/>
      <w14:ligatures w14:val="standardContextual"/>
    </w:rPr>
  </w:style>
  <w:style w:type="paragraph" w:customStyle="1" w:styleId="iAutoList">
    <w:name w:val="(i) AutoList"/>
    <w:basedOn w:val="Normal"/>
    <w:next w:val="Normal"/>
    <w:rsid w:val="000676A1"/>
    <w:pPr>
      <w:spacing w:before="120" w:after="120" w:line="240" w:lineRule="auto"/>
      <w:ind w:left="720" w:hanging="360"/>
      <w:jc w:val="both"/>
    </w:pPr>
    <w:rPr>
      <w:rFonts w:ascii="Times New Roman" w:eastAsia="Times New Roman" w:hAnsi="Times New Roman"/>
      <w:snapToGrid w:val="0"/>
      <w:sz w:val="24"/>
      <w:szCs w:val="20"/>
      <w:lang w:val="es-ES_tradnl"/>
      <w14:ligatures w14:val="standardContextual"/>
    </w:rPr>
  </w:style>
  <w:style w:type="character" w:customStyle="1" w:styleId="Corpsdetexte2Car2">
    <w:name w:val="Corps de texte 2 Car2"/>
    <w:basedOn w:val="Policepardfaut"/>
    <w:uiPriority w:val="99"/>
    <w:rsid w:val="000676A1"/>
    <w:rPr>
      <w:rFonts w:ascii="Times New Roman" w:eastAsia="Times New Roman" w:hAnsi="Times New Roman" w:cs="Times New Roman"/>
      <w:sz w:val="24"/>
      <w:szCs w:val="24"/>
      <w:lang w:val="en-US"/>
    </w:rPr>
  </w:style>
  <w:style w:type="paragraph" w:customStyle="1" w:styleId="Section4-Heading1">
    <w:name w:val="Section 4 - Heading 1"/>
    <w:basedOn w:val="Section3-Heading1"/>
    <w:rsid w:val="000676A1"/>
  </w:style>
  <w:style w:type="paragraph" w:customStyle="1" w:styleId="Header1-Clauses">
    <w:name w:val="Header 1 - Clauses"/>
    <w:basedOn w:val="Normal"/>
    <w:rsid w:val="000676A1"/>
    <w:pPr>
      <w:numPr>
        <w:ilvl w:val="1"/>
        <w:numId w:val="223"/>
      </w:numPr>
      <w:spacing w:after="0" w:line="240" w:lineRule="auto"/>
      <w:ind w:left="360" w:hanging="360"/>
    </w:pPr>
    <w:rPr>
      <w:rFonts w:ascii="Times New Roman" w:eastAsia="Times New Roman" w:hAnsi="Times New Roman"/>
      <w:b/>
      <w:sz w:val="24"/>
      <w:szCs w:val="20"/>
      <w:lang w:val="es-ES_tradnl"/>
      <w14:ligatures w14:val="standardContextual"/>
    </w:rPr>
  </w:style>
  <w:style w:type="paragraph" w:customStyle="1" w:styleId="Header2-SubClauses">
    <w:name w:val="Header 2 - SubClauses"/>
    <w:basedOn w:val="Normal"/>
    <w:link w:val="Header2-SubClausesCharChar"/>
    <w:uiPriority w:val="99"/>
    <w:rsid w:val="000676A1"/>
    <w:pPr>
      <w:tabs>
        <w:tab w:val="left" w:pos="619"/>
      </w:tabs>
      <w:spacing w:after="200" w:line="240" w:lineRule="auto"/>
      <w:ind w:left="792" w:hanging="432"/>
      <w:jc w:val="both"/>
    </w:pPr>
    <w:rPr>
      <w:rFonts w:ascii="Times New Roman" w:eastAsia="Times New Roman" w:hAnsi="Times New Roman"/>
      <w:sz w:val="24"/>
      <w:szCs w:val="20"/>
      <w:lang w:val="es-ES_tradnl"/>
      <w14:ligatures w14:val="standardContextual"/>
    </w:rPr>
  </w:style>
  <w:style w:type="paragraph" w:customStyle="1" w:styleId="P3Header1-Clauses">
    <w:name w:val="P3 Header1-Clauses"/>
    <w:basedOn w:val="Header1-Clauses"/>
    <w:uiPriority w:val="99"/>
    <w:rsid w:val="000676A1"/>
  </w:style>
  <w:style w:type="character" w:customStyle="1" w:styleId="DeltaViewInsertion">
    <w:name w:val="DeltaView Insertion"/>
    <w:uiPriority w:val="99"/>
    <w:rsid w:val="000676A1"/>
    <w:rPr>
      <w:color w:val="0000FF"/>
      <w:u w:val="double"/>
    </w:rPr>
  </w:style>
  <w:style w:type="paragraph" w:customStyle="1" w:styleId="Section8Heading1">
    <w:name w:val="Section 8. Heading1"/>
    <w:basedOn w:val="A1-Heading2"/>
    <w:qFormat/>
    <w:rsid w:val="000676A1"/>
    <w:pPr>
      <w:numPr>
        <w:numId w:val="225"/>
      </w:numPr>
      <w:tabs>
        <w:tab w:val="clear" w:pos="360"/>
      </w:tabs>
      <w:spacing w:before="120" w:after="200"/>
      <w:ind w:left="1080" w:hanging="720"/>
      <w:contextualSpacing w:val="0"/>
    </w:pPr>
    <w:rPr>
      <w:lang w:val="en-US"/>
    </w:rPr>
  </w:style>
  <w:style w:type="paragraph" w:customStyle="1" w:styleId="Section8Heading2">
    <w:name w:val="Section 8. Heading2"/>
    <w:next w:val="Normal"/>
    <w:qFormat/>
    <w:rsid w:val="000676A1"/>
    <w:pPr>
      <w:spacing w:after="200" w:line="240" w:lineRule="auto"/>
      <w:ind w:left="720" w:hanging="360"/>
    </w:pPr>
    <w:rPr>
      <w:rFonts w:ascii="Times New Roman" w:eastAsia="Times New Roman" w:hAnsi="Times New Roman" w:cs="Times New Roman"/>
      <w:b/>
      <w:bCs/>
      <w:sz w:val="24"/>
      <w:szCs w:val="24"/>
      <w:lang w:val="en-US"/>
      <w14:ligatures w14:val="standardContextual"/>
    </w:rPr>
  </w:style>
  <w:style w:type="paragraph" w:customStyle="1" w:styleId="Section8Header1">
    <w:name w:val="Section 8. Header1"/>
    <w:qFormat/>
    <w:rsid w:val="000676A1"/>
    <w:pPr>
      <w:numPr>
        <w:numId w:val="227"/>
      </w:numPr>
      <w:spacing w:before="240" w:after="240" w:line="240" w:lineRule="auto"/>
      <w:jc w:val="center"/>
    </w:pPr>
    <w:rPr>
      <w:rFonts w:ascii="Times New Roman" w:eastAsia="Times New Roman" w:hAnsi="Times New Roman" w:cs="Times New Roman"/>
      <w:b/>
      <w:sz w:val="32"/>
      <w:szCs w:val="20"/>
      <w:lang w:val="en-US"/>
      <w14:ligatures w14:val="standardContextual"/>
    </w:rPr>
  </w:style>
  <w:style w:type="paragraph" w:customStyle="1" w:styleId="Section8Heading3">
    <w:name w:val="Section 8. Heading3"/>
    <w:qFormat/>
    <w:rsid w:val="000676A1"/>
    <w:pPr>
      <w:spacing w:after="0" w:line="240" w:lineRule="auto"/>
      <w:ind w:hanging="534"/>
    </w:pPr>
    <w:rPr>
      <w:rFonts w:ascii="Times New Roman" w:eastAsia="Times New Roman" w:hAnsi="Times New Roman" w:cs="Times New Roman"/>
      <w:b/>
      <w:bCs/>
      <w:sz w:val="24"/>
      <w:szCs w:val="24"/>
      <w:lang w:val="en-US"/>
      <w14:ligatures w14:val="standardContextual"/>
    </w:rPr>
  </w:style>
  <w:style w:type="paragraph" w:customStyle="1" w:styleId="TextBoxFramed">
    <w:name w:val="Text Box Framed"/>
    <w:basedOn w:val="Normal"/>
    <w:rsid w:val="000676A1"/>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after="0" w:line="240" w:lineRule="auto"/>
    </w:pPr>
    <w:rPr>
      <w:rFonts w:ascii="Times New Roman" w:eastAsia="Times New Roman" w:hAnsi="Times New Roman"/>
      <w:szCs w:val="20"/>
      <w14:ligatures w14:val="standardContextual"/>
    </w:rPr>
  </w:style>
  <w:style w:type="paragraph" w:customStyle="1" w:styleId="p7">
    <w:name w:val="p7"/>
    <w:basedOn w:val="Normal"/>
    <w:rsid w:val="000676A1"/>
    <w:pPr>
      <w:widowControl w:val="0"/>
      <w:spacing w:after="0" w:line="360" w:lineRule="atLeast"/>
      <w:ind w:left="720" w:hanging="720"/>
    </w:pPr>
    <w:rPr>
      <w:rFonts w:ascii="Chicago" w:eastAsia="Times New Roman" w:hAnsi="Chicago"/>
      <w:snapToGrid w:val="0"/>
      <w:sz w:val="24"/>
      <w:szCs w:val="20"/>
      <w:lang w:val="en-US"/>
      <w14:ligatures w14:val="standardContextual"/>
    </w:rPr>
  </w:style>
  <w:style w:type="paragraph" w:customStyle="1" w:styleId="p3">
    <w:name w:val="p3"/>
    <w:basedOn w:val="Normal"/>
    <w:rsid w:val="000676A1"/>
    <w:pPr>
      <w:widowControl w:val="0"/>
      <w:tabs>
        <w:tab w:val="left" w:pos="0"/>
      </w:tabs>
      <w:spacing w:after="0" w:line="240" w:lineRule="atLeast"/>
      <w:jc w:val="both"/>
      <w:outlineLvl w:val="1"/>
    </w:pPr>
    <w:rPr>
      <w:rFonts w:ascii="Arial" w:eastAsia="Times New Roman" w:hAnsi="Arial" w:cs="Arial"/>
      <w:b/>
      <w:bCs/>
      <w:snapToGrid w:val="0"/>
      <w:sz w:val="20"/>
      <w:szCs w:val="20"/>
      <w14:ligatures w14:val="standardContextual"/>
    </w:rPr>
  </w:style>
  <w:style w:type="paragraph" w:customStyle="1" w:styleId="p4">
    <w:name w:val="p4"/>
    <w:basedOn w:val="Normal"/>
    <w:rsid w:val="000676A1"/>
    <w:pPr>
      <w:widowControl w:val="0"/>
      <w:tabs>
        <w:tab w:val="left" w:pos="720"/>
      </w:tabs>
      <w:spacing w:after="0" w:line="240" w:lineRule="atLeast"/>
    </w:pPr>
    <w:rPr>
      <w:rFonts w:ascii="Chicago" w:eastAsia="Times New Roman" w:hAnsi="Chicago"/>
      <w:snapToGrid w:val="0"/>
      <w:sz w:val="24"/>
      <w:szCs w:val="20"/>
      <w:lang w:val="en-US"/>
      <w14:ligatures w14:val="standardContextual"/>
    </w:rPr>
  </w:style>
  <w:style w:type="paragraph" w:customStyle="1" w:styleId="p18">
    <w:name w:val="p18"/>
    <w:basedOn w:val="Normal"/>
    <w:rsid w:val="000676A1"/>
    <w:pPr>
      <w:widowControl w:val="0"/>
      <w:spacing w:after="0" w:line="240" w:lineRule="atLeast"/>
      <w:ind w:left="720" w:hanging="720"/>
    </w:pPr>
    <w:rPr>
      <w:rFonts w:ascii="Chicago" w:eastAsia="Times New Roman" w:hAnsi="Chicago"/>
      <w:snapToGrid w:val="0"/>
      <w:sz w:val="24"/>
      <w:szCs w:val="20"/>
      <w:lang w:val="en-US"/>
      <w14:ligatures w14:val="standardContextual"/>
    </w:rPr>
  </w:style>
  <w:style w:type="paragraph" w:customStyle="1" w:styleId="p13">
    <w:name w:val="p13"/>
    <w:basedOn w:val="Normal"/>
    <w:rsid w:val="000676A1"/>
    <w:pPr>
      <w:widowControl w:val="0"/>
      <w:spacing w:after="0" w:line="240" w:lineRule="atLeast"/>
      <w:ind w:left="720" w:hanging="720"/>
    </w:pPr>
    <w:rPr>
      <w:rFonts w:ascii="Chicago" w:eastAsia="Times New Roman" w:hAnsi="Chicago"/>
      <w:snapToGrid w:val="0"/>
      <w:sz w:val="24"/>
      <w:szCs w:val="20"/>
      <w:lang w:val="en-US"/>
      <w14:ligatures w14:val="standardContextual"/>
    </w:rPr>
  </w:style>
  <w:style w:type="paragraph" w:customStyle="1" w:styleId="p38">
    <w:name w:val="p38"/>
    <w:basedOn w:val="Normal"/>
    <w:rsid w:val="000676A1"/>
    <w:pPr>
      <w:widowControl w:val="0"/>
      <w:spacing w:after="0" w:line="240" w:lineRule="atLeast"/>
      <w:ind w:left="700" w:hanging="700"/>
    </w:pPr>
    <w:rPr>
      <w:rFonts w:ascii="Chicago" w:eastAsia="Times New Roman" w:hAnsi="Chicago"/>
      <w:snapToGrid w:val="0"/>
      <w:sz w:val="24"/>
      <w:szCs w:val="20"/>
      <w:lang w:val="en-US"/>
      <w14:ligatures w14:val="standardContextual"/>
    </w:rPr>
  </w:style>
  <w:style w:type="paragraph" w:customStyle="1" w:styleId="p33">
    <w:name w:val="p33"/>
    <w:basedOn w:val="Normal"/>
    <w:rsid w:val="000676A1"/>
    <w:pPr>
      <w:widowControl w:val="0"/>
      <w:tabs>
        <w:tab w:val="left" w:pos="720"/>
      </w:tabs>
      <w:spacing w:after="0" w:line="240" w:lineRule="atLeast"/>
    </w:pPr>
    <w:rPr>
      <w:rFonts w:ascii="Chicago" w:eastAsia="Times New Roman" w:hAnsi="Chicago"/>
      <w:snapToGrid w:val="0"/>
      <w:sz w:val="24"/>
      <w:szCs w:val="20"/>
      <w:lang w:val="en-US"/>
      <w14:ligatures w14:val="standardContextual"/>
    </w:rPr>
  </w:style>
  <w:style w:type="paragraph" w:customStyle="1" w:styleId="p26">
    <w:name w:val="p26"/>
    <w:basedOn w:val="Normal"/>
    <w:rsid w:val="000676A1"/>
    <w:pPr>
      <w:widowControl w:val="0"/>
      <w:tabs>
        <w:tab w:val="left" w:pos="0"/>
      </w:tabs>
      <w:spacing w:after="0" w:line="240" w:lineRule="atLeast"/>
      <w:ind w:firstLine="720"/>
    </w:pPr>
    <w:rPr>
      <w:rFonts w:ascii="Chicago" w:eastAsia="Times New Roman" w:hAnsi="Chicago"/>
      <w:snapToGrid w:val="0"/>
      <w:sz w:val="24"/>
      <w:szCs w:val="20"/>
      <w:lang w:val="en-US"/>
      <w14:ligatures w14:val="standardContextual"/>
    </w:rPr>
  </w:style>
  <w:style w:type="paragraph" w:customStyle="1" w:styleId="p17">
    <w:name w:val="p17"/>
    <w:basedOn w:val="Normal"/>
    <w:rsid w:val="000676A1"/>
    <w:pPr>
      <w:widowControl w:val="0"/>
      <w:tabs>
        <w:tab w:val="left" w:pos="720"/>
      </w:tabs>
      <w:spacing w:after="0" w:line="240" w:lineRule="atLeast"/>
      <w:jc w:val="both"/>
    </w:pPr>
    <w:rPr>
      <w:rFonts w:ascii="Chicago" w:eastAsia="Times New Roman" w:hAnsi="Chicago"/>
      <w:snapToGrid w:val="0"/>
      <w:sz w:val="24"/>
      <w:szCs w:val="20"/>
      <w:lang w:val="en-US"/>
      <w14:ligatures w14:val="standardContextual"/>
    </w:rPr>
  </w:style>
  <w:style w:type="paragraph" w:customStyle="1" w:styleId="p46">
    <w:name w:val="p46"/>
    <w:basedOn w:val="Normal"/>
    <w:rsid w:val="000676A1"/>
    <w:pPr>
      <w:widowControl w:val="0"/>
      <w:spacing w:after="0" w:line="240" w:lineRule="atLeast"/>
      <w:ind w:left="720" w:hanging="720"/>
    </w:pPr>
    <w:rPr>
      <w:rFonts w:ascii="Chicago" w:eastAsia="Times New Roman" w:hAnsi="Chicago"/>
      <w:snapToGrid w:val="0"/>
      <w:sz w:val="24"/>
      <w:szCs w:val="20"/>
      <w:lang w:val="en-US"/>
      <w14:ligatures w14:val="standardContextual"/>
    </w:rPr>
  </w:style>
  <w:style w:type="paragraph" w:customStyle="1" w:styleId="p35">
    <w:name w:val="p35"/>
    <w:basedOn w:val="Normal"/>
    <w:rsid w:val="000676A1"/>
    <w:pPr>
      <w:widowControl w:val="0"/>
      <w:tabs>
        <w:tab w:val="left" w:pos="720"/>
      </w:tabs>
      <w:spacing w:after="0" w:line="360" w:lineRule="atLeast"/>
    </w:pPr>
    <w:rPr>
      <w:rFonts w:ascii="Chicago" w:eastAsia="Times New Roman" w:hAnsi="Chicago"/>
      <w:snapToGrid w:val="0"/>
      <w:sz w:val="24"/>
      <w:szCs w:val="20"/>
      <w:lang w:val="en-US"/>
      <w14:ligatures w14:val="standardContextual"/>
    </w:rPr>
  </w:style>
  <w:style w:type="paragraph" w:customStyle="1" w:styleId="p51">
    <w:name w:val="p51"/>
    <w:basedOn w:val="Normal"/>
    <w:rsid w:val="000676A1"/>
    <w:pPr>
      <w:widowControl w:val="0"/>
      <w:tabs>
        <w:tab w:val="left" w:pos="720"/>
      </w:tabs>
      <w:spacing w:after="0" w:line="240" w:lineRule="atLeast"/>
    </w:pPr>
    <w:rPr>
      <w:rFonts w:ascii="Chicago" w:eastAsia="Times New Roman" w:hAnsi="Chicago"/>
      <w:snapToGrid w:val="0"/>
      <w:sz w:val="24"/>
      <w:szCs w:val="20"/>
      <w:lang w:val="en-US"/>
      <w14:ligatures w14:val="standardContextual"/>
    </w:rPr>
  </w:style>
  <w:style w:type="paragraph" w:customStyle="1" w:styleId="p54">
    <w:name w:val="p54"/>
    <w:basedOn w:val="Normal"/>
    <w:rsid w:val="000676A1"/>
    <w:pPr>
      <w:widowControl w:val="0"/>
      <w:tabs>
        <w:tab w:val="left" w:pos="720"/>
      </w:tabs>
      <w:spacing w:after="0" w:line="240" w:lineRule="atLeast"/>
    </w:pPr>
    <w:rPr>
      <w:rFonts w:ascii="Chicago" w:eastAsia="Times New Roman" w:hAnsi="Chicago"/>
      <w:snapToGrid w:val="0"/>
      <w:sz w:val="24"/>
      <w:szCs w:val="20"/>
      <w:lang w:val="en-US"/>
      <w14:ligatures w14:val="standardContextual"/>
    </w:rPr>
  </w:style>
  <w:style w:type="paragraph" w:customStyle="1" w:styleId="p23">
    <w:name w:val="p23"/>
    <w:basedOn w:val="Normal"/>
    <w:rsid w:val="000676A1"/>
    <w:pPr>
      <w:widowControl w:val="0"/>
      <w:tabs>
        <w:tab w:val="left" w:pos="720"/>
      </w:tabs>
      <w:spacing w:after="0" w:line="240" w:lineRule="atLeast"/>
    </w:pPr>
    <w:rPr>
      <w:rFonts w:ascii="Chicago" w:eastAsia="Times New Roman" w:hAnsi="Chicago"/>
      <w:snapToGrid w:val="0"/>
      <w:sz w:val="24"/>
      <w:szCs w:val="20"/>
      <w:lang w:val="en-US"/>
      <w14:ligatures w14:val="standardContextual"/>
    </w:rPr>
  </w:style>
  <w:style w:type="paragraph" w:customStyle="1" w:styleId="En-ttetitre-chapitre">
    <w:name w:val="En-tête titre-chapitre"/>
    <w:basedOn w:val="En-tte"/>
    <w:rsid w:val="000676A1"/>
    <w:pPr>
      <w:widowControl w:val="0"/>
      <w:pBdr>
        <w:bottom w:val="single" w:sz="18" w:space="4" w:color="auto"/>
      </w:pBdr>
      <w:tabs>
        <w:tab w:val="clear" w:pos="4536"/>
        <w:tab w:val="clear" w:pos="9072"/>
      </w:tabs>
      <w:spacing w:after="0" w:line="240" w:lineRule="auto"/>
      <w:ind w:left="-992" w:right="1134" w:firstLine="851"/>
      <w:jc w:val="right"/>
    </w:pPr>
    <w:rPr>
      <w:rFonts w:ascii="Arial Narrow" w:eastAsia="Times New Roman" w:hAnsi="Arial Narrow"/>
      <w:b/>
      <w:smallCaps/>
      <w:sz w:val="28"/>
      <w:szCs w:val="20"/>
      <w:lang w:eastAsia="fr-FR"/>
      <w14:ligatures w14:val="standardContextual"/>
    </w:rPr>
  </w:style>
  <w:style w:type="paragraph" w:customStyle="1" w:styleId="AATitre3">
    <w:name w:val="AA Titre 3"/>
    <w:basedOn w:val="Normal"/>
    <w:rsid w:val="000676A1"/>
    <w:pPr>
      <w:numPr>
        <w:numId w:val="228"/>
      </w:numPr>
      <w:suppressAutoHyphens/>
      <w:spacing w:before="120" w:after="120" w:line="240" w:lineRule="auto"/>
      <w:jc w:val="both"/>
    </w:pPr>
    <w:rPr>
      <w:rFonts w:ascii="Times New Roman" w:eastAsia="Times New Roman" w:hAnsi="Times New Roman"/>
      <w:szCs w:val="20"/>
      <w:lang w:eastAsia="ar-SA"/>
      <w14:ligatures w14:val="standardContextual"/>
    </w:rPr>
  </w:style>
  <w:style w:type="paragraph" w:customStyle="1" w:styleId="ListAlpha2">
    <w:name w:val="List Alpha 2"/>
    <w:basedOn w:val="Normal"/>
    <w:next w:val="Normal"/>
    <w:rsid w:val="000676A1"/>
    <w:pPr>
      <w:numPr>
        <w:ilvl w:val="1"/>
        <w:numId w:val="229"/>
      </w:numPr>
      <w:tabs>
        <w:tab w:val="left" w:pos="50"/>
      </w:tabs>
      <w:spacing w:after="200" w:line="288" w:lineRule="auto"/>
      <w:jc w:val="both"/>
    </w:pPr>
    <w:rPr>
      <w:rFonts w:ascii="CG Times" w:eastAsia="Times New Roman" w:hAnsi="CG Times"/>
      <w:color w:val="000000"/>
      <w:lang w:val="en-GB" w:eastAsia="fr-FR"/>
      <w14:ligatures w14:val="standardContextual"/>
    </w:rPr>
  </w:style>
  <w:style w:type="paragraph" w:customStyle="1" w:styleId="ListAlpha3">
    <w:name w:val="List Alpha 3"/>
    <w:basedOn w:val="Normal"/>
    <w:next w:val="Normal"/>
    <w:rsid w:val="000676A1"/>
    <w:pPr>
      <w:tabs>
        <w:tab w:val="left" w:pos="68"/>
        <w:tab w:val="num" w:pos="624"/>
      </w:tabs>
      <w:spacing w:after="200" w:line="288" w:lineRule="auto"/>
      <w:ind w:left="624" w:hanging="624"/>
      <w:jc w:val="both"/>
    </w:pPr>
    <w:rPr>
      <w:rFonts w:ascii="CG Times" w:eastAsia="Times New Roman" w:hAnsi="CG Times"/>
      <w:color w:val="000000"/>
      <w:lang w:val="en-GB" w:eastAsia="fr-FR"/>
      <w14:ligatures w14:val="standardContextual"/>
    </w:rPr>
  </w:style>
  <w:style w:type="paragraph" w:customStyle="1" w:styleId="LISTALPHACAPS2">
    <w:name w:val="LIST ALPHA CAPS 2"/>
    <w:basedOn w:val="Normal"/>
    <w:next w:val="Normal"/>
    <w:rsid w:val="000676A1"/>
    <w:pPr>
      <w:tabs>
        <w:tab w:val="left" w:pos="50"/>
        <w:tab w:val="num" w:pos="1748"/>
      </w:tabs>
      <w:spacing w:after="200" w:line="288" w:lineRule="auto"/>
      <w:ind w:left="1748" w:hanging="511"/>
      <w:jc w:val="both"/>
    </w:pPr>
    <w:rPr>
      <w:rFonts w:ascii="CG Times" w:eastAsia="Times New Roman" w:hAnsi="CG Times"/>
      <w:color w:val="000000"/>
      <w:lang w:val="en-GB" w:eastAsia="fr-FR"/>
      <w14:ligatures w14:val="standardContextual"/>
    </w:rPr>
  </w:style>
  <w:style w:type="character" w:customStyle="1" w:styleId="NotedebasdepageCar2">
    <w:name w:val="Note de bas de page Car2"/>
    <w:locked/>
    <w:rsid w:val="000676A1"/>
    <w:rPr>
      <w:lang w:val="en-US" w:eastAsia="en-US"/>
    </w:rPr>
  </w:style>
  <w:style w:type="paragraph" w:customStyle="1" w:styleId="Textedebulles2">
    <w:name w:val="Texte de bulles2"/>
    <w:basedOn w:val="Normal"/>
    <w:semiHidden/>
    <w:rsid w:val="000676A1"/>
    <w:pPr>
      <w:spacing w:after="0" w:line="240" w:lineRule="auto"/>
    </w:pPr>
    <w:rPr>
      <w:rFonts w:ascii="Tahoma" w:eastAsia="Times New Roman" w:hAnsi="Tahoma" w:cs="Tahoma"/>
      <w:sz w:val="16"/>
      <w:szCs w:val="16"/>
      <w:lang w:val="en-US"/>
      <w14:ligatures w14:val="standardContextual"/>
    </w:rPr>
  </w:style>
  <w:style w:type="paragraph" w:customStyle="1" w:styleId="Objetducommentaire2">
    <w:name w:val="Objet du commentaire2"/>
    <w:basedOn w:val="Commentaire"/>
    <w:next w:val="Commentaire"/>
    <w:semiHidden/>
    <w:rsid w:val="000676A1"/>
    <w:pPr>
      <w:jc w:val="left"/>
    </w:pPr>
    <w:rPr>
      <w:rFonts w:ascii="Times New Roman" w:eastAsia="Times New Roman" w:hAnsi="Times New Roman"/>
      <w:b/>
      <w:bCs/>
      <w:lang w:val="en-US" w:eastAsia="en-US"/>
      <w14:ligatures w14:val="standardContextual"/>
    </w:rPr>
  </w:style>
  <w:style w:type="paragraph" w:customStyle="1" w:styleId="IanBodytext">
    <w:name w:val="Ian Body text"/>
    <w:basedOn w:val="Normal"/>
    <w:rsid w:val="000676A1"/>
    <w:pPr>
      <w:widowControl w:val="0"/>
      <w:tabs>
        <w:tab w:val="left" w:pos="567"/>
        <w:tab w:val="left" w:pos="1134"/>
        <w:tab w:val="left" w:pos="1701"/>
        <w:tab w:val="left" w:pos="2268"/>
        <w:tab w:val="left" w:pos="2835"/>
        <w:tab w:val="right" w:pos="9639"/>
      </w:tabs>
      <w:spacing w:before="120" w:after="120" w:line="240" w:lineRule="auto"/>
      <w:jc w:val="both"/>
    </w:pPr>
    <w:rPr>
      <w:rFonts w:ascii="Arial" w:eastAsia="Times New Roman" w:hAnsi="Arial"/>
      <w:szCs w:val="24"/>
      <w:lang w:val="en-AU"/>
      <w14:ligatures w14:val="standardContextual"/>
    </w:rPr>
  </w:style>
  <w:style w:type="paragraph" w:customStyle="1" w:styleId="A1-Heading20">
    <w:name w:val="A1-Heading 2"/>
    <w:basedOn w:val="Titre2"/>
    <w:next w:val="Normal"/>
    <w:rsid w:val="000676A1"/>
    <w:pPr>
      <w:keepNext w:val="0"/>
      <w:pBdr>
        <w:bottom w:val="none" w:sz="0" w:space="0" w:color="auto"/>
      </w:pBdr>
      <w:spacing w:before="0" w:after="200"/>
      <w:ind w:left="720" w:hanging="720"/>
      <w:contextualSpacing/>
      <w:jc w:val="center"/>
    </w:pPr>
    <w:rPr>
      <w:smallCaps/>
      <w:color w:val="auto"/>
      <w:sz w:val="28"/>
      <w:lang w:val="en-US" w:eastAsia="en-US"/>
      <w14:ligatures w14:val="standardContextual"/>
    </w:rPr>
  </w:style>
  <w:style w:type="paragraph" w:customStyle="1" w:styleId="Section2-Heading1">
    <w:name w:val="Section 2 - Heading 1"/>
    <w:basedOn w:val="Normal"/>
    <w:rsid w:val="000676A1"/>
    <w:pPr>
      <w:tabs>
        <w:tab w:val="left" w:pos="360"/>
      </w:tabs>
      <w:spacing w:after="200" w:line="240" w:lineRule="auto"/>
      <w:ind w:left="360" w:hanging="360"/>
    </w:pPr>
    <w:rPr>
      <w:rFonts w:ascii="Times New Roman" w:eastAsia="Times New Roman" w:hAnsi="Times New Roman"/>
      <w:b/>
      <w:sz w:val="24"/>
      <w:szCs w:val="24"/>
      <w:lang w:val="en-GB"/>
      <w14:ligatures w14:val="standardContextual"/>
    </w:rPr>
  </w:style>
  <w:style w:type="paragraph" w:customStyle="1" w:styleId="Section2-Heading2">
    <w:name w:val="Section 2 - Heading 2"/>
    <w:basedOn w:val="Normal"/>
    <w:rsid w:val="000676A1"/>
    <w:pPr>
      <w:spacing w:after="200" w:line="240" w:lineRule="auto"/>
      <w:ind w:left="360"/>
    </w:pPr>
    <w:rPr>
      <w:rFonts w:ascii="Times New Roman" w:eastAsia="Times New Roman" w:hAnsi="Times New Roman"/>
      <w:b/>
      <w:sz w:val="24"/>
      <w:szCs w:val="24"/>
      <w:lang w:val="en-GB"/>
      <w14:ligatures w14:val="standardContextual"/>
    </w:rPr>
  </w:style>
  <w:style w:type="paragraph" w:customStyle="1" w:styleId="Section3-Heading2">
    <w:name w:val="Section 3 - Heading 2"/>
    <w:basedOn w:val="Normal"/>
    <w:next w:val="Normal"/>
    <w:rsid w:val="000676A1"/>
    <w:pPr>
      <w:spacing w:after="200" w:line="240" w:lineRule="auto"/>
      <w:jc w:val="center"/>
    </w:pPr>
    <w:rPr>
      <w:rFonts w:ascii="Times New Roman" w:eastAsia="Times New Roman" w:hAnsi="Times New Roman"/>
      <w:b/>
      <w:sz w:val="28"/>
      <w:szCs w:val="24"/>
      <w:lang w:val="en-US"/>
      <w14:ligatures w14:val="standardContextual"/>
    </w:rPr>
  </w:style>
  <w:style w:type="paragraph" w:customStyle="1" w:styleId="c5">
    <w:name w:val="c5"/>
    <w:basedOn w:val="Normal"/>
    <w:rsid w:val="000676A1"/>
    <w:pPr>
      <w:widowControl w:val="0"/>
      <w:spacing w:after="0" w:line="240" w:lineRule="atLeast"/>
      <w:jc w:val="center"/>
    </w:pPr>
    <w:rPr>
      <w:rFonts w:ascii="Chicago" w:eastAsia="Times New Roman" w:hAnsi="Chicago"/>
      <w:snapToGrid w:val="0"/>
      <w:sz w:val="24"/>
      <w:szCs w:val="20"/>
      <w:lang w:val="en-US"/>
      <w14:ligatures w14:val="standardContextual"/>
    </w:rPr>
  </w:style>
  <w:style w:type="paragraph" w:customStyle="1" w:styleId="p6">
    <w:name w:val="p6"/>
    <w:basedOn w:val="Normal"/>
    <w:rsid w:val="000676A1"/>
    <w:pPr>
      <w:widowControl w:val="0"/>
      <w:tabs>
        <w:tab w:val="left" w:pos="720"/>
      </w:tabs>
      <w:spacing w:after="0" w:line="240" w:lineRule="atLeast"/>
    </w:pPr>
    <w:rPr>
      <w:rFonts w:ascii="Chicago" w:eastAsia="Times New Roman" w:hAnsi="Chicago"/>
      <w:snapToGrid w:val="0"/>
      <w:sz w:val="24"/>
      <w:szCs w:val="20"/>
      <w:lang w:val="en-US"/>
      <w14:ligatures w14:val="standardContextual"/>
    </w:rPr>
  </w:style>
  <w:style w:type="paragraph" w:customStyle="1" w:styleId="p8">
    <w:name w:val="p8"/>
    <w:basedOn w:val="Normal"/>
    <w:rsid w:val="000676A1"/>
    <w:pPr>
      <w:widowControl w:val="0"/>
      <w:tabs>
        <w:tab w:val="left" w:pos="0"/>
        <w:tab w:val="left" w:pos="920"/>
      </w:tabs>
      <w:spacing w:after="0" w:line="240" w:lineRule="atLeast"/>
      <w:ind w:left="200" w:firstLine="720"/>
    </w:pPr>
    <w:rPr>
      <w:rFonts w:ascii="Chicago" w:eastAsia="Times New Roman" w:hAnsi="Chicago"/>
      <w:snapToGrid w:val="0"/>
      <w:sz w:val="24"/>
      <w:szCs w:val="20"/>
      <w:lang w:val="en-US"/>
      <w14:ligatures w14:val="standardContextual"/>
    </w:rPr>
  </w:style>
  <w:style w:type="paragraph" w:customStyle="1" w:styleId="p11">
    <w:name w:val="p11"/>
    <w:basedOn w:val="Normal"/>
    <w:rsid w:val="000676A1"/>
    <w:pPr>
      <w:widowControl w:val="0"/>
      <w:spacing w:after="0" w:line="240" w:lineRule="atLeast"/>
      <w:ind w:left="720" w:hanging="720"/>
    </w:pPr>
    <w:rPr>
      <w:rFonts w:ascii="Chicago" w:eastAsia="Times New Roman" w:hAnsi="Chicago"/>
      <w:snapToGrid w:val="0"/>
      <w:sz w:val="24"/>
      <w:szCs w:val="20"/>
      <w:lang w:val="en-US"/>
      <w14:ligatures w14:val="standardContextual"/>
    </w:rPr>
  </w:style>
  <w:style w:type="paragraph" w:customStyle="1" w:styleId="p32">
    <w:name w:val="p32"/>
    <w:basedOn w:val="Normal"/>
    <w:rsid w:val="000676A1"/>
    <w:pPr>
      <w:widowControl w:val="0"/>
      <w:tabs>
        <w:tab w:val="left" w:pos="720"/>
      </w:tabs>
      <w:spacing w:after="0" w:line="240" w:lineRule="atLeast"/>
    </w:pPr>
    <w:rPr>
      <w:rFonts w:ascii="Chicago" w:eastAsia="Times New Roman" w:hAnsi="Chicago"/>
      <w:snapToGrid w:val="0"/>
      <w:sz w:val="24"/>
      <w:szCs w:val="20"/>
      <w:lang w:val="en-US"/>
      <w14:ligatures w14:val="standardContextual"/>
    </w:rPr>
  </w:style>
  <w:style w:type="paragraph" w:customStyle="1" w:styleId="p34">
    <w:name w:val="p34"/>
    <w:basedOn w:val="Normal"/>
    <w:rsid w:val="000676A1"/>
    <w:pPr>
      <w:widowControl w:val="0"/>
      <w:tabs>
        <w:tab w:val="left" w:pos="720"/>
      </w:tabs>
      <w:spacing w:after="0" w:line="240" w:lineRule="atLeast"/>
    </w:pPr>
    <w:rPr>
      <w:rFonts w:ascii="Chicago" w:eastAsia="Times New Roman" w:hAnsi="Chicago"/>
      <w:snapToGrid w:val="0"/>
      <w:sz w:val="24"/>
      <w:szCs w:val="20"/>
      <w:lang w:val="en-US"/>
      <w14:ligatures w14:val="standardContextual"/>
    </w:rPr>
  </w:style>
  <w:style w:type="paragraph" w:customStyle="1" w:styleId="p37">
    <w:name w:val="p37"/>
    <w:basedOn w:val="Normal"/>
    <w:rsid w:val="000676A1"/>
    <w:pPr>
      <w:widowControl w:val="0"/>
      <w:tabs>
        <w:tab w:val="left" w:pos="720"/>
      </w:tabs>
      <w:spacing w:after="0" w:line="240" w:lineRule="atLeast"/>
    </w:pPr>
    <w:rPr>
      <w:rFonts w:ascii="Chicago" w:eastAsia="Times New Roman" w:hAnsi="Chicago"/>
      <w:snapToGrid w:val="0"/>
      <w:sz w:val="24"/>
      <w:szCs w:val="20"/>
      <w:lang w:val="en-US"/>
      <w14:ligatures w14:val="standardContextual"/>
    </w:rPr>
  </w:style>
  <w:style w:type="paragraph" w:customStyle="1" w:styleId="p40">
    <w:name w:val="p40"/>
    <w:basedOn w:val="Normal"/>
    <w:rsid w:val="000676A1"/>
    <w:pPr>
      <w:widowControl w:val="0"/>
      <w:tabs>
        <w:tab w:val="left" w:pos="0"/>
      </w:tabs>
      <w:spacing w:after="0" w:line="240" w:lineRule="atLeast"/>
      <w:ind w:left="4160" w:hanging="1780"/>
    </w:pPr>
    <w:rPr>
      <w:rFonts w:ascii="Chicago" w:eastAsia="Times New Roman" w:hAnsi="Chicago"/>
      <w:snapToGrid w:val="0"/>
      <w:sz w:val="24"/>
      <w:szCs w:val="20"/>
      <w:lang w:val="en-US"/>
      <w14:ligatures w14:val="standardContextual"/>
    </w:rPr>
  </w:style>
  <w:style w:type="paragraph" w:customStyle="1" w:styleId="p42">
    <w:name w:val="p42"/>
    <w:basedOn w:val="Normal"/>
    <w:rsid w:val="000676A1"/>
    <w:pPr>
      <w:widowControl w:val="0"/>
      <w:tabs>
        <w:tab w:val="left" w:pos="0"/>
        <w:tab w:val="left" w:pos="900"/>
      </w:tabs>
      <w:spacing w:after="0" w:line="360" w:lineRule="atLeast"/>
      <w:ind w:firstLine="180"/>
    </w:pPr>
    <w:rPr>
      <w:rFonts w:ascii="Chicago" w:eastAsia="Times New Roman" w:hAnsi="Chicago"/>
      <w:snapToGrid w:val="0"/>
      <w:sz w:val="24"/>
      <w:szCs w:val="20"/>
      <w:lang w:val="en-US"/>
      <w14:ligatures w14:val="standardContextual"/>
    </w:rPr>
  </w:style>
  <w:style w:type="paragraph" w:customStyle="1" w:styleId="p12">
    <w:name w:val="p12"/>
    <w:basedOn w:val="Normal"/>
    <w:rsid w:val="000676A1"/>
    <w:pPr>
      <w:widowControl w:val="0"/>
      <w:tabs>
        <w:tab w:val="left" w:pos="720"/>
      </w:tabs>
      <w:spacing w:after="0" w:line="240" w:lineRule="atLeast"/>
    </w:pPr>
    <w:rPr>
      <w:rFonts w:ascii="Chicago" w:eastAsia="Times New Roman" w:hAnsi="Chicago"/>
      <w:snapToGrid w:val="0"/>
      <w:sz w:val="24"/>
      <w:szCs w:val="20"/>
      <w:lang w:val="en-US"/>
      <w14:ligatures w14:val="standardContextual"/>
    </w:rPr>
  </w:style>
  <w:style w:type="paragraph" w:customStyle="1" w:styleId="p36">
    <w:name w:val="p36"/>
    <w:basedOn w:val="Normal"/>
    <w:rsid w:val="000676A1"/>
    <w:pPr>
      <w:widowControl w:val="0"/>
      <w:tabs>
        <w:tab w:val="left" w:pos="720"/>
      </w:tabs>
      <w:spacing w:after="0" w:line="240" w:lineRule="atLeast"/>
      <w:jc w:val="both"/>
    </w:pPr>
    <w:rPr>
      <w:rFonts w:ascii="Chicago" w:eastAsia="Times New Roman" w:hAnsi="Chicago"/>
      <w:snapToGrid w:val="0"/>
      <w:sz w:val="24"/>
      <w:szCs w:val="20"/>
      <w:lang w:val="en-US"/>
      <w14:ligatures w14:val="standardContextual"/>
    </w:rPr>
  </w:style>
  <w:style w:type="paragraph" w:customStyle="1" w:styleId="p48">
    <w:name w:val="p48"/>
    <w:basedOn w:val="Normal"/>
    <w:rsid w:val="000676A1"/>
    <w:pPr>
      <w:widowControl w:val="0"/>
      <w:spacing w:after="0" w:line="240" w:lineRule="atLeast"/>
      <w:ind w:left="720" w:hanging="720"/>
    </w:pPr>
    <w:rPr>
      <w:rFonts w:ascii="Chicago" w:eastAsia="Times New Roman" w:hAnsi="Chicago"/>
      <w:snapToGrid w:val="0"/>
      <w:sz w:val="24"/>
      <w:szCs w:val="20"/>
      <w:lang w:val="en-US"/>
      <w14:ligatures w14:val="standardContextual"/>
    </w:rPr>
  </w:style>
  <w:style w:type="paragraph" w:customStyle="1" w:styleId="ArialBodyTextCharCharCharChar">
    <w:name w:val="Arial Body Text Char Char Char Char"/>
    <w:basedOn w:val="Normal"/>
    <w:rsid w:val="000676A1"/>
    <w:pPr>
      <w:spacing w:before="120" w:after="60" w:line="240" w:lineRule="auto"/>
      <w:ind w:left="1418"/>
      <w:jc w:val="both"/>
    </w:pPr>
    <w:rPr>
      <w:rFonts w:ascii="Arial" w:eastAsia="Times New Roman" w:hAnsi="Arial" w:cs="Arial"/>
      <w:lang w:val="de-DE" w:eastAsia="de-CH"/>
      <w14:ligatures w14:val="standardContextual"/>
    </w:rPr>
  </w:style>
  <w:style w:type="paragraph" w:customStyle="1" w:styleId="StyleMainParanoChapter11ptBold">
    <w:name w:val="Style Main Para no Chapter # + 11 pt Bold"/>
    <w:basedOn w:val="MainParanoChapter"/>
    <w:rsid w:val="000676A1"/>
  </w:style>
  <w:style w:type="character" w:customStyle="1" w:styleId="ModelNrmlSingleChar">
    <w:name w:val="ModelNrmlSingle Char"/>
    <w:link w:val="ModelNrmlSingle"/>
    <w:rsid w:val="000676A1"/>
    <w:rPr>
      <w:rFonts w:ascii="Times New Roman" w:eastAsia="Times New Roman" w:hAnsi="Times New Roman" w:cs="Times New Roman"/>
      <w:snapToGrid w:val="0"/>
      <w:sz w:val="24"/>
      <w:szCs w:val="20"/>
      <w:lang w:eastAsia="zh-CN"/>
    </w:rPr>
  </w:style>
  <w:style w:type="paragraph" w:customStyle="1" w:styleId="ParaWB">
    <w:name w:val="Para WB"/>
    <w:basedOn w:val="Normal"/>
    <w:rsid w:val="000676A1"/>
    <w:pPr>
      <w:numPr>
        <w:numId w:val="224"/>
      </w:numPr>
      <w:spacing w:before="120" w:after="120" w:line="240" w:lineRule="auto"/>
      <w:jc w:val="both"/>
    </w:pPr>
    <w:rPr>
      <w:rFonts w:ascii="Times New Roman" w:eastAsia="Times New Roman" w:hAnsi="Times New Roman"/>
      <w:sz w:val="24"/>
      <w:szCs w:val="24"/>
      <w:lang w:eastAsia="fr-FR"/>
      <w14:ligatures w14:val="standardContextual"/>
    </w:rPr>
  </w:style>
  <w:style w:type="paragraph" w:customStyle="1" w:styleId="titre4">
    <w:name w:val="titre 4"/>
    <w:basedOn w:val="Normal"/>
    <w:autoRedefine/>
    <w:rsid w:val="000676A1"/>
    <w:pPr>
      <w:numPr>
        <w:ilvl w:val="2"/>
        <w:numId w:val="226"/>
      </w:numPr>
      <w:spacing w:before="120" w:after="120" w:line="240" w:lineRule="auto"/>
      <w:jc w:val="both"/>
    </w:pPr>
    <w:rPr>
      <w:rFonts w:ascii="Century Schoolbook" w:eastAsia="Times New Roman" w:hAnsi="Century Schoolbook"/>
      <w:b/>
      <w:bCs/>
      <w:sz w:val="24"/>
      <w:szCs w:val="24"/>
      <w:lang w:eastAsia="fr-FR"/>
      <w14:ligatures w14:val="standardContextual"/>
    </w:rPr>
  </w:style>
  <w:style w:type="paragraph" w:customStyle="1" w:styleId="TextBox">
    <w:name w:val="Text Box"/>
    <w:basedOn w:val="Normal"/>
    <w:rsid w:val="000676A1"/>
    <w:pPr>
      <w:keepLines/>
      <w:framePr w:wrap="auto" w:vAnchor="text" w:hAnchor="text" w:xAlign="center" w:y="1"/>
      <w:pBdr>
        <w:top w:val="single" w:sz="6" w:space="12" w:color="auto"/>
        <w:left w:val="single" w:sz="6" w:space="12" w:color="auto"/>
        <w:bottom w:val="single" w:sz="6" w:space="12" w:color="auto"/>
        <w:right w:val="single" w:sz="6" w:space="12" w:color="auto"/>
      </w:pBdr>
      <w:shd w:val="pct20" w:color="auto" w:fill="auto"/>
      <w:spacing w:before="60" w:after="60" w:line="240" w:lineRule="auto"/>
      <w:ind w:left="288" w:right="288"/>
      <w:jc w:val="both"/>
    </w:pPr>
    <w:rPr>
      <w:rFonts w:ascii="Times New Roman" w:eastAsia="Times New Roman" w:hAnsi="Times New Roman"/>
      <w:sz w:val="20"/>
      <w:szCs w:val="20"/>
      <w14:ligatures w14:val="standardContextual"/>
    </w:rPr>
  </w:style>
  <w:style w:type="paragraph" w:customStyle="1" w:styleId="TextBoxdots">
    <w:name w:val="Text Box (dots)"/>
    <w:basedOn w:val="Normal"/>
    <w:rsid w:val="000676A1"/>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after="0" w:line="240" w:lineRule="auto"/>
      <w:jc w:val="both"/>
    </w:pPr>
    <w:rPr>
      <w:rFonts w:ascii="Times New Roman" w:eastAsia="Times New Roman" w:hAnsi="Times New Roman"/>
      <w:szCs w:val="20"/>
      <w14:ligatures w14:val="standardContextual"/>
    </w:rPr>
  </w:style>
  <w:style w:type="paragraph" w:customStyle="1" w:styleId="TextBoxUnframed">
    <w:name w:val="Text Box Unframed"/>
    <w:basedOn w:val="Normal"/>
    <w:rsid w:val="000676A1"/>
    <w:pPr>
      <w:keepLines/>
      <w:pBdr>
        <w:top w:val="single" w:sz="6" w:space="7" w:color="auto" w:shadow="1"/>
        <w:left w:val="single" w:sz="6" w:space="7" w:color="auto" w:shadow="1"/>
        <w:bottom w:val="single" w:sz="6" w:space="7" w:color="auto" w:shadow="1"/>
        <w:right w:val="single" w:sz="6" w:space="7" w:color="auto" w:shadow="1"/>
      </w:pBdr>
      <w:shd w:val="pct10" w:color="auto" w:fill="auto"/>
      <w:spacing w:after="0" w:line="240" w:lineRule="auto"/>
    </w:pPr>
    <w:rPr>
      <w:rFonts w:ascii="Times New Roman" w:eastAsia="Times New Roman" w:hAnsi="Times New Roman"/>
      <w:szCs w:val="20"/>
      <w14:ligatures w14:val="standardContextual"/>
    </w:rPr>
  </w:style>
  <w:style w:type="paragraph" w:customStyle="1" w:styleId="BoxCaption">
    <w:name w:val="Box Caption"/>
    <w:basedOn w:val="TextBox"/>
    <w:rsid w:val="000676A1"/>
    <w:pPr>
      <w:framePr w:wrap="auto"/>
    </w:pPr>
  </w:style>
  <w:style w:type="paragraph" w:customStyle="1" w:styleId="CaptionBox">
    <w:name w:val="Caption Box"/>
    <w:basedOn w:val="BoxCaption"/>
    <w:rsid w:val="000676A1"/>
    <w:pPr>
      <w:framePr w:wrap="auto"/>
    </w:pPr>
  </w:style>
  <w:style w:type="paragraph" w:customStyle="1" w:styleId="TextBoxIndent">
    <w:name w:val="Text Box Indent"/>
    <w:basedOn w:val="TextBox"/>
    <w:rsid w:val="000676A1"/>
    <w:pPr>
      <w:framePr w:wrap="auto"/>
    </w:pPr>
  </w:style>
  <w:style w:type="paragraph" w:customStyle="1" w:styleId="western">
    <w:name w:val="western"/>
    <w:basedOn w:val="Normal"/>
    <w:rsid w:val="000676A1"/>
    <w:pPr>
      <w:spacing w:before="100" w:beforeAutospacing="1" w:after="0" w:line="240" w:lineRule="auto"/>
      <w:jc w:val="both"/>
    </w:pPr>
    <w:rPr>
      <w:rFonts w:ascii="Arial" w:eastAsia="Arial Unicode MS" w:hAnsi="Arial" w:cs="Arial"/>
      <w:color w:val="000000"/>
      <w:sz w:val="24"/>
      <w:szCs w:val="24"/>
      <w:lang w:eastAsia="fr-FR"/>
      <w14:ligatures w14:val="standardContextual"/>
    </w:rPr>
  </w:style>
  <w:style w:type="character" w:customStyle="1" w:styleId="atn">
    <w:name w:val="atn"/>
    <w:rsid w:val="000676A1"/>
  </w:style>
  <w:style w:type="paragraph" w:customStyle="1" w:styleId="pabid7">
    <w:name w:val="pabid7"/>
    <w:basedOn w:val="Normal"/>
    <w:rsid w:val="000676A1"/>
    <w:pPr>
      <w:spacing w:before="100" w:beforeAutospacing="1" w:after="100" w:afterAutospacing="1" w:line="240" w:lineRule="auto"/>
    </w:pPr>
    <w:rPr>
      <w:rFonts w:ascii="Times New Roman" w:eastAsia="Times New Roman" w:hAnsi="Times New Roman"/>
      <w:sz w:val="24"/>
      <w:szCs w:val="24"/>
      <w:lang w:val="en-US"/>
      <w14:ligatures w14:val="standardContextual"/>
    </w:rPr>
  </w:style>
  <w:style w:type="character" w:customStyle="1" w:styleId="Style1Char">
    <w:name w:val="Style1 Char"/>
    <w:basedOn w:val="Policepardfaut"/>
    <w:rsid w:val="000676A1"/>
    <w:rPr>
      <w:rFonts w:ascii="Times New Roman Bold" w:eastAsia="Times New Roman" w:hAnsi="Times New Roman Bold" w:cs="Times New Roman"/>
      <w:b/>
      <w:kern w:val="0"/>
      <w:sz w:val="32"/>
      <w:szCs w:val="20"/>
      <w:lang w:val="en-US"/>
    </w:rPr>
  </w:style>
  <w:style w:type="character" w:customStyle="1" w:styleId="Style2Char">
    <w:name w:val="Style2 Char"/>
    <w:link w:val="Style2"/>
    <w:rsid w:val="000676A1"/>
    <w:rPr>
      <w:rFonts w:ascii="Comic Sans MS" w:eastAsia="Times New Roman" w:hAnsi="Comic Sans MS" w:cs="Times New Roman"/>
      <w:sz w:val="20"/>
      <w:szCs w:val="24"/>
      <w:lang w:val="x-none" w:eastAsia="x-none"/>
    </w:rPr>
  </w:style>
  <w:style w:type="character" w:customStyle="1" w:styleId="Style3Char">
    <w:name w:val="Style3 Char"/>
    <w:basedOn w:val="Titre6Car1"/>
    <w:link w:val="Style3"/>
    <w:rsid w:val="000676A1"/>
    <w:rPr>
      <w:rFonts w:ascii="Calibri" w:eastAsia="Times New Roman" w:hAnsi="Calibri" w:cs="Times New Roman"/>
      <w:smallCaps/>
      <w:color w:val="595959"/>
      <w:sz w:val="24"/>
      <w:szCs w:val="22"/>
      <w:u w:val="single"/>
      <w:lang w:eastAsia="fr-FR"/>
    </w:rPr>
  </w:style>
  <w:style w:type="character" w:customStyle="1" w:styleId="Style4Char">
    <w:name w:val="Style4 Char"/>
    <w:basedOn w:val="Policepardfaut"/>
    <w:link w:val="Style4"/>
    <w:rsid w:val="000676A1"/>
    <w:rPr>
      <w:rFonts w:ascii="Times New Roman" w:eastAsia="Times New Roman" w:hAnsi="Times New Roman" w:cs="Times New Roman"/>
      <w:b/>
      <w:bCs/>
      <w:sz w:val="24"/>
      <w:szCs w:val="24"/>
      <w:u w:val="single"/>
      <w:lang w:val="fr-CA" w:eastAsia="fr-FR"/>
    </w:rPr>
  </w:style>
  <w:style w:type="character" w:customStyle="1" w:styleId="Style5Char">
    <w:name w:val="Style5 Char"/>
    <w:basedOn w:val="Policepardfaut"/>
    <w:link w:val="Style5"/>
    <w:rsid w:val="000676A1"/>
    <w:rPr>
      <w:rFonts w:ascii="Calibri Light" w:eastAsia="Times New Roman" w:hAnsi="Calibri Light" w:cs="Times New Roman"/>
      <w:color w:val="2F5496"/>
    </w:rPr>
  </w:style>
  <w:style w:type="paragraph" w:customStyle="1" w:styleId="Style6">
    <w:name w:val="Style6"/>
    <w:basedOn w:val="Titre1"/>
    <w:link w:val="Style6Char"/>
    <w:qFormat/>
    <w:rsid w:val="000676A1"/>
    <w:pPr>
      <w:numPr>
        <w:numId w:val="0"/>
      </w:numPr>
      <w:spacing w:before="200" w:after="200"/>
      <w:ind w:right="0"/>
      <w:jc w:val="center"/>
    </w:pPr>
    <w:rPr>
      <w:rFonts w:ascii="Times New Roman Bold" w:hAnsi="Times New Roman Bold"/>
      <w:bCs w:val="0"/>
      <w:caps w:val="0"/>
      <w:smallCaps/>
      <w:kern w:val="0"/>
      <w:sz w:val="28"/>
      <w:szCs w:val="28"/>
      <w:lang w:eastAsia="en-US"/>
      <w14:ligatures w14:val="standardContextual"/>
    </w:rPr>
  </w:style>
  <w:style w:type="character" w:customStyle="1" w:styleId="Style6Char">
    <w:name w:val="Style6 Char"/>
    <w:link w:val="Style6"/>
    <w:rsid w:val="000676A1"/>
    <w:rPr>
      <w:rFonts w:ascii="Times New Roman Bold" w:eastAsia="Times New Roman" w:hAnsi="Times New Roman Bold" w:cs="Times New Roman"/>
      <w:b/>
      <w:smallCaps/>
      <w:sz w:val="28"/>
      <w:szCs w:val="28"/>
      <w14:ligatures w14:val="standardContextual"/>
    </w:rPr>
  </w:style>
  <w:style w:type="paragraph" w:customStyle="1" w:styleId="Style7">
    <w:name w:val="Style7"/>
    <w:basedOn w:val="Titre30"/>
    <w:link w:val="Style7Char"/>
    <w:qFormat/>
    <w:rsid w:val="000676A1"/>
    <w:pPr>
      <w:keepNext w:val="0"/>
      <w:keepLines/>
      <w:numPr>
        <w:ilvl w:val="0"/>
        <w:numId w:val="226"/>
      </w:numPr>
      <w:spacing w:before="0" w:after="200" w:line="336" w:lineRule="atLeast"/>
      <w:ind w:right="284"/>
      <w:contextualSpacing/>
      <w:textAlignment w:val="baseline"/>
    </w:pPr>
    <w:rPr>
      <w:color w:val="auto"/>
      <w:sz w:val="24"/>
      <w:lang w:val="en-GB" w:eastAsia="en-US"/>
      <w14:ligatures w14:val="standardContextual"/>
    </w:rPr>
  </w:style>
  <w:style w:type="character" w:customStyle="1" w:styleId="Style7Char">
    <w:name w:val="Style7 Char"/>
    <w:basedOn w:val="Policepardfaut"/>
    <w:link w:val="Style7"/>
    <w:rsid w:val="000676A1"/>
    <w:rPr>
      <w:rFonts w:ascii="Times New Roman" w:eastAsia="Times New Roman" w:hAnsi="Times New Roman" w:cs="Times New Roman"/>
      <w:b/>
      <w:bCs/>
      <w:sz w:val="24"/>
      <w:szCs w:val="24"/>
      <w:lang w:val="en-GB"/>
      <w14:ligatures w14:val="standardContextual"/>
    </w:rPr>
  </w:style>
  <w:style w:type="paragraph" w:customStyle="1" w:styleId="Style80">
    <w:name w:val="Style8"/>
    <w:basedOn w:val="Titre1"/>
    <w:link w:val="Style8Char"/>
    <w:qFormat/>
    <w:rsid w:val="000676A1"/>
    <w:pPr>
      <w:numPr>
        <w:numId w:val="0"/>
      </w:numPr>
      <w:ind w:right="0"/>
      <w:jc w:val="center"/>
    </w:pPr>
    <w:rPr>
      <w:rFonts w:ascii="Times New Roman Bold" w:hAnsi="Times New Roman Bold"/>
      <w:bCs w:val="0"/>
      <w:caps w:val="0"/>
      <w:kern w:val="0"/>
      <w:sz w:val="32"/>
      <w:szCs w:val="20"/>
      <w:lang w:val="en-US" w:eastAsia="en-US"/>
      <w14:ligatures w14:val="standardContextual"/>
    </w:rPr>
  </w:style>
  <w:style w:type="character" w:customStyle="1" w:styleId="Style8Char">
    <w:name w:val="Style8 Char"/>
    <w:basedOn w:val="Policepardfaut"/>
    <w:link w:val="Style80"/>
    <w:rsid w:val="000676A1"/>
    <w:rPr>
      <w:rFonts w:ascii="Times New Roman Bold" w:eastAsia="Times New Roman" w:hAnsi="Times New Roman Bold" w:cs="Times New Roman"/>
      <w:b/>
      <w:sz w:val="32"/>
      <w:szCs w:val="20"/>
      <w:lang w:val="en-US"/>
      <w14:ligatures w14:val="standardContextual"/>
    </w:rPr>
  </w:style>
  <w:style w:type="character" w:customStyle="1" w:styleId="Style9Char">
    <w:name w:val="Style9 Char"/>
    <w:basedOn w:val="Policepardfaut"/>
    <w:link w:val="Style9"/>
    <w:rsid w:val="000676A1"/>
    <w:rPr>
      <w:rFonts w:ascii="Times New Roman" w:eastAsia="Times New Roman" w:hAnsi="Times New Roman" w:cs="Times New Roman"/>
      <w:sz w:val="24"/>
      <w:szCs w:val="24"/>
      <w:lang w:eastAsia="fr-FR"/>
    </w:rPr>
  </w:style>
  <w:style w:type="paragraph" w:customStyle="1" w:styleId="Style100">
    <w:name w:val="Style10"/>
    <w:basedOn w:val="Titre1"/>
    <w:link w:val="Style10Char"/>
    <w:qFormat/>
    <w:rsid w:val="000676A1"/>
    <w:pPr>
      <w:numPr>
        <w:numId w:val="0"/>
      </w:numPr>
      <w:ind w:right="0"/>
      <w:jc w:val="center"/>
    </w:pPr>
    <w:rPr>
      <w:rFonts w:ascii="Times New Roman Bold" w:hAnsi="Times New Roman Bold"/>
      <w:bCs w:val="0"/>
      <w:caps w:val="0"/>
      <w:smallCaps/>
      <w:kern w:val="0"/>
      <w:sz w:val="28"/>
      <w:szCs w:val="28"/>
      <w:lang w:eastAsia="en-US"/>
      <w14:ligatures w14:val="standardContextual"/>
    </w:rPr>
  </w:style>
  <w:style w:type="character" w:customStyle="1" w:styleId="Style10Char">
    <w:name w:val="Style10 Char"/>
    <w:link w:val="Style100"/>
    <w:rsid w:val="000676A1"/>
    <w:rPr>
      <w:rFonts w:ascii="Times New Roman Bold" w:eastAsia="Times New Roman" w:hAnsi="Times New Roman Bold" w:cs="Times New Roman"/>
      <w:b/>
      <w:smallCaps/>
      <w:sz w:val="28"/>
      <w:szCs w:val="28"/>
      <w14:ligatures w14:val="standardContextual"/>
    </w:rPr>
  </w:style>
  <w:style w:type="paragraph" w:customStyle="1" w:styleId="Style11">
    <w:name w:val="Style11"/>
    <w:basedOn w:val="A1-Heading2"/>
    <w:link w:val="Style11Char"/>
    <w:qFormat/>
    <w:rsid w:val="000676A1"/>
    <w:pPr>
      <w:ind w:left="360" w:firstLine="0"/>
    </w:pPr>
  </w:style>
  <w:style w:type="character" w:customStyle="1" w:styleId="Style11Char">
    <w:name w:val="Style11 Char"/>
    <w:basedOn w:val="A1-Heading2Char"/>
    <w:link w:val="Style11"/>
    <w:rsid w:val="000676A1"/>
    <w:rPr>
      <w:rFonts w:ascii="Times New Roman" w:eastAsia="Times New Roman" w:hAnsi="Times New Roman" w:cs="Times New Roman"/>
      <w:b/>
      <w:bCs/>
      <w:smallCaps/>
      <w:sz w:val="24"/>
      <w:szCs w:val="24"/>
      <w:lang w:val="en-GB"/>
      <w14:ligatures w14:val="standardContextual"/>
    </w:rPr>
  </w:style>
  <w:style w:type="character" w:customStyle="1" w:styleId="Style12Char">
    <w:name w:val="Style12 Char"/>
    <w:basedOn w:val="Policepardfaut"/>
    <w:rsid w:val="000676A1"/>
    <w:rPr>
      <w:rFonts w:ascii="Times New Roman Bold" w:eastAsia="Times New Roman" w:hAnsi="Times New Roman Bold" w:cs="Times New Roman"/>
      <w:b/>
      <w:sz w:val="32"/>
      <w:szCs w:val="20"/>
      <w:lang w:val="en-US"/>
    </w:rPr>
  </w:style>
  <w:style w:type="paragraph" w:customStyle="1" w:styleId="tdr1">
    <w:name w:val="tdr1"/>
    <w:basedOn w:val="Normal"/>
    <w:rsid w:val="000676A1"/>
    <w:pPr>
      <w:spacing w:before="240" w:after="240" w:line="240" w:lineRule="auto"/>
    </w:pPr>
    <w:rPr>
      <w:rFonts w:ascii="Arial" w:eastAsia="Times New Roman" w:hAnsi="Arial" w:cs="Arial"/>
      <w:b/>
      <w:sz w:val="24"/>
      <w:szCs w:val="24"/>
      <w:lang w:eastAsia="fr-FR"/>
      <w14:ligatures w14:val="standardContextual"/>
    </w:rPr>
  </w:style>
  <w:style w:type="character" w:customStyle="1" w:styleId="TextodecomentrioCarcter">
    <w:name w:val="Texto de comentário Carácter"/>
    <w:uiPriority w:val="99"/>
    <w:rsid w:val="000676A1"/>
    <w:rPr>
      <w:rFonts w:ascii="Times New Roman" w:eastAsia="Times New Roman" w:hAnsi="Times New Roman"/>
    </w:rPr>
  </w:style>
  <w:style w:type="paragraph" w:customStyle="1" w:styleId="xmsonormal">
    <w:name w:val="x_msonormal"/>
    <w:basedOn w:val="Normal"/>
    <w:rsid w:val="000676A1"/>
    <w:pPr>
      <w:spacing w:before="100" w:beforeAutospacing="1" w:after="100" w:afterAutospacing="1" w:line="240" w:lineRule="auto"/>
    </w:pPr>
    <w:rPr>
      <w:rFonts w:ascii="Times New Roman" w:eastAsia="Times New Roman" w:hAnsi="Times New Roman"/>
      <w:sz w:val="24"/>
      <w:szCs w:val="24"/>
      <w:lang w:eastAsia="pt-PT"/>
      <w14:ligatures w14:val="standardContextual"/>
    </w:rPr>
  </w:style>
  <w:style w:type="paragraph" w:customStyle="1" w:styleId="xmsolistparagraph">
    <w:name w:val="x_msolistparagraph"/>
    <w:basedOn w:val="Normal"/>
    <w:rsid w:val="000676A1"/>
    <w:pPr>
      <w:spacing w:before="100" w:beforeAutospacing="1" w:after="100" w:afterAutospacing="1" w:line="240" w:lineRule="auto"/>
    </w:pPr>
    <w:rPr>
      <w:rFonts w:ascii="Times New Roman" w:eastAsia="Times New Roman" w:hAnsi="Times New Roman"/>
      <w:sz w:val="24"/>
      <w:szCs w:val="24"/>
      <w:lang w:eastAsia="pt-PT"/>
      <w14:ligatures w14:val="standardContextual"/>
    </w:rPr>
  </w:style>
  <w:style w:type="paragraph" w:customStyle="1" w:styleId="U">
    <w:name w:val="U"/>
    <w:basedOn w:val="Normal"/>
    <w:uiPriority w:val="99"/>
    <w:rsid w:val="000676A1"/>
    <w:pPr>
      <w:widowControl w:val="0"/>
      <w:spacing w:after="0" w:line="260" w:lineRule="atLeast"/>
      <w:jc w:val="both"/>
    </w:pPr>
    <w:rPr>
      <w:rFonts w:ascii="Arial" w:eastAsia="Times New Roman" w:hAnsi="Arial"/>
      <w:b/>
      <w:szCs w:val="20"/>
      <w:lang w:val="en-GB"/>
      <w14:ligatures w14:val="standardContextual"/>
    </w:rPr>
  </w:style>
  <w:style w:type="paragraph" w:customStyle="1" w:styleId="E1">
    <w:name w:val="E1"/>
    <w:basedOn w:val="Normal"/>
    <w:uiPriority w:val="99"/>
    <w:rsid w:val="000676A1"/>
    <w:pPr>
      <w:widowControl w:val="0"/>
      <w:numPr>
        <w:numId w:val="230"/>
      </w:numPr>
      <w:spacing w:after="0" w:line="260" w:lineRule="atLeast"/>
      <w:jc w:val="both"/>
    </w:pPr>
    <w:rPr>
      <w:rFonts w:ascii="Arial" w:eastAsia="Times New Roman" w:hAnsi="Arial"/>
      <w:sz w:val="20"/>
      <w:szCs w:val="20"/>
      <w:lang w:val="en-GB"/>
      <w14:ligatures w14:val="standardContextual"/>
    </w:rPr>
  </w:style>
  <w:style w:type="paragraph" w:customStyle="1" w:styleId="SemEspaamento1">
    <w:name w:val="Sem Espaçamento1"/>
    <w:rsid w:val="000676A1"/>
    <w:pPr>
      <w:spacing w:after="0" w:line="240" w:lineRule="auto"/>
    </w:pPr>
    <w:rPr>
      <w:rFonts w:ascii="Comic Sans MS" w:eastAsia="Calibri" w:hAnsi="Comic Sans MS" w:cs="Times New Roman"/>
      <w:i/>
      <w:sz w:val="24"/>
      <w:szCs w:val="24"/>
      <w:lang w:val="pt-PT" w:eastAsia="pt-PT"/>
      <w14:ligatures w14:val="standardContextual"/>
    </w:rPr>
  </w:style>
  <w:style w:type="paragraph" w:customStyle="1" w:styleId="nomcv">
    <w:name w:val="nomcv"/>
    <w:basedOn w:val="Normal"/>
    <w:uiPriority w:val="99"/>
    <w:rsid w:val="000676A1"/>
    <w:pPr>
      <w:keepNext/>
      <w:keepLines/>
      <w:pBdr>
        <w:top w:val="single" w:sz="6" w:space="1" w:color="auto" w:shadow="1"/>
        <w:left w:val="single" w:sz="6" w:space="1" w:color="auto" w:shadow="1"/>
        <w:bottom w:val="single" w:sz="6" w:space="1" w:color="auto" w:shadow="1"/>
        <w:right w:val="single" w:sz="6" w:space="1" w:color="auto" w:shadow="1"/>
      </w:pBdr>
      <w:tabs>
        <w:tab w:val="left" w:pos="9071"/>
      </w:tabs>
      <w:spacing w:before="48" w:after="48" w:line="240" w:lineRule="auto"/>
      <w:jc w:val="center"/>
    </w:pPr>
    <w:rPr>
      <w:rFonts w:ascii="Times New Roman" w:eastAsia="Times New Roman" w:hAnsi="Times New Roman"/>
      <w:b/>
      <w:sz w:val="28"/>
      <w:szCs w:val="20"/>
      <w:lang w:eastAsia="fr-FR"/>
      <w14:ligatures w14:val="standardContextual"/>
    </w:rPr>
  </w:style>
  <w:style w:type="paragraph" w:customStyle="1" w:styleId="normaltableau">
    <w:name w:val="normal_tableau"/>
    <w:basedOn w:val="Normal"/>
    <w:rsid w:val="000676A1"/>
    <w:pPr>
      <w:suppressAutoHyphens/>
      <w:spacing w:before="120" w:after="120" w:line="240" w:lineRule="auto"/>
      <w:jc w:val="both"/>
    </w:pPr>
    <w:rPr>
      <w:rFonts w:ascii="Optima" w:eastAsia="Times New Roman" w:hAnsi="Optima"/>
      <w:szCs w:val="20"/>
      <w:lang w:val="en-GB" w:eastAsia="ar-SA"/>
      <w14:ligatures w14:val="standardContextual"/>
    </w:rPr>
  </w:style>
  <w:style w:type="paragraph" w:customStyle="1" w:styleId="SimpleList">
    <w:name w:val="Simple List"/>
    <w:basedOn w:val="Normal"/>
    <w:uiPriority w:val="99"/>
    <w:rsid w:val="000676A1"/>
    <w:pPr>
      <w:widowControl w:val="0"/>
      <w:tabs>
        <w:tab w:val="num" w:pos="720"/>
      </w:tabs>
      <w:autoSpaceDE w:val="0"/>
      <w:autoSpaceDN w:val="0"/>
      <w:adjustRightInd w:val="0"/>
      <w:spacing w:after="0" w:line="240" w:lineRule="auto"/>
      <w:ind w:left="720" w:hanging="720"/>
      <w:jc w:val="both"/>
    </w:pPr>
    <w:rPr>
      <w:rFonts w:ascii="Times New Roman" w:eastAsia="SimSun" w:hAnsi="Times New Roman"/>
      <w:sz w:val="24"/>
      <w:szCs w:val="28"/>
      <w:lang w:val="en-US" w:eastAsia="zh-CN"/>
      <w14:ligatures w14:val="standardContextual"/>
    </w:rPr>
  </w:style>
  <w:style w:type="paragraph" w:customStyle="1" w:styleId="HeadingThree">
    <w:name w:val="Heading Three"/>
    <w:basedOn w:val="Normal"/>
    <w:uiPriority w:val="99"/>
    <w:rsid w:val="000676A1"/>
    <w:pPr>
      <w:widowControl w:val="0"/>
      <w:autoSpaceDE w:val="0"/>
      <w:autoSpaceDN w:val="0"/>
      <w:adjustRightInd w:val="0"/>
      <w:spacing w:before="120" w:after="120" w:line="240" w:lineRule="auto"/>
      <w:jc w:val="center"/>
      <w:outlineLvl w:val="0"/>
    </w:pPr>
    <w:rPr>
      <w:rFonts w:ascii="Times New Roman" w:eastAsia="SimSun" w:hAnsi="Times New Roman"/>
      <w:b/>
      <w:sz w:val="28"/>
      <w:szCs w:val="24"/>
      <w:lang w:val="en-GB" w:eastAsia="x-none"/>
      <w14:ligatures w14:val="standardContextual"/>
    </w:rPr>
  </w:style>
  <w:style w:type="paragraph" w:customStyle="1" w:styleId="Projet">
    <w:name w:val="Projet"/>
    <w:basedOn w:val="Normal"/>
    <w:rsid w:val="000676A1"/>
    <w:pPr>
      <w:numPr>
        <w:numId w:val="231"/>
      </w:numPr>
      <w:spacing w:before="120" w:after="0" w:line="240" w:lineRule="exact"/>
      <w:jc w:val="both"/>
    </w:pPr>
    <w:rPr>
      <w:rFonts w:ascii="Times New Roman" w:eastAsia="Times New Roman" w:hAnsi="Times New Roman"/>
      <w:sz w:val="24"/>
      <w:szCs w:val="20"/>
      <w:lang w:eastAsia="fr-FR"/>
      <w14:ligatures w14:val="standardContextual"/>
    </w:rPr>
  </w:style>
  <w:style w:type="paragraph" w:customStyle="1" w:styleId="Langue">
    <w:name w:val="Langue"/>
    <w:basedOn w:val="Normal"/>
    <w:rsid w:val="000676A1"/>
    <w:pPr>
      <w:tabs>
        <w:tab w:val="center" w:pos="2269"/>
        <w:tab w:val="center" w:pos="4537"/>
        <w:tab w:val="center" w:pos="6804"/>
      </w:tabs>
      <w:spacing w:before="120" w:after="0" w:line="240" w:lineRule="auto"/>
      <w:jc w:val="both"/>
    </w:pPr>
    <w:rPr>
      <w:rFonts w:ascii="Arial" w:eastAsia="Times New Roman" w:hAnsi="Arial" w:cs="Arial"/>
      <w:sz w:val="20"/>
      <w:szCs w:val="20"/>
      <w:lang w:eastAsia="fr-FR"/>
      <w14:ligatures w14:val="standardContextual"/>
    </w:rPr>
  </w:style>
  <w:style w:type="paragraph" w:customStyle="1" w:styleId="Styletexte">
    <w:name w:val="Style texte"/>
    <w:basedOn w:val="Normal"/>
    <w:link w:val="StyletexteCar1"/>
    <w:qFormat/>
    <w:rsid w:val="000676A1"/>
    <w:pPr>
      <w:tabs>
        <w:tab w:val="left" w:pos="284"/>
      </w:tabs>
      <w:spacing w:after="80" w:line="240" w:lineRule="auto"/>
      <w:ind w:left="-141"/>
      <w:jc w:val="both"/>
    </w:pPr>
    <w:rPr>
      <w:rFonts w:ascii="Arial" w:eastAsia="Times New Roman" w:hAnsi="Arial" w:cs="Arial"/>
      <w:spacing w:val="-3"/>
      <w:sz w:val="20"/>
      <w:szCs w:val="20"/>
      <w14:ligatures w14:val="standardContextual"/>
    </w:rPr>
  </w:style>
  <w:style w:type="character" w:customStyle="1" w:styleId="StyletexteCar1">
    <w:name w:val="Style texte Car1"/>
    <w:basedOn w:val="Policepardfaut"/>
    <w:link w:val="Styletexte"/>
    <w:rsid w:val="000676A1"/>
    <w:rPr>
      <w:rFonts w:ascii="Arial" w:eastAsia="Times New Roman" w:hAnsi="Arial" w:cs="Arial"/>
      <w:spacing w:val="-3"/>
      <w:sz w:val="20"/>
      <w:szCs w:val="20"/>
      <w14:ligatures w14:val="standardContextual"/>
    </w:rPr>
  </w:style>
  <w:style w:type="paragraph" w:customStyle="1" w:styleId="StyleListe">
    <w:name w:val="Style Liste&gt;"/>
    <w:basedOn w:val="Styletexte"/>
    <w:link w:val="StyleListeCar"/>
    <w:qFormat/>
    <w:rsid w:val="000676A1"/>
    <w:pPr>
      <w:numPr>
        <w:numId w:val="232"/>
      </w:numPr>
      <w:ind w:left="-141" w:firstLine="0"/>
    </w:pPr>
  </w:style>
  <w:style w:type="character" w:customStyle="1" w:styleId="StyleListeCar">
    <w:name w:val="Style Liste&gt; Car"/>
    <w:basedOn w:val="StyletexteCar1"/>
    <w:link w:val="StyleListe"/>
    <w:rsid w:val="000676A1"/>
    <w:rPr>
      <w:rFonts w:ascii="Arial" w:eastAsia="Times New Roman" w:hAnsi="Arial" w:cs="Arial"/>
      <w:spacing w:val="-3"/>
      <w:sz w:val="20"/>
      <w:szCs w:val="20"/>
      <w14:ligatures w14:val="standardContextual"/>
    </w:rPr>
  </w:style>
  <w:style w:type="paragraph" w:customStyle="1" w:styleId="TITREb">
    <w:name w:val="TITRE"/>
    <w:basedOn w:val="Normal"/>
    <w:rsid w:val="000676A1"/>
    <w:pPr>
      <w:pBdr>
        <w:top w:val="single" w:sz="6" w:space="1" w:color="000000"/>
      </w:pBdr>
      <w:spacing w:before="240" w:after="120" w:line="240" w:lineRule="auto"/>
      <w:jc w:val="both"/>
    </w:pPr>
    <w:rPr>
      <w:rFonts w:ascii="Arial" w:eastAsia="Times New Roman" w:hAnsi="Arial"/>
      <w:b/>
      <w:bCs/>
      <w:caps/>
      <w:sz w:val="20"/>
      <w:szCs w:val="20"/>
      <w:lang w:eastAsia="fr-FR"/>
      <w14:ligatures w14:val="standardContextual"/>
    </w:rPr>
  </w:style>
  <w:style w:type="paragraph" w:customStyle="1" w:styleId="LD">
    <w:name w:val="LD"/>
    <w:basedOn w:val="Normal"/>
    <w:rsid w:val="000676A1"/>
    <w:pPr>
      <w:tabs>
        <w:tab w:val="left" w:pos="1843"/>
      </w:tabs>
      <w:spacing w:before="240" w:after="0" w:line="240" w:lineRule="auto"/>
      <w:ind w:left="1843" w:hanging="1843"/>
    </w:pPr>
    <w:rPr>
      <w:rFonts w:ascii="Arial" w:eastAsia="Times New Roman" w:hAnsi="Arial"/>
      <w:sz w:val="20"/>
      <w:szCs w:val="20"/>
      <w:lang w:eastAsia="fr-FR"/>
      <w14:ligatures w14:val="standardContextual"/>
    </w:rPr>
  </w:style>
  <w:style w:type="paragraph" w:customStyle="1" w:styleId="t1">
    <w:name w:val="t1"/>
    <w:basedOn w:val="Normal"/>
    <w:rsid w:val="000676A1"/>
    <w:pPr>
      <w:widowControl w:val="0"/>
      <w:autoSpaceDE w:val="0"/>
      <w:autoSpaceDN w:val="0"/>
      <w:spacing w:after="0" w:line="240" w:lineRule="atLeast"/>
    </w:pPr>
    <w:rPr>
      <w:rFonts w:ascii="Times New Roman" w:eastAsia="Times New Roman" w:hAnsi="Times New Roman"/>
      <w:sz w:val="24"/>
      <w:szCs w:val="24"/>
      <w:lang w:eastAsia="fr-FR"/>
      <w14:ligatures w14:val="standardContextual"/>
    </w:rPr>
  </w:style>
  <w:style w:type="character" w:customStyle="1" w:styleId="TexteCar1">
    <w:name w:val="Texte Car1"/>
    <w:rsid w:val="000676A1"/>
    <w:rPr>
      <w:rFonts w:ascii="Arial" w:eastAsia="Times New Roman" w:hAnsi="Arial" w:cs="Times New Roman"/>
      <w:kern w:val="0"/>
      <w:sz w:val="20"/>
      <w:szCs w:val="20"/>
      <w:lang w:eastAsia="fr-FR"/>
    </w:rPr>
  </w:style>
  <w:style w:type="character" w:customStyle="1" w:styleId="a6">
    <w:name w:val="ÀÀ"/>
    <w:basedOn w:val="Policepardfaut"/>
    <w:rsid w:val="000676A1"/>
  </w:style>
  <w:style w:type="paragraph" w:customStyle="1" w:styleId="Entte">
    <w:name w:val="Entête"/>
    <w:basedOn w:val="Normal"/>
    <w:rsid w:val="000676A1"/>
    <w:pPr>
      <w:tabs>
        <w:tab w:val="left" w:pos="2127"/>
      </w:tabs>
      <w:overflowPunct w:val="0"/>
      <w:autoSpaceDE w:val="0"/>
      <w:autoSpaceDN w:val="0"/>
      <w:adjustRightInd w:val="0"/>
      <w:spacing w:before="120" w:after="0" w:line="240" w:lineRule="auto"/>
      <w:textAlignment w:val="baseline"/>
    </w:pPr>
    <w:rPr>
      <w:rFonts w:ascii="Times New Roman" w:eastAsia="Times New Roman" w:hAnsi="Times New Roman"/>
      <w:b/>
      <w:bCs/>
      <w:sz w:val="24"/>
      <w:szCs w:val="24"/>
      <w:lang w:eastAsia="fr-FR"/>
      <w14:ligatures w14:val="standardContextual"/>
    </w:rPr>
  </w:style>
  <w:style w:type="paragraph" w:customStyle="1" w:styleId="L1">
    <w:name w:val="L1"/>
    <w:basedOn w:val="Normal"/>
    <w:rsid w:val="000676A1"/>
    <w:pPr>
      <w:tabs>
        <w:tab w:val="left" w:pos="567"/>
      </w:tabs>
      <w:overflowPunct w:val="0"/>
      <w:autoSpaceDE w:val="0"/>
      <w:autoSpaceDN w:val="0"/>
      <w:adjustRightInd w:val="0"/>
      <w:spacing w:before="60" w:after="60" w:line="240" w:lineRule="auto"/>
      <w:ind w:right="2269" w:hanging="284"/>
      <w:jc w:val="both"/>
      <w:textAlignment w:val="baseline"/>
    </w:pPr>
    <w:rPr>
      <w:rFonts w:ascii="Times New Roman" w:eastAsia="Times New Roman" w:hAnsi="Times New Roman"/>
      <w:sz w:val="20"/>
      <w:lang w:eastAsia="fr-FR"/>
      <w14:ligatures w14:val="standardContextual"/>
    </w:rPr>
  </w:style>
  <w:style w:type="paragraph" w:customStyle="1" w:styleId="TableText0">
    <w:name w:val="Table Text"/>
    <w:basedOn w:val="Normal"/>
    <w:autoRedefine/>
    <w:rsid w:val="000676A1"/>
    <w:pPr>
      <w:overflowPunct w:val="0"/>
      <w:autoSpaceDE w:val="0"/>
      <w:autoSpaceDN w:val="0"/>
      <w:adjustRightInd w:val="0"/>
      <w:spacing w:after="0" w:line="264" w:lineRule="auto"/>
      <w:ind w:left="38"/>
      <w:jc w:val="both"/>
      <w:textAlignment w:val="baseline"/>
    </w:pPr>
    <w:rPr>
      <w:rFonts w:ascii="Times New Roman" w:eastAsia="Times New Roman" w:hAnsi="Times New Roman"/>
      <w:b/>
      <w:sz w:val="20"/>
      <w:szCs w:val="20"/>
      <w:lang w:val="en-GB"/>
      <w14:ligatures w14:val="standardContextual"/>
    </w:rPr>
  </w:style>
  <w:style w:type="paragraph" w:customStyle="1" w:styleId="WW-Corpsdetexte2">
    <w:name w:val="WW-Corps de texte 2"/>
    <w:basedOn w:val="Normal"/>
    <w:rsid w:val="000676A1"/>
    <w:pPr>
      <w:suppressAutoHyphens/>
      <w:spacing w:after="0" w:line="360" w:lineRule="auto"/>
    </w:pPr>
    <w:rPr>
      <w:rFonts w:ascii="Times New Roman" w:eastAsia="Times New Roman" w:hAnsi="Times New Roman"/>
      <w:lang w:eastAsia="ar-SA"/>
      <w14:ligatures w14:val="standardContextual"/>
    </w:rPr>
  </w:style>
  <w:style w:type="character" w:customStyle="1" w:styleId="gi">
    <w:name w:val="gi"/>
    <w:basedOn w:val="Policepardfaut"/>
    <w:rsid w:val="000676A1"/>
  </w:style>
  <w:style w:type="paragraph" w:customStyle="1" w:styleId="Russite">
    <w:name w:val="Réussite"/>
    <w:basedOn w:val="Corpsdetexte"/>
    <w:rsid w:val="000676A1"/>
    <w:pPr>
      <w:numPr>
        <w:numId w:val="233"/>
      </w:numPr>
      <w:pBdr>
        <w:top w:val="none" w:sz="0" w:space="0" w:color="auto"/>
        <w:left w:val="none" w:sz="0" w:space="0" w:color="auto"/>
        <w:bottom w:val="none" w:sz="0" w:space="0" w:color="auto"/>
        <w:right w:val="none" w:sz="0" w:space="0" w:color="auto"/>
      </w:pBdr>
      <w:shd w:val="clear" w:color="auto" w:fill="auto"/>
      <w:tabs>
        <w:tab w:val="clear" w:pos="1071"/>
        <w:tab w:val="clear" w:pos="4393"/>
        <w:tab w:val="num" w:pos="360"/>
        <w:tab w:val="num" w:pos="1245"/>
      </w:tabs>
      <w:spacing w:after="60" w:line="220" w:lineRule="atLeast"/>
      <w:ind w:left="1245" w:firstLine="0"/>
      <w:jc w:val="both"/>
    </w:pPr>
    <w:rPr>
      <w:rFonts w:ascii="Arial" w:hAnsi="Arial"/>
      <w:b w:val="0"/>
      <w:spacing w:val="-5"/>
      <w:sz w:val="20"/>
      <w:szCs w:val="20"/>
      <w14:ligatures w14:val="standardContextual"/>
    </w:rPr>
  </w:style>
  <w:style w:type="paragraph" w:customStyle="1" w:styleId="SolbaseNormal">
    <w:name w:val="Solbase_Normal"/>
    <w:basedOn w:val="Normal"/>
    <w:qFormat/>
    <w:rsid w:val="000676A1"/>
    <w:pPr>
      <w:spacing w:after="120" w:line="240" w:lineRule="auto"/>
      <w:ind w:left="1134"/>
      <w:jc w:val="both"/>
    </w:pPr>
    <w:rPr>
      <w:rFonts w:ascii="Century Gothic" w:eastAsia="Times New Roman" w:hAnsi="Century Gothic"/>
      <w:sz w:val="20"/>
      <w:szCs w:val="20"/>
      <w:lang w:eastAsia="fr-FR"/>
      <w14:ligatures w14:val="standardContextual"/>
    </w:rPr>
  </w:style>
  <w:style w:type="character" w:customStyle="1" w:styleId="fontstyle41">
    <w:name w:val="fontstyle41"/>
    <w:basedOn w:val="Policepardfaut"/>
    <w:rsid w:val="000676A1"/>
    <w:rPr>
      <w:rFonts w:ascii="ArialMT" w:hAnsi="ArialMT" w:hint="default"/>
      <w:b w:val="0"/>
      <w:bCs w:val="0"/>
      <w:i w:val="0"/>
      <w:iCs w:val="0"/>
      <w:color w:val="000000"/>
      <w:sz w:val="14"/>
      <w:szCs w:val="14"/>
    </w:rPr>
  </w:style>
  <w:style w:type="character" w:customStyle="1" w:styleId="fontstyle51">
    <w:name w:val="fontstyle51"/>
    <w:basedOn w:val="Policepardfaut"/>
    <w:rsid w:val="000676A1"/>
    <w:rPr>
      <w:rFonts w:ascii="Calibri-Bold" w:hAnsi="Calibri-Bold" w:hint="default"/>
      <w:b/>
      <w:bCs/>
      <w:i w:val="0"/>
      <w:iCs w:val="0"/>
      <w:color w:val="000000"/>
      <w:sz w:val="24"/>
      <w:szCs w:val="24"/>
    </w:rPr>
  </w:style>
  <w:style w:type="character" w:customStyle="1" w:styleId="fontstyle61">
    <w:name w:val="fontstyle61"/>
    <w:basedOn w:val="Policepardfaut"/>
    <w:rsid w:val="000676A1"/>
    <w:rPr>
      <w:rFonts w:ascii="SymbolMT" w:eastAsia="SymbolMT" w:hAnsi="SymbolMT" w:hint="eastAsia"/>
      <w:b w:val="0"/>
      <w:bCs w:val="0"/>
      <w:i w:val="0"/>
      <w:iCs w:val="0"/>
      <w:color w:val="000000"/>
      <w:sz w:val="22"/>
      <w:szCs w:val="22"/>
    </w:rPr>
  </w:style>
  <w:style w:type="table" w:customStyle="1" w:styleId="TableauGrille3-Accentuation31">
    <w:name w:val="Tableau Grille 3 - Accentuation 31"/>
    <w:basedOn w:val="TableauNormal"/>
    <w:uiPriority w:val="48"/>
    <w:rsid w:val="000676A1"/>
    <w:pPr>
      <w:spacing w:after="0" w:line="240" w:lineRule="auto"/>
    </w:pPr>
    <w:rPr>
      <w:rFonts w:eastAsia="SimSun"/>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uiPriority w:val="99"/>
    <w:rsid w:val="000676A1"/>
    <w:pPr>
      <w:spacing w:line="240" w:lineRule="exact"/>
      <w:jc w:val="both"/>
    </w:pPr>
    <w:rPr>
      <w:rFonts w:asciiTheme="minorHAnsi" w:eastAsiaTheme="minorHAnsi" w:hAnsiTheme="minorHAnsi" w:cstheme="minorBidi"/>
      <w:kern w:val="2"/>
      <w:vertAlign w:val="superscript"/>
      <w14:ligatures w14:val="standardContextual"/>
    </w:rPr>
  </w:style>
  <w:style w:type="paragraph" w:customStyle="1" w:styleId="Titre71">
    <w:name w:val="Titre 71"/>
    <w:basedOn w:val="Normal"/>
    <w:next w:val="Normal"/>
    <w:uiPriority w:val="9"/>
    <w:semiHidden/>
    <w:unhideWhenUsed/>
    <w:qFormat/>
    <w:rsid w:val="000676A1"/>
    <w:pPr>
      <w:keepNext/>
      <w:keepLines/>
      <w:spacing w:before="40" w:after="0" w:line="360" w:lineRule="auto"/>
      <w:ind w:left="5040" w:hanging="360"/>
      <w:jc w:val="both"/>
      <w:outlineLvl w:val="6"/>
    </w:pPr>
    <w:rPr>
      <w:rFonts w:ascii="Calibri Light" w:eastAsia="Times New Roman" w:hAnsi="Calibri Light"/>
      <w:i/>
      <w:iCs/>
      <w:color w:val="1F3763"/>
      <w:sz w:val="24"/>
      <w:szCs w:val="24"/>
      <w14:ligatures w14:val="standardContextual"/>
    </w:rPr>
  </w:style>
  <w:style w:type="paragraph" w:customStyle="1" w:styleId="ALTSFOOTNOT1">
    <w:name w:val="ALTS FOOTNOT1"/>
    <w:basedOn w:val="Normal"/>
    <w:next w:val="Notedebasdepage"/>
    <w:uiPriority w:val="99"/>
    <w:rsid w:val="000676A1"/>
    <w:pPr>
      <w:spacing w:after="200" w:line="288" w:lineRule="auto"/>
    </w:pPr>
    <w:rPr>
      <w:rFonts w:asciiTheme="minorHAnsi" w:eastAsia="SimSun" w:hAnsiTheme="minorHAnsi" w:cstheme="minorBidi"/>
      <w:sz w:val="20"/>
      <w:szCs w:val="20"/>
      <w:lang w:val="fr-SN" w:eastAsia="zh-CN"/>
      <w14:ligatures w14:val="standardContextual"/>
    </w:rPr>
  </w:style>
  <w:style w:type="paragraph" w:customStyle="1" w:styleId="bodytext">
    <w:name w:val="bodytext"/>
    <w:basedOn w:val="Normal"/>
    <w:uiPriority w:val="99"/>
    <w:rsid w:val="000676A1"/>
    <w:pPr>
      <w:spacing w:before="100" w:beforeAutospacing="1" w:after="100" w:afterAutospacing="1" w:line="240" w:lineRule="auto"/>
    </w:pPr>
    <w:rPr>
      <w:rFonts w:ascii="Times New Roman" w:eastAsia="Times New Roman" w:hAnsi="Times New Roman"/>
      <w:sz w:val="24"/>
      <w:szCs w:val="24"/>
      <w:lang w:eastAsia="fr-FR"/>
      <w14:ligatures w14:val="standardContextual"/>
    </w:rPr>
  </w:style>
  <w:style w:type="paragraph" w:customStyle="1" w:styleId="titre62">
    <w:name w:val="titre 6"/>
    <w:basedOn w:val="Paragraphedeliste"/>
    <w:qFormat/>
    <w:rsid w:val="000676A1"/>
    <w:pPr>
      <w:spacing w:line="259" w:lineRule="auto"/>
      <w:ind w:left="1080" w:hanging="1080"/>
    </w:pPr>
    <w:rPr>
      <w:rFonts w:ascii="Times New Roman" w:eastAsia="SimSun" w:hAnsi="Times New Roman"/>
      <w:b/>
      <w:sz w:val="24"/>
      <w:szCs w:val="24"/>
      <w14:ligatures w14:val="standardContextual"/>
    </w:rPr>
  </w:style>
  <w:style w:type="table" w:customStyle="1" w:styleId="csastandard6">
    <w:name w:val="csa standard6"/>
    <w:basedOn w:val="TableauNormal"/>
    <w:next w:val="Grilledutableau"/>
    <w:uiPriority w:val="39"/>
    <w:qFormat/>
    <w:rsid w:val="000676A1"/>
    <w:pPr>
      <w:spacing w:after="0" w:line="240" w:lineRule="auto"/>
    </w:pPr>
    <w:rPr>
      <w:rFonts w:eastAsia="SimSu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olicepardfaut"/>
    <w:rsid w:val="000676A1"/>
  </w:style>
  <w:style w:type="numbering" w:customStyle="1" w:styleId="WWNum41">
    <w:name w:val="WWNum41"/>
    <w:basedOn w:val="Aucuneliste"/>
    <w:rsid w:val="000676A1"/>
    <w:pPr>
      <w:numPr>
        <w:numId w:val="234"/>
      </w:numPr>
    </w:pPr>
  </w:style>
  <w:style w:type="character" w:customStyle="1" w:styleId="yiv2973334689gmail-hgkelc">
    <w:name w:val="yiv2973334689gmail-hgkelc"/>
    <w:basedOn w:val="Policepardfaut"/>
    <w:rsid w:val="000676A1"/>
  </w:style>
  <w:style w:type="table" w:customStyle="1" w:styleId="Grilledetableau82">
    <w:name w:val="Grille de tableau 82"/>
    <w:basedOn w:val="TableauNormal"/>
    <w:next w:val="Grilledetableau8"/>
    <w:rsid w:val="000676A1"/>
    <w:pPr>
      <w:spacing w:after="0" w:line="240" w:lineRule="auto"/>
      <w:jc w:val="both"/>
    </w:pPr>
    <w:rPr>
      <w:rFonts w:ascii="Times New Roman" w:eastAsia="Times New Roman" w:hAnsi="Times New Roman" w:cs="Times New Roman"/>
      <w:sz w:val="20"/>
      <w:szCs w:val="20"/>
      <w:lang w:val="fr-SN" w:eastAsia="fr-FR"/>
      <w14:ligatures w14:val="standardContextu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etableauclaire">
    <w:name w:val="Grid Table Light"/>
    <w:basedOn w:val="TableauNormal"/>
    <w:uiPriority w:val="40"/>
    <w:rsid w:val="000676A1"/>
    <w:pPr>
      <w:spacing w:after="0" w:line="240" w:lineRule="auto"/>
    </w:pPr>
    <w:rPr>
      <w:rFonts w:ascii="Cambria" w:eastAsia="MS Mincho" w:hAnsi="Cambria" w:cs="Times New Roman"/>
      <w:sz w:val="20"/>
      <w:szCs w:val="20"/>
      <w:lang w:val="fr-SN" w:eastAsia="fr-FR"/>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auGrille4-Accentuation3">
    <w:name w:val="Grid Table 4 Accent 3"/>
    <w:basedOn w:val="TableauNormal"/>
    <w:uiPriority w:val="49"/>
    <w:rsid w:val="000676A1"/>
    <w:pPr>
      <w:spacing w:after="0" w:line="240" w:lineRule="auto"/>
    </w:pPr>
    <w:rPr>
      <w:rFonts w:ascii="Cambria" w:eastAsia="MS Mincho" w:hAnsi="Cambria" w:cs="Times New Roman"/>
      <w:sz w:val="20"/>
      <w:szCs w:val="20"/>
      <w:lang w:val="fr-SN" w:eastAsia="fr-FR"/>
      <w14:ligatures w14:val="standardContextu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auListe3163">
    <w:name w:val="Tableau Liste 3163"/>
    <w:basedOn w:val="TableauNormal"/>
    <w:next w:val="TableauListe3"/>
    <w:uiPriority w:val="48"/>
    <w:rsid w:val="000676A1"/>
    <w:pPr>
      <w:spacing w:after="0" w:line="300" w:lineRule="exact"/>
      <w:jc w:val="both"/>
    </w:pPr>
    <w:rPr>
      <w:rFonts w:ascii="Times New Roman" w:eastAsia="Times New Roman" w:hAnsi="Times New Roman" w:cs="Times New Roman"/>
      <w:sz w:val="20"/>
      <w:szCs w:val="20"/>
      <w:lang w:val="fr-SN" w:eastAsia="fr-FR"/>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character" w:customStyle="1" w:styleId="Document8">
    <w:name w:val="Document 8"/>
    <w:rsid w:val="000676A1"/>
  </w:style>
  <w:style w:type="character" w:customStyle="1" w:styleId="Document4">
    <w:name w:val="Document 4"/>
    <w:rsid w:val="000676A1"/>
    <w:rPr>
      <w:b/>
      <w:i/>
      <w:sz w:val="20"/>
    </w:rPr>
  </w:style>
  <w:style w:type="character" w:customStyle="1" w:styleId="Document6">
    <w:name w:val="Document 6"/>
    <w:rsid w:val="000676A1"/>
  </w:style>
  <w:style w:type="character" w:customStyle="1" w:styleId="Document5">
    <w:name w:val="Document 5"/>
    <w:rsid w:val="000676A1"/>
  </w:style>
  <w:style w:type="character" w:customStyle="1" w:styleId="Document2">
    <w:name w:val="Document 2"/>
    <w:rsid w:val="000676A1"/>
    <w:rPr>
      <w:rFonts w:ascii="Courier" w:hAnsi="Courier"/>
      <w:noProof w:val="0"/>
      <w:sz w:val="20"/>
      <w:lang w:val="en-US"/>
    </w:rPr>
  </w:style>
  <w:style w:type="character" w:customStyle="1" w:styleId="Document7">
    <w:name w:val="Document 7"/>
    <w:rsid w:val="000676A1"/>
  </w:style>
  <w:style w:type="character" w:customStyle="1" w:styleId="Bibliogrphy">
    <w:name w:val="Bibliogrphy"/>
    <w:rsid w:val="000676A1"/>
  </w:style>
  <w:style w:type="character" w:customStyle="1" w:styleId="Document3">
    <w:name w:val="Document 3"/>
    <w:rsid w:val="000676A1"/>
    <w:rPr>
      <w:rFonts w:ascii="Courier" w:hAnsi="Courier"/>
      <w:noProof w:val="0"/>
      <w:sz w:val="20"/>
      <w:lang w:val="en-US"/>
    </w:rPr>
  </w:style>
  <w:style w:type="character" w:customStyle="1" w:styleId="DocInit">
    <w:name w:val="Doc Init"/>
    <w:rsid w:val="000676A1"/>
  </w:style>
  <w:style w:type="character" w:customStyle="1" w:styleId="TechInit">
    <w:name w:val="Tech Init"/>
    <w:rsid w:val="000676A1"/>
    <w:rPr>
      <w:rFonts w:ascii="Courier" w:hAnsi="Courier"/>
      <w:noProof w:val="0"/>
      <w:sz w:val="20"/>
      <w:lang w:val="en-US"/>
    </w:rPr>
  </w:style>
  <w:style w:type="character" w:customStyle="1" w:styleId="Technical2">
    <w:name w:val="Technical 2"/>
    <w:rsid w:val="000676A1"/>
    <w:rPr>
      <w:rFonts w:ascii="Courier" w:hAnsi="Courier"/>
      <w:noProof w:val="0"/>
      <w:sz w:val="20"/>
      <w:lang w:val="en-US"/>
    </w:rPr>
  </w:style>
  <w:style w:type="character" w:customStyle="1" w:styleId="Technical3">
    <w:name w:val="Technical 3"/>
    <w:rsid w:val="000676A1"/>
    <w:rPr>
      <w:rFonts w:ascii="Courier" w:hAnsi="Courier"/>
      <w:noProof w:val="0"/>
      <w:sz w:val="20"/>
      <w:lang w:val="en-US"/>
    </w:rPr>
  </w:style>
  <w:style w:type="character" w:customStyle="1" w:styleId="Technical1">
    <w:name w:val="Technical 1"/>
    <w:rsid w:val="000676A1"/>
    <w:rPr>
      <w:rFonts w:ascii="Courier" w:hAnsi="Courier"/>
      <w:noProof w:val="0"/>
      <w:sz w:val="20"/>
      <w:lang w:val="en-US"/>
    </w:rPr>
  </w:style>
  <w:style w:type="character" w:customStyle="1" w:styleId="attention">
    <w:name w:val="attention"/>
    <w:rsid w:val="000676A1"/>
  </w:style>
  <w:style w:type="character" w:customStyle="1" w:styleId="ref">
    <w:name w:val="ref"/>
    <w:rsid w:val="000676A1"/>
  </w:style>
  <w:style w:type="character" w:customStyle="1" w:styleId="titre42">
    <w:name w:val="titre4"/>
    <w:rsid w:val="000676A1"/>
  </w:style>
  <w:style w:type="character" w:customStyle="1" w:styleId="navcontent">
    <w:name w:val="navcontent"/>
    <w:rsid w:val="000676A1"/>
  </w:style>
  <w:style w:type="paragraph" w:customStyle="1" w:styleId="PRODOCCORPSDETEXTE">
    <w:name w:val="PRODOC CORPS DE TEXTE"/>
    <w:basedOn w:val="Normal"/>
    <w:semiHidden/>
    <w:rsid w:val="000676A1"/>
    <w:pPr>
      <w:spacing w:after="0" w:line="240" w:lineRule="auto"/>
      <w:jc w:val="both"/>
    </w:pPr>
    <w:rPr>
      <w:rFonts w:ascii="Arial" w:eastAsia="Times New Roman" w:hAnsi="Arial"/>
      <w:sz w:val="20"/>
      <w:szCs w:val="20"/>
      <w14:ligatures w14:val="standardContextual"/>
    </w:rPr>
  </w:style>
  <w:style w:type="paragraph" w:customStyle="1" w:styleId="Grilleclaire-Accent33">
    <w:name w:val="Grille claire - Accent 33"/>
    <w:basedOn w:val="Normal"/>
    <w:uiPriority w:val="72"/>
    <w:qFormat/>
    <w:rsid w:val="000676A1"/>
    <w:pPr>
      <w:spacing w:after="200" w:line="276" w:lineRule="auto"/>
      <w:ind w:left="720"/>
      <w:contextualSpacing/>
    </w:pPr>
    <w:rPr>
      <w14:ligatures w14:val="standardContextual"/>
    </w:rPr>
  </w:style>
  <w:style w:type="paragraph" w:customStyle="1" w:styleId="Grillemoyenne1-Accent23">
    <w:name w:val="Grille moyenne 1 - Accent 23"/>
    <w:aliases w:val="List Paragraph,Grille moyenne 1 - Accent 231,Tableau Adere,Trame couleur - Accent 31"/>
    <w:basedOn w:val="Normal"/>
    <w:uiPriority w:val="34"/>
    <w:qFormat/>
    <w:rsid w:val="000676A1"/>
    <w:pPr>
      <w:spacing w:after="0" w:line="240" w:lineRule="auto"/>
      <w:ind w:left="720"/>
      <w:contextualSpacing/>
    </w:pPr>
    <w:rPr>
      <w:rFonts w:ascii="GeoSlb712 Lt BT" w:eastAsia="Times New Roman" w:hAnsi="GeoSlb712 Lt BT"/>
      <w:lang w:eastAsia="fr-FR"/>
      <w14:ligatures w14:val="standardContextual"/>
    </w:rPr>
  </w:style>
  <w:style w:type="character" w:customStyle="1" w:styleId="Listecouleur-Accent3Car">
    <w:name w:val="Liste couleur - Accent 3 Car"/>
    <w:link w:val="Listecouleur-Accent3"/>
    <w:uiPriority w:val="29"/>
    <w:rsid w:val="000676A1"/>
    <w:rPr>
      <w:rFonts w:ascii="Calibri" w:eastAsia="Times New Roman" w:hAnsi="Calibri" w:cs="Times New Roman"/>
      <w:i/>
      <w:iCs/>
      <w:color w:val="000000"/>
      <w:lang w:val="en-US" w:bidi="en-US"/>
    </w:rPr>
  </w:style>
  <w:style w:type="character" w:customStyle="1" w:styleId="Grillecouleur-Accent3Car">
    <w:name w:val="Grille couleur - Accent 3 Car"/>
    <w:link w:val="Grillecouleur-Accent3"/>
    <w:uiPriority w:val="30"/>
    <w:rsid w:val="000676A1"/>
    <w:rPr>
      <w:rFonts w:ascii="Calibri" w:eastAsia="Times New Roman" w:hAnsi="Calibri" w:cs="Times New Roman"/>
      <w:b/>
      <w:bCs/>
      <w:i/>
      <w:iCs/>
      <w:color w:val="4F81BD"/>
      <w:lang w:val="en-US" w:bidi="en-US"/>
    </w:rPr>
  </w:style>
  <w:style w:type="character" w:customStyle="1" w:styleId="Titredocument">
    <w:name w:val="Titre document"/>
    <w:uiPriority w:val="19"/>
    <w:qFormat/>
    <w:rsid w:val="000676A1"/>
    <w:rPr>
      <w:i/>
      <w:iCs/>
      <w:color w:val="808080"/>
    </w:rPr>
  </w:style>
  <w:style w:type="paragraph" w:customStyle="1" w:styleId="Normal4">
    <w:name w:val="Normal4"/>
    <w:basedOn w:val="Normal"/>
    <w:uiPriority w:val="99"/>
    <w:rsid w:val="000676A1"/>
    <w:pPr>
      <w:spacing w:before="100" w:beforeAutospacing="1" w:after="100" w:afterAutospacing="1" w:line="210" w:lineRule="atLeast"/>
    </w:pPr>
    <w:rPr>
      <w:rFonts w:ascii="Verdana" w:eastAsia="Times New Roman" w:hAnsi="Verdana" w:cs="Verdana"/>
      <w:color w:val="000000"/>
      <w:sz w:val="24"/>
      <w:szCs w:val="24"/>
      <w:lang w:val="en-US"/>
      <w14:ligatures w14:val="standardContextual"/>
    </w:rPr>
  </w:style>
  <w:style w:type="paragraph" w:customStyle="1" w:styleId="corpsdetexte1">
    <w:name w:val="corpsdetexte"/>
    <w:basedOn w:val="Normal"/>
    <w:uiPriority w:val="99"/>
    <w:rsid w:val="000676A1"/>
    <w:pPr>
      <w:spacing w:before="100" w:beforeAutospacing="1" w:after="100" w:afterAutospacing="1" w:line="240" w:lineRule="auto"/>
    </w:pPr>
    <w:rPr>
      <w:rFonts w:ascii="Times New Roman" w:eastAsia="Times New Roman" w:hAnsi="Times New Roman"/>
      <w:sz w:val="24"/>
      <w:szCs w:val="24"/>
      <w:lang w:val="en-US"/>
      <w14:ligatures w14:val="standardContextual"/>
    </w:rPr>
  </w:style>
  <w:style w:type="table" w:styleId="Listemoyenne2-Accent4">
    <w:name w:val="Medium List 2 Accent 4"/>
    <w:basedOn w:val="TableauNormal"/>
    <w:uiPriority w:val="34"/>
    <w:rsid w:val="000676A1"/>
    <w:pPr>
      <w:spacing w:after="0" w:line="240" w:lineRule="auto"/>
    </w:pPr>
    <w:rPr>
      <w:rFonts w:ascii="Times New Roman" w:eastAsia="Times New Roman" w:hAnsi="Times New Roman"/>
      <w:sz w:val="24"/>
      <w:szCs w:val="24"/>
      <w14:ligatures w14:val="standardContextu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ydpccf0499dfontstyle0">
    <w:name w:val="ydpccf0499dfontstyle0"/>
    <w:rsid w:val="000676A1"/>
  </w:style>
  <w:style w:type="character" w:customStyle="1" w:styleId="fontstyle11">
    <w:name w:val="fontstyle11"/>
    <w:rsid w:val="000676A1"/>
    <w:rPr>
      <w:rFonts w:ascii="Frutiger-Roman" w:hAnsi="Frutiger-Roman" w:hint="default"/>
      <w:b w:val="0"/>
      <w:bCs w:val="0"/>
      <w:i w:val="0"/>
      <w:iCs w:val="0"/>
      <w:color w:val="231F20"/>
      <w:sz w:val="22"/>
      <w:szCs w:val="22"/>
    </w:rPr>
  </w:style>
  <w:style w:type="table" w:styleId="Listecouleur-Accent3">
    <w:name w:val="Colorful List Accent 3"/>
    <w:basedOn w:val="TableauNormal"/>
    <w:link w:val="Listecouleur-Accent3Car"/>
    <w:uiPriority w:val="29"/>
    <w:rsid w:val="000676A1"/>
    <w:pPr>
      <w:spacing w:after="0" w:line="240" w:lineRule="auto"/>
    </w:pPr>
    <w:rPr>
      <w:rFonts w:ascii="Calibri" w:eastAsia="Times New Roman" w:hAnsi="Calibri" w:cs="Times New Roman"/>
      <w:i/>
      <w:iCs/>
      <w:color w:val="000000"/>
      <w:lang w:val="en-US" w:bidi="en-US"/>
    </w:rPr>
    <w:tblPr>
      <w:tblStyleRowBandSize w:val="1"/>
      <w:tblStyleColBandSize w:val="1"/>
    </w:tblPr>
    <w:tcPr>
      <w:shd w:val="clear" w:color="auto" w:fill="F5F8EE"/>
    </w:tcPr>
    <w:tblStylePr w:type="firstRow">
      <w:tblPr/>
      <w:tcPr>
        <w:tcBorders>
          <w:bottom w:val="single" w:sz="12" w:space="0" w:color="FFFFFF"/>
        </w:tcBorders>
        <w:shd w:val="clear" w:color="auto" w:fill="664E8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Grillecouleur-Accent3">
    <w:name w:val="Colorful Grid Accent 3"/>
    <w:basedOn w:val="TableauNormal"/>
    <w:link w:val="Grillecouleur-Accent3Car"/>
    <w:uiPriority w:val="30"/>
    <w:rsid w:val="000676A1"/>
    <w:pPr>
      <w:spacing w:after="0" w:line="240" w:lineRule="auto"/>
    </w:pPr>
    <w:rPr>
      <w:rFonts w:ascii="Calibri" w:eastAsia="Times New Roman" w:hAnsi="Calibri" w:cs="Times New Roman"/>
      <w:b/>
      <w:bCs/>
      <w:i/>
      <w:iCs/>
      <w:color w:val="4F81BD"/>
      <w:lang w:val="en-US" w:bidi="en-US"/>
    </w:rPr>
    <w:tblPr>
      <w:tblStyleRowBandSize w:val="1"/>
      <w:tblStyleColBandSize w:val="1"/>
      <w:tblBorders>
        <w:insideH w:val="single" w:sz="4" w:space="0" w:color="FFFFFF"/>
      </w:tblBorders>
    </w:tblPr>
    <w:tcPr>
      <w:shd w:val="clear" w:color="auto" w:fill="EAF1DD"/>
    </w:tcPr>
    <w:tblStylePr w:type="firstRow">
      <w:tblPr/>
      <w:tcPr>
        <w:shd w:val="clear" w:color="auto" w:fill="D6E3BC"/>
      </w:tcPr>
    </w:tblStylePr>
    <w:tblStylePr w:type="lastRow">
      <w:tblPr/>
      <w:tcPr>
        <w:shd w:val="clear" w:color="auto" w:fill="D6E3BC"/>
      </w:tcPr>
    </w:tblStylePr>
    <w:tblStylePr w:type="firstCol">
      <w:tblPr/>
      <w:tcPr>
        <w:shd w:val="clear" w:color="auto" w:fill="76923C"/>
      </w:tcPr>
    </w:tblStylePr>
    <w:tblStylePr w:type="lastCol">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paragraph" w:customStyle="1" w:styleId="bleu">
    <w:name w:val="bleu"/>
    <w:basedOn w:val="Normal"/>
    <w:rsid w:val="000676A1"/>
    <w:pPr>
      <w:spacing w:before="100" w:beforeAutospacing="1" w:after="100" w:afterAutospacing="1" w:line="240" w:lineRule="auto"/>
      <w:jc w:val="both"/>
    </w:pPr>
    <w:rPr>
      <w:rFonts w:ascii="Times New Roman" w:eastAsia="Times New Roman" w:hAnsi="Times New Roman"/>
      <w:sz w:val="24"/>
      <w:szCs w:val="24"/>
      <w:lang w:eastAsia="fr-FR"/>
      <w14:ligatures w14:val="standardContextual"/>
    </w:rPr>
  </w:style>
  <w:style w:type="character" w:customStyle="1" w:styleId="textecourant0">
    <w:name w:val="texte_courant"/>
    <w:basedOn w:val="Policepardfaut"/>
    <w:rsid w:val="000676A1"/>
  </w:style>
  <w:style w:type="character" w:customStyle="1" w:styleId="notranslate">
    <w:name w:val="notranslate"/>
    <w:basedOn w:val="Policepardfaut"/>
    <w:rsid w:val="000676A1"/>
  </w:style>
  <w:style w:type="paragraph" w:customStyle="1" w:styleId="bullet0">
    <w:name w:val="bullet"/>
    <w:basedOn w:val="Normal"/>
    <w:rsid w:val="000676A1"/>
    <w:pPr>
      <w:spacing w:before="100" w:beforeAutospacing="1" w:after="100" w:afterAutospacing="1" w:line="240" w:lineRule="auto"/>
    </w:pPr>
    <w:rPr>
      <w:rFonts w:ascii="Times New Roman" w:eastAsia="Times New Roman" w:hAnsi="Times New Roman"/>
      <w:sz w:val="24"/>
      <w:szCs w:val="24"/>
      <w:lang w:eastAsia="fr-FR"/>
      <w14:ligatures w14:val="standardContextual"/>
    </w:rPr>
  </w:style>
  <w:style w:type="paragraph" w:customStyle="1" w:styleId="xl68">
    <w:name w:val="xl68"/>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69">
    <w:name w:val="xl69"/>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70">
    <w:name w:val="xl70"/>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71">
    <w:name w:val="xl71"/>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72">
    <w:name w:val="xl72"/>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73">
    <w:name w:val="xl73"/>
    <w:basedOn w:val="Normal"/>
    <w:rsid w:val="000676A1"/>
    <w:pPr>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74">
    <w:name w:val="xl74"/>
    <w:basedOn w:val="Normal"/>
    <w:rsid w:val="000676A1"/>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75">
    <w:name w:val="xl75"/>
    <w:basedOn w:val="Normal"/>
    <w:rsid w:val="000676A1"/>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76">
    <w:name w:val="xl76"/>
    <w:basedOn w:val="Normal"/>
    <w:rsid w:val="000676A1"/>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77">
    <w:name w:val="xl77"/>
    <w:basedOn w:val="Normal"/>
    <w:rsid w:val="000676A1"/>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78">
    <w:name w:val="xl78"/>
    <w:basedOn w:val="Normal"/>
    <w:rsid w:val="000676A1"/>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79">
    <w:name w:val="xl79"/>
    <w:basedOn w:val="Normal"/>
    <w:rsid w:val="000676A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80">
    <w:name w:val="xl80"/>
    <w:basedOn w:val="Normal"/>
    <w:rsid w:val="000676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81">
    <w:name w:val="xl81"/>
    <w:basedOn w:val="Normal"/>
    <w:rsid w:val="000676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82">
    <w:name w:val="xl82"/>
    <w:basedOn w:val="Normal"/>
    <w:rsid w:val="000676A1"/>
    <w:pPr>
      <w:shd w:val="clear" w:color="auto" w:fill="FFFFFF"/>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83">
    <w:name w:val="xl83"/>
    <w:basedOn w:val="Normal"/>
    <w:uiPriority w:val="99"/>
    <w:rsid w:val="000676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84">
    <w:name w:val="xl84"/>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85">
    <w:name w:val="xl85"/>
    <w:basedOn w:val="Normal"/>
    <w:rsid w:val="000676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86">
    <w:name w:val="xl86"/>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fr-FR"/>
      <w14:ligatures w14:val="standardContextual"/>
    </w:rPr>
  </w:style>
  <w:style w:type="paragraph" w:customStyle="1" w:styleId="xl87">
    <w:name w:val="xl87"/>
    <w:basedOn w:val="Normal"/>
    <w:rsid w:val="000676A1"/>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line="240" w:lineRule="auto"/>
    </w:pPr>
    <w:rPr>
      <w:rFonts w:ascii="Times New Roman" w:eastAsia="Times New Roman" w:hAnsi="Times New Roman"/>
      <w:b/>
      <w:bCs/>
      <w:sz w:val="24"/>
      <w:szCs w:val="24"/>
      <w:lang w:eastAsia="fr-FR"/>
      <w14:ligatures w14:val="standardContextual"/>
    </w:rPr>
  </w:style>
  <w:style w:type="paragraph" w:customStyle="1" w:styleId="xl88">
    <w:name w:val="xl88"/>
    <w:basedOn w:val="Normal"/>
    <w:rsid w:val="000676A1"/>
    <w:pPr>
      <w:pBdr>
        <w:top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89">
    <w:name w:val="xl89"/>
    <w:basedOn w:val="Normal"/>
    <w:rsid w:val="000676A1"/>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90">
    <w:name w:val="xl90"/>
    <w:basedOn w:val="Normal"/>
    <w:rsid w:val="000676A1"/>
    <w:pPr>
      <w:pBdr>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91">
    <w:name w:val="xl91"/>
    <w:basedOn w:val="Normal"/>
    <w:rsid w:val="000676A1"/>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92">
    <w:name w:val="xl92"/>
    <w:basedOn w:val="Normal"/>
    <w:rsid w:val="000676A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93">
    <w:name w:val="xl93"/>
    <w:basedOn w:val="Normal"/>
    <w:rsid w:val="000676A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94">
    <w:name w:val="xl94"/>
    <w:basedOn w:val="Normal"/>
    <w:rsid w:val="000676A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95">
    <w:name w:val="xl95"/>
    <w:basedOn w:val="Normal"/>
    <w:rsid w:val="000676A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96">
    <w:name w:val="xl96"/>
    <w:basedOn w:val="Normal"/>
    <w:rsid w:val="000676A1"/>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97">
    <w:name w:val="xl97"/>
    <w:basedOn w:val="Normal"/>
    <w:rsid w:val="000676A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98">
    <w:name w:val="xl98"/>
    <w:basedOn w:val="Normal"/>
    <w:rsid w:val="000676A1"/>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99">
    <w:name w:val="xl99"/>
    <w:basedOn w:val="Normal"/>
    <w:rsid w:val="000676A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100">
    <w:name w:val="xl100"/>
    <w:basedOn w:val="Normal"/>
    <w:rsid w:val="000676A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101">
    <w:name w:val="xl101"/>
    <w:basedOn w:val="Normal"/>
    <w:rsid w:val="000676A1"/>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102">
    <w:name w:val="xl102"/>
    <w:basedOn w:val="Normal"/>
    <w:rsid w:val="000676A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103">
    <w:name w:val="xl103"/>
    <w:basedOn w:val="Normal"/>
    <w:rsid w:val="000676A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104">
    <w:name w:val="xl104"/>
    <w:basedOn w:val="Normal"/>
    <w:rsid w:val="000676A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105">
    <w:name w:val="xl105"/>
    <w:basedOn w:val="Normal"/>
    <w:rsid w:val="000676A1"/>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106">
    <w:name w:val="xl106"/>
    <w:basedOn w:val="Normal"/>
    <w:rsid w:val="000676A1"/>
    <w:pPr>
      <w:pBdr>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107">
    <w:name w:val="xl107"/>
    <w:basedOn w:val="Normal"/>
    <w:rsid w:val="000676A1"/>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108">
    <w:name w:val="xl108"/>
    <w:basedOn w:val="Normal"/>
    <w:rsid w:val="000676A1"/>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109">
    <w:name w:val="xl109"/>
    <w:basedOn w:val="Normal"/>
    <w:rsid w:val="000676A1"/>
    <w:pPr>
      <w:pBdr>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110">
    <w:name w:val="xl110"/>
    <w:basedOn w:val="Normal"/>
    <w:rsid w:val="000676A1"/>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111">
    <w:name w:val="xl111"/>
    <w:basedOn w:val="Normal"/>
    <w:rsid w:val="000676A1"/>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112">
    <w:name w:val="xl112"/>
    <w:basedOn w:val="Normal"/>
    <w:rsid w:val="000676A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113">
    <w:name w:val="xl113"/>
    <w:basedOn w:val="Normal"/>
    <w:rsid w:val="000676A1"/>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114">
    <w:name w:val="xl114"/>
    <w:basedOn w:val="Normal"/>
    <w:rsid w:val="000676A1"/>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115">
    <w:name w:val="xl115"/>
    <w:basedOn w:val="Normal"/>
    <w:rsid w:val="000676A1"/>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116">
    <w:name w:val="xl116"/>
    <w:basedOn w:val="Normal"/>
    <w:rsid w:val="000676A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117">
    <w:name w:val="xl117"/>
    <w:basedOn w:val="Normal"/>
    <w:rsid w:val="000676A1"/>
    <w:pPr>
      <w:pBdr>
        <w:top w:val="single" w:sz="4" w:space="0" w:color="auto"/>
      </w:pBdr>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118">
    <w:name w:val="xl118"/>
    <w:basedOn w:val="Normal"/>
    <w:rsid w:val="000676A1"/>
    <w:pPr>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119">
    <w:name w:val="xl119"/>
    <w:basedOn w:val="Normal"/>
    <w:rsid w:val="000676A1"/>
    <w:pPr>
      <w:pBdr>
        <w:bottom w:val="single" w:sz="4" w:space="0" w:color="auto"/>
      </w:pBdr>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120">
    <w:name w:val="xl120"/>
    <w:basedOn w:val="Normal"/>
    <w:rsid w:val="000676A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121">
    <w:name w:val="xl121"/>
    <w:basedOn w:val="Normal"/>
    <w:rsid w:val="000676A1"/>
    <w:pPr>
      <w:pBdr>
        <w:left w:val="single" w:sz="4" w:space="0" w:color="auto"/>
      </w:pBdr>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122">
    <w:name w:val="xl122"/>
    <w:basedOn w:val="Normal"/>
    <w:rsid w:val="000676A1"/>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123">
    <w:name w:val="xl123"/>
    <w:basedOn w:val="Normal"/>
    <w:rsid w:val="000676A1"/>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124">
    <w:name w:val="xl124"/>
    <w:basedOn w:val="Normal"/>
    <w:rsid w:val="000676A1"/>
    <w:pPr>
      <w:pBdr>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125">
    <w:name w:val="xl125"/>
    <w:basedOn w:val="Normal"/>
    <w:rsid w:val="000676A1"/>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126">
    <w:name w:val="xl126"/>
    <w:basedOn w:val="Normal"/>
    <w:rsid w:val="000676A1"/>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127">
    <w:name w:val="xl127"/>
    <w:basedOn w:val="Normal"/>
    <w:rsid w:val="000676A1"/>
    <w:pPr>
      <w:pBdr>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128">
    <w:name w:val="xl128"/>
    <w:basedOn w:val="Normal"/>
    <w:rsid w:val="000676A1"/>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129">
    <w:name w:val="xl129"/>
    <w:basedOn w:val="Normal"/>
    <w:rsid w:val="000676A1"/>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130">
    <w:name w:val="xl130"/>
    <w:basedOn w:val="Normal"/>
    <w:rsid w:val="000676A1"/>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14:ligatures w14:val="standardContextual"/>
    </w:rPr>
  </w:style>
  <w:style w:type="paragraph" w:customStyle="1" w:styleId="xl131">
    <w:name w:val="xl131"/>
    <w:basedOn w:val="Normal"/>
    <w:rsid w:val="000676A1"/>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132">
    <w:name w:val="xl132"/>
    <w:basedOn w:val="Normal"/>
    <w:rsid w:val="000676A1"/>
    <w:pPr>
      <w:pBdr>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paragraph" w:customStyle="1" w:styleId="xl133">
    <w:name w:val="xl133"/>
    <w:basedOn w:val="Normal"/>
    <w:rsid w:val="000676A1"/>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sz w:val="20"/>
      <w:szCs w:val="20"/>
      <w:lang w:eastAsia="fr-FR"/>
      <w14:ligatures w14:val="standardContextual"/>
    </w:rPr>
  </w:style>
  <w:style w:type="character" w:customStyle="1" w:styleId="exergue">
    <w:name w:val="exergue"/>
    <w:basedOn w:val="Policepardfaut"/>
    <w:rsid w:val="000676A1"/>
  </w:style>
  <w:style w:type="table" w:styleId="Ombrageclair">
    <w:name w:val="Light Shading"/>
    <w:basedOn w:val="TableauNormal"/>
    <w:uiPriority w:val="60"/>
    <w:rsid w:val="000676A1"/>
    <w:pPr>
      <w:spacing w:after="0" w:line="240" w:lineRule="auto"/>
    </w:pPr>
    <w:rPr>
      <w:rFonts w:ascii="Calibri" w:eastAsia="Calibri" w:hAnsi="Calibri" w:cs="Times New Roman"/>
      <w:color w:val="000000"/>
      <w:sz w:val="20"/>
      <w:szCs w:val="20"/>
      <w:lang w:val="fr-SN" w:eastAsia="fr-FR"/>
      <w14:ligatures w14:val="standardContextual"/>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steclaire-Accent1">
    <w:name w:val="Light List Accent 1"/>
    <w:basedOn w:val="TableauNormal"/>
    <w:uiPriority w:val="61"/>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5">
    <w:name w:val="Light List Accent 5"/>
    <w:basedOn w:val="TableauNormal"/>
    <w:uiPriority w:val="61"/>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Aucuneliste111">
    <w:name w:val="Aucune liste111"/>
    <w:next w:val="Aucuneliste"/>
    <w:uiPriority w:val="99"/>
    <w:semiHidden/>
    <w:unhideWhenUsed/>
    <w:rsid w:val="000676A1"/>
  </w:style>
  <w:style w:type="paragraph" w:customStyle="1" w:styleId="Listepuces1">
    <w:name w:val="Liste à puces1"/>
    <w:basedOn w:val="Normal"/>
    <w:next w:val="Listepuces"/>
    <w:uiPriority w:val="99"/>
    <w:unhideWhenUsed/>
    <w:qFormat/>
    <w:rsid w:val="000676A1"/>
    <w:pPr>
      <w:tabs>
        <w:tab w:val="num" w:pos="720"/>
      </w:tabs>
      <w:spacing w:before="120" w:after="0" w:line="271" w:lineRule="auto"/>
      <w:ind w:left="720" w:hanging="360"/>
    </w:pPr>
    <w:rPr>
      <w:rFonts w:ascii="Arial" w:eastAsia="Times New Roman" w:hAnsi="Arial" w:cs="Arial"/>
      <w:color w:val="000000"/>
      <w:sz w:val="24"/>
      <w:szCs w:val="24"/>
      <w:lang w:val="en-GB" w:eastAsia="en-GB"/>
      <w14:ligatures w14:val="standardContextual"/>
    </w:rPr>
  </w:style>
  <w:style w:type="paragraph" w:customStyle="1" w:styleId="Listepuces21">
    <w:name w:val="Liste à puces 21"/>
    <w:basedOn w:val="Normal"/>
    <w:next w:val="Listepuces2"/>
    <w:uiPriority w:val="99"/>
    <w:unhideWhenUsed/>
    <w:rsid w:val="000676A1"/>
    <w:pPr>
      <w:tabs>
        <w:tab w:val="num" w:pos="1440"/>
      </w:tabs>
      <w:spacing w:before="80" w:after="0" w:line="271" w:lineRule="auto"/>
      <w:ind w:left="1440" w:hanging="360"/>
    </w:pPr>
    <w:rPr>
      <w:rFonts w:ascii="Arial" w:eastAsia="Times New Roman" w:hAnsi="Arial" w:cs="Arial"/>
      <w:color w:val="000000"/>
      <w:sz w:val="24"/>
      <w:szCs w:val="24"/>
      <w:lang w:val="en-GB" w:eastAsia="en-GB"/>
      <w14:ligatures w14:val="standardContextual"/>
    </w:rPr>
  </w:style>
  <w:style w:type="paragraph" w:customStyle="1" w:styleId="Listepuces31">
    <w:name w:val="Liste à puces 31"/>
    <w:basedOn w:val="Normal"/>
    <w:next w:val="Listepuces3"/>
    <w:unhideWhenUsed/>
    <w:rsid w:val="000676A1"/>
    <w:pPr>
      <w:tabs>
        <w:tab w:val="num" w:pos="2160"/>
      </w:tabs>
      <w:spacing w:before="80" w:after="0" w:line="302" w:lineRule="auto"/>
      <w:ind w:left="2160" w:hanging="360"/>
    </w:pPr>
    <w:rPr>
      <w:rFonts w:ascii="Arial" w:eastAsia="Times New Roman" w:hAnsi="Arial" w:cs="Arial"/>
      <w:color w:val="000000"/>
      <w:sz w:val="18"/>
      <w:szCs w:val="24"/>
      <w:lang w:val="en-GB" w:eastAsia="en-GB"/>
      <w14:ligatures w14:val="standardContextual"/>
    </w:rPr>
  </w:style>
  <w:style w:type="paragraph" w:customStyle="1" w:styleId="Retraitcorpsdetexte21">
    <w:name w:val="Retrait corps de texte 21"/>
    <w:basedOn w:val="Normal"/>
    <w:next w:val="Retraitcorpsdetexte2"/>
    <w:unhideWhenUsed/>
    <w:rsid w:val="000676A1"/>
    <w:pPr>
      <w:spacing w:after="120" w:line="480" w:lineRule="auto"/>
      <w:ind w:left="283"/>
    </w:pPr>
    <w:rPr>
      <w:rFonts w:eastAsia="Times New Roman"/>
      <w:sz w:val="24"/>
      <w:szCs w:val="24"/>
      <w:lang w:val="en-GB" w:eastAsia="fr-FR"/>
      <w14:ligatures w14:val="standardContextual"/>
    </w:rPr>
  </w:style>
  <w:style w:type="table" w:customStyle="1" w:styleId="TableauGrille211">
    <w:name w:val="Tableau Grille 211"/>
    <w:basedOn w:val="TableauNormal"/>
    <w:uiPriority w:val="47"/>
    <w:rsid w:val="000676A1"/>
    <w:pPr>
      <w:spacing w:after="0" w:line="240" w:lineRule="auto"/>
    </w:pPr>
    <w:rPr>
      <w:rFonts w:ascii="Calibri" w:eastAsia="Times New Roman" w:hAnsi="Calibri" w:cs="Times New Roman"/>
      <w:sz w:val="24"/>
      <w:szCs w:val="24"/>
      <w:lang w:val="fr-SN" w:eastAsia="fr-FR"/>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Aucuneliste1111">
    <w:name w:val="Aucune liste1111"/>
    <w:next w:val="Aucuneliste"/>
    <w:uiPriority w:val="99"/>
    <w:semiHidden/>
    <w:unhideWhenUsed/>
    <w:rsid w:val="000676A1"/>
  </w:style>
  <w:style w:type="character" w:customStyle="1" w:styleId="Retraitcorpsdetexte2Car2">
    <w:name w:val="Retrait corps de texte 2 Car2"/>
    <w:uiPriority w:val="99"/>
    <w:semiHidden/>
    <w:rsid w:val="000676A1"/>
    <w:rPr>
      <w:rFonts w:cs="Times New Roman"/>
      <w:lang w:val="en-US" w:bidi="en-US"/>
    </w:rPr>
  </w:style>
  <w:style w:type="table" w:customStyle="1" w:styleId="TableauGrille1Clair-Accentuation111">
    <w:name w:val="Tableau Grille 1 Clair - Accentuation 111"/>
    <w:basedOn w:val="TableauNormal"/>
    <w:uiPriority w:val="46"/>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TableauGrille2">
    <w:name w:val="Grid Table 2"/>
    <w:basedOn w:val="TableauNormal"/>
    <w:rsid w:val="000676A1"/>
    <w:pPr>
      <w:spacing w:after="0" w:line="240" w:lineRule="auto"/>
    </w:pPr>
    <w:rPr>
      <w:rFonts w:ascii="Times New Roman" w:eastAsia="SimSun" w:hAnsi="Times New Roman" w:cs="Times New Roman"/>
      <w:sz w:val="20"/>
      <w:szCs w:val="20"/>
      <w:lang w:val="fr-SN" w:eastAsia="fr-FR"/>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1Clair-Accentuation12">
    <w:name w:val="Tableau Grille 1 Clair - Accentuation 12"/>
    <w:basedOn w:val="TableauNormal"/>
    <w:uiPriority w:val="46"/>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auGrille42">
    <w:name w:val="Tableau Grille 42"/>
    <w:basedOn w:val="TableauNormal"/>
    <w:uiPriority w:val="49"/>
    <w:rsid w:val="000676A1"/>
    <w:pPr>
      <w:spacing w:after="0" w:line="240" w:lineRule="auto"/>
    </w:pPr>
    <w:rPr>
      <w:rFonts w:ascii="Times New Roman" w:eastAsia="SimSun" w:hAnsi="Times New Roman" w:cs="Times New Roman"/>
      <w:sz w:val="24"/>
      <w:szCs w:val="24"/>
      <w:lang w:val="fr-SN" w:eastAsia="fr-FR"/>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Grillemoyenne1-Accent4Car">
    <w:name w:val="Grille moyenne 1 - Accent 4 Car"/>
    <w:link w:val="Grillemoyenne1-Accent4"/>
    <w:uiPriority w:val="29"/>
    <w:rsid w:val="000676A1"/>
    <w:rPr>
      <w:rFonts w:ascii="Calibri" w:eastAsia="Times New Roman" w:hAnsi="Calibri" w:cs="Times New Roman"/>
      <w:i/>
      <w:iCs/>
      <w:color w:val="000000"/>
      <w:lang w:val="en-US" w:bidi="en-US"/>
    </w:rPr>
  </w:style>
  <w:style w:type="table" w:styleId="Grillemoyenne1-Accent4">
    <w:name w:val="Medium Grid 1 Accent 4"/>
    <w:basedOn w:val="TableauNormal"/>
    <w:link w:val="Grillemoyenne1-Accent4Car"/>
    <w:uiPriority w:val="29"/>
    <w:rsid w:val="000676A1"/>
    <w:pPr>
      <w:spacing w:after="0" w:line="240" w:lineRule="auto"/>
    </w:pPr>
    <w:rPr>
      <w:rFonts w:ascii="Calibri" w:eastAsia="Times New Roman" w:hAnsi="Calibri" w:cs="Times New Roman"/>
      <w:i/>
      <w:iCs/>
      <w:color w:val="000000"/>
      <w:lang w:val="en-US" w:bidi="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lastRow">
      <w:tblPr/>
      <w:tcPr>
        <w:tcBorders>
          <w:top w:val="single" w:sz="18" w:space="0" w:color="9F8AB9"/>
        </w:tcBorders>
      </w:tcPr>
    </w:tblStylePr>
    <w:tblStylePr w:type="band1Vert">
      <w:tblPr/>
      <w:tcPr>
        <w:shd w:val="clear" w:color="auto" w:fill="BFB1D0"/>
      </w:tcPr>
    </w:tblStylePr>
    <w:tblStylePr w:type="band1Horz">
      <w:tblPr/>
      <w:tcPr>
        <w:shd w:val="clear" w:color="auto" w:fill="BFB1D0"/>
      </w:tcPr>
    </w:tblStylePr>
  </w:style>
  <w:style w:type="table" w:styleId="Grillemoyenne2-Accent4">
    <w:name w:val="Medium Grid 2 Accent 4"/>
    <w:basedOn w:val="TableauNormal"/>
    <w:uiPriority w:val="30"/>
    <w:rsid w:val="000676A1"/>
    <w:pPr>
      <w:spacing w:after="0" w:line="240" w:lineRule="auto"/>
    </w:pPr>
    <w:rPr>
      <w:rFonts w:ascii="Calibri" w:eastAsia="Times New Roman" w:hAnsi="Calibri" w:cs="Times New Roman"/>
      <w:b/>
      <w:bCs/>
      <w:i/>
      <w:iCs/>
      <w:color w:val="4F81BD"/>
      <w:kern w:val="2"/>
      <w:lang w:val="en-US" w:bidi="en-US"/>
      <w14:ligatures w14:val="standardContextu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tblPr/>
      <w:tcPr>
        <w:shd w:val="clear" w:color="auto" w:fill="F2EFF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paragraph" w:customStyle="1" w:styleId="TEXTE2">
    <w:name w:val="TEXTE"/>
    <w:basedOn w:val="Normal"/>
    <w:rsid w:val="000676A1"/>
    <w:pPr>
      <w:spacing w:after="0" w:line="240" w:lineRule="auto"/>
      <w:ind w:left="567"/>
      <w:jc w:val="both"/>
    </w:pPr>
    <w:rPr>
      <w:rFonts w:ascii="Times New Roman" w:eastAsia="Times New Roman" w:hAnsi="Times New Roman"/>
      <w:lang w:eastAsia="fr-FR"/>
      <w14:ligatures w14:val="standardContextual"/>
    </w:rPr>
  </w:style>
  <w:style w:type="paragraph" w:customStyle="1" w:styleId="Niveau1">
    <w:name w:val="Niveau1"/>
    <w:basedOn w:val="Normal"/>
    <w:rsid w:val="000676A1"/>
    <w:pPr>
      <w:numPr>
        <w:numId w:val="237"/>
      </w:numPr>
      <w:spacing w:after="0" w:line="240" w:lineRule="auto"/>
    </w:pPr>
    <w:rPr>
      <w:rFonts w:ascii="CG Times" w:eastAsia="Times New Roman" w:hAnsi="CG Times"/>
      <w:b/>
      <w:sz w:val="24"/>
      <w:szCs w:val="24"/>
      <w14:ligatures w14:val="standardContextual"/>
    </w:rPr>
  </w:style>
  <w:style w:type="paragraph" w:customStyle="1" w:styleId="Niveau2">
    <w:name w:val="Niveau 2"/>
    <w:basedOn w:val="Corpsdetexte2"/>
    <w:rsid w:val="000676A1"/>
    <w:pPr>
      <w:widowControl w:val="0"/>
      <w:numPr>
        <w:ilvl w:val="1"/>
        <w:numId w:val="237"/>
      </w:numPr>
      <w:tabs>
        <w:tab w:val="clear" w:pos="720"/>
      </w:tabs>
      <w:spacing w:after="120" w:line="480" w:lineRule="auto"/>
      <w:ind w:left="2160" w:hanging="360"/>
      <w:jc w:val="left"/>
    </w:pPr>
    <w:rPr>
      <w:rFonts w:ascii="Courier New" w:eastAsia="Times New Roman" w:hAnsi="Courier New" w:cs="Courier New"/>
      <w:snapToGrid w:val="0"/>
      <w:sz w:val="20"/>
      <w:szCs w:val="24"/>
      <w:lang w:val="en-US"/>
      <w14:ligatures w14:val="standardContextual"/>
    </w:rPr>
  </w:style>
  <w:style w:type="character" w:customStyle="1" w:styleId="Tramemoyenne1-Accent2Car">
    <w:name w:val="Trame moyenne 1 - Accent 2 Car"/>
    <w:link w:val="Tramemoyenne1-Accent2"/>
    <w:uiPriority w:val="1"/>
    <w:rsid w:val="000676A1"/>
    <w:rPr>
      <w:rFonts w:ascii="Times New Roman" w:eastAsia="Times New Roman" w:hAnsi="Times New Roman"/>
      <w:sz w:val="24"/>
      <w:szCs w:val="24"/>
      <w:lang w:val="en-US" w:eastAsia="en-US"/>
    </w:rPr>
  </w:style>
  <w:style w:type="table" w:styleId="Tableausimple4">
    <w:name w:val="Plain Table 4"/>
    <w:basedOn w:val="TableauNormal"/>
    <w:uiPriority w:val="21"/>
    <w:qFormat/>
    <w:rsid w:val="000676A1"/>
    <w:pPr>
      <w:spacing w:after="0" w:line="240" w:lineRule="auto"/>
    </w:pPr>
    <w:rPr>
      <w:rFonts w:ascii="Cambria" w:eastAsia="Cambria" w:hAnsi="Cambria" w:cs="Times New Roman"/>
      <w:lang w:val="fr-SN"/>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S Mincho" w:eastAsia="Batang" w:hAnsi="MS Mincho"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S Mincho" w:eastAsia="Batang" w:hAnsi="MS Mincho"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S Mincho" w:eastAsia="Batang" w:hAnsi="MS Mincho" w:cs="Times New Roman"/>
        <w:b/>
        <w:bCs/>
      </w:rPr>
    </w:tblStylePr>
    <w:tblStylePr w:type="lastCol">
      <w:rPr>
        <w:rFonts w:ascii="MS Mincho" w:eastAsia="Batang" w:hAnsi="MS Mincho"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Tableausimple3">
    <w:name w:val="Plain Table 3"/>
    <w:basedOn w:val="TableauNormal"/>
    <w:uiPriority w:val="61"/>
    <w:qFormat/>
    <w:rsid w:val="000676A1"/>
    <w:pPr>
      <w:spacing w:after="0" w:line="240" w:lineRule="auto"/>
    </w:pPr>
    <w:rPr>
      <w:rFonts w:ascii="Cambria" w:eastAsia="Cambria" w:hAnsi="Cambria" w:cs="Times New Roman"/>
      <w:lang w:val="fr-SN"/>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Tableausimple5">
    <w:name w:val="Plain Table 5"/>
    <w:basedOn w:val="TableauNormal"/>
    <w:uiPriority w:val="63"/>
    <w:qFormat/>
    <w:rsid w:val="000676A1"/>
    <w:pPr>
      <w:spacing w:after="0" w:line="240" w:lineRule="auto"/>
    </w:pPr>
    <w:rPr>
      <w:rFonts w:ascii="Cambria" w:eastAsia="Cambria" w:hAnsi="Cambria" w:cs="Times New Roman"/>
      <w:lang w:val="fr-SN"/>
      <w14:ligatures w14:val="standardContextua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rvts11">
    <w:name w:val="rvts11"/>
    <w:rsid w:val="000676A1"/>
  </w:style>
  <w:style w:type="character" w:customStyle="1" w:styleId="Accentuationdiscrte">
    <w:name w:val="Accentuation discrète"/>
    <w:uiPriority w:val="19"/>
    <w:qFormat/>
    <w:rsid w:val="000676A1"/>
    <w:rPr>
      <w:i/>
      <w:iCs/>
      <w:color w:val="808080"/>
    </w:rPr>
  </w:style>
  <w:style w:type="character" w:customStyle="1" w:styleId="Forteaccentuation">
    <w:name w:val="Forte accentuation"/>
    <w:uiPriority w:val="21"/>
    <w:qFormat/>
    <w:rsid w:val="000676A1"/>
    <w:rPr>
      <w:b/>
      <w:bCs/>
      <w:i/>
      <w:iCs/>
      <w:color w:val="4F81BD"/>
    </w:rPr>
  </w:style>
  <w:style w:type="table" w:styleId="Listemoyenne1-Accent2">
    <w:name w:val="Medium List 1 Accent 2"/>
    <w:basedOn w:val="TableauNormal"/>
    <w:uiPriority w:val="61"/>
    <w:rsid w:val="000676A1"/>
    <w:pPr>
      <w:spacing w:after="0" w:line="240" w:lineRule="auto"/>
    </w:pPr>
    <w:rPr>
      <w:rFonts w:ascii="Cambria" w:eastAsia="Cambria" w:hAnsi="Cambria" w:cs="Times New Roman"/>
      <w:lang w:val="fr-CA"/>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paranumber">
    <w:name w:val="paranumber"/>
    <w:rsid w:val="000676A1"/>
  </w:style>
  <w:style w:type="character" w:customStyle="1" w:styleId="auteurird">
    <w:name w:val="auteurird"/>
    <w:rsid w:val="000676A1"/>
  </w:style>
  <w:style w:type="character" w:customStyle="1" w:styleId="auteurs">
    <w:name w:val="auteurs"/>
    <w:rsid w:val="000676A1"/>
  </w:style>
  <w:style w:type="character" w:customStyle="1" w:styleId="envaleur">
    <w:name w:val="envaleur"/>
    <w:rsid w:val="000676A1"/>
  </w:style>
  <w:style w:type="table" w:customStyle="1" w:styleId="Grille2">
    <w:name w:val="Grille2"/>
    <w:basedOn w:val="TableauNormal"/>
    <w:next w:val="Grilledutableau"/>
    <w:uiPriority w:val="3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3">
    <w:name w:val="Grille3"/>
    <w:basedOn w:val="TableauNormal"/>
    <w:next w:val="Grilledutableau"/>
    <w:uiPriority w:val="3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4-Accentuation6">
    <w:name w:val="Grid Table 4 Accent 6"/>
    <w:basedOn w:val="TableauNormal"/>
    <w:uiPriority w:val="49"/>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ramecouleur-Accent3">
    <w:name w:val="Colorful Shading Accent 3"/>
    <w:basedOn w:val="TableauNormal"/>
    <w:unhideWhenUsed/>
    <w:rsid w:val="000676A1"/>
    <w:pPr>
      <w:spacing w:after="0" w:line="240" w:lineRule="auto"/>
    </w:pPr>
    <w:rPr>
      <w:rFonts w:ascii="Calibri" w:eastAsia="Calibri" w:hAnsi="Calibri" w:cs="Times New Roman"/>
      <w:sz w:val="24"/>
      <w:szCs w:val="24"/>
      <w:lang w:val="fr-SN"/>
      <w14:ligatures w14:val="standardContextual"/>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Tramemoyenne1-Accent2">
    <w:name w:val="Medium Shading 1 Accent 2"/>
    <w:basedOn w:val="TableauNormal"/>
    <w:link w:val="Tramemoyenne1-Accent2Car"/>
    <w:uiPriority w:val="1"/>
    <w:unhideWhenUsed/>
    <w:rsid w:val="000676A1"/>
    <w:pPr>
      <w:spacing w:after="0" w:line="240" w:lineRule="auto"/>
    </w:pPr>
    <w:rPr>
      <w:rFonts w:ascii="Times New Roman" w:eastAsia="Times New Roman" w:hAnsi="Times New Roman"/>
      <w:sz w:val="24"/>
      <w:szCs w:val="24"/>
      <w:lang w:val="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character" w:customStyle="1" w:styleId="yiv4518564287">
    <w:name w:val="yiv4518564287"/>
    <w:basedOn w:val="Policepardfaut"/>
    <w:rsid w:val="000676A1"/>
  </w:style>
  <w:style w:type="paragraph" w:customStyle="1" w:styleId="tramecouleur-accent31">
    <w:name w:val="tramecouleur-accent31"/>
    <w:basedOn w:val="Normal"/>
    <w:rsid w:val="000676A1"/>
    <w:pPr>
      <w:spacing w:before="100" w:beforeAutospacing="1" w:after="100" w:afterAutospacing="1" w:line="240" w:lineRule="auto"/>
    </w:pPr>
    <w:rPr>
      <w:rFonts w:ascii="Times New Roman" w:eastAsia="Times New Roman" w:hAnsi="Times New Roman"/>
      <w:sz w:val="24"/>
      <w:szCs w:val="24"/>
      <w:lang w:val="fr-SN" w:eastAsia="fr-FR"/>
      <w14:ligatures w14:val="standardContextual"/>
    </w:rPr>
  </w:style>
  <w:style w:type="character" w:customStyle="1" w:styleId="A60">
    <w:name w:val="A6"/>
    <w:uiPriority w:val="99"/>
    <w:rsid w:val="000676A1"/>
    <w:rPr>
      <w:rFonts w:cs="Palatino Linotype"/>
      <w:color w:val="000000"/>
      <w:sz w:val="18"/>
      <w:szCs w:val="18"/>
    </w:rPr>
  </w:style>
  <w:style w:type="paragraph" w:customStyle="1" w:styleId="yiv9656881541msonormal">
    <w:name w:val="yiv9656881541msonormal"/>
    <w:basedOn w:val="Normal"/>
    <w:rsid w:val="000676A1"/>
    <w:pPr>
      <w:spacing w:before="100" w:beforeAutospacing="1" w:after="100" w:afterAutospacing="1" w:line="240" w:lineRule="auto"/>
      <w:jc w:val="both"/>
    </w:pPr>
    <w:rPr>
      <w:rFonts w:ascii="Times New Roman" w:eastAsia="Times New Roman" w:hAnsi="Times New Roman"/>
      <w:sz w:val="24"/>
      <w:szCs w:val="24"/>
      <w:lang w:val="en-US"/>
      <w14:ligatures w14:val="standardContextual"/>
    </w:rPr>
  </w:style>
  <w:style w:type="character" w:customStyle="1" w:styleId="CharAttribute0">
    <w:name w:val="CharAttribute0"/>
    <w:rsid w:val="000676A1"/>
    <w:rPr>
      <w:rFonts w:ascii="Times New Roman" w:eastAsia="Times New Roman" w:hAnsi="Times New Roman"/>
      <w:b/>
      <w:color w:val="404040"/>
      <w:sz w:val="32"/>
    </w:rPr>
  </w:style>
  <w:style w:type="paragraph" w:customStyle="1" w:styleId="ParaAttribute1">
    <w:name w:val="ParaAttribute1"/>
    <w:rsid w:val="000676A1"/>
    <w:pPr>
      <w:widowControl w:val="0"/>
      <w:wordWrap w:val="0"/>
      <w:spacing w:after="180" w:line="240" w:lineRule="auto"/>
      <w:jc w:val="both"/>
    </w:pPr>
    <w:rPr>
      <w:rFonts w:ascii="Times New Roman" w:eastAsia="Batang" w:hAnsi="Times New Roman" w:cs="Times New Roman"/>
      <w:sz w:val="20"/>
      <w:szCs w:val="20"/>
      <w:lang w:eastAsia="fr-FR"/>
      <w14:ligatures w14:val="standardContextual"/>
    </w:rPr>
  </w:style>
  <w:style w:type="character" w:customStyle="1" w:styleId="CharAttribute1">
    <w:name w:val="CharAttribute1"/>
    <w:rsid w:val="000676A1"/>
    <w:rPr>
      <w:rFonts w:ascii="Times New Roman" w:eastAsia="Times New Roman" w:hAnsi="Times New Roman"/>
      <w:color w:val="404040"/>
      <w:sz w:val="24"/>
    </w:rPr>
  </w:style>
  <w:style w:type="paragraph" w:customStyle="1" w:styleId="Style1Clauses">
    <w:name w:val="Style1 Clauses"/>
    <w:basedOn w:val="Normal"/>
    <w:link w:val="Style1ClausesCar"/>
    <w:rsid w:val="000676A1"/>
    <w:pPr>
      <w:tabs>
        <w:tab w:val="left" w:pos="259"/>
      </w:tabs>
      <w:spacing w:before="120" w:after="0" w:line="240" w:lineRule="auto"/>
      <w:jc w:val="both"/>
    </w:pPr>
    <w:rPr>
      <w:rFonts w:ascii="Times New Roman" w:eastAsia="Times New Roman" w:hAnsi="Times New Roman"/>
      <w:b/>
      <w:sz w:val="24"/>
      <w:szCs w:val="20"/>
      <w:lang w:val="x-none"/>
      <w14:ligatures w14:val="standardContextual"/>
    </w:rPr>
  </w:style>
  <w:style w:type="character" w:customStyle="1" w:styleId="Style1ClausesCar">
    <w:name w:val="Style1 Clauses Car"/>
    <w:link w:val="Style1Clauses"/>
    <w:rsid w:val="000676A1"/>
    <w:rPr>
      <w:rFonts w:ascii="Times New Roman" w:eastAsia="Times New Roman" w:hAnsi="Times New Roman" w:cs="Times New Roman"/>
      <w:b/>
      <w:sz w:val="24"/>
      <w:szCs w:val="20"/>
      <w:lang w:val="x-none"/>
      <w14:ligatures w14:val="standardContextual"/>
    </w:rPr>
  </w:style>
  <w:style w:type="character" w:customStyle="1" w:styleId="Corpsdutexte">
    <w:name w:val="Corps du texte_"/>
    <w:link w:val="Corpsdutexte0"/>
    <w:uiPriority w:val="99"/>
    <w:rsid w:val="000676A1"/>
    <w:rPr>
      <w:rFonts w:ascii="Arial" w:eastAsia="Arial" w:hAnsi="Arial" w:cs="Arial"/>
      <w:shd w:val="clear" w:color="auto" w:fill="FFFFFF"/>
    </w:rPr>
  </w:style>
  <w:style w:type="paragraph" w:customStyle="1" w:styleId="Corpsdutexte0">
    <w:name w:val="Corps du texte"/>
    <w:basedOn w:val="Normal"/>
    <w:link w:val="Corpsdutexte"/>
    <w:uiPriority w:val="99"/>
    <w:rsid w:val="000676A1"/>
    <w:pPr>
      <w:widowControl w:val="0"/>
      <w:shd w:val="clear" w:color="auto" w:fill="FFFFFF"/>
      <w:spacing w:before="960" w:after="180" w:line="0" w:lineRule="atLeast"/>
      <w:ind w:hanging="360"/>
      <w:jc w:val="both"/>
    </w:pPr>
    <w:rPr>
      <w:rFonts w:ascii="Arial" w:eastAsia="Arial" w:hAnsi="Arial" w:cs="Arial"/>
    </w:rPr>
  </w:style>
  <w:style w:type="paragraph" w:customStyle="1" w:styleId="StyleLgendeGauche25cmPremireligne0cm">
    <w:name w:val="Style Légende + Gauche :  2.5 cm Première ligne : 0 cm"/>
    <w:basedOn w:val="Normal"/>
    <w:rsid w:val="000676A1"/>
    <w:pPr>
      <w:numPr>
        <w:numId w:val="239"/>
      </w:numPr>
      <w:spacing w:before="120" w:after="0" w:line="240" w:lineRule="auto"/>
      <w:jc w:val="both"/>
    </w:pPr>
    <w:rPr>
      <w:rFonts w:ascii="Arial" w:eastAsia="Times" w:hAnsi="Arial"/>
      <w:sz w:val="21"/>
      <w:szCs w:val="20"/>
      <w:lang w:eastAsia="fr-FR"/>
      <w14:ligatures w14:val="standardContextual"/>
    </w:rPr>
  </w:style>
  <w:style w:type="paragraph" w:customStyle="1" w:styleId="StyleStyleLgendeGauche25cmPremireligne0cmLat">
    <w:name w:val="Style Style Légende + Gauche :  2.5 cm Première ligne : 0 cm + (Lat..."/>
    <w:basedOn w:val="StyleLgendeGauche25cmPremireligne0cm"/>
    <w:link w:val="StyleStyleLgendeGauche25cmPremireligne0cmLatCar"/>
    <w:rsid w:val="000676A1"/>
    <w:rPr>
      <w:bCs/>
      <w:sz w:val="18"/>
      <w:lang w:val="x-none" w:eastAsia="x-none"/>
    </w:rPr>
  </w:style>
  <w:style w:type="character" w:customStyle="1" w:styleId="StyleStyleLgendeGauche25cmPremireligne0cmLatCar">
    <w:name w:val="Style Style Légende + Gauche :  2.5 cm Première ligne : 0 cm + (Lat... Car"/>
    <w:link w:val="StyleStyleLgendeGauche25cmPremireligne0cmLat"/>
    <w:rsid w:val="000676A1"/>
    <w:rPr>
      <w:rFonts w:ascii="Arial" w:eastAsia="Times" w:hAnsi="Arial" w:cs="Times New Roman"/>
      <w:bCs/>
      <w:sz w:val="18"/>
      <w:szCs w:val="20"/>
      <w:lang w:val="x-none" w:eastAsia="x-none"/>
      <w14:ligatures w14:val="standardContextual"/>
    </w:rPr>
  </w:style>
  <w:style w:type="paragraph" w:customStyle="1" w:styleId="StyleCorpsdetexteArial11ptNoirJustifiInterligne1">
    <w:name w:val="Style Corps de texte + Arial 11 pt Noir Justifié Interligne : 1..."/>
    <w:basedOn w:val="Corpsdetexte"/>
    <w:rsid w:val="000676A1"/>
    <w:pPr>
      <w:pBdr>
        <w:top w:val="none" w:sz="0" w:space="0" w:color="auto"/>
        <w:left w:val="none" w:sz="0" w:space="0" w:color="auto"/>
        <w:bottom w:val="none" w:sz="0" w:space="0" w:color="auto"/>
        <w:right w:val="none" w:sz="0" w:space="0" w:color="auto"/>
      </w:pBdr>
      <w:shd w:val="clear" w:color="auto" w:fill="auto"/>
      <w:tabs>
        <w:tab w:val="clear" w:pos="4393"/>
      </w:tabs>
      <w:spacing w:before="120" w:line="360" w:lineRule="auto"/>
      <w:jc w:val="both"/>
    </w:pPr>
    <w:rPr>
      <w:rFonts w:ascii="Arial" w:hAnsi="Arial"/>
      <w:b w:val="0"/>
      <w:color w:val="000000"/>
      <w:sz w:val="20"/>
      <w:szCs w:val="20"/>
      <w:lang w:val="x-none"/>
      <w14:ligatures w14:val="standardContextual"/>
    </w:rPr>
  </w:style>
  <w:style w:type="paragraph" w:customStyle="1" w:styleId="Titrerapport">
    <w:name w:val="Titre rapport"/>
    <w:basedOn w:val="Normal"/>
    <w:rsid w:val="000676A1"/>
    <w:pPr>
      <w:suppressAutoHyphens/>
      <w:spacing w:before="120" w:after="200" w:line="720" w:lineRule="exact"/>
      <w:jc w:val="both"/>
    </w:pPr>
    <w:rPr>
      <w:rFonts w:ascii="Arial Black" w:hAnsi="Arial Black"/>
      <w:b/>
      <w:w w:val="90"/>
      <w:sz w:val="52"/>
      <w14:ligatures w14:val="standardContextual"/>
    </w:rPr>
  </w:style>
  <w:style w:type="character" w:customStyle="1" w:styleId="smallcaps">
    <w:name w:val="smallcaps"/>
    <w:basedOn w:val="Policepardfaut"/>
    <w:rsid w:val="000676A1"/>
  </w:style>
  <w:style w:type="character" w:customStyle="1" w:styleId="Corpsdutexte85ptGras">
    <w:name w:val="Corps du texte + 8.5 pt.Gras"/>
    <w:rsid w:val="000676A1"/>
    <w:rPr>
      <w:rFonts w:ascii="Arial" w:eastAsia="Arial" w:hAnsi="Arial" w:cs="Arial"/>
      <w:b/>
      <w:bCs/>
      <w:i w:val="0"/>
      <w:iCs w:val="0"/>
      <w:smallCaps w:val="0"/>
      <w:strike w:val="0"/>
      <w:color w:val="000000"/>
      <w:spacing w:val="0"/>
      <w:w w:val="100"/>
      <w:position w:val="0"/>
      <w:sz w:val="17"/>
      <w:szCs w:val="17"/>
      <w:u w:val="none"/>
      <w:shd w:val="clear" w:color="auto" w:fill="FFFFFF"/>
      <w:lang w:val="fr-FR"/>
    </w:rPr>
  </w:style>
  <w:style w:type="character" w:customStyle="1" w:styleId="Corpsdutexte85pt">
    <w:name w:val="Corps du texte + 8.5 pt"/>
    <w:rsid w:val="000676A1"/>
    <w:rPr>
      <w:rFonts w:ascii="Arial" w:eastAsia="Arial" w:hAnsi="Arial" w:cs="Arial"/>
      <w:b w:val="0"/>
      <w:bCs w:val="0"/>
      <w:i w:val="0"/>
      <w:iCs w:val="0"/>
      <w:smallCaps w:val="0"/>
      <w:strike w:val="0"/>
      <w:color w:val="000000"/>
      <w:spacing w:val="0"/>
      <w:w w:val="100"/>
      <w:position w:val="0"/>
      <w:sz w:val="17"/>
      <w:szCs w:val="17"/>
      <w:u w:val="none"/>
      <w:shd w:val="clear" w:color="auto" w:fill="FFFFFF"/>
      <w:lang w:val="fr-FR"/>
    </w:rPr>
  </w:style>
  <w:style w:type="character" w:customStyle="1" w:styleId="algo-summary">
    <w:name w:val="algo-summary"/>
    <w:basedOn w:val="Policepardfaut"/>
    <w:rsid w:val="000676A1"/>
  </w:style>
  <w:style w:type="paragraph" w:customStyle="1" w:styleId="AHTtextstandardCarCar">
    <w:name w:val="AHT text standard Car Car"/>
    <w:basedOn w:val="Normal"/>
    <w:link w:val="AHTtextstandardCarCarCar"/>
    <w:rsid w:val="000676A1"/>
    <w:pPr>
      <w:spacing w:before="120" w:after="120" w:line="288" w:lineRule="auto"/>
      <w:jc w:val="both"/>
    </w:pPr>
    <w:rPr>
      <w:rFonts w:ascii="Arial" w:eastAsia="Times New Roman" w:hAnsi="Arial"/>
      <w:sz w:val="21"/>
      <w:lang w:val="x-none" w:eastAsia="x-none"/>
      <w14:ligatures w14:val="standardContextual"/>
    </w:rPr>
  </w:style>
  <w:style w:type="character" w:customStyle="1" w:styleId="AHTtextstandardCarCarCar">
    <w:name w:val="AHT text standard Car Car Car"/>
    <w:link w:val="AHTtextstandardCarCar"/>
    <w:rsid w:val="000676A1"/>
    <w:rPr>
      <w:rFonts w:ascii="Arial" w:eastAsia="Times New Roman" w:hAnsi="Arial" w:cs="Times New Roman"/>
      <w:sz w:val="21"/>
      <w:lang w:val="x-none" w:eastAsia="x-none"/>
      <w14:ligatures w14:val="standardContextual"/>
    </w:rPr>
  </w:style>
  <w:style w:type="paragraph" w:customStyle="1" w:styleId="Tableau0">
    <w:name w:val="Tableau"/>
    <w:basedOn w:val="Corpsdetexte"/>
    <w:rsid w:val="000676A1"/>
    <w:pPr>
      <w:pBdr>
        <w:top w:val="none" w:sz="0" w:space="0" w:color="auto"/>
        <w:left w:val="none" w:sz="0" w:space="0" w:color="auto"/>
        <w:bottom w:val="none" w:sz="0" w:space="0" w:color="auto"/>
        <w:right w:val="none" w:sz="0" w:space="0" w:color="auto"/>
      </w:pBdr>
      <w:shd w:val="clear" w:color="auto" w:fill="auto"/>
      <w:tabs>
        <w:tab w:val="clear" w:pos="4393"/>
      </w:tabs>
      <w:spacing w:before="60" w:after="60"/>
      <w:jc w:val="both"/>
    </w:pPr>
    <w:rPr>
      <w:b w:val="0"/>
      <w:sz w:val="20"/>
      <w:szCs w:val="20"/>
      <w:lang w:val="fr-BE" w:eastAsia="nl-NL"/>
      <w14:ligatures w14:val="standardContextual"/>
    </w:rPr>
  </w:style>
  <w:style w:type="paragraph" w:customStyle="1" w:styleId="RapTitre3">
    <w:name w:val="Rap Titre 3"/>
    <w:basedOn w:val="Titre30"/>
    <w:autoRedefine/>
    <w:rsid w:val="000676A1"/>
    <w:pPr>
      <w:keepNext w:val="0"/>
      <w:widowControl w:val="0"/>
      <w:numPr>
        <w:ilvl w:val="0"/>
        <w:numId w:val="0"/>
      </w:numPr>
      <w:suppressAutoHyphens/>
      <w:spacing w:before="0" w:after="60"/>
      <w:jc w:val="both"/>
    </w:pPr>
    <w:rPr>
      <w:rFonts w:eastAsia="Calibri"/>
      <w:bCs w:val="0"/>
      <w:color w:val="FF0000"/>
      <w:spacing w:val="-3"/>
      <w:szCs w:val="26"/>
      <w14:ligatures w14:val="standardContextual"/>
    </w:rPr>
  </w:style>
  <w:style w:type="character" w:customStyle="1" w:styleId="ListepucesCar">
    <w:name w:val="Liste à puces Car"/>
    <w:link w:val="Listepuces"/>
    <w:uiPriority w:val="99"/>
    <w:rsid w:val="000676A1"/>
    <w:rPr>
      <w:rFonts w:ascii="Arial" w:eastAsia="Times New Roman" w:hAnsi="Arial" w:cs="Times New Roman"/>
      <w:sz w:val="24"/>
      <w:szCs w:val="24"/>
      <w:lang w:eastAsia="fr-FR"/>
    </w:rPr>
  </w:style>
  <w:style w:type="paragraph" w:customStyle="1" w:styleId="grandtitre1">
    <w:name w:val="grand titre1"/>
    <w:basedOn w:val="Normal"/>
    <w:rsid w:val="000676A1"/>
    <w:pPr>
      <w:spacing w:before="120" w:after="120" w:line="259" w:lineRule="auto"/>
      <w:jc w:val="both"/>
    </w:pPr>
    <w:rPr>
      <w:rFonts w:ascii="Arial" w:hAnsi="Arial"/>
      <w:sz w:val="21"/>
      <w14:ligatures w14:val="standardContextual"/>
    </w:rPr>
  </w:style>
  <w:style w:type="paragraph" w:customStyle="1" w:styleId="Check-list">
    <w:name w:val="Check-list"/>
    <w:basedOn w:val="Normal"/>
    <w:rsid w:val="000676A1"/>
    <w:pPr>
      <w:widowControl w:val="0"/>
      <w:tabs>
        <w:tab w:val="num" w:pos="284"/>
      </w:tabs>
      <w:spacing w:line="240" w:lineRule="auto"/>
      <w:ind w:left="283" w:hanging="306"/>
      <w:jc w:val="both"/>
    </w:pPr>
    <w:rPr>
      <w:rFonts w:ascii="Arial" w:eastAsia="Times New Roman" w:hAnsi="Arial" w:cs="Arial"/>
      <w:bCs/>
      <w:sz w:val="20"/>
      <w:szCs w:val="20"/>
      <w:lang w:eastAsia="fr-FR"/>
      <w14:ligatures w14:val="standardContextual"/>
    </w:rPr>
  </w:style>
  <w:style w:type="paragraph" w:customStyle="1" w:styleId="Enonc1">
    <w:name w:val="Enoncé1"/>
    <w:basedOn w:val="Normal"/>
    <w:autoRedefine/>
    <w:rsid w:val="000676A1"/>
    <w:pPr>
      <w:spacing w:after="0" w:line="240" w:lineRule="auto"/>
      <w:jc w:val="both"/>
    </w:pPr>
    <w:rPr>
      <w:rFonts w:ascii="Book Antiqua" w:eastAsia="Times New Roman" w:hAnsi="Book Antiqua"/>
      <w:lang w:eastAsia="fr-FR"/>
      <w14:ligatures w14:val="standardContextual"/>
    </w:rPr>
  </w:style>
  <w:style w:type="character" w:customStyle="1" w:styleId="infonoir">
    <w:name w:val="infonoir"/>
    <w:basedOn w:val="Policepardfaut"/>
    <w:rsid w:val="000676A1"/>
  </w:style>
  <w:style w:type="paragraph" w:customStyle="1" w:styleId="yiv1120951316msonormal">
    <w:name w:val="yiv1120951316msonormal"/>
    <w:basedOn w:val="Normal"/>
    <w:rsid w:val="000676A1"/>
    <w:pPr>
      <w:spacing w:after="0" w:line="240" w:lineRule="auto"/>
    </w:pPr>
    <w:rPr>
      <w:rFonts w:ascii="Times New Roman" w:eastAsia="Times New Roman" w:hAnsi="Times New Roman"/>
      <w:sz w:val="24"/>
      <w:szCs w:val="24"/>
      <w:lang w:val="en-US"/>
      <w14:ligatures w14:val="standardContextual"/>
    </w:rPr>
  </w:style>
  <w:style w:type="character" w:customStyle="1" w:styleId="msid936">
    <w:name w:val="ms__id936"/>
    <w:basedOn w:val="Policepardfaut"/>
    <w:rsid w:val="000676A1"/>
  </w:style>
  <w:style w:type="character" w:customStyle="1" w:styleId="msid937">
    <w:name w:val="ms__id937"/>
    <w:basedOn w:val="Policepardfaut"/>
    <w:rsid w:val="000676A1"/>
  </w:style>
  <w:style w:type="paragraph" w:customStyle="1" w:styleId="yiv1120951316msolistparagraph">
    <w:name w:val="yiv1120951316msolistparagraph"/>
    <w:basedOn w:val="Normal"/>
    <w:rsid w:val="000676A1"/>
    <w:pPr>
      <w:spacing w:after="0" w:line="240" w:lineRule="auto"/>
    </w:pPr>
    <w:rPr>
      <w:rFonts w:ascii="Times New Roman" w:eastAsia="Times New Roman" w:hAnsi="Times New Roman"/>
      <w:sz w:val="24"/>
      <w:szCs w:val="24"/>
      <w:lang w:val="en-US"/>
      <w14:ligatures w14:val="standardContextual"/>
    </w:rPr>
  </w:style>
  <w:style w:type="character" w:customStyle="1" w:styleId="msid938">
    <w:name w:val="ms__id938"/>
    <w:basedOn w:val="Policepardfaut"/>
    <w:rsid w:val="000676A1"/>
  </w:style>
  <w:style w:type="character" w:customStyle="1" w:styleId="msid939">
    <w:name w:val="ms__id939"/>
    <w:basedOn w:val="Policepardfaut"/>
    <w:rsid w:val="000676A1"/>
  </w:style>
  <w:style w:type="character" w:customStyle="1" w:styleId="msid940">
    <w:name w:val="ms__id940"/>
    <w:basedOn w:val="Policepardfaut"/>
    <w:rsid w:val="000676A1"/>
  </w:style>
  <w:style w:type="character" w:customStyle="1" w:styleId="msid941">
    <w:name w:val="ms__id941"/>
    <w:basedOn w:val="Policepardfaut"/>
    <w:rsid w:val="000676A1"/>
  </w:style>
  <w:style w:type="character" w:customStyle="1" w:styleId="msid942">
    <w:name w:val="ms__id942"/>
    <w:basedOn w:val="Policepardfaut"/>
    <w:rsid w:val="000676A1"/>
  </w:style>
  <w:style w:type="character" w:customStyle="1" w:styleId="msid943">
    <w:name w:val="ms__id943"/>
    <w:basedOn w:val="Policepardfaut"/>
    <w:rsid w:val="000676A1"/>
  </w:style>
  <w:style w:type="character" w:customStyle="1" w:styleId="msid944">
    <w:name w:val="ms__id944"/>
    <w:basedOn w:val="Policepardfaut"/>
    <w:rsid w:val="000676A1"/>
  </w:style>
  <w:style w:type="character" w:customStyle="1" w:styleId="msid945">
    <w:name w:val="ms__id945"/>
    <w:basedOn w:val="Policepardfaut"/>
    <w:rsid w:val="000676A1"/>
  </w:style>
  <w:style w:type="character" w:customStyle="1" w:styleId="msid946">
    <w:name w:val="ms__id946"/>
    <w:basedOn w:val="Policepardfaut"/>
    <w:rsid w:val="000676A1"/>
  </w:style>
  <w:style w:type="character" w:customStyle="1" w:styleId="msid947">
    <w:name w:val="ms__id947"/>
    <w:basedOn w:val="Policepardfaut"/>
    <w:rsid w:val="000676A1"/>
  </w:style>
  <w:style w:type="character" w:customStyle="1" w:styleId="msid948">
    <w:name w:val="ms__id948"/>
    <w:basedOn w:val="Policepardfaut"/>
    <w:rsid w:val="000676A1"/>
  </w:style>
  <w:style w:type="character" w:customStyle="1" w:styleId="msid949">
    <w:name w:val="ms__id949"/>
    <w:basedOn w:val="Policepardfaut"/>
    <w:rsid w:val="000676A1"/>
  </w:style>
  <w:style w:type="character" w:customStyle="1" w:styleId="msid950">
    <w:name w:val="ms__id950"/>
    <w:basedOn w:val="Policepardfaut"/>
    <w:rsid w:val="000676A1"/>
  </w:style>
  <w:style w:type="character" w:customStyle="1" w:styleId="msid951">
    <w:name w:val="ms__id951"/>
    <w:basedOn w:val="Policepardfaut"/>
    <w:rsid w:val="000676A1"/>
  </w:style>
  <w:style w:type="character" w:customStyle="1" w:styleId="msid952">
    <w:name w:val="ms__id952"/>
    <w:basedOn w:val="Policepardfaut"/>
    <w:rsid w:val="000676A1"/>
  </w:style>
  <w:style w:type="paragraph" w:customStyle="1" w:styleId="Chapters">
    <w:name w:val="Chapters"/>
    <w:basedOn w:val="Paragraphedeliste"/>
    <w:uiPriority w:val="99"/>
    <w:qFormat/>
    <w:rsid w:val="000676A1"/>
    <w:pPr>
      <w:spacing w:before="360" w:after="120" w:line="240" w:lineRule="auto"/>
      <w:ind w:left="0"/>
    </w:pPr>
    <w:rPr>
      <w:rFonts w:ascii="Times New Roman" w:hAnsi="Times New Roman"/>
      <w:b/>
      <w:bCs/>
      <w:color w:val="000000"/>
      <w:sz w:val="24"/>
      <w:szCs w:val="24"/>
      <w:shd w:val="clear" w:color="auto" w:fill="FFFFFF"/>
      <w:lang w:val="en-GB" w:eastAsia="en-GB"/>
      <w14:ligatures w14:val="standardContextual"/>
    </w:rPr>
  </w:style>
  <w:style w:type="paragraph" w:customStyle="1" w:styleId="ESIATexte">
    <w:name w:val="ESIA_Texte"/>
    <w:basedOn w:val="Normal"/>
    <w:uiPriority w:val="99"/>
    <w:qFormat/>
    <w:rsid w:val="000676A1"/>
    <w:pPr>
      <w:spacing w:after="120" w:line="240" w:lineRule="auto"/>
      <w:jc w:val="both"/>
    </w:pPr>
    <w:rPr>
      <w:rFonts w:ascii="Times New Roman" w:hAnsi="Times New Roman" w:cs="Arial"/>
      <w:sz w:val="24"/>
      <w:shd w:val="clear" w:color="auto" w:fill="FFFFFF"/>
      <w14:ligatures w14:val="standardContextual"/>
    </w:rPr>
  </w:style>
  <w:style w:type="paragraph" w:customStyle="1" w:styleId="ESIATitre2">
    <w:name w:val="ESIA_Titre2"/>
    <w:basedOn w:val="Paragraphedeliste"/>
    <w:uiPriority w:val="99"/>
    <w:qFormat/>
    <w:rsid w:val="000676A1"/>
    <w:pPr>
      <w:keepNext/>
      <w:autoSpaceDE w:val="0"/>
      <w:autoSpaceDN w:val="0"/>
      <w:adjustRightInd w:val="0"/>
      <w:spacing w:before="360" w:after="120" w:line="240" w:lineRule="auto"/>
      <w:ind w:left="0"/>
      <w:contextualSpacing w:val="0"/>
    </w:pPr>
    <w:rPr>
      <w:rFonts w:ascii="Times New Roman" w:hAnsi="Times New Roman"/>
      <w:b/>
      <w:bCs/>
      <w:iCs/>
      <w:color w:val="000000"/>
      <w:sz w:val="24"/>
      <w:szCs w:val="24"/>
      <w:shd w:val="clear" w:color="auto" w:fill="FFFFFF"/>
      <w:lang w:eastAsia="en-GB"/>
      <w14:ligatures w14:val="standardContextual"/>
    </w:rPr>
  </w:style>
  <w:style w:type="paragraph" w:customStyle="1" w:styleId="ESIATableauT">
    <w:name w:val="ESIA_TableauT"/>
    <w:basedOn w:val="ESIATexte"/>
    <w:qFormat/>
    <w:rsid w:val="000676A1"/>
    <w:pPr>
      <w:spacing w:before="120"/>
      <w:jc w:val="left"/>
    </w:pPr>
    <w:rPr>
      <w:b/>
      <w:sz w:val="20"/>
    </w:rPr>
  </w:style>
  <w:style w:type="paragraph" w:customStyle="1" w:styleId="ESIATableau">
    <w:name w:val="ESIA_Tableau"/>
    <w:basedOn w:val="ESIATexte"/>
    <w:uiPriority w:val="99"/>
    <w:qFormat/>
    <w:rsid w:val="000676A1"/>
    <w:pPr>
      <w:spacing w:before="40" w:after="40"/>
      <w:jc w:val="left"/>
    </w:pPr>
    <w:rPr>
      <w:sz w:val="20"/>
    </w:rPr>
  </w:style>
  <w:style w:type="paragraph" w:customStyle="1" w:styleId="ESIATableaucase">
    <w:name w:val="ESIA_Tableau_case"/>
    <w:basedOn w:val="Normal"/>
    <w:qFormat/>
    <w:rsid w:val="000676A1"/>
    <w:pPr>
      <w:framePr w:hSpace="180" w:wrap="around" w:vAnchor="text" w:hAnchor="text" w:y="1"/>
      <w:widowControl w:val="0"/>
      <w:numPr>
        <w:numId w:val="240"/>
      </w:numPr>
      <w:autoSpaceDE w:val="0"/>
      <w:autoSpaceDN w:val="0"/>
      <w:adjustRightInd w:val="0"/>
      <w:spacing w:before="60" w:after="60" w:line="240" w:lineRule="auto"/>
      <w:ind w:left="432" w:hanging="288"/>
      <w:suppressOverlap/>
    </w:pPr>
    <w:rPr>
      <w:rFonts w:ascii="Times New Roman" w:hAnsi="Times New Roman" w:cs="TimesNewRoman"/>
      <w:sz w:val="20"/>
      <w:szCs w:val="19"/>
      <w:lang w:val="en-US" w:bidi="en-US"/>
      <w14:ligatures w14:val="standardContextual"/>
    </w:rPr>
  </w:style>
  <w:style w:type="character" w:customStyle="1" w:styleId="gt-bubble-new1">
    <w:name w:val="gt-bubble-new1"/>
    <w:rsid w:val="000676A1"/>
    <w:rPr>
      <w:color w:val="DD4B39"/>
    </w:rPr>
  </w:style>
  <w:style w:type="character" w:customStyle="1" w:styleId="gt-bubble-content">
    <w:name w:val="gt-bubble-content"/>
    <w:basedOn w:val="Policepardfaut"/>
    <w:rsid w:val="000676A1"/>
  </w:style>
  <w:style w:type="paragraph" w:customStyle="1" w:styleId="ModelDoubleNoIndent">
    <w:name w:val="ModelDoubleNoIndent"/>
    <w:basedOn w:val="Normal"/>
    <w:rsid w:val="000676A1"/>
    <w:pPr>
      <w:spacing w:after="360" w:line="480" w:lineRule="auto"/>
      <w:jc w:val="both"/>
    </w:pPr>
    <w:rPr>
      <w:rFonts w:ascii="Times New Roman" w:eastAsia="Times New Roman" w:hAnsi="Times New Roman"/>
      <w:szCs w:val="20"/>
      <w:lang w:eastAsia="fr-FR"/>
      <w14:ligatures w14:val="standardContextual"/>
    </w:rPr>
  </w:style>
  <w:style w:type="paragraph" w:customStyle="1" w:styleId="Intitulduposte">
    <w:name w:val="Intitulé du poste"/>
    <w:next w:val="Normal"/>
    <w:rsid w:val="000676A1"/>
    <w:pPr>
      <w:spacing w:before="40" w:after="40" w:line="220" w:lineRule="atLeast"/>
    </w:pPr>
    <w:rPr>
      <w:rFonts w:ascii="Garamond" w:eastAsia="Times New Roman" w:hAnsi="Garamond" w:cs="Times New Roman"/>
      <w:i/>
      <w:iCs/>
      <w:spacing w:val="5"/>
      <w:sz w:val="23"/>
      <w:szCs w:val="23"/>
      <w14:ligatures w14:val="standardContextual"/>
    </w:rPr>
  </w:style>
  <w:style w:type="character" w:customStyle="1" w:styleId="texteblanc1">
    <w:name w:val="texte_blanc1"/>
    <w:rsid w:val="000676A1"/>
    <w:rPr>
      <w:rFonts w:ascii="Times New Roman" w:hAnsi="Times New Roman" w:cs="Times New Roman" w:hint="default"/>
      <w:b w:val="0"/>
      <w:bCs w:val="0"/>
      <w:i w:val="0"/>
      <w:iCs w:val="0"/>
      <w:color w:val="FFFFFF"/>
      <w:sz w:val="24"/>
      <w:szCs w:val="24"/>
    </w:rPr>
  </w:style>
  <w:style w:type="character" w:customStyle="1" w:styleId="field-content">
    <w:name w:val="field-content"/>
    <w:rsid w:val="000676A1"/>
  </w:style>
  <w:style w:type="paragraph" w:customStyle="1" w:styleId="programdescription">
    <w:name w:val="program description"/>
    <w:basedOn w:val="Normal"/>
    <w:rsid w:val="000676A1"/>
    <w:pPr>
      <w:spacing w:before="40" w:after="60" w:line="240" w:lineRule="auto"/>
      <w:ind w:left="29" w:right="29"/>
    </w:pPr>
    <w:rPr>
      <w:rFonts w:ascii="Arial" w:eastAsia="Times New Roman" w:hAnsi="Arial"/>
      <w:sz w:val="17"/>
      <w:szCs w:val="20"/>
      <w:lang w:eastAsia="fr-FR"/>
      <w14:ligatures w14:val="standardContextual"/>
    </w:rPr>
  </w:style>
  <w:style w:type="character" w:customStyle="1" w:styleId="mediumtext">
    <w:name w:val="medium_text"/>
    <w:rsid w:val="000676A1"/>
  </w:style>
  <w:style w:type="character" w:customStyle="1" w:styleId="LightShading-Accent2Char">
    <w:name w:val="Light Shading - Accent 2 Char"/>
    <w:link w:val="Trameclaire-Accent2"/>
    <w:uiPriority w:val="30"/>
    <w:rsid w:val="000676A1"/>
    <w:rPr>
      <w:b/>
      <w:bCs/>
      <w:i/>
      <w:iCs/>
      <w:color w:val="4F81BD"/>
      <w:sz w:val="24"/>
      <w:szCs w:val="24"/>
    </w:rPr>
  </w:style>
  <w:style w:type="paragraph" w:customStyle="1" w:styleId="Retraitcorpsdetexte211">
    <w:name w:val="Retrait corps de texte 211"/>
    <w:basedOn w:val="Normal"/>
    <w:uiPriority w:val="99"/>
    <w:rsid w:val="000676A1"/>
    <w:pPr>
      <w:spacing w:after="0" w:line="240" w:lineRule="auto"/>
      <w:ind w:firstLine="708"/>
      <w:jc w:val="both"/>
    </w:pPr>
    <w:rPr>
      <w:rFonts w:ascii="Times New Roman" w:eastAsia="Times New Roman" w:hAnsi="Times New Roman"/>
      <w:sz w:val="24"/>
      <w:szCs w:val="20"/>
      <w:lang w:eastAsia="fr-FR"/>
      <w14:ligatures w14:val="standardContextual"/>
    </w:rPr>
  </w:style>
  <w:style w:type="paragraph" w:customStyle="1" w:styleId="Titre1MainHeadingMainHeadTCI1Heading">
    <w:name w:val="Titre 1.Main Heading.Main Head.TCI 1.  Heading"/>
    <w:basedOn w:val="Normal"/>
    <w:next w:val="Normal"/>
    <w:rsid w:val="000676A1"/>
    <w:pPr>
      <w:keepNext/>
      <w:tabs>
        <w:tab w:val="left" w:pos="1134"/>
      </w:tabs>
      <w:spacing w:before="120" w:after="480" w:line="240" w:lineRule="auto"/>
      <w:ind w:left="1080" w:hanging="360"/>
      <w:jc w:val="center"/>
      <w:outlineLvl w:val="0"/>
    </w:pPr>
    <w:rPr>
      <w:rFonts w:ascii="Univers (W1)" w:eastAsia="Times New Roman" w:hAnsi="Univers (W1)" w:cs="Arial"/>
      <w:b/>
      <w:caps/>
      <w:kern w:val="28"/>
      <w:sz w:val="28"/>
      <w:szCs w:val="20"/>
      <w:lang w:eastAsia="fr-FR"/>
      <w14:ligatures w14:val="standardContextual"/>
    </w:rPr>
  </w:style>
  <w:style w:type="paragraph" w:customStyle="1" w:styleId="Titre2Paranumalec2">
    <w:name w:val="Titre 2.Paranum.alec2"/>
    <w:basedOn w:val="Normal"/>
    <w:next w:val="Normal"/>
    <w:rsid w:val="000676A1"/>
    <w:pPr>
      <w:tabs>
        <w:tab w:val="left" w:pos="1134"/>
      </w:tabs>
      <w:spacing w:after="240" w:line="240" w:lineRule="auto"/>
      <w:ind w:left="1800" w:hanging="360"/>
      <w:jc w:val="both"/>
      <w:outlineLvl w:val="1"/>
    </w:pPr>
    <w:rPr>
      <w:rFonts w:ascii="Times New Roman" w:eastAsia="Times New Roman" w:hAnsi="Times New Roman" w:cs="Arial"/>
      <w:szCs w:val="20"/>
      <w:lang w:eastAsia="fr-FR"/>
      <w14:ligatures w14:val="standardContextual"/>
    </w:rPr>
  </w:style>
  <w:style w:type="paragraph" w:customStyle="1" w:styleId="Titre4CentredCen">
    <w:name w:val="Titre 4.Centred.Cen."/>
    <w:basedOn w:val="Normal"/>
    <w:next w:val="Normal"/>
    <w:rsid w:val="000676A1"/>
    <w:pPr>
      <w:keepNext/>
      <w:tabs>
        <w:tab w:val="left" w:pos="1134"/>
      </w:tabs>
      <w:spacing w:before="120" w:after="240" w:line="240" w:lineRule="auto"/>
      <w:ind w:left="3240" w:hanging="360"/>
      <w:jc w:val="center"/>
      <w:outlineLvl w:val="3"/>
    </w:pPr>
    <w:rPr>
      <w:rFonts w:ascii="Times New Roman" w:eastAsia="Times New Roman" w:hAnsi="Times New Roman" w:cs="Arial"/>
      <w:b/>
      <w:szCs w:val="20"/>
      <w:lang w:eastAsia="fr-FR"/>
      <w14:ligatures w14:val="standardContextual"/>
    </w:rPr>
  </w:style>
  <w:style w:type="paragraph" w:customStyle="1" w:styleId="Titre5Side">
    <w:name w:val="Titre 5.Side"/>
    <w:basedOn w:val="Normal"/>
    <w:next w:val="Normal"/>
    <w:rsid w:val="000676A1"/>
    <w:pPr>
      <w:tabs>
        <w:tab w:val="left" w:pos="1134"/>
      </w:tabs>
      <w:spacing w:before="120" w:after="240" w:line="240" w:lineRule="auto"/>
      <w:ind w:left="3960" w:hanging="360"/>
      <w:outlineLvl w:val="4"/>
    </w:pPr>
    <w:rPr>
      <w:rFonts w:ascii="Times New Roman Bold" w:eastAsia="Times New Roman" w:hAnsi="Times New Roman Bold" w:cs="Arial"/>
      <w:b/>
      <w:szCs w:val="20"/>
      <w:lang w:eastAsia="fr-FR"/>
      <w14:ligatures w14:val="standardContextual"/>
    </w:rPr>
  </w:style>
  <w:style w:type="character" w:customStyle="1" w:styleId="MediumGrid2Char">
    <w:name w:val="Medium Grid 2 Char"/>
    <w:link w:val="MediumGrid21"/>
    <w:uiPriority w:val="1"/>
    <w:rsid w:val="000676A1"/>
    <w:rPr>
      <w:rFonts w:ascii="Calibri" w:eastAsia="Calibri" w:hAnsi="Calibri" w:cs="Times New Roman"/>
    </w:rPr>
  </w:style>
  <w:style w:type="character" w:customStyle="1" w:styleId="st10">
    <w:name w:val="st1"/>
    <w:rsid w:val="000676A1"/>
  </w:style>
  <w:style w:type="paragraph" w:customStyle="1" w:styleId="TexteCarCarCar">
    <w:name w:val="Texte Car Car Car"/>
    <w:basedOn w:val="Normal"/>
    <w:rsid w:val="000676A1"/>
    <w:pPr>
      <w:keepLines/>
      <w:spacing w:before="120" w:after="60" w:line="240" w:lineRule="auto"/>
      <w:jc w:val="both"/>
    </w:pPr>
    <w:rPr>
      <w:rFonts w:ascii="Arial" w:eastAsia="Times New Roman" w:hAnsi="Arial"/>
      <w:sz w:val="24"/>
      <w:szCs w:val="24"/>
      <w:lang w:eastAsia="fr-FR"/>
      <w14:ligatures w14:val="standardContextual"/>
    </w:rPr>
  </w:style>
  <w:style w:type="paragraph" w:customStyle="1" w:styleId="Style13">
    <w:name w:val="Style 1"/>
    <w:rsid w:val="000676A1"/>
    <w:pPr>
      <w:widowControl w:val="0"/>
      <w:autoSpaceDE w:val="0"/>
      <w:autoSpaceDN w:val="0"/>
      <w:spacing w:after="0" w:line="240" w:lineRule="auto"/>
    </w:pPr>
    <w:rPr>
      <w:rFonts w:ascii="Times New Roman" w:eastAsia="Times New Roman" w:hAnsi="Times New Roman" w:cs="Times New Roman"/>
      <w:sz w:val="20"/>
      <w:szCs w:val="20"/>
      <w:lang w:eastAsia="fr-FR"/>
      <w14:ligatures w14:val="standardContextual"/>
    </w:rPr>
  </w:style>
  <w:style w:type="paragraph" w:customStyle="1" w:styleId="s20">
    <w:name w:val="s2"/>
    <w:next w:val="Normal"/>
    <w:link w:val="s2Car0"/>
    <w:autoRedefine/>
    <w:qFormat/>
    <w:rsid w:val="000676A1"/>
    <w:pPr>
      <w:spacing w:before="120" w:after="240" w:line="240" w:lineRule="auto"/>
      <w:outlineLvl w:val="1"/>
    </w:pPr>
    <w:rPr>
      <w:rFonts w:ascii="Times" w:eastAsia="Times New Roman Gras" w:hAnsi="Times" w:cs="Times New Roman"/>
      <w:b/>
      <w:smallCaps/>
      <w:sz w:val="24"/>
      <w:u w:val="single"/>
      <w:lang w:val="wo-SN" w:eastAsia="wo-SN"/>
      <w14:ligatures w14:val="standardContextual"/>
    </w:rPr>
  </w:style>
  <w:style w:type="character" w:customStyle="1" w:styleId="s2Car0">
    <w:name w:val="s2 Car"/>
    <w:link w:val="s20"/>
    <w:rsid w:val="000676A1"/>
    <w:rPr>
      <w:rFonts w:ascii="Times" w:eastAsia="Times New Roman Gras" w:hAnsi="Times" w:cs="Times New Roman"/>
      <w:b/>
      <w:smallCaps/>
      <w:sz w:val="24"/>
      <w:u w:val="single"/>
      <w:lang w:val="wo-SN" w:eastAsia="wo-SN"/>
      <w14:ligatures w14:val="standardContextual"/>
    </w:rPr>
  </w:style>
  <w:style w:type="character" w:customStyle="1" w:styleId="o809g1">
    <w:name w:val="o809g1"/>
    <w:rsid w:val="000676A1"/>
    <w:rPr>
      <w:b w:val="0"/>
      <w:bCs w:val="0"/>
      <w:vanish w:val="0"/>
      <w:webHidden w:val="0"/>
      <w:color w:val="0000FF"/>
      <w:u w:val="single"/>
      <w:specVanish w:val="0"/>
    </w:rPr>
  </w:style>
  <w:style w:type="paragraph" w:customStyle="1" w:styleId="TITRE3">
    <w:name w:val="TITRE3"/>
    <w:basedOn w:val="Normal"/>
    <w:rsid w:val="000676A1"/>
    <w:pPr>
      <w:numPr>
        <w:ilvl w:val="2"/>
        <w:numId w:val="241"/>
      </w:numPr>
      <w:spacing w:before="100" w:after="100" w:line="240" w:lineRule="auto"/>
      <w:jc w:val="both"/>
      <w:outlineLvl w:val="2"/>
    </w:pPr>
    <w:rPr>
      <w:rFonts w:ascii="Arial Black" w:eastAsia="Arial Unicode MS" w:hAnsi="Arial Black"/>
      <w:bCs/>
      <w:sz w:val="24"/>
      <w:szCs w:val="24"/>
      <w:lang w:eastAsia="zh-CN"/>
      <w14:ligatures w14:val="standardContextual"/>
    </w:rPr>
  </w:style>
  <w:style w:type="paragraph" w:customStyle="1" w:styleId="TITRE5">
    <w:name w:val="TITRE5"/>
    <w:basedOn w:val="Normal"/>
    <w:rsid w:val="000676A1"/>
    <w:pPr>
      <w:numPr>
        <w:ilvl w:val="3"/>
        <w:numId w:val="241"/>
      </w:numPr>
      <w:spacing w:before="100" w:after="100" w:line="240" w:lineRule="auto"/>
      <w:jc w:val="both"/>
      <w:outlineLvl w:val="3"/>
    </w:pPr>
    <w:rPr>
      <w:rFonts w:ascii="Arial Black" w:eastAsia="Times New Roman" w:hAnsi="Arial Black" w:cs="Arial"/>
      <w:b/>
      <w:bCs/>
      <w:kern w:val="32"/>
      <w:sz w:val="24"/>
      <w:lang w:eastAsia="fr-FR"/>
      <w14:ligatures w14:val="standardContextual"/>
    </w:rPr>
  </w:style>
  <w:style w:type="paragraph" w:customStyle="1" w:styleId="TITRE6">
    <w:name w:val="TITRE6"/>
    <w:basedOn w:val="TITRE5"/>
    <w:rsid w:val="000676A1"/>
    <w:pPr>
      <w:numPr>
        <w:ilvl w:val="4"/>
      </w:numPr>
      <w:outlineLvl w:val="4"/>
    </w:pPr>
  </w:style>
  <w:style w:type="paragraph" w:customStyle="1" w:styleId="StyleGaramondJustifi">
    <w:name w:val="Style Garamond Justifié"/>
    <w:basedOn w:val="Normal"/>
    <w:autoRedefine/>
    <w:rsid w:val="000676A1"/>
    <w:pPr>
      <w:numPr>
        <w:numId w:val="242"/>
      </w:numPr>
      <w:spacing w:after="0" w:line="276" w:lineRule="auto"/>
      <w:jc w:val="both"/>
    </w:pPr>
    <w:rPr>
      <w:rFonts w:ascii="Arial" w:eastAsia="Times New Roman" w:hAnsi="Arial" w:cs="Arial"/>
      <w:lang w:eastAsia="fr-FR"/>
      <w14:ligatures w14:val="standardContextual"/>
    </w:rPr>
  </w:style>
  <w:style w:type="paragraph" w:customStyle="1" w:styleId="TexteCarCarCarCarCarCar">
    <w:name w:val="Texte Car Car Car Car Car Car"/>
    <w:basedOn w:val="Normal"/>
    <w:rsid w:val="000676A1"/>
    <w:pPr>
      <w:keepLines/>
      <w:spacing w:before="120" w:after="60" w:line="240" w:lineRule="auto"/>
      <w:jc w:val="both"/>
    </w:pPr>
    <w:rPr>
      <w:rFonts w:ascii="Arial" w:eastAsia="Times New Roman" w:hAnsi="Arial"/>
      <w:sz w:val="20"/>
      <w:szCs w:val="20"/>
      <w:lang w:eastAsia="fr-FR"/>
      <w14:ligatures w14:val="standardContextual"/>
    </w:rPr>
  </w:style>
  <w:style w:type="paragraph" w:customStyle="1" w:styleId="Tiret">
    <w:name w:val="Tiret"/>
    <w:basedOn w:val="Normal"/>
    <w:rsid w:val="000676A1"/>
    <w:pPr>
      <w:numPr>
        <w:numId w:val="243"/>
      </w:numPr>
      <w:spacing w:before="240" w:after="0" w:line="240" w:lineRule="auto"/>
      <w:ind w:right="72"/>
      <w:jc w:val="both"/>
    </w:pPr>
    <w:rPr>
      <w:rFonts w:ascii="Times New Roman" w:eastAsia="Times New Roman" w:hAnsi="Times New Roman"/>
      <w:sz w:val="24"/>
      <w:szCs w:val="16"/>
      <w:lang w:eastAsia="fr-FR"/>
      <w14:ligatures w14:val="standardContextual"/>
    </w:rPr>
  </w:style>
  <w:style w:type="table" w:styleId="Listefonce-Accent5">
    <w:name w:val="Dark List Accent 5"/>
    <w:basedOn w:val="TableauNormal"/>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Lienhypertexte11">
    <w:name w:val="Lien hypertexte11"/>
    <w:uiPriority w:val="99"/>
    <w:unhideWhenUsed/>
    <w:rsid w:val="000676A1"/>
    <w:rPr>
      <w:color w:val="0000FF"/>
      <w:u w:val="single"/>
    </w:rPr>
  </w:style>
  <w:style w:type="paragraph" w:customStyle="1" w:styleId="Sport">
    <w:name w:val="Sport"/>
    <w:basedOn w:val="Normal"/>
    <w:rsid w:val="000676A1"/>
    <w:pPr>
      <w:spacing w:after="0" w:line="240" w:lineRule="auto"/>
    </w:pPr>
    <w:rPr>
      <w:rFonts w:ascii="Times New Roman" w:eastAsia="Times New Roman" w:hAnsi="Times New Roman"/>
      <w:sz w:val="24"/>
      <w:szCs w:val="24"/>
      <w:lang w:eastAsia="fr-FR"/>
      <w14:ligatures w14:val="standardContextual"/>
    </w:rPr>
  </w:style>
  <w:style w:type="character" w:customStyle="1" w:styleId="StyleArial">
    <w:name w:val="Style Arial"/>
    <w:rsid w:val="000676A1"/>
    <w:rPr>
      <w:rFonts w:ascii="Arial" w:hAnsi="Arial"/>
      <w:sz w:val="22"/>
    </w:rPr>
  </w:style>
  <w:style w:type="paragraph" w:customStyle="1" w:styleId="Normal11">
    <w:name w:val="Normal11"/>
    <w:basedOn w:val="Normal"/>
    <w:rsid w:val="000676A1"/>
    <w:pPr>
      <w:tabs>
        <w:tab w:val="left" w:pos="1134"/>
      </w:tabs>
      <w:spacing w:after="0" w:line="240" w:lineRule="auto"/>
      <w:jc w:val="both"/>
    </w:pPr>
    <w:rPr>
      <w:rFonts w:ascii="Times New Roman" w:eastAsia="Times New Roman" w:hAnsi="Times New Roman"/>
      <w:sz w:val="23"/>
      <w:szCs w:val="20"/>
      <w:lang w:eastAsia="fr-FR"/>
      <w14:ligatures w14:val="standardContextual"/>
    </w:rPr>
  </w:style>
  <w:style w:type="paragraph" w:customStyle="1" w:styleId="Titre311">
    <w:name w:val="Titre 311"/>
    <w:basedOn w:val="Default"/>
    <w:next w:val="Default"/>
    <w:uiPriority w:val="99"/>
    <w:rsid w:val="000676A1"/>
    <w:rPr>
      <w:rFonts w:ascii="KLKDLB+Garamond" w:hAnsi="KLKDLB+Garamond" w:cs="Times New Roman"/>
      <w:color w:val="auto"/>
      <w14:ligatures w14:val="standardContextual"/>
    </w:rPr>
  </w:style>
  <w:style w:type="paragraph" w:customStyle="1" w:styleId="yiv9656881541msolistparagraph">
    <w:name w:val="yiv9656881541msolistparagraph"/>
    <w:basedOn w:val="Normal"/>
    <w:rsid w:val="000676A1"/>
    <w:pPr>
      <w:spacing w:before="100" w:beforeAutospacing="1" w:after="100" w:afterAutospacing="1" w:line="240" w:lineRule="auto"/>
    </w:pPr>
    <w:rPr>
      <w:rFonts w:ascii="Times New Roman" w:eastAsia="Times New Roman" w:hAnsi="Times New Roman"/>
      <w:sz w:val="24"/>
      <w:szCs w:val="24"/>
      <w:lang w:eastAsia="fr-FR"/>
      <w14:ligatures w14:val="standardContextual"/>
    </w:rPr>
  </w:style>
  <w:style w:type="character" w:customStyle="1" w:styleId="soustitre2">
    <w:name w:val="soustitre2"/>
    <w:rsid w:val="000676A1"/>
  </w:style>
  <w:style w:type="character" w:customStyle="1" w:styleId="ColorfulGrid-Accent1Char">
    <w:name w:val="Colorful Grid - Accent 1 Char"/>
    <w:link w:val="Grillecouleur-Accent1"/>
    <w:uiPriority w:val="29"/>
    <w:rsid w:val="000676A1"/>
    <w:rPr>
      <w:rFonts w:eastAsia="SimSun"/>
      <w:i/>
      <w:iCs/>
      <w:color w:val="000000"/>
      <w:kern w:val="2"/>
      <w:sz w:val="24"/>
      <w:szCs w:val="21"/>
      <w:lang w:val="en-US" w:eastAsia="zh-CN"/>
    </w:rPr>
  </w:style>
  <w:style w:type="character" w:customStyle="1" w:styleId="2Char1">
    <w:name w:val="正文文本缩进 2 Char1"/>
    <w:uiPriority w:val="99"/>
    <w:semiHidden/>
    <w:rsid w:val="000676A1"/>
    <w:rPr>
      <w:rFonts w:ascii="Calibri" w:eastAsia="SimSun" w:hAnsi="Calibri" w:cs="Times New Roman"/>
    </w:rPr>
  </w:style>
  <w:style w:type="paragraph" w:customStyle="1" w:styleId="aa">
    <w:name w:val="表注"/>
    <w:rsid w:val="000676A1"/>
    <w:pPr>
      <w:spacing w:after="0" w:line="240" w:lineRule="auto"/>
      <w:ind w:firstLineChars="200" w:firstLine="420"/>
      <w:jc w:val="both"/>
    </w:pPr>
    <w:rPr>
      <w:rFonts w:ascii="Times New Roman" w:eastAsia="SimSun" w:hAnsi="Times New Roman" w:cs="Times New Roman"/>
      <w:sz w:val="21"/>
      <w:szCs w:val="20"/>
      <w:lang w:val="en-US" w:eastAsia="zh-CN"/>
      <w14:ligatures w14:val="standardContextual"/>
    </w:rPr>
  </w:style>
  <w:style w:type="character" w:customStyle="1" w:styleId="Char1">
    <w:name w:val="文档结构图 Char1"/>
    <w:uiPriority w:val="99"/>
    <w:semiHidden/>
    <w:rsid w:val="000676A1"/>
    <w:rPr>
      <w:rFonts w:ascii="SimSun" w:eastAsia="SimSun" w:hAnsi="Calibri" w:cs="Times New Roman"/>
      <w:sz w:val="18"/>
      <w:szCs w:val="18"/>
    </w:rPr>
  </w:style>
  <w:style w:type="character" w:customStyle="1" w:styleId="Char10">
    <w:name w:val="正文文本缩进 Char1"/>
    <w:uiPriority w:val="99"/>
    <w:semiHidden/>
    <w:rsid w:val="000676A1"/>
    <w:rPr>
      <w:rFonts w:ascii="Calibri" w:eastAsia="SimSun" w:hAnsi="Calibri" w:cs="Times New Roman"/>
    </w:rPr>
  </w:style>
  <w:style w:type="character" w:customStyle="1" w:styleId="HTMLChar1">
    <w:name w:val="HTML 预设格式 Char1"/>
    <w:uiPriority w:val="99"/>
    <w:semiHidden/>
    <w:rsid w:val="000676A1"/>
    <w:rPr>
      <w:rFonts w:ascii="Courier New" w:eastAsia="SimSun" w:hAnsi="Courier New" w:cs="Courier New"/>
      <w:sz w:val="20"/>
      <w:szCs w:val="20"/>
    </w:rPr>
  </w:style>
  <w:style w:type="character" w:customStyle="1" w:styleId="DateChar1">
    <w:name w:val="Date Char1"/>
    <w:rsid w:val="000676A1"/>
    <w:rPr>
      <w:sz w:val="24"/>
      <w:szCs w:val="24"/>
      <w:lang w:val="fr-FR" w:eastAsia="fr-FR"/>
    </w:rPr>
  </w:style>
  <w:style w:type="character" w:customStyle="1" w:styleId="Char11">
    <w:name w:val="日期 Char1"/>
    <w:uiPriority w:val="99"/>
    <w:semiHidden/>
    <w:rsid w:val="000676A1"/>
    <w:rPr>
      <w:rFonts w:ascii="Calibri" w:eastAsia="SimSun" w:hAnsi="Calibri" w:cs="Times New Roman"/>
    </w:rPr>
  </w:style>
  <w:style w:type="character" w:customStyle="1" w:styleId="Char">
    <w:name w:val="表头 Char"/>
    <w:link w:val="ab"/>
    <w:rsid w:val="000676A1"/>
    <w:rPr>
      <w:color w:val="000000"/>
    </w:rPr>
  </w:style>
  <w:style w:type="paragraph" w:customStyle="1" w:styleId="ab">
    <w:name w:val="表头"/>
    <w:basedOn w:val="Normal"/>
    <w:link w:val="Char"/>
    <w:rsid w:val="000676A1"/>
    <w:pPr>
      <w:widowControl w:val="0"/>
      <w:spacing w:after="0" w:line="360" w:lineRule="auto"/>
      <w:jc w:val="center"/>
    </w:pPr>
    <w:rPr>
      <w:rFonts w:asciiTheme="minorHAnsi" w:eastAsiaTheme="minorHAnsi" w:hAnsiTheme="minorHAnsi" w:cstheme="minorBidi"/>
      <w:color w:val="000000"/>
    </w:rPr>
  </w:style>
  <w:style w:type="character" w:customStyle="1" w:styleId="Char0">
    <w:name w:val="表 Char"/>
    <w:link w:val="ac"/>
    <w:rsid w:val="000676A1"/>
    <w:rPr>
      <w:rFonts w:eastAsia="SimSun"/>
    </w:rPr>
  </w:style>
  <w:style w:type="paragraph" w:customStyle="1" w:styleId="ac">
    <w:name w:val="表"/>
    <w:basedOn w:val="Normal"/>
    <w:link w:val="Char0"/>
    <w:rsid w:val="000676A1"/>
    <w:pPr>
      <w:widowControl w:val="0"/>
      <w:spacing w:after="0" w:line="240" w:lineRule="auto"/>
      <w:jc w:val="center"/>
    </w:pPr>
    <w:rPr>
      <w:rFonts w:asciiTheme="minorHAnsi" w:eastAsia="SimSun" w:hAnsiTheme="minorHAnsi" w:cstheme="minorBidi"/>
    </w:rPr>
  </w:style>
  <w:style w:type="paragraph" w:customStyle="1" w:styleId="ad">
    <w:name w:val="图号"/>
    <w:basedOn w:val="Normal"/>
    <w:rsid w:val="000676A1"/>
    <w:pPr>
      <w:widowControl w:val="0"/>
      <w:spacing w:after="120" w:line="460" w:lineRule="exact"/>
      <w:ind w:firstLineChars="200" w:firstLine="200"/>
      <w:jc w:val="center"/>
      <w:outlineLvl w:val="0"/>
    </w:pPr>
    <w:rPr>
      <w:rFonts w:ascii="Times New Roman" w:eastAsia="SimHei" w:hAnsi="Times New Roman"/>
      <w:kern w:val="2"/>
      <w:sz w:val="24"/>
      <w:szCs w:val="20"/>
      <w:lang w:eastAsia="zh-CN"/>
      <w14:ligatures w14:val="standardContextual"/>
    </w:rPr>
  </w:style>
  <w:style w:type="paragraph" w:customStyle="1" w:styleId="ae">
    <w:name w:val="图名"/>
    <w:basedOn w:val="Normal"/>
    <w:link w:val="Char2"/>
    <w:rsid w:val="000676A1"/>
    <w:pPr>
      <w:spacing w:after="0" w:line="240" w:lineRule="auto"/>
      <w:ind w:left="792"/>
    </w:pPr>
    <w:rPr>
      <w:rFonts w:ascii="Times New Roman" w:hAnsi="Times New Roman"/>
      <w:b/>
      <w:lang w:val="x-none" w:eastAsia="x-none"/>
      <w14:ligatures w14:val="standardContextual"/>
    </w:rPr>
  </w:style>
  <w:style w:type="character" w:customStyle="1" w:styleId="Char2">
    <w:name w:val="图名 Char"/>
    <w:link w:val="ae"/>
    <w:rsid w:val="000676A1"/>
    <w:rPr>
      <w:rFonts w:ascii="Times New Roman" w:eastAsia="Calibri" w:hAnsi="Times New Roman" w:cs="Times New Roman"/>
      <w:b/>
      <w:lang w:val="x-none" w:eastAsia="x-none"/>
      <w14:ligatures w14:val="standardContextual"/>
    </w:rPr>
  </w:style>
  <w:style w:type="character" w:customStyle="1" w:styleId="858D7CFB-ED40-4347-BF05-701D383B685F">
    <w:name w:val="具体内容[858D7CFB-ED40-4347-BF05-701D383B685F]"/>
    <w:link w:val="af"/>
    <w:rsid w:val="000676A1"/>
    <w:rPr>
      <w:rFonts w:eastAsia="FangSong_GB2312"/>
    </w:rPr>
  </w:style>
  <w:style w:type="paragraph" w:customStyle="1" w:styleId="af">
    <w:name w:val="具体内容"/>
    <w:basedOn w:val="Titre2"/>
    <w:link w:val="858D7CFB-ED40-4347-BF05-701D383B685F"/>
    <w:rsid w:val="000676A1"/>
    <w:pPr>
      <w:keepNext w:val="0"/>
      <w:widowControl w:val="0"/>
      <w:pBdr>
        <w:bottom w:val="none" w:sz="0" w:space="0" w:color="auto"/>
      </w:pBdr>
      <w:spacing w:beforeLines="50" w:before="0" w:after="0" w:line="360" w:lineRule="auto"/>
      <w:ind w:firstLineChars="200" w:firstLine="998"/>
      <w:outlineLvl w:val="9"/>
    </w:pPr>
    <w:rPr>
      <w:rFonts w:asciiTheme="minorHAnsi" w:eastAsia="FangSong_GB2312" w:hAnsiTheme="minorHAnsi" w:cstheme="minorBidi"/>
      <w:b w:val="0"/>
      <w:bCs w:val="0"/>
      <w:color w:val="auto"/>
      <w:sz w:val="22"/>
      <w:szCs w:val="22"/>
      <w:lang w:eastAsia="en-US"/>
    </w:rPr>
  </w:style>
  <w:style w:type="paragraph" w:customStyle="1" w:styleId="1">
    <w:name w:val="标题1"/>
    <w:basedOn w:val="Titre1"/>
    <w:rsid w:val="000676A1"/>
    <w:pPr>
      <w:numPr>
        <w:numId w:val="0"/>
      </w:numPr>
      <w:spacing w:beforeLines="50" w:before="0" w:after="160" w:line="336" w:lineRule="auto"/>
      <w:ind w:right="0"/>
      <w:jc w:val="center"/>
    </w:pPr>
    <w:rPr>
      <w:rFonts w:ascii="SimHei" w:eastAsia="SimHei" w:hAnsi="SimSun"/>
      <w:bCs w:val="0"/>
      <w:caps w:val="0"/>
      <w:snapToGrid w:val="0"/>
      <w:color w:val="FF0000"/>
      <w:kern w:val="0"/>
      <w:sz w:val="36"/>
      <w:szCs w:val="36"/>
      <w:lang w:val="en-US" w:eastAsia="zh-CN"/>
      <w14:ligatures w14:val="standardContextual"/>
    </w:rPr>
  </w:style>
  <w:style w:type="numbering" w:customStyle="1" w:styleId="10">
    <w:name w:val="无列表1"/>
    <w:next w:val="Aucuneliste"/>
    <w:uiPriority w:val="99"/>
    <w:semiHidden/>
    <w:unhideWhenUsed/>
    <w:rsid w:val="000676A1"/>
  </w:style>
  <w:style w:type="paragraph" w:customStyle="1" w:styleId="af0">
    <w:name w:val="段落正文"/>
    <w:basedOn w:val="Normal"/>
    <w:link w:val="Char3"/>
    <w:rsid w:val="000676A1"/>
    <w:pPr>
      <w:widowControl w:val="0"/>
      <w:tabs>
        <w:tab w:val="left" w:pos="9538"/>
      </w:tabs>
      <w:spacing w:after="0" w:line="360" w:lineRule="auto"/>
      <w:ind w:firstLineChars="200" w:firstLine="200"/>
    </w:pPr>
    <w:rPr>
      <w:rFonts w:ascii="Times New Roman" w:eastAsia="SimSun" w:hAnsi="Times New Roman"/>
      <w:kern w:val="2"/>
      <w:sz w:val="24"/>
      <w:szCs w:val="24"/>
      <w:lang w:val="x-none" w:eastAsia="zh-CN"/>
      <w14:ligatures w14:val="standardContextual"/>
    </w:rPr>
  </w:style>
  <w:style w:type="character" w:customStyle="1" w:styleId="Char3">
    <w:name w:val="段落正文 Char"/>
    <w:link w:val="af0"/>
    <w:rsid w:val="000676A1"/>
    <w:rPr>
      <w:rFonts w:ascii="Times New Roman" w:eastAsia="SimSun" w:hAnsi="Times New Roman" w:cs="Times New Roman"/>
      <w:kern w:val="2"/>
      <w:sz w:val="24"/>
      <w:szCs w:val="24"/>
      <w:lang w:val="x-none" w:eastAsia="zh-CN"/>
      <w14:ligatures w14:val="standardContextual"/>
    </w:rPr>
  </w:style>
  <w:style w:type="paragraph" w:customStyle="1" w:styleId="af1">
    <w:name w:val="图片"/>
    <w:basedOn w:val="ae"/>
    <w:rsid w:val="000676A1"/>
  </w:style>
  <w:style w:type="paragraph" w:customStyle="1" w:styleId="af2">
    <w:name w:val="黑体"/>
    <w:basedOn w:val="af1"/>
    <w:rsid w:val="000676A1"/>
  </w:style>
  <w:style w:type="character" w:customStyle="1" w:styleId="2Char2">
    <w:name w:val="正文文本缩进 2 Char2"/>
    <w:semiHidden/>
    <w:rsid w:val="000676A1"/>
    <w:rPr>
      <w:rFonts w:ascii="Times New Roman" w:eastAsia="SimSun" w:hAnsi="Times New Roman" w:cs="Times New Roman"/>
      <w:sz w:val="24"/>
    </w:rPr>
  </w:style>
  <w:style w:type="paragraph" w:customStyle="1" w:styleId="Y">
    <w:name w:val="Y表格_正文"/>
    <w:rsid w:val="000676A1"/>
    <w:pPr>
      <w:widowControl w:val="0"/>
      <w:spacing w:after="0" w:line="240" w:lineRule="atLeast"/>
      <w:jc w:val="center"/>
    </w:pPr>
    <w:rPr>
      <w:rFonts w:ascii="Times New Roman" w:eastAsia="SimSun" w:hAnsi="Times New Roman" w:cs="Times New Roman"/>
      <w:sz w:val="24"/>
      <w:szCs w:val="20"/>
      <w:lang w:val="en-US" w:eastAsia="zh-CN"/>
      <w14:ligatures w14:val="standardContextual"/>
    </w:rPr>
  </w:style>
  <w:style w:type="character" w:customStyle="1" w:styleId="RetraitcorpsdetexteCar2">
    <w:name w:val="Retrait corps de texte Car2"/>
    <w:uiPriority w:val="99"/>
    <w:semiHidden/>
    <w:rsid w:val="000676A1"/>
    <w:rPr>
      <w:rFonts w:ascii="Times New Roman" w:eastAsia="SimSun" w:hAnsi="Times New Roman" w:cs="Times New Roman"/>
      <w:kern w:val="2"/>
      <w:sz w:val="24"/>
      <w:szCs w:val="21"/>
      <w:lang w:val="en-US" w:eastAsia="zh-CN"/>
    </w:rPr>
  </w:style>
  <w:style w:type="character" w:customStyle="1" w:styleId="Char20">
    <w:name w:val="正文文本缩进 Char2"/>
    <w:semiHidden/>
    <w:rsid w:val="000676A1"/>
    <w:rPr>
      <w:rFonts w:ascii="Times New Roman" w:eastAsia="SimSun" w:hAnsi="Times New Roman" w:cs="Times New Roman"/>
      <w:sz w:val="24"/>
    </w:rPr>
  </w:style>
  <w:style w:type="paragraph" w:customStyle="1" w:styleId="11">
    <w:name w:val="正文1"/>
    <w:rsid w:val="000676A1"/>
    <w:pPr>
      <w:adjustRightInd w:val="0"/>
      <w:snapToGrid w:val="0"/>
      <w:spacing w:afterLines="50" w:after="0" w:line="300" w:lineRule="auto"/>
      <w:ind w:firstLineChars="200" w:firstLine="200"/>
      <w:jc w:val="both"/>
    </w:pPr>
    <w:rPr>
      <w:rFonts w:ascii="SimSun" w:eastAsia="SimSun" w:hAnsi="Times New Roman" w:cs="Times New Roman"/>
      <w:spacing w:val="10"/>
      <w:sz w:val="24"/>
      <w:szCs w:val="20"/>
      <w:lang w:val="en-US" w:eastAsia="zh-CN"/>
      <w14:ligatures w14:val="standardContextual"/>
    </w:rPr>
  </w:style>
  <w:style w:type="character" w:customStyle="1" w:styleId="PrformatHTMLCar2">
    <w:name w:val="Préformaté HTML Car2"/>
    <w:uiPriority w:val="99"/>
    <w:semiHidden/>
    <w:rsid w:val="000676A1"/>
    <w:rPr>
      <w:rFonts w:ascii="Consolas" w:eastAsia="SimSun" w:hAnsi="Consolas" w:cs="Consolas"/>
      <w:kern w:val="2"/>
      <w:sz w:val="20"/>
      <w:szCs w:val="20"/>
      <w:lang w:val="en-US" w:eastAsia="zh-CN"/>
    </w:rPr>
  </w:style>
  <w:style w:type="character" w:customStyle="1" w:styleId="HTMLChar2">
    <w:name w:val="HTML 预设格式 Char2"/>
    <w:semiHidden/>
    <w:rsid w:val="000676A1"/>
    <w:rPr>
      <w:rFonts w:ascii="Courier New" w:eastAsia="SimSun" w:hAnsi="Courier New" w:cs="Courier New"/>
      <w:sz w:val="20"/>
      <w:szCs w:val="20"/>
    </w:rPr>
  </w:style>
  <w:style w:type="paragraph" w:customStyle="1" w:styleId="12">
    <w:name w:val="表1"/>
    <w:basedOn w:val="13"/>
    <w:rsid w:val="000676A1"/>
    <w:pPr>
      <w:spacing w:line="160" w:lineRule="exact"/>
    </w:pPr>
    <w:rPr>
      <w:rFonts w:eastAsia="SimSun"/>
      <w:spacing w:val="-20"/>
      <w:sz w:val="15"/>
    </w:rPr>
  </w:style>
  <w:style w:type="paragraph" w:customStyle="1" w:styleId="13">
    <w:name w:val="表头1"/>
    <w:basedOn w:val="Normal"/>
    <w:rsid w:val="000676A1"/>
    <w:pPr>
      <w:widowControl w:val="0"/>
      <w:spacing w:after="0" w:line="240" w:lineRule="auto"/>
      <w:ind w:firstLineChars="200" w:firstLine="200"/>
      <w:jc w:val="center"/>
    </w:pPr>
    <w:rPr>
      <w:rFonts w:ascii="Times New Roman" w:eastAsia="SimHei" w:hAnsi="Times New Roman"/>
      <w:kern w:val="2"/>
      <w:sz w:val="21"/>
      <w:szCs w:val="20"/>
      <w:lang w:eastAsia="zh-CN"/>
      <w14:ligatures w14:val="standardContextual"/>
    </w:rPr>
  </w:style>
  <w:style w:type="paragraph" w:customStyle="1" w:styleId="af3">
    <w:name w:val="正文标题"/>
    <w:basedOn w:val="Titre40"/>
    <w:rsid w:val="000676A1"/>
    <w:pPr>
      <w:keepLines/>
      <w:widowControl w:val="0"/>
      <w:spacing w:beforeLines="100" w:before="120" w:afterLines="50" w:after="120" w:line="240" w:lineRule="auto"/>
      <w:ind w:left="0" w:firstLineChars="200" w:firstLine="482"/>
      <w:jc w:val="both"/>
    </w:pPr>
    <w:rPr>
      <w:rFonts w:ascii="Times New Roman" w:eastAsia="SimHei" w:hAnsi="Times New Roman"/>
      <w:bCs w:val="0"/>
      <w:i/>
      <w:iCs/>
      <w:kern w:val="2"/>
      <w:sz w:val="24"/>
      <w:szCs w:val="20"/>
      <w:lang w:val="en-US" w:eastAsia="zh-CN"/>
      <w14:ligatures w14:val="standardContextual"/>
    </w:rPr>
  </w:style>
  <w:style w:type="paragraph" w:customStyle="1" w:styleId="14">
    <w:name w:val="正文文本1"/>
    <w:basedOn w:val="Normal"/>
    <w:rsid w:val="000676A1"/>
    <w:pPr>
      <w:widowControl w:val="0"/>
      <w:tabs>
        <w:tab w:val="left" w:pos="920"/>
      </w:tabs>
      <w:spacing w:beforeLines="50" w:after="0" w:line="480" w:lineRule="exact"/>
      <w:ind w:left="920" w:firstLineChars="200" w:hanging="420"/>
    </w:pPr>
    <w:rPr>
      <w:rFonts w:ascii="Times New Roman" w:eastAsia="SimSun" w:hAnsi="Times New Roman"/>
      <w:color w:val="000000"/>
      <w:kern w:val="2"/>
      <w:sz w:val="25"/>
      <w:szCs w:val="20"/>
      <w:lang w:eastAsia="zh-CN"/>
      <w14:ligatures w14:val="standardContextual"/>
    </w:rPr>
  </w:style>
  <w:style w:type="paragraph" w:customStyle="1" w:styleId="af4">
    <w:name w:val="?à¨a"/>
    <w:basedOn w:val="Normal"/>
    <w:autoRedefine/>
    <w:rsid w:val="000676A1"/>
    <w:pPr>
      <w:widowControl w:val="0"/>
      <w:spacing w:after="0" w:line="340" w:lineRule="exact"/>
      <w:ind w:firstLineChars="200" w:firstLine="200"/>
      <w:jc w:val="center"/>
    </w:pPr>
    <w:rPr>
      <w:rFonts w:ascii="Times New Roman" w:eastAsia="SimSun" w:hAnsi="Times New Roman"/>
      <w:snapToGrid w:val="0"/>
      <w:color w:val="000000"/>
      <w:kern w:val="2"/>
      <w:sz w:val="21"/>
      <w:szCs w:val="20"/>
      <w:lang w:eastAsia="zh-CN"/>
      <w14:ligatures w14:val="standardContextual"/>
    </w:rPr>
  </w:style>
  <w:style w:type="paragraph" w:customStyle="1" w:styleId="2">
    <w:name w:val="样式 表 + 首行缩进:  2 字符"/>
    <w:basedOn w:val="Normal"/>
    <w:rsid w:val="000676A1"/>
    <w:pPr>
      <w:spacing w:after="0" w:line="240" w:lineRule="auto"/>
      <w:ind w:left="210" w:rightChars="-2" w:right="-5" w:firstLineChars="200" w:firstLine="200"/>
      <w:jc w:val="center"/>
    </w:pPr>
    <w:rPr>
      <w:rFonts w:ascii="Times New Roman" w:eastAsia="SimSun" w:hAnsi="Times New Roman" w:cs="SimSun"/>
      <w:sz w:val="21"/>
      <w:szCs w:val="20"/>
      <w:lang w:eastAsia="zh-CN"/>
      <w14:ligatures w14:val="standardContextual"/>
    </w:rPr>
  </w:style>
  <w:style w:type="paragraph" w:customStyle="1" w:styleId="Char12">
    <w:name w:val="Char1"/>
    <w:basedOn w:val="Normal"/>
    <w:rsid w:val="000676A1"/>
    <w:pPr>
      <w:widowControl w:val="0"/>
      <w:adjustRightInd w:val="0"/>
      <w:snapToGrid w:val="0"/>
      <w:spacing w:after="0" w:line="360" w:lineRule="auto"/>
      <w:ind w:firstLineChars="200" w:firstLine="200"/>
    </w:pPr>
    <w:rPr>
      <w:rFonts w:ascii="SimSun" w:eastAsia="SimSun" w:hAnsi="SimSun" w:cs="SimSun"/>
      <w:color w:val="0000FF"/>
      <w:kern w:val="2"/>
      <w:sz w:val="24"/>
      <w:szCs w:val="24"/>
      <w:lang w:eastAsia="zh-CN"/>
      <w14:ligatures w14:val="standardContextual"/>
    </w:rPr>
  </w:style>
  <w:style w:type="paragraph" w:customStyle="1" w:styleId="15">
    <w:name w:val="样式1"/>
    <w:basedOn w:val="Titre40"/>
    <w:autoRedefine/>
    <w:rsid w:val="000676A1"/>
    <w:pPr>
      <w:keepLines/>
      <w:widowControl w:val="0"/>
      <w:spacing w:before="120" w:after="120" w:line="460" w:lineRule="exact"/>
      <w:ind w:left="0" w:firstLineChars="200" w:firstLine="200"/>
      <w:jc w:val="both"/>
    </w:pPr>
    <w:rPr>
      <w:rFonts w:ascii="Times New Roman" w:eastAsia="SimHei" w:hAnsi="Times New Roman"/>
      <w:b w:val="0"/>
      <w:i/>
      <w:iCs/>
      <w:kern w:val="2"/>
      <w:sz w:val="21"/>
      <w:szCs w:val="20"/>
      <w:lang w:val="en-US" w:eastAsia="zh-CN"/>
      <w14:ligatures w14:val="standardContextual"/>
    </w:rPr>
  </w:style>
  <w:style w:type="paragraph" w:customStyle="1" w:styleId="16">
    <w:name w:val="列出段落1"/>
    <w:basedOn w:val="Normal"/>
    <w:rsid w:val="000676A1"/>
    <w:pPr>
      <w:widowControl w:val="0"/>
      <w:spacing w:after="0" w:line="240" w:lineRule="auto"/>
      <w:ind w:firstLineChars="200" w:firstLine="420"/>
      <w:jc w:val="both"/>
    </w:pPr>
    <w:rPr>
      <w:rFonts w:eastAsia="SimSun"/>
      <w:kern w:val="2"/>
      <w:sz w:val="21"/>
      <w:lang w:eastAsia="zh-CN"/>
      <w14:ligatures w14:val="standardContextual"/>
    </w:rPr>
  </w:style>
  <w:style w:type="paragraph" w:customStyle="1" w:styleId="xl66">
    <w:name w:val="xl66"/>
    <w:basedOn w:val="Normal"/>
    <w:rsid w:val="000676A1"/>
    <w:pPr>
      <w:pBdr>
        <w:bottom w:val="single" w:sz="8" w:space="0" w:color="auto"/>
        <w:right w:val="single" w:sz="8" w:space="0" w:color="auto"/>
      </w:pBdr>
      <w:spacing w:before="100" w:beforeAutospacing="1" w:after="100" w:afterAutospacing="1" w:line="240" w:lineRule="auto"/>
      <w:ind w:firstLineChars="200" w:firstLine="200"/>
      <w:jc w:val="center"/>
      <w:textAlignment w:val="bottom"/>
    </w:pPr>
    <w:rPr>
      <w:rFonts w:ascii="Arial Unicode MS" w:eastAsia="SimSun" w:hAnsi="Arial Unicode MS"/>
      <w:sz w:val="16"/>
      <w:szCs w:val="16"/>
      <w:lang w:eastAsia="zh-CN"/>
      <w14:ligatures w14:val="standardContextual"/>
    </w:rPr>
  </w:style>
  <w:style w:type="paragraph" w:customStyle="1" w:styleId="xl67">
    <w:name w:val="xl67"/>
    <w:basedOn w:val="Normal"/>
    <w:rsid w:val="000676A1"/>
    <w:pPr>
      <w:pBdr>
        <w:bottom w:val="single" w:sz="8" w:space="0" w:color="auto"/>
        <w:right w:val="double" w:sz="6" w:space="0" w:color="auto"/>
      </w:pBdr>
      <w:spacing w:before="100" w:beforeAutospacing="1" w:after="100" w:afterAutospacing="1" w:line="240" w:lineRule="auto"/>
      <w:ind w:firstLineChars="200" w:firstLine="200"/>
      <w:jc w:val="center"/>
      <w:textAlignment w:val="bottom"/>
    </w:pPr>
    <w:rPr>
      <w:rFonts w:ascii="Times New Roman" w:eastAsia="SimSun" w:hAnsi="Times New Roman"/>
      <w:sz w:val="16"/>
      <w:szCs w:val="16"/>
      <w:lang w:eastAsia="zh-CN"/>
      <w14:ligatures w14:val="standardContextual"/>
    </w:rPr>
  </w:style>
  <w:style w:type="paragraph" w:customStyle="1" w:styleId="font6">
    <w:name w:val="font6"/>
    <w:basedOn w:val="Normal"/>
    <w:rsid w:val="000676A1"/>
    <w:pPr>
      <w:spacing w:before="100" w:beforeAutospacing="1" w:after="100" w:afterAutospacing="1" w:line="240" w:lineRule="auto"/>
      <w:ind w:firstLineChars="200" w:firstLine="200"/>
    </w:pPr>
    <w:rPr>
      <w:rFonts w:ascii="SimSun" w:eastAsia="SimSun" w:hAnsi="SimSun" w:hint="eastAsia"/>
      <w:b/>
      <w:bCs/>
      <w:color w:val="000000"/>
      <w:sz w:val="18"/>
      <w:szCs w:val="18"/>
      <w:lang w:eastAsia="zh-CN"/>
      <w14:ligatures w14:val="standardContextual"/>
    </w:rPr>
  </w:style>
  <w:style w:type="paragraph" w:customStyle="1" w:styleId="150">
    <w:name w:val="样式 黑体 三号 深蓝 行距: 1.5 倍行距"/>
    <w:basedOn w:val="Normal"/>
    <w:autoRedefine/>
    <w:rsid w:val="000676A1"/>
    <w:pPr>
      <w:widowControl w:val="0"/>
      <w:tabs>
        <w:tab w:val="left" w:pos="0"/>
      </w:tabs>
      <w:spacing w:after="0" w:line="360" w:lineRule="auto"/>
      <w:ind w:rightChars="100" w:right="210" w:firstLineChars="200" w:firstLine="480"/>
      <w:jc w:val="both"/>
      <w:outlineLvl w:val="1"/>
    </w:pPr>
    <w:rPr>
      <w:rFonts w:ascii="FangSong_GB2312" w:eastAsia="FangSong_GB2312" w:hAnsi="SimSun" w:cs="SimSun"/>
      <w:snapToGrid w:val="0"/>
      <w:color w:val="000080"/>
      <w:sz w:val="24"/>
      <w:szCs w:val="24"/>
      <w:lang w:eastAsia="zh-CN"/>
      <w14:ligatures w14:val="standardContextual"/>
    </w:rPr>
  </w:style>
  <w:style w:type="character" w:customStyle="1" w:styleId="858D7CFB-ED40-4347-BF05-701D383B685F1">
    <w:name w:val="具体内容[858D7CFB-ED40-4347-BF05-701D383B685F]1"/>
    <w:rsid w:val="000676A1"/>
    <w:rPr>
      <w:rFonts w:eastAsia="FangSong_GB2312"/>
      <w:sz w:val="24"/>
    </w:rPr>
  </w:style>
  <w:style w:type="character" w:customStyle="1" w:styleId="normalchar">
    <w:name w:val="normal__char"/>
    <w:rsid w:val="000676A1"/>
  </w:style>
  <w:style w:type="paragraph" w:customStyle="1" w:styleId="20">
    <w:name w:val="正文2"/>
    <w:basedOn w:val="Normal"/>
    <w:rsid w:val="000676A1"/>
    <w:pPr>
      <w:spacing w:before="100" w:beforeAutospacing="1" w:after="100" w:afterAutospacing="1" w:line="240" w:lineRule="auto"/>
      <w:ind w:firstLineChars="200" w:firstLine="200"/>
    </w:pPr>
    <w:rPr>
      <w:rFonts w:ascii="SimSun" w:eastAsia="SimSun" w:hAnsi="SimSun" w:cs="SimSun"/>
      <w:sz w:val="24"/>
      <w:szCs w:val="24"/>
      <w:lang w:eastAsia="zh-CN"/>
      <w14:ligatures w14:val="standardContextual"/>
    </w:rPr>
  </w:style>
  <w:style w:type="paragraph" w:customStyle="1" w:styleId="Char21">
    <w:name w:val="Char2"/>
    <w:basedOn w:val="Normal"/>
    <w:rsid w:val="000676A1"/>
    <w:pPr>
      <w:widowControl w:val="0"/>
      <w:adjustRightInd w:val="0"/>
      <w:snapToGrid w:val="0"/>
      <w:spacing w:after="0" w:line="360" w:lineRule="auto"/>
      <w:ind w:firstLineChars="200" w:firstLine="200"/>
    </w:pPr>
    <w:rPr>
      <w:rFonts w:ascii="SimSun" w:eastAsia="SimSun" w:hAnsi="SimSun" w:cs="SimSun"/>
      <w:color w:val="0000FF"/>
      <w:kern w:val="2"/>
      <w:sz w:val="24"/>
      <w:szCs w:val="24"/>
      <w:lang w:eastAsia="zh-CN"/>
      <w14:ligatures w14:val="standardContextual"/>
    </w:rPr>
  </w:style>
  <w:style w:type="paragraph" w:customStyle="1" w:styleId="110">
    <w:name w:val="列出段落11"/>
    <w:basedOn w:val="Normal"/>
    <w:rsid w:val="000676A1"/>
    <w:pPr>
      <w:widowControl w:val="0"/>
      <w:spacing w:after="0" w:line="240" w:lineRule="auto"/>
      <w:ind w:firstLineChars="200" w:firstLine="420"/>
      <w:jc w:val="both"/>
    </w:pPr>
    <w:rPr>
      <w:rFonts w:eastAsia="SimSun"/>
      <w:kern w:val="2"/>
      <w:sz w:val="24"/>
      <w:lang w:eastAsia="zh-CN"/>
      <w14:ligatures w14:val="standardContextual"/>
    </w:rPr>
  </w:style>
  <w:style w:type="paragraph" w:customStyle="1" w:styleId="22">
    <w:name w:val="列出段落2"/>
    <w:basedOn w:val="Normal"/>
    <w:rsid w:val="000676A1"/>
    <w:pPr>
      <w:widowControl w:val="0"/>
      <w:spacing w:after="0" w:line="240" w:lineRule="auto"/>
      <w:ind w:firstLineChars="200" w:firstLine="420"/>
      <w:jc w:val="both"/>
    </w:pPr>
    <w:rPr>
      <w:rFonts w:eastAsia="SimSun"/>
      <w:kern w:val="2"/>
      <w:sz w:val="24"/>
      <w:lang w:eastAsia="zh-CN"/>
      <w14:ligatures w14:val="standardContextual"/>
    </w:rPr>
  </w:style>
  <w:style w:type="character" w:customStyle="1" w:styleId="858D7CFB-ED40-4347-BF05-701D383B685F2">
    <w:name w:val="具体内容[858D7CFB-ED40-4347-BF05-701D383B685F]2"/>
    <w:rsid w:val="000676A1"/>
    <w:rPr>
      <w:rFonts w:eastAsia="FangSong_GB2312"/>
      <w:sz w:val="24"/>
    </w:rPr>
  </w:style>
  <w:style w:type="paragraph" w:customStyle="1" w:styleId="151">
    <w:name w:val="样式 小四 左 行距: 1.5 倍行距"/>
    <w:basedOn w:val="Normal"/>
    <w:rsid w:val="000676A1"/>
    <w:pPr>
      <w:widowControl w:val="0"/>
      <w:spacing w:after="0" w:line="360" w:lineRule="auto"/>
      <w:ind w:firstLineChars="200" w:firstLine="200"/>
    </w:pPr>
    <w:rPr>
      <w:rFonts w:ascii="Times New Roman" w:eastAsia="SimSun" w:hAnsi="Times New Roman" w:cs="SimSun"/>
      <w:kern w:val="2"/>
      <w:sz w:val="24"/>
      <w:szCs w:val="20"/>
      <w:lang w:eastAsia="zh-CN"/>
      <w14:ligatures w14:val="standardContextual"/>
    </w:rPr>
  </w:style>
  <w:style w:type="paragraph" w:customStyle="1" w:styleId="3">
    <w:name w:val="列出段落3"/>
    <w:basedOn w:val="Normal"/>
    <w:rsid w:val="000676A1"/>
    <w:pPr>
      <w:widowControl w:val="0"/>
      <w:spacing w:after="0" w:line="240" w:lineRule="auto"/>
      <w:ind w:firstLineChars="200" w:firstLine="420"/>
      <w:jc w:val="both"/>
    </w:pPr>
    <w:rPr>
      <w:rFonts w:eastAsia="SimSun"/>
      <w:kern w:val="2"/>
      <w:sz w:val="21"/>
      <w:lang w:eastAsia="zh-CN"/>
      <w14:ligatures w14:val="standardContextual"/>
    </w:rPr>
  </w:style>
  <w:style w:type="character" w:customStyle="1" w:styleId="exp2">
    <w:name w:val="exp2"/>
    <w:rsid w:val="000676A1"/>
    <w:rPr>
      <w:color w:val="3E3E3E"/>
    </w:rPr>
  </w:style>
  <w:style w:type="paragraph" w:customStyle="1" w:styleId="4">
    <w:name w:val="列出段落4"/>
    <w:basedOn w:val="Normal"/>
    <w:rsid w:val="000676A1"/>
    <w:pPr>
      <w:widowControl w:val="0"/>
      <w:spacing w:after="0" w:line="240" w:lineRule="auto"/>
      <w:ind w:firstLineChars="200" w:firstLine="420"/>
      <w:jc w:val="both"/>
    </w:pPr>
    <w:rPr>
      <w:rFonts w:eastAsia="SimSun"/>
      <w:kern w:val="2"/>
      <w:sz w:val="21"/>
      <w:lang w:eastAsia="zh-CN"/>
      <w14:ligatures w14:val="standardContextual"/>
    </w:rPr>
  </w:style>
  <w:style w:type="paragraph" w:customStyle="1" w:styleId="220">
    <w:name w:val="样式 样式 首行缩进:  2 字符 + 首行缩进:  2 字符"/>
    <w:basedOn w:val="Normal"/>
    <w:rsid w:val="000676A1"/>
    <w:pPr>
      <w:widowControl w:val="0"/>
      <w:adjustRightInd w:val="0"/>
      <w:snapToGrid w:val="0"/>
      <w:spacing w:after="0" w:line="480" w:lineRule="exact"/>
      <w:ind w:firstLineChars="200" w:firstLine="200"/>
      <w:jc w:val="both"/>
    </w:pPr>
    <w:rPr>
      <w:rFonts w:ascii="Times New Roman" w:eastAsia="SimSun" w:hAnsi="Times New Roman"/>
      <w:kern w:val="2"/>
      <w:sz w:val="28"/>
      <w:szCs w:val="20"/>
      <w:lang w:eastAsia="zh-CN"/>
      <w14:ligatures w14:val="standardContextual"/>
    </w:rPr>
  </w:style>
  <w:style w:type="paragraph" w:customStyle="1" w:styleId="xl39">
    <w:name w:val="xl39"/>
    <w:basedOn w:val="Normal"/>
    <w:rsid w:val="000676A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Chars="200" w:firstLine="200"/>
      <w:jc w:val="center"/>
      <w:textAlignment w:val="center"/>
    </w:pPr>
    <w:rPr>
      <w:rFonts w:ascii="Arial Unicode MS" w:eastAsia="Arial Unicode MS" w:hAnsi="Arial Unicode MS" w:cs="Arial Unicode MS"/>
      <w:sz w:val="18"/>
      <w:szCs w:val="18"/>
      <w:lang w:eastAsia="zh-CN"/>
      <w14:ligatures w14:val="standardContextual"/>
    </w:rPr>
  </w:style>
  <w:style w:type="paragraph" w:customStyle="1" w:styleId="xl40">
    <w:name w:val="xl40"/>
    <w:basedOn w:val="Normal"/>
    <w:rsid w:val="000676A1"/>
    <w:pPr>
      <w:pBdr>
        <w:top w:val="single" w:sz="4" w:space="0" w:color="auto"/>
        <w:left w:val="single" w:sz="4" w:space="0" w:color="auto"/>
        <w:bottom w:val="single" w:sz="4" w:space="0" w:color="auto"/>
        <w:right w:val="double" w:sz="6" w:space="0" w:color="auto"/>
      </w:pBdr>
      <w:shd w:val="clear" w:color="auto" w:fill="CCFFFF"/>
      <w:spacing w:before="100" w:beforeAutospacing="1" w:after="100" w:afterAutospacing="1" w:line="240" w:lineRule="auto"/>
      <w:ind w:firstLineChars="200" w:firstLine="200"/>
      <w:jc w:val="center"/>
      <w:textAlignment w:val="center"/>
    </w:pPr>
    <w:rPr>
      <w:rFonts w:ascii="Arial Unicode MS" w:eastAsia="Arial Unicode MS" w:hAnsi="Arial Unicode MS" w:cs="Arial Unicode MS"/>
      <w:sz w:val="18"/>
      <w:szCs w:val="18"/>
      <w:lang w:eastAsia="zh-CN"/>
      <w14:ligatures w14:val="standardContextual"/>
    </w:rPr>
  </w:style>
  <w:style w:type="paragraph" w:customStyle="1" w:styleId="xl42">
    <w:name w:val="xl42"/>
    <w:basedOn w:val="Normal"/>
    <w:rsid w:val="000676A1"/>
    <w:pPr>
      <w:pBdr>
        <w:top w:val="single" w:sz="4" w:space="0" w:color="auto"/>
        <w:left w:val="double" w:sz="6" w:space="0" w:color="auto"/>
        <w:bottom w:val="single" w:sz="4" w:space="0" w:color="auto"/>
        <w:right w:val="single" w:sz="4" w:space="0" w:color="auto"/>
      </w:pBdr>
      <w:spacing w:before="100" w:beforeAutospacing="1" w:after="100" w:afterAutospacing="1" w:line="240" w:lineRule="auto"/>
      <w:ind w:firstLineChars="200" w:firstLine="200"/>
      <w:jc w:val="center"/>
    </w:pPr>
    <w:rPr>
      <w:rFonts w:ascii="Arial Unicode MS" w:eastAsia="Arial Unicode MS" w:hAnsi="Arial Unicode MS" w:cs="Arial Unicode MS"/>
      <w:sz w:val="18"/>
      <w:szCs w:val="18"/>
      <w:lang w:eastAsia="zh-CN"/>
      <w14:ligatures w14:val="standardContextual"/>
    </w:rPr>
  </w:style>
  <w:style w:type="paragraph" w:customStyle="1" w:styleId="xl43">
    <w:name w:val="xl43"/>
    <w:basedOn w:val="Normal"/>
    <w:rsid w:val="000676A1"/>
    <w:pPr>
      <w:pBdr>
        <w:top w:val="double" w:sz="6" w:space="0" w:color="auto"/>
        <w:left w:val="single" w:sz="4" w:space="0" w:color="auto"/>
        <w:bottom w:val="single" w:sz="4" w:space="0" w:color="auto"/>
        <w:right w:val="single" w:sz="4" w:space="0" w:color="auto"/>
      </w:pBdr>
      <w:spacing w:before="100" w:beforeAutospacing="1" w:after="100" w:afterAutospacing="1" w:line="240" w:lineRule="auto"/>
      <w:ind w:firstLineChars="200" w:firstLine="200"/>
      <w:jc w:val="center"/>
      <w:textAlignment w:val="center"/>
    </w:pPr>
    <w:rPr>
      <w:rFonts w:ascii="Arial Unicode MS" w:eastAsia="Arial Unicode MS" w:hAnsi="Arial Unicode MS" w:cs="Arial Unicode MS"/>
      <w:sz w:val="18"/>
      <w:szCs w:val="18"/>
      <w:lang w:eastAsia="zh-CN"/>
      <w14:ligatures w14:val="standardContextual"/>
    </w:rPr>
  </w:style>
  <w:style w:type="paragraph" w:customStyle="1" w:styleId="xl44">
    <w:name w:val="xl44"/>
    <w:basedOn w:val="Normal"/>
    <w:rsid w:val="000676A1"/>
    <w:pPr>
      <w:pBdr>
        <w:top w:val="double" w:sz="6" w:space="0" w:color="auto"/>
        <w:left w:val="single" w:sz="4" w:space="0" w:color="auto"/>
        <w:bottom w:val="single" w:sz="4" w:space="0" w:color="auto"/>
        <w:right w:val="double" w:sz="6" w:space="0" w:color="auto"/>
      </w:pBdr>
      <w:spacing w:before="100" w:beforeAutospacing="1" w:after="100" w:afterAutospacing="1" w:line="240" w:lineRule="auto"/>
      <w:ind w:firstLineChars="200" w:firstLine="200"/>
      <w:jc w:val="center"/>
      <w:textAlignment w:val="center"/>
    </w:pPr>
    <w:rPr>
      <w:rFonts w:ascii="Arial Unicode MS" w:eastAsia="Arial Unicode MS" w:hAnsi="Arial Unicode MS" w:cs="Arial Unicode MS"/>
      <w:sz w:val="18"/>
      <w:szCs w:val="18"/>
      <w:lang w:eastAsia="zh-CN"/>
      <w14:ligatures w14:val="standardContextual"/>
    </w:rPr>
  </w:style>
  <w:style w:type="paragraph" w:customStyle="1" w:styleId="xl45">
    <w:name w:val="xl45"/>
    <w:basedOn w:val="Normal"/>
    <w:rsid w:val="000676A1"/>
    <w:pPr>
      <w:pBdr>
        <w:left w:val="double" w:sz="6" w:space="0" w:color="auto"/>
      </w:pBdr>
      <w:shd w:val="clear" w:color="auto" w:fill="FF99CC"/>
      <w:spacing w:before="100" w:beforeAutospacing="1" w:after="100" w:afterAutospacing="1" w:line="240" w:lineRule="auto"/>
      <w:ind w:firstLineChars="200" w:firstLine="200"/>
      <w:jc w:val="center"/>
      <w:textAlignment w:val="center"/>
    </w:pPr>
    <w:rPr>
      <w:rFonts w:ascii="Arial Unicode MS" w:eastAsia="Arial Unicode MS" w:hAnsi="Arial Unicode MS" w:cs="Arial Unicode MS"/>
      <w:sz w:val="20"/>
      <w:szCs w:val="20"/>
      <w:lang w:eastAsia="zh-CN"/>
      <w14:ligatures w14:val="standardContextual"/>
    </w:rPr>
  </w:style>
  <w:style w:type="paragraph" w:customStyle="1" w:styleId="xl46">
    <w:name w:val="xl46"/>
    <w:basedOn w:val="Normal"/>
    <w:rsid w:val="000676A1"/>
    <w:pPr>
      <w:shd w:val="clear" w:color="auto" w:fill="FF00FF"/>
      <w:spacing w:before="100" w:beforeAutospacing="1" w:after="100" w:afterAutospacing="1" w:line="240" w:lineRule="auto"/>
      <w:ind w:firstLineChars="200" w:firstLine="200"/>
      <w:jc w:val="center"/>
      <w:textAlignment w:val="center"/>
    </w:pPr>
    <w:rPr>
      <w:rFonts w:ascii="Arial Unicode MS" w:eastAsia="Arial Unicode MS" w:hAnsi="Arial Unicode MS" w:cs="Arial Unicode MS"/>
      <w:sz w:val="20"/>
      <w:szCs w:val="20"/>
      <w:lang w:eastAsia="zh-CN"/>
      <w14:ligatures w14:val="standardContextual"/>
    </w:rPr>
  </w:style>
  <w:style w:type="paragraph" w:customStyle="1" w:styleId="xl47">
    <w:name w:val="xl47"/>
    <w:basedOn w:val="Normal"/>
    <w:rsid w:val="000676A1"/>
    <w:pPr>
      <w:shd w:val="clear" w:color="auto" w:fill="FF00FF"/>
      <w:spacing w:before="100" w:beforeAutospacing="1" w:after="100" w:afterAutospacing="1" w:line="240" w:lineRule="auto"/>
      <w:ind w:firstLineChars="200" w:firstLine="200"/>
      <w:jc w:val="center"/>
      <w:textAlignment w:val="center"/>
    </w:pPr>
    <w:rPr>
      <w:rFonts w:ascii="Arial Unicode MS" w:eastAsia="Arial Unicode MS" w:hAnsi="Arial Unicode MS" w:cs="Arial Unicode MS"/>
      <w:sz w:val="20"/>
      <w:szCs w:val="20"/>
      <w:lang w:eastAsia="zh-CN"/>
      <w14:ligatures w14:val="standardContextual"/>
    </w:rPr>
  </w:style>
  <w:style w:type="paragraph" w:customStyle="1" w:styleId="xl48">
    <w:name w:val="xl48"/>
    <w:basedOn w:val="Normal"/>
    <w:rsid w:val="000676A1"/>
    <w:pPr>
      <w:pBdr>
        <w:left w:val="double" w:sz="6" w:space="0" w:color="auto"/>
      </w:pBdr>
      <w:shd w:val="clear" w:color="auto" w:fill="FF00FF"/>
      <w:spacing w:before="100" w:beforeAutospacing="1" w:after="100" w:afterAutospacing="1" w:line="240" w:lineRule="auto"/>
      <w:ind w:firstLineChars="200" w:firstLine="200"/>
      <w:jc w:val="center"/>
      <w:textAlignment w:val="center"/>
    </w:pPr>
    <w:rPr>
      <w:rFonts w:ascii="Arial Unicode MS" w:eastAsia="Arial Unicode MS" w:hAnsi="Arial Unicode MS" w:cs="Arial Unicode MS"/>
      <w:sz w:val="20"/>
      <w:szCs w:val="20"/>
      <w:lang w:eastAsia="zh-CN"/>
      <w14:ligatures w14:val="standardContextual"/>
    </w:rPr>
  </w:style>
  <w:style w:type="paragraph" w:customStyle="1" w:styleId="xl49">
    <w:name w:val="xl49"/>
    <w:basedOn w:val="Normal"/>
    <w:rsid w:val="000676A1"/>
    <w:pPr>
      <w:pBdr>
        <w:right w:val="double" w:sz="6" w:space="0" w:color="auto"/>
      </w:pBdr>
      <w:shd w:val="clear" w:color="auto" w:fill="FF00FF"/>
      <w:spacing w:before="100" w:beforeAutospacing="1" w:after="100" w:afterAutospacing="1" w:line="240" w:lineRule="auto"/>
      <w:ind w:firstLineChars="200" w:firstLine="200"/>
      <w:jc w:val="center"/>
      <w:textAlignment w:val="center"/>
    </w:pPr>
    <w:rPr>
      <w:rFonts w:ascii="Arial Unicode MS" w:eastAsia="Arial Unicode MS" w:hAnsi="Arial Unicode MS" w:cs="Arial Unicode MS"/>
      <w:sz w:val="20"/>
      <w:szCs w:val="20"/>
      <w:lang w:eastAsia="zh-CN"/>
      <w14:ligatures w14:val="standardContextual"/>
    </w:rPr>
  </w:style>
  <w:style w:type="paragraph" w:customStyle="1" w:styleId="xl50">
    <w:name w:val="xl50"/>
    <w:basedOn w:val="Normal"/>
    <w:rsid w:val="000676A1"/>
    <w:pPr>
      <w:pBdr>
        <w:top w:val="double" w:sz="6" w:space="0" w:color="auto"/>
        <w:left w:val="double" w:sz="6" w:space="0" w:color="auto"/>
      </w:pBdr>
      <w:spacing w:before="100" w:beforeAutospacing="1" w:after="100" w:afterAutospacing="1" w:line="240" w:lineRule="auto"/>
      <w:ind w:firstLineChars="200" w:firstLine="200"/>
      <w:jc w:val="center"/>
      <w:textAlignment w:val="center"/>
    </w:pPr>
    <w:rPr>
      <w:rFonts w:ascii="Arial Unicode MS" w:eastAsia="Arial Unicode MS" w:hAnsi="Arial Unicode MS" w:cs="Arial Unicode MS"/>
      <w:sz w:val="20"/>
      <w:szCs w:val="20"/>
      <w:lang w:eastAsia="zh-CN"/>
      <w14:ligatures w14:val="standardContextual"/>
    </w:rPr>
  </w:style>
  <w:style w:type="paragraph" w:customStyle="1" w:styleId="xl51">
    <w:name w:val="xl51"/>
    <w:basedOn w:val="Normal"/>
    <w:rsid w:val="000676A1"/>
    <w:pPr>
      <w:pBdr>
        <w:right w:val="double" w:sz="6" w:space="0" w:color="auto"/>
      </w:pBdr>
      <w:spacing w:before="100" w:beforeAutospacing="1" w:after="100" w:afterAutospacing="1" w:line="240" w:lineRule="auto"/>
      <w:ind w:firstLineChars="200" w:firstLine="200"/>
      <w:jc w:val="center"/>
      <w:textAlignment w:val="center"/>
    </w:pPr>
    <w:rPr>
      <w:rFonts w:ascii="Arial Unicode MS" w:eastAsia="Arial Unicode MS" w:hAnsi="Arial Unicode MS" w:cs="Arial Unicode MS"/>
      <w:sz w:val="20"/>
      <w:szCs w:val="20"/>
      <w:lang w:eastAsia="zh-CN"/>
      <w14:ligatures w14:val="standardContextual"/>
    </w:rPr>
  </w:style>
  <w:style w:type="paragraph" w:customStyle="1" w:styleId="xl52">
    <w:name w:val="xl52"/>
    <w:basedOn w:val="Normal"/>
    <w:rsid w:val="000676A1"/>
    <w:pPr>
      <w:pBdr>
        <w:top w:val="double" w:sz="6" w:space="0" w:color="auto"/>
        <w:right w:val="double" w:sz="6" w:space="0" w:color="auto"/>
      </w:pBdr>
      <w:spacing w:before="100" w:beforeAutospacing="1" w:after="100" w:afterAutospacing="1" w:line="240" w:lineRule="auto"/>
      <w:ind w:firstLineChars="200" w:firstLine="200"/>
      <w:jc w:val="center"/>
      <w:textAlignment w:val="center"/>
    </w:pPr>
    <w:rPr>
      <w:rFonts w:ascii="Arial Unicode MS" w:eastAsia="Arial Unicode MS" w:hAnsi="Arial Unicode MS" w:cs="Arial Unicode MS"/>
      <w:sz w:val="20"/>
      <w:szCs w:val="20"/>
      <w:lang w:eastAsia="zh-CN"/>
      <w14:ligatures w14:val="standardContextual"/>
    </w:rPr>
  </w:style>
  <w:style w:type="character" w:customStyle="1" w:styleId="text1">
    <w:name w:val="text1"/>
    <w:rsid w:val="000676A1"/>
    <w:rPr>
      <w:color w:val="000000"/>
      <w:sz w:val="18"/>
      <w:szCs w:val="18"/>
    </w:rPr>
  </w:style>
  <w:style w:type="character" w:customStyle="1" w:styleId="Char13">
    <w:name w:val="页眉 Char1"/>
    <w:uiPriority w:val="99"/>
    <w:rsid w:val="000676A1"/>
    <w:rPr>
      <w:kern w:val="2"/>
      <w:sz w:val="18"/>
      <w:szCs w:val="18"/>
    </w:rPr>
  </w:style>
  <w:style w:type="character" w:customStyle="1" w:styleId="Char14">
    <w:name w:val="页脚 Char1"/>
    <w:rsid w:val="000676A1"/>
    <w:rPr>
      <w:kern w:val="2"/>
      <w:sz w:val="18"/>
      <w:szCs w:val="18"/>
    </w:rPr>
  </w:style>
  <w:style w:type="character" w:customStyle="1" w:styleId="texteedito">
    <w:name w:val="texte_edito"/>
    <w:rsid w:val="000676A1"/>
  </w:style>
  <w:style w:type="table" w:styleId="Trameclaire-Accent2">
    <w:name w:val="Light Shading Accent 2"/>
    <w:basedOn w:val="TableauNormal"/>
    <w:link w:val="LightShading-Accent2Char"/>
    <w:uiPriority w:val="30"/>
    <w:rsid w:val="000676A1"/>
    <w:pPr>
      <w:spacing w:after="0" w:line="240" w:lineRule="auto"/>
    </w:pPr>
    <w:rPr>
      <w:b/>
      <w:bCs/>
      <w:i/>
      <w:iCs/>
      <w:color w:val="4F81BD"/>
      <w:sz w:val="24"/>
      <w:szCs w:val="24"/>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Grillecouleur-Accent1">
    <w:name w:val="Colorful Grid Accent 1"/>
    <w:basedOn w:val="TableauNormal"/>
    <w:link w:val="ColorfulGrid-Accent1Char"/>
    <w:uiPriority w:val="29"/>
    <w:rsid w:val="000676A1"/>
    <w:pPr>
      <w:spacing w:after="0" w:line="240" w:lineRule="auto"/>
    </w:pPr>
    <w:rPr>
      <w:rFonts w:eastAsia="SimSun"/>
      <w:i/>
      <w:iCs/>
      <w:color w:val="000000"/>
      <w:kern w:val="2"/>
      <w:sz w:val="24"/>
      <w:szCs w:val="21"/>
      <w:lang w:val="en-US" w:eastAsia="zh-CN"/>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m8205132091282087500msolistparagraph">
    <w:name w:val="m_8205132091282087500msolistparagraph"/>
    <w:basedOn w:val="Normal"/>
    <w:rsid w:val="000676A1"/>
    <w:pPr>
      <w:spacing w:before="100" w:beforeAutospacing="1" w:after="100" w:afterAutospacing="1" w:line="240" w:lineRule="auto"/>
    </w:pPr>
    <w:rPr>
      <w:rFonts w:ascii="Times New Roman" w:eastAsia="Times New Roman" w:hAnsi="Times New Roman"/>
      <w:sz w:val="24"/>
      <w:szCs w:val="24"/>
      <w:lang w:eastAsia="fr-FR"/>
      <w14:ligatures w14:val="standardContextual"/>
    </w:rPr>
  </w:style>
  <w:style w:type="table" w:customStyle="1" w:styleId="TableauGrille1Clair-Accentuation13">
    <w:name w:val="Tableau Grille 1 Clair - Accentuation 13"/>
    <w:basedOn w:val="TableauNormal"/>
    <w:next w:val="TableauGrille1Clair-Accentuation1"/>
    <w:uiPriority w:val="46"/>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Aucuneliste12">
    <w:name w:val="Aucune liste12"/>
    <w:next w:val="Aucuneliste"/>
    <w:uiPriority w:val="99"/>
    <w:semiHidden/>
    <w:unhideWhenUsed/>
    <w:rsid w:val="000676A1"/>
  </w:style>
  <w:style w:type="numbering" w:customStyle="1" w:styleId="ListHeadings1">
    <w:name w:val="List Headings1"/>
    <w:uiPriority w:val="99"/>
    <w:rsid w:val="000676A1"/>
    <w:pPr>
      <w:numPr>
        <w:numId w:val="236"/>
      </w:numPr>
    </w:pPr>
  </w:style>
  <w:style w:type="table" w:customStyle="1" w:styleId="Grillemoyenne1-Accent24">
    <w:name w:val="Grille moyenne 1 - Accent 24"/>
    <w:basedOn w:val="TableauNormal"/>
    <w:next w:val="Grillemoyenne1-Accent2"/>
    <w:uiPriority w:val="34"/>
    <w:rsid w:val="000676A1"/>
    <w:pPr>
      <w:spacing w:after="0" w:line="240" w:lineRule="auto"/>
    </w:pPr>
    <w:rPr>
      <w:rFonts w:ascii="Calibri" w:eastAsia="Calibri" w:hAnsi="Calibri" w:cs="Times New Roman"/>
      <w:lang w:val="fr-SN"/>
      <w14:ligatures w14:val="standardContextu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Grillemoyenne211">
    <w:name w:val="Grille moyenne 211"/>
    <w:basedOn w:val="TableauNormal"/>
    <w:uiPriority w:val="1"/>
    <w:rsid w:val="000676A1"/>
    <w:pPr>
      <w:spacing w:after="0" w:line="240" w:lineRule="auto"/>
    </w:pPr>
    <w:rPr>
      <w:rFonts w:ascii="Arial (W1)" w:eastAsia="Calibri" w:hAnsi="Arial (W1)" w:cs="Arial"/>
      <w:lang w:val="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stefonce-Accent51">
    <w:name w:val="Liste foncée - Accent 51"/>
    <w:basedOn w:val="TableauNormal"/>
    <w:next w:val="Listefonce-Accent5"/>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stefonce-Accent61">
    <w:name w:val="Liste foncée - Accent 61"/>
    <w:basedOn w:val="TableauNormal"/>
    <w:next w:val="Listefonce-Accent6"/>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1211">
    <w:name w:val="Liste claire - Accent 61211"/>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1">
    <w:name w:val="无列表11"/>
    <w:next w:val="Aucuneliste"/>
    <w:uiPriority w:val="99"/>
    <w:semiHidden/>
    <w:unhideWhenUsed/>
    <w:rsid w:val="000676A1"/>
  </w:style>
  <w:style w:type="table" w:customStyle="1" w:styleId="MediumGrid211">
    <w:name w:val="Medium Grid 211"/>
    <w:basedOn w:val="TableauNormal"/>
    <w:uiPriority w:val="1"/>
    <w:rsid w:val="000676A1"/>
    <w:pPr>
      <w:spacing w:after="0" w:line="240" w:lineRule="auto"/>
    </w:pPr>
    <w:rPr>
      <w:rFonts w:ascii="Arial (W1)" w:eastAsia="Calibri" w:hAnsi="Arial (W1)" w:cs="Arial"/>
      <w:lang w:val="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TableauGrille6Couleur">
    <w:name w:val="Grid Table 6 Colorful"/>
    <w:basedOn w:val="TableauNormal"/>
    <w:uiPriority w:val="51"/>
    <w:rsid w:val="000676A1"/>
    <w:pPr>
      <w:spacing w:after="0" w:line="240" w:lineRule="auto"/>
    </w:pPr>
    <w:rPr>
      <w:rFonts w:ascii="Calibri" w:eastAsia="Calibri" w:hAnsi="Calibri" w:cs="Times New Roman"/>
      <w:color w:val="000000"/>
      <w:lang w:val="fr-SN"/>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Ancredenotedebasdepage">
    <w:name w:val="Ancre de note de bas de page"/>
    <w:rsid w:val="000676A1"/>
    <w:rPr>
      <w:vertAlign w:val="superscript"/>
    </w:rPr>
  </w:style>
  <w:style w:type="character" w:customStyle="1" w:styleId="FootnoteCharacters">
    <w:name w:val="Footnote Characters"/>
    <w:uiPriority w:val="99"/>
    <w:semiHidden/>
    <w:unhideWhenUsed/>
    <w:qFormat/>
    <w:rsid w:val="000676A1"/>
    <w:rPr>
      <w:vertAlign w:val="superscript"/>
    </w:rPr>
  </w:style>
  <w:style w:type="character" w:customStyle="1" w:styleId="LienInternet">
    <w:name w:val="Lien Internet"/>
    <w:uiPriority w:val="99"/>
    <w:unhideWhenUsed/>
    <w:rsid w:val="000676A1"/>
    <w:rPr>
      <w:color w:val="0563C1"/>
      <w:u w:val="single"/>
    </w:rPr>
  </w:style>
  <w:style w:type="character" w:customStyle="1" w:styleId="ListLabel1">
    <w:name w:val="ListLabel 1"/>
    <w:qFormat/>
    <w:rsid w:val="000676A1"/>
    <w:rPr>
      <w:rFonts w:cs="Courier New"/>
    </w:rPr>
  </w:style>
  <w:style w:type="character" w:customStyle="1" w:styleId="ListLabel2">
    <w:name w:val="ListLabel 2"/>
    <w:qFormat/>
    <w:rsid w:val="000676A1"/>
    <w:rPr>
      <w:rFonts w:cs="Courier New"/>
    </w:rPr>
  </w:style>
  <w:style w:type="character" w:customStyle="1" w:styleId="ListLabel3">
    <w:name w:val="ListLabel 3"/>
    <w:qFormat/>
    <w:rsid w:val="000676A1"/>
    <w:rPr>
      <w:rFonts w:cs="Courier New"/>
    </w:rPr>
  </w:style>
  <w:style w:type="character" w:customStyle="1" w:styleId="ListLabel4">
    <w:name w:val="ListLabel 4"/>
    <w:qFormat/>
    <w:rsid w:val="000676A1"/>
    <w:rPr>
      <w:rFonts w:cs="Courier New"/>
    </w:rPr>
  </w:style>
  <w:style w:type="character" w:customStyle="1" w:styleId="ListLabel5">
    <w:name w:val="ListLabel 5"/>
    <w:qFormat/>
    <w:rsid w:val="000676A1"/>
    <w:rPr>
      <w:rFonts w:cs="Courier New"/>
    </w:rPr>
  </w:style>
  <w:style w:type="character" w:customStyle="1" w:styleId="ListLabel6">
    <w:name w:val="ListLabel 6"/>
    <w:qFormat/>
    <w:rsid w:val="000676A1"/>
    <w:rPr>
      <w:rFonts w:cs="Courier New"/>
    </w:rPr>
  </w:style>
  <w:style w:type="character" w:customStyle="1" w:styleId="ListLabel7">
    <w:name w:val="ListLabel 7"/>
    <w:qFormat/>
    <w:rsid w:val="000676A1"/>
    <w:rPr>
      <w:rFonts w:cs="Courier New"/>
    </w:rPr>
  </w:style>
  <w:style w:type="character" w:customStyle="1" w:styleId="ListLabel8">
    <w:name w:val="ListLabel 8"/>
    <w:qFormat/>
    <w:rsid w:val="000676A1"/>
    <w:rPr>
      <w:rFonts w:cs="Courier New"/>
    </w:rPr>
  </w:style>
  <w:style w:type="character" w:customStyle="1" w:styleId="ListLabel9">
    <w:name w:val="ListLabel 9"/>
    <w:qFormat/>
    <w:rsid w:val="000676A1"/>
    <w:rPr>
      <w:rFonts w:cs="Courier New"/>
    </w:rPr>
  </w:style>
  <w:style w:type="character" w:customStyle="1" w:styleId="ListLabel11">
    <w:name w:val="ListLabel 11"/>
    <w:qFormat/>
    <w:rsid w:val="000676A1"/>
    <w:rPr>
      <w:rFonts w:cs="Courier New"/>
    </w:rPr>
  </w:style>
  <w:style w:type="character" w:customStyle="1" w:styleId="ListLabel12">
    <w:name w:val="ListLabel 12"/>
    <w:qFormat/>
    <w:rsid w:val="000676A1"/>
    <w:rPr>
      <w:rFonts w:cs="Courier New"/>
    </w:rPr>
  </w:style>
  <w:style w:type="character" w:customStyle="1" w:styleId="ListLabel13">
    <w:name w:val="ListLabel 13"/>
    <w:qFormat/>
    <w:rsid w:val="000676A1"/>
    <w:rPr>
      <w:rFonts w:cs="Courier New"/>
    </w:rPr>
  </w:style>
  <w:style w:type="character" w:customStyle="1" w:styleId="ListLabel14">
    <w:name w:val="ListLabel 14"/>
    <w:qFormat/>
    <w:rsid w:val="000676A1"/>
    <w:rPr>
      <w:rFonts w:cs="Courier New"/>
    </w:rPr>
  </w:style>
  <w:style w:type="character" w:customStyle="1" w:styleId="ListLabel15">
    <w:name w:val="ListLabel 15"/>
    <w:qFormat/>
    <w:rsid w:val="000676A1"/>
    <w:rPr>
      <w:rFonts w:cs="Courier New"/>
    </w:rPr>
  </w:style>
  <w:style w:type="character" w:customStyle="1" w:styleId="ListLabel16">
    <w:name w:val="ListLabel 16"/>
    <w:qFormat/>
    <w:rsid w:val="000676A1"/>
    <w:rPr>
      <w:rFonts w:eastAsia="Calibri" w:cs="Times New Roman"/>
    </w:rPr>
  </w:style>
  <w:style w:type="character" w:customStyle="1" w:styleId="ListLabel17">
    <w:name w:val="ListLabel 17"/>
    <w:qFormat/>
    <w:rsid w:val="000676A1"/>
    <w:rPr>
      <w:rFonts w:cs="Courier New"/>
    </w:rPr>
  </w:style>
  <w:style w:type="character" w:customStyle="1" w:styleId="ListLabel18">
    <w:name w:val="ListLabel 18"/>
    <w:qFormat/>
    <w:rsid w:val="000676A1"/>
    <w:rPr>
      <w:rFonts w:cs="Courier New"/>
    </w:rPr>
  </w:style>
  <w:style w:type="character" w:customStyle="1" w:styleId="ListLabel19">
    <w:name w:val="ListLabel 19"/>
    <w:qFormat/>
    <w:rsid w:val="000676A1"/>
    <w:rPr>
      <w:rFonts w:cs="Courier New"/>
    </w:rPr>
  </w:style>
  <w:style w:type="character" w:customStyle="1" w:styleId="ListLabel20">
    <w:name w:val="ListLabel 20"/>
    <w:qFormat/>
    <w:rsid w:val="000676A1"/>
    <w:rPr>
      <w:rFonts w:cs="Courier New"/>
    </w:rPr>
  </w:style>
  <w:style w:type="character" w:customStyle="1" w:styleId="ListLabel21">
    <w:name w:val="ListLabel 21"/>
    <w:qFormat/>
    <w:rsid w:val="000676A1"/>
    <w:rPr>
      <w:rFonts w:cs="Courier New"/>
    </w:rPr>
  </w:style>
  <w:style w:type="character" w:customStyle="1" w:styleId="ListLabel22">
    <w:name w:val="ListLabel 22"/>
    <w:qFormat/>
    <w:rsid w:val="000676A1"/>
    <w:rPr>
      <w:rFonts w:cs="Courier New"/>
    </w:rPr>
  </w:style>
  <w:style w:type="character" w:customStyle="1" w:styleId="ListLabel23">
    <w:name w:val="ListLabel 23"/>
    <w:qFormat/>
    <w:rsid w:val="000676A1"/>
    <w:rPr>
      <w:rFonts w:cs="Courier New"/>
    </w:rPr>
  </w:style>
  <w:style w:type="character" w:customStyle="1" w:styleId="ListLabel24">
    <w:name w:val="ListLabel 24"/>
    <w:qFormat/>
    <w:rsid w:val="000676A1"/>
    <w:rPr>
      <w:rFonts w:cs="Courier New"/>
    </w:rPr>
  </w:style>
  <w:style w:type="character" w:customStyle="1" w:styleId="ListLabel25">
    <w:name w:val="ListLabel 25"/>
    <w:qFormat/>
    <w:rsid w:val="000676A1"/>
    <w:rPr>
      <w:rFonts w:cs="Courier New"/>
    </w:rPr>
  </w:style>
  <w:style w:type="character" w:customStyle="1" w:styleId="ListLabel26">
    <w:name w:val="ListLabel 26"/>
    <w:qFormat/>
    <w:rsid w:val="000676A1"/>
    <w:rPr>
      <w:rFonts w:cs="Courier New"/>
    </w:rPr>
  </w:style>
  <w:style w:type="character" w:customStyle="1" w:styleId="ListLabel27">
    <w:name w:val="ListLabel 27"/>
    <w:qFormat/>
    <w:rsid w:val="000676A1"/>
    <w:rPr>
      <w:rFonts w:cs="Courier New"/>
    </w:rPr>
  </w:style>
  <w:style w:type="character" w:customStyle="1" w:styleId="ListLabel28">
    <w:name w:val="ListLabel 28"/>
    <w:qFormat/>
    <w:rsid w:val="000676A1"/>
    <w:rPr>
      <w:rFonts w:cs="Courier New"/>
    </w:rPr>
  </w:style>
  <w:style w:type="character" w:customStyle="1" w:styleId="ListLabel29">
    <w:name w:val="ListLabel 29"/>
    <w:qFormat/>
    <w:rsid w:val="000676A1"/>
    <w:rPr>
      <w:rFonts w:cs="Courier New"/>
    </w:rPr>
  </w:style>
  <w:style w:type="character" w:customStyle="1" w:styleId="ListLabel30">
    <w:name w:val="ListLabel 30"/>
    <w:qFormat/>
    <w:rsid w:val="000676A1"/>
    <w:rPr>
      <w:rFonts w:cs="Courier New"/>
    </w:rPr>
  </w:style>
  <w:style w:type="character" w:customStyle="1" w:styleId="ListLabel31">
    <w:name w:val="ListLabel 31"/>
    <w:qFormat/>
    <w:rsid w:val="000676A1"/>
    <w:rPr>
      <w:rFonts w:cs="Courier New"/>
    </w:rPr>
  </w:style>
  <w:style w:type="character" w:customStyle="1" w:styleId="ListLabel32">
    <w:name w:val="ListLabel 32"/>
    <w:qFormat/>
    <w:rsid w:val="000676A1"/>
    <w:rPr>
      <w:rFonts w:cs="Courier New"/>
    </w:rPr>
  </w:style>
  <w:style w:type="character" w:customStyle="1" w:styleId="ListLabel33">
    <w:name w:val="ListLabel 33"/>
    <w:qFormat/>
    <w:rsid w:val="000676A1"/>
    <w:rPr>
      <w:rFonts w:cs="Courier New"/>
    </w:rPr>
  </w:style>
  <w:style w:type="character" w:customStyle="1" w:styleId="ListLabel34">
    <w:name w:val="ListLabel 34"/>
    <w:qFormat/>
    <w:rsid w:val="000676A1"/>
    <w:rPr>
      <w:rFonts w:cs="Courier New"/>
    </w:rPr>
  </w:style>
  <w:style w:type="character" w:customStyle="1" w:styleId="ListLabel35">
    <w:name w:val="ListLabel 35"/>
    <w:qFormat/>
    <w:rsid w:val="000676A1"/>
    <w:rPr>
      <w:rFonts w:cs="Courier New"/>
    </w:rPr>
  </w:style>
  <w:style w:type="character" w:customStyle="1" w:styleId="ListLabel36">
    <w:name w:val="ListLabel 36"/>
    <w:qFormat/>
    <w:rsid w:val="000676A1"/>
    <w:rPr>
      <w:rFonts w:cs="Courier New"/>
    </w:rPr>
  </w:style>
  <w:style w:type="character" w:customStyle="1" w:styleId="ListLabel37">
    <w:name w:val="ListLabel 37"/>
    <w:qFormat/>
    <w:rsid w:val="000676A1"/>
    <w:rPr>
      <w:rFonts w:ascii="Times New Roman" w:hAnsi="Times New Roman" w:cs="Courier New"/>
      <w:b/>
      <w:sz w:val="24"/>
    </w:rPr>
  </w:style>
  <w:style w:type="character" w:customStyle="1" w:styleId="ListLabel38">
    <w:name w:val="ListLabel 38"/>
    <w:qFormat/>
    <w:rsid w:val="000676A1"/>
    <w:rPr>
      <w:rFonts w:cs="Courier New"/>
    </w:rPr>
  </w:style>
  <w:style w:type="character" w:customStyle="1" w:styleId="ListLabel39">
    <w:name w:val="ListLabel 39"/>
    <w:qFormat/>
    <w:rsid w:val="000676A1"/>
    <w:rPr>
      <w:rFonts w:cs="Courier New"/>
    </w:rPr>
  </w:style>
  <w:style w:type="character" w:customStyle="1" w:styleId="ListLabel40">
    <w:name w:val="ListLabel 40"/>
    <w:qFormat/>
    <w:rsid w:val="000676A1"/>
    <w:rPr>
      <w:rFonts w:cs="Courier New"/>
    </w:rPr>
  </w:style>
  <w:style w:type="character" w:customStyle="1" w:styleId="ListLabel41">
    <w:name w:val="ListLabel 41"/>
    <w:qFormat/>
    <w:rsid w:val="000676A1"/>
    <w:rPr>
      <w:rFonts w:cs="Courier New"/>
    </w:rPr>
  </w:style>
  <w:style w:type="character" w:customStyle="1" w:styleId="ListLabel42">
    <w:name w:val="ListLabel 42"/>
    <w:qFormat/>
    <w:rsid w:val="000676A1"/>
    <w:rPr>
      <w:rFonts w:cs="Courier New"/>
    </w:rPr>
  </w:style>
  <w:style w:type="character" w:customStyle="1" w:styleId="ListLabel43">
    <w:name w:val="ListLabel 43"/>
    <w:qFormat/>
    <w:rsid w:val="000676A1"/>
    <w:rPr>
      <w:rFonts w:cs="Courier New"/>
    </w:rPr>
  </w:style>
  <w:style w:type="character" w:customStyle="1" w:styleId="ListLabel44">
    <w:name w:val="ListLabel 44"/>
    <w:qFormat/>
    <w:rsid w:val="000676A1"/>
    <w:rPr>
      <w:rFonts w:cs="Courier New"/>
    </w:rPr>
  </w:style>
  <w:style w:type="character" w:customStyle="1" w:styleId="ListLabel45">
    <w:name w:val="ListLabel 45"/>
    <w:qFormat/>
    <w:rsid w:val="000676A1"/>
    <w:rPr>
      <w:rFonts w:cs="Courier New"/>
    </w:rPr>
  </w:style>
  <w:style w:type="character" w:customStyle="1" w:styleId="ListLabel46">
    <w:name w:val="ListLabel 46"/>
    <w:qFormat/>
    <w:rsid w:val="000676A1"/>
    <w:rPr>
      <w:rFonts w:cs="Courier New"/>
    </w:rPr>
  </w:style>
  <w:style w:type="character" w:customStyle="1" w:styleId="ListLabel47">
    <w:name w:val="ListLabel 47"/>
    <w:qFormat/>
    <w:rsid w:val="000676A1"/>
    <w:rPr>
      <w:rFonts w:cs="Courier New"/>
    </w:rPr>
  </w:style>
  <w:style w:type="character" w:customStyle="1" w:styleId="ListLabel48">
    <w:name w:val="ListLabel 48"/>
    <w:qFormat/>
    <w:rsid w:val="000676A1"/>
    <w:rPr>
      <w:rFonts w:cs="Courier New"/>
    </w:rPr>
  </w:style>
  <w:style w:type="character" w:customStyle="1" w:styleId="ListLabel49">
    <w:name w:val="ListLabel 49"/>
    <w:qFormat/>
    <w:rsid w:val="000676A1"/>
    <w:rPr>
      <w:rFonts w:cs="Courier New"/>
    </w:rPr>
  </w:style>
  <w:style w:type="character" w:customStyle="1" w:styleId="ListLabel50">
    <w:name w:val="ListLabel 50"/>
    <w:qFormat/>
    <w:rsid w:val="000676A1"/>
    <w:rPr>
      <w:rFonts w:cs="Courier New"/>
    </w:rPr>
  </w:style>
  <w:style w:type="character" w:customStyle="1" w:styleId="ListLabel51">
    <w:name w:val="ListLabel 51"/>
    <w:qFormat/>
    <w:rsid w:val="000676A1"/>
    <w:rPr>
      <w:rFonts w:cs="Courier New"/>
    </w:rPr>
  </w:style>
  <w:style w:type="character" w:customStyle="1" w:styleId="ListLabel52">
    <w:name w:val="ListLabel 52"/>
    <w:qFormat/>
    <w:rsid w:val="000676A1"/>
    <w:rPr>
      <w:rFonts w:cs="Courier New"/>
    </w:rPr>
  </w:style>
  <w:style w:type="character" w:customStyle="1" w:styleId="ListLabel53">
    <w:name w:val="ListLabel 53"/>
    <w:qFormat/>
    <w:rsid w:val="000676A1"/>
    <w:rPr>
      <w:rFonts w:cs="Courier New"/>
    </w:rPr>
  </w:style>
  <w:style w:type="character" w:customStyle="1" w:styleId="ListLabel54">
    <w:name w:val="ListLabel 54"/>
    <w:qFormat/>
    <w:rsid w:val="000676A1"/>
    <w:rPr>
      <w:rFonts w:cs="Courier New"/>
    </w:rPr>
  </w:style>
  <w:style w:type="character" w:customStyle="1" w:styleId="ListLabel55">
    <w:name w:val="ListLabel 55"/>
    <w:qFormat/>
    <w:rsid w:val="000676A1"/>
    <w:rPr>
      <w:rFonts w:cs="Courier New"/>
    </w:rPr>
  </w:style>
  <w:style w:type="character" w:customStyle="1" w:styleId="ListLabel56">
    <w:name w:val="ListLabel 56"/>
    <w:qFormat/>
    <w:rsid w:val="000676A1"/>
    <w:rPr>
      <w:rFonts w:cs="Courier New"/>
    </w:rPr>
  </w:style>
  <w:style w:type="character" w:customStyle="1" w:styleId="ListLabel57">
    <w:name w:val="ListLabel 57"/>
    <w:qFormat/>
    <w:rsid w:val="000676A1"/>
    <w:rPr>
      <w:rFonts w:cs="Courier New"/>
    </w:rPr>
  </w:style>
  <w:style w:type="character" w:customStyle="1" w:styleId="ListLabel58">
    <w:name w:val="ListLabel 58"/>
    <w:qFormat/>
    <w:rsid w:val="000676A1"/>
    <w:rPr>
      <w:rFonts w:cs="Courier New"/>
    </w:rPr>
  </w:style>
  <w:style w:type="character" w:customStyle="1" w:styleId="ListLabel59">
    <w:name w:val="ListLabel 59"/>
    <w:qFormat/>
    <w:rsid w:val="000676A1"/>
    <w:rPr>
      <w:rFonts w:cs="Courier New"/>
    </w:rPr>
  </w:style>
  <w:style w:type="character" w:customStyle="1" w:styleId="ListLabel60">
    <w:name w:val="ListLabel 60"/>
    <w:qFormat/>
    <w:rsid w:val="000676A1"/>
    <w:rPr>
      <w:rFonts w:cs="Courier New"/>
    </w:rPr>
  </w:style>
  <w:style w:type="character" w:customStyle="1" w:styleId="ListLabel61">
    <w:name w:val="ListLabel 61"/>
    <w:qFormat/>
    <w:rsid w:val="000676A1"/>
    <w:rPr>
      <w:rFonts w:cs="Courier New"/>
    </w:rPr>
  </w:style>
  <w:style w:type="character" w:customStyle="1" w:styleId="ListLabel62">
    <w:name w:val="ListLabel 62"/>
    <w:qFormat/>
    <w:rsid w:val="000676A1"/>
    <w:rPr>
      <w:rFonts w:cs="Courier New"/>
    </w:rPr>
  </w:style>
  <w:style w:type="character" w:customStyle="1" w:styleId="ListLabel63">
    <w:name w:val="ListLabel 63"/>
    <w:qFormat/>
    <w:rsid w:val="000676A1"/>
    <w:rPr>
      <w:rFonts w:cs="Courier New"/>
    </w:rPr>
  </w:style>
  <w:style w:type="character" w:customStyle="1" w:styleId="ListLabel64">
    <w:name w:val="ListLabel 64"/>
    <w:qFormat/>
    <w:rsid w:val="000676A1"/>
    <w:rPr>
      <w:rFonts w:cs="Courier New"/>
    </w:rPr>
  </w:style>
  <w:style w:type="character" w:customStyle="1" w:styleId="ListLabel65">
    <w:name w:val="ListLabel 65"/>
    <w:qFormat/>
    <w:rsid w:val="000676A1"/>
    <w:rPr>
      <w:rFonts w:cs="Courier New"/>
    </w:rPr>
  </w:style>
  <w:style w:type="character" w:customStyle="1" w:styleId="ListLabel66">
    <w:name w:val="ListLabel 66"/>
    <w:qFormat/>
    <w:rsid w:val="000676A1"/>
    <w:rPr>
      <w:rFonts w:cs="Courier New"/>
    </w:rPr>
  </w:style>
  <w:style w:type="character" w:customStyle="1" w:styleId="ListLabel67">
    <w:name w:val="ListLabel 67"/>
    <w:qFormat/>
    <w:rsid w:val="000676A1"/>
    <w:rPr>
      <w:rFonts w:cs="Courier New"/>
    </w:rPr>
  </w:style>
  <w:style w:type="character" w:customStyle="1" w:styleId="ListLabel68">
    <w:name w:val="ListLabel 68"/>
    <w:qFormat/>
    <w:rsid w:val="000676A1"/>
    <w:rPr>
      <w:rFonts w:cs="Courier New"/>
    </w:rPr>
  </w:style>
  <w:style w:type="character" w:customStyle="1" w:styleId="ListLabel69">
    <w:name w:val="ListLabel 69"/>
    <w:qFormat/>
    <w:rsid w:val="000676A1"/>
    <w:rPr>
      <w:rFonts w:cs="Courier New"/>
    </w:rPr>
  </w:style>
  <w:style w:type="character" w:customStyle="1" w:styleId="ListLabel70">
    <w:name w:val="ListLabel 70"/>
    <w:qFormat/>
    <w:rsid w:val="000676A1"/>
    <w:rPr>
      <w:rFonts w:cs="Courier New"/>
    </w:rPr>
  </w:style>
  <w:style w:type="character" w:customStyle="1" w:styleId="ListLabel71">
    <w:name w:val="ListLabel 71"/>
    <w:qFormat/>
    <w:rsid w:val="000676A1"/>
    <w:rPr>
      <w:rFonts w:cs="Courier New"/>
    </w:rPr>
  </w:style>
  <w:style w:type="character" w:customStyle="1" w:styleId="ListLabel72">
    <w:name w:val="ListLabel 72"/>
    <w:qFormat/>
    <w:rsid w:val="000676A1"/>
    <w:rPr>
      <w:rFonts w:cs="Courier New"/>
    </w:rPr>
  </w:style>
  <w:style w:type="character" w:customStyle="1" w:styleId="ListLabel73">
    <w:name w:val="ListLabel 73"/>
    <w:qFormat/>
    <w:rsid w:val="000676A1"/>
    <w:rPr>
      <w:rFonts w:cs="Courier New"/>
    </w:rPr>
  </w:style>
  <w:style w:type="character" w:customStyle="1" w:styleId="ListLabel74">
    <w:name w:val="ListLabel 74"/>
    <w:qFormat/>
    <w:rsid w:val="000676A1"/>
    <w:rPr>
      <w:rFonts w:cs="Courier New"/>
    </w:rPr>
  </w:style>
  <w:style w:type="character" w:customStyle="1" w:styleId="ListLabel75">
    <w:name w:val="ListLabel 75"/>
    <w:qFormat/>
    <w:rsid w:val="000676A1"/>
    <w:rPr>
      <w:rFonts w:cs="Courier New"/>
    </w:rPr>
  </w:style>
  <w:style w:type="character" w:customStyle="1" w:styleId="ListLabel76">
    <w:name w:val="ListLabel 76"/>
    <w:qFormat/>
    <w:rsid w:val="000676A1"/>
    <w:rPr>
      <w:rFonts w:cs="Courier New"/>
    </w:rPr>
  </w:style>
  <w:style w:type="character" w:customStyle="1" w:styleId="ListLabel77">
    <w:name w:val="ListLabel 77"/>
    <w:qFormat/>
    <w:rsid w:val="000676A1"/>
    <w:rPr>
      <w:rFonts w:cs="Courier New"/>
    </w:rPr>
  </w:style>
  <w:style w:type="character" w:customStyle="1" w:styleId="ListLabel78">
    <w:name w:val="ListLabel 78"/>
    <w:qFormat/>
    <w:rsid w:val="000676A1"/>
    <w:rPr>
      <w:rFonts w:cs="Courier New"/>
    </w:rPr>
  </w:style>
  <w:style w:type="character" w:customStyle="1" w:styleId="ListLabel79">
    <w:name w:val="ListLabel 79"/>
    <w:qFormat/>
    <w:rsid w:val="000676A1"/>
    <w:rPr>
      <w:rFonts w:cs="Courier New"/>
    </w:rPr>
  </w:style>
  <w:style w:type="character" w:customStyle="1" w:styleId="ListLabel80">
    <w:name w:val="ListLabel 80"/>
    <w:qFormat/>
    <w:rsid w:val="000676A1"/>
    <w:rPr>
      <w:rFonts w:ascii="Times New Roman" w:eastAsia="Times New Roman" w:hAnsi="Times New Roman" w:cs="Times New Roman"/>
      <w:sz w:val="24"/>
    </w:rPr>
  </w:style>
  <w:style w:type="character" w:customStyle="1" w:styleId="ListLabel81">
    <w:name w:val="ListLabel 81"/>
    <w:qFormat/>
    <w:rsid w:val="000676A1"/>
    <w:rPr>
      <w:rFonts w:cs="Courier New"/>
    </w:rPr>
  </w:style>
  <w:style w:type="character" w:customStyle="1" w:styleId="ListLabel82">
    <w:name w:val="ListLabel 82"/>
    <w:qFormat/>
    <w:rsid w:val="000676A1"/>
    <w:rPr>
      <w:rFonts w:cs="Courier New"/>
    </w:rPr>
  </w:style>
  <w:style w:type="character" w:customStyle="1" w:styleId="ListLabel83">
    <w:name w:val="ListLabel 83"/>
    <w:qFormat/>
    <w:rsid w:val="000676A1"/>
    <w:rPr>
      <w:rFonts w:cs="Courier New"/>
    </w:rPr>
  </w:style>
  <w:style w:type="character" w:customStyle="1" w:styleId="ListLabel84">
    <w:name w:val="ListLabel 84"/>
    <w:qFormat/>
    <w:rsid w:val="000676A1"/>
    <w:rPr>
      <w:rFonts w:cs="Courier New"/>
    </w:rPr>
  </w:style>
  <w:style w:type="character" w:customStyle="1" w:styleId="ListLabel85">
    <w:name w:val="ListLabel 85"/>
    <w:qFormat/>
    <w:rsid w:val="000676A1"/>
    <w:rPr>
      <w:rFonts w:cs="Courier New"/>
    </w:rPr>
  </w:style>
  <w:style w:type="character" w:customStyle="1" w:styleId="ListLabel86">
    <w:name w:val="ListLabel 86"/>
    <w:qFormat/>
    <w:rsid w:val="000676A1"/>
    <w:rPr>
      <w:rFonts w:cs="Courier New"/>
    </w:rPr>
  </w:style>
  <w:style w:type="character" w:customStyle="1" w:styleId="ListLabel87">
    <w:name w:val="ListLabel 87"/>
    <w:qFormat/>
    <w:rsid w:val="000676A1"/>
    <w:rPr>
      <w:rFonts w:cs="Times New Roman"/>
      <w:sz w:val="24"/>
      <w:szCs w:val="24"/>
    </w:rPr>
  </w:style>
  <w:style w:type="character" w:customStyle="1" w:styleId="ListLabel88">
    <w:name w:val="ListLabel 88"/>
    <w:qFormat/>
    <w:rsid w:val="000676A1"/>
    <w:rPr>
      <w:rFonts w:cs="Courier New"/>
    </w:rPr>
  </w:style>
  <w:style w:type="character" w:customStyle="1" w:styleId="ListLabel89">
    <w:name w:val="ListLabel 89"/>
    <w:qFormat/>
    <w:rsid w:val="000676A1"/>
    <w:rPr>
      <w:rFonts w:cs="Courier New"/>
    </w:rPr>
  </w:style>
  <w:style w:type="character" w:customStyle="1" w:styleId="ListLabel90">
    <w:name w:val="ListLabel 90"/>
    <w:qFormat/>
    <w:rsid w:val="000676A1"/>
    <w:rPr>
      <w:rFonts w:cs="Courier New"/>
    </w:rPr>
  </w:style>
  <w:style w:type="character" w:customStyle="1" w:styleId="ListLabel91">
    <w:name w:val="ListLabel 91"/>
    <w:qFormat/>
    <w:rsid w:val="000676A1"/>
    <w:rPr>
      <w:rFonts w:cs="Courier New"/>
    </w:rPr>
  </w:style>
  <w:style w:type="character" w:customStyle="1" w:styleId="ListLabel92">
    <w:name w:val="ListLabel 92"/>
    <w:qFormat/>
    <w:rsid w:val="000676A1"/>
    <w:rPr>
      <w:rFonts w:cs="Courier New"/>
    </w:rPr>
  </w:style>
  <w:style w:type="character" w:customStyle="1" w:styleId="ListLabel93">
    <w:name w:val="ListLabel 93"/>
    <w:qFormat/>
    <w:rsid w:val="000676A1"/>
    <w:rPr>
      <w:rFonts w:cs="Courier New"/>
    </w:rPr>
  </w:style>
  <w:style w:type="character" w:customStyle="1" w:styleId="ListLabel94">
    <w:name w:val="ListLabel 94"/>
    <w:qFormat/>
    <w:rsid w:val="000676A1"/>
    <w:rPr>
      <w:rFonts w:cs="Courier New"/>
    </w:rPr>
  </w:style>
  <w:style w:type="character" w:customStyle="1" w:styleId="ListLabel95">
    <w:name w:val="ListLabel 95"/>
    <w:qFormat/>
    <w:rsid w:val="000676A1"/>
    <w:rPr>
      <w:rFonts w:cs="Courier New"/>
    </w:rPr>
  </w:style>
  <w:style w:type="character" w:customStyle="1" w:styleId="ListLabel96">
    <w:name w:val="ListLabel 96"/>
    <w:qFormat/>
    <w:rsid w:val="000676A1"/>
    <w:rPr>
      <w:rFonts w:cs="Courier New"/>
    </w:rPr>
  </w:style>
  <w:style w:type="character" w:customStyle="1" w:styleId="Caractresdenotedebasdepage">
    <w:name w:val="Caractères de note de bas de page"/>
    <w:qFormat/>
    <w:rsid w:val="000676A1"/>
  </w:style>
  <w:style w:type="character" w:customStyle="1" w:styleId="Ancredenotedefin">
    <w:name w:val="Ancre de note de fin"/>
    <w:rsid w:val="000676A1"/>
    <w:rPr>
      <w:vertAlign w:val="superscript"/>
    </w:rPr>
  </w:style>
  <w:style w:type="character" w:customStyle="1" w:styleId="Caractresdenotedefin">
    <w:name w:val="Caractères de note de fin"/>
    <w:qFormat/>
    <w:rsid w:val="000676A1"/>
  </w:style>
  <w:style w:type="paragraph" w:customStyle="1" w:styleId="Index">
    <w:name w:val="Index"/>
    <w:basedOn w:val="Normal"/>
    <w:qFormat/>
    <w:rsid w:val="000676A1"/>
    <w:pPr>
      <w:suppressLineNumbers/>
      <w:spacing w:after="0" w:line="240" w:lineRule="auto"/>
    </w:pPr>
    <w:rPr>
      <w:rFonts w:ascii="Arial" w:hAnsi="Arial" w:cs="Arial"/>
      <w:sz w:val="20"/>
      <w:szCs w:val="20"/>
      <w:lang w:val="fr-CA"/>
      <w14:ligatures w14:val="standardContextual"/>
    </w:rPr>
  </w:style>
  <w:style w:type="paragraph" w:customStyle="1" w:styleId="Contenudecadre">
    <w:name w:val="Contenu de cadre"/>
    <w:basedOn w:val="Normal"/>
    <w:qFormat/>
    <w:rsid w:val="000676A1"/>
    <w:pPr>
      <w:spacing w:after="0" w:line="240" w:lineRule="auto"/>
    </w:pPr>
    <w:rPr>
      <w:rFonts w:ascii="Arial" w:hAnsi="Arial" w:cs="Arial"/>
      <w:sz w:val="20"/>
      <w:szCs w:val="20"/>
      <w:lang w:val="fr-CA"/>
      <w14:ligatures w14:val="standardContextual"/>
    </w:rPr>
  </w:style>
  <w:style w:type="table" w:styleId="TableauGrille4-Accentuation5">
    <w:name w:val="Grid Table 4 Accent 5"/>
    <w:basedOn w:val="TableauNormal"/>
    <w:uiPriority w:val="49"/>
    <w:rsid w:val="000676A1"/>
    <w:pPr>
      <w:spacing w:after="0" w:line="240" w:lineRule="auto"/>
    </w:pPr>
    <w:rPr>
      <w:rFonts w:ascii="Calibri" w:eastAsia="Calibri" w:hAnsi="Calibri" w:cs="Times New Roman"/>
      <w:sz w:val="20"/>
      <w:lang w:val="fr-S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eauGrille4">
    <w:name w:val="Grid Table 4"/>
    <w:basedOn w:val="TableauNormal"/>
    <w:uiPriority w:val="49"/>
    <w:rsid w:val="000676A1"/>
    <w:pPr>
      <w:spacing w:after="0" w:line="240" w:lineRule="auto"/>
    </w:pPr>
    <w:rPr>
      <w:rFonts w:ascii="Calibri" w:eastAsia="Calibri" w:hAnsi="Calibri" w:cs="Times New Roman"/>
      <w:sz w:val="20"/>
      <w:lang w:val="fr-SN"/>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eauGrille5Fonc-Accentuation5">
    <w:name w:val="Grid Table 5 Dark Accent 5"/>
    <w:basedOn w:val="TableauNormal"/>
    <w:uiPriority w:val="50"/>
    <w:rsid w:val="000676A1"/>
    <w:pPr>
      <w:spacing w:after="0" w:line="240" w:lineRule="auto"/>
    </w:pPr>
    <w:rPr>
      <w:rFonts w:ascii="Calibri" w:eastAsia="Calibri" w:hAnsi="Calibri" w:cs="Times New Roman"/>
      <w:sz w:val="20"/>
      <w:lang w:val="fr-SN"/>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TableauGrille5Fonc-Accentuation2">
    <w:name w:val="Grid Table 5 Dark Accent 2"/>
    <w:basedOn w:val="TableauNormal"/>
    <w:uiPriority w:val="50"/>
    <w:rsid w:val="000676A1"/>
    <w:pPr>
      <w:spacing w:after="0" w:line="240" w:lineRule="auto"/>
    </w:pPr>
    <w:rPr>
      <w:rFonts w:ascii="Calibri" w:eastAsia="Calibri" w:hAnsi="Calibri" w:cs="Times New Roman"/>
      <w:sz w:val="20"/>
      <w:lang w:val="fr-SN"/>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TableauListe5Fonc-Accentuation6">
    <w:name w:val="List Table 5 Dark Accent 6"/>
    <w:basedOn w:val="TableauNormal"/>
    <w:uiPriority w:val="50"/>
    <w:rsid w:val="000676A1"/>
    <w:pPr>
      <w:spacing w:after="0" w:line="240" w:lineRule="auto"/>
    </w:pPr>
    <w:rPr>
      <w:rFonts w:ascii="Calibri" w:eastAsia="Calibri" w:hAnsi="Calibri" w:cs="Times New Roman"/>
      <w:color w:val="FFFFFF"/>
      <w:sz w:val="20"/>
      <w:lang w:val="fr-SN"/>
      <w14:ligatures w14:val="standardContextual"/>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4-Accentuation6">
    <w:name w:val="List Table 4 Accent 6"/>
    <w:basedOn w:val="TableauNormal"/>
    <w:uiPriority w:val="49"/>
    <w:rsid w:val="000676A1"/>
    <w:pPr>
      <w:spacing w:after="0" w:line="240" w:lineRule="auto"/>
    </w:pPr>
    <w:rPr>
      <w:rFonts w:ascii="Calibri" w:eastAsia="Calibri" w:hAnsi="Calibri" w:cs="Times New Roman"/>
      <w:sz w:val="20"/>
      <w:lang w:val="fr-SN"/>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leauListe5Fonc-Accentuation5">
    <w:name w:val="List Table 5 Dark Accent 5"/>
    <w:basedOn w:val="TableauNormal"/>
    <w:uiPriority w:val="50"/>
    <w:rsid w:val="000676A1"/>
    <w:pPr>
      <w:spacing w:after="0" w:line="240" w:lineRule="auto"/>
    </w:pPr>
    <w:rPr>
      <w:rFonts w:ascii="Calibri" w:eastAsia="Calibri" w:hAnsi="Calibri" w:cs="Times New Roman"/>
      <w:color w:val="FFFFFF"/>
      <w:sz w:val="20"/>
      <w:lang w:val="fr-SN"/>
      <w14:ligatures w14:val="standardContextual"/>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1Clair-Accentuation6">
    <w:name w:val="List Table 1 Light Accent 6"/>
    <w:basedOn w:val="TableauNormal"/>
    <w:uiPriority w:val="46"/>
    <w:rsid w:val="000676A1"/>
    <w:pPr>
      <w:spacing w:after="0" w:line="240" w:lineRule="auto"/>
    </w:pPr>
    <w:rPr>
      <w:rFonts w:ascii="Calibri" w:eastAsia="Calibri" w:hAnsi="Calibri" w:cs="Times New Roman"/>
      <w:sz w:val="20"/>
      <w:lang w:val="fr-SN"/>
      <w14:ligatures w14:val="standardContextual"/>
    </w:rPr>
    <w:tblPr>
      <w:tblStyleRowBandSize w:val="1"/>
      <w:tblStyleColBandSize w:val="1"/>
    </w:tblPr>
    <w:tblStylePr w:type="firstRow">
      <w:rPr>
        <w:b/>
        <w:bCs/>
      </w:rPr>
      <w:tblPr/>
      <w:tcPr>
        <w:tcBorders>
          <w:bottom w:val="single" w:sz="4" w:space="0" w:color="70AD47"/>
        </w:tcBorders>
      </w:tcPr>
    </w:tblStylePr>
    <w:tblStylePr w:type="lastRow">
      <w:rPr>
        <w:b/>
        <w:bCs/>
      </w:rPr>
      <w:tblPr/>
      <w:tcPr>
        <w:tcBorders>
          <w:top w:val="sing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eq0j8">
    <w:name w:val="eq0j8"/>
    <w:basedOn w:val="Policepardfaut"/>
    <w:rsid w:val="000676A1"/>
  </w:style>
  <w:style w:type="table" w:styleId="TableauGrille1Clair">
    <w:name w:val="Grid Table 1 Light"/>
    <w:basedOn w:val="TableauNormal"/>
    <w:uiPriority w:val="46"/>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NotedefinCar11">
    <w:name w:val="Note de fin Car11"/>
    <w:uiPriority w:val="99"/>
    <w:semiHidden/>
    <w:rsid w:val="000676A1"/>
    <w:rPr>
      <w:rFonts w:cs="Times New Roman"/>
      <w:sz w:val="20"/>
      <w:szCs w:val="20"/>
    </w:rPr>
  </w:style>
  <w:style w:type="character" w:customStyle="1" w:styleId="AdresseHTMLCar11">
    <w:name w:val="Adresse HTML Car11"/>
    <w:uiPriority w:val="99"/>
    <w:semiHidden/>
    <w:rsid w:val="000676A1"/>
    <w:rPr>
      <w:rFonts w:cs="Times New Roman"/>
      <w:i/>
      <w:iCs/>
    </w:rPr>
  </w:style>
  <w:style w:type="character" w:customStyle="1" w:styleId="DateCar11">
    <w:name w:val="Date Car11"/>
    <w:uiPriority w:val="99"/>
    <w:semiHidden/>
    <w:rsid w:val="000676A1"/>
    <w:rPr>
      <w:rFonts w:cs="Times New Roman"/>
    </w:rPr>
  </w:style>
  <w:style w:type="character" w:customStyle="1" w:styleId="En-ttedemessageCar11">
    <w:name w:val="En-tête de message Car11"/>
    <w:uiPriority w:val="99"/>
    <w:semiHidden/>
    <w:rsid w:val="000676A1"/>
    <w:rPr>
      <w:rFonts w:ascii="Calibri Light" w:eastAsia="Times New Roman" w:hAnsi="Calibri Light" w:cs="Times New Roman"/>
      <w:sz w:val="24"/>
      <w:szCs w:val="24"/>
      <w:shd w:val="pct20" w:color="auto" w:fill="auto"/>
    </w:rPr>
  </w:style>
  <w:style w:type="character" w:customStyle="1" w:styleId="FormuledepolitesseCar11">
    <w:name w:val="Formule de politesse Car11"/>
    <w:uiPriority w:val="99"/>
    <w:semiHidden/>
    <w:rsid w:val="000676A1"/>
    <w:rPr>
      <w:rFonts w:cs="Times New Roman"/>
    </w:rPr>
  </w:style>
  <w:style w:type="character" w:customStyle="1" w:styleId="Retrait1religneCar11">
    <w:name w:val="Retrait 1re ligne Car11"/>
    <w:uiPriority w:val="99"/>
    <w:semiHidden/>
    <w:rsid w:val="000676A1"/>
    <w:rPr>
      <w:rFonts w:ascii="Arial" w:eastAsia="Times New Roman" w:hAnsi="Arial" w:cs="Arial"/>
      <w:color w:val="000000"/>
      <w:sz w:val="24"/>
      <w:szCs w:val="24"/>
      <w:lang w:val="x-none" w:eastAsia="en-GB"/>
    </w:rPr>
  </w:style>
  <w:style w:type="character" w:customStyle="1" w:styleId="Retraitcorpset1religCar11">
    <w:name w:val="Retrait corps et 1re lig. Car11"/>
    <w:uiPriority w:val="99"/>
    <w:semiHidden/>
    <w:rsid w:val="000676A1"/>
    <w:rPr>
      <w:rFonts w:ascii="Times New Roman" w:eastAsia="Times New Roman" w:hAnsi="Times New Roman" w:cs="Times New Roman"/>
      <w:sz w:val="20"/>
      <w:szCs w:val="20"/>
      <w:lang w:eastAsia="en-US"/>
    </w:rPr>
  </w:style>
  <w:style w:type="character" w:customStyle="1" w:styleId="SalutationsCar11">
    <w:name w:val="Salutations Car11"/>
    <w:uiPriority w:val="99"/>
    <w:semiHidden/>
    <w:rsid w:val="000676A1"/>
    <w:rPr>
      <w:rFonts w:cs="Times New Roman"/>
    </w:rPr>
  </w:style>
  <w:style w:type="character" w:customStyle="1" w:styleId="SignatureCar11">
    <w:name w:val="Signature Car11"/>
    <w:uiPriority w:val="99"/>
    <w:semiHidden/>
    <w:rsid w:val="000676A1"/>
    <w:rPr>
      <w:rFonts w:cs="Times New Roman"/>
    </w:rPr>
  </w:style>
  <w:style w:type="character" w:customStyle="1" w:styleId="SignaturelectroniqueCar11">
    <w:name w:val="Signature électronique Car11"/>
    <w:uiPriority w:val="99"/>
    <w:semiHidden/>
    <w:rsid w:val="000676A1"/>
    <w:rPr>
      <w:rFonts w:cs="Times New Roman"/>
    </w:rPr>
  </w:style>
  <w:style w:type="character" w:customStyle="1" w:styleId="TextedemacroCar11">
    <w:name w:val="Texte de macro Car11"/>
    <w:uiPriority w:val="99"/>
    <w:semiHidden/>
    <w:rsid w:val="000676A1"/>
    <w:rPr>
      <w:rFonts w:ascii="Consolas" w:hAnsi="Consolas" w:cs="Consolas"/>
      <w:sz w:val="20"/>
      <w:szCs w:val="20"/>
    </w:rPr>
  </w:style>
  <w:style w:type="character" w:customStyle="1" w:styleId="TitredenoteCar11">
    <w:name w:val="Titre de note Car11"/>
    <w:uiPriority w:val="99"/>
    <w:semiHidden/>
    <w:rsid w:val="000676A1"/>
    <w:rPr>
      <w:rFonts w:cs="Times New Roman"/>
    </w:rPr>
  </w:style>
  <w:style w:type="numbering" w:customStyle="1" w:styleId="WWNum3">
    <w:name w:val="WWNum3"/>
    <w:basedOn w:val="Aucuneliste"/>
    <w:rsid w:val="000676A1"/>
    <w:pPr>
      <w:numPr>
        <w:numId w:val="244"/>
      </w:numPr>
    </w:pPr>
  </w:style>
  <w:style w:type="paragraph" w:customStyle="1" w:styleId="Heading">
    <w:name w:val="Heading"/>
    <w:basedOn w:val="Standard"/>
    <w:next w:val="Textbody"/>
    <w:rsid w:val="000676A1"/>
    <w:pPr>
      <w:keepNext/>
      <w:widowControl/>
      <w:spacing w:before="240" w:after="120" w:line="276" w:lineRule="auto"/>
    </w:pPr>
    <w:rPr>
      <w:rFonts w:ascii="Arial" w:eastAsia="Microsoft YaHei" w:hAnsi="Arial" w:cs="Arial"/>
      <w:sz w:val="28"/>
      <w:szCs w:val="28"/>
      <w:lang w:eastAsia="en-US" w:bidi="ar-SA"/>
      <w14:ligatures w14:val="standardContextual"/>
    </w:rPr>
  </w:style>
  <w:style w:type="paragraph" w:customStyle="1" w:styleId="Textbody">
    <w:name w:val="Text body"/>
    <w:basedOn w:val="Standard"/>
    <w:rsid w:val="000676A1"/>
    <w:pPr>
      <w:widowControl/>
      <w:spacing w:after="120" w:line="276" w:lineRule="auto"/>
    </w:pPr>
    <w:rPr>
      <w:rFonts w:ascii="Calibri" w:hAnsi="Calibri" w:cs="Calibri"/>
      <w:sz w:val="22"/>
      <w:szCs w:val="22"/>
      <w:lang w:eastAsia="en-US" w:bidi="ar-SA"/>
      <w14:ligatures w14:val="standardContextual"/>
    </w:rPr>
  </w:style>
  <w:style w:type="character" w:customStyle="1" w:styleId="BulletSymbols">
    <w:name w:val="Bullet Symbols"/>
    <w:rsid w:val="000676A1"/>
    <w:rPr>
      <w:rFonts w:ascii="OpenSymbol" w:eastAsia="OpenSymbol" w:hAnsi="OpenSymbol" w:cs="OpenSymbol"/>
    </w:rPr>
  </w:style>
  <w:style w:type="character" w:customStyle="1" w:styleId="NumberingSymbols">
    <w:name w:val="Numbering Symbols"/>
    <w:rsid w:val="000676A1"/>
  </w:style>
  <w:style w:type="numbering" w:customStyle="1" w:styleId="WWNum1">
    <w:name w:val="WWNum1"/>
    <w:basedOn w:val="Aucuneliste"/>
    <w:rsid w:val="000676A1"/>
    <w:pPr>
      <w:numPr>
        <w:numId w:val="245"/>
      </w:numPr>
    </w:pPr>
  </w:style>
  <w:style w:type="numbering" w:customStyle="1" w:styleId="WWNum2">
    <w:name w:val="WWNum2"/>
    <w:basedOn w:val="Aucuneliste"/>
    <w:rsid w:val="000676A1"/>
    <w:pPr>
      <w:numPr>
        <w:numId w:val="246"/>
      </w:numPr>
    </w:pPr>
  </w:style>
  <w:style w:type="numbering" w:customStyle="1" w:styleId="WWNum4">
    <w:name w:val="WWNum4"/>
    <w:basedOn w:val="Aucuneliste"/>
    <w:rsid w:val="000676A1"/>
    <w:pPr>
      <w:numPr>
        <w:numId w:val="247"/>
      </w:numPr>
    </w:pPr>
  </w:style>
  <w:style w:type="numbering" w:customStyle="1" w:styleId="WWNum5">
    <w:name w:val="WWNum5"/>
    <w:basedOn w:val="Aucuneliste"/>
    <w:rsid w:val="000676A1"/>
    <w:pPr>
      <w:numPr>
        <w:numId w:val="248"/>
      </w:numPr>
    </w:pPr>
  </w:style>
  <w:style w:type="numbering" w:customStyle="1" w:styleId="Aucuneliste11111">
    <w:name w:val="Aucune liste11111"/>
    <w:next w:val="Aucuneliste"/>
    <w:uiPriority w:val="99"/>
    <w:semiHidden/>
    <w:unhideWhenUsed/>
    <w:rsid w:val="000676A1"/>
  </w:style>
  <w:style w:type="numbering" w:customStyle="1" w:styleId="Aucuneliste9">
    <w:name w:val="Aucune liste9"/>
    <w:next w:val="Aucuneliste"/>
    <w:uiPriority w:val="99"/>
    <w:semiHidden/>
    <w:unhideWhenUsed/>
    <w:rsid w:val="000676A1"/>
  </w:style>
  <w:style w:type="numbering" w:customStyle="1" w:styleId="Aucuneliste10">
    <w:name w:val="Aucune liste10"/>
    <w:next w:val="Aucuneliste"/>
    <w:uiPriority w:val="99"/>
    <w:semiHidden/>
    <w:unhideWhenUsed/>
    <w:rsid w:val="000676A1"/>
  </w:style>
  <w:style w:type="character" w:customStyle="1" w:styleId="yiv2058213645">
    <w:name w:val="yiv2058213645"/>
    <w:basedOn w:val="Policepardfaut"/>
    <w:rsid w:val="000676A1"/>
  </w:style>
  <w:style w:type="numbering" w:customStyle="1" w:styleId="Aucuneliste13">
    <w:name w:val="Aucune liste13"/>
    <w:next w:val="Aucuneliste"/>
    <w:uiPriority w:val="99"/>
    <w:semiHidden/>
    <w:unhideWhenUsed/>
    <w:rsid w:val="000676A1"/>
  </w:style>
  <w:style w:type="table" w:customStyle="1" w:styleId="csastandard1">
    <w:name w:val="csa standard1"/>
    <w:basedOn w:val="TableauNormal"/>
    <w:next w:val="Grilledutableau"/>
    <w:uiPriority w:val="39"/>
    <w:qFormat/>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2111">
    <w:name w:val="Tableau Grille 2111"/>
    <w:basedOn w:val="TableauNormal"/>
    <w:rsid w:val="000676A1"/>
    <w:pPr>
      <w:spacing w:after="0" w:line="240" w:lineRule="auto"/>
    </w:pPr>
    <w:rPr>
      <w:rFonts w:ascii="Times New Roman" w:eastAsia="SimSun" w:hAnsi="Times New Roman" w:cs="Times New Roman"/>
      <w:sz w:val="20"/>
      <w:szCs w:val="20"/>
      <w:lang w:val="fr-SN" w:eastAsia="fr-FR"/>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lledetableau821">
    <w:name w:val="Grille de tableau 821"/>
    <w:basedOn w:val="TableauNormal"/>
    <w:next w:val="Grilledetableau8"/>
    <w:rsid w:val="000676A1"/>
    <w:pPr>
      <w:spacing w:after="0" w:line="240" w:lineRule="auto"/>
      <w:jc w:val="both"/>
    </w:pPr>
    <w:rPr>
      <w:rFonts w:ascii="Times New Roman" w:eastAsia="Times New Roman" w:hAnsi="Times New Roman" w:cs="Times New Roman"/>
      <w:sz w:val="20"/>
      <w:szCs w:val="20"/>
      <w:lang w:val="fr-SN" w:eastAsia="fr-FR"/>
      <w14:ligatures w14:val="standardContextu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Grille4-Accentuation13">
    <w:name w:val="Tableau Grille 4 - Accentuation 13"/>
    <w:basedOn w:val="TableauNormal"/>
    <w:next w:val="TableauGrille4-Accentuation1"/>
    <w:uiPriority w:val="49"/>
    <w:rsid w:val="000676A1"/>
    <w:pPr>
      <w:spacing w:after="0" w:line="240" w:lineRule="auto"/>
      <w:jc w:val="both"/>
    </w:pPr>
    <w:rPr>
      <w:rFonts w:ascii="Calibri" w:eastAsia="Calibri" w:hAnsi="Calibri" w:cs="Times New Roman"/>
      <w:lang w:val="fr-S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Liste31631">
    <w:name w:val="Tableau Liste 31631"/>
    <w:basedOn w:val="TableauNormal"/>
    <w:next w:val="TableauListe3"/>
    <w:uiPriority w:val="48"/>
    <w:rsid w:val="000676A1"/>
    <w:pPr>
      <w:spacing w:after="0" w:line="300" w:lineRule="exact"/>
      <w:jc w:val="both"/>
    </w:pPr>
    <w:rPr>
      <w:rFonts w:ascii="Times New Roman" w:eastAsia="Times New Roman" w:hAnsi="Times New Roman" w:cs="Times New Roman"/>
      <w:sz w:val="20"/>
      <w:szCs w:val="20"/>
      <w:lang w:val="fr-SN" w:eastAsia="fr-FR"/>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Grille1Clair-Accentuation1111">
    <w:name w:val="Tableau Grille 1 Clair - Accentuation 1111"/>
    <w:basedOn w:val="TableauNormal"/>
    <w:uiPriority w:val="46"/>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auGrille411">
    <w:name w:val="Tableau Grille 411"/>
    <w:basedOn w:val="TableauNormal"/>
    <w:uiPriority w:val="49"/>
    <w:rsid w:val="000676A1"/>
    <w:pPr>
      <w:spacing w:after="0" w:line="240" w:lineRule="auto"/>
    </w:pPr>
    <w:rPr>
      <w:rFonts w:ascii="Times New Roman" w:eastAsia="SimSun" w:hAnsi="Times New Roman" w:cs="Times New Roman"/>
      <w:sz w:val="24"/>
      <w:szCs w:val="24"/>
      <w:lang w:val="fr-SN" w:eastAsia="fr-FR"/>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emoyenne2-Accent42">
    <w:name w:val="Liste moyenne 2 - Accent 42"/>
    <w:basedOn w:val="TableauNormal"/>
    <w:next w:val="Listemoyenne2-Accent4"/>
    <w:uiPriority w:val="34"/>
    <w:rsid w:val="000676A1"/>
    <w:pPr>
      <w:spacing w:after="0" w:line="240" w:lineRule="auto"/>
    </w:pPr>
    <w:rPr>
      <w:rFonts w:ascii="Times New Roman" w:eastAsia="Times New Roman" w:hAnsi="Times New Roman" w:cs="Times New Roman"/>
      <w:sz w:val="24"/>
      <w:szCs w:val="24"/>
      <w:lang w:val="fr-SN"/>
      <w14:ligatures w14:val="standardContextu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Listecouleur-Accent31">
    <w:name w:val="Liste couleur - Accent 31"/>
    <w:basedOn w:val="TableauNormal"/>
    <w:next w:val="Listecouleur-Accent3"/>
    <w:uiPriority w:val="29"/>
    <w:rsid w:val="000676A1"/>
    <w:pPr>
      <w:spacing w:after="0" w:line="240" w:lineRule="auto"/>
    </w:pPr>
    <w:rPr>
      <w:rFonts w:ascii="Calibri" w:eastAsia="Times New Roman" w:hAnsi="Calibri" w:cs="Times New Roman"/>
      <w:i/>
      <w:iCs/>
      <w:color w:val="000000"/>
      <w:lang w:val="en-US" w:bidi="en-US"/>
      <w14:ligatures w14:val="standardContextual"/>
    </w:rPr>
    <w:tblPr>
      <w:tblStyleRowBandSize w:val="1"/>
      <w:tblStyleColBandSize w:val="1"/>
    </w:tblPr>
    <w:tcPr>
      <w:shd w:val="clear" w:color="auto" w:fill="F5F8EE"/>
    </w:tcPr>
    <w:tblStylePr w:type="firstRow">
      <w:tblPr/>
      <w:tcPr>
        <w:tcBorders>
          <w:bottom w:val="single" w:sz="12" w:space="0" w:color="FFFFFF"/>
        </w:tcBorders>
        <w:shd w:val="clear" w:color="auto" w:fill="664E8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llecouleur-Accent31">
    <w:name w:val="Grille couleur - Accent 31"/>
    <w:basedOn w:val="TableauNormal"/>
    <w:next w:val="Grillecouleur-Accent3"/>
    <w:uiPriority w:val="30"/>
    <w:rsid w:val="000676A1"/>
    <w:pPr>
      <w:spacing w:after="0" w:line="240" w:lineRule="auto"/>
    </w:pPr>
    <w:rPr>
      <w:rFonts w:ascii="Calibri" w:eastAsia="Times New Roman" w:hAnsi="Calibri" w:cs="Times New Roman"/>
      <w:b/>
      <w:bCs/>
      <w:i/>
      <w:iCs/>
      <w:color w:val="4F81BD"/>
      <w:lang w:val="en-US" w:bidi="en-US"/>
      <w14:ligatures w14:val="standardContextual"/>
    </w:rPr>
    <w:tblPr>
      <w:tblStyleRowBandSize w:val="1"/>
      <w:tblStyleColBandSize w:val="1"/>
      <w:tblBorders>
        <w:insideH w:val="single" w:sz="4" w:space="0" w:color="FFFFFF"/>
      </w:tblBorders>
    </w:tblPr>
    <w:tcPr>
      <w:shd w:val="clear" w:color="auto" w:fill="EAF1DD"/>
    </w:tcPr>
    <w:tblStylePr w:type="firstRow">
      <w:tblPr/>
      <w:tcPr>
        <w:shd w:val="clear" w:color="auto" w:fill="D6E3BC"/>
      </w:tcPr>
    </w:tblStylePr>
    <w:tblStylePr w:type="lastRow">
      <w:tblPr/>
      <w:tcPr>
        <w:shd w:val="clear" w:color="auto" w:fill="D6E3BC"/>
      </w:tcPr>
    </w:tblStylePr>
    <w:tblStylePr w:type="firstCol">
      <w:tblPr/>
      <w:tcPr>
        <w:shd w:val="clear" w:color="auto" w:fill="76923C"/>
      </w:tcPr>
    </w:tblStylePr>
    <w:tblStylePr w:type="lastCol">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Ombrageclair21">
    <w:name w:val="Ombrage clair21"/>
    <w:basedOn w:val="TableauNormal"/>
    <w:uiPriority w:val="60"/>
    <w:rsid w:val="000676A1"/>
    <w:pPr>
      <w:spacing w:after="0" w:line="240" w:lineRule="auto"/>
    </w:pPr>
    <w:rPr>
      <w:rFonts w:ascii="Calibri" w:eastAsia="Calibri" w:hAnsi="Calibri" w:cs="Times New Roman"/>
      <w:color w:val="000000"/>
      <w:lang w:val="en-US" w:bidi="en-US"/>
      <w14:ligatures w14:val="standardContextu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moyenne1-Accent63">
    <w:name w:val="Trame moyenne 1 - Accent 63"/>
    <w:basedOn w:val="TableauNormal"/>
    <w:next w:val="Tramemoyenne1-Accent6"/>
    <w:uiPriority w:val="63"/>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Autospacing="0" w:afterLines="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Autospacing="0" w:afterLines="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steclaire-Accent6123">
    <w:name w:val="Liste claire - Accent 6123"/>
    <w:basedOn w:val="TableauNormal"/>
    <w:next w:val="Listeclaire-Accent6"/>
    <w:uiPriority w:val="61"/>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14">
    <w:name w:val="Liste claire - Accent 614"/>
    <w:basedOn w:val="TableauNormal"/>
    <w:uiPriority w:val="61"/>
    <w:rsid w:val="000676A1"/>
    <w:pPr>
      <w:spacing w:after="0" w:line="240" w:lineRule="auto"/>
    </w:pPr>
    <w:rPr>
      <w:rFonts w:ascii="Times New Roman" w:eastAsia="Calibri" w:hAnsi="Times New Roman" w:cs="Times New Roman"/>
      <w:sz w:val="24"/>
      <w:szCs w:val="24"/>
      <w:lang w:val="en-US"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11">
    <w:name w:val="Liste claire - Accent 11"/>
    <w:basedOn w:val="TableauNormal"/>
    <w:next w:val="Listeclaire-Accent1"/>
    <w:uiPriority w:val="61"/>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51">
    <w:name w:val="Liste claire - Accent 51"/>
    <w:basedOn w:val="TableauNormal"/>
    <w:next w:val="Listeclaire-Accent5"/>
    <w:uiPriority w:val="61"/>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Aucuneliste14">
    <w:name w:val="Aucune liste14"/>
    <w:next w:val="Aucuneliste"/>
    <w:uiPriority w:val="99"/>
    <w:semiHidden/>
    <w:unhideWhenUsed/>
    <w:rsid w:val="000676A1"/>
  </w:style>
  <w:style w:type="numbering" w:customStyle="1" w:styleId="Aucuneliste112">
    <w:name w:val="Aucune liste112"/>
    <w:next w:val="Aucuneliste"/>
    <w:uiPriority w:val="99"/>
    <w:semiHidden/>
    <w:unhideWhenUsed/>
    <w:rsid w:val="000676A1"/>
  </w:style>
  <w:style w:type="numbering" w:customStyle="1" w:styleId="ListHeadings2">
    <w:name w:val="List Headings2"/>
    <w:rsid w:val="000676A1"/>
  </w:style>
  <w:style w:type="table" w:customStyle="1" w:styleId="RHDHVTable1">
    <w:name w:val="RHDHV Table1"/>
    <w:basedOn w:val="TableauNormal"/>
    <w:uiPriority w:val="99"/>
    <w:unhideWhenUsed/>
    <w:rsid w:val="000676A1"/>
    <w:pPr>
      <w:spacing w:after="0" w:line="271" w:lineRule="auto"/>
    </w:pPr>
    <w:rPr>
      <w:rFonts w:ascii="Calibri" w:eastAsia="Times New Roman" w:hAnsi="Calibri" w:cs="Times New Roman"/>
      <w:color w:val="000000"/>
      <w:sz w:val="24"/>
      <w:szCs w:val="24"/>
      <w:lang w:val="en-GB" w:eastAsia="en-GB"/>
      <w14:ligatures w14:val="standardContextual"/>
    </w:rPr>
    <w:tblPr>
      <w:tblBorders>
        <w:insideH w:val="single" w:sz="8" w:space="0" w:color="FFFFFF"/>
        <w:insideV w:val="single" w:sz="8" w:space="0" w:color="FFFFFF"/>
      </w:tblBorders>
      <w:tblCellMar>
        <w:top w:w="57" w:type="dxa"/>
        <w:left w:w="0" w:type="dxa"/>
        <w:bottom w:w="57" w:type="dxa"/>
        <w:right w:w="0" w:type="dxa"/>
      </w:tblCellMar>
    </w:tblPr>
    <w:tcPr>
      <w:shd w:val="clear" w:color="auto" w:fill="D9E2F3"/>
      <w:vAlign w:val="center"/>
    </w:tcPr>
    <w:tblStylePr w:type="firstRow">
      <w:rPr>
        <w:b/>
      </w:rPr>
      <w:tblPr/>
      <w:tcPr>
        <w:tcBorders>
          <w:top w:val="nil"/>
          <w:left w:val="nil"/>
          <w:bottom w:val="nil"/>
          <w:right w:val="nil"/>
          <w:insideH w:val="nil"/>
          <w:insideV w:val="single" w:sz="8" w:space="0" w:color="FFFFFF"/>
          <w:tl2br w:val="nil"/>
          <w:tr2bl w:val="nil"/>
        </w:tcBorders>
        <w:shd w:val="clear" w:color="auto" w:fill="4472C4"/>
      </w:tcPr>
    </w:tblStylePr>
    <w:tblStylePr w:type="lastRow">
      <w:tblPr/>
      <w:tcPr>
        <w:tcBorders>
          <w:top w:val="nil"/>
          <w:left w:val="nil"/>
          <w:bottom w:val="nil"/>
          <w:right w:val="nil"/>
          <w:insideH w:val="nil"/>
          <w:insideV w:val="single" w:sz="8" w:space="0" w:color="FFFFFF"/>
          <w:tl2br w:val="nil"/>
          <w:tr2bl w:val="nil"/>
        </w:tcBorders>
        <w:shd w:val="clear" w:color="auto" w:fill="B4C6E7"/>
      </w:tcPr>
    </w:tblStylePr>
    <w:tblStylePr w:type="swCell">
      <w:tblPr/>
      <w:tcPr>
        <w:tcBorders>
          <w:top w:val="nil"/>
          <w:left w:val="nil"/>
          <w:bottom w:val="nil"/>
          <w:right w:val="nil"/>
          <w:insideH w:val="nil"/>
          <w:insideV w:val="nil"/>
          <w:tl2br w:val="nil"/>
          <w:tr2bl w:val="nil"/>
        </w:tcBorders>
        <w:shd w:val="clear" w:color="auto" w:fill="FFFFFF"/>
      </w:tcPr>
    </w:tblStylePr>
  </w:style>
  <w:style w:type="table" w:customStyle="1" w:styleId="RHDHVTableNormal1">
    <w:name w:val="RHDHV Table Normal1"/>
    <w:basedOn w:val="TableauNormal"/>
    <w:uiPriority w:val="99"/>
    <w:unhideWhenUsed/>
    <w:rsid w:val="000676A1"/>
    <w:pPr>
      <w:spacing w:after="0" w:line="271" w:lineRule="auto"/>
    </w:pPr>
    <w:rPr>
      <w:rFonts w:ascii="Calibri" w:eastAsia="Times New Roman" w:hAnsi="Calibri" w:cs="Times New Roman"/>
      <w:color w:val="000000"/>
      <w:sz w:val="24"/>
      <w:szCs w:val="24"/>
      <w:lang w:val="en-GB" w:eastAsia="en-GB"/>
      <w14:ligatures w14:val="standardContextual"/>
    </w:rPr>
    <w:tblPr>
      <w:tblCellMar>
        <w:top w:w="57" w:type="dxa"/>
        <w:left w:w="0" w:type="dxa"/>
        <w:bottom w:w="57" w:type="dxa"/>
        <w:right w:w="0" w:type="dxa"/>
      </w:tblCellMar>
    </w:tblPr>
    <w:tcPr>
      <w:vAlign w:val="center"/>
    </w:tcPr>
  </w:style>
  <w:style w:type="table" w:customStyle="1" w:styleId="TableauGrille212">
    <w:name w:val="Tableau Grille 212"/>
    <w:basedOn w:val="TableauNormal"/>
    <w:uiPriority w:val="47"/>
    <w:rsid w:val="000676A1"/>
    <w:pPr>
      <w:spacing w:after="0" w:line="240" w:lineRule="auto"/>
    </w:pPr>
    <w:rPr>
      <w:rFonts w:ascii="Calibri" w:eastAsia="Times New Roman" w:hAnsi="Calibri" w:cs="Times New Roman"/>
      <w:sz w:val="24"/>
      <w:szCs w:val="24"/>
      <w:lang w:val="fr-SN" w:eastAsia="fr-FR"/>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lledutableau212">
    <w:name w:val="Grille du tableau212"/>
    <w:basedOn w:val="TableauNormal"/>
    <w:next w:val="Grilledutableau"/>
    <w:uiPriority w:val="59"/>
    <w:rsid w:val="000676A1"/>
    <w:pPr>
      <w:spacing w:after="0" w:line="240" w:lineRule="auto"/>
    </w:pPr>
    <w:rPr>
      <w:rFonts w:ascii="Calibri" w:eastAsia="Times New Roman" w:hAnsi="Calibri" w:cs="Times New Roman"/>
      <w:lang w:val="wo-SN" w:eastAsia="wo-SN"/>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eclaire-Accent6112">
    <w:name w:val="Liste claire - Accent 6112"/>
    <w:basedOn w:val="TableauNormal"/>
    <w:next w:val="Listeclaire-Accent6"/>
    <w:uiPriority w:val="61"/>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12">
    <w:name w:val="Liste claire12"/>
    <w:basedOn w:val="TableauNormal"/>
    <w:next w:val="Listeclaire"/>
    <w:uiPriority w:val="61"/>
    <w:rsid w:val="000676A1"/>
    <w:pPr>
      <w:spacing w:after="0" w:line="240" w:lineRule="auto"/>
    </w:pPr>
    <w:rPr>
      <w:rFonts w:ascii="Calibri" w:eastAsia="Calibri" w:hAnsi="Calibri" w:cs="Times New Roman"/>
      <w:lang w:val="fr-CA"/>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Aucuneliste1112">
    <w:name w:val="Aucune liste1112"/>
    <w:next w:val="Aucuneliste"/>
    <w:uiPriority w:val="99"/>
    <w:semiHidden/>
    <w:unhideWhenUsed/>
    <w:rsid w:val="000676A1"/>
  </w:style>
  <w:style w:type="table" w:customStyle="1" w:styleId="Listeclaire-Accent61212">
    <w:name w:val="Liste claire - Accent 61212"/>
    <w:basedOn w:val="TableauNormal"/>
    <w:uiPriority w:val="61"/>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lledutableau52">
    <w:name w:val="Grille du tableau52"/>
    <w:basedOn w:val="TableauNormal"/>
    <w:next w:val="Grilledutableau"/>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
    <w:name w:val="Grille du tableau62"/>
    <w:basedOn w:val="TableauNormal"/>
    <w:next w:val="Grilledutableau"/>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
    <w:name w:val="Grille du tableau73"/>
    <w:basedOn w:val="TableauNormal"/>
    <w:next w:val="Grilledutableau"/>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Aucuneliste"/>
    <w:uiPriority w:val="99"/>
    <w:semiHidden/>
    <w:unhideWhenUsed/>
    <w:rsid w:val="000676A1"/>
  </w:style>
  <w:style w:type="table" w:customStyle="1" w:styleId="Colonnesdetableau31">
    <w:name w:val="Colonnes de tableau 31"/>
    <w:basedOn w:val="TableauNormal"/>
    <w:next w:val="Colonnesdetableau3"/>
    <w:unhideWhenUsed/>
    <w:rsid w:val="000676A1"/>
    <w:pPr>
      <w:spacing w:after="0" w:line="240" w:lineRule="auto"/>
    </w:pPr>
    <w:rPr>
      <w:rFonts w:ascii="Cambria" w:eastAsia="Cambria" w:hAnsi="Cambria" w:cs="Times New Roman"/>
      <w:b/>
      <w:bCs/>
      <w:sz w:val="20"/>
      <w:szCs w:val="20"/>
      <w:lang w:val="fr-SN" w:eastAsia="fr-FR"/>
      <w14:ligatures w14:val="standardContextua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auliste71">
    <w:name w:val="Tableau liste 71"/>
    <w:basedOn w:val="TableauNormal"/>
    <w:next w:val="Tableauliste7"/>
    <w:unhideWhenUsed/>
    <w:rsid w:val="000676A1"/>
    <w:pPr>
      <w:spacing w:after="0" w:line="240" w:lineRule="auto"/>
    </w:pPr>
    <w:rPr>
      <w:rFonts w:ascii="Times New Roman" w:eastAsia="Times New Roman" w:hAnsi="Times New Roman" w:cs="Times New Roman"/>
      <w:sz w:val="20"/>
      <w:szCs w:val="20"/>
      <w:lang w:val="fr-SN" w:eastAsia="fr-FR"/>
      <w14:ligatures w14:val="standardContextu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auNormal"/>
    <w:next w:val="Tableauliste8"/>
    <w:unhideWhenUsed/>
    <w:rsid w:val="000676A1"/>
    <w:pPr>
      <w:spacing w:after="0" w:line="240" w:lineRule="auto"/>
    </w:pPr>
    <w:rPr>
      <w:rFonts w:ascii="Times New Roman" w:eastAsia="Times New Roman" w:hAnsi="Times New Roman" w:cs="Times New Roman"/>
      <w:sz w:val="20"/>
      <w:szCs w:val="20"/>
      <w:lang w:val="fr-SN" w:eastAsia="fr-FR"/>
      <w14:ligatures w14:val="standardContextu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Listeclaire-Accent622">
    <w:name w:val="Liste claire - Accent 622"/>
    <w:basedOn w:val="TableauNormal"/>
    <w:next w:val="Listeclaire-Accent6"/>
    <w:uiPriority w:val="61"/>
    <w:unhideWhenUsed/>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Tramemoyenne1-Accent611">
    <w:name w:val="Trame moyenne 1 - Accent 611"/>
    <w:basedOn w:val="TableauNormal"/>
    <w:next w:val="Tramemoyenne1-Accent6"/>
    <w:uiPriority w:val="63"/>
    <w:semiHidden/>
    <w:unhideWhenUsed/>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auNorm1">
    <w:name w:val="Tableau Norm1"/>
    <w:semiHidden/>
    <w:rsid w:val="000676A1"/>
    <w:pPr>
      <w:spacing w:after="0" w:line="240" w:lineRule="auto"/>
    </w:pPr>
    <w:rPr>
      <w:rFonts w:ascii="Calibri" w:eastAsia="Times New Roman" w:hAnsi="Calibri" w:cs="Times New Roman"/>
      <w:sz w:val="20"/>
      <w:szCs w:val="20"/>
      <w:lang w:bidi="fr-FR"/>
      <w14:ligatures w14:val="standardContextual"/>
    </w:rPr>
    <w:tblPr>
      <w:tblCellMar>
        <w:top w:w="0" w:type="dxa"/>
        <w:left w:w="108" w:type="dxa"/>
        <w:bottom w:w="0" w:type="dxa"/>
        <w:right w:w="108" w:type="dxa"/>
      </w:tblCellMar>
    </w:tblPr>
  </w:style>
  <w:style w:type="table" w:customStyle="1" w:styleId="Grilledutableau711">
    <w:name w:val="Grille du tableau711"/>
    <w:basedOn w:val="TableauNormal"/>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moyenne1-Accent621">
    <w:name w:val="Trame moyenne 1 - Accent 621"/>
    <w:basedOn w:val="TableauNormal"/>
    <w:next w:val="Tramemoyenne1-Accent6"/>
    <w:uiPriority w:val="63"/>
    <w:unhideWhenUsed/>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Grilledutableau172">
    <w:name w:val="Grille du tableau172"/>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81">
    <w:name w:val="Grille du tableau181"/>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Bullets11">
    <w:name w:val="List Bullets11"/>
    <w:uiPriority w:val="99"/>
    <w:rsid w:val="000676A1"/>
  </w:style>
  <w:style w:type="table" w:customStyle="1" w:styleId="TableauGrille1Clair-Accentuation112">
    <w:name w:val="Tableau Grille 1 Clair - Accentuation 112"/>
    <w:basedOn w:val="TableauNormal"/>
    <w:uiPriority w:val="46"/>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eausimple112">
    <w:name w:val="Tableau simple 112"/>
    <w:basedOn w:val="TableauNormal"/>
    <w:rsid w:val="000676A1"/>
    <w:pPr>
      <w:spacing w:after="0" w:line="240" w:lineRule="auto"/>
    </w:pPr>
    <w:rPr>
      <w:rFonts w:ascii="Times New Roman" w:eastAsia="SimSun" w:hAnsi="Times New Roman" w:cs="Times New Roman"/>
      <w:sz w:val="24"/>
      <w:szCs w:val="24"/>
      <w:lang w:val="fr-SN" w:eastAsia="fr-FR"/>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Grille22">
    <w:name w:val="Tableau Grille 22"/>
    <w:basedOn w:val="TableauNormal"/>
    <w:next w:val="TableauGrille2"/>
    <w:rsid w:val="000676A1"/>
    <w:pPr>
      <w:spacing w:after="0" w:line="240" w:lineRule="auto"/>
    </w:pPr>
    <w:rPr>
      <w:rFonts w:ascii="Times New Roman" w:eastAsia="SimSun" w:hAnsi="Times New Roman" w:cs="Times New Roman"/>
      <w:sz w:val="20"/>
      <w:szCs w:val="20"/>
      <w:lang w:val="fr-SN" w:eastAsia="fr-FR"/>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1Clair-Accentuation121">
    <w:name w:val="Tableau Grille 1 Clair - Accentuation 121"/>
    <w:basedOn w:val="TableauNormal"/>
    <w:uiPriority w:val="46"/>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auGrille4-Accentuation121">
    <w:name w:val="Tableau Grille 4 - Accentuation 121"/>
    <w:basedOn w:val="TableauNormal"/>
    <w:uiPriority w:val="49"/>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auGrille421">
    <w:name w:val="Tableau Grille 421"/>
    <w:basedOn w:val="TableauNormal"/>
    <w:uiPriority w:val="49"/>
    <w:rsid w:val="000676A1"/>
    <w:pPr>
      <w:spacing w:after="0" w:line="240" w:lineRule="auto"/>
    </w:pPr>
    <w:rPr>
      <w:rFonts w:ascii="Times New Roman" w:eastAsia="SimSun" w:hAnsi="Times New Roman" w:cs="Times New Roman"/>
      <w:sz w:val="24"/>
      <w:szCs w:val="24"/>
      <w:lang w:val="fr-SN" w:eastAsia="fr-FR"/>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llemoyenne1-Accent41">
    <w:name w:val="Grille moyenne 1 - Accent 41"/>
    <w:basedOn w:val="TableauNormal"/>
    <w:next w:val="Grillemoyenne1-Accent4"/>
    <w:uiPriority w:val="29"/>
    <w:rsid w:val="000676A1"/>
    <w:pPr>
      <w:spacing w:after="0" w:line="240" w:lineRule="auto"/>
    </w:pPr>
    <w:rPr>
      <w:rFonts w:ascii="Calibri" w:eastAsia="Times New Roman" w:hAnsi="Calibri" w:cs="Times New Roman"/>
      <w:i/>
      <w:iCs/>
      <w:color w:val="000000"/>
      <w:lang w:val="en-US" w:bidi="en-US"/>
      <w14:ligatures w14:val="standardContextu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lastRow">
      <w:tblPr/>
      <w:tcPr>
        <w:tcBorders>
          <w:top w:val="single" w:sz="18" w:space="0" w:color="9F8AB9"/>
        </w:tcBorders>
      </w:tcPr>
    </w:tblStylePr>
    <w:tblStylePr w:type="band1Vert">
      <w:tblPr/>
      <w:tcPr>
        <w:shd w:val="clear" w:color="auto" w:fill="BFB1D0"/>
      </w:tcPr>
    </w:tblStylePr>
    <w:tblStylePr w:type="band1Horz">
      <w:tblPr/>
      <w:tcPr>
        <w:shd w:val="clear" w:color="auto" w:fill="BFB1D0"/>
      </w:tcPr>
    </w:tblStylePr>
  </w:style>
  <w:style w:type="table" w:customStyle="1" w:styleId="Tableausimple52">
    <w:name w:val="Tableau simple 52"/>
    <w:basedOn w:val="TableauNormal"/>
    <w:next w:val="Tableausimple5"/>
    <w:uiPriority w:val="63"/>
    <w:qFormat/>
    <w:rsid w:val="000676A1"/>
    <w:pPr>
      <w:spacing w:after="0" w:line="240" w:lineRule="auto"/>
    </w:pPr>
    <w:rPr>
      <w:rFonts w:ascii="Cambria" w:eastAsia="Cambria" w:hAnsi="Cambria" w:cs="Times New Roman"/>
      <w:lang w:val="fr-SN"/>
      <w14:ligatures w14:val="standardContextua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stemoyenne1-Accent21">
    <w:name w:val="Liste moyenne 1 - Accent 21"/>
    <w:basedOn w:val="TableauNormal"/>
    <w:next w:val="Listemoyenne1-Accent2"/>
    <w:uiPriority w:val="61"/>
    <w:rsid w:val="000676A1"/>
    <w:pPr>
      <w:spacing w:after="0" w:line="240" w:lineRule="auto"/>
    </w:pPr>
    <w:rPr>
      <w:rFonts w:ascii="Cambria" w:eastAsia="Cambria" w:hAnsi="Cambria" w:cs="Times New Roman"/>
      <w:lang w:val="fr-CA"/>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Grille21">
    <w:name w:val="Grille21"/>
    <w:basedOn w:val="TableauNormal"/>
    <w:next w:val="Grilledutableau"/>
    <w:uiPriority w:val="3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31">
    <w:name w:val="Grille31"/>
    <w:basedOn w:val="TableauNormal"/>
    <w:next w:val="Grilledutableau"/>
    <w:uiPriority w:val="3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4-Accentuation61">
    <w:name w:val="Tableau Grille 4 - Accentuation 61"/>
    <w:basedOn w:val="TableauNormal"/>
    <w:next w:val="TableauGrille4-Accentuation6"/>
    <w:uiPriority w:val="49"/>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ramecouleur-Accent32">
    <w:name w:val="Trame couleur - Accent 32"/>
    <w:basedOn w:val="TableauNormal"/>
    <w:next w:val="Tramecouleur-Accent3"/>
    <w:unhideWhenUsed/>
    <w:rsid w:val="000676A1"/>
    <w:pPr>
      <w:spacing w:after="0" w:line="240" w:lineRule="auto"/>
    </w:pPr>
    <w:rPr>
      <w:rFonts w:ascii="Calibri" w:eastAsia="Calibri" w:hAnsi="Calibri" w:cs="Times New Roman"/>
      <w:sz w:val="24"/>
      <w:szCs w:val="24"/>
      <w:lang w:val="fr-SN"/>
      <w14:ligatures w14:val="standardContextual"/>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TableauGrille1Clair-Accentuation14">
    <w:name w:val="Tableau Grille 1 Clair - Accentuation 14"/>
    <w:basedOn w:val="TableauNormal"/>
    <w:next w:val="TableauGrille1Clair-Accentuation1"/>
    <w:uiPriority w:val="46"/>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llemoyenne1-Accent25">
    <w:name w:val="Grille moyenne 1 - Accent 25"/>
    <w:basedOn w:val="TableauNormal"/>
    <w:next w:val="Grillemoyenne1-Accent2"/>
    <w:uiPriority w:val="34"/>
    <w:rsid w:val="000676A1"/>
    <w:pPr>
      <w:spacing w:after="0" w:line="240" w:lineRule="auto"/>
    </w:pPr>
    <w:rPr>
      <w:rFonts w:ascii="Calibri" w:eastAsia="Calibri" w:hAnsi="Calibri" w:cs="Times New Roman"/>
      <w:lang w:val="fr-SN"/>
      <w14:ligatures w14:val="standardContextu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Grillemoyenne212">
    <w:name w:val="Grille moyenne 212"/>
    <w:basedOn w:val="TableauNormal"/>
    <w:uiPriority w:val="1"/>
    <w:rsid w:val="000676A1"/>
    <w:pPr>
      <w:spacing w:after="0" w:line="240" w:lineRule="auto"/>
    </w:pPr>
    <w:rPr>
      <w:rFonts w:ascii="Arial (W1)" w:eastAsia="Calibri" w:hAnsi="Arial (W1)" w:cs="Arial"/>
      <w:lang w:val="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stefonce-Accent52">
    <w:name w:val="Liste foncée - Accent 52"/>
    <w:basedOn w:val="TableauNormal"/>
    <w:next w:val="Listefonce-Accent5"/>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stefonce-Accent62">
    <w:name w:val="Liste foncée - Accent 62"/>
    <w:basedOn w:val="TableauNormal"/>
    <w:next w:val="Listefonce-Accent6"/>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lleclaire-Accent112">
    <w:name w:val="Grille claire - Accent 112"/>
    <w:basedOn w:val="TableauNormal"/>
    <w:uiPriority w:val="62"/>
    <w:rsid w:val="000676A1"/>
    <w:pPr>
      <w:spacing w:after="0" w:line="240" w:lineRule="auto"/>
    </w:pPr>
    <w:rPr>
      <w:rFonts w:ascii="Calibri" w:eastAsia="Calibri" w:hAnsi="Calibri" w:cs="Times New Roman"/>
      <w:sz w:val="20"/>
      <w:szCs w:val="20"/>
      <w:lang w:val="fr-SN" w:eastAsia="fr-F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Latha" w:eastAsia="Times New Roman" w:hAnsi="Lath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Latha" w:eastAsia="Times New Roman" w:hAnsi="Lath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atha" w:eastAsia="Times New Roman" w:hAnsi="Latha" w:cs="Times New Roman"/>
        <w:b/>
        <w:bCs/>
      </w:rPr>
    </w:tblStylePr>
    <w:tblStylePr w:type="lastCol">
      <w:rPr>
        <w:rFonts w:ascii="Latha" w:eastAsia="Times New Roman" w:hAnsi="Lath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Aucuneliste32">
    <w:name w:val="Aucune liste32"/>
    <w:next w:val="Aucuneliste"/>
    <w:uiPriority w:val="99"/>
    <w:semiHidden/>
    <w:unhideWhenUsed/>
    <w:rsid w:val="000676A1"/>
  </w:style>
  <w:style w:type="numbering" w:customStyle="1" w:styleId="Aucuneliste42">
    <w:name w:val="Aucune liste42"/>
    <w:next w:val="Aucuneliste"/>
    <w:uiPriority w:val="99"/>
    <w:semiHidden/>
    <w:unhideWhenUsed/>
    <w:rsid w:val="000676A1"/>
  </w:style>
  <w:style w:type="numbering" w:customStyle="1" w:styleId="Aucuneliste52">
    <w:name w:val="Aucune liste52"/>
    <w:next w:val="Aucuneliste"/>
    <w:uiPriority w:val="99"/>
    <w:semiHidden/>
    <w:unhideWhenUsed/>
    <w:rsid w:val="000676A1"/>
  </w:style>
  <w:style w:type="numbering" w:customStyle="1" w:styleId="Aucuneliste62">
    <w:name w:val="Aucune liste62"/>
    <w:next w:val="Aucuneliste"/>
    <w:uiPriority w:val="99"/>
    <w:semiHidden/>
    <w:unhideWhenUsed/>
    <w:rsid w:val="000676A1"/>
  </w:style>
  <w:style w:type="numbering" w:customStyle="1" w:styleId="120">
    <w:name w:val="无列表12"/>
    <w:next w:val="Aucuneliste"/>
    <w:uiPriority w:val="99"/>
    <w:semiHidden/>
    <w:unhideWhenUsed/>
    <w:rsid w:val="000676A1"/>
  </w:style>
  <w:style w:type="table" w:customStyle="1" w:styleId="Trameclaire-Accent23">
    <w:name w:val="Trame claire - Accent 23"/>
    <w:basedOn w:val="TableauNormal"/>
    <w:next w:val="Trameclaire-Accent2"/>
    <w:uiPriority w:val="30"/>
    <w:rsid w:val="000676A1"/>
    <w:pPr>
      <w:spacing w:after="0" w:line="240" w:lineRule="auto"/>
    </w:pPr>
    <w:rPr>
      <w:rFonts w:ascii="Calibri" w:eastAsia="Calibri" w:hAnsi="Calibri" w:cs="Times New Roman"/>
      <w:b/>
      <w:bCs/>
      <w:i/>
      <w:iCs/>
      <w:color w:val="4F81BD"/>
      <w:sz w:val="24"/>
      <w:szCs w:val="24"/>
      <w:lang w:val="fr-SN"/>
      <w14:ligatures w14:val="standardContextual"/>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Grid212">
    <w:name w:val="Medium Grid 212"/>
    <w:basedOn w:val="TableauNormal"/>
    <w:uiPriority w:val="1"/>
    <w:rsid w:val="000676A1"/>
    <w:pPr>
      <w:spacing w:after="0" w:line="240" w:lineRule="auto"/>
    </w:pPr>
    <w:rPr>
      <w:rFonts w:ascii="Arial (W1)" w:eastAsia="Calibri" w:hAnsi="Arial (W1)" w:cs="Arial"/>
      <w:lang w:val="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llecouleur-Accent13">
    <w:name w:val="Grille couleur - Accent 13"/>
    <w:basedOn w:val="TableauNormal"/>
    <w:next w:val="Grillecouleur-Accent1"/>
    <w:uiPriority w:val="29"/>
    <w:rsid w:val="000676A1"/>
    <w:pPr>
      <w:spacing w:after="0" w:line="240" w:lineRule="auto"/>
    </w:pPr>
    <w:rPr>
      <w:rFonts w:ascii="Calibri" w:eastAsia="SimSun" w:hAnsi="Calibri" w:cs="Times New Roman"/>
      <w:i/>
      <w:iCs/>
      <w:color w:val="000000"/>
      <w:kern w:val="2"/>
      <w:sz w:val="24"/>
      <w:szCs w:val="21"/>
      <w:lang w:val="en-US" w:eastAsia="zh-CN"/>
      <w14:ligatures w14:val="standardContextual"/>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TableauGrille1Clair-Accentuation131">
    <w:name w:val="Tableau Grille 1 Clair - Accentuation 131"/>
    <w:basedOn w:val="TableauNormal"/>
    <w:next w:val="TableauGrille1Clair-Accentuation1"/>
    <w:uiPriority w:val="46"/>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lledutableau191">
    <w:name w:val="Grille du tableau191"/>
    <w:basedOn w:val="TableauNormal"/>
    <w:next w:val="Grilledutableau"/>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etableauclaire21">
    <w:name w:val="Grille de tableau claire21"/>
    <w:basedOn w:val="TableauNormal"/>
    <w:next w:val="Grilledetableauclaire"/>
    <w:uiPriority w:val="40"/>
    <w:rsid w:val="000676A1"/>
    <w:pPr>
      <w:spacing w:after="0" w:line="240" w:lineRule="auto"/>
    </w:pPr>
    <w:rPr>
      <w:rFonts w:ascii="Calibri" w:eastAsia="Calibri" w:hAnsi="Calibri" w:cs="Times New Roman"/>
      <w:lang w:val="fr-SN"/>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Aucuneliste81">
    <w:name w:val="Aucune liste81"/>
    <w:next w:val="Aucuneliste"/>
    <w:uiPriority w:val="99"/>
    <w:semiHidden/>
    <w:unhideWhenUsed/>
    <w:rsid w:val="000676A1"/>
  </w:style>
  <w:style w:type="table" w:customStyle="1" w:styleId="Grilledutableau1101">
    <w:name w:val="Grille du tableau1101"/>
    <w:basedOn w:val="TableauNormal"/>
    <w:next w:val="Grilledutableau"/>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Aucuneliste"/>
    <w:uiPriority w:val="99"/>
    <w:semiHidden/>
    <w:unhideWhenUsed/>
    <w:rsid w:val="000676A1"/>
  </w:style>
  <w:style w:type="table" w:customStyle="1" w:styleId="Grilledutableau611">
    <w:name w:val="Grille du tableau611"/>
    <w:basedOn w:val="TableauNormal"/>
    <w:next w:val="Grilledutableau"/>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Headings11">
    <w:name w:val="List Headings11"/>
    <w:uiPriority w:val="99"/>
    <w:rsid w:val="000676A1"/>
  </w:style>
  <w:style w:type="table" w:customStyle="1" w:styleId="Grilledutableau721">
    <w:name w:val="Grille du tableau721"/>
    <w:basedOn w:val="TableauNormal"/>
    <w:next w:val="Grilledutableau"/>
    <w:uiPriority w:val="59"/>
    <w:rsid w:val="000676A1"/>
    <w:pPr>
      <w:spacing w:after="0" w:line="240" w:lineRule="auto"/>
    </w:pPr>
    <w:rPr>
      <w:rFonts w:ascii="Cambria" w:eastAsia="Cambria" w:hAnsi="Cambria" w:cs="Times New Roman"/>
      <w:lang w:val="fr-SN"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moyenne1-Accent241">
    <w:name w:val="Grille moyenne 1 - Accent 241"/>
    <w:basedOn w:val="TableauNormal"/>
    <w:next w:val="Grillemoyenne1-Accent2"/>
    <w:uiPriority w:val="34"/>
    <w:rsid w:val="000676A1"/>
    <w:pPr>
      <w:spacing w:after="0" w:line="240" w:lineRule="auto"/>
    </w:pPr>
    <w:rPr>
      <w:rFonts w:ascii="Calibri" w:eastAsia="Calibri" w:hAnsi="Calibri" w:cs="Times New Roman"/>
      <w:lang w:val="fr-SN"/>
      <w14:ligatures w14:val="standardContextu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Grillemoyenne2111">
    <w:name w:val="Grille moyenne 2111"/>
    <w:basedOn w:val="TableauNormal"/>
    <w:uiPriority w:val="1"/>
    <w:rsid w:val="000676A1"/>
    <w:pPr>
      <w:spacing w:after="0" w:line="240" w:lineRule="auto"/>
    </w:pPr>
    <w:rPr>
      <w:rFonts w:ascii="Arial (W1)" w:eastAsia="Calibri" w:hAnsi="Arial (W1)" w:cs="Arial"/>
      <w:lang w:val="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steclaire111">
    <w:name w:val="Liste claire111"/>
    <w:basedOn w:val="TableauNormal"/>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efonce-Accent511">
    <w:name w:val="Liste foncée - Accent 511"/>
    <w:basedOn w:val="TableauNormal"/>
    <w:next w:val="Listefonce-Accent5"/>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Aucuneliste211">
    <w:name w:val="Aucune liste211"/>
    <w:next w:val="Aucuneliste"/>
    <w:uiPriority w:val="99"/>
    <w:semiHidden/>
    <w:unhideWhenUsed/>
    <w:rsid w:val="000676A1"/>
  </w:style>
  <w:style w:type="table" w:customStyle="1" w:styleId="Listeclaire-Accent61221">
    <w:name w:val="Liste claire - Accent 61221"/>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131">
    <w:name w:val="Liste claire - Accent 6131"/>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fonce-Accent611">
    <w:name w:val="Liste foncée - Accent 611"/>
    <w:basedOn w:val="TableauNormal"/>
    <w:next w:val="Listefonce-Accent6"/>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lleclaire-Accent1111">
    <w:name w:val="Grille claire - Accent 1111"/>
    <w:basedOn w:val="TableauNormal"/>
    <w:uiPriority w:val="62"/>
    <w:rsid w:val="000676A1"/>
    <w:pPr>
      <w:spacing w:after="0" w:line="240" w:lineRule="auto"/>
    </w:pPr>
    <w:rPr>
      <w:rFonts w:ascii="Calibri" w:eastAsia="Calibri" w:hAnsi="Calibri" w:cs="Times New Roman"/>
      <w:sz w:val="20"/>
      <w:szCs w:val="20"/>
      <w:lang w:val="fr-SN" w:eastAsia="fr-F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Latha" w:eastAsia="Times New Roman" w:hAnsi="Lath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Latha" w:eastAsia="Times New Roman" w:hAnsi="Lath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atha" w:eastAsia="Times New Roman" w:hAnsi="Latha" w:cs="Times New Roman"/>
        <w:b/>
        <w:bCs/>
      </w:rPr>
    </w:tblStylePr>
    <w:tblStylePr w:type="lastCol">
      <w:rPr>
        <w:rFonts w:ascii="Latha" w:eastAsia="Times New Roman" w:hAnsi="Lath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Aucuneliste311">
    <w:name w:val="Aucune liste311"/>
    <w:next w:val="Aucuneliste"/>
    <w:uiPriority w:val="99"/>
    <w:semiHidden/>
    <w:unhideWhenUsed/>
    <w:rsid w:val="000676A1"/>
  </w:style>
  <w:style w:type="numbering" w:customStyle="1" w:styleId="Aucuneliste411">
    <w:name w:val="Aucune liste411"/>
    <w:next w:val="Aucuneliste"/>
    <w:uiPriority w:val="99"/>
    <w:semiHidden/>
    <w:unhideWhenUsed/>
    <w:rsid w:val="000676A1"/>
  </w:style>
  <w:style w:type="table" w:customStyle="1" w:styleId="Grilledutableau511">
    <w:name w:val="Grille du tableau511"/>
    <w:basedOn w:val="TableauNormal"/>
    <w:next w:val="Grilledutableau"/>
    <w:uiPriority w:val="59"/>
    <w:rsid w:val="000676A1"/>
    <w:pPr>
      <w:spacing w:after="0" w:line="240" w:lineRule="auto"/>
    </w:pPr>
    <w:rPr>
      <w:rFonts w:ascii="Calibri" w:eastAsia="Times New Roman" w:hAnsi="Calibri" w:cs="Times New Roman"/>
      <w:sz w:val="20"/>
      <w:szCs w:val="20"/>
      <w:lang w:val="fr-SN" w:eastAsia="fr-F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511">
    <w:name w:val="Aucune liste511"/>
    <w:next w:val="Aucuneliste"/>
    <w:uiPriority w:val="99"/>
    <w:semiHidden/>
    <w:unhideWhenUsed/>
    <w:rsid w:val="000676A1"/>
  </w:style>
  <w:style w:type="table" w:customStyle="1" w:styleId="Grilledutableau2111">
    <w:name w:val="Grille du tableau2111"/>
    <w:basedOn w:val="TableauNormal"/>
    <w:next w:val="Grilledutableau"/>
    <w:uiPriority w:val="59"/>
    <w:rsid w:val="000676A1"/>
    <w:pPr>
      <w:spacing w:after="0" w:line="240" w:lineRule="auto"/>
    </w:pPr>
    <w:rPr>
      <w:rFonts w:ascii="Calibri" w:eastAsia="Times New Roman" w:hAnsi="Calibri" w:cs="Times New Roman"/>
      <w:lang w:val="fr-SN" w:eastAsia="fr-F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eclaire-Accent612111">
    <w:name w:val="Liste claire - Accent 612111"/>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1111">
    <w:name w:val="Liste claire - Accent 61111"/>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211">
    <w:name w:val="Liste claire - Accent 6211"/>
    <w:basedOn w:val="TableauNormal"/>
    <w:next w:val="Listefonce-Accent6"/>
    <w:uiPriority w:val="61"/>
    <w:rsid w:val="000676A1"/>
    <w:pPr>
      <w:spacing w:after="0" w:line="240" w:lineRule="auto"/>
      <w:jc w:val="both"/>
    </w:pPr>
    <w:rPr>
      <w:rFonts w:ascii="Arial Narrow" w:eastAsia="Calibri" w:hAnsi="Arial Narrow" w:cs="Times New Roman"/>
      <w:sz w:val="24"/>
      <w:lang w:val="en-GB"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Aucuneliste611">
    <w:name w:val="Aucune liste611"/>
    <w:next w:val="Aucuneliste"/>
    <w:uiPriority w:val="99"/>
    <w:semiHidden/>
    <w:unhideWhenUsed/>
    <w:rsid w:val="000676A1"/>
  </w:style>
  <w:style w:type="numbering" w:customStyle="1" w:styleId="1110">
    <w:name w:val="无列表111"/>
    <w:next w:val="Aucuneliste"/>
    <w:uiPriority w:val="99"/>
    <w:semiHidden/>
    <w:unhideWhenUsed/>
    <w:rsid w:val="000676A1"/>
  </w:style>
  <w:style w:type="table" w:customStyle="1" w:styleId="Trameclaire-Accent221">
    <w:name w:val="Trame claire - Accent 221"/>
    <w:basedOn w:val="TableauNormal"/>
    <w:next w:val="Trameclaire-Accent2"/>
    <w:uiPriority w:val="30"/>
    <w:rsid w:val="000676A1"/>
    <w:pPr>
      <w:spacing w:after="0" w:line="240" w:lineRule="auto"/>
    </w:pPr>
    <w:rPr>
      <w:rFonts w:ascii="Calibri" w:eastAsia="Calibri" w:hAnsi="Calibri" w:cs="Times New Roman"/>
      <w:b/>
      <w:bCs/>
      <w:i/>
      <w:iCs/>
      <w:color w:val="4F81BD"/>
      <w:sz w:val="24"/>
      <w:szCs w:val="24"/>
      <w:lang w:val="fr-SN"/>
      <w14:ligatures w14:val="standardContextual"/>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Grid2111">
    <w:name w:val="Medium Grid 2111"/>
    <w:basedOn w:val="TableauNormal"/>
    <w:uiPriority w:val="1"/>
    <w:rsid w:val="000676A1"/>
    <w:pPr>
      <w:spacing w:after="0" w:line="240" w:lineRule="auto"/>
    </w:pPr>
    <w:rPr>
      <w:rFonts w:ascii="Arial (W1)" w:eastAsia="Calibri" w:hAnsi="Arial (W1)" w:cs="Arial"/>
      <w:lang w:val="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llecouleur-Accent121">
    <w:name w:val="Grille couleur - Accent 121"/>
    <w:basedOn w:val="TableauNormal"/>
    <w:next w:val="Grillecouleur-Accent1"/>
    <w:uiPriority w:val="29"/>
    <w:rsid w:val="000676A1"/>
    <w:pPr>
      <w:spacing w:after="0" w:line="240" w:lineRule="auto"/>
    </w:pPr>
    <w:rPr>
      <w:rFonts w:ascii="Calibri" w:eastAsia="SimSun" w:hAnsi="Calibri" w:cs="Times New Roman"/>
      <w:i/>
      <w:iCs/>
      <w:color w:val="000000"/>
      <w:kern w:val="2"/>
      <w:sz w:val="24"/>
      <w:szCs w:val="21"/>
      <w:lang w:val="en-US" w:eastAsia="zh-CN"/>
      <w14:ligatures w14:val="standardContextual"/>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TableauGrille43">
    <w:name w:val="Tableau Grille 43"/>
    <w:basedOn w:val="TableauNormal"/>
    <w:next w:val="TableauGrille4"/>
    <w:uiPriority w:val="49"/>
    <w:rsid w:val="000676A1"/>
    <w:pPr>
      <w:spacing w:after="0" w:line="240" w:lineRule="auto"/>
    </w:pPr>
    <w:rPr>
      <w:rFonts w:ascii="Calibri" w:eastAsia="Calibri" w:hAnsi="Calibri" w:cs="Times New Roman"/>
      <w:sz w:val="20"/>
      <w:lang w:val="fr-SN"/>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Liste5Fonc-Accentuation61">
    <w:name w:val="Tableau Liste 5 Foncé - Accentuation 61"/>
    <w:basedOn w:val="TableauNormal"/>
    <w:next w:val="TableauListe5Fonc-Accentuation6"/>
    <w:uiPriority w:val="50"/>
    <w:rsid w:val="000676A1"/>
    <w:pPr>
      <w:spacing w:after="0" w:line="240" w:lineRule="auto"/>
    </w:pPr>
    <w:rPr>
      <w:rFonts w:ascii="Calibri" w:eastAsia="Calibri" w:hAnsi="Calibri" w:cs="Times New Roman"/>
      <w:color w:val="FFFFFF"/>
      <w:sz w:val="20"/>
      <w:lang w:val="fr-SN"/>
      <w14:ligatures w14:val="standardContextual"/>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4-Accentuation61">
    <w:name w:val="Tableau Liste 4 - Accentuation 61"/>
    <w:basedOn w:val="TableauNormal"/>
    <w:next w:val="TableauListe4-Accentuation6"/>
    <w:uiPriority w:val="49"/>
    <w:rsid w:val="000676A1"/>
    <w:pPr>
      <w:spacing w:after="0" w:line="240" w:lineRule="auto"/>
    </w:pPr>
    <w:rPr>
      <w:rFonts w:ascii="Calibri" w:eastAsia="Calibri" w:hAnsi="Calibri" w:cs="Times New Roman"/>
      <w:sz w:val="20"/>
      <w:lang w:val="fr-SN"/>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auListe5Fonc-Accentuation51">
    <w:name w:val="Tableau Liste 5 Foncé - Accentuation 51"/>
    <w:basedOn w:val="TableauNormal"/>
    <w:next w:val="TableauListe5Fonc-Accentuation5"/>
    <w:uiPriority w:val="50"/>
    <w:rsid w:val="000676A1"/>
    <w:pPr>
      <w:spacing w:after="0" w:line="240" w:lineRule="auto"/>
    </w:pPr>
    <w:rPr>
      <w:rFonts w:ascii="Calibri" w:eastAsia="Calibri" w:hAnsi="Calibri" w:cs="Times New Roman"/>
      <w:color w:val="FFFFFF"/>
      <w:sz w:val="20"/>
      <w:lang w:val="fr-SN"/>
      <w14:ligatures w14:val="standardContextual"/>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4-Accentuation51">
    <w:name w:val="Tableau Liste 4 - Accentuation 51"/>
    <w:basedOn w:val="TableauNormal"/>
    <w:next w:val="TableauListe4-Accentuation5"/>
    <w:uiPriority w:val="48"/>
    <w:rsid w:val="000676A1"/>
    <w:pPr>
      <w:spacing w:after="0" w:line="240" w:lineRule="auto"/>
    </w:pPr>
    <w:rPr>
      <w:rFonts w:ascii="Calibri" w:eastAsia="Calibri" w:hAnsi="Calibri" w:cs="Times New Roman"/>
      <w:sz w:val="20"/>
      <w:lang w:val="fr-S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Liste1Clair-Accentuation61">
    <w:name w:val="Tableau Liste 1 Clair - Accentuation 61"/>
    <w:basedOn w:val="TableauNormal"/>
    <w:next w:val="TableauListe1Clair-Accentuation6"/>
    <w:uiPriority w:val="46"/>
    <w:rsid w:val="000676A1"/>
    <w:pPr>
      <w:spacing w:after="0" w:line="240" w:lineRule="auto"/>
    </w:pPr>
    <w:rPr>
      <w:rFonts w:ascii="Calibri" w:eastAsia="Calibri" w:hAnsi="Calibri" w:cs="Times New Roman"/>
      <w:sz w:val="20"/>
      <w:lang w:val="fr-SN"/>
      <w14:ligatures w14:val="standardContextual"/>
    </w:rPr>
    <w:tblPr>
      <w:tblStyleRowBandSize w:val="1"/>
      <w:tblStyleColBandSize w:val="1"/>
    </w:tblPr>
    <w:tblStylePr w:type="firstRow">
      <w:rPr>
        <w:b/>
        <w:bCs/>
      </w:rPr>
      <w:tblPr/>
      <w:tcPr>
        <w:tcBorders>
          <w:bottom w:val="single" w:sz="4" w:space="0" w:color="70AD47"/>
        </w:tcBorders>
      </w:tcPr>
    </w:tblStylePr>
    <w:tblStylePr w:type="lastRow">
      <w:rPr>
        <w:b/>
        <w:bCs/>
      </w:rPr>
      <w:tblPr/>
      <w:tcPr>
        <w:tcBorders>
          <w:top w:val="sing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ausimple13">
    <w:name w:val="Tableau simple 13"/>
    <w:basedOn w:val="TableauNormal"/>
    <w:next w:val="Tableausimple1"/>
    <w:uiPriority w:val="63"/>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lledutableau1711">
    <w:name w:val="Grille du tableau1711"/>
    <w:basedOn w:val="TableauNormal"/>
    <w:next w:val="Grilledutableau"/>
    <w:uiPriority w:val="3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ouleur-Accent16">
    <w:name w:val="Liste couleur - Accent 16"/>
    <w:basedOn w:val="TableauNormal"/>
    <w:next w:val="Listecouleur-Accent1"/>
    <w:uiPriority w:val="34"/>
    <w:rsid w:val="000676A1"/>
    <w:pPr>
      <w:spacing w:after="0" w:line="240" w:lineRule="auto"/>
    </w:pPr>
    <w:rPr>
      <w:rFonts w:ascii="Times New Roman" w:eastAsia="Times New Roman" w:hAnsi="Times New Roman" w:cs="Times New Roman"/>
      <w:sz w:val="24"/>
      <w:szCs w:val="24"/>
      <w:lang w:val="fr-SN"/>
      <w14:ligatures w14:val="standardContextual"/>
    </w:rPr>
    <w:tblPr>
      <w:tblStyleRowBandSize w:val="1"/>
      <w:tblStyleColBandSize w:val="1"/>
    </w:tblPr>
    <w:tcPr>
      <w:shd w:val="clear" w:color="auto" w:fill="EDF2F8"/>
    </w:tcPr>
    <w:tblStylePr w:type="firstRow">
      <w:rPr>
        <w:rFonts w:cs="Times New Roman"/>
      </w:rPr>
      <w:tblPr/>
      <w:tcPr>
        <w:tcBorders>
          <w:bottom w:val="single" w:sz="12" w:space="0" w:color="FFFFFF"/>
        </w:tcBorders>
        <w:shd w:val="clear" w:color="auto" w:fill="9E3A38"/>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numbering" w:customStyle="1" w:styleId="WWNum31">
    <w:name w:val="WWNum31"/>
    <w:basedOn w:val="Aucuneliste"/>
    <w:rsid w:val="000676A1"/>
  </w:style>
  <w:style w:type="numbering" w:customStyle="1" w:styleId="WWNum11">
    <w:name w:val="WWNum11"/>
    <w:basedOn w:val="Aucuneliste"/>
    <w:rsid w:val="000676A1"/>
  </w:style>
  <w:style w:type="numbering" w:customStyle="1" w:styleId="WWNum21">
    <w:name w:val="WWNum21"/>
    <w:basedOn w:val="Aucuneliste"/>
    <w:rsid w:val="000676A1"/>
  </w:style>
  <w:style w:type="numbering" w:customStyle="1" w:styleId="WWNum51">
    <w:name w:val="WWNum51"/>
    <w:basedOn w:val="Aucuneliste"/>
    <w:rsid w:val="000676A1"/>
  </w:style>
  <w:style w:type="numbering" w:customStyle="1" w:styleId="Aucuneliste111111">
    <w:name w:val="Aucune liste111111"/>
    <w:next w:val="Aucuneliste"/>
    <w:uiPriority w:val="99"/>
    <w:semiHidden/>
    <w:unhideWhenUsed/>
    <w:rsid w:val="000676A1"/>
  </w:style>
  <w:style w:type="numbering" w:customStyle="1" w:styleId="Aucuneliste91">
    <w:name w:val="Aucune liste91"/>
    <w:next w:val="Aucuneliste"/>
    <w:uiPriority w:val="99"/>
    <w:semiHidden/>
    <w:unhideWhenUsed/>
    <w:rsid w:val="000676A1"/>
  </w:style>
  <w:style w:type="numbering" w:customStyle="1" w:styleId="Aucuneliste101">
    <w:name w:val="Aucune liste101"/>
    <w:next w:val="Aucuneliste"/>
    <w:uiPriority w:val="99"/>
    <w:semiHidden/>
    <w:unhideWhenUsed/>
    <w:rsid w:val="000676A1"/>
  </w:style>
  <w:style w:type="character" w:customStyle="1" w:styleId="TableauGrille1Clair11">
    <w:name w:val="Tableau Grille 1 Clair11"/>
    <w:uiPriority w:val="33"/>
    <w:rsid w:val="000676A1"/>
    <w:rPr>
      <w:b/>
      <w:bCs/>
      <w:smallCaps/>
      <w:spacing w:val="5"/>
    </w:rPr>
  </w:style>
  <w:style w:type="table" w:customStyle="1" w:styleId="TableGrid3">
    <w:name w:val="TableGrid3"/>
    <w:rsid w:val="000676A1"/>
    <w:pPr>
      <w:spacing w:after="0" w:line="240" w:lineRule="auto"/>
    </w:pPr>
    <w:rPr>
      <w:rFonts w:eastAsia="Times New Roman"/>
      <w:lang w:eastAsia="fr-FR"/>
      <w14:ligatures w14:val="standardContextual"/>
    </w:rPr>
    <w:tblPr>
      <w:tblCellMar>
        <w:top w:w="0" w:type="dxa"/>
        <w:left w:w="0" w:type="dxa"/>
        <w:bottom w:w="0" w:type="dxa"/>
        <w:right w:w="0" w:type="dxa"/>
      </w:tblCellMar>
    </w:tblPr>
  </w:style>
  <w:style w:type="table" w:customStyle="1" w:styleId="TableauGrille213">
    <w:name w:val="Tableau Grille 213"/>
    <w:basedOn w:val="TableauNormal"/>
    <w:rsid w:val="000676A1"/>
    <w:pPr>
      <w:spacing w:after="200" w:line="288" w:lineRule="auto"/>
    </w:pPr>
    <w:rPr>
      <w:rFonts w:ascii="Calibri" w:eastAsia="Times New Roman" w:hAnsi="Calibri"/>
      <w:sz w:val="24"/>
      <w:szCs w:val="24"/>
      <w:lang w:val="fr-SN" w:eastAsia="fr-FR"/>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1Clair-Accentuation113">
    <w:name w:val="Tableau Grille 1 Clair - Accentuation 113"/>
    <w:basedOn w:val="TableauNormal"/>
    <w:uiPriority w:val="46"/>
    <w:rsid w:val="000676A1"/>
    <w:pPr>
      <w:spacing w:after="200" w:line="288" w:lineRule="auto"/>
    </w:pPr>
    <w:rPr>
      <w:rFonts w:ascii="Calibri" w:eastAsia="Calibri" w:hAnsi="Calibri"/>
      <w:lang w:val="fr-SN"/>
      <w14:ligatures w14:val="standardContextua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eauGrille4-Accentuation113">
    <w:name w:val="Tableau Grille 4 - Accentuation 113"/>
    <w:basedOn w:val="TableauNormal"/>
    <w:uiPriority w:val="49"/>
    <w:rsid w:val="000676A1"/>
    <w:pPr>
      <w:spacing w:after="200" w:line="288" w:lineRule="auto"/>
    </w:pPr>
    <w:rPr>
      <w:rFonts w:ascii="Calibri" w:eastAsia="Calibri" w:hAnsi="Calibri"/>
      <w:lang w:val="fr-S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simple113">
    <w:name w:val="Tableau simple 113"/>
    <w:basedOn w:val="TableauNormal"/>
    <w:rsid w:val="000676A1"/>
    <w:pPr>
      <w:spacing w:after="200" w:line="288" w:lineRule="auto"/>
    </w:pPr>
    <w:rPr>
      <w:rFonts w:ascii="Times New Roman" w:eastAsia="SimSun" w:hAnsi="Times New Roman"/>
      <w:sz w:val="24"/>
      <w:szCs w:val="24"/>
      <w:lang w:val="fr-SN" w:eastAsia="fr-FR"/>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Grille413">
    <w:name w:val="Tableau Grille 413"/>
    <w:basedOn w:val="TableauNormal"/>
    <w:uiPriority w:val="49"/>
    <w:rsid w:val="000676A1"/>
    <w:pPr>
      <w:spacing w:after="200" w:line="288" w:lineRule="auto"/>
    </w:pPr>
    <w:rPr>
      <w:rFonts w:ascii="Times New Roman" w:eastAsia="SimSun" w:hAnsi="Times New Roman"/>
      <w:sz w:val="24"/>
      <w:szCs w:val="24"/>
      <w:lang w:val="fr-SN" w:eastAsia="fr-FR"/>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zeta">
    <w:name w:val="zeta"/>
    <w:basedOn w:val="Normal"/>
    <w:uiPriority w:val="99"/>
    <w:rsid w:val="000676A1"/>
    <w:pPr>
      <w:spacing w:before="100" w:beforeAutospacing="1" w:after="100" w:afterAutospacing="1" w:line="240" w:lineRule="auto"/>
    </w:pPr>
    <w:rPr>
      <w:rFonts w:ascii="Times New Roman" w:eastAsia="Times New Roman" w:hAnsi="Times New Roman"/>
      <w:sz w:val="24"/>
      <w:szCs w:val="24"/>
      <w:lang w:eastAsia="fr-FR"/>
      <w14:ligatures w14:val="standardContextual"/>
    </w:rPr>
  </w:style>
  <w:style w:type="character" w:customStyle="1" w:styleId="link-wrapper">
    <w:name w:val="link-wrapper"/>
    <w:basedOn w:val="Policepardfaut"/>
    <w:rsid w:val="000676A1"/>
  </w:style>
  <w:style w:type="table" w:customStyle="1" w:styleId="Listecouleur-Accent32">
    <w:name w:val="Liste couleur - Accent 32"/>
    <w:basedOn w:val="TableauNormal"/>
    <w:next w:val="Listecouleur-Accent3"/>
    <w:uiPriority w:val="29"/>
    <w:rsid w:val="000676A1"/>
    <w:pPr>
      <w:spacing w:after="200" w:line="288" w:lineRule="auto"/>
    </w:pPr>
    <w:rPr>
      <w:rFonts w:ascii="Calibri" w:eastAsia="Times New Roman" w:hAnsi="Calibri" w:cs="Times New Roman"/>
      <w:i/>
      <w:iCs/>
      <w:color w:val="000000"/>
      <w:lang w:val="en-US" w:bidi="en-US"/>
      <w14:ligatures w14:val="standardContextual"/>
    </w:rPr>
    <w:tblPr>
      <w:tblStyleRowBandSize w:val="1"/>
      <w:tblStyleColBandSize w:val="1"/>
    </w:tblPr>
    <w:tcPr>
      <w:shd w:val="clear" w:color="auto" w:fill="F5F8EE"/>
    </w:tcPr>
    <w:tblStylePr w:type="firstRow">
      <w:tblPr/>
      <w:tcPr>
        <w:tcBorders>
          <w:bottom w:val="single" w:sz="12" w:space="0" w:color="FFFFFF"/>
        </w:tcBorders>
        <w:shd w:val="clear" w:color="auto" w:fill="664E8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llecouleur-Accent32">
    <w:name w:val="Grille couleur - Accent 32"/>
    <w:basedOn w:val="TableauNormal"/>
    <w:next w:val="Grillecouleur-Accent3"/>
    <w:uiPriority w:val="30"/>
    <w:rsid w:val="000676A1"/>
    <w:pPr>
      <w:spacing w:after="200" w:line="288" w:lineRule="auto"/>
    </w:pPr>
    <w:rPr>
      <w:rFonts w:ascii="Calibri" w:eastAsia="Times New Roman" w:hAnsi="Calibri" w:cs="Times New Roman"/>
      <w:b/>
      <w:bCs/>
      <w:i/>
      <w:iCs/>
      <w:color w:val="4F81BD"/>
      <w:lang w:val="en-US" w:bidi="en-US"/>
      <w14:ligatures w14:val="standardContextual"/>
    </w:rPr>
    <w:tblPr>
      <w:tblStyleRowBandSize w:val="1"/>
      <w:tblStyleColBandSize w:val="1"/>
      <w:tblBorders>
        <w:insideH w:val="single" w:sz="4" w:space="0" w:color="FFFFFF"/>
      </w:tblBorders>
    </w:tblPr>
    <w:tcPr>
      <w:shd w:val="clear" w:color="auto" w:fill="EAF1DD"/>
    </w:tcPr>
    <w:tblStylePr w:type="firstRow">
      <w:tblPr/>
      <w:tcPr>
        <w:shd w:val="clear" w:color="auto" w:fill="D6E3BC"/>
      </w:tcPr>
    </w:tblStylePr>
    <w:tblStylePr w:type="lastRow">
      <w:tblPr/>
      <w:tcPr>
        <w:shd w:val="clear" w:color="auto" w:fill="D6E3BC"/>
      </w:tcPr>
    </w:tblStylePr>
    <w:tblStylePr w:type="firstCol">
      <w:tblPr/>
      <w:tcPr>
        <w:shd w:val="clear" w:color="auto" w:fill="76923C"/>
      </w:tcPr>
    </w:tblStylePr>
    <w:tblStylePr w:type="lastCol">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Grillemoyenne1-Accent42">
    <w:name w:val="Grille moyenne 1 - Accent 42"/>
    <w:basedOn w:val="TableauNormal"/>
    <w:next w:val="Grillemoyenne1-Accent4"/>
    <w:uiPriority w:val="29"/>
    <w:rsid w:val="000676A1"/>
    <w:pPr>
      <w:spacing w:after="200" w:line="288" w:lineRule="auto"/>
    </w:pPr>
    <w:rPr>
      <w:rFonts w:ascii="Calibri" w:eastAsia="Times New Roman" w:hAnsi="Calibri" w:cs="Times New Roman"/>
      <w:i/>
      <w:iCs/>
      <w:color w:val="000000"/>
      <w:lang w:val="en-US" w:bidi="en-US"/>
      <w14:ligatures w14:val="standardContextu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lastRow">
      <w:tblPr/>
      <w:tcPr>
        <w:tcBorders>
          <w:top w:val="single" w:sz="18" w:space="0" w:color="9F8AB9"/>
        </w:tcBorders>
      </w:tcPr>
    </w:tblStylePr>
    <w:tblStylePr w:type="band1Vert">
      <w:tblPr/>
      <w:tcPr>
        <w:shd w:val="clear" w:color="auto" w:fill="BFB1D0"/>
      </w:tcPr>
    </w:tblStylePr>
    <w:tblStylePr w:type="band1Horz">
      <w:tblPr/>
      <w:tcPr>
        <w:shd w:val="clear" w:color="auto" w:fill="BFB1D0"/>
      </w:tcPr>
    </w:tblStylePr>
  </w:style>
  <w:style w:type="table" w:customStyle="1" w:styleId="Grillemoyenne2-Accent42">
    <w:name w:val="Grille moyenne 2 - Accent 42"/>
    <w:basedOn w:val="TableauNormal"/>
    <w:next w:val="Grillemoyenne2-Accent4"/>
    <w:uiPriority w:val="30"/>
    <w:rsid w:val="000676A1"/>
    <w:pPr>
      <w:spacing w:after="200" w:line="288" w:lineRule="auto"/>
    </w:pPr>
    <w:rPr>
      <w:rFonts w:ascii="Calibri" w:eastAsia="Times New Roman" w:hAnsi="Calibri" w:cs="Times New Roman"/>
      <w:b/>
      <w:bCs/>
      <w:i/>
      <w:iCs/>
      <w:color w:val="4F81BD"/>
      <w:lang w:val="en-US" w:bidi="en-US"/>
      <w14:ligatures w14:val="standardContextu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tblPr/>
      <w:tcPr>
        <w:shd w:val="clear" w:color="auto" w:fill="F2EFF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Trameclaire-Accent24">
    <w:name w:val="Trame claire - Accent 24"/>
    <w:basedOn w:val="TableauNormal"/>
    <w:next w:val="Trameclaire-Accent2"/>
    <w:uiPriority w:val="30"/>
    <w:rsid w:val="000676A1"/>
    <w:pPr>
      <w:spacing w:after="200" w:line="288" w:lineRule="auto"/>
    </w:pPr>
    <w:rPr>
      <w:rFonts w:eastAsia="SimSun"/>
      <w:b/>
      <w:bCs/>
      <w:i/>
      <w:iCs/>
      <w:color w:val="4F81BD"/>
      <w:sz w:val="24"/>
      <w:szCs w:val="24"/>
      <w14:ligatures w14:val="standardContextual"/>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TextebrutCar1">
    <w:name w:val="Texte brut Car1"/>
    <w:aliases w:val="普通文字 Char Car1,普通文字 Car1,正常段落 Car1,普通文字 Char Char Car1,普通文字 Char Char Char Char Char Car1"/>
    <w:basedOn w:val="Policepardfaut"/>
    <w:rsid w:val="000676A1"/>
    <w:rPr>
      <w:rFonts w:ascii="Consolas" w:hAnsi="Consolas"/>
      <w:lang w:val="en"/>
    </w:rPr>
  </w:style>
  <w:style w:type="table" w:customStyle="1" w:styleId="Grillemoyenne213">
    <w:name w:val="Grille moyenne 213"/>
    <w:basedOn w:val="TableauNormal"/>
    <w:uiPriority w:val="1"/>
    <w:rsid w:val="000676A1"/>
    <w:pPr>
      <w:spacing w:after="0" w:line="240" w:lineRule="auto"/>
    </w:pPr>
    <w:rPr>
      <w:rFonts w:eastAsia="SimSun"/>
      <w:sz w:val="20"/>
      <w:szCs w:val="20"/>
      <w:lang w:val="en"/>
      <w14:ligatures w14:val="standardContextual"/>
    </w:rPr>
    <w:tblPr/>
    <w:tblStylePr w:type="lastRow">
      <w:tblPr/>
      <w:tcPr>
        <w:tcBorders>
          <w:top w:val="single" w:sz="12" w:space="0" w:color="000000"/>
          <w:left w:val="nil"/>
          <w:bottom w:val="nil"/>
          <w:right w:val="nil"/>
          <w:insideH w:val="nil"/>
          <w:insideV w:val="nil"/>
        </w:tcBorders>
        <w:shd w:val="clear" w:color="auto" w:fill="FFFFFF"/>
      </w:tcPr>
    </w:tblStylePr>
  </w:style>
  <w:style w:type="table" w:customStyle="1" w:styleId="Grillemoyenne214">
    <w:name w:val="Grille moyenne 214"/>
    <w:basedOn w:val="TableauNormal"/>
    <w:uiPriority w:val="1"/>
    <w:rsid w:val="000676A1"/>
    <w:pPr>
      <w:spacing w:after="0" w:line="240" w:lineRule="auto"/>
    </w:pPr>
    <w:rPr>
      <w:rFonts w:eastAsia="SimSun"/>
      <w:sz w:val="20"/>
      <w:szCs w:val="20"/>
      <w:lang w:val="en"/>
      <w14:ligatures w14:val="standardContextual"/>
    </w:rPr>
    <w:tblPr/>
    <w:tblStylePr w:type="firstCol">
      <w:tblPr/>
      <w:tcPr>
        <w:tcBorders>
          <w:top w:val="nil"/>
          <w:left w:val="nil"/>
          <w:bottom w:val="nil"/>
          <w:right w:val="nil"/>
          <w:insideH w:val="nil"/>
          <w:insideV w:val="nil"/>
        </w:tcBorders>
        <w:shd w:val="clear" w:color="auto" w:fill="FFFFFF"/>
      </w:tcPr>
    </w:tblStylePr>
  </w:style>
  <w:style w:type="table" w:customStyle="1" w:styleId="Grillemoyenne215">
    <w:name w:val="Grille moyenne 215"/>
    <w:basedOn w:val="TableauNormal"/>
    <w:uiPriority w:val="1"/>
    <w:rsid w:val="000676A1"/>
    <w:pPr>
      <w:spacing w:after="0" w:line="240" w:lineRule="auto"/>
    </w:pPr>
    <w:rPr>
      <w:rFonts w:eastAsia="SimSun"/>
      <w:sz w:val="20"/>
      <w:szCs w:val="20"/>
      <w:lang w:val="en"/>
      <w14:ligatures w14:val="standardContextual"/>
    </w:rPr>
    <w:tblPr/>
    <w:tblStylePr w:type="lastCol">
      <w:tblPr/>
      <w:tcPr>
        <w:tcBorders>
          <w:top w:val="nil"/>
          <w:left w:val="nil"/>
          <w:bottom w:val="nil"/>
          <w:right w:val="nil"/>
          <w:insideH w:val="nil"/>
          <w:insideV w:val="nil"/>
        </w:tcBorders>
        <w:shd w:val="clear" w:color="auto" w:fill="CCCCCC"/>
      </w:tcPr>
    </w:tblStylePr>
  </w:style>
  <w:style w:type="table" w:customStyle="1" w:styleId="Grillemoyenne216">
    <w:name w:val="Grille moyenne 216"/>
    <w:basedOn w:val="TableauNormal"/>
    <w:uiPriority w:val="1"/>
    <w:rsid w:val="000676A1"/>
    <w:pPr>
      <w:spacing w:after="0" w:line="240" w:lineRule="auto"/>
    </w:pPr>
    <w:rPr>
      <w:rFonts w:eastAsia="SimSun"/>
      <w:sz w:val="20"/>
      <w:szCs w:val="20"/>
      <w:lang w:val="en"/>
      <w14:ligatures w14:val="standardContextual"/>
    </w:rPr>
    <w:tblPr/>
    <w:tblStylePr w:type="band1Vert">
      <w:tblPr/>
      <w:tcPr>
        <w:shd w:val="clear" w:color="auto" w:fill="808080"/>
      </w:tcPr>
    </w:tblStylePr>
  </w:style>
  <w:style w:type="table" w:customStyle="1" w:styleId="Grillemoyenne217">
    <w:name w:val="Grille moyenne 217"/>
    <w:basedOn w:val="TableauNormal"/>
    <w:uiPriority w:val="1"/>
    <w:rsid w:val="000676A1"/>
    <w:pPr>
      <w:spacing w:after="0" w:line="240" w:lineRule="auto"/>
    </w:pPr>
    <w:rPr>
      <w:rFonts w:eastAsia="SimSun"/>
      <w:sz w:val="20"/>
      <w:szCs w:val="20"/>
      <w:lang w:val="en"/>
      <w14:ligatures w14:val="standardContextual"/>
    </w:rPr>
    <w:tblPr/>
    <w:tblStylePr w:type="band1Horz">
      <w:tblPr/>
      <w:tcPr>
        <w:tcBorders>
          <w:insideH w:val="single" w:sz="6" w:space="0" w:color="000000"/>
          <w:insideV w:val="single" w:sz="6" w:space="0" w:color="000000"/>
        </w:tcBorders>
        <w:shd w:val="clear" w:color="auto" w:fill="808080"/>
      </w:tcPr>
    </w:tblStylePr>
  </w:style>
  <w:style w:type="table" w:customStyle="1" w:styleId="Grillemoyenne218">
    <w:name w:val="Grille moyenne 218"/>
    <w:basedOn w:val="TableauNormal"/>
    <w:uiPriority w:val="1"/>
    <w:rsid w:val="000676A1"/>
    <w:pPr>
      <w:spacing w:after="0" w:line="240" w:lineRule="auto"/>
    </w:pPr>
    <w:rPr>
      <w:rFonts w:eastAsia="SimSun"/>
      <w:sz w:val="20"/>
      <w:szCs w:val="20"/>
      <w:lang w:val="en"/>
      <w14:ligatures w14:val="standardContextual"/>
    </w:rPr>
    <w:tblPr/>
    <w:tblStylePr w:type="nwCell">
      <w:tblPr/>
      <w:tcPr>
        <w:shd w:val="clear" w:color="auto" w:fill="FFFFFF"/>
      </w:tcPr>
    </w:tblStylePr>
  </w:style>
  <w:style w:type="table" w:customStyle="1" w:styleId="MediumGrid213">
    <w:name w:val="Medium Grid 213"/>
    <w:basedOn w:val="TableauNormal"/>
    <w:uiPriority w:val="1"/>
    <w:rsid w:val="000676A1"/>
    <w:pPr>
      <w:spacing w:after="0" w:line="240" w:lineRule="auto"/>
    </w:pPr>
    <w:rPr>
      <w:rFonts w:eastAsia="SimSun"/>
      <w:sz w:val="20"/>
      <w:szCs w:val="20"/>
      <w:lang w:val="en"/>
      <w14:ligatures w14:val="standardContextual"/>
    </w:rPr>
    <w:tblPr/>
    <w:tblStylePr w:type="lastRow">
      <w:tblPr/>
      <w:tcPr>
        <w:tcBorders>
          <w:top w:val="single" w:sz="12" w:space="0" w:color="000000"/>
          <w:left w:val="nil"/>
          <w:bottom w:val="nil"/>
          <w:right w:val="nil"/>
          <w:insideH w:val="nil"/>
          <w:insideV w:val="nil"/>
        </w:tcBorders>
        <w:shd w:val="clear" w:color="auto" w:fill="FFFFFF"/>
      </w:tcPr>
    </w:tblStylePr>
  </w:style>
  <w:style w:type="table" w:customStyle="1" w:styleId="MediumGrid214">
    <w:name w:val="Medium Grid 214"/>
    <w:basedOn w:val="TableauNormal"/>
    <w:uiPriority w:val="1"/>
    <w:rsid w:val="000676A1"/>
    <w:pPr>
      <w:spacing w:after="0" w:line="240" w:lineRule="auto"/>
    </w:pPr>
    <w:rPr>
      <w:rFonts w:eastAsia="SimSun"/>
      <w:sz w:val="20"/>
      <w:szCs w:val="20"/>
      <w:lang w:val="en"/>
      <w14:ligatures w14:val="standardContextual"/>
    </w:rPr>
    <w:tblPr/>
    <w:tblStylePr w:type="firstCol">
      <w:tblPr/>
      <w:tcPr>
        <w:tcBorders>
          <w:top w:val="nil"/>
          <w:left w:val="nil"/>
          <w:bottom w:val="nil"/>
          <w:right w:val="nil"/>
          <w:insideH w:val="nil"/>
          <w:insideV w:val="nil"/>
        </w:tcBorders>
        <w:shd w:val="clear" w:color="auto" w:fill="FFFFFF"/>
      </w:tcPr>
    </w:tblStylePr>
  </w:style>
  <w:style w:type="table" w:customStyle="1" w:styleId="MediumGrid215">
    <w:name w:val="Medium Grid 215"/>
    <w:basedOn w:val="TableauNormal"/>
    <w:uiPriority w:val="1"/>
    <w:rsid w:val="000676A1"/>
    <w:pPr>
      <w:spacing w:after="0" w:line="240" w:lineRule="auto"/>
    </w:pPr>
    <w:rPr>
      <w:rFonts w:eastAsia="SimSun"/>
      <w:sz w:val="20"/>
      <w:szCs w:val="20"/>
      <w:lang w:val="en"/>
      <w14:ligatures w14:val="standardContextual"/>
    </w:rPr>
    <w:tblPr/>
    <w:tblStylePr w:type="lastCol">
      <w:tblPr/>
      <w:tcPr>
        <w:tcBorders>
          <w:top w:val="nil"/>
          <w:left w:val="nil"/>
          <w:bottom w:val="nil"/>
          <w:right w:val="nil"/>
          <w:insideH w:val="nil"/>
          <w:insideV w:val="nil"/>
        </w:tcBorders>
        <w:shd w:val="clear" w:color="auto" w:fill="CCCCCC"/>
      </w:tcPr>
    </w:tblStylePr>
  </w:style>
  <w:style w:type="table" w:customStyle="1" w:styleId="MediumGrid216">
    <w:name w:val="Medium Grid 216"/>
    <w:basedOn w:val="TableauNormal"/>
    <w:uiPriority w:val="1"/>
    <w:rsid w:val="000676A1"/>
    <w:pPr>
      <w:spacing w:after="0" w:line="240" w:lineRule="auto"/>
    </w:pPr>
    <w:rPr>
      <w:rFonts w:eastAsia="SimSun"/>
      <w:sz w:val="20"/>
      <w:szCs w:val="20"/>
      <w:lang w:val="en"/>
      <w14:ligatures w14:val="standardContextual"/>
    </w:rPr>
    <w:tblPr/>
    <w:tblStylePr w:type="band1Vert">
      <w:tblPr/>
      <w:tcPr>
        <w:shd w:val="clear" w:color="auto" w:fill="808080"/>
      </w:tcPr>
    </w:tblStylePr>
  </w:style>
  <w:style w:type="table" w:customStyle="1" w:styleId="MediumGrid217">
    <w:name w:val="Medium Grid 217"/>
    <w:basedOn w:val="TableauNormal"/>
    <w:uiPriority w:val="1"/>
    <w:rsid w:val="000676A1"/>
    <w:pPr>
      <w:spacing w:after="0" w:line="240" w:lineRule="auto"/>
    </w:pPr>
    <w:rPr>
      <w:rFonts w:eastAsia="SimSun"/>
      <w:sz w:val="20"/>
      <w:szCs w:val="20"/>
      <w:lang w:val="en"/>
      <w14:ligatures w14:val="standardContextual"/>
    </w:rPr>
    <w:tblPr/>
    <w:tblStylePr w:type="band1Horz">
      <w:tblPr/>
      <w:tcPr>
        <w:tcBorders>
          <w:insideH w:val="single" w:sz="6" w:space="0" w:color="000000"/>
          <w:insideV w:val="single" w:sz="6" w:space="0" w:color="000000"/>
        </w:tcBorders>
        <w:shd w:val="clear" w:color="auto" w:fill="808080"/>
      </w:tcPr>
    </w:tblStylePr>
  </w:style>
  <w:style w:type="table" w:customStyle="1" w:styleId="MediumGrid218">
    <w:name w:val="Medium Grid 218"/>
    <w:basedOn w:val="TableauNormal"/>
    <w:uiPriority w:val="1"/>
    <w:rsid w:val="000676A1"/>
    <w:pPr>
      <w:spacing w:after="0" w:line="240" w:lineRule="auto"/>
    </w:pPr>
    <w:rPr>
      <w:rFonts w:eastAsia="SimSun"/>
      <w:sz w:val="20"/>
      <w:szCs w:val="20"/>
      <w:lang w:val="en"/>
      <w14:ligatures w14:val="standardContextual"/>
    </w:rPr>
    <w:tblPr/>
    <w:tblStylePr w:type="nwCell">
      <w:tblPr/>
      <w:tcPr>
        <w:shd w:val="clear" w:color="auto" w:fill="FFFFFF"/>
      </w:tcPr>
    </w:tblStylePr>
  </w:style>
  <w:style w:type="paragraph" w:customStyle="1" w:styleId="Car11">
    <w:name w:val="Car11"/>
    <w:basedOn w:val="Normal"/>
    <w:next w:val="Commentaire"/>
    <w:uiPriority w:val="99"/>
    <w:unhideWhenUsed/>
    <w:rsid w:val="000676A1"/>
    <w:pPr>
      <w:spacing w:after="200" w:line="240" w:lineRule="auto"/>
    </w:pPr>
    <w:rPr>
      <w:rFonts w:asciiTheme="minorHAnsi" w:eastAsia="SimSun" w:hAnsiTheme="minorHAnsi" w:cstheme="minorBidi"/>
      <w:sz w:val="20"/>
      <w:szCs w:val="20"/>
      <w14:ligatures w14:val="standardContextual"/>
    </w:rPr>
  </w:style>
  <w:style w:type="table" w:customStyle="1" w:styleId="GridTable21">
    <w:name w:val="Grid Table 21"/>
    <w:basedOn w:val="TableauNormal"/>
    <w:rsid w:val="000676A1"/>
    <w:pPr>
      <w:spacing w:after="0" w:line="240" w:lineRule="auto"/>
    </w:pPr>
    <w:rPr>
      <w:rFonts w:ascii="Times New Roman" w:eastAsia="SimSun" w:hAnsi="Times New Roman" w:cs="Times New Roman"/>
      <w:sz w:val="20"/>
      <w:szCs w:val="20"/>
      <w:lang w:eastAsia="fr-FR"/>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11">
    <w:name w:val="Plain Table 11"/>
    <w:basedOn w:val="TableauNormal"/>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41">
    <w:name w:val="Grid Table 41"/>
    <w:basedOn w:val="TableauNormal"/>
    <w:uiPriority w:val="49"/>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1Light1">
    <w:name w:val="Grid Table 1 Light1"/>
    <w:basedOn w:val="TableauNormal"/>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auGrille1Clair-Accentuation115">
    <w:name w:val="Tableau Grille 1 Clair - Accentuation 115"/>
    <w:basedOn w:val="TableauNormal"/>
    <w:uiPriority w:val="46"/>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eauGrille4-Accentuation115">
    <w:name w:val="Tableau Grille 4 - Accentuation 115"/>
    <w:basedOn w:val="TableauNormal"/>
    <w:uiPriority w:val="49"/>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Aucuneliste15">
    <w:name w:val="Aucune liste15"/>
    <w:next w:val="Aucuneliste"/>
    <w:uiPriority w:val="99"/>
    <w:semiHidden/>
    <w:unhideWhenUsed/>
    <w:rsid w:val="000676A1"/>
  </w:style>
  <w:style w:type="table" w:customStyle="1" w:styleId="csastandard2">
    <w:name w:val="csa standard2"/>
    <w:basedOn w:val="TableauNormal"/>
    <w:next w:val="Grilledutableau"/>
    <w:uiPriority w:val="39"/>
    <w:qFormat/>
    <w:rsid w:val="000676A1"/>
    <w:pPr>
      <w:spacing w:after="0" w:line="240" w:lineRule="auto"/>
    </w:pPr>
    <w:rPr>
      <w:rFonts w:ascii="Cambria" w:eastAsia="Cambria" w:hAnsi="Cambria"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4">
    <w:name w:val="Grille du tableau114"/>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etableau822">
    <w:name w:val="Grille de tableau 822"/>
    <w:basedOn w:val="TableauNormal"/>
    <w:next w:val="Grilledetableau8"/>
    <w:rsid w:val="000676A1"/>
    <w:pPr>
      <w:spacing w:after="0" w:line="240" w:lineRule="auto"/>
      <w:jc w:val="both"/>
    </w:pPr>
    <w:rPr>
      <w:rFonts w:ascii="Times New Roman" w:eastAsia="Times New Roman" w:hAnsi="Times New Roman" w:cs="Times New Roman"/>
      <w:sz w:val="20"/>
      <w:szCs w:val="20"/>
      <w:lang w:eastAsia="fr-FR"/>
      <w14:ligatures w14:val="standardContextu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lledetableau83">
    <w:name w:val="Grille de tableau 83"/>
    <w:basedOn w:val="TableauNormal"/>
    <w:next w:val="Grilledetableau8"/>
    <w:unhideWhenUsed/>
    <w:rsid w:val="000676A1"/>
    <w:pPr>
      <w:spacing w:after="0" w:line="240" w:lineRule="auto"/>
    </w:pPr>
    <w:rPr>
      <w:rFonts w:ascii="Cambria" w:eastAsia="MS Mincho" w:hAnsi="Cambria" w:cs="Times New Roman"/>
      <w:sz w:val="20"/>
      <w:szCs w:val="20"/>
      <w:lang w:eastAsia="fr-FR"/>
      <w14:ligatures w14:val="standardContextu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Grille4-Accentuation14">
    <w:name w:val="Tableau Grille 4 - Accentuation 14"/>
    <w:basedOn w:val="TableauNormal"/>
    <w:next w:val="TableauGrille4-Accentuation1"/>
    <w:uiPriority w:val="49"/>
    <w:rsid w:val="000676A1"/>
    <w:pPr>
      <w:spacing w:after="0" w:line="240" w:lineRule="auto"/>
      <w:jc w:val="both"/>
    </w:pPr>
    <w:rPr>
      <w:rFonts w:ascii="Calibri" w:eastAsia="Calibri" w:hAnsi="Calibri" w:cs="Times New Roma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Grille4-Accentuation32">
    <w:name w:val="Tableau Grille 4 - Accentuation 32"/>
    <w:basedOn w:val="TableauNormal"/>
    <w:next w:val="TableauGrille4-Accentuation3"/>
    <w:uiPriority w:val="49"/>
    <w:rsid w:val="000676A1"/>
    <w:pPr>
      <w:spacing w:after="0" w:line="240" w:lineRule="auto"/>
    </w:pPr>
    <w:rPr>
      <w:rFonts w:ascii="Cambria" w:eastAsia="MS Mincho" w:hAnsi="Cambria" w:cs="Times New Roman"/>
      <w:sz w:val="20"/>
      <w:szCs w:val="20"/>
      <w:lang w:eastAsia="fr-FR"/>
      <w14:ligatures w14:val="standardContextu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lledutableau115">
    <w:name w:val="Grille du tableau115"/>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Liste31632">
    <w:name w:val="Tableau Liste 31632"/>
    <w:basedOn w:val="TableauNormal"/>
    <w:next w:val="TableauListe3"/>
    <w:uiPriority w:val="48"/>
    <w:rsid w:val="000676A1"/>
    <w:pPr>
      <w:spacing w:after="0" w:line="300" w:lineRule="exact"/>
      <w:jc w:val="both"/>
    </w:pPr>
    <w:rPr>
      <w:rFonts w:ascii="Times New Roman" w:eastAsia="Times New Roman" w:hAnsi="Times New Roman" w:cs="Times New Roman"/>
      <w:sz w:val="20"/>
      <w:szCs w:val="20"/>
      <w:lang w:eastAsia="fr-FR"/>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emoyenne2-Accent43">
    <w:name w:val="Liste moyenne 2 - Accent 43"/>
    <w:basedOn w:val="TableauNormal"/>
    <w:next w:val="Listemoyenne2-Accent4"/>
    <w:uiPriority w:val="34"/>
    <w:rsid w:val="000676A1"/>
    <w:pPr>
      <w:spacing w:after="0" w:line="240" w:lineRule="auto"/>
    </w:pPr>
    <w:rPr>
      <w:rFonts w:ascii="Times New Roman" w:eastAsia="Times New Roman" w:hAnsi="Times New Roman" w:cs="Times New Roman"/>
      <w:sz w:val="24"/>
      <w:szCs w:val="24"/>
      <w14:ligatures w14:val="standardContextu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Ombrageclair22">
    <w:name w:val="Ombrage clair22"/>
    <w:basedOn w:val="TableauNormal"/>
    <w:uiPriority w:val="60"/>
    <w:rsid w:val="000676A1"/>
    <w:pPr>
      <w:spacing w:after="0" w:line="240" w:lineRule="auto"/>
    </w:pPr>
    <w:rPr>
      <w:rFonts w:ascii="Calibri" w:eastAsia="Calibri" w:hAnsi="Calibri" w:cs="Times New Roman"/>
      <w:color w:val="000000"/>
      <w:lang w:val="en-US" w:bidi="en-US"/>
      <w14:ligatures w14:val="standardContextu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moyenne1-Accent64">
    <w:name w:val="Trame moyenne 1 - Accent 64"/>
    <w:basedOn w:val="TableauNormal"/>
    <w:next w:val="Tramemoyenne1-Accent6"/>
    <w:uiPriority w:val="63"/>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Autospacing="0" w:afterLines="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Autospacing="0" w:afterLines="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steclaire-Accent6124">
    <w:name w:val="Liste claire - Accent 6124"/>
    <w:basedOn w:val="TableauNormal"/>
    <w:next w:val="Listeclaire-Accent6"/>
    <w:uiPriority w:val="61"/>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Ombrageclair3">
    <w:name w:val="Ombrage clair3"/>
    <w:basedOn w:val="TableauNormal"/>
    <w:next w:val="Ombrageclair"/>
    <w:uiPriority w:val="60"/>
    <w:rsid w:val="000676A1"/>
    <w:pPr>
      <w:spacing w:after="0" w:line="240" w:lineRule="auto"/>
    </w:pPr>
    <w:rPr>
      <w:rFonts w:ascii="Calibri" w:eastAsia="Calibri" w:hAnsi="Calibri" w:cs="Times New Roman"/>
      <w:color w:val="000000"/>
      <w:sz w:val="20"/>
      <w:szCs w:val="20"/>
      <w:lang w:eastAsia="fr-FR"/>
      <w14:ligatures w14:val="standardContextual"/>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eclaire3">
    <w:name w:val="Liste claire3"/>
    <w:basedOn w:val="TableauNormal"/>
    <w:next w:val="Listeclaire"/>
    <w:uiPriority w:val="61"/>
    <w:rsid w:val="000676A1"/>
    <w:pPr>
      <w:spacing w:after="0" w:line="240" w:lineRule="auto"/>
    </w:pPr>
    <w:rPr>
      <w:rFonts w:ascii="Calibri" w:eastAsia="Calibri" w:hAnsi="Calibri" w:cs="Times New Roman"/>
      <w:sz w:val="20"/>
      <w:szCs w:val="20"/>
      <w:lang w:eastAsia="fr-FR"/>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eclaire-Accent615">
    <w:name w:val="Liste claire - Accent 615"/>
    <w:basedOn w:val="TableauNormal"/>
    <w:uiPriority w:val="61"/>
    <w:rsid w:val="000676A1"/>
    <w:pPr>
      <w:spacing w:after="0" w:line="240" w:lineRule="auto"/>
    </w:pPr>
    <w:rPr>
      <w:rFonts w:ascii="Times New Roman" w:eastAsia="Calibri" w:hAnsi="Times New Roman" w:cs="Times New Roman"/>
      <w:sz w:val="24"/>
      <w:szCs w:val="24"/>
      <w:lang w:val="en-US"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12">
    <w:name w:val="Liste claire - Accent 12"/>
    <w:basedOn w:val="TableauNormal"/>
    <w:next w:val="Listeclaire-Accent1"/>
    <w:uiPriority w:val="61"/>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52">
    <w:name w:val="Liste claire - Accent 52"/>
    <w:basedOn w:val="TableauNormal"/>
    <w:next w:val="Listeclaire-Accent5"/>
    <w:uiPriority w:val="61"/>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Aucuneliste16">
    <w:name w:val="Aucune liste16"/>
    <w:next w:val="Aucuneliste"/>
    <w:uiPriority w:val="99"/>
    <w:semiHidden/>
    <w:unhideWhenUsed/>
    <w:rsid w:val="000676A1"/>
  </w:style>
  <w:style w:type="numbering" w:customStyle="1" w:styleId="Aucuneliste113">
    <w:name w:val="Aucune liste113"/>
    <w:next w:val="Aucuneliste"/>
    <w:uiPriority w:val="99"/>
    <w:semiHidden/>
    <w:unhideWhenUsed/>
    <w:rsid w:val="000676A1"/>
  </w:style>
  <w:style w:type="numbering" w:customStyle="1" w:styleId="ListHeadings3">
    <w:name w:val="List Headings3"/>
    <w:rsid w:val="000676A1"/>
  </w:style>
  <w:style w:type="table" w:customStyle="1" w:styleId="mtbs13">
    <w:name w:val="mtbs13"/>
    <w:basedOn w:val="TableauNormal"/>
    <w:next w:val="Grilledutableau"/>
    <w:uiPriority w:val="39"/>
    <w:qFormat/>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HDHVTable2">
    <w:name w:val="RHDHV Table2"/>
    <w:basedOn w:val="TableauNormal"/>
    <w:uiPriority w:val="99"/>
    <w:unhideWhenUsed/>
    <w:rsid w:val="000676A1"/>
    <w:pPr>
      <w:spacing w:after="0" w:line="271" w:lineRule="auto"/>
    </w:pPr>
    <w:rPr>
      <w:rFonts w:ascii="Calibri" w:eastAsia="Times New Roman" w:hAnsi="Calibri" w:cs="Times New Roman"/>
      <w:color w:val="000000"/>
      <w:sz w:val="24"/>
      <w:szCs w:val="24"/>
      <w:lang w:val="en-GB" w:eastAsia="en-GB"/>
      <w14:ligatures w14:val="standardContextual"/>
    </w:rPr>
    <w:tblPr>
      <w:tblBorders>
        <w:insideH w:val="single" w:sz="8" w:space="0" w:color="FFFFFF"/>
        <w:insideV w:val="single" w:sz="8" w:space="0" w:color="FFFFFF"/>
      </w:tblBorders>
      <w:tblCellMar>
        <w:top w:w="57" w:type="dxa"/>
        <w:left w:w="0" w:type="dxa"/>
        <w:bottom w:w="57" w:type="dxa"/>
        <w:right w:w="0" w:type="dxa"/>
      </w:tblCellMar>
    </w:tblPr>
    <w:tcPr>
      <w:shd w:val="clear" w:color="auto" w:fill="D9E2F3"/>
      <w:vAlign w:val="center"/>
    </w:tcPr>
    <w:tblStylePr w:type="firstRow">
      <w:rPr>
        <w:b/>
      </w:rPr>
      <w:tblPr/>
      <w:tcPr>
        <w:tcBorders>
          <w:top w:val="nil"/>
          <w:left w:val="nil"/>
          <w:bottom w:val="nil"/>
          <w:right w:val="nil"/>
          <w:insideH w:val="nil"/>
          <w:insideV w:val="single" w:sz="8" w:space="0" w:color="FFFFFF"/>
          <w:tl2br w:val="nil"/>
          <w:tr2bl w:val="nil"/>
        </w:tcBorders>
        <w:shd w:val="clear" w:color="auto" w:fill="4472C4"/>
      </w:tcPr>
    </w:tblStylePr>
    <w:tblStylePr w:type="lastRow">
      <w:tblPr/>
      <w:tcPr>
        <w:tcBorders>
          <w:top w:val="nil"/>
          <w:left w:val="nil"/>
          <w:bottom w:val="nil"/>
          <w:right w:val="nil"/>
          <w:insideH w:val="nil"/>
          <w:insideV w:val="single" w:sz="8" w:space="0" w:color="FFFFFF"/>
          <w:tl2br w:val="nil"/>
          <w:tr2bl w:val="nil"/>
        </w:tcBorders>
        <w:shd w:val="clear" w:color="auto" w:fill="B4C6E7"/>
      </w:tcPr>
    </w:tblStylePr>
    <w:tblStylePr w:type="swCell">
      <w:tblPr/>
      <w:tcPr>
        <w:tcBorders>
          <w:top w:val="nil"/>
          <w:left w:val="nil"/>
          <w:bottom w:val="nil"/>
          <w:right w:val="nil"/>
          <w:insideH w:val="nil"/>
          <w:insideV w:val="nil"/>
          <w:tl2br w:val="nil"/>
          <w:tr2bl w:val="nil"/>
        </w:tcBorders>
        <w:shd w:val="clear" w:color="auto" w:fill="FFFFFF"/>
      </w:tcPr>
    </w:tblStylePr>
  </w:style>
  <w:style w:type="table" w:customStyle="1" w:styleId="RHDHVTableNormal2">
    <w:name w:val="RHDHV Table Normal2"/>
    <w:basedOn w:val="TableauNormal"/>
    <w:uiPriority w:val="99"/>
    <w:unhideWhenUsed/>
    <w:rsid w:val="000676A1"/>
    <w:pPr>
      <w:spacing w:after="0" w:line="271" w:lineRule="auto"/>
    </w:pPr>
    <w:rPr>
      <w:rFonts w:ascii="Calibri" w:eastAsia="Times New Roman" w:hAnsi="Calibri" w:cs="Times New Roman"/>
      <w:color w:val="000000"/>
      <w:sz w:val="24"/>
      <w:szCs w:val="24"/>
      <w:lang w:val="en-GB" w:eastAsia="en-GB"/>
      <w14:ligatures w14:val="standardContextual"/>
    </w:rPr>
    <w:tblPr>
      <w:tblCellMar>
        <w:top w:w="57" w:type="dxa"/>
        <w:left w:w="0" w:type="dxa"/>
        <w:bottom w:w="57" w:type="dxa"/>
        <w:right w:w="0" w:type="dxa"/>
      </w:tblCellMar>
    </w:tblPr>
    <w:tcPr>
      <w:vAlign w:val="center"/>
    </w:tcPr>
  </w:style>
  <w:style w:type="table" w:customStyle="1" w:styleId="TableauGrille214">
    <w:name w:val="Tableau Grille 214"/>
    <w:basedOn w:val="TableauNormal"/>
    <w:uiPriority w:val="47"/>
    <w:rsid w:val="000676A1"/>
    <w:pPr>
      <w:spacing w:after="0" w:line="240" w:lineRule="auto"/>
    </w:pPr>
    <w:rPr>
      <w:rFonts w:ascii="Calibri" w:eastAsia="Times New Roman" w:hAnsi="Calibri" w:cs="Times New Roman"/>
      <w:sz w:val="24"/>
      <w:szCs w:val="24"/>
      <w:lang w:eastAsia="fr-FR"/>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lledutableau213">
    <w:name w:val="Grille du tableau213"/>
    <w:basedOn w:val="TableauNormal"/>
    <w:next w:val="Grilledutableau"/>
    <w:uiPriority w:val="59"/>
    <w:rsid w:val="000676A1"/>
    <w:pPr>
      <w:spacing w:after="0" w:line="240" w:lineRule="auto"/>
    </w:pPr>
    <w:rPr>
      <w:rFonts w:ascii="Calibri" w:eastAsia="Times New Roman" w:hAnsi="Calibri" w:cs="Times New Roman"/>
      <w:lang w:val="wo-SN" w:eastAsia="wo-SN"/>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eclaire-Accent6113">
    <w:name w:val="Liste claire - Accent 6113"/>
    <w:basedOn w:val="TableauNormal"/>
    <w:next w:val="Listeclaire-Accent6"/>
    <w:uiPriority w:val="61"/>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13">
    <w:name w:val="Liste claire13"/>
    <w:basedOn w:val="TableauNormal"/>
    <w:next w:val="Listeclaire"/>
    <w:uiPriority w:val="61"/>
    <w:rsid w:val="000676A1"/>
    <w:pPr>
      <w:spacing w:after="0" w:line="240" w:lineRule="auto"/>
    </w:pPr>
    <w:rPr>
      <w:rFonts w:ascii="Calibri" w:eastAsia="Calibri" w:hAnsi="Calibri" w:cs="Times New Roman"/>
      <w:lang w:val="fr-CA"/>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Aucuneliste1113">
    <w:name w:val="Aucune liste1113"/>
    <w:next w:val="Aucuneliste"/>
    <w:uiPriority w:val="99"/>
    <w:semiHidden/>
    <w:unhideWhenUsed/>
    <w:rsid w:val="000676A1"/>
  </w:style>
  <w:style w:type="table" w:customStyle="1" w:styleId="Grilledutableau33">
    <w:name w:val="Grille du tableau33"/>
    <w:basedOn w:val="TableauNormal"/>
    <w:next w:val="Grilledutableau"/>
    <w:uiPriority w:val="59"/>
    <w:rsid w:val="000676A1"/>
    <w:pPr>
      <w:spacing w:after="0" w:line="240" w:lineRule="auto"/>
    </w:pPr>
    <w:rPr>
      <w:rFonts w:ascii="Calibri" w:eastAsia="Calibri" w:hAnsi="Calibri" w:cs="Times New Roman"/>
      <w:sz w:val="20"/>
      <w:szCs w:val="20"/>
      <w:lang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
    <w:name w:val="Grille du tableau43"/>
    <w:basedOn w:val="TableauNormal"/>
    <w:next w:val="Grilledutableau"/>
    <w:uiPriority w:val="59"/>
    <w:rsid w:val="000676A1"/>
    <w:pPr>
      <w:spacing w:after="0" w:line="240" w:lineRule="auto"/>
    </w:pPr>
    <w:rPr>
      <w:rFonts w:ascii="Calibri" w:eastAsia="Calibri" w:hAnsi="Calibri" w:cs="Times New Roman"/>
      <w:lang w:val="fr-C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61213">
    <w:name w:val="Liste claire - Accent 61213"/>
    <w:basedOn w:val="TableauNormal"/>
    <w:uiPriority w:val="61"/>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lledutableau53">
    <w:name w:val="Grille du tableau53"/>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
    <w:name w:val="Grille du tableau63"/>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2">
    <w:name w:val="Grille du tableau92"/>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3">
    <w:name w:val="Aucune liste23"/>
    <w:next w:val="Aucuneliste"/>
    <w:uiPriority w:val="99"/>
    <w:semiHidden/>
    <w:unhideWhenUsed/>
    <w:rsid w:val="000676A1"/>
  </w:style>
  <w:style w:type="table" w:customStyle="1" w:styleId="Colonnesdetableau32">
    <w:name w:val="Colonnes de tableau 32"/>
    <w:basedOn w:val="TableauNormal"/>
    <w:next w:val="Colonnesdetableau3"/>
    <w:semiHidden/>
    <w:unhideWhenUsed/>
    <w:rsid w:val="000676A1"/>
    <w:pPr>
      <w:spacing w:after="0" w:line="240" w:lineRule="auto"/>
    </w:pPr>
    <w:rPr>
      <w:rFonts w:ascii="Cambria" w:eastAsia="Cambria" w:hAnsi="Cambria" w:cs="Times New Roman"/>
      <w:b/>
      <w:bCs/>
      <w:sz w:val="20"/>
      <w:szCs w:val="20"/>
      <w:lang w:eastAsia="fr-FR"/>
      <w14:ligatures w14:val="standardContextua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Grilledetableau12">
    <w:name w:val="Grille de tableau 12"/>
    <w:basedOn w:val="TableauNormal"/>
    <w:next w:val="Grilledetableau1"/>
    <w:semiHidden/>
    <w:unhideWhenUsed/>
    <w:rsid w:val="000676A1"/>
    <w:pPr>
      <w:spacing w:after="0" w:line="240" w:lineRule="auto"/>
    </w:pPr>
    <w:rPr>
      <w:rFonts w:ascii="Calibri" w:eastAsia="Calibri" w:hAnsi="Calibri" w:cs="Times New Roman"/>
      <w:sz w:val="20"/>
      <w:szCs w:val="20"/>
      <w:lang w:eastAsia="fr-FR"/>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auliste72">
    <w:name w:val="Tableau liste 72"/>
    <w:basedOn w:val="TableauNormal"/>
    <w:next w:val="Tableauliste7"/>
    <w:semiHidden/>
    <w:unhideWhenUsed/>
    <w:rsid w:val="000676A1"/>
    <w:pPr>
      <w:spacing w:after="0" w:line="240" w:lineRule="auto"/>
    </w:pPr>
    <w:rPr>
      <w:rFonts w:ascii="Times New Roman" w:eastAsia="Times New Roman" w:hAnsi="Times New Roman" w:cs="Times New Roman"/>
      <w:sz w:val="20"/>
      <w:szCs w:val="20"/>
      <w:lang w:eastAsia="fr-FR"/>
      <w14:ligatures w14:val="standardContextu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2">
    <w:name w:val="Tableau liste 82"/>
    <w:basedOn w:val="TableauNormal"/>
    <w:next w:val="Tableauliste8"/>
    <w:semiHidden/>
    <w:unhideWhenUsed/>
    <w:rsid w:val="000676A1"/>
    <w:pPr>
      <w:spacing w:after="0" w:line="240" w:lineRule="auto"/>
    </w:pPr>
    <w:rPr>
      <w:rFonts w:ascii="Times New Roman" w:eastAsia="Times New Roman" w:hAnsi="Times New Roman" w:cs="Times New Roman"/>
      <w:sz w:val="20"/>
      <w:szCs w:val="20"/>
      <w:lang w:eastAsia="fr-FR"/>
      <w14:ligatures w14:val="standardContextu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web22">
    <w:name w:val="Tableau web 22"/>
    <w:basedOn w:val="TableauNormal"/>
    <w:next w:val="Tableauweb2"/>
    <w:semiHidden/>
    <w:unhideWhenUsed/>
    <w:rsid w:val="000676A1"/>
    <w:pPr>
      <w:spacing w:after="0" w:line="240" w:lineRule="auto"/>
    </w:pPr>
    <w:rPr>
      <w:rFonts w:ascii="Times New Roman" w:eastAsia="Times New Roman" w:hAnsi="Times New Roman" w:cs="Times New Roman"/>
      <w:sz w:val="20"/>
      <w:szCs w:val="20"/>
      <w:lang w:eastAsia="fr-FR"/>
      <w14:ligatures w14:val="standardContextu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Grilledutableau102">
    <w:name w:val="Grille du tableau102"/>
    <w:basedOn w:val="TableauNormal"/>
    <w:next w:val="Grilledutableau"/>
    <w:uiPriority w:val="59"/>
    <w:rsid w:val="000676A1"/>
    <w:pPr>
      <w:spacing w:after="0" w:line="240" w:lineRule="auto"/>
    </w:pPr>
    <w:rPr>
      <w:rFonts w:ascii="Times New Roman" w:eastAsia="Times New Roman" w:hAnsi="Times New Roman" w:cs="Times New Roman"/>
      <w:sz w:val="20"/>
      <w:szCs w:val="20"/>
      <w:lang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fonce-Accent22">
    <w:name w:val="Liste foncée - Accent 22"/>
    <w:basedOn w:val="TableauNormal"/>
    <w:next w:val="Listefonce-Accent2"/>
    <w:uiPriority w:val="61"/>
    <w:unhideWhenUsed/>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steclaire-Accent623">
    <w:name w:val="Liste claire - Accent 623"/>
    <w:basedOn w:val="TableauNormal"/>
    <w:next w:val="Listeclaire-Accent6"/>
    <w:uiPriority w:val="61"/>
    <w:unhideWhenUsed/>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Tramemoyenne1-Accent612">
    <w:name w:val="Trame moyenne 1 - Accent 612"/>
    <w:basedOn w:val="TableauNormal"/>
    <w:next w:val="Tramemoyenne1-Accent6"/>
    <w:uiPriority w:val="63"/>
    <w:semiHidden/>
    <w:unhideWhenUsed/>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auNorm2">
    <w:name w:val="Tableau Norm2"/>
    <w:semiHidden/>
    <w:rsid w:val="000676A1"/>
    <w:pPr>
      <w:spacing w:after="0" w:line="240" w:lineRule="auto"/>
    </w:pPr>
    <w:rPr>
      <w:rFonts w:ascii="Calibri" w:eastAsia="Times New Roman" w:hAnsi="Calibri" w:cs="Times New Roman"/>
      <w:sz w:val="20"/>
      <w:szCs w:val="20"/>
      <w:lang w:bidi="fr-FR"/>
      <w14:ligatures w14:val="standardContextual"/>
    </w:rPr>
    <w:tblPr>
      <w:tblCellMar>
        <w:top w:w="0" w:type="dxa"/>
        <w:left w:w="108" w:type="dxa"/>
        <w:bottom w:w="0" w:type="dxa"/>
        <w:right w:w="108" w:type="dxa"/>
      </w:tblCellMar>
    </w:tblPr>
  </w:style>
  <w:style w:type="table" w:customStyle="1" w:styleId="Grilledutableau222">
    <w:name w:val="Grille du tableau222"/>
    <w:basedOn w:val="TableauNormal"/>
    <w:uiPriority w:val="59"/>
    <w:rsid w:val="000676A1"/>
    <w:pPr>
      <w:spacing w:after="0" w:line="240" w:lineRule="auto"/>
    </w:pPr>
    <w:rPr>
      <w:rFonts w:ascii="Calibri" w:eastAsia="Times New Roman" w:hAnsi="Calibri" w:cs="Times New Roman"/>
      <w:lang w:val="wo-SN" w:eastAsia="wo-SN"/>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712">
    <w:name w:val="Grille du tableau712"/>
    <w:basedOn w:val="TableauNormal"/>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moyenne1-Accent622">
    <w:name w:val="Trame moyenne 1 - Accent 622"/>
    <w:basedOn w:val="TableauNormal"/>
    <w:next w:val="Tramemoyenne1-Accent6"/>
    <w:uiPriority w:val="63"/>
    <w:semiHidden/>
    <w:unhideWhenUsed/>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Grilledutableau1112">
    <w:name w:val="Grille du tableau1112"/>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2">
    <w:name w:val="Grille du tableau132"/>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2">
    <w:name w:val="Grille du tableau152"/>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2">
    <w:name w:val="Grille du tableau162"/>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3">
    <w:name w:val="Grille du tableau173"/>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82">
    <w:name w:val="Grille du tableau182"/>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tbs112">
    <w:name w:val="mtbs112"/>
    <w:basedOn w:val="TableauNormal"/>
    <w:next w:val="Grilledutableau"/>
    <w:uiPriority w:val="39"/>
    <w:qFormat/>
    <w:rsid w:val="000676A1"/>
    <w:pPr>
      <w:spacing w:after="0" w:line="240" w:lineRule="auto"/>
    </w:pPr>
    <w:rPr>
      <w:rFonts w:ascii="Calibri" w:eastAsia="MS Mincho" w:hAnsi="Calibri" w:cs="Times New Roman"/>
      <w:sz w:val="24"/>
      <w:szCs w:val="24"/>
      <w:lang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Grid12"/>
    <w:rsid w:val="000676A1"/>
    <w:pPr>
      <w:spacing w:after="0" w:line="240" w:lineRule="auto"/>
    </w:pPr>
    <w:rPr>
      <w:rFonts w:ascii="Calibri" w:eastAsia="Times New Roman" w:hAnsi="Calibri" w:cs="Times New Roman"/>
      <w:lang w:val="fr-SN" w:eastAsia="fr-SN"/>
      <w14:ligatures w14:val="standardContextual"/>
    </w:rPr>
    <w:tblPr>
      <w:tblCellMar>
        <w:top w:w="0" w:type="dxa"/>
        <w:left w:w="0" w:type="dxa"/>
        <w:bottom w:w="0" w:type="dxa"/>
        <w:right w:w="0" w:type="dxa"/>
      </w:tblCellMar>
    </w:tblPr>
  </w:style>
  <w:style w:type="table" w:customStyle="1" w:styleId="TableauGrille1Clair-Accentuation114">
    <w:name w:val="Tableau Grille 1 Clair - Accentuation 114"/>
    <w:basedOn w:val="TableauNormal"/>
    <w:uiPriority w:val="46"/>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eauGrille4-Accentuation114">
    <w:name w:val="Tableau Grille 4 - Accentuation 114"/>
    <w:basedOn w:val="TableauNormal"/>
    <w:uiPriority w:val="49"/>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simple114">
    <w:name w:val="Tableau simple 114"/>
    <w:basedOn w:val="TableauNormal"/>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Grille414">
    <w:name w:val="Tableau Grille 414"/>
    <w:basedOn w:val="TableauNormal"/>
    <w:uiPriority w:val="49"/>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23">
    <w:name w:val="Tableau Grille 23"/>
    <w:basedOn w:val="TableauNormal"/>
    <w:next w:val="TableauGrille2"/>
    <w:rsid w:val="000676A1"/>
    <w:pPr>
      <w:spacing w:after="0" w:line="240" w:lineRule="auto"/>
    </w:pPr>
    <w:rPr>
      <w:rFonts w:ascii="Times New Roman" w:eastAsia="SimSun" w:hAnsi="Times New Roman" w:cs="Times New Roman"/>
      <w:sz w:val="20"/>
      <w:szCs w:val="20"/>
      <w:lang w:eastAsia="fr-FR"/>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1Clair-Accentuation122">
    <w:name w:val="Tableau Grille 1 Clair - Accentuation 122"/>
    <w:basedOn w:val="TableauNormal"/>
    <w:uiPriority w:val="46"/>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auGrille4-Accentuation122">
    <w:name w:val="Tableau Grille 4 - Accentuation 122"/>
    <w:basedOn w:val="TableauNormal"/>
    <w:uiPriority w:val="49"/>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ausimple122">
    <w:name w:val="Tableau simple 122"/>
    <w:basedOn w:val="TableauNormal"/>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Grille422">
    <w:name w:val="Tableau Grille 422"/>
    <w:basedOn w:val="TableauNormal"/>
    <w:uiPriority w:val="49"/>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1Clair22">
    <w:name w:val="Tableau Grille 1 Clair22"/>
    <w:basedOn w:val="TableauNormal"/>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ausimple43">
    <w:name w:val="Tableau simple 43"/>
    <w:basedOn w:val="TableauNormal"/>
    <w:next w:val="Tableausimple4"/>
    <w:uiPriority w:val="21"/>
    <w:qFormat/>
    <w:rsid w:val="000676A1"/>
    <w:pPr>
      <w:spacing w:after="0" w:line="240" w:lineRule="auto"/>
    </w:pPr>
    <w:rPr>
      <w:rFonts w:ascii="Cambria" w:eastAsia="Cambria" w:hAnsi="Cambria" w:cs="Times New Roman"/>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S Mincho" w:eastAsia="Batang" w:hAnsi="MS Mincho"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S Mincho" w:eastAsia="Batang" w:hAnsi="MS Mincho"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S Mincho" w:eastAsia="Batang" w:hAnsi="MS Mincho" w:cs="Times New Roman"/>
        <w:b/>
        <w:bCs/>
      </w:rPr>
    </w:tblStylePr>
    <w:tblStylePr w:type="lastCol">
      <w:rPr>
        <w:rFonts w:ascii="MS Mincho" w:eastAsia="Batang" w:hAnsi="MS Mincho"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ausimple33">
    <w:name w:val="Tableau simple 33"/>
    <w:basedOn w:val="TableauNormal"/>
    <w:next w:val="Tableausimple3"/>
    <w:uiPriority w:val="61"/>
    <w:qFormat/>
    <w:rsid w:val="000676A1"/>
    <w:pPr>
      <w:spacing w:after="0" w:line="240" w:lineRule="auto"/>
    </w:pPr>
    <w:rPr>
      <w:rFonts w:ascii="Cambria" w:eastAsia="Cambria" w:hAnsi="Cambria" w:cs="Times New Roman"/>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ausimple53">
    <w:name w:val="Tableau simple 53"/>
    <w:basedOn w:val="TableauNormal"/>
    <w:next w:val="Tableausimple5"/>
    <w:uiPriority w:val="63"/>
    <w:qFormat/>
    <w:rsid w:val="000676A1"/>
    <w:pPr>
      <w:spacing w:after="0" w:line="240" w:lineRule="auto"/>
    </w:pPr>
    <w:rPr>
      <w:rFonts w:ascii="Cambria" w:eastAsia="Cambria" w:hAnsi="Cambria" w:cs="Times New Roman"/>
      <w14:ligatures w14:val="standardContextua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Bibliographie12">
    <w:name w:val="Bibliographie12"/>
    <w:basedOn w:val="TableauNormal"/>
    <w:uiPriority w:val="61"/>
    <w:rsid w:val="000676A1"/>
    <w:pPr>
      <w:spacing w:after="0" w:line="240" w:lineRule="auto"/>
    </w:pPr>
    <w:rPr>
      <w:rFonts w:ascii="Cambria" w:eastAsia="Cambria" w:hAnsi="Cambria" w:cs="Times New Roman"/>
      <w:lang w:val="fr-CA"/>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moyenne1-Accent22">
    <w:name w:val="Liste moyenne 1 - Accent 22"/>
    <w:basedOn w:val="TableauNormal"/>
    <w:next w:val="Listemoyenne1-Accent2"/>
    <w:uiPriority w:val="61"/>
    <w:rsid w:val="000676A1"/>
    <w:pPr>
      <w:spacing w:after="0" w:line="240" w:lineRule="auto"/>
    </w:pPr>
    <w:rPr>
      <w:rFonts w:ascii="Cambria" w:eastAsia="Cambria" w:hAnsi="Cambria" w:cs="Times New Roman"/>
      <w:lang w:val="fr-CA"/>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Grille22">
    <w:name w:val="Grille22"/>
    <w:basedOn w:val="TableauNormal"/>
    <w:next w:val="Grilledutableau"/>
    <w:uiPriority w:val="3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32">
    <w:name w:val="Grille32"/>
    <w:basedOn w:val="TableauNormal"/>
    <w:next w:val="Grilledutableau"/>
    <w:uiPriority w:val="3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4-Accentuation62">
    <w:name w:val="Tableau Grille 4 - Accentuation 62"/>
    <w:basedOn w:val="TableauNormal"/>
    <w:next w:val="TableauGrille4-Accentuation6"/>
    <w:uiPriority w:val="49"/>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ramecouleur-Accent33">
    <w:name w:val="Trame couleur - Accent 33"/>
    <w:basedOn w:val="TableauNormal"/>
    <w:next w:val="Tramecouleur-Accent3"/>
    <w:unhideWhenUsed/>
    <w:rsid w:val="000676A1"/>
    <w:pPr>
      <w:spacing w:after="0" w:line="240" w:lineRule="auto"/>
    </w:pPr>
    <w:rPr>
      <w:rFonts w:ascii="Calibri" w:eastAsia="Calibri" w:hAnsi="Calibri" w:cs="Times New Roman"/>
      <w:sz w:val="24"/>
      <w:szCs w:val="24"/>
      <w14:ligatures w14:val="standardContextual"/>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Tramemoyenne1-Accent22">
    <w:name w:val="Trame moyenne 1 - Accent 22"/>
    <w:basedOn w:val="TableauNormal"/>
    <w:next w:val="Tramemoyenne1-Accent2"/>
    <w:uiPriority w:val="1"/>
    <w:unhideWhenUsed/>
    <w:rsid w:val="000676A1"/>
    <w:pPr>
      <w:spacing w:after="0" w:line="240" w:lineRule="auto"/>
    </w:pPr>
    <w:rPr>
      <w:rFonts w:ascii="Times New Roman" w:eastAsia="Times New Roman" w:hAnsi="Times New Roman" w:cs="Times New Roman"/>
      <w:sz w:val="24"/>
      <w:szCs w:val="24"/>
      <w:lang w:val="en-US"/>
      <w14:ligatures w14:val="standardContextual"/>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TableauGrille1Clair-Accentuation15">
    <w:name w:val="Tableau Grille 1 Clair - Accentuation 15"/>
    <w:basedOn w:val="TableauNormal"/>
    <w:next w:val="TableauGrille1Clair-Accentuation1"/>
    <w:uiPriority w:val="46"/>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llemoyenne1-Accent26">
    <w:name w:val="Grille moyenne 1 - Accent 26"/>
    <w:basedOn w:val="TableauNormal"/>
    <w:next w:val="Grillemoyenne1-Accent2"/>
    <w:uiPriority w:val="34"/>
    <w:rsid w:val="000676A1"/>
    <w:pPr>
      <w:spacing w:after="0" w:line="240" w:lineRule="auto"/>
    </w:pPr>
    <w:rPr>
      <w:rFonts w:ascii="Calibri" w:eastAsia="Calibri" w:hAnsi="Calibri" w:cs="Times New Roman"/>
      <w:lang w:val="fr-SN"/>
      <w14:ligatures w14:val="standardContextu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Listefonce-Accent53">
    <w:name w:val="Liste foncée - Accent 53"/>
    <w:basedOn w:val="TableauNormal"/>
    <w:next w:val="Listefonce-Accent5"/>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stefonce-Accent63">
    <w:name w:val="Liste foncée - Accent 63"/>
    <w:basedOn w:val="TableauNormal"/>
    <w:next w:val="Listefonce-Accent6"/>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lleclaire-Accent113">
    <w:name w:val="Grille claire - Accent 113"/>
    <w:basedOn w:val="TableauNormal"/>
    <w:uiPriority w:val="62"/>
    <w:rsid w:val="000676A1"/>
    <w:pPr>
      <w:spacing w:after="0" w:line="240" w:lineRule="auto"/>
    </w:pPr>
    <w:rPr>
      <w:rFonts w:ascii="Calibri" w:eastAsia="Calibri" w:hAnsi="Calibri" w:cs="Times New Roman"/>
      <w:sz w:val="20"/>
      <w:szCs w:val="20"/>
      <w:lang w:val="fr-SN" w:eastAsia="fr-F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Latha" w:eastAsia="Times New Roman" w:hAnsi="Lath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Latha" w:eastAsia="Times New Roman" w:hAnsi="Lath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atha" w:eastAsia="Times New Roman" w:hAnsi="Latha" w:cs="Times New Roman"/>
        <w:b/>
        <w:bCs/>
      </w:rPr>
    </w:tblStylePr>
    <w:tblStylePr w:type="lastCol">
      <w:rPr>
        <w:rFonts w:ascii="Latha" w:eastAsia="Times New Roman" w:hAnsi="Lath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Aucuneliste33">
    <w:name w:val="Aucune liste33"/>
    <w:next w:val="Aucuneliste"/>
    <w:uiPriority w:val="99"/>
    <w:semiHidden/>
    <w:unhideWhenUsed/>
    <w:rsid w:val="000676A1"/>
  </w:style>
  <w:style w:type="numbering" w:customStyle="1" w:styleId="Aucuneliste43">
    <w:name w:val="Aucune liste43"/>
    <w:next w:val="Aucuneliste"/>
    <w:uiPriority w:val="99"/>
    <w:semiHidden/>
    <w:unhideWhenUsed/>
    <w:rsid w:val="000676A1"/>
  </w:style>
  <w:style w:type="numbering" w:customStyle="1" w:styleId="Aucuneliste53">
    <w:name w:val="Aucune liste53"/>
    <w:next w:val="Aucuneliste"/>
    <w:uiPriority w:val="99"/>
    <w:semiHidden/>
    <w:unhideWhenUsed/>
    <w:rsid w:val="000676A1"/>
  </w:style>
  <w:style w:type="numbering" w:customStyle="1" w:styleId="Aucuneliste63">
    <w:name w:val="Aucune liste63"/>
    <w:next w:val="Aucuneliste"/>
    <w:uiPriority w:val="99"/>
    <w:semiHidden/>
    <w:unhideWhenUsed/>
    <w:rsid w:val="000676A1"/>
  </w:style>
  <w:style w:type="numbering" w:customStyle="1" w:styleId="130">
    <w:name w:val="无列表13"/>
    <w:next w:val="Aucuneliste"/>
    <w:uiPriority w:val="99"/>
    <w:semiHidden/>
    <w:unhideWhenUsed/>
    <w:rsid w:val="000676A1"/>
  </w:style>
  <w:style w:type="table" w:customStyle="1" w:styleId="Grillecouleur-Accent14">
    <w:name w:val="Grille couleur - Accent 14"/>
    <w:basedOn w:val="TableauNormal"/>
    <w:next w:val="Grillecouleur-Accent1"/>
    <w:uiPriority w:val="29"/>
    <w:rsid w:val="000676A1"/>
    <w:pPr>
      <w:spacing w:after="0" w:line="240" w:lineRule="auto"/>
    </w:pPr>
    <w:rPr>
      <w:rFonts w:ascii="Calibri" w:eastAsia="SimSun" w:hAnsi="Calibri" w:cs="Times New Roman"/>
      <w:i/>
      <w:iCs/>
      <w:color w:val="000000"/>
      <w:kern w:val="2"/>
      <w:sz w:val="24"/>
      <w:szCs w:val="21"/>
      <w:lang w:val="en-US" w:eastAsia="zh-CN"/>
      <w14:ligatures w14:val="standardContextual"/>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numbering" w:customStyle="1" w:styleId="Aucuneliste72">
    <w:name w:val="Aucune liste72"/>
    <w:next w:val="Aucuneliste"/>
    <w:uiPriority w:val="99"/>
    <w:semiHidden/>
    <w:unhideWhenUsed/>
    <w:rsid w:val="000676A1"/>
  </w:style>
  <w:style w:type="table" w:customStyle="1" w:styleId="TableauGrille1Clair-Accentuation132">
    <w:name w:val="Tableau Grille 1 Clair - Accentuation 132"/>
    <w:basedOn w:val="TableauNormal"/>
    <w:next w:val="TableauGrille1Clair-Accentuation1"/>
    <w:uiPriority w:val="46"/>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lledutableau192">
    <w:name w:val="Grille du tableau192"/>
    <w:basedOn w:val="TableauNormal"/>
    <w:next w:val="Grilledutableau"/>
    <w:uiPriority w:val="3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etableauclaire22">
    <w:name w:val="Grille de tableau claire22"/>
    <w:basedOn w:val="TableauNormal"/>
    <w:next w:val="Grilledetableauclaire"/>
    <w:uiPriority w:val="40"/>
    <w:rsid w:val="000676A1"/>
    <w:pPr>
      <w:spacing w:after="0" w:line="240" w:lineRule="auto"/>
    </w:pPr>
    <w:rPr>
      <w:rFonts w:ascii="Calibri" w:eastAsia="Calibri" w:hAnsi="Calibri" w:cs="Times New Roman"/>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Aucuneliste82">
    <w:name w:val="Aucune liste82"/>
    <w:next w:val="Aucuneliste"/>
    <w:uiPriority w:val="99"/>
    <w:semiHidden/>
    <w:unhideWhenUsed/>
    <w:rsid w:val="000676A1"/>
  </w:style>
  <w:style w:type="table" w:customStyle="1" w:styleId="Grilledutableau1102">
    <w:name w:val="Grille du tableau1102"/>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32">
    <w:name w:val="Grille du tableau232"/>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2">
    <w:name w:val="Aucune liste122"/>
    <w:next w:val="Aucuneliste"/>
    <w:uiPriority w:val="99"/>
    <w:semiHidden/>
    <w:unhideWhenUsed/>
    <w:rsid w:val="000676A1"/>
  </w:style>
  <w:style w:type="table" w:customStyle="1" w:styleId="Grilledutableau312">
    <w:name w:val="Grille du tableau312"/>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auNormal"/>
    <w:next w:val="Grilledutableau"/>
    <w:uiPriority w:val="59"/>
    <w:rsid w:val="000676A1"/>
    <w:pPr>
      <w:spacing w:after="0" w:line="240" w:lineRule="auto"/>
    </w:pPr>
    <w:rPr>
      <w:rFonts w:ascii="Calibri" w:eastAsia="MS Mincho"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auNormal"/>
    <w:next w:val="Grilledutableau"/>
    <w:uiPriority w:val="59"/>
    <w:rsid w:val="000676A1"/>
    <w:pPr>
      <w:spacing w:after="0" w:line="240" w:lineRule="auto"/>
    </w:pPr>
    <w:rPr>
      <w:rFonts w:ascii="Cambria" w:eastAsia="Cambria" w:hAnsi="Cambria" w:cs="Times New Roman"/>
      <w:lang w:val="fr-SN"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moyenne1-Accent242">
    <w:name w:val="Grille moyenne 1 - Accent 242"/>
    <w:basedOn w:val="TableauNormal"/>
    <w:next w:val="Grillemoyenne1-Accent2"/>
    <w:uiPriority w:val="34"/>
    <w:rsid w:val="000676A1"/>
    <w:pPr>
      <w:spacing w:after="0" w:line="240" w:lineRule="auto"/>
    </w:pPr>
    <w:rPr>
      <w:rFonts w:ascii="Calibri" w:eastAsia="Calibri" w:hAnsi="Calibri" w:cs="Times New Roman"/>
      <w:lang w:val="fr-SN"/>
      <w14:ligatures w14:val="standardContextu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Grillemoyenne2112">
    <w:name w:val="Grille moyenne 2112"/>
    <w:basedOn w:val="TableauNormal"/>
    <w:uiPriority w:val="1"/>
    <w:rsid w:val="000676A1"/>
    <w:pPr>
      <w:spacing w:after="0" w:line="240" w:lineRule="auto"/>
    </w:pPr>
    <w:rPr>
      <w:rFonts w:ascii="Arial (W1)" w:eastAsia="Calibri" w:hAnsi="Arial (W1)" w:cs="Arial"/>
      <w:lang w:val="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steclaire112">
    <w:name w:val="Liste claire112"/>
    <w:basedOn w:val="TableauNormal"/>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efonce-Accent512">
    <w:name w:val="Liste foncée - Accent 512"/>
    <w:basedOn w:val="TableauNormal"/>
    <w:next w:val="Listefonce-Accent5"/>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Aucuneliste212">
    <w:name w:val="Aucune liste212"/>
    <w:next w:val="Aucuneliste"/>
    <w:uiPriority w:val="99"/>
    <w:semiHidden/>
    <w:unhideWhenUsed/>
    <w:rsid w:val="000676A1"/>
  </w:style>
  <w:style w:type="table" w:customStyle="1" w:styleId="Listeclaire-Accent61222">
    <w:name w:val="Liste claire - Accent 61222"/>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132">
    <w:name w:val="Liste claire - Accent 6132"/>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fonce-Accent612">
    <w:name w:val="Liste foncée - Accent 612"/>
    <w:basedOn w:val="TableauNormal"/>
    <w:next w:val="Listefonce-Accent6"/>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lleclaire-Accent1112">
    <w:name w:val="Grille claire - Accent 1112"/>
    <w:basedOn w:val="TableauNormal"/>
    <w:uiPriority w:val="62"/>
    <w:rsid w:val="000676A1"/>
    <w:pPr>
      <w:spacing w:after="0" w:line="240" w:lineRule="auto"/>
    </w:pPr>
    <w:rPr>
      <w:rFonts w:ascii="Calibri" w:eastAsia="Calibri" w:hAnsi="Calibri" w:cs="Times New Roman"/>
      <w:sz w:val="20"/>
      <w:szCs w:val="20"/>
      <w:lang w:val="fr-SN" w:eastAsia="fr-F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Latha" w:eastAsia="Times New Roman" w:hAnsi="Lath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Latha" w:eastAsia="Times New Roman" w:hAnsi="Lath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atha" w:eastAsia="Times New Roman" w:hAnsi="Latha" w:cs="Times New Roman"/>
        <w:b/>
        <w:bCs/>
      </w:rPr>
    </w:tblStylePr>
    <w:tblStylePr w:type="lastCol">
      <w:rPr>
        <w:rFonts w:ascii="Latha" w:eastAsia="Times New Roman" w:hAnsi="Lath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Aucuneliste312">
    <w:name w:val="Aucune liste312"/>
    <w:next w:val="Aucuneliste"/>
    <w:uiPriority w:val="99"/>
    <w:semiHidden/>
    <w:unhideWhenUsed/>
    <w:rsid w:val="000676A1"/>
  </w:style>
  <w:style w:type="numbering" w:customStyle="1" w:styleId="Aucuneliste412">
    <w:name w:val="Aucune liste412"/>
    <w:next w:val="Aucuneliste"/>
    <w:uiPriority w:val="99"/>
    <w:semiHidden/>
    <w:unhideWhenUsed/>
    <w:rsid w:val="000676A1"/>
  </w:style>
  <w:style w:type="table" w:customStyle="1" w:styleId="Grilledutableau512">
    <w:name w:val="Grille du tableau512"/>
    <w:basedOn w:val="TableauNormal"/>
    <w:next w:val="Grilledutableau"/>
    <w:uiPriority w:val="59"/>
    <w:rsid w:val="000676A1"/>
    <w:pPr>
      <w:spacing w:after="0" w:line="240" w:lineRule="auto"/>
    </w:pPr>
    <w:rPr>
      <w:rFonts w:ascii="Calibri" w:eastAsia="Times New Roman" w:hAnsi="Calibri" w:cs="Times New Roman"/>
      <w:sz w:val="20"/>
      <w:szCs w:val="20"/>
      <w:lang w:val="fr-SN" w:eastAsia="fr-F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512">
    <w:name w:val="Aucune liste512"/>
    <w:next w:val="Aucuneliste"/>
    <w:uiPriority w:val="99"/>
    <w:semiHidden/>
    <w:unhideWhenUsed/>
    <w:rsid w:val="000676A1"/>
  </w:style>
  <w:style w:type="table" w:customStyle="1" w:styleId="Grilledutableau2112">
    <w:name w:val="Grille du tableau2112"/>
    <w:basedOn w:val="TableauNormal"/>
    <w:next w:val="Grilledutableau"/>
    <w:uiPriority w:val="59"/>
    <w:rsid w:val="000676A1"/>
    <w:pPr>
      <w:spacing w:after="0" w:line="240" w:lineRule="auto"/>
    </w:pPr>
    <w:rPr>
      <w:rFonts w:ascii="Calibri" w:eastAsia="Times New Roman" w:hAnsi="Calibri" w:cs="Times New Roman"/>
      <w:lang w:val="fr-SN" w:eastAsia="fr-F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eclaire-Accent612112">
    <w:name w:val="Liste claire - Accent 612112"/>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1112">
    <w:name w:val="Liste claire - Accent 61112"/>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212">
    <w:name w:val="Liste claire - Accent 6212"/>
    <w:basedOn w:val="TableauNormal"/>
    <w:next w:val="Listefonce-Accent6"/>
    <w:uiPriority w:val="61"/>
    <w:rsid w:val="000676A1"/>
    <w:pPr>
      <w:spacing w:after="0" w:line="240" w:lineRule="auto"/>
      <w:jc w:val="both"/>
    </w:pPr>
    <w:rPr>
      <w:rFonts w:ascii="Arial Narrow" w:eastAsia="Calibri" w:hAnsi="Arial Narrow" w:cs="Times New Roman"/>
      <w:sz w:val="24"/>
      <w:lang w:val="en-GB"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Aucuneliste612">
    <w:name w:val="Aucune liste612"/>
    <w:next w:val="Aucuneliste"/>
    <w:uiPriority w:val="99"/>
    <w:semiHidden/>
    <w:unhideWhenUsed/>
    <w:rsid w:val="000676A1"/>
  </w:style>
  <w:style w:type="numbering" w:customStyle="1" w:styleId="112">
    <w:name w:val="无列表112"/>
    <w:next w:val="Aucuneliste"/>
    <w:uiPriority w:val="99"/>
    <w:semiHidden/>
    <w:unhideWhenUsed/>
    <w:rsid w:val="000676A1"/>
  </w:style>
  <w:style w:type="table" w:customStyle="1" w:styleId="Trameclaire-Accent222">
    <w:name w:val="Trame claire - Accent 222"/>
    <w:basedOn w:val="TableauNormal"/>
    <w:next w:val="Trameclaire-Accent2"/>
    <w:uiPriority w:val="30"/>
    <w:rsid w:val="000676A1"/>
    <w:pPr>
      <w:spacing w:after="0" w:line="240" w:lineRule="auto"/>
    </w:pPr>
    <w:rPr>
      <w:rFonts w:ascii="Calibri" w:eastAsia="Calibri" w:hAnsi="Calibri" w:cs="Times New Roman"/>
      <w:b/>
      <w:bCs/>
      <w:i/>
      <w:iCs/>
      <w:color w:val="4F81BD"/>
      <w:sz w:val="24"/>
      <w:szCs w:val="24"/>
      <w:lang w:val="fr-SN"/>
      <w14:ligatures w14:val="standardContextual"/>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Grid2112">
    <w:name w:val="Medium Grid 2112"/>
    <w:basedOn w:val="TableauNormal"/>
    <w:uiPriority w:val="1"/>
    <w:rsid w:val="000676A1"/>
    <w:pPr>
      <w:spacing w:after="0" w:line="240" w:lineRule="auto"/>
    </w:pPr>
    <w:rPr>
      <w:rFonts w:ascii="Arial (W1)" w:eastAsia="Calibri" w:hAnsi="Arial (W1)" w:cs="Arial"/>
      <w:lang w:val="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llecouleur-Accent122">
    <w:name w:val="Grille couleur - Accent 122"/>
    <w:basedOn w:val="TableauNormal"/>
    <w:next w:val="Grillecouleur-Accent1"/>
    <w:uiPriority w:val="29"/>
    <w:rsid w:val="000676A1"/>
    <w:pPr>
      <w:spacing w:after="0" w:line="240" w:lineRule="auto"/>
    </w:pPr>
    <w:rPr>
      <w:rFonts w:ascii="Calibri" w:eastAsia="SimSun" w:hAnsi="Calibri" w:cs="Times New Roman"/>
      <w:i/>
      <w:iCs/>
      <w:color w:val="000000"/>
      <w:kern w:val="2"/>
      <w:sz w:val="24"/>
      <w:szCs w:val="21"/>
      <w:lang w:val="en-US" w:eastAsia="zh-CN"/>
      <w14:ligatures w14:val="standardContextual"/>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TableauGrille6Couleur2">
    <w:name w:val="Tableau Grille 6 Couleur2"/>
    <w:basedOn w:val="TableauNormal"/>
    <w:next w:val="TableauGrille6Couleur"/>
    <w:uiPriority w:val="51"/>
    <w:rsid w:val="000676A1"/>
    <w:pPr>
      <w:spacing w:after="0" w:line="240" w:lineRule="auto"/>
    </w:pPr>
    <w:rPr>
      <w:rFonts w:ascii="Calibri" w:eastAsia="Calibri" w:hAnsi="Calibri" w:cs="Times New Roman"/>
      <w:color w:val="000000"/>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4-Accentuation52">
    <w:name w:val="Tableau Grille 4 - Accentuation 52"/>
    <w:basedOn w:val="TableauNormal"/>
    <w:next w:val="TableauGrille4-Accentuation5"/>
    <w:uiPriority w:val="49"/>
    <w:rsid w:val="000676A1"/>
    <w:pPr>
      <w:spacing w:after="0" w:line="240" w:lineRule="auto"/>
    </w:pPr>
    <w:rPr>
      <w:rFonts w:ascii="Calibri" w:eastAsia="Calibri" w:hAnsi="Calibri" w:cs="Times New Roman"/>
      <w:sz w:val="20"/>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Grille44">
    <w:name w:val="Tableau Grille 44"/>
    <w:basedOn w:val="TableauNormal"/>
    <w:next w:val="TableauGrille4"/>
    <w:uiPriority w:val="49"/>
    <w:rsid w:val="000676A1"/>
    <w:pPr>
      <w:spacing w:after="0" w:line="240" w:lineRule="auto"/>
    </w:pPr>
    <w:rPr>
      <w:rFonts w:ascii="Calibri" w:eastAsia="Calibri" w:hAnsi="Calibri" w:cs="Times New Roman"/>
      <w:sz w:val="20"/>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5Fonc-Accentuation52">
    <w:name w:val="Tableau Grille 5 Foncé - Accentuation 52"/>
    <w:basedOn w:val="TableauNormal"/>
    <w:next w:val="TableauGrille5Fonc-Accentuation5"/>
    <w:uiPriority w:val="50"/>
    <w:rsid w:val="000676A1"/>
    <w:pPr>
      <w:spacing w:after="0" w:line="240" w:lineRule="auto"/>
    </w:pPr>
    <w:rPr>
      <w:rFonts w:ascii="Calibri" w:eastAsia="Calibri" w:hAnsi="Calibri" w:cs="Times New Roman"/>
      <w:sz w:val="20"/>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auGrille5Fonc-Accentuation62">
    <w:name w:val="Tableau Grille 5 Foncé - Accentuation 62"/>
    <w:basedOn w:val="TableauNormal"/>
    <w:next w:val="TableauGrille5Fonc-Accentuation6"/>
    <w:uiPriority w:val="50"/>
    <w:rsid w:val="000676A1"/>
    <w:pPr>
      <w:spacing w:after="0" w:line="240" w:lineRule="auto"/>
    </w:pPr>
    <w:rPr>
      <w:rFonts w:ascii="Calibri" w:eastAsia="Calibri" w:hAnsi="Calibri" w:cs="Times New Roman"/>
      <w:sz w:val="20"/>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eauListe5Fonc-Accentuation62">
    <w:name w:val="Tableau Liste 5 Foncé - Accentuation 62"/>
    <w:basedOn w:val="TableauNormal"/>
    <w:next w:val="TableauListe5Fonc-Accentuation6"/>
    <w:uiPriority w:val="50"/>
    <w:rsid w:val="000676A1"/>
    <w:pPr>
      <w:spacing w:after="0" w:line="240" w:lineRule="auto"/>
    </w:pPr>
    <w:rPr>
      <w:rFonts w:ascii="Calibri" w:eastAsia="Calibri" w:hAnsi="Calibri" w:cs="Times New Roman"/>
      <w:color w:val="FFFFFF"/>
      <w:sz w:val="20"/>
      <w14:ligatures w14:val="standardContextual"/>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4-Accentuation62">
    <w:name w:val="Tableau Liste 4 - Accentuation 62"/>
    <w:basedOn w:val="TableauNormal"/>
    <w:next w:val="TableauListe4-Accentuation6"/>
    <w:uiPriority w:val="49"/>
    <w:rsid w:val="000676A1"/>
    <w:pPr>
      <w:spacing w:after="0" w:line="240" w:lineRule="auto"/>
    </w:pPr>
    <w:rPr>
      <w:rFonts w:ascii="Calibri" w:eastAsia="Calibri" w:hAnsi="Calibri" w:cs="Times New Roman"/>
      <w:sz w:val="20"/>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auListe5Fonc-Accentuation52">
    <w:name w:val="Tableau Liste 5 Foncé - Accentuation 52"/>
    <w:basedOn w:val="TableauNormal"/>
    <w:next w:val="TableauListe5Fonc-Accentuation5"/>
    <w:uiPriority w:val="50"/>
    <w:rsid w:val="000676A1"/>
    <w:pPr>
      <w:spacing w:after="0" w:line="240" w:lineRule="auto"/>
    </w:pPr>
    <w:rPr>
      <w:rFonts w:ascii="Calibri" w:eastAsia="Calibri" w:hAnsi="Calibri" w:cs="Times New Roman"/>
      <w:color w:val="FFFFFF"/>
      <w:sz w:val="20"/>
      <w14:ligatures w14:val="standardContextual"/>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4-Accentuation52">
    <w:name w:val="Tableau Liste 4 - Accentuation 52"/>
    <w:basedOn w:val="TableauNormal"/>
    <w:next w:val="TableauListe4-Accentuation5"/>
    <w:uiPriority w:val="49"/>
    <w:rsid w:val="000676A1"/>
    <w:pPr>
      <w:spacing w:after="0" w:line="240" w:lineRule="auto"/>
    </w:pPr>
    <w:rPr>
      <w:rFonts w:ascii="Calibri" w:eastAsia="Calibri" w:hAnsi="Calibri" w:cs="Times New Roman"/>
      <w:sz w:val="20"/>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Liste1Clair-Accentuation62">
    <w:name w:val="Tableau Liste 1 Clair - Accentuation 62"/>
    <w:basedOn w:val="TableauNormal"/>
    <w:next w:val="TableauListe1Clair-Accentuation6"/>
    <w:uiPriority w:val="46"/>
    <w:rsid w:val="000676A1"/>
    <w:pPr>
      <w:spacing w:after="0" w:line="240" w:lineRule="auto"/>
    </w:pPr>
    <w:rPr>
      <w:rFonts w:ascii="Calibri" w:eastAsia="Calibri" w:hAnsi="Calibri" w:cs="Times New Roman"/>
      <w:sz w:val="20"/>
      <w14:ligatures w14:val="standardContextual"/>
    </w:rPr>
    <w:tblPr>
      <w:tblStyleRowBandSize w:val="1"/>
      <w:tblStyleColBandSize w:val="1"/>
    </w:tblPr>
    <w:tblStylePr w:type="firstRow">
      <w:rPr>
        <w:b/>
        <w:bCs/>
      </w:rPr>
      <w:tblPr/>
      <w:tcPr>
        <w:tcBorders>
          <w:bottom w:val="single" w:sz="4" w:space="0" w:color="70AD47"/>
        </w:tcBorders>
      </w:tcPr>
    </w:tblStylePr>
    <w:tblStylePr w:type="lastRow">
      <w:rPr>
        <w:b/>
        <w:bCs/>
      </w:rPr>
      <w:tblPr/>
      <w:tcPr>
        <w:tcBorders>
          <w:top w:val="sing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auGrille1Clair4">
    <w:name w:val="Tableau Grille 1 Clair4"/>
    <w:basedOn w:val="TableauNormal"/>
    <w:next w:val="TableauGrille1Clair"/>
    <w:uiPriority w:val="46"/>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ausimple14">
    <w:name w:val="Tableau simple 14"/>
    <w:basedOn w:val="TableauNormal"/>
    <w:next w:val="Tableausimple1"/>
    <w:uiPriority w:val="72"/>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lledutableau1712">
    <w:name w:val="Grille du tableau1712"/>
    <w:basedOn w:val="TableauNormal"/>
    <w:next w:val="Grilledutableau"/>
    <w:uiPriority w:val="3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ouleur-Accent17">
    <w:name w:val="Liste couleur - Accent 17"/>
    <w:basedOn w:val="TableauNormal"/>
    <w:next w:val="Listecouleur-Accent1"/>
    <w:uiPriority w:val="34"/>
    <w:rsid w:val="000676A1"/>
    <w:pPr>
      <w:spacing w:after="0" w:line="240" w:lineRule="auto"/>
    </w:pPr>
    <w:rPr>
      <w:rFonts w:ascii="Times New Roman" w:eastAsia="Times New Roman" w:hAnsi="Times New Roman" w:cs="Times New Roman"/>
      <w:sz w:val="24"/>
      <w:szCs w:val="24"/>
      <w14:ligatures w14:val="standardContextual"/>
    </w:rPr>
    <w:tblPr>
      <w:tblStyleRowBandSize w:val="1"/>
      <w:tblStyleColBandSize w:val="1"/>
    </w:tblPr>
    <w:tcPr>
      <w:shd w:val="clear" w:color="auto" w:fill="EDF2F8"/>
    </w:tcPr>
    <w:tblStylePr w:type="firstRow">
      <w:rPr>
        <w:rFonts w:cs="Times New Roman"/>
      </w:rPr>
      <w:tblPr/>
      <w:tcPr>
        <w:tcBorders>
          <w:bottom w:val="single" w:sz="12" w:space="0" w:color="FFFFFF"/>
        </w:tcBorders>
        <w:shd w:val="clear" w:color="auto" w:fill="9E3A38"/>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numbering" w:customStyle="1" w:styleId="Aucuneliste11112">
    <w:name w:val="Aucune liste11112"/>
    <w:next w:val="Aucuneliste"/>
    <w:uiPriority w:val="99"/>
    <w:semiHidden/>
    <w:unhideWhenUsed/>
    <w:rsid w:val="000676A1"/>
  </w:style>
  <w:style w:type="numbering" w:customStyle="1" w:styleId="Aucuneliste92">
    <w:name w:val="Aucune liste92"/>
    <w:next w:val="Aucuneliste"/>
    <w:uiPriority w:val="99"/>
    <w:semiHidden/>
    <w:unhideWhenUsed/>
    <w:rsid w:val="000676A1"/>
  </w:style>
  <w:style w:type="numbering" w:customStyle="1" w:styleId="Aucuneliste102">
    <w:name w:val="Aucune liste102"/>
    <w:next w:val="Aucuneliste"/>
    <w:uiPriority w:val="99"/>
    <w:semiHidden/>
    <w:unhideWhenUsed/>
    <w:rsid w:val="000676A1"/>
  </w:style>
  <w:style w:type="numbering" w:customStyle="1" w:styleId="Aucuneliste131">
    <w:name w:val="Aucune liste131"/>
    <w:next w:val="Aucuneliste"/>
    <w:uiPriority w:val="99"/>
    <w:semiHidden/>
    <w:unhideWhenUsed/>
    <w:rsid w:val="000676A1"/>
  </w:style>
  <w:style w:type="table" w:customStyle="1" w:styleId="csastandard11">
    <w:name w:val="csa standard11"/>
    <w:basedOn w:val="TableauNormal"/>
    <w:next w:val="Grilledutableau"/>
    <w:uiPriority w:val="39"/>
    <w:qFormat/>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Grid21"/>
    <w:rsid w:val="000676A1"/>
    <w:pPr>
      <w:spacing w:after="0" w:line="240" w:lineRule="auto"/>
    </w:pPr>
    <w:rPr>
      <w:rFonts w:ascii="Calibri" w:eastAsia="Times New Roman" w:hAnsi="Calibri" w:cs="Times New Roman"/>
      <w:lang w:eastAsia="fr-FR"/>
      <w14:ligatures w14:val="standardContextual"/>
    </w:rPr>
    <w:tblPr>
      <w:tblCellMar>
        <w:top w:w="0" w:type="dxa"/>
        <w:left w:w="0" w:type="dxa"/>
        <w:bottom w:w="0" w:type="dxa"/>
        <w:right w:w="0" w:type="dxa"/>
      </w:tblCellMar>
    </w:tblPr>
  </w:style>
  <w:style w:type="table" w:customStyle="1" w:styleId="Grilledetableau8211">
    <w:name w:val="Grille de tableau 8211"/>
    <w:basedOn w:val="TableauNormal"/>
    <w:next w:val="Grilledetableau8"/>
    <w:rsid w:val="000676A1"/>
    <w:pPr>
      <w:spacing w:after="0" w:line="240" w:lineRule="auto"/>
      <w:jc w:val="both"/>
    </w:pPr>
    <w:rPr>
      <w:rFonts w:ascii="Times New Roman" w:eastAsia="Times New Roman" w:hAnsi="Times New Roman" w:cs="Times New Roman"/>
      <w:sz w:val="20"/>
      <w:szCs w:val="20"/>
      <w:lang w:eastAsia="fr-FR"/>
      <w14:ligatures w14:val="standardContextu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lledetableau811">
    <w:name w:val="Grille de tableau 811"/>
    <w:basedOn w:val="TableauNormal"/>
    <w:next w:val="Grilledetableau8"/>
    <w:unhideWhenUsed/>
    <w:rsid w:val="000676A1"/>
    <w:pPr>
      <w:spacing w:after="0" w:line="240" w:lineRule="auto"/>
    </w:pPr>
    <w:rPr>
      <w:rFonts w:ascii="Cambria" w:eastAsia="MS Mincho" w:hAnsi="Cambria" w:cs="Times New Roman"/>
      <w:sz w:val="20"/>
      <w:szCs w:val="20"/>
      <w:lang w:eastAsia="fr-FR"/>
      <w14:ligatures w14:val="standardContextu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Grille4-Accentuation131">
    <w:name w:val="Tableau Grille 4 - Accentuation 131"/>
    <w:basedOn w:val="TableauNormal"/>
    <w:next w:val="TableauGrille4-Accentuation1"/>
    <w:uiPriority w:val="49"/>
    <w:rsid w:val="000676A1"/>
    <w:pPr>
      <w:spacing w:after="0" w:line="240" w:lineRule="auto"/>
      <w:jc w:val="both"/>
    </w:pPr>
    <w:rPr>
      <w:rFonts w:ascii="Calibri" w:eastAsia="Calibri" w:hAnsi="Calibri" w:cs="Times New Roma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etableauclaire31">
    <w:name w:val="Grille de tableau claire31"/>
    <w:basedOn w:val="TableauNormal"/>
    <w:next w:val="Grilledetableauclaire"/>
    <w:uiPriority w:val="40"/>
    <w:rsid w:val="000676A1"/>
    <w:pPr>
      <w:spacing w:after="0" w:line="240" w:lineRule="auto"/>
    </w:pPr>
    <w:rPr>
      <w:rFonts w:ascii="Cambria" w:eastAsia="MS Mincho" w:hAnsi="Cambria" w:cs="Times New Roman"/>
      <w:sz w:val="20"/>
      <w:szCs w:val="20"/>
      <w:lang w:eastAsia="fr-FR"/>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auGrille4-Accentuation311">
    <w:name w:val="Tableau Grille 4 - Accentuation 311"/>
    <w:basedOn w:val="TableauNormal"/>
    <w:next w:val="TableauGrille4-Accentuation3"/>
    <w:uiPriority w:val="49"/>
    <w:rsid w:val="000676A1"/>
    <w:pPr>
      <w:spacing w:after="0" w:line="240" w:lineRule="auto"/>
    </w:pPr>
    <w:rPr>
      <w:rFonts w:ascii="Cambria" w:eastAsia="MS Mincho" w:hAnsi="Cambria" w:cs="Times New Roman"/>
      <w:sz w:val="20"/>
      <w:szCs w:val="20"/>
      <w:lang w:eastAsia="fr-FR"/>
      <w14:ligatures w14:val="standardContextu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lledutableau1131">
    <w:name w:val="Grille du tableau113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Liste316311">
    <w:name w:val="Tableau Liste 316311"/>
    <w:basedOn w:val="TableauNormal"/>
    <w:next w:val="TableauListe3"/>
    <w:uiPriority w:val="48"/>
    <w:rsid w:val="000676A1"/>
    <w:pPr>
      <w:spacing w:after="0" w:line="300" w:lineRule="exact"/>
      <w:jc w:val="both"/>
    </w:pPr>
    <w:rPr>
      <w:rFonts w:ascii="Times New Roman" w:eastAsia="Times New Roman" w:hAnsi="Times New Roman" w:cs="Times New Roman"/>
      <w:sz w:val="20"/>
      <w:szCs w:val="20"/>
      <w:lang w:eastAsia="fr-FR"/>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simple1111">
    <w:name w:val="Tableau simple 1111"/>
    <w:basedOn w:val="TableauNormal"/>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Grille4111">
    <w:name w:val="Tableau Grille 4111"/>
    <w:basedOn w:val="TableauNormal"/>
    <w:uiPriority w:val="49"/>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emoyenne2-Accent421">
    <w:name w:val="Liste moyenne 2 - Accent 421"/>
    <w:basedOn w:val="TableauNormal"/>
    <w:next w:val="Listemoyenne2-Accent4"/>
    <w:uiPriority w:val="34"/>
    <w:rsid w:val="000676A1"/>
    <w:pPr>
      <w:spacing w:after="0" w:line="240" w:lineRule="auto"/>
    </w:pPr>
    <w:rPr>
      <w:rFonts w:ascii="Times New Roman" w:eastAsia="Times New Roman" w:hAnsi="Times New Roman" w:cs="Times New Roman"/>
      <w:sz w:val="24"/>
      <w:szCs w:val="24"/>
      <w14:ligatures w14:val="standardContextu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Listecouleur-Accent311">
    <w:name w:val="Liste couleur - Accent 311"/>
    <w:basedOn w:val="TableauNormal"/>
    <w:next w:val="Listecouleur-Accent3"/>
    <w:uiPriority w:val="29"/>
    <w:rsid w:val="000676A1"/>
    <w:pPr>
      <w:spacing w:after="0" w:line="240" w:lineRule="auto"/>
    </w:pPr>
    <w:rPr>
      <w:rFonts w:ascii="Calibri" w:eastAsia="Times New Roman" w:hAnsi="Calibri" w:cs="Times New Roman"/>
      <w:i/>
      <w:iCs/>
      <w:color w:val="000000"/>
      <w:lang w:val="en-US" w:bidi="en-US"/>
      <w14:ligatures w14:val="standardContextual"/>
    </w:rPr>
    <w:tblPr>
      <w:tblStyleRowBandSize w:val="1"/>
      <w:tblStyleColBandSize w:val="1"/>
    </w:tblPr>
    <w:tcPr>
      <w:shd w:val="clear" w:color="auto" w:fill="F5F8EE"/>
    </w:tcPr>
    <w:tblStylePr w:type="firstRow">
      <w:tblPr/>
      <w:tcPr>
        <w:tcBorders>
          <w:bottom w:val="single" w:sz="12" w:space="0" w:color="FFFFFF"/>
        </w:tcBorders>
        <w:shd w:val="clear" w:color="auto" w:fill="664E8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llecouleur-Accent311">
    <w:name w:val="Grille couleur - Accent 311"/>
    <w:basedOn w:val="TableauNormal"/>
    <w:next w:val="Grillecouleur-Accent3"/>
    <w:uiPriority w:val="30"/>
    <w:rsid w:val="000676A1"/>
    <w:pPr>
      <w:spacing w:after="0" w:line="240" w:lineRule="auto"/>
    </w:pPr>
    <w:rPr>
      <w:rFonts w:ascii="Calibri" w:eastAsia="Times New Roman" w:hAnsi="Calibri" w:cs="Times New Roman"/>
      <w:b/>
      <w:bCs/>
      <w:i/>
      <w:iCs/>
      <w:color w:val="4F81BD"/>
      <w:lang w:val="en-US" w:bidi="en-US"/>
      <w14:ligatures w14:val="standardContextual"/>
    </w:rPr>
    <w:tblPr>
      <w:tblStyleRowBandSize w:val="1"/>
      <w:tblStyleColBandSize w:val="1"/>
      <w:tblBorders>
        <w:insideH w:val="single" w:sz="4" w:space="0" w:color="FFFFFF"/>
      </w:tblBorders>
    </w:tblPr>
    <w:tcPr>
      <w:shd w:val="clear" w:color="auto" w:fill="EAF1DD"/>
    </w:tcPr>
    <w:tblStylePr w:type="firstRow">
      <w:tblPr/>
      <w:tcPr>
        <w:shd w:val="clear" w:color="auto" w:fill="D6E3BC"/>
      </w:tcPr>
    </w:tblStylePr>
    <w:tblStylePr w:type="lastRow">
      <w:tblPr/>
      <w:tcPr>
        <w:shd w:val="clear" w:color="auto" w:fill="D6E3BC"/>
      </w:tcPr>
    </w:tblStylePr>
    <w:tblStylePr w:type="firstCol">
      <w:tblPr/>
      <w:tcPr>
        <w:shd w:val="clear" w:color="auto" w:fill="76923C"/>
      </w:tcPr>
    </w:tblStylePr>
    <w:tblStylePr w:type="lastCol">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Ombrageclair211">
    <w:name w:val="Ombrage clair211"/>
    <w:basedOn w:val="TableauNormal"/>
    <w:uiPriority w:val="60"/>
    <w:rsid w:val="000676A1"/>
    <w:pPr>
      <w:spacing w:after="0" w:line="240" w:lineRule="auto"/>
    </w:pPr>
    <w:rPr>
      <w:rFonts w:ascii="Calibri" w:eastAsia="Calibri" w:hAnsi="Calibri" w:cs="Times New Roman"/>
      <w:color w:val="000000"/>
      <w:lang w:val="en-US" w:bidi="en-US"/>
      <w14:ligatures w14:val="standardContextu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moyenne1-Accent631">
    <w:name w:val="Trame moyenne 1 - Accent 631"/>
    <w:basedOn w:val="TableauNormal"/>
    <w:next w:val="Tramemoyenne1-Accent6"/>
    <w:uiPriority w:val="63"/>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Autospacing="0" w:afterLines="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Autospacing="0" w:afterLines="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steclaire-Accent61231">
    <w:name w:val="Liste claire - Accent 61231"/>
    <w:basedOn w:val="TableauNormal"/>
    <w:next w:val="Listeclaire-Accent6"/>
    <w:uiPriority w:val="61"/>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31">
    <w:name w:val="Liste claire - Accent 631"/>
    <w:basedOn w:val="TableauNormal"/>
    <w:next w:val="Listeclaire-Accent6"/>
    <w:uiPriority w:val="61"/>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Ombrageclair11">
    <w:name w:val="Ombrage clair11"/>
    <w:basedOn w:val="TableauNormal"/>
    <w:next w:val="Ombrageclair"/>
    <w:uiPriority w:val="60"/>
    <w:rsid w:val="000676A1"/>
    <w:pPr>
      <w:spacing w:after="0" w:line="240" w:lineRule="auto"/>
    </w:pPr>
    <w:rPr>
      <w:rFonts w:ascii="Calibri" w:eastAsia="Calibri" w:hAnsi="Calibri" w:cs="Times New Roman"/>
      <w:color w:val="000000"/>
      <w:sz w:val="20"/>
      <w:szCs w:val="20"/>
      <w:lang w:eastAsia="fr-FR"/>
      <w14:ligatures w14:val="standardContextual"/>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eclaire21">
    <w:name w:val="Liste claire21"/>
    <w:basedOn w:val="TableauNormal"/>
    <w:next w:val="Listeclaire"/>
    <w:uiPriority w:val="61"/>
    <w:rsid w:val="000676A1"/>
    <w:pPr>
      <w:spacing w:after="0" w:line="240" w:lineRule="auto"/>
    </w:pPr>
    <w:rPr>
      <w:rFonts w:ascii="Calibri" w:eastAsia="Calibri" w:hAnsi="Calibri" w:cs="Times New Roman"/>
      <w:sz w:val="20"/>
      <w:szCs w:val="20"/>
      <w:lang w:eastAsia="fr-FR"/>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eclaire-Accent6141">
    <w:name w:val="Liste claire - Accent 6141"/>
    <w:basedOn w:val="TableauNormal"/>
    <w:uiPriority w:val="61"/>
    <w:rsid w:val="000676A1"/>
    <w:pPr>
      <w:spacing w:after="0" w:line="240" w:lineRule="auto"/>
    </w:pPr>
    <w:rPr>
      <w:rFonts w:ascii="Times New Roman" w:eastAsia="Calibri" w:hAnsi="Times New Roman" w:cs="Times New Roman"/>
      <w:sz w:val="24"/>
      <w:szCs w:val="24"/>
      <w:lang w:val="en-US"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lledutableau241">
    <w:name w:val="Grille du tableau241"/>
    <w:basedOn w:val="TableauNormal"/>
    <w:uiPriority w:val="39"/>
    <w:rsid w:val="000676A1"/>
    <w:pPr>
      <w:spacing w:after="0" w:line="240" w:lineRule="auto"/>
    </w:pPr>
    <w:rPr>
      <w:rFonts w:ascii="Calibri" w:eastAsia="Times New Roman" w:hAnsi="Calibri" w:cs="Times New Roman"/>
      <w:sz w:val="20"/>
      <w:szCs w:val="20"/>
      <w:lang w:val="wo-SN" w:eastAsia="wo-SN"/>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eclaire-Accent111">
    <w:name w:val="Liste claire - Accent 111"/>
    <w:basedOn w:val="TableauNormal"/>
    <w:next w:val="Listeclaire-Accent1"/>
    <w:uiPriority w:val="61"/>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511">
    <w:name w:val="Liste claire - Accent 511"/>
    <w:basedOn w:val="TableauNormal"/>
    <w:next w:val="Listeclaire-Accent5"/>
    <w:uiPriority w:val="61"/>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Aucuneliste141">
    <w:name w:val="Aucune liste141"/>
    <w:next w:val="Aucuneliste"/>
    <w:uiPriority w:val="99"/>
    <w:semiHidden/>
    <w:unhideWhenUsed/>
    <w:rsid w:val="000676A1"/>
  </w:style>
  <w:style w:type="numbering" w:customStyle="1" w:styleId="Aucuneliste1121">
    <w:name w:val="Aucune liste1121"/>
    <w:next w:val="Aucuneliste"/>
    <w:uiPriority w:val="99"/>
    <w:semiHidden/>
    <w:unhideWhenUsed/>
    <w:rsid w:val="000676A1"/>
  </w:style>
  <w:style w:type="table" w:customStyle="1" w:styleId="mtbs121">
    <w:name w:val="mtbs121"/>
    <w:basedOn w:val="TableauNormal"/>
    <w:next w:val="Grilledutableau"/>
    <w:uiPriority w:val="39"/>
    <w:qFormat/>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HDHVTable11">
    <w:name w:val="RHDHV Table11"/>
    <w:basedOn w:val="TableauNormal"/>
    <w:uiPriority w:val="99"/>
    <w:unhideWhenUsed/>
    <w:rsid w:val="000676A1"/>
    <w:pPr>
      <w:spacing w:after="0" w:line="271" w:lineRule="auto"/>
    </w:pPr>
    <w:rPr>
      <w:rFonts w:ascii="Calibri" w:eastAsia="Times New Roman" w:hAnsi="Calibri" w:cs="Times New Roman"/>
      <w:color w:val="000000"/>
      <w:sz w:val="24"/>
      <w:szCs w:val="24"/>
      <w:lang w:val="en-GB" w:eastAsia="en-GB"/>
      <w14:ligatures w14:val="standardContextual"/>
    </w:rPr>
    <w:tblPr>
      <w:tblBorders>
        <w:insideH w:val="single" w:sz="8" w:space="0" w:color="FFFFFF"/>
        <w:insideV w:val="single" w:sz="8" w:space="0" w:color="FFFFFF"/>
      </w:tblBorders>
      <w:tblCellMar>
        <w:top w:w="57" w:type="dxa"/>
        <w:left w:w="0" w:type="dxa"/>
        <w:bottom w:w="57" w:type="dxa"/>
        <w:right w:w="0" w:type="dxa"/>
      </w:tblCellMar>
    </w:tblPr>
    <w:tcPr>
      <w:shd w:val="clear" w:color="auto" w:fill="D9E2F3"/>
      <w:vAlign w:val="center"/>
    </w:tcPr>
    <w:tblStylePr w:type="firstRow">
      <w:rPr>
        <w:b/>
      </w:rPr>
      <w:tblPr/>
      <w:tcPr>
        <w:tcBorders>
          <w:top w:val="nil"/>
          <w:left w:val="nil"/>
          <w:bottom w:val="nil"/>
          <w:right w:val="nil"/>
          <w:insideH w:val="nil"/>
          <w:insideV w:val="single" w:sz="8" w:space="0" w:color="FFFFFF"/>
          <w:tl2br w:val="nil"/>
          <w:tr2bl w:val="nil"/>
        </w:tcBorders>
        <w:shd w:val="clear" w:color="auto" w:fill="4472C4"/>
      </w:tcPr>
    </w:tblStylePr>
    <w:tblStylePr w:type="lastRow">
      <w:tblPr/>
      <w:tcPr>
        <w:tcBorders>
          <w:top w:val="nil"/>
          <w:left w:val="nil"/>
          <w:bottom w:val="nil"/>
          <w:right w:val="nil"/>
          <w:insideH w:val="nil"/>
          <w:insideV w:val="single" w:sz="8" w:space="0" w:color="FFFFFF"/>
          <w:tl2br w:val="nil"/>
          <w:tr2bl w:val="nil"/>
        </w:tcBorders>
        <w:shd w:val="clear" w:color="auto" w:fill="B4C6E7"/>
      </w:tcPr>
    </w:tblStylePr>
    <w:tblStylePr w:type="swCell">
      <w:tblPr/>
      <w:tcPr>
        <w:tcBorders>
          <w:top w:val="nil"/>
          <w:left w:val="nil"/>
          <w:bottom w:val="nil"/>
          <w:right w:val="nil"/>
          <w:insideH w:val="nil"/>
          <w:insideV w:val="nil"/>
          <w:tl2br w:val="nil"/>
          <w:tr2bl w:val="nil"/>
        </w:tcBorders>
        <w:shd w:val="clear" w:color="auto" w:fill="FFFFFF"/>
      </w:tcPr>
    </w:tblStylePr>
  </w:style>
  <w:style w:type="table" w:customStyle="1" w:styleId="RHDHVTableNormal11">
    <w:name w:val="RHDHV Table Normal11"/>
    <w:basedOn w:val="TableauNormal"/>
    <w:uiPriority w:val="99"/>
    <w:unhideWhenUsed/>
    <w:rsid w:val="000676A1"/>
    <w:pPr>
      <w:spacing w:after="0" w:line="271" w:lineRule="auto"/>
    </w:pPr>
    <w:rPr>
      <w:rFonts w:ascii="Calibri" w:eastAsia="Times New Roman" w:hAnsi="Calibri" w:cs="Times New Roman"/>
      <w:color w:val="000000"/>
      <w:sz w:val="24"/>
      <w:szCs w:val="24"/>
      <w:lang w:val="en-GB" w:eastAsia="en-GB"/>
      <w14:ligatures w14:val="standardContextual"/>
    </w:rPr>
    <w:tblPr>
      <w:tblCellMar>
        <w:top w:w="57" w:type="dxa"/>
        <w:left w:w="0" w:type="dxa"/>
        <w:bottom w:w="57" w:type="dxa"/>
        <w:right w:w="0" w:type="dxa"/>
      </w:tblCellMar>
    </w:tblPr>
    <w:tcPr>
      <w:vAlign w:val="center"/>
    </w:tcPr>
  </w:style>
  <w:style w:type="table" w:customStyle="1" w:styleId="TableauGrille2121">
    <w:name w:val="Tableau Grille 2121"/>
    <w:basedOn w:val="TableauNormal"/>
    <w:uiPriority w:val="47"/>
    <w:rsid w:val="000676A1"/>
    <w:pPr>
      <w:spacing w:after="0" w:line="240" w:lineRule="auto"/>
    </w:pPr>
    <w:rPr>
      <w:rFonts w:ascii="Calibri" w:eastAsia="Times New Roman" w:hAnsi="Calibri" w:cs="Times New Roman"/>
      <w:sz w:val="24"/>
      <w:szCs w:val="24"/>
      <w:lang w:eastAsia="fr-FR"/>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lledutableau2121">
    <w:name w:val="Grille du tableau2121"/>
    <w:basedOn w:val="TableauNormal"/>
    <w:next w:val="Grilledutableau"/>
    <w:uiPriority w:val="59"/>
    <w:rsid w:val="000676A1"/>
    <w:pPr>
      <w:spacing w:after="0" w:line="240" w:lineRule="auto"/>
    </w:pPr>
    <w:rPr>
      <w:rFonts w:ascii="Calibri" w:eastAsia="Times New Roman" w:hAnsi="Calibri" w:cs="Times New Roman"/>
      <w:lang w:val="wo-SN" w:eastAsia="wo-SN"/>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eclaire-Accent61121">
    <w:name w:val="Liste claire - Accent 61121"/>
    <w:basedOn w:val="TableauNormal"/>
    <w:next w:val="Listeclaire-Accent6"/>
    <w:uiPriority w:val="61"/>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121">
    <w:name w:val="Liste claire121"/>
    <w:basedOn w:val="TableauNormal"/>
    <w:next w:val="Listeclaire"/>
    <w:uiPriority w:val="61"/>
    <w:rsid w:val="000676A1"/>
    <w:pPr>
      <w:spacing w:after="0" w:line="240" w:lineRule="auto"/>
    </w:pPr>
    <w:rPr>
      <w:rFonts w:ascii="Calibri" w:eastAsia="Calibri" w:hAnsi="Calibri" w:cs="Times New Roman"/>
      <w:lang w:val="fr-CA"/>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Aucuneliste11121">
    <w:name w:val="Aucune liste11121"/>
    <w:next w:val="Aucuneliste"/>
    <w:uiPriority w:val="99"/>
    <w:semiHidden/>
    <w:unhideWhenUsed/>
    <w:rsid w:val="000676A1"/>
  </w:style>
  <w:style w:type="table" w:customStyle="1" w:styleId="Grilledutableau321">
    <w:name w:val="Grille du tableau321"/>
    <w:basedOn w:val="TableauNormal"/>
    <w:next w:val="Grilledutableau"/>
    <w:uiPriority w:val="59"/>
    <w:rsid w:val="000676A1"/>
    <w:pPr>
      <w:spacing w:after="0" w:line="240" w:lineRule="auto"/>
    </w:pPr>
    <w:rPr>
      <w:rFonts w:ascii="Calibri" w:eastAsia="Calibri" w:hAnsi="Calibri" w:cs="Times New Roman"/>
      <w:sz w:val="20"/>
      <w:szCs w:val="20"/>
      <w:lang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auNormal"/>
    <w:next w:val="Grilledutableau"/>
    <w:uiPriority w:val="59"/>
    <w:rsid w:val="000676A1"/>
    <w:pPr>
      <w:spacing w:after="0" w:line="240" w:lineRule="auto"/>
    </w:pPr>
    <w:rPr>
      <w:rFonts w:ascii="Calibri" w:eastAsia="Calibri" w:hAnsi="Calibri" w:cs="Times New Roman"/>
      <w:lang w:val="fr-C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612121">
    <w:name w:val="Liste claire - Accent 612121"/>
    <w:basedOn w:val="TableauNormal"/>
    <w:uiPriority w:val="61"/>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lledutableau521">
    <w:name w:val="Grille du tableau52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11">
    <w:name w:val="Grille du tableau81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11">
    <w:name w:val="Grille du tableau91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Aucuneliste"/>
    <w:uiPriority w:val="99"/>
    <w:semiHidden/>
    <w:unhideWhenUsed/>
    <w:rsid w:val="000676A1"/>
  </w:style>
  <w:style w:type="table" w:customStyle="1" w:styleId="Colonnesdetableau311">
    <w:name w:val="Colonnes de tableau 311"/>
    <w:basedOn w:val="TableauNormal"/>
    <w:next w:val="Colonnesdetableau3"/>
    <w:semiHidden/>
    <w:unhideWhenUsed/>
    <w:rsid w:val="000676A1"/>
    <w:pPr>
      <w:spacing w:after="0" w:line="240" w:lineRule="auto"/>
    </w:pPr>
    <w:rPr>
      <w:rFonts w:ascii="Cambria" w:eastAsia="Cambria" w:hAnsi="Cambria" w:cs="Times New Roman"/>
      <w:b/>
      <w:bCs/>
      <w:sz w:val="20"/>
      <w:szCs w:val="20"/>
      <w:lang w:eastAsia="fr-FR"/>
      <w14:ligatures w14:val="standardContextua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Grilledetableau111">
    <w:name w:val="Grille de tableau 111"/>
    <w:basedOn w:val="TableauNormal"/>
    <w:next w:val="Grilledetableau1"/>
    <w:unhideWhenUsed/>
    <w:rsid w:val="000676A1"/>
    <w:pPr>
      <w:spacing w:after="0" w:line="240" w:lineRule="auto"/>
    </w:pPr>
    <w:rPr>
      <w:rFonts w:ascii="Calibri" w:eastAsia="Calibri" w:hAnsi="Calibri" w:cs="Times New Roman"/>
      <w:sz w:val="20"/>
      <w:szCs w:val="20"/>
      <w:lang w:eastAsia="fr-FR"/>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auliste711">
    <w:name w:val="Tableau liste 711"/>
    <w:basedOn w:val="TableauNormal"/>
    <w:next w:val="Tableauliste7"/>
    <w:semiHidden/>
    <w:unhideWhenUsed/>
    <w:rsid w:val="000676A1"/>
    <w:pPr>
      <w:spacing w:after="0" w:line="240" w:lineRule="auto"/>
    </w:pPr>
    <w:rPr>
      <w:rFonts w:ascii="Times New Roman" w:eastAsia="Times New Roman" w:hAnsi="Times New Roman" w:cs="Times New Roman"/>
      <w:sz w:val="20"/>
      <w:szCs w:val="20"/>
      <w:lang w:eastAsia="fr-FR"/>
      <w14:ligatures w14:val="standardContextu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auNormal"/>
    <w:next w:val="Tableauliste8"/>
    <w:semiHidden/>
    <w:unhideWhenUsed/>
    <w:rsid w:val="000676A1"/>
    <w:pPr>
      <w:spacing w:after="0" w:line="240" w:lineRule="auto"/>
    </w:pPr>
    <w:rPr>
      <w:rFonts w:ascii="Times New Roman" w:eastAsia="Times New Roman" w:hAnsi="Times New Roman" w:cs="Times New Roman"/>
      <w:sz w:val="20"/>
      <w:szCs w:val="20"/>
      <w:lang w:eastAsia="fr-FR"/>
      <w14:ligatures w14:val="standardContextu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web211">
    <w:name w:val="Tableau web 211"/>
    <w:basedOn w:val="TableauNormal"/>
    <w:next w:val="Tableauweb2"/>
    <w:unhideWhenUsed/>
    <w:rsid w:val="000676A1"/>
    <w:pPr>
      <w:spacing w:after="0" w:line="240" w:lineRule="auto"/>
    </w:pPr>
    <w:rPr>
      <w:rFonts w:ascii="Times New Roman" w:eastAsia="Times New Roman" w:hAnsi="Times New Roman" w:cs="Times New Roman"/>
      <w:sz w:val="20"/>
      <w:szCs w:val="20"/>
      <w:lang w:eastAsia="fr-FR"/>
      <w14:ligatures w14:val="standardContextu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Grilledutableau1011">
    <w:name w:val="Grille du tableau1011"/>
    <w:basedOn w:val="TableauNormal"/>
    <w:next w:val="Grilledutableau"/>
    <w:uiPriority w:val="59"/>
    <w:rsid w:val="000676A1"/>
    <w:pPr>
      <w:spacing w:after="0" w:line="240" w:lineRule="auto"/>
    </w:pPr>
    <w:rPr>
      <w:rFonts w:ascii="Times New Roman" w:eastAsia="Times New Roman" w:hAnsi="Times New Roman" w:cs="Times New Roman"/>
      <w:sz w:val="20"/>
      <w:szCs w:val="20"/>
      <w:lang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fonce-Accent211">
    <w:name w:val="Liste foncée - Accent 211"/>
    <w:basedOn w:val="TableauNormal"/>
    <w:next w:val="Listefonce-Accent2"/>
    <w:uiPriority w:val="61"/>
    <w:unhideWhenUsed/>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steclaire-Accent6221">
    <w:name w:val="Liste claire - Accent 6221"/>
    <w:basedOn w:val="TableauNormal"/>
    <w:next w:val="Listeclaire-Accent6"/>
    <w:uiPriority w:val="61"/>
    <w:unhideWhenUsed/>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Tramemoyenne1-Accent6111">
    <w:name w:val="Trame moyenne 1 - Accent 6111"/>
    <w:basedOn w:val="TableauNormal"/>
    <w:next w:val="Tramemoyenne1-Accent6"/>
    <w:uiPriority w:val="63"/>
    <w:semiHidden/>
    <w:unhideWhenUsed/>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auNorm11">
    <w:name w:val="Tableau Norm11"/>
    <w:semiHidden/>
    <w:rsid w:val="000676A1"/>
    <w:pPr>
      <w:spacing w:after="0" w:line="240" w:lineRule="auto"/>
    </w:pPr>
    <w:rPr>
      <w:rFonts w:ascii="Calibri" w:eastAsia="Times New Roman" w:hAnsi="Calibri" w:cs="Times New Roman"/>
      <w:sz w:val="20"/>
      <w:szCs w:val="20"/>
      <w:lang w:bidi="fr-FR"/>
      <w14:ligatures w14:val="standardContextual"/>
    </w:rPr>
    <w:tblPr>
      <w:tblCellMar>
        <w:top w:w="0" w:type="dxa"/>
        <w:left w:w="108" w:type="dxa"/>
        <w:bottom w:w="0" w:type="dxa"/>
        <w:right w:w="108" w:type="dxa"/>
      </w:tblCellMar>
    </w:tblPr>
  </w:style>
  <w:style w:type="table" w:customStyle="1" w:styleId="Grilledutableau2211">
    <w:name w:val="Grille du tableau2211"/>
    <w:basedOn w:val="TableauNormal"/>
    <w:uiPriority w:val="59"/>
    <w:rsid w:val="000676A1"/>
    <w:pPr>
      <w:spacing w:after="0" w:line="240" w:lineRule="auto"/>
    </w:pPr>
    <w:rPr>
      <w:rFonts w:ascii="Calibri" w:eastAsia="Times New Roman" w:hAnsi="Calibri" w:cs="Times New Roman"/>
      <w:lang w:val="wo-SN" w:eastAsia="wo-SN"/>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7111">
    <w:name w:val="Grille du tableau7111"/>
    <w:basedOn w:val="TableauNormal"/>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moyenne1-Accent6211">
    <w:name w:val="Trame moyenne 1 - Accent 6211"/>
    <w:basedOn w:val="TableauNormal"/>
    <w:next w:val="Tramemoyenne1-Accent6"/>
    <w:uiPriority w:val="63"/>
    <w:semiHidden/>
    <w:unhideWhenUsed/>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Grilledutableau11111">
    <w:name w:val="Grille du tableau11111"/>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11">
    <w:name w:val="Grille du tableau1311"/>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1">
    <w:name w:val="Grille du tableau1411"/>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11">
    <w:name w:val="Grille du tableau1511"/>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11">
    <w:name w:val="Grille du tableau1611"/>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21">
    <w:name w:val="Grille du tableau1721"/>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811">
    <w:name w:val="Grille du tableau1811"/>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tbs1111">
    <w:name w:val="mtbs1111"/>
    <w:basedOn w:val="TableauNormal"/>
    <w:next w:val="Grilledutableau"/>
    <w:uiPriority w:val="39"/>
    <w:qFormat/>
    <w:rsid w:val="000676A1"/>
    <w:pPr>
      <w:spacing w:after="0" w:line="240" w:lineRule="auto"/>
    </w:pPr>
    <w:rPr>
      <w:rFonts w:ascii="Calibri" w:eastAsia="MS Mincho" w:hAnsi="Calibri" w:cs="Times New Roman"/>
      <w:sz w:val="24"/>
      <w:szCs w:val="24"/>
      <w:lang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Grid111"/>
    <w:rsid w:val="000676A1"/>
    <w:pPr>
      <w:spacing w:after="0" w:line="240" w:lineRule="auto"/>
    </w:pPr>
    <w:rPr>
      <w:rFonts w:ascii="Calibri" w:eastAsia="Times New Roman" w:hAnsi="Calibri" w:cs="Times New Roman"/>
      <w:lang w:val="fr-SN" w:eastAsia="fr-SN"/>
      <w14:ligatures w14:val="standardContextual"/>
    </w:rPr>
    <w:tblPr>
      <w:tblCellMar>
        <w:top w:w="0" w:type="dxa"/>
        <w:left w:w="0" w:type="dxa"/>
        <w:bottom w:w="0" w:type="dxa"/>
        <w:right w:w="0" w:type="dxa"/>
      </w:tblCellMar>
    </w:tblPr>
  </w:style>
  <w:style w:type="table" w:customStyle="1" w:styleId="TableauGrille1Clair-Accentuation1121">
    <w:name w:val="Tableau Grille 1 Clair - Accentuation 1121"/>
    <w:basedOn w:val="TableauNormal"/>
    <w:uiPriority w:val="46"/>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eauGrille4-Accentuation1121">
    <w:name w:val="Tableau Grille 4 - Accentuation 1121"/>
    <w:basedOn w:val="TableauNormal"/>
    <w:uiPriority w:val="49"/>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simple1121">
    <w:name w:val="Tableau simple 1121"/>
    <w:basedOn w:val="TableauNormal"/>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Grille4121">
    <w:name w:val="Tableau Grille 4121"/>
    <w:basedOn w:val="TableauNormal"/>
    <w:uiPriority w:val="49"/>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221">
    <w:name w:val="Tableau Grille 221"/>
    <w:basedOn w:val="TableauNormal"/>
    <w:next w:val="TableauGrille2"/>
    <w:rsid w:val="000676A1"/>
    <w:pPr>
      <w:spacing w:after="0" w:line="240" w:lineRule="auto"/>
    </w:pPr>
    <w:rPr>
      <w:rFonts w:ascii="Times New Roman" w:eastAsia="SimSun" w:hAnsi="Times New Roman" w:cs="Times New Roman"/>
      <w:sz w:val="20"/>
      <w:szCs w:val="20"/>
      <w:lang w:eastAsia="fr-FR"/>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1Clair-Accentuation1211">
    <w:name w:val="Tableau Grille 1 Clair - Accentuation 1211"/>
    <w:basedOn w:val="TableauNormal"/>
    <w:uiPriority w:val="46"/>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auGrille4-Accentuation1211">
    <w:name w:val="Tableau Grille 4 - Accentuation 1211"/>
    <w:basedOn w:val="TableauNormal"/>
    <w:uiPriority w:val="49"/>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ausimple1211">
    <w:name w:val="Tableau simple 1211"/>
    <w:basedOn w:val="TableauNormal"/>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Grille4211">
    <w:name w:val="Tableau Grille 4211"/>
    <w:basedOn w:val="TableauNormal"/>
    <w:uiPriority w:val="49"/>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1Clair211">
    <w:name w:val="Tableau Grille 1 Clair211"/>
    <w:basedOn w:val="TableauNormal"/>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llemoyenne1-Accent411">
    <w:name w:val="Grille moyenne 1 - Accent 411"/>
    <w:basedOn w:val="TableauNormal"/>
    <w:next w:val="Grillemoyenne1-Accent4"/>
    <w:uiPriority w:val="29"/>
    <w:rsid w:val="000676A1"/>
    <w:pPr>
      <w:spacing w:after="0" w:line="240" w:lineRule="auto"/>
    </w:pPr>
    <w:rPr>
      <w:rFonts w:ascii="Calibri" w:eastAsia="Times New Roman" w:hAnsi="Calibri" w:cs="Times New Roman"/>
      <w:i/>
      <w:iCs/>
      <w:color w:val="000000"/>
      <w:lang w:val="en-US" w:bidi="en-US"/>
      <w14:ligatures w14:val="standardContextu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lastRow">
      <w:tblPr/>
      <w:tcPr>
        <w:tcBorders>
          <w:top w:val="single" w:sz="18" w:space="0" w:color="9F8AB9"/>
        </w:tcBorders>
      </w:tcPr>
    </w:tblStylePr>
    <w:tblStylePr w:type="band1Vert">
      <w:tblPr/>
      <w:tcPr>
        <w:shd w:val="clear" w:color="auto" w:fill="BFB1D0"/>
      </w:tcPr>
    </w:tblStylePr>
    <w:tblStylePr w:type="band1Horz">
      <w:tblPr/>
      <w:tcPr>
        <w:shd w:val="clear" w:color="auto" w:fill="BFB1D0"/>
      </w:tcPr>
    </w:tblStylePr>
  </w:style>
  <w:style w:type="table" w:customStyle="1" w:styleId="Grillemoyenne2-Accent411">
    <w:name w:val="Grille moyenne 2 - Accent 411"/>
    <w:basedOn w:val="TableauNormal"/>
    <w:next w:val="Grillemoyenne2-Accent4"/>
    <w:uiPriority w:val="30"/>
    <w:rsid w:val="000676A1"/>
    <w:pPr>
      <w:spacing w:after="0" w:line="240" w:lineRule="auto"/>
    </w:pPr>
    <w:rPr>
      <w:rFonts w:ascii="Calibri" w:eastAsia="Times New Roman" w:hAnsi="Calibri" w:cs="Times New Roman"/>
      <w:b/>
      <w:bCs/>
      <w:i/>
      <w:iCs/>
      <w:color w:val="4F81BD"/>
      <w:lang w:val="en-US" w:bidi="en-US"/>
      <w14:ligatures w14:val="standardContextu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tblPr/>
      <w:tcPr>
        <w:shd w:val="clear" w:color="auto" w:fill="F2EFF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Tableausimple421">
    <w:name w:val="Tableau simple 421"/>
    <w:basedOn w:val="TableauNormal"/>
    <w:next w:val="Tableausimple4"/>
    <w:uiPriority w:val="21"/>
    <w:qFormat/>
    <w:rsid w:val="000676A1"/>
    <w:pPr>
      <w:spacing w:after="0" w:line="240" w:lineRule="auto"/>
    </w:pPr>
    <w:rPr>
      <w:rFonts w:ascii="Cambria" w:eastAsia="Cambria" w:hAnsi="Cambria" w:cs="Times New Roman"/>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S Mincho" w:eastAsia="Batang" w:hAnsi="MS Mincho"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S Mincho" w:eastAsia="Batang" w:hAnsi="MS Mincho"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S Mincho" w:eastAsia="Batang" w:hAnsi="MS Mincho" w:cs="Times New Roman"/>
        <w:b/>
        <w:bCs/>
      </w:rPr>
    </w:tblStylePr>
    <w:tblStylePr w:type="lastCol">
      <w:rPr>
        <w:rFonts w:ascii="MS Mincho" w:eastAsia="Batang" w:hAnsi="MS Mincho"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Normal21">
    <w:name w:val="Table Normal21"/>
    <w:uiPriority w:val="2"/>
    <w:semiHidden/>
    <w:unhideWhenUsed/>
    <w:qFormat/>
    <w:rsid w:val="000676A1"/>
    <w:pPr>
      <w:widowControl w:val="0"/>
      <w:autoSpaceDE w:val="0"/>
      <w:autoSpaceDN w:val="0"/>
      <w:spacing w:after="0" w:line="240" w:lineRule="auto"/>
    </w:pPr>
    <w:rPr>
      <w:rFonts w:ascii="Cambria" w:eastAsia="Cambria" w:hAnsi="Cambria" w:cs="Times New Roman"/>
      <w:lang w:val="en-US"/>
      <w14:ligatures w14:val="standardContextual"/>
    </w:rPr>
    <w:tblPr>
      <w:tblInd w:w="0" w:type="dxa"/>
      <w:tblCellMar>
        <w:top w:w="0" w:type="dxa"/>
        <w:left w:w="0" w:type="dxa"/>
        <w:bottom w:w="0" w:type="dxa"/>
        <w:right w:w="0" w:type="dxa"/>
      </w:tblCellMar>
    </w:tblPr>
  </w:style>
  <w:style w:type="table" w:customStyle="1" w:styleId="Tableausimple321">
    <w:name w:val="Tableau simple 321"/>
    <w:basedOn w:val="TableauNormal"/>
    <w:next w:val="Tableausimple3"/>
    <w:uiPriority w:val="61"/>
    <w:qFormat/>
    <w:rsid w:val="000676A1"/>
    <w:pPr>
      <w:spacing w:after="0" w:line="240" w:lineRule="auto"/>
    </w:pPr>
    <w:rPr>
      <w:rFonts w:ascii="Cambria" w:eastAsia="Cambria" w:hAnsi="Cambria" w:cs="Times New Roman"/>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ausimple521">
    <w:name w:val="Tableau simple 521"/>
    <w:basedOn w:val="TableauNormal"/>
    <w:next w:val="Tableausimple5"/>
    <w:uiPriority w:val="63"/>
    <w:qFormat/>
    <w:rsid w:val="000676A1"/>
    <w:pPr>
      <w:spacing w:after="0" w:line="240" w:lineRule="auto"/>
    </w:pPr>
    <w:rPr>
      <w:rFonts w:ascii="Cambria" w:eastAsia="Cambria" w:hAnsi="Cambria" w:cs="Times New Roman"/>
      <w14:ligatures w14:val="standardContextua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Bibliographie111">
    <w:name w:val="Bibliographie111"/>
    <w:basedOn w:val="TableauNormal"/>
    <w:uiPriority w:val="61"/>
    <w:rsid w:val="000676A1"/>
    <w:pPr>
      <w:spacing w:after="0" w:line="240" w:lineRule="auto"/>
    </w:pPr>
    <w:rPr>
      <w:rFonts w:ascii="Cambria" w:eastAsia="Cambria" w:hAnsi="Cambria" w:cs="Times New Roman"/>
      <w:lang w:val="fr-CA"/>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moyenne1-Accent211">
    <w:name w:val="Liste moyenne 1 - Accent 211"/>
    <w:basedOn w:val="TableauNormal"/>
    <w:next w:val="Listemoyenne1-Accent2"/>
    <w:uiPriority w:val="61"/>
    <w:rsid w:val="000676A1"/>
    <w:pPr>
      <w:spacing w:after="0" w:line="240" w:lineRule="auto"/>
    </w:pPr>
    <w:rPr>
      <w:rFonts w:ascii="Cambria" w:eastAsia="Cambria" w:hAnsi="Cambria" w:cs="Times New Roman"/>
      <w:lang w:val="fr-CA"/>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Grille211">
    <w:name w:val="Grille211"/>
    <w:basedOn w:val="TableauNormal"/>
    <w:next w:val="Grilledutableau"/>
    <w:uiPriority w:val="3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311">
    <w:name w:val="Grille311"/>
    <w:basedOn w:val="TableauNormal"/>
    <w:next w:val="Grilledutableau"/>
    <w:uiPriority w:val="3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4-Accentuation611">
    <w:name w:val="Tableau Grille 4 - Accentuation 611"/>
    <w:basedOn w:val="TableauNormal"/>
    <w:next w:val="TableauGrille4-Accentuation6"/>
    <w:uiPriority w:val="49"/>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ramecouleur-Accent321">
    <w:name w:val="Trame couleur - Accent 321"/>
    <w:basedOn w:val="TableauNormal"/>
    <w:next w:val="Tramecouleur-Accent3"/>
    <w:unhideWhenUsed/>
    <w:rsid w:val="000676A1"/>
    <w:pPr>
      <w:spacing w:after="0" w:line="240" w:lineRule="auto"/>
    </w:pPr>
    <w:rPr>
      <w:rFonts w:ascii="Calibri" w:eastAsia="Calibri" w:hAnsi="Calibri" w:cs="Times New Roman"/>
      <w:sz w:val="24"/>
      <w:szCs w:val="24"/>
      <w14:ligatures w14:val="standardContextual"/>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Tramemoyenne1-Accent211">
    <w:name w:val="Trame moyenne 1 - Accent 211"/>
    <w:basedOn w:val="TableauNormal"/>
    <w:next w:val="Tramemoyenne1-Accent2"/>
    <w:uiPriority w:val="1"/>
    <w:unhideWhenUsed/>
    <w:rsid w:val="000676A1"/>
    <w:pPr>
      <w:spacing w:after="0" w:line="240" w:lineRule="auto"/>
    </w:pPr>
    <w:rPr>
      <w:rFonts w:ascii="Times New Roman" w:eastAsia="Times New Roman" w:hAnsi="Times New Roman" w:cs="Times New Roman"/>
      <w:sz w:val="24"/>
      <w:szCs w:val="24"/>
      <w:lang w:val="en-US"/>
      <w14:ligatures w14:val="standardContextual"/>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TableauGrille1Clair-Accentuation141">
    <w:name w:val="Tableau Grille 1 Clair - Accentuation 141"/>
    <w:basedOn w:val="TableauNormal"/>
    <w:next w:val="TableauGrille1Clair-Accentuation1"/>
    <w:uiPriority w:val="46"/>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llemoyenne1-Accent251">
    <w:name w:val="Grille moyenne 1 - Accent 251"/>
    <w:basedOn w:val="TableauNormal"/>
    <w:next w:val="Grillemoyenne1-Accent2"/>
    <w:uiPriority w:val="34"/>
    <w:rsid w:val="000676A1"/>
    <w:pPr>
      <w:spacing w:after="0" w:line="240" w:lineRule="auto"/>
    </w:pPr>
    <w:rPr>
      <w:rFonts w:ascii="Calibri" w:eastAsia="Calibri" w:hAnsi="Calibri" w:cs="Times New Roman"/>
      <w:lang w:val="fr-SN"/>
      <w14:ligatures w14:val="standardContextu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Grillemoyenne2121">
    <w:name w:val="Grille moyenne 2121"/>
    <w:basedOn w:val="TableauNormal"/>
    <w:uiPriority w:val="1"/>
    <w:rsid w:val="000676A1"/>
    <w:pPr>
      <w:spacing w:after="0" w:line="240" w:lineRule="auto"/>
    </w:pPr>
    <w:rPr>
      <w:rFonts w:ascii="Arial (W1)" w:eastAsia="Calibri" w:hAnsi="Arial (W1)" w:cs="Arial"/>
      <w:lang w:val="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stefonce-Accent521">
    <w:name w:val="Liste foncée - Accent 521"/>
    <w:basedOn w:val="TableauNormal"/>
    <w:next w:val="Listefonce-Accent5"/>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stefonce-Accent621">
    <w:name w:val="Liste foncée - Accent 621"/>
    <w:basedOn w:val="TableauNormal"/>
    <w:next w:val="Listefonce-Accent6"/>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lleclaire-Accent1121">
    <w:name w:val="Grille claire - Accent 1121"/>
    <w:basedOn w:val="TableauNormal"/>
    <w:uiPriority w:val="62"/>
    <w:rsid w:val="000676A1"/>
    <w:pPr>
      <w:spacing w:after="0" w:line="240" w:lineRule="auto"/>
    </w:pPr>
    <w:rPr>
      <w:rFonts w:ascii="Calibri" w:eastAsia="Calibri" w:hAnsi="Calibri" w:cs="Times New Roman"/>
      <w:sz w:val="20"/>
      <w:szCs w:val="20"/>
      <w:lang w:val="fr-SN" w:eastAsia="fr-F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Latha" w:eastAsia="Times New Roman" w:hAnsi="Lath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Latha" w:eastAsia="Times New Roman" w:hAnsi="Lath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atha" w:eastAsia="Times New Roman" w:hAnsi="Latha" w:cs="Times New Roman"/>
        <w:b/>
        <w:bCs/>
      </w:rPr>
    </w:tblStylePr>
    <w:tblStylePr w:type="lastCol">
      <w:rPr>
        <w:rFonts w:ascii="Latha" w:eastAsia="Times New Roman" w:hAnsi="Lath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Aucuneliste321">
    <w:name w:val="Aucune liste321"/>
    <w:next w:val="Aucuneliste"/>
    <w:uiPriority w:val="99"/>
    <w:semiHidden/>
    <w:unhideWhenUsed/>
    <w:rsid w:val="000676A1"/>
  </w:style>
  <w:style w:type="numbering" w:customStyle="1" w:styleId="Aucuneliste421">
    <w:name w:val="Aucune liste421"/>
    <w:next w:val="Aucuneliste"/>
    <w:uiPriority w:val="99"/>
    <w:semiHidden/>
    <w:unhideWhenUsed/>
    <w:rsid w:val="000676A1"/>
  </w:style>
  <w:style w:type="numbering" w:customStyle="1" w:styleId="Aucuneliste521">
    <w:name w:val="Aucune liste521"/>
    <w:next w:val="Aucuneliste"/>
    <w:uiPriority w:val="99"/>
    <w:semiHidden/>
    <w:unhideWhenUsed/>
    <w:rsid w:val="000676A1"/>
  </w:style>
  <w:style w:type="numbering" w:customStyle="1" w:styleId="Aucuneliste621">
    <w:name w:val="Aucune liste621"/>
    <w:next w:val="Aucuneliste"/>
    <w:uiPriority w:val="99"/>
    <w:semiHidden/>
    <w:unhideWhenUsed/>
    <w:rsid w:val="000676A1"/>
  </w:style>
  <w:style w:type="numbering" w:customStyle="1" w:styleId="121">
    <w:name w:val="无列表121"/>
    <w:next w:val="Aucuneliste"/>
    <w:uiPriority w:val="99"/>
    <w:semiHidden/>
    <w:unhideWhenUsed/>
    <w:rsid w:val="000676A1"/>
  </w:style>
  <w:style w:type="table" w:customStyle="1" w:styleId="Trameclaire-Accent231">
    <w:name w:val="Trame claire - Accent 231"/>
    <w:basedOn w:val="TableauNormal"/>
    <w:next w:val="Trameclaire-Accent2"/>
    <w:uiPriority w:val="30"/>
    <w:rsid w:val="000676A1"/>
    <w:pPr>
      <w:spacing w:after="0" w:line="240" w:lineRule="auto"/>
    </w:pPr>
    <w:rPr>
      <w:rFonts w:ascii="Calibri" w:eastAsia="Calibri" w:hAnsi="Calibri" w:cs="Times New Roman"/>
      <w:b/>
      <w:bCs/>
      <w:i/>
      <w:iCs/>
      <w:color w:val="4F81BD"/>
      <w:sz w:val="24"/>
      <w:szCs w:val="24"/>
      <w14:ligatures w14:val="standardContextual"/>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Grid2121">
    <w:name w:val="Medium Grid 2121"/>
    <w:basedOn w:val="TableauNormal"/>
    <w:uiPriority w:val="1"/>
    <w:rsid w:val="000676A1"/>
    <w:pPr>
      <w:spacing w:after="0" w:line="240" w:lineRule="auto"/>
    </w:pPr>
    <w:rPr>
      <w:rFonts w:ascii="Arial (W1)" w:eastAsia="Calibri" w:hAnsi="Arial (W1)" w:cs="Arial"/>
      <w:lang w:val="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llecouleur-Accent131">
    <w:name w:val="Grille couleur - Accent 131"/>
    <w:basedOn w:val="TableauNormal"/>
    <w:next w:val="Grillecouleur-Accent1"/>
    <w:uiPriority w:val="29"/>
    <w:rsid w:val="000676A1"/>
    <w:pPr>
      <w:spacing w:after="0" w:line="240" w:lineRule="auto"/>
    </w:pPr>
    <w:rPr>
      <w:rFonts w:ascii="Calibri" w:eastAsia="SimSun" w:hAnsi="Calibri" w:cs="Times New Roman"/>
      <w:i/>
      <w:iCs/>
      <w:color w:val="000000"/>
      <w:kern w:val="2"/>
      <w:sz w:val="24"/>
      <w:szCs w:val="21"/>
      <w:lang w:val="en-US" w:eastAsia="zh-CN"/>
      <w14:ligatures w14:val="standardContextual"/>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numbering" w:customStyle="1" w:styleId="Aucuneliste711">
    <w:name w:val="Aucune liste711"/>
    <w:next w:val="Aucuneliste"/>
    <w:uiPriority w:val="99"/>
    <w:semiHidden/>
    <w:unhideWhenUsed/>
    <w:rsid w:val="000676A1"/>
  </w:style>
  <w:style w:type="table" w:customStyle="1" w:styleId="TableauGrille1Clair-Accentuation1311">
    <w:name w:val="Tableau Grille 1 Clair - Accentuation 1311"/>
    <w:basedOn w:val="TableauNormal"/>
    <w:next w:val="TableauGrille1Clair-Accentuation1"/>
    <w:uiPriority w:val="46"/>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lledutableau1911">
    <w:name w:val="Grille du tableau1911"/>
    <w:basedOn w:val="TableauNormal"/>
    <w:next w:val="Grilledutableau"/>
    <w:uiPriority w:val="3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etableauclaire211">
    <w:name w:val="Grille de tableau claire211"/>
    <w:basedOn w:val="TableauNormal"/>
    <w:next w:val="Grilledetableauclaire"/>
    <w:uiPriority w:val="40"/>
    <w:rsid w:val="000676A1"/>
    <w:pPr>
      <w:spacing w:after="0" w:line="240" w:lineRule="auto"/>
    </w:pPr>
    <w:rPr>
      <w:rFonts w:ascii="Calibri" w:eastAsia="Calibri" w:hAnsi="Calibri" w:cs="Times New Roman"/>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Aucuneliste811">
    <w:name w:val="Aucune liste811"/>
    <w:next w:val="Aucuneliste"/>
    <w:uiPriority w:val="99"/>
    <w:semiHidden/>
    <w:unhideWhenUsed/>
    <w:rsid w:val="000676A1"/>
  </w:style>
  <w:style w:type="table" w:customStyle="1" w:styleId="GT0111">
    <w:name w:val="GT0111"/>
    <w:basedOn w:val="TableauNormal"/>
    <w:next w:val="Grilledutableau"/>
    <w:uiPriority w:val="39"/>
    <w:qFormat/>
    <w:rsid w:val="000676A1"/>
    <w:pPr>
      <w:spacing w:before="120" w:after="120" w:line="240" w:lineRule="auto"/>
      <w:ind w:left="115" w:right="115"/>
    </w:pPr>
    <w:rPr>
      <w:rFonts w:ascii="Arial" w:eastAsia="Arial" w:hAnsi="Arial" w:cs="Arial"/>
      <w:sz w:val="20"/>
      <w:szCs w:val="20"/>
      <w:lang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Grilledutableau11011">
    <w:name w:val="Grille du tableau1101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311">
    <w:name w:val="Grille du tableau231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Aucuneliste"/>
    <w:uiPriority w:val="99"/>
    <w:semiHidden/>
    <w:unhideWhenUsed/>
    <w:rsid w:val="000676A1"/>
  </w:style>
  <w:style w:type="table" w:customStyle="1" w:styleId="Grilledutableau3111">
    <w:name w:val="Grille du tableau311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auNormal"/>
    <w:next w:val="Grilledutableau"/>
    <w:uiPriority w:val="59"/>
    <w:rsid w:val="000676A1"/>
    <w:pPr>
      <w:spacing w:after="0" w:line="240" w:lineRule="auto"/>
    </w:pPr>
    <w:rPr>
      <w:rFonts w:ascii="Calibri" w:eastAsia="MS Mincho"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1">
    <w:name w:val="Grille du tableau7211"/>
    <w:basedOn w:val="TableauNormal"/>
    <w:next w:val="Grilledutableau"/>
    <w:uiPriority w:val="59"/>
    <w:rsid w:val="000676A1"/>
    <w:pPr>
      <w:spacing w:after="0" w:line="240" w:lineRule="auto"/>
    </w:pPr>
    <w:rPr>
      <w:rFonts w:ascii="Cambria" w:eastAsia="Cambria" w:hAnsi="Cambria" w:cs="Times New Roman"/>
      <w:lang w:val="fr-SN"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moyenne1-Accent2411">
    <w:name w:val="Grille moyenne 1 - Accent 2411"/>
    <w:basedOn w:val="TableauNormal"/>
    <w:next w:val="Grillemoyenne1-Accent2"/>
    <w:uiPriority w:val="34"/>
    <w:rsid w:val="000676A1"/>
    <w:pPr>
      <w:spacing w:after="0" w:line="240" w:lineRule="auto"/>
    </w:pPr>
    <w:rPr>
      <w:rFonts w:ascii="Calibri" w:eastAsia="Calibri" w:hAnsi="Calibri" w:cs="Times New Roman"/>
      <w:lang w:val="fr-SN"/>
      <w14:ligatures w14:val="standardContextu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Grillemoyenne21111">
    <w:name w:val="Grille moyenne 21111"/>
    <w:basedOn w:val="TableauNormal"/>
    <w:uiPriority w:val="1"/>
    <w:rsid w:val="000676A1"/>
    <w:pPr>
      <w:spacing w:after="0" w:line="240" w:lineRule="auto"/>
    </w:pPr>
    <w:rPr>
      <w:rFonts w:ascii="Arial (W1)" w:eastAsia="Calibri" w:hAnsi="Arial (W1)" w:cs="Arial"/>
      <w:lang w:val="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steclaire1111">
    <w:name w:val="Liste claire1111"/>
    <w:basedOn w:val="TableauNormal"/>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efonce-Accent5111">
    <w:name w:val="Liste foncée - Accent 5111"/>
    <w:basedOn w:val="TableauNormal"/>
    <w:next w:val="Listefonce-Accent5"/>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Aucuneliste2111">
    <w:name w:val="Aucune liste2111"/>
    <w:next w:val="Aucuneliste"/>
    <w:uiPriority w:val="99"/>
    <w:semiHidden/>
    <w:unhideWhenUsed/>
    <w:rsid w:val="000676A1"/>
  </w:style>
  <w:style w:type="table" w:customStyle="1" w:styleId="Listeclaire-Accent612211">
    <w:name w:val="Liste claire - Accent 612211"/>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1311">
    <w:name w:val="Liste claire - Accent 61311"/>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fonce-Accent6111">
    <w:name w:val="Liste foncée - Accent 6111"/>
    <w:basedOn w:val="TableauNormal"/>
    <w:next w:val="Listefonce-Accent6"/>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lleclaire-Accent11111">
    <w:name w:val="Grille claire - Accent 11111"/>
    <w:basedOn w:val="TableauNormal"/>
    <w:uiPriority w:val="62"/>
    <w:rsid w:val="000676A1"/>
    <w:pPr>
      <w:spacing w:after="0" w:line="240" w:lineRule="auto"/>
    </w:pPr>
    <w:rPr>
      <w:rFonts w:ascii="Calibri" w:eastAsia="Calibri" w:hAnsi="Calibri" w:cs="Times New Roman"/>
      <w:sz w:val="20"/>
      <w:szCs w:val="20"/>
      <w:lang w:val="fr-SN" w:eastAsia="fr-F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Latha" w:eastAsia="Times New Roman" w:hAnsi="Lath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Latha" w:eastAsia="Times New Roman" w:hAnsi="Lath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atha" w:eastAsia="Times New Roman" w:hAnsi="Latha" w:cs="Times New Roman"/>
        <w:b/>
        <w:bCs/>
      </w:rPr>
    </w:tblStylePr>
    <w:tblStylePr w:type="lastCol">
      <w:rPr>
        <w:rFonts w:ascii="Latha" w:eastAsia="Times New Roman" w:hAnsi="Lath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Aucuneliste3111">
    <w:name w:val="Aucune liste3111"/>
    <w:next w:val="Aucuneliste"/>
    <w:uiPriority w:val="99"/>
    <w:semiHidden/>
    <w:unhideWhenUsed/>
    <w:rsid w:val="000676A1"/>
  </w:style>
  <w:style w:type="numbering" w:customStyle="1" w:styleId="Aucuneliste4111">
    <w:name w:val="Aucune liste4111"/>
    <w:next w:val="Aucuneliste"/>
    <w:uiPriority w:val="99"/>
    <w:semiHidden/>
    <w:unhideWhenUsed/>
    <w:rsid w:val="000676A1"/>
  </w:style>
  <w:style w:type="table" w:customStyle="1" w:styleId="Grilledutableau5111">
    <w:name w:val="Grille du tableau5111"/>
    <w:basedOn w:val="TableauNormal"/>
    <w:next w:val="Grilledutableau"/>
    <w:uiPriority w:val="59"/>
    <w:rsid w:val="000676A1"/>
    <w:pPr>
      <w:spacing w:after="0" w:line="240" w:lineRule="auto"/>
    </w:pPr>
    <w:rPr>
      <w:rFonts w:ascii="Calibri" w:eastAsia="Times New Roman" w:hAnsi="Calibri" w:cs="Times New Roman"/>
      <w:sz w:val="20"/>
      <w:szCs w:val="20"/>
      <w:lang w:val="fr-SN" w:eastAsia="fr-F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5111">
    <w:name w:val="Aucune liste5111"/>
    <w:next w:val="Aucuneliste"/>
    <w:uiPriority w:val="99"/>
    <w:semiHidden/>
    <w:unhideWhenUsed/>
    <w:rsid w:val="000676A1"/>
  </w:style>
  <w:style w:type="table" w:customStyle="1" w:styleId="Grilledutableau21111">
    <w:name w:val="Grille du tableau21111"/>
    <w:basedOn w:val="TableauNormal"/>
    <w:next w:val="Grilledutableau"/>
    <w:uiPriority w:val="59"/>
    <w:rsid w:val="000676A1"/>
    <w:pPr>
      <w:spacing w:after="0" w:line="240" w:lineRule="auto"/>
    </w:pPr>
    <w:rPr>
      <w:rFonts w:ascii="Calibri" w:eastAsia="Times New Roman" w:hAnsi="Calibri" w:cs="Times New Roman"/>
      <w:lang w:val="fr-SN" w:eastAsia="fr-F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eclaire-Accent6121111">
    <w:name w:val="Liste claire - Accent 6121111"/>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11111">
    <w:name w:val="Liste claire - Accent 611111"/>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2111">
    <w:name w:val="Liste claire - Accent 62111"/>
    <w:basedOn w:val="TableauNormal"/>
    <w:next w:val="Listefonce-Accent6"/>
    <w:uiPriority w:val="61"/>
    <w:rsid w:val="000676A1"/>
    <w:pPr>
      <w:spacing w:after="0" w:line="240" w:lineRule="auto"/>
      <w:jc w:val="both"/>
    </w:pPr>
    <w:rPr>
      <w:rFonts w:ascii="Arial Narrow" w:eastAsia="Calibri" w:hAnsi="Arial Narrow" w:cs="Times New Roman"/>
      <w:sz w:val="24"/>
      <w:lang w:val="en-GB"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Aucuneliste6111">
    <w:name w:val="Aucune liste6111"/>
    <w:next w:val="Aucuneliste"/>
    <w:uiPriority w:val="99"/>
    <w:semiHidden/>
    <w:unhideWhenUsed/>
    <w:rsid w:val="000676A1"/>
  </w:style>
  <w:style w:type="numbering" w:customStyle="1" w:styleId="1111">
    <w:name w:val="无列表1111"/>
    <w:next w:val="Aucuneliste"/>
    <w:uiPriority w:val="99"/>
    <w:semiHidden/>
    <w:unhideWhenUsed/>
    <w:rsid w:val="000676A1"/>
  </w:style>
  <w:style w:type="table" w:customStyle="1" w:styleId="Trameclaire-Accent2211">
    <w:name w:val="Trame claire - Accent 2211"/>
    <w:basedOn w:val="TableauNormal"/>
    <w:next w:val="Trameclaire-Accent2"/>
    <w:uiPriority w:val="30"/>
    <w:rsid w:val="000676A1"/>
    <w:pPr>
      <w:spacing w:after="0" w:line="240" w:lineRule="auto"/>
    </w:pPr>
    <w:rPr>
      <w:rFonts w:ascii="Calibri" w:eastAsia="Calibri" w:hAnsi="Calibri" w:cs="Times New Roman"/>
      <w:b/>
      <w:bCs/>
      <w:i/>
      <w:iCs/>
      <w:color w:val="4F81BD"/>
      <w:sz w:val="24"/>
      <w:szCs w:val="24"/>
      <w:lang w:val="fr-SN"/>
      <w14:ligatures w14:val="standardContextual"/>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Grid21111">
    <w:name w:val="Medium Grid 21111"/>
    <w:basedOn w:val="TableauNormal"/>
    <w:uiPriority w:val="1"/>
    <w:rsid w:val="000676A1"/>
    <w:pPr>
      <w:spacing w:after="0" w:line="240" w:lineRule="auto"/>
    </w:pPr>
    <w:rPr>
      <w:rFonts w:ascii="Arial (W1)" w:eastAsia="Calibri" w:hAnsi="Arial (W1)" w:cs="Arial"/>
      <w:lang w:val="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llecouleur-Accent1211">
    <w:name w:val="Grille couleur - Accent 1211"/>
    <w:basedOn w:val="TableauNormal"/>
    <w:next w:val="Grillecouleur-Accent1"/>
    <w:uiPriority w:val="29"/>
    <w:rsid w:val="000676A1"/>
    <w:pPr>
      <w:spacing w:after="0" w:line="240" w:lineRule="auto"/>
    </w:pPr>
    <w:rPr>
      <w:rFonts w:ascii="Calibri" w:eastAsia="SimSun" w:hAnsi="Calibri" w:cs="Times New Roman"/>
      <w:i/>
      <w:iCs/>
      <w:color w:val="000000"/>
      <w:kern w:val="2"/>
      <w:sz w:val="24"/>
      <w:szCs w:val="21"/>
      <w:lang w:val="en-US" w:eastAsia="zh-CN"/>
      <w14:ligatures w14:val="standardContextual"/>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TableauGrille6Couleur11">
    <w:name w:val="Tableau Grille 6 Couleur11"/>
    <w:basedOn w:val="TableauNormal"/>
    <w:next w:val="TableauGrille6Couleur"/>
    <w:uiPriority w:val="51"/>
    <w:rsid w:val="000676A1"/>
    <w:pPr>
      <w:spacing w:after="0" w:line="240" w:lineRule="auto"/>
    </w:pPr>
    <w:rPr>
      <w:rFonts w:ascii="Calibri" w:eastAsia="Calibri" w:hAnsi="Calibri" w:cs="Times New Roman"/>
      <w:color w:val="000000"/>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4-Accentuation511">
    <w:name w:val="Tableau Grille 4 - Accentuation 511"/>
    <w:basedOn w:val="TableauNormal"/>
    <w:next w:val="TableauGrille4-Accentuation5"/>
    <w:uiPriority w:val="49"/>
    <w:rsid w:val="000676A1"/>
    <w:pPr>
      <w:spacing w:after="0" w:line="240" w:lineRule="auto"/>
    </w:pPr>
    <w:rPr>
      <w:rFonts w:ascii="Calibri" w:eastAsia="Calibri" w:hAnsi="Calibri" w:cs="Times New Roman"/>
      <w:sz w:val="20"/>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Grille431">
    <w:name w:val="Tableau Grille 431"/>
    <w:basedOn w:val="TableauNormal"/>
    <w:next w:val="TableauGrille4"/>
    <w:uiPriority w:val="49"/>
    <w:rsid w:val="000676A1"/>
    <w:pPr>
      <w:spacing w:after="0" w:line="240" w:lineRule="auto"/>
    </w:pPr>
    <w:rPr>
      <w:rFonts w:ascii="Calibri" w:eastAsia="Calibri" w:hAnsi="Calibri" w:cs="Times New Roman"/>
      <w:sz w:val="20"/>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5Fonc-Accentuation511">
    <w:name w:val="Tableau Grille 5 Foncé - Accentuation 511"/>
    <w:basedOn w:val="TableauNormal"/>
    <w:next w:val="TableauGrille5Fonc-Accentuation5"/>
    <w:uiPriority w:val="50"/>
    <w:rsid w:val="000676A1"/>
    <w:pPr>
      <w:spacing w:after="0" w:line="240" w:lineRule="auto"/>
    </w:pPr>
    <w:rPr>
      <w:rFonts w:ascii="Calibri" w:eastAsia="Calibri" w:hAnsi="Calibri" w:cs="Times New Roman"/>
      <w:sz w:val="20"/>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auGrille5Fonc-Accentuation611">
    <w:name w:val="Tableau Grille 5 Foncé - Accentuation 611"/>
    <w:basedOn w:val="TableauNormal"/>
    <w:next w:val="TableauGrille5Fonc-Accentuation6"/>
    <w:uiPriority w:val="50"/>
    <w:rsid w:val="000676A1"/>
    <w:pPr>
      <w:spacing w:after="0" w:line="240" w:lineRule="auto"/>
    </w:pPr>
    <w:rPr>
      <w:rFonts w:ascii="Calibri" w:eastAsia="Calibri" w:hAnsi="Calibri" w:cs="Times New Roman"/>
      <w:sz w:val="20"/>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eauListe5Fonc-Accentuation611">
    <w:name w:val="Tableau Liste 5 Foncé - Accentuation 611"/>
    <w:basedOn w:val="TableauNormal"/>
    <w:next w:val="TableauListe5Fonc-Accentuation6"/>
    <w:uiPriority w:val="50"/>
    <w:rsid w:val="000676A1"/>
    <w:pPr>
      <w:spacing w:after="0" w:line="240" w:lineRule="auto"/>
    </w:pPr>
    <w:rPr>
      <w:rFonts w:ascii="Calibri" w:eastAsia="Calibri" w:hAnsi="Calibri" w:cs="Times New Roman"/>
      <w:color w:val="FFFFFF"/>
      <w:sz w:val="20"/>
      <w14:ligatures w14:val="standardContextual"/>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4-Accentuation611">
    <w:name w:val="Tableau Liste 4 - Accentuation 611"/>
    <w:basedOn w:val="TableauNormal"/>
    <w:next w:val="TableauListe4-Accentuation6"/>
    <w:uiPriority w:val="49"/>
    <w:rsid w:val="000676A1"/>
    <w:pPr>
      <w:spacing w:after="0" w:line="240" w:lineRule="auto"/>
    </w:pPr>
    <w:rPr>
      <w:rFonts w:ascii="Calibri" w:eastAsia="Calibri" w:hAnsi="Calibri" w:cs="Times New Roman"/>
      <w:sz w:val="20"/>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auListe5Fonc-Accentuation511">
    <w:name w:val="Tableau Liste 5 Foncé - Accentuation 511"/>
    <w:basedOn w:val="TableauNormal"/>
    <w:next w:val="TableauListe5Fonc-Accentuation5"/>
    <w:uiPriority w:val="50"/>
    <w:rsid w:val="000676A1"/>
    <w:pPr>
      <w:spacing w:after="0" w:line="240" w:lineRule="auto"/>
    </w:pPr>
    <w:rPr>
      <w:rFonts w:ascii="Calibri" w:eastAsia="Calibri" w:hAnsi="Calibri" w:cs="Times New Roman"/>
      <w:color w:val="FFFFFF"/>
      <w:sz w:val="20"/>
      <w14:ligatures w14:val="standardContextual"/>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4-Accentuation511">
    <w:name w:val="Tableau Liste 4 - Accentuation 511"/>
    <w:basedOn w:val="TableauNormal"/>
    <w:next w:val="TableauListe4-Accentuation5"/>
    <w:uiPriority w:val="49"/>
    <w:rsid w:val="000676A1"/>
    <w:pPr>
      <w:spacing w:after="0" w:line="240" w:lineRule="auto"/>
    </w:pPr>
    <w:rPr>
      <w:rFonts w:ascii="Calibri" w:eastAsia="Calibri" w:hAnsi="Calibri" w:cs="Times New Roman"/>
      <w:sz w:val="20"/>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Liste1Clair-Accentuation611">
    <w:name w:val="Tableau Liste 1 Clair - Accentuation 611"/>
    <w:basedOn w:val="TableauNormal"/>
    <w:next w:val="TableauListe1Clair-Accentuation6"/>
    <w:uiPriority w:val="46"/>
    <w:rsid w:val="000676A1"/>
    <w:pPr>
      <w:spacing w:after="0" w:line="240" w:lineRule="auto"/>
    </w:pPr>
    <w:rPr>
      <w:rFonts w:ascii="Calibri" w:eastAsia="Calibri" w:hAnsi="Calibri" w:cs="Times New Roman"/>
      <w:sz w:val="20"/>
      <w14:ligatures w14:val="standardContextual"/>
    </w:rPr>
    <w:tblPr>
      <w:tblStyleRowBandSize w:val="1"/>
      <w:tblStyleColBandSize w:val="1"/>
    </w:tblPr>
    <w:tblStylePr w:type="firstRow">
      <w:rPr>
        <w:b/>
        <w:bCs/>
      </w:rPr>
      <w:tblPr/>
      <w:tcPr>
        <w:tcBorders>
          <w:bottom w:val="single" w:sz="4" w:space="0" w:color="70AD47"/>
        </w:tcBorders>
      </w:tcPr>
    </w:tblStylePr>
    <w:tblStylePr w:type="lastRow">
      <w:rPr>
        <w:b/>
        <w:bCs/>
      </w:rPr>
      <w:tblPr/>
      <w:tcPr>
        <w:tcBorders>
          <w:top w:val="sing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auGrille1Clair31">
    <w:name w:val="Tableau Grille 1 Clair31"/>
    <w:basedOn w:val="TableauNormal"/>
    <w:next w:val="TableauGrille1Clair"/>
    <w:uiPriority w:val="46"/>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ausimple131">
    <w:name w:val="Tableau simple 131"/>
    <w:basedOn w:val="TableauNormal"/>
    <w:next w:val="Tableausimple1"/>
    <w:uiPriority w:val="41"/>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lledutableau17111">
    <w:name w:val="Grille du tableau17111"/>
    <w:basedOn w:val="TableauNormal"/>
    <w:next w:val="Grilledutableau"/>
    <w:uiPriority w:val="3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ouleur-Accent161">
    <w:name w:val="Liste couleur - Accent 161"/>
    <w:basedOn w:val="TableauNormal"/>
    <w:next w:val="Listecouleur-Accent1"/>
    <w:uiPriority w:val="34"/>
    <w:rsid w:val="000676A1"/>
    <w:pPr>
      <w:spacing w:after="0" w:line="240" w:lineRule="auto"/>
    </w:pPr>
    <w:rPr>
      <w:rFonts w:ascii="Times New Roman" w:eastAsia="Times New Roman" w:hAnsi="Times New Roman" w:cs="Times New Roman"/>
      <w:sz w:val="24"/>
      <w:szCs w:val="24"/>
      <w14:ligatures w14:val="standardContextual"/>
    </w:rPr>
    <w:tblPr>
      <w:tblStyleRowBandSize w:val="1"/>
      <w:tblStyleColBandSize w:val="1"/>
    </w:tblPr>
    <w:tcPr>
      <w:shd w:val="clear" w:color="auto" w:fill="EDF2F8"/>
    </w:tcPr>
    <w:tblStylePr w:type="firstRow">
      <w:rPr>
        <w:rFonts w:cs="Times New Roman"/>
      </w:rPr>
      <w:tblPr/>
      <w:tcPr>
        <w:tcBorders>
          <w:bottom w:val="single" w:sz="12" w:space="0" w:color="FFFFFF"/>
        </w:tcBorders>
        <w:shd w:val="clear" w:color="auto" w:fill="9E3A38"/>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numbering" w:customStyle="1" w:styleId="Aucuneliste911">
    <w:name w:val="Aucune liste911"/>
    <w:next w:val="Aucuneliste"/>
    <w:uiPriority w:val="99"/>
    <w:semiHidden/>
    <w:unhideWhenUsed/>
    <w:rsid w:val="000676A1"/>
  </w:style>
  <w:style w:type="numbering" w:customStyle="1" w:styleId="Aucuneliste1011">
    <w:name w:val="Aucune liste1011"/>
    <w:next w:val="Aucuneliste"/>
    <w:uiPriority w:val="99"/>
    <w:semiHidden/>
    <w:unhideWhenUsed/>
    <w:rsid w:val="000676A1"/>
  </w:style>
  <w:style w:type="numbering" w:customStyle="1" w:styleId="Aucuneliste17">
    <w:name w:val="Aucune liste17"/>
    <w:next w:val="Aucuneliste"/>
    <w:uiPriority w:val="99"/>
    <w:semiHidden/>
    <w:unhideWhenUsed/>
    <w:rsid w:val="000676A1"/>
  </w:style>
  <w:style w:type="table" w:customStyle="1" w:styleId="TableNormal5">
    <w:name w:val="Table Normal5"/>
    <w:uiPriority w:val="2"/>
    <w:semiHidden/>
    <w:unhideWhenUsed/>
    <w:qFormat/>
    <w:rsid w:val="000676A1"/>
    <w:pPr>
      <w:widowControl w:val="0"/>
      <w:autoSpaceDE w:val="0"/>
      <w:autoSpaceDN w:val="0"/>
      <w:spacing w:after="0" w:line="240" w:lineRule="auto"/>
    </w:pPr>
    <w:rPr>
      <w:rFonts w:ascii="Cambria" w:eastAsia="Cambria" w:hAnsi="Cambria" w:cs="Times New Roman"/>
      <w:lang w:val="en-US"/>
      <w14:ligatures w14:val="standardContextual"/>
    </w:rPr>
    <w:tblPr>
      <w:tblInd w:w="0" w:type="dxa"/>
      <w:tblCellMar>
        <w:top w:w="0" w:type="dxa"/>
        <w:left w:w="0" w:type="dxa"/>
        <w:bottom w:w="0" w:type="dxa"/>
        <w:right w:w="0" w:type="dxa"/>
      </w:tblCellMar>
    </w:tblPr>
  </w:style>
  <w:style w:type="paragraph" w:customStyle="1" w:styleId="resume">
    <w:name w:val="resume"/>
    <w:basedOn w:val="Normal"/>
    <w:rsid w:val="000676A1"/>
    <w:pPr>
      <w:spacing w:before="100" w:beforeAutospacing="1" w:after="100" w:afterAutospacing="1" w:line="240" w:lineRule="auto"/>
    </w:pPr>
    <w:rPr>
      <w:rFonts w:ascii="Times New Roman" w:eastAsia="Times New Roman" w:hAnsi="Times New Roman"/>
      <w:sz w:val="24"/>
      <w:szCs w:val="24"/>
      <w:lang w:val="fr-SN" w:eastAsia="fr-SN"/>
      <w14:ligatures w14:val="standardContextual"/>
    </w:rPr>
  </w:style>
  <w:style w:type="paragraph" w:customStyle="1" w:styleId="Normal6">
    <w:name w:val="Normal++6"/>
    <w:basedOn w:val="Default"/>
    <w:next w:val="Default"/>
    <w:uiPriority w:val="99"/>
    <w:rsid w:val="000676A1"/>
    <w:rPr>
      <w:rFonts w:ascii="Times New Roman" w:eastAsiaTheme="minorHAnsi" w:hAnsi="Times New Roman" w:cs="Times New Roman"/>
      <w:color w:val="auto"/>
      <w:lang w:val="fr-SN"/>
      <w14:ligatures w14:val="standardContextual"/>
    </w:rPr>
  </w:style>
  <w:style w:type="paragraph" w:customStyle="1" w:styleId="Source">
    <w:name w:val="Source"/>
    <w:basedOn w:val="Normal"/>
    <w:next w:val="Normal"/>
    <w:uiPriority w:val="99"/>
    <w:qFormat/>
    <w:rsid w:val="000676A1"/>
    <w:pPr>
      <w:spacing w:before="120" w:after="0" w:line="240" w:lineRule="auto"/>
      <w:jc w:val="center"/>
    </w:pPr>
    <w:rPr>
      <w:rFonts w:ascii="Arial Narrow" w:eastAsia="Times New Roman" w:hAnsi="Arial Narrow"/>
      <w:sz w:val="16"/>
      <w:szCs w:val="24"/>
      <w:lang w:eastAsia="fr-FR"/>
      <w14:ligatures w14:val="standardContextual"/>
    </w:rPr>
  </w:style>
  <w:style w:type="character" w:customStyle="1" w:styleId="TabelleCarattere">
    <w:name w:val="Tabelle Carattere"/>
    <w:link w:val="Tabelle"/>
    <w:locked/>
    <w:rsid w:val="000676A1"/>
    <w:rPr>
      <w:b/>
      <w:lang w:val="x-none" w:eastAsia="ar-SA"/>
    </w:rPr>
  </w:style>
  <w:style w:type="paragraph" w:customStyle="1" w:styleId="Tabelle">
    <w:name w:val="Tabelle"/>
    <w:basedOn w:val="Normal"/>
    <w:link w:val="TabelleCarattere"/>
    <w:qFormat/>
    <w:rsid w:val="000676A1"/>
    <w:pPr>
      <w:widowControl w:val="0"/>
      <w:suppressAutoHyphens/>
      <w:spacing w:before="120" w:after="0" w:line="240" w:lineRule="auto"/>
      <w:jc w:val="center"/>
    </w:pPr>
    <w:rPr>
      <w:rFonts w:asciiTheme="minorHAnsi" w:eastAsiaTheme="minorHAnsi" w:hAnsiTheme="minorHAnsi" w:cstheme="minorBidi"/>
      <w:b/>
      <w:lang w:val="x-none" w:eastAsia="ar-SA"/>
    </w:rPr>
  </w:style>
  <w:style w:type="paragraph" w:customStyle="1" w:styleId="elencoalfabetico">
    <w:name w:val="elenco alfabetico"/>
    <w:basedOn w:val="Normal"/>
    <w:next w:val="Normal"/>
    <w:uiPriority w:val="99"/>
    <w:semiHidden/>
    <w:rsid w:val="000676A1"/>
    <w:pPr>
      <w:widowControl w:val="0"/>
      <w:numPr>
        <w:ilvl w:val="1"/>
        <w:numId w:val="250"/>
      </w:numPr>
      <w:tabs>
        <w:tab w:val="left" w:pos="1276"/>
      </w:tabs>
      <w:suppressAutoHyphens/>
      <w:spacing w:before="240" w:after="240" w:line="240" w:lineRule="auto"/>
      <w:jc w:val="both"/>
    </w:pPr>
    <w:rPr>
      <w:rFonts w:ascii="Tahoma" w:eastAsia="Times New Roman" w:hAnsi="Tahoma"/>
      <w:sz w:val="20"/>
      <w:szCs w:val="20"/>
      <w:lang w:eastAsia="ar-SA"/>
      <w14:ligatures w14:val="standardContextual"/>
    </w:rPr>
  </w:style>
  <w:style w:type="paragraph" w:customStyle="1" w:styleId="En-tteProjet">
    <w:name w:val="En-tête Projet"/>
    <w:basedOn w:val="En-tte"/>
    <w:uiPriority w:val="99"/>
    <w:rsid w:val="000676A1"/>
    <w:pPr>
      <w:tabs>
        <w:tab w:val="clear" w:pos="4536"/>
        <w:tab w:val="clear" w:pos="9072"/>
        <w:tab w:val="center" w:pos="4703"/>
        <w:tab w:val="right" w:pos="9406"/>
      </w:tabs>
      <w:spacing w:after="0" w:line="240" w:lineRule="auto"/>
    </w:pPr>
    <w:rPr>
      <w:rFonts w:asciiTheme="minorHAnsi" w:eastAsia="SimSun" w:hAnsiTheme="minorHAnsi" w:cstheme="minorBidi"/>
      <w:sz w:val="24"/>
      <w:szCs w:val="24"/>
      <w14:ligatures w14:val="standardContextual"/>
    </w:rPr>
  </w:style>
  <w:style w:type="paragraph" w:customStyle="1" w:styleId="NUMRATION">
    <w:name w:val="ÉNUMÉRATION"/>
    <w:basedOn w:val="Normal"/>
    <w:uiPriority w:val="99"/>
    <w:rsid w:val="000676A1"/>
    <w:pPr>
      <w:spacing w:after="0" w:line="240" w:lineRule="auto"/>
      <w:ind w:left="1702" w:hanging="284"/>
    </w:pPr>
    <w:rPr>
      <w:rFonts w:ascii="Times New Roman" w:eastAsia="Times New Roman" w:hAnsi="Times New Roman"/>
      <w:sz w:val="24"/>
      <w:szCs w:val="20"/>
      <w:lang w:val="fr-CA" w:eastAsia="fr-FR"/>
      <w14:ligatures w14:val="standardContextual"/>
    </w:rPr>
  </w:style>
  <w:style w:type="paragraph" w:customStyle="1" w:styleId="Ad0">
    <w:name w:val="Ad"/>
    <w:basedOn w:val="Normal"/>
    <w:uiPriority w:val="99"/>
    <w:rsid w:val="000676A1"/>
    <w:pPr>
      <w:spacing w:after="0" w:line="240" w:lineRule="auto"/>
    </w:pPr>
    <w:rPr>
      <w:rFonts w:ascii="Arial" w:eastAsia="Times New Roman" w:hAnsi="Arial" w:cs="Arial"/>
      <w:b/>
      <w:lang w:eastAsia="fr-FR"/>
      <w14:ligatures w14:val="standardContextual"/>
    </w:rPr>
  </w:style>
  <w:style w:type="character" w:customStyle="1" w:styleId="TextMamellesChar">
    <w:name w:val="Text Mamelles Char"/>
    <w:link w:val="TextMamelles"/>
    <w:locked/>
    <w:rsid w:val="000676A1"/>
    <w:rPr>
      <w:rFonts w:cs="Calibri"/>
      <w:lang w:val="en-US" w:eastAsia="ja-JP"/>
    </w:rPr>
  </w:style>
  <w:style w:type="paragraph" w:customStyle="1" w:styleId="TextMamelles">
    <w:name w:val="Text Mamelles"/>
    <w:basedOn w:val="Normal"/>
    <w:link w:val="TextMamellesChar"/>
    <w:qFormat/>
    <w:rsid w:val="000676A1"/>
    <w:pPr>
      <w:spacing w:line="240" w:lineRule="auto"/>
      <w:jc w:val="both"/>
    </w:pPr>
    <w:rPr>
      <w:rFonts w:asciiTheme="minorHAnsi" w:eastAsiaTheme="minorHAnsi" w:hAnsiTheme="minorHAnsi" w:cs="Calibri"/>
      <w:lang w:val="en-US" w:eastAsia="ja-JP"/>
    </w:rPr>
  </w:style>
  <w:style w:type="paragraph" w:customStyle="1" w:styleId="BulletsMamelles">
    <w:name w:val="Bullets Mamelles"/>
    <w:basedOn w:val="TextMamelles"/>
    <w:uiPriority w:val="99"/>
    <w:qFormat/>
    <w:rsid w:val="000676A1"/>
    <w:pPr>
      <w:numPr>
        <w:numId w:val="251"/>
      </w:numPr>
      <w:ind w:left="360" w:hanging="360"/>
    </w:pPr>
    <w:rPr>
      <w:lang w:val="fr-FR"/>
    </w:rPr>
  </w:style>
  <w:style w:type="character" w:customStyle="1" w:styleId="RapEISCar">
    <w:name w:val="RapEIS Car"/>
    <w:link w:val="RapEIS"/>
    <w:uiPriority w:val="99"/>
    <w:locked/>
    <w:rsid w:val="000676A1"/>
    <w:rPr>
      <w:rFonts w:ascii="Times New Roman" w:eastAsia="Times New Roman" w:hAnsi="Times New Roman" w:cs="Times New Roman"/>
      <w:bCs/>
      <w:noProof/>
      <w:sz w:val="20"/>
      <w:szCs w:val="20"/>
    </w:rPr>
  </w:style>
  <w:style w:type="paragraph" w:customStyle="1" w:styleId="Textepieddepagegauche">
    <w:name w:val="Texte pied de page gauche"/>
    <w:uiPriority w:val="99"/>
    <w:rsid w:val="000676A1"/>
    <w:pPr>
      <w:tabs>
        <w:tab w:val="right" w:pos="8222"/>
      </w:tabs>
      <w:spacing w:after="0" w:line="240" w:lineRule="auto"/>
    </w:pPr>
    <w:rPr>
      <w:rFonts w:ascii="Arial Narrow" w:eastAsia="Times New Roman" w:hAnsi="Arial Narrow" w:cs="Arial"/>
      <w:color w:val="808080"/>
      <w:sz w:val="18"/>
      <w:szCs w:val="20"/>
      <w:lang w:eastAsia="fr-FR"/>
      <w14:ligatures w14:val="standardContextual"/>
    </w:rPr>
  </w:style>
  <w:style w:type="character" w:customStyle="1" w:styleId="ESSparaChar">
    <w:name w:val="ESS para Char"/>
    <w:link w:val="ESSpara"/>
    <w:uiPriority w:val="99"/>
    <w:locked/>
    <w:rsid w:val="000676A1"/>
    <w:rPr>
      <w:rFonts w:ascii="Times New Roman" w:hAnsi="Times New Roman"/>
      <w:lang w:val="en-US"/>
    </w:rPr>
  </w:style>
  <w:style w:type="paragraph" w:customStyle="1" w:styleId="ESSpara">
    <w:name w:val="ESS para"/>
    <w:basedOn w:val="Normal"/>
    <w:link w:val="ESSparaChar"/>
    <w:uiPriority w:val="99"/>
    <w:rsid w:val="000676A1"/>
    <w:pPr>
      <w:numPr>
        <w:numId w:val="252"/>
      </w:numPr>
      <w:spacing w:after="240" w:line="240" w:lineRule="auto"/>
      <w:ind w:hanging="360"/>
      <w:jc w:val="both"/>
    </w:pPr>
    <w:rPr>
      <w:rFonts w:ascii="Times New Roman" w:eastAsiaTheme="minorHAnsi" w:hAnsi="Times New Roman" w:cstheme="minorBidi"/>
      <w:lang w:val="en-US"/>
    </w:rPr>
  </w:style>
  <w:style w:type="character" w:customStyle="1" w:styleId="Puce1Car">
    <w:name w:val="Puce 1 Car"/>
    <w:link w:val="Puce1"/>
    <w:uiPriority w:val="99"/>
    <w:qFormat/>
    <w:locked/>
    <w:rsid w:val="000676A1"/>
    <w:rPr>
      <w:rFonts w:ascii="Arial" w:eastAsia="Times New Roman" w:hAnsi="Arial" w:cs="Times New Roman"/>
      <w:sz w:val="20"/>
      <w:szCs w:val="20"/>
      <w:lang w:eastAsia="fr-FR"/>
    </w:rPr>
  </w:style>
  <w:style w:type="paragraph" w:customStyle="1" w:styleId="LOGOBOURGOIS">
    <w:name w:val="LOGO BOURGOIS"/>
    <w:uiPriority w:val="99"/>
    <w:rsid w:val="000676A1"/>
    <w:pPr>
      <w:spacing w:after="0" w:line="240" w:lineRule="auto"/>
    </w:pPr>
    <w:rPr>
      <w:rFonts w:ascii="Times New Roman" w:eastAsia="Times New Roman" w:hAnsi="Times New Roman" w:cs="Times New Roman"/>
      <w:sz w:val="20"/>
      <w:szCs w:val="20"/>
      <w:lang w:eastAsia="fr-FR"/>
      <w14:ligatures w14:val="standardContextual"/>
    </w:rPr>
  </w:style>
  <w:style w:type="paragraph" w:customStyle="1" w:styleId="mdptextep">
    <w:name w:val="mdp_texte_p"/>
    <w:basedOn w:val="Normal"/>
    <w:uiPriority w:val="99"/>
    <w:rsid w:val="000676A1"/>
    <w:pPr>
      <w:spacing w:before="100" w:beforeAutospacing="1" w:after="100" w:afterAutospacing="1" w:line="240" w:lineRule="auto"/>
    </w:pPr>
    <w:rPr>
      <w:rFonts w:ascii="Times New Roman" w:eastAsia="Times New Roman" w:hAnsi="Times New Roman"/>
      <w:sz w:val="24"/>
      <w:szCs w:val="24"/>
      <w:lang w:eastAsia="fr-FR"/>
      <w14:ligatures w14:val="standardContextual"/>
    </w:rPr>
  </w:style>
  <w:style w:type="paragraph" w:customStyle="1" w:styleId="INTRODUCTION0">
    <w:name w:val="INTRODUCTION"/>
    <w:basedOn w:val="Normal"/>
    <w:uiPriority w:val="99"/>
    <w:rsid w:val="000676A1"/>
    <w:pPr>
      <w:spacing w:after="0" w:line="240" w:lineRule="auto"/>
      <w:ind w:left="709"/>
    </w:pPr>
    <w:rPr>
      <w:rFonts w:ascii="Times New Roman" w:eastAsia="Times New Roman" w:hAnsi="Times New Roman"/>
      <w:sz w:val="24"/>
      <w:szCs w:val="20"/>
      <w:lang w:val="fr-CA" w:eastAsia="fr-FR"/>
      <w14:ligatures w14:val="standardContextual"/>
    </w:rPr>
  </w:style>
  <w:style w:type="numbering" w:customStyle="1" w:styleId="Style233">
    <w:name w:val="Style233"/>
    <w:uiPriority w:val="99"/>
    <w:rsid w:val="000676A1"/>
    <w:pPr>
      <w:numPr>
        <w:numId w:val="253"/>
      </w:numPr>
    </w:pPr>
  </w:style>
  <w:style w:type="numbering" w:customStyle="1" w:styleId="Style2331">
    <w:name w:val="Style2331"/>
    <w:uiPriority w:val="99"/>
    <w:rsid w:val="000676A1"/>
    <w:pPr>
      <w:numPr>
        <w:numId w:val="249"/>
      </w:numPr>
    </w:pPr>
  </w:style>
  <w:style w:type="numbering" w:customStyle="1" w:styleId="Vert143">
    <w:name w:val="Vert143"/>
    <w:uiPriority w:val="99"/>
    <w:rsid w:val="000676A1"/>
  </w:style>
  <w:style w:type="paragraph" w:customStyle="1" w:styleId="optxtp">
    <w:name w:val="op_txt_p"/>
    <w:basedOn w:val="Normal"/>
    <w:rsid w:val="000676A1"/>
    <w:pPr>
      <w:spacing w:before="100" w:beforeAutospacing="1" w:after="100" w:afterAutospacing="1" w:line="240" w:lineRule="auto"/>
    </w:pPr>
    <w:rPr>
      <w:rFonts w:ascii="Times New Roman" w:eastAsia="Times New Roman" w:hAnsi="Times New Roman"/>
      <w:sz w:val="24"/>
      <w:szCs w:val="24"/>
      <w:lang w:eastAsia="fr-FR"/>
      <w14:ligatures w14:val="standardContextual"/>
    </w:rPr>
  </w:style>
  <w:style w:type="character" w:customStyle="1" w:styleId="binominal">
    <w:name w:val="binominal"/>
    <w:rsid w:val="000676A1"/>
  </w:style>
  <w:style w:type="character" w:customStyle="1" w:styleId="fontlarge">
    <w:name w:val="font_large"/>
    <w:rsid w:val="000676A1"/>
  </w:style>
  <w:style w:type="paragraph" w:customStyle="1" w:styleId="story-body-text">
    <w:name w:val="story-body-text"/>
    <w:basedOn w:val="Normal"/>
    <w:rsid w:val="000676A1"/>
    <w:pPr>
      <w:spacing w:before="100" w:beforeAutospacing="1" w:after="100" w:afterAutospacing="1" w:line="240" w:lineRule="auto"/>
    </w:pPr>
    <w:rPr>
      <w:rFonts w:ascii="Times New Roman" w:eastAsia="Times New Roman" w:hAnsi="Times New Roman"/>
      <w:sz w:val="24"/>
      <w:szCs w:val="24"/>
      <w:lang w:eastAsia="fr-FR"/>
      <w14:ligatures w14:val="standardContextual"/>
    </w:rPr>
  </w:style>
  <w:style w:type="paragraph" w:customStyle="1" w:styleId="Paragraph">
    <w:name w:val="Paragraph"/>
    <w:basedOn w:val="Normal"/>
    <w:rsid w:val="000676A1"/>
    <w:pPr>
      <w:spacing w:before="200" w:after="0" w:line="240" w:lineRule="auto"/>
      <w:jc w:val="both"/>
    </w:pPr>
    <w:rPr>
      <w:rFonts w:ascii="Times New Roman" w:eastAsia="Times New Roman" w:hAnsi="Times New Roman"/>
      <w:sz w:val="24"/>
      <w:szCs w:val="24"/>
      <w:lang w:eastAsia="fr-FR"/>
      <w14:ligatures w14:val="standardContextual"/>
    </w:rPr>
  </w:style>
  <w:style w:type="paragraph" w:customStyle="1" w:styleId="17">
    <w:name w:val="Абзац списка1"/>
    <w:basedOn w:val="Normal"/>
    <w:rsid w:val="000676A1"/>
    <w:pPr>
      <w:widowControl w:val="0"/>
      <w:suppressAutoHyphens/>
      <w:spacing w:after="0" w:line="240" w:lineRule="auto"/>
      <w:ind w:left="720"/>
    </w:pPr>
    <w:rPr>
      <w:rFonts w:ascii="Times New Roman" w:eastAsia="Arial Unicode MS" w:hAnsi="Times New Roman" w:cs="Arial Unicode MS"/>
      <w:kern w:val="1"/>
      <w:sz w:val="24"/>
      <w:szCs w:val="24"/>
      <w:lang w:val="ru-RU" w:eastAsia="hi-IN" w:bidi="hi-IN"/>
      <w14:ligatures w14:val="standardContextual"/>
    </w:rPr>
  </w:style>
  <w:style w:type="character" w:customStyle="1" w:styleId="gras">
    <w:name w:val="gras"/>
    <w:rsid w:val="000676A1"/>
  </w:style>
  <w:style w:type="paragraph" w:customStyle="1" w:styleId="titre1centrnonnumrot">
    <w:name w:val="titre1 centré non numéroté"/>
    <w:basedOn w:val="Titre1"/>
    <w:rsid w:val="000676A1"/>
    <w:pPr>
      <w:keepLines w:val="0"/>
      <w:numPr>
        <w:numId w:val="0"/>
      </w:numPr>
      <w:pBdr>
        <w:bottom w:val="single" w:sz="12" w:space="1" w:color="008080"/>
      </w:pBdr>
      <w:spacing w:after="60"/>
      <w:ind w:right="0"/>
      <w:jc w:val="center"/>
    </w:pPr>
    <w:rPr>
      <w:rFonts w:ascii="Arial" w:hAnsi="Arial" w:cs="Arial"/>
      <w:caps w:val="0"/>
      <w:color w:val="008080"/>
      <w:sz w:val="28"/>
      <w:szCs w:val="32"/>
      <w14:ligatures w14:val="standardContextual"/>
    </w:rPr>
  </w:style>
  <w:style w:type="character" w:customStyle="1" w:styleId="Tramemoyenne1-Accent3Car">
    <w:name w:val="Trame moyenne 1 - Accent 3 Car"/>
    <w:link w:val="Tramemoyenne1-Accent3"/>
    <w:uiPriority w:val="29"/>
    <w:semiHidden/>
    <w:rsid w:val="000676A1"/>
    <w:rPr>
      <w:rFonts w:eastAsia="Times New Roman"/>
      <w:i/>
      <w:sz w:val="24"/>
      <w:szCs w:val="24"/>
      <w:lang w:val="fr-FR"/>
    </w:rPr>
  </w:style>
  <w:style w:type="paragraph" w:customStyle="1" w:styleId="Formal2">
    <w:name w:val="Formal2"/>
    <w:basedOn w:val="Formal1"/>
    <w:rsid w:val="000676A1"/>
    <w:rPr>
      <w:rFonts w:ascii="Arial" w:hAnsi="Arial"/>
      <w:b/>
    </w:rPr>
  </w:style>
  <w:style w:type="paragraph" w:customStyle="1" w:styleId="Formal1">
    <w:name w:val="Formal1"/>
    <w:basedOn w:val="Normal"/>
    <w:rsid w:val="000676A1"/>
    <w:pPr>
      <w:spacing w:before="60" w:after="60" w:line="240" w:lineRule="auto"/>
    </w:pPr>
    <w:rPr>
      <w:rFonts w:ascii="Times New Roman" w:eastAsia="Times New Roman" w:hAnsi="Times New Roman"/>
      <w:sz w:val="24"/>
      <w:szCs w:val="20"/>
      <w14:ligatures w14:val="standardContextual"/>
    </w:rPr>
  </w:style>
  <w:style w:type="paragraph" w:customStyle="1" w:styleId="yiv0920418263msonormal">
    <w:name w:val="yiv0920418263msonormal"/>
    <w:basedOn w:val="Normal"/>
    <w:rsid w:val="000676A1"/>
    <w:pPr>
      <w:spacing w:before="100" w:beforeAutospacing="1" w:after="100" w:afterAutospacing="1" w:line="240" w:lineRule="auto"/>
    </w:pPr>
    <w:rPr>
      <w:rFonts w:ascii="Times New Roman" w:eastAsia="Times New Roman" w:hAnsi="Times New Roman"/>
      <w:sz w:val="24"/>
      <w:szCs w:val="24"/>
      <w:lang w:eastAsia="fr-FR"/>
      <w14:ligatures w14:val="standardContextual"/>
    </w:rPr>
  </w:style>
  <w:style w:type="paragraph" w:customStyle="1" w:styleId="yiv0920418263msolistparagraph">
    <w:name w:val="yiv0920418263msolistparagraph"/>
    <w:basedOn w:val="Normal"/>
    <w:rsid w:val="000676A1"/>
    <w:pPr>
      <w:spacing w:before="100" w:beforeAutospacing="1" w:after="100" w:afterAutospacing="1" w:line="240" w:lineRule="auto"/>
    </w:pPr>
    <w:rPr>
      <w:rFonts w:ascii="Times New Roman" w:eastAsia="Times New Roman" w:hAnsi="Times New Roman"/>
      <w:sz w:val="24"/>
      <w:szCs w:val="24"/>
      <w:lang w:eastAsia="fr-FR"/>
      <w14:ligatures w14:val="standardContextual"/>
    </w:rPr>
  </w:style>
  <w:style w:type="paragraph" w:customStyle="1" w:styleId="titre32">
    <w:name w:val="titre 3"/>
    <w:basedOn w:val="Titre2"/>
    <w:link w:val="titre3Car1"/>
    <w:rsid w:val="000676A1"/>
    <w:pPr>
      <w:keepNext w:val="0"/>
      <w:numPr>
        <w:ilvl w:val="1"/>
      </w:numPr>
      <w:pBdr>
        <w:bottom w:val="none" w:sz="0" w:space="0" w:color="auto"/>
      </w:pBdr>
      <w:tabs>
        <w:tab w:val="left" w:pos="1701"/>
      </w:tabs>
      <w:spacing w:before="120" w:after="120"/>
      <w:ind w:left="3371" w:hanging="180"/>
      <w:jc w:val="both"/>
    </w:pPr>
    <w:rPr>
      <w:rFonts w:ascii="Calibri" w:hAnsi="Calibri" w:cs="Calibri"/>
      <w:b w:val="0"/>
      <w:color w:val="AF143D"/>
      <w:sz w:val="28"/>
      <w:szCs w:val="28"/>
      <w14:ligatures w14:val="standardContextual"/>
    </w:rPr>
  </w:style>
  <w:style w:type="character" w:customStyle="1" w:styleId="titre3Car1">
    <w:name w:val="titre 3 Car"/>
    <w:link w:val="titre32"/>
    <w:rsid w:val="000676A1"/>
    <w:rPr>
      <w:rFonts w:ascii="Calibri" w:eastAsia="Times New Roman" w:hAnsi="Calibri" w:cs="Calibri"/>
      <w:bCs/>
      <w:color w:val="AF143D"/>
      <w:sz w:val="28"/>
      <w:szCs w:val="28"/>
      <w:lang w:eastAsia="fr-FR"/>
      <w14:ligatures w14:val="standardContextual"/>
    </w:rPr>
  </w:style>
  <w:style w:type="character" w:customStyle="1" w:styleId="BodytextChar0">
    <w:name w:val="Body text Char"/>
    <w:link w:val="BodyText1"/>
    <w:rsid w:val="000676A1"/>
    <w:rPr>
      <w:rFonts w:ascii="New York" w:eastAsia="Times New Roman" w:hAnsi="New York" w:cs="Times New Roman"/>
      <w:b/>
      <w:sz w:val="24"/>
      <w:szCs w:val="20"/>
      <w:lang w:eastAsia="fr-FR"/>
    </w:rPr>
  </w:style>
  <w:style w:type="paragraph" w:customStyle="1" w:styleId="default0">
    <w:name w:val="default"/>
    <w:basedOn w:val="Normal"/>
    <w:uiPriority w:val="99"/>
    <w:rsid w:val="000676A1"/>
    <w:pPr>
      <w:spacing w:before="100" w:beforeAutospacing="1" w:after="100" w:afterAutospacing="1" w:line="240" w:lineRule="auto"/>
    </w:pPr>
    <w:rPr>
      <w:rFonts w:ascii="Times New Roman" w:eastAsia="Times New Roman" w:hAnsi="Times New Roman"/>
      <w:sz w:val="24"/>
      <w:szCs w:val="24"/>
      <w:lang w:eastAsia="fr-FR"/>
      <w14:ligatures w14:val="standardContextual"/>
    </w:rPr>
  </w:style>
  <w:style w:type="table" w:styleId="Grillemoyenne3-Accent5">
    <w:name w:val="Medium Grid 3 Accent 5"/>
    <w:basedOn w:val="TableauNormal"/>
    <w:uiPriority w:val="61"/>
    <w:unhideWhenUsed/>
    <w:rsid w:val="000676A1"/>
    <w:pPr>
      <w:spacing w:after="0" w:line="240" w:lineRule="auto"/>
    </w:pPr>
    <w:rPr>
      <w:rFonts w:ascii="Calibri" w:eastAsia="Calibri" w:hAnsi="Calibri" w:cs="Times New Roman"/>
      <w:sz w:val="20"/>
      <w:szCs w:val="20"/>
      <w:lang w:eastAsia="fr-FR"/>
      <w14:ligatures w14:val="standardContextual"/>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Trameclaire-Accent5">
    <w:name w:val="Light Shading Accent 5"/>
    <w:basedOn w:val="TableauNormal"/>
    <w:uiPriority w:val="61"/>
    <w:unhideWhenUsed/>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customStyle="1" w:styleId="StyleTitrecarreauNonGras">
    <w:name w:val="Style Titre carreau + Non Gras"/>
    <w:basedOn w:val="Normal"/>
    <w:autoRedefine/>
    <w:rsid w:val="000676A1"/>
    <w:pPr>
      <w:tabs>
        <w:tab w:val="num" w:pos="360"/>
      </w:tabs>
      <w:spacing w:after="120" w:line="240" w:lineRule="auto"/>
      <w:ind w:left="360" w:hanging="360"/>
      <w:jc w:val="both"/>
    </w:pPr>
    <w:rPr>
      <w:rFonts w:ascii="Arial" w:eastAsia="Times New Roman" w:hAnsi="Arial"/>
      <w:b/>
      <w:bCs/>
      <w:sz w:val="21"/>
      <w:szCs w:val="21"/>
      <w:lang w:val="en-US" w:bidi="en-US"/>
      <w14:ligatures w14:val="standardContextual"/>
    </w:rPr>
  </w:style>
  <w:style w:type="table" w:styleId="Grilleclaire-Accent3">
    <w:name w:val="Light Grid Accent 3"/>
    <w:basedOn w:val="TableauNormal"/>
    <w:uiPriority w:val="34"/>
    <w:semiHidden/>
    <w:unhideWhenUsed/>
    <w:rsid w:val="000676A1"/>
    <w:pPr>
      <w:spacing w:after="0" w:line="240" w:lineRule="auto"/>
    </w:pPr>
    <w:rPr>
      <w:rFonts w:eastAsia="SimSun"/>
      <w:sz w:val="24"/>
      <w:szCs w:val="24"/>
      <w:lang w:val="fr-SN"/>
      <w14:ligatures w14:val="standardContextual"/>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llemoyenne2-Accent1">
    <w:name w:val="Medium Grid 2 Accent 1"/>
    <w:basedOn w:val="TableauNormal"/>
    <w:uiPriority w:val="1"/>
    <w:semiHidden/>
    <w:unhideWhenUsed/>
    <w:rsid w:val="000676A1"/>
    <w:pPr>
      <w:spacing w:after="0" w:line="240" w:lineRule="auto"/>
    </w:pPr>
    <w:rPr>
      <w:rFonts w:eastAsia="SimSun"/>
      <w:sz w:val="24"/>
      <w:szCs w:val="24"/>
      <w:lang w:val="fr-SN"/>
      <w14:ligatures w14:val="standardContextua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tblPr/>
      <w:tcPr>
        <w:shd w:val="clear" w:color="auto" w:fill="EEF5FB" w:themeFill="accen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Tramemoyenne2-Accent3">
    <w:name w:val="Medium Shading 2 Accent 3"/>
    <w:basedOn w:val="TableauNormal"/>
    <w:uiPriority w:val="30"/>
    <w:semiHidden/>
    <w:unhideWhenUsed/>
    <w:rsid w:val="000676A1"/>
    <w:pPr>
      <w:spacing w:after="0" w:line="240" w:lineRule="auto"/>
    </w:pPr>
    <w:rPr>
      <w:b/>
      <w:bCs/>
      <w:i/>
      <w:iCs/>
      <w:color w:val="4F81BD"/>
      <w:kern w:val="2"/>
      <w:lang w:val="x-none" w:eastAsia="x-non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A5A5A5" w:themeFill="accent3"/>
      </w:tcPr>
    </w:tblStylePr>
    <w:tblStylePr w:type="lastCol">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tblPr/>
      <w:tcPr>
        <w:tcBorders>
          <w:top w:val="single" w:sz="18" w:space="0" w:color="auto"/>
          <w:left w:val="nil"/>
          <w:bottom w:val="nil"/>
          <w:right w:val="nil"/>
          <w:insideH w:val="nil"/>
          <w:insideV w:val="nil"/>
        </w:tcBorders>
      </w:tcPr>
    </w:tblStylePr>
  </w:style>
  <w:style w:type="table" w:styleId="Tramemoyenne1-Accent3">
    <w:name w:val="Medium Shading 1 Accent 3"/>
    <w:basedOn w:val="TableauNormal"/>
    <w:link w:val="Tramemoyenne1-Accent3Car"/>
    <w:uiPriority w:val="29"/>
    <w:semiHidden/>
    <w:unhideWhenUsed/>
    <w:rsid w:val="000676A1"/>
    <w:pPr>
      <w:spacing w:after="0" w:line="240" w:lineRule="auto"/>
    </w:pPr>
    <w:rPr>
      <w:rFonts w:eastAsia="Times New Roman"/>
      <w:i/>
      <w:sz w:val="24"/>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paragraph" w:customStyle="1" w:styleId="listecouleur-accent110">
    <w:name w:val="listecouleur-accent11"/>
    <w:basedOn w:val="Normal"/>
    <w:rsid w:val="000676A1"/>
    <w:pPr>
      <w:spacing w:before="100" w:beforeAutospacing="1" w:after="100" w:afterAutospacing="1" w:line="240" w:lineRule="auto"/>
    </w:pPr>
    <w:rPr>
      <w:rFonts w:ascii="Times New Roman" w:eastAsia="Times New Roman" w:hAnsi="Times New Roman"/>
      <w:sz w:val="24"/>
      <w:szCs w:val="24"/>
      <w:lang w:eastAsia="fr-FR"/>
      <w14:ligatures w14:val="standardContextual"/>
    </w:rPr>
  </w:style>
  <w:style w:type="numbering" w:customStyle="1" w:styleId="Aucuneliste18">
    <w:name w:val="Aucune liste18"/>
    <w:next w:val="Aucuneliste"/>
    <w:uiPriority w:val="99"/>
    <w:semiHidden/>
    <w:unhideWhenUsed/>
    <w:rsid w:val="000676A1"/>
  </w:style>
  <w:style w:type="numbering" w:customStyle="1" w:styleId="Aucuneliste19">
    <w:name w:val="Aucune liste19"/>
    <w:next w:val="Aucuneliste"/>
    <w:uiPriority w:val="99"/>
    <w:semiHidden/>
    <w:unhideWhenUsed/>
    <w:rsid w:val="000676A1"/>
  </w:style>
  <w:style w:type="table" w:customStyle="1" w:styleId="csastandard3">
    <w:name w:val="csa standard3"/>
    <w:basedOn w:val="TableauNormal"/>
    <w:next w:val="Grilledutableau"/>
    <w:uiPriority w:val="39"/>
    <w:qFormat/>
    <w:rsid w:val="000676A1"/>
    <w:pPr>
      <w:spacing w:after="0" w:line="240" w:lineRule="auto"/>
    </w:pPr>
    <w:rPr>
      <w:rFonts w:eastAsia="SimSu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0">
    <w:name w:val="Aucune liste110"/>
    <w:next w:val="Aucuneliste"/>
    <w:uiPriority w:val="99"/>
    <w:semiHidden/>
    <w:unhideWhenUsed/>
    <w:rsid w:val="000676A1"/>
  </w:style>
  <w:style w:type="table" w:customStyle="1" w:styleId="Grilledutableau116">
    <w:name w:val="Grille du tableau116"/>
    <w:basedOn w:val="TableauNormal"/>
    <w:next w:val="Grilledutableau"/>
    <w:uiPriority w:val="59"/>
    <w:rsid w:val="000676A1"/>
    <w:pPr>
      <w:spacing w:after="0" w:line="240" w:lineRule="auto"/>
      <w:jc w:val="both"/>
    </w:pPr>
    <w:rPr>
      <w:rFonts w:ascii="Times New Roman" w:eastAsia="SimSun" w:hAnsi="Times New Roman"/>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0676A1"/>
    <w:pPr>
      <w:spacing w:after="0" w:line="240" w:lineRule="auto"/>
    </w:pPr>
    <w:rPr>
      <w:rFonts w:eastAsiaTheme="minorEastAsia"/>
      <w:lang w:eastAsia="fr-FR"/>
      <w14:ligatures w14:val="standardContextual"/>
    </w:rPr>
    <w:tblPr>
      <w:tblCellMar>
        <w:top w:w="0" w:type="dxa"/>
        <w:left w:w="0" w:type="dxa"/>
        <w:bottom w:w="0" w:type="dxa"/>
        <w:right w:w="0" w:type="dxa"/>
      </w:tblCellMar>
    </w:tblPr>
  </w:style>
  <w:style w:type="table" w:customStyle="1" w:styleId="csastandard61">
    <w:name w:val="csa standard61"/>
    <w:basedOn w:val="TableauNormal"/>
    <w:next w:val="Grilledutableau"/>
    <w:uiPriority w:val="39"/>
    <w:qFormat/>
    <w:rsid w:val="000676A1"/>
    <w:pPr>
      <w:spacing w:after="0" w:line="240" w:lineRule="auto"/>
    </w:pPr>
    <w:rPr>
      <w:rFonts w:eastAsia="SimSu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71">
    <w:name w:val="Grille du tableau271"/>
    <w:basedOn w:val="TableauNormal"/>
    <w:next w:val="Grilledutableau"/>
    <w:uiPriority w:val="39"/>
    <w:rsid w:val="000676A1"/>
    <w:pPr>
      <w:spacing w:after="0" w:line="240" w:lineRule="auto"/>
    </w:pPr>
    <w:rPr>
      <w:rFonts w:eastAsia="SimSu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215">
    <w:name w:val="Tableau Grille 215"/>
    <w:basedOn w:val="TableauNormal"/>
    <w:rsid w:val="000676A1"/>
    <w:pPr>
      <w:spacing w:after="0" w:line="240" w:lineRule="auto"/>
    </w:pPr>
    <w:rPr>
      <w:rFonts w:ascii="Times New Roman" w:eastAsia="SimSun" w:hAnsi="Times New Roman" w:cs="Times New Roman"/>
      <w:sz w:val="20"/>
      <w:szCs w:val="20"/>
      <w:lang w:val="fr-SN" w:eastAsia="fr-FR"/>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lledetableau823">
    <w:name w:val="Grille de tableau 823"/>
    <w:basedOn w:val="TableauNormal"/>
    <w:next w:val="Grilledetableau8"/>
    <w:rsid w:val="000676A1"/>
    <w:pPr>
      <w:spacing w:after="0" w:line="240" w:lineRule="auto"/>
      <w:jc w:val="both"/>
    </w:pPr>
    <w:rPr>
      <w:rFonts w:ascii="Times New Roman" w:eastAsia="Times New Roman" w:hAnsi="Times New Roman" w:cs="Times New Roman"/>
      <w:sz w:val="20"/>
      <w:szCs w:val="20"/>
      <w:lang w:val="fr-SN" w:eastAsia="fr-FR"/>
      <w14:ligatures w14:val="standardContextu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lledetableau84">
    <w:name w:val="Grille de tableau 84"/>
    <w:basedOn w:val="TableauNormal"/>
    <w:next w:val="Grilledetableau8"/>
    <w:unhideWhenUsed/>
    <w:rsid w:val="000676A1"/>
    <w:pPr>
      <w:spacing w:after="0" w:line="240" w:lineRule="auto"/>
    </w:pPr>
    <w:rPr>
      <w:rFonts w:ascii="Cambria" w:eastAsia="MS Mincho" w:hAnsi="Cambria" w:cs="Times New Roman"/>
      <w:sz w:val="20"/>
      <w:szCs w:val="20"/>
      <w:lang w:val="fr-SN" w:eastAsia="fr-FR"/>
      <w14:ligatures w14:val="standardContextu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Grille4-Accentuation15">
    <w:name w:val="Tableau Grille 4 - Accentuation 15"/>
    <w:basedOn w:val="TableauNormal"/>
    <w:next w:val="TableauGrille4-Accentuation1"/>
    <w:uiPriority w:val="49"/>
    <w:rsid w:val="000676A1"/>
    <w:pPr>
      <w:spacing w:after="0" w:line="240" w:lineRule="auto"/>
      <w:jc w:val="both"/>
    </w:pPr>
    <w:rPr>
      <w:rFonts w:ascii="Calibri" w:eastAsia="Calibri" w:hAnsi="Calibri" w:cs="Times New Roman"/>
      <w:lang w:val="fr-S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Grille4-Accentuation33">
    <w:name w:val="Tableau Grille 4 - Accentuation 33"/>
    <w:basedOn w:val="TableauNormal"/>
    <w:next w:val="TableauGrille4-Accentuation3"/>
    <w:uiPriority w:val="49"/>
    <w:rsid w:val="000676A1"/>
    <w:pPr>
      <w:spacing w:after="0" w:line="240" w:lineRule="auto"/>
    </w:pPr>
    <w:rPr>
      <w:rFonts w:ascii="Cambria" w:eastAsia="MS Mincho" w:hAnsi="Cambria" w:cs="Times New Roman"/>
      <w:sz w:val="20"/>
      <w:szCs w:val="20"/>
      <w:lang w:val="fr-SN" w:eastAsia="fr-FR"/>
      <w14:ligatures w14:val="standardContextu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lledutableau117">
    <w:name w:val="Grille du tableau117"/>
    <w:basedOn w:val="TableauNormal"/>
    <w:next w:val="Grilledutableau"/>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Liste31633">
    <w:name w:val="Tableau Liste 31633"/>
    <w:basedOn w:val="TableauNormal"/>
    <w:next w:val="TableauListe3"/>
    <w:uiPriority w:val="48"/>
    <w:rsid w:val="000676A1"/>
    <w:pPr>
      <w:spacing w:after="0" w:line="300" w:lineRule="exact"/>
      <w:jc w:val="both"/>
    </w:pPr>
    <w:rPr>
      <w:rFonts w:ascii="Times New Roman" w:eastAsia="Times New Roman" w:hAnsi="Times New Roman" w:cs="Times New Roman"/>
      <w:sz w:val="20"/>
      <w:szCs w:val="20"/>
      <w:lang w:val="fr-SN" w:eastAsia="fr-FR"/>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Grille1Clair-Accentuation116">
    <w:name w:val="Tableau Grille 1 Clair - Accentuation 116"/>
    <w:basedOn w:val="TableauNormal"/>
    <w:uiPriority w:val="46"/>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auGrille4-Accentuation116">
    <w:name w:val="Tableau Grille 4 - Accentuation 116"/>
    <w:basedOn w:val="TableauNormal"/>
    <w:uiPriority w:val="49"/>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ausimple115">
    <w:name w:val="Tableau simple 115"/>
    <w:basedOn w:val="TableauNormal"/>
    <w:rsid w:val="000676A1"/>
    <w:pPr>
      <w:spacing w:after="0" w:line="240" w:lineRule="auto"/>
    </w:pPr>
    <w:rPr>
      <w:rFonts w:ascii="Times New Roman" w:eastAsia="SimSun" w:hAnsi="Times New Roman" w:cs="Times New Roman"/>
      <w:sz w:val="24"/>
      <w:szCs w:val="24"/>
      <w:lang w:val="fr-SN" w:eastAsia="fr-FR"/>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Grille415">
    <w:name w:val="Tableau Grille 415"/>
    <w:basedOn w:val="TableauNormal"/>
    <w:uiPriority w:val="49"/>
    <w:rsid w:val="000676A1"/>
    <w:pPr>
      <w:spacing w:after="0" w:line="240" w:lineRule="auto"/>
    </w:pPr>
    <w:rPr>
      <w:rFonts w:ascii="Times New Roman" w:eastAsia="SimSun" w:hAnsi="Times New Roman" w:cs="Times New Roman"/>
      <w:sz w:val="24"/>
      <w:szCs w:val="24"/>
      <w:lang w:val="fr-SN" w:eastAsia="fr-FR"/>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1Clair12">
    <w:name w:val="Tableau Grille 1 Clair12"/>
    <w:basedOn w:val="TableauNormal"/>
    <w:rsid w:val="000676A1"/>
    <w:pPr>
      <w:spacing w:after="0" w:line="240" w:lineRule="auto"/>
    </w:pPr>
    <w:rPr>
      <w:rFonts w:ascii="Times New Roman" w:eastAsia="SimSun" w:hAnsi="Times New Roman" w:cs="Times New Roman"/>
      <w:sz w:val="24"/>
      <w:szCs w:val="24"/>
      <w:lang w:val="fr-SN" w:eastAsia="fr-FR"/>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emoyenne2-Accent44">
    <w:name w:val="Liste moyenne 2 - Accent 44"/>
    <w:basedOn w:val="TableauNormal"/>
    <w:next w:val="Listemoyenne2-Accent4"/>
    <w:uiPriority w:val="34"/>
    <w:rsid w:val="000676A1"/>
    <w:pPr>
      <w:spacing w:after="0" w:line="240" w:lineRule="auto"/>
    </w:pPr>
    <w:rPr>
      <w:rFonts w:ascii="Times New Roman" w:eastAsia="Times New Roman" w:hAnsi="Times New Roman"/>
      <w:sz w:val="24"/>
      <w:szCs w:val="24"/>
      <w14:ligatures w14:val="standardContextu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Listecouleur-Accent33">
    <w:name w:val="Liste couleur - Accent 33"/>
    <w:basedOn w:val="TableauNormal"/>
    <w:next w:val="Listecouleur-Accent3"/>
    <w:uiPriority w:val="29"/>
    <w:rsid w:val="000676A1"/>
    <w:pPr>
      <w:spacing w:after="0" w:line="240" w:lineRule="auto"/>
    </w:pPr>
    <w:rPr>
      <w:rFonts w:ascii="Calibri" w:eastAsia="Times New Roman" w:hAnsi="Calibri" w:cs="Times New Roman"/>
      <w:i/>
      <w:iCs/>
      <w:color w:val="000000"/>
      <w:lang w:val="en-US" w:bidi="en-US"/>
      <w14:ligatures w14:val="standardContextual"/>
    </w:rPr>
    <w:tblPr>
      <w:tblStyleRowBandSize w:val="1"/>
      <w:tblStyleColBandSize w:val="1"/>
    </w:tblPr>
    <w:tcPr>
      <w:shd w:val="clear" w:color="auto" w:fill="F5F8EE"/>
    </w:tcPr>
    <w:tblStylePr w:type="firstRow">
      <w:tblPr/>
      <w:tcPr>
        <w:tcBorders>
          <w:bottom w:val="single" w:sz="12" w:space="0" w:color="FFFFFF"/>
        </w:tcBorders>
        <w:shd w:val="clear" w:color="auto" w:fill="664E8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llecouleur-Accent33">
    <w:name w:val="Grille couleur - Accent 33"/>
    <w:basedOn w:val="TableauNormal"/>
    <w:next w:val="Grillecouleur-Accent3"/>
    <w:uiPriority w:val="30"/>
    <w:rsid w:val="000676A1"/>
    <w:pPr>
      <w:spacing w:after="0" w:line="240" w:lineRule="auto"/>
    </w:pPr>
    <w:rPr>
      <w:rFonts w:ascii="Calibri" w:eastAsia="Times New Roman" w:hAnsi="Calibri" w:cs="Times New Roman"/>
      <w:b/>
      <w:bCs/>
      <w:i/>
      <w:iCs/>
      <w:color w:val="4F81BD"/>
      <w:lang w:val="en-US" w:bidi="en-US"/>
      <w14:ligatures w14:val="standardContextual"/>
    </w:rPr>
    <w:tblPr>
      <w:tblStyleRowBandSize w:val="1"/>
      <w:tblStyleColBandSize w:val="1"/>
      <w:tblBorders>
        <w:insideH w:val="single" w:sz="4" w:space="0" w:color="FFFFFF"/>
      </w:tblBorders>
    </w:tblPr>
    <w:tcPr>
      <w:shd w:val="clear" w:color="auto" w:fill="EAF1DD"/>
    </w:tcPr>
    <w:tblStylePr w:type="firstRow">
      <w:tblPr/>
      <w:tcPr>
        <w:shd w:val="clear" w:color="auto" w:fill="D6E3BC"/>
      </w:tcPr>
    </w:tblStylePr>
    <w:tblStylePr w:type="lastRow">
      <w:tblPr/>
      <w:tcPr>
        <w:shd w:val="clear" w:color="auto" w:fill="D6E3BC"/>
      </w:tcPr>
    </w:tblStylePr>
    <w:tblStylePr w:type="firstCol">
      <w:tblPr/>
      <w:tcPr>
        <w:shd w:val="clear" w:color="auto" w:fill="76923C"/>
      </w:tcPr>
    </w:tblStylePr>
    <w:tblStylePr w:type="lastCol">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Ombrageclair23">
    <w:name w:val="Ombrage clair23"/>
    <w:basedOn w:val="TableauNormal"/>
    <w:uiPriority w:val="60"/>
    <w:rsid w:val="000676A1"/>
    <w:pPr>
      <w:spacing w:after="0" w:line="240" w:lineRule="auto"/>
    </w:pPr>
    <w:rPr>
      <w:rFonts w:ascii="Calibri" w:eastAsia="Calibri" w:hAnsi="Calibri" w:cs="Times New Roman"/>
      <w:color w:val="000000"/>
      <w:lang w:val="en-US" w:bidi="en-US"/>
      <w14:ligatures w14:val="standardContextu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moyenne1-Accent65">
    <w:name w:val="Trame moyenne 1 - Accent 65"/>
    <w:basedOn w:val="TableauNormal"/>
    <w:next w:val="Tramemoyenne1-Accent6"/>
    <w:uiPriority w:val="63"/>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Autospacing="0" w:afterLines="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Autospacing="0" w:afterLines="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steclaire-Accent6125">
    <w:name w:val="Liste claire - Accent 6125"/>
    <w:basedOn w:val="TableauNormal"/>
    <w:next w:val="Listeclaire-Accent6"/>
    <w:uiPriority w:val="61"/>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5">
    <w:name w:val="Liste claire - Accent 65"/>
    <w:basedOn w:val="TableauNormal"/>
    <w:next w:val="Listeclaire-Accent6"/>
    <w:uiPriority w:val="61"/>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Ombrageclair4">
    <w:name w:val="Ombrage clair4"/>
    <w:basedOn w:val="TableauNormal"/>
    <w:next w:val="Ombrageclair"/>
    <w:uiPriority w:val="60"/>
    <w:rsid w:val="000676A1"/>
    <w:pPr>
      <w:spacing w:after="0" w:line="240" w:lineRule="auto"/>
    </w:pPr>
    <w:rPr>
      <w:rFonts w:ascii="Calibri" w:eastAsia="Calibri" w:hAnsi="Calibri" w:cs="Times New Roman"/>
      <w:color w:val="000000"/>
      <w:sz w:val="20"/>
      <w:szCs w:val="20"/>
      <w:lang w:val="fr-SN" w:eastAsia="fr-FR"/>
      <w14:ligatures w14:val="standardContextual"/>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eclaire4">
    <w:name w:val="Liste claire4"/>
    <w:basedOn w:val="TableauNormal"/>
    <w:next w:val="Listeclaire"/>
    <w:uiPriority w:val="61"/>
    <w:rsid w:val="000676A1"/>
    <w:pPr>
      <w:spacing w:after="0" w:line="240" w:lineRule="auto"/>
    </w:pPr>
    <w:rPr>
      <w:rFonts w:ascii="Calibri" w:eastAsia="Calibri" w:hAnsi="Calibri" w:cs="Times New Roman"/>
      <w:sz w:val="20"/>
      <w:szCs w:val="20"/>
      <w:lang w:val="fr-SN" w:eastAsia="fr-FR"/>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eclaire-Accent616">
    <w:name w:val="Liste claire - Accent 616"/>
    <w:basedOn w:val="TableauNormal"/>
    <w:uiPriority w:val="61"/>
    <w:rsid w:val="000676A1"/>
    <w:pPr>
      <w:spacing w:after="0" w:line="240" w:lineRule="auto"/>
    </w:pPr>
    <w:rPr>
      <w:rFonts w:ascii="Times New Roman" w:eastAsia="Calibri" w:hAnsi="Times New Roman" w:cs="Times New Roman"/>
      <w:sz w:val="24"/>
      <w:szCs w:val="24"/>
      <w:lang w:val="en-US"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13">
    <w:name w:val="Liste claire - Accent 13"/>
    <w:basedOn w:val="TableauNormal"/>
    <w:next w:val="Listeclaire-Accent1"/>
    <w:uiPriority w:val="61"/>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53">
    <w:name w:val="Liste claire - Accent 53"/>
    <w:basedOn w:val="TableauNormal"/>
    <w:next w:val="Listeclaire-Accent5"/>
    <w:uiPriority w:val="61"/>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Aucuneliste114">
    <w:name w:val="Aucune liste114"/>
    <w:next w:val="Aucuneliste"/>
    <w:uiPriority w:val="99"/>
    <w:semiHidden/>
    <w:unhideWhenUsed/>
    <w:rsid w:val="000676A1"/>
  </w:style>
  <w:style w:type="numbering" w:customStyle="1" w:styleId="Aucuneliste1114">
    <w:name w:val="Aucune liste1114"/>
    <w:next w:val="Aucuneliste"/>
    <w:uiPriority w:val="99"/>
    <w:semiHidden/>
    <w:unhideWhenUsed/>
    <w:rsid w:val="000676A1"/>
  </w:style>
  <w:style w:type="table" w:customStyle="1" w:styleId="mtbs14">
    <w:name w:val="mtbs14"/>
    <w:basedOn w:val="TableauNormal"/>
    <w:next w:val="Grilledutableau"/>
    <w:uiPriority w:val="39"/>
    <w:qFormat/>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HDHVTable3">
    <w:name w:val="RHDHV Table3"/>
    <w:basedOn w:val="TableauNormal"/>
    <w:uiPriority w:val="99"/>
    <w:unhideWhenUsed/>
    <w:rsid w:val="000676A1"/>
    <w:pPr>
      <w:spacing w:after="0" w:line="271" w:lineRule="auto"/>
    </w:pPr>
    <w:rPr>
      <w:rFonts w:ascii="Calibri" w:eastAsia="Times New Roman" w:hAnsi="Calibri" w:cs="Times New Roman"/>
      <w:color w:val="000000"/>
      <w:sz w:val="24"/>
      <w:szCs w:val="24"/>
      <w:lang w:val="en-GB" w:eastAsia="en-GB"/>
      <w14:ligatures w14:val="standardContextual"/>
    </w:rPr>
    <w:tblPr>
      <w:tblBorders>
        <w:insideH w:val="single" w:sz="8" w:space="0" w:color="FFFFFF"/>
        <w:insideV w:val="single" w:sz="8" w:space="0" w:color="FFFFFF"/>
      </w:tblBorders>
      <w:tblCellMar>
        <w:top w:w="57" w:type="dxa"/>
        <w:left w:w="0" w:type="dxa"/>
        <w:bottom w:w="57" w:type="dxa"/>
        <w:right w:w="0" w:type="dxa"/>
      </w:tblCellMar>
    </w:tblPr>
    <w:tcPr>
      <w:shd w:val="clear" w:color="auto" w:fill="D9E2F3"/>
      <w:vAlign w:val="center"/>
    </w:tcPr>
    <w:tblStylePr w:type="firstRow">
      <w:rPr>
        <w:b/>
      </w:rPr>
      <w:tblPr/>
      <w:tcPr>
        <w:tcBorders>
          <w:top w:val="nil"/>
          <w:left w:val="nil"/>
          <w:bottom w:val="nil"/>
          <w:right w:val="nil"/>
          <w:insideH w:val="nil"/>
          <w:insideV w:val="single" w:sz="8" w:space="0" w:color="FFFFFF"/>
          <w:tl2br w:val="nil"/>
          <w:tr2bl w:val="nil"/>
        </w:tcBorders>
        <w:shd w:val="clear" w:color="auto" w:fill="4472C4"/>
      </w:tcPr>
    </w:tblStylePr>
    <w:tblStylePr w:type="lastRow">
      <w:tblPr/>
      <w:tcPr>
        <w:tcBorders>
          <w:top w:val="nil"/>
          <w:left w:val="nil"/>
          <w:bottom w:val="nil"/>
          <w:right w:val="nil"/>
          <w:insideH w:val="nil"/>
          <w:insideV w:val="single" w:sz="8" w:space="0" w:color="FFFFFF"/>
          <w:tl2br w:val="nil"/>
          <w:tr2bl w:val="nil"/>
        </w:tcBorders>
        <w:shd w:val="clear" w:color="auto" w:fill="B4C6E7"/>
      </w:tcPr>
    </w:tblStylePr>
    <w:tblStylePr w:type="swCell">
      <w:tblPr/>
      <w:tcPr>
        <w:tcBorders>
          <w:top w:val="nil"/>
          <w:left w:val="nil"/>
          <w:bottom w:val="nil"/>
          <w:right w:val="nil"/>
          <w:insideH w:val="nil"/>
          <w:insideV w:val="nil"/>
          <w:tl2br w:val="nil"/>
          <w:tr2bl w:val="nil"/>
        </w:tcBorders>
        <w:shd w:val="clear" w:color="auto" w:fill="FFFFFF"/>
      </w:tcPr>
    </w:tblStylePr>
  </w:style>
  <w:style w:type="table" w:customStyle="1" w:styleId="RHDHVTableNormal3">
    <w:name w:val="RHDHV Table Normal3"/>
    <w:basedOn w:val="TableauNormal"/>
    <w:uiPriority w:val="99"/>
    <w:unhideWhenUsed/>
    <w:rsid w:val="000676A1"/>
    <w:pPr>
      <w:spacing w:after="0" w:line="271" w:lineRule="auto"/>
    </w:pPr>
    <w:rPr>
      <w:rFonts w:ascii="Calibri" w:eastAsia="Times New Roman" w:hAnsi="Calibri" w:cs="Times New Roman"/>
      <w:color w:val="000000"/>
      <w:sz w:val="24"/>
      <w:szCs w:val="24"/>
      <w:lang w:val="en-GB" w:eastAsia="en-GB"/>
      <w14:ligatures w14:val="standardContextual"/>
    </w:rPr>
    <w:tblPr>
      <w:tblCellMar>
        <w:top w:w="57" w:type="dxa"/>
        <w:left w:w="0" w:type="dxa"/>
        <w:bottom w:w="57" w:type="dxa"/>
        <w:right w:w="0" w:type="dxa"/>
      </w:tblCellMar>
    </w:tblPr>
    <w:tcPr>
      <w:vAlign w:val="center"/>
    </w:tcPr>
  </w:style>
  <w:style w:type="table" w:customStyle="1" w:styleId="TableauGrille2112">
    <w:name w:val="Tableau Grille 2112"/>
    <w:basedOn w:val="TableauNormal"/>
    <w:uiPriority w:val="47"/>
    <w:rsid w:val="000676A1"/>
    <w:pPr>
      <w:spacing w:after="0" w:line="240" w:lineRule="auto"/>
    </w:pPr>
    <w:rPr>
      <w:rFonts w:ascii="Calibri" w:eastAsia="Times New Roman" w:hAnsi="Calibri" w:cs="Times New Roman"/>
      <w:sz w:val="24"/>
      <w:szCs w:val="24"/>
      <w:lang w:val="fr-SN" w:eastAsia="fr-FR"/>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lledutableau214">
    <w:name w:val="Grille du tableau214"/>
    <w:basedOn w:val="TableauNormal"/>
    <w:next w:val="Grilledutableau"/>
    <w:uiPriority w:val="59"/>
    <w:rsid w:val="000676A1"/>
    <w:pPr>
      <w:spacing w:after="0" w:line="240" w:lineRule="auto"/>
    </w:pPr>
    <w:rPr>
      <w:rFonts w:ascii="Calibri" w:eastAsia="Times New Roman" w:hAnsi="Calibri" w:cs="Times New Roman"/>
      <w:lang w:val="wo-SN" w:eastAsia="wo-SN"/>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eclaire-Accent6114">
    <w:name w:val="Liste claire - Accent 6114"/>
    <w:basedOn w:val="TableauNormal"/>
    <w:next w:val="Listeclaire-Accent6"/>
    <w:uiPriority w:val="61"/>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14">
    <w:name w:val="Liste claire14"/>
    <w:basedOn w:val="TableauNormal"/>
    <w:next w:val="Listeclaire"/>
    <w:uiPriority w:val="61"/>
    <w:rsid w:val="000676A1"/>
    <w:pPr>
      <w:spacing w:after="0" w:line="240" w:lineRule="auto"/>
    </w:pPr>
    <w:rPr>
      <w:rFonts w:ascii="Calibri" w:eastAsia="Calibri" w:hAnsi="Calibri" w:cs="Times New Roman"/>
      <w:lang w:val="fr-CA"/>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Aucuneliste11113">
    <w:name w:val="Aucune liste11113"/>
    <w:next w:val="Aucuneliste"/>
    <w:uiPriority w:val="99"/>
    <w:semiHidden/>
    <w:unhideWhenUsed/>
    <w:rsid w:val="000676A1"/>
  </w:style>
  <w:style w:type="table" w:customStyle="1" w:styleId="Grilledutableau34">
    <w:name w:val="Grille du tableau34"/>
    <w:basedOn w:val="TableauNormal"/>
    <w:next w:val="Grilledutableau"/>
    <w:uiPriority w:val="59"/>
    <w:rsid w:val="000676A1"/>
    <w:pPr>
      <w:spacing w:after="0" w:line="240" w:lineRule="auto"/>
    </w:pPr>
    <w:rPr>
      <w:rFonts w:ascii="Calibri" w:eastAsia="Calibri" w:hAnsi="Calibri" w:cs="Times New Roman"/>
      <w:sz w:val="20"/>
      <w:szCs w:val="20"/>
      <w:lang w:val="fr-SN"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auNormal"/>
    <w:next w:val="Grilledutableau"/>
    <w:uiPriority w:val="59"/>
    <w:rsid w:val="000676A1"/>
    <w:pPr>
      <w:spacing w:after="0" w:line="240" w:lineRule="auto"/>
    </w:pPr>
    <w:rPr>
      <w:rFonts w:ascii="Calibri" w:eastAsia="Calibri" w:hAnsi="Calibri" w:cs="Times New Roman"/>
      <w:lang w:val="fr-C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61214">
    <w:name w:val="Liste claire - Accent 61214"/>
    <w:basedOn w:val="TableauNormal"/>
    <w:uiPriority w:val="61"/>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lledutableau54">
    <w:name w:val="Grille du tableau54"/>
    <w:basedOn w:val="TableauNormal"/>
    <w:next w:val="Grilledutableau"/>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auNormal"/>
    <w:next w:val="Grilledutableau"/>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auNormal"/>
    <w:next w:val="Grilledutableau"/>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3">
    <w:name w:val="Grille du tableau83"/>
    <w:basedOn w:val="TableauNormal"/>
    <w:next w:val="Grilledutableau"/>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3">
    <w:name w:val="Grille du tableau93"/>
    <w:basedOn w:val="TableauNormal"/>
    <w:next w:val="Grilledutableau"/>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Aucuneliste"/>
    <w:uiPriority w:val="99"/>
    <w:semiHidden/>
    <w:unhideWhenUsed/>
    <w:rsid w:val="000676A1"/>
  </w:style>
  <w:style w:type="table" w:customStyle="1" w:styleId="Colonnesdetableau33">
    <w:name w:val="Colonnes de tableau 33"/>
    <w:basedOn w:val="TableauNormal"/>
    <w:next w:val="Colonnesdetableau3"/>
    <w:semiHidden/>
    <w:unhideWhenUsed/>
    <w:rsid w:val="000676A1"/>
    <w:pPr>
      <w:spacing w:after="0" w:line="240" w:lineRule="auto"/>
    </w:pPr>
    <w:rPr>
      <w:rFonts w:ascii="Cambria" w:eastAsia="Cambria" w:hAnsi="Cambria" w:cs="Times New Roman"/>
      <w:b/>
      <w:bCs/>
      <w:sz w:val="20"/>
      <w:szCs w:val="20"/>
      <w:lang w:val="fr-SN" w:eastAsia="fr-FR"/>
      <w14:ligatures w14:val="standardContextua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Grilledetableau13">
    <w:name w:val="Grille de tableau 13"/>
    <w:basedOn w:val="TableauNormal"/>
    <w:next w:val="Grilledetableau1"/>
    <w:semiHidden/>
    <w:unhideWhenUsed/>
    <w:rsid w:val="000676A1"/>
    <w:pPr>
      <w:spacing w:after="0" w:line="240" w:lineRule="auto"/>
    </w:pPr>
    <w:rPr>
      <w:rFonts w:ascii="Calibri" w:eastAsia="Calibri" w:hAnsi="Calibri" w:cs="Times New Roman"/>
      <w:sz w:val="20"/>
      <w:szCs w:val="20"/>
      <w:lang w:val="fr-SN" w:eastAsia="fr-FR"/>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auliste73">
    <w:name w:val="Tableau liste 73"/>
    <w:basedOn w:val="TableauNormal"/>
    <w:next w:val="Tableauliste7"/>
    <w:semiHidden/>
    <w:unhideWhenUsed/>
    <w:rsid w:val="000676A1"/>
    <w:pPr>
      <w:spacing w:after="0" w:line="240" w:lineRule="auto"/>
    </w:pPr>
    <w:rPr>
      <w:rFonts w:ascii="Times New Roman" w:eastAsia="Times New Roman" w:hAnsi="Times New Roman" w:cs="Times New Roman"/>
      <w:sz w:val="20"/>
      <w:szCs w:val="20"/>
      <w:lang w:val="fr-SN" w:eastAsia="fr-FR"/>
      <w14:ligatures w14:val="standardContextu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3">
    <w:name w:val="Tableau liste 83"/>
    <w:basedOn w:val="TableauNormal"/>
    <w:next w:val="Tableauliste8"/>
    <w:semiHidden/>
    <w:unhideWhenUsed/>
    <w:rsid w:val="000676A1"/>
    <w:pPr>
      <w:spacing w:after="0" w:line="240" w:lineRule="auto"/>
    </w:pPr>
    <w:rPr>
      <w:rFonts w:ascii="Times New Roman" w:eastAsia="Times New Roman" w:hAnsi="Times New Roman" w:cs="Times New Roman"/>
      <w:sz w:val="20"/>
      <w:szCs w:val="20"/>
      <w:lang w:val="fr-SN" w:eastAsia="fr-FR"/>
      <w14:ligatures w14:val="standardContextu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web23">
    <w:name w:val="Tableau web 23"/>
    <w:basedOn w:val="TableauNormal"/>
    <w:next w:val="Tableauweb2"/>
    <w:semiHidden/>
    <w:unhideWhenUsed/>
    <w:rsid w:val="000676A1"/>
    <w:pPr>
      <w:spacing w:after="0" w:line="240" w:lineRule="auto"/>
    </w:pPr>
    <w:rPr>
      <w:rFonts w:ascii="Times New Roman" w:eastAsia="Times New Roman" w:hAnsi="Times New Roman" w:cs="Times New Roman"/>
      <w:sz w:val="20"/>
      <w:szCs w:val="20"/>
      <w:lang w:val="fr-SN" w:eastAsia="fr-FR"/>
      <w14:ligatures w14:val="standardContextu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Grilledutableau103">
    <w:name w:val="Grille du tableau103"/>
    <w:basedOn w:val="TableauNormal"/>
    <w:next w:val="Grilledutableau"/>
    <w:uiPriority w:val="59"/>
    <w:rsid w:val="000676A1"/>
    <w:pPr>
      <w:spacing w:after="0" w:line="240" w:lineRule="auto"/>
    </w:pPr>
    <w:rPr>
      <w:rFonts w:ascii="Times New Roman" w:eastAsia="Times New Roman" w:hAnsi="Times New Roman" w:cs="Times New Roman"/>
      <w:sz w:val="20"/>
      <w:szCs w:val="20"/>
      <w:lang w:val="fr-SN"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fonce-Accent23">
    <w:name w:val="Liste foncée - Accent 23"/>
    <w:basedOn w:val="TableauNormal"/>
    <w:next w:val="Listefonce-Accent2"/>
    <w:uiPriority w:val="61"/>
    <w:unhideWhenUsed/>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steclaire-Accent624">
    <w:name w:val="Liste claire - Accent 624"/>
    <w:basedOn w:val="TableauNormal"/>
    <w:next w:val="Listeclaire-Accent6"/>
    <w:uiPriority w:val="61"/>
    <w:unhideWhenUsed/>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Tramemoyenne1-Accent613">
    <w:name w:val="Trame moyenne 1 - Accent 613"/>
    <w:basedOn w:val="TableauNormal"/>
    <w:next w:val="Tramemoyenne1-Accent6"/>
    <w:uiPriority w:val="63"/>
    <w:semiHidden/>
    <w:unhideWhenUsed/>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auNorm3">
    <w:name w:val="Tableau Norm3"/>
    <w:semiHidden/>
    <w:rsid w:val="000676A1"/>
    <w:pPr>
      <w:spacing w:after="0" w:line="240" w:lineRule="auto"/>
    </w:pPr>
    <w:rPr>
      <w:rFonts w:ascii="Calibri" w:eastAsia="Times New Roman" w:hAnsi="Calibri" w:cs="Times New Roman"/>
      <w:sz w:val="20"/>
      <w:szCs w:val="20"/>
      <w:lang w:bidi="fr-FR"/>
      <w14:ligatures w14:val="standardContextual"/>
    </w:rPr>
    <w:tblPr>
      <w:tblCellMar>
        <w:top w:w="0" w:type="dxa"/>
        <w:left w:w="108" w:type="dxa"/>
        <w:bottom w:w="0" w:type="dxa"/>
        <w:right w:w="108" w:type="dxa"/>
      </w:tblCellMar>
    </w:tblPr>
  </w:style>
  <w:style w:type="table" w:customStyle="1" w:styleId="Grilledutableau223">
    <w:name w:val="Grille du tableau223"/>
    <w:basedOn w:val="TableauNormal"/>
    <w:uiPriority w:val="59"/>
    <w:rsid w:val="000676A1"/>
    <w:pPr>
      <w:spacing w:after="0" w:line="240" w:lineRule="auto"/>
    </w:pPr>
    <w:rPr>
      <w:rFonts w:ascii="Calibri" w:eastAsia="Times New Roman" w:hAnsi="Calibri" w:cs="Times New Roman"/>
      <w:lang w:val="wo-SN" w:eastAsia="wo-SN"/>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713">
    <w:name w:val="Grille du tableau713"/>
    <w:basedOn w:val="TableauNormal"/>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moyenne1-Accent623">
    <w:name w:val="Trame moyenne 1 - Accent 623"/>
    <w:basedOn w:val="TableauNormal"/>
    <w:next w:val="Tramemoyenne1-Accent6"/>
    <w:uiPriority w:val="63"/>
    <w:semiHidden/>
    <w:unhideWhenUsed/>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Grilledutableau1113">
    <w:name w:val="Grille du tableau1113"/>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3">
    <w:name w:val="Grille du tableau133"/>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3">
    <w:name w:val="Grille du tableau153"/>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3">
    <w:name w:val="Grille du tableau163"/>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4">
    <w:name w:val="Grille du tableau174"/>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83">
    <w:name w:val="Grille du tableau183"/>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tbs113">
    <w:name w:val="mtbs113"/>
    <w:basedOn w:val="TableauNormal"/>
    <w:next w:val="Grilledutableau"/>
    <w:uiPriority w:val="39"/>
    <w:qFormat/>
    <w:rsid w:val="000676A1"/>
    <w:pPr>
      <w:spacing w:after="0" w:line="240" w:lineRule="auto"/>
    </w:pPr>
    <w:rPr>
      <w:rFonts w:ascii="Calibri" w:eastAsia="MS Mincho" w:hAnsi="Calibri" w:cs="Times New Roman"/>
      <w:sz w:val="24"/>
      <w:szCs w:val="24"/>
      <w:lang w:val="fr-SN"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Bullets12">
    <w:name w:val="List Bullets12"/>
    <w:uiPriority w:val="99"/>
    <w:rsid w:val="000676A1"/>
    <w:pPr>
      <w:numPr>
        <w:numId w:val="235"/>
      </w:numPr>
    </w:pPr>
  </w:style>
  <w:style w:type="table" w:customStyle="1" w:styleId="TableGrid13">
    <w:name w:val="TableGrid13"/>
    <w:rsid w:val="000676A1"/>
    <w:pPr>
      <w:spacing w:after="0" w:line="240" w:lineRule="auto"/>
    </w:pPr>
    <w:rPr>
      <w:rFonts w:ascii="Calibri" w:eastAsia="Times New Roman" w:hAnsi="Calibri" w:cs="Times New Roman"/>
      <w:lang w:val="fr-SN" w:eastAsia="fr-SN"/>
      <w14:ligatures w14:val="standardContextual"/>
    </w:rPr>
    <w:tblPr>
      <w:tblCellMar>
        <w:top w:w="0" w:type="dxa"/>
        <w:left w:w="0" w:type="dxa"/>
        <w:bottom w:w="0" w:type="dxa"/>
        <w:right w:w="0" w:type="dxa"/>
      </w:tblCellMar>
    </w:tblPr>
  </w:style>
  <w:style w:type="table" w:customStyle="1" w:styleId="TableauGrille1Clair-Accentuation1112">
    <w:name w:val="Tableau Grille 1 Clair - Accentuation 1112"/>
    <w:basedOn w:val="TableauNormal"/>
    <w:uiPriority w:val="46"/>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eauGrille4-Accentuation1112">
    <w:name w:val="Tableau Grille 4 - Accentuation 1112"/>
    <w:basedOn w:val="TableauNormal"/>
    <w:uiPriority w:val="49"/>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Grille24">
    <w:name w:val="Tableau Grille 24"/>
    <w:basedOn w:val="TableauNormal"/>
    <w:next w:val="TableauGrille2"/>
    <w:rsid w:val="000676A1"/>
    <w:pPr>
      <w:spacing w:after="0" w:line="240" w:lineRule="auto"/>
    </w:pPr>
    <w:rPr>
      <w:rFonts w:ascii="Times New Roman" w:eastAsia="SimSun" w:hAnsi="Times New Roman" w:cs="Times New Roman"/>
      <w:sz w:val="20"/>
      <w:szCs w:val="20"/>
      <w:lang w:val="fr-SN" w:eastAsia="fr-FR"/>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1Clair-Accentuation123">
    <w:name w:val="Tableau Grille 1 Clair - Accentuation 123"/>
    <w:basedOn w:val="TableauNormal"/>
    <w:uiPriority w:val="46"/>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auGrille4-Accentuation123">
    <w:name w:val="Tableau Grille 4 - Accentuation 123"/>
    <w:basedOn w:val="TableauNormal"/>
    <w:uiPriority w:val="49"/>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ausimple123">
    <w:name w:val="Tableau simple 123"/>
    <w:basedOn w:val="TableauNormal"/>
    <w:rsid w:val="000676A1"/>
    <w:pPr>
      <w:spacing w:after="0" w:line="240" w:lineRule="auto"/>
    </w:pPr>
    <w:rPr>
      <w:rFonts w:ascii="Times New Roman" w:eastAsia="SimSun" w:hAnsi="Times New Roman" w:cs="Times New Roman"/>
      <w:sz w:val="24"/>
      <w:szCs w:val="24"/>
      <w:lang w:val="fr-SN" w:eastAsia="fr-FR"/>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Grille423">
    <w:name w:val="Tableau Grille 423"/>
    <w:basedOn w:val="TableauNormal"/>
    <w:uiPriority w:val="49"/>
    <w:rsid w:val="000676A1"/>
    <w:pPr>
      <w:spacing w:after="0" w:line="240" w:lineRule="auto"/>
    </w:pPr>
    <w:rPr>
      <w:rFonts w:ascii="Times New Roman" w:eastAsia="SimSun" w:hAnsi="Times New Roman" w:cs="Times New Roman"/>
      <w:sz w:val="24"/>
      <w:szCs w:val="24"/>
      <w:lang w:val="fr-SN" w:eastAsia="fr-FR"/>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1Clair23">
    <w:name w:val="Tableau Grille 1 Clair23"/>
    <w:basedOn w:val="TableauNormal"/>
    <w:rsid w:val="000676A1"/>
    <w:pPr>
      <w:spacing w:after="0" w:line="240" w:lineRule="auto"/>
    </w:pPr>
    <w:rPr>
      <w:rFonts w:ascii="Times New Roman" w:eastAsia="SimSun" w:hAnsi="Times New Roman" w:cs="Times New Roman"/>
      <w:sz w:val="24"/>
      <w:szCs w:val="24"/>
      <w:lang w:val="fr-SN" w:eastAsia="fr-FR"/>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llemoyenne1-Accent43">
    <w:name w:val="Grille moyenne 1 - Accent 43"/>
    <w:basedOn w:val="TableauNormal"/>
    <w:next w:val="Grillemoyenne1-Accent4"/>
    <w:uiPriority w:val="29"/>
    <w:rsid w:val="000676A1"/>
    <w:pPr>
      <w:spacing w:after="0" w:line="240" w:lineRule="auto"/>
    </w:pPr>
    <w:rPr>
      <w:rFonts w:ascii="Calibri" w:eastAsia="Times New Roman" w:hAnsi="Calibri" w:cs="Times New Roman"/>
      <w:i/>
      <w:iCs/>
      <w:color w:val="000000"/>
      <w:lang w:val="en-US" w:bidi="en-US"/>
      <w14:ligatures w14:val="standardContextu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lastRow">
      <w:tblPr/>
      <w:tcPr>
        <w:tcBorders>
          <w:top w:val="single" w:sz="18" w:space="0" w:color="9F8AB9"/>
        </w:tcBorders>
      </w:tcPr>
    </w:tblStylePr>
    <w:tblStylePr w:type="band1Vert">
      <w:tblPr/>
      <w:tcPr>
        <w:shd w:val="clear" w:color="auto" w:fill="BFB1D0"/>
      </w:tcPr>
    </w:tblStylePr>
    <w:tblStylePr w:type="band1Horz">
      <w:tblPr/>
      <w:tcPr>
        <w:shd w:val="clear" w:color="auto" w:fill="BFB1D0"/>
      </w:tcPr>
    </w:tblStylePr>
  </w:style>
  <w:style w:type="table" w:customStyle="1" w:styleId="Grillemoyenne2-Accent43">
    <w:name w:val="Grille moyenne 2 - Accent 43"/>
    <w:basedOn w:val="TableauNormal"/>
    <w:next w:val="Grillemoyenne2-Accent4"/>
    <w:uiPriority w:val="30"/>
    <w:rsid w:val="000676A1"/>
    <w:pPr>
      <w:spacing w:after="0" w:line="240" w:lineRule="auto"/>
    </w:pPr>
    <w:rPr>
      <w:rFonts w:ascii="Calibri" w:eastAsia="Times New Roman" w:hAnsi="Calibri" w:cs="Times New Roman"/>
      <w:b/>
      <w:bCs/>
      <w:i/>
      <w:iCs/>
      <w:color w:val="4F81BD"/>
      <w:lang w:val="en-US" w:bidi="en-US"/>
      <w14:ligatures w14:val="standardContextu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tblPr/>
      <w:tcPr>
        <w:shd w:val="clear" w:color="auto" w:fill="F2EFF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insuco33">
    <w:name w:val="insuco33"/>
    <w:basedOn w:val="Grilledutableau"/>
    <w:next w:val="Grillemoyenne2-Accent6"/>
    <w:uiPriority w:val="60"/>
    <w:rsid w:val="000676A1"/>
    <w:rPr>
      <w:rFonts w:ascii="Arial" w:hAnsi="Arial"/>
      <w:sz w:val="16"/>
      <w:szCs w:val="22"/>
      <w:lang w:val="fr-SN"/>
      <w14:ligatures w14:val="standardContextual"/>
    </w:rPr>
    <w:tblPr>
      <w:tblStyleRowBandSize w:val="1"/>
      <w:tblStyleColBandSize w:val="1"/>
      <w:tblBorders>
        <w:top w:val="single" w:sz="18" w:space="0" w:color="14726E"/>
        <w:left w:val="none" w:sz="0" w:space="0" w:color="auto"/>
        <w:bottom w:val="single" w:sz="18" w:space="0" w:color="14726E"/>
        <w:right w:val="none" w:sz="0" w:space="0" w:color="auto"/>
        <w:insideH w:val="none" w:sz="0" w:space="0" w:color="auto"/>
        <w:insideV w:val="none" w:sz="0" w:space="0" w:color="auto"/>
      </w:tblBorders>
    </w:tblPr>
    <w:tcPr>
      <w:vAlign w:val="center"/>
    </w:tcPr>
    <w:tblStylePr w:type="firstRow">
      <w:pPr>
        <w:wordWrap/>
        <w:spacing w:before="0" w:beforeAutospacing="0" w:afterLines="0" w:afterAutospacing="0" w:line="240" w:lineRule="auto"/>
      </w:pPr>
      <w:rPr>
        <w:b/>
        <w:bCs/>
      </w:rPr>
      <w:tblPr/>
      <w:tcPr>
        <w:tcBorders>
          <w:top w:val="single" w:sz="12" w:space="0" w:color="14726E"/>
          <w:left w:val="nil"/>
          <w:bottom w:val="single" w:sz="12" w:space="0" w:color="14726E"/>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ausimple44">
    <w:name w:val="Tableau simple 44"/>
    <w:basedOn w:val="TableauNormal"/>
    <w:next w:val="Tableausimple4"/>
    <w:uiPriority w:val="21"/>
    <w:qFormat/>
    <w:rsid w:val="000676A1"/>
    <w:pPr>
      <w:spacing w:after="0" w:line="240" w:lineRule="auto"/>
    </w:pPr>
    <w:rPr>
      <w:rFonts w:ascii="Cambria" w:eastAsia="Cambria" w:hAnsi="Cambria" w:cs="Times New Roman"/>
      <w:lang w:val="fr-SN"/>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S Mincho" w:eastAsia="Batang" w:hAnsi="MS Mincho"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S Mincho" w:eastAsia="Batang" w:hAnsi="MS Mincho"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S Mincho" w:eastAsia="Batang" w:hAnsi="MS Mincho" w:cs="Times New Roman"/>
        <w:b/>
        <w:bCs/>
      </w:rPr>
    </w:tblStylePr>
    <w:tblStylePr w:type="lastCol">
      <w:rPr>
        <w:rFonts w:ascii="MS Mincho" w:eastAsia="Batang" w:hAnsi="MS Mincho"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Normal6">
    <w:name w:val="Table Normal6"/>
    <w:uiPriority w:val="2"/>
    <w:semiHidden/>
    <w:unhideWhenUsed/>
    <w:qFormat/>
    <w:rsid w:val="000676A1"/>
    <w:pPr>
      <w:widowControl w:val="0"/>
      <w:autoSpaceDE w:val="0"/>
      <w:autoSpaceDN w:val="0"/>
      <w:spacing w:after="0" w:line="240" w:lineRule="auto"/>
    </w:pPr>
    <w:rPr>
      <w:rFonts w:ascii="Cambria" w:eastAsia="Cambria" w:hAnsi="Cambria" w:cs="Times New Roman"/>
      <w:lang w:val="en-US"/>
      <w14:ligatures w14:val="standardContextual"/>
    </w:rPr>
    <w:tblPr>
      <w:tblInd w:w="0" w:type="dxa"/>
      <w:tblCellMar>
        <w:top w:w="0" w:type="dxa"/>
        <w:left w:w="0" w:type="dxa"/>
        <w:bottom w:w="0" w:type="dxa"/>
        <w:right w:w="0" w:type="dxa"/>
      </w:tblCellMar>
    </w:tblPr>
  </w:style>
  <w:style w:type="table" w:customStyle="1" w:styleId="Tableausimple34">
    <w:name w:val="Tableau simple 34"/>
    <w:basedOn w:val="TableauNormal"/>
    <w:next w:val="Tableausimple3"/>
    <w:uiPriority w:val="61"/>
    <w:qFormat/>
    <w:rsid w:val="000676A1"/>
    <w:pPr>
      <w:spacing w:after="0" w:line="240" w:lineRule="auto"/>
    </w:pPr>
    <w:rPr>
      <w:rFonts w:ascii="Cambria" w:eastAsia="Cambria" w:hAnsi="Cambria" w:cs="Times New Roman"/>
      <w:lang w:val="fr-SN"/>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ausimple54">
    <w:name w:val="Tableau simple 54"/>
    <w:basedOn w:val="TableauNormal"/>
    <w:next w:val="Tableausimple5"/>
    <w:uiPriority w:val="63"/>
    <w:qFormat/>
    <w:rsid w:val="000676A1"/>
    <w:pPr>
      <w:spacing w:after="0" w:line="240" w:lineRule="auto"/>
    </w:pPr>
    <w:rPr>
      <w:rFonts w:ascii="Cambria" w:eastAsia="Cambria" w:hAnsi="Cambria" w:cs="Times New Roman"/>
      <w:lang w:val="fr-SN"/>
      <w14:ligatures w14:val="standardContextua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Bibliographie13">
    <w:name w:val="Bibliographie13"/>
    <w:basedOn w:val="TableauNormal"/>
    <w:uiPriority w:val="61"/>
    <w:rsid w:val="000676A1"/>
    <w:pPr>
      <w:spacing w:after="0" w:line="240" w:lineRule="auto"/>
    </w:pPr>
    <w:rPr>
      <w:rFonts w:ascii="Cambria" w:eastAsia="Cambria" w:hAnsi="Cambria" w:cs="Times New Roman"/>
      <w:lang w:val="fr-CA"/>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moyenne1-Accent23">
    <w:name w:val="Liste moyenne 1 - Accent 23"/>
    <w:basedOn w:val="TableauNormal"/>
    <w:next w:val="Listemoyenne1-Accent2"/>
    <w:uiPriority w:val="61"/>
    <w:rsid w:val="000676A1"/>
    <w:pPr>
      <w:spacing w:after="0" w:line="240" w:lineRule="auto"/>
    </w:pPr>
    <w:rPr>
      <w:rFonts w:ascii="Cambria" w:eastAsia="Cambria" w:hAnsi="Cambria" w:cs="Times New Roman"/>
      <w:lang w:val="fr-CA"/>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Grille23">
    <w:name w:val="Grille23"/>
    <w:basedOn w:val="TableauNormal"/>
    <w:next w:val="Grilledutableau"/>
    <w:uiPriority w:val="3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33">
    <w:name w:val="Grille33"/>
    <w:basedOn w:val="TableauNormal"/>
    <w:next w:val="Grilledutableau"/>
    <w:uiPriority w:val="3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4-Accentuation63">
    <w:name w:val="Tableau Grille 4 - Accentuation 63"/>
    <w:basedOn w:val="TableauNormal"/>
    <w:next w:val="TableauGrille4-Accentuation6"/>
    <w:uiPriority w:val="49"/>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ramecouleur-Accent34">
    <w:name w:val="Trame couleur - Accent 34"/>
    <w:basedOn w:val="TableauNormal"/>
    <w:next w:val="Tramecouleur-Accent3"/>
    <w:unhideWhenUsed/>
    <w:rsid w:val="000676A1"/>
    <w:pPr>
      <w:spacing w:after="0" w:line="240" w:lineRule="auto"/>
    </w:pPr>
    <w:rPr>
      <w:rFonts w:ascii="Calibri" w:eastAsia="Calibri" w:hAnsi="Calibri" w:cs="Times New Roman"/>
      <w:sz w:val="24"/>
      <w:szCs w:val="24"/>
      <w:lang w:val="fr-SN"/>
      <w14:ligatures w14:val="standardContextual"/>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Tramemoyenne1-Accent23">
    <w:name w:val="Trame moyenne 1 - Accent 23"/>
    <w:basedOn w:val="TableauNormal"/>
    <w:next w:val="Tramemoyenne1-Accent2"/>
    <w:uiPriority w:val="1"/>
    <w:unhideWhenUsed/>
    <w:rsid w:val="000676A1"/>
    <w:pPr>
      <w:spacing w:after="0" w:line="240" w:lineRule="auto"/>
    </w:pPr>
    <w:rPr>
      <w:rFonts w:ascii="Times New Roman" w:eastAsia="Times New Roman" w:hAnsi="Times New Roman"/>
      <w:sz w:val="24"/>
      <w:szCs w:val="24"/>
      <w:lang w:val="en-US"/>
      <w14:ligatures w14:val="standardContextual"/>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TableauGrille1Clair-Accentuation16">
    <w:name w:val="Tableau Grille 1 Clair - Accentuation 16"/>
    <w:basedOn w:val="TableauNormal"/>
    <w:next w:val="TableauGrille1Clair-Accentuation1"/>
    <w:uiPriority w:val="46"/>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llemoyenne1-Accent27">
    <w:name w:val="Grille moyenne 1 - Accent 27"/>
    <w:basedOn w:val="TableauNormal"/>
    <w:next w:val="Grillemoyenne1-Accent2"/>
    <w:uiPriority w:val="34"/>
    <w:rsid w:val="000676A1"/>
    <w:pPr>
      <w:spacing w:after="0" w:line="240" w:lineRule="auto"/>
    </w:pPr>
    <w:rPr>
      <w:rFonts w:ascii="Calibri" w:eastAsia="Calibri" w:hAnsi="Calibri" w:cs="Times New Roman"/>
      <w:lang w:val="fr-SN"/>
      <w14:ligatures w14:val="standardContextu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Grillemoyenne219">
    <w:name w:val="Grille moyenne 219"/>
    <w:basedOn w:val="TableauNormal"/>
    <w:uiPriority w:val="1"/>
    <w:rsid w:val="000676A1"/>
    <w:pPr>
      <w:spacing w:after="0" w:line="240" w:lineRule="auto"/>
    </w:pPr>
    <w:rPr>
      <w:rFonts w:ascii="Arial (W1)" w:eastAsia="Calibri" w:hAnsi="Arial (W1)" w:cs="Arial"/>
      <w:lang w:val="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stefonce-Accent54">
    <w:name w:val="Liste foncée - Accent 54"/>
    <w:basedOn w:val="TableauNormal"/>
    <w:next w:val="Listefonce-Accent5"/>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stefonce-Accent64">
    <w:name w:val="Liste foncée - Accent 64"/>
    <w:basedOn w:val="TableauNormal"/>
    <w:next w:val="Listefonce-Accent6"/>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lleclaire-Accent114">
    <w:name w:val="Grille claire - Accent 114"/>
    <w:basedOn w:val="TableauNormal"/>
    <w:uiPriority w:val="62"/>
    <w:rsid w:val="000676A1"/>
    <w:pPr>
      <w:spacing w:after="0" w:line="240" w:lineRule="auto"/>
    </w:pPr>
    <w:rPr>
      <w:rFonts w:ascii="Calibri" w:eastAsia="Calibri" w:hAnsi="Calibri" w:cs="Times New Roman"/>
      <w:sz w:val="20"/>
      <w:szCs w:val="20"/>
      <w:lang w:val="fr-SN" w:eastAsia="fr-F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Latha" w:eastAsia="Times New Roman" w:hAnsi="Lath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Latha" w:eastAsia="Times New Roman" w:hAnsi="Lath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atha" w:eastAsia="Times New Roman" w:hAnsi="Latha" w:cs="Times New Roman"/>
        <w:b/>
        <w:bCs/>
      </w:rPr>
    </w:tblStylePr>
    <w:tblStylePr w:type="lastCol">
      <w:rPr>
        <w:rFonts w:ascii="Latha" w:eastAsia="Times New Roman" w:hAnsi="Lath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Aucuneliste34">
    <w:name w:val="Aucune liste34"/>
    <w:next w:val="Aucuneliste"/>
    <w:uiPriority w:val="99"/>
    <w:semiHidden/>
    <w:unhideWhenUsed/>
    <w:rsid w:val="000676A1"/>
  </w:style>
  <w:style w:type="numbering" w:customStyle="1" w:styleId="Aucuneliste44">
    <w:name w:val="Aucune liste44"/>
    <w:next w:val="Aucuneliste"/>
    <w:uiPriority w:val="99"/>
    <w:semiHidden/>
    <w:unhideWhenUsed/>
    <w:rsid w:val="000676A1"/>
  </w:style>
  <w:style w:type="numbering" w:customStyle="1" w:styleId="Aucuneliste54">
    <w:name w:val="Aucune liste54"/>
    <w:next w:val="Aucuneliste"/>
    <w:uiPriority w:val="99"/>
    <w:semiHidden/>
    <w:unhideWhenUsed/>
    <w:rsid w:val="000676A1"/>
  </w:style>
  <w:style w:type="numbering" w:customStyle="1" w:styleId="Aucuneliste64">
    <w:name w:val="Aucune liste64"/>
    <w:next w:val="Aucuneliste"/>
    <w:uiPriority w:val="99"/>
    <w:semiHidden/>
    <w:unhideWhenUsed/>
    <w:rsid w:val="000676A1"/>
  </w:style>
  <w:style w:type="numbering" w:customStyle="1" w:styleId="140">
    <w:name w:val="无列表14"/>
    <w:next w:val="Aucuneliste"/>
    <w:uiPriority w:val="99"/>
    <w:semiHidden/>
    <w:unhideWhenUsed/>
    <w:rsid w:val="000676A1"/>
  </w:style>
  <w:style w:type="table" w:customStyle="1" w:styleId="Trameclaire-Accent25">
    <w:name w:val="Trame claire - Accent 25"/>
    <w:basedOn w:val="TableauNormal"/>
    <w:next w:val="Trameclaire-Accent2"/>
    <w:uiPriority w:val="30"/>
    <w:rsid w:val="000676A1"/>
    <w:pPr>
      <w:spacing w:after="0" w:line="240" w:lineRule="auto"/>
    </w:pPr>
    <w:rPr>
      <w:rFonts w:eastAsia="SimSun"/>
      <w:b/>
      <w:bCs/>
      <w:i/>
      <w:iCs/>
      <w:color w:val="4F81BD"/>
      <w:sz w:val="24"/>
      <w:szCs w:val="24"/>
      <w14:ligatures w14:val="standardContextual"/>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Grid219">
    <w:name w:val="Medium Grid 219"/>
    <w:basedOn w:val="TableauNormal"/>
    <w:uiPriority w:val="1"/>
    <w:rsid w:val="000676A1"/>
    <w:pPr>
      <w:spacing w:after="0" w:line="240" w:lineRule="auto"/>
    </w:pPr>
    <w:rPr>
      <w:rFonts w:ascii="Arial (W1)" w:eastAsia="Calibri" w:hAnsi="Arial (W1)" w:cs="Arial"/>
      <w:lang w:val="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llecouleur-Accent15">
    <w:name w:val="Grille couleur - Accent 15"/>
    <w:basedOn w:val="TableauNormal"/>
    <w:next w:val="Grillecouleur-Accent1"/>
    <w:uiPriority w:val="29"/>
    <w:rsid w:val="000676A1"/>
    <w:pPr>
      <w:spacing w:after="0" w:line="240" w:lineRule="auto"/>
    </w:pPr>
    <w:rPr>
      <w:rFonts w:eastAsia="SimSun"/>
      <w:i/>
      <w:iCs/>
      <w:color w:val="000000"/>
      <w:kern w:val="2"/>
      <w:sz w:val="24"/>
      <w:szCs w:val="21"/>
      <w:lang w:val="en-US" w:eastAsia="zh-CN"/>
      <w14:ligatures w14:val="standardContextual"/>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numbering" w:customStyle="1" w:styleId="Aucuneliste73">
    <w:name w:val="Aucune liste73"/>
    <w:next w:val="Aucuneliste"/>
    <w:uiPriority w:val="99"/>
    <w:semiHidden/>
    <w:unhideWhenUsed/>
    <w:rsid w:val="000676A1"/>
  </w:style>
  <w:style w:type="table" w:customStyle="1" w:styleId="TableauGrille1Clair-Accentuation133">
    <w:name w:val="Tableau Grille 1 Clair - Accentuation 133"/>
    <w:basedOn w:val="TableauNormal"/>
    <w:next w:val="TableauGrille1Clair-Accentuation1"/>
    <w:uiPriority w:val="46"/>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lledutableau193">
    <w:name w:val="Grille du tableau193"/>
    <w:basedOn w:val="TableauNormal"/>
    <w:next w:val="Grilledutableau"/>
    <w:uiPriority w:val="3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etableauclaire23">
    <w:name w:val="Grille de tableau claire23"/>
    <w:basedOn w:val="TableauNormal"/>
    <w:next w:val="Grilledetableauclaire"/>
    <w:uiPriority w:val="40"/>
    <w:rsid w:val="000676A1"/>
    <w:pPr>
      <w:spacing w:after="0" w:line="240" w:lineRule="auto"/>
    </w:pPr>
    <w:rPr>
      <w:rFonts w:ascii="Calibri" w:eastAsia="Calibri" w:hAnsi="Calibri" w:cs="Times New Roman"/>
      <w:lang w:val="fr-SN"/>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Aucuneliste83">
    <w:name w:val="Aucune liste83"/>
    <w:next w:val="Aucuneliste"/>
    <w:uiPriority w:val="99"/>
    <w:semiHidden/>
    <w:unhideWhenUsed/>
    <w:rsid w:val="000676A1"/>
  </w:style>
  <w:style w:type="table" w:customStyle="1" w:styleId="Grilledutableau1103">
    <w:name w:val="Grille du tableau1103"/>
    <w:basedOn w:val="TableauNormal"/>
    <w:next w:val="Grilledutableau"/>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33">
    <w:name w:val="Grille du tableau233"/>
    <w:basedOn w:val="TableauNormal"/>
    <w:next w:val="Grilledutableau"/>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Aucuneliste"/>
    <w:uiPriority w:val="99"/>
    <w:semiHidden/>
    <w:unhideWhenUsed/>
    <w:rsid w:val="000676A1"/>
  </w:style>
  <w:style w:type="table" w:customStyle="1" w:styleId="Grilledutableau313">
    <w:name w:val="Grille du tableau313"/>
    <w:basedOn w:val="TableauNormal"/>
    <w:next w:val="Grilledutableau"/>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auNormal"/>
    <w:next w:val="Grilledutableau"/>
    <w:uiPriority w:val="59"/>
    <w:rsid w:val="000676A1"/>
    <w:pPr>
      <w:spacing w:after="0" w:line="240" w:lineRule="auto"/>
    </w:pPr>
    <w:rPr>
      <w:rFonts w:ascii="Calibri" w:eastAsia="MS Mincho"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0676A1"/>
    <w:pPr>
      <w:widowControl w:val="0"/>
      <w:spacing w:after="0" w:line="240" w:lineRule="auto"/>
    </w:pPr>
    <w:rPr>
      <w:rFonts w:ascii="Calibri" w:eastAsia="Calibri" w:hAnsi="Calibri" w:cs="Times New Roman"/>
      <w:lang w:val="en-US"/>
      <w14:ligatures w14:val="standardContextual"/>
    </w:rPr>
    <w:tblPr>
      <w:tblInd w:w="0" w:type="dxa"/>
      <w:tblCellMar>
        <w:top w:w="0" w:type="dxa"/>
        <w:left w:w="0" w:type="dxa"/>
        <w:bottom w:w="0" w:type="dxa"/>
        <w:right w:w="0" w:type="dxa"/>
      </w:tblCellMar>
    </w:tblPr>
  </w:style>
  <w:style w:type="table" w:customStyle="1" w:styleId="Grilledutableau613">
    <w:name w:val="Grille du tableau613"/>
    <w:basedOn w:val="TableauNormal"/>
    <w:next w:val="Grilledutableau"/>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3">
    <w:name w:val="Grille du tableau723"/>
    <w:basedOn w:val="TableauNormal"/>
    <w:next w:val="Grilledutableau"/>
    <w:uiPriority w:val="59"/>
    <w:rsid w:val="000676A1"/>
    <w:pPr>
      <w:spacing w:after="0" w:line="240" w:lineRule="auto"/>
    </w:pPr>
    <w:rPr>
      <w:rFonts w:ascii="Cambria" w:eastAsia="Cambria" w:hAnsi="Cambria" w:cs="Times New Roman"/>
      <w:lang w:val="fr-SN"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moyenne1-Accent243">
    <w:name w:val="Grille moyenne 1 - Accent 243"/>
    <w:basedOn w:val="TableauNormal"/>
    <w:next w:val="Grillemoyenne1-Accent2"/>
    <w:uiPriority w:val="34"/>
    <w:rsid w:val="000676A1"/>
    <w:pPr>
      <w:spacing w:after="0" w:line="240" w:lineRule="auto"/>
    </w:pPr>
    <w:rPr>
      <w:rFonts w:ascii="Calibri" w:eastAsia="Calibri" w:hAnsi="Calibri" w:cs="Times New Roman"/>
      <w:lang w:val="fr-SN"/>
      <w14:ligatures w14:val="standardContextu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Grillemoyenne2113">
    <w:name w:val="Grille moyenne 2113"/>
    <w:basedOn w:val="TableauNormal"/>
    <w:uiPriority w:val="1"/>
    <w:rsid w:val="000676A1"/>
    <w:pPr>
      <w:spacing w:after="0" w:line="240" w:lineRule="auto"/>
    </w:pPr>
    <w:rPr>
      <w:rFonts w:ascii="Arial (W1)" w:eastAsia="Calibri" w:hAnsi="Arial (W1)" w:cs="Arial"/>
      <w:lang w:val="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steclaire113">
    <w:name w:val="Liste claire113"/>
    <w:basedOn w:val="TableauNormal"/>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efonce-Accent513">
    <w:name w:val="Liste foncée - Accent 513"/>
    <w:basedOn w:val="TableauNormal"/>
    <w:next w:val="Listefonce-Accent5"/>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Aucuneliste213">
    <w:name w:val="Aucune liste213"/>
    <w:next w:val="Aucuneliste"/>
    <w:uiPriority w:val="99"/>
    <w:semiHidden/>
    <w:unhideWhenUsed/>
    <w:rsid w:val="000676A1"/>
  </w:style>
  <w:style w:type="table" w:customStyle="1" w:styleId="Listeclaire-Accent61223">
    <w:name w:val="Liste claire - Accent 61223"/>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133">
    <w:name w:val="Liste claire - Accent 6133"/>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fonce-Accent613">
    <w:name w:val="Liste foncée - Accent 613"/>
    <w:basedOn w:val="TableauNormal"/>
    <w:next w:val="Listefonce-Accent6"/>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lleclaire-Accent1113">
    <w:name w:val="Grille claire - Accent 1113"/>
    <w:basedOn w:val="TableauNormal"/>
    <w:uiPriority w:val="62"/>
    <w:rsid w:val="000676A1"/>
    <w:pPr>
      <w:spacing w:after="0" w:line="240" w:lineRule="auto"/>
    </w:pPr>
    <w:rPr>
      <w:rFonts w:ascii="Calibri" w:eastAsia="Calibri" w:hAnsi="Calibri" w:cs="Times New Roman"/>
      <w:sz w:val="20"/>
      <w:szCs w:val="20"/>
      <w:lang w:val="fr-SN" w:eastAsia="fr-F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Latha" w:eastAsia="Times New Roman" w:hAnsi="Lath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Latha" w:eastAsia="Times New Roman" w:hAnsi="Lath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atha" w:eastAsia="Times New Roman" w:hAnsi="Latha" w:cs="Times New Roman"/>
        <w:b/>
        <w:bCs/>
      </w:rPr>
    </w:tblStylePr>
    <w:tblStylePr w:type="lastCol">
      <w:rPr>
        <w:rFonts w:ascii="Latha" w:eastAsia="Times New Roman" w:hAnsi="Lath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Aucuneliste313">
    <w:name w:val="Aucune liste313"/>
    <w:next w:val="Aucuneliste"/>
    <w:uiPriority w:val="99"/>
    <w:semiHidden/>
    <w:unhideWhenUsed/>
    <w:rsid w:val="000676A1"/>
  </w:style>
  <w:style w:type="numbering" w:customStyle="1" w:styleId="Aucuneliste413">
    <w:name w:val="Aucune liste413"/>
    <w:next w:val="Aucuneliste"/>
    <w:uiPriority w:val="99"/>
    <w:semiHidden/>
    <w:unhideWhenUsed/>
    <w:rsid w:val="000676A1"/>
  </w:style>
  <w:style w:type="table" w:customStyle="1" w:styleId="Grilledutableau513">
    <w:name w:val="Grille du tableau513"/>
    <w:basedOn w:val="TableauNormal"/>
    <w:next w:val="Grilledutableau"/>
    <w:uiPriority w:val="59"/>
    <w:rsid w:val="000676A1"/>
    <w:pPr>
      <w:spacing w:after="0" w:line="240" w:lineRule="auto"/>
    </w:pPr>
    <w:rPr>
      <w:rFonts w:ascii="Calibri" w:eastAsia="Times New Roman" w:hAnsi="Calibri" w:cs="Times New Roman"/>
      <w:sz w:val="20"/>
      <w:szCs w:val="20"/>
      <w:lang w:val="fr-SN" w:eastAsia="fr-F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513">
    <w:name w:val="Aucune liste513"/>
    <w:next w:val="Aucuneliste"/>
    <w:uiPriority w:val="99"/>
    <w:semiHidden/>
    <w:unhideWhenUsed/>
    <w:rsid w:val="000676A1"/>
  </w:style>
  <w:style w:type="table" w:customStyle="1" w:styleId="Grilledutableau2113">
    <w:name w:val="Grille du tableau2113"/>
    <w:basedOn w:val="TableauNormal"/>
    <w:next w:val="Grilledutableau"/>
    <w:uiPriority w:val="59"/>
    <w:rsid w:val="000676A1"/>
    <w:pPr>
      <w:spacing w:after="0" w:line="240" w:lineRule="auto"/>
    </w:pPr>
    <w:rPr>
      <w:rFonts w:ascii="Calibri" w:eastAsia="Times New Roman" w:hAnsi="Calibri" w:cs="Times New Roman"/>
      <w:lang w:val="fr-SN" w:eastAsia="fr-F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eclaire-Accent612113">
    <w:name w:val="Liste claire - Accent 612113"/>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1113">
    <w:name w:val="Liste claire - Accent 61113"/>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213">
    <w:name w:val="Liste claire - Accent 6213"/>
    <w:basedOn w:val="TableauNormal"/>
    <w:next w:val="Listefonce-Accent6"/>
    <w:uiPriority w:val="61"/>
    <w:rsid w:val="000676A1"/>
    <w:pPr>
      <w:spacing w:after="0" w:line="240" w:lineRule="auto"/>
      <w:jc w:val="both"/>
    </w:pPr>
    <w:rPr>
      <w:rFonts w:ascii="Arial Narrow" w:eastAsia="Calibri" w:hAnsi="Arial Narrow" w:cs="Times New Roman"/>
      <w:sz w:val="24"/>
      <w:lang w:val="en-GB"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Aucuneliste613">
    <w:name w:val="Aucune liste613"/>
    <w:next w:val="Aucuneliste"/>
    <w:uiPriority w:val="99"/>
    <w:semiHidden/>
    <w:unhideWhenUsed/>
    <w:rsid w:val="000676A1"/>
  </w:style>
  <w:style w:type="numbering" w:customStyle="1" w:styleId="113">
    <w:name w:val="无列表113"/>
    <w:next w:val="Aucuneliste"/>
    <w:uiPriority w:val="99"/>
    <w:semiHidden/>
    <w:unhideWhenUsed/>
    <w:rsid w:val="000676A1"/>
  </w:style>
  <w:style w:type="table" w:customStyle="1" w:styleId="Trameclaire-Accent223">
    <w:name w:val="Trame claire - Accent 223"/>
    <w:basedOn w:val="TableauNormal"/>
    <w:next w:val="Trameclaire-Accent2"/>
    <w:uiPriority w:val="30"/>
    <w:rsid w:val="000676A1"/>
    <w:pPr>
      <w:spacing w:after="0" w:line="240" w:lineRule="auto"/>
    </w:pPr>
    <w:rPr>
      <w:rFonts w:ascii="Calibri" w:eastAsia="Calibri" w:hAnsi="Calibri" w:cs="Times New Roman"/>
      <w:b/>
      <w:bCs/>
      <w:i/>
      <w:iCs/>
      <w:color w:val="4F81BD"/>
      <w:sz w:val="24"/>
      <w:szCs w:val="24"/>
      <w:lang w:val="fr-SN"/>
      <w14:ligatures w14:val="standardContextual"/>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Grid2113">
    <w:name w:val="Medium Grid 2113"/>
    <w:basedOn w:val="TableauNormal"/>
    <w:uiPriority w:val="1"/>
    <w:rsid w:val="000676A1"/>
    <w:pPr>
      <w:spacing w:after="0" w:line="240" w:lineRule="auto"/>
    </w:pPr>
    <w:rPr>
      <w:rFonts w:ascii="Arial (W1)" w:eastAsia="Calibri" w:hAnsi="Arial (W1)" w:cs="Arial"/>
      <w:lang w:val="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llecouleur-Accent123">
    <w:name w:val="Grille couleur - Accent 123"/>
    <w:basedOn w:val="TableauNormal"/>
    <w:next w:val="Grillecouleur-Accent1"/>
    <w:uiPriority w:val="29"/>
    <w:rsid w:val="000676A1"/>
    <w:pPr>
      <w:spacing w:after="0" w:line="240" w:lineRule="auto"/>
    </w:pPr>
    <w:rPr>
      <w:rFonts w:ascii="Calibri" w:eastAsia="SimSun" w:hAnsi="Calibri" w:cs="Times New Roman"/>
      <w:i/>
      <w:iCs/>
      <w:color w:val="000000"/>
      <w:kern w:val="2"/>
      <w:sz w:val="24"/>
      <w:szCs w:val="21"/>
      <w:lang w:val="en-US" w:eastAsia="zh-CN"/>
      <w14:ligatures w14:val="standardContextual"/>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TableauGrille6Couleur3">
    <w:name w:val="Tableau Grille 6 Couleur3"/>
    <w:basedOn w:val="TableauNormal"/>
    <w:next w:val="TableauGrille6Couleur"/>
    <w:uiPriority w:val="51"/>
    <w:rsid w:val="000676A1"/>
    <w:pPr>
      <w:spacing w:after="0" w:line="240" w:lineRule="auto"/>
    </w:pPr>
    <w:rPr>
      <w:rFonts w:ascii="Calibri" w:eastAsia="Calibri" w:hAnsi="Calibri" w:cs="Times New Roman"/>
      <w:color w:val="000000"/>
      <w:lang w:val="fr-SN"/>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4-Accentuation53">
    <w:name w:val="Tableau Grille 4 - Accentuation 53"/>
    <w:basedOn w:val="TableauNormal"/>
    <w:next w:val="TableauGrille4-Accentuation5"/>
    <w:uiPriority w:val="49"/>
    <w:rsid w:val="000676A1"/>
    <w:pPr>
      <w:spacing w:after="0" w:line="240" w:lineRule="auto"/>
    </w:pPr>
    <w:rPr>
      <w:rFonts w:ascii="Calibri" w:eastAsia="Calibri" w:hAnsi="Calibri" w:cs="Times New Roman"/>
      <w:sz w:val="20"/>
      <w:lang w:val="fr-S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Grille45">
    <w:name w:val="Tableau Grille 45"/>
    <w:basedOn w:val="TableauNormal"/>
    <w:next w:val="TableauGrille4"/>
    <w:uiPriority w:val="49"/>
    <w:rsid w:val="000676A1"/>
    <w:pPr>
      <w:spacing w:after="0" w:line="240" w:lineRule="auto"/>
    </w:pPr>
    <w:rPr>
      <w:rFonts w:ascii="Calibri" w:eastAsia="Calibri" w:hAnsi="Calibri" w:cs="Times New Roman"/>
      <w:sz w:val="20"/>
      <w:lang w:val="fr-SN"/>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5Fonc-Accentuation53">
    <w:name w:val="Tableau Grille 5 Foncé - Accentuation 53"/>
    <w:basedOn w:val="TableauNormal"/>
    <w:next w:val="TableauGrille5Fonc-Accentuation5"/>
    <w:uiPriority w:val="50"/>
    <w:rsid w:val="000676A1"/>
    <w:pPr>
      <w:spacing w:after="0" w:line="240" w:lineRule="auto"/>
    </w:pPr>
    <w:rPr>
      <w:rFonts w:ascii="Calibri" w:eastAsia="Calibri" w:hAnsi="Calibri" w:cs="Times New Roman"/>
      <w:sz w:val="20"/>
      <w:lang w:val="fr-SN"/>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auGrille5Fonc-Accentuation63">
    <w:name w:val="Tableau Grille 5 Foncé - Accentuation 63"/>
    <w:basedOn w:val="TableauNormal"/>
    <w:next w:val="TableauGrille5Fonc-Accentuation6"/>
    <w:uiPriority w:val="50"/>
    <w:rsid w:val="000676A1"/>
    <w:pPr>
      <w:spacing w:after="0" w:line="240" w:lineRule="auto"/>
    </w:pPr>
    <w:rPr>
      <w:rFonts w:ascii="Calibri" w:eastAsia="Calibri" w:hAnsi="Calibri" w:cs="Times New Roman"/>
      <w:sz w:val="20"/>
      <w:lang w:val="fr-SN"/>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eauGrille5Fonc-Accentuation23">
    <w:name w:val="Tableau Grille 5 Foncé - Accentuation 23"/>
    <w:basedOn w:val="TableauNormal"/>
    <w:next w:val="TableauGrille5Fonc-Accentuation2"/>
    <w:uiPriority w:val="50"/>
    <w:rsid w:val="000676A1"/>
    <w:pPr>
      <w:spacing w:after="0" w:line="240" w:lineRule="auto"/>
    </w:pPr>
    <w:rPr>
      <w:rFonts w:ascii="Calibri" w:eastAsia="Calibri" w:hAnsi="Calibri" w:cs="Times New Roman"/>
      <w:sz w:val="20"/>
      <w:lang w:val="fr-SN"/>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TableauListe5Fonc-Accentuation63">
    <w:name w:val="Tableau Liste 5 Foncé - Accentuation 63"/>
    <w:basedOn w:val="TableauNormal"/>
    <w:next w:val="TableauListe5Fonc-Accentuation6"/>
    <w:uiPriority w:val="50"/>
    <w:rsid w:val="000676A1"/>
    <w:pPr>
      <w:spacing w:after="0" w:line="240" w:lineRule="auto"/>
    </w:pPr>
    <w:rPr>
      <w:rFonts w:ascii="Calibri" w:eastAsia="Calibri" w:hAnsi="Calibri" w:cs="Times New Roman"/>
      <w:color w:val="FFFFFF"/>
      <w:sz w:val="20"/>
      <w:lang w:val="fr-SN"/>
      <w14:ligatures w14:val="standardContextual"/>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4-Accentuation63">
    <w:name w:val="Tableau Liste 4 - Accentuation 63"/>
    <w:basedOn w:val="TableauNormal"/>
    <w:next w:val="TableauListe4-Accentuation6"/>
    <w:uiPriority w:val="49"/>
    <w:rsid w:val="000676A1"/>
    <w:pPr>
      <w:spacing w:after="0" w:line="240" w:lineRule="auto"/>
    </w:pPr>
    <w:rPr>
      <w:rFonts w:ascii="Calibri" w:eastAsia="Calibri" w:hAnsi="Calibri" w:cs="Times New Roman"/>
      <w:sz w:val="20"/>
      <w:lang w:val="fr-SN"/>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auListe5Fonc-Accentuation53">
    <w:name w:val="Tableau Liste 5 Foncé - Accentuation 53"/>
    <w:basedOn w:val="TableauNormal"/>
    <w:next w:val="TableauListe5Fonc-Accentuation5"/>
    <w:uiPriority w:val="50"/>
    <w:rsid w:val="000676A1"/>
    <w:pPr>
      <w:spacing w:after="0" w:line="240" w:lineRule="auto"/>
    </w:pPr>
    <w:rPr>
      <w:rFonts w:ascii="Calibri" w:eastAsia="Calibri" w:hAnsi="Calibri" w:cs="Times New Roman"/>
      <w:color w:val="FFFFFF"/>
      <w:sz w:val="20"/>
      <w:lang w:val="fr-SN"/>
      <w14:ligatures w14:val="standardContextual"/>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4-Accentuation53">
    <w:name w:val="Tableau Liste 4 - Accentuation 53"/>
    <w:basedOn w:val="TableauNormal"/>
    <w:next w:val="TableauListe4-Accentuation5"/>
    <w:uiPriority w:val="49"/>
    <w:rsid w:val="000676A1"/>
    <w:pPr>
      <w:spacing w:after="0" w:line="240" w:lineRule="auto"/>
    </w:pPr>
    <w:rPr>
      <w:rFonts w:ascii="Calibri" w:eastAsia="Calibri" w:hAnsi="Calibri" w:cs="Times New Roman"/>
      <w:sz w:val="20"/>
      <w:lang w:val="fr-S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Liste1Clair-Accentuation63">
    <w:name w:val="Tableau Liste 1 Clair - Accentuation 63"/>
    <w:basedOn w:val="TableauNormal"/>
    <w:next w:val="TableauListe1Clair-Accentuation6"/>
    <w:uiPriority w:val="46"/>
    <w:rsid w:val="000676A1"/>
    <w:pPr>
      <w:spacing w:after="0" w:line="240" w:lineRule="auto"/>
    </w:pPr>
    <w:rPr>
      <w:rFonts w:ascii="Calibri" w:eastAsia="Calibri" w:hAnsi="Calibri" w:cs="Times New Roman"/>
      <w:sz w:val="20"/>
      <w:lang w:val="fr-SN"/>
      <w14:ligatures w14:val="standardContextual"/>
    </w:rPr>
    <w:tblPr>
      <w:tblStyleRowBandSize w:val="1"/>
      <w:tblStyleColBandSize w:val="1"/>
    </w:tblPr>
    <w:tblStylePr w:type="firstRow">
      <w:rPr>
        <w:b/>
        <w:bCs/>
      </w:rPr>
      <w:tblPr/>
      <w:tcPr>
        <w:tcBorders>
          <w:bottom w:val="single" w:sz="4" w:space="0" w:color="70AD47"/>
        </w:tcBorders>
      </w:tcPr>
    </w:tblStylePr>
    <w:tblStylePr w:type="lastRow">
      <w:rPr>
        <w:b/>
        <w:bCs/>
      </w:rPr>
      <w:tblPr/>
      <w:tcPr>
        <w:tcBorders>
          <w:top w:val="sing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auGrille1Clair5">
    <w:name w:val="Tableau Grille 1 Clair5"/>
    <w:basedOn w:val="TableauNormal"/>
    <w:next w:val="TableauGrille1Clair"/>
    <w:uiPriority w:val="46"/>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ausimple15">
    <w:name w:val="Tableau simple 15"/>
    <w:basedOn w:val="TableauNormal"/>
    <w:next w:val="Tableausimple1"/>
    <w:uiPriority w:val="41"/>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lledutableau1713">
    <w:name w:val="Grille du tableau1713"/>
    <w:basedOn w:val="TableauNormal"/>
    <w:next w:val="Grilledutableau"/>
    <w:uiPriority w:val="3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ouleur-Accent18">
    <w:name w:val="Liste couleur - Accent 18"/>
    <w:basedOn w:val="TableauNormal"/>
    <w:next w:val="Listecouleur-Accent1"/>
    <w:uiPriority w:val="34"/>
    <w:rsid w:val="000676A1"/>
    <w:pPr>
      <w:spacing w:after="0" w:line="240" w:lineRule="auto"/>
    </w:pPr>
    <w:rPr>
      <w:rFonts w:ascii="Times New Roman" w:eastAsia="Times New Roman" w:hAnsi="Times New Roman" w:cs="Times New Roman"/>
      <w:sz w:val="24"/>
      <w:szCs w:val="24"/>
      <w:lang w:val="fr-SN"/>
      <w14:ligatures w14:val="standardContextual"/>
    </w:rPr>
    <w:tblPr>
      <w:tblStyleRowBandSize w:val="1"/>
      <w:tblStyleColBandSize w:val="1"/>
    </w:tblPr>
    <w:tcPr>
      <w:shd w:val="clear" w:color="auto" w:fill="EDF2F8"/>
    </w:tcPr>
    <w:tblStylePr w:type="firstRow">
      <w:rPr>
        <w:rFonts w:cs="Times New Roman"/>
      </w:rPr>
      <w:tblPr/>
      <w:tcPr>
        <w:tcBorders>
          <w:bottom w:val="single" w:sz="12" w:space="0" w:color="FFFFFF"/>
        </w:tcBorders>
        <w:shd w:val="clear" w:color="auto" w:fill="9E3A38"/>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numbering" w:customStyle="1" w:styleId="Aucuneliste111112">
    <w:name w:val="Aucune liste111112"/>
    <w:next w:val="Aucuneliste"/>
    <w:uiPriority w:val="99"/>
    <w:semiHidden/>
    <w:unhideWhenUsed/>
    <w:rsid w:val="000676A1"/>
  </w:style>
  <w:style w:type="numbering" w:customStyle="1" w:styleId="Aucuneliste93">
    <w:name w:val="Aucune liste93"/>
    <w:next w:val="Aucuneliste"/>
    <w:uiPriority w:val="99"/>
    <w:semiHidden/>
    <w:unhideWhenUsed/>
    <w:rsid w:val="000676A1"/>
  </w:style>
  <w:style w:type="numbering" w:customStyle="1" w:styleId="Aucuneliste103">
    <w:name w:val="Aucune liste103"/>
    <w:next w:val="Aucuneliste"/>
    <w:uiPriority w:val="99"/>
    <w:semiHidden/>
    <w:unhideWhenUsed/>
    <w:rsid w:val="000676A1"/>
  </w:style>
  <w:style w:type="numbering" w:customStyle="1" w:styleId="Aucuneliste132">
    <w:name w:val="Aucune liste132"/>
    <w:next w:val="Aucuneliste"/>
    <w:uiPriority w:val="99"/>
    <w:semiHidden/>
    <w:unhideWhenUsed/>
    <w:rsid w:val="000676A1"/>
  </w:style>
  <w:style w:type="table" w:customStyle="1" w:styleId="csastandard12">
    <w:name w:val="csa standard12"/>
    <w:basedOn w:val="TableauNormal"/>
    <w:next w:val="Grilledutableau"/>
    <w:uiPriority w:val="39"/>
    <w:qFormat/>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2">
    <w:name w:val="Grille du tableau1122"/>
    <w:basedOn w:val="TableauNormal"/>
    <w:next w:val="Grilledutableau"/>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21111">
    <w:name w:val="Tableau Grille 21111"/>
    <w:basedOn w:val="TableauNormal"/>
    <w:rsid w:val="000676A1"/>
    <w:pPr>
      <w:spacing w:after="0" w:line="240" w:lineRule="auto"/>
    </w:pPr>
    <w:rPr>
      <w:rFonts w:ascii="Times New Roman" w:eastAsia="SimSun" w:hAnsi="Times New Roman" w:cs="Times New Roman"/>
      <w:sz w:val="20"/>
      <w:szCs w:val="20"/>
      <w:lang w:val="fr-SN" w:eastAsia="fr-FR"/>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2">
    <w:name w:val="TableGrid22"/>
    <w:rsid w:val="000676A1"/>
    <w:pPr>
      <w:spacing w:after="0" w:line="240" w:lineRule="auto"/>
    </w:pPr>
    <w:rPr>
      <w:rFonts w:ascii="Calibri" w:eastAsia="Times New Roman" w:hAnsi="Calibri" w:cs="Times New Roman"/>
      <w:lang w:eastAsia="fr-FR"/>
      <w14:ligatures w14:val="standardContextual"/>
    </w:rPr>
    <w:tblPr>
      <w:tblCellMar>
        <w:top w:w="0" w:type="dxa"/>
        <w:left w:w="0" w:type="dxa"/>
        <w:bottom w:w="0" w:type="dxa"/>
        <w:right w:w="0" w:type="dxa"/>
      </w:tblCellMar>
    </w:tblPr>
  </w:style>
  <w:style w:type="table" w:customStyle="1" w:styleId="Grilledetableau8212">
    <w:name w:val="Grille de tableau 8212"/>
    <w:basedOn w:val="TableauNormal"/>
    <w:next w:val="Grilledetableau8"/>
    <w:rsid w:val="000676A1"/>
    <w:pPr>
      <w:spacing w:after="0" w:line="240" w:lineRule="auto"/>
      <w:jc w:val="both"/>
    </w:pPr>
    <w:rPr>
      <w:rFonts w:ascii="Times New Roman" w:eastAsia="Times New Roman" w:hAnsi="Times New Roman" w:cs="Times New Roman"/>
      <w:sz w:val="20"/>
      <w:szCs w:val="20"/>
      <w:lang w:val="fr-SN" w:eastAsia="fr-FR"/>
      <w14:ligatures w14:val="standardContextu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lledetableau812">
    <w:name w:val="Grille de tableau 812"/>
    <w:basedOn w:val="TableauNormal"/>
    <w:next w:val="Grilledetableau8"/>
    <w:unhideWhenUsed/>
    <w:rsid w:val="000676A1"/>
    <w:pPr>
      <w:spacing w:after="0" w:line="240" w:lineRule="auto"/>
    </w:pPr>
    <w:rPr>
      <w:rFonts w:ascii="Cambria" w:eastAsia="MS Mincho" w:hAnsi="Cambria" w:cs="Times New Roman"/>
      <w:sz w:val="20"/>
      <w:szCs w:val="20"/>
      <w:lang w:val="fr-SN" w:eastAsia="fr-FR"/>
      <w14:ligatures w14:val="standardContextu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Grille4-Accentuation132">
    <w:name w:val="Tableau Grille 4 - Accentuation 132"/>
    <w:basedOn w:val="TableauNormal"/>
    <w:next w:val="TableauGrille4-Accentuation1"/>
    <w:uiPriority w:val="49"/>
    <w:rsid w:val="000676A1"/>
    <w:pPr>
      <w:spacing w:after="0" w:line="240" w:lineRule="auto"/>
      <w:jc w:val="both"/>
    </w:pPr>
    <w:rPr>
      <w:rFonts w:ascii="Calibri" w:eastAsia="Calibri" w:hAnsi="Calibri" w:cs="Times New Roman"/>
      <w:lang w:val="fr-S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etableauclaire32">
    <w:name w:val="Grille de tableau claire32"/>
    <w:basedOn w:val="TableauNormal"/>
    <w:next w:val="Grilledetableauclaire"/>
    <w:uiPriority w:val="40"/>
    <w:rsid w:val="000676A1"/>
    <w:pPr>
      <w:spacing w:after="0" w:line="240" w:lineRule="auto"/>
    </w:pPr>
    <w:rPr>
      <w:rFonts w:ascii="Cambria" w:eastAsia="MS Mincho" w:hAnsi="Cambria" w:cs="Times New Roman"/>
      <w:sz w:val="20"/>
      <w:szCs w:val="20"/>
      <w:lang w:val="fr-SN" w:eastAsia="fr-FR"/>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auGrille4-Accentuation312">
    <w:name w:val="Tableau Grille 4 - Accentuation 312"/>
    <w:basedOn w:val="TableauNormal"/>
    <w:next w:val="TableauGrille4-Accentuation3"/>
    <w:uiPriority w:val="49"/>
    <w:rsid w:val="000676A1"/>
    <w:pPr>
      <w:spacing w:after="0" w:line="240" w:lineRule="auto"/>
    </w:pPr>
    <w:rPr>
      <w:rFonts w:ascii="Cambria" w:eastAsia="MS Mincho" w:hAnsi="Cambria" w:cs="Times New Roman"/>
      <w:sz w:val="20"/>
      <w:szCs w:val="20"/>
      <w:lang w:val="fr-SN" w:eastAsia="fr-FR"/>
      <w14:ligatures w14:val="standardContextu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lledutableau1132">
    <w:name w:val="Grille du tableau1132"/>
    <w:basedOn w:val="TableauNormal"/>
    <w:next w:val="Grilledutableau"/>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Liste316312">
    <w:name w:val="Tableau Liste 316312"/>
    <w:basedOn w:val="TableauNormal"/>
    <w:next w:val="TableauListe3"/>
    <w:uiPriority w:val="48"/>
    <w:rsid w:val="000676A1"/>
    <w:pPr>
      <w:spacing w:after="0" w:line="300" w:lineRule="exact"/>
      <w:jc w:val="both"/>
    </w:pPr>
    <w:rPr>
      <w:rFonts w:ascii="Times New Roman" w:eastAsia="Times New Roman" w:hAnsi="Times New Roman" w:cs="Times New Roman"/>
      <w:sz w:val="20"/>
      <w:szCs w:val="20"/>
      <w:lang w:val="fr-SN" w:eastAsia="fr-FR"/>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Grille1Clair-Accentuation11111">
    <w:name w:val="Tableau Grille 1 Clair - Accentuation 11111"/>
    <w:basedOn w:val="TableauNormal"/>
    <w:uiPriority w:val="46"/>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auGrille4-Accentuation11111">
    <w:name w:val="Tableau Grille 4 - Accentuation 11111"/>
    <w:basedOn w:val="TableauNormal"/>
    <w:uiPriority w:val="49"/>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ausimple1112">
    <w:name w:val="Tableau simple 1112"/>
    <w:basedOn w:val="TableauNormal"/>
    <w:rsid w:val="000676A1"/>
    <w:pPr>
      <w:spacing w:after="0" w:line="240" w:lineRule="auto"/>
    </w:pPr>
    <w:rPr>
      <w:rFonts w:ascii="Times New Roman" w:eastAsia="SimSun" w:hAnsi="Times New Roman" w:cs="Times New Roman"/>
      <w:sz w:val="24"/>
      <w:szCs w:val="24"/>
      <w:lang w:val="fr-SN" w:eastAsia="fr-FR"/>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Grille4112">
    <w:name w:val="Tableau Grille 4112"/>
    <w:basedOn w:val="TableauNormal"/>
    <w:uiPriority w:val="49"/>
    <w:rsid w:val="000676A1"/>
    <w:pPr>
      <w:spacing w:after="0" w:line="240" w:lineRule="auto"/>
    </w:pPr>
    <w:rPr>
      <w:rFonts w:ascii="Times New Roman" w:eastAsia="SimSun" w:hAnsi="Times New Roman" w:cs="Times New Roman"/>
      <w:sz w:val="24"/>
      <w:szCs w:val="24"/>
      <w:lang w:val="fr-SN" w:eastAsia="fr-FR"/>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ListBullets21">
    <w:name w:val="List Bullets21"/>
    <w:rsid w:val="000676A1"/>
  </w:style>
  <w:style w:type="table" w:customStyle="1" w:styleId="Listemoyenne2-Accent422">
    <w:name w:val="Liste moyenne 2 - Accent 422"/>
    <w:basedOn w:val="TableauNormal"/>
    <w:next w:val="Listemoyenne2-Accent4"/>
    <w:uiPriority w:val="34"/>
    <w:rsid w:val="000676A1"/>
    <w:pPr>
      <w:spacing w:after="0" w:line="240" w:lineRule="auto"/>
    </w:pPr>
    <w:rPr>
      <w:rFonts w:ascii="Times New Roman" w:eastAsia="Times New Roman" w:hAnsi="Times New Roman" w:cs="Times New Roman"/>
      <w:sz w:val="24"/>
      <w:szCs w:val="24"/>
      <w:lang w:val="fr-SN"/>
      <w14:ligatures w14:val="standardContextu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Grille112">
    <w:name w:val="Grille112"/>
    <w:basedOn w:val="TableauNormal"/>
    <w:next w:val="Grilledutableau"/>
    <w:uiPriority w:val="3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ouleur-Accent312">
    <w:name w:val="Liste couleur - Accent 312"/>
    <w:basedOn w:val="TableauNormal"/>
    <w:next w:val="Listecouleur-Accent3"/>
    <w:uiPriority w:val="29"/>
    <w:rsid w:val="000676A1"/>
    <w:pPr>
      <w:spacing w:after="0" w:line="240" w:lineRule="auto"/>
    </w:pPr>
    <w:rPr>
      <w:rFonts w:ascii="Calibri" w:eastAsia="Times New Roman" w:hAnsi="Calibri" w:cs="Times New Roman"/>
      <w:i/>
      <w:iCs/>
      <w:color w:val="000000"/>
      <w:lang w:val="en-US" w:bidi="en-US"/>
      <w14:ligatures w14:val="standardContextual"/>
    </w:rPr>
    <w:tblPr>
      <w:tblStyleRowBandSize w:val="1"/>
      <w:tblStyleColBandSize w:val="1"/>
    </w:tblPr>
    <w:tcPr>
      <w:shd w:val="clear" w:color="auto" w:fill="F5F8EE"/>
    </w:tcPr>
    <w:tblStylePr w:type="firstRow">
      <w:tblPr/>
      <w:tcPr>
        <w:tcBorders>
          <w:bottom w:val="single" w:sz="12" w:space="0" w:color="FFFFFF"/>
        </w:tcBorders>
        <w:shd w:val="clear" w:color="auto" w:fill="664E8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llecouleur-Accent312">
    <w:name w:val="Grille couleur - Accent 312"/>
    <w:basedOn w:val="TableauNormal"/>
    <w:next w:val="Grillecouleur-Accent3"/>
    <w:uiPriority w:val="30"/>
    <w:rsid w:val="000676A1"/>
    <w:pPr>
      <w:spacing w:after="0" w:line="240" w:lineRule="auto"/>
    </w:pPr>
    <w:rPr>
      <w:rFonts w:ascii="Calibri" w:eastAsia="Times New Roman" w:hAnsi="Calibri" w:cs="Times New Roman"/>
      <w:b/>
      <w:bCs/>
      <w:i/>
      <w:iCs/>
      <w:color w:val="4F81BD"/>
      <w:lang w:val="en-US" w:bidi="en-US"/>
      <w14:ligatures w14:val="standardContextual"/>
    </w:rPr>
    <w:tblPr>
      <w:tblStyleRowBandSize w:val="1"/>
      <w:tblStyleColBandSize w:val="1"/>
      <w:tblBorders>
        <w:insideH w:val="single" w:sz="4" w:space="0" w:color="FFFFFF"/>
      </w:tblBorders>
    </w:tblPr>
    <w:tcPr>
      <w:shd w:val="clear" w:color="auto" w:fill="EAF1DD"/>
    </w:tcPr>
    <w:tblStylePr w:type="firstRow">
      <w:tblPr/>
      <w:tcPr>
        <w:shd w:val="clear" w:color="auto" w:fill="D6E3BC"/>
      </w:tcPr>
    </w:tblStylePr>
    <w:tblStylePr w:type="lastRow">
      <w:tblPr/>
      <w:tcPr>
        <w:shd w:val="clear" w:color="auto" w:fill="D6E3BC"/>
      </w:tcPr>
    </w:tblStylePr>
    <w:tblStylePr w:type="firstCol">
      <w:tblPr/>
      <w:tcPr>
        <w:shd w:val="clear" w:color="auto" w:fill="76923C"/>
      </w:tcPr>
    </w:tblStylePr>
    <w:tblStylePr w:type="lastCol">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Ombrageclair212">
    <w:name w:val="Ombrage clair212"/>
    <w:basedOn w:val="TableauNormal"/>
    <w:uiPriority w:val="60"/>
    <w:rsid w:val="000676A1"/>
    <w:pPr>
      <w:spacing w:after="0" w:line="240" w:lineRule="auto"/>
    </w:pPr>
    <w:rPr>
      <w:rFonts w:ascii="Calibri" w:eastAsia="Calibri" w:hAnsi="Calibri" w:cs="Times New Roman"/>
      <w:color w:val="000000"/>
      <w:lang w:val="en-US" w:bidi="en-US"/>
      <w14:ligatures w14:val="standardContextu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moyenne1-Accent632">
    <w:name w:val="Trame moyenne 1 - Accent 632"/>
    <w:basedOn w:val="TableauNormal"/>
    <w:next w:val="Tramemoyenne1-Accent6"/>
    <w:uiPriority w:val="63"/>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Autospacing="0" w:afterLines="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Autospacing="0" w:afterLines="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steclaire-Accent61232">
    <w:name w:val="Liste claire - Accent 61232"/>
    <w:basedOn w:val="TableauNormal"/>
    <w:next w:val="Listeclaire-Accent6"/>
    <w:uiPriority w:val="61"/>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32">
    <w:name w:val="Liste claire - Accent 632"/>
    <w:basedOn w:val="TableauNormal"/>
    <w:next w:val="Listeclaire-Accent6"/>
    <w:uiPriority w:val="61"/>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Ombrageclair12">
    <w:name w:val="Ombrage clair12"/>
    <w:basedOn w:val="TableauNormal"/>
    <w:next w:val="Ombrageclair"/>
    <w:uiPriority w:val="60"/>
    <w:rsid w:val="000676A1"/>
    <w:pPr>
      <w:spacing w:after="0" w:line="240" w:lineRule="auto"/>
    </w:pPr>
    <w:rPr>
      <w:rFonts w:ascii="Calibri" w:eastAsia="Calibri" w:hAnsi="Calibri" w:cs="Times New Roman"/>
      <w:color w:val="000000"/>
      <w:sz w:val="20"/>
      <w:szCs w:val="20"/>
      <w:lang w:val="fr-SN" w:eastAsia="fr-FR"/>
      <w14:ligatures w14:val="standardContextual"/>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eclaire22">
    <w:name w:val="Liste claire22"/>
    <w:basedOn w:val="TableauNormal"/>
    <w:next w:val="Listeclaire"/>
    <w:uiPriority w:val="61"/>
    <w:rsid w:val="000676A1"/>
    <w:pPr>
      <w:spacing w:after="0" w:line="240" w:lineRule="auto"/>
    </w:pPr>
    <w:rPr>
      <w:rFonts w:ascii="Calibri" w:eastAsia="Calibri" w:hAnsi="Calibri" w:cs="Times New Roman"/>
      <w:sz w:val="20"/>
      <w:szCs w:val="20"/>
      <w:lang w:val="fr-SN" w:eastAsia="fr-FR"/>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eclaire-Accent6142">
    <w:name w:val="Liste claire - Accent 6142"/>
    <w:basedOn w:val="TableauNormal"/>
    <w:uiPriority w:val="61"/>
    <w:rsid w:val="000676A1"/>
    <w:pPr>
      <w:spacing w:after="0" w:line="240" w:lineRule="auto"/>
    </w:pPr>
    <w:rPr>
      <w:rFonts w:ascii="Times New Roman" w:eastAsia="Calibri" w:hAnsi="Times New Roman" w:cs="Times New Roman"/>
      <w:sz w:val="24"/>
      <w:szCs w:val="24"/>
      <w:lang w:val="en-US"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lledutableau242">
    <w:name w:val="Grille du tableau242"/>
    <w:basedOn w:val="TableauNormal"/>
    <w:uiPriority w:val="59"/>
    <w:rsid w:val="000676A1"/>
    <w:pPr>
      <w:spacing w:after="0" w:line="240" w:lineRule="auto"/>
    </w:pPr>
    <w:rPr>
      <w:rFonts w:ascii="Calibri" w:eastAsia="Times New Roman" w:hAnsi="Calibri" w:cs="Times New Roman"/>
      <w:sz w:val="20"/>
      <w:szCs w:val="20"/>
      <w:lang w:val="wo-SN" w:eastAsia="wo-SN"/>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eclaire-Accent112">
    <w:name w:val="Liste claire - Accent 112"/>
    <w:basedOn w:val="TableauNormal"/>
    <w:next w:val="Listeclaire-Accent1"/>
    <w:uiPriority w:val="61"/>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512">
    <w:name w:val="Liste claire - Accent 512"/>
    <w:basedOn w:val="TableauNormal"/>
    <w:next w:val="Listeclaire-Accent5"/>
    <w:uiPriority w:val="61"/>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Aucuneliste142">
    <w:name w:val="Aucune liste142"/>
    <w:next w:val="Aucuneliste"/>
    <w:uiPriority w:val="99"/>
    <w:semiHidden/>
    <w:unhideWhenUsed/>
    <w:rsid w:val="000676A1"/>
  </w:style>
  <w:style w:type="numbering" w:customStyle="1" w:styleId="Aucuneliste1122">
    <w:name w:val="Aucune liste1122"/>
    <w:next w:val="Aucuneliste"/>
    <w:uiPriority w:val="99"/>
    <w:semiHidden/>
    <w:unhideWhenUsed/>
    <w:rsid w:val="000676A1"/>
  </w:style>
  <w:style w:type="numbering" w:customStyle="1" w:styleId="ListHeadings21">
    <w:name w:val="List Headings21"/>
    <w:rsid w:val="000676A1"/>
  </w:style>
  <w:style w:type="table" w:customStyle="1" w:styleId="mtbs122">
    <w:name w:val="mtbs122"/>
    <w:basedOn w:val="TableauNormal"/>
    <w:next w:val="Grilledutableau"/>
    <w:uiPriority w:val="39"/>
    <w:qFormat/>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HDHVTable12">
    <w:name w:val="RHDHV Table12"/>
    <w:basedOn w:val="TableauNormal"/>
    <w:uiPriority w:val="99"/>
    <w:unhideWhenUsed/>
    <w:rsid w:val="000676A1"/>
    <w:pPr>
      <w:spacing w:after="0" w:line="271" w:lineRule="auto"/>
    </w:pPr>
    <w:rPr>
      <w:rFonts w:ascii="Calibri" w:eastAsia="Times New Roman" w:hAnsi="Calibri" w:cs="Times New Roman"/>
      <w:color w:val="000000"/>
      <w:sz w:val="24"/>
      <w:szCs w:val="24"/>
      <w:lang w:val="en-GB" w:eastAsia="en-GB"/>
      <w14:ligatures w14:val="standardContextual"/>
    </w:rPr>
    <w:tblPr>
      <w:tblBorders>
        <w:insideH w:val="single" w:sz="8" w:space="0" w:color="FFFFFF"/>
        <w:insideV w:val="single" w:sz="8" w:space="0" w:color="FFFFFF"/>
      </w:tblBorders>
      <w:tblCellMar>
        <w:top w:w="57" w:type="dxa"/>
        <w:left w:w="0" w:type="dxa"/>
        <w:bottom w:w="57" w:type="dxa"/>
        <w:right w:w="0" w:type="dxa"/>
      </w:tblCellMar>
    </w:tblPr>
    <w:tcPr>
      <w:shd w:val="clear" w:color="auto" w:fill="D9E2F3"/>
      <w:vAlign w:val="center"/>
    </w:tcPr>
    <w:tblStylePr w:type="firstRow">
      <w:rPr>
        <w:b/>
      </w:rPr>
      <w:tblPr/>
      <w:tcPr>
        <w:tcBorders>
          <w:top w:val="nil"/>
          <w:left w:val="nil"/>
          <w:bottom w:val="nil"/>
          <w:right w:val="nil"/>
          <w:insideH w:val="nil"/>
          <w:insideV w:val="single" w:sz="8" w:space="0" w:color="FFFFFF"/>
          <w:tl2br w:val="nil"/>
          <w:tr2bl w:val="nil"/>
        </w:tcBorders>
        <w:shd w:val="clear" w:color="auto" w:fill="4472C4"/>
      </w:tcPr>
    </w:tblStylePr>
    <w:tblStylePr w:type="lastRow">
      <w:tblPr/>
      <w:tcPr>
        <w:tcBorders>
          <w:top w:val="nil"/>
          <w:left w:val="nil"/>
          <w:bottom w:val="nil"/>
          <w:right w:val="nil"/>
          <w:insideH w:val="nil"/>
          <w:insideV w:val="single" w:sz="8" w:space="0" w:color="FFFFFF"/>
          <w:tl2br w:val="nil"/>
          <w:tr2bl w:val="nil"/>
        </w:tcBorders>
        <w:shd w:val="clear" w:color="auto" w:fill="B4C6E7"/>
      </w:tcPr>
    </w:tblStylePr>
    <w:tblStylePr w:type="swCell">
      <w:tblPr/>
      <w:tcPr>
        <w:tcBorders>
          <w:top w:val="nil"/>
          <w:left w:val="nil"/>
          <w:bottom w:val="nil"/>
          <w:right w:val="nil"/>
          <w:insideH w:val="nil"/>
          <w:insideV w:val="nil"/>
          <w:tl2br w:val="nil"/>
          <w:tr2bl w:val="nil"/>
        </w:tcBorders>
        <w:shd w:val="clear" w:color="auto" w:fill="FFFFFF"/>
      </w:tcPr>
    </w:tblStylePr>
  </w:style>
  <w:style w:type="table" w:customStyle="1" w:styleId="RHDHVTableNormal12">
    <w:name w:val="RHDHV Table Normal12"/>
    <w:basedOn w:val="TableauNormal"/>
    <w:uiPriority w:val="99"/>
    <w:unhideWhenUsed/>
    <w:rsid w:val="000676A1"/>
    <w:pPr>
      <w:spacing w:after="0" w:line="271" w:lineRule="auto"/>
    </w:pPr>
    <w:rPr>
      <w:rFonts w:ascii="Calibri" w:eastAsia="Times New Roman" w:hAnsi="Calibri" w:cs="Times New Roman"/>
      <w:color w:val="000000"/>
      <w:sz w:val="24"/>
      <w:szCs w:val="24"/>
      <w:lang w:val="en-GB" w:eastAsia="en-GB"/>
      <w14:ligatures w14:val="standardContextual"/>
    </w:rPr>
    <w:tblPr>
      <w:tblCellMar>
        <w:top w:w="57" w:type="dxa"/>
        <w:left w:w="0" w:type="dxa"/>
        <w:bottom w:w="57" w:type="dxa"/>
        <w:right w:w="0" w:type="dxa"/>
      </w:tblCellMar>
    </w:tblPr>
    <w:tcPr>
      <w:vAlign w:val="center"/>
    </w:tcPr>
  </w:style>
  <w:style w:type="table" w:customStyle="1" w:styleId="TableauGrille2122">
    <w:name w:val="Tableau Grille 2122"/>
    <w:basedOn w:val="TableauNormal"/>
    <w:uiPriority w:val="47"/>
    <w:rsid w:val="000676A1"/>
    <w:pPr>
      <w:spacing w:after="0" w:line="240" w:lineRule="auto"/>
    </w:pPr>
    <w:rPr>
      <w:rFonts w:ascii="Calibri" w:eastAsia="Times New Roman" w:hAnsi="Calibri" w:cs="Times New Roman"/>
      <w:sz w:val="24"/>
      <w:szCs w:val="24"/>
      <w:lang w:val="fr-SN" w:eastAsia="fr-FR"/>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lledutableau2122">
    <w:name w:val="Grille du tableau2122"/>
    <w:basedOn w:val="TableauNormal"/>
    <w:next w:val="Grilledutableau"/>
    <w:uiPriority w:val="59"/>
    <w:rsid w:val="000676A1"/>
    <w:pPr>
      <w:spacing w:after="0" w:line="240" w:lineRule="auto"/>
    </w:pPr>
    <w:rPr>
      <w:rFonts w:ascii="Calibri" w:eastAsia="Times New Roman" w:hAnsi="Calibri" w:cs="Times New Roman"/>
      <w:lang w:val="wo-SN" w:eastAsia="wo-SN"/>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eclaire-Accent61122">
    <w:name w:val="Liste claire - Accent 61122"/>
    <w:basedOn w:val="TableauNormal"/>
    <w:next w:val="Listeclaire-Accent6"/>
    <w:uiPriority w:val="61"/>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122">
    <w:name w:val="Liste claire122"/>
    <w:basedOn w:val="TableauNormal"/>
    <w:next w:val="Listeclaire"/>
    <w:uiPriority w:val="61"/>
    <w:rsid w:val="000676A1"/>
    <w:pPr>
      <w:spacing w:after="0" w:line="240" w:lineRule="auto"/>
    </w:pPr>
    <w:rPr>
      <w:rFonts w:ascii="Calibri" w:eastAsia="Calibri" w:hAnsi="Calibri" w:cs="Times New Roman"/>
      <w:lang w:val="fr-CA"/>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Aucuneliste11122">
    <w:name w:val="Aucune liste11122"/>
    <w:next w:val="Aucuneliste"/>
    <w:uiPriority w:val="99"/>
    <w:semiHidden/>
    <w:unhideWhenUsed/>
    <w:rsid w:val="000676A1"/>
  </w:style>
  <w:style w:type="table" w:customStyle="1" w:styleId="Grilledutableau322">
    <w:name w:val="Grille du tableau322"/>
    <w:basedOn w:val="TableauNormal"/>
    <w:next w:val="Grilledutableau"/>
    <w:uiPriority w:val="59"/>
    <w:rsid w:val="000676A1"/>
    <w:pPr>
      <w:spacing w:after="0" w:line="240" w:lineRule="auto"/>
    </w:pPr>
    <w:rPr>
      <w:rFonts w:ascii="Calibri" w:eastAsia="Calibri" w:hAnsi="Calibri" w:cs="Times New Roman"/>
      <w:sz w:val="20"/>
      <w:szCs w:val="20"/>
      <w:lang w:val="fr-SN"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auNormal"/>
    <w:next w:val="Grilledutableau"/>
    <w:uiPriority w:val="59"/>
    <w:rsid w:val="000676A1"/>
    <w:pPr>
      <w:spacing w:after="0" w:line="240" w:lineRule="auto"/>
    </w:pPr>
    <w:rPr>
      <w:rFonts w:ascii="Calibri" w:eastAsia="Calibri" w:hAnsi="Calibri" w:cs="Times New Roman"/>
      <w:lang w:val="fr-C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612122">
    <w:name w:val="Liste claire - Accent 612122"/>
    <w:basedOn w:val="TableauNormal"/>
    <w:uiPriority w:val="61"/>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lledutableau522">
    <w:name w:val="Grille du tableau522"/>
    <w:basedOn w:val="TableauNormal"/>
    <w:next w:val="Grilledutableau"/>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auNormal"/>
    <w:next w:val="Grilledutableau"/>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auNormal"/>
    <w:next w:val="Grilledutableau"/>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12">
    <w:name w:val="Grille du tableau812"/>
    <w:basedOn w:val="TableauNormal"/>
    <w:next w:val="Grilledutableau"/>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12">
    <w:name w:val="Grille du tableau912"/>
    <w:basedOn w:val="TableauNormal"/>
    <w:next w:val="Grilledutableau"/>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2">
    <w:name w:val="Aucune liste222"/>
    <w:next w:val="Aucuneliste"/>
    <w:uiPriority w:val="99"/>
    <w:semiHidden/>
    <w:unhideWhenUsed/>
    <w:rsid w:val="000676A1"/>
  </w:style>
  <w:style w:type="table" w:customStyle="1" w:styleId="Colonnesdetableau312">
    <w:name w:val="Colonnes de tableau 312"/>
    <w:basedOn w:val="TableauNormal"/>
    <w:next w:val="Colonnesdetableau3"/>
    <w:semiHidden/>
    <w:unhideWhenUsed/>
    <w:rsid w:val="000676A1"/>
    <w:pPr>
      <w:spacing w:after="0" w:line="240" w:lineRule="auto"/>
    </w:pPr>
    <w:rPr>
      <w:rFonts w:ascii="Cambria" w:eastAsia="Cambria" w:hAnsi="Cambria" w:cs="Times New Roman"/>
      <w:b/>
      <w:bCs/>
      <w:sz w:val="20"/>
      <w:szCs w:val="20"/>
      <w:lang w:val="fr-SN" w:eastAsia="fr-FR"/>
      <w14:ligatures w14:val="standardContextua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Grilledetableau112">
    <w:name w:val="Grille de tableau 112"/>
    <w:basedOn w:val="TableauNormal"/>
    <w:next w:val="Grilledetableau1"/>
    <w:semiHidden/>
    <w:unhideWhenUsed/>
    <w:rsid w:val="000676A1"/>
    <w:pPr>
      <w:spacing w:after="0" w:line="240" w:lineRule="auto"/>
    </w:pPr>
    <w:rPr>
      <w:rFonts w:ascii="Calibri" w:eastAsia="Calibri" w:hAnsi="Calibri" w:cs="Times New Roman"/>
      <w:sz w:val="20"/>
      <w:szCs w:val="20"/>
      <w:lang w:val="fr-SN" w:eastAsia="fr-FR"/>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auliste712">
    <w:name w:val="Tableau liste 712"/>
    <w:basedOn w:val="TableauNormal"/>
    <w:next w:val="Tableauliste7"/>
    <w:semiHidden/>
    <w:unhideWhenUsed/>
    <w:rsid w:val="000676A1"/>
    <w:pPr>
      <w:spacing w:after="0" w:line="240" w:lineRule="auto"/>
    </w:pPr>
    <w:rPr>
      <w:rFonts w:ascii="Times New Roman" w:eastAsia="Times New Roman" w:hAnsi="Times New Roman" w:cs="Times New Roman"/>
      <w:sz w:val="20"/>
      <w:szCs w:val="20"/>
      <w:lang w:val="fr-SN" w:eastAsia="fr-FR"/>
      <w14:ligatures w14:val="standardContextu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auNormal"/>
    <w:next w:val="Tableauliste8"/>
    <w:semiHidden/>
    <w:unhideWhenUsed/>
    <w:rsid w:val="000676A1"/>
    <w:pPr>
      <w:spacing w:after="0" w:line="240" w:lineRule="auto"/>
    </w:pPr>
    <w:rPr>
      <w:rFonts w:ascii="Times New Roman" w:eastAsia="Times New Roman" w:hAnsi="Times New Roman" w:cs="Times New Roman"/>
      <w:sz w:val="20"/>
      <w:szCs w:val="20"/>
      <w:lang w:val="fr-SN" w:eastAsia="fr-FR"/>
      <w14:ligatures w14:val="standardContextu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web212">
    <w:name w:val="Tableau web 212"/>
    <w:basedOn w:val="TableauNormal"/>
    <w:next w:val="Tableauweb2"/>
    <w:semiHidden/>
    <w:unhideWhenUsed/>
    <w:rsid w:val="000676A1"/>
    <w:pPr>
      <w:spacing w:after="0" w:line="240" w:lineRule="auto"/>
    </w:pPr>
    <w:rPr>
      <w:rFonts w:ascii="Times New Roman" w:eastAsia="Times New Roman" w:hAnsi="Times New Roman" w:cs="Times New Roman"/>
      <w:sz w:val="20"/>
      <w:szCs w:val="20"/>
      <w:lang w:val="fr-SN" w:eastAsia="fr-FR"/>
      <w14:ligatures w14:val="standardContextu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Grilledutableau1012">
    <w:name w:val="Grille du tableau1012"/>
    <w:basedOn w:val="TableauNormal"/>
    <w:next w:val="Grilledutableau"/>
    <w:uiPriority w:val="59"/>
    <w:rsid w:val="000676A1"/>
    <w:pPr>
      <w:spacing w:after="0" w:line="240" w:lineRule="auto"/>
    </w:pPr>
    <w:rPr>
      <w:rFonts w:ascii="Times New Roman" w:eastAsia="Times New Roman" w:hAnsi="Times New Roman" w:cs="Times New Roman"/>
      <w:sz w:val="20"/>
      <w:szCs w:val="20"/>
      <w:lang w:val="fr-SN"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fonce-Accent212">
    <w:name w:val="Liste foncée - Accent 212"/>
    <w:basedOn w:val="TableauNormal"/>
    <w:next w:val="Listefonce-Accent2"/>
    <w:uiPriority w:val="61"/>
    <w:unhideWhenUsed/>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steclaire-Accent6222">
    <w:name w:val="Liste claire - Accent 6222"/>
    <w:basedOn w:val="TableauNormal"/>
    <w:next w:val="Listeclaire-Accent6"/>
    <w:uiPriority w:val="61"/>
    <w:unhideWhenUsed/>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Tramemoyenne1-Accent6112">
    <w:name w:val="Trame moyenne 1 - Accent 6112"/>
    <w:basedOn w:val="TableauNormal"/>
    <w:next w:val="Tramemoyenne1-Accent6"/>
    <w:uiPriority w:val="63"/>
    <w:semiHidden/>
    <w:unhideWhenUsed/>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auNorm12">
    <w:name w:val="Tableau Norm12"/>
    <w:semiHidden/>
    <w:rsid w:val="000676A1"/>
    <w:pPr>
      <w:spacing w:after="0" w:line="240" w:lineRule="auto"/>
    </w:pPr>
    <w:rPr>
      <w:rFonts w:ascii="Calibri" w:eastAsia="Times New Roman" w:hAnsi="Calibri" w:cs="Times New Roman"/>
      <w:sz w:val="20"/>
      <w:szCs w:val="20"/>
      <w:lang w:bidi="fr-FR"/>
      <w14:ligatures w14:val="standardContextual"/>
    </w:rPr>
    <w:tblPr>
      <w:tblCellMar>
        <w:top w:w="0" w:type="dxa"/>
        <w:left w:w="108" w:type="dxa"/>
        <w:bottom w:w="0" w:type="dxa"/>
        <w:right w:w="108" w:type="dxa"/>
      </w:tblCellMar>
    </w:tblPr>
  </w:style>
  <w:style w:type="table" w:customStyle="1" w:styleId="Grilledutableau2212">
    <w:name w:val="Grille du tableau2212"/>
    <w:basedOn w:val="TableauNormal"/>
    <w:uiPriority w:val="59"/>
    <w:rsid w:val="000676A1"/>
    <w:pPr>
      <w:spacing w:after="0" w:line="240" w:lineRule="auto"/>
    </w:pPr>
    <w:rPr>
      <w:rFonts w:ascii="Calibri" w:eastAsia="Times New Roman" w:hAnsi="Calibri" w:cs="Times New Roman"/>
      <w:lang w:val="wo-SN" w:eastAsia="wo-SN"/>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7112">
    <w:name w:val="Grille du tableau7112"/>
    <w:basedOn w:val="TableauNormal"/>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moyenne1-Accent6212">
    <w:name w:val="Trame moyenne 1 - Accent 6212"/>
    <w:basedOn w:val="TableauNormal"/>
    <w:next w:val="Tramemoyenne1-Accent6"/>
    <w:uiPriority w:val="63"/>
    <w:semiHidden/>
    <w:unhideWhenUsed/>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Grilledutableau11112">
    <w:name w:val="Grille du tableau11112"/>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12">
    <w:name w:val="Grille du tableau1312"/>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2">
    <w:name w:val="Grille du tableau1412"/>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12">
    <w:name w:val="Grille du tableau1512"/>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12">
    <w:name w:val="Grille du tableau1612"/>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22">
    <w:name w:val="Grille du tableau1722"/>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812">
    <w:name w:val="Grille du tableau1812"/>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tbs1112">
    <w:name w:val="mtbs1112"/>
    <w:basedOn w:val="TableauNormal"/>
    <w:next w:val="Grilledutableau"/>
    <w:uiPriority w:val="39"/>
    <w:qFormat/>
    <w:rsid w:val="000676A1"/>
    <w:pPr>
      <w:spacing w:after="0" w:line="240" w:lineRule="auto"/>
    </w:pPr>
    <w:rPr>
      <w:rFonts w:ascii="Calibri" w:eastAsia="MS Mincho" w:hAnsi="Calibri" w:cs="Times New Roman"/>
      <w:sz w:val="24"/>
      <w:szCs w:val="24"/>
      <w:lang w:val="fr-SN"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Bullets111">
    <w:name w:val="List Bullets111"/>
    <w:uiPriority w:val="99"/>
    <w:rsid w:val="000676A1"/>
  </w:style>
  <w:style w:type="table" w:customStyle="1" w:styleId="TableGrid112">
    <w:name w:val="TableGrid112"/>
    <w:rsid w:val="000676A1"/>
    <w:pPr>
      <w:spacing w:after="0" w:line="240" w:lineRule="auto"/>
    </w:pPr>
    <w:rPr>
      <w:rFonts w:ascii="Calibri" w:eastAsia="Times New Roman" w:hAnsi="Calibri" w:cs="Times New Roman"/>
      <w:lang w:val="fr-SN" w:eastAsia="fr-SN"/>
      <w14:ligatures w14:val="standardContextual"/>
    </w:rPr>
    <w:tblPr>
      <w:tblCellMar>
        <w:top w:w="0" w:type="dxa"/>
        <w:left w:w="0" w:type="dxa"/>
        <w:bottom w:w="0" w:type="dxa"/>
        <w:right w:w="0" w:type="dxa"/>
      </w:tblCellMar>
    </w:tblPr>
  </w:style>
  <w:style w:type="table" w:customStyle="1" w:styleId="TableauGrille1Clair-Accentuation1122">
    <w:name w:val="Tableau Grille 1 Clair - Accentuation 1122"/>
    <w:basedOn w:val="TableauNormal"/>
    <w:uiPriority w:val="46"/>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eauGrille4-Accentuation1122">
    <w:name w:val="Tableau Grille 4 - Accentuation 1122"/>
    <w:basedOn w:val="TableauNormal"/>
    <w:uiPriority w:val="49"/>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simple1122">
    <w:name w:val="Tableau simple 1122"/>
    <w:basedOn w:val="TableauNormal"/>
    <w:rsid w:val="000676A1"/>
    <w:pPr>
      <w:spacing w:after="0" w:line="240" w:lineRule="auto"/>
    </w:pPr>
    <w:rPr>
      <w:rFonts w:ascii="Times New Roman" w:eastAsia="SimSun" w:hAnsi="Times New Roman" w:cs="Times New Roman"/>
      <w:sz w:val="24"/>
      <w:szCs w:val="24"/>
      <w:lang w:val="fr-SN" w:eastAsia="fr-FR"/>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Grille4122">
    <w:name w:val="Tableau Grille 4122"/>
    <w:basedOn w:val="TableauNormal"/>
    <w:uiPriority w:val="49"/>
    <w:rsid w:val="000676A1"/>
    <w:pPr>
      <w:spacing w:after="0" w:line="240" w:lineRule="auto"/>
    </w:pPr>
    <w:rPr>
      <w:rFonts w:ascii="Times New Roman" w:eastAsia="SimSun" w:hAnsi="Times New Roman" w:cs="Times New Roman"/>
      <w:sz w:val="24"/>
      <w:szCs w:val="24"/>
      <w:lang w:val="fr-SN" w:eastAsia="fr-FR"/>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222">
    <w:name w:val="Tableau Grille 222"/>
    <w:basedOn w:val="TableauNormal"/>
    <w:next w:val="TableauGrille2"/>
    <w:rsid w:val="000676A1"/>
    <w:pPr>
      <w:spacing w:after="0" w:line="240" w:lineRule="auto"/>
    </w:pPr>
    <w:rPr>
      <w:rFonts w:ascii="Times New Roman" w:eastAsia="SimSun" w:hAnsi="Times New Roman" w:cs="Times New Roman"/>
      <w:sz w:val="20"/>
      <w:szCs w:val="20"/>
      <w:lang w:val="fr-SN" w:eastAsia="fr-FR"/>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1Clair-Accentuation1212">
    <w:name w:val="Tableau Grille 1 Clair - Accentuation 1212"/>
    <w:basedOn w:val="TableauNormal"/>
    <w:uiPriority w:val="46"/>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auGrille4-Accentuation1212">
    <w:name w:val="Tableau Grille 4 - Accentuation 1212"/>
    <w:basedOn w:val="TableauNormal"/>
    <w:uiPriority w:val="49"/>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ausimple1212">
    <w:name w:val="Tableau simple 1212"/>
    <w:basedOn w:val="TableauNormal"/>
    <w:rsid w:val="000676A1"/>
    <w:pPr>
      <w:spacing w:after="0" w:line="240" w:lineRule="auto"/>
    </w:pPr>
    <w:rPr>
      <w:rFonts w:ascii="Times New Roman" w:eastAsia="SimSun" w:hAnsi="Times New Roman" w:cs="Times New Roman"/>
      <w:sz w:val="24"/>
      <w:szCs w:val="24"/>
      <w:lang w:val="fr-SN" w:eastAsia="fr-FR"/>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Grille4212">
    <w:name w:val="Tableau Grille 4212"/>
    <w:basedOn w:val="TableauNormal"/>
    <w:uiPriority w:val="49"/>
    <w:rsid w:val="000676A1"/>
    <w:pPr>
      <w:spacing w:after="0" w:line="240" w:lineRule="auto"/>
    </w:pPr>
    <w:rPr>
      <w:rFonts w:ascii="Times New Roman" w:eastAsia="SimSun" w:hAnsi="Times New Roman" w:cs="Times New Roman"/>
      <w:sz w:val="24"/>
      <w:szCs w:val="24"/>
      <w:lang w:val="fr-SN" w:eastAsia="fr-FR"/>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1Clair212">
    <w:name w:val="Tableau Grille 1 Clair212"/>
    <w:basedOn w:val="TableauNormal"/>
    <w:rsid w:val="000676A1"/>
    <w:pPr>
      <w:spacing w:after="0" w:line="240" w:lineRule="auto"/>
    </w:pPr>
    <w:rPr>
      <w:rFonts w:ascii="Times New Roman" w:eastAsia="SimSun" w:hAnsi="Times New Roman" w:cs="Times New Roman"/>
      <w:sz w:val="24"/>
      <w:szCs w:val="24"/>
      <w:lang w:val="fr-SN" w:eastAsia="fr-FR"/>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llemoyenne1-Accent412">
    <w:name w:val="Grille moyenne 1 - Accent 412"/>
    <w:basedOn w:val="TableauNormal"/>
    <w:next w:val="Grillemoyenne1-Accent4"/>
    <w:uiPriority w:val="29"/>
    <w:rsid w:val="000676A1"/>
    <w:pPr>
      <w:spacing w:after="0" w:line="240" w:lineRule="auto"/>
    </w:pPr>
    <w:rPr>
      <w:rFonts w:ascii="Calibri" w:eastAsia="Times New Roman" w:hAnsi="Calibri" w:cs="Times New Roman"/>
      <w:i/>
      <w:iCs/>
      <w:color w:val="000000"/>
      <w:lang w:val="en-US" w:bidi="en-US"/>
      <w14:ligatures w14:val="standardContextu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lastRow">
      <w:tblPr/>
      <w:tcPr>
        <w:tcBorders>
          <w:top w:val="single" w:sz="18" w:space="0" w:color="9F8AB9"/>
        </w:tcBorders>
      </w:tcPr>
    </w:tblStylePr>
    <w:tblStylePr w:type="band1Vert">
      <w:tblPr/>
      <w:tcPr>
        <w:shd w:val="clear" w:color="auto" w:fill="BFB1D0"/>
      </w:tcPr>
    </w:tblStylePr>
    <w:tblStylePr w:type="band1Horz">
      <w:tblPr/>
      <w:tcPr>
        <w:shd w:val="clear" w:color="auto" w:fill="BFB1D0"/>
      </w:tcPr>
    </w:tblStylePr>
  </w:style>
  <w:style w:type="table" w:customStyle="1" w:styleId="Grillemoyenne2-Accent412">
    <w:name w:val="Grille moyenne 2 - Accent 412"/>
    <w:basedOn w:val="TableauNormal"/>
    <w:next w:val="Grillemoyenne2-Accent4"/>
    <w:uiPriority w:val="30"/>
    <w:rsid w:val="000676A1"/>
    <w:pPr>
      <w:spacing w:after="0" w:line="240" w:lineRule="auto"/>
    </w:pPr>
    <w:rPr>
      <w:rFonts w:ascii="Calibri" w:eastAsia="Times New Roman" w:hAnsi="Calibri" w:cs="Times New Roman"/>
      <w:b/>
      <w:bCs/>
      <w:i/>
      <w:iCs/>
      <w:color w:val="4F81BD"/>
      <w:lang w:val="en-US" w:bidi="en-US"/>
      <w14:ligatures w14:val="standardContextu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tblPr/>
      <w:tcPr>
        <w:shd w:val="clear" w:color="auto" w:fill="F2EFF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insuco312">
    <w:name w:val="insuco312"/>
    <w:basedOn w:val="Grilledutableau"/>
    <w:next w:val="Grillemoyenne2-Accent6"/>
    <w:uiPriority w:val="60"/>
    <w:rsid w:val="000676A1"/>
    <w:rPr>
      <w:rFonts w:ascii="Arial" w:hAnsi="Arial"/>
      <w:sz w:val="16"/>
      <w:szCs w:val="22"/>
      <w:lang w:val="fr-SN"/>
      <w14:ligatures w14:val="standardContextual"/>
    </w:rPr>
    <w:tblPr>
      <w:tblStyleRowBandSize w:val="1"/>
      <w:tblStyleColBandSize w:val="1"/>
      <w:tblBorders>
        <w:top w:val="single" w:sz="18" w:space="0" w:color="14726E"/>
        <w:left w:val="none" w:sz="0" w:space="0" w:color="auto"/>
        <w:bottom w:val="single" w:sz="18" w:space="0" w:color="14726E"/>
        <w:right w:val="none" w:sz="0" w:space="0" w:color="auto"/>
        <w:insideH w:val="none" w:sz="0" w:space="0" w:color="auto"/>
        <w:insideV w:val="none" w:sz="0" w:space="0" w:color="auto"/>
      </w:tblBorders>
    </w:tblPr>
    <w:tcPr>
      <w:vAlign w:val="center"/>
    </w:tcPr>
    <w:tblStylePr w:type="firstRow">
      <w:pPr>
        <w:wordWrap/>
        <w:spacing w:before="0" w:beforeAutospacing="0" w:afterLines="0" w:afterAutospacing="0" w:line="240" w:lineRule="auto"/>
      </w:pPr>
      <w:rPr>
        <w:b/>
        <w:bCs/>
      </w:rPr>
      <w:tblPr/>
      <w:tcPr>
        <w:tcBorders>
          <w:top w:val="single" w:sz="12" w:space="0" w:color="14726E"/>
          <w:left w:val="nil"/>
          <w:bottom w:val="single" w:sz="12" w:space="0" w:color="14726E"/>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ausimple422">
    <w:name w:val="Tableau simple 422"/>
    <w:basedOn w:val="TableauNormal"/>
    <w:next w:val="Tableausimple4"/>
    <w:uiPriority w:val="21"/>
    <w:qFormat/>
    <w:rsid w:val="000676A1"/>
    <w:pPr>
      <w:spacing w:after="0" w:line="240" w:lineRule="auto"/>
    </w:pPr>
    <w:rPr>
      <w:rFonts w:ascii="Cambria" w:eastAsia="Cambria" w:hAnsi="Cambria" w:cs="Times New Roman"/>
      <w:lang w:val="fr-SN"/>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S Mincho" w:eastAsia="Batang" w:hAnsi="MS Mincho"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S Mincho" w:eastAsia="Batang" w:hAnsi="MS Mincho"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S Mincho" w:eastAsia="Batang" w:hAnsi="MS Mincho" w:cs="Times New Roman"/>
        <w:b/>
        <w:bCs/>
      </w:rPr>
    </w:tblStylePr>
    <w:tblStylePr w:type="lastCol">
      <w:rPr>
        <w:rFonts w:ascii="MS Mincho" w:eastAsia="Batang" w:hAnsi="MS Mincho"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Normal22">
    <w:name w:val="Table Normal22"/>
    <w:uiPriority w:val="2"/>
    <w:semiHidden/>
    <w:unhideWhenUsed/>
    <w:qFormat/>
    <w:rsid w:val="000676A1"/>
    <w:pPr>
      <w:widowControl w:val="0"/>
      <w:autoSpaceDE w:val="0"/>
      <w:autoSpaceDN w:val="0"/>
      <w:spacing w:after="0" w:line="240" w:lineRule="auto"/>
    </w:pPr>
    <w:rPr>
      <w:rFonts w:ascii="Cambria" w:eastAsia="Cambria" w:hAnsi="Cambria" w:cs="Times New Roman"/>
      <w:lang w:val="en-US"/>
      <w14:ligatures w14:val="standardContextual"/>
    </w:rPr>
    <w:tblPr>
      <w:tblInd w:w="0" w:type="dxa"/>
      <w:tblCellMar>
        <w:top w:w="0" w:type="dxa"/>
        <w:left w:w="0" w:type="dxa"/>
        <w:bottom w:w="0" w:type="dxa"/>
        <w:right w:w="0" w:type="dxa"/>
      </w:tblCellMar>
    </w:tblPr>
  </w:style>
  <w:style w:type="table" w:customStyle="1" w:styleId="Tableausimple322">
    <w:name w:val="Tableau simple 322"/>
    <w:basedOn w:val="TableauNormal"/>
    <w:next w:val="Tableausimple3"/>
    <w:uiPriority w:val="61"/>
    <w:qFormat/>
    <w:rsid w:val="000676A1"/>
    <w:pPr>
      <w:spacing w:after="0" w:line="240" w:lineRule="auto"/>
    </w:pPr>
    <w:rPr>
      <w:rFonts w:ascii="Cambria" w:eastAsia="Cambria" w:hAnsi="Cambria" w:cs="Times New Roman"/>
      <w:lang w:val="fr-SN"/>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ausimple522">
    <w:name w:val="Tableau simple 522"/>
    <w:basedOn w:val="TableauNormal"/>
    <w:next w:val="Tableausimple5"/>
    <w:uiPriority w:val="63"/>
    <w:qFormat/>
    <w:rsid w:val="000676A1"/>
    <w:pPr>
      <w:spacing w:after="0" w:line="240" w:lineRule="auto"/>
    </w:pPr>
    <w:rPr>
      <w:rFonts w:ascii="Cambria" w:eastAsia="Cambria" w:hAnsi="Cambria" w:cs="Times New Roman"/>
      <w:lang w:val="fr-SN"/>
      <w14:ligatures w14:val="standardContextua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Bibliographie112">
    <w:name w:val="Bibliographie112"/>
    <w:basedOn w:val="TableauNormal"/>
    <w:uiPriority w:val="61"/>
    <w:rsid w:val="000676A1"/>
    <w:pPr>
      <w:spacing w:after="0" w:line="240" w:lineRule="auto"/>
    </w:pPr>
    <w:rPr>
      <w:rFonts w:ascii="Cambria" w:eastAsia="Cambria" w:hAnsi="Cambria" w:cs="Times New Roman"/>
      <w:lang w:val="fr-CA"/>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moyenne1-Accent212">
    <w:name w:val="Liste moyenne 1 - Accent 212"/>
    <w:basedOn w:val="TableauNormal"/>
    <w:next w:val="Listemoyenne1-Accent2"/>
    <w:uiPriority w:val="61"/>
    <w:rsid w:val="000676A1"/>
    <w:pPr>
      <w:spacing w:after="0" w:line="240" w:lineRule="auto"/>
    </w:pPr>
    <w:rPr>
      <w:rFonts w:ascii="Cambria" w:eastAsia="Cambria" w:hAnsi="Cambria" w:cs="Times New Roman"/>
      <w:lang w:val="fr-CA"/>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Grille212">
    <w:name w:val="Grille212"/>
    <w:basedOn w:val="TableauNormal"/>
    <w:next w:val="Grilledutableau"/>
    <w:uiPriority w:val="3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312">
    <w:name w:val="Grille312"/>
    <w:basedOn w:val="TableauNormal"/>
    <w:next w:val="Grilledutableau"/>
    <w:uiPriority w:val="3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4-Accentuation612">
    <w:name w:val="Tableau Grille 4 - Accentuation 612"/>
    <w:basedOn w:val="TableauNormal"/>
    <w:next w:val="TableauGrille4-Accentuation6"/>
    <w:uiPriority w:val="49"/>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ramecouleur-Accent322">
    <w:name w:val="Trame couleur - Accent 322"/>
    <w:basedOn w:val="TableauNormal"/>
    <w:next w:val="Tramecouleur-Accent3"/>
    <w:unhideWhenUsed/>
    <w:rsid w:val="000676A1"/>
    <w:pPr>
      <w:spacing w:after="0" w:line="240" w:lineRule="auto"/>
    </w:pPr>
    <w:rPr>
      <w:rFonts w:ascii="Calibri" w:eastAsia="Calibri" w:hAnsi="Calibri" w:cs="Times New Roman"/>
      <w:sz w:val="24"/>
      <w:szCs w:val="24"/>
      <w:lang w:val="fr-SN"/>
      <w14:ligatures w14:val="standardContextual"/>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Tramemoyenne1-Accent212">
    <w:name w:val="Trame moyenne 1 - Accent 212"/>
    <w:basedOn w:val="TableauNormal"/>
    <w:next w:val="Tramemoyenne1-Accent2"/>
    <w:uiPriority w:val="1"/>
    <w:unhideWhenUsed/>
    <w:rsid w:val="000676A1"/>
    <w:pPr>
      <w:spacing w:after="0" w:line="240" w:lineRule="auto"/>
    </w:pPr>
    <w:rPr>
      <w:rFonts w:ascii="Times New Roman" w:eastAsia="Times New Roman" w:hAnsi="Times New Roman" w:cs="Times New Roman"/>
      <w:sz w:val="24"/>
      <w:szCs w:val="24"/>
      <w:lang w:val="en-US"/>
      <w14:ligatures w14:val="standardContextual"/>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TableauGrille1Clair-Accentuation142">
    <w:name w:val="Tableau Grille 1 Clair - Accentuation 142"/>
    <w:basedOn w:val="TableauNormal"/>
    <w:next w:val="TableauGrille1Clair-Accentuation1"/>
    <w:uiPriority w:val="46"/>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llemoyenne1-Accent252">
    <w:name w:val="Grille moyenne 1 - Accent 252"/>
    <w:basedOn w:val="TableauNormal"/>
    <w:next w:val="Grillemoyenne1-Accent2"/>
    <w:uiPriority w:val="34"/>
    <w:rsid w:val="000676A1"/>
    <w:pPr>
      <w:spacing w:after="0" w:line="240" w:lineRule="auto"/>
    </w:pPr>
    <w:rPr>
      <w:rFonts w:ascii="Calibri" w:eastAsia="Calibri" w:hAnsi="Calibri" w:cs="Times New Roman"/>
      <w:lang w:val="fr-SN"/>
      <w14:ligatures w14:val="standardContextu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Grillemoyenne2122">
    <w:name w:val="Grille moyenne 2122"/>
    <w:basedOn w:val="TableauNormal"/>
    <w:uiPriority w:val="1"/>
    <w:rsid w:val="000676A1"/>
    <w:pPr>
      <w:spacing w:after="0" w:line="240" w:lineRule="auto"/>
    </w:pPr>
    <w:rPr>
      <w:rFonts w:ascii="Arial (W1)" w:eastAsia="Calibri" w:hAnsi="Arial (W1)" w:cs="Arial"/>
      <w:lang w:val="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stefonce-Accent522">
    <w:name w:val="Liste foncée - Accent 522"/>
    <w:basedOn w:val="TableauNormal"/>
    <w:next w:val="Listefonce-Accent5"/>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stefonce-Accent622">
    <w:name w:val="Liste foncée - Accent 622"/>
    <w:basedOn w:val="TableauNormal"/>
    <w:next w:val="Listefonce-Accent6"/>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lleclaire-Accent1122">
    <w:name w:val="Grille claire - Accent 1122"/>
    <w:basedOn w:val="TableauNormal"/>
    <w:uiPriority w:val="62"/>
    <w:rsid w:val="000676A1"/>
    <w:pPr>
      <w:spacing w:after="0" w:line="240" w:lineRule="auto"/>
    </w:pPr>
    <w:rPr>
      <w:rFonts w:ascii="Calibri" w:eastAsia="Calibri" w:hAnsi="Calibri" w:cs="Times New Roman"/>
      <w:sz w:val="20"/>
      <w:szCs w:val="20"/>
      <w:lang w:val="fr-SN" w:eastAsia="fr-F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Latha" w:eastAsia="Times New Roman" w:hAnsi="Lath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Latha" w:eastAsia="Times New Roman" w:hAnsi="Lath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atha" w:eastAsia="Times New Roman" w:hAnsi="Latha" w:cs="Times New Roman"/>
        <w:b/>
        <w:bCs/>
      </w:rPr>
    </w:tblStylePr>
    <w:tblStylePr w:type="lastCol">
      <w:rPr>
        <w:rFonts w:ascii="Latha" w:eastAsia="Times New Roman" w:hAnsi="Lath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Aucuneliste322">
    <w:name w:val="Aucune liste322"/>
    <w:next w:val="Aucuneliste"/>
    <w:uiPriority w:val="99"/>
    <w:semiHidden/>
    <w:unhideWhenUsed/>
    <w:rsid w:val="000676A1"/>
  </w:style>
  <w:style w:type="numbering" w:customStyle="1" w:styleId="Aucuneliste422">
    <w:name w:val="Aucune liste422"/>
    <w:next w:val="Aucuneliste"/>
    <w:uiPriority w:val="99"/>
    <w:semiHidden/>
    <w:unhideWhenUsed/>
    <w:rsid w:val="000676A1"/>
  </w:style>
  <w:style w:type="numbering" w:customStyle="1" w:styleId="Aucuneliste522">
    <w:name w:val="Aucune liste522"/>
    <w:next w:val="Aucuneliste"/>
    <w:uiPriority w:val="99"/>
    <w:semiHidden/>
    <w:unhideWhenUsed/>
    <w:rsid w:val="000676A1"/>
  </w:style>
  <w:style w:type="numbering" w:customStyle="1" w:styleId="Aucuneliste622">
    <w:name w:val="Aucune liste622"/>
    <w:next w:val="Aucuneliste"/>
    <w:uiPriority w:val="99"/>
    <w:semiHidden/>
    <w:unhideWhenUsed/>
    <w:rsid w:val="000676A1"/>
  </w:style>
  <w:style w:type="numbering" w:customStyle="1" w:styleId="122">
    <w:name w:val="无列表122"/>
    <w:next w:val="Aucuneliste"/>
    <w:uiPriority w:val="99"/>
    <w:semiHidden/>
    <w:unhideWhenUsed/>
    <w:rsid w:val="000676A1"/>
  </w:style>
  <w:style w:type="table" w:customStyle="1" w:styleId="Trameclaire-Accent232">
    <w:name w:val="Trame claire - Accent 232"/>
    <w:basedOn w:val="TableauNormal"/>
    <w:next w:val="Trameclaire-Accent2"/>
    <w:uiPriority w:val="30"/>
    <w:rsid w:val="000676A1"/>
    <w:pPr>
      <w:spacing w:after="0" w:line="240" w:lineRule="auto"/>
    </w:pPr>
    <w:rPr>
      <w:rFonts w:ascii="Calibri" w:eastAsia="Calibri" w:hAnsi="Calibri" w:cs="Times New Roman"/>
      <w:b/>
      <w:bCs/>
      <w:i/>
      <w:iCs/>
      <w:color w:val="4F81BD"/>
      <w:sz w:val="24"/>
      <w:szCs w:val="24"/>
      <w:lang w:val="fr-SN"/>
      <w14:ligatures w14:val="standardContextual"/>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Grid2122">
    <w:name w:val="Medium Grid 2122"/>
    <w:basedOn w:val="TableauNormal"/>
    <w:uiPriority w:val="1"/>
    <w:rsid w:val="000676A1"/>
    <w:pPr>
      <w:spacing w:after="0" w:line="240" w:lineRule="auto"/>
    </w:pPr>
    <w:rPr>
      <w:rFonts w:ascii="Arial (W1)" w:eastAsia="Calibri" w:hAnsi="Arial (W1)" w:cs="Arial"/>
      <w:lang w:val="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llecouleur-Accent132">
    <w:name w:val="Grille couleur - Accent 132"/>
    <w:basedOn w:val="TableauNormal"/>
    <w:next w:val="Grillecouleur-Accent1"/>
    <w:uiPriority w:val="29"/>
    <w:rsid w:val="000676A1"/>
    <w:pPr>
      <w:spacing w:after="0" w:line="240" w:lineRule="auto"/>
    </w:pPr>
    <w:rPr>
      <w:rFonts w:ascii="Calibri" w:eastAsia="SimSun" w:hAnsi="Calibri" w:cs="Times New Roman"/>
      <w:i/>
      <w:iCs/>
      <w:color w:val="000000"/>
      <w:kern w:val="2"/>
      <w:sz w:val="24"/>
      <w:szCs w:val="21"/>
      <w:lang w:val="en-US" w:eastAsia="zh-CN"/>
      <w14:ligatures w14:val="standardContextual"/>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numbering" w:customStyle="1" w:styleId="Aucuneliste712">
    <w:name w:val="Aucune liste712"/>
    <w:next w:val="Aucuneliste"/>
    <w:uiPriority w:val="99"/>
    <w:semiHidden/>
    <w:unhideWhenUsed/>
    <w:rsid w:val="000676A1"/>
  </w:style>
  <w:style w:type="table" w:customStyle="1" w:styleId="TableauGrille1Clair-Accentuation1312">
    <w:name w:val="Tableau Grille 1 Clair - Accentuation 1312"/>
    <w:basedOn w:val="TableauNormal"/>
    <w:next w:val="TableauGrille1Clair-Accentuation1"/>
    <w:uiPriority w:val="46"/>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lledutableau1912">
    <w:name w:val="Grille du tableau1912"/>
    <w:basedOn w:val="TableauNormal"/>
    <w:next w:val="Grilledutableau"/>
    <w:uiPriority w:val="3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etableauclaire212">
    <w:name w:val="Grille de tableau claire212"/>
    <w:basedOn w:val="TableauNormal"/>
    <w:next w:val="Grilledetableauclaire"/>
    <w:uiPriority w:val="40"/>
    <w:rsid w:val="000676A1"/>
    <w:pPr>
      <w:spacing w:after="0" w:line="240" w:lineRule="auto"/>
    </w:pPr>
    <w:rPr>
      <w:rFonts w:ascii="Calibri" w:eastAsia="Calibri" w:hAnsi="Calibri" w:cs="Times New Roman"/>
      <w:lang w:val="fr-SN"/>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Aucuneliste812">
    <w:name w:val="Aucune liste812"/>
    <w:next w:val="Aucuneliste"/>
    <w:uiPriority w:val="99"/>
    <w:semiHidden/>
    <w:unhideWhenUsed/>
    <w:rsid w:val="000676A1"/>
  </w:style>
  <w:style w:type="table" w:customStyle="1" w:styleId="GT0112">
    <w:name w:val="GT0112"/>
    <w:basedOn w:val="TableauNormal"/>
    <w:next w:val="Grilledutableau"/>
    <w:uiPriority w:val="59"/>
    <w:qFormat/>
    <w:rsid w:val="000676A1"/>
    <w:pPr>
      <w:spacing w:before="120" w:after="120" w:line="240" w:lineRule="auto"/>
      <w:ind w:left="115" w:right="115"/>
    </w:pPr>
    <w:rPr>
      <w:rFonts w:ascii="Arial" w:eastAsia="Arial" w:hAnsi="Arial" w:cs="Arial"/>
      <w:sz w:val="20"/>
      <w:szCs w:val="20"/>
      <w:lang w:val="fr-SN"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Grilledutableau11012">
    <w:name w:val="Grille du tableau11012"/>
    <w:basedOn w:val="TableauNormal"/>
    <w:next w:val="Grilledutableau"/>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312">
    <w:name w:val="Grille du tableau2312"/>
    <w:basedOn w:val="TableauNormal"/>
    <w:next w:val="Grilledutableau"/>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2">
    <w:name w:val="Aucune liste1212"/>
    <w:next w:val="Aucuneliste"/>
    <w:uiPriority w:val="99"/>
    <w:semiHidden/>
    <w:unhideWhenUsed/>
    <w:rsid w:val="000676A1"/>
  </w:style>
  <w:style w:type="table" w:customStyle="1" w:styleId="Grilledutableau3112">
    <w:name w:val="Grille du tableau3112"/>
    <w:basedOn w:val="TableauNormal"/>
    <w:next w:val="Grilledutableau"/>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auNormal"/>
    <w:next w:val="Grilledutableau"/>
    <w:uiPriority w:val="59"/>
    <w:rsid w:val="000676A1"/>
    <w:pPr>
      <w:spacing w:after="0" w:line="240" w:lineRule="auto"/>
    </w:pPr>
    <w:rPr>
      <w:rFonts w:ascii="Calibri" w:eastAsia="MS Mincho"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uiPriority w:val="2"/>
    <w:semiHidden/>
    <w:unhideWhenUsed/>
    <w:qFormat/>
    <w:rsid w:val="000676A1"/>
    <w:pPr>
      <w:widowControl w:val="0"/>
      <w:spacing w:after="0" w:line="240" w:lineRule="auto"/>
    </w:pPr>
    <w:rPr>
      <w:rFonts w:ascii="Calibri" w:eastAsia="Calibri" w:hAnsi="Calibri" w:cs="Times New Roman"/>
      <w:lang w:val="en-US"/>
      <w14:ligatures w14:val="standardContextual"/>
    </w:rPr>
    <w:tblPr>
      <w:tblInd w:w="0" w:type="dxa"/>
      <w:tblCellMar>
        <w:top w:w="0" w:type="dxa"/>
        <w:left w:w="0" w:type="dxa"/>
        <w:bottom w:w="0" w:type="dxa"/>
        <w:right w:w="0" w:type="dxa"/>
      </w:tblCellMar>
    </w:tblPr>
  </w:style>
  <w:style w:type="table" w:customStyle="1" w:styleId="Grilledutableau6112">
    <w:name w:val="Grille du tableau6112"/>
    <w:basedOn w:val="TableauNormal"/>
    <w:next w:val="Grilledutableau"/>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Headings111">
    <w:name w:val="List Headings111"/>
    <w:uiPriority w:val="99"/>
    <w:rsid w:val="000676A1"/>
  </w:style>
  <w:style w:type="table" w:customStyle="1" w:styleId="Grilledutableau7212">
    <w:name w:val="Grille du tableau7212"/>
    <w:basedOn w:val="TableauNormal"/>
    <w:next w:val="Grilledutableau"/>
    <w:uiPriority w:val="59"/>
    <w:rsid w:val="000676A1"/>
    <w:pPr>
      <w:spacing w:after="0" w:line="240" w:lineRule="auto"/>
    </w:pPr>
    <w:rPr>
      <w:rFonts w:ascii="Cambria" w:eastAsia="Cambria" w:hAnsi="Cambria" w:cs="Times New Roman"/>
      <w:lang w:val="fr-SN"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moyenne1-Accent2412">
    <w:name w:val="Grille moyenne 1 - Accent 2412"/>
    <w:basedOn w:val="TableauNormal"/>
    <w:next w:val="Grillemoyenne1-Accent2"/>
    <w:uiPriority w:val="34"/>
    <w:rsid w:val="000676A1"/>
    <w:pPr>
      <w:spacing w:after="0" w:line="240" w:lineRule="auto"/>
    </w:pPr>
    <w:rPr>
      <w:rFonts w:ascii="Calibri" w:eastAsia="Calibri" w:hAnsi="Calibri" w:cs="Times New Roman"/>
      <w:lang w:val="fr-SN"/>
      <w14:ligatures w14:val="standardContextu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Grillemoyenne21112">
    <w:name w:val="Grille moyenne 21112"/>
    <w:basedOn w:val="TableauNormal"/>
    <w:uiPriority w:val="1"/>
    <w:rsid w:val="000676A1"/>
    <w:pPr>
      <w:spacing w:after="0" w:line="240" w:lineRule="auto"/>
    </w:pPr>
    <w:rPr>
      <w:rFonts w:ascii="Arial (W1)" w:eastAsia="Calibri" w:hAnsi="Arial (W1)" w:cs="Arial"/>
      <w:lang w:val="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steclaire1112">
    <w:name w:val="Liste claire1112"/>
    <w:basedOn w:val="TableauNormal"/>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efonce-Accent5112">
    <w:name w:val="Liste foncée - Accent 5112"/>
    <w:basedOn w:val="TableauNormal"/>
    <w:next w:val="Listefonce-Accent5"/>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Aucuneliste2112">
    <w:name w:val="Aucune liste2112"/>
    <w:next w:val="Aucuneliste"/>
    <w:uiPriority w:val="99"/>
    <w:semiHidden/>
    <w:unhideWhenUsed/>
    <w:rsid w:val="000676A1"/>
  </w:style>
  <w:style w:type="table" w:customStyle="1" w:styleId="Listeclaire-Accent612212">
    <w:name w:val="Liste claire - Accent 612212"/>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1312">
    <w:name w:val="Liste claire - Accent 61312"/>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fonce-Accent6112">
    <w:name w:val="Liste foncée - Accent 6112"/>
    <w:basedOn w:val="TableauNormal"/>
    <w:next w:val="Listefonce-Accent6"/>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lleclaire-Accent11112">
    <w:name w:val="Grille claire - Accent 11112"/>
    <w:basedOn w:val="TableauNormal"/>
    <w:uiPriority w:val="62"/>
    <w:rsid w:val="000676A1"/>
    <w:pPr>
      <w:spacing w:after="0" w:line="240" w:lineRule="auto"/>
    </w:pPr>
    <w:rPr>
      <w:rFonts w:ascii="Calibri" w:eastAsia="Calibri" w:hAnsi="Calibri" w:cs="Times New Roman"/>
      <w:sz w:val="20"/>
      <w:szCs w:val="20"/>
      <w:lang w:val="fr-SN" w:eastAsia="fr-F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Latha" w:eastAsia="Times New Roman" w:hAnsi="Lath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Latha" w:eastAsia="Times New Roman" w:hAnsi="Lath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atha" w:eastAsia="Times New Roman" w:hAnsi="Latha" w:cs="Times New Roman"/>
        <w:b/>
        <w:bCs/>
      </w:rPr>
    </w:tblStylePr>
    <w:tblStylePr w:type="lastCol">
      <w:rPr>
        <w:rFonts w:ascii="Latha" w:eastAsia="Times New Roman" w:hAnsi="Lath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Aucuneliste3112">
    <w:name w:val="Aucune liste3112"/>
    <w:next w:val="Aucuneliste"/>
    <w:uiPriority w:val="99"/>
    <w:semiHidden/>
    <w:unhideWhenUsed/>
    <w:rsid w:val="000676A1"/>
  </w:style>
  <w:style w:type="numbering" w:customStyle="1" w:styleId="Aucuneliste4112">
    <w:name w:val="Aucune liste4112"/>
    <w:next w:val="Aucuneliste"/>
    <w:uiPriority w:val="99"/>
    <w:semiHidden/>
    <w:unhideWhenUsed/>
    <w:rsid w:val="000676A1"/>
  </w:style>
  <w:style w:type="table" w:customStyle="1" w:styleId="Grilledutableau5112">
    <w:name w:val="Grille du tableau5112"/>
    <w:basedOn w:val="TableauNormal"/>
    <w:next w:val="Grilledutableau"/>
    <w:uiPriority w:val="59"/>
    <w:rsid w:val="000676A1"/>
    <w:pPr>
      <w:spacing w:after="0" w:line="240" w:lineRule="auto"/>
    </w:pPr>
    <w:rPr>
      <w:rFonts w:ascii="Calibri" w:eastAsia="Times New Roman" w:hAnsi="Calibri" w:cs="Times New Roman"/>
      <w:sz w:val="20"/>
      <w:szCs w:val="20"/>
      <w:lang w:val="fr-SN" w:eastAsia="fr-F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5112">
    <w:name w:val="Aucune liste5112"/>
    <w:next w:val="Aucuneliste"/>
    <w:uiPriority w:val="99"/>
    <w:semiHidden/>
    <w:unhideWhenUsed/>
    <w:rsid w:val="000676A1"/>
  </w:style>
  <w:style w:type="table" w:customStyle="1" w:styleId="Grilledutableau21112">
    <w:name w:val="Grille du tableau21112"/>
    <w:basedOn w:val="TableauNormal"/>
    <w:next w:val="Grilledutableau"/>
    <w:uiPriority w:val="59"/>
    <w:rsid w:val="000676A1"/>
    <w:pPr>
      <w:spacing w:after="0" w:line="240" w:lineRule="auto"/>
    </w:pPr>
    <w:rPr>
      <w:rFonts w:ascii="Calibri" w:eastAsia="Times New Roman" w:hAnsi="Calibri" w:cs="Times New Roman"/>
      <w:lang w:val="fr-SN" w:eastAsia="fr-F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eclaire-Accent6121112">
    <w:name w:val="Liste claire - Accent 6121112"/>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11112">
    <w:name w:val="Liste claire - Accent 611112"/>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2112">
    <w:name w:val="Liste claire - Accent 62112"/>
    <w:basedOn w:val="TableauNormal"/>
    <w:next w:val="Listefonce-Accent6"/>
    <w:uiPriority w:val="61"/>
    <w:rsid w:val="000676A1"/>
    <w:pPr>
      <w:spacing w:after="0" w:line="240" w:lineRule="auto"/>
      <w:jc w:val="both"/>
    </w:pPr>
    <w:rPr>
      <w:rFonts w:ascii="Arial Narrow" w:eastAsia="Calibri" w:hAnsi="Arial Narrow" w:cs="Times New Roman"/>
      <w:sz w:val="24"/>
      <w:lang w:val="en-GB"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Aucuneliste6112">
    <w:name w:val="Aucune liste6112"/>
    <w:next w:val="Aucuneliste"/>
    <w:uiPriority w:val="99"/>
    <w:semiHidden/>
    <w:unhideWhenUsed/>
    <w:rsid w:val="000676A1"/>
  </w:style>
  <w:style w:type="numbering" w:customStyle="1" w:styleId="1112">
    <w:name w:val="无列表1112"/>
    <w:next w:val="Aucuneliste"/>
    <w:uiPriority w:val="99"/>
    <w:semiHidden/>
    <w:unhideWhenUsed/>
    <w:rsid w:val="000676A1"/>
  </w:style>
  <w:style w:type="table" w:customStyle="1" w:styleId="Trameclaire-Accent2212">
    <w:name w:val="Trame claire - Accent 2212"/>
    <w:basedOn w:val="TableauNormal"/>
    <w:next w:val="Trameclaire-Accent2"/>
    <w:uiPriority w:val="30"/>
    <w:rsid w:val="000676A1"/>
    <w:pPr>
      <w:spacing w:after="0" w:line="240" w:lineRule="auto"/>
    </w:pPr>
    <w:rPr>
      <w:rFonts w:ascii="Calibri" w:eastAsia="Calibri" w:hAnsi="Calibri" w:cs="Times New Roman"/>
      <w:b/>
      <w:bCs/>
      <w:i/>
      <w:iCs/>
      <w:color w:val="4F81BD"/>
      <w:sz w:val="24"/>
      <w:szCs w:val="24"/>
      <w:lang w:val="fr-SN"/>
      <w14:ligatures w14:val="standardContextual"/>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Grid21112">
    <w:name w:val="Medium Grid 21112"/>
    <w:basedOn w:val="TableauNormal"/>
    <w:uiPriority w:val="1"/>
    <w:rsid w:val="000676A1"/>
    <w:pPr>
      <w:spacing w:after="0" w:line="240" w:lineRule="auto"/>
    </w:pPr>
    <w:rPr>
      <w:rFonts w:ascii="Arial (W1)" w:eastAsia="Calibri" w:hAnsi="Arial (W1)" w:cs="Arial"/>
      <w:lang w:val="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llecouleur-Accent1212">
    <w:name w:val="Grille couleur - Accent 1212"/>
    <w:basedOn w:val="TableauNormal"/>
    <w:next w:val="Grillecouleur-Accent1"/>
    <w:uiPriority w:val="29"/>
    <w:rsid w:val="000676A1"/>
    <w:pPr>
      <w:spacing w:after="0" w:line="240" w:lineRule="auto"/>
    </w:pPr>
    <w:rPr>
      <w:rFonts w:ascii="Calibri" w:eastAsia="SimSun" w:hAnsi="Calibri" w:cs="Times New Roman"/>
      <w:i/>
      <w:iCs/>
      <w:color w:val="000000"/>
      <w:kern w:val="2"/>
      <w:sz w:val="24"/>
      <w:szCs w:val="21"/>
      <w:lang w:val="en-US" w:eastAsia="zh-CN"/>
      <w14:ligatures w14:val="standardContextual"/>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TableauGrille6Couleur12">
    <w:name w:val="Tableau Grille 6 Couleur12"/>
    <w:basedOn w:val="TableauNormal"/>
    <w:next w:val="TableauGrille6Couleur"/>
    <w:uiPriority w:val="51"/>
    <w:rsid w:val="000676A1"/>
    <w:pPr>
      <w:spacing w:after="0" w:line="240" w:lineRule="auto"/>
    </w:pPr>
    <w:rPr>
      <w:rFonts w:ascii="Calibri" w:eastAsia="Calibri" w:hAnsi="Calibri" w:cs="Times New Roman"/>
      <w:color w:val="000000"/>
      <w:lang w:val="fr-SN"/>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4-Accentuation512">
    <w:name w:val="Tableau Grille 4 - Accentuation 512"/>
    <w:basedOn w:val="TableauNormal"/>
    <w:next w:val="TableauGrille4-Accentuation5"/>
    <w:uiPriority w:val="49"/>
    <w:rsid w:val="000676A1"/>
    <w:pPr>
      <w:spacing w:after="0" w:line="240" w:lineRule="auto"/>
    </w:pPr>
    <w:rPr>
      <w:rFonts w:ascii="Calibri" w:eastAsia="Calibri" w:hAnsi="Calibri" w:cs="Times New Roman"/>
      <w:sz w:val="20"/>
      <w:lang w:val="fr-S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Grille432">
    <w:name w:val="Tableau Grille 432"/>
    <w:basedOn w:val="TableauNormal"/>
    <w:next w:val="TableauGrille4"/>
    <w:uiPriority w:val="49"/>
    <w:rsid w:val="000676A1"/>
    <w:pPr>
      <w:spacing w:after="0" w:line="240" w:lineRule="auto"/>
    </w:pPr>
    <w:rPr>
      <w:rFonts w:ascii="Calibri" w:eastAsia="Calibri" w:hAnsi="Calibri" w:cs="Times New Roman"/>
      <w:sz w:val="20"/>
      <w:lang w:val="fr-SN"/>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5Fonc-Accentuation512">
    <w:name w:val="Tableau Grille 5 Foncé - Accentuation 512"/>
    <w:basedOn w:val="TableauNormal"/>
    <w:next w:val="TableauGrille5Fonc-Accentuation5"/>
    <w:uiPriority w:val="50"/>
    <w:rsid w:val="000676A1"/>
    <w:pPr>
      <w:spacing w:after="0" w:line="240" w:lineRule="auto"/>
    </w:pPr>
    <w:rPr>
      <w:rFonts w:ascii="Calibri" w:eastAsia="Calibri" w:hAnsi="Calibri" w:cs="Times New Roman"/>
      <w:sz w:val="20"/>
      <w:lang w:val="fr-SN"/>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auGrille5Fonc-Accentuation612">
    <w:name w:val="Tableau Grille 5 Foncé - Accentuation 612"/>
    <w:basedOn w:val="TableauNormal"/>
    <w:next w:val="TableauGrille5Fonc-Accentuation6"/>
    <w:uiPriority w:val="50"/>
    <w:rsid w:val="000676A1"/>
    <w:pPr>
      <w:spacing w:after="0" w:line="240" w:lineRule="auto"/>
    </w:pPr>
    <w:rPr>
      <w:rFonts w:ascii="Calibri" w:eastAsia="Calibri" w:hAnsi="Calibri" w:cs="Times New Roman"/>
      <w:sz w:val="20"/>
      <w:lang w:val="fr-SN"/>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eauListe5Fonc-Accentuation612">
    <w:name w:val="Tableau Liste 5 Foncé - Accentuation 612"/>
    <w:basedOn w:val="TableauNormal"/>
    <w:next w:val="TableauListe5Fonc-Accentuation6"/>
    <w:uiPriority w:val="50"/>
    <w:rsid w:val="000676A1"/>
    <w:pPr>
      <w:spacing w:after="0" w:line="240" w:lineRule="auto"/>
    </w:pPr>
    <w:rPr>
      <w:rFonts w:ascii="Calibri" w:eastAsia="Calibri" w:hAnsi="Calibri" w:cs="Times New Roman"/>
      <w:color w:val="FFFFFF"/>
      <w:sz w:val="20"/>
      <w:lang w:val="fr-SN"/>
      <w14:ligatures w14:val="standardContextual"/>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4-Accentuation612">
    <w:name w:val="Tableau Liste 4 - Accentuation 612"/>
    <w:basedOn w:val="TableauNormal"/>
    <w:next w:val="TableauListe4-Accentuation6"/>
    <w:uiPriority w:val="49"/>
    <w:rsid w:val="000676A1"/>
    <w:pPr>
      <w:spacing w:after="0" w:line="240" w:lineRule="auto"/>
    </w:pPr>
    <w:rPr>
      <w:rFonts w:ascii="Calibri" w:eastAsia="Calibri" w:hAnsi="Calibri" w:cs="Times New Roman"/>
      <w:sz w:val="20"/>
      <w:lang w:val="fr-SN"/>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auListe5Fonc-Accentuation512">
    <w:name w:val="Tableau Liste 5 Foncé - Accentuation 512"/>
    <w:basedOn w:val="TableauNormal"/>
    <w:next w:val="TableauListe5Fonc-Accentuation5"/>
    <w:uiPriority w:val="50"/>
    <w:rsid w:val="000676A1"/>
    <w:pPr>
      <w:spacing w:after="0" w:line="240" w:lineRule="auto"/>
    </w:pPr>
    <w:rPr>
      <w:rFonts w:ascii="Calibri" w:eastAsia="Calibri" w:hAnsi="Calibri" w:cs="Times New Roman"/>
      <w:color w:val="FFFFFF"/>
      <w:sz w:val="20"/>
      <w:lang w:val="fr-SN"/>
      <w14:ligatures w14:val="standardContextual"/>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4-Accentuation512">
    <w:name w:val="Tableau Liste 4 - Accentuation 512"/>
    <w:basedOn w:val="TableauNormal"/>
    <w:next w:val="TableauListe4-Accentuation5"/>
    <w:uiPriority w:val="49"/>
    <w:rsid w:val="000676A1"/>
    <w:pPr>
      <w:spacing w:after="0" w:line="240" w:lineRule="auto"/>
    </w:pPr>
    <w:rPr>
      <w:rFonts w:ascii="Calibri" w:eastAsia="Calibri" w:hAnsi="Calibri" w:cs="Times New Roman"/>
      <w:sz w:val="20"/>
      <w:lang w:val="fr-S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Liste1Clair-Accentuation612">
    <w:name w:val="Tableau Liste 1 Clair - Accentuation 612"/>
    <w:basedOn w:val="TableauNormal"/>
    <w:next w:val="TableauListe1Clair-Accentuation6"/>
    <w:uiPriority w:val="46"/>
    <w:rsid w:val="000676A1"/>
    <w:pPr>
      <w:spacing w:after="0" w:line="240" w:lineRule="auto"/>
    </w:pPr>
    <w:rPr>
      <w:rFonts w:ascii="Calibri" w:eastAsia="Calibri" w:hAnsi="Calibri" w:cs="Times New Roman"/>
      <w:sz w:val="20"/>
      <w:lang w:val="fr-SN"/>
      <w14:ligatures w14:val="standardContextual"/>
    </w:rPr>
    <w:tblPr>
      <w:tblStyleRowBandSize w:val="1"/>
      <w:tblStyleColBandSize w:val="1"/>
    </w:tblPr>
    <w:tblStylePr w:type="firstRow">
      <w:rPr>
        <w:b/>
        <w:bCs/>
      </w:rPr>
      <w:tblPr/>
      <w:tcPr>
        <w:tcBorders>
          <w:bottom w:val="single" w:sz="4" w:space="0" w:color="70AD47"/>
        </w:tcBorders>
      </w:tcPr>
    </w:tblStylePr>
    <w:tblStylePr w:type="lastRow">
      <w:rPr>
        <w:b/>
        <w:bCs/>
      </w:rPr>
      <w:tblPr/>
      <w:tcPr>
        <w:tcBorders>
          <w:top w:val="sing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auGrille1Clair32">
    <w:name w:val="Tableau Grille 1 Clair32"/>
    <w:basedOn w:val="TableauNormal"/>
    <w:next w:val="TableauGrille1Clair"/>
    <w:uiPriority w:val="46"/>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ausimple132">
    <w:name w:val="Tableau simple 132"/>
    <w:basedOn w:val="TableauNormal"/>
    <w:next w:val="Tableausimple1"/>
    <w:uiPriority w:val="41"/>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lledutableau17112">
    <w:name w:val="Grille du tableau17112"/>
    <w:basedOn w:val="TableauNormal"/>
    <w:next w:val="Grilledutableau"/>
    <w:uiPriority w:val="3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ouleur-Accent162">
    <w:name w:val="Liste couleur - Accent 162"/>
    <w:basedOn w:val="TableauNormal"/>
    <w:next w:val="Listecouleur-Accent1"/>
    <w:uiPriority w:val="34"/>
    <w:rsid w:val="000676A1"/>
    <w:pPr>
      <w:spacing w:after="0" w:line="240" w:lineRule="auto"/>
    </w:pPr>
    <w:rPr>
      <w:rFonts w:ascii="Times New Roman" w:eastAsia="Times New Roman" w:hAnsi="Times New Roman" w:cs="Times New Roman"/>
      <w:sz w:val="24"/>
      <w:szCs w:val="24"/>
      <w:lang w:val="fr-SN"/>
      <w14:ligatures w14:val="standardContextual"/>
    </w:rPr>
    <w:tblPr>
      <w:tblStyleRowBandSize w:val="1"/>
      <w:tblStyleColBandSize w:val="1"/>
    </w:tblPr>
    <w:tcPr>
      <w:shd w:val="clear" w:color="auto" w:fill="EDF2F8"/>
    </w:tcPr>
    <w:tblStylePr w:type="firstRow">
      <w:rPr>
        <w:rFonts w:cs="Times New Roman"/>
      </w:rPr>
      <w:tblPr/>
      <w:tcPr>
        <w:tcBorders>
          <w:bottom w:val="single" w:sz="12" w:space="0" w:color="FFFFFF"/>
        </w:tcBorders>
        <w:shd w:val="clear" w:color="auto" w:fill="9E3A38"/>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numbering" w:customStyle="1" w:styleId="WWNum311">
    <w:name w:val="WWNum311"/>
    <w:basedOn w:val="Aucuneliste"/>
    <w:rsid w:val="000676A1"/>
  </w:style>
  <w:style w:type="numbering" w:customStyle="1" w:styleId="WWNum111">
    <w:name w:val="WWNum111"/>
    <w:basedOn w:val="Aucuneliste"/>
    <w:rsid w:val="000676A1"/>
  </w:style>
  <w:style w:type="numbering" w:customStyle="1" w:styleId="WWNum211">
    <w:name w:val="WWNum211"/>
    <w:basedOn w:val="Aucuneliste"/>
    <w:rsid w:val="000676A1"/>
  </w:style>
  <w:style w:type="numbering" w:customStyle="1" w:styleId="WWNum511">
    <w:name w:val="WWNum511"/>
    <w:basedOn w:val="Aucuneliste"/>
    <w:rsid w:val="000676A1"/>
  </w:style>
  <w:style w:type="numbering" w:customStyle="1" w:styleId="Aucuneliste1111111">
    <w:name w:val="Aucune liste1111111"/>
    <w:next w:val="Aucuneliste"/>
    <w:uiPriority w:val="99"/>
    <w:semiHidden/>
    <w:unhideWhenUsed/>
    <w:rsid w:val="000676A1"/>
  </w:style>
  <w:style w:type="numbering" w:customStyle="1" w:styleId="Aucuneliste912">
    <w:name w:val="Aucune liste912"/>
    <w:next w:val="Aucuneliste"/>
    <w:uiPriority w:val="99"/>
    <w:semiHidden/>
    <w:unhideWhenUsed/>
    <w:rsid w:val="000676A1"/>
  </w:style>
  <w:style w:type="numbering" w:customStyle="1" w:styleId="Aucuneliste1012">
    <w:name w:val="Aucune liste1012"/>
    <w:next w:val="Aucuneliste"/>
    <w:uiPriority w:val="99"/>
    <w:semiHidden/>
    <w:unhideWhenUsed/>
    <w:rsid w:val="000676A1"/>
  </w:style>
  <w:style w:type="table" w:customStyle="1" w:styleId="Grilledutableau201">
    <w:name w:val="Grille du tableau201"/>
    <w:basedOn w:val="TableauNormal"/>
    <w:next w:val="Grilledutableau"/>
    <w:uiPriority w:val="59"/>
    <w:rsid w:val="000676A1"/>
    <w:pPr>
      <w:spacing w:after="0" w:line="240" w:lineRule="auto"/>
    </w:pPr>
    <w:rPr>
      <w:rFonts w:eastAsia="SimSu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51">
    <w:name w:val="Grille du tableau251"/>
    <w:basedOn w:val="TableauNormal"/>
    <w:next w:val="Grilledutableau"/>
    <w:uiPriority w:val="59"/>
    <w:rsid w:val="000676A1"/>
    <w:pPr>
      <w:spacing w:after="0" w:line="240" w:lineRule="auto"/>
    </w:pPr>
    <w:rPr>
      <w:rFonts w:eastAsia="SimSu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rsid w:val="000676A1"/>
    <w:pPr>
      <w:spacing w:after="0" w:line="240" w:lineRule="auto"/>
    </w:pPr>
    <w:rPr>
      <w:rFonts w:eastAsia="Times New Roman"/>
      <w:lang w:eastAsia="fr-FR"/>
      <w14:ligatures w14:val="standardContextual"/>
    </w:rPr>
    <w:tblPr>
      <w:tblCellMar>
        <w:top w:w="0" w:type="dxa"/>
        <w:left w:w="0" w:type="dxa"/>
        <w:bottom w:w="0" w:type="dxa"/>
        <w:right w:w="0" w:type="dxa"/>
      </w:tblCellMar>
    </w:tblPr>
  </w:style>
  <w:style w:type="table" w:customStyle="1" w:styleId="TableauGrille2131">
    <w:name w:val="Tableau Grille 2131"/>
    <w:basedOn w:val="TableauNormal"/>
    <w:rsid w:val="000676A1"/>
    <w:pPr>
      <w:spacing w:after="200" w:line="288" w:lineRule="auto"/>
    </w:pPr>
    <w:rPr>
      <w:rFonts w:ascii="Calibri" w:eastAsia="Times New Roman" w:hAnsi="Calibri"/>
      <w:sz w:val="24"/>
      <w:szCs w:val="24"/>
      <w:lang w:val="fr-SN" w:eastAsia="fr-FR"/>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1Clair-Accentuation1131">
    <w:name w:val="Tableau Grille 1 Clair - Accentuation 1131"/>
    <w:basedOn w:val="TableauNormal"/>
    <w:uiPriority w:val="46"/>
    <w:rsid w:val="000676A1"/>
    <w:pPr>
      <w:spacing w:after="200" w:line="288" w:lineRule="auto"/>
    </w:pPr>
    <w:rPr>
      <w:rFonts w:ascii="Calibri" w:eastAsia="Calibri" w:hAnsi="Calibri"/>
      <w:lang w:val="fr-SN"/>
      <w14:ligatures w14:val="standardContextua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eauGrille4-Accentuation1131">
    <w:name w:val="Tableau Grille 4 - Accentuation 1131"/>
    <w:basedOn w:val="TableauNormal"/>
    <w:uiPriority w:val="49"/>
    <w:rsid w:val="000676A1"/>
    <w:pPr>
      <w:spacing w:after="200" w:line="288" w:lineRule="auto"/>
    </w:pPr>
    <w:rPr>
      <w:rFonts w:ascii="Calibri" w:eastAsia="Calibri" w:hAnsi="Calibri"/>
      <w:lang w:val="fr-S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simple1131">
    <w:name w:val="Tableau simple 1131"/>
    <w:basedOn w:val="TableauNormal"/>
    <w:rsid w:val="000676A1"/>
    <w:pPr>
      <w:spacing w:after="200" w:line="288" w:lineRule="auto"/>
    </w:pPr>
    <w:rPr>
      <w:rFonts w:ascii="Times New Roman" w:eastAsia="SimSun" w:hAnsi="Times New Roman"/>
      <w:sz w:val="24"/>
      <w:szCs w:val="24"/>
      <w:lang w:val="fr-SN" w:eastAsia="fr-FR"/>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Grille4131">
    <w:name w:val="Tableau Grille 4131"/>
    <w:basedOn w:val="TableauNormal"/>
    <w:uiPriority w:val="49"/>
    <w:rsid w:val="000676A1"/>
    <w:pPr>
      <w:spacing w:after="200" w:line="288" w:lineRule="auto"/>
    </w:pPr>
    <w:rPr>
      <w:rFonts w:ascii="Times New Roman" w:eastAsia="SimSun" w:hAnsi="Times New Roman"/>
      <w:sz w:val="24"/>
      <w:szCs w:val="24"/>
      <w:lang w:val="fr-SN" w:eastAsia="fr-FR"/>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lledutableau261">
    <w:name w:val="Grille du tableau261"/>
    <w:basedOn w:val="TableauNormal"/>
    <w:next w:val="Grilledutableau"/>
    <w:uiPriority w:val="3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ouleur-Accent321">
    <w:name w:val="Liste couleur - Accent 321"/>
    <w:basedOn w:val="TableauNormal"/>
    <w:next w:val="Listecouleur-Accent3"/>
    <w:uiPriority w:val="29"/>
    <w:rsid w:val="000676A1"/>
    <w:pPr>
      <w:spacing w:after="200" w:line="288" w:lineRule="auto"/>
    </w:pPr>
    <w:rPr>
      <w:rFonts w:ascii="Calibri" w:eastAsia="Times New Roman" w:hAnsi="Calibri" w:cs="Times New Roman"/>
      <w:i/>
      <w:iCs/>
      <w:color w:val="000000"/>
      <w:lang w:val="en-US" w:bidi="en-US"/>
      <w14:ligatures w14:val="standardContextual"/>
    </w:rPr>
    <w:tblPr>
      <w:tblStyleRowBandSize w:val="1"/>
      <w:tblStyleColBandSize w:val="1"/>
    </w:tblPr>
    <w:tcPr>
      <w:shd w:val="clear" w:color="auto" w:fill="F5F8EE"/>
    </w:tcPr>
    <w:tblStylePr w:type="firstRow">
      <w:tblPr/>
      <w:tcPr>
        <w:tcBorders>
          <w:bottom w:val="single" w:sz="12" w:space="0" w:color="FFFFFF"/>
        </w:tcBorders>
        <w:shd w:val="clear" w:color="auto" w:fill="664E8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llecouleur-Accent321">
    <w:name w:val="Grille couleur - Accent 321"/>
    <w:basedOn w:val="TableauNormal"/>
    <w:next w:val="Grillecouleur-Accent3"/>
    <w:uiPriority w:val="30"/>
    <w:rsid w:val="000676A1"/>
    <w:pPr>
      <w:spacing w:after="200" w:line="288" w:lineRule="auto"/>
    </w:pPr>
    <w:rPr>
      <w:rFonts w:ascii="Calibri" w:eastAsia="Times New Roman" w:hAnsi="Calibri" w:cs="Times New Roman"/>
      <w:b/>
      <w:bCs/>
      <w:i/>
      <w:iCs/>
      <w:color w:val="4F81BD"/>
      <w:lang w:val="en-US" w:bidi="en-US"/>
      <w14:ligatures w14:val="standardContextual"/>
    </w:rPr>
    <w:tblPr>
      <w:tblStyleRowBandSize w:val="1"/>
      <w:tblStyleColBandSize w:val="1"/>
      <w:tblBorders>
        <w:insideH w:val="single" w:sz="4" w:space="0" w:color="FFFFFF"/>
      </w:tblBorders>
    </w:tblPr>
    <w:tcPr>
      <w:shd w:val="clear" w:color="auto" w:fill="EAF1DD"/>
    </w:tcPr>
    <w:tblStylePr w:type="firstRow">
      <w:tblPr/>
      <w:tcPr>
        <w:shd w:val="clear" w:color="auto" w:fill="D6E3BC"/>
      </w:tcPr>
    </w:tblStylePr>
    <w:tblStylePr w:type="lastRow">
      <w:tblPr/>
      <w:tcPr>
        <w:shd w:val="clear" w:color="auto" w:fill="D6E3BC"/>
      </w:tcPr>
    </w:tblStylePr>
    <w:tblStylePr w:type="firstCol">
      <w:tblPr/>
      <w:tcPr>
        <w:shd w:val="clear" w:color="auto" w:fill="76923C"/>
      </w:tcPr>
    </w:tblStylePr>
    <w:tblStylePr w:type="lastCol">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Grillemoyenne1-Accent421">
    <w:name w:val="Grille moyenne 1 - Accent 421"/>
    <w:basedOn w:val="TableauNormal"/>
    <w:next w:val="Grillemoyenne1-Accent4"/>
    <w:uiPriority w:val="29"/>
    <w:rsid w:val="000676A1"/>
    <w:pPr>
      <w:spacing w:after="200" w:line="288" w:lineRule="auto"/>
    </w:pPr>
    <w:rPr>
      <w:rFonts w:ascii="Calibri" w:eastAsia="Times New Roman" w:hAnsi="Calibri" w:cs="Times New Roman"/>
      <w:i/>
      <w:iCs/>
      <w:color w:val="000000"/>
      <w:lang w:val="en-US" w:bidi="en-US"/>
      <w14:ligatures w14:val="standardContextu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lastRow">
      <w:tblPr/>
      <w:tcPr>
        <w:tcBorders>
          <w:top w:val="single" w:sz="18" w:space="0" w:color="9F8AB9"/>
        </w:tcBorders>
      </w:tcPr>
    </w:tblStylePr>
    <w:tblStylePr w:type="band1Vert">
      <w:tblPr/>
      <w:tcPr>
        <w:shd w:val="clear" w:color="auto" w:fill="BFB1D0"/>
      </w:tcPr>
    </w:tblStylePr>
    <w:tblStylePr w:type="band1Horz">
      <w:tblPr/>
      <w:tcPr>
        <w:shd w:val="clear" w:color="auto" w:fill="BFB1D0"/>
      </w:tcPr>
    </w:tblStylePr>
  </w:style>
  <w:style w:type="table" w:customStyle="1" w:styleId="Grillemoyenne2-Accent421">
    <w:name w:val="Grille moyenne 2 - Accent 421"/>
    <w:basedOn w:val="TableauNormal"/>
    <w:next w:val="Grillemoyenne2-Accent4"/>
    <w:uiPriority w:val="30"/>
    <w:rsid w:val="000676A1"/>
    <w:pPr>
      <w:spacing w:after="200" w:line="288" w:lineRule="auto"/>
    </w:pPr>
    <w:rPr>
      <w:rFonts w:ascii="Calibri" w:eastAsia="Times New Roman" w:hAnsi="Calibri" w:cs="Times New Roman"/>
      <w:b/>
      <w:bCs/>
      <w:i/>
      <w:iCs/>
      <w:color w:val="4F81BD"/>
      <w:lang w:val="en-US" w:bidi="en-US"/>
      <w14:ligatures w14:val="standardContextu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tblPr/>
      <w:tcPr>
        <w:shd w:val="clear" w:color="auto" w:fill="F2EFF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Trameclaire-Accent241">
    <w:name w:val="Trame claire - Accent 241"/>
    <w:basedOn w:val="TableauNormal"/>
    <w:next w:val="Trameclaire-Accent2"/>
    <w:uiPriority w:val="30"/>
    <w:rsid w:val="000676A1"/>
    <w:pPr>
      <w:spacing w:after="200" w:line="288" w:lineRule="auto"/>
    </w:pPr>
    <w:rPr>
      <w:rFonts w:eastAsia="SimSun"/>
      <w:b/>
      <w:bCs/>
      <w:i/>
      <w:iCs/>
      <w:color w:val="4F81BD"/>
      <w:sz w:val="24"/>
      <w:szCs w:val="24"/>
      <w14:ligatures w14:val="standardContextual"/>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Grillemoyenne2131">
    <w:name w:val="Grille moyenne 2131"/>
    <w:basedOn w:val="TableauNormal"/>
    <w:uiPriority w:val="1"/>
    <w:rsid w:val="000676A1"/>
    <w:pPr>
      <w:spacing w:after="0" w:line="240" w:lineRule="auto"/>
    </w:pPr>
    <w:rPr>
      <w:rFonts w:eastAsia="SimSun"/>
      <w:sz w:val="20"/>
      <w:szCs w:val="20"/>
      <w:lang w:val="en"/>
      <w14:ligatures w14:val="standardContextual"/>
    </w:rPr>
    <w:tblPr/>
    <w:tblStylePr w:type="lastRow">
      <w:tblPr/>
      <w:tcPr>
        <w:tcBorders>
          <w:top w:val="single" w:sz="12" w:space="0" w:color="000000"/>
          <w:left w:val="nil"/>
          <w:bottom w:val="nil"/>
          <w:right w:val="nil"/>
          <w:insideH w:val="nil"/>
          <w:insideV w:val="nil"/>
        </w:tcBorders>
        <w:shd w:val="clear" w:color="auto" w:fill="FFFFFF"/>
      </w:tcPr>
    </w:tblStylePr>
  </w:style>
  <w:style w:type="table" w:customStyle="1" w:styleId="Grillemoyenne2141">
    <w:name w:val="Grille moyenne 2141"/>
    <w:basedOn w:val="TableauNormal"/>
    <w:uiPriority w:val="1"/>
    <w:rsid w:val="000676A1"/>
    <w:pPr>
      <w:spacing w:after="0" w:line="240" w:lineRule="auto"/>
    </w:pPr>
    <w:rPr>
      <w:rFonts w:eastAsia="SimSun"/>
      <w:sz w:val="20"/>
      <w:szCs w:val="20"/>
      <w:lang w:val="en"/>
      <w14:ligatures w14:val="standardContextual"/>
    </w:rPr>
    <w:tblPr/>
    <w:tblStylePr w:type="firstCol">
      <w:tblPr/>
      <w:tcPr>
        <w:tcBorders>
          <w:top w:val="nil"/>
          <w:left w:val="nil"/>
          <w:bottom w:val="nil"/>
          <w:right w:val="nil"/>
          <w:insideH w:val="nil"/>
          <w:insideV w:val="nil"/>
        </w:tcBorders>
        <w:shd w:val="clear" w:color="auto" w:fill="FFFFFF"/>
      </w:tcPr>
    </w:tblStylePr>
  </w:style>
  <w:style w:type="table" w:customStyle="1" w:styleId="Grillemoyenne2151">
    <w:name w:val="Grille moyenne 2151"/>
    <w:basedOn w:val="TableauNormal"/>
    <w:uiPriority w:val="1"/>
    <w:rsid w:val="000676A1"/>
    <w:pPr>
      <w:spacing w:after="0" w:line="240" w:lineRule="auto"/>
    </w:pPr>
    <w:rPr>
      <w:rFonts w:eastAsia="SimSun"/>
      <w:sz w:val="20"/>
      <w:szCs w:val="20"/>
      <w:lang w:val="en"/>
      <w14:ligatures w14:val="standardContextual"/>
    </w:rPr>
    <w:tblPr/>
    <w:tblStylePr w:type="lastCol">
      <w:tblPr/>
      <w:tcPr>
        <w:tcBorders>
          <w:top w:val="nil"/>
          <w:left w:val="nil"/>
          <w:bottom w:val="nil"/>
          <w:right w:val="nil"/>
          <w:insideH w:val="nil"/>
          <w:insideV w:val="nil"/>
        </w:tcBorders>
        <w:shd w:val="clear" w:color="auto" w:fill="CCCCCC"/>
      </w:tcPr>
    </w:tblStylePr>
  </w:style>
  <w:style w:type="table" w:customStyle="1" w:styleId="Grillemoyenne2161">
    <w:name w:val="Grille moyenne 2161"/>
    <w:basedOn w:val="TableauNormal"/>
    <w:uiPriority w:val="1"/>
    <w:rsid w:val="000676A1"/>
    <w:pPr>
      <w:spacing w:after="0" w:line="240" w:lineRule="auto"/>
    </w:pPr>
    <w:rPr>
      <w:rFonts w:eastAsia="SimSun"/>
      <w:sz w:val="20"/>
      <w:szCs w:val="20"/>
      <w:lang w:val="en"/>
      <w14:ligatures w14:val="standardContextual"/>
    </w:rPr>
    <w:tblPr/>
    <w:tblStylePr w:type="band1Vert">
      <w:tblPr/>
      <w:tcPr>
        <w:shd w:val="clear" w:color="auto" w:fill="808080"/>
      </w:tcPr>
    </w:tblStylePr>
  </w:style>
  <w:style w:type="table" w:customStyle="1" w:styleId="Grillemoyenne2171">
    <w:name w:val="Grille moyenne 2171"/>
    <w:basedOn w:val="TableauNormal"/>
    <w:uiPriority w:val="1"/>
    <w:rsid w:val="000676A1"/>
    <w:pPr>
      <w:spacing w:after="0" w:line="240" w:lineRule="auto"/>
    </w:pPr>
    <w:rPr>
      <w:rFonts w:eastAsia="SimSun"/>
      <w:sz w:val="20"/>
      <w:szCs w:val="20"/>
      <w:lang w:val="en"/>
      <w14:ligatures w14:val="standardContextual"/>
    </w:rPr>
    <w:tblPr/>
    <w:tblStylePr w:type="band1Horz">
      <w:tblPr/>
      <w:tcPr>
        <w:tcBorders>
          <w:insideH w:val="single" w:sz="6" w:space="0" w:color="000000"/>
          <w:insideV w:val="single" w:sz="6" w:space="0" w:color="000000"/>
        </w:tcBorders>
        <w:shd w:val="clear" w:color="auto" w:fill="808080"/>
      </w:tcPr>
    </w:tblStylePr>
  </w:style>
  <w:style w:type="table" w:customStyle="1" w:styleId="Grillemoyenne2181">
    <w:name w:val="Grille moyenne 2181"/>
    <w:basedOn w:val="TableauNormal"/>
    <w:uiPriority w:val="1"/>
    <w:rsid w:val="000676A1"/>
    <w:pPr>
      <w:spacing w:after="0" w:line="240" w:lineRule="auto"/>
    </w:pPr>
    <w:rPr>
      <w:rFonts w:eastAsia="SimSun"/>
      <w:sz w:val="20"/>
      <w:szCs w:val="20"/>
      <w:lang w:val="en"/>
      <w14:ligatures w14:val="standardContextual"/>
    </w:rPr>
    <w:tblPr/>
    <w:tblStylePr w:type="nwCell">
      <w:tblPr/>
      <w:tcPr>
        <w:shd w:val="clear" w:color="auto" w:fill="FFFFFF"/>
      </w:tcPr>
    </w:tblStylePr>
  </w:style>
  <w:style w:type="table" w:customStyle="1" w:styleId="MediumGrid2131">
    <w:name w:val="Medium Grid 2131"/>
    <w:basedOn w:val="TableauNormal"/>
    <w:uiPriority w:val="1"/>
    <w:rsid w:val="000676A1"/>
    <w:pPr>
      <w:spacing w:after="0" w:line="240" w:lineRule="auto"/>
    </w:pPr>
    <w:rPr>
      <w:rFonts w:eastAsia="SimSun"/>
      <w:sz w:val="20"/>
      <w:szCs w:val="20"/>
      <w:lang w:val="en"/>
      <w14:ligatures w14:val="standardContextual"/>
    </w:rPr>
    <w:tblPr/>
    <w:tblStylePr w:type="lastRow">
      <w:tblPr/>
      <w:tcPr>
        <w:tcBorders>
          <w:top w:val="single" w:sz="12" w:space="0" w:color="000000"/>
          <w:left w:val="nil"/>
          <w:bottom w:val="nil"/>
          <w:right w:val="nil"/>
          <w:insideH w:val="nil"/>
          <w:insideV w:val="nil"/>
        </w:tcBorders>
        <w:shd w:val="clear" w:color="auto" w:fill="FFFFFF"/>
      </w:tcPr>
    </w:tblStylePr>
  </w:style>
  <w:style w:type="table" w:customStyle="1" w:styleId="MediumGrid2141">
    <w:name w:val="Medium Grid 2141"/>
    <w:basedOn w:val="TableauNormal"/>
    <w:uiPriority w:val="1"/>
    <w:rsid w:val="000676A1"/>
    <w:pPr>
      <w:spacing w:after="0" w:line="240" w:lineRule="auto"/>
    </w:pPr>
    <w:rPr>
      <w:rFonts w:eastAsia="SimSun"/>
      <w:sz w:val="20"/>
      <w:szCs w:val="20"/>
      <w:lang w:val="en"/>
      <w14:ligatures w14:val="standardContextual"/>
    </w:rPr>
    <w:tblPr/>
    <w:tblStylePr w:type="firstCol">
      <w:tblPr/>
      <w:tcPr>
        <w:tcBorders>
          <w:top w:val="nil"/>
          <w:left w:val="nil"/>
          <w:bottom w:val="nil"/>
          <w:right w:val="nil"/>
          <w:insideH w:val="nil"/>
          <w:insideV w:val="nil"/>
        </w:tcBorders>
        <w:shd w:val="clear" w:color="auto" w:fill="FFFFFF"/>
      </w:tcPr>
    </w:tblStylePr>
  </w:style>
  <w:style w:type="table" w:customStyle="1" w:styleId="MediumGrid2151">
    <w:name w:val="Medium Grid 2151"/>
    <w:basedOn w:val="TableauNormal"/>
    <w:uiPriority w:val="1"/>
    <w:rsid w:val="000676A1"/>
    <w:pPr>
      <w:spacing w:after="0" w:line="240" w:lineRule="auto"/>
    </w:pPr>
    <w:rPr>
      <w:rFonts w:eastAsia="SimSun"/>
      <w:sz w:val="20"/>
      <w:szCs w:val="20"/>
      <w:lang w:val="en"/>
      <w14:ligatures w14:val="standardContextual"/>
    </w:rPr>
    <w:tblPr/>
    <w:tblStylePr w:type="lastCol">
      <w:tblPr/>
      <w:tcPr>
        <w:tcBorders>
          <w:top w:val="nil"/>
          <w:left w:val="nil"/>
          <w:bottom w:val="nil"/>
          <w:right w:val="nil"/>
          <w:insideH w:val="nil"/>
          <w:insideV w:val="nil"/>
        </w:tcBorders>
        <w:shd w:val="clear" w:color="auto" w:fill="CCCCCC"/>
      </w:tcPr>
    </w:tblStylePr>
  </w:style>
  <w:style w:type="table" w:customStyle="1" w:styleId="MediumGrid2161">
    <w:name w:val="Medium Grid 2161"/>
    <w:basedOn w:val="TableauNormal"/>
    <w:uiPriority w:val="1"/>
    <w:rsid w:val="000676A1"/>
    <w:pPr>
      <w:spacing w:after="0" w:line="240" w:lineRule="auto"/>
    </w:pPr>
    <w:rPr>
      <w:rFonts w:eastAsia="SimSun"/>
      <w:sz w:val="20"/>
      <w:szCs w:val="20"/>
      <w:lang w:val="en"/>
      <w14:ligatures w14:val="standardContextual"/>
    </w:rPr>
    <w:tblPr/>
    <w:tblStylePr w:type="band1Vert">
      <w:tblPr/>
      <w:tcPr>
        <w:shd w:val="clear" w:color="auto" w:fill="808080"/>
      </w:tcPr>
    </w:tblStylePr>
  </w:style>
  <w:style w:type="table" w:customStyle="1" w:styleId="MediumGrid2171">
    <w:name w:val="Medium Grid 2171"/>
    <w:basedOn w:val="TableauNormal"/>
    <w:uiPriority w:val="1"/>
    <w:rsid w:val="000676A1"/>
    <w:pPr>
      <w:spacing w:after="0" w:line="240" w:lineRule="auto"/>
    </w:pPr>
    <w:rPr>
      <w:rFonts w:eastAsia="SimSun"/>
      <w:sz w:val="20"/>
      <w:szCs w:val="20"/>
      <w:lang w:val="en"/>
      <w14:ligatures w14:val="standardContextual"/>
    </w:rPr>
    <w:tblPr/>
    <w:tblStylePr w:type="band1Horz">
      <w:tblPr/>
      <w:tcPr>
        <w:tcBorders>
          <w:insideH w:val="single" w:sz="6" w:space="0" w:color="000000"/>
          <w:insideV w:val="single" w:sz="6" w:space="0" w:color="000000"/>
        </w:tcBorders>
        <w:shd w:val="clear" w:color="auto" w:fill="808080"/>
      </w:tcPr>
    </w:tblStylePr>
  </w:style>
  <w:style w:type="table" w:customStyle="1" w:styleId="MediumGrid2181">
    <w:name w:val="Medium Grid 2181"/>
    <w:basedOn w:val="TableauNormal"/>
    <w:uiPriority w:val="1"/>
    <w:rsid w:val="000676A1"/>
    <w:pPr>
      <w:spacing w:after="0" w:line="240" w:lineRule="auto"/>
    </w:pPr>
    <w:rPr>
      <w:rFonts w:eastAsia="SimSun"/>
      <w:sz w:val="20"/>
      <w:szCs w:val="20"/>
      <w:lang w:val="en"/>
      <w14:ligatures w14:val="standardContextual"/>
    </w:rPr>
    <w:tblPr/>
    <w:tblStylePr w:type="nwCell">
      <w:tblPr/>
      <w:tcPr>
        <w:shd w:val="clear" w:color="auto" w:fill="FFFFFF"/>
      </w:tcPr>
    </w:tblStylePr>
  </w:style>
  <w:style w:type="table" w:customStyle="1" w:styleId="GridTable211">
    <w:name w:val="Grid Table 211"/>
    <w:basedOn w:val="TableauNormal"/>
    <w:rsid w:val="000676A1"/>
    <w:pPr>
      <w:spacing w:after="0" w:line="240" w:lineRule="auto"/>
    </w:pPr>
    <w:rPr>
      <w:rFonts w:ascii="Times New Roman" w:eastAsia="SimSun" w:hAnsi="Times New Roman" w:cs="Times New Roman"/>
      <w:sz w:val="20"/>
      <w:szCs w:val="20"/>
      <w:lang w:eastAsia="fr-FR"/>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111">
    <w:name w:val="Plain Table 111"/>
    <w:basedOn w:val="TableauNormal"/>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411">
    <w:name w:val="Grid Table 411"/>
    <w:basedOn w:val="TableauNormal"/>
    <w:uiPriority w:val="49"/>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1Light11">
    <w:name w:val="Grid Table 1 Light11"/>
    <w:basedOn w:val="TableauNormal"/>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auGrille1Clair-Accentuation1151">
    <w:name w:val="Tableau Grille 1 Clair - Accentuation 1151"/>
    <w:basedOn w:val="TableauNormal"/>
    <w:uiPriority w:val="46"/>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eauGrille4-Accentuation1151">
    <w:name w:val="Tableau Grille 4 - Accentuation 1151"/>
    <w:basedOn w:val="TableauNormal"/>
    <w:uiPriority w:val="49"/>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Normal41">
    <w:name w:val="Table Normal41"/>
    <w:uiPriority w:val="2"/>
    <w:semiHidden/>
    <w:unhideWhenUsed/>
    <w:qFormat/>
    <w:rsid w:val="000676A1"/>
    <w:pPr>
      <w:widowControl w:val="0"/>
      <w:autoSpaceDE w:val="0"/>
      <w:autoSpaceDN w:val="0"/>
      <w:spacing w:after="0" w:line="240" w:lineRule="auto"/>
    </w:pPr>
    <w:rPr>
      <w:rFonts w:ascii="Cambria" w:eastAsia="Cambria" w:hAnsi="Cambria" w:cs="Times New Roman"/>
      <w:lang w:val="en-US"/>
      <w14:ligatures w14:val="standardContextual"/>
    </w:rPr>
    <w:tblPr>
      <w:tblInd w:w="0" w:type="dxa"/>
      <w:tblCellMar>
        <w:top w:w="0" w:type="dxa"/>
        <w:left w:w="0" w:type="dxa"/>
        <w:bottom w:w="0" w:type="dxa"/>
        <w:right w:w="0" w:type="dxa"/>
      </w:tblCellMar>
    </w:tblPr>
  </w:style>
  <w:style w:type="numbering" w:customStyle="1" w:styleId="Aucuneliste151">
    <w:name w:val="Aucune liste151"/>
    <w:next w:val="Aucuneliste"/>
    <w:uiPriority w:val="99"/>
    <w:semiHidden/>
    <w:unhideWhenUsed/>
    <w:rsid w:val="000676A1"/>
  </w:style>
  <w:style w:type="table" w:customStyle="1" w:styleId="csastandard21">
    <w:name w:val="csa standard21"/>
    <w:basedOn w:val="TableauNormal"/>
    <w:next w:val="Grilledutableau"/>
    <w:uiPriority w:val="39"/>
    <w:qFormat/>
    <w:rsid w:val="000676A1"/>
    <w:pPr>
      <w:spacing w:after="0" w:line="240" w:lineRule="auto"/>
    </w:pPr>
    <w:rPr>
      <w:rFonts w:ascii="Cambria" w:eastAsia="Cambria" w:hAnsi="Cambria"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41">
    <w:name w:val="Grille du tableau114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etableau8221">
    <w:name w:val="Grille de tableau 8221"/>
    <w:basedOn w:val="TableauNormal"/>
    <w:next w:val="Grilledetableau8"/>
    <w:rsid w:val="000676A1"/>
    <w:pPr>
      <w:spacing w:after="0" w:line="240" w:lineRule="auto"/>
      <w:jc w:val="both"/>
    </w:pPr>
    <w:rPr>
      <w:rFonts w:ascii="Times New Roman" w:eastAsia="Times New Roman" w:hAnsi="Times New Roman" w:cs="Times New Roman"/>
      <w:sz w:val="20"/>
      <w:szCs w:val="20"/>
      <w:lang w:eastAsia="fr-FR"/>
      <w14:ligatures w14:val="standardContextu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lledetableau831">
    <w:name w:val="Grille de tableau 831"/>
    <w:basedOn w:val="TableauNormal"/>
    <w:next w:val="Grilledetableau8"/>
    <w:unhideWhenUsed/>
    <w:rsid w:val="000676A1"/>
    <w:pPr>
      <w:spacing w:after="0" w:line="240" w:lineRule="auto"/>
    </w:pPr>
    <w:rPr>
      <w:rFonts w:ascii="Cambria" w:eastAsia="MS Mincho" w:hAnsi="Cambria" w:cs="Times New Roman"/>
      <w:sz w:val="20"/>
      <w:szCs w:val="20"/>
      <w:lang w:eastAsia="fr-FR"/>
      <w14:ligatures w14:val="standardContextu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Grille4-Accentuation141">
    <w:name w:val="Tableau Grille 4 - Accentuation 141"/>
    <w:basedOn w:val="TableauNormal"/>
    <w:next w:val="TableauGrille4-Accentuation1"/>
    <w:uiPriority w:val="49"/>
    <w:rsid w:val="000676A1"/>
    <w:pPr>
      <w:spacing w:after="0" w:line="240" w:lineRule="auto"/>
      <w:jc w:val="both"/>
    </w:pPr>
    <w:rPr>
      <w:rFonts w:ascii="Calibri" w:eastAsia="Calibri" w:hAnsi="Calibri" w:cs="Times New Roma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etableauclaire41">
    <w:name w:val="Grille de tableau claire41"/>
    <w:basedOn w:val="TableauNormal"/>
    <w:next w:val="Grilledetableauclaire"/>
    <w:uiPriority w:val="40"/>
    <w:rsid w:val="000676A1"/>
    <w:pPr>
      <w:spacing w:after="0" w:line="240" w:lineRule="auto"/>
    </w:pPr>
    <w:rPr>
      <w:rFonts w:ascii="Cambria" w:eastAsia="MS Mincho" w:hAnsi="Cambria" w:cs="Times New Roman"/>
      <w:sz w:val="20"/>
      <w:szCs w:val="20"/>
      <w:lang w:eastAsia="fr-FR"/>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auGrille4-Accentuation321">
    <w:name w:val="Tableau Grille 4 - Accentuation 321"/>
    <w:basedOn w:val="TableauNormal"/>
    <w:next w:val="TableauGrille4-Accentuation3"/>
    <w:uiPriority w:val="49"/>
    <w:rsid w:val="000676A1"/>
    <w:pPr>
      <w:spacing w:after="0" w:line="240" w:lineRule="auto"/>
    </w:pPr>
    <w:rPr>
      <w:rFonts w:ascii="Cambria" w:eastAsia="MS Mincho" w:hAnsi="Cambria" w:cs="Times New Roman"/>
      <w:sz w:val="20"/>
      <w:szCs w:val="20"/>
      <w:lang w:eastAsia="fr-FR"/>
      <w14:ligatures w14:val="standardContextu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lledutableau1151">
    <w:name w:val="Grille du tableau115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Liste316321">
    <w:name w:val="Tableau Liste 316321"/>
    <w:basedOn w:val="TableauNormal"/>
    <w:next w:val="TableauListe3"/>
    <w:uiPriority w:val="48"/>
    <w:rsid w:val="000676A1"/>
    <w:pPr>
      <w:spacing w:after="0" w:line="300" w:lineRule="exact"/>
      <w:jc w:val="both"/>
    </w:pPr>
    <w:rPr>
      <w:rFonts w:ascii="Times New Roman" w:eastAsia="Times New Roman" w:hAnsi="Times New Roman" w:cs="Times New Roman"/>
      <w:sz w:val="20"/>
      <w:szCs w:val="20"/>
      <w:lang w:eastAsia="fr-FR"/>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emoyenne2-Accent431">
    <w:name w:val="Liste moyenne 2 - Accent 431"/>
    <w:basedOn w:val="TableauNormal"/>
    <w:next w:val="Listemoyenne2-Accent4"/>
    <w:uiPriority w:val="34"/>
    <w:rsid w:val="000676A1"/>
    <w:pPr>
      <w:spacing w:after="0" w:line="240" w:lineRule="auto"/>
    </w:pPr>
    <w:rPr>
      <w:rFonts w:ascii="Times New Roman" w:eastAsia="Times New Roman" w:hAnsi="Times New Roman" w:cs="Times New Roman"/>
      <w:sz w:val="24"/>
      <w:szCs w:val="24"/>
      <w14:ligatures w14:val="standardContextu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Ombrageclair221">
    <w:name w:val="Ombrage clair221"/>
    <w:basedOn w:val="TableauNormal"/>
    <w:uiPriority w:val="60"/>
    <w:rsid w:val="000676A1"/>
    <w:pPr>
      <w:spacing w:after="0" w:line="240" w:lineRule="auto"/>
    </w:pPr>
    <w:rPr>
      <w:rFonts w:ascii="Calibri" w:eastAsia="Calibri" w:hAnsi="Calibri" w:cs="Times New Roman"/>
      <w:color w:val="000000"/>
      <w:lang w:val="en-US" w:bidi="en-US"/>
      <w14:ligatures w14:val="standardContextu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moyenne1-Accent641">
    <w:name w:val="Trame moyenne 1 - Accent 641"/>
    <w:basedOn w:val="TableauNormal"/>
    <w:next w:val="Tramemoyenne1-Accent6"/>
    <w:uiPriority w:val="63"/>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Autospacing="0" w:afterLines="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Autospacing="0" w:afterLines="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steclaire-Accent61241">
    <w:name w:val="Liste claire - Accent 61241"/>
    <w:basedOn w:val="TableauNormal"/>
    <w:next w:val="Listeclaire-Accent6"/>
    <w:uiPriority w:val="61"/>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41">
    <w:name w:val="Liste claire - Accent 641"/>
    <w:basedOn w:val="TableauNormal"/>
    <w:next w:val="Listeclaire-Accent6"/>
    <w:uiPriority w:val="61"/>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Ombrageclair31">
    <w:name w:val="Ombrage clair31"/>
    <w:basedOn w:val="TableauNormal"/>
    <w:next w:val="Ombrageclair"/>
    <w:uiPriority w:val="60"/>
    <w:rsid w:val="000676A1"/>
    <w:pPr>
      <w:spacing w:after="0" w:line="240" w:lineRule="auto"/>
    </w:pPr>
    <w:rPr>
      <w:rFonts w:ascii="Calibri" w:eastAsia="Calibri" w:hAnsi="Calibri" w:cs="Times New Roman"/>
      <w:color w:val="000000"/>
      <w:sz w:val="20"/>
      <w:szCs w:val="20"/>
      <w:lang w:eastAsia="fr-FR"/>
      <w14:ligatures w14:val="standardContextual"/>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eclaire31">
    <w:name w:val="Liste claire31"/>
    <w:basedOn w:val="TableauNormal"/>
    <w:next w:val="Listeclaire"/>
    <w:uiPriority w:val="61"/>
    <w:rsid w:val="000676A1"/>
    <w:pPr>
      <w:spacing w:after="0" w:line="240" w:lineRule="auto"/>
    </w:pPr>
    <w:rPr>
      <w:rFonts w:ascii="Calibri" w:eastAsia="Calibri" w:hAnsi="Calibri" w:cs="Times New Roman"/>
      <w:sz w:val="20"/>
      <w:szCs w:val="20"/>
      <w:lang w:eastAsia="fr-FR"/>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eclaire-Accent6151">
    <w:name w:val="Liste claire - Accent 6151"/>
    <w:basedOn w:val="TableauNormal"/>
    <w:uiPriority w:val="61"/>
    <w:rsid w:val="000676A1"/>
    <w:pPr>
      <w:spacing w:after="0" w:line="240" w:lineRule="auto"/>
    </w:pPr>
    <w:rPr>
      <w:rFonts w:ascii="Times New Roman" w:eastAsia="Calibri" w:hAnsi="Times New Roman" w:cs="Times New Roman"/>
      <w:sz w:val="24"/>
      <w:szCs w:val="24"/>
      <w:lang w:val="en-US"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121">
    <w:name w:val="Liste claire - Accent 121"/>
    <w:basedOn w:val="TableauNormal"/>
    <w:next w:val="Listeclaire-Accent1"/>
    <w:uiPriority w:val="61"/>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521">
    <w:name w:val="Liste claire - Accent 521"/>
    <w:basedOn w:val="TableauNormal"/>
    <w:next w:val="Listeclaire-Accent5"/>
    <w:uiPriority w:val="61"/>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Aucuneliste161">
    <w:name w:val="Aucune liste161"/>
    <w:next w:val="Aucuneliste"/>
    <w:uiPriority w:val="99"/>
    <w:semiHidden/>
    <w:unhideWhenUsed/>
    <w:rsid w:val="000676A1"/>
  </w:style>
  <w:style w:type="numbering" w:customStyle="1" w:styleId="Aucuneliste1131">
    <w:name w:val="Aucune liste1131"/>
    <w:next w:val="Aucuneliste"/>
    <w:uiPriority w:val="99"/>
    <w:semiHidden/>
    <w:unhideWhenUsed/>
    <w:rsid w:val="000676A1"/>
  </w:style>
  <w:style w:type="numbering" w:customStyle="1" w:styleId="ListHeadings31">
    <w:name w:val="List Headings31"/>
    <w:rsid w:val="000676A1"/>
  </w:style>
  <w:style w:type="table" w:customStyle="1" w:styleId="mtbs131">
    <w:name w:val="mtbs131"/>
    <w:basedOn w:val="TableauNormal"/>
    <w:next w:val="Grilledutableau"/>
    <w:uiPriority w:val="39"/>
    <w:qFormat/>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HDHVTable21">
    <w:name w:val="RHDHV Table21"/>
    <w:basedOn w:val="TableauNormal"/>
    <w:uiPriority w:val="99"/>
    <w:unhideWhenUsed/>
    <w:rsid w:val="000676A1"/>
    <w:pPr>
      <w:spacing w:after="0" w:line="271" w:lineRule="auto"/>
    </w:pPr>
    <w:rPr>
      <w:rFonts w:ascii="Calibri" w:eastAsia="Times New Roman" w:hAnsi="Calibri" w:cs="Times New Roman"/>
      <w:color w:val="000000"/>
      <w:sz w:val="24"/>
      <w:szCs w:val="24"/>
      <w:lang w:val="en-GB" w:eastAsia="en-GB"/>
      <w14:ligatures w14:val="standardContextual"/>
    </w:rPr>
    <w:tblPr>
      <w:tblBorders>
        <w:insideH w:val="single" w:sz="8" w:space="0" w:color="FFFFFF"/>
        <w:insideV w:val="single" w:sz="8" w:space="0" w:color="FFFFFF"/>
      </w:tblBorders>
      <w:tblCellMar>
        <w:top w:w="57" w:type="dxa"/>
        <w:left w:w="0" w:type="dxa"/>
        <w:bottom w:w="57" w:type="dxa"/>
        <w:right w:w="0" w:type="dxa"/>
      </w:tblCellMar>
    </w:tblPr>
    <w:tcPr>
      <w:shd w:val="clear" w:color="auto" w:fill="D9E2F3"/>
      <w:vAlign w:val="center"/>
    </w:tcPr>
    <w:tblStylePr w:type="firstRow">
      <w:rPr>
        <w:b/>
      </w:rPr>
      <w:tblPr/>
      <w:tcPr>
        <w:tcBorders>
          <w:top w:val="nil"/>
          <w:left w:val="nil"/>
          <w:bottom w:val="nil"/>
          <w:right w:val="nil"/>
          <w:insideH w:val="nil"/>
          <w:insideV w:val="single" w:sz="8" w:space="0" w:color="FFFFFF"/>
          <w:tl2br w:val="nil"/>
          <w:tr2bl w:val="nil"/>
        </w:tcBorders>
        <w:shd w:val="clear" w:color="auto" w:fill="4472C4"/>
      </w:tcPr>
    </w:tblStylePr>
    <w:tblStylePr w:type="lastRow">
      <w:tblPr/>
      <w:tcPr>
        <w:tcBorders>
          <w:top w:val="nil"/>
          <w:left w:val="nil"/>
          <w:bottom w:val="nil"/>
          <w:right w:val="nil"/>
          <w:insideH w:val="nil"/>
          <w:insideV w:val="single" w:sz="8" w:space="0" w:color="FFFFFF"/>
          <w:tl2br w:val="nil"/>
          <w:tr2bl w:val="nil"/>
        </w:tcBorders>
        <w:shd w:val="clear" w:color="auto" w:fill="B4C6E7"/>
      </w:tcPr>
    </w:tblStylePr>
    <w:tblStylePr w:type="swCell">
      <w:tblPr/>
      <w:tcPr>
        <w:tcBorders>
          <w:top w:val="nil"/>
          <w:left w:val="nil"/>
          <w:bottom w:val="nil"/>
          <w:right w:val="nil"/>
          <w:insideH w:val="nil"/>
          <w:insideV w:val="nil"/>
          <w:tl2br w:val="nil"/>
          <w:tr2bl w:val="nil"/>
        </w:tcBorders>
        <w:shd w:val="clear" w:color="auto" w:fill="FFFFFF"/>
      </w:tcPr>
    </w:tblStylePr>
  </w:style>
  <w:style w:type="table" w:customStyle="1" w:styleId="RHDHVTableNormal21">
    <w:name w:val="RHDHV Table Normal21"/>
    <w:basedOn w:val="TableauNormal"/>
    <w:uiPriority w:val="99"/>
    <w:unhideWhenUsed/>
    <w:rsid w:val="000676A1"/>
    <w:pPr>
      <w:spacing w:after="0" w:line="271" w:lineRule="auto"/>
    </w:pPr>
    <w:rPr>
      <w:rFonts w:ascii="Calibri" w:eastAsia="Times New Roman" w:hAnsi="Calibri" w:cs="Times New Roman"/>
      <w:color w:val="000000"/>
      <w:sz w:val="24"/>
      <w:szCs w:val="24"/>
      <w:lang w:val="en-GB" w:eastAsia="en-GB"/>
      <w14:ligatures w14:val="standardContextual"/>
    </w:rPr>
    <w:tblPr>
      <w:tblCellMar>
        <w:top w:w="57" w:type="dxa"/>
        <w:left w:w="0" w:type="dxa"/>
        <w:bottom w:w="57" w:type="dxa"/>
        <w:right w:w="0" w:type="dxa"/>
      </w:tblCellMar>
    </w:tblPr>
    <w:tcPr>
      <w:vAlign w:val="center"/>
    </w:tcPr>
  </w:style>
  <w:style w:type="table" w:customStyle="1" w:styleId="TableauGrille2141">
    <w:name w:val="Tableau Grille 2141"/>
    <w:basedOn w:val="TableauNormal"/>
    <w:uiPriority w:val="47"/>
    <w:rsid w:val="000676A1"/>
    <w:pPr>
      <w:spacing w:after="0" w:line="240" w:lineRule="auto"/>
    </w:pPr>
    <w:rPr>
      <w:rFonts w:ascii="Calibri" w:eastAsia="Times New Roman" w:hAnsi="Calibri" w:cs="Times New Roman"/>
      <w:sz w:val="24"/>
      <w:szCs w:val="24"/>
      <w:lang w:eastAsia="fr-FR"/>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lledutableau2131">
    <w:name w:val="Grille du tableau2131"/>
    <w:basedOn w:val="TableauNormal"/>
    <w:next w:val="Grilledutableau"/>
    <w:uiPriority w:val="59"/>
    <w:rsid w:val="000676A1"/>
    <w:pPr>
      <w:spacing w:after="0" w:line="240" w:lineRule="auto"/>
    </w:pPr>
    <w:rPr>
      <w:rFonts w:ascii="Calibri" w:eastAsia="Times New Roman" w:hAnsi="Calibri" w:cs="Times New Roman"/>
      <w:lang w:val="wo-SN" w:eastAsia="wo-SN"/>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eclaire-Accent61131">
    <w:name w:val="Liste claire - Accent 61131"/>
    <w:basedOn w:val="TableauNormal"/>
    <w:next w:val="Listeclaire-Accent6"/>
    <w:uiPriority w:val="61"/>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131">
    <w:name w:val="Liste claire131"/>
    <w:basedOn w:val="TableauNormal"/>
    <w:next w:val="Listeclaire"/>
    <w:uiPriority w:val="61"/>
    <w:rsid w:val="000676A1"/>
    <w:pPr>
      <w:spacing w:after="0" w:line="240" w:lineRule="auto"/>
    </w:pPr>
    <w:rPr>
      <w:rFonts w:ascii="Calibri" w:eastAsia="Calibri" w:hAnsi="Calibri" w:cs="Times New Roman"/>
      <w:lang w:val="fr-CA"/>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Aucuneliste11131">
    <w:name w:val="Aucune liste11131"/>
    <w:next w:val="Aucuneliste"/>
    <w:uiPriority w:val="99"/>
    <w:semiHidden/>
    <w:unhideWhenUsed/>
    <w:rsid w:val="000676A1"/>
  </w:style>
  <w:style w:type="table" w:customStyle="1" w:styleId="Grilledutableau331">
    <w:name w:val="Grille du tableau331"/>
    <w:basedOn w:val="TableauNormal"/>
    <w:next w:val="Grilledutableau"/>
    <w:uiPriority w:val="59"/>
    <w:rsid w:val="000676A1"/>
    <w:pPr>
      <w:spacing w:after="0" w:line="240" w:lineRule="auto"/>
    </w:pPr>
    <w:rPr>
      <w:rFonts w:ascii="Calibri" w:eastAsia="Calibri" w:hAnsi="Calibri" w:cs="Times New Roman"/>
      <w:sz w:val="20"/>
      <w:szCs w:val="20"/>
      <w:lang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auNormal"/>
    <w:next w:val="Grilledutableau"/>
    <w:uiPriority w:val="59"/>
    <w:rsid w:val="000676A1"/>
    <w:pPr>
      <w:spacing w:after="0" w:line="240" w:lineRule="auto"/>
    </w:pPr>
    <w:rPr>
      <w:rFonts w:ascii="Calibri" w:eastAsia="Calibri" w:hAnsi="Calibri" w:cs="Times New Roman"/>
      <w:lang w:val="fr-C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612131">
    <w:name w:val="Liste claire - Accent 612131"/>
    <w:basedOn w:val="TableauNormal"/>
    <w:uiPriority w:val="61"/>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lledutableau531">
    <w:name w:val="Grille du tableau53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1">
    <w:name w:val="Grille du tableau74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21">
    <w:name w:val="Grille du tableau92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31">
    <w:name w:val="Aucune liste231"/>
    <w:next w:val="Aucuneliste"/>
    <w:uiPriority w:val="99"/>
    <w:semiHidden/>
    <w:unhideWhenUsed/>
    <w:rsid w:val="000676A1"/>
  </w:style>
  <w:style w:type="table" w:customStyle="1" w:styleId="Colonnesdetableau321">
    <w:name w:val="Colonnes de tableau 321"/>
    <w:basedOn w:val="TableauNormal"/>
    <w:next w:val="Colonnesdetableau3"/>
    <w:semiHidden/>
    <w:unhideWhenUsed/>
    <w:rsid w:val="000676A1"/>
    <w:pPr>
      <w:spacing w:after="0" w:line="240" w:lineRule="auto"/>
    </w:pPr>
    <w:rPr>
      <w:rFonts w:ascii="Cambria" w:eastAsia="Cambria" w:hAnsi="Cambria" w:cs="Times New Roman"/>
      <w:b/>
      <w:bCs/>
      <w:sz w:val="20"/>
      <w:szCs w:val="20"/>
      <w:lang w:eastAsia="fr-FR"/>
      <w14:ligatures w14:val="standardContextua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Grilledetableau121">
    <w:name w:val="Grille de tableau 121"/>
    <w:basedOn w:val="TableauNormal"/>
    <w:next w:val="Grilledetableau1"/>
    <w:unhideWhenUsed/>
    <w:rsid w:val="000676A1"/>
    <w:pPr>
      <w:spacing w:after="0" w:line="240" w:lineRule="auto"/>
    </w:pPr>
    <w:rPr>
      <w:rFonts w:ascii="Calibri" w:eastAsia="Calibri" w:hAnsi="Calibri" w:cs="Times New Roman"/>
      <w:sz w:val="20"/>
      <w:szCs w:val="20"/>
      <w:lang w:eastAsia="fr-FR"/>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auliste721">
    <w:name w:val="Tableau liste 721"/>
    <w:basedOn w:val="TableauNormal"/>
    <w:next w:val="Tableauliste7"/>
    <w:semiHidden/>
    <w:unhideWhenUsed/>
    <w:rsid w:val="000676A1"/>
    <w:pPr>
      <w:spacing w:after="0" w:line="240" w:lineRule="auto"/>
    </w:pPr>
    <w:rPr>
      <w:rFonts w:ascii="Times New Roman" w:eastAsia="Times New Roman" w:hAnsi="Times New Roman" w:cs="Times New Roman"/>
      <w:sz w:val="20"/>
      <w:szCs w:val="20"/>
      <w:lang w:eastAsia="fr-FR"/>
      <w14:ligatures w14:val="standardContextu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21">
    <w:name w:val="Tableau liste 821"/>
    <w:basedOn w:val="TableauNormal"/>
    <w:next w:val="Tableauliste8"/>
    <w:semiHidden/>
    <w:unhideWhenUsed/>
    <w:rsid w:val="000676A1"/>
    <w:pPr>
      <w:spacing w:after="0" w:line="240" w:lineRule="auto"/>
    </w:pPr>
    <w:rPr>
      <w:rFonts w:ascii="Times New Roman" w:eastAsia="Times New Roman" w:hAnsi="Times New Roman" w:cs="Times New Roman"/>
      <w:sz w:val="20"/>
      <w:szCs w:val="20"/>
      <w:lang w:eastAsia="fr-FR"/>
      <w14:ligatures w14:val="standardContextu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web221">
    <w:name w:val="Tableau web 221"/>
    <w:basedOn w:val="TableauNormal"/>
    <w:next w:val="Tableauweb2"/>
    <w:semiHidden/>
    <w:unhideWhenUsed/>
    <w:rsid w:val="000676A1"/>
    <w:pPr>
      <w:spacing w:after="0" w:line="240" w:lineRule="auto"/>
    </w:pPr>
    <w:rPr>
      <w:rFonts w:ascii="Times New Roman" w:eastAsia="Times New Roman" w:hAnsi="Times New Roman" w:cs="Times New Roman"/>
      <w:sz w:val="20"/>
      <w:szCs w:val="20"/>
      <w:lang w:eastAsia="fr-FR"/>
      <w14:ligatures w14:val="standardContextu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Grilledutableau1021">
    <w:name w:val="Grille du tableau1021"/>
    <w:basedOn w:val="TableauNormal"/>
    <w:next w:val="Grilledutableau"/>
    <w:uiPriority w:val="59"/>
    <w:rsid w:val="000676A1"/>
    <w:pPr>
      <w:spacing w:after="0" w:line="240" w:lineRule="auto"/>
    </w:pPr>
    <w:rPr>
      <w:rFonts w:ascii="Times New Roman" w:eastAsia="Times New Roman" w:hAnsi="Times New Roman" w:cs="Times New Roman"/>
      <w:sz w:val="20"/>
      <w:szCs w:val="20"/>
      <w:lang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fonce-Accent221">
    <w:name w:val="Liste foncée - Accent 221"/>
    <w:basedOn w:val="TableauNormal"/>
    <w:next w:val="Listefonce-Accent2"/>
    <w:uiPriority w:val="61"/>
    <w:unhideWhenUsed/>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steclaire-Accent6231">
    <w:name w:val="Liste claire - Accent 6231"/>
    <w:basedOn w:val="TableauNormal"/>
    <w:next w:val="Listeclaire-Accent6"/>
    <w:uiPriority w:val="61"/>
    <w:unhideWhenUsed/>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Tramemoyenne1-Accent6121">
    <w:name w:val="Trame moyenne 1 - Accent 6121"/>
    <w:basedOn w:val="TableauNormal"/>
    <w:next w:val="Tramemoyenne1-Accent6"/>
    <w:uiPriority w:val="63"/>
    <w:semiHidden/>
    <w:unhideWhenUsed/>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auNorm21">
    <w:name w:val="Tableau Norm21"/>
    <w:semiHidden/>
    <w:rsid w:val="000676A1"/>
    <w:pPr>
      <w:spacing w:after="0" w:line="240" w:lineRule="auto"/>
    </w:pPr>
    <w:rPr>
      <w:rFonts w:ascii="Calibri" w:eastAsia="Times New Roman" w:hAnsi="Calibri" w:cs="Times New Roman"/>
      <w:sz w:val="20"/>
      <w:szCs w:val="20"/>
      <w:lang w:bidi="fr-FR"/>
      <w14:ligatures w14:val="standardContextual"/>
    </w:rPr>
    <w:tblPr>
      <w:tblCellMar>
        <w:top w:w="0" w:type="dxa"/>
        <w:left w:w="108" w:type="dxa"/>
        <w:bottom w:w="0" w:type="dxa"/>
        <w:right w:w="108" w:type="dxa"/>
      </w:tblCellMar>
    </w:tblPr>
  </w:style>
  <w:style w:type="table" w:customStyle="1" w:styleId="Grilledutableau2221">
    <w:name w:val="Grille du tableau2221"/>
    <w:basedOn w:val="TableauNormal"/>
    <w:uiPriority w:val="59"/>
    <w:rsid w:val="000676A1"/>
    <w:pPr>
      <w:spacing w:after="0" w:line="240" w:lineRule="auto"/>
    </w:pPr>
    <w:rPr>
      <w:rFonts w:ascii="Calibri" w:eastAsia="Times New Roman" w:hAnsi="Calibri" w:cs="Times New Roman"/>
      <w:lang w:val="wo-SN" w:eastAsia="wo-SN"/>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7121">
    <w:name w:val="Grille du tableau7121"/>
    <w:basedOn w:val="TableauNormal"/>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moyenne1-Accent6221">
    <w:name w:val="Trame moyenne 1 - Accent 6221"/>
    <w:basedOn w:val="TableauNormal"/>
    <w:next w:val="Tramemoyenne1-Accent6"/>
    <w:uiPriority w:val="63"/>
    <w:semiHidden/>
    <w:unhideWhenUsed/>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Grilledutableau11121">
    <w:name w:val="Grille du tableau11121"/>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1">
    <w:name w:val="Grille du tableau1221"/>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21">
    <w:name w:val="Grille du tableau1321"/>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1">
    <w:name w:val="Grille du tableau1421"/>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21">
    <w:name w:val="Grille du tableau1521"/>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21">
    <w:name w:val="Grille du tableau1621"/>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31">
    <w:name w:val="Grille du tableau1731"/>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821">
    <w:name w:val="Grille du tableau1821"/>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tbs1121">
    <w:name w:val="mtbs1121"/>
    <w:basedOn w:val="TableauNormal"/>
    <w:next w:val="Grilledutableau"/>
    <w:uiPriority w:val="39"/>
    <w:qFormat/>
    <w:rsid w:val="000676A1"/>
    <w:pPr>
      <w:spacing w:after="0" w:line="240" w:lineRule="auto"/>
    </w:pPr>
    <w:rPr>
      <w:rFonts w:ascii="Calibri" w:eastAsia="MS Mincho" w:hAnsi="Calibri" w:cs="Times New Roman"/>
      <w:sz w:val="24"/>
      <w:szCs w:val="24"/>
      <w:lang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Grid121"/>
    <w:rsid w:val="000676A1"/>
    <w:pPr>
      <w:spacing w:after="0" w:line="240" w:lineRule="auto"/>
    </w:pPr>
    <w:rPr>
      <w:rFonts w:ascii="Calibri" w:eastAsia="Times New Roman" w:hAnsi="Calibri" w:cs="Times New Roman"/>
      <w:lang w:val="fr-SN" w:eastAsia="fr-SN"/>
      <w14:ligatures w14:val="standardContextual"/>
    </w:rPr>
    <w:tblPr>
      <w:tblCellMar>
        <w:top w:w="0" w:type="dxa"/>
        <w:left w:w="0" w:type="dxa"/>
        <w:bottom w:w="0" w:type="dxa"/>
        <w:right w:w="0" w:type="dxa"/>
      </w:tblCellMar>
    </w:tblPr>
  </w:style>
  <w:style w:type="table" w:customStyle="1" w:styleId="TableauGrille1Clair-Accentuation1141">
    <w:name w:val="Tableau Grille 1 Clair - Accentuation 1141"/>
    <w:basedOn w:val="TableauNormal"/>
    <w:uiPriority w:val="46"/>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eauGrille4-Accentuation1141">
    <w:name w:val="Tableau Grille 4 - Accentuation 1141"/>
    <w:basedOn w:val="TableauNormal"/>
    <w:uiPriority w:val="49"/>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simple1141">
    <w:name w:val="Tableau simple 1141"/>
    <w:basedOn w:val="TableauNormal"/>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Grille4141">
    <w:name w:val="Tableau Grille 4141"/>
    <w:basedOn w:val="TableauNormal"/>
    <w:uiPriority w:val="49"/>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231">
    <w:name w:val="Tableau Grille 231"/>
    <w:basedOn w:val="TableauNormal"/>
    <w:next w:val="TableauGrille2"/>
    <w:rsid w:val="000676A1"/>
    <w:pPr>
      <w:spacing w:after="0" w:line="240" w:lineRule="auto"/>
    </w:pPr>
    <w:rPr>
      <w:rFonts w:ascii="Times New Roman" w:eastAsia="SimSun" w:hAnsi="Times New Roman" w:cs="Times New Roman"/>
      <w:sz w:val="20"/>
      <w:szCs w:val="20"/>
      <w:lang w:eastAsia="fr-FR"/>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1Clair-Accentuation1221">
    <w:name w:val="Tableau Grille 1 Clair - Accentuation 1221"/>
    <w:basedOn w:val="TableauNormal"/>
    <w:uiPriority w:val="46"/>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auGrille4-Accentuation1221">
    <w:name w:val="Tableau Grille 4 - Accentuation 1221"/>
    <w:basedOn w:val="TableauNormal"/>
    <w:uiPriority w:val="49"/>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ausimple1221">
    <w:name w:val="Tableau simple 1221"/>
    <w:basedOn w:val="TableauNormal"/>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Grille4221">
    <w:name w:val="Tableau Grille 4221"/>
    <w:basedOn w:val="TableauNormal"/>
    <w:uiPriority w:val="49"/>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1Clair221">
    <w:name w:val="Tableau Grille 1 Clair221"/>
    <w:basedOn w:val="TableauNormal"/>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insuco321">
    <w:name w:val="insuco321"/>
    <w:basedOn w:val="Grilledutableau"/>
    <w:next w:val="Grillemoyenne2-Accent6"/>
    <w:uiPriority w:val="60"/>
    <w:rsid w:val="000676A1"/>
    <w:rPr>
      <w:rFonts w:ascii="Arial" w:hAnsi="Arial"/>
      <w:sz w:val="16"/>
      <w:szCs w:val="22"/>
      <w:lang w:val="fr-FR"/>
      <w14:ligatures w14:val="standardContextual"/>
    </w:rPr>
    <w:tblPr>
      <w:tblStyleRowBandSize w:val="1"/>
      <w:tblStyleColBandSize w:val="1"/>
      <w:tblBorders>
        <w:top w:val="single" w:sz="18" w:space="0" w:color="14726E"/>
        <w:left w:val="none" w:sz="0" w:space="0" w:color="auto"/>
        <w:bottom w:val="single" w:sz="18" w:space="0" w:color="14726E"/>
        <w:right w:val="none" w:sz="0" w:space="0" w:color="auto"/>
        <w:insideH w:val="none" w:sz="0" w:space="0" w:color="auto"/>
        <w:insideV w:val="none" w:sz="0" w:space="0" w:color="auto"/>
      </w:tblBorders>
    </w:tblPr>
    <w:tcPr>
      <w:vAlign w:val="center"/>
    </w:tcPr>
    <w:tblStylePr w:type="firstRow">
      <w:pPr>
        <w:wordWrap/>
        <w:spacing w:before="0" w:beforeAutospacing="0" w:afterLines="0" w:afterAutospacing="0" w:line="240" w:lineRule="auto"/>
      </w:pPr>
      <w:rPr>
        <w:b/>
        <w:bCs/>
      </w:rPr>
      <w:tblPr/>
      <w:tcPr>
        <w:tcBorders>
          <w:top w:val="single" w:sz="12" w:space="0" w:color="14726E"/>
          <w:left w:val="nil"/>
          <w:bottom w:val="single" w:sz="12" w:space="0" w:color="14726E"/>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ausimple431">
    <w:name w:val="Tableau simple 431"/>
    <w:basedOn w:val="TableauNormal"/>
    <w:next w:val="Tableausimple4"/>
    <w:uiPriority w:val="21"/>
    <w:qFormat/>
    <w:rsid w:val="000676A1"/>
    <w:pPr>
      <w:spacing w:after="0" w:line="240" w:lineRule="auto"/>
    </w:pPr>
    <w:rPr>
      <w:rFonts w:ascii="Cambria" w:eastAsia="Cambria" w:hAnsi="Cambria" w:cs="Times New Roman"/>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S Mincho" w:eastAsia="Batang" w:hAnsi="MS Mincho"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S Mincho" w:eastAsia="Batang" w:hAnsi="MS Mincho"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S Mincho" w:eastAsia="Batang" w:hAnsi="MS Mincho" w:cs="Times New Roman"/>
        <w:b/>
        <w:bCs/>
      </w:rPr>
    </w:tblStylePr>
    <w:tblStylePr w:type="lastCol">
      <w:rPr>
        <w:rFonts w:ascii="MS Mincho" w:eastAsia="Batang" w:hAnsi="MS Mincho"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Normal31">
    <w:name w:val="Table Normal31"/>
    <w:uiPriority w:val="2"/>
    <w:semiHidden/>
    <w:unhideWhenUsed/>
    <w:qFormat/>
    <w:rsid w:val="000676A1"/>
    <w:pPr>
      <w:widowControl w:val="0"/>
      <w:autoSpaceDE w:val="0"/>
      <w:autoSpaceDN w:val="0"/>
      <w:spacing w:after="0" w:line="240" w:lineRule="auto"/>
    </w:pPr>
    <w:rPr>
      <w:rFonts w:ascii="Cambria" w:eastAsia="Cambria" w:hAnsi="Cambria" w:cs="Times New Roman"/>
      <w:lang w:val="en-US"/>
      <w14:ligatures w14:val="standardContextual"/>
    </w:rPr>
    <w:tblPr>
      <w:tblInd w:w="0" w:type="dxa"/>
      <w:tblCellMar>
        <w:top w:w="0" w:type="dxa"/>
        <w:left w:w="0" w:type="dxa"/>
        <w:bottom w:w="0" w:type="dxa"/>
        <w:right w:w="0" w:type="dxa"/>
      </w:tblCellMar>
    </w:tblPr>
  </w:style>
  <w:style w:type="table" w:customStyle="1" w:styleId="Tableausimple331">
    <w:name w:val="Tableau simple 331"/>
    <w:basedOn w:val="TableauNormal"/>
    <w:next w:val="Tableausimple3"/>
    <w:uiPriority w:val="61"/>
    <w:qFormat/>
    <w:rsid w:val="000676A1"/>
    <w:pPr>
      <w:spacing w:after="0" w:line="240" w:lineRule="auto"/>
    </w:pPr>
    <w:rPr>
      <w:rFonts w:ascii="Cambria" w:eastAsia="Cambria" w:hAnsi="Cambria" w:cs="Times New Roman"/>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ausimple531">
    <w:name w:val="Tableau simple 531"/>
    <w:basedOn w:val="TableauNormal"/>
    <w:next w:val="Tableausimple5"/>
    <w:uiPriority w:val="63"/>
    <w:qFormat/>
    <w:rsid w:val="000676A1"/>
    <w:pPr>
      <w:spacing w:after="0" w:line="240" w:lineRule="auto"/>
    </w:pPr>
    <w:rPr>
      <w:rFonts w:ascii="Cambria" w:eastAsia="Cambria" w:hAnsi="Cambria" w:cs="Times New Roman"/>
      <w14:ligatures w14:val="standardContextua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Bibliographie121">
    <w:name w:val="Bibliographie121"/>
    <w:basedOn w:val="TableauNormal"/>
    <w:uiPriority w:val="61"/>
    <w:rsid w:val="000676A1"/>
    <w:pPr>
      <w:spacing w:after="0" w:line="240" w:lineRule="auto"/>
    </w:pPr>
    <w:rPr>
      <w:rFonts w:ascii="Cambria" w:eastAsia="Cambria" w:hAnsi="Cambria" w:cs="Times New Roman"/>
      <w:lang w:val="fr-CA"/>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moyenne1-Accent221">
    <w:name w:val="Liste moyenne 1 - Accent 221"/>
    <w:basedOn w:val="TableauNormal"/>
    <w:next w:val="Listemoyenne1-Accent2"/>
    <w:uiPriority w:val="61"/>
    <w:rsid w:val="000676A1"/>
    <w:pPr>
      <w:spacing w:after="0" w:line="240" w:lineRule="auto"/>
    </w:pPr>
    <w:rPr>
      <w:rFonts w:ascii="Cambria" w:eastAsia="Cambria" w:hAnsi="Cambria" w:cs="Times New Roman"/>
      <w:lang w:val="fr-CA"/>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Grille221">
    <w:name w:val="Grille221"/>
    <w:basedOn w:val="TableauNormal"/>
    <w:next w:val="Grilledutableau"/>
    <w:uiPriority w:val="3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321">
    <w:name w:val="Grille321"/>
    <w:basedOn w:val="TableauNormal"/>
    <w:next w:val="Grilledutableau"/>
    <w:uiPriority w:val="3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4-Accentuation621">
    <w:name w:val="Tableau Grille 4 - Accentuation 621"/>
    <w:basedOn w:val="TableauNormal"/>
    <w:next w:val="TableauGrille4-Accentuation6"/>
    <w:uiPriority w:val="49"/>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ramecouleur-Accent331">
    <w:name w:val="Trame couleur - Accent 331"/>
    <w:basedOn w:val="TableauNormal"/>
    <w:next w:val="Tramecouleur-Accent3"/>
    <w:unhideWhenUsed/>
    <w:rsid w:val="000676A1"/>
    <w:pPr>
      <w:spacing w:after="0" w:line="240" w:lineRule="auto"/>
    </w:pPr>
    <w:rPr>
      <w:rFonts w:ascii="Calibri" w:eastAsia="Calibri" w:hAnsi="Calibri" w:cs="Times New Roman"/>
      <w:sz w:val="24"/>
      <w:szCs w:val="24"/>
      <w14:ligatures w14:val="standardContextual"/>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Tramemoyenne1-Accent221">
    <w:name w:val="Trame moyenne 1 - Accent 221"/>
    <w:basedOn w:val="TableauNormal"/>
    <w:next w:val="Tramemoyenne1-Accent2"/>
    <w:uiPriority w:val="1"/>
    <w:unhideWhenUsed/>
    <w:rsid w:val="000676A1"/>
    <w:pPr>
      <w:spacing w:after="0" w:line="240" w:lineRule="auto"/>
    </w:pPr>
    <w:rPr>
      <w:rFonts w:ascii="Times New Roman" w:eastAsia="Times New Roman" w:hAnsi="Times New Roman" w:cs="Times New Roman"/>
      <w:sz w:val="24"/>
      <w:szCs w:val="24"/>
      <w:lang w:val="en-US"/>
      <w14:ligatures w14:val="standardContextual"/>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TableauGrille1Clair-Accentuation151">
    <w:name w:val="Tableau Grille 1 Clair - Accentuation 151"/>
    <w:basedOn w:val="TableauNormal"/>
    <w:next w:val="TableauGrille1Clair-Accentuation1"/>
    <w:uiPriority w:val="46"/>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llemoyenne1-Accent261">
    <w:name w:val="Grille moyenne 1 - Accent 261"/>
    <w:basedOn w:val="TableauNormal"/>
    <w:next w:val="Grillemoyenne1-Accent2"/>
    <w:uiPriority w:val="34"/>
    <w:rsid w:val="000676A1"/>
    <w:pPr>
      <w:spacing w:after="0" w:line="240" w:lineRule="auto"/>
    </w:pPr>
    <w:rPr>
      <w:rFonts w:ascii="Calibri" w:eastAsia="Calibri" w:hAnsi="Calibri" w:cs="Times New Roman"/>
      <w:lang w:val="fr-SN"/>
      <w14:ligatures w14:val="standardContextu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Listefonce-Accent531">
    <w:name w:val="Liste foncée - Accent 531"/>
    <w:basedOn w:val="TableauNormal"/>
    <w:next w:val="Listefonce-Accent5"/>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stefonce-Accent631">
    <w:name w:val="Liste foncée - Accent 631"/>
    <w:basedOn w:val="TableauNormal"/>
    <w:next w:val="Listefonce-Accent6"/>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lleclaire-Accent1131">
    <w:name w:val="Grille claire - Accent 1131"/>
    <w:basedOn w:val="TableauNormal"/>
    <w:uiPriority w:val="62"/>
    <w:rsid w:val="000676A1"/>
    <w:pPr>
      <w:spacing w:after="0" w:line="240" w:lineRule="auto"/>
    </w:pPr>
    <w:rPr>
      <w:rFonts w:ascii="Calibri" w:eastAsia="Calibri" w:hAnsi="Calibri" w:cs="Times New Roman"/>
      <w:sz w:val="20"/>
      <w:szCs w:val="20"/>
      <w:lang w:val="fr-SN" w:eastAsia="fr-F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Latha" w:eastAsia="Times New Roman" w:hAnsi="Lath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Latha" w:eastAsia="Times New Roman" w:hAnsi="Lath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atha" w:eastAsia="Times New Roman" w:hAnsi="Latha" w:cs="Times New Roman"/>
        <w:b/>
        <w:bCs/>
      </w:rPr>
    </w:tblStylePr>
    <w:tblStylePr w:type="lastCol">
      <w:rPr>
        <w:rFonts w:ascii="Latha" w:eastAsia="Times New Roman" w:hAnsi="Lath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Aucuneliste331">
    <w:name w:val="Aucune liste331"/>
    <w:next w:val="Aucuneliste"/>
    <w:uiPriority w:val="99"/>
    <w:semiHidden/>
    <w:unhideWhenUsed/>
    <w:rsid w:val="000676A1"/>
  </w:style>
  <w:style w:type="numbering" w:customStyle="1" w:styleId="Aucuneliste431">
    <w:name w:val="Aucune liste431"/>
    <w:next w:val="Aucuneliste"/>
    <w:uiPriority w:val="99"/>
    <w:semiHidden/>
    <w:unhideWhenUsed/>
    <w:rsid w:val="000676A1"/>
  </w:style>
  <w:style w:type="numbering" w:customStyle="1" w:styleId="Aucuneliste531">
    <w:name w:val="Aucune liste531"/>
    <w:next w:val="Aucuneliste"/>
    <w:uiPriority w:val="99"/>
    <w:semiHidden/>
    <w:unhideWhenUsed/>
    <w:rsid w:val="000676A1"/>
  </w:style>
  <w:style w:type="numbering" w:customStyle="1" w:styleId="Aucuneliste631">
    <w:name w:val="Aucune liste631"/>
    <w:next w:val="Aucuneliste"/>
    <w:uiPriority w:val="99"/>
    <w:semiHidden/>
    <w:unhideWhenUsed/>
    <w:rsid w:val="000676A1"/>
  </w:style>
  <w:style w:type="numbering" w:customStyle="1" w:styleId="131">
    <w:name w:val="无列表131"/>
    <w:next w:val="Aucuneliste"/>
    <w:uiPriority w:val="99"/>
    <w:semiHidden/>
    <w:unhideWhenUsed/>
    <w:rsid w:val="000676A1"/>
  </w:style>
  <w:style w:type="table" w:customStyle="1" w:styleId="Grillecouleur-Accent141">
    <w:name w:val="Grille couleur - Accent 141"/>
    <w:basedOn w:val="TableauNormal"/>
    <w:next w:val="Grillecouleur-Accent1"/>
    <w:uiPriority w:val="29"/>
    <w:rsid w:val="000676A1"/>
    <w:pPr>
      <w:spacing w:after="0" w:line="240" w:lineRule="auto"/>
    </w:pPr>
    <w:rPr>
      <w:rFonts w:ascii="Calibri" w:eastAsia="SimSun" w:hAnsi="Calibri" w:cs="Times New Roman"/>
      <w:i/>
      <w:iCs/>
      <w:color w:val="000000"/>
      <w:kern w:val="2"/>
      <w:sz w:val="24"/>
      <w:szCs w:val="21"/>
      <w:lang w:val="en-US" w:eastAsia="zh-CN"/>
      <w14:ligatures w14:val="standardContextual"/>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numbering" w:customStyle="1" w:styleId="Aucuneliste721">
    <w:name w:val="Aucune liste721"/>
    <w:next w:val="Aucuneliste"/>
    <w:uiPriority w:val="99"/>
    <w:semiHidden/>
    <w:unhideWhenUsed/>
    <w:rsid w:val="000676A1"/>
  </w:style>
  <w:style w:type="table" w:customStyle="1" w:styleId="TableauGrille1Clair-Accentuation1321">
    <w:name w:val="Tableau Grille 1 Clair - Accentuation 1321"/>
    <w:basedOn w:val="TableauNormal"/>
    <w:next w:val="TableauGrille1Clair-Accentuation1"/>
    <w:uiPriority w:val="46"/>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lledutableau1921">
    <w:name w:val="Grille du tableau1921"/>
    <w:basedOn w:val="TableauNormal"/>
    <w:next w:val="Grilledutableau"/>
    <w:uiPriority w:val="3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etableauclaire221">
    <w:name w:val="Grille de tableau claire221"/>
    <w:basedOn w:val="TableauNormal"/>
    <w:next w:val="Grilledetableauclaire"/>
    <w:uiPriority w:val="40"/>
    <w:rsid w:val="000676A1"/>
    <w:pPr>
      <w:spacing w:after="0" w:line="240" w:lineRule="auto"/>
    </w:pPr>
    <w:rPr>
      <w:rFonts w:ascii="Calibri" w:eastAsia="Calibri" w:hAnsi="Calibri" w:cs="Times New Roman"/>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Aucuneliste821">
    <w:name w:val="Aucune liste821"/>
    <w:next w:val="Aucuneliste"/>
    <w:uiPriority w:val="99"/>
    <w:semiHidden/>
    <w:unhideWhenUsed/>
    <w:rsid w:val="000676A1"/>
  </w:style>
  <w:style w:type="table" w:customStyle="1" w:styleId="GT0121">
    <w:name w:val="GT0121"/>
    <w:basedOn w:val="TableauNormal"/>
    <w:next w:val="Grilledutableau"/>
    <w:uiPriority w:val="59"/>
    <w:qFormat/>
    <w:rsid w:val="000676A1"/>
    <w:pPr>
      <w:spacing w:before="120" w:after="120" w:line="240" w:lineRule="auto"/>
      <w:ind w:left="115" w:right="115"/>
    </w:pPr>
    <w:rPr>
      <w:rFonts w:ascii="Arial" w:eastAsia="Arial" w:hAnsi="Arial" w:cs="Arial"/>
      <w:sz w:val="20"/>
      <w:szCs w:val="20"/>
      <w:lang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Grilledutableau11021">
    <w:name w:val="Grille du tableau1102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321">
    <w:name w:val="Grille du tableau232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21">
    <w:name w:val="Aucune liste1221"/>
    <w:next w:val="Aucuneliste"/>
    <w:uiPriority w:val="99"/>
    <w:semiHidden/>
    <w:unhideWhenUsed/>
    <w:rsid w:val="000676A1"/>
  </w:style>
  <w:style w:type="table" w:customStyle="1" w:styleId="Grilledutableau3121">
    <w:name w:val="Grille du tableau312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1">
    <w:name w:val="Grille du tableau4121"/>
    <w:basedOn w:val="TableauNormal"/>
    <w:next w:val="Grilledutableau"/>
    <w:uiPriority w:val="59"/>
    <w:rsid w:val="000676A1"/>
    <w:pPr>
      <w:spacing w:after="0" w:line="240" w:lineRule="auto"/>
    </w:pPr>
    <w:rPr>
      <w:rFonts w:ascii="Calibri" w:eastAsia="MS Mincho"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
    <w:name w:val="Table Normal121"/>
    <w:uiPriority w:val="2"/>
    <w:semiHidden/>
    <w:unhideWhenUsed/>
    <w:qFormat/>
    <w:rsid w:val="000676A1"/>
    <w:pPr>
      <w:widowControl w:val="0"/>
      <w:spacing w:after="0" w:line="240" w:lineRule="auto"/>
    </w:pPr>
    <w:rPr>
      <w:rFonts w:ascii="Calibri" w:eastAsia="Calibri" w:hAnsi="Calibri" w:cs="Times New Roman"/>
      <w:lang w:val="en-US"/>
      <w14:ligatures w14:val="standardContextual"/>
    </w:rPr>
    <w:tblPr>
      <w:tblInd w:w="0" w:type="dxa"/>
      <w:tblCellMar>
        <w:top w:w="0" w:type="dxa"/>
        <w:left w:w="0" w:type="dxa"/>
        <w:bottom w:w="0" w:type="dxa"/>
        <w:right w:w="0" w:type="dxa"/>
      </w:tblCellMar>
    </w:tblPr>
  </w:style>
  <w:style w:type="table" w:customStyle="1" w:styleId="Grilledutableau6121">
    <w:name w:val="Grille du tableau612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1">
    <w:name w:val="Grille du tableau7221"/>
    <w:basedOn w:val="TableauNormal"/>
    <w:next w:val="Grilledutableau"/>
    <w:uiPriority w:val="59"/>
    <w:rsid w:val="000676A1"/>
    <w:pPr>
      <w:spacing w:after="0" w:line="240" w:lineRule="auto"/>
    </w:pPr>
    <w:rPr>
      <w:rFonts w:ascii="Cambria" w:eastAsia="Cambria" w:hAnsi="Cambria" w:cs="Times New Roman"/>
      <w:lang w:val="fr-SN"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moyenne1-Accent2421">
    <w:name w:val="Grille moyenne 1 - Accent 2421"/>
    <w:basedOn w:val="TableauNormal"/>
    <w:next w:val="Grillemoyenne1-Accent2"/>
    <w:uiPriority w:val="34"/>
    <w:rsid w:val="000676A1"/>
    <w:pPr>
      <w:spacing w:after="0" w:line="240" w:lineRule="auto"/>
    </w:pPr>
    <w:rPr>
      <w:rFonts w:ascii="Calibri" w:eastAsia="Calibri" w:hAnsi="Calibri" w:cs="Times New Roman"/>
      <w:lang w:val="fr-SN"/>
      <w14:ligatures w14:val="standardContextu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Grillemoyenne21121">
    <w:name w:val="Grille moyenne 21121"/>
    <w:basedOn w:val="TableauNormal"/>
    <w:uiPriority w:val="1"/>
    <w:rsid w:val="000676A1"/>
    <w:pPr>
      <w:spacing w:after="0" w:line="240" w:lineRule="auto"/>
    </w:pPr>
    <w:rPr>
      <w:rFonts w:ascii="Arial (W1)" w:eastAsia="Calibri" w:hAnsi="Arial (W1)" w:cs="Arial"/>
      <w:lang w:val="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steclaire1121">
    <w:name w:val="Liste claire1121"/>
    <w:basedOn w:val="TableauNormal"/>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efonce-Accent5121">
    <w:name w:val="Liste foncée - Accent 5121"/>
    <w:basedOn w:val="TableauNormal"/>
    <w:next w:val="Listefonce-Accent5"/>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Aucuneliste2121">
    <w:name w:val="Aucune liste2121"/>
    <w:next w:val="Aucuneliste"/>
    <w:uiPriority w:val="99"/>
    <w:semiHidden/>
    <w:unhideWhenUsed/>
    <w:rsid w:val="000676A1"/>
  </w:style>
  <w:style w:type="table" w:customStyle="1" w:styleId="Listeclaire-Accent612221">
    <w:name w:val="Liste claire - Accent 612221"/>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1321">
    <w:name w:val="Liste claire - Accent 61321"/>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fonce-Accent6121">
    <w:name w:val="Liste foncée - Accent 6121"/>
    <w:basedOn w:val="TableauNormal"/>
    <w:next w:val="Listefonce-Accent6"/>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lleclaire-Accent11121">
    <w:name w:val="Grille claire - Accent 11121"/>
    <w:basedOn w:val="TableauNormal"/>
    <w:uiPriority w:val="62"/>
    <w:rsid w:val="000676A1"/>
    <w:pPr>
      <w:spacing w:after="0" w:line="240" w:lineRule="auto"/>
    </w:pPr>
    <w:rPr>
      <w:rFonts w:ascii="Calibri" w:eastAsia="Calibri" w:hAnsi="Calibri" w:cs="Times New Roman"/>
      <w:sz w:val="20"/>
      <w:szCs w:val="20"/>
      <w:lang w:val="fr-SN" w:eastAsia="fr-F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Latha" w:eastAsia="Times New Roman" w:hAnsi="Lath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Latha" w:eastAsia="Times New Roman" w:hAnsi="Lath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atha" w:eastAsia="Times New Roman" w:hAnsi="Latha" w:cs="Times New Roman"/>
        <w:b/>
        <w:bCs/>
      </w:rPr>
    </w:tblStylePr>
    <w:tblStylePr w:type="lastCol">
      <w:rPr>
        <w:rFonts w:ascii="Latha" w:eastAsia="Times New Roman" w:hAnsi="Lath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Aucuneliste3121">
    <w:name w:val="Aucune liste3121"/>
    <w:next w:val="Aucuneliste"/>
    <w:uiPriority w:val="99"/>
    <w:semiHidden/>
    <w:unhideWhenUsed/>
    <w:rsid w:val="000676A1"/>
  </w:style>
  <w:style w:type="numbering" w:customStyle="1" w:styleId="Aucuneliste4121">
    <w:name w:val="Aucune liste4121"/>
    <w:next w:val="Aucuneliste"/>
    <w:uiPriority w:val="99"/>
    <w:semiHidden/>
    <w:unhideWhenUsed/>
    <w:rsid w:val="000676A1"/>
  </w:style>
  <w:style w:type="table" w:customStyle="1" w:styleId="Grilledutableau5121">
    <w:name w:val="Grille du tableau5121"/>
    <w:basedOn w:val="TableauNormal"/>
    <w:next w:val="Grilledutableau"/>
    <w:uiPriority w:val="59"/>
    <w:rsid w:val="000676A1"/>
    <w:pPr>
      <w:spacing w:after="0" w:line="240" w:lineRule="auto"/>
    </w:pPr>
    <w:rPr>
      <w:rFonts w:ascii="Calibri" w:eastAsia="Times New Roman" w:hAnsi="Calibri" w:cs="Times New Roman"/>
      <w:sz w:val="20"/>
      <w:szCs w:val="20"/>
      <w:lang w:val="fr-SN" w:eastAsia="fr-F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5121">
    <w:name w:val="Aucune liste5121"/>
    <w:next w:val="Aucuneliste"/>
    <w:uiPriority w:val="99"/>
    <w:semiHidden/>
    <w:unhideWhenUsed/>
    <w:rsid w:val="000676A1"/>
  </w:style>
  <w:style w:type="table" w:customStyle="1" w:styleId="Grilledutableau21121">
    <w:name w:val="Grille du tableau21121"/>
    <w:basedOn w:val="TableauNormal"/>
    <w:next w:val="Grilledutableau"/>
    <w:uiPriority w:val="59"/>
    <w:rsid w:val="000676A1"/>
    <w:pPr>
      <w:spacing w:after="0" w:line="240" w:lineRule="auto"/>
    </w:pPr>
    <w:rPr>
      <w:rFonts w:ascii="Calibri" w:eastAsia="Times New Roman" w:hAnsi="Calibri" w:cs="Times New Roman"/>
      <w:lang w:val="fr-SN" w:eastAsia="fr-F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eclaire-Accent6121121">
    <w:name w:val="Liste claire - Accent 6121121"/>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11121">
    <w:name w:val="Liste claire - Accent 611121"/>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2121">
    <w:name w:val="Liste claire - Accent 62121"/>
    <w:basedOn w:val="TableauNormal"/>
    <w:next w:val="Listefonce-Accent6"/>
    <w:uiPriority w:val="61"/>
    <w:rsid w:val="000676A1"/>
    <w:pPr>
      <w:spacing w:after="0" w:line="240" w:lineRule="auto"/>
      <w:jc w:val="both"/>
    </w:pPr>
    <w:rPr>
      <w:rFonts w:ascii="Arial Narrow" w:eastAsia="Calibri" w:hAnsi="Arial Narrow" w:cs="Times New Roman"/>
      <w:sz w:val="24"/>
      <w:lang w:val="en-GB"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Aucuneliste6121">
    <w:name w:val="Aucune liste6121"/>
    <w:next w:val="Aucuneliste"/>
    <w:uiPriority w:val="99"/>
    <w:semiHidden/>
    <w:unhideWhenUsed/>
    <w:rsid w:val="000676A1"/>
  </w:style>
  <w:style w:type="numbering" w:customStyle="1" w:styleId="1121">
    <w:name w:val="无列表1121"/>
    <w:next w:val="Aucuneliste"/>
    <w:uiPriority w:val="99"/>
    <w:semiHidden/>
    <w:unhideWhenUsed/>
    <w:rsid w:val="000676A1"/>
  </w:style>
  <w:style w:type="table" w:customStyle="1" w:styleId="Trameclaire-Accent2221">
    <w:name w:val="Trame claire - Accent 2221"/>
    <w:basedOn w:val="TableauNormal"/>
    <w:next w:val="Trameclaire-Accent2"/>
    <w:uiPriority w:val="30"/>
    <w:rsid w:val="000676A1"/>
    <w:pPr>
      <w:spacing w:after="0" w:line="240" w:lineRule="auto"/>
    </w:pPr>
    <w:rPr>
      <w:rFonts w:ascii="Calibri" w:eastAsia="Calibri" w:hAnsi="Calibri" w:cs="Times New Roman"/>
      <w:b/>
      <w:bCs/>
      <w:i/>
      <w:iCs/>
      <w:color w:val="4F81BD"/>
      <w:sz w:val="24"/>
      <w:szCs w:val="24"/>
      <w:lang w:val="fr-SN"/>
      <w14:ligatures w14:val="standardContextual"/>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Grid21121">
    <w:name w:val="Medium Grid 21121"/>
    <w:basedOn w:val="TableauNormal"/>
    <w:uiPriority w:val="1"/>
    <w:rsid w:val="000676A1"/>
    <w:pPr>
      <w:spacing w:after="0" w:line="240" w:lineRule="auto"/>
    </w:pPr>
    <w:rPr>
      <w:rFonts w:ascii="Arial (W1)" w:eastAsia="Calibri" w:hAnsi="Arial (W1)" w:cs="Arial"/>
      <w:lang w:val="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llecouleur-Accent1221">
    <w:name w:val="Grille couleur - Accent 1221"/>
    <w:basedOn w:val="TableauNormal"/>
    <w:next w:val="Grillecouleur-Accent1"/>
    <w:uiPriority w:val="29"/>
    <w:rsid w:val="000676A1"/>
    <w:pPr>
      <w:spacing w:after="0" w:line="240" w:lineRule="auto"/>
    </w:pPr>
    <w:rPr>
      <w:rFonts w:ascii="Calibri" w:eastAsia="SimSun" w:hAnsi="Calibri" w:cs="Times New Roman"/>
      <w:i/>
      <w:iCs/>
      <w:color w:val="000000"/>
      <w:kern w:val="2"/>
      <w:sz w:val="24"/>
      <w:szCs w:val="21"/>
      <w:lang w:val="en-US" w:eastAsia="zh-CN"/>
      <w14:ligatures w14:val="standardContextual"/>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TableauGrille6Couleur21">
    <w:name w:val="Tableau Grille 6 Couleur21"/>
    <w:basedOn w:val="TableauNormal"/>
    <w:next w:val="TableauGrille6Couleur"/>
    <w:uiPriority w:val="51"/>
    <w:rsid w:val="000676A1"/>
    <w:pPr>
      <w:spacing w:after="0" w:line="240" w:lineRule="auto"/>
    </w:pPr>
    <w:rPr>
      <w:rFonts w:ascii="Calibri" w:eastAsia="Calibri" w:hAnsi="Calibri" w:cs="Times New Roman"/>
      <w:color w:val="000000"/>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4-Accentuation521">
    <w:name w:val="Tableau Grille 4 - Accentuation 521"/>
    <w:basedOn w:val="TableauNormal"/>
    <w:next w:val="TableauGrille4-Accentuation5"/>
    <w:uiPriority w:val="49"/>
    <w:rsid w:val="000676A1"/>
    <w:pPr>
      <w:spacing w:after="0" w:line="240" w:lineRule="auto"/>
    </w:pPr>
    <w:rPr>
      <w:rFonts w:ascii="Calibri" w:eastAsia="Calibri" w:hAnsi="Calibri" w:cs="Times New Roman"/>
      <w:sz w:val="20"/>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Grille441">
    <w:name w:val="Tableau Grille 441"/>
    <w:basedOn w:val="TableauNormal"/>
    <w:next w:val="TableauGrille4"/>
    <w:uiPriority w:val="49"/>
    <w:rsid w:val="000676A1"/>
    <w:pPr>
      <w:spacing w:after="0" w:line="240" w:lineRule="auto"/>
    </w:pPr>
    <w:rPr>
      <w:rFonts w:ascii="Calibri" w:eastAsia="Calibri" w:hAnsi="Calibri" w:cs="Times New Roman"/>
      <w:sz w:val="20"/>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5Fonc-Accentuation521">
    <w:name w:val="Tableau Grille 5 Foncé - Accentuation 521"/>
    <w:basedOn w:val="TableauNormal"/>
    <w:next w:val="TableauGrille5Fonc-Accentuation5"/>
    <w:uiPriority w:val="50"/>
    <w:rsid w:val="000676A1"/>
    <w:pPr>
      <w:spacing w:after="0" w:line="240" w:lineRule="auto"/>
    </w:pPr>
    <w:rPr>
      <w:rFonts w:ascii="Calibri" w:eastAsia="Calibri" w:hAnsi="Calibri" w:cs="Times New Roman"/>
      <w:sz w:val="20"/>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auGrille5Fonc-Accentuation621">
    <w:name w:val="Tableau Grille 5 Foncé - Accentuation 621"/>
    <w:basedOn w:val="TableauNormal"/>
    <w:next w:val="TableauGrille5Fonc-Accentuation6"/>
    <w:uiPriority w:val="50"/>
    <w:rsid w:val="000676A1"/>
    <w:pPr>
      <w:spacing w:after="0" w:line="240" w:lineRule="auto"/>
    </w:pPr>
    <w:rPr>
      <w:rFonts w:ascii="Calibri" w:eastAsia="Calibri" w:hAnsi="Calibri" w:cs="Times New Roman"/>
      <w:sz w:val="20"/>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eauListe5Fonc-Accentuation621">
    <w:name w:val="Tableau Liste 5 Foncé - Accentuation 621"/>
    <w:basedOn w:val="TableauNormal"/>
    <w:next w:val="TableauListe5Fonc-Accentuation6"/>
    <w:uiPriority w:val="50"/>
    <w:rsid w:val="000676A1"/>
    <w:pPr>
      <w:spacing w:after="0" w:line="240" w:lineRule="auto"/>
    </w:pPr>
    <w:rPr>
      <w:rFonts w:ascii="Calibri" w:eastAsia="Calibri" w:hAnsi="Calibri" w:cs="Times New Roman"/>
      <w:color w:val="FFFFFF"/>
      <w:sz w:val="20"/>
      <w14:ligatures w14:val="standardContextual"/>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4-Accentuation621">
    <w:name w:val="Tableau Liste 4 - Accentuation 621"/>
    <w:basedOn w:val="TableauNormal"/>
    <w:next w:val="TableauListe4-Accentuation6"/>
    <w:uiPriority w:val="49"/>
    <w:rsid w:val="000676A1"/>
    <w:pPr>
      <w:spacing w:after="0" w:line="240" w:lineRule="auto"/>
    </w:pPr>
    <w:rPr>
      <w:rFonts w:ascii="Calibri" w:eastAsia="Calibri" w:hAnsi="Calibri" w:cs="Times New Roman"/>
      <w:sz w:val="20"/>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auListe5Fonc-Accentuation521">
    <w:name w:val="Tableau Liste 5 Foncé - Accentuation 521"/>
    <w:basedOn w:val="TableauNormal"/>
    <w:next w:val="TableauListe5Fonc-Accentuation5"/>
    <w:uiPriority w:val="50"/>
    <w:rsid w:val="000676A1"/>
    <w:pPr>
      <w:spacing w:after="0" w:line="240" w:lineRule="auto"/>
    </w:pPr>
    <w:rPr>
      <w:rFonts w:ascii="Calibri" w:eastAsia="Calibri" w:hAnsi="Calibri" w:cs="Times New Roman"/>
      <w:color w:val="FFFFFF"/>
      <w:sz w:val="20"/>
      <w14:ligatures w14:val="standardContextual"/>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4-Accentuation521">
    <w:name w:val="Tableau Liste 4 - Accentuation 521"/>
    <w:basedOn w:val="TableauNormal"/>
    <w:next w:val="TableauListe4-Accentuation5"/>
    <w:uiPriority w:val="49"/>
    <w:rsid w:val="000676A1"/>
    <w:pPr>
      <w:spacing w:after="0" w:line="240" w:lineRule="auto"/>
    </w:pPr>
    <w:rPr>
      <w:rFonts w:ascii="Calibri" w:eastAsia="Calibri" w:hAnsi="Calibri" w:cs="Times New Roman"/>
      <w:sz w:val="20"/>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Liste1Clair-Accentuation621">
    <w:name w:val="Tableau Liste 1 Clair - Accentuation 621"/>
    <w:basedOn w:val="TableauNormal"/>
    <w:next w:val="TableauListe1Clair-Accentuation6"/>
    <w:uiPriority w:val="46"/>
    <w:rsid w:val="000676A1"/>
    <w:pPr>
      <w:spacing w:after="0" w:line="240" w:lineRule="auto"/>
    </w:pPr>
    <w:rPr>
      <w:rFonts w:ascii="Calibri" w:eastAsia="Calibri" w:hAnsi="Calibri" w:cs="Times New Roman"/>
      <w:sz w:val="20"/>
      <w14:ligatures w14:val="standardContextual"/>
    </w:rPr>
    <w:tblPr>
      <w:tblStyleRowBandSize w:val="1"/>
      <w:tblStyleColBandSize w:val="1"/>
    </w:tblPr>
    <w:tblStylePr w:type="firstRow">
      <w:rPr>
        <w:b/>
        <w:bCs/>
      </w:rPr>
      <w:tblPr/>
      <w:tcPr>
        <w:tcBorders>
          <w:bottom w:val="single" w:sz="4" w:space="0" w:color="70AD47"/>
        </w:tcBorders>
      </w:tcPr>
    </w:tblStylePr>
    <w:tblStylePr w:type="lastRow">
      <w:rPr>
        <w:b/>
        <w:bCs/>
      </w:rPr>
      <w:tblPr/>
      <w:tcPr>
        <w:tcBorders>
          <w:top w:val="sing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auGrille1Clair41">
    <w:name w:val="Tableau Grille 1 Clair41"/>
    <w:basedOn w:val="TableauNormal"/>
    <w:next w:val="TableauGrille1Clair"/>
    <w:uiPriority w:val="46"/>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ausimple141">
    <w:name w:val="Tableau simple 141"/>
    <w:basedOn w:val="TableauNormal"/>
    <w:next w:val="Tableausimple1"/>
    <w:uiPriority w:val="41"/>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lledutableau17121">
    <w:name w:val="Grille du tableau17121"/>
    <w:basedOn w:val="TableauNormal"/>
    <w:next w:val="Grilledutableau"/>
    <w:uiPriority w:val="3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ouleur-Accent171">
    <w:name w:val="Liste couleur - Accent 171"/>
    <w:basedOn w:val="TableauNormal"/>
    <w:next w:val="Listecouleur-Accent1"/>
    <w:uiPriority w:val="34"/>
    <w:rsid w:val="000676A1"/>
    <w:pPr>
      <w:spacing w:after="0" w:line="240" w:lineRule="auto"/>
    </w:pPr>
    <w:rPr>
      <w:rFonts w:ascii="Times New Roman" w:eastAsia="Times New Roman" w:hAnsi="Times New Roman" w:cs="Times New Roman"/>
      <w:sz w:val="24"/>
      <w:szCs w:val="24"/>
      <w14:ligatures w14:val="standardContextual"/>
    </w:rPr>
    <w:tblPr>
      <w:tblStyleRowBandSize w:val="1"/>
      <w:tblStyleColBandSize w:val="1"/>
    </w:tblPr>
    <w:tcPr>
      <w:shd w:val="clear" w:color="auto" w:fill="EDF2F8"/>
    </w:tcPr>
    <w:tblStylePr w:type="firstRow">
      <w:rPr>
        <w:rFonts w:cs="Times New Roman"/>
      </w:rPr>
      <w:tblPr/>
      <w:tcPr>
        <w:tcBorders>
          <w:bottom w:val="single" w:sz="12" w:space="0" w:color="FFFFFF"/>
        </w:tcBorders>
        <w:shd w:val="clear" w:color="auto" w:fill="9E3A38"/>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numbering" w:customStyle="1" w:styleId="Aucuneliste111121">
    <w:name w:val="Aucune liste111121"/>
    <w:next w:val="Aucuneliste"/>
    <w:uiPriority w:val="99"/>
    <w:semiHidden/>
    <w:unhideWhenUsed/>
    <w:rsid w:val="000676A1"/>
  </w:style>
  <w:style w:type="numbering" w:customStyle="1" w:styleId="Aucuneliste921">
    <w:name w:val="Aucune liste921"/>
    <w:next w:val="Aucuneliste"/>
    <w:uiPriority w:val="99"/>
    <w:semiHidden/>
    <w:unhideWhenUsed/>
    <w:rsid w:val="000676A1"/>
  </w:style>
  <w:style w:type="numbering" w:customStyle="1" w:styleId="Aucuneliste1021">
    <w:name w:val="Aucune liste1021"/>
    <w:next w:val="Aucuneliste"/>
    <w:uiPriority w:val="99"/>
    <w:semiHidden/>
    <w:unhideWhenUsed/>
    <w:rsid w:val="000676A1"/>
  </w:style>
  <w:style w:type="numbering" w:customStyle="1" w:styleId="Aucuneliste1311">
    <w:name w:val="Aucune liste1311"/>
    <w:next w:val="Aucuneliste"/>
    <w:uiPriority w:val="99"/>
    <w:semiHidden/>
    <w:unhideWhenUsed/>
    <w:rsid w:val="000676A1"/>
  </w:style>
  <w:style w:type="table" w:customStyle="1" w:styleId="csastandard111">
    <w:name w:val="csa standard111"/>
    <w:basedOn w:val="TableauNormal"/>
    <w:next w:val="Grilledutableau"/>
    <w:uiPriority w:val="39"/>
    <w:qFormat/>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11">
    <w:name w:val="Grille du tableau1121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Grid211"/>
    <w:rsid w:val="000676A1"/>
    <w:pPr>
      <w:spacing w:after="0" w:line="240" w:lineRule="auto"/>
    </w:pPr>
    <w:rPr>
      <w:rFonts w:ascii="Calibri" w:eastAsia="Times New Roman" w:hAnsi="Calibri" w:cs="Times New Roman"/>
      <w:lang w:eastAsia="fr-FR"/>
      <w14:ligatures w14:val="standardContextual"/>
    </w:rPr>
    <w:tblPr>
      <w:tblCellMar>
        <w:top w:w="0" w:type="dxa"/>
        <w:left w:w="0" w:type="dxa"/>
        <w:bottom w:w="0" w:type="dxa"/>
        <w:right w:w="0" w:type="dxa"/>
      </w:tblCellMar>
    </w:tblPr>
  </w:style>
  <w:style w:type="table" w:customStyle="1" w:styleId="Grilledetableau82111">
    <w:name w:val="Grille de tableau 82111"/>
    <w:basedOn w:val="TableauNormal"/>
    <w:next w:val="Grilledetableau8"/>
    <w:rsid w:val="000676A1"/>
    <w:pPr>
      <w:spacing w:after="0" w:line="240" w:lineRule="auto"/>
      <w:jc w:val="both"/>
    </w:pPr>
    <w:rPr>
      <w:rFonts w:ascii="Times New Roman" w:eastAsia="Times New Roman" w:hAnsi="Times New Roman" w:cs="Times New Roman"/>
      <w:sz w:val="20"/>
      <w:szCs w:val="20"/>
      <w:lang w:eastAsia="fr-FR"/>
      <w14:ligatures w14:val="standardContextu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lledetableau8111">
    <w:name w:val="Grille de tableau 8111"/>
    <w:basedOn w:val="TableauNormal"/>
    <w:next w:val="Grilledetableau8"/>
    <w:unhideWhenUsed/>
    <w:rsid w:val="000676A1"/>
    <w:pPr>
      <w:spacing w:after="0" w:line="240" w:lineRule="auto"/>
    </w:pPr>
    <w:rPr>
      <w:rFonts w:ascii="Cambria" w:eastAsia="MS Mincho" w:hAnsi="Cambria" w:cs="Times New Roman"/>
      <w:sz w:val="20"/>
      <w:szCs w:val="20"/>
      <w:lang w:eastAsia="fr-FR"/>
      <w14:ligatures w14:val="standardContextu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Grille4-Accentuation1311">
    <w:name w:val="Tableau Grille 4 - Accentuation 1311"/>
    <w:basedOn w:val="TableauNormal"/>
    <w:next w:val="TableauGrille4-Accentuation1"/>
    <w:uiPriority w:val="49"/>
    <w:rsid w:val="000676A1"/>
    <w:pPr>
      <w:spacing w:after="0" w:line="240" w:lineRule="auto"/>
      <w:jc w:val="both"/>
    </w:pPr>
    <w:rPr>
      <w:rFonts w:ascii="Calibri" w:eastAsia="Calibri" w:hAnsi="Calibri" w:cs="Times New Roma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etableauclaire311">
    <w:name w:val="Grille de tableau claire311"/>
    <w:basedOn w:val="TableauNormal"/>
    <w:next w:val="Grilledetableauclaire"/>
    <w:uiPriority w:val="40"/>
    <w:rsid w:val="000676A1"/>
    <w:pPr>
      <w:spacing w:after="0" w:line="240" w:lineRule="auto"/>
    </w:pPr>
    <w:rPr>
      <w:rFonts w:ascii="Cambria" w:eastAsia="MS Mincho" w:hAnsi="Cambria" w:cs="Times New Roman"/>
      <w:sz w:val="20"/>
      <w:szCs w:val="20"/>
      <w:lang w:eastAsia="fr-FR"/>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auGrille4-Accentuation3111">
    <w:name w:val="Tableau Grille 4 - Accentuation 3111"/>
    <w:basedOn w:val="TableauNormal"/>
    <w:next w:val="TableauGrille4-Accentuation3"/>
    <w:uiPriority w:val="49"/>
    <w:rsid w:val="000676A1"/>
    <w:pPr>
      <w:spacing w:after="0" w:line="240" w:lineRule="auto"/>
    </w:pPr>
    <w:rPr>
      <w:rFonts w:ascii="Cambria" w:eastAsia="MS Mincho" w:hAnsi="Cambria" w:cs="Times New Roman"/>
      <w:sz w:val="20"/>
      <w:szCs w:val="20"/>
      <w:lang w:eastAsia="fr-FR"/>
      <w14:ligatures w14:val="standardContextu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lledutableau11311">
    <w:name w:val="Grille du tableau1131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Liste3163111">
    <w:name w:val="Tableau Liste 3163111"/>
    <w:basedOn w:val="TableauNormal"/>
    <w:next w:val="TableauListe3"/>
    <w:uiPriority w:val="48"/>
    <w:rsid w:val="000676A1"/>
    <w:pPr>
      <w:spacing w:after="0" w:line="300" w:lineRule="exact"/>
      <w:jc w:val="both"/>
    </w:pPr>
    <w:rPr>
      <w:rFonts w:ascii="Times New Roman" w:eastAsia="Times New Roman" w:hAnsi="Times New Roman" w:cs="Times New Roman"/>
      <w:sz w:val="20"/>
      <w:szCs w:val="20"/>
      <w:lang w:eastAsia="fr-FR"/>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simple11111">
    <w:name w:val="Tableau simple 11111"/>
    <w:basedOn w:val="TableauNormal"/>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Grille41111">
    <w:name w:val="Tableau Grille 41111"/>
    <w:basedOn w:val="TableauNormal"/>
    <w:uiPriority w:val="49"/>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emoyenne2-Accent4211">
    <w:name w:val="Liste moyenne 2 - Accent 4211"/>
    <w:basedOn w:val="TableauNormal"/>
    <w:next w:val="Listemoyenne2-Accent4"/>
    <w:uiPriority w:val="34"/>
    <w:rsid w:val="000676A1"/>
    <w:pPr>
      <w:spacing w:after="0" w:line="240" w:lineRule="auto"/>
    </w:pPr>
    <w:rPr>
      <w:rFonts w:ascii="Times New Roman" w:eastAsia="Times New Roman" w:hAnsi="Times New Roman" w:cs="Times New Roman"/>
      <w:sz w:val="24"/>
      <w:szCs w:val="24"/>
      <w14:ligatures w14:val="standardContextu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Grille1111">
    <w:name w:val="Grille1111"/>
    <w:basedOn w:val="TableauNormal"/>
    <w:next w:val="Grilledutableau"/>
    <w:uiPriority w:val="3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ouleur-Accent3111">
    <w:name w:val="Liste couleur - Accent 3111"/>
    <w:basedOn w:val="TableauNormal"/>
    <w:next w:val="Listecouleur-Accent3"/>
    <w:uiPriority w:val="29"/>
    <w:rsid w:val="000676A1"/>
    <w:pPr>
      <w:spacing w:after="0" w:line="240" w:lineRule="auto"/>
    </w:pPr>
    <w:rPr>
      <w:rFonts w:ascii="Calibri" w:eastAsia="Times New Roman" w:hAnsi="Calibri" w:cs="Times New Roman"/>
      <w:i/>
      <w:iCs/>
      <w:color w:val="000000"/>
      <w:lang w:val="en-US" w:bidi="en-US"/>
      <w14:ligatures w14:val="standardContextual"/>
    </w:rPr>
    <w:tblPr>
      <w:tblStyleRowBandSize w:val="1"/>
      <w:tblStyleColBandSize w:val="1"/>
    </w:tblPr>
    <w:tcPr>
      <w:shd w:val="clear" w:color="auto" w:fill="F5F8EE"/>
    </w:tcPr>
    <w:tblStylePr w:type="firstRow">
      <w:tblPr/>
      <w:tcPr>
        <w:tcBorders>
          <w:bottom w:val="single" w:sz="12" w:space="0" w:color="FFFFFF"/>
        </w:tcBorders>
        <w:shd w:val="clear" w:color="auto" w:fill="664E8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llecouleur-Accent3111">
    <w:name w:val="Grille couleur - Accent 3111"/>
    <w:basedOn w:val="TableauNormal"/>
    <w:next w:val="Grillecouleur-Accent3"/>
    <w:uiPriority w:val="30"/>
    <w:rsid w:val="000676A1"/>
    <w:pPr>
      <w:spacing w:after="0" w:line="240" w:lineRule="auto"/>
    </w:pPr>
    <w:rPr>
      <w:rFonts w:ascii="Calibri" w:eastAsia="Times New Roman" w:hAnsi="Calibri" w:cs="Times New Roman"/>
      <w:b/>
      <w:bCs/>
      <w:i/>
      <w:iCs/>
      <w:color w:val="4F81BD"/>
      <w:lang w:val="en-US" w:bidi="en-US"/>
      <w14:ligatures w14:val="standardContextual"/>
    </w:rPr>
    <w:tblPr>
      <w:tblStyleRowBandSize w:val="1"/>
      <w:tblStyleColBandSize w:val="1"/>
      <w:tblBorders>
        <w:insideH w:val="single" w:sz="4" w:space="0" w:color="FFFFFF"/>
      </w:tblBorders>
    </w:tblPr>
    <w:tcPr>
      <w:shd w:val="clear" w:color="auto" w:fill="EAF1DD"/>
    </w:tcPr>
    <w:tblStylePr w:type="firstRow">
      <w:tblPr/>
      <w:tcPr>
        <w:shd w:val="clear" w:color="auto" w:fill="D6E3BC"/>
      </w:tcPr>
    </w:tblStylePr>
    <w:tblStylePr w:type="lastRow">
      <w:tblPr/>
      <w:tcPr>
        <w:shd w:val="clear" w:color="auto" w:fill="D6E3BC"/>
      </w:tcPr>
    </w:tblStylePr>
    <w:tblStylePr w:type="firstCol">
      <w:tblPr/>
      <w:tcPr>
        <w:shd w:val="clear" w:color="auto" w:fill="76923C"/>
      </w:tcPr>
    </w:tblStylePr>
    <w:tblStylePr w:type="lastCol">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Ombrageclair2111">
    <w:name w:val="Ombrage clair2111"/>
    <w:basedOn w:val="TableauNormal"/>
    <w:uiPriority w:val="60"/>
    <w:rsid w:val="000676A1"/>
    <w:pPr>
      <w:spacing w:after="0" w:line="240" w:lineRule="auto"/>
    </w:pPr>
    <w:rPr>
      <w:rFonts w:ascii="Calibri" w:eastAsia="Calibri" w:hAnsi="Calibri" w:cs="Times New Roman"/>
      <w:color w:val="000000"/>
      <w:lang w:val="en-US" w:bidi="en-US"/>
      <w14:ligatures w14:val="standardContextu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moyenne1-Accent6311">
    <w:name w:val="Trame moyenne 1 - Accent 6311"/>
    <w:basedOn w:val="TableauNormal"/>
    <w:next w:val="Tramemoyenne1-Accent6"/>
    <w:uiPriority w:val="63"/>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Autospacing="0" w:afterLines="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Autospacing="0" w:afterLines="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steclaire-Accent612311">
    <w:name w:val="Liste claire - Accent 612311"/>
    <w:basedOn w:val="TableauNormal"/>
    <w:next w:val="Listeclaire-Accent6"/>
    <w:uiPriority w:val="61"/>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311">
    <w:name w:val="Liste claire - Accent 6311"/>
    <w:basedOn w:val="TableauNormal"/>
    <w:next w:val="Listeclaire-Accent6"/>
    <w:uiPriority w:val="61"/>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Ombrageclair111">
    <w:name w:val="Ombrage clair111"/>
    <w:basedOn w:val="TableauNormal"/>
    <w:next w:val="Ombrageclair"/>
    <w:uiPriority w:val="60"/>
    <w:rsid w:val="000676A1"/>
    <w:pPr>
      <w:spacing w:after="0" w:line="240" w:lineRule="auto"/>
    </w:pPr>
    <w:rPr>
      <w:rFonts w:ascii="Calibri" w:eastAsia="Calibri" w:hAnsi="Calibri" w:cs="Times New Roman"/>
      <w:color w:val="000000"/>
      <w:sz w:val="20"/>
      <w:szCs w:val="20"/>
      <w:lang w:eastAsia="fr-FR"/>
      <w14:ligatures w14:val="standardContextual"/>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eclaire211">
    <w:name w:val="Liste claire211"/>
    <w:basedOn w:val="TableauNormal"/>
    <w:next w:val="Listeclaire"/>
    <w:uiPriority w:val="61"/>
    <w:rsid w:val="000676A1"/>
    <w:pPr>
      <w:spacing w:after="0" w:line="240" w:lineRule="auto"/>
    </w:pPr>
    <w:rPr>
      <w:rFonts w:ascii="Calibri" w:eastAsia="Calibri" w:hAnsi="Calibri" w:cs="Times New Roman"/>
      <w:sz w:val="20"/>
      <w:szCs w:val="20"/>
      <w:lang w:eastAsia="fr-FR"/>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eclaire-Accent61411">
    <w:name w:val="Liste claire - Accent 61411"/>
    <w:basedOn w:val="TableauNormal"/>
    <w:uiPriority w:val="61"/>
    <w:rsid w:val="000676A1"/>
    <w:pPr>
      <w:spacing w:after="0" w:line="240" w:lineRule="auto"/>
    </w:pPr>
    <w:rPr>
      <w:rFonts w:ascii="Times New Roman" w:eastAsia="Calibri" w:hAnsi="Times New Roman" w:cs="Times New Roman"/>
      <w:sz w:val="24"/>
      <w:szCs w:val="24"/>
      <w:lang w:val="en-US"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lledutableau2411">
    <w:name w:val="Grille du tableau2411"/>
    <w:basedOn w:val="TableauNormal"/>
    <w:uiPriority w:val="59"/>
    <w:rsid w:val="000676A1"/>
    <w:pPr>
      <w:spacing w:after="0" w:line="240" w:lineRule="auto"/>
    </w:pPr>
    <w:rPr>
      <w:rFonts w:ascii="Calibri" w:eastAsia="Times New Roman" w:hAnsi="Calibri" w:cs="Times New Roman"/>
      <w:sz w:val="20"/>
      <w:szCs w:val="20"/>
      <w:lang w:val="wo-SN" w:eastAsia="wo-SN"/>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eclaire-Accent1111">
    <w:name w:val="Liste claire - Accent 1111"/>
    <w:basedOn w:val="TableauNormal"/>
    <w:next w:val="Listeclaire-Accent1"/>
    <w:uiPriority w:val="61"/>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5111">
    <w:name w:val="Liste claire - Accent 5111"/>
    <w:basedOn w:val="TableauNormal"/>
    <w:next w:val="Listeclaire-Accent5"/>
    <w:uiPriority w:val="61"/>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Aucuneliste1411">
    <w:name w:val="Aucune liste1411"/>
    <w:next w:val="Aucuneliste"/>
    <w:uiPriority w:val="99"/>
    <w:semiHidden/>
    <w:unhideWhenUsed/>
    <w:rsid w:val="000676A1"/>
  </w:style>
  <w:style w:type="numbering" w:customStyle="1" w:styleId="Aucuneliste11211">
    <w:name w:val="Aucune liste11211"/>
    <w:next w:val="Aucuneliste"/>
    <w:uiPriority w:val="99"/>
    <w:semiHidden/>
    <w:unhideWhenUsed/>
    <w:rsid w:val="000676A1"/>
  </w:style>
  <w:style w:type="table" w:customStyle="1" w:styleId="mtbs1211">
    <w:name w:val="mtbs1211"/>
    <w:basedOn w:val="TableauNormal"/>
    <w:next w:val="Grilledutableau"/>
    <w:uiPriority w:val="39"/>
    <w:qFormat/>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HDHVTable111">
    <w:name w:val="RHDHV Table111"/>
    <w:basedOn w:val="TableauNormal"/>
    <w:uiPriority w:val="99"/>
    <w:unhideWhenUsed/>
    <w:rsid w:val="000676A1"/>
    <w:pPr>
      <w:spacing w:after="0" w:line="271" w:lineRule="auto"/>
    </w:pPr>
    <w:rPr>
      <w:rFonts w:ascii="Calibri" w:eastAsia="Times New Roman" w:hAnsi="Calibri" w:cs="Times New Roman"/>
      <w:color w:val="000000"/>
      <w:sz w:val="24"/>
      <w:szCs w:val="24"/>
      <w:lang w:val="en-GB" w:eastAsia="en-GB"/>
      <w14:ligatures w14:val="standardContextual"/>
    </w:rPr>
    <w:tblPr>
      <w:tblBorders>
        <w:insideH w:val="single" w:sz="8" w:space="0" w:color="FFFFFF"/>
        <w:insideV w:val="single" w:sz="8" w:space="0" w:color="FFFFFF"/>
      </w:tblBorders>
      <w:tblCellMar>
        <w:top w:w="57" w:type="dxa"/>
        <w:left w:w="0" w:type="dxa"/>
        <w:bottom w:w="57" w:type="dxa"/>
        <w:right w:w="0" w:type="dxa"/>
      </w:tblCellMar>
    </w:tblPr>
    <w:tcPr>
      <w:shd w:val="clear" w:color="auto" w:fill="D9E2F3"/>
      <w:vAlign w:val="center"/>
    </w:tcPr>
    <w:tblStylePr w:type="firstRow">
      <w:rPr>
        <w:b/>
      </w:rPr>
      <w:tblPr/>
      <w:tcPr>
        <w:tcBorders>
          <w:top w:val="nil"/>
          <w:left w:val="nil"/>
          <w:bottom w:val="nil"/>
          <w:right w:val="nil"/>
          <w:insideH w:val="nil"/>
          <w:insideV w:val="single" w:sz="8" w:space="0" w:color="FFFFFF"/>
          <w:tl2br w:val="nil"/>
          <w:tr2bl w:val="nil"/>
        </w:tcBorders>
        <w:shd w:val="clear" w:color="auto" w:fill="4472C4"/>
      </w:tcPr>
    </w:tblStylePr>
    <w:tblStylePr w:type="lastRow">
      <w:tblPr/>
      <w:tcPr>
        <w:tcBorders>
          <w:top w:val="nil"/>
          <w:left w:val="nil"/>
          <w:bottom w:val="nil"/>
          <w:right w:val="nil"/>
          <w:insideH w:val="nil"/>
          <w:insideV w:val="single" w:sz="8" w:space="0" w:color="FFFFFF"/>
          <w:tl2br w:val="nil"/>
          <w:tr2bl w:val="nil"/>
        </w:tcBorders>
        <w:shd w:val="clear" w:color="auto" w:fill="B4C6E7"/>
      </w:tcPr>
    </w:tblStylePr>
    <w:tblStylePr w:type="swCell">
      <w:tblPr/>
      <w:tcPr>
        <w:tcBorders>
          <w:top w:val="nil"/>
          <w:left w:val="nil"/>
          <w:bottom w:val="nil"/>
          <w:right w:val="nil"/>
          <w:insideH w:val="nil"/>
          <w:insideV w:val="nil"/>
          <w:tl2br w:val="nil"/>
          <w:tr2bl w:val="nil"/>
        </w:tcBorders>
        <w:shd w:val="clear" w:color="auto" w:fill="FFFFFF"/>
      </w:tcPr>
    </w:tblStylePr>
  </w:style>
  <w:style w:type="table" w:customStyle="1" w:styleId="RHDHVTableNormal111">
    <w:name w:val="RHDHV Table Normal111"/>
    <w:basedOn w:val="TableauNormal"/>
    <w:uiPriority w:val="99"/>
    <w:unhideWhenUsed/>
    <w:rsid w:val="000676A1"/>
    <w:pPr>
      <w:spacing w:after="0" w:line="271" w:lineRule="auto"/>
    </w:pPr>
    <w:rPr>
      <w:rFonts w:ascii="Calibri" w:eastAsia="Times New Roman" w:hAnsi="Calibri" w:cs="Times New Roman"/>
      <w:color w:val="000000"/>
      <w:sz w:val="24"/>
      <w:szCs w:val="24"/>
      <w:lang w:val="en-GB" w:eastAsia="en-GB"/>
      <w14:ligatures w14:val="standardContextual"/>
    </w:rPr>
    <w:tblPr>
      <w:tblCellMar>
        <w:top w:w="57" w:type="dxa"/>
        <w:left w:w="0" w:type="dxa"/>
        <w:bottom w:w="57" w:type="dxa"/>
        <w:right w:w="0" w:type="dxa"/>
      </w:tblCellMar>
    </w:tblPr>
    <w:tcPr>
      <w:vAlign w:val="center"/>
    </w:tcPr>
  </w:style>
  <w:style w:type="table" w:customStyle="1" w:styleId="TableauGrille21211">
    <w:name w:val="Tableau Grille 21211"/>
    <w:basedOn w:val="TableauNormal"/>
    <w:uiPriority w:val="47"/>
    <w:rsid w:val="000676A1"/>
    <w:pPr>
      <w:spacing w:after="0" w:line="240" w:lineRule="auto"/>
    </w:pPr>
    <w:rPr>
      <w:rFonts w:ascii="Calibri" w:eastAsia="Times New Roman" w:hAnsi="Calibri" w:cs="Times New Roman"/>
      <w:sz w:val="24"/>
      <w:szCs w:val="24"/>
      <w:lang w:eastAsia="fr-FR"/>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lledutableau21211">
    <w:name w:val="Grille du tableau21211"/>
    <w:basedOn w:val="TableauNormal"/>
    <w:next w:val="Grilledutableau"/>
    <w:uiPriority w:val="59"/>
    <w:rsid w:val="000676A1"/>
    <w:pPr>
      <w:spacing w:after="0" w:line="240" w:lineRule="auto"/>
    </w:pPr>
    <w:rPr>
      <w:rFonts w:ascii="Calibri" w:eastAsia="Times New Roman" w:hAnsi="Calibri" w:cs="Times New Roman"/>
      <w:lang w:val="wo-SN" w:eastAsia="wo-SN"/>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eclaire-Accent611211">
    <w:name w:val="Liste claire - Accent 611211"/>
    <w:basedOn w:val="TableauNormal"/>
    <w:next w:val="Listeclaire-Accent6"/>
    <w:uiPriority w:val="61"/>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1211">
    <w:name w:val="Liste claire1211"/>
    <w:basedOn w:val="TableauNormal"/>
    <w:next w:val="Listeclaire"/>
    <w:uiPriority w:val="61"/>
    <w:rsid w:val="000676A1"/>
    <w:pPr>
      <w:spacing w:after="0" w:line="240" w:lineRule="auto"/>
    </w:pPr>
    <w:rPr>
      <w:rFonts w:ascii="Calibri" w:eastAsia="Calibri" w:hAnsi="Calibri" w:cs="Times New Roman"/>
      <w:lang w:val="fr-CA"/>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Aucuneliste111211">
    <w:name w:val="Aucune liste111211"/>
    <w:next w:val="Aucuneliste"/>
    <w:uiPriority w:val="99"/>
    <w:semiHidden/>
    <w:unhideWhenUsed/>
    <w:rsid w:val="000676A1"/>
  </w:style>
  <w:style w:type="table" w:customStyle="1" w:styleId="Grilledutableau3211">
    <w:name w:val="Grille du tableau3211"/>
    <w:basedOn w:val="TableauNormal"/>
    <w:next w:val="Grilledutableau"/>
    <w:uiPriority w:val="59"/>
    <w:rsid w:val="000676A1"/>
    <w:pPr>
      <w:spacing w:after="0" w:line="240" w:lineRule="auto"/>
    </w:pPr>
    <w:rPr>
      <w:rFonts w:ascii="Calibri" w:eastAsia="Calibri" w:hAnsi="Calibri" w:cs="Times New Roman"/>
      <w:sz w:val="20"/>
      <w:szCs w:val="20"/>
      <w:lang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1">
    <w:name w:val="Grille du tableau4211"/>
    <w:basedOn w:val="TableauNormal"/>
    <w:next w:val="Grilledutableau"/>
    <w:uiPriority w:val="59"/>
    <w:rsid w:val="000676A1"/>
    <w:pPr>
      <w:spacing w:after="0" w:line="240" w:lineRule="auto"/>
    </w:pPr>
    <w:rPr>
      <w:rFonts w:ascii="Calibri" w:eastAsia="Calibri" w:hAnsi="Calibri" w:cs="Times New Roman"/>
      <w:lang w:val="fr-C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6121211">
    <w:name w:val="Liste claire - Accent 6121211"/>
    <w:basedOn w:val="TableauNormal"/>
    <w:uiPriority w:val="61"/>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lledutableau5211">
    <w:name w:val="Grille du tableau521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1">
    <w:name w:val="Grille du tableau621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1">
    <w:name w:val="Grille du tableau731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111">
    <w:name w:val="Grille du tableau811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111">
    <w:name w:val="Grille du tableau911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1">
    <w:name w:val="Aucune liste2211"/>
    <w:next w:val="Aucuneliste"/>
    <w:uiPriority w:val="99"/>
    <w:semiHidden/>
    <w:unhideWhenUsed/>
    <w:rsid w:val="000676A1"/>
  </w:style>
  <w:style w:type="table" w:customStyle="1" w:styleId="Colonnesdetableau3111">
    <w:name w:val="Colonnes de tableau 3111"/>
    <w:basedOn w:val="TableauNormal"/>
    <w:next w:val="Colonnesdetableau3"/>
    <w:semiHidden/>
    <w:unhideWhenUsed/>
    <w:rsid w:val="000676A1"/>
    <w:pPr>
      <w:spacing w:after="0" w:line="240" w:lineRule="auto"/>
    </w:pPr>
    <w:rPr>
      <w:rFonts w:ascii="Cambria" w:eastAsia="Cambria" w:hAnsi="Cambria" w:cs="Times New Roman"/>
      <w:b/>
      <w:bCs/>
      <w:sz w:val="20"/>
      <w:szCs w:val="20"/>
      <w:lang w:eastAsia="fr-FR"/>
      <w14:ligatures w14:val="standardContextua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Grilledetableau1111">
    <w:name w:val="Grille de tableau 1111"/>
    <w:basedOn w:val="TableauNormal"/>
    <w:next w:val="Grilledetableau1"/>
    <w:semiHidden/>
    <w:unhideWhenUsed/>
    <w:rsid w:val="000676A1"/>
    <w:pPr>
      <w:spacing w:after="0" w:line="240" w:lineRule="auto"/>
    </w:pPr>
    <w:rPr>
      <w:rFonts w:ascii="Calibri" w:eastAsia="Calibri" w:hAnsi="Calibri" w:cs="Times New Roman"/>
      <w:sz w:val="20"/>
      <w:szCs w:val="20"/>
      <w:lang w:eastAsia="fr-FR"/>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auliste7111">
    <w:name w:val="Tableau liste 7111"/>
    <w:basedOn w:val="TableauNormal"/>
    <w:next w:val="Tableauliste7"/>
    <w:semiHidden/>
    <w:unhideWhenUsed/>
    <w:rsid w:val="000676A1"/>
    <w:pPr>
      <w:spacing w:after="0" w:line="240" w:lineRule="auto"/>
    </w:pPr>
    <w:rPr>
      <w:rFonts w:ascii="Times New Roman" w:eastAsia="Times New Roman" w:hAnsi="Times New Roman" w:cs="Times New Roman"/>
      <w:sz w:val="20"/>
      <w:szCs w:val="20"/>
      <w:lang w:eastAsia="fr-FR"/>
      <w14:ligatures w14:val="standardContextu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auNormal"/>
    <w:next w:val="Tableauliste8"/>
    <w:semiHidden/>
    <w:unhideWhenUsed/>
    <w:rsid w:val="000676A1"/>
    <w:pPr>
      <w:spacing w:after="0" w:line="240" w:lineRule="auto"/>
    </w:pPr>
    <w:rPr>
      <w:rFonts w:ascii="Times New Roman" w:eastAsia="Times New Roman" w:hAnsi="Times New Roman" w:cs="Times New Roman"/>
      <w:sz w:val="20"/>
      <w:szCs w:val="20"/>
      <w:lang w:eastAsia="fr-FR"/>
      <w14:ligatures w14:val="standardContextu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web2111">
    <w:name w:val="Tableau web 2111"/>
    <w:basedOn w:val="TableauNormal"/>
    <w:next w:val="Tableauweb2"/>
    <w:semiHidden/>
    <w:unhideWhenUsed/>
    <w:rsid w:val="000676A1"/>
    <w:pPr>
      <w:spacing w:after="0" w:line="240" w:lineRule="auto"/>
    </w:pPr>
    <w:rPr>
      <w:rFonts w:ascii="Times New Roman" w:eastAsia="Times New Roman" w:hAnsi="Times New Roman" w:cs="Times New Roman"/>
      <w:sz w:val="20"/>
      <w:szCs w:val="20"/>
      <w:lang w:eastAsia="fr-FR"/>
      <w14:ligatures w14:val="standardContextu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Grilledutableau10111">
    <w:name w:val="Grille du tableau10111"/>
    <w:basedOn w:val="TableauNormal"/>
    <w:next w:val="Grilledutableau"/>
    <w:uiPriority w:val="59"/>
    <w:rsid w:val="000676A1"/>
    <w:pPr>
      <w:spacing w:after="0" w:line="240" w:lineRule="auto"/>
    </w:pPr>
    <w:rPr>
      <w:rFonts w:ascii="Times New Roman" w:eastAsia="Times New Roman" w:hAnsi="Times New Roman" w:cs="Times New Roman"/>
      <w:sz w:val="20"/>
      <w:szCs w:val="20"/>
      <w:lang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fonce-Accent2111">
    <w:name w:val="Liste foncée - Accent 2111"/>
    <w:basedOn w:val="TableauNormal"/>
    <w:next w:val="Listefonce-Accent2"/>
    <w:uiPriority w:val="61"/>
    <w:unhideWhenUsed/>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steclaire-Accent62211">
    <w:name w:val="Liste claire - Accent 62211"/>
    <w:basedOn w:val="TableauNormal"/>
    <w:next w:val="Listeclaire-Accent6"/>
    <w:uiPriority w:val="61"/>
    <w:unhideWhenUsed/>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Tramemoyenne1-Accent61111">
    <w:name w:val="Trame moyenne 1 - Accent 61111"/>
    <w:basedOn w:val="TableauNormal"/>
    <w:next w:val="Tramemoyenne1-Accent6"/>
    <w:uiPriority w:val="63"/>
    <w:semiHidden/>
    <w:unhideWhenUsed/>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auNorm111">
    <w:name w:val="Tableau Norm111"/>
    <w:semiHidden/>
    <w:rsid w:val="000676A1"/>
    <w:pPr>
      <w:spacing w:after="0" w:line="240" w:lineRule="auto"/>
    </w:pPr>
    <w:rPr>
      <w:rFonts w:ascii="Calibri" w:eastAsia="Times New Roman" w:hAnsi="Calibri" w:cs="Times New Roman"/>
      <w:sz w:val="20"/>
      <w:szCs w:val="20"/>
      <w:lang w:bidi="fr-FR"/>
      <w14:ligatures w14:val="standardContextual"/>
    </w:rPr>
    <w:tblPr>
      <w:tblCellMar>
        <w:top w:w="0" w:type="dxa"/>
        <w:left w:w="108" w:type="dxa"/>
        <w:bottom w:w="0" w:type="dxa"/>
        <w:right w:w="108" w:type="dxa"/>
      </w:tblCellMar>
    </w:tblPr>
  </w:style>
  <w:style w:type="table" w:customStyle="1" w:styleId="Grilledutableau22111">
    <w:name w:val="Grille du tableau22111"/>
    <w:basedOn w:val="TableauNormal"/>
    <w:uiPriority w:val="59"/>
    <w:rsid w:val="000676A1"/>
    <w:pPr>
      <w:spacing w:after="0" w:line="240" w:lineRule="auto"/>
    </w:pPr>
    <w:rPr>
      <w:rFonts w:ascii="Calibri" w:eastAsia="Times New Roman" w:hAnsi="Calibri" w:cs="Times New Roman"/>
      <w:lang w:val="wo-SN" w:eastAsia="wo-SN"/>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71111">
    <w:name w:val="Grille du tableau71111"/>
    <w:basedOn w:val="TableauNormal"/>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moyenne1-Accent62111">
    <w:name w:val="Trame moyenne 1 - Accent 62111"/>
    <w:basedOn w:val="TableauNormal"/>
    <w:next w:val="Tramemoyenne1-Accent6"/>
    <w:uiPriority w:val="63"/>
    <w:semiHidden/>
    <w:unhideWhenUsed/>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Grilledutableau111111">
    <w:name w:val="Grille du tableau111111"/>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1">
    <w:name w:val="Grille du tableau12111"/>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111">
    <w:name w:val="Grille du tableau13111"/>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11">
    <w:name w:val="Grille du tableau14111"/>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111">
    <w:name w:val="Grille du tableau15111"/>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111">
    <w:name w:val="Grille du tableau16111"/>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211">
    <w:name w:val="Grille du tableau17211"/>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8111">
    <w:name w:val="Grille du tableau18111"/>
    <w:basedOn w:val="TableauNormal"/>
    <w:next w:val="Grilledutableau"/>
    <w:uiPriority w:val="59"/>
    <w:rsid w:val="000676A1"/>
    <w:pPr>
      <w:spacing w:after="0" w:line="240" w:lineRule="auto"/>
    </w:pPr>
    <w:rPr>
      <w:rFonts w:ascii="Calibri" w:eastAsia="Times New Roman"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tbs11111">
    <w:name w:val="mtbs11111"/>
    <w:basedOn w:val="TableauNormal"/>
    <w:next w:val="Grilledutableau"/>
    <w:uiPriority w:val="39"/>
    <w:qFormat/>
    <w:rsid w:val="000676A1"/>
    <w:pPr>
      <w:spacing w:after="0" w:line="240" w:lineRule="auto"/>
    </w:pPr>
    <w:rPr>
      <w:rFonts w:ascii="Calibri" w:eastAsia="MS Mincho" w:hAnsi="Calibri" w:cs="Times New Roman"/>
      <w:sz w:val="24"/>
      <w:szCs w:val="24"/>
      <w:lang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Grid1111"/>
    <w:rsid w:val="000676A1"/>
    <w:pPr>
      <w:spacing w:after="0" w:line="240" w:lineRule="auto"/>
    </w:pPr>
    <w:rPr>
      <w:rFonts w:ascii="Calibri" w:eastAsia="Times New Roman" w:hAnsi="Calibri" w:cs="Times New Roman"/>
      <w:lang w:val="fr-SN" w:eastAsia="fr-SN"/>
      <w14:ligatures w14:val="standardContextual"/>
    </w:rPr>
    <w:tblPr>
      <w:tblCellMar>
        <w:top w:w="0" w:type="dxa"/>
        <w:left w:w="0" w:type="dxa"/>
        <w:bottom w:w="0" w:type="dxa"/>
        <w:right w:w="0" w:type="dxa"/>
      </w:tblCellMar>
    </w:tblPr>
  </w:style>
  <w:style w:type="table" w:customStyle="1" w:styleId="TableauGrille1Clair-Accentuation11211">
    <w:name w:val="Tableau Grille 1 Clair - Accentuation 11211"/>
    <w:basedOn w:val="TableauNormal"/>
    <w:uiPriority w:val="46"/>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eauGrille4-Accentuation11211">
    <w:name w:val="Tableau Grille 4 - Accentuation 11211"/>
    <w:basedOn w:val="TableauNormal"/>
    <w:uiPriority w:val="49"/>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simple11211">
    <w:name w:val="Tableau simple 11211"/>
    <w:basedOn w:val="TableauNormal"/>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Grille41211">
    <w:name w:val="Tableau Grille 41211"/>
    <w:basedOn w:val="TableauNormal"/>
    <w:uiPriority w:val="49"/>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2211">
    <w:name w:val="Tableau Grille 2211"/>
    <w:basedOn w:val="TableauNormal"/>
    <w:next w:val="TableauGrille2"/>
    <w:rsid w:val="000676A1"/>
    <w:pPr>
      <w:spacing w:after="0" w:line="240" w:lineRule="auto"/>
    </w:pPr>
    <w:rPr>
      <w:rFonts w:ascii="Times New Roman" w:eastAsia="SimSun" w:hAnsi="Times New Roman" w:cs="Times New Roman"/>
      <w:sz w:val="20"/>
      <w:szCs w:val="20"/>
      <w:lang w:eastAsia="fr-FR"/>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1Clair-Accentuation12111">
    <w:name w:val="Tableau Grille 1 Clair - Accentuation 12111"/>
    <w:basedOn w:val="TableauNormal"/>
    <w:uiPriority w:val="46"/>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auGrille4-Accentuation12111">
    <w:name w:val="Tableau Grille 4 - Accentuation 12111"/>
    <w:basedOn w:val="TableauNormal"/>
    <w:uiPriority w:val="49"/>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ausimple12111">
    <w:name w:val="Tableau simple 12111"/>
    <w:basedOn w:val="TableauNormal"/>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Grille42111">
    <w:name w:val="Tableau Grille 42111"/>
    <w:basedOn w:val="TableauNormal"/>
    <w:uiPriority w:val="49"/>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1Clair2111">
    <w:name w:val="Tableau Grille 1 Clair2111"/>
    <w:basedOn w:val="TableauNormal"/>
    <w:rsid w:val="000676A1"/>
    <w:pPr>
      <w:spacing w:after="0" w:line="240" w:lineRule="auto"/>
    </w:pPr>
    <w:rPr>
      <w:rFonts w:ascii="Times New Roman" w:eastAsia="SimSun" w:hAnsi="Times New Roman" w:cs="Times New Roman"/>
      <w:sz w:val="24"/>
      <w:szCs w:val="24"/>
      <w:lang w:eastAsia="fr-FR"/>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llemoyenne1-Accent4111">
    <w:name w:val="Grille moyenne 1 - Accent 4111"/>
    <w:basedOn w:val="TableauNormal"/>
    <w:next w:val="Grillemoyenne1-Accent4"/>
    <w:uiPriority w:val="29"/>
    <w:rsid w:val="000676A1"/>
    <w:pPr>
      <w:spacing w:after="0" w:line="240" w:lineRule="auto"/>
    </w:pPr>
    <w:rPr>
      <w:rFonts w:ascii="Calibri" w:eastAsia="Times New Roman" w:hAnsi="Calibri" w:cs="Times New Roman"/>
      <w:i/>
      <w:iCs/>
      <w:color w:val="000000"/>
      <w:lang w:val="en-US" w:bidi="en-US"/>
      <w14:ligatures w14:val="standardContextu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lastRow">
      <w:tblPr/>
      <w:tcPr>
        <w:tcBorders>
          <w:top w:val="single" w:sz="18" w:space="0" w:color="9F8AB9"/>
        </w:tcBorders>
      </w:tcPr>
    </w:tblStylePr>
    <w:tblStylePr w:type="band1Vert">
      <w:tblPr/>
      <w:tcPr>
        <w:shd w:val="clear" w:color="auto" w:fill="BFB1D0"/>
      </w:tcPr>
    </w:tblStylePr>
    <w:tblStylePr w:type="band1Horz">
      <w:tblPr/>
      <w:tcPr>
        <w:shd w:val="clear" w:color="auto" w:fill="BFB1D0"/>
      </w:tcPr>
    </w:tblStylePr>
  </w:style>
  <w:style w:type="table" w:customStyle="1" w:styleId="Grillemoyenne2-Accent4111">
    <w:name w:val="Grille moyenne 2 - Accent 4111"/>
    <w:basedOn w:val="TableauNormal"/>
    <w:next w:val="Grillemoyenne2-Accent4"/>
    <w:uiPriority w:val="30"/>
    <w:rsid w:val="000676A1"/>
    <w:pPr>
      <w:spacing w:after="0" w:line="240" w:lineRule="auto"/>
    </w:pPr>
    <w:rPr>
      <w:rFonts w:ascii="Calibri" w:eastAsia="Times New Roman" w:hAnsi="Calibri" w:cs="Times New Roman"/>
      <w:b/>
      <w:bCs/>
      <w:i/>
      <w:iCs/>
      <w:color w:val="4F81BD"/>
      <w:lang w:val="en-US" w:bidi="en-US"/>
      <w14:ligatures w14:val="standardContextu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tblPr/>
      <w:tcPr>
        <w:shd w:val="clear" w:color="auto" w:fill="F2EFF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insuco3111">
    <w:name w:val="insuco3111"/>
    <w:basedOn w:val="Grilledutableau"/>
    <w:next w:val="Grillemoyenne2-Accent6"/>
    <w:uiPriority w:val="60"/>
    <w:rsid w:val="000676A1"/>
    <w:rPr>
      <w:rFonts w:ascii="Arial" w:hAnsi="Arial"/>
      <w:sz w:val="16"/>
      <w:szCs w:val="22"/>
      <w:lang w:val="fr-FR"/>
      <w14:ligatures w14:val="standardContextual"/>
    </w:rPr>
    <w:tblPr>
      <w:tblStyleRowBandSize w:val="1"/>
      <w:tblStyleColBandSize w:val="1"/>
      <w:tblBorders>
        <w:top w:val="single" w:sz="18" w:space="0" w:color="14726E"/>
        <w:left w:val="none" w:sz="0" w:space="0" w:color="auto"/>
        <w:bottom w:val="single" w:sz="18" w:space="0" w:color="14726E"/>
        <w:right w:val="none" w:sz="0" w:space="0" w:color="auto"/>
        <w:insideH w:val="none" w:sz="0" w:space="0" w:color="auto"/>
        <w:insideV w:val="none" w:sz="0" w:space="0" w:color="auto"/>
      </w:tblBorders>
    </w:tblPr>
    <w:tcPr>
      <w:vAlign w:val="center"/>
    </w:tcPr>
    <w:tblStylePr w:type="firstRow">
      <w:pPr>
        <w:wordWrap/>
        <w:spacing w:before="0" w:beforeAutospacing="0" w:afterLines="0" w:afterAutospacing="0" w:line="240" w:lineRule="auto"/>
      </w:pPr>
      <w:rPr>
        <w:b/>
        <w:bCs/>
      </w:rPr>
      <w:tblPr/>
      <w:tcPr>
        <w:tcBorders>
          <w:top w:val="single" w:sz="12" w:space="0" w:color="14726E"/>
          <w:left w:val="nil"/>
          <w:bottom w:val="single" w:sz="12" w:space="0" w:color="14726E"/>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ausimple4211">
    <w:name w:val="Tableau simple 4211"/>
    <w:basedOn w:val="TableauNormal"/>
    <w:next w:val="Tableausimple4"/>
    <w:uiPriority w:val="21"/>
    <w:qFormat/>
    <w:rsid w:val="000676A1"/>
    <w:pPr>
      <w:spacing w:after="0" w:line="240" w:lineRule="auto"/>
    </w:pPr>
    <w:rPr>
      <w:rFonts w:ascii="Cambria" w:eastAsia="Cambria" w:hAnsi="Cambria" w:cs="Times New Roman"/>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S Mincho" w:eastAsia="Batang" w:hAnsi="MS Mincho"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S Mincho" w:eastAsia="Batang" w:hAnsi="MS Mincho"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S Mincho" w:eastAsia="Batang" w:hAnsi="MS Mincho" w:cs="Times New Roman"/>
        <w:b/>
        <w:bCs/>
      </w:rPr>
    </w:tblStylePr>
    <w:tblStylePr w:type="lastCol">
      <w:rPr>
        <w:rFonts w:ascii="MS Mincho" w:eastAsia="Batang" w:hAnsi="MS Mincho"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Normal211">
    <w:name w:val="Table Normal211"/>
    <w:uiPriority w:val="2"/>
    <w:semiHidden/>
    <w:unhideWhenUsed/>
    <w:qFormat/>
    <w:rsid w:val="000676A1"/>
    <w:pPr>
      <w:widowControl w:val="0"/>
      <w:autoSpaceDE w:val="0"/>
      <w:autoSpaceDN w:val="0"/>
      <w:spacing w:after="0" w:line="240" w:lineRule="auto"/>
    </w:pPr>
    <w:rPr>
      <w:rFonts w:ascii="Cambria" w:eastAsia="Cambria" w:hAnsi="Cambria" w:cs="Times New Roman"/>
      <w:lang w:val="en-US"/>
      <w14:ligatures w14:val="standardContextual"/>
    </w:rPr>
    <w:tblPr>
      <w:tblInd w:w="0" w:type="dxa"/>
      <w:tblCellMar>
        <w:top w:w="0" w:type="dxa"/>
        <w:left w:w="0" w:type="dxa"/>
        <w:bottom w:w="0" w:type="dxa"/>
        <w:right w:w="0" w:type="dxa"/>
      </w:tblCellMar>
    </w:tblPr>
  </w:style>
  <w:style w:type="table" w:customStyle="1" w:styleId="Tableausimple3211">
    <w:name w:val="Tableau simple 3211"/>
    <w:basedOn w:val="TableauNormal"/>
    <w:next w:val="Tableausimple3"/>
    <w:uiPriority w:val="61"/>
    <w:qFormat/>
    <w:rsid w:val="000676A1"/>
    <w:pPr>
      <w:spacing w:after="0" w:line="240" w:lineRule="auto"/>
    </w:pPr>
    <w:rPr>
      <w:rFonts w:ascii="Cambria" w:eastAsia="Cambria" w:hAnsi="Cambria" w:cs="Times New Roman"/>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ausimple5211">
    <w:name w:val="Tableau simple 5211"/>
    <w:basedOn w:val="TableauNormal"/>
    <w:next w:val="Tableausimple5"/>
    <w:uiPriority w:val="63"/>
    <w:qFormat/>
    <w:rsid w:val="000676A1"/>
    <w:pPr>
      <w:spacing w:after="0" w:line="240" w:lineRule="auto"/>
    </w:pPr>
    <w:rPr>
      <w:rFonts w:ascii="Cambria" w:eastAsia="Cambria" w:hAnsi="Cambria" w:cs="Times New Roman"/>
      <w14:ligatures w14:val="standardContextua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Bibliographie1111">
    <w:name w:val="Bibliographie1111"/>
    <w:basedOn w:val="TableauNormal"/>
    <w:uiPriority w:val="61"/>
    <w:rsid w:val="000676A1"/>
    <w:pPr>
      <w:spacing w:after="0" w:line="240" w:lineRule="auto"/>
    </w:pPr>
    <w:rPr>
      <w:rFonts w:ascii="Cambria" w:eastAsia="Cambria" w:hAnsi="Cambria" w:cs="Times New Roman"/>
      <w:lang w:val="fr-CA"/>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moyenne1-Accent2111">
    <w:name w:val="Liste moyenne 1 - Accent 2111"/>
    <w:basedOn w:val="TableauNormal"/>
    <w:next w:val="Listemoyenne1-Accent2"/>
    <w:uiPriority w:val="61"/>
    <w:rsid w:val="000676A1"/>
    <w:pPr>
      <w:spacing w:after="0" w:line="240" w:lineRule="auto"/>
    </w:pPr>
    <w:rPr>
      <w:rFonts w:ascii="Cambria" w:eastAsia="Cambria" w:hAnsi="Cambria" w:cs="Times New Roman"/>
      <w:lang w:val="fr-CA"/>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Grille2111">
    <w:name w:val="Grille2111"/>
    <w:basedOn w:val="TableauNormal"/>
    <w:next w:val="Grilledutableau"/>
    <w:uiPriority w:val="3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3111">
    <w:name w:val="Grille3111"/>
    <w:basedOn w:val="TableauNormal"/>
    <w:next w:val="Grilledutableau"/>
    <w:uiPriority w:val="3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4-Accentuation6111">
    <w:name w:val="Tableau Grille 4 - Accentuation 6111"/>
    <w:basedOn w:val="TableauNormal"/>
    <w:next w:val="TableauGrille4-Accentuation6"/>
    <w:uiPriority w:val="49"/>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ramecouleur-Accent3211">
    <w:name w:val="Trame couleur - Accent 3211"/>
    <w:basedOn w:val="TableauNormal"/>
    <w:next w:val="Tramecouleur-Accent3"/>
    <w:unhideWhenUsed/>
    <w:rsid w:val="000676A1"/>
    <w:pPr>
      <w:spacing w:after="0" w:line="240" w:lineRule="auto"/>
    </w:pPr>
    <w:rPr>
      <w:rFonts w:ascii="Calibri" w:eastAsia="Calibri" w:hAnsi="Calibri" w:cs="Times New Roman"/>
      <w:sz w:val="24"/>
      <w:szCs w:val="24"/>
      <w14:ligatures w14:val="standardContextual"/>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Tramemoyenne1-Accent2111">
    <w:name w:val="Trame moyenne 1 - Accent 2111"/>
    <w:basedOn w:val="TableauNormal"/>
    <w:next w:val="Tramemoyenne1-Accent2"/>
    <w:uiPriority w:val="1"/>
    <w:unhideWhenUsed/>
    <w:rsid w:val="000676A1"/>
    <w:pPr>
      <w:spacing w:after="0" w:line="240" w:lineRule="auto"/>
    </w:pPr>
    <w:rPr>
      <w:rFonts w:ascii="Times New Roman" w:eastAsia="Times New Roman" w:hAnsi="Times New Roman" w:cs="Times New Roman"/>
      <w:sz w:val="24"/>
      <w:szCs w:val="24"/>
      <w:lang w:val="en-US"/>
      <w14:ligatures w14:val="standardContextual"/>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TableauGrille1Clair-Accentuation1411">
    <w:name w:val="Tableau Grille 1 Clair - Accentuation 1411"/>
    <w:basedOn w:val="TableauNormal"/>
    <w:next w:val="TableauGrille1Clair-Accentuation1"/>
    <w:uiPriority w:val="46"/>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llemoyenne1-Accent2511">
    <w:name w:val="Grille moyenne 1 - Accent 2511"/>
    <w:basedOn w:val="TableauNormal"/>
    <w:next w:val="Grillemoyenne1-Accent2"/>
    <w:uiPriority w:val="34"/>
    <w:rsid w:val="000676A1"/>
    <w:pPr>
      <w:spacing w:after="0" w:line="240" w:lineRule="auto"/>
    </w:pPr>
    <w:rPr>
      <w:rFonts w:ascii="Calibri" w:eastAsia="Calibri" w:hAnsi="Calibri" w:cs="Times New Roman"/>
      <w:lang w:val="fr-SN"/>
      <w14:ligatures w14:val="standardContextu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Grillemoyenne21211">
    <w:name w:val="Grille moyenne 21211"/>
    <w:basedOn w:val="TableauNormal"/>
    <w:uiPriority w:val="1"/>
    <w:rsid w:val="000676A1"/>
    <w:pPr>
      <w:spacing w:after="0" w:line="240" w:lineRule="auto"/>
    </w:pPr>
    <w:rPr>
      <w:rFonts w:ascii="Arial (W1)" w:eastAsia="Calibri" w:hAnsi="Arial (W1)" w:cs="Arial"/>
      <w:lang w:val="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stefonce-Accent5211">
    <w:name w:val="Liste foncée - Accent 5211"/>
    <w:basedOn w:val="TableauNormal"/>
    <w:next w:val="Listefonce-Accent5"/>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stefonce-Accent6211">
    <w:name w:val="Liste foncée - Accent 6211"/>
    <w:basedOn w:val="TableauNormal"/>
    <w:next w:val="Listefonce-Accent6"/>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lleclaire-Accent11211">
    <w:name w:val="Grille claire - Accent 11211"/>
    <w:basedOn w:val="TableauNormal"/>
    <w:uiPriority w:val="62"/>
    <w:rsid w:val="000676A1"/>
    <w:pPr>
      <w:spacing w:after="0" w:line="240" w:lineRule="auto"/>
    </w:pPr>
    <w:rPr>
      <w:rFonts w:ascii="Calibri" w:eastAsia="Calibri" w:hAnsi="Calibri" w:cs="Times New Roman"/>
      <w:sz w:val="20"/>
      <w:szCs w:val="20"/>
      <w:lang w:val="fr-SN" w:eastAsia="fr-F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Latha" w:eastAsia="Times New Roman" w:hAnsi="Lath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Latha" w:eastAsia="Times New Roman" w:hAnsi="Lath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atha" w:eastAsia="Times New Roman" w:hAnsi="Latha" w:cs="Times New Roman"/>
        <w:b/>
        <w:bCs/>
      </w:rPr>
    </w:tblStylePr>
    <w:tblStylePr w:type="lastCol">
      <w:rPr>
        <w:rFonts w:ascii="Latha" w:eastAsia="Times New Roman" w:hAnsi="Lath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Aucuneliste3211">
    <w:name w:val="Aucune liste3211"/>
    <w:next w:val="Aucuneliste"/>
    <w:uiPriority w:val="99"/>
    <w:semiHidden/>
    <w:unhideWhenUsed/>
    <w:rsid w:val="000676A1"/>
  </w:style>
  <w:style w:type="numbering" w:customStyle="1" w:styleId="Aucuneliste4211">
    <w:name w:val="Aucune liste4211"/>
    <w:next w:val="Aucuneliste"/>
    <w:uiPriority w:val="99"/>
    <w:semiHidden/>
    <w:unhideWhenUsed/>
    <w:rsid w:val="000676A1"/>
  </w:style>
  <w:style w:type="numbering" w:customStyle="1" w:styleId="Aucuneliste5211">
    <w:name w:val="Aucune liste5211"/>
    <w:next w:val="Aucuneliste"/>
    <w:uiPriority w:val="99"/>
    <w:semiHidden/>
    <w:unhideWhenUsed/>
    <w:rsid w:val="000676A1"/>
  </w:style>
  <w:style w:type="numbering" w:customStyle="1" w:styleId="Aucuneliste6211">
    <w:name w:val="Aucune liste6211"/>
    <w:next w:val="Aucuneliste"/>
    <w:uiPriority w:val="99"/>
    <w:semiHidden/>
    <w:unhideWhenUsed/>
    <w:rsid w:val="000676A1"/>
  </w:style>
  <w:style w:type="numbering" w:customStyle="1" w:styleId="1211">
    <w:name w:val="无列表1211"/>
    <w:next w:val="Aucuneliste"/>
    <w:uiPriority w:val="99"/>
    <w:semiHidden/>
    <w:unhideWhenUsed/>
    <w:rsid w:val="000676A1"/>
  </w:style>
  <w:style w:type="table" w:customStyle="1" w:styleId="Trameclaire-Accent2311">
    <w:name w:val="Trame claire - Accent 2311"/>
    <w:basedOn w:val="TableauNormal"/>
    <w:next w:val="Trameclaire-Accent2"/>
    <w:uiPriority w:val="30"/>
    <w:rsid w:val="000676A1"/>
    <w:pPr>
      <w:spacing w:after="0" w:line="240" w:lineRule="auto"/>
    </w:pPr>
    <w:rPr>
      <w:rFonts w:ascii="Calibri" w:eastAsia="Calibri" w:hAnsi="Calibri" w:cs="Times New Roman"/>
      <w:b/>
      <w:bCs/>
      <w:i/>
      <w:iCs/>
      <w:color w:val="4F81BD"/>
      <w:sz w:val="24"/>
      <w:szCs w:val="24"/>
      <w14:ligatures w14:val="standardContextual"/>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Grid21211">
    <w:name w:val="Medium Grid 21211"/>
    <w:basedOn w:val="TableauNormal"/>
    <w:uiPriority w:val="1"/>
    <w:rsid w:val="000676A1"/>
    <w:pPr>
      <w:spacing w:after="0" w:line="240" w:lineRule="auto"/>
    </w:pPr>
    <w:rPr>
      <w:rFonts w:ascii="Arial (W1)" w:eastAsia="Calibri" w:hAnsi="Arial (W1)" w:cs="Arial"/>
      <w:lang w:val="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llecouleur-Accent1311">
    <w:name w:val="Grille couleur - Accent 1311"/>
    <w:basedOn w:val="TableauNormal"/>
    <w:next w:val="Grillecouleur-Accent1"/>
    <w:uiPriority w:val="29"/>
    <w:rsid w:val="000676A1"/>
    <w:pPr>
      <w:spacing w:after="0" w:line="240" w:lineRule="auto"/>
    </w:pPr>
    <w:rPr>
      <w:rFonts w:ascii="Calibri" w:eastAsia="SimSun" w:hAnsi="Calibri" w:cs="Times New Roman"/>
      <w:i/>
      <w:iCs/>
      <w:color w:val="000000"/>
      <w:kern w:val="2"/>
      <w:sz w:val="24"/>
      <w:szCs w:val="21"/>
      <w:lang w:val="en-US" w:eastAsia="zh-CN"/>
      <w14:ligatures w14:val="standardContextual"/>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numbering" w:customStyle="1" w:styleId="Aucuneliste7111">
    <w:name w:val="Aucune liste7111"/>
    <w:next w:val="Aucuneliste"/>
    <w:uiPriority w:val="99"/>
    <w:semiHidden/>
    <w:unhideWhenUsed/>
    <w:rsid w:val="000676A1"/>
  </w:style>
  <w:style w:type="table" w:customStyle="1" w:styleId="TableauGrille1Clair-Accentuation13111">
    <w:name w:val="Tableau Grille 1 Clair - Accentuation 13111"/>
    <w:basedOn w:val="TableauNormal"/>
    <w:next w:val="TableauGrille1Clair-Accentuation1"/>
    <w:uiPriority w:val="46"/>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lledutableau19111">
    <w:name w:val="Grille du tableau19111"/>
    <w:basedOn w:val="TableauNormal"/>
    <w:next w:val="Grilledutableau"/>
    <w:uiPriority w:val="3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etableauclaire2111">
    <w:name w:val="Grille de tableau claire2111"/>
    <w:basedOn w:val="TableauNormal"/>
    <w:next w:val="Grilledetableauclaire"/>
    <w:uiPriority w:val="40"/>
    <w:rsid w:val="000676A1"/>
    <w:pPr>
      <w:spacing w:after="0" w:line="240" w:lineRule="auto"/>
    </w:pPr>
    <w:rPr>
      <w:rFonts w:ascii="Calibri" w:eastAsia="Calibri" w:hAnsi="Calibri" w:cs="Times New Roman"/>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Aucuneliste8111">
    <w:name w:val="Aucune liste8111"/>
    <w:next w:val="Aucuneliste"/>
    <w:uiPriority w:val="99"/>
    <w:semiHidden/>
    <w:unhideWhenUsed/>
    <w:rsid w:val="000676A1"/>
  </w:style>
  <w:style w:type="table" w:customStyle="1" w:styleId="GT01111">
    <w:name w:val="GT01111"/>
    <w:basedOn w:val="TableauNormal"/>
    <w:next w:val="Grilledutableau"/>
    <w:uiPriority w:val="59"/>
    <w:qFormat/>
    <w:rsid w:val="000676A1"/>
    <w:pPr>
      <w:spacing w:before="120" w:after="120" w:line="240" w:lineRule="auto"/>
      <w:ind w:left="115" w:right="115"/>
    </w:pPr>
    <w:rPr>
      <w:rFonts w:ascii="Arial" w:eastAsia="Arial" w:hAnsi="Arial" w:cs="Arial"/>
      <w:sz w:val="20"/>
      <w:szCs w:val="20"/>
      <w:lang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Grilledutableau110111">
    <w:name w:val="Grille du tableau11011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3111">
    <w:name w:val="Grille du tableau2311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1">
    <w:name w:val="Aucune liste12111"/>
    <w:next w:val="Aucuneliste"/>
    <w:uiPriority w:val="99"/>
    <w:semiHidden/>
    <w:unhideWhenUsed/>
    <w:rsid w:val="000676A1"/>
  </w:style>
  <w:style w:type="table" w:customStyle="1" w:styleId="Grilledutableau31111">
    <w:name w:val="Grille du tableau3111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1">
    <w:name w:val="Grille du tableau41111"/>
    <w:basedOn w:val="TableauNormal"/>
    <w:next w:val="Grilledutableau"/>
    <w:uiPriority w:val="59"/>
    <w:rsid w:val="000676A1"/>
    <w:pPr>
      <w:spacing w:after="0" w:line="240" w:lineRule="auto"/>
    </w:pPr>
    <w:rPr>
      <w:rFonts w:ascii="Calibri" w:eastAsia="MS Mincho" w:hAnsi="Calibri" w:cs="Times New Roman"/>
      <w:sz w:val="24"/>
      <w:szCs w:val="24"/>
      <w:lang w:val="en-GB"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
    <w:name w:val="Table Normal1111"/>
    <w:uiPriority w:val="2"/>
    <w:semiHidden/>
    <w:unhideWhenUsed/>
    <w:qFormat/>
    <w:rsid w:val="000676A1"/>
    <w:pPr>
      <w:widowControl w:val="0"/>
      <w:spacing w:after="0" w:line="240" w:lineRule="auto"/>
    </w:pPr>
    <w:rPr>
      <w:rFonts w:ascii="Calibri" w:eastAsia="Calibri" w:hAnsi="Calibri" w:cs="Times New Roman"/>
      <w:lang w:val="en-US"/>
      <w14:ligatures w14:val="standardContextual"/>
    </w:rPr>
    <w:tblPr>
      <w:tblInd w:w="0" w:type="dxa"/>
      <w:tblCellMar>
        <w:top w:w="0" w:type="dxa"/>
        <w:left w:w="0" w:type="dxa"/>
        <w:bottom w:w="0" w:type="dxa"/>
        <w:right w:w="0" w:type="dxa"/>
      </w:tblCellMar>
    </w:tblPr>
  </w:style>
  <w:style w:type="table" w:customStyle="1" w:styleId="Grilledutableau61111">
    <w:name w:val="Grille du tableau61111"/>
    <w:basedOn w:val="TableauNormal"/>
    <w:next w:val="Grilledutableau"/>
    <w:uiPriority w:val="5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11">
    <w:name w:val="Grille du tableau72111"/>
    <w:basedOn w:val="TableauNormal"/>
    <w:next w:val="Grilledutableau"/>
    <w:uiPriority w:val="59"/>
    <w:rsid w:val="000676A1"/>
    <w:pPr>
      <w:spacing w:after="0" w:line="240" w:lineRule="auto"/>
    </w:pPr>
    <w:rPr>
      <w:rFonts w:ascii="Cambria" w:eastAsia="Cambria" w:hAnsi="Cambria" w:cs="Times New Roman"/>
      <w:lang w:val="fr-SN" w:eastAsia="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moyenne1-Accent24111">
    <w:name w:val="Grille moyenne 1 - Accent 24111"/>
    <w:basedOn w:val="TableauNormal"/>
    <w:next w:val="Grillemoyenne1-Accent2"/>
    <w:uiPriority w:val="34"/>
    <w:rsid w:val="000676A1"/>
    <w:pPr>
      <w:spacing w:after="0" w:line="240" w:lineRule="auto"/>
    </w:pPr>
    <w:rPr>
      <w:rFonts w:ascii="Calibri" w:eastAsia="Calibri" w:hAnsi="Calibri" w:cs="Times New Roman"/>
      <w:lang w:val="fr-SN"/>
      <w14:ligatures w14:val="standardContextu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Grillemoyenne211111">
    <w:name w:val="Grille moyenne 211111"/>
    <w:basedOn w:val="TableauNormal"/>
    <w:uiPriority w:val="1"/>
    <w:rsid w:val="000676A1"/>
    <w:pPr>
      <w:spacing w:after="0" w:line="240" w:lineRule="auto"/>
    </w:pPr>
    <w:rPr>
      <w:rFonts w:ascii="Arial (W1)" w:eastAsia="Calibri" w:hAnsi="Arial (W1)" w:cs="Arial"/>
      <w:lang w:val="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steclaire11111">
    <w:name w:val="Liste claire11111"/>
    <w:basedOn w:val="TableauNormal"/>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efonce-Accent51111">
    <w:name w:val="Liste foncée - Accent 51111"/>
    <w:basedOn w:val="TableauNormal"/>
    <w:next w:val="Listefonce-Accent5"/>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Aucuneliste21111">
    <w:name w:val="Aucune liste21111"/>
    <w:next w:val="Aucuneliste"/>
    <w:uiPriority w:val="99"/>
    <w:semiHidden/>
    <w:unhideWhenUsed/>
    <w:rsid w:val="000676A1"/>
  </w:style>
  <w:style w:type="table" w:customStyle="1" w:styleId="Listeclaire-Accent6122111">
    <w:name w:val="Liste claire - Accent 6122111"/>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13111">
    <w:name w:val="Liste claire - Accent 613111"/>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fonce-Accent61111">
    <w:name w:val="Liste foncée - Accent 61111"/>
    <w:basedOn w:val="TableauNormal"/>
    <w:next w:val="Listefonce-Accent6"/>
    <w:uiPriority w:val="61"/>
    <w:rsid w:val="000676A1"/>
    <w:pPr>
      <w:spacing w:after="0" w:line="240" w:lineRule="auto"/>
    </w:pPr>
    <w:rPr>
      <w:rFonts w:ascii="Calibri" w:eastAsia="Calibri" w:hAnsi="Calibri" w:cs="Times New Roman"/>
      <w:lang w:val="fr-CA"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lleclaire-Accent111111">
    <w:name w:val="Grille claire - Accent 111111"/>
    <w:basedOn w:val="TableauNormal"/>
    <w:uiPriority w:val="62"/>
    <w:rsid w:val="000676A1"/>
    <w:pPr>
      <w:spacing w:after="0" w:line="240" w:lineRule="auto"/>
    </w:pPr>
    <w:rPr>
      <w:rFonts w:ascii="Calibri" w:eastAsia="Calibri" w:hAnsi="Calibri" w:cs="Times New Roman"/>
      <w:sz w:val="20"/>
      <w:szCs w:val="20"/>
      <w:lang w:val="fr-SN" w:eastAsia="fr-F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Latha" w:eastAsia="Times New Roman" w:hAnsi="Lath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Latha" w:eastAsia="Times New Roman" w:hAnsi="Lath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atha" w:eastAsia="Times New Roman" w:hAnsi="Latha" w:cs="Times New Roman"/>
        <w:b/>
        <w:bCs/>
      </w:rPr>
    </w:tblStylePr>
    <w:tblStylePr w:type="lastCol">
      <w:rPr>
        <w:rFonts w:ascii="Latha" w:eastAsia="Times New Roman" w:hAnsi="Lath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Aucuneliste31111">
    <w:name w:val="Aucune liste31111"/>
    <w:next w:val="Aucuneliste"/>
    <w:uiPriority w:val="99"/>
    <w:semiHidden/>
    <w:unhideWhenUsed/>
    <w:rsid w:val="000676A1"/>
  </w:style>
  <w:style w:type="numbering" w:customStyle="1" w:styleId="Aucuneliste41111">
    <w:name w:val="Aucune liste41111"/>
    <w:next w:val="Aucuneliste"/>
    <w:uiPriority w:val="99"/>
    <w:semiHidden/>
    <w:unhideWhenUsed/>
    <w:rsid w:val="000676A1"/>
  </w:style>
  <w:style w:type="table" w:customStyle="1" w:styleId="Grilledutableau51111">
    <w:name w:val="Grille du tableau51111"/>
    <w:basedOn w:val="TableauNormal"/>
    <w:next w:val="Grilledutableau"/>
    <w:uiPriority w:val="59"/>
    <w:rsid w:val="000676A1"/>
    <w:pPr>
      <w:spacing w:after="0" w:line="240" w:lineRule="auto"/>
    </w:pPr>
    <w:rPr>
      <w:rFonts w:ascii="Calibri" w:eastAsia="Times New Roman" w:hAnsi="Calibri" w:cs="Times New Roman"/>
      <w:sz w:val="20"/>
      <w:szCs w:val="20"/>
      <w:lang w:val="fr-SN" w:eastAsia="fr-F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51111">
    <w:name w:val="Aucune liste51111"/>
    <w:next w:val="Aucuneliste"/>
    <w:uiPriority w:val="99"/>
    <w:semiHidden/>
    <w:unhideWhenUsed/>
    <w:rsid w:val="000676A1"/>
  </w:style>
  <w:style w:type="table" w:customStyle="1" w:styleId="Grilledutableau211111">
    <w:name w:val="Grille du tableau211111"/>
    <w:basedOn w:val="TableauNormal"/>
    <w:next w:val="Grilledutableau"/>
    <w:uiPriority w:val="59"/>
    <w:rsid w:val="000676A1"/>
    <w:pPr>
      <w:spacing w:after="0" w:line="240" w:lineRule="auto"/>
    </w:pPr>
    <w:rPr>
      <w:rFonts w:ascii="Calibri" w:eastAsia="Times New Roman" w:hAnsi="Calibri" w:cs="Times New Roman"/>
      <w:lang w:val="fr-SN" w:eastAsia="fr-F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eclaire-Accent61211111">
    <w:name w:val="Liste claire - Accent 61211111"/>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111111">
    <w:name w:val="Liste claire - Accent 6111111"/>
    <w:basedOn w:val="TableauNormal"/>
    <w:next w:val="Listefonce-Accent6"/>
    <w:uiPriority w:val="61"/>
    <w:rsid w:val="000676A1"/>
    <w:pPr>
      <w:spacing w:after="0" w:line="240" w:lineRule="auto"/>
    </w:pPr>
    <w:rPr>
      <w:rFonts w:ascii="Times New Roman" w:eastAsia="Calibri" w:hAnsi="Times New Roman" w:cs="Times New Roman"/>
      <w:sz w:val="24"/>
      <w:szCs w:val="24"/>
      <w:lang w:val="fr-SN"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21111">
    <w:name w:val="Liste claire - Accent 621111"/>
    <w:basedOn w:val="TableauNormal"/>
    <w:next w:val="Listefonce-Accent6"/>
    <w:uiPriority w:val="61"/>
    <w:rsid w:val="000676A1"/>
    <w:pPr>
      <w:spacing w:after="0" w:line="240" w:lineRule="auto"/>
      <w:jc w:val="both"/>
    </w:pPr>
    <w:rPr>
      <w:rFonts w:ascii="Arial Narrow" w:eastAsia="Calibri" w:hAnsi="Arial Narrow" w:cs="Times New Roman"/>
      <w:sz w:val="24"/>
      <w:lang w:val="en-GB" w:eastAsia="fr-FR"/>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Aucuneliste61111">
    <w:name w:val="Aucune liste61111"/>
    <w:next w:val="Aucuneliste"/>
    <w:uiPriority w:val="99"/>
    <w:semiHidden/>
    <w:unhideWhenUsed/>
    <w:rsid w:val="000676A1"/>
  </w:style>
  <w:style w:type="numbering" w:customStyle="1" w:styleId="11111">
    <w:name w:val="无列表11111"/>
    <w:next w:val="Aucuneliste"/>
    <w:uiPriority w:val="99"/>
    <w:semiHidden/>
    <w:unhideWhenUsed/>
    <w:rsid w:val="000676A1"/>
  </w:style>
  <w:style w:type="table" w:customStyle="1" w:styleId="Trameclaire-Accent22111">
    <w:name w:val="Trame claire - Accent 22111"/>
    <w:basedOn w:val="TableauNormal"/>
    <w:next w:val="Trameclaire-Accent2"/>
    <w:uiPriority w:val="30"/>
    <w:rsid w:val="000676A1"/>
    <w:pPr>
      <w:spacing w:after="0" w:line="240" w:lineRule="auto"/>
    </w:pPr>
    <w:rPr>
      <w:rFonts w:ascii="Calibri" w:eastAsia="Calibri" w:hAnsi="Calibri" w:cs="Times New Roman"/>
      <w:b/>
      <w:bCs/>
      <w:i/>
      <w:iCs/>
      <w:color w:val="4F81BD"/>
      <w:sz w:val="24"/>
      <w:szCs w:val="24"/>
      <w:lang w:val="fr-SN"/>
      <w14:ligatures w14:val="standardContextual"/>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Grid211111">
    <w:name w:val="Medium Grid 211111"/>
    <w:basedOn w:val="TableauNormal"/>
    <w:uiPriority w:val="1"/>
    <w:rsid w:val="000676A1"/>
    <w:pPr>
      <w:spacing w:after="0" w:line="240" w:lineRule="auto"/>
    </w:pPr>
    <w:rPr>
      <w:rFonts w:ascii="Arial (W1)" w:eastAsia="Calibri" w:hAnsi="Arial (W1)" w:cs="Arial"/>
      <w:lang w:val="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llecouleur-Accent12111">
    <w:name w:val="Grille couleur - Accent 12111"/>
    <w:basedOn w:val="TableauNormal"/>
    <w:next w:val="Grillecouleur-Accent1"/>
    <w:uiPriority w:val="29"/>
    <w:rsid w:val="000676A1"/>
    <w:pPr>
      <w:spacing w:after="0" w:line="240" w:lineRule="auto"/>
    </w:pPr>
    <w:rPr>
      <w:rFonts w:ascii="Calibri" w:eastAsia="SimSun" w:hAnsi="Calibri" w:cs="Times New Roman"/>
      <w:i/>
      <w:iCs/>
      <w:color w:val="000000"/>
      <w:kern w:val="2"/>
      <w:sz w:val="24"/>
      <w:szCs w:val="21"/>
      <w:lang w:val="en-US" w:eastAsia="zh-CN"/>
      <w14:ligatures w14:val="standardContextual"/>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TableauGrille6Couleur111">
    <w:name w:val="Tableau Grille 6 Couleur111"/>
    <w:basedOn w:val="TableauNormal"/>
    <w:next w:val="TableauGrille6Couleur"/>
    <w:uiPriority w:val="51"/>
    <w:rsid w:val="000676A1"/>
    <w:pPr>
      <w:spacing w:after="0" w:line="240" w:lineRule="auto"/>
    </w:pPr>
    <w:rPr>
      <w:rFonts w:ascii="Calibri" w:eastAsia="Calibri" w:hAnsi="Calibri" w:cs="Times New Roman"/>
      <w:color w:val="000000"/>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4-Accentuation5111">
    <w:name w:val="Tableau Grille 4 - Accentuation 5111"/>
    <w:basedOn w:val="TableauNormal"/>
    <w:next w:val="TableauGrille4-Accentuation5"/>
    <w:uiPriority w:val="49"/>
    <w:rsid w:val="000676A1"/>
    <w:pPr>
      <w:spacing w:after="0" w:line="240" w:lineRule="auto"/>
    </w:pPr>
    <w:rPr>
      <w:rFonts w:ascii="Calibri" w:eastAsia="Calibri" w:hAnsi="Calibri" w:cs="Times New Roman"/>
      <w:sz w:val="20"/>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Grille4311">
    <w:name w:val="Tableau Grille 4311"/>
    <w:basedOn w:val="TableauNormal"/>
    <w:next w:val="TableauGrille4"/>
    <w:uiPriority w:val="49"/>
    <w:rsid w:val="000676A1"/>
    <w:pPr>
      <w:spacing w:after="0" w:line="240" w:lineRule="auto"/>
    </w:pPr>
    <w:rPr>
      <w:rFonts w:ascii="Calibri" w:eastAsia="Calibri" w:hAnsi="Calibri" w:cs="Times New Roman"/>
      <w:sz w:val="20"/>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5Fonc-Accentuation5111">
    <w:name w:val="Tableau Grille 5 Foncé - Accentuation 5111"/>
    <w:basedOn w:val="TableauNormal"/>
    <w:next w:val="TableauGrille5Fonc-Accentuation5"/>
    <w:uiPriority w:val="50"/>
    <w:rsid w:val="000676A1"/>
    <w:pPr>
      <w:spacing w:after="0" w:line="240" w:lineRule="auto"/>
    </w:pPr>
    <w:rPr>
      <w:rFonts w:ascii="Calibri" w:eastAsia="Calibri" w:hAnsi="Calibri" w:cs="Times New Roman"/>
      <w:sz w:val="20"/>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auGrille5Fonc-Accentuation6111">
    <w:name w:val="Tableau Grille 5 Foncé - Accentuation 6111"/>
    <w:basedOn w:val="TableauNormal"/>
    <w:next w:val="TableauGrille5Fonc-Accentuation6"/>
    <w:uiPriority w:val="50"/>
    <w:rsid w:val="000676A1"/>
    <w:pPr>
      <w:spacing w:after="0" w:line="240" w:lineRule="auto"/>
    </w:pPr>
    <w:rPr>
      <w:rFonts w:ascii="Calibri" w:eastAsia="Calibri" w:hAnsi="Calibri" w:cs="Times New Roman"/>
      <w:sz w:val="20"/>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eauListe5Fonc-Accentuation6111">
    <w:name w:val="Tableau Liste 5 Foncé - Accentuation 6111"/>
    <w:basedOn w:val="TableauNormal"/>
    <w:next w:val="TableauListe5Fonc-Accentuation6"/>
    <w:uiPriority w:val="50"/>
    <w:rsid w:val="000676A1"/>
    <w:pPr>
      <w:spacing w:after="0" w:line="240" w:lineRule="auto"/>
    </w:pPr>
    <w:rPr>
      <w:rFonts w:ascii="Calibri" w:eastAsia="Calibri" w:hAnsi="Calibri" w:cs="Times New Roman"/>
      <w:color w:val="FFFFFF"/>
      <w:sz w:val="20"/>
      <w14:ligatures w14:val="standardContextual"/>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4-Accentuation6111">
    <w:name w:val="Tableau Liste 4 - Accentuation 6111"/>
    <w:basedOn w:val="TableauNormal"/>
    <w:next w:val="TableauListe4-Accentuation6"/>
    <w:uiPriority w:val="49"/>
    <w:rsid w:val="000676A1"/>
    <w:pPr>
      <w:spacing w:after="0" w:line="240" w:lineRule="auto"/>
    </w:pPr>
    <w:rPr>
      <w:rFonts w:ascii="Calibri" w:eastAsia="Calibri" w:hAnsi="Calibri" w:cs="Times New Roman"/>
      <w:sz w:val="20"/>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auListe5Fonc-Accentuation5111">
    <w:name w:val="Tableau Liste 5 Foncé - Accentuation 5111"/>
    <w:basedOn w:val="TableauNormal"/>
    <w:next w:val="TableauListe5Fonc-Accentuation5"/>
    <w:uiPriority w:val="50"/>
    <w:rsid w:val="000676A1"/>
    <w:pPr>
      <w:spacing w:after="0" w:line="240" w:lineRule="auto"/>
    </w:pPr>
    <w:rPr>
      <w:rFonts w:ascii="Calibri" w:eastAsia="Calibri" w:hAnsi="Calibri" w:cs="Times New Roman"/>
      <w:color w:val="FFFFFF"/>
      <w:sz w:val="20"/>
      <w14:ligatures w14:val="standardContextual"/>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4-Accentuation5111">
    <w:name w:val="Tableau Liste 4 - Accentuation 5111"/>
    <w:basedOn w:val="TableauNormal"/>
    <w:next w:val="TableauListe4-Accentuation5"/>
    <w:uiPriority w:val="49"/>
    <w:rsid w:val="000676A1"/>
    <w:pPr>
      <w:spacing w:after="0" w:line="240" w:lineRule="auto"/>
    </w:pPr>
    <w:rPr>
      <w:rFonts w:ascii="Calibri" w:eastAsia="Calibri" w:hAnsi="Calibri" w:cs="Times New Roman"/>
      <w:sz w:val="20"/>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Liste1Clair-Accentuation6111">
    <w:name w:val="Tableau Liste 1 Clair - Accentuation 6111"/>
    <w:basedOn w:val="TableauNormal"/>
    <w:next w:val="TableauListe1Clair-Accentuation6"/>
    <w:uiPriority w:val="46"/>
    <w:rsid w:val="000676A1"/>
    <w:pPr>
      <w:spacing w:after="0" w:line="240" w:lineRule="auto"/>
    </w:pPr>
    <w:rPr>
      <w:rFonts w:ascii="Calibri" w:eastAsia="Calibri" w:hAnsi="Calibri" w:cs="Times New Roman"/>
      <w:sz w:val="20"/>
      <w14:ligatures w14:val="standardContextual"/>
    </w:rPr>
    <w:tblPr>
      <w:tblStyleRowBandSize w:val="1"/>
      <w:tblStyleColBandSize w:val="1"/>
    </w:tblPr>
    <w:tblStylePr w:type="firstRow">
      <w:rPr>
        <w:b/>
        <w:bCs/>
      </w:rPr>
      <w:tblPr/>
      <w:tcPr>
        <w:tcBorders>
          <w:bottom w:val="single" w:sz="4" w:space="0" w:color="70AD47"/>
        </w:tcBorders>
      </w:tcPr>
    </w:tblStylePr>
    <w:tblStylePr w:type="lastRow">
      <w:rPr>
        <w:b/>
        <w:bCs/>
      </w:rPr>
      <w:tblPr/>
      <w:tcPr>
        <w:tcBorders>
          <w:top w:val="sing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auGrille1Clair311">
    <w:name w:val="Tableau Grille 1 Clair311"/>
    <w:basedOn w:val="TableauNormal"/>
    <w:next w:val="TableauGrille1Clair"/>
    <w:uiPriority w:val="46"/>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ausimple1311">
    <w:name w:val="Tableau simple 1311"/>
    <w:basedOn w:val="TableauNormal"/>
    <w:next w:val="Tableausimple1"/>
    <w:uiPriority w:val="41"/>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lledutableau171111">
    <w:name w:val="Grille du tableau171111"/>
    <w:basedOn w:val="TableauNormal"/>
    <w:next w:val="Grilledutableau"/>
    <w:uiPriority w:val="39"/>
    <w:rsid w:val="000676A1"/>
    <w:pPr>
      <w:spacing w:after="0" w:line="240" w:lineRule="auto"/>
    </w:pPr>
    <w:rPr>
      <w:rFonts w:ascii="Calibri" w:eastAsia="Calibri" w:hAnsi="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ouleur-Accent1611">
    <w:name w:val="Liste couleur - Accent 1611"/>
    <w:basedOn w:val="TableauNormal"/>
    <w:next w:val="Listecouleur-Accent1"/>
    <w:uiPriority w:val="34"/>
    <w:rsid w:val="000676A1"/>
    <w:pPr>
      <w:spacing w:after="0" w:line="240" w:lineRule="auto"/>
    </w:pPr>
    <w:rPr>
      <w:rFonts w:ascii="Times New Roman" w:eastAsia="Times New Roman" w:hAnsi="Times New Roman" w:cs="Times New Roman"/>
      <w:sz w:val="24"/>
      <w:szCs w:val="24"/>
      <w14:ligatures w14:val="standardContextual"/>
    </w:rPr>
    <w:tblPr>
      <w:tblStyleRowBandSize w:val="1"/>
      <w:tblStyleColBandSize w:val="1"/>
    </w:tblPr>
    <w:tcPr>
      <w:shd w:val="clear" w:color="auto" w:fill="EDF2F8"/>
    </w:tcPr>
    <w:tblStylePr w:type="firstRow">
      <w:rPr>
        <w:rFonts w:cs="Times New Roman"/>
      </w:rPr>
      <w:tblPr/>
      <w:tcPr>
        <w:tcBorders>
          <w:bottom w:val="single" w:sz="12" w:space="0" w:color="FFFFFF"/>
        </w:tcBorders>
        <w:shd w:val="clear" w:color="auto" w:fill="9E3A38"/>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numbering" w:customStyle="1" w:styleId="Aucuneliste9111">
    <w:name w:val="Aucune liste9111"/>
    <w:next w:val="Aucuneliste"/>
    <w:uiPriority w:val="99"/>
    <w:semiHidden/>
    <w:unhideWhenUsed/>
    <w:rsid w:val="000676A1"/>
  </w:style>
  <w:style w:type="numbering" w:customStyle="1" w:styleId="Aucuneliste10111">
    <w:name w:val="Aucune liste10111"/>
    <w:next w:val="Aucuneliste"/>
    <w:uiPriority w:val="99"/>
    <w:semiHidden/>
    <w:unhideWhenUsed/>
    <w:rsid w:val="000676A1"/>
  </w:style>
  <w:style w:type="numbering" w:customStyle="1" w:styleId="Aucuneliste171">
    <w:name w:val="Aucune liste171"/>
    <w:next w:val="Aucuneliste"/>
    <w:uiPriority w:val="99"/>
    <w:semiHidden/>
    <w:unhideWhenUsed/>
    <w:rsid w:val="000676A1"/>
  </w:style>
  <w:style w:type="table" w:customStyle="1" w:styleId="TableNormal51">
    <w:name w:val="Table Normal51"/>
    <w:uiPriority w:val="2"/>
    <w:semiHidden/>
    <w:unhideWhenUsed/>
    <w:qFormat/>
    <w:rsid w:val="000676A1"/>
    <w:pPr>
      <w:widowControl w:val="0"/>
      <w:autoSpaceDE w:val="0"/>
      <w:autoSpaceDN w:val="0"/>
      <w:spacing w:after="0" w:line="240" w:lineRule="auto"/>
    </w:pPr>
    <w:rPr>
      <w:rFonts w:ascii="Cambria" w:eastAsia="Cambria" w:hAnsi="Cambria" w:cs="Times New Roman"/>
      <w:lang w:val="en-US"/>
      <w14:ligatures w14:val="standardContextual"/>
    </w:rPr>
    <w:tblPr>
      <w:tblInd w:w="0" w:type="dxa"/>
      <w:tblCellMar>
        <w:top w:w="0" w:type="dxa"/>
        <w:left w:w="0" w:type="dxa"/>
        <w:bottom w:w="0" w:type="dxa"/>
        <w:right w:w="0" w:type="dxa"/>
      </w:tblCellMar>
    </w:tblPr>
  </w:style>
  <w:style w:type="table" w:customStyle="1" w:styleId="TableauGrille1Clair-Accentuation511">
    <w:name w:val="Tableau Grille 1 Clair - Accentuation 511"/>
    <w:basedOn w:val="TableauNormal"/>
    <w:uiPriority w:val="46"/>
    <w:rsid w:val="000676A1"/>
    <w:pPr>
      <w:spacing w:after="0" w:line="240" w:lineRule="auto"/>
    </w:pPr>
    <w:rPr>
      <w:rFonts w:ascii="Calibri" w:eastAsia="Calibri" w:hAnsi="Calibri" w:cs="Times New Roman"/>
      <w:lang w:val="fr-SN"/>
      <w14:ligatures w14:val="standardContextua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eauGrille2-Accentuation111">
    <w:name w:val="Tableau Grille 2 - Accentuation 111"/>
    <w:basedOn w:val="TableauNormal"/>
    <w:uiPriority w:val="47"/>
    <w:rsid w:val="000676A1"/>
    <w:pPr>
      <w:spacing w:after="0" w:line="240" w:lineRule="auto"/>
    </w:pPr>
    <w:rPr>
      <w:rFonts w:ascii="Calibri" w:eastAsia="Times New Roman" w:hAnsi="Calibri" w:cs="Times New Roman"/>
      <w:lang w:val="fr-SN" w:eastAsia="fr-FR"/>
      <w14:ligatures w14:val="standardContextual"/>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ausimple212">
    <w:name w:val="Tableau simple 212"/>
    <w:basedOn w:val="TableauNormal"/>
    <w:uiPriority w:val="42"/>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auGrille7Couleur11">
    <w:name w:val="Tableau Grille 7 Couleur11"/>
    <w:basedOn w:val="TableauNormal"/>
    <w:uiPriority w:val="52"/>
    <w:rsid w:val="000676A1"/>
    <w:pPr>
      <w:spacing w:after="0" w:line="240" w:lineRule="auto"/>
    </w:pPr>
    <w:rPr>
      <w:rFonts w:ascii="Calibri" w:eastAsia="Calibri" w:hAnsi="Calibri" w:cs="Times New Roman"/>
      <w:color w:val="000000"/>
      <w:sz w:val="24"/>
      <w:szCs w:val="24"/>
      <w:lang w:eastAsia="fr-FR"/>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Listeclaire-Accent311">
    <w:name w:val="Liste claire - Accent 311"/>
    <w:basedOn w:val="TableauNormal"/>
    <w:next w:val="Grillemoyenne3-Accent5"/>
    <w:uiPriority w:val="61"/>
    <w:rsid w:val="000676A1"/>
    <w:pPr>
      <w:spacing w:after="0" w:line="240" w:lineRule="auto"/>
    </w:pPr>
    <w:rPr>
      <w:rFonts w:ascii="Calibri" w:eastAsia="Times New Roman" w:hAnsi="Calibri" w:cs="Times New Roman"/>
      <w:sz w:val="20"/>
      <w:szCs w:val="20"/>
      <w:lang w:eastAsia="fr-FR"/>
      <w14:ligatures w14:val="standardContextual"/>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Grillemoyenne3-Accent51">
    <w:name w:val="Grille moyenne 3 - Accent 51"/>
    <w:basedOn w:val="TableauNormal"/>
    <w:next w:val="Grillemoyenne3-Accent5"/>
    <w:uiPriority w:val="61"/>
    <w:unhideWhenUsed/>
    <w:rsid w:val="000676A1"/>
    <w:pPr>
      <w:spacing w:after="0" w:line="240" w:lineRule="auto"/>
    </w:pPr>
    <w:rPr>
      <w:rFonts w:ascii="Calibri" w:eastAsia="Calibri" w:hAnsi="Calibri" w:cs="Times New Roman"/>
      <w:sz w:val="20"/>
      <w:szCs w:val="20"/>
      <w:lang w:eastAsia="fr-FR"/>
      <w14:ligatures w14:val="standardContextual"/>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auGrille3-Accentuation411">
    <w:name w:val="Tableau Grille 3 - Accentuation 411"/>
    <w:basedOn w:val="TableauNormal"/>
    <w:uiPriority w:val="48"/>
    <w:rsid w:val="000676A1"/>
    <w:pPr>
      <w:spacing w:after="0" w:line="240" w:lineRule="auto"/>
    </w:pPr>
    <w:rPr>
      <w:rFonts w:ascii="Calibri" w:eastAsia="Calibri" w:hAnsi="Calibri" w:cs="Times New Roman"/>
      <w:sz w:val="20"/>
      <w:szCs w:val="20"/>
      <w:lang w:eastAsia="fr-FR"/>
      <w14:ligatures w14:val="standardContextu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TableauGrille3-Accentuation611">
    <w:name w:val="Tableau Grille 3 - Accentuation 611"/>
    <w:basedOn w:val="TableauNormal"/>
    <w:uiPriority w:val="48"/>
    <w:rsid w:val="000676A1"/>
    <w:pPr>
      <w:spacing w:after="0" w:line="240" w:lineRule="auto"/>
    </w:pPr>
    <w:rPr>
      <w:rFonts w:ascii="Calibri" w:eastAsia="Calibri" w:hAnsi="Calibri" w:cs="Times New Roman"/>
      <w:sz w:val="20"/>
      <w:szCs w:val="20"/>
      <w:lang w:eastAsia="fr-FR"/>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Tableausimple2111">
    <w:name w:val="Tableau simple 2111"/>
    <w:basedOn w:val="TableauNormal"/>
    <w:uiPriority w:val="42"/>
    <w:rsid w:val="000676A1"/>
    <w:pPr>
      <w:spacing w:after="0" w:line="240" w:lineRule="auto"/>
    </w:pPr>
    <w:rPr>
      <w:rFonts w:ascii="Calibri" w:eastAsia="Calibri" w:hAnsi="Calibri" w:cs="Times New Roman"/>
      <w:sz w:val="20"/>
      <w:szCs w:val="20"/>
      <w:lang w:eastAsia="fr-FR"/>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rameclaire-Accent51">
    <w:name w:val="Trame claire - Accent 51"/>
    <w:basedOn w:val="TableauNormal"/>
    <w:next w:val="Trameclaire-Accent5"/>
    <w:uiPriority w:val="61"/>
    <w:unhideWhenUsed/>
    <w:rsid w:val="000676A1"/>
    <w:pPr>
      <w:spacing w:after="0" w:line="240" w:lineRule="auto"/>
    </w:pPr>
    <w:rPr>
      <w:rFonts w:ascii="Calibri" w:eastAsia="Calibri" w:hAnsi="Calibri" w:cs="Times New Roman"/>
      <w14:ligatures w14:val="standardContextual"/>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Grilleclaire-Accent34">
    <w:name w:val="Grille claire - Accent 34"/>
    <w:basedOn w:val="TableauNormal"/>
    <w:next w:val="Grilleclaire-Accent3"/>
    <w:uiPriority w:val="34"/>
    <w:semiHidden/>
    <w:unhideWhenUsed/>
    <w:rsid w:val="000676A1"/>
    <w:pPr>
      <w:spacing w:after="0" w:line="240" w:lineRule="auto"/>
    </w:pPr>
    <w:rPr>
      <w:rFonts w:eastAsia="SimSun"/>
      <w:sz w:val="24"/>
      <w:szCs w:val="24"/>
      <w:lang w:val="fr-SN"/>
      <w14:ligatures w14:val="standardContextual"/>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Tramemoyenne1-Accent31">
    <w:name w:val="Trame moyenne 1 - Accent 31"/>
    <w:basedOn w:val="TableauNormal"/>
    <w:next w:val="Tramemoyenne1-Accent3"/>
    <w:uiPriority w:val="29"/>
    <w:semiHidden/>
    <w:unhideWhenUsed/>
    <w:rsid w:val="000676A1"/>
    <w:pPr>
      <w:spacing w:after="0" w:line="240" w:lineRule="auto"/>
    </w:pPr>
    <w:rPr>
      <w:rFonts w:eastAsia="Times New Roman"/>
      <w:i/>
      <w:sz w:val="24"/>
      <w:szCs w:val="24"/>
      <w14:ligatures w14:val="standardContextual"/>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numbering" w:customStyle="1" w:styleId="Aucuneliste181">
    <w:name w:val="Aucune liste181"/>
    <w:next w:val="Aucuneliste"/>
    <w:uiPriority w:val="99"/>
    <w:semiHidden/>
    <w:unhideWhenUsed/>
    <w:rsid w:val="000676A1"/>
  </w:style>
  <w:style w:type="paragraph" w:customStyle="1" w:styleId="Citation1">
    <w:name w:val="Citation1"/>
    <w:basedOn w:val="Normal"/>
    <w:next w:val="Normal"/>
    <w:uiPriority w:val="29"/>
    <w:unhideWhenUsed/>
    <w:qFormat/>
    <w:rsid w:val="000676A1"/>
    <w:pPr>
      <w:spacing w:after="0" w:line="240" w:lineRule="auto"/>
    </w:pPr>
    <w:rPr>
      <w:rFonts w:ascii="Arial" w:eastAsia="Times New Roman" w:hAnsi="Arial" w:cs="Arial"/>
      <w:i/>
      <w:iCs/>
      <w:color w:val="000000"/>
      <w:sz w:val="24"/>
      <w:szCs w:val="24"/>
      <w:lang w:val="fr-CA"/>
      <w14:ligatures w14:val="standardContextual"/>
    </w:rPr>
  </w:style>
  <w:style w:type="paragraph" w:customStyle="1" w:styleId="TitreTR1">
    <w:name w:val="Titre TR1"/>
    <w:basedOn w:val="Normal"/>
    <w:next w:val="Normal"/>
    <w:rsid w:val="000676A1"/>
    <w:pPr>
      <w:tabs>
        <w:tab w:val="left" w:pos="9000"/>
        <w:tab w:val="right" w:pos="9360"/>
      </w:tabs>
      <w:suppressAutoHyphens/>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fr-FR"/>
      <w14:ligatures w14:val="standardContextual"/>
    </w:rPr>
  </w:style>
  <w:style w:type="paragraph" w:customStyle="1" w:styleId="Head21">
    <w:name w:val="Head 2.1"/>
    <w:basedOn w:val="Normal"/>
    <w:rsid w:val="000676A1"/>
    <w:pPr>
      <w:suppressAutoHyphens/>
      <w:overflowPunct w:val="0"/>
      <w:autoSpaceDE w:val="0"/>
      <w:autoSpaceDN w:val="0"/>
      <w:adjustRightInd w:val="0"/>
      <w:spacing w:after="0" w:line="240" w:lineRule="auto"/>
      <w:jc w:val="center"/>
      <w:textAlignment w:val="baseline"/>
    </w:pPr>
    <w:rPr>
      <w:rFonts w:ascii="Times New Roman" w:eastAsia="Times New Roman" w:hAnsi="Times New Roman"/>
      <w:b/>
      <w:sz w:val="28"/>
      <w:szCs w:val="20"/>
      <w:lang w:eastAsia="fr-FR"/>
      <w14:ligatures w14:val="standardContextual"/>
    </w:rPr>
  </w:style>
  <w:style w:type="paragraph" w:customStyle="1" w:styleId="Head22">
    <w:name w:val="Head 2.2"/>
    <w:basedOn w:val="Normal"/>
    <w:rsid w:val="000676A1"/>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b/>
      <w:sz w:val="24"/>
      <w:szCs w:val="20"/>
      <w:lang w:eastAsia="fr-FR"/>
      <w14:ligatures w14:val="standardContextual"/>
    </w:rPr>
  </w:style>
  <w:style w:type="paragraph" w:customStyle="1" w:styleId="Head32">
    <w:name w:val="Head 3.2"/>
    <w:basedOn w:val="Normal"/>
    <w:rsid w:val="000676A1"/>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b/>
      <w:sz w:val="24"/>
      <w:szCs w:val="20"/>
      <w:lang w:eastAsia="fr-FR"/>
      <w14:ligatures w14:val="standardContextual"/>
    </w:rPr>
  </w:style>
  <w:style w:type="paragraph" w:customStyle="1" w:styleId="Head31">
    <w:name w:val="Head 3.1"/>
    <w:basedOn w:val="Normal"/>
    <w:rsid w:val="000676A1"/>
    <w:pPr>
      <w:suppressAutoHyphens/>
      <w:overflowPunct w:val="0"/>
      <w:autoSpaceDE w:val="0"/>
      <w:autoSpaceDN w:val="0"/>
      <w:adjustRightInd w:val="0"/>
      <w:spacing w:after="0" w:line="240" w:lineRule="auto"/>
      <w:jc w:val="center"/>
      <w:textAlignment w:val="baseline"/>
    </w:pPr>
    <w:rPr>
      <w:rFonts w:ascii="Times New Roman" w:eastAsia="Times New Roman" w:hAnsi="Times New Roman"/>
      <w:b/>
      <w:sz w:val="28"/>
      <w:szCs w:val="20"/>
      <w:lang w:eastAsia="fr-FR"/>
      <w14:ligatures w14:val="standardContextual"/>
    </w:rPr>
  </w:style>
  <w:style w:type="paragraph" w:customStyle="1" w:styleId="Head81">
    <w:name w:val="Head 8.1"/>
    <w:basedOn w:val="Normal"/>
    <w:rsid w:val="000676A1"/>
    <w:pPr>
      <w:suppressAutoHyphens/>
      <w:overflowPunct w:val="0"/>
      <w:autoSpaceDE w:val="0"/>
      <w:autoSpaceDN w:val="0"/>
      <w:adjustRightInd w:val="0"/>
      <w:spacing w:after="0" w:line="240" w:lineRule="auto"/>
      <w:jc w:val="center"/>
      <w:textAlignment w:val="baseline"/>
    </w:pPr>
    <w:rPr>
      <w:rFonts w:ascii="Times New Roman" w:eastAsia="Times New Roman" w:hAnsi="Times New Roman"/>
      <w:b/>
      <w:sz w:val="28"/>
      <w:szCs w:val="20"/>
      <w:lang w:eastAsia="fr-FR"/>
      <w14:ligatures w14:val="standardContextual"/>
    </w:rPr>
  </w:style>
  <w:style w:type="paragraph" w:customStyle="1" w:styleId="Head41">
    <w:name w:val="Head 4.1"/>
    <w:basedOn w:val="Normal"/>
    <w:rsid w:val="000676A1"/>
    <w:pPr>
      <w:suppressAutoHyphens/>
      <w:overflowPunct w:val="0"/>
      <w:autoSpaceDE w:val="0"/>
      <w:autoSpaceDN w:val="0"/>
      <w:adjustRightInd w:val="0"/>
      <w:spacing w:after="0" w:line="240" w:lineRule="auto"/>
      <w:jc w:val="center"/>
      <w:textAlignment w:val="baseline"/>
    </w:pPr>
    <w:rPr>
      <w:rFonts w:ascii="Times New Roman" w:eastAsia="Times New Roman" w:hAnsi="Times New Roman"/>
      <w:b/>
      <w:sz w:val="28"/>
      <w:szCs w:val="20"/>
      <w:lang w:eastAsia="fr-FR"/>
      <w14:ligatures w14:val="standardContextual"/>
    </w:rPr>
  </w:style>
  <w:style w:type="paragraph" w:customStyle="1" w:styleId="Head42">
    <w:name w:val="Head 4.2"/>
    <w:basedOn w:val="Normal"/>
    <w:rsid w:val="000676A1"/>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b/>
      <w:sz w:val="24"/>
      <w:szCs w:val="20"/>
      <w:lang w:eastAsia="fr-FR"/>
      <w14:ligatures w14:val="standardContextual"/>
    </w:rPr>
  </w:style>
  <w:style w:type="paragraph" w:customStyle="1" w:styleId="i">
    <w:name w:val="(i)"/>
    <w:basedOn w:val="Normal"/>
    <w:rsid w:val="000676A1"/>
    <w:pPr>
      <w:suppressAutoHyphens/>
      <w:overflowPunct w:val="0"/>
      <w:autoSpaceDE w:val="0"/>
      <w:autoSpaceDN w:val="0"/>
      <w:adjustRightInd w:val="0"/>
      <w:spacing w:after="0" w:line="240" w:lineRule="auto"/>
      <w:jc w:val="both"/>
      <w:textAlignment w:val="baseline"/>
    </w:pPr>
    <w:rPr>
      <w:rFonts w:ascii="Tms Rmn" w:eastAsia="Times New Roman" w:hAnsi="Tms Rmn"/>
      <w:sz w:val="24"/>
      <w:szCs w:val="20"/>
      <w:lang w:val="en-US" w:eastAsia="fr-FR"/>
      <w14:ligatures w14:val="standardContextual"/>
    </w:rPr>
  </w:style>
  <w:style w:type="paragraph" w:customStyle="1" w:styleId="explanatoryclause">
    <w:name w:val="explanatory_clause"/>
    <w:basedOn w:val="Normal"/>
    <w:rsid w:val="000676A1"/>
    <w:pPr>
      <w:suppressAutoHyphens/>
      <w:overflowPunct w:val="0"/>
      <w:autoSpaceDE w:val="0"/>
      <w:autoSpaceDN w:val="0"/>
      <w:adjustRightInd w:val="0"/>
      <w:spacing w:after="240" w:line="240" w:lineRule="auto"/>
      <w:ind w:left="738" w:right="-14" w:hanging="738"/>
      <w:textAlignment w:val="baseline"/>
    </w:pPr>
    <w:rPr>
      <w:rFonts w:ascii="Arial" w:eastAsia="Times New Roman" w:hAnsi="Arial"/>
      <w:szCs w:val="20"/>
      <w:lang w:val="en-US" w:eastAsia="fr-FR"/>
      <w14:ligatures w14:val="standardContextual"/>
    </w:rPr>
  </w:style>
  <w:style w:type="paragraph" w:customStyle="1" w:styleId="Subtitle2">
    <w:name w:val="Subtitle 2"/>
    <w:basedOn w:val="Pieddepage"/>
    <w:uiPriority w:val="99"/>
    <w:rsid w:val="000676A1"/>
    <w:pPr>
      <w:tabs>
        <w:tab w:val="clear" w:pos="4536"/>
        <w:tab w:val="clear" w:pos="9072"/>
      </w:tabs>
      <w:overflowPunct w:val="0"/>
      <w:autoSpaceDE w:val="0"/>
      <w:autoSpaceDN w:val="0"/>
      <w:adjustRightInd w:val="0"/>
      <w:spacing w:before="120" w:after="0" w:line="240" w:lineRule="auto"/>
      <w:jc w:val="center"/>
      <w:textAlignment w:val="baseline"/>
    </w:pPr>
    <w:rPr>
      <w:rFonts w:ascii="Times New Roman" w:eastAsia="Times New Roman" w:hAnsi="Times New Roman"/>
      <w:b/>
      <w:sz w:val="32"/>
      <w:szCs w:val="20"/>
      <w:lang w:eastAsia="fr-FR"/>
      <w14:ligatures w14:val="standardContextual"/>
    </w:rPr>
  </w:style>
  <w:style w:type="paragraph" w:customStyle="1" w:styleId="outlinebullet">
    <w:name w:val="outlinebullet"/>
    <w:basedOn w:val="Normal"/>
    <w:rsid w:val="000676A1"/>
    <w:pPr>
      <w:tabs>
        <w:tab w:val="left" w:pos="1440"/>
      </w:tabs>
      <w:overflowPunct w:val="0"/>
      <w:autoSpaceDE w:val="0"/>
      <w:autoSpaceDN w:val="0"/>
      <w:adjustRightInd w:val="0"/>
      <w:spacing w:before="120" w:after="0" w:line="240" w:lineRule="auto"/>
      <w:ind w:left="1440" w:hanging="450"/>
      <w:textAlignment w:val="baseline"/>
    </w:pPr>
    <w:rPr>
      <w:rFonts w:ascii="Times New Roman" w:eastAsia="Times New Roman" w:hAnsi="Times New Roman"/>
      <w:sz w:val="24"/>
      <w:szCs w:val="20"/>
      <w:lang w:eastAsia="fr-FR"/>
      <w14:ligatures w14:val="standardContextual"/>
    </w:rPr>
  </w:style>
  <w:style w:type="paragraph" w:customStyle="1" w:styleId="SectionVIIHeader2">
    <w:name w:val="Section VII Header2"/>
    <w:basedOn w:val="Titre1"/>
    <w:rsid w:val="000676A1"/>
    <w:pPr>
      <w:keepNext w:val="0"/>
      <w:keepLines w:val="0"/>
      <w:numPr>
        <w:numId w:val="0"/>
      </w:numPr>
      <w:tabs>
        <w:tab w:val="left" w:pos="360"/>
      </w:tabs>
      <w:overflowPunct w:val="0"/>
      <w:autoSpaceDE w:val="0"/>
      <w:autoSpaceDN w:val="0"/>
      <w:adjustRightInd w:val="0"/>
      <w:spacing w:before="0" w:after="200"/>
      <w:ind w:left="360" w:right="0" w:hanging="360"/>
      <w:jc w:val="center"/>
      <w:textAlignment w:val="baseline"/>
      <w:outlineLvl w:val="9"/>
    </w:pPr>
    <w:rPr>
      <w:rFonts w:ascii="Times New Roman" w:hAnsi="Times New Roman"/>
      <w:bCs w:val="0"/>
      <w:caps w:val="0"/>
      <w:kern w:val="28"/>
      <w:sz w:val="32"/>
      <w:szCs w:val="20"/>
      <w:lang w:val="x-none" w:eastAsia="x-none"/>
      <w14:ligatures w14:val="standardContextual"/>
    </w:rPr>
  </w:style>
  <w:style w:type="paragraph" w:customStyle="1" w:styleId="2AutoList1">
    <w:name w:val="2AutoList1"/>
    <w:basedOn w:val="Normal"/>
    <w:rsid w:val="000676A1"/>
    <w:pPr>
      <w:tabs>
        <w:tab w:val="left" w:pos="504"/>
      </w:tabs>
      <w:overflowPunct w:val="0"/>
      <w:autoSpaceDE w:val="0"/>
      <w:autoSpaceDN w:val="0"/>
      <w:adjustRightInd w:val="0"/>
      <w:spacing w:after="0" w:line="240" w:lineRule="auto"/>
      <w:ind w:left="504" w:hanging="504"/>
      <w:jc w:val="both"/>
      <w:textAlignment w:val="baseline"/>
    </w:pPr>
    <w:rPr>
      <w:rFonts w:ascii="Times New Roman" w:eastAsia="Times New Roman" w:hAnsi="Times New Roman"/>
      <w:sz w:val="24"/>
      <w:szCs w:val="20"/>
      <w:lang w:val="es-ES_tradnl" w:eastAsia="fr-FR"/>
      <w14:ligatures w14:val="standardContextual"/>
    </w:rPr>
  </w:style>
  <w:style w:type="paragraph" w:customStyle="1" w:styleId="Header3-Paragraph">
    <w:name w:val="Header 3 - Paragraph"/>
    <w:basedOn w:val="Normal"/>
    <w:rsid w:val="000676A1"/>
    <w:pPr>
      <w:tabs>
        <w:tab w:val="left" w:pos="504"/>
      </w:tabs>
      <w:overflowPunct w:val="0"/>
      <w:autoSpaceDE w:val="0"/>
      <w:autoSpaceDN w:val="0"/>
      <w:adjustRightInd w:val="0"/>
      <w:spacing w:after="200" w:line="240" w:lineRule="auto"/>
      <w:ind w:left="504" w:hanging="504"/>
      <w:jc w:val="both"/>
      <w:textAlignment w:val="baseline"/>
    </w:pPr>
    <w:rPr>
      <w:rFonts w:ascii="Times New Roman" w:eastAsia="Times New Roman" w:hAnsi="Times New Roman"/>
      <w:sz w:val="24"/>
      <w:szCs w:val="20"/>
      <w:lang w:val="en-US" w:eastAsia="fr-FR"/>
      <w14:ligatures w14:val="standardContextual"/>
    </w:rPr>
  </w:style>
  <w:style w:type="paragraph" w:customStyle="1" w:styleId="SectionXHeader3">
    <w:name w:val="Section X Header 3"/>
    <w:basedOn w:val="Titre1"/>
    <w:rsid w:val="000676A1"/>
    <w:pPr>
      <w:keepNext w:val="0"/>
      <w:keepLines w:val="0"/>
      <w:numPr>
        <w:numId w:val="0"/>
      </w:numPr>
      <w:overflowPunct w:val="0"/>
      <w:autoSpaceDE w:val="0"/>
      <w:autoSpaceDN w:val="0"/>
      <w:adjustRightInd w:val="0"/>
      <w:spacing w:before="0" w:after="0"/>
      <w:ind w:right="0"/>
      <w:jc w:val="center"/>
      <w:textAlignment w:val="baseline"/>
      <w:outlineLvl w:val="9"/>
    </w:pPr>
    <w:rPr>
      <w:rFonts w:ascii="Times New Roman" w:hAnsi="Times New Roman"/>
      <w:bCs w:val="0"/>
      <w:caps w:val="0"/>
      <w:kern w:val="0"/>
      <w:sz w:val="40"/>
      <w:szCs w:val="20"/>
      <w:lang w:val="x-none" w:eastAsia="x-none"/>
      <w14:ligatures w14:val="standardContextual"/>
    </w:rPr>
  </w:style>
  <w:style w:type="paragraph" w:customStyle="1" w:styleId="SectionVHeader">
    <w:name w:val="Section V. Header"/>
    <w:basedOn w:val="Normal"/>
    <w:uiPriority w:val="99"/>
    <w:rsid w:val="000676A1"/>
    <w:pPr>
      <w:overflowPunct w:val="0"/>
      <w:autoSpaceDE w:val="0"/>
      <w:autoSpaceDN w:val="0"/>
      <w:adjustRightInd w:val="0"/>
      <w:spacing w:after="0" w:line="240" w:lineRule="auto"/>
      <w:jc w:val="center"/>
      <w:textAlignment w:val="baseline"/>
    </w:pPr>
    <w:rPr>
      <w:rFonts w:ascii="Times New Roman" w:eastAsia="Times New Roman" w:hAnsi="Times New Roman"/>
      <w:b/>
      <w:sz w:val="36"/>
      <w:szCs w:val="20"/>
      <w:lang w:val="es-ES_tradnl" w:eastAsia="fr-FR"/>
      <w14:ligatures w14:val="standardContextual"/>
    </w:rPr>
  </w:style>
  <w:style w:type="paragraph" w:customStyle="1" w:styleId="TOCNumber1">
    <w:name w:val="TOC Number1"/>
    <w:basedOn w:val="Titre40"/>
    <w:rsid w:val="000676A1"/>
    <w:pPr>
      <w:keepNext w:val="0"/>
      <w:overflowPunct w:val="0"/>
      <w:autoSpaceDE w:val="0"/>
      <w:autoSpaceDN w:val="0"/>
      <w:adjustRightInd w:val="0"/>
      <w:spacing w:before="120" w:after="120" w:line="240" w:lineRule="auto"/>
      <w:ind w:left="0" w:hanging="900"/>
      <w:jc w:val="both"/>
      <w:textAlignment w:val="baseline"/>
      <w:outlineLvl w:val="9"/>
    </w:pPr>
    <w:rPr>
      <w:rFonts w:ascii="Times New Roman" w:hAnsi="Times New Roman"/>
      <w:bCs w:val="0"/>
      <w:i/>
      <w:iCs/>
      <w:sz w:val="24"/>
      <w:szCs w:val="20"/>
      <w:lang w:eastAsia="x-none"/>
      <w14:ligatures w14:val="standardContextual"/>
    </w:rPr>
  </w:style>
  <w:style w:type="paragraph" w:customStyle="1" w:styleId="explanatorynotes">
    <w:name w:val="explanatory_notes"/>
    <w:basedOn w:val="Normal"/>
    <w:uiPriority w:val="99"/>
    <w:rsid w:val="000676A1"/>
    <w:pPr>
      <w:suppressAutoHyphens/>
      <w:overflowPunct w:val="0"/>
      <w:autoSpaceDE w:val="0"/>
      <w:autoSpaceDN w:val="0"/>
      <w:adjustRightInd w:val="0"/>
      <w:spacing w:after="120" w:line="360" w:lineRule="exact"/>
      <w:jc w:val="both"/>
      <w:textAlignment w:val="baseline"/>
    </w:pPr>
    <w:rPr>
      <w:rFonts w:ascii="Arial" w:eastAsia="Times New Roman" w:hAnsi="Arial"/>
      <w:szCs w:val="20"/>
      <w:lang w:val="en-US" w:eastAsia="fr-FR"/>
      <w14:ligatures w14:val="standardContextual"/>
    </w:rPr>
  </w:style>
  <w:style w:type="paragraph" w:customStyle="1" w:styleId="Sub-ClauseText">
    <w:name w:val="Sub-Clause Text"/>
    <w:basedOn w:val="Normal"/>
    <w:rsid w:val="000676A1"/>
    <w:pPr>
      <w:overflowPunct w:val="0"/>
      <w:autoSpaceDE w:val="0"/>
      <w:autoSpaceDN w:val="0"/>
      <w:adjustRightInd w:val="0"/>
      <w:spacing w:before="120" w:after="120" w:line="240" w:lineRule="auto"/>
      <w:jc w:val="both"/>
      <w:textAlignment w:val="baseline"/>
    </w:pPr>
    <w:rPr>
      <w:rFonts w:ascii="Times New Roman" w:eastAsia="Times New Roman" w:hAnsi="Times New Roman"/>
      <w:spacing w:val="-4"/>
      <w:sz w:val="24"/>
      <w:szCs w:val="20"/>
      <w:lang w:val="en-US" w:eastAsia="fr-FR"/>
      <w14:ligatures w14:val="standardContextual"/>
    </w:rPr>
  </w:style>
  <w:style w:type="paragraph" w:customStyle="1" w:styleId="SectionVIHeader">
    <w:name w:val="Section VI. Header"/>
    <w:basedOn w:val="SectionVHeader"/>
    <w:rsid w:val="000676A1"/>
    <w:rPr>
      <w:lang w:val="en-US"/>
    </w:rPr>
  </w:style>
  <w:style w:type="paragraph" w:customStyle="1" w:styleId="Head2">
    <w:name w:val="Head 2"/>
    <w:basedOn w:val="Titre9"/>
    <w:rsid w:val="000676A1"/>
    <w:pPr>
      <w:keepNext/>
      <w:widowControl w:val="0"/>
      <w:numPr>
        <w:ilvl w:val="0"/>
        <w:numId w:val="0"/>
      </w:numPr>
      <w:suppressAutoHyphens/>
      <w:overflowPunct w:val="0"/>
      <w:autoSpaceDE w:val="0"/>
      <w:autoSpaceDN w:val="0"/>
      <w:adjustRightInd w:val="0"/>
      <w:spacing w:before="0" w:after="0" w:line="240" w:lineRule="auto"/>
      <w:jc w:val="both"/>
      <w:textAlignment w:val="baseline"/>
      <w:outlineLvl w:val="9"/>
    </w:pPr>
    <w:rPr>
      <w:rFonts w:ascii="Times New Roman Bold" w:hAnsi="Times New Roman Bold"/>
      <w:spacing w:val="-4"/>
      <w:sz w:val="32"/>
      <w:szCs w:val="20"/>
      <w:lang w:val="en-US" w:eastAsia="x-none"/>
      <w14:ligatures w14:val="standardContextual"/>
    </w:rPr>
  </w:style>
  <w:style w:type="character" w:customStyle="1" w:styleId="Parahead">
    <w:name w:val="Para head"/>
    <w:rsid w:val="000676A1"/>
    <w:rPr>
      <w:sz w:val="20"/>
    </w:rPr>
  </w:style>
  <w:style w:type="paragraph" w:customStyle="1" w:styleId="sectionIIIheader">
    <w:name w:val="section III header"/>
    <w:basedOn w:val="Normal"/>
    <w:rsid w:val="000676A1"/>
    <w:pPr>
      <w:overflowPunct w:val="0"/>
      <w:autoSpaceDE w:val="0"/>
      <w:autoSpaceDN w:val="0"/>
      <w:adjustRightInd w:val="0"/>
      <w:spacing w:before="240" w:after="0" w:line="240" w:lineRule="auto"/>
      <w:textAlignment w:val="baseline"/>
    </w:pPr>
    <w:rPr>
      <w:rFonts w:ascii="Arial Black" w:eastAsia="Times New Roman" w:hAnsi="Arial Black"/>
      <w:sz w:val="24"/>
      <w:szCs w:val="20"/>
      <w:lang w:val="en-US" w:eastAsia="fr-FR"/>
      <w14:ligatures w14:val="standardContextual"/>
    </w:rPr>
  </w:style>
  <w:style w:type="paragraph" w:customStyle="1" w:styleId="titulo">
    <w:name w:val="titulo"/>
    <w:basedOn w:val="Titre50"/>
    <w:uiPriority w:val="99"/>
    <w:rsid w:val="000676A1"/>
    <w:pPr>
      <w:numPr>
        <w:ilvl w:val="0"/>
        <w:numId w:val="0"/>
      </w:numPr>
      <w:overflowPunct w:val="0"/>
      <w:autoSpaceDE w:val="0"/>
      <w:autoSpaceDN w:val="0"/>
      <w:adjustRightInd w:val="0"/>
      <w:spacing w:before="0" w:after="240" w:line="240" w:lineRule="auto"/>
      <w:jc w:val="center"/>
      <w:textAlignment w:val="baseline"/>
      <w:outlineLvl w:val="9"/>
    </w:pPr>
    <w:rPr>
      <w:rFonts w:ascii="Times New Roman Bold" w:hAnsi="Times New Roman Bold"/>
      <w:bCs w:val="0"/>
      <w:i w:val="0"/>
      <w:iCs w:val="0"/>
      <w:sz w:val="24"/>
      <w:szCs w:val="20"/>
      <w:lang w:val="en-US" w:eastAsia="x-none"/>
      <w14:ligatures w14:val="standardContextual"/>
    </w:rPr>
  </w:style>
  <w:style w:type="paragraph" w:customStyle="1" w:styleId="Part">
    <w:name w:val="Part"/>
    <w:basedOn w:val="Normal"/>
    <w:next w:val="Normal"/>
    <w:rsid w:val="000676A1"/>
    <w:pPr>
      <w:suppressAutoHyphens/>
      <w:overflowPunct w:val="0"/>
      <w:autoSpaceDE w:val="0"/>
      <w:autoSpaceDN w:val="0"/>
      <w:adjustRightInd w:val="0"/>
      <w:spacing w:before="1200" w:after="0" w:line="240" w:lineRule="auto"/>
      <w:jc w:val="center"/>
      <w:textAlignment w:val="baseline"/>
    </w:pPr>
    <w:rPr>
      <w:rFonts w:ascii="Times New Roman" w:eastAsia="Times New Roman" w:hAnsi="Times New Roman"/>
      <w:b/>
      <w:sz w:val="56"/>
      <w:szCs w:val="20"/>
      <w:lang w:eastAsia="fr-FR"/>
      <w14:ligatures w14:val="standardContextual"/>
    </w:rPr>
  </w:style>
  <w:style w:type="paragraph" w:customStyle="1" w:styleId="StyleHeader1-ClausesLeft0Firstline0">
    <w:name w:val="Style Header 1 - Clauses + Left:  0&quot; First line:  0&quot;"/>
    <w:basedOn w:val="Header1-Clauses"/>
    <w:rsid w:val="000676A1"/>
    <w:pPr>
      <w:numPr>
        <w:ilvl w:val="0"/>
        <w:numId w:val="0"/>
      </w:numPr>
      <w:tabs>
        <w:tab w:val="left" w:pos="432"/>
      </w:tabs>
      <w:overflowPunct w:val="0"/>
      <w:autoSpaceDE w:val="0"/>
      <w:autoSpaceDN w:val="0"/>
      <w:adjustRightInd w:val="0"/>
      <w:ind w:left="432" w:hanging="432"/>
      <w:textAlignment w:val="baseline"/>
    </w:pPr>
    <w:rPr>
      <w:bCs/>
      <w:lang w:eastAsia="fr-FR"/>
    </w:rPr>
  </w:style>
  <w:style w:type="paragraph" w:customStyle="1" w:styleId="SectionIVHeader">
    <w:name w:val="Section IV Header"/>
    <w:basedOn w:val="SectionVHeader"/>
    <w:rsid w:val="000676A1"/>
    <w:rPr>
      <w:lang w:val="fr-FR"/>
    </w:rPr>
  </w:style>
  <w:style w:type="paragraph" w:customStyle="1" w:styleId="SectionIVHeader-2">
    <w:name w:val="Section IV Header - 2"/>
    <w:basedOn w:val="Head81"/>
    <w:rsid w:val="000676A1"/>
  </w:style>
  <w:style w:type="paragraph" w:customStyle="1" w:styleId="StyleSectionIVHeader-2Centered">
    <w:name w:val="Style Section IV Header - 2 + Centered"/>
    <w:basedOn w:val="SectionIVHeader-2"/>
    <w:rsid w:val="000676A1"/>
    <w:rPr>
      <w:bCs/>
    </w:rPr>
  </w:style>
  <w:style w:type="paragraph" w:customStyle="1" w:styleId="SectionIXHeading">
    <w:name w:val="Section IX Heading"/>
    <w:basedOn w:val="Head81"/>
    <w:rsid w:val="000676A1"/>
    <w:pPr>
      <w:spacing w:before="240" w:after="240"/>
    </w:pPr>
    <w:rPr>
      <w:sz w:val="32"/>
    </w:rPr>
  </w:style>
  <w:style w:type="paragraph" w:customStyle="1" w:styleId="Section1Header1">
    <w:name w:val="Section 1 Header 1"/>
    <w:basedOn w:val="BodyText21"/>
    <w:rsid w:val="000676A1"/>
    <w:pPr>
      <w:widowControl/>
      <w:autoSpaceDE/>
      <w:autoSpaceDN/>
      <w:ind w:right="0"/>
      <w:jc w:val="left"/>
    </w:pPr>
    <w:rPr>
      <w:kern w:val="24"/>
      <w:sz w:val="22"/>
      <w:szCs w:val="20"/>
      <w:lang w:val="en-US" w:eastAsia="en-US"/>
      <w14:ligatures w14:val="standardContextual"/>
    </w:rPr>
  </w:style>
  <w:style w:type="paragraph" w:customStyle="1" w:styleId="UG-Heading1">
    <w:name w:val="UG - Heading 1"/>
    <w:basedOn w:val="Titre1"/>
    <w:rsid w:val="000676A1"/>
    <w:pPr>
      <w:keepLines w:val="0"/>
      <w:numPr>
        <w:numId w:val="0"/>
      </w:numPr>
      <w:spacing w:before="0" w:after="200"/>
      <w:ind w:right="0"/>
      <w:jc w:val="center"/>
    </w:pPr>
    <w:rPr>
      <w:rFonts w:ascii="Times New Roman" w:hAnsi="Times New Roman"/>
      <w:bCs w:val="0"/>
      <w:caps w:val="0"/>
      <w:kern w:val="28"/>
      <w:sz w:val="36"/>
      <w:szCs w:val="20"/>
      <w:lang w:val="x-none" w:eastAsia="x-none"/>
      <w14:ligatures w14:val="standardContextual"/>
    </w:rPr>
  </w:style>
  <w:style w:type="paragraph" w:customStyle="1" w:styleId="UG-Heading2">
    <w:name w:val="UG - Heading 2"/>
    <w:basedOn w:val="Titre2"/>
    <w:rsid w:val="000676A1"/>
    <w:pPr>
      <w:keepNext w:val="0"/>
      <w:pBdr>
        <w:bottom w:val="none" w:sz="0" w:space="0" w:color="auto"/>
      </w:pBdr>
      <w:tabs>
        <w:tab w:val="left" w:pos="619"/>
      </w:tabs>
      <w:spacing w:before="0" w:after="200"/>
      <w:jc w:val="center"/>
    </w:pPr>
    <w:rPr>
      <w:rFonts w:ascii="Times New Roman Bold" w:hAnsi="Times New Roman Bold"/>
      <w:bCs w:val="0"/>
      <w:color w:val="auto"/>
      <w:sz w:val="28"/>
      <w:szCs w:val="28"/>
      <w:lang w:val="x-none" w:eastAsia="x-none"/>
      <w14:ligatures w14:val="standardContextual"/>
    </w:rPr>
  </w:style>
  <w:style w:type="paragraph" w:customStyle="1" w:styleId="UG-Header">
    <w:name w:val="UG - Header"/>
    <w:basedOn w:val="Normal"/>
    <w:rsid w:val="000676A1"/>
    <w:pPr>
      <w:suppressAutoHyphens/>
      <w:overflowPunct w:val="0"/>
      <w:autoSpaceDE w:val="0"/>
      <w:autoSpaceDN w:val="0"/>
      <w:adjustRightInd w:val="0"/>
      <w:spacing w:after="0" w:line="240" w:lineRule="auto"/>
      <w:jc w:val="center"/>
      <w:textAlignment w:val="baseline"/>
    </w:pPr>
    <w:rPr>
      <w:rFonts w:ascii="Times New Roman" w:eastAsia="Times New Roman" w:hAnsi="Times New Roman"/>
      <w:b/>
      <w:sz w:val="72"/>
      <w:szCs w:val="20"/>
      <w:lang w:eastAsia="fr-FR"/>
      <w14:ligatures w14:val="standardContextual"/>
    </w:rPr>
  </w:style>
  <w:style w:type="paragraph" w:customStyle="1" w:styleId="Style110">
    <w:name w:val="Style 11"/>
    <w:basedOn w:val="Normal"/>
    <w:uiPriority w:val="99"/>
    <w:rsid w:val="000676A1"/>
    <w:pPr>
      <w:widowControl w:val="0"/>
      <w:autoSpaceDE w:val="0"/>
      <w:autoSpaceDN w:val="0"/>
      <w:spacing w:after="0" w:line="384" w:lineRule="atLeast"/>
    </w:pPr>
    <w:rPr>
      <w:rFonts w:ascii="Times New Roman" w:eastAsia="Times New Roman" w:hAnsi="Times New Roman"/>
      <w:sz w:val="24"/>
      <w:szCs w:val="24"/>
      <w:lang w:val="en-US"/>
      <w14:ligatures w14:val="standardContextual"/>
    </w:rPr>
  </w:style>
  <w:style w:type="paragraph" w:customStyle="1" w:styleId="S4-header1">
    <w:name w:val="S4-header1"/>
    <w:basedOn w:val="Normal"/>
    <w:rsid w:val="000676A1"/>
    <w:pPr>
      <w:spacing w:before="120" w:after="240" w:line="240" w:lineRule="auto"/>
      <w:jc w:val="center"/>
    </w:pPr>
    <w:rPr>
      <w:rFonts w:ascii="Times New Roman" w:eastAsia="Times New Roman" w:hAnsi="Times New Roman"/>
      <w:b/>
      <w:sz w:val="36"/>
      <w:szCs w:val="20"/>
      <w:lang w:val="en-US"/>
      <w14:ligatures w14:val="standardContextual"/>
    </w:rPr>
  </w:style>
  <w:style w:type="paragraph" w:customStyle="1" w:styleId="SimpleLista">
    <w:name w:val="Simple List (a)"/>
    <w:uiPriority w:val="99"/>
    <w:rsid w:val="000676A1"/>
    <w:pPr>
      <w:numPr>
        <w:numId w:val="254"/>
      </w:numPr>
      <w:spacing w:before="60" w:after="60" w:line="240" w:lineRule="auto"/>
    </w:pPr>
    <w:rPr>
      <w:rFonts w:ascii="Times New Roman" w:eastAsia="SimSun" w:hAnsi="Times New Roman" w:cs="Times New Roman"/>
      <w:sz w:val="24"/>
      <w:szCs w:val="28"/>
      <w:lang w:val="en-GB" w:eastAsia="zh-CN"/>
      <w14:ligatures w14:val="standardContextual"/>
    </w:rPr>
  </w:style>
  <w:style w:type="paragraph" w:customStyle="1" w:styleId="Titre310">
    <w:name w:val="Titre 31"/>
    <w:basedOn w:val="Default"/>
    <w:next w:val="Default"/>
    <w:uiPriority w:val="9"/>
    <w:qFormat/>
    <w:rsid w:val="000676A1"/>
    <w:rPr>
      <w:rFonts w:ascii="Times New Roman" w:eastAsia="Times New Roman" w:hAnsi="Times New Roman" w:cs="Times New Roman"/>
      <w:color w:val="auto"/>
      <w:lang w:eastAsia="fr-FR"/>
      <w14:ligatures w14:val="standardContextual"/>
    </w:rPr>
  </w:style>
  <w:style w:type="character" w:customStyle="1" w:styleId="Appelnotedebasdep1">
    <w:name w:val="Appel note de bas de p.1"/>
    <w:rsid w:val="000676A1"/>
    <w:rPr>
      <w:color w:val="000000"/>
    </w:rPr>
  </w:style>
  <w:style w:type="paragraph" w:customStyle="1" w:styleId="FIDICClauseName">
    <w:name w:val="FIDIC_ClauseName"/>
    <w:basedOn w:val="Normal"/>
    <w:next w:val="Normal"/>
    <w:uiPriority w:val="99"/>
    <w:rsid w:val="000676A1"/>
    <w:pPr>
      <w:spacing w:before="240" w:after="240" w:line="240" w:lineRule="exact"/>
    </w:pPr>
    <w:rPr>
      <w:rFonts w:ascii="Arial" w:eastAsia="Times New Roman" w:hAnsi="Arial" w:cs="Arial"/>
      <w:color w:val="0000CC"/>
      <w:spacing w:val="-5"/>
      <w:sz w:val="28"/>
      <w:szCs w:val="28"/>
      <w:lang w:val="en-GB"/>
      <w14:ligatures w14:val="standardContextual"/>
    </w:rPr>
  </w:style>
  <w:style w:type="paragraph" w:customStyle="1" w:styleId="S4-Header2">
    <w:name w:val="S4-Header 2"/>
    <w:basedOn w:val="Normal"/>
    <w:rsid w:val="000676A1"/>
    <w:pPr>
      <w:spacing w:before="120" w:after="240" w:line="240" w:lineRule="auto"/>
      <w:jc w:val="center"/>
    </w:pPr>
    <w:rPr>
      <w:rFonts w:ascii="Times New Roman" w:eastAsia="Times New Roman" w:hAnsi="Times New Roman"/>
      <w:b/>
      <w:sz w:val="32"/>
      <w:szCs w:val="24"/>
      <w:lang w:val="en-US"/>
      <w14:ligatures w14:val="standardContextual"/>
    </w:rPr>
  </w:style>
  <w:style w:type="paragraph" w:customStyle="1" w:styleId="Head1">
    <w:name w:val="Head1"/>
    <w:basedOn w:val="Default"/>
    <w:next w:val="Default"/>
    <w:rsid w:val="000676A1"/>
    <w:rPr>
      <w:rFonts w:ascii="Times New Roman" w:eastAsia="Times New Roman" w:hAnsi="Times New Roman" w:cs="Times New Roman"/>
      <w:color w:val="auto"/>
      <w:lang w:eastAsia="fr-FR"/>
      <w14:ligatures w14:val="standardContextual"/>
    </w:rPr>
  </w:style>
  <w:style w:type="paragraph" w:customStyle="1" w:styleId="FIDICClauseSubSubName">
    <w:name w:val="FIDIC_ClauseSubSubName"/>
    <w:basedOn w:val="Normal"/>
    <w:next w:val="Normal"/>
    <w:rsid w:val="000676A1"/>
    <w:pPr>
      <w:spacing w:before="120" w:after="120" w:line="240" w:lineRule="exact"/>
    </w:pPr>
    <w:rPr>
      <w:rFonts w:ascii="Helvetica Neue" w:eastAsia="Times New Roman" w:hAnsi="Helvetica Neue"/>
      <w:color w:val="0000CC"/>
      <w:spacing w:val="-5"/>
      <w:sz w:val="20"/>
      <w:szCs w:val="20"/>
      <w:lang w:val="en-US"/>
      <w14:ligatures w14:val="standardContextual"/>
    </w:rPr>
  </w:style>
  <w:style w:type="paragraph" w:customStyle="1" w:styleId="plane">
    <w:name w:val="plane"/>
    <w:basedOn w:val="Normal"/>
    <w:rsid w:val="000676A1"/>
    <w:pPr>
      <w:suppressAutoHyphens/>
      <w:spacing w:after="0" w:line="240" w:lineRule="auto"/>
      <w:jc w:val="both"/>
    </w:pPr>
    <w:rPr>
      <w:rFonts w:ascii="Tms Rmn" w:eastAsia="Times New Roman" w:hAnsi="Tms Rmn"/>
      <w:sz w:val="24"/>
      <w:szCs w:val="20"/>
      <w:lang w:val="en-US"/>
      <w14:ligatures w14:val="standardContextual"/>
    </w:rPr>
  </w:style>
  <w:style w:type="paragraph" w:customStyle="1" w:styleId="S7-Header2">
    <w:name w:val="S7 - Header 2"/>
    <w:basedOn w:val="Normal"/>
    <w:rsid w:val="000676A1"/>
    <w:pPr>
      <w:numPr>
        <w:numId w:val="255"/>
      </w:numPr>
      <w:spacing w:after="0" w:line="240" w:lineRule="auto"/>
    </w:pPr>
    <w:rPr>
      <w:rFonts w:ascii="Times New Roman" w:eastAsia="Times New Roman" w:hAnsi="Times New Roman"/>
      <w:b/>
      <w:sz w:val="24"/>
      <w:szCs w:val="20"/>
      <w:lang w:val="en-US"/>
      <w14:ligatures w14:val="standardContextual"/>
    </w:rPr>
  </w:style>
  <w:style w:type="paragraph" w:customStyle="1" w:styleId="SectionVII">
    <w:name w:val="Section VII"/>
    <w:basedOn w:val="Header2-SubClauses"/>
    <w:autoRedefine/>
    <w:rsid w:val="000676A1"/>
    <w:pPr>
      <w:tabs>
        <w:tab w:val="clear" w:pos="619"/>
        <w:tab w:val="left" w:pos="2699"/>
      </w:tabs>
      <w:spacing w:after="120"/>
      <w:ind w:left="0" w:firstLine="0"/>
    </w:pPr>
    <w:rPr>
      <w:rFonts w:eastAsia="Arial Unicode MS"/>
      <w:bCs/>
      <w:szCs w:val="24"/>
      <w:lang w:val="en-GB"/>
    </w:rPr>
  </w:style>
  <w:style w:type="character" w:customStyle="1" w:styleId="gt-icon-text1">
    <w:name w:val="gt-icon-text1"/>
    <w:rsid w:val="000676A1"/>
  </w:style>
  <w:style w:type="paragraph" w:customStyle="1" w:styleId="Normal100">
    <w:name w:val="Normal 10"/>
    <w:basedOn w:val="Normal"/>
    <w:uiPriority w:val="99"/>
    <w:rsid w:val="000676A1"/>
    <w:pPr>
      <w:widowControl w:val="0"/>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eastAsia="fr-FR"/>
      <w14:ligatures w14:val="standardContextual"/>
    </w:rPr>
  </w:style>
  <w:style w:type="character" w:styleId="Numrodeligne">
    <w:name w:val="line number"/>
    <w:rsid w:val="000676A1"/>
  </w:style>
  <w:style w:type="paragraph" w:customStyle="1" w:styleId="TIRET0">
    <w:name w:val="TIRET"/>
    <w:basedOn w:val="Normal"/>
    <w:rsid w:val="000676A1"/>
    <w:pPr>
      <w:spacing w:after="0" w:line="240" w:lineRule="auto"/>
      <w:ind w:left="567" w:hanging="227"/>
    </w:pPr>
    <w:rPr>
      <w:rFonts w:ascii="Courier PS" w:eastAsia="Times New Roman" w:hAnsi="Courier PS"/>
      <w:sz w:val="24"/>
      <w:szCs w:val="20"/>
      <w:lang w:eastAsia="fr-FR"/>
      <w14:ligatures w14:val="standardContextual"/>
    </w:rPr>
  </w:style>
  <w:style w:type="paragraph" w:customStyle="1" w:styleId="SART">
    <w:name w:val="S/ART"/>
    <w:basedOn w:val="Normal"/>
    <w:rsid w:val="000676A1"/>
    <w:pPr>
      <w:spacing w:after="0" w:line="240" w:lineRule="auto"/>
    </w:pPr>
    <w:rPr>
      <w:rFonts w:ascii="Courier PS" w:eastAsia="Times New Roman" w:hAnsi="Courier PS"/>
      <w:caps/>
      <w:sz w:val="24"/>
      <w:szCs w:val="20"/>
      <w:lang w:eastAsia="fr-FR"/>
      <w14:ligatures w14:val="standardContextual"/>
    </w:rPr>
  </w:style>
  <w:style w:type="paragraph" w:customStyle="1" w:styleId="SSART">
    <w:name w:val="SS/ART"/>
    <w:basedOn w:val="Normal"/>
    <w:rsid w:val="000676A1"/>
    <w:pPr>
      <w:spacing w:after="0" w:line="240" w:lineRule="auto"/>
    </w:pPr>
    <w:rPr>
      <w:rFonts w:ascii="Times New Roman" w:eastAsia="Times New Roman" w:hAnsi="Times New Roman"/>
      <w:b/>
      <w:sz w:val="24"/>
      <w:szCs w:val="20"/>
      <w:lang w:eastAsia="fr-FR"/>
      <w14:ligatures w14:val="standardContextual"/>
    </w:rPr>
  </w:style>
  <w:style w:type="paragraph" w:customStyle="1" w:styleId="SSSART">
    <w:name w:val="SSS/ART"/>
    <w:basedOn w:val="Normal"/>
    <w:rsid w:val="000676A1"/>
    <w:pPr>
      <w:spacing w:before="120" w:after="120" w:line="240" w:lineRule="auto"/>
      <w:ind w:left="284"/>
    </w:pPr>
    <w:rPr>
      <w:rFonts w:ascii="Times New Roman" w:eastAsia="Times New Roman" w:hAnsi="Times New Roman"/>
      <w:b/>
      <w:i/>
      <w:sz w:val="24"/>
      <w:szCs w:val="20"/>
      <w:lang w:eastAsia="fr-FR"/>
      <w14:ligatures w14:val="standardContextual"/>
    </w:rPr>
  </w:style>
  <w:style w:type="paragraph" w:customStyle="1" w:styleId="ALINEA0">
    <w:name w:val="ALINEA"/>
    <w:basedOn w:val="Normal"/>
    <w:rsid w:val="000676A1"/>
    <w:pPr>
      <w:tabs>
        <w:tab w:val="left" w:pos="426"/>
        <w:tab w:val="left" w:pos="1702"/>
      </w:tabs>
      <w:spacing w:before="120" w:after="120" w:line="240" w:lineRule="auto"/>
      <w:ind w:left="709" w:hanging="284"/>
      <w:jc w:val="both"/>
    </w:pPr>
    <w:rPr>
      <w:rFonts w:ascii="Times New Roman" w:eastAsia="Times New Roman" w:hAnsi="Times New Roman"/>
      <w:b/>
      <w:i/>
      <w:sz w:val="24"/>
      <w:szCs w:val="20"/>
      <w:lang w:eastAsia="fr-FR"/>
      <w14:ligatures w14:val="standardContextual"/>
    </w:rPr>
  </w:style>
  <w:style w:type="paragraph" w:customStyle="1" w:styleId="SALINEA">
    <w:name w:val="S/ALINEA"/>
    <w:basedOn w:val="Normal"/>
    <w:rsid w:val="000676A1"/>
    <w:pPr>
      <w:tabs>
        <w:tab w:val="left" w:pos="709"/>
        <w:tab w:val="left" w:pos="1702"/>
      </w:tabs>
      <w:spacing w:after="0" w:line="240" w:lineRule="auto"/>
      <w:ind w:left="1134" w:hanging="141"/>
      <w:jc w:val="both"/>
    </w:pPr>
    <w:rPr>
      <w:rFonts w:ascii="Courier PS" w:eastAsia="Times New Roman" w:hAnsi="Courier PS"/>
      <w:sz w:val="24"/>
      <w:szCs w:val="20"/>
      <w:lang w:eastAsia="fr-FR"/>
      <w14:ligatures w14:val="standardContextual"/>
    </w:rPr>
  </w:style>
  <w:style w:type="paragraph" w:customStyle="1" w:styleId="ART">
    <w:name w:val="ART"/>
    <w:basedOn w:val="Normal"/>
    <w:rsid w:val="000676A1"/>
    <w:pPr>
      <w:spacing w:after="0" w:line="240" w:lineRule="auto"/>
      <w:ind w:left="1560" w:hanging="1560"/>
      <w:jc w:val="both"/>
    </w:pPr>
    <w:rPr>
      <w:rFonts w:ascii="Courier PS" w:eastAsia="Times New Roman" w:hAnsi="Courier PS"/>
      <w:b/>
      <w:sz w:val="24"/>
      <w:szCs w:val="20"/>
      <w:u w:val="single"/>
      <w:lang w:eastAsia="fr-FR"/>
      <w14:ligatures w14:val="standardContextual"/>
    </w:rPr>
  </w:style>
  <w:style w:type="paragraph" w:customStyle="1" w:styleId="RETRAIT0">
    <w:name w:val="RETRAIT"/>
    <w:basedOn w:val="Normal"/>
    <w:rsid w:val="000676A1"/>
    <w:pPr>
      <w:spacing w:after="0" w:line="240" w:lineRule="auto"/>
      <w:ind w:left="993" w:hanging="284"/>
      <w:jc w:val="both"/>
    </w:pPr>
    <w:rPr>
      <w:rFonts w:ascii="Courier PS" w:eastAsia="Times New Roman" w:hAnsi="Courier PS"/>
      <w:sz w:val="24"/>
      <w:szCs w:val="20"/>
      <w:lang w:eastAsia="fr-FR"/>
      <w14:ligatures w14:val="standardContextual"/>
    </w:rPr>
  </w:style>
  <w:style w:type="paragraph" w:customStyle="1" w:styleId="SSART0">
    <w:name w:val="S/S/ART"/>
    <w:basedOn w:val="ALINEA0"/>
    <w:rsid w:val="000676A1"/>
    <w:pPr>
      <w:tabs>
        <w:tab w:val="clear" w:pos="426"/>
        <w:tab w:val="left" w:pos="1276"/>
      </w:tabs>
      <w:spacing w:before="0" w:after="0"/>
      <w:ind w:left="0" w:firstLine="0"/>
    </w:pPr>
    <w:rPr>
      <w:i w:val="0"/>
    </w:rPr>
  </w:style>
  <w:style w:type="paragraph" w:customStyle="1" w:styleId="RET2">
    <w:name w:val="RET 2"/>
    <w:basedOn w:val="Normal"/>
    <w:rsid w:val="000676A1"/>
    <w:pPr>
      <w:overflowPunct w:val="0"/>
      <w:autoSpaceDE w:val="0"/>
      <w:autoSpaceDN w:val="0"/>
      <w:adjustRightInd w:val="0"/>
      <w:spacing w:before="120" w:after="120" w:line="240" w:lineRule="auto"/>
      <w:ind w:left="567" w:hanging="283"/>
      <w:jc w:val="both"/>
      <w:textAlignment w:val="baseline"/>
    </w:pPr>
    <w:rPr>
      <w:rFonts w:ascii="Times New Roman" w:eastAsia="MS Mincho" w:hAnsi="Times New Roman"/>
      <w:sz w:val="24"/>
      <w:szCs w:val="20"/>
      <w:lang w:eastAsia="ja-JP"/>
      <w14:ligatures w14:val="standardContextual"/>
    </w:rPr>
  </w:style>
  <w:style w:type="paragraph" w:customStyle="1" w:styleId="ret4">
    <w:name w:val="ret4"/>
    <w:basedOn w:val="Normal"/>
    <w:rsid w:val="000676A1"/>
    <w:pPr>
      <w:adjustRightInd w:val="0"/>
      <w:snapToGrid w:val="0"/>
      <w:spacing w:before="120" w:after="0" w:line="240" w:lineRule="auto"/>
      <w:ind w:left="1560" w:hanging="284"/>
      <w:jc w:val="both"/>
    </w:pPr>
    <w:rPr>
      <w:rFonts w:ascii="Times New Roman" w:eastAsia="Times New Roman" w:hAnsi="Times New Roman"/>
      <w:sz w:val="24"/>
      <w:szCs w:val="20"/>
      <w:lang w:eastAsia="ja-JP"/>
      <w14:ligatures w14:val="standardContextual"/>
    </w:rPr>
  </w:style>
  <w:style w:type="paragraph" w:customStyle="1" w:styleId="Enum1">
    <w:name w:val="Enum 1"/>
    <w:basedOn w:val="Normal"/>
    <w:rsid w:val="000676A1"/>
    <w:pPr>
      <w:tabs>
        <w:tab w:val="num" w:pos="360"/>
      </w:tabs>
      <w:spacing w:after="0" w:line="240" w:lineRule="auto"/>
      <w:ind w:left="360" w:hanging="360"/>
    </w:pPr>
    <w:rPr>
      <w:rFonts w:ascii="Courier PS" w:eastAsia="Times New Roman" w:hAnsi="Courier PS"/>
      <w:sz w:val="24"/>
      <w:szCs w:val="20"/>
      <w:lang w:eastAsia="fr-FR"/>
      <w14:ligatures w14:val="standardContextual"/>
    </w:rPr>
  </w:style>
  <w:style w:type="paragraph" w:customStyle="1" w:styleId="Enum2">
    <w:name w:val="Enum 2"/>
    <w:basedOn w:val="Enum1"/>
    <w:rsid w:val="000676A1"/>
    <w:pPr>
      <w:keepLines/>
      <w:tabs>
        <w:tab w:val="clear" w:pos="360"/>
        <w:tab w:val="num" w:pos="2520"/>
      </w:tabs>
      <w:spacing w:before="60"/>
      <w:ind w:left="2520"/>
      <w:jc w:val="both"/>
    </w:pPr>
    <w:rPr>
      <w:rFonts w:ascii="Arial" w:hAnsi="Arial"/>
      <w:sz w:val="20"/>
    </w:rPr>
  </w:style>
  <w:style w:type="paragraph" w:customStyle="1" w:styleId="TxBrp29">
    <w:name w:val="TxBr_p29"/>
    <w:basedOn w:val="Normal"/>
    <w:rsid w:val="000676A1"/>
    <w:pPr>
      <w:widowControl w:val="0"/>
      <w:numPr>
        <w:ilvl w:val="1"/>
        <w:numId w:val="256"/>
      </w:numPr>
      <w:tabs>
        <w:tab w:val="clear" w:pos="1440"/>
        <w:tab w:val="left" w:pos="2494"/>
        <w:tab w:val="left" w:pos="2948"/>
      </w:tabs>
      <w:autoSpaceDE w:val="0"/>
      <w:autoSpaceDN w:val="0"/>
      <w:adjustRightInd w:val="0"/>
      <w:spacing w:after="0" w:line="272" w:lineRule="atLeast"/>
      <w:ind w:left="2948" w:hanging="453"/>
    </w:pPr>
    <w:rPr>
      <w:rFonts w:ascii="Times New Roman" w:eastAsia="Times New Roman" w:hAnsi="Times New Roman"/>
      <w:sz w:val="24"/>
      <w:szCs w:val="24"/>
      <w:lang w:val="en-US" w:eastAsia="fr-FR"/>
      <w14:ligatures w14:val="standardContextual"/>
    </w:rPr>
  </w:style>
  <w:style w:type="character" w:customStyle="1" w:styleId="TexteCarCarCarCarCarCarCarCarCarCar">
    <w:name w:val="Texte Car Car Car Car Car Car Car Car Car Car"/>
    <w:rsid w:val="000676A1"/>
    <w:rPr>
      <w:rFonts w:ascii="Arial" w:hAnsi="Arial" w:cs="Arial"/>
      <w:lang w:val="fr-FR" w:eastAsia="fr-FR" w:bidi="ar-SA"/>
    </w:rPr>
  </w:style>
  <w:style w:type="paragraph" w:customStyle="1" w:styleId="titrecoltab">
    <w:name w:val="titre col tab"/>
    <w:basedOn w:val="Normal"/>
    <w:rsid w:val="000676A1"/>
    <w:pPr>
      <w:spacing w:after="0" w:line="240" w:lineRule="auto"/>
      <w:jc w:val="center"/>
    </w:pPr>
    <w:rPr>
      <w:rFonts w:ascii="Arial" w:eastAsia="Times New Roman" w:hAnsi="Arial"/>
      <w:snapToGrid w:val="0"/>
      <w:color w:val="0000FF"/>
      <w:sz w:val="20"/>
      <w:szCs w:val="20"/>
      <w:lang w:eastAsia="fr-FR"/>
      <w14:ligatures w14:val="standardContextual"/>
    </w:rPr>
  </w:style>
  <w:style w:type="paragraph" w:customStyle="1" w:styleId="RET1">
    <w:name w:val="RET1"/>
    <w:basedOn w:val="Normal"/>
    <w:rsid w:val="000676A1"/>
    <w:pPr>
      <w:widowControl w:val="0"/>
      <w:overflowPunct w:val="0"/>
      <w:autoSpaceDE w:val="0"/>
      <w:autoSpaceDN w:val="0"/>
      <w:adjustRightInd w:val="0"/>
      <w:spacing w:before="120" w:after="120" w:line="360" w:lineRule="atLeast"/>
      <w:ind w:left="284" w:hanging="284"/>
      <w:jc w:val="both"/>
      <w:textAlignment w:val="baseline"/>
    </w:pPr>
    <w:rPr>
      <w:rFonts w:ascii="Times New Roman" w:eastAsia="MS Mincho" w:hAnsi="Times New Roman"/>
      <w:sz w:val="20"/>
      <w:szCs w:val="20"/>
      <w:lang w:eastAsia="ja-JP"/>
      <w14:ligatures w14:val="standardContextual"/>
    </w:rPr>
  </w:style>
  <w:style w:type="paragraph" w:customStyle="1" w:styleId="TITREa0">
    <w:name w:val="TITRE a)"/>
    <w:basedOn w:val="TEXTE2"/>
    <w:rsid w:val="000676A1"/>
    <w:pPr>
      <w:widowControl w:val="0"/>
      <w:overflowPunct w:val="0"/>
      <w:autoSpaceDE w:val="0"/>
      <w:autoSpaceDN w:val="0"/>
      <w:adjustRightInd w:val="0"/>
      <w:spacing w:before="120" w:after="120" w:line="360" w:lineRule="atLeast"/>
      <w:ind w:hanging="567"/>
      <w:textAlignment w:val="baseline"/>
    </w:pPr>
    <w:rPr>
      <w:rFonts w:eastAsia="MS Mincho"/>
      <w:b/>
      <w:sz w:val="20"/>
      <w:szCs w:val="20"/>
      <w:lang w:eastAsia="ja-JP"/>
    </w:rPr>
  </w:style>
  <w:style w:type="paragraph" w:customStyle="1" w:styleId="TEXTEa">
    <w:name w:val="TEXTE a)"/>
    <w:basedOn w:val="TEXTE2"/>
    <w:rsid w:val="000676A1"/>
    <w:pPr>
      <w:widowControl w:val="0"/>
      <w:overflowPunct w:val="0"/>
      <w:autoSpaceDE w:val="0"/>
      <w:autoSpaceDN w:val="0"/>
      <w:adjustRightInd w:val="0"/>
      <w:spacing w:before="120" w:after="120" w:line="360" w:lineRule="atLeast"/>
      <w:textAlignment w:val="baseline"/>
    </w:pPr>
    <w:rPr>
      <w:rFonts w:eastAsia="MS Mincho"/>
      <w:sz w:val="20"/>
      <w:szCs w:val="20"/>
      <w:lang w:eastAsia="ja-JP"/>
    </w:rPr>
  </w:style>
  <w:style w:type="paragraph" w:customStyle="1" w:styleId="TEXTERET1">
    <w:name w:val="TEXTE RET1"/>
    <w:basedOn w:val="TEXTE2"/>
    <w:rsid w:val="000676A1"/>
    <w:pPr>
      <w:widowControl w:val="0"/>
      <w:overflowPunct w:val="0"/>
      <w:autoSpaceDE w:val="0"/>
      <w:autoSpaceDN w:val="0"/>
      <w:adjustRightInd w:val="0"/>
      <w:spacing w:before="120" w:after="120" w:line="360" w:lineRule="atLeast"/>
      <w:ind w:left="284"/>
      <w:textAlignment w:val="baseline"/>
    </w:pPr>
    <w:rPr>
      <w:rFonts w:eastAsia="MS Mincho"/>
      <w:sz w:val="20"/>
      <w:szCs w:val="20"/>
      <w:lang w:eastAsia="ja-JP"/>
    </w:rPr>
  </w:style>
  <w:style w:type="paragraph" w:customStyle="1" w:styleId="Titrei">
    <w:name w:val="Titre (i)"/>
    <w:basedOn w:val="TITREa0"/>
    <w:rsid w:val="000676A1"/>
    <w:rPr>
      <w:b w:val="0"/>
    </w:rPr>
  </w:style>
  <w:style w:type="paragraph" w:customStyle="1" w:styleId="TITI1">
    <w:name w:val="TITI.1"/>
    <w:basedOn w:val="Normal"/>
    <w:rsid w:val="000676A1"/>
    <w:pPr>
      <w:keepNext/>
      <w:overflowPunct w:val="0"/>
      <w:autoSpaceDE w:val="0"/>
      <w:autoSpaceDN w:val="0"/>
      <w:adjustRightInd w:val="0"/>
      <w:spacing w:after="0" w:line="360" w:lineRule="atLeast"/>
      <w:jc w:val="both"/>
    </w:pPr>
    <w:rPr>
      <w:rFonts w:ascii="Times New Roman" w:eastAsia="Times New Roman" w:hAnsi="Times New Roman"/>
      <w:b/>
      <w:bCs/>
      <w:smallCaps/>
      <w:sz w:val="24"/>
      <w:szCs w:val="24"/>
      <w:lang w:eastAsia="fr-FR"/>
      <w14:ligatures w14:val="standardContextual"/>
    </w:rPr>
  </w:style>
  <w:style w:type="paragraph" w:customStyle="1" w:styleId="toto">
    <w:name w:val="toto"/>
    <w:basedOn w:val="Normal"/>
    <w:rsid w:val="000676A1"/>
    <w:pPr>
      <w:overflowPunct w:val="0"/>
      <w:autoSpaceDE w:val="0"/>
      <w:autoSpaceDN w:val="0"/>
      <w:adjustRightInd w:val="0"/>
      <w:spacing w:before="120" w:after="0" w:line="360" w:lineRule="atLeast"/>
      <w:ind w:left="567"/>
      <w:jc w:val="both"/>
    </w:pPr>
    <w:rPr>
      <w:rFonts w:ascii="Times New Roman" w:eastAsia="Times New Roman" w:hAnsi="Times New Roman"/>
      <w:sz w:val="24"/>
      <w:szCs w:val="24"/>
      <w:lang w:eastAsia="fr-FR"/>
      <w14:ligatures w14:val="standardContextual"/>
    </w:rPr>
  </w:style>
  <w:style w:type="paragraph" w:customStyle="1" w:styleId="TITI111">
    <w:name w:val="TITI.1.1.1"/>
    <w:basedOn w:val="Normal"/>
    <w:autoRedefine/>
    <w:rsid w:val="000676A1"/>
    <w:pPr>
      <w:tabs>
        <w:tab w:val="left" w:pos="567"/>
      </w:tabs>
      <w:overflowPunct w:val="0"/>
      <w:autoSpaceDE w:val="0"/>
      <w:autoSpaceDN w:val="0"/>
      <w:adjustRightInd w:val="0"/>
      <w:spacing w:after="0" w:line="360" w:lineRule="atLeast"/>
      <w:jc w:val="both"/>
      <w:textAlignment w:val="baseline"/>
    </w:pPr>
    <w:rPr>
      <w:rFonts w:ascii="Times New Roman" w:eastAsia="Times New Roman" w:hAnsi="Times New Roman"/>
      <w:bCs/>
      <w:iCs/>
      <w:sz w:val="24"/>
      <w:szCs w:val="24"/>
      <w:lang w:eastAsia="fr-FR"/>
      <w14:ligatures w14:val="standardContextual"/>
    </w:rPr>
  </w:style>
  <w:style w:type="paragraph" w:customStyle="1" w:styleId="Body">
    <w:name w:val="Body"/>
    <w:basedOn w:val="Normal"/>
    <w:link w:val="BodyCar"/>
    <w:qFormat/>
    <w:rsid w:val="000676A1"/>
    <w:pPr>
      <w:spacing w:before="120" w:after="120" w:line="240" w:lineRule="auto"/>
    </w:pPr>
    <w:rPr>
      <w:rFonts w:ascii="Arial" w:eastAsia="Times New Roman" w:hAnsi="Arial"/>
      <w:szCs w:val="24"/>
      <w:lang w:val="x-none" w:eastAsia="x-none"/>
      <w14:ligatures w14:val="standardContextual"/>
    </w:rPr>
  </w:style>
  <w:style w:type="character" w:customStyle="1" w:styleId="BodyCar">
    <w:name w:val="Body Car"/>
    <w:link w:val="Body"/>
    <w:rsid w:val="000676A1"/>
    <w:rPr>
      <w:rFonts w:ascii="Arial" w:eastAsia="Times New Roman" w:hAnsi="Arial" w:cs="Times New Roman"/>
      <w:szCs w:val="24"/>
      <w:lang w:val="x-none" w:eastAsia="x-none"/>
      <w14:ligatures w14:val="standardContextual"/>
    </w:rPr>
  </w:style>
  <w:style w:type="paragraph" w:customStyle="1" w:styleId="Blockquote">
    <w:name w:val="Blockquote"/>
    <w:basedOn w:val="Normal"/>
    <w:rsid w:val="000676A1"/>
    <w:pPr>
      <w:widowControl w:val="0"/>
      <w:spacing w:before="100" w:after="100" w:line="240" w:lineRule="auto"/>
      <w:ind w:left="360" w:right="360"/>
    </w:pPr>
    <w:rPr>
      <w:rFonts w:ascii="Times New Roman" w:eastAsia="Times New Roman" w:hAnsi="Times New Roman"/>
      <w:snapToGrid w:val="0"/>
      <w:sz w:val="24"/>
      <w:szCs w:val="20"/>
      <w:lang w:eastAsia="en-GB"/>
      <w14:ligatures w14:val="standardContextual"/>
    </w:rPr>
  </w:style>
  <w:style w:type="paragraph" w:customStyle="1" w:styleId="Normalcentr1">
    <w:name w:val="Normal centré1"/>
    <w:basedOn w:val="Normal"/>
    <w:rsid w:val="000676A1"/>
    <w:pPr>
      <w:overflowPunct w:val="0"/>
      <w:autoSpaceDE w:val="0"/>
      <w:autoSpaceDN w:val="0"/>
      <w:adjustRightInd w:val="0"/>
      <w:spacing w:after="0" w:line="240" w:lineRule="auto"/>
      <w:ind w:left="113"/>
      <w:jc w:val="both"/>
      <w:textAlignment w:val="baseline"/>
    </w:pPr>
    <w:rPr>
      <w:rFonts w:ascii="Arial" w:eastAsia="Times New Roman" w:hAnsi="Arial"/>
      <w:szCs w:val="20"/>
      <w:lang w:eastAsia="fr-FR"/>
      <w14:ligatures w14:val="standardContextual"/>
    </w:rPr>
  </w:style>
  <w:style w:type="paragraph" w:customStyle="1" w:styleId="SectionVStyle1">
    <w:name w:val="Section V Style1"/>
    <w:rsid w:val="000676A1"/>
    <w:pPr>
      <w:ind w:left="576" w:hanging="576"/>
    </w:pPr>
    <w:rPr>
      <w:rFonts w:eastAsia="SimSun"/>
      <w:b/>
      <w:sz w:val="24"/>
      <w:lang w:eastAsia="fr-FR"/>
      <w14:ligatures w14:val="standardContextual"/>
    </w:rPr>
  </w:style>
  <w:style w:type="paragraph" w:customStyle="1" w:styleId="Enumere">
    <w:name w:val="Enumere"/>
    <w:basedOn w:val="Normal"/>
    <w:link w:val="EnumereCarCar"/>
    <w:uiPriority w:val="99"/>
    <w:rsid w:val="000676A1"/>
    <w:pPr>
      <w:tabs>
        <w:tab w:val="left" w:pos="567"/>
      </w:tabs>
      <w:spacing w:after="0" w:line="240" w:lineRule="exact"/>
      <w:ind w:left="1602" w:hanging="360"/>
      <w:jc w:val="both"/>
    </w:pPr>
    <w:rPr>
      <w:rFonts w:ascii="Arial" w:eastAsia="Times New Roman" w:hAnsi="Arial"/>
      <w:sz w:val="20"/>
      <w:szCs w:val="24"/>
      <w:lang w:val="x-none" w:eastAsia="x-none"/>
      <w14:ligatures w14:val="standardContextual"/>
    </w:rPr>
  </w:style>
  <w:style w:type="character" w:customStyle="1" w:styleId="EnumereCarCar">
    <w:name w:val="Enumere Car Car"/>
    <w:link w:val="Enumere"/>
    <w:uiPriority w:val="99"/>
    <w:rsid w:val="000676A1"/>
    <w:rPr>
      <w:rFonts w:ascii="Arial" w:eastAsia="Times New Roman" w:hAnsi="Arial" w:cs="Times New Roman"/>
      <w:sz w:val="20"/>
      <w:szCs w:val="24"/>
      <w:lang w:val="x-none" w:eastAsia="x-none"/>
      <w14:ligatures w14:val="standardContextual"/>
    </w:rPr>
  </w:style>
  <w:style w:type="paragraph" w:customStyle="1" w:styleId="StyleHeading2BottomSinglesolidlineAuto05ptLinewi">
    <w:name w:val="Style Heading 2 + Bottom: (Single solid line Auto  05 pt Line wi..."/>
    <w:basedOn w:val="Titre2"/>
    <w:rsid w:val="000676A1"/>
    <w:pPr>
      <w:pBdr>
        <w:bottom w:val="single" w:sz="4" w:space="1" w:color="auto"/>
      </w:pBdr>
      <w:ind w:left="709" w:hanging="709"/>
    </w:pPr>
    <w:rPr>
      <w:rFonts w:ascii="Arial" w:hAnsi="Arial"/>
      <w:color w:val="auto"/>
      <w:sz w:val="28"/>
      <w:szCs w:val="20"/>
      <w:lang w:val="x-none" w:eastAsia="x-none"/>
      <w14:ligatures w14:val="standardContextual"/>
    </w:rPr>
  </w:style>
  <w:style w:type="character" w:customStyle="1" w:styleId="StyleBold">
    <w:name w:val="Style Bold"/>
    <w:rsid w:val="000676A1"/>
    <w:rPr>
      <w:rFonts w:ascii="Arial" w:hAnsi="Arial"/>
      <w:b/>
      <w:bCs/>
      <w:sz w:val="20"/>
    </w:rPr>
  </w:style>
  <w:style w:type="paragraph" w:customStyle="1" w:styleId="Body2">
    <w:name w:val="Body2"/>
    <w:basedOn w:val="Normal"/>
    <w:link w:val="Body2Car"/>
    <w:rsid w:val="000676A1"/>
    <w:pPr>
      <w:spacing w:before="120" w:after="120" w:line="240" w:lineRule="exact"/>
      <w:ind w:left="709" w:hanging="709"/>
      <w:jc w:val="both"/>
    </w:pPr>
    <w:rPr>
      <w:rFonts w:ascii="Arial" w:eastAsia="Times New Roman" w:hAnsi="Arial"/>
      <w:sz w:val="20"/>
      <w:szCs w:val="24"/>
      <w:lang w:val="x-none" w:eastAsia="x-none"/>
      <w14:ligatures w14:val="standardContextual"/>
    </w:rPr>
  </w:style>
  <w:style w:type="character" w:customStyle="1" w:styleId="Body2Car">
    <w:name w:val="Body2 Car"/>
    <w:link w:val="Body2"/>
    <w:rsid w:val="000676A1"/>
    <w:rPr>
      <w:rFonts w:ascii="Arial" w:eastAsia="Times New Roman" w:hAnsi="Arial" w:cs="Times New Roman"/>
      <w:sz w:val="20"/>
      <w:szCs w:val="24"/>
      <w:lang w:val="x-none" w:eastAsia="x-none"/>
      <w14:ligatures w14:val="standardContextual"/>
    </w:rPr>
  </w:style>
  <w:style w:type="paragraph" w:customStyle="1" w:styleId="StyleNumrosArial10ptGauche063cmSuspendu063cm">
    <w:name w:val="Style Numéros Arial 10 pt Gauche :  063 cm Suspendu : 063 cm"/>
    <w:basedOn w:val="Enumere"/>
    <w:rsid w:val="000676A1"/>
    <w:pPr>
      <w:tabs>
        <w:tab w:val="clear" w:pos="567"/>
      </w:tabs>
      <w:ind w:left="993" w:hanging="284"/>
    </w:pPr>
  </w:style>
  <w:style w:type="paragraph" w:customStyle="1" w:styleId="StyleCentered">
    <w:name w:val="Style Centered"/>
    <w:basedOn w:val="Normal"/>
    <w:rsid w:val="000676A1"/>
    <w:pPr>
      <w:spacing w:after="0" w:line="240" w:lineRule="auto"/>
      <w:ind w:left="709" w:hanging="709"/>
      <w:jc w:val="center"/>
    </w:pPr>
    <w:rPr>
      <w:rFonts w:ascii="Times New Roman" w:eastAsia="Times New Roman" w:hAnsi="Times New Roman"/>
      <w:sz w:val="24"/>
      <w:szCs w:val="20"/>
      <w:lang w:eastAsia="fr-FR"/>
      <w14:ligatures w14:val="standardContextual"/>
    </w:rPr>
  </w:style>
  <w:style w:type="paragraph" w:customStyle="1" w:styleId="StyleStyleBodyBold11pt">
    <w:name w:val="Style Style Body + Bold + 11 pt"/>
    <w:basedOn w:val="Normal"/>
    <w:link w:val="StyleStyleBodyBold11ptCar"/>
    <w:rsid w:val="000676A1"/>
    <w:pPr>
      <w:spacing w:before="120" w:after="120" w:line="240" w:lineRule="exact"/>
      <w:jc w:val="both"/>
    </w:pPr>
    <w:rPr>
      <w:rFonts w:ascii="Arial" w:eastAsia="Times New Roman" w:hAnsi="Arial"/>
      <w:b/>
      <w:bCs/>
      <w:sz w:val="20"/>
      <w:szCs w:val="24"/>
      <w:lang w:val="x-none" w:eastAsia="x-none"/>
      <w14:ligatures w14:val="standardContextual"/>
    </w:rPr>
  </w:style>
  <w:style w:type="character" w:customStyle="1" w:styleId="StyleStyleBodyBold11ptCar">
    <w:name w:val="Style Style Body + Bold + 11 pt Car"/>
    <w:link w:val="StyleStyleBodyBold11pt"/>
    <w:rsid w:val="000676A1"/>
    <w:rPr>
      <w:rFonts w:ascii="Arial" w:eastAsia="Times New Roman" w:hAnsi="Arial" w:cs="Times New Roman"/>
      <w:b/>
      <w:bCs/>
      <w:sz w:val="20"/>
      <w:szCs w:val="24"/>
      <w:lang w:val="x-none" w:eastAsia="x-none"/>
      <w14:ligatures w14:val="standardContextual"/>
    </w:rPr>
  </w:style>
  <w:style w:type="paragraph" w:customStyle="1" w:styleId="StyleGauche125cm">
    <w:name w:val="Style Gauche :  125 cm"/>
    <w:basedOn w:val="Normal"/>
    <w:rsid w:val="000676A1"/>
    <w:pPr>
      <w:spacing w:after="120" w:line="240" w:lineRule="auto"/>
      <w:ind w:left="709"/>
    </w:pPr>
    <w:rPr>
      <w:rFonts w:ascii="Times New Roman" w:eastAsia="Times New Roman" w:hAnsi="Times New Roman"/>
      <w:sz w:val="24"/>
      <w:szCs w:val="20"/>
      <w:lang w:eastAsia="fr-FR"/>
      <w14:ligatures w14:val="standardContextual"/>
    </w:rPr>
  </w:style>
  <w:style w:type="paragraph" w:customStyle="1" w:styleId="StyleNumros">
    <w:name w:val="Style Numéros"/>
    <w:basedOn w:val="Normal"/>
    <w:rsid w:val="000676A1"/>
    <w:pPr>
      <w:spacing w:after="120" w:line="240" w:lineRule="auto"/>
      <w:ind w:left="714" w:hanging="357"/>
    </w:pPr>
    <w:rPr>
      <w:rFonts w:ascii="Times New Roman" w:eastAsia="Times New Roman" w:hAnsi="Times New Roman"/>
      <w:sz w:val="24"/>
      <w:szCs w:val="24"/>
      <w:lang w:eastAsia="fr-FR"/>
      <w14:ligatures w14:val="standardContextual"/>
    </w:rPr>
  </w:style>
  <w:style w:type="paragraph" w:customStyle="1" w:styleId="BodyItalic">
    <w:name w:val="Body+Italic"/>
    <w:basedOn w:val="Body10"/>
    <w:rsid w:val="000676A1"/>
    <w:rPr>
      <w:rFonts w:cs="Times New Roman"/>
      <w:bCs/>
      <w:i/>
      <w:szCs w:val="24"/>
    </w:rPr>
  </w:style>
  <w:style w:type="paragraph" w:customStyle="1" w:styleId="Titre4align">
    <w:name w:val="Titre 4 aligné"/>
    <w:basedOn w:val="Titre40"/>
    <w:autoRedefine/>
    <w:rsid w:val="000676A1"/>
    <w:pPr>
      <w:keepNext w:val="0"/>
      <w:tabs>
        <w:tab w:val="num" w:pos="360"/>
      </w:tabs>
      <w:overflowPunct w:val="0"/>
      <w:autoSpaceDE w:val="0"/>
      <w:autoSpaceDN w:val="0"/>
      <w:adjustRightInd w:val="0"/>
      <w:spacing w:before="120" w:after="120" w:line="360" w:lineRule="auto"/>
      <w:ind w:left="1512" w:hanging="648"/>
      <w:jc w:val="both"/>
      <w:textAlignment w:val="baseline"/>
    </w:pPr>
    <w:rPr>
      <w:rFonts w:ascii="Times New Roman" w:hAnsi="Times New Roman"/>
      <w:b w:val="0"/>
      <w:bCs w:val="0"/>
      <w:i/>
      <w:iCs/>
      <w:noProof/>
      <w:sz w:val="24"/>
      <w:szCs w:val="20"/>
      <w:lang w:eastAsia="x-none"/>
      <w14:ligatures w14:val="standardContextual"/>
    </w:rPr>
  </w:style>
  <w:style w:type="paragraph" w:customStyle="1" w:styleId="Titreprix">
    <w:name w:val="Titre_prix"/>
    <w:basedOn w:val="Body2"/>
    <w:rsid w:val="000676A1"/>
    <w:rPr>
      <w:b/>
    </w:rPr>
  </w:style>
  <w:style w:type="paragraph" w:customStyle="1" w:styleId="TIT3">
    <w:name w:val="TIT 3"/>
    <w:basedOn w:val="Normal"/>
    <w:rsid w:val="000676A1"/>
    <w:pPr>
      <w:spacing w:after="0" w:line="240" w:lineRule="auto"/>
      <w:jc w:val="both"/>
    </w:pPr>
    <w:rPr>
      <w:rFonts w:ascii="TimesNewRomanPS" w:eastAsia="Times New Roman" w:hAnsi="TimesNewRomanPS"/>
      <w:color w:val="000000"/>
      <w:sz w:val="24"/>
      <w:szCs w:val="24"/>
      <w:u w:val="single"/>
      <w:lang w:eastAsia="fr-FR"/>
      <w14:ligatures w14:val="standardContextual"/>
    </w:rPr>
  </w:style>
  <w:style w:type="paragraph" w:customStyle="1" w:styleId="Tit20">
    <w:name w:val="Tit 2"/>
    <w:basedOn w:val="Normal"/>
    <w:rsid w:val="000676A1"/>
    <w:pPr>
      <w:spacing w:after="0" w:line="240" w:lineRule="atLeast"/>
      <w:jc w:val="both"/>
    </w:pPr>
    <w:rPr>
      <w:rFonts w:ascii="Times" w:eastAsia="Times New Roman" w:hAnsi="Times"/>
      <w:b/>
      <w:sz w:val="24"/>
      <w:szCs w:val="24"/>
      <w:u w:val="single"/>
      <w:lang w:eastAsia="fr-FR"/>
      <w14:ligatures w14:val="standardContextual"/>
    </w:rPr>
  </w:style>
  <w:style w:type="paragraph" w:customStyle="1" w:styleId="Titre43">
    <w:name w:val="Titre4"/>
    <w:basedOn w:val="Normal"/>
    <w:next w:val="Normal"/>
    <w:rsid w:val="000676A1"/>
    <w:pPr>
      <w:keepLines/>
      <w:spacing w:before="240" w:after="120" w:line="360" w:lineRule="atLeast"/>
      <w:ind w:left="567" w:firstLine="567"/>
      <w:jc w:val="both"/>
    </w:pPr>
    <w:rPr>
      <w:rFonts w:ascii="Roman PS" w:eastAsia="Times New Roman" w:hAnsi="Roman PS"/>
      <w:smallCaps/>
      <w:szCs w:val="24"/>
      <w:u w:val="single"/>
      <w:lang w:eastAsia="fr-FR"/>
      <w14:ligatures w14:val="standardContextual"/>
    </w:rPr>
  </w:style>
  <w:style w:type="paragraph" w:customStyle="1" w:styleId="StyleBodyBold">
    <w:name w:val="Style Body + Bold"/>
    <w:basedOn w:val="Normal"/>
    <w:link w:val="StyleBodyBoldChar"/>
    <w:rsid w:val="000676A1"/>
    <w:pPr>
      <w:spacing w:before="120" w:after="120" w:line="240" w:lineRule="exact"/>
      <w:jc w:val="both"/>
    </w:pPr>
    <w:rPr>
      <w:rFonts w:ascii="Arial" w:eastAsia="Times New Roman" w:hAnsi="Arial"/>
      <w:b/>
      <w:bCs/>
      <w:sz w:val="24"/>
      <w:szCs w:val="24"/>
      <w:lang w:val="x-none" w:eastAsia="x-none"/>
      <w14:ligatures w14:val="standardContextual"/>
    </w:rPr>
  </w:style>
  <w:style w:type="character" w:customStyle="1" w:styleId="StyleBodyBoldChar">
    <w:name w:val="Style Body + Bold Char"/>
    <w:link w:val="StyleBodyBold"/>
    <w:rsid w:val="000676A1"/>
    <w:rPr>
      <w:rFonts w:ascii="Arial" w:eastAsia="Times New Roman" w:hAnsi="Arial" w:cs="Times New Roman"/>
      <w:b/>
      <w:bCs/>
      <w:sz w:val="24"/>
      <w:szCs w:val="24"/>
      <w:lang w:val="x-none" w:eastAsia="x-none"/>
      <w14:ligatures w14:val="standardContextual"/>
    </w:rPr>
  </w:style>
  <w:style w:type="paragraph" w:customStyle="1" w:styleId="StyleBodyBoldUnderline">
    <w:name w:val="Style Body + Bold Underline"/>
    <w:basedOn w:val="Normal"/>
    <w:rsid w:val="000676A1"/>
    <w:pPr>
      <w:spacing w:after="120" w:line="240" w:lineRule="exact"/>
      <w:jc w:val="both"/>
    </w:pPr>
    <w:rPr>
      <w:rFonts w:ascii="Arial" w:eastAsia="Times New Roman" w:hAnsi="Arial"/>
      <w:b/>
      <w:bCs/>
      <w:sz w:val="20"/>
      <w:szCs w:val="24"/>
      <w:u w:val="single"/>
      <w:lang w:eastAsia="fr-FR"/>
      <w14:ligatures w14:val="standardContextual"/>
    </w:rPr>
  </w:style>
  <w:style w:type="paragraph" w:customStyle="1" w:styleId="StyleBodyGras">
    <w:name w:val="Style Body + Gras"/>
    <w:basedOn w:val="Normal"/>
    <w:rsid w:val="000676A1"/>
    <w:pPr>
      <w:spacing w:before="120" w:after="120" w:line="240" w:lineRule="exact"/>
      <w:ind w:left="709" w:hanging="709"/>
      <w:jc w:val="both"/>
    </w:pPr>
    <w:rPr>
      <w:rFonts w:ascii="Arial" w:eastAsia="Times New Roman" w:hAnsi="Arial"/>
      <w:b/>
      <w:bCs/>
      <w:szCs w:val="24"/>
      <w:lang w:eastAsia="fr-FR"/>
      <w14:ligatures w14:val="standardContextual"/>
    </w:rPr>
  </w:style>
  <w:style w:type="paragraph" w:customStyle="1" w:styleId="StyleStyleHeading2BottomSinglesolidlineAuto05ptLine">
    <w:name w:val="Style Style Heading 2 + Bottom: (Single solid line Auto  05 pt Line..."/>
    <w:basedOn w:val="StyleHeading2BottomSinglesolidlineAuto05ptLinewi"/>
    <w:rsid w:val="000676A1"/>
    <w:pPr>
      <w:pBdr>
        <w:bottom w:val="single" w:sz="8" w:space="1" w:color="auto"/>
      </w:pBdr>
      <w:spacing w:after="120"/>
    </w:pPr>
  </w:style>
  <w:style w:type="paragraph" w:customStyle="1" w:styleId="StyleArialGrasNoir">
    <w:name w:val="Style Arial Gras Noir"/>
    <w:basedOn w:val="Normal"/>
    <w:rsid w:val="000676A1"/>
    <w:pPr>
      <w:autoSpaceDE w:val="0"/>
      <w:autoSpaceDN w:val="0"/>
      <w:adjustRightInd w:val="0"/>
      <w:spacing w:before="240" w:after="120" w:line="240" w:lineRule="auto"/>
    </w:pPr>
    <w:rPr>
      <w:rFonts w:ascii="Arial" w:eastAsia="Times New Roman" w:hAnsi="Arial" w:cs="Arial"/>
      <w:b/>
      <w:bCs/>
      <w:color w:val="000000"/>
      <w:sz w:val="24"/>
      <w:szCs w:val="24"/>
      <w:lang w:eastAsia="fr-FR"/>
      <w14:ligatures w14:val="standardContextual"/>
    </w:rPr>
  </w:style>
  <w:style w:type="paragraph" w:customStyle="1" w:styleId="Head2SectionIII">
    <w:name w:val="Head 2 Section III"/>
    <w:basedOn w:val="Normal"/>
    <w:rsid w:val="000676A1"/>
    <w:pPr>
      <w:tabs>
        <w:tab w:val="left" w:pos="567"/>
        <w:tab w:val="right" w:pos="7784"/>
      </w:tabs>
      <w:spacing w:after="0" w:line="240" w:lineRule="auto"/>
    </w:pPr>
    <w:rPr>
      <w:rFonts w:ascii="Times New Roman" w:eastAsia="Times New Roman" w:hAnsi="Times New Roman"/>
      <w:sz w:val="28"/>
      <w:szCs w:val="20"/>
      <w:lang w:eastAsia="fr-FR"/>
      <w14:ligatures w14:val="standardContextual"/>
    </w:rPr>
  </w:style>
  <w:style w:type="paragraph" w:customStyle="1" w:styleId="Corpsarticle">
    <w:name w:val="Corps article"/>
    <w:basedOn w:val="Corpsdetexte"/>
    <w:rsid w:val="000676A1"/>
    <w:pPr>
      <w:pBdr>
        <w:top w:val="none" w:sz="0" w:space="0" w:color="auto"/>
        <w:left w:val="none" w:sz="0" w:space="0" w:color="auto"/>
        <w:bottom w:val="none" w:sz="0" w:space="0" w:color="auto"/>
        <w:right w:val="none" w:sz="0" w:space="0" w:color="auto"/>
      </w:pBdr>
      <w:shd w:val="clear" w:color="auto" w:fill="auto"/>
      <w:tabs>
        <w:tab w:val="clear" w:pos="4393"/>
        <w:tab w:val="left" w:pos="0"/>
        <w:tab w:val="left" w:pos="432"/>
        <w:tab w:val="left" w:pos="720"/>
        <w:tab w:val="left" w:pos="1440"/>
        <w:tab w:val="left" w:pos="2160"/>
        <w:tab w:val="left" w:pos="2880"/>
        <w:tab w:val="left" w:pos="360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overflowPunct w:val="0"/>
      <w:autoSpaceDE w:val="0"/>
      <w:autoSpaceDN w:val="0"/>
      <w:adjustRightInd w:val="0"/>
      <w:spacing w:before="120" w:after="120" w:line="360" w:lineRule="auto"/>
      <w:jc w:val="both"/>
      <w:textAlignment w:val="baseline"/>
    </w:pPr>
    <w:rPr>
      <w:b w:val="0"/>
      <w:sz w:val="24"/>
      <w:szCs w:val="24"/>
      <w:lang w:val="fr-CA" w:eastAsia="x-none"/>
      <w14:ligatures w14:val="standardContextual"/>
    </w:rPr>
  </w:style>
  <w:style w:type="paragraph" w:customStyle="1" w:styleId="TIT1">
    <w:name w:val="TIT 1"/>
    <w:basedOn w:val="Normal"/>
    <w:rsid w:val="000676A1"/>
    <w:pPr>
      <w:pBdr>
        <w:top w:val="single" w:sz="6" w:space="1" w:color="auto" w:shadow="1"/>
        <w:left w:val="single" w:sz="6" w:space="1" w:color="auto" w:shadow="1"/>
        <w:bottom w:val="single" w:sz="6" w:space="1" w:color="auto" w:shadow="1"/>
        <w:right w:val="single" w:sz="6" w:space="1" w:color="auto" w:shadow="1"/>
      </w:pBdr>
      <w:spacing w:after="0" w:line="240" w:lineRule="atLeast"/>
      <w:jc w:val="center"/>
    </w:pPr>
    <w:rPr>
      <w:rFonts w:ascii="TimesNewRomanPS" w:eastAsia="Times New Roman" w:hAnsi="TimesNewRomanPS"/>
      <w:b/>
      <w:color w:val="000000"/>
      <w:sz w:val="24"/>
      <w:szCs w:val="24"/>
      <w:lang w:eastAsia="fr-FR"/>
      <w14:ligatures w14:val="standardContextual"/>
    </w:rPr>
  </w:style>
  <w:style w:type="paragraph" w:customStyle="1" w:styleId="StyleGrasAvant6ptAprs6pt">
    <w:name w:val="Style Gras Avant : 6 pt Après : 6 pt"/>
    <w:basedOn w:val="Normal"/>
    <w:link w:val="StyleGrasAvant6ptAprs6ptCar"/>
    <w:rsid w:val="000676A1"/>
    <w:pPr>
      <w:spacing w:before="240" w:after="120" w:line="240" w:lineRule="auto"/>
    </w:pPr>
    <w:rPr>
      <w:rFonts w:ascii="Times New Roman" w:eastAsia="Times New Roman" w:hAnsi="Times New Roman"/>
      <w:b/>
      <w:bCs/>
      <w:sz w:val="24"/>
      <w:szCs w:val="20"/>
      <w:lang w:val="x-none" w:eastAsia="x-none"/>
      <w14:ligatures w14:val="standardContextual"/>
    </w:rPr>
  </w:style>
  <w:style w:type="character" w:customStyle="1" w:styleId="StyleGrasAvant6ptAprs6ptCar">
    <w:name w:val="Style Gras Avant : 6 pt Après : 6 pt Car"/>
    <w:link w:val="StyleGrasAvant6ptAprs6pt"/>
    <w:rsid w:val="000676A1"/>
    <w:rPr>
      <w:rFonts w:ascii="Times New Roman" w:eastAsia="Times New Roman" w:hAnsi="Times New Roman" w:cs="Times New Roman"/>
      <w:b/>
      <w:bCs/>
      <w:sz w:val="24"/>
      <w:szCs w:val="20"/>
      <w:lang w:val="x-none" w:eastAsia="x-none"/>
      <w14:ligatures w14:val="standardContextual"/>
    </w:rPr>
  </w:style>
  <w:style w:type="paragraph" w:customStyle="1" w:styleId="Prix">
    <w:name w:val="Prix"/>
    <w:basedOn w:val="Titre2"/>
    <w:rsid w:val="000676A1"/>
    <w:pPr>
      <w:keepNext w:val="0"/>
      <w:pBdr>
        <w:bottom w:val="single" w:sz="24" w:space="4" w:color="C0C0C0"/>
      </w:pBdr>
      <w:suppressAutoHyphens/>
    </w:pPr>
    <w:rPr>
      <w:rFonts w:ascii="Times New Roman Bold" w:hAnsi="Times New Roman Bold"/>
      <w:color w:val="auto"/>
      <w:sz w:val="28"/>
      <w:szCs w:val="28"/>
      <w:lang w:val="en-US" w:eastAsia="en-US"/>
      <w14:ligatures w14:val="standardContextual"/>
    </w:rPr>
  </w:style>
  <w:style w:type="paragraph" w:customStyle="1" w:styleId="Listenumero1">
    <w:name w:val="Liste numero 1"/>
    <w:basedOn w:val="Corpsdetexte2"/>
    <w:next w:val="Normal"/>
    <w:rsid w:val="000676A1"/>
    <w:pPr>
      <w:widowControl w:val="0"/>
      <w:tabs>
        <w:tab w:val="left" w:pos="0"/>
        <w:tab w:val="left" w:pos="5184"/>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s>
      <w:overflowPunct w:val="0"/>
      <w:autoSpaceDE w:val="0"/>
      <w:autoSpaceDN w:val="0"/>
      <w:adjustRightInd w:val="0"/>
      <w:spacing w:before="120" w:after="60" w:line="360" w:lineRule="auto"/>
      <w:ind w:left="1512" w:hanging="360"/>
      <w:textAlignment w:val="baseline"/>
    </w:pPr>
    <w:rPr>
      <w:rFonts w:eastAsia="Times New Roman"/>
      <w:sz w:val="24"/>
      <w:szCs w:val="24"/>
      <w:lang w:val="fr-CA" w:eastAsia="x-none"/>
      <w14:ligatures w14:val="standardContextual"/>
    </w:rPr>
  </w:style>
  <w:style w:type="paragraph" w:customStyle="1" w:styleId="vidence1">
    <w:name w:val="évidence1"/>
    <w:basedOn w:val="Normal"/>
    <w:next w:val="Normal"/>
    <w:rsid w:val="000676A1"/>
    <w:pPr>
      <w:keepLines/>
      <w:widowControl w:val="0"/>
      <w:adjustRightInd w:val="0"/>
      <w:spacing w:after="0" w:line="360" w:lineRule="atLeast"/>
      <w:ind w:left="1134" w:hanging="283"/>
      <w:jc w:val="both"/>
      <w:textAlignment w:val="baseline"/>
    </w:pPr>
    <w:rPr>
      <w:rFonts w:ascii="Roman PS" w:eastAsia="Times New Roman" w:hAnsi="Roman PS" w:cs="Roman PS"/>
      <w:lang w:eastAsia="fr-FR"/>
      <w14:ligatures w14:val="standardContextual"/>
    </w:rPr>
  </w:style>
  <w:style w:type="paragraph" w:customStyle="1" w:styleId="123">
    <w:name w:val="12"/>
    <w:rsid w:val="000676A1"/>
    <w:pPr>
      <w:widowControl w:val="0"/>
      <w:adjustRightInd w:val="0"/>
      <w:spacing w:after="0" w:line="240" w:lineRule="exact"/>
      <w:jc w:val="both"/>
      <w:textAlignment w:val="baseline"/>
    </w:pPr>
    <w:rPr>
      <w:rFonts w:ascii="Courier" w:eastAsia="Times New Roman" w:hAnsi="Courier" w:cs="Courier"/>
      <w:sz w:val="24"/>
      <w:szCs w:val="24"/>
      <w:lang w:eastAsia="fr-FR"/>
      <w14:ligatures w14:val="standardContextual"/>
    </w:rPr>
  </w:style>
  <w:style w:type="paragraph" w:customStyle="1" w:styleId="Sousarticle3bis">
    <w:name w:val="Sous article 3 bis"/>
    <w:basedOn w:val="Titre40"/>
    <w:next w:val="Corpsarticle"/>
    <w:rsid w:val="000676A1"/>
    <w:pPr>
      <w:keepNext w:val="0"/>
      <w:widowControl w:val="0"/>
      <w:overflowPunct w:val="0"/>
      <w:autoSpaceDE w:val="0"/>
      <w:autoSpaceDN w:val="0"/>
      <w:adjustRightInd w:val="0"/>
      <w:spacing w:before="120" w:after="120" w:line="360" w:lineRule="auto"/>
      <w:ind w:left="0" w:hanging="900"/>
      <w:jc w:val="both"/>
      <w:textAlignment w:val="baseline"/>
    </w:pPr>
    <w:rPr>
      <w:rFonts w:ascii="Times New Roman" w:hAnsi="Times New Roman"/>
      <w:b w:val="0"/>
      <w:bCs w:val="0"/>
      <w:i/>
      <w:iCs/>
      <w:noProof/>
      <w:sz w:val="24"/>
      <w:szCs w:val="20"/>
      <w:lang w:eastAsia="x-none"/>
      <w14:ligatures w14:val="standardContextual"/>
    </w:rPr>
  </w:style>
  <w:style w:type="paragraph" w:customStyle="1" w:styleId="Article10">
    <w:name w:val="Article 1"/>
    <w:basedOn w:val="Titre2"/>
    <w:next w:val="Normal"/>
    <w:rsid w:val="000676A1"/>
    <w:pPr>
      <w:keepNext w:val="0"/>
      <w:widowControl w:val="0"/>
      <w:pBdr>
        <w:bottom w:val="none" w:sz="0" w:space="0" w:color="auto"/>
      </w:pBdr>
      <w:tabs>
        <w:tab w:val="num" w:pos="1800"/>
      </w:tabs>
      <w:overflowPunct w:val="0"/>
      <w:autoSpaceDE w:val="0"/>
      <w:autoSpaceDN w:val="0"/>
      <w:adjustRightInd w:val="0"/>
      <w:spacing w:line="360" w:lineRule="auto"/>
      <w:jc w:val="both"/>
      <w:textAlignment w:val="baseline"/>
    </w:pPr>
    <w:rPr>
      <w:color w:val="auto"/>
      <w:szCs w:val="20"/>
      <w:lang w:val="fr-CA" w:eastAsia="x-none"/>
      <w14:ligatures w14:val="standardContextual"/>
    </w:rPr>
  </w:style>
  <w:style w:type="paragraph" w:customStyle="1" w:styleId="Chapitrecentre">
    <w:name w:val="Chapitre centre"/>
    <w:basedOn w:val="Titre1"/>
    <w:next w:val="Normal"/>
    <w:rsid w:val="000676A1"/>
    <w:pPr>
      <w:keepNext w:val="0"/>
      <w:keepLines w:val="0"/>
      <w:widowControl w:val="0"/>
      <w:numPr>
        <w:numId w:val="0"/>
      </w:numPr>
      <w:overflowPunct w:val="0"/>
      <w:autoSpaceDE w:val="0"/>
      <w:autoSpaceDN w:val="0"/>
      <w:adjustRightInd w:val="0"/>
      <w:spacing w:before="480" w:after="480" w:line="360" w:lineRule="atLeast"/>
      <w:ind w:right="0"/>
      <w:jc w:val="center"/>
      <w:textAlignment w:val="baseline"/>
    </w:pPr>
    <w:rPr>
      <w:rFonts w:ascii="Times New Roman" w:hAnsi="Times New Roman"/>
      <w:bCs w:val="0"/>
      <w:caps w:val="0"/>
      <w:noProof/>
      <w:kern w:val="0"/>
      <w:sz w:val="28"/>
      <w:szCs w:val="20"/>
      <w:lang w:val="x-none" w:eastAsia="x-none"/>
      <w14:ligatures w14:val="standardContextual"/>
    </w:rPr>
  </w:style>
  <w:style w:type="paragraph" w:customStyle="1" w:styleId="Listealfa1">
    <w:name w:val="Liste alfa 1"/>
    <w:basedOn w:val="Normal"/>
    <w:rsid w:val="000676A1"/>
    <w:pPr>
      <w:suppressAutoHyphens/>
      <w:overflowPunct w:val="0"/>
      <w:autoSpaceDE w:val="0"/>
      <w:autoSpaceDN w:val="0"/>
      <w:adjustRightInd w:val="0"/>
      <w:spacing w:after="0" w:line="240" w:lineRule="auto"/>
      <w:jc w:val="both"/>
      <w:textAlignment w:val="baseline"/>
    </w:pPr>
    <w:rPr>
      <w:rFonts w:ascii="Times New Roman" w:eastAsia="Times New Roman" w:hAnsi="Times New Roman"/>
      <w:b/>
      <w:bCs/>
      <w:sz w:val="24"/>
      <w:szCs w:val="24"/>
      <w:lang w:eastAsia="fr-FR"/>
      <w14:ligatures w14:val="standardContextual"/>
    </w:rPr>
  </w:style>
  <w:style w:type="paragraph" w:customStyle="1" w:styleId="Listetiret1">
    <w:name w:val="Liste tiret 1"/>
    <w:basedOn w:val="Normal"/>
    <w:rsid w:val="000676A1"/>
    <w:pPr>
      <w:suppressAutoHyphens/>
      <w:overflowPunct w:val="0"/>
      <w:autoSpaceDE w:val="0"/>
      <w:autoSpaceDN w:val="0"/>
      <w:adjustRightInd w:val="0"/>
      <w:spacing w:after="0" w:line="240" w:lineRule="auto"/>
      <w:jc w:val="both"/>
      <w:textAlignment w:val="baseline"/>
    </w:pPr>
    <w:rPr>
      <w:rFonts w:ascii="Times New Roman" w:eastAsia="Times New Roman" w:hAnsi="Times New Roman"/>
      <w:sz w:val="24"/>
      <w:szCs w:val="24"/>
      <w:lang w:eastAsia="fr-FR"/>
      <w14:ligatures w14:val="standardContextual"/>
    </w:rPr>
  </w:style>
  <w:style w:type="paragraph" w:customStyle="1" w:styleId="Listepoint2">
    <w:name w:val="Liste point 2"/>
    <w:basedOn w:val="Listetiret1"/>
    <w:rsid w:val="000676A1"/>
    <w:pPr>
      <w:numPr>
        <w:ilvl w:val="1"/>
      </w:numPr>
      <w:tabs>
        <w:tab w:val="num" w:pos="-2916"/>
      </w:tabs>
      <w:ind w:left="-2916" w:hanging="576"/>
    </w:pPr>
  </w:style>
  <w:style w:type="paragraph" w:customStyle="1" w:styleId="Listetiret1bis">
    <w:name w:val="Liste tiret 1 bis"/>
    <w:basedOn w:val="Normal"/>
    <w:rsid w:val="000676A1"/>
    <w:pPr>
      <w:widowControl w:val="0"/>
      <w:tabs>
        <w:tab w:val="left" w:pos="0"/>
        <w:tab w:val="right" w:pos="1728"/>
        <w:tab w:val="left" w:pos="2016"/>
        <w:tab w:val="left" w:pos="2448"/>
      </w:tabs>
      <w:adjustRightInd w:val="0"/>
      <w:spacing w:before="120" w:after="120" w:line="360" w:lineRule="auto"/>
      <w:ind w:left="936" w:hanging="360"/>
      <w:jc w:val="both"/>
      <w:textAlignment w:val="baseline"/>
    </w:pPr>
    <w:rPr>
      <w:rFonts w:ascii="Times New Roman" w:eastAsia="Times New Roman" w:hAnsi="Times New Roman"/>
      <w:sz w:val="24"/>
      <w:szCs w:val="24"/>
      <w:lang w:eastAsia="fr-FR"/>
      <w14:ligatures w14:val="standardContextual"/>
    </w:rPr>
  </w:style>
  <w:style w:type="paragraph" w:customStyle="1" w:styleId="Listetirets1">
    <w:name w:val="Liste tirets 1"/>
    <w:basedOn w:val="Normal"/>
    <w:next w:val="Corpsarticle"/>
    <w:rsid w:val="000676A1"/>
    <w:pPr>
      <w:widowControl w:val="0"/>
      <w:adjustRightInd w:val="0"/>
      <w:spacing w:after="0" w:line="360" w:lineRule="atLeast"/>
      <w:jc w:val="both"/>
      <w:textAlignment w:val="baseline"/>
    </w:pPr>
    <w:rPr>
      <w:rFonts w:ascii="Times New Roman" w:eastAsia="Times New Roman" w:hAnsi="Times New Roman"/>
      <w:sz w:val="24"/>
      <w:szCs w:val="24"/>
      <w:lang w:eastAsia="fr-FR"/>
      <w14:ligatures w14:val="standardContextual"/>
    </w:rPr>
  </w:style>
  <w:style w:type="paragraph" w:customStyle="1" w:styleId="Sousarticle1">
    <w:name w:val="Sous article 1"/>
    <w:basedOn w:val="Titre40"/>
    <w:rsid w:val="000676A1"/>
    <w:pPr>
      <w:keepNext w:val="0"/>
      <w:widowControl w:val="0"/>
      <w:overflowPunct w:val="0"/>
      <w:autoSpaceDE w:val="0"/>
      <w:autoSpaceDN w:val="0"/>
      <w:adjustRightInd w:val="0"/>
      <w:spacing w:before="120" w:after="120" w:line="360" w:lineRule="auto"/>
      <w:ind w:left="0" w:hanging="900"/>
      <w:jc w:val="both"/>
      <w:textAlignment w:val="baseline"/>
    </w:pPr>
    <w:rPr>
      <w:rFonts w:ascii="Times New Roman" w:hAnsi="Times New Roman"/>
      <w:b w:val="0"/>
      <w:bCs w:val="0"/>
      <w:i/>
      <w:iCs/>
      <w:noProof/>
      <w:sz w:val="24"/>
      <w:szCs w:val="20"/>
      <w:lang w:eastAsia="x-none"/>
      <w14:ligatures w14:val="standardContextual"/>
    </w:rPr>
  </w:style>
  <w:style w:type="paragraph" w:customStyle="1" w:styleId="Sousarticle1bis">
    <w:name w:val="Sous article 1 bis"/>
    <w:basedOn w:val="Titre30"/>
    <w:rsid w:val="000676A1"/>
    <w:pPr>
      <w:keepNext w:val="0"/>
      <w:widowControl w:val="0"/>
      <w:numPr>
        <w:ilvl w:val="0"/>
        <w:numId w:val="0"/>
      </w:numPr>
      <w:overflowPunct w:val="0"/>
      <w:autoSpaceDE w:val="0"/>
      <w:autoSpaceDN w:val="0"/>
      <w:adjustRightInd w:val="0"/>
      <w:spacing w:line="360" w:lineRule="atLeast"/>
      <w:ind w:left="1062" w:hanging="360"/>
      <w:jc w:val="both"/>
      <w:textAlignment w:val="baseline"/>
    </w:pPr>
    <w:rPr>
      <w:noProof/>
      <w:color w:val="auto"/>
      <w:sz w:val="24"/>
      <w:szCs w:val="20"/>
      <w:lang w:eastAsia="x-none"/>
      <w14:ligatures w14:val="standardContextual"/>
    </w:rPr>
  </w:style>
  <w:style w:type="paragraph" w:customStyle="1" w:styleId="Sousarticle2">
    <w:name w:val="Sous article 2"/>
    <w:basedOn w:val="Titre40"/>
    <w:rsid w:val="000676A1"/>
    <w:pPr>
      <w:keepNext w:val="0"/>
      <w:widowControl w:val="0"/>
      <w:overflowPunct w:val="0"/>
      <w:autoSpaceDE w:val="0"/>
      <w:autoSpaceDN w:val="0"/>
      <w:adjustRightInd w:val="0"/>
      <w:spacing w:before="120" w:after="120" w:line="360" w:lineRule="auto"/>
      <w:ind w:left="0" w:hanging="900"/>
      <w:jc w:val="both"/>
      <w:textAlignment w:val="baseline"/>
    </w:pPr>
    <w:rPr>
      <w:rFonts w:ascii="Times New Roman" w:hAnsi="Times New Roman"/>
      <w:b w:val="0"/>
      <w:bCs w:val="0"/>
      <w:sz w:val="24"/>
      <w:szCs w:val="20"/>
      <w:lang w:val="fr-CA" w:eastAsia="x-none"/>
      <w14:ligatures w14:val="standardContextual"/>
    </w:rPr>
  </w:style>
  <w:style w:type="paragraph" w:customStyle="1" w:styleId="Sousarticle2bis">
    <w:name w:val="Sous article 2 bis"/>
    <w:basedOn w:val="Titre40"/>
    <w:rsid w:val="000676A1"/>
    <w:pPr>
      <w:keepNext w:val="0"/>
      <w:widowControl w:val="0"/>
      <w:overflowPunct w:val="0"/>
      <w:autoSpaceDE w:val="0"/>
      <w:autoSpaceDN w:val="0"/>
      <w:adjustRightInd w:val="0"/>
      <w:spacing w:before="120" w:after="120" w:line="360" w:lineRule="auto"/>
      <w:ind w:left="1191" w:hanging="1191"/>
      <w:jc w:val="both"/>
      <w:textAlignment w:val="baseline"/>
    </w:pPr>
    <w:rPr>
      <w:rFonts w:ascii="Times New Roman" w:hAnsi="Times New Roman"/>
      <w:b w:val="0"/>
      <w:bCs w:val="0"/>
      <w:i/>
      <w:iCs/>
      <w:noProof/>
      <w:sz w:val="24"/>
      <w:szCs w:val="20"/>
      <w:lang w:eastAsia="x-none"/>
      <w14:ligatures w14:val="standardContextual"/>
    </w:rPr>
  </w:style>
  <w:style w:type="paragraph" w:customStyle="1" w:styleId="PAR1bis">
    <w:name w:val="PAR 1bis"/>
    <w:basedOn w:val="Normal"/>
    <w:rsid w:val="000676A1"/>
    <w:pPr>
      <w:widowControl w:val="0"/>
      <w:adjustRightInd w:val="0"/>
      <w:spacing w:after="0" w:line="360" w:lineRule="atLeast"/>
      <w:ind w:left="709" w:hanging="709"/>
      <w:jc w:val="both"/>
      <w:textAlignment w:val="baseline"/>
    </w:pPr>
    <w:rPr>
      <w:rFonts w:ascii="Times" w:eastAsia="Times New Roman" w:hAnsi="Times"/>
      <w:sz w:val="20"/>
      <w:szCs w:val="20"/>
      <w:lang w:val="fr-CA" w:eastAsia="fr-FR"/>
      <w14:ligatures w14:val="standardContextual"/>
    </w:rPr>
  </w:style>
  <w:style w:type="paragraph" w:customStyle="1" w:styleId="PAR1">
    <w:name w:val="PAR 1"/>
    <w:basedOn w:val="Normal"/>
    <w:rsid w:val="000676A1"/>
    <w:pPr>
      <w:widowControl w:val="0"/>
      <w:adjustRightInd w:val="0"/>
      <w:spacing w:after="0" w:line="360" w:lineRule="atLeast"/>
      <w:ind w:left="709"/>
      <w:jc w:val="both"/>
      <w:textAlignment w:val="baseline"/>
    </w:pPr>
    <w:rPr>
      <w:rFonts w:ascii="Times" w:eastAsia="Times New Roman" w:hAnsi="Times"/>
      <w:sz w:val="20"/>
      <w:szCs w:val="20"/>
      <w:lang w:val="fr-CA" w:eastAsia="fr-FR"/>
      <w14:ligatures w14:val="standardContextual"/>
    </w:rPr>
  </w:style>
  <w:style w:type="paragraph" w:customStyle="1" w:styleId="PAR2">
    <w:name w:val="PAR 2"/>
    <w:basedOn w:val="Normal"/>
    <w:rsid w:val="000676A1"/>
    <w:pPr>
      <w:widowControl w:val="0"/>
      <w:adjustRightInd w:val="0"/>
      <w:spacing w:after="0" w:line="360" w:lineRule="atLeast"/>
      <w:ind w:left="1418"/>
      <w:jc w:val="both"/>
      <w:textAlignment w:val="baseline"/>
    </w:pPr>
    <w:rPr>
      <w:rFonts w:ascii="Times" w:eastAsia="Times New Roman" w:hAnsi="Times"/>
      <w:sz w:val="20"/>
      <w:szCs w:val="20"/>
      <w:lang w:val="fr-CA" w:eastAsia="fr-FR"/>
      <w14:ligatures w14:val="standardContextual"/>
    </w:rPr>
  </w:style>
  <w:style w:type="paragraph" w:customStyle="1" w:styleId="PAR1BIS0">
    <w:name w:val="PAR 1 BIS"/>
    <w:basedOn w:val="Normal"/>
    <w:rsid w:val="000676A1"/>
    <w:pPr>
      <w:widowControl w:val="0"/>
      <w:adjustRightInd w:val="0"/>
      <w:spacing w:after="0" w:line="360" w:lineRule="atLeast"/>
      <w:ind w:left="709" w:hanging="709"/>
      <w:jc w:val="both"/>
      <w:textAlignment w:val="baseline"/>
    </w:pPr>
    <w:rPr>
      <w:rFonts w:ascii="TimesNewRomanPS" w:eastAsia="Times New Roman" w:hAnsi="TimesNewRomanPS"/>
      <w:color w:val="000000"/>
      <w:sz w:val="20"/>
      <w:szCs w:val="20"/>
      <w:lang w:val="fr-CA" w:eastAsia="fr-FR"/>
      <w14:ligatures w14:val="standardContextual"/>
    </w:rPr>
  </w:style>
  <w:style w:type="paragraph" w:customStyle="1" w:styleId="PAR2BIS">
    <w:name w:val="PAR 2 BIS"/>
    <w:basedOn w:val="PAR1BIS0"/>
    <w:rsid w:val="000676A1"/>
    <w:pPr>
      <w:ind w:left="1418"/>
    </w:pPr>
  </w:style>
  <w:style w:type="paragraph" w:customStyle="1" w:styleId="Soustitre10">
    <w:name w:val="Sous titre 10"/>
    <w:basedOn w:val="Normal"/>
    <w:autoRedefine/>
    <w:rsid w:val="000676A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360" w:lineRule="auto"/>
      <w:jc w:val="center"/>
      <w:textAlignment w:val="baseline"/>
    </w:pPr>
    <w:rPr>
      <w:rFonts w:ascii="Times New Roman" w:eastAsia="Times New Roman" w:hAnsi="Times New Roman"/>
      <w:b/>
      <w:sz w:val="24"/>
      <w:szCs w:val="20"/>
      <w:lang w:val="fr-CA" w:eastAsia="fr-FR"/>
      <w14:ligatures w14:val="standardContextual"/>
    </w:rPr>
  </w:style>
  <w:style w:type="paragraph" w:customStyle="1" w:styleId="Chapeaud">
    <w:name w:val="Chapeau d"/>
    <w:basedOn w:val="Normal"/>
    <w:autoRedefine/>
    <w:rsid w:val="000676A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360" w:lineRule="atLeast"/>
      <w:jc w:val="right"/>
      <w:textAlignment w:val="baseline"/>
    </w:pPr>
    <w:rPr>
      <w:rFonts w:ascii="Verdana" w:eastAsia="Times New Roman" w:hAnsi="Verdana"/>
      <w:bCs/>
      <w:sz w:val="24"/>
      <w:szCs w:val="20"/>
      <w:lang w:val="fr-CA" w:eastAsia="fr-FR"/>
      <w14:ligatures w14:val="standardContextual"/>
    </w:rPr>
  </w:style>
  <w:style w:type="paragraph" w:customStyle="1" w:styleId="Devisesn">
    <w:name w:val="Devise sn"/>
    <w:basedOn w:val="En-tte"/>
    <w:autoRedefine/>
    <w:rsid w:val="000676A1"/>
    <w:pPr>
      <w:tabs>
        <w:tab w:val="clear" w:pos="4536"/>
        <w:tab w:val="clear" w:pos="9072"/>
        <w:tab w:val="center" w:pos="4703"/>
        <w:tab w:val="right" w:pos="9406"/>
      </w:tabs>
      <w:spacing w:after="0" w:line="240" w:lineRule="auto"/>
    </w:pPr>
    <w:rPr>
      <w:rFonts w:asciiTheme="minorHAnsi" w:eastAsia="SimSun" w:hAnsiTheme="minorHAnsi" w:cstheme="minorBidi"/>
      <w:sz w:val="24"/>
      <w:szCs w:val="24"/>
      <w14:ligatures w14:val="standardContextual"/>
    </w:rPr>
  </w:style>
  <w:style w:type="character" w:customStyle="1" w:styleId="NomPrix">
    <w:name w:val="Nom Prix"/>
    <w:rsid w:val="000676A1"/>
    <w:rPr>
      <w:rFonts w:ascii="Arial" w:hAnsi="Arial"/>
      <w:b/>
      <w:bCs/>
    </w:rPr>
  </w:style>
  <w:style w:type="paragraph" w:customStyle="1" w:styleId="Listeretrait1cm">
    <w:name w:val="Liste retrait 1 cm"/>
    <w:rsid w:val="000676A1"/>
    <w:pPr>
      <w:widowControl w:val="0"/>
      <w:tabs>
        <w:tab w:val="left" w:pos="431"/>
        <w:tab w:val="left" w:pos="862"/>
        <w:tab w:val="left" w:pos="1293"/>
        <w:tab w:val="left" w:pos="1730"/>
        <w:tab w:val="left" w:pos="4610"/>
        <w:tab w:val="right" w:pos="9072"/>
      </w:tabs>
      <w:adjustRightInd w:val="0"/>
      <w:spacing w:after="120" w:line="240" w:lineRule="exact"/>
      <w:ind w:left="862" w:hanging="431"/>
      <w:jc w:val="both"/>
      <w:textAlignment w:val="baseline"/>
    </w:pPr>
    <w:rPr>
      <w:rFonts w:ascii="Times" w:eastAsia="Times New Roman" w:hAnsi="Times" w:cs="Times New Roman"/>
      <w:sz w:val="20"/>
      <w:szCs w:val="20"/>
      <w:lang w:eastAsia="fr-FR"/>
      <w14:ligatures w14:val="standardContextual"/>
    </w:rPr>
  </w:style>
  <w:style w:type="character" w:customStyle="1" w:styleId="Titreniveau3">
    <w:name w:val="Titre niveau 3"/>
    <w:rsid w:val="000676A1"/>
    <w:rPr>
      <w:rFonts w:ascii="Times" w:hAnsi="Times"/>
      <w:b/>
      <w:bCs/>
      <w:sz w:val="20"/>
      <w:szCs w:val="20"/>
      <w:u w:val="single"/>
    </w:rPr>
  </w:style>
  <w:style w:type="paragraph" w:customStyle="1" w:styleId="Ret10">
    <w:name w:val="Ret1"/>
    <w:basedOn w:val="Normal"/>
    <w:rsid w:val="000676A1"/>
    <w:pPr>
      <w:widowControl w:val="0"/>
      <w:adjustRightInd w:val="0"/>
      <w:spacing w:before="120" w:after="0" w:line="360" w:lineRule="atLeast"/>
      <w:ind w:left="499" w:right="147" w:hanging="284"/>
      <w:jc w:val="both"/>
      <w:textAlignment w:val="baseline"/>
    </w:pPr>
    <w:rPr>
      <w:rFonts w:ascii="Times New Roman" w:eastAsia="Times New Roman" w:hAnsi="Times New Roman"/>
      <w:sz w:val="20"/>
      <w:szCs w:val="20"/>
      <w:lang w:eastAsia="fr-FR"/>
      <w14:ligatures w14:val="standardContextual"/>
    </w:rPr>
  </w:style>
  <w:style w:type="paragraph" w:customStyle="1" w:styleId="Ret20">
    <w:name w:val="Ret2"/>
    <w:basedOn w:val="Ret10"/>
    <w:rsid w:val="000676A1"/>
    <w:pPr>
      <w:ind w:left="780" w:hanging="283"/>
    </w:pPr>
  </w:style>
  <w:style w:type="character" w:customStyle="1" w:styleId="NormalcentrCar">
    <w:name w:val="Normal centré Car"/>
    <w:aliases w:val="Car Car Car Car Car Car Car Car Car Car"/>
    <w:rsid w:val="000676A1"/>
    <w:rPr>
      <w:lang w:val="fr-CA" w:eastAsia="fr-FR" w:bidi="ar-SA"/>
    </w:rPr>
  </w:style>
  <w:style w:type="paragraph" w:customStyle="1" w:styleId="Centr">
    <w:name w:val="Centré"/>
    <w:basedOn w:val="Normal"/>
    <w:autoRedefine/>
    <w:rsid w:val="000676A1"/>
    <w:pPr>
      <w:keepLines/>
      <w:spacing w:before="240" w:after="240" w:line="360" w:lineRule="atLeast"/>
      <w:jc w:val="center"/>
    </w:pPr>
    <w:rPr>
      <w:rFonts w:ascii="Arial" w:eastAsia="Times New Roman" w:hAnsi="Arial"/>
      <w:b/>
      <w:smallCaps/>
      <w:sz w:val="24"/>
      <w:szCs w:val="24"/>
      <w:lang w:eastAsia="fr-FR"/>
      <w14:ligatures w14:val="standardContextual"/>
    </w:rPr>
  </w:style>
  <w:style w:type="paragraph" w:customStyle="1" w:styleId="Evidence">
    <w:name w:val="Evidence"/>
    <w:basedOn w:val="Normal"/>
    <w:next w:val="Normal"/>
    <w:autoRedefine/>
    <w:rsid w:val="000676A1"/>
    <w:pPr>
      <w:keepLines/>
      <w:numPr>
        <w:numId w:val="257"/>
      </w:numPr>
      <w:spacing w:after="0" w:line="360" w:lineRule="atLeast"/>
      <w:jc w:val="both"/>
    </w:pPr>
    <w:rPr>
      <w:rFonts w:ascii="Arial" w:eastAsia="Times New Roman" w:hAnsi="Arial"/>
      <w:spacing w:val="10"/>
      <w:kern w:val="16"/>
      <w:sz w:val="20"/>
      <w:szCs w:val="20"/>
      <w:lang w:eastAsia="fr-FR"/>
      <w14:ligatures w14:val="standardContextual"/>
    </w:rPr>
  </w:style>
  <w:style w:type="paragraph" w:customStyle="1" w:styleId="Centr1">
    <w:name w:val="Centré1"/>
    <w:basedOn w:val="Normal"/>
    <w:next w:val="Normal"/>
    <w:autoRedefine/>
    <w:rsid w:val="000676A1"/>
    <w:pPr>
      <w:keepNext/>
      <w:keepLines/>
      <w:spacing w:before="240" w:after="240" w:line="360" w:lineRule="atLeast"/>
      <w:jc w:val="center"/>
    </w:pPr>
    <w:rPr>
      <w:rFonts w:ascii="Arial" w:eastAsia="Times New Roman" w:hAnsi="Arial"/>
      <w:b/>
      <w:smallCaps/>
      <w:sz w:val="24"/>
      <w:szCs w:val="20"/>
      <w:lang w:eastAsia="fr-FR"/>
      <w14:ligatures w14:val="standardContextual"/>
    </w:rPr>
  </w:style>
  <w:style w:type="paragraph" w:customStyle="1" w:styleId="Evidence1">
    <w:name w:val="Evidence1"/>
    <w:basedOn w:val="Normal"/>
    <w:next w:val="Normal"/>
    <w:autoRedefine/>
    <w:rsid w:val="000676A1"/>
    <w:pPr>
      <w:keepLines/>
      <w:widowControl w:val="0"/>
      <w:spacing w:after="0" w:line="360" w:lineRule="atLeast"/>
      <w:jc w:val="both"/>
    </w:pPr>
    <w:rPr>
      <w:rFonts w:ascii="Arial" w:eastAsia="Times New Roman" w:hAnsi="Arial"/>
      <w:sz w:val="20"/>
      <w:szCs w:val="20"/>
      <w:lang w:eastAsia="fr-FR"/>
      <w14:ligatures w14:val="standardContextual"/>
    </w:rPr>
  </w:style>
  <w:style w:type="paragraph" w:customStyle="1" w:styleId="StyleTitre5SoulignementPremireligne05cm">
    <w:name w:val="Style Titre 5 + Soulignement  Première ligne : 05 cm"/>
    <w:basedOn w:val="Titre50"/>
    <w:autoRedefine/>
    <w:rsid w:val="000676A1"/>
    <w:pPr>
      <w:keepLines/>
      <w:numPr>
        <w:ilvl w:val="0"/>
        <w:numId w:val="0"/>
      </w:numPr>
      <w:spacing w:after="120" w:line="360" w:lineRule="atLeast"/>
      <w:ind w:left="1134" w:firstLine="282"/>
      <w:jc w:val="both"/>
    </w:pPr>
    <w:rPr>
      <w:rFonts w:ascii="Arial" w:hAnsi="Arial"/>
      <w:b w:val="0"/>
      <w:bCs w:val="0"/>
      <w:sz w:val="20"/>
      <w:szCs w:val="20"/>
      <w:u w:val="single"/>
      <w:lang w:eastAsia="x-none"/>
      <w14:ligatures w14:val="standardContextual"/>
    </w:rPr>
  </w:style>
  <w:style w:type="paragraph" w:customStyle="1" w:styleId="StyleTitre6">
    <w:name w:val="Style Titre 6"/>
    <w:basedOn w:val="Titre50"/>
    <w:next w:val="Normal"/>
    <w:autoRedefine/>
    <w:rsid w:val="000676A1"/>
    <w:pPr>
      <w:keepLines/>
      <w:numPr>
        <w:ilvl w:val="0"/>
        <w:numId w:val="0"/>
      </w:numPr>
      <w:spacing w:after="120" w:line="360" w:lineRule="atLeast"/>
      <w:ind w:left="1134" w:firstLine="282"/>
      <w:jc w:val="both"/>
    </w:pPr>
    <w:rPr>
      <w:rFonts w:ascii="Arial" w:hAnsi="Arial"/>
      <w:b w:val="0"/>
      <w:bCs w:val="0"/>
      <w:sz w:val="20"/>
      <w:szCs w:val="20"/>
      <w:u w:val="single"/>
      <w:lang w:eastAsia="x-none"/>
      <w14:ligatures w14:val="standardContextual"/>
    </w:rPr>
  </w:style>
  <w:style w:type="paragraph" w:customStyle="1" w:styleId="StyleTitre1Crnage18pt">
    <w:name w:val="Style Titre 1 + Crénage 18 pt"/>
    <w:basedOn w:val="Titre1"/>
    <w:autoRedefine/>
    <w:rsid w:val="000676A1"/>
    <w:pPr>
      <w:numPr>
        <w:numId w:val="0"/>
      </w:numPr>
      <w:spacing w:after="120" w:line="500" w:lineRule="atLeast"/>
      <w:ind w:right="0" w:firstLine="567"/>
    </w:pPr>
    <w:rPr>
      <w:rFonts w:ascii="Arial" w:hAnsi="Arial" w:cs="Arial"/>
      <w:kern w:val="36"/>
      <w:lang w:val="x-none" w:eastAsia="x-none"/>
      <w14:ligatures w14:val="standardContextual"/>
    </w:rPr>
  </w:style>
  <w:style w:type="paragraph" w:customStyle="1" w:styleId="StyleTitre2Crnage18pt">
    <w:name w:val="Style Titre 2 + Crénage 18 pt"/>
    <w:basedOn w:val="Titre2"/>
    <w:autoRedefine/>
    <w:rsid w:val="000676A1"/>
    <w:pPr>
      <w:keepLines/>
      <w:pBdr>
        <w:bottom w:val="none" w:sz="0" w:space="0" w:color="auto"/>
      </w:pBdr>
      <w:spacing w:after="120" w:line="440" w:lineRule="atLeast"/>
      <w:ind w:left="170" w:firstLine="567"/>
      <w:jc w:val="both"/>
    </w:pPr>
    <w:rPr>
      <w:rFonts w:ascii="Arial" w:hAnsi="Arial" w:cs="Arial"/>
      <w:smallCaps/>
      <w:color w:val="auto"/>
      <w:kern w:val="36"/>
      <w:lang w:val="x-none" w:eastAsia="x-none"/>
      <w14:ligatures w14:val="standardContextual"/>
    </w:rPr>
  </w:style>
  <w:style w:type="paragraph" w:customStyle="1" w:styleId="Data">
    <w:name w:val="Data"/>
    <w:basedOn w:val="Normal"/>
    <w:next w:val="Normal"/>
    <w:autoRedefine/>
    <w:rsid w:val="000676A1"/>
    <w:pPr>
      <w:keepLines/>
      <w:spacing w:after="240" w:line="360" w:lineRule="auto"/>
      <w:ind w:left="5670"/>
    </w:pPr>
    <w:rPr>
      <w:rFonts w:ascii="Arial" w:eastAsia="Times New Roman" w:hAnsi="Arial"/>
      <w:sz w:val="20"/>
      <w:szCs w:val="20"/>
      <w:lang w:eastAsia="fr-FR"/>
      <w14:ligatures w14:val="standardContextual"/>
    </w:rPr>
  </w:style>
  <w:style w:type="paragraph" w:customStyle="1" w:styleId="08">
    <w:name w:val="08"/>
    <w:rsid w:val="000676A1"/>
    <w:pPr>
      <w:spacing w:after="0" w:line="240" w:lineRule="exact"/>
      <w:jc w:val="both"/>
    </w:pPr>
    <w:rPr>
      <w:rFonts w:ascii="Courier" w:eastAsia="Times New Roman" w:hAnsi="Courier" w:cs="Times New Roman"/>
      <w:sz w:val="16"/>
      <w:szCs w:val="20"/>
      <w:lang w:eastAsia="fr-FR"/>
      <w14:ligatures w14:val="standardContextual"/>
    </w:rPr>
  </w:style>
  <w:style w:type="paragraph" w:customStyle="1" w:styleId="06">
    <w:name w:val="06"/>
    <w:rsid w:val="000676A1"/>
    <w:pPr>
      <w:spacing w:after="0" w:line="240" w:lineRule="exact"/>
      <w:jc w:val="both"/>
    </w:pPr>
    <w:rPr>
      <w:rFonts w:ascii="Courier" w:eastAsia="Times New Roman" w:hAnsi="Courier" w:cs="Times New Roman"/>
      <w:sz w:val="12"/>
      <w:szCs w:val="20"/>
      <w:lang w:eastAsia="fr-FR"/>
      <w14:ligatures w14:val="standardContextual"/>
    </w:rPr>
  </w:style>
  <w:style w:type="paragraph" w:customStyle="1" w:styleId="NT">
    <w:name w:val="NT"/>
    <w:rsid w:val="000676A1"/>
    <w:pPr>
      <w:spacing w:after="0" w:line="240" w:lineRule="exact"/>
      <w:ind w:left="432" w:hanging="432"/>
    </w:pPr>
    <w:rPr>
      <w:rFonts w:ascii="Courier" w:eastAsia="Times New Roman" w:hAnsi="Courier" w:cs="Times New Roman"/>
      <w:sz w:val="12"/>
      <w:szCs w:val="20"/>
      <w:lang w:eastAsia="fr-FR"/>
      <w14:ligatures w14:val="standardContextual"/>
    </w:rPr>
  </w:style>
  <w:style w:type="paragraph" w:customStyle="1" w:styleId="TM">
    <w:name w:val="TM"/>
    <w:rsid w:val="000676A1"/>
    <w:pPr>
      <w:spacing w:after="0" w:line="240" w:lineRule="exact"/>
      <w:jc w:val="both"/>
    </w:pPr>
    <w:rPr>
      <w:rFonts w:ascii="Arial" w:eastAsia="Times New Roman" w:hAnsi="Arial" w:cs="Times New Roman"/>
      <w:sz w:val="20"/>
      <w:szCs w:val="20"/>
      <w:lang w:eastAsia="fr-FR"/>
      <w14:ligatures w14:val="standardContextual"/>
    </w:rPr>
  </w:style>
  <w:style w:type="paragraph" w:customStyle="1" w:styleId="HV">
    <w:name w:val="HV"/>
    <w:rsid w:val="000676A1"/>
    <w:pPr>
      <w:spacing w:after="0" w:line="240" w:lineRule="exact"/>
      <w:jc w:val="both"/>
    </w:pPr>
    <w:rPr>
      <w:rFonts w:ascii="Univers" w:eastAsia="Times New Roman" w:hAnsi="Univers" w:cs="Times New Roman"/>
      <w:sz w:val="20"/>
      <w:szCs w:val="20"/>
      <w:lang w:eastAsia="fr-FR"/>
      <w14:ligatures w14:val="standardContextual"/>
    </w:rPr>
  </w:style>
  <w:style w:type="paragraph" w:customStyle="1" w:styleId="EL">
    <w:name w:val="EL"/>
    <w:rsid w:val="000676A1"/>
    <w:pPr>
      <w:spacing w:after="0" w:line="240" w:lineRule="exact"/>
      <w:jc w:val="both"/>
    </w:pPr>
    <w:rPr>
      <w:rFonts w:ascii="elite" w:eastAsia="Times New Roman" w:hAnsi="elite" w:cs="Times New Roman"/>
      <w:sz w:val="20"/>
      <w:szCs w:val="20"/>
      <w:lang w:eastAsia="fr-FR"/>
      <w14:ligatures w14:val="standardContextual"/>
    </w:rPr>
  </w:style>
  <w:style w:type="paragraph" w:customStyle="1" w:styleId="SY">
    <w:name w:val="SY"/>
    <w:rsid w:val="000676A1"/>
    <w:pPr>
      <w:spacing w:after="0" w:line="240" w:lineRule="exact"/>
      <w:jc w:val="both"/>
    </w:pPr>
    <w:rPr>
      <w:rFonts w:ascii="prestige" w:eastAsia="Times New Roman" w:hAnsi="prestige" w:cs="Times New Roman"/>
      <w:sz w:val="20"/>
      <w:szCs w:val="20"/>
      <w:lang w:eastAsia="fr-FR"/>
      <w14:ligatures w14:val="standardContextual"/>
    </w:rPr>
  </w:style>
  <w:style w:type="character" w:customStyle="1" w:styleId="Listemoyenne2-Accent4Car">
    <w:name w:val="Liste moyenne 2 - Accent 4 Car"/>
    <w:aliases w:val="List_Paragraph Car"/>
    <w:uiPriority w:val="34"/>
    <w:qFormat/>
    <w:locked/>
    <w:rsid w:val="000676A1"/>
    <w:rPr>
      <w:sz w:val="24"/>
      <w:lang w:val="en-US" w:eastAsia="en-US"/>
    </w:rPr>
  </w:style>
  <w:style w:type="paragraph" w:customStyle="1" w:styleId="Texteposte">
    <w:name w:val="Texte poste"/>
    <w:basedOn w:val="Normal"/>
    <w:rsid w:val="000676A1"/>
    <w:pPr>
      <w:tabs>
        <w:tab w:val="left" w:pos="195"/>
      </w:tabs>
      <w:autoSpaceDE w:val="0"/>
      <w:autoSpaceDN w:val="0"/>
      <w:adjustRightInd w:val="0"/>
      <w:spacing w:after="0" w:line="240" w:lineRule="auto"/>
      <w:jc w:val="both"/>
    </w:pPr>
    <w:rPr>
      <w:rFonts w:ascii="Arial" w:eastAsia="Times New Roman" w:hAnsi="Arial" w:cs="Arial"/>
      <w:color w:val="000000"/>
      <w:lang w:eastAsia="fr-FR"/>
      <w14:ligatures w14:val="standardContextual"/>
    </w:rPr>
  </w:style>
  <w:style w:type="paragraph" w:customStyle="1" w:styleId="enumration1">
    <w:name w:val="enumération 1"/>
    <w:basedOn w:val="Normal"/>
    <w:rsid w:val="000676A1"/>
    <w:pPr>
      <w:numPr>
        <w:numId w:val="258"/>
      </w:numPr>
      <w:spacing w:before="120" w:after="0" w:line="240" w:lineRule="auto"/>
      <w:ind w:right="1418"/>
      <w:jc w:val="both"/>
    </w:pPr>
    <w:rPr>
      <w:rFonts w:ascii="Arial" w:eastAsia="Times New Roman" w:hAnsi="Arial"/>
      <w:sz w:val="18"/>
      <w:szCs w:val="20"/>
      <w:lang w:eastAsia="fr-FR"/>
      <w14:ligatures w14:val="standardContextual"/>
    </w:rPr>
  </w:style>
  <w:style w:type="paragraph" w:customStyle="1" w:styleId="Poste">
    <w:name w:val="Poste"/>
    <w:basedOn w:val="Normal"/>
    <w:rsid w:val="000676A1"/>
    <w:pPr>
      <w:autoSpaceDE w:val="0"/>
      <w:autoSpaceDN w:val="0"/>
      <w:adjustRightInd w:val="0"/>
      <w:spacing w:before="240" w:after="120" w:line="240" w:lineRule="auto"/>
    </w:pPr>
    <w:rPr>
      <w:rFonts w:ascii="Arial" w:eastAsia="Times New Roman" w:hAnsi="Arial" w:cs="Arial"/>
      <w:b/>
      <w:caps/>
      <w:color w:val="000000"/>
      <w:lang w:eastAsia="fr-FR"/>
      <w14:ligatures w14:val="standardContextual"/>
    </w:rPr>
  </w:style>
  <w:style w:type="paragraph" w:customStyle="1" w:styleId="TM20">
    <w:name w:val="TM2"/>
    <w:basedOn w:val="Corpsdetexte"/>
    <w:autoRedefine/>
    <w:rsid w:val="000676A1"/>
    <w:pPr>
      <w:pBdr>
        <w:top w:val="none" w:sz="0" w:space="0" w:color="auto"/>
        <w:left w:val="none" w:sz="0" w:space="0" w:color="auto"/>
        <w:bottom w:val="none" w:sz="0" w:space="0" w:color="auto"/>
        <w:right w:val="none" w:sz="0" w:space="0" w:color="auto"/>
      </w:pBdr>
      <w:shd w:val="clear" w:color="auto" w:fill="auto"/>
      <w:tabs>
        <w:tab w:val="clear" w:pos="4393"/>
        <w:tab w:val="left" w:pos="1134"/>
        <w:tab w:val="right" w:leader="dot" w:pos="9480"/>
      </w:tabs>
      <w:suppressAutoHyphens/>
      <w:autoSpaceDE w:val="0"/>
      <w:autoSpaceDN w:val="0"/>
      <w:adjustRightInd w:val="0"/>
      <w:ind w:left="-142"/>
      <w:jc w:val="both"/>
    </w:pPr>
    <w:rPr>
      <w:b w:val="0"/>
      <w:color w:val="000000"/>
      <w:sz w:val="24"/>
      <w:szCs w:val="24"/>
      <w:lang w:val="fr-CA" w:eastAsia="fr-CA"/>
      <w14:ligatures w14:val="standardContextual"/>
    </w:rPr>
  </w:style>
  <w:style w:type="paragraph" w:customStyle="1" w:styleId="Sousposte">
    <w:name w:val="Sous poste"/>
    <w:basedOn w:val="Normal"/>
    <w:rsid w:val="000676A1"/>
    <w:pPr>
      <w:autoSpaceDE w:val="0"/>
      <w:autoSpaceDN w:val="0"/>
      <w:adjustRightInd w:val="0"/>
      <w:spacing w:before="80" w:after="0" w:line="240" w:lineRule="auto"/>
    </w:pPr>
    <w:rPr>
      <w:rFonts w:ascii="Arial" w:eastAsia="Times New Roman" w:hAnsi="Arial" w:cs="Arial"/>
      <w:b/>
      <w:color w:val="000000"/>
      <w:lang w:eastAsia="fr-FR"/>
      <w14:ligatures w14:val="standardContextual"/>
    </w:rPr>
  </w:style>
  <w:style w:type="paragraph" w:customStyle="1" w:styleId="CarCarCarCarCarCarCharCharCarCharCharCarCarChar">
    <w:name w:val="Car Car Car Car Car Car Char Char Car Char Char Car Car Char"/>
    <w:basedOn w:val="Normal"/>
    <w:next w:val="Normal"/>
    <w:rsid w:val="000676A1"/>
    <w:pPr>
      <w:spacing w:line="240" w:lineRule="exact"/>
    </w:pPr>
    <w:rPr>
      <w:rFonts w:ascii="Tahoma" w:eastAsia="Times New Roman" w:hAnsi="Tahoma"/>
      <w:sz w:val="24"/>
      <w:szCs w:val="20"/>
      <w:lang w:val="en-GB"/>
      <w14:ligatures w14:val="standardContextual"/>
    </w:rPr>
  </w:style>
  <w:style w:type="character" w:customStyle="1" w:styleId="Header2-SubClausesCharChar">
    <w:name w:val="Header 2 - SubClauses Char Char"/>
    <w:link w:val="Header2-SubClauses"/>
    <w:uiPriority w:val="99"/>
    <w:rsid w:val="000676A1"/>
    <w:rPr>
      <w:rFonts w:ascii="Times New Roman" w:eastAsia="Times New Roman" w:hAnsi="Times New Roman" w:cs="Times New Roman"/>
      <w:sz w:val="24"/>
      <w:szCs w:val="20"/>
      <w:lang w:val="es-ES_tradnl"/>
      <w14:ligatures w14:val="standardContextual"/>
    </w:rPr>
  </w:style>
  <w:style w:type="paragraph" w:customStyle="1" w:styleId="StyleHeader1-ClausesLeft0Hanging03After0pt">
    <w:name w:val="Style Header 1 - Clauses + Left:  0&quot; Hanging:  0.3&quot; After:  0 pt"/>
    <w:basedOn w:val="Normal"/>
    <w:link w:val="StyleHeader1-ClausesLeft0Hanging03After0ptChar"/>
    <w:uiPriority w:val="99"/>
    <w:rsid w:val="000676A1"/>
    <w:pPr>
      <w:numPr>
        <w:numId w:val="259"/>
      </w:numPr>
      <w:tabs>
        <w:tab w:val="left" w:pos="342"/>
      </w:tabs>
      <w:spacing w:after="0" w:line="240" w:lineRule="auto"/>
      <w:ind w:left="342"/>
    </w:pPr>
    <w:rPr>
      <w:rFonts w:ascii="Times New Roman" w:eastAsia="Times New Roman" w:hAnsi="Times New Roman"/>
      <w:b/>
      <w:bCs/>
      <w:sz w:val="24"/>
      <w:szCs w:val="20"/>
      <w:lang w:val="es-ES_tradnl"/>
      <w14:ligatures w14:val="standardContextual"/>
    </w:rPr>
  </w:style>
  <w:style w:type="character" w:customStyle="1" w:styleId="StyleHeader1-ClausesLeft0Hanging03After0ptChar">
    <w:name w:val="Style Header 1 - Clauses + Left:  0&quot; Hanging:  0.3&quot; After:  0 pt Char"/>
    <w:link w:val="StyleHeader1-ClausesLeft0Hanging03After0pt"/>
    <w:uiPriority w:val="99"/>
    <w:rsid w:val="000676A1"/>
    <w:rPr>
      <w:rFonts w:ascii="Times New Roman" w:eastAsia="Times New Roman" w:hAnsi="Times New Roman" w:cs="Times New Roman"/>
      <w:b/>
      <w:bCs/>
      <w:sz w:val="24"/>
      <w:szCs w:val="20"/>
      <w:lang w:val="es-ES_tradnl"/>
      <w14:ligatures w14:val="standardContextual"/>
    </w:rPr>
  </w:style>
  <w:style w:type="paragraph" w:customStyle="1" w:styleId="StyleHeader2-SubClausesBold">
    <w:name w:val="Style Header 2 - SubClauses + Bold"/>
    <w:basedOn w:val="Header2-SubClauses"/>
    <w:link w:val="StyleHeader2-SubClausesBoldChar"/>
    <w:autoRedefine/>
    <w:uiPriority w:val="99"/>
    <w:rsid w:val="000676A1"/>
    <w:pPr>
      <w:tabs>
        <w:tab w:val="clear" w:pos="619"/>
        <w:tab w:val="left" w:pos="576"/>
      </w:tabs>
      <w:spacing w:after="0"/>
      <w:ind w:left="612" w:firstLine="0"/>
    </w:pPr>
    <w:rPr>
      <w:b/>
      <w:bCs/>
    </w:rPr>
  </w:style>
  <w:style w:type="character" w:customStyle="1" w:styleId="StyleHeader2-SubClausesBoldChar">
    <w:name w:val="Style Header 2 - SubClauses + Bold Char"/>
    <w:link w:val="StyleHeader2-SubClausesBold"/>
    <w:uiPriority w:val="99"/>
    <w:rsid w:val="000676A1"/>
    <w:rPr>
      <w:rFonts w:ascii="Times New Roman" w:eastAsia="Times New Roman" w:hAnsi="Times New Roman" w:cs="Times New Roman"/>
      <w:b/>
      <w:bCs/>
      <w:sz w:val="24"/>
      <w:szCs w:val="20"/>
      <w:lang w:val="es-ES_tradnl"/>
      <w14:ligatures w14:val="standardContextual"/>
    </w:rPr>
  </w:style>
  <w:style w:type="paragraph" w:customStyle="1" w:styleId="StyleHeader1-ClausesAfter0pt">
    <w:name w:val="Style Header 1 - Clauses + After:  0 pt"/>
    <w:basedOn w:val="Normal"/>
    <w:uiPriority w:val="99"/>
    <w:rsid w:val="000676A1"/>
    <w:pPr>
      <w:spacing w:after="200" w:line="240" w:lineRule="auto"/>
      <w:jc w:val="both"/>
    </w:pPr>
    <w:rPr>
      <w:rFonts w:ascii="Times New Roman" w:eastAsia="Times New Roman" w:hAnsi="Times New Roman"/>
      <w:bCs/>
      <w:sz w:val="24"/>
      <w:szCs w:val="20"/>
      <w:lang w:val="es-ES_tradnl"/>
      <w14:ligatures w14:val="standardContextual"/>
    </w:rPr>
  </w:style>
  <w:style w:type="paragraph" w:customStyle="1" w:styleId="StyleStyleHeader1-ClausesAfter0ptLeft0Hanging">
    <w:name w:val="Style Style Header 1 - Clauses + After:  0 pt + Left:  0&quot; Hanging:..."/>
    <w:basedOn w:val="StyleHeader1-ClausesAfter0pt"/>
    <w:uiPriority w:val="99"/>
    <w:rsid w:val="000676A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uiPriority w:val="99"/>
    <w:rsid w:val="000676A1"/>
    <w:pPr>
      <w:tabs>
        <w:tab w:val="left" w:pos="576"/>
      </w:tabs>
      <w:spacing w:after="240"/>
      <w:ind w:left="576" w:hanging="576"/>
    </w:pPr>
    <w:rPr>
      <w:bCs w:val="0"/>
    </w:rPr>
  </w:style>
  <w:style w:type="paragraph" w:customStyle="1" w:styleId="StyleP3Header1-ClausesAfter12pt">
    <w:name w:val="Style P3 Header1-Clauses + After:  12 pt"/>
    <w:basedOn w:val="P3Header1-Clauses"/>
    <w:uiPriority w:val="99"/>
    <w:rsid w:val="000676A1"/>
    <w:pPr>
      <w:numPr>
        <w:ilvl w:val="2"/>
        <w:numId w:val="0"/>
      </w:numPr>
      <w:tabs>
        <w:tab w:val="left" w:pos="972"/>
        <w:tab w:val="left" w:pos="1008"/>
      </w:tabs>
      <w:spacing w:after="240"/>
      <w:ind w:left="1008" w:firstLine="144"/>
      <w:jc w:val="both"/>
    </w:pPr>
    <w:rPr>
      <w:b w:val="0"/>
    </w:rPr>
  </w:style>
  <w:style w:type="paragraph" w:customStyle="1" w:styleId="StyleHeading4Sub-ClauseSub-paragraphClauseSubSubNoNameAft">
    <w:name w:val="Style Heading 4Sub-Clause Sub-paragraphClauseSubSub_No&amp;Name + Aft..."/>
    <w:basedOn w:val="Titre40"/>
    <w:uiPriority w:val="99"/>
    <w:rsid w:val="000676A1"/>
    <w:pPr>
      <w:tabs>
        <w:tab w:val="left" w:pos="1512"/>
      </w:tabs>
      <w:spacing w:before="120" w:after="180" w:line="240" w:lineRule="auto"/>
      <w:ind w:left="1512" w:right="18" w:hanging="540"/>
      <w:jc w:val="both"/>
    </w:pPr>
    <w:rPr>
      <w:rFonts w:ascii="Times New Roman" w:hAnsi="Times New Roman"/>
      <w:i/>
      <w:iCs/>
      <w:sz w:val="24"/>
      <w:szCs w:val="20"/>
      <w:lang w:val="x-none"/>
      <w14:ligatures w14:val="standardContextual"/>
    </w:rPr>
  </w:style>
  <w:style w:type="paragraph" w:customStyle="1" w:styleId="Headfid1">
    <w:name w:val="Head fid1"/>
    <w:basedOn w:val="Normal"/>
    <w:uiPriority w:val="99"/>
    <w:rsid w:val="000676A1"/>
    <w:pPr>
      <w:spacing w:before="120" w:after="120" w:line="240" w:lineRule="auto"/>
      <w:jc w:val="both"/>
    </w:pPr>
    <w:rPr>
      <w:rFonts w:ascii="Times New Roman" w:eastAsia="Times New Roman" w:hAnsi="Times New Roman"/>
      <w:b/>
      <w:sz w:val="24"/>
      <w:szCs w:val="20"/>
      <w:lang w:val="en-GB"/>
      <w14:ligatures w14:val="standardContextual"/>
    </w:rPr>
  </w:style>
  <w:style w:type="paragraph" w:customStyle="1" w:styleId="ClauseSubPara">
    <w:name w:val="ClauseSub_Para"/>
    <w:uiPriority w:val="99"/>
    <w:rsid w:val="000676A1"/>
    <w:pPr>
      <w:spacing w:before="60" w:after="60" w:line="240" w:lineRule="auto"/>
      <w:ind w:left="2268" w:hanging="720"/>
      <w:jc w:val="both"/>
    </w:pPr>
    <w:rPr>
      <w:rFonts w:ascii="Times New Roman" w:eastAsia="Times New Roman" w:hAnsi="Times New Roman" w:cs="Times New Roman"/>
      <w:lang w:val="en-GB"/>
      <w14:ligatures w14:val="standardContextual"/>
    </w:rPr>
  </w:style>
  <w:style w:type="paragraph" w:customStyle="1" w:styleId="ClauseSubList">
    <w:name w:val="ClauseSub_List"/>
    <w:uiPriority w:val="99"/>
    <w:rsid w:val="000676A1"/>
    <w:pPr>
      <w:numPr>
        <w:numId w:val="261"/>
      </w:numPr>
      <w:suppressAutoHyphens/>
      <w:spacing w:before="120" w:after="0" w:line="240" w:lineRule="auto"/>
      <w:jc w:val="both"/>
    </w:pPr>
    <w:rPr>
      <w:rFonts w:ascii="Times New Roman" w:eastAsia="Times New Roman" w:hAnsi="Times New Roman" w:cs="Times New Roman"/>
      <w:lang w:val="en-GB"/>
      <w14:ligatures w14:val="standardContextual"/>
    </w:rPr>
  </w:style>
  <w:style w:type="paragraph" w:customStyle="1" w:styleId="FIDICCoverTitle">
    <w:name w:val="FIDIC__CoverTitle"/>
    <w:basedOn w:val="Normal"/>
    <w:uiPriority w:val="99"/>
    <w:rsid w:val="000676A1"/>
    <w:pPr>
      <w:spacing w:before="120" w:after="240" w:line="240" w:lineRule="auto"/>
      <w:ind w:left="1440" w:hanging="720"/>
    </w:pPr>
    <w:rPr>
      <w:rFonts w:ascii="Arial" w:eastAsia="Times New Roman" w:hAnsi="Arial" w:cs="Arial"/>
      <w:color w:val="0000CC"/>
      <w:spacing w:val="-5"/>
      <w:sz w:val="40"/>
      <w:szCs w:val="40"/>
      <w:lang w:val="en-GB"/>
      <w14:ligatures w14:val="standardContextual"/>
    </w:rPr>
  </w:style>
  <w:style w:type="paragraph" w:customStyle="1" w:styleId="FIDICClauseSubName">
    <w:name w:val="FIDIC_ClauseSubName"/>
    <w:basedOn w:val="FIDICCoverTitle"/>
    <w:uiPriority w:val="99"/>
    <w:rsid w:val="000676A1"/>
    <w:pPr>
      <w:spacing w:before="240" w:line="240" w:lineRule="exact"/>
    </w:pPr>
    <w:rPr>
      <w:sz w:val="24"/>
      <w:szCs w:val="24"/>
    </w:rPr>
  </w:style>
  <w:style w:type="paragraph" w:customStyle="1" w:styleId="Section7heading4">
    <w:name w:val="Section 7 heading 4"/>
    <w:basedOn w:val="Titre30"/>
    <w:uiPriority w:val="99"/>
    <w:rsid w:val="000676A1"/>
    <w:pPr>
      <w:keepNext w:val="0"/>
      <w:numPr>
        <w:ilvl w:val="0"/>
        <w:numId w:val="0"/>
      </w:numPr>
      <w:tabs>
        <w:tab w:val="left" w:pos="576"/>
      </w:tabs>
      <w:suppressAutoHyphens/>
      <w:spacing w:before="120" w:after="0"/>
      <w:ind w:left="576" w:hanging="576"/>
    </w:pPr>
    <w:rPr>
      <w:bCs w:val="0"/>
      <w:color w:val="auto"/>
      <w:sz w:val="24"/>
      <w:szCs w:val="20"/>
      <w:lang w:val="x-none" w:eastAsia="en-US"/>
      <w14:ligatures w14:val="standardContextual"/>
    </w:rPr>
  </w:style>
  <w:style w:type="paragraph" w:customStyle="1" w:styleId="Prrafodelista">
    <w:name w:val="Párrafo de lista"/>
    <w:basedOn w:val="Normal"/>
    <w:uiPriority w:val="99"/>
    <w:qFormat/>
    <w:rsid w:val="000676A1"/>
    <w:pPr>
      <w:spacing w:before="120" w:after="0" w:line="240" w:lineRule="auto"/>
      <w:ind w:left="708" w:hanging="720"/>
      <w:jc w:val="both"/>
    </w:pPr>
    <w:rPr>
      <w:rFonts w:ascii="Times New Roman" w:eastAsia="Times New Roman" w:hAnsi="Times New Roman"/>
      <w:sz w:val="24"/>
      <w:szCs w:val="20"/>
      <w14:ligatures w14:val="standardContextual"/>
    </w:rPr>
  </w:style>
  <w:style w:type="paragraph" w:customStyle="1" w:styleId="Section5">
    <w:name w:val="Section 5"/>
    <w:uiPriority w:val="99"/>
    <w:rsid w:val="000676A1"/>
    <w:pPr>
      <w:numPr>
        <w:numId w:val="262"/>
      </w:numPr>
      <w:spacing w:after="360" w:line="240" w:lineRule="auto"/>
    </w:pPr>
    <w:rPr>
      <w:rFonts w:ascii="Times New Roman" w:eastAsia="Times New Roman" w:hAnsi="Times New Roman" w:cs="Times New Roman"/>
      <w:sz w:val="24"/>
      <w:szCs w:val="24"/>
      <w:lang w:val="en-US"/>
      <w14:ligatures w14:val="standardContextual"/>
    </w:rPr>
  </w:style>
  <w:style w:type="paragraph" w:customStyle="1" w:styleId="Section3">
    <w:name w:val="Section 3"/>
    <w:basedOn w:val="Normal"/>
    <w:uiPriority w:val="99"/>
    <w:rsid w:val="000676A1"/>
    <w:pPr>
      <w:numPr>
        <w:numId w:val="263"/>
      </w:numPr>
      <w:spacing w:after="360" w:line="240" w:lineRule="auto"/>
    </w:pPr>
    <w:rPr>
      <w:rFonts w:ascii="Times New Roman" w:eastAsia="Times New Roman" w:hAnsi="Times New Roman"/>
      <w:sz w:val="24"/>
      <w:szCs w:val="20"/>
      <w14:ligatures w14:val="standardContextual"/>
    </w:rPr>
  </w:style>
  <w:style w:type="paragraph" w:customStyle="1" w:styleId="ParaNumE-3">
    <w:name w:val="ParaNum E-3"/>
    <w:basedOn w:val="Normal"/>
    <w:uiPriority w:val="99"/>
    <w:rsid w:val="000676A1"/>
    <w:pPr>
      <w:tabs>
        <w:tab w:val="num" w:pos="2160"/>
      </w:tabs>
      <w:autoSpaceDE w:val="0"/>
      <w:autoSpaceDN w:val="0"/>
      <w:adjustRightInd w:val="0"/>
      <w:spacing w:after="240" w:line="240" w:lineRule="auto"/>
      <w:ind w:firstLine="1440"/>
      <w:jc w:val="both"/>
    </w:pPr>
    <w:rPr>
      <w:rFonts w:ascii="Times New Roman" w:eastAsia="Times New Roman" w:hAnsi="Times New Roman"/>
      <w:sz w:val="24"/>
      <w:szCs w:val="24"/>
      <w14:ligatures w14:val="standardContextual"/>
    </w:rPr>
  </w:style>
  <w:style w:type="paragraph" w:customStyle="1" w:styleId="explanatorynotes0">
    <w:name w:val="explanatorynotes"/>
    <w:basedOn w:val="Normal"/>
    <w:uiPriority w:val="99"/>
    <w:rsid w:val="000676A1"/>
    <w:pPr>
      <w:spacing w:after="240" w:line="360" w:lineRule="atLeast"/>
      <w:jc w:val="both"/>
    </w:pPr>
    <w:rPr>
      <w:rFonts w:ascii="Arial" w:eastAsia="Times New Roman" w:hAnsi="Arial" w:cs="Arial"/>
      <w:sz w:val="24"/>
      <w:szCs w:val="24"/>
      <w14:ligatures w14:val="standardContextual"/>
    </w:rPr>
  </w:style>
  <w:style w:type="paragraph" w:customStyle="1" w:styleId="SectionVHeading2">
    <w:name w:val="Section V. Heading 2"/>
    <w:basedOn w:val="SectionVHeader"/>
    <w:uiPriority w:val="99"/>
    <w:rsid w:val="000676A1"/>
    <w:pPr>
      <w:overflowPunct/>
      <w:autoSpaceDE/>
      <w:autoSpaceDN/>
      <w:adjustRightInd/>
      <w:spacing w:before="120" w:after="200"/>
      <w:textAlignment w:val="auto"/>
    </w:pPr>
    <w:rPr>
      <w:sz w:val="28"/>
      <w:lang w:eastAsia="en-US"/>
    </w:rPr>
  </w:style>
  <w:style w:type="paragraph" w:customStyle="1" w:styleId="ListParagraph4">
    <w:name w:val="List Paragraph4"/>
    <w:basedOn w:val="Normal"/>
    <w:link w:val="ListParagraphChar"/>
    <w:qFormat/>
    <w:rsid w:val="000676A1"/>
    <w:pPr>
      <w:widowControl w:val="0"/>
      <w:suppressAutoHyphens/>
      <w:autoSpaceDE w:val="0"/>
      <w:spacing w:after="0" w:line="240" w:lineRule="auto"/>
      <w:ind w:left="720"/>
      <w:contextualSpacing/>
      <w:jc w:val="both"/>
    </w:pPr>
    <w:rPr>
      <w:rFonts w:ascii="Arial" w:eastAsia="Times New Roman" w:hAnsi="Arial"/>
      <w:szCs w:val="24"/>
      <w:lang w:val="en-GB" w:eastAsia="ar-SA"/>
      <w14:ligatures w14:val="standardContextual"/>
    </w:rPr>
  </w:style>
  <w:style w:type="paragraph" w:customStyle="1" w:styleId="stylestyleheader1-clausesafter0ptleft0hanging0">
    <w:name w:val="stylestyleheader1-clausesafter0ptleft0hanging"/>
    <w:basedOn w:val="Normal"/>
    <w:uiPriority w:val="99"/>
    <w:rsid w:val="000676A1"/>
    <w:pPr>
      <w:spacing w:after="200" w:line="240" w:lineRule="auto"/>
      <w:ind w:left="576" w:hanging="576"/>
      <w:jc w:val="both"/>
    </w:pPr>
    <w:rPr>
      <w:rFonts w:ascii="Times New Roman" w:eastAsia="Times New Roman" w:hAnsi="Times New Roman"/>
      <w:sz w:val="24"/>
      <w:szCs w:val="24"/>
      <w14:ligatures w14:val="standardContextual"/>
    </w:rPr>
  </w:style>
  <w:style w:type="paragraph" w:customStyle="1" w:styleId="Section1Header2">
    <w:name w:val="Section 1 Header 2"/>
    <w:basedOn w:val="StyleHeader1-ClausesLeft0Hanging03After0pt"/>
    <w:uiPriority w:val="99"/>
    <w:rsid w:val="000676A1"/>
    <w:pPr>
      <w:numPr>
        <w:numId w:val="260"/>
      </w:numPr>
      <w:tabs>
        <w:tab w:val="clear" w:pos="576"/>
      </w:tabs>
      <w:ind w:left="342" w:hanging="360"/>
    </w:pPr>
    <w:rPr>
      <w:lang w:val="en-US"/>
    </w:rPr>
  </w:style>
  <w:style w:type="paragraph" w:customStyle="1" w:styleId="SectionIXHeader">
    <w:name w:val="Section IX Header"/>
    <w:basedOn w:val="Normal"/>
    <w:uiPriority w:val="99"/>
    <w:rsid w:val="000676A1"/>
    <w:pPr>
      <w:spacing w:after="0" w:line="240" w:lineRule="auto"/>
      <w:jc w:val="center"/>
    </w:pPr>
    <w:rPr>
      <w:rFonts w:ascii="Times New Roman" w:eastAsia="Times New Roman" w:hAnsi="Times New Roman"/>
      <w:b/>
      <w:sz w:val="36"/>
      <w:szCs w:val="20"/>
      <w14:ligatures w14:val="standardContextual"/>
    </w:rPr>
  </w:style>
  <w:style w:type="paragraph" w:customStyle="1" w:styleId="H3">
    <w:name w:val="H3"/>
    <w:basedOn w:val="StyleHeader1-ClausesLeft0Hanging03After0pt"/>
    <w:link w:val="H3Char"/>
    <w:uiPriority w:val="99"/>
    <w:rsid w:val="000676A1"/>
    <w:pPr>
      <w:ind w:left="572"/>
    </w:pPr>
    <w:rPr>
      <w:lang w:val="en-US"/>
    </w:rPr>
  </w:style>
  <w:style w:type="character" w:customStyle="1" w:styleId="H3Char">
    <w:name w:val="H3 Char"/>
    <w:link w:val="H3"/>
    <w:uiPriority w:val="99"/>
    <w:rsid w:val="000676A1"/>
    <w:rPr>
      <w:rFonts w:ascii="Times New Roman" w:eastAsia="Times New Roman" w:hAnsi="Times New Roman" w:cs="Times New Roman"/>
      <w:b/>
      <w:bCs/>
      <w:sz w:val="24"/>
      <w:szCs w:val="20"/>
      <w:lang w:val="en-US"/>
      <w14:ligatures w14:val="standardContextual"/>
    </w:rPr>
  </w:style>
  <w:style w:type="paragraph" w:customStyle="1" w:styleId="H2A">
    <w:name w:val="H2A"/>
    <w:basedOn w:val="Titre2"/>
    <w:uiPriority w:val="99"/>
    <w:rsid w:val="000676A1"/>
    <w:pPr>
      <w:keepNext w:val="0"/>
      <w:pBdr>
        <w:bottom w:val="none" w:sz="0" w:space="0" w:color="auto"/>
      </w:pBdr>
      <w:suppressAutoHyphens/>
      <w:spacing w:before="60" w:after="60"/>
      <w:jc w:val="center"/>
      <w:outlineLvl w:val="9"/>
    </w:pPr>
    <w:rPr>
      <w:iCs/>
      <w:color w:val="auto"/>
      <w:sz w:val="28"/>
      <w:szCs w:val="20"/>
      <w:lang w:val="x-none" w:eastAsia="en-US"/>
      <w14:ligatures w14:val="standardContextual"/>
    </w:rPr>
  </w:style>
  <w:style w:type="paragraph" w:customStyle="1" w:styleId="H3A">
    <w:name w:val="H3A"/>
    <w:basedOn w:val="H3"/>
    <w:uiPriority w:val="99"/>
    <w:rsid w:val="000676A1"/>
    <w:pPr>
      <w:numPr>
        <w:numId w:val="0"/>
      </w:numPr>
      <w:jc w:val="center"/>
    </w:pPr>
    <w:rPr>
      <w:sz w:val="28"/>
    </w:rPr>
  </w:style>
  <w:style w:type="paragraph" w:customStyle="1" w:styleId="H1">
    <w:name w:val="H1"/>
    <w:basedOn w:val="Titre1"/>
    <w:rsid w:val="000676A1"/>
    <w:pPr>
      <w:keepLines w:val="0"/>
      <w:numPr>
        <w:numId w:val="0"/>
      </w:numPr>
      <w:spacing w:before="0" w:after="0"/>
      <w:ind w:right="0"/>
      <w:jc w:val="center"/>
    </w:pPr>
    <w:rPr>
      <w:rFonts w:ascii="Times New Roman Bold" w:hAnsi="Times New Roman Bold"/>
      <w:caps w:val="0"/>
      <w:sz w:val="36"/>
      <w:szCs w:val="32"/>
      <w:lang w:val="x-none" w:eastAsia="en-US"/>
      <w14:ligatures w14:val="standardContextual"/>
    </w:rPr>
  </w:style>
  <w:style w:type="paragraph" w:customStyle="1" w:styleId="Normal11pt">
    <w:name w:val="Normal + 11 pt"/>
    <w:basedOn w:val="Normal"/>
    <w:uiPriority w:val="99"/>
    <w:rsid w:val="000676A1"/>
    <w:pPr>
      <w:numPr>
        <w:numId w:val="264"/>
      </w:numPr>
      <w:spacing w:before="120" w:after="120" w:line="240" w:lineRule="auto"/>
      <w:jc w:val="both"/>
    </w:pPr>
    <w:rPr>
      <w:rFonts w:ascii="Times New Roman" w:eastAsia="Times New Roman" w:hAnsi="Times New Roman"/>
      <w:lang w:eastAsia="nl-NL"/>
      <w14:ligatures w14:val="standardContextual"/>
    </w:rPr>
  </w:style>
  <w:style w:type="character" w:customStyle="1" w:styleId="cgselectable">
    <w:name w:val="cgselectable"/>
    <w:uiPriority w:val="99"/>
    <w:rsid w:val="000676A1"/>
    <w:rPr>
      <w:rFonts w:cs="Times New Roman"/>
    </w:rPr>
  </w:style>
  <w:style w:type="paragraph" w:customStyle="1" w:styleId="BDSTextIndented">
    <w:name w:val="BDS Text Indented"/>
    <w:basedOn w:val="Normal"/>
    <w:uiPriority w:val="99"/>
    <w:rsid w:val="000676A1"/>
    <w:pPr>
      <w:spacing w:before="120" w:after="120" w:line="240" w:lineRule="auto"/>
      <w:ind w:left="720"/>
    </w:pPr>
    <w:rPr>
      <w:rFonts w:ascii="Times New Roman" w:eastAsia="Times New Roman" w:hAnsi="Times New Roman"/>
      <w:sz w:val="24"/>
      <w:szCs w:val="20"/>
      <w:lang w:val="en-US"/>
      <w14:ligatures w14:val="standardContextual"/>
    </w:rPr>
  </w:style>
  <w:style w:type="paragraph" w:customStyle="1" w:styleId="Normalalina">
    <w:name w:val="Normal alinéa"/>
    <w:basedOn w:val="Normal"/>
    <w:link w:val="NormalalinaCar"/>
    <w:rsid w:val="000676A1"/>
    <w:pPr>
      <w:spacing w:before="20" w:after="20" w:line="240" w:lineRule="auto"/>
      <w:ind w:firstLine="397"/>
      <w:jc w:val="both"/>
    </w:pPr>
    <w:rPr>
      <w:rFonts w:ascii="Arial" w:eastAsia="Times New Roman" w:hAnsi="Arial"/>
      <w:sz w:val="16"/>
      <w:szCs w:val="20"/>
      <w:lang w:val="x-none" w:eastAsia="x-none"/>
      <w14:ligatures w14:val="standardContextual"/>
    </w:rPr>
  </w:style>
  <w:style w:type="character" w:customStyle="1" w:styleId="NormalalinaCar">
    <w:name w:val="Normal alinéa Car"/>
    <w:link w:val="Normalalina"/>
    <w:rsid w:val="000676A1"/>
    <w:rPr>
      <w:rFonts w:ascii="Arial" w:eastAsia="Times New Roman" w:hAnsi="Arial" w:cs="Times New Roman"/>
      <w:sz w:val="16"/>
      <w:szCs w:val="20"/>
      <w:lang w:val="x-none" w:eastAsia="x-none"/>
      <w14:ligatures w14:val="standardContextual"/>
    </w:rPr>
  </w:style>
  <w:style w:type="paragraph" w:customStyle="1" w:styleId="Normalarticle">
    <w:name w:val="Normal article"/>
    <w:basedOn w:val="Normal"/>
    <w:next w:val="Normal"/>
    <w:uiPriority w:val="99"/>
    <w:rsid w:val="000676A1"/>
    <w:pPr>
      <w:spacing w:after="0" w:line="240" w:lineRule="auto"/>
      <w:ind w:left="567"/>
      <w:jc w:val="both"/>
    </w:pPr>
    <w:rPr>
      <w:rFonts w:ascii="Arial" w:eastAsia="Times New Roman" w:hAnsi="Arial"/>
      <w:sz w:val="16"/>
      <w:szCs w:val="20"/>
      <w:lang w:eastAsia="fr-FR"/>
      <w14:ligatures w14:val="standardContextual"/>
    </w:rPr>
  </w:style>
  <w:style w:type="paragraph" w:customStyle="1" w:styleId="Normalparagraphe">
    <w:name w:val="Normal paragraphe"/>
    <w:basedOn w:val="Normal"/>
    <w:next w:val="Normal"/>
    <w:uiPriority w:val="99"/>
    <w:rsid w:val="000676A1"/>
    <w:pPr>
      <w:spacing w:after="0" w:line="240" w:lineRule="auto"/>
      <w:ind w:left="1134"/>
      <w:jc w:val="both"/>
    </w:pPr>
    <w:rPr>
      <w:rFonts w:ascii="Arial" w:eastAsia="Times New Roman" w:hAnsi="Arial"/>
      <w:sz w:val="16"/>
      <w:szCs w:val="20"/>
      <w:lang w:eastAsia="fr-FR"/>
      <w14:ligatures w14:val="standardContextual"/>
    </w:rPr>
  </w:style>
  <w:style w:type="paragraph" w:customStyle="1" w:styleId="Normalsous-article">
    <w:name w:val="Normal sous-article"/>
    <w:basedOn w:val="Normal"/>
    <w:next w:val="Normal"/>
    <w:uiPriority w:val="99"/>
    <w:rsid w:val="000676A1"/>
    <w:pPr>
      <w:spacing w:after="0" w:line="240" w:lineRule="auto"/>
      <w:ind w:left="851"/>
      <w:jc w:val="both"/>
    </w:pPr>
    <w:rPr>
      <w:rFonts w:ascii="Arial" w:eastAsia="Times New Roman" w:hAnsi="Arial"/>
      <w:sz w:val="16"/>
      <w:szCs w:val="20"/>
      <w:lang w:eastAsia="fr-FR"/>
      <w14:ligatures w14:val="standardContextual"/>
    </w:rPr>
  </w:style>
  <w:style w:type="paragraph" w:customStyle="1" w:styleId="Normalsous-paragraphe">
    <w:name w:val="Normal sous-paragraphe"/>
    <w:basedOn w:val="Normal"/>
    <w:next w:val="Normal"/>
    <w:uiPriority w:val="99"/>
    <w:rsid w:val="000676A1"/>
    <w:pPr>
      <w:spacing w:after="0" w:line="240" w:lineRule="auto"/>
      <w:ind w:left="1418"/>
      <w:jc w:val="both"/>
    </w:pPr>
    <w:rPr>
      <w:rFonts w:ascii="Arial" w:eastAsia="Times New Roman" w:hAnsi="Arial"/>
      <w:sz w:val="16"/>
      <w:szCs w:val="20"/>
      <w:lang w:eastAsia="fr-FR"/>
      <w14:ligatures w14:val="standardContextual"/>
    </w:rPr>
  </w:style>
  <w:style w:type="paragraph" w:customStyle="1" w:styleId="sommaire">
    <w:name w:val="sommaire"/>
    <w:basedOn w:val="Titre1"/>
    <w:uiPriority w:val="99"/>
    <w:rsid w:val="000676A1"/>
    <w:pPr>
      <w:keepLines w:val="0"/>
      <w:pageBreakBefore/>
      <w:numPr>
        <w:numId w:val="0"/>
      </w:numPr>
      <w:shd w:val="pct10" w:color="auto" w:fill="auto"/>
      <w:ind w:left="1701" w:right="1701"/>
      <w:jc w:val="center"/>
      <w:outlineLvl w:val="9"/>
    </w:pPr>
    <w:rPr>
      <w:rFonts w:ascii="Arial" w:hAnsi="Arial"/>
      <w:bCs w:val="0"/>
      <w:kern w:val="28"/>
      <w:sz w:val="20"/>
      <w:szCs w:val="20"/>
      <w:lang w:val="x-none"/>
      <w14:ligatures w14:val="standardContextual"/>
    </w:rPr>
  </w:style>
  <w:style w:type="paragraph" w:customStyle="1" w:styleId="puce10">
    <w:name w:val="puce1"/>
    <w:basedOn w:val="Normal"/>
    <w:rsid w:val="000676A1"/>
    <w:pPr>
      <w:spacing w:after="0" w:line="240" w:lineRule="auto"/>
      <w:ind w:left="851" w:hanging="284"/>
      <w:jc w:val="both"/>
    </w:pPr>
    <w:rPr>
      <w:rFonts w:ascii="Arial" w:eastAsia="Times New Roman" w:hAnsi="Arial"/>
      <w:sz w:val="16"/>
      <w:szCs w:val="20"/>
      <w:lang w:eastAsia="fr-FR"/>
      <w14:ligatures w14:val="standardContextual"/>
    </w:rPr>
  </w:style>
  <w:style w:type="paragraph" w:customStyle="1" w:styleId="textepuce1">
    <w:name w:val="textepuce1"/>
    <w:basedOn w:val="Normal"/>
    <w:autoRedefine/>
    <w:uiPriority w:val="99"/>
    <w:rsid w:val="000676A1"/>
    <w:pPr>
      <w:spacing w:after="0" w:line="240" w:lineRule="auto"/>
      <w:ind w:left="851"/>
      <w:jc w:val="both"/>
    </w:pPr>
    <w:rPr>
      <w:rFonts w:ascii="Arial" w:eastAsia="Times New Roman" w:hAnsi="Arial"/>
      <w:color w:val="FF0000"/>
      <w:sz w:val="16"/>
      <w:szCs w:val="20"/>
      <w:lang w:eastAsia="fr-FR"/>
      <w14:ligatures w14:val="standardContextual"/>
    </w:rPr>
  </w:style>
  <w:style w:type="paragraph" w:customStyle="1" w:styleId="textepuce2">
    <w:name w:val="textepuce2"/>
    <w:basedOn w:val="Normal"/>
    <w:rsid w:val="000676A1"/>
    <w:pPr>
      <w:spacing w:after="0" w:line="240" w:lineRule="auto"/>
      <w:ind w:left="1418"/>
      <w:jc w:val="both"/>
    </w:pPr>
    <w:rPr>
      <w:rFonts w:ascii="Arial" w:eastAsia="Times New Roman" w:hAnsi="Arial"/>
      <w:szCs w:val="20"/>
      <w:lang w:eastAsia="fr-FR"/>
      <w14:ligatures w14:val="standardContextual"/>
    </w:rPr>
  </w:style>
  <w:style w:type="paragraph" w:customStyle="1" w:styleId="CAPTNormalGras">
    <w:name w:val="CAPT_Normal_Gras"/>
    <w:basedOn w:val="Normal"/>
    <w:uiPriority w:val="99"/>
    <w:rsid w:val="000676A1"/>
    <w:pPr>
      <w:spacing w:before="120" w:after="0" w:line="240" w:lineRule="auto"/>
    </w:pPr>
    <w:rPr>
      <w:rFonts w:ascii="Arial" w:eastAsia="Times New Roman" w:hAnsi="Arial"/>
      <w:b/>
      <w:noProof/>
      <w:szCs w:val="20"/>
      <w:lang w:eastAsia="fr-FR"/>
      <w14:ligatures w14:val="standardContextual"/>
    </w:rPr>
  </w:style>
  <w:style w:type="paragraph" w:customStyle="1" w:styleId="TitreAnnexeNormative">
    <w:name w:val="Titre_Annexe_Normative"/>
    <w:basedOn w:val="Titre1"/>
    <w:uiPriority w:val="99"/>
    <w:rsid w:val="000676A1"/>
    <w:pPr>
      <w:keepLines w:val="0"/>
      <w:pageBreakBefore/>
      <w:numPr>
        <w:numId w:val="0"/>
      </w:numPr>
      <w:shd w:val="pct10" w:color="auto" w:fill="auto"/>
      <w:spacing w:after="720"/>
      <w:ind w:left="2835" w:right="2835"/>
      <w:jc w:val="center"/>
    </w:pPr>
    <w:rPr>
      <w:rFonts w:ascii="Arial" w:hAnsi="Arial"/>
      <w:bCs w:val="0"/>
      <w:caps w:val="0"/>
      <w:kern w:val="28"/>
      <w:sz w:val="20"/>
      <w:szCs w:val="20"/>
      <w:lang w:val="x-none"/>
      <w14:ligatures w14:val="standardContextual"/>
    </w:rPr>
  </w:style>
  <w:style w:type="paragraph" w:customStyle="1" w:styleId="TitreTableauAnnexe">
    <w:name w:val="Titre_Tableau_Annexe"/>
    <w:basedOn w:val="Normal"/>
    <w:uiPriority w:val="99"/>
    <w:rsid w:val="000676A1"/>
    <w:pPr>
      <w:spacing w:before="480" w:after="480" w:line="240" w:lineRule="auto"/>
      <w:ind w:left="284" w:hanging="284"/>
    </w:pPr>
    <w:rPr>
      <w:rFonts w:ascii="Arial" w:eastAsia="Times New Roman" w:hAnsi="Arial"/>
      <w:b/>
      <w:noProof/>
      <w:szCs w:val="20"/>
      <w:lang w:eastAsia="fr-FR"/>
      <w14:ligatures w14:val="standardContextual"/>
    </w:rPr>
  </w:style>
  <w:style w:type="paragraph" w:customStyle="1" w:styleId="En-TteTableau">
    <w:name w:val="En-Tête_Tableau"/>
    <w:basedOn w:val="Normal"/>
    <w:uiPriority w:val="99"/>
    <w:rsid w:val="000676A1"/>
    <w:pPr>
      <w:tabs>
        <w:tab w:val="left" w:pos="567"/>
      </w:tabs>
      <w:spacing w:before="240" w:after="120" w:line="240" w:lineRule="auto"/>
      <w:jc w:val="center"/>
    </w:pPr>
    <w:rPr>
      <w:rFonts w:ascii="Arial" w:eastAsia="Times New Roman" w:hAnsi="Arial"/>
      <w:b/>
      <w:noProof/>
      <w:szCs w:val="20"/>
      <w:lang w:eastAsia="fr-FR"/>
      <w14:ligatures w14:val="standardContextual"/>
    </w:rPr>
  </w:style>
  <w:style w:type="paragraph" w:customStyle="1" w:styleId="TableauCAPT">
    <w:name w:val="Tableau_CAPT"/>
    <w:basedOn w:val="Normal"/>
    <w:uiPriority w:val="99"/>
    <w:rsid w:val="000676A1"/>
    <w:pPr>
      <w:spacing w:before="120" w:after="60" w:line="240" w:lineRule="auto"/>
    </w:pPr>
    <w:rPr>
      <w:rFonts w:ascii="Arial" w:eastAsia="Times New Roman" w:hAnsi="Arial"/>
      <w:noProof/>
      <w:sz w:val="16"/>
      <w:szCs w:val="20"/>
      <w:lang w:eastAsia="fr-FR"/>
      <w14:ligatures w14:val="standardContextual"/>
    </w:rPr>
  </w:style>
  <w:style w:type="paragraph" w:customStyle="1" w:styleId="CAPTInfos">
    <w:name w:val="CAPT_Infos"/>
    <w:basedOn w:val="Normal"/>
    <w:uiPriority w:val="99"/>
    <w:rsid w:val="000676A1"/>
    <w:pPr>
      <w:tabs>
        <w:tab w:val="left" w:pos="567"/>
      </w:tabs>
      <w:spacing w:before="240" w:after="60" w:line="240" w:lineRule="auto"/>
    </w:pPr>
    <w:rPr>
      <w:rFonts w:ascii="Arial" w:eastAsia="Times New Roman" w:hAnsi="Arial"/>
      <w:i/>
      <w:noProof/>
      <w:sz w:val="18"/>
      <w:szCs w:val="20"/>
      <w:lang w:eastAsia="fr-FR"/>
      <w14:ligatures w14:val="standardContextual"/>
    </w:rPr>
  </w:style>
  <w:style w:type="paragraph" w:customStyle="1" w:styleId="SommaireCAPT">
    <w:name w:val="Sommaire_CAPT"/>
    <w:basedOn w:val="Normal"/>
    <w:uiPriority w:val="99"/>
    <w:rsid w:val="000676A1"/>
    <w:pPr>
      <w:shd w:val="pct10" w:color="auto" w:fill="auto"/>
      <w:tabs>
        <w:tab w:val="left" w:pos="567"/>
      </w:tabs>
      <w:spacing w:before="320" w:after="320" w:line="240" w:lineRule="auto"/>
      <w:ind w:left="1701" w:right="1701"/>
      <w:jc w:val="center"/>
    </w:pPr>
    <w:rPr>
      <w:rFonts w:ascii="Arial" w:eastAsia="Times New Roman" w:hAnsi="Arial"/>
      <w:b/>
      <w:noProof/>
      <w:spacing w:val="160"/>
      <w:sz w:val="18"/>
      <w:szCs w:val="20"/>
      <w:lang w:eastAsia="fr-FR"/>
      <w14:ligatures w14:val="standardContextual"/>
    </w:rPr>
  </w:style>
  <w:style w:type="character" w:customStyle="1" w:styleId="nrmlabel1">
    <w:name w:val="nrmlabel1"/>
    <w:uiPriority w:val="99"/>
    <w:rsid w:val="000676A1"/>
    <w:rPr>
      <w:rFonts w:ascii="Arial" w:hAnsi="Arial" w:cs="Arial" w:hint="default"/>
      <w:b/>
      <w:bCs/>
      <w:i w:val="0"/>
      <w:iCs w:val="0"/>
      <w:strike w:val="0"/>
      <w:dstrike w:val="0"/>
      <w:color w:val="000000"/>
      <w:sz w:val="17"/>
      <w:szCs w:val="17"/>
      <w:u w:val="none"/>
      <w:effect w:val="none"/>
    </w:rPr>
  </w:style>
  <w:style w:type="paragraph" w:customStyle="1" w:styleId="puce1-3pts">
    <w:name w:val="puce1-3pts"/>
    <w:basedOn w:val="Normal"/>
    <w:uiPriority w:val="99"/>
    <w:rsid w:val="000676A1"/>
    <w:pPr>
      <w:tabs>
        <w:tab w:val="num" w:pos="360"/>
        <w:tab w:val="left" w:pos="1560"/>
        <w:tab w:val="right" w:leader="dot" w:pos="9072"/>
      </w:tabs>
      <w:spacing w:before="60" w:after="0" w:line="240" w:lineRule="auto"/>
      <w:jc w:val="both"/>
    </w:pPr>
    <w:rPr>
      <w:rFonts w:ascii="Arial" w:eastAsia="Times New Roman" w:hAnsi="Arial"/>
      <w:sz w:val="21"/>
      <w:szCs w:val="20"/>
      <w:lang w:eastAsia="fr-FR"/>
      <w14:ligatures w14:val="standardContextual"/>
    </w:rPr>
  </w:style>
  <w:style w:type="paragraph" w:customStyle="1" w:styleId="Puce2">
    <w:name w:val="Puce2"/>
    <w:basedOn w:val="Normal"/>
    <w:uiPriority w:val="99"/>
    <w:rsid w:val="000676A1"/>
    <w:pPr>
      <w:numPr>
        <w:numId w:val="265"/>
      </w:numPr>
      <w:overflowPunct w:val="0"/>
      <w:autoSpaceDE w:val="0"/>
      <w:autoSpaceDN w:val="0"/>
      <w:adjustRightInd w:val="0"/>
      <w:spacing w:after="0" w:line="240" w:lineRule="auto"/>
      <w:jc w:val="both"/>
      <w:textAlignment w:val="baseline"/>
    </w:pPr>
    <w:rPr>
      <w:rFonts w:ascii="Trebuchet MS" w:eastAsia="Times New Roman" w:hAnsi="Trebuchet MS"/>
      <w:szCs w:val="20"/>
      <w:lang w:eastAsia="fr-FR"/>
      <w14:ligatures w14:val="standardContextual"/>
    </w:rPr>
  </w:style>
  <w:style w:type="paragraph" w:customStyle="1" w:styleId="Titredetablederfrences">
    <w:name w:val="Titre de table de références"/>
    <w:basedOn w:val="Normal"/>
    <w:uiPriority w:val="99"/>
    <w:rsid w:val="000676A1"/>
    <w:pPr>
      <w:widowControl w:val="0"/>
      <w:tabs>
        <w:tab w:val="right" w:pos="9360"/>
      </w:tabs>
      <w:suppressAutoHyphens/>
      <w:adjustRightInd w:val="0"/>
      <w:spacing w:after="0" w:line="360" w:lineRule="atLeast"/>
      <w:jc w:val="both"/>
      <w:textAlignment w:val="baseline"/>
    </w:pPr>
    <w:rPr>
      <w:rFonts w:ascii="Courier New" w:eastAsia="Times New Roman" w:hAnsi="Courier New"/>
      <w:snapToGrid w:val="0"/>
      <w:sz w:val="24"/>
      <w:szCs w:val="20"/>
      <w:lang w:eastAsia="fr-FR"/>
      <w14:ligatures w14:val="standardContextual"/>
    </w:rPr>
  </w:style>
  <w:style w:type="paragraph" w:customStyle="1" w:styleId="Retrait1">
    <w:name w:val="Retrait 1"/>
    <w:basedOn w:val="Normal"/>
    <w:next w:val="Normal"/>
    <w:uiPriority w:val="99"/>
    <w:rsid w:val="000676A1"/>
    <w:pPr>
      <w:autoSpaceDE w:val="0"/>
      <w:autoSpaceDN w:val="0"/>
      <w:adjustRightInd w:val="0"/>
      <w:spacing w:after="0" w:line="240" w:lineRule="auto"/>
    </w:pPr>
    <w:rPr>
      <w:rFonts w:ascii="Arial" w:eastAsia="Times New Roman" w:hAnsi="Arial" w:cs="Arial"/>
      <w:sz w:val="24"/>
      <w:szCs w:val="24"/>
      <w:lang w:eastAsia="fr-FR"/>
      <w14:ligatures w14:val="standardContextual"/>
    </w:rPr>
  </w:style>
  <w:style w:type="paragraph" w:customStyle="1" w:styleId="BodyTextIndent22">
    <w:name w:val="Body Text Indent 22"/>
    <w:basedOn w:val="Normal"/>
    <w:rsid w:val="000676A1"/>
    <w:pPr>
      <w:spacing w:after="0" w:line="240" w:lineRule="auto"/>
      <w:ind w:left="851" w:hanging="284"/>
      <w:jc w:val="both"/>
    </w:pPr>
    <w:rPr>
      <w:rFonts w:ascii="Times New Roman" w:eastAsia="Times New Roman" w:hAnsi="Times New Roman"/>
      <w:szCs w:val="20"/>
      <w:lang w:eastAsia="it-IT"/>
      <w14:ligatures w14:val="standardContextual"/>
    </w:rPr>
  </w:style>
  <w:style w:type="paragraph" w:customStyle="1" w:styleId="retrait10">
    <w:name w:val="retrait10"/>
    <w:uiPriority w:val="99"/>
    <w:rsid w:val="000676A1"/>
    <w:pPr>
      <w:spacing w:after="0" w:line="240" w:lineRule="auto"/>
      <w:ind w:left="567"/>
      <w:jc w:val="both"/>
    </w:pPr>
    <w:rPr>
      <w:rFonts w:ascii="Times New Roman" w:eastAsia="Times New Roman" w:hAnsi="Times New Roman" w:cs="Times New Roman"/>
      <w:szCs w:val="20"/>
      <w:lang w:eastAsia="fr-FR"/>
      <w14:ligatures w14:val="standardContextual"/>
    </w:rPr>
  </w:style>
  <w:style w:type="paragraph" w:customStyle="1" w:styleId="retrait15-5">
    <w:name w:val="retrait15-5"/>
    <w:basedOn w:val="retrait10"/>
    <w:rsid w:val="000676A1"/>
    <w:pPr>
      <w:ind w:left="851" w:hanging="284"/>
    </w:pPr>
  </w:style>
  <w:style w:type="paragraph" w:customStyle="1" w:styleId="normalgras">
    <w:name w:val="normal gras"/>
    <w:uiPriority w:val="99"/>
    <w:rsid w:val="000676A1"/>
    <w:pPr>
      <w:tabs>
        <w:tab w:val="left" w:pos="993"/>
      </w:tabs>
      <w:spacing w:after="0" w:line="240" w:lineRule="auto"/>
    </w:pPr>
    <w:rPr>
      <w:rFonts w:ascii="Times New Roman" w:eastAsia="Times New Roman" w:hAnsi="Times New Roman" w:cs="Times New Roman"/>
      <w:b/>
      <w:szCs w:val="20"/>
      <w:lang w:eastAsia="fr-FR"/>
      <w14:ligatures w14:val="standardContextual"/>
    </w:rPr>
  </w:style>
  <w:style w:type="paragraph" w:customStyle="1" w:styleId="retrait3">
    <w:name w:val="retrait"/>
    <w:basedOn w:val="texte"/>
    <w:uiPriority w:val="99"/>
    <w:rsid w:val="000676A1"/>
    <w:pPr>
      <w:spacing w:before="0" w:beforeAutospacing="0" w:after="0" w:afterAutospacing="0"/>
      <w:ind w:left="256" w:right="198" w:hanging="142"/>
      <w:jc w:val="both"/>
    </w:pPr>
    <w:rPr>
      <w:szCs w:val="20"/>
      <w14:ligatures w14:val="standardContextual"/>
    </w:rPr>
  </w:style>
  <w:style w:type="paragraph" w:customStyle="1" w:styleId="aDefinition">
    <w:name w:val="aDefinition"/>
    <w:basedOn w:val="Normal"/>
    <w:uiPriority w:val="99"/>
    <w:rsid w:val="000676A1"/>
    <w:pPr>
      <w:spacing w:before="120" w:after="120" w:line="240" w:lineRule="auto"/>
      <w:ind w:left="284" w:right="284"/>
      <w:jc w:val="both"/>
    </w:pPr>
    <w:rPr>
      <w:rFonts w:ascii="Times New Roman" w:eastAsia="Times New Roman" w:hAnsi="Times New Roman"/>
      <w:sz w:val="20"/>
      <w:szCs w:val="20"/>
      <w:lang w:eastAsia="fr-FR"/>
      <w14:ligatures w14:val="standardContextual"/>
    </w:rPr>
  </w:style>
  <w:style w:type="paragraph" w:customStyle="1" w:styleId="TexteCarCar">
    <w:name w:val="Texte Car Car"/>
    <w:basedOn w:val="Normal"/>
    <w:rsid w:val="000676A1"/>
    <w:pPr>
      <w:keepLines/>
      <w:spacing w:before="120" w:after="0" w:line="240" w:lineRule="auto"/>
      <w:jc w:val="both"/>
    </w:pPr>
    <w:rPr>
      <w:rFonts w:ascii="Arial" w:eastAsia="Times New Roman" w:hAnsi="Arial"/>
      <w:sz w:val="20"/>
      <w:szCs w:val="20"/>
      <w:lang w:eastAsia="fr-FR"/>
      <w14:ligatures w14:val="standardContextual"/>
    </w:rPr>
  </w:style>
  <w:style w:type="paragraph" w:customStyle="1" w:styleId="StyleTitre3LatinArialComplexeArial105ptAvant1">
    <w:name w:val="Style Titre 3 + (Latin) Arial (Complexe) Arial 105 pt Avant : 1..."/>
    <w:basedOn w:val="Titre30"/>
    <w:rsid w:val="000676A1"/>
    <w:pPr>
      <w:numPr>
        <w:ilvl w:val="0"/>
        <w:numId w:val="0"/>
      </w:numPr>
      <w:spacing w:before="0" w:after="0"/>
      <w:ind w:left="709"/>
    </w:pPr>
    <w:rPr>
      <w:rFonts w:ascii="Arial" w:hAnsi="Arial" w:cs="Arial"/>
      <w:bCs w:val="0"/>
      <w:i/>
      <w:iCs/>
      <w:color w:val="auto"/>
      <w:sz w:val="21"/>
      <w:szCs w:val="21"/>
      <w:lang w:val="fr-CA"/>
      <w14:ligatures w14:val="standardContextual"/>
    </w:rPr>
  </w:style>
  <w:style w:type="paragraph" w:customStyle="1" w:styleId="Textegrastableau">
    <w:name w:val="Texte gras tableau"/>
    <w:basedOn w:val="Normal"/>
    <w:link w:val="TextegrastableauCar"/>
    <w:autoRedefine/>
    <w:rsid w:val="000676A1"/>
    <w:pPr>
      <w:framePr w:hSpace="141" w:wrap="around" w:vAnchor="page" w:hAnchor="margin" w:y="1418"/>
      <w:spacing w:after="0" w:line="240" w:lineRule="auto"/>
    </w:pPr>
    <w:rPr>
      <w:rFonts w:ascii="Arial" w:eastAsia="Times New Roman" w:hAnsi="Arial"/>
      <w:b/>
      <w:bCs/>
      <w:sz w:val="16"/>
      <w:szCs w:val="20"/>
      <w:lang w:val="fr-CA" w:eastAsia="x-none"/>
      <w14:ligatures w14:val="standardContextual"/>
    </w:rPr>
  </w:style>
  <w:style w:type="character" w:customStyle="1" w:styleId="TextegrastableauCar">
    <w:name w:val="Texte gras tableau Car"/>
    <w:link w:val="Textegrastableau"/>
    <w:rsid w:val="000676A1"/>
    <w:rPr>
      <w:rFonts w:ascii="Arial" w:eastAsia="Times New Roman" w:hAnsi="Arial" w:cs="Times New Roman"/>
      <w:b/>
      <w:bCs/>
      <w:sz w:val="16"/>
      <w:szCs w:val="20"/>
      <w:lang w:val="fr-CA" w:eastAsia="x-none"/>
      <w14:ligatures w14:val="standardContextual"/>
    </w:rPr>
  </w:style>
  <w:style w:type="paragraph" w:customStyle="1" w:styleId="Texte20">
    <w:name w:val="Texte 2"/>
    <w:basedOn w:val="Normal"/>
    <w:rsid w:val="000676A1"/>
    <w:pPr>
      <w:overflowPunct w:val="0"/>
      <w:autoSpaceDE w:val="0"/>
      <w:autoSpaceDN w:val="0"/>
      <w:adjustRightInd w:val="0"/>
      <w:spacing w:after="240" w:line="240" w:lineRule="auto"/>
      <w:ind w:left="567"/>
      <w:jc w:val="both"/>
      <w:textAlignment w:val="baseline"/>
    </w:pPr>
    <w:rPr>
      <w:rFonts w:ascii="Arial" w:eastAsia="Times New Roman" w:hAnsi="Arial"/>
      <w:sz w:val="21"/>
      <w:szCs w:val="20"/>
      <w:lang w:eastAsia="fr-FR"/>
      <w14:ligatures w14:val="standardContextual"/>
    </w:rPr>
  </w:style>
  <w:style w:type="paragraph" w:customStyle="1" w:styleId="Enumration">
    <w:name w:val="Enumération"/>
    <w:basedOn w:val="Normal"/>
    <w:rsid w:val="000676A1"/>
    <w:pPr>
      <w:overflowPunct w:val="0"/>
      <w:autoSpaceDE w:val="0"/>
      <w:autoSpaceDN w:val="0"/>
      <w:adjustRightInd w:val="0"/>
      <w:spacing w:after="0" w:line="240" w:lineRule="auto"/>
      <w:ind w:left="851" w:hanging="283"/>
      <w:jc w:val="both"/>
      <w:textAlignment w:val="baseline"/>
    </w:pPr>
    <w:rPr>
      <w:rFonts w:ascii="Arial" w:eastAsia="Times New Roman" w:hAnsi="Arial"/>
      <w:sz w:val="21"/>
      <w:szCs w:val="20"/>
      <w:lang w:eastAsia="fr-FR"/>
      <w14:ligatures w14:val="standardContextual"/>
    </w:rPr>
  </w:style>
  <w:style w:type="paragraph" w:customStyle="1" w:styleId="Texte3">
    <w:name w:val="Texte 3"/>
    <w:basedOn w:val="Normal"/>
    <w:rsid w:val="000676A1"/>
    <w:pPr>
      <w:overflowPunct w:val="0"/>
      <w:autoSpaceDE w:val="0"/>
      <w:autoSpaceDN w:val="0"/>
      <w:adjustRightInd w:val="0"/>
      <w:spacing w:after="240" w:line="240" w:lineRule="auto"/>
      <w:ind w:left="851"/>
      <w:jc w:val="both"/>
      <w:textAlignment w:val="baseline"/>
    </w:pPr>
    <w:rPr>
      <w:rFonts w:ascii="Arial" w:eastAsia="Times New Roman" w:hAnsi="Arial"/>
      <w:sz w:val="21"/>
      <w:szCs w:val="20"/>
      <w:lang w:eastAsia="fr-FR"/>
      <w14:ligatures w14:val="standardContextual"/>
    </w:rPr>
  </w:style>
  <w:style w:type="paragraph" w:customStyle="1" w:styleId="Enum3">
    <w:name w:val="Enum3"/>
    <w:basedOn w:val="Texte3"/>
    <w:rsid w:val="000676A1"/>
    <w:pPr>
      <w:ind w:left="1135" w:hanging="284"/>
    </w:pPr>
  </w:style>
  <w:style w:type="paragraph" w:customStyle="1" w:styleId="DocumentMap1">
    <w:name w:val="Document Map1"/>
    <w:basedOn w:val="Normal"/>
    <w:rsid w:val="000676A1"/>
    <w:pPr>
      <w:shd w:val="clear" w:color="auto" w:fill="000080"/>
      <w:overflowPunct w:val="0"/>
      <w:autoSpaceDE w:val="0"/>
      <w:autoSpaceDN w:val="0"/>
      <w:adjustRightInd w:val="0"/>
      <w:spacing w:after="0" w:line="240" w:lineRule="auto"/>
      <w:textAlignment w:val="baseline"/>
    </w:pPr>
    <w:rPr>
      <w:rFonts w:ascii="Tahoma" w:eastAsia="Times New Roman" w:hAnsi="Tahoma"/>
      <w:sz w:val="21"/>
      <w:szCs w:val="20"/>
      <w:lang w:eastAsia="fr-FR"/>
      <w14:ligatures w14:val="standardContextual"/>
    </w:rPr>
  </w:style>
  <w:style w:type="paragraph" w:customStyle="1" w:styleId="Head52">
    <w:name w:val="Head 5.2"/>
    <w:rsid w:val="000676A1"/>
    <w:pPr>
      <w:widowControl w:val="0"/>
      <w:tabs>
        <w:tab w:val="left" w:pos="-720"/>
      </w:tabs>
      <w:suppressAutoHyphens/>
      <w:spacing w:after="0" w:line="240" w:lineRule="auto"/>
      <w:jc w:val="both"/>
    </w:pPr>
    <w:rPr>
      <w:rFonts w:ascii="Courier New" w:eastAsia="Times New Roman" w:hAnsi="Courier New" w:cs="Times New Roman"/>
      <w:b/>
      <w:snapToGrid w:val="0"/>
      <w:spacing w:val="-2"/>
      <w:sz w:val="20"/>
      <w:szCs w:val="20"/>
      <w:lang w:eastAsia="fr-FR"/>
      <w14:ligatures w14:val="standardContextual"/>
    </w:rPr>
  </w:style>
  <w:style w:type="paragraph" w:customStyle="1" w:styleId="ARTvaise">
    <w:name w:val="ART.vaise"/>
    <w:basedOn w:val="Normal"/>
    <w:rsid w:val="000676A1"/>
    <w:pPr>
      <w:spacing w:after="0" w:line="240" w:lineRule="auto"/>
      <w:jc w:val="both"/>
    </w:pPr>
    <w:rPr>
      <w:rFonts w:ascii="Times" w:eastAsia="Times New Roman" w:hAnsi="Times"/>
      <w:caps/>
      <w:snapToGrid w:val="0"/>
      <w:sz w:val="24"/>
      <w:szCs w:val="20"/>
      <w:lang w:val="fr-CA" w:eastAsia="fr-FR"/>
      <w14:ligatures w14:val="standardContextual"/>
    </w:rPr>
  </w:style>
  <w:style w:type="paragraph" w:customStyle="1" w:styleId="Standard1">
    <w:name w:val="Standard 1"/>
    <w:basedOn w:val="Titre1"/>
    <w:rsid w:val="000676A1"/>
    <w:pPr>
      <w:keepNext w:val="0"/>
      <w:keepLines w:val="0"/>
      <w:numPr>
        <w:numId w:val="0"/>
      </w:numPr>
      <w:pBdr>
        <w:top w:val="single" w:sz="18" w:space="1" w:color="auto"/>
        <w:left w:val="single" w:sz="18" w:space="4" w:color="auto"/>
        <w:bottom w:val="single" w:sz="18" w:space="1" w:color="auto"/>
        <w:right w:val="single" w:sz="18" w:space="4" w:color="auto"/>
      </w:pBdr>
      <w:shd w:val="clear" w:color="auto" w:fill="D9D9D9"/>
      <w:spacing w:before="0" w:after="0"/>
      <w:ind w:right="0"/>
      <w:jc w:val="center"/>
      <w:outlineLvl w:val="9"/>
    </w:pPr>
    <w:rPr>
      <w:rFonts w:ascii="Arial" w:hAnsi="Arial"/>
      <w:b w:val="0"/>
      <w:bCs w:val="0"/>
      <w:noProof/>
      <w:snapToGrid w:val="0"/>
      <w:kern w:val="0"/>
      <w:sz w:val="36"/>
      <w:szCs w:val="20"/>
      <w:lang w:val="fr-CA"/>
      <w14:ligatures w14:val="standardContextual"/>
    </w:rPr>
  </w:style>
  <w:style w:type="paragraph" w:customStyle="1" w:styleId="StyleTitre3Avant0cmSuspendu1cm">
    <w:name w:val="Style Titre 3 + Avant : 0 cm Suspendu : 1 cm"/>
    <w:basedOn w:val="Titre30"/>
    <w:rsid w:val="000676A1"/>
    <w:pPr>
      <w:numPr>
        <w:ilvl w:val="0"/>
        <w:numId w:val="0"/>
      </w:numPr>
      <w:overflowPunct w:val="0"/>
      <w:autoSpaceDE w:val="0"/>
      <w:autoSpaceDN w:val="0"/>
      <w:adjustRightInd w:val="0"/>
      <w:spacing w:before="0" w:after="0"/>
      <w:ind w:left="567" w:hanging="567"/>
      <w:textAlignment w:val="baseline"/>
    </w:pPr>
    <w:rPr>
      <w:rFonts w:ascii="Arial" w:hAnsi="Arial"/>
      <w:bCs w:val="0"/>
      <w:iCs/>
      <w:color w:val="auto"/>
      <w:sz w:val="21"/>
      <w:szCs w:val="20"/>
      <w:lang w:val="fr-CA"/>
      <w14:ligatures w14:val="standardContextual"/>
    </w:rPr>
  </w:style>
  <w:style w:type="paragraph" w:customStyle="1" w:styleId="StyleTitre3Avant0cmSuspendu125cm">
    <w:name w:val="Style Titre 3 + Avant : 0 cm Suspendu : 125 cm"/>
    <w:basedOn w:val="Titre30"/>
    <w:rsid w:val="000676A1"/>
    <w:pPr>
      <w:numPr>
        <w:ilvl w:val="0"/>
        <w:numId w:val="0"/>
      </w:numPr>
      <w:overflowPunct w:val="0"/>
      <w:autoSpaceDE w:val="0"/>
      <w:autoSpaceDN w:val="0"/>
      <w:adjustRightInd w:val="0"/>
      <w:spacing w:before="0" w:after="0"/>
      <w:ind w:left="709" w:hanging="709"/>
      <w:textAlignment w:val="baseline"/>
    </w:pPr>
    <w:rPr>
      <w:rFonts w:ascii="Arial" w:hAnsi="Arial"/>
      <w:bCs w:val="0"/>
      <w:iCs/>
      <w:color w:val="auto"/>
      <w:sz w:val="21"/>
      <w:szCs w:val="20"/>
      <w:lang w:val="fr-CA"/>
      <w14:ligatures w14:val="standardContextual"/>
    </w:rPr>
  </w:style>
  <w:style w:type="paragraph" w:customStyle="1" w:styleId="StyleTitre3JustifiAvant0cmPremireligne0cm">
    <w:name w:val="Style Titre 3 + Justifié Avant : 0 cm Première ligne : 0 cm"/>
    <w:basedOn w:val="Titre30"/>
    <w:rsid w:val="000676A1"/>
    <w:pPr>
      <w:numPr>
        <w:ilvl w:val="0"/>
        <w:numId w:val="0"/>
      </w:numPr>
      <w:overflowPunct w:val="0"/>
      <w:autoSpaceDE w:val="0"/>
      <w:autoSpaceDN w:val="0"/>
      <w:adjustRightInd w:val="0"/>
      <w:spacing w:before="0" w:after="0"/>
      <w:jc w:val="both"/>
      <w:textAlignment w:val="baseline"/>
    </w:pPr>
    <w:rPr>
      <w:rFonts w:ascii="Arial" w:hAnsi="Arial"/>
      <w:bCs w:val="0"/>
      <w:iCs/>
      <w:color w:val="auto"/>
      <w:sz w:val="21"/>
      <w:szCs w:val="20"/>
      <w:lang w:val="fr-CA"/>
      <w14:ligatures w14:val="standardContextual"/>
    </w:rPr>
  </w:style>
  <w:style w:type="paragraph" w:customStyle="1" w:styleId="StyleTitre3ComplexeArial">
    <w:name w:val="Style Titre 3 + (Complexe) Arial"/>
    <w:basedOn w:val="Titre30"/>
    <w:link w:val="StyleTitre3ComplexeArialCar"/>
    <w:rsid w:val="000676A1"/>
    <w:pPr>
      <w:numPr>
        <w:ilvl w:val="0"/>
        <w:numId w:val="0"/>
      </w:numPr>
      <w:overflowPunct w:val="0"/>
      <w:autoSpaceDE w:val="0"/>
      <w:autoSpaceDN w:val="0"/>
      <w:adjustRightInd w:val="0"/>
      <w:spacing w:before="0" w:after="0"/>
      <w:ind w:left="992" w:hanging="992"/>
      <w:textAlignment w:val="baseline"/>
    </w:pPr>
    <w:rPr>
      <w:rFonts w:ascii="Arial" w:hAnsi="Arial"/>
      <w:bCs w:val="0"/>
      <w:iCs/>
      <w:color w:val="auto"/>
      <w:sz w:val="21"/>
      <w:szCs w:val="20"/>
      <w:lang w:val="fr-CA" w:eastAsia="en-US"/>
      <w14:ligatures w14:val="standardContextual"/>
    </w:rPr>
  </w:style>
  <w:style w:type="character" w:customStyle="1" w:styleId="StyleTitre3ComplexeArialCar">
    <w:name w:val="Style Titre 3 + (Complexe) Arial Car"/>
    <w:link w:val="StyleTitre3ComplexeArial"/>
    <w:rsid w:val="000676A1"/>
    <w:rPr>
      <w:rFonts w:ascii="Arial" w:eastAsia="Times New Roman" w:hAnsi="Arial" w:cs="Times New Roman"/>
      <w:b/>
      <w:iCs/>
      <w:sz w:val="21"/>
      <w:szCs w:val="20"/>
      <w:lang w:val="fr-CA"/>
      <w14:ligatures w14:val="standardContextual"/>
    </w:rPr>
  </w:style>
  <w:style w:type="paragraph" w:customStyle="1" w:styleId="StyleTitre3Avant0cmSuspendu1cm1">
    <w:name w:val="Style Titre 3 + Avant : 0 cm Suspendu : 1 cm1"/>
    <w:basedOn w:val="Titre30"/>
    <w:rsid w:val="000676A1"/>
    <w:pPr>
      <w:numPr>
        <w:ilvl w:val="0"/>
        <w:numId w:val="0"/>
      </w:numPr>
      <w:overflowPunct w:val="0"/>
      <w:autoSpaceDE w:val="0"/>
      <w:autoSpaceDN w:val="0"/>
      <w:adjustRightInd w:val="0"/>
      <w:spacing w:before="0" w:after="0"/>
      <w:ind w:left="567" w:hanging="567"/>
      <w:textAlignment w:val="baseline"/>
    </w:pPr>
    <w:rPr>
      <w:rFonts w:ascii="Arial" w:hAnsi="Arial"/>
      <w:bCs w:val="0"/>
      <w:iCs/>
      <w:color w:val="auto"/>
      <w:sz w:val="21"/>
      <w:szCs w:val="20"/>
      <w:lang w:val="fr-CA"/>
      <w14:ligatures w14:val="standardContextual"/>
    </w:rPr>
  </w:style>
  <w:style w:type="paragraph" w:customStyle="1" w:styleId="OmniPage19">
    <w:name w:val="OmniPage #19"/>
    <w:basedOn w:val="Normal"/>
    <w:rsid w:val="000676A1"/>
    <w:pPr>
      <w:spacing w:after="0" w:line="240" w:lineRule="auto"/>
    </w:pPr>
    <w:rPr>
      <w:rFonts w:ascii="Times New Roman" w:eastAsia="Times New Roman" w:hAnsi="Times New Roman"/>
      <w:sz w:val="20"/>
      <w:szCs w:val="20"/>
      <w:lang w:val="en-US" w:eastAsia="fr-FR"/>
      <w14:ligatures w14:val="standardContextual"/>
    </w:rPr>
  </w:style>
  <w:style w:type="paragraph" w:customStyle="1" w:styleId="Retrait11">
    <w:name w:val="Retrait1"/>
    <w:basedOn w:val="Normal"/>
    <w:rsid w:val="000676A1"/>
    <w:pPr>
      <w:tabs>
        <w:tab w:val="left" w:pos="1134"/>
        <w:tab w:val="left" w:pos="3402"/>
        <w:tab w:val="left" w:pos="3544"/>
      </w:tabs>
      <w:overflowPunct w:val="0"/>
      <w:autoSpaceDE w:val="0"/>
      <w:autoSpaceDN w:val="0"/>
      <w:adjustRightInd w:val="0"/>
      <w:spacing w:before="120" w:after="0" w:line="240" w:lineRule="atLeast"/>
      <w:ind w:left="1134" w:right="-28" w:hanging="567"/>
      <w:jc w:val="both"/>
      <w:textAlignment w:val="baseline"/>
    </w:pPr>
    <w:rPr>
      <w:rFonts w:ascii="Arial Narrow" w:eastAsia="MS Mincho" w:hAnsi="Arial Narrow"/>
      <w:szCs w:val="20"/>
      <w:lang w:eastAsia="ja-JP"/>
      <w14:ligatures w14:val="standardContextual"/>
    </w:rPr>
  </w:style>
  <w:style w:type="paragraph" w:customStyle="1" w:styleId="StyleTitre3Complexe105ptComplexeGras">
    <w:name w:val="Style Titre 3 + (Complexe) 105 pt (Complexe) Gras"/>
    <w:basedOn w:val="Titre30"/>
    <w:rsid w:val="000676A1"/>
    <w:pPr>
      <w:numPr>
        <w:ilvl w:val="0"/>
        <w:numId w:val="0"/>
      </w:numPr>
      <w:overflowPunct w:val="0"/>
      <w:autoSpaceDE w:val="0"/>
      <w:autoSpaceDN w:val="0"/>
      <w:adjustRightInd w:val="0"/>
      <w:spacing w:before="0" w:after="0"/>
      <w:ind w:left="992" w:hanging="992"/>
      <w:textAlignment w:val="baseline"/>
    </w:pPr>
    <w:rPr>
      <w:rFonts w:ascii="Arial Gras" w:hAnsi="Arial Gras"/>
      <w:iCs/>
      <w:color w:val="auto"/>
      <w:sz w:val="21"/>
      <w:szCs w:val="21"/>
      <w:lang w:val="fr-CA"/>
      <w14:ligatures w14:val="standardContextual"/>
    </w:rPr>
  </w:style>
  <w:style w:type="paragraph" w:customStyle="1" w:styleId="font8">
    <w:name w:val="font8"/>
    <w:basedOn w:val="Normal"/>
    <w:rsid w:val="000676A1"/>
    <w:pPr>
      <w:spacing w:before="100" w:beforeAutospacing="1" w:after="100" w:afterAutospacing="1" w:line="240" w:lineRule="auto"/>
    </w:pPr>
    <w:rPr>
      <w:rFonts w:ascii="Arial" w:eastAsia="Times New Roman" w:hAnsi="Arial" w:cs="Arial"/>
      <w:color w:val="000000"/>
      <w:sz w:val="32"/>
      <w:szCs w:val="32"/>
      <w:lang w:eastAsia="fr-FR"/>
      <w14:ligatures w14:val="standardContextual"/>
    </w:rPr>
  </w:style>
  <w:style w:type="paragraph" w:customStyle="1" w:styleId="font9">
    <w:name w:val="font9"/>
    <w:basedOn w:val="Normal"/>
    <w:rsid w:val="000676A1"/>
    <w:pPr>
      <w:spacing w:before="100" w:beforeAutospacing="1" w:after="100" w:afterAutospacing="1" w:line="240" w:lineRule="auto"/>
    </w:pPr>
    <w:rPr>
      <w:rFonts w:ascii="Arial" w:eastAsia="Times New Roman" w:hAnsi="Arial" w:cs="Arial"/>
      <w:b/>
      <w:bCs/>
      <w:color w:val="000000"/>
      <w:sz w:val="24"/>
      <w:szCs w:val="24"/>
      <w:lang w:eastAsia="fr-FR"/>
      <w14:ligatures w14:val="standardContextual"/>
    </w:rPr>
  </w:style>
  <w:style w:type="paragraph" w:customStyle="1" w:styleId="font10">
    <w:name w:val="font10"/>
    <w:basedOn w:val="Normal"/>
    <w:rsid w:val="000676A1"/>
    <w:pPr>
      <w:spacing w:before="100" w:beforeAutospacing="1" w:after="100" w:afterAutospacing="1" w:line="240" w:lineRule="auto"/>
    </w:pPr>
    <w:rPr>
      <w:rFonts w:ascii="Arial" w:eastAsia="Times New Roman" w:hAnsi="Arial" w:cs="Arial"/>
      <w:color w:val="000000"/>
      <w:sz w:val="24"/>
      <w:szCs w:val="24"/>
      <w:lang w:eastAsia="fr-FR"/>
      <w14:ligatures w14:val="standardContextual"/>
    </w:rPr>
  </w:style>
  <w:style w:type="character" w:customStyle="1" w:styleId="StyleTitre3ComplexeArialCarCar">
    <w:name w:val="Style Titre 3 + (Complexe) Arial Car Car"/>
    <w:rsid w:val="000676A1"/>
    <w:rPr>
      <w:rFonts w:ascii="Arial" w:hAnsi="Arial" w:cs="Arial"/>
      <w:b/>
      <w:iCs/>
      <w:caps/>
      <w:sz w:val="21"/>
      <w:lang w:val="fr-CA" w:eastAsia="fr-FR" w:bidi="ar-SA"/>
    </w:rPr>
  </w:style>
  <w:style w:type="paragraph" w:customStyle="1" w:styleId="DeltaViewAnnounce">
    <w:name w:val="DeltaView Announce"/>
    <w:rsid w:val="000676A1"/>
    <w:pPr>
      <w:autoSpaceDE w:val="0"/>
      <w:autoSpaceDN w:val="0"/>
      <w:adjustRightInd w:val="0"/>
      <w:spacing w:before="100" w:beforeAutospacing="1" w:after="100" w:afterAutospacing="1" w:line="240" w:lineRule="auto"/>
    </w:pPr>
    <w:rPr>
      <w:rFonts w:ascii="Arial" w:eastAsia="Times New Roman" w:hAnsi="Arial" w:cs="Arial"/>
      <w:sz w:val="24"/>
      <w:szCs w:val="24"/>
      <w:lang w:val="en-GB" w:eastAsia="fr-CA"/>
      <w14:ligatures w14:val="standardContextual"/>
    </w:rPr>
  </w:style>
  <w:style w:type="paragraph" w:customStyle="1" w:styleId="E0">
    <w:name w:val="E0"/>
    <w:basedOn w:val="Normal"/>
    <w:uiPriority w:val="99"/>
    <w:rsid w:val="000676A1"/>
    <w:pPr>
      <w:keepLines/>
      <w:numPr>
        <w:numId w:val="266"/>
      </w:numPr>
      <w:tabs>
        <w:tab w:val="left" w:pos="964"/>
      </w:tabs>
      <w:spacing w:after="120" w:line="240" w:lineRule="exact"/>
    </w:pPr>
    <w:rPr>
      <w:rFonts w:ascii="Times New Roman" w:eastAsia="Times New Roman" w:hAnsi="Times New Roman"/>
      <w:szCs w:val="20"/>
      <w:lang w:eastAsia="fr-FR"/>
      <w14:ligatures w14:val="standardContextual"/>
    </w:rPr>
  </w:style>
  <w:style w:type="character" w:customStyle="1" w:styleId="Char210">
    <w:name w:val="Char21"/>
    <w:uiPriority w:val="99"/>
    <w:rsid w:val="000676A1"/>
    <w:rPr>
      <w:sz w:val="24"/>
      <w:lang w:val="en-US" w:eastAsia="en-US"/>
    </w:rPr>
  </w:style>
  <w:style w:type="paragraph" w:customStyle="1" w:styleId="liste50">
    <w:name w:val="liste50"/>
    <w:basedOn w:val="Normal"/>
    <w:rsid w:val="000676A1"/>
    <w:pPr>
      <w:widowControl w:val="0"/>
      <w:tabs>
        <w:tab w:val="left" w:pos="360"/>
        <w:tab w:val="num" w:pos="720"/>
        <w:tab w:val="num" w:pos="851"/>
        <w:tab w:val="left" w:pos="2835"/>
      </w:tabs>
      <w:overflowPunct w:val="0"/>
      <w:autoSpaceDE w:val="0"/>
      <w:autoSpaceDN w:val="0"/>
      <w:adjustRightInd w:val="0"/>
      <w:spacing w:after="0" w:line="240" w:lineRule="auto"/>
      <w:ind w:left="2835" w:hanging="2835"/>
      <w:jc w:val="both"/>
      <w:textAlignment w:val="baseline"/>
    </w:pPr>
    <w:rPr>
      <w:rFonts w:ascii="Times New Roman" w:eastAsia="Times New Roman" w:hAnsi="Times New Roman"/>
      <w:szCs w:val="20"/>
      <w:lang w:eastAsia="it-IT"/>
      <w14:ligatures w14:val="standardContextual"/>
    </w:rPr>
  </w:style>
  <w:style w:type="paragraph" w:customStyle="1" w:styleId="Head80">
    <w:name w:val="Head 8.0"/>
    <w:basedOn w:val="Normal"/>
    <w:rsid w:val="000676A1"/>
    <w:pPr>
      <w:tabs>
        <w:tab w:val="left" w:pos="284"/>
      </w:tabs>
      <w:overflowPunct w:val="0"/>
      <w:autoSpaceDE w:val="0"/>
      <w:autoSpaceDN w:val="0"/>
      <w:adjustRightInd w:val="0"/>
      <w:spacing w:after="0" w:line="240" w:lineRule="auto"/>
      <w:ind w:left="284" w:right="-2" w:hanging="284"/>
      <w:jc w:val="right"/>
      <w:textAlignment w:val="baseline"/>
    </w:pPr>
    <w:rPr>
      <w:rFonts w:ascii="CG Times" w:eastAsia="Times New Roman" w:hAnsi="CG Times"/>
      <w:b/>
      <w:sz w:val="44"/>
      <w:szCs w:val="20"/>
      <w:lang w:eastAsia="it-IT"/>
      <w14:ligatures w14:val="standardContextual"/>
    </w:rPr>
  </w:style>
  <w:style w:type="paragraph" w:customStyle="1" w:styleId="CM99">
    <w:name w:val="CM99"/>
    <w:basedOn w:val="Default"/>
    <w:next w:val="Default"/>
    <w:rsid w:val="000676A1"/>
    <w:pPr>
      <w:widowControl w:val="0"/>
      <w:spacing w:after="120"/>
    </w:pPr>
    <w:rPr>
      <w:rFonts w:ascii="Arial" w:eastAsia="Times New Roman" w:hAnsi="Arial" w:cs="Times New Roman"/>
      <w:color w:val="auto"/>
      <w:sz w:val="20"/>
      <w:lang w:val="it-IT" w:eastAsia="it-IT"/>
      <w14:ligatures w14:val="standardContextual"/>
    </w:rPr>
  </w:style>
  <w:style w:type="paragraph" w:customStyle="1" w:styleId="CM98">
    <w:name w:val="CM98"/>
    <w:basedOn w:val="Default"/>
    <w:next w:val="Default"/>
    <w:rsid w:val="000676A1"/>
    <w:pPr>
      <w:widowControl w:val="0"/>
      <w:spacing w:after="353"/>
    </w:pPr>
    <w:rPr>
      <w:rFonts w:ascii="Arial" w:eastAsia="Times New Roman" w:hAnsi="Arial" w:cs="Times New Roman"/>
      <w:color w:val="auto"/>
      <w:sz w:val="20"/>
      <w:lang w:val="it-IT" w:eastAsia="it-IT"/>
      <w14:ligatures w14:val="standardContextual"/>
    </w:rPr>
  </w:style>
  <w:style w:type="paragraph" w:customStyle="1" w:styleId="CM106">
    <w:name w:val="CM106"/>
    <w:basedOn w:val="Default"/>
    <w:next w:val="Default"/>
    <w:rsid w:val="000676A1"/>
    <w:pPr>
      <w:widowControl w:val="0"/>
      <w:spacing w:after="273"/>
    </w:pPr>
    <w:rPr>
      <w:rFonts w:ascii="Arial" w:eastAsia="Times New Roman" w:hAnsi="Arial" w:cs="Times New Roman"/>
      <w:color w:val="auto"/>
      <w:sz w:val="20"/>
      <w:lang w:val="it-IT" w:eastAsia="it-IT"/>
      <w14:ligatures w14:val="standardContextual"/>
    </w:rPr>
  </w:style>
  <w:style w:type="paragraph" w:customStyle="1" w:styleId="CM55">
    <w:name w:val="CM55"/>
    <w:basedOn w:val="Default"/>
    <w:next w:val="Default"/>
    <w:rsid w:val="000676A1"/>
    <w:pPr>
      <w:widowControl w:val="0"/>
    </w:pPr>
    <w:rPr>
      <w:rFonts w:ascii="Arial" w:eastAsia="Times New Roman" w:hAnsi="Arial" w:cs="Times New Roman"/>
      <w:color w:val="auto"/>
      <w:sz w:val="20"/>
      <w:lang w:val="it-IT" w:eastAsia="it-IT"/>
      <w14:ligatures w14:val="standardContextual"/>
    </w:rPr>
  </w:style>
  <w:style w:type="paragraph" w:customStyle="1" w:styleId="CM36">
    <w:name w:val="CM36"/>
    <w:basedOn w:val="Default"/>
    <w:next w:val="Default"/>
    <w:rsid w:val="000676A1"/>
    <w:pPr>
      <w:widowControl w:val="0"/>
    </w:pPr>
    <w:rPr>
      <w:rFonts w:ascii="Arial" w:eastAsia="Times New Roman" w:hAnsi="Arial" w:cs="Times New Roman"/>
      <w:color w:val="auto"/>
      <w:sz w:val="20"/>
      <w:lang w:val="it-IT" w:eastAsia="it-IT"/>
      <w14:ligatures w14:val="standardContextual"/>
    </w:rPr>
  </w:style>
  <w:style w:type="paragraph" w:customStyle="1" w:styleId="CM14">
    <w:name w:val="CM14"/>
    <w:basedOn w:val="Default"/>
    <w:next w:val="Default"/>
    <w:rsid w:val="000676A1"/>
    <w:pPr>
      <w:widowControl w:val="0"/>
    </w:pPr>
    <w:rPr>
      <w:rFonts w:ascii="Arial" w:eastAsia="Times New Roman" w:hAnsi="Arial" w:cs="Times New Roman"/>
      <w:color w:val="auto"/>
      <w:sz w:val="20"/>
      <w:lang w:val="it-IT" w:eastAsia="it-IT"/>
      <w14:ligatures w14:val="standardContextual"/>
    </w:rPr>
  </w:style>
  <w:style w:type="paragraph" w:customStyle="1" w:styleId="CM115">
    <w:name w:val="CM115"/>
    <w:basedOn w:val="Default"/>
    <w:next w:val="Default"/>
    <w:rsid w:val="000676A1"/>
    <w:pPr>
      <w:widowControl w:val="0"/>
      <w:spacing w:after="405"/>
    </w:pPr>
    <w:rPr>
      <w:rFonts w:ascii="Arial" w:eastAsia="Times New Roman" w:hAnsi="Arial" w:cs="Times New Roman"/>
      <w:color w:val="auto"/>
      <w:sz w:val="20"/>
      <w:lang w:val="it-IT" w:eastAsia="it-IT"/>
      <w14:ligatures w14:val="standardContextual"/>
    </w:rPr>
  </w:style>
  <w:style w:type="paragraph" w:customStyle="1" w:styleId="CM107">
    <w:name w:val="CM107"/>
    <w:basedOn w:val="Normal"/>
    <w:next w:val="Normal"/>
    <w:rsid w:val="000676A1"/>
    <w:pPr>
      <w:widowControl w:val="0"/>
      <w:autoSpaceDE w:val="0"/>
      <w:autoSpaceDN w:val="0"/>
      <w:adjustRightInd w:val="0"/>
      <w:spacing w:after="60" w:line="240" w:lineRule="auto"/>
    </w:pPr>
    <w:rPr>
      <w:rFonts w:ascii="Arial" w:eastAsia="Times New Roman" w:hAnsi="Arial"/>
      <w:sz w:val="20"/>
      <w:szCs w:val="24"/>
      <w:lang w:val="it-IT" w:eastAsia="it-IT"/>
      <w14:ligatures w14:val="standardContextual"/>
    </w:rPr>
  </w:style>
  <w:style w:type="paragraph" w:customStyle="1" w:styleId="CM110">
    <w:name w:val="CM110"/>
    <w:basedOn w:val="Normal"/>
    <w:next w:val="Normal"/>
    <w:rsid w:val="000676A1"/>
    <w:pPr>
      <w:widowControl w:val="0"/>
      <w:autoSpaceDE w:val="0"/>
      <w:autoSpaceDN w:val="0"/>
      <w:adjustRightInd w:val="0"/>
      <w:spacing w:after="550" w:line="240" w:lineRule="auto"/>
    </w:pPr>
    <w:rPr>
      <w:rFonts w:ascii="Arial" w:eastAsia="Times New Roman" w:hAnsi="Arial"/>
      <w:sz w:val="20"/>
      <w:szCs w:val="24"/>
      <w:lang w:val="it-IT" w:eastAsia="it-IT"/>
      <w14:ligatures w14:val="standardContextual"/>
    </w:rPr>
  </w:style>
  <w:style w:type="paragraph" w:customStyle="1" w:styleId="CM24">
    <w:name w:val="CM24"/>
    <w:basedOn w:val="Default"/>
    <w:next w:val="Default"/>
    <w:rsid w:val="000676A1"/>
    <w:pPr>
      <w:widowControl w:val="0"/>
    </w:pPr>
    <w:rPr>
      <w:rFonts w:ascii="Arial" w:eastAsia="Times New Roman" w:hAnsi="Arial" w:cs="Times New Roman"/>
      <w:color w:val="auto"/>
      <w:sz w:val="20"/>
      <w:lang w:val="it-IT" w:eastAsia="it-IT"/>
      <w14:ligatures w14:val="standardContextual"/>
    </w:rPr>
  </w:style>
  <w:style w:type="paragraph" w:customStyle="1" w:styleId="CM58">
    <w:name w:val="CM58"/>
    <w:basedOn w:val="Default"/>
    <w:next w:val="Default"/>
    <w:rsid w:val="000676A1"/>
    <w:pPr>
      <w:widowControl w:val="0"/>
      <w:spacing w:line="280" w:lineRule="atLeast"/>
    </w:pPr>
    <w:rPr>
      <w:rFonts w:ascii="Arial" w:eastAsia="Times New Roman" w:hAnsi="Arial" w:cs="Times New Roman"/>
      <w:color w:val="auto"/>
      <w:sz w:val="20"/>
      <w:lang w:val="it-IT" w:eastAsia="it-IT"/>
      <w14:ligatures w14:val="standardContextual"/>
    </w:rPr>
  </w:style>
  <w:style w:type="paragraph" w:customStyle="1" w:styleId="CM111">
    <w:name w:val="CM111"/>
    <w:basedOn w:val="Default"/>
    <w:next w:val="Default"/>
    <w:rsid w:val="000676A1"/>
    <w:pPr>
      <w:widowControl w:val="0"/>
      <w:spacing w:after="193"/>
    </w:pPr>
    <w:rPr>
      <w:rFonts w:ascii="Arial" w:eastAsia="Times New Roman" w:hAnsi="Arial" w:cs="Times New Roman"/>
      <w:color w:val="auto"/>
      <w:sz w:val="20"/>
      <w:lang w:val="it-IT" w:eastAsia="it-IT"/>
      <w14:ligatures w14:val="standardContextual"/>
    </w:rPr>
  </w:style>
  <w:style w:type="paragraph" w:customStyle="1" w:styleId="CM50">
    <w:name w:val="CM50"/>
    <w:basedOn w:val="Default"/>
    <w:next w:val="Default"/>
    <w:rsid w:val="000676A1"/>
    <w:pPr>
      <w:widowControl w:val="0"/>
    </w:pPr>
    <w:rPr>
      <w:rFonts w:ascii="Arial" w:eastAsia="Times New Roman" w:hAnsi="Arial" w:cs="Times New Roman"/>
      <w:color w:val="auto"/>
      <w:sz w:val="20"/>
      <w:lang w:val="it-IT" w:eastAsia="it-IT"/>
      <w14:ligatures w14:val="standardContextual"/>
    </w:rPr>
  </w:style>
  <w:style w:type="paragraph" w:customStyle="1" w:styleId="TITI11">
    <w:name w:val="TITI.1.1"/>
    <w:basedOn w:val="Normal"/>
    <w:rsid w:val="000676A1"/>
    <w:pPr>
      <w:widowControl w:val="0"/>
      <w:numPr>
        <w:ilvl w:val="12"/>
      </w:numPr>
      <w:spacing w:before="120" w:after="0" w:line="240" w:lineRule="auto"/>
      <w:ind w:left="1276" w:hanging="709"/>
    </w:pPr>
    <w:rPr>
      <w:rFonts w:ascii="Times New Roman" w:eastAsia="Times New Roman" w:hAnsi="Times New Roman"/>
      <w:b/>
      <w:sz w:val="24"/>
      <w:szCs w:val="20"/>
      <w:lang w:eastAsia="fr-FR"/>
      <w14:ligatures w14:val="standardContextual"/>
    </w:rPr>
  </w:style>
  <w:style w:type="paragraph" w:customStyle="1" w:styleId="titre52">
    <w:name w:val="titre5"/>
    <w:basedOn w:val="Titre40"/>
    <w:rsid w:val="000676A1"/>
    <w:pPr>
      <w:keepNext w:val="0"/>
      <w:tabs>
        <w:tab w:val="left" w:pos="284"/>
        <w:tab w:val="left" w:pos="1134"/>
      </w:tabs>
      <w:spacing w:before="60" w:after="120" w:line="240" w:lineRule="auto"/>
      <w:ind w:left="0" w:hanging="900"/>
      <w:jc w:val="both"/>
      <w:outlineLvl w:val="9"/>
    </w:pPr>
    <w:rPr>
      <w:rFonts w:ascii="Times New Roman" w:hAnsi="Times New Roman"/>
      <w:b w:val="0"/>
      <w:bCs w:val="0"/>
      <w:i/>
      <w:iCs/>
      <w:sz w:val="22"/>
      <w:szCs w:val="20"/>
      <w:lang w:val="x-none" w:eastAsia="fr-FR"/>
      <w14:ligatures w14:val="standardContextual"/>
    </w:rPr>
  </w:style>
  <w:style w:type="paragraph" w:customStyle="1" w:styleId="Retraitcorpsdetexte22">
    <w:name w:val="Retrait corps de texte 22"/>
    <w:basedOn w:val="Normal"/>
    <w:rsid w:val="000676A1"/>
    <w:pPr>
      <w:spacing w:after="0" w:line="240" w:lineRule="auto"/>
      <w:ind w:left="851" w:hanging="284"/>
      <w:jc w:val="both"/>
    </w:pPr>
    <w:rPr>
      <w:rFonts w:ascii="Times New Roman" w:eastAsia="Times New Roman" w:hAnsi="Times New Roman"/>
      <w:szCs w:val="20"/>
      <w:lang w:eastAsia="it-IT"/>
      <w14:ligatures w14:val="standardContextual"/>
    </w:rPr>
  </w:style>
  <w:style w:type="paragraph" w:customStyle="1" w:styleId="unitdevaleur">
    <w:name w:val="unité de valeur"/>
    <w:basedOn w:val="Normal"/>
    <w:uiPriority w:val="99"/>
    <w:rsid w:val="000676A1"/>
    <w:pPr>
      <w:pBdr>
        <w:bottom w:val="single" w:sz="2" w:space="24" w:color="auto"/>
      </w:pBdr>
      <w:tabs>
        <w:tab w:val="right" w:pos="9781"/>
      </w:tabs>
      <w:spacing w:before="360" w:after="0" w:line="240" w:lineRule="auto"/>
      <w:ind w:right="-710" w:firstLine="1134"/>
      <w:outlineLvl w:val="0"/>
    </w:pPr>
    <w:rPr>
      <w:rFonts w:ascii="Arial" w:eastAsia="Times New Roman" w:hAnsi="Arial"/>
      <w:b/>
      <w:caps/>
      <w:szCs w:val="20"/>
      <w:lang w:eastAsia="fr-FR"/>
      <w14:ligatures w14:val="standardContextual"/>
    </w:rPr>
  </w:style>
  <w:style w:type="paragraph" w:customStyle="1" w:styleId="NPoste">
    <w:name w:val="N° Poste"/>
    <w:basedOn w:val="Normal"/>
    <w:rsid w:val="000676A1"/>
    <w:pPr>
      <w:autoSpaceDE w:val="0"/>
      <w:autoSpaceDN w:val="0"/>
      <w:adjustRightInd w:val="0"/>
      <w:spacing w:before="240" w:after="0" w:line="240" w:lineRule="auto"/>
      <w:jc w:val="center"/>
    </w:pPr>
    <w:rPr>
      <w:rFonts w:ascii="Arial" w:eastAsia="Times New Roman" w:hAnsi="Arial" w:cs="Arial"/>
      <w:b/>
      <w:color w:val="000000"/>
      <w:lang w:eastAsia="fr-FR"/>
      <w14:ligatures w14:val="standardContextual"/>
    </w:rPr>
  </w:style>
  <w:style w:type="paragraph" w:customStyle="1" w:styleId="SousNposte">
    <w:name w:val="Sous N° poste"/>
    <w:basedOn w:val="Normal"/>
    <w:uiPriority w:val="99"/>
    <w:rsid w:val="000676A1"/>
    <w:pPr>
      <w:autoSpaceDE w:val="0"/>
      <w:autoSpaceDN w:val="0"/>
      <w:adjustRightInd w:val="0"/>
      <w:spacing w:before="80" w:after="0" w:line="240" w:lineRule="auto"/>
      <w:jc w:val="center"/>
    </w:pPr>
    <w:rPr>
      <w:rFonts w:ascii="Arial" w:eastAsia="Times New Roman" w:hAnsi="Arial" w:cs="Arial"/>
      <w:b/>
      <w:color w:val="000000"/>
      <w:lang w:eastAsia="fr-FR"/>
      <w14:ligatures w14:val="standardContextual"/>
    </w:rPr>
  </w:style>
  <w:style w:type="character" w:customStyle="1" w:styleId="Style8Car">
    <w:name w:val="Style8 Car"/>
    <w:rsid w:val="000676A1"/>
    <w:rPr>
      <w:rFonts w:ascii="Arial" w:eastAsia="Times New Roman" w:hAnsi="Arial" w:cs="Times New Roman"/>
      <w:sz w:val="20"/>
      <w:lang w:val="x-none" w:eastAsia="x-none"/>
    </w:rPr>
  </w:style>
  <w:style w:type="paragraph" w:customStyle="1" w:styleId="CarCarCarCarCarCarCharCharCarCharCharCarCarChar1">
    <w:name w:val="Car Car Car Car Car Car Char Char Car Char Char Car Car Char1"/>
    <w:basedOn w:val="Normal"/>
    <w:next w:val="Normal"/>
    <w:uiPriority w:val="99"/>
    <w:rsid w:val="000676A1"/>
    <w:pPr>
      <w:spacing w:line="240" w:lineRule="exact"/>
    </w:pPr>
    <w:rPr>
      <w:rFonts w:ascii="Tahoma" w:eastAsia="Times New Roman" w:hAnsi="Tahoma"/>
      <w:sz w:val="24"/>
      <w:szCs w:val="20"/>
      <w:lang w:val="en-GB"/>
      <w14:ligatures w14:val="standardContextual"/>
    </w:rPr>
  </w:style>
  <w:style w:type="paragraph" w:customStyle="1" w:styleId="BodyTextIndent21">
    <w:name w:val="Body Text Indent 21"/>
    <w:basedOn w:val="Normal"/>
    <w:uiPriority w:val="99"/>
    <w:rsid w:val="000676A1"/>
    <w:pPr>
      <w:spacing w:after="0" w:line="240" w:lineRule="auto"/>
      <w:ind w:left="851" w:hanging="284"/>
      <w:jc w:val="both"/>
    </w:pPr>
    <w:rPr>
      <w:rFonts w:ascii="Times New Roman" w:eastAsia="Times New Roman" w:hAnsi="Times New Roman"/>
      <w:szCs w:val="20"/>
      <w:lang w:eastAsia="it-IT"/>
      <w14:ligatures w14:val="standardContextual"/>
    </w:rPr>
  </w:style>
  <w:style w:type="paragraph" w:customStyle="1" w:styleId="xl134">
    <w:name w:val="xl134"/>
    <w:basedOn w:val="Normal"/>
    <w:rsid w:val="000676A1"/>
    <w:pPr>
      <w:pBdr>
        <w:left w:val="single" w:sz="4" w:space="0" w:color="auto"/>
        <w:bottom w:val="single" w:sz="4" w:space="0" w:color="auto"/>
        <w:right w:val="single" w:sz="8" w:space="7" w:color="auto"/>
      </w:pBdr>
      <w:spacing w:before="100" w:beforeAutospacing="1" w:after="100" w:afterAutospacing="1" w:line="240" w:lineRule="auto"/>
      <w:ind w:firstLineChars="100" w:firstLine="100"/>
      <w:jc w:val="right"/>
      <w:textAlignment w:val="center"/>
    </w:pPr>
    <w:rPr>
      <w:rFonts w:ascii="Arial" w:eastAsia="Times New Roman" w:hAnsi="Arial" w:cs="Arial"/>
      <w:sz w:val="18"/>
      <w:szCs w:val="18"/>
      <w:lang w:eastAsia="fr-FR"/>
      <w14:ligatures w14:val="standardContextual"/>
    </w:rPr>
  </w:style>
  <w:style w:type="paragraph" w:customStyle="1" w:styleId="xl135">
    <w:name w:val="xl135"/>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fr-FR"/>
      <w14:ligatures w14:val="standardContextual"/>
    </w:rPr>
  </w:style>
  <w:style w:type="paragraph" w:customStyle="1" w:styleId="xl136">
    <w:name w:val="xl136"/>
    <w:basedOn w:val="Normal"/>
    <w:rsid w:val="000676A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fr-FR"/>
      <w14:ligatures w14:val="standardContextual"/>
    </w:rPr>
  </w:style>
  <w:style w:type="paragraph" w:customStyle="1" w:styleId="xl137">
    <w:name w:val="xl137"/>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fr-FR"/>
      <w14:ligatures w14:val="standardContextual"/>
    </w:rPr>
  </w:style>
  <w:style w:type="paragraph" w:customStyle="1" w:styleId="xl138">
    <w:name w:val="xl138"/>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fr-FR"/>
      <w14:ligatures w14:val="standardContextual"/>
    </w:rPr>
  </w:style>
  <w:style w:type="paragraph" w:customStyle="1" w:styleId="xl139">
    <w:name w:val="xl139"/>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fr-FR"/>
      <w14:ligatures w14:val="standardContextual"/>
    </w:rPr>
  </w:style>
  <w:style w:type="paragraph" w:customStyle="1" w:styleId="xl140">
    <w:name w:val="xl140"/>
    <w:basedOn w:val="Normal"/>
    <w:rsid w:val="000676A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fr-FR"/>
      <w14:ligatures w14:val="standardContextual"/>
    </w:rPr>
  </w:style>
  <w:style w:type="paragraph" w:customStyle="1" w:styleId="xl141">
    <w:name w:val="xl141"/>
    <w:basedOn w:val="Normal"/>
    <w:rsid w:val="000676A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fr-FR"/>
      <w14:ligatures w14:val="standardContextual"/>
    </w:rPr>
  </w:style>
  <w:style w:type="paragraph" w:customStyle="1" w:styleId="xl142">
    <w:name w:val="xl142"/>
    <w:basedOn w:val="Normal"/>
    <w:rsid w:val="000676A1"/>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fr-FR"/>
      <w14:ligatures w14:val="standardContextual"/>
    </w:rPr>
  </w:style>
  <w:style w:type="paragraph" w:customStyle="1" w:styleId="xl144">
    <w:name w:val="xl144"/>
    <w:basedOn w:val="Normal"/>
    <w:rsid w:val="000676A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8"/>
      <w:szCs w:val="18"/>
      <w:lang w:eastAsia="fr-FR"/>
      <w14:ligatures w14:val="standardContextual"/>
    </w:rPr>
  </w:style>
  <w:style w:type="paragraph" w:customStyle="1" w:styleId="xl145">
    <w:name w:val="xl145"/>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18"/>
      <w:szCs w:val="18"/>
      <w:lang w:eastAsia="fr-FR"/>
      <w14:ligatures w14:val="standardContextual"/>
    </w:rPr>
  </w:style>
  <w:style w:type="paragraph" w:customStyle="1" w:styleId="xl146">
    <w:name w:val="xl146"/>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18"/>
      <w:szCs w:val="18"/>
      <w:lang w:eastAsia="fr-FR"/>
      <w14:ligatures w14:val="standardContextual"/>
    </w:rPr>
  </w:style>
  <w:style w:type="paragraph" w:customStyle="1" w:styleId="xl147">
    <w:name w:val="xl147"/>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fr-FR"/>
      <w14:ligatures w14:val="standardContextual"/>
    </w:rPr>
  </w:style>
  <w:style w:type="paragraph" w:customStyle="1" w:styleId="xl148">
    <w:name w:val="xl148"/>
    <w:basedOn w:val="Normal"/>
    <w:rsid w:val="000676A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fr-FR"/>
      <w14:ligatures w14:val="standardContextual"/>
    </w:rPr>
  </w:style>
  <w:style w:type="paragraph" w:customStyle="1" w:styleId="xl149">
    <w:name w:val="xl149"/>
    <w:basedOn w:val="Normal"/>
    <w:rsid w:val="000676A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fr-FR"/>
      <w14:ligatures w14:val="standardContextual"/>
    </w:rPr>
  </w:style>
  <w:style w:type="paragraph" w:customStyle="1" w:styleId="xl150">
    <w:name w:val="xl150"/>
    <w:basedOn w:val="Normal"/>
    <w:rsid w:val="000676A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fr-FR"/>
      <w14:ligatures w14:val="standardContextual"/>
    </w:rPr>
  </w:style>
  <w:style w:type="paragraph" w:customStyle="1" w:styleId="xl151">
    <w:name w:val="xl151"/>
    <w:basedOn w:val="Normal"/>
    <w:rsid w:val="000676A1"/>
    <w:pPr>
      <w:pBdr>
        <w:left w:val="single" w:sz="4" w:space="0" w:color="auto"/>
        <w:bottom w:val="single" w:sz="4" w:space="0" w:color="auto"/>
        <w:right w:val="single" w:sz="4" w:space="7" w:color="auto"/>
      </w:pBdr>
      <w:spacing w:before="100" w:beforeAutospacing="1" w:after="100" w:afterAutospacing="1" w:line="240" w:lineRule="auto"/>
      <w:ind w:firstLineChars="100" w:firstLine="100"/>
      <w:jc w:val="right"/>
      <w:textAlignment w:val="center"/>
    </w:pPr>
    <w:rPr>
      <w:rFonts w:ascii="Arial" w:eastAsia="Times New Roman" w:hAnsi="Arial" w:cs="Arial"/>
      <w:b/>
      <w:bCs/>
      <w:sz w:val="18"/>
      <w:szCs w:val="18"/>
      <w:lang w:eastAsia="fr-FR"/>
      <w14:ligatures w14:val="standardContextual"/>
    </w:rPr>
  </w:style>
  <w:style w:type="paragraph" w:customStyle="1" w:styleId="xl152">
    <w:name w:val="xl152"/>
    <w:basedOn w:val="Normal"/>
    <w:rsid w:val="000676A1"/>
    <w:pPr>
      <w:pBdr>
        <w:left w:val="single" w:sz="4" w:space="0" w:color="auto"/>
        <w:bottom w:val="single" w:sz="4" w:space="0" w:color="auto"/>
        <w:right w:val="single" w:sz="8" w:space="7" w:color="auto"/>
      </w:pBdr>
      <w:spacing w:before="100" w:beforeAutospacing="1" w:after="100" w:afterAutospacing="1" w:line="240" w:lineRule="auto"/>
      <w:ind w:firstLineChars="100" w:firstLine="100"/>
      <w:jc w:val="right"/>
      <w:textAlignment w:val="center"/>
    </w:pPr>
    <w:rPr>
      <w:rFonts w:ascii="Arial" w:eastAsia="Times New Roman" w:hAnsi="Arial" w:cs="Arial"/>
      <w:b/>
      <w:bCs/>
      <w:sz w:val="18"/>
      <w:szCs w:val="18"/>
      <w:lang w:eastAsia="fr-FR"/>
      <w14:ligatures w14:val="standardContextual"/>
    </w:rPr>
  </w:style>
  <w:style w:type="paragraph" w:customStyle="1" w:styleId="xl153">
    <w:name w:val="xl153"/>
    <w:basedOn w:val="Normal"/>
    <w:rsid w:val="000676A1"/>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textAlignment w:val="center"/>
    </w:pPr>
    <w:rPr>
      <w:rFonts w:ascii="Arial" w:eastAsia="Times New Roman" w:hAnsi="Arial" w:cs="Arial"/>
      <w:b/>
      <w:bCs/>
      <w:sz w:val="18"/>
      <w:szCs w:val="18"/>
      <w:lang w:eastAsia="fr-FR"/>
      <w14:ligatures w14:val="standardContextual"/>
    </w:rPr>
  </w:style>
  <w:style w:type="paragraph" w:customStyle="1" w:styleId="xl154">
    <w:name w:val="xl154"/>
    <w:basedOn w:val="Normal"/>
    <w:rsid w:val="000676A1"/>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8"/>
      <w:szCs w:val="18"/>
      <w:lang w:eastAsia="fr-FR"/>
      <w14:ligatures w14:val="standardContextual"/>
    </w:rPr>
  </w:style>
  <w:style w:type="paragraph" w:customStyle="1" w:styleId="xl155">
    <w:name w:val="xl155"/>
    <w:basedOn w:val="Normal"/>
    <w:rsid w:val="000676A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fr-FR"/>
      <w14:ligatures w14:val="standardContextual"/>
    </w:rPr>
  </w:style>
  <w:style w:type="paragraph" w:customStyle="1" w:styleId="xl156">
    <w:name w:val="xl156"/>
    <w:basedOn w:val="Normal"/>
    <w:rsid w:val="000676A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fr-FR"/>
      <w14:ligatures w14:val="standardContextual"/>
    </w:rPr>
  </w:style>
  <w:style w:type="paragraph" w:customStyle="1" w:styleId="xl157">
    <w:name w:val="xl157"/>
    <w:basedOn w:val="Normal"/>
    <w:rsid w:val="000676A1"/>
    <w:pPr>
      <w:pBdr>
        <w:top w:val="single" w:sz="4" w:space="0" w:color="auto"/>
        <w:left w:val="single" w:sz="4" w:space="0" w:color="auto"/>
        <w:bottom w:val="single" w:sz="8" w:space="0" w:color="auto"/>
        <w:right w:val="single" w:sz="4" w:space="7" w:color="auto"/>
      </w:pBdr>
      <w:spacing w:before="100" w:beforeAutospacing="1" w:after="100" w:afterAutospacing="1" w:line="240" w:lineRule="auto"/>
      <w:ind w:firstLineChars="100" w:firstLine="100"/>
      <w:jc w:val="right"/>
      <w:textAlignment w:val="center"/>
    </w:pPr>
    <w:rPr>
      <w:rFonts w:ascii="Arial" w:eastAsia="Times New Roman" w:hAnsi="Arial" w:cs="Arial"/>
      <w:b/>
      <w:bCs/>
      <w:sz w:val="18"/>
      <w:szCs w:val="18"/>
      <w:lang w:eastAsia="fr-FR"/>
      <w14:ligatures w14:val="standardContextual"/>
    </w:rPr>
  </w:style>
  <w:style w:type="paragraph" w:customStyle="1" w:styleId="xl158">
    <w:name w:val="xl158"/>
    <w:basedOn w:val="Normal"/>
    <w:rsid w:val="000676A1"/>
    <w:pPr>
      <w:pBdr>
        <w:top w:val="single" w:sz="4" w:space="0" w:color="auto"/>
        <w:left w:val="single" w:sz="4" w:space="0" w:color="auto"/>
        <w:bottom w:val="single" w:sz="8" w:space="0" w:color="auto"/>
        <w:right w:val="single" w:sz="4" w:space="7" w:color="auto"/>
      </w:pBdr>
      <w:spacing w:before="100" w:beforeAutospacing="1" w:after="100" w:afterAutospacing="1" w:line="240" w:lineRule="auto"/>
      <w:ind w:firstLineChars="100" w:firstLine="100"/>
      <w:jc w:val="right"/>
      <w:textAlignment w:val="center"/>
    </w:pPr>
    <w:rPr>
      <w:rFonts w:ascii="Arial" w:eastAsia="Times New Roman" w:hAnsi="Arial" w:cs="Arial"/>
      <w:b/>
      <w:bCs/>
      <w:sz w:val="18"/>
      <w:szCs w:val="18"/>
      <w:lang w:eastAsia="fr-FR"/>
      <w14:ligatures w14:val="standardContextual"/>
    </w:rPr>
  </w:style>
  <w:style w:type="paragraph" w:customStyle="1" w:styleId="xl159">
    <w:name w:val="xl159"/>
    <w:basedOn w:val="Normal"/>
    <w:rsid w:val="000676A1"/>
    <w:pPr>
      <w:pBdr>
        <w:top w:val="single" w:sz="4" w:space="0" w:color="auto"/>
        <w:left w:val="single" w:sz="4" w:space="0" w:color="auto"/>
        <w:bottom w:val="single" w:sz="8" w:space="0" w:color="auto"/>
        <w:right w:val="single" w:sz="8" w:space="7" w:color="auto"/>
      </w:pBdr>
      <w:spacing w:before="100" w:beforeAutospacing="1" w:after="100" w:afterAutospacing="1" w:line="240" w:lineRule="auto"/>
      <w:ind w:firstLineChars="100" w:firstLine="100"/>
      <w:jc w:val="right"/>
      <w:textAlignment w:val="center"/>
    </w:pPr>
    <w:rPr>
      <w:rFonts w:ascii="Arial" w:eastAsia="Times New Roman" w:hAnsi="Arial" w:cs="Arial"/>
      <w:b/>
      <w:bCs/>
      <w:sz w:val="18"/>
      <w:szCs w:val="18"/>
      <w:lang w:eastAsia="fr-FR"/>
      <w14:ligatures w14:val="standardContextual"/>
    </w:rPr>
  </w:style>
  <w:style w:type="paragraph" w:customStyle="1" w:styleId="xl160">
    <w:name w:val="xl160"/>
    <w:basedOn w:val="Normal"/>
    <w:rsid w:val="000676A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fr-FR"/>
      <w14:ligatures w14:val="standardContextual"/>
    </w:rPr>
  </w:style>
  <w:style w:type="paragraph" w:customStyle="1" w:styleId="xl161">
    <w:name w:val="xl161"/>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fr-FR"/>
      <w14:ligatures w14:val="standardContextual"/>
    </w:rPr>
  </w:style>
  <w:style w:type="paragraph" w:customStyle="1" w:styleId="xl162">
    <w:name w:val="xl162"/>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fr-FR"/>
      <w14:ligatures w14:val="standardContextual"/>
    </w:rPr>
  </w:style>
  <w:style w:type="paragraph" w:customStyle="1" w:styleId="xl163">
    <w:name w:val="xl163"/>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fr-FR"/>
      <w14:ligatures w14:val="standardContextual"/>
    </w:rPr>
  </w:style>
  <w:style w:type="paragraph" w:customStyle="1" w:styleId="xl164">
    <w:name w:val="xl164"/>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fr-FR"/>
      <w14:ligatures w14:val="standardContextual"/>
    </w:rPr>
  </w:style>
  <w:style w:type="paragraph" w:customStyle="1" w:styleId="xl165">
    <w:name w:val="xl165"/>
    <w:basedOn w:val="Normal"/>
    <w:rsid w:val="000676A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fr-FR"/>
      <w14:ligatures w14:val="standardContextual"/>
    </w:rPr>
  </w:style>
  <w:style w:type="paragraph" w:customStyle="1" w:styleId="xl166">
    <w:name w:val="xl166"/>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fr-FR"/>
      <w14:ligatures w14:val="standardContextual"/>
    </w:rPr>
  </w:style>
  <w:style w:type="paragraph" w:customStyle="1" w:styleId="xl167">
    <w:name w:val="xl167"/>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fr-FR"/>
      <w14:ligatures w14:val="standardContextual"/>
    </w:rPr>
  </w:style>
  <w:style w:type="paragraph" w:customStyle="1" w:styleId="xl168">
    <w:name w:val="xl168"/>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fr-FR"/>
      <w14:ligatures w14:val="standardContextual"/>
    </w:rPr>
  </w:style>
  <w:style w:type="paragraph" w:customStyle="1" w:styleId="xl169">
    <w:name w:val="xl169"/>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fr-FR"/>
      <w14:ligatures w14:val="standardContextual"/>
    </w:rPr>
  </w:style>
  <w:style w:type="paragraph" w:customStyle="1" w:styleId="xl170">
    <w:name w:val="xl170"/>
    <w:basedOn w:val="Normal"/>
    <w:rsid w:val="000676A1"/>
    <w:pPr>
      <w:pBdr>
        <w:left w:val="single" w:sz="4" w:space="0" w:color="auto"/>
        <w:bottom w:val="single" w:sz="4" w:space="0" w:color="auto"/>
        <w:right w:val="single" w:sz="4" w:space="7" w:color="auto"/>
      </w:pBdr>
      <w:spacing w:before="100" w:beforeAutospacing="1" w:after="100" w:afterAutospacing="1" w:line="240" w:lineRule="auto"/>
      <w:ind w:firstLineChars="100" w:firstLine="100"/>
      <w:jc w:val="right"/>
      <w:textAlignment w:val="center"/>
    </w:pPr>
    <w:rPr>
      <w:rFonts w:ascii="Arial" w:eastAsia="Times New Roman" w:hAnsi="Arial" w:cs="Arial"/>
      <w:sz w:val="18"/>
      <w:szCs w:val="18"/>
      <w:lang w:eastAsia="fr-FR"/>
      <w14:ligatures w14:val="standardContextual"/>
    </w:rPr>
  </w:style>
  <w:style w:type="paragraph" w:customStyle="1" w:styleId="xl171">
    <w:name w:val="xl171"/>
    <w:basedOn w:val="Normal"/>
    <w:rsid w:val="000676A1"/>
    <w:pPr>
      <w:pBdr>
        <w:top w:val="single" w:sz="4" w:space="0" w:color="auto"/>
        <w:left w:val="single" w:sz="4" w:space="0" w:color="auto"/>
        <w:bottom w:val="single" w:sz="8" w:space="0" w:color="auto"/>
        <w:right w:val="single" w:sz="4" w:space="7" w:color="auto"/>
      </w:pBdr>
      <w:spacing w:before="100" w:beforeAutospacing="1" w:after="100" w:afterAutospacing="1" w:line="240" w:lineRule="auto"/>
      <w:ind w:firstLineChars="100" w:firstLine="100"/>
      <w:jc w:val="right"/>
      <w:textAlignment w:val="center"/>
    </w:pPr>
    <w:rPr>
      <w:rFonts w:ascii="Arial" w:eastAsia="Times New Roman" w:hAnsi="Arial" w:cs="Arial"/>
      <w:sz w:val="18"/>
      <w:szCs w:val="18"/>
      <w:lang w:eastAsia="fr-FR"/>
      <w14:ligatures w14:val="standardContextual"/>
    </w:rPr>
  </w:style>
  <w:style w:type="paragraph" w:customStyle="1" w:styleId="xl172">
    <w:name w:val="xl172"/>
    <w:basedOn w:val="Normal"/>
    <w:rsid w:val="000676A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fr-FR"/>
      <w14:ligatures w14:val="standardContextual"/>
    </w:rPr>
  </w:style>
  <w:style w:type="paragraph" w:customStyle="1" w:styleId="xl173">
    <w:name w:val="xl173"/>
    <w:basedOn w:val="Normal"/>
    <w:rsid w:val="000676A1"/>
    <w:pPr>
      <w:pBdr>
        <w:top w:val="single" w:sz="8"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8"/>
      <w:szCs w:val="18"/>
      <w:lang w:eastAsia="fr-FR"/>
      <w14:ligatures w14:val="standardContextual"/>
    </w:rPr>
  </w:style>
  <w:style w:type="paragraph" w:customStyle="1" w:styleId="xl174">
    <w:name w:val="xl174"/>
    <w:basedOn w:val="Normal"/>
    <w:rsid w:val="000676A1"/>
    <w:pPr>
      <w:pBdr>
        <w:top w:val="single" w:sz="8"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8"/>
      <w:szCs w:val="18"/>
      <w:lang w:eastAsia="fr-FR"/>
      <w14:ligatures w14:val="standardContextual"/>
    </w:rPr>
  </w:style>
  <w:style w:type="paragraph" w:customStyle="1" w:styleId="xl175">
    <w:name w:val="xl175"/>
    <w:basedOn w:val="Normal"/>
    <w:rsid w:val="000676A1"/>
    <w:pPr>
      <w:pBdr>
        <w:top w:val="single" w:sz="8" w:space="0" w:color="auto"/>
        <w:left w:val="single" w:sz="4" w:space="0" w:color="auto"/>
        <w:right w:val="single" w:sz="4" w:space="7" w:color="auto"/>
      </w:pBdr>
      <w:shd w:val="clear" w:color="000000" w:fill="D9D9D9"/>
      <w:spacing w:before="100" w:beforeAutospacing="1" w:after="100" w:afterAutospacing="1" w:line="240" w:lineRule="auto"/>
      <w:ind w:firstLineChars="100" w:firstLine="100"/>
      <w:jc w:val="right"/>
      <w:textAlignment w:val="center"/>
    </w:pPr>
    <w:rPr>
      <w:rFonts w:ascii="Arial" w:eastAsia="Times New Roman" w:hAnsi="Arial" w:cs="Arial"/>
      <w:b/>
      <w:bCs/>
      <w:sz w:val="18"/>
      <w:szCs w:val="18"/>
      <w:lang w:eastAsia="fr-FR"/>
      <w14:ligatures w14:val="standardContextual"/>
    </w:rPr>
  </w:style>
  <w:style w:type="paragraph" w:customStyle="1" w:styleId="xl176">
    <w:name w:val="xl176"/>
    <w:basedOn w:val="Normal"/>
    <w:rsid w:val="000676A1"/>
    <w:pPr>
      <w:pBdr>
        <w:top w:val="single" w:sz="8"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8"/>
      <w:szCs w:val="18"/>
      <w:lang w:eastAsia="fr-FR"/>
      <w14:ligatures w14:val="standardContextual"/>
    </w:rPr>
  </w:style>
  <w:style w:type="paragraph" w:customStyle="1" w:styleId="xl177">
    <w:name w:val="xl177"/>
    <w:basedOn w:val="Normal"/>
    <w:rsid w:val="000676A1"/>
    <w:pPr>
      <w:pBdr>
        <w:top w:val="single" w:sz="8" w:space="0" w:color="auto"/>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8"/>
      <w:szCs w:val="18"/>
      <w:lang w:eastAsia="fr-FR"/>
      <w14:ligatures w14:val="standardContextual"/>
    </w:rPr>
  </w:style>
  <w:style w:type="paragraph" w:customStyle="1" w:styleId="xl178">
    <w:name w:val="xl178"/>
    <w:basedOn w:val="Normal"/>
    <w:rsid w:val="000676A1"/>
    <w:pPr>
      <w:spacing w:before="100" w:beforeAutospacing="1" w:after="100" w:afterAutospacing="1" w:line="240" w:lineRule="auto"/>
      <w:jc w:val="center"/>
    </w:pPr>
    <w:rPr>
      <w:rFonts w:ascii="Arial" w:eastAsia="Times New Roman" w:hAnsi="Arial" w:cs="Arial"/>
      <w:b/>
      <w:bCs/>
      <w:sz w:val="18"/>
      <w:szCs w:val="18"/>
      <w:lang w:eastAsia="fr-FR"/>
      <w14:ligatures w14:val="standardContextual"/>
    </w:rPr>
  </w:style>
  <w:style w:type="paragraph" w:customStyle="1" w:styleId="ec">
    <w:name w:val="ec"/>
    <w:basedOn w:val="Normal"/>
    <w:autoRedefine/>
    <w:uiPriority w:val="99"/>
    <w:rsid w:val="000676A1"/>
    <w:pPr>
      <w:keepLines/>
      <w:numPr>
        <w:numId w:val="267"/>
      </w:numPr>
      <w:spacing w:before="120" w:after="0" w:line="240" w:lineRule="auto"/>
      <w:jc w:val="both"/>
    </w:pPr>
    <w:rPr>
      <w:rFonts w:ascii="Arial" w:eastAsia="Times New Roman" w:hAnsi="Arial"/>
      <w:sz w:val="18"/>
      <w:szCs w:val="20"/>
      <w:lang w:val="en-GB" w:eastAsia="fr-FR"/>
      <w14:ligatures w14:val="standardContextual"/>
    </w:rPr>
  </w:style>
  <w:style w:type="character" w:customStyle="1" w:styleId="ListParagraphChar">
    <w:name w:val="List Paragraph Char"/>
    <w:link w:val="ListParagraph4"/>
    <w:locked/>
    <w:rsid w:val="000676A1"/>
    <w:rPr>
      <w:rFonts w:ascii="Arial" w:eastAsia="Times New Roman" w:hAnsi="Arial" w:cs="Times New Roman"/>
      <w:szCs w:val="24"/>
      <w:lang w:val="en-GB" w:eastAsia="ar-SA"/>
      <w14:ligatures w14:val="standardContextual"/>
    </w:rPr>
  </w:style>
  <w:style w:type="paragraph" w:customStyle="1" w:styleId="xl63">
    <w:name w:val="xl63"/>
    <w:basedOn w:val="Normal"/>
    <w:rsid w:val="000676A1"/>
    <w:pPr>
      <w:pBdr>
        <w:top w:val="single" w:sz="4" w:space="0" w:color="auto"/>
        <w:left w:val="single" w:sz="4" w:space="0" w:color="auto"/>
        <w:right w:val="single" w:sz="4" w:space="0" w:color="auto"/>
      </w:pBdr>
      <w:spacing w:before="100" w:beforeAutospacing="1" w:after="100" w:afterAutospacing="1" w:line="240" w:lineRule="auto"/>
      <w:jc w:val="center"/>
    </w:pPr>
    <w:rPr>
      <w:rFonts w:ascii="Tahoma" w:eastAsia="Times New Roman" w:hAnsi="Tahoma" w:cs="Tahoma"/>
      <w:b/>
      <w:bCs/>
      <w:sz w:val="20"/>
      <w:szCs w:val="20"/>
      <w:lang w:eastAsia="fr-FR"/>
      <w14:ligatures w14:val="standardContextual"/>
    </w:rPr>
  </w:style>
  <w:style w:type="paragraph" w:customStyle="1" w:styleId="xl64">
    <w:name w:val="xl64"/>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20"/>
      <w:szCs w:val="20"/>
      <w:lang w:eastAsia="fr-FR"/>
      <w14:ligatures w14:val="standardContextual"/>
    </w:rPr>
  </w:style>
  <w:style w:type="paragraph" w:customStyle="1" w:styleId="ListParagraph3">
    <w:name w:val="List Paragraph3"/>
    <w:basedOn w:val="Normal"/>
    <w:rsid w:val="000676A1"/>
    <w:pPr>
      <w:spacing w:after="0" w:line="240" w:lineRule="auto"/>
      <w:ind w:left="720"/>
      <w:jc w:val="both"/>
    </w:pPr>
    <w:rPr>
      <w:rFonts w:ascii="Times New Roman" w:eastAsia="Times New Roman" w:hAnsi="Times New Roman"/>
      <w:sz w:val="24"/>
      <w:szCs w:val="20"/>
      <w:lang w:val="en-US"/>
      <w14:ligatures w14:val="standardContextual"/>
    </w:rPr>
  </w:style>
  <w:style w:type="paragraph" w:customStyle="1" w:styleId="p5">
    <w:name w:val="p5"/>
    <w:basedOn w:val="Normal"/>
    <w:rsid w:val="000676A1"/>
    <w:pPr>
      <w:tabs>
        <w:tab w:val="left" w:pos="720"/>
      </w:tabs>
      <w:spacing w:after="0" w:line="240" w:lineRule="atLeast"/>
      <w:jc w:val="both"/>
    </w:pPr>
    <w:rPr>
      <w:rFonts w:ascii="Times New Roman" w:eastAsia="Times New Roman" w:hAnsi="Times New Roman"/>
      <w:snapToGrid w:val="0"/>
      <w:sz w:val="24"/>
      <w:szCs w:val="20"/>
      <w:lang w:eastAsia="fr-FR"/>
      <w14:ligatures w14:val="standardContextual"/>
    </w:rPr>
  </w:style>
  <w:style w:type="paragraph" w:customStyle="1" w:styleId="Paragraphedeliste4">
    <w:name w:val="Paragraphe de liste4"/>
    <w:basedOn w:val="Normal"/>
    <w:rsid w:val="000676A1"/>
    <w:pPr>
      <w:spacing w:after="0" w:line="240" w:lineRule="auto"/>
      <w:ind w:left="708"/>
    </w:pPr>
    <w:rPr>
      <w:rFonts w:ascii="Times New Roman" w:eastAsia="Times New Roman" w:hAnsi="Times New Roman"/>
      <w:sz w:val="24"/>
      <w:szCs w:val="20"/>
      <w:lang w:eastAsia="it-IT"/>
      <w14:ligatures w14:val="standardContextual"/>
    </w:rPr>
  </w:style>
  <w:style w:type="paragraph" w:customStyle="1" w:styleId="xl179">
    <w:name w:val="xl179"/>
    <w:basedOn w:val="Normal"/>
    <w:rsid w:val="000676A1"/>
    <w:pPr>
      <w:pBdr>
        <w:top w:val="single" w:sz="8" w:space="0" w:color="auto"/>
      </w:pBdr>
      <w:spacing w:before="100" w:beforeAutospacing="1" w:after="100" w:afterAutospacing="1" w:line="240" w:lineRule="auto"/>
      <w:textAlignment w:val="center"/>
    </w:pPr>
    <w:rPr>
      <w:rFonts w:ascii="Times New Roman" w:eastAsia="Times New Roman" w:hAnsi="Times New Roman"/>
      <w:b/>
      <w:bCs/>
      <w:sz w:val="20"/>
      <w:szCs w:val="20"/>
      <w:lang w:eastAsia="fr-FR"/>
      <w14:ligatures w14:val="standardContextual"/>
    </w:rPr>
  </w:style>
  <w:style w:type="paragraph" w:customStyle="1" w:styleId="xl180">
    <w:name w:val="xl180"/>
    <w:basedOn w:val="Normal"/>
    <w:rsid w:val="000676A1"/>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b/>
      <w:bCs/>
      <w:color w:val="FF0000"/>
      <w:sz w:val="20"/>
      <w:szCs w:val="20"/>
      <w:lang w:eastAsia="fr-FR"/>
      <w14:ligatures w14:val="standardContextual"/>
    </w:rPr>
  </w:style>
  <w:style w:type="paragraph" w:customStyle="1" w:styleId="xl181">
    <w:name w:val="xl181"/>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fr-FR"/>
      <w14:ligatures w14:val="standardContextual"/>
    </w:rPr>
  </w:style>
  <w:style w:type="paragraph" w:customStyle="1" w:styleId="xl182">
    <w:name w:val="xl182"/>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fr-FR"/>
      <w14:ligatures w14:val="standardContextual"/>
    </w:rPr>
  </w:style>
  <w:style w:type="paragraph" w:customStyle="1" w:styleId="xl183">
    <w:name w:val="xl183"/>
    <w:basedOn w:val="Normal"/>
    <w:rsid w:val="000676A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fr-FR"/>
      <w14:ligatures w14:val="standardContextual"/>
    </w:rPr>
  </w:style>
  <w:style w:type="paragraph" w:customStyle="1" w:styleId="xl184">
    <w:name w:val="xl184"/>
    <w:basedOn w:val="Normal"/>
    <w:rsid w:val="000676A1"/>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fr-FR"/>
      <w14:ligatures w14:val="standardContextual"/>
    </w:rPr>
  </w:style>
  <w:style w:type="paragraph" w:customStyle="1" w:styleId="xl185">
    <w:name w:val="xl185"/>
    <w:basedOn w:val="Normal"/>
    <w:rsid w:val="000676A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fr-FR"/>
      <w14:ligatures w14:val="standardContextual"/>
    </w:rPr>
  </w:style>
  <w:style w:type="paragraph" w:customStyle="1" w:styleId="xl186">
    <w:name w:val="xl186"/>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fr-FR"/>
      <w14:ligatures w14:val="standardContextual"/>
    </w:rPr>
  </w:style>
  <w:style w:type="paragraph" w:customStyle="1" w:styleId="xl187">
    <w:name w:val="xl187"/>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fr-FR"/>
      <w14:ligatures w14:val="standardContextual"/>
    </w:rPr>
  </w:style>
  <w:style w:type="paragraph" w:customStyle="1" w:styleId="xl188">
    <w:name w:val="xl188"/>
    <w:basedOn w:val="Normal"/>
    <w:rsid w:val="000676A1"/>
    <w:pPr>
      <w:pBdr>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fr-FR"/>
      <w14:ligatures w14:val="standardContextual"/>
    </w:rPr>
  </w:style>
  <w:style w:type="paragraph" w:customStyle="1" w:styleId="xl189">
    <w:name w:val="xl189"/>
    <w:basedOn w:val="Normal"/>
    <w:rsid w:val="000676A1"/>
    <w:pPr>
      <w:pBdr>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fr-FR"/>
      <w14:ligatures w14:val="standardContextual"/>
    </w:rPr>
  </w:style>
  <w:style w:type="paragraph" w:customStyle="1" w:styleId="xl190">
    <w:name w:val="xl190"/>
    <w:basedOn w:val="Normal"/>
    <w:rsid w:val="000676A1"/>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fr-FR"/>
      <w14:ligatures w14:val="standardContextual"/>
    </w:rPr>
  </w:style>
  <w:style w:type="paragraph" w:customStyle="1" w:styleId="xl191">
    <w:name w:val="xl191"/>
    <w:basedOn w:val="Normal"/>
    <w:rsid w:val="000676A1"/>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fr-FR"/>
      <w14:ligatures w14:val="standardContextual"/>
    </w:rPr>
  </w:style>
  <w:style w:type="paragraph" w:customStyle="1" w:styleId="xl192">
    <w:name w:val="xl192"/>
    <w:basedOn w:val="Normal"/>
    <w:rsid w:val="000676A1"/>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fr-FR"/>
      <w14:ligatures w14:val="standardContextual"/>
    </w:rPr>
  </w:style>
  <w:style w:type="paragraph" w:customStyle="1" w:styleId="xl193">
    <w:name w:val="xl193"/>
    <w:basedOn w:val="Normal"/>
    <w:rsid w:val="000676A1"/>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fr-FR"/>
      <w14:ligatures w14:val="standardContextual"/>
    </w:rPr>
  </w:style>
  <w:style w:type="paragraph" w:customStyle="1" w:styleId="xl194">
    <w:name w:val="xl194"/>
    <w:basedOn w:val="Normal"/>
    <w:rsid w:val="000676A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fr-FR"/>
      <w14:ligatures w14:val="standardContextual"/>
    </w:rPr>
  </w:style>
  <w:style w:type="paragraph" w:customStyle="1" w:styleId="xl195">
    <w:name w:val="xl195"/>
    <w:basedOn w:val="Normal"/>
    <w:rsid w:val="000676A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fr-FR"/>
      <w14:ligatures w14:val="standardContextual"/>
    </w:rPr>
  </w:style>
  <w:style w:type="paragraph" w:customStyle="1" w:styleId="xl196">
    <w:name w:val="xl196"/>
    <w:basedOn w:val="Normal"/>
    <w:rsid w:val="000676A1"/>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fr-FR"/>
      <w14:ligatures w14:val="standardContextual"/>
    </w:rPr>
  </w:style>
  <w:style w:type="paragraph" w:customStyle="1" w:styleId="xl197">
    <w:name w:val="xl197"/>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fr-FR"/>
      <w14:ligatures w14:val="standardContextual"/>
    </w:rPr>
  </w:style>
  <w:style w:type="paragraph" w:customStyle="1" w:styleId="xl198">
    <w:name w:val="xl198"/>
    <w:basedOn w:val="Normal"/>
    <w:rsid w:val="000676A1"/>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fr-FR"/>
      <w14:ligatures w14:val="standardContextual"/>
    </w:rPr>
  </w:style>
  <w:style w:type="paragraph" w:customStyle="1" w:styleId="xl199">
    <w:name w:val="xl199"/>
    <w:basedOn w:val="Normal"/>
    <w:rsid w:val="000676A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fr-FR"/>
      <w14:ligatures w14:val="standardContextual"/>
    </w:rPr>
  </w:style>
  <w:style w:type="paragraph" w:customStyle="1" w:styleId="xl200">
    <w:name w:val="xl200"/>
    <w:basedOn w:val="Normal"/>
    <w:rsid w:val="000676A1"/>
    <w:pPr>
      <w:pBdr>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fr-FR"/>
      <w14:ligatures w14:val="standardContextual"/>
    </w:rPr>
  </w:style>
  <w:style w:type="paragraph" w:customStyle="1" w:styleId="xl201">
    <w:name w:val="xl201"/>
    <w:basedOn w:val="Normal"/>
    <w:rsid w:val="000676A1"/>
    <w:pPr>
      <w:pBdr>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fr-FR"/>
      <w14:ligatures w14:val="standardContextual"/>
    </w:rPr>
  </w:style>
  <w:style w:type="paragraph" w:customStyle="1" w:styleId="xl202">
    <w:name w:val="xl202"/>
    <w:basedOn w:val="Normal"/>
    <w:rsid w:val="000676A1"/>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fr-FR"/>
      <w14:ligatures w14:val="standardContextual"/>
    </w:rPr>
  </w:style>
  <w:style w:type="paragraph" w:customStyle="1" w:styleId="xl203">
    <w:name w:val="xl203"/>
    <w:basedOn w:val="Normal"/>
    <w:rsid w:val="000676A1"/>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fr-FR"/>
      <w14:ligatures w14:val="standardContextual"/>
    </w:rPr>
  </w:style>
  <w:style w:type="paragraph" w:customStyle="1" w:styleId="xl204">
    <w:name w:val="xl204"/>
    <w:basedOn w:val="Normal"/>
    <w:rsid w:val="000676A1"/>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fr-FR"/>
      <w14:ligatures w14:val="standardContextual"/>
    </w:rPr>
  </w:style>
  <w:style w:type="paragraph" w:customStyle="1" w:styleId="xl205">
    <w:name w:val="xl205"/>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0"/>
      <w:szCs w:val="20"/>
      <w:lang w:eastAsia="fr-FR"/>
      <w14:ligatures w14:val="standardContextual"/>
    </w:rPr>
  </w:style>
  <w:style w:type="paragraph" w:customStyle="1" w:styleId="xl206">
    <w:name w:val="xl206"/>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0"/>
      <w:szCs w:val="20"/>
      <w:lang w:eastAsia="fr-FR"/>
      <w14:ligatures w14:val="standardContextual"/>
    </w:rPr>
  </w:style>
  <w:style w:type="paragraph" w:customStyle="1" w:styleId="xl207">
    <w:name w:val="xl207"/>
    <w:basedOn w:val="Normal"/>
    <w:rsid w:val="000676A1"/>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fr-FR"/>
      <w14:ligatures w14:val="standardContextual"/>
    </w:rPr>
  </w:style>
  <w:style w:type="paragraph" w:customStyle="1" w:styleId="xl208">
    <w:name w:val="xl208"/>
    <w:basedOn w:val="Normal"/>
    <w:rsid w:val="000676A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fr-FR"/>
      <w14:ligatures w14:val="standardContextual"/>
    </w:rPr>
  </w:style>
  <w:style w:type="paragraph" w:customStyle="1" w:styleId="xl209">
    <w:name w:val="xl209"/>
    <w:basedOn w:val="Normal"/>
    <w:rsid w:val="000676A1"/>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fr-FR"/>
      <w14:ligatures w14:val="standardContextual"/>
    </w:rPr>
  </w:style>
  <w:style w:type="paragraph" w:customStyle="1" w:styleId="xl210">
    <w:name w:val="xl210"/>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fr-FR"/>
      <w14:ligatures w14:val="standardContextual"/>
    </w:rPr>
  </w:style>
  <w:style w:type="paragraph" w:customStyle="1" w:styleId="xl211">
    <w:name w:val="xl211"/>
    <w:basedOn w:val="Normal"/>
    <w:rsid w:val="000676A1"/>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fr-FR"/>
      <w14:ligatures w14:val="standardContextual"/>
    </w:rPr>
  </w:style>
  <w:style w:type="paragraph" w:customStyle="1" w:styleId="xl212">
    <w:name w:val="xl212"/>
    <w:basedOn w:val="Normal"/>
    <w:rsid w:val="000676A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fr-FR"/>
      <w14:ligatures w14:val="standardContextual"/>
    </w:rPr>
  </w:style>
  <w:style w:type="paragraph" w:customStyle="1" w:styleId="xl213">
    <w:name w:val="xl213"/>
    <w:basedOn w:val="Normal"/>
    <w:rsid w:val="0006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fr-FR"/>
      <w14:ligatures w14:val="standardContextual"/>
    </w:rPr>
  </w:style>
  <w:style w:type="character" w:customStyle="1" w:styleId="Tramecouleur-Accent3Car1">
    <w:name w:val="Trame couleur - Accent 3 Car1"/>
    <w:locked/>
    <w:rsid w:val="000676A1"/>
    <w:rPr>
      <w:sz w:val="24"/>
      <w:lang w:val="en-US" w:eastAsia="en-US"/>
    </w:rPr>
  </w:style>
  <w:style w:type="table" w:styleId="Listecouleur-Accent2">
    <w:name w:val="Colorful List Accent 2"/>
    <w:basedOn w:val="TableauNormal"/>
    <w:uiPriority w:val="1"/>
    <w:semiHidden/>
    <w:unhideWhenUsed/>
    <w:rsid w:val="000676A1"/>
    <w:pPr>
      <w:spacing w:after="0" w:line="240" w:lineRule="auto"/>
    </w:pPr>
    <w:rPr>
      <w:rFonts w:ascii="Calibri" w:hAnsi="Calibri"/>
      <w:kern w:val="2"/>
      <w14:ligatures w14:val="standardContextual"/>
    </w:rPr>
    <w:tblPr>
      <w:tblStyleRowBandSize w:val="1"/>
      <w:tblStyleColBandSize w:val="1"/>
    </w:tblPr>
    <w:tcPr>
      <w:shd w:val="clear" w:color="auto" w:fill="FDF2EA" w:themeFill="accent2"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character" w:customStyle="1" w:styleId="160">
    <w:name w:val="16"/>
    <w:qFormat/>
    <w:rsid w:val="000676A1"/>
    <w:rPr>
      <w:rFonts w:ascii="Times New Roman" w:hAnsi="Times New Roman" w:cs="Times New Roman" w:hint="default"/>
      <w:color w:val="0000FF"/>
      <w:u w:val="single"/>
    </w:rPr>
  </w:style>
  <w:style w:type="table" w:customStyle="1" w:styleId="TableauListe3101">
    <w:name w:val="Tableau Liste 3101"/>
    <w:basedOn w:val="TableauNormal"/>
    <w:next w:val="TableauListe31"/>
    <w:uiPriority w:val="48"/>
    <w:rsid w:val="000676A1"/>
    <w:pPr>
      <w:spacing w:after="0" w:line="240" w:lineRule="auto"/>
      <w:jc w:val="both"/>
    </w:pPr>
    <w:rPr>
      <w:rFonts w:ascii="Calibri" w:eastAsia="Calibri" w:hAnsi="Calibri" w:cs="Times New Roman"/>
      <w:sz w:val="20"/>
      <w:szCs w:val="20"/>
      <w:lang w:val="fr-SN" w:eastAsia="fr-SN"/>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Liste341">
    <w:name w:val="Tableau Liste 341"/>
    <w:basedOn w:val="TableauNormal"/>
    <w:next w:val="TableauListe31"/>
    <w:uiPriority w:val="48"/>
    <w:rsid w:val="000676A1"/>
    <w:pPr>
      <w:spacing w:after="0" w:line="300" w:lineRule="exact"/>
      <w:jc w:val="both"/>
    </w:pPr>
    <w:rPr>
      <w:rFonts w:ascii="Times New Roman" w:eastAsia="Times New Roman" w:hAnsi="Times New Roman" w:cs="Times New Roman"/>
      <w:sz w:val="20"/>
      <w:szCs w:val="20"/>
      <w:lang w:val="fr-SN" w:eastAsia="fr-SN"/>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Liste313">
    <w:name w:val="Tableau Liste 313"/>
    <w:basedOn w:val="TableauNormal"/>
    <w:uiPriority w:val="48"/>
    <w:rsid w:val="000676A1"/>
    <w:pPr>
      <w:spacing w:after="0" w:line="240" w:lineRule="auto"/>
    </w:pPr>
    <w:rPr>
      <w:rFonts w:ascii="Calibri" w:eastAsia="Calibri" w:hAnsi="Calibri" w:cs="Times New Roman"/>
      <w:sz w:val="20"/>
      <w:szCs w:val="20"/>
      <w:lang w:val="fr-SN" w:eastAsia="fr-SN"/>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Liste3161">
    <w:name w:val="Tableau Liste 3161"/>
    <w:basedOn w:val="TableauNormal"/>
    <w:next w:val="TableauNormal"/>
    <w:uiPriority w:val="48"/>
    <w:rsid w:val="000676A1"/>
    <w:pPr>
      <w:spacing w:after="0" w:line="240" w:lineRule="auto"/>
    </w:pPr>
    <w:rPr>
      <w:rFonts w:ascii="Calibri" w:eastAsia="Calibri" w:hAnsi="Calibri" w:cs="Times New Roman"/>
      <w:sz w:val="20"/>
      <w:szCs w:val="20"/>
      <w:lang w:val="fr-SN" w:eastAsia="fr-SN"/>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Liste372">
    <w:name w:val="Tableau Liste 372"/>
    <w:basedOn w:val="TableauNormal"/>
    <w:next w:val="TableauListe31"/>
    <w:uiPriority w:val="48"/>
    <w:rsid w:val="000676A1"/>
    <w:pPr>
      <w:spacing w:after="0" w:line="240" w:lineRule="auto"/>
    </w:pPr>
    <w:rPr>
      <w:rFonts w:ascii="Times New Roman" w:eastAsia="Times New Roman" w:hAnsi="Times New Roman" w:cs="Times New Roman"/>
      <w:sz w:val="20"/>
      <w:szCs w:val="20"/>
      <w:lang w:val="fr-SN" w:eastAsia="fr-SN"/>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SGSTableBasic12921">
    <w:name w:val="SGS Table Basic 12921"/>
    <w:basedOn w:val="TableauNormal"/>
    <w:next w:val="Grilledutableau"/>
    <w:uiPriority w:val="39"/>
    <w:rsid w:val="000676A1"/>
    <w:pPr>
      <w:spacing w:after="0" w:line="240" w:lineRule="auto"/>
    </w:pPr>
    <w:rPr>
      <w:rFonts w:ascii="Calibri" w:eastAsia="Times New Roman" w:hAnsi="Calibri" w:cs="Times New Roman"/>
      <w:sz w:val="20"/>
      <w:szCs w:val="20"/>
      <w:lang w:val="fr-SN" w:eastAsia="fr-SN"/>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GSTableBasic12941">
    <w:name w:val="SGS Table Basic 12941"/>
    <w:basedOn w:val="TableauNormal"/>
    <w:next w:val="Grilledutableau"/>
    <w:uiPriority w:val="39"/>
    <w:rsid w:val="000676A1"/>
    <w:pPr>
      <w:spacing w:after="0" w:line="240" w:lineRule="auto"/>
    </w:pPr>
    <w:rPr>
      <w:rFonts w:ascii="Calibri" w:eastAsia="Times New Roman" w:hAnsi="Calibri" w:cs="Times New Roman"/>
      <w:sz w:val="20"/>
      <w:szCs w:val="20"/>
      <w:lang w:val="fr-SN" w:eastAsia="fr-SN"/>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GSTableBasic1641">
    <w:name w:val="SGS Table Basic 1641"/>
    <w:basedOn w:val="TableauNormal"/>
    <w:next w:val="Grilledutableau"/>
    <w:uiPriority w:val="59"/>
    <w:rsid w:val="000676A1"/>
    <w:pPr>
      <w:spacing w:after="0" w:line="240" w:lineRule="auto"/>
    </w:pPr>
    <w:rPr>
      <w:rFonts w:ascii="Calibri" w:eastAsia="Calibri" w:hAnsi="Calibri" w:cs="Times New Roman"/>
      <w:sz w:val="24"/>
      <w:szCs w:val="24"/>
      <w:lang w:val="fr-SN" w:eastAsia="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GSTableBasic1331">
    <w:name w:val="SGS Table Basic 1331"/>
    <w:basedOn w:val="TableauNormal"/>
    <w:next w:val="Grilledutableau"/>
    <w:uiPriority w:val="39"/>
    <w:rsid w:val="000676A1"/>
    <w:pPr>
      <w:spacing w:after="0" w:line="240" w:lineRule="auto"/>
    </w:pPr>
    <w:rPr>
      <w:rFonts w:ascii="Calibri" w:eastAsia="Times New Roman" w:hAnsi="Calibri" w:cs="Times New Roman"/>
      <w:sz w:val="20"/>
      <w:szCs w:val="20"/>
      <w:lang w:val="fr-SN" w:eastAsia="fr-SN"/>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Accentuation511">
    <w:name w:val="Tableau Grille 2 - Accentuation 511"/>
    <w:basedOn w:val="TableauNormal"/>
    <w:uiPriority w:val="47"/>
    <w:rsid w:val="000676A1"/>
    <w:pPr>
      <w:spacing w:after="0" w:line="240" w:lineRule="auto"/>
    </w:pPr>
    <w:rPr>
      <w:rFonts w:ascii="Calibri" w:eastAsia="Calibri" w:hAnsi="Calibri" w:cs="Times New Roman"/>
      <w:sz w:val="24"/>
      <w:szCs w:val="24"/>
      <w:lang w:val="fr-SN"/>
      <w14:ligatures w14:val="standardContextual"/>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311">
    <w:name w:val="List Table 311"/>
    <w:basedOn w:val="TableauNormal"/>
    <w:uiPriority w:val="48"/>
    <w:rsid w:val="000676A1"/>
    <w:pPr>
      <w:spacing w:after="0" w:line="240" w:lineRule="auto"/>
    </w:pPr>
    <w:rPr>
      <w:rFonts w:ascii="Times New Roman" w:eastAsia="Times New Roman" w:hAnsi="Times New Roman" w:cs="Times New Roman"/>
      <w:sz w:val="20"/>
      <w:szCs w:val="20"/>
      <w:lang w:val="fr-SN" w:eastAsia="fr-SN"/>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Liste3711">
    <w:name w:val="Tableau Liste 3711"/>
    <w:basedOn w:val="TableauNormal"/>
    <w:next w:val="TableauListe31"/>
    <w:uiPriority w:val="48"/>
    <w:rsid w:val="000676A1"/>
    <w:pPr>
      <w:spacing w:after="0" w:line="240" w:lineRule="auto"/>
    </w:pPr>
    <w:rPr>
      <w:rFonts w:ascii="Times New Roman" w:eastAsia="Times New Roman" w:hAnsi="Times New Roman" w:cs="Times New Roman"/>
      <w:sz w:val="20"/>
      <w:szCs w:val="20"/>
      <w:lang w:val="fr-SN" w:eastAsia="fr-SN"/>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Grid110">
    <w:name w:val="Table Grid11"/>
    <w:basedOn w:val="TableauNormal"/>
    <w:next w:val="Grilledutableau"/>
    <w:uiPriority w:val="39"/>
    <w:rsid w:val="000676A1"/>
    <w:pPr>
      <w:spacing w:after="0" w:line="240" w:lineRule="auto"/>
    </w:pPr>
    <w:rPr>
      <w:rFonts w:ascii="Calibri" w:eastAsia="Calibri" w:hAnsi="Calibri" w:cs="Times New Roman"/>
      <w:sz w:val="24"/>
      <w:szCs w:val="24"/>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Liste3121">
    <w:name w:val="Tableau Liste 3121"/>
    <w:basedOn w:val="TableauNormal"/>
    <w:next w:val="TableauListe31"/>
    <w:uiPriority w:val="48"/>
    <w:rsid w:val="000676A1"/>
    <w:pPr>
      <w:spacing w:after="0" w:line="240" w:lineRule="auto"/>
    </w:pPr>
    <w:rPr>
      <w:rFonts w:ascii="Times New Roman" w:eastAsia="Times New Roman" w:hAnsi="Times New Roman" w:cs="Times New Roman"/>
      <w:sz w:val="20"/>
      <w:szCs w:val="20"/>
      <w:lang w:val="fr-SN" w:eastAsia="fr-SN"/>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SGSTableBasic1701">
    <w:name w:val="SGS Table Basic 1701"/>
    <w:basedOn w:val="TableauNormal"/>
    <w:next w:val="Grilledutableau"/>
    <w:uiPriority w:val="59"/>
    <w:rsid w:val="000676A1"/>
    <w:pPr>
      <w:spacing w:after="0" w:line="240" w:lineRule="auto"/>
    </w:pPr>
    <w:rPr>
      <w:rFonts w:ascii="Calibri" w:eastAsia="Calibri" w:hAnsi="Calibri" w:cs="Times New Roman"/>
      <w:sz w:val="24"/>
      <w:szCs w:val="24"/>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Liste1Clair-Accentuation11">
    <w:name w:val="Tableau Liste 1 Clair - Accentuation 11"/>
    <w:basedOn w:val="TableauNormal"/>
    <w:next w:val="TableauListe1Clair-Accentuation1"/>
    <w:uiPriority w:val="49"/>
    <w:rsid w:val="000676A1"/>
    <w:pPr>
      <w:spacing w:after="0" w:line="240" w:lineRule="auto"/>
    </w:pPr>
    <w:rPr>
      <w:rFonts w:ascii="Calibri" w:eastAsia="Calibri" w:hAnsi="Calibri" w:cs="Times New Roman"/>
      <w:sz w:val="24"/>
      <w:szCs w:val="24"/>
      <w:lang w:val="fr-SN" w:eastAsia="fr-SN"/>
      <w14:ligatures w14:val="standardContextual"/>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eauListe2-Accentuation11">
    <w:name w:val="Tableau Liste 2 - Accentuation 11"/>
    <w:basedOn w:val="TableauNormal"/>
    <w:next w:val="TableauListe2-Accentuation1"/>
    <w:uiPriority w:val="50"/>
    <w:rsid w:val="000676A1"/>
    <w:pPr>
      <w:spacing w:after="0" w:line="240" w:lineRule="auto"/>
    </w:pPr>
    <w:rPr>
      <w:rFonts w:ascii="Calibri" w:eastAsia="Calibri" w:hAnsi="Calibri" w:cs="Times New Roman"/>
      <w:sz w:val="24"/>
      <w:szCs w:val="24"/>
      <w:lang w:val="fr-SN" w:eastAsia="fr-SN"/>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eauGrille6Couleur-Accentuation31">
    <w:name w:val="Tableau Grille 6 Couleur - Accentuation 31"/>
    <w:basedOn w:val="TableauNormal"/>
    <w:next w:val="TableauGrille6Couleur-Accentuation3"/>
    <w:uiPriority w:val="47"/>
    <w:rsid w:val="000676A1"/>
    <w:pPr>
      <w:spacing w:after="0" w:line="240" w:lineRule="auto"/>
    </w:pPr>
    <w:rPr>
      <w:rFonts w:ascii="Calibri" w:eastAsia="Calibri" w:hAnsi="Calibri" w:cs="Times New Roman"/>
      <w:sz w:val="20"/>
      <w:szCs w:val="20"/>
      <w:lang w:val="fr-SN" w:eastAsia="fr-SN"/>
      <w14:ligatures w14:val="standardContextual"/>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auListe7Couleur-Accentuation21">
    <w:name w:val="Tableau Liste 7 Couleur - Accentuation 21"/>
    <w:basedOn w:val="TableauNormal"/>
    <w:next w:val="TableauListe7Couleur-Accentuation2"/>
    <w:uiPriority w:val="48"/>
    <w:rsid w:val="000676A1"/>
    <w:pPr>
      <w:spacing w:after="0" w:line="240" w:lineRule="auto"/>
    </w:pPr>
    <w:rPr>
      <w:rFonts w:ascii="Calibri" w:eastAsia="Calibri" w:hAnsi="Calibri" w:cs="Times New Roman"/>
      <w:sz w:val="20"/>
      <w:szCs w:val="20"/>
      <w:lang w:val="fr-SN" w:eastAsia="fr-SN"/>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Grille1Clair-Accentuation41">
    <w:name w:val="Tableau Grille 1 Clair - Accentuation 41"/>
    <w:basedOn w:val="TableauNormal"/>
    <w:next w:val="TableauGrille1Clair-Accentuation4"/>
    <w:uiPriority w:val="49"/>
    <w:rsid w:val="000676A1"/>
    <w:pPr>
      <w:spacing w:after="0" w:line="240" w:lineRule="auto"/>
    </w:pPr>
    <w:rPr>
      <w:rFonts w:ascii="Calibri" w:eastAsia="Calibri" w:hAnsi="Calibri" w:cs="Times New Roman"/>
      <w:sz w:val="20"/>
      <w:szCs w:val="20"/>
      <w:lang w:val="fr-SN" w:eastAsia="fr-SN"/>
      <w14:ligatures w14:val="standardContextu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auListe3112">
    <w:name w:val="Tableau Liste 3112"/>
    <w:basedOn w:val="TableauNormal"/>
    <w:next w:val="TableauListe5Fonc-Accentuation1"/>
    <w:uiPriority w:val="48"/>
    <w:rsid w:val="000676A1"/>
    <w:pPr>
      <w:spacing w:after="0" w:line="300" w:lineRule="exact"/>
      <w:jc w:val="both"/>
    </w:pPr>
    <w:rPr>
      <w:rFonts w:ascii="Times New Roman" w:eastAsia="Times New Roman" w:hAnsi="Times New Roman" w:cs="Times New Roman"/>
      <w:sz w:val="20"/>
      <w:szCs w:val="20"/>
      <w:lang w:val="fr-SN" w:eastAsia="fr-SN"/>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Liste31111">
    <w:name w:val="Tableau Liste 31111"/>
    <w:basedOn w:val="TableauNormal"/>
    <w:uiPriority w:val="48"/>
    <w:rsid w:val="000676A1"/>
    <w:pPr>
      <w:spacing w:after="0" w:line="300" w:lineRule="exact"/>
      <w:jc w:val="both"/>
    </w:pPr>
    <w:rPr>
      <w:rFonts w:ascii="Times New Roman" w:eastAsia="Times New Roman" w:hAnsi="Times New Roman" w:cs="Times New Roman"/>
      <w:sz w:val="20"/>
      <w:szCs w:val="20"/>
      <w:lang w:val="fr-SN" w:eastAsia="fr-SN"/>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Liste5Fonc-Accentuation11">
    <w:name w:val="Tableau Liste 5 Foncé - Accentuation 11"/>
    <w:basedOn w:val="TableauNormal"/>
    <w:next w:val="TableauListe5Fonc-Accentuation1"/>
    <w:uiPriority w:val="48"/>
    <w:rsid w:val="000676A1"/>
    <w:pPr>
      <w:spacing w:after="0" w:line="240" w:lineRule="auto"/>
    </w:pPr>
    <w:rPr>
      <w:rFonts w:ascii="Calibri" w:eastAsia="Calibri" w:hAnsi="Calibri" w:cs="Times New Roman"/>
      <w:sz w:val="20"/>
      <w:szCs w:val="20"/>
      <w:lang w:val="fr-SN" w:eastAsia="fr-SN"/>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Liste331">
    <w:name w:val="Tableau Liste 331"/>
    <w:basedOn w:val="TableauNormal"/>
    <w:next w:val="TableauListe5Fonc-Accentuation1"/>
    <w:uiPriority w:val="48"/>
    <w:rsid w:val="000676A1"/>
    <w:pPr>
      <w:spacing w:after="0" w:line="240" w:lineRule="auto"/>
    </w:pPr>
    <w:rPr>
      <w:rFonts w:ascii="Times New Roman" w:eastAsia="Times New Roman" w:hAnsi="Times New Roman" w:cs="Times New Roman"/>
      <w:sz w:val="20"/>
      <w:szCs w:val="20"/>
      <w:lang w:val="fr-SN" w:eastAsia="fr-SN"/>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Liste351">
    <w:name w:val="Tableau Liste 351"/>
    <w:basedOn w:val="TableauNormal"/>
    <w:next w:val="TableauListe5Fonc-Accentuation1"/>
    <w:uiPriority w:val="48"/>
    <w:rsid w:val="000676A1"/>
    <w:pPr>
      <w:spacing w:after="0" w:line="240" w:lineRule="auto"/>
    </w:pPr>
    <w:rPr>
      <w:rFonts w:ascii="Times New Roman" w:eastAsia="Times New Roman" w:hAnsi="Times New Roman" w:cs="Times New Roman"/>
      <w:sz w:val="20"/>
      <w:szCs w:val="20"/>
      <w:lang w:val="fr-SN" w:eastAsia="fr-SN"/>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Liste361">
    <w:name w:val="Tableau Liste 361"/>
    <w:basedOn w:val="TableauNormal"/>
    <w:next w:val="TableauListe5Fonc-Accentuation1"/>
    <w:uiPriority w:val="48"/>
    <w:rsid w:val="000676A1"/>
    <w:pPr>
      <w:spacing w:after="0" w:line="240" w:lineRule="auto"/>
    </w:pPr>
    <w:rPr>
      <w:rFonts w:ascii="Times New Roman" w:eastAsia="Times New Roman" w:hAnsi="Times New Roman" w:cs="Times New Roman"/>
      <w:sz w:val="20"/>
      <w:szCs w:val="20"/>
      <w:lang w:val="fr-SN" w:eastAsia="fr-SN"/>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emoyenne1-Accent1">
    <w:name w:val="Medium List 1 Accent 1"/>
    <w:basedOn w:val="TableauNormal"/>
    <w:uiPriority w:val="61"/>
    <w:rsid w:val="000676A1"/>
    <w:pPr>
      <w:spacing w:after="0" w:line="240" w:lineRule="auto"/>
    </w:pPr>
    <w:rPr>
      <w:rFonts w:ascii="Calibri" w:eastAsia="Calibri" w:hAnsi="Calibri" w:cs="Times New Roman"/>
      <w:lang w:val="fr-CA"/>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rameclaire-Accent4">
    <w:name w:val="Light Shading Accent 4"/>
    <w:basedOn w:val="TableauNormal"/>
    <w:uiPriority w:val="61"/>
    <w:unhideWhenUsed/>
    <w:rsid w:val="000676A1"/>
    <w:pPr>
      <w:spacing w:after="0" w:line="240" w:lineRule="auto"/>
    </w:pPr>
    <w:rPr>
      <w:rFonts w:ascii="Times New Roman" w:eastAsia="Calibri" w:hAnsi="Times New Roman" w:cs="Times New Roman"/>
      <w:sz w:val="24"/>
      <w:szCs w:val="24"/>
      <w:lang w:val="en-US"/>
      <w14:ligatures w14:val="standardContextua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auListe5Fonc-Accentuation31">
    <w:name w:val="Tableau Liste 5 Foncé - Accentuation 31"/>
    <w:basedOn w:val="TableauNormal"/>
    <w:next w:val="TableauListe5Fonc-Accentuation3"/>
    <w:uiPriority w:val="49"/>
    <w:rsid w:val="000676A1"/>
    <w:pPr>
      <w:spacing w:after="0" w:line="240" w:lineRule="auto"/>
    </w:pPr>
    <w:rPr>
      <w:rFonts w:ascii="Calibri" w:eastAsia="Calibri" w:hAnsi="Calibri" w:cs="Times New Roman"/>
      <w:sz w:val="24"/>
      <w:szCs w:val="24"/>
      <w:lang w:val="fr-SN" w:eastAsia="fr-SN"/>
      <w14:ligatures w14:val="standardContextual"/>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eauListe6Couleur-Accentuation31">
    <w:name w:val="Tableau Liste 6 Couleur - Accentuation 31"/>
    <w:basedOn w:val="TableauNormal"/>
    <w:next w:val="TableauListe6Couleur-Accentuation3"/>
    <w:uiPriority w:val="50"/>
    <w:rsid w:val="000676A1"/>
    <w:pPr>
      <w:spacing w:after="0" w:line="240" w:lineRule="auto"/>
    </w:pPr>
    <w:rPr>
      <w:rFonts w:ascii="Calibri" w:eastAsia="Calibri" w:hAnsi="Calibri" w:cs="Times New Roman"/>
      <w:sz w:val="24"/>
      <w:szCs w:val="24"/>
      <w:lang w:val="fr-SN" w:eastAsia="fr-SN"/>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eauListe2-Accentuation41">
    <w:name w:val="Tableau Liste 2 - Accentuation 41"/>
    <w:basedOn w:val="TableauNormal"/>
    <w:next w:val="TableauListe2-Accentuation4"/>
    <w:uiPriority w:val="46"/>
    <w:rsid w:val="000676A1"/>
    <w:pPr>
      <w:spacing w:after="0" w:line="240" w:lineRule="auto"/>
    </w:pPr>
    <w:rPr>
      <w:rFonts w:ascii="Calibri" w:eastAsia="Calibri" w:hAnsi="Calibri" w:cs="Times New Roman"/>
      <w:sz w:val="20"/>
      <w:szCs w:val="20"/>
      <w:lang w:val="fr-SN" w:eastAsia="fr-SN"/>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Grille2-Accentuation12">
    <w:name w:val="Tableau Grille 2 - Accentuation 12"/>
    <w:basedOn w:val="TableauNormal"/>
    <w:next w:val="TableauGrille2-Accentuation1"/>
    <w:uiPriority w:val="40"/>
    <w:rsid w:val="000676A1"/>
    <w:pPr>
      <w:spacing w:after="0" w:line="240" w:lineRule="auto"/>
    </w:pPr>
    <w:rPr>
      <w:rFonts w:ascii="Calibri" w:eastAsia="Calibri" w:hAnsi="Calibri" w:cs="Times New Roman"/>
      <w:lang w:val="fr-SN"/>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TableauGrille33">
    <w:name w:val="Tableau Grille 33"/>
    <w:basedOn w:val="Normal"/>
    <w:next w:val="Normal"/>
    <w:uiPriority w:val="39"/>
    <w:unhideWhenUsed/>
    <w:qFormat/>
    <w:rsid w:val="000676A1"/>
    <w:pPr>
      <w:keepNext/>
      <w:spacing w:before="240" w:after="240" w:line="238" w:lineRule="auto"/>
    </w:pPr>
    <w:rPr>
      <w:rFonts w:ascii="Arial" w:eastAsia="Times New Roman" w:hAnsi="Arial" w:cs="Arial"/>
      <w:b/>
      <w:bCs/>
      <w:color w:val="4472C4"/>
      <w:sz w:val="28"/>
      <w:szCs w:val="24"/>
      <w:lang w:val="en-GB" w:eastAsia="en-GB"/>
      <w14:ligatures w14:val="standardContextual"/>
    </w:rPr>
  </w:style>
  <w:style w:type="paragraph" w:customStyle="1" w:styleId="Grillemoyenne23">
    <w:name w:val="Grille moyenne 23"/>
    <w:link w:val="Grillemoyenne2Car2"/>
    <w:uiPriority w:val="1"/>
    <w:qFormat/>
    <w:rsid w:val="000676A1"/>
    <w:pPr>
      <w:spacing w:after="0" w:line="240" w:lineRule="auto"/>
    </w:pPr>
    <w:rPr>
      <w:rFonts w:ascii="Times New Roman" w:eastAsia="Times New Roman" w:hAnsi="Times New Roman" w:cs="Times New Roman"/>
      <w:sz w:val="24"/>
      <w:szCs w:val="24"/>
      <w:lang w:val="en-US"/>
      <w14:ligatures w14:val="standardContextual"/>
    </w:rPr>
  </w:style>
  <w:style w:type="character" w:customStyle="1" w:styleId="Grillemoyenne2Car2">
    <w:name w:val="Grille moyenne 2 Car2"/>
    <w:link w:val="Grillemoyenne23"/>
    <w:uiPriority w:val="1"/>
    <w:rsid w:val="000676A1"/>
    <w:rPr>
      <w:rFonts w:ascii="Times New Roman" w:eastAsia="Times New Roman" w:hAnsi="Times New Roman" w:cs="Times New Roman"/>
      <w:sz w:val="24"/>
      <w:szCs w:val="24"/>
      <w:lang w:val="en-US"/>
      <w14:ligatures w14:val="standardContextual"/>
    </w:rPr>
  </w:style>
  <w:style w:type="character" w:customStyle="1" w:styleId="Grillecouleur-Accent1Car2">
    <w:name w:val="Grille couleur - Accent 1 Car2"/>
    <w:uiPriority w:val="29"/>
    <w:rsid w:val="000676A1"/>
    <w:rPr>
      <w:rFonts w:ascii="Calibri" w:eastAsia="Times New Roman" w:hAnsi="Calibri" w:cs="Times New Roman"/>
      <w:i/>
      <w:iCs/>
      <w:color w:val="000000"/>
      <w:lang w:val="en-US" w:bidi="en-US"/>
    </w:rPr>
  </w:style>
  <w:style w:type="character" w:customStyle="1" w:styleId="Trameclaire-Accent2Car2">
    <w:name w:val="Trame claire - Accent 2 Car2"/>
    <w:uiPriority w:val="30"/>
    <w:rsid w:val="000676A1"/>
    <w:rPr>
      <w:rFonts w:ascii="Calibri" w:eastAsia="Times New Roman" w:hAnsi="Calibri" w:cs="Times New Roman"/>
      <w:b/>
      <w:bCs/>
      <w:i/>
      <w:iCs/>
      <w:color w:val="4F81BD"/>
      <w:lang w:val="en-US" w:bidi="en-US"/>
    </w:rPr>
  </w:style>
  <w:style w:type="character" w:customStyle="1" w:styleId="Grilledetableauclaire8">
    <w:name w:val="Grille de tableau claire8"/>
    <w:uiPriority w:val="32"/>
    <w:qFormat/>
    <w:rsid w:val="000676A1"/>
    <w:rPr>
      <w:b/>
      <w:bCs/>
      <w:smallCaps/>
      <w:color w:val="C0504D"/>
      <w:spacing w:val="5"/>
      <w:u w:val="single"/>
    </w:rPr>
  </w:style>
  <w:style w:type="character" w:customStyle="1" w:styleId="Grillemoyenne12">
    <w:name w:val="Grille moyenne 12"/>
    <w:uiPriority w:val="99"/>
    <w:semiHidden/>
    <w:rsid w:val="000676A1"/>
    <w:rPr>
      <w:color w:val="808080"/>
    </w:rPr>
  </w:style>
  <w:style w:type="paragraph" w:customStyle="1" w:styleId="Tramecouleur-Accent13">
    <w:name w:val="Trame couleur - Accent 13"/>
    <w:hidden/>
    <w:uiPriority w:val="71"/>
    <w:rsid w:val="000676A1"/>
    <w:pPr>
      <w:spacing w:after="0" w:line="240" w:lineRule="auto"/>
    </w:pPr>
    <w:rPr>
      <w:rFonts w:ascii="Calibri" w:eastAsia="Calibri" w:hAnsi="Calibri" w:cs="Times New Roman"/>
      <w14:ligatures w14:val="standardContextual"/>
    </w:rPr>
  </w:style>
  <w:style w:type="table" w:customStyle="1" w:styleId="GT061">
    <w:name w:val="GT061"/>
    <w:basedOn w:val="TableauNormal"/>
    <w:next w:val="Grilledutableau"/>
    <w:uiPriority w:val="39"/>
    <w:qFormat/>
    <w:rsid w:val="000676A1"/>
    <w:pPr>
      <w:spacing w:after="0" w:line="300" w:lineRule="exact"/>
      <w:jc w:val="both"/>
    </w:pPr>
    <w:rPr>
      <w:rFonts w:ascii="Times New Roman" w:eastAsia="Times New Roman" w:hAnsi="Times New Roman" w:cs="Times New Roman"/>
      <w:sz w:val="20"/>
      <w:szCs w:val="20"/>
      <w:lang w:val="fr-SN" w:eastAsia="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31">
    <w:name w:val="Grille du tableau1431"/>
    <w:basedOn w:val="TableauNormal"/>
    <w:next w:val="Grilledutableau"/>
    <w:uiPriority w:val="59"/>
    <w:rsid w:val="000676A1"/>
    <w:pPr>
      <w:spacing w:after="0" w:line="240" w:lineRule="auto"/>
    </w:pPr>
    <w:rPr>
      <w:rFonts w:ascii="Calibri" w:eastAsia="Calibri" w:hAnsi="Calibri" w:cs="Times New Roman"/>
      <w:lang w:val="fr-S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110">
    <w:name w:val="Tableau simple 11"/>
    <w:basedOn w:val="TableauNormal"/>
    <w:next w:val="Tableausimple10"/>
    <w:uiPriority w:val="99"/>
    <w:unhideWhenUsed/>
    <w:rsid w:val="000676A1"/>
    <w:pPr>
      <w:spacing w:after="0" w:line="240" w:lineRule="auto"/>
    </w:pPr>
    <w:rPr>
      <w:rFonts w:ascii="Calibri" w:eastAsia="Calibri" w:hAnsi="Calibri" w:cs="Times New Roman"/>
      <w:sz w:val="20"/>
      <w:szCs w:val="20"/>
      <w:lang w:val="fr-SN" w:eastAsia="fr-SN"/>
      <w14:ligatures w14:val="standardContextu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Mentionnonrsolue31">
    <w:name w:val="Mention non résolue31"/>
    <w:uiPriority w:val="99"/>
    <w:semiHidden/>
    <w:unhideWhenUsed/>
    <w:rsid w:val="000676A1"/>
    <w:rPr>
      <w:color w:val="605E5C"/>
      <w:shd w:val="clear" w:color="auto" w:fill="E1DFDD"/>
    </w:rPr>
  </w:style>
  <w:style w:type="paragraph" w:customStyle="1" w:styleId="trt0xe">
    <w:name w:val="trt0xe"/>
    <w:basedOn w:val="Normal"/>
    <w:rsid w:val="000676A1"/>
    <w:pPr>
      <w:spacing w:before="100" w:beforeAutospacing="1" w:after="100" w:afterAutospacing="1" w:line="240" w:lineRule="auto"/>
    </w:pPr>
    <w:rPr>
      <w:rFonts w:ascii="Times New Roman" w:eastAsia="Times New Roman" w:hAnsi="Times New Roman"/>
      <w:sz w:val="24"/>
      <w:szCs w:val="24"/>
      <w:lang w:eastAsia="fr-FR"/>
      <w14:ligatures w14:val="standardContextual"/>
    </w:rPr>
  </w:style>
  <w:style w:type="paragraph" w:customStyle="1" w:styleId="yiv5232024999msonormal">
    <w:name w:val="yiv5232024999msonormal"/>
    <w:basedOn w:val="Normal"/>
    <w:uiPriority w:val="99"/>
    <w:qFormat/>
    <w:rsid w:val="000676A1"/>
    <w:pPr>
      <w:spacing w:before="100" w:beforeAutospacing="1" w:after="100" w:afterAutospacing="1" w:line="240" w:lineRule="auto"/>
    </w:pPr>
    <w:rPr>
      <w:rFonts w:ascii="Times New Roman" w:eastAsia="Times New Roman" w:hAnsi="Times New Roman"/>
      <w:sz w:val="24"/>
      <w:szCs w:val="24"/>
      <w:lang w:eastAsia="fr-FR"/>
      <w14:ligatures w14:val="standardContextual"/>
    </w:rPr>
  </w:style>
  <w:style w:type="paragraph" w:customStyle="1" w:styleId="LIBRE">
    <w:name w:val="LIBRE"/>
    <w:basedOn w:val="Normal"/>
    <w:rsid w:val="000676A1"/>
    <w:pPr>
      <w:spacing w:before="120" w:after="120" w:line="360" w:lineRule="auto"/>
      <w:jc w:val="both"/>
    </w:pPr>
    <w:rPr>
      <w:rFonts w:ascii="Times New Roman" w:eastAsia="Times New Roman" w:hAnsi="Times New Roman"/>
      <w:b/>
      <w:caps/>
      <w:sz w:val="28"/>
      <w:szCs w:val="20"/>
      <w:lang w:eastAsia="fr-FR"/>
      <w14:ligatures w14:val="standardContextual"/>
    </w:rPr>
  </w:style>
  <w:style w:type="paragraph" w:customStyle="1" w:styleId="m6261188051534497339xxxmsonormal">
    <w:name w:val="m_6261188051534497339xxxmsonormal"/>
    <w:basedOn w:val="Normal"/>
    <w:rsid w:val="000676A1"/>
    <w:pPr>
      <w:spacing w:before="100" w:beforeAutospacing="1" w:after="100" w:afterAutospacing="1" w:line="240" w:lineRule="auto"/>
    </w:pPr>
    <w:rPr>
      <w:rFonts w:ascii="Times New Roman" w:eastAsia="Times New Roman" w:hAnsi="Times New Roman"/>
      <w:sz w:val="24"/>
      <w:szCs w:val="24"/>
      <w:lang w:eastAsia="fr-FR"/>
      <w14:ligatures w14:val="standardContextual"/>
    </w:rPr>
  </w:style>
  <w:style w:type="character" w:customStyle="1" w:styleId="y2iqfc">
    <w:name w:val="y2iqfc"/>
    <w:basedOn w:val="Policepardfaut"/>
    <w:rsid w:val="000676A1"/>
  </w:style>
  <w:style w:type="character" w:customStyle="1" w:styleId="152">
    <w:name w:val="15"/>
    <w:rsid w:val="000676A1"/>
    <w:rPr>
      <w:rFonts w:ascii="Times New Roman" w:hAnsi="Times New Roman" w:cs="Times New Roman" w:hint="default"/>
      <w:color w:val="0000FF"/>
      <w:u w:val="single"/>
    </w:rPr>
  </w:style>
  <w:style w:type="table" w:customStyle="1" w:styleId="TableauNormal1">
    <w:name w:val="Tableau Normal1"/>
    <w:semiHidden/>
    <w:qFormat/>
    <w:rsid w:val="000676A1"/>
    <w:pPr>
      <w:spacing w:after="0" w:line="240" w:lineRule="auto"/>
    </w:pPr>
    <w:rPr>
      <w:rFonts w:eastAsia="Times New Roman"/>
      <w:sz w:val="20"/>
      <w:szCs w:val="20"/>
      <w:lang w:val="fr-SN" w:eastAsia="fr-SN"/>
      <w14:ligatures w14:val="standardContextual"/>
    </w:rPr>
    <w:tblPr>
      <w:tblCellMar>
        <w:top w:w="0" w:type="dxa"/>
        <w:left w:w="108" w:type="dxa"/>
        <w:bottom w:w="0" w:type="dxa"/>
        <w:right w:w="108" w:type="dxa"/>
      </w:tblCellMar>
    </w:tblPr>
  </w:style>
  <w:style w:type="paragraph" w:customStyle="1" w:styleId="IntitulLangues">
    <w:name w:val="Intitulé Langues"/>
    <w:basedOn w:val="Normal"/>
    <w:rsid w:val="000676A1"/>
    <w:pPr>
      <w:spacing w:before="60" w:after="60" w:line="260" w:lineRule="exact"/>
      <w:jc w:val="center"/>
    </w:pPr>
    <w:rPr>
      <w:rFonts w:ascii="Arial" w:eastAsia="Times New Roman" w:hAnsi="Arial"/>
      <w:i/>
      <w:color w:val="000000"/>
      <w:sz w:val="20"/>
      <w:szCs w:val="20"/>
      <w:lang w:eastAsia="fr-FR"/>
      <w14:ligatures w14:val="standardContextual"/>
    </w:rPr>
  </w:style>
  <w:style w:type="paragraph" w:customStyle="1" w:styleId="Normalarcentr">
    <w:name w:val="Normal aéré centré"/>
    <w:basedOn w:val="Normal"/>
    <w:rsid w:val="000676A1"/>
    <w:pPr>
      <w:tabs>
        <w:tab w:val="left" w:pos="426"/>
      </w:tabs>
      <w:spacing w:before="60" w:after="60" w:line="260" w:lineRule="exact"/>
      <w:jc w:val="center"/>
    </w:pPr>
    <w:rPr>
      <w:rFonts w:ascii="Arial" w:eastAsia="Times New Roman" w:hAnsi="Arial"/>
      <w:sz w:val="20"/>
      <w:szCs w:val="20"/>
      <w:lang w:eastAsia="fr-FR"/>
      <w14:ligatures w14:val="standardContextual"/>
    </w:rPr>
  </w:style>
  <w:style w:type="character" w:customStyle="1" w:styleId="il">
    <w:name w:val="il"/>
    <w:basedOn w:val="Policepardfaut"/>
    <w:rsid w:val="000676A1"/>
  </w:style>
  <w:style w:type="character" w:customStyle="1" w:styleId="normaltextrun">
    <w:name w:val="normaltextrun"/>
    <w:basedOn w:val="Policepardfaut"/>
    <w:rsid w:val="000676A1"/>
  </w:style>
  <w:style w:type="paragraph" w:customStyle="1" w:styleId="BulletList">
    <w:name w:val="*Bullet List"/>
    <w:basedOn w:val="Normal"/>
    <w:qFormat/>
    <w:rsid w:val="000676A1"/>
    <w:pPr>
      <w:numPr>
        <w:numId w:val="272"/>
      </w:numPr>
      <w:adjustRightInd w:val="0"/>
      <w:snapToGrid w:val="0"/>
      <w:spacing w:after="120" w:line="260" w:lineRule="atLeast"/>
      <w:jc w:val="both"/>
    </w:pPr>
    <w:rPr>
      <w:rFonts w:ascii="Myriad Web Pro" w:eastAsia="SimSun" w:hAnsi="Myriad Web Pro" w:cs="Arial"/>
      <w:kern w:val="2"/>
      <w:sz w:val="20"/>
      <w:szCs w:val="21"/>
      <w:lang w:val="en-AU"/>
      <w14:ligatures w14:val="standardContextual"/>
    </w:rPr>
  </w:style>
  <w:style w:type="paragraph" w:customStyle="1" w:styleId="Contenu">
    <w:name w:val="Contenu"/>
    <w:basedOn w:val="Normal"/>
    <w:link w:val="Caractredecontenu"/>
    <w:qFormat/>
    <w:rsid w:val="000676A1"/>
    <w:pPr>
      <w:spacing w:before="100" w:beforeAutospacing="1" w:after="100" w:afterAutospacing="1"/>
    </w:pPr>
    <w:rPr>
      <w:rFonts w:eastAsia="Times New Roman" w:cs="Calibri"/>
      <w:b/>
      <w:sz w:val="24"/>
      <w:szCs w:val="24"/>
      <w:lang w:eastAsia="fr-FR"/>
      <w14:ligatures w14:val="standardContextual"/>
    </w:rPr>
  </w:style>
  <w:style w:type="character" w:customStyle="1" w:styleId="Caractredecontenu">
    <w:name w:val="Caractère de contenu"/>
    <w:basedOn w:val="Policepardfaut"/>
    <w:link w:val="Contenu"/>
    <w:qFormat/>
    <w:rsid w:val="000676A1"/>
    <w:rPr>
      <w:rFonts w:ascii="Calibri" w:eastAsia="Times New Roman" w:hAnsi="Calibri" w:cs="Calibri"/>
      <w:b/>
      <w:sz w:val="24"/>
      <w:szCs w:val="24"/>
      <w:lang w:eastAsia="fr-FR"/>
      <w14:ligatures w14:val="standardContextual"/>
    </w:rPr>
  </w:style>
  <w:style w:type="paragraph" w:customStyle="1" w:styleId="Normaltableau0">
    <w:name w:val="Normal tableau"/>
    <w:basedOn w:val="Normal"/>
    <w:qFormat/>
    <w:rsid w:val="000676A1"/>
    <w:pPr>
      <w:spacing w:before="60" w:after="60" w:line="240" w:lineRule="auto"/>
    </w:pPr>
    <w:rPr>
      <w:rFonts w:ascii="Arial" w:eastAsia="Times New Roman" w:hAnsi="Arial"/>
      <w:sz w:val="18"/>
      <w:szCs w:val="20"/>
      <w:lang w:eastAsia="fr-FR"/>
      <w14:ligatures w14:val="standardContextual"/>
    </w:rPr>
  </w:style>
  <w:style w:type="paragraph" w:customStyle="1" w:styleId="Pucetableau1">
    <w:name w:val="Puce tableau 1"/>
    <w:basedOn w:val="Normal"/>
    <w:qFormat/>
    <w:rsid w:val="000676A1"/>
    <w:pPr>
      <w:numPr>
        <w:numId w:val="273"/>
      </w:numPr>
      <w:spacing w:before="60" w:after="60" w:line="240" w:lineRule="auto"/>
      <w:ind w:left="327"/>
    </w:pPr>
    <w:rPr>
      <w:rFonts w:ascii="Arial" w:eastAsia="Times New Roman" w:hAnsi="Arial"/>
      <w:sz w:val="18"/>
      <w:szCs w:val="20"/>
      <w:lang w:eastAsia="fr-FR"/>
      <w14:ligatures w14:val="standardContextual"/>
    </w:rPr>
  </w:style>
  <w:style w:type="character" w:customStyle="1" w:styleId="more">
    <w:name w:val="more"/>
    <w:basedOn w:val="Policepardfaut"/>
    <w:qFormat/>
    <w:rsid w:val="000676A1"/>
  </w:style>
  <w:style w:type="numbering" w:customStyle="1" w:styleId="Aucuneliste20">
    <w:name w:val="Aucune liste20"/>
    <w:next w:val="Aucuneliste"/>
    <w:uiPriority w:val="99"/>
    <w:semiHidden/>
    <w:unhideWhenUsed/>
    <w:rsid w:val="000676A1"/>
  </w:style>
  <w:style w:type="table" w:customStyle="1" w:styleId="Grilledutableau30">
    <w:name w:val="Grille du tableau30"/>
    <w:basedOn w:val="TableauNormal"/>
    <w:next w:val="Grilledutableau"/>
    <w:uiPriority w:val="59"/>
    <w:rsid w:val="000676A1"/>
    <w:pPr>
      <w:spacing w:after="0" w:line="240" w:lineRule="auto"/>
    </w:pPr>
    <w:rPr>
      <w:lang w:val="fr-C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0">
    <w:name w:val="Grille du tableau210"/>
    <w:basedOn w:val="TableauNormal"/>
    <w:next w:val="Grilledutableau"/>
    <w:uiPriority w:val="59"/>
    <w:rsid w:val="000676A1"/>
    <w:pPr>
      <w:spacing w:after="0" w:line="240" w:lineRule="auto"/>
    </w:pPr>
    <w:rPr>
      <w:rFonts w:eastAsia="Times New Roman"/>
      <w:lang w:val="wo-SN" w:eastAsia="wo-SN"/>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15">
    <w:name w:val="Aucune liste115"/>
    <w:next w:val="Aucuneliste"/>
    <w:uiPriority w:val="99"/>
    <w:semiHidden/>
    <w:unhideWhenUsed/>
    <w:rsid w:val="000676A1"/>
  </w:style>
  <w:style w:type="table" w:customStyle="1" w:styleId="Grilledutableau118">
    <w:name w:val="Grille du tableau118"/>
    <w:basedOn w:val="TableauNormal"/>
    <w:next w:val="Grilledutableau"/>
    <w:uiPriority w:val="59"/>
    <w:rsid w:val="000676A1"/>
    <w:pPr>
      <w:spacing w:after="0" w:line="240" w:lineRule="auto"/>
    </w:pPr>
    <w:rPr>
      <w:lang w:val="fr-C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5">
    <w:name w:val="Grille du tableau215"/>
    <w:basedOn w:val="TableauNormal"/>
    <w:next w:val="Grilledutableau"/>
    <w:uiPriority w:val="59"/>
    <w:rsid w:val="000676A1"/>
    <w:pPr>
      <w:spacing w:after="0" w:line="240" w:lineRule="auto"/>
    </w:pPr>
    <w:rPr>
      <w:rFonts w:eastAsia="Times New Roman"/>
      <w:lang w:val="wo-SN" w:eastAsia="wo-SN"/>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eclaire-Accent617">
    <w:name w:val="Liste claire - Accent 617"/>
    <w:basedOn w:val="TableauNormal"/>
    <w:next w:val="Listeclaire-Accent6"/>
    <w:uiPriority w:val="61"/>
    <w:rsid w:val="000676A1"/>
    <w:pPr>
      <w:spacing w:after="0" w:line="240" w:lineRule="auto"/>
    </w:pPr>
    <w:rPr>
      <w:rFonts w:ascii="Times New Roman"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25">
    <w:name w:val="Liste claire - Accent 625"/>
    <w:basedOn w:val="TableauNormal"/>
    <w:next w:val="Listeclaire-Accent6"/>
    <w:uiPriority w:val="61"/>
    <w:rsid w:val="000676A1"/>
    <w:pPr>
      <w:spacing w:after="0" w:line="240" w:lineRule="auto"/>
    </w:pPr>
    <w:rPr>
      <w:lang w:val="fr-CA"/>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115">
    <w:name w:val="Liste claire - Accent 6115"/>
    <w:basedOn w:val="TableauNormal"/>
    <w:next w:val="Listeclaire-Accent6"/>
    <w:uiPriority w:val="61"/>
    <w:rsid w:val="000676A1"/>
    <w:pPr>
      <w:spacing w:after="0" w:line="240" w:lineRule="auto"/>
    </w:pPr>
    <w:rPr>
      <w:rFonts w:ascii="Times New Roman"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Accent6126">
    <w:name w:val="Liste claire - Accent 6126"/>
    <w:basedOn w:val="TableauNormal"/>
    <w:next w:val="Listeclaire-Accent6"/>
    <w:uiPriority w:val="61"/>
    <w:rsid w:val="000676A1"/>
    <w:pPr>
      <w:spacing w:after="0" w:line="240" w:lineRule="auto"/>
    </w:pPr>
    <w:rPr>
      <w:rFonts w:ascii="Times New Roman" w:hAnsi="Times New Roman" w:cs="Times New Roman"/>
      <w:sz w:val="24"/>
      <w:szCs w:val="24"/>
      <w:lang w:val="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eclaire15">
    <w:name w:val="Liste claire15"/>
    <w:basedOn w:val="TableauNormal"/>
    <w:next w:val="Listeclaire"/>
    <w:uiPriority w:val="61"/>
    <w:rsid w:val="000676A1"/>
    <w:pPr>
      <w:spacing w:after="0" w:line="240" w:lineRule="auto"/>
    </w:pPr>
    <w:rPr>
      <w:lang w:val="fr-CA"/>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eclaire114">
    <w:name w:val="Liste claire114"/>
    <w:basedOn w:val="TableauNormal"/>
    <w:uiPriority w:val="61"/>
    <w:rsid w:val="000676A1"/>
    <w:pPr>
      <w:spacing w:after="0" w:line="240" w:lineRule="auto"/>
    </w:pPr>
    <w:rPr>
      <w:rFonts w:eastAsia="Times New Roman"/>
      <w:lang w:val="fr-CA" w:eastAsia="fr-FR"/>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eclaire-Accent66">
    <w:name w:val="Liste claire - Accent 66"/>
    <w:basedOn w:val="TableauNormal"/>
    <w:next w:val="Listeclaire-Accent6"/>
    <w:uiPriority w:val="61"/>
    <w:semiHidden/>
    <w:unhideWhenUsed/>
    <w:rsid w:val="000676A1"/>
    <w:pPr>
      <w:spacing w:after="0" w:line="240" w:lineRule="auto"/>
    </w:pPr>
    <w:rPr>
      <w14:ligatures w14:val="standardContextual"/>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Listeclaire5">
    <w:name w:val="Liste claire5"/>
    <w:basedOn w:val="TableauNormal"/>
    <w:next w:val="Listeclaire"/>
    <w:uiPriority w:val="61"/>
    <w:semiHidden/>
    <w:unhideWhenUsed/>
    <w:rsid w:val="000676A1"/>
    <w:pPr>
      <w:spacing w:after="0" w:line="240" w:lineRule="auto"/>
    </w:pPr>
    <w:rPr>
      <w14:ligatures w14:val="standardContextu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lang-en">
    <w:name w:val="lang-en"/>
    <w:basedOn w:val="Policepardfaut"/>
    <w:rsid w:val="000676A1"/>
  </w:style>
  <w:style w:type="paragraph" w:customStyle="1" w:styleId="Listebullet-dernier">
    <w:name w:val="Liste bullet - dernier"/>
    <w:basedOn w:val="Normal"/>
    <w:rsid w:val="000676A1"/>
    <w:pPr>
      <w:numPr>
        <w:numId w:val="275"/>
      </w:numPr>
      <w:tabs>
        <w:tab w:val="num" w:pos="360"/>
      </w:tabs>
      <w:spacing w:after="120" w:line="240" w:lineRule="auto"/>
      <w:ind w:left="0" w:firstLine="0"/>
      <w:jc w:val="both"/>
    </w:pPr>
    <w:rPr>
      <w:rFonts w:ascii="Arial" w:eastAsia="Times New Roman" w:hAnsi="Arial"/>
      <w:sz w:val="20"/>
      <w:szCs w:val="20"/>
      <w14:ligatures w14:val="standardContextual"/>
    </w:rPr>
  </w:style>
  <w:style w:type="table" w:customStyle="1" w:styleId="TableNormal7">
    <w:name w:val="Table Normal7"/>
    <w:uiPriority w:val="2"/>
    <w:semiHidden/>
    <w:unhideWhenUsed/>
    <w:qFormat/>
    <w:rsid w:val="00DB046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CEPA1">
    <w:name w:val="Table Grid CEPA1"/>
    <w:basedOn w:val="TableauNormal"/>
    <w:next w:val="Grilledutableau"/>
    <w:uiPriority w:val="39"/>
    <w:qFormat/>
    <w:rsid w:val="00B3058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2">
    <w:name w:val="Mention non résolue12"/>
    <w:basedOn w:val="Policepardfaut"/>
    <w:uiPriority w:val="99"/>
    <w:unhideWhenUsed/>
    <w:rsid w:val="00BC123A"/>
    <w:rPr>
      <w:color w:val="605E5C"/>
      <w:shd w:val="clear" w:color="auto" w:fill="E1DFDD"/>
    </w:rPr>
  </w:style>
  <w:style w:type="character" w:customStyle="1" w:styleId="Mentionnonrsolue13">
    <w:name w:val="Mention non résolue13"/>
    <w:basedOn w:val="Policepardfaut"/>
    <w:uiPriority w:val="99"/>
    <w:semiHidden/>
    <w:unhideWhenUsed/>
    <w:rsid w:val="00A717AA"/>
    <w:rPr>
      <w:color w:val="605E5C"/>
      <w:shd w:val="clear" w:color="auto" w:fill="E1DFDD"/>
    </w:rPr>
  </w:style>
  <w:style w:type="character" w:styleId="Mentionnonrsolue">
    <w:name w:val="Unresolved Mention"/>
    <w:basedOn w:val="Policepardfaut"/>
    <w:uiPriority w:val="99"/>
    <w:semiHidden/>
    <w:unhideWhenUsed/>
    <w:rsid w:val="00812A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74363">
      <w:bodyDiv w:val="1"/>
      <w:marLeft w:val="0"/>
      <w:marRight w:val="0"/>
      <w:marTop w:val="0"/>
      <w:marBottom w:val="0"/>
      <w:divBdr>
        <w:top w:val="none" w:sz="0" w:space="0" w:color="auto"/>
        <w:left w:val="none" w:sz="0" w:space="0" w:color="auto"/>
        <w:bottom w:val="none" w:sz="0" w:space="0" w:color="auto"/>
        <w:right w:val="none" w:sz="0" w:space="0" w:color="auto"/>
      </w:divBdr>
    </w:div>
    <w:div w:id="136722533">
      <w:bodyDiv w:val="1"/>
      <w:marLeft w:val="0"/>
      <w:marRight w:val="0"/>
      <w:marTop w:val="0"/>
      <w:marBottom w:val="0"/>
      <w:divBdr>
        <w:top w:val="none" w:sz="0" w:space="0" w:color="auto"/>
        <w:left w:val="none" w:sz="0" w:space="0" w:color="auto"/>
        <w:bottom w:val="none" w:sz="0" w:space="0" w:color="auto"/>
        <w:right w:val="none" w:sz="0" w:space="0" w:color="auto"/>
      </w:divBdr>
    </w:div>
    <w:div w:id="238905930">
      <w:bodyDiv w:val="1"/>
      <w:marLeft w:val="0"/>
      <w:marRight w:val="0"/>
      <w:marTop w:val="0"/>
      <w:marBottom w:val="0"/>
      <w:divBdr>
        <w:top w:val="none" w:sz="0" w:space="0" w:color="auto"/>
        <w:left w:val="none" w:sz="0" w:space="0" w:color="auto"/>
        <w:bottom w:val="none" w:sz="0" w:space="0" w:color="auto"/>
        <w:right w:val="none" w:sz="0" w:space="0" w:color="auto"/>
      </w:divBdr>
    </w:div>
    <w:div w:id="728302553">
      <w:bodyDiv w:val="1"/>
      <w:marLeft w:val="0"/>
      <w:marRight w:val="0"/>
      <w:marTop w:val="0"/>
      <w:marBottom w:val="0"/>
      <w:divBdr>
        <w:top w:val="none" w:sz="0" w:space="0" w:color="auto"/>
        <w:left w:val="none" w:sz="0" w:space="0" w:color="auto"/>
        <w:bottom w:val="none" w:sz="0" w:space="0" w:color="auto"/>
        <w:right w:val="none" w:sz="0" w:space="0" w:color="auto"/>
      </w:divBdr>
      <w:divsChild>
        <w:div w:id="309094805">
          <w:marLeft w:val="0"/>
          <w:marRight w:val="0"/>
          <w:marTop w:val="0"/>
          <w:marBottom w:val="0"/>
          <w:divBdr>
            <w:top w:val="none" w:sz="0" w:space="0" w:color="auto"/>
            <w:left w:val="none" w:sz="0" w:space="0" w:color="auto"/>
            <w:bottom w:val="none" w:sz="0" w:space="0" w:color="auto"/>
            <w:right w:val="none" w:sz="0" w:space="0" w:color="auto"/>
          </w:divBdr>
        </w:div>
        <w:div w:id="423841071">
          <w:marLeft w:val="0"/>
          <w:marRight w:val="0"/>
          <w:marTop w:val="0"/>
          <w:marBottom w:val="0"/>
          <w:divBdr>
            <w:top w:val="none" w:sz="0" w:space="0" w:color="auto"/>
            <w:left w:val="none" w:sz="0" w:space="0" w:color="auto"/>
            <w:bottom w:val="none" w:sz="0" w:space="0" w:color="auto"/>
            <w:right w:val="none" w:sz="0" w:space="0" w:color="auto"/>
          </w:divBdr>
        </w:div>
        <w:div w:id="478571405">
          <w:marLeft w:val="0"/>
          <w:marRight w:val="0"/>
          <w:marTop w:val="0"/>
          <w:marBottom w:val="0"/>
          <w:divBdr>
            <w:top w:val="none" w:sz="0" w:space="0" w:color="auto"/>
            <w:left w:val="none" w:sz="0" w:space="0" w:color="auto"/>
            <w:bottom w:val="none" w:sz="0" w:space="0" w:color="auto"/>
            <w:right w:val="none" w:sz="0" w:space="0" w:color="auto"/>
          </w:divBdr>
        </w:div>
        <w:div w:id="489491428">
          <w:marLeft w:val="0"/>
          <w:marRight w:val="0"/>
          <w:marTop w:val="0"/>
          <w:marBottom w:val="0"/>
          <w:divBdr>
            <w:top w:val="none" w:sz="0" w:space="0" w:color="auto"/>
            <w:left w:val="none" w:sz="0" w:space="0" w:color="auto"/>
            <w:bottom w:val="none" w:sz="0" w:space="0" w:color="auto"/>
            <w:right w:val="none" w:sz="0" w:space="0" w:color="auto"/>
          </w:divBdr>
        </w:div>
        <w:div w:id="771974525">
          <w:marLeft w:val="0"/>
          <w:marRight w:val="0"/>
          <w:marTop w:val="0"/>
          <w:marBottom w:val="0"/>
          <w:divBdr>
            <w:top w:val="none" w:sz="0" w:space="0" w:color="auto"/>
            <w:left w:val="none" w:sz="0" w:space="0" w:color="auto"/>
            <w:bottom w:val="none" w:sz="0" w:space="0" w:color="auto"/>
            <w:right w:val="none" w:sz="0" w:space="0" w:color="auto"/>
          </w:divBdr>
        </w:div>
        <w:div w:id="864294744">
          <w:marLeft w:val="0"/>
          <w:marRight w:val="0"/>
          <w:marTop w:val="0"/>
          <w:marBottom w:val="0"/>
          <w:divBdr>
            <w:top w:val="none" w:sz="0" w:space="0" w:color="auto"/>
            <w:left w:val="none" w:sz="0" w:space="0" w:color="auto"/>
            <w:bottom w:val="none" w:sz="0" w:space="0" w:color="auto"/>
            <w:right w:val="none" w:sz="0" w:space="0" w:color="auto"/>
          </w:divBdr>
        </w:div>
      </w:divsChild>
    </w:div>
    <w:div w:id="887227712">
      <w:bodyDiv w:val="1"/>
      <w:marLeft w:val="0"/>
      <w:marRight w:val="0"/>
      <w:marTop w:val="0"/>
      <w:marBottom w:val="0"/>
      <w:divBdr>
        <w:top w:val="none" w:sz="0" w:space="0" w:color="auto"/>
        <w:left w:val="none" w:sz="0" w:space="0" w:color="auto"/>
        <w:bottom w:val="none" w:sz="0" w:space="0" w:color="auto"/>
        <w:right w:val="none" w:sz="0" w:space="0" w:color="auto"/>
      </w:divBdr>
    </w:div>
    <w:div w:id="107859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fr.wikipedia.org/wiki/Non-m%C3%A9tal" TargetMode="External"/><Relationship Id="rId21" Type="http://schemas.openxmlformats.org/officeDocument/2006/relationships/image" Target="media/image11.png"/><Relationship Id="rId42" Type="http://schemas.openxmlformats.org/officeDocument/2006/relationships/image" Target="media/image32.jpeg"/><Relationship Id="rId63" Type="http://schemas.openxmlformats.org/officeDocument/2006/relationships/image" Target="media/image53.jpeg"/><Relationship Id="rId84" Type="http://schemas.openxmlformats.org/officeDocument/2006/relationships/image" Target="media/image74.jpeg"/><Relationship Id="rId138" Type="http://schemas.openxmlformats.org/officeDocument/2006/relationships/header" Target="header1.xml"/><Relationship Id="rId159" Type="http://schemas.openxmlformats.org/officeDocument/2006/relationships/image" Target="media/image107.jpeg"/><Relationship Id="rId107" Type="http://schemas.openxmlformats.org/officeDocument/2006/relationships/chart" Target="charts/chart2.xml"/><Relationship Id="rId11" Type="http://schemas.openxmlformats.org/officeDocument/2006/relationships/image" Target="media/image5.jpeg"/><Relationship Id="rId32" Type="http://schemas.openxmlformats.org/officeDocument/2006/relationships/image" Target="media/image22.jpeg"/><Relationship Id="rId53" Type="http://schemas.openxmlformats.org/officeDocument/2006/relationships/image" Target="media/image43.jpeg"/><Relationship Id="rId74" Type="http://schemas.openxmlformats.org/officeDocument/2006/relationships/image" Target="media/image64.jpeg"/><Relationship Id="rId128" Type="http://schemas.openxmlformats.org/officeDocument/2006/relationships/hyperlink" Target="http://fr.wikipedia.org/wiki/Carbure_de_calcium" TargetMode="External"/><Relationship Id="rId149" Type="http://schemas.openxmlformats.org/officeDocument/2006/relationships/footer" Target="footer16.xml"/><Relationship Id="rId5" Type="http://schemas.openxmlformats.org/officeDocument/2006/relationships/webSettings" Target="webSettings.xml"/><Relationship Id="rId95" Type="http://schemas.openxmlformats.org/officeDocument/2006/relationships/image" Target="media/image85.jpeg"/><Relationship Id="rId160" Type="http://schemas.openxmlformats.org/officeDocument/2006/relationships/image" Target="media/image107.jpg"/><Relationship Id="rId22" Type="http://schemas.openxmlformats.org/officeDocument/2006/relationships/image" Target="media/image12.jpeg"/><Relationship Id="rId43" Type="http://schemas.openxmlformats.org/officeDocument/2006/relationships/image" Target="media/image33.jpeg"/><Relationship Id="rId64" Type="http://schemas.openxmlformats.org/officeDocument/2006/relationships/image" Target="media/image54.jpeg"/><Relationship Id="rId118" Type="http://schemas.openxmlformats.org/officeDocument/2006/relationships/hyperlink" Target="http://fr.wikipedia.org/wiki/Compos%C3%A9_chimique" TargetMode="External"/><Relationship Id="rId139" Type="http://schemas.openxmlformats.org/officeDocument/2006/relationships/header" Target="header2.xml"/><Relationship Id="rId85" Type="http://schemas.openxmlformats.org/officeDocument/2006/relationships/image" Target="media/image75.jpeg"/><Relationship Id="rId150" Type="http://schemas.openxmlformats.org/officeDocument/2006/relationships/footer" Target="footer17.xml"/><Relationship Id="rId12" Type="http://schemas.openxmlformats.org/officeDocument/2006/relationships/image" Target="media/image6.jpeg"/><Relationship Id="rId17" Type="http://schemas.openxmlformats.org/officeDocument/2006/relationships/image" Target="media/image10.png"/><Relationship Id="rId33" Type="http://schemas.openxmlformats.org/officeDocument/2006/relationships/image" Target="media/image23.jpeg"/><Relationship Id="rId38" Type="http://schemas.openxmlformats.org/officeDocument/2006/relationships/image" Target="media/image28.jpeg"/><Relationship Id="rId59" Type="http://schemas.openxmlformats.org/officeDocument/2006/relationships/image" Target="media/image49.jpeg"/><Relationship Id="rId103" Type="http://schemas.openxmlformats.org/officeDocument/2006/relationships/image" Target="media/image93.png"/><Relationship Id="rId108" Type="http://schemas.openxmlformats.org/officeDocument/2006/relationships/chart" Target="charts/chart3.xml"/><Relationship Id="rId124" Type="http://schemas.openxmlformats.org/officeDocument/2006/relationships/hyperlink" Target="http://fr.wikipedia.org/wiki/Carbone" TargetMode="External"/><Relationship Id="rId129" Type="http://schemas.openxmlformats.org/officeDocument/2006/relationships/footer" Target="footer5.xml"/><Relationship Id="rId54" Type="http://schemas.openxmlformats.org/officeDocument/2006/relationships/image" Target="media/image44.jpeg"/><Relationship Id="rId70" Type="http://schemas.openxmlformats.org/officeDocument/2006/relationships/image" Target="media/image60.jpeg"/><Relationship Id="rId75" Type="http://schemas.openxmlformats.org/officeDocument/2006/relationships/image" Target="media/image65.jpeg"/><Relationship Id="rId91" Type="http://schemas.openxmlformats.org/officeDocument/2006/relationships/image" Target="media/image81.jpeg"/><Relationship Id="rId96" Type="http://schemas.openxmlformats.org/officeDocument/2006/relationships/image" Target="media/image86.jpeg"/><Relationship Id="rId140" Type="http://schemas.openxmlformats.org/officeDocument/2006/relationships/footer" Target="footer8.xml"/><Relationship Id="rId145" Type="http://schemas.openxmlformats.org/officeDocument/2006/relationships/footer" Target="footer12.xml"/><Relationship Id="rId161" Type="http://schemas.openxmlformats.org/officeDocument/2006/relationships/image" Target="media/image109.jpeg"/><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jpeg"/><Relationship Id="rId28" Type="http://schemas.openxmlformats.org/officeDocument/2006/relationships/image" Target="media/image18.jpeg"/><Relationship Id="rId49" Type="http://schemas.openxmlformats.org/officeDocument/2006/relationships/image" Target="media/image39.jpeg"/><Relationship Id="rId114" Type="http://schemas.openxmlformats.org/officeDocument/2006/relationships/hyperlink" Target="http://fr.wikipedia.org/wiki/%C3%89l%C3%A9ment_chimique" TargetMode="External"/><Relationship Id="rId119" Type="http://schemas.openxmlformats.org/officeDocument/2006/relationships/hyperlink" Target="http://fr.wikipedia.org/wiki/Oxyde" TargetMode="External"/><Relationship Id="rId44" Type="http://schemas.openxmlformats.org/officeDocument/2006/relationships/image" Target="media/image34.jpeg"/><Relationship Id="rId60" Type="http://schemas.openxmlformats.org/officeDocument/2006/relationships/image" Target="media/image50.jpeg"/><Relationship Id="rId65" Type="http://schemas.openxmlformats.org/officeDocument/2006/relationships/image" Target="media/image55.jpeg"/><Relationship Id="rId81" Type="http://schemas.openxmlformats.org/officeDocument/2006/relationships/image" Target="media/image71.jpeg"/><Relationship Id="rId86" Type="http://schemas.openxmlformats.org/officeDocument/2006/relationships/image" Target="media/image76.jpeg"/><Relationship Id="rId130" Type="http://schemas.openxmlformats.org/officeDocument/2006/relationships/footer" Target="footer6.xml"/><Relationship Id="rId135" Type="http://schemas.openxmlformats.org/officeDocument/2006/relationships/image" Target="media/image101.jpeg"/><Relationship Id="rId151" Type="http://schemas.openxmlformats.org/officeDocument/2006/relationships/footer" Target="footer18.xml"/><Relationship Id="rId156" Type="http://schemas.openxmlformats.org/officeDocument/2006/relationships/image" Target="media/image104.emf"/><Relationship Id="rId13" Type="http://schemas.openxmlformats.org/officeDocument/2006/relationships/image" Target="media/image7.jpeg"/><Relationship Id="rId18" Type="http://schemas.openxmlformats.org/officeDocument/2006/relationships/footer" Target="footer2.xml"/><Relationship Id="rId39" Type="http://schemas.openxmlformats.org/officeDocument/2006/relationships/image" Target="media/image29.jpeg"/><Relationship Id="rId109" Type="http://schemas.openxmlformats.org/officeDocument/2006/relationships/chart" Target="charts/chart4.xml"/><Relationship Id="rId34" Type="http://schemas.openxmlformats.org/officeDocument/2006/relationships/image" Target="media/image24.jpeg"/><Relationship Id="rId50" Type="http://schemas.openxmlformats.org/officeDocument/2006/relationships/image" Target="media/image40.jpeg"/><Relationship Id="rId55" Type="http://schemas.openxmlformats.org/officeDocument/2006/relationships/image" Target="media/image45.jpeg"/><Relationship Id="rId76" Type="http://schemas.openxmlformats.org/officeDocument/2006/relationships/image" Target="media/image66.jpeg"/><Relationship Id="rId97" Type="http://schemas.openxmlformats.org/officeDocument/2006/relationships/image" Target="media/image87.jpeg"/><Relationship Id="rId104" Type="http://schemas.openxmlformats.org/officeDocument/2006/relationships/image" Target="media/image94.jpeg"/><Relationship Id="rId120" Type="http://schemas.openxmlformats.org/officeDocument/2006/relationships/hyperlink" Target="http://fr.wikipedia.org/wiki/Compos%C3%A9_chimique" TargetMode="External"/><Relationship Id="rId125" Type="http://schemas.openxmlformats.org/officeDocument/2006/relationships/hyperlink" Target="http://fr.wikipedia.org/wiki/Hydrog%C3%A8ne" TargetMode="External"/><Relationship Id="rId141" Type="http://schemas.openxmlformats.org/officeDocument/2006/relationships/footer" Target="footer9.xml"/><Relationship Id="rId146" Type="http://schemas.openxmlformats.org/officeDocument/2006/relationships/footer" Target="footer13.xml"/><Relationship Id="rId7" Type="http://schemas.openxmlformats.org/officeDocument/2006/relationships/endnotes" Target="endnotes.xml"/><Relationship Id="rId71" Type="http://schemas.openxmlformats.org/officeDocument/2006/relationships/image" Target="media/image61.jpeg"/><Relationship Id="rId92" Type="http://schemas.openxmlformats.org/officeDocument/2006/relationships/image" Target="media/image82.jpeg"/><Relationship Id="rId162" Type="http://schemas.openxmlformats.org/officeDocument/2006/relationships/footer" Target="footer23.xml"/><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image" Target="media/image56.jpeg"/><Relationship Id="rId87" Type="http://schemas.openxmlformats.org/officeDocument/2006/relationships/image" Target="media/image77.jpeg"/><Relationship Id="rId110" Type="http://schemas.openxmlformats.org/officeDocument/2006/relationships/chart" Target="charts/chart5.xml"/><Relationship Id="rId115" Type="http://schemas.openxmlformats.org/officeDocument/2006/relationships/hyperlink" Target="http://fr.wikipedia.org/wiki/Liste_des_%C3%A9l%C3%A9ments_par_symbole" TargetMode="External"/><Relationship Id="rId131" Type="http://schemas.openxmlformats.org/officeDocument/2006/relationships/footer" Target="footer7.xml"/><Relationship Id="rId136" Type="http://schemas.openxmlformats.org/officeDocument/2006/relationships/image" Target="media/image102.png"/><Relationship Id="rId157" Type="http://schemas.openxmlformats.org/officeDocument/2006/relationships/image" Target="media/image105.jpg"/><Relationship Id="rId61" Type="http://schemas.openxmlformats.org/officeDocument/2006/relationships/image" Target="media/image51.jpeg"/><Relationship Id="rId82" Type="http://schemas.openxmlformats.org/officeDocument/2006/relationships/image" Target="media/image72.jpeg"/><Relationship Id="rId152" Type="http://schemas.openxmlformats.org/officeDocument/2006/relationships/footer" Target="footer19.xml"/><Relationship Id="rId19" Type="http://schemas.openxmlformats.org/officeDocument/2006/relationships/footer" Target="footer3.xml"/><Relationship Id="rId14" Type="http://schemas.openxmlformats.org/officeDocument/2006/relationships/image" Target="media/image8.png"/><Relationship Id="rId30" Type="http://schemas.openxmlformats.org/officeDocument/2006/relationships/image" Target="media/image20.jpeg"/><Relationship Id="rId35" Type="http://schemas.openxmlformats.org/officeDocument/2006/relationships/image" Target="media/image25.jpeg"/><Relationship Id="rId56" Type="http://schemas.openxmlformats.org/officeDocument/2006/relationships/image" Target="media/image46.jpeg"/><Relationship Id="rId77" Type="http://schemas.openxmlformats.org/officeDocument/2006/relationships/image" Target="media/image67.jpeg"/><Relationship Id="rId100" Type="http://schemas.openxmlformats.org/officeDocument/2006/relationships/image" Target="media/image90.jpeg"/><Relationship Id="rId105" Type="http://schemas.openxmlformats.org/officeDocument/2006/relationships/image" Target="media/image95.png"/><Relationship Id="rId126" Type="http://schemas.openxmlformats.org/officeDocument/2006/relationships/hyperlink" Target="http://fr.wikipedia.org/wiki/Gaz" TargetMode="External"/><Relationship Id="rId147" Type="http://schemas.openxmlformats.org/officeDocument/2006/relationships/footer" Target="footer14.xml"/><Relationship Id="rId8" Type="http://schemas.openxmlformats.org/officeDocument/2006/relationships/image" Target="media/image2.emf"/><Relationship Id="rId51" Type="http://schemas.openxmlformats.org/officeDocument/2006/relationships/image" Target="media/image41.jpeg"/><Relationship Id="rId72" Type="http://schemas.openxmlformats.org/officeDocument/2006/relationships/image" Target="media/image62.jpeg"/><Relationship Id="rId93" Type="http://schemas.openxmlformats.org/officeDocument/2006/relationships/image" Target="media/image83.jpeg"/><Relationship Id="rId98" Type="http://schemas.openxmlformats.org/officeDocument/2006/relationships/image" Target="media/image88.jpeg"/><Relationship Id="rId121" Type="http://schemas.openxmlformats.org/officeDocument/2006/relationships/hyperlink" Target="http://fr.wikipedia.org/wiki/Hydrocarbure" TargetMode="External"/><Relationship Id="rId142" Type="http://schemas.openxmlformats.org/officeDocument/2006/relationships/header" Target="header3.xml"/><Relationship Id="rId163" Type="http://schemas.openxmlformats.org/officeDocument/2006/relationships/footer" Target="footer24.xml"/><Relationship Id="rId3" Type="http://schemas.openxmlformats.org/officeDocument/2006/relationships/styles" Target="styles.xml"/><Relationship Id="rId25" Type="http://schemas.openxmlformats.org/officeDocument/2006/relationships/image" Target="media/image15.jpeg"/><Relationship Id="rId46" Type="http://schemas.openxmlformats.org/officeDocument/2006/relationships/image" Target="media/image36.jpeg"/><Relationship Id="rId67" Type="http://schemas.openxmlformats.org/officeDocument/2006/relationships/image" Target="media/image57.jpeg"/><Relationship Id="rId116" Type="http://schemas.openxmlformats.org/officeDocument/2006/relationships/hyperlink" Target="http://fr.wikipedia.org/wiki/Num%C3%A9ro_atomique" TargetMode="External"/><Relationship Id="rId137" Type="http://schemas.openxmlformats.org/officeDocument/2006/relationships/image" Target="media/image103.jpeg"/><Relationship Id="rId158" Type="http://schemas.openxmlformats.org/officeDocument/2006/relationships/image" Target="media/image106.jpg"/><Relationship Id="rId20" Type="http://schemas.openxmlformats.org/officeDocument/2006/relationships/footer" Target="footer4.xml"/><Relationship Id="rId41" Type="http://schemas.openxmlformats.org/officeDocument/2006/relationships/image" Target="media/image31.jpeg"/><Relationship Id="rId62" Type="http://schemas.openxmlformats.org/officeDocument/2006/relationships/image" Target="media/image52.jpeg"/><Relationship Id="rId83" Type="http://schemas.openxmlformats.org/officeDocument/2006/relationships/image" Target="media/image73.jpeg"/><Relationship Id="rId88" Type="http://schemas.openxmlformats.org/officeDocument/2006/relationships/image" Target="media/image78.jpeg"/><Relationship Id="rId111" Type="http://schemas.openxmlformats.org/officeDocument/2006/relationships/chart" Target="charts/chart6.xml"/><Relationship Id="rId132" Type="http://schemas.openxmlformats.org/officeDocument/2006/relationships/image" Target="media/image98.png"/><Relationship Id="rId153" Type="http://schemas.openxmlformats.org/officeDocument/2006/relationships/footer" Target="footer20.xml"/><Relationship Id="rId15" Type="http://schemas.openxmlformats.org/officeDocument/2006/relationships/footer" Target="footer1.xml"/><Relationship Id="rId36" Type="http://schemas.openxmlformats.org/officeDocument/2006/relationships/image" Target="media/image26.jpeg"/><Relationship Id="rId57" Type="http://schemas.openxmlformats.org/officeDocument/2006/relationships/image" Target="media/image47.jpeg"/><Relationship Id="rId106" Type="http://schemas.openxmlformats.org/officeDocument/2006/relationships/chart" Target="charts/chart1.xml"/><Relationship Id="rId127" Type="http://schemas.openxmlformats.org/officeDocument/2006/relationships/hyperlink" Target="http://fr.wikipedia.org/wiki/Phosphine" TargetMode="External"/><Relationship Id="rId10" Type="http://schemas.openxmlformats.org/officeDocument/2006/relationships/image" Target="media/image4.jpeg"/><Relationship Id="rId31" Type="http://schemas.openxmlformats.org/officeDocument/2006/relationships/image" Target="media/image21.jpeg"/><Relationship Id="rId52" Type="http://schemas.openxmlformats.org/officeDocument/2006/relationships/image" Target="media/image42.jpeg"/><Relationship Id="rId73" Type="http://schemas.openxmlformats.org/officeDocument/2006/relationships/image" Target="media/image63.jpeg"/><Relationship Id="rId78" Type="http://schemas.openxmlformats.org/officeDocument/2006/relationships/image" Target="media/image68.jpeg"/><Relationship Id="rId94" Type="http://schemas.openxmlformats.org/officeDocument/2006/relationships/image" Target="media/image84.jpeg"/><Relationship Id="rId99" Type="http://schemas.openxmlformats.org/officeDocument/2006/relationships/image" Target="media/image89.jpeg"/><Relationship Id="rId101" Type="http://schemas.openxmlformats.org/officeDocument/2006/relationships/image" Target="media/image91.png"/><Relationship Id="rId122" Type="http://schemas.openxmlformats.org/officeDocument/2006/relationships/hyperlink" Target="http://fr.wikipedia.org/wiki/Alcyne" TargetMode="External"/><Relationship Id="rId143" Type="http://schemas.openxmlformats.org/officeDocument/2006/relationships/footer" Target="footer10.xml"/><Relationship Id="rId148" Type="http://schemas.openxmlformats.org/officeDocument/2006/relationships/footer" Target="footer15.xml"/><Relationship Id="rId164" Type="http://schemas.openxmlformats.org/officeDocument/2006/relationships/footer" Target="footer25.xml"/><Relationship Id="rId4" Type="http://schemas.openxmlformats.org/officeDocument/2006/relationships/settings" Target="settings.xml"/><Relationship Id="rId9" Type="http://schemas.openxmlformats.org/officeDocument/2006/relationships/image" Target="media/image3.png"/><Relationship Id="rId26" Type="http://schemas.openxmlformats.org/officeDocument/2006/relationships/image" Target="media/image16.jpeg"/><Relationship Id="rId47" Type="http://schemas.openxmlformats.org/officeDocument/2006/relationships/image" Target="media/image37.jpeg"/><Relationship Id="rId68" Type="http://schemas.openxmlformats.org/officeDocument/2006/relationships/image" Target="media/image58.jpeg"/><Relationship Id="rId89" Type="http://schemas.openxmlformats.org/officeDocument/2006/relationships/image" Target="media/image79.jpeg"/><Relationship Id="rId112" Type="http://schemas.openxmlformats.org/officeDocument/2006/relationships/image" Target="media/image96.png"/><Relationship Id="rId133" Type="http://schemas.openxmlformats.org/officeDocument/2006/relationships/image" Target="media/image99.png"/><Relationship Id="rId154" Type="http://schemas.openxmlformats.org/officeDocument/2006/relationships/footer" Target="footer21.xml"/><Relationship Id="rId16" Type="http://schemas.openxmlformats.org/officeDocument/2006/relationships/image" Target="media/image9.png"/><Relationship Id="rId37" Type="http://schemas.openxmlformats.org/officeDocument/2006/relationships/image" Target="media/image27.jpeg"/><Relationship Id="rId58" Type="http://schemas.openxmlformats.org/officeDocument/2006/relationships/image" Target="media/image48.jpeg"/><Relationship Id="rId79" Type="http://schemas.openxmlformats.org/officeDocument/2006/relationships/image" Target="media/image69.jpeg"/><Relationship Id="rId102" Type="http://schemas.openxmlformats.org/officeDocument/2006/relationships/image" Target="media/image92.jpeg"/><Relationship Id="rId123" Type="http://schemas.openxmlformats.org/officeDocument/2006/relationships/hyperlink" Target="http://fr.wikipedia.org/wiki/Formule_brute" TargetMode="External"/><Relationship Id="rId144" Type="http://schemas.openxmlformats.org/officeDocument/2006/relationships/footer" Target="footer11.xml"/><Relationship Id="rId90" Type="http://schemas.openxmlformats.org/officeDocument/2006/relationships/image" Target="media/image80.jpeg"/><Relationship Id="rId165" Type="http://schemas.openxmlformats.org/officeDocument/2006/relationships/fontTable" Target="fontTable.xml"/><Relationship Id="rId27" Type="http://schemas.openxmlformats.org/officeDocument/2006/relationships/image" Target="media/image17.jpeg"/><Relationship Id="rId48" Type="http://schemas.openxmlformats.org/officeDocument/2006/relationships/image" Target="media/image38.jpeg"/><Relationship Id="rId69" Type="http://schemas.openxmlformats.org/officeDocument/2006/relationships/image" Target="media/image59.jpeg"/><Relationship Id="rId113" Type="http://schemas.openxmlformats.org/officeDocument/2006/relationships/image" Target="media/image97.png"/><Relationship Id="rId134" Type="http://schemas.openxmlformats.org/officeDocument/2006/relationships/image" Target="media/image100.png"/><Relationship Id="rId80" Type="http://schemas.openxmlformats.org/officeDocument/2006/relationships/image" Target="media/image70.jpeg"/><Relationship Id="rId155" Type="http://schemas.openxmlformats.org/officeDocument/2006/relationships/footer" Target="footer22.xml"/></Relationships>
</file>

<file path=word/_rels/footnotes.xml.rels><?xml version="1.0" encoding="UTF-8" standalone="yes"?>
<Relationships xmlns="http://schemas.openxmlformats.org/package/2006/relationships"><Relationship Id="rId1" Type="http://schemas.openxmlformats.org/officeDocument/2006/relationships/hyperlink" Target="https://www.ifc.org/wps/wcm/connect/topics_ext_content/ifc_external_corporate_site/sustainability-at-ifc/policies-standards/ehs-guideline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S%20Khadim%20TINE\Desktop\mbagnick\climato%20dakar%2091-2020.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S%20Khadim%20TINE\Desktop\mbagnick\climato%20dakar%2091-2020.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S%20Khadim%20TINE\Desktop\mbagnick\climato%20dakar%2091-2020.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S%20Khadim%20TINE\Desktop\mbagnick\climato%20dakar%2091-2020.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S%20Khadim%20TINE\Desktop\mbagnick\climato%20dakar%2091-2020.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S%20Khadim%20TINE\Desktop\mbagnick\climato%20dakar%2091-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914348206474197"/>
          <c:y val="0.13142752989209683"/>
          <c:w val="0.47679615048118984"/>
          <c:h val="0.7946602508019831"/>
        </c:manualLayout>
      </c:layout>
      <c:radarChart>
        <c:radarStyle val="marker"/>
        <c:varyColors val="0"/>
        <c:ser>
          <c:idx val="0"/>
          <c:order val="0"/>
          <c:tx>
            <c:strRef>
              <c:f>DD!$A$35</c:f>
              <c:strCache>
                <c:ptCount val="1"/>
                <c:pt idx="0">
                  <c:v>N</c:v>
                </c:pt>
              </c:strCache>
            </c:strRef>
          </c:tx>
          <c:spPr>
            <a:ln w="28575" cap="rnd">
              <a:solidFill>
                <a:schemeClr val="accent5"/>
              </a:solidFill>
              <a:round/>
            </a:ln>
            <a:effectLst/>
          </c:spPr>
          <c:marker>
            <c:symbol val="none"/>
          </c:marker>
          <c:cat>
            <c:strRef>
              <c:f>DD!$B$34:$M$34</c:f>
              <c:strCache>
                <c:ptCount val="12"/>
                <c:pt idx="0">
                  <c:v>Janvier</c:v>
                </c:pt>
                <c:pt idx="1">
                  <c:v>Février</c:v>
                </c:pt>
                <c:pt idx="2">
                  <c:v>Mars</c:v>
                </c:pt>
                <c:pt idx="3">
                  <c:v>Avril</c:v>
                </c:pt>
                <c:pt idx="4">
                  <c:v>Mai</c:v>
                </c:pt>
                <c:pt idx="5">
                  <c:v>Juin</c:v>
                </c:pt>
                <c:pt idx="6">
                  <c:v>Juillet</c:v>
                </c:pt>
                <c:pt idx="7">
                  <c:v>Août</c:v>
                </c:pt>
                <c:pt idx="8">
                  <c:v>Septembre</c:v>
                </c:pt>
                <c:pt idx="9">
                  <c:v>Octobre</c:v>
                </c:pt>
                <c:pt idx="10">
                  <c:v>Novembre</c:v>
                </c:pt>
                <c:pt idx="11">
                  <c:v>Décembre</c:v>
                </c:pt>
              </c:strCache>
            </c:strRef>
          </c:cat>
          <c:val>
            <c:numRef>
              <c:f>DD!$B$35:$M$35</c:f>
              <c:numCache>
                <c:formatCode>General</c:formatCode>
                <c:ptCount val="12"/>
                <c:pt idx="0">
                  <c:v>93.3</c:v>
                </c:pt>
                <c:pt idx="1">
                  <c:v>93.3</c:v>
                </c:pt>
                <c:pt idx="2">
                  <c:v>96.7</c:v>
                </c:pt>
                <c:pt idx="3">
                  <c:v>100</c:v>
                </c:pt>
                <c:pt idx="4">
                  <c:v>93.3</c:v>
                </c:pt>
                <c:pt idx="5">
                  <c:v>43.3</c:v>
                </c:pt>
                <c:pt idx="6">
                  <c:v>6.7</c:v>
                </c:pt>
                <c:pt idx="7">
                  <c:v>20</c:v>
                </c:pt>
                <c:pt idx="8">
                  <c:v>30</c:v>
                </c:pt>
                <c:pt idx="9">
                  <c:v>93.3</c:v>
                </c:pt>
                <c:pt idx="10">
                  <c:v>96.7</c:v>
                </c:pt>
                <c:pt idx="11">
                  <c:v>76.7</c:v>
                </c:pt>
              </c:numCache>
            </c:numRef>
          </c:val>
          <c:extLst>
            <c:ext xmlns:c16="http://schemas.microsoft.com/office/drawing/2014/chart" uri="{C3380CC4-5D6E-409C-BE32-E72D297353CC}">
              <c16:uniqueId val="{00000000-97F4-46B1-9A78-5EE27389E329}"/>
            </c:ext>
          </c:extLst>
        </c:ser>
        <c:ser>
          <c:idx val="1"/>
          <c:order val="1"/>
          <c:tx>
            <c:strRef>
              <c:f>DD!$A$36</c:f>
              <c:strCache>
                <c:ptCount val="1"/>
                <c:pt idx="0">
                  <c:v>NE</c:v>
                </c:pt>
              </c:strCache>
            </c:strRef>
          </c:tx>
          <c:spPr>
            <a:ln w="28575" cap="rnd">
              <a:solidFill>
                <a:srgbClr val="7030A0"/>
              </a:solidFill>
              <a:round/>
            </a:ln>
            <a:effectLst/>
          </c:spPr>
          <c:marker>
            <c:symbol val="none"/>
          </c:marker>
          <c:cat>
            <c:strRef>
              <c:f>DD!$B$34:$M$34</c:f>
              <c:strCache>
                <c:ptCount val="12"/>
                <c:pt idx="0">
                  <c:v>Janvier</c:v>
                </c:pt>
                <c:pt idx="1">
                  <c:v>Février</c:v>
                </c:pt>
                <c:pt idx="2">
                  <c:v>Mars</c:v>
                </c:pt>
                <c:pt idx="3">
                  <c:v>Avril</c:v>
                </c:pt>
                <c:pt idx="4">
                  <c:v>Mai</c:v>
                </c:pt>
                <c:pt idx="5">
                  <c:v>Juin</c:v>
                </c:pt>
                <c:pt idx="6">
                  <c:v>Juillet</c:v>
                </c:pt>
                <c:pt idx="7">
                  <c:v>Août</c:v>
                </c:pt>
                <c:pt idx="8">
                  <c:v>Septembre</c:v>
                </c:pt>
                <c:pt idx="9">
                  <c:v>Octobre</c:v>
                </c:pt>
                <c:pt idx="10">
                  <c:v>Novembre</c:v>
                </c:pt>
                <c:pt idx="11">
                  <c:v>Décembre</c:v>
                </c:pt>
              </c:strCache>
            </c:strRef>
          </c:cat>
          <c:val>
            <c:numRef>
              <c:f>DD!$B$36:$M$36</c:f>
              <c:numCache>
                <c:formatCode>General</c:formatCode>
                <c:ptCount val="12"/>
                <c:pt idx="0">
                  <c:v>6.7</c:v>
                </c:pt>
                <c:pt idx="1">
                  <c:v>6.7</c:v>
                </c:pt>
                <c:pt idx="2">
                  <c:v>3.3</c:v>
                </c:pt>
                <c:pt idx="3">
                  <c:v>0</c:v>
                </c:pt>
                <c:pt idx="4">
                  <c:v>0</c:v>
                </c:pt>
                <c:pt idx="5">
                  <c:v>0</c:v>
                </c:pt>
                <c:pt idx="6">
                  <c:v>0</c:v>
                </c:pt>
                <c:pt idx="7">
                  <c:v>0</c:v>
                </c:pt>
                <c:pt idx="8">
                  <c:v>0</c:v>
                </c:pt>
                <c:pt idx="9">
                  <c:v>0</c:v>
                </c:pt>
                <c:pt idx="10">
                  <c:v>3.3</c:v>
                </c:pt>
                <c:pt idx="11">
                  <c:v>20</c:v>
                </c:pt>
              </c:numCache>
            </c:numRef>
          </c:val>
          <c:extLst>
            <c:ext xmlns:c16="http://schemas.microsoft.com/office/drawing/2014/chart" uri="{C3380CC4-5D6E-409C-BE32-E72D297353CC}">
              <c16:uniqueId val="{00000001-97F4-46B1-9A78-5EE27389E329}"/>
            </c:ext>
          </c:extLst>
        </c:ser>
        <c:ser>
          <c:idx val="2"/>
          <c:order val="2"/>
          <c:tx>
            <c:strRef>
              <c:f>DD!$A$37</c:f>
              <c:strCache>
                <c:ptCount val="1"/>
                <c:pt idx="0">
                  <c:v>E</c:v>
                </c:pt>
              </c:strCache>
            </c:strRef>
          </c:tx>
          <c:spPr>
            <a:ln w="28575" cap="rnd">
              <a:solidFill>
                <a:schemeClr val="accent3"/>
              </a:solidFill>
              <a:round/>
            </a:ln>
            <a:effectLst/>
          </c:spPr>
          <c:marker>
            <c:symbol val="none"/>
          </c:marker>
          <c:cat>
            <c:strRef>
              <c:f>DD!$B$34:$M$34</c:f>
              <c:strCache>
                <c:ptCount val="12"/>
                <c:pt idx="0">
                  <c:v>Janvier</c:v>
                </c:pt>
                <c:pt idx="1">
                  <c:v>Février</c:v>
                </c:pt>
                <c:pt idx="2">
                  <c:v>Mars</c:v>
                </c:pt>
                <c:pt idx="3">
                  <c:v>Avril</c:v>
                </c:pt>
                <c:pt idx="4">
                  <c:v>Mai</c:v>
                </c:pt>
                <c:pt idx="5">
                  <c:v>Juin</c:v>
                </c:pt>
                <c:pt idx="6">
                  <c:v>Juillet</c:v>
                </c:pt>
                <c:pt idx="7">
                  <c:v>Août</c:v>
                </c:pt>
                <c:pt idx="8">
                  <c:v>Septembre</c:v>
                </c:pt>
                <c:pt idx="9">
                  <c:v>Octobre</c:v>
                </c:pt>
                <c:pt idx="10">
                  <c:v>Novembre</c:v>
                </c:pt>
                <c:pt idx="11">
                  <c:v>Décembre</c:v>
                </c:pt>
              </c:strCache>
            </c:strRef>
          </c:cat>
          <c:val>
            <c:numRef>
              <c:f>DD!$B$37:$M$37</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2-97F4-46B1-9A78-5EE27389E329}"/>
            </c:ext>
          </c:extLst>
        </c:ser>
        <c:ser>
          <c:idx val="3"/>
          <c:order val="3"/>
          <c:tx>
            <c:strRef>
              <c:f>DD!$A$38</c:f>
              <c:strCache>
                <c:ptCount val="1"/>
                <c:pt idx="0">
                  <c:v>SE</c:v>
                </c:pt>
              </c:strCache>
            </c:strRef>
          </c:tx>
          <c:spPr>
            <a:ln w="28575" cap="rnd">
              <a:solidFill>
                <a:schemeClr val="accent4">
                  <a:lumMod val="40000"/>
                  <a:lumOff val="60000"/>
                </a:schemeClr>
              </a:solidFill>
              <a:round/>
            </a:ln>
            <a:effectLst/>
          </c:spPr>
          <c:marker>
            <c:symbol val="none"/>
          </c:marker>
          <c:cat>
            <c:strRef>
              <c:f>DD!$B$34:$M$34</c:f>
              <c:strCache>
                <c:ptCount val="12"/>
                <c:pt idx="0">
                  <c:v>Janvier</c:v>
                </c:pt>
                <c:pt idx="1">
                  <c:v>Février</c:v>
                </c:pt>
                <c:pt idx="2">
                  <c:v>Mars</c:v>
                </c:pt>
                <c:pt idx="3">
                  <c:v>Avril</c:v>
                </c:pt>
                <c:pt idx="4">
                  <c:v>Mai</c:v>
                </c:pt>
                <c:pt idx="5">
                  <c:v>Juin</c:v>
                </c:pt>
                <c:pt idx="6">
                  <c:v>Juillet</c:v>
                </c:pt>
                <c:pt idx="7">
                  <c:v>Août</c:v>
                </c:pt>
                <c:pt idx="8">
                  <c:v>Septembre</c:v>
                </c:pt>
                <c:pt idx="9">
                  <c:v>Octobre</c:v>
                </c:pt>
                <c:pt idx="10">
                  <c:v>Novembre</c:v>
                </c:pt>
                <c:pt idx="11">
                  <c:v>Décembre</c:v>
                </c:pt>
              </c:strCache>
            </c:strRef>
          </c:cat>
          <c:val>
            <c:numRef>
              <c:f>DD!$B$38:$M$38</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3-97F4-46B1-9A78-5EE27389E329}"/>
            </c:ext>
          </c:extLst>
        </c:ser>
        <c:ser>
          <c:idx val="4"/>
          <c:order val="4"/>
          <c:tx>
            <c:strRef>
              <c:f>DD!$A$39</c:f>
              <c:strCache>
                <c:ptCount val="1"/>
                <c:pt idx="0">
                  <c:v>S</c:v>
                </c:pt>
              </c:strCache>
            </c:strRef>
          </c:tx>
          <c:spPr>
            <a:ln w="28575" cap="rnd">
              <a:solidFill>
                <a:srgbClr val="FF0000"/>
              </a:solidFill>
              <a:round/>
            </a:ln>
            <a:effectLst/>
          </c:spPr>
          <c:marker>
            <c:symbol val="none"/>
          </c:marker>
          <c:cat>
            <c:strRef>
              <c:f>DD!$B$34:$M$34</c:f>
              <c:strCache>
                <c:ptCount val="12"/>
                <c:pt idx="0">
                  <c:v>Janvier</c:v>
                </c:pt>
                <c:pt idx="1">
                  <c:v>Février</c:v>
                </c:pt>
                <c:pt idx="2">
                  <c:v>Mars</c:v>
                </c:pt>
                <c:pt idx="3">
                  <c:v>Avril</c:v>
                </c:pt>
                <c:pt idx="4">
                  <c:v>Mai</c:v>
                </c:pt>
                <c:pt idx="5">
                  <c:v>Juin</c:v>
                </c:pt>
                <c:pt idx="6">
                  <c:v>Juillet</c:v>
                </c:pt>
                <c:pt idx="7">
                  <c:v>Août</c:v>
                </c:pt>
                <c:pt idx="8">
                  <c:v>Septembre</c:v>
                </c:pt>
                <c:pt idx="9">
                  <c:v>Octobre</c:v>
                </c:pt>
                <c:pt idx="10">
                  <c:v>Novembre</c:v>
                </c:pt>
                <c:pt idx="11">
                  <c:v>Décembre</c:v>
                </c:pt>
              </c:strCache>
            </c:strRef>
          </c:cat>
          <c:val>
            <c:numRef>
              <c:f>DD!$B$39:$M$39</c:f>
              <c:numCache>
                <c:formatCode>General</c:formatCode>
                <c:ptCount val="12"/>
                <c:pt idx="0">
                  <c:v>0</c:v>
                </c:pt>
                <c:pt idx="1">
                  <c:v>0</c:v>
                </c:pt>
                <c:pt idx="2">
                  <c:v>0</c:v>
                </c:pt>
                <c:pt idx="3">
                  <c:v>0</c:v>
                </c:pt>
                <c:pt idx="4">
                  <c:v>0</c:v>
                </c:pt>
                <c:pt idx="5">
                  <c:v>0</c:v>
                </c:pt>
                <c:pt idx="6">
                  <c:v>0</c:v>
                </c:pt>
                <c:pt idx="7">
                  <c:v>0</c:v>
                </c:pt>
                <c:pt idx="8">
                  <c:v>3.3</c:v>
                </c:pt>
                <c:pt idx="9">
                  <c:v>0</c:v>
                </c:pt>
                <c:pt idx="10">
                  <c:v>0</c:v>
                </c:pt>
                <c:pt idx="11">
                  <c:v>0</c:v>
                </c:pt>
              </c:numCache>
            </c:numRef>
          </c:val>
          <c:extLst>
            <c:ext xmlns:c16="http://schemas.microsoft.com/office/drawing/2014/chart" uri="{C3380CC4-5D6E-409C-BE32-E72D297353CC}">
              <c16:uniqueId val="{00000004-97F4-46B1-9A78-5EE27389E329}"/>
            </c:ext>
          </c:extLst>
        </c:ser>
        <c:ser>
          <c:idx val="5"/>
          <c:order val="5"/>
          <c:tx>
            <c:strRef>
              <c:f>DD!$A$40</c:f>
              <c:strCache>
                <c:ptCount val="1"/>
                <c:pt idx="0">
                  <c:v>SO</c:v>
                </c:pt>
              </c:strCache>
            </c:strRef>
          </c:tx>
          <c:spPr>
            <a:ln w="28575" cap="rnd">
              <a:solidFill>
                <a:schemeClr val="accent6"/>
              </a:solidFill>
              <a:round/>
            </a:ln>
            <a:effectLst/>
          </c:spPr>
          <c:marker>
            <c:symbol val="none"/>
          </c:marker>
          <c:cat>
            <c:strRef>
              <c:f>DD!$B$34:$M$34</c:f>
              <c:strCache>
                <c:ptCount val="12"/>
                <c:pt idx="0">
                  <c:v>Janvier</c:v>
                </c:pt>
                <c:pt idx="1">
                  <c:v>Février</c:v>
                </c:pt>
                <c:pt idx="2">
                  <c:v>Mars</c:v>
                </c:pt>
                <c:pt idx="3">
                  <c:v>Avril</c:v>
                </c:pt>
                <c:pt idx="4">
                  <c:v>Mai</c:v>
                </c:pt>
                <c:pt idx="5">
                  <c:v>Juin</c:v>
                </c:pt>
                <c:pt idx="6">
                  <c:v>Juillet</c:v>
                </c:pt>
                <c:pt idx="7">
                  <c:v>Août</c:v>
                </c:pt>
                <c:pt idx="8">
                  <c:v>Septembre</c:v>
                </c:pt>
                <c:pt idx="9">
                  <c:v>Octobre</c:v>
                </c:pt>
                <c:pt idx="10">
                  <c:v>Novembre</c:v>
                </c:pt>
                <c:pt idx="11">
                  <c:v>Décembre</c:v>
                </c:pt>
              </c:strCache>
            </c:strRef>
          </c:cat>
          <c:val>
            <c:numRef>
              <c:f>DD!$B$40:$M$40</c:f>
              <c:numCache>
                <c:formatCode>General</c:formatCode>
                <c:ptCount val="12"/>
                <c:pt idx="0">
                  <c:v>0</c:v>
                </c:pt>
                <c:pt idx="1">
                  <c:v>0</c:v>
                </c:pt>
                <c:pt idx="2">
                  <c:v>0</c:v>
                </c:pt>
                <c:pt idx="3">
                  <c:v>0</c:v>
                </c:pt>
                <c:pt idx="4">
                  <c:v>0</c:v>
                </c:pt>
                <c:pt idx="5">
                  <c:v>0</c:v>
                </c:pt>
                <c:pt idx="6">
                  <c:v>0</c:v>
                </c:pt>
                <c:pt idx="7">
                  <c:v>6.7</c:v>
                </c:pt>
                <c:pt idx="8">
                  <c:v>6.7</c:v>
                </c:pt>
                <c:pt idx="9">
                  <c:v>0</c:v>
                </c:pt>
                <c:pt idx="10">
                  <c:v>0</c:v>
                </c:pt>
                <c:pt idx="11">
                  <c:v>0</c:v>
                </c:pt>
              </c:numCache>
            </c:numRef>
          </c:val>
          <c:extLst>
            <c:ext xmlns:c16="http://schemas.microsoft.com/office/drawing/2014/chart" uri="{C3380CC4-5D6E-409C-BE32-E72D297353CC}">
              <c16:uniqueId val="{00000005-97F4-46B1-9A78-5EE27389E329}"/>
            </c:ext>
          </c:extLst>
        </c:ser>
        <c:ser>
          <c:idx val="6"/>
          <c:order val="6"/>
          <c:tx>
            <c:strRef>
              <c:f>DD!$A$41</c:f>
              <c:strCache>
                <c:ptCount val="1"/>
                <c:pt idx="0">
                  <c:v>O</c:v>
                </c:pt>
              </c:strCache>
            </c:strRef>
          </c:tx>
          <c:spPr>
            <a:ln w="28575" cap="rnd">
              <a:solidFill>
                <a:schemeClr val="accent4">
                  <a:lumMod val="75000"/>
                </a:schemeClr>
              </a:solidFill>
              <a:round/>
            </a:ln>
            <a:effectLst/>
          </c:spPr>
          <c:marker>
            <c:symbol val="none"/>
          </c:marker>
          <c:cat>
            <c:strRef>
              <c:f>DD!$B$34:$M$34</c:f>
              <c:strCache>
                <c:ptCount val="12"/>
                <c:pt idx="0">
                  <c:v>Janvier</c:v>
                </c:pt>
                <c:pt idx="1">
                  <c:v>Février</c:v>
                </c:pt>
                <c:pt idx="2">
                  <c:v>Mars</c:v>
                </c:pt>
                <c:pt idx="3">
                  <c:v>Avril</c:v>
                </c:pt>
                <c:pt idx="4">
                  <c:v>Mai</c:v>
                </c:pt>
                <c:pt idx="5">
                  <c:v>Juin</c:v>
                </c:pt>
                <c:pt idx="6">
                  <c:v>Juillet</c:v>
                </c:pt>
                <c:pt idx="7">
                  <c:v>Août</c:v>
                </c:pt>
                <c:pt idx="8">
                  <c:v>Septembre</c:v>
                </c:pt>
                <c:pt idx="9">
                  <c:v>Octobre</c:v>
                </c:pt>
                <c:pt idx="10">
                  <c:v>Novembre</c:v>
                </c:pt>
                <c:pt idx="11">
                  <c:v>Décembre</c:v>
                </c:pt>
              </c:strCache>
            </c:strRef>
          </c:cat>
          <c:val>
            <c:numRef>
              <c:f>DD!$B$41:$M$41</c:f>
              <c:numCache>
                <c:formatCode>General</c:formatCode>
                <c:ptCount val="12"/>
                <c:pt idx="0">
                  <c:v>0</c:v>
                </c:pt>
                <c:pt idx="1">
                  <c:v>0</c:v>
                </c:pt>
                <c:pt idx="2">
                  <c:v>0</c:v>
                </c:pt>
                <c:pt idx="3">
                  <c:v>0</c:v>
                </c:pt>
                <c:pt idx="4">
                  <c:v>3.3</c:v>
                </c:pt>
                <c:pt idx="5">
                  <c:v>23.3</c:v>
                </c:pt>
                <c:pt idx="6">
                  <c:v>36.700000000000003</c:v>
                </c:pt>
                <c:pt idx="7">
                  <c:v>43.3</c:v>
                </c:pt>
                <c:pt idx="8">
                  <c:v>26.7</c:v>
                </c:pt>
                <c:pt idx="9">
                  <c:v>0</c:v>
                </c:pt>
                <c:pt idx="10">
                  <c:v>0</c:v>
                </c:pt>
                <c:pt idx="11">
                  <c:v>0</c:v>
                </c:pt>
              </c:numCache>
            </c:numRef>
          </c:val>
          <c:extLst>
            <c:ext xmlns:c16="http://schemas.microsoft.com/office/drawing/2014/chart" uri="{C3380CC4-5D6E-409C-BE32-E72D297353CC}">
              <c16:uniqueId val="{00000006-97F4-46B1-9A78-5EE27389E329}"/>
            </c:ext>
          </c:extLst>
        </c:ser>
        <c:ser>
          <c:idx val="7"/>
          <c:order val="7"/>
          <c:tx>
            <c:strRef>
              <c:f>DD!$A$42</c:f>
              <c:strCache>
                <c:ptCount val="1"/>
                <c:pt idx="0">
                  <c:v>NO</c:v>
                </c:pt>
              </c:strCache>
            </c:strRef>
          </c:tx>
          <c:spPr>
            <a:ln w="28575" cap="rnd">
              <a:solidFill>
                <a:schemeClr val="accent2">
                  <a:lumMod val="60000"/>
                </a:schemeClr>
              </a:solidFill>
              <a:round/>
            </a:ln>
            <a:effectLst/>
          </c:spPr>
          <c:marker>
            <c:symbol val="none"/>
          </c:marker>
          <c:cat>
            <c:strRef>
              <c:f>DD!$B$34:$M$34</c:f>
              <c:strCache>
                <c:ptCount val="12"/>
                <c:pt idx="0">
                  <c:v>Janvier</c:v>
                </c:pt>
                <c:pt idx="1">
                  <c:v>Février</c:v>
                </c:pt>
                <c:pt idx="2">
                  <c:v>Mars</c:v>
                </c:pt>
                <c:pt idx="3">
                  <c:v>Avril</c:v>
                </c:pt>
                <c:pt idx="4">
                  <c:v>Mai</c:v>
                </c:pt>
                <c:pt idx="5">
                  <c:v>Juin</c:v>
                </c:pt>
                <c:pt idx="6">
                  <c:v>Juillet</c:v>
                </c:pt>
                <c:pt idx="7">
                  <c:v>Août</c:v>
                </c:pt>
                <c:pt idx="8">
                  <c:v>Septembre</c:v>
                </c:pt>
                <c:pt idx="9">
                  <c:v>Octobre</c:v>
                </c:pt>
                <c:pt idx="10">
                  <c:v>Novembre</c:v>
                </c:pt>
                <c:pt idx="11">
                  <c:v>Décembre</c:v>
                </c:pt>
              </c:strCache>
            </c:strRef>
          </c:cat>
          <c:val>
            <c:numRef>
              <c:f>DD!$B$42:$M$42</c:f>
              <c:numCache>
                <c:formatCode>General</c:formatCode>
                <c:ptCount val="12"/>
                <c:pt idx="0">
                  <c:v>0</c:v>
                </c:pt>
                <c:pt idx="1">
                  <c:v>0</c:v>
                </c:pt>
                <c:pt idx="2">
                  <c:v>0</c:v>
                </c:pt>
                <c:pt idx="3">
                  <c:v>0</c:v>
                </c:pt>
                <c:pt idx="4">
                  <c:v>3.3</c:v>
                </c:pt>
                <c:pt idx="5">
                  <c:v>33.299999999999997</c:v>
                </c:pt>
                <c:pt idx="6">
                  <c:v>56.7</c:v>
                </c:pt>
                <c:pt idx="7">
                  <c:v>30</c:v>
                </c:pt>
                <c:pt idx="8">
                  <c:v>33.299999999999997</c:v>
                </c:pt>
                <c:pt idx="9">
                  <c:v>6.7</c:v>
                </c:pt>
                <c:pt idx="10">
                  <c:v>0</c:v>
                </c:pt>
                <c:pt idx="11">
                  <c:v>3.3</c:v>
                </c:pt>
              </c:numCache>
            </c:numRef>
          </c:val>
          <c:extLst>
            <c:ext xmlns:c16="http://schemas.microsoft.com/office/drawing/2014/chart" uri="{C3380CC4-5D6E-409C-BE32-E72D297353CC}">
              <c16:uniqueId val="{00000007-97F4-46B1-9A78-5EE27389E329}"/>
            </c:ext>
          </c:extLst>
        </c:ser>
        <c:dLbls>
          <c:showLegendKey val="0"/>
          <c:showVal val="0"/>
          <c:showCatName val="0"/>
          <c:showSerName val="0"/>
          <c:showPercent val="0"/>
          <c:showBubbleSize val="0"/>
        </c:dLbls>
        <c:axId val="527857088"/>
        <c:axId val="527857480"/>
      </c:radarChart>
      <c:catAx>
        <c:axId val="527857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crossAx val="527857480"/>
        <c:crosses val="autoZero"/>
        <c:auto val="1"/>
        <c:lblAlgn val="ctr"/>
        <c:lblOffset val="100"/>
        <c:noMultiLvlLbl val="0"/>
      </c:catAx>
      <c:valAx>
        <c:axId val="527857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crossAx val="5278570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fr-F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FF!$C$35</c:f>
              <c:strCache>
                <c:ptCount val="1"/>
                <c:pt idx="0">
                  <c:v>Vent-DK</c:v>
                </c:pt>
              </c:strCache>
            </c:strRef>
          </c:tx>
          <c:spPr>
            <a:ln w="28575" cap="rnd">
              <a:solidFill>
                <a:schemeClr val="accent1"/>
              </a:solidFill>
              <a:round/>
            </a:ln>
            <a:effectLst/>
          </c:spPr>
          <c:marker>
            <c:symbol val="none"/>
          </c:marker>
          <c:cat>
            <c:strRef>
              <c:f>FF!$D$34:$O$34</c:f>
              <c:strCache>
                <c:ptCount val="12"/>
                <c:pt idx="0">
                  <c:v>Janvier</c:v>
                </c:pt>
                <c:pt idx="1">
                  <c:v>Février</c:v>
                </c:pt>
                <c:pt idx="2">
                  <c:v>Mars</c:v>
                </c:pt>
                <c:pt idx="3">
                  <c:v>Avril</c:v>
                </c:pt>
                <c:pt idx="4">
                  <c:v>Mai</c:v>
                </c:pt>
                <c:pt idx="5">
                  <c:v>Juin</c:v>
                </c:pt>
                <c:pt idx="6">
                  <c:v>Juillet</c:v>
                </c:pt>
                <c:pt idx="7">
                  <c:v>Août</c:v>
                </c:pt>
                <c:pt idx="8">
                  <c:v>Septembre</c:v>
                </c:pt>
                <c:pt idx="9">
                  <c:v>Octobre</c:v>
                </c:pt>
                <c:pt idx="10">
                  <c:v>Novembre</c:v>
                </c:pt>
                <c:pt idx="11">
                  <c:v>Décembre</c:v>
                </c:pt>
              </c:strCache>
            </c:strRef>
          </c:cat>
          <c:val>
            <c:numRef>
              <c:f>FF!$D$35:$O$35</c:f>
              <c:numCache>
                <c:formatCode>0.00</c:formatCode>
                <c:ptCount val="12"/>
                <c:pt idx="0">
                  <c:v>5</c:v>
                </c:pt>
                <c:pt idx="1">
                  <c:v>5.1275862068965532</c:v>
                </c:pt>
                <c:pt idx="2">
                  <c:v>5.2733333333333325</c:v>
                </c:pt>
                <c:pt idx="3">
                  <c:v>5.3999999999999986</c:v>
                </c:pt>
                <c:pt idx="4">
                  <c:v>4.7448275862068963</c:v>
                </c:pt>
                <c:pt idx="5">
                  <c:v>3.741379310344827</c:v>
                </c:pt>
                <c:pt idx="6">
                  <c:v>3.55</c:v>
                </c:pt>
                <c:pt idx="7">
                  <c:v>3.3500000000000005</c:v>
                </c:pt>
                <c:pt idx="8">
                  <c:v>3.0100000000000002</c:v>
                </c:pt>
                <c:pt idx="9">
                  <c:v>3.4482758620689649</c:v>
                </c:pt>
                <c:pt idx="10">
                  <c:v>4.4241379310344815</c:v>
                </c:pt>
                <c:pt idx="11">
                  <c:v>4.8068965517241393</c:v>
                </c:pt>
              </c:numCache>
            </c:numRef>
          </c:val>
          <c:smooth val="0"/>
          <c:extLst>
            <c:ext xmlns:c16="http://schemas.microsoft.com/office/drawing/2014/chart" uri="{C3380CC4-5D6E-409C-BE32-E72D297353CC}">
              <c16:uniqueId val="{00000000-FD60-49EE-997E-3F479EFD3B7A}"/>
            </c:ext>
          </c:extLst>
        </c:ser>
        <c:dLbls>
          <c:showLegendKey val="0"/>
          <c:showVal val="0"/>
          <c:showCatName val="0"/>
          <c:showSerName val="0"/>
          <c:showPercent val="0"/>
          <c:showBubbleSize val="0"/>
        </c:dLbls>
        <c:smooth val="0"/>
        <c:axId val="527857872"/>
        <c:axId val="527856304"/>
      </c:lineChart>
      <c:catAx>
        <c:axId val="5278578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fr-FR"/>
                  <a:t>Mois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fr-FR"/>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crossAx val="527856304"/>
        <c:crosses val="autoZero"/>
        <c:auto val="1"/>
        <c:lblAlgn val="ctr"/>
        <c:lblOffset val="100"/>
        <c:noMultiLvlLbl val="0"/>
      </c:catAx>
      <c:valAx>
        <c:axId val="527856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fr-FR"/>
                  <a:t>Vitesse des Vents m/s</a:t>
                </a:r>
              </a:p>
            </c:rich>
          </c:tx>
          <c:layout>
            <c:manualLayout>
              <c:xMode val="edge"/>
              <c:yMode val="edge"/>
              <c:x val="3.3333333333333333E-2"/>
              <c:y val="0.210124671916010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fr-FR"/>
            </a:p>
          </c:txPr>
        </c:title>
        <c:numFmt formatCode="0.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r-FR"/>
          </a:p>
        </c:txPr>
        <c:crossAx val="527857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fr-F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TEMPERATURE!$C$71</c:f>
              <c:strCache>
                <c:ptCount val="1"/>
                <c:pt idx="0">
                  <c:v>TMAX</c:v>
                </c:pt>
              </c:strCache>
            </c:strRef>
          </c:tx>
          <c:spPr>
            <a:ln w="28575" cap="rnd">
              <a:solidFill>
                <a:srgbClr val="C00000"/>
              </a:solidFill>
              <a:round/>
            </a:ln>
            <a:effectLst/>
          </c:spPr>
          <c:marker>
            <c:symbol val="none"/>
          </c:marker>
          <c:cat>
            <c:strRef>
              <c:f>TEMPERATURE!$D$70:$O$70</c:f>
              <c:strCache>
                <c:ptCount val="12"/>
                <c:pt idx="0">
                  <c:v>Janvier</c:v>
                </c:pt>
                <c:pt idx="1">
                  <c:v>Février</c:v>
                </c:pt>
                <c:pt idx="2">
                  <c:v>Mars</c:v>
                </c:pt>
                <c:pt idx="3">
                  <c:v>Avril</c:v>
                </c:pt>
                <c:pt idx="4">
                  <c:v>Mai</c:v>
                </c:pt>
                <c:pt idx="5">
                  <c:v>Juin</c:v>
                </c:pt>
                <c:pt idx="6">
                  <c:v>Juillet</c:v>
                </c:pt>
                <c:pt idx="7">
                  <c:v>Août</c:v>
                </c:pt>
                <c:pt idx="8">
                  <c:v>Septembre</c:v>
                </c:pt>
                <c:pt idx="9">
                  <c:v>Octobre</c:v>
                </c:pt>
                <c:pt idx="10">
                  <c:v>Novembre</c:v>
                </c:pt>
                <c:pt idx="11">
                  <c:v>Décembre</c:v>
                </c:pt>
              </c:strCache>
            </c:strRef>
          </c:cat>
          <c:val>
            <c:numRef>
              <c:f>TEMPERATURE!$D$71:$O$71</c:f>
              <c:numCache>
                <c:formatCode>0.00</c:formatCode>
                <c:ptCount val="12"/>
                <c:pt idx="0">
                  <c:v>25.825758620689655</c:v>
                </c:pt>
                <c:pt idx="1">
                  <c:v>25.090206896551724</c:v>
                </c:pt>
                <c:pt idx="2">
                  <c:v>25.203633333333332</c:v>
                </c:pt>
                <c:pt idx="3">
                  <c:v>25.005862068965524</c:v>
                </c:pt>
                <c:pt idx="4">
                  <c:v>26.617241379310347</c:v>
                </c:pt>
                <c:pt idx="5">
                  <c:v>28.733172413793106</c:v>
                </c:pt>
                <c:pt idx="6">
                  <c:v>30.166400000000003</c:v>
                </c:pt>
                <c:pt idx="7">
                  <c:v>30.465</c:v>
                </c:pt>
                <c:pt idx="8">
                  <c:v>30.935655172413792</c:v>
                </c:pt>
                <c:pt idx="9">
                  <c:v>31.242188940092156</c:v>
                </c:pt>
                <c:pt idx="10">
                  <c:v>29.995563218390803</c:v>
                </c:pt>
                <c:pt idx="11">
                  <c:v>27.739034482758623</c:v>
                </c:pt>
              </c:numCache>
            </c:numRef>
          </c:val>
          <c:smooth val="0"/>
          <c:extLst>
            <c:ext xmlns:c16="http://schemas.microsoft.com/office/drawing/2014/chart" uri="{C3380CC4-5D6E-409C-BE32-E72D297353CC}">
              <c16:uniqueId val="{00000000-76DB-4CD2-970D-F7A56FCAFBE4}"/>
            </c:ext>
          </c:extLst>
        </c:ser>
        <c:ser>
          <c:idx val="1"/>
          <c:order val="1"/>
          <c:tx>
            <c:strRef>
              <c:f>TEMPERATURE!$C$72</c:f>
              <c:strCache>
                <c:ptCount val="1"/>
                <c:pt idx="0">
                  <c:v>TMIN</c:v>
                </c:pt>
              </c:strCache>
            </c:strRef>
          </c:tx>
          <c:spPr>
            <a:ln w="28575" cap="rnd">
              <a:solidFill>
                <a:schemeClr val="accent1"/>
              </a:solidFill>
              <a:round/>
            </a:ln>
            <a:effectLst/>
          </c:spPr>
          <c:marker>
            <c:symbol val="none"/>
          </c:marker>
          <c:cat>
            <c:strRef>
              <c:f>TEMPERATURE!$D$70:$O$70</c:f>
              <c:strCache>
                <c:ptCount val="12"/>
                <c:pt idx="0">
                  <c:v>Janvier</c:v>
                </c:pt>
                <c:pt idx="1">
                  <c:v>Février</c:v>
                </c:pt>
                <c:pt idx="2">
                  <c:v>Mars</c:v>
                </c:pt>
                <c:pt idx="3">
                  <c:v>Avril</c:v>
                </c:pt>
                <c:pt idx="4">
                  <c:v>Mai</c:v>
                </c:pt>
                <c:pt idx="5">
                  <c:v>Juin</c:v>
                </c:pt>
                <c:pt idx="6">
                  <c:v>Juillet</c:v>
                </c:pt>
                <c:pt idx="7">
                  <c:v>Août</c:v>
                </c:pt>
                <c:pt idx="8">
                  <c:v>Septembre</c:v>
                </c:pt>
                <c:pt idx="9">
                  <c:v>Octobre</c:v>
                </c:pt>
                <c:pt idx="10">
                  <c:v>Novembre</c:v>
                </c:pt>
                <c:pt idx="11">
                  <c:v>Décembre</c:v>
                </c:pt>
              </c:strCache>
            </c:strRef>
          </c:cat>
          <c:val>
            <c:numRef>
              <c:f>TEMPERATURE!$D$72:$O$72</c:f>
              <c:numCache>
                <c:formatCode>0.00</c:formatCode>
                <c:ptCount val="12"/>
                <c:pt idx="0">
                  <c:v>18.662758620689651</c:v>
                </c:pt>
                <c:pt idx="1">
                  <c:v>17.997241379310346</c:v>
                </c:pt>
                <c:pt idx="2">
                  <c:v>18.355233333333331</c:v>
                </c:pt>
                <c:pt idx="3">
                  <c:v>19.137827586206896</c:v>
                </c:pt>
                <c:pt idx="4">
                  <c:v>20.853068965517242</c:v>
                </c:pt>
                <c:pt idx="5">
                  <c:v>23.466517241379307</c:v>
                </c:pt>
                <c:pt idx="6">
                  <c:v>25.169133333333328</c:v>
                </c:pt>
                <c:pt idx="7">
                  <c:v>25.361833333333301</c:v>
                </c:pt>
                <c:pt idx="8">
                  <c:v>25.253827586206896</c:v>
                </c:pt>
                <c:pt idx="9">
                  <c:v>25.544987327188945</c:v>
                </c:pt>
                <c:pt idx="10">
                  <c:v>23.513333333333332</c:v>
                </c:pt>
                <c:pt idx="11">
                  <c:v>20.812223581757504</c:v>
                </c:pt>
              </c:numCache>
            </c:numRef>
          </c:val>
          <c:smooth val="0"/>
          <c:extLst>
            <c:ext xmlns:c16="http://schemas.microsoft.com/office/drawing/2014/chart" uri="{C3380CC4-5D6E-409C-BE32-E72D297353CC}">
              <c16:uniqueId val="{00000001-76DB-4CD2-970D-F7A56FCAFBE4}"/>
            </c:ext>
          </c:extLst>
        </c:ser>
        <c:ser>
          <c:idx val="2"/>
          <c:order val="2"/>
          <c:tx>
            <c:strRef>
              <c:f>TEMPERATURE!$C$73</c:f>
              <c:strCache>
                <c:ptCount val="1"/>
                <c:pt idx="0">
                  <c:v>TMOY</c:v>
                </c:pt>
              </c:strCache>
            </c:strRef>
          </c:tx>
          <c:spPr>
            <a:ln w="28575" cap="rnd">
              <a:solidFill>
                <a:schemeClr val="bg2">
                  <a:lumMod val="50000"/>
                </a:schemeClr>
              </a:solidFill>
              <a:round/>
            </a:ln>
            <a:effectLst/>
          </c:spPr>
          <c:marker>
            <c:symbol val="none"/>
          </c:marker>
          <c:cat>
            <c:strRef>
              <c:f>TEMPERATURE!$D$70:$O$70</c:f>
              <c:strCache>
                <c:ptCount val="12"/>
                <c:pt idx="0">
                  <c:v>Janvier</c:v>
                </c:pt>
                <c:pt idx="1">
                  <c:v>Février</c:v>
                </c:pt>
                <c:pt idx="2">
                  <c:v>Mars</c:v>
                </c:pt>
                <c:pt idx="3">
                  <c:v>Avril</c:v>
                </c:pt>
                <c:pt idx="4">
                  <c:v>Mai</c:v>
                </c:pt>
                <c:pt idx="5">
                  <c:v>Juin</c:v>
                </c:pt>
                <c:pt idx="6">
                  <c:v>Juillet</c:v>
                </c:pt>
                <c:pt idx="7">
                  <c:v>Août</c:v>
                </c:pt>
                <c:pt idx="8">
                  <c:v>Septembre</c:v>
                </c:pt>
                <c:pt idx="9">
                  <c:v>Octobre</c:v>
                </c:pt>
                <c:pt idx="10">
                  <c:v>Novembre</c:v>
                </c:pt>
                <c:pt idx="11">
                  <c:v>Décembre</c:v>
                </c:pt>
              </c:strCache>
            </c:strRef>
          </c:cat>
          <c:val>
            <c:numRef>
              <c:f>TEMPERATURE!$D$73:$O$73</c:f>
              <c:numCache>
                <c:formatCode>0.00</c:formatCode>
                <c:ptCount val="12"/>
                <c:pt idx="0">
                  <c:v>22.244258620689653</c:v>
                </c:pt>
                <c:pt idx="1">
                  <c:v>21.543724137931036</c:v>
                </c:pt>
                <c:pt idx="2">
                  <c:v>21.77943333333333</c:v>
                </c:pt>
                <c:pt idx="3">
                  <c:v>22.071844827586212</c:v>
                </c:pt>
                <c:pt idx="4">
                  <c:v>23.735155172413794</c:v>
                </c:pt>
                <c:pt idx="5">
                  <c:v>26.099844827586207</c:v>
                </c:pt>
                <c:pt idx="6">
                  <c:v>27.667766666666665</c:v>
                </c:pt>
                <c:pt idx="7">
                  <c:v>27.913416666666649</c:v>
                </c:pt>
                <c:pt idx="8">
                  <c:v>28.094741379310342</c:v>
                </c:pt>
                <c:pt idx="9">
                  <c:v>28.393588133640549</c:v>
                </c:pt>
                <c:pt idx="10">
                  <c:v>26.754448275862067</c:v>
                </c:pt>
                <c:pt idx="11">
                  <c:v>24.275629032258063</c:v>
                </c:pt>
              </c:numCache>
            </c:numRef>
          </c:val>
          <c:smooth val="0"/>
          <c:extLst>
            <c:ext xmlns:c16="http://schemas.microsoft.com/office/drawing/2014/chart" uri="{C3380CC4-5D6E-409C-BE32-E72D297353CC}">
              <c16:uniqueId val="{00000002-76DB-4CD2-970D-F7A56FCAFBE4}"/>
            </c:ext>
          </c:extLst>
        </c:ser>
        <c:ser>
          <c:idx val="3"/>
          <c:order val="3"/>
          <c:tx>
            <c:strRef>
              <c:f>TEMPERATURE!$C$74</c:f>
              <c:strCache>
                <c:ptCount val="1"/>
              </c:strCache>
            </c:strRef>
          </c:tx>
          <c:spPr>
            <a:ln w="28575" cap="rnd">
              <a:solidFill>
                <a:schemeClr val="accent4"/>
              </a:solidFill>
              <a:round/>
            </a:ln>
            <a:effectLst/>
          </c:spPr>
          <c:marker>
            <c:symbol val="none"/>
          </c:marker>
          <c:cat>
            <c:strRef>
              <c:f>TEMPERATURE!$D$70:$O$70</c:f>
              <c:strCache>
                <c:ptCount val="12"/>
                <c:pt idx="0">
                  <c:v>Janvier</c:v>
                </c:pt>
                <c:pt idx="1">
                  <c:v>Février</c:v>
                </c:pt>
                <c:pt idx="2">
                  <c:v>Mars</c:v>
                </c:pt>
                <c:pt idx="3">
                  <c:v>Avril</c:v>
                </c:pt>
                <c:pt idx="4">
                  <c:v>Mai</c:v>
                </c:pt>
                <c:pt idx="5">
                  <c:v>Juin</c:v>
                </c:pt>
                <c:pt idx="6">
                  <c:v>Juillet</c:v>
                </c:pt>
                <c:pt idx="7">
                  <c:v>Août</c:v>
                </c:pt>
                <c:pt idx="8">
                  <c:v>Septembre</c:v>
                </c:pt>
                <c:pt idx="9">
                  <c:v>Octobre</c:v>
                </c:pt>
                <c:pt idx="10">
                  <c:v>Novembre</c:v>
                </c:pt>
                <c:pt idx="11">
                  <c:v>Décembre</c:v>
                </c:pt>
              </c:strCache>
            </c:strRef>
          </c:cat>
          <c:val>
            <c:numRef>
              <c:f>TEMPERATURE!$D$74:$O$74</c:f>
              <c:numCache>
                <c:formatCode>General</c:formatCode>
                <c:ptCount val="12"/>
              </c:numCache>
            </c:numRef>
          </c:val>
          <c:smooth val="0"/>
          <c:extLst>
            <c:ext xmlns:c16="http://schemas.microsoft.com/office/drawing/2014/chart" uri="{C3380CC4-5D6E-409C-BE32-E72D297353CC}">
              <c16:uniqueId val="{00000003-76DB-4CD2-970D-F7A56FCAFBE4}"/>
            </c:ext>
          </c:extLst>
        </c:ser>
        <c:dLbls>
          <c:showLegendKey val="0"/>
          <c:showVal val="0"/>
          <c:showCatName val="0"/>
          <c:showSerName val="0"/>
          <c:showPercent val="0"/>
          <c:showBubbleSize val="0"/>
        </c:dLbls>
        <c:smooth val="0"/>
        <c:axId val="527855128"/>
        <c:axId val="16246528"/>
      </c:lineChart>
      <c:catAx>
        <c:axId val="5278551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fr-FR"/>
                  <a:t>Mois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title>
        <c:numFmt formatCode="General" sourceLinked="1"/>
        <c:majorTickMark val="out"/>
        <c:minorTickMark val="none"/>
        <c:tickLblPos val="nextTo"/>
        <c:spPr>
          <a:noFill/>
          <a:ln w="9525" cap="flat" cmpd="sng" algn="ctr">
            <a:gradFill>
              <a:gsLst>
                <a:gs pos="0">
                  <a:schemeClr val="tx1"/>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crossAx val="16246528"/>
        <c:crosses val="autoZero"/>
        <c:auto val="1"/>
        <c:lblAlgn val="ctr"/>
        <c:lblOffset val="100"/>
        <c:noMultiLvlLbl val="0"/>
      </c:catAx>
      <c:valAx>
        <c:axId val="16246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fr-FR"/>
                  <a:t>Températue en °C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title>
        <c:numFmt formatCode="0.00" sourceLinked="1"/>
        <c:majorTickMark val="out"/>
        <c:minorTickMark val="none"/>
        <c:tickLblPos val="nextTo"/>
        <c:spPr>
          <a:noFill/>
          <a:ln>
            <a:gradFill>
              <a:gsLst>
                <a:gs pos="0">
                  <a:schemeClr val="tx1"/>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crossAx val="527855128"/>
        <c:crosses val="autoZero"/>
        <c:crossBetween val="between"/>
      </c:valAx>
      <c:spPr>
        <a:noFill/>
        <a:ln>
          <a:noFill/>
        </a:ln>
        <a:effectLst/>
      </c:spPr>
    </c:plotArea>
    <c:legend>
      <c:legendPos val="b"/>
      <c:legendEntry>
        <c:idx val="3"/>
        <c:delete val="1"/>
      </c:legendEntry>
      <c:overlay val="0"/>
      <c:spPr>
        <a:noFill/>
        <a:ln>
          <a:solidFill>
            <a:schemeClr val="accent1"/>
          </a:solid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fr-F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strRef>
              <c:f>RR!$D$34:$O$34</c:f>
              <c:strCache>
                <c:ptCount val="12"/>
                <c:pt idx="0">
                  <c:v>Janvier</c:v>
                </c:pt>
                <c:pt idx="1">
                  <c:v>Février</c:v>
                </c:pt>
                <c:pt idx="2">
                  <c:v>Mars</c:v>
                </c:pt>
                <c:pt idx="3">
                  <c:v>Avril</c:v>
                </c:pt>
                <c:pt idx="4">
                  <c:v>Mai</c:v>
                </c:pt>
                <c:pt idx="5">
                  <c:v>Juin</c:v>
                </c:pt>
                <c:pt idx="6">
                  <c:v>Juillet</c:v>
                </c:pt>
                <c:pt idx="7">
                  <c:v>Août</c:v>
                </c:pt>
                <c:pt idx="8">
                  <c:v>Septembre</c:v>
                </c:pt>
                <c:pt idx="9">
                  <c:v>Octobre</c:v>
                </c:pt>
                <c:pt idx="10">
                  <c:v>Novembre</c:v>
                </c:pt>
                <c:pt idx="11">
                  <c:v>Décembre</c:v>
                </c:pt>
              </c:strCache>
            </c:strRef>
          </c:cat>
          <c:val>
            <c:numRef>
              <c:f>RR!$D$35:$O$35</c:f>
              <c:numCache>
                <c:formatCode>General</c:formatCode>
                <c:ptCount val="12"/>
                <c:pt idx="0">
                  <c:v>1.2785714285714285</c:v>
                </c:pt>
                <c:pt idx="1">
                  <c:v>0.4137931034482758</c:v>
                </c:pt>
                <c:pt idx="2">
                  <c:v>0.14333333333333334</c:v>
                </c:pt>
                <c:pt idx="3">
                  <c:v>0</c:v>
                </c:pt>
                <c:pt idx="4">
                  <c:v>4.4827586206896544E-2</c:v>
                </c:pt>
                <c:pt idx="5">
                  <c:v>8.2172413793103463</c:v>
                </c:pt>
                <c:pt idx="6">
                  <c:v>54.620689655172427</c:v>
                </c:pt>
                <c:pt idx="7">
                  <c:v>165.52</c:v>
                </c:pt>
                <c:pt idx="8">
                  <c:v>142.35000000000002</c:v>
                </c:pt>
                <c:pt idx="9">
                  <c:v>26.913793103448281</c:v>
                </c:pt>
                <c:pt idx="10">
                  <c:v>0.33103448275862069</c:v>
                </c:pt>
                <c:pt idx="11">
                  <c:v>0.37333333333333329</c:v>
                </c:pt>
              </c:numCache>
            </c:numRef>
          </c:val>
          <c:extLst>
            <c:ext xmlns:c16="http://schemas.microsoft.com/office/drawing/2014/chart" uri="{C3380CC4-5D6E-409C-BE32-E72D297353CC}">
              <c16:uniqueId val="{00000000-3AED-4554-9402-708B0C87B0F7}"/>
            </c:ext>
          </c:extLst>
        </c:ser>
        <c:dLbls>
          <c:showLegendKey val="0"/>
          <c:showVal val="0"/>
          <c:showCatName val="0"/>
          <c:showSerName val="0"/>
          <c:showPercent val="0"/>
          <c:showBubbleSize val="0"/>
        </c:dLbls>
        <c:gapWidth val="219"/>
        <c:overlap val="-27"/>
        <c:axId val="16246920"/>
        <c:axId val="406745544"/>
      </c:barChart>
      <c:catAx>
        <c:axId val="162469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fr-FR"/>
                  <a:t>Mois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crossAx val="406745544"/>
        <c:crosses val="autoZero"/>
        <c:auto val="1"/>
        <c:lblAlgn val="ctr"/>
        <c:lblOffset val="100"/>
        <c:noMultiLvlLbl val="0"/>
      </c:catAx>
      <c:valAx>
        <c:axId val="406745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fr-FR"/>
                  <a:t>Précipitation moyenne mensuelle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crossAx val="16246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fr-FR"/>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chemeClr val="accent5"/>
              </a:solidFill>
              <a:round/>
            </a:ln>
            <a:effectLst/>
          </c:spPr>
          <c:marker>
            <c:symbol val="none"/>
          </c:marker>
          <c:cat>
            <c:numRef>
              <c:f>RR!$J$51:$J$80</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RR!$K$51:$K$80</c:f>
              <c:numCache>
                <c:formatCode>General</c:formatCode>
                <c:ptCount val="30"/>
                <c:pt idx="0">
                  <c:v>274.3</c:v>
                </c:pt>
                <c:pt idx="1">
                  <c:v>191.3</c:v>
                </c:pt>
                <c:pt idx="2">
                  <c:v>325.89999999999998</c:v>
                </c:pt>
                <c:pt idx="3">
                  <c:v>250.3</c:v>
                </c:pt>
                <c:pt idx="4">
                  <c:v>456.7</c:v>
                </c:pt>
                <c:pt idx="5">
                  <c:v>455</c:v>
                </c:pt>
                <c:pt idx="6">
                  <c:v>201.8</c:v>
                </c:pt>
                <c:pt idx="7">
                  <c:v>341.5</c:v>
                </c:pt>
                <c:pt idx="8">
                  <c:v>486.2</c:v>
                </c:pt>
                <c:pt idx="9">
                  <c:v>465.69999999999993</c:v>
                </c:pt>
                <c:pt idx="10">
                  <c:v>282.20000000000005</c:v>
                </c:pt>
                <c:pt idx="11">
                  <c:v>324.5</c:v>
                </c:pt>
                <c:pt idx="12">
                  <c:v>415.1</c:v>
                </c:pt>
                <c:pt idx="13">
                  <c:v>228.2</c:v>
                </c:pt>
                <c:pt idx="14">
                  <c:v>663.40000000000009</c:v>
                </c:pt>
                <c:pt idx="15">
                  <c:v>421.1</c:v>
                </c:pt>
                <c:pt idx="16">
                  <c:v>266.10000000000002</c:v>
                </c:pt>
                <c:pt idx="17">
                  <c:v>511.49999999999994</c:v>
                </c:pt>
                <c:pt idx="18">
                  <c:v>555.30000000000007</c:v>
                </c:pt>
                <c:pt idx="19">
                  <c:v>576.50000000000011</c:v>
                </c:pt>
                <c:pt idx="20">
                  <c:v>307.10000000000002</c:v>
                </c:pt>
                <c:pt idx="21">
                  <c:v>648.4</c:v>
                </c:pt>
                <c:pt idx="22">
                  <c:v>566.9</c:v>
                </c:pt>
                <c:pt idx="23">
                  <c:v>161.29999999999998</c:v>
                </c:pt>
                <c:pt idx="24">
                  <c:v>650.00000000000011</c:v>
                </c:pt>
                <c:pt idx="25">
                  <c:v>414.4</c:v>
                </c:pt>
                <c:pt idx="26">
                  <c:v>357.5</c:v>
                </c:pt>
                <c:pt idx="27">
                  <c:v>176</c:v>
                </c:pt>
                <c:pt idx="28">
                  <c:v>480.5</c:v>
                </c:pt>
                <c:pt idx="29">
                  <c:v>458.4</c:v>
                </c:pt>
              </c:numCache>
            </c:numRef>
          </c:val>
          <c:smooth val="0"/>
          <c:extLst>
            <c:ext xmlns:c16="http://schemas.microsoft.com/office/drawing/2014/chart" uri="{C3380CC4-5D6E-409C-BE32-E72D297353CC}">
              <c16:uniqueId val="{00000000-A24D-43A4-B377-B796EFC65A66}"/>
            </c:ext>
          </c:extLst>
        </c:ser>
        <c:dLbls>
          <c:showLegendKey val="0"/>
          <c:showVal val="0"/>
          <c:showCatName val="0"/>
          <c:showSerName val="0"/>
          <c:showPercent val="0"/>
          <c:showBubbleSize val="0"/>
        </c:dLbls>
        <c:smooth val="0"/>
        <c:axId val="529733984"/>
        <c:axId val="529733592"/>
      </c:lineChart>
      <c:catAx>
        <c:axId val="5297339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r-FR">
                    <a:latin typeface="Times New Roman" panose="02020603050405020304" pitchFamily="18" charset="0"/>
                    <a:cs typeface="Times New Roman" panose="02020603050405020304" pitchFamily="18" charset="0"/>
                  </a:rPr>
                  <a:t>Année</a:t>
                </a:r>
              </a:p>
            </c:rich>
          </c:tx>
          <c:layout>
            <c:manualLayout>
              <c:xMode val="edge"/>
              <c:yMode val="edge"/>
              <c:x val="0.45491097987751533"/>
              <c:y val="0.8786803732866724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lgn="just">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crossAx val="529733592"/>
        <c:crosses val="autoZero"/>
        <c:auto val="1"/>
        <c:lblAlgn val="ctr"/>
        <c:lblOffset val="100"/>
        <c:noMultiLvlLbl val="0"/>
      </c:catAx>
      <c:valAx>
        <c:axId val="529733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r-FR">
                    <a:latin typeface="Times New Roman" panose="02020603050405020304" pitchFamily="18" charset="0"/>
                    <a:cs typeface="Times New Roman" panose="02020603050405020304" pitchFamily="18" charset="0"/>
                  </a:rPr>
                  <a:t>Précipitation moyenne annuelle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crossAx val="529733984"/>
        <c:crosses val="autoZero"/>
        <c:crossBetween val="midCat"/>
      </c:valAx>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HR!$C$76</c:f>
              <c:strCache>
                <c:ptCount val="1"/>
                <c:pt idx="0">
                  <c:v>HRMAx</c:v>
                </c:pt>
              </c:strCache>
            </c:strRef>
          </c:tx>
          <c:spPr>
            <a:solidFill>
              <a:srgbClr val="C00000"/>
            </a:solidFill>
            <a:ln>
              <a:noFill/>
            </a:ln>
            <a:effectLst/>
          </c:spPr>
          <c:invertIfNegative val="0"/>
          <c:cat>
            <c:strRef>
              <c:f>HR!$D$75:$O$75</c:f>
              <c:strCache>
                <c:ptCount val="12"/>
                <c:pt idx="0">
                  <c:v>Janvier</c:v>
                </c:pt>
                <c:pt idx="1">
                  <c:v>Février</c:v>
                </c:pt>
                <c:pt idx="2">
                  <c:v>Mars</c:v>
                </c:pt>
                <c:pt idx="3">
                  <c:v>Avril</c:v>
                </c:pt>
                <c:pt idx="4">
                  <c:v>Mai</c:v>
                </c:pt>
                <c:pt idx="5">
                  <c:v>Juin</c:v>
                </c:pt>
                <c:pt idx="6">
                  <c:v>Juillet</c:v>
                </c:pt>
                <c:pt idx="7">
                  <c:v>Août</c:v>
                </c:pt>
                <c:pt idx="8">
                  <c:v>Septembre</c:v>
                </c:pt>
                <c:pt idx="9">
                  <c:v>Octobre</c:v>
                </c:pt>
                <c:pt idx="10">
                  <c:v>Novembre</c:v>
                </c:pt>
                <c:pt idx="11">
                  <c:v>Décembre</c:v>
                </c:pt>
              </c:strCache>
            </c:strRef>
          </c:cat>
          <c:val>
            <c:numRef>
              <c:f>HR!$D$76:$O$76</c:f>
              <c:numCache>
                <c:formatCode>_-* #\ ##0.00\ _€_-;\-* #\ ##0.00\ _€_-;_-* "-"??\ _€_-;_-@_-</c:formatCode>
                <c:ptCount val="12"/>
                <c:pt idx="0">
                  <c:v>87.223220430107546</c:v>
                </c:pt>
                <c:pt idx="1">
                  <c:v>89.285128078817735</c:v>
                </c:pt>
                <c:pt idx="2">
                  <c:v>91.140763440860198</c:v>
                </c:pt>
                <c:pt idx="3">
                  <c:v>93.380310344827592</c:v>
                </c:pt>
                <c:pt idx="4">
                  <c:v>90.866729699666294</c:v>
                </c:pt>
                <c:pt idx="5">
                  <c:v>88.809080459770115</c:v>
                </c:pt>
                <c:pt idx="6">
                  <c:v>86.802872043010751</c:v>
                </c:pt>
                <c:pt idx="7">
                  <c:v>89.655622914349266</c:v>
                </c:pt>
                <c:pt idx="8">
                  <c:v>92.258827586206891</c:v>
                </c:pt>
                <c:pt idx="9">
                  <c:v>90.739115366279989</c:v>
                </c:pt>
                <c:pt idx="10">
                  <c:v>88.18496551724138</c:v>
                </c:pt>
                <c:pt idx="11">
                  <c:v>87</c:v>
                </c:pt>
              </c:numCache>
            </c:numRef>
          </c:val>
          <c:extLst>
            <c:ext xmlns:c16="http://schemas.microsoft.com/office/drawing/2014/chart" uri="{C3380CC4-5D6E-409C-BE32-E72D297353CC}">
              <c16:uniqueId val="{00000000-872D-4E68-8BBB-21FA0315BA58}"/>
            </c:ext>
          </c:extLst>
        </c:ser>
        <c:ser>
          <c:idx val="1"/>
          <c:order val="1"/>
          <c:tx>
            <c:strRef>
              <c:f>HR!$C$77</c:f>
              <c:strCache>
                <c:ptCount val="1"/>
                <c:pt idx="0">
                  <c:v>HRMIN</c:v>
                </c:pt>
              </c:strCache>
            </c:strRef>
          </c:tx>
          <c:spPr>
            <a:solidFill>
              <a:schemeClr val="accent1"/>
            </a:solidFill>
            <a:ln>
              <a:noFill/>
            </a:ln>
            <a:effectLst/>
          </c:spPr>
          <c:invertIfNegative val="0"/>
          <c:cat>
            <c:strRef>
              <c:f>HR!$D$75:$O$75</c:f>
              <c:strCache>
                <c:ptCount val="12"/>
                <c:pt idx="0">
                  <c:v>Janvier</c:v>
                </c:pt>
                <c:pt idx="1">
                  <c:v>Février</c:v>
                </c:pt>
                <c:pt idx="2">
                  <c:v>Mars</c:v>
                </c:pt>
                <c:pt idx="3">
                  <c:v>Avril</c:v>
                </c:pt>
                <c:pt idx="4">
                  <c:v>Mai</c:v>
                </c:pt>
                <c:pt idx="5">
                  <c:v>Juin</c:v>
                </c:pt>
                <c:pt idx="6">
                  <c:v>Juillet</c:v>
                </c:pt>
                <c:pt idx="7">
                  <c:v>Août</c:v>
                </c:pt>
                <c:pt idx="8">
                  <c:v>Septembre</c:v>
                </c:pt>
                <c:pt idx="9">
                  <c:v>Octobre</c:v>
                </c:pt>
                <c:pt idx="10">
                  <c:v>Novembre</c:v>
                </c:pt>
                <c:pt idx="11">
                  <c:v>Décembre</c:v>
                </c:pt>
              </c:strCache>
            </c:strRef>
          </c:cat>
          <c:val>
            <c:numRef>
              <c:f>HR!$D$77:$O$77</c:f>
              <c:numCache>
                <c:formatCode>_-* #\ ##0.00\ _€_-;\-* #\ ##0.00\ _€_-;_-* "-"??\ _€_-;_-@_-</c:formatCode>
                <c:ptCount val="12"/>
                <c:pt idx="0">
                  <c:v>47.702473859844282</c:v>
                </c:pt>
                <c:pt idx="1">
                  <c:v>52.844590963139119</c:v>
                </c:pt>
                <c:pt idx="2">
                  <c:v>59.258911827957</c:v>
                </c:pt>
                <c:pt idx="3">
                  <c:v>66.651643678160923</c:v>
                </c:pt>
                <c:pt idx="4">
                  <c:v>68.888807563959958</c:v>
                </c:pt>
                <c:pt idx="5">
                  <c:v>67.468850574712647</c:v>
                </c:pt>
                <c:pt idx="6">
                  <c:v>67.220422580645149</c:v>
                </c:pt>
                <c:pt idx="7">
                  <c:v>71.208768631813115</c:v>
                </c:pt>
                <c:pt idx="8">
                  <c:v>71.564275862068982</c:v>
                </c:pt>
                <c:pt idx="9">
                  <c:v>65.821905212140479</c:v>
                </c:pt>
                <c:pt idx="10">
                  <c:v>53.089563218390808</c:v>
                </c:pt>
                <c:pt idx="11">
                  <c:v>46.320614015572858</c:v>
                </c:pt>
              </c:numCache>
            </c:numRef>
          </c:val>
          <c:extLst>
            <c:ext xmlns:c16="http://schemas.microsoft.com/office/drawing/2014/chart" uri="{C3380CC4-5D6E-409C-BE32-E72D297353CC}">
              <c16:uniqueId val="{00000001-872D-4E68-8BBB-21FA0315BA58}"/>
            </c:ext>
          </c:extLst>
        </c:ser>
        <c:ser>
          <c:idx val="2"/>
          <c:order val="2"/>
          <c:tx>
            <c:strRef>
              <c:f>HR!$C$78</c:f>
              <c:strCache>
                <c:ptCount val="1"/>
                <c:pt idx="0">
                  <c:v>HRMOY</c:v>
                </c:pt>
              </c:strCache>
            </c:strRef>
          </c:tx>
          <c:spPr>
            <a:solidFill>
              <a:srgbClr val="92D050"/>
            </a:solidFill>
            <a:ln>
              <a:noFill/>
            </a:ln>
            <a:effectLst/>
          </c:spPr>
          <c:invertIfNegative val="0"/>
          <c:cat>
            <c:strRef>
              <c:f>HR!$D$75:$O$75</c:f>
              <c:strCache>
                <c:ptCount val="12"/>
                <c:pt idx="0">
                  <c:v>Janvier</c:v>
                </c:pt>
                <c:pt idx="1">
                  <c:v>Février</c:v>
                </c:pt>
                <c:pt idx="2">
                  <c:v>Mars</c:v>
                </c:pt>
                <c:pt idx="3">
                  <c:v>Avril</c:v>
                </c:pt>
                <c:pt idx="4">
                  <c:v>Mai</c:v>
                </c:pt>
                <c:pt idx="5">
                  <c:v>Juin</c:v>
                </c:pt>
                <c:pt idx="6">
                  <c:v>Juillet</c:v>
                </c:pt>
                <c:pt idx="7">
                  <c:v>Août</c:v>
                </c:pt>
                <c:pt idx="8">
                  <c:v>Septembre</c:v>
                </c:pt>
                <c:pt idx="9">
                  <c:v>Octobre</c:v>
                </c:pt>
                <c:pt idx="10">
                  <c:v>Novembre</c:v>
                </c:pt>
                <c:pt idx="11">
                  <c:v>Décembre</c:v>
                </c:pt>
              </c:strCache>
            </c:strRef>
          </c:cat>
          <c:val>
            <c:numRef>
              <c:f>HR!$D$78:$O$78</c:f>
              <c:numCache>
                <c:formatCode>_-* #\ ##0.00\ _€_-;\-* #\ ##0.00\ _€_-;_-* "-"??\ _€_-;_-@_-</c:formatCode>
                <c:ptCount val="12"/>
                <c:pt idx="0">
                  <c:v>67.46284714497591</c:v>
                </c:pt>
                <c:pt idx="1">
                  <c:v>71.06485952097843</c:v>
                </c:pt>
                <c:pt idx="2">
                  <c:v>75.199837634408595</c:v>
                </c:pt>
                <c:pt idx="3">
                  <c:v>80.015977011494257</c:v>
                </c:pt>
                <c:pt idx="4">
                  <c:v>79.877768631813126</c:v>
                </c:pt>
                <c:pt idx="5">
                  <c:v>78.138965517241388</c:v>
                </c:pt>
                <c:pt idx="6">
                  <c:v>77.011647311827943</c:v>
                </c:pt>
                <c:pt idx="7">
                  <c:v>80.43219577308119</c:v>
                </c:pt>
                <c:pt idx="8">
                  <c:v>81.911551724137937</c:v>
                </c:pt>
                <c:pt idx="9">
                  <c:v>78.280510289210241</c:v>
                </c:pt>
                <c:pt idx="10">
                  <c:v>70.637264367816101</c:v>
                </c:pt>
                <c:pt idx="11">
                  <c:v>66.660307007786429</c:v>
                </c:pt>
              </c:numCache>
            </c:numRef>
          </c:val>
          <c:extLst>
            <c:ext xmlns:c16="http://schemas.microsoft.com/office/drawing/2014/chart" uri="{C3380CC4-5D6E-409C-BE32-E72D297353CC}">
              <c16:uniqueId val="{00000002-872D-4E68-8BBB-21FA0315BA58}"/>
            </c:ext>
          </c:extLst>
        </c:ser>
        <c:dLbls>
          <c:showLegendKey val="0"/>
          <c:showVal val="0"/>
          <c:showCatName val="0"/>
          <c:showSerName val="0"/>
          <c:showPercent val="0"/>
          <c:showBubbleSize val="0"/>
        </c:dLbls>
        <c:gapWidth val="219"/>
        <c:overlap val="-27"/>
        <c:axId val="529731632"/>
        <c:axId val="529732808"/>
        <c:extLst>
          <c:ext xmlns:c15="http://schemas.microsoft.com/office/drawing/2012/chart" uri="{02D57815-91ED-43cb-92C2-25804820EDAC}">
            <c15:filteredBarSeries>
              <c15:ser>
                <c:idx val="3"/>
                <c:order val="3"/>
                <c:tx>
                  <c:strRef>
                    <c:extLst>
                      <c:ext uri="{02D57815-91ED-43cb-92C2-25804820EDAC}">
                        <c15:formulaRef>
                          <c15:sqref>HR!$C$79</c15:sqref>
                        </c15:formulaRef>
                      </c:ext>
                    </c:extLst>
                    <c:strCache>
                      <c:ptCount val="1"/>
                    </c:strCache>
                  </c:strRef>
                </c:tx>
                <c:spPr>
                  <a:solidFill>
                    <a:schemeClr val="accent4"/>
                  </a:solidFill>
                  <a:ln>
                    <a:noFill/>
                  </a:ln>
                  <a:effectLst/>
                </c:spPr>
                <c:invertIfNegative val="0"/>
                <c:cat>
                  <c:strRef>
                    <c:extLst>
                      <c:ext uri="{02D57815-91ED-43cb-92C2-25804820EDAC}">
                        <c15:formulaRef>
                          <c15:sqref>HR!$D$75:$O$75</c15:sqref>
                        </c15:formulaRef>
                      </c:ext>
                    </c:extLst>
                    <c:strCache>
                      <c:ptCount val="12"/>
                      <c:pt idx="0">
                        <c:v>Janvier</c:v>
                      </c:pt>
                      <c:pt idx="1">
                        <c:v>Février</c:v>
                      </c:pt>
                      <c:pt idx="2">
                        <c:v>Mars</c:v>
                      </c:pt>
                      <c:pt idx="3">
                        <c:v>Avril</c:v>
                      </c:pt>
                      <c:pt idx="4">
                        <c:v>Mai</c:v>
                      </c:pt>
                      <c:pt idx="5">
                        <c:v>Juin</c:v>
                      </c:pt>
                      <c:pt idx="6">
                        <c:v>Juillet</c:v>
                      </c:pt>
                      <c:pt idx="7">
                        <c:v>Août</c:v>
                      </c:pt>
                      <c:pt idx="8">
                        <c:v>Septembre</c:v>
                      </c:pt>
                      <c:pt idx="9">
                        <c:v>Octobre</c:v>
                      </c:pt>
                      <c:pt idx="10">
                        <c:v>Novembre</c:v>
                      </c:pt>
                      <c:pt idx="11">
                        <c:v>Décembre</c:v>
                      </c:pt>
                    </c:strCache>
                  </c:strRef>
                </c:cat>
                <c:val>
                  <c:numRef>
                    <c:extLst>
                      <c:ext uri="{02D57815-91ED-43cb-92C2-25804820EDAC}">
                        <c15:formulaRef>
                          <c15:sqref>HR!$D$79:$O$79</c15:sqref>
                        </c15:formulaRef>
                      </c:ext>
                    </c:extLst>
                    <c:numCache>
                      <c:formatCode>General</c:formatCode>
                      <c:ptCount val="12"/>
                    </c:numCache>
                  </c:numRef>
                </c:val>
                <c:extLst>
                  <c:ext xmlns:c16="http://schemas.microsoft.com/office/drawing/2014/chart" uri="{C3380CC4-5D6E-409C-BE32-E72D297353CC}">
                    <c16:uniqueId val="{00000003-872D-4E68-8BBB-21FA0315BA58}"/>
                  </c:ext>
                </c:extLst>
              </c15:ser>
            </c15:filteredBarSeries>
          </c:ext>
        </c:extLst>
      </c:barChart>
      <c:catAx>
        <c:axId val="5297316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r-FR"/>
                  <a:t>Mois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crossAx val="529732808"/>
        <c:crosses val="autoZero"/>
        <c:auto val="1"/>
        <c:lblAlgn val="ctr"/>
        <c:lblOffset val="100"/>
        <c:noMultiLvlLbl val="0"/>
      </c:catAx>
      <c:valAx>
        <c:axId val="529732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fr-FR">
                    <a:solidFill>
                      <a:schemeClr val="tx1"/>
                    </a:solidFill>
                  </a:rPr>
                  <a:t>Humidité Relative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title>
        <c:numFmt formatCode="_-* #\ ##0.00\ _€_-;\-* #\ ##0.00\ _€_-;_-* &quot;-&quot;??\ _€_-;_-@_-"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crossAx val="529731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C578B-CAD8-4301-A3D3-40E4C8CE7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328</Pages>
  <Words>125895</Words>
  <Characters>713829</Characters>
  <Application>Microsoft Office Word</Application>
  <DocSecurity>0</DocSecurity>
  <Lines>13219</Lines>
  <Paragraphs>4539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835185</CharactersWithSpaces>
  <SharedDoc>false</SharedDoc>
  <HLinks>
    <vt:vector size="1890" baseType="variant">
      <vt:variant>
        <vt:i4>5308420</vt:i4>
      </vt:variant>
      <vt:variant>
        <vt:i4>2325</vt:i4>
      </vt:variant>
      <vt:variant>
        <vt:i4>0</vt:i4>
      </vt:variant>
      <vt:variant>
        <vt:i4>5</vt:i4>
      </vt:variant>
      <vt:variant>
        <vt:lpwstr>http://fr.wikipedia.org/wiki/Carbure_de_calcium</vt:lpwstr>
      </vt:variant>
      <vt:variant>
        <vt:lpwstr/>
      </vt:variant>
      <vt:variant>
        <vt:i4>8323124</vt:i4>
      </vt:variant>
      <vt:variant>
        <vt:i4>2322</vt:i4>
      </vt:variant>
      <vt:variant>
        <vt:i4>0</vt:i4>
      </vt:variant>
      <vt:variant>
        <vt:i4>5</vt:i4>
      </vt:variant>
      <vt:variant>
        <vt:lpwstr>http://fr.wikipedia.org/wiki/Phosphine</vt:lpwstr>
      </vt:variant>
      <vt:variant>
        <vt:lpwstr/>
      </vt:variant>
      <vt:variant>
        <vt:i4>65608</vt:i4>
      </vt:variant>
      <vt:variant>
        <vt:i4>2319</vt:i4>
      </vt:variant>
      <vt:variant>
        <vt:i4>0</vt:i4>
      </vt:variant>
      <vt:variant>
        <vt:i4>5</vt:i4>
      </vt:variant>
      <vt:variant>
        <vt:lpwstr>http://fr.wikipedia.org/wiki/Gaz</vt:lpwstr>
      </vt:variant>
      <vt:variant>
        <vt:lpwstr/>
      </vt:variant>
      <vt:variant>
        <vt:i4>6684731</vt:i4>
      </vt:variant>
      <vt:variant>
        <vt:i4>2316</vt:i4>
      </vt:variant>
      <vt:variant>
        <vt:i4>0</vt:i4>
      </vt:variant>
      <vt:variant>
        <vt:i4>5</vt:i4>
      </vt:variant>
      <vt:variant>
        <vt:lpwstr>http://fr.wikipedia.org/wiki/Hydrog%C3%A8ne</vt:lpwstr>
      </vt:variant>
      <vt:variant>
        <vt:lpwstr/>
      </vt:variant>
      <vt:variant>
        <vt:i4>458820</vt:i4>
      </vt:variant>
      <vt:variant>
        <vt:i4>2313</vt:i4>
      </vt:variant>
      <vt:variant>
        <vt:i4>0</vt:i4>
      </vt:variant>
      <vt:variant>
        <vt:i4>5</vt:i4>
      </vt:variant>
      <vt:variant>
        <vt:lpwstr>http://fr.wikipedia.org/wiki/Carbone</vt:lpwstr>
      </vt:variant>
      <vt:variant>
        <vt:lpwstr/>
      </vt:variant>
      <vt:variant>
        <vt:i4>6946846</vt:i4>
      </vt:variant>
      <vt:variant>
        <vt:i4>2310</vt:i4>
      </vt:variant>
      <vt:variant>
        <vt:i4>0</vt:i4>
      </vt:variant>
      <vt:variant>
        <vt:i4>5</vt:i4>
      </vt:variant>
      <vt:variant>
        <vt:lpwstr>http://fr.wikipedia.org/wiki/Formule_brute</vt:lpwstr>
      </vt:variant>
      <vt:variant>
        <vt:lpwstr/>
      </vt:variant>
      <vt:variant>
        <vt:i4>7340092</vt:i4>
      </vt:variant>
      <vt:variant>
        <vt:i4>2307</vt:i4>
      </vt:variant>
      <vt:variant>
        <vt:i4>0</vt:i4>
      </vt:variant>
      <vt:variant>
        <vt:i4>5</vt:i4>
      </vt:variant>
      <vt:variant>
        <vt:lpwstr>http://fr.wikipedia.org/wiki/Alcyne</vt:lpwstr>
      </vt:variant>
      <vt:variant>
        <vt:lpwstr/>
      </vt:variant>
      <vt:variant>
        <vt:i4>917574</vt:i4>
      </vt:variant>
      <vt:variant>
        <vt:i4>2304</vt:i4>
      </vt:variant>
      <vt:variant>
        <vt:i4>0</vt:i4>
      </vt:variant>
      <vt:variant>
        <vt:i4>5</vt:i4>
      </vt:variant>
      <vt:variant>
        <vt:lpwstr>http://fr.wikipedia.org/wiki/Hydrocarbure</vt:lpwstr>
      </vt:variant>
      <vt:variant>
        <vt:lpwstr/>
      </vt:variant>
      <vt:variant>
        <vt:i4>4456492</vt:i4>
      </vt:variant>
      <vt:variant>
        <vt:i4>2301</vt:i4>
      </vt:variant>
      <vt:variant>
        <vt:i4>0</vt:i4>
      </vt:variant>
      <vt:variant>
        <vt:i4>5</vt:i4>
      </vt:variant>
      <vt:variant>
        <vt:lpwstr>http://fr.wikipedia.org/wiki/Compos%C3%A9_chimique</vt:lpwstr>
      </vt:variant>
      <vt:variant>
        <vt:lpwstr/>
      </vt:variant>
      <vt:variant>
        <vt:i4>7274549</vt:i4>
      </vt:variant>
      <vt:variant>
        <vt:i4>2295</vt:i4>
      </vt:variant>
      <vt:variant>
        <vt:i4>0</vt:i4>
      </vt:variant>
      <vt:variant>
        <vt:i4>5</vt:i4>
      </vt:variant>
      <vt:variant>
        <vt:lpwstr>http://fr.wikipedia.org/wiki/Oxyde</vt:lpwstr>
      </vt:variant>
      <vt:variant>
        <vt:lpwstr/>
      </vt:variant>
      <vt:variant>
        <vt:i4>4456492</vt:i4>
      </vt:variant>
      <vt:variant>
        <vt:i4>2292</vt:i4>
      </vt:variant>
      <vt:variant>
        <vt:i4>0</vt:i4>
      </vt:variant>
      <vt:variant>
        <vt:i4>5</vt:i4>
      </vt:variant>
      <vt:variant>
        <vt:lpwstr>http://fr.wikipedia.org/wiki/Compos%C3%A9_chimique</vt:lpwstr>
      </vt:variant>
      <vt:variant>
        <vt:lpwstr/>
      </vt:variant>
      <vt:variant>
        <vt:i4>7274600</vt:i4>
      </vt:variant>
      <vt:variant>
        <vt:i4>2289</vt:i4>
      </vt:variant>
      <vt:variant>
        <vt:i4>0</vt:i4>
      </vt:variant>
      <vt:variant>
        <vt:i4>5</vt:i4>
      </vt:variant>
      <vt:variant>
        <vt:lpwstr>http://fr.wikipedia.org/wiki/Non-m%C3%A9tal</vt:lpwstr>
      </vt:variant>
      <vt:variant>
        <vt:lpwstr/>
      </vt:variant>
      <vt:variant>
        <vt:i4>1900654</vt:i4>
      </vt:variant>
      <vt:variant>
        <vt:i4>2286</vt:i4>
      </vt:variant>
      <vt:variant>
        <vt:i4>0</vt:i4>
      </vt:variant>
      <vt:variant>
        <vt:i4>5</vt:i4>
      </vt:variant>
      <vt:variant>
        <vt:lpwstr>http://fr.wikipedia.org/wiki/Num%C3%A9ro_atomique</vt:lpwstr>
      </vt:variant>
      <vt:variant>
        <vt:lpwstr/>
      </vt:variant>
      <vt:variant>
        <vt:i4>1179738</vt:i4>
      </vt:variant>
      <vt:variant>
        <vt:i4>2283</vt:i4>
      </vt:variant>
      <vt:variant>
        <vt:i4>0</vt:i4>
      </vt:variant>
      <vt:variant>
        <vt:i4>5</vt:i4>
      </vt:variant>
      <vt:variant>
        <vt:lpwstr>http://fr.wikipedia.org/wiki/Liste_des_%C3%A9l%C3%A9ments_par_symbole</vt:lpwstr>
      </vt:variant>
      <vt:variant>
        <vt:lpwstr/>
      </vt:variant>
      <vt:variant>
        <vt:i4>2490377</vt:i4>
      </vt:variant>
      <vt:variant>
        <vt:i4>2280</vt:i4>
      </vt:variant>
      <vt:variant>
        <vt:i4>0</vt:i4>
      </vt:variant>
      <vt:variant>
        <vt:i4>5</vt:i4>
      </vt:variant>
      <vt:variant>
        <vt:lpwstr>http://fr.wikipedia.org/wiki/%C3%89l%C3%A9ment_chimique</vt:lpwstr>
      </vt:variant>
      <vt:variant>
        <vt:lpwstr/>
      </vt:variant>
      <vt:variant>
        <vt:i4>3670132</vt:i4>
      </vt:variant>
      <vt:variant>
        <vt:i4>1881</vt:i4>
      </vt:variant>
      <vt:variant>
        <vt:i4>0</vt:i4>
      </vt:variant>
      <vt:variant>
        <vt:i4>5</vt:i4>
      </vt:variant>
      <vt:variant>
        <vt:lpwstr>https://fr.wikipedia.org/wiki/2019</vt:lpwstr>
      </vt:variant>
      <vt:variant>
        <vt:lpwstr/>
      </vt:variant>
      <vt:variant>
        <vt:i4>6422558</vt:i4>
      </vt:variant>
      <vt:variant>
        <vt:i4>1845</vt:i4>
      </vt:variant>
      <vt:variant>
        <vt:i4>0</vt:i4>
      </vt:variant>
      <vt:variant>
        <vt:i4>5</vt:i4>
      </vt:variant>
      <vt:variant>
        <vt:lpwstr>https://www.ifc.org/wps/wcm/connect/topics_ext_content/ifc_external_corporate_site/sustainability-at-ifc/policies-standards/ehs-guidelines</vt:lpwstr>
      </vt:variant>
      <vt:variant>
        <vt:lpwstr/>
      </vt:variant>
      <vt:variant>
        <vt:i4>1900598</vt:i4>
      </vt:variant>
      <vt:variant>
        <vt:i4>1802</vt:i4>
      </vt:variant>
      <vt:variant>
        <vt:i4>0</vt:i4>
      </vt:variant>
      <vt:variant>
        <vt:i4>5</vt:i4>
      </vt:variant>
      <vt:variant>
        <vt:lpwstr/>
      </vt:variant>
      <vt:variant>
        <vt:lpwstr>_Toc151418737</vt:lpwstr>
      </vt:variant>
      <vt:variant>
        <vt:i4>1900598</vt:i4>
      </vt:variant>
      <vt:variant>
        <vt:i4>1796</vt:i4>
      </vt:variant>
      <vt:variant>
        <vt:i4>0</vt:i4>
      </vt:variant>
      <vt:variant>
        <vt:i4>5</vt:i4>
      </vt:variant>
      <vt:variant>
        <vt:lpwstr/>
      </vt:variant>
      <vt:variant>
        <vt:lpwstr>_Toc151418736</vt:lpwstr>
      </vt:variant>
      <vt:variant>
        <vt:i4>1900598</vt:i4>
      </vt:variant>
      <vt:variant>
        <vt:i4>1790</vt:i4>
      </vt:variant>
      <vt:variant>
        <vt:i4>0</vt:i4>
      </vt:variant>
      <vt:variant>
        <vt:i4>5</vt:i4>
      </vt:variant>
      <vt:variant>
        <vt:lpwstr/>
      </vt:variant>
      <vt:variant>
        <vt:lpwstr>_Toc151418735</vt:lpwstr>
      </vt:variant>
      <vt:variant>
        <vt:i4>1900598</vt:i4>
      </vt:variant>
      <vt:variant>
        <vt:i4>1784</vt:i4>
      </vt:variant>
      <vt:variant>
        <vt:i4>0</vt:i4>
      </vt:variant>
      <vt:variant>
        <vt:i4>5</vt:i4>
      </vt:variant>
      <vt:variant>
        <vt:lpwstr/>
      </vt:variant>
      <vt:variant>
        <vt:lpwstr>_Toc151418734</vt:lpwstr>
      </vt:variant>
      <vt:variant>
        <vt:i4>1900598</vt:i4>
      </vt:variant>
      <vt:variant>
        <vt:i4>1778</vt:i4>
      </vt:variant>
      <vt:variant>
        <vt:i4>0</vt:i4>
      </vt:variant>
      <vt:variant>
        <vt:i4>5</vt:i4>
      </vt:variant>
      <vt:variant>
        <vt:lpwstr/>
      </vt:variant>
      <vt:variant>
        <vt:lpwstr>_Toc151418733</vt:lpwstr>
      </vt:variant>
      <vt:variant>
        <vt:i4>1900598</vt:i4>
      </vt:variant>
      <vt:variant>
        <vt:i4>1772</vt:i4>
      </vt:variant>
      <vt:variant>
        <vt:i4>0</vt:i4>
      </vt:variant>
      <vt:variant>
        <vt:i4>5</vt:i4>
      </vt:variant>
      <vt:variant>
        <vt:lpwstr/>
      </vt:variant>
      <vt:variant>
        <vt:lpwstr>_Toc151418732</vt:lpwstr>
      </vt:variant>
      <vt:variant>
        <vt:i4>1900598</vt:i4>
      </vt:variant>
      <vt:variant>
        <vt:i4>1766</vt:i4>
      </vt:variant>
      <vt:variant>
        <vt:i4>0</vt:i4>
      </vt:variant>
      <vt:variant>
        <vt:i4>5</vt:i4>
      </vt:variant>
      <vt:variant>
        <vt:lpwstr/>
      </vt:variant>
      <vt:variant>
        <vt:lpwstr>_Toc151418731</vt:lpwstr>
      </vt:variant>
      <vt:variant>
        <vt:i4>1900598</vt:i4>
      </vt:variant>
      <vt:variant>
        <vt:i4>1760</vt:i4>
      </vt:variant>
      <vt:variant>
        <vt:i4>0</vt:i4>
      </vt:variant>
      <vt:variant>
        <vt:i4>5</vt:i4>
      </vt:variant>
      <vt:variant>
        <vt:lpwstr/>
      </vt:variant>
      <vt:variant>
        <vt:lpwstr>_Toc151418730</vt:lpwstr>
      </vt:variant>
      <vt:variant>
        <vt:i4>1835062</vt:i4>
      </vt:variant>
      <vt:variant>
        <vt:i4>1751</vt:i4>
      </vt:variant>
      <vt:variant>
        <vt:i4>0</vt:i4>
      </vt:variant>
      <vt:variant>
        <vt:i4>5</vt:i4>
      </vt:variant>
      <vt:variant>
        <vt:lpwstr/>
      </vt:variant>
      <vt:variant>
        <vt:lpwstr>_Toc151418729</vt:lpwstr>
      </vt:variant>
      <vt:variant>
        <vt:i4>1835062</vt:i4>
      </vt:variant>
      <vt:variant>
        <vt:i4>1745</vt:i4>
      </vt:variant>
      <vt:variant>
        <vt:i4>0</vt:i4>
      </vt:variant>
      <vt:variant>
        <vt:i4>5</vt:i4>
      </vt:variant>
      <vt:variant>
        <vt:lpwstr/>
      </vt:variant>
      <vt:variant>
        <vt:lpwstr>_Toc151418728</vt:lpwstr>
      </vt:variant>
      <vt:variant>
        <vt:i4>1835062</vt:i4>
      </vt:variant>
      <vt:variant>
        <vt:i4>1739</vt:i4>
      </vt:variant>
      <vt:variant>
        <vt:i4>0</vt:i4>
      </vt:variant>
      <vt:variant>
        <vt:i4>5</vt:i4>
      </vt:variant>
      <vt:variant>
        <vt:lpwstr/>
      </vt:variant>
      <vt:variant>
        <vt:lpwstr>_Toc151418727</vt:lpwstr>
      </vt:variant>
      <vt:variant>
        <vt:i4>1835062</vt:i4>
      </vt:variant>
      <vt:variant>
        <vt:i4>1733</vt:i4>
      </vt:variant>
      <vt:variant>
        <vt:i4>0</vt:i4>
      </vt:variant>
      <vt:variant>
        <vt:i4>5</vt:i4>
      </vt:variant>
      <vt:variant>
        <vt:lpwstr/>
      </vt:variant>
      <vt:variant>
        <vt:lpwstr>_Toc151418726</vt:lpwstr>
      </vt:variant>
      <vt:variant>
        <vt:i4>1835062</vt:i4>
      </vt:variant>
      <vt:variant>
        <vt:i4>1727</vt:i4>
      </vt:variant>
      <vt:variant>
        <vt:i4>0</vt:i4>
      </vt:variant>
      <vt:variant>
        <vt:i4>5</vt:i4>
      </vt:variant>
      <vt:variant>
        <vt:lpwstr/>
      </vt:variant>
      <vt:variant>
        <vt:lpwstr>_Toc151418725</vt:lpwstr>
      </vt:variant>
      <vt:variant>
        <vt:i4>1835062</vt:i4>
      </vt:variant>
      <vt:variant>
        <vt:i4>1721</vt:i4>
      </vt:variant>
      <vt:variant>
        <vt:i4>0</vt:i4>
      </vt:variant>
      <vt:variant>
        <vt:i4>5</vt:i4>
      </vt:variant>
      <vt:variant>
        <vt:lpwstr/>
      </vt:variant>
      <vt:variant>
        <vt:lpwstr>_Toc151418724</vt:lpwstr>
      </vt:variant>
      <vt:variant>
        <vt:i4>1835062</vt:i4>
      </vt:variant>
      <vt:variant>
        <vt:i4>1715</vt:i4>
      </vt:variant>
      <vt:variant>
        <vt:i4>0</vt:i4>
      </vt:variant>
      <vt:variant>
        <vt:i4>5</vt:i4>
      </vt:variant>
      <vt:variant>
        <vt:lpwstr/>
      </vt:variant>
      <vt:variant>
        <vt:lpwstr>_Toc151418723</vt:lpwstr>
      </vt:variant>
      <vt:variant>
        <vt:i4>1114161</vt:i4>
      </vt:variant>
      <vt:variant>
        <vt:i4>1706</vt:i4>
      </vt:variant>
      <vt:variant>
        <vt:i4>0</vt:i4>
      </vt:variant>
      <vt:variant>
        <vt:i4>5</vt:i4>
      </vt:variant>
      <vt:variant>
        <vt:lpwstr/>
      </vt:variant>
      <vt:variant>
        <vt:lpwstr>_Toc152250710</vt:lpwstr>
      </vt:variant>
      <vt:variant>
        <vt:i4>1048625</vt:i4>
      </vt:variant>
      <vt:variant>
        <vt:i4>1700</vt:i4>
      </vt:variant>
      <vt:variant>
        <vt:i4>0</vt:i4>
      </vt:variant>
      <vt:variant>
        <vt:i4>5</vt:i4>
      </vt:variant>
      <vt:variant>
        <vt:lpwstr/>
      </vt:variant>
      <vt:variant>
        <vt:lpwstr>_Toc152250709</vt:lpwstr>
      </vt:variant>
      <vt:variant>
        <vt:i4>1048625</vt:i4>
      </vt:variant>
      <vt:variant>
        <vt:i4>1694</vt:i4>
      </vt:variant>
      <vt:variant>
        <vt:i4>0</vt:i4>
      </vt:variant>
      <vt:variant>
        <vt:i4>5</vt:i4>
      </vt:variant>
      <vt:variant>
        <vt:lpwstr/>
      </vt:variant>
      <vt:variant>
        <vt:lpwstr>_Toc152250708</vt:lpwstr>
      </vt:variant>
      <vt:variant>
        <vt:i4>1048625</vt:i4>
      </vt:variant>
      <vt:variant>
        <vt:i4>1688</vt:i4>
      </vt:variant>
      <vt:variant>
        <vt:i4>0</vt:i4>
      </vt:variant>
      <vt:variant>
        <vt:i4>5</vt:i4>
      </vt:variant>
      <vt:variant>
        <vt:lpwstr/>
      </vt:variant>
      <vt:variant>
        <vt:lpwstr>_Toc152250707</vt:lpwstr>
      </vt:variant>
      <vt:variant>
        <vt:i4>1048625</vt:i4>
      </vt:variant>
      <vt:variant>
        <vt:i4>1682</vt:i4>
      </vt:variant>
      <vt:variant>
        <vt:i4>0</vt:i4>
      </vt:variant>
      <vt:variant>
        <vt:i4>5</vt:i4>
      </vt:variant>
      <vt:variant>
        <vt:lpwstr/>
      </vt:variant>
      <vt:variant>
        <vt:lpwstr>_Toc152250706</vt:lpwstr>
      </vt:variant>
      <vt:variant>
        <vt:i4>1048625</vt:i4>
      </vt:variant>
      <vt:variant>
        <vt:i4>1676</vt:i4>
      </vt:variant>
      <vt:variant>
        <vt:i4>0</vt:i4>
      </vt:variant>
      <vt:variant>
        <vt:i4>5</vt:i4>
      </vt:variant>
      <vt:variant>
        <vt:lpwstr/>
      </vt:variant>
      <vt:variant>
        <vt:lpwstr>_Toc152250705</vt:lpwstr>
      </vt:variant>
      <vt:variant>
        <vt:i4>1048625</vt:i4>
      </vt:variant>
      <vt:variant>
        <vt:i4>1670</vt:i4>
      </vt:variant>
      <vt:variant>
        <vt:i4>0</vt:i4>
      </vt:variant>
      <vt:variant>
        <vt:i4>5</vt:i4>
      </vt:variant>
      <vt:variant>
        <vt:lpwstr/>
      </vt:variant>
      <vt:variant>
        <vt:lpwstr>_Toc152250704</vt:lpwstr>
      </vt:variant>
      <vt:variant>
        <vt:i4>1048625</vt:i4>
      </vt:variant>
      <vt:variant>
        <vt:i4>1664</vt:i4>
      </vt:variant>
      <vt:variant>
        <vt:i4>0</vt:i4>
      </vt:variant>
      <vt:variant>
        <vt:i4>5</vt:i4>
      </vt:variant>
      <vt:variant>
        <vt:lpwstr/>
      </vt:variant>
      <vt:variant>
        <vt:lpwstr>_Toc152250703</vt:lpwstr>
      </vt:variant>
      <vt:variant>
        <vt:i4>1048625</vt:i4>
      </vt:variant>
      <vt:variant>
        <vt:i4>1658</vt:i4>
      </vt:variant>
      <vt:variant>
        <vt:i4>0</vt:i4>
      </vt:variant>
      <vt:variant>
        <vt:i4>5</vt:i4>
      </vt:variant>
      <vt:variant>
        <vt:lpwstr/>
      </vt:variant>
      <vt:variant>
        <vt:lpwstr>_Toc152250702</vt:lpwstr>
      </vt:variant>
      <vt:variant>
        <vt:i4>1048625</vt:i4>
      </vt:variant>
      <vt:variant>
        <vt:i4>1652</vt:i4>
      </vt:variant>
      <vt:variant>
        <vt:i4>0</vt:i4>
      </vt:variant>
      <vt:variant>
        <vt:i4>5</vt:i4>
      </vt:variant>
      <vt:variant>
        <vt:lpwstr/>
      </vt:variant>
      <vt:variant>
        <vt:lpwstr>_Toc152250701</vt:lpwstr>
      </vt:variant>
      <vt:variant>
        <vt:i4>1048625</vt:i4>
      </vt:variant>
      <vt:variant>
        <vt:i4>1646</vt:i4>
      </vt:variant>
      <vt:variant>
        <vt:i4>0</vt:i4>
      </vt:variant>
      <vt:variant>
        <vt:i4>5</vt:i4>
      </vt:variant>
      <vt:variant>
        <vt:lpwstr/>
      </vt:variant>
      <vt:variant>
        <vt:lpwstr>_Toc152250700</vt:lpwstr>
      </vt:variant>
      <vt:variant>
        <vt:i4>1638448</vt:i4>
      </vt:variant>
      <vt:variant>
        <vt:i4>1640</vt:i4>
      </vt:variant>
      <vt:variant>
        <vt:i4>0</vt:i4>
      </vt:variant>
      <vt:variant>
        <vt:i4>5</vt:i4>
      </vt:variant>
      <vt:variant>
        <vt:lpwstr/>
      </vt:variant>
      <vt:variant>
        <vt:lpwstr>_Toc152250699</vt:lpwstr>
      </vt:variant>
      <vt:variant>
        <vt:i4>1638448</vt:i4>
      </vt:variant>
      <vt:variant>
        <vt:i4>1634</vt:i4>
      </vt:variant>
      <vt:variant>
        <vt:i4>0</vt:i4>
      </vt:variant>
      <vt:variant>
        <vt:i4>5</vt:i4>
      </vt:variant>
      <vt:variant>
        <vt:lpwstr/>
      </vt:variant>
      <vt:variant>
        <vt:lpwstr>_Toc152250698</vt:lpwstr>
      </vt:variant>
      <vt:variant>
        <vt:i4>1638448</vt:i4>
      </vt:variant>
      <vt:variant>
        <vt:i4>1628</vt:i4>
      </vt:variant>
      <vt:variant>
        <vt:i4>0</vt:i4>
      </vt:variant>
      <vt:variant>
        <vt:i4>5</vt:i4>
      </vt:variant>
      <vt:variant>
        <vt:lpwstr/>
      </vt:variant>
      <vt:variant>
        <vt:lpwstr>_Toc152250697</vt:lpwstr>
      </vt:variant>
      <vt:variant>
        <vt:i4>1638448</vt:i4>
      </vt:variant>
      <vt:variant>
        <vt:i4>1622</vt:i4>
      </vt:variant>
      <vt:variant>
        <vt:i4>0</vt:i4>
      </vt:variant>
      <vt:variant>
        <vt:i4>5</vt:i4>
      </vt:variant>
      <vt:variant>
        <vt:lpwstr/>
      </vt:variant>
      <vt:variant>
        <vt:lpwstr>_Toc152250696</vt:lpwstr>
      </vt:variant>
      <vt:variant>
        <vt:i4>1638448</vt:i4>
      </vt:variant>
      <vt:variant>
        <vt:i4>1616</vt:i4>
      </vt:variant>
      <vt:variant>
        <vt:i4>0</vt:i4>
      </vt:variant>
      <vt:variant>
        <vt:i4>5</vt:i4>
      </vt:variant>
      <vt:variant>
        <vt:lpwstr/>
      </vt:variant>
      <vt:variant>
        <vt:lpwstr>_Toc152250695</vt:lpwstr>
      </vt:variant>
      <vt:variant>
        <vt:i4>1638448</vt:i4>
      </vt:variant>
      <vt:variant>
        <vt:i4>1610</vt:i4>
      </vt:variant>
      <vt:variant>
        <vt:i4>0</vt:i4>
      </vt:variant>
      <vt:variant>
        <vt:i4>5</vt:i4>
      </vt:variant>
      <vt:variant>
        <vt:lpwstr/>
      </vt:variant>
      <vt:variant>
        <vt:lpwstr>_Toc152250694</vt:lpwstr>
      </vt:variant>
      <vt:variant>
        <vt:i4>1638448</vt:i4>
      </vt:variant>
      <vt:variant>
        <vt:i4>1604</vt:i4>
      </vt:variant>
      <vt:variant>
        <vt:i4>0</vt:i4>
      </vt:variant>
      <vt:variant>
        <vt:i4>5</vt:i4>
      </vt:variant>
      <vt:variant>
        <vt:lpwstr/>
      </vt:variant>
      <vt:variant>
        <vt:lpwstr>_Toc152250693</vt:lpwstr>
      </vt:variant>
      <vt:variant>
        <vt:i4>1638448</vt:i4>
      </vt:variant>
      <vt:variant>
        <vt:i4>1598</vt:i4>
      </vt:variant>
      <vt:variant>
        <vt:i4>0</vt:i4>
      </vt:variant>
      <vt:variant>
        <vt:i4>5</vt:i4>
      </vt:variant>
      <vt:variant>
        <vt:lpwstr/>
      </vt:variant>
      <vt:variant>
        <vt:lpwstr>_Toc152250692</vt:lpwstr>
      </vt:variant>
      <vt:variant>
        <vt:i4>1638448</vt:i4>
      </vt:variant>
      <vt:variant>
        <vt:i4>1592</vt:i4>
      </vt:variant>
      <vt:variant>
        <vt:i4>0</vt:i4>
      </vt:variant>
      <vt:variant>
        <vt:i4>5</vt:i4>
      </vt:variant>
      <vt:variant>
        <vt:lpwstr/>
      </vt:variant>
      <vt:variant>
        <vt:lpwstr>_Toc152250691</vt:lpwstr>
      </vt:variant>
      <vt:variant>
        <vt:i4>1638448</vt:i4>
      </vt:variant>
      <vt:variant>
        <vt:i4>1586</vt:i4>
      </vt:variant>
      <vt:variant>
        <vt:i4>0</vt:i4>
      </vt:variant>
      <vt:variant>
        <vt:i4>5</vt:i4>
      </vt:variant>
      <vt:variant>
        <vt:lpwstr/>
      </vt:variant>
      <vt:variant>
        <vt:lpwstr>_Toc152250690</vt:lpwstr>
      </vt:variant>
      <vt:variant>
        <vt:i4>1572912</vt:i4>
      </vt:variant>
      <vt:variant>
        <vt:i4>1580</vt:i4>
      </vt:variant>
      <vt:variant>
        <vt:i4>0</vt:i4>
      </vt:variant>
      <vt:variant>
        <vt:i4>5</vt:i4>
      </vt:variant>
      <vt:variant>
        <vt:lpwstr/>
      </vt:variant>
      <vt:variant>
        <vt:lpwstr>_Toc152250689</vt:lpwstr>
      </vt:variant>
      <vt:variant>
        <vt:i4>1572912</vt:i4>
      </vt:variant>
      <vt:variant>
        <vt:i4>1574</vt:i4>
      </vt:variant>
      <vt:variant>
        <vt:i4>0</vt:i4>
      </vt:variant>
      <vt:variant>
        <vt:i4>5</vt:i4>
      </vt:variant>
      <vt:variant>
        <vt:lpwstr/>
      </vt:variant>
      <vt:variant>
        <vt:lpwstr>_Toc152250688</vt:lpwstr>
      </vt:variant>
      <vt:variant>
        <vt:i4>1572912</vt:i4>
      </vt:variant>
      <vt:variant>
        <vt:i4>1568</vt:i4>
      </vt:variant>
      <vt:variant>
        <vt:i4>0</vt:i4>
      </vt:variant>
      <vt:variant>
        <vt:i4>5</vt:i4>
      </vt:variant>
      <vt:variant>
        <vt:lpwstr/>
      </vt:variant>
      <vt:variant>
        <vt:lpwstr>_Toc152250687</vt:lpwstr>
      </vt:variant>
      <vt:variant>
        <vt:i4>1572912</vt:i4>
      </vt:variant>
      <vt:variant>
        <vt:i4>1562</vt:i4>
      </vt:variant>
      <vt:variant>
        <vt:i4>0</vt:i4>
      </vt:variant>
      <vt:variant>
        <vt:i4>5</vt:i4>
      </vt:variant>
      <vt:variant>
        <vt:lpwstr/>
      </vt:variant>
      <vt:variant>
        <vt:lpwstr>_Toc152250686</vt:lpwstr>
      </vt:variant>
      <vt:variant>
        <vt:i4>1572912</vt:i4>
      </vt:variant>
      <vt:variant>
        <vt:i4>1556</vt:i4>
      </vt:variant>
      <vt:variant>
        <vt:i4>0</vt:i4>
      </vt:variant>
      <vt:variant>
        <vt:i4>5</vt:i4>
      </vt:variant>
      <vt:variant>
        <vt:lpwstr/>
      </vt:variant>
      <vt:variant>
        <vt:lpwstr>_Toc152250685</vt:lpwstr>
      </vt:variant>
      <vt:variant>
        <vt:i4>1572912</vt:i4>
      </vt:variant>
      <vt:variant>
        <vt:i4>1550</vt:i4>
      </vt:variant>
      <vt:variant>
        <vt:i4>0</vt:i4>
      </vt:variant>
      <vt:variant>
        <vt:i4>5</vt:i4>
      </vt:variant>
      <vt:variant>
        <vt:lpwstr/>
      </vt:variant>
      <vt:variant>
        <vt:lpwstr>_Toc152250684</vt:lpwstr>
      </vt:variant>
      <vt:variant>
        <vt:i4>1572912</vt:i4>
      </vt:variant>
      <vt:variant>
        <vt:i4>1544</vt:i4>
      </vt:variant>
      <vt:variant>
        <vt:i4>0</vt:i4>
      </vt:variant>
      <vt:variant>
        <vt:i4>5</vt:i4>
      </vt:variant>
      <vt:variant>
        <vt:lpwstr/>
      </vt:variant>
      <vt:variant>
        <vt:lpwstr>_Toc152250683</vt:lpwstr>
      </vt:variant>
      <vt:variant>
        <vt:i4>1572912</vt:i4>
      </vt:variant>
      <vt:variant>
        <vt:i4>1538</vt:i4>
      </vt:variant>
      <vt:variant>
        <vt:i4>0</vt:i4>
      </vt:variant>
      <vt:variant>
        <vt:i4>5</vt:i4>
      </vt:variant>
      <vt:variant>
        <vt:lpwstr/>
      </vt:variant>
      <vt:variant>
        <vt:lpwstr>_Toc152250682</vt:lpwstr>
      </vt:variant>
      <vt:variant>
        <vt:i4>1572912</vt:i4>
      </vt:variant>
      <vt:variant>
        <vt:i4>1532</vt:i4>
      </vt:variant>
      <vt:variant>
        <vt:i4>0</vt:i4>
      </vt:variant>
      <vt:variant>
        <vt:i4>5</vt:i4>
      </vt:variant>
      <vt:variant>
        <vt:lpwstr/>
      </vt:variant>
      <vt:variant>
        <vt:lpwstr>_Toc152250681</vt:lpwstr>
      </vt:variant>
      <vt:variant>
        <vt:i4>1572912</vt:i4>
      </vt:variant>
      <vt:variant>
        <vt:i4>1526</vt:i4>
      </vt:variant>
      <vt:variant>
        <vt:i4>0</vt:i4>
      </vt:variant>
      <vt:variant>
        <vt:i4>5</vt:i4>
      </vt:variant>
      <vt:variant>
        <vt:lpwstr/>
      </vt:variant>
      <vt:variant>
        <vt:lpwstr>_Toc152250680</vt:lpwstr>
      </vt:variant>
      <vt:variant>
        <vt:i4>1507376</vt:i4>
      </vt:variant>
      <vt:variant>
        <vt:i4>1520</vt:i4>
      </vt:variant>
      <vt:variant>
        <vt:i4>0</vt:i4>
      </vt:variant>
      <vt:variant>
        <vt:i4>5</vt:i4>
      </vt:variant>
      <vt:variant>
        <vt:lpwstr/>
      </vt:variant>
      <vt:variant>
        <vt:lpwstr>_Toc152250679</vt:lpwstr>
      </vt:variant>
      <vt:variant>
        <vt:i4>1507376</vt:i4>
      </vt:variant>
      <vt:variant>
        <vt:i4>1514</vt:i4>
      </vt:variant>
      <vt:variant>
        <vt:i4>0</vt:i4>
      </vt:variant>
      <vt:variant>
        <vt:i4>5</vt:i4>
      </vt:variant>
      <vt:variant>
        <vt:lpwstr/>
      </vt:variant>
      <vt:variant>
        <vt:lpwstr>_Toc152250678</vt:lpwstr>
      </vt:variant>
      <vt:variant>
        <vt:i4>1507376</vt:i4>
      </vt:variant>
      <vt:variant>
        <vt:i4>1508</vt:i4>
      </vt:variant>
      <vt:variant>
        <vt:i4>0</vt:i4>
      </vt:variant>
      <vt:variant>
        <vt:i4>5</vt:i4>
      </vt:variant>
      <vt:variant>
        <vt:lpwstr/>
      </vt:variant>
      <vt:variant>
        <vt:lpwstr>_Toc152250677</vt:lpwstr>
      </vt:variant>
      <vt:variant>
        <vt:i4>1507376</vt:i4>
      </vt:variant>
      <vt:variant>
        <vt:i4>1502</vt:i4>
      </vt:variant>
      <vt:variant>
        <vt:i4>0</vt:i4>
      </vt:variant>
      <vt:variant>
        <vt:i4>5</vt:i4>
      </vt:variant>
      <vt:variant>
        <vt:lpwstr/>
      </vt:variant>
      <vt:variant>
        <vt:lpwstr>_Toc152250676</vt:lpwstr>
      </vt:variant>
      <vt:variant>
        <vt:i4>1507376</vt:i4>
      </vt:variant>
      <vt:variant>
        <vt:i4>1496</vt:i4>
      </vt:variant>
      <vt:variant>
        <vt:i4>0</vt:i4>
      </vt:variant>
      <vt:variant>
        <vt:i4>5</vt:i4>
      </vt:variant>
      <vt:variant>
        <vt:lpwstr/>
      </vt:variant>
      <vt:variant>
        <vt:lpwstr>_Toc152250675</vt:lpwstr>
      </vt:variant>
      <vt:variant>
        <vt:i4>1507376</vt:i4>
      </vt:variant>
      <vt:variant>
        <vt:i4>1490</vt:i4>
      </vt:variant>
      <vt:variant>
        <vt:i4>0</vt:i4>
      </vt:variant>
      <vt:variant>
        <vt:i4>5</vt:i4>
      </vt:variant>
      <vt:variant>
        <vt:lpwstr/>
      </vt:variant>
      <vt:variant>
        <vt:lpwstr>_Toc152250674</vt:lpwstr>
      </vt:variant>
      <vt:variant>
        <vt:i4>1507376</vt:i4>
      </vt:variant>
      <vt:variant>
        <vt:i4>1484</vt:i4>
      </vt:variant>
      <vt:variant>
        <vt:i4>0</vt:i4>
      </vt:variant>
      <vt:variant>
        <vt:i4>5</vt:i4>
      </vt:variant>
      <vt:variant>
        <vt:lpwstr/>
      </vt:variant>
      <vt:variant>
        <vt:lpwstr>_Toc152250673</vt:lpwstr>
      </vt:variant>
      <vt:variant>
        <vt:i4>1507376</vt:i4>
      </vt:variant>
      <vt:variant>
        <vt:i4>1478</vt:i4>
      </vt:variant>
      <vt:variant>
        <vt:i4>0</vt:i4>
      </vt:variant>
      <vt:variant>
        <vt:i4>5</vt:i4>
      </vt:variant>
      <vt:variant>
        <vt:lpwstr/>
      </vt:variant>
      <vt:variant>
        <vt:lpwstr>_Toc152250672</vt:lpwstr>
      </vt:variant>
      <vt:variant>
        <vt:i4>1507376</vt:i4>
      </vt:variant>
      <vt:variant>
        <vt:i4>1472</vt:i4>
      </vt:variant>
      <vt:variant>
        <vt:i4>0</vt:i4>
      </vt:variant>
      <vt:variant>
        <vt:i4>5</vt:i4>
      </vt:variant>
      <vt:variant>
        <vt:lpwstr/>
      </vt:variant>
      <vt:variant>
        <vt:lpwstr>_Toc152250671</vt:lpwstr>
      </vt:variant>
      <vt:variant>
        <vt:i4>1507376</vt:i4>
      </vt:variant>
      <vt:variant>
        <vt:i4>1466</vt:i4>
      </vt:variant>
      <vt:variant>
        <vt:i4>0</vt:i4>
      </vt:variant>
      <vt:variant>
        <vt:i4>5</vt:i4>
      </vt:variant>
      <vt:variant>
        <vt:lpwstr/>
      </vt:variant>
      <vt:variant>
        <vt:lpwstr>_Toc152250670</vt:lpwstr>
      </vt:variant>
      <vt:variant>
        <vt:i4>1441840</vt:i4>
      </vt:variant>
      <vt:variant>
        <vt:i4>1460</vt:i4>
      </vt:variant>
      <vt:variant>
        <vt:i4>0</vt:i4>
      </vt:variant>
      <vt:variant>
        <vt:i4>5</vt:i4>
      </vt:variant>
      <vt:variant>
        <vt:lpwstr/>
      </vt:variant>
      <vt:variant>
        <vt:lpwstr>_Toc152250669</vt:lpwstr>
      </vt:variant>
      <vt:variant>
        <vt:i4>1441840</vt:i4>
      </vt:variant>
      <vt:variant>
        <vt:i4>1454</vt:i4>
      </vt:variant>
      <vt:variant>
        <vt:i4>0</vt:i4>
      </vt:variant>
      <vt:variant>
        <vt:i4>5</vt:i4>
      </vt:variant>
      <vt:variant>
        <vt:lpwstr/>
      </vt:variant>
      <vt:variant>
        <vt:lpwstr>_Toc152250668</vt:lpwstr>
      </vt:variant>
      <vt:variant>
        <vt:i4>1441840</vt:i4>
      </vt:variant>
      <vt:variant>
        <vt:i4>1448</vt:i4>
      </vt:variant>
      <vt:variant>
        <vt:i4>0</vt:i4>
      </vt:variant>
      <vt:variant>
        <vt:i4>5</vt:i4>
      </vt:variant>
      <vt:variant>
        <vt:lpwstr/>
      </vt:variant>
      <vt:variant>
        <vt:lpwstr>_Toc152250667</vt:lpwstr>
      </vt:variant>
      <vt:variant>
        <vt:i4>1441840</vt:i4>
      </vt:variant>
      <vt:variant>
        <vt:i4>1442</vt:i4>
      </vt:variant>
      <vt:variant>
        <vt:i4>0</vt:i4>
      </vt:variant>
      <vt:variant>
        <vt:i4>5</vt:i4>
      </vt:variant>
      <vt:variant>
        <vt:lpwstr/>
      </vt:variant>
      <vt:variant>
        <vt:lpwstr>_Toc152250666</vt:lpwstr>
      </vt:variant>
      <vt:variant>
        <vt:i4>1441840</vt:i4>
      </vt:variant>
      <vt:variant>
        <vt:i4>1436</vt:i4>
      </vt:variant>
      <vt:variant>
        <vt:i4>0</vt:i4>
      </vt:variant>
      <vt:variant>
        <vt:i4>5</vt:i4>
      </vt:variant>
      <vt:variant>
        <vt:lpwstr/>
      </vt:variant>
      <vt:variant>
        <vt:lpwstr>_Toc152250665</vt:lpwstr>
      </vt:variant>
      <vt:variant>
        <vt:i4>1179708</vt:i4>
      </vt:variant>
      <vt:variant>
        <vt:i4>1427</vt:i4>
      </vt:variant>
      <vt:variant>
        <vt:i4>0</vt:i4>
      </vt:variant>
      <vt:variant>
        <vt:i4>5</vt:i4>
      </vt:variant>
      <vt:variant>
        <vt:lpwstr/>
      </vt:variant>
      <vt:variant>
        <vt:lpwstr>_Toc152595603</vt:lpwstr>
      </vt:variant>
      <vt:variant>
        <vt:i4>1179708</vt:i4>
      </vt:variant>
      <vt:variant>
        <vt:i4>1421</vt:i4>
      </vt:variant>
      <vt:variant>
        <vt:i4>0</vt:i4>
      </vt:variant>
      <vt:variant>
        <vt:i4>5</vt:i4>
      </vt:variant>
      <vt:variant>
        <vt:lpwstr/>
      </vt:variant>
      <vt:variant>
        <vt:lpwstr>_Toc152595602</vt:lpwstr>
      </vt:variant>
      <vt:variant>
        <vt:i4>1179708</vt:i4>
      </vt:variant>
      <vt:variant>
        <vt:i4>1415</vt:i4>
      </vt:variant>
      <vt:variant>
        <vt:i4>0</vt:i4>
      </vt:variant>
      <vt:variant>
        <vt:i4>5</vt:i4>
      </vt:variant>
      <vt:variant>
        <vt:lpwstr/>
      </vt:variant>
      <vt:variant>
        <vt:lpwstr>_Toc152595601</vt:lpwstr>
      </vt:variant>
      <vt:variant>
        <vt:i4>1179708</vt:i4>
      </vt:variant>
      <vt:variant>
        <vt:i4>1409</vt:i4>
      </vt:variant>
      <vt:variant>
        <vt:i4>0</vt:i4>
      </vt:variant>
      <vt:variant>
        <vt:i4>5</vt:i4>
      </vt:variant>
      <vt:variant>
        <vt:lpwstr/>
      </vt:variant>
      <vt:variant>
        <vt:lpwstr>_Toc152595600</vt:lpwstr>
      </vt:variant>
      <vt:variant>
        <vt:i4>1769535</vt:i4>
      </vt:variant>
      <vt:variant>
        <vt:i4>1403</vt:i4>
      </vt:variant>
      <vt:variant>
        <vt:i4>0</vt:i4>
      </vt:variant>
      <vt:variant>
        <vt:i4>5</vt:i4>
      </vt:variant>
      <vt:variant>
        <vt:lpwstr/>
      </vt:variant>
      <vt:variant>
        <vt:lpwstr>_Toc152595599</vt:lpwstr>
      </vt:variant>
      <vt:variant>
        <vt:i4>1769535</vt:i4>
      </vt:variant>
      <vt:variant>
        <vt:i4>1397</vt:i4>
      </vt:variant>
      <vt:variant>
        <vt:i4>0</vt:i4>
      </vt:variant>
      <vt:variant>
        <vt:i4>5</vt:i4>
      </vt:variant>
      <vt:variant>
        <vt:lpwstr/>
      </vt:variant>
      <vt:variant>
        <vt:lpwstr>_Toc152595598</vt:lpwstr>
      </vt:variant>
      <vt:variant>
        <vt:i4>1769535</vt:i4>
      </vt:variant>
      <vt:variant>
        <vt:i4>1391</vt:i4>
      </vt:variant>
      <vt:variant>
        <vt:i4>0</vt:i4>
      </vt:variant>
      <vt:variant>
        <vt:i4>5</vt:i4>
      </vt:variant>
      <vt:variant>
        <vt:lpwstr/>
      </vt:variant>
      <vt:variant>
        <vt:lpwstr>_Toc152595597</vt:lpwstr>
      </vt:variant>
      <vt:variant>
        <vt:i4>1769535</vt:i4>
      </vt:variant>
      <vt:variant>
        <vt:i4>1385</vt:i4>
      </vt:variant>
      <vt:variant>
        <vt:i4>0</vt:i4>
      </vt:variant>
      <vt:variant>
        <vt:i4>5</vt:i4>
      </vt:variant>
      <vt:variant>
        <vt:lpwstr/>
      </vt:variant>
      <vt:variant>
        <vt:lpwstr>_Toc152595596</vt:lpwstr>
      </vt:variant>
      <vt:variant>
        <vt:i4>1769535</vt:i4>
      </vt:variant>
      <vt:variant>
        <vt:i4>1379</vt:i4>
      </vt:variant>
      <vt:variant>
        <vt:i4>0</vt:i4>
      </vt:variant>
      <vt:variant>
        <vt:i4>5</vt:i4>
      </vt:variant>
      <vt:variant>
        <vt:lpwstr/>
      </vt:variant>
      <vt:variant>
        <vt:lpwstr>_Toc152595595</vt:lpwstr>
      </vt:variant>
      <vt:variant>
        <vt:i4>1769535</vt:i4>
      </vt:variant>
      <vt:variant>
        <vt:i4>1373</vt:i4>
      </vt:variant>
      <vt:variant>
        <vt:i4>0</vt:i4>
      </vt:variant>
      <vt:variant>
        <vt:i4>5</vt:i4>
      </vt:variant>
      <vt:variant>
        <vt:lpwstr/>
      </vt:variant>
      <vt:variant>
        <vt:lpwstr>_Toc152595594</vt:lpwstr>
      </vt:variant>
      <vt:variant>
        <vt:i4>1769535</vt:i4>
      </vt:variant>
      <vt:variant>
        <vt:i4>1367</vt:i4>
      </vt:variant>
      <vt:variant>
        <vt:i4>0</vt:i4>
      </vt:variant>
      <vt:variant>
        <vt:i4>5</vt:i4>
      </vt:variant>
      <vt:variant>
        <vt:lpwstr/>
      </vt:variant>
      <vt:variant>
        <vt:lpwstr>_Toc152595593</vt:lpwstr>
      </vt:variant>
      <vt:variant>
        <vt:i4>1769535</vt:i4>
      </vt:variant>
      <vt:variant>
        <vt:i4>1361</vt:i4>
      </vt:variant>
      <vt:variant>
        <vt:i4>0</vt:i4>
      </vt:variant>
      <vt:variant>
        <vt:i4>5</vt:i4>
      </vt:variant>
      <vt:variant>
        <vt:lpwstr/>
      </vt:variant>
      <vt:variant>
        <vt:lpwstr>_Toc152595592</vt:lpwstr>
      </vt:variant>
      <vt:variant>
        <vt:i4>1769535</vt:i4>
      </vt:variant>
      <vt:variant>
        <vt:i4>1355</vt:i4>
      </vt:variant>
      <vt:variant>
        <vt:i4>0</vt:i4>
      </vt:variant>
      <vt:variant>
        <vt:i4>5</vt:i4>
      </vt:variant>
      <vt:variant>
        <vt:lpwstr/>
      </vt:variant>
      <vt:variant>
        <vt:lpwstr>_Toc152595591</vt:lpwstr>
      </vt:variant>
      <vt:variant>
        <vt:i4>1769535</vt:i4>
      </vt:variant>
      <vt:variant>
        <vt:i4>1349</vt:i4>
      </vt:variant>
      <vt:variant>
        <vt:i4>0</vt:i4>
      </vt:variant>
      <vt:variant>
        <vt:i4>5</vt:i4>
      </vt:variant>
      <vt:variant>
        <vt:lpwstr/>
      </vt:variant>
      <vt:variant>
        <vt:lpwstr>_Toc152595590</vt:lpwstr>
      </vt:variant>
      <vt:variant>
        <vt:i4>1703999</vt:i4>
      </vt:variant>
      <vt:variant>
        <vt:i4>1343</vt:i4>
      </vt:variant>
      <vt:variant>
        <vt:i4>0</vt:i4>
      </vt:variant>
      <vt:variant>
        <vt:i4>5</vt:i4>
      </vt:variant>
      <vt:variant>
        <vt:lpwstr/>
      </vt:variant>
      <vt:variant>
        <vt:lpwstr>_Toc152595589</vt:lpwstr>
      </vt:variant>
      <vt:variant>
        <vt:i4>1703999</vt:i4>
      </vt:variant>
      <vt:variant>
        <vt:i4>1337</vt:i4>
      </vt:variant>
      <vt:variant>
        <vt:i4>0</vt:i4>
      </vt:variant>
      <vt:variant>
        <vt:i4>5</vt:i4>
      </vt:variant>
      <vt:variant>
        <vt:lpwstr/>
      </vt:variant>
      <vt:variant>
        <vt:lpwstr>_Toc152595588</vt:lpwstr>
      </vt:variant>
      <vt:variant>
        <vt:i4>1703999</vt:i4>
      </vt:variant>
      <vt:variant>
        <vt:i4>1331</vt:i4>
      </vt:variant>
      <vt:variant>
        <vt:i4>0</vt:i4>
      </vt:variant>
      <vt:variant>
        <vt:i4>5</vt:i4>
      </vt:variant>
      <vt:variant>
        <vt:lpwstr/>
      </vt:variant>
      <vt:variant>
        <vt:lpwstr>_Toc152595587</vt:lpwstr>
      </vt:variant>
      <vt:variant>
        <vt:i4>1703999</vt:i4>
      </vt:variant>
      <vt:variant>
        <vt:i4>1325</vt:i4>
      </vt:variant>
      <vt:variant>
        <vt:i4>0</vt:i4>
      </vt:variant>
      <vt:variant>
        <vt:i4>5</vt:i4>
      </vt:variant>
      <vt:variant>
        <vt:lpwstr/>
      </vt:variant>
      <vt:variant>
        <vt:lpwstr>_Toc152595586</vt:lpwstr>
      </vt:variant>
      <vt:variant>
        <vt:i4>1703999</vt:i4>
      </vt:variant>
      <vt:variant>
        <vt:i4>1319</vt:i4>
      </vt:variant>
      <vt:variant>
        <vt:i4>0</vt:i4>
      </vt:variant>
      <vt:variant>
        <vt:i4>5</vt:i4>
      </vt:variant>
      <vt:variant>
        <vt:lpwstr/>
      </vt:variant>
      <vt:variant>
        <vt:lpwstr>_Toc152595585</vt:lpwstr>
      </vt:variant>
      <vt:variant>
        <vt:i4>1703999</vt:i4>
      </vt:variant>
      <vt:variant>
        <vt:i4>1313</vt:i4>
      </vt:variant>
      <vt:variant>
        <vt:i4>0</vt:i4>
      </vt:variant>
      <vt:variant>
        <vt:i4>5</vt:i4>
      </vt:variant>
      <vt:variant>
        <vt:lpwstr/>
      </vt:variant>
      <vt:variant>
        <vt:lpwstr>_Toc152595584</vt:lpwstr>
      </vt:variant>
      <vt:variant>
        <vt:i4>1703999</vt:i4>
      </vt:variant>
      <vt:variant>
        <vt:i4>1307</vt:i4>
      </vt:variant>
      <vt:variant>
        <vt:i4>0</vt:i4>
      </vt:variant>
      <vt:variant>
        <vt:i4>5</vt:i4>
      </vt:variant>
      <vt:variant>
        <vt:lpwstr/>
      </vt:variant>
      <vt:variant>
        <vt:lpwstr>_Toc152595583</vt:lpwstr>
      </vt:variant>
      <vt:variant>
        <vt:i4>1703999</vt:i4>
      </vt:variant>
      <vt:variant>
        <vt:i4>1301</vt:i4>
      </vt:variant>
      <vt:variant>
        <vt:i4>0</vt:i4>
      </vt:variant>
      <vt:variant>
        <vt:i4>5</vt:i4>
      </vt:variant>
      <vt:variant>
        <vt:lpwstr/>
      </vt:variant>
      <vt:variant>
        <vt:lpwstr>_Toc152595582</vt:lpwstr>
      </vt:variant>
      <vt:variant>
        <vt:i4>1703999</vt:i4>
      </vt:variant>
      <vt:variant>
        <vt:i4>1295</vt:i4>
      </vt:variant>
      <vt:variant>
        <vt:i4>0</vt:i4>
      </vt:variant>
      <vt:variant>
        <vt:i4>5</vt:i4>
      </vt:variant>
      <vt:variant>
        <vt:lpwstr/>
      </vt:variant>
      <vt:variant>
        <vt:lpwstr>_Toc152595581</vt:lpwstr>
      </vt:variant>
      <vt:variant>
        <vt:i4>1703999</vt:i4>
      </vt:variant>
      <vt:variant>
        <vt:i4>1289</vt:i4>
      </vt:variant>
      <vt:variant>
        <vt:i4>0</vt:i4>
      </vt:variant>
      <vt:variant>
        <vt:i4>5</vt:i4>
      </vt:variant>
      <vt:variant>
        <vt:lpwstr/>
      </vt:variant>
      <vt:variant>
        <vt:lpwstr>_Toc152595580</vt:lpwstr>
      </vt:variant>
      <vt:variant>
        <vt:i4>1376319</vt:i4>
      </vt:variant>
      <vt:variant>
        <vt:i4>1283</vt:i4>
      </vt:variant>
      <vt:variant>
        <vt:i4>0</vt:i4>
      </vt:variant>
      <vt:variant>
        <vt:i4>5</vt:i4>
      </vt:variant>
      <vt:variant>
        <vt:lpwstr/>
      </vt:variant>
      <vt:variant>
        <vt:lpwstr>_Toc152595579</vt:lpwstr>
      </vt:variant>
      <vt:variant>
        <vt:i4>1376319</vt:i4>
      </vt:variant>
      <vt:variant>
        <vt:i4>1277</vt:i4>
      </vt:variant>
      <vt:variant>
        <vt:i4>0</vt:i4>
      </vt:variant>
      <vt:variant>
        <vt:i4>5</vt:i4>
      </vt:variant>
      <vt:variant>
        <vt:lpwstr/>
      </vt:variant>
      <vt:variant>
        <vt:lpwstr>_Toc152595578</vt:lpwstr>
      </vt:variant>
      <vt:variant>
        <vt:i4>1376319</vt:i4>
      </vt:variant>
      <vt:variant>
        <vt:i4>1271</vt:i4>
      </vt:variant>
      <vt:variant>
        <vt:i4>0</vt:i4>
      </vt:variant>
      <vt:variant>
        <vt:i4>5</vt:i4>
      </vt:variant>
      <vt:variant>
        <vt:lpwstr/>
      </vt:variant>
      <vt:variant>
        <vt:lpwstr>_Toc152595577</vt:lpwstr>
      </vt:variant>
      <vt:variant>
        <vt:i4>1376319</vt:i4>
      </vt:variant>
      <vt:variant>
        <vt:i4>1265</vt:i4>
      </vt:variant>
      <vt:variant>
        <vt:i4>0</vt:i4>
      </vt:variant>
      <vt:variant>
        <vt:i4>5</vt:i4>
      </vt:variant>
      <vt:variant>
        <vt:lpwstr/>
      </vt:variant>
      <vt:variant>
        <vt:lpwstr>_Toc152595576</vt:lpwstr>
      </vt:variant>
      <vt:variant>
        <vt:i4>1376319</vt:i4>
      </vt:variant>
      <vt:variant>
        <vt:i4>1259</vt:i4>
      </vt:variant>
      <vt:variant>
        <vt:i4>0</vt:i4>
      </vt:variant>
      <vt:variant>
        <vt:i4>5</vt:i4>
      </vt:variant>
      <vt:variant>
        <vt:lpwstr/>
      </vt:variant>
      <vt:variant>
        <vt:lpwstr>_Toc152595575</vt:lpwstr>
      </vt:variant>
      <vt:variant>
        <vt:i4>1376319</vt:i4>
      </vt:variant>
      <vt:variant>
        <vt:i4>1253</vt:i4>
      </vt:variant>
      <vt:variant>
        <vt:i4>0</vt:i4>
      </vt:variant>
      <vt:variant>
        <vt:i4>5</vt:i4>
      </vt:variant>
      <vt:variant>
        <vt:lpwstr/>
      </vt:variant>
      <vt:variant>
        <vt:lpwstr>_Toc152595574</vt:lpwstr>
      </vt:variant>
      <vt:variant>
        <vt:i4>1376319</vt:i4>
      </vt:variant>
      <vt:variant>
        <vt:i4>1247</vt:i4>
      </vt:variant>
      <vt:variant>
        <vt:i4>0</vt:i4>
      </vt:variant>
      <vt:variant>
        <vt:i4>5</vt:i4>
      </vt:variant>
      <vt:variant>
        <vt:lpwstr/>
      </vt:variant>
      <vt:variant>
        <vt:lpwstr>_Toc152595573</vt:lpwstr>
      </vt:variant>
      <vt:variant>
        <vt:i4>1376319</vt:i4>
      </vt:variant>
      <vt:variant>
        <vt:i4>1241</vt:i4>
      </vt:variant>
      <vt:variant>
        <vt:i4>0</vt:i4>
      </vt:variant>
      <vt:variant>
        <vt:i4>5</vt:i4>
      </vt:variant>
      <vt:variant>
        <vt:lpwstr/>
      </vt:variant>
      <vt:variant>
        <vt:lpwstr>_Toc152595572</vt:lpwstr>
      </vt:variant>
      <vt:variant>
        <vt:i4>1376319</vt:i4>
      </vt:variant>
      <vt:variant>
        <vt:i4>1235</vt:i4>
      </vt:variant>
      <vt:variant>
        <vt:i4>0</vt:i4>
      </vt:variant>
      <vt:variant>
        <vt:i4>5</vt:i4>
      </vt:variant>
      <vt:variant>
        <vt:lpwstr/>
      </vt:variant>
      <vt:variant>
        <vt:lpwstr>_Toc152595571</vt:lpwstr>
      </vt:variant>
      <vt:variant>
        <vt:i4>1376319</vt:i4>
      </vt:variant>
      <vt:variant>
        <vt:i4>1229</vt:i4>
      </vt:variant>
      <vt:variant>
        <vt:i4>0</vt:i4>
      </vt:variant>
      <vt:variant>
        <vt:i4>5</vt:i4>
      </vt:variant>
      <vt:variant>
        <vt:lpwstr/>
      </vt:variant>
      <vt:variant>
        <vt:lpwstr>_Toc152595570</vt:lpwstr>
      </vt:variant>
      <vt:variant>
        <vt:i4>1310783</vt:i4>
      </vt:variant>
      <vt:variant>
        <vt:i4>1223</vt:i4>
      </vt:variant>
      <vt:variant>
        <vt:i4>0</vt:i4>
      </vt:variant>
      <vt:variant>
        <vt:i4>5</vt:i4>
      </vt:variant>
      <vt:variant>
        <vt:lpwstr/>
      </vt:variant>
      <vt:variant>
        <vt:lpwstr>_Toc152595569</vt:lpwstr>
      </vt:variant>
      <vt:variant>
        <vt:i4>1310783</vt:i4>
      </vt:variant>
      <vt:variant>
        <vt:i4>1217</vt:i4>
      </vt:variant>
      <vt:variant>
        <vt:i4>0</vt:i4>
      </vt:variant>
      <vt:variant>
        <vt:i4>5</vt:i4>
      </vt:variant>
      <vt:variant>
        <vt:lpwstr/>
      </vt:variant>
      <vt:variant>
        <vt:lpwstr>_Toc152595568</vt:lpwstr>
      </vt:variant>
      <vt:variant>
        <vt:i4>1310783</vt:i4>
      </vt:variant>
      <vt:variant>
        <vt:i4>1211</vt:i4>
      </vt:variant>
      <vt:variant>
        <vt:i4>0</vt:i4>
      </vt:variant>
      <vt:variant>
        <vt:i4>5</vt:i4>
      </vt:variant>
      <vt:variant>
        <vt:lpwstr/>
      </vt:variant>
      <vt:variant>
        <vt:lpwstr>_Toc152595567</vt:lpwstr>
      </vt:variant>
      <vt:variant>
        <vt:i4>1310783</vt:i4>
      </vt:variant>
      <vt:variant>
        <vt:i4>1205</vt:i4>
      </vt:variant>
      <vt:variant>
        <vt:i4>0</vt:i4>
      </vt:variant>
      <vt:variant>
        <vt:i4>5</vt:i4>
      </vt:variant>
      <vt:variant>
        <vt:lpwstr/>
      </vt:variant>
      <vt:variant>
        <vt:lpwstr>_Toc152595566</vt:lpwstr>
      </vt:variant>
      <vt:variant>
        <vt:i4>1310783</vt:i4>
      </vt:variant>
      <vt:variant>
        <vt:i4>1199</vt:i4>
      </vt:variant>
      <vt:variant>
        <vt:i4>0</vt:i4>
      </vt:variant>
      <vt:variant>
        <vt:i4>5</vt:i4>
      </vt:variant>
      <vt:variant>
        <vt:lpwstr/>
      </vt:variant>
      <vt:variant>
        <vt:lpwstr>_Toc152595565</vt:lpwstr>
      </vt:variant>
      <vt:variant>
        <vt:i4>1310783</vt:i4>
      </vt:variant>
      <vt:variant>
        <vt:i4>1193</vt:i4>
      </vt:variant>
      <vt:variant>
        <vt:i4>0</vt:i4>
      </vt:variant>
      <vt:variant>
        <vt:i4>5</vt:i4>
      </vt:variant>
      <vt:variant>
        <vt:lpwstr/>
      </vt:variant>
      <vt:variant>
        <vt:lpwstr>_Toc152595564</vt:lpwstr>
      </vt:variant>
      <vt:variant>
        <vt:i4>1310783</vt:i4>
      </vt:variant>
      <vt:variant>
        <vt:i4>1187</vt:i4>
      </vt:variant>
      <vt:variant>
        <vt:i4>0</vt:i4>
      </vt:variant>
      <vt:variant>
        <vt:i4>5</vt:i4>
      </vt:variant>
      <vt:variant>
        <vt:lpwstr/>
      </vt:variant>
      <vt:variant>
        <vt:lpwstr>_Toc152595563</vt:lpwstr>
      </vt:variant>
      <vt:variant>
        <vt:i4>1310783</vt:i4>
      </vt:variant>
      <vt:variant>
        <vt:i4>1181</vt:i4>
      </vt:variant>
      <vt:variant>
        <vt:i4>0</vt:i4>
      </vt:variant>
      <vt:variant>
        <vt:i4>5</vt:i4>
      </vt:variant>
      <vt:variant>
        <vt:lpwstr/>
      </vt:variant>
      <vt:variant>
        <vt:lpwstr>_Toc152595562</vt:lpwstr>
      </vt:variant>
      <vt:variant>
        <vt:i4>1310783</vt:i4>
      </vt:variant>
      <vt:variant>
        <vt:i4>1175</vt:i4>
      </vt:variant>
      <vt:variant>
        <vt:i4>0</vt:i4>
      </vt:variant>
      <vt:variant>
        <vt:i4>5</vt:i4>
      </vt:variant>
      <vt:variant>
        <vt:lpwstr/>
      </vt:variant>
      <vt:variant>
        <vt:lpwstr>_Toc152595561</vt:lpwstr>
      </vt:variant>
      <vt:variant>
        <vt:i4>1310783</vt:i4>
      </vt:variant>
      <vt:variant>
        <vt:i4>1169</vt:i4>
      </vt:variant>
      <vt:variant>
        <vt:i4>0</vt:i4>
      </vt:variant>
      <vt:variant>
        <vt:i4>5</vt:i4>
      </vt:variant>
      <vt:variant>
        <vt:lpwstr/>
      </vt:variant>
      <vt:variant>
        <vt:lpwstr>_Toc152595560</vt:lpwstr>
      </vt:variant>
      <vt:variant>
        <vt:i4>1507391</vt:i4>
      </vt:variant>
      <vt:variant>
        <vt:i4>1163</vt:i4>
      </vt:variant>
      <vt:variant>
        <vt:i4>0</vt:i4>
      </vt:variant>
      <vt:variant>
        <vt:i4>5</vt:i4>
      </vt:variant>
      <vt:variant>
        <vt:lpwstr/>
      </vt:variant>
      <vt:variant>
        <vt:lpwstr>_Toc152595559</vt:lpwstr>
      </vt:variant>
      <vt:variant>
        <vt:i4>1507391</vt:i4>
      </vt:variant>
      <vt:variant>
        <vt:i4>1157</vt:i4>
      </vt:variant>
      <vt:variant>
        <vt:i4>0</vt:i4>
      </vt:variant>
      <vt:variant>
        <vt:i4>5</vt:i4>
      </vt:variant>
      <vt:variant>
        <vt:lpwstr/>
      </vt:variant>
      <vt:variant>
        <vt:lpwstr>_Toc152595558</vt:lpwstr>
      </vt:variant>
      <vt:variant>
        <vt:i4>1507391</vt:i4>
      </vt:variant>
      <vt:variant>
        <vt:i4>1151</vt:i4>
      </vt:variant>
      <vt:variant>
        <vt:i4>0</vt:i4>
      </vt:variant>
      <vt:variant>
        <vt:i4>5</vt:i4>
      </vt:variant>
      <vt:variant>
        <vt:lpwstr/>
      </vt:variant>
      <vt:variant>
        <vt:lpwstr>_Toc152595557</vt:lpwstr>
      </vt:variant>
      <vt:variant>
        <vt:i4>1507391</vt:i4>
      </vt:variant>
      <vt:variant>
        <vt:i4>1145</vt:i4>
      </vt:variant>
      <vt:variant>
        <vt:i4>0</vt:i4>
      </vt:variant>
      <vt:variant>
        <vt:i4>5</vt:i4>
      </vt:variant>
      <vt:variant>
        <vt:lpwstr/>
      </vt:variant>
      <vt:variant>
        <vt:lpwstr>_Toc152595556</vt:lpwstr>
      </vt:variant>
      <vt:variant>
        <vt:i4>1507391</vt:i4>
      </vt:variant>
      <vt:variant>
        <vt:i4>1139</vt:i4>
      </vt:variant>
      <vt:variant>
        <vt:i4>0</vt:i4>
      </vt:variant>
      <vt:variant>
        <vt:i4>5</vt:i4>
      </vt:variant>
      <vt:variant>
        <vt:lpwstr/>
      </vt:variant>
      <vt:variant>
        <vt:lpwstr>_Toc152595555</vt:lpwstr>
      </vt:variant>
      <vt:variant>
        <vt:i4>1507391</vt:i4>
      </vt:variant>
      <vt:variant>
        <vt:i4>1133</vt:i4>
      </vt:variant>
      <vt:variant>
        <vt:i4>0</vt:i4>
      </vt:variant>
      <vt:variant>
        <vt:i4>5</vt:i4>
      </vt:variant>
      <vt:variant>
        <vt:lpwstr/>
      </vt:variant>
      <vt:variant>
        <vt:lpwstr>_Toc152595554</vt:lpwstr>
      </vt:variant>
      <vt:variant>
        <vt:i4>1507391</vt:i4>
      </vt:variant>
      <vt:variant>
        <vt:i4>1127</vt:i4>
      </vt:variant>
      <vt:variant>
        <vt:i4>0</vt:i4>
      </vt:variant>
      <vt:variant>
        <vt:i4>5</vt:i4>
      </vt:variant>
      <vt:variant>
        <vt:lpwstr/>
      </vt:variant>
      <vt:variant>
        <vt:lpwstr>_Toc152595553</vt:lpwstr>
      </vt:variant>
      <vt:variant>
        <vt:i4>1507391</vt:i4>
      </vt:variant>
      <vt:variant>
        <vt:i4>1121</vt:i4>
      </vt:variant>
      <vt:variant>
        <vt:i4>0</vt:i4>
      </vt:variant>
      <vt:variant>
        <vt:i4>5</vt:i4>
      </vt:variant>
      <vt:variant>
        <vt:lpwstr/>
      </vt:variant>
      <vt:variant>
        <vt:lpwstr>_Toc152595552</vt:lpwstr>
      </vt:variant>
      <vt:variant>
        <vt:i4>1507391</vt:i4>
      </vt:variant>
      <vt:variant>
        <vt:i4>1115</vt:i4>
      </vt:variant>
      <vt:variant>
        <vt:i4>0</vt:i4>
      </vt:variant>
      <vt:variant>
        <vt:i4>5</vt:i4>
      </vt:variant>
      <vt:variant>
        <vt:lpwstr/>
      </vt:variant>
      <vt:variant>
        <vt:lpwstr>_Toc152595551</vt:lpwstr>
      </vt:variant>
      <vt:variant>
        <vt:i4>1507391</vt:i4>
      </vt:variant>
      <vt:variant>
        <vt:i4>1109</vt:i4>
      </vt:variant>
      <vt:variant>
        <vt:i4>0</vt:i4>
      </vt:variant>
      <vt:variant>
        <vt:i4>5</vt:i4>
      </vt:variant>
      <vt:variant>
        <vt:lpwstr/>
      </vt:variant>
      <vt:variant>
        <vt:lpwstr>_Toc152595550</vt:lpwstr>
      </vt:variant>
      <vt:variant>
        <vt:i4>1441855</vt:i4>
      </vt:variant>
      <vt:variant>
        <vt:i4>1103</vt:i4>
      </vt:variant>
      <vt:variant>
        <vt:i4>0</vt:i4>
      </vt:variant>
      <vt:variant>
        <vt:i4>5</vt:i4>
      </vt:variant>
      <vt:variant>
        <vt:lpwstr/>
      </vt:variant>
      <vt:variant>
        <vt:lpwstr>_Toc152595549</vt:lpwstr>
      </vt:variant>
      <vt:variant>
        <vt:i4>1441855</vt:i4>
      </vt:variant>
      <vt:variant>
        <vt:i4>1097</vt:i4>
      </vt:variant>
      <vt:variant>
        <vt:i4>0</vt:i4>
      </vt:variant>
      <vt:variant>
        <vt:i4>5</vt:i4>
      </vt:variant>
      <vt:variant>
        <vt:lpwstr/>
      </vt:variant>
      <vt:variant>
        <vt:lpwstr>_Toc152595548</vt:lpwstr>
      </vt:variant>
      <vt:variant>
        <vt:i4>1441855</vt:i4>
      </vt:variant>
      <vt:variant>
        <vt:i4>1091</vt:i4>
      </vt:variant>
      <vt:variant>
        <vt:i4>0</vt:i4>
      </vt:variant>
      <vt:variant>
        <vt:i4>5</vt:i4>
      </vt:variant>
      <vt:variant>
        <vt:lpwstr/>
      </vt:variant>
      <vt:variant>
        <vt:lpwstr>_Toc152595547</vt:lpwstr>
      </vt:variant>
      <vt:variant>
        <vt:i4>1441855</vt:i4>
      </vt:variant>
      <vt:variant>
        <vt:i4>1085</vt:i4>
      </vt:variant>
      <vt:variant>
        <vt:i4>0</vt:i4>
      </vt:variant>
      <vt:variant>
        <vt:i4>5</vt:i4>
      </vt:variant>
      <vt:variant>
        <vt:lpwstr/>
      </vt:variant>
      <vt:variant>
        <vt:lpwstr>_Toc152595546</vt:lpwstr>
      </vt:variant>
      <vt:variant>
        <vt:i4>1441855</vt:i4>
      </vt:variant>
      <vt:variant>
        <vt:i4>1079</vt:i4>
      </vt:variant>
      <vt:variant>
        <vt:i4>0</vt:i4>
      </vt:variant>
      <vt:variant>
        <vt:i4>5</vt:i4>
      </vt:variant>
      <vt:variant>
        <vt:lpwstr/>
      </vt:variant>
      <vt:variant>
        <vt:lpwstr>_Toc152595545</vt:lpwstr>
      </vt:variant>
      <vt:variant>
        <vt:i4>1441855</vt:i4>
      </vt:variant>
      <vt:variant>
        <vt:i4>1073</vt:i4>
      </vt:variant>
      <vt:variant>
        <vt:i4>0</vt:i4>
      </vt:variant>
      <vt:variant>
        <vt:i4>5</vt:i4>
      </vt:variant>
      <vt:variant>
        <vt:lpwstr/>
      </vt:variant>
      <vt:variant>
        <vt:lpwstr>_Toc152595544</vt:lpwstr>
      </vt:variant>
      <vt:variant>
        <vt:i4>1441855</vt:i4>
      </vt:variant>
      <vt:variant>
        <vt:i4>1067</vt:i4>
      </vt:variant>
      <vt:variant>
        <vt:i4>0</vt:i4>
      </vt:variant>
      <vt:variant>
        <vt:i4>5</vt:i4>
      </vt:variant>
      <vt:variant>
        <vt:lpwstr/>
      </vt:variant>
      <vt:variant>
        <vt:lpwstr>_Toc152595543</vt:lpwstr>
      </vt:variant>
      <vt:variant>
        <vt:i4>1441855</vt:i4>
      </vt:variant>
      <vt:variant>
        <vt:i4>1061</vt:i4>
      </vt:variant>
      <vt:variant>
        <vt:i4>0</vt:i4>
      </vt:variant>
      <vt:variant>
        <vt:i4>5</vt:i4>
      </vt:variant>
      <vt:variant>
        <vt:lpwstr/>
      </vt:variant>
      <vt:variant>
        <vt:lpwstr>_Toc152595542</vt:lpwstr>
      </vt:variant>
      <vt:variant>
        <vt:i4>1441855</vt:i4>
      </vt:variant>
      <vt:variant>
        <vt:i4>1055</vt:i4>
      </vt:variant>
      <vt:variant>
        <vt:i4>0</vt:i4>
      </vt:variant>
      <vt:variant>
        <vt:i4>5</vt:i4>
      </vt:variant>
      <vt:variant>
        <vt:lpwstr/>
      </vt:variant>
      <vt:variant>
        <vt:lpwstr>_Toc152595541</vt:lpwstr>
      </vt:variant>
      <vt:variant>
        <vt:i4>1441855</vt:i4>
      </vt:variant>
      <vt:variant>
        <vt:i4>1049</vt:i4>
      </vt:variant>
      <vt:variant>
        <vt:i4>0</vt:i4>
      </vt:variant>
      <vt:variant>
        <vt:i4>5</vt:i4>
      </vt:variant>
      <vt:variant>
        <vt:lpwstr/>
      </vt:variant>
      <vt:variant>
        <vt:lpwstr>_Toc152595540</vt:lpwstr>
      </vt:variant>
      <vt:variant>
        <vt:i4>1114175</vt:i4>
      </vt:variant>
      <vt:variant>
        <vt:i4>1043</vt:i4>
      </vt:variant>
      <vt:variant>
        <vt:i4>0</vt:i4>
      </vt:variant>
      <vt:variant>
        <vt:i4>5</vt:i4>
      </vt:variant>
      <vt:variant>
        <vt:lpwstr/>
      </vt:variant>
      <vt:variant>
        <vt:lpwstr>_Toc152595539</vt:lpwstr>
      </vt:variant>
      <vt:variant>
        <vt:i4>1114175</vt:i4>
      </vt:variant>
      <vt:variant>
        <vt:i4>1037</vt:i4>
      </vt:variant>
      <vt:variant>
        <vt:i4>0</vt:i4>
      </vt:variant>
      <vt:variant>
        <vt:i4>5</vt:i4>
      </vt:variant>
      <vt:variant>
        <vt:lpwstr/>
      </vt:variant>
      <vt:variant>
        <vt:lpwstr>_Toc152595538</vt:lpwstr>
      </vt:variant>
      <vt:variant>
        <vt:i4>1114175</vt:i4>
      </vt:variant>
      <vt:variant>
        <vt:i4>1031</vt:i4>
      </vt:variant>
      <vt:variant>
        <vt:i4>0</vt:i4>
      </vt:variant>
      <vt:variant>
        <vt:i4>5</vt:i4>
      </vt:variant>
      <vt:variant>
        <vt:lpwstr/>
      </vt:variant>
      <vt:variant>
        <vt:lpwstr>_Toc152595537</vt:lpwstr>
      </vt:variant>
      <vt:variant>
        <vt:i4>1114175</vt:i4>
      </vt:variant>
      <vt:variant>
        <vt:i4>1025</vt:i4>
      </vt:variant>
      <vt:variant>
        <vt:i4>0</vt:i4>
      </vt:variant>
      <vt:variant>
        <vt:i4>5</vt:i4>
      </vt:variant>
      <vt:variant>
        <vt:lpwstr/>
      </vt:variant>
      <vt:variant>
        <vt:lpwstr>_Toc152595536</vt:lpwstr>
      </vt:variant>
      <vt:variant>
        <vt:i4>1114175</vt:i4>
      </vt:variant>
      <vt:variant>
        <vt:i4>1019</vt:i4>
      </vt:variant>
      <vt:variant>
        <vt:i4>0</vt:i4>
      </vt:variant>
      <vt:variant>
        <vt:i4>5</vt:i4>
      </vt:variant>
      <vt:variant>
        <vt:lpwstr/>
      </vt:variant>
      <vt:variant>
        <vt:lpwstr>_Toc152595535</vt:lpwstr>
      </vt:variant>
      <vt:variant>
        <vt:i4>1114175</vt:i4>
      </vt:variant>
      <vt:variant>
        <vt:i4>1013</vt:i4>
      </vt:variant>
      <vt:variant>
        <vt:i4>0</vt:i4>
      </vt:variant>
      <vt:variant>
        <vt:i4>5</vt:i4>
      </vt:variant>
      <vt:variant>
        <vt:lpwstr/>
      </vt:variant>
      <vt:variant>
        <vt:lpwstr>_Toc152595534</vt:lpwstr>
      </vt:variant>
      <vt:variant>
        <vt:i4>1114175</vt:i4>
      </vt:variant>
      <vt:variant>
        <vt:i4>1007</vt:i4>
      </vt:variant>
      <vt:variant>
        <vt:i4>0</vt:i4>
      </vt:variant>
      <vt:variant>
        <vt:i4>5</vt:i4>
      </vt:variant>
      <vt:variant>
        <vt:lpwstr/>
      </vt:variant>
      <vt:variant>
        <vt:lpwstr>_Toc152595533</vt:lpwstr>
      </vt:variant>
      <vt:variant>
        <vt:i4>1114175</vt:i4>
      </vt:variant>
      <vt:variant>
        <vt:i4>1001</vt:i4>
      </vt:variant>
      <vt:variant>
        <vt:i4>0</vt:i4>
      </vt:variant>
      <vt:variant>
        <vt:i4>5</vt:i4>
      </vt:variant>
      <vt:variant>
        <vt:lpwstr/>
      </vt:variant>
      <vt:variant>
        <vt:lpwstr>_Toc152595532</vt:lpwstr>
      </vt:variant>
      <vt:variant>
        <vt:i4>1114175</vt:i4>
      </vt:variant>
      <vt:variant>
        <vt:i4>995</vt:i4>
      </vt:variant>
      <vt:variant>
        <vt:i4>0</vt:i4>
      </vt:variant>
      <vt:variant>
        <vt:i4>5</vt:i4>
      </vt:variant>
      <vt:variant>
        <vt:lpwstr/>
      </vt:variant>
      <vt:variant>
        <vt:lpwstr>_Toc152595531</vt:lpwstr>
      </vt:variant>
      <vt:variant>
        <vt:i4>1114175</vt:i4>
      </vt:variant>
      <vt:variant>
        <vt:i4>989</vt:i4>
      </vt:variant>
      <vt:variant>
        <vt:i4>0</vt:i4>
      </vt:variant>
      <vt:variant>
        <vt:i4>5</vt:i4>
      </vt:variant>
      <vt:variant>
        <vt:lpwstr/>
      </vt:variant>
      <vt:variant>
        <vt:lpwstr>_Toc152595530</vt:lpwstr>
      </vt:variant>
      <vt:variant>
        <vt:i4>1048639</vt:i4>
      </vt:variant>
      <vt:variant>
        <vt:i4>983</vt:i4>
      </vt:variant>
      <vt:variant>
        <vt:i4>0</vt:i4>
      </vt:variant>
      <vt:variant>
        <vt:i4>5</vt:i4>
      </vt:variant>
      <vt:variant>
        <vt:lpwstr/>
      </vt:variant>
      <vt:variant>
        <vt:lpwstr>_Toc152595529</vt:lpwstr>
      </vt:variant>
      <vt:variant>
        <vt:i4>1048639</vt:i4>
      </vt:variant>
      <vt:variant>
        <vt:i4>977</vt:i4>
      </vt:variant>
      <vt:variant>
        <vt:i4>0</vt:i4>
      </vt:variant>
      <vt:variant>
        <vt:i4>5</vt:i4>
      </vt:variant>
      <vt:variant>
        <vt:lpwstr/>
      </vt:variant>
      <vt:variant>
        <vt:lpwstr>_Toc152595528</vt:lpwstr>
      </vt:variant>
      <vt:variant>
        <vt:i4>1048639</vt:i4>
      </vt:variant>
      <vt:variant>
        <vt:i4>971</vt:i4>
      </vt:variant>
      <vt:variant>
        <vt:i4>0</vt:i4>
      </vt:variant>
      <vt:variant>
        <vt:i4>5</vt:i4>
      </vt:variant>
      <vt:variant>
        <vt:lpwstr/>
      </vt:variant>
      <vt:variant>
        <vt:lpwstr>_Toc152595527</vt:lpwstr>
      </vt:variant>
      <vt:variant>
        <vt:i4>1048639</vt:i4>
      </vt:variant>
      <vt:variant>
        <vt:i4>965</vt:i4>
      </vt:variant>
      <vt:variant>
        <vt:i4>0</vt:i4>
      </vt:variant>
      <vt:variant>
        <vt:i4>5</vt:i4>
      </vt:variant>
      <vt:variant>
        <vt:lpwstr/>
      </vt:variant>
      <vt:variant>
        <vt:lpwstr>_Toc152595526</vt:lpwstr>
      </vt:variant>
      <vt:variant>
        <vt:i4>1048639</vt:i4>
      </vt:variant>
      <vt:variant>
        <vt:i4>959</vt:i4>
      </vt:variant>
      <vt:variant>
        <vt:i4>0</vt:i4>
      </vt:variant>
      <vt:variant>
        <vt:i4>5</vt:i4>
      </vt:variant>
      <vt:variant>
        <vt:lpwstr/>
      </vt:variant>
      <vt:variant>
        <vt:lpwstr>_Toc152595525</vt:lpwstr>
      </vt:variant>
      <vt:variant>
        <vt:i4>1048639</vt:i4>
      </vt:variant>
      <vt:variant>
        <vt:i4>953</vt:i4>
      </vt:variant>
      <vt:variant>
        <vt:i4>0</vt:i4>
      </vt:variant>
      <vt:variant>
        <vt:i4>5</vt:i4>
      </vt:variant>
      <vt:variant>
        <vt:lpwstr/>
      </vt:variant>
      <vt:variant>
        <vt:lpwstr>_Toc152595524</vt:lpwstr>
      </vt:variant>
      <vt:variant>
        <vt:i4>1048639</vt:i4>
      </vt:variant>
      <vt:variant>
        <vt:i4>947</vt:i4>
      </vt:variant>
      <vt:variant>
        <vt:i4>0</vt:i4>
      </vt:variant>
      <vt:variant>
        <vt:i4>5</vt:i4>
      </vt:variant>
      <vt:variant>
        <vt:lpwstr/>
      </vt:variant>
      <vt:variant>
        <vt:lpwstr>_Toc152595523</vt:lpwstr>
      </vt:variant>
      <vt:variant>
        <vt:i4>1048639</vt:i4>
      </vt:variant>
      <vt:variant>
        <vt:i4>941</vt:i4>
      </vt:variant>
      <vt:variant>
        <vt:i4>0</vt:i4>
      </vt:variant>
      <vt:variant>
        <vt:i4>5</vt:i4>
      </vt:variant>
      <vt:variant>
        <vt:lpwstr/>
      </vt:variant>
      <vt:variant>
        <vt:lpwstr>_Toc152595522</vt:lpwstr>
      </vt:variant>
      <vt:variant>
        <vt:i4>1048639</vt:i4>
      </vt:variant>
      <vt:variant>
        <vt:i4>935</vt:i4>
      </vt:variant>
      <vt:variant>
        <vt:i4>0</vt:i4>
      </vt:variant>
      <vt:variant>
        <vt:i4>5</vt:i4>
      </vt:variant>
      <vt:variant>
        <vt:lpwstr/>
      </vt:variant>
      <vt:variant>
        <vt:lpwstr>_Toc152595521</vt:lpwstr>
      </vt:variant>
      <vt:variant>
        <vt:i4>1048639</vt:i4>
      </vt:variant>
      <vt:variant>
        <vt:i4>929</vt:i4>
      </vt:variant>
      <vt:variant>
        <vt:i4>0</vt:i4>
      </vt:variant>
      <vt:variant>
        <vt:i4>5</vt:i4>
      </vt:variant>
      <vt:variant>
        <vt:lpwstr/>
      </vt:variant>
      <vt:variant>
        <vt:lpwstr>_Toc152595520</vt:lpwstr>
      </vt:variant>
      <vt:variant>
        <vt:i4>1245247</vt:i4>
      </vt:variant>
      <vt:variant>
        <vt:i4>923</vt:i4>
      </vt:variant>
      <vt:variant>
        <vt:i4>0</vt:i4>
      </vt:variant>
      <vt:variant>
        <vt:i4>5</vt:i4>
      </vt:variant>
      <vt:variant>
        <vt:lpwstr/>
      </vt:variant>
      <vt:variant>
        <vt:lpwstr>_Toc152595519</vt:lpwstr>
      </vt:variant>
      <vt:variant>
        <vt:i4>1245247</vt:i4>
      </vt:variant>
      <vt:variant>
        <vt:i4>917</vt:i4>
      </vt:variant>
      <vt:variant>
        <vt:i4>0</vt:i4>
      </vt:variant>
      <vt:variant>
        <vt:i4>5</vt:i4>
      </vt:variant>
      <vt:variant>
        <vt:lpwstr/>
      </vt:variant>
      <vt:variant>
        <vt:lpwstr>_Toc152595518</vt:lpwstr>
      </vt:variant>
      <vt:variant>
        <vt:i4>1245247</vt:i4>
      </vt:variant>
      <vt:variant>
        <vt:i4>911</vt:i4>
      </vt:variant>
      <vt:variant>
        <vt:i4>0</vt:i4>
      </vt:variant>
      <vt:variant>
        <vt:i4>5</vt:i4>
      </vt:variant>
      <vt:variant>
        <vt:lpwstr/>
      </vt:variant>
      <vt:variant>
        <vt:lpwstr>_Toc152595517</vt:lpwstr>
      </vt:variant>
      <vt:variant>
        <vt:i4>1245247</vt:i4>
      </vt:variant>
      <vt:variant>
        <vt:i4>905</vt:i4>
      </vt:variant>
      <vt:variant>
        <vt:i4>0</vt:i4>
      </vt:variant>
      <vt:variant>
        <vt:i4>5</vt:i4>
      </vt:variant>
      <vt:variant>
        <vt:lpwstr/>
      </vt:variant>
      <vt:variant>
        <vt:lpwstr>_Toc152595516</vt:lpwstr>
      </vt:variant>
      <vt:variant>
        <vt:i4>1245247</vt:i4>
      </vt:variant>
      <vt:variant>
        <vt:i4>899</vt:i4>
      </vt:variant>
      <vt:variant>
        <vt:i4>0</vt:i4>
      </vt:variant>
      <vt:variant>
        <vt:i4>5</vt:i4>
      </vt:variant>
      <vt:variant>
        <vt:lpwstr/>
      </vt:variant>
      <vt:variant>
        <vt:lpwstr>_Toc152595515</vt:lpwstr>
      </vt:variant>
      <vt:variant>
        <vt:i4>1048624</vt:i4>
      </vt:variant>
      <vt:variant>
        <vt:i4>890</vt:i4>
      </vt:variant>
      <vt:variant>
        <vt:i4>0</vt:i4>
      </vt:variant>
      <vt:variant>
        <vt:i4>5</vt:i4>
      </vt:variant>
      <vt:variant>
        <vt:lpwstr/>
      </vt:variant>
      <vt:variant>
        <vt:lpwstr>_Toc152250608</vt:lpwstr>
      </vt:variant>
      <vt:variant>
        <vt:i4>1048624</vt:i4>
      </vt:variant>
      <vt:variant>
        <vt:i4>884</vt:i4>
      </vt:variant>
      <vt:variant>
        <vt:i4>0</vt:i4>
      </vt:variant>
      <vt:variant>
        <vt:i4>5</vt:i4>
      </vt:variant>
      <vt:variant>
        <vt:lpwstr/>
      </vt:variant>
      <vt:variant>
        <vt:lpwstr>_Toc152250607</vt:lpwstr>
      </vt:variant>
      <vt:variant>
        <vt:i4>1048624</vt:i4>
      </vt:variant>
      <vt:variant>
        <vt:i4>878</vt:i4>
      </vt:variant>
      <vt:variant>
        <vt:i4>0</vt:i4>
      </vt:variant>
      <vt:variant>
        <vt:i4>5</vt:i4>
      </vt:variant>
      <vt:variant>
        <vt:lpwstr/>
      </vt:variant>
      <vt:variant>
        <vt:lpwstr>_Toc152250606</vt:lpwstr>
      </vt:variant>
      <vt:variant>
        <vt:i4>1048624</vt:i4>
      </vt:variant>
      <vt:variant>
        <vt:i4>872</vt:i4>
      </vt:variant>
      <vt:variant>
        <vt:i4>0</vt:i4>
      </vt:variant>
      <vt:variant>
        <vt:i4>5</vt:i4>
      </vt:variant>
      <vt:variant>
        <vt:lpwstr/>
      </vt:variant>
      <vt:variant>
        <vt:lpwstr>_Toc152250605</vt:lpwstr>
      </vt:variant>
      <vt:variant>
        <vt:i4>1048624</vt:i4>
      </vt:variant>
      <vt:variant>
        <vt:i4>866</vt:i4>
      </vt:variant>
      <vt:variant>
        <vt:i4>0</vt:i4>
      </vt:variant>
      <vt:variant>
        <vt:i4>5</vt:i4>
      </vt:variant>
      <vt:variant>
        <vt:lpwstr/>
      </vt:variant>
      <vt:variant>
        <vt:lpwstr>_Toc152250604</vt:lpwstr>
      </vt:variant>
      <vt:variant>
        <vt:i4>1245247</vt:i4>
      </vt:variant>
      <vt:variant>
        <vt:i4>857</vt:i4>
      </vt:variant>
      <vt:variant>
        <vt:i4>0</vt:i4>
      </vt:variant>
      <vt:variant>
        <vt:i4>5</vt:i4>
      </vt:variant>
      <vt:variant>
        <vt:lpwstr/>
      </vt:variant>
      <vt:variant>
        <vt:lpwstr>_Toc152595514</vt:lpwstr>
      </vt:variant>
      <vt:variant>
        <vt:i4>1245247</vt:i4>
      </vt:variant>
      <vt:variant>
        <vt:i4>851</vt:i4>
      </vt:variant>
      <vt:variant>
        <vt:i4>0</vt:i4>
      </vt:variant>
      <vt:variant>
        <vt:i4>5</vt:i4>
      </vt:variant>
      <vt:variant>
        <vt:lpwstr/>
      </vt:variant>
      <vt:variant>
        <vt:lpwstr>_Toc152595513</vt:lpwstr>
      </vt:variant>
      <vt:variant>
        <vt:i4>1245247</vt:i4>
      </vt:variant>
      <vt:variant>
        <vt:i4>845</vt:i4>
      </vt:variant>
      <vt:variant>
        <vt:i4>0</vt:i4>
      </vt:variant>
      <vt:variant>
        <vt:i4>5</vt:i4>
      </vt:variant>
      <vt:variant>
        <vt:lpwstr/>
      </vt:variant>
      <vt:variant>
        <vt:lpwstr>_Toc152595512</vt:lpwstr>
      </vt:variant>
      <vt:variant>
        <vt:i4>1245247</vt:i4>
      </vt:variant>
      <vt:variant>
        <vt:i4>839</vt:i4>
      </vt:variant>
      <vt:variant>
        <vt:i4>0</vt:i4>
      </vt:variant>
      <vt:variant>
        <vt:i4>5</vt:i4>
      </vt:variant>
      <vt:variant>
        <vt:lpwstr/>
      </vt:variant>
      <vt:variant>
        <vt:lpwstr>_Toc152595511</vt:lpwstr>
      </vt:variant>
      <vt:variant>
        <vt:i4>1245247</vt:i4>
      </vt:variant>
      <vt:variant>
        <vt:i4>833</vt:i4>
      </vt:variant>
      <vt:variant>
        <vt:i4>0</vt:i4>
      </vt:variant>
      <vt:variant>
        <vt:i4>5</vt:i4>
      </vt:variant>
      <vt:variant>
        <vt:lpwstr/>
      </vt:variant>
      <vt:variant>
        <vt:lpwstr>_Toc152595510</vt:lpwstr>
      </vt:variant>
      <vt:variant>
        <vt:i4>1179711</vt:i4>
      </vt:variant>
      <vt:variant>
        <vt:i4>827</vt:i4>
      </vt:variant>
      <vt:variant>
        <vt:i4>0</vt:i4>
      </vt:variant>
      <vt:variant>
        <vt:i4>5</vt:i4>
      </vt:variant>
      <vt:variant>
        <vt:lpwstr/>
      </vt:variant>
      <vt:variant>
        <vt:lpwstr>_Toc152595509</vt:lpwstr>
      </vt:variant>
      <vt:variant>
        <vt:i4>1179711</vt:i4>
      </vt:variant>
      <vt:variant>
        <vt:i4>821</vt:i4>
      </vt:variant>
      <vt:variant>
        <vt:i4>0</vt:i4>
      </vt:variant>
      <vt:variant>
        <vt:i4>5</vt:i4>
      </vt:variant>
      <vt:variant>
        <vt:lpwstr/>
      </vt:variant>
      <vt:variant>
        <vt:lpwstr>_Toc152595508</vt:lpwstr>
      </vt:variant>
      <vt:variant>
        <vt:i4>1179711</vt:i4>
      </vt:variant>
      <vt:variant>
        <vt:i4>815</vt:i4>
      </vt:variant>
      <vt:variant>
        <vt:i4>0</vt:i4>
      </vt:variant>
      <vt:variant>
        <vt:i4>5</vt:i4>
      </vt:variant>
      <vt:variant>
        <vt:lpwstr/>
      </vt:variant>
      <vt:variant>
        <vt:lpwstr>_Toc152595507</vt:lpwstr>
      </vt:variant>
      <vt:variant>
        <vt:i4>1179711</vt:i4>
      </vt:variant>
      <vt:variant>
        <vt:i4>809</vt:i4>
      </vt:variant>
      <vt:variant>
        <vt:i4>0</vt:i4>
      </vt:variant>
      <vt:variant>
        <vt:i4>5</vt:i4>
      </vt:variant>
      <vt:variant>
        <vt:lpwstr/>
      </vt:variant>
      <vt:variant>
        <vt:lpwstr>_Toc152595506</vt:lpwstr>
      </vt:variant>
      <vt:variant>
        <vt:i4>1179711</vt:i4>
      </vt:variant>
      <vt:variant>
        <vt:i4>803</vt:i4>
      </vt:variant>
      <vt:variant>
        <vt:i4>0</vt:i4>
      </vt:variant>
      <vt:variant>
        <vt:i4>5</vt:i4>
      </vt:variant>
      <vt:variant>
        <vt:lpwstr/>
      </vt:variant>
      <vt:variant>
        <vt:lpwstr>_Toc152595505</vt:lpwstr>
      </vt:variant>
      <vt:variant>
        <vt:i4>1179711</vt:i4>
      </vt:variant>
      <vt:variant>
        <vt:i4>797</vt:i4>
      </vt:variant>
      <vt:variant>
        <vt:i4>0</vt:i4>
      </vt:variant>
      <vt:variant>
        <vt:i4>5</vt:i4>
      </vt:variant>
      <vt:variant>
        <vt:lpwstr/>
      </vt:variant>
      <vt:variant>
        <vt:lpwstr>_Toc152595504</vt:lpwstr>
      </vt:variant>
      <vt:variant>
        <vt:i4>1179711</vt:i4>
      </vt:variant>
      <vt:variant>
        <vt:i4>791</vt:i4>
      </vt:variant>
      <vt:variant>
        <vt:i4>0</vt:i4>
      </vt:variant>
      <vt:variant>
        <vt:i4>5</vt:i4>
      </vt:variant>
      <vt:variant>
        <vt:lpwstr/>
      </vt:variant>
      <vt:variant>
        <vt:lpwstr>_Toc152595503</vt:lpwstr>
      </vt:variant>
      <vt:variant>
        <vt:i4>1179711</vt:i4>
      </vt:variant>
      <vt:variant>
        <vt:i4>785</vt:i4>
      </vt:variant>
      <vt:variant>
        <vt:i4>0</vt:i4>
      </vt:variant>
      <vt:variant>
        <vt:i4>5</vt:i4>
      </vt:variant>
      <vt:variant>
        <vt:lpwstr/>
      </vt:variant>
      <vt:variant>
        <vt:lpwstr>_Toc152595502</vt:lpwstr>
      </vt:variant>
      <vt:variant>
        <vt:i4>1179711</vt:i4>
      </vt:variant>
      <vt:variant>
        <vt:i4>779</vt:i4>
      </vt:variant>
      <vt:variant>
        <vt:i4>0</vt:i4>
      </vt:variant>
      <vt:variant>
        <vt:i4>5</vt:i4>
      </vt:variant>
      <vt:variant>
        <vt:lpwstr/>
      </vt:variant>
      <vt:variant>
        <vt:lpwstr>_Toc152595501</vt:lpwstr>
      </vt:variant>
      <vt:variant>
        <vt:i4>1179711</vt:i4>
      </vt:variant>
      <vt:variant>
        <vt:i4>773</vt:i4>
      </vt:variant>
      <vt:variant>
        <vt:i4>0</vt:i4>
      </vt:variant>
      <vt:variant>
        <vt:i4>5</vt:i4>
      </vt:variant>
      <vt:variant>
        <vt:lpwstr/>
      </vt:variant>
      <vt:variant>
        <vt:lpwstr>_Toc152595500</vt:lpwstr>
      </vt:variant>
      <vt:variant>
        <vt:i4>1769534</vt:i4>
      </vt:variant>
      <vt:variant>
        <vt:i4>767</vt:i4>
      </vt:variant>
      <vt:variant>
        <vt:i4>0</vt:i4>
      </vt:variant>
      <vt:variant>
        <vt:i4>5</vt:i4>
      </vt:variant>
      <vt:variant>
        <vt:lpwstr/>
      </vt:variant>
      <vt:variant>
        <vt:lpwstr>_Toc152595499</vt:lpwstr>
      </vt:variant>
      <vt:variant>
        <vt:i4>1769534</vt:i4>
      </vt:variant>
      <vt:variant>
        <vt:i4>761</vt:i4>
      </vt:variant>
      <vt:variant>
        <vt:i4>0</vt:i4>
      </vt:variant>
      <vt:variant>
        <vt:i4>5</vt:i4>
      </vt:variant>
      <vt:variant>
        <vt:lpwstr/>
      </vt:variant>
      <vt:variant>
        <vt:lpwstr>_Toc152595498</vt:lpwstr>
      </vt:variant>
      <vt:variant>
        <vt:i4>1769534</vt:i4>
      </vt:variant>
      <vt:variant>
        <vt:i4>755</vt:i4>
      </vt:variant>
      <vt:variant>
        <vt:i4>0</vt:i4>
      </vt:variant>
      <vt:variant>
        <vt:i4>5</vt:i4>
      </vt:variant>
      <vt:variant>
        <vt:lpwstr/>
      </vt:variant>
      <vt:variant>
        <vt:lpwstr>_Toc152595497</vt:lpwstr>
      </vt:variant>
      <vt:variant>
        <vt:i4>1769534</vt:i4>
      </vt:variant>
      <vt:variant>
        <vt:i4>749</vt:i4>
      </vt:variant>
      <vt:variant>
        <vt:i4>0</vt:i4>
      </vt:variant>
      <vt:variant>
        <vt:i4>5</vt:i4>
      </vt:variant>
      <vt:variant>
        <vt:lpwstr/>
      </vt:variant>
      <vt:variant>
        <vt:lpwstr>_Toc152595496</vt:lpwstr>
      </vt:variant>
      <vt:variant>
        <vt:i4>1769534</vt:i4>
      </vt:variant>
      <vt:variant>
        <vt:i4>743</vt:i4>
      </vt:variant>
      <vt:variant>
        <vt:i4>0</vt:i4>
      </vt:variant>
      <vt:variant>
        <vt:i4>5</vt:i4>
      </vt:variant>
      <vt:variant>
        <vt:lpwstr/>
      </vt:variant>
      <vt:variant>
        <vt:lpwstr>_Toc152595495</vt:lpwstr>
      </vt:variant>
      <vt:variant>
        <vt:i4>1769534</vt:i4>
      </vt:variant>
      <vt:variant>
        <vt:i4>737</vt:i4>
      </vt:variant>
      <vt:variant>
        <vt:i4>0</vt:i4>
      </vt:variant>
      <vt:variant>
        <vt:i4>5</vt:i4>
      </vt:variant>
      <vt:variant>
        <vt:lpwstr/>
      </vt:variant>
      <vt:variant>
        <vt:lpwstr>_Toc152595494</vt:lpwstr>
      </vt:variant>
      <vt:variant>
        <vt:i4>1769534</vt:i4>
      </vt:variant>
      <vt:variant>
        <vt:i4>731</vt:i4>
      </vt:variant>
      <vt:variant>
        <vt:i4>0</vt:i4>
      </vt:variant>
      <vt:variant>
        <vt:i4>5</vt:i4>
      </vt:variant>
      <vt:variant>
        <vt:lpwstr/>
      </vt:variant>
      <vt:variant>
        <vt:lpwstr>_Toc152595493</vt:lpwstr>
      </vt:variant>
      <vt:variant>
        <vt:i4>1769534</vt:i4>
      </vt:variant>
      <vt:variant>
        <vt:i4>725</vt:i4>
      </vt:variant>
      <vt:variant>
        <vt:i4>0</vt:i4>
      </vt:variant>
      <vt:variant>
        <vt:i4>5</vt:i4>
      </vt:variant>
      <vt:variant>
        <vt:lpwstr/>
      </vt:variant>
      <vt:variant>
        <vt:lpwstr>_Toc152595492</vt:lpwstr>
      </vt:variant>
      <vt:variant>
        <vt:i4>1769534</vt:i4>
      </vt:variant>
      <vt:variant>
        <vt:i4>719</vt:i4>
      </vt:variant>
      <vt:variant>
        <vt:i4>0</vt:i4>
      </vt:variant>
      <vt:variant>
        <vt:i4>5</vt:i4>
      </vt:variant>
      <vt:variant>
        <vt:lpwstr/>
      </vt:variant>
      <vt:variant>
        <vt:lpwstr>_Toc152595491</vt:lpwstr>
      </vt:variant>
      <vt:variant>
        <vt:i4>1769534</vt:i4>
      </vt:variant>
      <vt:variant>
        <vt:i4>713</vt:i4>
      </vt:variant>
      <vt:variant>
        <vt:i4>0</vt:i4>
      </vt:variant>
      <vt:variant>
        <vt:i4>5</vt:i4>
      </vt:variant>
      <vt:variant>
        <vt:lpwstr/>
      </vt:variant>
      <vt:variant>
        <vt:lpwstr>_Toc152595490</vt:lpwstr>
      </vt:variant>
      <vt:variant>
        <vt:i4>1703998</vt:i4>
      </vt:variant>
      <vt:variant>
        <vt:i4>707</vt:i4>
      </vt:variant>
      <vt:variant>
        <vt:i4>0</vt:i4>
      </vt:variant>
      <vt:variant>
        <vt:i4>5</vt:i4>
      </vt:variant>
      <vt:variant>
        <vt:lpwstr/>
      </vt:variant>
      <vt:variant>
        <vt:lpwstr>_Toc152595489</vt:lpwstr>
      </vt:variant>
      <vt:variant>
        <vt:i4>1703998</vt:i4>
      </vt:variant>
      <vt:variant>
        <vt:i4>701</vt:i4>
      </vt:variant>
      <vt:variant>
        <vt:i4>0</vt:i4>
      </vt:variant>
      <vt:variant>
        <vt:i4>5</vt:i4>
      </vt:variant>
      <vt:variant>
        <vt:lpwstr/>
      </vt:variant>
      <vt:variant>
        <vt:lpwstr>_Toc152595488</vt:lpwstr>
      </vt:variant>
      <vt:variant>
        <vt:i4>1703998</vt:i4>
      </vt:variant>
      <vt:variant>
        <vt:i4>695</vt:i4>
      </vt:variant>
      <vt:variant>
        <vt:i4>0</vt:i4>
      </vt:variant>
      <vt:variant>
        <vt:i4>5</vt:i4>
      </vt:variant>
      <vt:variant>
        <vt:lpwstr/>
      </vt:variant>
      <vt:variant>
        <vt:lpwstr>_Toc152595487</vt:lpwstr>
      </vt:variant>
      <vt:variant>
        <vt:i4>1703998</vt:i4>
      </vt:variant>
      <vt:variant>
        <vt:i4>689</vt:i4>
      </vt:variant>
      <vt:variant>
        <vt:i4>0</vt:i4>
      </vt:variant>
      <vt:variant>
        <vt:i4>5</vt:i4>
      </vt:variant>
      <vt:variant>
        <vt:lpwstr/>
      </vt:variant>
      <vt:variant>
        <vt:lpwstr>_Toc152595486</vt:lpwstr>
      </vt:variant>
      <vt:variant>
        <vt:i4>1703998</vt:i4>
      </vt:variant>
      <vt:variant>
        <vt:i4>683</vt:i4>
      </vt:variant>
      <vt:variant>
        <vt:i4>0</vt:i4>
      </vt:variant>
      <vt:variant>
        <vt:i4>5</vt:i4>
      </vt:variant>
      <vt:variant>
        <vt:lpwstr/>
      </vt:variant>
      <vt:variant>
        <vt:lpwstr>_Toc152595485</vt:lpwstr>
      </vt:variant>
      <vt:variant>
        <vt:i4>1703998</vt:i4>
      </vt:variant>
      <vt:variant>
        <vt:i4>677</vt:i4>
      </vt:variant>
      <vt:variant>
        <vt:i4>0</vt:i4>
      </vt:variant>
      <vt:variant>
        <vt:i4>5</vt:i4>
      </vt:variant>
      <vt:variant>
        <vt:lpwstr/>
      </vt:variant>
      <vt:variant>
        <vt:lpwstr>_Toc152595484</vt:lpwstr>
      </vt:variant>
      <vt:variant>
        <vt:i4>1703998</vt:i4>
      </vt:variant>
      <vt:variant>
        <vt:i4>671</vt:i4>
      </vt:variant>
      <vt:variant>
        <vt:i4>0</vt:i4>
      </vt:variant>
      <vt:variant>
        <vt:i4>5</vt:i4>
      </vt:variant>
      <vt:variant>
        <vt:lpwstr/>
      </vt:variant>
      <vt:variant>
        <vt:lpwstr>_Toc152595483</vt:lpwstr>
      </vt:variant>
      <vt:variant>
        <vt:i4>1703998</vt:i4>
      </vt:variant>
      <vt:variant>
        <vt:i4>665</vt:i4>
      </vt:variant>
      <vt:variant>
        <vt:i4>0</vt:i4>
      </vt:variant>
      <vt:variant>
        <vt:i4>5</vt:i4>
      </vt:variant>
      <vt:variant>
        <vt:lpwstr/>
      </vt:variant>
      <vt:variant>
        <vt:lpwstr>_Toc152595482</vt:lpwstr>
      </vt:variant>
      <vt:variant>
        <vt:i4>1703998</vt:i4>
      </vt:variant>
      <vt:variant>
        <vt:i4>659</vt:i4>
      </vt:variant>
      <vt:variant>
        <vt:i4>0</vt:i4>
      </vt:variant>
      <vt:variant>
        <vt:i4>5</vt:i4>
      </vt:variant>
      <vt:variant>
        <vt:lpwstr/>
      </vt:variant>
      <vt:variant>
        <vt:lpwstr>_Toc152595481</vt:lpwstr>
      </vt:variant>
      <vt:variant>
        <vt:i4>1703998</vt:i4>
      </vt:variant>
      <vt:variant>
        <vt:i4>653</vt:i4>
      </vt:variant>
      <vt:variant>
        <vt:i4>0</vt:i4>
      </vt:variant>
      <vt:variant>
        <vt:i4>5</vt:i4>
      </vt:variant>
      <vt:variant>
        <vt:lpwstr/>
      </vt:variant>
      <vt:variant>
        <vt:lpwstr>_Toc152595480</vt:lpwstr>
      </vt:variant>
      <vt:variant>
        <vt:i4>1376318</vt:i4>
      </vt:variant>
      <vt:variant>
        <vt:i4>647</vt:i4>
      </vt:variant>
      <vt:variant>
        <vt:i4>0</vt:i4>
      </vt:variant>
      <vt:variant>
        <vt:i4>5</vt:i4>
      </vt:variant>
      <vt:variant>
        <vt:lpwstr/>
      </vt:variant>
      <vt:variant>
        <vt:lpwstr>_Toc152595479</vt:lpwstr>
      </vt:variant>
      <vt:variant>
        <vt:i4>1376318</vt:i4>
      </vt:variant>
      <vt:variant>
        <vt:i4>641</vt:i4>
      </vt:variant>
      <vt:variant>
        <vt:i4>0</vt:i4>
      </vt:variant>
      <vt:variant>
        <vt:i4>5</vt:i4>
      </vt:variant>
      <vt:variant>
        <vt:lpwstr/>
      </vt:variant>
      <vt:variant>
        <vt:lpwstr>_Toc152595478</vt:lpwstr>
      </vt:variant>
      <vt:variant>
        <vt:i4>1376318</vt:i4>
      </vt:variant>
      <vt:variant>
        <vt:i4>635</vt:i4>
      </vt:variant>
      <vt:variant>
        <vt:i4>0</vt:i4>
      </vt:variant>
      <vt:variant>
        <vt:i4>5</vt:i4>
      </vt:variant>
      <vt:variant>
        <vt:lpwstr/>
      </vt:variant>
      <vt:variant>
        <vt:lpwstr>_Toc152595477</vt:lpwstr>
      </vt:variant>
      <vt:variant>
        <vt:i4>1376318</vt:i4>
      </vt:variant>
      <vt:variant>
        <vt:i4>629</vt:i4>
      </vt:variant>
      <vt:variant>
        <vt:i4>0</vt:i4>
      </vt:variant>
      <vt:variant>
        <vt:i4>5</vt:i4>
      </vt:variant>
      <vt:variant>
        <vt:lpwstr/>
      </vt:variant>
      <vt:variant>
        <vt:lpwstr>_Toc152595476</vt:lpwstr>
      </vt:variant>
      <vt:variant>
        <vt:i4>1376318</vt:i4>
      </vt:variant>
      <vt:variant>
        <vt:i4>623</vt:i4>
      </vt:variant>
      <vt:variant>
        <vt:i4>0</vt:i4>
      </vt:variant>
      <vt:variant>
        <vt:i4>5</vt:i4>
      </vt:variant>
      <vt:variant>
        <vt:lpwstr/>
      </vt:variant>
      <vt:variant>
        <vt:lpwstr>_Toc152595475</vt:lpwstr>
      </vt:variant>
      <vt:variant>
        <vt:i4>1376318</vt:i4>
      </vt:variant>
      <vt:variant>
        <vt:i4>617</vt:i4>
      </vt:variant>
      <vt:variant>
        <vt:i4>0</vt:i4>
      </vt:variant>
      <vt:variant>
        <vt:i4>5</vt:i4>
      </vt:variant>
      <vt:variant>
        <vt:lpwstr/>
      </vt:variant>
      <vt:variant>
        <vt:lpwstr>_Toc152595474</vt:lpwstr>
      </vt:variant>
      <vt:variant>
        <vt:i4>1376318</vt:i4>
      </vt:variant>
      <vt:variant>
        <vt:i4>611</vt:i4>
      </vt:variant>
      <vt:variant>
        <vt:i4>0</vt:i4>
      </vt:variant>
      <vt:variant>
        <vt:i4>5</vt:i4>
      </vt:variant>
      <vt:variant>
        <vt:lpwstr/>
      </vt:variant>
      <vt:variant>
        <vt:lpwstr>_Toc152595473</vt:lpwstr>
      </vt:variant>
      <vt:variant>
        <vt:i4>1376318</vt:i4>
      </vt:variant>
      <vt:variant>
        <vt:i4>605</vt:i4>
      </vt:variant>
      <vt:variant>
        <vt:i4>0</vt:i4>
      </vt:variant>
      <vt:variant>
        <vt:i4>5</vt:i4>
      </vt:variant>
      <vt:variant>
        <vt:lpwstr/>
      </vt:variant>
      <vt:variant>
        <vt:lpwstr>_Toc152595472</vt:lpwstr>
      </vt:variant>
      <vt:variant>
        <vt:i4>1376318</vt:i4>
      </vt:variant>
      <vt:variant>
        <vt:i4>599</vt:i4>
      </vt:variant>
      <vt:variant>
        <vt:i4>0</vt:i4>
      </vt:variant>
      <vt:variant>
        <vt:i4>5</vt:i4>
      </vt:variant>
      <vt:variant>
        <vt:lpwstr/>
      </vt:variant>
      <vt:variant>
        <vt:lpwstr>_Toc152595471</vt:lpwstr>
      </vt:variant>
      <vt:variant>
        <vt:i4>1376318</vt:i4>
      </vt:variant>
      <vt:variant>
        <vt:i4>593</vt:i4>
      </vt:variant>
      <vt:variant>
        <vt:i4>0</vt:i4>
      </vt:variant>
      <vt:variant>
        <vt:i4>5</vt:i4>
      </vt:variant>
      <vt:variant>
        <vt:lpwstr/>
      </vt:variant>
      <vt:variant>
        <vt:lpwstr>_Toc152595470</vt:lpwstr>
      </vt:variant>
      <vt:variant>
        <vt:i4>1310782</vt:i4>
      </vt:variant>
      <vt:variant>
        <vt:i4>587</vt:i4>
      </vt:variant>
      <vt:variant>
        <vt:i4>0</vt:i4>
      </vt:variant>
      <vt:variant>
        <vt:i4>5</vt:i4>
      </vt:variant>
      <vt:variant>
        <vt:lpwstr/>
      </vt:variant>
      <vt:variant>
        <vt:lpwstr>_Toc152595469</vt:lpwstr>
      </vt:variant>
      <vt:variant>
        <vt:i4>1310782</vt:i4>
      </vt:variant>
      <vt:variant>
        <vt:i4>581</vt:i4>
      </vt:variant>
      <vt:variant>
        <vt:i4>0</vt:i4>
      </vt:variant>
      <vt:variant>
        <vt:i4>5</vt:i4>
      </vt:variant>
      <vt:variant>
        <vt:lpwstr/>
      </vt:variant>
      <vt:variant>
        <vt:lpwstr>_Toc152595468</vt:lpwstr>
      </vt:variant>
      <vt:variant>
        <vt:i4>1310782</vt:i4>
      </vt:variant>
      <vt:variant>
        <vt:i4>575</vt:i4>
      </vt:variant>
      <vt:variant>
        <vt:i4>0</vt:i4>
      </vt:variant>
      <vt:variant>
        <vt:i4>5</vt:i4>
      </vt:variant>
      <vt:variant>
        <vt:lpwstr/>
      </vt:variant>
      <vt:variant>
        <vt:lpwstr>_Toc152595467</vt:lpwstr>
      </vt:variant>
      <vt:variant>
        <vt:i4>1310782</vt:i4>
      </vt:variant>
      <vt:variant>
        <vt:i4>569</vt:i4>
      </vt:variant>
      <vt:variant>
        <vt:i4>0</vt:i4>
      </vt:variant>
      <vt:variant>
        <vt:i4>5</vt:i4>
      </vt:variant>
      <vt:variant>
        <vt:lpwstr/>
      </vt:variant>
      <vt:variant>
        <vt:lpwstr>_Toc152595466</vt:lpwstr>
      </vt:variant>
      <vt:variant>
        <vt:i4>1310782</vt:i4>
      </vt:variant>
      <vt:variant>
        <vt:i4>563</vt:i4>
      </vt:variant>
      <vt:variant>
        <vt:i4>0</vt:i4>
      </vt:variant>
      <vt:variant>
        <vt:i4>5</vt:i4>
      </vt:variant>
      <vt:variant>
        <vt:lpwstr/>
      </vt:variant>
      <vt:variant>
        <vt:lpwstr>_Toc152595465</vt:lpwstr>
      </vt:variant>
      <vt:variant>
        <vt:i4>1310782</vt:i4>
      </vt:variant>
      <vt:variant>
        <vt:i4>557</vt:i4>
      </vt:variant>
      <vt:variant>
        <vt:i4>0</vt:i4>
      </vt:variant>
      <vt:variant>
        <vt:i4>5</vt:i4>
      </vt:variant>
      <vt:variant>
        <vt:lpwstr/>
      </vt:variant>
      <vt:variant>
        <vt:lpwstr>_Toc152595464</vt:lpwstr>
      </vt:variant>
      <vt:variant>
        <vt:i4>1310782</vt:i4>
      </vt:variant>
      <vt:variant>
        <vt:i4>551</vt:i4>
      </vt:variant>
      <vt:variant>
        <vt:i4>0</vt:i4>
      </vt:variant>
      <vt:variant>
        <vt:i4>5</vt:i4>
      </vt:variant>
      <vt:variant>
        <vt:lpwstr/>
      </vt:variant>
      <vt:variant>
        <vt:lpwstr>_Toc152595463</vt:lpwstr>
      </vt:variant>
      <vt:variant>
        <vt:i4>1310782</vt:i4>
      </vt:variant>
      <vt:variant>
        <vt:i4>545</vt:i4>
      </vt:variant>
      <vt:variant>
        <vt:i4>0</vt:i4>
      </vt:variant>
      <vt:variant>
        <vt:i4>5</vt:i4>
      </vt:variant>
      <vt:variant>
        <vt:lpwstr/>
      </vt:variant>
      <vt:variant>
        <vt:lpwstr>_Toc152595462</vt:lpwstr>
      </vt:variant>
      <vt:variant>
        <vt:i4>1310782</vt:i4>
      </vt:variant>
      <vt:variant>
        <vt:i4>539</vt:i4>
      </vt:variant>
      <vt:variant>
        <vt:i4>0</vt:i4>
      </vt:variant>
      <vt:variant>
        <vt:i4>5</vt:i4>
      </vt:variant>
      <vt:variant>
        <vt:lpwstr/>
      </vt:variant>
      <vt:variant>
        <vt:lpwstr>_Toc152595461</vt:lpwstr>
      </vt:variant>
      <vt:variant>
        <vt:i4>1310782</vt:i4>
      </vt:variant>
      <vt:variant>
        <vt:i4>533</vt:i4>
      </vt:variant>
      <vt:variant>
        <vt:i4>0</vt:i4>
      </vt:variant>
      <vt:variant>
        <vt:i4>5</vt:i4>
      </vt:variant>
      <vt:variant>
        <vt:lpwstr/>
      </vt:variant>
      <vt:variant>
        <vt:lpwstr>_Toc152595460</vt:lpwstr>
      </vt:variant>
      <vt:variant>
        <vt:i4>1507390</vt:i4>
      </vt:variant>
      <vt:variant>
        <vt:i4>527</vt:i4>
      </vt:variant>
      <vt:variant>
        <vt:i4>0</vt:i4>
      </vt:variant>
      <vt:variant>
        <vt:i4>5</vt:i4>
      </vt:variant>
      <vt:variant>
        <vt:lpwstr/>
      </vt:variant>
      <vt:variant>
        <vt:lpwstr>_Toc152595459</vt:lpwstr>
      </vt:variant>
      <vt:variant>
        <vt:i4>1507390</vt:i4>
      </vt:variant>
      <vt:variant>
        <vt:i4>521</vt:i4>
      </vt:variant>
      <vt:variant>
        <vt:i4>0</vt:i4>
      </vt:variant>
      <vt:variant>
        <vt:i4>5</vt:i4>
      </vt:variant>
      <vt:variant>
        <vt:lpwstr/>
      </vt:variant>
      <vt:variant>
        <vt:lpwstr>_Toc152595458</vt:lpwstr>
      </vt:variant>
      <vt:variant>
        <vt:i4>1507390</vt:i4>
      </vt:variant>
      <vt:variant>
        <vt:i4>515</vt:i4>
      </vt:variant>
      <vt:variant>
        <vt:i4>0</vt:i4>
      </vt:variant>
      <vt:variant>
        <vt:i4>5</vt:i4>
      </vt:variant>
      <vt:variant>
        <vt:lpwstr/>
      </vt:variant>
      <vt:variant>
        <vt:lpwstr>_Toc152595451</vt:lpwstr>
      </vt:variant>
      <vt:variant>
        <vt:i4>1507390</vt:i4>
      </vt:variant>
      <vt:variant>
        <vt:i4>509</vt:i4>
      </vt:variant>
      <vt:variant>
        <vt:i4>0</vt:i4>
      </vt:variant>
      <vt:variant>
        <vt:i4>5</vt:i4>
      </vt:variant>
      <vt:variant>
        <vt:lpwstr/>
      </vt:variant>
      <vt:variant>
        <vt:lpwstr>_Toc152595450</vt:lpwstr>
      </vt:variant>
      <vt:variant>
        <vt:i4>1441854</vt:i4>
      </vt:variant>
      <vt:variant>
        <vt:i4>503</vt:i4>
      </vt:variant>
      <vt:variant>
        <vt:i4>0</vt:i4>
      </vt:variant>
      <vt:variant>
        <vt:i4>5</vt:i4>
      </vt:variant>
      <vt:variant>
        <vt:lpwstr/>
      </vt:variant>
      <vt:variant>
        <vt:lpwstr>_Toc152595449</vt:lpwstr>
      </vt:variant>
      <vt:variant>
        <vt:i4>1441854</vt:i4>
      </vt:variant>
      <vt:variant>
        <vt:i4>497</vt:i4>
      </vt:variant>
      <vt:variant>
        <vt:i4>0</vt:i4>
      </vt:variant>
      <vt:variant>
        <vt:i4>5</vt:i4>
      </vt:variant>
      <vt:variant>
        <vt:lpwstr/>
      </vt:variant>
      <vt:variant>
        <vt:lpwstr>_Toc152595448</vt:lpwstr>
      </vt:variant>
      <vt:variant>
        <vt:i4>1441854</vt:i4>
      </vt:variant>
      <vt:variant>
        <vt:i4>491</vt:i4>
      </vt:variant>
      <vt:variant>
        <vt:i4>0</vt:i4>
      </vt:variant>
      <vt:variant>
        <vt:i4>5</vt:i4>
      </vt:variant>
      <vt:variant>
        <vt:lpwstr/>
      </vt:variant>
      <vt:variant>
        <vt:lpwstr>_Toc152595447</vt:lpwstr>
      </vt:variant>
      <vt:variant>
        <vt:i4>1441854</vt:i4>
      </vt:variant>
      <vt:variant>
        <vt:i4>485</vt:i4>
      </vt:variant>
      <vt:variant>
        <vt:i4>0</vt:i4>
      </vt:variant>
      <vt:variant>
        <vt:i4>5</vt:i4>
      </vt:variant>
      <vt:variant>
        <vt:lpwstr/>
      </vt:variant>
      <vt:variant>
        <vt:lpwstr>_Toc152595446</vt:lpwstr>
      </vt:variant>
      <vt:variant>
        <vt:i4>1441854</vt:i4>
      </vt:variant>
      <vt:variant>
        <vt:i4>479</vt:i4>
      </vt:variant>
      <vt:variant>
        <vt:i4>0</vt:i4>
      </vt:variant>
      <vt:variant>
        <vt:i4>5</vt:i4>
      </vt:variant>
      <vt:variant>
        <vt:lpwstr/>
      </vt:variant>
      <vt:variant>
        <vt:lpwstr>_Toc152595445</vt:lpwstr>
      </vt:variant>
      <vt:variant>
        <vt:i4>1441854</vt:i4>
      </vt:variant>
      <vt:variant>
        <vt:i4>473</vt:i4>
      </vt:variant>
      <vt:variant>
        <vt:i4>0</vt:i4>
      </vt:variant>
      <vt:variant>
        <vt:i4>5</vt:i4>
      </vt:variant>
      <vt:variant>
        <vt:lpwstr/>
      </vt:variant>
      <vt:variant>
        <vt:lpwstr>_Toc152595444</vt:lpwstr>
      </vt:variant>
      <vt:variant>
        <vt:i4>1441854</vt:i4>
      </vt:variant>
      <vt:variant>
        <vt:i4>467</vt:i4>
      </vt:variant>
      <vt:variant>
        <vt:i4>0</vt:i4>
      </vt:variant>
      <vt:variant>
        <vt:i4>5</vt:i4>
      </vt:variant>
      <vt:variant>
        <vt:lpwstr/>
      </vt:variant>
      <vt:variant>
        <vt:lpwstr>_Toc152595443</vt:lpwstr>
      </vt:variant>
      <vt:variant>
        <vt:i4>1441854</vt:i4>
      </vt:variant>
      <vt:variant>
        <vt:i4>461</vt:i4>
      </vt:variant>
      <vt:variant>
        <vt:i4>0</vt:i4>
      </vt:variant>
      <vt:variant>
        <vt:i4>5</vt:i4>
      </vt:variant>
      <vt:variant>
        <vt:lpwstr/>
      </vt:variant>
      <vt:variant>
        <vt:lpwstr>_Toc152595442</vt:lpwstr>
      </vt:variant>
      <vt:variant>
        <vt:i4>1441854</vt:i4>
      </vt:variant>
      <vt:variant>
        <vt:i4>455</vt:i4>
      </vt:variant>
      <vt:variant>
        <vt:i4>0</vt:i4>
      </vt:variant>
      <vt:variant>
        <vt:i4>5</vt:i4>
      </vt:variant>
      <vt:variant>
        <vt:lpwstr/>
      </vt:variant>
      <vt:variant>
        <vt:lpwstr>_Toc152595441</vt:lpwstr>
      </vt:variant>
      <vt:variant>
        <vt:i4>1441854</vt:i4>
      </vt:variant>
      <vt:variant>
        <vt:i4>449</vt:i4>
      </vt:variant>
      <vt:variant>
        <vt:i4>0</vt:i4>
      </vt:variant>
      <vt:variant>
        <vt:i4>5</vt:i4>
      </vt:variant>
      <vt:variant>
        <vt:lpwstr/>
      </vt:variant>
      <vt:variant>
        <vt:lpwstr>_Toc152595440</vt:lpwstr>
      </vt:variant>
      <vt:variant>
        <vt:i4>1114174</vt:i4>
      </vt:variant>
      <vt:variant>
        <vt:i4>443</vt:i4>
      </vt:variant>
      <vt:variant>
        <vt:i4>0</vt:i4>
      </vt:variant>
      <vt:variant>
        <vt:i4>5</vt:i4>
      </vt:variant>
      <vt:variant>
        <vt:lpwstr/>
      </vt:variant>
      <vt:variant>
        <vt:lpwstr>_Toc152595439</vt:lpwstr>
      </vt:variant>
      <vt:variant>
        <vt:i4>1114174</vt:i4>
      </vt:variant>
      <vt:variant>
        <vt:i4>437</vt:i4>
      </vt:variant>
      <vt:variant>
        <vt:i4>0</vt:i4>
      </vt:variant>
      <vt:variant>
        <vt:i4>5</vt:i4>
      </vt:variant>
      <vt:variant>
        <vt:lpwstr/>
      </vt:variant>
      <vt:variant>
        <vt:lpwstr>_Toc152595438</vt:lpwstr>
      </vt:variant>
      <vt:variant>
        <vt:i4>1114174</vt:i4>
      </vt:variant>
      <vt:variant>
        <vt:i4>431</vt:i4>
      </vt:variant>
      <vt:variant>
        <vt:i4>0</vt:i4>
      </vt:variant>
      <vt:variant>
        <vt:i4>5</vt:i4>
      </vt:variant>
      <vt:variant>
        <vt:lpwstr/>
      </vt:variant>
      <vt:variant>
        <vt:lpwstr>_Toc152595437</vt:lpwstr>
      </vt:variant>
      <vt:variant>
        <vt:i4>1114174</vt:i4>
      </vt:variant>
      <vt:variant>
        <vt:i4>425</vt:i4>
      </vt:variant>
      <vt:variant>
        <vt:i4>0</vt:i4>
      </vt:variant>
      <vt:variant>
        <vt:i4>5</vt:i4>
      </vt:variant>
      <vt:variant>
        <vt:lpwstr/>
      </vt:variant>
      <vt:variant>
        <vt:lpwstr>_Toc152595436</vt:lpwstr>
      </vt:variant>
      <vt:variant>
        <vt:i4>1114174</vt:i4>
      </vt:variant>
      <vt:variant>
        <vt:i4>419</vt:i4>
      </vt:variant>
      <vt:variant>
        <vt:i4>0</vt:i4>
      </vt:variant>
      <vt:variant>
        <vt:i4>5</vt:i4>
      </vt:variant>
      <vt:variant>
        <vt:lpwstr/>
      </vt:variant>
      <vt:variant>
        <vt:lpwstr>_Toc152595435</vt:lpwstr>
      </vt:variant>
      <vt:variant>
        <vt:i4>1114174</vt:i4>
      </vt:variant>
      <vt:variant>
        <vt:i4>413</vt:i4>
      </vt:variant>
      <vt:variant>
        <vt:i4>0</vt:i4>
      </vt:variant>
      <vt:variant>
        <vt:i4>5</vt:i4>
      </vt:variant>
      <vt:variant>
        <vt:lpwstr/>
      </vt:variant>
      <vt:variant>
        <vt:lpwstr>_Toc152595434</vt:lpwstr>
      </vt:variant>
      <vt:variant>
        <vt:i4>1114174</vt:i4>
      </vt:variant>
      <vt:variant>
        <vt:i4>407</vt:i4>
      </vt:variant>
      <vt:variant>
        <vt:i4>0</vt:i4>
      </vt:variant>
      <vt:variant>
        <vt:i4>5</vt:i4>
      </vt:variant>
      <vt:variant>
        <vt:lpwstr/>
      </vt:variant>
      <vt:variant>
        <vt:lpwstr>_Toc152595433</vt:lpwstr>
      </vt:variant>
      <vt:variant>
        <vt:i4>1114174</vt:i4>
      </vt:variant>
      <vt:variant>
        <vt:i4>401</vt:i4>
      </vt:variant>
      <vt:variant>
        <vt:i4>0</vt:i4>
      </vt:variant>
      <vt:variant>
        <vt:i4>5</vt:i4>
      </vt:variant>
      <vt:variant>
        <vt:lpwstr/>
      </vt:variant>
      <vt:variant>
        <vt:lpwstr>_Toc152595432</vt:lpwstr>
      </vt:variant>
      <vt:variant>
        <vt:i4>1114174</vt:i4>
      </vt:variant>
      <vt:variant>
        <vt:i4>395</vt:i4>
      </vt:variant>
      <vt:variant>
        <vt:i4>0</vt:i4>
      </vt:variant>
      <vt:variant>
        <vt:i4>5</vt:i4>
      </vt:variant>
      <vt:variant>
        <vt:lpwstr/>
      </vt:variant>
      <vt:variant>
        <vt:lpwstr>_Toc152595431</vt:lpwstr>
      </vt:variant>
      <vt:variant>
        <vt:i4>1114174</vt:i4>
      </vt:variant>
      <vt:variant>
        <vt:i4>389</vt:i4>
      </vt:variant>
      <vt:variant>
        <vt:i4>0</vt:i4>
      </vt:variant>
      <vt:variant>
        <vt:i4>5</vt:i4>
      </vt:variant>
      <vt:variant>
        <vt:lpwstr/>
      </vt:variant>
      <vt:variant>
        <vt:lpwstr>_Toc152595430</vt:lpwstr>
      </vt:variant>
      <vt:variant>
        <vt:i4>1048638</vt:i4>
      </vt:variant>
      <vt:variant>
        <vt:i4>383</vt:i4>
      </vt:variant>
      <vt:variant>
        <vt:i4>0</vt:i4>
      </vt:variant>
      <vt:variant>
        <vt:i4>5</vt:i4>
      </vt:variant>
      <vt:variant>
        <vt:lpwstr/>
      </vt:variant>
      <vt:variant>
        <vt:lpwstr>_Toc152595429</vt:lpwstr>
      </vt:variant>
      <vt:variant>
        <vt:i4>1048638</vt:i4>
      </vt:variant>
      <vt:variant>
        <vt:i4>377</vt:i4>
      </vt:variant>
      <vt:variant>
        <vt:i4>0</vt:i4>
      </vt:variant>
      <vt:variant>
        <vt:i4>5</vt:i4>
      </vt:variant>
      <vt:variant>
        <vt:lpwstr/>
      </vt:variant>
      <vt:variant>
        <vt:lpwstr>_Toc152595428</vt:lpwstr>
      </vt:variant>
      <vt:variant>
        <vt:i4>1048638</vt:i4>
      </vt:variant>
      <vt:variant>
        <vt:i4>371</vt:i4>
      </vt:variant>
      <vt:variant>
        <vt:i4>0</vt:i4>
      </vt:variant>
      <vt:variant>
        <vt:i4>5</vt:i4>
      </vt:variant>
      <vt:variant>
        <vt:lpwstr/>
      </vt:variant>
      <vt:variant>
        <vt:lpwstr>_Toc152595427</vt:lpwstr>
      </vt:variant>
      <vt:variant>
        <vt:i4>1048638</vt:i4>
      </vt:variant>
      <vt:variant>
        <vt:i4>365</vt:i4>
      </vt:variant>
      <vt:variant>
        <vt:i4>0</vt:i4>
      </vt:variant>
      <vt:variant>
        <vt:i4>5</vt:i4>
      </vt:variant>
      <vt:variant>
        <vt:lpwstr/>
      </vt:variant>
      <vt:variant>
        <vt:lpwstr>_Toc152595426</vt:lpwstr>
      </vt:variant>
      <vt:variant>
        <vt:i4>1048638</vt:i4>
      </vt:variant>
      <vt:variant>
        <vt:i4>359</vt:i4>
      </vt:variant>
      <vt:variant>
        <vt:i4>0</vt:i4>
      </vt:variant>
      <vt:variant>
        <vt:i4>5</vt:i4>
      </vt:variant>
      <vt:variant>
        <vt:lpwstr/>
      </vt:variant>
      <vt:variant>
        <vt:lpwstr>_Toc152595425</vt:lpwstr>
      </vt:variant>
      <vt:variant>
        <vt:i4>1048638</vt:i4>
      </vt:variant>
      <vt:variant>
        <vt:i4>353</vt:i4>
      </vt:variant>
      <vt:variant>
        <vt:i4>0</vt:i4>
      </vt:variant>
      <vt:variant>
        <vt:i4>5</vt:i4>
      </vt:variant>
      <vt:variant>
        <vt:lpwstr/>
      </vt:variant>
      <vt:variant>
        <vt:lpwstr>_Toc152595424</vt:lpwstr>
      </vt:variant>
      <vt:variant>
        <vt:i4>1048638</vt:i4>
      </vt:variant>
      <vt:variant>
        <vt:i4>347</vt:i4>
      </vt:variant>
      <vt:variant>
        <vt:i4>0</vt:i4>
      </vt:variant>
      <vt:variant>
        <vt:i4>5</vt:i4>
      </vt:variant>
      <vt:variant>
        <vt:lpwstr/>
      </vt:variant>
      <vt:variant>
        <vt:lpwstr>_Toc152595423</vt:lpwstr>
      </vt:variant>
      <vt:variant>
        <vt:i4>1048638</vt:i4>
      </vt:variant>
      <vt:variant>
        <vt:i4>341</vt:i4>
      </vt:variant>
      <vt:variant>
        <vt:i4>0</vt:i4>
      </vt:variant>
      <vt:variant>
        <vt:i4>5</vt:i4>
      </vt:variant>
      <vt:variant>
        <vt:lpwstr/>
      </vt:variant>
      <vt:variant>
        <vt:lpwstr>_Toc152595422</vt:lpwstr>
      </vt:variant>
      <vt:variant>
        <vt:i4>1048638</vt:i4>
      </vt:variant>
      <vt:variant>
        <vt:i4>335</vt:i4>
      </vt:variant>
      <vt:variant>
        <vt:i4>0</vt:i4>
      </vt:variant>
      <vt:variant>
        <vt:i4>5</vt:i4>
      </vt:variant>
      <vt:variant>
        <vt:lpwstr/>
      </vt:variant>
      <vt:variant>
        <vt:lpwstr>_Toc152595421</vt:lpwstr>
      </vt:variant>
      <vt:variant>
        <vt:i4>1048638</vt:i4>
      </vt:variant>
      <vt:variant>
        <vt:i4>329</vt:i4>
      </vt:variant>
      <vt:variant>
        <vt:i4>0</vt:i4>
      </vt:variant>
      <vt:variant>
        <vt:i4>5</vt:i4>
      </vt:variant>
      <vt:variant>
        <vt:lpwstr/>
      </vt:variant>
      <vt:variant>
        <vt:lpwstr>_Toc152595420</vt:lpwstr>
      </vt:variant>
      <vt:variant>
        <vt:i4>1245246</vt:i4>
      </vt:variant>
      <vt:variant>
        <vt:i4>323</vt:i4>
      </vt:variant>
      <vt:variant>
        <vt:i4>0</vt:i4>
      </vt:variant>
      <vt:variant>
        <vt:i4>5</vt:i4>
      </vt:variant>
      <vt:variant>
        <vt:lpwstr/>
      </vt:variant>
      <vt:variant>
        <vt:lpwstr>_Toc152595419</vt:lpwstr>
      </vt:variant>
      <vt:variant>
        <vt:i4>1245246</vt:i4>
      </vt:variant>
      <vt:variant>
        <vt:i4>317</vt:i4>
      </vt:variant>
      <vt:variant>
        <vt:i4>0</vt:i4>
      </vt:variant>
      <vt:variant>
        <vt:i4>5</vt:i4>
      </vt:variant>
      <vt:variant>
        <vt:lpwstr/>
      </vt:variant>
      <vt:variant>
        <vt:lpwstr>_Toc152595418</vt:lpwstr>
      </vt:variant>
      <vt:variant>
        <vt:i4>1245246</vt:i4>
      </vt:variant>
      <vt:variant>
        <vt:i4>311</vt:i4>
      </vt:variant>
      <vt:variant>
        <vt:i4>0</vt:i4>
      </vt:variant>
      <vt:variant>
        <vt:i4>5</vt:i4>
      </vt:variant>
      <vt:variant>
        <vt:lpwstr/>
      </vt:variant>
      <vt:variant>
        <vt:lpwstr>_Toc152595417</vt:lpwstr>
      </vt:variant>
      <vt:variant>
        <vt:i4>1245246</vt:i4>
      </vt:variant>
      <vt:variant>
        <vt:i4>305</vt:i4>
      </vt:variant>
      <vt:variant>
        <vt:i4>0</vt:i4>
      </vt:variant>
      <vt:variant>
        <vt:i4>5</vt:i4>
      </vt:variant>
      <vt:variant>
        <vt:lpwstr/>
      </vt:variant>
      <vt:variant>
        <vt:lpwstr>_Toc152595416</vt:lpwstr>
      </vt:variant>
      <vt:variant>
        <vt:i4>1245246</vt:i4>
      </vt:variant>
      <vt:variant>
        <vt:i4>299</vt:i4>
      </vt:variant>
      <vt:variant>
        <vt:i4>0</vt:i4>
      </vt:variant>
      <vt:variant>
        <vt:i4>5</vt:i4>
      </vt:variant>
      <vt:variant>
        <vt:lpwstr/>
      </vt:variant>
      <vt:variant>
        <vt:lpwstr>_Toc152595415</vt:lpwstr>
      </vt:variant>
      <vt:variant>
        <vt:i4>1245246</vt:i4>
      </vt:variant>
      <vt:variant>
        <vt:i4>293</vt:i4>
      </vt:variant>
      <vt:variant>
        <vt:i4>0</vt:i4>
      </vt:variant>
      <vt:variant>
        <vt:i4>5</vt:i4>
      </vt:variant>
      <vt:variant>
        <vt:lpwstr/>
      </vt:variant>
      <vt:variant>
        <vt:lpwstr>_Toc152595414</vt:lpwstr>
      </vt:variant>
      <vt:variant>
        <vt:i4>1245246</vt:i4>
      </vt:variant>
      <vt:variant>
        <vt:i4>287</vt:i4>
      </vt:variant>
      <vt:variant>
        <vt:i4>0</vt:i4>
      </vt:variant>
      <vt:variant>
        <vt:i4>5</vt:i4>
      </vt:variant>
      <vt:variant>
        <vt:lpwstr/>
      </vt:variant>
      <vt:variant>
        <vt:lpwstr>_Toc152595413</vt:lpwstr>
      </vt:variant>
      <vt:variant>
        <vt:i4>1245246</vt:i4>
      </vt:variant>
      <vt:variant>
        <vt:i4>281</vt:i4>
      </vt:variant>
      <vt:variant>
        <vt:i4>0</vt:i4>
      </vt:variant>
      <vt:variant>
        <vt:i4>5</vt:i4>
      </vt:variant>
      <vt:variant>
        <vt:lpwstr/>
      </vt:variant>
      <vt:variant>
        <vt:lpwstr>_Toc152595412</vt:lpwstr>
      </vt:variant>
      <vt:variant>
        <vt:i4>1245246</vt:i4>
      </vt:variant>
      <vt:variant>
        <vt:i4>275</vt:i4>
      </vt:variant>
      <vt:variant>
        <vt:i4>0</vt:i4>
      </vt:variant>
      <vt:variant>
        <vt:i4>5</vt:i4>
      </vt:variant>
      <vt:variant>
        <vt:lpwstr/>
      </vt:variant>
      <vt:variant>
        <vt:lpwstr>_Toc152595411</vt:lpwstr>
      </vt:variant>
      <vt:variant>
        <vt:i4>1245246</vt:i4>
      </vt:variant>
      <vt:variant>
        <vt:i4>269</vt:i4>
      </vt:variant>
      <vt:variant>
        <vt:i4>0</vt:i4>
      </vt:variant>
      <vt:variant>
        <vt:i4>5</vt:i4>
      </vt:variant>
      <vt:variant>
        <vt:lpwstr/>
      </vt:variant>
      <vt:variant>
        <vt:lpwstr>_Toc152595410</vt:lpwstr>
      </vt:variant>
      <vt:variant>
        <vt:i4>1179710</vt:i4>
      </vt:variant>
      <vt:variant>
        <vt:i4>263</vt:i4>
      </vt:variant>
      <vt:variant>
        <vt:i4>0</vt:i4>
      </vt:variant>
      <vt:variant>
        <vt:i4>5</vt:i4>
      </vt:variant>
      <vt:variant>
        <vt:lpwstr/>
      </vt:variant>
      <vt:variant>
        <vt:lpwstr>_Toc152595409</vt:lpwstr>
      </vt:variant>
      <vt:variant>
        <vt:i4>1179710</vt:i4>
      </vt:variant>
      <vt:variant>
        <vt:i4>257</vt:i4>
      </vt:variant>
      <vt:variant>
        <vt:i4>0</vt:i4>
      </vt:variant>
      <vt:variant>
        <vt:i4>5</vt:i4>
      </vt:variant>
      <vt:variant>
        <vt:lpwstr/>
      </vt:variant>
      <vt:variant>
        <vt:lpwstr>_Toc152595408</vt:lpwstr>
      </vt:variant>
      <vt:variant>
        <vt:i4>1179710</vt:i4>
      </vt:variant>
      <vt:variant>
        <vt:i4>251</vt:i4>
      </vt:variant>
      <vt:variant>
        <vt:i4>0</vt:i4>
      </vt:variant>
      <vt:variant>
        <vt:i4>5</vt:i4>
      </vt:variant>
      <vt:variant>
        <vt:lpwstr/>
      </vt:variant>
      <vt:variant>
        <vt:lpwstr>_Toc152595407</vt:lpwstr>
      </vt:variant>
      <vt:variant>
        <vt:i4>1179710</vt:i4>
      </vt:variant>
      <vt:variant>
        <vt:i4>245</vt:i4>
      </vt:variant>
      <vt:variant>
        <vt:i4>0</vt:i4>
      </vt:variant>
      <vt:variant>
        <vt:i4>5</vt:i4>
      </vt:variant>
      <vt:variant>
        <vt:lpwstr/>
      </vt:variant>
      <vt:variant>
        <vt:lpwstr>_Toc152595406</vt:lpwstr>
      </vt:variant>
      <vt:variant>
        <vt:i4>1179710</vt:i4>
      </vt:variant>
      <vt:variant>
        <vt:i4>239</vt:i4>
      </vt:variant>
      <vt:variant>
        <vt:i4>0</vt:i4>
      </vt:variant>
      <vt:variant>
        <vt:i4>5</vt:i4>
      </vt:variant>
      <vt:variant>
        <vt:lpwstr/>
      </vt:variant>
      <vt:variant>
        <vt:lpwstr>_Toc152595405</vt:lpwstr>
      </vt:variant>
      <vt:variant>
        <vt:i4>1179710</vt:i4>
      </vt:variant>
      <vt:variant>
        <vt:i4>233</vt:i4>
      </vt:variant>
      <vt:variant>
        <vt:i4>0</vt:i4>
      </vt:variant>
      <vt:variant>
        <vt:i4>5</vt:i4>
      </vt:variant>
      <vt:variant>
        <vt:lpwstr/>
      </vt:variant>
      <vt:variant>
        <vt:lpwstr>_Toc152595404</vt:lpwstr>
      </vt:variant>
      <vt:variant>
        <vt:i4>1179710</vt:i4>
      </vt:variant>
      <vt:variant>
        <vt:i4>227</vt:i4>
      </vt:variant>
      <vt:variant>
        <vt:i4>0</vt:i4>
      </vt:variant>
      <vt:variant>
        <vt:i4>5</vt:i4>
      </vt:variant>
      <vt:variant>
        <vt:lpwstr/>
      </vt:variant>
      <vt:variant>
        <vt:lpwstr>_Toc152595403</vt:lpwstr>
      </vt:variant>
      <vt:variant>
        <vt:i4>1179710</vt:i4>
      </vt:variant>
      <vt:variant>
        <vt:i4>221</vt:i4>
      </vt:variant>
      <vt:variant>
        <vt:i4>0</vt:i4>
      </vt:variant>
      <vt:variant>
        <vt:i4>5</vt:i4>
      </vt:variant>
      <vt:variant>
        <vt:lpwstr/>
      </vt:variant>
      <vt:variant>
        <vt:lpwstr>_Toc152595402</vt:lpwstr>
      </vt:variant>
      <vt:variant>
        <vt:i4>1179710</vt:i4>
      </vt:variant>
      <vt:variant>
        <vt:i4>215</vt:i4>
      </vt:variant>
      <vt:variant>
        <vt:i4>0</vt:i4>
      </vt:variant>
      <vt:variant>
        <vt:i4>5</vt:i4>
      </vt:variant>
      <vt:variant>
        <vt:lpwstr/>
      </vt:variant>
      <vt:variant>
        <vt:lpwstr>_Toc152595401</vt:lpwstr>
      </vt:variant>
      <vt:variant>
        <vt:i4>1179710</vt:i4>
      </vt:variant>
      <vt:variant>
        <vt:i4>209</vt:i4>
      </vt:variant>
      <vt:variant>
        <vt:i4>0</vt:i4>
      </vt:variant>
      <vt:variant>
        <vt:i4>5</vt:i4>
      </vt:variant>
      <vt:variant>
        <vt:lpwstr/>
      </vt:variant>
      <vt:variant>
        <vt:lpwstr>_Toc152595400</vt:lpwstr>
      </vt:variant>
      <vt:variant>
        <vt:i4>1769529</vt:i4>
      </vt:variant>
      <vt:variant>
        <vt:i4>203</vt:i4>
      </vt:variant>
      <vt:variant>
        <vt:i4>0</vt:i4>
      </vt:variant>
      <vt:variant>
        <vt:i4>5</vt:i4>
      </vt:variant>
      <vt:variant>
        <vt:lpwstr/>
      </vt:variant>
      <vt:variant>
        <vt:lpwstr>_Toc152595399</vt:lpwstr>
      </vt:variant>
      <vt:variant>
        <vt:i4>1769529</vt:i4>
      </vt:variant>
      <vt:variant>
        <vt:i4>197</vt:i4>
      </vt:variant>
      <vt:variant>
        <vt:i4>0</vt:i4>
      </vt:variant>
      <vt:variant>
        <vt:i4>5</vt:i4>
      </vt:variant>
      <vt:variant>
        <vt:lpwstr/>
      </vt:variant>
      <vt:variant>
        <vt:lpwstr>_Toc152595398</vt:lpwstr>
      </vt:variant>
      <vt:variant>
        <vt:i4>1769529</vt:i4>
      </vt:variant>
      <vt:variant>
        <vt:i4>191</vt:i4>
      </vt:variant>
      <vt:variant>
        <vt:i4>0</vt:i4>
      </vt:variant>
      <vt:variant>
        <vt:i4>5</vt:i4>
      </vt:variant>
      <vt:variant>
        <vt:lpwstr/>
      </vt:variant>
      <vt:variant>
        <vt:lpwstr>_Toc152595397</vt:lpwstr>
      </vt:variant>
      <vt:variant>
        <vt:i4>1769529</vt:i4>
      </vt:variant>
      <vt:variant>
        <vt:i4>185</vt:i4>
      </vt:variant>
      <vt:variant>
        <vt:i4>0</vt:i4>
      </vt:variant>
      <vt:variant>
        <vt:i4>5</vt:i4>
      </vt:variant>
      <vt:variant>
        <vt:lpwstr/>
      </vt:variant>
      <vt:variant>
        <vt:lpwstr>_Toc152595396</vt:lpwstr>
      </vt:variant>
      <vt:variant>
        <vt:i4>1769529</vt:i4>
      </vt:variant>
      <vt:variant>
        <vt:i4>179</vt:i4>
      </vt:variant>
      <vt:variant>
        <vt:i4>0</vt:i4>
      </vt:variant>
      <vt:variant>
        <vt:i4>5</vt:i4>
      </vt:variant>
      <vt:variant>
        <vt:lpwstr/>
      </vt:variant>
      <vt:variant>
        <vt:lpwstr>_Toc152595395</vt:lpwstr>
      </vt:variant>
      <vt:variant>
        <vt:i4>1769529</vt:i4>
      </vt:variant>
      <vt:variant>
        <vt:i4>173</vt:i4>
      </vt:variant>
      <vt:variant>
        <vt:i4>0</vt:i4>
      </vt:variant>
      <vt:variant>
        <vt:i4>5</vt:i4>
      </vt:variant>
      <vt:variant>
        <vt:lpwstr/>
      </vt:variant>
      <vt:variant>
        <vt:lpwstr>_Toc152595394</vt:lpwstr>
      </vt:variant>
      <vt:variant>
        <vt:i4>1769529</vt:i4>
      </vt:variant>
      <vt:variant>
        <vt:i4>167</vt:i4>
      </vt:variant>
      <vt:variant>
        <vt:i4>0</vt:i4>
      </vt:variant>
      <vt:variant>
        <vt:i4>5</vt:i4>
      </vt:variant>
      <vt:variant>
        <vt:lpwstr/>
      </vt:variant>
      <vt:variant>
        <vt:lpwstr>_Toc152595393</vt:lpwstr>
      </vt:variant>
      <vt:variant>
        <vt:i4>1769529</vt:i4>
      </vt:variant>
      <vt:variant>
        <vt:i4>161</vt:i4>
      </vt:variant>
      <vt:variant>
        <vt:i4>0</vt:i4>
      </vt:variant>
      <vt:variant>
        <vt:i4>5</vt:i4>
      </vt:variant>
      <vt:variant>
        <vt:lpwstr/>
      </vt:variant>
      <vt:variant>
        <vt:lpwstr>_Toc152595392</vt:lpwstr>
      </vt:variant>
      <vt:variant>
        <vt:i4>1769529</vt:i4>
      </vt:variant>
      <vt:variant>
        <vt:i4>155</vt:i4>
      </vt:variant>
      <vt:variant>
        <vt:i4>0</vt:i4>
      </vt:variant>
      <vt:variant>
        <vt:i4>5</vt:i4>
      </vt:variant>
      <vt:variant>
        <vt:lpwstr/>
      </vt:variant>
      <vt:variant>
        <vt:lpwstr>_Toc152595391</vt:lpwstr>
      </vt:variant>
      <vt:variant>
        <vt:i4>1769529</vt:i4>
      </vt:variant>
      <vt:variant>
        <vt:i4>149</vt:i4>
      </vt:variant>
      <vt:variant>
        <vt:i4>0</vt:i4>
      </vt:variant>
      <vt:variant>
        <vt:i4>5</vt:i4>
      </vt:variant>
      <vt:variant>
        <vt:lpwstr/>
      </vt:variant>
      <vt:variant>
        <vt:lpwstr>_Toc152595390</vt:lpwstr>
      </vt:variant>
      <vt:variant>
        <vt:i4>1703993</vt:i4>
      </vt:variant>
      <vt:variant>
        <vt:i4>143</vt:i4>
      </vt:variant>
      <vt:variant>
        <vt:i4>0</vt:i4>
      </vt:variant>
      <vt:variant>
        <vt:i4>5</vt:i4>
      </vt:variant>
      <vt:variant>
        <vt:lpwstr/>
      </vt:variant>
      <vt:variant>
        <vt:lpwstr>_Toc152595389</vt:lpwstr>
      </vt:variant>
      <vt:variant>
        <vt:i4>1703993</vt:i4>
      </vt:variant>
      <vt:variant>
        <vt:i4>137</vt:i4>
      </vt:variant>
      <vt:variant>
        <vt:i4>0</vt:i4>
      </vt:variant>
      <vt:variant>
        <vt:i4>5</vt:i4>
      </vt:variant>
      <vt:variant>
        <vt:lpwstr/>
      </vt:variant>
      <vt:variant>
        <vt:lpwstr>_Toc152595388</vt:lpwstr>
      </vt:variant>
      <vt:variant>
        <vt:i4>1703993</vt:i4>
      </vt:variant>
      <vt:variant>
        <vt:i4>131</vt:i4>
      </vt:variant>
      <vt:variant>
        <vt:i4>0</vt:i4>
      </vt:variant>
      <vt:variant>
        <vt:i4>5</vt:i4>
      </vt:variant>
      <vt:variant>
        <vt:lpwstr/>
      </vt:variant>
      <vt:variant>
        <vt:lpwstr>_Toc152595387</vt:lpwstr>
      </vt:variant>
      <vt:variant>
        <vt:i4>1703993</vt:i4>
      </vt:variant>
      <vt:variant>
        <vt:i4>125</vt:i4>
      </vt:variant>
      <vt:variant>
        <vt:i4>0</vt:i4>
      </vt:variant>
      <vt:variant>
        <vt:i4>5</vt:i4>
      </vt:variant>
      <vt:variant>
        <vt:lpwstr/>
      </vt:variant>
      <vt:variant>
        <vt:lpwstr>_Toc152595386</vt:lpwstr>
      </vt:variant>
      <vt:variant>
        <vt:i4>1703993</vt:i4>
      </vt:variant>
      <vt:variant>
        <vt:i4>119</vt:i4>
      </vt:variant>
      <vt:variant>
        <vt:i4>0</vt:i4>
      </vt:variant>
      <vt:variant>
        <vt:i4>5</vt:i4>
      </vt:variant>
      <vt:variant>
        <vt:lpwstr/>
      </vt:variant>
      <vt:variant>
        <vt:lpwstr>_Toc152595385</vt:lpwstr>
      </vt:variant>
      <vt:variant>
        <vt:i4>1703993</vt:i4>
      </vt:variant>
      <vt:variant>
        <vt:i4>113</vt:i4>
      </vt:variant>
      <vt:variant>
        <vt:i4>0</vt:i4>
      </vt:variant>
      <vt:variant>
        <vt:i4>5</vt:i4>
      </vt:variant>
      <vt:variant>
        <vt:lpwstr/>
      </vt:variant>
      <vt:variant>
        <vt:lpwstr>_Toc152595384</vt:lpwstr>
      </vt:variant>
      <vt:variant>
        <vt:i4>1703993</vt:i4>
      </vt:variant>
      <vt:variant>
        <vt:i4>107</vt:i4>
      </vt:variant>
      <vt:variant>
        <vt:i4>0</vt:i4>
      </vt:variant>
      <vt:variant>
        <vt:i4>5</vt:i4>
      </vt:variant>
      <vt:variant>
        <vt:lpwstr/>
      </vt:variant>
      <vt:variant>
        <vt:lpwstr>_Toc152595383</vt:lpwstr>
      </vt:variant>
      <vt:variant>
        <vt:i4>1703993</vt:i4>
      </vt:variant>
      <vt:variant>
        <vt:i4>101</vt:i4>
      </vt:variant>
      <vt:variant>
        <vt:i4>0</vt:i4>
      </vt:variant>
      <vt:variant>
        <vt:i4>5</vt:i4>
      </vt:variant>
      <vt:variant>
        <vt:lpwstr/>
      </vt:variant>
      <vt:variant>
        <vt:lpwstr>_Toc152595382</vt:lpwstr>
      </vt:variant>
      <vt:variant>
        <vt:i4>1703993</vt:i4>
      </vt:variant>
      <vt:variant>
        <vt:i4>95</vt:i4>
      </vt:variant>
      <vt:variant>
        <vt:i4>0</vt:i4>
      </vt:variant>
      <vt:variant>
        <vt:i4>5</vt:i4>
      </vt:variant>
      <vt:variant>
        <vt:lpwstr/>
      </vt:variant>
      <vt:variant>
        <vt:lpwstr>_Toc152595381</vt:lpwstr>
      </vt:variant>
      <vt:variant>
        <vt:i4>1703993</vt:i4>
      </vt:variant>
      <vt:variant>
        <vt:i4>89</vt:i4>
      </vt:variant>
      <vt:variant>
        <vt:i4>0</vt:i4>
      </vt:variant>
      <vt:variant>
        <vt:i4>5</vt:i4>
      </vt:variant>
      <vt:variant>
        <vt:lpwstr/>
      </vt:variant>
      <vt:variant>
        <vt:lpwstr>_Toc152595380</vt:lpwstr>
      </vt:variant>
      <vt:variant>
        <vt:i4>1376313</vt:i4>
      </vt:variant>
      <vt:variant>
        <vt:i4>83</vt:i4>
      </vt:variant>
      <vt:variant>
        <vt:i4>0</vt:i4>
      </vt:variant>
      <vt:variant>
        <vt:i4>5</vt:i4>
      </vt:variant>
      <vt:variant>
        <vt:lpwstr/>
      </vt:variant>
      <vt:variant>
        <vt:lpwstr>_Toc152595379</vt:lpwstr>
      </vt:variant>
      <vt:variant>
        <vt:i4>1376313</vt:i4>
      </vt:variant>
      <vt:variant>
        <vt:i4>77</vt:i4>
      </vt:variant>
      <vt:variant>
        <vt:i4>0</vt:i4>
      </vt:variant>
      <vt:variant>
        <vt:i4>5</vt:i4>
      </vt:variant>
      <vt:variant>
        <vt:lpwstr/>
      </vt:variant>
      <vt:variant>
        <vt:lpwstr>_Toc152595378</vt:lpwstr>
      </vt:variant>
      <vt:variant>
        <vt:i4>1376313</vt:i4>
      </vt:variant>
      <vt:variant>
        <vt:i4>71</vt:i4>
      </vt:variant>
      <vt:variant>
        <vt:i4>0</vt:i4>
      </vt:variant>
      <vt:variant>
        <vt:i4>5</vt:i4>
      </vt:variant>
      <vt:variant>
        <vt:lpwstr/>
      </vt:variant>
      <vt:variant>
        <vt:lpwstr>_Toc152595377</vt:lpwstr>
      </vt:variant>
      <vt:variant>
        <vt:i4>1376313</vt:i4>
      </vt:variant>
      <vt:variant>
        <vt:i4>65</vt:i4>
      </vt:variant>
      <vt:variant>
        <vt:i4>0</vt:i4>
      </vt:variant>
      <vt:variant>
        <vt:i4>5</vt:i4>
      </vt:variant>
      <vt:variant>
        <vt:lpwstr/>
      </vt:variant>
      <vt:variant>
        <vt:lpwstr>_Toc152595376</vt:lpwstr>
      </vt:variant>
      <vt:variant>
        <vt:i4>1376313</vt:i4>
      </vt:variant>
      <vt:variant>
        <vt:i4>59</vt:i4>
      </vt:variant>
      <vt:variant>
        <vt:i4>0</vt:i4>
      </vt:variant>
      <vt:variant>
        <vt:i4>5</vt:i4>
      </vt:variant>
      <vt:variant>
        <vt:lpwstr/>
      </vt:variant>
      <vt:variant>
        <vt:lpwstr>_Toc152595375</vt:lpwstr>
      </vt:variant>
      <vt:variant>
        <vt:i4>1376313</vt:i4>
      </vt:variant>
      <vt:variant>
        <vt:i4>53</vt:i4>
      </vt:variant>
      <vt:variant>
        <vt:i4>0</vt:i4>
      </vt:variant>
      <vt:variant>
        <vt:i4>5</vt:i4>
      </vt:variant>
      <vt:variant>
        <vt:lpwstr/>
      </vt:variant>
      <vt:variant>
        <vt:lpwstr>_Toc152595374</vt:lpwstr>
      </vt:variant>
      <vt:variant>
        <vt:i4>1376313</vt:i4>
      </vt:variant>
      <vt:variant>
        <vt:i4>47</vt:i4>
      </vt:variant>
      <vt:variant>
        <vt:i4>0</vt:i4>
      </vt:variant>
      <vt:variant>
        <vt:i4>5</vt:i4>
      </vt:variant>
      <vt:variant>
        <vt:lpwstr/>
      </vt:variant>
      <vt:variant>
        <vt:lpwstr>_Toc152595373</vt:lpwstr>
      </vt:variant>
      <vt:variant>
        <vt:i4>1376313</vt:i4>
      </vt:variant>
      <vt:variant>
        <vt:i4>41</vt:i4>
      </vt:variant>
      <vt:variant>
        <vt:i4>0</vt:i4>
      </vt:variant>
      <vt:variant>
        <vt:i4>5</vt:i4>
      </vt:variant>
      <vt:variant>
        <vt:lpwstr/>
      </vt:variant>
      <vt:variant>
        <vt:lpwstr>_Toc152595372</vt:lpwstr>
      </vt:variant>
      <vt:variant>
        <vt:i4>1376313</vt:i4>
      </vt:variant>
      <vt:variant>
        <vt:i4>35</vt:i4>
      </vt:variant>
      <vt:variant>
        <vt:i4>0</vt:i4>
      </vt:variant>
      <vt:variant>
        <vt:i4>5</vt:i4>
      </vt:variant>
      <vt:variant>
        <vt:lpwstr/>
      </vt:variant>
      <vt:variant>
        <vt:lpwstr>_Toc152595371</vt:lpwstr>
      </vt:variant>
      <vt:variant>
        <vt:i4>1376313</vt:i4>
      </vt:variant>
      <vt:variant>
        <vt:i4>29</vt:i4>
      </vt:variant>
      <vt:variant>
        <vt:i4>0</vt:i4>
      </vt:variant>
      <vt:variant>
        <vt:i4>5</vt:i4>
      </vt:variant>
      <vt:variant>
        <vt:lpwstr/>
      </vt:variant>
      <vt:variant>
        <vt:lpwstr>_Toc152595370</vt:lpwstr>
      </vt:variant>
      <vt:variant>
        <vt:i4>1310777</vt:i4>
      </vt:variant>
      <vt:variant>
        <vt:i4>23</vt:i4>
      </vt:variant>
      <vt:variant>
        <vt:i4>0</vt:i4>
      </vt:variant>
      <vt:variant>
        <vt:i4>5</vt:i4>
      </vt:variant>
      <vt:variant>
        <vt:lpwstr/>
      </vt:variant>
      <vt:variant>
        <vt:lpwstr>_Toc152595369</vt:lpwstr>
      </vt:variant>
      <vt:variant>
        <vt:i4>1310777</vt:i4>
      </vt:variant>
      <vt:variant>
        <vt:i4>17</vt:i4>
      </vt:variant>
      <vt:variant>
        <vt:i4>0</vt:i4>
      </vt:variant>
      <vt:variant>
        <vt:i4>5</vt:i4>
      </vt:variant>
      <vt:variant>
        <vt:lpwstr/>
      </vt:variant>
      <vt:variant>
        <vt:lpwstr>_Toc152595368</vt:lpwstr>
      </vt:variant>
      <vt:variant>
        <vt:i4>1310777</vt:i4>
      </vt:variant>
      <vt:variant>
        <vt:i4>11</vt:i4>
      </vt:variant>
      <vt:variant>
        <vt:i4>0</vt:i4>
      </vt:variant>
      <vt:variant>
        <vt:i4>5</vt:i4>
      </vt:variant>
      <vt:variant>
        <vt:lpwstr/>
      </vt:variant>
      <vt:variant>
        <vt:lpwstr>_Toc152595367</vt:lpwstr>
      </vt:variant>
      <vt:variant>
        <vt:i4>1310777</vt:i4>
      </vt:variant>
      <vt:variant>
        <vt:i4>5</vt:i4>
      </vt:variant>
      <vt:variant>
        <vt:i4>0</vt:i4>
      </vt:variant>
      <vt:variant>
        <vt:i4>5</vt:i4>
      </vt:variant>
      <vt:variant>
        <vt:lpwstr/>
      </vt:variant>
      <vt:variant>
        <vt:lpwstr>_Toc152595366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Awa Ndiaye</cp:lastModifiedBy>
  <cp:revision>3</cp:revision>
  <cp:lastPrinted>2023-12-18T16:54:00Z</cp:lastPrinted>
  <dcterms:created xsi:type="dcterms:W3CDTF">2026-05-06T09:51:00Z</dcterms:created>
  <dcterms:modified xsi:type="dcterms:W3CDTF">2026-05-07T12:02:00Z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608d83-f952-409d-b7c5-456515bbbf5a_Enabled">
    <vt:lpwstr>true</vt:lpwstr>
  </property>
  <property fmtid="{D5CDD505-2E9C-101B-9397-08002B2CF9AE}" pid="3" name="MSIP_Label_89608d83-f952-409d-b7c5-456515bbbf5a_SetDate">
    <vt:lpwstr>2025-07-03T20:33:13Z</vt:lpwstr>
  </property>
  <property fmtid="{D5CDD505-2E9C-101B-9397-08002B2CF9AE}" pid="4" name="MSIP_Label_89608d83-f952-409d-b7c5-456515bbbf5a_Method">
    <vt:lpwstr>Privileged</vt:lpwstr>
  </property>
  <property fmtid="{D5CDD505-2E9C-101B-9397-08002B2CF9AE}" pid="5" name="MSIP_Label_89608d83-f952-409d-b7c5-456515bbbf5a_Name">
    <vt:lpwstr>Public</vt:lpwstr>
  </property>
  <property fmtid="{D5CDD505-2E9C-101B-9397-08002B2CF9AE}" pid="6" name="MSIP_Label_89608d83-f952-409d-b7c5-456515bbbf5a_SiteId">
    <vt:lpwstr>31a2fec0-266b-4c67-b56e-2796d8f59c36</vt:lpwstr>
  </property>
  <property fmtid="{D5CDD505-2E9C-101B-9397-08002B2CF9AE}" pid="7" name="MSIP_Label_89608d83-f952-409d-b7c5-456515bbbf5a_ActionId">
    <vt:lpwstr>5133b52b-19e9-408a-8344-f4745c64cda6</vt:lpwstr>
  </property>
  <property fmtid="{D5CDD505-2E9C-101B-9397-08002B2CF9AE}" pid="8" name="MSIP_Label_89608d83-f952-409d-b7c5-456515bbbf5a_ContentBits">
    <vt:lpwstr>0</vt:lpwstr>
  </property>
  <property fmtid="{D5CDD505-2E9C-101B-9397-08002B2CF9AE}" pid="9" name="MSIP_Label_89608d83-f952-409d-b7c5-456515bbbf5a_Tag">
    <vt:lpwstr>10, 0, 1, 1</vt:lpwstr>
  </property>
</Properties>
</file>